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58FB16" w14:textId="77777777" w:rsidR="004138C2" w:rsidRDefault="00142E04" w:rsidP="00FF79E2">
      <w:pPr>
        <w:rPr>
          <w:noProof/>
        </w:rPr>
      </w:pPr>
      <w:r>
        <w:rPr>
          <w:rFonts w:asciiTheme="majorHAnsi" w:hAnsiTheme="majorHAnsi"/>
          <w:caps/>
          <w:noProof/>
          <w:color w:val="E7E6E6" w:themeColor="background2"/>
          <w:sz w:val="36"/>
          <w:szCs w:val="40"/>
        </w:rPr>
        <mc:AlternateContent>
          <mc:Choice Requires="wps">
            <w:drawing>
              <wp:anchor distT="0" distB="0" distL="114300" distR="114300" simplePos="0" relativeHeight="251663360" behindDoc="0" locked="0" layoutInCell="1" allowOverlap="1" wp14:anchorId="2A969096" wp14:editId="4E81B310">
                <wp:simplePos x="0" y="0"/>
                <wp:positionH relativeFrom="margin">
                  <wp:posOffset>-412115</wp:posOffset>
                </wp:positionH>
                <wp:positionV relativeFrom="page">
                  <wp:posOffset>3647790</wp:posOffset>
                </wp:positionV>
                <wp:extent cx="6718041" cy="268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041"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15F8B21E"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B340B6">
                              <w:rPr>
                                <w:b w:val="0"/>
                                <w:bCs w:val="0"/>
                                <w:color w:val="FFFFFF"/>
                                <w:lang w:val="en-US"/>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69096" id="_x0000_t202" coordsize="21600,21600" o:spt="202" path="m,l,21600r21600,l21600,xe">
                <v:stroke joinstyle="miter"/>
                <v:path gradientshapeok="t" o:connecttype="rect"/>
              </v:shapetype>
              <v:shape id="Text Box 9" o:spid="_x0000_s1026" type="#_x0000_t202" style="position:absolute;margin-left:-32.45pt;margin-top:287.25pt;width:529pt;height:2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" filled="f" stroked="f">
                <v:textbo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15F8B21E"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B340B6">
                        <w:rPr>
                          <w:b w:val="0"/>
                          <w:bCs w:val="0"/>
                          <w:color w:val="FFFFFF"/>
                          <w:lang w:val="en-US"/>
                        </w:rPr>
                        <w:t>3</w:t>
                      </w:r>
                    </w:p>
                  </w:txbxContent>
                </v:textbox>
                <w10:wrap anchorx="margin" anchory="page"/>
              </v:shape>
            </w:pict>
          </mc:Fallback>
        </mc:AlternateContent>
      </w:r>
      <w:r>
        <w:rPr>
          <w:rFonts w:asciiTheme="majorHAnsi" w:hAnsiTheme="majorHAnsi"/>
          <w:caps/>
          <w:noProof/>
          <w:color w:val="E7E6E6" w:themeColor="background2"/>
          <w:sz w:val="36"/>
          <w:szCs w:val="40"/>
        </w:rPr>
        <mc:AlternateContent>
          <mc:Choice Requires="wps">
            <w:drawing>
              <wp:anchor distT="0" distB="0" distL="114300" distR="114300" simplePos="0" relativeHeight="251665408" behindDoc="0" locked="0" layoutInCell="1" allowOverlap="1" wp14:anchorId="0857174A" wp14:editId="7C2FE95A">
                <wp:simplePos x="0" y="0"/>
                <wp:positionH relativeFrom="margin">
                  <wp:posOffset>-355600</wp:posOffset>
                </wp:positionH>
                <wp:positionV relativeFrom="page">
                  <wp:posOffset>7417306</wp:posOffset>
                </wp:positionV>
                <wp:extent cx="4777273"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12247884"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963860">
                              <w:rPr>
                                <w:color w:val="FFFFFF"/>
                                <w:sz w:val="20"/>
                                <w:szCs w:val="20"/>
                              </w:rPr>
                              <w:t>April</w:t>
                            </w:r>
                            <w:r w:rsidRPr="00142E04">
                              <w:rPr>
                                <w:color w:val="FFFFFF"/>
                                <w:sz w:val="20"/>
                                <w:szCs w:val="20"/>
                              </w:rPr>
                              <w:t xml:space="preserve"> 202</w:t>
                            </w:r>
                            <w:r w:rsidR="00B340B6">
                              <w:rPr>
                                <w:color w:val="FFFFFF"/>
                                <w:sz w:val="20"/>
                                <w:szCs w:val="2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7174A" id="Text Box 10" o:spid="_x0000_s1027" type="#_x0000_t202" style="position:absolute;margin-left:-28pt;margin-top:584.05pt;width:376.15pt;height:72.2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" filled="f" stroked="f">
                <v:textbox style="mso-fit-shape-to-text:t">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12247884"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963860">
                        <w:rPr>
                          <w:color w:val="FFFFFF"/>
                          <w:sz w:val="20"/>
                          <w:szCs w:val="20"/>
                        </w:rPr>
                        <w:t>April</w:t>
                      </w:r>
                      <w:r w:rsidRPr="00142E04">
                        <w:rPr>
                          <w:color w:val="FFFFFF"/>
                          <w:sz w:val="20"/>
                          <w:szCs w:val="20"/>
                        </w:rPr>
                        <w:t xml:space="preserve"> 202</w:t>
                      </w:r>
                      <w:r w:rsidR="00B340B6">
                        <w:rPr>
                          <w:color w:val="FFFFFF"/>
                          <w:sz w:val="20"/>
                          <w:szCs w:val="20"/>
                        </w:rPr>
                        <w:t>3</w:t>
                      </w:r>
                    </w:p>
                  </w:txbxContent>
                </v:textbox>
                <w10:wrap anchorx="margin" anchory="page"/>
              </v:shape>
            </w:pict>
          </mc:Fallback>
        </mc:AlternateContent>
      </w:r>
      <w:r w:rsidR="00754BB2">
        <w:rPr>
          <w:noProof/>
        </w:rPr>
        <w:drawing>
          <wp:anchor distT="0" distB="0" distL="114300" distR="114300" simplePos="0" relativeHeight="251661312" behindDoc="0" locked="0" layoutInCell="1" allowOverlap="1" wp14:anchorId="4E305C45" wp14:editId="56346569">
            <wp:simplePos x="0" y="0"/>
            <wp:positionH relativeFrom="margin">
              <wp:posOffset>138624</wp:posOffset>
            </wp:positionH>
            <wp:positionV relativeFrom="page">
              <wp:posOffset>1278294</wp:posOffset>
            </wp:positionV>
            <wp:extent cx="1413510" cy="723265"/>
            <wp:effectExtent l="19050" t="0" r="0" b="0"/>
            <wp:wrapSquare wrapText="bothSides"/>
            <wp:docPr id="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754BB2">
        <w:rPr>
          <w:noProof/>
        </w:rPr>
        <w:drawing>
          <wp:anchor distT="0" distB="0" distL="114300" distR="114300" simplePos="0" relativeHeight="251659264" behindDoc="1" locked="0" layoutInCell="1" allowOverlap="1" wp14:anchorId="268BDA54" wp14:editId="68A5C452">
            <wp:simplePos x="0" y="0"/>
            <wp:positionH relativeFrom="page">
              <wp:posOffset>-45020</wp:posOffset>
            </wp:positionH>
            <wp:positionV relativeFrom="page">
              <wp:posOffset>998</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754BB2">
        <w:rPr>
          <w:rFonts w:cs="Calibri"/>
          <w:b/>
        </w:rPr>
        <w:br w:type="page"/>
      </w:r>
      <w:bookmarkStart w:id="0" w:name="_Hlk70693919"/>
      <w:bookmarkStart w:id="1" w:name="_Toc194918615"/>
      <w:bookmarkEnd w:id="0"/>
      <w:r w:rsidR="000144FF" w:rsidRPr="00110E1C">
        <w:rPr>
          <w:rFonts w:cs="Calibri"/>
          <w:b/>
          <w:sz w:val="32"/>
        </w:rPr>
        <w:lastRenderedPageBreak/>
        <w:t>Table of Contents</w:t>
      </w:r>
      <w:bookmarkEnd w:id="1"/>
      <w:r w:rsidR="0088111C" w:rsidRPr="00110E1C">
        <w:rPr>
          <w:rFonts w:cs="Calibri"/>
          <w:bCs/>
          <w:sz w:val="32"/>
        </w:rPr>
        <w:fldChar w:fldCharType="begin"/>
      </w:r>
      <w:r w:rsidR="0088111C" w:rsidRPr="00110E1C">
        <w:rPr>
          <w:rFonts w:cs="Calibri"/>
          <w:sz w:val="32"/>
        </w:rPr>
        <w:instrText xml:space="preserve"> TOC \o "1-4" \h \z \u </w:instrText>
      </w:r>
      <w:r w:rsidR="0088111C" w:rsidRPr="00110E1C">
        <w:rPr>
          <w:rFonts w:cs="Calibri"/>
          <w:bCs/>
          <w:sz w:val="32"/>
        </w:rPr>
        <w:fldChar w:fldCharType="separate"/>
      </w:r>
    </w:p>
    <w:p w14:paraId="1FA58131" w14:textId="0A0052B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25" w:history="1">
        <w:r w:rsidR="004138C2" w:rsidRPr="00732F37">
          <w:rPr>
            <w:rStyle w:val="Hyperlink"/>
            <w:noProof/>
          </w:rPr>
          <w:t>Financial Statement Guidelines for Agencies</w:t>
        </w:r>
        <w:r w:rsidR="004138C2">
          <w:rPr>
            <w:noProof/>
            <w:webHidden/>
          </w:rPr>
          <w:tab/>
        </w:r>
        <w:r w:rsidR="004138C2">
          <w:rPr>
            <w:noProof/>
            <w:webHidden/>
          </w:rPr>
          <w:fldChar w:fldCharType="begin"/>
        </w:r>
        <w:r w:rsidR="004138C2">
          <w:rPr>
            <w:noProof/>
            <w:webHidden/>
          </w:rPr>
          <w:instrText xml:space="preserve"> PAGEREF _Toc132743725 \h </w:instrText>
        </w:r>
        <w:r w:rsidR="004138C2">
          <w:rPr>
            <w:noProof/>
            <w:webHidden/>
          </w:rPr>
        </w:r>
        <w:r w:rsidR="004138C2">
          <w:rPr>
            <w:noProof/>
            <w:webHidden/>
          </w:rPr>
          <w:fldChar w:fldCharType="separate"/>
        </w:r>
        <w:r w:rsidR="00DD1D32">
          <w:rPr>
            <w:noProof/>
            <w:webHidden/>
          </w:rPr>
          <w:t>1</w:t>
        </w:r>
        <w:r w:rsidR="004138C2">
          <w:rPr>
            <w:noProof/>
            <w:webHidden/>
          </w:rPr>
          <w:fldChar w:fldCharType="end"/>
        </w:r>
      </w:hyperlink>
    </w:p>
    <w:p w14:paraId="2B59F491" w14:textId="346865CA"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26" w:history="1">
        <w:r w:rsidR="004138C2" w:rsidRPr="00732F37">
          <w:rPr>
            <w:rStyle w:val="Hyperlink"/>
            <w:noProof/>
          </w:rPr>
          <w:t>1.1</w:t>
        </w:r>
        <w:r w:rsidR="004138C2">
          <w:rPr>
            <w:rFonts w:asciiTheme="minorHAnsi" w:eastAsiaTheme="minorEastAsia" w:hAnsiTheme="minorHAnsi" w:cstheme="minorBidi"/>
            <w:bCs w:val="0"/>
            <w:noProof/>
            <w:szCs w:val="22"/>
            <w:lang w:eastAsia="en-AU"/>
          </w:rPr>
          <w:tab/>
        </w:r>
        <w:r w:rsidR="004138C2" w:rsidRPr="00732F37">
          <w:rPr>
            <w:rStyle w:val="Hyperlink"/>
            <w:noProof/>
          </w:rPr>
          <w:t>Preface</w:t>
        </w:r>
        <w:r w:rsidR="004138C2">
          <w:rPr>
            <w:noProof/>
            <w:webHidden/>
          </w:rPr>
          <w:tab/>
        </w:r>
        <w:r w:rsidR="004138C2">
          <w:rPr>
            <w:noProof/>
            <w:webHidden/>
          </w:rPr>
          <w:fldChar w:fldCharType="begin"/>
        </w:r>
        <w:r w:rsidR="004138C2">
          <w:rPr>
            <w:noProof/>
            <w:webHidden/>
          </w:rPr>
          <w:instrText xml:space="preserve"> PAGEREF _Toc132743726 \h </w:instrText>
        </w:r>
        <w:r w:rsidR="004138C2">
          <w:rPr>
            <w:noProof/>
            <w:webHidden/>
          </w:rPr>
        </w:r>
        <w:r w:rsidR="004138C2">
          <w:rPr>
            <w:noProof/>
            <w:webHidden/>
          </w:rPr>
          <w:fldChar w:fldCharType="separate"/>
        </w:r>
        <w:r w:rsidR="00DD1D32">
          <w:rPr>
            <w:noProof/>
            <w:webHidden/>
          </w:rPr>
          <w:t>1</w:t>
        </w:r>
        <w:r w:rsidR="004138C2">
          <w:rPr>
            <w:noProof/>
            <w:webHidden/>
          </w:rPr>
          <w:fldChar w:fldCharType="end"/>
        </w:r>
      </w:hyperlink>
    </w:p>
    <w:p w14:paraId="35082842" w14:textId="709B19FF"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27" w:history="1">
        <w:r w:rsidR="004138C2" w:rsidRPr="00732F37">
          <w:rPr>
            <w:rStyle w:val="Hyperlink"/>
            <w:noProof/>
          </w:rPr>
          <w:t>1.2</w:t>
        </w:r>
        <w:r w:rsidR="004138C2">
          <w:rPr>
            <w:rFonts w:asciiTheme="minorHAnsi" w:eastAsiaTheme="minorEastAsia" w:hAnsiTheme="minorHAnsi" w:cstheme="minorBidi"/>
            <w:bCs w:val="0"/>
            <w:noProof/>
            <w:szCs w:val="22"/>
            <w:lang w:eastAsia="en-AU"/>
          </w:rPr>
          <w:tab/>
        </w:r>
        <w:r w:rsidR="004138C2" w:rsidRPr="00732F37">
          <w:rPr>
            <w:rStyle w:val="Hyperlink"/>
            <w:noProof/>
          </w:rPr>
          <w:t>Materiality Guidance</w:t>
        </w:r>
        <w:r w:rsidR="004138C2">
          <w:rPr>
            <w:noProof/>
            <w:webHidden/>
          </w:rPr>
          <w:tab/>
        </w:r>
        <w:r w:rsidR="004138C2">
          <w:rPr>
            <w:noProof/>
            <w:webHidden/>
          </w:rPr>
          <w:fldChar w:fldCharType="begin"/>
        </w:r>
        <w:r w:rsidR="004138C2">
          <w:rPr>
            <w:noProof/>
            <w:webHidden/>
          </w:rPr>
          <w:instrText xml:space="preserve"> PAGEREF _Toc132743727 \h </w:instrText>
        </w:r>
        <w:r w:rsidR="004138C2">
          <w:rPr>
            <w:noProof/>
            <w:webHidden/>
          </w:rPr>
        </w:r>
        <w:r w:rsidR="004138C2">
          <w:rPr>
            <w:noProof/>
            <w:webHidden/>
          </w:rPr>
          <w:fldChar w:fldCharType="separate"/>
        </w:r>
        <w:r w:rsidR="00DD1D32">
          <w:rPr>
            <w:noProof/>
            <w:webHidden/>
          </w:rPr>
          <w:t>1</w:t>
        </w:r>
        <w:r w:rsidR="004138C2">
          <w:rPr>
            <w:noProof/>
            <w:webHidden/>
          </w:rPr>
          <w:fldChar w:fldCharType="end"/>
        </w:r>
      </w:hyperlink>
    </w:p>
    <w:p w14:paraId="4FCE9E3D" w14:textId="4EF3B144"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29" w:history="1">
        <w:r w:rsidR="004138C2" w:rsidRPr="00732F37">
          <w:rPr>
            <w:rStyle w:val="Hyperlink"/>
            <w:noProof/>
            <w14:scene3d>
              <w14:camera w14:prst="orthographicFront"/>
              <w14:lightRig w14:rig="threePt" w14:dir="t">
                <w14:rot w14:lat="0" w14:lon="0" w14:rev="0"/>
              </w14:lightRig>
            </w14:scene3d>
          </w:rPr>
          <w:t>1.2.1</w:t>
        </w:r>
        <w:r w:rsidR="004138C2">
          <w:rPr>
            <w:rFonts w:asciiTheme="minorHAnsi" w:eastAsiaTheme="minorEastAsia" w:hAnsiTheme="minorHAnsi" w:cstheme="minorBidi"/>
            <w:noProof/>
            <w:szCs w:val="22"/>
            <w:lang w:eastAsia="en-AU"/>
          </w:rPr>
          <w:tab/>
        </w:r>
        <w:r w:rsidR="004138C2" w:rsidRPr="00732F37">
          <w:rPr>
            <w:rStyle w:val="Hyperlink"/>
            <w:noProof/>
          </w:rPr>
          <w:t>Benefits of Streamlined Financial Reporting</w:t>
        </w:r>
        <w:r w:rsidR="004138C2">
          <w:rPr>
            <w:noProof/>
            <w:webHidden/>
          </w:rPr>
          <w:tab/>
        </w:r>
        <w:r w:rsidR="004138C2">
          <w:rPr>
            <w:noProof/>
            <w:webHidden/>
          </w:rPr>
          <w:fldChar w:fldCharType="begin"/>
        </w:r>
        <w:r w:rsidR="004138C2">
          <w:rPr>
            <w:noProof/>
            <w:webHidden/>
          </w:rPr>
          <w:instrText xml:space="preserve"> PAGEREF _Toc132743729 \h </w:instrText>
        </w:r>
        <w:r w:rsidR="004138C2">
          <w:rPr>
            <w:noProof/>
            <w:webHidden/>
          </w:rPr>
        </w:r>
        <w:r w:rsidR="004138C2">
          <w:rPr>
            <w:noProof/>
            <w:webHidden/>
          </w:rPr>
          <w:fldChar w:fldCharType="separate"/>
        </w:r>
        <w:r w:rsidR="00DD1D32">
          <w:rPr>
            <w:noProof/>
            <w:webHidden/>
          </w:rPr>
          <w:t>2</w:t>
        </w:r>
        <w:r w:rsidR="004138C2">
          <w:rPr>
            <w:noProof/>
            <w:webHidden/>
          </w:rPr>
          <w:fldChar w:fldCharType="end"/>
        </w:r>
      </w:hyperlink>
    </w:p>
    <w:p w14:paraId="44997A2E" w14:textId="3B8D8FB9"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0" w:history="1">
        <w:r w:rsidR="004138C2" w:rsidRPr="00732F37">
          <w:rPr>
            <w:rStyle w:val="Hyperlink"/>
            <w:noProof/>
            <w14:scene3d>
              <w14:camera w14:prst="orthographicFront"/>
              <w14:lightRig w14:rig="threePt" w14:dir="t">
                <w14:rot w14:lat="0" w14:lon="0" w14:rev="0"/>
              </w14:lightRig>
            </w14:scene3d>
          </w:rPr>
          <w:t>1.2.2</w:t>
        </w:r>
        <w:r w:rsidR="004138C2">
          <w:rPr>
            <w:rFonts w:asciiTheme="minorHAnsi" w:eastAsiaTheme="minorEastAsia" w:hAnsiTheme="minorHAnsi" w:cstheme="minorBidi"/>
            <w:noProof/>
            <w:szCs w:val="22"/>
            <w:lang w:eastAsia="en-AU"/>
          </w:rPr>
          <w:tab/>
        </w:r>
        <w:r w:rsidR="004138C2" w:rsidRPr="00732F37">
          <w:rPr>
            <w:rStyle w:val="Hyperlink"/>
            <w:noProof/>
          </w:rPr>
          <w:t>General Guidance</w:t>
        </w:r>
        <w:r w:rsidR="004138C2">
          <w:rPr>
            <w:noProof/>
            <w:webHidden/>
          </w:rPr>
          <w:tab/>
        </w:r>
        <w:r w:rsidR="004138C2">
          <w:rPr>
            <w:noProof/>
            <w:webHidden/>
          </w:rPr>
          <w:fldChar w:fldCharType="begin"/>
        </w:r>
        <w:r w:rsidR="004138C2">
          <w:rPr>
            <w:noProof/>
            <w:webHidden/>
          </w:rPr>
          <w:instrText xml:space="preserve"> PAGEREF _Toc132743730 \h </w:instrText>
        </w:r>
        <w:r w:rsidR="004138C2">
          <w:rPr>
            <w:noProof/>
            <w:webHidden/>
          </w:rPr>
        </w:r>
        <w:r w:rsidR="004138C2">
          <w:rPr>
            <w:noProof/>
            <w:webHidden/>
          </w:rPr>
          <w:fldChar w:fldCharType="separate"/>
        </w:r>
        <w:r w:rsidR="00DD1D32">
          <w:rPr>
            <w:noProof/>
            <w:webHidden/>
          </w:rPr>
          <w:t>2</w:t>
        </w:r>
        <w:r w:rsidR="004138C2">
          <w:rPr>
            <w:noProof/>
            <w:webHidden/>
          </w:rPr>
          <w:fldChar w:fldCharType="end"/>
        </w:r>
      </w:hyperlink>
    </w:p>
    <w:p w14:paraId="0E828083" w14:textId="25B6C0B9"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2" w:history="1">
        <w:r w:rsidR="004138C2" w:rsidRPr="00732F37">
          <w:rPr>
            <w:rStyle w:val="Hyperlink"/>
            <w:noProof/>
            <w14:scene3d>
              <w14:camera w14:prst="orthographicFront"/>
              <w14:lightRig w14:rig="threePt" w14:dir="t">
                <w14:rot w14:lat="0" w14:lon="0" w14:rev="0"/>
              </w14:lightRig>
            </w14:scene3d>
          </w:rPr>
          <w:t>1.2.3</w:t>
        </w:r>
        <w:r w:rsidR="004138C2">
          <w:rPr>
            <w:rFonts w:asciiTheme="minorHAnsi" w:eastAsiaTheme="minorEastAsia" w:hAnsiTheme="minorHAnsi" w:cstheme="minorBidi"/>
            <w:noProof/>
            <w:szCs w:val="22"/>
            <w:lang w:eastAsia="en-AU"/>
          </w:rPr>
          <w:tab/>
        </w:r>
        <w:r w:rsidR="004138C2" w:rsidRPr="00732F37">
          <w:rPr>
            <w:rStyle w:val="Hyperlink"/>
            <w:noProof/>
          </w:rPr>
          <w:t>Requirement for Separate Line Items on the Face of the Financial Statements</w:t>
        </w:r>
        <w:r w:rsidR="004138C2">
          <w:rPr>
            <w:noProof/>
            <w:webHidden/>
          </w:rPr>
          <w:tab/>
        </w:r>
        <w:r w:rsidR="004138C2">
          <w:rPr>
            <w:noProof/>
            <w:webHidden/>
          </w:rPr>
          <w:fldChar w:fldCharType="begin"/>
        </w:r>
        <w:r w:rsidR="004138C2">
          <w:rPr>
            <w:noProof/>
            <w:webHidden/>
          </w:rPr>
          <w:instrText xml:space="preserve"> PAGEREF _Toc132743732 \h </w:instrText>
        </w:r>
        <w:r w:rsidR="004138C2">
          <w:rPr>
            <w:noProof/>
            <w:webHidden/>
          </w:rPr>
        </w:r>
        <w:r w:rsidR="004138C2">
          <w:rPr>
            <w:noProof/>
            <w:webHidden/>
          </w:rPr>
          <w:fldChar w:fldCharType="separate"/>
        </w:r>
        <w:r w:rsidR="00DD1D32">
          <w:rPr>
            <w:noProof/>
            <w:webHidden/>
          </w:rPr>
          <w:t>3</w:t>
        </w:r>
        <w:r w:rsidR="004138C2">
          <w:rPr>
            <w:noProof/>
            <w:webHidden/>
          </w:rPr>
          <w:fldChar w:fldCharType="end"/>
        </w:r>
      </w:hyperlink>
    </w:p>
    <w:p w14:paraId="3F88EB9F" w14:textId="5873327E"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3" w:history="1">
        <w:r w:rsidR="004138C2" w:rsidRPr="00732F37">
          <w:rPr>
            <w:rStyle w:val="Hyperlink"/>
            <w:noProof/>
            <w14:scene3d>
              <w14:camera w14:prst="orthographicFront"/>
              <w14:lightRig w14:rig="threePt" w14:dir="t">
                <w14:rot w14:lat="0" w14:lon="0" w14:rev="0"/>
              </w14:lightRig>
            </w14:scene3d>
          </w:rPr>
          <w:t>1.2.4</w:t>
        </w:r>
        <w:r w:rsidR="004138C2">
          <w:rPr>
            <w:rFonts w:asciiTheme="minorHAnsi" w:eastAsiaTheme="minorEastAsia" w:hAnsiTheme="minorHAnsi" w:cstheme="minorBidi"/>
            <w:noProof/>
            <w:szCs w:val="22"/>
            <w:lang w:eastAsia="en-AU"/>
          </w:rPr>
          <w:tab/>
        </w:r>
        <w:r w:rsidR="004138C2" w:rsidRPr="00732F37">
          <w:rPr>
            <w:rStyle w:val="Hyperlink"/>
            <w:noProof/>
          </w:rPr>
          <w:t>Requirement for Separate Note Disclosures</w:t>
        </w:r>
        <w:r w:rsidR="004138C2">
          <w:rPr>
            <w:noProof/>
            <w:webHidden/>
          </w:rPr>
          <w:tab/>
        </w:r>
        <w:r w:rsidR="004138C2">
          <w:rPr>
            <w:noProof/>
            <w:webHidden/>
          </w:rPr>
          <w:fldChar w:fldCharType="begin"/>
        </w:r>
        <w:r w:rsidR="004138C2">
          <w:rPr>
            <w:noProof/>
            <w:webHidden/>
          </w:rPr>
          <w:instrText xml:space="preserve"> PAGEREF _Toc132743733 \h </w:instrText>
        </w:r>
        <w:r w:rsidR="004138C2">
          <w:rPr>
            <w:noProof/>
            <w:webHidden/>
          </w:rPr>
        </w:r>
        <w:r w:rsidR="004138C2">
          <w:rPr>
            <w:noProof/>
            <w:webHidden/>
          </w:rPr>
          <w:fldChar w:fldCharType="separate"/>
        </w:r>
        <w:r w:rsidR="00DD1D32">
          <w:rPr>
            <w:noProof/>
            <w:webHidden/>
          </w:rPr>
          <w:t>3</w:t>
        </w:r>
        <w:r w:rsidR="004138C2">
          <w:rPr>
            <w:noProof/>
            <w:webHidden/>
          </w:rPr>
          <w:fldChar w:fldCharType="end"/>
        </w:r>
      </w:hyperlink>
    </w:p>
    <w:p w14:paraId="02C3F7ED" w14:textId="38EE9A11"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4" w:history="1">
        <w:r w:rsidR="004138C2" w:rsidRPr="00732F37">
          <w:rPr>
            <w:rStyle w:val="Hyperlink"/>
            <w:noProof/>
            <w14:scene3d>
              <w14:camera w14:prst="orthographicFront"/>
              <w14:lightRig w14:rig="threePt" w14:dir="t">
                <w14:rot w14:lat="0" w14:lon="0" w14:rev="0"/>
              </w14:lightRig>
            </w14:scene3d>
          </w:rPr>
          <w:t>1.2.5</w:t>
        </w:r>
        <w:r w:rsidR="004138C2">
          <w:rPr>
            <w:rFonts w:asciiTheme="minorHAnsi" w:eastAsiaTheme="minorEastAsia" w:hAnsiTheme="minorHAnsi" w:cstheme="minorBidi"/>
            <w:noProof/>
            <w:szCs w:val="22"/>
            <w:lang w:eastAsia="en-AU"/>
          </w:rPr>
          <w:tab/>
        </w:r>
        <w:r w:rsidR="004138C2" w:rsidRPr="00732F37">
          <w:rPr>
            <w:rStyle w:val="Hyperlink"/>
            <w:noProof/>
          </w:rPr>
          <w:t>Detail in Separate Note Disclosures</w:t>
        </w:r>
        <w:r w:rsidR="004138C2">
          <w:rPr>
            <w:noProof/>
            <w:webHidden/>
          </w:rPr>
          <w:tab/>
        </w:r>
        <w:r w:rsidR="004138C2">
          <w:rPr>
            <w:noProof/>
            <w:webHidden/>
          </w:rPr>
          <w:fldChar w:fldCharType="begin"/>
        </w:r>
        <w:r w:rsidR="004138C2">
          <w:rPr>
            <w:noProof/>
            <w:webHidden/>
          </w:rPr>
          <w:instrText xml:space="preserve"> PAGEREF _Toc132743734 \h </w:instrText>
        </w:r>
        <w:r w:rsidR="004138C2">
          <w:rPr>
            <w:noProof/>
            <w:webHidden/>
          </w:rPr>
        </w:r>
        <w:r w:rsidR="004138C2">
          <w:rPr>
            <w:noProof/>
            <w:webHidden/>
          </w:rPr>
          <w:fldChar w:fldCharType="separate"/>
        </w:r>
        <w:r w:rsidR="00DD1D32">
          <w:rPr>
            <w:noProof/>
            <w:webHidden/>
          </w:rPr>
          <w:t>4</w:t>
        </w:r>
        <w:r w:rsidR="004138C2">
          <w:rPr>
            <w:noProof/>
            <w:webHidden/>
          </w:rPr>
          <w:fldChar w:fldCharType="end"/>
        </w:r>
      </w:hyperlink>
    </w:p>
    <w:p w14:paraId="330AE550" w14:textId="3EB0CA93"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5" w:history="1">
        <w:r w:rsidR="004138C2" w:rsidRPr="00732F37">
          <w:rPr>
            <w:rStyle w:val="Hyperlink"/>
            <w:noProof/>
            <w14:scene3d>
              <w14:camera w14:prst="orthographicFront"/>
              <w14:lightRig w14:rig="threePt" w14:dir="t">
                <w14:rot w14:lat="0" w14:lon="0" w14:rev="0"/>
              </w14:lightRig>
            </w14:scene3d>
          </w:rPr>
          <w:t>1.2.6</w:t>
        </w:r>
        <w:r w:rsidR="004138C2">
          <w:rPr>
            <w:rFonts w:asciiTheme="minorHAnsi" w:eastAsiaTheme="minorEastAsia" w:hAnsiTheme="minorHAnsi" w:cstheme="minorBidi"/>
            <w:noProof/>
            <w:szCs w:val="22"/>
            <w:lang w:eastAsia="en-AU"/>
          </w:rPr>
          <w:tab/>
        </w:r>
        <w:r w:rsidR="004138C2" w:rsidRPr="00732F37">
          <w:rPr>
            <w:rStyle w:val="Hyperlink"/>
            <w:noProof/>
          </w:rPr>
          <w:t>Exceptions to the General Guidance on Materiality (outlined in Section 1.2.2 above)</w:t>
        </w:r>
        <w:r w:rsidR="004138C2">
          <w:rPr>
            <w:noProof/>
            <w:webHidden/>
          </w:rPr>
          <w:tab/>
        </w:r>
        <w:r w:rsidR="004138C2">
          <w:rPr>
            <w:noProof/>
            <w:webHidden/>
          </w:rPr>
          <w:fldChar w:fldCharType="begin"/>
        </w:r>
        <w:r w:rsidR="004138C2">
          <w:rPr>
            <w:noProof/>
            <w:webHidden/>
          </w:rPr>
          <w:instrText xml:space="preserve"> PAGEREF _Toc132743735 \h </w:instrText>
        </w:r>
        <w:r w:rsidR="004138C2">
          <w:rPr>
            <w:noProof/>
            <w:webHidden/>
          </w:rPr>
        </w:r>
        <w:r w:rsidR="004138C2">
          <w:rPr>
            <w:noProof/>
            <w:webHidden/>
          </w:rPr>
          <w:fldChar w:fldCharType="separate"/>
        </w:r>
        <w:r w:rsidR="00DD1D32">
          <w:rPr>
            <w:noProof/>
            <w:webHidden/>
          </w:rPr>
          <w:t>4</w:t>
        </w:r>
        <w:r w:rsidR="004138C2">
          <w:rPr>
            <w:noProof/>
            <w:webHidden/>
          </w:rPr>
          <w:fldChar w:fldCharType="end"/>
        </w:r>
      </w:hyperlink>
    </w:p>
    <w:p w14:paraId="440BF9F8" w14:textId="78FC1C35"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6" w:history="1">
        <w:r w:rsidR="004138C2" w:rsidRPr="00732F37">
          <w:rPr>
            <w:rStyle w:val="Hyperlink"/>
            <w:noProof/>
            <w14:scene3d>
              <w14:camera w14:prst="orthographicFront"/>
              <w14:lightRig w14:rig="threePt" w14:dir="t">
                <w14:rot w14:lat="0" w14:lon="0" w14:rev="0"/>
              </w14:lightRig>
            </w14:scene3d>
          </w:rPr>
          <w:t>1.2.7</w:t>
        </w:r>
        <w:r w:rsidR="004138C2">
          <w:rPr>
            <w:rFonts w:asciiTheme="minorHAnsi" w:eastAsiaTheme="minorEastAsia" w:hAnsiTheme="minorHAnsi" w:cstheme="minorBidi"/>
            <w:noProof/>
            <w:szCs w:val="22"/>
            <w:lang w:eastAsia="en-AU"/>
          </w:rPr>
          <w:tab/>
        </w:r>
        <w:r w:rsidR="004138C2" w:rsidRPr="00732F37">
          <w:rPr>
            <w:rStyle w:val="Hyperlink"/>
            <w:noProof/>
          </w:rPr>
          <w:t>Variance Explanations between Current, Budget and Prior Year Figures</w:t>
        </w:r>
        <w:r w:rsidR="004138C2">
          <w:rPr>
            <w:noProof/>
            <w:webHidden/>
          </w:rPr>
          <w:tab/>
        </w:r>
        <w:r w:rsidR="004138C2">
          <w:rPr>
            <w:noProof/>
            <w:webHidden/>
          </w:rPr>
          <w:fldChar w:fldCharType="begin"/>
        </w:r>
        <w:r w:rsidR="004138C2">
          <w:rPr>
            <w:noProof/>
            <w:webHidden/>
          </w:rPr>
          <w:instrText xml:space="preserve"> PAGEREF _Toc132743736 \h </w:instrText>
        </w:r>
        <w:r w:rsidR="004138C2">
          <w:rPr>
            <w:noProof/>
            <w:webHidden/>
          </w:rPr>
        </w:r>
        <w:r w:rsidR="004138C2">
          <w:rPr>
            <w:noProof/>
            <w:webHidden/>
          </w:rPr>
          <w:fldChar w:fldCharType="separate"/>
        </w:r>
        <w:r w:rsidR="00DD1D32">
          <w:rPr>
            <w:noProof/>
            <w:webHidden/>
          </w:rPr>
          <w:t>4</w:t>
        </w:r>
        <w:r w:rsidR="004138C2">
          <w:rPr>
            <w:noProof/>
            <w:webHidden/>
          </w:rPr>
          <w:fldChar w:fldCharType="end"/>
        </w:r>
      </w:hyperlink>
    </w:p>
    <w:p w14:paraId="1A8169A6" w14:textId="0CC8A5CC"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7" w:history="1">
        <w:r w:rsidR="004138C2" w:rsidRPr="00732F37">
          <w:rPr>
            <w:rStyle w:val="Hyperlink"/>
            <w:noProof/>
            <w14:scene3d>
              <w14:camera w14:prst="orthographicFront"/>
              <w14:lightRig w14:rig="threePt" w14:dir="t">
                <w14:rot w14:lat="0" w14:lon="0" w14:rev="0"/>
              </w14:lightRig>
            </w14:scene3d>
          </w:rPr>
          <w:t>1.2.8</w:t>
        </w:r>
        <w:r w:rsidR="004138C2">
          <w:rPr>
            <w:rFonts w:asciiTheme="minorHAnsi" w:eastAsiaTheme="minorEastAsia" w:hAnsiTheme="minorHAnsi" w:cstheme="minorBidi"/>
            <w:noProof/>
            <w:szCs w:val="22"/>
            <w:lang w:eastAsia="en-AU"/>
          </w:rPr>
          <w:tab/>
        </w:r>
        <w:r w:rsidR="004138C2" w:rsidRPr="00732F37">
          <w:rPr>
            <w:rStyle w:val="Hyperlink"/>
            <w:noProof/>
          </w:rPr>
          <w:t>Consultation with Audit Committee and the Audit Office</w:t>
        </w:r>
        <w:r w:rsidR="004138C2">
          <w:rPr>
            <w:noProof/>
            <w:webHidden/>
          </w:rPr>
          <w:tab/>
        </w:r>
        <w:r w:rsidR="004138C2">
          <w:rPr>
            <w:noProof/>
            <w:webHidden/>
          </w:rPr>
          <w:fldChar w:fldCharType="begin"/>
        </w:r>
        <w:r w:rsidR="004138C2">
          <w:rPr>
            <w:noProof/>
            <w:webHidden/>
          </w:rPr>
          <w:instrText xml:space="preserve"> PAGEREF _Toc132743737 \h </w:instrText>
        </w:r>
        <w:r w:rsidR="004138C2">
          <w:rPr>
            <w:noProof/>
            <w:webHidden/>
          </w:rPr>
        </w:r>
        <w:r w:rsidR="004138C2">
          <w:rPr>
            <w:noProof/>
            <w:webHidden/>
          </w:rPr>
          <w:fldChar w:fldCharType="separate"/>
        </w:r>
        <w:r w:rsidR="00DD1D32">
          <w:rPr>
            <w:noProof/>
            <w:webHidden/>
          </w:rPr>
          <w:t>5</w:t>
        </w:r>
        <w:r w:rsidR="004138C2">
          <w:rPr>
            <w:noProof/>
            <w:webHidden/>
          </w:rPr>
          <w:fldChar w:fldCharType="end"/>
        </w:r>
      </w:hyperlink>
    </w:p>
    <w:p w14:paraId="71BED4E0" w14:textId="15716DA2"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38" w:history="1">
        <w:r w:rsidR="004138C2" w:rsidRPr="00732F37">
          <w:rPr>
            <w:rStyle w:val="Hyperlink"/>
            <w:noProof/>
            <w14:scene3d>
              <w14:camera w14:prst="orthographicFront"/>
              <w14:lightRig w14:rig="threePt" w14:dir="t">
                <w14:rot w14:lat="0" w14:lon="0" w14:rev="0"/>
              </w14:lightRig>
            </w14:scene3d>
          </w:rPr>
          <w:t>1.2.9</w:t>
        </w:r>
        <w:r w:rsidR="004138C2">
          <w:rPr>
            <w:rFonts w:asciiTheme="minorHAnsi" w:eastAsiaTheme="minorEastAsia" w:hAnsiTheme="minorHAnsi" w:cstheme="minorBidi"/>
            <w:noProof/>
            <w:szCs w:val="22"/>
            <w:lang w:eastAsia="en-AU"/>
          </w:rPr>
          <w:tab/>
        </w:r>
        <w:r w:rsidR="004138C2" w:rsidRPr="00732F37">
          <w:rPr>
            <w:rStyle w:val="Hyperlink"/>
            <w:noProof/>
          </w:rPr>
          <w:t>Impact of the COVID-19 Pandemic</w:t>
        </w:r>
        <w:r w:rsidR="004138C2">
          <w:rPr>
            <w:noProof/>
            <w:webHidden/>
          </w:rPr>
          <w:tab/>
        </w:r>
        <w:r w:rsidR="004138C2">
          <w:rPr>
            <w:noProof/>
            <w:webHidden/>
          </w:rPr>
          <w:fldChar w:fldCharType="begin"/>
        </w:r>
        <w:r w:rsidR="004138C2">
          <w:rPr>
            <w:noProof/>
            <w:webHidden/>
          </w:rPr>
          <w:instrText xml:space="preserve"> PAGEREF _Toc132743738 \h </w:instrText>
        </w:r>
        <w:r w:rsidR="004138C2">
          <w:rPr>
            <w:noProof/>
            <w:webHidden/>
          </w:rPr>
        </w:r>
        <w:r w:rsidR="004138C2">
          <w:rPr>
            <w:noProof/>
            <w:webHidden/>
          </w:rPr>
          <w:fldChar w:fldCharType="separate"/>
        </w:r>
        <w:r w:rsidR="00DD1D32">
          <w:rPr>
            <w:noProof/>
            <w:webHidden/>
          </w:rPr>
          <w:t>5</w:t>
        </w:r>
        <w:r w:rsidR="004138C2">
          <w:rPr>
            <w:noProof/>
            <w:webHidden/>
          </w:rPr>
          <w:fldChar w:fldCharType="end"/>
        </w:r>
      </w:hyperlink>
    </w:p>
    <w:p w14:paraId="40F991D5" w14:textId="20894BB7"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39" w:history="1">
        <w:r w:rsidR="004138C2" w:rsidRPr="00732F37">
          <w:rPr>
            <w:rStyle w:val="Hyperlink"/>
            <w:noProof/>
          </w:rPr>
          <w:t>1.3</w:t>
        </w:r>
        <w:r w:rsidR="004138C2">
          <w:rPr>
            <w:rFonts w:asciiTheme="minorHAnsi" w:eastAsiaTheme="minorEastAsia" w:hAnsiTheme="minorHAnsi" w:cstheme="minorBidi"/>
            <w:bCs w:val="0"/>
            <w:noProof/>
            <w:szCs w:val="22"/>
            <w:lang w:eastAsia="en-AU"/>
          </w:rPr>
          <w:tab/>
        </w:r>
        <w:r w:rsidR="004138C2" w:rsidRPr="00732F37">
          <w:rPr>
            <w:rStyle w:val="Hyperlink"/>
            <w:noProof/>
          </w:rPr>
          <w:t>What’s New</w:t>
        </w:r>
        <w:r w:rsidR="004138C2">
          <w:rPr>
            <w:noProof/>
            <w:webHidden/>
          </w:rPr>
          <w:tab/>
        </w:r>
        <w:r w:rsidR="004138C2">
          <w:rPr>
            <w:noProof/>
            <w:webHidden/>
          </w:rPr>
          <w:fldChar w:fldCharType="begin"/>
        </w:r>
        <w:r w:rsidR="004138C2">
          <w:rPr>
            <w:noProof/>
            <w:webHidden/>
          </w:rPr>
          <w:instrText xml:space="preserve"> PAGEREF _Toc132743739 \h </w:instrText>
        </w:r>
        <w:r w:rsidR="004138C2">
          <w:rPr>
            <w:noProof/>
            <w:webHidden/>
          </w:rPr>
        </w:r>
        <w:r w:rsidR="004138C2">
          <w:rPr>
            <w:noProof/>
            <w:webHidden/>
          </w:rPr>
          <w:fldChar w:fldCharType="separate"/>
        </w:r>
        <w:r w:rsidR="00DD1D32">
          <w:rPr>
            <w:noProof/>
            <w:webHidden/>
          </w:rPr>
          <w:t>5</w:t>
        </w:r>
        <w:r w:rsidR="004138C2">
          <w:rPr>
            <w:noProof/>
            <w:webHidden/>
          </w:rPr>
          <w:fldChar w:fldCharType="end"/>
        </w:r>
      </w:hyperlink>
    </w:p>
    <w:p w14:paraId="415C66FB" w14:textId="3DCA9495"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40" w:history="1">
        <w:r w:rsidR="004138C2" w:rsidRPr="00732F37">
          <w:rPr>
            <w:rStyle w:val="Hyperlink"/>
            <w:noProof/>
            <w14:scene3d>
              <w14:camera w14:prst="orthographicFront"/>
              <w14:lightRig w14:rig="threePt" w14:dir="t">
                <w14:rot w14:lat="0" w14:lon="0" w14:rev="0"/>
              </w14:lightRig>
            </w14:scene3d>
          </w:rPr>
          <w:t>1.3.1</w:t>
        </w:r>
        <w:r w:rsidR="004138C2">
          <w:rPr>
            <w:rFonts w:asciiTheme="minorHAnsi" w:eastAsiaTheme="minorEastAsia" w:hAnsiTheme="minorHAnsi" w:cstheme="minorBidi"/>
            <w:noProof/>
            <w:szCs w:val="22"/>
            <w:lang w:eastAsia="en-AU"/>
          </w:rPr>
          <w:tab/>
        </w:r>
        <w:r w:rsidR="004138C2" w:rsidRPr="00732F37">
          <w:rPr>
            <w:rStyle w:val="Hyperlink"/>
            <w:noProof/>
          </w:rPr>
          <w:t>Changes to the Model Resulting from Accounting Standard Changes</w:t>
        </w:r>
        <w:r w:rsidR="004138C2">
          <w:rPr>
            <w:noProof/>
            <w:webHidden/>
          </w:rPr>
          <w:tab/>
        </w:r>
        <w:r w:rsidR="004138C2">
          <w:rPr>
            <w:noProof/>
            <w:webHidden/>
          </w:rPr>
          <w:fldChar w:fldCharType="begin"/>
        </w:r>
        <w:r w:rsidR="004138C2">
          <w:rPr>
            <w:noProof/>
            <w:webHidden/>
          </w:rPr>
          <w:instrText xml:space="preserve"> PAGEREF _Toc132743740 \h </w:instrText>
        </w:r>
        <w:r w:rsidR="004138C2">
          <w:rPr>
            <w:noProof/>
            <w:webHidden/>
          </w:rPr>
        </w:r>
        <w:r w:rsidR="004138C2">
          <w:rPr>
            <w:noProof/>
            <w:webHidden/>
          </w:rPr>
          <w:fldChar w:fldCharType="separate"/>
        </w:r>
        <w:r w:rsidR="00DD1D32">
          <w:rPr>
            <w:noProof/>
            <w:webHidden/>
          </w:rPr>
          <w:t>5</w:t>
        </w:r>
        <w:r w:rsidR="004138C2">
          <w:rPr>
            <w:noProof/>
            <w:webHidden/>
          </w:rPr>
          <w:fldChar w:fldCharType="end"/>
        </w:r>
      </w:hyperlink>
    </w:p>
    <w:p w14:paraId="10E7736B" w14:textId="58095D2C"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41" w:history="1">
        <w:r w:rsidR="004138C2" w:rsidRPr="00732F37">
          <w:rPr>
            <w:rStyle w:val="Hyperlink"/>
            <w:noProof/>
            <w14:scene3d>
              <w14:camera w14:prst="orthographicFront"/>
              <w14:lightRig w14:rig="threePt" w14:dir="t">
                <w14:rot w14:lat="0" w14:lon="0" w14:rev="0"/>
              </w14:lightRig>
            </w14:scene3d>
          </w:rPr>
          <w:t>1.3.2</w:t>
        </w:r>
        <w:r w:rsidR="004138C2">
          <w:rPr>
            <w:rFonts w:asciiTheme="minorHAnsi" w:eastAsiaTheme="minorEastAsia" w:hAnsiTheme="minorHAnsi" w:cstheme="minorBidi"/>
            <w:noProof/>
            <w:szCs w:val="22"/>
            <w:lang w:eastAsia="en-AU"/>
          </w:rPr>
          <w:tab/>
        </w:r>
        <w:r w:rsidR="004138C2" w:rsidRPr="00732F37">
          <w:rPr>
            <w:rStyle w:val="Hyperlink"/>
            <w:noProof/>
          </w:rPr>
          <w:t>Changes to the Model Resulting from Streamlining and Decluttering</w:t>
        </w:r>
        <w:r w:rsidR="004138C2">
          <w:rPr>
            <w:noProof/>
            <w:webHidden/>
          </w:rPr>
          <w:tab/>
        </w:r>
        <w:r w:rsidR="004138C2">
          <w:rPr>
            <w:noProof/>
            <w:webHidden/>
          </w:rPr>
          <w:fldChar w:fldCharType="begin"/>
        </w:r>
        <w:r w:rsidR="004138C2">
          <w:rPr>
            <w:noProof/>
            <w:webHidden/>
          </w:rPr>
          <w:instrText xml:space="preserve"> PAGEREF _Toc132743741 \h </w:instrText>
        </w:r>
        <w:r w:rsidR="004138C2">
          <w:rPr>
            <w:noProof/>
            <w:webHidden/>
          </w:rPr>
        </w:r>
        <w:r w:rsidR="004138C2">
          <w:rPr>
            <w:noProof/>
            <w:webHidden/>
          </w:rPr>
          <w:fldChar w:fldCharType="separate"/>
        </w:r>
        <w:r w:rsidR="00DD1D32">
          <w:rPr>
            <w:noProof/>
            <w:webHidden/>
          </w:rPr>
          <w:t>5</w:t>
        </w:r>
        <w:r w:rsidR="004138C2">
          <w:rPr>
            <w:noProof/>
            <w:webHidden/>
          </w:rPr>
          <w:fldChar w:fldCharType="end"/>
        </w:r>
      </w:hyperlink>
    </w:p>
    <w:p w14:paraId="31F79EE2" w14:textId="473E358E"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45" w:history="1">
        <w:r w:rsidR="004138C2" w:rsidRPr="00732F37">
          <w:rPr>
            <w:rStyle w:val="Hyperlink"/>
            <w:noProof/>
          </w:rPr>
          <w:t>1.4</w:t>
        </w:r>
        <w:r w:rsidR="004138C2">
          <w:rPr>
            <w:rFonts w:asciiTheme="minorHAnsi" w:eastAsiaTheme="minorEastAsia" w:hAnsiTheme="minorHAnsi" w:cstheme="minorBidi"/>
            <w:bCs w:val="0"/>
            <w:noProof/>
            <w:szCs w:val="22"/>
            <w:lang w:eastAsia="en-AU"/>
          </w:rPr>
          <w:tab/>
        </w:r>
        <w:r w:rsidR="004138C2" w:rsidRPr="00732F37">
          <w:rPr>
            <w:rStyle w:val="Hyperlink"/>
            <w:noProof/>
          </w:rPr>
          <w:t>Application</w:t>
        </w:r>
        <w:r w:rsidR="004138C2">
          <w:rPr>
            <w:noProof/>
            <w:webHidden/>
          </w:rPr>
          <w:tab/>
        </w:r>
        <w:r w:rsidR="004138C2">
          <w:rPr>
            <w:noProof/>
            <w:webHidden/>
          </w:rPr>
          <w:fldChar w:fldCharType="begin"/>
        </w:r>
        <w:r w:rsidR="004138C2">
          <w:rPr>
            <w:noProof/>
            <w:webHidden/>
          </w:rPr>
          <w:instrText xml:space="preserve"> PAGEREF _Toc132743745 \h </w:instrText>
        </w:r>
        <w:r w:rsidR="004138C2">
          <w:rPr>
            <w:noProof/>
            <w:webHidden/>
          </w:rPr>
        </w:r>
        <w:r w:rsidR="004138C2">
          <w:rPr>
            <w:noProof/>
            <w:webHidden/>
          </w:rPr>
          <w:fldChar w:fldCharType="separate"/>
        </w:r>
        <w:r w:rsidR="00DD1D32">
          <w:rPr>
            <w:noProof/>
            <w:webHidden/>
          </w:rPr>
          <w:t>8</w:t>
        </w:r>
        <w:r w:rsidR="004138C2">
          <w:rPr>
            <w:noProof/>
            <w:webHidden/>
          </w:rPr>
          <w:fldChar w:fldCharType="end"/>
        </w:r>
      </w:hyperlink>
    </w:p>
    <w:p w14:paraId="0397188D" w14:textId="281F01D8"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46" w:history="1">
        <w:r w:rsidR="004138C2" w:rsidRPr="00732F37">
          <w:rPr>
            <w:rStyle w:val="Hyperlink"/>
            <w:noProof/>
          </w:rPr>
          <w:t>1.5</w:t>
        </w:r>
        <w:r w:rsidR="004138C2">
          <w:rPr>
            <w:rFonts w:asciiTheme="minorHAnsi" w:eastAsiaTheme="minorEastAsia" w:hAnsiTheme="minorHAnsi" w:cstheme="minorBidi"/>
            <w:bCs w:val="0"/>
            <w:noProof/>
            <w:szCs w:val="22"/>
            <w:lang w:eastAsia="en-AU"/>
          </w:rPr>
          <w:tab/>
        </w:r>
        <w:r w:rsidR="004138C2" w:rsidRPr="00732F37">
          <w:rPr>
            <w:rStyle w:val="Hyperlink"/>
            <w:noProof/>
          </w:rPr>
          <w:t>Accounting Standards and Guidance Releases</w:t>
        </w:r>
        <w:r w:rsidR="004138C2">
          <w:rPr>
            <w:noProof/>
            <w:webHidden/>
          </w:rPr>
          <w:tab/>
        </w:r>
        <w:r w:rsidR="004138C2">
          <w:rPr>
            <w:noProof/>
            <w:webHidden/>
          </w:rPr>
          <w:fldChar w:fldCharType="begin"/>
        </w:r>
        <w:r w:rsidR="004138C2">
          <w:rPr>
            <w:noProof/>
            <w:webHidden/>
          </w:rPr>
          <w:instrText xml:space="preserve"> PAGEREF _Toc132743746 \h </w:instrText>
        </w:r>
        <w:r w:rsidR="004138C2">
          <w:rPr>
            <w:noProof/>
            <w:webHidden/>
          </w:rPr>
        </w:r>
        <w:r w:rsidR="004138C2">
          <w:rPr>
            <w:noProof/>
            <w:webHidden/>
          </w:rPr>
          <w:fldChar w:fldCharType="separate"/>
        </w:r>
        <w:r w:rsidR="00DD1D32">
          <w:rPr>
            <w:noProof/>
            <w:webHidden/>
          </w:rPr>
          <w:t>8</w:t>
        </w:r>
        <w:r w:rsidR="004138C2">
          <w:rPr>
            <w:noProof/>
            <w:webHidden/>
          </w:rPr>
          <w:fldChar w:fldCharType="end"/>
        </w:r>
      </w:hyperlink>
    </w:p>
    <w:p w14:paraId="56958188" w14:textId="79541F95"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47" w:history="1">
        <w:r w:rsidR="004138C2" w:rsidRPr="00732F37">
          <w:rPr>
            <w:rStyle w:val="Hyperlink"/>
            <w:noProof/>
          </w:rPr>
          <w:t>1.6</w:t>
        </w:r>
        <w:r w:rsidR="004138C2">
          <w:rPr>
            <w:rFonts w:asciiTheme="minorHAnsi" w:eastAsiaTheme="minorEastAsia" w:hAnsiTheme="minorHAnsi" w:cstheme="minorBidi"/>
            <w:bCs w:val="0"/>
            <w:noProof/>
            <w:szCs w:val="22"/>
            <w:lang w:eastAsia="en-AU"/>
          </w:rPr>
          <w:tab/>
        </w:r>
        <w:r w:rsidR="004138C2" w:rsidRPr="00732F37">
          <w:rPr>
            <w:rStyle w:val="Hyperlink"/>
            <w:noProof/>
          </w:rPr>
          <w:t>Adapting the Model to Individual Agency Requirements</w:t>
        </w:r>
        <w:r w:rsidR="004138C2">
          <w:rPr>
            <w:noProof/>
            <w:webHidden/>
          </w:rPr>
          <w:tab/>
        </w:r>
        <w:r w:rsidR="004138C2">
          <w:rPr>
            <w:noProof/>
            <w:webHidden/>
          </w:rPr>
          <w:fldChar w:fldCharType="begin"/>
        </w:r>
        <w:r w:rsidR="004138C2">
          <w:rPr>
            <w:noProof/>
            <w:webHidden/>
          </w:rPr>
          <w:instrText xml:space="preserve"> PAGEREF _Toc132743747 \h </w:instrText>
        </w:r>
        <w:r w:rsidR="004138C2">
          <w:rPr>
            <w:noProof/>
            <w:webHidden/>
          </w:rPr>
        </w:r>
        <w:r w:rsidR="004138C2">
          <w:rPr>
            <w:noProof/>
            <w:webHidden/>
          </w:rPr>
          <w:fldChar w:fldCharType="separate"/>
        </w:r>
        <w:r w:rsidR="00DD1D32">
          <w:rPr>
            <w:noProof/>
            <w:webHidden/>
          </w:rPr>
          <w:t>9</w:t>
        </w:r>
        <w:r w:rsidR="004138C2">
          <w:rPr>
            <w:noProof/>
            <w:webHidden/>
          </w:rPr>
          <w:fldChar w:fldCharType="end"/>
        </w:r>
      </w:hyperlink>
    </w:p>
    <w:p w14:paraId="409733F8" w14:textId="62C5E1FE"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48" w:history="1">
        <w:r w:rsidR="004138C2" w:rsidRPr="00732F37">
          <w:rPr>
            <w:rStyle w:val="Hyperlink"/>
            <w:noProof/>
            <w14:scene3d>
              <w14:camera w14:prst="orthographicFront"/>
              <w14:lightRig w14:rig="threePt" w14:dir="t">
                <w14:rot w14:lat="0" w14:lon="0" w14:rev="0"/>
              </w14:lightRig>
            </w14:scene3d>
          </w:rPr>
          <w:t>1.6.1</w:t>
        </w:r>
        <w:r w:rsidR="004138C2">
          <w:rPr>
            <w:rFonts w:asciiTheme="minorHAnsi" w:eastAsiaTheme="minorEastAsia" w:hAnsiTheme="minorHAnsi" w:cstheme="minorBidi"/>
            <w:noProof/>
            <w:szCs w:val="22"/>
            <w:lang w:eastAsia="en-AU"/>
          </w:rPr>
          <w:tab/>
        </w:r>
        <w:r w:rsidR="004138C2" w:rsidRPr="00732F37">
          <w:rPr>
            <w:rStyle w:val="Hyperlink"/>
            <w:noProof/>
          </w:rPr>
          <w:t>Decluttering Financial Statements</w:t>
        </w:r>
        <w:r w:rsidR="004138C2">
          <w:rPr>
            <w:noProof/>
            <w:webHidden/>
          </w:rPr>
          <w:tab/>
        </w:r>
        <w:r w:rsidR="004138C2">
          <w:rPr>
            <w:noProof/>
            <w:webHidden/>
          </w:rPr>
          <w:fldChar w:fldCharType="begin"/>
        </w:r>
        <w:r w:rsidR="004138C2">
          <w:rPr>
            <w:noProof/>
            <w:webHidden/>
          </w:rPr>
          <w:instrText xml:space="preserve"> PAGEREF _Toc132743748 \h </w:instrText>
        </w:r>
        <w:r w:rsidR="004138C2">
          <w:rPr>
            <w:noProof/>
            <w:webHidden/>
          </w:rPr>
        </w:r>
        <w:r w:rsidR="004138C2">
          <w:rPr>
            <w:noProof/>
            <w:webHidden/>
          </w:rPr>
          <w:fldChar w:fldCharType="separate"/>
        </w:r>
        <w:r w:rsidR="00DD1D32">
          <w:rPr>
            <w:noProof/>
            <w:webHidden/>
          </w:rPr>
          <w:t>9</w:t>
        </w:r>
        <w:r w:rsidR="004138C2">
          <w:rPr>
            <w:noProof/>
            <w:webHidden/>
          </w:rPr>
          <w:fldChar w:fldCharType="end"/>
        </w:r>
      </w:hyperlink>
    </w:p>
    <w:p w14:paraId="03B18AB6" w14:textId="12183290"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49" w:history="1">
        <w:r w:rsidR="004138C2" w:rsidRPr="00732F37">
          <w:rPr>
            <w:rStyle w:val="Hyperlink"/>
            <w:noProof/>
            <w14:scene3d>
              <w14:camera w14:prst="orthographicFront"/>
              <w14:lightRig w14:rig="threePt" w14:dir="t">
                <w14:rot w14:lat="0" w14:lon="0" w14:rev="0"/>
              </w14:lightRig>
            </w14:scene3d>
          </w:rPr>
          <w:t>1.6.2</w:t>
        </w:r>
        <w:r w:rsidR="004138C2">
          <w:rPr>
            <w:rFonts w:asciiTheme="minorHAnsi" w:eastAsiaTheme="minorEastAsia" w:hAnsiTheme="minorHAnsi" w:cstheme="minorBidi"/>
            <w:noProof/>
            <w:szCs w:val="22"/>
            <w:lang w:eastAsia="en-AU"/>
          </w:rPr>
          <w:tab/>
        </w:r>
        <w:r w:rsidR="004138C2" w:rsidRPr="00732F37">
          <w:rPr>
            <w:rStyle w:val="Hyperlink"/>
            <w:rFonts w:cs="Calibri"/>
            <w:noProof/>
          </w:rPr>
          <w:t>Presentation</w:t>
        </w:r>
        <w:r w:rsidR="004138C2">
          <w:rPr>
            <w:noProof/>
            <w:webHidden/>
          </w:rPr>
          <w:tab/>
        </w:r>
        <w:r w:rsidR="004138C2">
          <w:rPr>
            <w:noProof/>
            <w:webHidden/>
          </w:rPr>
          <w:fldChar w:fldCharType="begin"/>
        </w:r>
        <w:r w:rsidR="004138C2">
          <w:rPr>
            <w:noProof/>
            <w:webHidden/>
          </w:rPr>
          <w:instrText xml:space="preserve"> PAGEREF _Toc132743749 \h </w:instrText>
        </w:r>
        <w:r w:rsidR="004138C2">
          <w:rPr>
            <w:noProof/>
            <w:webHidden/>
          </w:rPr>
        </w:r>
        <w:r w:rsidR="004138C2">
          <w:rPr>
            <w:noProof/>
            <w:webHidden/>
          </w:rPr>
          <w:fldChar w:fldCharType="separate"/>
        </w:r>
        <w:r w:rsidR="00DD1D32">
          <w:rPr>
            <w:noProof/>
            <w:webHidden/>
          </w:rPr>
          <w:t>9</w:t>
        </w:r>
        <w:r w:rsidR="004138C2">
          <w:rPr>
            <w:noProof/>
            <w:webHidden/>
          </w:rPr>
          <w:fldChar w:fldCharType="end"/>
        </w:r>
      </w:hyperlink>
    </w:p>
    <w:p w14:paraId="4D2324E2" w14:textId="77867BF6"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50" w:history="1">
        <w:r w:rsidR="004138C2" w:rsidRPr="00732F37">
          <w:rPr>
            <w:rStyle w:val="Hyperlink"/>
            <w:noProof/>
            <w14:scene3d>
              <w14:camera w14:prst="orthographicFront"/>
              <w14:lightRig w14:rig="threePt" w14:dir="t">
                <w14:rot w14:lat="0" w14:lon="0" w14:rev="0"/>
              </w14:lightRig>
            </w14:scene3d>
          </w:rPr>
          <w:t>1.6.3</w:t>
        </w:r>
        <w:r w:rsidR="004138C2">
          <w:rPr>
            <w:rFonts w:asciiTheme="minorHAnsi" w:eastAsiaTheme="minorEastAsia" w:hAnsiTheme="minorHAnsi" w:cstheme="minorBidi"/>
            <w:noProof/>
            <w:szCs w:val="22"/>
            <w:lang w:eastAsia="en-AU"/>
          </w:rPr>
          <w:tab/>
        </w:r>
        <w:r w:rsidR="004138C2" w:rsidRPr="00732F37">
          <w:rPr>
            <w:rStyle w:val="Hyperlink"/>
            <w:rFonts w:cs="Calibri"/>
            <w:noProof/>
          </w:rPr>
          <w:t>Note Disclosures</w:t>
        </w:r>
        <w:r w:rsidR="004138C2">
          <w:rPr>
            <w:noProof/>
            <w:webHidden/>
          </w:rPr>
          <w:tab/>
        </w:r>
        <w:r w:rsidR="004138C2">
          <w:rPr>
            <w:noProof/>
            <w:webHidden/>
          </w:rPr>
          <w:fldChar w:fldCharType="begin"/>
        </w:r>
        <w:r w:rsidR="004138C2">
          <w:rPr>
            <w:noProof/>
            <w:webHidden/>
          </w:rPr>
          <w:instrText xml:space="preserve"> PAGEREF _Toc132743750 \h </w:instrText>
        </w:r>
        <w:r w:rsidR="004138C2">
          <w:rPr>
            <w:noProof/>
            <w:webHidden/>
          </w:rPr>
        </w:r>
        <w:r w:rsidR="004138C2">
          <w:rPr>
            <w:noProof/>
            <w:webHidden/>
          </w:rPr>
          <w:fldChar w:fldCharType="separate"/>
        </w:r>
        <w:r w:rsidR="00DD1D32">
          <w:rPr>
            <w:noProof/>
            <w:webHidden/>
          </w:rPr>
          <w:t>9</w:t>
        </w:r>
        <w:r w:rsidR="004138C2">
          <w:rPr>
            <w:noProof/>
            <w:webHidden/>
          </w:rPr>
          <w:fldChar w:fldCharType="end"/>
        </w:r>
      </w:hyperlink>
    </w:p>
    <w:p w14:paraId="584AD7DA" w14:textId="596DFBD4"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51" w:history="1">
        <w:r w:rsidR="004138C2" w:rsidRPr="00732F37">
          <w:rPr>
            <w:rStyle w:val="Hyperlink"/>
            <w:noProof/>
            <w14:scene3d>
              <w14:camera w14:prst="orthographicFront"/>
              <w14:lightRig w14:rig="threePt" w14:dir="t">
                <w14:rot w14:lat="0" w14:lon="0" w14:rev="0"/>
              </w14:lightRig>
            </w14:scene3d>
          </w:rPr>
          <w:t>1.6.4</w:t>
        </w:r>
        <w:r w:rsidR="004138C2">
          <w:rPr>
            <w:rFonts w:asciiTheme="minorHAnsi" w:eastAsiaTheme="minorEastAsia" w:hAnsiTheme="minorHAnsi" w:cstheme="minorBidi"/>
            <w:noProof/>
            <w:szCs w:val="22"/>
            <w:lang w:eastAsia="en-AU"/>
          </w:rPr>
          <w:tab/>
        </w:r>
        <w:r w:rsidR="004138C2" w:rsidRPr="00732F37">
          <w:rPr>
            <w:rStyle w:val="Hyperlink"/>
            <w:rFonts w:cs="Calibri"/>
            <w:noProof/>
          </w:rPr>
          <w:t>Comparative Figures for New Agencies</w:t>
        </w:r>
        <w:r w:rsidR="004138C2">
          <w:rPr>
            <w:noProof/>
            <w:webHidden/>
          </w:rPr>
          <w:tab/>
        </w:r>
        <w:r w:rsidR="004138C2">
          <w:rPr>
            <w:noProof/>
            <w:webHidden/>
          </w:rPr>
          <w:fldChar w:fldCharType="begin"/>
        </w:r>
        <w:r w:rsidR="004138C2">
          <w:rPr>
            <w:noProof/>
            <w:webHidden/>
          </w:rPr>
          <w:instrText xml:space="preserve"> PAGEREF _Toc132743751 \h </w:instrText>
        </w:r>
        <w:r w:rsidR="004138C2">
          <w:rPr>
            <w:noProof/>
            <w:webHidden/>
          </w:rPr>
        </w:r>
        <w:r w:rsidR="004138C2">
          <w:rPr>
            <w:noProof/>
            <w:webHidden/>
          </w:rPr>
          <w:fldChar w:fldCharType="separate"/>
        </w:r>
        <w:r w:rsidR="00DD1D32">
          <w:rPr>
            <w:noProof/>
            <w:webHidden/>
          </w:rPr>
          <w:t>9</w:t>
        </w:r>
        <w:r w:rsidR="004138C2">
          <w:rPr>
            <w:noProof/>
            <w:webHidden/>
          </w:rPr>
          <w:fldChar w:fldCharType="end"/>
        </w:r>
      </w:hyperlink>
    </w:p>
    <w:p w14:paraId="4A47B9A9" w14:textId="189F7796"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52" w:history="1">
        <w:r w:rsidR="004138C2" w:rsidRPr="00732F37">
          <w:rPr>
            <w:rStyle w:val="Hyperlink"/>
            <w:rFonts w:cs="Calibri"/>
            <w:noProof/>
          </w:rPr>
          <w:t>1.7</w:t>
        </w:r>
        <w:r w:rsidR="004138C2">
          <w:rPr>
            <w:rFonts w:asciiTheme="minorHAnsi" w:eastAsiaTheme="minorEastAsia" w:hAnsiTheme="minorHAnsi" w:cstheme="minorBidi"/>
            <w:bCs w:val="0"/>
            <w:noProof/>
            <w:szCs w:val="22"/>
            <w:lang w:eastAsia="en-AU"/>
          </w:rPr>
          <w:tab/>
        </w:r>
        <w:r w:rsidR="004138C2" w:rsidRPr="00732F37">
          <w:rPr>
            <w:rStyle w:val="Hyperlink"/>
            <w:rFonts w:cs="Calibri"/>
            <w:noProof/>
          </w:rPr>
          <w:t>Consolidation</w:t>
        </w:r>
        <w:r w:rsidR="004138C2">
          <w:rPr>
            <w:noProof/>
            <w:webHidden/>
          </w:rPr>
          <w:tab/>
        </w:r>
        <w:r w:rsidR="004138C2">
          <w:rPr>
            <w:noProof/>
            <w:webHidden/>
          </w:rPr>
          <w:fldChar w:fldCharType="begin"/>
        </w:r>
        <w:r w:rsidR="004138C2">
          <w:rPr>
            <w:noProof/>
            <w:webHidden/>
          </w:rPr>
          <w:instrText xml:space="preserve"> PAGEREF _Toc132743752 \h </w:instrText>
        </w:r>
        <w:r w:rsidR="004138C2">
          <w:rPr>
            <w:noProof/>
            <w:webHidden/>
          </w:rPr>
        </w:r>
        <w:r w:rsidR="004138C2">
          <w:rPr>
            <w:noProof/>
            <w:webHidden/>
          </w:rPr>
          <w:fldChar w:fldCharType="separate"/>
        </w:r>
        <w:r w:rsidR="00DD1D32">
          <w:rPr>
            <w:noProof/>
            <w:webHidden/>
          </w:rPr>
          <w:t>10</w:t>
        </w:r>
        <w:r w:rsidR="004138C2">
          <w:rPr>
            <w:noProof/>
            <w:webHidden/>
          </w:rPr>
          <w:fldChar w:fldCharType="end"/>
        </w:r>
      </w:hyperlink>
    </w:p>
    <w:p w14:paraId="3CAA5EB6" w14:textId="392E17BC"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53" w:history="1">
        <w:r w:rsidR="004138C2" w:rsidRPr="00732F37">
          <w:rPr>
            <w:rStyle w:val="Hyperlink"/>
            <w:rFonts w:cs="Calibri"/>
            <w:noProof/>
          </w:rPr>
          <w:t>1.8</w:t>
        </w:r>
        <w:r w:rsidR="004138C2">
          <w:rPr>
            <w:rFonts w:asciiTheme="minorHAnsi" w:eastAsiaTheme="minorEastAsia" w:hAnsiTheme="minorHAnsi" w:cstheme="minorBidi"/>
            <w:bCs w:val="0"/>
            <w:noProof/>
            <w:szCs w:val="22"/>
            <w:lang w:eastAsia="en-AU"/>
          </w:rPr>
          <w:tab/>
        </w:r>
        <w:r w:rsidR="004138C2" w:rsidRPr="00732F37">
          <w:rPr>
            <w:rStyle w:val="Hyperlink"/>
            <w:rFonts w:cs="Calibri"/>
            <w:noProof/>
          </w:rPr>
          <w:t>Certification</w:t>
        </w:r>
        <w:r w:rsidR="004138C2">
          <w:rPr>
            <w:noProof/>
            <w:webHidden/>
          </w:rPr>
          <w:tab/>
        </w:r>
        <w:r w:rsidR="004138C2">
          <w:rPr>
            <w:noProof/>
            <w:webHidden/>
          </w:rPr>
          <w:fldChar w:fldCharType="begin"/>
        </w:r>
        <w:r w:rsidR="004138C2">
          <w:rPr>
            <w:noProof/>
            <w:webHidden/>
          </w:rPr>
          <w:instrText xml:space="preserve"> PAGEREF _Toc132743753 \h </w:instrText>
        </w:r>
        <w:r w:rsidR="004138C2">
          <w:rPr>
            <w:noProof/>
            <w:webHidden/>
          </w:rPr>
        </w:r>
        <w:r w:rsidR="004138C2">
          <w:rPr>
            <w:noProof/>
            <w:webHidden/>
          </w:rPr>
          <w:fldChar w:fldCharType="separate"/>
        </w:r>
        <w:r w:rsidR="00DD1D32">
          <w:rPr>
            <w:noProof/>
            <w:webHidden/>
          </w:rPr>
          <w:t>10</w:t>
        </w:r>
        <w:r w:rsidR="004138C2">
          <w:rPr>
            <w:noProof/>
            <w:webHidden/>
          </w:rPr>
          <w:fldChar w:fldCharType="end"/>
        </w:r>
      </w:hyperlink>
    </w:p>
    <w:p w14:paraId="6F004F8B" w14:textId="234CB403" w:rsidR="004138C2" w:rsidRDefault="00B46A21">
      <w:pPr>
        <w:pStyle w:val="TOC3"/>
        <w:tabs>
          <w:tab w:val="left" w:pos="1854"/>
          <w:tab w:val="right" w:leader="dot" w:pos="9629"/>
        </w:tabs>
        <w:rPr>
          <w:rFonts w:asciiTheme="minorHAnsi" w:eastAsiaTheme="minorEastAsia" w:hAnsiTheme="minorHAnsi" w:cstheme="minorBidi"/>
          <w:noProof/>
          <w:szCs w:val="22"/>
          <w:lang w:eastAsia="en-AU"/>
        </w:rPr>
      </w:pPr>
      <w:hyperlink w:anchor="_Toc132743754" w:history="1">
        <w:r w:rsidR="004138C2" w:rsidRPr="00732F37">
          <w:rPr>
            <w:rStyle w:val="Hyperlink"/>
            <w:noProof/>
            <w14:scene3d>
              <w14:camera w14:prst="orthographicFront"/>
              <w14:lightRig w14:rig="threePt" w14:dir="t">
                <w14:rot w14:lat="0" w14:lon="0" w14:rev="0"/>
              </w14:lightRig>
            </w14:scene3d>
          </w:rPr>
          <w:t>1.8.1</w:t>
        </w:r>
        <w:r w:rsidR="004138C2">
          <w:rPr>
            <w:rFonts w:asciiTheme="minorHAnsi" w:eastAsiaTheme="minorEastAsia" w:hAnsiTheme="minorHAnsi" w:cstheme="minorBidi"/>
            <w:noProof/>
            <w:szCs w:val="22"/>
            <w:lang w:eastAsia="en-AU"/>
          </w:rPr>
          <w:tab/>
        </w:r>
        <w:r w:rsidR="004138C2" w:rsidRPr="00732F37">
          <w:rPr>
            <w:rStyle w:val="Hyperlink"/>
            <w:rFonts w:cs="Calibri"/>
            <w:noProof/>
          </w:rPr>
          <w:t>Independent Auditor’s Report</w:t>
        </w:r>
        <w:r w:rsidR="004138C2">
          <w:rPr>
            <w:noProof/>
            <w:webHidden/>
          </w:rPr>
          <w:tab/>
        </w:r>
        <w:r w:rsidR="004138C2">
          <w:rPr>
            <w:noProof/>
            <w:webHidden/>
          </w:rPr>
          <w:fldChar w:fldCharType="begin"/>
        </w:r>
        <w:r w:rsidR="004138C2">
          <w:rPr>
            <w:noProof/>
            <w:webHidden/>
          </w:rPr>
          <w:instrText xml:space="preserve"> PAGEREF _Toc132743754 \h </w:instrText>
        </w:r>
        <w:r w:rsidR="004138C2">
          <w:rPr>
            <w:noProof/>
            <w:webHidden/>
          </w:rPr>
        </w:r>
        <w:r w:rsidR="004138C2">
          <w:rPr>
            <w:noProof/>
            <w:webHidden/>
          </w:rPr>
          <w:fldChar w:fldCharType="separate"/>
        </w:r>
        <w:r w:rsidR="00DD1D32">
          <w:rPr>
            <w:noProof/>
            <w:webHidden/>
          </w:rPr>
          <w:t>10</w:t>
        </w:r>
        <w:r w:rsidR="004138C2">
          <w:rPr>
            <w:noProof/>
            <w:webHidden/>
          </w:rPr>
          <w:fldChar w:fldCharType="end"/>
        </w:r>
      </w:hyperlink>
    </w:p>
    <w:p w14:paraId="79F8891E" w14:textId="60DC4AF4" w:rsidR="004138C2" w:rsidRDefault="00B46A21">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132743755" w:history="1">
        <w:r w:rsidR="004138C2" w:rsidRPr="00732F37">
          <w:rPr>
            <w:rStyle w:val="Hyperlink"/>
            <w:noProof/>
          </w:rPr>
          <w:t>1.9</w:t>
        </w:r>
        <w:r w:rsidR="004138C2">
          <w:rPr>
            <w:rFonts w:asciiTheme="minorHAnsi" w:eastAsiaTheme="minorEastAsia" w:hAnsiTheme="minorHAnsi" w:cstheme="minorBidi"/>
            <w:bCs w:val="0"/>
            <w:noProof/>
            <w:szCs w:val="22"/>
            <w:lang w:eastAsia="en-AU"/>
          </w:rPr>
          <w:tab/>
        </w:r>
        <w:r w:rsidR="004138C2" w:rsidRPr="00732F37">
          <w:rPr>
            <w:rStyle w:val="Hyperlink"/>
            <w:noProof/>
          </w:rPr>
          <w:t>Submission Date for Financial Statements</w:t>
        </w:r>
        <w:r w:rsidR="004138C2">
          <w:rPr>
            <w:noProof/>
            <w:webHidden/>
          </w:rPr>
          <w:tab/>
        </w:r>
        <w:r w:rsidR="004138C2">
          <w:rPr>
            <w:noProof/>
            <w:webHidden/>
          </w:rPr>
          <w:fldChar w:fldCharType="begin"/>
        </w:r>
        <w:r w:rsidR="004138C2">
          <w:rPr>
            <w:noProof/>
            <w:webHidden/>
          </w:rPr>
          <w:instrText xml:space="preserve"> PAGEREF _Toc132743755 \h </w:instrText>
        </w:r>
        <w:r w:rsidR="004138C2">
          <w:rPr>
            <w:noProof/>
            <w:webHidden/>
          </w:rPr>
        </w:r>
        <w:r w:rsidR="004138C2">
          <w:rPr>
            <w:noProof/>
            <w:webHidden/>
          </w:rPr>
          <w:fldChar w:fldCharType="separate"/>
        </w:r>
        <w:r w:rsidR="00DD1D32">
          <w:rPr>
            <w:noProof/>
            <w:webHidden/>
          </w:rPr>
          <w:t>10</w:t>
        </w:r>
        <w:r w:rsidR="004138C2">
          <w:rPr>
            <w:noProof/>
            <w:webHidden/>
          </w:rPr>
          <w:fldChar w:fldCharType="end"/>
        </w:r>
      </w:hyperlink>
    </w:p>
    <w:p w14:paraId="4EB14D64" w14:textId="5BF28DB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56" w:history="1">
        <w:r w:rsidR="004138C2" w:rsidRPr="00732F37">
          <w:rPr>
            <w:rStyle w:val="Hyperlink"/>
            <w:rFonts w:cstheme="minorHAnsi"/>
            <w:noProof/>
          </w:rPr>
          <w:t>ACT MODEL FINANCIAL STATEMENTS</w:t>
        </w:r>
        <w:r w:rsidR="004138C2">
          <w:rPr>
            <w:noProof/>
            <w:webHidden/>
          </w:rPr>
          <w:tab/>
        </w:r>
        <w:r w:rsidR="004138C2">
          <w:rPr>
            <w:noProof/>
            <w:webHidden/>
          </w:rPr>
          <w:fldChar w:fldCharType="begin"/>
        </w:r>
        <w:r w:rsidR="004138C2">
          <w:rPr>
            <w:noProof/>
            <w:webHidden/>
          </w:rPr>
          <w:instrText xml:space="preserve"> PAGEREF _Toc132743756 \h </w:instrText>
        </w:r>
        <w:r w:rsidR="004138C2">
          <w:rPr>
            <w:noProof/>
            <w:webHidden/>
          </w:rPr>
        </w:r>
        <w:r w:rsidR="004138C2">
          <w:rPr>
            <w:noProof/>
            <w:webHidden/>
          </w:rPr>
          <w:fldChar w:fldCharType="separate"/>
        </w:r>
        <w:r w:rsidR="00DD1D32">
          <w:rPr>
            <w:noProof/>
            <w:webHidden/>
          </w:rPr>
          <w:t>11</w:t>
        </w:r>
        <w:r w:rsidR="004138C2">
          <w:rPr>
            <w:noProof/>
            <w:webHidden/>
          </w:rPr>
          <w:fldChar w:fldCharType="end"/>
        </w:r>
      </w:hyperlink>
    </w:p>
    <w:p w14:paraId="02F2DB29" w14:textId="35BA2A9C"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57" w:history="1">
        <w:r w:rsidR="004138C2" w:rsidRPr="00732F37">
          <w:rPr>
            <w:rStyle w:val="Hyperlink"/>
            <w:noProof/>
          </w:rPr>
          <w:t>Independent Auditor’s Report</w:t>
        </w:r>
        <w:r w:rsidR="004138C2">
          <w:rPr>
            <w:noProof/>
            <w:webHidden/>
          </w:rPr>
          <w:tab/>
        </w:r>
        <w:r w:rsidR="004138C2">
          <w:rPr>
            <w:noProof/>
            <w:webHidden/>
          </w:rPr>
          <w:fldChar w:fldCharType="begin"/>
        </w:r>
        <w:r w:rsidR="004138C2">
          <w:rPr>
            <w:noProof/>
            <w:webHidden/>
          </w:rPr>
          <w:instrText xml:space="preserve"> PAGEREF _Toc132743757 \h </w:instrText>
        </w:r>
        <w:r w:rsidR="004138C2">
          <w:rPr>
            <w:noProof/>
            <w:webHidden/>
          </w:rPr>
        </w:r>
        <w:r w:rsidR="004138C2">
          <w:rPr>
            <w:noProof/>
            <w:webHidden/>
          </w:rPr>
          <w:fldChar w:fldCharType="separate"/>
        </w:r>
        <w:r w:rsidR="00DD1D32">
          <w:rPr>
            <w:noProof/>
            <w:webHidden/>
          </w:rPr>
          <w:t>12</w:t>
        </w:r>
        <w:r w:rsidR="004138C2">
          <w:rPr>
            <w:noProof/>
            <w:webHidden/>
          </w:rPr>
          <w:fldChar w:fldCharType="end"/>
        </w:r>
      </w:hyperlink>
    </w:p>
    <w:p w14:paraId="39CE619A" w14:textId="5E4A2215"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58" w:history="1">
        <w:r w:rsidR="004138C2" w:rsidRPr="00732F37">
          <w:rPr>
            <w:rStyle w:val="Hyperlink"/>
            <w:noProof/>
          </w:rPr>
          <w:t>Statement of Responsibility</w:t>
        </w:r>
        <w:r w:rsidR="004138C2">
          <w:rPr>
            <w:noProof/>
            <w:webHidden/>
          </w:rPr>
          <w:tab/>
        </w:r>
        <w:r w:rsidR="004138C2">
          <w:rPr>
            <w:noProof/>
            <w:webHidden/>
          </w:rPr>
          <w:fldChar w:fldCharType="begin"/>
        </w:r>
        <w:r w:rsidR="004138C2">
          <w:rPr>
            <w:noProof/>
            <w:webHidden/>
          </w:rPr>
          <w:instrText xml:space="preserve"> PAGEREF _Toc132743758 \h </w:instrText>
        </w:r>
        <w:r w:rsidR="004138C2">
          <w:rPr>
            <w:noProof/>
            <w:webHidden/>
          </w:rPr>
        </w:r>
        <w:r w:rsidR="004138C2">
          <w:rPr>
            <w:noProof/>
            <w:webHidden/>
          </w:rPr>
          <w:fldChar w:fldCharType="separate"/>
        </w:r>
        <w:r w:rsidR="00DD1D32">
          <w:rPr>
            <w:noProof/>
            <w:webHidden/>
          </w:rPr>
          <w:t>13</w:t>
        </w:r>
        <w:r w:rsidR="004138C2">
          <w:rPr>
            <w:noProof/>
            <w:webHidden/>
          </w:rPr>
          <w:fldChar w:fldCharType="end"/>
        </w:r>
      </w:hyperlink>
    </w:p>
    <w:p w14:paraId="3D832325" w14:textId="0B8C929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59" w:history="1">
        <w:r w:rsidR="004138C2" w:rsidRPr="00732F37">
          <w:rPr>
            <w:rStyle w:val="Hyperlink"/>
            <w:noProof/>
          </w:rPr>
          <w:t>Statement by the Chief Finance Officer</w:t>
        </w:r>
        <w:r w:rsidR="004138C2">
          <w:rPr>
            <w:noProof/>
            <w:webHidden/>
          </w:rPr>
          <w:tab/>
        </w:r>
        <w:r w:rsidR="004138C2">
          <w:rPr>
            <w:noProof/>
            <w:webHidden/>
          </w:rPr>
          <w:fldChar w:fldCharType="begin"/>
        </w:r>
        <w:r w:rsidR="004138C2">
          <w:rPr>
            <w:noProof/>
            <w:webHidden/>
          </w:rPr>
          <w:instrText xml:space="preserve"> PAGEREF _Toc132743759 \h </w:instrText>
        </w:r>
        <w:r w:rsidR="004138C2">
          <w:rPr>
            <w:noProof/>
            <w:webHidden/>
          </w:rPr>
        </w:r>
        <w:r w:rsidR="004138C2">
          <w:rPr>
            <w:noProof/>
            <w:webHidden/>
          </w:rPr>
          <w:fldChar w:fldCharType="separate"/>
        </w:r>
        <w:r w:rsidR="00DD1D32">
          <w:rPr>
            <w:noProof/>
            <w:webHidden/>
          </w:rPr>
          <w:t>14</w:t>
        </w:r>
        <w:r w:rsidR="004138C2">
          <w:rPr>
            <w:noProof/>
            <w:webHidden/>
          </w:rPr>
          <w:fldChar w:fldCharType="end"/>
        </w:r>
      </w:hyperlink>
    </w:p>
    <w:p w14:paraId="6AE816E2" w14:textId="0F652406"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0" w:history="1">
        <w:r w:rsidR="004138C2" w:rsidRPr="00732F37">
          <w:rPr>
            <w:rStyle w:val="Hyperlink"/>
            <w:rFonts w:cstheme="minorHAnsi"/>
            <w:noProof/>
          </w:rPr>
          <w:t>CONTROLLED FINANCIAL STATEMENTS</w:t>
        </w:r>
        <w:r w:rsidR="004138C2">
          <w:rPr>
            <w:noProof/>
            <w:webHidden/>
          </w:rPr>
          <w:tab/>
        </w:r>
        <w:r w:rsidR="004138C2">
          <w:rPr>
            <w:noProof/>
            <w:webHidden/>
          </w:rPr>
          <w:fldChar w:fldCharType="begin"/>
        </w:r>
        <w:r w:rsidR="004138C2">
          <w:rPr>
            <w:noProof/>
            <w:webHidden/>
          </w:rPr>
          <w:instrText xml:space="preserve"> PAGEREF _Toc132743760 \h </w:instrText>
        </w:r>
        <w:r w:rsidR="004138C2">
          <w:rPr>
            <w:noProof/>
            <w:webHidden/>
          </w:rPr>
        </w:r>
        <w:r w:rsidR="004138C2">
          <w:rPr>
            <w:noProof/>
            <w:webHidden/>
          </w:rPr>
          <w:fldChar w:fldCharType="separate"/>
        </w:r>
        <w:r w:rsidR="00DD1D32">
          <w:rPr>
            <w:noProof/>
            <w:webHidden/>
          </w:rPr>
          <w:t>15</w:t>
        </w:r>
        <w:r w:rsidR="004138C2">
          <w:rPr>
            <w:noProof/>
            <w:webHidden/>
          </w:rPr>
          <w:fldChar w:fldCharType="end"/>
        </w:r>
      </w:hyperlink>
    </w:p>
    <w:p w14:paraId="64C2D123" w14:textId="52382B7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1" w:history="1">
        <w:r w:rsidR="004138C2" w:rsidRPr="00732F37">
          <w:rPr>
            <w:rStyle w:val="Hyperlink"/>
            <w:rFonts w:cstheme="minorHAnsi"/>
            <w:noProof/>
          </w:rPr>
          <w:t>Content of Controlled Financial Statements</w:t>
        </w:r>
        <w:r w:rsidR="004138C2">
          <w:rPr>
            <w:noProof/>
            <w:webHidden/>
          </w:rPr>
          <w:tab/>
        </w:r>
        <w:r w:rsidR="004138C2">
          <w:rPr>
            <w:noProof/>
            <w:webHidden/>
          </w:rPr>
          <w:fldChar w:fldCharType="begin"/>
        </w:r>
        <w:r w:rsidR="004138C2">
          <w:rPr>
            <w:noProof/>
            <w:webHidden/>
          </w:rPr>
          <w:instrText xml:space="preserve"> PAGEREF _Toc132743761 \h </w:instrText>
        </w:r>
        <w:r w:rsidR="004138C2">
          <w:rPr>
            <w:noProof/>
            <w:webHidden/>
          </w:rPr>
        </w:r>
        <w:r w:rsidR="004138C2">
          <w:rPr>
            <w:noProof/>
            <w:webHidden/>
          </w:rPr>
          <w:fldChar w:fldCharType="separate"/>
        </w:r>
        <w:r w:rsidR="00DD1D32">
          <w:rPr>
            <w:noProof/>
            <w:webHidden/>
          </w:rPr>
          <w:t>16</w:t>
        </w:r>
        <w:r w:rsidR="004138C2">
          <w:rPr>
            <w:noProof/>
            <w:webHidden/>
          </w:rPr>
          <w:fldChar w:fldCharType="end"/>
        </w:r>
      </w:hyperlink>
    </w:p>
    <w:p w14:paraId="20DE216E" w14:textId="394DE24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2" w:history="1">
        <w:r w:rsidR="004138C2" w:rsidRPr="00732F37">
          <w:rPr>
            <w:rStyle w:val="Hyperlink"/>
            <w:rFonts w:cstheme="minorHAnsi"/>
            <w:noProof/>
          </w:rPr>
          <w:t>Operating Statement</w:t>
        </w:r>
        <w:r w:rsidR="004138C2">
          <w:rPr>
            <w:noProof/>
            <w:webHidden/>
          </w:rPr>
          <w:tab/>
        </w:r>
        <w:r w:rsidR="004138C2">
          <w:rPr>
            <w:noProof/>
            <w:webHidden/>
          </w:rPr>
          <w:fldChar w:fldCharType="begin"/>
        </w:r>
        <w:r w:rsidR="004138C2">
          <w:rPr>
            <w:noProof/>
            <w:webHidden/>
          </w:rPr>
          <w:instrText xml:space="preserve"> PAGEREF _Toc132743762 \h </w:instrText>
        </w:r>
        <w:r w:rsidR="004138C2">
          <w:rPr>
            <w:noProof/>
            <w:webHidden/>
          </w:rPr>
        </w:r>
        <w:r w:rsidR="004138C2">
          <w:rPr>
            <w:noProof/>
            <w:webHidden/>
          </w:rPr>
          <w:fldChar w:fldCharType="separate"/>
        </w:r>
        <w:r w:rsidR="00DD1D32">
          <w:rPr>
            <w:noProof/>
            <w:webHidden/>
          </w:rPr>
          <w:t>18</w:t>
        </w:r>
        <w:r w:rsidR="004138C2">
          <w:rPr>
            <w:noProof/>
            <w:webHidden/>
          </w:rPr>
          <w:fldChar w:fldCharType="end"/>
        </w:r>
      </w:hyperlink>
    </w:p>
    <w:p w14:paraId="04B53A27" w14:textId="157F6C8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3" w:history="1">
        <w:r w:rsidR="004138C2" w:rsidRPr="00732F37">
          <w:rPr>
            <w:rStyle w:val="Hyperlink"/>
            <w:rFonts w:cstheme="minorHAnsi"/>
            <w:noProof/>
          </w:rPr>
          <w:t>Balance Sheet</w:t>
        </w:r>
        <w:r w:rsidR="004138C2">
          <w:rPr>
            <w:noProof/>
            <w:webHidden/>
          </w:rPr>
          <w:tab/>
        </w:r>
        <w:r w:rsidR="004138C2">
          <w:rPr>
            <w:noProof/>
            <w:webHidden/>
          </w:rPr>
          <w:fldChar w:fldCharType="begin"/>
        </w:r>
        <w:r w:rsidR="004138C2">
          <w:rPr>
            <w:noProof/>
            <w:webHidden/>
          </w:rPr>
          <w:instrText xml:space="preserve"> PAGEREF _Toc132743763 \h </w:instrText>
        </w:r>
        <w:r w:rsidR="004138C2">
          <w:rPr>
            <w:noProof/>
            <w:webHidden/>
          </w:rPr>
        </w:r>
        <w:r w:rsidR="004138C2">
          <w:rPr>
            <w:noProof/>
            <w:webHidden/>
          </w:rPr>
          <w:fldChar w:fldCharType="separate"/>
        </w:r>
        <w:r w:rsidR="00DD1D32">
          <w:rPr>
            <w:noProof/>
            <w:webHidden/>
          </w:rPr>
          <w:t>21</w:t>
        </w:r>
        <w:r w:rsidR="004138C2">
          <w:rPr>
            <w:noProof/>
            <w:webHidden/>
          </w:rPr>
          <w:fldChar w:fldCharType="end"/>
        </w:r>
      </w:hyperlink>
    </w:p>
    <w:p w14:paraId="37849EB2" w14:textId="0660E8C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4" w:history="1">
        <w:r w:rsidR="004138C2" w:rsidRPr="00732F37">
          <w:rPr>
            <w:rStyle w:val="Hyperlink"/>
            <w:rFonts w:cstheme="minorHAnsi"/>
            <w:noProof/>
          </w:rPr>
          <w:t>Statement of Changes in Equity</w:t>
        </w:r>
        <w:r w:rsidR="004138C2">
          <w:rPr>
            <w:noProof/>
            <w:webHidden/>
          </w:rPr>
          <w:tab/>
        </w:r>
        <w:r w:rsidR="004138C2">
          <w:rPr>
            <w:noProof/>
            <w:webHidden/>
          </w:rPr>
          <w:fldChar w:fldCharType="begin"/>
        </w:r>
        <w:r w:rsidR="004138C2">
          <w:rPr>
            <w:noProof/>
            <w:webHidden/>
          </w:rPr>
          <w:instrText xml:space="preserve"> PAGEREF _Toc132743764 \h </w:instrText>
        </w:r>
        <w:r w:rsidR="004138C2">
          <w:rPr>
            <w:noProof/>
            <w:webHidden/>
          </w:rPr>
        </w:r>
        <w:r w:rsidR="004138C2">
          <w:rPr>
            <w:noProof/>
            <w:webHidden/>
          </w:rPr>
          <w:fldChar w:fldCharType="separate"/>
        </w:r>
        <w:r w:rsidR="00DD1D32">
          <w:rPr>
            <w:noProof/>
            <w:webHidden/>
          </w:rPr>
          <w:t>24</w:t>
        </w:r>
        <w:r w:rsidR="004138C2">
          <w:rPr>
            <w:noProof/>
            <w:webHidden/>
          </w:rPr>
          <w:fldChar w:fldCharType="end"/>
        </w:r>
      </w:hyperlink>
    </w:p>
    <w:p w14:paraId="75C8D2CD" w14:textId="39FDB25E"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5" w:history="1">
        <w:r w:rsidR="004138C2" w:rsidRPr="00732F37">
          <w:rPr>
            <w:rStyle w:val="Hyperlink"/>
            <w:rFonts w:cstheme="minorHAnsi"/>
            <w:noProof/>
          </w:rPr>
          <w:t>Statement of Cash Flows</w:t>
        </w:r>
        <w:r w:rsidR="004138C2">
          <w:rPr>
            <w:noProof/>
            <w:webHidden/>
          </w:rPr>
          <w:tab/>
        </w:r>
        <w:r w:rsidR="004138C2">
          <w:rPr>
            <w:noProof/>
            <w:webHidden/>
          </w:rPr>
          <w:fldChar w:fldCharType="begin"/>
        </w:r>
        <w:r w:rsidR="004138C2">
          <w:rPr>
            <w:noProof/>
            <w:webHidden/>
          </w:rPr>
          <w:instrText xml:space="preserve"> PAGEREF _Toc132743765 \h </w:instrText>
        </w:r>
        <w:r w:rsidR="004138C2">
          <w:rPr>
            <w:noProof/>
            <w:webHidden/>
          </w:rPr>
        </w:r>
        <w:r w:rsidR="004138C2">
          <w:rPr>
            <w:noProof/>
            <w:webHidden/>
          </w:rPr>
          <w:fldChar w:fldCharType="separate"/>
        </w:r>
        <w:r w:rsidR="00DD1D32">
          <w:rPr>
            <w:noProof/>
            <w:webHidden/>
          </w:rPr>
          <w:t>27</w:t>
        </w:r>
        <w:r w:rsidR="004138C2">
          <w:rPr>
            <w:noProof/>
            <w:webHidden/>
          </w:rPr>
          <w:fldChar w:fldCharType="end"/>
        </w:r>
      </w:hyperlink>
    </w:p>
    <w:p w14:paraId="60189ABC" w14:textId="4225088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7" w:history="1">
        <w:r w:rsidR="004138C2" w:rsidRPr="00732F37">
          <w:rPr>
            <w:rStyle w:val="Hyperlink"/>
            <w:rFonts w:cstheme="minorHAnsi"/>
            <w:noProof/>
          </w:rPr>
          <w:t>Statement of Appropriation</w:t>
        </w:r>
        <w:r w:rsidR="004138C2">
          <w:rPr>
            <w:noProof/>
            <w:webHidden/>
          </w:rPr>
          <w:tab/>
        </w:r>
        <w:r w:rsidR="004138C2">
          <w:rPr>
            <w:noProof/>
            <w:webHidden/>
          </w:rPr>
          <w:fldChar w:fldCharType="begin"/>
        </w:r>
        <w:r w:rsidR="004138C2">
          <w:rPr>
            <w:noProof/>
            <w:webHidden/>
          </w:rPr>
          <w:instrText xml:space="preserve"> PAGEREF _Toc132743767 \h </w:instrText>
        </w:r>
        <w:r w:rsidR="004138C2">
          <w:rPr>
            <w:noProof/>
            <w:webHidden/>
          </w:rPr>
        </w:r>
        <w:r w:rsidR="004138C2">
          <w:rPr>
            <w:noProof/>
            <w:webHidden/>
          </w:rPr>
          <w:fldChar w:fldCharType="separate"/>
        </w:r>
        <w:r w:rsidR="00DD1D32">
          <w:rPr>
            <w:noProof/>
            <w:webHidden/>
          </w:rPr>
          <w:t>31</w:t>
        </w:r>
        <w:r w:rsidR="004138C2">
          <w:rPr>
            <w:noProof/>
            <w:webHidden/>
          </w:rPr>
          <w:fldChar w:fldCharType="end"/>
        </w:r>
      </w:hyperlink>
    </w:p>
    <w:p w14:paraId="15EB2558" w14:textId="4058717C"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69" w:history="1">
        <w:r w:rsidR="004138C2" w:rsidRPr="00732F37">
          <w:rPr>
            <w:rStyle w:val="Hyperlink"/>
            <w:rFonts w:cstheme="minorHAnsi"/>
            <w:noProof/>
          </w:rPr>
          <w:t>Operating Statement for Output Class 1 – Management of Land</w:t>
        </w:r>
        <w:r w:rsidR="004138C2">
          <w:rPr>
            <w:noProof/>
            <w:webHidden/>
          </w:rPr>
          <w:tab/>
        </w:r>
        <w:r w:rsidR="004138C2">
          <w:rPr>
            <w:noProof/>
            <w:webHidden/>
          </w:rPr>
          <w:fldChar w:fldCharType="begin"/>
        </w:r>
        <w:r w:rsidR="004138C2">
          <w:rPr>
            <w:noProof/>
            <w:webHidden/>
          </w:rPr>
          <w:instrText xml:space="preserve"> PAGEREF _Toc132743769 \h </w:instrText>
        </w:r>
        <w:r w:rsidR="004138C2">
          <w:rPr>
            <w:noProof/>
            <w:webHidden/>
          </w:rPr>
        </w:r>
        <w:r w:rsidR="004138C2">
          <w:rPr>
            <w:noProof/>
            <w:webHidden/>
          </w:rPr>
          <w:fldChar w:fldCharType="separate"/>
        </w:r>
        <w:r w:rsidR="00DD1D32">
          <w:rPr>
            <w:noProof/>
            <w:webHidden/>
          </w:rPr>
          <w:t>34</w:t>
        </w:r>
        <w:r w:rsidR="004138C2">
          <w:rPr>
            <w:noProof/>
            <w:webHidden/>
          </w:rPr>
          <w:fldChar w:fldCharType="end"/>
        </w:r>
      </w:hyperlink>
    </w:p>
    <w:p w14:paraId="79044FB9" w14:textId="4AD6E229"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0" w:history="1">
        <w:r w:rsidR="004138C2" w:rsidRPr="00732F37">
          <w:rPr>
            <w:rStyle w:val="Hyperlink"/>
            <w:rFonts w:cstheme="minorHAnsi"/>
            <w:noProof/>
          </w:rPr>
          <w:t>Operating Statement for Output Class 2 – Municipal Services and Transportation</w:t>
        </w:r>
        <w:r w:rsidR="004138C2">
          <w:rPr>
            <w:noProof/>
            <w:webHidden/>
          </w:rPr>
          <w:tab/>
        </w:r>
        <w:r w:rsidR="004138C2">
          <w:rPr>
            <w:noProof/>
            <w:webHidden/>
          </w:rPr>
          <w:fldChar w:fldCharType="begin"/>
        </w:r>
        <w:r w:rsidR="004138C2">
          <w:rPr>
            <w:noProof/>
            <w:webHidden/>
          </w:rPr>
          <w:instrText xml:space="preserve"> PAGEREF _Toc132743770 \h </w:instrText>
        </w:r>
        <w:r w:rsidR="004138C2">
          <w:rPr>
            <w:noProof/>
            <w:webHidden/>
          </w:rPr>
        </w:r>
        <w:r w:rsidR="004138C2">
          <w:rPr>
            <w:noProof/>
            <w:webHidden/>
          </w:rPr>
          <w:fldChar w:fldCharType="separate"/>
        </w:r>
        <w:r w:rsidR="00DD1D32">
          <w:rPr>
            <w:noProof/>
            <w:webHidden/>
          </w:rPr>
          <w:t>35</w:t>
        </w:r>
        <w:r w:rsidR="004138C2">
          <w:rPr>
            <w:noProof/>
            <w:webHidden/>
          </w:rPr>
          <w:fldChar w:fldCharType="end"/>
        </w:r>
      </w:hyperlink>
    </w:p>
    <w:p w14:paraId="3573533C" w14:textId="4B5094C0"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1" w:history="1">
        <w:r w:rsidR="004138C2" w:rsidRPr="00732F37">
          <w:rPr>
            <w:rStyle w:val="Hyperlink"/>
            <w:rFonts w:cstheme="minorHAnsi"/>
            <w:noProof/>
          </w:rPr>
          <w:t>Operating Statement for Output Class 3 – Environment and Heritage</w:t>
        </w:r>
        <w:r w:rsidR="004138C2">
          <w:rPr>
            <w:noProof/>
            <w:webHidden/>
          </w:rPr>
          <w:tab/>
        </w:r>
        <w:r w:rsidR="004138C2">
          <w:rPr>
            <w:noProof/>
            <w:webHidden/>
          </w:rPr>
          <w:fldChar w:fldCharType="begin"/>
        </w:r>
        <w:r w:rsidR="004138C2">
          <w:rPr>
            <w:noProof/>
            <w:webHidden/>
          </w:rPr>
          <w:instrText xml:space="preserve"> PAGEREF _Toc132743771 \h </w:instrText>
        </w:r>
        <w:r w:rsidR="004138C2">
          <w:rPr>
            <w:noProof/>
            <w:webHidden/>
          </w:rPr>
        </w:r>
        <w:r w:rsidR="004138C2">
          <w:rPr>
            <w:noProof/>
            <w:webHidden/>
          </w:rPr>
          <w:fldChar w:fldCharType="separate"/>
        </w:r>
        <w:r w:rsidR="00DD1D32">
          <w:rPr>
            <w:noProof/>
            <w:webHidden/>
          </w:rPr>
          <w:t>36</w:t>
        </w:r>
        <w:r w:rsidR="004138C2">
          <w:rPr>
            <w:noProof/>
            <w:webHidden/>
          </w:rPr>
          <w:fldChar w:fldCharType="end"/>
        </w:r>
      </w:hyperlink>
    </w:p>
    <w:p w14:paraId="244CF559" w14:textId="3CF52DB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2" w:history="1">
        <w:r w:rsidR="004138C2" w:rsidRPr="00732F37">
          <w:rPr>
            <w:rStyle w:val="Hyperlink"/>
            <w:rFonts w:cstheme="minorHAnsi"/>
            <w:noProof/>
          </w:rPr>
          <w:t>Operating Statement for Output Class 4 – Courts and Tribunals</w:t>
        </w:r>
        <w:r w:rsidR="004138C2">
          <w:rPr>
            <w:noProof/>
            <w:webHidden/>
          </w:rPr>
          <w:tab/>
        </w:r>
        <w:r w:rsidR="004138C2">
          <w:rPr>
            <w:noProof/>
            <w:webHidden/>
          </w:rPr>
          <w:fldChar w:fldCharType="begin"/>
        </w:r>
        <w:r w:rsidR="004138C2">
          <w:rPr>
            <w:noProof/>
            <w:webHidden/>
          </w:rPr>
          <w:instrText xml:space="preserve"> PAGEREF _Toc132743772 \h </w:instrText>
        </w:r>
        <w:r w:rsidR="004138C2">
          <w:rPr>
            <w:noProof/>
            <w:webHidden/>
          </w:rPr>
        </w:r>
        <w:r w:rsidR="004138C2">
          <w:rPr>
            <w:noProof/>
            <w:webHidden/>
          </w:rPr>
          <w:fldChar w:fldCharType="separate"/>
        </w:r>
        <w:r w:rsidR="00DD1D32">
          <w:rPr>
            <w:noProof/>
            <w:webHidden/>
          </w:rPr>
          <w:t>37</w:t>
        </w:r>
        <w:r w:rsidR="004138C2">
          <w:rPr>
            <w:noProof/>
            <w:webHidden/>
          </w:rPr>
          <w:fldChar w:fldCharType="end"/>
        </w:r>
      </w:hyperlink>
    </w:p>
    <w:p w14:paraId="376D14ED" w14:textId="1EAFD6A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3" w:history="1">
        <w:r w:rsidR="004138C2" w:rsidRPr="00732F37">
          <w:rPr>
            <w:rStyle w:val="Hyperlink"/>
            <w:rFonts w:cstheme="minorHAnsi"/>
            <w:noProof/>
          </w:rPr>
          <w:t>Disaggregated Disclosure of Assets and Liabilities [Directorates Only]</w:t>
        </w:r>
        <w:r w:rsidR="004138C2">
          <w:rPr>
            <w:noProof/>
            <w:webHidden/>
          </w:rPr>
          <w:tab/>
        </w:r>
        <w:r w:rsidR="004138C2">
          <w:rPr>
            <w:noProof/>
            <w:webHidden/>
          </w:rPr>
          <w:fldChar w:fldCharType="begin"/>
        </w:r>
        <w:r w:rsidR="004138C2">
          <w:rPr>
            <w:noProof/>
            <w:webHidden/>
          </w:rPr>
          <w:instrText xml:space="preserve"> PAGEREF _Toc132743773 \h </w:instrText>
        </w:r>
        <w:r w:rsidR="004138C2">
          <w:rPr>
            <w:noProof/>
            <w:webHidden/>
          </w:rPr>
        </w:r>
        <w:r w:rsidR="004138C2">
          <w:rPr>
            <w:noProof/>
            <w:webHidden/>
          </w:rPr>
          <w:fldChar w:fldCharType="separate"/>
        </w:r>
        <w:r w:rsidR="00DD1D32">
          <w:rPr>
            <w:noProof/>
            <w:webHidden/>
          </w:rPr>
          <w:t>39</w:t>
        </w:r>
        <w:r w:rsidR="004138C2">
          <w:rPr>
            <w:noProof/>
            <w:webHidden/>
          </w:rPr>
          <w:fldChar w:fldCharType="end"/>
        </w:r>
      </w:hyperlink>
    </w:p>
    <w:p w14:paraId="6EC88769" w14:textId="79D31FC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4" w:history="1">
        <w:r w:rsidR="004138C2" w:rsidRPr="00732F37">
          <w:rPr>
            <w:rStyle w:val="Hyperlink"/>
            <w:rFonts w:cstheme="minorHAnsi"/>
            <w:noProof/>
          </w:rPr>
          <w:t>Note 1.  Objectives of ‘</w:t>
        </w:r>
        <w:r w:rsidR="004138C2" w:rsidRPr="00732F37">
          <w:rPr>
            <w:rStyle w:val="Hyperlink"/>
            <w:noProof/>
          </w:rPr>
          <w:t xml:space="preserve">Burley Griffin </w:t>
        </w:r>
        <w:r w:rsidR="004138C2" w:rsidRPr="00732F37">
          <w:rPr>
            <w:rStyle w:val="Hyperlink"/>
            <w:rFonts w:cstheme="minorHAnsi"/>
            <w:noProof/>
          </w:rPr>
          <w:t>Agency’</w:t>
        </w:r>
        <w:r w:rsidR="004138C2">
          <w:rPr>
            <w:noProof/>
            <w:webHidden/>
          </w:rPr>
          <w:tab/>
        </w:r>
        <w:r w:rsidR="004138C2">
          <w:rPr>
            <w:noProof/>
            <w:webHidden/>
          </w:rPr>
          <w:fldChar w:fldCharType="begin"/>
        </w:r>
        <w:r w:rsidR="004138C2">
          <w:rPr>
            <w:noProof/>
            <w:webHidden/>
          </w:rPr>
          <w:instrText xml:space="preserve"> PAGEREF _Toc132743774 \h </w:instrText>
        </w:r>
        <w:r w:rsidR="004138C2">
          <w:rPr>
            <w:noProof/>
            <w:webHidden/>
          </w:rPr>
        </w:r>
        <w:r w:rsidR="004138C2">
          <w:rPr>
            <w:noProof/>
            <w:webHidden/>
          </w:rPr>
          <w:fldChar w:fldCharType="separate"/>
        </w:r>
        <w:r w:rsidR="00DD1D32">
          <w:rPr>
            <w:noProof/>
            <w:webHidden/>
          </w:rPr>
          <w:t>43</w:t>
        </w:r>
        <w:r w:rsidR="004138C2">
          <w:rPr>
            <w:noProof/>
            <w:webHidden/>
          </w:rPr>
          <w:fldChar w:fldCharType="end"/>
        </w:r>
      </w:hyperlink>
    </w:p>
    <w:p w14:paraId="1DFFB3A5" w14:textId="21939B2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5" w:history="1">
        <w:r w:rsidR="004138C2" w:rsidRPr="00732F37">
          <w:rPr>
            <w:rStyle w:val="Hyperlink"/>
            <w:noProof/>
          </w:rPr>
          <w:t>Note 2. Basis of Preparation of the Financial Statements</w:t>
        </w:r>
        <w:r w:rsidR="004138C2">
          <w:rPr>
            <w:noProof/>
            <w:webHidden/>
          </w:rPr>
          <w:tab/>
        </w:r>
        <w:r w:rsidR="004138C2">
          <w:rPr>
            <w:noProof/>
            <w:webHidden/>
          </w:rPr>
          <w:fldChar w:fldCharType="begin"/>
        </w:r>
        <w:r w:rsidR="004138C2">
          <w:rPr>
            <w:noProof/>
            <w:webHidden/>
          </w:rPr>
          <w:instrText xml:space="preserve"> PAGEREF _Toc132743775 \h </w:instrText>
        </w:r>
        <w:r w:rsidR="004138C2">
          <w:rPr>
            <w:noProof/>
            <w:webHidden/>
          </w:rPr>
        </w:r>
        <w:r w:rsidR="004138C2">
          <w:rPr>
            <w:noProof/>
            <w:webHidden/>
          </w:rPr>
          <w:fldChar w:fldCharType="separate"/>
        </w:r>
        <w:r w:rsidR="00DD1D32">
          <w:rPr>
            <w:noProof/>
            <w:webHidden/>
          </w:rPr>
          <w:t>43</w:t>
        </w:r>
        <w:r w:rsidR="004138C2">
          <w:rPr>
            <w:noProof/>
            <w:webHidden/>
          </w:rPr>
          <w:fldChar w:fldCharType="end"/>
        </w:r>
      </w:hyperlink>
    </w:p>
    <w:p w14:paraId="67E4FD82" w14:textId="43A8EA11"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7" w:history="1">
        <w:r w:rsidR="004138C2" w:rsidRPr="00732F37">
          <w:rPr>
            <w:rStyle w:val="Hyperlink"/>
            <w:rFonts w:cstheme="minorHAnsi"/>
            <w:noProof/>
          </w:rPr>
          <w:t>Note 3.  Impact of Accounting Standards Issued But Yet to Be Applied</w:t>
        </w:r>
        <w:r w:rsidR="004138C2">
          <w:rPr>
            <w:noProof/>
            <w:webHidden/>
          </w:rPr>
          <w:tab/>
        </w:r>
        <w:r w:rsidR="004138C2">
          <w:rPr>
            <w:noProof/>
            <w:webHidden/>
          </w:rPr>
          <w:fldChar w:fldCharType="begin"/>
        </w:r>
        <w:r w:rsidR="004138C2">
          <w:rPr>
            <w:noProof/>
            <w:webHidden/>
          </w:rPr>
          <w:instrText xml:space="preserve"> PAGEREF _Toc132743777 \h </w:instrText>
        </w:r>
        <w:r w:rsidR="004138C2">
          <w:rPr>
            <w:noProof/>
            <w:webHidden/>
          </w:rPr>
        </w:r>
        <w:r w:rsidR="004138C2">
          <w:rPr>
            <w:noProof/>
            <w:webHidden/>
          </w:rPr>
          <w:fldChar w:fldCharType="separate"/>
        </w:r>
        <w:r w:rsidR="00DD1D32">
          <w:rPr>
            <w:noProof/>
            <w:webHidden/>
          </w:rPr>
          <w:t>46</w:t>
        </w:r>
        <w:r w:rsidR="004138C2">
          <w:rPr>
            <w:noProof/>
            <w:webHidden/>
          </w:rPr>
          <w:fldChar w:fldCharType="end"/>
        </w:r>
      </w:hyperlink>
    </w:p>
    <w:p w14:paraId="56DE4329" w14:textId="0ABF114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8" w:history="1">
        <w:r w:rsidR="004138C2" w:rsidRPr="00732F37">
          <w:rPr>
            <w:rStyle w:val="Hyperlink"/>
            <w:rFonts w:cstheme="minorHAnsi"/>
            <w:noProof/>
          </w:rPr>
          <w:t>Note 4. Change in Accounting Policy and Accounting Estimates, and Correction of a Prior Period Error</w:t>
        </w:r>
        <w:r w:rsidR="004138C2">
          <w:rPr>
            <w:noProof/>
            <w:webHidden/>
          </w:rPr>
          <w:tab/>
        </w:r>
        <w:r w:rsidR="004138C2">
          <w:rPr>
            <w:noProof/>
            <w:webHidden/>
          </w:rPr>
          <w:fldChar w:fldCharType="begin"/>
        </w:r>
        <w:r w:rsidR="004138C2">
          <w:rPr>
            <w:noProof/>
            <w:webHidden/>
          </w:rPr>
          <w:instrText xml:space="preserve"> PAGEREF _Toc132743778 \h </w:instrText>
        </w:r>
        <w:r w:rsidR="004138C2">
          <w:rPr>
            <w:noProof/>
            <w:webHidden/>
          </w:rPr>
        </w:r>
        <w:r w:rsidR="004138C2">
          <w:rPr>
            <w:noProof/>
            <w:webHidden/>
          </w:rPr>
          <w:fldChar w:fldCharType="separate"/>
        </w:r>
        <w:r w:rsidR="00DD1D32">
          <w:rPr>
            <w:noProof/>
            <w:webHidden/>
          </w:rPr>
          <w:t>47</w:t>
        </w:r>
        <w:r w:rsidR="004138C2">
          <w:rPr>
            <w:noProof/>
            <w:webHidden/>
          </w:rPr>
          <w:fldChar w:fldCharType="end"/>
        </w:r>
      </w:hyperlink>
    </w:p>
    <w:p w14:paraId="27C35B0E" w14:textId="42C985A3"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79" w:history="1">
        <w:r w:rsidR="004138C2" w:rsidRPr="00732F37">
          <w:rPr>
            <w:rStyle w:val="Hyperlink"/>
            <w:rFonts w:cstheme="minorHAnsi"/>
            <w:noProof/>
          </w:rPr>
          <w:t>Income Notes</w:t>
        </w:r>
        <w:r w:rsidR="004138C2">
          <w:rPr>
            <w:noProof/>
            <w:webHidden/>
          </w:rPr>
          <w:tab/>
        </w:r>
        <w:r w:rsidR="004138C2">
          <w:rPr>
            <w:noProof/>
            <w:webHidden/>
          </w:rPr>
          <w:fldChar w:fldCharType="begin"/>
        </w:r>
        <w:r w:rsidR="004138C2">
          <w:rPr>
            <w:noProof/>
            <w:webHidden/>
          </w:rPr>
          <w:instrText xml:space="preserve"> PAGEREF _Toc132743779 \h </w:instrText>
        </w:r>
        <w:r w:rsidR="004138C2">
          <w:rPr>
            <w:noProof/>
            <w:webHidden/>
          </w:rPr>
        </w:r>
        <w:r w:rsidR="004138C2">
          <w:rPr>
            <w:noProof/>
            <w:webHidden/>
          </w:rPr>
          <w:fldChar w:fldCharType="separate"/>
        </w:r>
        <w:r w:rsidR="00DD1D32">
          <w:rPr>
            <w:noProof/>
            <w:webHidden/>
          </w:rPr>
          <w:t>48</w:t>
        </w:r>
        <w:r w:rsidR="004138C2">
          <w:rPr>
            <w:noProof/>
            <w:webHidden/>
          </w:rPr>
          <w:fldChar w:fldCharType="end"/>
        </w:r>
      </w:hyperlink>
    </w:p>
    <w:p w14:paraId="1C1706AC" w14:textId="01505C0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82" w:history="1">
        <w:r w:rsidR="004138C2" w:rsidRPr="00732F37">
          <w:rPr>
            <w:rStyle w:val="Hyperlink"/>
            <w:rFonts w:cstheme="minorHAnsi"/>
            <w:noProof/>
          </w:rPr>
          <w:t>Note 5. Sales of Goods and Services from Contracts with Customers</w:t>
        </w:r>
        <w:r w:rsidR="004138C2">
          <w:rPr>
            <w:noProof/>
            <w:webHidden/>
          </w:rPr>
          <w:tab/>
        </w:r>
        <w:r w:rsidR="004138C2">
          <w:rPr>
            <w:noProof/>
            <w:webHidden/>
          </w:rPr>
          <w:fldChar w:fldCharType="begin"/>
        </w:r>
        <w:r w:rsidR="004138C2">
          <w:rPr>
            <w:noProof/>
            <w:webHidden/>
          </w:rPr>
          <w:instrText xml:space="preserve"> PAGEREF _Toc132743782 \h </w:instrText>
        </w:r>
        <w:r w:rsidR="004138C2">
          <w:rPr>
            <w:noProof/>
            <w:webHidden/>
          </w:rPr>
        </w:r>
        <w:r w:rsidR="004138C2">
          <w:rPr>
            <w:noProof/>
            <w:webHidden/>
          </w:rPr>
          <w:fldChar w:fldCharType="separate"/>
        </w:r>
        <w:r w:rsidR="00DD1D32">
          <w:rPr>
            <w:noProof/>
            <w:webHidden/>
          </w:rPr>
          <w:t>49</w:t>
        </w:r>
        <w:r w:rsidR="004138C2">
          <w:rPr>
            <w:noProof/>
            <w:webHidden/>
          </w:rPr>
          <w:fldChar w:fldCharType="end"/>
        </w:r>
      </w:hyperlink>
    </w:p>
    <w:p w14:paraId="2F42DC77" w14:textId="0B84DEA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85" w:history="1">
        <w:r w:rsidR="004138C2" w:rsidRPr="00732F37">
          <w:rPr>
            <w:rStyle w:val="Hyperlink"/>
            <w:noProof/>
          </w:rPr>
          <w:t>Note 6.  Grants and contributions</w:t>
        </w:r>
        <w:r w:rsidR="004138C2" w:rsidRPr="00732F37">
          <w:rPr>
            <w:rStyle w:val="Hyperlink"/>
            <w:rFonts w:cs="Calibri"/>
            <w:noProof/>
          </w:rPr>
          <w:t xml:space="preserve"> Revenue</w:t>
        </w:r>
        <w:r w:rsidR="004138C2">
          <w:rPr>
            <w:noProof/>
            <w:webHidden/>
          </w:rPr>
          <w:tab/>
        </w:r>
        <w:r w:rsidR="004138C2">
          <w:rPr>
            <w:noProof/>
            <w:webHidden/>
          </w:rPr>
          <w:fldChar w:fldCharType="begin"/>
        </w:r>
        <w:r w:rsidR="004138C2">
          <w:rPr>
            <w:noProof/>
            <w:webHidden/>
          </w:rPr>
          <w:instrText xml:space="preserve"> PAGEREF _Toc132743785 \h </w:instrText>
        </w:r>
        <w:r w:rsidR="004138C2">
          <w:rPr>
            <w:noProof/>
            <w:webHidden/>
          </w:rPr>
        </w:r>
        <w:r w:rsidR="004138C2">
          <w:rPr>
            <w:noProof/>
            <w:webHidden/>
          </w:rPr>
          <w:fldChar w:fldCharType="separate"/>
        </w:r>
        <w:r w:rsidR="00DD1D32">
          <w:rPr>
            <w:noProof/>
            <w:webHidden/>
          </w:rPr>
          <w:t>53</w:t>
        </w:r>
        <w:r w:rsidR="004138C2">
          <w:rPr>
            <w:noProof/>
            <w:webHidden/>
          </w:rPr>
          <w:fldChar w:fldCharType="end"/>
        </w:r>
      </w:hyperlink>
    </w:p>
    <w:p w14:paraId="25D6CA23" w14:textId="4825671E"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88" w:history="1">
        <w:r w:rsidR="004138C2" w:rsidRPr="00732F37">
          <w:rPr>
            <w:rStyle w:val="Hyperlink"/>
            <w:noProof/>
          </w:rPr>
          <w:t>Note 7.  Investment and Interest Revenue</w:t>
        </w:r>
        <w:r w:rsidR="004138C2">
          <w:rPr>
            <w:noProof/>
            <w:webHidden/>
          </w:rPr>
          <w:tab/>
        </w:r>
        <w:r w:rsidR="004138C2">
          <w:rPr>
            <w:noProof/>
            <w:webHidden/>
          </w:rPr>
          <w:fldChar w:fldCharType="begin"/>
        </w:r>
        <w:r w:rsidR="004138C2">
          <w:rPr>
            <w:noProof/>
            <w:webHidden/>
          </w:rPr>
          <w:instrText xml:space="preserve"> PAGEREF _Toc132743788 \h </w:instrText>
        </w:r>
        <w:r w:rsidR="004138C2">
          <w:rPr>
            <w:noProof/>
            <w:webHidden/>
          </w:rPr>
        </w:r>
        <w:r w:rsidR="004138C2">
          <w:rPr>
            <w:noProof/>
            <w:webHidden/>
          </w:rPr>
          <w:fldChar w:fldCharType="separate"/>
        </w:r>
        <w:r w:rsidR="00DD1D32">
          <w:rPr>
            <w:noProof/>
            <w:webHidden/>
          </w:rPr>
          <w:t>57</w:t>
        </w:r>
        <w:r w:rsidR="004138C2">
          <w:rPr>
            <w:noProof/>
            <w:webHidden/>
          </w:rPr>
          <w:fldChar w:fldCharType="end"/>
        </w:r>
      </w:hyperlink>
    </w:p>
    <w:p w14:paraId="3C155889" w14:textId="0DB6DDA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89" w:history="1">
        <w:r w:rsidR="004138C2" w:rsidRPr="00732F37">
          <w:rPr>
            <w:rStyle w:val="Hyperlink"/>
            <w:noProof/>
          </w:rPr>
          <w:t>Note 8.  Gains from Disposals, DeRecognition and ReMeasurement of Assets</w:t>
        </w:r>
        <w:r w:rsidR="004138C2">
          <w:rPr>
            <w:noProof/>
            <w:webHidden/>
          </w:rPr>
          <w:tab/>
        </w:r>
        <w:r w:rsidR="004138C2">
          <w:rPr>
            <w:noProof/>
            <w:webHidden/>
          </w:rPr>
          <w:fldChar w:fldCharType="begin"/>
        </w:r>
        <w:r w:rsidR="004138C2">
          <w:rPr>
            <w:noProof/>
            <w:webHidden/>
          </w:rPr>
          <w:instrText xml:space="preserve"> PAGEREF _Toc132743789 \h </w:instrText>
        </w:r>
        <w:r w:rsidR="004138C2">
          <w:rPr>
            <w:noProof/>
            <w:webHidden/>
          </w:rPr>
        </w:r>
        <w:r w:rsidR="004138C2">
          <w:rPr>
            <w:noProof/>
            <w:webHidden/>
          </w:rPr>
          <w:fldChar w:fldCharType="separate"/>
        </w:r>
        <w:r w:rsidR="00DD1D32">
          <w:rPr>
            <w:noProof/>
            <w:webHidden/>
          </w:rPr>
          <w:t>59</w:t>
        </w:r>
        <w:r w:rsidR="004138C2">
          <w:rPr>
            <w:noProof/>
            <w:webHidden/>
          </w:rPr>
          <w:fldChar w:fldCharType="end"/>
        </w:r>
      </w:hyperlink>
    </w:p>
    <w:p w14:paraId="19F265F9" w14:textId="0DA3CAA0"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0" w:history="1">
        <w:r w:rsidR="004138C2" w:rsidRPr="00732F37">
          <w:rPr>
            <w:rStyle w:val="Hyperlink"/>
            <w:noProof/>
          </w:rPr>
          <w:t>Note 9.  Other Income</w:t>
        </w:r>
        <w:r w:rsidR="004138C2">
          <w:rPr>
            <w:noProof/>
            <w:webHidden/>
          </w:rPr>
          <w:tab/>
        </w:r>
        <w:r w:rsidR="004138C2">
          <w:rPr>
            <w:noProof/>
            <w:webHidden/>
          </w:rPr>
          <w:fldChar w:fldCharType="begin"/>
        </w:r>
        <w:r w:rsidR="004138C2">
          <w:rPr>
            <w:noProof/>
            <w:webHidden/>
          </w:rPr>
          <w:instrText xml:space="preserve"> PAGEREF _Toc132743790 \h </w:instrText>
        </w:r>
        <w:r w:rsidR="004138C2">
          <w:rPr>
            <w:noProof/>
            <w:webHidden/>
          </w:rPr>
        </w:r>
        <w:r w:rsidR="004138C2">
          <w:rPr>
            <w:noProof/>
            <w:webHidden/>
          </w:rPr>
          <w:fldChar w:fldCharType="separate"/>
        </w:r>
        <w:r w:rsidR="00DD1D32">
          <w:rPr>
            <w:noProof/>
            <w:webHidden/>
          </w:rPr>
          <w:t>60</w:t>
        </w:r>
        <w:r w:rsidR="004138C2">
          <w:rPr>
            <w:noProof/>
            <w:webHidden/>
          </w:rPr>
          <w:fldChar w:fldCharType="end"/>
        </w:r>
      </w:hyperlink>
    </w:p>
    <w:p w14:paraId="033ED202" w14:textId="3A4A9980"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1" w:history="1">
        <w:r w:rsidR="004138C2" w:rsidRPr="00732F37">
          <w:rPr>
            <w:rStyle w:val="Hyperlink"/>
            <w:rFonts w:cs="Arial"/>
            <w:noProof/>
          </w:rPr>
          <w:t xml:space="preserve">Note 10.  Employee </w:t>
        </w:r>
        <w:r w:rsidR="004138C2" w:rsidRPr="00732F37">
          <w:rPr>
            <w:rStyle w:val="Hyperlink"/>
            <w:rFonts w:cs="Arial"/>
            <w:strike/>
            <w:noProof/>
          </w:rPr>
          <w:t>and Superannution</w:t>
        </w:r>
        <w:r w:rsidR="004138C2" w:rsidRPr="00732F37">
          <w:rPr>
            <w:rStyle w:val="Hyperlink"/>
            <w:rFonts w:cs="Arial"/>
            <w:noProof/>
          </w:rPr>
          <w:t xml:space="preserve"> Expenses</w:t>
        </w:r>
        <w:r w:rsidR="004138C2">
          <w:rPr>
            <w:noProof/>
            <w:webHidden/>
          </w:rPr>
          <w:tab/>
        </w:r>
        <w:r w:rsidR="004138C2">
          <w:rPr>
            <w:noProof/>
            <w:webHidden/>
          </w:rPr>
          <w:fldChar w:fldCharType="begin"/>
        </w:r>
        <w:r w:rsidR="004138C2">
          <w:rPr>
            <w:noProof/>
            <w:webHidden/>
          </w:rPr>
          <w:instrText xml:space="preserve"> PAGEREF _Toc132743791 \h </w:instrText>
        </w:r>
        <w:r w:rsidR="004138C2">
          <w:rPr>
            <w:noProof/>
            <w:webHidden/>
          </w:rPr>
        </w:r>
        <w:r w:rsidR="004138C2">
          <w:rPr>
            <w:noProof/>
            <w:webHidden/>
          </w:rPr>
          <w:fldChar w:fldCharType="separate"/>
        </w:r>
        <w:r w:rsidR="00DD1D32">
          <w:rPr>
            <w:noProof/>
            <w:webHidden/>
          </w:rPr>
          <w:t>61</w:t>
        </w:r>
        <w:r w:rsidR="004138C2">
          <w:rPr>
            <w:noProof/>
            <w:webHidden/>
          </w:rPr>
          <w:fldChar w:fldCharType="end"/>
        </w:r>
      </w:hyperlink>
    </w:p>
    <w:p w14:paraId="1C0B5452" w14:textId="1EAE29A6"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2" w:history="1">
        <w:r w:rsidR="004138C2" w:rsidRPr="00732F37">
          <w:rPr>
            <w:rStyle w:val="Hyperlink"/>
            <w:noProof/>
          </w:rPr>
          <w:t>Note 11.  Supplies and Services</w:t>
        </w:r>
        <w:r w:rsidR="004138C2">
          <w:rPr>
            <w:noProof/>
            <w:webHidden/>
          </w:rPr>
          <w:tab/>
        </w:r>
        <w:r w:rsidR="004138C2">
          <w:rPr>
            <w:noProof/>
            <w:webHidden/>
          </w:rPr>
          <w:fldChar w:fldCharType="begin"/>
        </w:r>
        <w:r w:rsidR="004138C2">
          <w:rPr>
            <w:noProof/>
            <w:webHidden/>
          </w:rPr>
          <w:instrText xml:space="preserve"> PAGEREF _Toc132743792 \h </w:instrText>
        </w:r>
        <w:r w:rsidR="004138C2">
          <w:rPr>
            <w:noProof/>
            <w:webHidden/>
          </w:rPr>
        </w:r>
        <w:r w:rsidR="004138C2">
          <w:rPr>
            <w:noProof/>
            <w:webHidden/>
          </w:rPr>
          <w:fldChar w:fldCharType="separate"/>
        </w:r>
        <w:r w:rsidR="00DD1D32">
          <w:rPr>
            <w:noProof/>
            <w:webHidden/>
          </w:rPr>
          <w:t>62</w:t>
        </w:r>
        <w:r w:rsidR="004138C2">
          <w:rPr>
            <w:noProof/>
            <w:webHidden/>
          </w:rPr>
          <w:fldChar w:fldCharType="end"/>
        </w:r>
      </w:hyperlink>
    </w:p>
    <w:p w14:paraId="386821F2" w14:textId="4F54B736"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4" w:history="1">
        <w:r w:rsidR="004138C2" w:rsidRPr="00732F37">
          <w:rPr>
            <w:rStyle w:val="Hyperlink"/>
            <w:noProof/>
          </w:rPr>
          <w:t>Note 12.  Grants and Purchased Services</w:t>
        </w:r>
        <w:r w:rsidR="004138C2">
          <w:rPr>
            <w:noProof/>
            <w:webHidden/>
          </w:rPr>
          <w:tab/>
        </w:r>
        <w:r w:rsidR="004138C2">
          <w:rPr>
            <w:noProof/>
            <w:webHidden/>
          </w:rPr>
          <w:fldChar w:fldCharType="begin"/>
        </w:r>
        <w:r w:rsidR="004138C2">
          <w:rPr>
            <w:noProof/>
            <w:webHidden/>
          </w:rPr>
          <w:instrText xml:space="preserve"> PAGEREF _Toc132743794 \h </w:instrText>
        </w:r>
        <w:r w:rsidR="004138C2">
          <w:rPr>
            <w:noProof/>
            <w:webHidden/>
          </w:rPr>
        </w:r>
        <w:r w:rsidR="004138C2">
          <w:rPr>
            <w:noProof/>
            <w:webHidden/>
          </w:rPr>
          <w:fldChar w:fldCharType="separate"/>
        </w:r>
        <w:r w:rsidR="00DD1D32">
          <w:rPr>
            <w:noProof/>
            <w:webHidden/>
          </w:rPr>
          <w:t>64</w:t>
        </w:r>
        <w:r w:rsidR="004138C2">
          <w:rPr>
            <w:noProof/>
            <w:webHidden/>
          </w:rPr>
          <w:fldChar w:fldCharType="end"/>
        </w:r>
      </w:hyperlink>
    </w:p>
    <w:p w14:paraId="0DEB125D" w14:textId="2E5ECB31"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5" w:history="1">
        <w:r w:rsidR="004138C2" w:rsidRPr="00732F37">
          <w:rPr>
            <w:rStyle w:val="Hyperlink"/>
            <w:noProof/>
          </w:rPr>
          <w:t>Note 13.  Borrowing Costs</w:t>
        </w:r>
        <w:r w:rsidR="004138C2">
          <w:rPr>
            <w:noProof/>
            <w:webHidden/>
          </w:rPr>
          <w:tab/>
        </w:r>
        <w:r w:rsidR="004138C2">
          <w:rPr>
            <w:noProof/>
            <w:webHidden/>
          </w:rPr>
          <w:fldChar w:fldCharType="begin"/>
        </w:r>
        <w:r w:rsidR="004138C2">
          <w:rPr>
            <w:noProof/>
            <w:webHidden/>
          </w:rPr>
          <w:instrText xml:space="preserve"> PAGEREF _Toc132743795 \h </w:instrText>
        </w:r>
        <w:r w:rsidR="004138C2">
          <w:rPr>
            <w:noProof/>
            <w:webHidden/>
          </w:rPr>
        </w:r>
        <w:r w:rsidR="004138C2">
          <w:rPr>
            <w:noProof/>
            <w:webHidden/>
          </w:rPr>
          <w:fldChar w:fldCharType="separate"/>
        </w:r>
        <w:r w:rsidR="00DD1D32">
          <w:rPr>
            <w:noProof/>
            <w:webHidden/>
          </w:rPr>
          <w:t>65</w:t>
        </w:r>
        <w:r w:rsidR="004138C2">
          <w:rPr>
            <w:noProof/>
            <w:webHidden/>
          </w:rPr>
          <w:fldChar w:fldCharType="end"/>
        </w:r>
      </w:hyperlink>
    </w:p>
    <w:p w14:paraId="0E2C3E46" w14:textId="59AA6587"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6" w:history="1">
        <w:r w:rsidR="004138C2" w:rsidRPr="00732F37">
          <w:rPr>
            <w:rStyle w:val="Hyperlink"/>
            <w:noProof/>
          </w:rPr>
          <w:t>Note 14.  Other Expenses</w:t>
        </w:r>
        <w:r w:rsidR="004138C2">
          <w:rPr>
            <w:noProof/>
            <w:webHidden/>
          </w:rPr>
          <w:tab/>
        </w:r>
        <w:r w:rsidR="004138C2">
          <w:rPr>
            <w:noProof/>
            <w:webHidden/>
          </w:rPr>
          <w:fldChar w:fldCharType="begin"/>
        </w:r>
        <w:r w:rsidR="004138C2">
          <w:rPr>
            <w:noProof/>
            <w:webHidden/>
          </w:rPr>
          <w:instrText xml:space="preserve"> PAGEREF _Toc132743796 \h </w:instrText>
        </w:r>
        <w:r w:rsidR="004138C2">
          <w:rPr>
            <w:noProof/>
            <w:webHidden/>
          </w:rPr>
        </w:r>
        <w:r w:rsidR="004138C2">
          <w:rPr>
            <w:noProof/>
            <w:webHidden/>
          </w:rPr>
          <w:fldChar w:fldCharType="separate"/>
        </w:r>
        <w:r w:rsidR="00DD1D32">
          <w:rPr>
            <w:noProof/>
            <w:webHidden/>
          </w:rPr>
          <w:t>66</w:t>
        </w:r>
        <w:r w:rsidR="004138C2">
          <w:rPr>
            <w:noProof/>
            <w:webHidden/>
          </w:rPr>
          <w:fldChar w:fldCharType="end"/>
        </w:r>
      </w:hyperlink>
    </w:p>
    <w:p w14:paraId="705B72A8" w14:textId="4935B3E3"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8" w:history="1">
        <w:r w:rsidR="004138C2" w:rsidRPr="00732F37">
          <w:rPr>
            <w:rStyle w:val="Hyperlink"/>
            <w:rFonts w:cstheme="minorHAnsi"/>
            <w:noProof/>
          </w:rPr>
          <w:t>Asset Notes</w:t>
        </w:r>
        <w:r w:rsidR="004138C2">
          <w:rPr>
            <w:noProof/>
            <w:webHidden/>
          </w:rPr>
          <w:tab/>
        </w:r>
        <w:r w:rsidR="004138C2">
          <w:rPr>
            <w:noProof/>
            <w:webHidden/>
          </w:rPr>
          <w:fldChar w:fldCharType="begin"/>
        </w:r>
        <w:r w:rsidR="004138C2">
          <w:rPr>
            <w:noProof/>
            <w:webHidden/>
          </w:rPr>
          <w:instrText xml:space="preserve"> PAGEREF _Toc132743798 \h </w:instrText>
        </w:r>
        <w:r w:rsidR="004138C2">
          <w:rPr>
            <w:noProof/>
            <w:webHidden/>
          </w:rPr>
        </w:r>
        <w:r w:rsidR="004138C2">
          <w:rPr>
            <w:noProof/>
            <w:webHidden/>
          </w:rPr>
          <w:fldChar w:fldCharType="separate"/>
        </w:r>
        <w:r w:rsidR="00DD1D32">
          <w:rPr>
            <w:noProof/>
            <w:webHidden/>
          </w:rPr>
          <w:t>69</w:t>
        </w:r>
        <w:r w:rsidR="004138C2">
          <w:rPr>
            <w:noProof/>
            <w:webHidden/>
          </w:rPr>
          <w:fldChar w:fldCharType="end"/>
        </w:r>
      </w:hyperlink>
    </w:p>
    <w:p w14:paraId="7F4A93EF" w14:textId="46170A36" w:rsidR="004138C2" w:rsidRDefault="00B46A21">
      <w:pPr>
        <w:pStyle w:val="TOC1"/>
        <w:rPr>
          <w:rFonts w:asciiTheme="minorHAnsi" w:eastAsiaTheme="minorEastAsia" w:hAnsiTheme="minorHAnsi" w:cstheme="minorBidi"/>
          <w:b w:val="0"/>
          <w:bCs w:val="0"/>
          <w:noProof/>
          <w:color w:val="auto"/>
          <w:szCs w:val="22"/>
          <w:lang w:eastAsia="en-AU"/>
        </w:rPr>
      </w:pPr>
      <w:hyperlink w:anchor="_Toc132743799" w:history="1">
        <w:r w:rsidR="004138C2" w:rsidRPr="00732F37">
          <w:rPr>
            <w:rStyle w:val="Hyperlink"/>
            <w:noProof/>
          </w:rPr>
          <w:t>Note 15.  Cash and Investments</w:t>
        </w:r>
        <w:r w:rsidR="004138C2">
          <w:rPr>
            <w:noProof/>
            <w:webHidden/>
          </w:rPr>
          <w:tab/>
        </w:r>
        <w:r w:rsidR="004138C2">
          <w:rPr>
            <w:noProof/>
            <w:webHidden/>
          </w:rPr>
          <w:fldChar w:fldCharType="begin"/>
        </w:r>
        <w:r w:rsidR="004138C2">
          <w:rPr>
            <w:noProof/>
            <w:webHidden/>
          </w:rPr>
          <w:instrText xml:space="preserve"> PAGEREF _Toc132743799 \h </w:instrText>
        </w:r>
        <w:r w:rsidR="004138C2">
          <w:rPr>
            <w:noProof/>
            <w:webHidden/>
          </w:rPr>
        </w:r>
        <w:r w:rsidR="004138C2">
          <w:rPr>
            <w:noProof/>
            <w:webHidden/>
          </w:rPr>
          <w:fldChar w:fldCharType="separate"/>
        </w:r>
        <w:r w:rsidR="00DD1D32">
          <w:rPr>
            <w:noProof/>
            <w:webHidden/>
          </w:rPr>
          <w:t>69</w:t>
        </w:r>
        <w:r w:rsidR="004138C2">
          <w:rPr>
            <w:noProof/>
            <w:webHidden/>
          </w:rPr>
          <w:fldChar w:fldCharType="end"/>
        </w:r>
      </w:hyperlink>
    </w:p>
    <w:p w14:paraId="66B943BD" w14:textId="4CB4E93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01" w:history="1">
        <w:r w:rsidR="004138C2" w:rsidRPr="00732F37">
          <w:rPr>
            <w:rStyle w:val="Hyperlink"/>
            <w:noProof/>
          </w:rPr>
          <w:t xml:space="preserve">Note 16.  Receivables </w:t>
        </w:r>
        <w:r w:rsidR="004138C2" w:rsidRPr="00732F37">
          <w:rPr>
            <w:rStyle w:val="Hyperlink"/>
            <w:strike/>
            <w:noProof/>
          </w:rPr>
          <w:t>and Contract Assets</w:t>
        </w:r>
        <w:r w:rsidR="004138C2">
          <w:rPr>
            <w:noProof/>
            <w:webHidden/>
          </w:rPr>
          <w:tab/>
        </w:r>
        <w:r w:rsidR="004138C2">
          <w:rPr>
            <w:noProof/>
            <w:webHidden/>
          </w:rPr>
          <w:fldChar w:fldCharType="begin"/>
        </w:r>
        <w:r w:rsidR="004138C2">
          <w:rPr>
            <w:noProof/>
            <w:webHidden/>
          </w:rPr>
          <w:instrText xml:space="preserve"> PAGEREF _Toc132743801 \h </w:instrText>
        </w:r>
        <w:r w:rsidR="004138C2">
          <w:rPr>
            <w:noProof/>
            <w:webHidden/>
          </w:rPr>
        </w:r>
        <w:r w:rsidR="004138C2">
          <w:rPr>
            <w:noProof/>
            <w:webHidden/>
          </w:rPr>
          <w:fldChar w:fldCharType="separate"/>
        </w:r>
        <w:r w:rsidR="00DD1D32">
          <w:rPr>
            <w:noProof/>
            <w:webHidden/>
          </w:rPr>
          <w:t>73</w:t>
        </w:r>
        <w:r w:rsidR="004138C2">
          <w:rPr>
            <w:noProof/>
            <w:webHidden/>
          </w:rPr>
          <w:fldChar w:fldCharType="end"/>
        </w:r>
      </w:hyperlink>
    </w:p>
    <w:p w14:paraId="0283806A" w14:textId="6F6020B3"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03" w:history="1">
        <w:r w:rsidR="004138C2" w:rsidRPr="00732F37">
          <w:rPr>
            <w:rStyle w:val="Hyperlink"/>
            <w:noProof/>
          </w:rPr>
          <w:t>Note 17.   Inventories</w:t>
        </w:r>
        <w:r w:rsidR="004138C2">
          <w:rPr>
            <w:noProof/>
            <w:webHidden/>
          </w:rPr>
          <w:tab/>
        </w:r>
        <w:r w:rsidR="004138C2">
          <w:rPr>
            <w:noProof/>
            <w:webHidden/>
          </w:rPr>
          <w:fldChar w:fldCharType="begin"/>
        </w:r>
        <w:r w:rsidR="004138C2">
          <w:rPr>
            <w:noProof/>
            <w:webHidden/>
          </w:rPr>
          <w:instrText xml:space="preserve"> PAGEREF _Toc132743803 \h </w:instrText>
        </w:r>
        <w:r w:rsidR="004138C2">
          <w:rPr>
            <w:noProof/>
            <w:webHidden/>
          </w:rPr>
        </w:r>
        <w:r w:rsidR="004138C2">
          <w:rPr>
            <w:noProof/>
            <w:webHidden/>
          </w:rPr>
          <w:fldChar w:fldCharType="separate"/>
        </w:r>
        <w:r w:rsidR="00DD1D32">
          <w:rPr>
            <w:noProof/>
            <w:webHidden/>
          </w:rPr>
          <w:t>79</w:t>
        </w:r>
        <w:r w:rsidR="004138C2">
          <w:rPr>
            <w:noProof/>
            <w:webHidden/>
          </w:rPr>
          <w:fldChar w:fldCharType="end"/>
        </w:r>
      </w:hyperlink>
    </w:p>
    <w:p w14:paraId="49B125EA" w14:textId="0C81D47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06" w:history="1">
        <w:r w:rsidR="004138C2" w:rsidRPr="00732F37">
          <w:rPr>
            <w:rStyle w:val="Hyperlink"/>
            <w:noProof/>
          </w:rPr>
          <w:t>Note 18.  Non–Current Assets Held For Sale</w:t>
        </w:r>
        <w:r w:rsidR="004138C2">
          <w:rPr>
            <w:noProof/>
            <w:webHidden/>
          </w:rPr>
          <w:tab/>
        </w:r>
        <w:r w:rsidR="004138C2">
          <w:rPr>
            <w:noProof/>
            <w:webHidden/>
          </w:rPr>
          <w:fldChar w:fldCharType="begin"/>
        </w:r>
        <w:r w:rsidR="004138C2">
          <w:rPr>
            <w:noProof/>
            <w:webHidden/>
          </w:rPr>
          <w:instrText xml:space="preserve"> PAGEREF _Toc132743806 \h </w:instrText>
        </w:r>
        <w:r w:rsidR="004138C2">
          <w:rPr>
            <w:noProof/>
            <w:webHidden/>
          </w:rPr>
        </w:r>
        <w:r w:rsidR="004138C2">
          <w:rPr>
            <w:noProof/>
            <w:webHidden/>
          </w:rPr>
          <w:fldChar w:fldCharType="separate"/>
        </w:r>
        <w:r w:rsidR="00DD1D32">
          <w:rPr>
            <w:noProof/>
            <w:webHidden/>
          </w:rPr>
          <w:t>82</w:t>
        </w:r>
        <w:r w:rsidR="004138C2">
          <w:rPr>
            <w:noProof/>
            <w:webHidden/>
          </w:rPr>
          <w:fldChar w:fldCharType="end"/>
        </w:r>
      </w:hyperlink>
    </w:p>
    <w:p w14:paraId="2C086EBB" w14:textId="4F3EC837"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07" w:history="1">
        <w:r w:rsidR="004138C2" w:rsidRPr="00732F37">
          <w:rPr>
            <w:rStyle w:val="Hyperlink"/>
            <w:noProof/>
          </w:rPr>
          <w:t>Note 19.  Property, Plant and Equipment</w:t>
        </w:r>
        <w:r w:rsidR="004138C2">
          <w:rPr>
            <w:noProof/>
            <w:webHidden/>
          </w:rPr>
          <w:tab/>
        </w:r>
        <w:r w:rsidR="004138C2">
          <w:rPr>
            <w:noProof/>
            <w:webHidden/>
          </w:rPr>
          <w:fldChar w:fldCharType="begin"/>
        </w:r>
        <w:r w:rsidR="004138C2">
          <w:rPr>
            <w:noProof/>
            <w:webHidden/>
          </w:rPr>
          <w:instrText xml:space="preserve"> PAGEREF _Toc132743807 \h </w:instrText>
        </w:r>
        <w:r w:rsidR="004138C2">
          <w:rPr>
            <w:noProof/>
            <w:webHidden/>
          </w:rPr>
        </w:r>
        <w:r w:rsidR="004138C2">
          <w:rPr>
            <w:noProof/>
            <w:webHidden/>
          </w:rPr>
          <w:fldChar w:fldCharType="separate"/>
        </w:r>
        <w:r w:rsidR="00DD1D32">
          <w:rPr>
            <w:noProof/>
            <w:webHidden/>
          </w:rPr>
          <w:t>83</w:t>
        </w:r>
        <w:r w:rsidR="004138C2">
          <w:rPr>
            <w:noProof/>
            <w:webHidden/>
          </w:rPr>
          <w:fldChar w:fldCharType="end"/>
        </w:r>
      </w:hyperlink>
    </w:p>
    <w:p w14:paraId="591281EF" w14:textId="44EF6F4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0" w:history="1">
        <w:r w:rsidR="004138C2" w:rsidRPr="00732F37">
          <w:rPr>
            <w:rStyle w:val="Hyperlink"/>
            <w:noProof/>
          </w:rPr>
          <w:t>Note 20.  Investment Properties</w:t>
        </w:r>
        <w:r w:rsidR="004138C2">
          <w:rPr>
            <w:noProof/>
            <w:webHidden/>
          </w:rPr>
          <w:tab/>
        </w:r>
        <w:r w:rsidR="004138C2">
          <w:rPr>
            <w:noProof/>
            <w:webHidden/>
          </w:rPr>
          <w:fldChar w:fldCharType="begin"/>
        </w:r>
        <w:r w:rsidR="004138C2">
          <w:rPr>
            <w:noProof/>
            <w:webHidden/>
          </w:rPr>
          <w:instrText xml:space="preserve"> PAGEREF _Toc132743810 \h </w:instrText>
        </w:r>
        <w:r w:rsidR="004138C2">
          <w:rPr>
            <w:noProof/>
            <w:webHidden/>
          </w:rPr>
        </w:r>
        <w:r w:rsidR="004138C2">
          <w:rPr>
            <w:noProof/>
            <w:webHidden/>
          </w:rPr>
          <w:fldChar w:fldCharType="separate"/>
        </w:r>
        <w:r w:rsidR="00DD1D32">
          <w:rPr>
            <w:noProof/>
            <w:webHidden/>
          </w:rPr>
          <w:t>96</w:t>
        </w:r>
        <w:r w:rsidR="004138C2">
          <w:rPr>
            <w:noProof/>
            <w:webHidden/>
          </w:rPr>
          <w:fldChar w:fldCharType="end"/>
        </w:r>
      </w:hyperlink>
    </w:p>
    <w:p w14:paraId="360F9AD9" w14:textId="24871F6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1" w:history="1">
        <w:r w:rsidR="004138C2" w:rsidRPr="00732F37">
          <w:rPr>
            <w:rStyle w:val="Hyperlink"/>
            <w:noProof/>
          </w:rPr>
          <w:t>Note 21.  Intangible Assets</w:t>
        </w:r>
        <w:r w:rsidR="004138C2">
          <w:rPr>
            <w:noProof/>
            <w:webHidden/>
          </w:rPr>
          <w:tab/>
        </w:r>
        <w:r w:rsidR="004138C2">
          <w:rPr>
            <w:noProof/>
            <w:webHidden/>
          </w:rPr>
          <w:fldChar w:fldCharType="begin"/>
        </w:r>
        <w:r w:rsidR="004138C2">
          <w:rPr>
            <w:noProof/>
            <w:webHidden/>
          </w:rPr>
          <w:instrText xml:space="preserve"> PAGEREF _Toc132743811 \h </w:instrText>
        </w:r>
        <w:r w:rsidR="004138C2">
          <w:rPr>
            <w:noProof/>
            <w:webHidden/>
          </w:rPr>
        </w:r>
        <w:r w:rsidR="004138C2">
          <w:rPr>
            <w:noProof/>
            <w:webHidden/>
          </w:rPr>
          <w:fldChar w:fldCharType="separate"/>
        </w:r>
        <w:r w:rsidR="00DD1D32">
          <w:rPr>
            <w:noProof/>
            <w:webHidden/>
          </w:rPr>
          <w:t>99</w:t>
        </w:r>
        <w:r w:rsidR="004138C2">
          <w:rPr>
            <w:noProof/>
            <w:webHidden/>
          </w:rPr>
          <w:fldChar w:fldCharType="end"/>
        </w:r>
      </w:hyperlink>
    </w:p>
    <w:p w14:paraId="0FB43553" w14:textId="146E5107"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2" w:history="1">
        <w:r w:rsidR="004138C2" w:rsidRPr="00732F37">
          <w:rPr>
            <w:rStyle w:val="Hyperlink"/>
            <w:noProof/>
          </w:rPr>
          <w:t>Note 22.  Capital Works in Progress</w:t>
        </w:r>
        <w:r w:rsidR="004138C2">
          <w:rPr>
            <w:noProof/>
            <w:webHidden/>
          </w:rPr>
          <w:tab/>
        </w:r>
        <w:r w:rsidR="004138C2">
          <w:rPr>
            <w:noProof/>
            <w:webHidden/>
          </w:rPr>
          <w:fldChar w:fldCharType="begin"/>
        </w:r>
        <w:r w:rsidR="004138C2">
          <w:rPr>
            <w:noProof/>
            <w:webHidden/>
          </w:rPr>
          <w:instrText xml:space="preserve"> PAGEREF _Toc132743812 \h </w:instrText>
        </w:r>
        <w:r w:rsidR="004138C2">
          <w:rPr>
            <w:noProof/>
            <w:webHidden/>
          </w:rPr>
        </w:r>
        <w:r w:rsidR="004138C2">
          <w:rPr>
            <w:noProof/>
            <w:webHidden/>
          </w:rPr>
          <w:fldChar w:fldCharType="separate"/>
        </w:r>
        <w:r w:rsidR="00DD1D32">
          <w:rPr>
            <w:noProof/>
            <w:webHidden/>
          </w:rPr>
          <w:t>101</w:t>
        </w:r>
        <w:r w:rsidR="004138C2">
          <w:rPr>
            <w:noProof/>
            <w:webHidden/>
          </w:rPr>
          <w:fldChar w:fldCharType="end"/>
        </w:r>
      </w:hyperlink>
    </w:p>
    <w:p w14:paraId="0F6E775D" w14:textId="45CB2CD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3" w:history="1">
        <w:r w:rsidR="004138C2" w:rsidRPr="00732F37">
          <w:rPr>
            <w:rStyle w:val="Hyperlink"/>
            <w:noProof/>
          </w:rPr>
          <w:t>Note 23.  Other Assets</w:t>
        </w:r>
        <w:r w:rsidR="004138C2">
          <w:rPr>
            <w:noProof/>
            <w:webHidden/>
          </w:rPr>
          <w:tab/>
        </w:r>
        <w:r w:rsidR="004138C2">
          <w:rPr>
            <w:noProof/>
            <w:webHidden/>
          </w:rPr>
          <w:fldChar w:fldCharType="begin"/>
        </w:r>
        <w:r w:rsidR="004138C2">
          <w:rPr>
            <w:noProof/>
            <w:webHidden/>
          </w:rPr>
          <w:instrText xml:space="preserve"> PAGEREF _Toc132743813 \h </w:instrText>
        </w:r>
        <w:r w:rsidR="004138C2">
          <w:rPr>
            <w:noProof/>
            <w:webHidden/>
          </w:rPr>
        </w:r>
        <w:r w:rsidR="004138C2">
          <w:rPr>
            <w:noProof/>
            <w:webHidden/>
          </w:rPr>
          <w:fldChar w:fldCharType="separate"/>
        </w:r>
        <w:r w:rsidR="00DD1D32">
          <w:rPr>
            <w:noProof/>
            <w:webHidden/>
          </w:rPr>
          <w:t>103</w:t>
        </w:r>
        <w:r w:rsidR="004138C2">
          <w:rPr>
            <w:noProof/>
            <w:webHidden/>
          </w:rPr>
          <w:fldChar w:fldCharType="end"/>
        </w:r>
      </w:hyperlink>
    </w:p>
    <w:p w14:paraId="1BE5E5D5" w14:textId="6F918B2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4" w:history="1">
        <w:r w:rsidR="004138C2" w:rsidRPr="00732F37">
          <w:rPr>
            <w:rStyle w:val="Hyperlink"/>
            <w:rFonts w:cstheme="minorHAnsi"/>
            <w:noProof/>
          </w:rPr>
          <w:t>Liability Notes</w:t>
        </w:r>
        <w:r w:rsidR="004138C2">
          <w:rPr>
            <w:noProof/>
            <w:webHidden/>
          </w:rPr>
          <w:tab/>
        </w:r>
        <w:r w:rsidR="004138C2">
          <w:rPr>
            <w:noProof/>
            <w:webHidden/>
          </w:rPr>
          <w:fldChar w:fldCharType="begin"/>
        </w:r>
        <w:r w:rsidR="004138C2">
          <w:rPr>
            <w:noProof/>
            <w:webHidden/>
          </w:rPr>
          <w:instrText xml:space="preserve"> PAGEREF _Toc132743814 \h </w:instrText>
        </w:r>
        <w:r w:rsidR="004138C2">
          <w:rPr>
            <w:noProof/>
            <w:webHidden/>
          </w:rPr>
        </w:r>
        <w:r w:rsidR="004138C2">
          <w:rPr>
            <w:noProof/>
            <w:webHidden/>
          </w:rPr>
          <w:fldChar w:fldCharType="separate"/>
        </w:r>
        <w:r w:rsidR="00DD1D32">
          <w:rPr>
            <w:noProof/>
            <w:webHidden/>
          </w:rPr>
          <w:t>104</w:t>
        </w:r>
        <w:r w:rsidR="004138C2">
          <w:rPr>
            <w:noProof/>
            <w:webHidden/>
          </w:rPr>
          <w:fldChar w:fldCharType="end"/>
        </w:r>
      </w:hyperlink>
    </w:p>
    <w:p w14:paraId="5DAED4F3" w14:textId="74DFE24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5" w:history="1">
        <w:r w:rsidR="004138C2" w:rsidRPr="00732F37">
          <w:rPr>
            <w:rStyle w:val="Hyperlink"/>
            <w:noProof/>
          </w:rPr>
          <w:t xml:space="preserve">Note 24.  Payables </w:t>
        </w:r>
        <w:r w:rsidR="004138C2" w:rsidRPr="00732F37">
          <w:rPr>
            <w:rStyle w:val="Hyperlink"/>
            <w:rFonts w:cs="Calibri"/>
            <w:strike/>
            <w:noProof/>
          </w:rPr>
          <w:t>and Contract Liabilities</w:t>
        </w:r>
        <w:r w:rsidR="004138C2">
          <w:rPr>
            <w:noProof/>
            <w:webHidden/>
          </w:rPr>
          <w:tab/>
        </w:r>
        <w:r w:rsidR="004138C2">
          <w:rPr>
            <w:noProof/>
            <w:webHidden/>
          </w:rPr>
          <w:fldChar w:fldCharType="begin"/>
        </w:r>
        <w:r w:rsidR="004138C2">
          <w:rPr>
            <w:noProof/>
            <w:webHidden/>
          </w:rPr>
          <w:instrText xml:space="preserve"> PAGEREF _Toc132743815 \h </w:instrText>
        </w:r>
        <w:r w:rsidR="004138C2">
          <w:rPr>
            <w:noProof/>
            <w:webHidden/>
          </w:rPr>
        </w:r>
        <w:r w:rsidR="004138C2">
          <w:rPr>
            <w:noProof/>
            <w:webHidden/>
          </w:rPr>
          <w:fldChar w:fldCharType="separate"/>
        </w:r>
        <w:r w:rsidR="00DD1D32">
          <w:rPr>
            <w:noProof/>
            <w:webHidden/>
          </w:rPr>
          <w:t>104</w:t>
        </w:r>
        <w:r w:rsidR="004138C2">
          <w:rPr>
            <w:noProof/>
            <w:webHidden/>
          </w:rPr>
          <w:fldChar w:fldCharType="end"/>
        </w:r>
      </w:hyperlink>
    </w:p>
    <w:p w14:paraId="172C4D70" w14:textId="7740683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6" w:history="1">
        <w:r w:rsidR="004138C2" w:rsidRPr="00732F37">
          <w:rPr>
            <w:rStyle w:val="Hyperlink"/>
            <w:noProof/>
          </w:rPr>
          <w:t>Note 25.  Borrowings</w:t>
        </w:r>
        <w:r w:rsidR="004138C2">
          <w:rPr>
            <w:noProof/>
            <w:webHidden/>
          </w:rPr>
          <w:tab/>
        </w:r>
        <w:r w:rsidR="004138C2">
          <w:rPr>
            <w:noProof/>
            <w:webHidden/>
          </w:rPr>
          <w:fldChar w:fldCharType="begin"/>
        </w:r>
        <w:r w:rsidR="004138C2">
          <w:rPr>
            <w:noProof/>
            <w:webHidden/>
          </w:rPr>
          <w:instrText xml:space="preserve"> PAGEREF _Toc132743816 \h </w:instrText>
        </w:r>
        <w:r w:rsidR="004138C2">
          <w:rPr>
            <w:noProof/>
            <w:webHidden/>
          </w:rPr>
        </w:r>
        <w:r w:rsidR="004138C2">
          <w:rPr>
            <w:noProof/>
            <w:webHidden/>
          </w:rPr>
          <w:fldChar w:fldCharType="separate"/>
        </w:r>
        <w:r w:rsidR="00DD1D32">
          <w:rPr>
            <w:noProof/>
            <w:webHidden/>
          </w:rPr>
          <w:t>106</w:t>
        </w:r>
        <w:r w:rsidR="004138C2">
          <w:rPr>
            <w:noProof/>
            <w:webHidden/>
          </w:rPr>
          <w:fldChar w:fldCharType="end"/>
        </w:r>
      </w:hyperlink>
    </w:p>
    <w:p w14:paraId="19A38F64" w14:textId="1E45C59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7" w:history="1">
        <w:r w:rsidR="004138C2" w:rsidRPr="00732F37">
          <w:rPr>
            <w:rStyle w:val="Hyperlink"/>
            <w:noProof/>
          </w:rPr>
          <w:t>Note 26 Lease Liabilities</w:t>
        </w:r>
        <w:r w:rsidR="004138C2">
          <w:rPr>
            <w:noProof/>
            <w:webHidden/>
          </w:rPr>
          <w:tab/>
        </w:r>
        <w:r w:rsidR="004138C2">
          <w:rPr>
            <w:noProof/>
            <w:webHidden/>
          </w:rPr>
          <w:fldChar w:fldCharType="begin"/>
        </w:r>
        <w:r w:rsidR="004138C2">
          <w:rPr>
            <w:noProof/>
            <w:webHidden/>
          </w:rPr>
          <w:instrText xml:space="preserve"> PAGEREF _Toc132743817 \h </w:instrText>
        </w:r>
        <w:r w:rsidR="004138C2">
          <w:rPr>
            <w:noProof/>
            <w:webHidden/>
          </w:rPr>
        </w:r>
        <w:r w:rsidR="004138C2">
          <w:rPr>
            <w:noProof/>
            <w:webHidden/>
          </w:rPr>
          <w:fldChar w:fldCharType="separate"/>
        </w:r>
        <w:r w:rsidR="00DD1D32">
          <w:rPr>
            <w:noProof/>
            <w:webHidden/>
          </w:rPr>
          <w:t>108</w:t>
        </w:r>
        <w:r w:rsidR="004138C2">
          <w:rPr>
            <w:noProof/>
            <w:webHidden/>
          </w:rPr>
          <w:fldChar w:fldCharType="end"/>
        </w:r>
      </w:hyperlink>
    </w:p>
    <w:p w14:paraId="32C0B0AB" w14:textId="36C786E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8" w:history="1">
        <w:r w:rsidR="004138C2" w:rsidRPr="00732F37">
          <w:rPr>
            <w:rStyle w:val="Hyperlink"/>
            <w:noProof/>
          </w:rPr>
          <w:t>Note 27.  Employee Benefits</w:t>
        </w:r>
        <w:r w:rsidR="004138C2">
          <w:rPr>
            <w:noProof/>
            <w:webHidden/>
          </w:rPr>
          <w:tab/>
        </w:r>
        <w:r w:rsidR="004138C2">
          <w:rPr>
            <w:noProof/>
            <w:webHidden/>
          </w:rPr>
          <w:fldChar w:fldCharType="begin"/>
        </w:r>
        <w:r w:rsidR="004138C2">
          <w:rPr>
            <w:noProof/>
            <w:webHidden/>
          </w:rPr>
          <w:instrText xml:space="preserve"> PAGEREF _Toc132743818 \h </w:instrText>
        </w:r>
        <w:r w:rsidR="004138C2">
          <w:rPr>
            <w:noProof/>
            <w:webHidden/>
          </w:rPr>
        </w:r>
        <w:r w:rsidR="004138C2">
          <w:rPr>
            <w:noProof/>
            <w:webHidden/>
          </w:rPr>
          <w:fldChar w:fldCharType="separate"/>
        </w:r>
        <w:r w:rsidR="00DD1D32">
          <w:rPr>
            <w:noProof/>
            <w:webHidden/>
          </w:rPr>
          <w:t>112</w:t>
        </w:r>
        <w:r w:rsidR="004138C2">
          <w:rPr>
            <w:noProof/>
            <w:webHidden/>
          </w:rPr>
          <w:fldChar w:fldCharType="end"/>
        </w:r>
      </w:hyperlink>
    </w:p>
    <w:p w14:paraId="25465296" w14:textId="32173DC7"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19" w:history="1">
        <w:r w:rsidR="004138C2" w:rsidRPr="00732F37">
          <w:rPr>
            <w:rStyle w:val="Hyperlink"/>
            <w:noProof/>
          </w:rPr>
          <w:t>Note 28.  Other Provisions</w:t>
        </w:r>
        <w:r w:rsidR="004138C2">
          <w:rPr>
            <w:noProof/>
            <w:webHidden/>
          </w:rPr>
          <w:tab/>
        </w:r>
        <w:r w:rsidR="004138C2">
          <w:rPr>
            <w:noProof/>
            <w:webHidden/>
          </w:rPr>
          <w:fldChar w:fldCharType="begin"/>
        </w:r>
        <w:r w:rsidR="004138C2">
          <w:rPr>
            <w:noProof/>
            <w:webHidden/>
          </w:rPr>
          <w:instrText xml:space="preserve"> PAGEREF _Toc132743819 \h </w:instrText>
        </w:r>
        <w:r w:rsidR="004138C2">
          <w:rPr>
            <w:noProof/>
            <w:webHidden/>
          </w:rPr>
        </w:r>
        <w:r w:rsidR="004138C2">
          <w:rPr>
            <w:noProof/>
            <w:webHidden/>
          </w:rPr>
          <w:fldChar w:fldCharType="separate"/>
        </w:r>
        <w:r w:rsidR="00DD1D32">
          <w:rPr>
            <w:noProof/>
            <w:webHidden/>
          </w:rPr>
          <w:t>114</w:t>
        </w:r>
        <w:r w:rsidR="004138C2">
          <w:rPr>
            <w:noProof/>
            <w:webHidden/>
          </w:rPr>
          <w:fldChar w:fldCharType="end"/>
        </w:r>
      </w:hyperlink>
    </w:p>
    <w:p w14:paraId="15DAFC64" w14:textId="0C502CBE"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0" w:history="1">
        <w:r w:rsidR="004138C2" w:rsidRPr="00732F37">
          <w:rPr>
            <w:rStyle w:val="Hyperlink"/>
            <w:noProof/>
          </w:rPr>
          <w:t>Note 29.  Other Liabilities</w:t>
        </w:r>
        <w:r w:rsidR="004138C2">
          <w:rPr>
            <w:noProof/>
            <w:webHidden/>
          </w:rPr>
          <w:tab/>
        </w:r>
        <w:r w:rsidR="004138C2">
          <w:rPr>
            <w:noProof/>
            <w:webHidden/>
          </w:rPr>
          <w:fldChar w:fldCharType="begin"/>
        </w:r>
        <w:r w:rsidR="004138C2">
          <w:rPr>
            <w:noProof/>
            <w:webHidden/>
          </w:rPr>
          <w:instrText xml:space="preserve"> PAGEREF _Toc132743820 \h </w:instrText>
        </w:r>
        <w:r w:rsidR="004138C2">
          <w:rPr>
            <w:noProof/>
            <w:webHidden/>
          </w:rPr>
        </w:r>
        <w:r w:rsidR="004138C2">
          <w:rPr>
            <w:noProof/>
            <w:webHidden/>
          </w:rPr>
          <w:fldChar w:fldCharType="separate"/>
        </w:r>
        <w:r w:rsidR="00DD1D32">
          <w:rPr>
            <w:noProof/>
            <w:webHidden/>
          </w:rPr>
          <w:t>117</w:t>
        </w:r>
        <w:r w:rsidR="004138C2">
          <w:rPr>
            <w:noProof/>
            <w:webHidden/>
          </w:rPr>
          <w:fldChar w:fldCharType="end"/>
        </w:r>
      </w:hyperlink>
    </w:p>
    <w:p w14:paraId="0D114F24" w14:textId="25422D4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1" w:history="1">
        <w:r w:rsidR="004138C2" w:rsidRPr="00732F37">
          <w:rPr>
            <w:rStyle w:val="Hyperlink"/>
            <w:noProof/>
          </w:rPr>
          <w:t>Note 30. Restructure of Administrative Arrangements [Directorates Only]</w:t>
        </w:r>
        <w:r w:rsidR="004138C2">
          <w:rPr>
            <w:noProof/>
            <w:webHidden/>
          </w:rPr>
          <w:tab/>
        </w:r>
        <w:r w:rsidR="004138C2">
          <w:rPr>
            <w:noProof/>
            <w:webHidden/>
          </w:rPr>
          <w:fldChar w:fldCharType="begin"/>
        </w:r>
        <w:r w:rsidR="004138C2">
          <w:rPr>
            <w:noProof/>
            <w:webHidden/>
          </w:rPr>
          <w:instrText xml:space="preserve"> PAGEREF _Toc132743821 \h </w:instrText>
        </w:r>
        <w:r w:rsidR="004138C2">
          <w:rPr>
            <w:noProof/>
            <w:webHidden/>
          </w:rPr>
        </w:r>
        <w:r w:rsidR="004138C2">
          <w:rPr>
            <w:noProof/>
            <w:webHidden/>
          </w:rPr>
          <w:fldChar w:fldCharType="separate"/>
        </w:r>
        <w:r w:rsidR="00DD1D32">
          <w:rPr>
            <w:noProof/>
            <w:webHidden/>
          </w:rPr>
          <w:t>118</w:t>
        </w:r>
        <w:r w:rsidR="004138C2">
          <w:rPr>
            <w:noProof/>
            <w:webHidden/>
          </w:rPr>
          <w:fldChar w:fldCharType="end"/>
        </w:r>
      </w:hyperlink>
    </w:p>
    <w:p w14:paraId="6C15BE24" w14:textId="65125981"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2" w:history="1">
        <w:r w:rsidR="004138C2" w:rsidRPr="00732F37">
          <w:rPr>
            <w:rStyle w:val="Hyperlink"/>
            <w:noProof/>
          </w:rPr>
          <w:t>Note 31.  Financial Instruments</w:t>
        </w:r>
        <w:r w:rsidR="004138C2">
          <w:rPr>
            <w:noProof/>
            <w:webHidden/>
          </w:rPr>
          <w:tab/>
        </w:r>
        <w:r w:rsidR="004138C2">
          <w:rPr>
            <w:noProof/>
            <w:webHidden/>
          </w:rPr>
          <w:fldChar w:fldCharType="begin"/>
        </w:r>
        <w:r w:rsidR="004138C2">
          <w:rPr>
            <w:noProof/>
            <w:webHidden/>
          </w:rPr>
          <w:instrText xml:space="preserve"> PAGEREF _Toc132743822 \h </w:instrText>
        </w:r>
        <w:r w:rsidR="004138C2">
          <w:rPr>
            <w:noProof/>
            <w:webHidden/>
          </w:rPr>
        </w:r>
        <w:r w:rsidR="004138C2">
          <w:rPr>
            <w:noProof/>
            <w:webHidden/>
          </w:rPr>
          <w:fldChar w:fldCharType="separate"/>
        </w:r>
        <w:r w:rsidR="00DD1D32">
          <w:rPr>
            <w:noProof/>
            <w:webHidden/>
          </w:rPr>
          <w:t>121</w:t>
        </w:r>
        <w:r w:rsidR="004138C2">
          <w:rPr>
            <w:noProof/>
            <w:webHidden/>
          </w:rPr>
          <w:fldChar w:fldCharType="end"/>
        </w:r>
      </w:hyperlink>
    </w:p>
    <w:p w14:paraId="192C4F69" w14:textId="5C5B96C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3" w:history="1">
        <w:r w:rsidR="004138C2" w:rsidRPr="00732F37">
          <w:rPr>
            <w:rStyle w:val="Hyperlink"/>
            <w:noProof/>
          </w:rPr>
          <w:t>Note 32. Capital and Other Expenditure Commitments</w:t>
        </w:r>
        <w:r w:rsidR="004138C2">
          <w:rPr>
            <w:noProof/>
            <w:webHidden/>
          </w:rPr>
          <w:tab/>
        </w:r>
        <w:r w:rsidR="004138C2">
          <w:rPr>
            <w:noProof/>
            <w:webHidden/>
          </w:rPr>
          <w:fldChar w:fldCharType="begin"/>
        </w:r>
        <w:r w:rsidR="004138C2">
          <w:rPr>
            <w:noProof/>
            <w:webHidden/>
          </w:rPr>
          <w:instrText xml:space="preserve"> PAGEREF _Toc132743823 \h </w:instrText>
        </w:r>
        <w:r w:rsidR="004138C2">
          <w:rPr>
            <w:noProof/>
            <w:webHidden/>
          </w:rPr>
        </w:r>
        <w:r w:rsidR="004138C2">
          <w:rPr>
            <w:noProof/>
            <w:webHidden/>
          </w:rPr>
          <w:fldChar w:fldCharType="separate"/>
        </w:r>
        <w:r w:rsidR="00DD1D32">
          <w:rPr>
            <w:noProof/>
            <w:webHidden/>
          </w:rPr>
          <w:t>129</w:t>
        </w:r>
        <w:r w:rsidR="004138C2">
          <w:rPr>
            <w:noProof/>
            <w:webHidden/>
          </w:rPr>
          <w:fldChar w:fldCharType="end"/>
        </w:r>
      </w:hyperlink>
    </w:p>
    <w:p w14:paraId="1951F0F4" w14:textId="3FEB1A7E"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5" w:history="1">
        <w:r w:rsidR="004138C2" w:rsidRPr="00732F37">
          <w:rPr>
            <w:rStyle w:val="Hyperlink"/>
            <w:noProof/>
          </w:rPr>
          <w:t>Note 33.  Contingent Liabilities and Contingent Assets</w:t>
        </w:r>
        <w:r w:rsidR="004138C2">
          <w:rPr>
            <w:noProof/>
            <w:webHidden/>
          </w:rPr>
          <w:tab/>
        </w:r>
        <w:r w:rsidR="004138C2">
          <w:rPr>
            <w:noProof/>
            <w:webHidden/>
          </w:rPr>
          <w:fldChar w:fldCharType="begin"/>
        </w:r>
        <w:r w:rsidR="004138C2">
          <w:rPr>
            <w:noProof/>
            <w:webHidden/>
          </w:rPr>
          <w:instrText xml:space="preserve"> PAGEREF _Toc132743825 \h </w:instrText>
        </w:r>
        <w:r w:rsidR="004138C2">
          <w:rPr>
            <w:noProof/>
            <w:webHidden/>
          </w:rPr>
        </w:r>
        <w:r w:rsidR="004138C2">
          <w:rPr>
            <w:noProof/>
            <w:webHidden/>
          </w:rPr>
          <w:fldChar w:fldCharType="separate"/>
        </w:r>
        <w:r w:rsidR="00DD1D32">
          <w:rPr>
            <w:noProof/>
            <w:webHidden/>
          </w:rPr>
          <w:t>130</w:t>
        </w:r>
        <w:r w:rsidR="004138C2">
          <w:rPr>
            <w:noProof/>
            <w:webHidden/>
          </w:rPr>
          <w:fldChar w:fldCharType="end"/>
        </w:r>
      </w:hyperlink>
    </w:p>
    <w:p w14:paraId="77957277" w14:textId="1E2ECD33"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6" w:history="1">
        <w:r w:rsidR="004138C2" w:rsidRPr="00732F37">
          <w:rPr>
            <w:rStyle w:val="Hyperlink"/>
            <w:noProof/>
          </w:rPr>
          <w:t>Note 34.  Interest in a Joint Venture</w:t>
        </w:r>
        <w:r w:rsidR="004138C2">
          <w:rPr>
            <w:noProof/>
            <w:webHidden/>
          </w:rPr>
          <w:tab/>
        </w:r>
        <w:r w:rsidR="004138C2">
          <w:rPr>
            <w:noProof/>
            <w:webHidden/>
          </w:rPr>
          <w:fldChar w:fldCharType="begin"/>
        </w:r>
        <w:r w:rsidR="004138C2">
          <w:rPr>
            <w:noProof/>
            <w:webHidden/>
          </w:rPr>
          <w:instrText xml:space="preserve"> PAGEREF _Toc132743826 \h </w:instrText>
        </w:r>
        <w:r w:rsidR="004138C2">
          <w:rPr>
            <w:noProof/>
            <w:webHidden/>
          </w:rPr>
        </w:r>
        <w:r w:rsidR="004138C2">
          <w:rPr>
            <w:noProof/>
            <w:webHidden/>
          </w:rPr>
          <w:fldChar w:fldCharType="separate"/>
        </w:r>
        <w:r w:rsidR="00DD1D32">
          <w:rPr>
            <w:noProof/>
            <w:webHidden/>
          </w:rPr>
          <w:t>132</w:t>
        </w:r>
        <w:r w:rsidR="004138C2">
          <w:rPr>
            <w:noProof/>
            <w:webHidden/>
          </w:rPr>
          <w:fldChar w:fldCharType="end"/>
        </w:r>
      </w:hyperlink>
    </w:p>
    <w:p w14:paraId="42FB0BBA" w14:textId="1CDD41E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29" w:history="1">
        <w:r w:rsidR="004138C2" w:rsidRPr="00732F37">
          <w:rPr>
            <w:rStyle w:val="Hyperlink"/>
            <w:noProof/>
          </w:rPr>
          <w:t>Note 35</w:t>
        </w:r>
        <w:r w:rsidR="004138C2" w:rsidRPr="00732F37">
          <w:rPr>
            <w:rStyle w:val="Hyperlink"/>
            <w:rFonts w:ascii="Arial Bold" w:hAnsi="Arial Bold"/>
            <w:noProof/>
          </w:rPr>
          <w:t>.</w:t>
        </w:r>
        <w:r w:rsidR="004138C2" w:rsidRPr="00732F37">
          <w:rPr>
            <w:rStyle w:val="Hyperlink"/>
            <w:noProof/>
          </w:rPr>
          <w:t xml:space="preserve">  Interest in A Joint Operation</w:t>
        </w:r>
        <w:r w:rsidR="004138C2">
          <w:rPr>
            <w:noProof/>
            <w:webHidden/>
          </w:rPr>
          <w:tab/>
        </w:r>
        <w:r w:rsidR="004138C2">
          <w:rPr>
            <w:noProof/>
            <w:webHidden/>
          </w:rPr>
          <w:fldChar w:fldCharType="begin"/>
        </w:r>
        <w:r w:rsidR="004138C2">
          <w:rPr>
            <w:noProof/>
            <w:webHidden/>
          </w:rPr>
          <w:instrText xml:space="preserve"> PAGEREF _Toc132743829 \h </w:instrText>
        </w:r>
        <w:r w:rsidR="004138C2">
          <w:rPr>
            <w:noProof/>
            <w:webHidden/>
          </w:rPr>
        </w:r>
        <w:r w:rsidR="004138C2">
          <w:rPr>
            <w:noProof/>
            <w:webHidden/>
          </w:rPr>
          <w:fldChar w:fldCharType="separate"/>
        </w:r>
        <w:r w:rsidR="00DD1D32">
          <w:rPr>
            <w:noProof/>
            <w:webHidden/>
          </w:rPr>
          <w:t>135</w:t>
        </w:r>
        <w:r w:rsidR="004138C2">
          <w:rPr>
            <w:noProof/>
            <w:webHidden/>
          </w:rPr>
          <w:fldChar w:fldCharType="end"/>
        </w:r>
      </w:hyperlink>
    </w:p>
    <w:p w14:paraId="2598BCD7" w14:textId="640DFD9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1" w:history="1">
        <w:r w:rsidR="004138C2" w:rsidRPr="00732F37">
          <w:rPr>
            <w:rStyle w:val="Hyperlink"/>
            <w:noProof/>
          </w:rPr>
          <w:t>Note 36.  Events after the Reporting Period</w:t>
        </w:r>
        <w:r w:rsidR="004138C2">
          <w:rPr>
            <w:noProof/>
            <w:webHidden/>
          </w:rPr>
          <w:tab/>
        </w:r>
        <w:r w:rsidR="004138C2">
          <w:rPr>
            <w:noProof/>
            <w:webHidden/>
          </w:rPr>
          <w:fldChar w:fldCharType="begin"/>
        </w:r>
        <w:r w:rsidR="004138C2">
          <w:rPr>
            <w:noProof/>
            <w:webHidden/>
          </w:rPr>
          <w:instrText xml:space="preserve"> PAGEREF _Toc132743831 \h </w:instrText>
        </w:r>
        <w:r w:rsidR="004138C2">
          <w:rPr>
            <w:noProof/>
            <w:webHidden/>
          </w:rPr>
        </w:r>
        <w:r w:rsidR="004138C2">
          <w:rPr>
            <w:noProof/>
            <w:webHidden/>
          </w:rPr>
          <w:fldChar w:fldCharType="separate"/>
        </w:r>
        <w:r w:rsidR="00DD1D32">
          <w:rPr>
            <w:noProof/>
            <w:webHidden/>
          </w:rPr>
          <w:t>136</w:t>
        </w:r>
        <w:r w:rsidR="004138C2">
          <w:rPr>
            <w:noProof/>
            <w:webHidden/>
          </w:rPr>
          <w:fldChar w:fldCharType="end"/>
        </w:r>
      </w:hyperlink>
    </w:p>
    <w:p w14:paraId="6F913BC6" w14:textId="36DB0BF0"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2" w:history="1">
        <w:r w:rsidR="004138C2" w:rsidRPr="00732F37">
          <w:rPr>
            <w:rStyle w:val="Hyperlink"/>
            <w:noProof/>
          </w:rPr>
          <w:t>Note 37.  Third Party Monies</w:t>
        </w:r>
        <w:r w:rsidR="004138C2">
          <w:rPr>
            <w:noProof/>
            <w:webHidden/>
          </w:rPr>
          <w:tab/>
        </w:r>
        <w:r w:rsidR="004138C2">
          <w:rPr>
            <w:noProof/>
            <w:webHidden/>
          </w:rPr>
          <w:fldChar w:fldCharType="begin"/>
        </w:r>
        <w:r w:rsidR="004138C2">
          <w:rPr>
            <w:noProof/>
            <w:webHidden/>
          </w:rPr>
          <w:instrText xml:space="preserve"> PAGEREF _Toc132743832 \h </w:instrText>
        </w:r>
        <w:r w:rsidR="004138C2">
          <w:rPr>
            <w:noProof/>
            <w:webHidden/>
          </w:rPr>
        </w:r>
        <w:r w:rsidR="004138C2">
          <w:rPr>
            <w:noProof/>
            <w:webHidden/>
          </w:rPr>
          <w:fldChar w:fldCharType="separate"/>
        </w:r>
        <w:r w:rsidR="00DD1D32">
          <w:rPr>
            <w:noProof/>
            <w:webHidden/>
          </w:rPr>
          <w:t>137</w:t>
        </w:r>
        <w:r w:rsidR="004138C2">
          <w:rPr>
            <w:noProof/>
            <w:webHidden/>
          </w:rPr>
          <w:fldChar w:fldCharType="end"/>
        </w:r>
      </w:hyperlink>
    </w:p>
    <w:p w14:paraId="31AF198F" w14:textId="41C6E81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3" w:history="1">
        <w:r w:rsidR="004138C2" w:rsidRPr="00732F37">
          <w:rPr>
            <w:rStyle w:val="Hyperlink"/>
            <w:noProof/>
          </w:rPr>
          <w:t>Note 38.  Related Party Disclosures</w:t>
        </w:r>
        <w:r w:rsidR="004138C2">
          <w:rPr>
            <w:noProof/>
            <w:webHidden/>
          </w:rPr>
          <w:tab/>
        </w:r>
        <w:r w:rsidR="004138C2">
          <w:rPr>
            <w:noProof/>
            <w:webHidden/>
          </w:rPr>
          <w:fldChar w:fldCharType="begin"/>
        </w:r>
        <w:r w:rsidR="004138C2">
          <w:rPr>
            <w:noProof/>
            <w:webHidden/>
          </w:rPr>
          <w:instrText xml:space="preserve"> PAGEREF _Toc132743833 \h </w:instrText>
        </w:r>
        <w:r w:rsidR="004138C2">
          <w:rPr>
            <w:noProof/>
            <w:webHidden/>
          </w:rPr>
        </w:r>
        <w:r w:rsidR="004138C2">
          <w:rPr>
            <w:noProof/>
            <w:webHidden/>
          </w:rPr>
          <w:fldChar w:fldCharType="separate"/>
        </w:r>
        <w:r w:rsidR="00DD1D32">
          <w:rPr>
            <w:noProof/>
            <w:webHidden/>
          </w:rPr>
          <w:t>138</w:t>
        </w:r>
        <w:r w:rsidR="004138C2">
          <w:rPr>
            <w:noProof/>
            <w:webHidden/>
          </w:rPr>
          <w:fldChar w:fldCharType="end"/>
        </w:r>
      </w:hyperlink>
    </w:p>
    <w:p w14:paraId="25745BE4" w14:textId="5B513AFE"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4" w:history="1">
        <w:r w:rsidR="004138C2" w:rsidRPr="00732F37">
          <w:rPr>
            <w:rStyle w:val="Hyperlink"/>
            <w:noProof/>
          </w:rPr>
          <w:t>Note 39 Service Concession Arrangements</w:t>
        </w:r>
        <w:r w:rsidR="004138C2">
          <w:rPr>
            <w:noProof/>
            <w:webHidden/>
          </w:rPr>
          <w:tab/>
        </w:r>
        <w:r w:rsidR="004138C2">
          <w:rPr>
            <w:noProof/>
            <w:webHidden/>
          </w:rPr>
          <w:fldChar w:fldCharType="begin"/>
        </w:r>
        <w:r w:rsidR="004138C2">
          <w:rPr>
            <w:noProof/>
            <w:webHidden/>
          </w:rPr>
          <w:instrText xml:space="preserve"> PAGEREF _Toc132743834 \h </w:instrText>
        </w:r>
        <w:r w:rsidR="004138C2">
          <w:rPr>
            <w:noProof/>
            <w:webHidden/>
          </w:rPr>
        </w:r>
        <w:r w:rsidR="004138C2">
          <w:rPr>
            <w:noProof/>
            <w:webHidden/>
          </w:rPr>
          <w:fldChar w:fldCharType="separate"/>
        </w:r>
        <w:r w:rsidR="00DD1D32">
          <w:rPr>
            <w:noProof/>
            <w:webHidden/>
          </w:rPr>
          <w:t>143</w:t>
        </w:r>
        <w:r w:rsidR="004138C2">
          <w:rPr>
            <w:noProof/>
            <w:webHidden/>
          </w:rPr>
          <w:fldChar w:fldCharType="end"/>
        </w:r>
      </w:hyperlink>
    </w:p>
    <w:p w14:paraId="7BF6049A" w14:textId="5E72971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5" w:history="1">
        <w:r w:rsidR="004138C2" w:rsidRPr="00732F37">
          <w:rPr>
            <w:rStyle w:val="Hyperlink"/>
            <w:noProof/>
          </w:rPr>
          <w:t>Note 40.  Budgetary Reporting</w:t>
        </w:r>
        <w:r w:rsidR="004138C2">
          <w:rPr>
            <w:noProof/>
            <w:webHidden/>
          </w:rPr>
          <w:tab/>
        </w:r>
        <w:r w:rsidR="004138C2">
          <w:rPr>
            <w:noProof/>
            <w:webHidden/>
          </w:rPr>
          <w:fldChar w:fldCharType="begin"/>
        </w:r>
        <w:r w:rsidR="004138C2">
          <w:rPr>
            <w:noProof/>
            <w:webHidden/>
          </w:rPr>
          <w:instrText xml:space="preserve"> PAGEREF _Toc132743835 \h </w:instrText>
        </w:r>
        <w:r w:rsidR="004138C2">
          <w:rPr>
            <w:noProof/>
            <w:webHidden/>
          </w:rPr>
        </w:r>
        <w:r w:rsidR="004138C2">
          <w:rPr>
            <w:noProof/>
            <w:webHidden/>
          </w:rPr>
          <w:fldChar w:fldCharType="separate"/>
        </w:r>
        <w:r w:rsidR="00DD1D32">
          <w:rPr>
            <w:noProof/>
            <w:webHidden/>
          </w:rPr>
          <w:t>146</w:t>
        </w:r>
        <w:r w:rsidR="004138C2">
          <w:rPr>
            <w:noProof/>
            <w:webHidden/>
          </w:rPr>
          <w:fldChar w:fldCharType="end"/>
        </w:r>
      </w:hyperlink>
    </w:p>
    <w:p w14:paraId="44DB1930" w14:textId="4251A2A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7" w:history="1">
        <w:r w:rsidR="004138C2" w:rsidRPr="00732F37">
          <w:rPr>
            <w:rStyle w:val="Hyperlink"/>
            <w:noProof/>
          </w:rPr>
          <w:t>TERRITORIAL FINANCIAL STATEMENTS</w:t>
        </w:r>
        <w:r w:rsidR="004138C2" w:rsidRPr="00732F37">
          <w:rPr>
            <w:rStyle w:val="Hyperlink"/>
            <w:noProof/>
            <w:vertAlign w:val="superscript"/>
          </w:rPr>
          <w:t>1</w:t>
        </w:r>
        <w:r w:rsidR="004138C2">
          <w:rPr>
            <w:noProof/>
            <w:webHidden/>
          </w:rPr>
          <w:tab/>
        </w:r>
        <w:r w:rsidR="004138C2">
          <w:rPr>
            <w:noProof/>
            <w:webHidden/>
          </w:rPr>
          <w:fldChar w:fldCharType="begin"/>
        </w:r>
        <w:r w:rsidR="004138C2">
          <w:rPr>
            <w:noProof/>
            <w:webHidden/>
          </w:rPr>
          <w:instrText xml:space="preserve"> PAGEREF _Toc132743837 \h </w:instrText>
        </w:r>
        <w:r w:rsidR="004138C2">
          <w:rPr>
            <w:noProof/>
            <w:webHidden/>
          </w:rPr>
        </w:r>
        <w:r w:rsidR="004138C2">
          <w:rPr>
            <w:noProof/>
            <w:webHidden/>
          </w:rPr>
          <w:fldChar w:fldCharType="separate"/>
        </w:r>
        <w:r w:rsidR="00DD1D32">
          <w:rPr>
            <w:noProof/>
            <w:webHidden/>
          </w:rPr>
          <w:t>151</w:t>
        </w:r>
        <w:r w:rsidR="004138C2">
          <w:rPr>
            <w:noProof/>
            <w:webHidden/>
          </w:rPr>
          <w:fldChar w:fldCharType="end"/>
        </w:r>
      </w:hyperlink>
    </w:p>
    <w:p w14:paraId="24621D0E" w14:textId="2406754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8" w:history="1">
        <w:r w:rsidR="004138C2" w:rsidRPr="00732F37">
          <w:rPr>
            <w:rStyle w:val="Hyperlink"/>
            <w:noProof/>
          </w:rPr>
          <w:t>Content of Territorial</w:t>
        </w:r>
        <w:r w:rsidR="004138C2" w:rsidRPr="00732F37">
          <w:rPr>
            <w:rStyle w:val="Hyperlink"/>
            <w:rFonts w:cstheme="minorHAnsi"/>
            <w:noProof/>
          </w:rPr>
          <w:t xml:space="preserve"> Financial Statements</w:t>
        </w:r>
        <w:r w:rsidR="004138C2">
          <w:rPr>
            <w:noProof/>
            <w:webHidden/>
          </w:rPr>
          <w:tab/>
        </w:r>
        <w:r w:rsidR="004138C2">
          <w:rPr>
            <w:noProof/>
            <w:webHidden/>
          </w:rPr>
          <w:fldChar w:fldCharType="begin"/>
        </w:r>
        <w:r w:rsidR="004138C2">
          <w:rPr>
            <w:noProof/>
            <w:webHidden/>
          </w:rPr>
          <w:instrText xml:space="preserve"> PAGEREF _Toc132743838 \h </w:instrText>
        </w:r>
        <w:r w:rsidR="004138C2">
          <w:rPr>
            <w:noProof/>
            <w:webHidden/>
          </w:rPr>
        </w:r>
        <w:r w:rsidR="004138C2">
          <w:rPr>
            <w:noProof/>
            <w:webHidden/>
          </w:rPr>
          <w:fldChar w:fldCharType="separate"/>
        </w:r>
        <w:r w:rsidR="00DD1D32">
          <w:rPr>
            <w:noProof/>
            <w:webHidden/>
          </w:rPr>
          <w:t>152</w:t>
        </w:r>
        <w:r w:rsidR="004138C2">
          <w:rPr>
            <w:noProof/>
            <w:webHidden/>
          </w:rPr>
          <w:fldChar w:fldCharType="end"/>
        </w:r>
      </w:hyperlink>
    </w:p>
    <w:p w14:paraId="63017B06" w14:textId="0EE98739"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39" w:history="1">
        <w:r w:rsidR="004138C2" w:rsidRPr="00732F37">
          <w:rPr>
            <w:rStyle w:val="Hyperlink"/>
            <w:rFonts w:cstheme="minorHAnsi"/>
            <w:noProof/>
          </w:rPr>
          <w:t>Statement of Income and Expenses on Behalf of the Territory</w:t>
        </w:r>
        <w:r w:rsidR="004138C2">
          <w:rPr>
            <w:noProof/>
            <w:webHidden/>
          </w:rPr>
          <w:tab/>
        </w:r>
        <w:r w:rsidR="004138C2">
          <w:rPr>
            <w:noProof/>
            <w:webHidden/>
          </w:rPr>
          <w:fldChar w:fldCharType="begin"/>
        </w:r>
        <w:r w:rsidR="004138C2">
          <w:rPr>
            <w:noProof/>
            <w:webHidden/>
          </w:rPr>
          <w:instrText xml:space="preserve"> PAGEREF _Toc132743839 \h </w:instrText>
        </w:r>
        <w:r w:rsidR="004138C2">
          <w:rPr>
            <w:noProof/>
            <w:webHidden/>
          </w:rPr>
        </w:r>
        <w:r w:rsidR="004138C2">
          <w:rPr>
            <w:noProof/>
            <w:webHidden/>
          </w:rPr>
          <w:fldChar w:fldCharType="separate"/>
        </w:r>
        <w:r w:rsidR="00DD1D32">
          <w:rPr>
            <w:noProof/>
            <w:webHidden/>
          </w:rPr>
          <w:t>153</w:t>
        </w:r>
        <w:r w:rsidR="004138C2">
          <w:rPr>
            <w:noProof/>
            <w:webHidden/>
          </w:rPr>
          <w:fldChar w:fldCharType="end"/>
        </w:r>
      </w:hyperlink>
    </w:p>
    <w:p w14:paraId="4AD98652" w14:textId="60A8486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0" w:history="1">
        <w:r w:rsidR="004138C2" w:rsidRPr="00732F37">
          <w:rPr>
            <w:rStyle w:val="Hyperlink"/>
            <w:noProof/>
          </w:rPr>
          <w:t>Statement of Assets and Liabilities on Behalf of the Territory</w:t>
        </w:r>
        <w:r w:rsidR="004138C2">
          <w:rPr>
            <w:noProof/>
            <w:webHidden/>
          </w:rPr>
          <w:tab/>
        </w:r>
        <w:r w:rsidR="004138C2">
          <w:rPr>
            <w:noProof/>
            <w:webHidden/>
          </w:rPr>
          <w:fldChar w:fldCharType="begin"/>
        </w:r>
        <w:r w:rsidR="004138C2">
          <w:rPr>
            <w:noProof/>
            <w:webHidden/>
          </w:rPr>
          <w:instrText xml:space="preserve"> PAGEREF _Toc132743840 \h </w:instrText>
        </w:r>
        <w:r w:rsidR="004138C2">
          <w:rPr>
            <w:noProof/>
            <w:webHidden/>
          </w:rPr>
        </w:r>
        <w:r w:rsidR="004138C2">
          <w:rPr>
            <w:noProof/>
            <w:webHidden/>
          </w:rPr>
          <w:fldChar w:fldCharType="separate"/>
        </w:r>
        <w:r w:rsidR="00DD1D32">
          <w:rPr>
            <w:noProof/>
            <w:webHidden/>
          </w:rPr>
          <w:t>154</w:t>
        </w:r>
        <w:r w:rsidR="004138C2">
          <w:rPr>
            <w:noProof/>
            <w:webHidden/>
          </w:rPr>
          <w:fldChar w:fldCharType="end"/>
        </w:r>
      </w:hyperlink>
    </w:p>
    <w:p w14:paraId="1602DC45" w14:textId="1AE09DF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1" w:history="1">
        <w:r w:rsidR="004138C2" w:rsidRPr="00732F37">
          <w:rPr>
            <w:rStyle w:val="Hyperlink"/>
            <w:rFonts w:cstheme="minorHAnsi"/>
            <w:noProof/>
          </w:rPr>
          <w:t>Statement of Changes in Equity on Behalf of the Territory</w:t>
        </w:r>
        <w:r w:rsidR="004138C2">
          <w:rPr>
            <w:noProof/>
            <w:webHidden/>
          </w:rPr>
          <w:tab/>
        </w:r>
        <w:r w:rsidR="004138C2">
          <w:rPr>
            <w:noProof/>
            <w:webHidden/>
          </w:rPr>
          <w:fldChar w:fldCharType="begin"/>
        </w:r>
        <w:r w:rsidR="004138C2">
          <w:rPr>
            <w:noProof/>
            <w:webHidden/>
          </w:rPr>
          <w:instrText xml:space="preserve"> PAGEREF _Toc132743841 \h </w:instrText>
        </w:r>
        <w:r w:rsidR="004138C2">
          <w:rPr>
            <w:noProof/>
            <w:webHidden/>
          </w:rPr>
        </w:r>
        <w:r w:rsidR="004138C2">
          <w:rPr>
            <w:noProof/>
            <w:webHidden/>
          </w:rPr>
          <w:fldChar w:fldCharType="separate"/>
        </w:r>
        <w:r w:rsidR="00DD1D32">
          <w:rPr>
            <w:noProof/>
            <w:webHidden/>
          </w:rPr>
          <w:t>155</w:t>
        </w:r>
        <w:r w:rsidR="004138C2">
          <w:rPr>
            <w:noProof/>
            <w:webHidden/>
          </w:rPr>
          <w:fldChar w:fldCharType="end"/>
        </w:r>
      </w:hyperlink>
    </w:p>
    <w:p w14:paraId="06C90CCD" w14:textId="372A6CF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2" w:history="1">
        <w:r w:rsidR="004138C2" w:rsidRPr="00732F37">
          <w:rPr>
            <w:rStyle w:val="Hyperlink"/>
            <w:rFonts w:cstheme="minorHAnsi"/>
            <w:noProof/>
          </w:rPr>
          <w:t>Statement of Cash Flows on Behalf of the Territory</w:t>
        </w:r>
        <w:r w:rsidR="004138C2">
          <w:rPr>
            <w:noProof/>
            <w:webHidden/>
          </w:rPr>
          <w:tab/>
        </w:r>
        <w:r w:rsidR="004138C2">
          <w:rPr>
            <w:noProof/>
            <w:webHidden/>
          </w:rPr>
          <w:fldChar w:fldCharType="begin"/>
        </w:r>
        <w:r w:rsidR="004138C2">
          <w:rPr>
            <w:noProof/>
            <w:webHidden/>
          </w:rPr>
          <w:instrText xml:space="preserve"> PAGEREF _Toc132743842 \h </w:instrText>
        </w:r>
        <w:r w:rsidR="004138C2">
          <w:rPr>
            <w:noProof/>
            <w:webHidden/>
          </w:rPr>
        </w:r>
        <w:r w:rsidR="004138C2">
          <w:rPr>
            <w:noProof/>
            <w:webHidden/>
          </w:rPr>
          <w:fldChar w:fldCharType="separate"/>
        </w:r>
        <w:r w:rsidR="00DD1D32">
          <w:rPr>
            <w:noProof/>
            <w:webHidden/>
          </w:rPr>
          <w:t>157</w:t>
        </w:r>
        <w:r w:rsidR="004138C2">
          <w:rPr>
            <w:noProof/>
            <w:webHidden/>
          </w:rPr>
          <w:fldChar w:fldCharType="end"/>
        </w:r>
      </w:hyperlink>
    </w:p>
    <w:p w14:paraId="69FCBDC2" w14:textId="66DAC96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3" w:history="1">
        <w:r w:rsidR="004138C2" w:rsidRPr="00732F37">
          <w:rPr>
            <w:rStyle w:val="Hyperlink"/>
            <w:rFonts w:cstheme="minorHAnsi"/>
            <w:noProof/>
            <w:snapToGrid w:val="0"/>
          </w:rPr>
          <w:t>Territorial Statement of Appropriation</w:t>
        </w:r>
        <w:r w:rsidR="004138C2">
          <w:rPr>
            <w:noProof/>
            <w:webHidden/>
          </w:rPr>
          <w:tab/>
        </w:r>
        <w:r w:rsidR="004138C2">
          <w:rPr>
            <w:noProof/>
            <w:webHidden/>
          </w:rPr>
          <w:fldChar w:fldCharType="begin"/>
        </w:r>
        <w:r w:rsidR="004138C2">
          <w:rPr>
            <w:noProof/>
            <w:webHidden/>
          </w:rPr>
          <w:instrText xml:space="preserve"> PAGEREF _Toc132743843 \h </w:instrText>
        </w:r>
        <w:r w:rsidR="004138C2">
          <w:rPr>
            <w:noProof/>
            <w:webHidden/>
          </w:rPr>
        </w:r>
        <w:r w:rsidR="004138C2">
          <w:rPr>
            <w:noProof/>
            <w:webHidden/>
          </w:rPr>
          <w:fldChar w:fldCharType="separate"/>
        </w:r>
        <w:r w:rsidR="00DD1D32">
          <w:rPr>
            <w:noProof/>
            <w:webHidden/>
          </w:rPr>
          <w:t>158</w:t>
        </w:r>
        <w:r w:rsidR="004138C2">
          <w:rPr>
            <w:noProof/>
            <w:webHidden/>
          </w:rPr>
          <w:fldChar w:fldCharType="end"/>
        </w:r>
      </w:hyperlink>
    </w:p>
    <w:p w14:paraId="2008988A" w14:textId="23124E12"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4" w:history="1">
        <w:r w:rsidR="004138C2" w:rsidRPr="00732F37">
          <w:rPr>
            <w:rStyle w:val="Hyperlink"/>
            <w:noProof/>
          </w:rPr>
          <w:t>Note 41.  Basis of Preparation of the Financial Statements – Territorial</w:t>
        </w:r>
        <w:r w:rsidR="004138C2">
          <w:rPr>
            <w:noProof/>
            <w:webHidden/>
          </w:rPr>
          <w:tab/>
        </w:r>
        <w:r w:rsidR="004138C2">
          <w:rPr>
            <w:noProof/>
            <w:webHidden/>
          </w:rPr>
          <w:fldChar w:fldCharType="begin"/>
        </w:r>
        <w:r w:rsidR="004138C2">
          <w:rPr>
            <w:noProof/>
            <w:webHidden/>
          </w:rPr>
          <w:instrText xml:space="preserve"> PAGEREF _Toc132743844 \h </w:instrText>
        </w:r>
        <w:r w:rsidR="004138C2">
          <w:rPr>
            <w:noProof/>
            <w:webHidden/>
          </w:rPr>
        </w:r>
        <w:r w:rsidR="004138C2">
          <w:rPr>
            <w:noProof/>
            <w:webHidden/>
          </w:rPr>
          <w:fldChar w:fldCharType="separate"/>
        </w:r>
        <w:r w:rsidR="00DD1D32">
          <w:rPr>
            <w:noProof/>
            <w:webHidden/>
          </w:rPr>
          <w:t>158</w:t>
        </w:r>
        <w:r w:rsidR="004138C2">
          <w:rPr>
            <w:noProof/>
            <w:webHidden/>
          </w:rPr>
          <w:fldChar w:fldCharType="end"/>
        </w:r>
      </w:hyperlink>
    </w:p>
    <w:p w14:paraId="04D0B08A" w14:textId="05FE64A9"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5" w:history="1">
        <w:r w:rsidR="004138C2" w:rsidRPr="00732F37">
          <w:rPr>
            <w:rStyle w:val="Hyperlink"/>
            <w:noProof/>
          </w:rPr>
          <w:t>Note 42.  Taxes, Licences, Fees and Fines – Territorial</w:t>
        </w:r>
        <w:r w:rsidR="004138C2">
          <w:rPr>
            <w:noProof/>
            <w:webHidden/>
          </w:rPr>
          <w:tab/>
        </w:r>
        <w:r w:rsidR="004138C2">
          <w:rPr>
            <w:noProof/>
            <w:webHidden/>
          </w:rPr>
          <w:fldChar w:fldCharType="begin"/>
        </w:r>
        <w:r w:rsidR="004138C2">
          <w:rPr>
            <w:noProof/>
            <w:webHidden/>
          </w:rPr>
          <w:instrText xml:space="preserve"> PAGEREF _Toc132743845 \h </w:instrText>
        </w:r>
        <w:r w:rsidR="004138C2">
          <w:rPr>
            <w:noProof/>
            <w:webHidden/>
          </w:rPr>
        </w:r>
        <w:r w:rsidR="004138C2">
          <w:rPr>
            <w:noProof/>
            <w:webHidden/>
          </w:rPr>
          <w:fldChar w:fldCharType="separate"/>
        </w:r>
        <w:r w:rsidR="00DD1D32">
          <w:rPr>
            <w:noProof/>
            <w:webHidden/>
          </w:rPr>
          <w:t>159</w:t>
        </w:r>
        <w:r w:rsidR="004138C2">
          <w:rPr>
            <w:noProof/>
            <w:webHidden/>
          </w:rPr>
          <w:fldChar w:fldCharType="end"/>
        </w:r>
      </w:hyperlink>
    </w:p>
    <w:p w14:paraId="55115FC5" w14:textId="1E8996E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6" w:history="1">
        <w:r w:rsidR="004138C2" w:rsidRPr="00732F37">
          <w:rPr>
            <w:rStyle w:val="Hyperlink"/>
            <w:noProof/>
          </w:rPr>
          <w:t>Note 43. Other Income – Territorial</w:t>
        </w:r>
        <w:r w:rsidR="004138C2">
          <w:rPr>
            <w:noProof/>
            <w:webHidden/>
          </w:rPr>
          <w:tab/>
        </w:r>
        <w:r w:rsidR="004138C2">
          <w:rPr>
            <w:noProof/>
            <w:webHidden/>
          </w:rPr>
          <w:fldChar w:fldCharType="begin"/>
        </w:r>
        <w:r w:rsidR="004138C2">
          <w:rPr>
            <w:noProof/>
            <w:webHidden/>
          </w:rPr>
          <w:instrText xml:space="preserve"> PAGEREF _Toc132743846 \h </w:instrText>
        </w:r>
        <w:r w:rsidR="004138C2">
          <w:rPr>
            <w:noProof/>
            <w:webHidden/>
          </w:rPr>
        </w:r>
        <w:r w:rsidR="004138C2">
          <w:rPr>
            <w:noProof/>
            <w:webHidden/>
          </w:rPr>
          <w:fldChar w:fldCharType="separate"/>
        </w:r>
        <w:r w:rsidR="00DD1D32">
          <w:rPr>
            <w:noProof/>
            <w:webHidden/>
          </w:rPr>
          <w:t>160</w:t>
        </w:r>
        <w:r w:rsidR="004138C2">
          <w:rPr>
            <w:noProof/>
            <w:webHidden/>
          </w:rPr>
          <w:fldChar w:fldCharType="end"/>
        </w:r>
      </w:hyperlink>
    </w:p>
    <w:p w14:paraId="1693E6E7" w14:textId="7705E4D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7" w:history="1">
        <w:r w:rsidR="004138C2" w:rsidRPr="00732F37">
          <w:rPr>
            <w:rStyle w:val="Hyperlink"/>
            <w:noProof/>
          </w:rPr>
          <w:t>Note 44. Grants and Purchased Services – Territorial</w:t>
        </w:r>
        <w:r w:rsidR="004138C2">
          <w:rPr>
            <w:noProof/>
            <w:webHidden/>
          </w:rPr>
          <w:tab/>
        </w:r>
        <w:r w:rsidR="004138C2">
          <w:rPr>
            <w:noProof/>
            <w:webHidden/>
          </w:rPr>
          <w:fldChar w:fldCharType="begin"/>
        </w:r>
        <w:r w:rsidR="004138C2">
          <w:rPr>
            <w:noProof/>
            <w:webHidden/>
          </w:rPr>
          <w:instrText xml:space="preserve"> PAGEREF _Toc132743847 \h </w:instrText>
        </w:r>
        <w:r w:rsidR="004138C2">
          <w:rPr>
            <w:noProof/>
            <w:webHidden/>
          </w:rPr>
        </w:r>
        <w:r w:rsidR="004138C2">
          <w:rPr>
            <w:noProof/>
            <w:webHidden/>
          </w:rPr>
          <w:fldChar w:fldCharType="separate"/>
        </w:r>
        <w:r w:rsidR="00DD1D32">
          <w:rPr>
            <w:noProof/>
            <w:webHidden/>
          </w:rPr>
          <w:t>161</w:t>
        </w:r>
        <w:r w:rsidR="004138C2">
          <w:rPr>
            <w:noProof/>
            <w:webHidden/>
          </w:rPr>
          <w:fldChar w:fldCharType="end"/>
        </w:r>
      </w:hyperlink>
    </w:p>
    <w:p w14:paraId="430DF9B2" w14:textId="04B4205F"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8" w:history="1">
        <w:r w:rsidR="004138C2" w:rsidRPr="00732F37">
          <w:rPr>
            <w:rStyle w:val="Hyperlink"/>
            <w:noProof/>
          </w:rPr>
          <w:t>Note 45.  Other Expenses – Territorial</w:t>
        </w:r>
        <w:r w:rsidR="004138C2">
          <w:rPr>
            <w:noProof/>
            <w:webHidden/>
          </w:rPr>
          <w:tab/>
        </w:r>
        <w:r w:rsidR="004138C2">
          <w:rPr>
            <w:noProof/>
            <w:webHidden/>
          </w:rPr>
          <w:fldChar w:fldCharType="begin"/>
        </w:r>
        <w:r w:rsidR="004138C2">
          <w:rPr>
            <w:noProof/>
            <w:webHidden/>
          </w:rPr>
          <w:instrText xml:space="preserve"> PAGEREF _Toc132743848 \h </w:instrText>
        </w:r>
        <w:r w:rsidR="004138C2">
          <w:rPr>
            <w:noProof/>
            <w:webHidden/>
          </w:rPr>
        </w:r>
        <w:r w:rsidR="004138C2">
          <w:rPr>
            <w:noProof/>
            <w:webHidden/>
          </w:rPr>
          <w:fldChar w:fldCharType="separate"/>
        </w:r>
        <w:r w:rsidR="00DD1D32">
          <w:rPr>
            <w:noProof/>
            <w:webHidden/>
          </w:rPr>
          <w:t>162</w:t>
        </w:r>
        <w:r w:rsidR="004138C2">
          <w:rPr>
            <w:noProof/>
            <w:webHidden/>
          </w:rPr>
          <w:fldChar w:fldCharType="end"/>
        </w:r>
      </w:hyperlink>
    </w:p>
    <w:p w14:paraId="0A30E9F9" w14:textId="3A31120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49" w:history="1">
        <w:r w:rsidR="004138C2" w:rsidRPr="00732F37">
          <w:rPr>
            <w:rStyle w:val="Hyperlink"/>
            <w:noProof/>
          </w:rPr>
          <w:t>Note 46.  Cash and Investments – Territorial</w:t>
        </w:r>
        <w:r w:rsidR="004138C2">
          <w:rPr>
            <w:noProof/>
            <w:webHidden/>
          </w:rPr>
          <w:tab/>
        </w:r>
        <w:r w:rsidR="004138C2">
          <w:rPr>
            <w:noProof/>
            <w:webHidden/>
          </w:rPr>
          <w:fldChar w:fldCharType="begin"/>
        </w:r>
        <w:r w:rsidR="004138C2">
          <w:rPr>
            <w:noProof/>
            <w:webHidden/>
          </w:rPr>
          <w:instrText xml:space="preserve"> PAGEREF _Toc132743849 \h </w:instrText>
        </w:r>
        <w:r w:rsidR="004138C2">
          <w:rPr>
            <w:noProof/>
            <w:webHidden/>
          </w:rPr>
        </w:r>
        <w:r w:rsidR="004138C2">
          <w:rPr>
            <w:noProof/>
            <w:webHidden/>
          </w:rPr>
          <w:fldChar w:fldCharType="separate"/>
        </w:r>
        <w:r w:rsidR="00DD1D32">
          <w:rPr>
            <w:noProof/>
            <w:webHidden/>
          </w:rPr>
          <w:t>163</w:t>
        </w:r>
        <w:r w:rsidR="004138C2">
          <w:rPr>
            <w:noProof/>
            <w:webHidden/>
          </w:rPr>
          <w:fldChar w:fldCharType="end"/>
        </w:r>
      </w:hyperlink>
    </w:p>
    <w:p w14:paraId="118CB3CD" w14:textId="2DC7EBC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0" w:history="1">
        <w:r w:rsidR="004138C2" w:rsidRPr="00732F37">
          <w:rPr>
            <w:rStyle w:val="Hyperlink"/>
            <w:noProof/>
          </w:rPr>
          <w:t xml:space="preserve">Note 47.  Receivables </w:t>
        </w:r>
        <w:r w:rsidR="004138C2" w:rsidRPr="00732F37">
          <w:rPr>
            <w:rStyle w:val="Hyperlink"/>
            <w:strike/>
            <w:noProof/>
          </w:rPr>
          <w:t>and Contract Assets</w:t>
        </w:r>
        <w:r w:rsidR="004138C2" w:rsidRPr="00732F37">
          <w:rPr>
            <w:rStyle w:val="Hyperlink"/>
            <w:noProof/>
          </w:rPr>
          <w:t xml:space="preserve"> –Territorial</w:t>
        </w:r>
        <w:r w:rsidR="004138C2">
          <w:rPr>
            <w:noProof/>
            <w:webHidden/>
          </w:rPr>
          <w:tab/>
        </w:r>
        <w:r w:rsidR="004138C2">
          <w:rPr>
            <w:noProof/>
            <w:webHidden/>
          </w:rPr>
          <w:fldChar w:fldCharType="begin"/>
        </w:r>
        <w:r w:rsidR="004138C2">
          <w:rPr>
            <w:noProof/>
            <w:webHidden/>
          </w:rPr>
          <w:instrText xml:space="preserve"> PAGEREF _Toc132743850 \h </w:instrText>
        </w:r>
        <w:r w:rsidR="004138C2">
          <w:rPr>
            <w:noProof/>
            <w:webHidden/>
          </w:rPr>
        </w:r>
        <w:r w:rsidR="004138C2">
          <w:rPr>
            <w:noProof/>
            <w:webHidden/>
          </w:rPr>
          <w:fldChar w:fldCharType="separate"/>
        </w:r>
        <w:r w:rsidR="00DD1D32">
          <w:rPr>
            <w:noProof/>
            <w:webHidden/>
          </w:rPr>
          <w:t>164</w:t>
        </w:r>
        <w:r w:rsidR="004138C2">
          <w:rPr>
            <w:noProof/>
            <w:webHidden/>
          </w:rPr>
          <w:fldChar w:fldCharType="end"/>
        </w:r>
      </w:hyperlink>
    </w:p>
    <w:p w14:paraId="5DDA77BE" w14:textId="0BEDCDC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1" w:history="1">
        <w:r w:rsidR="004138C2" w:rsidRPr="00732F37">
          <w:rPr>
            <w:rStyle w:val="Hyperlink"/>
            <w:noProof/>
          </w:rPr>
          <w:t>Note 48.  Other Assets – Territorial</w:t>
        </w:r>
        <w:r w:rsidR="004138C2">
          <w:rPr>
            <w:noProof/>
            <w:webHidden/>
          </w:rPr>
          <w:tab/>
        </w:r>
        <w:r w:rsidR="004138C2">
          <w:rPr>
            <w:noProof/>
            <w:webHidden/>
          </w:rPr>
          <w:fldChar w:fldCharType="begin"/>
        </w:r>
        <w:r w:rsidR="004138C2">
          <w:rPr>
            <w:noProof/>
            <w:webHidden/>
          </w:rPr>
          <w:instrText xml:space="preserve"> PAGEREF _Toc132743851 \h </w:instrText>
        </w:r>
        <w:r w:rsidR="004138C2">
          <w:rPr>
            <w:noProof/>
            <w:webHidden/>
          </w:rPr>
        </w:r>
        <w:r w:rsidR="004138C2">
          <w:rPr>
            <w:noProof/>
            <w:webHidden/>
          </w:rPr>
          <w:fldChar w:fldCharType="separate"/>
        </w:r>
        <w:r w:rsidR="00DD1D32">
          <w:rPr>
            <w:noProof/>
            <w:webHidden/>
          </w:rPr>
          <w:t>165</w:t>
        </w:r>
        <w:r w:rsidR="004138C2">
          <w:rPr>
            <w:noProof/>
            <w:webHidden/>
          </w:rPr>
          <w:fldChar w:fldCharType="end"/>
        </w:r>
      </w:hyperlink>
    </w:p>
    <w:p w14:paraId="21309DAD" w14:textId="7EE697EB"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2" w:history="1">
        <w:r w:rsidR="004138C2" w:rsidRPr="00732F37">
          <w:rPr>
            <w:rStyle w:val="Hyperlink"/>
            <w:noProof/>
          </w:rPr>
          <w:t xml:space="preserve">Note 49.  Payables </w:t>
        </w:r>
        <w:r w:rsidR="004138C2" w:rsidRPr="00732F37">
          <w:rPr>
            <w:rStyle w:val="Hyperlink"/>
            <w:rFonts w:cs="Calibri"/>
            <w:strike/>
            <w:noProof/>
          </w:rPr>
          <w:t>and Contract Liabilities</w:t>
        </w:r>
        <w:r w:rsidR="004138C2" w:rsidRPr="00732F37">
          <w:rPr>
            <w:rStyle w:val="Hyperlink"/>
            <w:noProof/>
          </w:rPr>
          <w:t xml:space="preserve"> – Territorial</w:t>
        </w:r>
        <w:r w:rsidR="004138C2">
          <w:rPr>
            <w:noProof/>
            <w:webHidden/>
          </w:rPr>
          <w:tab/>
        </w:r>
        <w:r w:rsidR="004138C2">
          <w:rPr>
            <w:noProof/>
            <w:webHidden/>
          </w:rPr>
          <w:fldChar w:fldCharType="begin"/>
        </w:r>
        <w:r w:rsidR="004138C2">
          <w:rPr>
            <w:noProof/>
            <w:webHidden/>
          </w:rPr>
          <w:instrText xml:space="preserve"> PAGEREF _Toc132743852 \h </w:instrText>
        </w:r>
        <w:r w:rsidR="004138C2">
          <w:rPr>
            <w:noProof/>
            <w:webHidden/>
          </w:rPr>
        </w:r>
        <w:r w:rsidR="004138C2">
          <w:rPr>
            <w:noProof/>
            <w:webHidden/>
          </w:rPr>
          <w:fldChar w:fldCharType="separate"/>
        </w:r>
        <w:r w:rsidR="00DD1D32">
          <w:rPr>
            <w:noProof/>
            <w:webHidden/>
          </w:rPr>
          <w:t>166</w:t>
        </w:r>
        <w:r w:rsidR="004138C2">
          <w:rPr>
            <w:noProof/>
            <w:webHidden/>
          </w:rPr>
          <w:fldChar w:fldCharType="end"/>
        </w:r>
      </w:hyperlink>
    </w:p>
    <w:p w14:paraId="611DADAB" w14:textId="4E79EAFC"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3" w:history="1">
        <w:r w:rsidR="004138C2" w:rsidRPr="00732F37">
          <w:rPr>
            <w:rStyle w:val="Hyperlink"/>
            <w:noProof/>
          </w:rPr>
          <w:t>Note 50.  Other Provisions – Territorial</w:t>
        </w:r>
        <w:r w:rsidR="004138C2">
          <w:rPr>
            <w:noProof/>
            <w:webHidden/>
          </w:rPr>
          <w:tab/>
        </w:r>
        <w:r w:rsidR="004138C2">
          <w:rPr>
            <w:noProof/>
            <w:webHidden/>
          </w:rPr>
          <w:fldChar w:fldCharType="begin"/>
        </w:r>
        <w:r w:rsidR="004138C2">
          <w:rPr>
            <w:noProof/>
            <w:webHidden/>
          </w:rPr>
          <w:instrText xml:space="preserve"> PAGEREF _Toc132743853 \h </w:instrText>
        </w:r>
        <w:r w:rsidR="004138C2">
          <w:rPr>
            <w:noProof/>
            <w:webHidden/>
          </w:rPr>
        </w:r>
        <w:r w:rsidR="004138C2">
          <w:rPr>
            <w:noProof/>
            <w:webHidden/>
          </w:rPr>
          <w:fldChar w:fldCharType="separate"/>
        </w:r>
        <w:r w:rsidR="00DD1D32">
          <w:rPr>
            <w:noProof/>
            <w:webHidden/>
          </w:rPr>
          <w:t>167</w:t>
        </w:r>
        <w:r w:rsidR="004138C2">
          <w:rPr>
            <w:noProof/>
            <w:webHidden/>
          </w:rPr>
          <w:fldChar w:fldCharType="end"/>
        </w:r>
      </w:hyperlink>
    </w:p>
    <w:p w14:paraId="4A9C5F53" w14:textId="4077142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4" w:history="1">
        <w:r w:rsidR="004138C2" w:rsidRPr="00732F37">
          <w:rPr>
            <w:rStyle w:val="Hyperlink"/>
            <w:noProof/>
          </w:rPr>
          <w:t>Note 51.  Other Liabilities – Territorial</w:t>
        </w:r>
        <w:r w:rsidR="004138C2">
          <w:rPr>
            <w:noProof/>
            <w:webHidden/>
          </w:rPr>
          <w:tab/>
        </w:r>
        <w:r w:rsidR="004138C2">
          <w:rPr>
            <w:noProof/>
            <w:webHidden/>
          </w:rPr>
          <w:fldChar w:fldCharType="begin"/>
        </w:r>
        <w:r w:rsidR="004138C2">
          <w:rPr>
            <w:noProof/>
            <w:webHidden/>
          </w:rPr>
          <w:instrText xml:space="preserve"> PAGEREF _Toc132743854 \h </w:instrText>
        </w:r>
        <w:r w:rsidR="004138C2">
          <w:rPr>
            <w:noProof/>
            <w:webHidden/>
          </w:rPr>
        </w:r>
        <w:r w:rsidR="004138C2">
          <w:rPr>
            <w:noProof/>
            <w:webHidden/>
          </w:rPr>
          <w:fldChar w:fldCharType="separate"/>
        </w:r>
        <w:r w:rsidR="00DD1D32">
          <w:rPr>
            <w:noProof/>
            <w:webHidden/>
          </w:rPr>
          <w:t>167</w:t>
        </w:r>
        <w:r w:rsidR="004138C2">
          <w:rPr>
            <w:noProof/>
            <w:webHidden/>
          </w:rPr>
          <w:fldChar w:fldCharType="end"/>
        </w:r>
      </w:hyperlink>
    </w:p>
    <w:p w14:paraId="6C01C3B3" w14:textId="32F28B30"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5" w:history="1">
        <w:r w:rsidR="004138C2" w:rsidRPr="00732F37">
          <w:rPr>
            <w:rStyle w:val="Hyperlink"/>
            <w:noProof/>
            <w:lang w:eastAsia="en-AU"/>
          </w:rPr>
          <w:t xml:space="preserve">Note 52.  Restructure of Administrative Arrangements </w:t>
        </w:r>
        <w:r w:rsidR="004138C2" w:rsidRPr="00732F37">
          <w:rPr>
            <w:rStyle w:val="Hyperlink"/>
            <w:noProof/>
          </w:rPr>
          <w:t xml:space="preserve">– </w:t>
        </w:r>
        <w:r w:rsidR="004138C2" w:rsidRPr="00732F37">
          <w:rPr>
            <w:rStyle w:val="Hyperlink"/>
            <w:noProof/>
            <w:lang w:eastAsia="en-AU"/>
          </w:rPr>
          <w:t>Territorial</w:t>
        </w:r>
        <w:r w:rsidR="004138C2">
          <w:rPr>
            <w:noProof/>
            <w:webHidden/>
          </w:rPr>
          <w:tab/>
        </w:r>
        <w:r w:rsidR="004138C2">
          <w:rPr>
            <w:noProof/>
            <w:webHidden/>
          </w:rPr>
          <w:fldChar w:fldCharType="begin"/>
        </w:r>
        <w:r w:rsidR="004138C2">
          <w:rPr>
            <w:noProof/>
            <w:webHidden/>
          </w:rPr>
          <w:instrText xml:space="preserve"> PAGEREF _Toc132743855 \h </w:instrText>
        </w:r>
        <w:r w:rsidR="004138C2">
          <w:rPr>
            <w:noProof/>
            <w:webHidden/>
          </w:rPr>
        </w:r>
        <w:r w:rsidR="004138C2">
          <w:rPr>
            <w:noProof/>
            <w:webHidden/>
          </w:rPr>
          <w:fldChar w:fldCharType="separate"/>
        </w:r>
        <w:r w:rsidR="00DD1D32">
          <w:rPr>
            <w:noProof/>
            <w:webHidden/>
          </w:rPr>
          <w:t>167</w:t>
        </w:r>
        <w:r w:rsidR="004138C2">
          <w:rPr>
            <w:noProof/>
            <w:webHidden/>
          </w:rPr>
          <w:fldChar w:fldCharType="end"/>
        </w:r>
      </w:hyperlink>
    </w:p>
    <w:p w14:paraId="1ABD8DFC" w14:textId="2EDC4C01"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6" w:history="1">
        <w:r w:rsidR="004138C2" w:rsidRPr="00732F37">
          <w:rPr>
            <w:rStyle w:val="Hyperlink"/>
            <w:noProof/>
          </w:rPr>
          <w:t>Note 53.  Financial Instruments – Territorial</w:t>
        </w:r>
        <w:r w:rsidR="004138C2">
          <w:rPr>
            <w:noProof/>
            <w:webHidden/>
          </w:rPr>
          <w:tab/>
        </w:r>
        <w:r w:rsidR="004138C2">
          <w:rPr>
            <w:noProof/>
            <w:webHidden/>
          </w:rPr>
          <w:fldChar w:fldCharType="begin"/>
        </w:r>
        <w:r w:rsidR="004138C2">
          <w:rPr>
            <w:noProof/>
            <w:webHidden/>
          </w:rPr>
          <w:instrText xml:space="preserve"> PAGEREF _Toc132743856 \h </w:instrText>
        </w:r>
        <w:r w:rsidR="004138C2">
          <w:rPr>
            <w:noProof/>
            <w:webHidden/>
          </w:rPr>
        </w:r>
        <w:r w:rsidR="004138C2">
          <w:rPr>
            <w:noProof/>
            <w:webHidden/>
          </w:rPr>
          <w:fldChar w:fldCharType="separate"/>
        </w:r>
        <w:r w:rsidR="00DD1D32">
          <w:rPr>
            <w:noProof/>
            <w:webHidden/>
          </w:rPr>
          <w:t>169</w:t>
        </w:r>
        <w:r w:rsidR="004138C2">
          <w:rPr>
            <w:noProof/>
            <w:webHidden/>
          </w:rPr>
          <w:fldChar w:fldCharType="end"/>
        </w:r>
      </w:hyperlink>
    </w:p>
    <w:p w14:paraId="74FCBC02" w14:textId="08FFD49A"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7" w:history="1">
        <w:r w:rsidR="004138C2" w:rsidRPr="00732F37">
          <w:rPr>
            <w:rStyle w:val="Hyperlink"/>
            <w:noProof/>
          </w:rPr>
          <w:t>Note 54.  Commitments – Territorial</w:t>
        </w:r>
        <w:r w:rsidR="004138C2">
          <w:rPr>
            <w:noProof/>
            <w:webHidden/>
          </w:rPr>
          <w:tab/>
        </w:r>
        <w:r w:rsidR="004138C2">
          <w:rPr>
            <w:noProof/>
            <w:webHidden/>
          </w:rPr>
          <w:fldChar w:fldCharType="begin"/>
        </w:r>
        <w:r w:rsidR="004138C2">
          <w:rPr>
            <w:noProof/>
            <w:webHidden/>
          </w:rPr>
          <w:instrText xml:space="preserve"> PAGEREF _Toc132743857 \h </w:instrText>
        </w:r>
        <w:r w:rsidR="004138C2">
          <w:rPr>
            <w:noProof/>
            <w:webHidden/>
          </w:rPr>
        </w:r>
        <w:r w:rsidR="004138C2">
          <w:rPr>
            <w:noProof/>
            <w:webHidden/>
          </w:rPr>
          <w:fldChar w:fldCharType="separate"/>
        </w:r>
        <w:r w:rsidR="00DD1D32">
          <w:rPr>
            <w:noProof/>
            <w:webHidden/>
          </w:rPr>
          <w:t>171</w:t>
        </w:r>
        <w:r w:rsidR="004138C2">
          <w:rPr>
            <w:noProof/>
            <w:webHidden/>
          </w:rPr>
          <w:fldChar w:fldCharType="end"/>
        </w:r>
      </w:hyperlink>
    </w:p>
    <w:p w14:paraId="1EC59329" w14:textId="3528E00D"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8" w:history="1">
        <w:r w:rsidR="004138C2" w:rsidRPr="00732F37">
          <w:rPr>
            <w:rStyle w:val="Hyperlink"/>
            <w:noProof/>
          </w:rPr>
          <w:t>Note 55.  Contingent Liabilities and Contingent Assets – Territorial</w:t>
        </w:r>
        <w:r w:rsidR="004138C2">
          <w:rPr>
            <w:noProof/>
            <w:webHidden/>
          </w:rPr>
          <w:tab/>
        </w:r>
        <w:r w:rsidR="004138C2">
          <w:rPr>
            <w:noProof/>
            <w:webHidden/>
          </w:rPr>
          <w:fldChar w:fldCharType="begin"/>
        </w:r>
        <w:r w:rsidR="004138C2">
          <w:rPr>
            <w:noProof/>
            <w:webHidden/>
          </w:rPr>
          <w:instrText xml:space="preserve"> PAGEREF _Toc132743858 \h </w:instrText>
        </w:r>
        <w:r w:rsidR="004138C2">
          <w:rPr>
            <w:noProof/>
            <w:webHidden/>
          </w:rPr>
        </w:r>
        <w:r w:rsidR="004138C2">
          <w:rPr>
            <w:noProof/>
            <w:webHidden/>
          </w:rPr>
          <w:fldChar w:fldCharType="separate"/>
        </w:r>
        <w:r w:rsidR="00DD1D32">
          <w:rPr>
            <w:noProof/>
            <w:webHidden/>
          </w:rPr>
          <w:t>172</w:t>
        </w:r>
        <w:r w:rsidR="004138C2">
          <w:rPr>
            <w:noProof/>
            <w:webHidden/>
          </w:rPr>
          <w:fldChar w:fldCharType="end"/>
        </w:r>
      </w:hyperlink>
    </w:p>
    <w:p w14:paraId="1CAB5E3E" w14:textId="194A51D8"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59" w:history="1">
        <w:r w:rsidR="004138C2" w:rsidRPr="00732F37">
          <w:rPr>
            <w:rStyle w:val="Hyperlink"/>
            <w:noProof/>
          </w:rPr>
          <w:t>Note 56.  Events after the Reporting Period – Territorial</w:t>
        </w:r>
        <w:r w:rsidR="004138C2">
          <w:rPr>
            <w:noProof/>
            <w:webHidden/>
          </w:rPr>
          <w:tab/>
        </w:r>
        <w:r w:rsidR="004138C2">
          <w:rPr>
            <w:noProof/>
            <w:webHidden/>
          </w:rPr>
          <w:fldChar w:fldCharType="begin"/>
        </w:r>
        <w:r w:rsidR="004138C2">
          <w:rPr>
            <w:noProof/>
            <w:webHidden/>
          </w:rPr>
          <w:instrText xml:space="preserve"> PAGEREF _Toc132743859 \h </w:instrText>
        </w:r>
        <w:r w:rsidR="004138C2">
          <w:rPr>
            <w:noProof/>
            <w:webHidden/>
          </w:rPr>
        </w:r>
        <w:r w:rsidR="004138C2">
          <w:rPr>
            <w:noProof/>
            <w:webHidden/>
          </w:rPr>
          <w:fldChar w:fldCharType="separate"/>
        </w:r>
        <w:r w:rsidR="00DD1D32">
          <w:rPr>
            <w:noProof/>
            <w:webHidden/>
          </w:rPr>
          <w:t>172</w:t>
        </w:r>
        <w:r w:rsidR="004138C2">
          <w:rPr>
            <w:noProof/>
            <w:webHidden/>
          </w:rPr>
          <w:fldChar w:fldCharType="end"/>
        </w:r>
      </w:hyperlink>
    </w:p>
    <w:p w14:paraId="754B3BE6" w14:textId="799994D1"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60" w:history="1">
        <w:r w:rsidR="004138C2" w:rsidRPr="00732F37">
          <w:rPr>
            <w:rStyle w:val="Hyperlink"/>
            <w:noProof/>
          </w:rPr>
          <w:t>Note 57.  Related Party Disclosures – Territorial</w:t>
        </w:r>
        <w:r w:rsidR="004138C2">
          <w:rPr>
            <w:noProof/>
            <w:webHidden/>
          </w:rPr>
          <w:tab/>
        </w:r>
        <w:r w:rsidR="004138C2">
          <w:rPr>
            <w:noProof/>
            <w:webHidden/>
          </w:rPr>
          <w:fldChar w:fldCharType="begin"/>
        </w:r>
        <w:r w:rsidR="004138C2">
          <w:rPr>
            <w:noProof/>
            <w:webHidden/>
          </w:rPr>
          <w:instrText xml:space="preserve"> PAGEREF _Toc132743860 \h </w:instrText>
        </w:r>
        <w:r w:rsidR="004138C2">
          <w:rPr>
            <w:noProof/>
            <w:webHidden/>
          </w:rPr>
        </w:r>
        <w:r w:rsidR="004138C2">
          <w:rPr>
            <w:noProof/>
            <w:webHidden/>
          </w:rPr>
          <w:fldChar w:fldCharType="separate"/>
        </w:r>
        <w:r w:rsidR="00DD1D32">
          <w:rPr>
            <w:noProof/>
            <w:webHidden/>
          </w:rPr>
          <w:t>172</w:t>
        </w:r>
        <w:r w:rsidR="004138C2">
          <w:rPr>
            <w:noProof/>
            <w:webHidden/>
          </w:rPr>
          <w:fldChar w:fldCharType="end"/>
        </w:r>
      </w:hyperlink>
    </w:p>
    <w:p w14:paraId="6245DC6A" w14:textId="2BCF6636"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61" w:history="1">
        <w:r w:rsidR="004138C2" w:rsidRPr="00732F37">
          <w:rPr>
            <w:rStyle w:val="Hyperlink"/>
            <w:noProof/>
          </w:rPr>
          <w:t>Note 58.  Budgetary Reporting – Territorial</w:t>
        </w:r>
        <w:r w:rsidR="004138C2">
          <w:rPr>
            <w:noProof/>
            <w:webHidden/>
          </w:rPr>
          <w:tab/>
        </w:r>
        <w:r w:rsidR="004138C2">
          <w:rPr>
            <w:noProof/>
            <w:webHidden/>
          </w:rPr>
          <w:fldChar w:fldCharType="begin"/>
        </w:r>
        <w:r w:rsidR="004138C2">
          <w:rPr>
            <w:noProof/>
            <w:webHidden/>
          </w:rPr>
          <w:instrText xml:space="preserve"> PAGEREF _Toc132743861 \h </w:instrText>
        </w:r>
        <w:r w:rsidR="004138C2">
          <w:rPr>
            <w:noProof/>
            <w:webHidden/>
          </w:rPr>
        </w:r>
        <w:r w:rsidR="004138C2">
          <w:rPr>
            <w:noProof/>
            <w:webHidden/>
          </w:rPr>
          <w:fldChar w:fldCharType="separate"/>
        </w:r>
        <w:r w:rsidR="00DD1D32">
          <w:rPr>
            <w:noProof/>
            <w:webHidden/>
          </w:rPr>
          <w:t>172</w:t>
        </w:r>
        <w:r w:rsidR="004138C2">
          <w:rPr>
            <w:noProof/>
            <w:webHidden/>
          </w:rPr>
          <w:fldChar w:fldCharType="end"/>
        </w:r>
      </w:hyperlink>
    </w:p>
    <w:p w14:paraId="2D25C412" w14:textId="2CE96284" w:rsidR="004138C2" w:rsidRDefault="00B46A21">
      <w:pPr>
        <w:pStyle w:val="TOC1"/>
        <w:rPr>
          <w:rFonts w:asciiTheme="minorHAnsi" w:eastAsiaTheme="minorEastAsia" w:hAnsiTheme="minorHAnsi" w:cstheme="minorBidi"/>
          <w:b w:val="0"/>
          <w:bCs w:val="0"/>
          <w:noProof/>
          <w:color w:val="auto"/>
          <w:szCs w:val="22"/>
          <w:lang w:eastAsia="en-AU"/>
        </w:rPr>
      </w:pPr>
      <w:hyperlink w:anchor="_Toc132743862" w:history="1">
        <w:r w:rsidR="004138C2" w:rsidRPr="00732F37">
          <w:rPr>
            <w:rStyle w:val="Hyperlink"/>
            <w:noProof/>
          </w:rPr>
          <w:t>Note 58.  Budgetary Reporting – Territorial –Continued</w:t>
        </w:r>
        <w:r w:rsidR="004138C2">
          <w:rPr>
            <w:noProof/>
            <w:webHidden/>
          </w:rPr>
          <w:tab/>
        </w:r>
        <w:r w:rsidR="004138C2">
          <w:rPr>
            <w:noProof/>
            <w:webHidden/>
          </w:rPr>
          <w:fldChar w:fldCharType="begin"/>
        </w:r>
        <w:r w:rsidR="004138C2">
          <w:rPr>
            <w:noProof/>
            <w:webHidden/>
          </w:rPr>
          <w:instrText xml:space="preserve"> PAGEREF _Toc132743862 \h </w:instrText>
        </w:r>
        <w:r w:rsidR="004138C2">
          <w:rPr>
            <w:noProof/>
            <w:webHidden/>
          </w:rPr>
        </w:r>
        <w:r w:rsidR="004138C2">
          <w:rPr>
            <w:noProof/>
            <w:webHidden/>
          </w:rPr>
          <w:fldChar w:fldCharType="separate"/>
        </w:r>
        <w:r w:rsidR="00DD1D32">
          <w:rPr>
            <w:noProof/>
            <w:webHidden/>
          </w:rPr>
          <w:t>173</w:t>
        </w:r>
        <w:r w:rsidR="004138C2">
          <w:rPr>
            <w:noProof/>
            <w:webHidden/>
          </w:rPr>
          <w:fldChar w:fldCharType="end"/>
        </w:r>
      </w:hyperlink>
    </w:p>
    <w:p w14:paraId="14986AC6" w14:textId="5AFCDA41" w:rsidR="007D7CF5" w:rsidRPr="00CF7E1B" w:rsidRDefault="0088111C" w:rsidP="002F1378">
      <w:pPr>
        <w:pStyle w:val="TOC1"/>
        <w:rPr>
          <w:rFonts w:cs="Calibri"/>
        </w:rPr>
      </w:pPr>
      <w:r w:rsidRPr="00110E1C">
        <w:rPr>
          <w:rFonts w:cs="Calibri"/>
          <w:bCs w:val="0"/>
          <w:sz w:val="32"/>
        </w:rPr>
        <w:fldChar w:fldCharType="end"/>
      </w:r>
    </w:p>
    <w:p w14:paraId="3644F689" w14:textId="77777777" w:rsidR="008437B5" w:rsidRPr="00CF7E1B" w:rsidRDefault="008437B5">
      <w:pPr>
        <w:tabs>
          <w:tab w:val="left" w:pos="3306"/>
        </w:tabs>
        <w:jc w:val="center"/>
        <w:rPr>
          <w:rFonts w:cs="Calibri"/>
        </w:rPr>
        <w:sectPr w:rsidR="008437B5" w:rsidRPr="00CF7E1B" w:rsidSect="00986F4D">
          <w:footerReference w:type="default" r:id="rId13"/>
          <w:headerReference w:type="first" r:id="rId14"/>
          <w:footerReference w:type="first" r:id="rId15"/>
          <w:footnotePr>
            <w:numRestart w:val="eachPage"/>
          </w:footnotePr>
          <w:type w:val="nextColumn"/>
          <w:pgSz w:w="11907" w:h="16840" w:code="9"/>
          <w:pgMar w:top="1134" w:right="1134" w:bottom="567" w:left="1134" w:header="426" w:footer="242" w:gutter="0"/>
          <w:pgNumType w:fmt="lowerRoman" w:start="2"/>
          <w:cols w:space="720"/>
          <w:titlePg/>
          <w:docGrid w:linePitch="326"/>
        </w:sectPr>
      </w:pPr>
    </w:p>
    <w:p w14:paraId="7A7BF4B2" w14:textId="77777777" w:rsidR="000144FF" w:rsidRPr="00CA4852" w:rsidRDefault="000144FF" w:rsidP="00CA4852">
      <w:pPr>
        <w:pStyle w:val="Subtitle"/>
      </w:pPr>
      <w:bookmarkStart w:id="2" w:name="_Toc9655100"/>
      <w:bookmarkStart w:id="3" w:name="_Toc9660117"/>
      <w:bookmarkStart w:id="4" w:name="_Toc9755418"/>
      <w:bookmarkStart w:id="5" w:name="_Toc9759271"/>
      <w:bookmarkStart w:id="6" w:name="_Toc9762431"/>
      <w:bookmarkStart w:id="7" w:name="_Toc40072433"/>
      <w:bookmarkStart w:id="8" w:name="_Toc50440297"/>
      <w:bookmarkStart w:id="9" w:name="_Toc194918616"/>
      <w:bookmarkStart w:id="10" w:name="_Toc400627276"/>
      <w:bookmarkStart w:id="11" w:name="_Toc131164426"/>
      <w:bookmarkStart w:id="12" w:name="_Toc132743725"/>
      <w:r w:rsidRPr="00CA4852">
        <w:t xml:space="preserve">Financial </w:t>
      </w:r>
      <w:r w:rsidR="00580AE8" w:rsidRPr="00CA4852">
        <w:t>Statement</w:t>
      </w:r>
      <w:r w:rsidRPr="00CA4852">
        <w:t xml:space="preserve"> Guidelines for </w:t>
      </w:r>
      <w:r w:rsidR="00333B8F" w:rsidRPr="00CA4852">
        <w:t>Agenc</w:t>
      </w:r>
      <w:r w:rsidR="00BC6A13" w:rsidRPr="00CA4852">
        <w:t>ie</w:t>
      </w:r>
      <w:r w:rsidRPr="00CA4852">
        <w:t>s</w:t>
      </w:r>
      <w:bookmarkEnd w:id="2"/>
      <w:bookmarkEnd w:id="3"/>
      <w:bookmarkEnd w:id="4"/>
      <w:bookmarkEnd w:id="5"/>
      <w:bookmarkEnd w:id="6"/>
      <w:bookmarkEnd w:id="7"/>
      <w:bookmarkEnd w:id="8"/>
      <w:bookmarkEnd w:id="9"/>
      <w:bookmarkEnd w:id="10"/>
      <w:bookmarkEnd w:id="11"/>
      <w:bookmarkEnd w:id="12"/>
    </w:p>
    <w:p w14:paraId="00673BD1" w14:textId="77777777" w:rsidR="000144FF" w:rsidRPr="00CF7E1B" w:rsidRDefault="000144FF" w:rsidP="00CB31DE">
      <w:pPr>
        <w:pStyle w:val="Heading2"/>
      </w:pPr>
      <w:bookmarkStart w:id="13" w:name="_Toc9660118"/>
      <w:bookmarkStart w:id="14" w:name="_Toc9755419"/>
      <w:bookmarkStart w:id="15" w:name="_Toc9759272"/>
      <w:bookmarkStart w:id="16" w:name="_Toc9762432"/>
      <w:bookmarkStart w:id="17" w:name="_Toc40072434"/>
      <w:bookmarkStart w:id="18" w:name="_Toc48468194"/>
      <w:bookmarkStart w:id="19" w:name="_Toc49155388"/>
      <w:bookmarkStart w:id="20" w:name="_Toc49223834"/>
      <w:bookmarkStart w:id="21" w:name="_Toc50440298"/>
      <w:bookmarkStart w:id="22" w:name="_Toc194918617"/>
      <w:bookmarkStart w:id="23" w:name="_Toc400627277"/>
      <w:bookmarkStart w:id="24" w:name="_Toc132743726"/>
      <w:r w:rsidRPr="006F42DC">
        <w:t>Preface</w:t>
      </w:r>
      <w:bookmarkEnd w:id="13"/>
      <w:bookmarkEnd w:id="14"/>
      <w:bookmarkEnd w:id="15"/>
      <w:bookmarkEnd w:id="16"/>
      <w:bookmarkEnd w:id="17"/>
      <w:bookmarkEnd w:id="18"/>
      <w:bookmarkEnd w:id="19"/>
      <w:bookmarkEnd w:id="20"/>
      <w:bookmarkEnd w:id="21"/>
      <w:bookmarkEnd w:id="22"/>
      <w:bookmarkEnd w:id="23"/>
      <w:bookmarkEnd w:id="24"/>
    </w:p>
    <w:p w14:paraId="136E6AD0" w14:textId="17975F20" w:rsidR="000144FF" w:rsidRPr="00B55331" w:rsidRDefault="000144FF" w:rsidP="00B37EED">
      <w:pPr>
        <w:pStyle w:val="BodyText"/>
        <w:spacing w:after="120"/>
        <w:rPr>
          <w:rFonts w:cs="Calibri"/>
        </w:rPr>
      </w:pPr>
      <w:r w:rsidRPr="00B55331">
        <w:t xml:space="preserve">The Model Financial </w:t>
      </w:r>
      <w:r w:rsidR="00580AE8" w:rsidRPr="00B55331">
        <w:t>Statements</w:t>
      </w:r>
      <w:r w:rsidRPr="00B55331">
        <w:t xml:space="preserve"> </w:t>
      </w:r>
      <w:r w:rsidR="0030712E" w:rsidRPr="00B55331">
        <w:t xml:space="preserve">(Model) </w:t>
      </w:r>
      <w:r w:rsidR="005B0D04" w:rsidRPr="00B55331">
        <w:t>have</w:t>
      </w:r>
      <w:r w:rsidRPr="00B55331">
        <w:t xml:space="preserve"> been developed to assist </w:t>
      </w:r>
      <w:r w:rsidR="00580AE8" w:rsidRPr="00B55331">
        <w:t>a</w:t>
      </w:r>
      <w:r w:rsidR="00BC6A13" w:rsidRPr="00B55331">
        <w:t>gencies</w:t>
      </w:r>
      <w:r w:rsidRPr="00B55331">
        <w:t xml:space="preserve"> with the preparation</w:t>
      </w:r>
      <w:r w:rsidRPr="00B55331">
        <w:rPr>
          <w:rFonts w:cs="Calibri"/>
        </w:rPr>
        <w:t xml:space="preserve"> of their annual financial </w:t>
      </w:r>
      <w:r w:rsidR="00580AE8" w:rsidRPr="00B55331">
        <w:rPr>
          <w:rFonts w:cs="Calibri"/>
        </w:rPr>
        <w:t>statements</w:t>
      </w:r>
      <w:r w:rsidRPr="00B55331">
        <w:rPr>
          <w:rFonts w:cs="Calibri"/>
        </w:rPr>
        <w:t>.</w:t>
      </w:r>
      <w:r w:rsidR="00FA7C77">
        <w:rPr>
          <w:rFonts w:cs="Calibri"/>
        </w:rPr>
        <w:t xml:space="preserve"> </w:t>
      </w:r>
    </w:p>
    <w:p w14:paraId="5C22191B" w14:textId="1E0B6538" w:rsidR="000144FF" w:rsidRPr="00B55331" w:rsidRDefault="000144FF" w:rsidP="00B37EED">
      <w:pPr>
        <w:pStyle w:val="BodyText"/>
        <w:spacing w:after="120"/>
        <w:rPr>
          <w:rFonts w:cs="Calibri"/>
        </w:rPr>
      </w:pPr>
      <w:r w:rsidRPr="00B55331">
        <w:rPr>
          <w:rFonts w:cs="Calibri"/>
        </w:rPr>
        <w:t xml:space="preserve">The Model is designed to clearly explain presentational requirements within the current reporting framework of the Territory. Disclosures contained in </w:t>
      </w:r>
      <w:r w:rsidR="00D01B64" w:rsidRPr="00B55331">
        <w:rPr>
          <w:rFonts w:cs="Calibri"/>
        </w:rPr>
        <w:t>the</w:t>
      </w:r>
      <w:r w:rsidRPr="00B55331">
        <w:rPr>
          <w:rFonts w:cs="Calibri"/>
        </w:rPr>
        <w:t xml:space="preserve"> Model should only be included in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’s </w:t>
      </w:r>
      <w:r w:rsidR="00580AE8" w:rsidRPr="00B55331">
        <w:rPr>
          <w:rFonts w:cs="Calibri"/>
        </w:rPr>
        <w:t>f</w:t>
      </w:r>
      <w:r w:rsidRPr="00B55331">
        <w:rPr>
          <w:rFonts w:cs="Calibri"/>
        </w:rPr>
        <w:t xml:space="preserve">inancial </w:t>
      </w:r>
      <w:r w:rsidR="00580AE8" w:rsidRPr="00B55331">
        <w:rPr>
          <w:rFonts w:cs="Calibri"/>
        </w:rPr>
        <w:t>statements</w:t>
      </w:r>
      <w:r w:rsidRPr="00B55331">
        <w:rPr>
          <w:rFonts w:cs="Calibri"/>
        </w:rPr>
        <w:t xml:space="preserve"> if they are applicable</w:t>
      </w:r>
      <w:r w:rsidR="00977CF1" w:rsidRPr="00B55331">
        <w:rPr>
          <w:rFonts w:cs="Calibri"/>
        </w:rPr>
        <w:t xml:space="preserve"> and material</w:t>
      </w:r>
      <w:r w:rsidRPr="00B55331">
        <w:rPr>
          <w:rFonts w:cs="Calibri"/>
        </w:rPr>
        <w:t>.</w:t>
      </w:r>
      <w:r w:rsidR="00FA7C77">
        <w:rPr>
          <w:rFonts w:cs="Calibri"/>
        </w:rPr>
        <w:t xml:space="preserve"> </w:t>
      </w:r>
      <w:r w:rsidRPr="00B55331">
        <w:rPr>
          <w:rFonts w:cs="Calibri"/>
        </w:rPr>
        <w:t xml:space="preserve">For example, where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 does not have any investment properties, the investment property note disclosure contained in the Model should not be included in the </w:t>
      </w:r>
      <w:r w:rsidR="00580AE8" w:rsidRPr="00B55331">
        <w:rPr>
          <w:rFonts w:cs="Calibri"/>
        </w:rPr>
        <w:t>a</w:t>
      </w:r>
      <w:r w:rsidR="00333B8F" w:rsidRPr="00B55331">
        <w:rPr>
          <w:rFonts w:cs="Calibri"/>
        </w:rPr>
        <w:t>gency</w:t>
      </w:r>
      <w:r w:rsidR="006B46E4" w:rsidRPr="00B55331">
        <w:rPr>
          <w:rFonts w:cs="Calibri"/>
        </w:rPr>
        <w:t xml:space="preserve">’s financial </w:t>
      </w:r>
      <w:r w:rsidR="00580AE8" w:rsidRPr="00B55331">
        <w:rPr>
          <w:rFonts w:cs="Calibri"/>
        </w:rPr>
        <w:t>statements</w:t>
      </w:r>
      <w:r w:rsidR="006B46E4" w:rsidRPr="00B55331">
        <w:rPr>
          <w:rFonts w:cs="Calibri"/>
        </w:rPr>
        <w:t>.</w:t>
      </w:r>
      <w:r w:rsidRPr="00B55331">
        <w:rPr>
          <w:rFonts w:cs="Calibri"/>
        </w:rPr>
        <w:t xml:space="preserve"> Additional disclosure should also be included where the information is considered to enhance the comprehension of the financial </w:t>
      </w:r>
      <w:r w:rsidR="00580AE8" w:rsidRPr="00B55331">
        <w:rPr>
          <w:rFonts w:cs="Calibri"/>
        </w:rPr>
        <w:t>statements</w:t>
      </w:r>
      <w:r w:rsidRPr="00B55331">
        <w:rPr>
          <w:rFonts w:cs="Calibri"/>
        </w:rPr>
        <w:t xml:space="preserve"> and is of relevance to </w:t>
      </w:r>
      <w:r w:rsidR="0045648F" w:rsidRPr="00B55331">
        <w:t>primary users</w:t>
      </w:r>
      <w:r w:rsidRPr="00B55331">
        <w:rPr>
          <w:rFonts w:cs="Calibri"/>
        </w:rPr>
        <w:t>.</w:t>
      </w:r>
      <w:r w:rsidR="00FA7C77">
        <w:rPr>
          <w:rFonts w:cs="Calibri"/>
        </w:rPr>
        <w:t xml:space="preserve"> </w:t>
      </w:r>
      <w:r w:rsidRPr="00B55331">
        <w:rPr>
          <w:rFonts w:cs="Calibri"/>
        </w:rPr>
        <w:t>The requirements in this Model are effective for the year ending 30</w:t>
      </w:r>
      <w:r w:rsidR="00DC05AF" w:rsidRPr="00B55331">
        <w:rPr>
          <w:rFonts w:cs="Calibri"/>
        </w:rPr>
        <w:t xml:space="preserve"> </w:t>
      </w:r>
      <w:r w:rsidRPr="00B55331">
        <w:rPr>
          <w:rFonts w:cs="Calibri"/>
        </w:rPr>
        <w:t>June</w:t>
      </w:r>
      <w:r w:rsidR="00DC05AF" w:rsidRPr="00B55331">
        <w:rPr>
          <w:rFonts w:cs="Calibri"/>
        </w:rPr>
        <w:t xml:space="preserve"> </w:t>
      </w:r>
      <w:r w:rsidR="004B3FED" w:rsidRPr="00B55331">
        <w:rPr>
          <w:rFonts w:cs="Calibri"/>
        </w:rPr>
        <w:t>202</w:t>
      </w:r>
      <w:r w:rsidR="00B340B6">
        <w:rPr>
          <w:rFonts w:cs="Calibri"/>
        </w:rPr>
        <w:t>3</w:t>
      </w:r>
      <w:r w:rsidR="00342707" w:rsidRPr="00B55331">
        <w:rPr>
          <w:rFonts w:cs="Calibri"/>
        </w:rPr>
        <w:t>.</w:t>
      </w:r>
    </w:p>
    <w:p w14:paraId="0B0F8BA4" w14:textId="57801D05" w:rsidR="004C7A57" w:rsidRPr="00B55331" w:rsidRDefault="004C7A57" w:rsidP="00B37EED">
      <w:pPr>
        <w:pStyle w:val="BodyText"/>
        <w:spacing w:after="120"/>
        <w:rPr>
          <w:rFonts w:cs="Calibri"/>
        </w:rPr>
      </w:pPr>
      <w:r w:rsidRPr="00B55331">
        <w:rPr>
          <w:rFonts w:cs="Calibri"/>
        </w:rPr>
        <w:t>The Model illustrates the consistency and quality of financial information considered necessary to meet the information needs of primary users. The Model is a set of ‘general purpose financial statements’ which are concerned with providing information to meet the common needs of primary users who rely on information communicated to them by an agency’s financial statements. One of the primary users is considered to be the Legislative Assembly.</w:t>
      </w:r>
    </w:p>
    <w:p w14:paraId="5BD1D175" w14:textId="77777777" w:rsidR="004C7A57" w:rsidRPr="00B55331" w:rsidRDefault="004C7A57" w:rsidP="00B37EED">
      <w:pPr>
        <w:spacing w:after="120"/>
        <w:rPr>
          <w:rFonts w:cs="Calibri"/>
        </w:rPr>
      </w:pPr>
      <w:r w:rsidRPr="00B55331">
        <w:t>The Model is based on the following principles</w:t>
      </w:r>
      <w:r w:rsidRPr="00B55331">
        <w:rPr>
          <w:rFonts w:cs="Calibri"/>
        </w:rPr>
        <w:t>:</w:t>
      </w:r>
    </w:p>
    <w:p w14:paraId="1B5D62D4" w14:textId="40140930" w:rsidR="004C7A57" w:rsidRPr="00B55331" w:rsidRDefault="004C7A57" w:rsidP="00B37EED">
      <w:pPr>
        <w:pStyle w:val="BodyText"/>
        <w:tabs>
          <w:tab w:val="left" w:pos="1701"/>
        </w:tabs>
        <w:spacing w:after="120"/>
        <w:ind w:left="1701" w:hanging="1695"/>
        <w:rPr>
          <w:rFonts w:cs="Calibri"/>
        </w:rPr>
      </w:pPr>
      <w:r w:rsidRPr="00B55331">
        <w:rPr>
          <w:rFonts w:cs="Calibri"/>
        </w:rPr>
        <w:t>Accountability</w:t>
      </w:r>
      <w:r w:rsidR="00B55331" w:rsidRPr="00B55331">
        <w:rPr>
          <w:rFonts w:cs="Calibri"/>
        </w:rPr>
        <w:t xml:space="preserve"> </w:t>
      </w:r>
      <w:r w:rsidRPr="00B55331">
        <w:rPr>
          <w:rFonts w:cs="Calibri"/>
        </w:rPr>
        <w:t>-</w:t>
      </w:r>
      <w:r w:rsidRPr="00B55331">
        <w:rPr>
          <w:rFonts w:cs="Calibri"/>
        </w:rPr>
        <w:tab/>
        <w:t>Directors-General are accountable for the efficient and effective use of resources for which they are responsible and the safekeeping of public monies. The financial statements are to disclose information relevant to assessing their performance in this respect.</w:t>
      </w:r>
    </w:p>
    <w:p w14:paraId="68A51304" w14:textId="2048C185" w:rsidR="004C7A57" w:rsidRPr="00B55331" w:rsidRDefault="004C7A57" w:rsidP="00B37EED">
      <w:pPr>
        <w:pStyle w:val="BodyText"/>
        <w:tabs>
          <w:tab w:val="left" w:pos="1701"/>
        </w:tabs>
        <w:spacing w:after="120"/>
        <w:ind w:left="1701" w:hanging="1701"/>
        <w:rPr>
          <w:rFonts w:cs="Calibri"/>
        </w:rPr>
      </w:pPr>
      <w:r w:rsidRPr="00B55331">
        <w:rPr>
          <w:rFonts w:cs="Calibri"/>
        </w:rPr>
        <w:t>Compliance -</w:t>
      </w:r>
      <w:r w:rsidRPr="00B55331">
        <w:rPr>
          <w:rFonts w:cs="Calibri"/>
        </w:rPr>
        <w:tab/>
        <w:t xml:space="preserve">The financial statements must disclose the information required by legislation and the applicable </w:t>
      </w:r>
      <w:bookmarkStart w:id="25" w:name="_Hlk96892688"/>
      <w:r w:rsidR="00B55331" w:rsidRPr="00B55331">
        <w:rPr>
          <w:rFonts w:cs="Calibri"/>
        </w:rPr>
        <w:t>Australian A</w:t>
      </w:r>
      <w:r w:rsidRPr="00B55331">
        <w:rPr>
          <w:rFonts w:cs="Calibri"/>
        </w:rPr>
        <w:t xml:space="preserve">ccounting </w:t>
      </w:r>
      <w:r w:rsidR="00B55331" w:rsidRPr="00B55331">
        <w:rPr>
          <w:rFonts w:cs="Calibri"/>
        </w:rPr>
        <w:t>S</w:t>
      </w:r>
      <w:r w:rsidRPr="00B55331">
        <w:rPr>
          <w:rFonts w:cs="Calibri"/>
        </w:rPr>
        <w:t>tandards</w:t>
      </w:r>
      <w:bookmarkEnd w:id="25"/>
      <w:r w:rsidRPr="00B55331">
        <w:rPr>
          <w:rFonts w:cs="Calibri"/>
        </w:rPr>
        <w:t>.</w:t>
      </w:r>
    </w:p>
    <w:p w14:paraId="232A0EDD" w14:textId="5BB13E08" w:rsidR="00A8727A" w:rsidRPr="00B55331" w:rsidRDefault="004C7A57" w:rsidP="00B37EED">
      <w:pPr>
        <w:pStyle w:val="BodyText"/>
        <w:tabs>
          <w:tab w:val="left" w:pos="1701"/>
        </w:tabs>
        <w:spacing w:after="120"/>
        <w:ind w:left="1701" w:hanging="1701"/>
        <w:rPr>
          <w:rFonts w:cs="Calibri"/>
        </w:rPr>
      </w:pPr>
      <w:r w:rsidRPr="00B55331">
        <w:rPr>
          <w:rFonts w:cs="Calibri"/>
        </w:rPr>
        <w:t>Comparability</w:t>
      </w:r>
      <w:r w:rsidR="00B55331" w:rsidRPr="00B55331">
        <w:rPr>
          <w:rFonts w:cs="Calibri"/>
        </w:rPr>
        <w:t xml:space="preserve"> </w:t>
      </w:r>
      <w:r w:rsidRPr="00B55331">
        <w:rPr>
          <w:rFonts w:cs="Calibri"/>
        </w:rPr>
        <w:t>-</w:t>
      </w:r>
      <w:r w:rsidRPr="00B55331">
        <w:rPr>
          <w:rFonts w:cs="Calibri"/>
        </w:rPr>
        <w:tab/>
        <w:t>The financial statements are to provide operational information that is comparable between periods and between agencies.</w:t>
      </w:r>
    </w:p>
    <w:p w14:paraId="1F88E91D" w14:textId="45AE626A" w:rsidR="000144FF" w:rsidRPr="00B55331" w:rsidRDefault="000144FF" w:rsidP="00B37EED">
      <w:pPr>
        <w:pStyle w:val="BodyText"/>
        <w:spacing w:after="120"/>
        <w:rPr>
          <w:rFonts w:cs="Calibri"/>
        </w:rPr>
      </w:pPr>
      <w:r w:rsidRPr="00B55331">
        <w:rPr>
          <w:rFonts w:cs="Calibri"/>
        </w:rPr>
        <w:t>The Model ‘</w:t>
      </w:r>
      <w:r w:rsidR="00350670" w:rsidRPr="00B55331">
        <w:rPr>
          <w:rFonts w:cs="Calibri"/>
        </w:rPr>
        <w:t xml:space="preserve">Burley Griffin </w:t>
      </w:r>
      <w:r w:rsidR="00333B8F" w:rsidRPr="00B55331">
        <w:rPr>
          <w:rFonts w:cs="Calibri"/>
        </w:rPr>
        <w:t>Agency</w:t>
      </w:r>
      <w:r w:rsidRPr="00B55331">
        <w:rPr>
          <w:rFonts w:cs="Calibri"/>
        </w:rPr>
        <w:t xml:space="preserve">’ is a fictitious agency and has only been used for the purposes of illustrating the financial reporting requirements for ACT Government </w:t>
      </w:r>
      <w:r w:rsidR="00D65811" w:rsidRPr="00B55331">
        <w:rPr>
          <w:rFonts w:cs="Calibri"/>
        </w:rPr>
        <w:t>a</w:t>
      </w:r>
      <w:r w:rsidR="00BC6A13" w:rsidRPr="00B55331">
        <w:rPr>
          <w:rFonts w:cs="Calibri"/>
        </w:rPr>
        <w:t>gencies</w:t>
      </w:r>
      <w:r w:rsidRPr="00B55331">
        <w:rPr>
          <w:rFonts w:cs="Calibri"/>
        </w:rPr>
        <w:t>.</w:t>
      </w:r>
    </w:p>
    <w:p w14:paraId="25DDEE03" w14:textId="77777777" w:rsidR="00C32F4F" w:rsidRDefault="00D849FC" w:rsidP="00441B58">
      <w:pPr>
        <w:pStyle w:val="Heading2"/>
        <w:spacing w:before="360"/>
        <w:rPr>
          <w:color w:val="000000" w:themeColor="text1"/>
        </w:rPr>
      </w:pPr>
      <w:bookmarkStart w:id="26" w:name="_Toc132743727"/>
      <w:r w:rsidRPr="00CF4393">
        <w:rPr>
          <w:color w:val="000000" w:themeColor="text1"/>
        </w:rPr>
        <w:t>Materiality Guidance</w:t>
      </w:r>
      <w:bookmarkEnd w:id="26"/>
      <w:r w:rsidRPr="00CF4393">
        <w:rPr>
          <w:color w:val="000000" w:themeColor="text1"/>
        </w:rPr>
        <w:t xml:space="preserve"> </w:t>
      </w:r>
    </w:p>
    <w:p w14:paraId="3E47D60C" w14:textId="45C2C698" w:rsidR="00236204" w:rsidRPr="00457876" w:rsidRDefault="00D849FC" w:rsidP="009603AE">
      <w:pPr>
        <w:pStyle w:val="BodyText"/>
        <w:spacing w:after="120"/>
        <w:rPr>
          <w:rFonts w:cs="Calibri"/>
        </w:rPr>
      </w:pPr>
      <w:r w:rsidRPr="00734C56">
        <w:rPr>
          <w:rFonts w:cs="Calibri"/>
        </w:rPr>
        <w:t xml:space="preserve">Agencies are encouraged to consider materiality in preparing and streamlining their financial statements. </w:t>
      </w:r>
      <w:r w:rsidR="00127699" w:rsidRPr="00734C56">
        <w:rPr>
          <w:rFonts w:cs="Calibri"/>
        </w:rPr>
        <w:t xml:space="preserve">AASB 101 defines information as </w:t>
      </w:r>
      <w:r w:rsidR="003931AB" w:rsidRPr="00734C56">
        <w:rPr>
          <w:rFonts w:cs="Calibri"/>
        </w:rPr>
        <w:t>material if</w:t>
      </w:r>
      <w:r w:rsidR="00A843B2" w:rsidRPr="00734C56">
        <w:t xml:space="preserve"> omitting, misstating or </w:t>
      </w:r>
      <w:bookmarkStart w:id="27" w:name="_Hlk92208917"/>
      <w:r w:rsidR="00A843B2" w:rsidRPr="00734C56">
        <w:t xml:space="preserve">obscuring it could reasonably be expected to influence decisions that the primary users of general purpose financial statements make </w:t>
      </w:r>
      <w:r w:rsidR="003931AB" w:rsidRPr="00734C56">
        <w:t>based on</w:t>
      </w:r>
      <w:r w:rsidR="00A843B2" w:rsidRPr="00734C56">
        <w:t xml:space="preserve"> those financial statements, which provide financial </w:t>
      </w:r>
      <w:r w:rsidR="00A843B2" w:rsidRPr="00236204">
        <w:rPr>
          <w:rFonts w:cs="Calibri"/>
        </w:rPr>
        <w:t xml:space="preserve">information about a specific reporting </w:t>
      </w:r>
      <w:r w:rsidR="00A843B2" w:rsidRPr="00457876">
        <w:rPr>
          <w:rFonts w:cs="Calibri"/>
        </w:rPr>
        <w:t>entity</w:t>
      </w:r>
      <w:bookmarkEnd w:id="27"/>
      <w:r w:rsidR="00A843B2" w:rsidRPr="00457876">
        <w:rPr>
          <w:rFonts w:cs="Calibri"/>
        </w:rPr>
        <w:t>.</w:t>
      </w:r>
      <w:r w:rsidR="00FA7C77">
        <w:rPr>
          <w:rFonts w:cs="Calibri"/>
        </w:rPr>
        <w:t xml:space="preserve"> </w:t>
      </w:r>
      <w:r w:rsidR="00A054D1" w:rsidRPr="00457876">
        <w:rPr>
          <w:rFonts w:cs="Calibri"/>
        </w:rPr>
        <w:t>The definition of materiality includes a reference to ‘obscured’.</w:t>
      </w:r>
      <w:r w:rsidR="00FA7C77">
        <w:rPr>
          <w:rFonts w:cs="Calibri"/>
        </w:rPr>
        <w:t xml:space="preserve"> </w:t>
      </w:r>
      <w:r w:rsidR="00236204" w:rsidRPr="00457876">
        <w:rPr>
          <w:rFonts w:cs="Calibri"/>
        </w:rPr>
        <w:t xml:space="preserve">Information is obscured if it is communicated in a way that would have a similar effect </w:t>
      </w:r>
      <w:r w:rsidR="00457876" w:rsidRPr="00457876">
        <w:rPr>
          <w:rFonts w:cs="Calibri"/>
        </w:rPr>
        <w:t xml:space="preserve">to </w:t>
      </w:r>
      <w:r w:rsidR="00236204" w:rsidRPr="00457876">
        <w:rPr>
          <w:rFonts w:cs="Calibri"/>
        </w:rPr>
        <w:t xml:space="preserve">primary users of omitting or misstating that information. The following are examples of circumstances that may result in material information being obscured: </w:t>
      </w:r>
    </w:p>
    <w:p w14:paraId="664A9664" w14:textId="77777777"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information regarding a material item, transaction or other event is disclosed in the financial statements but the language used is vague or unclear; </w:t>
      </w:r>
    </w:p>
    <w:p w14:paraId="0231A71C" w14:textId="77777777"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information regarding a material item, transaction or other event is scattered throughout the financial statements;</w:t>
      </w:r>
    </w:p>
    <w:p w14:paraId="77CF440F" w14:textId="45E488A1"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dissimilar items, transactions or other events are inappropriately aggregated; </w:t>
      </w:r>
    </w:p>
    <w:p w14:paraId="6572ECFB" w14:textId="3D35069B"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similar items, transactions or other events are inappropriately disaggregated; and </w:t>
      </w:r>
    </w:p>
    <w:p w14:paraId="3234EDAB" w14:textId="5FABCE75" w:rsidR="00236204" w:rsidRPr="00457876" w:rsidRDefault="00236204" w:rsidP="009603AE">
      <w:pPr>
        <w:pStyle w:val="Default"/>
        <w:numPr>
          <w:ilvl w:val="0"/>
          <w:numId w:val="57"/>
        </w:numPr>
        <w:jc w:val="both"/>
        <w:rPr>
          <w:rFonts w:ascii="Calibri" w:hAnsi="Calibri" w:cs="Calibri"/>
          <w:color w:val="auto"/>
          <w:sz w:val="22"/>
          <w:szCs w:val="16"/>
          <w:lang w:eastAsia="en-US"/>
        </w:rPr>
      </w:pPr>
      <w:r w:rsidRPr="00457876">
        <w:rPr>
          <w:rFonts w:ascii="Calibri" w:hAnsi="Calibri" w:cs="Calibri"/>
          <w:color w:val="auto"/>
          <w:sz w:val="22"/>
          <w:szCs w:val="16"/>
          <w:lang w:eastAsia="en-US"/>
        </w:rPr>
        <w:t>the understandability of the financial statements is reduced as a result of material information being hidden by immaterial information to the extent that a primary user is unable to determine what information is material.</w:t>
      </w:r>
    </w:p>
    <w:p w14:paraId="0D881E8B" w14:textId="77777777" w:rsidR="00D849FC" w:rsidRPr="00236204" w:rsidRDefault="00D849FC" w:rsidP="005D7F4C">
      <w:pPr>
        <w:pStyle w:val="BodyText"/>
        <w:rPr>
          <w:rFonts w:cs="Calibri"/>
        </w:rPr>
      </w:pPr>
    </w:p>
    <w:p w14:paraId="40686A8B" w14:textId="77777777" w:rsidR="00B37EED" w:rsidRDefault="00B37EED" w:rsidP="00B37EED">
      <w:pPr>
        <w:pStyle w:val="NormalSF"/>
        <w:spacing w:before="0"/>
        <w:jc w:val="both"/>
        <w:rPr>
          <w:rFonts w:cs="Calibri"/>
          <w:szCs w:val="16"/>
          <w:lang w:val="en-AU" w:eastAsia="en-US"/>
        </w:rPr>
      </w:pPr>
    </w:p>
    <w:p w14:paraId="34AC21D0" w14:textId="77777777" w:rsidR="00B37EED" w:rsidRDefault="00B37EED" w:rsidP="00B37EED">
      <w:pPr>
        <w:pStyle w:val="NormalSF"/>
        <w:spacing w:before="0"/>
        <w:jc w:val="both"/>
        <w:rPr>
          <w:rFonts w:cs="Calibri"/>
          <w:szCs w:val="16"/>
          <w:lang w:val="en-AU" w:eastAsia="en-US"/>
        </w:rPr>
      </w:pPr>
    </w:p>
    <w:p w14:paraId="0DF6EDA7" w14:textId="77777777" w:rsidR="00B37EED" w:rsidRDefault="00B37EED" w:rsidP="00B37EED">
      <w:pPr>
        <w:pStyle w:val="NormalSF"/>
        <w:spacing w:before="0"/>
        <w:jc w:val="both"/>
        <w:rPr>
          <w:rFonts w:cs="Calibri"/>
          <w:szCs w:val="16"/>
          <w:lang w:val="en-AU" w:eastAsia="en-US"/>
        </w:rPr>
      </w:pPr>
    </w:p>
    <w:p w14:paraId="69314911" w14:textId="77777777" w:rsidR="00B37EED" w:rsidRPr="00BD1DCB" w:rsidRDefault="00B37EED" w:rsidP="00B37EED">
      <w:pPr>
        <w:pStyle w:val="Heading2"/>
        <w:numPr>
          <w:ilvl w:val="1"/>
          <w:numId w:val="77"/>
        </w:numPr>
        <w:spacing w:before="360"/>
        <w:rPr>
          <w:color w:val="000000" w:themeColor="text1"/>
        </w:rPr>
      </w:pPr>
      <w:bookmarkStart w:id="28" w:name="_Toc131591694"/>
      <w:bookmarkStart w:id="29" w:name="_Toc132743728"/>
      <w:r w:rsidRPr="00BD1DCB">
        <w:rPr>
          <w:color w:val="000000" w:themeColor="text1"/>
        </w:rPr>
        <w:t>Materiality Guidance – Continued</w:t>
      </w:r>
      <w:bookmarkEnd w:id="28"/>
      <w:bookmarkEnd w:id="29"/>
      <w:r w:rsidRPr="00BD1DCB">
        <w:rPr>
          <w:color w:val="000000" w:themeColor="text1"/>
        </w:rPr>
        <w:t xml:space="preserve"> </w:t>
      </w:r>
    </w:p>
    <w:p w14:paraId="645A0B3A" w14:textId="5507CBE0" w:rsidR="004367E9" w:rsidRPr="00457876" w:rsidRDefault="004367E9" w:rsidP="00B37EED">
      <w:pPr>
        <w:pStyle w:val="NormalSF"/>
        <w:spacing w:before="0"/>
        <w:jc w:val="both"/>
        <w:rPr>
          <w:rFonts w:cs="Calibri"/>
          <w:szCs w:val="16"/>
          <w:lang w:val="en-AU" w:eastAsia="en-US"/>
        </w:rPr>
      </w:pPr>
      <w:r w:rsidRPr="00457876">
        <w:rPr>
          <w:rFonts w:cs="Calibri"/>
          <w:szCs w:val="16"/>
          <w:lang w:val="en-AU" w:eastAsia="en-US"/>
        </w:rPr>
        <w:t>The concept of materiality means that a specific disclosure requirement in an Australian Accounting Standard need not be satisfied if the information resulting from that disclosure is not material.</w:t>
      </w:r>
      <w:r w:rsidR="00FA7C77">
        <w:rPr>
          <w:rFonts w:cs="Calibri"/>
          <w:szCs w:val="16"/>
          <w:lang w:val="en-AU" w:eastAsia="en-US"/>
        </w:rPr>
        <w:t xml:space="preserve"> </w:t>
      </w:r>
      <w:r w:rsidRPr="00457876">
        <w:rPr>
          <w:rFonts w:cs="Calibri"/>
          <w:szCs w:val="16"/>
          <w:lang w:val="en-AU" w:eastAsia="en-US"/>
        </w:rPr>
        <w:t>This is the case even if the Australian Accounting Standard contains a list of specific requirements or describes them as minimum requirements.</w:t>
      </w:r>
      <w:r w:rsidR="00FA7C77">
        <w:rPr>
          <w:rFonts w:cs="Calibri"/>
          <w:szCs w:val="16"/>
          <w:lang w:val="en-AU" w:eastAsia="en-US"/>
        </w:rPr>
        <w:t xml:space="preserve"> </w:t>
      </w:r>
      <w:r w:rsidRPr="00457876">
        <w:rPr>
          <w:rFonts w:cs="Calibri"/>
          <w:szCs w:val="16"/>
          <w:lang w:val="en-AU" w:eastAsia="en-US"/>
        </w:rPr>
        <w:t xml:space="preserve">Alternatively, where an item is not specifically required to be disclosed by an Australian Accounting Standard but is material, it shall be disclosed in either the </w:t>
      </w:r>
      <w:r w:rsidR="005E53B1">
        <w:rPr>
          <w:rFonts w:cs="Calibri"/>
          <w:szCs w:val="16"/>
          <w:lang w:val="en-AU" w:eastAsia="en-US"/>
        </w:rPr>
        <w:t>f</w:t>
      </w:r>
      <w:r w:rsidRPr="00457876">
        <w:rPr>
          <w:rFonts w:cs="Calibri"/>
          <w:szCs w:val="16"/>
          <w:lang w:val="en-AU" w:eastAsia="en-US"/>
        </w:rPr>
        <w:t xml:space="preserve">inancial </w:t>
      </w:r>
      <w:r w:rsidR="005E53B1">
        <w:rPr>
          <w:rFonts w:cs="Calibri"/>
          <w:szCs w:val="16"/>
          <w:lang w:val="en-AU" w:eastAsia="en-US"/>
        </w:rPr>
        <w:t>s</w:t>
      </w:r>
      <w:r w:rsidRPr="00457876">
        <w:rPr>
          <w:rFonts w:cs="Calibri"/>
          <w:szCs w:val="16"/>
          <w:lang w:val="en-AU" w:eastAsia="en-US"/>
        </w:rPr>
        <w:t>tatements or in the notes to the financial statements, whichever one is appropriate to enable primary users of financial statements to understand the impact of particular transactions, other events and conditions.</w:t>
      </w:r>
    </w:p>
    <w:p w14:paraId="3A086CD9" w14:textId="0C53A42D" w:rsidR="00D849FC" w:rsidRDefault="00D849FC" w:rsidP="00B37EED">
      <w:pPr>
        <w:pStyle w:val="BodyText"/>
        <w:spacing w:after="120"/>
        <w:rPr>
          <w:rFonts w:cs="Calibri"/>
          <w:color w:val="000000" w:themeColor="text1"/>
        </w:rPr>
      </w:pPr>
      <w:r w:rsidRPr="00236204">
        <w:rPr>
          <w:rFonts w:cs="Calibri"/>
        </w:rPr>
        <w:t>The AASB Practice Statem</w:t>
      </w:r>
      <w:r w:rsidRPr="00CF4393">
        <w:rPr>
          <w:rFonts w:cs="Calibri"/>
          <w:color w:val="000000" w:themeColor="text1"/>
        </w:rPr>
        <w:t xml:space="preserve">ent 2 </w:t>
      </w:r>
      <w:r w:rsidRPr="00CF4393">
        <w:rPr>
          <w:rFonts w:cs="Calibri"/>
          <w:i/>
          <w:color w:val="000000" w:themeColor="text1"/>
        </w:rPr>
        <w:t>Making Materiality Judgements</w:t>
      </w:r>
      <w:r w:rsidRPr="00CF4393">
        <w:rPr>
          <w:rFonts w:cs="Calibri"/>
          <w:color w:val="000000" w:themeColor="text1"/>
        </w:rPr>
        <w:t xml:space="preserve"> should be used by agencies in their assessment of materiality.</w:t>
      </w:r>
      <w:r w:rsidR="00FA7C77">
        <w:rPr>
          <w:rFonts w:cs="Calibri"/>
          <w:color w:val="000000" w:themeColor="text1"/>
        </w:rPr>
        <w:t xml:space="preserve"> </w:t>
      </w:r>
      <w:r w:rsidRPr="00CF4393">
        <w:rPr>
          <w:rFonts w:cs="Calibri"/>
          <w:color w:val="000000" w:themeColor="text1"/>
        </w:rPr>
        <w:t>Making materiality judgements involves both quantitative and qualitative considerations.</w:t>
      </w:r>
      <w:r w:rsidR="00FA7C77">
        <w:rPr>
          <w:rFonts w:cs="Calibri"/>
          <w:color w:val="000000" w:themeColor="text1"/>
        </w:rPr>
        <w:t xml:space="preserve"> </w:t>
      </w:r>
      <w:r w:rsidRPr="00CF4393">
        <w:rPr>
          <w:rFonts w:cs="Calibri"/>
          <w:color w:val="000000" w:themeColor="text1"/>
        </w:rPr>
        <w:t xml:space="preserve">A quantitative threshold - a specified level, rate or amount used in assessing size - can be a helpful tool in making a materiality judgement. However, a quantitative assessment alone is not always sufficient to conclude that an item of information is not material. The entity should further assess the presence of qualitative factors. </w:t>
      </w:r>
    </w:p>
    <w:p w14:paraId="47985D3B" w14:textId="6268D485" w:rsidR="004367E9" w:rsidRPr="00A11CD3" w:rsidRDefault="000C54CB" w:rsidP="00B37EED">
      <w:pPr>
        <w:pStyle w:val="NormalSF"/>
        <w:spacing w:before="0"/>
        <w:jc w:val="both"/>
        <w:rPr>
          <w:szCs w:val="22"/>
        </w:rPr>
      </w:pPr>
      <w:r w:rsidRPr="00A11CD3">
        <w:rPr>
          <w:rFonts w:cs="Calibri"/>
          <w:szCs w:val="22"/>
        </w:rPr>
        <w:t>Materiality depends on the size and nature of the omission or misstatement judged in the surrounding circumstances.</w:t>
      </w:r>
      <w:r w:rsidR="00FA7C77">
        <w:rPr>
          <w:rFonts w:cs="Calibri"/>
          <w:szCs w:val="22"/>
        </w:rPr>
        <w:t xml:space="preserve"> </w:t>
      </w:r>
      <w:r w:rsidRPr="00A11CD3">
        <w:rPr>
          <w:rFonts w:cs="Calibri"/>
          <w:szCs w:val="22"/>
        </w:rPr>
        <w:t>The size or nature of the item, or a combination of both, could be the determining factor.</w:t>
      </w:r>
      <w:r w:rsidR="00FA7C77">
        <w:rPr>
          <w:rFonts w:cs="Calibri"/>
          <w:szCs w:val="22"/>
        </w:rPr>
        <w:t xml:space="preserve"> </w:t>
      </w:r>
      <w:r w:rsidR="004367E9" w:rsidRPr="00A11CD3">
        <w:rPr>
          <w:rFonts w:cs="Calibri"/>
          <w:szCs w:val="22"/>
        </w:rPr>
        <w:t xml:space="preserve">Assessing whether an omission or misstatement could influence economic decisions of </w:t>
      </w:r>
      <w:r w:rsidR="004C0D32" w:rsidRPr="00A11CD3">
        <w:rPr>
          <w:rFonts w:cs="Calibri"/>
          <w:szCs w:val="22"/>
        </w:rPr>
        <w:t>primary u</w:t>
      </w:r>
      <w:r w:rsidR="004367E9" w:rsidRPr="00A11CD3">
        <w:rPr>
          <w:rFonts w:cs="Calibri"/>
          <w:szCs w:val="22"/>
        </w:rPr>
        <w:t>sers, and so be material, requires consideration of the characteristics of those users.</w:t>
      </w:r>
      <w:r w:rsidR="00FA7C77">
        <w:rPr>
          <w:rFonts w:cs="Calibri"/>
          <w:szCs w:val="22"/>
        </w:rPr>
        <w:t xml:space="preserve"> </w:t>
      </w:r>
      <w:bookmarkStart w:id="30" w:name="_Hlk96932250"/>
      <w:r w:rsidR="004C0D32" w:rsidRPr="00A11CD3">
        <w:rPr>
          <w:rFonts w:cs="Calibri"/>
        </w:rPr>
        <w:t xml:space="preserve">AASB 101 states that the </w:t>
      </w:r>
      <w:r w:rsidR="00A11CD3">
        <w:rPr>
          <w:rFonts w:cs="Calibri"/>
        </w:rPr>
        <w:t>“</w:t>
      </w:r>
      <w:r w:rsidR="004C0D32" w:rsidRPr="00A11CD3">
        <w:rPr>
          <w:rFonts w:cs="Calibri"/>
          <w:i/>
          <w:iCs/>
        </w:rPr>
        <w:t>f</w:t>
      </w:r>
      <w:r w:rsidR="004C0D32" w:rsidRPr="00A11CD3">
        <w:rPr>
          <w:i/>
          <w:iCs/>
        </w:rPr>
        <w:t>inancial statements are prepared for users who have a reasonable knowledge of business and economic activities and who review and analyse the information diligently. At times, even well-informed and diligent users may need to seek the aid of an adviser to understand information about complex economic phenomena</w:t>
      </w:r>
      <w:r w:rsidR="00A11CD3">
        <w:rPr>
          <w:i/>
          <w:iCs/>
        </w:rPr>
        <w:t>”</w:t>
      </w:r>
      <w:r w:rsidR="004C0D32" w:rsidRPr="00A11CD3">
        <w:rPr>
          <w:i/>
          <w:iCs/>
        </w:rPr>
        <w:t>.</w:t>
      </w:r>
      <w:r w:rsidR="00FA7C77">
        <w:rPr>
          <w:i/>
          <w:iCs/>
        </w:rPr>
        <w:t xml:space="preserve"> </w:t>
      </w:r>
      <w:r w:rsidR="004C0D32" w:rsidRPr="00A11CD3">
        <w:t>As such, u</w:t>
      </w:r>
      <w:bookmarkEnd w:id="30"/>
      <w:r w:rsidR="004367E9" w:rsidRPr="00A11CD3">
        <w:rPr>
          <w:rFonts w:cs="Calibri"/>
          <w:szCs w:val="22"/>
        </w:rPr>
        <w:t xml:space="preserve">sers </w:t>
      </w:r>
      <w:bookmarkStart w:id="31" w:name="_Hlk96932284"/>
      <w:r w:rsidR="004367E9" w:rsidRPr="00A11CD3">
        <w:rPr>
          <w:rFonts w:cs="Calibri"/>
          <w:szCs w:val="22"/>
        </w:rPr>
        <w:t xml:space="preserve">are assumed to have a reasonable </w:t>
      </w:r>
      <w:r w:rsidR="004C0D32" w:rsidRPr="00A11CD3">
        <w:rPr>
          <w:rFonts w:cs="Calibri"/>
          <w:szCs w:val="22"/>
        </w:rPr>
        <w:t xml:space="preserve">financial </w:t>
      </w:r>
      <w:r w:rsidR="004367E9" w:rsidRPr="00A11CD3">
        <w:rPr>
          <w:rFonts w:cs="Calibri"/>
          <w:szCs w:val="22"/>
        </w:rPr>
        <w:t xml:space="preserve">knowledge and a willingness to study the information with due diligence. Therefore, the assessment needs to </w:t>
      </w:r>
      <w:r w:rsidR="003931AB" w:rsidRPr="00A11CD3">
        <w:rPr>
          <w:rFonts w:cs="Calibri"/>
          <w:szCs w:val="22"/>
        </w:rPr>
        <w:t>consider</w:t>
      </w:r>
      <w:r w:rsidR="004367E9" w:rsidRPr="00A11CD3">
        <w:rPr>
          <w:rFonts w:cs="Calibri"/>
          <w:szCs w:val="22"/>
        </w:rPr>
        <w:t xml:space="preserve"> how users with such attributes could reasonably be expected to be influenced in making economic decisions.</w:t>
      </w:r>
      <w:r w:rsidR="004C0D32" w:rsidRPr="00A11CD3">
        <w:rPr>
          <w:rFonts w:cs="Calibri"/>
        </w:rPr>
        <w:t xml:space="preserve"> </w:t>
      </w:r>
      <w:bookmarkEnd w:id="31"/>
    </w:p>
    <w:p w14:paraId="134A8605" w14:textId="0C4F955C" w:rsidR="00A24224" w:rsidRPr="00FB40FE" w:rsidRDefault="00C847B1" w:rsidP="005D7F4C">
      <w:pPr>
        <w:pStyle w:val="NormalSF"/>
        <w:spacing w:before="0" w:after="0"/>
        <w:jc w:val="both"/>
      </w:pPr>
      <w:r w:rsidRPr="00FB40FE">
        <w:t xml:space="preserve">AASB 101 </w:t>
      </w:r>
      <w:r w:rsidR="00F95EC8" w:rsidRPr="00FB40FE">
        <w:rPr>
          <w:i/>
          <w:iCs/>
        </w:rPr>
        <w:t>Presentation of Financial Statements</w:t>
      </w:r>
      <w:r w:rsidR="00F95EC8" w:rsidRPr="00FB40FE">
        <w:t xml:space="preserve"> </w:t>
      </w:r>
      <w:r w:rsidR="00FB40FE" w:rsidRPr="00FB40FE">
        <w:t>c</w:t>
      </w:r>
      <w:r w:rsidR="00DD29FB" w:rsidRPr="00FB40FE">
        <w:t>larifies</w:t>
      </w:r>
      <w:r w:rsidR="00A054D1" w:rsidRPr="00FB40FE">
        <w:t xml:space="preserve"> </w:t>
      </w:r>
      <w:r w:rsidR="00D849FC" w:rsidRPr="00FB40FE">
        <w:t xml:space="preserve">that entities should not disclose immaterial information in their financial statements and that the presentation of information in notes can and should be tailored to provide </w:t>
      </w:r>
      <w:r w:rsidR="00A054D1" w:rsidRPr="00FB40FE">
        <w:t xml:space="preserve">primary </w:t>
      </w:r>
      <w:r w:rsidR="00D849FC" w:rsidRPr="00FB40FE">
        <w:t xml:space="preserve">users with the clearest story of an entity’s financial performance and financial position. </w:t>
      </w:r>
      <w:r w:rsidR="001A5C97" w:rsidRPr="00FB40FE">
        <w:t>Agencies are strongly encouraged to undertake an annual assessment with the view to further simplify the presentation of their financial statements.</w:t>
      </w:r>
    </w:p>
    <w:p w14:paraId="15AE6731" w14:textId="77777777" w:rsidR="00D849FC" w:rsidRPr="00CF4393" w:rsidRDefault="00D849FC" w:rsidP="00B37EED">
      <w:pPr>
        <w:pStyle w:val="Heading3"/>
        <w:spacing w:before="240"/>
        <w:ind w:left="851"/>
      </w:pPr>
      <w:bookmarkStart w:id="32" w:name="_Toc132743729"/>
      <w:r w:rsidRPr="00CF4393">
        <w:t>Benefits of Streamlined Financial Reporting</w:t>
      </w:r>
      <w:bookmarkEnd w:id="32"/>
    </w:p>
    <w:p w14:paraId="5EB988B5" w14:textId="77777777" w:rsidR="00D849FC" w:rsidRPr="00FB40FE" w:rsidRDefault="00D849FC" w:rsidP="00111EEA">
      <w:pPr>
        <w:pStyle w:val="NormalSFLeadIn"/>
        <w:spacing w:before="0"/>
        <w:jc w:val="both"/>
      </w:pPr>
      <w:r w:rsidRPr="00FB40FE">
        <w:t>Benefits of financial statement simplification include:</w:t>
      </w:r>
    </w:p>
    <w:p w14:paraId="0EBE73A7" w14:textId="3DEF4461" w:rsidR="00D849FC" w:rsidRPr="00FB40FE" w:rsidRDefault="00D849FC" w:rsidP="00111EEA">
      <w:pPr>
        <w:pStyle w:val="SFDot1"/>
        <w:numPr>
          <w:ilvl w:val="0"/>
          <w:numId w:val="46"/>
        </w:numPr>
        <w:tabs>
          <w:tab w:val="clear" w:pos="567"/>
        </w:tabs>
        <w:spacing w:before="0"/>
        <w:ind w:left="709" w:hanging="425"/>
        <w:jc w:val="both"/>
      </w:pPr>
      <w:r w:rsidRPr="00FB40FE">
        <w:t>improving the readability of the financial statements</w:t>
      </w:r>
      <w:r w:rsidR="00295525">
        <w:t xml:space="preserve">. Readability improves when there is less </w:t>
      </w:r>
      <w:r w:rsidRPr="00FB40FE">
        <w:t xml:space="preserve">detail included </w:t>
      </w:r>
      <w:r w:rsidR="00295525">
        <w:t xml:space="preserve">regarding </w:t>
      </w:r>
      <w:r w:rsidRPr="00FB40FE">
        <w:t>immaterial balances</w:t>
      </w:r>
      <w:r w:rsidR="00295525">
        <w:t xml:space="preserve"> and more of a </w:t>
      </w:r>
      <w:r w:rsidRPr="00FB40FE">
        <w:t xml:space="preserve">focus </w:t>
      </w:r>
      <w:r w:rsidR="00295525">
        <w:t xml:space="preserve">is placed </w:t>
      </w:r>
      <w:r w:rsidRPr="00FB40FE">
        <w:t xml:space="preserve">on material </w:t>
      </w:r>
      <w:r w:rsidR="00295525">
        <w:t>information</w:t>
      </w:r>
      <w:r w:rsidRPr="00FB40FE">
        <w:t xml:space="preserve">; </w:t>
      </w:r>
    </w:p>
    <w:p w14:paraId="3B6796B9" w14:textId="77777777" w:rsidR="00D849FC" w:rsidRPr="00FB40FE" w:rsidRDefault="00D849FC" w:rsidP="00111EEA">
      <w:pPr>
        <w:pStyle w:val="SFDot1"/>
        <w:numPr>
          <w:ilvl w:val="0"/>
          <w:numId w:val="46"/>
        </w:numPr>
        <w:tabs>
          <w:tab w:val="clear" w:pos="567"/>
        </w:tabs>
        <w:spacing w:before="0"/>
        <w:ind w:left="709" w:hanging="425"/>
        <w:jc w:val="both"/>
      </w:pPr>
      <w:r w:rsidRPr="00FB40FE">
        <w:t>reducing financial statement preparation time – due to the ability to use system solutions to assist with the identification of notes and line items that are material from those that may not be material, as well as reducing the size of the financial statements that need preparation and review; and</w:t>
      </w:r>
    </w:p>
    <w:p w14:paraId="100E14DF" w14:textId="77777777" w:rsidR="00D849FC" w:rsidRPr="00FB40FE" w:rsidRDefault="00D849FC" w:rsidP="00111EEA">
      <w:pPr>
        <w:pStyle w:val="SFDot1"/>
        <w:numPr>
          <w:ilvl w:val="0"/>
          <w:numId w:val="46"/>
        </w:numPr>
        <w:tabs>
          <w:tab w:val="clear" w:pos="567"/>
        </w:tabs>
        <w:spacing w:before="0" w:after="0"/>
        <w:ind w:left="709" w:hanging="425"/>
        <w:jc w:val="both"/>
      </w:pPr>
      <w:r w:rsidRPr="00FB40FE">
        <w:t>reducing the level of unnecessary work required during the audit process.</w:t>
      </w:r>
    </w:p>
    <w:p w14:paraId="3F70E3B8" w14:textId="1F9BB503" w:rsidR="00D849FC" w:rsidRPr="00A26218" w:rsidRDefault="00D849FC" w:rsidP="00862862">
      <w:pPr>
        <w:pStyle w:val="Heading3"/>
        <w:spacing w:before="240"/>
        <w:ind w:left="851"/>
      </w:pPr>
      <w:bookmarkStart w:id="33" w:name="_Toc132743730"/>
      <w:r w:rsidRPr="00A26218">
        <w:t>General Guidance</w:t>
      </w:r>
      <w:bookmarkEnd w:id="33"/>
    </w:p>
    <w:p w14:paraId="68DCEB2C" w14:textId="297800F4" w:rsidR="00D849FC" w:rsidRPr="00FB40FE" w:rsidRDefault="00D849FC" w:rsidP="00111EEA">
      <w:pPr>
        <w:pStyle w:val="NormalSFLeadIn"/>
        <w:spacing w:before="0"/>
        <w:jc w:val="both"/>
      </w:pPr>
      <w:r w:rsidRPr="00FB40FE">
        <w:t>Agencies need to exercise judgement when assessing whether information is material to the financial statements.</w:t>
      </w:r>
      <w:r w:rsidR="00FA7C77">
        <w:t xml:space="preserve"> </w:t>
      </w:r>
      <w:r w:rsidRPr="00FB40FE">
        <w:t>The following quantitative and qualitative criteria may be applied in the assessment process:</w:t>
      </w:r>
    </w:p>
    <w:p w14:paraId="7E36F54F" w14:textId="77777777" w:rsidR="00D849FC" w:rsidRPr="00FB40FE" w:rsidRDefault="00D849FC" w:rsidP="00111EEA">
      <w:pPr>
        <w:pStyle w:val="SFDot1"/>
        <w:numPr>
          <w:ilvl w:val="0"/>
          <w:numId w:val="46"/>
        </w:numPr>
        <w:tabs>
          <w:tab w:val="clear" w:pos="567"/>
        </w:tabs>
        <w:spacing w:before="0"/>
        <w:ind w:left="709" w:hanging="425"/>
        <w:jc w:val="both"/>
      </w:pPr>
      <w:r w:rsidRPr="00FB40FE">
        <w:t>size or dollar amount of the item;</w:t>
      </w:r>
    </w:p>
    <w:p w14:paraId="1D6DE158" w14:textId="77777777" w:rsidR="00D849FC" w:rsidRPr="00FB40FE" w:rsidRDefault="00D849FC" w:rsidP="00111EEA">
      <w:pPr>
        <w:pStyle w:val="SFDot1"/>
        <w:numPr>
          <w:ilvl w:val="0"/>
          <w:numId w:val="46"/>
        </w:numPr>
        <w:tabs>
          <w:tab w:val="clear" w:pos="567"/>
        </w:tabs>
        <w:spacing w:before="0"/>
        <w:ind w:left="709" w:hanging="425"/>
        <w:jc w:val="both"/>
      </w:pPr>
      <w:r w:rsidRPr="00FB40FE">
        <w:t>nature of the item;</w:t>
      </w:r>
    </w:p>
    <w:p w14:paraId="1B6ABA5F" w14:textId="10849D60" w:rsidR="00D849FC" w:rsidRPr="00FB40FE" w:rsidRDefault="00D849FC" w:rsidP="00111EEA">
      <w:pPr>
        <w:pStyle w:val="SFDot1"/>
        <w:numPr>
          <w:ilvl w:val="0"/>
          <w:numId w:val="46"/>
        </w:numPr>
        <w:tabs>
          <w:tab w:val="clear" w:pos="567"/>
        </w:tabs>
        <w:spacing w:before="0"/>
        <w:ind w:left="709" w:hanging="425"/>
        <w:jc w:val="both"/>
      </w:pPr>
      <w:r w:rsidRPr="00FB40FE">
        <w:t xml:space="preserve">whether the </w:t>
      </w:r>
      <w:r w:rsidR="00350670" w:rsidRPr="00FB40FE">
        <w:t xml:space="preserve">agencies’ </w:t>
      </w:r>
      <w:r w:rsidRPr="00FB40FE">
        <w:t>results cannot be understood without the specific disclosure;</w:t>
      </w:r>
    </w:p>
    <w:p w14:paraId="687C9A56" w14:textId="77777777" w:rsidR="00D849FC" w:rsidRPr="00FB40FE" w:rsidRDefault="00D849FC" w:rsidP="00111EEA">
      <w:pPr>
        <w:pStyle w:val="SFDot1"/>
        <w:numPr>
          <w:ilvl w:val="0"/>
          <w:numId w:val="46"/>
        </w:numPr>
        <w:tabs>
          <w:tab w:val="clear" w:pos="567"/>
        </w:tabs>
        <w:spacing w:before="0"/>
        <w:ind w:left="709" w:hanging="425"/>
        <w:jc w:val="both"/>
      </w:pPr>
      <w:r w:rsidRPr="00FB40FE">
        <w:t>reporting requirement associated with the item (i.e. it needs to be disclosed to comply with a reporting requirement, regardless of the amount); and/or</w:t>
      </w:r>
    </w:p>
    <w:p w14:paraId="0F39CE8E" w14:textId="306ACDE2" w:rsidR="00D849FC" w:rsidRPr="00FB40FE" w:rsidRDefault="00D849FC" w:rsidP="00111EEA">
      <w:pPr>
        <w:pStyle w:val="SFDot1"/>
        <w:numPr>
          <w:ilvl w:val="0"/>
          <w:numId w:val="46"/>
        </w:numPr>
        <w:tabs>
          <w:tab w:val="clear" w:pos="567"/>
        </w:tabs>
        <w:spacing w:before="0" w:after="0"/>
        <w:ind w:left="709" w:hanging="425"/>
        <w:jc w:val="both"/>
      </w:pPr>
      <w:r w:rsidRPr="00FB40FE">
        <w:t xml:space="preserve">it is required to meet the needs of a </w:t>
      </w:r>
      <w:r w:rsidR="0045648F" w:rsidRPr="00FB40FE">
        <w:t>primary user</w:t>
      </w:r>
      <w:r w:rsidRPr="00FB40FE">
        <w:t>.</w:t>
      </w:r>
    </w:p>
    <w:p w14:paraId="37B5D3FC" w14:textId="77777777" w:rsidR="00D849FC" w:rsidRPr="00FB40FE" w:rsidRDefault="00D849FC" w:rsidP="005D7F4C">
      <w:pPr>
        <w:pStyle w:val="SFDot1"/>
        <w:numPr>
          <w:ilvl w:val="0"/>
          <w:numId w:val="0"/>
        </w:numPr>
        <w:spacing w:before="0" w:after="0"/>
        <w:ind w:left="567"/>
        <w:jc w:val="both"/>
      </w:pPr>
    </w:p>
    <w:p w14:paraId="59153235" w14:textId="77777777" w:rsidR="00B37EED" w:rsidRPr="00A26218" w:rsidRDefault="00B37EED" w:rsidP="00B340DF">
      <w:pPr>
        <w:pStyle w:val="Heading3"/>
        <w:numPr>
          <w:ilvl w:val="2"/>
          <w:numId w:val="89"/>
        </w:numPr>
        <w:spacing w:before="240"/>
        <w:ind w:left="851"/>
      </w:pPr>
      <w:bookmarkStart w:id="34" w:name="_Toc131164432"/>
      <w:bookmarkStart w:id="35" w:name="_Toc131591697"/>
      <w:bookmarkStart w:id="36" w:name="_Toc132743731"/>
      <w:r w:rsidRPr="00A26218">
        <w:t>General Guidance</w:t>
      </w:r>
      <w:r>
        <w:t xml:space="preserve"> – Continued</w:t>
      </w:r>
      <w:bookmarkEnd w:id="34"/>
      <w:bookmarkEnd w:id="35"/>
      <w:bookmarkEnd w:id="36"/>
      <w:r>
        <w:t xml:space="preserve"> </w:t>
      </w:r>
    </w:p>
    <w:p w14:paraId="55923F71" w14:textId="21F0B200" w:rsidR="00D849FC" w:rsidRPr="00CF4393" w:rsidRDefault="00D849FC" w:rsidP="00B37EED">
      <w:pPr>
        <w:pStyle w:val="NormalSFLeadIn"/>
        <w:spacing w:before="0"/>
        <w:jc w:val="both"/>
        <w:rPr>
          <w:color w:val="000000" w:themeColor="text1"/>
        </w:rPr>
      </w:pPr>
      <w:r w:rsidRPr="00CF4393">
        <w:rPr>
          <w:color w:val="000000" w:themeColor="text1"/>
        </w:rPr>
        <w:t xml:space="preserve">The following generally accepted </w:t>
      </w:r>
      <w:r w:rsidR="00977CF1" w:rsidRPr="00CF4393">
        <w:rPr>
          <w:color w:val="000000" w:themeColor="text1"/>
        </w:rPr>
        <w:t>quantitative</w:t>
      </w:r>
      <w:r w:rsidRPr="00CF4393">
        <w:rPr>
          <w:color w:val="000000" w:themeColor="text1"/>
        </w:rPr>
        <w:t xml:space="preserve"> benchmarks may be applied by agencies in assessing materiality:</w:t>
      </w:r>
    </w:p>
    <w:p w14:paraId="6698A42C" w14:textId="70EB4970" w:rsidR="00D849FC" w:rsidRPr="0057337B" w:rsidRDefault="00D849FC" w:rsidP="00B37EED">
      <w:pPr>
        <w:pStyle w:val="SFDot1"/>
        <w:numPr>
          <w:ilvl w:val="0"/>
          <w:numId w:val="46"/>
        </w:numPr>
        <w:tabs>
          <w:tab w:val="clear" w:pos="567"/>
        </w:tabs>
        <w:spacing w:before="0"/>
        <w:ind w:left="709" w:hanging="425"/>
        <w:jc w:val="both"/>
      </w:pPr>
      <w:r w:rsidRPr="00CF4393">
        <w:rPr>
          <w:color w:val="000000" w:themeColor="text1"/>
        </w:rPr>
        <w:t xml:space="preserve">below 5 per cent of the applicable benchmark is assumed to be immaterial, unless disclosure is required by legislation, </w:t>
      </w:r>
      <w:bookmarkStart w:id="37" w:name="_Hlk96933200"/>
      <w:r w:rsidRPr="0057337B">
        <w:t>policy</w:t>
      </w:r>
      <w:r w:rsidR="0057337B" w:rsidRPr="0057337B">
        <w:t>,</w:t>
      </w:r>
      <w:r w:rsidRPr="0057337B">
        <w:t xml:space="preserve"> specific stakeholder requirement</w:t>
      </w:r>
      <w:r w:rsidR="00E369ED">
        <w:t>s</w:t>
      </w:r>
      <w:r w:rsidR="0057337B" w:rsidRPr="0057337B">
        <w:t xml:space="preserve"> or qualitative materiality considerations</w:t>
      </w:r>
      <w:r w:rsidRPr="0057337B">
        <w:t>;</w:t>
      </w:r>
    </w:p>
    <w:bookmarkEnd w:id="37"/>
    <w:p w14:paraId="08DF08D3" w14:textId="0D6D2E93"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between 5 per cent and 10 per cent of the applicable benchmark needs to be considered in the context of qualitative materiality criteria or specific stakeholder requirement</w:t>
      </w:r>
      <w:r w:rsidR="00E369ED">
        <w:rPr>
          <w:color w:val="000000" w:themeColor="text1"/>
        </w:rPr>
        <w:t>s</w:t>
      </w:r>
      <w:r w:rsidRPr="00CF4393">
        <w:rPr>
          <w:color w:val="000000" w:themeColor="text1"/>
        </w:rPr>
        <w:t>; and</w:t>
      </w:r>
    </w:p>
    <w:p w14:paraId="6F623C26" w14:textId="77777777"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over 10 per cent of the applicable benchmark is deemed material.</w:t>
      </w:r>
    </w:p>
    <w:p w14:paraId="73EAB8E7" w14:textId="09E03777" w:rsidR="00D849FC" w:rsidRPr="00CF4393" w:rsidRDefault="00D849FC" w:rsidP="00B37EED">
      <w:pPr>
        <w:pStyle w:val="NormalSF"/>
        <w:keepNext/>
        <w:spacing w:before="0"/>
        <w:jc w:val="both"/>
        <w:rPr>
          <w:color w:val="000000" w:themeColor="text1"/>
        </w:rPr>
      </w:pPr>
      <w:r w:rsidRPr="00CF4393">
        <w:rPr>
          <w:color w:val="000000" w:themeColor="text1"/>
        </w:rPr>
        <w:t>While there is no ‘one size fits all’ approach to streamlining financial statements, the following guidance should be considered, to determine when to:</w:t>
      </w:r>
    </w:p>
    <w:p w14:paraId="0EC47B98" w14:textId="6DB5C785" w:rsidR="00D849FC" w:rsidRPr="00734C56" w:rsidRDefault="00D849FC" w:rsidP="00B37EED">
      <w:pPr>
        <w:pStyle w:val="SFDot1"/>
        <w:numPr>
          <w:ilvl w:val="0"/>
          <w:numId w:val="46"/>
        </w:numPr>
        <w:tabs>
          <w:tab w:val="clear" w:pos="567"/>
        </w:tabs>
        <w:spacing w:before="0"/>
        <w:ind w:left="709" w:hanging="425"/>
        <w:jc w:val="both"/>
      </w:pPr>
      <w:r w:rsidRPr="00734C56">
        <w:t xml:space="preserve">provide separate line items on the face of the financial statements (i.e. Operating Statement, Balance Sheet, Statement of Changes in Equity and </w:t>
      </w:r>
      <w:r w:rsidR="005D7F4C" w:rsidRPr="00734C56">
        <w:t>Statement of Cash Flows</w:t>
      </w:r>
      <w:r w:rsidRPr="00734C56">
        <w:t>);</w:t>
      </w:r>
    </w:p>
    <w:p w14:paraId="22C62B7F" w14:textId="18B6E120"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provide separate note disclosures for a face statement line item;</w:t>
      </w:r>
      <w:r w:rsidR="00820D1A">
        <w:rPr>
          <w:color w:val="000000" w:themeColor="text1"/>
        </w:rPr>
        <w:t xml:space="preserve"> </w:t>
      </w:r>
    </w:p>
    <w:p w14:paraId="277F603C" w14:textId="3AE747A4" w:rsidR="00D849FC" w:rsidRPr="00DE2804" w:rsidRDefault="00D849FC" w:rsidP="00B37EED">
      <w:pPr>
        <w:pStyle w:val="SFDot1"/>
        <w:numPr>
          <w:ilvl w:val="0"/>
          <w:numId w:val="46"/>
        </w:numPr>
        <w:tabs>
          <w:tab w:val="clear" w:pos="567"/>
        </w:tabs>
        <w:spacing w:before="0"/>
        <w:ind w:left="709" w:hanging="425"/>
        <w:jc w:val="both"/>
      </w:pPr>
      <w:r w:rsidRPr="00CF4393">
        <w:rPr>
          <w:color w:val="000000" w:themeColor="text1"/>
        </w:rPr>
        <w:t>reduce immaterial detail provided in separate note disclosures</w:t>
      </w:r>
      <w:r w:rsidRPr="00DE2804">
        <w:t>; and</w:t>
      </w:r>
    </w:p>
    <w:p w14:paraId="5C9BA102" w14:textId="20135972" w:rsidR="00D849FC" w:rsidRPr="00DE2804" w:rsidRDefault="00D849FC" w:rsidP="00B37EED">
      <w:pPr>
        <w:pStyle w:val="SFDot1"/>
        <w:numPr>
          <w:ilvl w:val="0"/>
          <w:numId w:val="46"/>
        </w:numPr>
        <w:tabs>
          <w:tab w:val="clear" w:pos="567"/>
        </w:tabs>
        <w:spacing w:before="0"/>
        <w:ind w:left="709" w:hanging="425"/>
        <w:jc w:val="both"/>
      </w:pPr>
      <w:r w:rsidRPr="00DE2804">
        <w:t>provide explanations for variances between prior and current year actual figures</w:t>
      </w:r>
      <w:r w:rsidR="00820D1A" w:rsidRPr="00DE2804">
        <w:t>.</w:t>
      </w:r>
    </w:p>
    <w:p w14:paraId="1D3727E0" w14:textId="65BFB2FE" w:rsidR="00D849FC" w:rsidRPr="00CF4393" w:rsidRDefault="00D849FC" w:rsidP="00B37EED">
      <w:pPr>
        <w:pStyle w:val="NormalSF"/>
        <w:keepNext/>
        <w:spacing w:before="0"/>
        <w:jc w:val="both"/>
        <w:rPr>
          <w:color w:val="000000" w:themeColor="text1"/>
        </w:rPr>
      </w:pPr>
      <w:r w:rsidRPr="00CF4393">
        <w:rPr>
          <w:color w:val="000000" w:themeColor="text1"/>
        </w:rPr>
        <w:t>As circumstances change over time, materiality judgements should be reassessed at each reporting date.</w:t>
      </w:r>
    </w:p>
    <w:p w14:paraId="1E79BE56" w14:textId="77777777" w:rsidR="00D849FC" w:rsidRPr="00CF4393" w:rsidRDefault="00D849FC" w:rsidP="00B37EED">
      <w:pPr>
        <w:pStyle w:val="Heading3"/>
        <w:spacing w:before="240"/>
        <w:ind w:left="851"/>
        <w:jc w:val="both"/>
      </w:pPr>
      <w:bookmarkStart w:id="38" w:name="_Toc132743732"/>
      <w:r w:rsidRPr="00CF4393">
        <w:t>Requirement for Separate Line Items on the Face of the Financial Statements</w:t>
      </w:r>
      <w:bookmarkEnd w:id="38"/>
    </w:p>
    <w:p w14:paraId="3F87BD2A" w14:textId="473A10CE" w:rsidR="00D849FC" w:rsidRPr="00A7037A" w:rsidRDefault="00D849FC" w:rsidP="00B37EED">
      <w:pPr>
        <w:pStyle w:val="NormalSF"/>
        <w:spacing w:before="0"/>
        <w:jc w:val="both"/>
      </w:pPr>
      <w:r w:rsidRPr="00A7037A">
        <w:t>Face statement line items which are less than 10 per cent of the relevant category total (a category is for instance total Income, Expenses</w:t>
      </w:r>
      <w:r w:rsidR="00DE2804" w:rsidRPr="00A7037A">
        <w:t>, Assets, Liabilities</w:t>
      </w:r>
      <w:r w:rsidR="00AC0ED1" w:rsidRPr="00A7037A">
        <w:t>,</w:t>
      </w:r>
      <w:r w:rsidRPr="00A7037A">
        <w:t xml:space="preserve"> Equity</w:t>
      </w:r>
      <w:r w:rsidR="00AC0ED1" w:rsidRPr="00A7037A">
        <w:t xml:space="preserve">, Receipts from Operating Activities, </w:t>
      </w:r>
      <w:r w:rsidR="00AC0ED1" w:rsidRPr="00A7037A">
        <w:rPr>
          <w:rFonts w:cs="Calibri"/>
        </w:rPr>
        <w:t>Payments from Operating Activities, Receipts from Investing Activities, Payments from Investing Activities, Receipts from Financing Activities or Payments from Financing Activities</w:t>
      </w:r>
      <w:r w:rsidRPr="00A7037A">
        <w:t>) may</w:t>
      </w:r>
      <w:r w:rsidR="005E53B1">
        <w:t xml:space="preserve"> </w:t>
      </w:r>
      <w:r w:rsidRPr="00A7037A">
        <w:t>be aggregated with other line items.</w:t>
      </w:r>
      <w:r w:rsidR="00FA7C77">
        <w:t xml:space="preserve"> </w:t>
      </w:r>
      <w:r w:rsidRPr="00A7037A">
        <w:t>An item that is not sufficiently material to warrant separate presentation on the face of the statements may still warrant separate presentation in the notes.</w:t>
      </w:r>
    </w:p>
    <w:p w14:paraId="60638C00" w14:textId="30A06BA2" w:rsidR="00D849FC" w:rsidRPr="00CE21AE" w:rsidRDefault="00D849FC" w:rsidP="00B37EED">
      <w:pPr>
        <w:pStyle w:val="NormalSF"/>
        <w:spacing w:before="0"/>
        <w:jc w:val="both"/>
      </w:pPr>
      <w:r w:rsidRPr="00A7037A">
        <w:t>Agencies may also consider re-naming line items where it represents only one type of transaction (e.g. where ‘other assets’ only include prepayments</w:t>
      </w:r>
      <w:r w:rsidR="00702347" w:rsidRPr="00A7037A">
        <w:t>;</w:t>
      </w:r>
      <w:r w:rsidRPr="00A7037A">
        <w:t xml:space="preserve"> agencies may change the name of the line item to ‘prepayments’).</w:t>
      </w:r>
      <w:r w:rsidR="00FA7C77">
        <w:t xml:space="preserve"> </w:t>
      </w:r>
      <w:r w:rsidR="00DE2804" w:rsidRPr="00A7037A">
        <w:t xml:space="preserve">Agencies need to be mindful that when considering changing the name of a line item on the face of the financial statements in the Annual Report this still needs to be comparable to the financial statements in the Budget Papers </w:t>
      </w:r>
      <w:r w:rsidR="00DE2804" w:rsidRPr="00A7037A">
        <w:rPr>
          <w:rFonts w:cs="Calibri"/>
        </w:rPr>
        <w:t>(as per section 27(2) and section 63(</w:t>
      </w:r>
      <w:r w:rsidR="003931AB" w:rsidRPr="00A7037A">
        <w:rPr>
          <w:rFonts w:cs="Calibri"/>
        </w:rPr>
        <w:t>2) of</w:t>
      </w:r>
      <w:r w:rsidR="00DE2804" w:rsidRPr="00A7037A">
        <w:rPr>
          <w:rFonts w:cs="Calibri"/>
        </w:rPr>
        <w:t xml:space="preserve"> the FMA)</w:t>
      </w:r>
      <w:r w:rsidR="00DE2804" w:rsidRPr="00A7037A">
        <w:t>.</w:t>
      </w:r>
      <w:r w:rsidR="00FA7C77">
        <w:t xml:space="preserve">  </w:t>
      </w:r>
    </w:p>
    <w:p w14:paraId="77258FB0" w14:textId="594935DD" w:rsidR="0033279C" w:rsidRDefault="00D849FC" w:rsidP="00B37EED">
      <w:pPr>
        <w:pStyle w:val="NormalSF"/>
        <w:spacing w:before="0"/>
        <w:jc w:val="both"/>
      </w:pPr>
      <w:r w:rsidRPr="00CF4393">
        <w:t>Agencies need to refer to the commentary in the Model for further guidance on aggregation of line items on the face of the financial statements.</w:t>
      </w:r>
    </w:p>
    <w:p w14:paraId="4917D92B" w14:textId="77777777" w:rsidR="00D849FC" w:rsidRPr="00CF4393" w:rsidRDefault="00D849FC" w:rsidP="00B37EED">
      <w:pPr>
        <w:pStyle w:val="Heading3"/>
        <w:spacing w:before="240"/>
        <w:ind w:left="851"/>
        <w:jc w:val="both"/>
      </w:pPr>
      <w:bookmarkStart w:id="39" w:name="_Toc132743733"/>
      <w:r w:rsidRPr="00CF4393">
        <w:t>Requirement for Separate Note Disclosures</w:t>
      </w:r>
      <w:bookmarkEnd w:id="39"/>
    </w:p>
    <w:p w14:paraId="35F18C5D" w14:textId="697BFB49" w:rsidR="00D849FC" w:rsidRPr="00216AE0" w:rsidRDefault="00D849FC" w:rsidP="00B37EED">
      <w:pPr>
        <w:pStyle w:val="NormalSF"/>
        <w:spacing w:before="0"/>
        <w:jc w:val="both"/>
        <w:rPr>
          <w:rFonts w:cs="Calibri"/>
        </w:rPr>
      </w:pPr>
      <w:r w:rsidRPr="00216AE0">
        <w:t>Face statement line items which are less than 10 per cent of that category’s total (a category is for instance total Income, Expenses</w:t>
      </w:r>
      <w:r w:rsidR="007D5C59" w:rsidRPr="00216AE0">
        <w:t>, Assets, Liabilities</w:t>
      </w:r>
      <w:r w:rsidRPr="00216AE0">
        <w:t xml:space="preserve"> or Equity), may not require separate note disclosure.</w:t>
      </w:r>
      <w:r w:rsidR="00FA7C77">
        <w:t xml:space="preserve"> </w:t>
      </w:r>
      <w:r w:rsidRPr="00216AE0">
        <w:t>The intention being that small value line items will be shown at the face statement level only.</w:t>
      </w:r>
      <w:r w:rsidR="00FA7C77">
        <w:t xml:space="preserve"> </w:t>
      </w:r>
      <w:r w:rsidRPr="00216AE0">
        <w:t>However, for these line items, if the variance between the current and prior year actual values is greater than the threshold for variance explanations (refer section on ‘</w:t>
      </w:r>
      <w:r w:rsidRPr="00216AE0">
        <w:rPr>
          <w:i/>
          <w:kern w:val="32"/>
        </w:rPr>
        <w:t>Variance explanations between Current and Prior Year Figures</w:t>
      </w:r>
      <w:r w:rsidRPr="00216AE0">
        <w:rPr>
          <w:i/>
        </w:rPr>
        <w:t>’</w:t>
      </w:r>
      <w:r w:rsidRPr="00216AE0">
        <w:t>), a separate note with the variance explanation may be required.</w:t>
      </w:r>
      <w:r w:rsidR="00FA7C77">
        <w:t xml:space="preserve"> </w:t>
      </w:r>
      <w:r w:rsidR="0045648F" w:rsidRPr="00216AE0">
        <w:t xml:space="preserve">Alternatively, an agency could </w:t>
      </w:r>
      <w:r w:rsidR="00C66E0D" w:rsidRPr="00216AE0">
        <w:t>provide a variance explanation at the bottom of the relevant face statement (i</w:t>
      </w:r>
      <w:r w:rsidR="004D3BF8">
        <w:t>.</w:t>
      </w:r>
      <w:r w:rsidR="00C66E0D" w:rsidRPr="00216AE0">
        <w:t>e</w:t>
      </w:r>
      <w:r w:rsidR="004D3BF8">
        <w:t>.</w:t>
      </w:r>
      <w:r w:rsidR="00C66E0D" w:rsidRPr="00216AE0">
        <w:t xml:space="preserve"> the Operating Statement, Balance Sheet</w:t>
      </w:r>
      <w:r w:rsidR="00820D1A" w:rsidRPr="00216AE0">
        <w:t>, Statement of Changes in Equity and Statement of Cash Flows), thereby not necessitating a separate note</w:t>
      </w:r>
      <w:r w:rsidR="00DE2804" w:rsidRPr="00216AE0">
        <w:rPr>
          <w:rFonts w:cs="Calibri"/>
        </w:rPr>
        <w:t xml:space="preserve">. </w:t>
      </w:r>
    </w:p>
    <w:p w14:paraId="0EA2AE78" w14:textId="07238713" w:rsidR="00D849FC" w:rsidRPr="00216AE0" w:rsidRDefault="00D849FC" w:rsidP="00B37EED">
      <w:pPr>
        <w:pStyle w:val="NormalSF"/>
        <w:spacing w:before="0"/>
        <w:jc w:val="both"/>
      </w:pPr>
      <w:r w:rsidRPr="00CF4393">
        <w:t>A s</w:t>
      </w:r>
      <w:r w:rsidRPr="00216AE0">
        <w:t xml:space="preserve">eparate note is not required if the item is assessed as not material (following evaluation of quantitative and qualitative materiality factors) and/or </w:t>
      </w:r>
      <w:r w:rsidR="00AC0ED1" w:rsidRPr="00216AE0">
        <w:t xml:space="preserve">the </w:t>
      </w:r>
      <w:r w:rsidRPr="00216AE0">
        <w:t xml:space="preserve">note only restates the information </w:t>
      </w:r>
      <w:r w:rsidR="00AC0ED1" w:rsidRPr="00216AE0">
        <w:t xml:space="preserve">that is </w:t>
      </w:r>
      <w:r w:rsidRPr="00216AE0">
        <w:t>on the face of the financial statements and does not provide any additional information.</w:t>
      </w:r>
    </w:p>
    <w:p w14:paraId="6EA48698" w14:textId="79554EDD" w:rsidR="00D849FC" w:rsidRPr="00216AE0" w:rsidRDefault="00D849FC" w:rsidP="00B37EED">
      <w:pPr>
        <w:pStyle w:val="NormalSF"/>
        <w:spacing w:before="0"/>
        <w:jc w:val="both"/>
      </w:pPr>
      <w:r w:rsidRPr="00216AE0">
        <w:t>These thresholds are a guide only and agencies need to determine the most appropriate thresholds specific to their financial statements.</w:t>
      </w:r>
      <w:r w:rsidR="00FA7C77">
        <w:t xml:space="preserve"> </w:t>
      </w:r>
    </w:p>
    <w:p w14:paraId="639D334E" w14:textId="77777777" w:rsidR="00EC4D28" w:rsidRPr="00CF4393" w:rsidRDefault="00EC4D28" w:rsidP="005D7F4C">
      <w:pPr>
        <w:pStyle w:val="NormalSF"/>
        <w:spacing w:before="0" w:after="0"/>
        <w:jc w:val="both"/>
      </w:pPr>
    </w:p>
    <w:p w14:paraId="38CC6FA7" w14:textId="77777777" w:rsidR="00D849FC" w:rsidRPr="00CF4393" w:rsidRDefault="00D849FC" w:rsidP="00CB31DE">
      <w:pPr>
        <w:pStyle w:val="Heading3"/>
        <w:ind w:left="851"/>
        <w:jc w:val="both"/>
      </w:pPr>
      <w:bookmarkStart w:id="40" w:name="_Toc132743734"/>
      <w:r w:rsidRPr="00CF4393">
        <w:t>Detail in Separate Note Disclosures</w:t>
      </w:r>
      <w:bookmarkEnd w:id="40"/>
    </w:p>
    <w:p w14:paraId="15723DA1" w14:textId="319CA813" w:rsidR="00173796" w:rsidRPr="00CF4393" w:rsidRDefault="00173796" w:rsidP="00B37EED">
      <w:pPr>
        <w:pStyle w:val="NormalSF"/>
        <w:spacing w:before="0"/>
        <w:jc w:val="both"/>
      </w:pPr>
      <w:r w:rsidRPr="00CF4393">
        <w:t xml:space="preserve">Within notes, any line item less than 10 per cent of that note total, may be </w:t>
      </w:r>
      <w:r>
        <w:t xml:space="preserve">grouped with </w:t>
      </w:r>
      <w:r w:rsidRPr="00CF4393">
        <w:t>another</w:t>
      </w:r>
      <w:r>
        <w:t xml:space="preserve"> appropriate line</w:t>
      </w:r>
      <w:r w:rsidRPr="00CF4393">
        <w:t xml:space="preserve"> and labelled accordingly.</w:t>
      </w:r>
      <w:r w:rsidR="00FA7C77">
        <w:t xml:space="preserve"> </w:t>
      </w:r>
      <w:r w:rsidRPr="00CF4393">
        <w:t>Where the line ‘Other’ is used, it should not represent any more than 10</w:t>
      </w:r>
      <w:r>
        <w:t> </w:t>
      </w:r>
      <w:r w:rsidRPr="00CF4393">
        <w:t>per</w:t>
      </w:r>
      <w:r>
        <w:t> </w:t>
      </w:r>
      <w:r w:rsidRPr="00CF4393">
        <w:t xml:space="preserve">cent of the </w:t>
      </w:r>
      <w:r w:rsidR="005E53B1">
        <w:t>n</w:t>
      </w:r>
      <w:r w:rsidRPr="00CF4393">
        <w:t>ote total.</w:t>
      </w:r>
      <w:r w:rsidR="00FA7C77">
        <w:t xml:space="preserve"> </w:t>
      </w:r>
      <w:r w:rsidRPr="00CF4393">
        <w:t>The intention is that line items in notes are reduced and material items remain visible.</w:t>
      </w:r>
    </w:p>
    <w:p w14:paraId="2C0FC35D" w14:textId="0419CB5A" w:rsidR="00173796" w:rsidRDefault="00D849FC" w:rsidP="00B37EED">
      <w:pPr>
        <w:pStyle w:val="NormalSF"/>
        <w:spacing w:before="0"/>
        <w:jc w:val="both"/>
      </w:pPr>
      <w:r w:rsidRPr="00C75AA3">
        <w:t>Agencies may restate prior year line items within the notes to accommodate for this simplification (i.e. a higher level of aggregation), however, the totals in each note will remain the same as the published prior year amount.</w:t>
      </w:r>
      <w:r w:rsidR="000C02B9">
        <w:t xml:space="preserve"> Where an agency </w:t>
      </w:r>
      <w:r w:rsidR="000C02B9" w:rsidRPr="00C75AA3">
        <w:t>restate</w:t>
      </w:r>
      <w:r w:rsidR="000C02B9">
        <w:t>s</w:t>
      </w:r>
      <w:r w:rsidR="000C02B9" w:rsidRPr="00C75AA3">
        <w:t xml:space="preserve"> prior year line items within the notes</w:t>
      </w:r>
      <w:r w:rsidR="000C02B9">
        <w:t xml:space="preserve">, it is recommended that a brief explanation </w:t>
      </w:r>
      <w:r w:rsidR="005E53B1">
        <w:t xml:space="preserve">by way of a footnote </w:t>
      </w:r>
      <w:r w:rsidR="000C02B9">
        <w:t>be included in the note that outlines this change and the reason the change has been made.</w:t>
      </w:r>
    </w:p>
    <w:p w14:paraId="3007D979" w14:textId="7E2173CF" w:rsidR="00173796" w:rsidRPr="00216AE0" w:rsidRDefault="00173796" w:rsidP="00B37EED">
      <w:pPr>
        <w:pStyle w:val="Heading3"/>
        <w:spacing w:before="240"/>
        <w:ind w:left="851"/>
        <w:jc w:val="both"/>
      </w:pPr>
      <w:bookmarkStart w:id="41" w:name="_Toc132743735"/>
      <w:r w:rsidRPr="00216AE0">
        <w:t>Exceptions to the General Guidance on Materiality (outlined in Section 1.2.2 above)</w:t>
      </w:r>
      <w:bookmarkEnd w:id="41"/>
      <w:r w:rsidR="00FA7C77">
        <w:t xml:space="preserve"> </w:t>
      </w:r>
    </w:p>
    <w:p w14:paraId="382EBD64" w14:textId="1B1F1D87" w:rsidR="00173796" w:rsidRDefault="00173796" w:rsidP="00B37EED">
      <w:pPr>
        <w:pStyle w:val="NormalSFLeadIn"/>
        <w:spacing w:before="0"/>
        <w:jc w:val="both"/>
        <w:rPr>
          <w:rFonts w:cs="Calibri"/>
          <w:szCs w:val="22"/>
        </w:rPr>
      </w:pPr>
      <w:r w:rsidRPr="00216AE0">
        <w:rPr>
          <w:rFonts w:cs="Calibri"/>
        </w:rPr>
        <w:t>As specified in the Model, some disclosures are required by the ACT disclosure policy regardless of the amount or the threshold for disclosure, such as waivers</w:t>
      </w:r>
      <w:r w:rsidRPr="00216AE0">
        <w:rPr>
          <w:rFonts w:cs="Calibri"/>
          <w:szCs w:val="22"/>
        </w:rPr>
        <w:t>, write-offs, act of grace payments</w:t>
      </w:r>
      <w:r w:rsidRPr="00216AE0">
        <w:rPr>
          <w:rFonts w:cs="Calibri"/>
        </w:rPr>
        <w:t xml:space="preserve"> and compensation to key management personnel.</w:t>
      </w:r>
      <w:r w:rsidR="00FA7C77">
        <w:rPr>
          <w:rFonts w:cs="Calibri"/>
        </w:rPr>
        <w:t xml:space="preserve"> </w:t>
      </w:r>
      <w:r w:rsidRPr="00216AE0">
        <w:rPr>
          <w:rFonts w:cs="Calibri"/>
          <w:szCs w:val="22"/>
        </w:rPr>
        <w:t>However, if a prior period error is discovered in relation to any of these items, then the error would have to be material by amount for a correction of a prior period error disclosure to be included in the ‘Change in Accounting Policy and Accounting Estimates, and Correction of a Prior Period Error’ Note.</w:t>
      </w:r>
    </w:p>
    <w:p w14:paraId="35B3F75D" w14:textId="362A3D9F" w:rsidR="00173796" w:rsidRPr="00216AE0" w:rsidRDefault="00173796" w:rsidP="00B37EED">
      <w:pPr>
        <w:pStyle w:val="NormalSFLeadIn"/>
        <w:spacing w:before="0"/>
        <w:jc w:val="both"/>
      </w:pPr>
      <w:r w:rsidRPr="00216AE0">
        <w:t>Exceptions may also need to be made despite the threshold tests to ensure the most appropriate information is presented in agencies financial statements for the benefit of primary users.</w:t>
      </w:r>
      <w:r w:rsidR="00FA7C77">
        <w:t xml:space="preserve"> </w:t>
      </w:r>
      <w:r w:rsidRPr="00216AE0">
        <w:t>However, this is a matter for agency judgement on specific disclosures.</w:t>
      </w:r>
      <w:r w:rsidR="00FA7C77">
        <w:t xml:space="preserve"> </w:t>
      </w:r>
    </w:p>
    <w:p w14:paraId="1ACA68CE" w14:textId="366AA84F" w:rsidR="00D849FC" w:rsidRPr="00C50266" w:rsidRDefault="00D849FC" w:rsidP="00B37EED">
      <w:pPr>
        <w:pStyle w:val="Heading3"/>
        <w:spacing w:before="240"/>
        <w:ind w:left="851"/>
        <w:jc w:val="both"/>
      </w:pPr>
      <w:bookmarkStart w:id="42" w:name="_Toc132743736"/>
      <w:r w:rsidRPr="00C50266">
        <w:t>Variance Explanations between Current</w:t>
      </w:r>
      <w:r w:rsidR="008C0EB6" w:rsidRPr="00C50266">
        <w:t>, Budget</w:t>
      </w:r>
      <w:r w:rsidRPr="00C50266">
        <w:t xml:space="preserve"> and Prior Year Figures</w:t>
      </w:r>
      <w:bookmarkEnd w:id="42"/>
    </w:p>
    <w:p w14:paraId="093B41BF" w14:textId="399C50F6" w:rsidR="00655E64" w:rsidRPr="00C50266" w:rsidRDefault="00655E64" w:rsidP="00B37EED">
      <w:pPr>
        <w:pStyle w:val="BodyText"/>
        <w:spacing w:after="120"/>
        <w:rPr>
          <w:rFonts w:cs="Calibri"/>
        </w:rPr>
      </w:pPr>
      <w:r w:rsidRPr="00C50266">
        <w:rPr>
          <w:rFonts w:cs="Calibri"/>
        </w:rPr>
        <w:t xml:space="preserve">Agencies are to include concise explanations of major variances between the current, budget and prior year for material amounts in the financial statements. </w:t>
      </w:r>
      <w:r w:rsidR="00C51F43" w:rsidRPr="00C50266">
        <w:rPr>
          <w:rFonts w:cs="Calibri"/>
        </w:rPr>
        <w:t>Variance explanations included in each individual note are between current and prior year actuals.</w:t>
      </w:r>
      <w:r w:rsidR="00FA7C77">
        <w:rPr>
          <w:rFonts w:cs="Calibri"/>
        </w:rPr>
        <w:t xml:space="preserve"> </w:t>
      </w:r>
      <w:r w:rsidR="00C51F43" w:rsidRPr="00C50266">
        <w:rPr>
          <w:rFonts w:cs="Calibri"/>
        </w:rPr>
        <w:t xml:space="preserve">Variance explanations between actual and budget figures are generally contained in the Budgetary Reporting Note. </w:t>
      </w:r>
      <w:r w:rsidRPr="00C50266">
        <w:rPr>
          <w:rFonts w:cs="Calibri"/>
        </w:rPr>
        <w:t xml:space="preserve">Variance explanations included in the notes form part of the audited financial statements. Variance explanations </w:t>
      </w:r>
      <w:r w:rsidR="004C7A57" w:rsidRPr="00C50266">
        <w:rPr>
          <w:rFonts w:cs="Calibri"/>
        </w:rPr>
        <w:t xml:space="preserve">should identify the reason for the variance and </w:t>
      </w:r>
      <w:r w:rsidRPr="00C50266">
        <w:rPr>
          <w:rFonts w:cs="Calibri"/>
        </w:rPr>
        <w:t>must be able to be independently verified.</w:t>
      </w:r>
      <w:r w:rsidR="00FA7C77">
        <w:rPr>
          <w:rFonts w:cs="Calibri"/>
        </w:rPr>
        <w:t xml:space="preserve"> </w:t>
      </w:r>
      <w:r w:rsidR="004C7A57" w:rsidRPr="00C50266">
        <w:rPr>
          <w:rFonts w:cs="Calibri"/>
        </w:rPr>
        <w:t xml:space="preserve">As far as practicable, variance explanations should be written in plain </w:t>
      </w:r>
      <w:r w:rsidR="00173796">
        <w:rPr>
          <w:rFonts w:cs="Calibri"/>
        </w:rPr>
        <w:t>E</w:t>
      </w:r>
      <w:r w:rsidR="004C7A57" w:rsidRPr="00C50266">
        <w:rPr>
          <w:rFonts w:cs="Calibri"/>
        </w:rPr>
        <w:t>nglish</w:t>
      </w:r>
      <w:r w:rsidR="00173796">
        <w:rPr>
          <w:rFonts w:cs="Calibri"/>
        </w:rPr>
        <w:t>.</w:t>
      </w:r>
      <w:r w:rsidR="00FA7C77" w:rsidRPr="00B314E6">
        <w:rPr>
          <w:rFonts w:cs="Calibri"/>
          <w:color w:val="FF0000"/>
        </w:rPr>
        <w:t xml:space="preserve"> </w:t>
      </w:r>
    </w:p>
    <w:p w14:paraId="6E075671" w14:textId="3A408FFA" w:rsidR="00702347" w:rsidRPr="00216AE0" w:rsidRDefault="00702347" w:rsidP="00B37EED">
      <w:pPr>
        <w:pStyle w:val="NormalSF"/>
        <w:spacing w:before="0"/>
        <w:jc w:val="both"/>
      </w:pPr>
      <w:r w:rsidRPr="00216AE0">
        <w:t>Variances are considered to be</w:t>
      </w:r>
      <w:r w:rsidR="00716478" w:rsidRPr="00216AE0">
        <w:t xml:space="preserve"> material</w:t>
      </w:r>
      <w:r w:rsidRPr="00216AE0">
        <w:t xml:space="preserve"> variances if both of the following criteria are met:</w:t>
      </w:r>
    </w:p>
    <w:p w14:paraId="2A8C24DD" w14:textId="5D0CF20E" w:rsidR="00702347" w:rsidRPr="00216AE0" w:rsidRDefault="00702347" w:rsidP="00B37EED">
      <w:pPr>
        <w:pStyle w:val="SFDot1"/>
        <w:numPr>
          <w:ilvl w:val="0"/>
          <w:numId w:val="46"/>
        </w:numPr>
        <w:tabs>
          <w:tab w:val="clear" w:pos="567"/>
        </w:tabs>
        <w:spacing w:before="0"/>
        <w:ind w:left="709" w:hanging="425"/>
        <w:jc w:val="both"/>
      </w:pPr>
      <w:r w:rsidRPr="00216AE0">
        <w:t>the line item is a significant line item: where either the line item actual amount accounts for more than 10% of the relevant associated category (Income, Expenses</w:t>
      </w:r>
      <w:r w:rsidR="00C75AA3" w:rsidRPr="00216AE0">
        <w:t>, Asset</w:t>
      </w:r>
      <w:r w:rsidR="008C0EB6" w:rsidRPr="00216AE0">
        <w:t>s</w:t>
      </w:r>
      <w:r w:rsidR="00C75AA3" w:rsidRPr="00216AE0">
        <w:t xml:space="preserve">, </w:t>
      </w:r>
      <w:r w:rsidR="008C0EB6" w:rsidRPr="00216AE0">
        <w:t>L</w:t>
      </w:r>
      <w:r w:rsidR="00C75AA3" w:rsidRPr="00216AE0">
        <w:t>iabilit</w:t>
      </w:r>
      <w:r w:rsidR="008C0EB6" w:rsidRPr="00216AE0">
        <w:t>ies</w:t>
      </w:r>
      <w:r w:rsidRPr="00216AE0">
        <w:t xml:space="preserve"> and Equity totals) or more than 10% of the sub-element (e.g. Current Liabilities and Receipts from Operating Activities totals) of the financial statements; and</w:t>
      </w:r>
    </w:p>
    <w:p w14:paraId="08703675" w14:textId="57F176CD" w:rsidR="00702347" w:rsidRPr="00216AE0" w:rsidRDefault="00702347" w:rsidP="00B37EED">
      <w:pPr>
        <w:pStyle w:val="SFDot1"/>
        <w:numPr>
          <w:ilvl w:val="0"/>
          <w:numId w:val="46"/>
        </w:numPr>
        <w:tabs>
          <w:tab w:val="clear" w:pos="567"/>
        </w:tabs>
        <w:spacing w:before="0"/>
        <w:ind w:left="709" w:hanging="425"/>
        <w:jc w:val="both"/>
      </w:pPr>
      <w:r w:rsidRPr="00216AE0">
        <w:t>the variances (original budget to actual</w:t>
      </w:r>
      <w:r w:rsidR="00DE2804" w:rsidRPr="00216AE0">
        <w:t xml:space="preserve"> and </w:t>
      </w:r>
      <w:r w:rsidR="00173796">
        <w:t xml:space="preserve">current year </w:t>
      </w:r>
      <w:r w:rsidR="00DE2804" w:rsidRPr="00216AE0">
        <w:t xml:space="preserve">actual to </w:t>
      </w:r>
      <w:r w:rsidR="00173796">
        <w:t xml:space="preserve">prior year </w:t>
      </w:r>
      <w:r w:rsidR="00DE2804" w:rsidRPr="00216AE0">
        <w:t>actual</w:t>
      </w:r>
      <w:r w:rsidRPr="00216AE0">
        <w:t xml:space="preserve">) are greater than plus (+) or minus (-) </w:t>
      </w:r>
      <w:r w:rsidR="00367409" w:rsidRPr="00216AE0">
        <w:t>10</w:t>
      </w:r>
      <w:r w:rsidRPr="00216AE0">
        <w:t xml:space="preserve">% and $500,000 of the budget for the financial statement line item for smaller agencies and greater than plus (+) or minus (-) </w:t>
      </w:r>
      <w:r w:rsidR="00C75AA3" w:rsidRPr="00216AE0">
        <w:t>10</w:t>
      </w:r>
      <w:r w:rsidRPr="00216AE0">
        <w:t xml:space="preserve">% and $15 million for large agencies. </w:t>
      </w:r>
    </w:p>
    <w:p w14:paraId="53E5CB98" w14:textId="325EDE00" w:rsidR="00702347" w:rsidRPr="00C50266" w:rsidRDefault="00702347" w:rsidP="00B37EED">
      <w:pPr>
        <w:pStyle w:val="Footer"/>
        <w:tabs>
          <w:tab w:val="clear" w:pos="4153"/>
          <w:tab w:val="clear" w:pos="8306"/>
        </w:tabs>
        <w:spacing w:after="120"/>
        <w:jc w:val="both"/>
      </w:pPr>
      <w:bookmarkStart w:id="43" w:name="_Hlk90668267"/>
      <w:r w:rsidRPr="00C50266">
        <w:t xml:space="preserve">Small agencies include Office of the Legislative Assembly, </w:t>
      </w:r>
      <w:r w:rsidR="002007FE" w:rsidRPr="00C50266">
        <w:t xml:space="preserve">ACT </w:t>
      </w:r>
      <w:r w:rsidRPr="00C50266">
        <w:t>Audit</w:t>
      </w:r>
      <w:r w:rsidR="00011B56">
        <w:t xml:space="preserve"> Office</w:t>
      </w:r>
      <w:r w:rsidRPr="00C50266">
        <w:t>, Legal Aid</w:t>
      </w:r>
      <w:r w:rsidR="002007FE" w:rsidRPr="00C50266">
        <w:t xml:space="preserve"> </w:t>
      </w:r>
      <w:r w:rsidR="002007FE" w:rsidRPr="00C50266">
        <w:rPr>
          <w:rFonts w:asciiTheme="minorHAnsi" w:hAnsiTheme="minorHAnsi" w:cs="Calibri"/>
          <w:szCs w:val="22"/>
        </w:rPr>
        <w:t>Commission</w:t>
      </w:r>
      <w:r w:rsidRPr="00C50266">
        <w:t>, Public Trustee and Guardian, Cultural Facilities</w:t>
      </w:r>
      <w:r w:rsidR="00FB5CD5" w:rsidRPr="00C50266">
        <w:rPr>
          <w:rFonts w:asciiTheme="minorHAnsi" w:hAnsiTheme="minorHAnsi" w:cs="Calibri"/>
          <w:szCs w:val="22"/>
        </w:rPr>
        <w:t xml:space="preserve"> Corporation</w:t>
      </w:r>
      <w:r w:rsidRPr="00C50266">
        <w:t>,</w:t>
      </w:r>
      <w:r w:rsidR="005566F4" w:rsidRPr="00C50266">
        <w:t xml:space="preserve"> </w:t>
      </w:r>
      <w:r w:rsidR="00133505" w:rsidRPr="00C50266">
        <w:t>Cemeteries and Crematoria Authority</w:t>
      </w:r>
      <w:r w:rsidRPr="00C50266">
        <w:t xml:space="preserve">, </w:t>
      </w:r>
      <w:r w:rsidR="00FB5CD5" w:rsidRPr="00C50266">
        <w:t xml:space="preserve">ACT </w:t>
      </w:r>
      <w:r w:rsidRPr="00C50266">
        <w:t>Gambling and Racing</w:t>
      </w:r>
      <w:r w:rsidR="00FB5CD5" w:rsidRPr="00C50266">
        <w:t xml:space="preserve"> Commission</w:t>
      </w:r>
      <w:r w:rsidRPr="00C50266">
        <w:t>, Independent Competition and Regulatory Commission, Motor Accident Injuries</w:t>
      </w:r>
      <w:r w:rsidR="002007FE" w:rsidRPr="00C50266">
        <w:t xml:space="preserve"> Commission</w:t>
      </w:r>
      <w:r w:rsidRPr="00C50266">
        <w:t xml:space="preserve">, </w:t>
      </w:r>
      <w:r w:rsidR="002007FE" w:rsidRPr="00C50266">
        <w:t xml:space="preserve">ACT </w:t>
      </w:r>
      <w:r w:rsidRPr="00C50266">
        <w:t>Electoral Commission</w:t>
      </w:r>
      <w:r w:rsidR="00E27FC2" w:rsidRPr="00C50266">
        <w:t>,</w:t>
      </w:r>
      <w:r w:rsidRPr="00C50266">
        <w:t xml:space="preserve"> ACT Integrity Commission</w:t>
      </w:r>
      <w:r w:rsidR="00133505" w:rsidRPr="00C50266">
        <w:t>,</w:t>
      </w:r>
      <w:r w:rsidR="00A064C3" w:rsidRPr="00C50266">
        <w:t xml:space="preserve"> ACT Executive</w:t>
      </w:r>
      <w:r w:rsidR="00FB5CD5" w:rsidRPr="00C50266">
        <w:t xml:space="preserve">, </w:t>
      </w:r>
      <w:r w:rsidR="00FB5CD5" w:rsidRPr="00C50266">
        <w:rPr>
          <w:rFonts w:asciiTheme="minorHAnsi" w:hAnsiTheme="minorHAnsi" w:cs="Calibri"/>
          <w:szCs w:val="22"/>
        </w:rPr>
        <w:t>ACT Long Service Leave Authority, Building and Construction Industry Training Fund Authority, CIT Solutions Pty Ltd</w:t>
      </w:r>
      <w:r w:rsidR="002007FE" w:rsidRPr="00C50266">
        <w:rPr>
          <w:rFonts w:asciiTheme="minorHAnsi" w:hAnsiTheme="minorHAnsi" w:cs="Calibri"/>
          <w:szCs w:val="22"/>
        </w:rPr>
        <w:t>, Lifetime Care and Support Fund</w:t>
      </w:r>
      <w:r w:rsidR="00E27FC2" w:rsidRPr="00C50266">
        <w:rPr>
          <w:rFonts w:asciiTheme="minorHAnsi" w:hAnsiTheme="minorHAnsi" w:cs="Calibri"/>
          <w:szCs w:val="22"/>
        </w:rPr>
        <w:t>,</w:t>
      </w:r>
      <w:r w:rsidR="002007FE" w:rsidRPr="00C50266">
        <w:rPr>
          <w:rFonts w:asciiTheme="minorHAnsi" w:hAnsiTheme="minorHAnsi" w:cs="Calibri"/>
          <w:szCs w:val="22"/>
        </w:rPr>
        <w:t xml:space="preserve"> </w:t>
      </w:r>
      <w:r w:rsidR="00AE11DE" w:rsidRPr="00C50266">
        <w:rPr>
          <w:rFonts w:asciiTheme="minorHAnsi" w:hAnsiTheme="minorHAnsi" w:cs="Calibri"/>
          <w:szCs w:val="22"/>
        </w:rPr>
        <w:t xml:space="preserve">and </w:t>
      </w:r>
      <w:r w:rsidR="002007FE" w:rsidRPr="00C50266">
        <w:rPr>
          <w:rFonts w:asciiTheme="minorHAnsi" w:hAnsiTheme="minorHAnsi" w:cs="Calibri"/>
          <w:szCs w:val="22"/>
        </w:rPr>
        <w:t>Office of the Work Health and Safety Commissioner</w:t>
      </w:r>
      <w:r w:rsidR="00133505" w:rsidRPr="00C50266">
        <w:t>.</w:t>
      </w:r>
    </w:p>
    <w:p w14:paraId="03083C8B" w14:textId="67EE1EAF" w:rsidR="00702347" w:rsidRPr="00474386" w:rsidRDefault="00702347" w:rsidP="00B37EED">
      <w:pPr>
        <w:pStyle w:val="NormalSF"/>
        <w:spacing w:before="0"/>
        <w:jc w:val="both"/>
        <w:rPr>
          <w:color w:val="FF0000"/>
        </w:rPr>
      </w:pPr>
      <w:r w:rsidRPr="00C50266">
        <w:t>Large agencies include Chief Minister, Treasury and Economic Development</w:t>
      </w:r>
      <w:r w:rsidR="00AE11DE" w:rsidRPr="00C50266">
        <w:t xml:space="preserve"> Directorate</w:t>
      </w:r>
      <w:r w:rsidRPr="00C50266">
        <w:t>, Canberra Health Services, Transport Canberra and City Services</w:t>
      </w:r>
      <w:r w:rsidR="00AE11DE" w:rsidRPr="00C50266">
        <w:t xml:space="preserve"> Directorate</w:t>
      </w:r>
      <w:r w:rsidRPr="00C50266">
        <w:t>, Housing ACT, Justice and Community Safety</w:t>
      </w:r>
      <w:r w:rsidR="00AE11DE" w:rsidRPr="00C50266">
        <w:t xml:space="preserve"> Directorate</w:t>
      </w:r>
      <w:r w:rsidRPr="00C50266">
        <w:t>, Education</w:t>
      </w:r>
      <w:r w:rsidR="00AE11DE" w:rsidRPr="00C50266">
        <w:t xml:space="preserve"> Directorate</w:t>
      </w:r>
      <w:r w:rsidRPr="00C50266">
        <w:t>, Community Services</w:t>
      </w:r>
      <w:r w:rsidR="00AE11DE" w:rsidRPr="00C50266">
        <w:t xml:space="preserve"> Directorate</w:t>
      </w:r>
      <w:r w:rsidRPr="00C50266">
        <w:t xml:space="preserve">, Transport Canberra Operations, </w:t>
      </w:r>
      <w:r w:rsidR="00C43190" w:rsidRPr="00C50266">
        <w:t>Environment, Planning and Sustainable Development</w:t>
      </w:r>
      <w:r w:rsidR="00474386" w:rsidRPr="00C50266">
        <w:t xml:space="preserve"> Directorate</w:t>
      </w:r>
      <w:r w:rsidRPr="00C50266">
        <w:t xml:space="preserve">, </w:t>
      </w:r>
      <w:r w:rsidR="00D617C2" w:rsidRPr="00C50266">
        <w:rPr>
          <w:rFonts w:asciiTheme="minorHAnsi" w:hAnsiTheme="minorHAnsi" w:cs="Calibri"/>
          <w:szCs w:val="22"/>
        </w:rPr>
        <w:t xml:space="preserve">ACT Local Hospital Network, </w:t>
      </w:r>
      <w:r w:rsidRPr="00C50266">
        <w:t>City Renewal Authority, Suburban Land Agency, Health</w:t>
      </w:r>
      <w:r w:rsidR="00474386" w:rsidRPr="00C50266">
        <w:t xml:space="preserve"> Directorate</w:t>
      </w:r>
      <w:r w:rsidR="00133505" w:rsidRPr="00C50266">
        <w:t>,</w:t>
      </w:r>
      <w:r w:rsidRPr="00C50266">
        <w:t xml:space="preserve"> Public Sector Workers Compensation Fund</w:t>
      </w:r>
      <w:r w:rsidR="006F5C39">
        <w:t>,</w:t>
      </w:r>
      <w:r w:rsidR="00133505" w:rsidRPr="00C50266">
        <w:t xml:space="preserve"> Major Projects Canberra</w:t>
      </w:r>
      <w:r w:rsidR="00AE11DE" w:rsidRPr="00C50266">
        <w:t xml:space="preserve">, </w:t>
      </w:r>
      <w:r w:rsidR="00AE11DE" w:rsidRPr="00C50266">
        <w:rPr>
          <w:rFonts w:asciiTheme="minorHAnsi" w:hAnsiTheme="minorHAnsi" w:cs="Calibri"/>
        </w:rPr>
        <w:t>ACT Insurance Authority</w:t>
      </w:r>
      <w:r w:rsidR="00474386" w:rsidRPr="00C50266">
        <w:rPr>
          <w:rFonts w:asciiTheme="minorHAnsi" w:hAnsiTheme="minorHAnsi" w:cs="Calibri"/>
        </w:rPr>
        <w:t xml:space="preserve">, Canberra Institute of Technology, </w:t>
      </w:r>
      <w:r w:rsidR="00256D67" w:rsidRPr="00C50266">
        <w:rPr>
          <w:rFonts w:asciiTheme="minorHAnsi" w:hAnsiTheme="minorHAnsi" w:cs="Calibri"/>
        </w:rPr>
        <w:t xml:space="preserve">Territory Banking Account </w:t>
      </w:r>
      <w:r w:rsidR="00474386" w:rsidRPr="00C50266">
        <w:rPr>
          <w:rFonts w:asciiTheme="minorHAnsi" w:hAnsiTheme="minorHAnsi" w:cs="Calibri"/>
        </w:rPr>
        <w:t>and Superannuation Provision Account</w:t>
      </w:r>
      <w:r w:rsidR="00133505" w:rsidRPr="00C50266">
        <w:t>.</w:t>
      </w:r>
    </w:p>
    <w:bookmarkEnd w:id="43"/>
    <w:p w14:paraId="0E004CC1" w14:textId="77777777" w:rsidR="00842442" w:rsidRDefault="00D849FC" w:rsidP="00B37EED">
      <w:pPr>
        <w:pStyle w:val="NormalSF"/>
        <w:spacing w:before="0"/>
        <w:jc w:val="both"/>
      </w:pPr>
      <w:r w:rsidRPr="00734C56">
        <w:t xml:space="preserve">These thresholds are indicative </w:t>
      </w:r>
      <w:r w:rsidR="00702347" w:rsidRPr="00734C56">
        <w:t xml:space="preserve">only and are included </w:t>
      </w:r>
      <w:r w:rsidRPr="00734C56">
        <w:t xml:space="preserve">to assist agencies’ </w:t>
      </w:r>
      <w:r w:rsidR="00702347" w:rsidRPr="00734C56">
        <w:t xml:space="preserve">in making </w:t>
      </w:r>
      <w:r w:rsidRPr="00734C56">
        <w:t xml:space="preserve">judgement </w:t>
      </w:r>
      <w:r w:rsidR="00702347" w:rsidRPr="00734C56">
        <w:t xml:space="preserve">on </w:t>
      </w:r>
      <w:r w:rsidRPr="00734C56">
        <w:t>whether an explanation is required.</w:t>
      </w:r>
    </w:p>
    <w:p w14:paraId="01D59016" w14:textId="77777777" w:rsidR="00D849FC" w:rsidRPr="00CF4393" w:rsidRDefault="00D849FC" w:rsidP="004A1F6C">
      <w:pPr>
        <w:pStyle w:val="Heading3"/>
        <w:spacing w:before="0"/>
        <w:ind w:left="851"/>
        <w:jc w:val="both"/>
      </w:pPr>
      <w:bookmarkStart w:id="44" w:name="_Toc132743737"/>
      <w:r w:rsidRPr="00CF4393">
        <w:t>Consultation with Audit Committee and the Audit Office</w:t>
      </w:r>
      <w:bookmarkEnd w:id="44"/>
      <w:r w:rsidRPr="00CF4393">
        <w:t xml:space="preserve"> </w:t>
      </w:r>
    </w:p>
    <w:p w14:paraId="79054307" w14:textId="3B030F21" w:rsidR="00283B38" w:rsidRPr="00734353" w:rsidRDefault="00D849FC" w:rsidP="004A1F6C">
      <w:pPr>
        <w:pStyle w:val="NormalSFLeadIn"/>
        <w:spacing w:before="0" w:after="0"/>
        <w:jc w:val="both"/>
      </w:pPr>
      <w:r w:rsidRPr="00734353">
        <w:t>Each agency will need to exercise judgement in determining appropriate thresholds for disclosures in their financial statements.</w:t>
      </w:r>
      <w:r w:rsidR="00FA7C77">
        <w:t xml:space="preserve"> </w:t>
      </w:r>
      <w:r w:rsidRPr="00734353">
        <w:t>Agencies are encouraged to agree their specific thresholds for disclosures along with exceptions with their Audit Committee in the process of developing their financial statements.</w:t>
      </w:r>
      <w:r w:rsidR="00FA7C77">
        <w:t xml:space="preserve"> </w:t>
      </w:r>
      <w:r w:rsidR="00176ABD" w:rsidRPr="00734353">
        <w:t xml:space="preserve">Once the thresholds and exceptions have been determined, agencies should </w:t>
      </w:r>
      <w:r w:rsidR="006F5C39">
        <w:t>liaise</w:t>
      </w:r>
      <w:r w:rsidR="00176ABD" w:rsidRPr="00734353">
        <w:t xml:space="preserve"> with the ACT </w:t>
      </w:r>
      <w:r w:rsidR="00173796">
        <w:t>Audit Office</w:t>
      </w:r>
      <w:r w:rsidR="00176ABD" w:rsidRPr="00734353">
        <w:t xml:space="preserve"> to ensure they consider these thresholds and exceptions are appropriate. </w:t>
      </w:r>
    </w:p>
    <w:p w14:paraId="678AF751" w14:textId="26C53B08" w:rsidR="00283B38" w:rsidRPr="00734C56" w:rsidRDefault="002F1378" w:rsidP="004A1F6C">
      <w:pPr>
        <w:pStyle w:val="Heading3"/>
        <w:spacing w:before="180"/>
        <w:ind w:left="851"/>
        <w:jc w:val="both"/>
      </w:pPr>
      <w:bookmarkStart w:id="45" w:name="_Toc132743738"/>
      <w:r w:rsidRPr="00734C56">
        <w:t>Impact of the COVID-19 Pandemic</w:t>
      </w:r>
      <w:bookmarkEnd w:id="45"/>
    </w:p>
    <w:p w14:paraId="593EDF73" w14:textId="6B16301E" w:rsidR="00E90554" w:rsidRDefault="00D16308" w:rsidP="005D7F4C">
      <w:pPr>
        <w:jc w:val="both"/>
      </w:pPr>
      <w:r>
        <w:rPr>
          <w:szCs w:val="24"/>
          <w:lang w:val="en-US" w:eastAsia="en-AU"/>
        </w:rPr>
        <w:t xml:space="preserve">Although the affects of COVID-19 in the ACT have reduced, there can still be impacts </w:t>
      </w:r>
      <w:r w:rsidR="00E90554" w:rsidRPr="00734C56">
        <w:rPr>
          <w:szCs w:val="24"/>
          <w:lang w:val="en-US" w:eastAsia="en-AU"/>
        </w:rPr>
        <w:t>on agencies’ financial statements,</w:t>
      </w:r>
      <w:r w:rsidR="005D7F4C" w:rsidRPr="00734C56">
        <w:rPr>
          <w:szCs w:val="24"/>
          <w:lang w:val="en-US" w:eastAsia="en-AU"/>
        </w:rPr>
        <w:t xml:space="preserve"> including</w:t>
      </w:r>
      <w:r w:rsidR="00E90554" w:rsidRPr="00734C56">
        <w:rPr>
          <w:szCs w:val="24"/>
          <w:lang w:val="en-US" w:eastAsia="en-AU"/>
        </w:rPr>
        <w:t xml:space="preserve"> disclosures. In particular, agencies need to </w:t>
      </w:r>
      <w:r>
        <w:rPr>
          <w:szCs w:val="24"/>
          <w:lang w:val="en-US" w:eastAsia="en-AU"/>
        </w:rPr>
        <w:t xml:space="preserve">assess the ongoing </w:t>
      </w:r>
      <w:r w:rsidR="00E90554" w:rsidRPr="00734C56">
        <w:rPr>
          <w:szCs w:val="24"/>
          <w:lang w:val="en-US" w:eastAsia="en-AU"/>
        </w:rPr>
        <w:t xml:space="preserve">impacts of specific actions undertaken by </w:t>
      </w:r>
      <w:r w:rsidR="00702347" w:rsidRPr="00734C56">
        <w:rPr>
          <w:szCs w:val="24"/>
          <w:lang w:val="en-US" w:eastAsia="en-AU"/>
        </w:rPr>
        <w:t xml:space="preserve">the ACT </w:t>
      </w:r>
      <w:r w:rsidR="00E90554" w:rsidRPr="00734C56">
        <w:rPr>
          <w:szCs w:val="24"/>
          <w:lang w:val="en-US" w:eastAsia="en-AU"/>
        </w:rPr>
        <w:t>Government</w:t>
      </w:r>
      <w:r w:rsidR="00702347" w:rsidRPr="00734C56">
        <w:rPr>
          <w:szCs w:val="24"/>
          <w:lang w:val="en-US" w:eastAsia="en-AU"/>
        </w:rPr>
        <w:t xml:space="preserve"> and Commonwealth</w:t>
      </w:r>
      <w:r w:rsidR="00E90554" w:rsidRPr="00734C56">
        <w:rPr>
          <w:szCs w:val="24"/>
          <w:lang w:val="en-US" w:eastAsia="en-AU"/>
        </w:rPr>
        <w:t xml:space="preserve"> in </w:t>
      </w:r>
      <w:r>
        <w:rPr>
          <w:szCs w:val="24"/>
          <w:lang w:val="en-US" w:eastAsia="en-AU"/>
        </w:rPr>
        <w:t xml:space="preserve">their </w:t>
      </w:r>
      <w:r w:rsidR="00E90554" w:rsidRPr="00734C56">
        <w:rPr>
          <w:szCs w:val="24"/>
          <w:lang w:val="en-US" w:eastAsia="en-AU"/>
        </w:rPr>
        <w:t>respon</w:t>
      </w:r>
      <w:r>
        <w:rPr>
          <w:szCs w:val="24"/>
          <w:lang w:val="en-US" w:eastAsia="en-AU"/>
        </w:rPr>
        <w:t>se</w:t>
      </w:r>
      <w:r w:rsidR="00E90554" w:rsidRPr="00734C56">
        <w:rPr>
          <w:szCs w:val="24"/>
          <w:lang w:val="en-US" w:eastAsia="en-AU"/>
        </w:rPr>
        <w:t xml:space="preserve"> to </w:t>
      </w:r>
      <w:r w:rsidR="005D7F4C" w:rsidRPr="00734C56">
        <w:rPr>
          <w:szCs w:val="24"/>
          <w:lang w:val="en-US" w:eastAsia="en-AU"/>
        </w:rPr>
        <w:t>COVID-19</w:t>
      </w:r>
      <w:r w:rsidR="00E90554" w:rsidRPr="00734C56">
        <w:rPr>
          <w:szCs w:val="24"/>
          <w:lang w:val="en-US" w:eastAsia="en-AU"/>
        </w:rPr>
        <w:t>. For instance, determining the appropriate financial period in which to reflect the costs and liabilities associated with a policy intervention</w:t>
      </w:r>
      <w:r w:rsidR="00E90554" w:rsidRPr="00734C56">
        <w:t>.</w:t>
      </w:r>
      <w:r w:rsidR="006A55D8" w:rsidRPr="00734C56">
        <w:t xml:space="preserve"> Areas </w:t>
      </w:r>
      <w:r>
        <w:t xml:space="preserve">still </w:t>
      </w:r>
      <w:r w:rsidR="006A55D8" w:rsidRPr="00734C56">
        <w:t>impacted could include expected credit losses</w:t>
      </w:r>
      <w:r w:rsidR="00A85933" w:rsidRPr="00734C56">
        <w:t xml:space="preserve"> on receivables</w:t>
      </w:r>
      <w:r w:rsidR="006A55D8" w:rsidRPr="00734C56">
        <w:t xml:space="preserve">, </w:t>
      </w:r>
      <w:r w:rsidR="00A85933" w:rsidRPr="00734C56">
        <w:t xml:space="preserve">the </w:t>
      </w:r>
      <w:r w:rsidR="006A55D8" w:rsidRPr="00734C56">
        <w:t xml:space="preserve">fair value of assets and events after the reporting period. </w:t>
      </w:r>
      <w:r w:rsidR="005D7F4C" w:rsidRPr="00734C56">
        <w:t xml:space="preserve">Agencies </w:t>
      </w:r>
      <w:r w:rsidR="00E43CA9" w:rsidRPr="00842442">
        <w:t>can</w:t>
      </w:r>
      <w:r w:rsidR="00E43CA9">
        <w:t xml:space="preserve"> </w:t>
      </w:r>
      <w:r w:rsidR="005D7F4C" w:rsidRPr="00734C56">
        <w:t xml:space="preserve">seek </w:t>
      </w:r>
      <w:r w:rsidR="0056449B" w:rsidRPr="00842442">
        <w:t>further</w:t>
      </w:r>
      <w:r w:rsidR="0056449B">
        <w:t xml:space="preserve"> </w:t>
      </w:r>
      <w:r w:rsidR="005D7F4C" w:rsidRPr="00734C56">
        <w:t xml:space="preserve">guidance </w:t>
      </w:r>
      <w:r w:rsidR="005D7F4C" w:rsidRPr="00E43CA9">
        <w:t>on</w:t>
      </w:r>
      <w:r w:rsidR="005D7F4C" w:rsidRPr="00734C56">
        <w:t xml:space="preserve"> </w:t>
      </w:r>
      <w:r w:rsidR="00E43CA9" w:rsidRPr="00842442">
        <w:t>COVID-19 contained in the ACT</w:t>
      </w:r>
      <w:r w:rsidR="00860419" w:rsidRPr="00842442">
        <w:t xml:space="preserve"> Disclosure</w:t>
      </w:r>
      <w:r w:rsidR="00E43CA9" w:rsidRPr="00842442">
        <w:t xml:space="preserve"> Paper on </w:t>
      </w:r>
      <w:r w:rsidR="00256D67" w:rsidRPr="00842442">
        <w:t xml:space="preserve">COVID-19 </w:t>
      </w:r>
      <w:r w:rsidR="00E43CA9" w:rsidRPr="00842442">
        <w:t>disclosures and workpapers</w:t>
      </w:r>
      <w:r w:rsidR="005D7F4C" w:rsidRPr="00734C56">
        <w:t>.</w:t>
      </w:r>
    </w:p>
    <w:p w14:paraId="4EB3C315" w14:textId="12DF7A30" w:rsidR="000144FF" w:rsidRPr="00354B92" w:rsidRDefault="000144FF" w:rsidP="004A1F6C">
      <w:pPr>
        <w:pStyle w:val="Heading2"/>
        <w:spacing w:after="60"/>
        <w:rPr>
          <w:color w:val="000000" w:themeColor="text1"/>
        </w:rPr>
      </w:pPr>
      <w:bookmarkStart w:id="46" w:name="_Toc40072435"/>
      <w:bookmarkStart w:id="47" w:name="_Toc48468195"/>
      <w:bookmarkStart w:id="48" w:name="_Toc49155389"/>
      <w:bookmarkStart w:id="49" w:name="_Toc49223835"/>
      <w:bookmarkStart w:id="50" w:name="_Toc50440299"/>
      <w:bookmarkStart w:id="51" w:name="_Toc194918618"/>
      <w:bookmarkStart w:id="52" w:name="_Toc400627278"/>
      <w:bookmarkStart w:id="53" w:name="_Toc132743739"/>
      <w:r w:rsidRPr="00354B92">
        <w:rPr>
          <w:color w:val="000000" w:themeColor="text1"/>
        </w:rPr>
        <w:t>What’s New</w:t>
      </w:r>
      <w:bookmarkEnd w:id="46"/>
      <w:bookmarkEnd w:id="47"/>
      <w:bookmarkEnd w:id="48"/>
      <w:bookmarkEnd w:id="49"/>
      <w:bookmarkEnd w:id="50"/>
      <w:bookmarkEnd w:id="51"/>
      <w:bookmarkEnd w:id="52"/>
      <w:bookmarkEnd w:id="53"/>
      <w:r w:rsidR="00BA6256" w:rsidRPr="00354B92">
        <w:rPr>
          <w:color w:val="000000" w:themeColor="text1"/>
        </w:rPr>
        <w:t xml:space="preserve"> </w:t>
      </w:r>
    </w:p>
    <w:p w14:paraId="614FCEF9" w14:textId="77777777" w:rsidR="00CA560B" w:rsidRPr="00783418" w:rsidRDefault="00F53678" w:rsidP="00CB31DE">
      <w:pPr>
        <w:pStyle w:val="Heading3"/>
        <w:ind w:left="851"/>
      </w:pPr>
      <w:bookmarkStart w:id="54" w:name="_Toc400627279"/>
      <w:bookmarkStart w:id="55" w:name="_Toc132743740"/>
      <w:r w:rsidRPr="00783418">
        <w:t>Changes to the Model Resulting from Accounting Standard Changes</w:t>
      </w:r>
      <w:bookmarkEnd w:id="54"/>
      <w:bookmarkEnd w:id="55"/>
      <w:r w:rsidRPr="00783418">
        <w:t xml:space="preserve"> </w:t>
      </w:r>
    </w:p>
    <w:p w14:paraId="324404CB" w14:textId="77777777" w:rsidR="00632E57" w:rsidRPr="00842442" w:rsidRDefault="002430D0" w:rsidP="005D7F4C">
      <w:pPr>
        <w:jc w:val="both"/>
        <w:rPr>
          <w:b/>
          <w:i/>
        </w:rPr>
      </w:pPr>
      <w:r w:rsidRPr="00842442">
        <w:rPr>
          <w:b/>
          <w:i/>
        </w:rPr>
        <w:t>Impact of Accounting Standards Issued but yet to be Applied</w:t>
      </w:r>
    </w:p>
    <w:p w14:paraId="7CD2315F" w14:textId="61AAA102" w:rsidR="004A1F6C" w:rsidRDefault="00310ED3" w:rsidP="004A1F6C">
      <w:pPr>
        <w:spacing w:after="80"/>
        <w:jc w:val="both"/>
      </w:pPr>
      <w:r>
        <w:t xml:space="preserve">Note 3 </w:t>
      </w:r>
      <w:r>
        <w:rPr>
          <w:i/>
          <w:iCs/>
        </w:rPr>
        <w:t>Change in Accounting Policy and Accounting Estimates, and Correction of a Prior Period Error</w:t>
      </w:r>
      <w:r>
        <w:t xml:space="preserve"> includes </w:t>
      </w:r>
      <w:r w:rsidRPr="00842442">
        <w:t xml:space="preserve">updated </w:t>
      </w:r>
      <w:r w:rsidR="005E0FCF">
        <w:t>wording when compared to last year’s Model Financial Statements. However, this wording</w:t>
      </w:r>
      <w:r w:rsidR="005E0FCF" w:rsidRPr="005E0FCF">
        <w:t xml:space="preserve"> is currently being reviewed by the Financial Reporting and Framework Branch</w:t>
      </w:r>
      <w:r w:rsidR="005E0FCF">
        <w:t xml:space="preserve"> and</w:t>
      </w:r>
      <w:r w:rsidR="005E0FCF" w:rsidRPr="005E0FCF">
        <w:t xml:space="preserve"> </w:t>
      </w:r>
      <w:r w:rsidR="005E0FCF">
        <w:t xml:space="preserve">further </w:t>
      </w:r>
      <w:r w:rsidR="005E0FCF" w:rsidRPr="005E0FCF">
        <w:t>updated wording will be provided to agencies in A</w:t>
      </w:r>
      <w:bookmarkStart w:id="56" w:name="_Hlk131681051"/>
      <w:r w:rsidR="005E0FCF" w:rsidRPr="005E0FCF">
        <w:t>ADP</w:t>
      </w:r>
      <w:r w:rsidR="005E0FCF">
        <w:t> </w:t>
      </w:r>
      <w:r w:rsidR="005E0FCF" w:rsidRPr="005E0FCF">
        <w:t xml:space="preserve">307 </w:t>
      </w:r>
      <w:r w:rsidR="005E0FCF" w:rsidRPr="005E0FCF">
        <w:rPr>
          <w:i/>
          <w:iCs/>
        </w:rPr>
        <w:t>ACT Accounting Disclosure Paper on the AASB Standards Issued but yet to be Applied</w:t>
      </w:r>
      <w:bookmarkEnd w:id="56"/>
      <w:r w:rsidR="00146176" w:rsidRPr="00146176">
        <w:t>.</w:t>
      </w:r>
      <w:r w:rsidR="005E0FCF" w:rsidRPr="005E0FCF">
        <w:t xml:space="preserve"> </w:t>
      </w:r>
      <w:r w:rsidR="004A1F6C">
        <w:t xml:space="preserve">This paper </w:t>
      </w:r>
      <w:r w:rsidR="004A1F6C" w:rsidRPr="005E0FCF">
        <w:t>will be released in June this year</w:t>
      </w:r>
      <w:r w:rsidR="004A1F6C">
        <w:t xml:space="preserve"> and the </w:t>
      </w:r>
      <w:r w:rsidR="004A1F6C" w:rsidRPr="005E0FCF">
        <w:t xml:space="preserve">updated wording </w:t>
      </w:r>
      <w:r w:rsidR="004A1F6C">
        <w:t xml:space="preserve">in the paper </w:t>
      </w:r>
      <w:r w:rsidR="004A1F6C" w:rsidRPr="005E0FCF">
        <w:t>should be adopted</w:t>
      </w:r>
      <w:r w:rsidR="004A1F6C">
        <w:t xml:space="preserve"> by agencies</w:t>
      </w:r>
      <w:r w:rsidR="004A1F6C" w:rsidRPr="005E0FCF">
        <w:t xml:space="preserve">, where appropriate, rather than the wording included </w:t>
      </w:r>
      <w:r w:rsidR="004A1F6C">
        <w:t xml:space="preserve">in Note 3 </w:t>
      </w:r>
      <w:r w:rsidR="004A1F6C" w:rsidRPr="005E0FCF">
        <w:t>in the Model.</w:t>
      </w:r>
    </w:p>
    <w:p w14:paraId="0CD3BA8F" w14:textId="77777777" w:rsidR="004A1F6C" w:rsidRDefault="00FE184E" w:rsidP="004A1F6C">
      <w:pPr>
        <w:spacing w:after="80"/>
        <w:jc w:val="both"/>
      </w:pPr>
      <w:r>
        <w:t>In addition</w:t>
      </w:r>
      <w:r w:rsidR="004A1F6C">
        <w:t xml:space="preserve"> to the example wording for inclusion in Note 3</w:t>
      </w:r>
      <w:r>
        <w:t xml:space="preserve">, the paper will </w:t>
      </w:r>
      <w:r w:rsidR="004A1F6C">
        <w:t xml:space="preserve">also </w:t>
      </w:r>
      <w:bookmarkStart w:id="57" w:name="_Hlk131681127"/>
      <w:r w:rsidR="004A1F6C">
        <w:t xml:space="preserve">provide background information in relation to all </w:t>
      </w:r>
      <w:r>
        <w:t xml:space="preserve">standards issued but yet to be applied and the </w:t>
      </w:r>
      <w:r w:rsidRPr="00FE184E">
        <w:t>likely impact of those standards</w:t>
      </w:r>
      <w:r>
        <w:t xml:space="preserve"> on ACT Government agencies</w:t>
      </w:r>
      <w:bookmarkEnd w:id="57"/>
      <w:r>
        <w:t xml:space="preserve">. </w:t>
      </w:r>
    </w:p>
    <w:p w14:paraId="03FF2DDF" w14:textId="2CB091BD" w:rsidR="00B271B5" w:rsidRDefault="00B271B5" w:rsidP="004A1F6C">
      <w:pPr>
        <w:jc w:val="both"/>
      </w:pPr>
      <w:r w:rsidRPr="00CF4393">
        <w:t xml:space="preserve">Agencies are </w:t>
      </w:r>
      <w:r w:rsidR="009C004A" w:rsidRPr="00CF4393">
        <w:t xml:space="preserve">required </w:t>
      </w:r>
      <w:r w:rsidRPr="00CF4393">
        <w:t xml:space="preserve">to </w:t>
      </w:r>
      <w:r w:rsidR="002B2688" w:rsidRPr="00CF4393">
        <w:t>disclose known or reasonably estimable information relevant to assessing the possible impact that the application of these standards will have on the agency’s financial statements in the period of initial application (AASB 108</w:t>
      </w:r>
      <w:r w:rsidR="00A42730" w:rsidRPr="00CF4393">
        <w:t>.30)</w:t>
      </w:r>
      <w:r w:rsidRPr="00CF4393">
        <w:t>.</w:t>
      </w:r>
    </w:p>
    <w:p w14:paraId="24EA7B31" w14:textId="5FAA4CB2" w:rsidR="007122BC" w:rsidRPr="007122BC" w:rsidRDefault="00F53678" w:rsidP="004A1F6C">
      <w:pPr>
        <w:pStyle w:val="Heading3"/>
        <w:spacing w:before="180"/>
        <w:ind w:left="851"/>
        <w:jc w:val="both"/>
        <w:rPr>
          <w:rFonts w:cs="Calibri"/>
        </w:rPr>
      </w:pPr>
      <w:bookmarkStart w:id="58" w:name="_Toc400627280"/>
      <w:bookmarkStart w:id="59" w:name="_Toc132743741"/>
      <w:r w:rsidRPr="001B7340">
        <w:t>Changes</w:t>
      </w:r>
      <w:r w:rsidRPr="003D2BCD">
        <w:t xml:space="preserve"> to the Model </w:t>
      </w:r>
      <w:bookmarkEnd w:id="58"/>
      <w:r w:rsidR="000E26AB">
        <w:t xml:space="preserve">Resulting from </w:t>
      </w:r>
      <w:r w:rsidR="00A47178">
        <w:t>Streamlining</w:t>
      </w:r>
      <w:r w:rsidR="000E26AB">
        <w:t xml:space="preserve"> and Decluttering</w:t>
      </w:r>
      <w:bookmarkEnd w:id="59"/>
    </w:p>
    <w:p w14:paraId="6A9FA587" w14:textId="21133205" w:rsidR="008F25F5" w:rsidRDefault="008F25F5" w:rsidP="004A1F6C">
      <w:pPr>
        <w:spacing w:after="80"/>
        <w:jc w:val="both"/>
      </w:pPr>
      <w:bookmarkStart w:id="60" w:name="_Hlk127779022"/>
      <w:bookmarkStart w:id="61" w:name="_Hlk131680271"/>
      <w:r>
        <w:t xml:space="preserve">In 2021-22 the Financial Reporting and Framework Branch undertook a major review of the Model. The amendments to the Model that resulted from the review </w:t>
      </w:r>
      <w:r w:rsidR="00DE57D8">
        <w:t>did not come about from changes in accounting standards but rather</w:t>
      </w:r>
      <w:r w:rsidR="00484A02">
        <w:t xml:space="preserve"> represented improvement to the Model.  The amendments </w:t>
      </w:r>
      <w:r>
        <w:t xml:space="preserve">had to be made in two parts.  The first lot of amendments were made to </w:t>
      </w:r>
      <w:r w:rsidR="004323F9">
        <w:t xml:space="preserve">last year’s </w:t>
      </w:r>
      <w:r>
        <w:t xml:space="preserve">Model </w:t>
      </w:r>
      <w:r w:rsidR="004323F9">
        <w:t>(</w:t>
      </w:r>
      <w:r>
        <w:t>2021-22</w:t>
      </w:r>
      <w:r w:rsidR="004323F9">
        <w:t>)</w:t>
      </w:r>
      <w:r>
        <w:t xml:space="preserve">, with the second lot of amendments made to this year’s Model (2022-23). The amendments had to be made in two parts due to </w:t>
      </w:r>
      <w:r w:rsidR="004323F9">
        <w:t xml:space="preserve">some of them relating to the face of the financial statements and requirement of the </w:t>
      </w:r>
      <w:r>
        <w:t xml:space="preserve">Financial Management Act </w:t>
      </w:r>
      <w:r w:rsidR="004323F9">
        <w:t xml:space="preserve">that </w:t>
      </w:r>
      <w:r w:rsidRPr="00A74ECB">
        <w:rPr>
          <w:rFonts w:cs="Calibri"/>
          <w:szCs w:val="22"/>
        </w:rPr>
        <w:t xml:space="preserve">annual financial statements of an agency </w:t>
      </w:r>
      <w:r>
        <w:rPr>
          <w:rFonts w:cs="Calibri"/>
          <w:szCs w:val="22"/>
        </w:rPr>
        <w:t xml:space="preserve">must </w:t>
      </w:r>
      <w:r w:rsidRPr="00A74ECB">
        <w:rPr>
          <w:rFonts w:cs="Calibri"/>
          <w:szCs w:val="22"/>
        </w:rPr>
        <w:t>be prepared in a form that facilitates a comparison between financial operations of the agency during the reporting period and the estimates of those operations contained in the budget.</w:t>
      </w:r>
      <w:r>
        <w:rPr>
          <w:rFonts w:cs="Calibri"/>
          <w:szCs w:val="22"/>
        </w:rPr>
        <w:t xml:space="preserve"> </w:t>
      </w:r>
      <w:r w:rsidR="004323F9" w:rsidRPr="004323F9">
        <w:rPr>
          <w:rFonts w:cs="Calibri"/>
          <w:szCs w:val="22"/>
        </w:rPr>
        <w:t>Therefore</w:t>
      </w:r>
      <w:r w:rsidRPr="004323F9">
        <w:rPr>
          <w:rFonts w:cs="Calibri"/>
          <w:szCs w:val="22"/>
        </w:rPr>
        <w:t xml:space="preserve">, the changes to the face of the statements </w:t>
      </w:r>
      <w:r w:rsidR="005E53B1">
        <w:rPr>
          <w:rFonts w:cs="Calibri"/>
          <w:szCs w:val="22"/>
        </w:rPr>
        <w:t xml:space="preserve">were required to be made in the 2022-23 </w:t>
      </w:r>
      <w:r w:rsidR="0033548A">
        <w:rPr>
          <w:rFonts w:cs="Calibri"/>
          <w:szCs w:val="22"/>
        </w:rPr>
        <w:t>B</w:t>
      </w:r>
      <w:r w:rsidRPr="004323F9">
        <w:rPr>
          <w:rFonts w:cs="Calibri"/>
          <w:szCs w:val="22"/>
        </w:rPr>
        <w:t>udget first and the</w:t>
      </w:r>
      <w:r w:rsidR="004323F9" w:rsidRPr="004323F9">
        <w:rPr>
          <w:rFonts w:cs="Calibri"/>
          <w:szCs w:val="22"/>
        </w:rPr>
        <w:t>n</w:t>
      </w:r>
      <w:r w:rsidRPr="004323F9">
        <w:rPr>
          <w:rFonts w:cs="Calibri"/>
          <w:szCs w:val="22"/>
        </w:rPr>
        <w:t xml:space="preserve"> to the </w:t>
      </w:r>
      <w:r w:rsidR="004323F9" w:rsidRPr="004323F9">
        <w:rPr>
          <w:rFonts w:cs="Calibri"/>
          <w:szCs w:val="22"/>
        </w:rPr>
        <w:t>Model</w:t>
      </w:r>
      <w:bookmarkEnd w:id="60"/>
      <w:r w:rsidRPr="004323F9">
        <w:t>.</w:t>
      </w:r>
    </w:p>
    <w:p w14:paraId="4DEB0A9B" w14:textId="14FC20F1" w:rsidR="0031345C" w:rsidRDefault="00247D2A" w:rsidP="004A1F6C">
      <w:pPr>
        <w:spacing w:after="40"/>
        <w:jc w:val="both"/>
      </w:pPr>
      <w:r>
        <w:t xml:space="preserve">The </w:t>
      </w:r>
      <w:r w:rsidR="004323F9">
        <w:t>second lot of amendments to</w:t>
      </w:r>
      <w:r w:rsidR="007122BC">
        <w:t xml:space="preserve"> the Model ha</w:t>
      </w:r>
      <w:r w:rsidR="00484A02">
        <w:t>ve</w:t>
      </w:r>
      <w:r w:rsidR="007122BC">
        <w:t xml:space="preserve"> resulted in a number of changes</w:t>
      </w:r>
      <w:r>
        <w:t xml:space="preserve"> to the financial statements </w:t>
      </w:r>
      <w:r w:rsidR="00A74ECB">
        <w:t>and consequential changes to the notes</w:t>
      </w:r>
      <w:r w:rsidR="007122BC">
        <w:t xml:space="preserve">. </w:t>
      </w:r>
      <w:r w:rsidR="0031345C">
        <w:t>The i</w:t>
      </w:r>
      <w:r w:rsidR="007122BC">
        <w:t>nformation below outlines the main changes which have occurred when compared to the 20</w:t>
      </w:r>
      <w:r w:rsidR="008F25F5">
        <w:t>21</w:t>
      </w:r>
      <w:r w:rsidR="007122BC">
        <w:t>-2</w:t>
      </w:r>
      <w:r w:rsidR="0031345C">
        <w:t>2</w:t>
      </w:r>
      <w:r w:rsidR="007122BC">
        <w:t xml:space="preserve"> Model.</w:t>
      </w:r>
      <w:r w:rsidR="000E26AB">
        <w:t xml:space="preserve"> It is not an exhaustive list and represents the major changes only.</w:t>
      </w:r>
      <w:r w:rsidR="0031345C">
        <w:t xml:space="preserve"> Individual wording changes to the 2022-23 Model </w:t>
      </w:r>
      <w:r w:rsidR="00484A02">
        <w:t xml:space="preserve">can be seen throughout the document given they </w:t>
      </w:r>
      <w:r w:rsidR="0031345C">
        <w:t xml:space="preserve">have been identified using different colours. These are as follows: </w:t>
      </w:r>
    </w:p>
    <w:p w14:paraId="658197A0" w14:textId="6DAC5E95" w:rsidR="0031345C" w:rsidRDefault="0031345C" w:rsidP="004A1F6C">
      <w:pPr>
        <w:pStyle w:val="ListParagraph"/>
        <w:numPr>
          <w:ilvl w:val="0"/>
          <w:numId w:val="80"/>
        </w:numPr>
        <w:spacing w:after="40"/>
        <w:ind w:left="709" w:hanging="357"/>
        <w:contextualSpacing w:val="0"/>
        <w:jc w:val="both"/>
      </w:pPr>
      <w:r w:rsidRPr="007A4345">
        <w:rPr>
          <w:strike/>
          <w:color w:val="FF0000"/>
        </w:rPr>
        <w:t>Red</w:t>
      </w:r>
      <w:r w:rsidR="007A4345" w:rsidRPr="007A4345">
        <w:rPr>
          <w:strike/>
          <w:color w:val="FF0000"/>
        </w:rPr>
        <w:t xml:space="preserve"> text with strikethrough</w:t>
      </w:r>
      <w:r w:rsidRPr="007A4345">
        <w:rPr>
          <w:color w:val="FF0000"/>
        </w:rPr>
        <w:t xml:space="preserve"> </w:t>
      </w:r>
      <w:r>
        <w:t>– Identifies line items/wording that ha</w:t>
      </w:r>
      <w:r w:rsidR="00685463">
        <w:t>ve</w:t>
      </w:r>
      <w:r>
        <w:t xml:space="preserve"> been deleted from the Model. That is, wording which appears in the 2021-22 Model but does not appear in the 2022-23 Model; </w:t>
      </w:r>
    </w:p>
    <w:p w14:paraId="1E6EBBC3" w14:textId="057B68BD" w:rsidR="000E26AB" w:rsidRDefault="0031345C" w:rsidP="004A1F6C">
      <w:pPr>
        <w:pStyle w:val="ListParagraph"/>
        <w:numPr>
          <w:ilvl w:val="0"/>
          <w:numId w:val="80"/>
        </w:numPr>
        <w:spacing w:after="40"/>
        <w:ind w:left="709" w:hanging="357"/>
        <w:contextualSpacing w:val="0"/>
        <w:jc w:val="both"/>
      </w:pPr>
      <w:r w:rsidRPr="007A4345">
        <w:rPr>
          <w:color w:val="FF0000"/>
        </w:rPr>
        <w:t xml:space="preserve">Red </w:t>
      </w:r>
      <w:r w:rsidR="007A4345" w:rsidRPr="007A4345">
        <w:rPr>
          <w:color w:val="FF0000"/>
        </w:rPr>
        <w:t xml:space="preserve">text </w:t>
      </w:r>
      <w:r>
        <w:t>– Identifies line items/wording that has been inserted/changed in the Model. That is, wording which did not appear in the 2021-22 Model but does appear in the 2022-23 Model</w:t>
      </w:r>
      <w:r w:rsidR="007A4345">
        <w:t>;</w:t>
      </w:r>
    </w:p>
    <w:p w14:paraId="4E2D654B" w14:textId="365B3FEA" w:rsidR="007A4345" w:rsidRDefault="007A4345" w:rsidP="004A1F6C">
      <w:pPr>
        <w:pStyle w:val="ListParagraph"/>
        <w:numPr>
          <w:ilvl w:val="0"/>
          <w:numId w:val="80"/>
        </w:numPr>
        <w:spacing w:after="40"/>
        <w:ind w:left="709" w:hanging="357"/>
        <w:contextualSpacing w:val="0"/>
        <w:jc w:val="both"/>
      </w:pPr>
      <w:r w:rsidRPr="007A4345">
        <w:rPr>
          <w:color w:val="548235"/>
        </w:rPr>
        <w:t xml:space="preserve">green text </w:t>
      </w:r>
      <w:r>
        <w:t xml:space="preserve">is 2021-22 Model text that has been moved </w:t>
      </w:r>
      <w:r w:rsidRPr="007A4345">
        <w:rPr>
          <w:u w:val="single"/>
        </w:rPr>
        <w:t>from</w:t>
      </w:r>
      <w:r>
        <w:t xml:space="preserve"> somewhere else in the 2022-23 Model; and  </w:t>
      </w:r>
    </w:p>
    <w:p w14:paraId="2D0BB998" w14:textId="5D9FB8D9" w:rsidR="000C02B9" w:rsidRDefault="007A4345" w:rsidP="004A1F6C">
      <w:pPr>
        <w:pStyle w:val="ListParagraph"/>
        <w:numPr>
          <w:ilvl w:val="0"/>
          <w:numId w:val="80"/>
        </w:numPr>
        <w:spacing w:after="40"/>
        <w:ind w:left="709" w:hanging="357"/>
        <w:contextualSpacing w:val="0"/>
        <w:jc w:val="both"/>
      </w:pPr>
      <w:r w:rsidRPr="007A4345">
        <w:rPr>
          <w:strike/>
          <w:color w:val="548235"/>
        </w:rPr>
        <w:t>green text with strikethrough</w:t>
      </w:r>
      <w:r w:rsidRPr="007A4345">
        <w:rPr>
          <w:color w:val="548235"/>
        </w:rPr>
        <w:t xml:space="preserve"> </w:t>
      </w:r>
      <w:r>
        <w:t xml:space="preserve">is 2021-22 Model text that has been moved </w:t>
      </w:r>
      <w:r w:rsidRPr="007A4345">
        <w:rPr>
          <w:u w:val="single"/>
        </w:rPr>
        <w:t>to</w:t>
      </w:r>
      <w:r>
        <w:t xml:space="preserve"> somewhere else in the 2022-23 Model.</w:t>
      </w:r>
      <w:bookmarkEnd w:id="61"/>
    </w:p>
    <w:p w14:paraId="52489C4B" w14:textId="3DB1ABA0" w:rsidR="00EC4D0B" w:rsidRPr="00111EEA" w:rsidRDefault="00EC4D0B" w:rsidP="00B340DF">
      <w:pPr>
        <w:pStyle w:val="Heading3"/>
        <w:numPr>
          <w:ilvl w:val="2"/>
          <w:numId w:val="83"/>
        </w:numPr>
        <w:spacing w:before="240"/>
        <w:ind w:left="851"/>
        <w:jc w:val="both"/>
        <w:rPr>
          <w:rFonts w:cs="Calibri"/>
        </w:rPr>
      </w:pPr>
      <w:bookmarkStart w:id="62" w:name="_Toc98763002"/>
      <w:bookmarkStart w:id="63" w:name="_Toc127733792"/>
      <w:bookmarkStart w:id="64" w:name="_Toc131164443"/>
      <w:bookmarkStart w:id="65" w:name="_Toc131591708"/>
      <w:bookmarkStart w:id="66" w:name="_Toc132743742"/>
      <w:bookmarkStart w:id="67" w:name="_Toc98763003"/>
      <w:r w:rsidRPr="001B7340">
        <w:t>Changes</w:t>
      </w:r>
      <w:r w:rsidRPr="003D2BCD">
        <w:t xml:space="preserve"> to the Model </w:t>
      </w:r>
      <w:r>
        <w:t xml:space="preserve">Resulting from </w:t>
      </w:r>
      <w:r w:rsidR="00A47178">
        <w:t>Streamlining</w:t>
      </w:r>
      <w:r>
        <w:t xml:space="preserve"> and Decluttering</w:t>
      </w:r>
      <w:r w:rsidRPr="00111EEA">
        <w:rPr>
          <w:rFonts w:cs="Calibri"/>
        </w:rPr>
        <w:t xml:space="preserve"> </w:t>
      </w:r>
      <w:r>
        <w:t>– Continued</w:t>
      </w:r>
      <w:bookmarkEnd w:id="62"/>
      <w:bookmarkEnd w:id="63"/>
      <w:bookmarkEnd w:id="64"/>
      <w:bookmarkEnd w:id="65"/>
      <w:bookmarkEnd w:id="66"/>
      <w:r>
        <w:t xml:space="preserve"> </w:t>
      </w:r>
    </w:p>
    <w:p w14:paraId="4D4815AB" w14:textId="1CE10CA6" w:rsidR="007122BC" w:rsidRPr="002D37D5" w:rsidRDefault="007122BC" w:rsidP="002D37D5">
      <w:pPr>
        <w:spacing w:before="240"/>
        <w:rPr>
          <w:b/>
          <w:bCs/>
          <w:i/>
          <w:iCs/>
        </w:rPr>
      </w:pPr>
      <w:r w:rsidRPr="002D37D5">
        <w:rPr>
          <w:b/>
          <w:bCs/>
          <w:i/>
          <w:iCs/>
        </w:rPr>
        <w:t>General Changes</w:t>
      </w:r>
      <w:bookmarkEnd w:id="67"/>
    </w:p>
    <w:p w14:paraId="14F4E8AD" w14:textId="445860AE" w:rsidR="007122BC" w:rsidRDefault="00111EEA" w:rsidP="00111EEA">
      <w:pPr>
        <w:pStyle w:val="SFDot1"/>
        <w:numPr>
          <w:ilvl w:val="0"/>
          <w:numId w:val="0"/>
        </w:numPr>
        <w:spacing w:before="0" w:after="0"/>
        <w:jc w:val="both"/>
      </w:pPr>
      <w:r>
        <w:t>W</w:t>
      </w:r>
      <w:r w:rsidR="007122BC">
        <w:t>here possible</w:t>
      </w:r>
      <w:r w:rsidR="00A212C1">
        <w:t>,</w:t>
      </w:r>
      <w:r w:rsidR="007122BC">
        <w:t xml:space="preserve"> disclosures in the Model have been removed or combined to assist with decluttering</w:t>
      </w:r>
      <w:r w:rsidR="009E1026">
        <w:t>.</w:t>
      </w:r>
      <w:r w:rsidR="007122BC">
        <w:t xml:space="preserve"> </w:t>
      </w:r>
    </w:p>
    <w:p w14:paraId="3E7894E9" w14:textId="3207953E" w:rsidR="007122BC" w:rsidRPr="002D37D5" w:rsidRDefault="007122BC" w:rsidP="002D37D5">
      <w:pPr>
        <w:spacing w:before="240"/>
        <w:rPr>
          <w:b/>
          <w:bCs/>
          <w:i/>
          <w:iCs/>
        </w:rPr>
      </w:pPr>
      <w:bookmarkStart w:id="68" w:name="_Toc98763005"/>
      <w:r w:rsidRPr="002D37D5">
        <w:rPr>
          <w:b/>
          <w:bCs/>
          <w:i/>
          <w:iCs/>
        </w:rPr>
        <w:t>Changes to the Face of Statements</w:t>
      </w:r>
      <w:bookmarkEnd w:id="68"/>
    </w:p>
    <w:p w14:paraId="0E76A642" w14:textId="77777777" w:rsidR="007122BC" w:rsidRDefault="007122BC" w:rsidP="00F951F2">
      <w:pPr>
        <w:spacing w:after="120"/>
        <w:jc w:val="both"/>
      </w:pPr>
      <w:r>
        <w:t xml:space="preserve">Agencies are reminded that these changes </w:t>
      </w:r>
      <w:r w:rsidRPr="007122BC">
        <w:t>only</w:t>
      </w:r>
      <w:r>
        <w:t xml:space="preserve"> need to be made if they are relevant:</w:t>
      </w:r>
    </w:p>
    <w:tbl>
      <w:tblPr>
        <w:tblStyle w:val="TableGrid"/>
        <w:tblW w:w="9634" w:type="dxa"/>
        <w:tblLook w:val="04A0" w:firstRow="1" w:lastRow="0" w:firstColumn="1" w:lastColumn="0" w:noHBand="0" w:noVBand="1"/>
      </w:tblPr>
      <w:tblGrid>
        <w:gridCol w:w="3681"/>
        <w:gridCol w:w="5953"/>
      </w:tblGrid>
      <w:tr w:rsidR="00FD4E9D" w14:paraId="3A5BFF49" w14:textId="77777777" w:rsidTr="00FD4E9D">
        <w:tc>
          <w:tcPr>
            <w:tcW w:w="3681" w:type="dxa"/>
            <w:shd w:val="clear" w:color="auto" w:fill="BFBFBF" w:themeFill="background1" w:themeFillShade="BF"/>
          </w:tcPr>
          <w:p w14:paraId="12E0CB8D" w14:textId="350CABD4" w:rsidR="00FD4E9D" w:rsidRPr="00FD4E9D" w:rsidRDefault="00FD4E9D" w:rsidP="00FD4E9D">
            <w:pPr>
              <w:spacing w:before="60" w:after="60"/>
              <w:rPr>
                <w:b/>
                <w:bCs/>
              </w:rPr>
            </w:pPr>
            <w:r w:rsidRPr="00FD4E9D">
              <w:rPr>
                <w:b/>
                <w:bCs/>
              </w:rPr>
              <w:t>Statement</w:t>
            </w:r>
          </w:p>
        </w:tc>
        <w:tc>
          <w:tcPr>
            <w:tcW w:w="5953" w:type="dxa"/>
            <w:shd w:val="clear" w:color="auto" w:fill="BFBFBF" w:themeFill="background1" w:themeFillShade="BF"/>
          </w:tcPr>
          <w:p w14:paraId="54ED9AE4" w14:textId="6580380B" w:rsidR="00FD4E9D" w:rsidRPr="00FD4E9D" w:rsidRDefault="00FD4E9D" w:rsidP="00FD4E9D">
            <w:pPr>
              <w:spacing w:before="60" w:after="60"/>
              <w:jc w:val="both"/>
              <w:rPr>
                <w:b/>
                <w:bCs/>
              </w:rPr>
            </w:pPr>
            <w:r w:rsidRPr="00FD4E9D">
              <w:rPr>
                <w:b/>
                <w:bCs/>
              </w:rPr>
              <w:t>Change</w:t>
            </w:r>
          </w:p>
        </w:tc>
      </w:tr>
      <w:tr w:rsidR="007122BC" w14:paraId="41E8C083" w14:textId="77777777" w:rsidTr="007122BC">
        <w:tc>
          <w:tcPr>
            <w:tcW w:w="3681" w:type="dxa"/>
          </w:tcPr>
          <w:p w14:paraId="1D8CC11F" w14:textId="77777777" w:rsidR="007122BC" w:rsidRDefault="007122BC" w:rsidP="003C4C52">
            <w:r>
              <w:t>Operating Statement</w:t>
            </w:r>
          </w:p>
        </w:tc>
        <w:tc>
          <w:tcPr>
            <w:tcW w:w="5953" w:type="dxa"/>
          </w:tcPr>
          <w:p w14:paraId="3ED8A35F" w14:textId="7B747604" w:rsidR="007122BC" w:rsidRDefault="007122BC" w:rsidP="009E1026">
            <w:pPr>
              <w:spacing w:after="120"/>
              <w:jc w:val="both"/>
            </w:pPr>
            <w:r>
              <w:t>Re</w:t>
            </w:r>
            <w:r w:rsidR="00E757E2">
              <w:t>move</w:t>
            </w:r>
            <w:r>
              <w:t xml:space="preserve"> – </w:t>
            </w:r>
            <w:r w:rsidR="00E757E2">
              <w:t xml:space="preserve">The </w:t>
            </w:r>
            <w:r w:rsidR="00A212C1">
              <w:t>distinction</w:t>
            </w:r>
            <w:r w:rsidR="00E757E2">
              <w:t xml:space="preserve"> between Revenue and Gains on the face of the Operating Statement. There is now just a single heading </w:t>
            </w:r>
            <w:r w:rsidR="00A47178">
              <w:t>for</w:t>
            </w:r>
            <w:r w:rsidR="00E757E2">
              <w:t xml:space="preserve"> Income.</w:t>
            </w:r>
          </w:p>
          <w:p w14:paraId="334AF147" w14:textId="77777777" w:rsidR="00734181" w:rsidRDefault="00734181" w:rsidP="009E1026">
            <w:pPr>
              <w:spacing w:after="120"/>
              <w:jc w:val="both"/>
            </w:pPr>
            <w:r>
              <w:t>Combine – Other Revenue and Other Gains into one single line item Other Income.</w:t>
            </w:r>
          </w:p>
          <w:p w14:paraId="527854BA" w14:textId="77777777" w:rsidR="0033548A" w:rsidRDefault="00734181" w:rsidP="0033548A">
            <w:pPr>
              <w:spacing w:after="120"/>
              <w:jc w:val="both"/>
            </w:pPr>
            <w:r>
              <w:t xml:space="preserve">Remove – the Superannuation Expense line item. All superannuation expenses are now included in the Employee Expenses line item. </w:t>
            </w:r>
          </w:p>
          <w:p w14:paraId="434916AC" w14:textId="287CAFFD" w:rsidR="0033548A" w:rsidRDefault="0033548A" w:rsidP="0033548A">
            <w:pPr>
              <w:spacing w:after="120"/>
              <w:jc w:val="both"/>
            </w:pPr>
            <w:r w:rsidRPr="005C79C5">
              <w:t xml:space="preserve">Rename Total Other Comprehensive Income/(Deficit) to </w:t>
            </w:r>
            <w:r>
              <w:t>T</w:t>
            </w:r>
            <w:r w:rsidRPr="005C79C5">
              <w:t>otal Other Comprehensive Result</w:t>
            </w:r>
            <w:r>
              <w:t>.</w:t>
            </w:r>
          </w:p>
          <w:p w14:paraId="57F089F1" w14:textId="65F7ADAF" w:rsidR="00734181" w:rsidRPr="006F4A64" w:rsidRDefault="0033548A" w:rsidP="0033548A">
            <w:pPr>
              <w:spacing w:after="120"/>
              <w:jc w:val="both"/>
            </w:pPr>
            <w:r w:rsidRPr="005C79C5">
              <w:t>Rename Total Comprehensive Income/(Deficit) to Total Comprehensive Result</w:t>
            </w:r>
            <w:r>
              <w:t>.</w:t>
            </w:r>
          </w:p>
        </w:tc>
      </w:tr>
      <w:tr w:rsidR="00734181" w14:paraId="306A18E3" w14:textId="77777777" w:rsidTr="007122BC">
        <w:tc>
          <w:tcPr>
            <w:tcW w:w="3681" w:type="dxa"/>
          </w:tcPr>
          <w:p w14:paraId="58D750C6" w14:textId="3624F5DB" w:rsidR="00734181" w:rsidRDefault="00734181" w:rsidP="003C4C52">
            <w:r>
              <w:t>Balance Sheet</w:t>
            </w:r>
          </w:p>
        </w:tc>
        <w:tc>
          <w:tcPr>
            <w:tcW w:w="5953" w:type="dxa"/>
          </w:tcPr>
          <w:p w14:paraId="31CEFA6F" w14:textId="77777777" w:rsidR="00734181" w:rsidRPr="00B73007" w:rsidRDefault="00734181" w:rsidP="009E1026">
            <w:pPr>
              <w:spacing w:after="120"/>
              <w:jc w:val="both"/>
            </w:pPr>
            <w:r w:rsidRPr="00B73007">
              <w:t>Replace – the Cash and Cash Equivalents line item with a Cash and Investments line item.</w:t>
            </w:r>
          </w:p>
          <w:p w14:paraId="7689E320" w14:textId="23ED8A08" w:rsidR="00734181" w:rsidRPr="00B73007" w:rsidRDefault="00734181" w:rsidP="009E1026">
            <w:pPr>
              <w:spacing w:after="120"/>
              <w:jc w:val="both"/>
            </w:pPr>
            <w:r w:rsidRPr="00B73007">
              <w:t>Remove – the Contract Assets line item. All contract assets are now included in the Receivables line item.</w:t>
            </w:r>
          </w:p>
          <w:p w14:paraId="57429565" w14:textId="1239CE5A" w:rsidR="00734181" w:rsidRPr="00B73007" w:rsidRDefault="0053546F" w:rsidP="009E1026">
            <w:pPr>
              <w:spacing w:after="120"/>
              <w:jc w:val="both"/>
            </w:pPr>
            <w:r w:rsidRPr="00B73007">
              <w:t xml:space="preserve">Remove – the Contract Liabilities line item. All contract </w:t>
            </w:r>
            <w:r w:rsidR="00E607AE" w:rsidRPr="00B73007">
              <w:t>liabilities</w:t>
            </w:r>
            <w:r w:rsidRPr="00B73007">
              <w:t xml:space="preserve"> are now included in the </w:t>
            </w:r>
            <w:r w:rsidR="00E607AE" w:rsidRPr="00B73007">
              <w:t xml:space="preserve">Payables </w:t>
            </w:r>
            <w:r w:rsidRPr="00B73007">
              <w:t>line item.</w:t>
            </w:r>
          </w:p>
        </w:tc>
      </w:tr>
      <w:tr w:rsidR="009E1026" w14:paraId="61F446CA" w14:textId="77777777" w:rsidTr="007122BC">
        <w:tc>
          <w:tcPr>
            <w:tcW w:w="3681" w:type="dxa"/>
          </w:tcPr>
          <w:p w14:paraId="3FEC40FD" w14:textId="4D51414B" w:rsidR="009E1026" w:rsidRDefault="009E1026" w:rsidP="003C4C52">
            <w:r w:rsidRPr="001F6B32">
              <w:rPr>
                <w:rFonts w:cs="Calibri"/>
                <w:bCs/>
              </w:rPr>
              <w:t>Statement of Changes in Equity</w:t>
            </w:r>
          </w:p>
        </w:tc>
        <w:tc>
          <w:tcPr>
            <w:tcW w:w="5953" w:type="dxa"/>
          </w:tcPr>
          <w:p w14:paraId="66B28EBB" w14:textId="410406EE" w:rsidR="00AE5D3A" w:rsidRPr="00B73007" w:rsidRDefault="00205B4E" w:rsidP="009E1026">
            <w:pPr>
              <w:spacing w:after="120"/>
              <w:jc w:val="both"/>
            </w:pPr>
            <w:r w:rsidRPr="00B73007">
              <w:t xml:space="preserve">Remove </w:t>
            </w:r>
            <w:r w:rsidR="00295EC8" w:rsidRPr="00B73007">
              <w:t>–</w:t>
            </w:r>
            <w:r w:rsidRPr="00B73007">
              <w:t xml:space="preserve"> t</w:t>
            </w:r>
            <w:r w:rsidR="00AE5D3A" w:rsidRPr="00B73007">
              <w:t>he Restatement of Opening Equity Section at the beginning of the Statement of Changes in Equity</w:t>
            </w:r>
            <w:r w:rsidRPr="00B73007">
              <w:t>.</w:t>
            </w:r>
          </w:p>
          <w:p w14:paraId="5843006B" w14:textId="4A4EA751" w:rsidR="009E1026" w:rsidRPr="00B73007" w:rsidRDefault="009E1026" w:rsidP="009E1026">
            <w:pPr>
              <w:spacing w:after="120"/>
              <w:jc w:val="both"/>
            </w:pPr>
            <w:r w:rsidRPr="00B73007">
              <w:t xml:space="preserve">Include – a Net Assets transferred </w:t>
            </w:r>
            <w:r w:rsidR="00DD1D32">
              <w:t>in</w:t>
            </w:r>
            <w:r w:rsidRPr="00B73007">
              <w:t>/</w:t>
            </w:r>
            <w:r w:rsidR="00DD1D32">
              <w:t xml:space="preserve">(out) </w:t>
            </w:r>
            <w:r w:rsidRPr="00B73007">
              <w:t>Other Agencies line item</w:t>
            </w:r>
            <w:r w:rsidR="0033548A" w:rsidRPr="00B73007">
              <w:t>.</w:t>
            </w:r>
          </w:p>
          <w:p w14:paraId="07B31AE0" w14:textId="681119AE" w:rsidR="0033548A" w:rsidRPr="00B73007" w:rsidRDefault="0033548A" w:rsidP="0033548A">
            <w:pPr>
              <w:spacing w:after="120"/>
              <w:jc w:val="both"/>
            </w:pPr>
            <w:r w:rsidRPr="00B73007">
              <w:t>Rename</w:t>
            </w:r>
            <w:r w:rsidR="002A5114" w:rsidRPr="00B73007">
              <w:t xml:space="preserve"> –</w:t>
            </w:r>
            <w:r w:rsidRPr="00B73007">
              <w:t xml:space="preserve"> Other Comprehensive Income to Other Comprehensive Result.</w:t>
            </w:r>
          </w:p>
          <w:p w14:paraId="6586082B" w14:textId="6A739247" w:rsidR="0033548A" w:rsidRPr="00B73007" w:rsidRDefault="0033548A" w:rsidP="0033548A">
            <w:pPr>
              <w:spacing w:after="120"/>
              <w:jc w:val="both"/>
            </w:pPr>
            <w:r w:rsidRPr="00B73007">
              <w:t xml:space="preserve">Rename </w:t>
            </w:r>
            <w:r w:rsidR="002A5114" w:rsidRPr="00B73007">
              <w:t xml:space="preserve">– </w:t>
            </w:r>
            <w:r w:rsidRPr="00B73007">
              <w:t>Total Comprehensive Income to Total Comprehensive Result.</w:t>
            </w:r>
          </w:p>
        </w:tc>
      </w:tr>
      <w:tr w:rsidR="00734181" w14:paraId="67121E1F" w14:textId="77777777" w:rsidTr="007122BC">
        <w:tc>
          <w:tcPr>
            <w:tcW w:w="3681" w:type="dxa"/>
          </w:tcPr>
          <w:p w14:paraId="37E42706" w14:textId="79A9ED2E" w:rsidR="00734181" w:rsidRDefault="009E1026" w:rsidP="003C4C52">
            <w:r>
              <w:t xml:space="preserve">Statement of </w:t>
            </w:r>
            <w:r w:rsidR="00734181">
              <w:t>Cash</w:t>
            </w:r>
            <w:r>
              <w:t xml:space="preserve"> Flows</w:t>
            </w:r>
            <w:r w:rsidR="00734181">
              <w:t xml:space="preserve"> </w:t>
            </w:r>
          </w:p>
        </w:tc>
        <w:tc>
          <w:tcPr>
            <w:tcW w:w="5953" w:type="dxa"/>
          </w:tcPr>
          <w:p w14:paraId="03D3C74F" w14:textId="27E61F86" w:rsidR="00E607AE" w:rsidRPr="00B73007" w:rsidRDefault="00E607AE" w:rsidP="009E1026">
            <w:pPr>
              <w:spacing w:after="120"/>
              <w:jc w:val="both"/>
            </w:pPr>
            <w:r w:rsidRPr="00B73007">
              <w:t>Change – The Employee line item will now be referred to as the ‘Employee Payments’ line item.</w:t>
            </w:r>
          </w:p>
          <w:p w14:paraId="79D1C4F8" w14:textId="2E3CA3B2" w:rsidR="00734181" w:rsidRPr="00B73007" w:rsidRDefault="009E1026" w:rsidP="009E1026">
            <w:pPr>
              <w:spacing w:after="120"/>
              <w:jc w:val="both"/>
            </w:pPr>
            <w:r w:rsidRPr="00B73007">
              <w:t>Remove – the Superannuation line item. All superannuation payments are now included in the Employee</w:t>
            </w:r>
            <w:r w:rsidR="00E607AE" w:rsidRPr="00B73007">
              <w:t xml:space="preserve"> Payments</w:t>
            </w:r>
            <w:r w:rsidRPr="00B73007">
              <w:t xml:space="preserve"> line item.</w:t>
            </w:r>
          </w:p>
          <w:p w14:paraId="46B9F5A9" w14:textId="3034BBCC" w:rsidR="009E1026" w:rsidRPr="00B73007" w:rsidRDefault="009E1026" w:rsidP="009E1026">
            <w:pPr>
              <w:spacing w:after="120"/>
              <w:jc w:val="both"/>
            </w:pPr>
            <w:r w:rsidRPr="00B73007">
              <w:t xml:space="preserve">Include – a Purchase of Capital Works line item and a Purchase of Intangibles line item. </w:t>
            </w:r>
          </w:p>
        </w:tc>
      </w:tr>
      <w:tr w:rsidR="00E757E2" w14:paraId="79980A8F" w14:textId="77777777" w:rsidTr="007122BC">
        <w:tc>
          <w:tcPr>
            <w:tcW w:w="3681" w:type="dxa"/>
          </w:tcPr>
          <w:p w14:paraId="2787FEE8" w14:textId="733CCF6E" w:rsidR="00E757E2" w:rsidRDefault="00E757E2" w:rsidP="003C4C52">
            <w:r>
              <w:t xml:space="preserve">Output Class Operating Statements </w:t>
            </w:r>
          </w:p>
        </w:tc>
        <w:tc>
          <w:tcPr>
            <w:tcW w:w="5953" w:type="dxa"/>
          </w:tcPr>
          <w:p w14:paraId="6EC8883C" w14:textId="54621EB2" w:rsidR="00E757E2" w:rsidRDefault="00E757E2" w:rsidP="009E1026">
            <w:pPr>
              <w:spacing w:after="120"/>
              <w:jc w:val="both"/>
            </w:pPr>
            <w:r>
              <w:t xml:space="preserve">Remove – The </w:t>
            </w:r>
            <w:r w:rsidR="00A212C1">
              <w:t>distinction</w:t>
            </w:r>
            <w:r>
              <w:t xml:space="preserve"> between Revenue and Gains on the face of the Operating Statement. There is now just a single heading f</w:t>
            </w:r>
            <w:r w:rsidR="00A47178">
              <w:t>o</w:t>
            </w:r>
            <w:r>
              <w:t>r Income.</w:t>
            </w:r>
          </w:p>
          <w:p w14:paraId="024CC05A" w14:textId="77777777" w:rsidR="007A77E6" w:rsidRDefault="007A77E6" w:rsidP="007A77E6">
            <w:pPr>
              <w:spacing w:after="120"/>
              <w:jc w:val="both"/>
            </w:pPr>
            <w:r>
              <w:t>Combine – Other Revenue and Other Gains into one single line item Other Income.</w:t>
            </w:r>
          </w:p>
          <w:p w14:paraId="274ABF42" w14:textId="7B0A2E3E" w:rsidR="007A77E6" w:rsidRDefault="007A77E6" w:rsidP="007A77E6">
            <w:pPr>
              <w:spacing w:after="120"/>
              <w:jc w:val="both"/>
            </w:pPr>
            <w:r>
              <w:t>Remove – the Superannuation Expense line item. All superannuation expenses are now included in the Employee Expenses line item.</w:t>
            </w:r>
          </w:p>
        </w:tc>
      </w:tr>
    </w:tbl>
    <w:p w14:paraId="61F4C7A3" w14:textId="77777777" w:rsidR="00FD4E9D" w:rsidRDefault="00FD4E9D">
      <w:pPr>
        <w:rPr>
          <w:b/>
          <w:i/>
          <w:kern w:val="32"/>
          <w:szCs w:val="27"/>
          <w:lang w:val="en-US" w:eastAsia="en-AU"/>
        </w:rPr>
      </w:pPr>
      <w:bookmarkStart w:id="69" w:name="_Toc98763007"/>
      <w:r>
        <w:br w:type="page"/>
      </w:r>
    </w:p>
    <w:p w14:paraId="655E1024" w14:textId="5A7A43FE" w:rsidR="00EC4D0B" w:rsidRPr="00EC4D0B" w:rsidRDefault="00EC4D0B" w:rsidP="00B340DF">
      <w:pPr>
        <w:pStyle w:val="Heading3"/>
        <w:numPr>
          <w:ilvl w:val="2"/>
          <w:numId w:val="88"/>
        </w:numPr>
        <w:tabs>
          <w:tab w:val="clear" w:pos="4823"/>
        </w:tabs>
        <w:spacing w:before="240"/>
        <w:ind w:left="851"/>
        <w:jc w:val="both"/>
        <w:rPr>
          <w:rFonts w:cs="Calibri"/>
        </w:rPr>
      </w:pPr>
      <w:bookmarkStart w:id="70" w:name="_Toc131164444"/>
      <w:bookmarkStart w:id="71" w:name="_Toc131591709"/>
      <w:bookmarkStart w:id="72" w:name="_Toc132743743"/>
      <w:r w:rsidRPr="001B7340">
        <w:t>Changes</w:t>
      </w:r>
      <w:r w:rsidRPr="003D2BCD">
        <w:t xml:space="preserve"> to the Model </w:t>
      </w:r>
      <w:r>
        <w:t xml:space="preserve">Resulting from </w:t>
      </w:r>
      <w:r w:rsidR="00FF08A5">
        <w:t>Streamlining</w:t>
      </w:r>
      <w:r>
        <w:t xml:space="preserve"> and Decluttering</w:t>
      </w:r>
      <w:r w:rsidRPr="00EC4D0B">
        <w:rPr>
          <w:rFonts w:cs="Calibri"/>
        </w:rPr>
        <w:t xml:space="preserve"> </w:t>
      </w:r>
      <w:r>
        <w:t>– Continued</w:t>
      </w:r>
      <w:bookmarkEnd w:id="70"/>
      <w:bookmarkEnd w:id="71"/>
      <w:bookmarkEnd w:id="72"/>
      <w:r>
        <w:t xml:space="preserve"> </w:t>
      </w:r>
    </w:p>
    <w:p w14:paraId="256BC688" w14:textId="46A0C808" w:rsidR="00F951F2" w:rsidRPr="002D37D5" w:rsidRDefault="00F951F2" w:rsidP="002D37D5">
      <w:pPr>
        <w:spacing w:before="120" w:after="60"/>
        <w:rPr>
          <w:b/>
          <w:bCs/>
          <w:i/>
          <w:iCs/>
        </w:rPr>
      </w:pPr>
      <w:r w:rsidRPr="002D37D5">
        <w:rPr>
          <w:b/>
          <w:bCs/>
          <w:i/>
          <w:iCs/>
        </w:rPr>
        <w:t>Changes to the Notes</w:t>
      </w:r>
      <w:bookmarkEnd w:id="69"/>
    </w:p>
    <w:tbl>
      <w:tblPr>
        <w:tblStyle w:val="TableGrid"/>
        <w:tblW w:w="9634" w:type="dxa"/>
        <w:tblLook w:val="04A0" w:firstRow="1" w:lastRow="0" w:firstColumn="1" w:lastColumn="0" w:noHBand="0" w:noVBand="1"/>
      </w:tblPr>
      <w:tblGrid>
        <w:gridCol w:w="3681"/>
        <w:gridCol w:w="5953"/>
      </w:tblGrid>
      <w:tr w:rsidR="00FD4E9D" w14:paraId="1C31E3DF" w14:textId="77777777" w:rsidTr="0042643B">
        <w:tc>
          <w:tcPr>
            <w:tcW w:w="3681" w:type="dxa"/>
            <w:shd w:val="clear" w:color="auto" w:fill="BFBFBF" w:themeFill="background1" w:themeFillShade="BF"/>
          </w:tcPr>
          <w:p w14:paraId="356315B4" w14:textId="65DCEE72" w:rsidR="00FD4E9D" w:rsidRPr="00FD4E9D" w:rsidRDefault="00FD4E9D" w:rsidP="0042643B">
            <w:pPr>
              <w:spacing w:before="60" w:after="60"/>
              <w:rPr>
                <w:b/>
                <w:bCs/>
              </w:rPr>
            </w:pPr>
            <w:r>
              <w:rPr>
                <w:b/>
                <w:bCs/>
              </w:rPr>
              <w:t>Note</w:t>
            </w:r>
          </w:p>
        </w:tc>
        <w:tc>
          <w:tcPr>
            <w:tcW w:w="5953" w:type="dxa"/>
            <w:shd w:val="clear" w:color="auto" w:fill="BFBFBF" w:themeFill="background1" w:themeFillShade="BF"/>
          </w:tcPr>
          <w:p w14:paraId="3544670B" w14:textId="77777777" w:rsidR="00FD4E9D" w:rsidRPr="00FD4E9D" w:rsidRDefault="00FD4E9D" w:rsidP="0042643B">
            <w:pPr>
              <w:spacing w:before="60" w:after="60"/>
              <w:jc w:val="both"/>
              <w:rPr>
                <w:b/>
                <w:bCs/>
              </w:rPr>
            </w:pPr>
            <w:r w:rsidRPr="00FD4E9D">
              <w:rPr>
                <w:b/>
                <w:bCs/>
              </w:rPr>
              <w:t>Change</w:t>
            </w:r>
          </w:p>
        </w:tc>
      </w:tr>
      <w:tr w:rsidR="0056289E" w:rsidRPr="00641E42" w14:paraId="5F59933C" w14:textId="77777777" w:rsidTr="000E26AB">
        <w:tc>
          <w:tcPr>
            <w:tcW w:w="3681" w:type="dxa"/>
          </w:tcPr>
          <w:p w14:paraId="47DADAAD" w14:textId="5AD2C29B" w:rsidR="0056289E" w:rsidRPr="00B73007" w:rsidRDefault="0056289E" w:rsidP="00FD4E9D">
            <w:pPr>
              <w:spacing w:before="120" w:after="120"/>
            </w:pPr>
            <w:r w:rsidRPr="00B73007">
              <w:t xml:space="preserve">Note 3 </w:t>
            </w:r>
            <w:r w:rsidRPr="00B73007">
              <w:rPr>
                <w:i/>
                <w:iCs/>
              </w:rPr>
              <w:t>Impact of Accounting Standards Issued but yet to be Applied</w:t>
            </w:r>
            <w:r w:rsidRPr="00B73007">
              <w:t xml:space="preserve"> </w:t>
            </w:r>
          </w:p>
        </w:tc>
        <w:tc>
          <w:tcPr>
            <w:tcW w:w="5953" w:type="dxa"/>
          </w:tcPr>
          <w:p w14:paraId="320405A7" w14:textId="68CE374C" w:rsidR="0056289E" w:rsidRPr="00B73007" w:rsidRDefault="002A5114" w:rsidP="00FD4E9D">
            <w:pPr>
              <w:spacing w:before="120" w:after="120"/>
              <w:jc w:val="both"/>
            </w:pPr>
            <w:r w:rsidRPr="00B73007">
              <w:t>S</w:t>
            </w:r>
            <w:r w:rsidR="0056289E" w:rsidRPr="00B73007">
              <w:t xml:space="preserve">tandards issued but not yet applied </w:t>
            </w:r>
            <w:r w:rsidRPr="00B73007">
              <w:t xml:space="preserve">disclosure </w:t>
            </w:r>
            <w:r w:rsidR="00311E55" w:rsidRPr="00B73007">
              <w:t xml:space="preserve">wording </w:t>
            </w:r>
            <w:r w:rsidRPr="00B73007">
              <w:t>has been updated</w:t>
            </w:r>
            <w:r w:rsidR="00311E55" w:rsidRPr="00B73007">
              <w:t>.</w:t>
            </w:r>
          </w:p>
        </w:tc>
      </w:tr>
      <w:tr w:rsidR="00E757E2" w:rsidRPr="00641E42" w14:paraId="4F0EB845" w14:textId="77777777" w:rsidTr="000E26AB">
        <w:tc>
          <w:tcPr>
            <w:tcW w:w="3681" w:type="dxa"/>
          </w:tcPr>
          <w:p w14:paraId="7E975BAE" w14:textId="3C868701" w:rsidR="00E757E2" w:rsidRPr="00B73007" w:rsidRDefault="00E757E2" w:rsidP="00FD4E9D">
            <w:pPr>
              <w:spacing w:before="120" w:after="120"/>
            </w:pPr>
            <w:r w:rsidRPr="00B73007">
              <w:t xml:space="preserve">Note 6 </w:t>
            </w:r>
            <w:r w:rsidRPr="00B73007">
              <w:rPr>
                <w:i/>
                <w:iCs/>
              </w:rPr>
              <w:t>Grants and Contributions Revenue</w:t>
            </w:r>
          </w:p>
        </w:tc>
        <w:tc>
          <w:tcPr>
            <w:tcW w:w="5953" w:type="dxa"/>
          </w:tcPr>
          <w:p w14:paraId="0FA52F28" w14:textId="2D512EA7" w:rsidR="00E757E2" w:rsidRPr="00B73007" w:rsidRDefault="00E757E2" w:rsidP="00FD4E9D">
            <w:pPr>
              <w:spacing w:before="120" w:after="120"/>
              <w:jc w:val="both"/>
            </w:pPr>
            <w:r w:rsidRPr="00B73007">
              <w:t>Inclusion of Resources Provided Free of Charge disclosures.</w:t>
            </w:r>
          </w:p>
        </w:tc>
      </w:tr>
      <w:tr w:rsidR="00C010EC" w:rsidRPr="00641E42" w14:paraId="55A4A0E4" w14:textId="77777777" w:rsidTr="000E26AB">
        <w:tc>
          <w:tcPr>
            <w:tcW w:w="3681" w:type="dxa"/>
          </w:tcPr>
          <w:p w14:paraId="0534FCD6" w14:textId="4D7A7D4E" w:rsidR="00C010EC" w:rsidRPr="00B73007" w:rsidRDefault="00C010EC" w:rsidP="00FD4E9D">
            <w:pPr>
              <w:spacing w:before="120" w:after="120"/>
            </w:pPr>
            <w:r w:rsidRPr="00B73007">
              <w:t xml:space="preserve">Note 7 </w:t>
            </w:r>
            <w:r w:rsidRPr="00B73007">
              <w:rPr>
                <w:i/>
                <w:iCs/>
              </w:rPr>
              <w:t>Investment and Interest Revenue</w:t>
            </w:r>
          </w:p>
        </w:tc>
        <w:tc>
          <w:tcPr>
            <w:tcW w:w="5953" w:type="dxa"/>
          </w:tcPr>
          <w:p w14:paraId="04D51A00" w14:textId="1E35B67B" w:rsidR="00C010EC" w:rsidRPr="00B73007" w:rsidRDefault="00BB723B" w:rsidP="00FD4E9D">
            <w:pPr>
              <w:spacing w:before="120" w:after="120"/>
              <w:jc w:val="both"/>
            </w:pPr>
            <w:r w:rsidRPr="00B73007">
              <w:t>U</w:t>
            </w:r>
            <w:r w:rsidR="003B1641" w:rsidRPr="00B73007">
              <w:t>pdat</w:t>
            </w:r>
            <w:r w:rsidR="002E71BE" w:rsidRPr="00B73007">
              <w:t>e</w:t>
            </w:r>
            <w:r w:rsidRPr="00B73007">
              <w:t>d</w:t>
            </w:r>
            <w:r w:rsidR="002E71BE" w:rsidRPr="00B73007">
              <w:t xml:space="preserve"> </w:t>
            </w:r>
            <w:r w:rsidR="003B1641" w:rsidRPr="00B73007">
              <w:t xml:space="preserve">the </w:t>
            </w:r>
            <w:r w:rsidR="006A0557" w:rsidRPr="00B73007">
              <w:t>D</w:t>
            </w:r>
            <w:r w:rsidR="003B1641" w:rsidRPr="00B73007">
              <w:t xml:space="preserve">escription and </w:t>
            </w:r>
            <w:r w:rsidR="006A0557" w:rsidRPr="00B73007">
              <w:t>M</w:t>
            </w:r>
            <w:r w:rsidR="003B1641" w:rsidRPr="00B73007">
              <w:t xml:space="preserve">aterial </w:t>
            </w:r>
            <w:r w:rsidR="006A0557" w:rsidRPr="00B73007">
              <w:t>A</w:t>
            </w:r>
            <w:r w:rsidR="003B1641" w:rsidRPr="00B73007">
              <w:t xml:space="preserve">ccounting </w:t>
            </w:r>
            <w:r w:rsidR="006A0557" w:rsidRPr="00B73007">
              <w:t>P</w:t>
            </w:r>
            <w:r w:rsidR="003B1641" w:rsidRPr="00B73007">
              <w:t xml:space="preserve">olicies for ‘Interest Revenue’ and ‘Unwinding of Concessional Loans Discount Revenue’ and combining these two line items into a single line item called ‘Interest Revenue from Concessional Loans’. </w:t>
            </w:r>
          </w:p>
          <w:p w14:paraId="5CD43FE8" w14:textId="63A102FB" w:rsidR="003B1641" w:rsidRPr="00B73007" w:rsidRDefault="003B1641" w:rsidP="00FD4E9D">
            <w:pPr>
              <w:spacing w:before="120" w:after="120"/>
              <w:jc w:val="both"/>
            </w:pPr>
            <w:r w:rsidRPr="00B73007">
              <w:t>Additional guidance has been included in the commentary regarding the split of investment and interest revenue.</w:t>
            </w:r>
          </w:p>
        </w:tc>
      </w:tr>
      <w:tr w:rsidR="008C7060" w:rsidRPr="00641E42" w14:paraId="47C7E7B3" w14:textId="77777777" w:rsidTr="000E26AB">
        <w:tc>
          <w:tcPr>
            <w:tcW w:w="3681" w:type="dxa"/>
          </w:tcPr>
          <w:p w14:paraId="7DBD201F" w14:textId="3ECEAF8D" w:rsidR="008C7060" w:rsidRPr="00B73007" w:rsidRDefault="008C7060" w:rsidP="00FD4E9D">
            <w:pPr>
              <w:spacing w:before="120" w:after="120"/>
            </w:pPr>
            <w:r w:rsidRPr="00B73007">
              <w:t xml:space="preserve">Note 10 </w:t>
            </w:r>
            <w:r w:rsidRPr="00B73007">
              <w:rPr>
                <w:i/>
                <w:iCs/>
              </w:rPr>
              <w:t>Employee Expenses</w:t>
            </w:r>
          </w:p>
        </w:tc>
        <w:tc>
          <w:tcPr>
            <w:tcW w:w="5953" w:type="dxa"/>
          </w:tcPr>
          <w:p w14:paraId="5B863C65" w14:textId="0508C5F2" w:rsidR="008C7060" w:rsidRPr="00B73007" w:rsidRDefault="001D111D" w:rsidP="00FD4E9D">
            <w:pPr>
              <w:spacing w:before="120" w:after="120"/>
              <w:jc w:val="both"/>
            </w:pPr>
            <w:r w:rsidRPr="00B73007">
              <w:t>T</w:t>
            </w:r>
            <w:r w:rsidR="008C7060" w:rsidRPr="00B73007">
              <w:t>he employee expenses and superannuation expenses split no longer required</w:t>
            </w:r>
            <w:r w:rsidRPr="00B73007">
              <w:t>, due to the changes made to the face of the Operating Statement</w:t>
            </w:r>
            <w:r w:rsidR="008C7060" w:rsidRPr="00B73007">
              <w:t>.</w:t>
            </w:r>
          </w:p>
        </w:tc>
      </w:tr>
      <w:tr w:rsidR="003B1641" w:rsidRPr="00641E42" w14:paraId="7649A1AE" w14:textId="77777777" w:rsidTr="000E26AB">
        <w:tc>
          <w:tcPr>
            <w:tcW w:w="3681" w:type="dxa"/>
          </w:tcPr>
          <w:p w14:paraId="79192DC2" w14:textId="492D2BA9" w:rsidR="003B1641" w:rsidRPr="00B73007" w:rsidRDefault="003B1641" w:rsidP="00FD4E9D">
            <w:pPr>
              <w:spacing w:before="120" w:after="120"/>
            </w:pPr>
            <w:r w:rsidRPr="00B73007">
              <w:t xml:space="preserve">Note 12 </w:t>
            </w:r>
            <w:r w:rsidRPr="00B73007">
              <w:rPr>
                <w:i/>
                <w:iCs/>
              </w:rPr>
              <w:t>Grants and Purchased Services</w:t>
            </w:r>
          </w:p>
        </w:tc>
        <w:tc>
          <w:tcPr>
            <w:tcW w:w="5953" w:type="dxa"/>
          </w:tcPr>
          <w:p w14:paraId="55FD6CF4" w14:textId="29DEDBD2" w:rsidR="003B1641" w:rsidRPr="00B73007" w:rsidRDefault="003B1641" w:rsidP="00FD4E9D">
            <w:pPr>
              <w:spacing w:before="120" w:after="120"/>
              <w:jc w:val="both"/>
            </w:pPr>
            <w:r w:rsidRPr="00B73007">
              <w:t>Additional guidance has been included in the commentary regarding Concessional Loan Discount Expense.</w:t>
            </w:r>
          </w:p>
        </w:tc>
      </w:tr>
      <w:tr w:rsidR="00EA2B73" w:rsidRPr="00641E42" w14:paraId="136A36FB" w14:textId="77777777" w:rsidTr="000E26AB">
        <w:tc>
          <w:tcPr>
            <w:tcW w:w="3681" w:type="dxa"/>
          </w:tcPr>
          <w:p w14:paraId="75951A56" w14:textId="5F4DEB4E" w:rsidR="00EA2B73" w:rsidRPr="00B73007" w:rsidRDefault="00EA2B73" w:rsidP="00EA2B73">
            <w:pPr>
              <w:spacing w:before="120" w:after="120"/>
            </w:pPr>
            <w:r w:rsidRPr="00B73007">
              <w:t xml:space="preserve">Note 13 </w:t>
            </w:r>
            <w:r w:rsidRPr="00DD1D32">
              <w:rPr>
                <w:i/>
                <w:iCs/>
              </w:rPr>
              <w:t>Borrowing Costs</w:t>
            </w:r>
          </w:p>
        </w:tc>
        <w:tc>
          <w:tcPr>
            <w:tcW w:w="5953" w:type="dxa"/>
          </w:tcPr>
          <w:p w14:paraId="74203A51" w14:textId="3C9E805F" w:rsidR="00EA2B73" w:rsidRPr="00B73007" w:rsidRDefault="00EA2B73" w:rsidP="00EA2B73">
            <w:pPr>
              <w:spacing w:before="120" w:after="120"/>
              <w:jc w:val="both"/>
            </w:pPr>
            <w:r w:rsidRPr="00B73007">
              <w:t xml:space="preserve">Concessional loans payable disclosures have now been included. </w:t>
            </w:r>
          </w:p>
        </w:tc>
      </w:tr>
      <w:tr w:rsidR="00EA2B73" w:rsidRPr="00641E42" w14:paraId="625F6731" w14:textId="77777777" w:rsidTr="000E26AB">
        <w:tc>
          <w:tcPr>
            <w:tcW w:w="3681" w:type="dxa"/>
          </w:tcPr>
          <w:p w14:paraId="340E571E" w14:textId="4E0AD0C5" w:rsidR="00EA2B73" w:rsidRPr="00B73007" w:rsidRDefault="00EA2B73" w:rsidP="00EA2B73">
            <w:pPr>
              <w:spacing w:before="120" w:after="120"/>
            </w:pPr>
            <w:r w:rsidRPr="00B73007">
              <w:t xml:space="preserve">Note 15 </w:t>
            </w:r>
            <w:r w:rsidRPr="00B73007">
              <w:rPr>
                <w:i/>
                <w:iCs/>
              </w:rPr>
              <w:t>Cash and Investments</w:t>
            </w:r>
          </w:p>
        </w:tc>
        <w:tc>
          <w:tcPr>
            <w:tcW w:w="5953" w:type="dxa"/>
          </w:tcPr>
          <w:p w14:paraId="193FE563" w14:textId="7DB8B77A" w:rsidR="00EF57E0" w:rsidRPr="00B73007" w:rsidRDefault="00EF57E0" w:rsidP="00EA2B73">
            <w:pPr>
              <w:spacing w:before="120" w:after="120"/>
              <w:jc w:val="both"/>
            </w:pPr>
            <w:r w:rsidRPr="00B73007">
              <w:t>Change in note title.</w:t>
            </w:r>
          </w:p>
          <w:p w14:paraId="2530F623" w14:textId="79E9CBE4" w:rsidR="00EA2B73" w:rsidRPr="00B73007" w:rsidRDefault="003B1641" w:rsidP="00EA2B73">
            <w:pPr>
              <w:spacing w:before="120" w:after="120"/>
              <w:jc w:val="both"/>
            </w:pPr>
            <w:r w:rsidRPr="00B73007">
              <w:t>Additional guidance has been included in the commentary regarding the title of the note where an agency does not have any investments.</w:t>
            </w:r>
          </w:p>
        </w:tc>
      </w:tr>
      <w:tr w:rsidR="00EA2B73" w:rsidRPr="00641E42" w14:paraId="534FAF46" w14:textId="77777777" w:rsidTr="000E26AB">
        <w:tc>
          <w:tcPr>
            <w:tcW w:w="3681" w:type="dxa"/>
          </w:tcPr>
          <w:p w14:paraId="3D8AFA71" w14:textId="704052DA" w:rsidR="00EA2B73" w:rsidRPr="00B73007" w:rsidRDefault="00EA2B73" w:rsidP="00EA2B73">
            <w:pPr>
              <w:spacing w:before="120" w:after="120"/>
            </w:pPr>
            <w:r w:rsidRPr="00B73007">
              <w:t xml:space="preserve">Note 16 </w:t>
            </w:r>
            <w:r w:rsidRPr="00B73007">
              <w:rPr>
                <w:i/>
                <w:iCs/>
              </w:rPr>
              <w:t xml:space="preserve">Receivables </w:t>
            </w:r>
          </w:p>
        </w:tc>
        <w:tc>
          <w:tcPr>
            <w:tcW w:w="5953" w:type="dxa"/>
          </w:tcPr>
          <w:p w14:paraId="55D26A1C" w14:textId="77777777" w:rsidR="00EF57E0" w:rsidRPr="00B73007" w:rsidRDefault="00EF57E0" w:rsidP="00EF57E0">
            <w:pPr>
              <w:spacing w:before="120" w:after="120"/>
              <w:jc w:val="both"/>
            </w:pPr>
            <w:r w:rsidRPr="00B73007">
              <w:t>Change in note title.</w:t>
            </w:r>
          </w:p>
          <w:p w14:paraId="0EFD85FC" w14:textId="35478F76" w:rsidR="00EA2B73" w:rsidRPr="00B73007" w:rsidRDefault="00EF57E0" w:rsidP="00EA2B73">
            <w:pPr>
              <w:spacing w:before="120" w:after="120"/>
              <w:jc w:val="both"/>
            </w:pPr>
            <w:r w:rsidRPr="00B73007">
              <w:t>Additional wording has been included in the Description and Material Accounting Policies section relating to Loans Receivable</w:t>
            </w:r>
            <w:r w:rsidR="005E309A">
              <w:t xml:space="preserve"> (including a change in Expected Credit Loss methodology)</w:t>
            </w:r>
            <w:r w:rsidRPr="00B73007">
              <w:t>.</w:t>
            </w:r>
          </w:p>
          <w:p w14:paraId="17B69A71" w14:textId="3FE7DFDB" w:rsidR="0081082D" w:rsidRPr="00B73007" w:rsidRDefault="0081082D" w:rsidP="00EA2B73">
            <w:pPr>
              <w:spacing w:before="120" w:after="120"/>
              <w:jc w:val="both"/>
            </w:pPr>
            <w:r w:rsidRPr="00B73007">
              <w:t xml:space="preserve">Reference to ‘Allowance for Impairment Losses’ </w:t>
            </w:r>
            <w:r w:rsidR="003270A9" w:rsidRPr="00B73007">
              <w:t xml:space="preserve">has </w:t>
            </w:r>
            <w:r w:rsidRPr="00B73007">
              <w:t>changed to ‘Expected Credit Loss Allowance’.</w:t>
            </w:r>
          </w:p>
        </w:tc>
      </w:tr>
      <w:tr w:rsidR="00EA2B73" w:rsidRPr="00641E42" w14:paraId="24A48FDA" w14:textId="77777777" w:rsidTr="000E26AB">
        <w:tc>
          <w:tcPr>
            <w:tcW w:w="3681" w:type="dxa"/>
          </w:tcPr>
          <w:p w14:paraId="32E58EF2" w14:textId="77777777" w:rsidR="00EA2B73" w:rsidRPr="00B73007" w:rsidRDefault="00EA2B73" w:rsidP="00EA2B73">
            <w:pPr>
              <w:spacing w:before="120" w:after="120"/>
            </w:pPr>
            <w:r w:rsidRPr="00B73007">
              <w:t xml:space="preserve">Note 19 </w:t>
            </w:r>
            <w:r w:rsidRPr="00B73007">
              <w:rPr>
                <w:i/>
                <w:iCs/>
              </w:rPr>
              <w:t>Property, Plant and Equipment</w:t>
            </w:r>
          </w:p>
        </w:tc>
        <w:tc>
          <w:tcPr>
            <w:tcW w:w="5953" w:type="dxa"/>
          </w:tcPr>
          <w:p w14:paraId="255F39ED" w14:textId="77777777" w:rsidR="00EA2B73" w:rsidRPr="00B73007" w:rsidRDefault="00EA2B73" w:rsidP="00EA2B73">
            <w:pPr>
              <w:spacing w:before="120" w:after="120"/>
              <w:jc w:val="both"/>
            </w:pPr>
            <w:r w:rsidRPr="00B73007">
              <w:t>Introduction of additional asset classes.</w:t>
            </w:r>
          </w:p>
          <w:p w14:paraId="2BA99ACE" w14:textId="76B7A65C" w:rsidR="00EA2B73" w:rsidRPr="00B73007" w:rsidRDefault="00EA2B73" w:rsidP="00EA2B73">
            <w:pPr>
              <w:spacing w:before="120" w:after="120"/>
              <w:jc w:val="both"/>
            </w:pPr>
          </w:p>
        </w:tc>
      </w:tr>
      <w:tr w:rsidR="00EA2B73" w:rsidRPr="00641E42" w14:paraId="145A4FB5" w14:textId="77777777" w:rsidTr="000E26AB">
        <w:tc>
          <w:tcPr>
            <w:tcW w:w="3681" w:type="dxa"/>
          </w:tcPr>
          <w:p w14:paraId="5813D787" w14:textId="1CCE41E3" w:rsidR="00EA2B73" w:rsidRPr="00B73007" w:rsidRDefault="00EA2B73" w:rsidP="00EA2B73">
            <w:pPr>
              <w:spacing w:before="120" w:after="120"/>
            </w:pPr>
            <w:r w:rsidRPr="00B73007">
              <w:t xml:space="preserve">Note 21 </w:t>
            </w:r>
            <w:r w:rsidRPr="00B73007">
              <w:rPr>
                <w:i/>
                <w:iCs/>
              </w:rPr>
              <w:t>Intangibles</w:t>
            </w:r>
          </w:p>
        </w:tc>
        <w:tc>
          <w:tcPr>
            <w:tcW w:w="5953" w:type="dxa"/>
          </w:tcPr>
          <w:p w14:paraId="25499CD7" w14:textId="7F59EB03" w:rsidR="00EA2B73" w:rsidRPr="00B73007" w:rsidRDefault="00EA2B73" w:rsidP="00EA2B73">
            <w:pPr>
              <w:spacing w:before="120" w:after="120"/>
              <w:jc w:val="both"/>
            </w:pPr>
            <w:r w:rsidRPr="00B73007">
              <w:t>The useful life which software can be amortised over has increased from 5 years to 10 years.</w:t>
            </w:r>
          </w:p>
          <w:p w14:paraId="0C402865" w14:textId="123CD651" w:rsidR="00EA2B73" w:rsidRPr="00B73007" w:rsidRDefault="00EA2B73" w:rsidP="00EA2B73">
            <w:pPr>
              <w:spacing w:before="120" w:after="120"/>
              <w:jc w:val="both"/>
            </w:pPr>
            <w:bookmarkStart w:id="73" w:name="_Hlk130048210"/>
            <w:r w:rsidRPr="00B73007">
              <w:t xml:space="preserve">This change has been made given it is considered appropriate that some software assets be amortised over a period of up to 10 years by ACT Government agencies, rather than only five.  As such, the Intangibles Asset Policy Paper now allows agencies to use a useful life for Software assets of up to 10 years.  For further information refer to AAPP 115 </w:t>
            </w:r>
            <w:r w:rsidRPr="00B73007">
              <w:rPr>
                <w:i/>
                <w:iCs/>
              </w:rPr>
              <w:t>ACT Accounting Policy Paper on Intangible Assets : Software</w:t>
            </w:r>
            <w:r w:rsidRPr="00B73007">
              <w:t xml:space="preserve"> on the </w:t>
            </w:r>
            <w:hyperlink r:id="rId16" w:history="1">
              <w:r w:rsidRPr="00B73007">
                <w:rPr>
                  <w:rStyle w:val="Hyperlink"/>
                </w:rPr>
                <w:t>Accounting in the ACT Government - Treasury</w:t>
              </w:r>
            </w:hyperlink>
            <w:r w:rsidRPr="00B73007">
              <w:t xml:space="preserve"> website.</w:t>
            </w:r>
            <w:bookmarkEnd w:id="73"/>
            <w:r w:rsidRPr="00B73007">
              <w:t xml:space="preserve">  </w:t>
            </w:r>
          </w:p>
        </w:tc>
      </w:tr>
      <w:tr w:rsidR="002E71BE" w:rsidRPr="00641E42" w14:paraId="657E63B2" w14:textId="77777777" w:rsidTr="000E26AB">
        <w:tc>
          <w:tcPr>
            <w:tcW w:w="3681" w:type="dxa"/>
          </w:tcPr>
          <w:p w14:paraId="3C94B777" w14:textId="3573AB8C" w:rsidR="002E71BE" w:rsidRPr="00B73007" w:rsidRDefault="002E71BE" w:rsidP="002E71BE">
            <w:pPr>
              <w:spacing w:before="120" w:after="120"/>
            </w:pPr>
            <w:r w:rsidRPr="00B73007">
              <w:t xml:space="preserve">Note 24 </w:t>
            </w:r>
            <w:r w:rsidRPr="00B73007">
              <w:rPr>
                <w:i/>
                <w:iCs/>
              </w:rPr>
              <w:t xml:space="preserve">Payables </w:t>
            </w:r>
          </w:p>
        </w:tc>
        <w:tc>
          <w:tcPr>
            <w:tcW w:w="5953" w:type="dxa"/>
          </w:tcPr>
          <w:p w14:paraId="304F18FD" w14:textId="5FCA362B" w:rsidR="002E71BE" w:rsidRPr="00B73007" w:rsidRDefault="002E71BE" w:rsidP="002E71BE">
            <w:pPr>
              <w:spacing w:before="120" w:after="120"/>
              <w:jc w:val="both"/>
            </w:pPr>
            <w:r w:rsidRPr="00B73007">
              <w:t>Change in note title.</w:t>
            </w:r>
          </w:p>
        </w:tc>
      </w:tr>
    </w:tbl>
    <w:p w14:paraId="7356C575" w14:textId="62E20FBD" w:rsidR="00B340DF" w:rsidRDefault="00B340DF"/>
    <w:p w14:paraId="1582B7C7" w14:textId="33AC529E" w:rsidR="00B340DF" w:rsidRPr="00B340DF" w:rsidRDefault="00B340DF" w:rsidP="00B340DF">
      <w:pPr>
        <w:pStyle w:val="Heading3"/>
        <w:numPr>
          <w:ilvl w:val="2"/>
          <w:numId w:val="90"/>
        </w:numPr>
        <w:spacing w:before="240"/>
        <w:ind w:left="851"/>
        <w:jc w:val="both"/>
        <w:rPr>
          <w:rFonts w:cs="Calibri"/>
        </w:rPr>
      </w:pPr>
      <w:bookmarkStart w:id="74" w:name="_Toc132743744"/>
      <w:r w:rsidRPr="001B7340">
        <w:t>Changes</w:t>
      </w:r>
      <w:r w:rsidRPr="003D2BCD">
        <w:t xml:space="preserve"> to the Model </w:t>
      </w:r>
      <w:r>
        <w:t>Resulting from Streamlining and Decluttering</w:t>
      </w:r>
      <w:r w:rsidRPr="00B340DF">
        <w:rPr>
          <w:rFonts w:cs="Calibri"/>
        </w:rPr>
        <w:t xml:space="preserve"> </w:t>
      </w:r>
      <w:r>
        <w:t>– Continued</w:t>
      </w:r>
      <w:bookmarkEnd w:id="74"/>
      <w:r>
        <w:t xml:space="preserve"> </w:t>
      </w:r>
    </w:p>
    <w:tbl>
      <w:tblPr>
        <w:tblStyle w:val="TableGrid"/>
        <w:tblW w:w="9634" w:type="dxa"/>
        <w:tblLook w:val="04A0" w:firstRow="1" w:lastRow="0" w:firstColumn="1" w:lastColumn="0" w:noHBand="0" w:noVBand="1"/>
      </w:tblPr>
      <w:tblGrid>
        <w:gridCol w:w="3681"/>
        <w:gridCol w:w="5953"/>
      </w:tblGrid>
      <w:tr w:rsidR="003406F1" w14:paraId="40273792" w14:textId="77777777" w:rsidTr="00F137BF">
        <w:tc>
          <w:tcPr>
            <w:tcW w:w="3681" w:type="dxa"/>
            <w:shd w:val="clear" w:color="auto" w:fill="BFBFBF" w:themeFill="background1" w:themeFillShade="BF"/>
          </w:tcPr>
          <w:p w14:paraId="2D2C7152" w14:textId="77777777" w:rsidR="003406F1" w:rsidRPr="00FD4E9D" w:rsidRDefault="003406F1" w:rsidP="00F137BF">
            <w:pPr>
              <w:spacing w:before="60" w:after="60"/>
              <w:rPr>
                <w:b/>
                <w:bCs/>
              </w:rPr>
            </w:pPr>
            <w:r>
              <w:rPr>
                <w:b/>
                <w:bCs/>
              </w:rPr>
              <w:t>Note</w:t>
            </w:r>
          </w:p>
        </w:tc>
        <w:tc>
          <w:tcPr>
            <w:tcW w:w="5953" w:type="dxa"/>
            <w:shd w:val="clear" w:color="auto" w:fill="BFBFBF" w:themeFill="background1" w:themeFillShade="BF"/>
          </w:tcPr>
          <w:p w14:paraId="1D0411AF" w14:textId="77777777" w:rsidR="003406F1" w:rsidRPr="00FD4E9D" w:rsidRDefault="003406F1" w:rsidP="00F137BF">
            <w:pPr>
              <w:spacing w:before="60" w:after="60"/>
              <w:jc w:val="both"/>
              <w:rPr>
                <w:b/>
                <w:bCs/>
              </w:rPr>
            </w:pPr>
            <w:r w:rsidRPr="00FD4E9D">
              <w:rPr>
                <w:b/>
                <w:bCs/>
              </w:rPr>
              <w:t>Change</w:t>
            </w:r>
          </w:p>
        </w:tc>
      </w:tr>
      <w:tr w:rsidR="002E71BE" w:rsidRPr="00641E42" w14:paraId="57C8013B" w14:textId="77777777" w:rsidTr="000E26AB">
        <w:tc>
          <w:tcPr>
            <w:tcW w:w="3681" w:type="dxa"/>
          </w:tcPr>
          <w:p w14:paraId="2AA092CB" w14:textId="08B0F03A" w:rsidR="002E71BE" w:rsidRPr="00B73007" w:rsidRDefault="002E71BE" w:rsidP="002E71BE">
            <w:pPr>
              <w:spacing w:before="120" w:after="120"/>
            </w:pPr>
            <w:r w:rsidRPr="00B73007">
              <w:t xml:space="preserve">Note 25 </w:t>
            </w:r>
            <w:r w:rsidRPr="00B73007">
              <w:rPr>
                <w:i/>
                <w:iCs/>
              </w:rPr>
              <w:t>Borrowings</w:t>
            </w:r>
          </w:p>
        </w:tc>
        <w:tc>
          <w:tcPr>
            <w:tcW w:w="5953" w:type="dxa"/>
          </w:tcPr>
          <w:p w14:paraId="6D2C4E62" w14:textId="6D4D840E" w:rsidR="002E71BE" w:rsidRPr="00B73007" w:rsidRDefault="00BB723B" w:rsidP="002E71BE">
            <w:pPr>
              <w:spacing w:before="120" w:after="120"/>
              <w:jc w:val="both"/>
            </w:pPr>
            <w:r w:rsidRPr="00B73007">
              <w:t>U</w:t>
            </w:r>
            <w:r w:rsidR="002E71BE" w:rsidRPr="00B73007">
              <w:t>pdate</w:t>
            </w:r>
            <w:r w:rsidRPr="00B73007">
              <w:t>d</w:t>
            </w:r>
            <w:r w:rsidR="002E71BE" w:rsidRPr="00B73007">
              <w:t xml:space="preserve"> the </w:t>
            </w:r>
            <w:r w:rsidR="003270A9" w:rsidRPr="00B73007">
              <w:t>D</w:t>
            </w:r>
            <w:r w:rsidR="002E71BE" w:rsidRPr="00B73007">
              <w:t xml:space="preserve">escription and </w:t>
            </w:r>
            <w:r w:rsidR="003270A9" w:rsidRPr="00B73007">
              <w:t>M</w:t>
            </w:r>
            <w:r w:rsidR="002E71BE" w:rsidRPr="00B73007">
              <w:t xml:space="preserve">aterial </w:t>
            </w:r>
            <w:r w:rsidR="003270A9" w:rsidRPr="00B73007">
              <w:t>A</w:t>
            </w:r>
            <w:r w:rsidR="002E71BE" w:rsidRPr="00B73007">
              <w:t xml:space="preserve">ccounting policies for ACT Government Borrowings. </w:t>
            </w:r>
          </w:p>
        </w:tc>
      </w:tr>
      <w:tr w:rsidR="002E71BE" w:rsidRPr="00641E42" w14:paraId="488F78D6" w14:textId="77777777" w:rsidTr="000E26AB">
        <w:tc>
          <w:tcPr>
            <w:tcW w:w="3681" w:type="dxa"/>
          </w:tcPr>
          <w:p w14:paraId="76333801" w14:textId="75C8E521" w:rsidR="002E71BE" w:rsidRPr="00B73007" w:rsidRDefault="002E71BE" w:rsidP="002E71BE">
            <w:pPr>
              <w:spacing w:before="120" w:after="120"/>
            </w:pPr>
            <w:r w:rsidRPr="00B73007">
              <w:t xml:space="preserve">Note 30 </w:t>
            </w:r>
            <w:r w:rsidRPr="00B73007">
              <w:rPr>
                <w:i/>
                <w:iCs/>
              </w:rPr>
              <w:t>Restructure of Administrative Arrangements</w:t>
            </w:r>
          </w:p>
        </w:tc>
        <w:tc>
          <w:tcPr>
            <w:tcW w:w="5953" w:type="dxa"/>
          </w:tcPr>
          <w:p w14:paraId="326BAE62" w14:textId="7C2E9A41" w:rsidR="002E71BE" w:rsidRPr="00B73007" w:rsidRDefault="003270A9" w:rsidP="002E71BE">
            <w:pPr>
              <w:spacing w:before="120" w:after="120"/>
              <w:jc w:val="both"/>
            </w:pPr>
            <w:r w:rsidRPr="00B73007">
              <w:t>The</w:t>
            </w:r>
            <w:r w:rsidR="002E71BE" w:rsidRPr="00B73007">
              <w:t xml:space="preserve"> Description and Material Accounting Policies Relating to Restructure of Administrative Arrangements section has been added.</w:t>
            </w:r>
          </w:p>
          <w:p w14:paraId="25F87AE5" w14:textId="69AF63CB" w:rsidR="002E71BE" w:rsidRPr="00B73007" w:rsidRDefault="002E71BE" w:rsidP="002E71BE">
            <w:pPr>
              <w:spacing w:before="120" w:after="120"/>
              <w:jc w:val="both"/>
            </w:pPr>
            <w:r w:rsidRPr="00B73007">
              <w:t xml:space="preserve">Additional wording </w:t>
            </w:r>
            <w:r w:rsidR="003270A9" w:rsidRPr="00B73007">
              <w:t xml:space="preserve">included </w:t>
            </w:r>
            <w:r w:rsidRPr="00B73007">
              <w:t>stating that amounts need to be agreed with the transferor prior to the transfer.</w:t>
            </w:r>
          </w:p>
        </w:tc>
      </w:tr>
      <w:tr w:rsidR="002E71BE" w:rsidRPr="00641E42" w14:paraId="0704D8A9" w14:textId="77777777" w:rsidTr="000E26AB">
        <w:tc>
          <w:tcPr>
            <w:tcW w:w="3681" w:type="dxa"/>
          </w:tcPr>
          <w:p w14:paraId="3C29BA80" w14:textId="5E53DDC7" w:rsidR="002E71BE" w:rsidRPr="00B73007" w:rsidRDefault="002E71BE" w:rsidP="002E71BE">
            <w:pPr>
              <w:spacing w:before="120" w:after="120"/>
              <w:rPr>
                <w:i/>
                <w:iCs/>
              </w:rPr>
            </w:pPr>
            <w:r w:rsidRPr="00B73007">
              <w:t xml:space="preserve">Note 31 </w:t>
            </w:r>
            <w:r w:rsidRPr="00B73007">
              <w:rPr>
                <w:i/>
                <w:iCs/>
              </w:rPr>
              <w:t>Financial Instruments</w:t>
            </w:r>
          </w:p>
        </w:tc>
        <w:tc>
          <w:tcPr>
            <w:tcW w:w="5953" w:type="dxa"/>
          </w:tcPr>
          <w:p w14:paraId="27E493BF" w14:textId="4D9FC187" w:rsidR="002E71BE" w:rsidRPr="00B73007" w:rsidRDefault="002E71BE" w:rsidP="002E71BE">
            <w:pPr>
              <w:spacing w:before="120" w:after="120"/>
              <w:jc w:val="both"/>
            </w:pPr>
            <w:r w:rsidRPr="00B73007">
              <w:t xml:space="preserve">Additional wording included for the credit risk disclosure. </w:t>
            </w:r>
          </w:p>
        </w:tc>
      </w:tr>
      <w:tr w:rsidR="001450B0" w:rsidRPr="00641E42" w14:paraId="6F05EE5B" w14:textId="77777777" w:rsidTr="001450B0">
        <w:tc>
          <w:tcPr>
            <w:tcW w:w="3681" w:type="dxa"/>
          </w:tcPr>
          <w:p w14:paraId="78DBB383" w14:textId="20B3FDD0" w:rsidR="001450B0" w:rsidRPr="00B73007" w:rsidRDefault="001450B0" w:rsidP="001450B0">
            <w:pPr>
              <w:spacing w:before="120" w:after="120"/>
            </w:pPr>
            <w:r w:rsidRPr="00B73007">
              <w:t xml:space="preserve">Note 32 </w:t>
            </w:r>
            <w:r w:rsidRPr="00B73007">
              <w:rPr>
                <w:i/>
                <w:iCs/>
              </w:rPr>
              <w:t>Capital and Other Expenditure Commitments</w:t>
            </w:r>
          </w:p>
        </w:tc>
        <w:tc>
          <w:tcPr>
            <w:tcW w:w="5953" w:type="dxa"/>
          </w:tcPr>
          <w:p w14:paraId="1F82911E" w14:textId="22B6C4A4" w:rsidR="001450B0" w:rsidRPr="00B73007" w:rsidRDefault="00FC7558" w:rsidP="001450B0">
            <w:pPr>
              <w:spacing w:before="120" w:after="120"/>
            </w:pPr>
            <w:r w:rsidRPr="00B73007">
              <w:t>The</w:t>
            </w:r>
            <w:r w:rsidR="001450B0" w:rsidRPr="00B73007">
              <w:t xml:space="preserve"> Description and Material Accounting Policies Relating to Capital and Other Expenditure Commitments section has been added.</w:t>
            </w:r>
          </w:p>
        </w:tc>
      </w:tr>
      <w:tr w:rsidR="003406F1" w:rsidRPr="00641E42" w14:paraId="67EF57EB" w14:textId="77777777" w:rsidTr="001450B0">
        <w:tc>
          <w:tcPr>
            <w:tcW w:w="3681" w:type="dxa"/>
          </w:tcPr>
          <w:p w14:paraId="4B7555BE" w14:textId="48A249CA" w:rsidR="003406F1" w:rsidRPr="00B73007" w:rsidRDefault="003406F1" w:rsidP="001450B0">
            <w:pPr>
              <w:spacing w:before="120" w:after="120"/>
            </w:pPr>
            <w:r w:rsidRPr="00B73007">
              <w:t>Territorial Statements and Notes</w:t>
            </w:r>
          </w:p>
        </w:tc>
        <w:tc>
          <w:tcPr>
            <w:tcW w:w="5953" w:type="dxa"/>
          </w:tcPr>
          <w:p w14:paraId="6F6745D8" w14:textId="1ECA9879" w:rsidR="003406F1" w:rsidRPr="00B73007" w:rsidRDefault="003406F1" w:rsidP="001450B0">
            <w:pPr>
              <w:spacing w:before="120" w:after="120"/>
            </w:pPr>
            <w:r w:rsidRPr="00B73007">
              <w:t>Similar changes listed above have been made to the Territorial Statements where applicable.</w:t>
            </w:r>
          </w:p>
        </w:tc>
      </w:tr>
      <w:tr w:rsidR="001450B0" w:rsidRPr="00641E42" w14:paraId="7EE325D9" w14:textId="77777777" w:rsidTr="002A4CC3">
        <w:tc>
          <w:tcPr>
            <w:tcW w:w="9634" w:type="dxa"/>
            <w:gridSpan w:val="2"/>
          </w:tcPr>
          <w:p w14:paraId="180B26FB" w14:textId="2515F321" w:rsidR="001450B0" w:rsidRDefault="001450B0" w:rsidP="001450B0">
            <w:pPr>
              <w:spacing w:before="120" w:after="120"/>
              <w:jc w:val="both"/>
            </w:pPr>
            <w:r>
              <w:t xml:space="preserve">Changes Effecting </w:t>
            </w:r>
            <w:r w:rsidRPr="00E757E2">
              <w:t>Various Notes:</w:t>
            </w:r>
            <w:r>
              <w:t xml:space="preserve"> </w:t>
            </w:r>
          </w:p>
        </w:tc>
      </w:tr>
      <w:tr w:rsidR="001450B0" w:rsidRPr="00641E42" w14:paraId="0EB130B2" w14:textId="77777777" w:rsidTr="000E26AB">
        <w:tc>
          <w:tcPr>
            <w:tcW w:w="3681" w:type="dxa"/>
          </w:tcPr>
          <w:p w14:paraId="3FB1BE20" w14:textId="3DF0BFB3" w:rsidR="001450B0" w:rsidRPr="00E757E2" w:rsidRDefault="001450B0" w:rsidP="001450B0">
            <w:pPr>
              <w:spacing w:before="120" w:after="120"/>
              <w:ind w:left="447" w:hanging="141"/>
            </w:pPr>
            <w:r>
              <w:t xml:space="preserve">- </w:t>
            </w:r>
            <w:r w:rsidRPr="00E757E2">
              <w:t xml:space="preserve"> changes to the COVID-19 </w:t>
            </w:r>
            <w:r>
              <w:t>d</w:t>
            </w:r>
            <w:r w:rsidRPr="00E757E2">
              <w:t>isclosures</w:t>
            </w:r>
          </w:p>
        </w:tc>
        <w:tc>
          <w:tcPr>
            <w:tcW w:w="5953" w:type="dxa"/>
          </w:tcPr>
          <w:p w14:paraId="20D7B7C1" w14:textId="448E175D" w:rsidR="001450B0" w:rsidRPr="00641E42" w:rsidRDefault="001450B0" w:rsidP="001450B0">
            <w:pPr>
              <w:spacing w:before="120" w:after="120"/>
              <w:jc w:val="both"/>
            </w:pPr>
            <w:r>
              <w:t xml:space="preserve">Updates to the COVID-19 wording included in notes to reflect the changing circumstances within the ACT Community. </w:t>
            </w:r>
          </w:p>
        </w:tc>
      </w:tr>
    </w:tbl>
    <w:p w14:paraId="45DF4112" w14:textId="2D5C38DD" w:rsidR="000144FF" w:rsidRPr="00CF7E1B" w:rsidRDefault="000144FF" w:rsidP="00FD4E9D">
      <w:pPr>
        <w:pStyle w:val="Heading2"/>
        <w:spacing w:before="360"/>
      </w:pPr>
      <w:bookmarkStart w:id="75" w:name="_Toc49155397"/>
      <w:bookmarkStart w:id="76" w:name="_Toc49223843"/>
      <w:bookmarkStart w:id="77" w:name="_Toc50440303"/>
      <w:bookmarkStart w:id="78" w:name="_Toc194918621"/>
      <w:bookmarkStart w:id="79" w:name="_Toc400627286"/>
      <w:bookmarkStart w:id="80" w:name="_Toc132743745"/>
      <w:r w:rsidRPr="00CF7E1B">
        <w:t>Application</w:t>
      </w:r>
      <w:bookmarkEnd w:id="75"/>
      <w:bookmarkEnd w:id="76"/>
      <w:bookmarkEnd w:id="77"/>
      <w:bookmarkEnd w:id="78"/>
      <w:bookmarkEnd w:id="79"/>
      <w:bookmarkEnd w:id="80"/>
    </w:p>
    <w:p w14:paraId="20D0257C" w14:textId="07B8B9C1" w:rsidR="000144FF" w:rsidRPr="00CF7E1B" w:rsidRDefault="000144FF" w:rsidP="00FD4E9D">
      <w:pPr>
        <w:pStyle w:val="BodyText"/>
        <w:spacing w:after="120"/>
        <w:rPr>
          <w:rFonts w:cs="Calibri"/>
        </w:rPr>
      </w:pPr>
      <w:r w:rsidRPr="00CF7E1B">
        <w:rPr>
          <w:rFonts w:cs="Calibri"/>
        </w:rPr>
        <w:t xml:space="preserve">Prescription of a common format for financial </w:t>
      </w:r>
      <w:r w:rsidR="006A138B" w:rsidRPr="00CF7E1B">
        <w:rPr>
          <w:rFonts w:cs="Calibri"/>
        </w:rPr>
        <w:t>statements</w:t>
      </w:r>
      <w:r w:rsidRPr="00CF7E1B">
        <w:rPr>
          <w:rFonts w:cs="Calibri"/>
        </w:rPr>
        <w:t xml:space="preserve"> assists with the comparability of information across </w:t>
      </w:r>
      <w:r w:rsidR="00806177" w:rsidRPr="00CF7E1B">
        <w:rPr>
          <w:rFonts w:cs="Calibri"/>
        </w:rPr>
        <w:t xml:space="preserve">ACT Government </w:t>
      </w:r>
      <w:r w:rsidR="00D65811" w:rsidRPr="00CF7E1B">
        <w:rPr>
          <w:rFonts w:cs="Calibri"/>
        </w:rPr>
        <w:t>a</w:t>
      </w:r>
      <w:r w:rsidR="00B04CAF" w:rsidRPr="00CF7E1B">
        <w:rPr>
          <w:rFonts w:cs="Calibri"/>
        </w:rPr>
        <w:t>genc</w:t>
      </w:r>
      <w:r w:rsidR="00A75097" w:rsidRPr="00CF7E1B">
        <w:rPr>
          <w:rFonts w:cs="Calibri"/>
        </w:rPr>
        <w:t>ie</w:t>
      </w:r>
      <w:r w:rsidRPr="00CF7E1B">
        <w:rPr>
          <w:rFonts w:cs="Calibri"/>
        </w:rPr>
        <w:t>s.</w:t>
      </w:r>
      <w:r w:rsidR="00FA7C77">
        <w:rPr>
          <w:rFonts w:cs="Calibri"/>
        </w:rPr>
        <w:t xml:space="preserve"> </w:t>
      </w:r>
      <w:r w:rsidRPr="00CF7E1B">
        <w:rPr>
          <w:rFonts w:cs="Calibri"/>
        </w:rPr>
        <w:t xml:space="preserve">The format and content prescribed in the Model </w:t>
      </w:r>
      <w:r w:rsidR="0030712E" w:rsidRPr="00CF7E1B">
        <w:rPr>
          <w:rFonts w:cs="Calibri"/>
        </w:rPr>
        <w:t>is</w:t>
      </w:r>
      <w:r w:rsidRPr="00CF7E1B">
        <w:rPr>
          <w:rFonts w:cs="Calibri"/>
        </w:rPr>
        <w:t xml:space="preserve"> to be followed</w:t>
      </w:r>
      <w:r w:rsidR="00F76946">
        <w:rPr>
          <w:rFonts w:cs="Calibri"/>
        </w:rPr>
        <w:t>,</w:t>
      </w:r>
      <w:r w:rsidR="002827AB">
        <w:rPr>
          <w:rFonts w:cs="Calibri"/>
        </w:rPr>
        <w:t xml:space="preserve"> </w:t>
      </w:r>
      <w:r w:rsidR="002827AB" w:rsidRPr="00E118B7">
        <w:rPr>
          <w:rFonts w:cs="Calibri"/>
          <w:color w:val="000000"/>
        </w:rPr>
        <w:t>taking into account relevance and materiality considerations</w:t>
      </w:r>
      <w:r w:rsidRPr="00E118B7">
        <w:rPr>
          <w:rFonts w:cs="Calibri"/>
          <w:color w:val="000000"/>
        </w:rPr>
        <w:t>.</w:t>
      </w:r>
      <w:r w:rsidR="00FA7C77">
        <w:rPr>
          <w:rFonts w:cs="Calibri"/>
        </w:rPr>
        <w:t xml:space="preserve"> </w:t>
      </w:r>
      <w:r w:rsidRPr="00CF7E1B">
        <w:rPr>
          <w:rFonts w:cs="Calibri"/>
        </w:rPr>
        <w:t>It is recognised that disclosure of information in notes will need to be adapted to the specific</w:t>
      </w:r>
      <w:r w:rsidRPr="00CF7E1B">
        <w:rPr>
          <w:rFonts w:cs="Calibri"/>
          <w:b/>
        </w:rPr>
        <w:t xml:space="preserve"> </w:t>
      </w:r>
      <w:r w:rsidRPr="00CF7E1B">
        <w:rPr>
          <w:rFonts w:cs="Calibri"/>
        </w:rPr>
        <w:t xml:space="preserve">needs of each </w:t>
      </w:r>
      <w:r w:rsidR="004D44BC" w:rsidRPr="00CF7E1B">
        <w:rPr>
          <w:rFonts w:cs="Calibri"/>
        </w:rPr>
        <w:t>agency</w:t>
      </w:r>
      <w:r w:rsidR="009E1026">
        <w:rPr>
          <w:rFonts w:cs="Calibri"/>
        </w:rPr>
        <w:t>.</w:t>
      </w:r>
      <w:r w:rsidRPr="00CF7E1B">
        <w:rPr>
          <w:rFonts w:cs="Calibri"/>
        </w:rPr>
        <w:t xml:space="preserve"> </w:t>
      </w:r>
      <w:r w:rsidR="009E1026">
        <w:rPr>
          <w:rFonts w:cs="Calibri"/>
        </w:rPr>
        <w:t>H</w:t>
      </w:r>
      <w:r w:rsidRPr="00CF7E1B">
        <w:rPr>
          <w:rFonts w:cs="Calibri"/>
        </w:rPr>
        <w:t>owever, the content and format requirements are to be complied with, where applicable.</w:t>
      </w:r>
    </w:p>
    <w:p w14:paraId="25E324B9" w14:textId="1BA271B9" w:rsidR="000144FF" w:rsidRPr="00CF7E1B" w:rsidRDefault="000144FF" w:rsidP="00FD4E9D">
      <w:pPr>
        <w:pStyle w:val="BodyText"/>
        <w:spacing w:after="120"/>
        <w:rPr>
          <w:rFonts w:cs="Calibri"/>
        </w:rPr>
      </w:pPr>
      <w:r w:rsidRPr="00CF7E1B">
        <w:rPr>
          <w:rFonts w:cs="Calibri"/>
        </w:rPr>
        <w:t xml:space="preserve">Section 27 </w:t>
      </w:r>
      <w:r w:rsidR="00763E15" w:rsidRPr="00CF7E1B">
        <w:rPr>
          <w:rFonts w:cs="Calibri"/>
        </w:rPr>
        <w:t xml:space="preserve">and section 63 </w:t>
      </w:r>
      <w:r w:rsidRPr="00CF7E1B">
        <w:rPr>
          <w:rFonts w:cs="Calibri"/>
        </w:rPr>
        <w:t xml:space="preserve">of the </w:t>
      </w:r>
      <w:r w:rsidRPr="00CF7E1B">
        <w:rPr>
          <w:rFonts w:cs="Calibri"/>
          <w:i/>
          <w:iCs/>
        </w:rPr>
        <w:t>Financial Management Act 1996</w:t>
      </w:r>
      <w:r w:rsidRPr="00CF7E1B">
        <w:rPr>
          <w:rFonts w:cs="Calibri"/>
        </w:rPr>
        <w:t xml:space="preserve"> (FMA) requires </w:t>
      </w:r>
      <w:r w:rsidR="004E43B2" w:rsidRPr="00CF7E1B">
        <w:rPr>
          <w:rFonts w:cs="Calibri"/>
        </w:rPr>
        <w:t>directorate</w:t>
      </w:r>
      <w:r w:rsidR="006B6C14" w:rsidRPr="00CF7E1B">
        <w:rPr>
          <w:rFonts w:cs="Calibri"/>
        </w:rPr>
        <w:t>s</w:t>
      </w:r>
      <w:r w:rsidR="00763E15" w:rsidRPr="00CF7E1B">
        <w:rPr>
          <w:rFonts w:cs="Calibri"/>
        </w:rPr>
        <w:t xml:space="preserve"> and </w:t>
      </w:r>
      <w:r w:rsidR="006F6754" w:rsidRPr="00CF7E1B">
        <w:rPr>
          <w:rFonts w:cs="Calibri"/>
        </w:rPr>
        <w:t>t</w:t>
      </w:r>
      <w:r w:rsidR="00763E15" w:rsidRPr="00CF7E1B">
        <w:rPr>
          <w:rFonts w:cs="Calibri"/>
        </w:rPr>
        <w:t xml:space="preserve">erritory </w:t>
      </w:r>
      <w:r w:rsidR="006F6754" w:rsidRPr="00CF7E1B">
        <w:rPr>
          <w:rFonts w:cs="Calibri"/>
        </w:rPr>
        <w:t>a</w:t>
      </w:r>
      <w:r w:rsidR="00763E15" w:rsidRPr="00CF7E1B">
        <w:rPr>
          <w:rFonts w:cs="Calibri"/>
        </w:rPr>
        <w:t xml:space="preserve">uthorities respectively </w:t>
      </w:r>
      <w:r w:rsidRPr="00CF7E1B">
        <w:rPr>
          <w:rFonts w:cs="Calibri"/>
        </w:rPr>
        <w:t xml:space="preserve">to prepare their annual financial statements in accordance with </w:t>
      </w:r>
      <w:r w:rsidR="006065E6" w:rsidRPr="00787FB2">
        <w:rPr>
          <w:rFonts w:cs="Calibri"/>
        </w:rPr>
        <w:t>Australian Accounting Standards</w:t>
      </w:r>
      <w:r w:rsidRPr="00787FB2">
        <w:rPr>
          <w:rFonts w:cs="Calibri"/>
        </w:rPr>
        <w:t>.</w:t>
      </w:r>
      <w:r w:rsidR="00FA7C77">
        <w:rPr>
          <w:rFonts w:cs="Calibri"/>
        </w:rPr>
        <w:t xml:space="preserve"> </w:t>
      </w:r>
      <w:r w:rsidRPr="00CF7E1B">
        <w:rPr>
          <w:rFonts w:cs="Calibri"/>
        </w:rPr>
        <w:t xml:space="preserve">The Model </w:t>
      </w:r>
      <w:r w:rsidR="0030712E" w:rsidRPr="00CF7E1B">
        <w:rPr>
          <w:rFonts w:cs="Calibri"/>
        </w:rPr>
        <w:t>is</w:t>
      </w:r>
      <w:r w:rsidRPr="00CF7E1B">
        <w:rPr>
          <w:rFonts w:cs="Calibri"/>
        </w:rPr>
        <w:t xml:space="preserve"> considered to meet the reporting requirements of the FMA.</w:t>
      </w:r>
    </w:p>
    <w:p w14:paraId="46E33E92" w14:textId="77777777" w:rsidR="000144FF" w:rsidRPr="00CF7E1B" w:rsidRDefault="00763E15" w:rsidP="00FD4E9D">
      <w:pPr>
        <w:pStyle w:val="BodyText"/>
        <w:spacing w:after="120"/>
        <w:rPr>
          <w:rFonts w:cs="Calibri"/>
        </w:rPr>
      </w:pPr>
      <w:r w:rsidRPr="00CF7E1B">
        <w:rPr>
          <w:rFonts w:cs="Calibri"/>
        </w:rPr>
        <w:t>Where</w:t>
      </w:r>
      <w:r w:rsidR="000144FF" w:rsidRPr="00CF7E1B">
        <w:rPr>
          <w:rFonts w:cs="Calibri"/>
        </w:rPr>
        <w:t xml:space="preserve"> the Model refers to an agency, this shall be taken to include </w:t>
      </w:r>
      <w:r w:rsidR="004E43B2" w:rsidRPr="00CF7E1B">
        <w:rPr>
          <w:rFonts w:cs="Calibri"/>
        </w:rPr>
        <w:t>directorate</w:t>
      </w:r>
      <w:r w:rsidR="006B6C14" w:rsidRPr="00CF7E1B">
        <w:rPr>
          <w:rFonts w:cs="Calibri"/>
        </w:rPr>
        <w:t>s</w:t>
      </w:r>
      <w:r w:rsidR="008D3A1B" w:rsidRPr="00CF7E1B">
        <w:rPr>
          <w:rFonts w:cs="Calibri"/>
        </w:rPr>
        <w:t xml:space="preserve"> and</w:t>
      </w:r>
      <w:r w:rsidRPr="00CF7E1B">
        <w:rPr>
          <w:rFonts w:cs="Calibri"/>
        </w:rPr>
        <w:t xml:space="preserve"> </w:t>
      </w:r>
      <w:r w:rsidR="006F6754" w:rsidRPr="00CF7E1B">
        <w:rPr>
          <w:rFonts w:cs="Calibri"/>
        </w:rPr>
        <w:t>territory authorities</w:t>
      </w:r>
      <w:r w:rsidR="000144FF" w:rsidRPr="00CF7E1B">
        <w:rPr>
          <w:rFonts w:cs="Calibri"/>
        </w:rPr>
        <w:t xml:space="preserve">. </w:t>
      </w:r>
    </w:p>
    <w:p w14:paraId="50402AE3" w14:textId="6AC71E5C" w:rsidR="0033279C" w:rsidRPr="00842442" w:rsidRDefault="000144FF" w:rsidP="00FD4E9D">
      <w:pPr>
        <w:pStyle w:val="BodyText"/>
        <w:spacing w:after="120"/>
        <w:rPr>
          <w:rFonts w:cs="Calibri"/>
        </w:rPr>
      </w:pPr>
      <w:r w:rsidRPr="00CF7E1B">
        <w:rPr>
          <w:rFonts w:cs="Calibri"/>
        </w:rPr>
        <w:t xml:space="preserve">ACT </w:t>
      </w:r>
      <w:r w:rsidR="00EB2C21" w:rsidRPr="00CF7E1B">
        <w:rPr>
          <w:rFonts w:cs="Calibri"/>
        </w:rPr>
        <w:t>Accounting</w:t>
      </w:r>
      <w:r w:rsidR="003820A0" w:rsidRPr="00CF7E1B">
        <w:rPr>
          <w:rFonts w:cs="Calibri"/>
        </w:rPr>
        <w:t xml:space="preserve"> P</w:t>
      </w:r>
      <w:r w:rsidRPr="00CF7E1B">
        <w:rPr>
          <w:rFonts w:cs="Calibri"/>
        </w:rPr>
        <w:t>olicies relating to recognition and measurement are incorporated in ACT</w:t>
      </w:r>
      <w:r w:rsidR="003820A0" w:rsidRPr="00CF7E1B">
        <w:rPr>
          <w:rFonts w:cs="Calibri"/>
        </w:rPr>
        <w:t> </w:t>
      </w:r>
      <w:r w:rsidRPr="00CF7E1B">
        <w:rPr>
          <w:rFonts w:cs="Calibri"/>
        </w:rPr>
        <w:t>Accounting Policy Papers</w:t>
      </w:r>
      <w:r w:rsidR="00787FB2">
        <w:rPr>
          <w:rFonts w:cs="Calibri"/>
        </w:rPr>
        <w:t>,</w:t>
      </w:r>
      <w:r w:rsidRPr="00CF7E1B">
        <w:rPr>
          <w:rFonts w:cs="Calibri"/>
        </w:rPr>
        <w:t xml:space="preserve"> which are available on the </w:t>
      </w:r>
      <w:r w:rsidR="00B27E42">
        <w:rPr>
          <w:rFonts w:cs="Calibri"/>
        </w:rPr>
        <w:t xml:space="preserve">ACT </w:t>
      </w:r>
      <w:r w:rsidRPr="00CF7E1B">
        <w:rPr>
          <w:rFonts w:cs="Calibri"/>
        </w:rPr>
        <w:t xml:space="preserve">Accounting website at </w:t>
      </w:r>
      <w:hyperlink r:id="rId17" w:history="1">
        <w:r w:rsidR="00C8690F" w:rsidRPr="00A6765B">
          <w:rPr>
            <w:rStyle w:val="Hyperlink"/>
            <w:rFonts w:cs="Calibri"/>
          </w:rPr>
          <w:t>www.act.gov.au/accounting</w:t>
        </w:r>
      </w:hyperlink>
      <w:r w:rsidRPr="00CF7E1B">
        <w:rPr>
          <w:rFonts w:cs="Calibri"/>
        </w:rPr>
        <w:t xml:space="preserve">. However, ACT Accounting Policies relating to disclosures are included in the </w:t>
      </w:r>
      <w:r w:rsidRPr="00842442">
        <w:rPr>
          <w:rFonts w:cs="Calibri"/>
        </w:rPr>
        <w:t>Model</w:t>
      </w:r>
      <w:r w:rsidR="00C42940" w:rsidRPr="00842442">
        <w:rPr>
          <w:rFonts w:cs="Calibri"/>
        </w:rPr>
        <w:t xml:space="preserve"> as well as any ACT Accounting Disclosure Papers issued by the Financial Reporting and Framework Branch</w:t>
      </w:r>
      <w:r w:rsidR="00B27E42" w:rsidRPr="00842442">
        <w:rPr>
          <w:rFonts w:cs="Calibri"/>
        </w:rPr>
        <w:t xml:space="preserve"> (which are also included on the ACT Accounting website).</w:t>
      </w:r>
      <w:r w:rsidR="00FA7C77">
        <w:rPr>
          <w:rFonts w:cs="Calibri"/>
        </w:rPr>
        <w:t xml:space="preserve"> </w:t>
      </w:r>
      <w:r w:rsidR="00DC05AF" w:rsidRPr="00842442">
        <w:rPr>
          <w:rFonts w:cs="Calibri"/>
        </w:rPr>
        <w:t xml:space="preserve"> </w:t>
      </w:r>
    </w:p>
    <w:p w14:paraId="2B1F37D9" w14:textId="77777777" w:rsidR="000144FF" w:rsidRPr="00CF7E1B" w:rsidRDefault="000144FF" w:rsidP="00FD4E9D">
      <w:pPr>
        <w:pStyle w:val="Heading2"/>
        <w:spacing w:before="360"/>
      </w:pPr>
      <w:bookmarkStart w:id="81" w:name="_Toc194918622"/>
      <w:bookmarkStart w:id="82" w:name="_Toc400627287"/>
      <w:bookmarkStart w:id="83" w:name="_Toc132743746"/>
      <w:r w:rsidRPr="007975D5">
        <w:t>Accounting</w:t>
      </w:r>
      <w:r w:rsidRPr="00CF7E1B">
        <w:t xml:space="preserve"> Standards and Guidance Releases</w:t>
      </w:r>
      <w:bookmarkEnd w:id="81"/>
      <w:bookmarkEnd w:id="82"/>
      <w:bookmarkEnd w:id="83"/>
      <w:r w:rsidRPr="00CF7E1B">
        <w:t xml:space="preserve"> </w:t>
      </w:r>
    </w:p>
    <w:p w14:paraId="67AE5878" w14:textId="264C6938" w:rsidR="000144FF" w:rsidRPr="00CF7E1B" w:rsidRDefault="000144FF" w:rsidP="00FD4E9D">
      <w:pPr>
        <w:pStyle w:val="BodyText"/>
        <w:spacing w:after="120"/>
        <w:rPr>
          <w:rFonts w:cs="Calibri"/>
        </w:rPr>
      </w:pPr>
      <w:r w:rsidRPr="00CF7E1B">
        <w:rPr>
          <w:rFonts w:cs="Calibri"/>
        </w:rPr>
        <w:t xml:space="preserve">The Model </w:t>
      </w:r>
      <w:r w:rsidR="00DC12BC" w:rsidRPr="00CF7E1B">
        <w:rPr>
          <w:rFonts w:cs="Calibri"/>
        </w:rPr>
        <w:t>incorporate</w:t>
      </w:r>
      <w:r w:rsidR="00566839" w:rsidRPr="00CF7E1B">
        <w:rPr>
          <w:rFonts w:cs="Calibri"/>
        </w:rPr>
        <w:t>s</w:t>
      </w:r>
      <w:r w:rsidRPr="00CF7E1B">
        <w:rPr>
          <w:rFonts w:cs="Calibri"/>
        </w:rPr>
        <w:t xml:space="preserve">, as appropriate, </w:t>
      </w:r>
      <w:r w:rsidR="003820A0" w:rsidRPr="00CF7E1B">
        <w:rPr>
          <w:rFonts w:cs="Calibri"/>
        </w:rPr>
        <w:t xml:space="preserve">Australian </w:t>
      </w:r>
      <w:r w:rsidR="00DC12BC" w:rsidRPr="00CF7E1B">
        <w:rPr>
          <w:rFonts w:cs="Calibri"/>
        </w:rPr>
        <w:t>Accounting</w:t>
      </w:r>
      <w:r w:rsidR="003820A0" w:rsidRPr="00CF7E1B">
        <w:rPr>
          <w:rFonts w:cs="Calibri"/>
        </w:rPr>
        <w:t xml:space="preserve"> Standards</w:t>
      </w:r>
      <w:r w:rsidRPr="00CF7E1B">
        <w:rPr>
          <w:rFonts w:cs="Calibri"/>
        </w:rPr>
        <w:t xml:space="preserve"> and </w:t>
      </w:r>
      <w:r w:rsidR="00EF6403" w:rsidRPr="00CF7E1B">
        <w:rPr>
          <w:rFonts w:cs="Calibri"/>
        </w:rPr>
        <w:t>Accounting Interpretations as prepared by the A</w:t>
      </w:r>
      <w:r w:rsidR="0030712E" w:rsidRPr="00CF7E1B">
        <w:rPr>
          <w:rFonts w:cs="Calibri"/>
        </w:rPr>
        <w:t xml:space="preserve">ustralian </w:t>
      </w:r>
      <w:r w:rsidR="00EF6403" w:rsidRPr="00CF7E1B">
        <w:rPr>
          <w:rFonts w:cs="Calibri"/>
        </w:rPr>
        <w:t>A</w:t>
      </w:r>
      <w:r w:rsidR="0030712E" w:rsidRPr="00CF7E1B">
        <w:rPr>
          <w:rFonts w:cs="Calibri"/>
        </w:rPr>
        <w:t xml:space="preserve">ccounting </w:t>
      </w:r>
      <w:r w:rsidR="00EF6403" w:rsidRPr="00CF7E1B">
        <w:rPr>
          <w:rFonts w:cs="Calibri"/>
        </w:rPr>
        <w:t>S</w:t>
      </w:r>
      <w:r w:rsidR="0030712E" w:rsidRPr="00CF7E1B">
        <w:rPr>
          <w:rFonts w:cs="Calibri"/>
        </w:rPr>
        <w:t xml:space="preserve">tandards </w:t>
      </w:r>
      <w:r w:rsidR="00EF6403" w:rsidRPr="00CF7E1B">
        <w:rPr>
          <w:rFonts w:cs="Calibri"/>
        </w:rPr>
        <w:t>B</w:t>
      </w:r>
      <w:r w:rsidR="0030712E" w:rsidRPr="00CF7E1B">
        <w:rPr>
          <w:rFonts w:cs="Calibri"/>
        </w:rPr>
        <w:t>oard (AASB)</w:t>
      </w:r>
      <w:r w:rsidRPr="00CF7E1B">
        <w:rPr>
          <w:rFonts w:cs="Calibri"/>
        </w:rPr>
        <w:t>.</w:t>
      </w:r>
      <w:r w:rsidR="00FA7C77">
        <w:rPr>
          <w:rFonts w:cs="Calibri"/>
        </w:rPr>
        <w:t xml:space="preserve"> </w:t>
      </w:r>
    </w:p>
    <w:p w14:paraId="54DA52AB" w14:textId="5D482722" w:rsidR="000144FF" w:rsidRDefault="000144FF" w:rsidP="00FD4E9D">
      <w:pPr>
        <w:pStyle w:val="BodyText"/>
        <w:spacing w:after="120"/>
        <w:rPr>
          <w:rFonts w:cs="Calibri"/>
        </w:rPr>
      </w:pPr>
      <w:r w:rsidRPr="00CF7E1B">
        <w:rPr>
          <w:rFonts w:cs="Calibri"/>
        </w:rPr>
        <w:t xml:space="preserve">If </w:t>
      </w:r>
      <w:r w:rsidR="005768FD" w:rsidRPr="00CF7E1B">
        <w:rPr>
          <w:rFonts w:cs="Calibri"/>
        </w:rPr>
        <w:t>an a</w:t>
      </w:r>
      <w:r w:rsidR="00B96D8D" w:rsidRPr="00CF7E1B">
        <w:rPr>
          <w:rFonts w:cs="Calibri"/>
        </w:rPr>
        <w:t>gency</w:t>
      </w:r>
      <w:r w:rsidRPr="00CF7E1B">
        <w:rPr>
          <w:rFonts w:cs="Calibri"/>
        </w:rPr>
        <w:t xml:space="preserve"> is of the view that the Model does not comply with the accounting standards, </w:t>
      </w:r>
      <w:r w:rsidR="000603A8" w:rsidRPr="00CF7E1B">
        <w:rPr>
          <w:rFonts w:cs="Calibri"/>
        </w:rPr>
        <w:t>accounting interpretation</w:t>
      </w:r>
      <w:r w:rsidRPr="00CF7E1B">
        <w:rPr>
          <w:rFonts w:cs="Calibri"/>
        </w:rPr>
        <w:t>s</w:t>
      </w:r>
      <w:r w:rsidR="000603A8" w:rsidRPr="00CF7E1B">
        <w:rPr>
          <w:rFonts w:cs="Calibri"/>
        </w:rPr>
        <w:t>,</w:t>
      </w:r>
      <w:r w:rsidRPr="00CF7E1B">
        <w:rPr>
          <w:rFonts w:cs="Calibri"/>
        </w:rPr>
        <w:t xml:space="preserve"> or the FMA, this should be brought to the </w:t>
      </w:r>
      <w:r w:rsidRPr="00842442">
        <w:rPr>
          <w:rFonts w:cs="Calibri"/>
        </w:rPr>
        <w:t xml:space="preserve">attention of </w:t>
      </w:r>
      <w:r w:rsidR="00E427E2" w:rsidRPr="00842442">
        <w:rPr>
          <w:rFonts w:cs="Calibri"/>
        </w:rPr>
        <w:t xml:space="preserve">the </w:t>
      </w:r>
      <w:r w:rsidR="00A7506A" w:rsidRPr="00842442">
        <w:rPr>
          <w:rFonts w:cs="Calibri"/>
        </w:rPr>
        <w:t>Financial Reporting and Framework</w:t>
      </w:r>
      <w:r w:rsidR="00E427E2" w:rsidRPr="00842442">
        <w:rPr>
          <w:rFonts w:cs="Calibri"/>
        </w:rPr>
        <w:t xml:space="preserve"> Branch</w:t>
      </w:r>
      <w:r w:rsidRPr="00842442">
        <w:rPr>
          <w:rFonts w:cs="Calibri"/>
        </w:rPr>
        <w:t xml:space="preserve"> </w:t>
      </w:r>
      <w:r w:rsidR="003B6F86" w:rsidRPr="00842442">
        <w:rPr>
          <w:rFonts w:cs="Calibri"/>
        </w:rPr>
        <w:t>in</w:t>
      </w:r>
      <w:r w:rsidRPr="00842442">
        <w:rPr>
          <w:rFonts w:cs="Calibri"/>
        </w:rPr>
        <w:t xml:space="preserve"> the </w:t>
      </w:r>
      <w:r w:rsidR="006C7EE3" w:rsidRPr="00842442">
        <w:rPr>
          <w:rFonts w:cs="Calibri"/>
        </w:rPr>
        <w:t>Chief Minister</w:t>
      </w:r>
      <w:r w:rsidR="00E427E2" w:rsidRPr="00842442">
        <w:rPr>
          <w:rFonts w:cs="Calibri"/>
        </w:rPr>
        <w:t>,</w:t>
      </w:r>
      <w:r w:rsidR="006C7EE3" w:rsidRPr="00842442">
        <w:rPr>
          <w:rFonts w:cs="Calibri"/>
        </w:rPr>
        <w:t xml:space="preserve"> </w:t>
      </w:r>
      <w:r w:rsidR="00573238" w:rsidRPr="00842442">
        <w:rPr>
          <w:rFonts w:cs="Calibri"/>
        </w:rPr>
        <w:t>Treasury</w:t>
      </w:r>
      <w:r w:rsidR="000E2E89" w:rsidRPr="00842442">
        <w:rPr>
          <w:rFonts w:cs="Calibri"/>
        </w:rPr>
        <w:t xml:space="preserve"> and Economic Development</w:t>
      </w:r>
      <w:r w:rsidR="00573238" w:rsidRPr="00842442">
        <w:rPr>
          <w:rFonts w:cs="Calibri"/>
        </w:rPr>
        <w:t xml:space="preserve"> Directorate</w:t>
      </w:r>
      <w:r w:rsidRPr="00842442">
        <w:rPr>
          <w:rFonts w:cs="Calibri"/>
        </w:rPr>
        <w:t xml:space="preserve"> immediately</w:t>
      </w:r>
      <w:r w:rsidRPr="00CF7E1B">
        <w:rPr>
          <w:rFonts w:cs="Calibri"/>
        </w:rPr>
        <w:t>.</w:t>
      </w:r>
    </w:p>
    <w:p w14:paraId="341220A3" w14:textId="77777777" w:rsidR="003406F1" w:rsidRDefault="003406F1" w:rsidP="00FD4E9D">
      <w:pPr>
        <w:pStyle w:val="BodyText"/>
        <w:spacing w:after="120"/>
        <w:rPr>
          <w:rFonts w:cs="Calibri"/>
        </w:rPr>
      </w:pPr>
    </w:p>
    <w:p w14:paraId="2D324238" w14:textId="77777777" w:rsidR="000144FF" w:rsidRPr="00CF7E1B" w:rsidRDefault="000144FF" w:rsidP="00FD4E9D">
      <w:pPr>
        <w:pStyle w:val="Heading2"/>
        <w:tabs>
          <w:tab w:val="num" w:pos="567"/>
        </w:tabs>
        <w:spacing w:before="360"/>
      </w:pPr>
      <w:bookmarkStart w:id="84" w:name="_Toc48468204"/>
      <w:bookmarkStart w:id="85" w:name="_Toc49155399"/>
      <w:bookmarkStart w:id="86" w:name="_Toc49223845"/>
      <w:bookmarkStart w:id="87" w:name="_Toc50440305"/>
      <w:bookmarkStart w:id="88" w:name="_Toc194918623"/>
      <w:bookmarkStart w:id="89" w:name="_Toc400627288"/>
      <w:bookmarkStart w:id="90" w:name="_Toc132743747"/>
      <w:r w:rsidRPr="007975D5">
        <w:t>Adapting</w:t>
      </w:r>
      <w:r w:rsidRPr="00CF7E1B">
        <w:t xml:space="preserve"> the Model </w:t>
      </w:r>
      <w:bookmarkEnd w:id="84"/>
      <w:bookmarkEnd w:id="85"/>
      <w:bookmarkEnd w:id="86"/>
      <w:bookmarkEnd w:id="87"/>
      <w:r w:rsidRPr="00CF7E1B">
        <w:t xml:space="preserve">to Individual </w:t>
      </w:r>
      <w:r w:rsidR="00B04CAF" w:rsidRPr="00CF7E1B">
        <w:t>Agency</w:t>
      </w:r>
      <w:r w:rsidRPr="00CF7E1B">
        <w:t xml:space="preserve"> Requirements</w:t>
      </w:r>
      <w:bookmarkEnd w:id="88"/>
      <w:bookmarkEnd w:id="89"/>
      <w:bookmarkEnd w:id="90"/>
      <w:r w:rsidRPr="00CF7E1B">
        <w:t xml:space="preserve"> </w:t>
      </w:r>
    </w:p>
    <w:p w14:paraId="7C231ABC" w14:textId="77777777" w:rsidR="00A24224" w:rsidRPr="002555E6" w:rsidRDefault="00A24224" w:rsidP="00CB31DE">
      <w:pPr>
        <w:pStyle w:val="Heading3"/>
        <w:ind w:left="851"/>
        <w:rPr>
          <w:rFonts w:cs="Calibri"/>
        </w:rPr>
      </w:pPr>
      <w:bookmarkStart w:id="91" w:name="_Toc132743748"/>
      <w:bookmarkStart w:id="92" w:name="_Toc400627289"/>
      <w:r w:rsidRPr="002555E6">
        <w:t>Decluttering Financial Statements</w:t>
      </w:r>
      <w:bookmarkEnd w:id="91"/>
    </w:p>
    <w:p w14:paraId="69C58792" w14:textId="6053EBAC" w:rsidR="00A24224" w:rsidRPr="00F6508E" w:rsidRDefault="00A24224" w:rsidP="00A7506A">
      <w:pPr>
        <w:jc w:val="both"/>
      </w:pPr>
      <w:r w:rsidRPr="002555E6">
        <w:t>Agencies need to continue their efforts in further streamlining and decluttering their financial statements by removing immaterial, duplicate or irrelevant disclosures that have built up over time.</w:t>
      </w:r>
      <w:r w:rsidR="00FA7C77">
        <w:t xml:space="preserve"> </w:t>
      </w:r>
      <w:r w:rsidRPr="002555E6">
        <w:t xml:space="preserve">Agencies need to apply judgement in determining which disclosures could be omitted. Agencies need to consider the </w:t>
      </w:r>
      <w:r w:rsidR="00A71C9A" w:rsidRPr="002555E6">
        <w:t>M</w:t>
      </w:r>
      <w:r w:rsidRPr="002555E6">
        <w:t xml:space="preserve">ateriality Guidance at Section 1.2 in making </w:t>
      </w:r>
      <w:r w:rsidRPr="00F6508E">
        <w:t>this assessment.</w:t>
      </w:r>
    </w:p>
    <w:p w14:paraId="395ACCB4" w14:textId="77777777" w:rsidR="000144FF" w:rsidRPr="00CF7E1B" w:rsidRDefault="000144FF" w:rsidP="00FD4E9D">
      <w:pPr>
        <w:pStyle w:val="Heading3"/>
        <w:spacing w:before="240"/>
        <w:ind w:left="851"/>
        <w:rPr>
          <w:rFonts w:cs="Calibri"/>
        </w:rPr>
      </w:pPr>
      <w:bookmarkStart w:id="93" w:name="_Toc132743749"/>
      <w:r w:rsidRPr="00CF7E1B">
        <w:rPr>
          <w:rFonts w:cs="Calibri"/>
        </w:rPr>
        <w:t>Presentation</w:t>
      </w:r>
      <w:bookmarkEnd w:id="92"/>
      <w:bookmarkEnd w:id="93"/>
    </w:p>
    <w:p w14:paraId="6B6BDFF1" w14:textId="098F61AB" w:rsidR="000144FF" w:rsidRPr="00CF7E1B" w:rsidRDefault="000144FF" w:rsidP="00FD4E9D">
      <w:pPr>
        <w:pStyle w:val="BodyText"/>
        <w:spacing w:after="120"/>
        <w:rPr>
          <w:rFonts w:cs="Calibri"/>
        </w:rPr>
      </w:pPr>
      <w:r w:rsidRPr="00CF7E1B">
        <w:rPr>
          <w:rFonts w:cs="Calibri"/>
        </w:rPr>
        <w:t>When a</w:t>
      </w:r>
      <w:r w:rsidR="00CE6352" w:rsidRPr="00CF7E1B">
        <w:rPr>
          <w:rFonts w:cs="Calibri"/>
        </w:rPr>
        <w:t>n</w:t>
      </w:r>
      <w:r w:rsidRPr="00CF7E1B">
        <w:rPr>
          <w:rFonts w:cs="Calibri"/>
        </w:rPr>
        <w:t xml:space="preserve"> </w:t>
      </w:r>
      <w:r w:rsidR="005768FD" w:rsidRPr="00CF7E1B">
        <w:rPr>
          <w:rFonts w:cs="Calibri"/>
        </w:rPr>
        <w:t>a</w:t>
      </w:r>
      <w:r w:rsidR="00B04CAF" w:rsidRPr="00CF7E1B">
        <w:rPr>
          <w:rFonts w:cs="Calibri"/>
        </w:rPr>
        <w:t>gency</w:t>
      </w:r>
      <w:r w:rsidRPr="00CF7E1B">
        <w:rPr>
          <w:rFonts w:cs="Calibri"/>
        </w:rPr>
        <w:t xml:space="preserve"> is formatting its financial </w:t>
      </w:r>
      <w:r w:rsidR="00DC12BC" w:rsidRPr="00CF7E1B">
        <w:rPr>
          <w:rFonts w:cs="Calibri"/>
        </w:rPr>
        <w:t>statements</w:t>
      </w:r>
      <w:r w:rsidRPr="00CF7E1B">
        <w:rPr>
          <w:rFonts w:cs="Calibri"/>
        </w:rPr>
        <w:t xml:space="preserve">, the ‘reference’ column on the left-hand side of the Model and the commentary notes are </w:t>
      </w:r>
      <w:r w:rsidRPr="00382EA3">
        <w:rPr>
          <w:rFonts w:cs="Calibri"/>
          <w:u w:val="single"/>
        </w:rPr>
        <w:t>not</w:t>
      </w:r>
      <w:r w:rsidRPr="00CF7E1B">
        <w:rPr>
          <w:rFonts w:cs="Calibri"/>
        </w:rPr>
        <w:t xml:space="preserve"> to be included.</w:t>
      </w:r>
      <w:r w:rsidR="00FA7C77">
        <w:rPr>
          <w:rFonts w:cs="Calibri"/>
        </w:rPr>
        <w:t xml:space="preserve"> </w:t>
      </w:r>
      <w:r w:rsidR="009578C1">
        <w:rPr>
          <w:rFonts w:cs="Calibri"/>
        </w:rPr>
        <w:t xml:space="preserve">The </w:t>
      </w:r>
      <w:r w:rsidR="009578C1" w:rsidRPr="00CF7E1B">
        <w:rPr>
          <w:rFonts w:cs="Calibri"/>
        </w:rPr>
        <w:t>commentary notes ar</w:t>
      </w:r>
      <w:r w:rsidR="009578C1">
        <w:rPr>
          <w:rFonts w:cs="Calibri"/>
        </w:rPr>
        <w:t xml:space="preserve">e also </w:t>
      </w:r>
      <w:r w:rsidR="009578C1" w:rsidRPr="00382EA3">
        <w:rPr>
          <w:rFonts w:cs="Calibri"/>
          <w:u w:val="single"/>
        </w:rPr>
        <w:t>not</w:t>
      </w:r>
      <w:r w:rsidR="009578C1" w:rsidRPr="00CF7E1B">
        <w:rPr>
          <w:rFonts w:cs="Calibri"/>
        </w:rPr>
        <w:t xml:space="preserve"> to be included</w:t>
      </w:r>
      <w:r w:rsidR="009578C1">
        <w:rPr>
          <w:rFonts w:cs="Calibri"/>
        </w:rPr>
        <w:t xml:space="preserve"> in an agency’s financial statements.</w:t>
      </w:r>
    </w:p>
    <w:p w14:paraId="211A8FA8" w14:textId="45811137" w:rsidR="000144FF" w:rsidRPr="00CF7E1B" w:rsidRDefault="009578C1" w:rsidP="00FD4E9D">
      <w:pPr>
        <w:pStyle w:val="BodyText"/>
        <w:spacing w:after="120"/>
        <w:rPr>
          <w:rFonts w:cs="Calibri"/>
        </w:rPr>
      </w:pPr>
      <w:r>
        <w:rPr>
          <w:rFonts w:cs="Calibri"/>
        </w:rPr>
        <w:t xml:space="preserve"> </w:t>
      </w:r>
      <w:r w:rsidR="000144FF" w:rsidRPr="00CF7E1B">
        <w:rPr>
          <w:rFonts w:cs="Calibri"/>
        </w:rPr>
        <w:t xml:space="preserve">Where an accounting standard requires a line item to be included in the financial </w:t>
      </w:r>
      <w:r w:rsidR="00DC12BC" w:rsidRPr="00CF7E1B">
        <w:rPr>
          <w:rFonts w:cs="Calibri"/>
        </w:rPr>
        <w:t>statements</w:t>
      </w:r>
      <w:r w:rsidR="000144FF" w:rsidRPr="00CF7E1B">
        <w:rPr>
          <w:rFonts w:cs="Calibri"/>
        </w:rPr>
        <w:t xml:space="preserve">, but the </w:t>
      </w:r>
      <w:r w:rsidR="005768FD" w:rsidRPr="00CF7E1B">
        <w:rPr>
          <w:rFonts w:cs="Calibri"/>
        </w:rPr>
        <w:t>a</w:t>
      </w:r>
      <w:r w:rsidR="00B04CAF" w:rsidRPr="00CF7E1B">
        <w:rPr>
          <w:rFonts w:cs="Calibri"/>
        </w:rPr>
        <w:t>gency</w:t>
      </w:r>
      <w:r w:rsidR="000144FF" w:rsidRPr="00CF7E1B">
        <w:rPr>
          <w:rFonts w:cs="Calibri"/>
        </w:rPr>
        <w:t xml:space="preserve"> does not have </w:t>
      </w:r>
      <w:r w:rsidR="00310ED3">
        <w:rPr>
          <w:rFonts w:cs="Calibri"/>
        </w:rPr>
        <w:t xml:space="preserve">any </w:t>
      </w:r>
      <w:r w:rsidR="000144FF" w:rsidRPr="00CF7E1B">
        <w:rPr>
          <w:rFonts w:cs="Calibri"/>
        </w:rPr>
        <w:t xml:space="preserve">current year, prior year or original budget figures against this line item, the line item need not </w:t>
      </w:r>
      <w:r w:rsidR="000144FF" w:rsidRPr="00734C56">
        <w:rPr>
          <w:rFonts w:cs="Calibri"/>
        </w:rPr>
        <w:t xml:space="preserve">be disclosed in the financial </w:t>
      </w:r>
      <w:r w:rsidR="00DC12BC" w:rsidRPr="00734C56">
        <w:rPr>
          <w:rFonts w:cs="Calibri"/>
        </w:rPr>
        <w:t>statements</w:t>
      </w:r>
      <w:r w:rsidR="000144FF" w:rsidRPr="00734C56">
        <w:rPr>
          <w:rFonts w:cs="Calibri"/>
        </w:rPr>
        <w:t>. The exceptions to this are the net cash inflows / (outflows) sub</w:t>
      </w:r>
      <w:r w:rsidR="0033548A">
        <w:rPr>
          <w:rFonts w:cs="Calibri"/>
        </w:rPr>
        <w:noBreakHyphen/>
      </w:r>
      <w:r w:rsidR="000144FF" w:rsidRPr="00734C56">
        <w:rPr>
          <w:rFonts w:cs="Calibri"/>
        </w:rPr>
        <w:t xml:space="preserve">totals in the </w:t>
      </w:r>
      <w:r w:rsidR="00A7506A" w:rsidRPr="00734C56">
        <w:rPr>
          <w:rFonts w:cs="Calibri"/>
        </w:rPr>
        <w:t>Statement of Cash Flows</w:t>
      </w:r>
      <w:r w:rsidR="00F155ED" w:rsidRPr="00734C56">
        <w:rPr>
          <w:rFonts w:cs="Calibri"/>
        </w:rPr>
        <w:t xml:space="preserve"> and where indicated </w:t>
      </w:r>
      <w:r w:rsidR="00F155ED" w:rsidRPr="00CF7E1B">
        <w:rPr>
          <w:rFonts w:cs="Calibri"/>
        </w:rPr>
        <w:t xml:space="preserve">in the commentary to a </w:t>
      </w:r>
      <w:r w:rsidR="00763E15" w:rsidRPr="00CF7E1B">
        <w:rPr>
          <w:rFonts w:cs="Calibri"/>
        </w:rPr>
        <w:t xml:space="preserve">statement or </w:t>
      </w:r>
      <w:r w:rsidR="00F155ED" w:rsidRPr="00CF7E1B">
        <w:rPr>
          <w:rFonts w:cs="Calibri"/>
        </w:rPr>
        <w:t>note</w:t>
      </w:r>
      <w:r w:rsidR="000144FF" w:rsidRPr="00CF7E1B">
        <w:rPr>
          <w:rFonts w:cs="Calibri"/>
        </w:rPr>
        <w:t xml:space="preserve">. For </w:t>
      </w:r>
      <w:r w:rsidR="00787FB2" w:rsidRPr="00CF7E1B">
        <w:rPr>
          <w:rFonts w:cs="Calibri"/>
        </w:rPr>
        <w:t>completeness,</w:t>
      </w:r>
      <w:r w:rsidR="000144FF" w:rsidRPr="00CF7E1B">
        <w:rPr>
          <w:rFonts w:cs="Calibri"/>
        </w:rPr>
        <w:t xml:space="preserve"> all 3 subtotals (for operating, investing and financing activities) should be displayed.</w:t>
      </w:r>
    </w:p>
    <w:p w14:paraId="61F48F5F" w14:textId="224EA85F" w:rsidR="00CE21AE" w:rsidRDefault="000144FF" w:rsidP="00FD4E9D">
      <w:pPr>
        <w:pStyle w:val="BodyText"/>
        <w:spacing w:after="120"/>
        <w:rPr>
          <w:rFonts w:cs="Calibri"/>
          <w:iCs/>
        </w:rPr>
      </w:pPr>
      <w:r w:rsidRPr="00CF7E1B">
        <w:rPr>
          <w:rFonts w:cs="Calibri"/>
        </w:rPr>
        <w:t xml:space="preserve">If an item is not material, it need not be shown as a separate line item </w:t>
      </w:r>
      <w:r w:rsidR="00811466" w:rsidRPr="00CF7E1B">
        <w:rPr>
          <w:rFonts w:cs="Calibri"/>
        </w:rPr>
        <w:t xml:space="preserve">in </w:t>
      </w:r>
      <w:r w:rsidRPr="00CF7E1B">
        <w:rPr>
          <w:rFonts w:cs="Calibri"/>
        </w:rPr>
        <w:t>the statements</w:t>
      </w:r>
      <w:r w:rsidRPr="00622A71">
        <w:rPr>
          <w:rFonts w:cs="Calibri"/>
          <w:iCs/>
        </w:rPr>
        <w:t>.</w:t>
      </w:r>
    </w:p>
    <w:p w14:paraId="34789DBD" w14:textId="77777777" w:rsidR="000144FF" w:rsidRDefault="000144FF" w:rsidP="00FD4E9D">
      <w:pPr>
        <w:pStyle w:val="Heading3"/>
        <w:spacing w:before="240"/>
        <w:ind w:left="851"/>
        <w:rPr>
          <w:rFonts w:cs="Calibri"/>
        </w:rPr>
      </w:pPr>
      <w:bookmarkStart w:id="94" w:name="_Toc400627292"/>
      <w:bookmarkStart w:id="95" w:name="_Toc132743750"/>
      <w:r w:rsidRPr="00CF7E1B">
        <w:rPr>
          <w:rFonts w:cs="Calibri"/>
        </w:rPr>
        <w:t>Note Disclosures</w:t>
      </w:r>
      <w:bookmarkEnd w:id="94"/>
      <w:bookmarkEnd w:id="95"/>
    </w:p>
    <w:p w14:paraId="12483CB2" w14:textId="3F10409B" w:rsidR="00754CE3" w:rsidRPr="00F6508E" w:rsidRDefault="00754CE3" w:rsidP="00FD4E9D">
      <w:pPr>
        <w:spacing w:after="120"/>
        <w:jc w:val="both"/>
      </w:pPr>
      <w:r w:rsidRPr="00F6508E">
        <w:t xml:space="preserve">The primary purpose of the </w:t>
      </w:r>
      <w:r w:rsidR="00382EA3" w:rsidRPr="00F6508E">
        <w:t xml:space="preserve">Model </w:t>
      </w:r>
      <w:r w:rsidRPr="00F6508E">
        <w:t>is to illustrate how the most commonly applicable disclosure requirements for ACT Government agencies can be met.</w:t>
      </w:r>
      <w:r w:rsidR="00FA7C77">
        <w:t xml:space="preserve"> </w:t>
      </w:r>
      <w:r w:rsidRPr="00F6508E">
        <w:t>Agencies should consider their own specific circumstances when determining which disclosures to include.</w:t>
      </w:r>
    </w:p>
    <w:p w14:paraId="44EDC3E1" w14:textId="77777777" w:rsidR="000144FF" w:rsidRPr="0009580B" w:rsidRDefault="000144FF" w:rsidP="00FD4E9D">
      <w:pPr>
        <w:pStyle w:val="BodyText"/>
        <w:spacing w:after="120"/>
        <w:rPr>
          <w:rFonts w:cs="Calibri"/>
        </w:rPr>
      </w:pPr>
      <w:r w:rsidRPr="00F6508E">
        <w:rPr>
          <w:rFonts w:cs="Calibri"/>
        </w:rPr>
        <w:t xml:space="preserve">Not all note disclosures in the Model will apply to every </w:t>
      </w:r>
      <w:r w:rsidR="005768FD" w:rsidRPr="00F6508E">
        <w:rPr>
          <w:rFonts w:cs="Calibri"/>
        </w:rPr>
        <w:t>a</w:t>
      </w:r>
      <w:r w:rsidR="00CE6352" w:rsidRPr="00F6508E">
        <w:rPr>
          <w:rFonts w:cs="Calibri"/>
        </w:rPr>
        <w:t>gency</w:t>
      </w:r>
      <w:r w:rsidRPr="00F6508E">
        <w:rPr>
          <w:rFonts w:cs="Calibri"/>
        </w:rPr>
        <w:t xml:space="preserve">, so </w:t>
      </w:r>
      <w:r w:rsidR="005768FD" w:rsidRPr="00F6508E">
        <w:rPr>
          <w:rFonts w:cs="Calibri"/>
        </w:rPr>
        <w:t>a</w:t>
      </w:r>
      <w:r w:rsidR="00CE6352" w:rsidRPr="00F6508E">
        <w:rPr>
          <w:rFonts w:cs="Calibri"/>
        </w:rPr>
        <w:t>gencie</w:t>
      </w:r>
      <w:r w:rsidRPr="00F6508E">
        <w:rPr>
          <w:rFonts w:cs="Calibri"/>
        </w:rPr>
        <w:t xml:space="preserve">s must decide which notes are necessary. </w:t>
      </w:r>
      <w:r w:rsidR="005E37B8" w:rsidRPr="00F6508E">
        <w:rPr>
          <w:rFonts w:cs="Calibri"/>
        </w:rPr>
        <w:t>W</w:t>
      </w:r>
      <w:r w:rsidRPr="00F6508E">
        <w:rPr>
          <w:rFonts w:cs="Calibri"/>
        </w:rPr>
        <w:t>hil</w:t>
      </w:r>
      <w:r w:rsidR="005E37B8" w:rsidRPr="00F6508E">
        <w:rPr>
          <w:rFonts w:cs="Calibri"/>
        </w:rPr>
        <w:t>e</w:t>
      </w:r>
      <w:r w:rsidRPr="00F6508E">
        <w:rPr>
          <w:rFonts w:cs="Calibri"/>
        </w:rPr>
        <w:t xml:space="preserve"> the Model </w:t>
      </w:r>
      <w:r w:rsidR="0030712E" w:rsidRPr="00F6508E">
        <w:rPr>
          <w:rFonts w:cs="Calibri"/>
        </w:rPr>
        <w:t>has</w:t>
      </w:r>
      <w:r w:rsidRPr="00F6508E">
        <w:rPr>
          <w:rFonts w:cs="Calibri"/>
        </w:rPr>
        <w:t xml:space="preserve"> been developed to be as inclusive as possible, not all situations that may be encountered by </w:t>
      </w:r>
      <w:r w:rsidR="00D65811" w:rsidRPr="00F6508E">
        <w:rPr>
          <w:rFonts w:cs="Calibri"/>
        </w:rPr>
        <w:t>a</w:t>
      </w:r>
      <w:r w:rsidR="00CE6352" w:rsidRPr="00F6508E">
        <w:rPr>
          <w:rFonts w:cs="Calibri"/>
        </w:rPr>
        <w:t xml:space="preserve">gencies </w:t>
      </w:r>
      <w:r w:rsidRPr="00F6508E">
        <w:rPr>
          <w:rFonts w:cs="Calibri"/>
        </w:rPr>
        <w:t xml:space="preserve">have been addressed. Therefore, </w:t>
      </w:r>
      <w:r w:rsidR="00D65811" w:rsidRPr="00F6508E">
        <w:rPr>
          <w:rFonts w:cs="Calibri"/>
        </w:rPr>
        <w:t>a</w:t>
      </w:r>
      <w:r w:rsidR="00CE6352" w:rsidRPr="00F6508E">
        <w:rPr>
          <w:rFonts w:cs="Calibri"/>
        </w:rPr>
        <w:t xml:space="preserve">gencies </w:t>
      </w:r>
      <w:r w:rsidRPr="00F6508E">
        <w:rPr>
          <w:rFonts w:cs="Calibri"/>
        </w:rPr>
        <w:t xml:space="preserve">must ensure that their financial </w:t>
      </w:r>
      <w:r w:rsidR="002970C1" w:rsidRPr="00F6508E">
        <w:rPr>
          <w:rFonts w:cs="Calibri"/>
        </w:rPr>
        <w:t>statements</w:t>
      </w:r>
      <w:r w:rsidRPr="00F6508E">
        <w:rPr>
          <w:rFonts w:cs="Calibri"/>
        </w:rPr>
        <w:t xml:space="preserve"> meet the requirements outlined in the </w:t>
      </w:r>
      <w:r w:rsidR="00874CBE" w:rsidRPr="00F6508E">
        <w:rPr>
          <w:rFonts w:cs="Calibri"/>
        </w:rPr>
        <w:t xml:space="preserve">relevant </w:t>
      </w:r>
      <w:r w:rsidRPr="00F6508E">
        <w:rPr>
          <w:rFonts w:cs="Calibri"/>
        </w:rPr>
        <w:t>accounting standards</w:t>
      </w:r>
      <w:r w:rsidR="00754CE3" w:rsidRPr="00F6508E">
        <w:rPr>
          <w:rFonts w:cs="Calibri"/>
        </w:rPr>
        <w:t xml:space="preserve"> bearing in mind </w:t>
      </w:r>
      <w:r w:rsidR="00D40863" w:rsidRPr="00F6508E">
        <w:rPr>
          <w:rFonts w:cs="Calibri"/>
        </w:rPr>
        <w:t xml:space="preserve">the </w:t>
      </w:r>
      <w:r w:rsidR="00C202DD" w:rsidRPr="00F6508E">
        <w:rPr>
          <w:rFonts w:cs="Calibri"/>
        </w:rPr>
        <w:t xml:space="preserve">materiality </w:t>
      </w:r>
      <w:r w:rsidR="00D40863" w:rsidRPr="00F6508E">
        <w:rPr>
          <w:rFonts w:cs="Calibri"/>
        </w:rPr>
        <w:t>guidance in Section 1.2</w:t>
      </w:r>
      <w:r w:rsidRPr="00F6508E">
        <w:rPr>
          <w:rFonts w:cs="Calibri"/>
        </w:rPr>
        <w:t>.</w:t>
      </w:r>
    </w:p>
    <w:p w14:paraId="07221F7F" w14:textId="77777777" w:rsidR="000144FF" w:rsidRPr="00F6508E" w:rsidRDefault="000144FF" w:rsidP="00FD4E9D">
      <w:pPr>
        <w:pStyle w:val="BodyText"/>
        <w:spacing w:after="120"/>
        <w:rPr>
          <w:rFonts w:cs="Calibri"/>
        </w:rPr>
      </w:pPr>
      <w:r w:rsidRPr="00F6508E">
        <w:rPr>
          <w:rFonts w:cs="Calibri"/>
        </w:rPr>
        <w:t xml:space="preserve">The notes contained in the Model are considered to be ‘best practice’. </w:t>
      </w:r>
      <w:r w:rsidR="00CE6352" w:rsidRPr="00F6508E">
        <w:rPr>
          <w:rFonts w:cs="Calibri"/>
        </w:rPr>
        <w:t xml:space="preserve">Agencies </w:t>
      </w:r>
      <w:r w:rsidRPr="00F6508E">
        <w:rPr>
          <w:rFonts w:cs="Calibri"/>
        </w:rPr>
        <w:t xml:space="preserve">do have discretion to alter the Model notes to meet specific needs, so long as the applicable content requirements are still complied with. This is particularly the case with definitions and line item descriptions. </w:t>
      </w:r>
    </w:p>
    <w:p w14:paraId="16ECA0C7" w14:textId="538E1801" w:rsidR="000144FF" w:rsidRPr="00F6508E" w:rsidRDefault="000144FF" w:rsidP="00FD4E9D">
      <w:pPr>
        <w:pStyle w:val="BodyText"/>
        <w:spacing w:after="120"/>
        <w:rPr>
          <w:rFonts w:cs="Calibri"/>
        </w:rPr>
      </w:pPr>
      <w:r w:rsidRPr="00F6508E">
        <w:rPr>
          <w:rFonts w:cs="Calibri"/>
        </w:rPr>
        <w:t>The breakdown of statement line items contained in various notes (e.g.</w:t>
      </w:r>
      <w:r w:rsidRPr="00F6508E">
        <w:rPr>
          <w:rFonts w:cs="Calibri"/>
          <w:b/>
          <w:i/>
        </w:rPr>
        <w:t xml:space="preserve"> </w:t>
      </w:r>
      <w:r w:rsidRPr="00F6508E">
        <w:rPr>
          <w:rFonts w:cs="Calibri"/>
        </w:rPr>
        <w:t xml:space="preserve">Note </w:t>
      </w:r>
      <w:r w:rsidR="000E2959" w:rsidRPr="00F6508E">
        <w:rPr>
          <w:rFonts w:cs="Calibri"/>
        </w:rPr>
        <w:t>11</w:t>
      </w:r>
      <w:r w:rsidRPr="00F6508E">
        <w:rPr>
          <w:rFonts w:cs="Calibri"/>
        </w:rPr>
        <w:t xml:space="preserve"> </w:t>
      </w:r>
      <w:r w:rsidRPr="00F6508E">
        <w:rPr>
          <w:rFonts w:cs="Calibri"/>
          <w:i/>
          <w:iCs/>
        </w:rPr>
        <w:t>Supplies and Services</w:t>
      </w:r>
      <w:r w:rsidRPr="00F6508E">
        <w:rPr>
          <w:rFonts w:cs="Calibri"/>
        </w:rPr>
        <w:t xml:space="preserve"> and Note </w:t>
      </w:r>
      <w:r w:rsidR="00B24F3C" w:rsidRPr="00F6508E">
        <w:rPr>
          <w:rFonts w:cs="Calibri"/>
        </w:rPr>
        <w:t xml:space="preserve">14 </w:t>
      </w:r>
      <w:r w:rsidR="008073D6" w:rsidRPr="00F6508E">
        <w:rPr>
          <w:rFonts w:cs="Calibri"/>
          <w:i/>
          <w:iCs/>
        </w:rPr>
        <w:t>Other Expenses</w:t>
      </w:r>
      <w:r w:rsidRPr="00F6508E">
        <w:rPr>
          <w:rFonts w:cs="Calibri"/>
          <w:bCs/>
          <w:iCs/>
        </w:rPr>
        <w:t>)</w:t>
      </w:r>
      <w:r w:rsidRPr="00F6508E">
        <w:rPr>
          <w:rFonts w:cs="Calibri"/>
        </w:rPr>
        <w:t xml:space="preserve"> need to be tailored to the requirements </w:t>
      </w:r>
      <w:r w:rsidR="00F155ED" w:rsidRPr="00F6508E">
        <w:rPr>
          <w:rFonts w:cs="Calibri"/>
        </w:rPr>
        <w:t>of</w:t>
      </w:r>
      <w:r w:rsidRPr="00F6508E">
        <w:rPr>
          <w:rFonts w:cs="Calibri"/>
        </w:rPr>
        <w:t xml:space="preserve"> each </w:t>
      </w:r>
      <w:r w:rsidR="005768FD" w:rsidRPr="00F6508E">
        <w:rPr>
          <w:rFonts w:cs="Calibri"/>
        </w:rPr>
        <w:t>a</w:t>
      </w:r>
      <w:r w:rsidR="00CE6352" w:rsidRPr="00F6508E">
        <w:rPr>
          <w:rFonts w:cs="Calibri"/>
        </w:rPr>
        <w:t>gency</w:t>
      </w:r>
      <w:r w:rsidRPr="00F6508E">
        <w:rPr>
          <w:rFonts w:cs="Calibri"/>
        </w:rPr>
        <w:t>. All material amounts are to be individually disclosed in these notes.</w:t>
      </w:r>
    </w:p>
    <w:p w14:paraId="5F54D96C" w14:textId="052CFFD4" w:rsidR="00937027" w:rsidRDefault="000144FF" w:rsidP="00FD4E9D">
      <w:pPr>
        <w:pStyle w:val="BodyText"/>
        <w:spacing w:after="120"/>
        <w:rPr>
          <w:rFonts w:cs="Calibri"/>
        </w:rPr>
      </w:pPr>
      <w:r w:rsidRPr="00CF7E1B">
        <w:rPr>
          <w:rFonts w:cs="Calibri"/>
        </w:rPr>
        <w:t xml:space="preserve">Throughout the notes in the Model, brackets have been used to prompt preparers to adopt </w:t>
      </w:r>
      <w:r w:rsidR="005768FD" w:rsidRPr="00CF7E1B">
        <w:rPr>
          <w:rFonts w:cs="Calibri"/>
        </w:rPr>
        <w:t>a</w:t>
      </w:r>
      <w:r w:rsidR="00CE6352" w:rsidRPr="00CF7E1B">
        <w:rPr>
          <w:rFonts w:cs="Calibri"/>
        </w:rPr>
        <w:t>gency</w:t>
      </w:r>
      <w:r w:rsidRPr="00CF7E1B">
        <w:rPr>
          <w:rFonts w:cs="Calibri"/>
        </w:rPr>
        <w:t xml:space="preserve"> specific policy. The following brackets </w:t>
      </w:r>
      <w:r w:rsidRPr="00AA7D16">
        <w:rPr>
          <w:rFonts w:cs="Calibri"/>
          <w:color w:val="C45911" w:themeColor="accent2" w:themeShade="BF"/>
        </w:rPr>
        <w:t xml:space="preserve">&lt; &gt; </w:t>
      </w:r>
      <w:r w:rsidRPr="00CF7E1B">
        <w:rPr>
          <w:rFonts w:cs="Calibri"/>
        </w:rPr>
        <w:t xml:space="preserve">have been used to highlight that the numbers in them are not specific accounting policy requirements and hence each </w:t>
      </w:r>
      <w:r w:rsidR="005768FD" w:rsidRPr="00CF7E1B">
        <w:rPr>
          <w:rFonts w:cs="Calibri"/>
        </w:rPr>
        <w:t>a</w:t>
      </w:r>
      <w:r w:rsidR="00CE6352" w:rsidRPr="00CF7E1B">
        <w:rPr>
          <w:rFonts w:cs="Calibri"/>
        </w:rPr>
        <w:t>gency</w:t>
      </w:r>
      <w:r w:rsidRPr="00CF7E1B">
        <w:rPr>
          <w:rFonts w:cs="Calibri"/>
        </w:rPr>
        <w:t xml:space="preserve"> needs to insert its applicable accounting policy. </w:t>
      </w:r>
      <w:r w:rsidR="00CE6352" w:rsidRPr="00CF7E1B">
        <w:rPr>
          <w:rFonts w:cs="Calibri"/>
        </w:rPr>
        <w:t xml:space="preserve">Agencies </w:t>
      </w:r>
      <w:r w:rsidRPr="00CF7E1B">
        <w:rPr>
          <w:rFonts w:cs="Calibri"/>
        </w:rPr>
        <w:t>may adopt the number used in the brackets where it is appropriate to do so.</w:t>
      </w:r>
      <w:r w:rsidR="00FA7C77">
        <w:rPr>
          <w:rFonts w:cs="Calibri"/>
        </w:rPr>
        <w:t xml:space="preserve"> </w:t>
      </w:r>
      <w:r w:rsidRPr="00CF7E1B">
        <w:rPr>
          <w:rFonts w:cs="Calibri"/>
        </w:rPr>
        <w:t xml:space="preserve">An example of this is </w:t>
      </w:r>
      <w:r w:rsidR="00937027" w:rsidRPr="002555E6">
        <w:rPr>
          <w:rFonts w:cs="Calibri"/>
          <w:szCs w:val="20"/>
        </w:rPr>
        <w:t xml:space="preserve">property, plant and equipment with a minimum value of </w:t>
      </w:r>
      <w:r w:rsidR="00937027" w:rsidRPr="00AA7D16">
        <w:rPr>
          <w:rFonts w:cs="Calibri"/>
          <w:color w:val="C45911" w:themeColor="accent2" w:themeShade="BF"/>
          <w:szCs w:val="20"/>
        </w:rPr>
        <w:t>&lt;$5,000&gt;</w:t>
      </w:r>
      <w:r w:rsidR="00937027" w:rsidRPr="00AA7D16">
        <w:rPr>
          <w:rFonts w:cs="Calibri"/>
          <w:szCs w:val="20"/>
        </w:rPr>
        <w:t xml:space="preserve"> </w:t>
      </w:r>
      <w:r w:rsidR="00937027" w:rsidRPr="002555E6">
        <w:rPr>
          <w:rFonts w:cs="Calibri"/>
          <w:szCs w:val="20"/>
        </w:rPr>
        <w:t>being capitalised</w:t>
      </w:r>
      <w:r w:rsidR="00937027" w:rsidRPr="00A57A1F">
        <w:rPr>
          <w:rFonts w:cs="Calibri"/>
          <w:color w:val="000000"/>
        </w:rPr>
        <w:t xml:space="preserve">. Agencies are required to substitute the </w:t>
      </w:r>
      <w:r w:rsidR="00222AEE" w:rsidRPr="002555E6">
        <w:rPr>
          <w:rFonts w:cs="Calibri"/>
        </w:rPr>
        <w:t>$</w:t>
      </w:r>
      <w:r w:rsidR="00937027" w:rsidRPr="002555E6">
        <w:rPr>
          <w:rFonts w:cs="Calibri"/>
        </w:rPr>
        <w:t xml:space="preserve">5,000 amount </w:t>
      </w:r>
      <w:r w:rsidR="00937027" w:rsidRPr="00A57A1F">
        <w:rPr>
          <w:rFonts w:cs="Calibri"/>
          <w:color w:val="000000"/>
        </w:rPr>
        <w:t xml:space="preserve">if they use a different </w:t>
      </w:r>
      <w:r w:rsidR="00937027" w:rsidRPr="002555E6">
        <w:rPr>
          <w:rFonts w:cs="Calibri"/>
        </w:rPr>
        <w:t>capitalisation threshold.</w:t>
      </w:r>
    </w:p>
    <w:p w14:paraId="28564033" w14:textId="77A1CA35" w:rsidR="00B734D2" w:rsidRPr="00B734D2" w:rsidRDefault="00B734D2" w:rsidP="00FD4E9D">
      <w:pPr>
        <w:pStyle w:val="BodyText"/>
        <w:spacing w:after="120"/>
        <w:rPr>
          <w:rFonts w:cs="Calibri"/>
          <w:color w:val="FF0000"/>
        </w:rPr>
      </w:pPr>
      <w:r w:rsidRPr="00F6508E">
        <w:rPr>
          <w:rFonts w:cs="Calibri"/>
        </w:rPr>
        <w:t>Given the Territory Authority Section (TAS) has been withdrawn</w:t>
      </w:r>
      <w:r w:rsidR="00FE575A" w:rsidRPr="00F6508E">
        <w:rPr>
          <w:rFonts w:cs="Calibri"/>
        </w:rPr>
        <w:t xml:space="preserve"> and the information incorporated into the Model, any text that </w:t>
      </w:r>
      <w:r w:rsidR="0086368E" w:rsidRPr="00F6508E">
        <w:rPr>
          <w:rFonts w:cs="Calibri"/>
        </w:rPr>
        <w:t>specifically</w:t>
      </w:r>
      <w:r w:rsidR="002071C0" w:rsidRPr="00F6508E">
        <w:rPr>
          <w:rFonts w:cs="Calibri"/>
        </w:rPr>
        <w:t xml:space="preserve"> </w:t>
      </w:r>
      <w:r w:rsidR="00FE575A" w:rsidRPr="00F6508E">
        <w:rPr>
          <w:rFonts w:cs="Calibri"/>
        </w:rPr>
        <w:t xml:space="preserve">relates to </w:t>
      </w:r>
      <w:r w:rsidR="00842DBF">
        <w:rPr>
          <w:rFonts w:cs="Calibri"/>
        </w:rPr>
        <w:t>t</w:t>
      </w:r>
      <w:r w:rsidR="00FE575A" w:rsidRPr="00F6508E">
        <w:rPr>
          <w:rFonts w:cs="Calibri"/>
        </w:rPr>
        <w:t xml:space="preserve">erritory </w:t>
      </w:r>
      <w:r w:rsidR="00842DBF">
        <w:rPr>
          <w:rFonts w:cs="Calibri"/>
        </w:rPr>
        <w:t>a</w:t>
      </w:r>
      <w:r w:rsidR="00FE575A" w:rsidRPr="00F6508E">
        <w:rPr>
          <w:rFonts w:cs="Calibri"/>
        </w:rPr>
        <w:t xml:space="preserve">uthorities will be included in </w:t>
      </w:r>
      <w:r w:rsidR="00FE575A" w:rsidRPr="009578C1">
        <w:rPr>
          <w:rFonts w:cs="Calibri"/>
          <w:color w:val="2E74B5" w:themeColor="accent1" w:themeShade="BF"/>
        </w:rPr>
        <w:t>[</w:t>
      </w:r>
      <w:r w:rsidR="002071C0" w:rsidRPr="009578C1">
        <w:rPr>
          <w:rFonts w:cs="Calibri"/>
          <w:color w:val="2E74B5" w:themeColor="accent1" w:themeShade="BF"/>
        </w:rPr>
        <w:t xml:space="preserve"> </w:t>
      </w:r>
      <w:r w:rsidR="00FE575A" w:rsidRPr="009578C1">
        <w:rPr>
          <w:rFonts w:cs="Calibri"/>
          <w:color w:val="2E74B5" w:themeColor="accent1" w:themeShade="BF"/>
        </w:rPr>
        <w:t>]</w:t>
      </w:r>
      <w:r w:rsidR="00FE575A" w:rsidRPr="00F6508E">
        <w:rPr>
          <w:rFonts w:cs="Calibri"/>
        </w:rPr>
        <w:t xml:space="preserve"> in </w:t>
      </w:r>
      <w:r w:rsidR="00FE575A" w:rsidRPr="00310ED3">
        <w:rPr>
          <w:color w:val="2E74B5" w:themeColor="accent1" w:themeShade="BF"/>
          <w:szCs w:val="22"/>
        </w:rPr>
        <w:t>blue</w:t>
      </w:r>
      <w:r w:rsidR="00FE575A">
        <w:rPr>
          <w:rFonts w:cs="Calibri"/>
          <w:color w:val="FF0000"/>
        </w:rPr>
        <w:t xml:space="preserve"> </w:t>
      </w:r>
      <w:r w:rsidR="00FE575A" w:rsidRPr="00F6508E">
        <w:rPr>
          <w:rFonts w:cs="Calibri"/>
        </w:rPr>
        <w:t>text</w:t>
      </w:r>
      <w:r w:rsidR="002071C0" w:rsidRPr="00F6508E">
        <w:rPr>
          <w:rFonts w:cs="Calibri"/>
        </w:rPr>
        <w:t xml:space="preserve"> in the Model</w:t>
      </w:r>
      <w:r w:rsidR="00FE575A" w:rsidRPr="00F6508E">
        <w:rPr>
          <w:rFonts w:cs="Calibri"/>
        </w:rPr>
        <w:t>.</w:t>
      </w:r>
      <w:r w:rsidR="00950179">
        <w:rPr>
          <w:rFonts w:cs="Calibri"/>
        </w:rPr>
        <w:t xml:space="preserve"> In the commentary sections, </w:t>
      </w:r>
      <w:r w:rsidR="00842DBF">
        <w:rPr>
          <w:rFonts w:cs="Calibri"/>
        </w:rPr>
        <w:t>t</w:t>
      </w:r>
      <w:r w:rsidR="00950179">
        <w:rPr>
          <w:rFonts w:cs="Calibri"/>
        </w:rPr>
        <w:t xml:space="preserve">erritory </w:t>
      </w:r>
      <w:r w:rsidR="00842DBF">
        <w:rPr>
          <w:rFonts w:cs="Calibri"/>
        </w:rPr>
        <w:t>a</w:t>
      </w:r>
      <w:r w:rsidR="00950179">
        <w:rPr>
          <w:rFonts w:cs="Calibri"/>
        </w:rPr>
        <w:t>uthority information is included under a separate heading.</w:t>
      </w:r>
      <w:r w:rsidR="00FA7C77">
        <w:rPr>
          <w:rFonts w:cs="Calibri"/>
        </w:rPr>
        <w:t xml:space="preserve"> </w:t>
      </w:r>
    </w:p>
    <w:p w14:paraId="62B803BB" w14:textId="77777777" w:rsidR="000144FF" w:rsidRPr="00CF7E1B" w:rsidRDefault="000144FF" w:rsidP="00FD4E9D">
      <w:pPr>
        <w:pStyle w:val="Heading3"/>
        <w:spacing w:before="240"/>
        <w:ind w:left="851"/>
        <w:rPr>
          <w:rFonts w:cs="Calibri"/>
        </w:rPr>
      </w:pPr>
      <w:bookmarkStart w:id="96" w:name="_Toc400627294"/>
      <w:bookmarkStart w:id="97" w:name="_Toc132743751"/>
      <w:r w:rsidRPr="00CF7E1B">
        <w:rPr>
          <w:rFonts w:cs="Calibri"/>
        </w:rPr>
        <w:t xml:space="preserve">Comparative Figures for New </w:t>
      </w:r>
      <w:r w:rsidR="00A859BD" w:rsidRPr="00CF7E1B">
        <w:rPr>
          <w:rFonts w:cs="Calibri"/>
        </w:rPr>
        <w:t>Agencies</w:t>
      </w:r>
      <w:bookmarkEnd w:id="96"/>
      <w:bookmarkEnd w:id="97"/>
    </w:p>
    <w:p w14:paraId="4873FE91" w14:textId="70678C68" w:rsidR="0033279C" w:rsidRDefault="000144FF" w:rsidP="00FD4E9D">
      <w:pPr>
        <w:pStyle w:val="BodyText"/>
        <w:spacing w:after="120"/>
        <w:rPr>
          <w:rFonts w:cs="Calibri"/>
        </w:rPr>
      </w:pPr>
      <w:r w:rsidRPr="00CF7E1B">
        <w:rPr>
          <w:rFonts w:cs="Calibri"/>
        </w:rPr>
        <w:t>Where a</w:t>
      </w:r>
      <w:r w:rsidR="00A859BD" w:rsidRPr="00CF7E1B">
        <w:rPr>
          <w:rFonts w:cs="Calibri"/>
        </w:rPr>
        <w:t>n</w:t>
      </w:r>
      <w:r w:rsidRPr="00CF7E1B">
        <w:rPr>
          <w:rFonts w:cs="Calibri"/>
        </w:rPr>
        <w:t xml:space="preserve"> </w:t>
      </w:r>
      <w:r w:rsidR="005768FD" w:rsidRPr="00CF7E1B">
        <w:rPr>
          <w:rFonts w:cs="Calibri"/>
        </w:rPr>
        <w:t>a</w:t>
      </w:r>
      <w:r w:rsidR="00A859BD" w:rsidRPr="00CF7E1B">
        <w:rPr>
          <w:rFonts w:cs="Calibri"/>
        </w:rPr>
        <w:t>gency</w:t>
      </w:r>
      <w:r w:rsidRPr="00CF7E1B">
        <w:rPr>
          <w:rFonts w:cs="Calibri"/>
        </w:rPr>
        <w:t xml:space="preserve"> first commences activities in the current financial reporting period, that </w:t>
      </w:r>
      <w:r w:rsidR="005768FD" w:rsidRPr="00CF7E1B">
        <w:rPr>
          <w:rFonts w:cs="Calibri"/>
        </w:rPr>
        <w:t>a</w:t>
      </w:r>
      <w:r w:rsidR="00A859BD" w:rsidRPr="00CF7E1B">
        <w:rPr>
          <w:rFonts w:cs="Calibri"/>
        </w:rPr>
        <w:t>gency</w:t>
      </w:r>
      <w:r w:rsidRPr="00CF7E1B">
        <w:rPr>
          <w:rFonts w:cs="Calibri"/>
        </w:rPr>
        <w:t xml:space="preserve"> need not disclose comparative figures in its financial </w:t>
      </w:r>
      <w:r w:rsidR="002970C1" w:rsidRPr="00CF7E1B">
        <w:rPr>
          <w:rFonts w:cs="Calibri"/>
        </w:rPr>
        <w:t>statements</w:t>
      </w:r>
      <w:r w:rsidRPr="00CF7E1B">
        <w:rPr>
          <w:rFonts w:cs="Calibri"/>
        </w:rPr>
        <w:t xml:space="preserve">. Where a new </w:t>
      </w:r>
      <w:r w:rsidR="005768FD" w:rsidRPr="00CF7E1B">
        <w:rPr>
          <w:rFonts w:cs="Calibri"/>
        </w:rPr>
        <w:t>a</w:t>
      </w:r>
      <w:r w:rsidR="00A859BD" w:rsidRPr="00CF7E1B">
        <w:rPr>
          <w:rFonts w:cs="Calibri"/>
        </w:rPr>
        <w:t>gency</w:t>
      </w:r>
      <w:r w:rsidRPr="00CF7E1B">
        <w:rPr>
          <w:rFonts w:cs="Calibri"/>
        </w:rPr>
        <w:t xml:space="preserve"> has been created and </w:t>
      </w:r>
      <w:r w:rsidR="00A859BD" w:rsidRPr="00CF7E1B">
        <w:rPr>
          <w:rFonts w:cs="Calibri"/>
        </w:rPr>
        <w:t xml:space="preserve">other </w:t>
      </w:r>
      <w:r w:rsidRPr="00CF7E1B">
        <w:rPr>
          <w:rFonts w:cs="Calibri"/>
        </w:rPr>
        <w:t xml:space="preserve">agencies have been merged or amalgamated into the new </w:t>
      </w:r>
      <w:r w:rsidR="005768FD" w:rsidRPr="00CF7E1B">
        <w:rPr>
          <w:rFonts w:cs="Calibri"/>
        </w:rPr>
        <w:t>a</w:t>
      </w:r>
      <w:r w:rsidR="00A859BD" w:rsidRPr="00CF7E1B">
        <w:rPr>
          <w:rFonts w:cs="Calibri"/>
        </w:rPr>
        <w:t>gency</w:t>
      </w:r>
      <w:r w:rsidRPr="00CF7E1B">
        <w:rPr>
          <w:rFonts w:cs="Calibri"/>
        </w:rPr>
        <w:t xml:space="preserve">, advice regarding comparatives should be sought from </w:t>
      </w:r>
      <w:r w:rsidR="00867AA2" w:rsidRPr="00F6508E">
        <w:rPr>
          <w:rFonts w:cs="Calibri"/>
        </w:rPr>
        <w:t>the</w:t>
      </w:r>
      <w:r w:rsidR="00867AA2">
        <w:rPr>
          <w:rFonts w:cs="Calibri"/>
        </w:rPr>
        <w:t xml:space="preserve"> </w:t>
      </w:r>
      <w:r w:rsidR="00DF0188">
        <w:rPr>
          <w:rFonts w:cs="Calibri"/>
        </w:rPr>
        <w:t xml:space="preserve">Financial </w:t>
      </w:r>
      <w:r w:rsidR="003616DC" w:rsidRPr="00E97A27">
        <w:rPr>
          <w:rFonts w:cs="Calibri"/>
        </w:rPr>
        <w:t xml:space="preserve">Reporting and </w:t>
      </w:r>
      <w:r w:rsidR="00DF0188" w:rsidRPr="00E97A27">
        <w:rPr>
          <w:rFonts w:cs="Calibri"/>
        </w:rPr>
        <w:t xml:space="preserve">Framework </w:t>
      </w:r>
      <w:r w:rsidR="00867AA2" w:rsidRPr="00F6508E">
        <w:rPr>
          <w:rFonts w:cs="Calibri"/>
        </w:rPr>
        <w:t>Branch</w:t>
      </w:r>
      <w:r w:rsidR="00867AA2">
        <w:rPr>
          <w:rFonts w:cs="Calibri"/>
        </w:rPr>
        <w:t xml:space="preserve"> </w:t>
      </w:r>
      <w:r w:rsidR="003820A0" w:rsidRPr="00CF7E1B">
        <w:rPr>
          <w:rFonts w:cs="Calibri"/>
        </w:rPr>
        <w:t xml:space="preserve">in </w:t>
      </w:r>
      <w:r w:rsidR="0030712E" w:rsidRPr="00CF7E1B">
        <w:rPr>
          <w:rFonts w:cs="Calibri"/>
        </w:rPr>
        <w:t xml:space="preserve">the </w:t>
      </w:r>
      <w:r w:rsidR="00F63AF4" w:rsidRPr="00CF7E1B">
        <w:rPr>
          <w:rFonts w:cs="Calibri"/>
        </w:rPr>
        <w:t>Chief Minister</w:t>
      </w:r>
      <w:r w:rsidR="006141EB">
        <w:rPr>
          <w:rFonts w:cs="Calibri"/>
        </w:rPr>
        <w:t>,</w:t>
      </w:r>
      <w:r w:rsidR="00F63AF4" w:rsidRPr="00CF7E1B">
        <w:rPr>
          <w:rFonts w:cs="Calibri"/>
        </w:rPr>
        <w:t xml:space="preserve"> </w:t>
      </w:r>
      <w:r w:rsidR="004F2565" w:rsidRPr="00CF7E1B">
        <w:rPr>
          <w:rFonts w:cs="Calibri"/>
        </w:rPr>
        <w:t xml:space="preserve">Treasury </w:t>
      </w:r>
      <w:r w:rsidR="006141EB">
        <w:rPr>
          <w:rFonts w:cs="Calibri"/>
        </w:rPr>
        <w:t xml:space="preserve">and Economic Development </w:t>
      </w:r>
      <w:r w:rsidR="004E43B2" w:rsidRPr="00CF7E1B">
        <w:rPr>
          <w:rFonts w:cs="Calibri"/>
        </w:rPr>
        <w:t>Directorate</w:t>
      </w:r>
      <w:r w:rsidRPr="00CF7E1B">
        <w:rPr>
          <w:rFonts w:cs="Calibri"/>
        </w:rPr>
        <w:t>.</w:t>
      </w:r>
    </w:p>
    <w:p w14:paraId="4F825F53" w14:textId="77777777" w:rsidR="00FD4E9D" w:rsidRDefault="00FD4E9D" w:rsidP="00FD4E9D">
      <w:pPr>
        <w:pStyle w:val="BodyText"/>
        <w:spacing w:after="120"/>
        <w:rPr>
          <w:rFonts w:cs="Calibri"/>
        </w:rPr>
      </w:pPr>
    </w:p>
    <w:p w14:paraId="106473FF" w14:textId="569CDD55" w:rsidR="000144FF" w:rsidRPr="00F6508E" w:rsidRDefault="000144FF" w:rsidP="00FD4E9D">
      <w:pPr>
        <w:pStyle w:val="Heading2"/>
        <w:spacing w:before="360"/>
        <w:rPr>
          <w:rFonts w:cs="Calibri"/>
        </w:rPr>
      </w:pPr>
      <w:bookmarkStart w:id="98" w:name="_Toc400627297"/>
      <w:bookmarkStart w:id="99" w:name="_Toc132743752"/>
      <w:r w:rsidRPr="00F6508E">
        <w:rPr>
          <w:rFonts w:cs="Calibri"/>
        </w:rPr>
        <w:t>Consolidation</w:t>
      </w:r>
      <w:bookmarkEnd w:id="98"/>
      <w:bookmarkEnd w:id="99"/>
    </w:p>
    <w:p w14:paraId="78C2BB13" w14:textId="77777777" w:rsidR="002077BD" w:rsidRPr="00FE7FA6" w:rsidRDefault="00D95CB4" w:rsidP="00FE7FA6">
      <w:pPr>
        <w:pStyle w:val="BodyText"/>
        <w:spacing w:after="120"/>
        <w:rPr>
          <w:rFonts w:cs="Calibri"/>
        </w:rPr>
      </w:pPr>
      <w:r w:rsidRPr="00837448">
        <w:rPr>
          <w:rFonts w:cs="Calibri"/>
        </w:rPr>
        <w:t>A</w:t>
      </w:r>
      <w:r w:rsidR="002077BD" w:rsidRPr="00837448">
        <w:rPr>
          <w:rFonts w:cs="Calibri"/>
        </w:rPr>
        <w:t>g</w:t>
      </w:r>
      <w:r w:rsidR="002077BD" w:rsidRPr="00FE7FA6">
        <w:rPr>
          <w:rFonts w:cs="Calibri"/>
        </w:rPr>
        <w:t xml:space="preserve">encies with control over another entity must prepare consolidated financial statements in accordance with AASB 10 </w:t>
      </w:r>
      <w:r w:rsidR="002077BD" w:rsidRPr="00FE7FA6">
        <w:rPr>
          <w:rFonts w:cs="Calibri"/>
          <w:i/>
        </w:rPr>
        <w:t>Consolidated Financial Statements</w:t>
      </w:r>
      <w:r w:rsidR="002077BD" w:rsidRPr="00FE7FA6">
        <w:rPr>
          <w:rFonts w:cs="Calibri"/>
        </w:rPr>
        <w:t xml:space="preserve"> for the agency and all entities it controls.</w:t>
      </w:r>
    </w:p>
    <w:p w14:paraId="618FC601" w14:textId="6DA41BDB" w:rsidR="0033279C" w:rsidRDefault="0026050E" w:rsidP="00574DE1">
      <w:pPr>
        <w:tabs>
          <w:tab w:val="left" w:pos="9356"/>
        </w:tabs>
        <w:ind w:left="426" w:right="567"/>
        <w:jc w:val="both"/>
        <w:rPr>
          <w:i/>
        </w:rPr>
      </w:pPr>
      <w:r>
        <w:rPr>
          <w:i/>
        </w:rPr>
        <w:t>‘</w:t>
      </w:r>
      <w:r w:rsidR="002077BD" w:rsidRPr="0026050E">
        <w:t>An investor controls an investee when it is exposed, or has rights, to variable returns from its involvement with the investee</w:t>
      </w:r>
      <w:r w:rsidR="007E5622" w:rsidRPr="0026050E">
        <w:t xml:space="preserve"> </w:t>
      </w:r>
      <w:r w:rsidR="002077BD" w:rsidRPr="0026050E">
        <w:t xml:space="preserve">and has the ability </w:t>
      </w:r>
      <w:r w:rsidR="007E5622" w:rsidRPr="0026050E">
        <w:t>to affect those returns through its power over the investee</w:t>
      </w:r>
      <w:r>
        <w:t>’</w:t>
      </w:r>
      <w:r w:rsidR="007E5622" w:rsidRPr="000452F7">
        <w:rPr>
          <w:i/>
        </w:rPr>
        <w:t xml:space="preserve"> (AASB 10.6).</w:t>
      </w:r>
    </w:p>
    <w:p w14:paraId="59E8E401" w14:textId="77777777" w:rsidR="000144FF" w:rsidRPr="00CF7E1B" w:rsidRDefault="000144FF" w:rsidP="00C9212B">
      <w:pPr>
        <w:pStyle w:val="Heading2"/>
        <w:tabs>
          <w:tab w:val="left" w:pos="3306"/>
        </w:tabs>
        <w:spacing w:before="360"/>
        <w:rPr>
          <w:rFonts w:cs="Calibri"/>
        </w:rPr>
      </w:pPr>
      <w:bookmarkStart w:id="100" w:name="_Toc194918629"/>
      <w:bookmarkStart w:id="101" w:name="_Toc400627298"/>
      <w:bookmarkStart w:id="102" w:name="_Toc132743753"/>
      <w:r w:rsidRPr="00CF7E1B">
        <w:rPr>
          <w:rFonts w:cs="Calibri"/>
        </w:rPr>
        <w:t>Certification</w:t>
      </w:r>
      <w:bookmarkEnd w:id="100"/>
      <w:bookmarkEnd w:id="101"/>
      <w:bookmarkEnd w:id="102"/>
    </w:p>
    <w:p w14:paraId="567FE057" w14:textId="13673B11" w:rsidR="000144FF" w:rsidRPr="00F6508E" w:rsidRDefault="000144FF" w:rsidP="00CB31DE">
      <w:pPr>
        <w:pStyle w:val="Heading3"/>
        <w:ind w:left="851"/>
        <w:rPr>
          <w:rFonts w:cs="Calibri"/>
        </w:rPr>
      </w:pPr>
      <w:bookmarkStart w:id="103" w:name="_Toc400627299"/>
      <w:bookmarkStart w:id="104" w:name="_Toc132743754"/>
      <w:r w:rsidRPr="00F6508E">
        <w:rPr>
          <w:rFonts w:cs="Calibri"/>
        </w:rPr>
        <w:t>Independent Audit</w:t>
      </w:r>
      <w:r w:rsidR="00972780" w:rsidRPr="00F6508E">
        <w:rPr>
          <w:rFonts w:cs="Calibri"/>
        </w:rPr>
        <w:t>or’s</w:t>
      </w:r>
      <w:r w:rsidRPr="00F6508E">
        <w:rPr>
          <w:rFonts w:cs="Calibri"/>
        </w:rPr>
        <w:t xml:space="preserve"> Report</w:t>
      </w:r>
      <w:bookmarkEnd w:id="103"/>
      <w:bookmarkEnd w:id="104"/>
    </w:p>
    <w:p w14:paraId="02CE4B9E" w14:textId="7B3087FD" w:rsidR="00DC05AF" w:rsidRPr="00F6508E" w:rsidRDefault="000144FF" w:rsidP="007445DE">
      <w:pPr>
        <w:pStyle w:val="BodyText"/>
        <w:spacing w:after="120"/>
        <w:rPr>
          <w:rFonts w:cs="Calibri"/>
        </w:rPr>
      </w:pPr>
      <w:r w:rsidRPr="00F6508E">
        <w:rPr>
          <w:rFonts w:cs="Calibri"/>
        </w:rPr>
        <w:t>The independent audit</w:t>
      </w:r>
      <w:r w:rsidR="00972780" w:rsidRPr="00F6508E">
        <w:rPr>
          <w:rFonts w:cs="Calibri"/>
        </w:rPr>
        <w:t>or’s</w:t>
      </w:r>
      <w:r w:rsidRPr="00F6508E">
        <w:rPr>
          <w:rFonts w:cs="Calibri"/>
        </w:rPr>
        <w:t xml:space="preserve"> report on a</w:t>
      </w:r>
      <w:r w:rsidR="00A859BD" w:rsidRPr="00F6508E">
        <w:rPr>
          <w:rFonts w:cs="Calibri"/>
        </w:rPr>
        <w:t>n</w:t>
      </w:r>
      <w:r w:rsidRPr="00F6508E">
        <w:rPr>
          <w:rFonts w:cs="Calibri"/>
        </w:rPr>
        <w:t xml:space="preserve"> </w:t>
      </w:r>
      <w:r w:rsidR="005768FD" w:rsidRPr="00F6508E">
        <w:rPr>
          <w:rFonts w:cs="Calibri"/>
        </w:rPr>
        <w:t>a</w:t>
      </w:r>
      <w:r w:rsidR="00A859BD" w:rsidRPr="00F6508E">
        <w:rPr>
          <w:rFonts w:cs="Calibri"/>
        </w:rPr>
        <w:t>gency</w:t>
      </w:r>
      <w:r w:rsidRPr="00F6508E">
        <w:rPr>
          <w:rFonts w:cs="Calibri"/>
        </w:rPr>
        <w:t xml:space="preserve">’s financial </w:t>
      </w:r>
      <w:r w:rsidR="002970C1" w:rsidRPr="00F6508E">
        <w:rPr>
          <w:rFonts w:cs="Calibri"/>
        </w:rPr>
        <w:t>statements</w:t>
      </w:r>
      <w:r w:rsidRPr="00F6508E">
        <w:rPr>
          <w:rFonts w:cs="Calibri"/>
        </w:rPr>
        <w:t xml:space="preserve"> must be attached to the front of the </w:t>
      </w:r>
      <w:r w:rsidR="002970C1" w:rsidRPr="00F6508E">
        <w:rPr>
          <w:rFonts w:cs="Calibri"/>
        </w:rPr>
        <w:t>statements</w:t>
      </w:r>
      <w:r w:rsidRPr="00F6508E">
        <w:rPr>
          <w:rFonts w:cs="Calibri"/>
        </w:rPr>
        <w:t>, directly before the Statement of Respon</w:t>
      </w:r>
      <w:r w:rsidR="00554A71" w:rsidRPr="00F6508E">
        <w:rPr>
          <w:rFonts w:cs="Calibri"/>
        </w:rPr>
        <w:t xml:space="preserve">sibility by the </w:t>
      </w:r>
      <w:r w:rsidR="00B56E90" w:rsidRPr="00F6508E">
        <w:rPr>
          <w:rFonts w:cs="Calibri"/>
        </w:rPr>
        <w:t>Director-General</w:t>
      </w:r>
      <w:r w:rsidR="00D852CE">
        <w:rPr>
          <w:rFonts w:cs="Calibri"/>
        </w:rPr>
        <w:t xml:space="preserve"> (D-G)</w:t>
      </w:r>
      <w:r w:rsidR="00763E15" w:rsidRPr="00F6508E">
        <w:rPr>
          <w:rFonts w:cs="Calibri"/>
        </w:rPr>
        <w:t>/Chief Executive Officer</w:t>
      </w:r>
      <w:r w:rsidR="001D0775" w:rsidRPr="00F6508E">
        <w:rPr>
          <w:rFonts w:cs="Calibri"/>
        </w:rPr>
        <w:t xml:space="preserve"> or </w:t>
      </w:r>
      <w:r w:rsidR="0086368E" w:rsidRPr="00F6508E">
        <w:rPr>
          <w:rFonts w:cs="Calibri"/>
        </w:rPr>
        <w:t>Chairperson</w:t>
      </w:r>
      <w:r w:rsidR="001D0775" w:rsidRPr="00F6508E">
        <w:rPr>
          <w:rFonts w:cs="Calibri"/>
        </w:rPr>
        <w:t>.</w:t>
      </w:r>
      <w:r w:rsidR="00FA7C77">
        <w:rPr>
          <w:rFonts w:cs="Calibri"/>
        </w:rPr>
        <w:t xml:space="preserve"> </w:t>
      </w:r>
    </w:p>
    <w:p w14:paraId="0B9B6FA9" w14:textId="77777777" w:rsidR="000144FF" w:rsidRPr="00CF7E1B" w:rsidRDefault="000144FF" w:rsidP="00C9212B">
      <w:pPr>
        <w:pStyle w:val="Heading2"/>
        <w:spacing w:before="360"/>
      </w:pPr>
      <w:bookmarkStart w:id="105" w:name="_Toc194918630"/>
      <w:bookmarkStart w:id="106" w:name="_Toc400627302"/>
      <w:bookmarkStart w:id="107" w:name="_Toc132743755"/>
      <w:r w:rsidRPr="00CF7E1B">
        <w:t xml:space="preserve">Submission Date for Financial </w:t>
      </w:r>
      <w:bookmarkEnd w:id="105"/>
      <w:r w:rsidR="002970C1" w:rsidRPr="00CF7E1B">
        <w:t>Statement</w:t>
      </w:r>
      <w:r w:rsidR="004C4857">
        <w:t>s</w:t>
      </w:r>
      <w:bookmarkEnd w:id="106"/>
      <w:bookmarkEnd w:id="107"/>
    </w:p>
    <w:p w14:paraId="65175C57" w14:textId="2A80330E" w:rsidR="008216CA" w:rsidRPr="00F6508E" w:rsidRDefault="000144FF" w:rsidP="00FD4E9D">
      <w:pPr>
        <w:pStyle w:val="BodyText"/>
        <w:spacing w:after="120"/>
        <w:rPr>
          <w:rFonts w:cs="Calibri"/>
        </w:rPr>
      </w:pPr>
      <w:r w:rsidRPr="00F6508E">
        <w:rPr>
          <w:rFonts w:cs="Calibri"/>
        </w:rPr>
        <w:t xml:space="preserve">The Chief Minister’s Annual Report Directions require agencies </w:t>
      </w:r>
      <w:r w:rsidR="00BA0136" w:rsidRPr="00F6508E">
        <w:rPr>
          <w:rFonts w:cs="Calibri"/>
        </w:rPr>
        <w:t xml:space="preserve">to </w:t>
      </w:r>
      <w:r w:rsidRPr="00F6508E">
        <w:rPr>
          <w:rFonts w:cs="Calibri"/>
        </w:rPr>
        <w:t xml:space="preserve">submit their annual financial </w:t>
      </w:r>
      <w:r w:rsidR="002970C1" w:rsidRPr="00F6508E">
        <w:rPr>
          <w:rFonts w:cs="Calibri"/>
        </w:rPr>
        <w:t>statements</w:t>
      </w:r>
      <w:r w:rsidRPr="00F6508E">
        <w:rPr>
          <w:rFonts w:cs="Calibri"/>
        </w:rPr>
        <w:t xml:space="preserve"> to the Auditor-General </w:t>
      </w:r>
      <w:r w:rsidR="008F534A" w:rsidRPr="00F6508E">
        <w:rPr>
          <w:rFonts w:cs="Calibri"/>
        </w:rPr>
        <w:t xml:space="preserve">and </w:t>
      </w:r>
      <w:r w:rsidR="004D5657" w:rsidRPr="00CF7E1B">
        <w:rPr>
          <w:rFonts w:cs="Calibri"/>
        </w:rPr>
        <w:t>the Chief Minister</w:t>
      </w:r>
      <w:r w:rsidR="004D5657">
        <w:rPr>
          <w:rFonts w:cs="Calibri"/>
        </w:rPr>
        <w:t>,</w:t>
      </w:r>
      <w:r w:rsidR="004D5657" w:rsidRPr="00CF7E1B">
        <w:rPr>
          <w:rFonts w:cs="Calibri"/>
        </w:rPr>
        <w:t xml:space="preserve"> Treasury </w:t>
      </w:r>
      <w:r w:rsidR="004D5657">
        <w:rPr>
          <w:rFonts w:cs="Calibri"/>
        </w:rPr>
        <w:t xml:space="preserve">and Economic Development </w:t>
      </w:r>
      <w:r w:rsidR="004D5657" w:rsidRPr="00CF7E1B">
        <w:rPr>
          <w:rFonts w:cs="Calibri"/>
        </w:rPr>
        <w:t>Directorate</w:t>
      </w:r>
      <w:r w:rsidR="004D5657" w:rsidRPr="00F6508E">
        <w:rPr>
          <w:rFonts w:cs="Calibri"/>
        </w:rPr>
        <w:t xml:space="preserve"> </w:t>
      </w:r>
      <w:r w:rsidR="004D5657">
        <w:rPr>
          <w:rFonts w:cs="Calibri"/>
        </w:rPr>
        <w:t>(</w:t>
      </w:r>
      <w:r w:rsidR="00612C28" w:rsidRPr="00F6508E">
        <w:rPr>
          <w:rFonts w:cs="Calibri"/>
        </w:rPr>
        <w:t>CMTEDD</w:t>
      </w:r>
      <w:r w:rsidR="004D5657">
        <w:rPr>
          <w:rFonts w:cs="Calibri"/>
        </w:rPr>
        <w:t>)</w:t>
      </w:r>
      <w:r w:rsidR="00612C28" w:rsidRPr="00F6508E">
        <w:rPr>
          <w:rFonts w:cs="Calibri"/>
        </w:rPr>
        <w:t xml:space="preserve"> </w:t>
      </w:r>
      <w:r w:rsidRPr="00F6508E">
        <w:rPr>
          <w:rFonts w:cs="Calibri"/>
        </w:rPr>
        <w:t xml:space="preserve">no later than the dates specified in the timetable issued by </w:t>
      </w:r>
      <w:r w:rsidR="00612C28" w:rsidRPr="00F6508E">
        <w:rPr>
          <w:rFonts w:cs="Calibri"/>
        </w:rPr>
        <w:t>CMTEDD</w:t>
      </w:r>
      <w:r w:rsidRPr="00F6508E">
        <w:rPr>
          <w:rFonts w:cs="Calibri"/>
        </w:rPr>
        <w:t xml:space="preserve">, in order to meet the whole-of-government financial reporting deadline. </w:t>
      </w:r>
      <w:r w:rsidR="00842DBF">
        <w:rPr>
          <w:rFonts w:cs="Calibri"/>
        </w:rPr>
        <w:t>T</w:t>
      </w:r>
      <w:r w:rsidR="007975D5" w:rsidRPr="00F6508E">
        <w:rPr>
          <w:rFonts w:cs="Calibri"/>
        </w:rPr>
        <w:t>he</w:t>
      </w:r>
      <w:r w:rsidR="008216CA" w:rsidRPr="00F6508E">
        <w:rPr>
          <w:rFonts w:cs="Calibri"/>
        </w:rPr>
        <w:t xml:space="preserve"> Statement of Responsibility </w:t>
      </w:r>
      <w:r w:rsidR="00842DBF">
        <w:rPr>
          <w:rFonts w:cs="Calibri"/>
        </w:rPr>
        <w:t xml:space="preserve">is required </w:t>
      </w:r>
      <w:r w:rsidR="008216CA" w:rsidRPr="00F6508E">
        <w:rPr>
          <w:rFonts w:cs="Calibri"/>
        </w:rPr>
        <w:t xml:space="preserve">to be signed by the </w:t>
      </w:r>
      <w:r w:rsidR="00612C28" w:rsidRPr="00F6508E">
        <w:rPr>
          <w:rFonts w:cs="Calibri"/>
        </w:rPr>
        <w:t>D</w:t>
      </w:r>
      <w:r w:rsidR="00842DBF">
        <w:rPr>
          <w:rFonts w:cs="Calibri"/>
        </w:rPr>
        <w:noBreakHyphen/>
      </w:r>
      <w:r w:rsidR="00612C28" w:rsidRPr="00F6508E">
        <w:rPr>
          <w:rFonts w:cs="Calibri"/>
        </w:rPr>
        <w:t xml:space="preserve">G/CEO </w:t>
      </w:r>
      <w:r w:rsidR="00DF6511" w:rsidRPr="00F6508E">
        <w:rPr>
          <w:rFonts w:cs="Calibri"/>
        </w:rPr>
        <w:t xml:space="preserve">or </w:t>
      </w:r>
      <w:r w:rsidR="0086368E" w:rsidRPr="00F6508E">
        <w:rPr>
          <w:rFonts w:cs="Calibri"/>
        </w:rPr>
        <w:t>Chairperson</w:t>
      </w:r>
      <w:r w:rsidR="00DF6511" w:rsidRPr="00F6508E">
        <w:rPr>
          <w:rFonts w:cs="Calibri"/>
        </w:rPr>
        <w:t xml:space="preserve"> </w:t>
      </w:r>
      <w:r w:rsidR="008216CA" w:rsidRPr="00F6508E">
        <w:rPr>
          <w:rFonts w:cs="Calibri"/>
        </w:rPr>
        <w:t>any time before the audit opinion</w:t>
      </w:r>
      <w:r w:rsidR="007975D5" w:rsidRPr="00F6508E">
        <w:rPr>
          <w:rFonts w:cs="Calibri"/>
        </w:rPr>
        <w:t>,</w:t>
      </w:r>
      <w:r w:rsidR="008216CA" w:rsidRPr="00F6508E">
        <w:rPr>
          <w:rFonts w:cs="Calibri"/>
        </w:rPr>
        <w:t xml:space="preserve"> is provided by the Auditor-General.</w:t>
      </w:r>
      <w:r w:rsidR="00FA7C77">
        <w:rPr>
          <w:rFonts w:cs="Calibri"/>
        </w:rPr>
        <w:t xml:space="preserve"> </w:t>
      </w:r>
      <w:r w:rsidR="00B86641" w:rsidRPr="00F6508E">
        <w:rPr>
          <w:rFonts w:cs="Calibri"/>
        </w:rPr>
        <w:t xml:space="preserve">However, to ensure there is no loss of quality, the </w:t>
      </w:r>
      <w:r w:rsidR="00842DBF">
        <w:rPr>
          <w:rFonts w:cs="Calibri"/>
        </w:rPr>
        <w:t xml:space="preserve">official </w:t>
      </w:r>
      <w:r w:rsidR="00B86641" w:rsidRPr="00F6508E">
        <w:rPr>
          <w:rFonts w:cs="Calibri"/>
        </w:rPr>
        <w:t>draft financial statements need to be reviewed by the relevant Internal Audit Committee and authorised for issue t</w:t>
      </w:r>
      <w:r w:rsidR="00CB0181" w:rsidRPr="00F6508E">
        <w:rPr>
          <w:rFonts w:cs="Calibri"/>
        </w:rPr>
        <w:t xml:space="preserve">o the Auditor-General </w:t>
      </w:r>
      <w:r w:rsidR="00B86641" w:rsidRPr="00F6508E">
        <w:rPr>
          <w:rFonts w:cs="Calibri"/>
        </w:rPr>
        <w:t xml:space="preserve">by the </w:t>
      </w:r>
      <w:r w:rsidR="00D50CD5" w:rsidRPr="00F6508E">
        <w:rPr>
          <w:rFonts w:cs="Calibri"/>
        </w:rPr>
        <w:t>D</w:t>
      </w:r>
      <w:r w:rsidR="009F404C" w:rsidRPr="00F6508E">
        <w:rPr>
          <w:rFonts w:cs="Calibri"/>
        </w:rPr>
        <w:t>-</w:t>
      </w:r>
      <w:r w:rsidR="00D50CD5" w:rsidRPr="00F6508E">
        <w:rPr>
          <w:rFonts w:cs="Calibri"/>
        </w:rPr>
        <w:t xml:space="preserve">G/CEO </w:t>
      </w:r>
      <w:r w:rsidR="00CB0181" w:rsidRPr="00F6508E">
        <w:rPr>
          <w:rFonts w:cs="Calibri"/>
        </w:rPr>
        <w:t xml:space="preserve">or </w:t>
      </w:r>
      <w:r w:rsidR="0086368E" w:rsidRPr="00F6508E">
        <w:rPr>
          <w:rFonts w:cs="Calibri"/>
        </w:rPr>
        <w:t>Chairperson</w:t>
      </w:r>
      <w:r w:rsidR="00CB0181" w:rsidRPr="00F6508E">
        <w:rPr>
          <w:rFonts w:cs="Calibri"/>
        </w:rPr>
        <w:t>.</w:t>
      </w:r>
      <w:r w:rsidR="00842DBF">
        <w:rPr>
          <w:rFonts w:cs="Calibri"/>
        </w:rPr>
        <w:t xml:space="preserve"> Agencies should work with the Audit Office to facilitate the supply of earlier draft information wherever possible to assist in achieving a timely audit outcome.</w:t>
      </w:r>
    </w:p>
    <w:p w14:paraId="11F8665C" w14:textId="23C32AB1" w:rsidR="00964F5C" w:rsidRPr="00F6508E" w:rsidRDefault="004C26D6" w:rsidP="00FD4E9D">
      <w:pPr>
        <w:pStyle w:val="BodyText"/>
        <w:spacing w:after="120"/>
        <w:rPr>
          <w:rFonts w:cs="Calibri"/>
        </w:rPr>
      </w:pPr>
      <w:r w:rsidRPr="00F6508E">
        <w:rPr>
          <w:rFonts w:cs="Calibri"/>
        </w:rPr>
        <w:t>CMTEDD issues a timetable each year that provides the dates when:</w:t>
      </w:r>
    </w:p>
    <w:p w14:paraId="017B8BA7" w14:textId="77777777" w:rsidR="00964F5C" w:rsidRPr="00F6508E" w:rsidRDefault="00964F5C" w:rsidP="00FD4E9D">
      <w:pPr>
        <w:pStyle w:val="BodyText"/>
        <w:numPr>
          <w:ilvl w:val="0"/>
          <w:numId w:val="11"/>
        </w:numPr>
        <w:spacing w:after="120"/>
        <w:ind w:hanging="218"/>
        <w:rPr>
          <w:rFonts w:cs="Calibri"/>
        </w:rPr>
      </w:pPr>
      <w:r w:rsidRPr="00F6508E">
        <w:rPr>
          <w:rFonts w:cs="Calibri"/>
        </w:rPr>
        <w:t xml:space="preserve">agencies are to provide annual financial </w:t>
      </w:r>
      <w:r w:rsidR="002970C1" w:rsidRPr="00F6508E">
        <w:rPr>
          <w:rFonts w:cs="Calibri"/>
        </w:rPr>
        <w:t>statements</w:t>
      </w:r>
      <w:r w:rsidRPr="00F6508E">
        <w:rPr>
          <w:rFonts w:cs="Calibri"/>
        </w:rPr>
        <w:t xml:space="preserve"> to the Audit Office;</w:t>
      </w:r>
      <w:r w:rsidR="00013121" w:rsidRPr="00F6508E">
        <w:rPr>
          <w:rFonts w:cs="Calibri"/>
        </w:rPr>
        <w:t xml:space="preserve"> and</w:t>
      </w:r>
    </w:p>
    <w:p w14:paraId="7BA929EE" w14:textId="77777777" w:rsidR="00DC05AF" w:rsidRPr="00F6508E" w:rsidRDefault="00964F5C" w:rsidP="00FD4E9D">
      <w:pPr>
        <w:pStyle w:val="BodyText"/>
        <w:numPr>
          <w:ilvl w:val="0"/>
          <w:numId w:val="11"/>
        </w:numPr>
        <w:spacing w:after="120"/>
        <w:ind w:hanging="218"/>
        <w:rPr>
          <w:rFonts w:cs="Calibri"/>
        </w:rPr>
      </w:pPr>
      <w:r w:rsidRPr="00F6508E">
        <w:rPr>
          <w:rFonts w:cs="Calibri"/>
        </w:rPr>
        <w:t>the final audit report is issued.</w:t>
      </w:r>
    </w:p>
    <w:p w14:paraId="23BA8C5F" w14:textId="22AA57E9" w:rsidR="00DC05AF" w:rsidRDefault="00DC05AF">
      <w:pPr>
        <w:rPr>
          <w:rFonts w:cs="Calibri"/>
        </w:rPr>
      </w:pPr>
      <w:r>
        <w:rPr>
          <w:rFonts w:cs="Calibri"/>
        </w:rPr>
        <w:br w:type="page"/>
      </w:r>
    </w:p>
    <w:p w14:paraId="46A7CFBC" w14:textId="77777777" w:rsidR="0026628F" w:rsidRDefault="0026628F" w:rsidP="00DC687F"/>
    <w:p w14:paraId="2ED9341E" w14:textId="77777777" w:rsidR="00CE21AE" w:rsidRDefault="00CE21AE" w:rsidP="00DC687F"/>
    <w:p w14:paraId="5DB12E0D" w14:textId="77777777" w:rsidR="00CE21AE" w:rsidRDefault="00CE21AE" w:rsidP="00DC687F"/>
    <w:p w14:paraId="714089AD" w14:textId="77777777" w:rsidR="00CE21AE" w:rsidRDefault="00CE21AE" w:rsidP="00DC687F"/>
    <w:p w14:paraId="53EEB3B3" w14:textId="77777777" w:rsidR="00CE21AE" w:rsidRDefault="00CE21AE" w:rsidP="00DC687F"/>
    <w:p w14:paraId="0770ABA1" w14:textId="77777777" w:rsidR="00CE21AE" w:rsidRDefault="00CE21AE" w:rsidP="00DC687F"/>
    <w:p w14:paraId="0874EB8D" w14:textId="77777777" w:rsidR="00CE21AE" w:rsidRDefault="00CE21AE" w:rsidP="00DC687F"/>
    <w:p w14:paraId="087D2C36" w14:textId="77777777" w:rsidR="00CE21AE" w:rsidRDefault="00CE21AE" w:rsidP="00DC687F"/>
    <w:p w14:paraId="4515B8A2" w14:textId="77777777" w:rsidR="00CE21AE" w:rsidRPr="00574DE1" w:rsidRDefault="00CE21AE" w:rsidP="00DC687F">
      <w:pPr>
        <w:rPr>
          <w:rFonts w:asciiTheme="minorHAnsi" w:hAnsiTheme="minorHAnsi" w:cstheme="minorHAnsi"/>
          <w:sz w:val="52"/>
          <w:szCs w:val="52"/>
        </w:rPr>
      </w:pPr>
    </w:p>
    <w:p w14:paraId="6D58EE59" w14:textId="01495CC6" w:rsidR="00541371" w:rsidRPr="00B51BAD" w:rsidRDefault="00413F41" w:rsidP="00DC687F">
      <w:pPr>
        <w:pStyle w:val="Subtitle"/>
        <w:rPr>
          <w:rFonts w:asciiTheme="minorHAnsi" w:hAnsiTheme="minorHAnsi" w:cstheme="minorHAnsi"/>
          <w:sz w:val="52"/>
          <w:szCs w:val="52"/>
        </w:rPr>
      </w:pPr>
      <w:bookmarkStart w:id="108" w:name="_Toc400627303"/>
      <w:bookmarkStart w:id="109" w:name="_Toc132743756"/>
      <w:r w:rsidRPr="00B51BAD">
        <w:rPr>
          <w:rFonts w:asciiTheme="minorHAnsi" w:hAnsiTheme="minorHAnsi" w:cstheme="minorHAnsi"/>
          <w:sz w:val="52"/>
          <w:szCs w:val="52"/>
        </w:rPr>
        <w:t xml:space="preserve">ACT </w:t>
      </w:r>
      <w:r w:rsidR="000413B6" w:rsidRPr="00B51BAD">
        <w:rPr>
          <w:rFonts w:asciiTheme="minorHAnsi" w:hAnsiTheme="minorHAnsi" w:cstheme="minorHAnsi"/>
          <w:sz w:val="52"/>
          <w:szCs w:val="52"/>
        </w:rPr>
        <w:t>MODEL FINANCIAL STATEMENTS</w:t>
      </w:r>
      <w:bookmarkEnd w:id="108"/>
      <w:bookmarkEnd w:id="109"/>
    </w:p>
    <w:p w14:paraId="07BCC1D3" w14:textId="55FB401D" w:rsidR="00DC687F" w:rsidRPr="00B51BAD" w:rsidRDefault="00B51BAD" w:rsidP="001A1550">
      <w:pPr>
        <w:jc w:val="center"/>
        <w:rPr>
          <w:rFonts w:asciiTheme="minorHAnsi" w:hAnsiTheme="minorHAnsi" w:cstheme="minorHAnsi"/>
          <w:b/>
          <w:sz w:val="52"/>
          <w:szCs w:val="52"/>
        </w:rPr>
      </w:pPr>
      <w:r w:rsidRPr="00B51BAD">
        <w:rPr>
          <w:rFonts w:asciiTheme="minorHAnsi" w:hAnsiTheme="minorHAnsi" w:cstheme="minorHAnsi"/>
          <w:b/>
          <w:sz w:val="52"/>
          <w:szCs w:val="52"/>
        </w:rPr>
        <w:t>OF</w:t>
      </w:r>
    </w:p>
    <w:p w14:paraId="6F6467EF" w14:textId="573D96B8" w:rsidR="00DC687F" w:rsidRPr="00B51BAD" w:rsidRDefault="00DC687F" w:rsidP="001A1550">
      <w:pPr>
        <w:jc w:val="center"/>
        <w:rPr>
          <w:rFonts w:asciiTheme="minorHAnsi" w:hAnsiTheme="minorHAnsi" w:cstheme="minorHAnsi"/>
          <w:b/>
          <w:sz w:val="52"/>
          <w:szCs w:val="52"/>
        </w:rPr>
      </w:pPr>
      <w:r w:rsidRPr="00B51BAD">
        <w:rPr>
          <w:rFonts w:asciiTheme="minorHAnsi" w:hAnsiTheme="minorHAnsi" w:cstheme="minorHAnsi"/>
          <w:b/>
          <w:sz w:val="52"/>
          <w:szCs w:val="52"/>
        </w:rPr>
        <w:t>‘</w:t>
      </w:r>
      <w:r w:rsidR="007D5C59" w:rsidRPr="00B51BAD">
        <w:rPr>
          <w:rFonts w:asciiTheme="minorHAnsi" w:hAnsiTheme="minorHAnsi" w:cstheme="minorHAnsi"/>
          <w:b/>
          <w:sz w:val="52"/>
          <w:szCs w:val="52"/>
        </w:rPr>
        <w:t xml:space="preserve">BURLEY GRIFFIN </w:t>
      </w:r>
      <w:r w:rsidR="001B41EA" w:rsidRPr="00B51BAD">
        <w:rPr>
          <w:rFonts w:asciiTheme="minorHAnsi" w:hAnsiTheme="minorHAnsi" w:cstheme="minorHAnsi"/>
          <w:b/>
          <w:sz w:val="52"/>
          <w:szCs w:val="52"/>
        </w:rPr>
        <w:t>AGENCY</w:t>
      </w:r>
      <w:r w:rsidRPr="00B51BAD">
        <w:rPr>
          <w:rFonts w:asciiTheme="minorHAnsi" w:hAnsiTheme="minorHAnsi" w:cstheme="minorHAnsi"/>
          <w:b/>
          <w:sz w:val="52"/>
          <w:szCs w:val="52"/>
        </w:rPr>
        <w:t>’</w:t>
      </w:r>
    </w:p>
    <w:p w14:paraId="79F42312" w14:textId="77777777" w:rsidR="00DC687F" w:rsidRPr="00B51BAD" w:rsidRDefault="00DC687F" w:rsidP="001A1550">
      <w:pPr>
        <w:jc w:val="center"/>
        <w:rPr>
          <w:rFonts w:asciiTheme="minorHAnsi" w:hAnsiTheme="minorHAnsi" w:cstheme="minorHAnsi"/>
          <w:b/>
          <w:sz w:val="52"/>
          <w:szCs w:val="52"/>
        </w:rPr>
      </w:pPr>
    </w:p>
    <w:p w14:paraId="25F2756F" w14:textId="77777777" w:rsidR="00DC687F" w:rsidRPr="00B51BAD" w:rsidRDefault="00DC687F" w:rsidP="001A1550">
      <w:pPr>
        <w:jc w:val="center"/>
        <w:rPr>
          <w:rFonts w:asciiTheme="minorHAnsi" w:hAnsiTheme="minorHAnsi" w:cstheme="minorHAnsi"/>
          <w:b/>
          <w:sz w:val="52"/>
          <w:szCs w:val="52"/>
        </w:rPr>
      </w:pPr>
    </w:p>
    <w:p w14:paraId="618FDB98" w14:textId="77777777" w:rsidR="00DC687F" w:rsidRPr="00B51BAD" w:rsidRDefault="00DC687F" w:rsidP="001A1550">
      <w:pPr>
        <w:jc w:val="center"/>
        <w:rPr>
          <w:b/>
          <w:sz w:val="40"/>
          <w:szCs w:val="40"/>
        </w:rPr>
      </w:pPr>
    </w:p>
    <w:p w14:paraId="66E83FDE" w14:textId="77777777" w:rsidR="00541371" w:rsidRPr="00B51BAD" w:rsidRDefault="00541371" w:rsidP="001A1550">
      <w:pPr>
        <w:jc w:val="center"/>
        <w:rPr>
          <w:b/>
          <w:sz w:val="40"/>
          <w:szCs w:val="40"/>
        </w:rPr>
      </w:pPr>
      <w:r w:rsidRPr="00B51BAD">
        <w:rPr>
          <w:b/>
          <w:sz w:val="40"/>
          <w:szCs w:val="40"/>
        </w:rPr>
        <w:t>F</w:t>
      </w:r>
      <w:r w:rsidR="00DC687F" w:rsidRPr="00B51BAD">
        <w:rPr>
          <w:b/>
          <w:sz w:val="40"/>
          <w:szCs w:val="40"/>
        </w:rPr>
        <w:t xml:space="preserve">or </w:t>
      </w:r>
      <w:r w:rsidR="00DF611A" w:rsidRPr="00B51BAD">
        <w:rPr>
          <w:b/>
          <w:sz w:val="40"/>
          <w:szCs w:val="40"/>
        </w:rPr>
        <w:t>t</w:t>
      </w:r>
      <w:r w:rsidR="00DC687F" w:rsidRPr="00B51BAD">
        <w:rPr>
          <w:b/>
          <w:sz w:val="40"/>
          <w:szCs w:val="40"/>
        </w:rPr>
        <w:t>he Year End</w:t>
      </w:r>
      <w:r w:rsidR="009D190B" w:rsidRPr="00B51BAD">
        <w:rPr>
          <w:b/>
          <w:sz w:val="40"/>
          <w:szCs w:val="40"/>
        </w:rPr>
        <w:t>ed</w:t>
      </w:r>
    </w:p>
    <w:p w14:paraId="76E705D5" w14:textId="1636B8AC" w:rsidR="00541371" w:rsidRPr="00B51BAD" w:rsidRDefault="00541371" w:rsidP="001A1550">
      <w:pPr>
        <w:jc w:val="center"/>
        <w:rPr>
          <w:b/>
          <w:sz w:val="40"/>
          <w:szCs w:val="40"/>
        </w:rPr>
      </w:pPr>
      <w:r w:rsidRPr="00B51BAD">
        <w:rPr>
          <w:b/>
          <w:sz w:val="40"/>
          <w:szCs w:val="40"/>
        </w:rPr>
        <w:t>30 J</w:t>
      </w:r>
      <w:r w:rsidR="00DC687F" w:rsidRPr="00B51BAD">
        <w:rPr>
          <w:b/>
          <w:sz w:val="40"/>
          <w:szCs w:val="40"/>
        </w:rPr>
        <w:t>une</w:t>
      </w:r>
      <w:r w:rsidRPr="00B51BAD">
        <w:rPr>
          <w:b/>
          <w:sz w:val="40"/>
          <w:szCs w:val="40"/>
        </w:rPr>
        <w:t xml:space="preserve"> </w:t>
      </w:r>
      <w:r w:rsidR="00CE40B2" w:rsidRPr="00B51BAD">
        <w:rPr>
          <w:b/>
          <w:sz w:val="40"/>
          <w:szCs w:val="40"/>
        </w:rPr>
        <w:t>202</w:t>
      </w:r>
      <w:r w:rsidR="00D50594">
        <w:rPr>
          <w:b/>
          <w:sz w:val="40"/>
          <w:szCs w:val="40"/>
        </w:rPr>
        <w:t>3</w:t>
      </w:r>
    </w:p>
    <w:p w14:paraId="17D7A295" w14:textId="77777777" w:rsidR="00541371" w:rsidRPr="001A1550" w:rsidRDefault="00541371" w:rsidP="001A1550">
      <w:pPr>
        <w:jc w:val="center"/>
        <w:rPr>
          <w:rFonts w:cs="Calibri"/>
          <w:b/>
          <w:bCs/>
          <w:sz w:val="40"/>
          <w:szCs w:val="40"/>
        </w:rPr>
      </w:pPr>
    </w:p>
    <w:p w14:paraId="4684FEAD" w14:textId="77777777" w:rsidR="00DC687F" w:rsidRDefault="00DC687F" w:rsidP="00541371">
      <w:pPr>
        <w:tabs>
          <w:tab w:val="left" w:pos="3306"/>
        </w:tabs>
        <w:jc w:val="center"/>
        <w:rPr>
          <w:rFonts w:cs="Calibri"/>
          <w:b/>
          <w:bCs/>
        </w:rPr>
      </w:pPr>
    </w:p>
    <w:p w14:paraId="772B16CD" w14:textId="77777777" w:rsidR="00541371" w:rsidRDefault="00541371" w:rsidP="00541371">
      <w:pPr>
        <w:tabs>
          <w:tab w:val="left" w:pos="3306"/>
        </w:tabs>
        <w:jc w:val="center"/>
        <w:rPr>
          <w:rFonts w:cs="Calibri"/>
          <w:b/>
          <w:bCs/>
        </w:rPr>
      </w:pPr>
    </w:p>
    <w:p w14:paraId="4B169C26" w14:textId="77777777" w:rsidR="00DC687F" w:rsidRDefault="00DC687F" w:rsidP="00541371">
      <w:pPr>
        <w:tabs>
          <w:tab w:val="left" w:pos="3306"/>
        </w:tabs>
        <w:jc w:val="center"/>
        <w:rPr>
          <w:rFonts w:cs="Calibri"/>
          <w:b/>
          <w:bCs/>
        </w:rPr>
      </w:pPr>
    </w:p>
    <w:p w14:paraId="3D714A60" w14:textId="77777777" w:rsidR="00541371" w:rsidRDefault="00541371" w:rsidP="00DC687F"/>
    <w:p w14:paraId="3E3F2648" w14:textId="77777777" w:rsidR="00541371" w:rsidRDefault="00541371" w:rsidP="00DC687F"/>
    <w:p w14:paraId="17AC7718" w14:textId="77777777" w:rsidR="00541371" w:rsidRPr="00CF7E1B" w:rsidRDefault="00541371" w:rsidP="00555A12">
      <w:pPr>
        <w:pStyle w:val="Title"/>
        <w:tabs>
          <w:tab w:val="left" w:pos="3306"/>
        </w:tabs>
        <w:jc w:val="left"/>
        <w:rPr>
          <w:rFonts w:cs="Calibri"/>
        </w:rPr>
        <w:sectPr w:rsidR="00541371" w:rsidRPr="00CF7E1B" w:rsidSect="00BF7295">
          <w:headerReference w:type="default" r:id="rId18"/>
          <w:footerReference w:type="default" r:id="rId19"/>
          <w:footnotePr>
            <w:numRestart w:val="eachPage"/>
          </w:footnotePr>
          <w:type w:val="nextColumn"/>
          <w:pgSz w:w="11907" w:h="16840" w:code="9"/>
          <w:pgMar w:top="826" w:right="992" w:bottom="284" w:left="1276" w:header="57" w:footer="57" w:gutter="0"/>
          <w:pgNumType w:start="1"/>
          <w:cols w:space="720"/>
        </w:sectPr>
      </w:pPr>
    </w:p>
    <w:p w14:paraId="4E618C84" w14:textId="77777777" w:rsidR="000144FF" w:rsidRDefault="000144FF">
      <w:pPr>
        <w:tabs>
          <w:tab w:val="left" w:pos="3306"/>
        </w:tabs>
        <w:jc w:val="center"/>
        <w:rPr>
          <w:rFonts w:cs="Calibri"/>
          <w:b/>
          <w:bCs/>
        </w:rPr>
      </w:pPr>
    </w:p>
    <w:p w14:paraId="0F5871A8" w14:textId="77777777" w:rsidR="00B5432D" w:rsidRDefault="00B5432D">
      <w:pPr>
        <w:tabs>
          <w:tab w:val="left" w:pos="3306"/>
        </w:tabs>
        <w:jc w:val="center"/>
        <w:rPr>
          <w:rFonts w:cs="Calibri"/>
          <w:b/>
          <w:bCs/>
        </w:rPr>
      </w:pPr>
    </w:p>
    <w:p w14:paraId="4F0CFB5E" w14:textId="77777777" w:rsidR="00B5432D" w:rsidRDefault="00B5432D">
      <w:pPr>
        <w:tabs>
          <w:tab w:val="left" w:pos="3306"/>
        </w:tabs>
        <w:jc w:val="center"/>
        <w:rPr>
          <w:rFonts w:cs="Calibri"/>
          <w:b/>
          <w:bCs/>
        </w:rPr>
      </w:pPr>
    </w:p>
    <w:p w14:paraId="40142DF9" w14:textId="77777777" w:rsidR="00B5432D" w:rsidRDefault="00B5432D">
      <w:pPr>
        <w:tabs>
          <w:tab w:val="left" w:pos="3306"/>
        </w:tabs>
        <w:jc w:val="center"/>
        <w:rPr>
          <w:rFonts w:cs="Calibri"/>
          <w:b/>
          <w:bCs/>
        </w:rPr>
      </w:pPr>
    </w:p>
    <w:p w14:paraId="613487B7" w14:textId="77777777" w:rsidR="00B5432D" w:rsidRPr="00CF7E1B" w:rsidRDefault="00B5432D">
      <w:pPr>
        <w:tabs>
          <w:tab w:val="left" w:pos="3306"/>
        </w:tabs>
        <w:jc w:val="center"/>
        <w:rPr>
          <w:rFonts w:cs="Calibri"/>
          <w:b/>
          <w:bCs/>
        </w:rPr>
      </w:pPr>
    </w:p>
    <w:p w14:paraId="5F71ADAC" w14:textId="77777777" w:rsidR="00432859" w:rsidRDefault="00432859" w:rsidP="001A1550">
      <w:pPr>
        <w:pStyle w:val="Subtitle"/>
      </w:pPr>
      <w:bookmarkStart w:id="110" w:name="_Toc49155402"/>
      <w:bookmarkStart w:id="111" w:name="_Toc49223848"/>
      <w:bookmarkStart w:id="112" w:name="_Toc50440308"/>
      <w:bookmarkStart w:id="113" w:name="_Toc194918633"/>
      <w:bookmarkStart w:id="114" w:name="_Toc400627304"/>
    </w:p>
    <w:p w14:paraId="272091E7" w14:textId="77777777" w:rsidR="00432859" w:rsidRDefault="00432859" w:rsidP="001A1550">
      <w:pPr>
        <w:pStyle w:val="Subtitle"/>
      </w:pPr>
    </w:p>
    <w:p w14:paraId="7BDE5D29" w14:textId="77777777" w:rsidR="00950179" w:rsidRDefault="00950179" w:rsidP="001A1550">
      <w:pPr>
        <w:pStyle w:val="Subtitle"/>
      </w:pPr>
    </w:p>
    <w:p w14:paraId="374764A7" w14:textId="0A33AF72" w:rsidR="000144FF" w:rsidRPr="00CF7E1B" w:rsidRDefault="000144FF" w:rsidP="001A1550">
      <w:pPr>
        <w:pStyle w:val="Subtitle"/>
      </w:pPr>
      <w:bookmarkStart w:id="115" w:name="_Toc132743757"/>
      <w:r w:rsidRPr="00CF7E1B">
        <w:t>Independent Audit</w:t>
      </w:r>
      <w:r w:rsidR="00325BC3" w:rsidRPr="00B51BAD">
        <w:t>or’s</w:t>
      </w:r>
      <w:r w:rsidRPr="00CF7E1B">
        <w:t xml:space="preserve"> </w:t>
      </w:r>
      <w:bookmarkEnd w:id="110"/>
      <w:bookmarkEnd w:id="111"/>
      <w:bookmarkEnd w:id="112"/>
      <w:r w:rsidRPr="00CF7E1B">
        <w:t>Report</w:t>
      </w:r>
      <w:bookmarkEnd w:id="113"/>
      <w:bookmarkEnd w:id="114"/>
      <w:bookmarkEnd w:id="115"/>
    </w:p>
    <w:p w14:paraId="48ED2718" w14:textId="77777777" w:rsidR="000144FF" w:rsidRPr="00CF7E1B" w:rsidRDefault="000144FF">
      <w:pPr>
        <w:tabs>
          <w:tab w:val="left" w:pos="3306"/>
        </w:tabs>
        <w:jc w:val="center"/>
        <w:rPr>
          <w:rFonts w:cs="Calibri"/>
          <w:b/>
          <w:bCs/>
        </w:rPr>
      </w:pPr>
    </w:p>
    <w:p w14:paraId="4D01A80C" w14:textId="77777777" w:rsidR="000144FF" w:rsidRPr="00CF7E1B" w:rsidRDefault="000144FF">
      <w:pPr>
        <w:tabs>
          <w:tab w:val="left" w:pos="3306"/>
        </w:tabs>
        <w:jc w:val="center"/>
        <w:rPr>
          <w:rFonts w:cs="Calibri"/>
          <w:b/>
          <w:bCs/>
        </w:rPr>
      </w:pPr>
    </w:p>
    <w:p w14:paraId="5398B684" w14:textId="77777777" w:rsidR="000144FF" w:rsidRPr="00CF7E1B" w:rsidRDefault="000144FF">
      <w:pPr>
        <w:tabs>
          <w:tab w:val="left" w:pos="3306"/>
        </w:tabs>
        <w:jc w:val="center"/>
        <w:rPr>
          <w:rFonts w:cs="Calibri"/>
          <w:b/>
          <w:bCs/>
        </w:rPr>
      </w:pPr>
    </w:p>
    <w:p w14:paraId="249EBDD9" w14:textId="77777777" w:rsidR="000144FF" w:rsidRPr="00CF7E1B" w:rsidRDefault="000144FF">
      <w:pPr>
        <w:tabs>
          <w:tab w:val="left" w:pos="3306"/>
        </w:tabs>
        <w:jc w:val="center"/>
        <w:rPr>
          <w:rFonts w:cs="Calibri"/>
          <w:b/>
          <w:bCs/>
        </w:rPr>
      </w:pPr>
    </w:p>
    <w:p w14:paraId="78E5E3C7" w14:textId="77777777" w:rsidR="000144FF" w:rsidRPr="00CF7E1B" w:rsidRDefault="000144FF">
      <w:pPr>
        <w:tabs>
          <w:tab w:val="left" w:pos="3306"/>
        </w:tabs>
        <w:jc w:val="center"/>
        <w:rPr>
          <w:rFonts w:cs="Calibri"/>
        </w:rPr>
      </w:pPr>
      <w:r w:rsidRPr="00CF7E1B">
        <w:rPr>
          <w:rFonts w:cs="Calibri"/>
        </w:rPr>
        <w:t>[Insert the Report from the ACT Audit</w:t>
      </w:r>
      <w:r w:rsidR="00CA3705">
        <w:rPr>
          <w:rFonts w:cs="Calibri"/>
        </w:rPr>
        <w:t xml:space="preserve"> </w:t>
      </w:r>
      <w:r w:rsidRPr="00CF7E1B">
        <w:rPr>
          <w:rFonts w:cs="Calibri"/>
        </w:rPr>
        <w:t>Office.]</w:t>
      </w:r>
    </w:p>
    <w:p w14:paraId="2660411B" w14:textId="77777777" w:rsidR="00986F4D" w:rsidRDefault="00986F4D" w:rsidP="00986F4D"/>
    <w:p w14:paraId="55AE6D5E" w14:textId="77777777" w:rsidR="00CE21AE" w:rsidRDefault="00CE21AE" w:rsidP="00986F4D"/>
    <w:p w14:paraId="1FA690B5" w14:textId="77777777" w:rsidR="00CE21AE" w:rsidRDefault="00CE21AE" w:rsidP="00986F4D"/>
    <w:p w14:paraId="540A3643" w14:textId="77777777" w:rsidR="00CE21AE" w:rsidRDefault="00CE21AE" w:rsidP="00986F4D"/>
    <w:p w14:paraId="26D07F42" w14:textId="77777777" w:rsidR="00CE21AE" w:rsidRPr="00986F4D" w:rsidRDefault="00CE21AE" w:rsidP="00986F4D"/>
    <w:p w14:paraId="27AED56E" w14:textId="77777777" w:rsidR="00986F4D" w:rsidRPr="00986F4D" w:rsidRDefault="00986F4D" w:rsidP="00986F4D"/>
    <w:p w14:paraId="793E9741" w14:textId="77777777" w:rsidR="00986F4D" w:rsidRPr="00986F4D" w:rsidRDefault="00986F4D" w:rsidP="00986F4D">
      <w:pPr>
        <w:jc w:val="center"/>
      </w:pPr>
    </w:p>
    <w:p w14:paraId="713D7E97" w14:textId="77777777" w:rsidR="00986F4D" w:rsidRDefault="00986F4D" w:rsidP="00986F4D"/>
    <w:p w14:paraId="5F2E48EF" w14:textId="77777777" w:rsidR="000144FF" w:rsidRPr="00986F4D" w:rsidRDefault="000144FF" w:rsidP="00986F4D">
      <w:pPr>
        <w:sectPr w:rsidR="000144FF" w:rsidRPr="00986F4D" w:rsidSect="009F7B79">
          <w:headerReference w:type="default" r:id="rId20"/>
          <w:footnotePr>
            <w:numRestart w:val="eachPage"/>
          </w:footnotePr>
          <w:type w:val="nextColumn"/>
          <w:pgSz w:w="11907" w:h="16840" w:code="9"/>
          <w:pgMar w:top="1134" w:right="1134" w:bottom="567" w:left="1134" w:header="568" w:footer="720" w:gutter="0"/>
          <w:cols w:space="720"/>
        </w:sectPr>
      </w:pPr>
    </w:p>
    <w:p w14:paraId="0DB0F030" w14:textId="77777777" w:rsidR="000144FF" w:rsidRDefault="000144FF" w:rsidP="00E20869"/>
    <w:p w14:paraId="57FB2279" w14:textId="77777777" w:rsidR="00E20869" w:rsidRPr="00CF7E1B" w:rsidRDefault="00E20869" w:rsidP="00E20869"/>
    <w:p w14:paraId="58666F45" w14:textId="40F27622" w:rsidR="00E20869" w:rsidRPr="00B51BAD" w:rsidRDefault="00E20869" w:rsidP="00413F41">
      <w:pPr>
        <w:jc w:val="center"/>
        <w:rPr>
          <w:b/>
          <w:sz w:val="40"/>
          <w:szCs w:val="40"/>
        </w:rPr>
      </w:pPr>
      <w:r w:rsidRPr="001A1550">
        <w:rPr>
          <w:b/>
          <w:sz w:val="40"/>
          <w:szCs w:val="40"/>
        </w:rPr>
        <w:t>‘</w:t>
      </w:r>
      <w:r w:rsidR="007D5C59" w:rsidRPr="00B51BAD">
        <w:rPr>
          <w:b/>
          <w:sz w:val="40"/>
          <w:szCs w:val="40"/>
        </w:rPr>
        <w:t xml:space="preserve">Burley Griffin </w:t>
      </w:r>
      <w:r w:rsidRPr="00B51BAD">
        <w:rPr>
          <w:b/>
          <w:sz w:val="40"/>
          <w:szCs w:val="40"/>
        </w:rPr>
        <w:t>Agency’</w:t>
      </w:r>
    </w:p>
    <w:p w14:paraId="6CC798CF" w14:textId="77777777" w:rsidR="00E20869" w:rsidRPr="00B51BAD" w:rsidRDefault="00E20869" w:rsidP="00413F41">
      <w:pPr>
        <w:jc w:val="center"/>
        <w:rPr>
          <w:b/>
          <w:sz w:val="40"/>
          <w:szCs w:val="40"/>
        </w:rPr>
      </w:pPr>
      <w:r w:rsidRPr="00B51BAD">
        <w:rPr>
          <w:b/>
          <w:sz w:val="40"/>
          <w:szCs w:val="40"/>
        </w:rPr>
        <w:t>Financial Statements</w:t>
      </w:r>
    </w:p>
    <w:p w14:paraId="403E28DF" w14:textId="4F6E3F54" w:rsidR="00E20869" w:rsidRPr="00B51BAD" w:rsidRDefault="00E20869" w:rsidP="00413F41">
      <w:pPr>
        <w:jc w:val="center"/>
        <w:rPr>
          <w:b/>
          <w:sz w:val="40"/>
          <w:szCs w:val="40"/>
        </w:rPr>
      </w:pPr>
      <w:r w:rsidRPr="00B51BAD">
        <w:rPr>
          <w:b/>
          <w:sz w:val="40"/>
          <w:szCs w:val="40"/>
        </w:rPr>
        <w:t xml:space="preserve">For the Year Ended 30 June </w:t>
      </w:r>
      <w:r w:rsidR="00C66E0D" w:rsidRPr="00B51BAD">
        <w:rPr>
          <w:b/>
          <w:sz w:val="40"/>
          <w:szCs w:val="40"/>
        </w:rPr>
        <w:t>202</w:t>
      </w:r>
      <w:r w:rsidR="00D50594">
        <w:rPr>
          <w:b/>
          <w:sz w:val="40"/>
          <w:szCs w:val="40"/>
        </w:rPr>
        <w:t>3</w:t>
      </w:r>
    </w:p>
    <w:p w14:paraId="2BB2CD9A" w14:textId="77777777" w:rsidR="000144FF" w:rsidRDefault="000144FF" w:rsidP="00E20869"/>
    <w:p w14:paraId="05865794" w14:textId="77777777" w:rsidR="00B5432D" w:rsidRPr="00CF7E1B" w:rsidRDefault="00B5432D" w:rsidP="00E20869"/>
    <w:p w14:paraId="0DDA78F3" w14:textId="77777777" w:rsidR="00E20869" w:rsidRPr="00432859" w:rsidRDefault="00E20869" w:rsidP="00736D13">
      <w:pPr>
        <w:rPr>
          <w:rFonts w:asciiTheme="minorHAnsi" w:hAnsiTheme="minorHAnsi"/>
        </w:rPr>
      </w:pPr>
      <w:bookmarkStart w:id="116" w:name="_Toc40174826"/>
      <w:bookmarkStart w:id="117" w:name="_Toc40174862"/>
      <w:bookmarkStart w:id="118" w:name="_Toc48468207"/>
      <w:bookmarkStart w:id="119" w:name="_Toc49155403"/>
      <w:bookmarkStart w:id="120" w:name="_Toc49223849"/>
      <w:bookmarkStart w:id="121" w:name="_Toc50440309"/>
      <w:bookmarkStart w:id="122" w:name="_Toc194918634"/>
      <w:bookmarkStart w:id="123" w:name="_Toc400627305"/>
    </w:p>
    <w:p w14:paraId="115EADE4" w14:textId="77777777" w:rsidR="000144FF" w:rsidRPr="00432859" w:rsidRDefault="000144FF" w:rsidP="001A1550">
      <w:pPr>
        <w:pStyle w:val="Subtitle"/>
        <w:rPr>
          <w:rFonts w:asciiTheme="minorHAnsi" w:hAnsiTheme="minorHAnsi"/>
        </w:rPr>
      </w:pPr>
      <w:bookmarkStart w:id="124" w:name="_Toc132743758"/>
      <w:r w:rsidRPr="00432859">
        <w:rPr>
          <w:rFonts w:asciiTheme="minorHAnsi" w:hAnsiTheme="minorHAnsi"/>
        </w:rPr>
        <w:t>Statement of Responsibility</w:t>
      </w:r>
      <w:bookmarkEnd w:id="116"/>
      <w:bookmarkEnd w:id="117"/>
      <w:bookmarkEnd w:id="118"/>
      <w:bookmarkEnd w:id="119"/>
      <w:bookmarkEnd w:id="120"/>
      <w:bookmarkEnd w:id="121"/>
      <w:bookmarkEnd w:id="122"/>
      <w:bookmarkEnd w:id="123"/>
      <w:bookmarkEnd w:id="124"/>
    </w:p>
    <w:p w14:paraId="7841AC5C" w14:textId="77777777" w:rsidR="000144FF" w:rsidRPr="00CF7E1B" w:rsidRDefault="000144FF">
      <w:pPr>
        <w:tabs>
          <w:tab w:val="left" w:pos="3306"/>
        </w:tabs>
        <w:rPr>
          <w:rFonts w:cs="Calibri"/>
          <w:b/>
          <w:bCs/>
          <w:sz w:val="20"/>
        </w:rPr>
      </w:pPr>
    </w:p>
    <w:p w14:paraId="0A7E4FE5" w14:textId="77777777" w:rsidR="000144FF" w:rsidRPr="00CF7E1B" w:rsidRDefault="000144FF">
      <w:pPr>
        <w:tabs>
          <w:tab w:val="left" w:pos="3306"/>
        </w:tabs>
        <w:rPr>
          <w:rFonts w:cs="Calibri"/>
          <w:b/>
          <w:bCs/>
          <w:sz w:val="20"/>
        </w:rPr>
      </w:pPr>
    </w:p>
    <w:p w14:paraId="2ACBAB15" w14:textId="77777777" w:rsidR="000144FF" w:rsidRPr="00CF7E1B" w:rsidRDefault="000144FF">
      <w:pPr>
        <w:tabs>
          <w:tab w:val="left" w:pos="3306"/>
        </w:tabs>
        <w:rPr>
          <w:rFonts w:cs="Calibri"/>
          <w:b/>
          <w:bCs/>
          <w:sz w:val="20"/>
        </w:rPr>
      </w:pPr>
    </w:p>
    <w:p w14:paraId="626F0285" w14:textId="77777777" w:rsidR="000144FF" w:rsidRPr="00CF7E1B" w:rsidRDefault="000144FF">
      <w:pPr>
        <w:tabs>
          <w:tab w:val="left" w:pos="3306"/>
        </w:tabs>
        <w:rPr>
          <w:rFonts w:cs="Calibri"/>
          <w:b/>
          <w:bCs/>
          <w:sz w:val="20"/>
        </w:rPr>
      </w:pPr>
    </w:p>
    <w:p w14:paraId="0F81C7E1" w14:textId="46A32AD8" w:rsidR="000144FF" w:rsidRPr="00B51BAD" w:rsidRDefault="000144FF" w:rsidP="007D5C59">
      <w:pPr>
        <w:tabs>
          <w:tab w:val="left" w:pos="3306"/>
        </w:tabs>
        <w:jc w:val="both"/>
        <w:rPr>
          <w:rFonts w:cs="Calibri"/>
          <w:sz w:val="18"/>
          <w:szCs w:val="18"/>
        </w:rPr>
      </w:pPr>
      <w:bookmarkStart w:id="125" w:name="_Hlk64292459"/>
      <w:r w:rsidRPr="00413F41">
        <w:rPr>
          <w:rFonts w:cs="Calibri"/>
          <w:sz w:val="18"/>
          <w:szCs w:val="18"/>
        </w:rPr>
        <w:t xml:space="preserve">In </w:t>
      </w:r>
      <w:r w:rsidRPr="00B51BAD">
        <w:rPr>
          <w:rFonts w:cs="Calibri"/>
          <w:sz w:val="18"/>
          <w:szCs w:val="18"/>
        </w:rPr>
        <w:t xml:space="preserve">my opinion, the </w:t>
      </w:r>
      <w:r w:rsidR="00086FDD">
        <w:rPr>
          <w:rFonts w:cs="Calibri"/>
          <w:sz w:val="18"/>
          <w:szCs w:val="18"/>
        </w:rPr>
        <w:t>d</w:t>
      </w:r>
      <w:r w:rsidR="00867B88" w:rsidRPr="00B51BAD">
        <w:rPr>
          <w:rFonts w:cs="Calibri"/>
          <w:sz w:val="18"/>
          <w:szCs w:val="18"/>
        </w:rPr>
        <w:t>irectorate</w:t>
      </w:r>
      <w:r w:rsidR="00327BF3">
        <w:rPr>
          <w:rFonts w:cs="Calibri"/>
          <w:sz w:val="18"/>
          <w:szCs w:val="18"/>
        </w:rPr>
        <w:t>’s</w:t>
      </w:r>
      <w:r w:rsidR="00867B88" w:rsidRPr="00B51BAD">
        <w:rPr>
          <w:rFonts w:cs="Calibri"/>
          <w:sz w:val="18"/>
          <w:szCs w:val="18"/>
        </w:rPr>
        <w:t xml:space="preserve">* </w:t>
      </w:r>
      <w:r w:rsidRPr="00B51BAD">
        <w:rPr>
          <w:rFonts w:cs="Calibri"/>
          <w:sz w:val="18"/>
          <w:szCs w:val="18"/>
        </w:rPr>
        <w:t xml:space="preserve">financial </w:t>
      </w:r>
      <w:r w:rsidR="00284B31" w:rsidRPr="00B51BAD">
        <w:rPr>
          <w:rFonts w:cs="Calibri"/>
          <w:sz w:val="18"/>
          <w:szCs w:val="18"/>
        </w:rPr>
        <w:t>statements</w:t>
      </w:r>
      <w:r w:rsidRPr="00B51BAD">
        <w:rPr>
          <w:rFonts w:cs="Calibri"/>
          <w:sz w:val="18"/>
          <w:szCs w:val="18"/>
        </w:rPr>
        <w:t xml:space="preserve"> fairly reflect the financial operations for the year ended 30 June </w:t>
      </w:r>
      <w:r w:rsidR="001B41EA" w:rsidRPr="00B51BAD">
        <w:rPr>
          <w:rFonts w:cs="Calibri"/>
          <w:sz w:val="18"/>
          <w:szCs w:val="18"/>
        </w:rPr>
        <w:t>202</w:t>
      </w:r>
      <w:r w:rsidR="00D50594">
        <w:rPr>
          <w:rFonts w:cs="Calibri"/>
          <w:sz w:val="18"/>
          <w:szCs w:val="18"/>
        </w:rPr>
        <w:t>3</w:t>
      </w:r>
      <w:r w:rsidR="001B41EA" w:rsidRPr="00B51BAD">
        <w:rPr>
          <w:rFonts w:cs="Calibri"/>
          <w:sz w:val="18"/>
          <w:szCs w:val="18"/>
        </w:rPr>
        <w:t xml:space="preserve"> </w:t>
      </w:r>
      <w:r w:rsidRPr="00B51BAD">
        <w:rPr>
          <w:rFonts w:cs="Calibri"/>
          <w:sz w:val="18"/>
          <w:szCs w:val="18"/>
        </w:rPr>
        <w:t>and</w:t>
      </w:r>
      <w:r w:rsidR="00CA3AC7" w:rsidRPr="00B51BAD">
        <w:rPr>
          <w:rFonts w:cs="Calibri"/>
          <w:sz w:val="18"/>
          <w:szCs w:val="18"/>
        </w:rPr>
        <w:t xml:space="preserve"> its</w:t>
      </w:r>
      <w:r w:rsidRPr="00B51BAD">
        <w:rPr>
          <w:rFonts w:cs="Calibri"/>
          <w:sz w:val="18"/>
          <w:szCs w:val="18"/>
        </w:rPr>
        <w:t xml:space="preserve"> financial position on that date.</w:t>
      </w:r>
    </w:p>
    <w:bookmarkEnd w:id="125"/>
    <w:p w14:paraId="00DDB851" w14:textId="77777777" w:rsidR="000144FF" w:rsidRPr="00413F41" w:rsidRDefault="000144FF">
      <w:pPr>
        <w:tabs>
          <w:tab w:val="left" w:pos="3306"/>
        </w:tabs>
        <w:rPr>
          <w:rFonts w:cs="Calibri"/>
          <w:sz w:val="18"/>
          <w:szCs w:val="18"/>
        </w:rPr>
      </w:pPr>
    </w:p>
    <w:p w14:paraId="54F4AA08" w14:textId="77777777" w:rsidR="000144FF" w:rsidRPr="00413F41" w:rsidRDefault="000144FF">
      <w:pPr>
        <w:tabs>
          <w:tab w:val="left" w:pos="3306"/>
        </w:tabs>
        <w:rPr>
          <w:rFonts w:cs="Calibri"/>
          <w:sz w:val="18"/>
          <w:szCs w:val="18"/>
        </w:rPr>
      </w:pPr>
    </w:p>
    <w:p w14:paraId="492BCDFF" w14:textId="77777777" w:rsidR="000144FF" w:rsidRPr="00413F41" w:rsidRDefault="000144FF">
      <w:pPr>
        <w:tabs>
          <w:tab w:val="left" w:pos="3306"/>
        </w:tabs>
        <w:rPr>
          <w:rFonts w:cs="Calibri"/>
          <w:sz w:val="18"/>
          <w:szCs w:val="18"/>
        </w:rPr>
      </w:pPr>
    </w:p>
    <w:p w14:paraId="308A93D1" w14:textId="77777777" w:rsidR="000144FF" w:rsidRPr="00413F41" w:rsidRDefault="000144FF">
      <w:pPr>
        <w:tabs>
          <w:tab w:val="left" w:pos="3306"/>
        </w:tabs>
        <w:rPr>
          <w:rFonts w:cs="Calibri"/>
          <w:sz w:val="18"/>
          <w:szCs w:val="18"/>
        </w:rPr>
      </w:pPr>
    </w:p>
    <w:p w14:paraId="4F558D25" w14:textId="77777777" w:rsidR="000144FF" w:rsidRPr="00413F41" w:rsidRDefault="000144FF">
      <w:pPr>
        <w:tabs>
          <w:tab w:val="left" w:pos="3306"/>
        </w:tabs>
        <w:rPr>
          <w:rFonts w:cs="Calibri"/>
          <w:sz w:val="18"/>
          <w:szCs w:val="18"/>
        </w:rPr>
      </w:pPr>
    </w:p>
    <w:p w14:paraId="2014A494" w14:textId="77777777" w:rsidR="000144FF" w:rsidRPr="00B51BAD" w:rsidRDefault="000144FF">
      <w:pPr>
        <w:tabs>
          <w:tab w:val="left" w:pos="3306"/>
        </w:tabs>
        <w:rPr>
          <w:rFonts w:cs="Calibri"/>
          <w:sz w:val="18"/>
          <w:szCs w:val="18"/>
        </w:rPr>
      </w:pPr>
    </w:p>
    <w:p w14:paraId="52FA76F7" w14:textId="07308CA6" w:rsidR="000144FF" w:rsidRPr="0009580B" w:rsidRDefault="009819D7">
      <w:pPr>
        <w:tabs>
          <w:tab w:val="left" w:pos="3306"/>
        </w:tabs>
        <w:rPr>
          <w:rFonts w:cs="Calibri"/>
          <w:sz w:val="18"/>
          <w:szCs w:val="18"/>
        </w:rPr>
      </w:pPr>
      <w:r w:rsidRPr="00B51BAD">
        <w:rPr>
          <w:rFonts w:cs="Calibri"/>
          <w:sz w:val="18"/>
          <w:szCs w:val="18"/>
        </w:rPr>
        <w:t>Chloe</w:t>
      </w:r>
      <w:r w:rsidR="00946581" w:rsidRPr="00B51BAD">
        <w:rPr>
          <w:rFonts w:cs="Calibri"/>
          <w:sz w:val="18"/>
          <w:szCs w:val="18"/>
        </w:rPr>
        <w:t xml:space="preserve"> Grace </w:t>
      </w:r>
    </w:p>
    <w:p w14:paraId="6DB2BA38" w14:textId="11BEAC9E" w:rsidR="00E20869" w:rsidRPr="00B51BAD" w:rsidRDefault="00E20869">
      <w:pPr>
        <w:tabs>
          <w:tab w:val="left" w:pos="3306"/>
        </w:tabs>
        <w:rPr>
          <w:rFonts w:cs="Calibri"/>
          <w:sz w:val="18"/>
          <w:szCs w:val="18"/>
        </w:rPr>
      </w:pPr>
      <w:r w:rsidRPr="00B51BAD">
        <w:rPr>
          <w:rFonts w:cs="Calibri"/>
          <w:sz w:val="18"/>
          <w:szCs w:val="18"/>
        </w:rPr>
        <w:t>Director-General</w:t>
      </w:r>
      <w:r w:rsidR="001B0CE4" w:rsidRPr="00B51BAD">
        <w:rPr>
          <w:rFonts w:cs="Calibri"/>
          <w:sz w:val="18"/>
          <w:szCs w:val="18"/>
        </w:rPr>
        <w:t xml:space="preserve"> </w:t>
      </w:r>
      <w:r w:rsidR="001B0CE4" w:rsidRPr="00C0127A">
        <w:rPr>
          <w:rFonts w:cs="Calibri"/>
          <w:i/>
          <w:iCs/>
          <w:color w:val="2E74B5" w:themeColor="accent1" w:themeShade="BF"/>
          <w:sz w:val="18"/>
          <w:szCs w:val="18"/>
        </w:rPr>
        <w:t>[</w:t>
      </w:r>
      <w:r w:rsidR="001B0CE4" w:rsidRPr="00C0127A">
        <w:rPr>
          <w:i/>
          <w:iCs/>
          <w:color w:val="2E74B5" w:themeColor="accent1" w:themeShade="BF"/>
          <w:sz w:val="18"/>
          <w:szCs w:val="18"/>
        </w:rPr>
        <w:t>Chief Executive Officer or Chairperson]</w:t>
      </w:r>
    </w:p>
    <w:p w14:paraId="7C9EE409" w14:textId="060375BB" w:rsidR="00E20869" w:rsidRPr="00B51BAD" w:rsidRDefault="002F67B3">
      <w:pPr>
        <w:tabs>
          <w:tab w:val="left" w:pos="3306"/>
        </w:tabs>
        <w:rPr>
          <w:rFonts w:cs="Calibri"/>
          <w:sz w:val="18"/>
          <w:szCs w:val="18"/>
        </w:rPr>
      </w:pPr>
      <w:r w:rsidRPr="00B51BAD">
        <w:rPr>
          <w:rFonts w:cs="Calibri"/>
          <w:sz w:val="18"/>
          <w:szCs w:val="18"/>
        </w:rPr>
        <w:t>‘Burley Griffin Agency’</w:t>
      </w:r>
    </w:p>
    <w:p w14:paraId="769F2A79" w14:textId="1E45830E" w:rsidR="00E20869" w:rsidRPr="00B51BAD" w:rsidRDefault="00FA7C77">
      <w:pPr>
        <w:tabs>
          <w:tab w:val="left" w:pos="3306"/>
        </w:tabs>
        <w:rPr>
          <w:rFonts w:cs="Calibri"/>
          <w:sz w:val="18"/>
          <w:szCs w:val="18"/>
        </w:rPr>
      </w:pPr>
      <w:r>
        <w:rPr>
          <w:rFonts w:cs="Calibri"/>
          <w:sz w:val="18"/>
          <w:szCs w:val="18"/>
        </w:rPr>
        <w:t xml:space="preserve">     </w:t>
      </w:r>
      <w:r w:rsidR="00CF2E06" w:rsidRPr="00B51BAD">
        <w:rPr>
          <w:rFonts w:cs="Calibri"/>
          <w:sz w:val="18"/>
          <w:szCs w:val="18"/>
        </w:rPr>
        <w:t>August</w:t>
      </w:r>
      <w:r w:rsidR="00E20869" w:rsidRPr="00B51BAD">
        <w:rPr>
          <w:rFonts w:cs="Calibri"/>
          <w:sz w:val="18"/>
          <w:szCs w:val="18"/>
        </w:rPr>
        <w:t xml:space="preserve"> </w:t>
      </w:r>
      <w:r w:rsidR="00CE40B2" w:rsidRPr="00B51BAD">
        <w:rPr>
          <w:rFonts w:cs="Calibri"/>
          <w:sz w:val="18"/>
          <w:szCs w:val="18"/>
        </w:rPr>
        <w:t>202</w:t>
      </w:r>
      <w:r w:rsidR="00D50594">
        <w:rPr>
          <w:rFonts w:cs="Calibri"/>
          <w:sz w:val="18"/>
          <w:szCs w:val="18"/>
        </w:rPr>
        <w:t>3</w:t>
      </w:r>
    </w:p>
    <w:p w14:paraId="532D51E0" w14:textId="77777777" w:rsidR="000144FF" w:rsidRPr="00CF7E1B" w:rsidRDefault="000144FF">
      <w:pPr>
        <w:pStyle w:val="BodyText"/>
        <w:jc w:val="center"/>
        <w:rPr>
          <w:rFonts w:cs="Calibri"/>
          <w:b/>
          <w:bCs/>
        </w:rPr>
      </w:pPr>
    </w:p>
    <w:p w14:paraId="0CAAEA33" w14:textId="380E7B34" w:rsidR="000144FF" w:rsidRDefault="000144FF" w:rsidP="00413F41">
      <w:pPr>
        <w:pStyle w:val="BodyText"/>
        <w:jc w:val="left"/>
        <w:rPr>
          <w:rFonts w:cs="Calibri"/>
          <w:b/>
          <w:bCs/>
        </w:rPr>
      </w:pPr>
    </w:p>
    <w:p w14:paraId="1E995561" w14:textId="4B0B2422" w:rsidR="00413F41" w:rsidRDefault="00413F41" w:rsidP="00413F41">
      <w:pPr>
        <w:pStyle w:val="BodyText"/>
        <w:jc w:val="left"/>
        <w:rPr>
          <w:rFonts w:cs="Calibri"/>
          <w:b/>
          <w:bCs/>
        </w:rPr>
      </w:pPr>
    </w:p>
    <w:p w14:paraId="0575F82F" w14:textId="19BECFA9" w:rsidR="00413F41" w:rsidRDefault="00413F41" w:rsidP="00413F41">
      <w:pPr>
        <w:pStyle w:val="BodyText"/>
        <w:jc w:val="left"/>
        <w:rPr>
          <w:rFonts w:cs="Calibri"/>
          <w:b/>
          <w:bCs/>
        </w:rPr>
      </w:pPr>
    </w:p>
    <w:p w14:paraId="48313CCB" w14:textId="77777777" w:rsidR="00413F41" w:rsidRDefault="00413F41" w:rsidP="00413F41">
      <w:pPr>
        <w:pStyle w:val="BodyText"/>
        <w:jc w:val="left"/>
        <w:rPr>
          <w:rFonts w:cs="Calibri"/>
          <w:b/>
          <w:bCs/>
        </w:rPr>
      </w:pPr>
    </w:p>
    <w:p w14:paraId="289A734B" w14:textId="77777777" w:rsidR="00413F41" w:rsidRPr="00CF7E1B" w:rsidRDefault="00413F41" w:rsidP="00413F41">
      <w:pPr>
        <w:pStyle w:val="BodyText"/>
        <w:jc w:val="left"/>
        <w:rPr>
          <w:rFonts w:cs="Calibri"/>
          <w:b/>
          <w:bCs/>
        </w:rPr>
      </w:pPr>
    </w:p>
    <w:tbl>
      <w:tblPr>
        <w:tblW w:w="10491"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31"/>
      </w:tblGrid>
      <w:tr w:rsidR="000144FF" w:rsidRPr="00CF7E1B" w14:paraId="6F4E9D56" w14:textId="77777777" w:rsidTr="00BB0CA9">
        <w:trPr>
          <w:trHeight w:hRule="exact" w:val="707"/>
        </w:trPr>
        <w:tc>
          <w:tcPr>
            <w:tcW w:w="1560" w:type="dxa"/>
            <w:tcBorders>
              <w:top w:val="nil"/>
              <w:left w:val="single" w:sz="2" w:space="0" w:color="auto"/>
              <w:bottom w:val="nil"/>
              <w:right w:val="single" w:sz="2" w:space="0" w:color="auto"/>
            </w:tcBorders>
          </w:tcPr>
          <w:p w14:paraId="13E7689E" w14:textId="77777777" w:rsidR="000144FF" w:rsidRPr="00C0127A" w:rsidRDefault="000144FF" w:rsidP="003A523A">
            <w:pPr>
              <w:pStyle w:val="Reference"/>
              <w:spacing w:before="240"/>
              <w:rPr>
                <w:rFonts w:cs="Calibri"/>
                <w:color w:val="7030A0"/>
                <w:sz w:val="22"/>
                <w:szCs w:val="22"/>
              </w:rPr>
            </w:pPr>
            <w:r w:rsidRPr="00C0127A">
              <w:rPr>
                <w:rFonts w:cs="Calibri"/>
                <w:color w:val="7030A0"/>
                <w:sz w:val="22"/>
                <w:szCs w:val="22"/>
              </w:rPr>
              <w:t>Reference</w:t>
            </w:r>
          </w:p>
        </w:tc>
        <w:tc>
          <w:tcPr>
            <w:tcW w:w="8931" w:type="dxa"/>
            <w:tcBorders>
              <w:top w:val="nil"/>
              <w:left w:val="single" w:sz="2" w:space="0" w:color="auto"/>
              <w:bottom w:val="nil"/>
              <w:right w:val="nil"/>
            </w:tcBorders>
            <w:shd w:val="clear" w:color="auto" w:fill="7030A0"/>
            <w:vAlign w:val="bottom"/>
          </w:tcPr>
          <w:p w14:paraId="2FA530D1" w14:textId="77777777" w:rsidR="000144FF" w:rsidRPr="00C0127A" w:rsidRDefault="00E20869" w:rsidP="003A523A">
            <w:pPr>
              <w:spacing w:before="240" w:after="240"/>
              <w:rPr>
                <w:b/>
                <w:caps/>
                <w:color w:val="FFFFFF" w:themeColor="background1"/>
                <w:sz w:val="28"/>
                <w:szCs w:val="28"/>
              </w:rPr>
            </w:pPr>
            <w:bookmarkStart w:id="126" w:name="_Toc163106280"/>
            <w:r w:rsidRPr="00C0127A">
              <w:rPr>
                <w:b/>
                <w:color w:val="FFFFFF" w:themeColor="background1"/>
                <w:sz w:val="28"/>
                <w:szCs w:val="28"/>
              </w:rPr>
              <w:t>Commentary – Statement of Responsibility</w:t>
            </w:r>
            <w:bookmarkEnd w:id="126"/>
          </w:p>
        </w:tc>
      </w:tr>
      <w:tr w:rsidR="000144FF" w:rsidRPr="00CF7E1B" w14:paraId="2E243251"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4256A5A" w14:textId="1CA8E94E" w:rsidR="000144FF" w:rsidRPr="00C0127A" w:rsidRDefault="000144FF">
            <w:pPr>
              <w:pStyle w:val="TableReference"/>
              <w:tabs>
                <w:tab w:val="left" w:pos="3306"/>
              </w:tabs>
              <w:spacing w:before="60"/>
              <w:rPr>
                <w:rFonts w:cs="Calibri"/>
                <w:color w:val="7030A0"/>
                <w:sz w:val="14"/>
              </w:rPr>
            </w:pPr>
            <w:r w:rsidRPr="00C0127A">
              <w:rPr>
                <w:rFonts w:cs="Calibri"/>
                <w:color w:val="7030A0"/>
                <w:sz w:val="14"/>
              </w:rPr>
              <w:t>FMA Section 28</w:t>
            </w:r>
            <w:r w:rsidR="001B0CE4" w:rsidRPr="00C0127A">
              <w:rPr>
                <w:rFonts w:cs="Calibri"/>
                <w:color w:val="7030A0"/>
                <w:sz w:val="14"/>
              </w:rPr>
              <w:t xml:space="preserve"> and 64</w:t>
            </w:r>
          </w:p>
          <w:p w14:paraId="3A6DE6B2" w14:textId="77777777" w:rsidR="000144FF" w:rsidRPr="00C0127A" w:rsidRDefault="000144FF">
            <w:pPr>
              <w:pStyle w:val="TableReference"/>
              <w:tabs>
                <w:tab w:val="left" w:pos="3306"/>
              </w:tabs>
              <w:spacing w:before="60"/>
              <w:rPr>
                <w:rFonts w:cs="Calibri"/>
                <w:color w:val="7030A0"/>
              </w:rPr>
            </w:pPr>
          </w:p>
          <w:p w14:paraId="09B24D07" w14:textId="77777777" w:rsidR="003B0E8A" w:rsidRPr="00C0127A" w:rsidRDefault="003B0E8A">
            <w:pPr>
              <w:pStyle w:val="TableReference"/>
              <w:tabs>
                <w:tab w:val="left" w:pos="3306"/>
              </w:tabs>
              <w:spacing w:before="60"/>
              <w:rPr>
                <w:rFonts w:cs="Calibri"/>
                <w:strike/>
                <w:color w:val="7030A0"/>
              </w:rPr>
            </w:pPr>
          </w:p>
        </w:tc>
        <w:tc>
          <w:tcPr>
            <w:tcW w:w="8931" w:type="dxa"/>
            <w:tcBorders>
              <w:left w:val="single" w:sz="2" w:space="0" w:color="auto"/>
            </w:tcBorders>
            <w:shd w:val="clear" w:color="auto" w:fill="7030A0"/>
          </w:tcPr>
          <w:p w14:paraId="1841C4B6" w14:textId="7CE2F8DA" w:rsidR="000144FF" w:rsidRPr="00C0127A" w:rsidRDefault="000144FF"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The </w:t>
            </w:r>
            <w:r w:rsidRPr="00C0127A">
              <w:rPr>
                <w:rFonts w:cs="Calibri"/>
                <w:i/>
                <w:iCs/>
                <w:color w:val="FFFFFF" w:themeColor="background1"/>
                <w:sz w:val="18"/>
                <w:szCs w:val="18"/>
              </w:rPr>
              <w:t>Financial Management Act 1996</w:t>
            </w:r>
            <w:r w:rsidRPr="00C0127A">
              <w:rPr>
                <w:rFonts w:cs="Calibri"/>
                <w:color w:val="FFFFFF" w:themeColor="background1"/>
                <w:sz w:val="18"/>
                <w:szCs w:val="18"/>
              </w:rPr>
              <w:t xml:space="preserve"> (FMA) requires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w:t>
            </w:r>
            <w:r w:rsidR="006A5947" w:rsidRPr="00C0127A">
              <w:rPr>
                <w:color w:val="FFFFFF" w:themeColor="background1"/>
                <w:sz w:val="18"/>
                <w:szCs w:val="18"/>
              </w:rPr>
              <w:t>Chief Executive Officer/</w:t>
            </w:r>
            <w:r w:rsidR="0086368E" w:rsidRPr="00C0127A">
              <w:rPr>
                <w:color w:val="FFFFFF" w:themeColor="background1"/>
                <w:sz w:val="18"/>
                <w:szCs w:val="18"/>
              </w:rPr>
              <w:t>Chairperson</w:t>
            </w:r>
            <w:r w:rsidR="001B231B" w:rsidRPr="00C0127A">
              <w:rPr>
                <w:rFonts w:cs="Calibri"/>
                <w:color w:val="FFFFFF" w:themeColor="background1"/>
                <w:sz w:val="18"/>
                <w:szCs w:val="18"/>
              </w:rPr>
              <w:t xml:space="preserve"> </w:t>
            </w:r>
            <w:r w:rsidRPr="00C0127A">
              <w:rPr>
                <w:rFonts w:cs="Calibri"/>
                <w:color w:val="FFFFFF" w:themeColor="background1"/>
                <w:sz w:val="18"/>
                <w:szCs w:val="18"/>
              </w:rPr>
              <w:t xml:space="preserve">to attach a ‘Statement of Responsibility’ to the financial </w:t>
            </w:r>
            <w:r w:rsidR="00284B31" w:rsidRPr="00C0127A">
              <w:rPr>
                <w:rFonts w:cs="Calibri"/>
                <w:color w:val="FFFFFF" w:themeColor="background1"/>
                <w:sz w:val="18"/>
                <w:szCs w:val="18"/>
              </w:rPr>
              <w:t>statements</w:t>
            </w:r>
            <w:r w:rsidRPr="00C0127A">
              <w:rPr>
                <w:rFonts w:cs="Calibri"/>
                <w:color w:val="FFFFFF" w:themeColor="background1"/>
                <w:sz w:val="18"/>
                <w:szCs w:val="18"/>
              </w:rPr>
              <w:t>.</w:t>
            </w:r>
            <w:r w:rsidR="00FA7C77">
              <w:rPr>
                <w:rFonts w:cs="Calibri"/>
                <w:color w:val="FFFFFF" w:themeColor="background1"/>
                <w:sz w:val="18"/>
                <w:szCs w:val="18"/>
              </w:rPr>
              <w:t xml:space="preserve"> </w:t>
            </w:r>
            <w:r w:rsidRPr="00C0127A">
              <w:rPr>
                <w:rFonts w:cs="Calibri"/>
                <w:color w:val="FFFFFF" w:themeColor="background1"/>
                <w:sz w:val="18"/>
                <w:szCs w:val="18"/>
              </w:rPr>
              <w:t xml:space="preserve">The statement is to be signed by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 xml:space="preserve"> of </w:t>
            </w:r>
            <w:r w:rsidR="000A505E" w:rsidRPr="00C0127A">
              <w:rPr>
                <w:rFonts w:cs="Calibri"/>
                <w:color w:val="FFFFFF" w:themeColor="background1"/>
                <w:sz w:val="18"/>
                <w:szCs w:val="18"/>
              </w:rPr>
              <w:t>a</w:t>
            </w:r>
            <w:r w:rsidR="006A5947" w:rsidRPr="00C0127A">
              <w:rPr>
                <w:rFonts w:cs="Calibri"/>
                <w:color w:val="FFFFFF" w:themeColor="background1"/>
                <w:sz w:val="18"/>
                <w:szCs w:val="18"/>
              </w:rPr>
              <w:t xml:space="preserve"> </w:t>
            </w:r>
            <w:r w:rsidR="00842DBF">
              <w:rPr>
                <w:rFonts w:cs="Calibri"/>
                <w:color w:val="FFFFFF" w:themeColor="background1"/>
                <w:sz w:val="18"/>
                <w:szCs w:val="18"/>
              </w:rPr>
              <w:t>d</w:t>
            </w:r>
            <w:r w:rsidR="006A5947" w:rsidRPr="00C0127A">
              <w:rPr>
                <w:rFonts w:cs="Calibri"/>
                <w:color w:val="FFFFFF" w:themeColor="background1"/>
                <w:sz w:val="18"/>
                <w:szCs w:val="18"/>
              </w:rPr>
              <w:t>irectorate</w:t>
            </w:r>
            <w:r w:rsidR="001B0CE4" w:rsidRPr="00C0127A">
              <w:rPr>
                <w:rFonts w:cs="Calibri"/>
                <w:color w:val="FFFFFF" w:themeColor="background1"/>
                <w:sz w:val="18"/>
                <w:szCs w:val="18"/>
              </w:rPr>
              <w:t xml:space="preserve"> </w:t>
            </w:r>
            <w:r w:rsidR="006A5947" w:rsidRPr="00C0127A">
              <w:rPr>
                <w:rFonts w:cs="Calibri"/>
                <w:color w:val="FFFFFF" w:themeColor="background1"/>
                <w:sz w:val="18"/>
                <w:szCs w:val="18"/>
              </w:rPr>
              <w:t xml:space="preserve">or by the Chief Executive Officer of </w:t>
            </w:r>
            <w:r w:rsidR="000A505E" w:rsidRPr="00C0127A">
              <w:rPr>
                <w:rFonts w:cs="Calibri"/>
                <w:color w:val="FFFFFF" w:themeColor="background1"/>
                <w:sz w:val="18"/>
                <w:szCs w:val="18"/>
              </w:rPr>
              <w:t xml:space="preserve">a </w:t>
            </w:r>
            <w:r w:rsidR="00842DBF">
              <w:rPr>
                <w:rFonts w:cs="Calibri"/>
                <w:color w:val="FFFFFF" w:themeColor="background1"/>
                <w:sz w:val="18"/>
                <w:szCs w:val="18"/>
              </w:rPr>
              <w:t>t</w:t>
            </w:r>
            <w:r w:rsidR="000A505E" w:rsidRPr="00C0127A">
              <w:rPr>
                <w:rFonts w:cs="Calibri"/>
                <w:color w:val="FFFFFF" w:themeColor="background1"/>
                <w:sz w:val="18"/>
                <w:szCs w:val="18"/>
              </w:rPr>
              <w:t>erritory</w:t>
            </w:r>
            <w:r w:rsidR="006A5947" w:rsidRPr="00C0127A">
              <w:rPr>
                <w:rFonts w:cs="Calibri"/>
                <w:color w:val="FFFFFF" w:themeColor="background1"/>
                <w:sz w:val="18"/>
                <w:szCs w:val="18"/>
              </w:rPr>
              <w:t xml:space="preserve"> </w:t>
            </w:r>
            <w:r w:rsidR="00842DBF">
              <w:rPr>
                <w:rFonts w:cs="Calibri"/>
                <w:color w:val="FFFFFF" w:themeColor="background1"/>
                <w:sz w:val="18"/>
                <w:szCs w:val="18"/>
              </w:rPr>
              <w:t>a</w:t>
            </w:r>
            <w:r w:rsidR="006A5947" w:rsidRPr="00C0127A">
              <w:rPr>
                <w:rFonts w:cs="Calibri"/>
                <w:color w:val="FFFFFF" w:themeColor="background1"/>
                <w:sz w:val="18"/>
                <w:szCs w:val="18"/>
              </w:rPr>
              <w:t xml:space="preserve">uthority where the </w:t>
            </w:r>
            <w:r w:rsidR="00842DBF">
              <w:rPr>
                <w:rFonts w:cs="Calibri"/>
                <w:color w:val="FFFFFF" w:themeColor="background1"/>
                <w:sz w:val="18"/>
                <w:szCs w:val="18"/>
              </w:rPr>
              <w:t>a</w:t>
            </w:r>
            <w:r w:rsidR="006A5947" w:rsidRPr="00C0127A">
              <w:rPr>
                <w:rFonts w:cs="Calibri"/>
                <w:color w:val="FFFFFF" w:themeColor="background1"/>
                <w:sz w:val="18"/>
                <w:szCs w:val="18"/>
              </w:rPr>
              <w:t>uthority does not have a governing board.</w:t>
            </w:r>
            <w:r w:rsidR="00FA7C77">
              <w:rPr>
                <w:rFonts w:cs="Calibri"/>
                <w:color w:val="FFFFFF" w:themeColor="background1"/>
                <w:sz w:val="18"/>
                <w:szCs w:val="18"/>
              </w:rPr>
              <w:t xml:space="preserve"> </w:t>
            </w:r>
            <w:r w:rsidR="000A505E" w:rsidRPr="00C0127A">
              <w:rPr>
                <w:rFonts w:cs="Calibri"/>
                <w:color w:val="FFFFFF" w:themeColor="background1"/>
                <w:sz w:val="18"/>
                <w:szCs w:val="18"/>
              </w:rPr>
              <w:t>W</w:t>
            </w:r>
            <w:r w:rsidR="006A5947" w:rsidRPr="00C0127A">
              <w:rPr>
                <w:rFonts w:cs="Calibri"/>
                <w:color w:val="FFFFFF" w:themeColor="background1"/>
                <w:sz w:val="18"/>
                <w:szCs w:val="18"/>
              </w:rPr>
              <w:t xml:space="preserve">here the </w:t>
            </w:r>
            <w:r w:rsidR="00842DBF">
              <w:rPr>
                <w:rFonts w:cs="Calibri"/>
                <w:color w:val="FFFFFF" w:themeColor="background1"/>
                <w:sz w:val="18"/>
                <w:szCs w:val="18"/>
              </w:rPr>
              <w:t>a</w:t>
            </w:r>
            <w:r w:rsidR="006A5947" w:rsidRPr="00C0127A">
              <w:rPr>
                <w:rFonts w:cs="Calibri"/>
                <w:color w:val="FFFFFF" w:themeColor="background1"/>
                <w:sz w:val="18"/>
                <w:szCs w:val="18"/>
              </w:rPr>
              <w:t>uthority has a governing board the Chair of that board must sign the statement.</w:t>
            </w:r>
            <w:r w:rsidR="00FA7C77">
              <w:rPr>
                <w:rFonts w:cs="Calibri"/>
                <w:color w:val="FFFFFF" w:themeColor="background1"/>
                <w:sz w:val="18"/>
                <w:szCs w:val="18"/>
              </w:rPr>
              <w:t xml:space="preserve"> </w:t>
            </w:r>
          </w:p>
        </w:tc>
      </w:tr>
      <w:tr w:rsidR="008778FD" w:rsidRPr="00CF7E1B" w14:paraId="7F8A2507"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0C3830A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62AF70E0" w14:textId="7582C434" w:rsidR="008778FD" w:rsidRPr="00C0127A" w:rsidRDefault="008778FD"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For </w:t>
            </w:r>
            <w:r w:rsidR="00842DBF">
              <w:rPr>
                <w:rFonts w:cs="Calibri"/>
                <w:color w:val="FFFFFF" w:themeColor="background1"/>
                <w:sz w:val="18"/>
                <w:szCs w:val="18"/>
              </w:rPr>
              <w:t>d</w:t>
            </w:r>
            <w:r w:rsidRPr="00C0127A">
              <w:rPr>
                <w:rFonts w:cs="Calibri"/>
                <w:color w:val="FFFFFF" w:themeColor="background1"/>
                <w:sz w:val="18"/>
                <w:szCs w:val="18"/>
              </w:rPr>
              <w:t xml:space="preserve">irectorates and </w:t>
            </w:r>
            <w:r w:rsidR="00842DBF">
              <w:rPr>
                <w:rFonts w:cs="Calibri"/>
                <w:color w:val="FFFFFF" w:themeColor="background1"/>
                <w:sz w:val="18"/>
                <w:szCs w:val="18"/>
              </w:rPr>
              <w:t>t</w:t>
            </w:r>
            <w:r w:rsidRPr="00C0127A">
              <w:rPr>
                <w:rFonts w:cs="Calibri"/>
                <w:color w:val="FFFFFF" w:themeColor="background1"/>
                <w:sz w:val="18"/>
                <w:szCs w:val="18"/>
              </w:rPr>
              <w:t xml:space="preserve">erritory </w:t>
            </w:r>
            <w:r w:rsidR="00842DBF">
              <w:rPr>
                <w:rFonts w:cs="Calibri"/>
                <w:color w:val="FFFFFF" w:themeColor="background1"/>
                <w:sz w:val="18"/>
                <w:szCs w:val="18"/>
              </w:rPr>
              <w:t>a</w:t>
            </w:r>
            <w:r w:rsidRPr="00C0127A">
              <w:rPr>
                <w:rFonts w:cs="Calibri"/>
                <w:color w:val="FFFFFF" w:themeColor="background1"/>
                <w:sz w:val="18"/>
                <w:szCs w:val="18"/>
              </w:rPr>
              <w:t>uthorities, the ‘Statement of Responsibility’ must state whether, in the opinion of the responsible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the financial statements fairly reflect the financial operations of the agency during the reporting period and the financial position of the agency at the end of the reporting period.</w:t>
            </w:r>
            <w:r w:rsidR="00FA7C77">
              <w:rPr>
                <w:rFonts w:cs="Calibri"/>
                <w:color w:val="FFFFFF" w:themeColor="background1"/>
                <w:sz w:val="18"/>
                <w:szCs w:val="18"/>
              </w:rPr>
              <w:t xml:space="preserve"> </w:t>
            </w:r>
            <w:r w:rsidRPr="00C0127A">
              <w:rPr>
                <w:rFonts w:cs="Calibri"/>
                <w:color w:val="FFFFFF" w:themeColor="background1"/>
                <w:sz w:val="18"/>
                <w:szCs w:val="18"/>
              </w:rPr>
              <w:t xml:space="preserve">In addition, </w:t>
            </w:r>
            <w:r w:rsidR="00842DBF">
              <w:rPr>
                <w:rFonts w:cs="Calibri"/>
                <w:color w:val="FFFFFF" w:themeColor="background1"/>
                <w:sz w:val="18"/>
                <w:szCs w:val="18"/>
              </w:rPr>
              <w:t>t</w:t>
            </w:r>
            <w:r w:rsidR="0086368E" w:rsidRPr="00C0127A">
              <w:rPr>
                <w:rFonts w:cs="Calibri"/>
                <w:color w:val="FFFFFF" w:themeColor="background1"/>
                <w:sz w:val="18"/>
                <w:szCs w:val="18"/>
              </w:rPr>
              <w:t>erritory</w:t>
            </w:r>
            <w:r w:rsidRPr="00C0127A">
              <w:rPr>
                <w:rFonts w:cs="Calibri"/>
                <w:color w:val="FFFFFF" w:themeColor="background1"/>
                <w:sz w:val="18"/>
                <w:szCs w:val="18"/>
              </w:rPr>
              <w:t xml:space="preserve"> </w:t>
            </w:r>
            <w:r w:rsidR="00842DBF">
              <w:rPr>
                <w:rFonts w:cs="Calibri"/>
                <w:color w:val="FFFFFF" w:themeColor="background1"/>
                <w:sz w:val="18"/>
                <w:szCs w:val="18"/>
              </w:rPr>
              <w:t>a</w:t>
            </w:r>
            <w:r w:rsidRPr="00C0127A">
              <w:rPr>
                <w:rFonts w:cs="Calibri"/>
                <w:color w:val="FFFFFF" w:themeColor="background1"/>
                <w:sz w:val="18"/>
                <w:szCs w:val="18"/>
              </w:rPr>
              <w:t>uthorities should also state that the Chief Executive Officer or Chairperson</w:t>
            </w:r>
            <w:r w:rsidR="00221FEC" w:rsidRPr="00C0127A">
              <w:rPr>
                <w:rFonts w:cs="Calibri"/>
                <w:color w:val="FFFFFF" w:themeColor="background1"/>
                <w:sz w:val="18"/>
                <w:szCs w:val="18"/>
              </w:rPr>
              <w:t xml:space="preserve"> i</w:t>
            </w:r>
            <w:r w:rsidRPr="00C0127A">
              <w:rPr>
                <w:rFonts w:cs="Calibri"/>
                <w:color w:val="FFFFFF" w:themeColor="background1"/>
                <w:sz w:val="18"/>
                <w:szCs w:val="18"/>
              </w:rPr>
              <w:t>s responsib</w:t>
            </w:r>
            <w:r w:rsidR="00597C01" w:rsidRPr="00C0127A">
              <w:rPr>
                <w:rFonts w:cs="Calibri"/>
                <w:color w:val="FFFFFF" w:themeColor="background1"/>
                <w:sz w:val="18"/>
                <w:szCs w:val="18"/>
              </w:rPr>
              <w:t>l</w:t>
            </w:r>
            <w:r w:rsidR="00221FEC" w:rsidRPr="00C0127A">
              <w:rPr>
                <w:rFonts w:cs="Calibri"/>
                <w:color w:val="FFFFFF" w:themeColor="background1"/>
                <w:sz w:val="18"/>
                <w:szCs w:val="18"/>
              </w:rPr>
              <w:t>e</w:t>
            </w:r>
            <w:r w:rsidRPr="00C0127A">
              <w:rPr>
                <w:rFonts w:cs="Calibri"/>
                <w:color w:val="FFFFFF" w:themeColor="background1"/>
                <w:sz w:val="18"/>
                <w:szCs w:val="18"/>
              </w:rPr>
              <w:t xml:space="preserve"> for the preparation of the annual financial statements and the judgements exercised in preparing it.</w:t>
            </w:r>
          </w:p>
        </w:tc>
      </w:tr>
      <w:tr w:rsidR="008778FD" w:rsidRPr="00CF7E1B" w14:paraId="6C62A105"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68890331"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E4F5A60" w14:textId="77777777" w:rsidR="008778FD" w:rsidRDefault="008778FD" w:rsidP="00CC1E25">
            <w:pPr>
              <w:pStyle w:val="BodyText"/>
              <w:spacing w:after="120"/>
              <w:rPr>
                <w:rFonts w:cs="Calibri"/>
                <w:color w:val="FFFFFF" w:themeColor="background1"/>
                <w:sz w:val="18"/>
                <w:szCs w:val="18"/>
              </w:rPr>
            </w:pPr>
            <w:r w:rsidRPr="00C0127A">
              <w:rPr>
                <w:rFonts w:cs="Calibri"/>
                <w:color w:val="FFFFFF" w:themeColor="background1"/>
                <w:sz w:val="18"/>
                <w:szCs w:val="18"/>
              </w:rPr>
              <w:t>The name of the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xml:space="preserve"> of the agency must be clearly printed on the statement.</w:t>
            </w:r>
          </w:p>
          <w:p w14:paraId="6B4C6243" w14:textId="06146AD8" w:rsidR="00950179" w:rsidRPr="00CC1E25" w:rsidRDefault="00950179" w:rsidP="00CC1E25">
            <w:pPr>
              <w:pStyle w:val="BodyText"/>
              <w:spacing w:after="40"/>
              <w:rPr>
                <w:rFonts w:cs="Calibri"/>
                <w:b/>
                <w:bCs/>
                <w:color w:val="FFFFFF" w:themeColor="background1"/>
                <w:sz w:val="20"/>
                <w:szCs w:val="20"/>
              </w:rPr>
            </w:pPr>
            <w:r w:rsidRPr="00CC1E25">
              <w:rPr>
                <w:rFonts w:cs="Calibri"/>
                <w:b/>
                <w:bCs/>
                <w:color w:val="FFFFFF" w:themeColor="background1"/>
                <w:sz w:val="20"/>
                <w:szCs w:val="20"/>
              </w:rPr>
              <w:t>Territory Authority Commentary</w:t>
            </w:r>
          </w:p>
        </w:tc>
      </w:tr>
      <w:tr w:rsidR="008778FD" w:rsidRPr="00CF7E1B" w14:paraId="01695D1E"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7C49099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9021EEE" w14:textId="08522321" w:rsidR="008778FD" w:rsidRPr="009C7145" w:rsidRDefault="009C7145" w:rsidP="00D31414">
            <w:pPr>
              <w:pStyle w:val="BodyText"/>
              <w:spacing w:after="120"/>
              <w:rPr>
                <w:rFonts w:cs="Calibri"/>
                <w:color w:val="9CC2E5" w:themeColor="accent1" w:themeTint="99"/>
                <w:sz w:val="18"/>
                <w:szCs w:val="18"/>
              </w:rPr>
            </w:pPr>
            <w:r w:rsidRPr="008C3A72">
              <w:rPr>
                <w:rFonts w:cs="Calibri"/>
                <w:color w:val="FF0000"/>
                <w:sz w:val="18"/>
                <w:szCs w:val="18"/>
              </w:rPr>
              <w:t>*</w:t>
            </w:r>
            <w:r w:rsidR="000313E2" w:rsidRPr="009C7145">
              <w:rPr>
                <w:rFonts w:cs="Calibri"/>
                <w:color w:val="9CC2E5" w:themeColor="accent1" w:themeTint="99"/>
                <w:sz w:val="18"/>
                <w:szCs w:val="18"/>
              </w:rPr>
              <w:t xml:space="preserve">A </w:t>
            </w:r>
            <w:r w:rsidR="00842DBF">
              <w:rPr>
                <w:rFonts w:cs="Calibri"/>
                <w:color w:val="9CC2E5" w:themeColor="accent1" w:themeTint="99"/>
                <w:sz w:val="18"/>
                <w:szCs w:val="18"/>
              </w:rPr>
              <w:t>t</w:t>
            </w:r>
            <w:r w:rsidR="000313E2" w:rsidRPr="009C7145">
              <w:rPr>
                <w:rFonts w:cs="Calibri"/>
                <w:color w:val="9CC2E5" w:themeColor="accent1" w:themeTint="99"/>
                <w:sz w:val="18"/>
                <w:szCs w:val="18"/>
              </w:rPr>
              <w:t xml:space="preserve">erritory </w:t>
            </w:r>
            <w:r w:rsidR="00842DBF">
              <w:rPr>
                <w:rFonts w:cs="Calibri"/>
                <w:color w:val="9CC2E5" w:themeColor="accent1" w:themeTint="99"/>
                <w:sz w:val="18"/>
                <w:szCs w:val="18"/>
              </w:rPr>
              <w:t>a</w:t>
            </w:r>
            <w:r w:rsidR="000313E2" w:rsidRPr="009C7145">
              <w:rPr>
                <w:rFonts w:cs="Calibri"/>
                <w:color w:val="9CC2E5" w:themeColor="accent1" w:themeTint="99"/>
                <w:sz w:val="18"/>
                <w:szCs w:val="18"/>
              </w:rPr>
              <w:t xml:space="preserve">uthority should use the following wording in its Statement of Responsibility: </w:t>
            </w:r>
          </w:p>
        </w:tc>
      </w:tr>
      <w:tr w:rsidR="001A1550" w:rsidRPr="00CF7E1B" w14:paraId="04909C59"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3DAB09BE" w14:textId="77777777" w:rsidR="001A1550" w:rsidRPr="00A63513" w:rsidRDefault="001A1550">
            <w:pPr>
              <w:pStyle w:val="TableReference"/>
              <w:tabs>
                <w:tab w:val="left" w:pos="3306"/>
              </w:tabs>
              <w:spacing w:before="60"/>
              <w:rPr>
                <w:rFonts w:cs="Calibri"/>
                <w:color w:val="auto"/>
                <w:sz w:val="16"/>
                <w:szCs w:val="16"/>
              </w:rPr>
            </w:pPr>
            <w:r>
              <w:rPr>
                <w:color w:val="auto"/>
                <w:sz w:val="24"/>
                <w:szCs w:val="16"/>
              </w:rPr>
              <w:br w:type="page"/>
            </w:r>
          </w:p>
        </w:tc>
        <w:tc>
          <w:tcPr>
            <w:tcW w:w="8931" w:type="dxa"/>
            <w:tcBorders>
              <w:left w:val="single" w:sz="2" w:space="0" w:color="auto"/>
            </w:tcBorders>
            <w:shd w:val="clear" w:color="auto" w:fill="7030A0"/>
          </w:tcPr>
          <w:p w14:paraId="65A1A054" w14:textId="378A519A" w:rsidR="001A1550" w:rsidRPr="009C7145" w:rsidRDefault="000313E2" w:rsidP="00D31414">
            <w:pPr>
              <w:pStyle w:val="BodyText"/>
              <w:spacing w:after="120"/>
              <w:rPr>
                <w:rFonts w:cs="Calibri"/>
                <w:color w:val="9CC2E5" w:themeColor="accent1" w:themeTint="99"/>
                <w:sz w:val="18"/>
                <w:szCs w:val="18"/>
              </w:rPr>
            </w:pPr>
            <w:r w:rsidRPr="009C7145">
              <w:rPr>
                <w:rFonts w:cs="Calibri"/>
                <w:color w:val="9CC2E5" w:themeColor="accent1" w:themeTint="99"/>
                <w:sz w:val="18"/>
                <w:szCs w:val="18"/>
              </w:rPr>
              <w:t>[</w:t>
            </w:r>
            <w:r w:rsidR="008778FD" w:rsidRPr="009C7145">
              <w:rPr>
                <w:rFonts w:cs="Calibri"/>
                <w:color w:val="9CC2E5" w:themeColor="accent1" w:themeTint="99"/>
                <w:sz w:val="18"/>
                <w:szCs w:val="18"/>
              </w:rPr>
              <w:t>As the Chief Executive Officer/</w:t>
            </w:r>
            <w:r w:rsidR="0086368E" w:rsidRPr="009C7145">
              <w:rPr>
                <w:rFonts w:cs="Calibri"/>
                <w:color w:val="9CC2E5" w:themeColor="accent1" w:themeTint="99"/>
                <w:sz w:val="18"/>
                <w:szCs w:val="18"/>
              </w:rPr>
              <w:t>Chairperson</w:t>
            </w:r>
            <w:r w:rsidR="008778FD" w:rsidRPr="009C7145">
              <w:rPr>
                <w:rFonts w:cs="Calibri"/>
                <w:color w:val="9CC2E5" w:themeColor="accent1" w:themeTint="99"/>
                <w:sz w:val="18"/>
                <w:szCs w:val="18"/>
              </w:rPr>
              <w:t xml:space="preserve"> of ‘</w:t>
            </w:r>
            <w:r w:rsidR="0086368E" w:rsidRPr="009C7145">
              <w:rPr>
                <w:rFonts w:cs="Calibri"/>
                <w:color w:val="9CC2E5" w:themeColor="accent1" w:themeTint="99"/>
                <w:sz w:val="18"/>
                <w:szCs w:val="18"/>
              </w:rPr>
              <w:t>Example</w:t>
            </w:r>
            <w:r w:rsidRPr="009C7145">
              <w:rPr>
                <w:rFonts w:cs="Calibri"/>
                <w:color w:val="9CC2E5" w:themeColor="accent1" w:themeTint="99"/>
                <w:sz w:val="18"/>
                <w:szCs w:val="18"/>
              </w:rPr>
              <w:t xml:space="preserve"> Territory Authority’ </w:t>
            </w:r>
            <w:r w:rsidR="008778FD" w:rsidRPr="009C7145">
              <w:rPr>
                <w:rFonts w:cs="Calibri"/>
                <w:color w:val="9CC2E5" w:themeColor="accent1" w:themeTint="99"/>
                <w:sz w:val="18"/>
                <w:szCs w:val="18"/>
              </w:rPr>
              <w:t xml:space="preserve">I am </w:t>
            </w:r>
            <w:r w:rsidR="008778FD" w:rsidRPr="001F462A">
              <w:rPr>
                <w:rFonts w:cs="Calibri"/>
                <w:strike/>
                <w:color w:val="FF0000"/>
                <w:sz w:val="18"/>
                <w:szCs w:val="18"/>
              </w:rPr>
              <w:t>responsibil</w:t>
            </w:r>
            <w:r w:rsidR="009C7145" w:rsidRPr="001F462A">
              <w:rPr>
                <w:rFonts w:cs="Calibri"/>
                <w:strike/>
                <w:color w:val="FF0000"/>
                <w:sz w:val="18"/>
                <w:szCs w:val="18"/>
              </w:rPr>
              <w:t>ity</w:t>
            </w:r>
            <w:r w:rsidR="008778FD" w:rsidRPr="009C7145">
              <w:rPr>
                <w:rFonts w:cs="Calibri"/>
                <w:color w:val="9CC2E5" w:themeColor="accent1" w:themeTint="99"/>
                <w:sz w:val="18"/>
                <w:szCs w:val="18"/>
              </w:rPr>
              <w:t xml:space="preserve"> </w:t>
            </w:r>
            <w:r w:rsidR="001F462A" w:rsidRPr="001F462A">
              <w:rPr>
                <w:rFonts w:cs="Calibri"/>
                <w:color w:val="FF0000"/>
                <w:sz w:val="18"/>
                <w:szCs w:val="18"/>
              </w:rPr>
              <w:t>responsible</w:t>
            </w:r>
            <w:r w:rsidR="001F462A">
              <w:rPr>
                <w:rFonts w:cs="Calibri"/>
                <w:color w:val="9CC2E5" w:themeColor="accent1" w:themeTint="99"/>
                <w:sz w:val="18"/>
                <w:szCs w:val="18"/>
              </w:rPr>
              <w:t xml:space="preserve"> </w:t>
            </w:r>
            <w:r w:rsidR="008778FD" w:rsidRPr="009C7145">
              <w:rPr>
                <w:rFonts w:cs="Calibri"/>
                <w:color w:val="9CC2E5" w:themeColor="accent1" w:themeTint="99"/>
                <w:sz w:val="18"/>
                <w:szCs w:val="18"/>
              </w:rPr>
              <w:t>for the preparation of the annual financial report as well as the judgements exercised in preparing it.</w:t>
            </w:r>
            <w:r w:rsidR="00FA7C77" w:rsidRPr="009C7145">
              <w:rPr>
                <w:rFonts w:cs="Calibri"/>
                <w:color w:val="9CC2E5" w:themeColor="accent1" w:themeTint="99"/>
                <w:sz w:val="18"/>
                <w:szCs w:val="18"/>
              </w:rPr>
              <w:t xml:space="preserve"> </w:t>
            </w:r>
            <w:r w:rsidR="008778FD" w:rsidRPr="009C7145">
              <w:rPr>
                <w:rFonts w:cs="Calibri"/>
                <w:color w:val="9CC2E5" w:themeColor="accent1" w:themeTint="99"/>
                <w:sz w:val="18"/>
                <w:szCs w:val="18"/>
              </w:rPr>
              <w:t xml:space="preserve">In my opinion, the </w:t>
            </w:r>
            <w:r w:rsidR="00327BF3" w:rsidRPr="009C7145">
              <w:rPr>
                <w:rFonts w:cs="Calibri"/>
                <w:color w:val="9CC2E5" w:themeColor="accent1" w:themeTint="99"/>
                <w:sz w:val="18"/>
                <w:szCs w:val="18"/>
              </w:rPr>
              <w:t xml:space="preserve">Authority’s </w:t>
            </w:r>
            <w:r w:rsidR="008778FD" w:rsidRPr="009C7145">
              <w:rPr>
                <w:rFonts w:cs="Calibri"/>
                <w:color w:val="9CC2E5" w:themeColor="accent1" w:themeTint="99"/>
                <w:sz w:val="18"/>
                <w:szCs w:val="18"/>
              </w:rPr>
              <w:t>financial statements fairly reflect the financial operations for the year ended 30 June 202</w:t>
            </w:r>
            <w:r w:rsidR="009C7145" w:rsidRPr="009C7145">
              <w:rPr>
                <w:rFonts w:cs="Calibri"/>
                <w:color w:val="9CC2E5" w:themeColor="accent1" w:themeTint="99"/>
                <w:sz w:val="18"/>
                <w:szCs w:val="18"/>
              </w:rPr>
              <w:t>3</w:t>
            </w:r>
            <w:r w:rsidR="008778FD" w:rsidRPr="009C7145">
              <w:rPr>
                <w:rFonts w:cs="Calibri"/>
                <w:color w:val="9CC2E5" w:themeColor="accent1" w:themeTint="99"/>
                <w:sz w:val="18"/>
                <w:szCs w:val="18"/>
              </w:rPr>
              <w:t xml:space="preserve"> and the financial position on that date.</w:t>
            </w:r>
            <w:r w:rsidRPr="009C7145">
              <w:rPr>
                <w:rFonts w:cs="Calibri"/>
                <w:color w:val="9CC2E5" w:themeColor="accent1" w:themeTint="99"/>
                <w:sz w:val="18"/>
                <w:szCs w:val="18"/>
              </w:rPr>
              <w:t>]</w:t>
            </w:r>
          </w:p>
        </w:tc>
      </w:tr>
    </w:tbl>
    <w:p w14:paraId="3ACAB00A" w14:textId="77777777" w:rsidR="001A1550" w:rsidRDefault="001A1550">
      <w:r>
        <w:br w:type="page"/>
      </w:r>
    </w:p>
    <w:p w14:paraId="0CD041D5" w14:textId="23F60CA4" w:rsidR="000144FF" w:rsidRDefault="000144FF" w:rsidP="00E20869"/>
    <w:p w14:paraId="314FC1B3" w14:textId="77777777" w:rsidR="00413F41" w:rsidRPr="00CF7E1B" w:rsidRDefault="00413F41" w:rsidP="00E20869"/>
    <w:p w14:paraId="2C7A45D2" w14:textId="5AB3C3E9" w:rsidR="00E20869" w:rsidRPr="00963583" w:rsidRDefault="00E20869" w:rsidP="00E20869">
      <w:pPr>
        <w:jc w:val="center"/>
        <w:rPr>
          <w:b/>
          <w:sz w:val="40"/>
          <w:szCs w:val="40"/>
        </w:rPr>
      </w:pPr>
      <w:r w:rsidRPr="00963583">
        <w:rPr>
          <w:b/>
          <w:sz w:val="40"/>
          <w:szCs w:val="40"/>
        </w:rPr>
        <w:t>‘</w:t>
      </w:r>
      <w:r w:rsidR="007D5C59" w:rsidRPr="00963583">
        <w:rPr>
          <w:b/>
          <w:sz w:val="40"/>
          <w:szCs w:val="40"/>
        </w:rPr>
        <w:t xml:space="preserve">Burley Griffin </w:t>
      </w:r>
      <w:r w:rsidRPr="00963583">
        <w:rPr>
          <w:b/>
          <w:sz w:val="40"/>
          <w:szCs w:val="40"/>
        </w:rPr>
        <w:t>Agency’</w:t>
      </w:r>
    </w:p>
    <w:p w14:paraId="69D56107" w14:textId="77777777" w:rsidR="00E20869" w:rsidRPr="00963583" w:rsidRDefault="00E20869" w:rsidP="00E20869">
      <w:pPr>
        <w:jc w:val="center"/>
        <w:rPr>
          <w:b/>
          <w:sz w:val="40"/>
          <w:szCs w:val="40"/>
        </w:rPr>
      </w:pPr>
      <w:r w:rsidRPr="00963583">
        <w:rPr>
          <w:b/>
          <w:sz w:val="40"/>
          <w:szCs w:val="40"/>
        </w:rPr>
        <w:t>Financial Statements</w:t>
      </w:r>
    </w:p>
    <w:p w14:paraId="39F83E48" w14:textId="76432F67" w:rsidR="00E20869" w:rsidRPr="00963583" w:rsidRDefault="00E20869" w:rsidP="00E20869">
      <w:pPr>
        <w:jc w:val="center"/>
        <w:rPr>
          <w:b/>
          <w:sz w:val="40"/>
          <w:szCs w:val="40"/>
        </w:rPr>
      </w:pPr>
      <w:r w:rsidRPr="00963583">
        <w:rPr>
          <w:b/>
          <w:sz w:val="40"/>
          <w:szCs w:val="40"/>
        </w:rPr>
        <w:t xml:space="preserve">For the Year Ended 30 June </w:t>
      </w:r>
      <w:r w:rsidR="00C66E0D" w:rsidRPr="00963583">
        <w:rPr>
          <w:b/>
          <w:sz w:val="40"/>
          <w:szCs w:val="40"/>
        </w:rPr>
        <w:t>202</w:t>
      </w:r>
      <w:r w:rsidR="00D50594">
        <w:rPr>
          <w:b/>
          <w:sz w:val="40"/>
          <w:szCs w:val="40"/>
        </w:rPr>
        <w:t>3</w:t>
      </w:r>
    </w:p>
    <w:p w14:paraId="037A29D9" w14:textId="77777777" w:rsidR="000144FF" w:rsidRPr="00963583" w:rsidRDefault="000144FF" w:rsidP="00E20869"/>
    <w:p w14:paraId="00A42D92" w14:textId="77777777" w:rsidR="000144FF" w:rsidRPr="00963583" w:rsidRDefault="000144FF">
      <w:pPr>
        <w:pStyle w:val="BodyText"/>
        <w:jc w:val="center"/>
        <w:rPr>
          <w:rFonts w:cs="Calibri"/>
        </w:rPr>
      </w:pPr>
    </w:p>
    <w:p w14:paraId="3574F54F" w14:textId="77777777" w:rsidR="000144FF" w:rsidRPr="00963583" w:rsidRDefault="000144FF">
      <w:pPr>
        <w:pStyle w:val="BodyText"/>
        <w:jc w:val="center"/>
        <w:rPr>
          <w:rFonts w:cs="Calibri"/>
        </w:rPr>
      </w:pPr>
    </w:p>
    <w:p w14:paraId="62F3A52D" w14:textId="77777777" w:rsidR="000144FF" w:rsidRPr="00963583" w:rsidRDefault="000144FF" w:rsidP="001A1550">
      <w:pPr>
        <w:pStyle w:val="Subtitle"/>
        <w:rPr>
          <w:rFonts w:ascii="Calibri" w:hAnsi="Calibri"/>
        </w:rPr>
      </w:pPr>
      <w:bookmarkStart w:id="127" w:name="_Toc194918635"/>
      <w:bookmarkStart w:id="128" w:name="_Toc400627306"/>
      <w:bookmarkStart w:id="129" w:name="_Toc132743759"/>
      <w:r w:rsidRPr="00963583">
        <w:rPr>
          <w:rFonts w:ascii="Calibri" w:hAnsi="Calibri"/>
        </w:rPr>
        <w:t>Statement by the Chief Finance Officer</w:t>
      </w:r>
      <w:bookmarkEnd w:id="127"/>
      <w:bookmarkEnd w:id="128"/>
      <w:bookmarkEnd w:id="129"/>
    </w:p>
    <w:p w14:paraId="38148D9C" w14:textId="77777777" w:rsidR="000144FF" w:rsidRPr="00963583" w:rsidRDefault="000144FF">
      <w:pPr>
        <w:pStyle w:val="BodyText"/>
        <w:jc w:val="center"/>
        <w:rPr>
          <w:rFonts w:cs="Calibri"/>
        </w:rPr>
      </w:pPr>
    </w:p>
    <w:p w14:paraId="0789607C" w14:textId="77777777" w:rsidR="000144FF" w:rsidRPr="00963583" w:rsidRDefault="000144FF">
      <w:pPr>
        <w:pStyle w:val="BodyText"/>
        <w:jc w:val="center"/>
        <w:rPr>
          <w:rFonts w:cs="Calibri"/>
        </w:rPr>
      </w:pPr>
    </w:p>
    <w:p w14:paraId="3C471B1C" w14:textId="77777777" w:rsidR="000144FF" w:rsidRPr="00963583" w:rsidRDefault="000144FF">
      <w:pPr>
        <w:pStyle w:val="BodyText"/>
        <w:jc w:val="center"/>
        <w:rPr>
          <w:rFonts w:cs="Calibri"/>
        </w:rPr>
      </w:pPr>
    </w:p>
    <w:p w14:paraId="0EE7E581" w14:textId="30BC72A6" w:rsidR="000144FF" w:rsidRPr="00963583" w:rsidRDefault="000144FF">
      <w:pPr>
        <w:pStyle w:val="BodyText"/>
        <w:tabs>
          <w:tab w:val="left" w:pos="3306"/>
        </w:tabs>
        <w:rPr>
          <w:rFonts w:cs="Calibri"/>
          <w:sz w:val="18"/>
          <w:szCs w:val="18"/>
        </w:rPr>
      </w:pPr>
      <w:bookmarkStart w:id="130" w:name="_Hlk64292412"/>
      <w:r w:rsidRPr="00963583">
        <w:rPr>
          <w:rFonts w:cs="Calibri"/>
          <w:sz w:val="18"/>
          <w:szCs w:val="18"/>
        </w:rPr>
        <w:t xml:space="preserve">In my opinion, the </w:t>
      </w:r>
      <w:r w:rsidR="00CA3AC7" w:rsidRPr="00963583">
        <w:rPr>
          <w:rFonts w:cs="Calibri"/>
          <w:sz w:val="18"/>
          <w:szCs w:val="18"/>
        </w:rPr>
        <w:t xml:space="preserve">Agency’s </w:t>
      </w:r>
      <w:r w:rsidRPr="00963583">
        <w:rPr>
          <w:rFonts w:cs="Calibri"/>
          <w:sz w:val="18"/>
          <w:szCs w:val="18"/>
        </w:rPr>
        <w:t xml:space="preserve">financial </w:t>
      </w:r>
      <w:r w:rsidR="00284B31" w:rsidRPr="00963583">
        <w:rPr>
          <w:rFonts w:cs="Calibri"/>
          <w:sz w:val="18"/>
          <w:szCs w:val="18"/>
        </w:rPr>
        <w:t>statements</w:t>
      </w:r>
      <w:r w:rsidRPr="00963583">
        <w:rPr>
          <w:rFonts w:cs="Calibri"/>
          <w:sz w:val="18"/>
          <w:szCs w:val="18"/>
        </w:rPr>
        <w:t xml:space="preserve"> </w:t>
      </w:r>
      <w:r w:rsidR="00284B31" w:rsidRPr="00963583">
        <w:rPr>
          <w:rFonts w:cs="Calibri"/>
          <w:sz w:val="18"/>
          <w:szCs w:val="18"/>
        </w:rPr>
        <w:t>have</w:t>
      </w:r>
      <w:r w:rsidRPr="00963583">
        <w:rPr>
          <w:rFonts w:cs="Calibri"/>
          <w:sz w:val="18"/>
          <w:szCs w:val="18"/>
        </w:rPr>
        <w:t xml:space="preserve"> been prepared in accordance with </w:t>
      </w:r>
      <w:r w:rsidR="0038548D" w:rsidRPr="00963583">
        <w:rPr>
          <w:rFonts w:cs="Calibri"/>
          <w:sz w:val="18"/>
          <w:szCs w:val="18"/>
        </w:rPr>
        <w:t>the Australian A</w:t>
      </w:r>
      <w:r w:rsidR="00E1202B" w:rsidRPr="00963583">
        <w:rPr>
          <w:rFonts w:cs="Calibri"/>
          <w:sz w:val="18"/>
          <w:szCs w:val="18"/>
        </w:rPr>
        <w:t xml:space="preserve">ccounting </w:t>
      </w:r>
      <w:r w:rsidR="0038548D" w:rsidRPr="00963583">
        <w:rPr>
          <w:rFonts w:cs="Calibri"/>
          <w:sz w:val="18"/>
          <w:szCs w:val="18"/>
        </w:rPr>
        <w:t>S</w:t>
      </w:r>
      <w:r w:rsidR="00E1202B" w:rsidRPr="00963583">
        <w:rPr>
          <w:rFonts w:cs="Calibri"/>
          <w:sz w:val="18"/>
          <w:szCs w:val="18"/>
        </w:rPr>
        <w:t>tandards</w:t>
      </w:r>
      <w:r w:rsidRPr="00963583">
        <w:rPr>
          <w:rFonts w:cs="Calibri"/>
          <w:sz w:val="18"/>
          <w:szCs w:val="18"/>
        </w:rPr>
        <w:t xml:space="preserve">, </w:t>
      </w:r>
      <w:r w:rsidR="00284B31" w:rsidRPr="00963583">
        <w:rPr>
          <w:rFonts w:cs="Calibri"/>
          <w:sz w:val="18"/>
          <w:szCs w:val="18"/>
        </w:rPr>
        <w:t>are</w:t>
      </w:r>
      <w:r w:rsidRPr="00963583">
        <w:rPr>
          <w:rFonts w:cs="Calibri"/>
          <w:sz w:val="18"/>
          <w:szCs w:val="18"/>
        </w:rPr>
        <w:t xml:space="preserve"> in agreement with</w:t>
      </w:r>
      <w:r w:rsidR="00CA3AC7" w:rsidRPr="00963583">
        <w:rPr>
          <w:rFonts w:cs="Calibri"/>
          <w:sz w:val="18"/>
          <w:szCs w:val="18"/>
        </w:rPr>
        <w:t xml:space="preserve"> its</w:t>
      </w:r>
      <w:r w:rsidRPr="00963583">
        <w:rPr>
          <w:rFonts w:cs="Calibri"/>
          <w:sz w:val="18"/>
          <w:szCs w:val="18"/>
        </w:rPr>
        <w:t xml:space="preserve"> </w:t>
      </w:r>
      <w:r w:rsidR="00284B31" w:rsidRPr="00963583">
        <w:rPr>
          <w:rFonts w:cs="Calibri"/>
          <w:sz w:val="18"/>
          <w:szCs w:val="18"/>
        </w:rPr>
        <w:t>accounts and record</w:t>
      </w:r>
      <w:r w:rsidR="002934DF" w:rsidRPr="00963583">
        <w:rPr>
          <w:rFonts w:cs="Calibri"/>
          <w:sz w:val="18"/>
          <w:szCs w:val="18"/>
        </w:rPr>
        <w:t>s</w:t>
      </w:r>
      <w:r w:rsidRPr="00963583">
        <w:rPr>
          <w:rFonts w:cs="Calibri"/>
          <w:sz w:val="18"/>
          <w:szCs w:val="18"/>
        </w:rPr>
        <w:t xml:space="preserve"> and fair</w:t>
      </w:r>
      <w:r w:rsidR="00284B31" w:rsidRPr="00963583">
        <w:rPr>
          <w:rFonts w:cs="Calibri"/>
          <w:sz w:val="18"/>
          <w:szCs w:val="18"/>
        </w:rPr>
        <w:t>ly reflect</w:t>
      </w:r>
      <w:r w:rsidRPr="00963583">
        <w:rPr>
          <w:rFonts w:cs="Calibri"/>
          <w:sz w:val="18"/>
          <w:szCs w:val="18"/>
        </w:rPr>
        <w:t xml:space="preserve"> </w:t>
      </w:r>
      <w:r w:rsidR="00CA3AC7" w:rsidRPr="00963583">
        <w:rPr>
          <w:rFonts w:cs="Calibri"/>
          <w:sz w:val="18"/>
          <w:szCs w:val="18"/>
        </w:rPr>
        <w:t xml:space="preserve">its </w:t>
      </w:r>
      <w:r w:rsidRPr="00963583">
        <w:rPr>
          <w:rFonts w:cs="Calibri"/>
          <w:sz w:val="18"/>
          <w:szCs w:val="18"/>
        </w:rPr>
        <w:t xml:space="preserve">financial operations for the year ended 30 June </w:t>
      </w:r>
      <w:r w:rsidR="00A60941" w:rsidRPr="00963583">
        <w:rPr>
          <w:rFonts w:cs="Calibri"/>
          <w:sz w:val="18"/>
          <w:szCs w:val="18"/>
        </w:rPr>
        <w:t>202</w:t>
      </w:r>
      <w:r w:rsidR="00D50594">
        <w:rPr>
          <w:rFonts w:cs="Calibri"/>
          <w:sz w:val="18"/>
          <w:szCs w:val="18"/>
        </w:rPr>
        <w:t>3</w:t>
      </w:r>
      <w:r w:rsidR="00A60941" w:rsidRPr="00963583">
        <w:rPr>
          <w:rFonts w:cs="Calibri"/>
          <w:sz w:val="18"/>
          <w:szCs w:val="18"/>
        </w:rPr>
        <w:t xml:space="preserve"> </w:t>
      </w:r>
      <w:r w:rsidRPr="00963583">
        <w:rPr>
          <w:rFonts w:cs="Calibri"/>
          <w:sz w:val="18"/>
          <w:szCs w:val="18"/>
        </w:rPr>
        <w:t>and the financial position on that date.</w:t>
      </w:r>
    </w:p>
    <w:bookmarkEnd w:id="130"/>
    <w:p w14:paraId="715C41A7" w14:textId="77777777" w:rsidR="000144FF" w:rsidRPr="00963583" w:rsidRDefault="000144FF">
      <w:pPr>
        <w:tabs>
          <w:tab w:val="left" w:pos="3306"/>
        </w:tabs>
        <w:rPr>
          <w:rFonts w:cs="Calibri"/>
          <w:sz w:val="18"/>
          <w:szCs w:val="18"/>
        </w:rPr>
      </w:pPr>
    </w:p>
    <w:p w14:paraId="7B4FA1EB" w14:textId="77777777" w:rsidR="000144FF" w:rsidRPr="00963583" w:rsidRDefault="000144FF">
      <w:pPr>
        <w:tabs>
          <w:tab w:val="left" w:pos="3306"/>
        </w:tabs>
        <w:rPr>
          <w:rFonts w:cs="Calibri"/>
          <w:sz w:val="18"/>
          <w:szCs w:val="18"/>
        </w:rPr>
      </w:pPr>
    </w:p>
    <w:p w14:paraId="3903B71F" w14:textId="77777777" w:rsidR="000144FF" w:rsidRPr="00963583" w:rsidRDefault="000144FF">
      <w:pPr>
        <w:tabs>
          <w:tab w:val="left" w:pos="3306"/>
        </w:tabs>
        <w:rPr>
          <w:rFonts w:cs="Calibri"/>
          <w:sz w:val="18"/>
          <w:szCs w:val="18"/>
        </w:rPr>
      </w:pPr>
    </w:p>
    <w:p w14:paraId="5E94F8C0" w14:textId="77777777" w:rsidR="000144FF" w:rsidRPr="00963583" w:rsidRDefault="000144FF">
      <w:pPr>
        <w:tabs>
          <w:tab w:val="left" w:pos="3306"/>
        </w:tabs>
        <w:rPr>
          <w:rFonts w:cs="Calibri"/>
          <w:sz w:val="18"/>
          <w:szCs w:val="18"/>
        </w:rPr>
      </w:pPr>
    </w:p>
    <w:p w14:paraId="1417CB73" w14:textId="77777777" w:rsidR="000144FF" w:rsidRPr="00963583" w:rsidRDefault="000144FF">
      <w:pPr>
        <w:tabs>
          <w:tab w:val="left" w:pos="3306"/>
        </w:tabs>
        <w:rPr>
          <w:rFonts w:cs="Calibri"/>
          <w:sz w:val="18"/>
          <w:szCs w:val="18"/>
        </w:rPr>
      </w:pPr>
    </w:p>
    <w:p w14:paraId="6FE4AB41" w14:textId="02876929" w:rsidR="000144FF" w:rsidRPr="00963583" w:rsidRDefault="001B0CE4">
      <w:pPr>
        <w:tabs>
          <w:tab w:val="left" w:pos="3306"/>
        </w:tabs>
        <w:rPr>
          <w:rFonts w:cs="Calibri"/>
          <w:sz w:val="18"/>
          <w:szCs w:val="18"/>
        </w:rPr>
      </w:pPr>
      <w:r w:rsidRPr="00963583">
        <w:rPr>
          <w:rFonts w:cs="Calibri"/>
          <w:sz w:val="18"/>
          <w:szCs w:val="18"/>
        </w:rPr>
        <w:t>Harry</w:t>
      </w:r>
      <w:r w:rsidR="00151714" w:rsidRPr="00963583">
        <w:rPr>
          <w:rFonts w:cs="Calibri"/>
          <w:sz w:val="18"/>
          <w:szCs w:val="18"/>
        </w:rPr>
        <w:t xml:space="preserve"> </w:t>
      </w:r>
      <w:r w:rsidR="003F270D" w:rsidRPr="00963583">
        <w:rPr>
          <w:rFonts w:cs="Calibri"/>
          <w:sz w:val="18"/>
          <w:szCs w:val="18"/>
        </w:rPr>
        <w:t>Austin</w:t>
      </w:r>
    </w:p>
    <w:p w14:paraId="328ACA76" w14:textId="77777777" w:rsidR="000144FF" w:rsidRPr="00963583" w:rsidRDefault="003A523A">
      <w:pPr>
        <w:tabs>
          <w:tab w:val="left" w:pos="3306"/>
        </w:tabs>
        <w:rPr>
          <w:rFonts w:cs="Calibri"/>
          <w:sz w:val="18"/>
          <w:szCs w:val="18"/>
        </w:rPr>
      </w:pPr>
      <w:r w:rsidRPr="00963583">
        <w:rPr>
          <w:rFonts w:cs="Calibri"/>
          <w:sz w:val="18"/>
          <w:szCs w:val="18"/>
        </w:rPr>
        <w:t>Chief Finance Officer</w:t>
      </w:r>
    </w:p>
    <w:p w14:paraId="1185CF6F" w14:textId="5727DF00" w:rsidR="003A523A" w:rsidRPr="00963583" w:rsidRDefault="002F67B3">
      <w:pPr>
        <w:tabs>
          <w:tab w:val="left" w:pos="3306"/>
        </w:tabs>
        <w:rPr>
          <w:rFonts w:cs="Calibri"/>
          <w:sz w:val="18"/>
          <w:szCs w:val="18"/>
        </w:rPr>
      </w:pPr>
      <w:r w:rsidRPr="00963583">
        <w:rPr>
          <w:rFonts w:cs="Calibri"/>
          <w:sz w:val="18"/>
          <w:szCs w:val="18"/>
        </w:rPr>
        <w:t>‘Burley Griffin Agency’</w:t>
      </w:r>
    </w:p>
    <w:p w14:paraId="5573A280" w14:textId="03E70C97" w:rsidR="003A523A" w:rsidRPr="00963583" w:rsidRDefault="00FA7C77">
      <w:pPr>
        <w:tabs>
          <w:tab w:val="left" w:pos="3306"/>
        </w:tabs>
        <w:rPr>
          <w:rFonts w:cs="Calibri"/>
          <w:sz w:val="18"/>
          <w:szCs w:val="18"/>
        </w:rPr>
      </w:pPr>
      <w:r>
        <w:rPr>
          <w:rFonts w:cs="Calibri"/>
          <w:sz w:val="18"/>
          <w:szCs w:val="18"/>
        </w:rPr>
        <w:t xml:space="preserve">     </w:t>
      </w:r>
      <w:r w:rsidR="00CF2E06" w:rsidRPr="00963583">
        <w:rPr>
          <w:rFonts w:cs="Calibri"/>
          <w:sz w:val="18"/>
          <w:szCs w:val="18"/>
        </w:rPr>
        <w:t xml:space="preserve">August </w:t>
      </w:r>
      <w:r w:rsidR="00A60941" w:rsidRPr="00963583">
        <w:rPr>
          <w:rFonts w:cs="Calibri"/>
          <w:sz w:val="18"/>
          <w:szCs w:val="18"/>
        </w:rPr>
        <w:t>202</w:t>
      </w:r>
      <w:r w:rsidR="00D50594">
        <w:rPr>
          <w:rFonts w:cs="Calibri"/>
          <w:sz w:val="18"/>
          <w:szCs w:val="18"/>
        </w:rPr>
        <w:t>3</w:t>
      </w:r>
    </w:p>
    <w:p w14:paraId="502DE5C9" w14:textId="77777777" w:rsidR="000144FF" w:rsidRPr="00413F41" w:rsidRDefault="000144FF">
      <w:pPr>
        <w:tabs>
          <w:tab w:val="left" w:pos="3306"/>
        </w:tabs>
        <w:rPr>
          <w:rFonts w:cs="Calibri"/>
          <w:sz w:val="18"/>
          <w:szCs w:val="18"/>
        </w:rPr>
      </w:pPr>
    </w:p>
    <w:p w14:paraId="0BD52F55" w14:textId="382243AD" w:rsidR="000144FF" w:rsidRDefault="000144FF">
      <w:pPr>
        <w:tabs>
          <w:tab w:val="left" w:pos="3306"/>
        </w:tabs>
        <w:rPr>
          <w:rFonts w:cs="Calibri"/>
        </w:rPr>
      </w:pPr>
    </w:p>
    <w:p w14:paraId="158B1047" w14:textId="12FC31C3" w:rsidR="00BC1B79" w:rsidRDefault="00BC1B79">
      <w:pPr>
        <w:tabs>
          <w:tab w:val="left" w:pos="3306"/>
        </w:tabs>
        <w:rPr>
          <w:rFonts w:cs="Calibri"/>
        </w:rPr>
      </w:pPr>
    </w:p>
    <w:p w14:paraId="700DC1A1" w14:textId="5ACA3BBE" w:rsidR="00BC1B79" w:rsidRDefault="00BC1B79">
      <w:pPr>
        <w:tabs>
          <w:tab w:val="left" w:pos="3306"/>
        </w:tabs>
        <w:rPr>
          <w:rFonts w:cs="Calibri"/>
        </w:rPr>
      </w:pPr>
    </w:p>
    <w:p w14:paraId="1B62C46A" w14:textId="3715C890" w:rsidR="00BC1B79" w:rsidRDefault="00BC1B79">
      <w:pPr>
        <w:tabs>
          <w:tab w:val="left" w:pos="3306"/>
        </w:tabs>
        <w:rPr>
          <w:rFonts w:cs="Calibri"/>
        </w:rPr>
      </w:pPr>
    </w:p>
    <w:p w14:paraId="59BBFCAD" w14:textId="1BD953D0" w:rsidR="00BC1B79" w:rsidRDefault="00BC1B79">
      <w:pPr>
        <w:tabs>
          <w:tab w:val="left" w:pos="3306"/>
        </w:tabs>
        <w:rPr>
          <w:rFonts w:cs="Calibri"/>
        </w:rPr>
      </w:pPr>
    </w:p>
    <w:p w14:paraId="7B7119AB" w14:textId="3CF29D6C" w:rsidR="00BC1B79" w:rsidRDefault="00BC1B79">
      <w:pPr>
        <w:tabs>
          <w:tab w:val="left" w:pos="3306"/>
        </w:tabs>
        <w:rPr>
          <w:rFonts w:cs="Calibri"/>
        </w:rPr>
      </w:pPr>
    </w:p>
    <w:p w14:paraId="428E0C14" w14:textId="77777777" w:rsidR="00BC1B79" w:rsidRPr="00CF7E1B" w:rsidRDefault="00BC1B79">
      <w:pPr>
        <w:tabs>
          <w:tab w:val="left" w:pos="3306"/>
        </w:tabs>
        <w:rPr>
          <w:rFonts w:cs="Calibri"/>
        </w:rPr>
      </w:pPr>
    </w:p>
    <w:p w14:paraId="0C858528" w14:textId="77777777" w:rsidR="000144FF" w:rsidRPr="00CF7E1B" w:rsidRDefault="000144FF">
      <w:pPr>
        <w:tabs>
          <w:tab w:val="left" w:pos="3306"/>
        </w:tabs>
        <w:rPr>
          <w:rFonts w:cs="Calibri"/>
        </w:rPr>
      </w:pPr>
    </w:p>
    <w:tbl>
      <w:tblPr>
        <w:tblW w:w="1042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65"/>
      </w:tblGrid>
      <w:tr w:rsidR="000144FF" w:rsidRPr="00CF7E1B" w14:paraId="3A906952" w14:textId="77777777" w:rsidTr="00BB0CA9">
        <w:trPr>
          <w:trHeight w:val="23"/>
        </w:trPr>
        <w:tc>
          <w:tcPr>
            <w:tcW w:w="1560" w:type="dxa"/>
            <w:tcBorders>
              <w:top w:val="nil"/>
              <w:left w:val="single" w:sz="2" w:space="0" w:color="auto"/>
              <w:bottom w:val="nil"/>
              <w:right w:val="single" w:sz="2" w:space="0" w:color="auto"/>
            </w:tcBorders>
          </w:tcPr>
          <w:p w14:paraId="795208A0" w14:textId="77777777" w:rsidR="000144FF" w:rsidRPr="00963583" w:rsidRDefault="000144FF" w:rsidP="003A523A">
            <w:pPr>
              <w:pStyle w:val="Reference"/>
              <w:spacing w:before="240"/>
              <w:rPr>
                <w:rFonts w:cs="Calibri"/>
                <w:color w:val="7030A0"/>
              </w:rPr>
            </w:pPr>
            <w:r w:rsidRPr="00963583">
              <w:rPr>
                <w:rFonts w:cs="Calibri"/>
                <w:color w:val="7030A0"/>
              </w:rPr>
              <w:t>Reference</w:t>
            </w:r>
          </w:p>
        </w:tc>
        <w:tc>
          <w:tcPr>
            <w:tcW w:w="8865" w:type="dxa"/>
            <w:tcBorders>
              <w:top w:val="nil"/>
              <w:left w:val="single" w:sz="2" w:space="0" w:color="auto"/>
              <w:bottom w:val="nil"/>
              <w:right w:val="nil"/>
            </w:tcBorders>
            <w:shd w:val="clear" w:color="auto" w:fill="7030A0"/>
            <w:vAlign w:val="bottom"/>
          </w:tcPr>
          <w:p w14:paraId="5B21CBB3" w14:textId="77777777" w:rsidR="000144FF" w:rsidRPr="00950179" w:rsidRDefault="003A523A" w:rsidP="003A523A">
            <w:pPr>
              <w:spacing w:before="240" w:after="240"/>
              <w:rPr>
                <w:b/>
                <w:caps/>
                <w:color w:val="FFFFFF" w:themeColor="background1"/>
                <w:sz w:val="28"/>
                <w:szCs w:val="28"/>
              </w:rPr>
            </w:pPr>
            <w:bookmarkStart w:id="131" w:name="_Toc163106282"/>
            <w:r w:rsidRPr="00950179">
              <w:rPr>
                <w:b/>
                <w:color w:val="FFFFFF" w:themeColor="background1"/>
                <w:sz w:val="28"/>
                <w:szCs w:val="28"/>
              </w:rPr>
              <w:t>Commentary – Statement by the Chief Finance Officer</w:t>
            </w:r>
            <w:bookmarkEnd w:id="131"/>
          </w:p>
        </w:tc>
      </w:tr>
      <w:tr w:rsidR="000144FF" w:rsidRPr="00CF7E1B" w14:paraId="2F1C200B"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12539B7" w14:textId="77777777" w:rsidR="000144FF" w:rsidRPr="00963583" w:rsidRDefault="000144FF" w:rsidP="00574DE1">
            <w:pPr>
              <w:pStyle w:val="TableReference"/>
              <w:tabs>
                <w:tab w:val="left" w:pos="3306"/>
              </w:tabs>
              <w:spacing w:before="40"/>
              <w:rPr>
                <w:rFonts w:cs="Calibri"/>
                <w:color w:val="7030A0"/>
                <w:sz w:val="14"/>
              </w:rPr>
            </w:pPr>
            <w:r w:rsidRPr="00963583">
              <w:rPr>
                <w:rFonts w:cs="Calibri"/>
                <w:color w:val="7030A0"/>
                <w:sz w:val="14"/>
              </w:rPr>
              <w:t xml:space="preserve">ACT </w:t>
            </w:r>
            <w:r w:rsidR="00791016" w:rsidRPr="00963583">
              <w:rPr>
                <w:rFonts w:cs="Calibri"/>
                <w:color w:val="7030A0"/>
                <w:sz w:val="14"/>
              </w:rPr>
              <w:t>Disclosure</w:t>
            </w:r>
            <w:r w:rsidRPr="00963583">
              <w:rPr>
                <w:rFonts w:cs="Calibri"/>
                <w:color w:val="7030A0"/>
                <w:sz w:val="14"/>
              </w:rPr>
              <w:t xml:space="preserve"> Policy </w:t>
            </w:r>
          </w:p>
        </w:tc>
        <w:tc>
          <w:tcPr>
            <w:tcW w:w="8865" w:type="dxa"/>
            <w:tcBorders>
              <w:left w:val="single" w:sz="2" w:space="0" w:color="auto"/>
            </w:tcBorders>
            <w:shd w:val="clear" w:color="auto" w:fill="7030A0"/>
          </w:tcPr>
          <w:p w14:paraId="1C2413E6" w14:textId="154FAFBF" w:rsidR="000144FF" w:rsidRPr="00963583" w:rsidRDefault="000144FF" w:rsidP="00CF2E06">
            <w:pPr>
              <w:pStyle w:val="CommentaryText"/>
              <w:rPr>
                <w:rFonts w:cs="Calibri"/>
                <w:color w:val="FFFFFF" w:themeColor="background1"/>
                <w:sz w:val="18"/>
                <w:szCs w:val="18"/>
              </w:rPr>
            </w:pPr>
            <w:r w:rsidRPr="00963583">
              <w:rPr>
                <w:rFonts w:cs="Calibri"/>
                <w:color w:val="FFFFFF" w:themeColor="background1"/>
                <w:sz w:val="18"/>
                <w:szCs w:val="18"/>
              </w:rPr>
              <w:t>Although the FMA only requires that a Statement of Responsibility be provided by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w:t>
            </w:r>
            <w:r w:rsidR="00CF2E06" w:rsidRPr="00963583">
              <w:rPr>
                <w:rFonts w:cs="Calibri"/>
                <w:color w:val="FFFFFF" w:themeColor="background1"/>
                <w:sz w:val="18"/>
                <w:szCs w:val="18"/>
              </w:rPr>
              <w:noBreakHyphen/>
            </w:r>
            <w:r w:rsidR="009B7243" w:rsidRPr="00963583">
              <w:rPr>
                <w:rFonts w:cs="Calibri"/>
                <w:color w:val="FFFFFF" w:themeColor="background1"/>
                <w:sz w:val="18"/>
                <w:szCs w:val="18"/>
              </w:rPr>
              <w:t>General</w:t>
            </w:r>
            <w:r w:rsidRPr="00963583">
              <w:rPr>
                <w:rFonts w:cs="Calibri"/>
                <w:color w:val="FFFFFF" w:themeColor="background1"/>
                <w:sz w:val="18"/>
                <w:szCs w:val="18"/>
              </w:rPr>
              <w:t xml:space="preserve">, it is ACT </w:t>
            </w:r>
            <w:r w:rsidR="00A67B85" w:rsidRPr="00963583">
              <w:rPr>
                <w:rFonts w:cs="Calibri"/>
                <w:color w:val="FFFFFF" w:themeColor="background1"/>
                <w:sz w:val="18"/>
                <w:szCs w:val="18"/>
              </w:rPr>
              <w:t>Disclosure</w:t>
            </w:r>
            <w:r w:rsidRPr="00963583">
              <w:rPr>
                <w:rFonts w:cs="Calibri"/>
                <w:color w:val="FFFFFF" w:themeColor="background1"/>
                <w:sz w:val="18"/>
                <w:szCs w:val="18"/>
              </w:rPr>
              <w:t xml:space="preserve"> Policy that the Chief Finance Officer</w:t>
            </w:r>
            <w:r w:rsidR="00325BC3"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w:t>
            </w:r>
            <w:r w:rsidR="00A76AD6" w:rsidRPr="00963583">
              <w:rPr>
                <w:rFonts w:cs="Calibri"/>
                <w:color w:val="FFFFFF" w:themeColor="background1"/>
                <w:sz w:val="18"/>
                <w:szCs w:val="18"/>
              </w:rPr>
              <w:t xml:space="preserve">must also </w:t>
            </w:r>
            <w:r w:rsidRPr="00963583">
              <w:rPr>
                <w:rFonts w:cs="Calibri"/>
                <w:color w:val="FFFFFF" w:themeColor="background1"/>
                <w:sz w:val="18"/>
                <w:szCs w:val="18"/>
              </w:rPr>
              <w:t>provide a statement</w:t>
            </w:r>
            <w:r w:rsidR="00A76AD6" w:rsidRPr="00963583">
              <w:rPr>
                <w:rFonts w:cs="Calibri"/>
                <w:color w:val="FFFFFF" w:themeColor="background1"/>
                <w:sz w:val="18"/>
                <w:szCs w:val="18"/>
              </w:rPr>
              <w:t>.</w:t>
            </w:r>
            <w:r w:rsidR="00FA7C77">
              <w:rPr>
                <w:rFonts w:cs="Calibri"/>
                <w:color w:val="FFFFFF" w:themeColor="background1"/>
                <w:sz w:val="18"/>
                <w:szCs w:val="18"/>
              </w:rPr>
              <w:t xml:space="preserve"> </w:t>
            </w:r>
            <w:r w:rsidR="00A76AD6" w:rsidRPr="00963583">
              <w:rPr>
                <w:rFonts w:cs="Calibri"/>
                <w:color w:val="FFFFFF" w:themeColor="background1"/>
                <w:sz w:val="18"/>
                <w:szCs w:val="18"/>
              </w:rPr>
              <w:t>This statement should say</w:t>
            </w:r>
            <w:r w:rsidRPr="00963583">
              <w:rPr>
                <w:rFonts w:cs="Calibri"/>
                <w:color w:val="FFFFFF" w:themeColor="background1"/>
                <w:sz w:val="18"/>
                <w:szCs w:val="18"/>
              </w:rPr>
              <w:t xml:space="preserve"> that the financial </w:t>
            </w:r>
            <w:r w:rsidR="00284B31" w:rsidRPr="00963583">
              <w:rPr>
                <w:rFonts w:cs="Calibri"/>
                <w:color w:val="FFFFFF" w:themeColor="background1"/>
                <w:sz w:val="18"/>
                <w:szCs w:val="18"/>
              </w:rPr>
              <w:t>statements</w:t>
            </w:r>
            <w:r w:rsidRPr="00963583">
              <w:rPr>
                <w:rFonts w:cs="Calibri"/>
                <w:color w:val="FFFFFF" w:themeColor="background1"/>
                <w:sz w:val="18"/>
                <w:szCs w:val="18"/>
              </w:rPr>
              <w:t xml:space="preserve"> ha</w:t>
            </w:r>
            <w:r w:rsidR="00284B31" w:rsidRPr="00963583">
              <w:rPr>
                <w:rFonts w:cs="Calibri"/>
                <w:color w:val="FFFFFF" w:themeColor="background1"/>
                <w:sz w:val="18"/>
                <w:szCs w:val="18"/>
              </w:rPr>
              <w:t>ve</w:t>
            </w:r>
            <w:r w:rsidRPr="00963583">
              <w:rPr>
                <w:rFonts w:cs="Calibri"/>
                <w:color w:val="FFFFFF" w:themeColor="background1"/>
                <w:sz w:val="18"/>
                <w:szCs w:val="18"/>
              </w:rPr>
              <w:t xml:space="preserve"> been prepared in accordance with </w:t>
            </w:r>
            <w:r w:rsidR="00B92DDA" w:rsidRPr="00963583">
              <w:rPr>
                <w:rFonts w:cs="Calibri"/>
                <w:color w:val="FFFFFF" w:themeColor="background1"/>
                <w:sz w:val="18"/>
                <w:szCs w:val="18"/>
              </w:rPr>
              <w:t>Australian A</w:t>
            </w:r>
            <w:r w:rsidR="00106229" w:rsidRPr="00963583">
              <w:rPr>
                <w:rFonts w:cs="Calibri"/>
                <w:color w:val="FFFFFF" w:themeColor="background1"/>
                <w:sz w:val="18"/>
                <w:szCs w:val="18"/>
              </w:rPr>
              <w:t xml:space="preserve">ccounting </w:t>
            </w:r>
            <w:r w:rsidR="00B92DDA" w:rsidRPr="00963583">
              <w:rPr>
                <w:rFonts w:cs="Calibri"/>
                <w:color w:val="FFFFFF" w:themeColor="background1"/>
                <w:sz w:val="18"/>
                <w:szCs w:val="18"/>
              </w:rPr>
              <w:t>S</w:t>
            </w:r>
            <w:r w:rsidR="00106229" w:rsidRPr="00963583">
              <w:rPr>
                <w:rFonts w:cs="Calibri"/>
                <w:color w:val="FFFFFF" w:themeColor="background1"/>
                <w:sz w:val="18"/>
                <w:szCs w:val="18"/>
              </w:rPr>
              <w:t>tandards</w:t>
            </w:r>
            <w:r w:rsidRPr="00963583">
              <w:rPr>
                <w:rFonts w:cs="Calibri"/>
                <w:color w:val="FFFFFF" w:themeColor="background1"/>
                <w:sz w:val="18"/>
                <w:szCs w:val="18"/>
              </w:rPr>
              <w:t xml:space="preserve">, and </w:t>
            </w:r>
            <w:r w:rsidR="00284B31" w:rsidRPr="00963583">
              <w:rPr>
                <w:rFonts w:cs="Calibri"/>
                <w:color w:val="FFFFFF" w:themeColor="background1"/>
                <w:sz w:val="18"/>
                <w:szCs w:val="18"/>
              </w:rPr>
              <w:t>are</w:t>
            </w:r>
            <w:r w:rsidRPr="00963583">
              <w:rPr>
                <w:rFonts w:cs="Calibri"/>
                <w:color w:val="FFFFFF" w:themeColor="background1"/>
                <w:sz w:val="18"/>
                <w:szCs w:val="18"/>
              </w:rPr>
              <w:t xml:space="preserve"> in agreement with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00284B31" w:rsidRPr="00963583">
              <w:rPr>
                <w:rFonts w:cs="Calibri"/>
                <w:color w:val="FFFFFF" w:themeColor="background1"/>
                <w:sz w:val="18"/>
                <w:szCs w:val="18"/>
              </w:rPr>
              <w:t>’s accounts and record</w:t>
            </w:r>
            <w:r w:rsidR="002934DF" w:rsidRPr="00963583">
              <w:rPr>
                <w:rFonts w:cs="Calibri"/>
                <w:color w:val="FFFFFF" w:themeColor="background1"/>
                <w:sz w:val="18"/>
                <w:szCs w:val="18"/>
              </w:rPr>
              <w:t>s</w:t>
            </w:r>
            <w:r w:rsidR="00284B31" w:rsidRPr="00963583">
              <w:rPr>
                <w:rFonts w:cs="Calibri"/>
                <w:color w:val="FFFFFF" w:themeColor="background1"/>
                <w:sz w:val="18"/>
                <w:szCs w:val="18"/>
              </w:rPr>
              <w:t xml:space="preserve"> and fairly reflect</w:t>
            </w:r>
            <w:r w:rsidRPr="00963583">
              <w:rPr>
                <w:rFonts w:cs="Calibri"/>
                <w:color w:val="FFFFFF" w:themeColor="background1"/>
                <w:sz w:val="18"/>
                <w:szCs w:val="18"/>
              </w:rPr>
              <w:t xml:space="preserve"> the financial operations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 xml:space="preserve">This statement is usually signed prior to the </w:t>
            </w:r>
            <w:r w:rsidR="009B7243" w:rsidRPr="00963583">
              <w:rPr>
                <w:rFonts w:cs="Calibri"/>
                <w:color w:val="FFFFFF" w:themeColor="background1"/>
                <w:sz w:val="18"/>
                <w:szCs w:val="18"/>
              </w:rPr>
              <w:t>Director-General</w:t>
            </w:r>
            <w:r w:rsidRPr="00963583">
              <w:rPr>
                <w:rFonts w:cs="Calibri"/>
                <w:color w:val="FFFFFF" w:themeColor="background1"/>
                <w:sz w:val="18"/>
                <w:szCs w:val="18"/>
              </w:rPr>
              <w:t xml:space="preserve"> signing the Statement of Responsibility, and is to provide a level of assurance to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Director-General</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The name of the Chief Finance Officer</w:t>
            </w:r>
            <w:r w:rsidR="00867B88"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 xml:space="preserve"> must be clearly printed on the statement.</w:t>
            </w:r>
          </w:p>
        </w:tc>
      </w:tr>
    </w:tbl>
    <w:p w14:paraId="65061664" w14:textId="77777777" w:rsidR="00DC687F" w:rsidRDefault="00272522">
      <w:pPr>
        <w:tabs>
          <w:tab w:val="left" w:pos="3306"/>
        </w:tabs>
        <w:rPr>
          <w:rFonts w:cs="Calibri"/>
        </w:rPr>
      </w:pPr>
      <w:r>
        <w:rPr>
          <w:rFonts w:cs="Calibri"/>
        </w:rPr>
        <w:br w:type="page"/>
      </w:r>
    </w:p>
    <w:p w14:paraId="3595F6B6" w14:textId="77777777" w:rsidR="00272522" w:rsidRDefault="00272522" w:rsidP="00272522"/>
    <w:p w14:paraId="55266BAC" w14:textId="77777777" w:rsidR="00B5432D" w:rsidRDefault="00B5432D" w:rsidP="00261364">
      <w:bookmarkStart w:id="132" w:name="_Toc400627307"/>
    </w:p>
    <w:p w14:paraId="3DFD913B" w14:textId="77777777" w:rsidR="00B5432D" w:rsidRDefault="00B5432D" w:rsidP="00261364"/>
    <w:p w14:paraId="43B965EA" w14:textId="77777777" w:rsidR="00B5432D" w:rsidRDefault="00B5432D" w:rsidP="00261364"/>
    <w:p w14:paraId="3A87A7E9" w14:textId="77777777" w:rsidR="00B5432D" w:rsidRDefault="00B5432D" w:rsidP="00261364"/>
    <w:p w14:paraId="014170B0" w14:textId="77777777" w:rsidR="00B5432D" w:rsidRDefault="00B5432D" w:rsidP="00261364"/>
    <w:p w14:paraId="468CB7A6" w14:textId="77777777" w:rsidR="00B5432D" w:rsidRDefault="00B5432D" w:rsidP="00261364"/>
    <w:p w14:paraId="1F6E3F7D" w14:textId="37A117A0" w:rsidR="009F17F5" w:rsidRPr="008238E7" w:rsidRDefault="009F17F5" w:rsidP="009F17F5">
      <w:pPr>
        <w:jc w:val="center"/>
        <w:rPr>
          <w:rFonts w:asciiTheme="minorHAnsi" w:hAnsiTheme="minorHAnsi" w:cstheme="minorHAnsi"/>
          <w:b/>
          <w:sz w:val="52"/>
          <w:szCs w:val="52"/>
        </w:rPr>
      </w:pPr>
      <w:r w:rsidRPr="008238E7">
        <w:rPr>
          <w:rFonts w:asciiTheme="minorHAnsi" w:hAnsiTheme="minorHAnsi" w:cstheme="minorHAnsi"/>
          <w:b/>
          <w:sz w:val="52"/>
          <w:szCs w:val="52"/>
        </w:rPr>
        <w:t>‘</w:t>
      </w:r>
      <w:r w:rsidR="007D5C59" w:rsidRPr="008238E7">
        <w:rPr>
          <w:rFonts w:asciiTheme="minorHAnsi" w:hAnsiTheme="minorHAnsi" w:cstheme="minorHAnsi"/>
          <w:b/>
          <w:sz w:val="52"/>
          <w:szCs w:val="52"/>
        </w:rPr>
        <w:t xml:space="preserve">BURLEY GRIFFIN </w:t>
      </w:r>
      <w:r w:rsidR="001B231B" w:rsidRPr="008238E7">
        <w:rPr>
          <w:rFonts w:asciiTheme="minorHAnsi" w:hAnsiTheme="minorHAnsi" w:cstheme="minorHAnsi"/>
          <w:b/>
          <w:sz w:val="52"/>
          <w:szCs w:val="52"/>
        </w:rPr>
        <w:t>AGENCY</w:t>
      </w:r>
      <w:r w:rsidRPr="008238E7">
        <w:rPr>
          <w:rFonts w:asciiTheme="minorHAnsi" w:hAnsiTheme="minorHAnsi" w:cstheme="minorHAnsi"/>
          <w:b/>
          <w:sz w:val="52"/>
          <w:szCs w:val="52"/>
        </w:rPr>
        <w:t>’</w:t>
      </w:r>
    </w:p>
    <w:p w14:paraId="638657BA" w14:textId="77777777" w:rsidR="009F17F5" w:rsidRPr="008238E7" w:rsidRDefault="009F17F5" w:rsidP="00261364">
      <w:pPr>
        <w:rPr>
          <w:rFonts w:asciiTheme="minorHAnsi" w:hAnsiTheme="minorHAnsi" w:cstheme="minorHAnsi"/>
          <w:sz w:val="52"/>
          <w:szCs w:val="52"/>
        </w:rPr>
      </w:pPr>
    </w:p>
    <w:p w14:paraId="33E0790D" w14:textId="77777777" w:rsidR="00272522" w:rsidRPr="008238E7" w:rsidRDefault="00272522" w:rsidP="009F17F5">
      <w:pPr>
        <w:pStyle w:val="Subtitle"/>
        <w:rPr>
          <w:rFonts w:asciiTheme="minorHAnsi" w:hAnsiTheme="minorHAnsi" w:cstheme="minorHAnsi"/>
          <w:sz w:val="52"/>
          <w:szCs w:val="52"/>
        </w:rPr>
      </w:pPr>
      <w:bookmarkStart w:id="133" w:name="_Toc132743760"/>
      <w:r w:rsidRPr="008238E7">
        <w:rPr>
          <w:rFonts w:asciiTheme="minorHAnsi" w:hAnsiTheme="minorHAnsi" w:cstheme="minorHAnsi"/>
          <w:sz w:val="52"/>
          <w:szCs w:val="52"/>
        </w:rPr>
        <w:t>C</w:t>
      </w:r>
      <w:r w:rsidR="009F17F5" w:rsidRPr="008238E7">
        <w:rPr>
          <w:rFonts w:asciiTheme="minorHAnsi" w:hAnsiTheme="minorHAnsi" w:cstheme="minorHAnsi"/>
          <w:sz w:val="52"/>
          <w:szCs w:val="52"/>
        </w:rPr>
        <w:t>ONTROLLED FINANCIAL STATEMENTS</w:t>
      </w:r>
      <w:bookmarkEnd w:id="132"/>
      <w:bookmarkEnd w:id="133"/>
    </w:p>
    <w:p w14:paraId="4590B293" w14:textId="77777777" w:rsidR="009F17F5" w:rsidRPr="008238E7" w:rsidRDefault="009F17F5" w:rsidP="009F17F5">
      <w:pPr>
        <w:rPr>
          <w:rFonts w:asciiTheme="minorHAnsi" w:hAnsiTheme="minorHAnsi" w:cstheme="minorHAnsi"/>
          <w:sz w:val="52"/>
          <w:szCs w:val="52"/>
        </w:rPr>
      </w:pPr>
    </w:p>
    <w:p w14:paraId="5B1F9CD9" w14:textId="77777777" w:rsidR="006D2667" w:rsidRPr="008238E7" w:rsidRDefault="006D2667" w:rsidP="008305AF">
      <w:pPr>
        <w:rPr>
          <w:rFonts w:asciiTheme="minorHAnsi" w:hAnsiTheme="minorHAnsi" w:cstheme="minorHAnsi"/>
          <w:sz w:val="52"/>
          <w:szCs w:val="52"/>
        </w:rPr>
      </w:pPr>
    </w:p>
    <w:p w14:paraId="66D11CCD" w14:textId="77777777" w:rsidR="009F17F5" w:rsidRPr="008238E7" w:rsidRDefault="009F17F5" w:rsidP="008305AF">
      <w:pPr>
        <w:rPr>
          <w:rFonts w:asciiTheme="minorHAnsi" w:hAnsiTheme="minorHAnsi" w:cstheme="minorHAnsi"/>
          <w:sz w:val="52"/>
          <w:szCs w:val="52"/>
        </w:rPr>
      </w:pPr>
    </w:p>
    <w:p w14:paraId="7F4ADADB" w14:textId="77777777"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For </w:t>
      </w:r>
      <w:r w:rsidR="00DF611A" w:rsidRPr="008238E7">
        <w:rPr>
          <w:rFonts w:asciiTheme="minorHAnsi" w:hAnsiTheme="minorHAnsi" w:cstheme="minorHAnsi"/>
          <w:b/>
          <w:sz w:val="52"/>
          <w:szCs w:val="52"/>
        </w:rPr>
        <w:t>t</w:t>
      </w:r>
      <w:r w:rsidRPr="008238E7">
        <w:rPr>
          <w:rFonts w:asciiTheme="minorHAnsi" w:hAnsiTheme="minorHAnsi" w:cstheme="minorHAnsi"/>
          <w:b/>
          <w:sz w:val="52"/>
          <w:szCs w:val="52"/>
        </w:rPr>
        <w:t>he Year End</w:t>
      </w:r>
      <w:r w:rsidR="009D190B" w:rsidRPr="008238E7">
        <w:rPr>
          <w:rFonts w:asciiTheme="minorHAnsi" w:hAnsiTheme="minorHAnsi" w:cstheme="minorHAnsi"/>
          <w:b/>
          <w:sz w:val="52"/>
          <w:szCs w:val="52"/>
        </w:rPr>
        <w:t>ed</w:t>
      </w:r>
    </w:p>
    <w:p w14:paraId="75BB0375" w14:textId="4EFBCF6B"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30 June </w:t>
      </w:r>
      <w:r w:rsidR="00C66E0D" w:rsidRPr="008238E7">
        <w:rPr>
          <w:rFonts w:asciiTheme="minorHAnsi" w:hAnsiTheme="minorHAnsi" w:cstheme="minorHAnsi"/>
          <w:b/>
          <w:sz w:val="52"/>
          <w:szCs w:val="52"/>
        </w:rPr>
        <w:t>202</w:t>
      </w:r>
      <w:r w:rsidR="00D50594">
        <w:rPr>
          <w:rFonts w:asciiTheme="minorHAnsi" w:hAnsiTheme="minorHAnsi" w:cstheme="minorHAnsi"/>
          <w:b/>
          <w:sz w:val="52"/>
          <w:szCs w:val="52"/>
        </w:rPr>
        <w:t>3</w:t>
      </w:r>
    </w:p>
    <w:p w14:paraId="2280A21B" w14:textId="7917BC72" w:rsidR="00272522" w:rsidRDefault="00272522" w:rsidP="00272522"/>
    <w:p w14:paraId="1EA56238" w14:textId="49B5BB1C" w:rsidR="008238E7" w:rsidRDefault="008238E7" w:rsidP="00272522"/>
    <w:p w14:paraId="5BD806EC" w14:textId="098E7F34" w:rsidR="008238E7" w:rsidRDefault="008238E7" w:rsidP="00272522"/>
    <w:p w14:paraId="3AB29DD8" w14:textId="715E4AE5" w:rsidR="008238E7" w:rsidRDefault="008238E7" w:rsidP="00272522"/>
    <w:p w14:paraId="496C34D1" w14:textId="5733190E" w:rsidR="008238E7" w:rsidRDefault="008238E7" w:rsidP="00272522"/>
    <w:p w14:paraId="5E5513D6" w14:textId="00E6EC36" w:rsidR="008238E7" w:rsidRDefault="008238E7" w:rsidP="00272522"/>
    <w:p w14:paraId="36008392" w14:textId="4CC45B78" w:rsidR="008238E7" w:rsidRDefault="008238E7" w:rsidP="00272522"/>
    <w:p w14:paraId="23F5F153" w14:textId="2D37B1C1" w:rsidR="008238E7" w:rsidRDefault="008238E7" w:rsidP="00272522"/>
    <w:p w14:paraId="4CAB0038" w14:textId="57344CA5" w:rsidR="008238E7" w:rsidRDefault="008238E7" w:rsidP="00272522"/>
    <w:p w14:paraId="0C6D29CA" w14:textId="52E8E7AC" w:rsidR="008238E7" w:rsidRDefault="008238E7" w:rsidP="00272522"/>
    <w:p w14:paraId="4C0CA1A7" w14:textId="1BA25A4A" w:rsidR="008238E7" w:rsidRDefault="008238E7" w:rsidP="00272522"/>
    <w:p w14:paraId="3E6E7B76" w14:textId="2F8328A6" w:rsidR="008238E7" w:rsidRDefault="008238E7" w:rsidP="00272522"/>
    <w:p w14:paraId="55BB266B" w14:textId="07BDC6F8" w:rsidR="008238E7" w:rsidRDefault="008238E7" w:rsidP="00272522"/>
    <w:p w14:paraId="1686C162" w14:textId="4AB5834D" w:rsidR="008238E7" w:rsidRDefault="008238E7" w:rsidP="00272522"/>
    <w:p w14:paraId="307AEB61" w14:textId="76A4A9DF" w:rsidR="008238E7" w:rsidRDefault="008238E7" w:rsidP="00272522"/>
    <w:p w14:paraId="2615D4B6" w14:textId="2E8E17F8" w:rsidR="008238E7" w:rsidRDefault="008238E7" w:rsidP="00272522"/>
    <w:p w14:paraId="1C3A545F" w14:textId="04C37ABC" w:rsidR="008238E7" w:rsidRDefault="008238E7" w:rsidP="00272522"/>
    <w:p w14:paraId="5A4836F1" w14:textId="1F70A1AE" w:rsidR="008238E7" w:rsidRDefault="008238E7" w:rsidP="00272522"/>
    <w:p w14:paraId="3EF759CA" w14:textId="323C8276" w:rsidR="008238E7" w:rsidRDefault="008238E7" w:rsidP="00272522"/>
    <w:p w14:paraId="5665A7CE" w14:textId="14E379DB" w:rsidR="008238E7" w:rsidRDefault="008238E7" w:rsidP="00272522"/>
    <w:p w14:paraId="75C68F3C" w14:textId="5D71F857" w:rsidR="008238E7" w:rsidRDefault="008238E7" w:rsidP="00272522"/>
    <w:p w14:paraId="78511212" w14:textId="592F2F07" w:rsidR="008238E7" w:rsidRDefault="008238E7" w:rsidP="00272522"/>
    <w:p w14:paraId="022C0E5E" w14:textId="6F2FD20F" w:rsidR="008238E7" w:rsidRDefault="008238E7" w:rsidP="00272522"/>
    <w:p w14:paraId="189A8636" w14:textId="7B1B7A4A" w:rsidR="008238E7" w:rsidRDefault="008238E7" w:rsidP="00272522"/>
    <w:p w14:paraId="682F5D52" w14:textId="7C1BF71D" w:rsidR="008238E7" w:rsidRDefault="008238E7" w:rsidP="00272522"/>
    <w:p w14:paraId="57E41C0E" w14:textId="65151D20" w:rsidR="008238E7" w:rsidRDefault="008238E7" w:rsidP="00272522"/>
    <w:p w14:paraId="760B3EDF" w14:textId="77777777" w:rsidR="008238E7" w:rsidRDefault="008238E7" w:rsidP="00272522"/>
    <w:p w14:paraId="3BD7B05D" w14:textId="77777777" w:rsidR="00272522" w:rsidRDefault="00272522" w:rsidP="00272522"/>
    <w:p w14:paraId="5C95AF5C" w14:textId="1C48593B" w:rsidR="00272522" w:rsidRPr="00062DDD" w:rsidRDefault="00062DDD" w:rsidP="00272522">
      <w:pPr>
        <w:rPr>
          <w:color w:val="003366"/>
        </w:rPr>
      </w:pPr>
      <w:r w:rsidRPr="00062DDD">
        <w:rPr>
          <w:color w:val="003366"/>
        </w:rPr>
        <w:t>[</w:t>
      </w:r>
      <w:r w:rsidR="00272522" w:rsidRPr="00062DDD">
        <w:rPr>
          <w:color w:val="003366"/>
        </w:rPr>
        <w:t>Note: A ‘</w:t>
      </w:r>
      <w:r w:rsidR="00432859" w:rsidRPr="00062DDD">
        <w:rPr>
          <w:color w:val="003366"/>
        </w:rPr>
        <w:t>Controlled Financial Statements’</w:t>
      </w:r>
      <w:r w:rsidR="00272522" w:rsidRPr="00062DDD">
        <w:rPr>
          <w:color w:val="003366"/>
        </w:rPr>
        <w:t xml:space="preserve"> Title page is not required for ACT Territory Authorities</w:t>
      </w:r>
      <w:r w:rsidRPr="00062DDD">
        <w:rPr>
          <w:color w:val="003366"/>
        </w:rPr>
        <w:t>]</w:t>
      </w:r>
    </w:p>
    <w:p w14:paraId="75753283" w14:textId="77777777" w:rsidR="00272522" w:rsidRDefault="00272522">
      <w:pPr>
        <w:tabs>
          <w:tab w:val="left" w:pos="3306"/>
        </w:tabs>
        <w:rPr>
          <w:rFonts w:cs="Calibri"/>
        </w:rPr>
      </w:pPr>
    </w:p>
    <w:p w14:paraId="7708BE50" w14:textId="757BD16C" w:rsidR="00206D31" w:rsidRPr="0046389C" w:rsidRDefault="009C7145" w:rsidP="00206D31">
      <w:pPr>
        <w:spacing w:line="400" w:lineRule="exact"/>
        <w:jc w:val="center"/>
        <w:rPr>
          <w:rFonts w:asciiTheme="minorHAnsi" w:hAnsiTheme="minorHAnsi" w:cstheme="minorHAnsi"/>
          <w:b/>
          <w:sz w:val="40"/>
          <w:szCs w:val="24"/>
        </w:rPr>
      </w:pPr>
      <w:bookmarkStart w:id="134" w:name="_Hlk87973552"/>
      <w:r>
        <w:rPr>
          <w:rFonts w:asciiTheme="minorHAnsi" w:hAnsiTheme="minorHAnsi" w:cstheme="minorHAnsi"/>
          <w:b/>
          <w:sz w:val="40"/>
          <w:szCs w:val="24"/>
        </w:rPr>
        <w:t>‘</w:t>
      </w:r>
      <w:r w:rsidR="00F5300A">
        <w:rPr>
          <w:rFonts w:asciiTheme="minorHAnsi" w:hAnsiTheme="minorHAnsi" w:cstheme="minorHAnsi"/>
          <w:b/>
          <w:sz w:val="40"/>
          <w:szCs w:val="24"/>
        </w:rPr>
        <w:t>Burley</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Griffin</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Agency</w:t>
      </w:r>
      <w:r w:rsidR="00206D31" w:rsidRPr="0046389C">
        <w:rPr>
          <w:rFonts w:asciiTheme="minorHAnsi" w:hAnsiTheme="minorHAnsi" w:cstheme="minorHAnsi"/>
          <w:b/>
          <w:sz w:val="40"/>
          <w:szCs w:val="24"/>
        </w:rPr>
        <w:t xml:space="preserve">’ </w:t>
      </w:r>
    </w:p>
    <w:p w14:paraId="2579FDCC" w14:textId="45D2C851" w:rsidR="00206D31" w:rsidRPr="00F5300A" w:rsidRDefault="00F5300A" w:rsidP="00F5300A">
      <w:pPr>
        <w:pStyle w:val="Subtitle"/>
        <w:rPr>
          <w:rFonts w:asciiTheme="minorHAnsi" w:hAnsiTheme="minorHAnsi" w:cstheme="minorHAnsi"/>
          <w:szCs w:val="40"/>
        </w:rPr>
      </w:pPr>
      <w:bookmarkStart w:id="135" w:name="_Toc131164461"/>
      <w:bookmarkStart w:id="136" w:name="_Toc131591726"/>
      <w:bookmarkStart w:id="137" w:name="_Toc132743761"/>
      <w:r>
        <w:rPr>
          <w:rFonts w:asciiTheme="minorHAnsi" w:hAnsiTheme="minorHAnsi" w:cstheme="minorHAnsi"/>
          <w:szCs w:val="40"/>
        </w:rPr>
        <w:t>Content of</w:t>
      </w:r>
      <w:r w:rsidR="00206D31" w:rsidRPr="00F5300A">
        <w:rPr>
          <w:rFonts w:asciiTheme="minorHAnsi" w:hAnsiTheme="minorHAnsi" w:cstheme="minorHAnsi"/>
          <w:szCs w:val="40"/>
        </w:rPr>
        <w:t xml:space="preserve"> </w:t>
      </w:r>
      <w:r>
        <w:rPr>
          <w:rFonts w:asciiTheme="minorHAnsi" w:hAnsiTheme="minorHAnsi" w:cstheme="minorHAnsi"/>
          <w:szCs w:val="40"/>
        </w:rPr>
        <w:t>Controlled Financial Statements</w:t>
      </w:r>
      <w:bookmarkEnd w:id="135"/>
      <w:bookmarkEnd w:id="136"/>
      <w:bookmarkEnd w:id="137"/>
    </w:p>
    <w:bookmarkEnd w:id="134"/>
    <w:tbl>
      <w:tblPr>
        <w:tblW w:w="5147" w:type="pct"/>
        <w:tblLayout w:type="fixed"/>
        <w:tblLook w:val="00A0" w:firstRow="1" w:lastRow="0" w:firstColumn="1" w:lastColumn="0" w:noHBand="0" w:noVBand="0"/>
      </w:tblPr>
      <w:tblGrid>
        <w:gridCol w:w="1129"/>
        <w:gridCol w:w="7136"/>
        <w:gridCol w:w="1657"/>
      </w:tblGrid>
      <w:tr w:rsidR="0046389C" w:rsidRPr="0046389C" w14:paraId="0E078587" w14:textId="77777777" w:rsidTr="001F7F23">
        <w:tc>
          <w:tcPr>
            <w:tcW w:w="569" w:type="pct"/>
          </w:tcPr>
          <w:p w14:paraId="28B7DEFD" w14:textId="245795B9" w:rsidR="0000776A" w:rsidRPr="0046389C" w:rsidRDefault="0000776A" w:rsidP="0000776A">
            <w:pPr>
              <w:pStyle w:val="TableText"/>
              <w:tabs>
                <w:tab w:val="left" w:pos="3306"/>
              </w:tabs>
              <w:rPr>
                <w:rFonts w:cs="Calibri"/>
                <w:b/>
                <w:snapToGrid w:val="0"/>
                <w:sz w:val="24"/>
                <w:szCs w:val="24"/>
              </w:rPr>
            </w:pPr>
          </w:p>
        </w:tc>
        <w:tc>
          <w:tcPr>
            <w:tcW w:w="3596" w:type="pct"/>
          </w:tcPr>
          <w:p w14:paraId="30F260E9" w14:textId="70CDDB00" w:rsidR="0000776A" w:rsidRPr="0046389C" w:rsidRDefault="0000776A" w:rsidP="0000776A">
            <w:pPr>
              <w:pStyle w:val="TableText"/>
              <w:tabs>
                <w:tab w:val="left" w:pos="3306"/>
              </w:tabs>
              <w:spacing w:after="120"/>
              <w:rPr>
                <w:rFonts w:cs="Calibri"/>
                <w:b/>
                <w:sz w:val="24"/>
                <w:szCs w:val="24"/>
              </w:rPr>
            </w:pPr>
          </w:p>
        </w:tc>
        <w:tc>
          <w:tcPr>
            <w:tcW w:w="835" w:type="pct"/>
          </w:tcPr>
          <w:p w14:paraId="5D7C8BAE" w14:textId="77777777" w:rsidR="0000776A" w:rsidRPr="0046389C" w:rsidRDefault="0000776A" w:rsidP="0000776A">
            <w:pPr>
              <w:pStyle w:val="TableText"/>
              <w:tabs>
                <w:tab w:val="left" w:pos="3306"/>
              </w:tabs>
              <w:jc w:val="right"/>
              <w:rPr>
                <w:rFonts w:cs="Calibri"/>
                <w:b/>
                <w:snapToGrid w:val="0"/>
                <w:sz w:val="24"/>
                <w:szCs w:val="24"/>
              </w:rPr>
            </w:pPr>
            <w:r w:rsidRPr="0046389C">
              <w:rPr>
                <w:rFonts w:cs="Calibri"/>
                <w:b/>
                <w:snapToGrid w:val="0"/>
                <w:sz w:val="24"/>
                <w:szCs w:val="24"/>
              </w:rPr>
              <w:t>Page</w:t>
            </w:r>
          </w:p>
        </w:tc>
      </w:tr>
      <w:tr w:rsidR="0046389C" w:rsidRPr="0046389C" w14:paraId="3F87F061" w14:textId="77777777" w:rsidTr="001F7F23">
        <w:tc>
          <w:tcPr>
            <w:tcW w:w="4165" w:type="pct"/>
            <w:gridSpan w:val="2"/>
            <w:tcBorders>
              <w:bottom w:val="nil"/>
            </w:tcBorders>
            <w:shd w:val="clear" w:color="auto" w:fill="auto"/>
          </w:tcPr>
          <w:p w14:paraId="4001A673" w14:textId="42D580F0" w:rsidR="0000776A" w:rsidRPr="0046389C" w:rsidRDefault="0000776A" w:rsidP="0000776A">
            <w:pPr>
              <w:pStyle w:val="TableText"/>
              <w:tabs>
                <w:tab w:val="left" w:pos="3306"/>
              </w:tabs>
              <w:rPr>
                <w:b/>
                <w:bCs/>
              </w:rPr>
            </w:pPr>
            <w:r w:rsidRPr="0046389C">
              <w:rPr>
                <w:b/>
                <w:bCs/>
              </w:rPr>
              <w:t>Financial Statements</w:t>
            </w:r>
          </w:p>
        </w:tc>
        <w:tc>
          <w:tcPr>
            <w:tcW w:w="835" w:type="pct"/>
            <w:tcBorders>
              <w:bottom w:val="nil"/>
            </w:tcBorders>
            <w:shd w:val="clear" w:color="auto" w:fill="auto"/>
          </w:tcPr>
          <w:p w14:paraId="1A5B66EA" w14:textId="77777777" w:rsidR="0000776A" w:rsidRPr="0046389C" w:rsidRDefault="0000776A" w:rsidP="0000776A">
            <w:pPr>
              <w:pStyle w:val="TableText"/>
              <w:tabs>
                <w:tab w:val="left" w:pos="3306"/>
              </w:tabs>
              <w:jc w:val="right"/>
              <w:rPr>
                <w:rFonts w:cs="Calibri"/>
                <w:snapToGrid w:val="0"/>
              </w:rPr>
            </w:pPr>
          </w:p>
        </w:tc>
      </w:tr>
      <w:tr w:rsidR="0046389C" w:rsidRPr="0046389C" w14:paraId="1E9AC9C6" w14:textId="77777777" w:rsidTr="001F7F23">
        <w:tc>
          <w:tcPr>
            <w:tcW w:w="4165" w:type="pct"/>
            <w:gridSpan w:val="2"/>
            <w:tcBorders>
              <w:bottom w:val="nil"/>
            </w:tcBorders>
            <w:shd w:val="clear" w:color="auto" w:fill="auto"/>
          </w:tcPr>
          <w:p w14:paraId="28A59EE8" w14:textId="4F891FD6" w:rsidR="0000776A" w:rsidRPr="0046389C" w:rsidRDefault="00062DDD" w:rsidP="0000776A">
            <w:pPr>
              <w:pStyle w:val="TableText"/>
              <w:tabs>
                <w:tab w:val="left" w:pos="3306"/>
              </w:tabs>
              <w:rPr>
                <w:rFonts w:cs="Calibri"/>
                <w:snapToGrid w:val="0"/>
              </w:rPr>
            </w:pPr>
            <w:r w:rsidRPr="0046389C">
              <w:t xml:space="preserve">Operating </w:t>
            </w:r>
            <w:r w:rsidR="0000776A" w:rsidRPr="0046389C">
              <w:t>Statement</w:t>
            </w:r>
          </w:p>
        </w:tc>
        <w:tc>
          <w:tcPr>
            <w:tcW w:w="835" w:type="pct"/>
            <w:tcBorders>
              <w:bottom w:val="nil"/>
            </w:tcBorders>
            <w:shd w:val="clear" w:color="auto" w:fill="auto"/>
          </w:tcPr>
          <w:p w14:paraId="74CE04CB" w14:textId="0B74B33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9E89FB0" w14:textId="77777777" w:rsidTr="001F7F23">
        <w:tc>
          <w:tcPr>
            <w:tcW w:w="4165" w:type="pct"/>
            <w:gridSpan w:val="2"/>
            <w:tcBorders>
              <w:bottom w:val="nil"/>
            </w:tcBorders>
            <w:shd w:val="clear" w:color="auto" w:fill="auto"/>
          </w:tcPr>
          <w:p w14:paraId="5A49F515" w14:textId="59B56D9F" w:rsidR="0000776A" w:rsidRPr="0046389C" w:rsidRDefault="0000776A" w:rsidP="0000776A">
            <w:pPr>
              <w:pStyle w:val="TableText"/>
              <w:tabs>
                <w:tab w:val="left" w:pos="3306"/>
              </w:tabs>
              <w:rPr>
                <w:rFonts w:cs="Calibri"/>
                <w:snapToGrid w:val="0"/>
              </w:rPr>
            </w:pPr>
            <w:r w:rsidRPr="0046389C">
              <w:t>Balance Sheet</w:t>
            </w:r>
          </w:p>
        </w:tc>
        <w:tc>
          <w:tcPr>
            <w:tcW w:w="835" w:type="pct"/>
            <w:tcBorders>
              <w:bottom w:val="nil"/>
            </w:tcBorders>
            <w:shd w:val="clear" w:color="auto" w:fill="auto"/>
          </w:tcPr>
          <w:p w14:paraId="624C0855" w14:textId="713989F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D1657F2" w14:textId="77777777" w:rsidTr="001F7F23">
        <w:tc>
          <w:tcPr>
            <w:tcW w:w="4165" w:type="pct"/>
            <w:gridSpan w:val="2"/>
            <w:tcBorders>
              <w:bottom w:val="nil"/>
            </w:tcBorders>
            <w:shd w:val="clear" w:color="auto" w:fill="auto"/>
          </w:tcPr>
          <w:p w14:paraId="5D206667" w14:textId="1777B292" w:rsidR="0000776A" w:rsidRPr="0046389C" w:rsidRDefault="0000776A" w:rsidP="0000776A">
            <w:pPr>
              <w:pStyle w:val="TableText"/>
              <w:tabs>
                <w:tab w:val="left" w:pos="3306"/>
              </w:tabs>
              <w:rPr>
                <w:rFonts w:cs="Calibri"/>
                <w:snapToGrid w:val="0"/>
              </w:rPr>
            </w:pPr>
            <w:r w:rsidRPr="0046389C">
              <w:t>Statement of Changes in Equity</w:t>
            </w:r>
          </w:p>
        </w:tc>
        <w:tc>
          <w:tcPr>
            <w:tcW w:w="835" w:type="pct"/>
            <w:tcBorders>
              <w:bottom w:val="nil"/>
            </w:tcBorders>
            <w:shd w:val="clear" w:color="auto" w:fill="auto"/>
          </w:tcPr>
          <w:p w14:paraId="3F056592" w14:textId="11FC62B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8302F7E" w14:textId="77777777" w:rsidTr="001F7F23">
        <w:tc>
          <w:tcPr>
            <w:tcW w:w="4165" w:type="pct"/>
            <w:gridSpan w:val="2"/>
            <w:tcBorders>
              <w:bottom w:val="nil"/>
            </w:tcBorders>
            <w:shd w:val="clear" w:color="auto" w:fill="auto"/>
          </w:tcPr>
          <w:p w14:paraId="0E2A2AB8" w14:textId="4A00EC1F" w:rsidR="0000776A" w:rsidRPr="0046389C" w:rsidRDefault="0000776A" w:rsidP="0000776A">
            <w:pPr>
              <w:pStyle w:val="TableText"/>
              <w:tabs>
                <w:tab w:val="left" w:pos="3306"/>
              </w:tabs>
              <w:rPr>
                <w:rFonts w:cs="Calibri"/>
                <w:snapToGrid w:val="0"/>
              </w:rPr>
            </w:pPr>
            <w:r w:rsidRPr="0046389C">
              <w:t>Statement of Cash Flows</w:t>
            </w:r>
          </w:p>
        </w:tc>
        <w:tc>
          <w:tcPr>
            <w:tcW w:w="835" w:type="pct"/>
            <w:tcBorders>
              <w:bottom w:val="nil"/>
            </w:tcBorders>
            <w:shd w:val="clear" w:color="auto" w:fill="auto"/>
          </w:tcPr>
          <w:p w14:paraId="02B5815B" w14:textId="49BBA2C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D3BFAF7" w14:textId="77777777" w:rsidTr="001F7F23">
        <w:tc>
          <w:tcPr>
            <w:tcW w:w="4165" w:type="pct"/>
            <w:gridSpan w:val="2"/>
            <w:tcBorders>
              <w:bottom w:val="nil"/>
            </w:tcBorders>
            <w:shd w:val="clear" w:color="auto" w:fill="auto"/>
          </w:tcPr>
          <w:p w14:paraId="736DCA77" w14:textId="3144C7D7" w:rsidR="0000776A" w:rsidRPr="0046389C" w:rsidRDefault="0000776A" w:rsidP="0000776A">
            <w:pPr>
              <w:spacing w:before="40"/>
              <w:rPr>
                <w:sz w:val="18"/>
                <w:szCs w:val="18"/>
              </w:rPr>
            </w:pPr>
            <w:r w:rsidRPr="0046389C">
              <w:rPr>
                <w:sz w:val="18"/>
                <w:szCs w:val="18"/>
              </w:rPr>
              <w:t>Statement of Appropriation</w:t>
            </w:r>
          </w:p>
        </w:tc>
        <w:tc>
          <w:tcPr>
            <w:tcW w:w="835" w:type="pct"/>
            <w:tcBorders>
              <w:bottom w:val="nil"/>
            </w:tcBorders>
            <w:shd w:val="clear" w:color="auto" w:fill="auto"/>
          </w:tcPr>
          <w:p w14:paraId="55FD308A" w14:textId="7A7476AC"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8F6FFFA" w14:textId="77777777" w:rsidTr="001F7F23">
        <w:tc>
          <w:tcPr>
            <w:tcW w:w="4165" w:type="pct"/>
            <w:gridSpan w:val="2"/>
            <w:tcBorders>
              <w:bottom w:val="nil"/>
            </w:tcBorders>
            <w:shd w:val="clear" w:color="auto" w:fill="auto"/>
          </w:tcPr>
          <w:p w14:paraId="15DD04FB" w14:textId="4D19EB9B" w:rsidR="0000776A" w:rsidRPr="0046389C" w:rsidRDefault="0000776A" w:rsidP="0000776A">
            <w:pPr>
              <w:spacing w:before="40"/>
              <w:rPr>
                <w:sz w:val="18"/>
                <w:szCs w:val="18"/>
              </w:rPr>
            </w:pPr>
            <w:r w:rsidRPr="0046389C">
              <w:rPr>
                <w:sz w:val="18"/>
                <w:szCs w:val="18"/>
              </w:rPr>
              <w:t>Operating Statement for Output Class 1 – Management of Land</w:t>
            </w:r>
          </w:p>
        </w:tc>
        <w:tc>
          <w:tcPr>
            <w:tcW w:w="835" w:type="pct"/>
            <w:tcBorders>
              <w:bottom w:val="nil"/>
            </w:tcBorders>
            <w:shd w:val="clear" w:color="auto" w:fill="auto"/>
          </w:tcPr>
          <w:p w14:paraId="5B14D332" w14:textId="5C41F4A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5034DF5" w14:textId="77777777" w:rsidTr="001F7F23">
        <w:tc>
          <w:tcPr>
            <w:tcW w:w="4165" w:type="pct"/>
            <w:gridSpan w:val="2"/>
            <w:tcBorders>
              <w:bottom w:val="nil"/>
            </w:tcBorders>
            <w:shd w:val="clear" w:color="auto" w:fill="auto"/>
          </w:tcPr>
          <w:p w14:paraId="4F0F36ED" w14:textId="1AF0CBDF" w:rsidR="0000776A" w:rsidRPr="0046389C" w:rsidRDefault="0000776A" w:rsidP="0000776A">
            <w:pPr>
              <w:spacing w:before="40"/>
              <w:rPr>
                <w:sz w:val="18"/>
                <w:szCs w:val="18"/>
              </w:rPr>
            </w:pPr>
            <w:r w:rsidRPr="0046389C">
              <w:rPr>
                <w:sz w:val="18"/>
                <w:szCs w:val="18"/>
              </w:rPr>
              <w:t>Operating Statement for Output Class 2 – Municipal Services</w:t>
            </w:r>
            <w:r w:rsidR="0029606A" w:rsidRPr="0046389C">
              <w:rPr>
                <w:sz w:val="18"/>
                <w:szCs w:val="18"/>
              </w:rPr>
              <w:t xml:space="preserve"> and Transportation</w:t>
            </w:r>
          </w:p>
        </w:tc>
        <w:tc>
          <w:tcPr>
            <w:tcW w:w="835" w:type="pct"/>
            <w:tcBorders>
              <w:bottom w:val="nil"/>
            </w:tcBorders>
            <w:shd w:val="clear" w:color="auto" w:fill="auto"/>
          </w:tcPr>
          <w:p w14:paraId="15BB1437" w14:textId="588683C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51A7063B" w14:textId="77777777" w:rsidTr="001F7F23">
        <w:tc>
          <w:tcPr>
            <w:tcW w:w="4165" w:type="pct"/>
            <w:gridSpan w:val="2"/>
            <w:tcBorders>
              <w:bottom w:val="nil"/>
            </w:tcBorders>
            <w:shd w:val="clear" w:color="auto" w:fill="auto"/>
          </w:tcPr>
          <w:p w14:paraId="515F9B53" w14:textId="1542A12C" w:rsidR="0000776A" w:rsidRPr="0046389C" w:rsidRDefault="0000776A" w:rsidP="0000776A">
            <w:pPr>
              <w:spacing w:before="40"/>
              <w:rPr>
                <w:sz w:val="18"/>
                <w:szCs w:val="18"/>
              </w:rPr>
            </w:pPr>
            <w:r w:rsidRPr="0046389C">
              <w:rPr>
                <w:sz w:val="18"/>
                <w:szCs w:val="18"/>
              </w:rPr>
              <w:t>Operating Statement for Output Class 3 – Environment and Heritage</w:t>
            </w:r>
          </w:p>
        </w:tc>
        <w:tc>
          <w:tcPr>
            <w:tcW w:w="835" w:type="pct"/>
            <w:tcBorders>
              <w:bottom w:val="nil"/>
            </w:tcBorders>
            <w:shd w:val="clear" w:color="auto" w:fill="auto"/>
          </w:tcPr>
          <w:p w14:paraId="5BD691DF" w14:textId="6F7C2E8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A7842D0" w14:textId="77777777" w:rsidTr="001F7F23">
        <w:tc>
          <w:tcPr>
            <w:tcW w:w="4165" w:type="pct"/>
            <w:gridSpan w:val="2"/>
            <w:tcBorders>
              <w:bottom w:val="nil"/>
            </w:tcBorders>
            <w:shd w:val="clear" w:color="auto" w:fill="auto"/>
          </w:tcPr>
          <w:p w14:paraId="5FC11BC5" w14:textId="46B0D27D" w:rsidR="0000776A" w:rsidRPr="0046389C" w:rsidRDefault="0000776A" w:rsidP="0000776A">
            <w:pPr>
              <w:spacing w:before="40"/>
              <w:rPr>
                <w:sz w:val="18"/>
                <w:szCs w:val="18"/>
              </w:rPr>
            </w:pPr>
            <w:r w:rsidRPr="0046389C">
              <w:rPr>
                <w:rFonts w:asciiTheme="minorHAnsi" w:hAnsiTheme="minorHAnsi" w:cstheme="minorHAnsi"/>
                <w:sz w:val="18"/>
                <w:szCs w:val="18"/>
              </w:rPr>
              <w:t>Operating Statement for Output Class 4 – Courts and Tribunals</w:t>
            </w:r>
          </w:p>
        </w:tc>
        <w:tc>
          <w:tcPr>
            <w:tcW w:w="835" w:type="pct"/>
            <w:tcBorders>
              <w:bottom w:val="nil"/>
            </w:tcBorders>
            <w:shd w:val="clear" w:color="auto" w:fill="auto"/>
          </w:tcPr>
          <w:p w14:paraId="0E533DD8" w14:textId="162DF59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5F9D1C7E" w14:textId="77777777" w:rsidTr="001F7F23">
        <w:trPr>
          <w:trHeight w:val="317"/>
        </w:trPr>
        <w:tc>
          <w:tcPr>
            <w:tcW w:w="4165" w:type="pct"/>
            <w:gridSpan w:val="2"/>
            <w:shd w:val="clear" w:color="auto" w:fill="auto"/>
          </w:tcPr>
          <w:p w14:paraId="51F4DB01" w14:textId="71D0D783" w:rsidR="0000776A" w:rsidRPr="0046389C" w:rsidRDefault="0000776A" w:rsidP="0000776A">
            <w:pPr>
              <w:spacing w:before="40"/>
              <w:rPr>
                <w:sz w:val="18"/>
                <w:szCs w:val="18"/>
              </w:rPr>
            </w:pPr>
            <w:r w:rsidRPr="0046389C">
              <w:rPr>
                <w:sz w:val="18"/>
                <w:szCs w:val="18"/>
              </w:rPr>
              <w:t>Disaggregated Disclosure of Assets and Liabilities [</w:t>
            </w:r>
            <w:r w:rsidR="00086FDD">
              <w:rPr>
                <w:sz w:val="18"/>
                <w:szCs w:val="18"/>
              </w:rPr>
              <w:t>d</w:t>
            </w:r>
            <w:r w:rsidRPr="0046389C">
              <w:rPr>
                <w:sz w:val="18"/>
                <w:szCs w:val="18"/>
              </w:rPr>
              <w:t xml:space="preserve">irectorates </w:t>
            </w:r>
            <w:r w:rsidR="00086FDD">
              <w:rPr>
                <w:sz w:val="18"/>
                <w:szCs w:val="18"/>
              </w:rPr>
              <w:t>o</w:t>
            </w:r>
            <w:r w:rsidRPr="0046389C">
              <w:rPr>
                <w:sz w:val="18"/>
                <w:szCs w:val="18"/>
              </w:rPr>
              <w:t>nly]</w:t>
            </w:r>
          </w:p>
        </w:tc>
        <w:tc>
          <w:tcPr>
            <w:tcW w:w="835" w:type="pct"/>
            <w:tcBorders>
              <w:bottom w:val="nil"/>
            </w:tcBorders>
            <w:shd w:val="clear" w:color="auto" w:fill="auto"/>
          </w:tcPr>
          <w:p w14:paraId="398287B6" w14:textId="6BC4F73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7642E30" w14:textId="77777777" w:rsidTr="001F7F23">
        <w:trPr>
          <w:trHeight w:val="317"/>
        </w:trPr>
        <w:tc>
          <w:tcPr>
            <w:tcW w:w="4165" w:type="pct"/>
            <w:gridSpan w:val="2"/>
            <w:shd w:val="clear" w:color="auto" w:fill="auto"/>
          </w:tcPr>
          <w:p w14:paraId="781D5F18" w14:textId="77777777" w:rsidR="0000776A" w:rsidRPr="0046389C" w:rsidRDefault="0000776A" w:rsidP="0000776A">
            <w:pPr>
              <w:spacing w:before="40"/>
              <w:rPr>
                <w:sz w:val="18"/>
                <w:szCs w:val="18"/>
              </w:rPr>
            </w:pPr>
          </w:p>
        </w:tc>
        <w:tc>
          <w:tcPr>
            <w:tcW w:w="835" w:type="pct"/>
            <w:tcBorders>
              <w:bottom w:val="nil"/>
            </w:tcBorders>
            <w:shd w:val="clear" w:color="auto" w:fill="auto"/>
          </w:tcPr>
          <w:p w14:paraId="19D6255D" w14:textId="77777777" w:rsidR="0000776A" w:rsidRPr="0046389C" w:rsidRDefault="0000776A" w:rsidP="0000776A">
            <w:pPr>
              <w:pStyle w:val="TableText"/>
              <w:tabs>
                <w:tab w:val="left" w:pos="3306"/>
              </w:tabs>
              <w:jc w:val="right"/>
              <w:rPr>
                <w:rFonts w:cs="Calibri"/>
                <w:snapToGrid w:val="0"/>
              </w:rPr>
            </w:pPr>
          </w:p>
        </w:tc>
      </w:tr>
      <w:tr w:rsidR="0046389C" w:rsidRPr="0046389C" w14:paraId="332A09EC" w14:textId="77777777" w:rsidTr="001F7F23">
        <w:trPr>
          <w:trHeight w:val="317"/>
        </w:trPr>
        <w:tc>
          <w:tcPr>
            <w:tcW w:w="4165" w:type="pct"/>
            <w:gridSpan w:val="2"/>
            <w:shd w:val="clear" w:color="auto" w:fill="auto"/>
          </w:tcPr>
          <w:p w14:paraId="35598B60" w14:textId="11363BA0" w:rsidR="0000776A" w:rsidRPr="0046389C" w:rsidRDefault="0000776A" w:rsidP="0000776A">
            <w:pPr>
              <w:spacing w:before="40"/>
              <w:rPr>
                <w:b/>
                <w:bCs/>
                <w:sz w:val="18"/>
                <w:szCs w:val="18"/>
              </w:rPr>
            </w:pPr>
            <w:r w:rsidRPr="0046389C">
              <w:rPr>
                <w:b/>
                <w:bCs/>
                <w:sz w:val="18"/>
                <w:szCs w:val="18"/>
              </w:rPr>
              <w:t>Overview Notes</w:t>
            </w:r>
          </w:p>
        </w:tc>
        <w:tc>
          <w:tcPr>
            <w:tcW w:w="835" w:type="pct"/>
            <w:tcBorders>
              <w:bottom w:val="nil"/>
            </w:tcBorders>
            <w:shd w:val="clear" w:color="auto" w:fill="auto"/>
          </w:tcPr>
          <w:p w14:paraId="4744BD96" w14:textId="77777777" w:rsidR="0000776A" w:rsidRPr="0046389C" w:rsidRDefault="0000776A" w:rsidP="0000776A">
            <w:pPr>
              <w:pStyle w:val="TableText"/>
              <w:tabs>
                <w:tab w:val="left" w:pos="3306"/>
              </w:tabs>
              <w:jc w:val="right"/>
              <w:rPr>
                <w:rFonts w:cs="Calibri"/>
                <w:snapToGrid w:val="0"/>
              </w:rPr>
            </w:pPr>
          </w:p>
        </w:tc>
      </w:tr>
      <w:tr w:rsidR="0046389C" w:rsidRPr="0046389C" w14:paraId="31C99F78" w14:textId="77777777" w:rsidTr="001F7F23">
        <w:tc>
          <w:tcPr>
            <w:tcW w:w="569" w:type="pct"/>
            <w:tcBorders>
              <w:bottom w:val="nil"/>
            </w:tcBorders>
            <w:shd w:val="clear" w:color="auto" w:fill="auto"/>
          </w:tcPr>
          <w:p w14:paraId="1663948A" w14:textId="04249027" w:rsidR="0000776A" w:rsidRPr="0046389C" w:rsidRDefault="0000776A" w:rsidP="0000776A">
            <w:pPr>
              <w:pStyle w:val="TableText"/>
              <w:tabs>
                <w:tab w:val="left" w:pos="3306"/>
              </w:tabs>
              <w:rPr>
                <w:rFonts w:cs="Calibri"/>
                <w:snapToGrid w:val="0"/>
              </w:rPr>
            </w:pPr>
            <w:r w:rsidRPr="0046389C">
              <w:rPr>
                <w:rFonts w:cs="Calibri"/>
                <w:snapToGrid w:val="0"/>
              </w:rPr>
              <w:t>Note 1</w:t>
            </w:r>
          </w:p>
        </w:tc>
        <w:tc>
          <w:tcPr>
            <w:tcW w:w="3596" w:type="pct"/>
            <w:tcBorders>
              <w:bottom w:val="nil"/>
            </w:tcBorders>
            <w:shd w:val="clear" w:color="auto" w:fill="auto"/>
          </w:tcPr>
          <w:p w14:paraId="05462910" w14:textId="24215DE9" w:rsidR="0000776A" w:rsidRPr="0046389C" w:rsidRDefault="0000776A" w:rsidP="002F67B3">
            <w:pPr>
              <w:tabs>
                <w:tab w:val="left" w:pos="3306"/>
              </w:tabs>
              <w:rPr>
                <w:rFonts w:cs="Calibri"/>
                <w:sz w:val="18"/>
                <w:szCs w:val="18"/>
              </w:rPr>
            </w:pPr>
            <w:r w:rsidRPr="0046389C">
              <w:rPr>
                <w:rFonts w:cs="Calibri"/>
                <w:sz w:val="18"/>
                <w:szCs w:val="18"/>
              </w:rPr>
              <w:t xml:space="preserve">Objectives of </w:t>
            </w:r>
            <w:r w:rsidR="002F67B3" w:rsidRPr="0046389C">
              <w:rPr>
                <w:rFonts w:cs="Calibri"/>
                <w:sz w:val="18"/>
                <w:szCs w:val="18"/>
              </w:rPr>
              <w:t>‘Burley Griffin Agency’</w:t>
            </w:r>
          </w:p>
        </w:tc>
        <w:tc>
          <w:tcPr>
            <w:tcW w:w="835" w:type="pct"/>
            <w:tcBorders>
              <w:bottom w:val="nil"/>
            </w:tcBorders>
            <w:shd w:val="clear" w:color="auto" w:fill="auto"/>
          </w:tcPr>
          <w:p w14:paraId="6FA1EB37" w14:textId="61CB0C2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6133412" w14:textId="77777777" w:rsidTr="001F7F23">
        <w:tc>
          <w:tcPr>
            <w:tcW w:w="569" w:type="pct"/>
            <w:tcBorders>
              <w:bottom w:val="nil"/>
            </w:tcBorders>
            <w:shd w:val="clear" w:color="auto" w:fill="auto"/>
          </w:tcPr>
          <w:p w14:paraId="333B654E" w14:textId="77777777" w:rsidR="0000776A" w:rsidRPr="0046389C" w:rsidRDefault="0000776A" w:rsidP="00950179">
            <w:pPr>
              <w:pStyle w:val="TableText"/>
              <w:tabs>
                <w:tab w:val="left" w:pos="3306"/>
              </w:tabs>
              <w:spacing w:before="0"/>
              <w:rPr>
                <w:rFonts w:cs="Calibri"/>
                <w:snapToGrid w:val="0"/>
              </w:rPr>
            </w:pPr>
            <w:r w:rsidRPr="0046389C">
              <w:rPr>
                <w:rFonts w:cs="Calibri"/>
                <w:snapToGrid w:val="0"/>
              </w:rPr>
              <w:t>Note 2</w:t>
            </w:r>
          </w:p>
        </w:tc>
        <w:tc>
          <w:tcPr>
            <w:tcW w:w="3596" w:type="pct"/>
            <w:tcBorders>
              <w:bottom w:val="nil"/>
            </w:tcBorders>
            <w:shd w:val="clear" w:color="auto" w:fill="auto"/>
          </w:tcPr>
          <w:p w14:paraId="08AA39E8" w14:textId="77777777" w:rsidR="0000776A" w:rsidRPr="0046389C" w:rsidRDefault="0000776A" w:rsidP="00950179">
            <w:pPr>
              <w:pStyle w:val="TableText"/>
              <w:tabs>
                <w:tab w:val="left" w:pos="3306"/>
              </w:tabs>
              <w:spacing w:before="0"/>
              <w:rPr>
                <w:rFonts w:cs="Calibri"/>
              </w:rPr>
            </w:pPr>
            <w:r w:rsidRPr="0046389C">
              <w:rPr>
                <w:rFonts w:cs="Calibri"/>
              </w:rPr>
              <w:t>Basis of Preparation of the Financial Statements</w:t>
            </w:r>
          </w:p>
        </w:tc>
        <w:tc>
          <w:tcPr>
            <w:tcW w:w="835" w:type="pct"/>
            <w:tcBorders>
              <w:bottom w:val="nil"/>
            </w:tcBorders>
            <w:shd w:val="clear" w:color="auto" w:fill="auto"/>
          </w:tcPr>
          <w:p w14:paraId="057C2139" w14:textId="29795790" w:rsidR="0000776A" w:rsidRPr="0046389C" w:rsidRDefault="00C801EF" w:rsidP="00950179">
            <w:pPr>
              <w:pStyle w:val="TableText"/>
              <w:tabs>
                <w:tab w:val="left" w:pos="3306"/>
              </w:tabs>
              <w:spacing w:before="0"/>
              <w:jc w:val="right"/>
              <w:rPr>
                <w:rFonts w:cs="Calibri"/>
                <w:snapToGrid w:val="0"/>
              </w:rPr>
            </w:pPr>
            <w:r w:rsidRPr="0046389C">
              <w:rPr>
                <w:rFonts w:cs="Calibri"/>
                <w:snapToGrid w:val="0"/>
              </w:rPr>
              <w:t>XX</w:t>
            </w:r>
          </w:p>
        </w:tc>
      </w:tr>
      <w:tr w:rsidR="0046389C" w:rsidRPr="0046389C" w14:paraId="21EA8620" w14:textId="77777777" w:rsidTr="00814CFD">
        <w:tc>
          <w:tcPr>
            <w:tcW w:w="569" w:type="pct"/>
            <w:tcBorders>
              <w:top w:val="nil"/>
              <w:bottom w:val="nil"/>
            </w:tcBorders>
          </w:tcPr>
          <w:p w14:paraId="368F123B" w14:textId="77777777" w:rsidR="00814CFD" w:rsidRPr="0046389C" w:rsidRDefault="00814CFD" w:rsidP="0000776A">
            <w:pPr>
              <w:pStyle w:val="TableText"/>
              <w:tabs>
                <w:tab w:val="left" w:pos="3306"/>
              </w:tabs>
              <w:rPr>
                <w:rFonts w:cs="Calibri"/>
                <w:snapToGrid w:val="0"/>
              </w:rPr>
            </w:pPr>
            <w:r w:rsidRPr="0046389C">
              <w:rPr>
                <w:rFonts w:cs="Calibri"/>
                <w:snapToGrid w:val="0"/>
              </w:rPr>
              <w:t>Note 3</w:t>
            </w:r>
          </w:p>
        </w:tc>
        <w:tc>
          <w:tcPr>
            <w:tcW w:w="3596" w:type="pct"/>
            <w:tcBorders>
              <w:top w:val="nil"/>
              <w:bottom w:val="nil"/>
            </w:tcBorders>
          </w:tcPr>
          <w:p w14:paraId="0B71058D" w14:textId="4F911083" w:rsidR="00814CFD" w:rsidRPr="0046389C" w:rsidRDefault="00814CFD" w:rsidP="0000776A">
            <w:pPr>
              <w:pStyle w:val="TableText"/>
              <w:tabs>
                <w:tab w:val="left" w:pos="3306"/>
              </w:tabs>
              <w:rPr>
                <w:rFonts w:cs="Calibri"/>
              </w:rPr>
            </w:pPr>
            <w:r w:rsidRPr="0046389C">
              <w:rPr>
                <w:rFonts w:cs="Calibri"/>
              </w:rPr>
              <w:t>Impact of Accounting Standards Issued But Yet to be Applied</w:t>
            </w:r>
          </w:p>
        </w:tc>
        <w:tc>
          <w:tcPr>
            <w:tcW w:w="835" w:type="pct"/>
            <w:tcBorders>
              <w:top w:val="nil"/>
              <w:bottom w:val="nil"/>
            </w:tcBorders>
          </w:tcPr>
          <w:p w14:paraId="09EE9C30" w14:textId="77777777" w:rsidR="00814CFD" w:rsidRPr="0046389C" w:rsidRDefault="00814CFD" w:rsidP="0000776A">
            <w:pPr>
              <w:pStyle w:val="TableText"/>
              <w:tabs>
                <w:tab w:val="left" w:pos="3306"/>
              </w:tabs>
              <w:jc w:val="right"/>
              <w:rPr>
                <w:rFonts w:cs="Calibri"/>
                <w:snapToGrid w:val="0"/>
              </w:rPr>
            </w:pPr>
            <w:r w:rsidRPr="0046389C">
              <w:rPr>
                <w:rFonts w:cs="Calibri"/>
                <w:snapToGrid w:val="0"/>
              </w:rPr>
              <w:t>XX</w:t>
            </w:r>
          </w:p>
        </w:tc>
      </w:tr>
      <w:tr w:rsidR="0046389C" w:rsidRPr="0046389C" w14:paraId="78E99E99" w14:textId="77777777" w:rsidTr="001F7F23">
        <w:tc>
          <w:tcPr>
            <w:tcW w:w="569" w:type="pct"/>
            <w:tcBorders>
              <w:top w:val="nil"/>
              <w:bottom w:val="nil"/>
            </w:tcBorders>
          </w:tcPr>
          <w:p w14:paraId="3D28454E" w14:textId="77777777" w:rsidR="0000776A" w:rsidRPr="0046389C" w:rsidRDefault="0000776A" w:rsidP="0000776A">
            <w:pPr>
              <w:pStyle w:val="TableText"/>
              <w:tabs>
                <w:tab w:val="left" w:pos="3306"/>
              </w:tabs>
              <w:rPr>
                <w:rFonts w:cs="Calibri"/>
                <w:snapToGrid w:val="0"/>
              </w:rPr>
            </w:pPr>
            <w:r w:rsidRPr="0046389C">
              <w:rPr>
                <w:rFonts w:cs="Calibri"/>
                <w:snapToGrid w:val="0"/>
              </w:rPr>
              <w:t>Note 4</w:t>
            </w:r>
          </w:p>
        </w:tc>
        <w:tc>
          <w:tcPr>
            <w:tcW w:w="3596" w:type="pct"/>
            <w:tcBorders>
              <w:top w:val="nil"/>
              <w:bottom w:val="nil"/>
            </w:tcBorders>
          </w:tcPr>
          <w:p w14:paraId="4CF78658" w14:textId="34D12B29" w:rsidR="0000776A" w:rsidRPr="0046389C" w:rsidRDefault="0000776A" w:rsidP="0000776A">
            <w:pPr>
              <w:pStyle w:val="TableText"/>
              <w:tabs>
                <w:tab w:val="left" w:pos="3306"/>
              </w:tabs>
              <w:rPr>
                <w:rFonts w:cs="Calibri"/>
                <w:snapToGrid w:val="0"/>
              </w:rPr>
            </w:pPr>
            <w:r w:rsidRPr="0046389C">
              <w:rPr>
                <w:rFonts w:cs="Calibri"/>
              </w:rPr>
              <w:t>Change in Accounting Polic</w:t>
            </w:r>
            <w:r w:rsidRPr="0046389C">
              <w:rPr>
                <w:rFonts w:cs="Calibri"/>
                <w:snapToGrid w:val="0"/>
              </w:rPr>
              <w:t>y and Accounting Estimates, and Correction of a Prior Period Error</w:t>
            </w:r>
          </w:p>
        </w:tc>
        <w:tc>
          <w:tcPr>
            <w:tcW w:w="835" w:type="pct"/>
            <w:tcBorders>
              <w:top w:val="nil"/>
              <w:bottom w:val="nil"/>
            </w:tcBorders>
          </w:tcPr>
          <w:p w14:paraId="4EE9C2F9" w14:textId="3B462404" w:rsidR="0000776A" w:rsidRPr="0046389C" w:rsidRDefault="00C801EF" w:rsidP="0000776A">
            <w:pPr>
              <w:pStyle w:val="TableText"/>
              <w:tabs>
                <w:tab w:val="left" w:pos="3306"/>
              </w:tabs>
              <w:jc w:val="right"/>
              <w:rPr>
                <w:rFonts w:cs="Calibri"/>
                <w:strike/>
                <w:snapToGrid w:val="0"/>
              </w:rPr>
            </w:pPr>
            <w:r w:rsidRPr="0046389C">
              <w:rPr>
                <w:rFonts w:cs="Calibri"/>
                <w:snapToGrid w:val="0"/>
              </w:rPr>
              <w:t>XX</w:t>
            </w:r>
          </w:p>
        </w:tc>
      </w:tr>
      <w:tr w:rsidR="001701ED" w:rsidRPr="0046389C" w14:paraId="0280875C" w14:textId="77777777" w:rsidTr="001701ED">
        <w:tc>
          <w:tcPr>
            <w:tcW w:w="569" w:type="pct"/>
            <w:tcBorders>
              <w:top w:val="nil"/>
              <w:bottom w:val="nil"/>
            </w:tcBorders>
          </w:tcPr>
          <w:p w14:paraId="77644C25" w14:textId="77777777" w:rsidR="001701ED" w:rsidRPr="0046389C" w:rsidRDefault="001701ED" w:rsidP="0000776A">
            <w:pPr>
              <w:pStyle w:val="TableText"/>
              <w:tabs>
                <w:tab w:val="left" w:pos="3306"/>
              </w:tabs>
              <w:rPr>
                <w:rFonts w:cs="Calibri"/>
                <w:snapToGrid w:val="0"/>
              </w:rPr>
            </w:pPr>
          </w:p>
        </w:tc>
        <w:tc>
          <w:tcPr>
            <w:tcW w:w="3596" w:type="pct"/>
            <w:tcBorders>
              <w:top w:val="nil"/>
              <w:bottom w:val="nil"/>
            </w:tcBorders>
          </w:tcPr>
          <w:p w14:paraId="30CCC657" w14:textId="77777777" w:rsidR="001701ED" w:rsidRPr="0046389C" w:rsidRDefault="001701ED" w:rsidP="0000776A">
            <w:pPr>
              <w:rPr>
                <w:sz w:val="18"/>
                <w:szCs w:val="18"/>
              </w:rPr>
            </w:pPr>
          </w:p>
        </w:tc>
        <w:tc>
          <w:tcPr>
            <w:tcW w:w="835" w:type="pct"/>
            <w:tcBorders>
              <w:top w:val="nil"/>
              <w:bottom w:val="nil"/>
            </w:tcBorders>
          </w:tcPr>
          <w:p w14:paraId="3AE1C648" w14:textId="77777777" w:rsidR="001701ED" w:rsidRPr="0046389C" w:rsidRDefault="001701ED" w:rsidP="0000776A">
            <w:pPr>
              <w:pStyle w:val="TableText"/>
              <w:tabs>
                <w:tab w:val="left" w:pos="3306"/>
              </w:tabs>
              <w:jc w:val="right"/>
              <w:rPr>
                <w:rFonts w:cs="Calibri"/>
                <w:strike/>
                <w:snapToGrid w:val="0"/>
              </w:rPr>
            </w:pPr>
          </w:p>
        </w:tc>
      </w:tr>
      <w:tr w:rsidR="0046389C" w:rsidRPr="0046389C" w14:paraId="16E35394" w14:textId="77777777" w:rsidTr="001F7F23">
        <w:trPr>
          <w:cantSplit/>
        </w:trPr>
        <w:tc>
          <w:tcPr>
            <w:tcW w:w="4165" w:type="pct"/>
            <w:gridSpan w:val="2"/>
            <w:tcBorders>
              <w:top w:val="nil"/>
              <w:bottom w:val="nil"/>
            </w:tcBorders>
          </w:tcPr>
          <w:p w14:paraId="78F34B4B"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Income Notes</w:t>
            </w:r>
          </w:p>
        </w:tc>
        <w:tc>
          <w:tcPr>
            <w:tcW w:w="835" w:type="pct"/>
            <w:tcBorders>
              <w:top w:val="nil"/>
              <w:bottom w:val="nil"/>
            </w:tcBorders>
          </w:tcPr>
          <w:p w14:paraId="289C7FE6"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2A5B878E" w14:textId="77777777" w:rsidTr="001F7F23">
        <w:tc>
          <w:tcPr>
            <w:tcW w:w="569" w:type="pct"/>
            <w:tcBorders>
              <w:top w:val="nil"/>
              <w:bottom w:val="nil"/>
            </w:tcBorders>
          </w:tcPr>
          <w:p w14:paraId="28624BCB" w14:textId="77777777" w:rsidR="0000776A" w:rsidRPr="0046389C" w:rsidRDefault="0000776A" w:rsidP="0000776A">
            <w:pPr>
              <w:pStyle w:val="TableText"/>
              <w:tabs>
                <w:tab w:val="left" w:pos="3306"/>
              </w:tabs>
              <w:rPr>
                <w:rFonts w:cs="Calibri"/>
                <w:snapToGrid w:val="0"/>
              </w:rPr>
            </w:pPr>
            <w:r w:rsidRPr="0046389C">
              <w:rPr>
                <w:rFonts w:cs="Calibri"/>
                <w:snapToGrid w:val="0"/>
              </w:rPr>
              <w:t>Note 5</w:t>
            </w:r>
          </w:p>
        </w:tc>
        <w:tc>
          <w:tcPr>
            <w:tcW w:w="3596" w:type="pct"/>
            <w:tcBorders>
              <w:top w:val="nil"/>
              <w:bottom w:val="nil"/>
            </w:tcBorders>
          </w:tcPr>
          <w:p w14:paraId="5E028555" w14:textId="77777777" w:rsidR="0000776A" w:rsidRPr="0046389C" w:rsidRDefault="0000776A" w:rsidP="0000776A">
            <w:pPr>
              <w:pStyle w:val="TableText"/>
              <w:tabs>
                <w:tab w:val="left" w:pos="3306"/>
              </w:tabs>
              <w:rPr>
                <w:rFonts w:cs="Calibri"/>
                <w:snapToGrid w:val="0"/>
              </w:rPr>
            </w:pPr>
            <w:r w:rsidRPr="0046389C">
              <w:rPr>
                <w:rFonts w:cs="Calibri"/>
              </w:rPr>
              <w:t>Sales of Goods and Services from Contracts with Customers</w:t>
            </w:r>
          </w:p>
        </w:tc>
        <w:tc>
          <w:tcPr>
            <w:tcW w:w="835" w:type="pct"/>
            <w:tcBorders>
              <w:top w:val="nil"/>
              <w:bottom w:val="nil"/>
            </w:tcBorders>
          </w:tcPr>
          <w:p w14:paraId="21C1FEDF" w14:textId="35FFF999"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E895C71" w14:textId="77777777" w:rsidTr="001F7F23">
        <w:tc>
          <w:tcPr>
            <w:tcW w:w="569" w:type="pct"/>
            <w:tcBorders>
              <w:top w:val="nil"/>
              <w:bottom w:val="nil"/>
            </w:tcBorders>
          </w:tcPr>
          <w:p w14:paraId="146C248F" w14:textId="77777777" w:rsidR="0000776A" w:rsidRPr="0046389C" w:rsidRDefault="0000776A" w:rsidP="0000776A">
            <w:pPr>
              <w:pStyle w:val="TableText"/>
              <w:tabs>
                <w:tab w:val="left" w:pos="3306"/>
              </w:tabs>
              <w:rPr>
                <w:rFonts w:cs="Calibri"/>
                <w:snapToGrid w:val="0"/>
              </w:rPr>
            </w:pPr>
            <w:r w:rsidRPr="0046389C">
              <w:rPr>
                <w:rFonts w:cs="Calibri"/>
                <w:snapToGrid w:val="0"/>
              </w:rPr>
              <w:t>Note 6</w:t>
            </w:r>
          </w:p>
        </w:tc>
        <w:tc>
          <w:tcPr>
            <w:tcW w:w="3596" w:type="pct"/>
            <w:tcBorders>
              <w:top w:val="nil"/>
              <w:bottom w:val="nil"/>
            </w:tcBorders>
          </w:tcPr>
          <w:p w14:paraId="13C350DA" w14:textId="77777777" w:rsidR="0000776A" w:rsidRPr="0046389C" w:rsidRDefault="0000776A" w:rsidP="0000776A">
            <w:pPr>
              <w:pStyle w:val="TableText"/>
              <w:tabs>
                <w:tab w:val="left" w:pos="3306"/>
              </w:tabs>
              <w:rPr>
                <w:rFonts w:cs="Calibri"/>
                <w:strike/>
                <w:snapToGrid w:val="0"/>
              </w:rPr>
            </w:pPr>
            <w:r w:rsidRPr="0046389C">
              <w:rPr>
                <w:rFonts w:cs="Calibri"/>
              </w:rPr>
              <w:t>Grants and Contributions Revenue</w:t>
            </w:r>
          </w:p>
        </w:tc>
        <w:tc>
          <w:tcPr>
            <w:tcW w:w="835" w:type="pct"/>
            <w:tcBorders>
              <w:top w:val="nil"/>
              <w:bottom w:val="nil"/>
            </w:tcBorders>
          </w:tcPr>
          <w:p w14:paraId="470178F0" w14:textId="05794FD7"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4A97886C" w14:textId="77777777" w:rsidTr="001F7F23">
        <w:tc>
          <w:tcPr>
            <w:tcW w:w="569" w:type="pct"/>
            <w:tcBorders>
              <w:top w:val="nil"/>
              <w:bottom w:val="nil"/>
            </w:tcBorders>
          </w:tcPr>
          <w:p w14:paraId="16AC18F2" w14:textId="77777777" w:rsidR="0000776A" w:rsidRPr="0046389C" w:rsidRDefault="0000776A" w:rsidP="0000776A">
            <w:pPr>
              <w:pStyle w:val="TableText"/>
              <w:tabs>
                <w:tab w:val="left" w:pos="3306"/>
              </w:tabs>
              <w:rPr>
                <w:rFonts w:cs="Calibri"/>
                <w:snapToGrid w:val="0"/>
              </w:rPr>
            </w:pPr>
            <w:r w:rsidRPr="0046389C">
              <w:rPr>
                <w:rFonts w:cs="Calibri"/>
                <w:snapToGrid w:val="0"/>
              </w:rPr>
              <w:t>Note 7</w:t>
            </w:r>
          </w:p>
        </w:tc>
        <w:tc>
          <w:tcPr>
            <w:tcW w:w="3596" w:type="pct"/>
            <w:tcBorders>
              <w:top w:val="nil"/>
              <w:bottom w:val="nil"/>
            </w:tcBorders>
          </w:tcPr>
          <w:p w14:paraId="6345B0BD" w14:textId="4ED2D628" w:rsidR="0000776A" w:rsidRPr="0046389C" w:rsidRDefault="0000776A" w:rsidP="0000776A">
            <w:pPr>
              <w:pStyle w:val="TableText"/>
              <w:tabs>
                <w:tab w:val="left" w:pos="3306"/>
              </w:tabs>
              <w:rPr>
                <w:rFonts w:cs="Calibri"/>
                <w:snapToGrid w:val="0"/>
              </w:rPr>
            </w:pPr>
            <w:r w:rsidRPr="0046389C">
              <w:rPr>
                <w:rFonts w:cs="Calibri"/>
              </w:rPr>
              <w:t xml:space="preserve">Investment </w:t>
            </w:r>
            <w:r w:rsidR="003879D7">
              <w:rPr>
                <w:rFonts w:cs="Calibri"/>
              </w:rPr>
              <w:t xml:space="preserve">and Interest </w:t>
            </w:r>
            <w:r w:rsidRPr="0046389C">
              <w:rPr>
                <w:rFonts w:cs="Calibri"/>
              </w:rPr>
              <w:t xml:space="preserve">Revenue </w:t>
            </w:r>
          </w:p>
        </w:tc>
        <w:tc>
          <w:tcPr>
            <w:tcW w:w="835" w:type="pct"/>
            <w:tcBorders>
              <w:top w:val="nil"/>
              <w:bottom w:val="nil"/>
            </w:tcBorders>
          </w:tcPr>
          <w:p w14:paraId="039A1EAD" w14:textId="585E72AA"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16FCCB7" w14:textId="77777777" w:rsidTr="001F7F23">
        <w:tc>
          <w:tcPr>
            <w:tcW w:w="569" w:type="pct"/>
            <w:tcBorders>
              <w:top w:val="nil"/>
              <w:bottom w:val="nil"/>
            </w:tcBorders>
          </w:tcPr>
          <w:p w14:paraId="71997AAE" w14:textId="604143D4" w:rsidR="0000776A" w:rsidRPr="0046389C" w:rsidRDefault="0000776A" w:rsidP="0000776A">
            <w:pPr>
              <w:pStyle w:val="TableText"/>
              <w:tabs>
                <w:tab w:val="left" w:pos="3306"/>
              </w:tabs>
              <w:rPr>
                <w:rFonts w:cs="Calibri"/>
                <w:snapToGrid w:val="0"/>
              </w:rPr>
            </w:pPr>
            <w:r w:rsidRPr="0046389C">
              <w:rPr>
                <w:rFonts w:cs="Calibri"/>
                <w:snapToGrid w:val="0"/>
              </w:rPr>
              <w:t>Note 8</w:t>
            </w:r>
          </w:p>
        </w:tc>
        <w:tc>
          <w:tcPr>
            <w:tcW w:w="3596" w:type="pct"/>
            <w:tcBorders>
              <w:top w:val="nil"/>
              <w:bottom w:val="nil"/>
            </w:tcBorders>
          </w:tcPr>
          <w:p w14:paraId="28045109" w14:textId="6FAB04E9" w:rsidR="0000776A" w:rsidRPr="0046389C" w:rsidRDefault="0000776A" w:rsidP="0000776A">
            <w:pPr>
              <w:pStyle w:val="TableText"/>
              <w:tabs>
                <w:tab w:val="left" w:pos="3306"/>
              </w:tabs>
              <w:rPr>
                <w:rFonts w:cs="Calibri"/>
                <w:snapToGrid w:val="0"/>
              </w:rPr>
            </w:pPr>
            <w:r w:rsidRPr="0046389C">
              <w:rPr>
                <w:rFonts w:cs="Calibri"/>
                <w:snapToGrid w:val="0"/>
              </w:rPr>
              <w:t xml:space="preserve">Gains from Disposals, </w:t>
            </w:r>
            <w:r w:rsidR="00D44587" w:rsidRPr="0046389C">
              <w:rPr>
                <w:rFonts w:cs="Calibri"/>
                <w:snapToGrid w:val="0"/>
              </w:rPr>
              <w:t>Derecognition</w:t>
            </w:r>
            <w:r w:rsidRPr="0046389C">
              <w:rPr>
                <w:rFonts w:cs="Calibri"/>
                <w:snapToGrid w:val="0"/>
              </w:rPr>
              <w:t xml:space="preserve"> and Remeasurement of Assets</w:t>
            </w:r>
          </w:p>
        </w:tc>
        <w:tc>
          <w:tcPr>
            <w:tcW w:w="835" w:type="pct"/>
            <w:tcBorders>
              <w:top w:val="nil"/>
              <w:bottom w:val="nil"/>
            </w:tcBorders>
          </w:tcPr>
          <w:p w14:paraId="48A5886E" w14:textId="4B42ECE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113287E" w14:textId="77777777" w:rsidTr="001F7F23">
        <w:tc>
          <w:tcPr>
            <w:tcW w:w="569" w:type="pct"/>
            <w:tcBorders>
              <w:top w:val="nil"/>
              <w:bottom w:val="nil"/>
            </w:tcBorders>
          </w:tcPr>
          <w:p w14:paraId="090D396A" w14:textId="5D76AB96" w:rsidR="0000776A" w:rsidRPr="0046389C" w:rsidRDefault="0000776A" w:rsidP="0000776A">
            <w:pPr>
              <w:pStyle w:val="TableText"/>
              <w:tabs>
                <w:tab w:val="left" w:pos="3306"/>
              </w:tabs>
              <w:rPr>
                <w:rFonts w:cs="Calibri"/>
                <w:snapToGrid w:val="0"/>
              </w:rPr>
            </w:pPr>
            <w:r w:rsidRPr="0046389C">
              <w:rPr>
                <w:rFonts w:cs="Calibri"/>
                <w:snapToGrid w:val="0"/>
              </w:rPr>
              <w:t xml:space="preserve">Note 9 </w:t>
            </w:r>
          </w:p>
        </w:tc>
        <w:tc>
          <w:tcPr>
            <w:tcW w:w="3596" w:type="pct"/>
            <w:tcBorders>
              <w:top w:val="nil"/>
              <w:bottom w:val="nil"/>
            </w:tcBorders>
          </w:tcPr>
          <w:p w14:paraId="5B603C12" w14:textId="4BA3A6C2" w:rsidR="0000776A" w:rsidRPr="0046389C" w:rsidRDefault="0000776A" w:rsidP="0000776A">
            <w:pPr>
              <w:pStyle w:val="TableText"/>
              <w:tabs>
                <w:tab w:val="left" w:pos="3306"/>
              </w:tabs>
              <w:rPr>
                <w:rFonts w:cs="Calibri"/>
                <w:snapToGrid w:val="0"/>
              </w:rPr>
            </w:pPr>
            <w:r w:rsidRPr="0046389C">
              <w:rPr>
                <w:rFonts w:cs="Calibri"/>
                <w:snapToGrid w:val="0"/>
              </w:rPr>
              <w:t xml:space="preserve">Other </w:t>
            </w:r>
            <w:r w:rsidR="00D44587" w:rsidRPr="0046389C">
              <w:rPr>
                <w:rFonts w:cs="Calibri"/>
                <w:snapToGrid w:val="0"/>
              </w:rPr>
              <w:t>Income</w:t>
            </w:r>
          </w:p>
        </w:tc>
        <w:tc>
          <w:tcPr>
            <w:tcW w:w="835" w:type="pct"/>
            <w:tcBorders>
              <w:top w:val="nil"/>
              <w:bottom w:val="nil"/>
            </w:tcBorders>
          </w:tcPr>
          <w:p w14:paraId="15ED70F5" w14:textId="08C3A2C1"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D4B79DD" w14:textId="77777777" w:rsidTr="001F7F23">
        <w:trPr>
          <w:cantSplit/>
        </w:trPr>
        <w:tc>
          <w:tcPr>
            <w:tcW w:w="569" w:type="pct"/>
            <w:tcBorders>
              <w:top w:val="nil"/>
              <w:bottom w:val="nil"/>
            </w:tcBorders>
          </w:tcPr>
          <w:p w14:paraId="10CAAC62"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4A43EB37"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2AA37EFD"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A39AA38" w14:textId="77777777" w:rsidTr="001F7F23">
        <w:trPr>
          <w:cantSplit/>
        </w:trPr>
        <w:tc>
          <w:tcPr>
            <w:tcW w:w="4165" w:type="pct"/>
            <w:gridSpan w:val="2"/>
            <w:tcBorders>
              <w:top w:val="nil"/>
              <w:bottom w:val="nil"/>
            </w:tcBorders>
          </w:tcPr>
          <w:p w14:paraId="0EC6C3CE"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Expense Notes</w:t>
            </w:r>
          </w:p>
        </w:tc>
        <w:tc>
          <w:tcPr>
            <w:tcW w:w="835" w:type="pct"/>
            <w:tcBorders>
              <w:top w:val="nil"/>
              <w:bottom w:val="nil"/>
            </w:tcBorders>
          </w:tcPr>
          <w:p w14:paraId="7A52815C"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0E4693D" w14:textId="77777777" w:rsidTr="001F7F23">
        <w:tc>
          <w:tcPr>
            <w:tcW w:w="569" w:type="pct"/>
            <w:tcBorders>
              <w:top w:val="nil"/>
              <w:bottom w:val="nil"/>
            </w:tcBorders>
          </w:tcPr>
          <w:p w14:paraId="214413AB" w14:textId="487659B0" w:rsidR="0000776A" w:rsidRPr="0046389C" w:rsidRDefault="0000776A" w:rsidP="0000776A">
            <w:pPr>
              <w:pStyle w:val="TableText"/>
              <w:tabs>
                <w:tab w:val="left" w:pos="3306"/>
              </w:tabs>
              <w:rPr>
                <w:rFonts w:cs="Calibri"/>
                <w:strike/>
                <w:snapToGrid w:val="0"/>
              </w:rPr>
            </w:pPr>
            <w:r w:rsidRPr="0046389C">
              <w:rPr>
                <w:rFonts w:cs="Calibri"/>
                <w:snapToGrid w:val="0"/>
              </w:rPr>
              <w:t>Note 10</w:t>
            </w:r>
          </w:p>
        </w:tc>
        <w:tc>
          <w:tcPr>
            <w:tcW w:w="3596" w:type="pct"/>
            <w:tcBorders>
              <w:top w:val="nil"/>
              <w:bottom w:val="nil"/>
            </w:tcBorders>
          </w:tcPr>
          <w:p w14:paraId="4BB33B1F" w14:textId="5AEFADD6" w:rsidR="0000776A" w:rsidRPr="0046389C" w:rsidRDefault="0000776A" w:rsidP="0000776A">
            <w:pPr>
              <w:pStyle w:val="TableText"/>
              <w:tabs>
                <w:tab w:val="left" w:pos="743"/>
              </w:tabs>
              <w:rPr>
                <w:rFonts w:cs="Calibri"/>
                <w:snapToGrid w:val="0"/>
              </w:rPr>
            </w:pPr>
            <w:r w:rsidRPr="0046389C">
              <w:rPr>
                <w:rFonts w:cs="Calibri"/>
              </w:rPr>
              <w:t xml:space="preserve">Employee </w:t>
            </w:r>
            <w:r w:rsidR="00770C22" w:rsidRPr="00676AA9">
              <w:rPr>
                <w:strike/>
                <w:color w:val="FF0000"/>
              </w:rPr>
              <w:t>and Superannuation</w:t>
            </w:r>
            <w:r w:rsidR="00770C22" w:rsidRPr="00676AA9">
              <w:rPr>
                <w:color w:val="FF0000"/>
              </w:rPr>
              <w:t xml:space="preserve"> </w:t>
            </w:r>
            <w:r w:rsidRPr="0046389C">
              <w:rPr>
                <w:rFonts w:cs="Calibri"/>
              </w:rPr>
              <w:t>Expenses</w:t>
            </w:r>
          </w:p>
        </w:tc>
        <w:tc>
          <w:tcPr>
            <w:tcW w:w="835" w:type="pct"/>
            <w:tcBorders>
              <w:top w:val="nil"/>
              <w:bottom w:val="nil"/>
            </w:tcBorders>
          </w:tcPr>
          <w:p w14:paraId="35EFF059" w14:textId="47FA6CC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44B6786" w14:textId="77777777" w:rsidTr="001F7F23">
        <w:tc>
          <w:tcPr>
            <w:tcW w:w="569" w:type="pct"/>
            <w:tcBorders>
              <w:top w:val="nil"/>
              <w:bottom w:val="nil"/>
            </w:tcBorders>
          </w:tcPr>
          <w:p w14:paraId="39A6ED6B" w14:textId="78F3DDC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1</w:t>
            </w:r>
          </w:p>
        </w:tc>
        <w:tc>
          <w:tcPr>
            <w:tcW w:w="3596" w:type="pct"/>
            <w:tcBorders>
              <w:top w:val="nil"/>
              <w:bottom w:val="nil"/>
            </w:tcBorders>
          </w:tcPr>
          <w:p w14:paraId="53EEFF4E" w14:textId="77777777" w:rsidR="0000776A" w:rsidRPr="0046389C" w:rsidRDefault="0000776A" w:rsidP="0000776A">
            <w:pPr>
              <w:pStyle w:val="TableText"/>
              <w:tabs>
                <w:tab w:val="left" w:pos="2"/>
              </w:tabs>
              <w:rPr>
                <w:rFonts w:cs="Calibri"/>
                <w:snapToGrid w:val="0"/>
              </w:rPr>
            </w:pPr>
            <w:r w:rsidRPr="0046389C">
              <w:rPr>
                <w:rFonts w:cs="Calibri"/>
              </w:rPr>
              <w:t>Supplies and Services</w:t>
            </w:r>
          </w:p>
        </w:tc>
        <w:tc>
          <w:tcPr>
            <w:tcW w:w="835" w:type="pct"/>
            <w:tcBorders>
              <w:top w:val="nil"/>
              <w:bottom w:val="nil"/>
            </w:tcBorders>
          </w:tcPr>
          <w:p w14:paraId="12C54096" w14:textId="260AAFA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B6BAB15" w14:textId="77777777" w:rsidTr="001F7F23">
        <w:tc>
          <w:tcPr>
            <w:tcW w:w="569" w:type="pct"/>
            <w:tcBorders>
              <w:top w:val="nil"/>
              <w:bottom w:val="nil"/>
            </w:tcBorders>
          </w:tcPr>
          <w:p w14:paraId="7AC94344" w14:textId="2B83C9C4"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2</w:t>
            </w:r>
          </w:p>
        </w:tc>
        <w:tc>
          <w:tcPr>
            <w:tcW w:w="3596" w:type="pct"/>
            <w:tcBorders>
              <w:top w:val="nil"/>
              <w:bottom w:val="nil"/>
            </w:tcBorders>
          </w:tcPr>
          <w:p w14:paraId="1626819D" w14:textId="77777777" w:rsidR="0000776A" w:rsidRPr="0046389C" w:rsidRDefault="0000776A" w:rsidP="0000776A">
            <w:pPr>
              <w:pStyle w:val="TableText"/>
              <w:tabs>
                <w:tab w:val="left" w:pos="2"/>
              </w:tabs>
              <w:rPr>
                <w:rFonts w:cs="Calibri"/>
                <w:snapToGrid w:val="0"/>
              </w:rPr>
            </w:pPr>
            <w:r w:rsidRPr="0046389C">
              <w:rPr>
                <w:rFonts w:cs="Calibri"/>
              </w:rPr>
              <w:t>Grants and Purchased Services</w:t>
            </w:r>
          </w:p>
        </w:tc>
        <w:tc>
          <w:tcPr>
            <w:tcW w:w="835" w:type="pct"/>
            <w:tcBorders>
              <w:top w:val="nil"/>
              <w:bottom w:val="nil"/>
            </w:tcBorders>
          </w:tcPr>
          <w:p w14:paraId="5E472BE4" w14:textId="065CE9A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3686DB9" w14:textId="77777777" w:rsidTr="001F7F23">
        <w:tc>
          <w:tcPr>
            <w:tcW w:w="569" w:type="pct"/>
            <w:tcBorders>
              <w:top w:val="nil"/>
              <w:bottom w:val="nil"/>
            </w:tcBorders>
          </w:tcPr>
          <w:p w14:paraId="1C8F3BFE" w14:textId="2996AABB"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3</w:t>
            </w:r>
          </w:p>
        </w:tc>
        <w:tc>
          <w:tcPr>
            <w:tcW w:w="3596" w:type="pct"/>
            <w:tcBorders>
              <w:top w:val="nil"/>
              <w:bottom w:val="nil"/>
            </w:tcBorders>
          </w:tcPr>
          <w:p w14:paraId="3DFD4063" w14:textId="77777777" w:rsidR="0000776A" w:rsidRPr="0046389C" w:rsidRDefault="0000776A" w:rsidP="0000776A">
            <w:pPr>
              <w:pStyle w:val="TableText"/>
              <w:tabs>
                <w:tab w:val="left" w:pos="2"/>
              </w:tabs>
              <w:rPr>
                <w:rFonts w:cs="Calibri"/>
                <w:snapToGrid w:val="0"/>
              </w:rPr>
            </w:pPr>
            <w:r w:rsidRPr="0046389C">
              <w:rPr>
                <w:rFonts w:cs="Calibri"/>
              </w:rPr>
              <w:t>Borrowing Costs</w:t>
            </w:r>
          </w:p>
        </w:tc>
        <w:tc>
          <w:tcPr>
            <w:tcW w:w="835" w:type="pct"/>
            <w:tcBorders>
              <w:top w:val="nil"/>
              <w:bottom w:val="nil"/>
            </w:tcBorders>
          </w:tcPr>
          <w:p w14:paraId="379BE9E3" w14:textId="6FEBCA48"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DD66CE4" w14:textId="77777777" w:rsidTr="001F7F23">
        <w:trPr>
          <w:trHeight w:val="273"/>
        </w:trPr>
        <w:tc>
          <w:tcPr>
            <w:tcW w:w="569" w:type="pct"/>
            <w:tcBorders>
              <w:top w:val="nil"/>
              <w:bottom w:val="nil"/>
            </w:tcBorders>
          </w:tcPr>
          <w:p w14:paraId="08463E42" w14:textId="41FF453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4</w:t>
            </w:r>
          </w:p>
        </w:tc>
        <w:tc>
          <w:tcPr>
            <w:tcW w:w="3596" w:type="pct"/>
            <w:tcBorders>
              <w:top w:val="nil"/>
              <w:bottom w:val="nil"/>
            </w:tcBorders>
          </w:tcPr>
          <w:p w14:paraId="09CF1AC2" w14:textId="77777777" w:rsidR="0000776A" w:rsidRPr="0046389C" w:rsidRDefault="0000776A" w:rsidP="0000776A">
            <w:pPr>
              <w:pStyle w:val="TableText"/>
              <w:tabs>
                <w:tab w:val="left" w:pos="2"/>
              </w:tabs>
              <w:rPr>
                <w:rFonts w:cs="Calibri"/>
                <w:snapToGrid w:val="0"/>
              </w:rPr>
            </w:pPr>
            <w:r w:rsidRPr="0046389C">
              <w:rPr>
                <w:rFonts w:cs="Calibri"/>
              </w:rPr>
              <w:t>Other Expenses</w:t>
            </w:r>
          </w:p>
        </w:tc>
        <w:tc>
          <w:tcPr>
            <w:tcW w:w="835" w:type="pct"/>
            <w:tcBorders>
              <w:top w:val="nil"/>
              <w:bottom w:val="nil"/>
            </w:tcBorders>
          </w:tcPr>
          <w:p w14:paraId="69424177" w14:textId="73D4EA3D"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E041AF" w14:textId="77777777" w:rsidTr="001F7F23">
        <w:trPr>
          <w:cantSplit/>
          <w:trHeight w:val="163"/>
        </w:trPr>
        <w:tc>
          <w:tcPr>
            <w:tcW w:w="569" w:type="pct"/>
            <w:tcBorders>
              <w:top w:val="nil"/>
              <w:bottom w:val="nil"/>
            </w:tcBorders>
          </w:tcPr>
          <w:p w14:paraId="6C3BF4E8"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532F5F44"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5B669EA0"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5CCA95B" w14:textId="77777777" w:rsidTr="001F7F23">
        <w:trPr>
          <w:cantSplit/>
          <w:trHeight w:val="163"/>
        </w:trPr>
        <w:tc>
          <w:tcPr>
            <w:tcW w:w="4165" w:type="pct"/>
            <w:gridSpan w:val="2"/>
            <w:tcBorders>
              <w:top w:val="nil"/>
              <w:bottom w:val="nil"/>
            </w:tcBorders>
          </w:tcPr>
          <w:p w14:paraId="5B4B058B" w14:textId="77777777" w:rsidR="0000776A" w:rsidRPr="0046389C" w:rsidRDefault="0000776A" w:rsidP="0000776A">
            <w:pPr>
              <w:pStyle w:val="TableText"/>
              <w:tabs>
                <w:tab w:val="left" w:pos="3306"/>
              </w:tabs>
              <w:rPr>
                <w:rFonts w:cs="Calibri"/>
                <w:snapToGrid w:val="0"/>
              </w:rPr>
            </w:pPr>
            <w:r w:rsidRPr="0046389C">
              <w:rPr>
                <w:rFonts w:cs="Calibri"/>
                <w:b/>
                <w:bCs/>
                <w:snapToGrid w:val="0"/>
              </w:rPr>
              <w:t>Asset Notes</w:t>
            </w:r>
          </w:p>
        </w:tc>
        <w:tc>
          <w:tcPr>
            <w:tcW w:w="835" w:type="pct"/>
            <w:tcBorders>
              <w:top w:val="nil"/>
              <w:bottom w:val="nil"/>
            </w:tcBorders>
          </w:tcPr>
          <w:p w14:paraId="68209A4F"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DE133D1" w14:textId="77777777" w:rsidTr="001F7F23">
        <w:tc>
          <w:tcPr>
            <w:tcW w:w="569" w:type="pct"/>
            <w:tcBorders>
              <w:top w:val="nil"/>
              <w:bottom w:val="nil"/>
            </w:tcBorders>
          </w:tcPr>
          <w:p w14:paraId="03518F41" w14:textId="4BAAFFDC"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5</w:t>
            </w:r>
          </w:p>
        </w:tc>
        <w:tc>
          <w:tcPr>
            <w:tcW w:w="3596" w:type="pct"/>
            <w:tcBorders>
              <w:top w:val="nil"/>
              <w:bottom w:val="nil"/>
            </w:tcBorders>
          </w:tcPr>
          <w:p w14:paraId="6AF155C7" w14:textId="5757DC67" w:rsidR="0000776A" w:rsidRPr="0046389C" w:rsidRDefault="004E4224" w:rsidP="0000776A">
            <w:pPr>
              <w:pStyle w:val="TableText"/>
              <w:tabs>
                <w:tab w:val="left" w:pos="0"/>
              </w:tabs>
              <w:rPr>
                <w:rFonts w:cs="Calibri"/>
                <w:snapToGrid w:val="0"/>
              </w:rPr>
            </w:pPr>
            <w:r w:rsidRPr="0046389C">
              <w:rPr>
                <w:rFonts w:cs="Calibri"/>
              </w:rPr>
              <w:t>Cash</w:t>
            </w:r>
            <w:r w:rsidRPr="0046389C">
              <w:rPr>
                <w:rFonts w:cs="Calibri"/>
                <w:snapToGrid w:val="0"/>
              </w:rPr>
              <w:t xml:space="preserve"> and </w:t>
            </w:r>
            <w:r w:rsidR="0000776A" w:rsidRPr="0046389C">
              <w:rPr>
                <w:rFonts w:cs="Calibri"/>
              </w:rPr>
              <w:t>Investments</w:t>
            </w:r>
          </w:p>
        </w:tc>
        <w:tc>
          <w:tcPr>
            <w:tcW w:w="835" w:type="pct"/>
            <w:tcBorders>
              <w:top w:val="nil"/>
              <w:bottom w:val="nil"/>
            </w:tcBorders>
          </w:tcPr>
          <w:p w14:paraId="477490BB" w14:textId="47C7B96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1126746" w14:textId="77777777" w:rsidTr="001F7F23">
        <w:tc>
          <w:tcPr>
            <w:tcW w:w="569" w:type="pct"/>
            <w:tcBorders>
              <w:top w:val="nil"/>
              <w:bottom w:val="nil"/>
            </w:tcBorders>
          </w:tcPr>
          <w:p w14:paraId="238DC99F" w14:textId="3165827C"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16</w:t>
            </w:r>
          </w:p>
        </w:tc>
        <w:tc>
          <w:tcPr>
            <w:tcW w:w="3596" w:type="pct"/>
            <w:tcBorders>
              <w:top w:val="nil"/>
              <w:bottom w:val="nil"/>
            </w:tcBorders>
          </w:tcPr>
          <w:p w14:paraId="117C936F" w14:textId="0BD61BBD" w:rsidR="0000776A" w:rsidRPr="0046389C" w:rsidRDefault="0000776A" w:rsidP="0000776A">
            <w:pPr>
              <w:pStyle w:val="TableText"/>
              <w:tabs>
                <w:tab w:val="left" w:pos="0"/>
              </w:tabs>
              <w:rPr>
                <w:rFonts w:cs="Calibri"/>
                <w:snapToGrid w:val="0"/>
              </w:rPr>
            </w:pPr>
            <w:r w:rsidRPr="0046389C">
              <w:rPr>
                <w:rFonts w:cs="Calibri"/>
              </w:rPr>
              <w:t>Receivables</w:t>
            </w:r>
            <w:r w:rsidR="00B9734C" w:rsidRPr="0046389C">
              <w:rPr>
                <w:rFonts w:cs="Calibri"/>
              </w:rPr>
              <w:t xml:space="preserve"> </w:t>
            </w:r>
            <w:r w:rsidR="00B9734C" w:rsidRPr="002D7851">
              <w:rPr>
                <w:rFonts w:cs="Calibri"/>
                <w:strike/>
                <w:color w:val="FF0000"/>
              </w:rPr>
              <w:t>and Contract Assets</w:t>
            </w:r>
          </w:p>
        </w:tc>
        <w:tc>
          <w:tcPr>
            <w:tcW w:w="835" w:type="pct"/>
            <w:tcBorders>
              <w:top w:val="nil"/>
              <w:bottom w:val="nil"/>
            </w:tcBorders>
          </w:tcPr>
          <w:p w14:paraId="7330C56A" w14:textId="3BEC0B0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F5FC45F" w14:textId="77777777" w:rsidTr="001F7F23">
        <w:tc>
          <w:tcPr>
            <w:tcW w:w="569" w:type="pct"/>
            <w:tcBorders>
              <w:top w:val="nil"/>
              <w:bottom w:val="nil"/>
            </w:tcBorders>
          </w:tcPr>
          <w:p w14:paraId="48703165" w14:textId="579ADE2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17</w:t>
            </w:r>
          </w:p>
        </w:tc>
        <w:tc>
          <w:tcPr>
            <w:tcW w:w="3596" w:type="pct"/>
            <w:tcBorders>
              <w:top w:val="nil"/>
              <w:bottom w:val="nil"/>
            </w:tcBorders>
          </w:tcPr>
          <w:p w14:paraId="1323DE4A" w14:textId="755395D5" w:rsidR="0000776A" w:rsidRPr="0046389C" w:rsidRDefault="0000776A" w:rsidP="0000776A">
            <w:pPr>
              <w:pStyle w:val="TableText"/>
              <w:tabs>
                <w:tab w:val="left" w:pos="0"/>
              </w:tabs>
              <w:rPr>
                <w:rFonts w:cs="Calibri"/>
                <w:snapToGrid w:val="0"/>
              </w:rPr>
            </w:pPr>
            <w:r w:rsidRPr="0046389C">
              <w:rPr>
                <w:rFonts w:cs="Calibri"/>
              </w:rPr>
              <w:t>Inventories</w:t>
            </w:r>
          </w:p>
        </w:tc>
        <w:tc>
          <w:tcPr>
            <w:tcW w:w="835" w:type="pct"/>
            <w:tcBorders>
              <w:top w:val="nil"/>
              <w:bottom w:val="nil"/>
            </w:tcBorders>
          </w:tcPr>
          <w:p w14:paraId="62137441" w14:textId="4DC3A70C"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F2C214F" w14:textId="77777777" w:rsidTr="001F7F23">
        <w:tc>
          <w:tcPr>
            <w:tcW w:w="569" w:type="pct"/>
            <w:tcBorders>
              <w:top w:val="nil"/>
              <w:bottom w:val="nil"/>
            </w:tcBorders>
          </w:tcPr>
          <w:p w14:paraId="37FD336C" w14:textId="60B1E00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18</w:t>
            </w:r>
          </w:p>
        </w:tc>
        <w:tc>
          <w:tcPr>
            <w:tcW w:w="3596" w:type="pct"/>
            <w:tcBorders>
              <w:top w:val="nil"/>
              <w:bottom w:val="nil"/>
            </w:tcBorders>
          </w:tcPr>
          <w:p w14:paraId="07AA97F2" w14:textId="77777777" w:rsidR="0000776A" w:rsidRPr="0046389C" w:rsidRDefault="0000776A" w:rsidP="0000776A">
            <w:pPr>
              <w:pStyle w:val="TableText"/>
              <w:tabs>
                <w:tab w:val="left" w:pos="0"/>
              </w:tabs>
              <w:rPr>
                <w:rFonts w:cs="Calibri"/>
                <w:snapToGrid w:val="0"/>
              </w:rPr>
            </w:pPr>
            <w:r w:rsidRPr="0046389C">
              <w:rPr>
                <w:rFonts w:cs="Calibri"/>
                <w:snapToGrid w:val="0"/>
              </w:rPr>
              <w:t>Non-Current Assets Held for Sale</w:t>
            </w:r>
          </w:p>
        </w:tc>
        <w:tc>
          <w:tcPr>
            <w:tcW w:w="835" w:type="pct"/>
            <w:tcBorders>
              <w:top w:val="nil"/>
              <w:bottom w:val="nil"/>
            </w:tcBorders>
          </w:tcPr>
          <w:p w14:paraId="3693CCFF" w14:textId="6DD666E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9EC5A51" w14:textId="77777777" w:rsidTr="001F7F23">
        <w:tc>
          <w:tcPr>
            <w:tcW w:w="569" w:type="pct"/>
            <w:tcBorders>
              <w:top w:val="nil"/>
              <w:bottom w:val="nil"/>
            </w:tcBorders>
          </w:tcPr>
          <w:p w14:paraId="3B06C943" w14:textId="66B8032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19</w:t>
            </w:r>
          </w:p>
        </w:tc>
        <w:tc>
          <w:tcPr>
            <w:tcW w:w="3596" w:type="pct"/>
            <w:tcBorders>
              <w:top w:val="nil"/>
              <w:bottom w:val="nil"/>
            </w:tcBorders>
          </w:tcPr>
          <w:p w14:paraId="0E63E8F5" w14:textId="7DD78ABA" w:rsidR="0000776A" w:rsidRPr="0046389C" w:rsidRDefault="0000776A" w:rsidP="0000776A">
            <w:pPr>
              <w:pStyle w:val="TableText"/>
              <w:tabs>
                <w:tab w:val="left" w:pos="0"/>
              </w:tabs>
              <w:rPr>
                <w:rFonts w:cs="Calibri"/>
                <w:snapToGrid w:val="0"/>
              </w:rPr>
            </w:pPr>
            <w:r w:rsidRPr="0046389C">
              <w:rPr>
                <w:rFonts w:cs="Calibri"/>
              </w:rPr>
              <w:t>Property, Plant and Equipment</w:t>
            </w:r>
          </w:p>
        </w:tc>
        <w:tc>
          <w:tcPr>
            <w:tcW w:w="835" w:type="pct"/>
            <w:tcBorders>
              <w:top w:val="nil"/>
              <w:bottom w:val="nil"/>
            </w:tcBorders>
          </w:tcPr>
          <w:p w14:paraId="29ECBBC6" w14:textId="378688B2"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FB370A" w14:textId="77777777" w:rsidTr="001F7F23">
        <w:tc>
          <w:tcPr>
            <w:tcW w:w="569" w:type="pct"/>
            <w:tcBorders>
              <w:top w:val="nil"/>
              <w:bottom w:val="nil"/>
            </w:tcBorders>
          </w:tcPr>
          <w:p w14:paraId="7B51C8E3" w14:textId="7BC31506"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0</w:t>
            </w:r>
          </w:p>
        </w:tc>
        <w:tc>
          <w:tcPr>
            <w:tcW w:w="3596" w:type="pct"/>
            <w:tcBorders>
              <w:top w:val="nil"/>
              <w:bottom w:val="nil"/>
            </w:tcBorders>
          </w:tcPr>
          <w:p w14:paraId="0B94A939" w14:textId="77777777" w:rsidR="0000776A" w:rsidRPr="0046389C" w:rsidRDefault="0000776A" w:rsidP="0000776A">
            <w:pPr>
              <w:pStyle w:val="TableText"/>
              <w:tabs>
                <w:tab w:val="left" w:pos="0"/>
              </w:tabs>
              <w:rPr>
                <w:rFonts w:cs="Calibri"/>
                <w:snapToGrid w:val="0"/>
              </w:rPr>
            </w:pPr>
            <w:r w:rsidRPr="0046389C">
              <w:rPr>
                <w:rFonts w:cs="Calibri"/>
                <w:snapToGrid w:val="0"/>
              </w:rPr>
              <w:t>Investment Properties</w:t>
            </w:r>
          </w:p>
        </w:tc>
        <w:tc>
          <w:tcPr>
            <w:tcW w:w="835" w:type="pct"/>
            <w:tcBorders>
              <w:top w:val="nil"/>
              <w:bottom w:val="nil"/>
            </w:tcBorders>
          </w:tcPr>
          <w:p w14:paraId="612CB3D1" w14:textId="0787302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D2590BF" w14:textId="77777777" w:rsidTr="001F7F23">
        <w:tc>
          <w:tcPr>
            <w:tcW w:w="569" w:type="pct"/>
            <w:tcBorders>
              <w:top w:val="nil"/>
              <w:bottom w:val="nil"/>
            </w:tcBorders>
          </w:tcPr>
          <w:p w14:paraId="627B3380" w14:textId="5C579397"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1</w:t>
            </w:r>
          </w:p>
        </w:tc>
        <w:tc>
          <w:tcPr>
            <w:tcW w:w="3596" w:type="pct"/>
            <w:tcBorders>
              <w:top w:val="nil"/>
              <w:bottom w:val="nil"/>
            </w:tcBorders>
          </w:tcPr>
          <w:p w14:paraId="2B73B089" w14:textId="4C80CC23" w:rsidR="0000776A" w:rsidRPr="0046389C" w:rsidRDefault="0000776A" w:rsidP="0000776A">
            <w:pPr>
              <w:pStyle w:val="TableText"/>
              <w:tabs>
                <w:tab w:val="left" w:pos="0"/>
              </w:tabs>
              <w:rPr>
                <w:rFonts w:cs="Calibri"/>
                <w:snapToGrid w:val="0"/>
              </w:rPr>
            </w:pPr>
            <w:r w:rsidRPr="0046389C">
              <w:rPr>
                <w:rFonts w:cs="Calibri"/>
                <w:snapToGrid w:val="0"/>
              </w:rPr>
              <w:t>Intangible Assets</w:t>
            </w:r>
          </w:p>
        </w:tc>
        <w:tc>
          <w:tcPr>
            <w:tcW w:w="835" w:type="pct"/>
            <w:tcBorders>
              <w:top w:val="nil"/>
              <w:bottom w:val="nil"/>
            </w:tcBorders>
          </w:tcPr>
          <w:p w14:paraId="104834FD" w14:textId="33289C1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7AE3C2B" w14:textId="77777777" w:rsidTr="001F7F23">
        <w:tc>
          <w:tcPr>
            <w:tcW w:w="569" w:type="pct"/>
            <w:tcBorders>
              <w:top w:val="nil"/>
              <w:bottom w:val="nil"/>
            </w:tcBorders>
          </w:tcPr>
          <w:p w14:paraId="652ECA1F" w14:textId="11814F0E"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2</w:t>
            </w:r>
          </w:p>
        </w:tc>
        <w:tc>
          <w:tcPr>
            <w:tcW w:w="3596" w:type="pct"/>
            <w:tcBorders>
              <w:top w:val="nil"/>
              <w:bottom w:val="nil"/>
            </w:tcBorders>
          </w:tcPr>
          <w:p w14:paraId="4F0D0631" w14:textId="77777777" w:rsidR="0000776A" w:rsidRPr="0046389C" w:rsidRDefault="0000776A" w:rsidP="0000776A">
            <w:pPr>
              <w:pStyle w:val="TableText"/>
              <w:tabs>
                <w:tab w:val="left" w:pos="0"/>
              </w:tabs>
              <w:rPr>
                <w:rFonts w:cs="Calibri"/>
                <w:snapToGrid w:val="0"/>
              </w:rPr>
            </w:pPr>
            <w:r w:rsidRPr="0046389C">
              <w:rPr>
                <w:rFonts w:cs="Calibri"/>
              </w:rPr>
              <w:t>Capital Works in Progress</w:t>
            </w:r>
          </w:p>
        </w:tc>
        <w:tc>
          <w:tcPr>
            <w:tcW w:w="835" w:type="pct"/>
            <w:tcBorders>
              <w:top w:val="nil"/>
              <w:bottom w:val="nil"/>
            </w:tcBorders>
          </w:tcPr>
          <w:p w14:paraId="41B3541A" w14:textId="16781A0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29BB03F" w14:textId="77777777" w:rsidTr="001F7F23">
        <w:tc>
          <w:tcPr>
            <w:tcW w:w="569" w:type="pct"/>
            <w:tcBorders>
              <w:top w:val="nil"/>
              <w:bottom w:val="nil"/>
            </w:tcBorders>
          </w:tcPr>
          <w:p w14:paraId="1247057B" w14:textId="47657757"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3</w:t>
            </w:r>
            <w:r w:rsidRPr="0046389C">
              <w:rPr>
                <w:rFonts w:cs="Calibri"/>
                <w:snapToGrid w:val="0"/>
              </w:rPr>
              <w:t xml:space="preserve"> </w:t>
            </w:r>
          </w:p>
        </w:tc>
        <w:tc>
          <w:tcPr>
            <w:tcW w:w="3596" w:type="pct"/>
            <w:tcBorders>
              <w:top w:val="nil"/>
              <w:bottom w:val="nil"/>
            </w:tcBorders>
          </w:tcPr>
          <w:p w14:paraId="49A9FA94" w14:textId="77777777" w:rsidR="0000776A" w:rsidRPr="0046389C" w:rsidRDefault="0000776A" w:rsidP="0000776A">
            <w:pPr>
              <w:pStyle w:val="TableText"/>
              <w:tabs>
                <w:tab w:val="left" w:pos="0"/>
              </w:tabs>
              <w:rPr>
                <w:rFonts w:cs="Calibri"/>
                <w:snapToGrid w:val="0"/>
              </w:rPr>
            </w:pPr>
            <w:r w:rsidRPr="0046389C">
              <w:rPr>
                <w:rFonts w:cs="Calibri"/>
              </w:rPr>
              <w:t>Other Assets</w:t>
            </w:r>
          </w:p>
        </w:tc>
        <w:tc>
          <w:tcPr>
            <w:tcW w:w="835" w:type="pct"/>
            <w:tcBorders>
              <w:top w:val="nil"/>
              <w:bottom w:val="nil"/>
            </w:tcBorders>
          </w:tcPr>
          <w:p w14:paraId="18FED0C4" w14:textId="55279A5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FFD998B" w14:textId="77777777" w:rsidTr="001F7F23">
        <w:tc>
          <w:tcPr>
            <w:tcW w:w="569" w:type="pct"/>
            <w:tcBorders>
              <w:top w:val="nil"/>
              <w:bottom w:val="nil"/>
            </w:tcBorders>
          </w:tcPr>
          <w:p w14:paraId="41EBA297"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07C95573" w14:textId="77777777" w:rsidR="0000776A" w:rsidRPr="0046389C" w:rsidRDefault="0000776A" w:rsidP="0000776A">
            <w:pPr>
              <w:pStyle w:val="TableText"/>
              <w:tabs>
                <w:tab w:val="left" w:pos="0"/>
              </w:tabs>
              <w:rPr>
                <w:rFonts w:cs="Calibri"/>
              </w:rPr>
            </w:pPr>
          </w:p>
        </w:tc>
        <w:tc>
          <w:tcPr>
            <w:tcW w:w="835" w:type="pct"/>
            <w:tcBorders>
              <w:top w:val="nil"/>
              <w:bottom w:val="nil"/>
            </w:tcBorders>
          </w:tcPr>
          <w:p w14:paraId="51DFC10B" w14:textId="77777777" w:rsidR="0000776A" w:rsidRPr="0046389C" w:rsidRDefault="0000776A" w:rsidP="0000776A">
            <w:pPr>
              <w:pStyle w:val="TableText"/>
              <w:tabs>
                <w:tab w:val="left" w:pos="3306"/>
              </w:tabs>
              <w:jc w:val="right"/>
              <w:rPr>
                <w:rFonts w:cs="Calibri"/>
                <w:snapToGrid w:val="0"/>
              </w:rPr>
            </w:pPr>
          </w:p>
        </w:tc>
      </w:tr>
      <w:tr w:rsidR="0046389C" w:rsidRPr="0046389C" w14:paraId="2A966F2D" w14:textId="77777777" w:rsidTr="001F7F23">
        <w:trPr>
          <w:cantSplit/>
        </w:trPr>
        <w:tc>
          <w:tcPr>
            <w:tcW w:w="4165" w:type="pct"/>
            <w:gridSpan w:val="2"/>
            <w:tcBorders>
              <w:top w:val="nil"/>
              <w:bottom w:val="nil"/>
            </w:tcBorders>
          </w:tcPr>
          <w:p w14:paraId="5E4E7BB5" w14:textId="77777777" w:rsidR="0000776A" w:rsidRPr="0046389C" w:rsidRDefault="0000776A" w:rsidP="0000776A">
            <w:pPr>
              <w:pStyle w:val="TableText"/>
              <w:tabs>
                <w:tab w:val="left" w:pos="0"/>
              </w:tabs>
              <w:rPr>
                <w:rFonts w:cs="Calibri"/>
                <w:b/>
                <w:bCs/>
                <w:snapToGrid w:val="0"/>
              </w:rPr>
            </w:pPr>
            <w:r w:rsidRPr="0046389C">
              <w:rPr>
                <w:rFonts w:cs="Calibri"/>
                <w:b/>
                <w:bCs/>
                <w:snapToGrid w:val="0"/>
              </w:rPr>
              <w:t>Liability Notes</w:t>
            </w:r>
          </w:p>
        </w:tc>
        <w:tc>
          <w:tcPr>
            <w:tcW w:w="835" w:type="pct"/>
            <w:tcBorders>
              <w:top w:val="nil"/>
              <w:bottom w:val="nil"/>
            </w:tcBorders>
          </w:tcPr>
          <w:p w14:paraId="03ECB2DD" w14:textId="77777777" w:rsidR="0000776A" w:rsidRPr="0046389C" w:rsidRDefault="0000776A" w:rsidP="0000776A">
            <w:pPr>
              <w:pStyle w:val="TableText"/>
              <w:tabs>
                <w:tab w:val="left" w:pos="3306"/>
              </w:tabs>
              <w:jc w:val="right"/>
              <w:rPr>
                <w:rFonts w:cs="Calibri"/>
                <w:snapToGrid w:val="0"/>
              </w:rPr>
            </w:pPr>
          </w:p>
        </w:tc>
      </w:tr>
      <w:tr w:rsidR="0046389C" w:rsidRPr="0046389C" w14:paraId="394D77E8" w14:textId="77777777" w:rsidTr="001F7F23">
        <w:tc>
          <w:tcPr>
            <w:tcW w:w="569" w:type="pct"/>
            <w:tcBorders>
              <w:top w:val="nil"/>
              <w:bottom w:val="nil"/>
            </w:tcBorders>
          </w:tcPr>
          <w:p w14:paraId="6833CF3C" w14:textId="0B3B72E9"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4</w:t>
            </w:r>
          </w:p>
        </w:tc>
        <w:tc>
          <w:tcPr>
            <w:tcW w:w="3596" w:type="pct"/>
            <w:tcBorders>
              <w:top w:val="nil"/>
              <w:bottom w:val="nil"/>
            </w:tcBorders>
          </w:tcPr>
          <w:p w14:paraId="26A2325A" w14:textId="5F8835AC" w:rsidR="0000776A" w:rsidRPr="0046389C" w:rsidRDefault="0000776A" w:rsidP="0000776A">
            <w:pPr>
              <w:pStyle w:val="TableText"/>
              <w:tabs>
                <w:tab w:val="left" w:pos="0"/>
              </w:tabs>
              <w:rPr>
                <w:rFonts w:cs="Calibri"/>
                <w:snapToGrid w:val="0"/>
              </w:rPr>
            </w:pPr>
            <w:r w:rsidRPr="0046389C">
              <w:rPr>
                <w:rFonts w:cs="Calibri"/>
              </w:rPr>
              <w:t>Payables</w:t>
            </w:r>
            <w:r w:rsidR="002541C3" w:rsidRPr="0046389C">
              <w:rPr>
                <w:rFonts w:cs="Calibri"/>
              </w:rPr>
              <w:t xml:space="preserve"> </w:t>
            </w:r>
            <w:r w:rsidR="002541C3" w:rsidRPr="00B73007">
              <w:rPr>
                <w:rFonts w:cs="Calibri"/>
                <w:strike/>
                <w:color w:val="FF0000"/>
              </w:rPr>
              <w:t>and Contract Liabilities</w:t>
            </w:r>
          </w:p>
        </w:tc>
        <w:tc>
          <w:tcPr>
            <w:tcW w:w="835" w:type="pct"/>
            <w:tcBorders>
              <w:top w:val="nil"/>
              <w:bottom w:val="nil"/>
            </w:tcBorders>
          </w:tcPr>
          <w:p w14:paraId="37725C58" w14:textId="74B21C6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BAEE8DA" w14:textId="77777777" w:rsidTr="001F7F23">
        <w:trPr>
          <w:trHeight w:val="269"/>
        </w:trPr>
        <w:tc>
          <w:tcPr>
            <w:tcW w:w="569" w:type="pct"/>
            <w:tcBorders>
              <w:top w:val="nil"/>
              <w:bottom w:val="nil"/>
            </w:tcBorders>
          </w:tcPr>
          <w:p w14:paraId="47BDC4EA" w14:textId="4EA2CAB4"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25</w:t>
            </w:r>
          </w:p>
        </w:tc>
        <w:tc>
          <w:tcPr>
            <w:tcW w:w="3596" w:type="pct"/>
            <w:tcBorders>
              <w:top w:val="nil"/>
              <w:bottom w:val="nil"/>
            </w:tcBorders>
          </w:tcPr>
          <w:p w14:paraId="56380DFD" w14:textId="104F5373" w:rsidR="0000776A" w:rsidRPr="0046389C" w:rsidRDefault="0087520B" w:rsidP="0000776A">
            <w:pPr>
              <w:pStyle w:val="TableText"/>
              <w:tabs>
                <w:tab w:val="left" w:pos="3306"/>
              </w:tabs>
              <w:rPr>
                <w:rFonts w:cs="Calibri"/>
                <w:snapToGrid w:val="0"/>
              </w:rPr>
            </w:pPr>
            <w:r w:rsidRPr="0046389C">
              <w:t xml:space="preserve">Borrowings </w:t>
            </w:r>
          </w:p>
        </w:tc>
        <w:tc>
          <w:tcPr>
            <w:tcW w:w="835" w:type="pct"/>
            <w:tcBorders>
              <w:top w:val="nil"/>
              <w:bottom w:val="nil"/>
            </w:tcBorders>
          </w:tcPr>
          <w:p w14:paraId="3F7D799A" w14:textId="2DDC3B98"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75DE78AE" w14:textId="77777777" w:rsidTr="001F7F23">
        <w:trPr>
          <w:trHeight w:val="269"/>
        </w:trPr>
        <w:tc>
          <w:tcPr>
            <w:tcW w:w="569" w:type="pct"/>
            <w:tcBorders>
              <w:top w:val="nil"/>
              <w:bottom w:val="nil"/>
            </w:tcBorders>
          </w:tcPr>
          <w:p w14:paraId="1027E038" w14:textId="037630C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26</w:t>
            </w:r>
          </w:p>
        </w:tc>
        <w:tc>
          <w:tcPr>
            <w:tcW w:w="3596" w:type="pct"/>
            <w:tcBorders>
              <w:top w:val="nil"/>
              <w:bottom w:val="nil"/>
            </w:tcBorders>
          </w:tcPr>
          <w:p w14:paraId="64D182D5" w14:textId="77777777" w:rsidR="0000776A" w:rsidRPr="0046389C" w:rsidRDefault="0000776A" w:rsidP="0000776A">
            <w:pPr>
              <w:pStyle w:val="TableText"/>
              <w:tabs>
                <w:tab w:val="left" w:pos="3306"/>
              </w:tabs>
              <w:rPr>
                <w:rFonts w:cs="Calibri"/>
                <w:snapToGrid w:val="0"/>
              </w:rPr>
            </w:pPr>
            <w:r w:rsidRPr="0046389C">
              <w:rPr>
                <w:rFonts w:cs="Calibri"/>
                <w:snapToGrid w:val="0"/>
              </w:rPr>
              <w:t>Lease Liabilities</w:t>
            </w:r>
          </w:p>
        </w:tc>
        <w:tc>
          <w:tcPr>
            <w:tcW w:w="835" w:type="pct"/>
            <w:tcBorders>
              <w:top w:val="nil"/>
              <w:bottom w:val="nil"/>
            </w:tcBorders>
          </w:tcPr>
          <w:p w14:paraId="549511F3" w14:textId="4C7607E9"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68EFFC38" w14:textId="77777777" w:rsidTr="001F7F23">
        <w:trPr>
          <w:trHeight w:val="255"/>
        </w:trPr>
        <w:tc>
          <w:tcPr>
            <w:tcW w:w="569" w:type="pct"/>
            <w:tcBorders>
              <w:top w:val="nil"/>
              <w:bottom w:val="nil"/>
            </w:tcBorders>
          </w:tcPr>
          <w:p w14:paraId="72C8B081" w14:textId="7A2771A6"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27</w:t>
            </w:r>
            <w:r w:rsidRPr="0046389C">
              <w:rPr>
                <w:rFonts w:cs="Calibri"/>
                <w:snapToGrid w:val="0"/>
              </w:rPr>
              <w:t xml:space="preserve"> </w:t>
            </w:r>
          </w:p>
        </w:tc>
        <w:tc>
          <w:tcPr>
            <w:tcW w:w="3596" w:type="pct"/>
            <w:tcBorders>
              <w:top w:val="nil"/>
              <w:bottom w:val="nil"/>
            </w:tcBorders>
          </w:tcPr>
          <w:p w14:paraId="18284A77" w14:textId="77777777" w:rsidR="0000776A" w:rsidRPr="0046389C" w:rsidRDefault="0000776A" w:rsidP="0000776A">
            <w:pPr>
              <w:pStyle w:val="TableText"/>
              <w:tabs>
                <w:tab w:val="left" w:pos="3306"/>
              </w:tabs>
              <w:rPr>
                <w:rFonts w:cs="Calibri"/>
                <w:snapToGrid w:val="0"/>
              </w:rPr>
            </w:pPr>
            <w:r w:rsidRPr="0046389C">
              <w:rPr>
                <w:rFonts w:cs="Calibri"/>
                <w:snapToGrid w:val="0"/>
              </w:rPr>
              <w:t>Employee Benefits</w:t>
            </w:r>
          </w:p>
        </w:tc>
        <w:tc>
          <w:tcPr>
            <w:tcW w:w="835" w:type="pct"/>
            <w:tcBorders>
              <w:top w:val="nil"/>
              <w:bottom w:val="nil"/>
            </w:tcBorders>
          </w:tcPr>
          <w:p w14:paraId="5CBD659C" w14:textId="36E5E853"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13F0E4F0" w14:textId="77777777" w:rsidTr="001F7F23">
        <w:trPr>
          <w:trHeight w:val="269"/>
        </w:trPr>
        <w:tc>
          <w:tcPr>
            <w:tcW w:w="569" w:type="pct"/>
            <w:tcBorders>
              <w:top w:val="nil"/>
              <w:bottom w:val="nil"/>
            </w:tcBorders>
          </w:tcPr>
          <w:p w14:paraId="59ABD56C" w14:textId="6C06374D"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28</w:t>
            </w:r>
          </w:p>
        </w:tc>
        <w:tc>
          <w:tcPr>
            <w:tcW w:w="3596" w:type="pct"/>
            <w:tcBorders>
              <w:top w:val="nil"/>
              <w:bottom w:val="nil"/>
            </w:tcBorders>
          </w:tcPr>
          <w:p w14:paraId="30276B59" w14:textId="77777777" w:rsidR="0000776A" w:rsidRPr="0046389C" w:rsidRDefault="0000776A" w:rsidP="0000776A">
            <w:pPr>
              <w:pStyle w:val="TableText"/>
              <w:tabs>
                <w:tab w:val="left" w:pos="3306"/>
              </w:tabs>
              <w:rPr>
                <w:rFonts w:cs="Calibri"/>
                <w:snapToGrid w:val="0"/>
              </w:rPr>
            </w:pPr>
            <w:r w:rsidRPr="0046389C">
              <w:rPr>
                <w:rFonts w:cs="Calibri"/>
                <w:snapToGrid w:val="0"/>
              </w:rPr>
              <w:t>Other Provisions</w:t>
            </w:r>
          </w:p>
        </w:tc>
        <w:tc>
          <w:tcPr>
            <w:tcW w:w="835" w:type="pct"/>
            <w:tcBorders>
              <w:top w:val="nil"/>
              <w:bottom w:val="nil"/>
            </w:tcBorders>
          </w:tcPr>
          <w:p w14:paraId="734E0A5F" w14:textId="35AED41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8B43722" w14:textId="77777777" w:rsidTr="001F7F23">
        <w:trPr>
          <w:trHeight w:val="269"/>
        </w:trPr>
        <w:tc>
          <w:tcPr>
            <w:tcW w:w="569" w:type="pct"/>
            <w:tcBorders>
              <w:top w:val="nil"/>
              <w:bottom w:val="nil"/>
            </w:tcBorders>
          </w:tcPr>
          <w:p w14:paraId="1B8B7992" w14:textId="0574DDDD"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29</w:t>
            </w:r>
          </w:p>
        </w:tc>
        <w:tc>
          <w:tcPr>
            <w:tcW w:w="3596" w:type="pct"/>
            <w:tcBorders>
              <w:top w:val="nil"/>
              <w:bottom w:val="nil"/>
            </w:tcBorders>
          </w:tcPr>
          <w:p w14:paraId="50C39A39" w14:textId="77777777" w:rsidR="0000776A" w:rsidRPr="0046389C" w:rsidRDefault="0000776A" w:rsidP="0000776A">
            <w:pPr>
              <w:pStyle w:val="TableText"/>
              <w:tabs>
                <w:tab w:val="left" w:pos="3306"/>
              </w:tabs>
              <w:rPr>
                <w:rFonts w:cs="Calibri"/>
                <w:snapToGrid w:val="0"/>
              </w:rPr>
            </w:pPr>
            <w:r w:rsidRPr="0046389C">
              <w:rPr>
                <w:rFonts w:cs="Calibri"/>
                <w:snapToGrid w:val="0"/>
              </w:rPr>
              <w:t>Other Liabilities</w:t>
            </w:r>
          </w:p>
        </w:tc>
        <w:tc>
          <w:tcPr>
            <w:tcW w:w="835" w:type="pct"/>
            <w:tcBorders>
              <w:top w:val="nil"/>
              <w:bottom w:val="nil"/>
            </w:tcBorders>
          </w:tcPr>
          <w:p w14:paraId="7B0061C8" w14:textId="571514EE"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bl>
    <w:p w14:paraId="20703902" w14:textId="77777777" w:rsidR="00B12851" w:rsidRDefault="00B12851">
      <w:r>
        <w:br w:type="page"/>
      </w:r>
    </w:p>
    <w:p w14:paraId="59489707" w14:textId="77777777" w:rsidR="00857D32" w:rsidRPr="0046389C" w:rsidRDefault="00857D32" w:rsidP="00857D32">
      <w:pPr>
        <w:spacing w:line="400" w:lineRule="exact"/>
        <w:jc w:val="center"/>
        <w:rPr>
          <w:rFonts w:asciiTheme="minorHAnsi" w:hAnsiTheme="minorHAnsi" w:cstheme="minorHAnsi"/>
          <w:b/>
          <w:sz w:val="40"/>
          <w:szCs w:val="24"/>
        </w:rPr>
      </w:pPr>
      <w:r>
        <w:rPr>
          <w:rFonts w:asciiTheme="minorHAnsi" w:hAnsiTheme="minorHAnsi" w:cstheme="minorHAnsi"/>
          <w:b/>
          <w:sz w:val="40"/>
          <w:szCs w:val="24"/>
        </w:rPr>
        <w:t>‘Burley</w:t>
      </w:r>
      <w:r w:rsidRPr="0046389C">
        <w:rPr>
          <w:rFonts w:asciiTheme="minorHAnsi" w:hAnsiTheme="minorHAnsi" w:cstheme="minorHAnsi"/>
          <w:b/>
          <w:sz w:val="40"/>
          <w:szCs w:val="24"/>
        </w:rPr>
        <w:t xml:space="preserve"> </w:t>
      </w:r>
      <w:r>
        <w:rPr>
          <w:rFonts w:asciiTheme="minorHAnsi" w:hAnsiTheme="minorHAnsi" w:cstheme="minorHAnsi"/>
          <w:b/>
          <w:sz w:val="40"/>
          <w:szCs w:val="24"/>
        </w:rPr>
        <w:t>Griffin</w:t>
      </w:r>
      <w:r w:rsidRPr="0046389C">
        <w:rPr>
          <w:rFonts w:asciiTheme="minorHAnsi" w:hAnsiTheme="minorHAnsi" w:cstheme="minorHAnsi"/>
          <w:b/>
          <w:sz w:val="40"/>
          <w:szCs w:val="24"/>
        </w:rPr>
        <w:t xml:space="preserve"> </w:t>
      </w:r>
      <w:r>
        <w:rPr>
          <w:rFonts w:asciiTheme="minorHAnsi" w:hAnsiTheme="minorHAnsi" w:cstheme="minorHAnsi"/>
          <w:b/>
          <w:sz w:val="40"/>
          <w:szCs w:val="24"/>
        </w:rPr>
        <w:t>Agency</w:t>
      </w:r>
      <w:r w:rsidRPr="0046389C">
        <w:rPr>
          <w:rFonts w:asciiTheme="minorHAnsi" w:hAnsiTheme="minorHAnsi" w:cstheme="minorHAnsi"/>
          <w:b/>
          <w:sz w:val="40"/>
          <w:szCs w:val="24"/>
        </w:rPr>
        <w:t xml:space="preserve">’ </w:t>
      </w:r>
    </w:p>
    <w:p w14:paraId="29F868F0" w14:textId="42443426" w:rsidR="00B12851" w:rsidRDefault="00857D32" w:rsidP="00857D32">
      <w:pPr>
        <w:spacing w:after="120" w:line="400" w:lineRule="exact"/>
        <w:jc w:val="center"/>
        <w:rPr>
          <w:rFonts w:asciiTheme="minorHAnsi" w:hAnsiTheme="minorHAnsi" w:cstheme="minorHAnsi"/>
          <w:b/>
          <w:sz w:val="40"/>
          <w:szCs w:val="24"/>
        </w:rPr>
      </w:pPr>
      <w:r w:rsidRPr="00857D32">
        <w:rPr>
          <w:rFonts w:asciiTheme="minorHAnsi" w:hAnsiTheme="minorHAnsi" w:cstheme="minorHAnsi"/>
          <w:b/>
          <w:sz w:val="40"/>
          <w:szCs w:val="24"/>
        </w:rPr>
        <w:t>Content of Controlled Financial Statements</w:t>
      </w:r>
      <w:r w:rsidR="00B12851" w:rsidRPr="0046389C">
        <w:rPr>
          <w:rFonts w:asciiTheme="minorHAnsi" w:hAnsiTheme="minorHAnsi" w:cstheme="minorHAnsi"/>
          <w:b/>
          <w:sz w:val="40"/>
          <w:szCs w:val="24"/>
        </w:rPr>
        <w:t xml:space="preserve"> </w:t>
      </w:r>
      <w:r w:rsidR="00B12851">
        <w:rPr>
          <w:rFonts w:asciiTheme="minorHAnsi" w:hAnsiTheme="minorHAnsi" w:cstheme="minorHAnsi"/>
          <w:b/>
          <w:sz w:val="40"/>
          <w:szCs w:val="24"/>
        </w:rPr>
        <w:t>–</w:t>
      </w:r>
      <w:r>
        <w:rPr>
          <w:rFonts w:asciiTheme="minorHAnsi" w:hAnsiTheme="minorHAnsi" w:cstheme="minorHAnsi"/>
          <w:b/>
          <w:sz w:val="40"/>
          <w:szCs w:val="24"/>
        </w:rPr>
        <w:t xml:space="preserve"> </w:t>
      </w:r>
      <w:r w:rsidR="00B12851" w:rsidRPr="0046389C">
        <w:rPr>
          <w:rFonts w:asciiTheme="minorHAnsi" w:hAnsiTheme="minorHAnsi" w:cstheme="minorHAnsi"/>
          <w:b/>
          <w:sz w:val="40"/>
          <w:szCs w:val="24"/>
        </w:rPr>
        <w:t>C</w:t>
      </w:r>
      <w:r>
        <w:rPr>
          <w:rFonts w:asciiTheme="minorHAnsi" w:hAnsiTheme="minorHAnsi" w:cstheme="minorHAnsi"/>
          <w:b/>
          <w:sz w:val="40"/>
          <w:szCs w:val="24"/>
        </w:rPr>
        <w:t>ontinued</w:t>
      </w:r>
    </w:p>
    <w:tbl>
      <w:tblPr>
        <w:tblW w:w="5147" w:type="pct"/>
        <w:tblLayout w:type="fixed"/>
        <w:tblLook w:val="00A0" w:firstRow="1" w:lastRow="0" w:firstColumn="1" w:lastColumn="0" w:noHBand="0" w:noVBand="0"/>
      </w:tblPr>
      <w:tblGrid>
        <w:gridCol w:w="1129"/>
        <w:gridCol w:w="7136"/>
        <w:gridCol w:w="1657"/>
      </w:tblGrid>
      <w:tr w:rsidR="00B12851" w:rsidRPr="0046389C" w14:paraId="0A5C4F7F" w14:textId="77777777" w:rsidTr="003C4C52">
        <w:trPr>
          <w:cantSplit/>
          <w:trHeight w:val="255"/>
        </w:trPr>
        <w:tc>
          <w:tcPr>
            <w:tcW w:w="4165" w:type="pct"/>
            <w:gridSpan w:val="2"/>
            <w:tcBorders>
              <w:bottom w:val="nil"/>
            </w:tcBorders>
          </w:tcPr>
          <w:p w14:paraId="7C66927F" w14:textId="474E3566" w:rsidR="00B12851" w:rsidRPr="0046389C" w:rsidRDefault="00B12851" w:rsidP="003C4C52">
            <w:pPr>
              <w:pStyle w:val="TableText"/>
              <w:tabs>
                <w:tab w:val="left" w:pos="3306"/>
              </w:tabs>
              <w:rPr>
                <w:rFonts w:cs="Calibri"/>
                <w:snapToGrid w:val="0"/>
              </w:rPr>
            </w:pPr>
          </w:p>
        </w:tc>
        <w:tc>
          <w:tcPr>
            <w:tcW w:w="835" w:type="pct"/>
            <w:tcBorders>
              <w:bottom w:val="nil"/>
            </w:tcBorders>
          </w:tcPr>
          <w:p w14:paraId="060F0C6C" w14:textId="5903B38C" w:rsidR="00B12851" w:rsidRPr="0046389C" w:rsidRDefault="00857D32" w:rsidP="003C4C52">
            <w:pPr>
              <w:pStyle w:val="TableText"/>
              <w:tabs>
                <w:tab w:val="left" w:pos="3306"/>
              </w:tabs>
              <w:spacing w:before="0"/>
              <w:jc w:val="right"/>
              <w:rPr>
                <w:rFonts w:cs="Calibri"/>
                <w:snapToGrid w:val="0"/>
              </w:rPr>
            </w:pPr>
            <w:r w:rsidRPr="0046389C">
              <w:rPr>
                <w:rFonts w:cs="Calibri"/>
                <w:b/>
                <w:snapToGrid w:val="0"/>
                <w:sz w:val="24"/>
                <w:szCs w:val="24"/>
              </w:rPr>
              <w:t>Page</w:t>
            </w:r>
          </w:p>
        </w:tc>
      </w:tr>
      <w:tr w:rsidR="00857D32" w:rsidRPr="0046389C" w14:paraId="3C6DCBFB" w14:textId="77777777" w:rsidTr="003C4C52">
        <w:trPr>
          <w:cantSplit/>
          <w:trHeight w:val="255"/>
        </w:trPr>
        <w:tc>
          <w:tcPr>
            <w:tcW w:w="4165" w:type="pct"/>
            <w:gridSpan w:val="2"/>
            <w:tcBorders>
              <w:bottom w:val="nil"/>
            </w:tcBorders>
          </w:tcPr>
          <w:p w14:paraId="13759A98" w14:textId="1E636864" w:rsidR="00857D32" w:rsidRPr="0046389C" w:rsidRDefault="00857D32" w:rsidP="003C4C52">
            <w:pPr>
              <w:pStyle w:val="TableText"/>
              <w:tabs>
                <w:tab w:val="left" w:pos="3306"/>
              </w:tabs>
              <w:rPr>
                <w:rFonts w:cs="Calibri"/>
                <w:b/>
                <w:bCs/>
              </w:rPr>
            </w:pPr>
            <w:r w:rsidRPr="0046389C">
              <w:rPr>
                <w:rFonts w:cs="Calibri"/>
                <w:b/>
                <w:bCs/>
              </w:rPr>
              <w:t>Other Notes</w:t>
            </w:r>
          </w:p>
        </w:tc>
        <w:tc>
          <w:tcPr>
            <w:tcW w:w="835" w:type="pct"/>
            <w:tcBorders>
              <w:bottom w:val="nil"/>
            </w:tcBorders>
          </w:tcPr>
          <w:p w14:paraId="21B87504" w14:textId="77777777" w:rsidR="00857D32" w:rsidRPr="0046389C" w:rsidRDefault="00857D32" w:rsidP="003C4C52">
            <w:pPr>
              <w:pStyle w:val="TableText"/>
              <w:tabs>
                <w:tab w:val="left" w:pos="3306"/>
              </w:tabs>
              <w:spacing w:before="0"/>
              <w:jc w:val="right"/>
              <w:rPr>
                <w:rFonts w:cs="Calibri"/>
                <w:snapToGrid w:val="0"/>
              </w:rPr>
            </w:pPr>
          </w:p>
        </w:tc>
      </w:tr>
      <w:tr w:rsidR="00B12851" w:rsidRPr="0046389C" w14:paraId="415B2DF0" w14:textId="77777777" w:rsidTr="003C4C52">
        <w:trPr>
          <w:trHeight w:val="269"/>
        </w:trPr>
        <w:tc>
          <w:tcPr>
            <w:tcW w:w="569" w:type="pct"/>
            <w:tcBorders>
              <w:top w:val="nil"/>
              <w:bottom w:val="nil"/>
            </w:tcBorders>
          </w:tcPr>
          <w:p w14:paraId="126280D3" w14:textId="77777777" w:rsidR="00B12851" w:rsidRPr="0046389C" w:rsidRDefault="00B12851" w:rsidP="003C4C52">
            <w:pPr>
              <w:pStyle w:val="TableText"/>
              <w:tabs>
                <w:tab w:val="left" w:pos="3306"/>
              </w:tabs>
              <w:rPr>
                <w:rFonts w:cs="Calibri"/>
                <w:snapToGrid w:val="0"/>
                <w:highlight w:val="cyan"/>
              </w:rPr>
            </w:pPr>
            <w:r w:rsidRPr="0046389C">
              <w:rPr>
                <w:rFonts w:cs="Calibri"/>
                <w:snapToGrid w:val="0"/>
              </w:rPr>
              <w:t>Note 30</w:t>
            </w:r>
          </w:p>
        </w:tc>
        <w:tc>
          <w:tcPr>
            <w:tcW w:w="3596" w:type="pct"/>
            <w:tcBorders>
              <w:top w:val="nil"/>
              <w:bottom w:val="nil"/>
            </w:tcBorders>
          </w:tcPr>
          <w:p w14:paraId="67F4CF47" w14:textId="77777777" w:rsidR="00B12851" w:rsidRPr="0046389C" w:rsidRDefault="00B12851" w:rsidP="003C4C52">
            <w:pPr>
              <w:pStyle w:val="TableText"/>
              <w:tabs>
                <w:tab w:val="left" w:pos="3306"/>
              </w:tabs>
              <w:rPr>
                <w:rFonts w:cs="Calibri"/>
                <w:snapToGrid w:val="0"/>
                <w:highlight w:val="cyan"/>
              </w:rPr>
            </w:pPr>
            <w:r w:rsidRPr="0046389C">
              <w:rPr>
                <w:rFonts w:cs="Calibri"/>
                <w:snapToGrid w:val="0"/>
              </w:rPr>
              <w:t>Restructure of Administrative Arrangements</w:t>
            </w:r>
          </w:p>
        </w:tc>
        <w:tc>
          <w:tcPr>
            <w:tcW w:w="835" w:type="pct"/>
            <w:tcBorders>
              <w:top w:val="nil"/>
              <w:bottom w:val="nil"/>
            </w:tcBorders>
          </w:tcPr>
          <w:p w14:paraId="35C0D293"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F86D799" w14:textId="77777777" w:rsidTr="003C4C52">
        <w:trPr>
          <w:trHeight w:val="269"/>
        </w:trPr>
        <w:tc>
          <w:tcPr>
            <w:tcW w:w="569" w:type="pct"/>
            <w:tcBorders>
              <w:top w:val="nil"/>
              <w:bottom w:val="nil"/>
            </w:tcBorders>
          </w:tcPr>
          <w:p w14:paraId="61FE368A" w14:textId="77777777" w:rsidR="00B12851" w:rsidRPr="0046389C" w:rsidRDefault="00B12851" w:rsidP="003C4C52">
            <w:pPr>
              <w:pStyle w:val="TableText"/>
              <w:tabs>
                <w:tab w:val="left" w:pos="3306"/>
              </w:tabs>
              <w:rPr>
                <w:rFonts w:cs="Calibri"/>
                <w:snapToGrid w:val="0"/>
              </w:rPr>
            </w:pPr>
            <w:r w:rsidRPr="0046389C">
              <w:rPr>
                <w:rFonts w:cs="Calibri"/>
                <w:snapToGrid w:val="0"/>
              </w:rPr>
              <w:t>Note 31</w:t>
            </w:r>
          </w:p>
        </w:tc>
        <w:tc>
          <w:tcPr>
            <w:tcW w:w="3596" w:type="pct"/>
            <w:tcBorders>
              <w:top w:val="nil"/>
              <w:bottom w:val="nil"/>
            </w:tcBorders>
          </w:tcPr>
          <w:p w14:paraId="707F2A9D" w14:textId="77777777" w:rsidR="00B12851" w:rsidRPr="0046389C" w:rsidRDefault="00B12851" w:rsidP="003C4C52">
            <w:pPr>
              <w:pStyle w:val="TableText"/>
              <w:tabs>
                <w:tab w:val="left" w:pos="3306"/>
              </w:tabs>
              <w:rPr>
                <w:rFonts w:cs="Calibri"/>
                <w:snapToGrid w:val="0"/>
              </w:rPr>
            </w:pPr>
            <w:r w:rsidRPr="0046389C">
              <w:rPr>
                <w:rFonts w:cs="Calibri"/>
                <w:snapToGrid w:val="0"/>
              </w:rPr>
              <w:t>Financial Instruments</w:t>
            </w:r>
          </w:p>
        </w:tc>
        <w:tc>
          <w:tcPr>
            <w:tcW w:w="835" w:type="pct"/>
            <w:tcBorders>
              <w:top w:val="nil"/>
              <w:bottom w:val="nil"/>
            </w:tcBorders>
          </w:tcPr>
          <w:p w14:paraId="5992CB1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49086AEB" w14:textId="77777777" w:rsidTr="003C4C52">
        <w:trPr>
          <w:trHeight w:val="269"/>
        </w:trPr>
        <w:tc>
          <w:tcPr>
            <w:tcW w:w="569" w:type="pct"/>
            <w:tcBorders>
              <w:top w:val="nil"/>
              <w:bottom w:val="nil"/>
            </w:tcBorders>
          </w:tcPr>
          <w:p w14:paraId="2309EE09" w14:textId="77777777" w:rsidR="00B12851" w:rsidRPr="0046389C" w:rsidRDefault="00B12851" w:rsidP="003C4C52">
            <w:pPr>
              <w:pStyle w:val="TableText"/>
              <w:tabs>
                <w:tab w:val="left" w:pos="3306"/>
              </w:tabs>
              <w:rPr>
                <w:rFonts w:cs="Calibri"/>
                <w:snapToGrid w:val="0"/>
              </w:rPr>
            </w:pPr>
            <w:r w:rsidRPr="0046389C">
              <w:rPr>
                <w:rFonts w:cs="Calibri"/>
                <w:snapToGrid w:val="0"/>
              </w:rPr>
              <w:t>Note 32</w:t>
            </w:r>
          </w:p>
        </w:tc>
        <w:tc>
          <w:tcPr>
            <w:tcW w:w="3596" w:type="pct"/>
            <w:tcBorders>
              <w:top w:val="nil"/>
              <w:bottom w:val="nil"/>
            </w:tcBorders>
          </w:tcPr>
          <w:p w14:paraId="4EFDA703" w14:textId="77777777" w:rsidR="00B12851" w:rsidRPr="0046389C" w:rsidRDefault="00B12851" w:rsidP="003C4C52">
            <w:pPr>
              <w:pStyle w:val="TableText"/>
              <w:tabs>
                <w:tab w:val="left" w:pos="743"/>
              </w:tabs>
              <w:rPr>
                <w:rFonts w:cs="Calibri"/>
                <w:snapToGrid w:val="0"/>
              </w:rPr>
            </w:pPr>
            <w:r w:rsidRPr="0046389C">
              <w:rPr>
                <w:rFonts w:cs="Calibri"/>
              </w:rPr>
              <w:t>Capital and Other Expenditure Commitments</w:t>
            </w:r>
          </w:p>
        </w:tc>
        <w:tc>
          <w:tcPr>
            <w:tcW w:w="835" w:type="pct"/>
            <w:tcBorders>
              <w:top w:val="nil"/>
              <w:bottom w:val="nil"/>
            </w:tcBorders>
          </w:tcPr>
          <w:p w14:paraId="73FCEC76"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349297DC" w14:textId="77777777" w:rsidTr="003C4C52">
        <w:trPr>
          <w:trHeight w:val="255"/>
        </w:trPr>
        <w:tc>
          <w:tcPr>
            <w:tcW w:w="569" w:type="pct"/>
            <w:tcBorders>
              <w:top w:val="nil"/>
              <w:bottom w:val="nil"/>
            </w:tcBorders>
          </w:tcPr>
          <w:p w14:paraId="62FAA38B" w14:textId="77777777" w:rsidR="00B12851" w:rsidRPr="0046389C" w:rsidRDefault="00B12851" w:rsidP="003C4C52">
            <w:pPr>
              <w:pStyle w:val="TableText"/>
              <w:tabs>
                <w:tab w:val="left" w:pos="3306"/>
              </w:tabs>
              <w:rPr>
                <w:rFonts w:cs="Calibri"/>
                <w:snapToGrid w:val="0"/>
              </w:rPr>
            </w:pPr>
            <w:r w:rsidRPr="0046389C">
              <w:rPr>
                <w:rFonts w:cs="Calibri"/>
                <w:snapToGrid w:val="0"/>
              </w:rPr>
              <w:t>Note 33</w:t>
            </w:r>
          </w:p>
        </w:tc>
        <w:tc>
          <w:tcPr>
            <w:tcW w:w="3596" w:type="pct"/>
            <w:tcBorders>
              <w:top w:val="nil"/>
              <w:bottom w:val="nil"/>
            </w:tcBorders>
          </w:tcPr>
          <w:p w14:paraId="4460F419" w14:textId="77777777" w:rsidR="00B12851" w:rsidRPr="0046389C" w:rsidRDefault="00B12851" w:rsidP="003C4C52">
            <w:pPr>
              <w:pStyle w:val="TableText"/>
              <w:tabs>
                <w:tab w:val="left" w:pos="743"/>
              </w:tabs>
              <w:rPr>
                <w:rFonts w:cs="Calibri"/>
                <w:snapToGrid w:val="0"/>
              </w:rPr>
            </w:pPr>
            <w:r w:rsidRPr="0046389C">
              <w:rPr>
                <w:rFonts w:cs="Calibri"/>
              </w:rPr>
              <w:t>Contingent Liabilities and Contingent Assets</w:t>
            </w:r>
          </w:p>
        </w:tc>
        <w:tc>
          <w:tcPr>
            <w:tcW w:w="835" w:type="pct"/>
            <w:tcBorders>
              <w:top w:val="nil"/>
              <w:bottom w:val="nil"/>
            </w:tcBorders>
          </w:tcPr>
          <w:p w14:paraId="56812C70"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8452C25" w14:textId="77777777" w:rsidTr="003C4C52">
        <w:trPr>
          <w:trHeight w:val="269"/>
        </w:trPr>
        <w:tc>
          <w:tcPr>
            <w:tcW w:w="569" w:type="pct"/>
            <w:tcBorders>
              <w:top w:val="nil"/>
              <w:bottom w:val="nil"/>
            </w:tcBorders>
          </w:tcPr>
          <w:p w14:paraId="76D89E39" w14:textId="77777777" w:rsidR="00B12851" w:rsidRPr="0046389C" w:rsidRDefault="00B12851" w:rsidP="003C4C52">
            <w:pPr>
              <w:pStyle w:val="TableText"/>
              <w:tabs>
                <w:tab w:val="left" w:pos="3306"/>
              </w:tabs>
              <w:rPr>
                <w:rFonts w:cs="Calibri"/>
                <w:snapToGrid w:val="0"/>
              </w:rPr>
            </w:pPr>
            <w:r w:rsidRPr="0046389C">
              <w:rPr>
                <w:rFonts w:cs="Calibri"/>
                <w:snapToGrid w:val="0"/>
              </w:rPr>
              <w:t>Note 34</w:t>
            </w:r>
          </w:p>
        </w:tc>
        <w:tc>
          <w:tcPr>
            <w:tcW w:w="3596" w:type="pct"/>
            <w:tcBorders>
              <w:top w:val="nil"/>
              <w:bottom w:val="nil"/>
            </w:tcBorders>
          </w:tcPr>
          <w:p w14:paraId="6F3ADF99" w14:textId="77777777" w:rsidR="00B12851" w:rsidRPr="0046389C" w:rsidRDefault="00B12851" w:rsidP="003C4C52">
            <w:pPr>
              <w:pStyle w:val="TableText"/>
              <w:tabs>
                <w:tab w:val="left" w:pos="743"/>
              </w:tabs>
              <w:rPr>
                <w:rFonts w:cs="Calibri"/>
                <w:snapToGrid w:val="0"/>
              </w:rPr>
            </w:pPr>
            <w:r w:rsidRPr="0046389C">
              <w:rPr>
                <w:rFonts w:cs="Calibri"/>
              </w:rPr>
              <w:t>Interest in a Joint Venture</w:t>
            </w:r>
          </w:p>
        </w:tc>
        <w:tc>
          <w:tcPr>
            <w:tcW w:w="835" w:type="pct"/>
            <w:tcBorders>
              <w:top w:val="nil"/>
              <w:bottom w:val="nil"/>
            </w:tcBorders>
          </w:tcPr>
          <w:p w14:paraId="40A0EA31"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4D3267A" w14:textId="77777777" w:rsidTr="003C4C52">
        <w:trPr>
          <w:trHeight w:val="269"/>
        </w:trPr>
        <w:tc>
          <w:tcPr>
            <w:tcW w:w="569" w:type="pct"/>
            <w:tcBorders>
              <w:top w:val="nil"/>
            </w:tcBorders>
          </w:tcPr>
          <w:p w14:paraId="10BB7930" w14:textId="77777777" w:rsidR="00B12851" w:rsidRPr="0046389C" w:rsidRDefault="00B12851" w:rsidP="003C4C52">
            <w:pPr>
              <w:pStyle w:val="TableText"/>
              <w:tabs>
                <w:tab w:val="left" w:pos="3306"/>
              </w:tabs>
              <w:rPr>
                <w:rFonts w:cs="Calibri"/>
                <w:snapToGrid w:val="0"/>
              </w:rPr>
            </w:pPr>
            <w:r w:rsidRPr="0046389C">
              <w:rPr>
                <w:rFonts w:cs="Calibri"/>
                <w:snapToGrid w:val="0"/>
              </w:rPr>
              <w:t>Note 35</w:t>
            </w:r>
          </w:p>
        </w:tc>
        <w:tc>
          <w:tcPr>
            <w:tcW w:w="3596" w:type="pct"/>
            <w:tcBorders>
              <w:top w:val="nil"/>
            </w:tcBorders>
          </w:tcPr>
          <w:p w14:paraId="0324CFBA" w14:textId="77777777" w:rsidR="00B12851" w:rsidRPr="0046389C" w:rsidRDefault="00B12851" w:rsidP="003C4C52">
            <w:pPr>
              <w:pStyle w:val="TableText"/>
              <w:tabs>
                <w:tab w:val="left" w:pos="743"/>
              </w:tabs>
              <w:rPr>
                <w:rFonts w:cs="Calibri"/>
                <w:snapToGrid w:val="0"/>
              </w:rPr>
            </w:pPr>
            <w:r w:rsidRPr="0046389C">
              <w:rPr>
                <w:rFonts w:cs="Calibri"/>
              </w:rPr>
              <w:t>Interest in a Joint Operation</w:t>
            </w:r>
          </w:p>
        </w:tc>
        <w:tc>
          <w:tcPr>
            <w:tcW w:w="835" w:type="pct"/>
            <w:tcBorders>
              <w:top w:val="nil"/>
            </w:tcBorders>
          </w:tcPr>
          <w:p w14:paraId="3641C945"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B8A8958" w14:textId="77777777" w:rsidTr="003C4C52">
        <w:trPr>
          <w:trHeight w:val="255"/>
        </w:trPr>
        <w:tc>
          <w:tcPr>
            <w:tcW w:w="569" w:type="pct"/>
            <w:tcBorders>
              <w:top w:val="nil"/>
              <w:bottom w:val="nil"/>
            </w:tcBorders>
          </w:tcPr>
          <w:p w14:paraId="0377C89A" w14:textId="77777777" w:rsidR="00B12851" w:rsidRPr="0046389C" w:rsidRDefault="00B12851" w:rsidP="003C4C52">
            <w:pPr>
              <w:pStyle w:val="TableText"/>
              <w:tabs>
                <w:tab w:val="left" w:pos="3306"/>
              </w:tabs>
              <w:rPr>
                <w:rFonts w:cs="Calibri"/>
                <w:snapToGrid w:val="0"/>
              </w:rPr>
            </w:pPr>
            <w:r w:rsidRPr="0046389C">
              <w:rPr>
                <w:rFonts w:cs="Calibri"/>
                <w:snapToGrid w:val="0"/>
              </w:rPr>
              <w:t>Note 36</w:t>
            </w:r>
          </w:p>
        </w:tc>
        <w:tc>
          <w:tcPr>
            <w:tcW w:w="3596" w:type="pct"/>
            <w:tcBorders>
              <w:top w:val="nil"/>
              <w:bottom w:val="nil"/>
            </w:tcBorders>
          </w:tcPr>
          <w:p w14:paraId="25576ADA" w14:textId="77777777" w:rsidR="00B12851" w:rsidRPr="0046389C" w:rsidRDefault="00B12851" w:rsidP="003C4C52">
            <w:pPr>
              <w:pStyle w:val="TableText"/>
              <w:tabs>
                <w:tab w:val="left" w:pos="800"/>
              </w:tabs>
              <w:rPr>
                <w:rFonts w:cs="Calibri"/>
                <w:snapToGrid w:val="0"/>
              </w:rPr>
            </w:pPr>
            <w:r w:rsidRPr="0046389C">
              <w:rPr>
                <w:rFonts w:cs="Calibri"/>
              </w:rPr>
              <w:t>Events after the Reporting Period</w:t>
            </w:r>
          </w:p>
        </w:tc>
        <w:tc>
          <w:tcPr>
            <w:tcW w:w="835" w:type="pct"/>
            <w:tcBorders>
              <w:top w:val="nil"/>
              <w:bottom w:val="nil"/>
            </w:tcBorders>
          </w:tcPr>
          <w:p w14:paraId="25AAFBC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B14A02F" w14:textId="77777777" w:rsidTr="003C4C52">
        <w:trPr>
          <w:trHeight w:val="269"/>
        </w:trPr>
        <w:tc>
          <w:tcPr>
            <w:tcW w:w="569" w:type="pct"/>
            <w:tcBorders>
              <w:top w:val="nil"/>
              <w:bottom w:val="nil"/>
            </w:tcBorders>
          </w:tcPr>
          <w:p w14:paraId="7CC3AC56" w14:textId="77777777" w:rsidR="00B12851" w:rsidRPr="0046389C" w:rsidRDefault="00B12851" w:rsidP="003C4C52">
            <w:pPr>
              <w:pStyle w:val="TableText"/>
              <w:tabs>
                <w:tab w:val="left" w:pos="3306"/>
              </w:tabs>
              <w:rPr>
                <w:rFonts w:cs="Calibri"/>
                <w:snapToGrid w:val="0"/>
              </w:rPr>
            </w:pPr>
            <w:r w:rsidRPr="0046389C">
              <w:rPr>
                <w:rFonts w:cs="Calibri"/>
                <w:snapToGrid w:val="0"/>
              </w:rPr>
              <w:t>Note 37</w:t>
            </w:r>
          </w:p>
        </w:tc>
        <w:tc>
          <w:tcPr>
            <w:tcW w:w="3596" w:type="pct"/>
            <w:tcBorders>
              <w:top w:val="nil"/>
              <w:bottom w:val="nil"/>
            </w:tcBorders>
          </w:tcPr>
          <w:p w14:paraId="79B7685C" w14:textId="77777777" w:rsidR="00B12851" w:rsidRPr="0046389C" w:rsidRDefault="00B12851" w:rsidP="003C4C52">
            <w:pPr>
              <w:pStyle w:val="TableText"/>
              <w:tabs>
                <w:tab w:val="left" w:pos="800"/>
              </w:tabs>
              <w:rPr>
                <w:rFonts w:cs="Calibri"/>
                <w:snapToGrid w:val="0"/>
              </w:rPr>
            </w:pPr>
            <w:r w:rsidRPr="0046389C">
              <w:rPr>
                <w:rFonts w:cs="Calibri"/>
              </w:rPr>
              <w:t>Third Party Monies</w:t>
            </w:r>
          </w:p>
        </w:tc>
        <w:tc>
          <w:tcPr>
            <w:tcW w:w="835" w:type="pct"/>
            <w:tcBorders>
              <w:top w:val="nil"/>
              <w:bottom w:val="nil"/>
            </w:tcBorders>
          </w:tcPr>
          <w:p w14:paraId="0C2B7AD9"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5217DB9" w14:textId="77777777" w:rsidTr="003C4C52">
        <w:trPr>
          <w:trHeight w:val="269"/>
        </w:trPr>
        <w:tc>
          <w:tcPr>
            <w:tcW w:w="569" w:type="pct"/>
            <w:tcBorders>
              <w:top w:val="nil"/>
              <w:bottom w:val="nil"/>
            </w:tcBorders>
          </w:tcPr>
          <w:p w14:paraId="6152249B" w14:textId="77777777" w:rsidR="00B12851" w:rsidRPr="0046389C" w:rsidRDefault="00B12851" w:rsidP="003C4C52">
            <w:pPr>
              <w:pStyle w:val="TableText"/>
              <w:tabs>
                <w:tab w:val="left" w:pos="3306"/>
              </w:tabs>
              <w:rPr>
                <w:rFonts w:cs="Calibri"/>
                <w:snapToGrid w:val="0"/>
              </w:rPr>
            </w:pPr>
            <w:r w:rsidRPr="0046389C">
              <w:rPr>
                <w:rFonts w:cs="Calibri"/>
                <w:snapToGrid w:val="0"/>
              </w:rPr>
              <w:t>Note 38</w:t>
            </w:r>
          </w:p>
        </w:tc>
        <w:tc>
          <w:tcPr>
            <w:tcW w:w="3596" w:type="pct"/>
            <w:tcBorders>
              <w:top w:val="nil"/>
              <w:bottom w:val="nil"/>
            </w:tcBorders>
          </w:tcPr>
          <w:p w14:paraId="27534020" w14:textId="77777777" w:rsidR="00B12851" w:rsidRPr="0046389C" w:rsidRDefault="00B12851" w:rsidP="003C4C52">
            <w:pPr>
              <w:pStyle w:val="TableText"/>
              <w:tabs>
                <w:tab w:val="left" w:pos="800"/>
              </w:tabs>
              <w:rPr>
                <w:rFonts w:cs="Calibri"/>
              </w:rPr>
            </w:pPr>
            <w:r w:rsidRPr="0046389C">
              <w:rPr>
                <w:rFonts w:cs="Calibri"/>
              </w:rPr>
              <w:t>Related Party Disclosures</w:t>
            </w:r>
          </w:p>
        </w:tc>
        <w:tc>
          <w:tcPr>
            <w:tcW w:w="835" w:type="pct"/>
            <w:tcBorders>
              <w:top w:val="nil"/>
              <w:bottom w:val="nil"/>
            </w:tcBorders>
          </w:tcPr>
          <w:p w14:paraId="3FCFE218"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13F0563" w14:textId="77777777" w:rsidTr="003C4C52">
        <w:trPr>
          <w:trHeight w:val="269"/>
        </w:trPr>
        <w:tc>
          <w:tcPr>
            <w:tcW w:w="569" w:type="pct"/>
            <w:tcBorders>
              <w:top w:val="nil"/>
            </w:tcBorders>
          </w:tcPr>
          <w:p w14:paraId="10E0F53B" w14:textId="77777777" w:rsidR="00B12851" w:rsidRPr="0046389C" w:rsidRDefault="00B12851" w:rsidP="003C4C52">
            <w:pPr>
              <w:pStyle w:val="TableText"/>
              <w:tabs>
                <w:tab w:val="left" w:pos="3306"/>
              </w:tabs>
              <w:rPr>
                <w:rFonts w:cs="Calibri"/>
                <w:snapToGrid w:val="0"/>
              </w:rPr>
            </w:pPr>
            <w:r w:rsidRPr="0046389C">
              <w:rPr>
                <w:rFonts w:cs="Calibri"/>
                <w:snapToGrid w:val="0"/>
              </w:rPr>
              <w:t>Note 39</w:t>
            </w:r>
          </w:p>
        </w:tc>
        <w:tc>
          <w:tcPr>
            <w:tcW w:w="3596" w:type="pct"/>
            <w:tcBorders>
              <w:top w:val="nil"/>
            </w:tcBorders>
          </w:tcPr>
          <w:p w14:paraId="212C95CD" w14:textId="77777777" w:rsidR="00B12851" w:rsidRPr="0046389C" w:rsidRDefault="00B12851" w:rsidP="003C4C52">
            <w:pPr>
              <w:pStyle w:val="TableText"/>
              <w:tabs>
                <w:tab w:val="left" w:pos="800"/>
              </w:tabs>
              <w:rPr>
                <w:rFonts w:cs="Calibri"/>
              </w:rPr>
            </w:pPr>
            <w:r w:rsidRPr="0046389C">
              <w:rPr>
                <w:rFonts w:cs="Calibri"/>
              </w:rPr>
              <w:t>Service Concession Arrangements</w:t>
            </w:r>
          </w:p>
        </w:tc>
        <w:tc>
          <w:tcPr>
            <w:tcW w:w="835" w:type="pct"/>
            <w:tcBorders>
              <w:top w:val="nil"/>
              <w:bottom w:val="nil"/>
            </w:tcBorders>
          </w:tcPr>
          <w:p w14:paraId="467BAA3F"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D9A1663" w14:textId="77777777" w:rsidTr="003C4C52">
        <w:trPr>
          <w:trHeight w:val="269"/>
        </w:trPr>
        <w:tc>
          <w:tcPr>
            <w:tcW w:w="569" w:type="pct"/>
            <w:tcBorders>
              <w:top w:val="nil"/>
            </w:tcBorders>
          </w:tcPr>
          <w:p w14:paraId="39BE59EB" w14:textId="77777777" w:rsidR="00B12851" w:rsidRPr="0046389C" w:rsidRDefault="00B12851" w:rsidP="003C4C52">
            <w:pPr>
              <w:pStyle w:val="TableText"/>
              <w:tabs>
                <w:tab w:val="left" w:pos="3306"/>
              </w:tabs>
              <w:rPr>
                <w:rFonts w:cs="Calibri"/>
                <w:snapToGrid w:val="0"/>
              </w:rPr>
            </w:pPr>
            <w:r w:rsidRPr="0046389C">
              <w:rPr>
                <w:rFonts w:cs="Calibri"/>
                <w:snapToGrid w:val="0"/>
              </w:rPr>
              <w:t>Note 40</w:t>
            </w:r>
          </w:p>
        </w:tc>
        <w:tc>
          <w:tcPr>
            <w:tcW w:w="3596" w:type="pct"/>
            <w:tcBorders>
              <w:top w:val="nil"/>
            </w:tcBorders>
          </w:tcPr>
          <w:p w14:paraId="568C53A0" w14:textId="77777777" w:rsidR="00B12851" w:rsidRPr="0046389C" w:rsidRDefault="00B12851" w:rsidP="003C4C52">
            <w:pPr>
              <w:pStyle w:val="TableText"/>
              <w:tabs>
                <w:tab w:val="left" w:pos="800"/>
              </w:tabs>
              <w:rPr>
                <w:rFonts w:cs="Calibri"/>
                <w:snapToGrid w:val="0"/>
              </w:rPr>
            </w:pPr>
            <w:r w:rsidRPr="0046389C">
              <w:rPr>
                <w:rFonts w:cs="Calibri"/>
              </w:rPr>
              <w:t>Budgetary Reporting</w:t>
            </w:r>
          </w:p>
        </w:tc>
        <w:tc>
          <w:tcPr>
            <w:tcW w:w="835" w:type="pct"/>
            <w:tcBorders>
              <w:top w:val="nil"/>
            </w:tcBorders>
          </w:tcPr>
          <w:p w14:paraId="6071175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888BD37" w14:textId="77777777" w:rsidTr="003C4C52">
        <w:trPr>
          <w:trHeight w:val="255"/>
        </w:trPr>
        <w:tc>
          <w:tcPr>
            <w:tcW w:w="569" w:type="pct"/>
            <w:tcBorders>
              <w:top w:val="nil"/>
            </w:tcBorders>
          </w:tcPr>
          <w:p w14:paraId="4B59B85E" w14:textId="77777777" w:rsidR="00B12851" w:rsidRPr="0046389C" w:rsidRDefault="00B12851" w:rsidP="003C4C52">
            <w:pPr>
              <w:pStyle w:val="TableText"/>
              <w:tabs>
                <w:tab w:val="left" w:pos="3306"/>
              </w:tabs>
              <w:rPr>
                <w:rFonts w:cs="Calibri"/>
                <w:snapToGrid w:val="0"/>
              </w:rPr>
            </w:pPr>
          </w:p>
        </w:tc>
        <w:tc>
          <w:tcPr>
            <w:tcW w:w="3596" w:type="pct"/>
            <w:tcBorders>
              <w:top w:val="nil"/>
            </w:tcBorders>
          </w:tcPr>
          <w:p w14:paraId="4C02D746" w14:textId="77777777" w:rsidR="00B12851" w:rsidRPr="0046389C" w:rsidRDefault="00B12851" w:rsidP="003C4C52">
            <w:pPr>
              <w:pStyle w:val="TableText"/>
              <w:tabs>
                <w:tab w:val="left" w:pos="3306"/>
              </w:tabs>
              <w:rPr>
                <w:rFonts w:cs="Calibri"/>
                <w:snapToGrid w:val="0"/>
              </w:rPr>
            </w:pPr>
            <w:r w:rsidRPr="0046389C">
              <w:rPr>
                <w:rFonts w:cs="Calibri"/>
                <w:snapToGrid w:val="0"/>
              </w:rPr>
              <w:t>Commentary – Discontinuing Operations</w:t>
            </w:r>
          </w:p>
        </w:tc>
        <w:tc>
          <w:tcPr>
            <w:tcW w:w="835" w:type="pct"/>
            <w:tcBorders>
              <w:top w:val="nil"/>
            </w:tcBorders>
          </w:tcPr>
          <w:p w14:paraId="24096C34"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bl>
    <w:p w14:paraId="61E4E303" w14:textId="24E5D5EA" w:rsidR="00603743" w:rsidRDefault="00603743">
      <w:pPr>
        <w:tabs>
          <w:tab w:val="left" w:pos="3306"/>
        </w:tabs>
        <w:rPr>
          <w:rFonts w:cs="Calibri"/>
        </w:rPr>
      </w:pPr>
    </w:p>
    <w:tbl>
      <w:tblPr>
        <w:tblW w:w="5444" w:type="pct"/>
        <w:tblInd w:w="-429" w:type="dxa"/>
        <w:tblBorders>
          <w:left w:val="single" w:sz="2" w:space="0" w:color="7030A0"/>
        </w:tblBorders>
        <w:shd w:val="clear" w:color="auto" w:fill="CCFFCC"/>
        <w:tblLook w:val="0000" w:firstRow="0" w:lastRow="0" w:firstColumn="0" w:lastColumn="0" w:noHBand="0" w:noVBand="0"/>
      </w:tblPr>
      <w:tblGrid>
        <w:gridCol w:w="1559"/>
        <w:gridCol w:w="8933"/>
      </w:tblGrid>
      <w:tr w:rsidR="00603743" w:rsidRPr="00EF0DF0" w14:paraId="2D47EE90" w14:textId="77777777" w:rsidTr="00B66382">
        <w:trPr>
          <w:trHeight w:val="494"/>
        </w:trPr>
        <w:tc>
          <w:tcPr>
            <w:tcW w:w="743" w:type="pct"/>
            <w:tcBorders>
              <w:left w:val="single" w:sz="2" w:space="0" w:color="000000" w:themeColor="text1"/>
              <w:right w:val="single" w:sz="2" w:space="0" w:color="000000" w:themeColor="text1"/>
            </w:tcBorders>
          </w:tcPr>
          <w:p w14:paraId="26775E81" w14:textId="77777777" w:rsidR="00603743" w:rsidRPr="00814CFD" w:rsidRDefault="00603743" w:rsidP="009A0F2F">
            <w:pPr>
              <w:pStyle w:val="TableReference"/>
              <w:tabs>
                <w:tab w:val="left" w:pos="3306"/>
              </w:tabs>
              <w:spacing w:before="120" w:after="240"/>
              <w:rPr>
                <w:rFonts w:cs="Calibri"/>
                <w:b/>
                <w:color w:val="7030A0"/>
                <w:sz w:val="22"/>
                <w:szCs w:val="22"/>
              </w:rPr>
            </w:pPr>
            <w:r w:rsidRPr="00814CFD">
              <w:rPr>
                <w:rFonts w:cs="Calibri"/>
                <w:b/>
                <w:color w:val="7030A0"/>
                <w:sz w:val="22"/>
                <w:szCs w:val="22"/>
              </w:rPr>
              <w:t>Reference</w:t>
            </w:r>
          </w:p>
        </w:tc>
        <w:tc>
          <w:tcPr>
            <w:tcW w:w="4257" w:type="pct"/>
            <w:tcBorders>
              <w:left w:val="single" w:sz="2" w:space="0" w:color="000000" w:themeColor="text1"/>
            </w:tcBorders>
            <w:shd w:val="clear" w:color="auto" w:fill="7030A0"/>
          </w:tcPr>
          <w:p w14:paraId="4C712FE9" w14:textId="16485311" w:rsidR="00603743" w:rsidRPr="00814CFD" w:rsidRDefault="00603743" w:rsidP="009A0F2F">
            <w:pPr>
              <w:pStyle w:val="TableReference"/>
              <w:tabs>
                <w:tab w:val="left" w:pos="3306"/>
              </w:tabs>
              <w:spacing w:before="120" w:after="240"/>
              <w:rPr>
                <w:rFonts w:cs="Calibri"/>
                <w:b/>
                <w:color w:val="FFFFFF" w:themeColor="background1"/>
                <w:sz w:val="28"/>
                <w:szCs w:val="28"/>
              </w:rPr>
            </w:pPr>
            <w:r w:rsidRPr="00814CFD">
              <w:rPr>
                <w:rFonts w:cs="Calibri"/>
                <w:b/>
                <w:color w:val="FFFFFF" w:themeColor="background1"/>
                <w:sz w:val="28"/>
                <w:szCs w:val="28"/>
              </w:rPr>
              <w:t xml:space="preserve">Commentary </w:t>
            </w:r>
            <w:r w:rsidRPr="00814CFD">
              <w:rPr>
                <w:rFonts w:cs="Calibri"/>
                <w:b/>
                <w:color w:val="FFFFFF" w:themeColor="background1"/>
                <w:sz w:val="28"/>
                <w:szCs w:val="28"/>
              </w:rPr>
              <w:sym w:font="Symbol" w:char="F02D"/>
            </w:r>
            <w:r w:rsidRPr="00814CFD">
              <w:rPr>
                <w:rFonts w:cs="Calibri"/>
                <w:b/>
                <w:color w:val="FFFFFF" w:themeColor="background1"/>
                <w:sz w:val="28"/>
                <w:szCs w:val="28"/>
              </w:rPr>
              <w:t xml:space="preserve"> </w:t>
            </w:r>
            <w:r w:rsidR="006D4EC2" w:rsidRPr="00814CFD">
              <w:rPr>
                <w:rFonts w:cs="Calibri"/>
                <w:b/>
                <w:color w:val="FFFFFF" w:themeColor="background1"/>
                <w:sz w:val="28"/>
                <w:szCs w:val="28"/>
              </w:rPr>
              <w:t>Content of Financial Statements</w:t>
            </w:r>
          </w:p>
        </w:tc>
      </w:tr>
      <w:tr w:rsidR="00603743" w:rsidRPr="00CF7E1B" w14:paraId="3BF1CF7A" w14:textId="77777777" w:rsidTr="00B66382">
        <w:tc>
          <w:tcPr>
            <w:tcW w:w="743" w:type="pct"/>
            <w:tcBorders>
              <w:left w:val="single" w:sz="2" w:space="0" w:color="000000" w:themeColor="text1"/>
              <w:right w:val="single" w:sz="2" w:space="0" w:color="000000" w:themeColor="text1"/>
            </w:tcBorders>
          </w:tcPr>
          <w:p w14:paraId="3B97D9E3"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4B8EAF8F" w14:textId="77777777" w:rsidR="00603743" w:rsidRPr="00814CFD" w:rsidRDefault="00603743" w:rsidP="00CC1E25">
            <w:pPr>
              <w:pStyle w:val="CommentaryHeading"/>
              <w:tabs>
                <w:tab w:val="left" w:pos="3306"/>
              </w:tabs>
              <w:spacing w:after="40"/>
              <w:rPr>
                <w:rFonts w:cs="Calibri"/>
                <w:color w:val="FFFFFF" w:themeColor="background1"/>
              </w:rPr>
            </w:pPr>
            <w:r w:rsidRPr="00814CFD">
              <w:rPr>
                <w:rFonts w:cs="Calibri"/>
                <w:color w:val="FFFFFF" w:themeColor="background1"/>
              </w:rPr>
              <w:t>Presentation of Notes</w:t>
            </w:r>
          </w:p>
        </w:tc>
      </w:tr>
      <w:tr w:rsidR="00603743" w:rsidRPr="00262019" w14:paraId="4F4F02ED" w14:textId="77777777" w:rsidTr="00B66382">
        <w:tc>
          <w:tcPr>
            <w:tcW w:w="743" w:type="pct"/>
            <w:tcBorders>
              <w:left w:val="single" w:sz="2" w:space="0" w:color="000000" w:themeColor="text1"/>
              <w:right w:val="single" w:sz="2" w:space="0" w:color="000000" w:themeColor="text1"/>
            </w:tcBorders>
          </w:tcPr>
          <w:p w14:paraId="46B13C95"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101.113</w:t>
            </w:r>
          </w:p>
        </w:tc>
        <w:tc>
          <w:tcPr>
            <w:tcW w:w="4257" w:type="pct"/>
            <w:tcBorders>
              <w:left w:val="single" w:sz="2" w:space="0" w:color="000000" w:themeColor="text1"/>
            </w:tcBorders>
            <w:shd w:val="clear" w:color="auto" w:fill="7030A0"/>
          </w:tcPr>
          <w:p w14:paraId="186E01FD" w14:textId="3F5BFBB6"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A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 xml:space="preserve">helps users to quickly access a particular </w:t>
            </w:r>
            <w:r w:rsidR="0099570E" w:rsidRPr="00814CFD">
              <w:rPr>
                <w:rFonts w:cs="Calibri"/>
                <w:color w:val="FFFFFF" w:themeColor="background1"/>
                <w:sz w:val="18"/>
                <w:szCs w:val="18"/>
              </w:rPr>
              <w:t xml:space="preserve">statement or </w:t>
            </w:r>
            <w:r w:rsidRPr="00814CFD">
              <w:rPr>
                <w:rFonts w:cs="Calibri"/>
                <w:color w:val="FFFFFF" w:themeColor="background1"/>
                <w:sz w:val="18"/>
                <w:szCs w:val="18"/>
              </w:rPr>
              <w:t>note.</w:t>
            </w:r>
            <w:r w:rsidR="00FA7C77">
              <w:rPr>
                <w:rFonts w:cs="Calibri"/>
                <w:color w:val="FFFFFF" w:themeColor="background1"/>
                <w:sz w:val="18"/>
                <w:szCs w:val="18"/>
              </w:rPr>
              <w:t xml:space="preserve"> </w:t>
            </w:r>
            <w:r w:rsidRPr="00814CFD">
              <w:rPr>
                <w:rFonts w:cs="Calibri"/>
                <w:color w:val="FFFFFF" w:themeColor="background1"/>
                <w:sz w:val="18"/>
                <w:szCs w:val="18"/>
              </w:rPr>
              <w:t xml:space="preserve">AASB 101 </w:t>
            </w:r>
            <w:r w:rsidRPr="00814CFD">
              <w:rPr>
                <w:rFonts w:cs="Calibri"/>
                <w:i/>
                <w:color w:val="FFFFFF" w:themeColor="background1"/>
                <w:sz w:val="18"/>
                <w:szCs w:val="18"/>
              </w:rPr>
              <w:t>Presentation of Financial Statements</w:t>
            </w:r>
            <w:r w:rsidRPr="00814CFD">
              <w:rPr>
                <w:rFonts w:cs="Calibri"/>
                <w:color w:val="FFFFFF" w:themeColor="background1"/>
                <w:sz w:val="18"/>
                <w:szCs w:val="18"/>
              </w:rPr>
              <w:t xml:space="preserve"> only requires that notes in the financial statements be presented in a systematic manner. In determining a systematic manner, an agency must consider the effect on the understandability and comparability of its financial statements. Each item in a financial statement must be cross-referenced to any directly related information in the notes.</w:t>
            </w:r>
          </w:p>
        </w:tc>
      </w:tr>
      <w:tr w:rsidR="00603743" w:rsidRPr="00262019" w14:paraId="11EA2EA7" w14:textId="77777777" w:rsidTr="00B66382">
        <w:tc>
          <w:tcPr>
            <w:tcW w:w="743" w:type="pct"/>
            <w:tcBorders>
              <w:left w:val="single" w:sz="2" w:space="0" w:color="000000" w:themeColor="text1"/>
              <w:right w:val="single" w:sz="2" w:space="0" w:color="000000" w:themeColor="text1"/>
            </w:tcBorders>
          </w:tcPr>
          <w:p w14:paraId="25302AE5" w14:textId="7777777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43EA6324" w14:textId="5A309B50" w:rsidR="00603743" w:rsidRPr="00814CFD" w:rsidRDefault="00603743" w:rsidP="009A0F2F">
            <w:pPr>
              <w:pStyle w:val="CommentaryText"/>
              <w:tabs>
                <w:tab w:val="left" w:pos="3306"/>
              </w:tabs>
              <w:spacing w:before="60"/>
              <w:rPr>
                <w:rFonts w:cs="Calibri"/>
                <w:color w:val="FFFFFF" w:themeColor="background1"/>
                <w:sz w:val="18"/>
                <w:szCs w:val="18"/>
              </w:rPr>
            </w:pPr>
            <w:r w:rsidRPr="00814CFD">
              <w:rPr>
                <w:rFonts w:cs="Calibri"/>
                <w:color w:val="FFFFFF" w:themeColor="background1"/>
                <w:sz w:val="18"/>
                <w:szCs w:val="18"/>
              </w:rPr>
              <w:t>Page numbers are used in the Model for ease of reference.</w:t>
            </w:r>
            <w:r w:rsidR="00FA7C77">
              <w:rPr>
                <w:rFonts w:cs="Calibri"/>
                <w:color w:val="FFFFFF" w:themeColor="background1"/>
                <w:sz w:val="18"/>
                <w:szCs w:val="18"/>
              </w:rPr>
              <w:t xml:space="preserve"> </w:t>
            </w:r>
            <w:r w:rsidRPr="00814CFD">
              <w:rPr>
                <w:rFonts w:cs="Calibri"/>
                <w:color w:val="FFFFFF" w:themeColor="background1"/>
                <w:sz w:val="18"/>
                <w:szCs w:val="18"/>
              </w:rPr>
              <w:t xml:space="preserve">Agencies are not required to include page numbers in the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due to the difficulty in knowing what page numbers the financial statements will have in the annual report.</w:t>
            </w:r>
          </w:p>
        </w:tc>
      </w:tr>
      <w:tr w:rsidR="00603743" w:rsidRPr="00262019" w14:paraId="0C9CE63B" w14:textId="77777777" w:rsidTr="00B66382">
        <w:tc>
          <w:tcPr>
            <w:tcW w:w="743" w:type="pct"/>
            <w:tcBorders>
              <w:left w:val="single" w:sz="2" w:space="0" w:color="000000" w:themeColor="text1"/>
              <w:right w:val="single" w:sz="2" w:space="0" w:color="000000" w:themeColor="text1"/>
            </w:tcBorders>
          </w:tcPr>
          <w:p w14:paraId="600C7696"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101.114</w:t>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t>AASB 101.16</w:t>
            </w:r>
          </w:p>
          <w:p w14:paraId="592E41FD" w14:textId="77777777" w:rsidR="00603743" w:rsidRPr="00814CFD" w:rsidRDefault="00603743" w:rsidP="009A0F2F">
            <w:pPr>
              <w:pStyle w:val="TableReference"/>
              <w:tabs>
                <w:tab w:val="left" w:pos="3306"/>
              </w:tabs>
              <w:spacing w:before="60"/>
              <w:rPr>
                <w:rFonts w:cs="Calibri"/>
                <w:color w:val="7030A0"/>
                <w:sz w:val="14"/>
              </w:rPr>
            </w:pPr>
          </w:p>
          <w:p w14:paraId="5EA67D85" w14:textId="77777777" w:rsidR="00603743" w:rsidRPr="00814CFD" w:rsidRDefault="00603743" w:rsidP="009A0F2F">
            <w:pPr>
              <w:pStyle w:val="TableReference"/>
              <w:tabs>
                <w:tab w:val="left" w:pos="3306"/>
              </w:tabs>
              <w:spacing w:before="60"/>
              <w:rPr>
                <w:rFonts w:cs="Calibri"/>
                <w:color w:val="7030A0"/>
                <w:sz w:val="14"/>
              </w:rPr>
            </w:pPr>
          </w:p>
          <w:p w14:paraId="342A45C3" w14:textId="77777777" w:rsidR="00603743" w:rsidRPr="00814CFD" w:rsidRDefault="00603743" w:rsidP="009A0F2F">
            <w:pPr>
              <w:pStyle w:val="TableReference"/>
              <w:tabs>
                <w:tab w:val="left" w:pos="3306"/>
              </w:tabs>
              <w:spacing w:before="60"/>
              <w:rPr>
                <w:rFonts w:cs="Calibri"/>
                <w:color w:val="7030A0"/>
                <w:sz w:val="14"/>
              </w:rPr>
            </w:pPr>
          </w:p>
          <w:p w14:paraId="54C319A3" w14:textId="77777777" w:rsidR="00603743" w:rsidRPr="00814CFD" w:rsidRDefault="00603743" w:rsidP="009A0F2F">
            <w:pPr>
              <w:pStyle w:val="TableReference"/>
              <w:tabs>
                <w:tab w:val="left" w:pos="3306"/>
              </w:tabs>
              <w:spacing w:before="60"/>
              <w:rPr>
                <w:rFonts w:cs="Calibri"/>
                <w:color w:val="7030A0"/>
                <w:sz w:val="14"/>
              </w:rPr>
            </w:pPr>
          </w:p>
          <w:p w14:paraId="5BBB6D36" w14:textId="77777777" w:rsidR="00603743" w:rsidRPr="00814CFD" w:rsidRDefault="00603743" w:rsidP="009A0F2F">
            <w:pPr>
              <w:pStyle w:val="TableReference"/>
              <w:tabs>
                <w:tab w:val="left" w:pos="3306"/>
              </w:tabs>
              <w:spacing w:before="60"/>
              <w:rPr>
                <w:rFonts w:cs="Calibri"/>
                <w:color w:val="7030A0"/>
                <w:sz w:val="14"/>
              </w:rPr>
            </w:pPr>
          </w:p>
          <w:p w14:paraId="40599924" w14:textId="77777777" w:rsidR="00603743" w:rsidRPr="00814CFD" w:rsidRDefault="00603743" w:rsidP="009A0F2F">
            <w:pPr>
              <w:pStyle w:val="TableReference"/>
              <w:tabs>
                <w:tab w:val="left" w:pos="3306"/>
              </w:tabs>
              <w:spacing w:before="60"/>
              <w:rPr>
                <w:rFonts w:cs="Calibri"/>
                <w:color w:val="7030A0"/>
                <w:sz w:val="14"/>
              </w:rPr>
            </w:pPr>
          </w:p>
          <w:p w14:paraId="1BBCBBF3" w14:textId="4351682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32830902" w14:textId="77777777" w:rsidR="00603743" w:rsidRPr="00814CFD" w:rsidRDefault="00603743" w:rsidP="009A0F2F">
            <w:pPr>
              <w:pStyle w:val="CommentaryText"/>
              <w:tabs>
                <w:tab w:val="left" w:pos="3306"/>
              </w:tabs>
              <w:spacing w:after="0"/>
              <w:rPr>
                <w:rFonts w:cs="Calibri"/>
                <w:color w:val="FFFFFF" w:themeColor="background1"/>
                <w:sz w:val="18"/>
                <w:szCs w:val="18"/>
              </w:rPr>
            </w:pPr>
            <w:r w:rsidRPr="00814CFD">
              <w:rPr>
                <w:rFonts w:cs="Calibri"/>
                <w:color w:val="FFFFFF" w:themeColor="background1"/>
                <w:sz w:val="18"/>
                <w:szCs w:val="18"/>
              </w:rPr>
              <w:t>Examples of systematic ordering or grouping of the notes include:</w:t>
            </w:r>
          </w:p>
          <w:p w14:paraId="67FD6040" w14:textId="77777777" w:rsidR="00603743" w:rsidRPr="00814CFD" w:rsidRDefault="00603743" w:rsidP="00CB31DE">
            <w:pPr>
              <w:pStyle w:val="CommentaryText"/>
              <w:numPr>
                <w:ilvl w:val="0"/>
                <w:numId w:val="21"/>
              </w:numPr>
              <w:tabs>
                <w:tab w:val="left" w:pos="3306"/>
              </w:tabs>
              <w:spacing w:after="0"/>
              <w:rPr>
                <w:rFonts w:cs="Calibri"/>
                <w:color w:val="FFFFFF" w:themeColor="background1"/>
                <w:sz w:val="18"/>
                <w:szCs w:val="18"/>
              </w:rPr>
            </w:pPr>
            <w:r w:rsidRPr="00814CFD">
              <w:rPr>
                <w:rFonts w:cs="Calibri"/>
                <w:color w:val="FFFFFF" w:themeColor="background1"/>
                <w:sz w:val="18"/>
                <w:szCs w:val="18"/>
              </w:rPr>
              <w:t>giving prominence to the areas of activities that the agency considers most relevant to an understanding of its operating statement and balance sheet, such as grouping together information about particular operating activities;</w:t>
            </w:r>
          </w:p>
          <w:p w14:paraId="7E625EDF" w14:textId="77777777" w:rsidR="00603743" w:rsidRPr="00814CFD" w:rsidRDefault="00603743" w:rsidP="00CB31DE">
            <w:pPr>
              <w:pStyle w:val="CommentaryText"/>
              <w:numPr>
                <w:ilvl w:val="0"/>
                <w:numId w:val="21"/>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grouping together information about items measured similarly such as assets measured at fair value; or</w:t>
            </w:r>
          </w:p>
          <w:p w14:paraId="1EDE993C" w14:textId="77777777" w:rsidR="00603743" w:rsidRPr="00814CFD" w:rsidRDefault="00603743" w:rsidP="00CB31DE">
            <w:pPr>
              <w:pStyle w:val="CommentaryText"/>
              <w:numPr>
                <w:ilvl w:val="0"/>
                <w:numId w:val="21"/>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following the order of the line items in the operating statement and the balance sheet, such as:</w:t>
            </w:r>
          </w:p>
          <w:p w14:paraId="5CA94EF6" w14:textId="77777777" w:rsidR="00603743" w:rsidRPr="00814CFD" w:rsidRDefault="00603743" w:rsidP="00CB31DE">
            <w:pPr>
              <w:pStyle w:val="CommentaryText"/>
              <w:numPr>
                <w:ilvl w:val="0"/>
                <w:numId w:val="6"/>
              </w:numPr>
              <w:tabs>
                <w:tab w:val="clear" w:pos="360"/>
                <w:tab w:val="num" w:pos="519"/>
                <w:tab w:val="left" w:pos="803"/>
              </w:tabs>
              <w:ind w:left="357" w:firstLine="17"/>
              <w:rPr>
                <w:rFonts w:cs="Calibri"/>
                <w:color w:val="FFFFFF" w:themeColor="background1"/>
                <w:sz w:val="18"/>
                <w:szCs w:val="18"/>
              </w:rPr>
            </w:pPr>
            <w:r w:rsidRPr="00814CFD">
              <w:rPr>
                <w:rFonts w:cs="Calibri"/>
                <w:color w:val="FFFFFF" w:themeColor="background1"/>
                <w:sz w:val="18"/>
                <w:szCs w:val="18"/>
              </w:rPr>
              <w:t>a statement of compliance with IFRSs*;</w:t>
            </w:r>
          </w:p>
          <w:p w14:paraId="53C06327" w14:textId="77777777" w:rsidR="00603743" w:rsidRPr="00814CFD" w:rsidRDefault="00603743" w:rsidP="00CB31DE">
            <w:pPr>
              <w:pStyle w:val="CommentaryText"/>
              <w:numPr>
                <w:ilvl w:val="0"/>
                <w:numId w:val="6"/>
              </w:numPr>
              <w:tabs>
                <w:tab w:val="clear" w:pos="360"/>
                <w:tab w:val="num" w:pos="803"/>
              </w:tabs>
              <w:ind w:left="803" w:hanging="426"/>
              <w:rPr>
                <w:rFonts w:cs="Calibri"/>
                <w:color w:val="FFFFFF" w:themeColor="background1"/>
                <w:sz w:val="18"/>
                <w:szCs w:val="18"/>
              </w:rPr>
            </w:pPr>
            <w:r w:rsidRPr="00814CFD">
              <w:rPr>
                <w:rFonts w:cs="Calibri"/>
                <w:color w:val="FFFFFF" w:themeColor="background1"/>
                <w:sz w:val="18"/>
                <w:szCs w:val="18"/>
              </w:rPr>
              <w:t>supporting information for items presented in the Operating Statement, Balance Sheet, Statement of Changes in Equity and Statement of Cash Flows, in the order in which each statement and each line item is presented; and</w:t>
            </w:r>
          </w:p>
          <w:p w14:paraId="16A8A27E" w14:textId="77777777" w:rsidR="00603743" w:rsidRPr="00814CFD" w:rsidRDefault="00603743" w:rsidP="00CB31DE">
            <w:pPr>
              <w:pStyle w:val="CommentaryText"/>
              <w:numPr>
                <w:ilvl w:val="0"/>
                <w:numId w:val="6"/>
              </w:numPr>
              <w:spacing w:after="0"/>
              <w:ind w:firstLine="17"/>
              <w:rPr>
                <w:rFonts w:cs="Calibri"/>
                <w:color w:val="FFFFFF" w:themeColor="background1"/>
                <w:sz w:val="18"/>
                <w:szCs w:val="18"/>
              </w:rPr>
            </w:pPr>
            <w:r w:rsidRPr="00814CFD">
              <w:rPr>
                <w:rFonts w:cs="Calibri"/>
                <w:color w:val="FFFFFF" w:themeColor="background1"/>
                <w:sz w:val="18"/>
                <w:szCs w:val="18"/>
              </w:rPr>
              <w:t>other disclosures, including:</w:t>
            </w:r>
          </w:p>
          <w:p w14:paraId="5E6E6EA6" w14:textId="77777777" w:rsidR="00603743" w:rsidRPr="00814CFD" w:rsidRDefault="00603743" w:rsidP="00CB31DE">
            <w:pPr>
              <w:pStyle w:val="CommentaryText"/>
              <w:numPr>
                <w:ilvl w:val="1"/>
                <w:numId w:val="6"/>
              </w:numPr>
              <w:tabs>
                <w:tab w:val="left" w:pos="1370"/>
              </w:tabs>
              <w:spacing w:after="0"/>
              <w:ind w:hanging="407"/>
              <w:rPr>
                <w:rFonts w:cs="Calibri"/>
                <w:color w:val="FFFFFF" w:themeColor="background1"/>
                <w:sz w:val="18"/>
                <w:szCs w:val="18"/>
              </w:rPr>
            </w:pPr>
            <w:r w:rsidRPr="00814CFD">
              <w:rPr>
                <w:rFonts w:cs="Calibri"/>
                <w:color w:val="FFFFFF" w:themeColor="background1"/>
                <w:sz w:val="18"/>
                <w:szCs w:val="18"/>
              </w:rPr>
              <w:t>contingent liabilities and unrecognised contractual commitments; and</w:t>
            </w:r>
          </w:p>
          <w:p w14:paraId="5138D6FF" w14:textId="756D653B" w:rsidR="00603743" w:rsidRPr="00814CFD" w:rsidRDefault="00603743" w:rsidP="00CB31DE">
            <w:pPr>
              <w:pStyle w:val="CommentaryText"/>
              <w:numPr>
                <w:ilvl w:val="1"/>
                <w:numId w:val="6"/>
              </w:numPr>
              <w:tabs>
                <w:tab w:val="left" w:pos="3306"/>
              </w:tabs>
              <w:spacing w:after="0"/>
              <w:ind w:hanging="407"/>
              <w:rPr>
                <w:rFonts w:cs="Calibri"/>
                <w:color w:val="FFFFFF" w:themeColor="background1"/>
                <w:sz w:val="18"/>
                <w:szCs w:val="18"/>
              </w:rPr>
            </w:pPr>
            <w:r w:rsidRPr="00814CFD">
              <w:rPr>
                <w:rFonts w:cs="Calibri"/>
                <w:color w:val="FFFFFF" w:themeColor="background1"/>
                <w:sz w:val="18"/>
                <w:szCs w:val="18"/>
              </w:rPr>
              <w:t>non-financial disclosures, for example the agency’s financial risk management objectives and policies.</w:t>
            </w:r>
          </w:p>
        </w:tc>
      </w:tr>
      <w:tr w:rsidR="00603743" w:rsidRPr="00CF7E1B" w14:paraId="248A5A48" w14:textId="77777777" w:rsidTr="00B66382">
        <w:tc>
          <w:tcPr>
            <w:tcW w:w="743" w:type="pct"/>
            <w:tcBorders>
              <w:left w:val="single" w:sz="2" w:space="0" w:color="000000" w:themeColor="text1"/>
              <w:right w:val="single" w:sz="2" w:space="0" w:color="000000" w:themeColor="text1"/>
            </w:tcBorders>
          </w:tcPr>
          <w:p w14:paraId="25156747" w14:textId="5ABF0E02"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101.3</w:t>
            </w:r>
          </w:p>
          <w:p w14:paraId="4127D0BB" w14:textId="77777777"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1054.7</w:t>
            </w:r>
          </w:p>
          <w:p w14:paraId="2F7F69C8" w14:textId="77777777" w:rsidR="00603743" w:rsidRPr="00814CFD" w:rsidRDefault="00603743" w:rsidP="00603743">
            <w:pPr>
              <w:pStyle w:val="TableReference"/>
              <w:tabs>
                <w:tab w:val="left" w:pos="3306"/>
              </w:tabs>
              <w:spacing w:before="60"/>
              <w:rPr>
                <w:color w:val="7030A0"/>
                <w:sz w:val="14"/>
              </w:rPr>
            </w:pPr>
            <w:r w:rsidRPr="00814CFD">
              <w:rPr>
                <w:color w:val="7030A0"/>
                <w:sz w:val="14"/>
              </w:rPr>
              <w:t xml:space="preserve">AASB 101.16 </w:t>
            </w:r>
          </w:p>
          <w:p w14:paraId="6876C87F" w14:textId="4609DAF3" w:rsidR="00603743" w:rsidRPr="00814CFD" w:rsidRDefault="00603743" w:rsidP="00603743">
            <w:pPr>
              <w:pStyle w:val="TableReference"/>
              <w:tabs>
                <w:tab w:val="left" w:pos="3306"/>
              </w:tabs>
              <w:rPr>
                <w:rFonts w:cs="Calibri"/>
                <w:color w:val="7030A0"/>
                <w:sz w:val="16"/>
                <w:szCs w:val="16"/>
              </w:rPr>
            </w:pPr>
            <w:r w:rsidRPr="00814CFD">
              <w:rPr>
                <w:color w:val="7030A0"/>
                <w:sz w:val="14"/>
              </w:rPr>
              <w:t>AASB 101.Aus16.2</w:t>
            </w:r>
          </w:p>
        </w:tc>
        <w:tc>
          <w:tcPr>
            <w:tcW w:w="4257" w:type="pct"/>
            <w:tcBorders>
              <w:left w:val="single" w:sz="2" w:space="0" w:color="000000" w:themeColor="text1"/>
            </w:tcBorders>
            <w:shd w:val="clear" w:color="auto" w:fill="7030A0"/>
          </w:tcPr>
          <w:p w14:paraId="2FF6A7A6" w14:textId="73163C64" w:rsidR="00603743" w:rsidRPr="00814CFD" w:rsidRDefault="00603743" w:rsidP="00BF7D65">
            <w:pPr>
              <w:pStyle w:val="CommentaryHeading"/>
              <w:tabs>
                <w:tab w:val="left" w:pos="3306"/>
              </w:tabs>
              <w:spacing w:after="0"/>
              <w:jc w:val="both"/>
              <w:rPr>
                <w:rFonts w:cs="Calibri"/>
                <w:b w:val="0"/>
                <w:bCs w:val="0"/>
                <w:color w:val="FFFFFF" w:themeColor="background1"/>
                <w:sz w:val="18"/>
              </w:rPr>
            </w:pPr>
            <w:r w:rsidRPr="00814CFD">
              <w:rPr>
                <w:rFonts w:cs="Calibri"/>
                <w:b w:val="0"/>
                <w:bCs w:val="0"/>
                <w:color w:val="FFFFFF" w:themeColor="background1"/>
                <w:sz w:val="18"/>
              </w:rPr>
              <w:t>*Note: ACT Government agencies cannot make a statement of compliance with IFRSs but shall make a statement of compliance with Australian Accounting Standards.</w:t>
            </w:r>
            <w:r w:rsidR="00FA7C77">
              <w:rPr>
                <w:rFonts w:cs="Calibri"/>
                <w:b w:val="0"/>
                <w:bCs w:val="0"/>
                <w:color w:val="FFFFFF" w:themeColor="background1"/>
                <w:sz w:val="18"/>
              </w:rPr>
              <w:t xml:space="preserve"> </w:t>
            </w:r>
            <w:r w:rsidRPr="00814CFD">
              <w:rPr>
                <w:rFonts w:cs="Calibri"/>
                <w:b w:val="0"/>
                <w:bCs w:val="0"/>
                <w:color w:val="FFFFFF" w:themeColor="background1"/>
                <w:sz w:val="18"/>
              </w:rPr>
              <w:t>The Model includes this statement of compliance in Note 2 </w:t>
            </w:r>
            <w:r w:rsidR="001F7F23" w:rsidRPr="00814CFD">
              <w:rPr>
                <w:rFonts w:cs="Calibri"/>
                <w:b w:val="0"/>
                <w:bCs w:val="0"/>
                <w:i/>
                <w:iCs/>
                <w:color w:val="FFFFFF" w:themeColor="background1"/>
                <w:sz w:val="18"/>
              </w:rPr>
              <w:t>Basis of Preparation of the Financial Statements</w:t>
            </w:r>
            <w:r w:rsidRPr="00814CFD">
              <w:rPr>
                <w:rFonts w:cs="Calibri"/>
                <w:b w:val="0"/>
                <w:bCs w:val="0"/>
                <w:color w:val="FFFFFF" w:themeColor="background1"/>
                <w:sz w:val="18"/>
              </w:rPr>
              <w:t>.</w:t>
            </w:r>
            <w:r w:rsidR="00FA7C77">
              <w:rPr>
                <w:rFonts w:cs="Calibri"/>
                <w:b w:val="0"/>
                <w:bCs w:val="0"/>
                <w:color w:val="FFFFFF" w:themeColor="background1"/>
                <w:sz w:val="18"/>
              </w:rPr>
              <w:t xml:space="preserve"> </w:t>
            </w:r>
            <w:r w:rsidRPr="00814CFD">
              <w:rPr>
                <w:b w:val="0"/>
                <w:bCs w:val="0"/>
                <w:color w:val="FFFFFF" w:themeColor="background1"/>
                <w:sz w:val="18"/>
              </w:rPr>
              <w:t>However, 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r w:rsidR="00FA7C77">
              <w:rPr>
                <w:b w:val="0"/>
                <w:bCs w:val="0"/>
                <w:color w:val="FFFFFF" w:themeColor="background1"/>
                <w:sz w:val="18"/>
              </w:rPr>
              <w:t xml:space="preserve"> </w:t>
            </w:r>
            <w:r w:rsidRPr="00814CFD">
              <w:rPr>
                <w:b w:val="0"/>
                <w:bCs w:val="0"/>
                <w:color w:val="FFFFFF" w:themeColor="background1"/>
                <w:sz w:val="18"/>
              </w:rPr>
              <w:t xml:space="preserve">This circumstance arises when the entity is a for-profit government agency to which particular standards apply, such as AASB 1004 </w:t>
            </w:r>
            <w:r w:rsidRPr="00814CFD">
              <w:rPr>
                <w:b w:val="0"/>
                <w:bCs w:val="0"/>
                <w:i/>
                <w:iCs/>
                <w:color w:val="FFFFFF" w:themeColor="background1"/>
                <w:sz w:val="18"/>
              </w:rPr>
              <w:t>Contributions</w:t>
            </w:r>
            <w:r w:rsidRPr="00814CFD">
              <w:rPr>
                <w:b w:val="0"/>
                <w:bCs w:val="0"/>
                <w:color w:val="FFFFFF" w:themeColor="background1"/>
                <w:sz w:val="18"/>
              </w:rPr>
              <w:t>, and to which Aus paragraphs in various other Australian Accounting Standards apply, and the entity applies a requirement that is inconsistent with an IFRS requirement.</w:t>
            </w:r>
          </w:p>
        </w:tc>
      </w:tr>
      <w:tr w:rsidR="00603743" w:rsidRPr="00CF7E1B" w14:paraId="1299E46A" w14:textId="77777777" w:rsidTr="00B66382">
        <w:tc>
          <w:tcPr>
            <w:tcW w:w="743" w:type="pct"/>
            <w:tcBorders>
              <w:left w:val="single" w:sz="2" w:space="0" w:color="000000" w:themeColor="text1"/>
              <w:right w:val="single" w:sz="2" w:space="0" w:color="000000" w:themeColor="text1"/>
            </w:tcBorders>
          </w:tcPr>
          <w:p w14:paraId="7A3926FE"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7D99DC00" w14:textId="77777777" w:rsidR="00603743" w:rsidRPr="00950179" w:rsidRDefault="00603743" w:rsidP="00CC1E25">
            <w:pPr>
              <w:pStyle w:val="CommentaryHeading"/>
              <w:tabs>
                <w:tab w:val="left" w:pos="3306"/>
              </w:tabs>
              <w:spacing w:after="40"/>
              <w:rPr>
                <w:rFonts w:cs="Calibri"/>
                <w:color w:val="FFFFFF" w:themeColor="background1"/>
                <w:szCs w:val="20"/>
              </w:rPr>
            </w:pPr>
            <w:r w:rsidRPr="00950179">
              <w:rPr>
                <w:rFonts w:cs="Calibri"/>
                <w:color w:val="FFFFFF" w:themeColor="background1"/>
                <w:szCs w:val="20"/>
              </w:rPr>
              <w:t>Additional Information</w:t>
            </w:r>
          </w:p>
        </w:tc>
      </w:tr>
      <w:tr w:rsidR="00603743" w:rsidRPr="00CF7E1B" w14:paraId="29D94D6C" w14:textId="77777777" w:rsidTr="00B66382">
        <w:tc>
          <w:tcPr>
            <w:tcW w:w="743" w:type="pct"/>
            <w:tcBorders>
              <w:left w:val="single" w:sz="2" w:space="0" w:color="000000" w:themeColor="text1"/>
              <w:right w:val="single" w:sz="2" w:space="0" w:color="000000" w:themeColor="text1"/>
            </w:tcBorders>
          </w:tcPr>
          <w:p w14:paraId="34DC6617"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101.112(b) &amp;(c)</w:t>
            </w:r>
          </w:p>
        </w:tc>
        <w:tc>
          <w:tcPr>
            <w:tcW w:w="4257" w:type="pct"/>
            <w:tcBorders>
              <w:left w:val="single" w:sz="2" w:space="0" w:color="000000" w:themeColor="text1"/>
            </w:tcBorders>
            <w:shd w:val="clear" w:color="auto" w:fill="7030A0"/>
          </w:tcPr>
          <w:p w14:paraId="064540F3" w14:textId="2E9413D9"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The notes must disclose additional information that is not presented </w:t>
            </w:r>
            <w:r w:rsidR="004A1999" w:rsidRPr="00C93ED0">
              <w:rPr>
                <w:rFonts w:cs="Calibri"/>
                <w:color w:val="FF0000"/>
                <w:sz w:val="18"/>
                <w:szCs w:val="18"/>
              </w:rPr>
              <w:t xml:space="preserve">on the face of </w:t>
            </w:r>
            <w:r w:rsidRPr="00C93ED0">
              <w:rPr>
                <w:rFonts w:cs="Calibri"/>
                <w:strike/>
                <w:color w:val="FF0000"/>
                <w:sz w:val="18"/>
                <w:szCs w:val="18"/>
              </w:rPr>
              <w:t xml:space="preserve">in </w:t>
            </w:r>
            <w:r w:rsidRPr="00C93ED0">
              <w:rPr>
                <w:rFonts w:cs="Calibri"/>
                <w:color w:val="FFFFFF" w:themeColor="background1"/>
                <w:sz w:val="18"/>
                <w:szCs w:val="18"/>
              </w:rPr>
              <w:t xml:space="preserve">the financial </w:t>
            </w:r>
            <w:r w:rsidRPr="00814CFD">
              <w:rPr>
                <w:rFonts w:cs="Calibri"/>
                <w:color w:val="FFFFFF" w:themeColor="background1"/>
                <w:sz w:val="18"/>
                <w:szCs w:val="18"/>
              </w:rPr>
              <w:t>statements as required by Australian Accounting Standards</w:t>
            </w:r>
            <w:r w:rsidR="001F7F23" w:rsidRPr="00814CFD">
              <w:rPr>
                <w:rFonts w:cs="Calibri"/>
                <w:color w:val="FFFFFF" w:themeColor="background1"/>
                <w:sz w:val="18"/>
                <w:szCs w:val="18"/>
              </w:rPr>
              <w:t>, ACT Disclosure Policy</w:t>
            </w:r>
            <w:r w:rsidRPr="00814CFD">
              <w:rPr>
                <w:rFonts w:cs="Calibri"/>
                <w:color w:val="FFFFFF" w:themeColor="background1"/>
                <w:sz w:val="18"/>
                <w:szCs w:val="18"/>
              </w:rPr>
              <w:t xml:space="preserve"> and where it is necessary to enable an assessment of the agency’s financial performance and financial position to be made.</w:t>
            </w:r>
          </w:p>
        </w:tc>
      </w:tr>
    </w:tbl>
    <w:p w14:paraId="27CB5E99" w14:textId="77777777" w:rsidR="00574DE1" w:rsidRDefault="00574DE1">
      <w:pPr>
        <w:tabs>
          <w:tab w:val="left" w:pos="3306"/>
        </w:tabs>
        <w:rPr>
          <w:rFonts w:cs="Calibri"/>
        </w:rPr>
        <w:sectPr w:rsidR="00574DE1" w:rsidSect="00206D31">
          <w:headerReference w:type="default" r:id="rId21"/>
          <w:footnotePr>
            <w:numRestart w:val="eachPage"/>
          </w:footnotePr>
          <w:pgSz w:w="11907" w:h="16840" w:code="9"/>
          <w:pgMar w:top="1134" w:right="1134" w:bottom="567" w:left="1134" w:header="426" w:footer="388" w:gutter="0"/>
          <w:cols w:space="720"/>
        </w:sectPr>
      </w:pPr>
    </w:p>
    <w:p w14:paraId="14507FF3" w14:textId="0B7A4DE2" w:rsidR="00272522" w:rsidRPr="00F54064" w:rsidRDefault="000144FF" w:rsidP="008238E7">
      <w:pPr>
        <w:spacing w:line="400" w:lineRule="exact"/>
        <w:jc w:val="center"/>
        <w:rPr>
          <w:rFonts w:asciiTheme="minorHAnsi" w:hAnsiTheme="minorHAnsi" w:cstheme="minorHAnsi"/>
          <w:b/>
          <w:sz w:val="40"/>
          <w:szCs w:val="40"/>
        </w:rPr>
      </w:pPr>
      <w:bookmarkStart w:id="138" w:name="_Toc194918638"/>
      <w:r w:rsidRPr="00F54064">
        <w:rPr>
          <w:rFonts w:asciiTheme="minorHAnsi" w:hAnsiTheme="minorHAnsi" w:cstheme="minorHAnsi"/>
          <w:b/>
          <w:sz w:val="40"/>
          <w:szCs w:val="40"/>
        </w:rPr>
        <w:t>‘</w:t>
      </w:r>
      <w:r w:rsidR="007D5C59" w:rsidRPr="00F54064">
        <w:rPr>
          <w:rFonts w:asciiTheme="minorHAnsi" w:hAnsiTheme="minorHAnsi" w:cstheme="minorHAnsi"/>
          <w:b/>
          <w:sz w:val="40"/>
          <w:szCs w:val="40"/>
        </w:rPr>
        <w:t>Burley Griffin</w:t>
      </w:r>
      <w:r w:rsidRPr="00F54064">
        <w:rPr>
          <w:rFonts w:asciiTheme="minorHAnsi" w:hAnsiTheme="minorHAnsi" w:cstheme="minorHAnsi"/>
          <w:b/>
          <w:sz w:val="40"/>
          <w:szCs w:val="40"/>
        </w:rPr>
        <w:t xml:space="preserve"> </w:t>
      </w:r>
      <w:r w:rsidR="005C6BD1" w:rsidRPr="00F54064">
        <w:rPr>
          <w:rFonts w:asciiTheme="minorHAnsi" w:hAnsiTheme="minorHAnsi" w:cstheme="minorHAnsi"/>
          <w:b/>
          <w:sz w:val="40"/>
          <w:szCs w:val="40"/>
        </w:rPr>
        <w:t>Agency</w:t>
      </w:r>
      <w:r w:rsidRPr="00F54064">
        <w:rPr>
          <w:rFonts w:asciiTheme="minorHAnsi" w:hAnsiTheme="minorHAnsi" w:cstheme="minorHAnsi"/>
          <w:b/>
          <w:sz w:val="40"/>
          <w:szCs w:val="40"/>
        </w:rPr>
        <w:t>’</w:t>
      </w:r>
      <w:bookmarkEnd w:id="138"/>
    </w:p>
    <w:p w14:paraId="6F4953C8" w14:textId="77777777" w:rsidR="000144FF" w:rsidRPr="00F54064" w:rsidRDefault="00272522" w:rsidP="00574DE1">
      <w:pPr>
        <w:pStyle w:val="Subtitle"/>
        <w:spacing w:line="400" w:lineRule="exact"/>
        <w:rPr>
          <w:rFonts w:asciiTheme="minorHAnsi" w:hAnsiTheme="minorHAnsi" w:cstheme="minorHAnsi"/>
        </w:rPr>
      </w:pPr>
      <w:bookmarkStart w:id="139" w:name="_Toc400627308"/>
      <w:bookmarkStart w:id="140" w:name="_Toc132743762"/>
      <w:r w:rsidRPr="00F54064">
        <w:rPr>
          <w:rFonts w:asciiTheme="minorHAnsi" w:hAnsiTheme="minorHAnsi" w:cstheme="minorHAnsi"/>
        </w:rPr>
        <w:t>Operating Statement</w:t>
      </w:r>
      <w:bookmarkEnd w:id="139"/>
      <w:bookmarkEnd w:id="140"/>
    </w:p>
    <w:p w14:paraId="6B201CEF" w14:textId="627B66C6" w:rsidR="000144FF" w:rsidRPr="00F54064" w:rsidRDefault="000144FF" w:rsidP="00574DE1">
      <w:pPr>
        <w:spacing w:line="400" w:lineRule="exact"/>
        <w:jc w:val="center"/>
        <w:rPr>
          <w:rFonts w:asciiTheme="minorHAnsi" w:hAnsiTheme="minorHAnsi" w:cstheme="minorHAnsi"/>
          <w:b/>
          <w:sz w:val="40"/>
          <w:szCs w:val="40"/>
        </w:rPr>
      </w:pPr>
      <w:bookmarkStart w:id="141" w:name="_Toc48468209"/>
      <w:bookmarkStart w:id="142" w:name="_Toc49155404"/>
      <w:r w:rsidRPr="00F54064">
        <w:rPr>
          <w:rFonts w:asciiTheme="minorHAnsi" w:hAnsiTheme="minorHAnsi" w:cstheme="minorHAnsi"/>
          <w:b/>
          <w:sz w:val="40"/>
          <w:szCs w:val="40"/>
        </w:rPr>
        <w:t xml:space="preserve">For the Year Ended 30 June </w:t>
      </w:r>
      <w:bookmarkEnd w:id="141"/>
      <w:bookmarkEnd w:id="142"/>
      <w:r w:rsidR="00C66E0D" w:rsidRPr="00F54064">
        <w:rPr>
          <w:rFonts w:asciiTheme="minorHAnsi" w:hAnsiTheme="minorHAnsi" w:cstheme="minorHAnsi"/>
          <w:b/>
          <w:sz w:val="40"/>
          <w:szCs w:val="40"/>
        </w:rPr>
        <w:t>202</w:t>
      </w:r>
      <w:r w:rsidR="00D50594">
        <w:rPr>
          <w:rFonts w:asciiTheme="minorHAnsi" w:hAnsiTheme="minorHAnsi" w:cstheme="minorHAnsi"/>
          <w:b/>
          <w:sz w:val="40"/>
          <w:szCs w:val="40"/>
        </w:rPr>
        <w:t>3</w:t>
      </w:r>
    </w:p>
    <w:tbl>
      <w:tblPr>
        <w:tblW w:w="5005"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4749"/>
        <w:gridCol w:w="638"/>
        <w:gridCol w:w="1185"/>
        <w:gridCol w:w="1185"/>
        <w:gridCol w:w="1185"/>
      </w:tblGrid>
      <w:tr w:rsidR="000144FF" w:rsidRPr="00CF7E1B" w14:paraId="1EB4CF5D" w14:textId="77777777" w:rsidTr="00B66382">
        <w:trPr>
          <w:cantSplit/>
          <w:trHeight w:val="20"/>
        </w:trPr>
        <w:tc>
          <w:tcPr>
            <w:tcW w:w="1613" w:type="dxa"/>
            <w:tcBorders>
              <w:top w:val="nil"/>
              <w:left w:val="single" w:sz="2" w:space="0" w:color="auto"/>
              <w:bottom w:val="nil"/>
              <w:right w:val="single" w:sz="2" w:space="0" w:color="auto"/>
            </w:tcBorders>
          </w:tcPr>
          <w:p w14:paraId="4A02F1A3" w14:textId="77777777" w:rsidR="000144FF" w:rsidRPr="00F54064" w:rsidRDefault="000144FF" w:rsidP="003A523A">
            <w:pPr>
              <w:pStyle w:val="Reference"/>
              <w:tabs>
                <w:tab w:val="left" w:pos="3306"/>
              </w:tabs>
              <w:spacing w:before="240"/>
              <w:rPr>
                <w:rFonts w:cs="Calibri"/>
                <w:color w:val="7030A0"/>
                <w:sz w:val="22"/>
                <w:szCs w:val="22"/>
              </w:rPr>
            </w:pPr>
            <w:bookmarkStart w:id="143" w:name="_Toc48468210"/>
            <w:bookmarkStart w:id="144" w:name="_Toc49155405"/>
            <w:bookmarkStart w:id="145" w:name="_Toc49223851"/>
            <w:bookmarkStart w:id="146" w:name="_Hlk104839822"/>
            <w:r w:rsidRPr="00F54064">
              <w:rPr>
                <w:rFonts w:cs="Calibri"/>
                <w:color w:val="7030A0"/>
                <w:sz w:val="22"/>
                <w:szCs w:val="22"/>
              </w:rPr>
              <w:t>Reference</w:t>
            </w:r>
            <w:bookmarkEnd w:id="143"/>
            <w:bookmarkEnd w:id="144"/>
            <w:bookmarkEnd w:id="145"/>
          </w:p>
        </w:tc>
        <w:tc>
          <w:tcPr>
            <w:tcW w:w="4749" w:type="dxa"/>
            <w:tcBorders>
              <w:top w:val="nil"/>
              <w:left w:val="single" w:sz="2" w:space="0" w:color="auto"/>
              <w:bottom w:val="nil"/>
              <w:right w:val="nil"/>
            </w:tcBorders>
            <w:vAlign w:val="bottom"/>
          </w:tcPr>
          <w:p w14:paraId="6DFCDAF2" w14:textId="77777777" w:rsidR="000144FF" w:rsidRPr="00F54064" w:rsidRDefault="000144FF" w:rsidP="003A523A">
            <w:pPr>
              <w:tabs>
                <w:tab w:val="left" w:pos="3306"/>
              </w:tabs>
              <w:rPr>
                <w:rFonts w:cs="Calibri"/>
              </w:rPr>
            </w:pPr>
          </w:p>
        </w:tc>
        <w:tc>
          <w:tcPr>
            <w:tcW w:w="638" w:type="dxa"/>
            <w:tcBorders>
              <w:top w:val="nil"/>
              <w:left w:val="nil"/>
              <w:bottom w:val="nil"/>
              <w:right w:val="nil"/>
            </w:tcBorders>
            <w:vAlign w:val="bottom"/>
          </w:tcPr>
          <w:p w14:paraId="186862DD" w14:textId="77777777" w:rsidR="000144FF" w:rsidRPr="00F54064" w:rsidRDefault="000144FF" w:rsidP="003A523A">
            <w:pPr>
              <w:pStyle w:val="TableTitle"/>
              <w:tabs>
                <w:tab w:val="left" w:pos="3306"/>
              </w:tabs>
              <w:jc w:val="center"/>
              <w:rPr>
                <w:rFonts w:cs="Calibri"/>
              </w:rPr>
            </w:pPr>
            <w:r w:rsidRPr="00F54064">
              <w:rPr>
                <w:rFonts w:cs="Calibri"/>
              </w:rPr>
              <w:t>Note No.</w:t>
            </w:r>
          </w:p>
        </w:tc>
        <w:tc>
          <w:tcPr>
            <w:tcW w:w="1185" w:type="dxa"/>
            <w:tcBorders>
              <w:top w:val="nil"/>
              <w:left w:val="nil"/>
              <w:bottom w:val="nil"/>
              <w:right w:val="nil"/>
            </w:tcBorders>
            <w:vAlign w:val="bottom"/>
          </w:tcPr>
          <w:p w14:paraId="77A56FF4" w14:textId="77777777" w:rsidR="000144FF" w:rsidRPr="00F54064" w:rsidRDefault="000144FF" w:rsidP="003A523A">
            <w:pPr>
              <w:pStyle w:val="TableTitle"/>
              <w:tabs>
                <w:tab w:val="left" w:pos="3306"/>
              </w:tabs>
              <w:rPr>
                <w:rFonts w:cs="Calibri"/>
              </w:rPr>
            </w:pPr>
            <w:r w:rsidRPr="00F54064">
              <w:rPr>
                <w:rFonts w:cs="Calibri"/>
              </w:rPr>
              <w:t>Actual</w:t>
            </w:r>
          </w:p>
          <w:p w14:paraId="20C4E246" w14:textId="521E2C22" w:rsidR="000144FF" w:rsidRPr="00F54064" w:rsidRDefault="001B231B" w:rsidP="003A523A">
            <w:pPr>
              <w:pStyle w:val="TableTitle"/>
              <w:tabs>
                <w:tab w:val="left" w:pos="3306"/>
              </w:tabs>
              <w:rPr>
                <w:rFonts w:cs="Calibri"/>
              </w:rPr>
            </w:pPr>
            <w:r w:rsidRPr="00F54064">
              <w:rPr>
                <w:rFonts w:cs="Calibri"/>
              </w:rPr>
              <w:t>202</w:t>
            </w:r>
            <w:r w:rsidR="00D50594">
              <w:rPr>
                <w:rFonts w:cs="Calibri"/>
              </w:rPr>
              <w:t>3</w:t>
            </w:r>
          </w:p>
          <w:p w14:paraId="3C294A02"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708F982" w14:textId="77777777" w:rsidR="000144FF" w:rsidRPr="00F54064" w:rsidRDefault="000144FF" w:rsidP="003A523A">
            <w:pPr>
              <w:pStyle w:val="TableTitle"/>
              <w:tabs>
                <w:tab w:val="left" w:pos="3306"/>
              </w:tabs>
              <w:rPr>
                <w:rFonts w:cs="Calibri"/>
              </w:rPr>
            </w:pPr>
            <w:r w:rsidRPr="00F54064">
              <w:rPr>
                <w:rFonts w:cs="Calibri"/>
              </w:rPr>
              <w:t xml:space="preserve">Original Budget </w:t>
            </w:r>
          </w:p>
          <w:p w14:paraId="143FAD70" w14:textId="2E66E2D6" w:rsidR="001B231B" w:rsidRPr="00F54064" w:rsidRDefault="001B231B" w:rsidP="001B231B">
            <w:pPr>
              <w:pStyle w:val="TableTitle"/>
              <w:tabs>
                <w:tab w:val="left" w:pos="3306"/>
              </w:tabs>
              <w:rPr>
                <w:rFonts w:cs="Calibri"/>
              </w:rPr>
            </w:pPr>
            <w:r w:rsidRPr="00F54064">
              <w:rPr>
                <w:rFonts w:cs="Calibri"/>
              </w:rPr>
              <w:t>202</w:t>
            </w:r>
            <w:r w:rsidR="00D50594">
              <w:rPr>
                <w:rFonts w:cs="Calibri"/>
              </w:rPr>
              <w:t>3</w:t>
            </w:r>
          </w:p>
          <w:p w14:paraId="3B252FB3"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CA3B5AE" w14:textId="77777777" w:rsidR="000144FF" w:rsidRPr="00F54064" w:rsidRDefault="000144FF" w:rsidP="003A523A">
            <w:pPr>
              <w:pStyle w:val="TableTitle"/>
              <w:tabs>
                <w:tab w:val="left" w:pos="3306"/>
              </w:tabs>
              <w:rPr>
                <w:rFonts w:cs="Calibri"/>
              </w:rPr>
            </w:pPr>
            <w:r w:rsidRPr="00F54064">
              <w:rPr>
                <w:rFonts w:cs="Calibri"/>
              </w:rPr>
              <w:t>Actual</w:t>
            </w:r>
          </w:p>
          <w:p w14:paraId="4F7D8AE8" w14:textId="25B6054A" w:rsidR="000144FF" w:rsidRPr="00F54064" w:rsidRDefault="00BD3162" w:rsidP="003A523A">
            <w:pPr>
              <w:pStyle w:val="TableTitle"/>
              <w:tabs>
                <w:tab w:val="left" w:pos="3306"/>
              </w:tabs>
              <w:rPr>
                <w:rFonts w:cs="Calibri"/>
              </w:rPr>
            </w:pPr>
            <w:r w:rsidRPr="00F54064">
              <w:rPr>
                <w:rFonts w:cs="Calibri"/>
              </w:rPr>
              <w:t>202</w:t>
            </w:r>
            <w:r w:rsidR="00D50594">
              <w:rPr>
                <w:rFonts w:cs="Calibri"/>
              </w:rPr>
              <w:t>2</w:t>
            </w:r>
          </w:p>
          <w:p w14:paraId="1E46D70D" w14:textId="77777777" w:rsidR="000144FF" w:rsidRPr="00F54064" w:rsidRDefault="000144FF" w:rsidP="003A523A">
            <w:pPr>
              <w:pStyle w:val="TableTitle"/>
              <w:tabs>
                <w:tab w:val="left" w:pos="3306"/>
              </w:tabs>
              <w:rPr>
                <w:rFonts w:cs="Calibri"/>
              </w:rPr>
            </w:pPr>
            <w:r w:rsidRPr="00F54064">
              <w:rPr>
                <w:rFonts w:cs="Calibri"/>
              </w:rPr>
              <w:t>$’000</w:t>
            </w:r>
          </w:p>
        </w:tc>
      </w:tr>
      <w:tr w:rsidR="0081339C" w:rsidRPr="0081339C" w14:paraId="58C1BE42" w14:textId="77777777" w:rsidTr="00B66382">
        <w:trPr>
          <w:cantSplit/>
          <w:trHeight w:val="20"/>
        </w:trPr>
        <w:tc>
          <w:tcPr>
            <w:tcW w:w="1613" w:type="dxa"/>
            <w:tcBorders>
              <w:top w:val="nil"/>
              <w:left w:val="single" w:sz="2" w:space="0" w:color="auto"/>
              <w:bottom w:val="nil"/>
              <w:right w:val="single" w:sz="2" w:space="0" w:color="auto"/>
            </w:tcBorders>
          </w:tcPr>
          <w:p w14:paraId="1983DAC2" w14:textId="77777777" w:rsidR="000144FF" w:rsidRPr="00F54064" w:rsidRDefault="00D001B7"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0144FF" w:rsidRPr="00F54064">
              <w:rPr>
                <w:rFonts w:cs="Calibri"/>
                <w:color w:val="7030A0"/>
                <w:sz w:val="14"/>
              </w:rPr>
              <w:t>8</w:t>
            </w:r>
            <w:r w:rsidR="00F23A9D" w:rsidRPr="00F54064">
              <w:rPr>
                <w:rFonts w:cs="Calibri"/>
                <w:color w:val="7030A0"/>
                <w:sz w:val="14"/>
              </w:rPr>
              <w:t>5</w:t>
            </w:r>
          </w:p>
        </w:tc>
        <w:tc>
          <w:tcPr>
            <w:tcW w:w="4749" w:type="dxa"/>
            <w:tcBorders>
              <w:top w:val="nil"/>
              <w:left w:val="single" w:sz="2" w:space="0" w:color="auto"/>
              <w:bottom w:val="nil"/>
              <w:right w:val="nil"/>
            </w:tcBorders>
            <w:vAlign w:val="bottom"/>
          </w:tcPr>
          <w:p w14:paraId="726C1240" w14:textId="77777777" w:rsidR="000144FF" w:rsidRPr="00F54064" w:rsidRDefault="000144FF">
            <w:pPr>
              <w:pStyle w:val="TableText"/>
              <w:tabs>
                <w:tab w:val="left" w:pos="3306"/>
              </w:tabs>
              <w:rPr>
                <w:rFonts w:cs="Calibri"/>
                <w:b/>
                <w:bCs/>
              </w:rPr>
            </w:pPr>
            <w:r w:rsidRPr="00F54064">
              <w:rPr>
                <w:rFonts w:cs="Calibri"/>
                <w:b/>
                <w:bCs/>
              </w:rPr>
              <w:t>Income</w:t>
            </w:r>
          </w:p>
        </w:tc>
        <w:tc>
          <w:tcPr>
            <w:tcW w:w="638" w:type="dxa"/>
            <w:tcBorders>
              <w:top w:val="nil"/>
              <w:left w:val="nil"/>
              <w:bottom w:val="nil"/>
              <w:right w:val="nil"/>
            </w:tcBorders>
            <w:vAlign w:val="bottom"/>
          </w:tcPr>
          <w:p w14:paraId="37050FEC"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58408F2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FC08A68"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88A9D4F" w14:textId="77777777" w:rsidR="000144FF" w:rsidRPr="00F54064" w:rsidRDefault="000144FF">
            <w:pPr>
              <w:pStyle w:val="TableText"/>
              <w:tabs>
                <w:tab w:val="left" w:pos="3306"/>
              </w:tabs>
              <w:jc w:val="right"/>
              <w:rPr>
                <w:rFonts w:cs="Calibri"/>
              </w:rPr>
            </w:pPr>
          </w:p>
        </w:tc>
      </w:tr>
      <w:tr w:rsidR="0081339C" w:rsidRPr="0081339C" w14:paraId="41F189E2" w14:textId="77777777" w:rsidTr="00B66382">
        <w:trPr>
          <w:cantSplit/>
          <w:trHeight w:val="20"/>
        </w:trPr>
        <w:tc>
          <w:tcPr>
            <w:tcW w:w="1613" w:type="dxa"/>
            <w:tcBorders>
              <w:top w:val="nil"/>
              <w:left w:val="single" w:sz="2" w:space="0" w:color="auto"/>
              <w:bottom w:val="nil"/>
              <w:right w:val="single" w:sz="2" w:space="0" w:color="auto"/>
            </w:tcBorders>
          </w:tcPr>
          <w:p w14:paraId="1BACCCA9"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Pr="00055621">
              <w:rPr>
                <w:rFonts w:cs="Calibri"/>
                <w:strike/>
                <w:color w:val="FF0000"/>
                <w:sz w:val="14"/>
              </w:rPr>
              <w:t>8</w:t>
            </w:r>
            <w:r w:rsidR="00F23A9D" w:rsidRPr="00055621">
              <w:rPr>
                <w:rFonts w:cs="Calibri"/>
                <w:strike/>
                <w:color w:val="FF0000"/>
                <w:sz w:val="14"/>
              </w:rPr>
              <w:t>2</w:t>
            </w:r>
            <w:r w:rsidRPr="00055621">
              <w:rPr>
                <w:rFonts w:cs="Calibri"/>
                <w:strike/>
                <w:color w:val="FF0000"/>
                <w:sz w:val="14"/>
              </w:rPr>
              <w:t>(a</w:t>
            </w:r>
            <w:r w:rsidR="000D0DE4" w:rsidRPr="00055621">
              <w:rPr>
                <w:rFonts w:cs="Calibri"/>
                <w:strike/>
                <w:color w:val="FF0000"/>
                <w:sz w:val="14"/>
              </w:rPr>
              <w:t>)</w:t>
            </w:r>
          </w:p>
        </w:tc>
        <w:tc>
          <w:tcPr>
            <w:tcW w:w="4749" w:type="dxa"/>
            <w:tcBorders>
              <w:top w:val="nil"/>
              <w:left w:val="single" w:sz="2" w:space="0" w:color="auto"/>
              <w:bottom w:val="nil"/>
              <w:right w:val="nil"/>
            </w:tcBorders>
            <w:vAlign w:val="bottom"/>
          </w:tcPr>
          <w:p w14:paraId="4F342B56" w14:textId="77777777" w:rsidR="000144FF" w:rsidRPr="00055621" w:rsidRDefault="000144FF">
            <w:pPr>
              <w:pStyle w:val="TableText"/>
              <w:tabs>
                <w:tab w:val="left" w:pos="3306"/>
              </w:tabs>
              <w:rPr>
                <w:rFonts w:cs="Calibri"/>
                <w:i/>
                <w:iCs/>
                <w:strike/>
                <w:color w:val="FF0000"/>
              </w:rPr>
            </w:pPr>
            <w:r w:rsidRPr="00055621">
              <w:rPr>
                <w:rFonts w:cs="Calibri"/>
                <w:i/>
                <w:iCs/>
                <w:strike/>
                <w:color w:val="FF0000"/>
              </w:rPr>
              <w:t xml:space="preserve">Revenue </w:t>
            </w:r>
          </w:p>
        </w:tc>
        <w:tc>
          <w:tcPr>
            <w:tcW w:w="638" w:type="dxa"/>
            <w:tcBorders>
              <w:top w:val="nil"/>
              <w:left w:val="nil"/>
              <w:bottom w:val="nil"/>
              <w:right w:val="nil"/>
            </w:tcBorders>
            <w:vAlign w:val="bottom"/>
          </w:tcPr>
          <w:p w14:paraId="1F6F6812"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FF84E9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3EC88DE"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44B9073" w14:textId="77777777" w:rsidR="000144FF" w:rsidRPr="00F54064" w:rsidRDefault="000144FF">
            <w:pPr>
              <w:pStyle w:val="TableText"/>
              <w:tabs>
                <w:tab w:val="left" w:pos="3306"/>
              </w:tabs>
              <w:jc w:val="right"/>
              <w:rPr>
                <w:rFonts w:cs="Calibri"/>
              </w:rPr>
            </w:pPr>
          </w:p>
        </w:tc>
      </w:tr>
      <w:tr w:rsidR="0081339C" w:rsidRPr="0081339C" w14:paraId="49C3F954" w14:textId="77777777" w:rsidTr="00B66382">
        <w:trPr>
          <w:cantSplit/>
          <w:trHeight w:val="20"/>
        </w:trPr>
        <w:tc>
          <w:tcPr>
            <w:tcW w:w="1613" w:type="dxa"/>
            <w:tcBorders>
              <w:top w:val="nil"/>
              <w:left w:val="single" w:sz="2" w:space="0" w:color="auto"/>
              <w:bottom w:val="nil"/>
              <w:right w:val="single" w:sz="2" w:space="0" w:color="auto"/>
            </w:tcBorders>
          </w:tcPr>
          <w:p w14:paraId="6A437179" w14:textId="6CBD97FE" w:rsidR="0098614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p w14:paraId="38652F03" w14:textId="77777777" w:rsidR="000144FF" w:rsidRPr="00F54064" w:rsidRDefault="0098614F" w:rsidP="00B11849">
            <w:pPr>
              <w:pStyle w:val="TableReference"/>
              <w:tabs>
                <w:tab w:val="left" w:pos="3306"/>
              </w:tabs>
              <w:spacing w:beforeLines="20" w:before="48"/>
              <w:rPr>
                <w:rFonts w:cs="Calibri"/>
                <w:color w:val="7030A0"/>
                <w:sz w:val="14"/>
              </w:rPr>
            </w:pPr>
            <w:r w:rsidRPr="00F54064">
              <w:rPr>
                <w:rFonts w:cs="Calibri"/>
                <w:color w:val="7030A0"/>
                <w:sz w:val="14"/>
              </w:rPr>
              <w:t>AASB 1004</w:t>
            </w:r>
            <w:r w:rsidR="00D65811" w:rsidRPr="00F54064">
              <w:rPr>
                <w:rFonts w:cs="Calibri"/>
                <w:color w:val="7030A0"/>
                <w:sz w:val="14"/>
              </w:rPr>
              <w:t>.</w:t>
            </w:r>
            <w:r w:rsidRPr="00F54064">
              <w:rPr>
                <w:rFonts w:cs="Calibri"/>
                <w:color w:val="7030A0"/>
                <w:sz w:val="14"/>
              </w:rPr>
              <w:t>63(a)</w:t>
            </w:r>
            <w:r w:rsidR="000144FF" w:rsidRPr="00F54064">
              <w:rPr>
                <w:rFonts w:cs="Calibri"/>
                <w:color w:val="7030A0"/>
                <w:sz w:val="14"/>
              </w:rPr>
              <w:t xml:space="preserve"> </w:t>
            </w:r>
          </w:p>
          <w:p w14:paraId="1CC949D4" w14:textId="77777777" w:rsidR="00B746FE" w:rsidRPr="00F54064" w:rsidRDefault="00B746FE" w:rsidP="00B11849">
            <w:pPr>
              <w:pStyle w:val="TableReference"/>
              <w:tabs>
                <w:tab w:val="left" w:pos="3306"/>
              </w:tabs>
              <w:spacing w:beforeLines="20" w:before="48"/>
              <w:rPr>
                <w:rFonts w:cs="Calibri"/>
                <w:color w:val="7030A0"/>
                <w:sz w:val="14"/>
              </w:rPr>
            </w:pPr>
            <w:r w:rsidRPr="00F54064">
              <w:rPr>
                <w:rFonts w:cs="Calibri"/>
                <w:color w:val="7030A0"/>
                <w:sz w:val="14"/>
              </w:rPr>
              <w:t>AASB 1058.26(c)</w:t>
            </w:r>
          </w:p>
        </w:tc>
        <w:tc>
          <w:tcPr>
            <w:tcW w:w="4749" w:type="dxa"/>
            <w:tcBorders>
              <w:top w:val="nil"/>
              <w:left w:val="single" w:sz="2" w:space="0" w:color="auto"/>
              <w:bottom w:val="nil"/>
              <w:right w:val="nil"/>
            </w:tcBorders>
          </w:tcPr>
          <w:p w14:paraId="71220548" w14:textId="77777777" w:rsidR="000144FF" w:rsidRPr="00F54064" w:rsidRDefault="00443536" w:rsidP="007324D0">
            <w:pPr>
              <w:pStyle w:val="TableText"/>
              <w:tabs>
                <w:tab w:val="left" w:pos="3306"/>
              </w:tabs>
              <w:rPr>
                <w:rFonts w:cs="Calibri"/>
                <w:strike/>
              </w:rPr>
            </w:pPr>
            <w:r w:rsidRPr="00F54064">
              <w:rPr>
                <w:rFonts w:cs="Calibri"/>
              </w:rPr>
              <w:t>Controlled Recurrent Payments</w:t>
            </w:r>
          </w:p>
        </w:tc>
        <w:tc>
          <w:tcPr>
            <w:tcW w:w="638" w:type="dxa"/>
            <w:tcBorders>
              <w:top w:val="nil"/>
              <w:left w:val="nil"/>
              <w:bottom w:val="nil"/>
              <w:right w:val="nil"/>
            </w:tcBorders>
          </w:tcPr>
          <w:p w14:paraId="41318EFF" w14:textId="523E8B4C" w:rsidR="000144FF" w:rsidRPr="00F54064" w:rsidRDefault="000C06DA" w:rsidP="007324D0">
            <w:pPr>
              <w:pStyle w:val="TableText"/>
              <w:tabs>
                <w:tab w:val="left" w:pos="3306"/>
              </w:tabs>
              <w:jc w:val="center"/>
              <w:rPr>
                <w:rFonts w:cs="Calibri"/>
                <w:strike/>
              </w:rPr>
            </w:pPr>
            <w:r w:rsidRPr="00F54064">
              <w:rPr>
                <w:rFonts w:cs="Calibri"/>
              </w:rPr>
              <w:t>#</w:t>
            </w:r>
          </w:p>
        </w:tc>
        <w:tc>
          <w:tcPr>
            <w:tcW w:w="1185" w:type="dxa"/>
            <w:tcBorders>
              <w:top w:val="nil"/>
              <w:left w:val="nil"/>
              <w:bottom w:val="nil"/>
              <w:right w:val="nil"/>
            </w:tcBorders>
          </w:tcPr>
          <w:p w14:paraId="25479F96"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47C1F3E4"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76B646B8" w14:textId="77777777" w:rsidR="000144FF" w:rsidRPr="00F54064" w:rsidRDefault="000144FF" w:rsidP="007324D0">
            <w:pPr>
              <w:pStyle w:val="TableText"/>
              <w:tabs>
                <w:tab w:val="left" w:pos="3306"/>
              </w:tabs>
              <w:rPr>
                <w:rFonts w:cs="Calibri"/>
              </w:rPr>
            </w:pPr>
          </w:p>
        </w:tc>
      </w:tr>
      <w:tr w:rsidR="0081339C" w:rsidRPr="0081339C" w14:paraId="5951A27C" w14:textId="77777777" w:rsidTr="00B66382">
        <w:trPr>
          <w:cantSplit/>
          <w:trHeight w:val="20"/>
        </w:trPr>
        <w:tc>
          <w:tcPr>
            <w:tcW w:w="1613" w:type="dxa"/>
            <w:tcBorders>
              <w:top w:val="nil"/>
              <w:left w:val="single" w:sz="2" w:space="0" w:color="auto"/>
              <w:bottom w:val="nil"/>
              <w:right w:val="single" w:sz="2" w:space="0" w:color="auto"/>
            </w:tcBorders>
          </w:tcPr>
          <w:p w14:paraId="154C21E7" w14:textId="7E209984" w:rsidR="00A856BF" w:rsidRPr="00F54064" w:rsidRDefault="00A856BF" w:rsidP="00B11849">
            <w:pPr>
              <w:pStyle w:val="TableReference"/>
              <w:tabs>
                <w:tab w:val="left" w:pos="3306"/>
              </w:tabs>
              <w:spacing w:beforeLines="20" w:before="48"/>
              <w:rPr>
                <w:rFonts w:cs="Calibri"/>
                <w:color w:val="7030A0"/>
                <w:sz w:val="14"/>
              </w:rPr>
            </w:pPr>
            <w:r w:rsidRPr="00F54064">
              <w:rPr>
                <w:rFonts w:cs="Calibri"/>
                <w:color w:val="7030A0"/>
                <w:sz w:val="14"/>
              </w:rPr>
              <w:t>AASB 15.113(a)</w:t>
            </w:r>
          </w:p>
        </w:tc>
        <w:tc>
          <w:tcPr>
            <w:tcW w:w="4749" w:type="dxa"/>
            <w:tcBorders>
              <w:top w:val="nil"/>
              <w:left w:val="single" w:sz="2" w:space="0" w:color="auto"/>
              <w:bottom w:val="nil"/>
              <w:right w:val="nil"/>
            </w:tcBorders>
            <w:vAlign w:val="bottom"/>
          </w:tcPr>
          <w:p w14:paraId="24BD5E6E" w14:textId="2CB02FA5" w:rsidR="00A856BF" w:rsidRPr="00F54064" w:rsidRDefault="0081339C" w:rsidP="007324D0">
            <w:pPr>
              <w:pStyle w:val="TableText"/>
              <w:tabs>
                <w:tab w:val="left" w:pos="3306"/>
              </w:tabs>
              <w:rPr>
                <w:rFonts w:cs="Calibri"/>
              </w:rPr>
            </w:pPr>
            <w:r w:rsidRPr="00F54064">
              <w:rPr>
                <w:rFonts w:cs="Calibri"/>
              </w:rPr>
              <w:t>S</w:t>
            </w:r>
            <w:r w:rsidR="00BD3FC2" w:rsidRPr="00F54064">
              <w:rPr>
                <w:rFonts w:cs="Calibri"/>
              </w:rPr>
              <w:t>ales of Goods and Services from Contracts with Cust</w:t>
            </w:r>
            <w:r w:rsidR="007324D0" w:rsidRPr="00F54064">
              <w:rPr>
                <w:rFonts w:cs="Calibri"/>
              </w:rPr>
              <w:t>o</w:t>
            </w:r>
            <w:r w:rsidR="00BD3FC2" w:rsidRPr="00F54064">
              <w:rPr>
                <w:rFonts w:cs="Calibri"/>
              </w:rPr>
              <w:t>mers</w:t>
            </w:r>
          </w:p>
        </w:tc>
        <w:tc>
          <w:tcPr>
            <w:tcW w:w="638" w:type="dxa"/>
            <w:tcBorders>
              <w:top w:val="nil"/>
              <w:left w:val="nil"/>
              <w:bottom w:val="nil"/>
              <w:right w:val="nil"/>
            </w:tcBorders>
          </w:tcPr>
          <w:p w14:paraId="0FDC6EB1" w14:textId="42877CE1" w:rsidR="00A856BF" w:rsidRPr="00F54064" w:rsidRDefault="00626E4D" w:rsidP="007324D0">
            <w:pPr>
              <w:pStyle w:val="TableText"/>
              <w:tabs>
                <w:tab w:val="left" w:pos="3306"/>
              </w:tabs>
              <w:jc w:val="center"/>
              <w:rPr>
                <w:rFonts w:cs="Calibri"/>
              </w:rPr>
            </w:pPr>
            <w:r w:rsidRPr="00F54064">
              <w:rPr>
                <w:rFonts w:cs="Calibri"/>
              </w:rPr>
              <w:t>5</w:t>
            </w:r>
          </w:p>
        </w:tc>
        <w:tc>
          <w:tcPr>
            <w:tcW w:w="1185" w:type="dxa"/>
            <w:tcBorders>
              <w:top w:val="nil"/>
              <w:left w:val="nil"/>
              <w:bottom w:val="nil"/>
              <w:right w:val="nil"/>
            </w:tcBorders>
            <w:vAlign w:val="bottom"/>
          </w:tcPr>
          <w:p w14:paraId="168F2FC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0E28B6F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4AFFFB1F" w14:textId="77777777" w:rsidR="00A856BF" w:rsidRPr="00F54064" w:rsidRDefault="00A856BF">
            <w:pPr>
              <w:pStyle w:val="TableText"/>
              <w:tabs>
                <w:tab w:val="left" w:pos="3306"/>
              </w:tabs>
              <w:jc w:val="right"/>
              <w:rPr>
                <w:rFonts w:cs="Calibri"/>
              </w:rPr>
            </w:pPr>
          </w:p>
        </w:tc>
      </w:tr>
      <w:tr w:rsidR="0081339C" w:rsidRPr="0081339C" w14:paraId="48D16D55" w14:textId="77777777" w:rsidTr="00B66382">
        <w:trPr>
          <w:cantSplit/>
          <w:trHeight w:val="20"/>
        </w:trPr>
        <w:tc>
          <w:tcPr>
            <w:tcW w:w="1613" w:type="dxa"/>
            <w:tcBorders>
              <w:top w:val="nil"/>
              <w:left w:val="single" w:sz="2" w:space="0" w:color="auto"/>
              <w:bottom w:val="nil"/>
              <w:right w:val="single" w:sz="2" w:space="0" w:color="auto"/>
            </w:tcBorders>
          </w:tcPr>
          <w:p w14:paraId="0656C01D" w14:textId="1E19B7BB" w:rsidR="007324D0" w:rsidRPr="00F54064" w:rsidRDefault="007324D0" w:rsidP="00B11849">
            <w:pPr>
              <w:pStyle w:val="TableReference"/>
              <w:tabs>
                <w:tab w:val="left" w:pos="3306"/>
              </w:tabs>
              <w:spacing w:beforeLines="20" w:before="48"/>
              <w:rPr>
                <w:rFonts w:cs="Calibri"/>
                <w:color w:val="7030A0"/>
                <w:sz w:val="14"/>
              </w:rPr>
            </w:pPr>
            <w:r w:rsidRPr="00F54064">
              <w:rPr>
                <w:rFonts w:cs="Calibri"/>
                <w:color w:val="7030A0"/>
                <w:sz w:val="14"/>
              </w:rPr>
              <w:t xml:space="preserve">AASB </w:t>
            </w:r>
            <w:r w:rsidR="00776995" w:rsidRPr="00F54064">
              <w:rPr>
                <w:rFonts w:cs="Calibri"/>
                <w:color w:val="7030A0"/>
                <w:sz w:val="14"/>
              </w:rPr>
              <w:t>1058.26(a), (b)</w:t>
            </w:r>
          </w:p>
        </w:tc>
        <w:tc>
          <w:tcPr>
            <w:tcW w:w="4749" w:type="dxa"/>
            <w:tcBorders>
              <w:top w:val="nil"/>
              <w:left w:val="single" w:sz="2" w:space="0" w:color="auto"/>
              <w:bottom w:val="nil"/>
              <w:right w:val="nil"/>
            </w:tcBorders>
            <w:vAlign w:val="bottom"/>
          </w:tcPr>
          <w:p w14:paraId="4914D394" w14:textId="204C78B7" w:rsidR="007324D0" w:rsidRPr="00F54064" w:rsidRDefault="00685FDE" w:rsidP="007324D0">
            <w:pPr>
              <w:pStyle w:val="TableText"/>
              <w:tabs>
                <w:tab w:val="left" w:pos="3306"/>
              </w:tabs>
              <w:rPr>
                <w:rFonts w:cs="Calibri"/>
              </w:rPr>
            </w:pPr>
            <w:r w:rsidRPr="00F54064">
              <w:rPr>
                <w:rFonts w:cs="Calibri"/>
              </w:rPr>
              <w:t xml:space="preserve">Grants and </w:t>
            </w:r>
            <w:r w:rsidR="007324D0" w:rsidRPr="00F54064">
              <w:rPr>
                <w:rFonts w:cs="Calibri"/>
              </w:rPr>
              <w:t>Contributions</w:t>
            </w:r>
            <w:r w:rsidR="000E31C1" w:rsidRPr="00F54064">
              <w:rPr>
                <w:rFonts w:cs="Calibri"/>
              </w:rPr>
              <w:t xml:space="preserve"> Revenue</w:t>
            </w:r>
          </w:p>
        </w:tc>
        <w:tc>
          <w:tcPr>
            <w:tcW w:w="638" w:type="dxa"/>
            <w:tcBorders>
              <w:top w:val="nil"/>
              <w:left w:val="nil"/>
              <w:bottom w:val="nil"/>
              <w:right w:val="nil"/>
            </w:tcBorders>
            <w:vAlign w:val="bottom"/>
          </w:tcPr>
          <w:p w14:paraId="3F05B3B3" w14:textId="645E900B" w:rsidR="007324D0" w:rsidRPr="00F54064" w:rsidRDefault="007324D0">
            <w:pPr>
              <w:pStyle w:val="TableText"/>
              <w:tabs>
                <w:tab w:val="left" w:pos="3306"/>
              </w:tabs>
              <w:jc w:val="center"/>
              <w:rPr>
                <w:rFonts w:cs="Calibri"/>
              </w:rPr>
            </w:pPr>
            <w:r w:rsidRPr="00F54064">
              <w:rPr>
                <w:rFonts w:cs="Calibri"/>
              </w:rPr>
              <w:t>6</w:t>
            </w:r>
          </w:p>
        </w:tc>
        <w:tc>
          <w:tcPr>
            <w:tcW w:w="1185" w:type="dxa"/>
            <w:tcBorders>
              <w:top w:val="nil"/>
              <w:left w:val="nil"/>
              <w:bottom w:val="nil"/>
              <w:right w:val="nil"/>
            </w:tcBorders>
            <w:vAlign w:val="bottom"/>
          </w:tcPr>
          <w:p w14:paraId="58CBB92F"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1A8C3424"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0FB90A6B" w14:textId="77777777" w:rsidR="007324D0" w:rsidRPr="00F54064" w:rsidRDefault="007324D0">
            <w:pPr>
              <w:pStyle w:val="TableText"/>
              <w:tabs>
                <w:tab w:val="left" w:pos="3306"/>
              </w:tabs>
              <w:jc w:val="right"/>
              <w:rPr>
                <w:rFonts w:cs="Calibri"/>
              </w:rPr>
            </w:pPr>
          </w:p>
        </w:tc>
      </w:tr>
      <w:tr w:rsidR="0081339C" w:rsidRPr="0081339C" w14:paraId="721A101C" w14:textId="77777777" w:rsidTr="00B66382">
        <w:trPr>
          <w:cantSplit/>
          <w:trHeight w:val="20"/>
        </w:trPr>
        <w:tc>
          <w:tcPr>
            <w:tcW w:w="1613" w:type="dxa"/>
            <w:tcBorders>
              <w:top w:val="nil"/>
              <w:left w:val="single" w:sz="2" w:space="0" w:color="auto"/>
              <w:bottom w:val="nil"/>
              <w:right w:val="single" w:sz="2" w:space="0" w:color="auto"/>
            </w:tcBorders>
          </w:tcPr>
          <w:p w14:paraId="2BD3612A" w14:textId="77777777" w:rsidR="00FA3858" w:rsidRPr="00F54064" w:rsidRDefault="002B1352" w:rsidP="00B11849">
            <w:pPr>
              <w:pStyle w:val="TableReference"/>
              <w:tabs>
                <w:tab w:val="left" w:pos="3306"/>
              </w:tabs>
              <w:spacing w:beforeLines="20" w:before="48"/>
              <w:rPr>
                <w:rFonts w:cs="Calibri"/>
                <w:color w:val="7030A0"/>
                <w:sz w:val="14"/>
              </w:rPr>
            </w:pPr>
            <w:r w:rsidRPr="00123573">
              <w:rPr>
                <w:rFonts w:cs="Calibri"/>
                <w:strike/>
                <w:color w:val="FF0000"/>
                <w:sz w:val="14"/>
              </w:rPr>
              <w:t xml:space="preserve">AASB </w:t>
            </w:r>
            <w:r w:rsidR="000144FF" w:rsidRPr="00123573">
              <w:rPr>
                <w:rFonts w:cs="Calibri"/>
                <w:strike/>
                <w:color w:val="FF0000"/>
                <w:sz w:val="14"/>
              </w:rPr>
              <w:t>118</w:t>
            </w:r>
            <w:r w:rsidR="00D65811" w:rsidRPr="00123573">
              <w:rPr>
                <w:rFonts w:cs="Calibri"/>
                <w:strike/>
                <w:color w:val="FF0000"/>
                <w:sz w:val="14"/>
              </w:rPr>
              <w:t>.</w:t>
            </w:r>
            <w:r w:rsidR="00D001B7" w:rsidRPr="00123573">
              <w:rPr>
                <w:rFonts w:cs="Calibri"/>
                <w:strike/>
                <w:color w:val="FF0000"/>
                <w:sz w:val="14"/>
              </w:rPr>
              <w:t>35</w:t>
            </w:r>
            <w:r w:rsidR="000144FF" w:rsidRPr="00123573">
              <w:rPr>
                <w:rFonts w:cs="Calibri"/>
                <w:strike/>
                <w:color w:val="FF0000"/>
                <w:sz w:val="14"/>
              </w:rPr>
              <w:t>(b)(iii)</w:t>
            </w:r>
            <w:r w:rsidR="00FA3858" w:rsidRPr="00F54064">
              <w:rPr>
                <w:rFonts w:cs="Calibri"/>
                <w:color w:val="7030A0"/>
                <w:sz w:val="14"/>
              </w:rPr>
              <w:t>,</w:t>
            </w:r>
          </w:p>
          <w:p w14:paraId="6743543C" w14:textId="77777777" w:rsidR="000144FF" w:rsidRPr="00F54064" w:rsidRDefault="002E0647" w:rsidP="00B11849">
            <w:pPr>
              <w:pStyle w:val="TableReference"/>
              <w:tabs>
                <w:tab w:val="left" w:pos="3306"/>
              </w:tabs>
              <w:spacing w:beforeLines="20" w:before="48"/>
              <w:rPr>
                <w:rFonts w:cs="Calibri"/>
                <w:color w:val="7030A0"/>
                <w:sz w:val="14"/>
              </w:rPr>
            </w:pPr>
            <w:r w:rsidRPr="00F54064">
              <w:rPr>
                <w:rFonts w:cs="Calibri"/>
                <w:color w:val="7030A0"/>
                <w:sz w:val="14"/>
              </w:rPr>
              <w:t>101.82(a</w:t>
            </w:r>
            <w:r w:rsidR="00FA3858" w:rsidRPr="00F54064">
              <w:rPr>
                <w:rFonts w:cs="Calibri"/>
                <w:color w:val="7030A0"/>
                <w:sz w:val="14"/>
              </w:rPr>
              <w:t>)</w:t>
            </w:r>
            <w:r w:rsidRPr="00F54064">
              <w:rPr>
                <w:rFonts w:cs="Calibri"/>
                <w:color w:val="7030A0"/>
                <w:sz w:val="14"/>
              </w:rPr>
              <w:t>)</w:t>
            </w:r>
          </w:p>
        </w:tc>
        <w:tc>
          <w:tcPr>
            <w:tcW w:w="4749" w:type="dxa"/>
            <w:tcBorders>
              <w:top w:val="nil"/>
              <w:left w:val="single" w:sz="2" w:space="0" w:color="auto"/>
              <w:bottom w:val="nil"/>
              <w:right w:val="nil"/>
            </w:tcBorders>
          </w:tcPr>
          <w:p w14:paraId="1D0362AE" w14:textId="2578BF78" w:rsidR="00E15E42" w:rsidRPr="00F54064" w:rsidRDefault="007324D0" w:rsidP="007324D0">
            <w:pPr>
              <w:pStyle w:val="TableText"/>
              <w:tabs>
                <w:tab w:val="left" w:pos="3306"/>
              </w:tabs>
              <w:rPr>
                <w:rFonts w:cs="Calibri"/>
              </w:rPr>
            </w:pPr>
            <w:r w:rsidRPr="00F54064">
              <w:rPr>
                <w:rFonts w:cs="Calibri"/>
              </w:rPr>
              <w:t>Investment Revenue</w:t>
            </w:r>
          </w:p>
        </w:tc>
        <w:tc>
          <w:tcPr>
            <w:tcW w:w="638" w:type="dxa"/>
            <w:tcBorders>
              <w:top w:val="nil"/>
              <w:left w:val="nil"/>
              <w:bottom w:val="nil"/>
              <w:right w:val="nil"/>
            </w:tcBorders>
          </w:tcPr>
          <w:p w14:paraId="25ED81BB" w14:textId="1BA7C400" w:rsidR="000144FF" w:rsidRPr="00F54064" w:rsidRDefault="007324D0" w:rsidP="007324D0">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2396B894"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833D0D7" w14:textId="77777777" w:rsidR="000144FF" w:rsidRPr="00F54064" w:rsidRDefault="000144FF" w:rsidP="00C33129">
            <w:pPr>
              <w:pStyle w:val="TableText"/>
              <w:tabs>
                <w:tab w:val="left" w:pos="3306"/>
              </w:tabs>
              <w:jc w:val="right"/>
              <w:rPr>
                <w:rFonts w:cs="Calibri"/>
              </w:rPr>
            </w:pPr>
          </w:p>
        </w:tc>
        <w:tc>
          <w:tcPr>
            <w:tcW w:w="1185" w:type="dxa"/>
            <w:tcBorders>
              <w:top w:val="nil"/>
              <w:left w:val="nil"/>
              <w:bottom w:val="nil"/>
              <w:right w:val="nil"/>
            </w:tcBorders>
            <w:vAlign w:val="bottom"/>
          </w:tcPr>
          <w:p w14:paraId="26DFC876" w14:textId="77777777" w:rsidR="000144FF" w:rsidRPr="00F54064" w:rsidRDefault="000144FF" w:rsidP="00EF4028">
            <w:pPr>
              <w:pStyle w:val="TableText"/>
              <w:tabs>
                <w:tab w:val="left" w:pos="3306"/>
              </w:tabs>
              <w:jc w:val="right"/>
              <w:rPr>
                <w:rFonts w:cs="Calibri"/>
              </w:rPr>
            </w:pPr>
          </w:p>
        </w:tc>
      </w:tr>
      <w:tr w:rsidR="00D41506" w:rsidRPr="00CF7E1B" w14:paraId="56848B4B" w14:textId="77777777" w:rsidTr="00B66382">
        <w:trPr>
          <w:cantSplit/>
          <w:trHeight w:val="20"/>
        </w:trPr>
        <w:tc>
          <w:tcPr>
            <w:tcW w:w="1613" w:type="dxa"/>
            <w:tcBorders>
              <w:top w:val="nil"/>
              <w:left w:val="single" w:sz="2" w:space="0" w:color="auto"/>
              <w:bottom w:val="nil"/>
              <w:right w:val="single" w:sz="2" w:space="0" w:color="auto"/>
            </w:tcBorders>
          </w:tcPr>
          <w:p w14:paraId="4CBED5AE" w14:textId="134B6D47" w:rsidR="00D41506" w:rsidRPr="00F54064" w:rsidRDefault="00D41506" w:rsidP="00B11849">
            <w:pPr>
              <w:pStyle w:val="TableReference"/>
              <w:tabs>
                <w:tab w:val="left" w:pos="3306"/>
              </w:tabs>
              <w:spacing w:beforeLines="20" w:before="48"/>
              <w:rPr>
                <w:rFonts w:cs="Calibri"/>
                <w:color w:val="7030A0"/>
                <w:sz w:val="14"/>
              </w:rPr>
            </w:pPr>
            <w:r w:rsidRPr="00F54064">
              <w:rPr>
                <w:color w:val="7030A0"/>
                <w:sz w:val="14"/>
              </w:rPr>
              <w:t>AASB 101 para 82</w:t>
            </w:r>
          </w:p>
        </w:tc>
        <w:tc>
          <w:tcPr>
            <w:tcW w:w="4749" w:type="dxa"/>
            <w:tcBorders>
              <w:top w:val="nil"/>
              <w:left w:val="single" w:sz="2" w:space="0" w:color="auto"/>
              <w:bottom w:val="nil"/>
              <w:right w:val="nil"/>
            </w:tcBorders>
            <w:vAlign w:val="bottom"/>
          </w:tcPr>
          <w:p w14:paraId="50185B76" w14:textId="3EF57410" w:rsidR="00D41506" w:rsidRPr="00F54064" w:rsidRDefault="00D41506">
            <w:pPr>
              <w:pStyle w:val="TableText"/>
              <w:tabs>
                <w:tab w:val="left" w:pos="3306"/>
              </w:tabs>
              <w:rPr>
                <w:rFonts w:cs="Calibri"/>
              </w:rPr>
            </w:pPr>
            <w:r w:rsidRPr="00F54064">
              <w:rPr>
                <w:rFonts w:cs="Calibri"/>
              </w:rPr>
              <w:t>Interest Revenue</w:t>
            </w:r>
          </w:p>
        </w:tc>
        <w:tc>
          <w:tcPr>
            <w:tcW w:w="638" w:type="dxa"/>
            <w:tcBorders>
              <w:top w:val="nil"/>
              <w:left w:val="nil"/>
              <w:bottom w:val="nil"/>
              <w:right w:val="nil"/>
            </w:tcBorders>
            <w:vAlign w:val="bottom"/>
          </w:tcPr>
          <w:p w14:paraId="5179A33F" w14:textId="6972514B" w:rsidR="00D41506" w:rsidRPr="00F54064" w:rsidRDefault="00D41506">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42787882"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22B3FE27"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6E29D95C" w14:textId="77777777" w:rsidR="00D41506" w:rsidRPr="00F54064" w:rsidRDefault="00D41506">
            <w:pPr>
              <w:pStyle w:val="TableText"/>
              <w:tabs>
                <w:tab w:val="left" w:pos="3306"/>
              </w:tabs>
              <w:jc w:val="right"/>
              <w:rPr>
                <w:rFonts w:cs="Calibri"/>
              </w:rPr>
            </w:pPr>
          </w:p>
        </w:tc>
      </w:tr>
      <w:tr w:rsidR="000144FF" w:rsidRPr="00CF7E1B" w14:paraId="67CAE8AA" w14:textId="77777777" w:rsidTr="00B66382">
        <w:trPr>
          <w:cantSplit/>
          <w:trHeight w:val="20"/>
        </w:trPr>
        <w:tc>
          <w:tcPr>
            <w:tcW w:w="1613" w:type="dxa"/>
            <w:tcBorders>
              <w:top w:val="nil"/>
              <w:left w:val="single" w:sz="2" w:space="0" w:color="auto"/>
              <w:bottom w:val="nil"/>
              <w:right w:val="single" w:sz="2" w:space="0" w:color="auto"/>
            </w:tcBorders>
          </w:tcPr>
          <w:p w14:paraId="3C683C7F" w14:textId="77777777" w:rsidR="000144FF" w:rsidRPr="00A742FB" w:rsidRDefault="000144FF" w:rsidP="00B11849">
            <w:pPr>
              <w:pStyle w:val="TableReference"/>
              <w:tabs>
                <w:tab w:val="left" w:pos="3306"/>
              </w:tabs>
              <w:spacing w:beforeLines="20" w:before="48"/>
              <w:rPr>
                <w:rFonts w:cs="Calibri"/>
                <w:strike/>
                <w:color w:val="FF0000"/>
                <w:sz w:val="14"/>
              </w:rPr>
            </w:pPr>
            <w:r w:rsidRPr="00A742FB">
              <w:rPr>
                <w:rFonts w:cs="Calibri"/>
                <w:strike/>
                <w:color w:val="FF0000"/>
                <w:sz w:val="14"/>
              </w:rPr>
              <w:t>AASB 101</w:t>
            </w:r>
            <w:r w:rsidR="00D65811" w:rsidRPr="00A742FB">
              <w:rPr>
                <w:rFonts w:cs="Calibri"/>
                <w:strike/>
                <w:color w:val="FF0000"/>
                <w:sz w:val="14"/>
              </w:rPr>
              <w:t>.</w:t>
            </w:r>
            <w:r w:rsidRPr="00A742FB">
              <w:rPr>
                <w:rFonts w:cs="Calibri"/>
                <w:strike/>
                <w:color w:val="FF0000"/>
                <w:sz w:val="14"/>
              </w:rPr>
              <w:t>8</w:t>
            </w:r>
            <w:r w:rsidR="00F23A9D" w:rsidRPr="00A742FB">
              <w:rPr>
                <w:rFonts w:cs="Calibri"/>
                <w:strike/>
                <w:color w:val="FF0000"/>
                <w:sz w:val="14"/>
              </w:rPr>
              <w:t>5</w:t>
            </w:r>
          </w:p>
        </w:tc>
        <w:tc>
          <w:tcPr>
            <w:tcW w:w="4749" w:type="dxa"/>
            <w:tcBorders>
              <w:top w:val="nil"/>
              <w:left w:val="single" w:sz="2" w:space="0" w:color="auto"/>
              <w:bottom w:val="nil"/>
              <w:right w:val="nil"/>
            </w:tcBorders>
            <w:vAlign w:val="bottom"/>
          </w:tcPr>
          <w:p w14:paraId="05E5B9D1" w14:textId="77777777" w:rsidR="000144FF" w:rsidRPr="00A742FB" w:rsidRDefault="000144FF">
            <w:pPr>
              <w:pStyle w:val="TableText"/>
              <w:tabs>
                <w:tab w:val="left" w:pos="3306"/>
              </w:tabs>
              <w:rPr>
                <w:rFonts w:cs="Calibri"/>
                <w:strike/>
                <w:color w:val="FF0000"/>
              </w:rPr>
            </w:pPr>
            <w:r w:rsidRPr="00A742FB">
              <w:rPr>
                <w:rFonts w:cs="Calibri"/>
                <w:strike/>
                <w:color w:val="FF0000"/>
              </w:rPr>
              <w:t>Other Revenue</w:t>
            </w:r>
          </w:p>
        </w:tc>
        <w:tc>
          <w:tcPr>
            <w:tcW w:w="638" w:type="dxa"/>
            <w:tcBorders>
              <w:top w:val="nil"/>
              <w:left w:val="nil"/>
              <w:bottom w:val="nil"/>
              <w:right w:val="nil"/>
            </w:tcBorders>
            <w:vAlign w:val="bottom"/>
          </w:tcPr>
          <w:p w14:paraId="59164D0F" w14:textId="4472B9FA" w:rsidR="000144FF" w:rsidRPr="00A742FB" w:rsidRDefault="00A8656F">
            <w:pPr>
              <w:pStyle w:val="TableText"/>
              <w:tabs>
                <w:tab w:val="left" w:pos="3306"/>
              </w:tabs>
              <w:jc w:val="center"/>
              <w:rPr>
                <w:rFonts w:cs="Calibri"/>
                <w:strike/>
                <w:color w:val="FF0000"/>
                <w:highlight w:val="cyan"/>
              </w:rPr>
            </w:pPr>
            <w:r w:rsidRPr="00A742FB">
              <w:rPr>
                <w:rFonts w:cs="Calibri"/>
                <w:strike/>
                <w:color w:val="FF0000"/>
              </w:rPr>
              <w:t>9</w:t>
            </w:r>
          </w:p>
        </w:tc>
        <w:tc>
          <w:tcPr>
            <w:tcW w:w="1185" w:type="dxa"/>
            <w:tcBorders>
              <w:top w:val="nil"/>
              <w:left w:val="nil"/>
              <w:bottom w:val="nil"/>
              <w:right w:val="nil"/>
            </w:tcBorders>
            <w:vAlign w:val="bottom"/>
          </w:tcPr>
          <w:p w14:paraId="479712E3"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BC718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1D5BDA1A" w14:textId="77777777" w:rsidR="000144FF" w:rsidRPr="00F54064" w:rsidRDefault="000144FF">
            <w:pPr>
              <w:pStyle w:val="TableText"/>
              <w:tabs>
                <w:tab w:val="left" w:pos="3306"/>
              </w:tabs>
              <w:jc w:val="right"/>
              <w:rPr>
                <w:rFonts w:cs="Calibri"/>
              </w:rPr>
            </w:pPr>
          </w:p>
        </w:tc>
      </w:tr>
      <w:tr w:rsidR="000144FF" w:rsidRPr="00CF7E1B" w14:paraId="28C27FFA" w14:textId="77777777" w:rsidTr="00B66382">
        <w:trPr>
          <w:cantSplit/>
          <w:trHeight w:val="20"/>
        </w:trPr>
        <w:tc>
          <w:tcPr>
            <w:tcW w:w="1613" w:type="dxa"/>
            <w:tcBorders>
              <w:top w:val="nil"/>
              <w:left w:val="single" w:sz="2" w:space="0" w:color="auto"/>
              <w:bottom w:val="nil"/>
              <w:right w:val="single" w:sz="2" w:space="0" w:color="auto"/>
            </w:tcBorders>
          </w:tcPr>
          <w:p w14:paraId="6E4CBE10"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Pr="00055621">
              <w:rPr>
                <w:rFonts w:cs="Calibri"/>
                <w:strike/>
                <w:color w:val="FF0000"/>
                <w:sz w:val="14"/>
              </w:rPr>
              <w:t>8</w:t>
            </w:r>
            <w:r w:rsidR="00F23A9D" w:rsidRPr="00055621">
              <w:rPr>
                <w:rFonts w:cs="Calibri"/>
                <w:strike/>
                <w:color w:val="FF0000"/>
                <w:sz w:val="14"/>
              </w:rPr>
              <w:t>2</w:t>
            </w:r>
            <w:r w:rsidRPr="00055621">
              <w:rPr>
                <w:rFonts w:cs="Calibri"/>
                <w:strike/>
                <w:color w:val="FF0000"/>
                <w:sz w:val="14"/>
              </w:rPr>
              <w:t>(a)</w:t>
            </w:r>
          </w:p>
        </w:tc>
        <w:tc>
          <w:tcPr>
            <w:tcW w:w="4749" w:type="dxa"/>
            <w:tcBorders>
              <w:top w:val="nil"/>
              <w:left w:val="single" w:sz="2" w:space="0" w:color="auto"/>
              <w:bottom w:val="nil"/>
              <w:right w:val="nil"/>
            </w:tcBorders>
            <w:vAlign w:val="bottom"/>
          </w:tcPr>
          <w:p w14:paraId="112452C4" w14:textId="77777777" w:rsidR="000144FF" w:rsidRPr="00055621" w:rsidRDefault="000144FF">
            <w:pPr>
              <w:pStyle w:val="TableText"/>
              <w:tabs>
                <w:tab w:val="left" w:pos="3306"/>
              </w:tabs>
              <w:rPr>
                <w:rFonts w:cs="Calibri"/>
                <w:i/>
                <w:iCs/>
                <w:strike/>
                <w:color w:val="FF0000"/>
              </w:rPr>
            </w:pPr>
            <w:r w:rsidRPr="00055621">
              <w:rPr>
                <w:rFonts w:cs="Calibri"/>
                <w:i/>
                <w:iCs/>
                <w:strike/>
                <w:color w:val="FF0000"/>
              </w:rPr>
              <w:t>Total Revenue</w:t>
            </w:r>
          </w:p>
        </w:tc>
        <w:tc>
          <w:tcPr>
            <w:tcW w:w="638" w:type="dxa"/>
            <w:tcBorders>
              <w:top w:val="nil"/>
              <w:left w:val="nil"/>
              <w:bottom w:val="nil"/>
              <w:right w:val="nil"/>
            </w:tcBorders>
            <w:vAlign w:val="bottom"/>
          </w:tcPr>
          <w:p w14:paraId="3987F2DC" w14:textId="77777777" w:rsidR="000144FF" w:rsidRPr="00F54064" w:rsidRDefault="000144FF">
            <w:pPr>
              <w:pStyle w:val="TableText"/>
              <w:tabs>
                <w:tab w:val="left" w:pos="3306"/>
              </w:tabs>
              <w:jc w:val="center"/>
              <w:rPr>
                <w:rFonts w:cs="Calibri"/>
                <w:highlight w:val="cyan"/>
              </w:rPr>
            </w:pPr>
          </w:p>
        </w:tc>
        <w:tc>
          <w:tcPr>
            <w:tcW w:w="1185" w:type="dxa"/>
            <w:tcBorders>
              <w:top w:val="nil"/>
              <w:left w:val="nil"/>
              <w:bottom w:val="nil"/>
              <w:right w:val="nil"/>
            </w:tcBorders>
            <w:vAlign w:val="bottom"/>
          </w:tcPr>
          <w:p w14:paraId="2F7CAA9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CA9B720"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E33704" w14:textId="77777777" w:rsidR="000144FF" w:rsidRPr="00F54064" w:rsidRDefault="000144FF">
            <w:pPr>
              <w:pStyle w:val="TableText"/>
              <w:tabs>
                <w:tab w:val="left" w:pos="3306"/>
              </w:tabs>
              <w:jc w:val="right"/>
              <w:rPr>
                <w:rFonts w:cs="Calibri"/>
              </w:rPr>
            </w:pPr>
          </w:p>
        </w:tc>
      </w:tr>
      <w:tr w:rsidR="000144FF" w:rsidRPr="00CF7E1B" w14:paraId="6A9850B5" w14:textId="77777777" w:rsidTr="00B66382">
        <w:trPr>
          <w:cantSplit/>
          <w:trHeight w:val="20"/>
        </w:trPr>
        <w:tc>
          <w:tcPr>
            <w:tcW w:w="1613" w:type="dxa"/>
            <w:tcBorders>
              <w:top w:val="nil"/>
              <w:left w:val="single" w:sz="2" w:space="0" w:color="auto"/>
              <w:bottom w:val="nil"/>
              <w:right w:val="single" w:sz="2" w:space="0" w:color="auto"/>
            </w:tcBorders>
          </w:tcPr>
          <w:p w14:paraId="4B27EEE1"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Pr="00055621">
              <w:rPr>
                <w:rFonts w:cs="Calibri"/>
                <w:strike/>
                <w:color w:val="FF0000"/>
                <w:sz w:val="14"/>
              </w:rPr>
              <w:t>8</w:t>
            </w:r>
            <w:r w:rsidR="00F23A9D" w:rsidRPr="00055621">
              <w:rPr>
                <w:rFonts w:cs="Calibri"/>
                <w:strike/>
                <w:color w:val="FF0000"/>
                <w:sz w:val="14"/>
              </w:rPr>
              <w:t>5</w:t>
            </w:r>
          </w:p>
          <w:p w14:paraId="5603FD29"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00D001B7" w:rsidRPr="00055621">
              <w:rPr>
                <w:rFonts w:cs="Calibri"/>
                <w:strike/>
                <w:color w:val="FF0000"/>
                <w:sz w:val="14"/>
              </w:rPr>
              <w:t>34</w:t>
            </w:r>
            <w:r w:rsidRPr="00055621">
              <w:rPr>
                <w:rFonts w:cs="Calibri"/>
                <w:strike/>
                <w:color w:val="FF0000"/>
                <w:sz w:val="14"/>
              </w:rPr>
              <w:t>(a)</w:t>
            </w:r>
          </w:p>
        </w:tc>
        <w:tc>
          <w:tcPr>
            <w:tcW w:w="4749" w:type="dxa"/>
            <w:tcBorders>
              <w:top w:val="nil"/>
              <w:left w:val="single" w:sz="2" w:space="0" w:color="auto"/>
              <w:bottom w:val="nil"/>
              <w:right w:val="nil"/>
            </w:tcBorders>
            <w:vAlign w:val="bottom"/>
          </w:tcPr>
          <w:p w14:paraId="7213FC69" w14:textId="77777777" w:rsidR="000144FF" w:rsidRPr="00055621" w:rsidRDefault="000144FF" w:rsidP="00A8656F">
            <w:pPr>
              <w:pStyle w:val="TableText"/>
              <w:tabs>
                <w:tab w:val="left" w:pos="3306"/>
              </w:tabs>
              <w:rPr>
                <w:rFonts w:cs="Calibri"/>
                <w:i/>
                <w:iCs/>
                <w:strike/>
                <w:color w:val="FF0000"/>
              </w:rPr>
            </w:pPr>
            <w:r w:rsidRPr="00055621">
              <w:rPr>
                <w:rFonts w:cs="Calibri"/>
                <w:i/>
                <w:iCs/>
                <w:strike/>
                <w:color w:val="FF0000"/>
              </w:rPr>
              <w:t>Gains</w:t>
            </w:r>
          </w:p>
        </w:tc>
        <w:tc>
          <w:tcPr>
            <w:tcW w:w="638" w:type="dxa"/>
            <w:tcBorders>
              <w:top w:val="nil"/>
              <w:left w:val="nil"/>
              <w:bottom w:val="nil"/>
              <w:right w:val="nil"/>
            </w:tcBorders>
            <w:vAlign w:val="center"/>
          </w:tcPr>
          <w:p w14:paraId="03C74547"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center"/>
          </w:tcPr>
          <w:p w14:paraId="0EB97576" w14:textId="77777777" w:rsidR="000144FF" w:rsidRPr="00F54064" w:rsidRDefault="000144FF">
            <w:pPr>
              <w:pStyle w:val="TableText"/>
              <w:tabs>
                <w:tab w:val="left" w:pos="3306"/>
              </w:tabs>
              <w:jc w:val="right"/>
              <w:rPr>
                <w:rFonts w:cs="Calibri"/>
                <w:b/>
                <w:bCs/>
              </w:rPr>
            </w:pPr>
          </w:p>
        </w:tc>
        <w:tc>
          <w:tcPr>
            <w:tcW w:w="1185" w:type="dxa"/>
            <w:tcBorders>
              <w:top w:val="nil"/>
              <w:left w:val="nil"/>
              <w:bottom w:val="nil"/>
              <w:right w:val="nil"/>
            </w:tcBorders>
            <w:vAlign w:val="center"/>
          </w:tcPr>
          <w:p w14:paraId="7BDBD9F9" w14:textId="77777777" w:rsidR="000144FF" w:rsidRPr="00F54064" w:rsidRDefault="000144FF">
            <w:pPr>
              <w:pStyle w:val="TableText"/>
              <w:tabs>
                <w:tab w:val="left" w:pos="3306"/>
              </w:tabs>
              <w:jc w:val="right"/>
              <w:rPr>
                <w:rFonts w:cs="Calibri"/>
                <w:b/>
                <w:bCs/>
              </w:rPr>
            </w:pPr>
          </w:p>
        </w:tc>
        <w:tc>
          <w:tcPr>
            <w:tcW w:w="1185" w:type="dxa"/>
            <w:tcBorders>
              <w:top w:val="nil"/>
              <w:left w:val="nil"/>
              <w:bottom w:val="nil"/>
              <w:right w:val="nil"/>
            </w:tcBorders>
            <w:vAlign w:val="center"/>
          </w:tcPr>
          <w:p w14:paraId="3C4628CF" w14:textId="77777777" w:rsidR="000144FF" w:rsidRPr="00F54064" w:rsidRDefault="000144FF">
            <w:pPr>
              <w:pStyle w:val="TableText"/>
              <w:tabs>
                <w:tab w:val="left" w:pos="3306"/>
              </w:tabs>
              <w:jc w:val="right"/>
              <w:rPr>
                <w:rFonts w:cs="Calibri"/>
                <w:b/>
                <w:bCs/>
              </w:rPr>
            </w:pPr>
          </w:p>
        </w:tc>
      </w:tr>
      <w:tr w:rsidR="007324D0" w:rsidRPr="00CF7E1B" w14:paraId="31AC3449" w14:textId="77777777" w:rsidTr="00B66382">
        <w:trPr>
          <w:cantSplit/>
          <w:trHeight w:val="20"/>
        </w:trPr>
        <w:tc>
          <w:tcPr>
            <w:tcW w:w="1613" w:type="dxa"/>
            <w:tcBorders>
              <w:top w:val="nil"/>
              <w:left w:val="single" w:sz="2" w:space="0" w:color="auto"/>
              <w:bottom w:val="nil"/>
              <w:right w:val="single" w:sz="2" w:space="0" w:color="auto"/>
            </w:tcBorders>
          </w:tcPr>
          <w:p w14:paraId="054FEFCA" w14:textId="2EA8E934" w:rsidR="007324D0" w:rsidRPr="00F54064" w:rsidRDefault="00776995" w:rsidP="00B11849">
            <w:pPr>
              <w:pStyle w:val="TableReference"/>
              <w:tabs>
                <w:tab w:val="left" w:pos="3306"/>
              </w:tabs>
              <w:spacing w:beforeLines="20" w:before="48"/>
              <w:rPr>
                <w:rFonts w:cs="Calibri"/>
                <w:color w:val="7030A0"/>
                <w:sz w:val="14"/>
              </w:rPr>
            </w:pPr>
            <w:r w:rsidRPr="00F54064">
              <w:rPr>
                <w:rFonts w:cs="Calibri"/>
                <w:color w:val="7030A0"/>
                <w:sz w:val="14"/>
              </w:rPr>
              <w:t>AASB 101.98(c),(d)</w:t>
            </w:r>
          </w:p>
        </w:tc>
        <w:tc>
          <w:tcPr>
            <w:tcW w:w="4749" w:type="dxa"/>
            <w:tcBorders>
              <w:top w:val="nil"/>
              <w:left w:val="single" w:sz="2" w:space="0" w:color="auto"/>
              <w:bottom w:val="nil"/>
              <w:right w:val="nil"/>
            </w:tcBorders>
          </w:tcPr>
          <w:p w14:paraId="66AEC4F7" w14:textId="40DDA2FD" w:rsidR="007324D0" w:rsidRPr="00F54064" w:rsidRDefault="007324D0" w:rsidP="007324D0">
            <w:pPr>
              <w:pStyle w:val="TableText"/>
              <w:tabs>
                <w:tab w:val="left" w:pos="3306"/>
              </w:tabs>
              <w:rPr>
                <w:rFonts w:cs="Calibri"/>
                <w:iCs/>
              </w:rPr>
            </w:pPr>
            <w:r w:rsidRPr="00F54064">
              <w:rPr>
                <w:rFonts w:cs="Calibri"/>
                <w:iCs/>
              </w:rPr>
              <w:t>Gains from Disposal, Derecognition and Remeasurement o</w:t>
            </w:r>
            <w:r w:rsidR="006D72D1" w:rsidRPr="00F54064">
              <w:rPr>
                <w:rFonts w:cs="Calibri"/>
                <w:iCs/>
              </w:rPr>
              <w:t>f</w:t>
            </w:r>
            <w:r w:rsidRPr="00F54064">
              <w:rPr>
                <w:rFonts w:cs="Calibri"/>
                <w:iCs/>
              </w:rPr>
              <w:t xml:space="preserve"> Assets</w:t>
            </w:r>
          </w:p>
        </w:tc>
        <w:tc>
          <w:tcPr>
            <w:tcW w:w="638" w:type="dxa"/>
            <w:tcBorders>
              <w:top w:val="nil"/>
              <w:left w:val="nil"/>
              <w:bottom w:val="nil"/>
              <w:right w:val="nil"/>
            </w:tcBorders>
          </w:tcPr>
          <w:p w14:paraId="59C7147E" w14:textId="00557DB9" w:rsidR="007324D0" w:rsidRPr="00F54064" w:rsidRDefault="003C048F" w:rsidP="007324D0">
            <w:pPr>
              <w:pStyle w:val="TableText"/>
              <w:tabs>
                <w:tab w:val="left" w:pos="3306"/>
              </w:tabs>
              <w:jc w:val="center"/>
              <w:rPr>
                <w:rFonts w:cs="Calibri"/>
              </w:rPr>
            </w:pPr>
            <w:r w:rsidRPr="00F54064">
              <w:rPr>
                <w:rFonts w:cs="Calibri"/>
              </w:rPr>
              <w:t>8</w:t>
            </w:r>
          </w:p>
        </w:tc>
        <w:tc>
          <w:tcPr>
            <w:tcW w:w="1185" w:type="dxa"/>
            <w:tcBorders>
              <w:top w:val="nil"/>
              <w:left w:val="nil"/>
              <w:bottom w:val="nil"/>
              <w:right w:val="nil"/>
            </w:tcBorders>
            <w:vAlign w:val="center"/>
          </w:tcPr>
          <w:p w14:paraId="4569FAAB"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0DC2443F"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70C0DB5B" w14:textId="77777777" w:rsidR="007324D0" w:rsidRPr="00F54064" w:rsidRDefault="007324D0">
            <w:pPr>
              <w:pStyle w:val="TableText"/>
              <w:tabs>
                <w:tab w:val="left" w:pos="3306"/>
              </w:tabs>
              <w:jc w:val="right"/>
              <w:rPr>
                <w:rFonts w:cs="Calibri"/>
                <w:b/>
                <w:bCs/>
              </w:rPr>
            </w:pPr>
          </w:p>
        </w:tc>
      </w:tr>
      <w:tr w:rsidR="000144FF" w:rsidRPr="00CF7E1B" w14:paraId="256B191C" w14:textId="77777777" w:rsidTr="00B66382">
        <w:trPr>
          <w:cantSplit/>
          <w:trHeight w:val="274"/>
        </w:trPr>
        <w:tc>
          <w:tcPr>
            <w:tcW w:w="1613" w:type="dxa"/>
            <w:tcBorders>
              <w:top w:val="nil"/>
              <w:left w:val="single" w:sz="2" w:space="0" w:color="auto"/>
              <w:bottom w:val="nil"/>
              <w:right w:val="single" w:sz="2" w:space="0" w:color="auto"/>
            </w:tcBorders>
          </w:tcPr>
          <w:p w14:paraId="0390C4DF"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63DD4F0A" w14:textId="4948E306" w:rsidR="000144FF" w:rsidRPr="00F54064" w:rsidRDefault="000144FF">
            <w:pPr>
              <w:pStyle w:val="TableText"/>
              <w:tabs>
                <w:tab w:val="left" w:pos="3306"/>
              </w:tabs>
              <w:spacing w:before="0"/>
              <w:rPr>
                <w:rFonts w:cs="Calibri"/>
              </w:rPr>
            </w:pPr>
            <w:r w:rsidRPr="00F54064">
              <w:rPr>
                <w:rFonts w:cs="Calibri"/>
              </w:rPr>
              <w:t xml:space="preserve">Other </w:t>
            </w:r>
            <w:r w:rsidR="00055621" w:rsidRPr="00055621">
              <w:rPr>
                <w:rFonts w:cs="Calibri"/>
                <w:color w:val="FF0000"/>
              </w:rPr>
              <w:t xml:space="preserve">Income </w:t>
            </w:r>
            <w:r w:rsidRPr="00055621">
              <w:rPr>
                <w:rFonts w:cs="Calibri"/>
                <w:strike/>
                <w:color w:val="FF0000"/>
              </w:rPr>
              <w:t>Gains</w:t>
            </w:r>
          </w:p>
        </w:tc>
        <w:tc>
          <w:tcPr>
            <w:tcW w:w="638" w:type="dxa"/>
            <w:tcBorders>
              <w:top w:val="nil"/>
              <w:left w:val="nil"/>
              <w:bottom w:val="nil"/>
              <w:right w:val="nil"/>
            </w:tcBorders>
            <w:vAlign w:val="bottom"/>
          </w:tcPr>
          <w:p w14:paraId="3C2E1D08" w14:textId="19976B29" w:rsidR="000144FF" w:rsidRPr="00F54064" w:rsidRDefault="003C048F" w:rsidP="007324D0">
            <w:pPr>
              <w:pStyle w:val="TableText"/>
              <w:tabs>
                <w:tab w:val="left" w:pos="3306"/>
              </w:tabs>
              <w:spacing w:before="0"/>
              <w:jc w:val="center"/>
              <w:rPr>
                <w:rFonts w:cs="Calibri"/>
              </w:rPr>
            </w:pPr>
            <w:r w:rsidRPr="00F54064">
              <w:rPr>
                <w:rFonts w:cs="Calibri"/>
              </w:rPr>
              <w:t>9</w:t>
            </w:r>
          </w:p>
        </w:tc>
        <w:tc>
          <w:tcPr>
            <w:tcW w:w="1185" w:type="dxa"/>
            <w:tcBorders>
              <w:top w:val="nil"/>
              <w:left w:val="nil"/>
              <w:bottom w:val="single" w:sz="4" w:space="0" w:color="auto"/>
              <w:right w:val="nil"/>
            </w:tcBorders>
            <w:vAlign w:val="bottom"/>
          </w:tcPr>
          <w:p w14:paraId="501C930C"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734216B6"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496E3EC6" w14:textId="77777777" w:rsidR="00913402" w:rsidRPr="00F54064" w:rsidRDefault="00913402" w:rsidP="00913402">
            <w:pPr>
              <w:pStyle w:val="TableText"/>
              <w:tabs>
                <w:tab w:val="left" w:pos="3306"/>
              </w:tabs>
              <w:spacing w:before="0"/>
              <w:jc w:val="right"/>
              <w:rPr>
                <w:rFonts w:cs="Calibri"/>
              </w:rPr>
            </w:pPr>
          </w:p>
        </w:tc>
      </w:tr>
      <w:tr w:rsidR="000144FF" w:rsidRPr="00CF7E1B" w14:paraId="030695C6" w14:textId="77777777" w:rsidTr="00B66382">
        <w:trPr>
          <w:cantSplit/>
          <w:trHeight w:val="269"/>
        </w:trPr>
        <w:tc>
          <w:tcPr>
            <w:tcW w:w="1613" w:type="dxa"/>
            <w:tcBorders>
              <w:top w:val="nil"/>
              <w:left w:val="single" w:sz="2" w:space="0" w:color="auto"/>
              <w:bottom w:val="nil"/>
              <w:right w:val="single" w:sz="2" w:space="0" w:color="auto"/>
            </w:tcBorders>
          </w:tcPr>
          <w:p w14:paraId="18AEFF39"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00F23A9D" w:rsidRPr="00055621">
              <w:rPr>
                <w:rFonts w:cs="Calibri"/>
                <w:strike/>
                <w:color w:val="FF0000"/>
                <w:sz w:val="14"/>
              </w:rPr>
              <w:t>85</w:t>
            </w:r>
          </w:p>
        </w:tc>
        <w:tc>
          <w:tcPr>
            <w:tcW w:w="4749" w:type="dxa"/>
            <w:tcBorders>
              <w:top w:val="nil"/>
              <w:left w:val="single" w:sz="2" w:space="0" w:color="auto"/>
              <w:bottom w:val="nil"/>
              <w:right w:val="nil"/>
            </w:tcBorders>
            <w:vAlign w:val="bottom"/>
          </w:tcPr>
          <w:p w14:paraId="0C81DC17" w14:textId="77777777" w:rsidR="000144FF" w:rsidRPr="00055621" w:rsidRDefault="000144FF">
            <w:pPr>
              <w:pStyle w:val="TableText"/>
              <w:tabs>
                <w:tab w:val="left" w:pos="3306"/>
              </w:tabs>
              <w:spacing w:before="0"/>
              <w:rPr>
                <w:rFonts w:cs="Calibri"/>
                <w:i/>
                <w:iCs/>
                <w:strike/>
                <w:color w:val="FF0000"/>
              </w:rPr>
            </w:pPr>
            <w:r w:rsidRPr="00055621">
              <w:rPr>
                <w:rFonts w:cs="Calibri"/>
                <w:i/>
                <w:iCs/>
                <w:strike/>
                <w:color w:val="FF0000"/>
              </w:rPr>
              <w:t>Total Gains</w:t>
            </w:r>
          </w:p>
        </w:tc>
        <w:tc>
          <w:tcPr>
            <w:tcW w:w="638" w:type="dxa"/>
            <w:tcBorders>
              <w:top w:val="nil"/>
              <w:left w:val="nil"/>
              <w:bottom w:val="nil"/>
              <w:right w:val="nil"/>
            </w:tcBorders>
            <w:vAlign w:val="bottom"/>
          </w:tcPr>
          <w:p w14:paraId="6CE5228A" w14:textId="77777777" w:rsidR="000144FF" w:rsidRPr="00F54064" w:rsidRDefault="000144FF">
            <w:pPr>
              <w:pStyle w:val="TableText"/>
              <w:tabs>
                <w:tab w:val="left" w:pos="3306"/>
              </w:tabs>
              <w:spacing w:before="0"/>
              <w:jc w:val="center"/>
              <w:rPr>
                <w:rFonts w:cs="Calibri"/>
                <w:highlight w:val="cyan"/>
              </w:rPr>
            </w:pPr>
          </w:p>
        </w:tc>
        <w:tc>
          <w:tcPr>
            <w:tcW w:w="1185" w:type="dxa"/>
            <w:tcBorders>
              <w:top w:val="single" w:sz="4" w:space="0" w:color="auto"/>
              <w:left w:val="nil"/>
              <w:bottom w:val="single" w:sz="4" w:space="0" w:color="auto"/>
              <w:right w:val="nil"/>
            </w:tcBorders>
            <w:vAlign w:val="bottom"/>
          </w:tcPr>
          <w:p w14:paraId="2D6AED36"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single" w:sz="4" w:space="0" w:color="auto"/>
              <w:right w:val="nil"/>
            </w:tcBorders>
            <w:vAlign w:val="bottom"/>
          </w:tcPr>
          <w:p w14:paraId="7A1B0BCD"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single" w:sz="4" w:space="0" w:color="auto"/>
              <w:right w:val="nil"/>
            </w:tcBorders>
            <w:vAlign w:val="bottom"/>
          </w:tcPr>
          <w:p w14:paraId="7AA0B9D8" w14:textId="77777777" w:rsidR="000144FF" w:rsidRPr="00F54064" w:rsidRDefault="000144FF">
            <w:pPr>
              <w:pStyle w:val="TableText"/>
              <w:tabs>
                <w:tab w:val="left" w:pos="3306"/>
              </w:tabs>
              <w:spacing w:before="0"/>
              <w:jc w:val="right"/>
              <w:rPr>
                <w:rFonts w:cs="Calibri"/>
              </w:rPr>
            </w:pPr>
          </w:p>
        </w:tc>
      </w:tr>
      <w:tr w:rsidR="000144FF" w:rsidRPr="00CF7E1B" w14:paraId="26BA4ECD" w14:textId="77777777" w:rsidTr="00B66382">
        <w:trPr>
          <w:cantSplit/>
          <w:trHeight w:val="234"/>
        </w:trPr>
        <w:tc>
          <w:tcPr>
            <w:tcW w:w="1613" w:type="dxa"/>
            <w:tcBorders>
              <w:top w:val="nil"/>
              <w:left w:val="single" w:sz="2" w:space="0" w:color="auto"/>
              <w:bottom w:val="nil"/>
              <w:right w:val="single" w:sz="2" w:space="0" w:color="auto"/>
            </w:tcBorders>
          </w:tcPr>
          <w:p w14:paraId="2EAC7B9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0EEFBC" w14:textId="77777777" w:rsidR="000144FF" w:rsidRPr="00F54064" w:rsidRDefault="000144FF">
            <w:pPr>
              <w:pStyle w:val="TableText"/>
              <w:tabs>
                <w:tab w:val="left" w:pos="3306"/>
              </w:tabs>
              <w:rPr>
                <w:rFonts w:cs="Calibri"/>
                <w:b/>
                <w:bCs/>
              </w:rPr>
            </w:pPr>
            <w:r w:rsidRPr="00F54064">
              <w:rPr>
                <w:rFonts w:cs="Calibri"/>
                <w:b/>
                <w:bCs/>
              </w:rPr>
              <w:t>Total Income</w:t>
            </w:r>
          </w:p>
        </w:tc>
        <w:tc>
          <w:tcPr>
            <w:tcW w:w="638" w:type="dxa"/>
            <w:tcBorders>
              <w:top w:val="nil"/>
              <w:left w:val="nil"/>
              <w:bottom w:val="nil"/>
              <w:right w:val="nil"/>
            </w:tcBorders>
            <w:vAlign w:val="bottom"/>
          </w:tcPr>
          <w:p w14:paraId="1A0FC489"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single" w:sz="4" w:space="0" w:color="auto"/>
              <w:right w:val="nil"/>
            </w:tcBorders>
            <w:vAlign w:val="bottom"/>
          </w:tcPr>
          <w:p w14:paraId="69F368F3"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3A0E206C"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4AFEA986" w14:textId="77777777" w:rsidR="000144FF" w:rsidRPr="00F54064" w:rsidRDefault="000144FF">
            <w:pPr>
              <w:pStyle w:val="TableText"/>
              <w:tabs>
                <w:tab w:val="left" w:pos="3306"/>
              </w:tabs>
              <w:spacing w:before="60"/>
              <w:jc w:val="right"/>
              <w:rPr>
                <w:rFonts w:cs="Calibri"/>
                <w:b/>
                <w:bCs/>
              </w:rPr>
            </w:pPr>
          </w:p>
        </w:tc>
      </w:tr>
      <w:tr w:rsidR="000144FF" w:rsidRPr="00CF7E1B" w14:paraId="1DA3842A" w14:textId="77777777" w:rsidTr="00B66382">
        <w:trPr>
          <w:cantSplit/>
          <w:trHeight w:val="20"/>
        </w:trPr>
        <w:tc>
          <w:tcPr>
            <w:tcW w:w="1613" w:type="dxa"/>
            <w:tcBorders>
              <w:top w:val="nil"/>
              <w:left w:val="single" w:sz="2" w:space="0" w:color="auto"/>
              <w:bottom w:val="nil"/>
              <w:right w:val="single" w:sz="2" w:space="0" w:color="auto"/>
            </w:tcBorders>
          </w:tcPr>
          <w:p w14:paraId="546DCF23"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13B04231" w14:textId="77777777" w:rsidR="000144FF" w:rsidRPr="00F54064" w:rsidRDefault="000144FF">
            <w:pPr>
              <w:pStyle w:val="TableText"/>
              <w:tabs>
                <w:tab w:val="left" w:pos="3306"/>
              </w:tabs>
              <w:rPr>
                <w:rFonts w:cs="Calibri"/>
              </w:rPr>
            </w:pPr>
          </w:p>
        </w:tc>
        <w:tc>
          <w:tcPr>
            <w:tcW w:w="638" w:type="dxa"/>
            <w:tcBorders>
              <w:top w:val="nil"/>
              <w:left w:val="nil"/>
              <w:bottom w:val="nil"/>
              <w:right w:val="nil"/>
            </w:tcBorders>
            <w:vAlign w:val="bottom"/>
          </w:tcPr>
          <w:p w14:paraId="6BE8086C"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nil"/>
              <w:right w:val="nil"/>
            </w:tcBorders>
            <w:vAlign w:val="bottom"/>
          </w:tcPr>
          <w:p w14:paraId="3F980109"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456C7C07"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6DDEF680" w14:textId="77777777" w:rsidR="000144FF" w:rsidRPr="00F54064" w:rsidRDefault="000144FF">
            <w:pPr>
              <w:pStyle w:val="TableText"/>
              <w:tabs>
                <w:tab w:val="left" w:pos="3306"/>
              </w:tabs>
              <w:spacing w:before="0"/>
              <w:jc w:val="right"/>
              <w:rPr>
                <w:rFonts w:cs="Calibri"/>
              </w:rPr>
            </w:pPr>
          </w:p>
        </w:tc>
      </w:tr>
      <w:tr w:rsidR="000144FF" w:rsidRPr="00CF7E1B" w14:paraId="7CE00E97" w14:textId="77777777" w:rsidTr="00B66382">
        <w:trPr>
          <w:cantSplit/>
          <w:trHeight w:val="20"/>
        </w:trPr>
        <w:tc>
          <w:tcPr>
            <w:tcW w:w="1613" w:type="dxa"/>
            <w:tcBorders>
              <w:top w:val="nil"/>
              <w:left w:val="single" w:sz="2" w:space="0" w:color="auto"/>
              <w:bottom w:val="nil"/>
              <w:right w:val="single" w:sz="2" w:space="0" w:color="auto"/>
            </w:tcBorders>
          </w:tcPr>
          <w:p w14:paraId="2511F5E2"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3D12A28A" w14:textId="77777777" w:rsidR="000144FF" w:rsidRPr="00F54064" w:rsidRDefault="000144FF">
            <w:pPr>
              <w:pStyle w:val="TableText"/>
              <w:tabs>
                <w:tab w:val="left" w:pos="3306"/>
              </w:tabs>
              <w:rPr>
                <w:rFonts w:cs="Calibri"/>
                <w:b/>
                <w:bCs/>
              </w:rPr>
            </w:pPr>
            <w:bookmarkStart w:id="147" w:name="_Toc48468212"/>
            <w:bookmarkStart w:id="148" w:name="_Toc49223853"/>
            <w:r w:rsidRPr="00F54064">
              <w:rPr>
                <w:rFonts w:cs="Calibri"/>
                <w:b/>
                <w:bCs/>
              </w:rPr>
              <w:t xml:space="preserve">Expenses </w:t>
            </w:r>
            <w:bookmarkEnd w:id="147"/>
            <w:bookmarkEnd w:id="148"/>
          </w:p>
        </w:tc>
        <w:tc>
          <w:tcPr>
            <w:tcW w:w="638" w:type="dxa"/>
            <w:tcBorders>
              <w:top w:val="nil"/>
              <w:left w:val="nil"/>
              <w:bottom w:val="nil"/>
              <w:right w:val="nil"/>
            </w:tcBorders>
            <w:vAlign w:val="bottom"/>
          </w:tcPr>
          <w:p w14:paraId="0EF24DE5"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0A301C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88873AF"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CAB71F" w14:textId="77777777" w:rsidR="000144FF" w:rsidRPr="00F54064" w:rsidRDefault="000144FF">
            <w:pPr>
              <w:pStyle w:val="TableText"/>
              <w:tabs>
                <w:tab w:val="left" w:pos="3306"/>
              </w:tabs>
              <w:jc w:val="right"/>
              <w:rPr>
                <w:rFonts w:cs="Calibri"/>
              </w:rPr>
            </w:pPr>
          </w:p>
        </w:tc>
      </w:tr>
      <w:tr w:rsidR="000144FF" w:rsidRPr="00CF7E1B" w14:paraId="5FC25938" w14:textId="77777777" w:rsidTr="00B66382">
        <w:trPr>
          <w:cantSplit/>
          <w:trHeight w:val="20"/>
        </w:trPr>
        <w:tc>
          <w:tcPr>
            <w:tcW w:w="1613" w:type="dxa"/>
            <w:tcBorders>
              <w:top w:val="nil"/>
              <w:left w:val="single" w:sz="2" w:space="0" w:color="auto"/>
              <w:bottom w:val="nil"/>
              <w:right w:val="single" w:sz="2" w:space="0" w:color="auto"/>
            </w:tcBorders>
          </w:tcPr>
          <w:p w14:paraId="3A9CB5DC"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28F98E44" w14:textId="77777777" w:rsidR="000144FF" w:rsidRPr="00F54064" w:rsidRDefault="000144FF">
            <w:pPr>
              <w:pStyle w:val="TableText"/>
              <w:tabs>
                <w:tab w:val="left" w:pos="3306"/>
              </w:tabs>
              <w:rPr>
                <w:rFonts w:cs="Calibri"/>
              </w:rPr>
            </w:pPr>
            <w:r w:rsidRPr="00F54064">
              <w:rPr>
                <w:rFonts w:cs="Calibri"/>
              </w:rPr>
              <w:t>Employee Expenses</w:t>
            </w:r>
          </w:p>
        </w:tc>
        <w:tc>
          <w:tcPr>
            <w:tcW w:w="638" w:type="dxa"/>
            <w:tcBorders>
              <w:top w:val="nil"/>
              <w:left w:val="nil"/>
              <w:bottom w:val="nil"/>
              <w:right w:val="nil"/>
            </w:tcBorders>
            <w:vAlign w:val="bottom"/>
          </w:tcPr>
          <w:p w14:paraId="08D39C46" w14:textId="741F0698" w:rsidR="000144FF" w:rsidRPr="00F54064" w:rsidRDefault="003C048F">
            <w:pPr>
              <w:pStyle w:val="TableText"/>
              <w:tabs>
                <w:tab w:val="left" w:pos="3306"/>
              </w:tabs>
              <w:jc w:val="center"/>
              <w:rPr>
                <w:rFonts w:cs="Calibri"/>
                <w:strike/>
              </w:rPr>
            </w:pPr>
            <w:r w:rsidRPr="00F54064">
              <w:rPr>
                <w:rFonts w:cs="Calibri"/>
              </w:rPr>
              <w:t>10</w:t>
            </w:r>
          </w:p>
        </w:tc>
        <w:tc>
          <w:tcPr>
            <w:tcW w:w="1185" w:type="dxa"/>
            <w:tcBorders>
              <w:top w:val="nil"/>
              <w:left w:val="nil"/>
              <w:bottom w:val="nil"/>
              <w:right w:val="nil"/>
            </w:tcBorders>
            <w:vAlign w:val="bottom"/>
          </w:tcPr>
          <w:p w14:paraId="391EED8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8BA53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4F1AC1" w14:textId="77777777" w:rsidR="000144FF" w:rsidRPr="00F54064" w:rsidRDefault="000144FF">
            <w:pPr>
              <w:pStyle w:val="TableText"/>
              <w:tabs>
                <w:tab w:val="left" w:pos="3306"/>
              </w:tabs>
              <w:jc w:val="right"/>
              <w:rPr>
                <w:rFonts w:cs="Calibri"/>
              </w:rPr>
            </w:pPr>
          </w:p>
        </w:tc>
      </w:tr>
      <w:tr w:rsidR="000144FF" w:rsidRPr="00CF7E1B" w14:paraId="5C67BA6F" w14:textId="77777777" w:rsidTr="00B66382">
        <w:trPr>
          <w:cantSplit/>
          <w:trHeight w:val="20"/>
        </w:trPr>
        <w:tc>
          <w:tcPr>
            <w:tcW w:w="1613" w:type="dxa"/>
            <w:tcBorders>
              <w:top w:val="nil"/>
              <w:left w:val="single" w:sz="2" w:space="0" w:color="auto"/>
              <w:bottom w:val="nil"/>
              <w:right w:val="single" w:sz="2" w:space="0" w:color="auto"/>
            </w:tcBorders>
          </w:tcPr>
          <w:p w14:paraId="3DE5A3F8" w14:textId="77777777" w:rsidR="000144FF" w:rsidRPr="00055621" w:rsidRDefault="000144FF" w:rsidP="00B11849">
            <w:pPr>
              <w:pStyle w:val="TableReference"/>
              <w:tabs>
                <w:tab w:val="left" w:pos="3306"/>
              </w:tabs>
              <w:spacing w:beforeLines="20" w:before="48"/>
              <w:rPr>
                <w:rFonts w:cs="Calibri"/>
                <w:strike/>
                <w:color w:val="FF0000"/>
                <w:sz w:val="14"/>
              </w:rPr>
            </w:pPr>
            <w:r w:rsidRPr="00055621">
              <w:rPr>
                <w:rFonts w:cs="Calibri"/>
                <w:strike/>
                <w:color w:val="FF0000"/>
                <w:sz w:val="14"/>
              </w:rPr>
              <w:t>AASB 101</w:t>
            </w:r>
            <w:r w:rsidR="00D65811" w:rsidRPr="00055621">
              <w:rPr>
                <w:rFonts w:cs="Calibri"/>
                <w:strike/>
                <w:color w:val="FF0000"/>
                <w:sz w:val="14"/>
              </w:rPr>
              <w:t>.</w:t>
            </w:r>
            <w:r w:rsidR="00F23A9D" w:rsidRPr="00055621">
              <w:rPr>
                <w:rFonts w:cs="Calibri"/>
                <w:strike/>
                <w:color w:val="FF0000"/>
                <w:sz w:val="14"/>
              </w:rPr>
              <w:t xml:space="preserve">85 </w:t>
            </w:r>
            <w:r w:rsidRPr="00055621">
              <w:rPr>
                <w:rFonts w:cs="Calibri"/>
                <w:strike/>
                <w:color w:val="FF0000"/>
                <w:sz w:val="14"/>
              </w:rPr>
              <w:t xml:space="preserve">&amp; </w:t>
            </w:r>
            <w:r w:rsidR="00F23A9D" w:rsidRPr="00055621">
              <w:rPr>
                <w:rFonts w:cs="Calibri"/>
                <w:strike/>
                <w:color w:val="FF0000"/>
                <w:sz w:val="14"/>
              </w:rPr>
              <w:t>102</w:t>
            </w:r>
          </w:p>
        </w:tc>
        <w:tc>
          <w:tcPr>
            <w:tcW w:w="4749" w:type="dxa"/>
            <w:tcBorders>
              <w:top w:val="nil"/>
              <w:left w:val="single" w:sz="2" w:space="0" w:color="auto"/>
              <w:bottom w:val="nil"/>
              <w:right w:val="nil"/>
            </w:tcBorders>
            <w:vAlign w:val="bottom"/>
          </w:tcPr>
          <w:p w14:paraId="2DD026C7" w14:textId="77777777" w:rsidR="000144FF" w:rsidRPr="00055621" w:rsidRDefault="000144FF">
            <w:pPr>
              <w:pStyle w:val="TableText"/>
              <w:tabs>
                <w:tab w:val="left" w:pos="3306"/>
              </w:tabs>
              <w:rPr>
                <w:rFonts w:cs="Calibri"/>
                <w:strike/>
                <w:color w:val="FF0000"/>
              </w:rPr>
            </w:pPr>
            <w:r w:rsidRPr="00055621">
              <w:rPr>
                <w:rFonts w:cs="Calibri"/>
                <w:strike/>
                <w:color w:val="FF0000"/>
              </w:rPr>
              <w:t>Superannuation Expenses</w:t>
            </w:r>
          </w:p>
        </w:tc>
        <w:tc>
          <w:tcPr>
            <w:tcW w:w="638" w:type="dxa"/>
            <w:tcBorders>
              <w:top w:val="nil"/>
              <w:left w:val="nil"/>
              <w:bottom w:val="nil"/>
              <w:right w:val="nil"/>
            </w:tcBorders>
            <w:vAlign w:val="bottom"/>
          </w:tcPr>
          <w:p w14:paraId="256C7749" w14:textId="53844C96" w:rsidR="000144FF" w:rsidRPr="00055621" w:rsidRDefault="00A8656F">
            <w:pPr>
              <w:pStyle w:val="TableText"/>
              <w:tabs>
                <w:tab w:val="left" w:pos="3306"/>
              </w:tabs>
              <w:jc w:val="center"/>
              <w:rPr>
                <w:rFonts w:cs="Calibri"/>
                <w:strike/>
                <w:color w:val="FF0000"/>
              </w:rPr>
            </w:pPr>
            <w:r w:rsidRPr="00055621">
              <w:rPr>
                <w:rFonts w:cs="Calibri"/>
                <w:strike/>
                <w:color w:val="FF0000"/>
              </w:rPr>
              <w:t>10</w:t>
            </w:r>
          </w:p>
        </w:tc>
        <w:tc>
          <w:tcPr>
            <w:tcW w:w="1185" w:type="dxa"/>
            <w:tcBorders>
              <w:top w:val="nil"/>
              <w:left w:val="nil"/>
              <w:bottom w:val="nil"/>
              <w:right w:val="nil"/>
            </w:tcBorders>
            <w:vAlign w:val="bottom"/>
          </w:tcPr>
          <w:p w14:paraId="4D2900F0"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915D3B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15684690" w14:textId="77777777" w:rsidR="000144FF" w:rsidRPr="00F54064" w:rsidRDefault="000144FF">
            <w:pPr>
              <w:pStyle w:val="TableText"/>
              <w:tabs>
                <w:tab w:val="left" w:pos="3306"/>
              </w:tabs>
              <w:jc w:val="right"/>
              <w:rPr>
                <w:rFonts w:cs="Calibri"/>
              </w:rPr>
            </w:pPr>
          </w:p>
        </w:tc>
      </w:tr>
      <w:tr w:rsidR="000144FF" w:rsidRPr="00CF7E1B" w14:paraId="5C574E48" w14:textId="77777777" w:rsidTr="00B66382">
        <w:trPr>
          <w:cantSplit/>
          <w:trHeight w:val="20"/>
        </w:trPr>
        <w:tc>
          <w:tcPr>
            <w:tcW w:w="1613" w:type="dxa"/>
            <w:tcBorders>
              <w:top w:val="nil"/>
              <w:left w:val="single" w:sz="2" w:space="0" w:color="auto"/>
              <w:bottom w:val="nil"/>
              <w:right w:val="single" w:sz="2" w:space="0" w:color="auto"/>
            </w:tcBorders>
          </w:tcPr>
          <w:p w14:paraId="1268100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3D3C0FB2" w14:textId="77777777" w:rsidR="000144FF" w:rsidRPr="00F54064" w:rsidRDefault="000144FF">
            <w:pPr>
              <w:pStyle w:val="TableText"/>
              <w:tabs>
                <w:tab w:val="left" w:pos="3306"/>
              </w:tabs>
              <w:rPr>
                <w:rFonts w:cs="Calibri"/>
              </w:rPr>
            </w:pPr>
            <w:r w:rsidRPr="00F54064">
              <w:rPr>
                <w:rFonts w:cs="Calibri"/>
              </w:rPr>
              <w:t xml:space="preserve">Supplies and Services </w:t>
            </w:r>
          </w:p>
        </w:tc>
        <w:tc>
          <w:tcPr>
            <w:tcW w:w="638" w:type="dxa"/>
            <w:tcBorders>
              <w:top w:val="nil"/>
              <w:left w:val="nil"/>
              <w:bottom w:val="nil"/>
              <w:right w:val="nil"/>
            </w:tcBorders>
            <w:vAlign w:val="bottom"/>
          </w:tcPr>
          <w:p w14:paraId="4433051E" w14:textId="28431FFA"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1</w:t>
            </w:r>
          </w:p>
        </w:tc>
        <w:tc>
          <w:tcPr>
            <w:tcW w:w="1185" w:type="dxa"/>
            <w:tcBorders>
              <w:top w:val="nil"/>
              <w:left w:val="nil"/>
              <w:bottom w:val="nil"/>
              <w:right w:val="nil"/>
            </w:tcBorders>
            <w:vAlign w:val="bottom"/>
          </w:tcPr>
          <w:p w14:paraId="7458277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4EFCD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EA0728D" w14:textId="77777777" w:rsidR="000144FF" w:rsidRPr="00F54064" w:rsidRDefault="000144FF">
            <w:pPr>
              <w:pStyle w:val="TableText"/>
              <w:tabs>
                <w:tab w:val="left" w:pos="3306"/>
              </w:tabs>
              <w:jc w:val="right"/>
              <w:rPr>
                <w:rFonts w:cs="Calibri"/>
              </w:rPr>
            </w:pPr>
          </w:p>
        </w:tc>
      </w:tr>
      <w:tr w:rsidR="000144FF" w:rsidRPr="00CF7E1B" w14:paraId="5AB3CED6" w14:textId="77777777" w:rsidTr="00B66382">
        <w:trPr>
          <w:cantSplit/>
          <w:trHeight w:val="20"/>
        </w:trPr>
        <w:tc>
          <w:tcPr>
            <w:tcW w:w="1613" w:type="dxa"/>
            <w:tcBorders>
              <w:top w:val="nil"/>
              <w:left w:val="single" w:sz="2" w:space="0" w:color="auto"/>
              <w:bottom w:val="nil"/>
              <w:right w:val="single" w:sz="2" w:space="0" w:color="auto"/>
            </w:tcBorders>
          </w:tcPr>
          <w:p w14:paraId="1C630FC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tcPr>
          <w:p w14:paraId="1F61F7AD" w14:textId="77777777" w:rsidR="000144FF" w:rsidRPr="00F54064" w:rsidRDefault="000144FF" w:rsidP="000048BD">
            <w:pPr>
              <w:pStyle w:val="TableText"/>
              <w:tabs>
                <w:tab w:val="left" w:pos="3306"/>
              </w:tabs>
              <w:rPr>
                <w:rFonts w:cs="Calibri"/>
              </w:rPr>
            </w:pPr>
            <w:r w:rsidRPr="00F54064">
              <w:rPr>
                <w:rFonts w:cs="Calibri"/>
              </w:rPr>
              <w:t>Depreciation and Amortisation</w:t>
            </w:r>
          </w:p>
        </w:tc>
        <w:tc>
          <w:tcPr>
            <w:tcW w:w="638" w:type="dxa"/>
            <w:tcBorders>
              <w:top w:val="nil"/>
              <w:left w:val="nil"/>
              <w:bottom w:val="nil"/>
              <w:right w:val="nil"/>
            </w:tcBorders>
            <w:vAlign w:val="bottom"/>
          </w:tcPr>
          <w:p w14:paraId="0C677746" w14:textId="049B760A" w:rsidR="000144FF" w:rsidRPr="00F54064" w:rsidRDefault="00115D03">
            <w:pPr>
              <w:pStyle w:val="TableText"/>
              <w:tabs>
                <w:tab w:val="left" w:pos="3306"/>
              </w:tabs>
              <w:jc w:val="center"/>
              <w:rPr>
                <w:rFonts w:cs="Calibri"/>
                <w:strike/>
              </w:rPr>
            </w:pPr>
            <w:r w:rsidRPr="00F54064">
              <w:rPr>
                <w:rFonts w:cs="Calibri"/>
              </w:rPr>
              <w:t>19</w:t>
            </w:r>
            <w:r w:rsidR="000048BD" w:rsidRPr="00F54064">
              <w:rPr>
                <w:rFonts w:cs="Calibri"/>
              </w:rPr>
              <w:t>,2</w:t>
            </w:r>
            <w:r w:rsidRPr="00F54064">
              <w:rPr>
                <w:rFonts w:cs="Calibri"/>
              </w:rPr>
              <w:t>1</w:t>
            </w:r>
          </w:p>
        </w:tc>
        <w:tc>
          <w:tcPr>
            <w:tcW w:w="1185" w:type="dxa"/>
            <w:tcBorders>
              <w:top w:val="nil"/>
              <w:left w:val="nil"/>
              <w:bottom w:val="nil"/>
              <w:right w:val="nil"/>
            </w:tcBorders>
            <w:vAlign w:val="bottom"/>
          </w:tcPr>
          <w:p w14:paraId="7857809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FECD142"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B24B801" w14:textId="77777777" w:rsidR="000144FF" w:rsidRPr="00F54064" w:rsidRDefault="000144FF">
            <w:pPr>
              <w:pStyle w:val="TableText"/>
              <w:tabs>
                <w:tab w:val="left" w:pos="3306"/>
              </w:tabs>
              <w:jc w:val="right"/>
              <w:rPr>
                <w:rFonts w:cs="Calibri"/>
              </w:rPr>
            </w:pPr>
          </w:p>
        </w:tc>
      </w:tr>
      <w:tr w:rsidR="000144FF" w:rsidRPr="00CF7E1B" w14:paraId="11C18649" w14:textId="77777777" w:rsidTr="00B66382">
        <w:trPr>
          <w:cantSplit/>
          <w:trHeight w:val="20"/>
        </w:trPr>
        <w:tc>
          <w:tcPr>
            <w:tcW w:w="1613" w:type="dxa"/>
            <w:tcBorders>
              <w:top w:val="nil"/>
              <w:left w:val="single" w:sz="2" w:space="0" w:color="auto"/>
              <w:bottom w:val="nil"/>
              <w:right w:val="single" w:sz="2" w:space="0" w:color="auto"/>
            </w:tcBorders>
          </w:tcPr>
          <w:p w14:paraId="3F12C4BB"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4E11FD5E" w14:textId="77777777" w:rsidR="000144FF" w:rsidRPr="00F54064" w:rsidRDefault="000144FF">
            <w:pPr>
              <w:pStyle w:val="TableText"/>
              <w:tabs>
                <w:tab w:val="left" w:pos="3306"/>
              </w:tabs>
              <w:rPr>
                <w:rFonts w:cs="Calibri"/>
              </w:rPr>
            </w:pPr>
            <w:r w:rsidRPr="00F54064">
              <w:rPr>
                <w:rFonts w:cs="Calibri"/>
              </w:rPr>
              <w:t>Grants and Purchased Services</w:t>
            </w:r>
          </w:p>
        </w:tc>
        <w:tc>
          <w:tcPr>
            <w:tcW w:w="638" w:type="dxa"/>
            <w:tcBorders>
              <w:top w:val="nil"/>
              <w:left w:val="nil"/>
              <w:bottom w:val="nil"/>
              <w:right w:val="nil"/>
            </w:tcBorders>
            <w:vAlign w:val="bottom"/>
          </w:tcPr>
          <w:p w14:paraId="2331EB46" w14:textId="765E4ED8"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2</w:t>
            </w:r>
          </w:p>
        </w:tc>
        <w:tc>
          <w:tcPr>
            <w:tcW w:w="1185" w:type="dxa"/>
            <w:tcBorders>
              <w:top w:val="nil"/>
              <w:left w:val="nil"/>
              <w:bottom w:val="nil"/>
              <w:right w:val="nil"/>
            </w:tcBorders>
            <w:vAlign w:val="bottom"/>
          </w:tcPr>
          <w:p w14:paraId="4D1B940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60AA1D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0EF9204" w14:textId="77777777" w:rsidR="000144FF" w:rsidRPr="00F54064" w:rsidRDefault="000144FF">
            <w:pPr>
              <w:pStyle w:val="TableText"/>
              <w:tabs>
                <w:tab w:val="left" w:pos="3306"/>
              </w:tabs>
              <w:jc w:val="right"/>
              <w:rPr>
                <w:rFonts w:cs="Calibri"/>
              </w:rPr>
            </w:pPr>
          </w:p>
        </w:tc>
      </w:tr>
      <w:tr w:rsidR="0029564D" w:rsidRPr="00CF7E1B" w14:paraId="72C4A3C7" w14:textId="77777777" w:rsidTr="00B66382">
        <w:trPr>
          <w:cantSplit/>
          <w:trHeight w:val="20"/>
        </w:trPr>
        <w:tc>
          <w:tcPr>
            <w:tcW w:w="1613" w:type="dxa"/>
            <w:tcBorders>
              <w:top w:val="nil"/>
              <w:left w:val="single" w:sz="2" w:space="0" w:color="auto"/>
              <w:bottom w:val="nil"/>
              <w:right w:val="single" w:sz="2" w:space="0" w:color="auto"/>
            </w:tcBorders>
          </w:tcPr>
          <w:p w14:paraId="5027AF38" w14:textId="56E1AD1D" w:rsidR="0029564D" w:rsidRPr="00F54064" w:rsidRDefault="0029564D" w:rsidP="00B11849">
            <w:pPr>
              <w:pStyle w:val="TableReference"/>
              <w:tabs>
                <w:tab w:val="left" w:pos="3306"/>
              </w:tabs>
              <w:spacing w:beforeLines="20" w:before="48"/>
              <w:rPr>
                <w:rFonts w:cs="Calibri"/>
                <w:color w:val="7030A0"/>
                <w:sz w:val="14"/>
              </w:rPr>
            </w:pPr>
            <w:r w:rsidRPr="00F54064">
              <w:rPr>
                <w:rFonts w:cs="Calibri"/>
                <w:color w:val="7030A0"/>
                <w:sz w:val="14"/>
              </w:rPr>
              <w:t>AASB 101.85 &amp; 102</w:t>
            </w:r>
          </w:p>
        </w:tc>
        <w:tc>
          <w:tcPr>
            <w:tcW w:w="4749" w:type="dxa"/>
            <w:tcBorders>
              <w:top w:val="nil"/>
              <w:left w:val="single" w:sz="2" w:space="0" w:color="auto"/>
              <w:bottom w:val="nil"/>
              <w:right w:val="nil"/>
            </w:tcBorders>
            <w:vAlign w:val="bottom"/>
          </w:tcPr>
          <w:p w14:paraId="1D79E365" w14:textId="5C8090D8" w:rsidR="0029564D" w:rsidRPr="00F54064" w:rsidRDefault="0029564D">
            <w:pPr>
              <w:pStyle w:val="TableText"/>
              <w:tabs>
                <w:tab w:val="left" w:pos="3306"/>
              </w:tabs>
              <w:rPr>
                <w:rFonts w:cs="Calibri"/>
              </w:rPr>
            </w:pPr>
            <w:r w:rsidRPr="00F54064">
              <w:t>Cost of Goods Sold</w:t>
            </w:r>
            <w:r w:rsidR="00B60255" w:rsidRPr="00F54064">
              <w:t xml:space="preserve"> </w:t>
            </w:r>
            <w:r w:rsidR="00115D03" w:rsidRPr="00F54064">
              <w:t>and</w:t>
            </w:r>
            <w:r w:rsidR="00B60255" w:rsidRPr="00F54064">
              <w:t xml:space="preserve"> Distributed</w:t>
            </w:r>
          </w:p>
        </w:tc>
        <w:tc>
          <w:tcPr>
            <w:tcW w:w="638" w:type="dxa"/>
            <w:tcBorders>
              <w:top w:val="nil"/>
              <w:left w:val="nil"/>
              <w:bottom w:val="nil"/>
              <w:right w:val="nil"/>
            </w:tcBorders>
            <w:vAlign w:val="bottom"/>
          </w:tcPr>
          <w:p w14:paraId="68154A51" w14:textId="30FC57FC" w:rsidR="0029564D" w:rsidRPr="00F54064" w:rsidRDefault="003C048F">
            <w:pPr>
              <w:pStyle w:val="TableText"/>
              <w:tabs>
                <w:tab w:val="left" w:pos="3306"/>
              </w:tabs>
              <w:jc w:val="center"/>
              <w:rPr>
                <w:rFonts w:cs="Calibri"/>
              </w:rPr>
            </w:pPr>
            <w:r w:rsidRPr="00F54064">
              <w:rPr>
                <w:rFonts w:cs="Calibri"/>
              </w:rPr>
              <w:t>1</w:t>
            </w:r>
            <w:r w:rsidR="00115D03" w:rsidRPr="00F54064">
              <w:rPr>
                <w:rFonts w:cs="Calibri"/>
              </w:rPr>
              <w:t>7</w:t>
            </w:r>
          </w:p>
        </w:tc>
        <w:tc>
          <w:tcPr>
            <w:tcW w:w="1185" w:type="dxa"/>
            <w:tcBorders>
              <w:top w:val="nil"/>
              <w:left w:val="nil"/>
              <w:bottom w:val="nil"/>
              <w:right w:val="nil"/>
            </w:tcBorders>
            <w:vAlign w:val="bottom"/>
          </w:tcPr>
          <w:p w14:paraId="13D10136"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54282ACA"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23FE6DBD" w14:textId="77777777" w:rsidR="0029564D" w:rsidRPr="00F54064" w:rsidRDefault="0029564D">
            <w:pPr>
              <w:pStyle w:val="TableText"/>
              <w:tabs>
                <w:tab w:val="left" w:pos="3306"/>
              </w:tabs>
              <w:jc w:val="right"/>
              <w:rPr>
                <w:rFonts w:cs="Calibri"/>
              </w:rPr>
            </w:pPr>
          </w:p>
        </w:tc>
      </w:tr>
      <w:tr w:rsidR="000144FF" w:rsidRPr="00CF7E1B" w14:paraId="5C586812" w14:textId="77777777" w:rsidTr="00B66382">
        <w:trPr>
          <w:cantSplit/>
          <w:trHeight w:val="20"/>
        </w:trPr>
        <w:tc>
          <w:tcPr>
            <w:tcW w:w="1613" w:type="dxa"/>
            <w:tcBorders>
              <w:top w:val="nil"/>
              <w:left w:val="single" w:sz="2" w:space="0" w:color="auto"/>
              <w:bottom w:val="nil"/>
              <w:right w:val="single" w:sz="2" w:space="0" w:color="auto"/>
            </w:tcBorders>
          </w:tcPr>
          <w:p w14:paraId="48496866"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(b)</w:t>
            </w:r>
          </w:p>
        </w:tc>
        <w:tc>
          <w:tcPr>
            <w:tcW w:w="4749" w:type="dxa"/>
            <w:tcBorders>
              <w:top w:val="nil"/>
              <w:left w:val="single" w:sz="2" w:space="0" w:color="auto"/>
              <w:bottom w:val="nil"/>
              <w:right w:val="nil"/>
            </w:tcBorders>
            <w:vAlign w:val="bottom"/>
          </w:tcPr>
          <w:p w14:paraId="4336EEA4" w14:textId="77777777" w:rsidR="000144FF" w:rsidRPr="00F54064" w:rsidRDefault="000144FF">
            <w:pPr>
              <w:pStyle w:val="TableText"/>
              <w:tabs>
                <w:tab w:val="left" w:pos="3306"/>
              </w:tabs>
              <w:rPr>
                <w:rFonts w:cs="Calibri"/>
              </w:rPr>
            </w:pPr>
            <w:r w:rsidRPr="00F54064">
              <w:rPr>
                <w:rFonts w:cs="Calibri"/>
              </w:rPr>
              <w:t>Borrowing Costs</w:t>
            </w:r>
          </w:p>
        </w:tc>
        <w:tc>
          <w:tcPr>
            <w:tcW w:w="638" w:type="dxa"/>
            <w:tcBorders>
              <w:top w:val="nil"/>
              <w:left w:val="nil"/>
              <w:bottom w:val="nil"/>
              <w:right w:val="nil"/>
            </w:tcBorders>
            <w:vAlign w:val="bottom"/>
          </w:tcPr>
          <w:p w14:paraId="2D6DDE66" w14:textId="77B2C22D" w:rsidR="000144FF" w:rsidRPr="00F54064" w:rsidRDefault="00EF23BC">
            <w:pPr>
              <w:pStyle w:val="TableText"/>
              <w:tabs>
                <w:tab w:val="left" w:pos="3306"/>
              </w:tabs>
              <w:jc w:val="center"/>
              <w:rPr>
                <w:rFonts w:cs="Calibri"/>
              </w:rPr>
            </w:pPr>
            <w:r w:rsidRPr="00F54064">
              <w:rPr>
                <w:rFonts w:cs="Calibri"/>
              </w:rPr>
              <w:t>1</w:t>
            </w:r>
            <w:r w:rsidR="00115D03" w:rsidRPr="00F54064">
              <w:rPr>
                <w:rFonts w:cs="Calibri"/>
              </w:rPr>
              <w:t>3</w:t>
            </w:r>
          </w:p>
        </w:tc>
        <w:tc>
          <w:tcPr>
            <w:tcW w:w="1185" w:type="dxa"/>
            <w:tcBorders>
              <w:top w:val="nil"/>
              <w:left w:val="nil"/>
              <w:bottom w:val="nil"/>
              <w:right w:val="nil"/>
            </w:tcBorders>
            <w:vAlign w:val="bottom"/>
          </w:tcPr>
          <w:p w14:paraId="6AF9BA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69643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B364742" w14:textId="77777777" w:rsidR="000144FF" w:rsidRPr="00F54064" w:rsidRDefault="000144FF">
            <w:pPr>
              <w:pStyle w:val="TableText"/>
              <w:tabs>
                <w:tab w:val="left" w:pos="3306"/>
              </w:tabs>
              <w:jc w:val="right"/>
              <w:rPr>
                <w:rFonts w:cs="Calibri"/>
              </w:rPr>
            </w:pPr>
          </w:p>
        </w:tc>
      </w:tr>
      <w:tr w:rsidR="000144FF" w:rsidRPr="00CF7E1B" w14:paraId="7F2C9605" w14:textId="77777777" w:rsidTr="00B66382">
        <w:trPr>
          <w:cantSplit/>
          <w:trHeight w:val="80"/>
        </w:trPr>
        <w:tc>
          <w:tcPr>
            <w:tcW w:w="1613" w:type="dxa"/>
            <w:tcBorders>
              <w:top w:val="nil"/>
              <w:left w:val="single" w:sz="2" w:space="0" w:color="auto"/>
              <w:bottom w:val="nil"/>
              <w:right w:val="single" w:sz="2" w:space="0" w:color="auto"/>
            </w:tcBorders>
          </w:tcPr>
          <w:p w14:paraId="469D641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 &amp; 102</w:t>
            </w:r>
          </w:p>
        </w:tc>
        <w:tc>
          <w:tcPr>
            <w:tcW w:w="4749" w:type="dxa"/>
            <w:tcBorders>
              <w:top w:val="nil"/>
              <w:left w:val="single" w:sz="2" w:space="0" w:color="auto"/>
              <w:bottom w:val="nil"/>
              <w:right w:val="nil"/>
            </w:tcBorders>
            <w:vAlign w:val="bottom"/>
          </w:tcPr>
          <w:p w14:paraId="1F1683C1" w14:textId="77777777" w:rsidR="000144FF" w:rsidRPr="00F54064" w:rsidRDefault="000144FF" w:rsidP="00EB11C0">
            <w:pPr>
              <w:pStyle w:val="TableText"/>
              <w:tabs>
                <w:tab w:val="left" w:pos="3306"/>
              </w:tabs>
              <w:rPr>
                <w:rFonts w:cs="Calibri"/>
              </w:rPr>
            </w:pPr>
            <w:r w:rsidRPr="00F54064">
              <w:rPr>
                <w:rFonts w:cs="Calibri"/>
              </w:rPr>
              <w:t>Other Expenses</w:t>
            </w:r>
            <w:r w:rsidR="005C27DD" w:rsidRPr="00F54064">
              <w:rPr>
                <w:rFonts w:cs="Calibri"/>
              </w:rPr>
              <w:t xml:space="preserve"> </w:t>
            </w:r>
          </w:p>
        </w:tc>
        <w:tc>
          <w:tcPr>
            <w:tcW w:w="638" w:type="dxa"/>
            <w:tcBorders>
              <w:top w:val="nil"/>
              <w:left w:val="nil"/>
              <w:bottom w:val="nil"/>
              <w:right w:val="nil"/>
            </w:tcBorders>
            <w:vAlign w:val="bottom"/>
          </w:tcPr>
          <w:p w14:paraId="3DC94713" w14:textId="12BA2387" w:rsidR="000144FF" w:rsidRPr="00F54064" w:rsidRDefault="00115D03">
            <w:pPr>
              <w:pStyle w:val="TableText"/>
              <w:tabs>
                <w:tab w:val="left" w:pos="3306"/>
              </w:tabs>
              <w:jc w:val="center"/>
              <w:rPr>
                <w:rFonts w:cs="Calibri"/>
              </w:rPr>
            </w:pPr>
            <w:r w:rsidRPr="00F54064">
              <w:rPr>
                <w:rFonts w:cs="Calibri"/>
              </w:rPr>
              <w:t>14</w:t>
            </w:r>
          </w:p>
        </w:tc>
        <w:tc>
          <w:tcPr>
            <w:tcW w:w="1185" w:type="dxa"/>
            <w:tcBorders>
              <w:top w:val="nil"/>
              <w:left w:val="nil"/>
              <w:bottom w:val="single" w:sz="4" w:space="0" w:color="auto"/>
              <w:right w:val="nil"/>
            </w:tcBorders>
            <w:vAlign w:val="bottom"/>
          </w:tcPr>
          <w:p w14:paraId="6DB87413" w14:textId="77777777" w:rsidR="000144FF" w:rsidRPr="00F54064" w:rsidRDefault="000144FF" w:rsidP="00FD5E99">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5849E461"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25CB313C" w14:textId="77777777" w:rsidR="000144FF" w:rsidRPr="00F54064" w:rsidRDefault="000144FF">
            <w:pPr>
              <w:pStyle w:val="TableText"/>
              <w:tabs>
                <w:tab w:val="left" w:pos="3306"/>
              </w:tabs>
              <w:jc w:val="right"/>
              <w:rPr>
                <w:rFonts w:cs="Calibri"/>
              </w:rPr>
            </w:pPr>
          </w:p>
        </w:tc>
      </w:tr>
      <w:tr w:rsidR="000144FF" w:rsidRPr="00CF7E1B" w14:paraId="1E013DFF" w14:textId="77777777" w:rsidTr="00B66382">
        <w:trPr>
          <w:cantSplit/>
          <w:trHeight w:val="20"/>
        </w:trPr>
        <w:tc>
          <w:tcPr>
            <w:tcW w:w="1613" w:type="dxa"/>
            <w:tcBorders>
              <w:top w:val="nil"/>
              <w:left w:val="single" w:sz="2" w:space="0" w:color="auto"/>
              <w:bottom w:val="nil"/>
              <w:right w:val="single" w:sz="2" w:space="0" w:color="auto"/>
            </w:tcBorders>
          </w:tcPr>
          <w:p w14:paraId="6C844C1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687F40" w14:textId="77777777" w:rsidR="000144FF" w:rsidRPr="00F54064" w:rsidRDefault="000144FF">
            <w:pPr>
              <w:pStyle w:val="TableText"/>
              <w:tabs>
                <w:tab w:val="left" w:pos="3306"/>
              </w:tabs>
              <w:rPr>
                <w:rFonts w:cs="Calibri"/>
                <w:b/>
                <w:bCs/>
              </w:rPr>
            </w:pPr>
            <w:r w:rsidRPr="00F54064">
              <w:rPr>
                <w:rFonts w:cs="Calibri"/>
                <w:b/>
                <w:bCs/>
              </w:rPr>
              <w:t xml:space="preserve">Total Expenses </w:t>
            </w:r>
          </w:p>
        </w:tc>
        <w:tc>
          <w:tcPr>
            <w:tcW w:w="638" w:type="dxa"/>
            <w:tcBorders>
              <w:top w:val="nil"/>
              <w:left w:val="nil"/>
              <w:bottom w:val="nil"/>
              <w:right w:val="nil"/>
            </w:tcBorders>
            <w:vAlign w:val="bottom"/>
          </w:tcPr>
          <w:p w14:paraId="05E69332" w14:textId="77777777" w:rsidR="000144FF" w:rsidRPr="00F54064" w:rsidRDefault="000144FF">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79A98993" w14:textId="77777777" w:rsidR="000144FF" w:rsidRPr="00F54064" w:rsidRDefault="000144FF" w:rsidP="00FD5E9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80FD73E" w14:textId="77777777" w:rsidR="000144FF" w:rsidRPr="00F54064" w:rsidRDefault="000144FF">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12C155B2" w14:textId="77777777" w:rsidR="000144FF" w:rsidRPr="00F54064" w:rsidRDefault="000144FF">
            <w:pPr>
              <w:pStyle w:val="TableText"/>
              <w:tabs>
                <w:tab w:val="left" w:pos="3306"/>
              </w:tabs>
              <w:jc w:val="right"/>
              <w:rPr>
                <w:rFonts w:cs="Calibri"/>
                <w:b/>
                <w:bCs/>
              </w:rPr>
            </w:pPr>
          </w:p>
        </w:tc>
      </w:tr>
      <w:tr w:rsidR="000144FF" w:rsidRPr="00CF7E1B" w14:paraId="38924297" w14:textId="77777777" w:rsidTr="00B66382">
        <w:trPr>
          <w:cantSplit/>
          <w:trHeight w:val="20"/>
        </w:trPr>
        <w:tc>
          <w:tcPr>
            <w:tcW w:w="1613" w:type="dxa"/>
            <w:tcBorders>
              <w:top w:val="nil"/>
              <w:left w:val="single" w:sz="2" w:space="0" w:color="auto"/>
              <w:bottom w:val="nil"/>
              <w:right w:val="single" w:sz="2" w:space="0" w:color="auto"/>
            </w:tcBorders>
          </w:tcPr>
          <w:p w14:paraId="30B4192F"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0836E6BC" w14:textId="77777777" w:rsidR="000144FF" w:rsidRPr="00F54064" w:rsidRDefault="000144FF">
            <w:pPr>
              <w:pStyle w:val="TableText"/>
              <w:tabs>
                <w:tab w:val="left" w:pos="3306"/>
              </w:tabs>
              <w:spacing w:before="0"/>
              <w:rPr>
                <w:rFonts w:cs="Calibri"/>
                <w:sz w:val="12"/>
              </w:rPr>
            </w:pPr>
          </w:p>
        </w:tc>
        <w:tc>
          <w:tcPr>
            <w:tcW w:w="638" w:type="dxa"/>
            <w:tcBorders>
              <w:top w:val="nil"/>
              <w:left w:val="nil"/>
              <w:bottom w:val="nil"/>
              <w:right w:val="nil"/>
            </w:tcBorders>
            <w:vAlign w:val="bottom"/>
          </w:tcPr>
          <w:p w14:paraId="3D3E78CA" w14:textId="77777777" w:rsidR="000144FF" w:rsidRPr="00F54064" w:rsidRDefault="000144FF">
            <w:pPr>
              <w:pStyle w:val="TableText"/>
              <w:tabs>
                <w:tab w:val="left" w:pos="3306"/>
              </w:tabs>
              <w:spacing w:before="0"/>
              <w:jc w:val="center"/>
              <w:rPr>
                <w:rFonts w:cs="Calibri"/>
                <w:sz w:val="12"/>
              </w:rPr>
            </w:pPr>
          </w:p>
        </w:tc>
        <w:tc>
          <w:tcPr>
            <w:tcW w:w="1185" w:type="dxa"/>
            <w:tcBorders>
              <w:top w:val="single" w:sz="4" w:space="0" w:color="auto"/>
              <w:left w:val="nil"/>
              <w:bottom w:val="nil"/>
              <w:right w:val="nil"/>
            </w:tcBorders>
            <w:vAlign w:val="bottom"/>
          </w:tcPr>
          <w:p w14:paraId="20ACA398"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1A0CB944"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752C1E45" w14:textId="77777777" w:rsidR="000144FF" w:rsidRPr="00F54064" w:rsidRDefault="000144FF">
            <w:pPr>
              <w:pStyle w:val="TableText"/>
              <w:tabs>
                <w:tab w:val="left" w:pos="3306"/>
              </w:tabs>
              <w:spacing w:before="0"/>
              <w:jc w:val="right"/>
              <w:rPr>
                <w:rFonts w:cs="Calibri"/>
                <w:sz w:val="12"/>
              </w:rPr>
            </w:pPr>
          </w:p>
        </w:tc>
      </w:tr>
      <w:tr w:rsidR="000144FF" w:rsidRPr="00CF7E1B" w14:paraId="15D9F511" w14:textId="77777777" w:rsidTr="00B66382">
        <w:trPr>
          <w:cantSplit/>
          <w:trHeight w:val="20"/>
        </w:trPr>
        <w:tc>
          <w:tcPr>
            <w:tcW w:w="1613" w:type="dxa"/>
            <w:tcBorders>
              <w:top w:val="nil"/>
              <w:left w:val="single" w:sz="2" w:space="0" w:color="auto"/>
              <w:bottom w:val="nil"/>
              <w:right w:val="single" w:sz="2" w:space="0" w:color="auto"/>
            </w:tcBorders>
          </w:tcPr>
          <w:p w14:paraId="5E1168B4"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82</w:t>
            </w:r>
            <w:r w:rsidRPr="00F54064">
              <w:rPr>
                <w:rFonts w:cs="Calibri"/>
                <w:color w:val="7030A0"/>
                <w:sz w:val="14"/>
              </w:rPr>
              <w:t xml:space="preserve">(c) </w:t>
            </w:r>
          </w:p>
        </w:tc>
        <w:tc>
          <w:tcPr>
            <w:tcW w:w="4749" w:type="dxa"/>
            <w:tcBorders>
              <w:top w:val="nil"/>
              <w:left w:val="single" w:sz="2" w:space="0" w:color="auto"/>
              <w:bottom w:val="nil"/>
              <w:right w:val="nil"/>
            </w:tcBorders>
            <w:vAlign w:val="bottom"/>
          </w:tcPr>
          <w:p w14:paraId="5CEAB707" w14:textId="77777777" w:rsidR="000144FF" w:rsidRPr="00F54064" w:rsidRDefault="000144FF">
            <w:pPr>
              <w:pStyle w:val="TableText"/>
              <w:tabs>
                <w:tab w:val="left" w:pos="3306"/>
              </w:tabs>
              <w:rPr>
                <w:rFonts w:cs="Calibri"/>
              </w:rPr>
            </w:pPr>
            <w:r w:rsidRPr="00F54064">
              <w:rPr>
                <w:rFonts w:cs="Calibri"/>
              </w:rPr>
              <w:t>Share of Operating Profit from Joint Venture accounted for using the Equity Method</w:t>
            </w:r>
          </w:p>
        </w:tc>
        <w:tc>
          <w:tcPr>
            <w:tcW w:w="638" w:type="dxa"/>
            <w:tcBorders>
              <w:top w:val="nil"/>
              <w:left w:val="nil"/>
              <w:bottom w:val="nil"/>
              <w:right w:val="nil"/>
            </w:tcBorders>
          </w:tcPr>
          <w:p w14:paraId="337C6820" w14:textId="15A159EA" w:rsidR="000144FF" w:rsidRPr="00F54064" w:rsidRDefault="00115D03" w:rsidP="007324D0">
            <w:pPr>
              <w:pStyle w:val="TableText"/>
              <w:tabs>
                <w:tab w:val="left" w:pos="3306"/>
              </w:tabs>
              <w:jc w:val="center"/>
              <w:rPr>
                <w:rFonts w:cs="Calibri"/>
                <w:strike/>
              </w:rPr>
            </w:pPr>
            <w:r w:rsidRPr="00F54064">
              <w:rPr>
                <w:rFonts w:cs="Calibri"/>
              </w:rPr>
              <w:t>34</w:t>
            </w:r>
          </w:p>
        </w:tc>
        <w:tc>
          <w:tcPr>
            <w:tcW w:w="1185" w:type="dxa"/>
            <w:tcBorders>
              <w:top w:val="nil"/>
              <w:left w:val="nil"/>
              <w:bottom w:val="single" w:sz="4" w:space="0" w:color="auto"/>
              <w:right w:val="nil"/>
            </w:tcBorders>
            <w:vAlign w:val="bottom"/>
          </w:tcPr>
          <w:p w14:paraId="46B372A2"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6D4196FA"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0849E4C4" w14:textId="77777777" w:rsidR="000144FF" w:rsidRPr="00F54064" w:rsidRDefault="000144FF">
            <w:pPr>
              <w:pStyle w:val="TableText"/>
              <w:tabs>
                <w:tab w:val="left" w:pos="3306"/>
              </w:tabs>
              <w:jc w:val="right"/>
              <w:rPr>
                <w:rFonts w:cs="Calibri"/>
              </w:rPr>
            </w:pPr>
          </w:p>
        </w:tc>
      </w:tr>
      <w:tr w:rsidR="006A4E19" w:rsidRPr="00CF7E1B" w14:paraId="63C17CEA" w14:textId="77777777" w:rsidTr="00B66382">
        <w:trPr>
          <w:cantSplit/>
          <w:trHeight w:val="20"/>
        </w:trPr>
        <w:tc>
          <w:tcPr>
            <w:tcW w:w="1613" w:type="dxa"/>
            <w:tcBorders>
              <w:top w:val="nil"/>
              <w:left w:val="single" w:sz="2" w:space="0" w:color="auto"/>
              <w:bottom w:val="nil"/>
              <w:right w:val="single" w:sz="2" w:space="0" w:color="auto"/>
            </w:tcBorders>
          </w:tcPr>
          <w:p w14:paraId="659B5A0D"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1333A5" w:rsidRPr="00F54064">
              <w:rPr>
                <w:rFonts w:cs="Calibri"/>
                <w:color w:val="7030A0"/>
                <w:sz w:val="14"/>
              </w:rPr>
              <w:t xml:space="preserve"> </w:t>
            </w:r>
            <w:r w:rsidR="00C8213D" w:rsidRPr="00F54064">
              <w:rPr>
                <w:rFonts w:cs="Calibri"/>
                <w:color w:val="7030A0"/>
                <w:sz w:val="14"/>
              </w:rPr>
              <w:t>81A(a)</w:t>
            </w:r>
          </w:p>
        </w:tc>
        <w:tc>
          <w:tcPr>
            <w:tcW w:w="4749" w:type="dxa"/>
            <w:tcBorders>
              <w:top w:val="nil"/>
              <w:left w:val="single" w:sz="2" w:space="0" w:color="auto"/>
              <w:bottom w:val="nil"/>
              <w:right w:val="nil"/>
            </w:tcBorders>
            <w:vAlign w:val="bottom"/>
          </w:tcPr>
          <w:p w14:paraId="13DA8C80" w14:textId="7182C7D0" w:rsidR="006A4E19" w:rsidRPr="00F54064" w:rsidRDefault="00C34A6B" w:rsidP="006A4E19">
            <w:pPr>
              <w:pStyle w:val="TableText"/>
              <w:tabs>
                <w:tab w:val="left" w:pos="3306"/>
              </w:tabs>
              <w:rPr>
                <w:rFonts w:cs="Calibri"/>
                <w:b/>
                <w:bCs/>
              </w:rPr>
            </w:pPr>
            <w:r w:rsidRPr="00F54064">
              <w:rPr>
                <w:rFonts w:cs="Calibri"/>
                <w:b/>
                <w:bCs/>
              </w:rPr>
              <w:t>Operating</w:t>
            </w:r>
            <w:r w:rsidR="00BF7D65" w:rsidRPr="00F54064">
              <w:rPr>
                <w:rFonts w:cs="Calibri"/>
                <w:b/>
                <w:bCs/>
              </w:rPr>
              <w:t xml:space="preserve"> Result</w:t>
            </w:r>
          </w:p>
        </w:tc>
        <w:tc>
          <w:tcPr>
            <w:tcW w:w="638" w:type="dxa"/>
            <w:tcBorders>
              <w:top w:val="nil"/>
              <w:left w:val="nil"/>
              <w:bottom w:val="nil"/>
              <w:right w:val="nil"/>
            </w:tcBorders>
            <w:vAlign w:val="bottom"/>
          </w:tcPr>
          <w:p w14:paraId="424CD3EE"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186B2B9A"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single" w:sz="4" w:space="0" w:color="auto"/>
              <w:right w:val="nil"/>
            </w:tcBorders>
            <w:vAlign w:val="bottom"/>
          </w:tcPr>
          <w:p w14:paraId="62747A20"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297E0CE5" w14:textId="77777777" w:rsidR="006A4E19" w:rsidRPr="00F54064" w:rsidRDefault="006A4E19" w:rsidP="006A4E19">
            <w:pPr>
              <w:pStyle w:val="TableText"/>
              <w:tabs>
                <w:tab w:val="left" w:pos="3306"/>
              </w:tabs>
              <w:jc w:val="right"/>
              <w:rPr>
                <w:rFonts w:cs="Calibri"/>
                <w:b/>
                <w:bCs/>
              </w:rPr>
            </w:pPr>
          </w:p>
        </w:tc>
      </w:tr>
      <w:tr w:rsidR="006A4E19" w:rsidRPr="00CF7E1B" w14:paraId="78378897" w14:textId="77777777" w:rsidTr="00B66382">
        <w:trPr>
          <w:cantSplit/>
          <w:trHeight w:val="20"/>
        </w:trPr>
        <w:tc>
          <w:tcPr>
            <w:tcW w:w="1613" w:type="dxa"/>
            <w:tcBorders>
              <w:top w:val="nil"/>
              <w:left w:val="single" w:sz="2" w:space="0" w:color="auto"/>
              <w:bottom w:val="nil"/>
              <w:right w:val="single" w:sz="2" w:space="0" w:color="auto"/>
            </w:tcBorders>
          </w:tcPr>
          <w:p w14:paraId="10E2010A"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494EA2EA"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68CCD361"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nil"/>
              <w:right w:val="nil"/>
            </w:tcBorders>
            <w:vAlign w:val="bottom"/>
          </w:tcPr>
          <w:p w14:paraId="14D6316B"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78328F0A"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46A6632D" w14:textId="77777777" w:rsidR="006A4E19" w:rsidRPr="00F54064" w:rsidRDefault="006A4E19" w:rsidP="006A4E19">
            <w:pPr>
              <w:pStyle w:val="TableText"/>
              <w:tabs>
                <w:tab w:val="left" w:pos="3306"/>
              </w:tabs>
              <w:jc w:val="right"/>
              <w:rPr>
                <w:rFonts w:cs="Calibri"/>
              </w:rPr>
            </w:pPr>
          </w:p>
        </w:tc>
      </w:tr>
      <w:tr w:rsidR="006A4E19" w:rsidRPr="00CF7E1B" w14:paraId="5BEA8EDD" w14:textId="77777777" w:rsidTr="00B66382">
        <w:trPr>
          <w:cantSplit/>
          <w:trHeight w:val="20"/>
        </w:trPr>
        <w:tc>
          <w:tcPr>
            <w:tcW w:w="1613" w:type="dxa"/>
            <w:tcBorders>
              <w:top w:val="nil"/>
              <w:left w:val="single" w:sz="2" w:space="0" w:color="auto"/>
              <w:bottom w:val="nil"/>
              <w:right w:val="single" w:sz="2" w:space="0" w:color="auto"/>
            </w:tcBorders>
          </w:tcPr>
          <w:p w14:paraId="0580017E"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85</w:t>
            </w:r>
          </w:p>
          <w:p w14:paraId="1AC60356" w14:textId="77777777" w:rsidR="009D7603" w:rsidRPr="00F54064" w:rsidRDefault="009D7603" w:rsidP="00B11849">
            <w:pPr>
              <w:pStyle w:val="TableReference"/>
              <w:tabs>
                <w:tab w:val="left" w:pos="3306"/>
              </w:tabs>
              <w:spacing w:beforeLines="20" w:before="48"/>
              <w:rPr>
                <w:rFonts w:cs="Calibri"/>
                <w:strike/>
                <w:color w:val="7030A0"/>
                <w:sz w:val="14"/>
              </w:rPr>
            </w:pPr>
          </w:p>
        </w:tc>
        <w:tc>
          <w:tcPr>
            <w:tcW w:w="4749" w:type="dxa"/>
            <w:tcBorders>
              <w:top w:val="nil"/>
              <w:left w:val="single" w:sz="2" w:space="0" w:color="auto"/>
              <w:bottom w:val="nil"/>
              <w:right w:val="nil"/>
            </w:tcBorders>
            <w:vAlign w:val="bottom"/>
          </w:tcPr>
          <w:p w14:paraId="397AB570" w14:textId="77777777" w:rsidR="006A4E19" w:rsidRPr="00F54064" w:rsidRDefault="006A4E19" w:rsidP="006A4E19">
            <w:pPr>
              <w:pStyle w:val="TableText"/>
              <w:tabs>
                <w:tab w:val="left" w:pos="3306"/>
              </w:tabs>
              <w:rPr>
                <w:rFonts w:cs="Calibri"/>
                <w:b/>
                <w:bCs/>
              </w:rPr>
            </w:pPr>
            <w:r w:rsidRPr="00F54064">
              <w:rPr>
                <w:rFonts w:cs="Calibri"/>
                <w:b/>
                <w:bCs/>
              </w:rPr>
              <w:t>Other Comprehensive Income</w:t>
            </w:r>
          </w:p>
          <w:p w14:paraId="338F5032" w14:textId="77777777" w:rsidR="00CF7E1B" w:rsidRPr="00F54064" w:rsidRDefault="00CF7E1B" w:rsidP="001333A5">
            <w:pPr>
              <w:pStyle w:val="TableText"/>
              <w:tabs>
                <w:tab w:val="left" w:pos="3306"/>
              </w:tabs>
              <w:rPr>
                <w:rFonts w:cs="Calibri"/>
                <w:i/>
                <w:sz w:val="20"/>
                <w:szCs w:val="20"/>
              </w:rPr>
            </w:pPr>
            <w:r w:rsidRPr="00F54064">
              <w:rPr>
                <w:rFonts w:cs="Calibri"/>
                <w:i/>
              </w:rPr>
              <w:t>Items that will not be reclassified subsequently to profit or loss</w:t>
            </w:r>
            <w:r w:rsidRPr="00F54064">
              <w:rPr>
                <w:rFonts w:cs="Calibri"/>
                <w:i/>
                <w:sz w:val="20"/>
                <w:szCs w:val="20"/>
              </w:rPr>
              <w:t xml:space="preserve"> </w:t>
            </w:r>
          </w:p>
        </w:tc>
        <w:tc>
          <w:tcPr>
            <w:tcW w:w="638" w:type="dxa"/>
            <w:tcBorders>
              <w:top w:val="nil"/>
              <w:left w:val="nil"/>
              <w:bottom w:val="nil"/>
              <w:right w:val="nil"/>
            </w:tcBorders>
            <w:vAlign w:val="bottom"/>
          </w:tcPr>
          <w:p w14:paraId="1C046515" w14:textId="77777777" w:rsidR="006A4E19" w:rsidRPr="00F54064" w:rsidRDefault="006A4E19" w:rsidP="006A4E19">
            <w:pPr>
              <w:pStyle w:val="TableText"/>
              <w:tabs>
                <w:tab w:val="left" w:pos="3306"/>
              </w:tabs>
              <w:jc w:val="center"/>
              <w:rPr>
                <w:rFonts w:cs="Calibri"/>
              </w:rPr>
            </w:pPr>
          </w:p>
        </w:tc>
        <w:tc>
          <w:tcPr>
            <w:tcW w:w="1185" w:type="dxa"/>
            <w:tcBorders>
              <w:top w:val="nil"/>
              <w:left w:val="nil"/>
              <w:bottom w:val="nil"/>
              <w:right w:val="nil"/>
            </w:tcBorders>
            <w:vAlign w:val="bottom"/>
          </w:tcPr>
          <w:p w14:paraId="6FA6A514"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6717D0EC"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7B6D3DD" w14:textId="77777777" w:rsidR="006A4E19" w:rsidRPr="00F54064" w:rsidRDefault="006A4E19" w:rsidP="006A4E19">
            <w:pPr>
              <w:pStyle w:val="TableText"/>
              <w:tabs>
                <w:tab w:val="left" w:pos="3306"/>
              </w:tabs>
              <w:jc w:val="right"/>
              <w:rPr>
                <w:rFonts w:cs="Calibri"/>
              </w:rPr>
            </w:pPr>
          </w:p>
        </w:tc>
      </w:tr>
      <w:tr w:rsidR="006A4E19" w:rsidRPr="00CF7E1B" w14:paraId="5B0086B7" w14:textId="77777777" w:rsidTr="006F6F51">
        <w:trPr>
          <w:cantSplit/>
          <w:trHeight w:val="274"/>
        </w:trPr>
        <w:tc>
          <w:tcPr>
            <w:tcW w:w="1613" w:type="dxa"/>
            <w:tcBorders>
              <w:top w:val="nil"/>
              <w:left w:val="single" w:sz="2" w:space="0" w:color="auto"/>
              <w:bottom w:val="nil"/>
              <w:right w:val="single" w:sz="2" w:space="0" w:color="auto"/>
            </w:tcBorders>
          </w:tcPr>
          <w:p w14:paraId="50779C5C"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9D7603" w:rsidRPr="00F54064">
              <w:rPr>
                <w:rFonts w:cs="Calibri"/>
                <w:color w:val="7030A0"/>
                <w:sz w:val="14"/>
              </w:rPr>
              <w:t>A</w:t>
            </w:r>
            <w:r w:rsidR="0037084C" w:rsidRPr="00F54064">
              <w:rPr>
                <w:rFonts w:cs="Calibri"/>
                <w:color w:val="7030A0"/>
                <w:sz w:val="14"/>
              </w:rPr>
              <w:t>(a)</w:t>
            </w:r>
            <w:r w:rsidR="00DB6D27" w:rsidRPr="00F54064">
              <w:rPr>
                <w:rFonts w:cs="Calibri"/>
                <w:color w:val="7030A0"/>
                <w:sz w:val="14"/>
              </w:rPr>
              <w:t>(i)</w:t>
            </w:r>
          </w:p>
        </w:tc>
        <w:tc>
          <w:tcPr>
            <w:tcW w:w="4749" w:type="dxa"/>
            <w:tcBorders>
              <w:top w:val="nil"/>
              <w:left w:val="single" w:sz="2" w:space="0" w:color="auto"/>
              <w:bottom w:val="nil"/>
              <w:right w:val="nil"/>
            </w:tcBorders>
            <w:vAlign w:val="bottom"/>
          </w:tcPr>
          <w:p w14:paraId="17B65ABA" w14:textId="77777777" w:rsidR="006A4E19" w:rsidRPr="00F54064" w:rsidRDefault="00654269" w:rsidP="00497963">
            <w:pPr>
              <w:pStyle w:val="TableText"/>
              <w:tabs>
                <w:tab w:val="left" w:pos="3306"/>
              </w:tabs>
              <w:spacing w:before="0"/>
              <w:rPr>
                <w:rFonts w:cs="Calibri"/>
              </w:rPr>
            </w:pPr>
            <w:r w:rsidRPr="00F54064">
              <w:rPr>
                <w:rFonts w:cs="Calibri"/>
              </w:rPr>
              <w:t>Increase/(decrease)</w:t>
            </w:r>
            <w:r w:rsidR="006A4E19" w:rsidRPr="00F54064">
              <w:rPr>
                <w:rFonts w:cs="Calibri"/>
              </w:rPr>
              <w:t xml:space="preserve"> in</w:t>
            </w:r>
            <w:r w:rsidR="00DF611A" w:rsidRPr="00F54064">
              <w:rPr>
                <w:rFonts w:cs="Calibri"/>
              </w:rPr>
              <w:t xml:space="preserve"> the</w:t>
            </w:r>
            <w:r w:rsidR="006A4E19" w:rsidRPr="00F54064">
              <w:rPr>
                <w:rFonts w:cs="Calibri"/>
              </w:rPr>
              <w:t xml:space="preserve"> Asset </w:t>
            </w:r>
            <w:r w:rsidR="00423574" w:rsidRPr="00F54064">
              <w:rPr>
                <w:rFonts w:cs="Calibri"/>
              </w:rPr>
              <w:t>R</w:t>
            </w:r>
            <w:r w:rsidR="006A4E19" w:rsidRPr="00F54064">
              <w:rPr>
                <w:rFonts w:cs="Calibri"/>
              </w:rPr>
              <w:t xml:space="preserve">evaluation </w:t>
            </w:r>
            <w:r w:rsidR="00423574" w:rsidRPr="00F54064">
              <w:rPr>
                <w:rFonts w:cs="Calibri"/>
              </w:rPr>
              <w:t>S</w:t>
            </w:r>
            <w:r w:rsidR="00ED4FE2" w:rsidRPr="00F54064">
              <w:rPr>
                <w:rFonts w:cs="Calibri"/>
              </w:rPr>
              <w:t>urplus</w:t>
            </w:r>
          </w:p>
        </w:tc>
        <w:tc>
          <w:tcPr>
            <w:tcW w:w="638" w:type="dxa"/>
            <w:tcBorders>
              <w:top w:val="nil"/>
              <w:left w:val="nil"/>
              <w:bottom w:val="nil"/>
              <w:right w:val="nil"/>
            </w:tcBorders>
            <w:vAlign w:val="bottom"/>
          </w:tcPr>
          <w:p w14:paraId="49C35B39" w14:textId="78576578" w:rsidR="006A4E19" w:rsidRPr="00F54064" w:rsidRDefault="00631C25" w:rsidP="006A4E19">
            <w:pPr>
              <w:pStyle w:val="TableText"/>
              <w:tabs>
                <w:tab w:val="left" w:pos="3306"/>
              </w:tabs>
              <w:spacing w:before="0"/>
              <w:jc w:val="center"/>
              <w:rPr>
                <w:rFonts w:cs="Calibri"/>
              </w:rPr>
            </w:pPr>
            <w:r w:rsidRPr="00631C25">
              <w:rPr>
                <w:rFonts w:cs="Calibri"/>
                <w:color w:val="FF0000"/>
              </w:rPr>
              <w:t>19</w:t>
            </w:r>
          </w:p>
        </w:tc>
        <w:tc>
          <w:tcPr>
            <w:tcW w:w="1185" w:type="dxa"/>
            <w:tcBorders>
              <w:top w:val="nil"/>
              <w:left w:val="nil"/>
              <w:bottom w:val="nil"/>
              <w:right w:val="nil"/>
            </w:tcBorders>
            <w:vAlign w:val="bottom"/>
          </w:tcPr>
          <w:p w14:paraId="668F88C0"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2B7E0EEF"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E0FB0DB" w14:textId="77777777" w:rsidR="006A4E19" w:rsidRPr="00F54064" w:rsidRDefault="006A4E19" w:rsidP="006A4E19">
            <w:pPr>
              <w:pStyle w:val="TableText"/>
              <w:tabs>
                <w:tab w:val="left" w:pos="3306"/>
              </w:tabs>
              <w:jc w:val="right"/>
              <w:rPr>
                <w:rFonts w:cs="Calibri"/>
              </w:rPr>
            </w:pPr>
          </w:p>
        </w:tc>
      </w:tr>
      <w:tr w:rsidR="00423574" w:rsidRPr="00CF7E1B" w14:paraId="1D0AF800" w14:textId="77777777" w:rsidTr="00631C25">
        <w:trPr>
          <w:cantSplit/>
          <w:trHeight w:val="20"/>
        </w:trPr>
        <w:tc>
          <w:tcPr>
            <w:tcW w:w="1613" w:type="dxa"/>
            <w:tcBorders>
              <w:top w:val="nil"/>
              <w:left w:val="single" w:sz="2" w:space="0" w:color="auto"/>
              <w:bottom w:val="nil"/>
              <w:right w:val="single" w:sz="2" w:space="0" w:color="auto"/>
            </w:tcBorders>
          </w:tcPr>
          <w:p w14:paraId="3E3D0D6C" w14:textId="77777777" w:rsidR="00423574" w:rsidRPr="00F54064" w:rsidRDefault="00423574"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7E5593" w:rsidRPr="00F54064">
              <w:rPr>
                <w:rFonts w:cs="Calibri"/>
                <w:color w:val="7030A0"/>
                <w:sz w:val="14"/>
              </w:rPr>
              <w:t>A</w:t>
            </w:r>
            <w:r w:rsidR="00032A3A" w:rsidRPr="00F54064">
              <w:rPr>
                <w:rFonts w:cs="Calibri"/>
                <w:color w:val="7030A0"/>
                <w:sz w:val="14"/>
              </w:rPr>
              <w:t>(</w:t>
            </w:r>
            <w:r w:rsidR="00EC0D8F" w:rsidRPr="00F54064">
              <w:rPr>
                <w:rFonts w:cs="Calibri"/>
                <w:color w:val="7030A0"/>
                <w:sz w:val="14"/>
              </w:rPr>
              <w:t>b)(i)</w:t>
            </w:r>
          </w:p>
        </w:tc>
        <w:tc>
          <w:tcPr>
            <w:tcW w:w="4749" w:type="dxa"/>
            <w:tcBorders>
              <w:top w:val="nil"/>
              <w:left w:val="single" w:sz="2" w:space="0" w:color="auto"/>
              <w:bottom w:val="nil"/>
              <w:right w:val="nil"/>
            </w:tcBorders>
            <w:vAlign w:val="bottom"/>
          </w:tcPr>
          <w:p w14:paraId="4738B423" w14:textId="77777777" w:rsidR="00423574" w:rsidRPr="00F54064" w:rsidRDefault="00654269" w:rsidP="001000C4">
            <w:pPr>
              <w:pStyle w:val="TableText"/>
              <w:tabs>
                <w:tab w:val="left" w:pos="3306"/>
              </w:tabs>
              <w:ind w:left="179" w:hanging="179"/>
              <w:rPr>
                <w:rFonts w:cs="Calibri"/>
                <w:bCs/>
              </w:rPr>
            </w:pPr>
            <w:r w:rsidRPr="00F54064">
              <w:rPr>
                <w:rFonts w:cs="Calibri"/>
              </w:rPr>
              <w:t xml:space="preserve">Increase/(decrease) </w:t>
            </w:r>
            <w:r w:rsidR="00423574" w:rsidRPr="00F54064">
              <w:rPr>
                <w:rFonts w:cs="Calibri"/>
                <w:bCs/>
              </w:rPr>
              <w:t>in</w:t>
            </w:r>
            <w:r w:rsidR="00DF611A" w:rsidRPr="00F54064">
              <w:rPr>
                <w:rFonts w:cs="Calibri"/>
                <w:bCs/>
              </w:rPr>
              <w:t xml:space="preserve"> the</w:t>
            </w:r>
            <w:r w:rsidR="00423574" w:rsidRPr="00F54064">
              <w:rPr>
                <w:rFonts w:cs="Calibri"/>
                <w:bCs/>
              </w:rPr>
              <w:t xml:space="preserve"> Asset Revaluation Surplus</w:t>
            </w:r>
            <w:r w:rsidR="00497963" w:rsidRPr="00F54064">
              <w:rPr>
                <w:rFonts w:cs="Calibri"/>
                <w:bCs/>
              </w:rPr>
              <w:t xml:space="preserve"> a</w:t>
            </w:r>
            <w:r w:rsidR="00423574" w:rsidRPr="00F54064">
              <w:rPr>
                <w:rFonts w:cs="Calibri"/>
                <w:bCs/>
              </w:rPr>
              <w:t>ttributable to Joint Ventures</w:t>
            </w:r>
          </w:p>
        </w:tc>
        <w:tc>
          <w:tcPr>
            <w:tcW w:w="638" w:type="dxa"/>
            <w:tcBorders>
              <w:top w:val="nil"/>
              <w:left w:val="nil"/>
              <w:bottom w:val="nil"/>
              <w:right w:val="nil"/>
            </w:tcBorders>
          </w:tcPr>
          <w:p w14:paraId="65637CA0" w14:textId="161000B7" w:rsidR="00423574" w:rsidRPr="00F54064" w:rsidRDefault="00631C25" w:rsidP="00631C25">
            <w:pPr>
              <w:pStyle w:val="TableText"/>
              <w:tabs>
                <w:tab w:val="left" w:pos="3306"/>
              </w:tabs>
              <w:jc w:val="center"/>
              <w:rPr>
                <w:rFonts w:cs="Calibri"/>
              </w:rPr>
            </w:pPr>
            <w:r w:rsidRPr="00631C25">
              <w:rPr>
                <w:rFonts w:cs="Calibri"/>
                <w:color w:val="FF0000"/>
              </w:rPr>
              <w:t>34</w:t>
            </w:r>
          </w:p>
        </w:tc>
        <w:tc>
          <w:tcPr>
            <w:tcW w:w="1185" w:type="dxa"/>
            <w:tcBorders>
              <w:top w:val="nil"/>
              <w:left w:val="nil"/>
              <w:bottom w:val="nil"/>
              <w:right w:val="nil"/>
            </w:tcBorders>
            <w:vAlign w:val="bottom"/>
          </w:tcPr>
          <w:p w14:paraId="34B10521"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061E9843"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5EC3EA93" w14:textId="77777777" w:rsidR="00423574" w:rsidRPr="00F54064" w:rsidRDefault="00423574" w:rsidP="006A4E19">
            <w:pPr>
              <w:pStyle w:val="TableText"/>
              <w:tabs>
                <w:tab w:val="left" w:pos="3306"/>
              </w:tabs>
              <w:jc w:val="right"/>
              <w:rPr>
                <w:rFonts w:cs="Calibri"/>
                <w:bCs/>
              </w:rPr>
            </w:pPr>
          </w:p>
        </w:tc>
      </w:tr>
      <w:tr w:rsidR="006A4E19" w:rsidRPr="00CF7E1B" w14:paraId="5CEB0F31" w14:textId="77777777" w:rsidTr="00B66382">
        <w:trPr>
          <w:cantSplit/>
          <w:trHeight w:val="20"/>
        </w:trPr>
        <w:tc>
          <w:tcPr>
            <w:tcW w:w="1613" w:type="dxa"/>
            <w:tcBorders>
              <w:top w:val="nil"/>
              <w:left w:val="single" w:sz="2" w:space="0" w:color="auto"/>
              <w:bottom w:val="nil"/>
              <w:right w:val="single" w:sz="2" w:space="0" w:color="auto"/>
            </w:tcBorders>
          </w:tcPr>
          <w:p w14:paraId="48D8CF5F" w14:textId="70AD2759"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51339F" w:rsidRPr="00F54064">
              <w:rPr>
                <w:rFonts w:cs="Calibri"/>
                <w:color w:val="7030A0"/>
                <w:sz w:val="14"/>
              </w:rPr>
              <w:t>81A(b)</w:t>
            </w:r>
          </w:p>
        </w:tc>
        <w:tc>
          <w:tcPr>
            <w:tcW w:w="4749" w:type="dxa"/>
            <w:tcBorders>
              <w:top w:val="nil"/>
              <w:left w:val="single" w:sz="2" w:space="0" w:color="auto"/>
              <w:bottom w:val="nil"/>
              <w:right w:val="nil"/>
            </w:tcBorders>
            <w:vAlign w:val="bottom"/>
          </w:tcPr>
          <w:p w14:paraId="40985244" w14:textId="65D52D53" w:rsidR="006A4E19" w:rsidRPr="00F54064" w:rsidRDefault="006A4E19" w:rsidP="006A4E19">
            <w:pPr>
              <w:pStyle w:val="TableText"/>
              <w:tabs>
                <w:tab w:val="left" w:pos="3306"/>
              </w:tabs>
              <w:rPr>
                <w:rFonts w:cs="Calibri"/>
                <w:b/>
                <w:bCs/>
              </w:rPr>
            </w:pPr>
            <w:r w:rsidRPr="00F54064">
              <w:rPr>
                <w:rFonts w:cs="Calibri"/>
                <w:b/>
                <w:bCs/>
              </w:rPr>
              <w:t xml:space="preserve">Total Other Comprehensive </w:t>
            </w:r>
            <w:r w:rsidR="006F6F51" w:rsidRPr="006F6F51">
              <w:rPr>
                <w:rFonts w:cs="Calibri"/>
                <w:b/>
                <w:bCs/>
                <w:color w:val="FF0000"/>
              </w:rPr>
              <w:t xml:space="preserve">Result </w:t>
            </w:r>
            <w:r w:rsidR="006F6F51" w:rsidRPr="006F6F51">
              <w:rPr>
                <w:rFonts w:cs="Calibri"/>
                <w:b/>
                <w:bCs/>
                <w:strike/>
                <w:color w:val="FF0000"/>
              </w:rPr>
              <w:t>Income</w:t>
            </w:r>
          </w:p>
        </w:tc>
        <w:tc>
          <w:tcPr>
            <w:tcW w:w="638" w:type="dxa"/>
            <w:tcBorders>
              <w:top w:val="nil"/>
              <w:left w:val="nil"/>
              <w:bottom w:val="nil"/>
              <w:right w:val="nil"/>
            </w:tcBorders>
            <w:vAlign w:val="bottom"/>
          </w:tcPr>
          <w:p w14:paraId="2E98E3FB"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3A6ECF8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481C427D"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F2F8415" w14:textId="77777777" w:rsidR="006A4E19" w:rsidRPr="00F54064" w:rsidRDefault="006A4E19" w:rsidP="006A4E19">
            <w:pPr>
              <w:pStyle w:val="TableText"/>
              <w:tabs>
                <w:tab w:val="left" w:pos="3306"/>
              </w:tabs>
              <w:jc w:val="right"/>
              <w:rPr>
                <w:rFonts w:cs="Calibri"/>
                <w:b/>
                <w:bCs/>
              </w:rPr>
            </w:pPr>
          </w:p>
        </w:tc>
      </w:tr>
      <w:tr w:rsidR="006A4E19" w:rsidRPr="00CF7E1B" w14:paraId="6614DBF3" w14:textId="77777777" w:rsidTr="00B66382">
        <w:trPr>
          <w:cantSplit/>
          <w:trHeight w:val="20"/>
        </w:trPr>
        <w:tc>
          <w:tcPr>
            <w:tcW w:w="1613" w:type="dxa"/>
            <w:tcBorders>
              <w:top w:val="nil"/>
              <w:left w:val="single" w:sz="2" w:space="0" w:color="auto"/>
              <w:bottom w:val="nil"/>
              <w:right w:val="single" w:sz="2" w:space="0" w:color="auto"/>
            </w:tcBorders>
          </w:tcPr>
          <w:p w14:paraId="40B2A47D"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205D3983"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337411DC"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06DDF26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0BA905D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6E524B04" w14:textId="77777777" w:rsidR="006A4E19" w:rsidRPr="00F54064" w:rsidRDefault="006A4E19" w:rsidP="006A4E19">
            <w:pPr>
              <w:pStyle w:val="TableText"/>
              <w:tabs>
                <w:tab w:val="left" w:pos="3306"/>
              </w:tabs>
              <w:jc w:val="right"/>
              <w:rPr>
                <w:rFonts w:cs="Calibri"/>
                <w:b/>
                <w:bCs/>
              </w:rPr>
            </w:pPr>
          </w:p>
        </w:tc>
      </w:tr>
      <w:tr w:rsidR="006A4E19" w:rsidRPr="00CF7E1B" w14:paraId="464843F5" w14:textId="77777777" w:rsidTr="00B66382">
        <w:trPr>
          <w:cantSplit/>
          <w:trHeight w:val="20"/>
        </w:trPr>
        <w:tc>
          <w:tcPr>
            <w:tcW w:w="1613" w:type="dxa"/>
            <w:tcBorders>
              <w:top w:val="nil"/>
              <w:left w:val="single" w:sz="2" w:space="0" w:color="auto"/>
              <w:bottom w:val="nil"/>
              <w:right w:val="single" w:sz="2" w:space="0" w:color="auto"/>
            </w:tcBorders>
          </w:tcPr>
          <w:p w14:paraId="4946F116" w14:textId="77777777" w:rsidR="006A4E19" w:rsidRPr="00F54064" w:rsidRDefault="00FE13E8"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51339F" w:rsidRPr="00F54064">
              <w:rPr>
                <w:rFonts w:cs="Calibri"/>
                <w:color w:val="7030A0"/>
                <w:sz w:val="14"/>
              </w:rPr>
              <w:t>81A(c)</w:t>
            </w:r>
          </w:p>
        </w:tc>
        <w:tc>
          <w:tcPr>
            <w:tcW w:w="4749" w:type="dxa"/>
            <w:tcBorders>
              <w:top w:val="nil"/>
              <w:left w:val="single" w:sz="2" w:space="0" w:color="auto"/>
              <w:bottom w:val="nil"/>
              <w:right w:val="nil"/>
            </w:tcBorders>
            <w:vAlign w:val="bottom"/>
          </w:tcPr>
          <w:p w14:paraId="419BC3D7" w14:textId="62E688C6" w:rsidR="006A4E19" w:rsidRPr="00F54064" w:rsidRDefault="006A4E19" w:rsidP="006A4E19">
            <w:pPr>
              <w:pStyle w:val="TableText"/>
              <w:tabs>
                <w:tab w:val="left" w:pos="3306"/>
              </w:tabs>
              <w:rPr>
                <w:rFonts w:cs="Calibri"/>
                <w:b/>
                <w:bCs/>
              </w:rPr>
            </w:pPr>
            <w:r w:rsidRPr="00F54064">
              <w:rPr>
                <w:rFonts w:cs="Calibri"/>
                <w:b/>
                <w:bCs/>
              </w:rPr>
              <w:t xml:space="preserve">Total Comprehensive </w:t>
            </w:r>
            <w:r w:rsidR="006F6F51" w:rsidRPr="006F6F51">
              <w:rPr>
                <w:rFonts w:cs="Calibri"/>
                <w:b/>
                <w:bCs/>
                <w:color w:val="FF0000"/>
              </w:rPr>
              <w:t xml:space="preserve">Result </w:t>
            </w:r>
            <w:r w:rsidR="00C34A6B" w:rsidRPr="006F6F51">
              <w:rPr>
                <w:rFonts w:cs="Calibri"/>
                <w:b/>
                <w:bCs/>
                <w:strike/>
                <w:color w:val="FF0000"/>
              </w:rPr>
              <w:t>Income</w:t>
            </w:r>
          </w:p>
        </w:tc>
        <w:tc>
          <w:tcPr>
            <w:tcW w:w="638" w:type="dxa"/>
            <w:tcBorders>
              <w:top w:val="nil"/>
              <w:left w:val="nil"/>
              <w:bottom w:val="nil"/>
              <w:right w:val="nil"/>
            </w:tcBorders>
            <w:vAlign w:val="bottom"/>
          </w:tcPr>
          <w:p w14:paraId="0FB4E9B2"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double" w:sz="4" w:space="0" w:color="auto"/>
              <w:right w:val="nil"/>
            </w:tcBorders>
            <w:vAlign w:val="bottom"/>
          </w:tcPr>
          <w:p w14:paraId="2A761C4B"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double" w:sz="4" w:space="0" w:color="auto"/>
              <w:right w:val="nil"/>
            </w:tcBorders>
            <w:vAlign w:val="bottom"/>
          </w:tcPr>
          <w:p w14:paraId="10283FC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double" w:sz="4" w:space="0" w:color="auto"/>
              <w:right w:val="nil"/>
            </w:tcBorders>
            <w:vAlign w:val="bottom"/>
          </w:tcPr>
          <w:p w14:paraId="7323FA5A" w14:textId="77777777" w:rsidR="006A4E19" w:rsidRPr="00F54064" w:rsidRDefault="006A4E19" w:rsidP="006A4E19">
            <w:pPr>
              <w:pStyle w:val="TableText"/>
              <w:tabs>
                <w:tab w:val="left" w:pos="3306"/>
              </w:tabs>
              <w:jc w:val="right"/>
              <w:rPr>
                <w:rFonts w:cs="Calibri"/>
                <w:b/>
                <w:bCs/>
              </w:rPr>
            </w:pPr>
          </w:p>
        </w:tc>
      </w:tr>
      <w:tr w:rsidR="006A4E19" w:rsidRPr="00CF7E1B" w14:paraId="635BC1A7" w14:textId="77777777" w:rsidTr="00B66382">
        <w:trPr>
          <w:cantSplit/>
          <w:trHeight w:val="20"/>
        </w:trPr>
        <w:tc>
          <w:tcPr>
            <w:tcW w:w="1613" w:type="dxa"/>
            <w:tcBorders>
              <w:top w:val="nil"/>
              <w:left w:val="single" w:sz="2" w:space="0" w:color="auto"/>
              <w:bottom w:val="nil"/>
              <w:right w:val="single" w:sz="2" w:space="0" w:color="auto"/>
            </w:tcBorders>
          </w:tcPr>
          <w:p w14:paraId="5D63F22E" w14:textId="77777777" w:rsidR="006A4E19" w:rsidRPr="00F54064" w:rsidRDefault="006A4E19" w:rsidP="006A4E19">
            <w:pPr>
              <w:pStyle w:val="TableReference"/>
              <w:tabs>
                <w:tab w:val="left" w:pos="3306"/>
              </w:tabs>
              <w:rPr>
                <w:rFonts w:cs="Calibri"/>
                <w:color w:val="7030A0"/>
                <w:sz w:val="16"/>
                <w:szCs w:val="16"/>
              </w:rPr>
            </w:pPr>
          </w:p>
        </w:tc>
        <w:tc>
          <w:tcPr>
            <w:tcW w:w="4749" w:type="dxa"/>
            <w:tcBorders>
              <w:top w:val="nil"/>
              <w:left w:val="single" w:sz="2" w:space="0" w:color="auto"/>
              <w:bottom w:val="nil"/>
              <w:right w:val="nil"/>
            </w:tcBorders>
            <w:vAlign w:val="bottom"/>
          </w:tcPr>
          <w:p w14:paraId="5E4EC94B" w14:textId="77777777" w:rsidR="006A4E19" w:rsidRPr="00F54064" w:rsidRDefault="006A4E19" w:rsidP="006A4E19">
            <w:pPr>
              <w:pStyle w:val="TableText"/>
              <w:tabs>
                <w:tab w:val="left" w:pos="3306"/>
              </w:tabs>
              <w:spacing w:before="0"/>
              <w:rPr>
                <w:rFonts w:cs="Calibri"/>
                <w:b/>
                <w:bCs/>
                <w:sz w:val="12"/>
              </w:rPr>
            </w:pPr>
          </w:p>
        </w:tc>
        <w:tc>
          <w:tcPr>
            <w:tcW w:w="638" w:type="dxa"/>
            <w:tcBorders>
              <w:top w:val="nil"/>
              <w:left w:val="nil"/>
              <w:bottom w:val="nil"/>
              <w:right w:val="nil"/>
            </w:tcBorders>
            <w:vAlign w:val="bottom"/>
          </w:tcPr>
          <w:p w14:paraId="0F8D2262" w14:textId="77777777" w:rsidR="006A4E19" w:rsidRPr="00F54064" w:rsidRDefault="006A4E19" w:rsidP="006A4E19">
            <w:pPr>
              <w:pStyle w:val="TableText"/>
              <w:tabs>
                <w:tab w:val="left" w:pos="3306"/>
              </w:tabs>
              <w:spacing w:before="0"/>
              <w:jc w:val="center"/>
              <w:rPr>
                <w:rFonts w:cs="Calibri"/>
                <w:sz w:val="12"/>
              </w:rPr>
            </w:pPr>
          </w:p>
        </w:tc>
        <w:tc>
          <w:tcPr>
            <w:tcW w:w="1185" w:type="dxa"/>
            <w:tcBorders>
              <w:top w:val="double" w:sz="4" w:space="0" w:color="auto"/>
              <w:left w:val="nil"/>
              <w:bottom w:val="nil"/>
              <w:right w:val="nil"/>
            </w:tcBorders>
            <w:vAlign w:val="bottom"/>
          </w:tcPr>
          <w:p w14:paraId="346CBECD"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4AE096F6"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250C4910" w14:textId="77777777" w:rsidR="006A4E19" w:rsidRPr="00F54064" w:rsidRDefault="006A4E19" w:rsidP="006A4E19">
            <w:pPr>
              <w:pStyle w:val="TableText"/>
              <w:tabs>
                <w:tab w:val="left" w:pos="3306"/>
              </w:tabs>
              <w:spacing w:before="0"/>
              <w:jc w:val="right"/>
              <w:rPr>
                <w:rFonts w:cs="Calibri"/>
                <w:b/>
                <w:bCs/>
                <w:sz w:val="12"/>
              </w:rPr>
            </w:pPr>
          </w:p>
        </w:tc>
      </w:tr>
      <w:tr w:rsidR="006A4E19" w:rsidRPr="00CF7E1B" w14:paraId="5E5302C0" w14:textId="77777777" w:rsidTr="00B66382">
        <w:trPr>
          <w:cantSplit/>
          <w:trHeight w:val="283"/>
        </w:trPr>
        <w:tc>
          <w:tcPr>
            <w:tcW w:w="1613" w:type="dxa"/>
            <w:tcBorders>
              <w:top w:val="nil"/>
              <w:left w:val="single" w:sz="2" w:space="0" w:color="auto"/>
              <w:bottom w:val="nil"/>
              <w:right w:val="single" w:sz="2" w:space="0" w:color="auto"/>
            </w:tcBorders>
          </w:tcPr>
          <w:p w14:paraId="52211183" w14:textId="77777777" w:rsidR="006A4E19" w:rsidRPr="00F54064" w:rsidRDefault="006A4E19" w:rsidP="006A4E19">
            <w:pPr>
              <w:pStyle w:val="TableReference"/>
              <w:tabs>
                <w:tab w:val="left" w:pos="3306"/>
              </w:tabs>
              <w:rPr>
                <w:rFonts w:cs="Calibri"/>
                <w:color w:val="7030A0"/>
                <w:sz w:val="16"/>
                <w:szCs w:val="16"/>
              </w:rPr>
            </w:pPr>
          </w:p>
        </w:tc>
        <w:tc>
          <w:tcPr>
            <w:tcW w:w="8942" w:type="dxa"/>
            <w:gridSpan w:val="5"/>
            <w:tcBorders>
              <w:top w:val="nil"/>
              <w:left w:val="single" w:sz="2" w:space="0" w:color="auto"/>
              <w:bottom w:val="nil"/>
              <w:right w:val="nil"/>
            </w:tcBorders>
          </w:tcPr>
          <w:p w14:paraId="59A9B35E" w14:textId="076538DE" w:rsidR="006A4E19" w:rsidRPr="00F54064" w:rsidRDefault="006A4E19" w:rsidP="006A4E19">
            <w:pPr>
              <w:pStyle w:val="CommentaryReference"/>
              <w:rPr>
                <w:rFonts w:cs="Calibri"/>
                <w:b/>
                <w:bCs/>
                <w:sz w:val="18"/>
                <w:szCs w:val="18"/>
              </w:rPr>
            </w:pPr>
            <w:r w:rsidRPr="00F54064">
              <w:rPr>
                <w:rFonts w:cs="Calibri"/>
                <w:sz w:val="18"/>
                <w:szCs w:val="18"/>
              </w:rPr>
              <w:t xml:space="preserve">The above Operating Statement </w:t>
            </w:r>
            <w:r w:rsidR="000E66E7" w:rsidRPr="000E66E7">
              <w:rPr>
                <w:rFonts w:cs="Calibri"/>
                <w:color w:val="FF0000"/>
                <w:sz w:val="18"/>
                <w:szCs w:val="18"/>
              </w:rPr>
              <w:t xml:space="preserve">is to </w:t>
            </w:r>
            <w:r w:rsidRPr="000E66E7">
              <w:rPr>
                <w:rFonts w:cs="Calibri"/>
                <w:strike/>
                <w:color w:val="FF0000"/>
                <w:sz w:val="18"/>
                <w:szCs w:val="18"/>
              </w:rPr>
              <w:t>should</w:t>
            </w:r>
            <w:r w:rsidRPr="000E66E7">
              <w:rPr>
                <w:rFonts w:cs="Calibri"/>
                <w:color w:val="FF0000"/>
                <w:sz w:val="18"/>
                <w:szCs w:val="18"/>
              </w:rPr>
              <w:t xml:space="preserve"> </w:t>
            </w:r>
            <w:r w:rsidRPr="00F54064">
              <w:rPr>
                <w:rFonts w:cs="Calibri"/>
                <w:sz w:val="18"/>
                <w:szCs w:val="18"/>
              </w:rPr>
              <w:t xml:space="preserve">be read in conjunction with the accompanying notes. </w:t>
            </w:r>
          </w:p>
        </w:tc>
      </w:tr>
      <w:tr w:rsidR="000C06DA" w:rsidRPr="00CF7E1B" w14:paraId="0EB61970" w14:textId="77777777" w:rsidTr="00B66382">
        <w:trPr>
          <w:cantSplit/>
          <w:trHeight w:val="283"/>
        </w:trPr>
        <w:tc>
          <w:tcPr>
            <w:tcW w:w="1613" w:type="dxa"/>
            <w:tcBorders>
              <w:top w:val="nil"/>
              <w:left w:val="single" w:sz="2" w:space="0" w:color="auto"/>
              <w:bottom w:val="nil"/>
              <w:right w:val="single" w:sz="2" w:space="0" w:color="auto"/>
            </w:tcBorders>
          </w:tcPr>
          <w:p w14:paraId="0A5F5C45" w14:textId="77777777" w:rsidR="000C06DA" w:rsidRPr="00376CAD" w:rsidRDefault="000C06DA" w:rsidP="006A4E19">
            <w:pPr>
              <w:pStyle w:val="TableReference"/>
              <w:tabs>
                <w:tab w:val="left" w:pos="3306"/>
              </w:tabs>
              <w:rPr>
                <w:rFonts w:cs="Calibri"/>
                <w:color w:val="auto"/>
                <w:sz w:val="16"/>
                <w:szCs w:val="16"/>
              </w:rPr>
            </w:pPr>
          </w:p>
        </w:tc>
        <w:tc>
          <w:tcPr>
            <w:tcW w:w="8942" w:type="dxa"/>
            <w:gridSpan w:val="5"/>
            <w:tcBorders>
              <w:top w:val="nil"/>
              <w:left w:val="single" w:sz="2" w:space="0" w:color="auto"/>
              <w:bottom w:val="nil"/>
              <w:right w:val="nil"/>
            </w:tcBorders>
          </w:tcPr>
          <w:p w14:paraId="07637CC4" w14:textId="1EBE3B9C" w:rsidR="000C06DA" w:rsidRPr="00F54064" w:rsidRDefault="000C06DA" w:rsidP="000C06DA">
            <w:pPr>
              <w:pStyle w:val="CommentaryReference"/>
              <w:spacing w:before="240"/>
              <w:rPr>
                <w:rFonts w:cs="Calibri"/>
                <w:sz w:val="16"/>
              </w:rPr>
            </w:pPr>
            <w:r w:rsidRPr="00F54064">
              <w:rPr>
                <w:rFonts w:cs="Calibri"/>
                <w:sz w:val="16"/>
              </w:rPr>
              <w:t># Refer to the Statement of Appropriation.</w:t>
            </w:r>
          </w:p>
        </w:tc>
      </w:tr>
      <w:bookmarkEnd w:id="146"/>
    </w:tbl>
    <w:p w14:paraId="319D6547" w14:textId="77777777" w:rsidR="00F97C03" w:rsidRPr="00CF7E1B" w:rsidRDefault="00F97C03">
      <w:pPr>
        <w:rPr>
          <w:rFonts w:cs="Calibri"/>
          <w:b/>
          <w:bCs/>
        </w:rPr>
        <w:sectPr w:rsidR="00F97C03" w:rsidRPr="00CF7E1B" w:rsidSect="004514CD">
          <w:headerReference w:type="default" r:id="rId22"/>
          <w:footerReference w:type="default" r:id="rId23"/>
          <w:footnotePr>
            <w:numRestart w:val="eachPage"/>
          </w:footnotePr>
          <w:type w:val="nextColumn"/>
          <w:pgSz w:w="11907" w:h="16840" w:code="9"/>
          <w:pgMar w:top="567" w:right="680" w:bottom="567" w:left="680" w:header="284" w:footer="284" w:gutter="0"/>
          <w:cols w:space="720"/>
        </w:sectPr>
      </w:pPr>
    </w:p>
    <w:tbl>
      <w:tblPr>
        <w:tblW w:w="5003" w:type="pct"/>
        <w:tblInd w:w="-63" w:type="dxa"/>
        <w:shd w:val="clear" w:color="auto" w:fill="CCFFCC"/>
        <w:tblLayout w:type="fixed"/>
        <w:tblLook w:val="00A0" w:firstRow="1" w:lastRow="0" w:firstColumn="1" w:lastColumn="0" w:noHBand="0" w:noVBand="0"/>
      </w:tblPr>
      <w:tblGrid>
        <w:gridCol w:w="1620"/>
        <w:gridCol w:w="8930"/>
      </w:tblGrid>
      <w:tr w:rsidR="000144FF" w:rsidRPr="00CF7E1B" w14:paraId="213C517C" w14:textId="77777777" w:rsidTr="00B66382">
        <w:trPr>
          <w:trHeight w:val="20"/>
        </w:trPr>
        <w:tc>
          <w:tcPr>
            <w:tcW w:w="1620" w:type="dxa"/>
            <w:tcBorders>
              <w:left w:val="single" w:sz="2" w:space="0" w:color="auto"/>
              <w:right w:val="single" w:sz="2" w:space="0" w:color="auto"/>
            </w:tcBorders>
          </w:tcPr>
          <w:p w14:paraId="7315E660" w14:textId="77777777" w:rsidR="000144FF" w:rsidRPr="00F54064" w:rsidRDefault="000413B6" w:rsidP="004D1EC6">
            <w:pPr>
              <w:pStyle w:val="CommentaryTitle"/>
              <w:spacing w:before="0" w:after="240"/>
              <w:rPr>
                <w:rFonts w:cs="Calibri"/>
                <w:b w:val="0"/>
                <w:color w:val="7030A0"/>
                <w:sz w:val="20"/>
                <w:szCs w:val="20"/>
              </w:rPr>
            </w:pPr>
            <w:r w:rsidRPr="00F54064">
              <w:rPr>
                <w:rFonts w:cs="Calibri"/>
                <w:color w:val="7030A0"/>
              </w:rPr>
              <w:t>Reference</w:t>
            </w:r>
          </w:p>
        </w:tc>
        <w:tc>
          <w:tcPr>
            <w:tcW w:w="8930" w:type="dxa"/>
            <w:tcBorders>
              <w:left w:val="single" w:sz="2" w:space="0" w:color="auto"/>
            </w:tcBorders>
            <w:shd w:val="clear" w:color="auto" w:fill="7030A0"/>
          </w:tcPr>
          <w:p w14:paraId="2A33D342" w14:textId="77777777" w:rsidR="000144FF" w:rsidRPr="00F54064" w:rsidRDefault="000144FF" w:rsidP="004D1EC6">
            <w:pPr>
              <w:pStyle w:val="CommentaryTitle"/>
              <w:spacing w:before="0" w:after="240"/>
              <w:rPr>
                <w:rFonts w:cs="Calibri"/>
                <w:color w:val="FFFFFF" w:themeColor="background1"/>
                <w:sz w:val="28"/>
                <w:szCs w:val="28"/>
              </w:rPr>
            </w:pPr>
            <w:bookmarkStart w:id="149" w:name="_Toc50440312"/>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Pr="00F54064">
              <w:rPr>
                <w:rFonts w:cs="Calibri"/>
                <w:color w:val="FFFFFF" w:themeColor="background1"/>
                <w:sz w:val="28"/>
                <w:szCs w:val="28"/>
              </w:rPr>
              <w:t xml:space="preserve"> Operating Statement </w:t>
            </w:r>
            <w:bookmarkEnd w:id="149"/>
          </w:p>
        </w:tc>
      </w:tr>
      <w:tr w:rsidR="006A4E19" w:rsidRPr="00CF7E1B" w14:paraId="5F53E678" w14:textId="77777777" w:rsidTr="00B66382">
        <w:trPr>
          <w:trHeight w:val="20"/>
        </w:trPr>
        <w:tc>
          <w:tcPr>
            <w:tcW w:w="1620" w:type="dxa"/>
            <w:tcBorders>
              <w:left w:val="single" w:sz="2" w:space="0" w:color="auto"/>
              <w:right w:val="single" w:sz="2" w:space="0" w:color="auto"/>
            </w:tcBorders>
          </w:tcPr>
          <w:p w14:paraId="1C4D58A2"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81</w:t>
            </w:r>
            <w:r w:rsidR="00F0692C" w:rsidRPr="00F54064">
              <w:rPr>
                <w:rFonts w:cs="Calibri"/>
                <w:color w:val="7030A0"/>
                <w:sz w:val="14"/>
              </w:rPr>
              <w:t>A</w:t>
            </w:r>
            <w:r w:rsidR="00DD0E91" w:rsidRPr="00F54064">
              <w:rPr>
                <w:rFonts w:cs="Calibri"/>
                <w:color w:val="7030A0"/>
                <w:sz w:val="14"/>
              </w:rPr>
              <w:br/>
            </w:r>
            <w:r w:rsidR="00423574" w:rsidRPr="00F54064">
              <w:rPr>
                <w:rFonts w:cs="Calibri"/>
                <w:color w:val="7030A0"/>
                <w:sz w:val="14"/>
              </w:rPr>
              <w:t xml:space="preserve">ACT </w:t>
            </w:r>
            <w:r w:rsidR="00E03FE1" w:rsidRPr="00F54064">
              <w:rPr>
                <w:rFonts w:cs="Calibri"/>
                <w:color w:val="7030A0"/>
                <w:sz w:val="14"/>
              </w:rPr>
              <w:t>Disclosure</w:t>
            </w:r>
            <w:r w:rsidR="00423574" w:rsidRPr="00F54064">
              <w:rPr>
                <w:rFonts w:cs="Calibri"/>
                <w:color w:val="7030A0"/>
                <w:sz w:val="14"/>
              </w:rPr>
              <w:t xml:space="preserve"> Policy</w:t>
            </w:r>
          </w:p>
          <w:p w14:paraId="5E4E08CE" w14:textId="1C509956" w:rsidR="00DD0E91" w:rsidRPr="00F54064" w:rsidRDefault="00EF76BA" w:rsidP="006A4E19">
            <w:pPr>
              <w:pStyle w:val="TableReference"/>
              <w:tabs>
                <w:tab w:val="left" w:pos="3306"/>
              </w:tabs>
              <w:spacing w:before="60"/>
              <w:rPr>
                <w:rFonts w:cs="Calibri"/>
                <w:color w:val="7030A0"/>
                <w:sz w:val="14"/>
              </w:rPr>
            </w:pPr>
            <w:r w:rsidRPr="00F54064">
              <w:rPr>
                <w:rFonts w:cs="Calibri"/>
                <w:color w:val="7030A0"/>
                <w:sz w:val="14"/>
              </w:rPr>
              <w:t>AASB 101.10</w:t>
            </w:r>
          </w:p>
          <w:p w14:paraId="137633D9" w14:textId="77777777" w:rsidR="00423574" w:rsidRPr="00F54064" w:rsidRDefault="00423574" w:rsidP="006A4E19">
            <w:pPr>
              <w:pStyle w:val="TableReference"/>
              <w:tabs>
                <w:tab w:val="left" w:pos="3306"/>
              </w:tabs>
              <w:spacing w:before="60"/>
              <w:rPr>
                <w:rFonts w:cs="Calibri"/>
                <w:color w:val="7030A0"/>
                <w:sz w:val="14"/>
              </w:rPr>
            </w:pPr>
            <w:r w:rsidRPr="00F54064">
              <w:rPr>
                <w:rFonts w:cs="Calibri"/>
                <w:color w:val="7030A0"/>
                <w:sz w:val="14"/>
              </w:rPr>
              <w:t xml:space="preserve">ACT </w:t>
            </w:r>
            <w:r w:rsidR="00E03FE1" w:rsidRPr="00F54064">
              <w:rPr>
                <w:rFonts w:cs="Calibri"/>
                <w:color w:val="7030A0"/>
                <w:sz w:val="14"/>
              </w:rPr>
              <w:t xml:space="preserve">Disclosure </w:t>
            </w:r>
            <w:r w:rsidRPr="00F54064">
              <w:rPr>
                <w:rFonts w:cs="Calibri"/>
                <w:color w:val="7030A0"/>
                <w:sz w:val="14"/>
              </w:rPr>
              <w:t>Policy</w:t>
            </w:r>
          </w:p>
          <w:p w14:paraId="38AFCE98" w14:textId="77777777" w:rsidR="005F3B55" w:rsidRPr="00F54064" w:rsidRDefault="005F3B55" w:rsidP="006A4E19">
            <w:pPr>
              <w:pStyle w:val="TableReference"/>
              <w:tabs>
                <w:tab w:val="left" w:pos="3306"/>
              </w:tabs>
              <w:spacing w:before="60"/>
              <w:rPr>
                <w:rFonts w:cs="Calibri"/>
                <w:color w:val="7030A0"/>
                <w:sz w:val="14"/>
              </w:rPr>
            </w:pPr>
          </w:p>
          <w:p w14:paraId="4B9570FD" w14:textId="77777777" w:rsidR="005F3B55" w:rsidRPr="00F54064" w:rsidRDefault="005F3B55"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1FE9982" w14:textId="039371F3" w:rsidR="006A4E19" w:rsidRPr="00F54064" w:rsidRDefault="00423574" w:rsidP="0081339C">
            <w:pPr>
              <w:pStyle w:val="CommentaryText"/>
              <w:rPr>
                <w:rFonts w:cs="Calibri"/>
                <w:color w:val="FFFFFF" w:themeColor="background1"/>
                <w:sz w:val="18"/>
                <w:szCs w:val="18"/>
              </w:rPr>
            </w:pPr>
            <w:r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005768FD" w:rsidRPr="00F54064">
              <w:rPr>
                <w:rFonts w:cs="Calibri"/>
                <w:color w:val="FFFFFF" w:themeColor="background1"/>
                <w:sz w:val="18"/>
                <w:szCs w:val="18"/>
              </w:rPr>
              <w:t xml:space="preserve"> Policy requires an a</w:t>
            </w:r>
            <w:r w:rsidRPr="00F54064">
              <w:rPr>
                <w:rFonts w:cs="Calibri"/>
                <w:color w:val="FFFFFF" w:themeColor="background1"/>
                <w:sz w:val="18"/>
                <w:szCs w:val="18"/>
              </w:rPr>
              <w:t xml:space="preserve">gency to include one Statement of </w:t>
            </w:r>
            <w:r w:rsidR="000B59B0" w:rsidRPr="00F54064">
              <w:rPr>
                <w:rFonts w:cs="Calibri"/>
                <w:color w:val="FFFFFF" w:themeColor="background1"/>
                <w:sz w:val="18"/>
                <w:szCs w:val="18"/>
              </w:rPr>
              <w:t xml:space="preserve">Profit or Loss and Other </w:t>
            </w:r>
            <w:r w:rsidRPr="00F54064">
              <w:rPr>
                <w:rFonts w:cs="Calibri"/>
                <w:color w:val="FFFFFF" w:themeColor="background1"/>
                <w:sz w:val="18"/>
                <w:szCs w:val="18"/>
              </w:rPr>
              <w:t xml:space="preserve">Comprehensive Income in their </w:t>
            </w:r>
            <w:r w:rsidR="006A4E19" w:rsidRPr="00F54064">
              <w:rPr>
                <w:rFonts w:cs="Calibri"/>
                <w:color w:val="FFFFFF" w:themeColor="background1"/>
                <w:sz w:val="18"/>
                <w:szCs w:val="18"/>
              </w:rPr>
              <w:t xml:space="preserve">financial </w:t>
            </w:r>
            <w:r w:rsidRPr="00F54064">
              <w:rPr>
                <w:rFonts w:cs="Calibri"/>
                <w:color w:val="FFFFFF" w:themeColor="background1"/>
                <w:sz w:val="18"/>
                <w:szCs w:val="18"/>
              </w:rPr>
              <w:t xml:space="preserve">statements. </w:t>
            </w:r>
            <w:r w:rsidR="004E6F87" w:rsidRPr="00F54064">
              <w:rPr>
                <w:rFonts w:cs="Calibri"/>
                <w:color w:val="FFFFFF" w:themeColor="background1"/>
                <w:sz w:val="18"/>
                <w:szCs w:val="18"/>
              </w:rPr>
              <w:t xml:space="preserve">AASB 101 </w:t>
            </w:r>
            <w:r w:rsidR="001B700F" w:rsidRPr="00F54064">
              <w:rPr>
                <w:rFonts w:cs="Calibri"/>
                <w:i/>
                <w:iCs/>
                <w:color w:val="FFFFFF" w:themeColor="background1"/>
                <w:sz w:val="18"/>
                <w:szCs w:val="18"/>
              </w:rPr>
              <w:t>Presentation of Financial Statements</w:t>
            </w:r>
            <w:r w:rsidR="001B700F" w:rsidRPr="00F54064">
              <w:rPr>
                <w:rFonts w:cs="Calibri"/>
                <w:color w:val="FFFFFF" w:themeColor="background1"/>
                <w:sz w:val="18"/>
                <w:szCs w:val="18"/>
              </w:rPr>
              <w:t xml:space="preserve"> </w:t>
            </w:r>
            <w:r w:rsidR="004E6F87" w:rsidRPr="00F54064">
              <w:rPr>
                <w:rFonts w:cs="Calibri"/>
                <w:color w:val="FFFFFF" w:themeColor="background1"/>
                <w:sz w:val="18"/>
                <w:szCs w:val="18"/>
              </w:rPr>
              <w:t>allow</w:t>
            </w:r>
            <w:r w:rsidR="00FF35E8" w:rsidRPr="00F54064">
              <w:rPr>
                <w:rFonts w:cs="Calibri"/>
                <w:color w:val="FFFFFF" w:themeColor="background1"/>
                <w:sz w:val="18"/>
                <w:szCs w:val="18"/>
              </w:rPr>
              <w:t>s</w:t>
            </w:r>
            <w:r w:rsidR="004E6F87" w:rsidRPr="00F54064">
              <w:rPr>
                <w:rFonts w:cs="Calibri"/>
                <w:color w:val="FFFFFF" w:themeColor="background1"/>
                <w:sz w:val="18"/>
                <w:szCs w:val="18"/>
              </w:rPr>
              <w:t xml:space="preserve"> entities to choose the title of the </w:t>
            </w:r>
            <w:r w:rsidR="00EF76BA" w:rsidRPr="00F54064">
              <w:rPr>
                <w:rFonts w:cs="Calibri"/>
                <w:color w:val="FFFFFF" w:themeColor="background1"/>
                <w:sz w:val="18"/>
                <w:szCs w:val="18"/>
              </w:rPr>
              <w:t>one Statement of Profit or Loss and Other Comprehensive Income.</w:t>
            </w:r>
            <w:r w:rsidR="00FA7C77">
              <w:rPr>
                <w:rFonts w:cs="Calibri"/>
                <w:color w:val="FFFFFF" w:themeColor="background1"/>
                <w:sz w:val="18"/>
                <w:szCs w:val="18"/>
              </w:rPr>
              <w:t xml:space="preserve"> </w:t>
            </w:r>
            <w:r w:rsidR="00EF76BA" w:rsidRPr="00F54064">
              <w:rPr>
                <w:rFonts w:cs="Calibri"/>
                <w:color w:val="FFFFFF" w:themeColor="background1"/>
                <w:sz w:val="18"/>
                <w:szCs w:val="18"/>
              </w:rPr>
              <w:t xml:space="preserve">However, </w:t>
            </w:r>
            <w:r w:rsidR="006A4E19"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Pr="00F54064">
              <w:rPr>
                <w:rFonts w:cs="Calibri"/>
                <w:color w:val="FFFFFF" w:themeColor="background1"/>
                <w:sz w:val="18"/>
                <w:szCs w:val="18"/>
              </w:rPr>
              <w:t xml:space="preserve"> Policy requires that the single Statement of </w:t>
            </w:r>
            <w:r w:rsidR="00F0692C" w:rsidRPr="00F54064">
              <w:rPr>
                <w:rFonts w:cs="Calibri"/>
                <w:color w:val="FFFFFF" w:themeColor="background1"/>
                <w:sz w:val="18"/>
                <w:szCs w:val="18"/>
              </w:rPr>
              <w:t xml:space="preserve">Profit or Loss and Other </w:t>
            </w:r>
            <w:r w:rsidRPr="00F54064">
              <w:rPr>
                <w:rFonts w:cs="Calibri"/>
                <w:color w:val="FFFFFF" w:themeColor="background1"/>
                <w:sz w:val="18"/>
                <w:szCs w:val="18"/>
              </w:rPr>
              <w:t>Comprehensive Income be called an Operating Statement to maintain consistency</w:t>
            </w:r>
            <w:r w:rsidR="001B0114" w:rsidRPr="00F54064">
              <w:rPr>
                <w:rFonts w:cs="Calibri"/>
                <w:color w:val="FFFFFF" w:themeColor="background1"/>
                <w:sz w:val="18"/>
                <w:szCs w:val="18"/>
              </w:rPr>
              <w:t xml:space="preserve"> and to </w:t>
            </w:r>
            <w:r w:rsidR="006A4E19" w:rsidRPr="00F54064">
              <w:rPr>
                <w:rFonts w:cs="Calibri"/>
                <w:color w:val="FFFFFF" w:themeColor="background1"/>
                <w:sz w:val="18"/>
                <w:szCs w:val="18"/>
              </w:rPr>
              <w:t xml:space="preserve">reflect the fact that most </w:t>
            </w:r>
            <w:r w:rsidR="00D65811" w:rsidRPr="00F54064">
              <w:rPr>
                <w:rFonts w:cs="Calibri"/>
                <w:color w:val="FFFFFF" w:themeColor="background1"/>
                <w:sz w:val="18"/>
                <w:szCs w:val="18"/>
              </w:rPr>
              <w:t>a</w:t>
            </w:r>
            <w:r w:rsidR="006A4E19" w:rsidRPr="00F54064">
              <w:rPr>
                <w:rFonts w:cs="Calibri"/>
                <w:color w:val="FFFFFF" w:themeColor="background1"/>
                <w:sz w:val="18"/>
                <w:szCs w:val="18"/>
              </w:rPr>
              <w:t xml:space="preserve">gencies do not operate solely with the intention to </w:t>
            </w:r>
            <w:r w:rsidR="001B0114" w:rsidRPr="00F54064">
              <w:rPr>
                <w:rFonts w:cs="Calibri"/>
                <w:color w:val="FFFFFF" w:themeColor="background1"/>
                <w:sz w:val="18"/>
                <w:szCs w:val="18"/>
              </w:rPr>
              <w:t>generate</w:t>
            </w:r>
            <w:r w:rsidR="006A4E19" w:rsidRPr="00F54064">
              <w:rPr>
                <w:rFonts w:cs="Calibri"/>
                <w:color w:val="FFFFFF" w:themeColor="background1"/>
                <w:sz w:val="18"/>
                <w:szCs w:val="18"/>
              </w:rPr>
              <w:t xml:space="preserve"> a profit, but to provide services to the community in an efficient and effective manner.</w:t>
            </w:r>
            <w:r w:rsidR="00FA7C77">
              <w:rPr>
                <w:rFonts w:cs="Calibri"/>
                <w:color w:val="FFFFFF" w:themeColor="background1"/>
                <w:sz w:val="18"/>
                <w:szCs w:val="18"/>
              </w:rPr>
              <w:t xml:space="preserve"> </w:t>
            </w:r>
            <w:r w:rsidR="006A4E19" w:rsidRPr="00F54064">
              <w:rPr>
                <w:rFonts w:cs="Calibri"/>
                <w:color w:val="FFFFFF" w:themeColor="background1"/>
                <w:sz w:val="18"/>
                <w:szCs w:val="18"/>
              </w:rPr>
              <w:t>The Operating Statement disclose</w:t>
            </w:r>
            <w:r w:rsidR="002654B0" w:rsidRPr="00F54064">
              <w:rPr>
                <w:rFonts w:cs="Calibri"/>
                <w:color w:val="FFFFFF" w:themeColor="background1"/>
                <w:sz w:val="18"/>
                <w:szCs w:val="18"/>
              </w:rPr>
              <w:t>s</w:t>
            </w:r>
            <w:r w:rsidR="006A4E19" w:rsidRPr="00F54064">
              <w:rPr>
                <w:rFonts w:cs="Calibri"/>
                <w:color w:val="FFFFFF" w:themeColor="background1"/>
                <w:sz w:val="18"/>
                <w:szCs w:val="18"/>
              </w:rPr>
              <w:t xml:space="preserve"> items of profit and loss </w:t>
            </w:r>
            <w:r w:rsidRPr="00F54064">
              <w:rPr>
                <w:rFonts w:cs="Calibri"/>
                <w:color w:val="FFFFFF" w:themeColor="background1"/>
                <w:sz w:val="18"/>
                <w:szCs w:val="18"/>
              </w:rPr>
              <w:t xml:space="preserve">as well as </w:t>
            </w:r>
            <w:r w:rsidR="006A4E19" w:rsidRPr="00F54064">
              <w:rPr>
                <w:rFonts w:cs="Calibri"/>
                <w:color w:val="FFFFFF" w:themeColor="background1"/>
                <w:sz w:val="18"/>
                <w:szCs w:val="18"/>
              </w:rPr>
              <w:t>other comprehensive income as appropriate.</w:t>
            </w:r>
          </w:p>
        </w:tc>
      </w:tr>
      <w:tr w:rsidR="006A4E19" w:rsidRPr="00CF7E1B" w14:paraId="5B620C33" w14:textId="77777777" w:rsidTr="00B66382">
        <w:trPr>
          <w:trHeight w:val="343"/>
        </w:trPr>
        <w:tc>
          <w:tcPr>
            <w:tcW w:w="1620" w:type="dxa"/>
            <w:tcBorders>
              <w:left w:val="single" w:sz="2" w:space="0" w:color="auto"/>
              <w:right w:val="single" w:sz="2" w:space="0" w:color="auto"/>
            </w:tcBorders>
          </w:tcPr>
          <w:p w14:paraId="30BD660E"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D010678" w14:textId="77777777" w:rsidR="006A4E19" w:rsidRPr="00950179" w:rsidRDefault="006A4E19" w:rsidP="00CC1E25">
            <w:pPr>
              <w:pStyle w:val="CommentaryHeading"/>
              <w:spacing w:after="40"/>
              <w:rPr>
                <w:rFonts w:cs="Calibri"/>
                <w:color w:val="FFFFFF" w:themeColor="background1"/>
                <w:szCs w:val="20"/>
              </w:rPr>
            </w:pPr>
            <w:r w:rsidRPr="00950179">
              <w:rPr>
                <w:rFonts w:cs="Calibri"/>
                <w:color w:val="FFFFFF" w:themeColor="background1"/>
                <w:szCs w:val="20"/>
              </w:rPr>
              <w:t>Format</w:t>
            </w:r>
          </w:p>
        </w:tc>
      </w:tr>
      <w:tr w:rsidR="006A4E19" w:rsidRPr="00E86131" w14:paraId="712DC630" w14:textId="77777777" w:rsidTr="00B66382">
        <w:trPr>
          <w:trHeight w:val="20"/>
        </w:trPr>
        <w:tc>
          <w:tcPr>
            <w:tcW w:w="1620" w:type="dxa"/>
            <w:tcBorders>
              <w:left w:val="single" w:sz="2" w:space="0" w:color="auto"/>
              <w:right w:val="single" w:sz="2" w:space="0" w:color="auto"/>
            </w:tcBorders>
          </w:tcPr>
          <w:p w14:paraId="527D5D7F" w14:textId="407465AB" w:rsidR="006A4E19" w:rsidRPr="00F54064" w:rsidRDefault="006A4E19" w:rsidP="00DC24DE">
            <w:pPr>
              <w:pStyle w:val="TableReference"/>
              <w:tabs>
                <w:tab w:val="left" w:pos="3306"/>
              </w:tabs>
              <w:spacing w:before="60"/>
              <w:rPr>
                <w:rFonts w:cs="Calibri"/>
                <w:color w:val="7030A0"/>
                <w:sz w:val="14"/>
              </w:rPr>
            </w:pPr>
            <w:r w:rsidRPr="00F54064">
              <w:rPr>
                <w:rFonts w:cs="Calibri"/>
                <w:color w:val="7030A0"/>
                <w:sz w:val="14"/>
              </w:rPr>
              <w:t>AASB 101</w:t>
            </w:r>
            <w:r w:rsidR="00D001B7" w:rsidRPr="00F54064">
              <w:rPr>
                <w:rFonts w:cs="Calibri"/>
                <w:color w:val="7030A0"/>
                <w:sz w:val="14"/>
              </w:rPr>
              <w:t>.</w:t>
            </w:r>
            <w:r w:rsidRPr="00F54064">
              <w:rPr>
                <w:rFonts w:cs="Calibri"/>
                <w:color w:val="7030A0"/>
                <w:sz w:val="14"/>
              </w:rPr>
              <w:t>81</w:t>
            </w:r>
            <w:r w:rsidR="00AC2FCA" w:rsidRPr="00F54064">
              <w:rPr>
                <w:rFonts w:cs="Calibri"/>
                <w:color w:val="7030A0"/>
                <w:sz w:val="14"/>
              </w:rPr>
              <w:t>A</w:t>
            </w:r>
            <w:r w:rsidRPr="00F54064">
              <w:rPr>
                <w:rFonts w:cs="Calibri"/>
                <w:color w:val="7030A0"/>
                <w:sz w:val="14"/>
              </w:rPr>
              <w:t xml:space="preserve"> – 105</w:t>
            </w:r>
          </w:p>
        </w:tc>
        <w:tc>
          <w:tcPr>
            <w:tcW w:w="8930" w:type="dxa"/>
            <w:tcBorders>
              <w:left w:val="single" w:sz="2" w:space="0" w:color="auto"/>
            </w:tcBorders>
            <w:shd w:val="clear" w:color="auto" w:fill="7030A0"/>
          </w:tcPr>
          <w:p w14:paraId="3376D748" w14:textId="3EEA5B00" w:rsidR="006A4E19" w:rsidRPr="00F54064" w:rsidRDefault="006A4E19" w:rsidP="00DC24DE">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AASB 101 sets out the format for the Operating Statement, including certain line items that must be disclosed in the statement.</w:t>
            </w:r>
            <w:r w:rsidR="00FA7C77">
              <w:rPr>
                <w:rFonts w:cs="Calibri"/>
                <w:color w:val="FFFFFF" w:themeColor="background1"/>
                <w:sz w:val="18"/>
                <w:szCs w:val="18"/>
              </w:rPr>
              <w:t xml:space="preserve"> </w:t>
            </w:r>
          </w:p>
        </w:tc>
      </w:tr>
      <w:tr w:rsidR="00DC24DE" w:rsidRPr="00E86131" w14:paraId="2915415B" w14:textId="77777777" w:rsidTr="00B66382">
        <w:trPr>
          <w:trHeight w:val="20"/>
        </w:trPr>
        <w:tc>
          <w:tcPr>
            <w:tcW w:w="1620" w:type="dxa"/>
            <w:tcBorders>
              <w:left w:val="single" w:sz="2" w:space="0" w:color="auto"/>
              <w:right w:val="single" w:sz="2" w:space="0" w:color="auto"/>
            </w:tcBorders>
          </w:tcPr>
          <w:p w14:paraId="6A226367"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Section 27(2)</w:t>
            </w:r>
          </w:p>
          <w:p w14:paraId="444C5C0E"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Section 63(2)</w:t>
            </w:r>
          </w:p>
          <w:p w14:paraId="2498809C"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098AB382" w14:textId="54E5545C"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The </w:t>
            </w:r>
            <w:r w:rsidR="0081476E" w:rsidRPr="00F54064">
              <w:rPr>
                <w:rFonts w:cs="Calibri"/>
                <w:i/>
                <w:iCs/>
                <w:color w:val="FFFFFF" w:themeColor="background1"/>
                <w:sz w:val="18"/>
                <w:szCs w:val="18"/>
              </w:rPr>
              <w:t>Financial Management Act</w:t>
            </w:r>
            <w:r w:rsidR="00BF7D65" w:rsidRPr="00F54064">
              <w:rPr>
                <w:rFonts w:cs="Calibri"/>
                <w:i/>
                <w:iCs/>
                <w:color w:val="FFFFFF" w:themeColor="background1"/>
                <w:sz w:val="18"/>
                <w:szCs w:val="18"/>
              </w:rPr>
              <w:t xml:space="preserve"> 1996</w:t>
            </w:r>
            <w:r w:rsidR="0081476E" w:rsidRPr="00F54064">
              <w:rPr>
                <w:rFonts w:cs="Calibri"/>
                <w:i/>
                <w:iCs/>
                <w:color w:val="FFFFFF" w:themeColor="background1"/>
                <w:sz w:val="18"/>
                <w:szCs w:val="18"/>
              </w:rPr>
              <w:t xml:space="preserve"> (</w:t>
            </w:r>
            <w:r w:rsidRPr="00F54064">
              <w:rPr>
                <w:rFonts w:cs="Calibri"/>
                <w:color w:val="FFFFFF" w:themeColor="background1"/>
                <w:sz w:val="18"/>
                <w:szCs w:val="18"/>
              </w:rPr>
              <w:t>FMA</w:t>
            </w:r>
            <w:r w:rsidR="0081476E" w:rsidRPr="00F54064">
              <w:rPr>
                <w:rFonts w:cs="Calibri"/>
                <w:color w:val="FFFFFF" w:themeColor="background1"/>
                <w:sz w:val="18"/>
                <w:szCs w:val="18"/>
              </w:rPr>
              <w:t>)</w:t>
            </w:r>
            <w:r w:rsidRPr="00F54064">
              <w:rPr>
                <w:rFonts w:cs="Calibri"/>
                <w:color w:val="FFFFFF" w:themeColor="background1"/>
                <w:sz w:val="18"/>
                <w:szCs w:val="18"/>
              </w:rPr>
              <w:t xml:space="preserve"> requires that the annual financial statements of an agency be prepared in accordance with Australian Accounting Standards and in a form that facilitates a comparison between financial operations of the agency during the reporting period and the estimates of those operations contained in the budget for the agency for the reporting period.</w:t>
            </w:r>
          </w:p>
        </w:tc>
      </w:tr>
      <w:tr w:rsidR="00DC24DE" w:rsidRPr="00E86131" w14:paraId="245C366D" w14:textId="77777777" w:rsidTr="00B66382">
        <w:trPr>
          <w:trHeight w:val="20"/>
        </w:trPr>
        <w:tc>
          <w:tcPr>
            <w:tcW w:w="1620" w:type="dxa"/>
            <w:tcBorders>
              <w:left w:val="single" w:sz="2" w:space="0" w:color="auto"/>
              <w:right w:val="single" w:sz="2" w:space="0" w:color="auto"/>
            </w:tcBorders>
          </w:tcPr>
          <w:p w14:paraId="6731B718" w14:textId="3790B351"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949EED4" w14:textId="275270E0"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Income and expenses are disaggregated in the Operating Statement.</w:t>
            </w:r>
            <w:r w:rsidR="00FA7C77">
              <w:rPr>
                <w:rFonts w:cs="Calibri"/>
                <w:color w:val="FFFFFF" w:themeColor="background1"/>
                <w:sz w:val="18"/>
                <w:szCs w:val="18"/>
              </w:rPr>
              <w:t xml:space="preserve"> </w:t>
            </w:r>
          </w:p>
        </w:tc>
      </w:tr>
      <w:tr w:rsidR="006A4E19" w:rsidRPr="00CF7E1B" w14:paraId="11E20BFE" w14:textId="77777777" w:rsidTr="00B66382">
        <w:trPr>
          <w:trHeight w:val="20"/>
        </w:trPr>
        <w:tc>
          <w:tcPr>
            <w:tcW w:w="1620" w:type="dxa"/>
            <w:tcBorders>
              <w:left w:val="single" w:sz="2" w:space="0" w:color="auto"/>
              <w:right w:val="single" w:sz="2" w:space="0" w:color="auto"/>
            </w:tcBorders>
          </w:tcPr>
          <w:p w14:paraId="041901E6"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82</w:t>
            </w:r>
            <w:r w:rsidR="00AC2FCA" w:rsidRPr="00F54064">
              <w:rPr>
                <w:rFonts w:cs="Calibri"/>
                <w:color w:val="7030A0"/>
                <w:sz w:val="14"/>
              </w:rPr>
              <w:t xml:space="preserve"> </w:t>
            </w:r>
          </w:p>
          <w:p w14:paraId="4E6A7BBE" w14:textId="77777777" w:rsidR="006A4E19" w:rsidRPr="00F54064" w:rsidRDefault="006A4E19" w:rsidP="006A4E19">
            <w:pPr>
              <w:pStyle w:val="TableReference"/>
              <w:tabs>
                <w:tab w:val="left" w:pos="3306"/>
              </w:tabs>
              <w:rPr>
                <w:rFonts w:cs="Calibri"/>
                <w:color w:val="7030A0"/>
                <w:sz w:val="14"/>
              </w:rPr>
            </w:pPr>
          </w:p>
          <w:p w14:paraId="661A01C9" w14:textId="77777777" w:rsidR="006A4E19" w:rsidRPr="00F54064" w:rsidRDefault="006A4E19" w:rsidP="006A4E19">
            <w:pPr>
              <w:pStyle w:val="TableReference"/>
              <w:tabs>
                <w:tab w:val="left" w:pos="3306"/>
              </w:tabs>
              <w:rPr>
                <w:rFonts w:cs="Calibri"/>
                <w:color w:val="7030A0"/>
                <w:sz w:val="14"/>
              </w:rPr>
            </w:pPr>
          </w:p>
          <w:p w14:paraId="0EC36D17" w14:textId="77777777" w:rsidR="006A4E19" w:rsidRPr="00F54064" w:rsidRDefault="006A4E19" w:rsidP="006A4E19">
            <w:pPr>
              <w:pStyle w:val="TableReference"/>
              <w:tabs>
                <w:tab w:val="left" w:pos="3306"/>
              </w:tabs>
              <w:rPr>
                <w:rFonts w:cs="Calibri"/>
                <w:color w:val="7030A0"/>
                <w:sz w:val="14"/>
              </w:rPr>
            </w:pPr>
          </w:p>
          <w:p w14:paraId="7A3CC280" w14:textId="77777777" w:rsidR="006A4E19" w:rsidRPr="00F54064" w:rsidRDefault="006A4E19" w:rsidP="006A4E19">
            <w:pPr>
              <w:pStyle w:val="TableReference"/>
              <w:tabs>
                <w:tab w:val="left" w:pos="3306"/>
              </w:tabs>
              <w:rPr>
                <w:rFonts w:cs="Calibri"/>
                <w:color w:val="7030A0"/>
                <w:sz w:val="14"/>
              </w:rPr>
            </w:pPr>
          </w:p>
          <w:p w14:paraId="07FE9CB8" w14:textId="77777777" w:rsidR="006A4E19" w:rsidRPr="00F54064" w:rsidRDefault="006A4E19" w:rsidP="006A4E19">
            <w:pPr>
              <w:pStyle w:val="TableReference"/>
              <w:tabs>
                <w:tab w:val="left" w:pos="3306"/>
              </w:tabs>
              <w:rPr>
                <w:rFonts w:cs="Calibri"/>
                <w:color w:val="7030A0"/>
                <w:sz w:val="14"/>
              </w:rPr>
            </w:pPr>
          </w:p>
          <w:p w14:paraId="4DCEE7D4" w14:textId="77777777" w:rsidR="006A4E19" w:rsidRPr="00F54064" w:rsidRDefault="006A4E19" w:rsidP="006A4E19">
            <w:pPr>
              <w:pStyle w:val="TableReference"/>
              <w:tabs>
                <w:tab w:val="left" w:pos="3306"/>
              </w:tabs>
              <w:rPr>
                <w:rFonts w:cs="Calibri"/>
                <w:color w:val="7030A0"/>
                <w:sz w:val="14"/>
              </w:rPr>
            </w:pPr>
          </w:p>
          <w:p w14:paraId="15A09792" w14:textId="77777777" w:rsidR="006A4E19" w:rsidRPr="00F54064" w:rsidRDefault="006A4E19" w:rsidP="006A4E19">
            <w:pPr>
              <w:pStyle w:val="TableReference"/>
              <w:tabs>
                <w:tab w:val="left" w:pos="3306"/>
              </w:tabs>
              <w:rPr>
                <w:rFonts w:cs="Calibri"/>
                <w:color w:val="7030A0"/>
                <w:sz w:val="14"/>
              </w:rPr>
            </w:pPr>
          </w:p>
          <w:p w14:paraId="4CE37090" w14:textId="77777777" w:rsidR="006A4E19" w:rsidRPr="00F54064" w:rsidRDefault="006A4E19" w:rsidP="006A4E19">
            <w:pPr>
              <w:pStyle w:val="TableReference"/>
              <w:tabs>
                <w:tab w:val="left" w:pos="3306"/>
              </w:tabs>
              <w:rPr>
                <w:rFonts w:cs="Calibri"/>
                <w:color w:val="7030A0"/>
                <w:sz w:val="14"/>
              </w:rPr>
            </w:pPr>
          </w:p>
          <w:p w14:paraId="4C622AD0" w14:textId="77777777" w:rsidR="00B92BE1" w:rsidRPr="00F54064" w:rsidRDefault="00B92BE1" w:rsidP="00B92BE1">
            <w:pPr>
              <w:pStyle w:val="TableReference"/>
              <w:tabs>
                <w:tab w:val="left" w:pos="3306"/>
              </w:tabs>
              <w:rPr>
                <w:rFonts w:cs="Calibri"/>
                <w:color w:val="7030A0"/>
                <w:sz w:val="14"/>
              </w:rPr>
            </w:pPr>
          </w:p>
          <w:p w14:paraId="565D5453" w14:textId="77777777" w:rsidR="0057296F" w:rsidRPr="00F54064" w:rsidRDefault="0057296F" w:rsidP="00B92BE1">
            <w:pPr>
              <w:pStyle w:val="TableReference"/>
              <w:tabs>
                <w:tab w:val="left" w:pos="3306"/>
              </w:tabs>
              <w:rPr>
                <w:rFonts w:cs="Calibri"/>
                <w:color w:val="7030A0"/>
                <w:sz w:val="14"/>
              </w:rPr>
            </w:pPr>
          </w:p>
          <w:p w14:paraId="18CDC091" w14:textId="77777777" w:rsidR="0057296F" w:rsidRPr="00F54064" w:rsidRDefault="0057296F" w:rsidP="00B92BE1">
            <w:pPr>
              <w:pStyle w:val="TableReference"/>
              <w:tabs>
                <w:tab w:val="left" w:pos="3306"/>
              </w:tabs>
              <w:rPr>
                <w:rFonts w:cs="Calibri"/>
                <w:color w:val="7030A0"/>
                <w:sz w:val="14"/>
              </w:rPr>
            </w:pPr>
          </w:p>
          <w:p w14:paraId="33A19AED" w14:textId="77777777" w:rsidR="0057296F" w:rsidRPr="00F54064" w:rsidRDefault="0057296F" w:rsidP="00B92BE1">
            <w:pPr>
              <w:pStyle w:val="TableReference"/>
              <w:tabs>
                <w:tab w:val="left" w:pos="3306"/>
              </w:tabs>
              <w:rPr>
                <w:rFonts w:cs="Calibri"/>
                <w:color w:val="7030A0"/>
                <w:sz w:val="14"/>
              </w:rPr>
            </w:pPr>
          </w:p>
          <w:p w14:paraId="679A8211" w14:textId="77777777" w:rsidR="0057296F" w:rsidRPr="00F54064" w:rsidRDefault="0057296F" w:rsidP="00B92BE1">
            <w:pPr>
              <w:pStyle w:val="TableReference"/>
              <w:tabs>
                <w:tab w:val="left" w:pos="3306"/>
              </w:tabs>
              <w:rPr>
                <w:rFonts w:cs="Calibri"/>
                <w:color w:val="7030A0"/>
                <w:sz w:val="14"/>
              </w:rPr>
            </w:pPr>
          </w:p>
          <w:p w14:paraId="3293CBA2" w14:textId="4AA2DF0A" w:rsidR="00671F8E" w:rsidRPr="00F54064" w:rsidRDefault="00671F8E" w:rsidP="004D3CFD">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6AF7C457" w14:textId="77777777" w:rsidR="006A4E19" w:rsidRPr="00F54064" w:rsidRDefault="006A4E19"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requires that the total amounts of the following </w:t>
            </w:r>
            <w:r w:rsidR="005921C9" w:rsidRPr="00F54064">
              <w:rPr>
                <w:rFonts w:cs="Calibri"/>
                <w:color w:val="FFFFFF" w:themeColor="background1"/>
                <w:sz w:val="18"/>
                <w:szCs w:val="18"/>
              </w:rPr>
              <w:t xml:space="preserve">line items </w:t>
            </w:r>
            <w:r w:rsidRPr="00F54064">
              <w:rPr>
                <w:rFonts w:cs="Calibri"/>
                <w:color w:val="FFFFFF" w:themeColor="background1"/>
                <w:sz w:val="18"/>
                <w:szCs w:val="18"/>
              </w:rPr>
              <w:t xml:space="preserve">be disclosed in the </w:t>
            </w:r>
            <w:r w:rsidR="0065789E" w:rsidRPr="00F54064">
              <w:rPr>
                <w:rFonts w:cs="Calibri"/>
                <w:color w:val="FFFFFF" w:themeColor="background1"/>
                <w:sz w:val="18"/>
                <w:szCs w:val="18"/>
              </w:rPr>
              <w:t xml:space="preserve">Income </w:t>
            </w:r>
            <w:r w:rsidR="00542006" w:rsidRPr="00F54064">
              <w:rPr>
                <w:rFonts w:cs="Calibri"/>
                <w:color w:val="FFFFFF" w:themeColor="background1"/>
                <w:sz w:val="18"/>
                <w:szCs w:val="18"/>
              </w:rPr>
              <w:t>or</w:t>
            </w:r>
            <w:r w:rsidR="0065789E" w:rsidRPr="00F54064">
              <w:rPr>
                <w:rFonts w:cs="Calibri"/>
                <w:color w:val="FFFFFF" w:themeColor="background1"/>
                <w:sz w:val="18"/>
                <w:szCs w:val="18"/>
              </w:rPr>
              <w:t xml:space="preserve"> Expenses section of the </w:t>
            </w:r>
            <w:r w:rsidRPr="00F54064">
              <w:rPr>
                <w:rFonts w:cs="Calibri"/>
                <w:color w:val="FFFFFF" w:themeColor="background1"/>
                <w:sz w:val="18"/>
                <w:szCs w:val="18"/>
              </w:rPr>
              <w:t>Operating Statement:</w:t>
            </w:r>
          </w:p>
          <w:p w14:paraId="3E342A2D" w14:textId="4DC66170" w:rsidR="006A4E19" w:rsidRPr="00F54064" w:rsidRDefault="006A4E19"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revenue</w:t>
            </w:r>
            <w:r w:rsidR="00FF35E8" w:rsidRPr="00F54064">
              <w:rPr>
                <w:rFonts w:cs="Calibri"/>
                <w:color w:val="FFFFFF" w:themeColor="background1"/>
                <w:sz w:val="18"/>
                <w:szCs w:val="18"/>
              </w:rPr>
              <w:t>,</w:t>
            </w:r>
            <w:r w:rsidR="00FF35E8" w:rsidRPr="00F54064">
              <w:rPr>
                <w:color w:val="FFFFFF" w:themeColor="background1"/>
                <w:sz w:val="18"/>
                <w:szCs w:val="18"/>
              </w:rPr>
              <w:t xml:space="preserve"> presenting separately interest revenue calculated using the effective interest</w:t>
            </w:r>
            <w:r w:rsidR="00BF7D65" w:rsidRPr="00F54064">
              <w:rPr>
                <w:color w:val="FFFFFF" w:themeColor="background1"/>
                <w:sz w:val="18"/>
                <w:szCs w:val="18"/>
              </w:rPr>
              <w:t xml:space="preserve"> method</w:t>
            </w:r>
            <w:r w:rsidRPr="00F54064">
              <w:rPr>
                <w:rFonts w:cs="Calibri"/>
                <w:color w:val="FFFFFF" w:themeColor="background1"/>
                <w:sz w:val="18"/>
                <w:szCs w:val="18"/>
              </w:rPr>
              <w:t>;</w:t>
            </w:r>
          </w:p>
          <w:p w14:paraId="019DC172" w14:textId="19584C8B" w:rsidR="002E255A" w:rsidRPr="00F54064" w:rsidRDefault="002E255A"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gains and losses arising from the derecognition of financial assets measured at amortised cost;</w:t>
            </w:r>
          </w:p>
          <w:p w14:paraId="7242E1D4" w14:textId="60EF126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finance costs;</w:t>
            </w:r>
          </w:p>
          <w:p w14:paraId="4EA0F984" w14:textId="56677514" w:rsidR="008A61A6" w:rsidRPr="00F54064" w:rsidRDefault="008A61A6"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impairment losses (including reversals of impairment losses);</w:t>
            </w:r>
          </w:p>
          <w:p w14:paraId="0ADE67EC" w14:textId="56DE91D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 xml:space="preserve">share of profit or (loss) of </w:t>
            </w:r>
            <w:r w:rsidR="008A61A6" w:rsidRPr="00F54064">
              <w:rPr>
                <w:rFonts w:cs="Calibri"/>
                <w:color w:val="FFFFFF" w:themeColor="background1"/>
                <w:sz w:val="18"/>
                <w:szCs w:val="18"/>
              </w:rPr>
              <w:t>associates and</w:t>
            </w:r>
            <w:r w:rsidR="008A61A6" w:rsidRPr="00F54064">
              <w:rPr>
                <w:b/>
                <w:bCs/>
                <w:color w:val="FFFFFF" w:themeColor="background1"/>
                <w:sz w:val="18"/>
                <w:szCs w:val="18"/>
              </w:rPr>
              <w:t xml:space="preserve"> </w:t>
            </w:r>
            <w:r w:rsidRPr="00F54064">
              <w:rPr>
                <w:rFonts w:cs="Calibri"/>
                <w:color w:val="FFFFFF" w:themeColor="background1"/>
                <w:sz w:val="18"/>
                <w:szCs w:val="18"/>
              </w:rPr>
              <w:t>joint ventures accounted for using the equity method;</w:t>
            </w:r>
            <w:r w:rsidR="00542006" w:rsidRPr="00F54064">
              <w:rPr>
                <w:rFonts w:cs="Calibri"/>
                <w:color w:val="FFFFFF" w:themeColor="background1"/>
                <w:sz w:val="18"/>
                <w:szCs w:val="18"/>
              </w:rPr>
              <w:t xml:space="preserve"> </w:t>
            </w:r>
          </w:p>
          <w:p w14:paraId="1A5C1E53" w14:textId="6D99B544" w:rsidR="00B26FCA" w:rsidRPr="00F54064" w:rsidRDefault="00B26FCA"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gains or losses arising from reclassifying a financial asset from amortised cost </w:t>
            </w:r>
            <w:r w:rsidR="003F2F81" w:rsidRPr="00F54064">
              <w:rPr>
                <w:rFonts w:cs="Calibri"/>
                <w:color w:val="FFFFFF" w:themeColor="background1"/>
                <w:sz w:val="18"/>
                <w:szCs w:val="18"/>
              </w:rPr>
              <w:t>to fair value through profit and</w:t>
            </w:r>
            <w:r w:rsidR="00950179">
              <w:rPr>
                <w:rFonts w:cs="Calibri"/>
                <w:color w:val="FFFFFF" w:themeColor="background1"/>
                <w:sz w:val="18"/>
                <w:szCs w:val="18"/>
              </w:rPr>
              <w:t xml:space="preserve"> </w:t>
            </w:r>
            <w:r w:rsidR="003F2F81" w:rsidRPr="00F54064">
              <w:rPr>
                <w:rFonts w:cs="Calibri"/>
                <w:color w:val="FFFFFF" w:themeColor="background1"/>
                <w:sz w:val="18"/>
                <w:szCs w:val="18"/>
              </w:rPr>
              <w:t xml:space="preserve">loss; </w:t>
            </w:r>
          </w:p>
          <w:p w14:paraId="67509A8F" w14:textId="1A34ACBE" w:rsidR="003F2F81" w:rsidRPr="00F54064" w:rsidRDefault="003F2F81"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any cumulative gains or losses previously recognised in other </w:t>
            </w:r>
            <w:r w:rsidR="005B5A40" w:rsidRPr="00F54064">
              <w:rPr>
                <w:rFonts w:cs="Calibri"/>
                <w:color w:val="FFFFFF" w:themeColor="background1"/>
                <w:sz w:val="18"/>
                <w:szCs w:val="18"/>
              </w:rPr>
              <w:t xml:space="preserve">comprehensive income that is reclassified to profit and loss </w:t>
            </w:r>
            <w:r w:rsidRPr="00F54064">
              <w:rPr>
                <w:rFonts w:cs="Calibri"/>
                <w:color w:val="FFFFFF" w:themeColor="background1"/>
                <w:sz w:val="18"/>
                <w:szCs w:val="18"/>
              </w:rPr>
              <w:t xml:space="preserve">arising </w:t>
            </w:r>
            <w:r w:rsidR="005B5A40" w:rsidRPr="00F54064">
              <w:rPr>
                <w:rFonts w:cs="Calibri"/>
                <w:color w:val="FFFFFF" w:themeColor="background1"/>
                <w:sz w:val="18"/>
                <w:szCs w:val="18"/>
              </w:rPr>
              <w:t>from</w:t>
            </w:r>
            <w:r w:rsidRPr="00F54064">
              <w:rPr>
                <w:rFonts w:cs="Calibri"/>
                <w:color w:val="FFFFFF" w:themeColor="background1"/>
                <w:sz w:val="18"/>
                <w:szCs w:val="18"/>
              </w:rPr>
              <w:t xml:space="preserve"> a financial asset </w:t>
            </w:r>
            <w:r w:rsidR="005B5A40" w:rsidRPr="00F54064">
              <w:rPr>
                <w:rFonts w:cs="Calibri"/>
                <w:color w:val="FFFFFF" w:themeColor="background1"/>
                <w:sz w:val="18"/>
                <w:szCs w:val="18"/>
              </w:rPr>
              <w:t xml:space="preserve">moving from </w:t>
            </w:r>
            <w:r w:rsidRPr="00F54064">
              <w:rPr>
                <w:rFonts w:cs="Calibri"/>
                <w:color w:val="FFFFFF" w:themeColor="background1"/>
                <w:sz w:val="18"/>
                <w:szCs w:val="18"/>
              </w:rPr>
              <w:t>the other comprehensive income measurement category to the fair value through profit and loss measurement category;</w:t>
            </w:r>
          </w:p>
          <w:p w14:paraId="7A2B35BE" w14:textId="5B81B726" w:rsidR="008A61A6" w:rsidRPr="00F54064" w:rsidRDefault="00087BAE"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tax expense</w:t>
            </w:r>
            <w:r w:rsidR="008A61A6" w:rsidRPr="00F54064">
              <w:rPr>
                <w:rFonts w:cs="Calibri"/>
                <w:color w:val="FFFFFF" w:themeColor="background1"/>
                <w:sz w:val="18"/>
                <w:szCs w:val="18"/>
              </w:rPr>
              <w:t>; and</w:t>
            </w:r>
          </w:p>
          <w:p w14:paraId="0AFFC981" w14:textId="16E9FD5D" w:rsidR="002606EC" w:rsidRPr="00F54064" w:rsidRDefault="008A61A6"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single amount for the total of discontinued operations</w:t>
            </w:r>
            <w:r w:rsidR="00542006" w:rsidRPr="00F54064">
              <w:rPr>
                <w:rFonts w:cs="Calibri"/>
                <w:color w:val="FFFFFF" w:themeColor="background1"/>
                <w:sz w:val="18"/>
                <w:szCs w:val="18"/>
              </w:rPr>
              <w:t>.</w:t>
            </w:r>
          </w:p>
        </w:tc>
      </w:tr>
      <w:tr w:rsidR="00DC24DE" w:rsidRPr="00CF7E1B" w14:paraId="62636992" w14:textId="77777777" w:rsidTr="00B66382">
        <w:trPr>
          <w:trHeight w:val="20"/>
        </w:trPr>
        <w:tc>
          <w:tcPr>
            <w:tcW w:w="1620" w:type="dxa"/>
            <w:tcBorders>
              <w:left w:val="single" w:sz="2" w:space="0" w:color="auto"/>
              <w:right w:val="single" w:sz="2" w:space="0" w:color="auto"/>
            </w:tcBorders>
          </w:tcPr>
          <w:p w14:paraId="048D74AB" w14:textId="77777777" w:rsidR="00DC24DE" w:rsidRPr="00F54064" w:rsidRDefault="00DC24DE" w:rsidP="00DC24DE">
            <w:pPr>
              <w:pStyle w:val="TableReference"/>
              <w:tabs>
                <w:tab w:val="left" w:pos="3306"/>
              </w:tabs>
              <w:rPr>
                <w:rFonts w:cs="Calibri"/>
                <w:color w:val="7030A0"/>
                <w:sz w:val="14"/>
              </w:rPr>
            </w:pPr>
            <w:r w:rsidRPr="00F54064">
              <w:rPr>
                <w:rFonts w:cs="Calibri"/>
                <w:color w:val="7030A0"/>
                <w:sz w:val="14"/>
              </w:rPr>
              <w:t>AASB 101.82A</w:t>
            </w:r>
          </w:p>
          <w:p w14:paraId="32FE5A1A"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263E05" w14:textId="77777777" w:rsidR="00DC24DE" w:rsidRPr="00F54064" w:rsidRDefault="00DC24DE"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AASB 101 requires the other comprehensive income section to present line items for amounts of other comprehensive income classified by nature (including the share of the other comprehensive income of associates and joint ventures accounted for using the equity method) and grouped into those that in accordance with other Australian Accounting Standards:</w:t>
            </w:r>
          </w:p>
          <w:p w14:paraId="42F37C95" w14:textId="77777777" w:rsidR="005D080D" w:rsidRDefault="00DC24DE" w:rsidP="00842DBF">
            <w:pPr>
              <w:pStyle w:val="CommentaryText"/>
              <w:numPr>
                <w:ilvl w:val="0"/>
                <w:numId w:val="30"/>
              </w:numPr>
              <w:spacing w:after="40"/>
              <w:ind w:left="604" w:hanging="253"/>
              <w:rPr>
                <w:rFonts w:cs="Calibri"/>
                <w:color w:val="FFFFFF" w:themeColor="background1"/>
                <w:sz w:val="18"/>
                <w:szCs w:val="18"/>
              </w:rPr>
            </w:pPr>
            <w:r w:rsidRPr="00F54064">
              <w:rPr>
                <w:rFonts w:cs="Calibri"/>
                <w:color w:val="FFFFFF" w:themeColor="background1"/>
                <w:sz w:val="18"/>
                <w:szCs w:val="18"/>
              </w:rPr>
              <w:t>will not be reclassified subsequently to profit or loss (income or expense); and</w:t>
            </w:r>
          </w:p>
          <w:p w14:paraId="62D361FF" w14:textId="6D4D20E2" w:rsidR="00DC24DE" w:rsidRPr="005D080D" w:rsidRDefault="00DC24DE" w:rsidP="00842DBF">
            <w:pPr>
              <w:pStyle w:val="CommentaryText"/>
              <w:numPr>
                <w:ilvl w:val="0"/>
                <w:numId w:val="30"/>
              </w:numPr>
              <w:spacing w:after="40"/>
              <w:ind w:left="607" w:hanging="255"/>
              <w:rPr>
                <w:rFonts w:cs="Calibri"/>
                <w:color w:val="FFFFFF" w:themeColor="background1"/>
                <w:sz w:val="18"/>
                <w:szCs w:val="18"/>
              </w:rPr>
            </w:pPr>
            <w:r w:rsidRPr="005D080D">
              <w:rPr>
                <w:rFonts w:cs="Calibri"/>
                <w:color w:val="FFFFFF" w:themeColor="background1"/>
                <w:sz w:val="18"/>
                <w:szCs w:val="18"/>
              </w:rPr>
              <w:t>will be reclassified subsequently to profit or loss (income or expense) when specific conditions are met.</w:t>
            </w:r>
          </w:p>
        </w:tc>
      </w:tr>
      <w:tr w:rsidR="00DC24DE" w:rsidRPr="00CF7E1B" w14:paraId="4E6D5E59" w14:textId="77777777" w:rsidTr="00B66382">
        <w:trPr>
          <w:trHeight w:val="20"/>
        </w:trPr>
        <w:tc>
          <w:tcPr>
            <w:tcW w:w="1620" w:type="dxa"/>
            <w:tcBorders>
              <w:left w:val="single" w:sz="2" w:space="0" w:color="auto"/>
              <w:right w:val="single" w:sz="2" w:space="0" w:color="auto"/>
            </w:tcBorders>
          </w:tcPr>
          <w:p w14:paraId="530B9EAB" w14:textId="77777777"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AASB 101.96</w:t>
            </w:r>
          </w:p>
          <w:p w14:paraId="0EBBF5D8" w14:textId="7B6CEB98" w:rsidR="00DC24DE" w:rsidRPr="00F54064" w:rsidRDefault="00DC24DE" w:rsidP="006A4E19">
            <w:pPr>
              <w:pStyle w:val="TableReference"/>
              <w:tabs>
                <w:tab w:val="left" w:pos="3306"/>
              </w:tabs>
              <w:spacing w:before="60"/>
              <w:rPr>
                <w:rFonts w:cs="Calibri"/>
                <w:strike/>
                <w:color w:val="7030A0"/>
                <w:sz w:val="14"/>
              </w:rPr>
            </w:pPr>
          </w:p>
        </w:tc>
        <w:tc>
          <w:tcPr>
            <w:tcW w:w="8930" w:type="dxa"/>
            <w:tcBorders>
              <w:left w:val="single" w:sz="2" w:space="0" w:color="auto"/>
            </w:tcBorders>
            <w:shd w:val="clear" w:color="auto" w:fill="7030A0"/>
          </w:tcPr>
          <w:p w14:paraId="5BD32633" w14:textId="26D9F138"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Examples of other comprehensive income items that would never be reclassified to profit or loss are changes in the revaluation surplus recognised in accordance with AASB 116 </w:t>
            </w:r>
            <w:r w:rsidRPr="00F54064">
              <w:rPr>
                <w:rFonts w:cs="Calibri"/>
                <w:i/>
                <w:iCs/>
                <w:color w:val="FFFFFF" w:themeColor="background1"/>
                <w:sz w:val="18"/>
                <w:szCs w:val="18"/>
              </w:rPr>
              <w:t>Property, Plant and Equipment</w:t>
            </w:r>
            <w:r w:rsidRPr="00F54064">
              <w:rPr>
                <w:rFonts w:cs="Calibri"/>
                <w:color w:val="FFFFFF" w:themeColor="background1"/>
                <w:sz w:val="18"/>
                <w:szCs w:val="18"/>
              </w:rPr>
              <w:t xml:space="preserve"> or AASB 138 </w:t>
            </w:r>
            <w:r w:rsidRPr="00F54064">
              <w:rPr>
                <w:rFonts w:cs="Calibri"/>
                <w:i/>
                <w:iCs/>
                <w:color w:val="FFFFFF" w:themeColor="background1"/>
                <w:sz w:val="18"/>
                <w:szCs w:val="18"/>
              </w:rPr>
              <w:t>Intangible Assets</w:t>
            </w:r>
            <w:r w:rsidRPr="00F54064">
              <w:rPr>
                <w:rFonts w:cs="Calibri"/>
                <w:color w:val="FFFFFF" w:themeColor="background1"/>
                <w:sz w:val="18"/>
                <w:szCs w:val="18"/>
              </w:rPr>
              <w:t xml:space="preserve"> and actuarial gains and losses on defined benefit pension plans recognised in accordance with AASB 119 </w:t>
            </w:r>
            <w:r w:rsidRPr="00F54064">
              <w:rPr>
                <w:rFonts w:cs="Calibri"/>
                <w:i/>
                <w:iCs/>
                <w:color w:val="FFFFFF" w:themeColor="background1"/>
                <w:sz w:val="18"/>
                <w:szCs w:val="18"/>
              </w:rPr>
              <w:t>Employee Benefits</w:t>
            </w:r>
            <w:r w:rsidRPr="00F54064">
              <w:rPr>
                <w:rFonts w:cs="Calibri"/>
                <w:color w:val="FFFFFF" w:themeColor="background1"/>
                <w:sz w:val="18"/>
                <w:szCs w:val="18"/>
              </w:rPr>
              <w:t>.</w:t>
            </w:r>
            <w:r w:rsidR="00FA7C77">
              <w:rPr>
                <w:rFonts w:cs="Calibri"/>
                <w:color w:val="FFFFFF" w:themeColor="background1"/>
                <w:sz w:val="18"/>
                <w:szCs w:val="18"/>
              </w:rPr>
              <w:t xml:space="preserve"> </w:t>
            </w:r>
            <w:r w:rsidRPr="00F54064">
              <w:rPr>
                <w:rFonts w:cs="Calibri"/>
                <w:color w:val="FFFFFF" w:themeColor="background1"/>
                <w:sz w:val="18"/>
                <w:szCs w:val="18"/>
              </w:rPr>
              <w:t>It is unlikely that agencies would have items of other comprehensive income that may subsequently be reclassified to profit or loss.</w:t>
            </w:r>
          </w:p>
        </w:tc>
      </w:tr>
      <w:tr w:rsidR="00F96821" w:rsidRPr="00CF7E1B" w14:paraId="32BCAA7D" w14:textId="77777777" w:rsidTr="00B66382">
        <w:trPr>
          <w:trHeight w:val="20"/>
        </w:trPr>
        <w:tc>
          <w:tcPr>
            <w:tcW w:w="1620" w:type="dxa"/>
            <w:tcBorders>
              <w:left w:val="single" w:sz="2" w:space="0" w:color="auto"/>
              <w:right w:val="single" w:sz="2" w:space="0" w:color="auto"/>
            </w:tcBorders>
          </w:tcPr>
          <w:p w14:paraId="639B2911"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w:t>
            </w:r>
          </w:p>
          <w:p w14:paraId="528350DC"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C1E00A" w14:textId="4FFC3C64" w:rsidR="00F96821" w:rsidRPr="00F54064" w:rsidRDefault="00616785"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w:t>
            </w:r>
            <w:r w:rsidR="00F96821" w:rsidRPr="00F54064">
              <w:rPr>
                <w:rFonts w:cs="Calibri"/>
                <w:color w:val="FFFFFF" w:themeColor="background1"/>
                <w:sz w:val="18"/>
                <w:szCs w:val="18"/>
              </w:rPr>
              <w:t xml:space="preserve">dditional line items (including by disaggregating the line items listed above), headings and sub-totals </w:t>
            </w:r>
            <w:r w:rsidRPr="00F54064">
              <w:rPr>
                <w:rFonts w:cs="Calibri"/>
                <w:color w:val="FFFFFF" w:themeColor="background1"/>
                <w:sz w:val="18"/>
                <w:szCs w:val="18"/>
              </w:rPr>
              <w:t xml:space="preserve">are required </w:t>
            </w:r>
            <w:r w:rsidR="00F96821" w:rsidRPr="00F54064">
              <w:rPr>
                <w:rFonts w:cs="Calibri"/>
                <w:color w:val="FFFFFF" w:themeColor="background1"/>
                <w:sz w:val="18"/>
                <w:szCs w:val="18"/>
              </w:rPr>
              <w:t>to be presented in the Operating Statement when such presentation is relevant to an understanding of the agency’s financial performance.</w:t>
            </w:r>
            <w:r w:rsidR="00FA7C77">
              <w:rPr>
                <w:rFonts w:cs="Calibri"/>
                <w:color w:val="FFFFFF" w:themeColor="background1"/>
                <w:sz w:val="18"/>
                <w:szCs w:val="18"/>
              </w:rPr>
              <w:t xml:space="preserve"> </w:t>
            </w:r>
            <w:r w:rsidR="00F96821" w:rsidRPr="00F54064">
              <w:rPr>
                <w:rFonts w:cs="Calibri"/>
                <w:color w:val="FFFFFF" w:themeColor="background1"/>
                <w:sz w:val="18"/>
                <w:szCs w:val="18"/>
              </w:rPr>
              <w:t xml:space="preserve">These additional sub-totals must: </w:t>
            </w:r>
          </w:p>
        </w:tc>
      </w:tr>
      <w:tr w:rsidR="00F96821" w:rsidRPr="00CF7E1B" w14:paraId="169A562C" w14:textId="77777777" w:rsidTr="00B66382">
        <w:trPr>
          <w:trHeight w:val="20"/>
        </w:trPr>
        <w:tc>
          <w:tcPr>
            <w:tcW w:w="1620" w:type="dxa"/>
            <w:tcBorders>
              <w:left w:val="single" w:sz="2" w:space="0" w:color="auto"/>
              <w:right w:val="single" w:sz="2" w:space="0" w:color="auto"/>
            </w:tcBorders>
          </w:tcPr>
          <w:p w14:paraId="0AE5427F"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101.85A</w:t>
            </w:r>
          </w:p>
          <w:p w14:paraId="1834C7BF"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BDFBA69" w14:textId="4D2E9472" w:rsidR="00F96821"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 xml:space="preserve">be made up of items recognised and measured in accordance with Australian Accounting Standards; </w:t>
            </w:r>
          </w:p>
          <w:p w14:paraId="10FF27B0" w14:textId="463A8899" w:rsidR="00F96821"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be presented and labelled in a manner that makes the sub-totals clear and understandable and consistent from period to period; and</w:t>
            </w:r>
          </w:p>
          <w:p w14:paraId="27A240BD" w14:textId="77777777" w:rsidR="00F96821" w:rsidRPr="005D080D"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not be displayed with more prominence than the sub-totals and totals required in Australian Accounting Standards.</w:t>
            </w:r>
          </w:p>
        </w:tc>
      </w:tr>
      <w:tr w:rsidR="00036657" w:rsidRPr="00CF7E1B" w14:paraId="411A79F5" w14:textId="77777777" w:rsidTr="00B66382">
        <w:trPr>
          <w:trHeight w:val="20"/>
        </w:trPr>
        <w:tc>
          <w:tcPr>
            <w:tcW w:w="1620" w:type="dxa"/>
            <w:tcBorders>
              <w:left w:val="single" w:sz="2" w:space="0" w:color="auto"/>
              <w:right w:val="single" w:sz="2" w:space="0" w:color="auto"/>
            </w:tcBorders>
          </w:tcPr>
          <w:p w14:paraId="67058CB1" w14:textId="20379F95" w:rsidR="00036657" w:rsidRPr="00F54064" w:rsidRDefault="00036657" w:rsidP="009A0F2F">
            <w:pPr>
              <w:pStyle w:val="TableReference"/>
              <w:tabs>
                <w:tab w:val="left" w:pos="3306"/>
              </w:tabs>
              <w:spacing w:before="60"/>
              <w:rPr>
                <w:rFonts w:cs="Calibri"/>
                <w:color w:val="7030A0"/>
                <w:sz w:val="14"/>
              </w:rPr>
            </w:pPr>
            <w:r w:rsidRPr="00F54064">
              <w:rPr>
                <w:rFonts w:cs="Calibri"/>
                <w:color w:val="7030A0"/>
                <w:sz w:val="14"/>
              </w:rPr>
              <w:t>AASB 101.85B</w:t>
            </w:r>
          </w:p>
        </w:tc>
        <w:tc>
          <w:tcPr>
            <w:tcW w:w="8930" w:type="dxa"/>
            <w:tcBorders>
              <w:left w:val="single" w:sz="2" w:space="0" w:color="auto"/>
            </w:tcBorders>
            <w:shd w:val="clear" w:color="auto" w:fill="7030A0"/>
          </w:tcPr>
          <w:p w14:paraId="5AF3413C" w14:textId="62505A81" w:rsidR="00036657" w:rsidRPr="00F54064" w:rsidRDefault="00036657" w:rsidP="00036657">
            <w:pPr>
              <w:pStyle w:val="CommentaryText"/>
              <w:rPr>
                <w:rFonts w:cs="Calibri"/>
                <w:color w:val="FFFFFF" w:themeColor="background1"/>
                <w:sz w:val="18"/>
                <w:szCs w:val="18"/>
              </w:rPr>
            </w:pPr>
            <w:r w:rsidRPr="00F54064">
              <w:rPr>
                <w:rFonts w:cs="Calibri"/>
                <w:color w:val="FFFFFF" w:themeColor="background1"/>
                <w:sz w:val="18"/>
                <w:szCs w:val="18"/>
              </w:rPr>
              <w:t>An agency must present the line items in the Operating Statement that reconcile any sub-totals presented in accordance with AASB 101.85 with the sub-totals or totals required in Australian Accounting Standards for the Operating Statement.</w:t>
            </w:r>
            <w:r w:rsidR="00FA7C77">
              <w:rPr>
                <w:rFonts w:cs="Calibri"/>
                <w:color w:val="FFFFFF" w:themeColor="background1"/>
                <w:sz w:val="18"/>
                <w:szCs w:val="18"/>
              </w:rPr>
              <w:t xml:space="preserve"> </w:t>
            </w:r>
          </w:p>
        </w:tc>
      </w:tr>
      <w:tr w:rsidR="00036657" w:rsidRPr="00CF7E1B" w14:paraId="07AE0BAB" w14:textId="77777777" w:rsidTr="004D1EC6">
        <w:trPr>
          <w:trHeight w:val="20"/>
        </w:trPr>
        <w:tc>
          <w:tcPr>
            <w:tcW w:w="1620" w:type="dxa"/>
            <w:tcBorders>
              <w:left w:val="single" w:sz="2" w:space="0" w:color="auto"/>
              <w:right w:val="single" w:sz="2" w:space="0" w:color="auto"/>
            </w:tcBorders>
          </w:tcPr>
          <w:p w14:paraId="0E154043" w14:textId="77777777" w:rsidR="00036657" w:rsidRPr="00F54064" w:rsidRDefault="00036657"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FE7A7E" w14:textId="6D4DD31E" w:rsidR="00036657" w:rsidRPr="00F54064" w:rsidRDefault="00036657" w:rsidP="009A0F2F">
            <w:pPr>
              <w:pStyle w:val="CommentaryText"/>
              <w:rPr>
                <w:rFonts w:cs="Calibri"/>
                <w:color w:val="FFFFFF" w:themeColor="background1"/>
                <w:sz w:val="18"/>
                <w:szCs w:val="18"/>
              </w:rPr>
            </w:pPr>
            <w:r w:rsidRPr="00F54064">
              <w:rPr>
                <w:rFonts w:cs="Calibri"/>
                <w:color w:val="FFFFFF" w:themeColor="background1"/>
                <w:sz w:val="18"/>
                <w:szCs w:val="18"/>
              </w:rPr>
              <w:t>Note that where an agency has no amounts applicable to any individual line item, that line item should not be included in the Operating Statement.</w:t>
            </w:r>
          </w:p>
        </w:tc>
      </w:tr>
      <w:tr w:rsidR="00EF6086" w:rsidRPr="00CF7E1B" w14:paraId="307A82F6" w14:textId="77777777" w:rsidTr="00B66382">
        <w:trPr>
          <w:trHeight w:val="20"/>
        </w:trPr>
        <w:tc>
          <w:tcPr>
            <w:tcW w:w="1620" w:type="dxa"/>
            <w:tcBorders>
              <w:left w:val="single" w:sz="2" w:space="0" w:color="auto"/>
              <w:right w:val="single" w:sz="2" w:space="0" w:color="auto"/>
            </w:tcBorders>
          </w:tcPr>
          <w:p w14:paraId="34500F16" w14:textId="000F5B5C" w:rsidR="00EF6086" w:rsidRPr="00F54064" w:rsidRDefault="007D13DE" w:rsidP="004D1EC6">
            <w:pPr>
              <w:pStyle w:val="CommentaryTitle"/>
              <w:spacing w:before="0" w:after="240"/>
              <w:rPr>
                <w:rFonts w:cs="Calibri"/>
                <w:color w:val="7030A0"/>
              </w:rPr>
            </w:pPr>
            <w:r w:rsidRPr="00F54064">
              <w:rPr>
                <w:color w:val="7030A0"/>
              </w:rPr>
              <w:br w:type="page"/>
            </w:r>
            <w:r w:rsidR="00EF6086" w:rsidRPr="00F54064">
              <w:rPr>
                <w:rFonts w:cs="Calibri"/>
                <w:color w:val="7030A0"/>
              </w:rPr>
              <w:t>Reference</w:t>
            </w:r>
          </w:p>
        </w:tc>
        <w:tc>
          <w:tcPr>
            <w:tcW w:w="8930" w:type="dxa"/>
            <w:tcBorders>
              <w:left w:val="single" w:sz="2" w:space="0" w:color="auto"/>
            </w:tcBorders>
            <w:shd w:val="clear" w:color="auto" w:fill="7030A0"/>
          </w:tcPr>
          <w:p w14:paraId="7E5F7E3A" w14:textId="5BD9FDAB" w:rsidR="00EF6086" w:rsidRPr="00F54064" w:rsidRDefault="00EF6086" w:rsidP="004D1EC6">
            <w:pPr>
              <w:pStyle w:val="CommentaryTitle"/>
              <w:spacing w:before="0" w:after="240"/>
              <w:rPr>
                <w:rFonts w:cs="Calibri"/>
                <w:color w:val="FFFFFF" w:themeColor="background1"/>
                <w:sz w:val="28"/>
                <w:szCs w:val="28"/>
              </w:rPr>
            </w:pPr>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00432859" w:rsidRPr="00F54064">
              <w:rPr>
                <w:rFonts w:cs="Calibri"/>
                <w:color w:val="FFFFFF" w:themeColor="background1"/>
                <w:sz w:val="28"/>
                <w:szCs w:val="28"/>
              </w:rPr>
              <w:t xml:space="preserve"> </w:t>
            </w:r>
            <w:r w:rsidRPr="00F54064">
              <w:rPr>
                <w:rFonts w:cs="Calibri"/>
                <w:color w:val="FFFFFF" w:themeColor="background1"/>
                <w:sz w:val="28"/>
                <w:szCs w:val="28"/>
              </w:rPr>
              <w:t xml:space="preserve">Operating Statement </w:t>
            </w:r>
            <w:r w:rsidR="00432859" w:rsidRPr="00F54064">
              <w:rPr>
                <w:rFonts w:cs="Calibri"/>
                <w:color w:val="FFFFFF" w:themeColor="background1"/>
                <w:sz w:val="28"/>
                <w:szCs w:val="28"/>
              </w:rPr>
              <w:t xml:space="preserve">– </w:t>
            </w:r>
            <w:r w:rsidRPr="00F54064">
              <w:rPr>
                <w:rFonts w:cs="Calibri"/>
                <w:color w:val="FFFFFF" w:themeColor="background1"/>
                <w:sz w:val="28"/>
                <w:szCs w:val="28"/>
              </w:rPr>
              <w:t>Continued</w:t>
            </w:r>
          </w:p>
        </w:tc>
      </w:tr>
      <w:tr w:rsidR="006A4E19" w:rsidRPr="00CF7E1B" w14:paraId="774C1B4D" w14:textId="77777777" w:rsidTr="00B66382">
        <w:trPr>
          <w:trHeight w:val="20"/>
        </w:trPr>
        <w:tc>
          <w:tcPr>
            <w:tcW w:w="1620" w:type="dxa"/>
            <w:tcBorders>
              <w:left w:val="single" w:sz="2" w:space="0" w:color="auto"/>
              <w:right w:val="single" w:sz="2" w:space="0" w:color="auto"/>
            </w:tcBorders>
          </w:tcPr>
          <w:p w14:paraId="206D8425"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 xml:space="preserve">51(c), 51(e) </w:t>
            </w:r>
            <w:r w:rsidR="00D001B7" w:rsidRPr="00F54064">
              <w:rPr>
                <w:rFonts w:cs="Calibri"/>
                <w:color w:val="7030A0"/>
                <w:sz w:val="14"/>
              </w:rPr>
              <w:t>&amp;</w:t>
            </w:r>
            <w:r w:rsidRPr="00F54064">
              <w:rPr>
                <w:rFonts w:cs="Calibri"/>
                <w:color w:val="7030A0"/>
                <w:sz w:val="14"/>
              </w:rPr>
              <w:t xml:space="preserve"> 53 </w:t>
            </w:r>
          </w:p>
        </w:tc>
        <w:tc>
          <w:tcPr>
            <w:tcW w:w="8930" w:type="dxa"/>
            <w:tcBorders>
              <w:left w:val="single" w:sz="2" w:space="0" w:color="auto"/>
            </w:tcBorders>
            <w:shd w:val="clear" w:color="auto" w:fill="7030A0"/>
          </w:tcPr>
          <w:p w14:paraId="24735337" w14:textId="77777777" w:rsidR="006A4E19" w:rsidRPr="00F54064" w:rsidRDefault="006A4E19"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The reporting date and rounding used in the Operating Statement must be identified.</w:t>
            </w:r>
          </w:p>
        </w:tc>
      </w:tr>
      <w:tr w:rsidR="006A4E19" w:rsidRPr="00CF7E1B" w14:paraId="3F880597" w14:textId="77777777" w:rsidTr="00B66382">
        <w:trPr>
          <w:trHeight w:val="20"/>
        </w:trPr>
        <w:tc>
          <w:tcPr>
            <w:tcW w:w="1620" w:type="dxa"/>
            <w:tcBorders>
              <w:left w:val="single" w:sz="2" w:space="0" w:color="auto"/>
              <w:right w:val="single" w:sz="2" w:space="0" w:color="auto"/>
            </w:tcBorders>
          </w:tcPr>
          <w:p w14:paraId="3DC04D43"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113</w:t>
            </w:r>
          </w:p>
        </w:tc>
        <w:tc>
          <w:tcPr>
            <w:tcW w:w="8930" w:type="dxa"/>
            <w:tcBorders>
              <w:left w:val="single" w:sz="2" w:space="0" w:color="auto"/>
            </w:tcBorders>
            <w:shd w:val="clear" w:color="auto" w:fill="7030A0"/>
          </w:tcPr>
          <w:p w14:paraId="1560D996" w14:textId="77777777" w:rsidR="006A4E19" w:rsidRPr="00F54064" w:rsidRDefault="006A4E19" w:rsidP="00D742AE">
            <w:pPr>
              <w:pStyle w:val="CommentaryText"/>
              <w:rPr>
                <w:rFonts w:cs="Calibri"/>
                <w:color w:val="FFFFFF" w:themeColor="background1"/>
                <w:sz w:val="18"/>
                <w:szCs w:val="18"/>
              </w:rPr>
            </w:pPr>
            <w:r w:rsidRPr="00F54064">
              <w:rPr>
                <w:rFonts w:cs="Calibri"/>
                <w:color w:val="FFFFFF" w:themeColor="background1"/>
                <w:sz w:val="18"/>
                <w:szCs w:val="18"/>
              </w:rPr>
              <w:t xml:space="preserve">The Operating Statement must be cross-referenced to </w:t>
            </w:r>
            <w:r w:rsidR="002F4429" w:rsidRPr="00F54064">
              <w:rPr>
                <w:rFonts w:cs="Calibri"/>
                <w:color w:val="FFFFFF" w:themeColor="background1"/>
                <w:sz w:val="18"/>
                <w:szCs w:val="18"/>
              </w:rPr>
              <w:t xml:space="preserve">relevant </w:t>
            </w:r>
            <w:r w:rsidRPr="00F54064">
              <w:rPr>
                <w:rFonts w:cs="Calibri"/>
                <w:color w:val="FFFFFF" w:themeColor="background1"/>
                <w:sz w:val="18"/>
                <w:szCs w:val="18"/>
              </w:rPr>
              <w:t>notes</w:t>
            </w:r>
            <w:r w:rsidR="002F4429" w:rsidRPr="00F54064">
              <w:rPr>
                <w:rFonts w:cs="Calibri"/>
                <w:color w:val="FFFFFF" w:themeColor="background1"/>
                <w:sz w:val="18"/>
                <w:szCs w:val="18"/>
              </w:rPr>
              <w:t xml:space="preserve"> included, based on materiality considerations</w:t>
            </w:r>
            <w:r w:rsidRPr="00F54064">
              <w:rPr>
                <w:rFonts w:cs="Calibri"/>
                <w:color w:val="FFFFFF" w:themeColor="background1"/>
                <w:sz w:val="18"/>
                <w:szCs w:val="18"/>
              </w:rPr>
              <w:t>.</w:t>
            </w:r>
          </w:p>
        </w:tc>
      </w:tr>
      <w:tr w:rsidR="006A4E19" w:rsidRPr="00CF7E1B" w14:paraId="5BFE018A" w14:textId="77777777" w:rsidTr="00B66382">
        <w:trPr>
          <w:trHeight w:val="20"/>
        </w:trPr>
        <w:tc>
          <w:tcPr>
            <w:tcW w:w="1620" w:type="dxa"/>
            <w:tcBorders>
              <w:left w:val="single" w:sz="2" w:space="0" w:color="auto"/>
              <w:right w:val="single" w:sz="2" w:space="0" w:color="auto"/>
            </w:tcBorders>
          </w:tcPr>
          <w:p w14:paraId="604B513D"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47873C4" w14:textId="77777777" w:rsidR="006A4E19" w:rsidRPr="00FA7C77" w:rsidRDefault="006A4E19" w:rsidP="00CC1E25">
            <w:pPr>
              <w:pStyle w:val="CommentaryHeading"/>
              <w:spacing w:after="40"/>
              <w:rPr>
                <w:rFonts w:cs="Calibri"/>
                <w:color w:val="FFFFFF" w:themeColor="background1"/>
                <w:szCs w:val="20"/>
              </w:rPr>
            </w:pPr>
            <w:r w:rsidRPr="00FA7C77">
              <w:rPr>
                <w:rFonts w:cs="Calibri"/>
                <w:color w:val="FFFFFF" w:themeColor="background1"/>
                <w:szCs w:val="20"/>
              </w:rPr>
              <w:t>Budget</w:t>
            </w:r>
          </w:p>
        </w:tc>
      </w:tr>
      <w:tr w:rsidR="006141B9" w:rsidRPr="00CF7E1B" w14:paraId="00279810" w14:textId="77777777" w:rsidTr="00B66382">
        <w:trPr>
          <w:trHeight w:val="20"/>
        </w:trPr>
        <w:tc>
          <w:tcPr>
            <w:tcW w:w="1620" w:type="dxa"/>
            <w:tcBorders>
              <w:left w:val="single" w:sz="2" w:space="0" w:color="auto"/>
              <w:right w:val="single" w:sz="2" w:space="0" w:color="auto"/>
            </w:tcBorders>
          </w:tcPr>
          <w:p w14:paraId="1F1CE853"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FMA Section 27(2)</w:t>
            </w:r>
          </w:p>
          <w:p w14:paraId="72FFFA52" w14:textId="33096FD3" w:rsidR="006141B9" w:rsidRPr="00F54064" w:rsidRDefault="006141B9" w:rsidP="006141B9">
            <w:pPr>
              <w:pStyle w:val="TableReference"/>
              <w:tabs>
                <w:tab w:val="left" w:pos="3306"/>
              </w:tabs>
              <w:spacing w:before="60"/>
              <w:rPr>
                <w:rFonts w:cs="Calibri"/>
                <w:strike/>
                <w:color w:val="7030A0"/>
                <w:sz w:val="14"/>
              </w:rPr>
            </w:pPr>
            <w:r w:rsidRPr="00F54064">
              <w:rPr>
                <w:rFonts w:cs="Calibri"/>
                <w:color w:val="7030A0"/>
                <w:sz w:val="14"/>
              </w:rPr>
              <w:t>FMA s63(2)</w:t>
            </w:r>
          </w:p>
        </w:tc>
        <w:tc>
          <w:tcPr>
            <w:tcW w:w="8930" w:type="dxa"/>
            <w:tcBorders>
              <w:left w:val="single" w:sz="2" w:space="0" w:color="auto"/>
            </w:tcBorders>
            <w:shd w:val="clear" w:color="auto" w:fill="7030A0"/>
          </w:tcPr>
          <w:p w14:paraId="613317DE" w14:textId="7E890FCD" w:rsidR="006141B9" w:rsidRPr="00F54064" w:rsidRDefault="006141B9" w:rsidP="006141B9">
            <w:pPr>
              <w:pStyle w:val="CommentaryText"/>
              <w:spacing w:after="0"/>
              <w:rPr>
                <w:rFonts w:cs="Calibri"/>
                <w:color w:val="FFFFFF" w:themeColor="background1"/>
                <w:sz w:val="18"/>
                <w:szCs w:val="18"/>
              </w:rPr>
            </w:pPr>
            <w:r w:rsidRPr="00F54064">
              <w:rPr>
                <w:rFonts w:cs="Calibri"/>
                <w:color w:val="FFFFFF" w:themeColor="background1"/>
                <w:sz w:val="18"/>
                <w:szCs w:val="18"/>
              </w:rPr>
              <w:t>The budget numbers appearing in the Operating Statement for directorates are the numbers published in the 202</w:t>
            </w:r>
            <w:r w:rsidR="00D50594">
              <w:rPr>
                <w:rFonts w:cs="Calibri"/>
                <w:color w:val="FFFFFF" w:themeColor="background1"/>
                <w:sz w:val="18"/>
                <w:szCs w:val="18"/>
              </w:rPr>
              <w:t>2</w:t>
            </w:r>
            <w:r w:rsidR="00842DBF">
              <w:rPr>
                <w:rFonts w:cs="Calibri"/>
                <w:color w:val="FFFFFF" w:themeColor="background1"/>
                <w:sz w:val="18"/>
                <w:szCs w:val="18"/>
              </w:rPr>
              <w:noBreakHyphen/>
            </w:r>
            <w:r w:rsidRPr="00F54064">
              <w:rPr>
                <w:rFonts w:cs="Calibri"/>
                <w:color w:val="FFFFFF" w:themeColor="background1"/>
                <w:sz w:val="18"/>
                <w:szCs w:val="18"/>
              </w:rPr>
              <w:t>2</w:t>
            </w:r>
            <w:r w:rsidR="00D50594">
              <w:rPr>
                <w:rFonts w:cs="Calibri"/>
                <w:color w:val="FFFFFF" w:themeColor="background1"/>
                <w:sz w:val="18"/>
                <w:szCs w:val="18"/>
              </w:rPr>
              <w:t>3</w:t>
            </w:r>
            <w:r w:rsidR="00842DBF">
              <w:rPr>
                <w:rFonts w:cs="Calibri"/>
                <w:color w:val="FFFFFF" w:themeColor="background1"/>
                <w:sz w:val="18"/>
                <w:szCs w:val="18"/>
              </w:rPr>
              <w:t> </w:t>
            </w:r>
            <w:r w:rsidRPr="00F54064">
              <w:rPr>
                <w:rFonts w:cs="Calibri"/>
                <w:color w:val="FFFFFF" w:themeColor="background1"/>
                <w:sz w:val="18"/>
                <w:szCs w:val="18"/>
              </w:rPr>
              <w:t>Budget Papers.</w:t>
            </w:r>
            <w:r w:rsidR="00FA7C77">
              <w:rPr>
                <w:rFonts w:cs="Calibri"/>
                <w:color w:val="FFFFFF" w:themeColor="background1"/>
                <w:sz w:val="18"/>
                <w:szCs w:val="18"/>
              </w:rPr>
              <w:t xml:space="preserve"> </w:t>
            </w:r>
            <w:r w:rsidRPr="00F54064">
              <w:rPr>
                <w:color w:val="FFFFFF" w:themeColor="background1"/>
                <w:sz w:val="18"/>
                <w:szCs w:val="18"/>
              </w:rPr>
              <w:t>Budget numbers appearing in the Operating Statement for territory author</w:t>
            </w:r>
            <w:r w:rsidR="00BF7D65" w:rsidRPr="00F54064">
              <w:rPr>
                <w:color w:val="FFFFFF" w:themeColor="background1"/>
                <w:sz w:val="18"/>
                <w:szCs w:val="18"/>
              </w:rPr>
              <w:t>it</w:t>
            </w:r>
            <w:r w:rsidRPr="00F54064">
              <w:rPr>
                <w:color w:val="FFFFFF" w:themeColor="background1"/>
                <w:sz w:val="18"/>
                <w:szCs w:val="18"/>
              </w:rPr>
              <w:t>ies are based on the authority’s Statement of Intent included in the 202</w:t>
            </w:r>
            <w:r w:rsidR="00D50594">
              <w:rPr>
                <w:color w:val="FFFFFF" w:themeColor="background1"/>
                <w:sz w:val="18"/>
                <w:szCs w:val="18"/>
              </w:rPr>
              <w:t>2</w:t>
            </w:r>
            <w:r w:rsidRPr="00F54064">
              <w:rPr>
                <w:color w:val="FFFFFF" w:themeColor="background1"/>
                <w:sz w:val="18"/>
                <w:szCs w:val="18"/>
              </w:rPr>
              <w:t>-2</w:t>
            </w:r>
            <w:r w:rsidR="00D50594">
              <w:rPr>
                <w:color w:val="FFFFFF" w:themeColor="background1"/>
                <w:sz w:val="18"/>
                <w:szCs w:val="18"/>
              </w:rPr>
              <w:t>3</w:t>
            </w:r>
            <w:r w:rsidRPr="00F54064">
              <w:rPr>
                <w:color w:val="FFFFFF" w:themeColor="background1"/>
                <w:sz w:val="18"/>
                <w:szCs w:val="18"/>
              </w:rPr>
              <w:t xml:space="preserve"> Budget Papers.</w:t>
            </w:r>
          </w:p>
        </w:tc>
      </w:tr>
      <w:tr w:rsidR="006141B9" w:rsidRPr="00CF7E1B" w14:paraId="6D832425" w14:textId="77777777" w:rsidTr="00B66382">
        <w:trPr>
          <w:trHeight w:val="20"/>
        </w:trPr>
        <w:tc>
          <w:tcPr>
            <w:tcW w:w="1620" w:type="dxa"/>
            <w:tcBorders>
              <w:left w:val="single" w:sz="2" w:space="0" w:color="auto"/>
              <w:right w:val="single" w:sz="2" w:space="0" w:color="auto"/>
            </w:tcBorders>
          </w:tcPr>
          <w:p w14:paraId="0A014D52" w14:textId="77777777" w:rsidR="006141B9" w:rsidRPr="00F54064"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EFFFC68" w14:textId="77777777" w:rsidR="006141B9" w:rsidRPr="00FA7C77" w:rsidRDefault="006141B9" w:rsidP="00CC1E25">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Income</w:t>
            </w:r>
          </w:p>
        </w:tc>
      </w:tr>
      <w:tr w:rsidR="006141B9" w:rsidRPr="00CF7E1B" w14:paraId="0B962870" w14:textId="77777777" w:rsidTr="00B66382">
        <w:trPr>
          <w:trHeight w:val="20"/>
        </w:trPr>
        <w:tc>
          <w:tcPr>
            <w:tcW w:w="1620" w:type="dxa"/>
            <w:tcBorders>
              <w:left w:val="single" w:sz="2" w:space="0" w:color="auto"/>
              <w:right w:val="single" w:sz="2" w:space="0" w:color="auto"/>
            </w:tcBorders>
          </w:tcPr>
          <w:p w14:paraId="5B0E929B"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Framework 74 &amp; 76</w:t>
            </w:r>
          </w:p>
          <w:p w14:paraId="591B2531" w14:textId="6FC5D11B" w:rsidR="006141B9" w:rsidRPr="00F54064" w:rsidRDefault="006141B9" w:rsidP="006141B9">
            <w:pPr>
              <w:pStyle w:val="TableReference"/>
              <w:tabs>
                <w:tab w:val="left" w:pos="3306"/>
              </w:tabs>
              <w:rPr>
                <w:rFonts w:cs="Calibri"/>
                <w:strike/>
                <w:color w:val="7030A0"/>
                <w:sz w:val="14"/>
              </w:rPr>
            </w:pPr>
          </w:p>
        </w:tc>
        <w:tc>
          <w:tcPr>
            <w:tcW w:w="8930" w:type="dxa"/>
            <w:tcBorders>
              <w:left w:val="single" w:sz="2" w:space="0" w:color="auto"/>
            </w:tcBorders>
            <w:shd w:val="clear" w:color="auto" w:fill="7030A0"/>
          </w:tcPr>
          <w:p w14:paraId="016E9D53" w14:textId="1B6A0A49" w:rsidR="006141B9" w:rsidRPr="00F54064" w:rsidRDefault="006141B9" w:rsidP="006141B9">
            <w:pPr>
              <w:pStyle w:val="CommentaryText"/>
              <w:rPr>
                <w:rFonts w:cs="Calibri"/>
                <w:color w:val="FFFFFF" w:themeColor="background1"/>
                <w:sz w:val="18"/>
                <w:szCs w:val="18"/>
              </w:rPr>
            </w:pPr>
            <w:r w:rsidRPr="00F54064">
              <w:rPr>
                <w:rFonts w:cs="Calibri"/>
                <w:color w:val="FFFFFF" w:themeColor="background1"/>
                <w:sz w:val="18"/>
                <w:szCs w:val="18"/>
              </w:rPr>
              <w:t>Income is comprised of revenue and gains.</w:t>
            </w:r>
            <w:r w:rsidR="00FA7C77">
              <w:rPr>
                <w:rFonts w:cs="Calibri"/>
                <w:color w:val="FFFFFF" w:themeColor="background1"/>
                <w:sz w:val="18"/>
                <w:szCs w:val="18"/>
              </w:rPr>
              <w:t xml:space="preserve"> </w:t>
            </w:r>
            <w:r w:rsidRPr="00F54064">
              <w:rPr>
                <w:rFonts w:cs="Calibri"/>
                <w:color w:val="FFFFFF" w:themeColor="background1"/>
                <w:sz w:val="18"/>
                <w:szCs w:val="18"/>
              </w:rPr>
              <w:t xml:space="preserve">Gains are </w:t>
            </w:r>
            <w:r w:rsidR="0016541E" w:rsidRPr="00B73007">
              <w:rPr>
                <w:rFonts w:cs="Calibri"/>
                <w:color w:val="FF0000"/>
                <w:sz w:val="18"/>
                <w:szCs w:val="18"/>
              </w:rPr>
              <w:t xml:space="preserve">usually </w:t>
            </w:r>
            <w:r w:rsidRPr="00B73007">
              <w:rPr>
                <w:rFonts w:cs="Calibri"/>
                <w:strike/>
                <w:color w:val="FF0000"/>
                <w:sz w:val="18"/>
                <w:szCs w:val="18"/>
              </w:rPr>
              <w:t>to be</w:t>
            </w:r>
            <w:r w:rsidRPr="00B73007">
              <w:rPr>
                <w:rFonts w:cs="Calibri"/>
                <w:color w:val="FF0000"/>
                <w:sz w:val="18"/>
                <w:szCs w:val="18"/>
              </w:rPr>
              <w:t xml:space="preserve"> </w:t>
            </w:r>
            <w:r w:rsidRPr="00B73007">
              <w:rPr>
                <w:rFonts w:cs="Calibri"/>
                <w:color w:val="FFFFFF" w:themeColor="background1"/>
                <w:sz w:val="18"/>
                <w:szCs w:val="18"/>
              </w:rPr>
              <w:t>displayed</w:t>
            </w:r>
            <w:r w:rsidRPr="00F54064">
              <w:rPr>
                <w:rFonts w:cs="Calibri"/>
                <w:color w:val="FFFFFF" w:themeColor="background1"/>
                <w:sz w:val="18"/>
                <w:szCs w:val="18"/>
              </w:rPr>
              <w:t xml:space="preserve"> separately to revenue in the Operating Statement as this separate identification is useful for the purpose of making economic decisions.</w:t>
            </w:r>
            <w:r w:rsidR="00FA7C77">
              <w:rPr>
                <w:rFonts w:cs="Calibri"/>
                <w:color w:val="FFFFFF" w:themeColor="background1"/>
                <w:sz w:val="18"/>
                <w:szCs w:val="18"/>
              </w:rPr>
              <w:t xml:space="preserve"> </w:t>
            </w:r>
            <w:r w:rsidRPr="00F54064">
              <w:rPr>
                <w:rFonts w:cs="Calibri"/>
                <w:color w:val="FFFFFF" w:themeColor="background1"/>
                <w:sz w:val="18"/>
                <w:szCs w:val="18"/>
              </w:rPr>
              <w:t>Gains are often reported net of related expenses.</w:t>
            </w:r>
            <w:r w:rsidR="00FA7C77">
              <w:rPr>
                <w:rFonts w:cs="Calibri"/>
                <w:color w:val="FFFFFF" w:themeColor="background1"/>
                <w:sz w:val="18"/>
                <w:szCs w:val="18"/>
              </w:rPr>
              <w:t xml:space="preserve"> </w:t>
            </w:r>
            <w:r w:rsidRPr="00F54064">
              <w:rPr>
                <w:rFonts w:cs="Calibri"/>
                <w:color w:val="FFFFFF" w:themeColor="background1"/>
                <w:sz w:val="18"/>
                <w:szCs w:val="18"/>
              </w:rPr>
              <w:t>Note that where a net loss occurs in relation to a particular transaction, it is disclosed as part of Other Expenses.</w:t>
            </w:r>
          </w:p>
        </w:tc>
      </w:tr>
      <w:tr w:rsidR="006141B9" w:rsidRPr="00CF7E1B" w14:paraId="0615A1C0" w14:textId="77777777" w:rsidTr="00B66382">
        <w:trPr>
          <w:trHeight w:val="215"/>
        </w:trPr>
        <w:tc>
          <w:tcPr>
            <w:tcW w:w="1620" w:type="dxa"/>
            <w:tcBorders>
              <w:left w:val="single" w:sz="2" w:space="0" w:color="auto"/>
              <w:right w:val="single" w:sz="2" w:space="0" w:color="auto"/>
            </w:tcBorders>
          </w:tcPr>
          <w:p w14:paraId="17DE3710" w14:textId="77777777" w:rsidR="006141B9" w:rsidRPr="00F54064" w:rsidRDefault="006141B9" w:rsidP="006141B9">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42F32D17" w14:textId="4EA853A4" w:rsidR="006141B9" w:rsidRPr="00FA7C77" w:rsidRDefault="006141B9" w:rsidP="00CC1E25">
            <w:pPr>
              <w:spacing w:after="40"/>
              <w:jc w:val="both"/>
              <w:rPr>
                <w:strike/>
                <w:color w:val="FFFFFF" w:themeColor="background1"/>
                <w:sz w:val="20"/>
                <w:szCs w:val="20"/>
              </w:rPr>
            </w:pPr>
            <w:r w:rsidRPr="00FA7C77">
              <w:rPr>
                <w:rFonts w:cs="Calibri"/>
                <w:b/>
                <w:bCs/>
                <w:color w:val="FFFFFF" w:themeColor="background1"/>
                <w:sz w:val="20"/>
                <w:szCs w:val="20"/>
              </w:rPr>
              <w:t>Offset of Income and Expenses</w:t>
            </w:r>
          </w:p>
        </w:tc>
      </w:tr>
      <w:tr w:rsidR="006141B9" w:rsidRPr="00CF7E1B" w14:paraId="4FDF3A4C" w14:textId="77777777" w:rsidTr="00B66382">
        <w:trPr>
          <w:trHeight w:val="791"/>
        </w:trPr>
        <w:tc>
          <w:tcPr>
            <w:tcW w:w="1620" w:type="dxa"/>
            <w:tcBorders>
              <w:left w:val="single" w:sz="2" w:space="0" w:color="auto"/>
              <w:right w:val="single" w:sz="2" w:space="0" w:color="auto"/>
            </w:tcBorders>
          </w:tcPr>
          <w:p w14:paraId="2A9D9671"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101.32</w:t>
            </w:r>
          </w:p>
          <w:p w14:paraId="0D9BB45C" w14:textId="7AA13B0C" w:rsidR="006141B9" w:rsidRPr="00F54064" w:rsidRDefault="006141B9" w:rsidP="006141B9">
            <w:pPr>
              <w:pStyle w:val="TableReference"/>
              <w:tabs>
                <w:tab w:val="left" w:pos="3306"/>
              </w:tabs>
              <w:spacing w:before="60"/>
              <w:rPr>
                <w:color w:val="7030A0"/>
                <w:sz w:val="14"/>
              </w:rPr>
            </w:pPr>
            <w:r w:rsidRPr="00F54064">
              <w:rPr>
                <w:rFonts w:cs="Calibri"/>
                <w:color w:val="7030A0"/>
                <w:sz w:val="14"/>
              </w:rPr>
              <w:t>AASB 116.71</w:t>
            </w:r>
          </w:p>
        </w:tc>
        <w:tc>
          <w:tcPr>
            <w:tcW w:w="8930" w:type="dxa"/>
            <w:tcBorders>
              <w:left w:val="single" w:sz="2" w:space="0" w:color="auto"/>
            </w:tcBorders>
            <w:shd w:val="clear" w:color="auto" w:fill="7030A0"/>
          </w:tcPr>
          <w:p w14:paraId="2962D702" w14:textId="3B5F6296" w:rsidR="006141B9" w:rsidRPr="00F54064" w:rsidRDefault="006141B9" w:rsidP="006141B9">
            <w:pPr>
              <w:spacing w:after="120"/>
              <w:jc w:val="both"/>
              <w:rPr>
                <w:color w:val="FFFFFF" w:themeColor="background1"/>
                <w:sz w:val="18"/>
                <w:szCs w:val="18"/>
              </w:rPr>
            </w:pPr>
            <w:r w:rsidRPr="00F54064">
              <w:rPr>
                <w:rFonts w:cs="Calibri"/>
                <w:color w:val="FFFFFF" w:themeColor="background1"/>
                <w:sz w:val="18"/>
                <w:szCs w:val="18"/>
              </w:rPr>
              <w:t>Income and expenses must not be offset unless required or permitted by an Australian Accounting Standard.</w:t>
            </w:r>
            <w:r w:rsidR="00FA7C77">
              <w:rPr>
                <w:rFonts w:cs="Calibri"/>
                <w:color w:val="FFFFFF" w:themeColor="background1"/>
                <w:sz w:val="18"/>
                <w:szCs w:val="18"/>
              </w:rPr>
              <w:t xml:space="preserve"> </w:t>
            </w:r>
            <w:r w:rsidRPr="00F54064">
              <w:rPr>
                <w:rFonts w:cs="Calibri"/>
                <w:color w:val="FFFFFF" w:themeColor="background1"/>
                <w:sz w:val="18"/>
                <w:szCs w:val="18"/>
              </w:rPr>
              <w:t xml:space="preserve">For example, AASB 116 </w:t>
            </w:r>
            <w:r w:rsidRPr="00F54064">
              <w:rPr>
                <w:rFonts w:cs="Calibri"/>
                <w:i/>
                <w:color w:val="FFFFFF" w:themeColor="background1"/>
                <w:sz w:val="18"/>
                <w:szCs w:val="18"/>
              </w:rPr>
              <w:t>Property, Plant and Equipment</w:t>
            </w:r>
            <w:r w:rsidRPr="00F54064">
              <w:rPr>
                <w:rFonts w:cs="Calibri"/>
                <w:color w:val="FFFFFF" w:themeColor="background1"/>
                <w:sz w:val="18"/>
                <w:szCs w:val="18"/>
              </w:rPr>
              <w:t xml:space="preserve"> allows the offset of the income and expense from </w:t>
            </w:r>
            <w:r w:rsidRPr="00F54064">
              <w:rPr>
                <w:rFonts w:cs="Calibri"/>
                <w:color w:val="FFFFFF" w:themeColor="background1"/>
                <w:sz w:val="18"/>
                <w:szCs w:val="18"/>
              </w:rPr>
              <w:br/>
              <w:t>de-recognition of an item of property, plant and equipment.</w:t>
            </w:r>
          </w:p>
        </w:tc>
      </w:tr>
      <w:tr w:rsidR="00D558CF" w:rsidRPr="00CF7E1B" w14:paraId="6DFE7A89" w14:textId="77777777" w:rsidTr="00B66382">
        <w:trPr>
          <w:trHeight w:val="163"/>
        </w:trPr>
        <w:tc>
          <w:tcPr>
            <w:tcW w:w="1620" w:type="dxa"/>
            <w:tcBorders>
              <w:left w:val="single" w:sz="2" w:space="0" w:color="auto"/>
              <w:right w:val="single" w:sz="2" w:space="0" w:color="auto"/>
            </w:tcBorders>
          </w:tcPr>
          <w:p w14:paraId="0D4A5DAD" w14:textId="77777777" w:rsidR="00D558CF" w:rsidRPr="00F54064" w:rsidRDefault="00D558CF" w:rsidP="00F54064">
            <w:pPr>
              <w:rPr>
                <w:rFonts w:cs="Calibri"/>
                <w:color w:val="7030A0"/>
                <w:sz w:val="14"/>
              </w:rPr>
            </w:pPr>
          </w:p>
        </w:tc>
        <w:tc>
          <w:tcPr>
            <w:tcW w:w="8930" w:type="dxa"/>
            <w:tcBorders>
              <w:left w:val="single" w:sz="2" w:space="0" w:color="auto"/>
            </w:tcBorders>
            <w:shd w:val="clear" w:color="auto" w:fill="7030A0"/>
          </w:tcPr>
          <w:p w14:paraId="78F87070" w14:textId="5B4EBB35" w:rsidR="00D558CF" w:rsidRPr="00FA7C77" w:rsidRDefault="00D558CF" w:rsidP="00CC1E25">
            <w:pPr>
              <w:spacing w:after="40"/>
              <w:jc w:val="both"/>
              <w:rPr>
                <w:color w:val="FFFFFF" w:themeColor="background1"/>
                <w:sz w:val="20"/>
                <w:szCs w:val="20"/>
              </w:rPr>
            </w:pPr>
            <w:r w:rsidRPr="00FA7C77">
              <w:rPr>
                <w:rFonts w:cs="Calibri"/>
                <w:b/>
                <w:bCs/>
                <w:color w:val="FFFFFF" w:themeColor="background1"/>
                <w:sz w:val="20"/>
                <w:szCs w:val="20"/>
              </w:rPr>
              <w:t>Classification of Expenses</w:t>
            </w:r>
          </w:p>
        </w:tc>
      </w:tr>
      <w:tr w:rsidR="00D558CF" w:rsidRPr="00CF7E1B" w14:paraId="4288B447" w14:textId="77777777" w:rsidTr="00842DBF">
        <w:trPr>
          <w:trHeight w:val="1403"/>
        </w:trPr>
        <w:tc>
          <w:tcPr>
            <w:tcW w:w="1620" w:type="dxa"/>
            <w:tcBorders>
              <w:left w:val="single" w:sz="2" w:space="0" w:color="auto"/>
              <w:right w:val="single" w:sz="2" w:space="0" w:color="auto"/>
            </w:tcBorders>
          </w:tcPr>
          <w:p w14:paraId="00706325" w14:textId="77777777" w:rsidR="00D558CF" w:rsidRPr="00F54064" w:rsidRDefault="00D558CF" w:rsidP="00D558CF">
            <w:pPr>
              <w:pStyle w:val="TableReference"/>
              <w:tabs>
                <w:tab w:val="left" w:pos="3306"/>
              </w:tabs>
              <w:spacing w:before="60"/>
              <w:rPr>
                <w:rFonts w:cs="Calibri"/>
                <w:color w:val="7030A0"/>
                <w:sz w:val="14"/>
              </w:rPr>
            </w:pPr>
            <w:r w:rsidRPr="00F54064">
              <w:rPr>
                <w:rFonts w:cs="Calibri"/>
                <w:color w:val="7030A0"/>
                <w:sz w:val="14"/>
              </w:rPr>
              <w:t>AASB 101.99</w:t>
            </w:r>
          </w:p>
          <w:p w14:paraId="7298358A" w14:textId="77777777" w:rsidR="00D558CF" w:rsidRPr="00F54064" w:rsidRDefault="00D558CF" w:rsidP="00D558CF">
            <w:pPr>
              <w:pStyle w:val="TableReference"/>
              <w:tabs>
                <w:tab w:val="left" w:pos="3306"/>
              </w:tabs>
              <w:rPr>
                <w:rFonts w:cs="Calibri"/>
                <w:color w:val="7030A0"/>
                <w:sz w:val="14"/>
              </w:rPr>
            </w:pPr>
          </w:p>
          <w:p w14:paraId="544AEAB1" w14:textId="77777777" w:rsidR="00D558CF" w:rsidRPr="00F54064" w:rsidRDefault="00D558CF" w:rsidP="00D558CF">
            <w:pPr>
              <w:pStyle w:val="TableReference"/>
              <w:tabs>
                <w:tab w:val="left" w:pos="3306"/>
              </w:tabs>
              <w:rPr>
                <w:rFonts w:cs="Calibri"/>
                <w:color w:val="7030A0"/>
                <w:sz w:val="14"/>
              </w:rPr>
            </w:pPr>
          </w:p>
          <w:p w14:paraId="591A5B8B" w14:textId="77777777" w:rsidR="00D558CF" w:rsidRPr="00F54064" w:rsidRDefault="00D558CF" w:rsidP="00D558CF">
            <w:pPr>
              <w:pStyle w:val="TableReference"/>
              <w:tabs>
                <w:tab w:val="left" w:pos="3306"/>
              </w:tabs>
              <w:rPr>
                <w:rFonts w:cs="Calibri"/>
                <w:color w:val="7030A0"/>
                <w:sz w:val="14"/>
              </w:rPr>
            </w:pPr>
          </w:p>
          <w:p w14:paraId="6336DC21" w14:textId="77777777" w:rsidR="00D558CF" w:rsidRPr="00F54064" w:rsidRDefault="00D558CF" w:rsidP="00D558CF">
            <w:pPr>
              <w:pStyle w:val="TableReference"/>
              <w:tabs>
                <w:tab w:val="left" w:pos="3306"/>
              </w:tabs>
              <w:rPr>
                <w:rFonts w:cs="Calibri"/>
                <w:color w:val="7030A0"/>
                <w:sz w:val="14"/>
              </w:rPr>
            </w:pPr>
          </w:p>
          <w:p w14:paraId="4AA7C8C3" w14:textId="77777777" w:rsidR="00D558CF" w:rsidRPr="00F54064" w:rsidRDefault="00D558CF" w:rsidP="00D558CF">
            <w:pPr>
              <w:pStyle w:val="TableReference"/>
              <w:tabs>
                <w:tab w:val="left" w:pos="3306"/>
              </w:tabs>
              <w:rPr>
                <w:rFonts w:cs="Calibri"/>
                <w:color w:val="7030A0"/>
                <w:sz w:val="14"/>
              </w:rPr>
            </w:pPr>
            <w:r w:rsidRPr="00F54064">
              <w:rPr>
                <w:rFonts w:cs="Calibri"/>
                <w:color w:val="7030A0"/>
                <w:sz w:val="14"/>
              </w:rPr>
              <w:t>AASB 101.100</w:t>
            </w:r>
          </w:p>
          <w:p w14:paraId="43D327FD" w14:textId="21CDB476" w:rsidR="00D558CF" w:rsidRPr="00F54064" w:rsidRDefault="00D558CF" w:rsidP="00D558CF">
            <w:pPr>
              <w:pStyle w:val="TableReference"/>
              <w:tabs>
                <w:tab w:val="left" w:pos="3306"/>
              </w:tabs>
              <w:spacing w:before="60"/>
              <w:rPr>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7F7EDC5" w14:textId="77777777" w:rsidR="00D558CF" w:rsidRPr="00F54064" w:rsidRDefault="00D558CF"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Under AASB 101, expenses shall be classified by using either:</w:t>
            </w:r>
          </w:p>
          <w:p w14:paraId="7D69904E"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nature of expenses method; or</w:t>
            </w:r>
          </w:p>
          <w:p w14:paraId="55D1F659"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function of expenses method.</w:t>
            </w:r>
          </w:p>
          <w:p w14:paraId="16B1EAC8" w14:textId="5C0F8B46" w:rsidR="00D558CF" w:rsidRPr="00F54064" w:rsidRDefault="00D558CF" w:rsidP="00D558CF">
            <w:pPr>
              <w:jc w:val="both"/>
              <w:rPr>
                <w:b/>
                <w:bCs/>
                <w:color w:val="FFFFFF" w:themeColor="background1"/>
                <w:sz w:val="18"/>
                <w:szCs w:val="18"/>
              </w:rPr>
            </w:pPr>
            <w:r w:rsidRPr="00F54064">
              <w:rPr>
                <w:rFonts w:cs="Calibri"/>
                <w:color w:val="FFFFFF" w:themeColor="background1"/>
                <w:sz w:val="18"/>
                <w:szCs w:val="18"/>
              </w:rPr>
              <w:t>The standard encourages this classification to be disclosed in the Operating Statement.</w:t>
            </w:r>
            <w:r w:rsidR="00FA7C77">
              <w:rPr>
                <w:rFonts w:cs="Calibri"/>
                <w:color w:val="FFFFFF" w:themeColor="background1"/>
                <w:sz w:val="18"/>
                <w:szCs w:val="18"/>
              </w:rPr>
              <w:t xml:space="preserve"> </w:t>
            </w:r>
            <w:r w:rsidRPr="00F54064">
              <w:rPr>
                <w:rFonts w:cs="Calibri"/>
                <w:color w:val="FFFFFF" w:themeColor="background1"/>
                <w:sz w:val="18"/>
                <w:szCs w:val="18"/>
              </w:rPr>
              <w:t>ACT Disclosure Policy requires agencies to classify expenses by their nature.</w:t>
            </w:r>
          </w:p>
        </w:tc>
      </w:tr>
      <w:tr w:rsidR="00D558CF" w:rsidRPr="00CF7E1B" w14:paraId="0F5186D6" w14:textId="77777777" w:rsidTr="00B66382">
        <w:trPr>
          <w:trHeight w:val="136"/>
        </w:trPr>
        <w:tc>
          <w:tcPr>
            <w:tcW w:w="1620" w:type="dxa"/>
            <w:tcBorders>
              <w:left w:val="single" w:sz="2" w:space="0" w:color="auto"/>
              <w:right w:val="single" w:sz="2" w:space="0" w:color="auto"/>
            </w:tcBorders>
          </w:tcPr>
          <w:p w14:paraId="01B743E4" w14:textId="77777777" w:rsidR="00D558CF" w:rsidRPr="00F54064" w:rsidRDefault="00D558CF" w:rsidP="00D558CF">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6EB4208C" w14:textId="543FD0BF" w:rsidR="00D558CF" w:rsidRPr="00FA7C77" w:rsidRDefault="00F96821" w:rsidP="00CC1E25">
            <w:pPr>
              <w:spacing w:after="40"/>
              <w:jc w:val="both"/>
              <w:rPr>
                <w:rFonts w:cs="Calibri"/>
                <w:b/>
                <w:bCs/>
                <w:color w:val="FFFFFF" w:themeColor="background1"/>
                <w:sz w:val="20"/>
                <w:szCs w:val="20"/>
              </w:rPr>
            </w:pPr>
            <w:r w:rsidRPr="00FA7C77">
              <w:rPr>
                <w:rFonts w:cs="Calibri"/>
                <w:b/>
                <w:bCs/>
                <w:color w:val="FFFFFF" w:themeColor="background1"/>
                <w:sz w:val="20"/>
                <w:szCs w:val="20"/>
              </w:rPr>
              <w:t>Goods and Services Tax (GST)</w:t>
            </w:r>
          </w:p>
        </w:tc>
      </w:tr>
      <w:tr w:rsidR="00F96821" w:rsidRPr="00CF7E1B" w14:paraId="49ED29C6" w14:textId="77777777" w:rsidTr="00B66382">
        <w:trPr>
          <w:trHeight w:val="136"/>
        </w:trPr>
        <w:tc>
          <w:tcPr>
            <w:tcW w:w="1620" w:type="dxa"/>
            <w:tcBorders>
              <w:left w:val="single" w:sz="2" w:space="0" w:color="auto"/>
              <w:right w:val="single" w:sz="2" w:space="0" w:color="auto"/>
            </w:tcBorders>
          </w:tcPr>
          <w:p w14:paraId="3821E56F" w14:textId="7ED57291" w:rsidR="00F96821" w:rsidRPr="00F54064" w:rsidRDefault="00F96821" w:rsidP="00D558CF">
            <w:pPr>
              <w:pStyle w:val="TableReference"/>
              <w:tabs>
                <w:tab w:val="left" w:pos="3306"/>
              </w:tabs>
              <w:spacing w:before="60"/>
              <w:rPr>
                <w:color w:val="7030A0"/>
                <w:sz w:val="14"/>
              </w:rPr>
            </w:pPr>
            <w:r w:rsidRPr="00F54064">
              <w:rPr>
                <w:rFonts w:cs="Calibri"/>
                <w:color w:val="7030A0"/>
                <w:sz w:val="14"/>
              </w:rPr>
              <w:t>Interpretation 1031.6</w:t>
            </w:r>
          </w:p>
        </w:tc>
        <w:tc>
          <w:tcPr>
            <w:tcW w:w="8930" w:type="dxa"/>
            <w:tcBorders>
              <w:left w:val="single" w:sz="2" w:space="0" w:color="auto"/>
            </w:tcBorders>
            <w:shd w:val="clear" w:color="auto" w:fill="7030A0"/>
          </w:tcPr>
          <w:p w14:paraId="076BB436" w14:textId="639C00B7" w:rsidR="00F96821" w:rsidRPr="00F54064" w:rsidRDefault="00616785" w:rsidP="00D558CF">
            <w:pPr>
              <w:jc w:val="both"/>
              <w:rPr>
                <w:rFonts w:cs="Calibri"/>
                <w:color w:val="FFFFFF" w:themeColor="background1"/>
                <w:sz w:val="18"/>
                <w:szCs w:val="18"/>
              </w:rPr>
            </w:pPr>
            <w:r w:rsidRPr="00F54064">
              <w:rPr>
                <w:rFonts w:cs="Calibri"/>
                <w:color w:val="FFFFFF" w:themeColor="background1"/>
                <w:sz w:val="18"/>
                <w:szCs w:val="18"/>
              </w:rPr>
              <w:t>R</w:t>
            </w:r>
            <w:r w:rsidR="00F96821" w:rsidRPr="00F54064">
              <w:rPr>
                <w:rFonts w:cs="Calibri"/>
                <w:color w:val="FFFFFF" w:themeColor="background1"/>
                <w:sz w:val="18"/>
                <w:szCs w:val="18"/>
              </w:rPr>
              <w:t>evenue and expenses must be recognised net of the GST except where the amount of GST incurred is not recoverable from the taxation authority.</w:t>
            </w:r>
            <w:r w:rsidR="00FA7C77">
              <w:rPr>
                <w:rFonts w:cs="Calibri"/>
                <w:color w:val="FFFFFF" w:themeColor="background1"/>
                <w:sz w:val="18"/>
                <w:szCs w:val="18"/>
              </w:rPr>
              <w:t xml:space="preserve"> </w:t>
            </w:r>
            <w:r w:rsidR="00F96821" w:rsidRPr="00F54064">
              <w:rPr>
                <w:rFonts w:cs="Calibri"/>
                <w:color w:val="FFFFFF" w:themeColor="background1"/>
                <w:sz w:val="18"/>
                <w:szCs w:val="18"/>
              </w:rPr>
              <w:t>In this case, the GST must be recognised as part of the item of expense.</w:t>
            </w:r>
          </w:p>
        </w:tc>
      </w:tr>
      <w:tr w:rsidR="00023DA9" w:rsidRPr="00CF7E1B" w14:paraId="6E07E336" w14:textId="77777777" w:rsidTr="00B66382">
        <w:trPr>
          <w:trHeight w:val="20"/>
        </w:trPr>
        <w:tc>
          <w:tcPr>
            <w:tcW w:w="1620" w:type="dxa"/>
            <w:tcBorders>
              <w:left w:val="single" w:sz="2" w:space="0" w:color="auto"/>
              <w:right w:val="single" w:sz="2" w:space="0" w:color="auto"/>
            </w:tcBorders>
          </w:tcPr>
          <w:p w14:paraId="21A4860B" w14:textId="77777777" w:rsidR="00023DA9" w:rsidRPr="00F54064" w:rsidRDefault="00023DA9" w:rsidP="00F54064">
            <w:pPr>
              <w:rPr>
                <w:rFonts w:cs="Calibri"/>
                <w:color w:val="7030A0"/>
                <w:sz w:val="14"/>
              </w:rPr>
            </w:pPr>
          </w:p>
        </w:tc>
        <w:tc>
          <w:tcPr>
            <w:tcW w:w="8930" w:type="dxa"/>
            <w:tcBorders>
              <w:left w:val="single" w:sz="2" w:space="0" w:color="auto"/>
            </w:tcBorders>
            <w:shd w:val="clear" w:color="auto" w:fill="7030A0"/>
          </w:tcPr>
          <w:p w14:paraId="3FB7175B" w14:textId="77777777" w:rsidR="00023DA9" w:rsidRPr="00FA7C77" w:rsidRDefault="00023DA9" w:rsidP="00CC1E25">
            <w:pPr>
              <w:pStyle w:val="CommentaryText"/>
              <w:keepNext/>
              <w:tabs>
                <w:tab w:val="left" w:pos="3306"/>
              </w:tabs>
              <w:spacing w:before="120" w:after="40"/>
              <w:jc w:val="left"/>
              <w:rPr>
                <w:rFonts w:cs="Calibri"/>
                <w:b/>
                <w:bCs/>
                <w:color w:val="FFFFFF" w:themeColor="background1"/>
                <w:szCs w:val="20"/>
              </w:rPr>
            </w:pPr>
            <w:r w:rsidRPr="00FA7C77">
              <w:rPr>
                <w:rFonts w:cs="Calibri"/>
                <w:b/>
                <w:bCs/>
                <w:color w:val="FFFFFF" w:themeColor="background1"/>
                <w:szCs w:val="20"/>
              </w:rPr>
              <w:t>Materiality</w:t>
            </w:r>
            <w:r w:rsidR="00BF21F2" w:rsidRPr="00FA7C77">
              <w:rPr>
                <w:rFonts w:cs="Calibri"/>
                <w:b/>
                <w:bCs/>
                <w:color w:val="FFFFFF" w:themeColor="background1"/>
                <w:szCs w:val="20"/>
              </w:rPr>
              <w:t xml:space="preserve"> and Aggregation</w:t>
            </w:r>
          </w:p>
        </w:tc>
      </w:tr>
      <w:tr w:rsidR="00023DA9" w:rsidRPr="00CF7E1B" w14:paraId="4F423EA3" w14:textId="77777777" w:rsidTr="00B66382">
        <w:trPr>
          <w:trHeight w:val="20"/>
        </w:trPr>
        <w:tc>
          <w:tcPr>
            <w:tcW w:w="1620" w:type="dxa"/>
            <w:tcBorders>
              <w:left w:val="single" w:sz="2" w:space="0" w:color="auto"/>
              <w:right w:val="single" w:sz="2" w:space="0" w:color="auto"/>
            </w:tcBorders>
          </w:tcPr>
          <w:p w14:paraId="3FA470B3" w14:textId="77777777" w:rsidR="00C72F3D" w:rsidRPr="00F54064" w:rsidRDefault="00251606" w:rsidP="0049387E">
            <w:pPr>
              <w:pStyle w:val="TableReference"/>
              <w:tabs>
                <w:tab w:val="left" w:pos="3306"/>
              </w:tabs>
              <w:spacing w:before="80"/>
              <w:rPr>
                <w:rFonts w:cs="Calibri"/>
                <w:color w:val="7030A0"/>
                <w:sz w:val="14"/>
              </w:rPr>
            </w:pPr>
            <w:r w:rsidRPr="00F54064">
              <w:rPr>
                <w:rFonts w:cs="Calibri"/>
                <w:color w:val="7030A0"/>
                <w:sz w:val="14"/>
              </w:rPr>
              <w:t>AASB 101.30A</w:t>
            </w:r>
          </w:p>
          <w:p w14:paraId="22845407" w14:textId="77777777" w:rsidR="00C72F3D" w:rsidRPr="00F54064" w:rsidRDefault="00C72F3D" w:rsidP="0049387E">
            <w:pPr>
              <w:pStyle w:val="TableReference"/>
              <w:tabs>
                <w:tab w:val="left" w:pos="3306"/>
              </w:tabs>
              <w:spacing w:before="80"/>
              <w:rPr>
                <w:rFonts w:cs="Calibri"/>
                <w:color w:val="7030A0"/>
                <w:sz w:val="14"/>
              </w:rPr>
            </w:pPr>
          </w:p>
          <w:p w14:paraId="23DFDF50" w14:textId="77777777" w:rsidR="00023DA9" w:rsidRPr="00F54064" w:rsidRDefault="00023DA9" w:rsidP="0049387E">
            <w:pPr>
              <w:pStyle w:val="TableReference"/>
              <w:tabs>
                <w:tab w:val="left" w:pos="3306"/>
              </w:tabs>
              <w:spacing w:before="80"/>
              <w:rPr>
                <w:rFonts w:cs="Calibri"/>
                <w:strike/>
                <w:color w:val="7030A0"/>
                <w:sz w:val="14"/>
              </w:rPr>
            </w:pPr>
          </w:p>
        </w:tc>
        <w:tc>
          <w:tcPr>
            <w:tcW w:w="8930" w:type="dxa"/>
            <w:tcBorders>
              <w:left w:val="single" w:sz="2" w:space="0" w:color="auto"/>
            </w:tcBorders>
            <w:shd w:val="clear" w:color="auto" w:fill="7030A0"/>
          </w:tcPr>
          <w:p w14:paraId="71D33918" w14:textId="66DF951E" w:rsidR="00023DA9" w:rsidRPr="00F54064" w:rsidRDefault="00EB11C0" w:rsidP="00C72F3D">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need to consider the Materiality Guidance for Financial Statements Simplification under Section 1.2 Materiality Guidance. </w:t>
            </w:r>
            <w:r w:rsidR="00C72F3D" w:rsidRPr="00F54064">
              <w:rPr>
                <w:rFonts w:cs="Calibri"/>
                <w:color w:val="FFFFFF" w:themeColor="background1"/>
                <w:sz w:val="18"/>
                <w:szCs w:val="18"/>
              </w:rPr>
              <w:t xml:space="preserve">An agency should decide, taking into consideration all relevant facts and circumstances, how it aggregates information in the </w:t>
            </w:r>
            <w:r w:rsidR="00003CB7" w:rsidRPr="00F54064">
              <w:rPr>
                <w:rFonts w:cs="Calibri"/>
                <w:color w:val="FFFFFF" w:themeColor="background1"/>
                <w:sz w:val="18"/>
                <w:szCs w:val="18"/>
              </w:rPr>
              <w:t>O</w:t>
            </w:r>
            <w:r w:rsidR="00C72F3D" w:rsidRPr="00F54064">
              <w:rPr>
                <w:rFonts w:cs="Calibri"/>
                <w:color w:val="FFFFFF" w:themeColor="background1"/>
                <w:sz w:val="18"/>
                <w:szCs w:val="18"/>
              </w:rPr>
              <w:t xml:space="preserve">perating </w:t>
            </w:r>
            <w:r w:rsidR="00003CB7" w:rsidRPr="00F54064">
              <w:rPr>
                <w:rFonts w:cs="Calibri"/>
                <w:color w:val="FFFFFF" w:themeColor="background1"/>
                <w:sz w:val="18"/>
                <w:szCs w:val="18"/>
              </w:rPr>
              <w:t>S</w:t>
            </w:r>
            <w:r w:rsidR="00C72F3D" w:rsidRPr="00F54064">
              <w:rPr>
                <w:rFonts w:cs="Calibri"/>
                <w:color w:val="FFFFFF" w:themeColor="background1"/>
                <w:sz w:val="18"/>
                <w:szCs w:val="18"/>
              </w:rPr>
              <w:t>tatement, which includes the notes.</w:t>
            </w:r>
            <w:r w:rsidR="00FA7C77">
              <w:rPr>
                <w:rFonts w:cs="Calibri"/>
                <w:color w:val="FFFFFF" w:themeColor="background1"/>
                <w:sz w:val="18"/>
                <w:szCs w:val="18"/>
              </w:rPr>
              <w:t xml:space="preserve"> </w:t>
            </w:r>
            <w:r w:rsidR="00C72F3D" w:rsidRPr="00F54064">
              <w:rPr>
                <w:rFonts w:cs="Calibri"/>
                <w:color w:val="FFFFFF" w:themeColor="background1"/>
                <w:sz w:val="18"/>
                <w:szCs w:val="18"/>
              </w:rPr>
              <w:t xml:space="preserve">It must not reduce the understandability </w:t>
            </w:r>
            <w:r w:rsidR="00251606" w:rsidRPr="00F54064">
              <w:rPr>
                <w:rFonts w:cs="Calibri"/>
                <w:color w:val="FFFFFF" w:themeColor="background1"/>
                <w:sz w:val="18"/>
                <w:szCs w:val="18"/>
              </w:rPr>
              <w:t>of its financial statements by obscuring material information with immaterial information or by aggregating material items that have different natures or functions.</w:t>
            </w:r>
            <w:r w:rsidR="00FA7C77">
              <w:rPr>
                <w:rFonts w:cs="Calibri"/>
                <w:color w:val="FFFFFF" w:themeColor="background1"/>
                <w:sz w:val="18"/>
                <w:szCs w:val="18"/>
              </w:rPr>
              <w:t xml:space="preserve"> </w:t>
            </w:r>
          </w:p>
        </w:tc>
      </w:tr>
      <w:tr w:rsidR="00F96821" w:rsidRPr="00CF7E1B" w14:paraId="2317AE80" w14:textId="77777777" w:rsidTr="00B66382">
        <w:trPr>
          <w:trHeight w:val="20"/>
        </w:trPr>
        <w:tc>
          <w:tcPr>
            <w:tcW w:w="1620" w:type="dxa"/>
            <w:tcBorders>
              <w:left w:val="single" w:sz="2" w:space="0" w:color="auto"/>
              <w:right w:val="single" w:sz="2" w:space="0" w:color="auto"/>
            </w:tcBorders>
          </w:tcPr>
          <w:p w14:paraId="39084183" w14:textId="77777777" w:rsidR="00F96821" w:rsidRPr="00F54064" w:rsidRDefault="00F96821" w:rsidP="005C61E2">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CC600C1" w14:textId="17AB381E" w:rsidR="00F96821" w:rsidRPr="00FA7C77" w:rsidRDefault="00F96821" w:rsidP="00CC1E25">
            <w:pPr>
              <w:pStyle w:val="CommentaryText"/>
              <w:tabs>
                <w:tab w:val="left" w:pos="3306"/>
              </w:tabs>
              <w:spacing w:after="40"/>
              <w:rPr>
                <w:rFonts w:cs="Calibri"/>
                <w:b/>
                <w:bCs/>
                <w:color w:val="FFFFFF" w:themeColor="background1"/>
                <w:szCs w:val="20"/>
              </w:rPr>
            </w:pPr>
            <w:r w:rsidRPr="00FA7C77">
              <w:rPr>
                <w:rFonts w:cs="Calibri"/>
                <w:b/>
                <w:bCs/>
                <w:color w:val="FFFFFF" w:themeColor="background1"/>
                <w:szCs w:val="20"/>
              </w:rPr>
              <w:t>Extraordinary Items</w:t>
            </w:r>
          </w:p>
        </w:tc>
      </w:tr>
      <w:tr w:rsidR="00F96821" w:rsidRPr="00CF7E1B" w14:paraId="7BD8BD72" w14:textId="77777777" w:rsidTr="00B66382">
        <w:trPr>
          <w:trHeight w:val="20"/>
        </w:trPr>
        <w:tc>
          <w:tcPr>
            <w:tcW w:w="1620" w:type="dxa"/>
            <w:tcBorders>
              <w:left w:val="single" w:sz="2" w:space="0" w:color="auto"/>
              <w:right w:val="single" w:sz="2" w:space="0" w:color="auto"/>
            </w:tcBorders>
          </w:tcPr>
          <w:p w14:paraId="45143DB0" w14:textId="259B4819" w:rsidR="00F96821" w:rsidRPr="00F54064" w:rsidRDefault="00F96821" w:rsidP="005C61E2">
            <w:pPr>
              <w:pStyle w:val="TableReference"/>
              <w:tabs>
                <w:tab w:val="left" w:pos="3306"/>
              </w:tabs>
              <w:spacing w:before="80"/>
              <w:rPr>
                <w:rFonts w:cs="Calibri"/>
                <w:color w:val="7030A0"/>
                <w:sz w:val="14"/>
              </w:rPr>
            </w:pPr>
            <w:r w:rsidRPr="00F54064">
              <w:rPr>
                <w:rFonts w:cs="Calibri"/>
                <w:color w:val="7030A0"/>
                <w:sz w:val="14"/>
              </w:rPr>
              <w:t>AASB 101.87</w:t>
            </w:r>
          </w:p>
        </w:tc>
        <w:tc>
          <w:tcPr>
            <w:tcW w:w="8930" w:type="dxa"/>
            <w:tcBorders>
              <w:left w:val="single" w:sz="2" w:space="0" w:color="auto"/>
            </w:tcBorders>
            <w:shd w:val="clear" w:color="auto" w:fill="7030A0"/>
          </w:tcPr>
          <w:p w14:paraId="348F6314" w14:textId="0AAA71AA" w:rsidR="00F96821" w:rsidRPr="00F54064" w:rsidRDefault="007074AE" w:rsidP="00634C5A">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must not classify </w:t>
            </w:r>
            <w:r w:rsidR="00F96821" w:rsidRPr="00F54064">
              <w:rPr>
                <w:rFonts w:cs="Calibri"/>
                <w:color w:val="FFFFFF" w:themeColor="background1"/>
                <w:sz w:val="18"/>
                <w:szCs w:val="18"/>
              </w:rPr>
              <w:t>any items of income or expense as extraordinary either in the Operating Statement or in the notes to the financial statements.</w:t>
            </w:r>
          </w:p>
        </w:tc>
      </w:tr>
      <w:tr w:rsidR="00634C5A" w:rsidRPr="00CF7E1B" w14:paraId="611ABF66" w14:textId="77777777" w:rsidTr="00B66382">
        <w:trPr>
          <w:trHeight w:val="20"/>
        </w:trPr>
        <w:tc>
          <w:tcPr>
            <w:tcW w:w="1620" w:type="dxa"/>
            <w:tcBorders>
              <w:left w:val="single" w:sz="2" w:space="0" w:color="auto"/>
              <w:right w:val="single" w:sz="2" w:space="0" w:color="auto"/>
            </w:tcBorders>
          </w:tcPr>
          <w:p w14:paraId="42CD6226"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C3B117D" w14:textId="100E325C" w:rsidR="00634C5A" w:rsidRPr="00FA7C77" w:rsidRDefault="00634C5A" w:rsidP="00CC1E25">
            <w:pPr>
              <w:pStyle w:val="CommentaryText"/>
              <w:tabs>
                <w:tab w:val="left" w:pos="3306"/>
              </w:tabs>
              <w:spacing w:after="40"/>
              <w:rPr>
                <w:rFonts w:cs="Calibri"/>
                <w:b/>
                <w:bCs/>
                <w:color w:val="FFFFFF" w:themeColor="background1"/>
                <w:szCs w:val="20"/>
              </w:rPr>
            </w:pPr>
            <w:r w:rsidRPr="00FA7C77">
              <w:rPr>
                <w:b/>
                <w:bCs/>
                <w:color w:val="FFFFFF" w:themeColor="background1"/>
                <w:szCs w:val="20"/>
              </w:rPr>
              <w:t xml:space="preserve">Appropriate Notes </w:t>
            </w:r>
          </w:p>
        </w:tc>
      </w:tr>
      <w:tr w:rsidR="00634C5A" w:rsidRPr="00CF7E1B" w14:paraId="2CE67DD5" w14:textId="77777777" w:rsidTr="00B66382">
        <w:trPr>
          <w:trHeight w:val="20"/>
        </w:trPr>
        <w:tc>
          <w:tcPr>
            <w:tcW w:w="1620" w:type="dxa"/>
            <w:tcBorders>
              <w:left w:val="single" w:sz="2" w:space="0" w:color="auto"/>
              <w:right w:val="single" w:sz="2" w:space="0" w:color="auto"/>
            </w:tcBorders>
          </w:tcPr>
          <w:p w14:paraId="004D0709" w14:textId="77777777" w:rsidR="00634C5A" w:rsidRDefault="00634C5A" w:rsidP="00634C5A">
            <w:pPr>
              <w:pStyle w:val="TableReference"/>
              <w:tabs>
                <w:tab w:val="left" w:pos="3306"/>
              </w:tabs>
              <w:spacing w:before="60"/>
              <w:rPr>
                <w:rFonts w:cs="Calibri"/>
                <w:color w:val="7030A0"/>
                <w:sz w:val="14"/>
              </w:rPr>
            </w:pPr>
            <w:r w:rsidRPr="00F54064">
              <w:rPr>
                <w:rFonts w:cs="Calibri"/>
                <w:color w:val="7030A0"/>
                <w:sz w:val="14"/>
              </w:rPr>
              <w:t>AASB 101.85</w:t>
            </w:r>
          </w:p>
          <w:p w14:paraId="2E2A0595"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D24EEB6" w14:textId="278D1100" w:rsidR="00634C5A" w:rsidRPr="00F54064" w:rsidRDefault="00634C5A" w:rsidP="00634C5A">
            <w:pPr>
              <w:pStyle w:val="CommentaryText"/>
              <w:tabs>
                <w:tab w:val="left" w:pos="3306"/>
              </w:tabs>
              <w:rPr>
                <w:color w:val="FFFFFF" w:themeColor="background1"/>
                <w:sz w:val="18"/>
                <w:szCs w:val="18"/>
              </w:rPr>
            </w:pPr>
            <w:r w:rsidRPr="00F54064">
              <w:rPr>
                <w:color w:val="FFFFFF" w:themeColor="background1"/>
                <w:sz w:val="18"/>
                <w:szCs w:val="18"/>
              </w:rPr>
              <w:t>In some cases it may be more appropriate to disclose different expense and revenue classes as needed on the Operating Statement. For example, Cost of Goods Sold may be more appropriate to territory authorities whereas Grants and Purchased Services, may not apply. Where this is the case an appropriate note should also accompany the line item presented</w:t>
            </w:r>
            <w:r>
              <w:rPr>
                <w:color w:val="FFFFFF" w:themeColor="background1"/>
                <w:sz w:val="18"/>
                <w:szCs w:val="18"/>
              </w:rPr>
              <w:t>.</w:t>
            </w:r>
          </w:p>
        </w:tc>
      </w:tr>
      <w:tr w:rsidR="00634C5A" w:rsidRPr="00CF7E1B" w14:paraId="48D7A31B" w14:textId="77777777" w:rsidTr="00B66382">
        <w:trPr>
          <w:trHeight w:val="20"/>
        </w:trPr>
        <w:tc>
          <w:tcPr>
            <w:tcW w:w="1620" w:type="dxa"/>
            <w:tcBorders>
              <w:left w:val="single" w:sz="2" w:space="0" w:color="auto"/>
              <w:right w:val="single" w:sz="2" w:space="0" w:color="auto"/>
            </w:tcBorders>
          </w:tcPr>
          <w:p w14:paraId="0A9CA2CE" w14:textId="77777777" w:rsidR="00634C5A" w:rsidRPr="00DF1D7E"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1E70BC" w14:textId="43E1D227" w:rsidR="00634C5A" w:rsidRPr="00DF1D7E" w:rsidRDefault="00634C5A" w:rsidP="00CC1E25">
            <w:pPr>
              <w:pStyle w:val="CommentaryText"/>
              <w:tabs>
                <w:tab w:val="left" w:pos="3306"/>
              </w:tabs>
              <w:spacing w:after="40"/>
              <w:rPr>
                <w:b/>
                <w:bCs/>
                <w:color w:val="FFFFFF" w:themeColor="background1"/>
                <w:szCs w:val="20"/>
              </w:rPr>
            </w:pPr>
            <w:r w:rsidRPr="00DF1D7E">
              <w:rPr>
                <w:b/>
                <w:bCs/>
                <w:color w:val="FFFFFF" w:themeColor="background1"/>
                <w:szCs w:val="20"/>
              </w:rPr>
              <w:t>Territory Authority Commentary</w:t>
            </w:r>
          </w:p>
        </w:tc>
      </w:tr>
      <w:tr w:rsidR="00634C5A" w:rsidRPr="00CF7E1B" w14:paraId="0966153B" w14:textId="77777777" w:rsidTr="00634C5A">
        <w:trPr>
          <w:trHeight w:val="20"/>
        </w:trPr>
        <w:tc>
          <w:tcPr>
            <w:tcW w:w="1620" w:type="dxa"/>
            <w:tcBorders>
              <w:left w:val="single" w:sz="2" w:space="0" w:color="auto"/>
              <w:right w:val="single" w:sz="2" w:space="0" w:color="auto"/>
            </w:tcBorders>
          </w:tcPr>
          <w:p w14:paraId="706BD25E" w14:textId="77777777" w:rsidR="00634C5A" w:rsidRPr="00DF1D7E" w:rsidRDefault="00634C5A" w:rsidP="00634C5A">
            <w:pPr>
              <w:pStyle w:val="TableReference"/>
              <w:tabs>
                <w:tab w:val="left" w:pos="3306"/>
              </w:tabs>
              <w:spacing w:before="80"/>
              <w:rPr>
                <w:rFonts w:cs="Calibri"/>
                <w:color w:val="7030A0"/>
                <w:sz w:val="14"/>
              </w:rPr>
            </w:pPr>
            <w:r w:rsidRPr="00DF1D7E">
              <w:rPr>
                <w:rFonts w:cs="Calibri"/>
                <w:color w:val="7030A0"/>
                <w:sz w:val="14"/>
              </w:rPr>
              <w:t xml:space="preserve">AASB 101.81A </w:t>
            </w:r>
          </w:p>
          <w:p w14:paraId="09678577" w14:textId="73725CD4" w:rsidR="00634C5A" w:rsidRPr="00DF1D7E" w:rsidRDefault="00634C5A" w:rsidP="00634C5A">
            <w:pPr>
              <w:rPr>
                <w:color w:val="7030A0"/>
              </w:rPr>
            </w:pPr>
            <w:r w:rsidRPr="00DF1D7E">
              <w:rPr>
                <w:rFonts w:cs="Calibri"/>
                <w:color w:val="7030A0"/>
                <w:sz w:val="14"/>
              </w:rPr>
              <w:t>AASB 101.5 &amp; 10</w:t>
            </w:r>
          </w:p>
        </w:tc>
        <w:tc>
          <w:tcPr>
            <w:tcW w:w="8930" w:type="dxa"/>
            <w:tcBorders>
              <w:left w:val="single" w:sz="2" w:space="0" w:color="auto"/>
            </w:tcBorders>
            <w:shd w:val="clear" w:color="auto" w:fill="7030A0"/>
          </w:tcPr>
          <w:p w14:paraId="6377E3AB" w14:textId="22C0E24C" w:rsidR="00634C5A" w:rsidRPr="00DF1D7E" w:rsidRDefault="00634C5A" w:rsidP="00634C5A">
            <w:pPr>
              <w:pStyle w:val="CommentaryText"/>
              <w:tabs>
                <w:tab w:val="left" w:pos="3306"/>
              </w:tabs>
              <w:jc w:val="left"/>
              <w:rPr>
                <w:rFonts w:cs="Calibri"/>
                <w:b/>
                <w:bCs/>
                <w:color w:val="FFFFFF" w:themeColor="background1"/>
                <w:sz w:val="18"/>
                <w:szCs w:val="18"/>
              </w:rPr>
            </w:pPr>
            <w:r w:rsidRPr="00DF1D7E">
              <w:rPr>
                <w:color w:val="FFFFFF" w:themeColor="background1"/>
                <w:sz w:val="18"/>
                <w:szCs w:val="18"/>
              </w:rPr>
              <w:t xml:space="preserve">Where a territory authority is for-profit it </w:t>
            </w:r>
            <w:r w:rsidR="004A1999" w:rsidRPr="00C93ED0">
              <w:rPr>
                <w:color w:val="FF0000"/>
                <w:sz w:val="18"/>
                <w:szCs w:val="18"/>
              </w:rPr>
              <w:t xml:space="preserve">is required to name </w:t>
            </w:r>
            <w:r w:rsidRPr="00C93ED0">
              <w:rPr>
                <w:strike/>
                <w:color w:val="FF0000"/>
                <w:sz w:val="18"/>
                <w:szCs w:val="18"/>
              </w:rPr>
              <w:t>will have to call</w:t>
            </w:r>
            <w:r w:rsidRPr="004A1999">
              <w:rPr>
                <w:color w:val="FF0000"/>
                <w:sz w:val="18"/>
                <w:szCs w:val="18"/>
              </w:rPr>
              <w:t xml:space="preserve"> </w:t>
            </w:r>
            <w:r w:rsidRPr="00DF1D7E">
              <w:rPr>
                <w:color w:val="FFFFFF" w:themeColor="background1"/>
                <w:sz w:val="18"/>
                <w:szCs w:val="18"/>
              </w:rPr>
              <w:t>the ‘Operating Statement’ a ‘Statement of Comprehensive Income’.</w:t>
            </w:r>
          </w:p>
        </w:tc>
      </w:tr>
    </w:tbl>
    <w:p w14:paraId="36795285" w14:textId="77777777" w:rsidR="000144FF" w:rsidRPr="00CF7E1B" w:rsidRDefault="000144FF">
      <w:pPr>
        <w:tabs>
          <w:tab w:val="left" w:pos="3306"/>
        </w:tabs>
        <w:rPr>
          <w:rFonts w:cs="Calibri"/>
        </w:rPr>
      </w:pPr>
    </w:p>
    <w:p w14:paraId="675F9035" w14:textId="77777777" w:rsidR="000144FF" w:rsidRPr="00CF7E1B" w:rsidRDefault="000144FF">
      <w:pPr>
        <w:tabs>
          <w:tab w:val="left" w:pos="3306"/>
        </w:tabs>
        <w:rPr>
          <w:rFonts w:cs="Calibri"/>
        </w:rPr>
        <w:sectPr w:rsidR="000144FF" w:rsidRPr="00CF7E1B" w:rsidSect="004514CD">
          <w:headerReference w:type="default" r:id="rId24"/>
          <w:footerReference w:type="default" r:id="rId25"/>
          <w:footnotePr>
            <w:numRestart w:val="eachPage"/>
          </w:footnotePr>
          <w:pgSz w:w="11907" w:h="16840" w:code="9"/>
          <w:pgMar w:top="567" w:right="680" w:bottom="567" w:left="680" w:header="284" w:footer="284" w:gutter="0"/>
          <w:cols w:space="720"/>
        </w:sectPr>
      </w:pPr>
    </w:p>
    <w:p w14:paraId="45E731C6" w14:textId="704B2EB1" w:rsidR="002F67B3" w:rsidRPr="00A26DB2" w:rsidRDefault="002F67B3" w:rsidP="002F67B3">
      <w:pPr>
        <w:tabs>
          <w:tab w:val="left" w:pos="3306"/>
        </w:tabs>
        <w:jc w:val="center"/>
        <w:rPr>
          <w:rFonts w:cs="Calibri"/>
          <w:b/>
          <w:bCs/>
          <w:sz w:val="40"/>
          <w:szCs w:val="40"/>
        </w:rPr>
      </w:pPr>
      <w:bookmarkStart w:id="150" w:name="_Hlk88165588"/>
      <w:r w:rsidRPr="00A26DB2">
        <w:rPr>
          <w:rFonts w:cs="Calibri"/>
          <w:b/>
          <w:bCs/>
          <w:sz w:val="40"/>
          <w:szCs w:val="40"/>
        </w:rPr>
        <w:t>‘Burley Griffin Agency’</w:t>
      </w:r>
    </w:p>
    <w:p w14:paraId="2F771520" w14:textId="77777777" w:rsidR="000144FF" w:rsidRPr="00A26DB2" w:rsidRDefault="006D2667" w:rsidP="002E2BFB">
      <w:pPr>
        <w:pStyle w:val="Subtitle"/>
        <w:spacing w:line="400" w:lineRule="exact"/>
        <w:rPr>
          <w:rFonts w:asciiTheme="minorHAnsi" w:hAnsiTheme="minorHAnsi" w:cstheme="minorHAnsi"/>
        </w:rPr>
      </w:pPr>
      <w:bookmarkStart w:id="151" w:name="_Toc400627309"/>
      <w:bookmarkStart w:id="152" w:name="_Toc132743763"/>
      <w:r w:rsidRPr="00A26DB2">
        <w:rPr>
          <w:rFonts w:asciiTheme="minorHAnsi" w:hAnsiTheme="minorHAnsi" w:cstheme="minorHAnsi"/>
        </w:rPr>
        <w:t>Balance Sheet</w:t>
      </w:r>
      <w:bookmarkEnd w:id="151"/>
      <w:bookmarkEnd w:id="152"/>
    </w:p>
    <w:p w14:paraId="0672311D" w14:textId="41A73DC9" w:rsidR="000144FF" w:rsidRPr="00A26DB2" w:rsidRDefault="000144FF" w:rsidP="002E2BFB">
      <w:pPr>
        <w:spacing w:line="400" w:lineRule="exact"/>
        <w:jc w:val="center"/>
        <w:rPr>
          <w:rFonts w:asciiTheme="minorHAnsi" w:hAnsiTheme="minorHAnsi" w:cstheme="minorHAnsi"/>
          <w:b/>
          <w:sz w:val="40"/>
          <w:szCs w:val="40"/>
        </w:rPr>
      </w:pPr>
      <w:bookmarkStart w:id="153" w:name="_Toc48468214"/>
      <w:r w:rsidRPr="00A26DB2">
        <w:rPr>
          <w:rFonts w:asciiTheme="minorHAnsi" w:hAnsiTheme="minorHAnsi" w:cstheme="minorHAnsi"/>
          <w:b/>
          <w:sz w:val="40"/>
          <w:szCs w:val="40"/>
        </w:rPr>
        <w:t xml:space="preserve">As at 30 June </w:t>
      </w:r>
      <w:bookmarkEnd w:id="153"/>
      <w:r w:rsidR="00C66E0D" w:rsidRPr="00A26DB2">
        <w:rPr>
          <w:rFonts w:asciiTheme="minorHAnsi" w:hAnsiTheme="minorHAnsi" w:cstheme="minorHAnsi"/>
          <w:b/>
          <w:sz w:val="40"/>
          <w:szCs w:val="40"/>
        </w:rPr>
        <w:t>202</w:t>
      </w:r>
      <w:r w:rsidR="00D50594">
        <w:rPr>
          <w:rFonts w:asciiTheme="minorHAnsi" w:hAnsiTheme="minorHAnsi" w:cstheme="minorHAnsi"/>
          <w:b/>
          <w:sz w:val="40"/>
          <w:szCs w:val="40"/>
        </w:rPr>
        <w:t>3</w:t>
      </w:r>
    </w:p>
    <w:tbl>
      <w:tblPr>
        <w:tblW w:w="5000" w:type="pct"/>
        <w:tblLook w:val="00A0" w:firstRow="1" w:lastRow="0" w:firstColumn="1" w:lastColumn="0" w:noHBand="0" w:noVBand="0"/>
      </w:tblPr>
      <w:tblGrid>
        <w:gridCol w:w="1537"/>
        <w:gridCol w:w="3296"/>
        <w:gridCol w:w="1660"/>
        <w:gridCol w:w="1260"/>
        <w:gridCol w:w="1395"/>
        <w:gridCol w:w="1396"/>
      </w:tblGrid>
      <w:tr w:rsidR="00174E73" w:rsidRPr="00CF7E1B" w14:paraId="2D10576F" w14:textId="77777777" w:rsidTr="00C736E0">
        <w:tc>
          <w:tcPr>
            <w:tcW w:w="1537" w:type="dxa"/>
            <w:tcBorders>
              <w:left w:val="single" w:sz="2" w:space="0" w:color="auto"/>
              <w:right w:val="single" w:sz="2" w:space="0" w:color="auto"/>
            </w:tcBorders>
          </w:tcPr>
          <w:p w14:paraId="65D2D9C2" w14:textId="77777777" w:rsidR="009846EE" w:rsidRPr="008238E7" w:rsidRDefault="009846EE" w:rsidP="0003436C">
            <w:pPr>
              <w:pStyle w:val="Reference"/>
              <w:tabs>
                <w:tab w:val="left" w:pos="3306"/>
              </w:tabs>
              <w:spacing w:before="240"/>
              <w:rPr>
                <w:rFonts w:cs="Calibri"/>
                <w:color w:val="7030A0"/>
                <w:sz w:val="22"/>
                <w:szCs w:val="22"/>
              </w:rPr>
            </w:pPr>
            <w:bookmarkStart w:id="154" w:name="_Toc48468215"/>
            <w:bookmarkStart w:id="155" w:name="_Toc49155407"/>
            <w:bookmarkStart w:id="156" w:name="_Toc49223855"/>
            <w:bookmarkStart w:id="157" w:name="_Hlk104839843"/>
            <w:r w:rsidRPr="008238E7">
              <w:rPr>
                <w:rFonts w:cs="Calibri"/>
                <w:color w:val="7030A0"/>
                <w:sz w:val="22"/>
                <w:szCs w:val="22"/>
              </w:rPr>
              <w:t>Reference</w:t>
            </w:r>
            <w:bookmarkEnd w:id="154"/>
            <w:bookmarkEnd w:id="155"/>
            <w:bookmarkEnd w:id="156"/>
          </w:p>
        </w:tc>
        <w:tc>
          <w:tcPr>
            <w:tcW w:w="3296" w:type="dxa"/>
            <w:tcBorders>
              <w:left w:val="single" w:sz="2" w:space="0" w:color="auto"/>
            </w:tcBorders>
            <w:vAlign w:val="bottom"/>
          </w:tcPr>
          <w:p w14:paraId="64F8D877" w14:textId="77777777" w:rsidR="009846EE" w:rsidRPr="00D12A36" w:rsidRDefault="009846EE" w:rsidP="006A4E19">
            <w:pPr>
              <w:tabs>
                <w:tab w:val="left" w:pos="3306"/>
              </w:tabs>
              <w:rPr>
                <w:rFonts w:cs="Calibri"/>
              </w:rPr>
            </w:pPr>
          </w:p>
        </w:tc>
        <w:tc>
          <w:tcPr>
            <w:tcW w:w="1660" w:type="dxa"/>
            <w:vAlign w:val="bottom"/>
          </w:tcPr>
          <w:p w14:paraId="39954A23" w14:textId="77777777" w:rsidR="009846EE" w:rsidRPr="00D12A36" w:rsidRDefault="009846EE" w:rsidP="006A4E19">
            <w:pPr>
              <w:pStyle w:val="TableTitle"/>
              <w:tabs>
                <w:tab w:val="left" w:pos="3306"/>
              </w:tabs>
              <w:jc w:val="center"/>
              <w:rPr>
                <w:rFonts w:cs="Calibri"/>
              </w:rPr>
            </w:pPr>
            <w:r w:rsidRPr="00D12A36">
              <w:rPr>
                <w:rFonts w:cs="Calibri"/>
              </w:rPr>
              <w:t>Note No.</w:t>
            </w:r>
          </w:p>
        </w:tc>
        <w:tc>
          <w:tcPr>
            <w:tcW w:w="1260" w:type="dxa"/>
            <w:vAlign w:val="bottom"/>
          </w:tcPr>
          <w:p w14:paraId="2F49F2B0" w14:textId="77777777" w:rsidR="009846EE" w:rsidRPr="00D12A36" w:rsidRDefault="009846EE" w:rsidP="00851F40">
            <w:pPr>
              <w:pStyle w:val="TableTitle"/>
              <w:tabs>
                <w:tab w:val="left" w:pos="3306"/>
              </w:tabs>
              <w:rPr>
                <w:rFonts w:cs="Calibri"/>
              </w:rPr>
            </w:pPr>
            <w:r w:rsidRPr="00D12A36">
              <w:rPr>
                <w:rFonts w:cs="Calibri"/>
              </w:rPr>
              <w:t>Actual</w:t>
            </w:r>
          </w:p>
          <w:p w14:paraId="69ED6D70" w14:textId="5ED86A49" w:rsidR="001B231B" w:rsidRPr="00D12A36" w:rsidRDefault="001B231B" w:rsidP="00851F40">
            <w:pPr>
              <w:pStyle w:val="TableTitle"/>
              <w:tabs>
                <w:tab w:val="left" w:pos="3306"/>
              </w:tabs>
              <w:rPr>
                <w:rFonts w:cs="Calibri"/>
              </w:rPr>
            </w:pPr>
            <w:r w:rsidRPr="00D12A36">
              <w:rPr>
                <w:rFonts w:cs="Calibri"/>
              </w:rPr>
              <w:t>202</w:t>
            </w:r>
            <w:r w:rsidR="00D50594">
              <w:rPr>
                <w:rFonts w:cs="Calibri"/>
              </w:rPr>
              <w:t>3</w:t>
            </w:r>
          </w:p>
          <w:p w14:paraId="0FF5ADDA" w14:textId="77777777" w:rsidR="009846EE" w:rsidRPr="00D12A36" w:rsidRDefault="009846EE" w:rsidP="00851F40">
            <w:pPr>
              <w:pStyle w:val="TableTitle"/>
              <w:tabs>
                <w:tab w:val="left" w:pos="3306"/>
              </w:tabs>
              <w:rPr>
                <w:rFonts w:cs="Calibri"/>
              </w:rPr>
            </w:pPr>
            <w:r w:rsidRPr="00D12A36">
              <w:rPr>
                <w:rFonts w:cs="Calibri"/>
              </w:rPr>
              <w:t>$’000</w:t>
            </w:r>
          </w:p>
        </w:tc>
        <w:tc>
          <w:tcPr>
            <w:tcW w:w="1395" w:type="dxa"/>
            <w:vAlign w:val="bottom"/>
          </w:tcPr>
          <w:p w14:paraId="5F1B2B15" w14:textId="77777777" w:rsidR="009846EE" w:rsidRPr="00D12A36" w:rsidRDefault="009846EE" w:rsidP="00851F40">
            <w:pPr>
              <w:pStyle w:val="TableTitle"/>
              <w:tabs>
                <w:tab w:val="left" w:pos="3306"/>
              </w:tabs>
              <w:rPr>
                <w:rFonts w:cs="Calibri"/>
              </w:rPr>
            </w:pPr>
            <w:r w:rsidRPr="00D12A36">
              <w:rPr>
                <w:rFonts w:cs="Calibri"/>
              </w:rPr>
              <w:t>Original</w:t>
            </w:r>
          </w:p>
          <w:p w14:paraId="3050A8E2" w14:textId="77777777" w:rsidR="009846EE" w:rsidRPr="00D12A36" w:rsidRDefault="009846EE" w:rsidP="00851F40">
            <w:pPr>
              <w:pStyle w:val="TableTitle"/>
              <w:tabs>
                <w:tab w:val="left" w:pos="3306"/>
              </w:tabs>
              <w:rPr>
                <w:rFonts w:cs="Calibri"/>
              </w:rPr>
            </w:pPr>
            <w:r w:rsidRPr="00D12A36">
              <w:rPr>
                <w:rFonts w:cs="Calibri"/>
              </w:rPr>
              <w:t xml:space="preserve">Budget </w:t>
            </w:r>
          </w:p>
          <w:p w14:paraId="548C5407" w14:textId="52914CEF" w:rsidR="001B231B" w:rsidRPr="00D12A36" w:rsidRDefault="001B231B" w:rsidP="00851F40">
            <w:pPr>
              <w:pStyle w:val="TableTitle"/>
              <w:tabs>
                <w:tab w:val="left" w:pos="3306"/>
              </w:tabs>
              <w:rPr>
                <w:rFonts w:cs="Calibri"/>
              </w:rPr>
            </w:pPr>
            <w:r w:rsidRPr="00D12A36">
              <w:rPr>
                <w:rFonts w:cs="Calibri"/>
              </w:rPr>
              <w:t>202</w:t>
            </w:r>
            <w:r w:rsidR="00D50594">
              <w:rPr>
                <w:rFonts w:cs="Calibri"/>
              </w:rPr>
              <w:t>3</w:t>
            </w:r>
          </w:p>
          <w:p w14:paraId="3DE30FE5" w14:textId="77777777" w:rsidR="009846EE" w:rsidRPr="00D12A36" w:rsidRDefault="009846EE" w:rsidP="00851F40">
            <w:pPr>
              <w:pStyle w:val="TableTitle"/>
              <w:tabs>
                <w:tab w:val="left" w:pos="3306"/>
              </w:tabs>
              <w:rPr>
                <w:rFonts w:cs="Calibri"/>
              </w:rPr>
            </w:pPr>
            <w:r w:rsidRPr="00D12A36">
              <w:rPr>
                <w:rFonts w:cs="Calibri"/>
              </w:rPr>
              <w:t>$’000</w:t>
            </w:r>
          </w:p>
        </w:tc>
        <w:tc>
          <w:tcPr>
            <w:tcW w:w="1396" w:type="dxa"/>
            <w:vAlign w:val="bottom"/>
          </w:tcPr>
          <w:p w14:paraId="4AE5A021" w14:textId="77777777" w:rsidR="009846EE" w:rsidRPr="00D12A36" w:rsidRDefault="009846EE" w:rsidP="00851F40">
            <w:pPr>
              <w:pStyle w:val="TableTitle"/>
              <w:tabs>
                <w:tab w:val="left" w:pos="3306"/>
              </w:tabs>
              <w:rPr>
                <w:rFonts w:cs="Calibri"/>
              </w:rPr>
            </w:pPr>
            <w:r w:rsidRPr="00D12A36">
              <w:rPr>
                <w:rFonts w:cs="Calibri"/>
              </w:rPr>
              <w:t>Actual</w:t>
            </w:r>
          </w:p>
          <w:p w14:paraId="663CE6F4" w14:textId="0212BB81" w:rsidR="009846EE" w:rsidRPr="0009580B" w:rsidRDefault="00663421" w:rsidP="00851F40">
            <w:pPr>
              <w:pStyle w:val="TableTitle"/>
              <w:tabs>
                <w:tab w:val="left" w:pos="3306"/>
              </w:tabs>
              <w:rPr>
                <w:rFonts w:cs="Calibri"/>
              </w:rPr>
            </w:pPr>
            <w:r w:rsidRPr="00D12A36">
              <w:rPr>
                <w:rFonts w:cs="Calibri"/>
              </w:rPr>
              <w:t>202</w:t>
            </w:r>
            <w:r w:rsidR="00D50594">
              <w:rPr>
                <w:rFonts w:cs="Calibri"/>
              </w:rPr>
              <w:t>2</w:t>
            </w:r>
          </w:p>
          <w:p w14:paraId="49751E18" w14:textId="77777777" w:rsidR="009846EE" w:rsidRPr="00D12A36" w:rsidRDefault="009846EE" w:rsidP="00851F40">
            <w:pPr>
              <w:pStyle w:val="TableTitle"/>
              <w:tabs>
                <w:tab w:val="left" w:pos="3306"/>
              </w:tabs>
              <w:rPr>
                <w:rFonts w:cs="Calibri"/>
              </w:rPr>
            </w:pPr>
            <w:r w:rsidRPr="00D12A36">
              <w:rPr>
                <w:rFonts w:cs="Calibri"/>
              </w:rPr>
              <w:t>$’000</w:t>
            </w:r>
          </w:p>
        </w:tc>
      </w:tr>
      <w:tr w:rsidR="00174E73" w:rsidRPr="00CF7E1B" w14:paraId="6030704A" w14:textId="77777777" w:rsidTr="00C736E0">
        <w:tc>
          <w:tcPr>
            <w:tcW w:w="1537" w:type="dxa"/>
            <w:tcBorders>
              <w:left w:val="single" w:sz="2" w:space="0" w:color="auto"/>
              <w:right w:val="single" w:sz="2" w:space="0" w:color="auto"/>
            </w:tcBorders>
          </w:tcPr>
          <w:p w14:paraId="66F7198F" w14:textId="77777777" w:rsidR="009846EE" w:rsidRPr="008238E7" w:rsidRDefault="009846EE" w:rsidP="006A4E19">
            <w:pPr>
              <w:pStyle w:val="TableReference"/>
              <w:tabs>
                <w:tab w:val="left" w:pos="3306"/>
              </w:tabs>
              <w:spacing w:before="40"/>
              <w:rPr>
                <w:rFonts w:cs="Calibri"/>
                <w:strike/>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60</w:t>
            </w:r>
          </w:p>
        </w:tc>
        <w:tc>
          <w:tcPr>
            <w:tcW w:w="3296" w:type="dxa"/>
            <w:tcBorders>
              <w:left w:val="single" w:sz="2" w:space="0" w:color="auto"/>
            </w:tcBorders>
            <w:vAlign w:val="bottom"/>
          </w:tcPr>
          <w:p w14:paraId="309C73CB" w14:textId="77777777" w:rsidR="009846EE" w:rsidRPr="00D12A36" w:rsidRDefault="009846EE" w:rsidP="006A4E19">
            <w:pPr>
              <w:pStyle w:val="TableText"/>
              <w:tabs>
                <w:tab w:val="left" w:pos="4752"/>
              </w:tabs>
              <w:rPr>
                <w:rFonts w:cs="Calibri"/>
                <w:b/>
                <w:bCs/>
              </w:rPr>
            </w:pPr>
            <w:bookmarkStart w:id="158" w:name="_Toc48468216"/>
            <w:bookmarkStart w:id="159" w:name="_Toc49155408"/>
            <w:bookmarkStart w:id="160" w:name="_Toc49223856"/>
            <w:r w:rsidRPr="00D12A36">
              <w:rPr>
                <w:rFonts w:cs="Calibri"/>
                <w:b/>
                <w:bCs/>
              </w:rPr>
              <w:t>Current Assets</w:t>
            </w:r>
            <w:bookmarkEnd w:id="158"/>
            <w:bookmarkEnd w:id="159"/>
            <w:bookmarkEnd w:id="160"/>
          </w:p>
        </w:tc>
        <w:tc>
          <w:tcPr>
            <w:tcW w:w="1660" w:type="dxa"/>
            <w:vAlign w:val="bottom"/>
          </w:tcPr>
          <w:p w14:paraId="7D12FB59" w14:textId="77777777" w:rsidR="009846EE" w:rsidRPr="00D12A36" w:rsidRDefault="009846EE" w:rsidP="006A4E19">
            <w:pPr>
              <w:pStyle w:val="TableText"/>
              <w:tabs>
                <w:tab w:val="left" w:pos="3306"/>
              </w:tabs>
              <w:jc w:val="center"/>
              <w:rPr>
                <w:rFonts w:cs="Calibri"/>
                <w:b/>
                <w:bCs/>
              </w:rPr>
            </w:pPr>
          </w:p>
        </w:tc>
        <w:tc>
          <w:tcPr>
            <w:tcW w:w="1260" w:type="dxa"/>
            <w:vAlign w:val="bottom"/>
          </w:tcPr>
          <w:p w14:paraId="5C4185E8" w14:textId="77777777" w:rsidR="009846EE" w:rsidRPr="00D12A36" w:rsidRDefault="009846EE" w:rsidP="006A4E19">
            <w:pPr>
              <w:pStyle w:val="TableText"/>
              <w:tabs>
                <w:tab w:val="left" w:pos="3306"/>
              </w:tabs>
              <w:jc w:val="right"/>
              <w:rPr>
                <w:rFonts w:cs="Calibri"/>
                <w:b/>
                <w:bCs/>
              </w:rPr>
            </w:pPr>
          </w:p>
        </w:tc>
        <w:tc>
          <w:tcPr>
            <w:tcW w:w="1395" w:type="dxa"/>
            <w:vAlign w:val="bottom"/>
          </w:tcPr>
          <w:p w14:paraId="58BB09CB" w14:textId="77777777" w:rsidR="009846EE" w:rsidRPr="00D12A36" w:rsidRDefault="009846EE" w:rsidP="006A4E19">
            <w:pPr>
              <w:pStyle w:val="TableText"/>
              <w:tabs>
                <w:tab w:val="left" w:pos="3306"/>
              </w:tabs>
              <w:jc w:val="right"/>
              <w:rPr>
                <w:rFonts w:cs="Calibri"/>
                <w:b/>
                <w:bCs/>
              </w:rPr>
            </w:pPr>
          </w:p>
        </w:tc>
        <w:tc>
          <w:tcPr>
            <w:tcW w:w="1396" w:type="dxa"/>
            <w:vAlign w:val="bottom"/>
          </w:tcPr>
          <w:p w14:paraId="1A739BE5" w14:textId="77777777" w:rsidR="009846EE" w:rsidRPr="00D12A36" w:rsidRDefault="009846EE" w:rsidP="006A4E19">
            <w:pPr>
              <w:pStyle w:val="TableText"/>
              <w:tabs>
                <w:tab w:val="left" w:pos="3306"/>
              </w:tabs>
              <w:jc w:val="right"/>
              <w:rPr>
                <w:rFonts w:cs="Calibri"/>
                <w:b/>
                <w:bCs/>
              </w:rPr>
            </w:pPr>
          </w:p>
        </w:tc>
      </w:tr>
      <w:tr w:rsidR="00174E73" w:rsidRPr="00CF7E1B" w14:paraId="619CD80F" w14:textId="77777777" w:rsidTr="00C736E0">
        <w:trPr>
          <w:trHeight w:val="132"/>
        </w:trPr>
        <w:tc>
          <w:tcPr>
            <w:tcW w:w="1537" w:type="dxa"/>
            <w:tcBorders>
              <w:left w:val="single" w:sz="2" w:space="0" w:color="auto"/>
              <w:right w:val="single" w:sz="2" w:space="0" w:color="auto"/>
            </w:tcBorders>
          </w:tcPr>
          <w:p w14:paraId="3D50A764" w14:textId="77777777" w:rsidR="009846EE" w:rsidRPr="00FC2ACA" w:rsidRDefault="009846EE" w:rsidP="008238E7">
            <w:pPr>
              <w:pStyle w:val="TableReference"/>
              <w:tabs>
                <w:tab w:val="left" w:pos="3306"/>
              </w:tabs>
              <w:spacing w:before="40"/>
              <w:rPr>
                <w:rFonts w:cs="Calibri"/>
                <w:strike/>
                <w:color w:val="FF0000"/>
                <w:sz w:val="14"/>
              </w:rPr>
            </w:pPr>
            <w:r w:rsidRPr="00FC2ACA">
              <w:rPr>
                <w:rFonts w:cs="Calibri"/>
                <w:strike/>
                <w:color w:val="FF0000"/>
                <w:sz w:val="14"/>
              </w:rPr>
              <w:t>AASB 101</w:t>
            </w:r>
            <w:r w:rsidR="00D65811" w:rsidRPr="00FC2ACA">
              <w:rPr>
                <w:rFonts w:cs="Calibri"/>
                <w:strike/>
                <w:color w:val="FF0000"/>
                <w:sz w:val="14"/>
              </w:rPr>
              <w:t>.</w:t>
            </w:r>
            <w:r w:rsidRPr="00FC2ACA">
              <w:rPr>
                <w:rFonts w:cs="Calibri"/>
                <w:strike/>
                <w:color w:val="FF0000"/>
                <w:sz w:val="14"/>
              </w:rPr>
              <w:t>54</w:t>
            </w:r>
            <w:r w:rsidR="00D001B7" w:rsidRPr="00FC2ACA">
              <w:rPr>
                <w:rFonts w:cs="Calibri"/>
                <w:strike/>
                <w:color w:val="FF0000"/>
                <w:sz w:val="14"/>
              </w:rPr>
              <w:t>(</w:t>
            </w:r>
            <w:r w:rsidRPr="00FC2ACA">
              <w:rPr>
                <w:rFonts w:cs="Calibri"/>
                <w:strike/>
                <w:color w:val="FF0000"/>
                <w:sz w:val="14"/>
              </w:rPr>
              <w:t>i)</w:t>
            </w:r>
          </w:p>
        </w:tc>
        <w:tc>
          <w:tcPr>
            <w:tcW w:w="3296" w:type="dxa"/>
            <w:tcBorders>
              <w:left w:val="single" w:sz="2" w:space="0" w:color="auto"/>
            </w:tcBorders>
            <w:vAlign w:val="bottom"/>
          </w:tcPr>
          <w:p w14:paraId="5A327F5E" w14:textId="77777777" w:rsidR="001A5C8B" w:rsidRPr="00FC2ACA" w:rsidRDefault="009846EE" w:rsidP="008238E7">
            <w:pPr>
              <w:pStyle w:val="TableText"/>
              <w:tabs>
                <w:tab w:val="left" w:pos="3306"/>
              </w:tabs>
              <w:spacing w:before="20"/>
              <w:rPr>
                <w:rFonts w:cs="Calibri"/>
                <w:strike/>
                <w:color w:val="FF0000"/>
              </w:rPr>
            </w:pPr>
            <w:r w:rsidRPr="00FC2ACA">
              <w:rPr>
                <w:rFonts w:cs="Calibri"/>
                <w:strike/>
                <w:color w:val="FF0000"/>
              </w:rPr>
              <w:t>Cash and Cash Equivalent</w:t>
            </w:r>
            <w:r w:rsidR="001A5C8B" w:rsidRPr="00FC2ACA">
              <w:rPr>
                <w:rFonts w:cs="Calibri"/>
                <w:strike/>
                <w:color w:val="FF0000"/>
              </w:rPr>
              <w:t>s</w:t>
            </w:r>
          </w:p>
        </w:tc>
        <w:tc>
          <w:tcPr>
            <w:tcW w:w="1660" w:type="dxa"/>
            <w:vAlign w:val="bottom"/>
          </w:tcPr>
          <w:p w14:paraId="5E4D2365" w14:textId="2DFAE09B" w:rsidR="009846EE" w:rsidRPr="00FC2ACA" w:rsidRDefault="003C048F" w:rsidP="008238E7">
            <w:pPr>
              <w:pStyle w:val="TableText"/>
              <w:tabs>
                <w:tab w:val="left" w:pos="3306"/>
              </w:tabs>
              <w:spacing w:before="20"/>
              <w:jc w:val="center"/>
              <w:rPr>
                <w:rFonts w:cs="Calibri"/>
                <w:strike/>
                <w:color w:val="FF0000"/>
              </w:rPr>
            </w:pPr>
            <w:r w:rsidRPr="00FC2ACA">
              <w:rPr>
                <w:rFonts w:cs="Calibri"/>
                <w:strike/>
                <w:color w:val="FF0000"/>
              </w:rPr>
              <w:t>1</w:t>
            </w:r>
            <w:r w:rsidR="00575AE7" w:rsidRPr="00FC2ACA">
              <w:rPr>
                <w:rFonts w:cs="Calibri"/>
                <w:strike/>
                <w:color w:val="FF0000"/>
              </w:rPr>
              <w:t>5</w:t>
            </w:r>
          </w:p>
        </w:tc>
        <w:tc>
          <w:tcPr>
            <w:tcW w:w="1260" w:type="dxa"/>
            <w:vAlign w:val="bottom"/>
          </w:tcPr>
          <w:p w14:paraId="5053C94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395CD493" w14:textId="77777777" w:rsidR="009846EE" w:rsidRPr="00D12A36" w:rsidRDefault="009846EE" w:rsidP="008238E7">
            <w:pPr>
              <w:pStyle w:val="TableText"/>
              <w:tabs>
                <w:tab w:val="left" w:pos="3306"/>
              </w:tabs>
              <w:spacing w:before="20"/>
              <w:jc w:val="right"/>
              <w:rPr>
                <w:rFonts w:cs="Calibri"/>
                <w:strike/>
              </w:rPr>
            </w:pPr>
          </w:p>
        </w:tc>
        <w:tc>
          <w:tcPr>
            <w:tcW w:w="1396" w:type="dxa"/>
            <w:vAlign w:val="bottom"/>
          </w:tcPr>
          <w:p w14:paraId="3953DEF3" w14:textId="77777777" w:rsidR="009846EE" w:rsidRPr="00D12A36" w:rsidRDefault="009846EE" w:rsidP="008238E7">
            <w:pPr>
              <w:pStyle w:val="TableText"/>
              <w:tabs>
                <w:tab w:val="left" w:pos="3306"/>
              </w:tabs>
              <w:spacing w:before="20"/>
              <w:jc w:val="right"/>
              <w:rPr>
                <w:rFonts w:cs="Calibri"/>
                <w:strike/>
              </w:rPr>
            </w:pPr>
          </w:p>
        </w:tc>
      </w:tr>
      <w:tr w:rsidR="00174E73" w:rsidRPr="00CF7E1B" w14:paraId="7B4CD965" w14:textId="77777777" w:rsidTr="00C736E0">
        <w:tc>
          <w:tcPr>
            <w:tcW w:w="1537" w:type="dxa"/>
            <w:tcBorders>
              <w:left w:val="single" w:sz="2" w:space="0" w:color="auto"/>
              <w:right w:val="single" w:sz="2" w:space="0" w:color="auto"/>
            </w:tcBorders>
          </w:tcPr>
          <w:p w14:paraId="591991BD" w14:textId="77777777" w:rsidR="009975BC" w:rsidRPr="008238E7" w:rsidRDefault="009975B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44F8D4C7" w14:textId="4E1BB9C0" w:rsidR="009975BC" w:rsidRPr="00D12A36" w:rsidRDefault="00FC2ACA" w:rsidP="008238E7">
            <w:pPr>
              <w:pStyle w:val="TableText"/>
              <w:tabs>
                <w:tab w:val="left" w:pos="3306"/>
              </w:tabs>
              <w:spacing w:before="20"/>
              <w:rPr>
                <w:rFonts w:cs="Calibri"/>
                <w:b/>
                <w:bCs/>
              </w:rPr>
            </w:pPr>
            <w:r w:rsidRPr="00FC2ACA">
              <w:rPr>
                <w:rFonts w:cs="Calibri"/>
                <w:color w:val="FF0000"/>
              </w:rPr>
              <w:t xml:space="preserve">Cash and </w:t>
            </w:r>
            <w:r w:rsidR="009975BC" w:rsidRPr="00D12A36">
              <w:rPr>
                <w:rFonts w:cs="Calibri"/>
              </w:rPr>
              <w:t xml:space="preserve">Investments </w:t>
            </w:r>
          </w:p>
        </w:tc>
        <w:tc>
          <w:tcPr>
            <w:tcW w:w="1660" w:type="dxa"/>
            <w:vAlign w:val="bottom"/>
          </w:tcPr>
          <w:p w14:paraId="1907BD52" w14:textId="4403E187" w:rsidR="009975BC" w:rsidRPr="00D12A36" w:rsidRDefault="003C048F" w:rsidP="008238E7">
            <w:pPr>
              <w:pStyle w:val="TableText"/>
              <w:tabs>
                <w:tab w:val="left" w:pos="3306"/>
              </w:tabs>
              <w:spacing w:before="20"/>
              <w:jc w:val="center"/>
              <w:rPr>
                <w:rFonts w:cs="Calibri"/>
              </w:rPr>
            </w:pPr>
            <w:r w:rsidRPr="00D12A36">
              <w:rPr>
                <w:rFonts w:cs="Calibri"/>
              </w:rPr>
              <w:t>1</w:t>
            </w:r>
            <w:r w:rsidR="00575AE7" w:rsidRPr="00D12A36">
              <w:rPr>
                <w:rFonts w:cs="Calibri"/>
              </w:rPr>
              <w:t>5</w:t>
            </w:r>
          </w:p>
        </w:tc>
        <w:tc>
          <w:tcPr>
            <w:tcW w:w="1260" w:type="dxa"/>
            <w:vAlign w:val="bottom"/>
          </w:tcPr>
          <w:p w14:paraId="58F6C343" w14:textId="77777777" w:rsidR="009975BC" w:rsidRPr="00D12A36" w:rsidRDefault="009975BC" w:rsidP="008238E7">
            <w:pPr>
              <w:pStyle w:val="TableText"/>
              <w:tabs>
                <w:tab w:val="left" w:pos="3306"/>
              </w:tabs>
              <w:spacing w:before="20"/>
              <w:jc w:val="right"/>
              <w:rPr>
                <w:rFonts w:cs="Calibri"/>
              </w:rPr>
            </w:pPr>
          </w:p>
        </w:tc>
        <w:tc>
          <w:tcPr>
            <w:tcW w:w="1395" w:type="dxa"/>
            <w:vAlign w:val="bottom"/>
          </w:tcPr>
          <w:p w14:paraId="0DADBE54" w14:textId="77777777" w:rsidR="009975BC" w:rsidRPr="00D12A36" w:rsidRDefault="009975BC" w:rsidP="008238E7">
            <w:pPr>
              <w:pStyle w:val="TableText"/>
              <w:tabs>
                <w:tab w:val="left" w:pos="3306"/>
              </w:tabs>
              <w:spacing w:before="20"/>
              <w:jc w:val="right"/>
              <w:rPr>
                <w:rFonts w:cs="Calibri"/>
              </w:rPr>
            </w:pPr>
          </w:p>
        </w:tc>
        <w:tc>
          <w:tcPr>
            <w:tcW w:w="1396" w:type="dxa"/>
            <w:vAlign w:val="bottom"/>
          </w:tcPr>
          <w:p w14:paraId="5D6B5FF3" w14:textId="77777777" w:rsidR="009975BC" w:rsidRPr="00D12A36" w:rsidRDefault="009975BC" w:rsidP="008238E7">
            <w:pPr>
              <w:pStyle w:val="TableText"/>
              <w:tabs>
                <w:tab w:val="left" w:pos="3306"/>
              </w:tabs>
              <w:spacing w:before="20"/>
              <w:jc w:val="right"/>
              <w:rPr>
                <w:rFonts w:cs="Calibri"/>
              </w:rPr>
            </w:pPr>
          </w:p>
        </w:tc>
      </w:tr>
      <w:tr w:rsidR="00174E73" w:rsidRPr="00CF7E1B" w14:paraId="216C1BEB" w14:textId="77777777" w:rsidTr="00C736E0">
        <w:tc>
          <w:tcPr>
            <w:tcW w:w="1537" w:type="dxa"/>
            <w:tcBorders>
              <w:left w:val="single" w:sz="2" w:space="0" w:color="auto"/>
              <w:right w:val="single" w:sz="2" w:space="0" w:color="auto"/>
            </w:tcBorders>
          </w:tcPr>
          <w:p w14:paraId="4E3CFC04" w14:textId="77777777" w:rsidR="009846EE" w:rsidRPr="008238E7" w:rsidRDefault="009846EE" w:rsidP="008238E7">
            <w:pPr>
              <w:pStyle w:val="TableReference"/>
              <w:tabs>
                <w:tab w:val="left" w:pos="3306"/>
              </w:tabs>
              <w:spacing w:before="40"/>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54</w:t>
            </w:r>
            <w:r w:rsidR="00D001B7" w:rsidRPr="008238E7">
              <w:rPr>
                <w:rFonts w:cs="Calibri"/>
                <w:color w:val="7030A0"/>
                <w:sz w:val="14"/>
              </w:rPr>
              <w:t>(</w:t>
            </w:r>
            <w:r w:rsidRPr="008238E7">
              <w:rPr>
                <w:rFonts w:cs="Calibri"/>
                <w:color w:val="7030A0"/>
                <w:sz w:val="14"/>
              </w:rPr>
              <w:t>h)</w:t>
            </w:r>
          </w:p>
        </w:tc>
        <w:tc>
          <w:tcPr>
            <w:tcW w:w="3296" w:type="dxa"/>
            <w:tcBorders>
              <w:left w:val="single" w:sz="2" w:space="0" w:color="auto"/>
            </w:tcBorders>
            <w:vAlign w:val="bottom"/>
          </w:tcPr>
          <w:p w14:paraId="149CF6E7" w14:textId="77777777" w:rsidR="009846EE" w:rsidRPr="00D12A36" w:rsidRDefault="009846EE" w:rsidP="008238E7">
            <w:pPr>
              <w:pStyle w:val="TableText"/>
              <w:tabs>
                <w:tab w:val="left" w:pos="3306"/>
              </w:tabs>
              <w:spacing w:before="20"/>
              <w:rPr>
                <w:rFonts w:cs="Calibri"/>
                <w:b/>
                <w:bCs/>
              </w:rPr>
            </w:pPr>
            <w:r w:rsidRPr="00D12A36">
              <w:rPr>
                <w:rFonts w:cs="Calibri"/>
              </w:rPr>
              <w:t>Receivables</w:t>
            </w:r>
            <w:r w:rsidR="005C27DD" w:rsidRPr="00D12A36">
              <w:rPr>
                <w:rFonts w:cs="Calibri"/>
              </w:rPr>
              <w:t xml:space="preserve"> </w:t>
            </w:r>
          </w:p>
        </w:tc>
        <w:tc>
          <w:tcPr>
            <w:tcW w:w="1660" w:type="dxa"/>
            <w:vAlign w:val="bottom"/>
          </w:tcPr>
          <w:p w14:paraId="64B8C067" w14:textId="029899AC" w:rsidR="009846EE"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1EBA0A0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621EB95A" w14:textId="77777777" w:rsidR="009846EE" w:rsidRPr="00D12A36" w:rsidRDefault="009846EE" w:rsidP="008238E7">
            <w:pPr>
              <w:pStyle w:val="TableText"/>
              <w:tabs>
                <w:tab w:val="left" w:pos="3306"/>
              </w:tabs>
              <w:spacing w:before="20"/>
              <w:jc w:val="right"/>
              <w:rPr>
                <w:rFonts w:cs="Calibri"/>
              </w:rPr>
            </w:pPr>
          </w:p>
        </w:tc>
        <w:tc>
          <w:tcPr>
            <w:tcW w:w="1396" w:type="dxa"/>
            <w:vAlign w:val="bottom"/>
          </w:tcPr>
          <w:p w14:paraId="4FB9AE9A" w14:textId="77777777" w:rsidR="009846EE" w:rsidRPr="00D12A36" w:rsidRDefault="009846EE" w:rsidP="008238E7">
            <w:pPr>
              <w:pStyle w:val="TableText"/>
              <w:tabs>
                <w:tab w:val="left" w:pos="3306"/>
              </w:tabs>
              <w:spacing w:before="20"/>
              <w:jc w:val="right"/>
              <w:rPr>
                <w:rFonts w:cs="Calibri"/>
              </w:rPr>
            </w:pPr>
          </w:p>
        </w:tc>
      </w:tr>
      <w:tr w:rsidR="004D1F33" w:rsidRPr="007E0503" w14:paraId="42EC36F8" w14:textId="77777777" w:rsidTr="00C736E0">
        <w:tc>
          <w:tcPr>
            <w:tcW w:w="1537" w:type="dxa"/>
            <w:tcBorders>
              <w:left w:val="single" w:sz="2" w:space="0" w:color="auto"/>
              <w:right w:val="single" w:sz="2" w:space="0" w:color="auto"/>
            </w:tcBorders>
          </w:tcPr>
          <w:p w14:paraId="4B77D545" w14:textId="77777777" w:rsidR="004D1F33" w:rsidRPr="00FC2ACA" w:rsidRDefault="004D1F33" w:rsidP="008238E7">
            <w:pPr>
              <w:pStyle w:val="TableReference"/>
              <w:tabs>
                <w:tab w:val="left" w:pos="3306"/>
              </w:tabs>
              <w:spacing w:before="40"/>
              <w:rPr>
                <w:rFonts w:cs="Calibri"/>
                <w:strike/>
                <w:color w:val="FF0000"/>
                <w:sz w:val="14"/>
              </w:rPr>
            </w:pPr>
            <w:r w:rsidRPr="00FC2ACA">
              <w:rPr>
                <w:rFonts w:cs="Calibri"/>
                <w:strike/>
                <w:color w:val="FF0000"/>
                <w:sz w:val="14"/>
              </w:rPr>
              <w:t>AASB 15.105</w:t>
            </w:r>
          </w:p>
        </w:tc>
        <w:tc>
          <w:tcPr>
            <w:tcW w:w="3296" w:type="dxa"/>
            <w:tcBorders>
              <w:left w:val="single" w:sz="2" w:space="0" w:color="auto"/>
            </w:tcBorders>
            <w:vAlign w:val="bottom"/>
          </w:tcPr>
          <w:p w14:paraId="4F3D9C2C" w14:textId="77777777" w:rsidR="004D1F33" w:rsidRPr="00FC2ACA" w:rsidRDefault="004D1F33" w:rsidP="008238E7">
            <w:pPr>
              <w:pStyle w:val="TableText"/>
              <w:tabs>
                <w:tab w:val="left" w:pos="3306"/>
              </w:tabs>
              <w:spacing w:before="20"/>
              <w:rPr>
                <w:rFonts w:cs="Calibri"/>
                <w:strike/>
                <w:color w:val="FF0000"/>
              </w:rPr>
            </w:pPr>
            <w:r w:rsidRPr="00FC2ACA">
              <w:rPr>
                <w:rFonts w:cs="Calibri"/>
                <w:strike/>
                <w:color w:val="FF0000"/>
              </w:rPr>
              <w:t xml:space="preserve">Contract Assets </w:t>
            </w:r>
          </w:p>
        </w:tc>
        <w:tc>
          <w:tcPr>
            <w:tcW w:w="1660" w:type="dxa"/>
            <w:vAlign w:val="bottom"/>
          </w:tcPr>
          <w:p w14:paraId="099D113D" w14:textId="0A4269E3" w:rsidR="004D1F33" w:rsidRPr="00FC2ACA" w:rsidRDefault="003C048F" w:rsidP="008238E7">
            <w:pPr>
              <w:pStyle w:val="TableText"/>
              <w:tabs>
                <w:tab w:val="left" w:pos="3306"/>
              </w:tabs>
              <w:spacing w:before="20"/>
              <w:jc w:val="center"/>
              <w:rPr>
                <w:rFonts w:cs="Calibri"/>
                <w:strike/>
                <w:color w:val="FF0000"/>
              </w:rPr>
            </w:pPr>
            <w:r w:rsidRPr="00FC2ACA">
              <w:rPr>
                <w:rFonts w:cs="Calibri"/>
                <w:strike/>
                <w:color w:val="FF0000"/>
              </w:rPr>
              <w:t>1</w:t>
            </w:r>
            <w:r w:rsidR="00575AE7" w:rsidRPr="00FC2ACA">
              <w:rPr>
                <w:rFonts w:cs="Calibri"/>
                <w:strike/>
                <w:color w:val="FF0000"/>
              </w:rPr>
              <w:t>6</w:t>
            </w:r>
          </w:p>
        </w:tc>
        <w:tc>
          <w:tcPr>
            <w:tcW w:w="1260" w:type="dxa"/>
            <w:shd w:val="clear" w:color="auto" w:fill="auto"/>
            <w:vAlign w:val="bottom"/>
          </w:tcPr>
          <w:p w14:paraId="69AB0F0C" w14:textId="77777777" w:rsidR="004D1F33" w:rsidRPr="00D12A36" w:rsidRDefault="004D1F33" w:rsidP="008238E7">
            <w:pPr>
              <w:pStyle w:val="TableText"/>
              <w:tabs>
                <w:tab w:val="left" w:pos="3306"/>
              </w:tabs>
              <w:spacing w:before="20"/>
              <w:jc w:val="right"/>
              <w:rPr>
                <w:rFonts w:cs="Calibri"/>
              </w:rPr>
            </w:pPr>
          </w:p>
        </w:tc>
        <w:tc>
          <w:tcPr>
            <w:tcW w:w="1395" w:type="dxa"/>
            <w:shd w:val="clear" w:color="auto" w:fill="auto"/>
            <w:vAlign w:val="bottom"/>
          </w:tcPr>
          <w:p w14:paraId="626D40E9" w14:textId="77777777" w:rsidR="004D1F33" w:rsidRPr="00D12A36" w:rsidRDefault="004D1F33" w:rsidP="008238E7">
            <w:pPr>
              <w:pStyle w:val="TableText"/>
              <w:tabs>
                <w:tab w:val="left" w:pos="3306"/>
              </w:tabs>
              <w:spacing w:before="20"/>
              <w:jc w:val="right"/>
              <w:rPr>
                <w:rFonts w:cs="Calibri"/>
              </w:rPr>
            </w:pPr>
          </w:p>
        </w:tc>
        <w:tc>
          <w:tcPr>
            <w:tcW w:w="1396" w:type="dxa"/>
            <w:shd w:val="clear" w:color="auto" w:fill="auto"/>
            <w:vAlign w:val="bottom"/>
          </w:tcPr>
          <w:p w14:paraId="146006A9" w14:textId="77777777" w:rsidR="004D1F33" w:rsidRPr="00D12A36" w:rsidRDefault="004D1F33" w:rsidP="008238E7">
            <w:pPr>
              <w:pStyle w:val="TableText"/>
              <w:tabs>
                <w:tab w:val="left" w:pos="3306"/>
              </w:tabs>
              <w:spacing w:before="20"/>
              <w:jc w:val="right"/>
              <w:rPr>
                <w:rFonts w:cs="Calibri"/>
                <w:highlight w:val="lightGray"/>
              </w:rPr>
            </w:pPr>
          </w:p>
        </w:tc>
      </w:tr>
      <w:tr w:rsidR="004D1F33" w:rsidRPr="007E0503" w14:paraId="1E7BF5CA" w14:textId="77777777" w:rsidTr="00C736E0">
        <w:tc>
          <w:tcPr>
            <w:tcW w:w="1537" w:type="dxa"/>
            <w:tcBorders>
              <w:left w:val="single" w:sz="2" w:space="0" w:color="auto"/>
              <w:right w:val="single" w:sz="2" w:space="0" w:color="auto"/>
            </w:tcBorders>
          </w:tcPr>
          <w:p w14:paraId="7B059D0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101.54(g) </w:t>
            </w:r>
          </w:p>
        </w:tc>
        <w:tc>
          <w:tcPr>
            <w:tcW w:w="3296" w:type="dxa"/>
            <w:tcBorders>
              <w:left w:val="single" w:sz="2" w:space="0" w:color="auto"/>
            </w:tcBorders>
            <w:vAlign w:val="bottom"/>
          </w:tcPr>
          <w:p w14:paraId="216747E8" w14:textId="23916D1C" w:rsidR="004D1F33" w:rsidRPr="00D12A36" w:rsidRDefault="004D1F33" w:rsidP="008238E7">
            <w:pPr>
              <w:pStyle w:val="TableText"/>
              <w:tabs>
                <w:tab w:val="left" w:pos="3306"/>
              </w:tabs>
              <w:spacing w:before="20"/>
              <w:rPr>
                <w:rFonts w:cs="Calibri"/>
                <w:b/>
                <w:bCs/>
              </w:rPr>
            </w:pPr>
            <w:r w:rsidRPr="00D12A36">
              <w:rPr>
                <w:rFonts w:cs="Calibri"/>
              </w:rPr>
              <w:t>Inventories</w:t>
            </w:r>
            <w:r w:rsidR="00575AE7" w:rsidRPr="00D12A36">
              <w:rPr>
                <w:rFonts w:cs="Calibri"/>
              </w:rPr>
              <w:t xml:space="preserve"> </w:t>
            </w:r>
          </w:p>
        </w:tc>
        <w:tc>
          <w:tcPr>
            <w:tcW w:w="1660" w:type="dxa"/>
          </w:tcPr>
          <w:p w14:paraId="123E41B6" w14:textId="5727F948" w:rsidR="004D1F33" w:rsidRPr="00D12A36" w:rsidRDefault="00575AE7"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796B9FF5"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0E466BA"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4545B6A0" w14:textId="77777777" w:rsidR="004D1F33" w:rsidRPr="00D12A36" w:rsidRDefault="004D1F33" w:rsidP="008238E7">
            <w:pPr>
              <w:pStyle w:val="TableText"/>
              <w:tabs>
                <w:tab w:val="left" w:pos="3306"/>
              </w:tabs>
              <w:spacing w:before="20"/>
              <w:jc w:val="right"/>
              <w:rPr>
                <w:rFonts w:cs="Calibri"/>
              </w:rPr>
            </w:pPr>
          </w:p>
        </w:tc>
      </w:tr>
      <w:tr w:rsidR="004D1F33" w:rsidRPr="007E0503" w14:paraId="74F28686" w14:textId="77777777" w:rsidTr="00C736E0">
        <w:tc>
          <w:tcPr>
            <w:tcW w:w="1537" w:type="dxa"/>
            <w:tcBorders>
              <w:left w:val="single" w:sz="2" w:space="0" w:color="auto"/>
              <w:right w:val="single" w:sz="2" w:space="0" w:color="auto"/>
            </w:tcBorders>
          </w:tcPr>
          <w:p w14:paraId="1490FBC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101.54(j)</w:t>
            </w:r>
          </w:p>
        </w:tc>
        <w:tc>
          <w:tcPr>
            <w:tcW w:w="3296" w:type="dxa"/>
            <w:tcBorders>
              <w:left w:val="single" w:sz="2" w:space="0" w:color="auto"/>
            </w:tcBorders>
            <w:vAlign w:val="bottom"/>
          </w:tcPr>
          <w:p w14:paraId="1918FB3C" w14:textId="77777777" w:rsidR="004D1F33" w:rsidRPr="00D12A36" w:rsidRDefault="008410E3" w:rsidP="008238E7">
            <w:pPr>
              <w:pStyle w:val="TableText"/>
              <w:tabs>
                <w:tab w:val="left" w:pos="3306"/>
              </w:tabs>
              <w:spacing w:before="20"/>
              <w:rPr>
                <w:rFonts w:cs="Calibri"/>
              </w:rPr>
            </w:pPr>
            <w:r w:rsidRPr="00D12A36">
              <w:rPr>
                <w:rFonts w:cs="Calibri"/>
              </w:rPr>
              <w:t xml:space="preserve">Non-Current </w:t>
            </w:r>
            <w:r w:rsidR="004D1F33" w:rsidRPr="00D12A36">
              <w:rPr>
                <w:rFonts w:cs="Calibri"/>
              </w:rPr>
              <w:t xml:space="preserve">Assets Held for </w:t>
            </w:r>
            <w:smartTag w:uri="urn:schemas-microsoft-com:office:smarttags" w:element="place">
              <w:smartTag w:uri="urn:schemas-microsoft-com:office:smarttags" w:element="City">
                <w:r w:rsidR="004D1F33" w:rsidRPr="00D12A36">
                  <w:rPr>
                    <w:rFonts w:cs="Calibri"/>
                  </w:rPr>
                  <w:t>Sale</w:t>
                </w:r>
              </w:smartTag>
            </w:smartTag>
          </w:p>
        </w:tc>
        <w:tc>
          <w:tcPr>
            <w:tcW w:w="1660" w:type="dxa"/>
            <w:vAlign w:val="bottom"/>
          </w:tcPr>
          <w:p w14:paraId="6E6AE7C3" w14:textId="2F5D875A" w:rsidR="004D1F33" w:rsidRPr="00D12A36" w:rsidRDefault="00575AE7" w:rsidP="008238E7">
            <w:pPr>
              <w:pStyle w:val="TableText"/>
              <w:tabs>
                <w:tab w:val="left" w:pos="3306"/>
              </w:tabs>
              <w:spacing w:before="20"/>
              <w:jc w:val="center"/>
              <w:rPr>
                <w:rFonts w:cs="Calibri"/>
              </w:rPr>
            </w:pPr>
            <w:r w:rsidRPr="00D12A36">
              <w:rPr>
                <w:rFonts w:cs="Calibri"/>
              </w:rPr>
              <w:t>18</w:t>
            </w:r>
          </w:p>
        </w:tc>
        <w:tc>
          <w:tcPr>
            <w:tcW w:w="1260" w:type="dxa"/>
            <w:vAlign w:val="bottom"/>
          </w:tcPr>
          <w:p w14:paraId="164A222C"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50DAF0D"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690160FC" w14:textId="77777777" w:rsidR="004D1F33" w:rsidRPr="00D12A36" w:rsidRDefault="004D1F33" w:rsidP="008238E7">
            <w:pPr>
              <w:pStyle w:val="TableText"/>
              <w:tabs>
                <w:tab w:val="left" w:pos="3306"/>
              </w:tabs>
              <w:spacing w:before="20"/>
              <w:jc w:val="right"/>
              <w:rPr>
                <w:rFonts w:cs="Calibri"/>
              </w:rPr>
            </w:pPr>
          </w:p>
        </w:tc>
      </w:tr>
      <w:tr w:rsidR="004D1F33" w:rsidRPr="007E0503" w14:paraId="187E6C26" w14:textId="77777777" w:rsidTr="00C736E0">
        <w:tc>
          <w:tcPr>
            <w:tcW w:w="1537" w:type="dxa"/>
            <w:tcBorders>
              <w:left w:val="single" w:sz="2" w:space="0" w:color="auto"/>
              <w:right w:val="single" w:sz="2" w:space="0" w:color="auto"/>
            </w:tcBorders>
          </w:tcPr>
          <w:p w14:paraId="171FC0DD"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8368D44" w14:textId="77777777" w:rsidR="004D1F33" w:rsidRPr="00D12A36" w:rsidRDefault="004D1F33"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1FD63F46" w14:textId="4E4967B7" w:rsidR="004D1F33" w:rsidRPr="00D12A36" w:rsidRDefault="00575AE7" w:rsidP="008238E7">
            <w:pPr>
              <w:pStyle w:val="TableText"/>
              <w:tabs>
                <w:tab w:val="left" w:pos="3306"/>
              </w:tabs>
              <w:spacing w:before="20"/>
              <w:jc w:val="center"/>
              <w:rPr>
                <w:rFonts w:cs="Calibri"/>
              </w:rPr>
            </w:pPr>
            <w:r w:rsidRPr="00D12A36">
              <w:rPr>
                <w:rFonts w:cs="Calibri"/>
              </w:rPr>
              <w:t>23</w:t>
            </w:r>
          </w:p>
        </w:tc>
        <w:tc>
          <w:tcPr>
            <w:tcW w:w="1260" w:type="dxa"/>
            <w:tcBorders>
              <w:bottom w:val="single" w:sz="2" w:space="0" w:color="auto"/>
            </w:tcBorders>
            <w:vAlign w:val="bottom"/>
          </w:tcPr>
          <w:p w14:paraId="79462489" w14:textId="77777777" w:rsidR="004D1F33" w:rsidRPr="00D12A36" w:rsidRDefault="004D1F33"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12F4A03F" w14:textId="77777777" w:rsidR="004D1F33" w:rsidRPr="00D12A36" w:rsidRDefault="004D1F33"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4DB449C2" w14:textId="77777777" w:rsidR="004D1F33" w:rsidRPr="00D12A36" w:rsidRDefault="004D1F33" w:rsidP="008238E7">
            <w:pPr>
              <w:pStyle w:val="TableText"/>
              <w:tabs>
                <w:tab w:val="left" w:pos="3306"/>
              </w:tabs>
              <w:spacing w:before="20"/>
              <w:jc w:val="right"/>
              <w:rPr>
                <w:rFonts w:cs="Calibri"/>
              </w:rPr>
            </w:pPr>
          </w:p>
        </w:tc>
      </w:tr>
      <w:tr w:rsidR="004D1F33" w:rsidRPr="007E0503" w14:paraId="478DDC5B" w14:textId="77777777" w:rsidTr="00C736E0">
        <w:tc>
          <w:tcPr>
            <w:tcW w:w="1537" w:type="dxa"/>
            <w:tcBorders>
              <w:left w:val="single" w:sz="2" w:space="0" w:color="auto"/>
              <w:right w:val="single" w:sz="2" w:space="0" w:color="auto"/>
            </w:tcBorders>
          </w:tcPr>
          <w:p w14:paraId="4507AB05" w14:textId="77777777" w:rsidR="004D1F33" w:rsidRPr="008238E7" w:rsidRDefault="004D1F33" w:rsidP="004D1F33">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238C804" w14:textId="77777777" w:rsidR="004D1F33" w:rsidRPr="00D12A36" w:rsidRDefault="004D1F33" w:rsidP="004D1F33">
            <w:pPr>
              <w:pStyle w:val="TableText"/>
              <w:tabs>
                <w:tab w:val="left" w:pos="3306"/>
              </w:tabs>
              <w:rPr>
                <w:rFonts w:cs="Calibri"/>
                <w:b/>
                <w:bCs/>
              </w:rPr>
            </w:pPr>
            <w:bookmarkStart w:id="161" w:name="_Toc48468217"/>
            <w:bookmarkStart w:id="162" w:name="_Toc49155409"/>
            <w:bookmarkStart w:id="163" w:name="_Toc49223857"/>
            <w:r w:rsidRPr="00D12A36">
              <w:rPr>
                <w:rFonts w:cs="Calibri"/>
                <w:b/>
                <w:bCs/>
              </w:rPr>
              <w:t>Total Current Assets</w:t>
            </w:r>
            <w:bookmarkEnd w:id="161"/>
            <w:bookmarkEnd w:id="162"/>
            <w:bookmarkEnd w:id="163"/>
            <w:r w:rsidRPr="00D12A36">
              <w:rPr>
                <w:rFonts w:cs="Calibri"/>
                <w:b/>
                <w:bCs/>
              </w:rPr>
              <w:t xml:space="preserve"> </w:t>
            </w:r>
          </w:p>
        </w:tc>
        <w:tc>
          <w:tcPr>
            <w:tcW w:w="1660" w:type="dxa"/>
            <w:vAlign w:val="bottom"/>
          </w:tcPr>
          <w:p w14:paraId="675E1C30" w14:textId="77777777" w:rsidR="004D1F33" w:rsidRPr="00D12A36" w:rsidRDefault="004D1F33" w:rsidP="004D1F33">
            <w:pPr>
              <w:pStyle w:val="TableText"/>
              <w:tabs>
                <w:tab w:val="left" w:pos="3306"/>
              </w:tabs>
              <w:jc w:val="center"/>
              <w:rPr>
                <w:rFonts w:cs="Calibri"/>
                <w:b/>
                <w:bCs/>
              </w:rPr>
            </w:pPr>
          </w:p>
        </w:tc>
        <w:tc>
          <w:tcPr>
            <w:tcW w:w="1260" w:type="dxa"/>
            <w:tcBorders>
              <w:top w:val="single" w:sz="2" w:space="0" w:color="auto"/>
            </w:tcBorders>
            <w:vAlign w:val="bottom"/>
          </w:tcPr>
          <w:p w14:paraId="206C5C5E" w14:textId="77777777" w:rsidR="004D1F33" w:rsidRPr="00D12A36" w:rsidRDefault="004D1F33" w:rsidP="004D1F33">
            <w:pPr>
              <w:pStyle w:val="TableText"/>
              <w:tabs>
                <w:tab w:val="left" w:pos="3306"/>
              </w:tabs>
              <w:jc w:val="right"/>
              <w:rPr>
                <w:rFonts w:cs="Calibri"/>
                <w:b/>
                <w:bCs/>
                <w:strike/>
              </w:rPr>
            </w:pPr>
          </w:p>
        </w:tc>
        <w:tc>
          <w:tcPr>
            <w:tcW w:w="1395" w:type="dxa"/>
            <w:tcBorders>
              <w:top w:val="single" w:sz="2" w:space="0" w:color="auto"/>
            </w:tcBorders>
            <w:vAlign w:val="bottom"/>
          </w:tcPr>
          <w:p w14:paraId="78205072" w14:textId="77777777" w:rsidR="004D1F33" w:rsidRPr="00D12A36" w:rsidRDefault="004D1F33" w:rsidP="004D1F33">
            <w:pPr>
              <w:pStyle w:val="TableText"/>
              <w:tabs>
                <w:tab w:val="left" w:pos="3306"/>
              </w:tabs>
              <w:jc w:val="right"/>
              <w:rPr>
                <w:rFonts w:cs="Calibri"/>
                <w:b/>
                <w:bCs/>
              </w:rPr>
            </w:pPr>
          </w:p>
        </w:tc>
        <w:tc>
          <w:tcPr>
            <w:tcW w:w="1396" w:type="dxa"/>
            <w:tcBorders>
              <w:top w:val="single" w:sz="2" w:space="0" w:color="auto"/>
            </w:tcBorders>
            <w:vAlign w:val="bottom"/>
          </w:tcPr>
          <w:p w14:paraId="0ABB1E80" w14:textId="77777777" w:rsidR="004D1F33" w:rsidRPr="00D12A36" w:rsidRDefault="004D1F33" w:rsidP="004D1F33">
            <w:pPr>
              <w:pStyle w:val="TableText"/>
              <w:tabs>
                <w:tab w:val="left" w:pos="3306"/>
              </w:tabs>
              <w:jc w:val="right"/>
              <w:rPr>
                <w:rFonts w:cs="Calibri"/>
                <w:b/>
                <w:bCs/>
              </w:rPr>
            </w:pPr>
          </w:p>
        </w:tc>
      </w:tr>
      <w:tr w:rsidR="004D1F33" w:rsidRPr="007E0503" w14:paraId="40EF75FF" w14:textId="77777777" w:rsidTr="00C736E0">
        <w:tc>
          <w:tcPr>
            <w:tcW w:w="1537" w:type="dxa"/>
            <w:tcBorders>
              <w:left w:val="single" w:sz="2" w:space="0" w:color="auto"/>
              <w:right w:val="single" w:sz="2" w:space="0" w:color="auto"/>
            </w:tcBorders>
          </w:tcPr>
          <w:p w14:paraId="284B7051" w14:textId="77777777" w:rsidR="004D1F33" w:rsidRPr="008238E7" w:rsidRDefault="004D1F33" w:rsidP="004D1F33">
            <w:pPr>
              <w:pStyle w:val="TableReference"/>
              <w:tabs>
                <w:tab w:val="left" w:pos="3306"/>
              </w:tabs>
              <w:spacing w:before="4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7120A46C" w14:textId="77777777" w:rsidR="004D1F33" w:rsidRPr="00D12A36" w:rsidRDefault="004D1F33" w:rsidP="004D1F33">
            <w:pPr>
              <w:pStyle w:val="TableText"/>
              <w:tabs>
                <w:tab w:val="left" w:pos="3306"/>
              </w:tabs>
              <w:rPr>
                <w:rFonts w:cs="Calibri"/>
                <w:b/>
                <w:bCs/>
              </w:rPr>
            </w:pPr>
            <w:bookmarkStart w:id="164" w:name="_Toc48468218"/>
            <w:bookmarkStart w:id="165" w:name="_Toc49155410"/>
            <w:bookmarkStart w:id="166" w:name="_Toc49223858"/>
            <w:r w:rsidRPr="00D12A36">
              <w:rPr>
                <w:rFonts w:cs="Calibri"/>
                <w:b/>
                <w:bCs/>
              </w:rPr>
              <w:t>Non-Current Assets</w:t>
            </w:r>
            <w:bookmarkEnd w:id="164"/>
            <w:bookmarkEnd w:id="165"/>
            <w:bookmarkEnd w:id="166"/>
          </w:p>
        </w:tc>
        <w:tc>
          <w:tcPr>
            <w:tcW w:w="1660" w:type="dxa"/>
            <w:vAlign w:val="bottom"/>
          </w:tcPr>
          <w:p w14:paraId="0C50AAA4" w14:textId="77777777" w:rsidR="004D1F33" w:rsidRPr="00D12A36" w:rsidRDefault="004D1F33" w:rsidP="004D1F33">
            <w:pPr>
              <w:pStyle w:val="TableText"/>
              <w:tabs>
                <w:tab w:val="left" w:pos="3306"/>
              </w:tabs>
              <w:jc w:val="center"/>
              <w:rPr>
                <w:rFonts w:cs="Calibri"/>
                <w:b/>
                <w:bCs/>
              </w:rPr>
            </w:pPr>
          </w:p>
        </w:tc>
        <w:tc>
          <w:tcPr>
            <w:tcW w:w="1260" w:type="dxa"/>
            <w:vAlign w:val="bottom"/>
          </w:tcPr>
          <w:p w14:paraId="0DAEFC2B" w14:textId="77777777" w:rsidR="004D1F33" w:rsidRPr="00D12A36" w:rsidRDefault="004D1F33" w:rsidP="004D1F33">
            <w:pPr>
              <w:pStyle w:val="TableText"/>
              <w:tabs>
                <w:tab w:val="left" w:pos="3306"/>
              </w:tabs>
              <w:jc w:val="right"/>
              <w:rPr>
                <w:rFonts w:cs="Calibri"/>
                <w:b/>
                <w:bCs/>
              </w:rPr>
            </w:pPr>
          </w:p>
        </w:tc>
        <w:tc>
          <w:tcPr>
            <w:tcW w:w="1395" w:type="dxa"/>
            <w:vAlign w:val="bottom"/>
          </w:tcPr>
          <w:p w14:paraId="0D0CC601" w14:textId="77777777" w:rsidR="004D1F33" w:rsidRPr="00D12A36" w:rsidRDefault="004D1F33" w:rsidP="004D1F33">
            <w:pPr>
              <w:pStyle w:val="TableText"/>
              <w:tabs>
                <w:tab w:val="left" w:pos="3306"/>
              </w:tabs>
              <w:jc w:val="right"/>
              <w:rPr>
                <w:rFonts w:cs="Calibri"/>
                <w:b/>
                <w:bCs/>
              </w:rPr>
            </w:pPr>
          </w:p>
        </w:tc>
        <w:tc>
          <w:tcPr>
            <w:tcW w:w="1396" w:type="dxa"/>
            <w:vAlign w:val="bottom"/>
          </w:tcPr>
          <w:p w14:paraId="3E14D9AC" w14:textId="77777777" w:rsidR="004D1F33" w:rsidRPr="00D12A36" w:rsidRDefault="004D1F33" w:rsidP="004D1F33">
            <w:pPr>
              <w:pStyle w:val="TableText"/>
              <w:tabs>
                <w:tab w:val="left" w:pos="3306"/>
              </w:tabs>
              <w:jc w:val="right"/>
              <w:rPr>
                <w:rFonts w:cs="Calibri"/>
                <w:b/>
                <w:bCs/>
              </w:rPr>
            </w:pPr>
          </w:p>
        </w:tc>
      </w:tr>
      <w:tr w:rsidR="002C049C" w:rsidRPr="007E0503" w14:paraId="7C2154FA" w14:textId="77777777" w:rsidTr="00C736E0">
        <w:tc>
          <w:tcPr>
            <w:tcW w:w="1537" w:type="dxa"/>
            <w:tcBorders>
              <w:left w:val="single" w:sz="2" w:space="0" w:color="auto"/>
              <w:right w:val="single" w:sz="2" w:space="0" w:color="auto"/>
            </w:tcBorders>
          </w:tcPr>
          <w:p w14:paraId="73472561" w14:textId="77777777" w:rsidR="002C049C" w:rsidRPr="008238E7" w:rsidRDefault="002C049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0B71E889" w14:textId="13B759D3" w:rsidR="002C049C" w:rsidRPr="0016541E" w:rsidRDefault="002C049C" w:rsidP="008238E7">
            <w:pPr>
              <w:pStyle w:val="TableText"/>
              <w:tabs>
                <w:tab w:val="left" w:pos="3306"/>
              </w:tabs>
              <w:spacing w:before="20"/>
              <w:rPr>
                <w:rFonts w:cs="Calibri"/>
                <w:b/>
                <w:bCs/>
              </w:rPr>
            </w:pPr>
            <w:r w:rsidRPr="00B73007">
              <w:rPr>
                <w:rFonts w:cs="Calibri"/>
              </w:rPr>
              <w:t>Investments</w:t>
            </w:r>
            <w:r w:rsidRPr="0016541E">
              <w:rPr>
                <w:rFonts w:cs="Calibri"/>
              </w:rPr>
              <w:t xml:space="preserve"> </w:t>
            </w:r>
          </w:p>
        </w:tc>
        <w:tc>
          <w:tcPr>
            <w:tcW w:w="1660" w:type="dxa"/>
            <w:vAlign w:val="bottom"/>
          </w:tcPr>
          <w:p w14:paraId="2BF291A2" w14:textId="66DCD65B" w:rsidR="002C049C" w:rsidRPr="00D12A36" w:rsidRDefault="008238E7" w:rsidP="008238E7">
            <w:pPr>
              <w:pStyle w:val="TableText"/>
              <w:tabs>
                <w:tab w:val="left" w:pos="3306"/>
              </w:tabs>
              <w:spacing w:before="20"/>
              <w:jc w:val="center"/>
              <w:rPr>
                <w:rFonts w:cs="Calibri"/>
              </w:rPr>
            </w:pPr>
            <w:r w:rsidRPr="00D12A36">
              <w:rPr>
                <w:rFonts w:cs="Calibri"/>
              </w:rPr>
              <w:t>15</w:t>
            </w:r>
          </w:p>
        </w:tc>
        <w:tc>
          <w:tcPr>
            <w:tcW w:w="1260" w:type="dxa"/>
            <w:vAlign w:val="bottom"/>
          </w:tcPr>
          <w:p w14:paraId="13C9C0BB" w14:textId="77777777" w:rsidR="002C049C" w:rsidRPr="00D12A36" w:rsidRDefault="002C049C" w:rsidP="008238E7">
            <w:pPr>
              <w:pStyle w:val="TableText"/>
              <w:tabs>
                <w:tab w:val="left" w:pos="3306"/>
              </w:tabs>
              <w:spacing w:before="20"/>
              <w:jc w:val="right"/>
              <w:rPr>
                <w:rFonts w:cs="Calibri"/>
              </w:rPr>
            </w:pPr>
          </w:p>
        </w:tc>
        <w:tc>
          <w:tcPr>
            <w:tcW w:w="1395" w:type="dxa"/>
            <w:vAlign w:val="bottom"/>
          </w:tcPr>
          <w:p w14:paraId="3DF38759" w14:textId="77777777" w:rsidR="002C049C" w:rsidRPr="00D12A36" w:rsidRDefault="002C049C" w:rsidP="008238E7">
            <w:pPr>
              <w:pStyle w:val="TableText"/>
              <w:tabs>
                <w:tab w:val="left" w:pos="3306"/>
              </w:tabs>
              <w:spacing w:before="20"/>
              <w:jc w:val="right"/>
              <w:rPr>
                <w:rFonts w:cs="Calibri"/>
              </w:rPr>
            </w:pPr>
          </w:p>
        </w:tc>
        <w:tc>
          <w:tcPr>
            <w:tcW w:w="1396" w:type="dxa"/>
            <w:vAlign w:val="bottom"/>
          </w:tcPr>
          <w:p w14:paraId="429C2AC3" w14:textId="77777777" w:rsidR="002C049C" w:rsidRPr="00D12A36" w:rsidRDefault="002C049C" w:rsidP="008238E7">
            <w:pPr>
              <w:pStyle w:val="TableText"/>
              <w:tabs>
                <w:tab w:val="left" w:pos="3306"/>
              </w:tabs>
              <w:spacing w:before="20"/>
              <w:jc w:val="right"/>
              <w:rPr>
                <w:rFonts w:cs="Calibri"/>
              </w:rPr>
            </w:pPr>
          </w:p>
        </w:tc>
      </w:tr>
      <w:tr w:rsidR="004D1F33" w:rsidRPr="007E0503" w14:paraId="2AD67E86" w14:textId="77777777" w:rsidTr="00C736E0">
        <w:trPr>
          <w:trHeight w:val="123"/>
        </w:trPr>
        <w:tc>
          <w:tcPr>
            <w:tcW w:w="1537" w:type="dxa"/>
            <w:tcBorders>
              <w:left w:val="single" w:sz="2" w:space="0" w:color="auto"/>
              <w:right w:val="single" w:sz="2" w:space="0" w:color="auto"/>
            </w:tcBorders>
          </w:tcPr>
          <w:p w14:paraId="3D8EA1A9"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101.54(h) </w:t>
            </w:r>
          </w:p>
        </w:tc>
        <w:tc>
          <w:tcPr>
            <w:tcW w:w="3296" w:type="dxa"/>
            <w:tcBorders>
              <w:left w:val="single" w:sz="2" w:space="0" w:color="auto"/>
            </w:tcBorders>
            <w:vAlign w:val="bottom"/>
          </w:tcPr>
          <w:p w14:paraId="23DCAB0F" w14:textId="77777777" w:rsidR="004D1F33" w:rsidRPr="00D12A36" w:rsidRDefault="004D1F33" w:rsidP="008238E7">
            <w:pPr>
              <w:pStyle w:val="TableText"/>
              <w:tabs>
                <w:tab w:val="left" w:pos="3306"/>
              </w:tabs>
              <w:spacing w:before="20"/>
              <w:rPr>
                <w:rFonts w:cs="Calibri"/>
                <w:b/>
                <w:bCs/>
              </w:rPr>
            </w:pPr>
            <w:r w:rsidRPr="00D12A36">
              <w:rPr>
                <w:rFonts w:cs="Calibri"/>
              </w:rPr>
              <w:t xml:space="preserve">Receivables </w:t>
            </w:r>
          </w:p>
        </w:tc>
        <w:tc>
          <w:tcPr>
            <w:tcW w:w="1660" w:type="dxa"/>
            <w:vAlign w:val="bottom"/>
          </w:tcPr>
          <w:p w14:paraId="639B300B" w14:textId="744FCE05" w:rsidR="004D1F33"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538F0EC8" w14:textId="77777777" w:rsidR="004D1F33" w:rsidRPr="00D12A36" w:rsidRDefault="004D1F33" w:rsidP="008238E7">
            <w:pPr>
              <w:pStyle w:val="TableText"/>
              <w:tabs>
                <w:tab w:val="left" w:pos="3306"/>
              </w:tabs>
              <w:spacing w:before="20"/>
              <w:jc w:val="right"/>
              <w:rPr>
                <w:rFonts w:cs="Calibri"/>
                <w:strike/>
              </w:rPr>
            </w:pPr>
          </w:p>
        </w:tc>
        <w:tc>
          <w:tcPr>
            <w:tcW w:w="1395" w:type="dxa"/>
            <w:vAlign w:val="bottom"/>
          </w:tcPr>
          <w:p w14:paraId="3236E101"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7E62AEBD" w14:textId="77777777" w:rsidR="004D1F33" w:rsidRPr="00D12A36" w:rsidRDefault="004D1F33" w:rsidP="008238E7">
            <w:pPr>
              <w:pStyle w:val="TableText"/>
              <w:tabs>
                <w:tab w:val="left" w:pos="3306"/>
              </w:tabs>
              <w:spacing w:before="20"/>
              <w:jc w:val="right"/>
              <w:rPr>
                <w:rFonts w:cs="Calibri"/>
              </w:rPr>
            </w:pPr>
          </w:p>
        </w:tc>
      </w:tr>
      <w:tr w:rsidR="004D1F33" w:rsidRPr="007E0503" w14:paraId="42CB7A29" w14:textId="77777777" w:rsidTr="00C736E0">
        <w:tc>
          <w:tcPr>
            <w:tcW w:w="1537" w:type="dxa"/>
            <w:tcBorders>
              <w:left w:val="single" w:sz="2" w:space="0" w:color="auto"/>
              <w:right w:val="single" w:sz="2" w:space="0" w:color="auto"/>
            </w:tcBorders>
          </w:tcPr>
          <w:p w14:paraId="56246284" w14:textId="77777777" w:rsidR="004D1F33" w:rsidRPr="00FC2ACA" w:rsidRDefault="004D1F33" w:rsidP="008238E7">
            <w:pPr>
              <w:pStyle w:val="TableReference"/>
              <w:tabs>
                <w:tab w:val="left" w:pos="3306"/>
              </w:tabs>
              <w:spacing w:before="40"/>
              <w:rPr>
                <w:rFonts w:cs="Calibri"/>
                <w:strike/>
                <w:color w:val="FF0000"/>
                <w:sz w:val="14"/>
              </w:rPr>
            </w:pPr>
            <w:r w:rsidRPr="00FC2ACA">
              <w:rPr>
                <w:rFonts w:cs="Calibri"/>
                <w:strike/>
                <w:color w:val="FF0000"/>
                <w:sz w:val="14"/>
              </w:rPr>
              <w:t>AASB 15.105</w:t>
            </w:r>
          </w:p>
        </w:tc>
        <w:tc>
          <w:tcPr>
            <w:tcW w:w="3296" w:type="dxa"/>
            <w:tcBorders>
              <w:left w:val="single" w:sz="2" w:space="0" w:color="auto"/>
            </w:tcBorders>
            <w:vAlign w:val="bottom"/>
          </w:tcPr>
          <w:p w14:paraId="4CE4490E" w14:textId="77777777" w:rsidR="004D1F33" w:rsidRPr="00FC2ACA" w:rsidRDefault="004D1F33" w:rsidP="008238E7">
            <w:pPr>
              <w:pStyle w:val="TableText"/>
              <w:tabs>
                <w:tab w:val="left" w:pos="3306"/>
              </w:tabs>
              <w:spacing w:before="20"/>
              <w:rPr>
                <w:rFonts w:cs="Calibri"/>
                <w:strike/>
                <w:color w:val="FF0000"/>
              </w:rPr>
            </w:pPr>
            <w:r w:rsidRPr="00FC2ACA">
              <w:rPr>
                <w:rFonts w:cs="Calibri"/>
                <w:strike/>
                <w:color w:val="FF0000"/>
              </w:rPr>
              <w:t xml:space="preserve">Contract Assets </w:t>
            </w:r>
          </w:p>
        </w:tc>
        <w:tc>
          <w:tcPr>
            <w:tcW w:w="1660" w:type="dxa"/>
            <w:vAlign w:val="bottom"/>
          </w:tcPr>
          <w:p w14:paraId="6CD37586" w14:textId="670C296D" w:rsidR="004D1F33" w:rsidRPr="00FC2ACA" w:rsidRDefault="009453E4" w:rsidP="008238E7">
            <w:pPr>
              <w:pStyle w:val="TableText"/>
              <w:tabs>
                <w:tab w:val="left" w:pos="3306"/>
              </w:tabs>
              <w:spacing w:before="20"/>
              <w:jc w:val="center"/>
              <w:rPr>
                <w:rFonts w:cs="Calibri"/>
                <w:strike/>
                <w:color w:val="FF0000"/>
              </w:rPr>
            </w:pPr>
            <w:r w:rsidRPr="00FC2ACA">
              <w:rPr>
                <w:rFonts w:cs="Calibri"/>
                <w:strike/>
                <w:color w:val="FF0000"/>
              </w:rPr>
              <w:t>1</w:t>
            </w:r>
            <w:r w:rsidR="00575AE7" w:rsidRPr="00FC2ACA">
              <w:rPr>
                <w:rFonts w:cs="Calibri"/>
                <w:strike/>
                <w:color w:val="FF0000"/>
              </w:rPr>
              <w:t>6</w:t>
            </w:r>
          </w:p>
        </w:tc>
        <w:tc>
          <w:tcPr>
            <w:tcW w:w="1260" w:type="dxa"/>
            <w:shd w:val="clear" w:color="auto" w:fill="auto"/>
            <w:vAlign w:val="bottom"/>
          </w:tcPr>
          <w:p w14:paraId="075094E9" w14:textId="77777777" w:rsidR="004D1F33" w:rsidRPr="00D12A36" w:rsidRDefault="004D1F33" w:rsidP="008238E7">
            <w:pPr>
              <w:pStyle w:val="TableText"/>
              <w:tabs>
                <w:tab w:val="left" w:pos="3306"/>
              </w:tabs>
              <w:spacing w:before="20"/>
              <w:jc w:val="right"/>
              <w:rPr>
                <w:rFonts w:cs="Calibri"/>
                <w:highlight w:val="lightGray"/>
              </w:rPr>
            </w:pPr>
          </w:p>
        </w:tc>
        <w:tc>
          <w:tcPr>
            <w:tcW w:w="1395" w:type="dxa"/>
            <w:shd w:val="clear" w:color="auto" w:fill="auto"/>
            <w:vAlign w:val="bottom"/>
          </w:tcPr>
          <w:p w14:paraId="396D729B" w14:textId="77777777" w:rsidR="004D1F33" w:rsidRPr="00D12A36" w:rsidRDefault="004D1F33" w:rsidP="008238E7">
            <w:pPr>
              <w:pStyle w:val="TableText"/>
              <w:tabs>
                <w:tab w:val="left" w:pos="3306"/>
              </w:tabs>
              <w:spacing w:before="20"/>
              <w:jc w:val="right"/>
              <w:rPr>
                <w:rFonts w:cs="Calibri"/>
                <w:highlight w:val="lightGray"/>
              </w:rPr>
            </w:pPr>
          </w:p>
        </w:tc>
        <w:tc>
          <w:tcPr>
            <w:tcW w:w="1396" w:type="dxa"/>
            <w:shd w:val="clear" w:color="auto" w:fill="auto"/>
            <w:vAlign w:val="bottom"/>
          </w:tcPr>
          <w:p w14:paraId="36D2747C" w14:textId="77777777" w:rsidR="004D1F33" w:rsidRPr="00D12A36" w:rsidRDefault="004D1F33" w:rsidP="008238E7">
            <w:pPr>
              <w:pStyle w:val="TableText"/>
              <w:tabs>
                <w:tab w:val="left" w:pos="3306"/>
              </w:tabs>
              <w:spacing w:before="20"/>
              <w:jc w:val="right"/>
              <w:rPr>
                <w:rFonts w:cs="Calibri"/>
              </w:rPr>
            </w:pPr>
          </w:p>
        </w:tc>
      </w:tr>
      <w:tr w:rsidR="006B5DF1" w:rsidRPr="007E0503" w14:paraId="707D6D63" w14:textId="77777777" w:rsidTr="00C736E0">
        <w:tc>
          <w:tcPr>
            <w:tcW w:w="1537" w:type="dxa"/>
            <w:tcBorders>
              <w:left w:val="single" w:sz="2" w:space="0" w:color="auto"/>
              <w:right w:val="single" w:sz="2" w:space="0" w:color="auto"/>
            </w:tcBorders>
          </w:tcPr>
          <w:p w14:paraId="01DBB916" w14:textId="38C06C54"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101.54(g)</w:t>
            </w:r>
          </w:p>
        </w:tc>
        <w:tc>
          <w:tcPr>
            <w:tcW w:w="3296" w:type="dxa"/>
            <w:tcBorders>
              <w:left w:val="single" w:sz="2" w:space="0" w:color="auto"/>
            </w:tcBorders>
            <w:vAlign w:val="bottom"/>
          </w:tcPr>
          <w:p w14:paraId="6558215C" w14:textId="72997B6C" w:rsidR="006B5DF1" w:rsidRPr="00D12A36" w:rsidRDefault="006B5DF1" w:rsidP="008238E7">
            <w:pPr>
              <w:pStyle w:val="TableText"/>
              <w:tabs>
                <w:tab w:val="left" w:pos="3306"/>
              </w:tabs>
              <w:spacing w:before="20"/>
              <w:rPr>
                <w:rFonts w:cs="Calibri"/>
              </w:rPr>
            </w:pPr>
            <w:r w:rsidRPr="00D12A36">
              <w:rPr>
                <w:rFonts w:cs="Calibri"/>
              </w:rPr>
              <w:t xml:space="preserve">Inventories </w:t>
            </w:r>
          </w:p>
        </w:tc>
        <w:tc>
          <w:tcPr>
            <w:tcW w:w="1660" w:type="dxa"/>
            <w:vAlign w:val="bottom"/>
          </w:tcPr>
          <w:p w14:paraId="0104B240" w14:textId="3EF434D6" w:rsidR="006B5DF1" w:rsidRPr="00D12A36" w:rsidRDefault="006B5DF1"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2C36F3FA"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33A9689"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9ADED83" w14:textId="77777777" w:rsidR="006B5DF1" w:rsidRPr="00D12A36" w:rsidRDefault="006B5DF1" w:rsidP="008238E7">
            <w:pPr>
              <w:pStyle w:val="TableText"/>
              <w:tabs>
                <w:tab w:val="left" w:pos="3306"/>
              </w:tabs>
              <w:spacing w:before="20"/>
              <w:jc w:val="right"/>
              <w:rPr>
                <w:rFonts w:cs="Calibri"/>
              </w:rPr>
            </w:pPr>
          </w:p>
        </w:tc>
      </w:tr>
      <w:tr w:rsidR="006B5DF1" w:rsidRPr="007E0503" w14:paraId="37DAFECF" w14:textId="77777777" w:rsidTr="00C736E0">
        <w:tc>
          <w:tcPr>
            <w:tcW w:w="1537" w:type="dxa"/>
            <w:tcBorders>
              <w:left w:val="single" w:sz="2" w:space="0" w:color="auto"/>
              <w:right w:val="single" w:sz="2" w:space="0" w:color="auto"/>
            </w:tcBorders>
          </w:tcPr>
          <w:p w14:paraId="131A4AD1"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101.54(e)</w:t>
            </w:r>
          </w:p>
        </w:tc>
        <w:tc>
          <w:tcPr>
            <w:tcW w:w="3296" w:type="dxa"/>
            <w:tcBorders>
              <w:left w:val="single" w:sz="2" w:space="0" w:color="auto"/>
            </w:tcBorders>
            <w:vAlign w:val="bottom"/>
          </w:tcPr>
          <w:p w14:paraId="72B4F82F" w14:textId="77777777" w:rsidR="006B5DF1" w:rsidRPr="00D12A36" w:rsidRDefault="006B5DF1" w:rsidP="008238E7">
            <w:pPr>
              <w:pStyle w:val="TableText"/>
              <w:tabs>
                <w:tab w:val="left" w:pos="3306"/>
              </w:tabs>
              <w:spacing w:before="20"/>
              <w:rPr>
                <w:rFonts w:cs="Calibri"/>
              </w:rPr>
            </w:pPr>
            <w:r w:rsidRPr="00D12A36">
              <w:rPr>
                <w:rFonts w:cs="Calibri"/>
              </w:rPr>
              <w:t xml:space="preserve">Investment – Joint Venture </w:t>
            </w:r>
          </w:p>
        </w:tc>
        <w:tc>
          <w:tcPr>
            <w:tcW w:w="1660" w:type="dxa"/>
            <w:vAlign w:val="bottom"/>
          </w:tcPr>
          <w:p w14:paraId="23A20F1F" w14:textId="4745D309" w:rsidR="006B5DF1" w:rsidRPr="00D12A36" w:rsidRDefault="006B5DF1" w:rsidP="008238E7">
            <w:pPr>
              <w:pStyle w:val="TableText"/>
              <w:tabs>
                <w:tab w:val="left" w:pos="3306"/>
              </w:tabs>
              <w:spacing w:before="20"/>
              <w:jc w:val="center"/>
              <w:rPr>
                <w:rFonts w:cs="Calibri"/>
              </w:rPr>
            </w:pPr>
            <w:r w:rsidRPr="00D12A36">
              <w:rPr>
                <w:rFonts w:cs="Calibri"/>
              </w:rPr>
              <w:t>34</w:t>
            </w:r>
          </w:p>
        </w:tc>
        <w:tc>
          <w:tcPr>
            <w:tcW w:w="1260" w:type="dxa"/>
            <w:vAlign w:val="bottom"/>
          </w:tcPr>
          <w:p w14:paraId="1B2AEF68"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92F25C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0C8F13A" w14:textId="77777777" w:rsidR="006B5DF1" w:rsidRPr="00D12A36" w:rsidRDefault="006B5DF1" w:rsidP="008238E7">
            <w:pPr>
              <w:pStyle w:val="TableText"/>
              <w:tabs>
                <w:tab w:val="left" w:pos="3306"/>
              </w:tabs>
              <w:spacing w:before="20"/>
              <w:jc w:val="right"/>
              <w:rPr>
                <w:rFonts w:cs="Calibri"/>
              </w:rPr>
            </w:pPr>
          </w:p>
        </w:tc>
      </w:tr>
      <w:tr w:rsidR="006B5DF1" w:rsidRPr="007E0503" w14:paraId="5C64BDF7" w14:textId="77777777" w:rsidTr="00C736E0">
        <w:tc>
          <w:tcPr>
            <w:tcW w:w="1537" w:type="dxa"/>
            <w:tcBorders>
              <w:left w:val="single" w:sz="2" w:space="0" w:color="auto"/>
              <w:right w:val="single" w:sz="2" w:space="0" w:color="auto"/>
            </w:tcBorders>
          </w:tcPr>
          <w:p w14:paraId="676E22A4"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101.54(a)</w:t>
            </w:r>
          </w:p>
        </w:tc>
        <w:tc>
          <w:tcPr>
            <w:tcW w:w="3296" w:type="dxa"/>
            <w:tcBorders>
              <w:left w:val="single" w:sz="2" w:space="0" w:color="auto"/>
            </w:tcBorders>
            <w:vAlign w:val="bottom"/>
          </w:tcPr>
          <w:p w14:paraId="0733D1E9" w14:textId="0E2160FE" w:rsidR="006B5DF1" w:rsidRPr="00D12A36" w:rsidRDefault="006B5DF1" w:rsidP="008238E7">
            <w:pPr>
              <w:pStyle w:val="TableText"/>
              <w:tabs>
                <w:tab w:val="left" w:pos="3306"/>
              </w:tabs>
              <w:spacing w:before="20"/>
              <w:rPr>
                <w:rFonts w:cs="Calibri"/>
                <w:b/>
                <w:bCs/>
              </w:rPr>
            </w:pPr>
            <w:r w:rsidRPr="00D12A36">
              <w:rPr>
                <w:rFonts w:cs="Calibri"/>
              </w:rPr>
              <w:t>Property, Plant and Equipment</w:t>
            </w:r>
          </w:p>
        </w:tc>
        <w:tc>
          <w:tcPr>
            <w:tcW w:w="1660" w:type="dxa"/>
          </w:tcPr>
          <w:p w14:paraId="6A08936F" w14:textId="7A6815B6" w:rsidR="006B5DF1" w:rsidRPr="00D12A36" w:rsidRDefault="006B5DF1" w:rsidP="008238E7">
            <w:pPr>
              <w:pStyle w:val="TableText"/>
              <w:tabs>
                <w:tab w:val="left" w:pos="3306"/>
              </w:tabs>
              <w:spacing w:before="20"/>
              <w:jc w:val="center"/>
              <w:rPr>
                <w:rFonts w:cs="Calibri"/>
              </w:rPr>
            </w:pPr>
            <w:r w:rsidRPr="00D12A36">
              <w:rPr>
                <w:rFonts w:cs="Calibri"/>
              </w:rPr>
              <w:t>19</w:t>
            </w:r>
          </w:p>
        </w:tc>
        <w:tc>
          <w:tcPr>
            <w:tcW w:w="1260" w:type="dxa"/>
            <w:vAlign w:val="bottom"/>
          </w:tcPr>
          <w:p w14:paraId="660D079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1CE89514"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21ABF1B7" w14:textId="77777777" w:rsidR="006B5DF1" w:rsidRPr="00D12A36" w:rsidRDefault="006B5DF1" w:rsidP="008238E7">
            <w:pPr>
              <w:pStyle w:val="TableText"/>
              <w:tabs>
                <w:tab w:val="left" w:pos="3306"/>
              </w:tabs>
              <w:spacing w:before="20"/>
              <w:jc w:val="right"/>
              <w:rPr>
                <w:rFonts w:cs="Calibri"/>
              </w:rPr>
            </w:pPr>
          </w:p>
        </w:tc>
      </w:tr>
      <w:tr w:rsidR="006B5DF1" w:rsidRPr="007E0503" w14:paraId="45F8650D" w14:textId="77777777" w:rsidTr="00C736E0">
        <w:tc>
          <w:tcPr>
            <w:tcW w:w="1537" w:type="dxa"/>
            <w:tcBorders>
              <w:left w:val="single" w:sz="2" w:space="0" w:color="auto"/>
              <w:right w:val="single" w:sz="2" w:space="0" w:color="auto"/>
            </w:tcBorders>
          </w:tcPr>
          <w:p w14:paraId="1FD88752"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101.54(b)</w:t>
            </w:r>
          </w:p>
        </w:tc>
        <w:tc>
          <w:tcPr>
            <w:tcW w:w="3296" w:type="dxa"/>
            <w:tcBorders>
              <w:left w:val="single" w:sz="2" w:space="0" w:color="auto"/>
            </w:tcBorders>
            <w:vAlign w:val="bottom"/>
          </w:tcPr>
          <w:p w14:paraId="50CC1F6B" w14:textId="77777777" w:rsidR="006B5DF1" w:rsidRPr="00D12A36" w:rsidRDefault="006B5DF1" w:rsidP="008238E7">
            <w:pPr>
              <w:pStyle w:val="TableText"/>
              <w:tabs>
                <w:tab w:val="left" w:pos="3306"/>
              </w:tabs>
              <w:spacing w:before="20"/>
              <w:rPr>
                <w:rFonts w:cs="Calibri"/>
              </w:rPr>
            </w:pPr>
            <w:r w:rsidRPr="00D12A36">
              <w:rPr>
                <w:rFonts w:cs="Calibri"/>
              </w:rPr>
              <w:t>Investment Properties</w:t>
            </w:r>
          </w:p>
        </w:tc>
        <w:tc>
          <w:tcPr>
            <w:tcW w:w="1660" w:type="dxa"/>
            <w:vAlign w:val="bottom"/>
          </w:tcPr>
          <w:p w14:paraId="41DE226A" w14:textId="10A8AE81" w:rsidR="006B5DF1" w:rsidRPr="00D12A36" w:rsidRDefault="006B5DF1" w:rsidP="008238E7">
            <w:pPr>
              <w:pStyle w:val="TableText"/>
              <w:tabs>
                <w:tab w:val="left" w:pos="3306"/>
              </w:tabs>
              <w:spacing w:before="20"/>
              <w:jc w:val="center"/>
              <w:rPr>
                <w:rFonts w:cs="Calibri"/>
              </w:rPr>
            </w:pPr>
            <w:r w:rsidRPr="00D12A36">
              <w:rPr>
                <w:rFonts w:cs="Calibri"/>
              </w:rPr>
              <w:t>20</w:t>
            </w:r>
          </w:p>
        </w:tc>
        <w:tc>
          <w:tcPr>
            <w:tcW w:w="1260" w:type="dxa"/>
            <w:vAlign w:val="bottom"/>
          </w:tcPr>
          <w:p w14:paraId="01DB0E7C"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4BC75395"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38DE5F3C" w14:textId="77777777" w:rsidR="006B5DF1" w:rsidRPr="00D12A36" w:rsidRDefault="006B5DF1" w:rsidP="008238E7">
            <w:pPr>
              <w:pStyle w:val="TableText"/>
              <w:tabs>
                <w:tab w:val="left" w:pos="3306"/>
              </w:tabs>
              <w:spacing w:before="20"/>
              <w:jc w:val="right"/>
              <w:rPr>
                <w:rFonts w:cs="Calibri"/>
              </w:rPr>
            </w:pPr>
          </w:p>
        </w:tc>
      </w:tr>
      <w:tr w:rsidR="006B5DF1" w:rsidRPr="007E0503" w14:paraId="694ACE16" w14:textId="77777777" w:rsidTr="00C736E0">
        <w:tc>
          <w:tcPr>
            <w:tcW w:w="1537" w:type="dxa"/>
            <w:tcBorders>
              <w:left w:val="single" w:sz="2" w:space="0" w:color="auto"/>
              <w:right w:val="single" w:sz="2" w:space="0" w:color="auto"/>
            </w:tcBorders>
          </w:tcPr>
          <w:p w14:paraId="65497EE9"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101.54(c)</w:t>
            </w:r>
          </w:p>
        </w:tc>
        <w:tc>
          <w:tcPr>
            <w:tcW w:w="3296" w:type="dxa"/>
            <w:tcBorders>
              <w:left w:val="single" w:sz="2" w:space="0" w:color="auto"/>
            </w:tcBorders>
            <w:vAlign w:val="bottom"/>
          </w:tcPr>
          <w:p w14:paraId="4F968CA8" w14:textId="23B2697B" w:rsidR="006B5DF1" w:rsidRPr="00D12A36" w:rsidRDefault="006B5DF1" w:rsidP="008238E7">
            <w:pPr>
              <w:pStyle w:val="TableText"/>
              <w:tabs>
                <w:tab w:val="left" w:pos="3306"/>
              </w:tabs>
              <w:spacing w:before="20"/>
              <w:rPr>
                <w:rFonts w:cs="Calibri"/>
                <w:b/>
                <w:bCs/>
              </w:rPr>
            </w:pPr>
            <w:r w:rsidRPr="00D12A36">
              <w:rPr>
                <w:rFonts w:cs="Calibri"/>
              </w:rPr>
              <w:t>Intangible Assets</w:t>
            </w:r>
          </w:p>
        </w:tc>
        <w:tc>
          <w:tcPr>
            <w:tcW w:w="1660" w:type="dxa"/>
            <w:vAlign w:val="bottom"/>
          </w:tcPr>
          <w:p w14:paraId="5D9EE4F7" w14:textId="2546879E" w:rsidR="006B5DF1" w:rsidRPr="00D12A36" w:rsidRDefault="006B5DF1" w:rsidP="008238E7">
            <w:pPr>
              <w:pStyle w:val="TableText"/>
              <w:tabs>
                <w:tab w:val="left" w:pos="3306"/>
              </w:tabs>
              <w:spacing w:before="20"/>
              <w:jc w:val="center"/>
              <w:rPr>
                <w:rFonts w:cs="Calibri"/>
              </w:rPr>
            </w:pPr>
            <w:r w:rsidRPr="00D12A36">
              <w:rPr>
                <w:rFonts w:cs="Calibri"/>
              </w:rPr>
              <w:t>21</w:t>
            </w:r>
          </w:p>
        </w:tc>
        <w:tc>
          <w:tcPr>
            <w:tcW w:w="1260" w:type="dxa"/>
            <w:vAlign w:val="bottom"/>
          </w:tcPr>
          <w:p w14:paraId="33C2D310"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427E5E7"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19ABA7A3" w14:textId="77777777" w:rsidR="006B5DF1" w:rsidRPr="00D12A36" w:rsidRDefault="006B5DF1" w:rsidP="008238E7">
            <w:pPr>
              <w:pStyle w:val="TableText"/>
              <w:tabs>
                <w:tab w:val="left" w:pos="3306"/>
              </w:tabs>
              <w:spacing w:before="20"/>
              <w:jc w:val="right"/>
              <w:rPr>
                <w:rFonts w:cs="Calibri"/>
              </w:rPr>
            </w:pPr>
          </w:p>
        </w:tc>
      </w:tr>
      <w:tr w:rsidR="006B5DF1" w:rsidRPr="007E0503" w14:paraId="1D97B0EE" w14:textId="77777777" w:rsidTr="00C736E0">
        <w:tc>
          <w:tcPr>
            <w:tcW w:w="1537" w:type="dxa"/>
            <w:tcBorders>
              <w:left w:val="single" w:sz="2" w:space="0" w:color="auto"/>
              <w:right w:val="single" w:sz="2" w:space="0" w:color="auto"/>
            </w:tcBorders>
          </w:tcPr>
          <w:p w14:paraId="75D112D5"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0CC6458" w14:textId="77777777" w:rsidR="006B5DF1" w:rsidRPr="00D12A36" w:rsidRDefault="006B5DF1" w:rsidP="008238E7">
            <w:pPr>
              <w:pStyle w:val="TableText"/>
              <w:tabs>
                <w:tab w:val="left" w:pos="3306"/>
              </w:tabs>
              <w:spacing w:before="20"/>
              <w:rPr>
                <w:rFonts w:cs="Calibri"/>
                <w:b/>
                <w:bCs/>
              </w:rPr>
            </w:pPr>
            <w:r w:rsidRPr="00D12A36">
              <w:rPr>
                <w:rFonts w:cs="Calibri"/>
              </w:rPr>
              <w:t>Capital Works in Progress</w:t>
            </w:r>
          </w:p>
        </w:tc>
        <w:tc>
          <w:tcPr>
            <w:tcW w:w="1660" w:type="dxa"/>
            <w:vAlign w:val="bottom"/>
          </w:tcPr>
          <w:p w14:paraId="6C32849E" w14:textId="6E23115C" w:rsidR="006B5DF1" w:rsidRPr="00D12A36" w:rsidRDefault="006B5DF1" w:rsidP="008238E7">
            <w:pPr>
              <w:pStyle w:val="TableText"/>
              <w:tabs>
                <w:tab w:val="left" w:pos="3306"/>
              </w:tabs>
              <w:spacing w:before="20"/>
              <w:jc w:val="center"/>
              <w:rPr>
                <w:rFonts w:cs="Calibri"/>
              </w:rPr>
            </w:pPr>
            <w:r w:rsidRPr="00D12A36">
              <w:rPr>
                <w:rFonts w:cs="Calibri"/>
              </w:rPr>
              <w:t>22</w:t>
            </w:r>
          </w:p>
        </w:tc>
        <w:tc>
          <w:tcPr>
            <w:tcW w:w="1260" w:type="dxa"/>
            <w:vAlign w:val="bottom"/>
          </w:tcPr>
          <w:p w14:paraId="69169CF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23902AB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6CC35B6F" w14:textId="77777777" w:rsidR="006B5DF1" w:rsidRPr="00D12A36" w:rsidRDefault="006B5DF1" w:rsidP="008238E7">
            <w:pPr>
              <w:pStyle w:val="TableText"/>
              <w:tabs>
                <w:tab w:val="left" w:pos="3306"/>
              </w:tabs>
              <w:spacing w:before="20"/>
              <w:jc w:val="right"/>
              <w:rPr>
                <w:rFonts w:cs="Calibri"/>
              </w:rPr>
            </w:pPr>
          </w:p>
        </w:tc>
      </w:tr>
      <w:tr w:rsidR="006B5DF1" w:rsidRPr="007E0503" w14:paraId="1C41BF41" w14:textId="77777777" w:rsidTr="00C736E0">
        <w:trPr>
          <w:trHeight w:val="261"/>
        </w:trPr>
        <w:tc>
          <w:tcPr>
            <w:tcW w:w="1537" w:type="dxa"/>
            <w:tcBorders>
              <w:left w:val="single" w:sz="2" w:space="0" w:color="auto"/>
              <w:right w:val="single" w:sz="2" w:space="0" w:color="auto"/>
            </w:tcBorders>
          </w:tcPr>
          <w:p w14:paraId="5F6B5AD3"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4882B9E" w14:textId="77777777" w:rsidR="006B5DF1" w:rsidRPr="00D12A36" w:rsidRDefault="006B5DF1"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66FE1381" w14:textId="7A8BC147" w:rsidR="006B5DF1" w:rsidRPr="00D12A36" w:rsidRDefault="006B5DF1" w:rsidP="008238E7">
            <w:pPr>
              <w:pStyle w:val="TableText"/>
              <w:tabs>
                <w:tab w:val="left" w:pos="3306"/>
              </w:tabs>
              <w:spacing w:before="20"/>
              <w:jc w:val="center"/>
              <w:rPr>
                <w:rFonts w:cs="Calibri"/>
              </w:rPr>
            </w:pPr>
            <w:r w:rsidRPr="00D12A36">
              <w:rPr>
                <w:rFonts w:cs="Calibri"/>
              </w:rPr>
              <w:t>23</w:t>
            </w:r>
          </w:p>
        </w:tc>
        <w:tc>
          <w:tcPr>
            <w:tcW w:w="1260" w:type="dxa"/>
            <w:tcBorders>
              <w:bottom w:val="single" w:sz="2" w:space="0" w:color="auto"/>
            </w:tcBorders>
            <w:vAlign w:val="bottom"/>
          </w:tcPr>
          <w:p w14:paraId="3C3F242A" w14:textId="77777777" w:rsidR="006B5DF1" w:rsidRPr="00D12A36" w:rsidRDefault="006B5DF1"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5D5B331A" w14:textId="77777777" w:rsidR="006B5DF1" w:rsidRPr="00D12A36" w:rsidRDefault="006B5DF1"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0EC4501A" w14:textId="77777777" w:rsidR="006B5DF1" w:rsidRPr="00D12A36" w:rsidRDefault="006B5DF1" w:rsidP="008238E7">
            <w:pPr>
              <w:pStyle w:val="TableText"/>
              <w:tabs>
                <w:tab w:val="left" w:pos="3306"/>
              </w:tabs>
              <w:spacing w:before="20"/>
              <w:jc w:val="right"/>
              <w:rPr>
                <w:rFonts w:cs="Calibri"/>
              </w:rPr>
            </w:pPr>
          </w:p>
        </w:tc>
      </w:tr>
      <w:tr w:rsidR="006B5DF1" w:rsidRPr="007E0503" w14:paraId="78C8711E" w14:textId="77777777" w:rsidTr="00C736E0">
        <w:tc>
          <w:tcPr>
            <w:tcW w:w="1537" w:type="dxa"/>
            <w:tcBorders>
              <w:left w:val="single" w:sz="2" w:space="0" w:color="auto"/>
              <w:right w:val="single" w:sz="2" w:space="0" w:color="auto"/>
            </w:tcBorders>
          </w:tcPr>
          <w:p w14:paraId="2152D0D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123AD98" w14:textId="77777777" w:rsidR="006B5DF1" w:rsidRPr="00D12A36" w:rsidRDefault="006B5DF1" w:rsidP="006B5DF1">
            <w:pPr>
              <w:pStyle w:val="TableText"/>
              <w:tabs>
                <w:tab w:val="left" w:pos="3306"/>
              </w:tabs>
              <w:rPr>
                <w:rFonts w:cs="Calibri"/>
                <w:b/>
                <w:bCs/>
              </w:rPr>
            </w:pPr>
            <w:r w:rsidRPr="00D12A36">
              <w:rPr>
                <w:rFonts w:cs="Calibri"/>
                <w:b/>
                <w:bCs/>
              </w:rPr>
              <w:t xml:space="preserve">Total Non-Current Assets </w:t>
            </w:r>
          </w:p>
        </w:tc>
        <w:tc>
          <w:tcPr>
            <w:tcW w:w="1660" w:type="dxa"/>
            <w:vAlign w:val="bottom"/>
          </w:tcPr>
          <w:p w14:paraId="50C744A2"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07A0DF56"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41A49513"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61F7C188" w14:textId="77777777" w:rsidR="006B5DF1" w:rsidRPr="00D12A36" w:rsidRDefault="006B5DF1" w:rsidP="006B5DF1">
            <w:pPr>
              <w:pStyle w:val="TableText"/>
              <w:tabs>
                <w:tab w:val="left" w:pos="3306"/>
              </w:tabs>
              <w:jc w:val="right"/>
              <w:rPr>
                <w:rFonts w:cs="Calibri"/>
                <w:b/>
                <w:bCs/>
              </w:rPr>
            </w:pPr>
          </w:p>
        </w:tc>
      </w:tr>
      <w:tr w:rsidR="006B5DF1" w:rsidRPr="007E0503" w14:paraId="353BA3DC" w14:textId="77777777" w:rsidTr="00C736E0">
        <w:tc>
          <w:tcPr>
            <w:tcW w:w="1537" w:type="dxa"/>
            <w:tcBorders>
              <w:left w:val="single" w:sz="2" w:space="0" w:color="auto"/>
              <w:right w:val="single" w:sz="2" w:space="0" w:color="auto"/>
            </w:tcBorders>
          </w:tcPr>
          <w:p w14:paraId="3CA88F9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299AAD31" w14:textId="77777777" w:rsidR="006B5DF1" w:rsidRPr="00D12A36" w:rsidRDefault="006B5DF1" w:rsidP="006B5DF1">
            <w:pPr>
              <w:pStyle w:val="TableText"/>
              <w:tabs>
                <w:tab w:val="left" w:pos="3306"/>
              </w:tabs>
              <w:rPr>
                <w:rFonts w:cs="Calibri"/>
                <w:b/>
                <w:bCs/>
              </w:rPr>
            </w:pPr>
            <w:bookmarkStart w:id="167" w:name="_Toc48468219"/>
            <w:bookmarkStart w:id="168" w:name="_Toc49155411"/>
            <w:bookmarkStart w:id="169" w:name="_Toc49223859"/>
            <w:r w:rsidRPr="00D12A36">
              <w:rPr>
                <w:rFonts w:cs="Calibri"/>
                <w:b/>
                <w:bCs/>
              </w:rPr>
              <w:t>Total Assets</w:t>
            </w:r>
            <w:bookmarkEnd w:id="167"/>
            <w:bookmarkEnd w:id="168"/>
            <w:bookmarkEnd w:id="169"/>
            <w:r w:rsidRPr="00D12A36">
              <w:rPr>
                <w:rFonts w:cs="Calibri"/>
                <w:b/>
                <w:bCs/>
              </w:rPr>
              <w:t xml:space="preserve"> </w:t>
            </w:r>
          </w:p>
        </w:tc>
        <w:tc>
          <w:tcPr>
            <w:tcW w:w="1660" w:type="dxa"/>
            <w:vAlign w:val="bottom"/>
          </w:tcPr>
          <w:p w14:paraId="2DF2EFE4"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5BE9D56B"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34AD50A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7FCB86A" w14:textId="77777777" w:rsidR="006B5DF1" w:rsidRPr="00D12A36" w:rsidRDefault="006B5DF1" w:rsidP="006B5DF1">
            <w:pPr>
              <w:pStyle w:val="TableText"/>
              <w:tabs>
                <w:tab w:val="left" w:pos="3306"/>
              </w:tabs>
              <w:jc w:val="right"/>
              <w:rPr>
                <w:rFonts w:cs="Calibri"/>
                <w:b/>
                <w:bCs/>
              </w:rPr>
            </w:pPr>
          </w:p>
        </w:tc>
      </w:tr>
      <w:tr w:rsidR="006B5DF1" w:rsidRPr="007E0503" w14:paraId="2FF12EA3" w14:textId="77777777" w:rsidTr="00C736E0">
        <w:tc>
          <w:tcPr>
            <w:tcW w:w="1537" w:type="dxa"/>
            <w:tcBorders>
              <w:left w:val="single" w:sz="2" w:space="0" w:color="auto"/>
              <w:right w:val="single" w:sz="2" w:space="0" w:color="auto"/>
            </w:tcBorders>
          </w:tcPr>
          <w:p w14:paraId="4C09F162" w14:textId="77777777" w:rsidR="006B5DF1" w:rsidRPr="008238E7" w:rsidRDefault="006B5DF1" w:rsidP="00851F40">
            <w:pPr>
              <w:pStyle w:val="TableReference"/>
              <w:tabs>
                <w:tab w:val="left" w:pos="3306"/>
              </w:tabs>
              <w:spacing w:before="16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347E1ADD" w14:textId="77777777" w:rsidR="006B5DF1" w:rsidRPr="00D12A36" w:rsidRDefault="006B5DF1" w:rsidP="00851F40">
            <w:pPr>
              <w:pStyle w:val="TableText"/>
              <w:tabs>
                <w:tab w:val="left" w:pos="3306"/>
              </w:tabs>
              <w:spacing w:before="120"/>
              <w:rPr>
                <w:rFonts w:cs="Calibri"/>
                <w:b/>
                <w:bCs/>
              </w:rPr>
            </w:pPr>
            <w:bookmarkStart w:id="170" w:name="_Toc48468220"/>
            <w:bookmarkStart w:id="171" w:name="_Toc49155412"/>
            <w:bookmarkStart w:id="172" w:name="_Toc49223860"/>
            <w:r w:rsidRPr="00D12A36">
              <w:rPr>
                <w:rFonts w:cs="Calibri"/>
                <w:b/>
                <w:bCs/>
              </w:rPr>
              <w:t>Current Liabilities</w:t>
            </w:r>
            <w:bookmarkEnd w:id="170"/>
            <w:bookmarkEnd w:id="171"/>
            <w:bookmarkEnd w:id="172"/>
          </w:p>
        </w:tc>
        <w:tc>
          <w:tcPr>
            <w:tcW w:w="1660" w:type="dxa"/>
            <w:vAlign w:val="bottom"/>
          </w:tcPr>
          <w:p w14:paraId="64D95717"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tcBorders>
            <w:vAlign w:val="bottom"/>
          </w:tcPr>
          <w:p w14:paraId="00EF0026" w14:textId="77777777" w:rsidR="006B5DF1" w:rsidRPr="00D12A36" w:rsidRDefault="006B5DF1" w:rsidP="006B5DF1">
            <w:pPr>
              <w:pStyle w:val="TableText"/>
              <w:tabs>
                <w:tab w:val="left" w:pos="3306"/>
              </w:tabs>
              <w:jc w:val="right"/>
              <w:rPr>
                <w:rFonts w:cs="Calibri"/>
              </w:rPr>
            </w:pPr>
          </w:p>
        </w:tc>
        <w:tc>
          <w:tcPr>
            <w:tcW w:w="1395" w:type="dxa"/>
            <w:tcBorders>
              <w:top w:val="single" w:sz="2" w:space="0" w:color="auto"/>
            </w:tcBorders>
            <w:vAlign w:val="bottom"/>
          </w:tcPr>
          <w:p w14:paraId="6BE56FC5" w14:textId="77777777" w:rsidR="006B5DF1" w:rsidRPr="00D12A36" w:rsidRDefault="006B5DF1" w:rsidP="006B5DF1">
            <w:pPr>
              <w:pStyle w:val="TableText"/>
              <w:tabs>
                <w:tab w:val="left" w:pos="3306"/>
              </w:tabs>
              <w:jc w:val="right"/>
              <w:rPr>
                <w:rFonts w:cs="Calibri"/>
              </w:rPr>
            </w:pPr>
          </w:p>
        </w:tc>
        <w:tc>
          <w:tcPr>
            <w:tcW w:w="1396" w:type="dxa"/>
            <w:tcBorders>
              <w:top w:val="single" w:sz="2" w:space="0" w:color="auto"/>
            </w:tcBorders>
            <w:vAlign w:val="bottom"/>
          </w:tcPr>
          <w:p w14:paraId="5BFDBAB9" w14:textId="77777777" w:rsidR="006B5DF1" w:rsidRPr="00D12A36" w:rsidRDefault="006B5DF1" w:rsidP="006B5DF1">
            <w:pPr>
              <w:pStyle w:val="TableText"/>
              <w:tabs>
                <w:tab w:val="left" w:pos="3306"/>
              </w:tabs>
              <w:jc w:val="right"/>
              <w:rPr>
                <w:rFonts w:cs="Calibri"/>
                <w:b/>
                <w:bCs/>
              </w:rPr>
            </w:pPr>
          </w:p>
        </w:tc>
      </w:tr>
      <w:tr w:rsidR="006B5DF1" w:rsidRPr="007E0503" w14:paraId="2CFD618D" w14:textId="77777777" w:rsidTr="00C736E0">
        <w:tc>
          <w:tcPr>
            <w:tcW w:w="1537" w:type="dxa"/>
            <w:tcBorders>
              <w:left w:val="single" w:sz="2" w:space="0" w:color="auto"/>
              <w:right w:val="single" w:sz="2" w:space="0" w:color="auto"/>
            </w:tcBorders>
          </w:tcPr>
          <w:p w14:paraId="5296FE7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 xml:space="preserve">AASB 101.54(k) </w:t>
            </w:r>
          </w:p>
        </w:tc>
        <w:tc>
          <w:tcPr>
            <w:tcW w:w="3296" w:type="dxa"/>
            <w:tcBorders>
              <w:left w:val="single" w:sz="2" w:space="0" w:color="auto"/>
            </w:tcBorders>
            <w:vAlign w:val="bottom"/>
          </w:tcPr>
          <w:p w14:paraId="05AD714E" w14:textId="66D38BDA" w:rsidR="006B5DF1" w:rsidRPr="00B73007" w:rsidRDefault="006B5DF1" w:rsidP="00D12A36">
            <w:pPr>
              <w:pStyle w:val="TableText"/>
              <w:tabs>
                <w:tab w:val="left" w:pos="3306"/>
              </w:tabs>
              <w:spacing w:before="20"/>
              <w:rPr>
                <w:rFonts w:cs="Calibri"/>
                <w:b/>
                <w:bCs/>
              </w:rPr>
            </w:pPr>
            <w:r w:rsidRPr="00B73007">
              <w:rPr>
                <w:rFonts w:cs="Calibri"/>
              </w:rPr>
              <w:t>Payables</w:t>
            </w:r>
          </w:p>
        </w:tc>
        <w:tc>
          <w:tcPr>
            <w:tcW w:w="1660" w:type="dxa"/>
            <w:vAlign w:val="bottom"/>
          </w:tcPr>
          <w:p w14:paraId="69E06EC9" w14:textId="5A4F3979"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vAlign w:val="bottom"/>
          </w:tcPr>
          <w:p w14:paraId="620710B9"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419852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22157A31" w14:textId="77777777" w:rsidR="006B5DF1" w:rsidRPr="00D12A36" w:rsidRDefault="006B5DF1" w:rsidP="00D12A36">
            <w:pPr>
              <w:pStyle w:val="TableText"/>
              <w:tabs>
                <w:tab w:val="left" w:pos="3306"/>
              </w:tabs>
              <w:spacing w:before="20"/>
              <w:jc w:val="right"/>
              <w:rPr>
                <w:rFonts w:cs="Calibri"/>
              </w:rPr>
            </w:pPr>
          </w:p>
        </w:tc>
      </w:tr>
      <w:tr w:rsidR="006B5DF1" w:rsidRPr="007E0503" w14:paraId="737F3DD8" w14:textId="77777777" w:rsidTr="00C736E0">
        <w:tc>
          <w:tcPr>
            <w:tcW w:w="1537" w:type="dxa"/>
            <w:tcBorders>
              <w:left w:val="single" w:sz="2" w:space="0" w:color="auto"/>
              <w:right w:val="single" w:sz="2" w:space="0" w:color="auto"/>
            </w:tcBorders>
          </w:tcPr>
          <w:p w14:paraId="0F941719" w14:textId="77777777" w:rsidR="006B5DF1" w:rsidRPr="00FC2ACA" w:rsidRDefault="006B5DF1" w:rsidP="006B5DF1">
            <w:pPr>
              <w:pStyle w:val="TableReference"/>
              <w:tabs>
                <w:tab w:val="left" w:pos="3306"/>
              </w:tabs>
              <w:spacing w:before="60"/>
              <w:rPr>
                <w:rFonts w:cs="Calibri"/>
                <w:strike/>
                <w:color w:val="FF0000"/>
                <w:sz w:val="14"/>
              </w:rPr>
            </w:pPr>
            <w:r w:rsidRPr="00FC2ACA">
              <w:rPr>
                <w:rFonts w:cs="Calibri"/>
                <w:strike/>
                <w:color w:val="FF0000"/>
                <w:sz w:val="14"/>
              </w:rPr>
              <w:t>AASB 101.55</w:t>
            </w:r>
          </w:p>
        </w:tc>
        <w:tc>
          <w:tcPr>
            <w:tcW w:w="3296" w:type="dxa"/>
            <w:tcBorders>
              <w:left w:val="single" w:sz="2" w:space="0" w:color="auto"/>
            </w:tcBorders>
            <w:vAlign w:val="bottom"/>
          </w:tcPr>
          <w:p w14:paraId="3F46C863" w14:textId="77777777" w:rsidR="006B5DF1" w:rsidRPr="00B73007" w:rsidRDefault="006B5DF1" w:rsidP="00D12A36">
            <w:pPr>
              <w:pStyle w:val="TableText"/>
              <w:tabs>
                <w:tab w:val="left" w:pos="3306"/>
              </w:tabs>
              <w:spacing w:before="20"/>
              <w:rPr>
                <w:rFonts w:cs="Calibri"/>
                <w:strike/>
                <w:color w:val="FF0000"/>
              </w:rPr>
            </w:pPr>
            <w:r w:rsidRPr="00B73007">
              <w:rPr>
                <w:rFonts w:cs="Calibri"/>
                <w:strike/>
                <w:color w:val="FF0000"/>
              </w:rPr>
              <w:t>Contract Liabilities</w:t>
            </w:r>
            <w:r w:rsidRPr="00B73007">
              <w:rPr>
                <w:rFonts w:cs="Calibri"/>
                <w:strike/>
                <w:color w:val="FF0000"/>
                <w:sz w:val="14"/>
                <w:szCs w:val="14"/>
              </w:rPr>
              <w:t xml:space="preserve"> </w:t>
            </w:r>
          </w:p>
        </w:tc>
        <w:tc>
          <w:tcPr>
            <w:tcW w:w="1660" w:type="dxa"/>
            <w:vAlign w:val="bottom"/>
          </w:tcPr>
          <w:p w14:paraId="1982618C" w14:textId="7F2D4348" w:rsidR="006B5DF1" w:rsidRPr="00FC2ACA" w:rsidRDefault="006B5DF1" w:rsidP="00D12A36">
            <w:pPr>
              <w:pStyle w:val="TableText"/>
              <w:tabs>
                <w:tab w:val="left" w:pos="3306"/>
              </w:tabs>
              <w:spacing w:before="20"/>
              <w:jc w:val="center"/>
              <w:rPr>
                <w:rFonts w:cs="Calibri"/>
                <w:strike/>
                <w:color w:val="FF0000"/>
              </w:rPr>
            </w:pPr>
            <w:r w:rsidRPr="00FC2ACA">
              <w:rPr>
                <w:rFonts w:cs="Calibri"/>
                <w:strike/>
                <w:color w:val="FF0000"/>
              </w:rPr>
              <w:t>24</w:t>
            </w:r>
          </w:p>
        </w:tc>
        <w:tc>
          <w:tcPr>
            <w:tcW w:w="1260" w:type="dxa"/>
            <w:shd w:val="clear" w:color="auto" w:fill="auto"/>
            <w:vAlign w:val="bottom"/>
          </w:tcPr>
          <w:p w14:paraId="39E4FAB2"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0725968"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DDC9CFB" w14:textId="77777777" w:rsidR="006B5DF1" w:rsidRPr="00D12A36" w:rsidRDefault="006B5DF1" w:rsidP="00D12A36">
            <w:pPr>
              <w:pStyle w:val="TableText"/>
              <w:tabs>
                <w:tab w:val="left" w:pos="3306"/>
              </w:tabs>
              <w:spacing w:before="20"/>
              <w:jc w:val="right"/>
              <w:rPr>
                <w:rFonts w:cs="Calibri"/>
              </w:rPr>
            </w:pPr>
          </w:p>
        </w:tc>
      </w:tr>
      <w:tr w:rsidR="006B5DF1" w:rsidRPr="007E0503" w14:paraId="06B990BE" w14:textId="77777777" w:rsidTr="00C736E0">
        <w:tc>
          <w:tcPr>
            <w:tcW w:w="1537" w:type="dxa"/>
            <w:tcBorders>
              <w:left w:val="single" w:sz="2" w:space="0" w:color="auto"/>
              <w:right w:val="single" w:sz="2" w:space="0" w:color="auto"/>
            </w:tcBorders>
          </w:tcPr>
          <w:p w14:paraId="7374808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57748F71" w14:textId="090BF00B" w:rsidR="006B5DF1" w:rsidRPr="00B73007" w:rsidRDefault="007001C1" w:rsidP="00D12A36">
            <w:pPr>
              <w:pStyle w:val="TableText"/>
              <w:tabs>
                <w:tab w:val="left" w:pos="3306"/>
              </w:tabs>
              <w:spacing w:before="20"/>
              <w:rPr>
                <w:rFonts w:cs="Calibri"/>
                <w:b/>
                <w:bCs/>
              </w:rPr>
            </w:pPr>
            <w:r w:rsidRPr="00B73007">
              <w:rPr>
                <w:rFonts w:cs="Calibri"/>
              </w:rPr>
              <w:t>Borrowings</w:t>
            </w:r>
          </w:p>
        </w:tc>
        <w:tc>
          <w:tcPr>
            <w:tcW w:w="1660" w:type="dxa"/>
            <w:vAlign w:val="bottom"/>
          </w:tcPr>
          <w:p w14:paraId="2DAFC362" w14:textId="3B098B9F" w:rsidR="006B5DF1" w:rsidRPr="00D12A36" w:rsidRDefault="006B5DF1" w:rsidP="00D12A36">
            <w:pPr>
              <w:pStyle w:val="TableText"/>
              <w:tabs>
                <w:tab w:val="left" w:pos="3306"/>
              </w:tabs>
              <w:spacing w:before="20"/>
              <w:jc w:val="center"/>
              <w:rPr>
                <w:rFonts w:cs="Calibri"/>
              </w:rPr>
            </w:pPr>
            <w:r w:rsidRPr="00D12A36">
              <w:rPr>
                <w:rFonts w:cs="Calibri"/>
              </w:rPr>
              <w:t>25</w:t>
            </w:r>
          </w:p>
        </w:tc>
        <w:tc>
          <w:tcPr>
            <w:tcW w:w="1260" w:type="dxa"/>
            <w:shd w:val="clear" w:color="auto" w:fill="auto"/>
            <w:vAlign w:val="bottom"/>
          </w:tcPr>
          <w:p w14:paraId="4AE75E9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923C3F5"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C215B54" w14:textId="77777777" w:rsidR="006B5DF1" w:rsidRPr="00D12A36" w:rsidRDefault="006B5DF1" w:rsidP="00D12A36">
            <w:pPr>
              <w:pStyle w:val="TableText"/>
              <w:tabs>
                <w:tab w:val="left" w:pos="3306"/>
              </w:tabs>
              <w:spacing w:before="20"/>
              <w:jc w:val="right"/>
              <w:rPr>
                <w:rFonts w:cs="Calibri"/>
              </w:rPr>
            </w:pPr>
          </w:p>
        </w:tc>
      </w:tr>
      <w:tr w:rsidR="006B5DF1" w:rsidRPr="007E0503" w14:paraId="071D7487" w14:textId="77777777" w:rsidTr="00C736E0">
        <w:tc>
          <w:tcPr>
            <w:tcW w:w="1537" w:type="dxa"/>
            <w:tcBorders>
              <w:left w:val="single" w:sz="2" w:space="0" w:color="auto"/>
              <w:right w:val="single" w:sz="2" w:space="0" w:color="auto"/>
            </w:tcBorders>
          </w:tcPr>
          <w:p w14:paraId="0BFBE5C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59A9DA7A" w14:textId="0DCC348F" w:rsidR="006B5DF1" w:rsidRPr="00B73007" w:rsidRDefault="006B5DF1" w:rsidP="00D12A36">
            <w:pPr>
              <w:pStyle w:val="TableText"/>
              <w:tabs>
                <w:tab w:val="left" w:pos="3306"/>
              </w:tabs>
              <w:spacing w:before="20"/>
              <w:rPr>
                <w:rFonts w:cs="Calibri"/>
              </w:rPr>
            </w:pPr>
            <w:r w:rsidRPr="00B73007">
              <w:rPr>
                <w:rFonts w:cs="Calibri"/>
              </w:rPr>
              <w:t>Lease Liabilities</w:t>
            </w:r>
          </w:p>
        </w:tc>
        <w:tc>
          <w:tcPr>
            <w:tcW w:w="1660" w:type="dxa"/>
            <w:vAlign w:val="bottom"/>
          </w:tcPr>
          <w:p w14:paraId="642F7174" w14:textId="6A2D9B57" w:rsidR="006B5DF1" w:rsidRPr="00D12A36" w:rsidRDefault="006B5DF1" w:rsidP="00D12A36">
            <w:pPr>
              <w:pStyle w:val="TableText"/>
              <w:tabs>
                <w:tab w:val="left" w:pos="3306"/>
              </w:tabs>
              <w:spacing w:before="20"/>
              <w:jc w:val="center"/>
              <w:rPr>
                <w:rFonts w:cs="Calibri"/>
              </w:rPr>
            </w:pPr>
            <w:r w:rsidRPr="00D12A36">
              <w:rPr>
                <w:rFonts w:cs="Calibri"/>
              </w:rPr>
              <w:t>26</w:t>
            </w:r>
          </w:p>
        </w:tc>
        <w:tc>
          <w:tcPr>
            <w:tcW w:w="1260" w:type="dxa"/>
            <w:shd w:val="clear" w:color="auto" w:fill="auto"/>
            <w:vAlign w:val="bottom"/>
          </w:tcPr>
          <w:p w14:paraId="0B20680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7542A150"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183367AF" w14:textId="77777777" w:rsidR="006B5DF1" w:rsidRPr="00D12A36" w:rsidRDefault="006B5DF1" w:rsidP="00D12A36">
            <w:pPr>
              <w:pStyle w:val="TableText"/>
              <w:tabs>
                <w:tab w:val="left" w:pos="3306"/>
              </w:tabs>
              <w:spacing w:before="20"/>
              <w:jc w:val="right"/>
              <w:rPr>
                <w:rFonts w:cs="Calibri"/>
              </w:rPr>
            </w:pPr>
          </w:p>
        </w:tc>
      </w:tr>
      <w:tr w:rsidR="006B5DF1" w:rsidRPr="00CF7E1B" w14:paraId="728F8224" w14:textId="77777777" w:rsidTr="00C736E0">
        <w:tc>
          <w:tcPr>
            <w:tcW w:w="1537" w:type="dxa"/>
            <w:tcBorders>
              <w:left w:val="single" w:sz="2" w:space="0" w:color="auto"/>
              <w:right w:val="single" w:sz="2" w:space="0" w:color="auto"/>
            </w:tcBorders>
          </w:tcPr>
          <w:p w14:paraId="100C0B4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39187689" w14:textId="77777777" w:rsidR="006B5DF1" w:rsidRPr="00B73007" w:rsidRDefault="006B5DF1" w:rsidP="00D12A36">
            <w:pPr>
              <w:pStyle w:val="TableText"/>
              <w:tabs>
                <w:tab w:val="left" w:pos="3306"/>
              </w:tabs>
              <w:spacing w:before="20"/>
              <w:rPr>
                <w:rFonts w:cs="Calibri"/>
                <w:b/>
                <w:bCs/>
              </w:rPr>
            </w:pPr>
            <w:r w:rsidRPr="00B73007">
              <w:rPr>
                <w:rFonts w:cs="Calibri"/>
              </w:rPr>
              <w:t>Employee Benefits</w:t>
            </w:r>
          </w:p>
        </w:tc>
        <w:tc>
          <w:tcPr>
            <w:tcW w:w="1660" w:type="dxa"/>
            <w:vAlign w:val="bottom"/>
          </w:tcPr>
          <w:p w14:paraId="7A8828E7" w14:textId="7EF2B1D8" w:rsidR="006B5DF1" w:rsidRPr="00D12A36" w:rsidRDefault="006B5DF1" w:rsidP="00D12A36">
            <w:pPr>
              <w:pStyle w:val="TableText"/>
              <w:tabs>
                <w:tab w:val="left" w:pos="3306"/>
              </w:tabs>
              <w:spacing w:before="20"/>
              <w:jc w:val="center"/>
              <w:rPr>
                <w:rFonts w:cs="Calibri"/>
              </w:rPr>
            </w:pPr>
            <w:r w:rsidRPr="00D12A36">
              <w:rPr>
                <w:rFonts w:cs="Calibri"/>
              </w:rPr>
              <w:t>27</w:t>
            </w:r>
          </w:p>
        </w:tc>
        <w:tc>
          <w:tcPr>
            <w:tcW w:w="1260" w:type="dxa"/>
            <w:vAlign w:val="bottom"/>
          </w:tcPr>
          <w:p w14:paraId="54961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1DD155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2CC4C15" w14:textId="77777777" w:rsidR="006B5DF1" w:rsidRPr="00D12A36" w:rsidRDefault="006B5DF1" w:rsidP="00D12A36">
            <w:pPr>
              <w:pStyle w:val="TableText"/>
              <w:tabs>
                <w:tab w:val="left" w:pos="3306"/>
              </w:tabs>
              <w:spacing w:before="20"/>
              <w:jc w:val="right"/>
              <w:rPr>
                <w:rFonts w:cs="Calibri"/>
              </w:rPr>
            </w:pPr>
          </w:p>
        </w:tc>
      </w:tr>
      <w:tr w:rsidR="006B5DF1" w:rsidRPr="00CF7E1B" w14:paraId="0508256E" w14:textId="77777777" w:rsidTr="00C736E0">
        <w:tc>
          <w:tcPr>
            <w:tcW w:w="1537" w:type="dxa"/>
            <w:tcBorders>
              <w:left w:val="single" w:sz="2" w:space="0" w:color="auto"/>
              <w:right w:val="single" w:sz="2" w:space="0" w:color="auto"/>
            </w:tcBorders>
          </w:tcPr>
          <w:p w14:paraId="068087FC"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0BED7E21" w14:textId="77777777" w:rsidR="006B5DF1" w:rsidRPr="00B73007" w:rsidRDefault="006B5DF1" w:rsidP="00D12A36">
            <w:pPr>
              <w:pStyle w:val="TableText"/>
              <w:tabs>
                <w:tab w:val="left" w:pos="3306"/>
              </w:tabs>
              <w:spacing w:before="20"/>
              <w:rPr>
                <w:rFonts w:cs="Calibri"/>
                <w:b/>
                <w:bCs/>
              </w:rPr>
            </w:pPr>
            <w:r w:rsidRPr="00B73007">
              <w:rPr>
                <w:rFonts w:cs="Calibri"/>
              </w:rPr>
              <w:t>Other Provisions</w:t>
            </w:r>
          </w:p>
        </w:tc>
        <w:tc>
          <w:tcPr>
            <w:tcW w:w="1660" w:type="dxa"/>
            <w:vAlign w:val="bottom"/>
          </w:tcPr>
          <w:p w14:paraId="310C7894" w14:textId="1BB65AED" w:rsidR="006B5DF1" w:rsidRPr="00D12A36" w:rsidRDefault="006B5DF1" w:rsidP="00D12A36">
            <w:pPr>
              <w:pStyle w:val="TableText"/>
              <w:tabs>
                <w:tab w:val="left" w:pos="3306"/>
              </w:tabs>
              <w:spacing w:before="20"/>
              <w:jc w:val="center"/>
              <w:rPr>
                <w:rFonts w:cs="Calibri"/>
              </w:rPr>
            </w:pPr>
            <w:r w:rsidRPr="00D12A36">
              <w:rPr>
                <w:rFonts w:cs="Calibri"/>
              </w:rPr>
              <w:t>28</w:t>
            </w:r>
          </w:p>
        </w:tc>
        <w:tc>
          <w:tcPr>
            <w:tcW w:w="1260" w:type="dxa"/>
            <w:vAlign w:val="bottom"/>
          </w:tcPr>
          <w:p w14:paraId="467A8F45"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66D72B2C"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67A02068" w14:textId="77777777" w:rsidR="006B5DF1" w:rsidRPr="00D12A36" w:rsidRDefault="006B5DF1" w:rsidP="00D12A36">
            <w:pPr>
              <w:pStyle w:val="TableText"/>
              <w:tabs>
                <w:tab w:val="left" w:pos="3306"/>
              </w:tabs>
              <w:spacing w:before="20"/>
              <w:jc w:val="right"/>
              <w:rPr>
                <w:rFonts w:cs="Calibri"/>
              </w:rPr>
            </w:pPr>
          </w:p>
        </w:tc>
      </w:tr>
      <w:tr w:rsidR="006B5DF1" w:rsidRPr="00CF7E1B" w14:paraId="59BD1712" w14:textId="77777777" w:rsidTr="00C736E0">
        <w:tc>
          <w:tcPr>
            <w:tcW w:w="1537" w:type="dxa"/>
            <w:tcBorders>
              <w:left w:val="single" w:sz="2" w:space="0" w:color="auto"/>
              <w:right w:val="single" w:sz="2" w:space="0" w:color="auto"/>
            </w:tcBorders>
          </w:tcPr>
          <w:p w14:paraId="249092C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95C91E5" w14:textId="77777777" w:rsidR="006B5DF1" w:rsidRPr="00B73007" w:rsidRDefault="006B5DF1" w:rsidP="00D12A36">
            <w:pPr>
              <w:pStyle w:val="TableText"/>
              <w:tabs>
                <w:tab w:val="left" w:pos="3306"/>
              </w:tabs>
              <w:spacing w:before="20"/>
              <w:rPr>
                <w:rFonts w:cs="Calibri"/>
              </w:rPr>
            </w:pPr>
            <w:r w:rsidRPr="00B73007">
              <w:rPr>
                <w:rFonts w:cs="Calibri"/>
              </w:rPr>
              <w:t>Other Liabilities</w:t>
            </w:r>
          </w:p>
        </w:tc>
        <w:tc>
          <w:tcPr>
            <w:tcW w:w="1660" w:type="dxa"/>
            <w:vAlign w:val="bottom"/>
          </w:tcPr>
          <w:p w14:paraId="4F55ECB6" w14:textId="3123E7E3" w:rsidR="006B5DF1" w:rsidRPr="00D12A36" w:rsidRDefault="006B5DF1" w:rsidP="00D12A36">
            <w:pPr>
              <w:pStyle w:val="TableText"/>
              <w:tabs>
                <w:tab w:val="left" w:pos="3306"/>
              </w:tabs>
              <w:spacing w:before="20"/>
              <w:jc w:val="center"/>
              <w:rPr>
                <w:rFonts w:cs="Calibri"/>
              </w:rPr>
            </w:pPr>
            <w:r w:rsidRPr="00D12A36">
              <w:rPr>
                <w:rFonts w:cs="Calibri"/>
              </w:rPr>
              <w:t>29</w:t>
            </w:r>
          </w:p>
        </w:tc>
        <w:tc>
          <w:tcPr>
            <w:tcW w:w="1260" w:type="dxa"/>
            <w:tcBorders>
              <w:bottom w:val="single" w:sz="2" w:space="0" w:color="auto"/>
            </w:tcBorders>
            <w:vAlign w:val="bottom"/>
          </w:tcPr>
          <w:p w14:paraId="2E66D8E3"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3A9B3CFB"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707F2BB8" w14:textId="77777777" w:rsidR="006B5DF1" w:rsidRPr="00D12A36" w:rsidRDefault="006B5DF1" w:rsidP="00D12A36">
            <w:pPr>
              <w:pStyle w:val="TableText"/>
              <w:tabs>
                <w:tab w:val="left" w:pos="3306"/>
              </w:tabs>
              <w:spacing w:before="20"/>
              <w:jc w:val="right"/>
              <w:rPr>
                <w:rFonts w:cs="Calibri"/>
              </w:rPr>
            </w:pPr>
          </w:p>
        </w:tc>
      </w:tr>
      <w:tr w:rsidR="006B5DF1" w:rsidRPr="00CF7E1B" w14:paraId="7CF61C93" w14:textId="77777777" w:rsidTr="00C736E0">
        <w:tc>
          <w:tcPr>
            <w:tcW w:w="1537" w:type="dxa"/>
            <w:tcBorders>
              <w:left w:val="single" w:sz="2" w:space="0" w:color="auto"/>
              <w:right w:val="single" w:sz="2" w:space="0" w:color="auto"/>
            </w:tcBorders>
          </w:tcPr>
          <w:p w14:paraId="462AF6A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945AB86" w14:textId="77777777" w:rsidR="006B5DF1" w:rsidRPr="00B73007" w:rsidRDefault="006B5DF1" w:rsidP="006B5DF1">
            <w:pPr>
              <w:pStyle w:val="TableText"/>
              <w:tabs>
                <w:tab w:val="left" w:pos="3306"/>
              </w:tabs>
              <w:rPr>
                <w:rFonts w:cs="Calibri"/>
                <w:b/>
                <w:bCs/>
              </w:rPr>
            </w:pPr>
            <w:r w:rsidRPr="00B73007">
              <w:rPr>
                <w:rFonts w:cs="Calibri"/>
                <w:b/>
                <w:bCs/>
              </w:rPr>
              <w:t>Total Current Liabilities</w:t>
            </w:r>
          </w:p>
        </w:tc>
        <w:tc>
          <w:tcPr>
            <w:tcW w:w="1660" w:type="dxa"/>
            <w:vAlign w:val="bottom"/>
          </w:tcPr>
          <w:p w14:paraId="00D236BC"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tcBorders>
            <w:vAlign w:val="bottom"/>
          </w:tcPr>
          <w:p w14:paraId="1B8A71F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tcBorders>
            <w:vAlign w:val="bottom"/>
          </w:tcPr>
          <w:p w14:paraId="2941BB0A"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tcBorders>
            <w:vAlign w:val="bottom"/>
          </w:tcPr>
          <w:p w14:paraId="59B12C1C" w14:textId="77777777" w:rsidR="006B5DF1" w:rsidRPr="00D12A36" w:rsidRDefault="006B5DF1" w:rsidP="006B5DF1">
            <w:pPr>
              <w:pStyle w:val="TableText"/>
              <w:tabs>
                <w:tab w:val="left" w:pos="3306"/>
              </w:tabs>
              <w:jc w:val="right"/>
              <w:rPr>
                <w:rFonts w:cs="Calibri"/>
                <w:b/>
                <w:bCs/>
              </w:rPr>
            </w:pPr>
          </w:p>
        </w:tc>
      </w:tr>
      <w:tr w:rsidR="006B5DF1" w:rsidRPr="00CF7E1B" w14:paraId="3E3C44AC" w14:textId="77777777" w:rsidTr="00C736E0">
        <w:tc>
          <w:tcPr>
            <w:tcW w:w="1537" w:type="dxa"/>
            <w:tcBorders>
              <w:left w:val="single" w:sz="2" w:space="0" w:color="auto"/>
              <w:right w:val="single" w:sz="2" w:space="0" w:color="auto"/>
            </w:tcBorders>
          </w:tcPr>
          <w:p w14:paraId="71D167A9" w14:textId="77777777" w:rsidR="006B5DF1" w:rsidRPr="008238E7" w:rsidRDefault="006B5DF1" w:rsidP="006B5DF1">
            <w:pPr>
              <w:pStyle w:val="TableReference"/>
              <w:tabs>
                <w:tab w:val="left" w:pos="3306"/>
              </w:tabs>
              <w:spacing w:before="4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0982AD97" w14:textId="77777777" w:rsidR="006B5DF1" w:rsidRPr="00B73007" w:rsidRDefault="006B5DF1" w:rsidP="006B5DF1">
            <w:pPr>
              <w:pStyle w:val="TableText"/>
              <w:tabs>
                <w:tab w:val="left" w:pos="3306"/>
              </w:tabs>
              <w:rPr>
                <w:rFonts w:cs="Calibri"/>
                <w:b/>
                <w:bCs/>
              </w:rPr>
            </w:pPr>
            <w:bookmarkStart w:id="173" w:name="_Toc48468221"/>
            <w:bookmarkStart w:id="174" w:name="_Toc49155413"/>
            <w:bookmarkStart w:id="175" w:name="_Toc49223861"/>
            <w:r w:rsidRPr="00B73007">
              <w:rPr>
                <w:rFonts w:cs="Calibri"/>
                <w:b/>
                <w:bCs/>
              </w:rPr>
              <w:t>Non-Current Liabilities</w:t>
            </w:r>
            <w:bookmarkEnd w:id="173"/>
            <w:bookmarkEnd w:id="174"/>
            <w:bookmarkEnd w:id="175"/>
          </w:p>
        </w:tc>
        <w:tc>
          <w:tcPr>
            <w:tcW w:w="1660" w:type="dxa"/>
            <w:vAlign w:val="bottom"/>
          </w:tcPr>
          <w:p w14:paraId="754A429C" w14:textId="77777777" w:rsidR="006B5DF1" w:rsidRPr="00D12A36" w:rsidRDefault="006B5DF1" w:rsidP="006B5DF1">
            <w:pPr>
              <w:pStyle w:val="TableText"/>
              <w:tabs>
                <w:tab w:val="left" w:pos="3306"/>
              </w:tabs>
              <w:jc w:val="center"/>
              <w:rPr>
                <w:rFonts w:cs="Calibri"/>
              </w:rPr>
            </w:pPr>
          </w:p>
        </w:tc>
        <w:tc>
          <w:tcPr>
            <w:tcW w:w="1260" w:type="dxa"/>
            <w:vAlign w:val="bottom"/>
          </w:tcPr>
          <w:p w14:paraId="3CEA42D3" w14:textId="77777777" w:rsidR="006B5DF1" w:rsidRPr="00D12A36" w:rsidRDefault="006B5DF1" w:rsidP="006B5DF1">
            <w:pPr>
              <w:pStyle w:val="TableText"/>
              <w:tabs>
                <w:tab w:val="left" w:pos="3306"/>
              </w:tabs>
              <w:jc w:val="right"/>
              <w:rPr>
                <w:rFonts w:cs="Calibri"/>
              </w:rPr>
            </w:pPr>
          </w:p>
        </w:tc>
        <w:tc>
          <w:tcPr>
            <w:tcW w:w="1395" w:type="dxa"/>
            <w:vAlign w:val="bottom"/>
          </w:tcPr>
          <w:p w14:paraId="02125EB7" w14:textId="77777777" w:rsidR="006B5DF1" w:rsidRPr="00D12A36" w:rsidRDefault="006B5DF1" w:rsidP="006B5DF1">
            <w:pPr>
              <w:pStyle w:val="TableText"/>
              <w:tabs>
                <w:tab w:val="left" w:pos="3306"/>
              </w:tabs>
              <w:jc w:val="right"/>
              <w:rPr>
                <w:rFonts w:cs="Calibri"/>
              </w:rPr>
            </w:pPr>
          </w:p>
        </w:tc>
        <w:tc>
          <w:tcPr>
            <w:tcW w:w="1396" w:type="dxa"/>
            <w:vAlign w:val="bottom"/>
          </w:tcPr>
          <w:p w14:paraId="15C83F97" w14:textId="77777777" w:rsidR="006B5DF1" w:rsidRPr="00D12A36" w:rsidRDefault="006B5DF1" w:rsidP="006B5DF1">
            <w:pPr>
              <w:pStyle w:val="TableText"/>
              <w:tabs>
                <w:tab w:val="left" w:pos="3306"/>
              </w:tabs>
              <w:jc w:val="right"/>
              <w:rPr>
                <w:rFonts w:cs="Calibri"/>
                <w:b/>
                <w:bCs/>
              </w:rPr>
            </w:pPr>
          </w:p>
        </w:tc>
      </w:tr>
      <w:tr w:rsidR="006B5DF1" w:rsidRPr="00CF7E1B" w14:paraId="1C3C9E1D" w14:textId="77777777" w:rsidTr="00C736E0">
        <w:tc>
          <w:tcPr>
            <w:tcW w:w="1537" w:type="dxa"/>
            <w:tcBorders>
              <w:left w:val="single" w:sz="2" w:space="0" w:color="auto"/>
              <w:right w:val="single" w:sz="2" w:space="0" w:color="auto"/>
            </w:tcBorders>
          </w:tcPr>
          <w:p w14:paraId="29234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101.54(k)</w:t>
            </w:r>
          </w:p>
        </w:tc>
        <w:tc>
          <w:tcPr>
            <w:tcW w:w="3296" w:type="dxa"/>
            <w:tcBorders>
              <w:left w:val="single" w:sz="2" w:space="0" w:color="auto"/>
            </w:tcBorders>
            <w:shd w:val="clear" w:color="auto" w:fill="auto"/>
            <w:vAlign w:val="bottom"/>
          </w:tcPr>
          <w:p w14:paraId="49C8D872" w14:textId="5CA9065B" w:rsidR="006B5DF1" w:rsidRPr="00B73007" w:rsidRDefault="006B5DF1" w:rsidP="00D12A36">
            <w:pPr>
              <w:pStyle w:val="TableText"/>
              <w:tabs>
                <w:tab w:val="left" w:pos="3306"/>
              </w:tabs>
              <w:spacing w:before="20"/>
              <w:rPr>
                <w:rFonts w:cs="Calibri"/>
              </w:rPr>
            </w:pPr>
            <w:r w:rsidRPr="00B73007">
              <w:rPr>
                <w:rFonts w:cs="Calibri"/>
              </w:rPr>
              <w:t>Payables</w:t>
            </w:r>
            <w:r w:rsidR="00FC2ACA" w:rsidRPr="00B73007">
              <w:rPr>
                <w:rFonts w:cs="Calibri"/>
                <w:color w:val="FF0000"/>
              </w:rPr>
              <w:t xml:space="preserve"> </w:t>
            </w:r>
          </w:p>
        </w:tc>
        <w:tc>
          <w:tcPr>
            <w:tcW w:w="1660" w:type="dxa"/>
            <w:vAlign w:val="bottom"/>
          </w:tcPr>
          <w:p w14:paraId="392478C9" w14:textId="5FAEE86E"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vAlign w:val="bottom"/>
          </w:tcPr>
          <w:p w14:paraId="473A9C06"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E80665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EE25752" w14:textId="77777777" w:rsidR="006B5DF1" w:rsidRPr="00D12A36" w:rsidRDefault="006B5DF1" w:rsidP="00D12A36">
            <w:pPr>
              <w:pStyle w:val="TableText"/>
              <w:tabs>
                <w:tab w:val="left" w:pos="3306"/>
              </w:tabs>
              <w:spacing w:before="20"/>
              <w:jc w:val="right"/>
              <w:rPr>
                <w:rFonts w:cs="Calibri"/>
              </w:rPr>
            </w:pPr>
          </w:p>
        </w:tc>
      </w:tr>
      <w:tr w:rsidR="006B5DF1" w:rsidRPr="007E0503" w14:paraId="30F2C0E1" w14:textId="77777777" w:rsidTr="00C736E0">
        <w:tc>
          <w:tcPr>
            <w:tcW w:w="1537" w:type="dxa"/>
            <w:tcBorders>
              <w:left w:val="single" w:sz="2" w:space="0" w:color="auto"/>
              <w:right w:val="single" w:sz="2" w:space="0" w:color="auto"/>
            </w:tcBorders>
          </w:tcPr>
          <w:p w14:paraId="5C8A7049" w14:textId="77777777" w:rsidR="006B5DF1" w:rsidRPr="00FC2ACA" w:rsidRDefault="006B5DF1" w:rsidP="006B5DF1">
            <w:pPr>
              <w:pStyle w:val="TableReference"/>
              <w:tabs>
                <w:tab w:val="left" w:pos="3306"/>
              </w:tabs>
              <w:spacing w:before="60"/>
              <w:rPr>
                <w:rFonts w:cs="Calibri"/>
                <w:strike/>
                <w:color w:val="FF0000"/>
                <w:sz w:val="14"/>
              </w:rPr>
            </w:pPr>
            <w:r w:rsidRPr="00FC2ACA">
              <w:rPr>
                <w:rFonts w:cs="Calibri"/>
                <w:strike/>
                <w:color w:val="FF0000"/>
                <w:sz w:val="14"/>
              </w:rPr>
              <w:t>AASB 101.55</w:t>
            </w:r>
          </w:p>
        </w:tc>
        <w:tc>
          <w:tcPr>
            <w:tcW w:w="3296" w:type="dxa"/>
            <w:tcBorders>
              <w:left w:val="single" w:sz="2" w:space="0" w:color="auto"/>
            </w:tcBorders>
            <w:shd w:val="clear" w:color="auto" w:fill="auto"/>
            <w:vAlign w:val="bottom"/>
          </w:tcPr>
          <w:p w14:paraId="460291BC" w14:textId="77777777" w:rsidR="006B5DF1" w:rsidRPr="00FC2ACA" w:rsidRDefault="006B5DF1" w:rsidP="00D12A36">
            <w:pPr>
              <w:pStyle w:val="TableText"/>
              <w:tabs>
                <w:tab w:val="left" w:pos="3306"/>
              </w:tabs>
              <w:spacing w:before="20"/>
              <w:rPr>
                <w:rFonts w:cs="Calibri"/>
                <w:strike/>
                <w:color w:val="FF0000"/>
              </w:rPr>
            </w:pPr>
            <w:r w:rsidRPr="00FC2ACA">
              <w:rPr>
                <w:rFonts w:cs="Calibri"/>
                <w:strike/>
                <w:color w:val="FF0000"/>
              </w:rPr>
              <w:t>Contract Liabilities</w:t>
            </w:r>
          </w:p>
        </w:tc>
        <w:tc>
          <w:tcPr>
            <w:tcW w:w="1660" w:type="dxa"/>
            <w:vAlign w:val="bottom"/>
          </w:tcPr>
          <w:p w14:paraId="6B9DC4BE" w14:textId="2A07A7E5" w:rsidR="006B5DF1" w:rsidRPr="00FC2ACA" w:rsidRDefault="006B5DF1" w:rsidP="00D12A36">
            <w:pPr>
              <w:pStyle w:val="TableText"/>
              <w:tabs>
                <w:tab w:val="left" w:pos="3306"/>
              </w:tabs>
              <w:spacing w:before="20"/>
              <w:jc w:val="center"/>
              <w:rPr>
                <w:rFonts w:cs="Calibri"/>
                <w:strike/>
                <w:color w:val="FF0000"/>
              </w:rPr>
            </w:pPr>
            <w:r w:rsidRPr="00FC2ACA">
              <w:rPr>
                <w:rFonts w:cs="Calibri"/>
                <w:strike/>
                <w:color w:val="FF0000"/>
              </w:rPr>
              <w:t>24</w:t>
            </w:r>
          </w:p>
        </w:tc>
        <w:tc>
          <w:tcPr>
            <w:tcW w:w="1260" w:type="dxa"/>
            <w:shd w:val="clear" w:color="auto" w:fill="auto"/>
            <w:vAlign w:val="bottom"/>
          </w:tcPr>
          <w:p w14:paraId="1E9198FF" w14:textId="77777777" w:rsidR="006B5DF1" w:rsidRPr="00D12A36" w:rsidRDefault="006B5DF1" w:rsidP="00D12A36">
            <w:pPr>
              <w:pStyle w:val="TableText"/>
              <w:tabs>
                <w:tab w:val="left" w:pos="3306"/>
              </w:tabs>
              <w:spacing w:before="20"/>
              <w:ind w:right="-1026"/>
              <w:jc w:val="center"/>
              <w:rPr>
                <w:rFonts w:cs="Calibri"/>
              </w:rPr>
            </w:pPr>
          </w:p>
        </w:tc>
        <w:tc>
          <w:tcPr>
            <w:tcW w:w="1395" w:type="dxa"/>
            <w:shd w:val="clear" w:color="auto" w:fill="auto"/>
            <w:vAlign w:val="bottom"/>
          </w:tcPr>
          <w:p w14:paraId="52A73EBC"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751E92CD" w14:textId="77777777" w:rsidR="006B5DF1" w:rsidRPr="00D12A36" w:rsidRDefault="006B5DF1" w:rsidP="00D12A36">
            <w:pPr>
              <w:pStyle w:val="TableText"/>
              <w:tabs>
                <w:tab w:val="left" w:pos="3306"/>
              </w:tabs>
              <w:spacing w:before="20"/>
              <w:jc w:val="right"/>
              <w:rPr>
                <w:rFonts w:cs="Calibri"/>
              </w:rPr>
            </w:pPr>
          </w:p>
        </w:tc>
      </w:tr>
      <w:tr w:rsidR="006B5DF1" w:rsidRPr="007E0503" w14:paraId="524BC156" w14:textId="77777777" w:rsidTr="00C736E0">
        <w:tc>
          <w:tcPr>
            <w:tcW w:w="1537" w:type="dxa"/>
            <w:tcBorders>
              <w:left w:val="single" w:sz="2" w:space="0" w:color="auto"/>
              <w:right w:val="single" w:sz="2" w:space="0" w:color="auto"/>
            </w:tcBorders>
          </w:tcPr>
          <w:p w14:paraId="6BDE3BB2"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47A51233" w14:textId="0AF367B0" w:rsidR="006B5DF1" w:rsidRPr="00D12A36" w:rsidRDefault="007001C1" w:rsidP="00D12A36">
            <w:pPr>
              <w:pStyle w:val="TableText"/>
              <w:tabs>
                <w:tab w:val="left" w:pos="3306"/>
              </w:tabs>
              <w:spacing w:before="20"/>
              <w:rPr>
                <w:rFonts w:cs="Calibri"/>
                <w:b/>
                <w:bCs/>
              </w:rPr>
            </w:pPr>
            <w:r w:rsidRPr="00D12A36">
              <w:rPr>
                <w:rFonts w:cs="Calibri"/>
              </w:rPr>
              <w:t>Borrowings</w:t>
            </w:r>
          </w:p>
        </w:tc>
        <w:tc>
          <w:tcPr>
            <w:tcW w:w="1660" w:type="dxa"/>
            <w:vAlign w:val="bottom"/>
          </w:tcPr>
          <w:p w14:paraId="22B81628" w14:textId="38D1BA3F" w:rsidR="006B5DF1" w:rsidRPr="00D12A36" w:rsidRDefault="006B5DF1" w:rsidP="00D12A36">
            <w:pPr>
              <w:pStyle w:val="TableText"/>
              <w:tabs>
                <w:tab w:val="left" w:pos="3306"/>
              </w:tabs>
              <w:spacing w:before="20"/>
              <w:jc w:val="center"/>
              <w:rPr>
                <w:rFonts w:cs="Calibri"/>
              </w:rPr>
            </w:pPr>
            <w:r w:rsidRPr="00D12A36">
              <w:rPr>
                <w:rFonts w:cs="Calibri"/>
              </w:rPr>
              <w:t>25</w:t>
            </w:r>
          </w:p>
        </w:tc>
        <w:tc>
          <w:tcPr>
            <w:tcW w:w="1260" w:type="dxa"/>
            <w:vAlign w:val="bottom"/>
          </w:tcPr>
          <w:p w14:paraId="0B36B80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D3EA08F"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76A27ABE" w14:textId="77777777" w:rsidR="006B5DF1" w:rsidRPr="00D12A36" w:rsidRDefault="006B5DF1" w:rsidP="00D12A36">
            <w:pPr>
              <w:pStyle w:val="TableText"/>
              <w:tabs>
                <w:tab w:val="left" w:pos="3306"/>
              </w:tabs>
              <w:spacing w:before="20"/>
              <w:jc w:val="right"/>
              <w:rPr>
                <w:rFonts w:cs="Calibri"/>
              </w:rPr>
            </w:pPr>
          </w:p>
        </w:tc>
      </w:tr>
      <w:tr w:rsidR="006B5DF1" w:rsidRPr="007E0503" w14:paraId="2B39C310" w14:textId="77777777" w:rsidTr="00C736E0">
        <w:tc>
          <w:tcPr>
            <w:tcW w:w="1537" w:type="dxa"/>
            <w:tcBorders>
              <w:left w:val="single" w:sz="2" w:space="0" w:color="auto"/>
              <w:right w:val="single" w:sz="2" w:space="0" w:color="auto"/>
            </w:tcBorders>
          </w:tcPr>
          <w:p w14:paraId="0B81B384"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09D0770B" w14:textId="555EAB05" w:rsidR="006B5DF1" w:rsidRPr="00D12A36" w:rsidRDefault="006B5DF1" w:rsidP="00D12A36">
            <w:pPr>
              <w:pStyle w:val="TableText"/>
              <w:tabs>
                <w:tab w:val="left" w:pos="3306"/>
              </w:tabs>
              <w:spacing w:before="20"/>
              <w:rPr>
                <w:rFonts w:cs="Calibri"/>
              </w:rPr>
            </w:pPr>
            <w:r w:rsidRPr="00D12A36">
              <w:rPr>
                <w:rFonts w:cs="Calibri"/>
              </w:rPr>
              <w:t>Lease Liabilities</w:t>
            </w:r>
          </w:p>
        </w:tc>
        <w:tc>
          <w:tcPr>
            <w:tcW w:w="1660" w:type="dxa"/>
            <w:vAlign w:val="bottom"/>
          </w:tcPr>
          <w:p w14:paraId="1D739B4B" w14:textId="78326BA6" w:rsidR="006B5DF1" w:rsidRPr="00D12A36" w:rsidRDefault="006B5DF1" w:rsidP="00D12A36">
            <w:pPr>
              <w:pStyle w:val="TableText"/>
              <w:tabs>
                <w:tab w:val="left" w:pos="3306"/>
              </w:tabs>
              <w:spacing w:before="20"/>
              <w:jc w:val="center"/>
              <w:rPr>
                <w:rFonts w:cs="Calibri"/>
              </w:rPr>
            </w:pPr>
            <w:r w:rsidRPr="00D12A36">
              <w:rPr>
                <w:rFonts w:cs="Calibri"/>
              </w:rPr>
              <w:t>26</w:t>
            </w:r>
          </w:p>
        </w:tc>
        <w:tc>
          <w:tcPr>
            <w:tcW w:w="1260" w:type="dxa"/>
            <w:shd w:val="clear" w:color="auto" w:fill="auto"/>
            <w:vAlign w:val="bottom"/>
          </w:tcPr>
          <w:p w14:paraId="77194BDB"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08018EE"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6D492C6A" w14:textId="77777777" w:rsidR="006B5DF1" w:rsidRPr="00D12A36" w:rsidRDefault="006B5DF1" w:rsidP="00D12A36">
            <w:pPr>
              <w:pStyle w:val="TableText"/>
              <w:tabs>
                <w:tab w:val="left" w:pos="3306"/>
              </w:tabs>
              <w:spacing w:before="20"/>
              <w:jc w:val="right"/>
              <w:rPr>
                <w:rFonts w:cs="Calibri"/>
              </w:rPr>
            </w:pPr>
          </w:p>
        </w:tc>
      </w:tr>
      <w:tr w:rsidR="006B5DF1" w:rsidRPr="007E0503" w14:paraId="06FDBBE5" w14:textId="77777777" w:rsidTr="00C736E0">
        <w:tc>
          <w:tcPr>
            <w:tcW w:w="1537" w:type="dxa"/>
            <w:tcBorders>
              <w:left w:val="single" w:sz="2" w:space="0" w:color="auto"/>
              <w:right w:val="single" w:sz="2" w:space="0" w:color="auto"/>
            </w:tcBorders>
          </w:tcPr>
          <w:p w14:paraId="61FD0DA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401E5DC" w14:textId="77777777" w:rsidR="006B5DF1" w:rsidRPr="00D12A36" w:rsidRDefault="006B5DF1" w:rsidP="00D12A36">
            <w:pPr>
              <w:pStyle w:val="TableText"/>
              <w:tabs>
                <w:tab w:val="left" w:pos="3306"/>
              </w:tabs>
              <w:spacing w:before="20"/>
              <w:rPr>
                <w:rFonts w:cs="Calibri"/>
                <w:b/>
                <w:bCs/>
              </w:rPr>
            </w:pPr>
            <w:r w:rsidRPr="00D12A36">
              <w:rPr>
                <w:rFonts w:cs="Calibri"/>
              </w:rPr>
              <w:t>Employee Benefits</w:t>
            </w:r>
          </w:p>
        </w:tc>
        <w:tc>
          <w:tcPr>
            <w:tcW w:w="1660" w:type="dxa"/>
            <w:vAlign w:val="bottom"/>
          </w:tcPr>
          <w:p w14:paraId="17DBFE1E" w14:textId="05D7230B" w:rsidR="006B5DF1" w:rsidRPr="00D12A36" w:rsidRDefault="006B5DF1" w:rsidP="00D12A36">
            <w:pPr>
              <w:pStyle w:val="TableText"/>
              <w:tabs>
                <w:tab w:val="left" w:pos="3306"/>
              </w:tabs>
              <w:spacing w:before="20"/>
              <w:jc w:val="center"/>
              <w:rPr>
                <w:rFonts w:cs="Calibri"/>
              </w:rPr>
            </w:pPr>
            <w:r w:rsidRPr="00D12A36">
              <w:rPr>
                <w:rFonts w:cs="Calibri"/>
              </w:rPr>
              <w:t>27</w:t>
            </w:r>
          </w:p>
        </w:tc>
        <w:tc>
          <w:tcPr>
            <w:tcW w:w="1260" w:type="dxa"/>
            <w:vAlign w:val="bottom"/>
          </w:tcPr>
          <w:p w14:paraId="6DB08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90C09C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4DDF34E9" w14:textId="77777777" w:rsidR="006B5DF1" w:rsidRPr="00D12A36" w:rsidRDefault="006B5DF1" w:rsidP="00D12A36">
            <w:pPr>
              <w:pStyle w:val="TableText"/>
              <w:tabs>
                <w:tab w:val="left" w:pos="3306"/>
              </w:tabs>
              <w:spacing w:before="20"/>
              <w:jc w:val="right"/>
              <w:rPr>
                <w:rFonts w:cs="Calibri"/>
              </w:rPr>
            </w:pPr>
          </w:p>
        </w:tc>
      </w:tr>
      <w:tr w:rsidR="006B5DF1" w:rsidRPr="007E0503" w14:paraId="3E9936A9" w14:textId="77777777" w:rsidTr="00C736E0">
        <w:tc>
          <w:tcPr>
            <w:tcW w:w="1537" w:type="dxa"/>
            <w:tcBorders>
              <w:left w:val="single" w:sz="2" w:space="0" w:color="auto"/>
              <w:right w:val="single" w:sz="2" w:space="0" w:color="auto"/>
            </w:tcBorders>
          </w:tcPr>
          <w:p w14:paraId="4F1DED3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A2283EA" w14:textId="77777777" w:rsidR="006B5DF1" w:rsidRPr="00D12A36" w:rsidRDefault="006B5DF1" w:rsidP="00D12A36">
            <w:pPr>
              <w:pStyle w:val="TableText"/>
              <w:tabs>
                <w:tab w:val="left" w:pos="3306"/>
              </w:tabs>
              <w:spacing w:before="20"/>
              <w:rPr>
                <w:rFonts w:cs="Calibri"/>
                <w:b/>
                <w:bCs/>
              </w:rPr>
            </w:pPr>
            <w:r w:rsidRPr="00D12A36">
              <w:rPr>
                <w:rFonts w:cs="Calibri"/>
              </w:rPr>
              <w:t>Other Provisions</w:t>
            </w:r>
          </w:p>
        </w:tc>
        <w:tc>
          <w:tcPr>
            <w:tcW w:w="1660" w:type="dxa"/>
            <w:vAlign w:val="bottom"/>
          </w:tcPr>
          <w:p w14:paraId="292B8A8A" w14:textId="1AC2474F" w:rsidR="006B5DF1" w:rsidRPr="00D12A36" w:rsidRDefault="006B5DF1" w:rsidP="00D12A36">
            <w:pPr>
              <w:pStyle w:val="TableText"/>
              <w:tabs>
                <w:tab w:val="left" w:pos="3306"/>
              </w:tabs>
              <w:spacing w:before="20"/>
              <w:jc w:val="center"/>
              <w:rPr>
                <w:rFonts w:cs="Calibri"/>
              </w:rPr>
            </w:pPr>
            <w:r w:rsidRPr="00D12A36">
              <w:rPr>
                <w:rFonts w:cs="Calibri"/>
              </w:rPr>
              <w:t>28</w:t>
            </w:r>
          </w:p>
        </w:tc>
        <w:tc>
          <w:tcPr>
            <w:tcW w:w="1260" w:type="dxa"/>
            <w:vAlign w:val="bottom"/>
          </w:tcPr>
          <w:p w14:paraId="066EA482"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5DA9B0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51E7A45C" w14:textId="77777777" w:rsidR="006B5DF1" w:rsidRPr="00D12A36" w:rsidRDefault="006B5DF1" w:rsidP="00D12A36">
            <w:pPr>
              <w:pStyle w:val="TableText"/>
              <w:tabs>
                <w:tab w:val="left" w:pos="3306"/>
              </w:tabs>
              <w:spacing w:before="20"/>
              <w:jc w:val="right"/>
              <w:rPr>
                <w:rFonts w:cs="Calibri"/>
              </w:rPr>
            </w:pPr>
          </w:p>
        </w:tc>
      </w:tr>
      <w:tr w:rsidR="006B5DF1" w:rsidRPr="007E0503" w14:paraId="4897BB42" w14:textId="77777777" w:rsidTr="00C736E0">
        <w:tc>
          <w:tcPr>
            <w:tcW w:w="1537" w:type="dxa"/>
            <w:tcBorders>
              <w:left w:val="single" w:sz="2" w:space="0" w:color="auto"/>
              <w:right w:val="single" w:sz="2" w:space="0" w:color="auto"/>
            </w:tcBorders>
          </w:tcPr>
          <w:p w14:paraId="16D2D80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1B7185B" w14:textId="77777777" w:rsidR="006B5DF1" w:rsidRPr="00D12A36" w:rsidRDefault="006B5DF1" w:rsidP="00D12A36">
            <w:pPr>
              <w:pStyle w:val="TableText"/>
              <w:tabs>
                <w:tab w:val="left" w:pos="3306"/>
              </w:tabs>
              <w:spacing w:before="20"/>
              <w:rPr>
                <w:rFonts w:cs="Calibri"/>
                <w:b/>
                <w:bCs/>
              </w:rPr>
            </w:pPr>
            <w:r w:rsidRPr="00D12A36">
              <w:rPr>
                <w:rFonts w:cs="Calibri"/>
              </w:rPr>
              <w:t>Other Liabilities</w:t>
            </w:r>
          </w:p>
        </w:tc>
        <w:tc>
          <w:tcPr>
            <w:tcW w:w="1660" w:type="dxa"/>
            <w:vAlign w:val="bottom"/>
          </w:tcPr>
          <w:p w14:paraId="582E2649" w14:textId="0417B260" w:rsidR="006B5DF1" w:rsidRPr="00D12A36" w:rsidRDefault="006B5DF1" w:rsidP="00D12A36">
            <w:pPr>
              <w:pStyle w:val="TableText"/>
              <w:tabs>
                <w:tab w:val="left" w:pos="3306"/>
              </w:tabs>
              <w:spacing w:before="20"/>
              <w:jc w:val="center"/>
              <w:rPr>
                <w:rFonts w:cs="Calibri"/>
              </w:rPr>
            </w:pPr>
            <w:r w:rsidRPr="00D12A36">
              <w:rPr>
                <w:rFonts w:cs="Calibri"/>
              </w:rPr>
              <w:t>29</w:t>
            </w:r>
          </w:p>
        </w:tc>
        <w:tc>
          <w:tcPr>
            <w:tcW w:w="1260" w:type="dxa"/>
            <w:tcBorders>
              <w:bottom w:val="single" w:sz="2" w:space="0" w:color="auto"/>
            </w:tcBorders>
            <w:vAlign w:val="bottom"/>
          </w:tcPr>
          <w:p w14:paraId="7D7FA671"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25213AC8"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6D8DCB5" w14:textId="77777777" w:rsidR="006B5DF1" w:rsidRPr="00D12A36" w:rsidRDefault="006B5DF1" w:rsidP="00D12A36">
            <w:pPr>
              <w:pStyle w:val="TableText"/>
              <w:tabs>
                <w:tab w:val="left" w:pos="3306"/>
              </w:tabs>
              <w:spacing w:before="20"/>
              <w:jc w:val="right"/>
              <w:rPr>
                <w:rFonts w:cs="Calibri"/>
              </w:rPr>
            </w:pPr>
          </w:p>
        </w:tc>
      </w:tr>
      <w:tr w:rsidR="006B5DF1" w:rsidRPr="00CF7E1B" w14:paraId="2A608182" w14:textId="77777777" w:rsidTr="00C736E0">
        <w:tc>
          <w:tcPr>
            <w:tcW w:w="1537" w:type="dxa"/>
            <w:tcBorders>
              <w:left w:val="single" w:sz="2" w:space="0" w:color="auto"/>
              <w:right w:val="single" w:sz="2" w:space="0" w:color="auto"/>
            </w:tcBorders>
          </w:tcPr>
          <w:p w14:paraId="7FF7B2F5"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C9954FE" w14:textId="77777777" w:rsidR="006B5DF1" w:rsidRPr="00D12A36" w:rsidRDefault="006B5DF1" w:rsidP="006B5DF1">
            <w:pPr>
              <w:pStyle w:val="TableText"/>
              <w:tabs>
                <w:tab w:val="left" w:pos="3306"/>
              </w:tabs>
              <w:rPr>
                <w:rFonts w:cs="Calibri"/>
                <w:b/>
                <w:bCs/>
              </w:rPr>
            </w:pPr>
            <w:r w:rsidRPr="00D12A36">
              <w:rPr>
                <w:rFonts w:cs="Calibri"/>
                <w:b/>
                <w:bCs/>
              </w:rPr>
              <w:t>Total Non-Current Liabilities</w:t>
            </w:r>
          </w:p>
        </w:tc>
        <w:tc>
          <w:tcPr>
            <w:tcW w:w="1660" w:type="dxa"/>
            <w:vAlign w:val="bottom"/>
          </w:tcPr>
          <w:p w14:paraId="015E750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1FBB945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7A357895"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05FE852" w14:textId="77777777" w:rsidR="006B5DF1" w:rsidRPr="00D12A36" w:rsidRDefault="006B5DF1" w:rsidP="006B5DF1">
            <w:pPr>
              <w:pStyle w:val="TableText"/>
              <w:tabs>
                <w:tab w:val="left" w:pos="3306"/>
              </w:tabs>
              <w:jc w:val="right"/>
              <w:rPr>
                <w:rFonts w:cs="Calibri"/>
                <w:b/>
                <w:bCs/>
              </w:rPr>
            </w:pPr>
          </w:p>
        </w:tc>
      </w:tr>
      <w:tr w:rsidR="006B5DF1" w:rsidRPr="00CF7E1B" w14:paraId="47888E2F" w14:textId="77777777" w:rsidTr="00C736E0">
        <w:tc>
          <w:tcPr>
            <w:tcW w:w="1537" w:type="dxa"/>
            <w:tcBorders>
              <w:left w:val="single" w:sz="2" w:space="0" w:color="auto"/>
              <w:right w:val="single" w:sz="2" w:space="0" w:color="auto"/>
            </w:tcBorders>
          </w:tcPr>
          <w:p w14:paraId="53552B7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571933B" w14:textId="77777777" w:rsidR="006B5DF1" w:rsidRPr="00D12A36" w:rsidRDefault="006B5DF1" w:rsidP="006B5DF1">
            <w:pPr>
              <w:pStyle w:val="TableText"/>
              <w:tabs>
                <w:tab w:val="left" w:pos="3306"/>
              </w:tabs>
              <w:rPr>
                <w:rFonts w:cs="Calibri"/>
                <w:b/>
                <w:bCs/>
              </w:rPr>
            </w:pPr>
            <w:bookmarkStart w:id="176" w:name="_Toc48468222"/>
            <w:bookmarkStart w:id="177" w:name="_Toc49155414"/>
            <w:bookmarkStart w:id="178" w:name="_Toc49223862"/>
            <w:r w:rsidRPr="00D12A36">
              <w:rPr>
                <w:rFonts w:cs="Calibri"/>
                <w:b/>
                <w:bCs/>
              </w:rPr>
              <w:t>Total Liabilities</w:t>
            </w:r>
            <w:bookmarkEnd w:id="176"/>
            <w:bookmarkEnd w:id="177"/>
            <w:bookmarkEnd w:id="178"/>
          </w:p>
        </w:tc>
        <w:tc>
          <w:tcPr>
            <w:tcW w:w="1660" w:type="dxa"/>
            <w:vAlign w:val="bottom"/>
          </w:tcPr>
          <w:p w14:paraId="712A02D7"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73BBEC16"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0B5CFD1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0966CB0E" w14:textId="77777777" w:rsidR="006B5DF1" w:rsidRPr="00D12A36" w:rsidRDefault="006B5DF1" w:rsidP="006B5DF1">
            <w:pPr>
              <w:pStyle w:val="TableText"/>
              <w:tabs>
                <w:tab w:val="left" w:pos="3306"/>
              </w:tabs>
              <w:jc w:val="right"/>
              <w:rPr>
                <w:rFonts w:cs="Calibri"/>
                <w:b/>
                <w:bCs/>
              </w:rPr>
            </w:pPr>
          </w:p>
        </w:tc>
      </w:tr>
      <w:tr w:rsidR="006B5DF1" w:rsidRPr="00CF7E1B" w14:paraId="7659B486" w14:textId="77777777" w:rsidTr="00C736E0">
        <w:tc>
          <w:tcPr>
            <w:tcW w:w="1537" w:type="dxa"/>
            <w:tcBorders>
              <w:left w:val="single" w:sz="2" w:space="0" w:color="auto"/>
              <w:right w:val="single" w:sz="2" w:space="0" w:color="auto"/>
            </w:tcBorders>
          </w:tcPr>
          <w:p w14:paraId="5CC38075"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323EB1C" w14:textId="77777777" w:rsidR="006B5DF1" w:rsidRPr="00D12A36" w:rsidRDefault="006B5DF1" w:rsidP="006B5DF1">
            <w:pPr>
              <w:pStyle w:val="TableText"/>
              <w:tabs>
                <w:tab w:val="left" w:pos="3306"/>
              </w:tabs>
              <w:rPr>
                <w:rFonts w:cs="Calibri"/>
                <w:b/>
                <w:bCs/>
              </w:rPr>
            </w:pPr>
            <w:r w:rsidRPr="00D12A36">
              <w:rPr>
                <w:rFonts w:cs="Calibri"/>
                <w:b/>
                <w:bCs/>
              </w:rPr>
              <w:t xml:space="preserve">Net Assets </w:t>
            </w:r>
          </w:p>
        </w:tc>
        <w:tc>
          <w:tcPr>
            <w:tcW w:w="1660" w:type="dxa"/>
            <w:vAlign w:val="bottom"/>
          </w:tcPr>
          <w:p w14:paraId="23FF6C8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18F2A12E" w14:textId="77777777" w:rsidR="006B5DF1" w:rsidRPr="00D12A36" w:rsidRDefault="006B5DF1" w:rsidP="006B5DF1">
            <w:pPr>
              <w:pStyle w:val="TableText"/>
              <w:tabs>
                <w:tab w:val="left" w:pos="3306"/>
              </w:tabs>
              <w:ind w:right="-1168"/>
              <w:jc w:val="center"/>
              <w:rPr>
                <w:rFonts w:cs="Calibri"/>
                <w:b/>
                <w:bCs/>
                <w:strike/>
              </w:rPr>
            </w:pPr>
          </w:p>
        </w:tc>
        <w:tc>
          <w:tcPr>
            <w:tcW w:w="1395" w:type="dxa"/>
            <w:tcBorders>
              <w:top w:val="single" w:sz="2" w:space="0" w:color="auto"/>
              <w:bottom w:val="double" w:sz="4" w:space="0" w:color="auto"/>
            </w:tcBorders>
            <w:vAlign w:val="bottom"/>
          </w:tcPr>
          <w:p w14:paraId="2F1E0F0B"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2F33EEB7" w14:textId="77777777" w:rsidR="006B5DF1" w:rsidRPr="00D12A36" w:rsidRDefault="006B5DF1" w:rsidP="006B5DF1">
            <w:pPr>
              <w:pStyle w:val="TableText"/>
              <w:tabs>
                <w:tab w:val="left" w:pos="3306"/>
              </w:tabs>
              <w:jc w:val="right"/>
              <w:rPr>
                <w:rFonts w:cs="Calibri"/>
                <w:b/>
                <w:bCs/>
              </w:rPr>
            </w:pPr>
          </w:p>
        </w:tc>
      </w:tr>
      <w:tr w:rsidR="006B5DF1" w:rsidRPr="00CF7E1B" w14:paraId="0C1E9DD6" w14:textId="77777777" w:rsidTr="00C736E0">
        <w:trPr>
          <w:trHeight w:val="117"/>
        </w:trPr>
        <w:tc>
          <w:tcPr>
            <w:tcW w:w="1537" w:type="dxa"/>
            <w:tcBorders>
              <w:left w:val="single" w:sz="2" w:space="0" w:color="auto"/>
              <w:right w:val="single" w:sz="2" w:space="0" w:color="auto"/>
            </w:tcBorders>
            <w:vAlign w:val="bottom"/>
          </w:tcPr>
          <w:p w14:paraId="6A6F74E9"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0E4EEC7" w14:textId="77777777" w:rsidR="006B5DF1" w:rsidRPr="00D12A36" w:rsidRDefault="006B5DF1" w:rsidP="006B5DF1">
            <w:pPr>
              <w:pStyle w:val="TableText"/>
              <w:tabs>
                <w:tab w:val="left" w:pos="3306"/>
              </w:tabs>
              <w:spacing w:before="0"/>
              <w:rPr>
                <w:rFonts w:cs="Calibri"/>
                <w:sz w:val="12"/>
              </w:rPr>
            </w:pPr>
          </w:p>
        </w:tc>
        <w:tc>
          <w:tcPr>
            <w:tcW w:w="1660" w:type="dxa"/>
            <w:vAlign w:val="bottom"/>
          </w:tcPr>
          <w:p w14:paraId="79A923DA" w14:textId="77777777" w:rsidR="006B5DF1" w:rsidRPr="00D12A36" w:rsidRDefault="006B5DF1" w:rsidP="006B5DF1">
            <w:pPr>
              <w:pStyle w:val="TableText"/>
              <w:tabs>
                <w:tab w:val="left" w:pos="3306"/>
              </w:tabs>
              <w:spacing w:before="0"/>
              <w:jc w:val="center"/>
              <w:rPr>
                <w:rFonts w:cs="Calibri"/>
                <w:sz w:val="12"/>
              </w:rPr>
            </w:pPr>
          </w:p>
        </w:tc>
        <w:tc>
          <w:tcPr>
            <w:tcW w:w="1260" w:type="dxa"/>
            <w:tcBorders>
              <w:top w:val="double" w:sz="4" w:space="0" w:color="auto"/>
            </w:tcBorders>
            <w:vAlign w:val="bottom"/>
          </w:tcPr>
          <w:p w14:paraId="68D1610C" w14:textId="77777777" w:rsidR="006B5DF1" w:rsidRPr="00D12A36" w:rsidRDefault="006B5DF1" w:rsidP="006B5DF1">
            <w:pPr>
              <w:pStyle w:val="TableText"/>
              <w:tabs>
                <w:tab w:val="left" w:pos="3306"/>
              </w:tabs>
              <w:spacing w:before="0"/>
              <w:jc w:val="right"/>
              <w:rPr>
                <w:rFonts w:cs="Calibri"/>
                <w:sz w:val="12"/>
              </w:rPr>
            </w:pPr>
          </w:p>
        </w:tc>
        <w:tc>
          <w:tcPr>
            <w:tcW w:w="1395" w:type="dxa"/>
            <w:tcBorders>
              <w:top w:val="double" w:sz="4" w:space="0" w:color="auto"/>
            </w:tcBorders>
            <w:vAlign w:val="bottom"/>
          </w:tcPr>
          <w:p w14:paraId="4384F721" w14:textId="77777777" w:rsidR="006B5DF1" w:rsidRPr="00D12A36" w:rsidRDefault="006B5DF1" w:rsidP="006B5DF1">
            <w:pPr>
              <w:pStyle w:val="TableText"/>
              <w:tabs>
                <w:tab w:val="left" w:pos="3306"/>
              </w:tabs>
              <w:spacing w:before="0"/>
              <w:jc w:val="right"/>
              <w:rPr>
                <w:rFonts w:cs="Calibri"/>
                <w:sz w:val="12"/>
              </w:rPr>
            </w:pPr>
          </w:p>
        </w:tc>
        <w:tc>
          <w:tcPr>
            <w:tcW w:w="1396" w:type="dxa"/>
            <w:tcBorders>
              <w:top w:val="double" w:sz="4" w:space="0" w:color="auto"/>
            </w:tcBorders>
            <w:vAlign w:val="bottom"/>
          </w:tcPr>
          <w:p w14:paraId="5F098ACC" w14:textId="77777777" w:rsidR="006B5DF1" w:rsidRPr="00D12A36" w:rsidRDefault="006B5DF1" w:rsidP="006B5DF1">
            <w:pPr>
              <w:pStyle w:val="TableText"/>
              <w:tabs>
                <w:tab w:val="left" w:pos="3306"/>
              </w:tabs>
              <w:spacing w:before="0"/>
              <w:jc w:val="right"/>
              <w:rPr>
                <w:rFonts w:cs="Calibri"/>
                <w:sz w:val="12"/>
              </w:rPr>
            </w:pPr>
          </w:p>
        </w:tc>
      </w:tr>
      <w:tr w:rsidR="006B5DF1" w:rsidRPr="00CF7E1B" w14:paraId="53BB0309" w14:textId="77777777" w:rsidTr="00C736E0">
        <w:tc>
          <w:tcPr>
            <w:tcW w:w="1537" w:type="dxa"/>
            <w:tcBorders>
              <w:left w:val="single" w:sz="2" w:space="0" w:color="auto"/>
              <w:right w:val="single" w:sz="2" w:space="0" w:color="auto"/>
            </w:tcBorders>
          </w:tcPr>
          <w:p w14:paraId="0D99D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623B187C" w14:textId="77777777" w:rsidR="006B5DF1" w:rsidRPr="00D12A36" w:rsidRDefault="006B5DF1" w:rsidP="006B5DF1">
            <w:pPr>
              <w:pStyle w:val="TableText"/>
              <w:tabs>
                <w:tab w:val="left" w:pos="3306"/>
              </w:tabs>
              <w:rPr>
                <w:rFonts w:cs="Calibri"/>
                <w:b/>
                <w:bCs/>
              </w:rPr>
            </w:pPr>
            <w:r w:rsidRPr="00D12A36">
              <w:rPr>
                <w:rFonts w:cs="Calibri"/>
                <w:b/>
                <w:bCs/>
              </w:rPr>
              <w:t>Equity</w:t>
            </w:r>
          </w:p>
        </w:tc>
        <w:tc>
          <w:tcPr>
            <w:tcW w:w="1660" w:type="dxa"/>
            <w:vAlign w:val="bottom"/>
          </w:tcPr>
          <w:p w14:paraId="10274456" w14:textId="77777777" w:rsidR="006B5DF1" w:rsidRPr="00D12A36" w:rsidRDefault="006B5DF1" w:rsidP="006B5DF1">
            <w:pPr>
              <w:pStyle w:val="TableText"/>
              <w:tabs>
                <w:tab w:val="left" w:pos="3306"/>
              </w:tabs>
              <w:jc w:val="center"/>
              <w:rPr>
                <w:rFonts w:cs="Calibri"/>
              </w:rPr>
            </w:pPr>
          </w:p>
        </w:tc>
        <w:tc>
          <w:tcPr>
            <w:tcW w:w="1260" w:type="dxa"/>
            <w:vAlign w:val="bottom"/>
          </w:tcPr>
          <w:p w14:paraId="4D755150"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28BD3B23"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7E9275B8" w14:textId="77777777" w:rsidR="006B5DF1" w:rsidRPr="00D12A36" w:rsidRDefault="006B5DF1" w:rsidP="006B5DF1">
            <w:pPr>
              <w:pStyle w:val="TableText"/>
              <w:tabs>
                <w:tab w:val="left" w:pos="3306"/>
              </w:tabs>
              <w:jc w:val="right"/>
              <w:rPr>
                <w:rFonts w:cs="Calibri"/>
                <w:b/>
                <w:bCs/>
              </w:rPr>
            </w:pPr>
          </w:p>
        </w:tc>
      </w:tr>
      <w:tr w:rsidR="006B5DF1" w:rsidRPr="00CF7E1B" w14:paraId="583190E7" w14:textId="77777777" w:rsidTr="00C736E0">
        <w:tc>
          <w:tcPr>
            <w:tcW w:w="1537" w:type="dxa"/>
            <w:tcBorders>
              <w:left w:val="single" w:sz="2" w:space="0" w:color="auto"/>
              <w:right w:val="single" w:sz="2" w:space="0" w:color="auto"/>
            </w:tcBorders>
          </w:tcPr>
          <w:p w14:paraId="64AAA35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01488D96" w14:textId="22CE0751" w:rsidR="006B5DF1" w:rsidRPr="00D12A36" w:rsidRDefault="006B5DF1" w:rsidP="006B5DF1">
            <w:pPr>
              <w:pStyle w:val="TableText"/>
              <w:tabs>
                <w:tab w:val="left" w:pos="3306"/>
              </w:tabs>
              <w:rPr>
                <w:rFonts w:cs="Calibri"/>
                <w:b/>
                <w:bCs/>
              </w:rPr>
            </w:pPr>
            <w:r w:rsidRPr="00D12A36">
              <w:rPr>
                <w:rFonts w:cs="Calibri"/>
                <w:color w:val="2E74B5" w:themeColor="accent1" w:themeShade="BF"/>
              </w:rPr>
              <w:t>Contributed Equit</w:t>
            </w:r>
            <w:r w:rsidR="009F31C7">
              <w:rPr>
                <w:rFonts w:cs="Calibri"/>
                <w:color w:val="2E74B5" w:themeColor="accent1" w:themeShade="BF"/>
              </w:rPr>
              <w:t>y</w:t>
            </w:r>
          </w:p>
        </w:tc>
        <w:tc>
          <w:tcPr>
            <w:tcW w:w="1660" w:type="dxa"/>
            <w:vAlign w:val="bottom"/>
          </w:tcPr>
          <w:p w14:paraId="576C57AE" w14:textId="77777777" w:rsidR="006B5DF1" w:rsidRPr="00D12A36" w:rsidRDefault="006B5DF1" w:rsidP="006B5DF1">
            <w:pPr>
              <w:pStyle w:val="TableText"/>
              <w:tabs>
                <w:tab w:val="left" w:pos="3306"/>
              </w:tabs>
              <w:jc w:val="center"/>
              <w:rPr>
                <w:rFonts w:cs="Calibri"/>
              </w:rPr>
            </w:pPr>
          </w:p>
        </w:tc>
        <w:tc>
          <w:tcPr>
            <w:tcW w:w="1260" w:type="dxa"/>
            <w:vAlign w:val="bottom"/>
          </w:tcPr>
          <w:p w14:paraId="726CA425"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4CE2275C"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1B0CE172" w14:textId="77777777" w:rsidR="006B5DF1" w:rsidRPr="00D12A36" w:rsidRDefault="006B5DF1" w:rsidP="006B5DF1">
            <w:pPr>
              <w:pStyle w:val="TableText"/>
              <w:tabs>
                <w:tab w:val="left" w:pos="3306"/>
              </w:tabs>
              <w:jc w:val="right"/>
              <w:rPr>
                <w:rFonts w:cs="Calibri"/>
                <w:b/>
                <w:bCs/>
              </w:rPr>
            </w:pPr>
          </w:p>
        </w:tc>
      </w:tr>
      <w:tr w:rsidR="006B5DF1" w:rsidRPr="00CF7E1B" w14:paraId="569230D8" w14:textId="77777777" w:rsidTr="00C736E0">
        <w:trPr>
          <w:trHeight w:val="242"/>
        </w:trPr>
        <w:tc>
          <w:tcPr>
            <w:tcW w:w="1537" w:type="dxa"/>
            <w:tcBorders>
              <w:left w:val="single" w:sz="2" w:space="0" w:color="auto"/>
              <w:right w:val="single" w:sz="2" w:space="0" w:color="auto"/>
            </w:tcBorders>
          </w:tcPr>
          <w:p w14:paraId="48705F6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1A08411E" w14:textId="77777777" w:rsidR="006B5DF1" w:rsidRPr="00D12A36" w:rsidRDefault="006B5DF1" w:rsidP="00D12A36">
            <w:pPr>
              <w:pStyle w:val="TableText"/>
              <w:tabs>
                <w:tab w:val="left" w:pos="3306"/>
              </w:tabs>
              <w:spacing w:before="20"/>
              <w:rPr>
                <w:rFonts w:cs="Calibri"/>
              </w:rPr>
            </w:pPr>
            <w:r w:rsidRPr="00D12A36">
              <w:rPr>
                <w:rFonts w:cs="Calibri"/>
              </w:rPr>
              <w:t xml:space="preserve">Accumulated Funds </w:t>
            </w:r>
          </w:p>
        </w:tc>
        <w:tc>
          <w:tcPr>
            <w:tcW w:w="1660" w:type="dxa"/>
            <w:vAlign w:val="bottom"/>
          </w:tcPr>
          <w:p w14:paraId="49B6E1CE" w14:textId="77777777" w:rsidR="006B5DF1" w:rsidRPr="00D12A36" w:rsidRDefault="006B5DF1" w:rsidP="00D12A36">
            <w:pPr>
              <w:pStyle w:val="TableText"/>
              <w:tabs>
                <w:tab w:val="left" w:pos="3306"/>
              </w:tabs>
              <w:spacing w:before="20"/>
              <w:jc w:val="center"/>
              <w:rPr>
                <w:rFonts w:cs="Calibri"/>
              </w:rPr>
            </w:pPr>
          </w:p>
        </w:tc>
        <w:tc>
          <w:tcPr>
            <w:tcW w:w="1260" w:type="dxa"/>
            <w:vAlign w:val="bottom"/>
          </w:tcPr>
          <w:p w14:paraId="080187BD"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3DC1005A"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30375A5B" w14:textId="77777777" w:rsidR="006B5DF1" w:rsidRPr="00D12A36" w:rsidRDefault="006B5DF1" w:rsidP="00D12A36">
            <w:pPr>
              <w:pStyle w:val="TableText"/>
              <w:tabs>
                <w:tab w:val="left" w:pos="3306"/>
              </w:tabs>
              <w:spacing w:before="20"/>
              <w:jc w:val="right"/>
              <w:rPr>
                <w:rFonts w:cs="Calibri"/>
              </w:rPr>
            </w:pPr>
          </w:p>
        </w:tc>
      </w:tr>
      <w:tr w:rsidR="006B5DF1" w:rsidRPr="00CF7E1B" w14:paraId="7AB7CC88" w14:textId="77777777" w:rsidTr="00C736E0">
        <w:tc>
          <w:tcPr>
            <w:tcW w:w="1537" w:type="dxa"/>
            <w:tcBorders>
              <w:left w:val="single" w:sz="2" w:space="0" w:color="auto"/>
              <w:right w:val="single" w:sz="2" w:space="0" w:color="auto"/>
            </w:tcBorders>
          </w:tcPr>
          <w:p w14:paraId="4168BBDD"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69FBEE9D" w14:textId="77777777" w:rsidR="006B5DF1" w:rsidRPr="00D12A36" w:rsidRDefault="006B5DF1" w:rsidP="00D12A36">
            <w:pPr>
              <w:pStyle w:val="TableText"/>
              <w:tabs>
                <w:tab w:val="left" w:pos="3306"/>
              </w:tabs>
              <w:spacing w:before="20"/>
              <w:rPr>
                <w:rFonts w:cs="Calibri"/>
              </w:rPr>
            </w:pPr>
            <w:r w:rsidRPr="00D12A36">
              <w:rPr>
                <w:rFonts w:cs="Calibri"/>
              </w:rPr>
              <w:t>Asset Revaluation Surplus</w:t>
            </w:r>
          </w:p>
        </w:tc>
        <w:tc>
          <w:tcPr>
            <w:tcW w:w="1660" w:type="dxa"/>
            <w:vAlign w:val="bottom"/>
          </w:tcPr>
          <w:p w14:paraId="00FDFB5E" w14:textId="79854D88" w:rsidR="006B5DF1" w:rsidRPr="00D12A36" w:rsidRDefault="006B5DF1" w:rsidP="00D12A36">
            <w:pPr>
              <w:pStyle w:val="TableText"/>
              <w:tabs>
                <w:tab w:val="left" w:pos="3306"/>
              </w:tabs>
              <w:spacing w:before="20"/>
              <w:jc w:val="center"/>
              <w:rPr>
                <w:rFonts w:cs="Calibri"/>
                <w:strike/>
              </w:rPr>
            </w:pPr>
          </w:p>
        </w:tc>
        <w:tc>
          <w:tcPr>
            <w:tcW w:w="1260" w:type="dxa"/>
            <w:vAlign w:val="bottom"/>
          </w:tcPr>
          <w:p w14:paraId="2AA1021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7DD91380"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BCE0C3A" w14:textId="77777777" w:rsidR="006B5DF1" w:rsidRPr="00D12A36" w:rsidRDefault="006B5DF1" w:rsidP="00D12A36">
            <w:pPr>
              <w:pStyle w:val="TableText"/>
              <w:tabs>
                <w:tab w:val="left" w:pos="3306"/>
              </w:tabs>
              <w:spacing w:before="20"/>
              <w:jc w:val="right"/>
              <w:rPr>
                <w:rFonts w:cs="Calibri"/>
              </w:rPr>
            </w:pPr>
          </w:p>
        </w:tc>
      </w:tr>
      <w:tr w:rsidR="006B5DF1" w:rsidRPr="00CF7E1B" w14:paraId="52A79DC5" w14:textId="77777777" w:rsidTr="00C736E0">
        <w:tc>
          <w:tcPr>
            <w:tcW w:w="1537" w:type="dxa"/>
            <w:tcBorders>
              <w:left w:val="single" w:sz="2" w:space="0" w:color="auto"/>
              <w:right w:val="single" w:sz="2" w:space="0" w:color="auto"/>
            </w:tcBorders>
          </w:tcPr>
          <w:p w14:paraId="782E77D6"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29B84574" w14:textId="77777777" w:rsidR="006B5DF1" w:rsidRPr="00D12A36" w:rsidRDefault="006B5DF1" w:rsidP="00D12A36">
            <w:pPr>
              <w:pStyle w:val="TableText"/>
              <w:tabs>
                <w:tab w:val="left" w:pos="3306"/>
              </w:tabs>
              <w:spacing w:before="20"/>
              <w:rPr>
                <w:rFonts w:cs="Calibri"/>
                <w:b/>
                <w:bCs/>
              </w:rPr>
            </w:pPr>
            <w:r w:rsidRPr="00D12A36">
              <w:rPr>
                <w:rFonts w:cs="Calibri"/>
              </w:rPr>
              <w:t>Other Reserves</w:t>
            </w:r>
          </w:p>
        </w:tc>
        <w:tc>
          <w:tcPr>
            <w:tcW w:w="1660" w:type="dxa"/>
            <w:vAlign w:val="bottom"/>
          </w:tcPr>
          <w:p w14:paraId="1D4D3E99" w14:textId="77777777" w:rsidR="006B5DF1" w:rsidRPr="00D12A36" w:rsidRDefault="006B5DF1" w:rsidP="00D12A36">
            <w:pPr>
              <w:pStyle w:val="TableText"/>
              <w:tabs>
                <w:tab w:val="left" w:pos="3306"/>
              </w:tabs>
              <w:spacing w:before="20"/>
              <w:jc w:val="center"/>
              <w:rPr>
                <w:rFonts w:cs="Calibri"/>
              </w:rPr>
            </w:pPr>
          </w:p>
        </w:tc>
        <w:tc>
          <w:tcPr>
            <w:tcW w:w="1260" w:type="dxa"/>
            <w:tcBorders>
              <w:bottom w:val="single" w:sz="2" w:space="0" w:color="auto"/>
            </w:tcBorders>
            <w:vAlign w:val="bottom"/>
          </w:tcPr>
          <w:p w14:paraId="376723B0"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0AD0E1F2"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A78AD93" w14:textId="77777777" w:rsidR="006B5DF1" w:rsidRPr="00D12A36" w:rsidRDefault="006B5DF1" w:rsidP="00D12A36">
            <w:pPr>
              <w:pStyle w:val="TableText"/>
              <w:tabs>
                <w:tab w:val="left" w:pos="3306"/>
              </w:tabs>
              <w:spacing w:before="20"/>
              <w:jc w:val="right"/>
              <w:rPr>
                <w:rFonts w:cs="Calibri"/>
              </w:rPr>
            </w:pPr>
          </w:p>
        </w:tc>
      </w:tr>
      <w:tr w:rsidR="006B5DF1" w:rsidRPr="00CF7E1B" w14:paraId="07A193E0" w14:textId="77777777" w:rsidTr="00C736E0">
        <w:tc>
          <w:tcPr>
            <w:tcW w:w="1537" w:type="dxa"/>
            <w:tcBorders>
              <w:left w:val="single" w:sz="2" w:space="0" w:color="auto"/>
              <w:right w:val="single" w:sz="2" w:space="0" w:color="auto"/>
            </w:tcBorders>
          </w:tcPr>
          <w:p w14:paraId="035C5F58"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09C25F1B" w14:textId="77777777" w:rsidR="006B5DF1" w:rsidRPr="00D12A36" w:rsidRDefault="006B5DF1" w:rsidP="006B5DF1">
            <w:pPr>
              <w:pStyle w:val="TableText"/>
              <w:tabs>
                <w:tab w:val="left" w:pos="3306"/>
              </w:tabs>
              <w:rPr>
                <w:rFonts w:cs="Calibri"/>
                <w:b/>
                <w:bCs/>
              </w:rPr>
            </w:pPr>
            <w:bookmarkStart w:id="179" w:name="_Toc48468223"/>
            <w:bookmarkStart w:id="180" w:name="_Toc49155415"/>
            <w:bookmarkStart w:id="181" w:name="_Toc49223863"/>
            <w:r w:rsidRPr="00D12A36">
              <w:rPr>
                <w:rFonts w:cs="Calibri"/>
                <w:b/>
                <w:bCs/>
              </w:rPr>
              <w:t>Total Equity</w:t>
            </w:r>
            <w:bookmarkEnd w:id="179"/>
            <w:bookmarkEnd w:id="180"/>
            <w:bookmarkEnd w:id="181"/>
          </w:p>
        </w:tc>
        <w:tc>
          <w:tcPr>
            <w:tcW w:w="1660" w:type="dxa"/>
            <w:vAlign w:val="bottom"/>
          </w:tcPr>
          <w:p w14:paraId="00C741C4"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77329D18"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double" w:sz="4" w:space="0" w:color="auto"/>
            </w:tcBorders>
            <w:vAlign w:val="bottom"/>
          </w:tcPr>
          <w:p w14:paraId="6BC197F4"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7CEF6924" w14:textId="77777777" w:rsidR="006B5DF1" w:rsidRPr="00D12A36" w:rsidRDefault="006B5DF1" w:rsidP="006B5DF1">
            <w:pPr>
              <w:pStyle w:val="TableText"/>
              <w:tabs>
                <w:tab w:val="left" w:pos="3306"/>
              </w:tabs>
              <w:jc w:val="right"/>
              <w:rPr>
                <w:rFonts w:cs="Calibri"/>
                <w:b/>
                <w:bCs/>
              </w:rPr>
            </w:pPr>
          </w:p>
        </w:tc>
      </w:tr>
      <w:tr w:rsidR="00D664B1" w:rsidRPr="00851F40" w14:paraId="50692217" w14:textId="77777777" w:rsidTr="00C736E0">
        <w:tc>
          <w:tcPr>
            <w:tcW w:w="1537" w:type="dxa"/>
            <w:tcBorders>
              <w:left w:val="single" w:sz="2" w:space="0" w:color="auto"/>
              <w:right w:val="single" w:sz="2" w:space="0" w:color="auto"/>
            </w:tcBorders>
          </w:tcPr>
          <w:p w14:paraId="67678411" w14:textId="77777777" w:rsidR="00D664B1" w:rsidRPr="00851F40" w:rsidRDefault="00D664B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094278BD" w14:textId="77777777" w:rsidR="00D664B1" w:rsidRPr="00851F40" w:rsidRDefault="00D664B1" w:rsidP="006B5DF1">
            <w:pPr>
              <w:pStyle w:val="TableText"/>
              <w:tabs>
                <w:tab w:val="left" w:pos="3306"/>
              </w:tabs>
              <w:rPr>
                <w:rFonts w:cs="Calibri"/>
                <w:b/>
                <w:bCs/>
                <w:sz w:val="14"/>
                <w:szCs w:val="14"/>
              </w:rPr>
            </w:pPr>
          </w:p>
        </w:tc>
        <w:tc>
          <w:tcPr>
            <w:tcW w:w="1660" w:type="dxa"/>
            <w:vAlign w:val="bottom"/>
          </w:tcPr>
          <w:p w14:paraId="561EA81A" w14:textId="77777777" w:rsidR="00D664B1" w:rsidRPr="00851F40" w:rsidRDefault="00D664B1" w:rsidP="006B5DF1">
            <w:pPr>
              <w:pStyle w:val="TableText"/>
              <w:tabs>
                <w:tab w:val="left" w:pos="3306"/>
              </w:tabs>
              <w:jc w:val="center"/>
              <w:rPr>
                <w:rFonts w:cs="Calibri"/>
                <w:sz w:val="14"/>
                <w:szCs w:val="14"/>
              </w:rPr>
            </w:pPr>
          </w:p>
        </w:tc>
        <w:tc>
          <w:tcPr>
            <w:tcW w:w="1260" w:type="dxa"/>
            <w:tcBorders>
              <w:top w:val="double" w:sz="4" w:space="0" w:color="auto"/>
            </w:tcBorders>
            <w:vAlign w:val="bottom"/>
          </w:tcPr>
          <w:p w14:paraId="7123C52F" w14:textId="77777777" w:rsidR="00D664B1" w:rsidRPr="00851F40" w:rsidRDefault="00D664B1" w:rsidP="006B5DF1">
            <w:pPr>
              <w:pStyle w:val="TableText"/>
              <w:tabs>
                <w:tab w:val="left" w:pos="3306"/>
              </w:tabs>
              <w:jc w:val="right"/>
              <w:rPr>
                <w:rFonts w:cs="Calibri"/>
                <w:b/>
                <w:bCs/>
                <w:strike/>
                <w:sz w:val="14"/>
                <w:szCs w:val="14"/>
              </w:rPr>
            </w:pPr>
          </w:p>
        </w:tc>
        <w:tc>
          <w:tcPr>
            <w:tcW w:w="1395" w:type="dxa"/>
            <w:tcBorders>
              <w:top w:val="double" w:sz="4" w:space="0" w:color="auto"/>
            </w:tcBorders>
            <w:vAlign w:val="bottom"/>
          </w:tcPr>
          <w:p w14:paraId="045090D1" w14:textId="77777777" w:rsidR="00D664B1" w:rsidRPr="00851F40" w:rsidRDefault="00D664B1" w:rsidP="006B5DF1">
            <w:pPr>
              <w:pStyle w:val="TableText"/>
              <w:tabs>
                <w:tab w:val="left" w:pos="3306"/>
              </w:tabs>
              <w:jc w:val="right"/>
              <w:rPr>
                <w:rFonts w:cs="Calibri"/>
                <w:b/>
                <w:bCs/>
                <w:sz w:val="14"/>
                <w:szCs w:val="14"/>
              </w:rPr>
            </w:pPr>
          </w:p>
        </w:tc>
        <w:tc>
          <w:tcPr>
            <w:tcW w:w="1396" w:type="dxa"/>
            <w:tcBorders>
              <w:top w:val="double" w:sz="4" w:space="0" w:color="auto"/>
            </w:tcBorders>
            <w:vAlign w:val="bottom"/>
          </w:tcPr>
          <w:p w14:paraId="21D05567" w14:textId="77777777" w:rsidR="00D664B1" w:rsidRPr="00851F40" w:rsidRDefault="00D664B1" w:rsidP="006B5DF1">
            <w:pPr>
              <w:pStyle w:val="TableText"/>
              <w:tabs>
                <w:tab w:val="left" w:pos="3306"/>
              </w:tabs>
              <w:jc w:val="right"/>
              <w:rPr>
                <w:rFonts w:cs="Calibri"/>
                <w:b/>
                <w:bCs/>
                <w:sz w:val="14"/>
                <w:szCs w:val="14"/>
              </w:rPr>
            </w:pPr>
          </w:p>
        </w:tc>
      </w:tr>
      <w:tr w:rsidR="006B5DF1" w:rsidRPr="00CF7E1B" w14:paraId="1E23B2DB" w14:textId="77777777" w:rsidTr="00C736E0">
        <w:tc>
          <w:tcPr>
            <w:tcW w:w="1537" w:type="dxa"/>
            <w:tcBorders>
              <w:left w:val="single" w:sz="2" w:space="0" w:color="auto"/>
              <w:right w:val="single" w:sz="2" w:space="0" w:color="auto"/>
            </w:tcBorders>
          </w:tcPr>
          <w:p w14:paraId="5CB2AD59" w14:textId="77777777" w:rsidR="006B5DF1" w:rsidRPr="008238E7" w:rsidRDefault="006B5DF1"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4DB11948" w14:textId="06F043DE" w:rsidR="006B5DF1" w:rsidRPr="00D12A36" w:rsidRDefault="006B5DF1" w:rsidP="006B5DF1">
            <w:pPr>
              <w:pStyle w:val="CommentaryReference"/>
              <w:rPr>
                <w:rFonts w:cs="Calibri"/>
                <w:sz w:val="18"/>
                <w:szCs w:val="18"/>
              </w:rPr>
            </w:pPr>
            <w:r w:rsidRPr="00D12A36">
              <w:rPr>
                <w:rFonts w:cs="Calibri"/>
                <w:sz w:val="18"/>
                <w:szCs w:val="18"/>
              </w:rPr>
              <w:t>The above Balance Sheet is to be read in conjunction with the accompanying notes.</w:t>
            </w:r>
            <w:r w:rsidR="00FA7C77">
              <w:rPr>
                <w:rFonts w:cs="Calibri"/>
                <w:sz w:val="18"/>
                <w:szCs w:val="18"/>
              </w:rPr>
              <w:t xml:space="preserve"> </w:t>
            </w:r>
            <w:r w:rsidRPr="00D12A36">
              <w:rPr>
                <w:rFonts w:cs="Calibri"/>
                <w:sz w:val="18"/>
                <w:szCs w:val="18"/>
              </w:rPr>
              <w:t xml:space="preserve"> </w:t>
            </w:r>
          </w:p>
        </w:tc>
      </w:tr>
      <w:bookmarkEnd w:id="150"/>
      <w:bookmarkEnd w:id="157"/>
    </w:tbl>
    <w:p w14:paraId="5A912AE9" w14:textId="77777777" w:rsidR="00F1706F" w:rsidRDefault="00F1706F" w:rsidP="006A4E19">
      <w:pPr>
        <w:rPr>
          <w:rFonts w:cs="Calibri"/>
          <w:bCs/>
          <w:sz w:val="16"/>
        </w:rPr>
        <w:sectPr w:rsidR="00F1706F" w:rsidSect="004514CD">
          <w:headerReference w:type="default" r:id="rId26"/>
          <w:footerReference w:type="default" r:id="rId27"/>
          <w:footnotePr>
            <w:numRestart w:val="eachPage"/>
          </w:footnotePr>
          <w:type w:val="nextColumn"/>
          <w:pgSz w:w="11907" w:h="16840" w:code="9"/>
          <w:pgMar w:top="567" w:right="680" w:bottom="567" w:left="680" w:header="284" w:footer="284" w:gutter="0"/>
          <w:cols w:space="720"/>
        </w:sectPr>
      </w:pPr>
    </w:p>
    <w:tbl>
      <w:tblPr>
        <w:tblW w:w="5001" w:type="pct"/>
        <w:tblInd w:w="-3" w:type="dxa"/>
        <w:shd w:val="clear" w:color="auto" w:fill="CCFFCC"/>
        <w:tblLook w:val="00A0" w:firstRow="1" w:lastRow="0" w:firstColumn="1" w:lastColumn="0" w:noHBand="0" w:noVBand="0"/>
      </w:tblPr>
      <w:tblGrid>
        <w:gridCol w:w="1560"/>
        <w:gridCol w:w="8986"/>
      </w:tblGrid>
      <w:tr w:rsidR="006A4E19" w:rsidRPr="00D31414" w14:paraId="4BDA0EC0" w14:textId="77777777" w:rsidTr="004D1EC6">
        <w:trPr>
          <w:cantSplit/>
          <w:trHeight w:val="20"/>
        </w:trPr>
        <w:tc>
          <w:tcPr>
            <w:tcW w:w="1560" w:type="dxa"/>
            <w:tcBorders>
              <w:left w:val="single" w:sz="2" w:space="0" w:color="auto"/>
              <w:right w:val="single" w:sz="2" w:space="0" w:color="auto"/>
            </w:tcBorders>
          </w:tcPr>
          <w:p w14:paraId="35225FF4" w14:textId="77777777" w:rsidR="006A4E19" w:rsidRPr="00E10D26" w:rsidRDefault="000413B6" w:rsidP="00BD1DCB">
            <w:pPr>
              <w:pStyle w:val="CommentaryTitle"/>
              <w:spacing w:before="0" w:after="240"/>
              <w:rPr>
                <w:rFonts w:cs="Calibri"/>
                <w:color w:val="7030A0"/>
              </w:rPr>
            </w:pPr>
            <w:r w:rsidRPr="00E10D26">
              <w:rPr>
                <w:rFonts w:cs="Calibri"/>
                <w:color w:val="7030A0"/>
              </w:rPr>
              <w:t>Reference</w:t>
            </w:r>
          </w:p>
        </w:tc>
        <w:tc>
          <w:tcPr>
            <w:tcW w:w="8986" w:type="dxa"/>
            <w:tcBorders>
              <w:left w:val="single" w:sz="2" w:space="0" w:color="auto"/>
            </w:tcBorders>
            <w:shd w:val="clear" w:color="auto" w:fill="7030A0"/>
          </w:tcPr>
          <w:p w14:paraId="02C7F3A1" w14:textId="77777777" w:rsidR="006A4E19" w:rsidRPr="00E10D26" w:rsidRDefault="006A4E19" w:rsidP="00BD1DCB">
            <w:pPr>
              <w:pStyle w:val="CommentaryTitle"/>
              <w:spacing w:before="0" w:after="240"/>
              <w:rPr>
                <w:rFonts w:cs="Calibri"/>
                <w:color w:val="FFFFFF" w:themeColor="background1"/>
                <w:sz w:val="28"/>
                <w:szCs w:val="28"/>
              </w:rPr>
            </w:pPr>
            <w:bookmarkStart w:id="182" w:name="_Toc50440314"/>
            <w:r w:rsidRPr="00E10D26">
              <w:rPr>
                <w:rFonts w:cs="Calibri"/>
                <w:color w:val="FFFFFF" w:themeColor="background1"/>
                <w:sz w:val="28"/>
                <w:szCs w:val="28"/>
              </w:rPr>
              <w:t xml:space="preserve">Commentary </w:t>
            </w:r>
            <w:r w:rsidRPr="00E10D26">
              <w:rPr>
                <w:rFonts w:cs="Calibri"/>
                <w:color w:val="FFFFFF" w:themeColor="background1"/>
                <w:sz w:val="28"/>
                <w:szCs w:val="28"/>
              </w:rPr>
              <w:sym w:font="Symbol" w:char="F02D"/>
            </w:r>
            <w:r w:rsidRPr="00E10D26">
              <w:rPr>
                <w:rFonts w:cs="Calibri"/>
                <w:color w:val="FFFFFF" w:themeColor="background1"/>
                <w:sz w:val="28"/>
                <w:szCs w:val="28"/>
              </w:rPr>
              <w:t xml:space="preserve"> </w:t>
            </w:r>
            <w:bookmarkEnd w:id="182"/>
            <w:r w:rsidRPr="00E10D26">
              <w:rPr>
                <w:rFonts w:cs="Calibri"/>
                <w:color w:val="FFFFFF" w:themeColor="background1"/>
                <w:sz w:val="28"/>
                <w:szCs w:val="28"/>
              </w:rPr>
              <w:t>Balance Sheet</w:t>
            </w:r>
          </w:p>
        </w:tc>
      </w:tr>
      <w:tr w:rsidR="006A4E19" w:rsidRPr="00D31414" w14:paraId="350A2758" w14:textId="77777777" w:rsidTr="004D1EC6">
        <w:trPr>
          <w:cantSplit/>
          <w:trHeight w:val="20"/>
        </w:trPr>
        <w:tc>
          <w:tcPr>
            <w:tcW w:w="1560" w:type="dxa"/>
            <w:tcBorders>
              <w:left w:val="single" w:sz="2" w:space="0" w:color="auto"/>
              <w:right w:val="single" w:sz="2" w:space="0" w:color="auto"/>
            </w:tcBorders>
          </w:tcPr>
          <w:p w14:paraId="56A58EA3" w14:textId="77777777" w:rsidR="006A4E19" w:rsidRPr="00E10D26"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85DE440" w14:textId="77777777" w:rsidR="006A4E19" w:rsidRPr="00FA7C77" w:rsidRDefault="006A4E19" w:rsidP="00CC1E25">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Format</w:t>
            </w:r>
          </w:p>
        </w:tc>
      </w:tr>
      <w:tr w:rsidR="006A4E19" w:rsidRPr="00D31414" w14:paraId="3F0FF15D" w14:textId="77777777" w:rsidTr="004D1EC6">
        <w:trPr>
          <w:cantSplit/>
          <w:trHeight w:val="20"/>
        </w:trPr>
        <w:tc>
          <w:tcPr>
            <w:tcW w:w="1560" w:type="dxa"/>
            <w:tcBorders>
              <w:left w:val="single" w:sz="2" w:space="0" w:color="auto"/>
              <w:right w:val="single" w:sz="2" w:space="0" w:color="auto"/>
            </w:tcBorders>
          </w:tcPr>
          <w:p w14:paraId="6194285E" w14:textId="77777777" w:rsidR="006A4E19"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001B7" w:rsidRPr="00E10D26">
              <w:rPr>
                <w:rFonts w:cs="Calibri"/>
                <w:color w:val="7030A0"/>
                <w:sz w:val="14"/>
              </w:rPr>
              <w:t>.</w:t>
            </w:r>
            <w:r w:rsidRPr="00E10D26">
              <w:rPr>
                <w:rFonts w:cs="Calibri"/>
                <w:color w:val="7030A0"/>
                <w:sz w:val="14"/>
              </w:rPr>
              <w:t>54 - 80</w:t>
            </w:r>
          </w:p>
          <w:p w14:paraId="29D44986" w14:textId="77777777" w:rsidR="00BB23BC" w:rsidRPr="00E10D26" w:rsidRDefault="00CA71BB"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w:t>
            </w:r>
            <w:r w:rsidR="00BB23BC" w:rsidRPr="00E10D26">
              <w:rPr>
                <w:rFonts w:cs="Calibri"/>
                <w:color w:val="7030A0"/>
                <w:sz w:val="14"/>
              </w:rPr>
              <w:t xml:space="preserve"> </w:t>
            </w:r>
          </w:p>
          <w:p w14:paraId="0BDD9058" w14:textId="5A9BE606" w:rsidR="00CA71BB" w:rsidRPr="00E10D26" w:rsidRDefault="00BB23BC" w:rsidP="006A4E19">
            <w:pPr>
              <w:pStyle w:val="TableReference"/>
              <w:tabs>
                <w:tab w:val="left" w:pos="3306"/>
              </w:tabs>
              <w:spacing w:before="60"/>
              <w:rPr>
                <w:rFonts w:cs="Calibri"/>
                <w:color w:val="7030A0"/>
                <w:sz w:val="14"/>
              </w:rPr>
            </w:pPr>
            <w:r w:rsidRPr="00E10D26">
              <w:rPr>
                <w:rFonts w:cs="Calibri"/>
                <w:color w:val="7030A0"/>
                <w:sz w:val="14"/>
              </w:rPr>
              <w:t>AASB 101.10</w:t>
            </w:r>
          </w:p>
          <w:p w14:paraId="7988A02A" w14:textId="7CB023E1" w:rsidR="006A4E19" w:rsidRPr="00E10D26" w:rsidRDefault="00CA71BB" w:rsidP="0000717F">
            <w:pPr>
              <w:pStyle w:val="TableReference"/>
              <w:tabs>
                <w:tab w:val="left" w:pos="3306"/>
              </w:tabs>
              <w:spacing w:before="60"/>
              <w:rPr>
                <w:rFonts w:cs="Calibri"/>
                <w:color w:val="7030A0"/>
                <w:sz w:val="14"/>
              </w:rPr>
            </w:pPr>
            <w:r w:rsidRPr="00E10D26">
              <w:rPr>
                <w:rFonts w:cs="Calibri"/>
                <w:color w:val="7030A0"/>
                <w:sz w:val="14"/>
              </w:rPr>
              <w:t xml:space="preserve">ACT </w:t>
            </w:r>
            <w:r w:rsidR="00511FD1" w:rsidRPr="00E10D26">
              <w:rPr>
                <w:rFonts w:cs="Calibri"/>
                <w:color w:val="7030A0"/>
                <w:sz w:val="14"/>
              </w:rPr>
              <w:t>Disclosure</w:t>
            </w:r>
            <w:r w:rsidRPr="00E10D26">
              <w:rPr>
                <w:rFonts w:cs="Calibri"/>
                <w:color w:val="7030A0"/>
                <w:sz w:val="14"/>
              </w:rPr>
              <w:t xml:space="preserve"> Policy</w:t>
            </w:r>
          </w:p>
        </w:tc>
        <w:tc>
          <w:tcPr>
            <w:tcW w:w="8986" w:type="dxa"/>
            <w:tcBorders>
              <w:left w:val="single" w:sz="2" w:space="0" w:color="auto"/>
            </w:tcBorders>
            <w:shd w:val="clear" w:color="auto" w:fill="7030A0"/>
          </w:tcPr>
          <w:p w14:paraId="792C99A9" w14:textId="7BD47664" w:rsidR="006A4E19" w:rsidRPr="00E10D26" w:rsidRDefault="006249B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w:t>
            </w:r>
            <w:r w:rsidR="006A4E19" w:rsidRPr="00E10D26">
              <w:rPr>
                <w:rFonts w:cs="Calibri"/>
                <w:color w:val="FFFFFF" w:themeColor="background1"/>
                <w:sz w:val="18"/>
                <w:szCs w:val="18"/>
              </w:rPr>
              <w:t xml:space="preserve"> Statement of Financial Position is to be included in the financial </w:t>
            </w:r>
            <w:r w:rsidR="00D7560F" w:rsidRPr="00E10D26">
              <w:rPr>
                <w:rFonts w:cs="Calibri"/>
                <w:color w:val="FFFFFF" w:themeColor="background1"/>
                <w:sz w:val="18"/>
                <w:szCs w:val="18"/>
              </w:rPr>
              <w:t>statements</w:t>
            </w:r>
            <w:r w:rsidR="00217BF3" w:rsidRPr="00E10D26">
              <w:rPr>
                <w:rFonts w:cs="Calibri"/>
                <w:color w:val="FFFFFF" w:themeColor="background1"/>
                <w:sz w:val="18"/>
                <w:szCs w:val="18"/>
              </w:rPr>
              <w: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allows </w:t>
            </w:r>
            <w:r w:rsidR="00BB23BC" w:rsidRPr="00E10D26">
              <w:rPr>
                <w:rFonts w:cs="Calibri"/>
                <w:color w:val="FFFFFF" w:themeColor="background1"/>
                <w:sz w:val="18"/>
                <w:szCs w:val="18"/>
              </w:rPr>
              <w:t xml:space="preserve">both for-profit and </w:t>
            </w:r>
            <w:r w:rsidRPr="00E10D26">
              <w:rPr>
                <w:rFonts w:cs="Calibri"/>
                <w:color w:val="FFFFFF" w:themeColor="background1"/>
                <w:sz w:val="18"/>
                <w:szCs w:val="18"/>
              </w:rPr>
              <w:t>n</w:t>
            </w:r>
            <w:r w:rsidR="006A4E19" w:rsidRPr="00E10D26">
              <w:rPr>
                <w:rFonts w:cs="Calibri"/>
                <w:color w:val="FFFFFF" w:themeColor="background1"/>
                <w:sz w:val="18"/>
                <w:szCs w:val="18"/>
              </w:rPr>
              <w:t>ot</w:t>
            </w:r>
            <w:r w:rsidR="00842DBF">
              <w:rPr>
                <w:rFonts w:cs="Calibri"/>
                <w:color w:val="FFFFFF" w:themeColor="background1"/>
                <w:sz w:val="18"/>
                <w:szCs w:val="18"/>
              </w:rPr>
              <w:noBreakHyphen/>
            </w:r>
            <w:r w:rsidR="006A4E19" w:rsidRPr="00E10D26">
              <w:rPr>
                <w:rFonts w:cs="Calibri"/>
                <w:color w:val="FFFFFF" w:themeColor="background1"/>
                <w:sz w:val="18"/>
                <w:szCs w:val="18"/>
              </w:rPr>
              <w:t xml:space="preserve">for-profit </w:t>
            </w:r>
            <w:r w:rsidR="00D7560F" w:rsidRPr="00E10D26">
              <w:rPr>
                <w:rFonts w:cs="Calibri"/>
                <w:color w:val="FFFFFF" w:themeColor="background1"/>
                <w:sz w:val="18"/>
                <w:szCs w:val="18"/>
              </w:rPr>
              <w:t>agencies</w:t>
            </w:r>
            <w:r w:rsidR="006A4E19" w:rsidRPr="00E10D26">
              <w:rPr>
                <w:rFonts w:cs="Calibri"/>
                <w:color w:val="FFFFFF" w:themeColor="background1"/>
                <w:sz w:val="18"/>
                <w:szCs w:val="18"/>
              </w:rPr>
              <w:t xml:space="preserve"> to change the title of their financial statements</w:t>
            </w:r>
            <w:r w:rsidR="00217BF3" w:rsidRPr="00E10D26">
              <w:rPr>
                <w:rFonts w:cs="Calibri"/>
                <w:color w:val="FFFFFF" w:themeColor="background1"/>
                <w:sz w:val="18"/>
                <w:szCs w:val="18"/>
              </w:rPr>
              <w:t>,</w:t>
            </w:r>
            <w:r w:rsidR="006A4E19" w:rsidRPr="00E10D26">
              <w:rPr>
                <w:rFonts w:cs="Calibri"/>
                <w:color w:val="FFFFFF" w:themeColor="background1"/>
                <w:sz w:val="18"/>
                <w:szCs w:val="18"/>
              </w:rPr>
              <w:t xml:space="preserve"> </w:t>
            </w:r>
            <w:r w:rsidR="00217BF3" w:rsidRPr="00E10D26">
              <w:rPr>
                <w:rFonts w:cs="Calibri"/>
                <w:color w:val="FFFFFF" w:themeColor="background1"/>
                <w:sz w:val="18"/>
                <w:szCs w:val="18"/>
              </w:rPr>
              <w:t>so i</w:t>
            </w:r>
            <w:r w:rsidR="0065051F" w:rsidRPr="00E10D26">
              <w:rPr>
                <w:rFonts w:cs="Calibri"/>
                <w:color w:val="FFFFFF" w:themeColor="background1"/>
                <w:sz w:val="18"/>
                <w:szCs w:val="18"/>
              </w:rPr>
              <w:t xml:space="preserve">t is ACT </w:t>
            </w:r>
            <w:r w:rsidR="00A67B85" w:rsidRPr="00E10D26">
              <w:rPr>
                <w:rFonts w:cs="Calibri"/>
                <w:color w:val="FFFFFF" w:themeColor="background1"/>
                <w:sz w:val="18"/>
                <w:szCs w:val="18"/>
              </w:rPr>
              <w:t>Disclosure</w:t>
            </w:r>
            <w:r w:rsidR="00D7560F" w:rsidRPr="00E10D26">
              <w:rPr>
                <w:rFonts w:cs="Calibri"/>
                <w:color w:val="FFFFFF" w:themeColor="background1"/>
                <w:sz w:val="18"/>
                <w:szCs w:val="18"/>
              </w:rPr>
              <w:t xml:space="preserve"> </w:t>
            </w:r>
            <w:r w:rsidR="0065051F" w:rsidRPr="00E10D26">
              <w:rPr>
                <w:rFonts w:cs="Calibri"/>
                <w:color w:val="FFFFFF" w:themeColor="background1"/>
                <w:sz w:val="18"/>
                <w:szCs w:val="18"/>
              </w:rPr>
              <w:t>policy</w:t>
            </w:r>
            <w:r w:rsidR="006A4E19" w:rsidRPr="00E10D26">
              <w:rPr>
                <w:rFonts w:cs="Calibri"/>
                <w:color w:val="FFFFFF" w:themeColor="background1"/>
                <w:sz w:val="18"/>
                <w:szCs w:val="18"/>
              </w:rPr>
              <w:t xml:space="preserve"> that the Statement of Financial Position be </w:t>
            </w:r>
            <w:r w:rsidR="00B022F8" w:rsidRPr="00E10D26">
              <w:rPr>
                <w:rFonts w:cs="Calibri"/>
                <w:color w:val="FFFFFF" w:themeColor="background1"/>
                <w:sz w:val="18"/>
                <w:szCs w:val="18"/>
              </w:rPr>
              <w:t xml:space="preserve">called </w:t>
            </w:r>
            <w:r w:rsidR="006A4E19" w:rsidRPr="00E10D26">
              <w:rPr>
                <w:rFonts w:cs="Calibri"/>
                <w:color w:val="FFFFFF" w:themeColor="background1"/>
                <w:sz w:val="18"/>
                <w:szCs w:val="18"/>
              </w:rPr>
              <w:t>the Balance Sheet.</w:t>
            </w:r>
            <w:r w:rsidR="00FA7C77">
              <w:rPr>
                <w:rFonts w:cs="Calibri"/>
                <w:color w:val="FFFFFF" w:themeColor="background1"/>
                <w:sz w:val="18"/>
                <w:szCs w:val="18"/>
              </w:rPr>
              <w:t xml:space="preserve"> </w:t>
            </w:r>
            <w:r w:rsidR="006A4E19" w:rsidRPr="00E10D26">
              <w:rPr>
                <w:rFonts w:cs="Calibri"/>
                <w:color w:val="FFFFFF" w:themeColor="background1"/>
                <w:sz w:val="18"/>
                <w:szCs w:val="18"/>
              </w:rPr>
              <w:t>AASB 101 sets out the format for the Balance Sheet, including certain line items that must be disclosed in the statement.</w:t>
            </w:r>
          </w:p>
        </w:tc>
      </w:tr>
      <w:tr w:rsidR="0000717F" w:rsidRPr="00D31414" w14:paraId="1305676C" w14:textId="77777777" w:rsidTr="004D1EC6">
        <w:trPr>
          <w:cantSplit/>
          <w:trHeight w:val="20"/>
        </w:trPr>
        <w:tc>
          <w:tcPr>
            <w:tcW w:w="1560" w:type="dxa"/>
            <w:tcBorders>
              <w:left w:val="single" w:sz="2" w:space="0" w:color="auto"/>
              <w:right w:val="single" w:sz="2" w:space="0" w:color="auto"/>
            </w:tcBorders>
          </w:tcPr>
          <w:p w14:paraId="3E37C5E8" w14:textId="77777777" w:rsidR="0000717F" w:rsidRPr="00E10D26" w:rsidRDefault="0000717F" w:rsidP="0000717F">
            <w:pPr>
              <w:pStyle w:val="TableReference"/>
              <w:tabs>
                <w:tab w:val="left" w:pos="3306"/>
              </w:tabs>
              <w:spacing w:before="40"/>
              <w:rPr>
                <w:rFonts w:cs="Calibri"/>
                <w:color w:val="7030A0"/>
                <w:sz w:val="14"/>
              </w:rPr>
            </w:pPr>
            <w:r w:rsidRPr="00E10D26">
              <w:rPr>
                <w:rFonts w:cs="Calibri"/>
                <w:color w:val="7030A0"/>
                <w:sz w:val="14"/>
              </w:rPr>
              <w:t xml:space="preserve">AASB 101.60 </w:t>
            </w:r>
          </w:p>
          <w:p w14:paraId="50E4E33D" w14:textId="77777777" w:rsidR="0000717F" w:rsidRPr="00E10D26" w:rsidRDefault="0000717F"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7EE7B84" w14:textId="42F90C5B" w:rsidR="0000717F" w:rsidRPr="00E10D26" w:rsidRDefault="0000717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AASB 101 requires all assets and all liabilities to be presented as current or non-current except where a presentation based on liquidity provides information that is more relevant and reliable.</w:t>
            </w:r>
            <w:r w:rsidR="00FA7C77">
              <w:rPr>
                <w:rFonts w:cs="Calibri"/>
                <w:color w:val="FFFFFF" w:themeColor="background1"/>
                <w:sz w:val="18"/>
                <w:szCs w:val="18"/>
              </w:rPr>
              <w:t xml:space="preserve"> </w:t>
            </w:r>
            <w:r w:rsidRPr="00E10D26">
              <w:rPr>
                <w:rFonts w:cs="Calibri"/>
                <w:color w:val="FFFFFF" w:themeColor="background1"/>
                <w:sz w:val="18"/>
                <w:szCs w:val="18"/>
              </w:rPr>
              <w:t>Current assets should be presented separately from non-current assets and current liabilities should be presented separately from non-current liabilities in the Balance Sheet.</w:t>
            </w:r>
            <w:r w:rsidR="00FA7C77">
              <w:rPr>
                <w:rFonts w:cs="Calibri"/>
                <w:color w:val="FFFFFF" w:themeColor="background1"/>
                <w:sz w:val="18"/>
                <w:szCs w:val="18"/>
              </w:rPr>
              <w:t xml:space="preserve"> </w:t>
            </w:r>
          </w:p>
        </w:tc>
      </w:tr>
      <w:tr w:rsidR="006A4E19" w:rsidRPr="00D31414" w14:paraId="72B2BD5A" w14:textId="77777777" w:rsidTr="004D1EC6">
        <w:trPr>
          <w:cantSplit/>
          <w:trHeight w:val="20"/>
        </w:trPr>
        <w:tc>
          <w:tcPr>
            <w:tcW w:w="1560" w:type="dxa"/>
            <w:tcBorders>
              <w:left w:val="single" w:sz="2" w:space="0" w:color="auto"/>
              <w:right w:val="single" w:sz="2" w:space="0" w:color="auto"/>
            </w:tcBorders>
          </w:tcPr>
          <w:p w14:paraId="27BD5B4C" w14:textId="6D50F1E4" w:rsidR="00BE48A0"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54</w:t>
            </w:r>
          </w:p>
        </w:tc>
        <w:tc>
          <w:tcPr>
            <w:tcW w:w="8986" w:type="dxa"/>
            <w:tcBorders>
              <w:left w:val="single" w:sz="2" w:space="0" w:color="auto"/>
            </w:tcBorders>
            <w:shd w:val="clear" w:color="auto" w:fill="7030A0"/>
          </w:tcPr>
          <w:p w14:paraId="26644BB3" w14:textId="2706A577" w:rsidR="006A4E19" w:rsidRPr="00E10D26" w:rsidRDefault="00D022E8" w:rsidP="0000717F">
            <w:pPr>
              <w:pStyle w:val="CommentaryText"/>
              <w:tabs>
                <w:tab w:val="left" w:pos="3306"/>
              </w:tabs>
              <w:spacing w:after="40"/>
              <w:rPr>
                <w:rFonts w:cs="Calibri"/>
                <w:color w:val="FFFFFF" w:themeColor="background1"/>
                <w:sz w:val="18"/>
                <w:szCs w:val="18"/>
              </w:rPr>
            </w:pPr>
            <w:r w:rsidRPr="00B73007">
              <w:rPr>
                <w:rFonts w:cs="Calibri"/>
                <w:color w:val="FF0000"/>
                <w:sz w:val="18"/>
                <w:szCs w:val="18"/>
              </w:rPr>
              <w:t xml:space="preserve">Where material, </w:t>
            </w:r>
            <w:r w:rsidR="006A4E19" w:rsidRPr="00B73007">
              <w:rPr>
                <w:rFonts w:cs="Calibri"/>
                <w:color w:val="FFFFFF" w:themeColor="background1"/>
                <w:sz w:val="18"/>
                <w:szCs w:val="18"/>
              </w:rPr>
              <w:t>AASB</w:t>
            </w:r>
            <w:r w:rsidR="006A4E19" w:rsidRPr="00E10D26">
              <w:rPr>
                <w:rFonts w:cs="Calibri"/>
                <w:color w:val="FFFFFF" w:themeColor="background1"/>
                <w:sz w:val="18"/>
                <w:szCs w:val="18"/>
              </w:rPr>
              <w:t xml:space="preserve"> 101 requires the following items be disclosed separately in the Balance Sheet:</w:t>
            </w:r>
          </w:p>
          <w:p w14:paraId="2BE7B25F" w14:textId="08C070A4" w:rsidR="00CE21AE" w:rsidRPr="00E10D26" w:rsidRDefault="006A4E19" w:rsidP="0000717F">
            <w:pPr>
              <w:pStyle w:val="CommentaryText"/>
              <w:tabs>
                <w:tab w:val="left" w:pos="3306"/>
              </w:tabs>
              <w:spacing w:after="40"/>
              <w:rPr>
                <w:rFonts w:cs="Calibri"/>
                <w:color w:val="FFFFFF" w:themeColor="background1"/>
                <w:sz w:val="18"/>
                <w:szCs w:val="18"/>
              </w:rPr>
            </w:pPr>
            <w:r w:rsidRPr="00E10D26">
              <w:rPr>
                <w:rFonts w:cs="Calibri"/>
                <w:color w:val="FFFFFF" w:themeColor="background1"/>
                <w:sz w:val="18"/>
                <w:szCs w:val="18"/>
              </w:rPr>
              <w:t>Assets:</w:t>
            </w:r>
          </w:p>
        </w:tc>
      </w:tr>
      <w:tr w:rsidR="00F857F6" w:rsidRPr="00D31414" w14:paraId="468957CF" w14:textId="77777777" w:rsidTr="004D1EC6">
        <w:trPr>
          <w:cantSplit/>
          <w:trHeight w:val="20"/>
        </w:trPr>
        <w:tc>
          <w:tcPr>
            <w:tcW w:w="1560" w:type="dxa"/>
            <w:tcBorders>
              <w:left w:val="single" w:sz="2" w:space="0" w:color="auto"/>
              <w:right w:val="single" w:sz="2" w:space="0" w:color="auto"/>
            </w:tcBorders>
          </w:tcPr>
          <w:p w14:paraId="1895754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8C05BAA" w14:textId="41D04462" w:rsidR="00F857F6" w:rsidRPr="00E10D26" w:rsidRDefault="0000717F"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cash and cash equivalents;</w:t>
            </w:r>
          </w:p>
        </w:tc>
      </w:tr>
      <w:tr w:rsidR="00F857F6" w:rsidRPr="00D31414" w14:paraId="5B57FB4E" w14:textId="77777777" w:rsidTr="004D1EC6">
        <w:trPr>
          <w:cantSplit/>
          <w:trHeight w:val="20"/>
        </w:trPr>
        <w:tc>
          <w:tcPr>
            <w:tcW w:w="1560" w:type="dxa"/>
            <w:tcBorders>
              <w:left w:val="single" w:sz="2" w:space="0" w:color="auto"/>
              <w:right w:val="single" w:sz="2" w:space="0" w:color="auto"/>
            </w:tcBorders>
          </w:tcPr>
          <w:p w14:paraId="2C7AC39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AEDCC2" w14:textId="43762E67"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receivables;</w:t>
            </w:r>
          </w:p>
        </w:tc>
      </w:tr>
      <w:tr w:rsidR="00F857F6" w:rsidRPr="00D31414" w14:paraId="64BF2943" w14:textId="77777777" w:rsidTr="004D1EC6">
        <w:trPr>
          <w:cantSplit/>
          <w:trHeight w:val="20"/>
        </w:trPr>
        <w:tc>
          <w:tcPr>
            <w:tcW w:w="1560" w:type="dxa"/>
            <w:tcBorders>
              <w:left w:val="single" w:sz="2" w:space="0" w:color="auto"/>
              <w:right w:val="single" w:sz="2" w:space="0" w:color="auto"/>
            </w:tcBorders>
          </w:tcPr>
          <w:p w14:paraId="7D55544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D8E3CCB" w14:textId="6FDD275E"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inventories;</w:t>
            </w:r>
          </w:p>
        </w:tc>
      </w:tr>
      <w:tr w:rsidR="00F857F6" w:rsidRPr="00D31414" w14:paraId="3631E98A" w14:textId="77777777" w:rsidTr="004D1EC6">
        <w:trPr>
          <w:cantSplit/>
          <w:trHeight w:val="20"/>
        </w:trPr>
        <w:tc>
          <w:tcPr>
            <w:tcW w:w="1560" w:type="dxa"/>
            <w:tcBorders>
              <w:left w:val="single" w:sz="2" w:space="0" w:color="auto"/>
              <w:right w:val="single" w:sz="2" w:space="0" w:color="auto"/>
            </w:tcBorders>
          </w:tcPr>
          <w:p w14:paraId="2EFB5F7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893136" w14:textId="128C13E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assets held for sale and assets included in disposal groups classified as held for sale;</w:t>
            </w:r>
          </w:p>
        </w:tc>
      </w:tr>
      <w:tr w:rsidR="00F857F6" w:rsidRPr="00D31414" w14:paraId="29D4BA98" w14:textId="77777777" w:rsidTr="004D1EC6">
        <w:trPr>
          <w:cantSplit/>
          <w:trHeight w:val="20"/>
        </w:trPr>
        <w:tc>
          <w:tcPr>
            <w:tcW w:w="1560" w:type="dxa"/>
            <w:tcBorders>
              <w:left w:val="single" w:sz="2" w:space="0" w:color="auto"/>
              <w:right w:val="single" w:sz="2" w:space="0" w:color="auto"/>
            </w:tcBorders>
          </w:tcPr>
          <w:p w14:paraId="77EB8066"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0A9B6C0" w14:textId="2503A719"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 property;</w:t>
            </w:r>
          </w:p>
        </w:tc>
      </w:tr>
      <w:tr w:rsidR="00F857F6" w:rsidRPr="00D31414" w14:paraId="42DED8D1" w14:textId="77777777" w:rsidTr="004D1EC6">
        <w:trPr>
          <w:cantSplit/>
          <w:trHeight w:val="20"/>
        </w:trPr>
        <w:tc>
          <w:tcPr>
            <w:tcW w:w="1560" w:type="dxa"/>
            <w:tcBorders>
              <w:left w:val="single" w:sz="2" w:space="0" w:color="auto"/>
              <w:right w:val="single" w:sz="2" w:space="0" w:color="auto"/>
            </w:tcBorders>
          </w:tcPr>
          <w:p w14:paraId="1C92887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8B30E0" w14:textId="4879161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biological assets;</w:t>
            </w:r>
          </w:p>
        </w:tc>
      </w:tr>
      <w:tr w:rsidR="00F857F6" w:rsidRPr="00D31414" w14:paraId="580277E9" w14:textId="77777777" w:rsidTr="004D1EC6">
        <w:trPr>
          <w:cantSplit/>
          <w:trHeight w:val="20"/>
        </w:trPr>
        <w:tc>
          <w:tcPr>
            <w:tcW w:w="1560" w:type="dxa"/>
            <w:tcBorders>
              <w:left w:val="single" w:sz="2" w:space="0" w:color="auto"/>
              <w:right w:val="single" w:sz="2" w:space="0" w:color="auto"/>
            </w:tcBorders>
          </w:tcPr>
          <w:p w14:paraId="509E34C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05C8260" w14:textId="6371BDD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investments accounted for using the equity method;</w:t>
            </w:r>
          </w:p>
        </w:tc>
      </w:tr>
      <w:tr w:rsidR="00F857F6" w:rsidRPr="00D31414" w14:paraId="52D86E7C" w14:textId="77777777" w:rsidTr="004D1EC6">
        <w:trPr>
          <w:cantSplit/>
          <w:trHeight w:val="20"/>
        </w:trPr>
        <w:tc>
          <w:tcPr>
            <w:tcW w:w="1560" w:type="dxa"/>
            <w:tcBorders>
              <w:left w:val="single" w:sz="2" w:space="0" w:color="auto"/>
              <w:right w:val="single" w:sz="2" w:space="0" w:color="auto"/>
            </w:tcBorders>
          </w:tcPr>
          <w:p w14:paraId="2528311A"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F082D9" w14:textId="2825DA7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assets;</w:t>
            </w:r>
          </w:p>
        </w:tc>
      </w:tr>
      <w:tr w:rsidR="00F857F6" w:rsidRPr="00D31414" w14:paraId="38188E55" w14:textId="77777777" w:rsidTr="004D1EC6">
        <w:trPr>
          <w:cantSplit/>
          <w:trHeight w:val="20"/>
        </w:trPr>
        <w:tc>
          <w:tcPr>
            <w:tcW w:w="1560" w:type="dxa"/>
            <w:tcBorders>
              <w:left w:val="single" w:sz="2" w:space="0" w:color="auto"/>
              <w:right w:val="single" w:sz="2" w:space="0" w:color="auto"/>
            </w:tcBorders>
          </w:tcPr>
          <w:p w14:paraId="0B423BF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703CE93" w14:textId="7C8CB914"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assets;</w:t>
            </w:r>
          </w:p>
        </w:tc>
      </w:tr>
      <w:tr w:rsidR="00F857F6" w:rsidRPr="00D31414" w14:paraId="7512F5AA" w14:textId="77777777" w:rsidTr="004D1EC6">
        <w:trPr>
          <w:cantSplit/>
          <w:trHeight w:val="20"/>
        </w:trPr>
        <w:tc>
          <w:tcPr>
            <w:tcW w:w="1560" w:type="dxa"/>
            <w:tcBorders>
              <w:left w:val="single" w:sz="2" w:space="0" w:color="auto"/>
              <w:right w:val="single" w:sz="2" w:space="0" w:color="auto"/>
            </w:tcBorders>
          </w:tcPr>
          <w:p w14:paraId="37D569C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473D9A" w14:textId="79C32D6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assets (excluding cash and cash equivalents, trade and other receivables, and investments accounted for using the equity method);</w:t>
            </w:r>
          </w:p>
        </w:tc>
      </w:tr>
      <w:tr w:rsidR="00F857F6" w:rsidRPr="00D31414" w14:paraId="42C9A6F6" w14:textId="77777777" w:rsidTr="004D1EC6">
        <w:trPr>
          <w:cantSplit/>
          <w:trHeight w:val="20"/>
        </w:trPr>
        <w:tc>
          <w:tcPr>
            <w:tcW w:w="1560" w:type="dxa"/>
            <w:tcBorders>
              <w:left w:val="single" w:sz="2" w:space="0" w:color="auto"/>
              <w:right w:val="single" w:sz="2" w:space="0" w:color="auto"/>
            </w:tcBorders>
          </w:tcPr>
          <w:p w14:paraId="5293668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BD202FD" w14:textId="7BF1EC3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property, plant and equipment; and </w:t>
            </w:r>
          </w:p>
        </w:tc>
      </w:tr>
      <w:tr w:rsidR="00F857F6" w:rsidRPr="00D31414" w14:paraId="34ED2F38" w14:textId="77777777" w:rsidTr="004D1EC6">
        <w:trPr>
          <w:cantSplit/>
          <w:trHeight w:val="20"/>
        </w:trPr>
        <w:tc>
          <w:tcPr>
            <w:tcW w:w="1560" w:type="dxa"/>
            <w:tcBorders>
              <w:left w:val="single" w:sz="2" w:space="0" w:color="auto"/>
              <w:right w:val="single" w:sz="2" w:space="0" w:color="auto"/>
            </w:tcBorders>
          </w:tcPr>
          <w:p w14:paraId="37A1846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A623738" w14:textId="4FCFFA4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intangible assets.</w:t>
            </w:r>
          </w:p>
        </w:tc>
      </w:tr>
      <w:tr w:rsidR="00F857F6" w:rsidRPr="00D31414" w14:paraId="3BE4ECB4" w14:textId="77777777" w:rsidTr="004D1EC6">
        <w:trPr>
          <w:cantSplit/>
          <w:trHeight w:val="20"/>
        </w:trPr>
        <w:tc>
          <w:tcPr>
            <w:tcW w:w="1560" w:type="dxa"/>
            <w:tcBorders>
              <w:left w:val="single" w:sz="2" w:space="0" w:color="auto"/>
              <w:right w:val="single" w:sz="2" w:space="0" w:color="auto"/>
            </w:tcBorders>
          </w:tcPr>
          <w:p w14:paraId="1AD584E8" w14:textId="006A9204"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16.47</w:t>
            </w:r>
          </w:p>
        </w:tc>
        <w:tc>
          <w:tcPr>
            <w:tcW w:w="8986" w:type="dxa"/>
            <w:tcBorders>
              <w:left w:val="single" w:sz="2" w:space="0" w:color="auto"/>
            </w:tcBorders>
            <w:shd w:val="clear" w:color="auto" w:fill="7030A0"/>
          </w:tcPr>
          <w:p w14:paraId="0C588B4E" w14:textId="32A8C70E" w:rsidR="00F857F6" w:rsidRPr="00E10D26" w:rsidRDefault="00F857F6" w:rsidP="00C5550C">
            <w:pPr>
              <w:pStyle w:val="Commentary-Bullet"/>
              <w:numPr>
                <w:ilvl w:val="0"/>
                <w:numId w:val="0"/>
              </w:numPr>
              <w:spacing w:after="40"/>
              <w:rPr>
                <w:rFonts w:cs="Calibri"/>
                <w:color w:val="FFFFFF" w:themeColor="background1"/>
                <w:sz w:val="18"/>
                <w:szCs w:val="18"/>
              </w:rPr>
            </w:pPr>
            <w:r w:rsidRPr="00E10D26">
              <w:rPr>
                <w:rFonts w:cs="Calibri"/>
                <w:color w:val="FFFFFF" w:themeColor="background1"/>
                <w:sz w:val="18"/>
                <w:szCs w:val="18"/>
              </w:rPr>
              <w:t xml:space="preserve">Right-of use assets are disclosed in Note </w:t>
            </w:r>
            <w:r w:rsidR="00FA3E79" w:rsidRPr="00E10D26">
              <w:rPr>
                <w:rFonts w:cs="Calibri"/>
                <w:color w:val="FFFFFF" w:themeColor="background1"/>
                <w:sz w:val="18"/>
                <w:szCs w:val="18"/>
              </w:rPr>
              <w:t xml:space="preserve">19 </w:t>
            </w:r>
            <w:r w:rsidRPr="00E10D26">
              <w:rPr>
                <w:rFonts w:cs="Calibri"/>
                <w:i/>
                <w:iCs/>
                <w:color w:val="FFFFFF" w:themeColor="background1"/>
                <w:sz w:val="18"/>
                <w:szCs w:val="18"/>
              </w:rPr>
              <w:t>Property, Plant and Equipment</w:t>
            </w:r>
            <w:r w:rsidRPr="00E10D26">
              <w:rPr>
                <w:rFonts w:cs="Calibri"/>
                <w:color w:val="FFFFFF" w:themeColor="background1"/>
                <w:sz w:val="18"/>
                <w:szCs w:val="18"/>
              </w:rPr>
              <w:t xml:space="preserve"> under the relevant class of asset.</w:t>
            </w:r>
          </w:p>
        </w:tc>
      </w:tr>
      <w:tr w:rsidR="00F857F6" w:rsidRPr="00D31414" w14:paraId="41B3F020" w14:textId="77777777" w:rsidTr="004D1EC6">
        <w:trPr>
          <w:cantSplit/>
          <w:trHeight w:val="20"/>
        </w:trPr>
        <w:tc>
          <w:tcPr>
            <w:tcW w:w="1560" w:type="dxa"/>
            <w:tcBorders>
              <w:left w:val="single" w:sz="2" w:space="0" w:color="auto"/>
              <w:right w:val="single" w:sz="2" w:space="0" w:color="auto"/>
            </w:tcBorders>
          </w:tcPr>
          <w:p w14:paraId="75865FF7"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F1C74A7" w14:textId="28D6E9E6" w:rsidR="00F857F6" w:rsidRPr="00E10D26" w:rsidRDefault="00F857F6" w:rsidP="0000717F">
            <w:pPr>
              <w:pStyle w:val="CommentaryText"/>
              <w:tabs>
                <w:tab w:val="left" w:pos="3306"/>
              </w:tabs>
              <w:spacing w:before="120" w:after="40"/>
              <w:rPr>
                <w:rFonts w:cs="Calibri"/>
                <w:color w:val="FFFFFF" w:themeColor="background1"/>
                <w:sz w:val="18"/>
                <w:szCs w:val="18"/>
              </w:rPr>
            </w:pPr>
            <w:r w:rsidRPr="00E10D26">
              <w:rPr>
                <w:rFonts w:cs="Calibri"/>
                <w:color w:val="FFFFFF" w:themeColor="background1"/>
                <w:sz w:val="18"/>
                <w:szCs w:val="18"/>
              </w:rPr>
              <w:t>Liabilities:</w:t>
            </w:r>
          </w:p>
        </w:tc>
      </w:tr>
      <w:tr w:rsidR="00F857F6" w:rsidRPr="00D31414" w14:paraId="5200E5BF" w14:textId="77777777" w:rsidTr="004D1EC6">
        <w:trPr>
          <w:cantSplit/>
          <w:trHeight w:val="20"/>
        </w:trPr>
        <w:tc>
          <w:tcPr>
            <w:tcW w:w="1560" w:type="dxa"/>
            <w:tcBorders>
              <w:left w:val="single" w:sz="2" w:space="0" w:color="auto"/>
              <w:right w:val="single" w:sz="2" w:space="0" w:color="auto"/>
            </w:tcBorders>
          </w:tcPr>
          <w:p w14:paraId="0788915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D3D415A" w14:textId="0FC8C36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payables;</w:t>
            </w:r>
          </w:p>
        </w:tc>
      </w:tr>
      <w:tr w:rsidR="006A4E19" w:rsidRPr="00D31414" w14:paraId="7913C401" w14:textId="77777777" w:rsidTr="004D1EC6">
        <w:trPr>
          <w:cantSplit/>
          <w:trHeight w:val="20"/>
        </w:trPr>
        <w:tc>
          <w:tcPr>
            <w:tcW w:w="1560" w:type="dxa"/>
            <w:tcBorders>
              <w:left w:val="single" w:sz="2" w:space="0" w:color="auto"/>
              <w:right w:val="single" w:sz="2" w:space="0" w:color="auto"/>
            </w:tcBorders>
          </w:tcPr>
          <w:p w14:paraId="2B52BB33" w14:textId="1B2CD3C4" w:rsidR="009C7894" w:rsidRPr="00E10D26" w:rsidRDefault="009C7894" w:rsidP="006A4E19">
            <w:pPr>
              <w:pStyle w:val="TableReference"/>
              <w:tabs>
                <w:tab w:val="left" w:pos="3306"/>
              </w:tabs>
              <w:spacing w:before="60"/>
              <w:rPr>
                <w:rFonts w:cs="Calibri"/>
                <w:color w:val="7030A0"/>
                <w:sz w:val="14"/>
              </w:rPr>
            </w:pPr>
            <w:bookmarkStart w:id="183" w:name="_Hlk40092274"/>
          </w:p>
        </w:tc>
        <w:tc>
          <w:tcPr>
            <w:tcW w:w="8986" w:type="dxa"/>
            <w:tcBorders>
              <w:left w:val="single" w:sz="2" w:space="0" w:color="auto"/>
            </w:tcBorders>
            <w:shd w:val="clear" w:color="auto" w:fill="7030A0"/>
          </w:tcPr>
          <w:p w14:paraId="6561EED1" w14:textId="7CFF47AC" w:rsidR="00FE5703"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liabilities included in a disposal group classified as held for sale;</w:t>
            </w:r>
          </w:p>
        </w:tc>
      </w:tr>
      <w:tr w:rsidR="00F857F6" w:rsidRPr="00D31414" w14:paraId="235BBA5F" w14:textId="77777777" w:rsidTr="004D1EC6">
        <w:trPr>
          <w:cantSplit/>
          <w:trHeight w:val="20"/>
        </w:trPr>
        <w:tc>
          <w:tcPr>
            <w:tcW w:w="1560" w:type="dxa"/>
            <w:tcBorders>
              <w:left w:val="single" w:sz="2" w:space="0" w:color="auto"/>
              <w:right w:val="single" w:sz="2" w:space="0" w:color="auto"/>
            </w:tcBorders>
          </w:tcPr>
          <w:p w14:paraId="783C0EE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140DA1" w14:textId="4B665E9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liabilities;</w:t>
            </w:r>
          </w:p>
        </w:tc>
      </w:tr>
      <w:tr w:rsidR="00F857F6" w:rsidRPr="00D31414" w14:paraId="7D4B437E" w14:textId="77777777" w:rsidTr="004D1EC6">
        <w:trPr>
          <w:cantSplit/>
          <w:trHeight w:val="20"/>
        </w:trPr>
        <w:tc>
          <w:tcPr>
            <w:tcW w:w="1560" w:type="dxa"/>
            <w:tcBorders>
              <w:left w:val="single" w:sz="2" w:space="0" w:color="auto"/>
              <w:right w:val="single" w:sz="2" w:space="0" w:color="auto"/>
            </w:tcBorders>
          </w:tcPr>
          <w:p w14:paraId="44D4FCE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F81505" w14:textId="79F9992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liabilities;</w:t>
            </w:r>
          </w:p>
        </w:tc>
      </w:tr>
      <w:tr w:rsidR="00F857F6" w:rsidRPr="00D31414" w14:paraId="4B285E3E" w14:textId="77777777" w:rsidTr="004D1EC6">
        <w:trPr>
          <w:cantSplit/>
          <w:trHeight w:val="20"/>
        </w:trPr>
        <w:tc>
          <w:tcPr>
            <w:tcW w:w="1560" w:type="dxa"/>
            <w:tcBorders>
              <w:left w:val="single" w:sz="2" w:space="0" w:color="auto"/>
              <w:right w:val="single" w:sz="2" w:space="0" w:color="auto"/>
            </w:tcBorders>
          </w:tcPr>
          <w:p w14:paraId="3C39F17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F09F9F" w14:textId="27FC1B5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liabilities (excluding trade and other payables, and provisions); and</w:t>
            </w:r>
          </w:p>
        </w:tc>
      </w:tr>
      <w:tr w:rsidR="00F857F6" w:rsidRPr="00D31414" w14:paraId="692BC5A7" w14:textId="77777777" w:rsidTr="004D1EC6">
        <w:trPr>
          <w:cantSplit/>
          <w:trHeight w:val="20"/>
        </w:trPr>
        <w:tc>
          <w:tcPr>
            <w:tcW w:w="1560" w:type="dxa"/>
            <w:tcBorders>
              <w:left w:val="single" w:sz="2" w:space="0" w:color="auto"/>
              <w:right w:val="single" w:sz="2" w:space="0" w:color="auto"/>
            </w:tcBorders>
          </w:tcPr>
          <w:p w14:paraId="77C6B0D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C7C573F" w14:textId="534B5371" w:rsidR="00F857F6" w:rsidRPr="00E10D26" w:rsidRDefault="00F857F6" w:rsidP="00D022E8">
            <w:pPr>
              <w:pStyle w:val="Commentary-Bullet"/>
              <w:tabs>
                <w:tab w:val="clear" w:pos="502"/>
              </w:tabs>
              <w:spacing w:after="120"/>
              <w:ind w:left="601" w:hanging="459"/>
              <w:rPr>
                <w:rFonts w:cs="Calibri"/>
                <w:color w:val="FFFFFF" w:themeColor="background1"/>
                <w:sz w:val="18"/>
                <w:szCs w:val="18"/>
              </w:rPr>
            </w:pPr>
            <w:r w:rsidRPr="00E10D26">
              <w:rPr>
                <w:rFonts w:cs="Calibri"/>
                <w:color w:val="FFFFFF" w:themeColor="background1"/>
                <w:sz w:val="18"/>
                <w:szCs w:val="18"/>
              </w:rPr>
              <w:t>provisions.</w:t>
            </w:r>
          </w:p>
        </w:tc>
      </w:tr>
      <w:tr w:rsidR="00F857F6" w:rsidRPr="00D31414" w14:paraId="3D05D872" w14:textId="77777777" w:rsidTr="004D1EC6">
        <w:trPr>
          <w:cantSplit/>
          <w:trHeight w:val="20"/>
        </w:trPr>
        <w:tc>
          <w:tcPr>
            <w:tcW w:w="1560" w:type="dxa"/>
            <w:tcBorders>
              <w:left w:val="single" w:sz="2" w:space="0" w:color="auto"/>
              <w:right w:val="single" w:sz="2" w:space="0" w:color="auto"/>
            </w:tcBorders>
          </w:tcPr>
          <w:p w14:paraId="72EF7045" w14:textId="77777777" w:rsidR="00F857F6" w:rsidRPr="00E10D26" w:rsidRDefault="00F857F6" w:rsidP="00F857F6">
            <w:pPr>
              <w:pStyle w:val="TableReference"/>
              <w:tabs>
                <w:tab w:val="left" w:pos="3306"/>
              </w:tabs>
              <w:spacing w:before="60"/>
              <w:rPr>
                <w:rFonts w:cs="Calibri"/>
                <w:color w:val="7030A0"/>
                <w:sz w:val="14"/>
              </w:rPr>
            </w:pPr>
            <w:r w:rsidRPr="00E10D26">
              <w:rPr>
                <w:rFonts w:cs="Calibri"/>
                <w:color w:val="7030A0"/>
                <w:sz w:val="14"/>
              </w:rPr>
              <w:t>AASB 101.55</w:t>
            </w:r>
          </w:p>
          <w:p w14:paraId="572EA6B9"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BEE28C" w14:textId="4C1524C6" w:rsidR="00E10D26" w:rsidRPr="00E10D26" w:rsidRDefault="00F857F6" w:rsidP="00E10D26">
            <w:pPr>
              <w:pStyle w:val="CommentaryText"/>
              <w:spacing w:after="40"/>
              <w:rPr>
                <w:rFonts w:cs="Calibri"/>
                <w:color w:val="FFFFFF" w:themeColor="background1"/>
                <w:sz w:val="18"/>
                <w:szCs w:val="18"/>
              </w:rPr>
            </w:pPr>
            <w:r w:rsidRPr="00E10D26">
              <w:rPr>
                <w:rFonts w:cs="Calibri"/>
                <w:color w:val="FFFFFF" w:themeColor="background1"/>
                <w:sz w:val="18"/>
                <w:szCs w:val="18"/>
              </w:rPr>
              <w:t>Additional line items (including by disaggregating the line items listed above), headings and sub-totals shall be presented in the Balance Sheet when their presentation is relevant to the understanding of the agency’s financial position.</w:t>
            </w:r>
            <w:r w:rsidR="00FA7C77">
              <w:rPr>
                <w:rFonts w:cs="Calibri"/>
                <w:color w:val="FFFFFF" w:themeColor="background1"/>
                <w:sz w:val="18"/>
                <w:szCs w:val="18"/>
              </w:rPr>
              <w:t xml:space="preserve"> </w:t>
            </w:r>
            <w:r w:rsidRPr="00E10D26">
              <w:rPr>
                <w:rFonts w:cs="Calibri"/>
                <w:color w:val="FFFFFF" w:themeColor="background1"/>
                <w:sz w:val="18"/>
                <w:szCs w:val="18"/>
              </w:rPr>
              <w:t>These additional sub-totals must:</w:t>
            </w:r>
          </w:p>
        </w:tc>
      </w:tr>
      <w:tr w:rsidR="00F857F6" w:rsidRPr="00D31414" w14:paraId="0C803BC7" w14:textId="77777777" w:rsidTr="004D1EC6">
        <w:trPr>
          <w:cantSplit/>
          <w:trHeight w:val="20"/>
        </w:trPr>
        <w:tc>
          <w:tcPr>
            <w:tcW w:w="1560" w:type="dxa"/>
            <w:tcBorders>
              <w:left w:val="single" w:sz="2" w:space="0" w:color="auto"/>
              <w:right w:val="single" w:sz="2" w:space="0" w:color="auto"/>
            </w:tcBorders>
          </w:tcPr>
          <w:p w14:paraId="7D4CCE98" w14:textId="21C4B52F"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101.55A</w:t>
            </w:r>
          </w:p>
        </w:tc>
        <w:tc>
          <w:tcPr>
            <w:tcW w:w="8986" w:type="dxa"/>
            <w:tcBorders>
              <w:left w:val="single" w:sz="2" w:space="0" w:color="auto"/>
            </w:tcBorders>
            <w:shd w:val="clear" w:color="auto" w:fill="7030A0"/>
          </w:tcPr>
          <w:p w14:paraId="069E9329" w14:textId="156F80F9"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 xml:space="preserve">be made up of items recognised and measured in accordance with Australian Accounting Standards; </w:t>
            </w:r>
          </w:p>
        </w:tc>
      </w:tr>
      <w:tr w:rsidR="00F857F6" w:rsidRPr="00D31414" w14:paraId="5D3C6460" w14:textId="77777777" w:rsidTr="004D1EC6">
        <w:trPr>
          <w:cantSplit/>
          <w:trHeight w:val="20"/>
        </w:trPr>
        <w:tc>
          <w:tcPr>
            <w:tcW w:w="1560" w:type="dxa"/>
            <w:tcBorders>
              <w:left w:val="single" w:sz="2" w:space="0" w:color="auto"/>
              <w:right w:val="single" w:sz="2" w:space="0" w:color="auto"/>
            </w:tcBorders>
          </w:tcPr>
          <w:p w14:paraId="343D47C0"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DF64EDE" w14:textId="75E6F9B0"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be presented and labelled in a manner that makes the sub-totals clear and understandable and consistent from period to period; and</w:t>
            </w:r>
          </w:p>
        </w:tc>
      </w:tr>
      <w:tr w:rsidR="00F857F6" w:rsidRPr="00D31414" w14:paraId="52817179" w14:textId="77777777" w:rsidTr="004D1EC6">
        <w:trPr>
          <w:cantSplit/>
          <w:trHeight w:val="20"/>
        </w:trPr>
        <w:tc>
          <w:tcPr>
            <w:tcW w:w="1560" w:type="dxa"/>
            <w:tcBorders>
              <w:left w:val="single" w:sz="2" w:space="0" w:color="auto"/>
              <w:right w:val="single" w:sz="2" w:space="0" w:color="auto"/>
            </w:tcBorders>
          </w:tcPr>
          <w:p w14:paraId="228CFC0C"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AE15A7" w14:textId="171D14FD"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not be displayed with more prominence than the sub-totals and totals required in Australian Accounting Standards.</w:t>
            </w:r>
          </w:p>
        </w:tc>
      </w:tr>
      <w:tr w:rsidR="00F857F6" w:rsidRPr="00D31414" w14:paraId="2BA87DAE" w14:textId="77777777" w:rsidTr="004D1EC6">
        <w:trPr>
          <w:cantSplit/>
          <w:trHeight w:val="20"/>
        </w:trPr>
        <w:tc>
          <w:tcPr>
            <w:tcW w:w="1560" w:type="dxa"/>
            <w:tcBorders>
              <w:left w:val="single" w:sz="2" w:space="0" w:color="auto"/>
              <w:right w:val="single" w:sz="2" w:space="0" w:color="auto"/>
            </w:tcBorders>
          </w:tcPr>
          <w:p w14:paraId="36246D3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E7DD030" w14:textId="51A0890D" w:rsidR="00F857F6" w:rsidRPr="00E10D26" w:rsidRDefault="00F857F6" w:rsidP="001C4BA2">
            <w:pPr>
              <w:pStyle w:val="CommentaryText"/>
              <w:rPr>
                <w:rFonts w:cs="Calibri"/>
                <w:color w:val="FFFFFF" w:themeColor="background1"/>
                <w:sz w:val="18"/>
                <w:szCs w:val="18"/>
              </w:rPr>
            </w:pPr>
            <w:r w:rsidRPr="00E10D26">
              <w:rPr>
                <w:rFonts w:cs="Calibri"/>
                <w:color w:val="FFFFFF" w:themeColor="background1"/>
                <w:sz w:val="18"/>
                <w:szCs w:val="18"/>
              </w:rPr>
              <w:t>Note that where an agency has no amounts applicable to any individual line item, that line item should not be included in the Balance Sheet.</w:t>
            </w:r>
          </w:p>
        </w:tc>
      </w:tr>
      <w:tr w:rsidR="00410F73" w:rsidRPr="00D31414" w14:paraId="6CC0A038" w14:textId="77777777" w:rsidTr="004D1EC6">
        <w:trPr>
          <w:cantSplit/>
          <w:trHeight w:val="20"/>
        </w:trPr>
        <w:tc>
          <w:tcPr>
            <w:tcW w:w="1560" w:type="dxa"/>
            <w:tcBorders>
              <w:left w:val="single" w:sz="2" w:space="0" w:color="auto"/>
              <w:right w:val="single" w:sz="2" w:space="0" w:color="auto"/>
            </w:tcBorders>
          </w:tcPr>
          <w:p w14:paraId="33D97E24" w14:textId="77777777" w:rsidR="00410F73" w:rsidRPr="00E10D26" w:rsidRDefault="00410F73" w:rsidP="0000717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C8F08A" w14:textId="20F1F6C8" w:rsidR="00410F73" w:rsidRPr="00E10D26" w:rsidRDefault="00410F73" w:rsidP="0000717F">
            <w:pPr>
              <w:pStyle w:val="CommentaryText"/>
              <w:rPr>
                <w:rFonts w:cs="Calibri"/>
                <w:strike/>
                <w:color w:val="FFFFFF" w:themeColor="background1"/>
                <w:sz w:val="18"/>
                <w:szCs w:val="18"/>
              </w:rPr>
            </w:pPr>
            <w:r w:rsidRPr="00E10D26">
              <w:rPr>
                <w:rFonts w:cs="Calibri"/>
                <w:color w:val="FFFFFF" w:themeColor="background1"/>
                <w:sz w:val="18"/>
                <w:szCs w:val="18"/>
              </w:rPr>
              <w:t xml:space="preserve">The Contributed Equity line item contained in the Model Balance Sheet relates to </w:t>
            </w:r>
            <w:r w:rsidR="00842DBF">
              <w:rPr>
                <w:rFonts w:cs="Calibri"/>
                <w:color w:val="FFFFFF" w:themeColor="background1"/>
                <w:sz w:val="18"/>
                <w:szCs w:val="18"/>
              </w:rPr>
              <w:t>t</w:t>
            </w:r>
            <w:r w:rsidRPr="00E10D26">
              <w:rPr>
                <w:rFonts w:cs="Calibri"/>
                <w:color w:val="FFFFFF" w:themeColor="background1"/>
                <w:sz w:val="18"/>
                <w:szCs w:val="18"/>
              </w:rPr>
              <w:t xml:space="preserve">erritory </w:t>
            </w:r>
            <w:r w:rsidR="00842DBF">
              <w:rPr>
                <w:rFonts w:cs="Calibri"/>
                <w:color w:val="FFFFFF" w:themeColor="background1"/>
                <w:sz w:val="18"/>
                <w:szCs w:val="18"/>
              </w:rPr>
              <w:t>a</w:t>
            </w:r>
            <w:r w:rsidRPr="00E10D26">
              <w:rPr>
                <w:rFonts w:cs="Calibri"/>
                <w:color w:val="FFFFFF" w:themeColor="background1"/>
                <w:sz w:val="18"/>
                <w:szCs w:val="18"/>
              </w:rPr>
              <w:t xml:space="preserve">uthorities. </w:t>
            </w:r>
          </w:p>
        </w:tc>
      </w:tr>
      <w:bookmarkEnd w:id="183"/>
      <w:tr w:rsidR="0000717F" w:rsidRPr="00D31414" w14:paraId="7473D6D4" w14:textId="77777777" w:rsidTr="004D1EC6">
        <w:trPr>
          <w:cantSplit/>
          <w:trHeight w:val="20"/>
        </w:trPr>
        <w:tc>
          <w:tcPr>
            <w:tcW w:w="1560" w:type="dxa"/>
            <w:tcBorders>
              <w:left w:val="single" w:sz="2" w:space="0" w:color="auto"/>
              <w:right w:val="single" w:sz="2" w:space="0" w:color="auto"/>
            </w:tcBorders>
          </w:tcPr>
          <w:p w14:paraId="26A52996" w14:textId="29392C12" w:rsidR="001D66DB" w:rsidRDefault="001D66DB" w:rsidP="009A0F2F">
            <w:pPr>
              <w:pStyle w:val="TableReference"/>
              <w:tabs>
                <w:tab w:val="left" w:pos="3306"/>
              </w:tabs>
              <w:spacing w:before="60"/>
              <w:rPr>
                <w:rFonts w:cs="Calibri"/>
                <w:color w:val="7030A0"/>
                <w:sz w:val="14"/>
              </w:rPr>
            </w:pPr>
            <w:r w:rsidRPr="00E10D26">
              <w:rPr>
                <w:rFonts w:cs="Calibri"/>
                <w:color w:val="7030A0"/>
                <w:sz w:val="14"/>
              </w:rPr>
              <w:t>AASB 101.51(c), 51(e) &amp;53</w:t>
            </w:r>
          </w:p>
          <w:p w14:paraId="2912A159" w14:textId="42573551"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AASB 101.113</w:t>
            </w:r>
          </w:p>
        </w:tc>
        <w:tc>
          <w:tcPr>
            <w:tcW w:w="8986" w:type="dxa"/>
            <w:tcBorders>
              <w:left w:val="single" w:sz="2" w:space="0" w:color="auto"/>
            </w:tcBorders>
            <w:shd w:val="clear" w:color="auto" w:fill="7030A0"/>
          </w:tcPr>
          <w:p w14:paraId="1D68C6B2" w14:textId="579B69CA" w:rsidR="001D66DB" w:rsidRDefault="001D66DB" w:rsidP="0000717F">
            <w:pPr>
              <w:pStyle w:val="CommentaryText"/>
              <w:rPr>
                <w:rFonts w:cs="Calibri"/>
                <w:color w:val="FFFFFF" w:themeColor="background1"/>
                <w:sz w:val="18"/>
                <w:szCs w:val="18"/>
              </w:rPr>
            </w:pPr>
            <w:r w:rsidRPr="00E10D26">
              <w:rPr>
                <w:rFonts w:cs="Calibri"/>
                <w:color w:val="FFFFFF" w:themeColor="background1"/>
                <w:sz w:val="18"/>
                <w:szCs w:val="18"/>
              </w:rPr>
              <w:t>The reporting date and rounding used in the Balance Sheet must be identified.</w:t>
            </w:r>
          </w:p>
          <w:p w14:paraId="4AC4A17B" w14:textId="1F5BBCDA" w:rsidR="0000717F" w:rsidRPr="00E10D26" w:rsidRDefault="0000717F" w:rsidP="0000717F">
            <w:pPr>
              <w:pStyle w:val="CommentaryText"/>
              <w:rPr>
                <w:rFonts w:cs="Calibri"/>
                <w:color w:val="FFFFFF" w:themeColor="background1"/>
                <w:sz w:val="18"/>
                <w:szCs w:val="18"/>
              </w:rPr>
            </w:pPr>
            <w:r w:rsidRPr="00E10D26">
              <w:rPr>
                <w:rFonts w:cs="Calibri"/>
                <w:color w:val="FFFFFF" w:themeColor="background1"/>
                <w:sz w:val="18"/>
                <w:szCs w:val="18"/>
              </w:rPr>
              <w:t>The Balance Sheet must be cross-referenced to relevant notes included, based on materiality considerations.</w:t>
            </w:r>
          </w:p>
        </w:tc>
      </w:tr>
      <w:tr w:rsidR="00F64F36" w:rsidRPr="00D31414" w14:paraId="0D3E4E34" w14:textId="77777777" w:rsidTr="004D1EC6">
        <w:trPr>
          <w:cantSplit/>
          <w:trHeight w:val="20"/>
        </w:trPr>
        <w:tc>
          <w:tcPr>
            <w:tcW w:w="1560" w:type="dxa"/>
            <w:tcBorders>
              <w:left w:val="single" w:sz="2" w:space="0" w:color="auto"/>
              <w:right w:val="single" w:sz="2" w:space="0" w:color="auto"/>
            </w:tcBorders>
          </w:tcPr>
          <w:p w14:paraId="73874333"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729E4E1" w14:textId="33A655C3" w:rsidR="00F64F36" w:rsidRPr="00B73007" w:rsidRDefault="00F64F36" w:rsidP="00F64F36">
            <w:pPr>
              <w:pStyle w:val="CommentaryText"/>
              <w:spacing w:after="0"/>
              <w:rPr>
                <w:rFonts w:cs="Calibri"/>
                <w:color w:val="FFFFFF" w:themeColor="background1"/>
                <w:sz w:val="18"/>
                <w:szCs w:val="18"/>
              </w:rPr>
            </w:pPr>
            <w:r w:rsidRPr="00B73007">
              <w:rPr>
                <w:rFonts w:cs="Calibri"/>
                <w:b/>
                <w:bCs/>
                <w:color w:val="FF0000"/>
                <w:szCs w:val="20"/>
              </w:rPr>
              <w:t>Cash and Investments</w:t>
            </w:r>
          </w:p>
        </w:tc>
      </w:tr>
      <w:tr w:rsidR="00F64F36" w:rsidRPr="00D31414" w14:paraId="272EF6D9" w14:textId="77777777" w:rsidTr="004D1EC6">
        <w:trPr>
          <w:cantSplit/>
          <w:trHeight w:val="20"/>
        </w:trPr>
        <w:tc>
          <w:tcPr>
            <w:tcW w:w="1560" w:type="dxa"/>
            <w:tcBorders>
              <w:left w:val="single" w:sz="2" w:space="0" w:color="auto"/>
              <w:right w:val="single" w:sz="2" w:space="0" w:color="auto"/>
            </w:tcBorders>
          </w:tcPr>
          <w:p w14:paraId="0853B56D"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E63D6AA" w14:textId="4D20D03B" w:rsidR="00F64F36" w:rsidRPr="00B73007" w:rsidRDefault="00F64F36" w:rsidP="00F64F36">
            <w:pPr>
              <w:pStyle w:val="CommentaryText"/>
              <w:rPr>
                <w:rFonts w:cs="Calibri"/>
                <w:color w:val="FFFFFF" w:themeColor="background1"/>
                <w:sz w:val="18"/>
                <w:szCs w:val="18"/>
              </w:rPr>
            </w:pPr>
            <w:r w:rsidRPr="00B73007">
              <w:rPr>
                <w:rFonts w:cs="Calibri"/>
                <w:color w:val="FF0000"/>
                <w:sz w:val="18"/>
                <w:szCs w:val="18"/>
              </w:rPr>
              <w:t>Where an agency does not have any investments (either actual or budget) they should include a ‘Cash and Cash Equivalents’ line item on the face o</w:t>
            </w:r>
            <w:r w:rsidR="007E7977" w:rsidRPr="00B73007">
              <w:rPr>
                <w:rFonts w:cs="Calibri"/>
                <w:color w:val="FF0000"/>
                <w:sz w:val="18"/>
                <w:szCs w:val="18"/>
              </w:rPr>
              <w:t>f</w:t>
            </w:r>
            <w:r w:rsidRPr="00B73007">
              <w:rPr>
                <w:rFonts w:cs="Calibri"/>
                <w:color w:val="FF0000"/>
                <w:sz w:val="18"/>
                <w:szCs w:val="18"/>
              </w:rPr>
              <w:t xml:space="preserve"> the balance sheet rather than a </w:t>
            </w:r>
            <w:r w:rsidR="00422C10" w:rsidRPr="00B73007">
              <w:rPr>
                <w:rFonts w:cs="Calibri"/>
                <w:color w:val="FF0000"/>
                <w:sz w:val="18"/>
                <w:szCs w:val="18"/>
              </w:rPr>
              <w:t>‘</w:t>
            </w:r>
            <w:r w:rsidRPr="00B73007">
              <w:rPr>
                <w:rFonts w:cs="Calibri"/>
                <w:color w:val="FF0000"/>
                <w:sz w:val="18"/>
                <w:szCs w:val="18"/>
              </w:rPr>
              <w:t>Cash and Investment</w:t>
            </w:r>
            <w:r w:rsidR="00422C10" w:rsidRPr="00B73007">
              <w:rPr>
                <w:rFonts w:cs="Calibri"/>
                <w:color w:val="FF0000"/>
                <w:sz w:val="18"/>
                <w:szCs w:val="18"/>
              </w:rPr>
              <w:t>’</w:t>
            </w:r>
            <w:r w:rsidRPr="00B73007">
              <w:rPr>
                <w:rFonts w:cs="Calibri"/>
                <w:color w:val="FF0000"/>
                <w:sz w:val="18"/>
                <w:szCs w:val="18"/>
              </w:rPr>
              <w:t xml:space="preserve"> line item.</w:t>
            </w:r>
          </w:p>
        </w:tc>
      </w:tr>
      <w:tr w:rsidR="00F64F36" w:rsidRPr="00D31414" w14:paraId="1E1205EE" w14:textId="77777777" w:rsidTr="004D1EC6">
        <w:trPr>
          <w:cantSplit/>
          <w:trHeight w:val="20"/>
        </w:trPr>
        <w:tc>
          <w:tcPr>
            <w:tcW w:w="1560" w:type="dxa"/>
            <w:tcBorders>
              <w:left w:val="single" w:sz="2" w:space="0" w:color="auto"/>
              <w:right w:val="single" w:sz="2" w:space="0" w:color="auto"/>
            </w:tcBorders>
          </w:tcPr>
          <w:p w14:paraId="1B05797B"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121DE7"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Budget</w:t>
            </w:r>
          </w:p>
        </w:tc>
      </w:tr>
      <w:tr w:rsidR="00F64F36" w:rsidRPr="00D31414" w14:paraId="44818425" w14:textId="77777777" w:rsidTr="004D1EC6">
        <w:trPr>
          <w:cantSplit/>
          <w:trHeight w:val="20"/>
        </w:trPr>
        <w:tc>
          <w:tcPr>
            <w:tcW w:w="1560" w:type="dxa"/>
            <w:tcBorders>
              <w:left w:val="single" w:sz="2" w:space="0" w:color="auto"/>
              <w:right w:val="single" w:sz="2" w:space="0" w:color="auto"/>
            </w:tcBorders>
          </w:tcPr>
          <w:p w14:paraId="03700036" w14:textId="77777777"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FMA Section 27(2)</w:t>
            </w:r>
          </w:p>
          <w:p w14:paraId="7AC4BDD4" w14:textId="77777777"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FMA s63(2)</w:t>
            </w:r>
          </w:p>
        </w:tc>
        <w:tc>
          <w:tcPr>
            <w:tcW w:w="8986" w:type="dxa"/>
            <w:tcBorders>
              <w:left w:val="single" w:sz="2" w:space="0" w:color="auto"/>
            </w:tcBorders>
            <w:shd w:val="clear" w:color="auto" w:fill="7030A0"/>
          </w:tcPr>
          <w:p w14:paraId="68B36047" w14:textId="23AF5099"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The budget numbers appearing in the Balance Sheet are those published in the 202</w:t>
            </w:r>
            <w:r>
              <w:rPr>
                <w:rFonts w:cs="Calibri"/>
                <w:color w:val="FFFFFF" w:themeColor="background1"/>
                <w:sz w:val="18"/>
                <w:szCs w:val="18"/>
              </w:rPr>
              <w:t>2</w:t>
            </w:r>
            <w:r w:rsidRPr="00E10D26">
              <w:rPr>
                <w:rFonts w:cs="Calibri"/>
                <w:color w:val="FFFFFF" w:themeColor="background1"/>
                <w:sz w:val="18"/>
                <w:szCs w:val="18"/>
              </w:rPr>
              <w:t>-2</w:t>
            </w:r>
            <w:r>
              <w:rPr>
                <w:rFonts w:cs="Calibri"/>
                <w:color w:val="FFFFFF" w:themeColor="background1"/>
                <w:sz w:val="18"/>
                <w:szCs w:val="18"/>
              </w:rPr>
              <w:t>3</w:t>
            </w:r>
            <w:r w:rsidRPr="00E10D26">
              <w:rPr>
                <w:rFonts w:cs="Calibri"/>
                <w:color w:val="FFFFFF" w:themeColor="background1"/>
                <w:sz w:val="18"/>
                <w:szCs w:val="18"/>
              </w:rPr>
              <w:t xml:space="preserve"> Budget Papers.</w:t>
            </w:r>
            <w:r>
              <w:rPr>
                <w:rFonts w:cs="Calibri"/>
                <w:color w:val="FFFFFF" w:themeColor="background1"/>
                <w:sz w:val="18"/>
                <w:szCs w:val="18"/>
              </w:rPr>
              <w:t xml:space="preserve"> </w:t>
            </w:r>
            <w:r w:rsidRPr="00E10D26">
              <w:rPr>
                <w:rFonts w:cs="Calibri"/>
                <w:color w:val="FFFFFF" w:themeColor="background1"/>
                <w:sz w:val="18"/>
                <w:szCs w:val="18"/>
              </w:rPr>
              <w:t xml:space="preserve">For </w:t>
            </w:r>
            <w:r>
              <w:rPr>
                <w:rFonts w:cs="Calibri"/>
                <w:color w:val="FFFFFF" w:themeColor="background1"/>
                <w:sz w:val="18"/>
                <w:szCs w:val="18"/>
              </w:rPr>
              <w:t>t</w:t>
            </w:r>
            <w:r w:rsidRPr="00E10D26">
              <w:rPr>
                <w:rFonts w:cs="Calibri"/>
                <w:color w:val="FFFFFF" w:themeColor="background1"/>
                <w:sz w:val="18"/>
                <w:szCs w:val="18"/>
              </w:rPr>
              <w:t xml:space="preserve">erritory </w:t>
            </w:r>
            <w:r>
              <w:rPr>
                <w:rFonts w:cs="Calibri"/>
                <w:color w:val="FFFFFF" w:themeColor="background1"/>
                <w:sz w:val="18"/>
                <w:szCs w:val="18"/>
              </w:rPr>
              <w:t>a</w:t>
            </w:r>
            <w:r w:rsidRPr="00E10D26">
              <w:rPr>
                <w:rFonts w:cs="Calibri"/>
                <w:color w:val="FFFFFF" w:themeColor="background1"/>
                <w:sz w:val="18"/>
                <w:szCs w:val="18"/>
              </w:rPr>
              <w:t xml:space="preserve">uthorities budget numbers appearing in the Balance Sheet are based on the authority’s Statement of Intent included in the </w:t>
            </w:r>
            <w:r w:rsidRPr="00C93ED0">
              <w:rPr>
                <w:rFonts w:cs="Calibri"/>
                <w:color w:val="FF0000"/>
                <w:sz w:val="18"/>
                <w:szCs w:val="18"/>
              </w:rPr>
              <w:t>2022-23</w:t>
            </w:r>
            <w:r w:rsidRPr="004A1999">
              <w:rPr>
                <w:rFonts w:cs="Calibri"/>
                <w:color w:val="FF0000"/>
                <w:sz w:val="18"/>
                <w:szCs w:val="18"/>
              </w:rPr>
              <w:t xml:space="preserve"> </w:t>
            </w:r>
            <w:r w:rsidRPr="00E10D26">
              <w:rPr>
                <w:rFonts w:cs="Calibri"/>
                <w:color w:val="FFFFFF" w:themeColor="background1"/>
                <w:sz w:val="18"/>
                <w:szCs w:val="18"/>
              </w:rPr>
              <w:t>Budget Papers.</w:t>
            </w:r>
          </w:p>
        </w:tc>
      </w:tr>
      <w:tr w:rsidR="00F64F36" w:rsidRPr="00D31414" w14:paraId="1D581D3D" w14:textId="77777777" w:rsidTr="004D1EC6">
        <w:trPr>
          <w:cantSplit/>
          <w:trHeight w:val="20"/>
        </w:trPr>
        <w:tc>
          <w:tcPr>
            <w:tcW w:w="1560" w:type="dxa"/>
            <w:tcBorders>
              <w:left w:val="single" w:sz="2" w:space="0" w:color="auto"/>
              <w:right w:val="single" w:sz="2" w:space="0" w:color="auto"/>
            </w:tcBorders>
          </w:tcPr>
          <w:p w14:paraId="459B4BDF" w14:textId="77777777" w:rsidR="00F64F36" w:rsidRPr="00851F40" w:rsidRDefault="00F64F36" w:rsidP="00911DEA">
            <w:pPr>
              <w:pStyle w:val="CommentaryTitle"/>
              <w:spacing w:after="240"/>
              <w:rPr>
                <w:rFonts w:cs="Calibri"/>
                <w:color w:val="7030A0"/>
              </w:rPr>
            </w:pPr>
            <w:r w:rsidRPr="00851F40">
              <w:rPr>
                <w:rFonts w:cs="Calibri"/>
                <w:color w:val="7030A0"/>
              </w:rPr>
              <w:t>Reference</w:t>
            </w:r>
          </w:p>
        </w:tc>
        <w:tc>
          <w:tcPr>
            <w:tcW w:w="8986" w:type="dxa"/>
            <w:tcBorders>
              <w:left w:val="single" w:sz="2" w:space="0" w:color="auto"/>
            </w:tcBorders>
            <w:shd w:val="clear" w:color="auto" w:fill="7030A0"/>
          </w:tcPr>
          <w:p w14:paraId="71BA90F6" w14:textId="7457B56E" w:rsidR="00F64F36" w:rsidRPr="00E10D26" w:rsidRDefault="00F64F36" w:rsidP="00911DEA">
            <w:pPr>
              <w:pStyle w:val="CommentaryTitle"/>
              <w:spacing w:after="240"/>
              <w:rPr>
                <w:rFonts w:cs="Calibri"/>
                <w:color w:val="FFFFFF" w:themeColor="background1"/>
                <w:sz w:val="28"/>
                <w:szCs w:val="28"/>
              </w:rPr>
            </w:pPr>
            <w:r w:rsidRPr="00E10D26">
              <w:rPr>
                <w:rFonts w:cs="Calibri"/>
                <w:color w:val="FFFFFF" w:themeColor="background1"/>
                <w:sz w:val="28"/>
                <w:szCs w:val="28"/>
              </w:rPr>
              <w:t xml:space="preserve">Commentary – Balance Sheet – Continued </w:t>
            </w:r>
          </w:p>
        </w:tc>
      </w:tr>
      <w:tr w:rsidR="00F64F36" w:rsidRPr="00D31414" w14:paraId="26D315F6" w14:textId="77777777" w:rsidTr="004D1EC6">
        <w:trPr>
          <w:cantSplit/>
          <w:trHeight w:val="20"/>
        </w:trPr>
        <w:tc>
          <w:tcPr>
            <w:tcW w:w="1560" w:type="dxa"/>
            <w:tcBorders>
              <w:left w:val="single" w:sz="2" w:space="0" w:color="auto"/>
              <w:right w:val="single" w:sz="2" w:space="0" w:color="auto"/>
            </w:tcBorders>
          </w:tcPr>
          <w:p w14:paraId="1F242189"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48274D73" w14:textId="77777777" w:rsidR="00F64F36" w:rsidRPr="00FA7C77" w:rsidRDefault="00F64F36" w:rsidP="00F64F36">
            <w:pPr>
              <w:pStyle w:val="CommentaryText"/>
              <w:spacing w:after="40"/>
              <w:rPr>
                <w:rFonts w:cs="Calibri"/>
                <w:b/>
                <w:color w:val="FFFFFF" w:themeColor="background1"/>
                <w:szCs w:val="20"/>
              </w:rPr>
            </w:pPr>
            <w:r w:rsidRPr="00FA7C77">
              <w:rPr>
                <w:rFonts w:cs="Calibri"/>
                <w:b/>
                <w:color w:val="FFFFFF" w:themeColor="background1"/>
                <w:szCs w:val="20"/>
              </w:rPr>
              <w:t>Classification of Assets</w:t>
            </w:r>
          </w:p>
        </w:tc>
      </w:tr>
      <w:tr w:rsidR="00F64F36" w:rsidRPr="00D31414" w14:paraId="779A3DFA" w14:textId="77777777" w:rsidTr="004D1EC6">
        <w:trPr>
          <w:cantSplit/>
          <w:trHeight w:val="20"/>
        </w:trPr>
        <w:tc>
          <w:tcPr>
            <w:tcW w:w="1560" w:type="dxa"/>
            <w:tcBorders>
              <w:left w:val="single" w:sz="2" w:space="0" w:color="auto"/>
              <w:right w:val="single" w:sz="2" w:space="0" w:color="auto"/>
            </w:tcBorders>
          </w:tcPr>
          <w:p w14:paraId="0AFE486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101.66</w:t>
            </w:r>
          </w:p>
        </w:tc>
        <w:tc>
          <w:tcPr>
            <w:tcW w:w="8986" w:type="dxa"/>
            <w:tcBorders>
              <w:left w:val="single" w:sz="2" w:space="0" w:color="auto"/>
            </w:tcBorders>
            <w:shd w:val="clear" w:color="auto" w:fill="7030A0"/>
          </w:tcPr>
          <w:p w14:paraId="582C3636"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An asset is classified as current when it satisfies any one of the following criteria:</w:t>
            </w:r>
          </w:p>
          <w:p w14:paraId="3328A88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realised in, or is intended for sale or consumption in, the agency’s normal operating cycle;</w:t>
            </w:r>
          </w:p>
          <w:p w14:paraId="39D741DA"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1206221D"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realised within 12 months after the reporting date; or</w:t>
            </w:r>
          </w:p>
          <w:p w14:paraId="105764D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cash or a cash equivalent unless restricted from being exchanged or used to settle a liability for at least 12 months after the reporting period.</w:t>
            </w:r>
          </w:p>
          <w:p w14:paraId="03C354D6" w14:textId="77777777" w:rsidR="00F64F36" w:rsidRPr="00E10D26" w:rsidRDefault="00F64F36" w:rsidP="00F64F36">
            <w:pPr>
              <w:pStyle w:val="Commentary-Bullet"/>
              <w:numPr>
                <w:ilvl w:val="0"/>
                <w:numId w:val="0"/>
              </w:numPr>
              <w:rPr>
                <w:rFonts w:cs="Calibri"/>
                <w:color w:val="FFFFFF" w:themeColor="background1"/>
                <w:sz w:val="18"/>
                <w:szCs w:val="18"/>
              </w:rPr>
            </w:pPr>
            <w:r w:rsidRPr="00E10D26">
              <w:rPr>
                <w:rFonts w:cs="Calibri"/>
                <w:color w:val="FFFFFF" w:themeColor="background1"/>
                <w:sz w:val="18"/>
                <w:szCs w:val="18"/>
              </w:rPr>
              <w:t>All other assets are classified as non-current.</w:t>
            </w:r>
          </w:p>
        </w:tc>
      </w:tr>
      <w:tr w:rsidR="00F64F36" w:rsidRPr="00D31414" w14:paraId="449D67D3" w14:textId="77777777" w:rsidTr="004D1EC6">
        <w:trPr>
          <w:cantSplit/>
          <w:trHeight w:val="20"/>
        </w:trPr>
        <w:tc>
          <w:tcPr>
            <w:tcW w:w="1560" w:type="dxa"/>
            <w:tcBorders>
              <w:left w:val="single" w:sz="2" w:space="0" w:color="auto"/>
              <w:right w:val="single" w:sz="2" w:space="0" w:color="auto"/>
            </w:tcBorders>
          </w:tcPr>
          <w:p w14:paraId="79844BEF"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36213C5"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Classification of Liabilities</w:t>
            </w:r>
          </w:p>
        </w:tc>
      </w:tr>
      <w:tr w:rsidR="00F64F36" w:rsidRPr="00D31414" w14:paraId="4F7B07D7" w14:textId="77777777" w:rsidTr="004D1EC6">
        <w:trPr>
          <w:cantSplit/>
          <w:trHeight w:val="20"/>
        </w:trPr>
        <w:tc>
          <w:tcPr>
            <w:tcW w:w="1560" w:type="dxa"/>
            <w:tcBorders>
              <w:left w:val="single" w:sz="2" w:space="0" w:color="auto"/>
              <w:right w:val="single" w:sz="2" w:space="0" w:color="auto"/>
            </w:tcBorders>
          </w:tcPr>
          <w:p w14:paraId="65A4DBC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101.69</w:t>
            </w:r>
          </w:p>
        </w:tc>
        <w:tc>
          <w:tcPr>
            <w:tcW w:w="8986" w:type="dxa"/>
            <w:tcBorders>
              <w:left w:val="single" w:sz="2" w:space="0" w:color="auto"/>
            </w:tcBorders>
            <w:shd w:val="clear" w:color="auto" w:fill="7030A0"/>
          </w:tcPr>
          <w:p w14:paraId="009017C5"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 xml:space="preserve">A liability is classified as current when it satisfies any one of the following criteria: </w:t>
            </w:r>
          </w:p>
          <w:p w14:paraId="32EC961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settled in the agency’s normal operating cycle;</w:t>
            </w:r>
          </w:p>
          <w:p w14:paraId="3945D82E"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47831F0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due to be settled within 12 months after the reporting date; or</w:t>
            </w:r>
          </w:p>
          <w:p w14:paraId="0C4B6967" w14:textId="2E6EE7B4"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the agency does not have an unconditional right to defer settlement of the liability for at least 12 months after the reporting date.</w:t>
            </w:r>
          </w:p>
          <w:p w14:paraId="44175DEC" w14:textId="77777777" w:rsidR="00F64F36" w:rsidRPr="00E10D26" w:rsidRDefault="00F64F36" w:rsidP="00F64F36">
            <w:pPr>
              <w:pStyle w:val="Commentary-Bullet"/>
              <w:numPr>
                <w:ilvl w:val="0"/>
                <w:numId w:val="0"/>
              </w:numPr>
              <w:spacing w:after="0"/>
              <w:rPr>
                <w:rFonts w:cs="Calibri"/>
                <w:color w:val="FFFFFF" w:themeColor="background1"/>
                <w:sz w:val="18"/>
                <w:szCs w:val="18"/>
              </w:rPr>
            </w:pPr>
            <w:r w:rsidRPr="00E10D26">
              <w:rPr>
                <w:rFonts w:cs="Calibri"/>
                <w:color w:val="FFFFFF" w:themeColor="background1"/>
                <w:sz w:val="18"/>
                <w:szCs w:val="18"/>
              </w:rPr>
              <w:t>All other liabilities are classified as non-current.</w:t>
            </w:r>
          </w:p>
        </w:tc>
      </w:tr>
      <w:tr w:rsidR="00F64F36" w:rsidRPr="00D31414" w14:paraId="72895595" w14:textId="77777777" w:rsidTr="004D1EC6">
        <w:trPr>
          <w:cantSplit/>
          <w:trHeight w:val="20"/>
        </w:trPr>
        <w:tc>
          <w:tcPr>
            <w:tcW w:w="1560" w:type="dxa"/>
            <w:tcBorders>
              <w:left w:val="single" w:sz="2" w:space="0" w:color="auto"/>
              <w:right w:val="single" w:sz="2" w:space="0" w:color="auto"/>
            </w:tcBorders>
          </w:tcPr>
          <w:p w14:paraId="27CC8681"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C50CB04"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Operating Cycle</w:t>
            </w:r>
          </w:p>
        </w:tc>
      </w:tr>
      <w:tr w:rsidR="00F64F36" w:rsidRPr="00D31414" w14:paraId="27EE1239" w14:textId="77777777" w:rsidTr="004D1EC6">
        <w:trPr>
          <w:cantSplit/>
          <w:trHeight w:val="20"/>
        </w:trPr>
        <w:tc>
          <w:tcPr>
            <w:tcW w:w="1560" w:type="dxa"/>
            <w:tcBorders>
              <w:left w:val="single" w:sz="2" w:space="0" w:color="auto"/>
              <w:right w:val="single" w:sz="2" w:space="0" w:color="auto"/>
            </w:tcBorders>
          </w:tcPr>
          <w:p w14:paraId="19A51C28"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101.68 &amp; 70</w:t>
            </w:r>
          </w:p>
        </w:tc>
        <w:tc>
          <w:tcPr>
            <w:tcW w:w="8986" w:type="dxa"/>
            <w:tcBorders>
              <w:left w:val="single" w:sz="2" w:space="0" w:color="auto"/>
            </w:tcBorders>
            <w:shd w:val="clear" w:color="auto" w:fill="7030A0"/>
          </w:tcPr>
          <w:p w14:paraId="6E35FB14" w14:textId="3AA65CF1"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Where the operating cycle is greater than 12 months, assets that are sold, consumed or realised as part of that operating cycle, or liabilities that are part of the working capital used in the agency’s normal operating cycle, are classified as current.</w:t>
            </w:r>
            <w:r>
              <w:rPr>
                <w:rFonts w:cs="Calibri"/>
                <w:color w:val="FFFFFF" w:themeColor="background1"/>
                <w:sz w:val="18"/>
                <w:szCs w:val="18"/>
              </w:rPr>
              <w:t xml:space="preserve"> </w:t>
            </w:r>
            <w:r w:rsidRPr="00E10D26">
              <w:rPr>
                <w:rFonts w:cs="Calibri"/>
                <w:color w:val="FFFFFF" w:themeColor="background1"/>
                <w:sz w:val="18"/>
                <w:szCs w:val="18"/>
              </w:rPr>
              <w:t>When the agency’s normal operating cycle is not clearly identifiable, its duration is assumed to be 12 months.</w:t>
            </w:r>
          </w:p>
        </w:tc>
      </w:tr>
      <w:tr w:rsidR="00F64F36" w:rsidRPr="00D31414" w14:paraId="20349B6F" w14:textId="77777777" w:rsidTr="004D1EC6">
        <w:trPr>
          <w:cantSplit/>
          <w:trHeight w:val="20"/>
        </w:trPr>
        <w:tc>
          <w:tcPr>
            <w:tcW w:w="1560" w:type="dxa"/>
            <w:tcBorders>
              <w:left w:val="single" w:sz="2" w:space="0" w:color="auto"/>
              <w:right w:val="single" w:sz="2" w:space="0" w:color="auto"/>
            </w:tcBorders>
          </w:tcPr>
          <w:p w14:paraId="733DD42B"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601700E" w14:textId="77777777" w:rsidR="00F64F36" w:rsidRPr="00FA7C77" w:rsidRDefault="00F64F36" w:rsidP="00F64F36">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Goods and Services Tax (GST)</w:t>
            </w:r>
          </w:p>
        </w:tc>
      </w:tr>
      <w:tr w:rsidR="00F64F36" w:rsidRPr="00D31414" w14:paraId="56315903" w14:textId="77777777" w:rsidTr="004D1EC6">
        <w:trPr>
          <w:cantSplit/>
          <w:trHeight w:val="20"/>
        </w:trPr>
        <w:tc>
          <w:tcPr>
            <w:tcW w:w="1560" w:type="dxa"/>
            <w:tcBorders>
              <w:left w:val="single" w:sz="2" w:space="0" w:color="auto"/>
              <w:right w:val="single" w:sz="2" w:space="0" w:color="auto"/>
            </w:tcBorders>
          </w:tcPr>
          <w:p w14:paraId="55E9219C" w14:textId="2F31AF14"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1031.7</w:t>
            </w:r>
          </w:p>
        </w:tc>
        <w:tc>
          <w:tcPr>
            <w:tcW w:w="8986" w:type="dxa"/>
            <w:tcBorders>
              <w:left w:val="single" w:sz="2" w:space="0" w:color="auto"/>
            </w:tcBorders>
            <w:shd w:val="clear" w:color="auto" w:fill="7030A0"/>
          </w:tcPr>
          <w:p w14:paraId="02216521" w14:textId="1D745DC6"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The amount of GST incurred by a purchaser that is not recoverable from the taxation authority is required to be recognised as part of the cost of the acquisition of an asset.</w:t>
            </w:r>
          </w:p>
        </w:tc>
      </w:tr>
      <w:tr w:rsidR="00F64F36" w:rsidRPr="00D31414" w14:paraId="7C06CCB4" w14:textId="77777777" w:rsidTr="004D1EC6">
        <w:trPr>
          <w:cantSplit/>
          <w:trHeight w:val="20"/>
        </w:trPr>
        <w:tc>
          <w:tcPr>
            <w:tcW w:w="1560" w:type="dxa"/>
            <w:tcBorders>
              <w:left w:val="single" w:sz="2" w:space="0" w:color="auto"/>
              <w:right w:val="single" w:sz="2" w:space="0" w:color="auto"/>
            </w:tcBorders>
          </w:tcPr>
          <w:p w14:paraId="692C4AFB"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3457E2F" w14:textId="40B5808C"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receivables and payables to be stated with the amount of GST included.</w:t>
            </w:r>
            <w:r>
              <w:rPr>
                <w:rFonts w:cs="Calibri"/>
                <w:color w:val="FFFFFF" w:themeColor="background1"/>
                <w:sz w:val="18"/>
                <w:szCs w:val="18"/>
              </w:rPr>
              <w:t xml:space="preserve"> </w:t>
            </w:r>
          </w:p>
        </w:tc>
      </w:tr>
      <w:tr w:rsidR="00F64F36" w:rsidRPr="00D31414" w14:paraId="27E7C657" w14:textId="77777777" w:rsidTr="004D1EC6">
        <w:trPr>
          <w:cantSplit/>
          <w:trHeight w:val="20"/>
        </w:trPr>
        <w:tc>
          <w:tcPr>
            <w:tcW w:w="1560" w:type="dxa"/>
            <w:tcBorders>
              <w:left w:val="single" w:sz="2" w:space="0" w:color="auto"/>
              <w:right w:val="single" w:sz="2" w:space="0" w:color="auto"/>
            </w:tcBorders>
          </w:tcPr>
          <w:p w14:paraId="2E18893A" w14:textId="3A5A799D" w:rsidR="00F64F36" w:rsidRPr="00851F40" w:rsidRDefault="00F64F36" w:rsidP="00F64F36">
            <w:pPr>
              <w:pStyle w:val="TableReference"/>
              <w:tabs>
                <w:tab w:val="left" w:pos="3306"/>
              </w:tabs>
              <w:rPr>
                <w:rFonts w:cs="Calibri"/>
                <w:color w:val="7030A0"/>
                <w:sz w:val="14"/>
              </w:rPr>
            </w:pPr>
            <w:r w:rsidRPr="00851F40">
              <w:rPr>
                <w:rFonts w:cs="Calibri"/>
                <w:color w:val="7030A0"/>
                <w:sz w:val="14"/>
              </w:rPr>
              <w:t>Interpretation 1031.8</w:t>
            </w:r>
          </w:p>
        </w:tc>
        <w:tc>
          <w:tcPr>
            <w:tcW w:w="8986" w:type="dxa"/>
            <w:tcBorders>
              <w:left w:val="single" w:sz="2" w:space="0" w:color="auto"/>
            </w:tcBorders>
            <w:shd w:val="clear" w:color="auto" w:fill="7030A0"/>
          </w:tcPr>
          <w:p w14:paraId="7E554292" w14:textId="15CB7BD6" w:rsidR="00F64F36" w:rsidRPr="00E10D26" w:rsidRDefault="00F64F36" w:rsidP="00F64F36">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Apart from the above circumstances, assets must be recognised net of the amount of GST.</w:t>
            </w:r>
          </w:p>
        </w:tc>
      </w:tr>
      <w:tr w:rsidR="00F64F36" w:rsidRPr="00D31414" w14:paraId="2FC8F1F8" w14:textId="77777777" w:rsidTr="004D1EC6">
        <w:trPr>
          <w:cantSplit/>
          <w:trHeight w:val="20"/>
        </w:trPr>
        <w:tc>
          <w:tcPr>
            <w:tcW w:w="1560" w:type="dxa"/>
            <w:tcBorders>
              <w:left w:val="single" w:sz="2" w:space="0" w:color="auto"/>
              <w:right w:val="single" w:sz="2" w:space="0" w:color="auto"/>
            </w:tcBorders>
          </w:tcPr>
          <w:p w14:paraId="50D06E83" w14:textId="7E1D99C3"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1031.6 &amp; 9</w:t>
            </w:r>
          </w:p>
        </w:tc>
        <w:tc>
          <w:tcPr>
            <w:tcW w:w="8986" w:type="dxa"/>
            <w:tcBorders>
              <w:left w:val="single" w:sz="2" w:space="0" w:color="auto"/>
            </w:tcBorders>
            <w:shd w:val="clear" w:color="auto" w:fill="7030A0"/>
          </w:tcPr>
          <w:p w14:paraId="672C7672" w14:textId="72E46CFD"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the net amount of GST recoverable from, or payable to, the taxation authority to be included as part of receivables or payables in the Balance Sheet.</w:t>
            </w:r>
          </w:p>
        </w:tc>
      </w:tr>
      <w:tr w:rsidR="00F64F36" w:rsidRPr="00D31414" w14:paraId="073DD45B" w14:textId="77777777" w:rsidTr="004D1EC6">
        <w:trPr>
          <w:cantSplit/>
          <w:trHeight w:val="20"/>
        </w:trPr>
        <w:tc>
          <w:tcPr>
            <w:tcW w:w="1560" w:type="dxa"/>
            <w:tcBorders>
              <w:left w:val="single" w:sz="2" w:space="0" w:color="auto"/>
              <w:right w:val="single" w:sz="2" w:space="0" w:color="auto"/>
            </w:tcBorders>
          </w:tcPr>
          <w:p w14:paraId="01B5AB77"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17F99D8"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Materiality and Aggregation</w:t>
            </w:r>
          </w:p>
        </w:tc>
      </w:tr>
      <w:tr w:rsidR="00F64F36" w:rsidRPr="00D31414" w14:paraId="0456F822" w14:textId="77777777" w:rsidTr="004D1EC6">
        <w:trPr>
          <w:cantSplit/>
          <w:trHeight w:val="20"/>
        </w:trPr>
        <w:tc>
          <w:tcPr>
            <w:tcW w:w="1560" w:type="dxa"/>
            <w:tcBorders>
              <w:left w:val="single" w:sz="2" w:space="0" w:color="auto"/>
              <w:right w:val="single" w:sz="2" w:space="0" w:color="auto"/>
            </w:tcBorders>
          </w:tcPr>
          <w:p w14:paraId="6A086C37"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101.30A</w:t>
            </w:r>
          </w:p>
          <w:p w14:paraId="602C6CEB"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35B65A4" w14:textId="492A915D"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Balance Sheet, which includes the notes.</w:t>
            </w:r>
            <w:r>
              <w:rPr>
                <w:rFonts w:cs="Calibri"/>
                <w:color w:val="FFFFFF" w:themeColor="background1"/>
                <w:sz w:val="18"/>
                <w:szCs w:val="18"/>
              </w:rPr>
              <w:t xml:space="preserve"> </w:t>
            </w:r>
            <w:r w:rsidRPr="00E10D2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F64F36" w:rsidRPr="00D31414" w14:paraId="03BB77CB" w14:textId="77777777" w:rsidTr="004D1EC6">
        <w:trPr>
          <w:cantSplit/>
          <w:trHeight w:val="20"/>
        </w:trPr>
        <w:tc>
          <w:tcPr>
            <w:tcW w:w="1560" w:type="dxa"/>
            <w:tcBorders>
              <w:left w:val="single" w:sz="2" w:space="0" w:color="auto"/>
              <w:right w:val="single" w:sz="2" w:space="0" w:color="auto"/>
            </w:tcBorders>
          </w:tcPr>
          <w:p w14:paraId="16EAC181"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70E1EAC"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Offset of Assets and Liabilities</w:t>
            </w:r>
          </w:p>
        </w:tc>
      </w:tr>
      <w:tr w:rsidR="00F64F36" w:rsidRPr="00CF7E1B" w14:paraId="045BEBE3" w14:textId="77777777" w:rsidTr="004D1EC6">
        <w:trPr>
          <w:cantSplit/>
          <w:trHeight w:val="20"/>
        </w:trPr>
        <w:tc>
          <w:tcPr>
            <w:tcW w:w="1560" w:type="dxa"/>
            <w:tcBorders>
              <w:left w:val="single" w:sz="2" w:space="0" w:color="auto"/>
              <w:right w:val="single" w:sz="2" w:space="0" w:color="auto"/>
            </w:tcBorders>
          </w:tcPr>
          <w:p w14:paraId="49EF48EA"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101.32</w:t>
            </w:r>
          </w:p>
        </w:tc>
        <w:tc>
          <w:tcPr>
            <w:tcW w:w="8986" w:type="dxa"/>
            <w:tcBorders>
              <w:left w:val="single" w:sz="2" w:space="0" w:color="auto"/>
            </w:tcBorders>
            <w:shd w:val="clear" w:color="auto" w:fill="7030A0"/>
          </w:tcPr>
          <w:p w14:paraId="7BCD0C40" w14:textId="77777777"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Assets and liabilities shall not be offset unless required or permitted by an Australian Accounting Standard.</w:t>
            </w:r>
          </w:p>
        </w:tc>
      </w:tr>
      <w:tr w:rsidR="00F64F36" w:rsidRPr="00CF7E1B" w14:paraId="22DF3271" w14:textId="77777777" w:rsidTr="004D1EC6">
        <w:trPr>
          <w:cantSplit/>
          <w:trHeight w:val="20"/>
        </w:trPr>
        <w:tc>
          <w:tcPr>
            <w:tcW w:w="1560" w:type="dxa"/>
            <w:tcBorders>
              <w:left w:val="single" w:sz="2" w:space="0" w:color="auto"/>
              <w:right w:val="single" w:sz="2" w:space="0" w:color="auto"/>
            </w:tcBorders>
          </w:tcPr>
          <w:p w14:paraId="188014CD" w14:textId="637F3F38"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ACT Disclosure Policy</w:t>
            </w:r>
          </w:p>
        </w:tc>
        <w:tc>
          <w:tcPr>
            <w:tcW w:w="8986" w:type="dxa"/>
            <w:tcBorders>
              <w:left w:val="single" w:sz="2" w:space="0" w:color="auto"/>
            </w:tcBorders>
            <w:shd w:val="clear" w:color="auto" w:fill="7030A0"/>
          </w:tcPr>
          <w:p w14:paraId="04AAADEE" w14:textId="05838BAA"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rPr>
              <w:t>Lease liabilities are presented separately in the Balance Sheet.</w:t>
            </w:r>
          </w:p>
        </w:tc>
      </w:tr>
      <w:tr w:rsidR="00F64F36" w:rsidRPr="00CF7E1B" w14:paraId="42B355F6" w14:textId="77777777" w:rsidTr="004D1EC6">
        <w:trPr>
          <w:cantSplit/>
          <w:trHeight w:val="20"/>
        </w:trPr>
        <w:tc>
          <w:tcPr>
            <w:tcW w:w="1560" w:type="dxa"/>
            <w:tcBorders>
              <w:left w:val="single" w:sz="2" w:space="0" w:color="auto"/>
              <w:right w:val="single" w:sz="2" w:space="0" w:color="auto"/>
            </w:tcBorders>
          </w:tcPr>
          <w:p w14:paraId="4BE8D838"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EBBB8F5" w14:textId="47340B6D" w:rsidR="00F64F36" w:rsidRPr="00FA7C77" w:rsidRDefault="00F64F36" w:rsidP="00F64F36">
            <w:pPr>
              <w:pStyle w:val="CommentaryText"/>
              <w:spacing w:after="40"/>
              <w:rPr>
                <w:rFonts w:cs="Calibri"/>
                <w:color w:val="FFFFFF" w:themeColor="background1"/>
                <w:szCs w:val="20"/>
              </w:rPr>
            </w:pPr>
            <w:r w:rsidRPr="00FA7C77">
              <w:rPr>
                <w:b/>
                <w:bCs/>
                <w:color w:val="FFFFFF" w:themeColor="background1"/>
                <w:szCs w:val="20"/>
              </w:rPr>
              <w:t>Dividends Declared</w:t>
            </w:r>
          </w:p>
        </w:tc>
      </w:tr>
      <w:tr w:rsidR="00F64F36" w:rsidRPr="00CF7E1B" w14:paraId="74F62FB4" w14:textId="77777777" w:rsidTr="004D1EC6">
        <w:trPr>
          <w:cantSplit/>
          <w:trHeight w:val="20"/>
        </w:trPr>
        <w:tc>
          <w:tcPr>
            <w:tcW w:w="1560" w:type="dxa"/>
            <w:tcBorders>
              <w:left w:val="single" w:sz="2" w:space="0" w:color="auto"/>
              <w:right w:val="single" w:sz="2" w:space="0" w:color="auto"/>
            </w:tcBorders>
          </w:tcPr>
          <w:p w14:paraId="32A3BC20" w14:textId="5B8FDB1E" w:rsidR="00F64F36" w:rsidRPr="00851F40" w:rsidRDefault="00F64F36" w:rsidP="00F64F36">
            <w:pPr>
              <w:pStyle w:val="TableReference"/>
              <w:tabs>
                <w:tab w:val="left" w:pos="3306"/>
              </w:tabs>
              <w:spacing w:before="60"/>
              <w:rPr>
                <w:rFonts w:cs="Calibri"/>
                <w:color w:val="7030A0"/>
                <w:sz w:val="14"/>
              </w:rPr>
            </w:pPr>
            <w:r w:rsidRPr="00851F40">
              <w:rPr>
                <w:color w:val="7030A0"/>
                <w:sz w:val="14"/>
              </w:rPr>
              <w:t>AASB 110.12 &amp; 13 AASB 101.137(a)</w:t>
            </w:r>
          </w:p>
        </w:tc>
        <w:tc>
          <w:tcPr>
            <w:tcW w:w="8986" w:type="dxa"/>
            <w:tcBorders>
              <w:left w:val="single" w:sz="2" w:space="0" w:color="auto"/>
            </w:tcBorders>
            <w:shd w:val="clear" w:color="auto" w:fill="7030A0"/>
          </w:tcPr>
          <w:p w14:paraId="4E74E15B" w14:textId="0FE587FA" w:rsidR="00F64F36" w:rsidRPr="00E10D26" w:rsidRDefault="00F64F36" w:rsidP="00F64F36">
            <w:pPr>
              <w:pStyle w:val="CommentaryText"/>
              <w:rPr>
                <w:b/>
                <w:bCs/>
                <w:color w:val="FFFFFF" w:themeColor="background1"/>
                <w:sz w:val="18"/>
                <w:szCs w:val="18"/>
              </w:rPr>
            </w:pPr>
            <w:r w:rsidRPr="00E10D26">
              <w:rPr>
                <w:color w:val="FFFFFF" w:themeColor="background1"/>
                <w:sz w:val="18"/>
                <w:szCs w:val="18"/>
              </w:rPr>
              <w:t>Dividends declared after the reporting date should not be recognised as a liability in the Balance Sheet. However, dividends declared after the reporting date but before the financial statements are authorised for issue should be disclosed in the notes.</w:t>
            </w:r>
          </w:p>
        </w:tc>
      </w:tr>
    </w:tbl>
    <w:p w14:paraId="54437B3B" w14:textId="3BDB7BD9" w:rsidR="008A7FED" w:rsidRDefault="008A7FED">
      <w:r>
        <w:br w:type="page"/>
      </w:r>
    </w:p>
    <w:p w14:paraId="78B8EC15" w14:textId="77777777" w:rsidR="00AD56C6" w:rsidRDefault="00AD56C6" w:rsidP="001F6B32">
      <w:pPr>
        <w:jc w:val="center"/>
        <w:rPr>
          <w:b/>
          <w:sz w:val="40"/>
          <w:szCs w:val="40"/>
        </w:rPr>
        <w:sectPr w:rsidR="00AD56C6" w:rsidSect="00AD56C6">
          <w:headerReference w:type="default" r:id="rId28"/>
          <w:footnotePr>
            <w:numRestart w:val="eachPage"/>
          </w:footnotePr>
          <w:pgSz w:w="11907" w:h="16840" w:code="9"/>
          <w:pgMar w:top="567" w:right="680" w:bottom="1134" w:left="680" w:header="284" w:footer="284" w:gutter="0"/>
          <w:cols w:space="720"/>
        </w:sectPr>
      </w:pPr>
      <w:bookmarkStart w:id="184" w:name="_Toc194918640"/>
    </w:p>
    <w:p w14:paraId="6945DFA8" w14:textId="26747C68" w:rsidR="001F6B32" w:rsidRPr="008E2886" w:rsidRDefault="001F6B32" w:rsidP="008E2886">
      <w:pPr>
        <w:spacing w:line="400" w:lineRule="exact"/>
        <w:jc w:val="center"/>
        <w:rPr>
          <w:rFonts w:asciiTheme="minorHAnsi" w:hAnsiTheme="minorHAnsi" w:cstheme="minorHAnsi"/>
          <w:b/>
          <w:sz w:val="40"/>
          <w:szCs w:val="40"/>
        </w:rPr>
      </w:pPr>
      <w:r w:rsidRPr="008E2886">
        <w:rPr>
          <w:rFonts w:asciiTheme="minorHAnsi" w:hAnsiTheme="minorHAnsi" w:cstheme="minorHAnsi"/>
          <w:b/>
          <w:sz w:val="40"/>
          <w:szCs w:val="40"/>
        </w:rPr>
        <w:t>‘</w:t>
      </w:r>
      <w:r w:rsidR="00836324" w:rsidRPr="008E2886">
        <w:rPr>
          <w:rFonts w:asciiTheme="minorHAnsi" w:hAnsiTheme="minorHAnsi" w:cstheme="minorHAnsi"/>
          <w:b/>
          <w:sz w:val="40"/>
          <w:szCs w:val="40"/>
        </w:rPr>
        <w:t xml:space="preserve">Burley Griffin </w:t>
      </w:r>
      <w:r w:rsidRPr="008E2886">
        <w:rPr>
          <w:rFonts w:asciiTheme="minorHAnsi" w:hAnsiTheme="minorHAnsi" w:cstheme="minorHAnsi"/>
          <w:b/>
          <w:sz w:val="40"/>
          <w:szCs w:val="40"/>
        </w:rPr>
        <w:t>Agency’</w:t>
      </w:r>
      <w:bookmarkEnd w:id="184"/>
    </w:p>
    <w:p w14:paraId="38A21DF4" w14:textId="77777777" w:rsidR="001F6B32" w:rsidRPr="008E2886" w:rsidRDefault="001F6B32" w:rsidP="008E2886">
      <w:pPr>
        <w:pStyle w:val="Subtitle"/>
        <w:spacing w:line="400" w:lineRule="exact"/>
        <w:rPr>
          <w:rFonts w:asciiTheme="minorHAnsi" w:hAnsiTheme="minorHAnsi" w:cstheme="minorHAnsi"/>
        </w:rPr>
      </w:pPr>
      <w:bookmarkStart w:id="185" w:name="_Toc400627310"/>
      <w:bookmarkStart w:id="186" w:name="_Toc132743764"/>
      <w:r w:rsidRPr="008E2886">
        <w:rPr>
          <w:rFonts w:asciiTheme="minorHAnsi" w:hAnsiTheme="minorHAnsi" w:cstheme="minorHAnsi"/>
        </w:rPr>
        <w:t>Statement of Changes in Equity</w:t>
      </w:r>
      <w:bookmarkEnd w:id="185"/>
      <w:bookmarkEnd w:id="186"/>
    </w:p>
    <w:p w14:paraId="3E63DF06" w14:textId="7DE3270E" w:rsidR="000144FF" w:rsidRPr="008E2886" w:rsidRDefault="000144FF" w:rsidP="008E2886">
      <w:pPr>
        <w:spacing w:line="400" w:lineRule="exact"/>
        <w:jc w:val="center"/>
        <w:rPr>
          <w:rFonts w:asciiTheme="minorHAnsi" w:hAnsiTheme="minorHAnsi" w:cstheme="minorHAnsi"/>
          <w:b/>
          <w:sz w:val="40"/>
          <w:szCs w:val="40"/>
        </w:rPr>
      </w:pPr>
      <w:r w:rsidRPr="008E2886">
        <w:rPr>
          <w:rFonts w:asciiTheme="minorHAnsi" w:hAnsiTheme="minorHAnsi" w:cstheme="minorHAnsi"/>
          <w:b/>
          <w:sz w:val="40"/>
          <w:szCs w:val="40"/>
        </w:rPr>
        <w:t xml:space="preserve">For the Year Ended 30 June </w:t>
      </w:r>
      <w:r w:rsidR="00C66E0D" w:rsidRPr="008E2886">
        <w:rPr>
          <w:rFonts w:asciiTheme="minorHAnsi" w:hAnsiTheme="minorHAnsi" w:cstheme="minorHAnsi"/>
          <w:b/>
          <w:sz w:val="40"/>
          <w:szCs w:val="40"/>
        </w:rPr>
        <w:t>202</w:t>
      </w:r>
      <w:r w:rsidR="00D50594">
        <w:rPr>
          <w:rFonts w:asciiTheme="minorHAnsi" w:hAnsiTheme="minorHAnsi" w:cstheme="minorHAnsi"/>
          <w:b/>
          <w:sz w:val="40"/>
          <w:szCs w:val="40"/>
        </w:rPr>
        <w:t>3</w:t>
      </w:r>
    </w:p>
    <w:tbl>
      <w:tblPr>
        <w:tblW w:w="1040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2410"/>
        <w:gridCol w:w="708"/>
        <w:gridCol w:w="709"/>
        <w:gridCol w:w="1278"/>
        <w:gridCol w:w="1134"/>
        <w:gridCol w:w="992"/>
        <w:gridCol w:w="851"/>
        <w:gridCol w:w="850"/>
      </w:tblGrid>
      <w:tr w:rsidR="00A26DB2" w:rsidRPr="00C93ED0" w14:paraId="10089DFA" w14:textId="77777777" w:rsidTr="001B6DC6">
        <w:trPr>
          <w:cantSplit/>
          <w:trHeight w:val="582"/>
        </w:trPr>
        <w:tc>
          <w:tcPr>
            <w:tcW w:w="1476" w:type="dxa"/>
            <w:tcBorders>
              <w:top w:val="nil"/>
              <w:left w:val="single" w:sz="2" w:space="0" w:color="auto"/>
              <w:bottom w:val="nil"/>
              <w:right w:val="single" w:sz="2" w:space="0" w:color="auto"/>
            </w:tcBorders>
          </w:tcPr>
          <w:p w14:paraId="186FCAAA" w14:textId="77777777" w:rsidR="00A26DB2" w:rsidRPr="008E2886" w:rsidRDefault="00A26DB2" w:rsidP="00AF2884">
            <w:pPr>
              <w:pStyle w:val="Reference"/>
              <w:tabs>
                <w:tab w:val="left" w:pos="3306"/>
              </w:tabs>
              <w:spacing w:before="240"/>
              <w:rPr>
                <w:rFonts w:cs="Calibri"/>
                <w:color w:val="7030A0"/>
                <w:sz w:val="22"/>
                <w:szCs w:val="22"/>
              </w:rPr>
            </w:pPr>
            <w:r w:rsidRPr="008E2886">
              <w:rPr>
                <w:rFonts w:cs="Calibri"/>
                <w:color w:val="7030A0"/>
                <w:sz w:val="22"/>
                <w:szCs w:val="22"/>
              </w:rPr>
              <w:t>Reference</w:t>
            </w:r>
          </w:p>
        </w:tc>
        <w:tc>
          <w:tcPr>
            <w:tcW w:w="2410" w:type="dxa"/>
            <w:tcBorders>
              <w:top w:val="nil"/>
              <w:left w:val="single" w:sz="2" w:space="0" w:color="auto"/>
              <w:bottom w:val="nil"/>
              <w:right w:val="nil"/>
            </w:tcBorders>
            <w:vAlign w:val="bottom"/>
          </w:tcPr>
          <w:p w14:paraId="13BE9B4D" w14:textId="77777777" w:rsidR="00A26DB2" w:rsidRPr="008E2886" w:rsidRDefault="00A26DB2" w:rsidP="00AF2884">
            <w:pPr>
              <w:tabs>
                <w:tab w:val="left" w:pos="3306"/>
              </w:tabs>
              <w:rPr>
                <w:rFonts w:cs="Calibri"/>
              </w:rPr>
            </w:pPr>
          </w:p>
        </w:tc>
        <w:tc>
          <w:tcPr>
            <w:tcW w:w="1417" w:type="dxa"/>
            <w:gridSpan w:val="2"/>
            <w:tcBorders>
              <w:top w:val="nil"/>
              <w:left w:val="nil"/>
              <w:bottom w:val="nil"/>
              <w:right w:val="nil"/>
            </w:tcBorders>
            <w:vAlign w:val="bottom"/>
          </w:tcPr>
          <w:p w14:paraId="12588DA6" w14:textId="17AAAAD1"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szCs w:val="14"/>
              </w:rPr>
              <w:t>Contributed Equity</w:t>
            </w:r>
          </w:p>
        </w:tc>
        <w:tc>
          <w:tcPr>
            <w:tcW w:w="1278" w:type="dxa"/>
            <w:vMerge w:val="restart"/>
            <w:tcBorders>
              <w:top w:val="nil"/>
              <w:left w:val="nil"/>
              <w:bottom w:val="nil"/>
              <w:right w:val="nil"/>
            </w:tcBorders>
            <w:vAlign w:val="bottom"/>
          </w:tcPr>
          <w:p w14:paraId="378A413A" w14:textId="77777777" w:rsidR="00A26DB2" w:rsidRPr="008E2886" w:rsidRDefault="00A26DB2" w:rsidP="009F2845">
            <w:pPr>
              <w:pStyle w:val="TableTitle"/>
              <w:tabs>
                <w:tab w:val="left" w:pos="3306"/>
              </w:tabs>
              <w:rPr>
                <w:rFonts w:cs="Calibri"/>
              </w:rPr>
            </w:pPr>
            <w:r w:rsidRPr="008E2886">
              <w:rPr>
                <w:rFonts w:cs="Calibri"/>
              </w:rPr>
              <w:t xml:space="preserve">Accumulated </w:t>
            </w:r>
          </w:p>
          <w:p w14:paraId="31EEB84F" w14:textId="77777777" w:rsidR="00A26DB2" w:rsidRPr="008E2886" w:rsidRDefault="00A26DB2" w:rsidP="009F2845">
            <w:pPr>
              <w:pStyle w:val="TableTitle"/>
              <w:tabs>
                <w:tab w:val="left" w:pos="3306"/>
              </w:tabs>
              <w:rPr>
                <w:rFonts w:cs="Calibri"/>
              </w:rPr>
            </w:pPr>
            <w:r w:rsidRPr="008E2886">
              <w:rPr>
                <w:rFonts w:cs="Calibri"/>
              </w:rPr>
              <w:t>Funds</w:t>
            </w:r>
          </w:p>
          <w:p w14:paraId="2E218C5C" w14:textId="77777777" w:rsidR="00A26DB2" w:rsidRPr="008E2886" w:rsidRDefault="00A26DB2" w:rsidP="009F2845">
            <w:pPr>
              <w:pStyle w:val="TableTitle"/>
              <w:tabs>
                <w:tab w:val="left" w:pos="3306"/>
              </w:tabs>
              <w:rPr>
                <w:rFonts w:cs="Calibri"/>
              </w:rPr>
            </w:pPr>
            <w:r w:rsidRPr="008E2886">
              <w:rPr>
                <w:rFonts w:cs="Calibri"/>
              </w:rPr>
              <w:t>Actual</w:t>
            </w:r>
          </w:p>
          <w:p w14:paraId="58128135" w14:textId="20FED129" w:rsidR="00A26DB2" w:rsidRPr="008E2886" w:rsidRDefault="00A26DB2" w:rsidP="009F2845">
            <w:pPr>
              <w:pStyle w:val="TableTitle"/>
              <w:tabs>
                <w:tab w:val="left" w:pos="3306"/>
              </w:tabs>
              <w:rPr>
                <w:rFonts w:cs="Calibri"/>
              </w:rPr>
            </w:pPr>
            <w:r w:rsidRPr="008E2886">
              <w:rPr>
                <w:rFonts w:cs="Calibri"/>
              </w:rPr>
              <w:t>202</w:t>
            </w:r>
            <w:r w:rsidR="00D50594">
              <w:rPr>
                <w:rFonts w:cs="Calibri"/>
              </w:rPr>
              <w:t>3</w:t>
            </w:r>
          </w:p>
          <w:p w14:paraId="0ED92D45" w14:textId="58F3BBA6" w:rsidR="00A26DB2" w:rsidRPr="008E2886" w:rsidRDefault="00A26DB2" w:rsidP="009F2845">
            <w:pPr>
              <w:pStyle w:val="TableTitle"/>
              <w:tabs>
                <w:tab w:val="left" w:pos="3306"/>
              </w:tabs>
              <w:rPr>
                <w:rFonts w:cs="Calibri"/>
              </w:rPr>
            </w:pPr>
            <w:r w:rsidRPr="008E2886">
              <w:rPr>
                <w:rFonts w:cs="Calibri"/>
              </w:rPr>
              <w:t>$’000</w:t>
            </w:r>
          </w:p>
        </w:tc>
        <w:tc>
          <w:tcPr>
            <w:tcW w:w="1134" w:type="dxa"/>
            <w:vMerge w:val="restart"/>
            <w:tcBorders>
              <w:top w:val="nil"/>
              <w:left w:val="nil"/>
              <w:bottom w:val="nil"/>
              <w:right w:val="nil"/>
            </w:tcBorders>
            <w:shd w:val="clear" w:color="auto" w:fill="auto"/>
            <w:vAlign w:val="bottom"/>
          </w:tcPr>
          <w:p w14:paraId="3FF2BD3F" w14:textId="77777777" w:rsidR="00A26DB2" w:rsidRPr="008E2886" w:rsidRDefault="00A26DB2" w:rsidP="009F2845">
            <w:pPr>
              <w:pStyle w:val="TableTitle"/>
              <w:tabs>
                <w:tab w:val="left" w:pos="3306"/>
              </w:tabs>
              <w:rPr>
                <w:rFonts w:cs="Calibri"/>
              </w:rPr>
            </w:pPr>
            <w:r w:rsidRPr="008E2886">
              <w:rPr>
                <w:rFonts w:cs="Calibri"/>
              </w:rPr>
              <w:t>Asset Revaluation Surplus</w:t>
            </w:r>
          </w:p>
          <w:p w14:paraId="5E52DD3F" w14:textId="77777777" w:rsidR="00A26DB2" w:rsidRPr="008E2886" w:rsidRDefault="00A26DB2" w:rsidP="009F2845">
            <w:pPr>
              <w:pStyle w:val="TableTitle"/>
              <w:tabs>
                <w:tab w:val="left" w:pos="3306"/>
              </w:tabs>
              <w:rPr>
                <w:rFonts w:cs="Calibri"/>
              </w:rPr>
            </w:pPr>
            <w:r w:rsidRPr="008E2886">
              <w:rPr>
                <w:rFonts w:cs="Calibri"/>
              </w:rPr>
              <w:t>Actual</w:t>
            </w:r>
          </w:p>
          <w:p w14:paraId="2BFE9F0B" w14:textId="3795DA54" w:rsidR="00A26DB2" w:rsidRPr="008E2886" w:rsidRDefault="00A26DB2" w:rsidP="009F2845">
            <w:pPr>
              <w:pStyle w:val="TableTitle"/>
              <w:tabs>
                <w:tab w:val="left" w:pos="3306"/>
              </w:tabs>
              <w:rPr>
                <w:rFonts w:cs="Calibri"/>
              </w:rPr>
            </w:pPr>
            <w:r w:rsidRPr="008E2886">
              <w:rPr>
                <w:rFonts w:cs="Calibri"/>
              </w:rPr>
              <w:t>202</w:t>
            </w:r>
            <w:r w:rsidR="00D50594">
              <w:rPr>
                <w:rFonts w:cs="Calibri"/>
              </w:rPr>
              <w:t>3</w:t>
            </w:r>
          </w:p>
          <w:p w14:paraId="6A3EE761" w14:textId="622824B6" w:rsidR="00A26DB2" w:rsidRPr="008E2886" w:rsidRDefault="00A26DB2" w:rsidP="009F2845">
            <w:pPr>
              <w:pStyle w:val="TableTitle"/>
              <w:tabs>
                <w:tab w:val="left" w:pos="3306"/>
              </w:tabs>
              <w:rPr>
                <w:rFonts w:cs="Calibri"/>
              </w:rPr>
            </w:pPr>
            <w:r w:rsidRPr="008E2886">
              <w:rPr>
                <w:rFonts w:cs="Calibri"/>
              </w:rPr>
              <w:t>$’000</w:t>
            </w:r>
          </w:p>
        </w:tc>
        <w:tc>
          <w:tcPr>
            <w:tcW w:w="992" w:type="dxa"/>
            <w:vMerge w:val="restart"/>
            <w:tcBorders>
              <w:top w:val="nil"/>
              <w:left w:val="nil"/>
              <w:bottom w:val="nil"/>
              <w:right w:val="nil"/>
            </w:tcBorders>
            <w:shd w:val="clear" w:color="auto" w:fill="auto"/>
            <w:vAlign w:val="bottom"/>
          </w:tcPr>
          <w:p w14:paraId="14C7188F" w14:textId="77777777" w:rsidR="00A26DB2" w:rsidRPr="008E2886" w:rsidRDefault="00A26DB2" w:rsidP="009F2845">
            <w:pPr>
              <w:pStyle w:val="TableTitle"/>
              <w:tabs>
                <w:tab w:val="left" w:pos="3306"/>
              </w:tabs>
              <w:rPr>
                <w:rFonts w:cs="Calibri"/>
              </w:rPr>
            </w:pPr>
            <w:r w:rsidRPr="008E2886">
              <w:rPr>
                <w:rFonts w:cs="Calibri"/>
              </w:rPr>
              <w:t>Other Reserves</w:t>
            </w:r>
          </w:p>
          <w:p w14:paraId="3505D887" w14:textId="77777777" w:rsidR="00A26DB2" w:rsidRPr="008E2886" w:rsidRDefault="00A26DB2" w:rsidP="009F2845">
            <w:pPr>
              <w:pStyle w:val="TableTitle"/>
              <w:tabs>
                <w:tab w:val="left" w:pos="3306"/>
              </w:tabs>
              <w:rPr>
                <w:rFonts w:cs="Calibri"/>
              </w:rPr>
            </w:pPr>
            <w:r w:rsidRPr="008E2886">
              <w:rPr>
                <w:rFonts w:cs="Calibri"/>
              </w:rPr>
              <w:t>Actual</w:t>
            </w:r>
          </w:p>
          <w:p w14:paraId="3C507DD2" w14:textId="22F7983F" w:rsidR="00A26DB2" w:rsidRPr="008E2886" w:rsidRDefault="00A26DB2" w:rsidP="009F2845">
            <w:pPr>
              <w:pStyle w:val="TableTitle"/>
              <w:tabs>
                <w:tab w:val="left" w:pos="3306"/>
              </w:tabs>
              <w:rPr>
                <w:rFonts w:cs="Calibri"/>
              </w:rPr>
            </w:pPr>
            <w:r w:rsidRPr="008E2886">
              <w:rPr>
                <w:rFonts w:cs="Calibri"/>
              </w:rPr>
              <w:t>202</w:t>
            </w:r>
            <w:r w:rsidR="00D50594">
              <w:rPr>
                <w:rFonts w:cs="Calibri"/>
              </w:rPr>
              <w:t>3</w:t>
            </w:r>
          </w:p>
          <w:p w14:paraId="0A3F586C" w14:textId="76F7C5C4" w:rsidR="00A26DB2" w:rsidRPr="008E2886" w:rsidRDefault="00A26DB2" w:rsidP="009F2845">
            <w:pPr>
              <w:pStyle w:val="TableTitle"/>
              <w:tabs>
                <w:tab w:val="left" w:pos="3306"/>
              </w:tabs>
              <w:rPr>
                <w:rFonts w:cs="Calibri"/>
              </w:rPr>
            </w:pPr>
            <w:r w:rsidRPr="008E2886">
              <w:rPr>
                <w:rFonts w:cs="Calibri"/>
              </w:rPr>
              <w:t>$’000</w:t>
            </w:r>
          </w:p>
        </w:tc>
        <w:tc>
          <w:tcPr>
            <w:tcW w:w="851" w:type="dxa"/>
            <w:vMerge w:val="restart"/>
            <w:tcBorders>
              <w:top w:val="nil"/>
              <w:left w:val="nil"/>
              <w:bottom w:val="nil"/>
              <w:right w:val="nil"/>
            </w:tcBorders>
            <w:shd w:val="clear" w:color="auto" w:fill="auto"/>
            <w:vAlign w:val="bottom"/>
          </w:tcPr>
          <w:p w14:paraId="2124A886" w14:textId="77777777" w:rsidR="00A26DB2" w:rsidRPr="008E2886" w:rsidRDefault="00A26DB2" w:rsidP="009F2845">
            <w:pPr>
              <w:pStyle w:val="TableTitle"/>
              <w:tabs>
                <w:tab w:val="left" w:pos="3306"/>
              </w:tabs>
              <w:rPr>
                <w:rFonts w:cs="Calibri"/>
              </w:rPr>
            </w:pPr>
            <w:r w:rsidRPr="008E2886">
              <w:rPr>
                <w:rFonts w:cs="Calibri"/>
              </w:rPr>
              <w:t>Total Equity</w:t>
            </w:r>
          </w:p>
          <w:p w14:paraId="1661E750" w14:textId="77777777" w:rsidR="00A26DB2" w:rsidRPr="008E2886" w:rsidRDefault="00A26DB2" w:rsidP="009F2845">
            <w:pPr>
              <w:pStyle w:val="TableTitle"/>
              <w:tabs>
                <w:tab w:val="left" w:pos="3306"/>
              </w:tabs>
              <w:rPr>
                <w:rFonts w:cs="Calibri"/>
              </w:rPr>
            </w:pPr>
            <w:r w:rsidRPr="008E2886">
              <w:rPr>
                <w:rFonts w:cs="Calibri"/>
              </w:rPr>
              <w:t>Actual</w:t>
            </w:r>
          </w:p>
          <w:p w14:paraId="44F3983E" w14:textId="65D0EE4A" w:rsidR="00A26DB2" w:rsidRPr="008E2886" w:rsidRDefault="00A26DB2" w:rsidP="009F2845">
            <w:pPr>
              <w:pStyle w:val="TableTitle"/>
              <w:tabs>
                <w:tab w:val="left" w:pos="3306"/>
              </w:tabs>
              <w:rPr>
                <w:rFonts w:cs="Calibri"/>
              </w:rPr>
            </w:pPr>
            <w:r w:rsidRPr="008E2886">
              <w:rPr>
                <w:rFonts w:cs="Calibri"/>
              </w:rPr>
              <w:t>202</w:t>
            </w:r>
            <w:r w:rsidR="00D50594">
              <w:rPr>
                <w:rFonts w:cs="Calibri"/>
              </w:rPr>
              <w:t>3</w:t>
            </w:r>
          </w:p>
          <w:p w14:paraId="3B2FD517" w14:textId="5024547F" w:rsidR="00A26DB2" w:rsidRPr="008E2886" w:rsidRDefault="00A26DB2" w:rsidP="009F2845">
            <w:pPr>
              <w:pStyle w:val="TableTitle"/>
              <w:tabs>
                <w:tab w:val="left" w:pos="3306"/>
              </w:tabs>
              <w:rPr>
                <w:rFonts w:cs="Calibri"/>
              </w:rPr>
            </w:pPr>
            <w:r w:rsidRPr="008E2886">
              <w:rPr>
                <w:rFonts w:cs="Calibri"/>
              </w:rPr>
              <w:t>$’000</w:t>
            </w:r>
          </w:p>
        </w:tc>
        <w:tc>
          <w:tcPr>
            <w:tcW w:w="850" w:type="dxa"/>
            <w:vMerge w:val="restart"/>
            <w:tcBorders>
              <w:top w:val="nil"/>
              <w:left w:val="nil"/>
              <w:bottom w:val="nil"/>
              <w:right w:val="nil"/>
            </w:tcBorders>
            <w:shd w:val="clear" w:color="auto" w:fill="auto"/>
            <w:vAlign w:val="bottom"/>
          </w:tcPr>
          <w:p w14:paraId="322EAE2B" w14:textId="274FE64C" w:rsidR="00A26DB2" w:rsidRPr="00C93ED0" w:rsidRDefault="009F31C7" w:rsidP="009F2845">
            <w:pPr>
              <w:pStyle w:val="TableTitle"/>
              <w:tabs>
                <w:tab w:val="left" w:pos="3306"/>
              </w:tabs>
              <w:rPr>
                <w:rFonts w:cs="Calibri"/>
              </w:rPr>
            </w:pPr>
            <w:r w:rsidRPr="00C93ED0">
              <w:rPr>
                <w:rFonts w:cs="Calibri"/>
              </w:rPr>
              <w:t>Total</w:t>
            </w:r>
            <w:r w:rsidR="009F2845" w:rsidRPr="00C93ED0">
              <w:rPr>
                <w:rFonts w:cs="Calibri"/>
              </w:rPr>
              <w:t xml:space="preserve"> </w:t>
            </w:r>
            <w:r w:rsidR="009F2845" w:rsidRPr="00C93ED0">
              <w:rPr>
                <w:rFonts w:cs="Calibri"/>
                <w:color w:val="FF0000"/>
              </w:rPr>
              <w:t>Equity</w:t>
            </w:r>
            <w:r w:rsidRPr="00C93ED0">
              <w:rPr>
                <w:rFonts w:cs="Calibri"/>
              </w:rPr>
              <w:t xml:space="preserve"> </w:t>
            </w:r>
            <w:r w:rsidR="00A26DB2" w:rsidRPr="00C93ED0">
              <w:rPr>
                <w:rFonts w:cs="Calibri"/>
              </w:rPr>
              <w:t xml:space="preserve">Original </w:t>
            </w:r>
          </w:p>
          <w:p w14:paraId="43DC7DDD" w14:textId="77777777" w:rsidR="00A26DB2" w:rsidRPr="00C93ED0" w:rsidRDefault="00A26DB2" w:rsidP="009F2845">
            <w:pPr>
              <w:pStyle w:val="TableTitle"/>
              <w:tabs>
                <w:tab w:val="left" w:pos="3306"/>
              </w:tabs>
              <w:rPr>
                <w:rFonts w:cs="Calibri"/>
              </w:rPr>
            </w:pPr>
            <w:r w:rsidRPr="00C93ED0">
              <w:rPr>
                <w:rFonts w:cs="Calibri"/>
              </w:rPr>
              <w:t>Budget</w:t>
            </w:r>
          </w:p>
          <w:p w14:paraId="7CD563BE" w14:textId="43CE3249" w:rsidR="00A26DB2" w:rsidRPr="00C93ED0" w:rsidRDefault="00A26DB2" w:rsidP="009F2845">
            <w:pPr>
              <w:pStyle w:val="TableTitle"/>
              <w:tabs>
                <w:tab w:val="left" w:pos="3306"/>
              </w:tabs>
              <w:rPr>
                <w:rFonts w:cs="Calibri"/>
              </w:rPr>
            </w:pPr>
            <w:r w:rsidRPr="00C93ED0">
              <w:rPr>
                <w:rFonts w:cs="Calibri"/>
              </w:rPr>
              <w:t>202</w:t>
            </w:r>
            <w:r w:rsidR="00D50594" w:rsidRPr="00C93ED0">
              <w:rPr>
                <w:rFonts w:cs="Calibri"/>
              </w:rPr>
              <w:t>3</w:t>
            </w:r>
          </w:p>
          <w:p w14:paraId="350EB37D" w14:textId="216075C6" w:rsidR="00A26DB2" w:rsidRPr="00C93ED0" w:rsidRDefault="00A26DB2" w:rsidP="009F2845">
            <w:pPr>
              <w:pStyle w:val="TableTitle"/>
              <w:tabs>
                <w:tab w:val="left" w:pos="3306"/>
              </w:tabs>
              <w:rPr>
                <w:rFonts w:cs="Calibri"/>
              </w:rPr>
            </w:pPr>
            <w:r w:rsidRPr="00C93ED0">
              <w:rPr>
                <w:rFonts w:cs="Calibri"/>
              </w:rPr>
              <w:t>$’000</w:t>
            </w:r>
          </w:p>
        </w:tc>
      </w:tr>
      <w:tr w:rsidR="00A26DB2" w:rsidRPr="00CF7E1B" w14:paraId="4A0924CA" w14:textId="77777777" w:rsidTr="001B6DC6">
        <w:trPr>
          <w:cantSplit/>
          <w:trHeight w:val="20"/>
        </w:trPr>
        <w:tc>
          <w:tcPr>
            <w:tcW w:w="1476" w:type="dxa"/>
            <w:tcBorders>
              <w:top w:val="nil"/>
              <w:left w:val="single" w:sz="2" w:space="0" w:color="auto"/>
              <w:bottom w:val="nil"/>
              <w:right w:val="single" w:sz="2" w:space="0" w:color="auto"/>
            </w:tcBorders>
          </w:tcPr>
          <w:p w14:paraId="35A131F3" w14:textId="77777777" w:rsidR="00A26DB2" w:rsidRPr="008E2886" w:rsidRDefault="00A26DB2" w:rsidP="00AF2884">
            <w:pPr>
              <w:pStyle w:val="Reference"/>
              <w:tabs>
                <w:tab w:val="left" w:pos="3306"/>
              </w:tabs>
              <w:rPr>
                <w:rFonts w:cs="Calibri"/>
                <w:color w:val="7030A0"/>
              </w:rPr>
            </w:pPr>
          </w:p>
        </w:tc>
        <w:tc>
          <w:tcPr>
            <w:tcW w:w="2410" w:type="dxa"/>
            <w:tcBorders>
              <w:top w:val="nil"/>
              <w:left w:val="single" w:sz="2" w:space="0" w:color="auto"/>
              <w:bottom w:val="nil"/>
              <w:right w:val="nil"/>
            </w:tcBorders>
            <w:vAlign w:val="bottom"/>
          </w:tcPr>
          <w:p w14:paraId="0405FE9D" w14:textId="77777777" w:rsidR="00A26DB2" w:rsidRPr="008E2886" w:rsidRDefault="00A26DB2" w:rsidP="00AF2884">
            <w:pPr>
              <w:tabs>
                <w:tab w:val="left" w:pos="3306"/>
              </w:tabs>
              <w:rPr>
                <w:rFonts w:cs="Calibri"/>
              </w:rPr>
            </w:pPr>
          </w:p>
        </w:tc>
        <w:tc>
          <w:tcPr>
            <w:tcW w:w="708" w:type="dxa"/>
            <w:tcBorders>
              <w:top w:val="nil"/>
              <w:left w:val="nil"/>
              <w:bottom w:val="nil"/>
              <w:right w:val="nil"/>
            </w:tcBorders>
            <w:vAlign w:val="bottom"/>
          </w:tcPr>
          <w:p w14:paraId="75057D83" w14:textId="77777777" w:rsidR="00A26DB2" w:rsidRPr="008E2886" w:rsidRDefault="00A26DB2" w:rsidP="00AF2884">
            <w:pPr>
              <w:pStyle w:val="TableTitle"/>
              <w:tabs>
                <w:tab w:val="left" w:pos="3306"/>
              </w:tabs>
              <w:jc w:val="center"/>
              <w:rPr>
                <w:rFonts w:cs="Calibri"/>
              </w:rPr>
            </w:pPr>
            <w:r w:rsidRPr="008E2886">
              <w:rPr>
                <w:rFonts w:cs="Calibri"/>
              </w:rPr>
              <w:t>Note No.</w:t>
            </w:r>
          </w:p>
        </w:tc>
        <w:tc>
          <w:tcPr>
            <w:tcW w:w="709" w:type="dxa"/>
            <w:tcBorders>
              <w:top w:val="nil"/>
              <w:left w:val="nil"/>
              <w:bottom w:val="nil"/>
              <w:right w:val="nil"/>
            </w:tcBorders>
            <w:shd w:val="clear" w:color="auto" w:fill="auto"/>
            <w:vAlign w:val="bottom"/>
          </w:tcPr>
          <w:p w14:paraId="05D12A57" w14:textId="77777777"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Actual</w:t>
            </w:r>
          </w:p>
          <w:p w14:paraId="44520DD8" w14:textId="58C704F4"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202</w:t>
            </w:r>
            <w:r w:rsidR="00D50594">
              <w:rPr>
                <w:rFonts w:cs="Calibri"/>
                <w:color w:val="2E74B5" w:themeColor="accent1" w:themeShade="BF"/>
              </w:rPr>
              <w:t>3</w:t>
            </w:r>
          </w:p>
          <w:p w14:paraId="77C14DDC" w14:textId="1AE9E0D3"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$’000</w:t>
            </w:r>
          </w:p>
        </w:tc>
        <w:tc>
          <w:tcPr>
            <w:tcW w:w="1278" w:type="dxa"/>
            <w:vMerge/>
            <w:tcBorders>
              <w:top w:val="nil"/>
              <w:left w:val="nil"/>
              <w:bottom w:val="nil"/>
              <w:right w:val="nil"/>
            </w:tcBorders>
          </w:tcPr>
          <w:p w14:paraId="6EB9C8AD" w14:textId="4CE61634" w:rsidR="00A26DB2" w:rsidRPr="008E2886" w:rsidRDefault="00A26DB2" w:rsidP="00AF2884">
            <w:pPr>
              <w:pStyle w:val="TableTitle"/>
              <w:tabs>
                <w:tab w:val="left" w:pos="3306"/>
              </w:tabs>
              <w:rPr>
                <w:rFonts w:cs="Calibri"/>
              </w:rPr>
            </w:pPr>
          </w:p>
        </w:tc>
        <w:tc>
          <w:tcPr>
            <w:tcW w:w="1134" w:type="dxa"/>
            <w:vMerge/>
            <w:tcBorders>
              <w:top w:val="nil"/>
              <w:left w:val="nil"/>
              <w:bottom w:val="nil"/>
              <w:right w:val="nil"/>
            </w:tcBorders>
            <w:shd w:val="clear" w:color="auto" w:fill="auto"/>
            <w:vAlign w:val="bottom"/>
          </w:tcPr>
          <w:p w14:paraId="7D6F478F" w14:textId="7C46B74B" w:rsidR="00A26DB2" w:rsidRPr="008E2886" w:rsidRDefault="00A26DB2" w:rsidP="00AF2884">
            <w:pPr>
              <w:pStyle w:val="TableTitle"/>
              <w:tabs>
                <w:tab w:val="left" w:pos="3306"/>
              </w:tabs>
              <w:rPr>
                <w:rFonts w:cs="Calibri"/>
              </w:rPr>
            </w:pPr>
          </w:p>
        </w:tc>
        <w:tc>
          <w:tcPr>
            <w:tcW w:w="992" w:type="dxa"/>
            <w:vMerge/>
            <w:tcBorders>
              <w:top w:val="nil"/>
              <w:left w:val="nil"/>
              <w:bottom w:val="nil"/>
              <w:right w:val="nil"/>
            </w:tcBorders>
            <w:shd w:val="clear" w:color="auto" w:fill="auto"/>
            <w:vAlign w:val="bottom"/>
          </w:tcPr>
          <w:p w14:paraId="4B6FD18D" w14:textId="0E1D4AB1" w:rsidR="00A26DB2" w:rsidRPr="008E2886" w:rsidRDefault="00A26DB2" w:rsidP="00AF2884">
            <w:pPr>
              <w:pStyle w:val="TableTitle"/>
              <w:tabs>
                <w:tab w:val="left" w:pos="3306"/>
              </w:tabs>
              <w:rPr>
                <w:rFonts w:cs="Calibri"/>
              </w:rPr>
            </w:pPr>
          </w:p>
        </w:tc>
        <w:tc>
          <w:tcPr>
            <w:tcW w:w="851" w:type="dxa"/>
            <w:vMerge/>
            <w:tcBorders>
              <w:top w:val="nil"/>
              <w:left w:val="nil"/>
              <w:bottom w:val="nil"/>
              <w:right w:val="nil"/>
            </w:tcBorders>
            <w:shd w:val="clear" w:color="auto" w:fill="auto"/>
            <w:vAlign w:val="bottom"/>
          </w:tcPr>
          <w:p w14:paraId="75D41F59" w14:textId="5D9E68BB" w:rsidR="00A26DB2" w:rsidRPr="008E2886" w:rsidRDefault="00A26DB2" w:rsidP="00AF2884">
            <w:pPr>
              <w:pStyle w:val="TableTitle"/>
              <w:tabs>
                <w:tab w:val="left" w:pos="3306"/>
              </w:tabs>
              <w:rPr>
                <w:rFonts w:cs="Calibri"/>
              </w:rPr>
            </w:pPr>
          </w:p>
        </w:tc>
        <w:tc>
          <w:tcPr>
            <w:tcW w:w="850" w:type="dxa"/>
            <w:vMerge/>
            <w:tcBorders>
              <w:top w:val="nil"/>
              <w:left w:val="nil"/>
              <w:bottom w:val="nil"/>
              <w:right w:val="nil"/>
            </w:tcBorders>
            <w:shd w:val="clear" w:color="auto" w:fill="auto"/>
            <w:vAlign w:val="bottom"/>
          </w:tcPr>
          <w:p w14:paraId="128316AA" w14:textId="127F2156" w:rsidR="00A26DB2" w:rsidRPr="008E2886" w:rsidRDefault="00A26DB2" w:rsidP="00AF2884">
            <w:pPr>
              <w:pStyle w:val="TableTitle"/>
              <w:tabs>
                <w:tab w:val="left" w:pos="3306"/>
              </w:tabs>
              <w:rPr>
                <w:rFonts w:cs="Calibri"/>
              </w:rPr>
            </w:pPr>
          </w:p>
        </w:tc>
      </w:tr>
      <w:tr w:rsidR="00AF2884" w:rsidRPr="00CF7E1B" w14:paraId="4D47C9FA" w14:textId="77777777" w:rsidTr="009F2845">
        <w:trPr>
          <w:cantSplit/>
          <w:trHeight w:val="20"/>
        </w:trPr>
        <w:tc>
          <w:tcPr>
            <w:tcW w:w="1476" w:type="dxa"/>
            <w:tcBorders>
              <w:top w:val="nil"/>
              <w:left w:val="single" w:sz="2" w:space="0" w:color="auto"/>
              <w:bottom w:val="nil"/>
              <w:right w:val="single" w:sz="2" w:space="0" w:color="auto"/>
            </w:tcBorders>
          </w:tcPr>
          <w:p w14:paraId="5BD53997" w14:textId="77777777" w:rsidR="00AF2884" w:rsidRPr="008E2886" w:rsidRDefault="00AF2884" w:rsidP="00AF2884">
            <w:pPr>
              <w:pStyle w:val="TableReference"/>
              <w:tabs>
                <w:tab w:val="left" w:pos="3306"/>
              </w:tabs>
              <w:spacing w:before="40"/>
              <w:rPr>
                <w:rFonts w:cs="Calibri"/>
                <w:color w:val="7030A0"/>
                <w:sz w:val="16"/>
                <w:szCs w:val="16"/>
              </w:rPr>
            </w:pPr>
          </w:p>
        </w:tc>
        <w:tc>
          <w:tcPr>
            <w:tcW w:w="2410" w:type="dxa"/>
            <w:tcBorders>
              <w:top w:val="nil"/>
              <w:left w:val="single" w:sz="2" w:space="0" w:color="auto"/>
              <w:bottom w:val="nil"/>
              <w:right w:val="nil"/>
            </w:tcBorders>
            <w:vAlign w:val="bottom"/>
          </w:tcPr>
          <w:p w14:paraId="1E0F3863" w14:textId="77777777" w:rsidR="00AF2884" w:rsidRPr="008E2886" w:rsidRDefault="00AF2884" w:rsidP="00AF2884">
            <w:pPr>
              <w:pStyle w:val="TableText"/>
              <w:tabs>
                <w:tab w:val="left" w:pos="3306"/>
              </w:tabs>
              <w:rPr>
                <w:rFonts w:cs="Calibri"/>
                <w:b/>
                <w:bCs/>
              </w:rPr>
            </w:pPr>
          </w:p>
        </w:tc>
        <w:tc>
          <w:tcPr>
            <w:tcW w:w="708" w:type="dxa"/>
            <w:tcBorders>
              <w:top w:val="nil"/>
              <w:left w:val="nil"/>
              <w:bottom w:val="nil"/>
              <w:right w:val="nil"/>
            </w:tcBorders>
            <w:vAlign w:val="bottom"/>
          </w:tcPr>
          <w:p w14:paraId="48F30255"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2DAD64F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0D4EE34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0069198" w14:textId="685483B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70C73D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43C4260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6F3426A" w14:textId="77777777" w:rsidR="00AF2884" w:rsidRPr="008E2886" w:rsidRDefault="00AF2884" w:rsidP="00AF2884">
            <w:pPr>
              <w:pStyle w:val="TableText"/>
              <w:tabs>
                <w:tab w:val="left" w:pos="3306"/>
              </w:tabs>
              <w:jc w:val="right"/>
              <w:rPr>
                <w:rFonts w:cs="Calibri"/>
              </w:rPr>
            </w:pPr>
          </w:p>
        </w:tc>
      </w:tr>
      <w:tr w:rsidR="00AF2884" w:rsidRPr="00CF7E1B" w14:paraId="1AED7AB1" w14:textId="77777777" w:rsidTr="004D1EC6">
        <w:trPr>
          <w:cantSplit/>
          <w:trHeight w:val="20"/>
        </w:trPr>
        <w:tc>
          <w:tcPr>
            <w:tcW w:w="1476" w:type="dxa"/>
            <w:tcBorders>
              <w:top w:val="nil"/>
              <w:left w:val="single" w:sz="2" w:space="0" w:color="auto"/>
              <w:bottom w:val="nil"/>
              <w:right w:val="single" w:sz="2" w:space="0" w:color="auto"/>
            </w:tcBorders>
          </w:tcPr>
          <w:p w14:paraId="561C641F"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A39CD1C" w14:textId="3DB8BF8E" w:rsidR="00AF2884" w:rsidRPr="008E2886" w:rsidRDefault="00AF2884" w:rsidP="00AF2884">
            <w:pPr>
              <w:pStyle w:val="TableText"/>
              <w:tabs>
                <w:tab w:val="left" w:pos="3306"/>
              </w:tabs>
              <w:rPr>
                <w:rFonts w:cs="Calibri"/>
                <w:b/>
                <w:bCs/>
              </w:rPr>
            </w:pPr>
            <w:r w:rsidRPr="008E2886">
              <w:rPr>
                <w:rFonts w:cs="Calibri"/>
                <w:b/>
                <w:bCs/>
              </w:rPr>
              <w:t xml:space="preserve">Balance at 1 July </w:t>
            </w:r>
            <w:r w:rsidR="00900082" w:rsidRPr="008E2886">
              <w:rPr>
                <w:rFonts w:cs="Calibri"/>
                <w:b/>
                <w:bCs/>
              </w:rPr>
              <w:t>202</w:t>
            </w:r>
            <w:r w:rsidR="00D50594">
              <w:rPr>
                <w:rFonts w:cs="Calibri"/>
                <w:b/>
                <w:bCs/>
              </w:rPr>
              <w:t>2</w:t>
            </w:r>
          </w:p>
        </w:tc>
        <w:tc>
          <w:tcPr>
            <w:tcW w:w="708" w:type="dxa"/>
            <w:tcBorders>
              <w:top w:val="nil"/>
              <w:left w:val="nil"/>
              <w:bottom w:val="nil"/>
              <w:right w:val="nil"/>
            </w:tcBorders>
            <w:vAlign w:val="bottom"/>
          </w:tcPr>
          <w:p w14:paraId="367E6877"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single" w:sz="4" w:space="0" w:color="auto"/>
              <w:right w:val="nil"/>
            </w:tcBorders>
            <w:shd w:val="clear" w:color="auto" w:fill="auto"/>
            <w:vAlign w:val="bottom"/>
          </w:tcPr>
          <w:p w14:paraId="2A7A6709" w14:textId="77777777" w:rsidR="00AF2884" w:rsidRPr="008E2886" w:rsidRDefault="00AF2884" w:rsidP="00AF2884">
            <w:pPr>
              <w:pStyle w:val="TableText"/>
              <w:tabs>
                <w:tab w:val="left" w:pos="3306"/>
              </w:tabs>
              <w:jc w:val="right"/>
              <w:rPr>
                <w:rFonts w:cs="Calibri"/>
                <w:b/>
              </w:rPr>
            </w:pPr>
          </w:p>
        </w:tc>
        <w:tc>
          <w:tcPr>
            <w:tcW w:w="1278" w:type="dxa"/>
            <w:tcBorders>
              <w:top w:val="nil"/>
              <w:left w:val="nil"/>
              <w:bottom w:val="single" w:sz="4" w:space="0" w:color="auto"/>
              <w:right w:val="nil"/>
            </w:tcBorders>
          </w:tcPr>
          <w:p w14:paraId="7020EE03" w14:textId="77777777" w:rsidR="00AF2884" w:rsidRPr="008E2886" w:rsidRDefault="00AF2884" w:rsidP="00AF2884">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34CF9AE3" w14:textId="2671A057" w:rsidR="00AF2884" w:rsidRPr="008E2886" w:rsidRDefault="00AF2884" w:rsidP="00AF2884">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1B75CF68" w14:textId="77777777" w:rsidR="00AF2884" w:rsidRPr="008E2886" w:rsidRDefault="00AF2884" w:rsidP="00AF2884">
            <w:pPr>
              <w:pStyle w:val="TableText"/>
              <w:tabs>
                <w:tab w:val="left" w:pos="3306"/>
              </w:tabs>
              <w:jc w:val="right"/>
              <w:rPr>
                <w:rFonts w:cs="Calibri"/>
                <w:b/>
              </w:rPr>
            </w:pPr>
          </w:p>
        </w:tc>
        <w:tc>
          <w:tcPr>
            <w:tcW w:w="851" w:type="dxa"/>
            <w:tcBorders>
              <w:top w:val="nil"/>
              <w:left w:val="nil"/>
              <w:bottom w:val="single" w:sz="4" w:space="0" w:color="auto"/>
              <w:right w:val="nil"/>
            </w:tcBorders>
            <w:shd w:val="clear" w:color="auto" w:fill="auto"/>
            <w:vAlign w:val="bottom"/>
          </w:tcPr>
          <w:p w14:paraId="11A29390" w14:textId="77777777" w:rsidR="00AF2884" w:rsidRPr="008E2886" w:rsidRDefault="00AF2884" w:rsidP="00AF2884">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2503B96E" w14:textId="77777777" w:rsidR="00AF2884" w:rsidRPr="008E2886" w:rsidRDefault="00AF2884" w:rsidP="00AF2884">
            <w:pPr>
              <w:pStyle w:val="TableText"/>
              <w:tabs>
                <w:tab w:val="left" w:pos="3306"/>
              </w:tabs>
              <w:jc w:val="right"/>
              <w:rPr>
                <w:rFonts w:cs="Calibri"/>
                <w:b/>
              </w:rPr>
            </w:pPr>
          </w:p>
        </w:tc>
      </w:tr>
      <w:tr w:rsidR="009E392C" w:rsidRPr="009E392C" w14:paraId="6B6A0F99" w14:textId="77777777" w:rsidTr="004D1EC6">
        <w:trPr>
          <w:cantSplit/>
          <w:trHeight w:val="20"/>
        </w:trPr>
        <w:tc>
          <w:tcPr>
            <w:tcW w:w="1476" w:type="dxa"/>
            <w:tcBorders>
              <w:top w:val="nil"/>
              <w:left w:val="single" w:sz="2" w:space="0" w:color="auto"/>
              <w:bottom w:val="nil"/>
              <w:right w:val="single" w:sz="2" w:space="0" w:color="auto"/>
            </w:tcBorders>
            <w:vAlign w:val="center"/>
          </w:tcPr>
          <w:p w14:paraId="2388A7F4" w14:textId="77777777" w:rsidR="00AF2884" w:rsidRPr="009E392C" w:rsidRDefault="00AF2884" w:rsidP="002D3E8B">
            <w:pPr>
              <w:pStyle w:val="TableReference"/>
              <w:tabs>
                <w:tab w:val="left" w:pos="3306"/>
              </w:tabs>
              <w:spacing w:before="40"/>
              <w:rPr>
                <w:rFonts w:cs="Calibri"/>
                <w:strike/>
                <w:color w:val="FF0000"/>
                <w:sz w:val="14"/>
              </w:rPr>
            </w:pPr>
            <w:r w:rsidRPr="009E392C">
              <w:rPr>
                <w:rFonts w:cs="Calibri"/>
                <w:strike/>
                <w:color w:val="FF0000"/>
                <w:sz w:val="14"/>
              </w:rPr>
              <w:t>AASB 108.19(b)</w:t>
            </w:r>
          </w:p>
          <w:p w14:paraId="4C9FF256" w14:textId="77777777" w:rsidR="00AF2884" w:rsidRPr="009E392C" w:rsidRDefault="00AF2884" w:rsidP="002D3E8B">
            <w:pPr>
              <w:pStyle w:val="TableReference"/>
              <w:tabs>
                <w:tab w:val="left" w:pos="3306"/>
              </w:tabs>
              <w:spacing w:before="40"/>
              <w:rPr>
                <w:rFonts w:cs="Calibri"/>
                <w:strike/>
                <w:color w:val="FF0000"/>
                <w:sz w:val="14"/>
                <w:highlight w:val="cyan"/>
              </w:rPr>
            </w:pPr>
            <w:r w:rsidRPr="009E392C">
              <w:rPr>
                <w:rFonts w:cs="Calibri"/>
                <w:strike/>
                <w:color w:val="FF0000"/>
                <w:sz w:val="14"/>
              </w:rPr>
              <w:t>AASB 101.106 (b)</w:t>
            </w:r>
          </w:p>
        </w:tc>
        <w:tc>
          <w:tcPr>
            <w:tcW w:w="2410" w:type="dxa"/>
            <w:tcBorders>
              <w:top w:val="nil"/>
              <w:left w:val="single" w:sz="2" w:space="0" w:color="auto"/>
              <w:bottom w:val="nil"/>
              <w:right w:val="nil"/>
            </w:tcBorders>
            <w:vAlign w:val="center"/>
          </w:tcPr>
          <w:p w14:paraId="2F20BE03" w14:textId="77777777" w:rsidR="00AF2884" w:rsidRPr="009E392C" w:rsidRDefault="00AF2884" w:rsidP="002D3E8B">
            <w:pPr>
              <w:tabs>
                <w:tab w:val="left" w:pos="3306"/>
              </w:tabs>
              <w:spacing w:before="60" w:after="60"/>
              <w:rPr>
                <w:rFonts w:cs="Calibri"/>
                <w:iCs/>
                <w:strike/>
                <w:color w:val="FF0000"/>
                <w:sz w:val="18"/>
                <w:highlight w:val="cyan"/>
              </w:rPr>
            </w:pPr>
            <w:r w:rsidRPr="009E392C">
              <w:rPr>
                <w:rFonts w:cs="Calibri"/>
                <w:iCs/>
                <w:strike/>
                <w:color w:val="FF0000"/>
                <w:sz w:val="18"/>
              </w:rPr>
              <w:t xml:space="preserve">Change in accounting policy </w:t>
            </w:r>
          </w:p>
        </w:tc>
        <w:tc>
          <w:tcPr>
            <w:tcW w:w="708" w:type="dxa"/>
            <w:tcBorders>
              <w:top w:val="nil"/>
              <w:left w:val="nil"/>
              <w:bottom w:val="nil"/>
              <w:right w:val="nil"/>
            </w:tcBorders>
            <w:shd w:val="clear" w:color="auto" w:fill="FFFFFF" w:themeFill="background1"/>
            <w:vAlign w:val="center"/>
          </w:tcPr>
          <w:p w14:paraId="16263ABB" w14:textId="6A51ECFB" w:rsidR="00AF2884" w:rsidRPr="009E392C" w:rsidRDefault="00DA3B1E" w:rsidP="00E10D26">
            <w:pPr>
              <w:pStyle w:val="TableText"/>
              <w:tabs>
                <w:tab w:val="left" w:pos="3306"/>
              </w:tabs>
              <w:jc w:val="center"/>
              <w:rPr>
                <w:rFonts w:cs="Calibri"/>
                <w:strike/>
                <w:color w:val="FF0000"/>
                <w:highlight w:val="cyan"/>
              </w:rPr>
            </w:pPr>
            <w:r w:rsidRPr="009E392C">
              <w:rPr>
                <w:rFonts w:cs="Calibri"/>
                <w:strike/>
                <w:color w:val="FF0000"/>
              </w:rPr>
              <w:t>4</w:t>
            </w:r>
          </w:p>
        </w:tc>
        <w:tc>
          <w:tcPr>
            <w:tcW w:w="709" w:type="dxa"/>
            <w:tcBorders>
              <w:top w:val="single" w:sz="4" w:space="0" w:color="auto"/>
              <w:left w:val="nil"/>
              <w:bottom w:val="nil"/>
              <w:right w:val="nil"/>
            </w:tcBorders>
            <w:shd w:val="clear" w:color="auto" w:fill="auto"/>
            <w:vAlign w:val="bottom"/>
          </w:tcPr>
          <w:p w14:paraId="53A7CFE7" w14:textId="77777777" w:rsidR="00AF2884" w:rsidRPr="009E392C" w:rsidRDefault="00AF2884" w:rsidP="00AF2884">
            <w:pPr>
              <w:pStyle w:val="TableText"/>
              <w:tabs>
                <w:tab w:val="left" w:pos="3306"/>
              </w:tabs>
              <w:jc w:val="right"/>
              <w:rPr>
                <w:rFonts w:cs="Calibri"/>
                <w:strike/>
                <w:color w:val="FF0000"/>
                <w:highlight w:val="cyan"/>
              </w:rPr>
            </w:pPr>
          </w:p>
        </w:tc>
        <w:tc>
          <w:tcPr>
            <w:tcW w:w="1278" w:type="dxa"/>
            <w:tcBorders>
              <w:top w:val="single" w:sz="4" w:space="0" w:color="auto"/>
              <w:left w:val="nil"/>
              <w:bottom w:val="nil"/>
              <w:right w:val="nil"/>
            </w:tcBorders>
          </w:tcPr>
          <w:p w14:paraId="58AF1EA7" w14:textId="77777777" w:rsidR="00AF2884" w:rsidRPr="009E392C" w:rsidRDefault="00AF2884" w:rsidP="00AF2884">
            <w:pPr>
              <w:pStyle w:val="TableText"/>
              <w:tabs>
                <w:tab w:val="left" w:pos="3306"/>
              </w:tabs>
              <w:jc w:val="right"/>
              <w:rPr>
                <w:rFonts w:cs="Calibri"/>
                <w:strike/>
                <w:color w:val="FF0000"/>
                <w:highlight w:val="cyan"/>
              </w:rPr>
            </w:pPr>
          </w:p>
        </w:tc>
        <w:tc>
          <w:tcPr>
            <w:tcW w:w="1134" w:type="dxa"/>
            <w:tcBorders>
              <w:top w:val="single" w:sz="4" w:space="0" w:color="auto"/>
              <w:left w:val="nil"/>
              <w:bottom w:val="nil"/>
              <w:right w:val="nil"/>
            </w:tcBorders>
            <w:shd w:val="clear" w:color="auto" w:fill="auto"/>
            <w:vAlign w:val="bottom"/>
          </w:tcPr>
          <w:p w14:paraId="67DFC50E" w14:textId="3A57E313" w:rsidR="00AF2884" w:rsidRPr="009E392C" w:rsidRDefault="00AF2884" w:rsidP="00AF2884">
            <w:pPr>
              <w:pStyle w:val="TableText"/>
              <w:tabs>
                <w:tab w:val="left" w:pos="3306"/>
              </w:tabs>
              <w:jc w:val="right"/>
              <w:rPr>
                <w:rFonts w:cs="Calibri"/>
                <w:strike/>
                <w:color w:val="FF0000"/>
                <w:highlight w:val="cyan"/>
              </w:rPr>
            </w:pPr>
          </w:p>
        </w:tc>
        <w:tc>
          <w:tcPr>
            <w:tcW w:w="992" w:type="dxa"/>
            <w:tcBorders>
              <w:top w:val="single" w:sz="4" w:space="0" w:color="auto"/>
              <w:left w:val="nil"/>
              <w:bottom w:val="nil"/>
              <w:right w:val="nil"/>
            </w:tcBorders>
            <w:shd w:val="clear" w:color="auto" w:fill="auto"/>
            <w:vAlign w:val="bottom"/>
          </w:tcPr>
          <w:p w14:paraId="0E9798C2" w14:textId="77777777" w:rsidR="00AF2884" w:rsidRPr="009E392C" w:rsidRDefault="00AF2884" w:rsidP="00AF2884">
            <w:pPr>
              <w:pStyle w:val="TableText"/>
              <w:tabs>
                <w:tab w:val="left" w:pos="3306"/>
              </w:tabs>
              <w:jc w:val="right"/>
              <w:rPr>
                <w:rFonts w:cs="Calibri"/>
                <w:strike/>
                <w:color w:val="FF0000"/>
                <w:highlight w:val="cyan"/>
              </w:rPr>
            </w:pPr>
          </w:p>
        </w:tc>
        <w:tc>
          <w:tcPr>
            <w:tcW w:w="851" w:type="dxa"/>
            <w:tcBorders>
              <w:top w:val="single" w:sz="4" w:space="0" w:color="auto"/>
              <w:left w:val="nil"/>
              <w:bottom w:val="nil"/>
              <w:right w:val="nil"/>
            </w:tcBorders>
            <w:shd w:val="clear" w:color="auto" w:fill="auto"/>
            <w:vAlign w:val="bottom"/>
          </w:tcPr>
          <w:p w14:paraId="68CC08D1" w14:textId="77777777" w:rsidR="00AF2884" w:rsidRPr="009E392C" w:rsidRDefault="00AF2884" w:rsidP="00AF2884">
            <w:pPr>
              <w:pStyle w:val="TableText"/>
              <w:tabs>
                <w:tab w:val="left" w:pos="3306"/>
              </w:tabs>
              <w:jc w:val="right"/>
              <w:rPr>
                <w:rFonts w:cs="Calibri"/>
                <w:strike/>
                <w:color w:val="FF0000"/>
                <w:sz w:val="14"/>
                <w:highlight w:val="cyan"/>
              </w:rPr>
            </w:pPr>
          </w:p>
        </w:tc>
        <w:tc>
          <w:tcPr>
            <w:tcW w:w="850" w:type="dxa"/>
            <w:tcBorders>
              <w:top w:val="single" w:sz="4" w:space="0" w:color="auto"/>
              <w:left w:val="nil"/>
              <w:bottom w:val="nil"/>
              <w:right w:val="nil"/>
            </w:tcBorders>
            <w:shd w:val="clear" w:color="auto" w:fill="auto"/>
            <w:vAlign w:val="bottom"/>
          </w:tcPr>
          <w:p w14:paraId="767B188F" w14:textId="77777777" w:rsidR="00AF2884" w:rsidRPr="009E392C" w:rsidRDefault="00AF2884" w:rsidP="00AF2884">
            <w:pPr>
              <w:pStyle w:val="TableText"/>
              <w:tabs>
                <w:tab w:val="left" w:pos="3306"/>
              </w:tabs>
              <w:jc w:val="right"/>
              <w:rPr>
                <w:rFonts w:cs="Calibri"/>
                <w:strike/>
                <w:color w:val="FF0000"/>
              </w:rPr>
            </w:pPr>
          </w:p>
        </w:tc>
      </w:tr>
      <w:tr w:rsidR="009E392C" w:rsidRPr="009E392C" w14:paraId="73647B2F" w14:textId="77777777" w:rsidTr="004D1EC6">
        <w:trPr>
          <w:cantSplit/>
          <w:trHeight w:val="20"/>
        </w:trPr>
        <w:tc>
          <w:tcPr>
            <w:tcW w:w="1476" w:type="dxa"/>
            <w:tcBorders>
              <w:top w:val="nil"/>
              <w:left w:val="single" w:sz="2" w:space="0" w:color="auto"/>
              <w:bottom w:val="nil"/>
              <w:right w:val="single" w:sz="2" w:space="0" w:color="auto"/>
            </w:tcBorders>
            <w:vAlign w:val="center"/>
          </w:tcPr>
          <w:p w14:paraId="2985551B" w14:textId="48232235" w:rsidR="00900082" w:rsidRPr="009E392C" w:rsidRDefault="002D3E8B" w:rsidP="002D3E8B">
            <w:pPr>
              <w:pStyle w:val="TableReference"/>
              <w:tabs>
                <w:tab w:val="left" w:pos="3306"/>
              </w:tabs>
              <w:spacing w:before="40"/>
              <w:rPr>
                <w:rFonts w:cs="Calibri"/>
                <w:strike/>
                <w:color w:val="FF0000"/>
                <w:sz w:val="14"/>
              </w:rPr>
            </w:pPr>
            <w:r w:rsidRPr="009E392C">
              <w:rPr>
                <w:rFonts w:cs="Calibri"/>
                <w:strike/>
                <w:color w:val="FF0000"/>
                <w:sz w:val="14"/>
              </w:rPr>
              <w:t>AASB 101.106 (b)</w:t>
            </w:r>
          </w:p>
        </w:tc>
        <w:tc>
          <w:tcPr>
            <w:tcW w:w="2410" w:type="dxa"/>
            <w:tcBorders>
              <w:top w:val="nil"/>
              <w:left w:val="single" w:sz="2" w:space="0" w:color="auto"/>
              <w:bottom w:val="nil"/>
              <w:right w:val="nil"/>
            </w:tcBorders>
            <w:vAlign w:val="bottom"/>
          </w:tcPr>
          <w:p w14:paraId="7B1EB350" w14:textId="73F86463" w:rsidR="00900082" w:rsidRPr="009E392C" w:rsidRDefault="00900082" w:rsidP="00AF2884">
            <w:pPr>
              <w:tabs>
                <w:tab w:val="left" w:pos="3306"/>
              </w:tabs>
              <w:spacing w:before="60" w:after="60"/>
              <w:rPr>
                <w:rFonts w:cs="Calibri"/>
                <w:iCs/>
                <w:strike/>
                <w:color w:val="FF0000"/>
                <w:sz w:val="18"/>
              </w:rPr>
            </w:pPr>
            <w:r w:rsidRPr="009E392C">
              <w:rPr>
                <w:rFonts w:cs="Calibri"/>
                <w:iCs/>
                <w:strike/>
                <w:color w:val="FF0000"/>
                <w:sz w:val="18"/>
              </w:rPr>
              <w:t>Correction of a Prior Period Error</w:t>
            </w:r>
          </w:p>
        </w:tc>
        <w:tc>
          <w:tcPr>
            <w:tcW w:w="708" w:type="dxa"/>
            <w:tcBorders>
              <w:top w:val="nil"/>
              <w:left w:val="nil"/>
              <w:bottom w:val="nil"/>
              <w:right w:val="nil"/>
            </w:tcBorders>
            <w:shd w:val="clear" w:color="auto" w:fill="FFFFFF" w:themeFill="background1"/>
          </w:tcPr>
          <w:p w14:paraId="63D20157" w14:textId="561F1622" w:rsidR="00900082" w:rsidRPr="009E392C" w:rsidRDefault="00DA3B1E" w:rsidP="00DA64E7">
            <w:pPr>
              <w:pStyle w:val="TableText"/>
              <w:tabs>
                <w:tab w:val="left" w:pos="3306"/>
              </w:tabs>
              <w:jc w:val="center"/>
              <w:rPr>
                <w:rFonts w:cs="Calibri"/>
                <w:strike/>
                <w:color w:val="FF0000"/>
              </w:rPr>
            </w:pPr>
            <w:r w:rsidRPr="009E392C">
              <w:rPr>
                <w:rFonts w:cs="Calibri"/>
                <w:strike/>
                <w:color w:val="FF0000"/>
              </w:rPr>
              <w:t>4</w:t>
            </w:r>
          </w:p>
        </w:tc>
        <w:tc>
          <w:tcPr>
            <w:tcW w:w="709" w:type="dxa"/>
            <w:tcBorders>
              <w:top w:val="nil"/>
              <w:left w:val="nil"/>
              <w:bottom w:val="single" w:sz="4" w:space="0" w:color="auto"/>
              <w:right w:val="nil"/>
            </w:tcBorders>
            <w:shd w:val="clear" w:color="auto" w:fill="auto"/>
            <w:vAlign w:val="bottom"/>
          </w:tcPr>
          <w:p w14:paraId="0A8A5B6C" w14:textId="77777777" w:rsidR="00900082" w:rsidRPr="009E392C" w:rsidRDefault="00900082" w:rsidP="00AF2884">
            <w:pPr>
              <w:pStyle w:val="TableText"/>
              <w:tabs>
                <w:tab w:val="left" w:pos="3306"/>
              </w:tabs>
              <w:jc w:val="right"/>
              <w:rPr>
                <w:rFonts w:cs="Calibri"/>
                <w:strike/>
                <w:color w:val="FF0000"/>
                <w:highlight w:val="cyan"/>
              </w:rPr>
            </w:pPr>
          </w:p>
        </w:tc>
        <w:tc>
          <w:tcPr>
            <w:tcW w:w="1278" w:type="dxa"/>
            <w:tcBorders>
              <w:top w:val="nil"/>
              <w:left w:val="nil"/>
              <w:bottom w:val="single" w:sz="4" w:space="0" w:color="auto"/>
              <w:right w:val="nil"/>
            </w:tcBorders>
          </w:tcPr>
          <w:p w14:paraId="78E1F887" w14:textId="77777777" w:rsidR="00900082" w:rsidRPr="009E392C" w:rsidRDefault="00900082" w:rsidP="00AF2884">
            <w:pPr>
              <w:pStyle w:val="TableText"/>
              <w:tabs>
                <w:tab w:val="left" w:pos="3306"/>
              </w:tabs>
              <w:jc w:val="right"/>
              <w:rPr>
                <w:rFonts w:cs="Calibri"/>
                <w:strike/>
                <w:color w:val="FF0000"/>
                <w:highlight w:val="cyan"/>
              </w:rPr>
            </w:pPr>
          </w:p>
        </w:tc>
        <w:tc>
          <w:tcPr>
            <w:tcW w:w="1134" w:type="dxa"/>
            <w:tcBorders>
              <w:top w:val="nil"/>
              <w:left w:val="nil"/>
              <w:bottom w:val="single" w:sz="4" w:space="0" w:color="auto"/>
              <w:right w:val="nil"/>
            </w:tcBorders>
            <w:shd w:val="clear" w:color="auto" w:fill="auto"/>
            <w:vAlign w:val="bottom"/>
          </w:tcPr>
          <w:p w14:paraId="10083906" w14:textId="77777777" w:rsidR="00900082" w:rsidRPr="009E392C" w:rsidRDefault="00900082" w:rsidP="00AF2884">
            <w:pPr>
              <w:pStyle w:val="TableText"/>
              <w:tabs>
                <w:tab w:val="left" w:pos="3306"/>
              </w:tabs>
              <w:jc w:val="right"/>
              <w:rPr>
                <w:rFonts w:cs="Calibri"/>
                <w:strike/>
                <w:color w:val="FF0000"/>
                <w:highlight w:val="cyan"/>
              </w:rPr>
            </w:pPr>
          </w:p>
        </w:tc>
        <w:tc>
          <w:tcPr>
            <w:tcW w:w="992" w:type="dxa"/>
            <w:tcBorders>
              <w:top w:val="nil"/>
              <w:left w:val="nil"/>
              <w:bottom w:val="single" w:sz="4" w:space="0" w:color="auto"/>
              <w:right w:val="nil"/>
            </w:tcBorders>
            <w:shd w:val="clear" w:color="auto" w:fill="auto"/>
            <w:vAlign w:val="bottom"/>
          </w:tcPr>
          <w:p w14:paraId="268056E6" w14:textId="77777777" w:rsidR="00900082" w:rsidRPr="009E392C" w:rsidRDefault="00900082" w:rsidP="00AF2884">
            <w:pPr>
              <w:pStyle w:val="TableText"/>
              <w:tabs>
                <w:tab w:val="left" w:pos="3306"/>
              </w:tabs>
              <w:jc w:val="right"/>
              <w:rPr>
                <w:rFonts w:cs="Calibri"/>
                <w:strike/>
                <w:color w:val="FF0000"/>
                <w:highlight w:val="cyan"/>
              </w:rPr>
            </w:pPr>
          </w:p>
        </w:tc>
        <w:tc>
          <w:tcPr>
            <w:tcW w:w="851" w:type="dxa"/>
            <w:tcBorders>
              <w:top w:val="nil"/>
              <w:left w:val="nil"/>
              <w:bottom w:val="single" w:sz="4" w:space="0" w:color="auto"/>
              <w:right w:val="nil"/>
            </w:tcBorders>
            <w:shd w:val="clear" w:color="auto" w:fill="auto"/>
            <w:vAlign w:val="bottom"/>
          </w:tcPr>
          <w:p w14:paraId="2492867B" w14:textId="77777777" w:rsidR="00900082" w:rsidRPr="009E392C" w:rsidRDefault="00900082" w:rsidP="00AF2884">
            <w:pPr>
              <w:pStyle w:val="TableText"/>
              <w:tabs>
                <w:tab w:val="left" w:pos="3306"/>
              </w:tabs>
              <w:jc w:val="right"/>
              <w:rPr>
                <w:rFonts w:cs="Calibri"/>
                <w:strike/>
                <w:color w:val="FF0000"/>
                <w:sz w:val="14"/>
                <w:highlight w:val="cyan"/>
              </w:rPr>
            </w:pPr>
          </w:p>
        </w:tc>
        <w:tc>
          <w:tcPr>
            <w:tcW w:w="850" w:type="dxa"/>
            <w:tcBorders>
              <w:top w:val="nil"/>
              <w:left w:val="nil"/>
              <w:bottom w:val="single" w:sz="4" w:space="0" w:color="auto"/>
              <w:right w:val="nil"/>
            </w:tcBorders>
            <w:shd w:val="clear" w:color="auto" w:fill="auto"/>
            <w:vAlign w:val="bottom"/>
          </w:tcPr>
          <w:p w14:paraId="243DD6C1" w14:textId="77777777" w:rsidR="00900082" w:rsidRPr="009E392C" w:rsidRDefault="00900082" w:rsidP="00AF2884">
            <w:pPr>
              <w:pStyle w:val="TableText"/>
              <w:tabs>
                <w:tab w:val="left" w:pos="3306"/>
              </w:tabs>
              <w:jc w:val="right"/>
              <w:rPr>
                <w:rFonts w:cs="Calibri"/>
                <w:strike/>
                <w:color w:val="FF0000"/>
              </w:rPr>
            </w:pPr>
          </w:p>
        </w:tc>
      </w:tr>
      <w:tr w:rsidR="009E392C" w:rsidRPr="009E392C" w14:paraId="69E12B23" w14:textId="77777777" w:rsidTr="004D1EC6">
        <w:trPr>
          <w:cantSplit/>
          <w:trHeight w:val="20"/>
        </w:trPr>
        <w:tc>
          <w:tcPr>
            <w:tcW w:w="1476" w:type="dxa"/>
            <w:tcBorders>
              <w:top w:val="nil"/>
              <w:left w:val="single" w:sz="2" w:space="0" w:color="auto"/>
              <w:bottom w:val="nil"/>
              <w:right w:val="single" w:sz="2" w:space="0" w:color="auto"/>
            </w:tcBorders>
          </w:tcPr>
          <w:p w14:paraId="5EE53EEA" w14:textId="77777777" w:rsidR="00AF2884" w:rsidRPr="009E392C" w:rsidRDefault="00AF2884" w:rsidP="00AF2884">
            <w:pPr>
              <w:pStyle w:val="TableReference"/>
              <w:tabs>
                <w:tab w:val="left" w:pos="3306"/>
              </w:tabs>
              <w:spacing w:before="40"/>
              <w:rPr>
                <w:rFonts w:cs="Calibri"/>
                <w:strike/>
                <w:color w:val="FF0000"/>
                <w:sz w:val="14"/>
                <w:highlight w:val="cyan"/>
              </w:rPr>
            </w:pPr>
          </w:p>
        </w:tc>
        <w:tc>
          <w:tcPr>
            <w:tcW w:w="2410" w:type="dxa"/>
            <w:tcBorders>
              <w:top w:val="nil"/>
              <w:left w:val="single" w:sz="2" w:space="0" w:color="auto"/>
              <w:bottom w:val="nil"/>
              <w:right w:val="nil"/>
            </w:tcBorders>
          </w:tcPr>
          <w:p w14:paraId="1BAB8B39" w14:textId="4B536BF4" w:rsidR="00AF2884" w:rsidRPr="009E392C" w:rsidRDefault="00AF2884" w:rsidP="00AF2884">
            <w:pPr>
              <w:tabs>
                <w:tab w:val="left" w:pos="3306"/>
              </w:tabs>
              <w:spacing w:before="60" w:after="60"/>
              <w:rPr>
                <w:rFonts w:cs="Calibri"/>
                <w:b/>
                <w:iCs/>
                <w:strike/>
                <w:color w:val="FF0000"/>
                <w:sz w:val="18"/>
              </w:rPr>
            </w:pPr>
            <w:r w:rsidRPr="009E392C">
              <w:rPr>
                <w:rFonts w:cs="Calibri"/>
                <w:b/>
                <w:iCs/>
                <w:strike/>
                <w:color w:val="FF0000"/>
                <w:sz w:val="18"/>
              </w:rPr>
              <w:t xml:space="preserve">Restated Balance at 1 July </w:t>
            </w:r>
            <w:r w:rsidR="00900082" w:rsidRPr="009E392C">
              <w:rPr>
                <w:rFonts w:cs="Calibri"/>
                <w:b/>
                <w:bCs/>
                <w:strike/>
                <w:color w:val="FF0000"/>
                <w:sz w:val="18"/>
                <w:szCs w:val="18"/>
              </w:rPr>
              <w:t>2021</w:t>
            </w:r>
          </w:p>
        </w:tc>
        <w:tc>
          <w:tcPr>
            <w:tcW w:w="708" w:type="dxa"/>
            <w:tcBorders>
              <w:top w:val="nil"/>
              <w:left w:val="nil"/>
              <w:bottom w:val="nil"/>
              <w:right w:val="nil"/>
            </w:tcBorders>
            <w:vAlign w:val="bottom"/>
          </w:tcPr>
          <w:p w14:paraId="1F08D8FC" w14:textId="77777777" w:rsidR="00AF2884" w:rsidRPr="009E392C" w:rsidRDefault="00AF2884" w:rsidP="00DA64E7">
            <w:pPr>
              <w:pStyle w:val="TableText"/>
              <w:tabs>
                <w:tab w:val="left" w:pos="3306"/>
              </w:tabs>
              <w:jc w:val="center"/>
              <w:rPr>
                <w:rFonts w:cs="Calibri"/>
                <w:strike/>
                <w:color w:val="FF0000"/>
                <w:highlight w:val="cyan"/>
              </w:rPr>
            </w:pPr>
          </w:p>
        </w:tc>
        <w:tc>
          <w:tcPr>
            <w:tcW w:w="709" w:type="dxa"/>
            <w:tcBorders>
              <w:top w:val="single" w:sz="4" w:space="0" w:color="auto"/>
              <w:left w:val="nil"/>
              <w:bottom w:val="nil"/>
              <w:right w:val="nil"/>
            </w:tcBorders>
            <w:shd w:val="clear" w:color="auto" w:fill="auto"/>
            <w:vAlign w:val="bottom"/>
          </w:tcPr>
          <w:p w14:paraId="3178F5C4" w14:textId="77777777" w:rsidR="00AF2884" w:rsidRPr="009E392C" w:rsidRDefault="00AF2884" w:rsidP="00AF2884">
            <w:pPr>
              <w:pStyle w:val="TableText"/>
              <w:tabs>
                <w:tab w:val="left" w:pos="3306"/>
              </w:tabs>
              <w:jc w:val="right"/>
              <w:rPr>
                <w:rFonts w:cs="Calibri"/>
                <w:strike/>
                <w:color w:val="FF0000"/>
                <w:highlight w:val="cyan"/>
              </w:rPr>
            </w:pPr>
          </w:p>
        </w:tc>
        <w:tc>
          <w:tcPr>
            <w:tcW w:w="1278" w:type="dxa"/>
            <w:tcBorders>
              <w:top w:val="single" w:sz="4" w:space="0" w:color="auto"/>
              <w:left w:val="nil"/>
              <w:bottom w:val="nil"/>
              <w:right w:val="nil"/>
            </w:tcBorders>
          </w:tcPr>
          <w:p w14:paraId="633A613C" w14:textId="77777777" w:rsidR="00AF2884" w:rsidRPr="009E392C" w:rsidRDefault="00AF2884" w:rsidP="00AF2884">
            <w:pPr>
              <w:pStyle w:val="TableText"/>
              <w:tabs>
                <w:tab w:val="left" w:pos="3306"/>
              </w:tabs>
              <w:jc w:val="right"/>
              <w:rPr>
                <w:rFonts w:cs="Calibri"/>
                <w:strike/>
                <w:color w:val="FF0000"/>
                <w:highlight w:val="cyan"/>
              </w:rPr>
            </w:pPr>
          </w:p>
        </w:tc>
        <w:tc>
          <w:tcPr>
            <w:tcW w:w="1134" w:type="dxa"/>
            <w:tcBorders>
              <w:top w:val="single" w:sz="4" w:space="0" w:color="auto"/>
              <w:left w:val="nil"/>
              <w:bottom w:val="nil"/>
              <w:right w:val="nil"/>
            </w:tcBorders>
            <w:shd w:val="clear" w:color="auto" w:fill="auto"/>
            <w:vAlign w:val="bottom"/>
          </w:tcPr>
          <w:p w14:paraId="08793F37" w14:textId="5137C2D6" w:rsidR="00AF2884" w:rsidRPr="009E392C" w:rsidRDefault="00AF2884" w:rsidP="00AF2884">
            <w:pPr>
              <w:pStyle w:val="TableText"/>
              <w:tabs>
                <w:tab w:val="left" w:pos="3306"/>
              </w:tabs>
              <w:jc w:val="right"/>
              <w:rPr>
                <w:rFonts w:cs="Calibri"/>
                <w:strike/>
                <w:color w:val="FF0000"/>
                <w:highlight w:val="cyan"/>
              </w:rPr>
            </w:pPr>
          </w:p>
        </w:tc>
        <w:tc>
          <w:tcPr>
            <w:tcW w:w="992" w:type="dxa"/>
            <w:tcBorders>
              <w:top w:val="single" w:sz="4" w:space="0" w:color="auto"/>
              <w:left w:val="nil"/>
              <w:bottom w:val="nil"/>
              <w:right w:val="nil"/>
            </w:tcBorders>
            <w:shd w:val="clear" w:color="auto" w:fill="auto"/>
            <w:vAlign w:val="bottom"/>
          </w:tcPr>
          <w:p w14:paraId="2E7AE0BF" w14:textId="77777777" w:rsidR="00AF2884" w:rsidRPr="009E392C" w:rsidRDefault="00AF2884" w:rsidP="00AF2884">
            <w:pPr>
              <w:pStyle w:val="TableText"/>
              <w:tabs>
                <w:tab w:val="left" w:pos="3306"/>
              </w:tabs>
              <w:jc w:val="right"/>
              <w:rPr>
                <w:rFonts w:cs="Calibri"/>
                <w:strike/>
                <w:color w:val="FF0000"/>
                <w:highlight w:val="cyan"/>
              </w:rPr>
            </w:pPr>
          </w:p>
        </w:tc>
        <w:tc>
          <w:tcPr>
            <w:tcW w:w="851" w:type="dxa"/>
            <w:tcBorders>
              <w:top w:val="single" w:sz="4" w:space="0" w:color="auto"/>
              <w:left w:val="nil"/>
              <w:bottom w:val="nil"/>
              <w:right w:val="nil"/>
            </w:tcBorders>
            <w:shd w:val="clear" w:color="auto" w:fill="auto"/>
            <w:vAlign w:val="bottom"/>
          </w:tcPr>
          <w:p w14:paraId="3B0CC8F8" w14:textId="77777777" w:rsidR="00AF2884" w:rsidRPr="009E392C" w:rsidRDefault="00AF2884" w:rsidP="00AF2884">
            <w:pPr>
              <w:pStyle w:val="TableText"/>
              <w:tabs>
                <w:tab w:val="left" w:pos="3306"/>
              </w:tabs>
              <w:ind w:right="-721"/>
              <w:jc w:val="center"/>
              <w:rPr>
                <w:rFonts w:cs="Calibri"/>
                <w:strike/>
                <w:color w:val="FF0000"/>
                <w:highlight w:val="cyan"/>
              </w:rPr>
            </w:pPr>
          </w:p>
        </w:tc>
        <w:tc>
          <w:tcPr>
            <w:tcW w:w="850" w:type="dxa"/>
            <w:tcBorders>
              <w:top w:val="single" w:sz="4" w:space="0" w:color="auto"/>
              <w:left w:val="nil"/>
              <w:bottom w:val="nil"/>
              <w:right w:val="nil"/>
            </w:tcBorders>
            <w:shd w:val="clear" w:color="auto" w:fill="auto"/>
            <w:vAlign w:val="bottom"/>
          </w:tcPr>
          <w:p w14:paraId="748693CE" w14:textId="77777777" w:rsidR="00AF2884" w:rsidRPr="009E392C" w:rsidRDefault="00AF2884" w:rsidP="00AF2884">
            <w:pPr>
              <w:pStyle w:val="TableText"/>
              <w:tabs>
                <w:tab w:val="left" w:pos="3306"/>
              </w:tabs>
              <w:jc w:val="right"/>
              <w:rPr>
                <w:rFonts w:cs="Calibri"/>
                <w:strike/>
                <w:color w:val="FF0000"/>
              </w:rPr>
            </w:pPr>
          </w:p>
        </w:tc>
      </w:tr>
      <w:tr w:rsidR="00AF2884" w:rsidRPr="00CF7E1B" w14:paraId="20D0E7EF" w14:textId="77777777" w:rsidTr="004D1EC6">
        <w:trPr>
          <w:cantSplit/>
          <w:trHeight w:val="383"/>
        </w:trPr>
        <w:tc>
          <w:tcPr>
            <w:tcW w:w="1476" w:type="dxa"/>
            <w:tcBorders>
              <w:top w:val="nil"/>
              <w:left w:val="single" w:sz="2" w:space="0" w:color="auto"/>
              <w:bottom w:val="nil"/>
              <w:right w:val="single" w:sz="2" w:space="0" w:color="auto"/>
            </w:tcBorders>
          </w:tcPr>
          <w:p w14:paraId="7E40CDBB"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17216DFB" w14:textId="77777777" w:rsidR="00AF2884" w:rsidRPr="008E2886" w:rsidRDefault="00AF2884" w:rsidP="00AF2884">
            <w:pPr>
              <w:tabs>
                <w:tab w:val="left" w:pos="3306"/>
              </w:tabs>
              <w:spacing w:before="60" w:after="60"/>
              <w:rPr>
                <w:rFonts w:cs="Calibri"/>
                <w:b/>
                <w:sz w:val="18"/>
              </w:rPr>
            </w:pPr>
            <w:r w:rsidRPr="008E2886">
              <w:rPr>
                <w:rFonts w:cs="Calibri"/>
                <w:b/>
                <w:sz w:val="18"/>
              </w:rPr>
              <w:t>Comprehensive Income</w:t>
            </w:r>
          </w:p>
        </w:tc>
        <w:tc>
          <w:tcPr>
            <w:tcW w:w="708" w:type="dxa"/>
            <w:tcBorders>
              <w:top w:val="nil"/>
              <w:left w:val="nil"/>
              <w:bottom w:val="nil"/>
              <w:right w:val="nil"/>
            </w:tcBorders>
            <w:vAlign w:val="bottom"/>
          </w:tcPr>
          <w:p w14:paraId="7884F126"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1F243D2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12E45235"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C4A24C8" w14:textId="51B11E4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371E7EB"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53DB055A"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4692584" w14:textId="77777777" w:rsidR="00AF2884" w:rsidRPr="008E2886" w:rsidRDefault="00AF2884" w:rsidP="00AF2884">
            <w:pPr>
              <w:pStyle w:val="TableText"/>
              <w:tabs>
                <w:tab w:val="left" w:pos="3306"/>
              </w:tabs>
              <w:jc w:val="right"/>
              <w:rPr>
                <w:rFonts w:cs="Calibri"/>
              </w:rPr>
            </w:pPr>
          </w:p>
        </w:tc>
      </w:tr>
      <w:tr w:rsidR="00AF2884" w:rsidRPr="00CF7E1B" w14:paraId="40EF4A81" w14:textId="77777777" w:rsidTr="004D1EC6">
        <w:trPr>
          <w:cantSplit/>
          <w:trHeight w:val="383"/>
        </w:trPr>
        <w:tc>
          <w:tcPr>
            <w:tcW w:w="1476" w:type="dxa"/>
            <w:tcBorders>
              <w:top w:val="nil"/>
              <w:left w:val="single" w:sz="2" w:space="0" w:color="auto"/>
              <w:bottom w:val="nil"/>
              <w:right w:val="single" w:sz="2" w:space="0" w:color="auto"/>
            </w:tcBorders>
          </w:tcPr>
          <w:p w14:paraId="095E9165"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w:t>
            </w:r>
          </w:p>
        </w:tc>
        <w:tc>
          <w:tcPr>
            <w:tcW w:w="2410" w:type="dxa"/>
            <w:tcBorders>
              <w:top w:val="nil"/>
              <w:left w:val="single" w:sz="2" w:space="0" w:color="auto"/>
              <w:bottom w:val="nil"/>
              <w:right w:val="nil"/>
            </w:tcBorders>
          </w:tcPr>
          <w:p w14:paraId="0BFC93CE" w14:textId="2C4CE750" w:rsidR="00AF2884" w:rsidRPr="008E2886" w:rsidRDefault="00AF2884" w:rsidP="00AF2884">
            <w:pPr>
              <w:tabs>
                <w:tab w:val="left" w:pos="3306"/>
              </w:tabs>
              <w:spacing w:before="60" w:after="60"/>
              <w:rPr>
                <w:rFonts w:cs="Calibri"/>
                <w:sz w:val="18"/>
              </w:rPr>
            </w:pPr>
            <w:r w:rsidRPr="008E2886">
              <w:rPr>
                <w:rFonts w:cs="Calibri"/>
                <w:sz w:val="18"/>
              </w:rPr>
              <w:t xml:space="preserve">Operating </w:t>
            </w:r>
            <w:r w:rsidR="00AB0C90" w:rsidRPr="008E2886">
              <w:rPr>
                <w:rFonts w:cs="Calibri"/>
                <w:sz w:val="18"/>
              </w:rPr>
              <w:t xml:space="preserve">Result </w:t>
            </w:r>
          </w:p>
        </w:tc>
        <w:tc>
          <w:tcPr>
            <w:tcW w:w="708" w:type="dxa"/>
            <w:tcBorders>
              <w:top w:val="nil"/>
              <w:left w:val="nil"/>
              <w:bottom w:val="nil"/>
              <w:right w:val="nil"/>
            </w:tcBorders>
            <w:vAlign w:val="bottom"/>
          </w:tcPr>
          <w:p w14:paraId="73BEFD94"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01131C5E" w14:textId="77777777" w:rsidR="00AF2884" w:rsidRPr="008E2886" w:rsidRDefault="00AF2884" w:rsidP="00AF2884">
            <w:pPr>
              <w:pStyle w:val="TableText"/>
              <w:tabs>
                <w:tab w:val="left" w:pos="3306"/>
              </w:tabs>
              <w:jc w:val="right"/>
              <w:rPr>
                <w:rFonts w:cs="Calibri"/>
                <w:strike/>
              </w:rPr>
            </w:pPr>
          </w:p>
        </w:tc>
        <w:tc>
          <w:tcPr>
            <w:tcW w:w="1278" w:type="dxa"/>
            <w:tcBorders>
              <w:top w:val="nil"/>
              <w:left w:val="nil"/>
              <w:bottom w:val="nil"/>
              <w:right w:val="nil"/>
            </w:tcBorders>
          </w:tcPr>
          <w:p w14:paraId="168F64F2"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533F087" w14:textId="5C3273C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49F5598"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2FA37266" w14:textId="77777777" w:rsidR="00AF2884" w:rsidRPr="008E2886" w:rsidRDefault="00AF2884" w:rsidP="00AF2884">
            <w:pPr>
              <w:pStyle w:val="TableText"/>
              <w:tabs>
                <w:tab w:val="left" w:pos="3306"/>
              </w:tabs>
              <w:jc w:val="right"/>
              <w:rPr>
                <w:rFonts w:cs="Calibri"/>
                <w:strike/>
              </w:rPr>
            </w:pPr>
          </w:p>
        </w:tc>
        <w:tc>
          <w:tcPr>
            <w:tcW w:w="850" w:type="dxa"/>
            <w:tcBorders>
              <w:top w:val="nil"/>
              <w:left w:val="nil"/>
              <w:bottom w:val="nil"/>
              <w:right w:val="nil"/>
            </w:tcBorders>
            <w:shd w:val="clear" w:color="auto" w:fill="auto"/>
            <w:vAlign w:val="bottom"/>
          </w:tcPr>
          <w:p w14:paraId="2C688627" w14:textId="77777777" w:rsidR="00AF2884" w:rsidRPr="008E2886" w:rsidRDefault="00AF2884" w:rsidP="00AF2884">
            <w:pPr>
              <w:pStyle w:val="TableText"/>
              <w:tabs>
                <w:tab w:val="left" w:pos="3306"/>
              </w:tabs>
              <w:jc w:val="right"/>
              <w:rPr>
                <w:rFonts w:cs="Calibri"/>
              </w:rPr>
            </w:pPr>
          </w:p>
        </w:tc>
      </w:tr>
      <w:tr w:rsidR="00AF2884" w:rsidRPr="00CF7E1B" w14:paraId="64300914" w14:textId="77777777" w:rsidTr="004D1EC6">
        <w:trPr>
          <w:cantSplit/>
          <w:trHeight w:val="383"/>
        </w:trPr>
        <w:tc>
          <w:tcPr>
            <w:tcW w:w="1476" w:type="dxa"/>
            <w:tcBorders>
              <w:top w:val="nil"/>
              <w:left w:val="single" w:sz="2" w:space="0" w:color="auto"/>
              <w:bottom w:val="nil"/>
              <w:right w:val="single" w:sz="2" w:space="0" w:color="auto"/>
            </w:tcBorders>
          </w:tcPr>
          <w:p w14:paraId="370A0384"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w:t>
            </w:r>
          </w:p>
        </w:tc>
        <w:tc>
          <w:tcPr>
            <w:tcW w:w="2410" w:type="dxa"/>
            <w:tcBorders>
              <w:top w:val="nil"/>
              <w:left w:val="single" w:sz="2" w:space="0" w:color="auto"/>
              <w:bottom w:val="nil"/>
              <w:right w:val="nil"/>
            </w:tcBorders>
          </w:tcPr>
          <w:p w14:paraId="1635B1D4" w14:textId="77777777" w:rsidR="00AF2884" w:rsidRPr="008E2886" w:rsidRDefault="00AF2884" w:rsidP="00AF2884">
            <w:pPr>
              <w:tabs>
                <w:tab w:val="left" w:pos="3306"/>
              </w:tabs>
              <w:spacing w:before="60" w:after="60"/>
              <w:rPr>
                <w:rFonts w:cs="Calibri"/>
                <w:sz w:val="18"/>
              </w:rPr>
            </w:pPr>
            <w:r w:rsidRPr="008E2886">
              <w:rPr>
                <w:rFonts w:cs="Calibri"/>
                <w:sz w:val="18"/>
              </w:rPr>
              <w:t>Increase/(Decrease) in the Asset Revaluation Surplus</w:t>
            </w:r>
          </w:p>
        </w:tc>
        <w:tc>
          <w:tcPr>
            <w:tcW w:w="708" w:type="dxa"/>
            <w:tcBorders>
              <w:top w:val="nil"/>
              <w:left w:val="nil"/>
              <w:bottom w:val="nil"/>
              <w:right w:val="nil"/>
            </w:tcBorders>
          </w:tcPr>
          <w:p w14:paraId="24F3C172" w14:textId="7C2CE3BC" w:rsidR="00AF2884" w:rsidRPr="008E2886" w:rsidRDefault="00AF2884" w:rsidP="00491C20">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36510B6E"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EC57AD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E304CB5" w14:textId="1620436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DFB9C1C"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8A0CEA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0C2435C9" w14:textId="77777777" w:rsidR="00AF2884" w:rsidRPr="008E2886" w:rsidRDefault="00AF2884" w:rsidP="00AF2884">
            <w:pPr>
              <w:pStyle w:val="TableText"/>
              <w:tabs>
                <w:tab w:val="left" w:pos="3306"/>
              </w:tabs>
              <w:jc w:val="right"/>
              <w:rPr>
                <w:rFonts w:cs="Calibri"/>
              </w:rPr>
            </w:pPr>
          </w:p>
        </w:tc>
      </w:tr>
      <w:tr w:rsidR="00AF2884" w:rsidRPr="00CF7E1B" w14:paraId="69883B9A" w14:textId="77777777" w:rsidTr="004D1EC6">
        <w:trPr>
          <w:cantSplit/>
          <w:trHeight w:val="383"/>
        </w:trPr>
        <w:tc>
          <w:tcPr>
            <w:tcW w:w="1476" w:type="dxa"/>
            <w:tcBorders>
              <w:top w:val="nil"/>
              <w:left w:val="single" w:sz="2" w:space="0" w:color="auto"/>
              <w:bottom w:val="nil"/>
              <w:right w:val="single" w:sz="2" w:space="0" w:color="auto"/>
            </w:tcBorders>
          </w:tcPr>
          <w:p w14:paraId="21D932C9"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247E1FCA" w14:textId="067E0BDB" w:rsidR="00AF2884" w:rsidRPr="008E2886" w:rsidRDefault="00AF2884" w:rsidP="00AF2884">
            <w:pPr>
              <w:tabs>
                <w:tab w:val="left" w:pos="3306"/>
              </w:tabs>
              <w:spacing w:before="60" w:after="60"/>
              <w:rPr>
                <w:rFonts w:cs="Calibri"/>
                <w:sz w:val="18"/>
              </w:rPr>
            </w:pPr>
            <w:r w:rsidRPr="008E2886">
              <w:rPr>
                <w:rFonts w:cs="Calibri"/>
                <w:sz w:val="18"/>
              </w:rPr>
              <w:t xml:space="preserve">Other Comprehensive </w:t>
            </w:r>
            <w:r w:rsidR="009E392C" w:rsidRPr="009E392C">
              <w:rPr>
                <w:rFonts w:cs="Calibri"/>
                <w:color w:val="FF0000"/>
                <w:sz w:val="18"/>
              </w:rPr>
              <w:t xml:space="preserve">Result </w:t>
            </w:r>
            <w:r w:rsidRPr="009E392C">
              <w:rPr>
                <w:rFonts w:cs="Calibri"/>
                <w:strike/>
                <w:color w:val="FF0000"/>
                <w:sz w:val="18"/>
              </w:rPr>
              <w:t>Income</w:t>
            </w:r>
          </w:p>
        </w:tc>
        <w:tc>
          <w:tcPr>
            <w:tcW w:w="708" w:type="dxa"/>
            <w:tcBorders>
              <w:top w:val="nil"/>
              <w:left w:val="nil"/>
              <w:bottom w:val="nil"/>
              <w:right w:val="nil"/>
            </w:tcBorders>
            <w:vAlign w:val="bottom"/>
          </w:tcPr>
          <w:p w14:paraId="159648E6" w14:textId="77777777" w:rsidR="00AF2884" w:rsidRPr="008E2886" w:rsidRDefault="00AF2884" w:rsidP="00DA64E7">
            <w:pPr>
              <w:pStyle w:val="TableText"/>
              <w:tabs>
                <w:tab w:val="left" w:pos="3306"/>
              </w:tabs>
              <w:jc w:val="center"/>
              <w:rPr>
                <w:rFonts w:cs="Calibri"/>
                <w:strike/>
              </w:rPr>
            </w:pPr>
          </w:p>
        </w:tc>
        <w:tc>
          <w:tcPr>
            <w:tcW w:w="709" w:type="dxa"/>
            <w:tcBorders>
              <w:top w:val="nil"/>
              <w:left w:val="nil"/>
              <w:bottom w:val="single" w:sz="4" w:space="0" w:color="auto"/>
              <w:right w:val="nil"/>
            </w:tcBorders>
            <w:shd w:val="clear" w:color="auto" w:fill="auto"/>
            <w:vAlign w:val="bottom"/>
          </w:tcPr>
          <w:p w14:paraId="41776217"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single" w:sz="4" w:space="0" w:color="auto"/>
              <w:right w:val="nil"/>
            </w:tcBorders>
          </w:tcPr>
          <w:p w14:paraId="723B4F01"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1BFAF196" w14:textId="29065017" w:rsidR="00AF2884" w:rsidRPr="008E2886" w:rsidRDefault="00AF2884" w:rsidP="00AF2884">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0512CA2F"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single" w:sz="4" w:space="0" w:color="auto"/>
              <w:right w:val="nil"/>
            </w:tcBorders>
            <w:shd w:val="clear" w:color="auto" w:fill="auto"/>
            <w:vAlign w:val="bottom"/>
          </w:tcPr>
          <w:p w14:paraId="3CE31383"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6E706965" w14:textId="77777777" w:rsidR="00AF2884" w:rsidRPr="008E2886" w:rsidRDefault="00AF2884" w:rsidP="00AF2884">
            <w:pPr>
              <w:pStyle w:val="TableText"/>
              <w:tabs>
                <w:tab w:val="left" w:pos="3306"/>
              </w:tabs>
              <w:jc w:val="right"/>
              <w:rPr>
                <w:rFonts w:cs="Calibri"/>
              </w:rPr>
            </w:pPr>
          </w:p>
        </w:tc>
      </w:tr>
      <w:tr w:rsidR="00AF2884" w:rsidRPr="00CF7E1B" w14:paraId="3F812F32" w14:textId="77777777" w:rsidTr="004D1EC6">
        <w:trPr>
          <w:cantSplit/>
          <w:trHeight w:val="383"/>
        </w:trPr>
        <w:tc>
          <w:tcPr>
            <w:tcW w:w="1476" w:type="dxa"/>
            <w:tcBorders>
              <w:top w:val="nil"/>
              <w:left w:val="single" w:sz="2" w:space="0" w:color="auto"/>
              <w:bottom w:val="nil"/>
              <w:right w:val="single" w:sz="2" w:space="0" w:color="auto"/>
            </w:tcBorders>
          </w:tcPr>
          <w:p w14:paraId="2A638326" w14:textId="77777777" w:rsidR="00AF2884" w:rsidRPr="008E2886" w:rsidRDefault="00AF2884" w:rsidP="00491C20">
            <w:pPr>
              <w:pStyle w:val="TableReference"/>
              <w:tabs>
                <w:tab w:val="left" w:pos="3306"/>
              </w:tabs>
              <w:spacing w:before="60"/>
              <w:rPr>
                <w:rFonts w:cs="Calibri"/>
                <w:color w:val="7030A0"/>
                <w:sz w:val="14"/>
              </w:rPr>
            </w:pPr>
            <w:r w:rsidRPr="008E2886">
              <w:rPr>
                <w:rFonts w:cs="Calibri"/>
                <w:color w:val="7030A0"/>
                <w:sz w:val="14"/>
              </w:rPr>
              <w:t>AASB 101.106(a)</w:t>
            </w:r>
          </w:p>
        </w:tc>
        <w:tc>
          <w:tcPr>
            <w:tcW w:w="2410" w:type="dxa"/>
            <w:tcBorders>
              <w:top w:val="nil"/>
              <w:left w:val="single" w:sz="2" w:space="0" w:color="auto"/>
              <w:bottom w:val="nil"/>
              <w:right w:val="nil"/>
            </w:tcBorders>
            <w:vAlign w:val="bottom"/>
          </w:tcPr>
          <w:p w14:paraId="46AB1A7A" w14:textId="27F63ED5" w:rsidR="00AF2884" w:rsidRPr="008E2886" w:rsidRDefault="00AF2884" w:rsidP="00491C20">
            <w:pPr>
              <w:tabs>
                <w:tab w:val="left" w:pos="3306"/>
              </w:tabs>
              <w:spacing w:before="60" w:after="60"/>
              <w:rPr>
                <w:rFonts w:cs="Calibri"/>
                <w:b/>
                <w:strike/>
                <w:sz w:val="18"/>
              </w:rPr>
            </w:pPr>
            <w:r w:rsidRPr="008E2886">
              <w:rPr>
                <w:rFonts w:cs="Calibri"/>
                <w:b/>
                <w:sz w:val="18"/>
              </w:rPr>
              <w:t xml:space="preserve">Total Comprehensive </w:t>
            </w:r>
            <w:r w:rsidR="00AB0C90" w:rsidRPr="008E2886">
              <w:rPr>
                <w:rFonts w:cs="Calibri"/>
                <w:b/>
                <w:sz w:val="18"/>
              </w:rPr>
              <w:t xml:space="preserve">Result </w:t>
            </w:r>
          </w:p>
        </w:tc>
        <w:tc>
          <w:tcPr>
            <w:tcW w:w="708" w:type="dxa"/>
            <w:tcBorders>
              <w:top w:val="nil"/>
              <w:left w:val="nil"/>
              <w:bottom w:val="nil"/>
              <w:right w:val="nil"/>
            </w:tcBorders>
            <w:vAlign w:val="bottom"/>
          </w:tcPr>
          <w:p w14:paraId="2D2393B6" w14:textId="77777777" w:rsidR="00AF2884" w:rsidRPr="008E2886" w:rsidRDefault="00AF2884" w:rsidP="00491C20">
            <w:pPr>
              <w:pStyle w:val="TableText"/>
              <w:tabs>
                <w:tab w:val="left" w:pos="3306"/>
              </w:tabs>
              <w:rPr>
                <w:rFonts w:cs="Calibri"/>
                <w:b/>
                <w:strike/>
              </w:rPr>
            </w:pPr>
          </w:p>
        </w:tc>
        <w:tc>
          <w:tcPr>
            <w:tcW w:w="709" w:type="dxa"/>
            <w:tcBorders>
              <w:top w:val="single" w:sz="4" w:space="0" w:color="auto"/>
              <w:left w:val="nil"/>
              <w:bottom w:val="single" w:sz="4" w:space="0" w:color="auto"/>
              <w:right w:val="nil"/>
            </w:tcBorders>
            <w:shd w:val="clear" w:color="auto" w:fill="auto"/>
            <w:vAlign w:val="bottom"/>
          </w:tcPr>
          <w:p w14:paraId="48E67B58" w14:textId="77777777" w:rsidR="00AF2884" w:rsidRPr="008E2886" w:rsidRDefault="00AF2884" w:rsidP="00491C20">
            <w:pPr>
              <w:pStyle w:val="TableText"/>
              <w:tabs>
                <w:tab w:val="left" w:pos="3306"/>
              </w:tabs>
              <w:rPr>
                <w:rFonts w:cs="Calibri"/>
                <w:b/>
                <w:strike/>
              </w:rPr>
            </w:pPr>
          </w:p>
        </w:tc>
        <w:tc>
          <w:tcPr>
            <w:tcW w:w="1278" w:type="dxa"/>
            <w:tcBorders>
              <w:top w:val="single" w:sz="4" w:space="0" w:color="auto"/>
              <w:left w:val="nil"/>
              <w:bottom w:val="single" w:sz="4" w:space="0" w:color="auto"/>
              <w:right w:val="nil"/>
            </w:tcBorders>
            <w:vAlign w:val="bottom"/>
          </w:tcPr>
          <w:p w14:paraId="4C660D86" w14:textId="77777777" w:rsidR="00AF2884" w:rsidRPr="008E2886" w:rsidRDefault="00AF2884" w:rsidP="00491C20">
            <w:pPr>
              <w:pStyle w:val="TableText"/>
              <w:tabs>
                <w:tab w:val="left" w:pos="3306"/>
              </w:tabs>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4D16AAB9" w14:textId="6852D298" w:rsidR="00AF2884" w:rsidRPr="008E2886" w:rsidRDefault="00AF2884" w:rsidP="00491C20">
            <w:pPr>
              <w:pStyle w:val="TableText"/>
              <w:tabs>
                <w:tab w:val="left" w:pos="3306"/>
              </w:tabs>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79A0472E" w14:textId="77777777" w:rsidR="00AF2884" w:rsidRPr="008E2886" w:rsidRDefault="00AF2884" w:rsidP="00491C20">
            <w:pPr>
              <w:pStyle w:val="TableText"/>
              <w:tabs>
                <w:tab w:val="left" w:pos="3306"/>
              </w:tabs>
              <w:rPr>
                <w:rFonts w:cs="Calibri"/>
                <w:b/>
              </w:rPr>
            </w:pPr>
          </w:p>
        </w:tc>
        <w:tc>
          <w:tcPr>
            <w:tcW w:w="851" w:type="dxa"/>
            <w:tcBorders>
              <w:top w:val="single" w:sz="4" w:space="0" w:color="auto"/>
              <w:left w:val="nil"/>
              <w:bottom w:val="single" w:sz="4" w:space="0" w:color="auto"/>
              <w:right w:val="nil"/>
            </w:tcBorders>
            <w:shd w:val="clear" w:color="auto" w:fill="auto"/>
            <w:vAlign w:val="bottom"/>
          </w:tcPr>
          <w:p w14:paraId="14D7B6F6" w14:textId="77777777" w:rsidR="00AF2884" w:rsidRPr="008E2886" w:rsidRDefault="00AF2884" w:rsidP="00491C20">
            <w:pPr>
              <w:pStyle w:val="TableText"/>
              <w:tabs>
                <w:tab w:val="left" w:pos="3306"/>
              </w:tabs>
              <w:rPr>
                <w:rFonts w:cs="Calibri"/>
                <w:b/>
                <w:strike/>
              </w:rPr>
            </w:pPr>
          </w:p>
        </w:tc>
        <w:tc>
          <w:tcPr>
            <w:tcW w:w="850" w:type="dxa"/>
            <w:tcBorders>
              <w:top w:val="single" w:sz="4" w:space="0" w:color="auto"/>
              <w:left w:val="nil"/>
              <w:bottom w:val="single" w:sz="4" w:space="0" w:color="auto"/>
              <w:right w:val="nil"/>
            </w:tcBorders>
            <w:shd w:val="clear" w:color="auto" w:fill="auto"/>
            <w:vAlign w:val="bottom"/>
          </w:tcPr>
          <w:p w14:paraId="3292A999" w14:textId="77777777" w:rsidR="00AF2884" w:rsidRPr="008E2886" w:rsidRDefault="00AF2884" w:rsidP="00491C20">
            <w:pPr>
              <w:pStyle w:val="TableText"/>
              <w:tabs>
                <w:tab w:val="left" w:pos="3306"/>
              </w:tabs>
              <w:rPr>
                <w:rFonts w:cs="Calibri"/>
                <w:b/>
              </w:rPr>
            </w:pPr>
          </w:p>
        </w:tc>
      </w:tr>
      <w:tr w:rsidR="00AF2884" w:rsidRPr="00CF7E1B" w14:paraId="56F9B300" w14:textId="77777777" w:rsidTr="004D1EC6">
        <w:trPr>
          <w:cantSplit/>
          <w:trHeight w:val="20"/>
        </w:trPr>
        <w:tc>
          <w:tcPr>
            <w:tcW w:w="1476" w:type="dxa"/>
            <w:tcBorders>
              <w:top w:val="nil"/>
              <w:left w:val="single" w:sz="2" w:space="0" w:color="auto"/>
              <w:bottom w:val="nil"/>
              <w:right w:val="single" w:sz="2" w:space="0" w:color="auto"/>
            </w:tcBorders>
          </w:tcPr>
          <w:p w14:paraId="59FC581F" w14:textId="77777777" w:rsidR="00AF2884" w:rsidRPr="008E2886" w:rsidRDefault="00AF2884" w:rsidP="00AF2884">
            <w:pPr>
              <w:pStyle w:val="TableReference"/>
              <w:tabs>
                <w:tab w:val="left" w:pos="3306"/>
              </w:tabs>
              <w:spacing w:before="60"/>
              <w:rPr>
                <w:rFonts w:cs="Calibri"/>
                <w:strike/>
                <w:color w:val="7030A0"/>
                <w:sz w:val="14"/>
              </w:rPr>
            </w:pPr>
          </w:p>
        </w:tc>
        <w:tc>
          <w:tcPr>
            <w:tcW w:w="2410" w:type="dxa"/>
            <w:tcBorders>
              <w:top w:val="nil"/>
              <w:left w:val="single" w:sz="2" w:space="0" w:color="auto"/>
              <w:bottom w:val="nil"/>
              <w:right w:val="nil"/>
            </w:tcBorders>
          </w:tcPr>
          <w:p w14:paraId="40CD77A0" w14:textId="06D49914" w:rsidR="00AF2884" w:rsidRPr="008E2886" w:rsidRDefault="00AF2884" w:rsidP="001D4C66">
            <w:pPr>
              <w:tabs>
                <w:tab w:val="left" w:pos="3306"/>
              </w:tabs>
              <w:spacing w:before="60" w:after="60"/>
              <w:rPr>
                <w:rFonts w:cs="Calibri"/>
                <w:strike/>
                <w:sz w:val="18"/>
              </w:rPr>
            </w:pPr>
            <w:r w:rsidRPr="008E2886">
              <w:rPr>
                <w:rFonts w:cs="Calibri"/>
                <w:sz w:val="18"/>
              </w:rPr>
              <w:t xml:space="preserve">Transfers </w:t>
            </w:r>
            <w:r w:rsidRPr="00C93ED0">
              <w:rPr>
                <w:rFonts w:cs="Calibri"/>
                <w:strike/>
                <w:color w:val="538135" w:themeColor="accent6" w:themeShade="BF"/>
                <w:sz w:val="18"/>
              </w:rPr>
              <w:t>(from)/</w:t>
            </w:r>
            <w:r w:rsidRPr="00C93ED0">
              <w:rPr>
                <w:rFonts w:cs="Calibri"/>
                <w:sz w:val="18"/>
              </w:rPr>
              <w:t>to</w:t>
            </w:r>
            <w:r w:rsidR="00181096" w:rsidRPr="00C93ED0">
              <w:rPr>
                <w:rFonts w:cs="Calibri"/>
                <w:color w:val="538135" w:themeColor="accent6" w:themeShade="BF"/>
                <w:sz w:val="18"/>
              </w:rPr>
              <w:t>/(from)</w:t>
            </w:r>
            <w:r w:rsidRPr="00181096">
              <w:rPr>
                <w:rFonts w:cs="Calibri"/>
                <w:color w:val="538135" w:themeColor="accent6" w:themeShade="BF"/>
                <w:sz w:val="18"/>
              </w:rPr>
              <w:t xml:space="preserve"> </w:t>
            </w:r>
            <w:r w:rsidRPr="008E2886">
              <w:rPr>
                <w:rFonts w:cs="Calibri"/>
                <w:sz w:val="18"/>
              </w:rPr>
              <w:t>reserves</w:t>
            </w:r>
          </w:p>
        </w:tc>
        <w:tc>
          <w:tcPr>
            <w:tcW w:w="708" w:type="dxa"/>
            <w:tcBorders>
              <w:top w:val="nil"/>
              <w:left w:val="nil"/>
              <w:bottom w:val="nil"/>
              <w:right w:val="nil"/>
            </w:tcBorders>
            <w:vAlign w:val="bottom"/>
          </w:tcPr>
          <w:p w14:paraId="25731137" w14:textId="77777777" w:rsidR="00AF2884" w:rsidRPr="008E2886" w:rsidRDefault="00AF2884" w:rsidP="00AF2884">
            <w:pPr>
              <w:pStyle w:val="TableText"/>
              <w:tabs>
                <w:tab w:val="left" w:pos="3306"/>
              </w:tabs>
              <w:jc w:val="center"/>
              <w:rPr>
                <w:rFonts w:cs="Calibri"/>
                <w:strike/>
              </w:rPr>
            </w:pPr>
          </w:p>
        </w:tc>
        <w:tc>
          <w:tcPr>
            <w:tcW w:w="709" w:type="dxa"/>
            <w:tcBorders>
              <w:top w:val="single" w:sz="4" w:space="0" w:color="auto"/>
              <w:left w:val="nil"/>
              <w:bottom w:val="nil"/>
              <w:right w:val="nil"/>
            </w:tcBorders>
            <w:shd w:val="clear" w:color="auto" w:fill="auto"/>
            <w:vAlign w:val="bottom"/>
          </w:tcPr>
          <w:p w14:paraId="4A682786" w14:textId="77777777" w:rsidR="00AF2884" w:rsidRPr="008E2886" w:rsidRDefault="00AF2884" w:rsidP="00AF2884">
            <w:pPr>
              <w:pStyle w:val="TableText"/>
              <w:tabs>
                <w:tab w:val="left" w:pos="3306"/>
              </w:tabs>
              <w:jc w:val="right"/>
              <w:rPr>
                <w:rFonts w:cs="Calibri"/>
              </w:rPr>
            </w:pPr>
          </w:p>
        </w:tc>
        <w:tc>
          <w:tcPr>
            <w:tcW w:w="1278" w:type="dxa"/>
            <w:tcBorders>
              <w:top w:val="single" w:sz="4" w:space="0" w:color="auto"/>
              <w:left w:val="nil"/>
              <w:bottom w:val="nil"/>
              <w:right w:val="nil"/>
            </w:tcBorders>
          </w:tcPr>
          <w:p w14:paraId="621B745B" w14:textId="77777777" w:rsidR="00AF2884" w:rsidRPr="008E2886" w:rsidRDefault="00AF2884" w:rsidP="00AF2884">
            <w:pPr>
              <w:pStyle w:val="TableText"/>
              <w:tabs>
                <w:tab w:val="left" w:pos="3306"/>
              </w:tabs>
              <w:jc w:val="right"/>
              <w:rPr>
                <w:rFonts w:cs="Calibri"/>
              </w:rPr>
            </w:pPr>
          </w:p>
        </w:tc>
        <w:tc>
          <w:tcPr>
            <w:tcW w:w="1134" w:type="dxa"/>
            <w:tcBorders>
              <w:top w:val="single" w:sz="4" w:space="0" w:color="auto"/>
              <w:left w:val="nil"/>
              <w:bottom w:val="nil"/>
              <w:right w:val="nil"/>
            </w:tcBorders>
            <w:shd w:val="clear" w:color="auto" w:fill="auto"/>
            <w:vAlign w:val="bottom"/>
          </w:tcPr>
          <w:p w14:paraId="18C11088" w14:textId="0221B4A3" w:rsidR="00AF2884" w:rsidRPr="008E2886" w:rsidRDefault="00AF2884" w:rsidP="00AF2884">
            <w:pPr>
              <w:pStyle w:val="TableText"/>
              <w:tabs>
                <w:tab w:val="left" w:pos="3306"/>
              </w:tabs>
              <w:jc w:val="right"/>
              <w:rPr>
                <w:rFonts w:cs="Calibri"/>
              </w:rPr>
            </w:pPr>
          </w:p>
        </w:tc>
        <w:tc>
          <w:tcPr>
            <w:tcW w:w="992" w:type="dxa"/>
            <w:tcBorders>
              <w:top w:val="single" w:sz="4" w:space="0" w:color="auto"/>
              <w:left w:val="nil"/>
              <w:bottom w:val="nil"/>
              <w:right w:val="nil"/>
            </w:tcBorders>
            <w:shd w:val="clear" w:color="auto" w:fill="auto"/>
            <w:vAlign w:val="bottom"/>
          </w:tcPr>
          <w:p w14:paraId="41A3E482" w14:textId="77777777" w:rsidR="00AF2884" w:rsidRPr="008E2886" w:rsidRDefault="00AF2884" w:rsidP="00AF2884">
            <w:pPr>
              <w:pStyle w:val="TableText"/>
              <w:tabs>
                <w:tab w:val="left" w:pos="3306"/>
              </w:tabs>
              <w:jc w:val="right"/>
              <w:rPr>
                <w:rFonts w:cs="Calibri"/>
              </w:rPr>
            </w:pPr>
          </w:p>
        </w:tc>
        <w:tc>
          <w:tcPr>
            <w:tcW w:w="851" w:type="dxa"/>
            <w:tcBorders>
              <w:top w:val="single" w:sz="4" w:space="0" w:color="auto"/>
              <w:left w:val="nil"/>
              <w:bottom w:val="nil"/>
              <w:right w:val="nil"/>
            </w:tcBorders>
            <w:shd w:val="clear" w:color="auto" w:fill="auto"/>
            <w:vAlign w:val="bottom"/>
          </w:tcPr>
          <w:p w14:paraId="4782246B" w14:textId="77777777" w:rsidR="00AF2884" w:rsidRPr="008E2886" w:rsidRDefault="00AF2884" w:rsidP="00AF2884">
            <w:pPr>
              <w:pStyle w:val="TableText"/>
              <w:tabs>
                <w:tab w:val="left" w:pos="3306"/>
              </w:tabs>
              <w:jc w:val="right"/>
              <w:rPr>
                <w:rFonts w:cs="Calibri"/>
              </w:rPr>
            </w:pPr>
          </w:p>
        </w:tc>
        <w:tc>
          <w:tcPr>
            <w:tcW w:w="850" w:type="dxa"/>
            <w:tcBorders>
              <w:top w:val="single" w:sz="4" w:space="0" w:color="auto"/>
              <w:left w:val="nil"/>
              <w:bottom w:val="nil"/>
              <w:right w:val="nil"/>
            </w:tcBorders>
            <w:shd w:val="clear" w:color="auto" w:fill="auto"/>
            <w:vAlign w:val="bottom"/>
          </w:tcPr>
          <w:p w14:paraId="66BC0ADD" w14:textId="77777777" w:rsidR="00AF2884" w:rsidRPr="008E2886" w:rsidRDefault="00AF2884" w:rsidP="00AF2884">
            <w:pPr>
              <w:pStyle w:val="TableText"/>
              <w:tabs>
                <w:tab w:val="left" w:pos="3306"/>
              </w:tabs>
              <w:jc w:val="right"/>
              <w:rPr>
                <w:rFonts w:cs="Calibri"/>
              </w:rPr>
            </w:pPr>
          </w:p>
        </w:tc>
      </w:tr>
      <w:tr w:rsidR="00AF2884" w:rsidRPr="00CF7E1B" w14:paraId="14F2CD59" w14:textId="77777777" w:rsidTr="004D1EC6">
        <w:trPr>
          <w:cantSplit/>
          <w:trHeight w:val="20"/>
        </w:trPr>
        <w:tc>
          <w:tcPr>
            <w:tcW w:w="1476" w:type="dxa"/>
            <w:tcBorders>
              <w:top w:val="nil"/>
              <w:left w:val="single" w:sz="2" w:space="0" w:color="auto"/>
              <w:bottom w:val="nil"/>
              <w:right w:val="single" w:sz="2" w:space="0" w:color="auto"/>
            </w:tcBorders>
            <w:vAlign w:val="bottom"/>
          </w:tcPr>
          <w:p w14:paraId="40754EF1" w14:textId="77777777" w:rsidR="00AF2884" w:rsidRPr="008E2886" w:rsidRDefault="00AF2884" w:rsidP="00491C20">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6F624C7D" w14:textId="77777777" w:rsidR="00AF2884" w:rsidRPr="008E2886" w:rsidRDefault="00AF2884" w:rsidP="00491C20">
            <w:pPr>
              <w:tabs>
                <w:tab w:val="left" w:pos="3306"/>
              </w:tabs>
              <w:spacing w:before="60" w:after="60"/>
              <w:rPr>
                <w:rFonts w:cs="Calibri"/>
                <w:b/>
                <w:iCs/>
                <w:sz w:val="18"/>
              </w:rPr>
            </w:pPr>
            <w:r w:rsidRPr="008E2886">
              <w:rPr>
                <w:rFonts w:cs="Calibri"/>
                <w:b/>
                <w:iCs/>
                <w:sz w:val="18"/>
              </w:rPr>
              <w:t>Transactions Involving Owners Affecting Accumulated Funds</w:t>
            </w:r>
          </w:p>
        </w:tc>
        <w:tc>
          <w:tcPr>
            <w:tcW w:w="708" w:type="dxa"/>
            <w:tcBorders>
              <w:top w:val="nil"/>
              <w:left w:val="nil"/>
              <w:bottom w:val="nil"/>
              <w:right w:val="nil"/>
            </w:tcBorders>
            <w:vAlign w:val="bottom"/>
          </w:tcPr>
          <w:p w14:paraId="291D488E" w14:textId="77777777" w:rsidR="00AF2884" w:rsidRPr="008E2886" w:rsidRDefault="00AF2884" w:rsidP="00491C20">
            <w:pPr>
              <w:pStyle w:val="TableText"/>
              <w:tabs>
                <w:tab w:val="left" w:pos="3306"/>
              </w:tabs>
              <w:rPr>
                <w:rFonts w:cs="Calibri"/>
                <w:strike/>
              </w:rPr>
            </w:pPr>
          </w:p>
        </w:tc>
        <w:tc>
          <w:tcPr>
            <w:tcW w:w="709" w:type="dxa"/>
            <w:tcBorders>
              <w:top w:val="nil"/>
              <w:left w:val="nil"/>
              <w:bottom w:val="nil"/>
              <w:right w:val="nil"/>
            </w:tcBorders>
            <w:shd w:val="clear" w:color="auto" w:fill="auto"/>
            <w:vAlign w:val="bottom"/>
          </w:tcPr>
          <w:p w14:paraId="63752DD9" w14:textId="77777777" w:rsidR="00AF2884" w:rsidRPr="008E2886" w:rsidRDefault="00AF2884" w:rsidP="00491C20">
            <w:pPr>
              <w:pStyle w:val="TableText"/>
              <w:tabs>
                <w:tab w:val="left" w:pos="3306"/>
              </w:tabs>
              <w:rPr>
                <w:rFonts w:cs="Calibri"/>
              </w:rPr>
            </w:pPr>
          </w:p>
        </w:tc>
        <w:tc>
          <w:tcPr>
            <w:tcW w:w="1278" w:type="dxa"/>
            <w:tcBorders>
              <w:top w:val="nil"/>
              <w:left w:val="nil"/>
              <w:bottom w:val="nil"/>
              <w:right w:val="nil"/>
            </w:tcBorders>
            <w:vAlign w:val="bottom"/>
          </w:tcPr>
          <w:p w14:paraId="6B487031" w14:textId="77777777" w:rsidR="00AF2884" w:rsidRPr="008E2886" w:rsidRDefault="00AF2884" w:rsidP="00491C20">
            <w:pPr>
              <w:pStyle w:val="TableText"/>
              <w:tabs>
                <w:tab w:val="left" w:pos="3306"/>
              </w:tabs>
              <w:rPr>
                <w:rFonts w:cs="Calibri"/>
              </w:rPr>
            </w:pPr>
          </w:p>
        </w:tc>
        <w:tc>
          <w:tcPr>
            <w:tcW w:w="1134" w:type="dxa"/>
            <w:tcBorders>
              <w:top w:val="nil"/>
              <w:left w:val="nil"/>
              <w:bottom w:val="nil"/>
              <w:right w:val="nil"/>
            </w:tcBorders>
            <w:shd w:val="clear" w:color="auto" w:fill="auto"/>
            <w:vAlign w:val="bottom"/>
          </w:tcPr>
          <w:p w14:paraId="216CDBDD" w14:textId="1EBA4727" w:rsidR="00AF2884" w:rsidRPr="008E2886" w:rsidRDefault="00AF2884" w:rsidP="00491C20">
            <w:pPr>
              <w:pStyle w:val="TableText"/>
              <w:tabs>
                <w:tab w:val="left" w:pos="3306"/>
              </w:tabs>
              <w:rPr>
                <w:rFonts w:cs="Calibri"/>
              </w:rPr>
            </w:pPr>
          </w:p>
        </w:tc>
        <w:tc>
          <w:tcPr>
            <w:tcW w:w="992" w:type="dxa"/>
            <w:tcBorders>
              <w:top w:val="nil"/>
              <w:left w:val="nil"/>
              <w:bottom w:val="nil"/>
              <w:right w:val="nil"/>
            </w:tcBorders>
            <w:shd w:val="clear" w:color="auto" w:fill="auto"/>
            <w:vAlign w:val="bottom"/>
          </w:tcPr>
          <w:p w14:paraId="683B74B1" w14:textId="77777777" w:rsidR="00AF2884" w:rsidRPr="008E2886" w:rsidRDefault="00AF2884" w:rsidP="00491C20">
            <w:pPr>
              <w:pStyle w:val="TableText"/>
              <w:tabs>
                <w:tab w:val="left" w:pos="3306"/>
              </w:tabs>
              <w:rPr>
                <w:rFonts w:cs="Calibri"/>
              </w:rPr>
            </w:pPr>
          </w:p>
        </w:tc>
        <w:tc>
          <w:tcPr>
            <w:tcW w:w="851" w:type="dxa"/>
            <w:tcBorders>
              <w:top w:val="nil"/>
              <w:left w:val="nil"/>
              <w:bottom w:val="nil"/>
              <w:right w:val="nil"/>
            </w:tcBorders>
            <w:shd w:val="clear" w:color="auto" w:fill="auto"/>
            <w:vAlign w:val="bottom"/>
          </w:tcPr>
          <w:p w14:paraId="4BF8881C" w14:textId="77777777" w:rsidR="00AF2884" w:rsidRPr="008E2886" w:rsidRDefault="00AF2884" w:rsidP="00491C20">
            <w:pPr>
              <w:pStyle w:val="TableText"/>
              <w:tabs>
                <w:tab w:val="left" w:pos="3306"/>
              </w:tabs>
              <w:rPr>
                <w:rFonts w:cs="Calibri"/>
              </w:rPr>
            </w:pPr>
          </w:p>
        </w:tc>
        <w:tc>
          <w:tcPr>
            <w:tcW w:w="850" w:type="dxa"/>
            <w:tcBorders>
              <w:top w:val="nil"/>
              <w:left w:val="nil"/>
              <w:bottom w:val="nil"/>
              <w:right w:val="nil"/>
            </w:tcBorders>
            <w:shd w:val="clear" w:color="auto" w:fill="auto"/>
            <w:vAlign w:val="bottom"/>
          </w:tcPr>
          <w:p w14:paraId="188A83E6" w14:textId="77777777" w:rsidR="00AF2884" w:rsidRPr="008E2886" w:rsidRDefault="00AF2884" w:rsidP="00491C20">
            <w:pPr>
              <w:pStyle w:val="TableText"/>
              <w:tabs>
                <w:tab w:val="left" w:pos="3306"/>
              </w:tabs>
              <w:rPr>
                <w:rFonts w:cs="Calibri"/>
              </w:rPr>
            </w:pPr>
          </w:p>
        </w:tc>
      </w:tr>
      <w:tr w:rsidR="00AF2884" w:rsidRPr="00CF7E1B" w14:paraId="1F3FB147" w14:textId="77777777" w:rsidTr="004D1EC6">
        <w:trPr>
          <w:cantSplit/>
          <w:trHeight w:val="20"/>
        </w:trPr>
        <w:tc>
          <w:tcPr>
            <w:tcW w:w="1476" w:type="dxa"/>
            <w:tcBorders>
              <w:top w:val="nil"/>
              <w:left w:val="single" w:sz="2" w:space="0" w:color="auto"/>
              <w:bottom w:val="nil"/>
              <w:right w:val="single" w:sz="2" w:space="0" w:color="auto"/>
            </w:tcBorders>
          </w:tcPr>
          <w:p w14:paraId="41BC8B0D"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792F42A4" w14:textId="77777777" w:rsidR="00AF2884" w:rsidRPr="008E2886" w:rsidRDefault="00AF2884" w:rsidP="00AF2884">
            <w:pPr>
              <w:tabs>
                <w:tab w:val="left" w:pos="3306"/>
              </w:tabs>
              <w:spacing w:before="60" w:after="60"/>
              <w:rPr>
                <w:rFonts w:cs="Calibri"/>
                <w:sz w:val="18"/>
              </w:rPr>
            </w:pPr>
            <w:r w:rsidRPr="008E2886">
              <w:rPr>
                <w:rFonts w:cs="Calibri"/>
                <w:sz w:val="18"/>
              </w:rPr>
              <w:t>Capital Injections</w:t>
            </w:r>
          </w:p>
        </w:tc>
        <w:tc>
          <w:tcPr>
            <w:tcW w:w="708" w:type="dxa"/>
            <w:tcBorders>
              <w:top w:val="nil"/>
              <w:left w:val="nil"/>
              <w:bottom w:val="nil"/>
              <w:right w:val="nil"/>
            </w:tcBorders>
            <w:vAlign w:val="bottom"/>
          </w:tcPr>
          <w:p w14:paraId="251C9460" w14:textId="2FC8E451" w:rsidR="00AF2884" w:rsidRPr="008E2886" w:rsidRDefault="009F2845" w:rsidP="00AF2884">
            <w:pPr>
              <w:pStyle w:val="TableText"/>
              <w:tabs>
                <w:tab w:val="left" w:pos="3306"/>
              </w:tabs>
              <w:jc w:val="center"/>
              <w:rPr>
                <w:rFonts w:cs="Calibri"/>
                <w:strike/>
              </w:rPr>
            </w:pPr>
            <w:r w:rsidRPr="00C93ED0">
              <w:rPr>
                <w:rFonts w:cs="Calibri"/>
                <w:strike/>
                <w:color w:val="FF0000"/>
              </w:rPr>
              <w:t>#</w:t>
            </w:r>
          </w:p>
        </w:tc>
        <w:tc>
          <w:tcPr>
            <w:tcW w:w="709" w:type="dxa"/>
            <w:tcBorders>
              <w:top w:val="nil"/>
              <w:left w:val="nil"/>
              <w:bottom w:val="nil"/>
              <w:right w:val="nil"/>
            </w:tcBorders>
            <w:shd w:val="clear" w:color="auto" w:fill="auto"/>
            <w:vAlign w:val="bottom"/>
          </w:tcPr>
          <w:p w14:paraId="5474F805"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B7E7237"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265BCD28" w14:textId="5504FD8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ADA3C3E"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1145DFA8"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0A1EE4C" w14:textId="77777777" w:rsidR="00AF2884" w:rsidRPr="008E2886" w:rsidRDefault="00AF2884" w:rsidP="00AF2884">
            <w:pPr>
              <w:pStyle w:val="TableText"/>
              <w:tabs>
                <w:tab w:val="left" w:pos="3306"/>
              </w:tabs>
              <w:jc w:val="right"/>
              <w:rPr>
                <w:rFonts w:cs="Calibri"/>
              </w:rPr>
            </w:pPr>
          </w:p>
        </w:tc>
      </w:tr>
      <w:tr w:rsidR="00AF2884" w:rsidRPr="00CF7E1B" w14:paraId="1D5C623F" w14:textId="77777777" w:rsidTr="004D1EC6">
        <w:trPr>
          <w:cantSplit/>
          <w:trHeight w:val="20"/>
        </w:trPr>
        <w:tc>
          <w:tcPr>
            <w:tcW w:w="1476" w:type="dxa"/>
            <w:tcBorders>
              <w:top w:val="nil"/>
              <w:left w:val="single" w:sz="2" w:space="0" w:color="auto"/>
              <w:bottom w:val="nil"/>
              <w:right w:val="single" w:sz="2" w:space="0" w:color="auto"/>
            </w:tcBorders>
          </w:tcPr>
          <w:p w14:paraId="6980B833"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0A275A57" w14:textId="77777777" w:rsidR="00AF2884" w:rsidRPr="008E2886" w:rsidRDefault="00AF2884" w:rsidP="00AF2884">
            <w:pPr>
              <w:tabs>
                <w:tab w:val="left" w:pos="3306"/>
              </w:tabs>
              <w:spacing w:before="60" w:after="60"/>
              <w:rPr>
                <w:rFonts w:cs="Calibri"/>
                <w:sz w:val="18"/>
              </w:rPr>
            </w:pPr>
            <w:r w:rsidRPr="00C93ED0">
              <w:rPr>
                <w:rFonts w:cs="Calibri"/>
                <w:sz w:val="18"/>
              </w:rPr>
              <w:t xml:space="preserve">Capital </w:t>
            </w:r>
            <w:r w:rsidRPr="00C93ED0">
              <w:rPr>
                <w:rFonts w:cs="Calibri"/>
                <w:strike/>
                <w:color w:val="FF0000"/>
                <w:sz w:val="18"/>
              </w:rPr>
              <w:t>(</w:t>
            </w:r>
            <w:r w:rsidRPr="00C93ED0">
              <w:rPr>
                <w:rFonts w:cs="Calibri"/>
                <w:sz w:val="18"/>
              </w:rPr>
              <w:t>Distributions</w:t>
            </w:r>
            <w:r w:rsidRPr="00C93ED0">
              <w:rPr>
                <w:rFonts w:cs="Calibri"/>
                <w:strike/>
                <w:color w:val="FF0000"/>
                <w:sz w:val="18"/>
              </w:rPr>
              <w:t>)</w:t>
            </w:r>
            <w:r w:rsidRPr="008E2886">
              <w:rPr>
                <w:rFonts w:cs="Calibri"/>
                <w:sz w:val="18"/>
              </w:rPr>
              <w:t xml:space="preserve"> </w:t>
            </w:r>
          </w:p>
        </w:tc>
        <w:tc>
          <w:tcPr>
            <w:tcW w:w="708" w:type="dxa"/>
            <w:tcBorders>
              <w:top w:val="nil"/>
              <w:left w:val="nil"/>
              <w:bottom w:val="nil"/>
              <w:right w:val="nil"/>
            </w:tcBorders>
            <w:vAlign w:val="bottom"/>
          </w:tcPr>
          <w:p w14:paraId="22C17EF8" w14:textId="77777777" w:rsidR="00AF2884" w:rsidRPr="008E2886" w:rsidRDefault="00AF2884" w:rsidP="00AF2884">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7430AEE1"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2E4B920"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AB1F630" w14:textId="7CF089D5"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83E3A1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646ABF1"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03F0980" w14:textId="77777777" w:rsidR="00AF2884" w:rsidRPr="008E2886" w:rsidRDefault="00AF2884" w:rsidP="00AF2884">
            <w:pPr>
              <w:pStyle w:val="TableText"/>
              <w:tabs>
                <w:tab w:val="left" w:pos="3306"/>
              </w:tabs>
              <w:jc w:val="right"/>
              <w:rPr>
                <w:rFonts w:cs="Calibri"/>
              </w:rPr>
            </w:pPr>
          </w:p>
        </w:tc>
      </w:tr>
      <w:tr w:rsidR="00AF2884" w:rsidRPr="00CF7E1B" w14:paraId="2A3297BD" w14:textId="77777777" w:rsidTr="004D1EC6">
        <w:trPr>
          <w:cantSplit/>
          <w:trHeight w:val="20"/>
        </w:trPr>
        <w:tc>
          <w:tcPr>
            <w:tcW w:w="1476" w:type="dxa"/>
            <w:tcBorders>
              <w:top w:val="nil"/>
              <w:left w:val="single" w:sz="2" w:space="0" w:color="auto"/>
              <w:bottom w:val="nil"/>
              <w:right w:val="single" w:sz="2" w:space="0" w:color="auto"/>
            </w:tcBorders>
          </w:tcPr>
          <w:p w14:paraId="630C70EA" w14:textId="77777777" w:rsidR="00AF2884" w:rsidRPr="00B73007" w:rsidRDefault="00AF2884" w:rsidP="00AF2884">
            <w:pPr>
              <w:pStyle w:val="TableReference"/>
              <w:tabs>
                <w:tab w:val="left" w:pos="3306"/>
              </w:tabs>
              <w:spacing w:before="60"/>
              <w:rPr>
                <w:rFonts w:cs="Calibri"/>
                <w:color w:val="7030A0"/>
                <w:sz w:val="14"/>
              </w:rPr>
            </w:pPr>
            <w:r w:rsidRPr="00B73007">
              <w:rPr>
                <w:rFonts w:cs="Calibri"/>
                <w:color w:val="7030A0"/>
                <w:sz w:val="14"/>
              </w:rPr>
              <w:t>AASB 101.106(d)(iii)</w:t>
            </w:r>
          </w:p>
          <w:p w14:paraId="7C31D031" w14:textId="6F549D18" w:rsidR="00DF5823" w:rsidRPr="00B73007" w:rsidRDefault="00DF5823" w:rsidP="00AF2884">
            <w:pPr>
              <w:pStyle w:val="TableReference"/>
              <w:tabs>
                <w:tab w:val="left" w:pos="3306"/>
              </w:tabs>
              <w:spacing w:before="60"/>
              <w:rPr>
                <w:rFonts w:cs="Calibri"/>
                <w:color w:val="7030A0"/>
                <w:sz w:val="14"/>
              </w:rPr>
            </w:pPr>
            <w:r w:rsidRPr="00B73007">
              <w:rPr>
                <w:rFonts w:cs="Calibri"/>
                <w:color w:val="FF0000"/>
                <w:sz w:val="14"/>
              </w:rPr>
              <w:t>AASB 1004.48</w:t>
            </w:r>
          </w:p>
        </w:tc>
        <w:tc>
          <w:tcPr>
            <w:tcW w:w="2410" w:type="dxa"/>
            <w:tcBorders>
              <w:top w:val="nil"/>
              <w:left w:val="single" w:sz="2" w:space="0" w:color="auto"/>
              <w:bottom w:val="nil"/>
              <w:right w:val="nil"/>
            </w:tcBorders>
          </w:tcPr>
          <w:p w14:paraId="1E0CE8AE" w14:textId="77777777" w:rsidR="00AF2884" w:rsidRPr="008E2886" w:rsidRDefault="00AF2884" w:rsidP="00AF2884">
            <w:pPr>
              <w:tabs>
                <w:tab w:val="left" w:pos="3306"/>
              </w:tabs>
              <w:spacing w:before="60" w:after="60"/>
              <w:rPr>
                <w:rFonts w:cs="Calibri"/>
                <w:sz w:val="18"/>
              </w:rPr>
            </w:pPr>
            <w:r w:rsidRPr="008E2886">
              <w:rPr>
                <w:rFonts w:cs="Calibri"/>
                <w:sz w:val="18"/>
              </w:rPr>
              <w:t>Net Assets transferred in as part of an Administrative Restructure</w:t>
            </w:r>
          </w:p>
        </w:tc>
        <w:tc>
          <w:tcPr>
            <w:tcW w:w="708" w:type="dxa"/>
            <w:tcBorders>
              <w:top w:val="nil"/>
              <w:left w:val="nil"/>
              <w:bottom w:val="nil"/>
              <w:right w:val="nil"/>
            </w:tcBorders>
          </w:tcPr>
          <w:p w14:paraId="70471EDE" w14:textId="7BAACB96" w:rsidR="00AF2884" w:rsidRPr="008E2886" w:rsidRDefault="00DA3B1E" w:rsidP="00491C20">
            <w:pPr>
              <w:pStyle w:val="TableText"/>
              <w:tabs>
                <w:tab w:val="left" w:pos="3306"/>
              </w:tabs>
              <w:jc w:val="center"/>
              <w:rPr>
                <w:rFonts w:cs="Calibri"/>
                <w:strike/>
              </w:rPr>
            </w:pPr>
            <w:r w:rsidRPr="008E2886">
              <w:rPr>
                <w:rFonts w:cs="Calibri"/>
              </w:rPr>
              <w:t>30</w:t>
            </w:r>
          </w:p>
        </w:tc>
        <w:tc>
          <w:tcPr>
            <w:tcW w:w="709" w:type="dxa"/>
            <w:tcBorders>
              <w:top w:val="nil"/>
              <w:left w:val="nil"/>
              <w:bottom w:val="nil"/>
              <w:right w:val="nil"/>
            </w:tcBorders>
            <w:shd w:val="clear" w:color="auto" w:fill="auto"/>
            <w:vAlign w:val="bottom"/>
          </w:tcPr>
          <w:p w14:paraId="73782BAC"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54A3A44"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4305D98" w14:textId="0B9EC72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E8370A7"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038587BF"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4B54C08" w14:textId="77777777" w:rsidR="00AF2884" w:rsidRPr="008E2886" w:rsidRDefault="00AF2884" w:rsidP="00AF2884">
            <w:pPr>
              <w:pStyle w:val="TableText"/>
              <w:tabs>
                <w:tab w:val="left" w:pos="3306"/>
              </w:tabs>
              <w:jc w:val="right"/>
              <w:rPr>
                <w:rFonts w:cs="Calibri"/>
              </w:rPr>
            </w:pPr>
          </w:p>
        </w:tc>
      </w:tr>
      <w:tr w:rsidR="00AF2884" w:rsidRPr="00CF7E1B" w14:paraId="4F570C6C" w14:textId="77777777" w:rsidTr="004D1EC6">
        <w:trPr>
          <w:cantSplit/>
          <w:trHeight w:val="20"/>
        </w:trPr>
        <w:tc>
          <w:tcPr>
            <w:tcW w:w="1476" w:type="dxa"/>
            <w:tcBorders>
              <w:top w:val="nil"/>
              <w:left w:val="single" w:sz="2" w:space="0" w:color="auto"/>
              <w:bottom w:val="nil"/>
              <w:right w:val="single" w:sz="2" w:space="0" w:color="auto"/>
            </w:tcBorders>
          </w:tcPr>
          <w:p w14:paraId="0C8579A9" w14:textId="77777777" w:rsidR="00AF2884" w:rsidRPr="00B73007" w:rsidRDefault="00AF2884" w:rsidP="00AF2884">
            <w:pPr>
              <w:pStyle w:val="TableReference"/>
              <w:tabs>
                <w:tab w:val="left" w:pos="3306"/>
              </w:tabs>
              <w:spacing w:before="60"/>
              <w:rPr>
                <w:rFonts w:cs="Calibri"/>
                <w:color w:val="7030A0"/>
                <w:sz w:val="14"/>
              </w:rPr>
            </w:pPr>
            <w:r w:rsidRPr="00B73007">
              <w:rPr>
                <w:rFonts w:cs="Calibri"/>
                <w:color w:val="7030A0"/>
                <w:sz w:val="14"/>
              </w:rPr>
              <w:t>AASB 101.106(d)(iii)</w:t>
            </w:r>
          </w:p>
          <w:p w14:paraId="71F3F66A" w14:textId="5F431F5F" w:rsidR="00DF5823" w:rsidRPr="00B73007" w:rsidRDefault="00DF5823" w:rsidP="00AF2884">
            <w:pPr>
              <w:pStyle w:val="TableReference"/>
              <w:tabs>
                <w:tab w:val="left" w:pos="3306"/>
              </w:tabs>
              <w:spacing w:before="60"/>
              <w:rPr>
                <w:rFonts w:cs="Calibri"/>
                <w:color w:val="7030A0"/>
                <w:sz w:val="14"/>
              </w:rPr>
            </w:pPr>
            <w:r w:rsidRPr="00B73007">
              <w:rPr>
                <w:rFonts w:cs="Calibri"/>
                <w:color w:val="FF0000"/>
                <w:sz w:val="14"/>
              </w:rPr>
              <w:t>AASB 1004.49</w:t>
            </w:r>
          </w:p>
        </w:tc>
        <w:tc>
          <w:tcPr>
            <w:tcW w:w="2410" w:type="dxa"/>
            <w:tcBorders>
              <w:top w:val="nil"/>
              <w:left w:val="single" w:sz="2" w:space="0" w:color="auto"/>
              <w:bottom w:val="nil"/>
              <w:right w:val="nil"/>
            </w:tcBorders>
          </w:tcPr>
          <w:p w14:paraId="374128A9" w14:textId="77777777" w:rsidR="00AF2884" w:rsidRPr="008E2886" w:rsidRDefault="00AF2884" w:rsidP="00AF2884">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8" w:type="dxa"/>
            <w:tcBorders>
              <w:top w:val="nil"/>
              <w:left w:val="nil"/>
              <w:bottom w:val="nil"/>
              <w:right w:val="nil"/>
            </w:tcBorders>
          </w:tcPr>
          <w:p w14:paraId="59C1A174" w14:textId="2E2BFBEA" w:rsidR="00AF2884" w:rsidRPr="008E2886" w:rsidRDefault="00DA3B1E" w:rsidP="00491C20">
            <w:pPr>
              <w:pStyle w:val="TableText"/>
              <w:tabs>
                <w:tab w:val="left" w:pos="3306"/>
              </w:tabs>
              <w:jc w:val="center"/>
              <w:rPr>
                <w:rFonts w:cs="Calibri"/>
                <w:strike/>
                <w:highlight w:val="cyan"/>
              </w:rPr>
            </w:pPr>
            <w:r w:rsidRPr="008E2886">
              <w:rPr>
                <w:rFonts w:cs="Calibri"/>
              </w:rPr>
              <w:t>30</w:t>
            </w:r>
          </w:p>
        </w:tc>
        <w:tc>
          <w:tcPr>
            <w:tcW w:w="709" w:type="dxa"/>
            <w:tcBorders>
              <w:top w:val="nil"/>
              <w:left w:val="nil"/>
              <w:bottom w:val="nil"/>
              <w:right w:val="nil"/>
            </w:tcBorders>
            <w:shd w:val="clear" w:color="auto" w:fill="auto"/>
            <w:vAlign w:val="bottom"/>
          </w:tcPr>
          <w:p w14:paraId="745BB29C" w14:textId="77777777" w:rsidR="00AF2884" w:rsidRPr="008E2886" w:rsidRDefault="00AF2884" w:rsidP="00AF2884">
            <w:pPr>
              <w:pStyle w:val="TableText"/>
              <w:tabs>
                <w:tab w:val="left" w:pos="3306"/>
              </w:tabs>
              <w:jc w:val="right"/>
              <w:rPr>
                <w:rFonts w:cs="Calibri"/>
                <w:highlight w:val="cyan"/>
              </w:rPr>
            </w:pPr>
          </w:p>
        </w:tc>
        <w:tc>
          <w:tcPr>
            <w:tcW w:w="1278" w:type="dxa"/>
            <w:tcBorders>
              <w:top w:val="nil"/>
              <w:left w:val="nil"/>
              <w:bottom w:val="nil"/>
              <w:right w:val="nil"/>
            </w:tcBorders>
          </w:tcPr>
          <w:p w14:paraId="7C20A39B" w14:textId="77777777" w:rsidR="00AF2884" w:rsidRPr="008E2886" w:rsidRDefault="00AF2884" w:rsidP="00AF2884">
            <w:pPr>
              <w:pStyle w:val="TableText"/>
              <w:tabs>
                <w:tab w:val="left" w:pos="3306"/>
              </w:tabs>
              <w:jc w:val="right"/>
              <w:rPr>
                <w:rFonts w:cs="Calibri"/>
                <w:highlight w:val="cyan"/>
              </w:rPr>
            </w:pPr>
          </w:p>
        </w:tc>
        <w:tc>
          <w:tcPr>
            <w:tcW w:w="1134" w:type="dxa"/>
            <w:tcBorders>
              <w:top w:val="nil"/>
              <w:left w:val="nil"/>
              <w:bottom w:val="nil"/>
              <w:right w:val="nil"/>
            </w:tcBorders>
            <w:shd w:val="clear" w:color="auto" w:fill="auto"/>
            <w:vAlign w:val="bottom"/>
          </w:tcPr>
          <w:p w14:paraId="7CDFF1D8" w14:textId="6BAA3784" w:rsidR="00AF2884" w:rsidRPr="008E2886" w:rsidRDefault="00AF2884" w:rsidP="00AF2884">
            <w:pPr>
              <w:pStyle w:val="TableText"/>
              <w:tabs>
                <w:tab w:val="left" w:pos="3306"/>
              </w:tabs>
              <w:jc w:val="right"/>
              <w:rPr>
                <w:rFonts w:cs="Calibri"/>
                <w:highlight w:val="cyan"/>
              </w:rPr>
            </w:pPr>
          </w:p>
        </w:tc>
        <w:tc>
          <w:tcPr>
            <w:tcW w:w="992" w:type="dxa"/>
            <w:tcBorders>
              <w:top w:val="nil"/>
              <w:left w:val="nil"/>
              <w:bottom w:val="nil"/>
              <w:right w:val="nil"/>
            </w:tcBorders>
            <w:shd w:val="clear" w:color="auto" w:fill="auto"/>
            <w:vAlign w:val="bottom"/>
          </w:tcPr>
          <w:p w14:paraId="364DF051" w14:textId="77777777" w:rsidR="00AF2884" w:rsidRPr="008E2886" w:rsidRDefault="00AF2884" w:rsidP="00AF2884">
            <w:pPr>
              <w:pStyle w:val="TableText"/>
              <w:tabs>
                <w:tab w:val="left" w:pos="3306"/>
              </w:tabs>
              <w:jc w:val="right"/>
              <w:rPr>
                <w:rFonts w:cs="Calibri"/>
                <w:highlight w:val="cyan"/>
              </w:rPr>
            </w:pPr>
          </w:p>
        </w:tc>
        <w:tc>
          <w:tcPr>
            <w:tcW w:w="851" w:type="dxa"/>
            <w:tcBorders>
              <w:top w:val="nil"/>
              <w:left w:val="nil"/>
              <w:bottom w:val="nil"/>
              <w:right w:val="nil"/>
            </w:tcBorders>
            <w:shd w:val="clear" w:color="auto" w:fill="auto"/>
            <w:vAlign w:val="bottom"/>
          </w:tcPr>
          <w:p w14:paraId="67092F36" w14:textId="77777777" w:rsidR="00AF2884" w:rsidRPr="008E2886" w:rsidRDefault="00AF2884" w:rsidP="00AF2884">
            <w:pPr>
              <w:pStyle w:val="TableText"/>
              <w:tabs>
                <w:tab w:val="left" w:pos="3306"/>
              </w:tabs>
              <w:jc w:val="right"/>
              <w:rPr>
                <w:rFonts w:cs="Calibri"/>
                <w:highlight w:val="cyan"/>
              </w:rPr>
            </w:pPr>
          </w:p>
        </w:tc>
        <w:tc>
          <w:tcPr>
            <w:tcW w:w="850" w:type="dxa"/>
            <w:tcBorders>
              <w:top w:val="nil"/>
              <w:left w:val="nil"/>
              <w:bottom w:val="nil"/>
              <w:right w:val="nil"/>
            </w:tcBorders>
            <w:shd w:val="clear" w:color="auto" w:fill="auto"/>
            <w:vAlign w:val="bottom"/>
          </w:tcPr>
          <w:p w14:paraId="66651803" w14:textId="77777777" w:rsidR="00AF2884" w:rsidRPr="008E2886" w:rsidRDefault="00AF2884" w:rsidP="00AF2884">
            <w:pPr>
              <w:pStyle w:val="TableText"/>
              <w:tabs>
                <w:tab w:val="left" w:pos="3306"/>
              </w:tabs>
              <w:jc w:val="right"/>
              <w:rPr>
                <w:rFonts w:cs="Calibri"/>
                <w:highlight w:val="cyan"/>
              </w:rPr>
            </w:pPr>
          </w:p>
        </w:tc>
      </w:tr>
      <w:tr w:rsidR="007117C0" w:rsidRPr="00CF7E1B" w14:paraId="1BC99D46" w14:textId="77777777" w:rsidTr="004D1EC6">
        <w:trPr>
          <w:cantSplit/>
          <w:trHeight w:val="20"/>
        </w:trPr>
        <w:tc>
          <w:tcPr>
            <w:tcW w:w="1476" w:type="dxa"/>
            <w:tcBorders>
              <w:top w:val="nil"/>
              <w:left w:val="single" w:sz="2" w:space="0" w:color="auto"/>
              <w:bottom w:val="nil"/>
              <w:right w:val="single" w:sz="2" w:space="0" w:color="auto"/>
            </w:tcBorders>
          </w:tcPr>
          <w:p w14:paraId="0F776328" w14:textId="0347BC29" w:rsidR="007117C0" w:rsidRPr="00B73007" w:rsidRDefault="005C6F51" w:rsidP="00AF2884">
            <w:pPr>
              <w:pStyle w:val="TableReference"/>
              <w:tabs>
                <w:tab w:val="left" w:pos="3306"/>
              </w:tabs>
              <w:spacing w:before="60"/>
              <w:rPr>
                <w:rFonts w:cs="Calibri"/>
                <w:color w:val="7030A0"/>
                <w:sz w:val="14"/>
              </w:rPr>
            </w:pPr>
            <w:r w:rsidRPr="00B73007">
              <w:rPr>
                <w:rFonts w:cs="Calibri"/>
                <w:color w:val="FF0000"/>
                <w:sz w:val="14"/>
              </w:rPr>
              <w:t>AASB 101.106(d)(iii)</w:t>
            </w:r>
          </w:p>
        </w:tc>
        <w:tc>
          <w:tcPr>
            <w:tcW w:w="2410" w:type="dxa"/>
            <w:tcBorders>
              <w:top w:val="nil"/>
              <w:left w:val="single" w:sz="2" w:space="0" w:color="auto"/>
              <w:bottom w:val="nil"/>
              <w:right w:val="nil"/>
            </w:tcBorders>
          </w:tcPr>
          <w:p w14:paraId="7223AEC6" w14:textId="2FA3681A" w:rsidR="007117C0" w:rsidRPr="005C6F51" w:rsidRDefault="009D4A70" w:rsidP="00AF2884">
            <w:pPr>
              <w:tabs>
                <w:tab w:val="left" w:pos="3306"/>
              </w:tabs>
              <w:spacing w:before="60" w:after="60"/>
              <w:rPr>
                <w:rFonts w:cs="Calibri"/>
                <w:sz w:val="18"/>
              </w:rPr>
            </w:pPr>
            <w:r w:rsidRPr="007117C0">
              <w:rPr>
                <w:rFonts w:cs="Calibri"/>
                <w:color w:val="FF0000"/>
                <w:sz w:val="18"/>
              </w:rPr>
              <w:t>Net Assets transferred in/(out) from Other Agencies</w:t>
            </w:r>
          </w:p>
        </w:tc>
        <w:tc>
          <w:tcPr>
            <w:tcW w:w="708" w:type="dxa"/>
            <w:tcBorders>
              <w:top w:val="nil"/>
              <w:left w:val="nil"/>
              <w:bottom w:val="nil"/>
              <w:right w:val="nil"/>
            </w:tcBorders>
          </w:tcPr>
          <w:p w14:paraId="5DF4D970" w14:textId="77777777" w:rsidR="007117C0" w:rsidRPr="005C6F51" w:rsidRDefault="007117C0" w:rsidP="00491C20">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1546931A" w14:textId="77777777" w:rsidR="007117C0" w:rsidRPr="005C6F51" w:rsidRDefault="007117C0" w:rsidP="00AF2884">
            <w:pPr>
              <w:pStyle w:val="TableText"/>
              <w:tabs>
                <w:tab w:val="left" w:pos="3306"/>
              </w:tabs>
              <w:jc w:val="right"/>
              <w:rPr>
                <w:rFonts w:cs="Calibri"/>
              </w:rPr>
            </w:pPr>
          </w:p>
        </w:tc>
        <w:tc>
          <w:tcPr>
            <w:tcW w:w="1278" w:type="dxa"/>
            <w:tcBorders>
              <w:top w:val="nil"/>
              <w:left w:val="nil"/>
              <w:bottom w:val="nil"/>
              <w:right w:val="nil"/>
            </w:tcBorders>
          </w:tcPr>
          <w:p w14:paraId="4F86181F" w14:textId="77777777" w:rsidR="007117C0" w:rsidRPr="005C6F51" w:rsidRDefault="007117C0"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65848A2" w14:textId="77777777" w:rsidR="007117C0" w:rsidRPr="005C6F51" w:rsidRDefault="007117C0"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3E753DA" w14:textId="77777777" w:rsidR="007117C0" w:rsidRPr="005C6F51" w:rsidRDefault="007117C0"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C88CCB4" w14:textId="77777777" w:rsidR="007117C0" w:rsidRPr="005C6F51" w:rsidRDefault="007117C0"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6721EE8E" w14:textId="77777777" w:rsidR="007117C0" w:rsidRPr="005C6F51" w:rsidRDefault="007117C0" w:rsidP="00AF2884">
            <w:pPr>
              <w:pStyle w:val="TableText"/>
              <w:tabs>
                <w:tab w:val="left" w:pos="3306"/>
              </w:tabs>
              <w:jc w:val="right"/>
              <w:rPr>
                <w:rFonts w:cs="Calibri"/>
              </w:rPr>
            </w:pPr>
          </w:p>
        </w:tc>
      </w:tr>
      <w:tr w:rsidR="00AF2884" w:rsidRPr="00CF7E1B" w14:paraId="6060FF11" w14:textId="77777777" w:rsidTr="004D1EC6">
        <w:trPr>
          <w:cantSplit/>
          <w:trHeight w:val="274"/>
        </w:trPr>
        <w:tc>
          <w:tcPr>
            <w:tcW w:w="1476" w:type="dxa"/>
            <w:tcBorders>
              <w:top w:val="nil"/>
              <w:left w:val="single" w:sz="2" w:space="0" w:color="auto"/>
              <w:bottom w:val="nil"/>
              <w:right w:val="single" w:sz="2" w:space="0" w:color="auto"/>
            </w:tcBorders>
          </w:tcPr>
          <w:p w14:paraId="59846333"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101.107</w:t>
            </w:r>
          </w:p>
          <w:p w14:paraId="46DE7ECF"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60B39886" w14:textId="26B1EDD9" w:rsidR="00AF2884" w:rsidRPr="008E2886" w:rsidRDefault="00AF2884" w:rsidP="00AF2884">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8" w:type="dxa"/>
            <w:tcBorders>
              <w:top w:val="nil"/>
              <w:left w:val="nil"/>
              <w:bottom w:val="nil"/>
              <w:right w:val="nil"/>
            </w:tcBorders>
            <w:vAlign w:val="bottom"/>
          </w:tcPr>
          <w:p w14:paraId="64EF37E6" w14:textId="77777777" w:rsidR="00AF2884" w:rsidRPr="008E2886" w:rsidRDefault="00AF2884" w:rsidP="00AF2884">
            <w:pPr>
              <w:pStyle w:val="TableText"/>
              <w:tabs>
                <w:tab w:val="left" w:pos="3306"/>
              </w:tabs>
              <w:spacing w:before="0"/>
              <w:jc w:val="center"/>
              <w:rPr>
                <w:rFonts w:cs="Calibri"/>
                <w:strike/>
              </w:rPr>
            </w:pPr>
          </w:p>
        </w:tc>
        <w:tc>
          <w:tcPr>
            <w:tcW w:w="709" w:type="dxa"/>
            <w:tcBorders>
              <w:top w:val="nil"/>
              <w:left w:val="nil"/>
              <w:bottom w:val="single" w:sz="4" w:space="0" w:color="auto"/>
              <w:right w:val="nil"/>
            </w:tcBorders>
            <w:shd w:val="clear" w:color="auto" w:fill="auto"/>
            <w:vAlign w:val="bottom"/>
          </w:tcPr>
          <w:p w14:paraId="48406FFC" w14:textId="77777777" w:rsidR="00AF2884" w:rsidRPr="008E2886" w:rsidRDefault="00AF2884" w:rsidP="00AF2884">
            <w:pPr>
              <w:pStyle w:val="TableText"/>
              <w:tabs>
                <w:tab w:val="left" w:pos="3306"/>
              </w:tabs>
              <w:spacing w:before="0"/>
              <w:jc w:val="right"/>
              <w:rPr>
                <w:rFonts w:cs="Calibri"/>
              </w:rPr>
            </w:pPr>
          </w:p>
        </w:tc>
        <w:tc>
          <w:tcPr>
            <w:tcW w:w="1278" w:type="dxa"/>
            <w:tcBorders>
              <w:top w:val="nil"/>
              <w:left w:val="nil"/>
              <w:bottom w:val="single" w:sz="4" w:space="0" w:color="auto"/>
              <w:right w:val="nil"/>
            </w:tcBorders>
          </w:tcPr>
          <w:p w14:paraId="04B3EB22" w14:textId="77777777" w:rsidR="00AF2884" w:rsidRPr="008E2886" w:rsidRDefault="00AF2884" w:rsidP="00AF2884">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6B14F2EE" w14:textId="0B317DCD" w:rsidR="00AF2884" w:rsidRPr="008E2886" w:rsidRDefault="00AF2884" w:rsidP="00AF2884">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1DB8933E" w14:textId="77777777" w:rsidR="00AF2884" w:rsidRPr="008E2886" w:rsidRDefault="00AF2884" w:rsidP="00AF2884">
            <w:pPr>
              <w:pStyle w:val="TableText"/>
              <w:tabs>
                <w:tab w:val="left" w:pos="3306"/>
              </w:tabs>
              <w:spacing w:before="0"/>
              <w:jc w:val="right"/>
              <w:rPr>
                <w:rFonts w:cs="Calibri"/>
              </w:rPr>
            </w:pPr>
          </w:p>
        </w:tc>
        <w:tc>
          <w:tcPr>
            <w:tcW w:w="851" w:type="dxa"/>
            <w:tcBorders>
              <w:top w:val="nil"/>
              <w:left w:val="nil"/>
              <w:bottom w:val="single" w:sz="4" w:space="0" w:color="auto"/>
              <w:right w:val="nil"/>
            </w:tcBorders>
            <w:shd w:val="clear" w:color="auto" w:fill="auto"/>
            <w:vAlign w:val="bottom"/>
          </w:tcPr>
          <w:p w14:paraId="4CF571E3" w14:textId="77777777" w:rsidR="00AF2884" w:rsidRPr="008E2886" w:rsidRDefault="00AF2884" w:rsidP="00AF2884">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F1EEC6D" w14:textId="77777777" w:rsidR="00AF2884" w:rsidRPr="008E2886" w:rsidRDefault="00AF2884" w:rsidP="00AF2884">
            <w:pPr>
              <w:pStyle w:val="TableText"/>
              <w:tabs>
                <w:tab w:val="left" w:pos="3306"/>
              </w:tabs>
              <w:spacing w:before="0"/>
              <w:jc w:val="right"/>
              <w:rPr>
                <w:rFonts w:cs="Calibri"/>
              </w:rPr>
            </w:pPr>
          </w:p>
        </w:tc>
      </w:tr>
      <w:tr w:rsidR="00AF2884" w:rsidRPr="00CF7E1B" w14:paraId="365BF4B8" w14:textId="77777777" w:rsidTr="004D1EC6">
        <w:trPr>
          <w:cantSplit/>
          <w:trHeight w:val="383"/>
        </w:trPr>
        <w:tc>
          <w:tcPr>
            <w:tcW w:w="1476" w:type="dxa"/>
            <w:tcBorders>
              <w:top w:val="nil"/>
              <w:left w:val="single" w:sz="2" w:space="0" w:color="auto"/>
              <w:bottom w:val="nil"/>
              <w:right w:val="single" w:sz="2" w:space="0" w:color="auto"/>
            </w:tcBorders>
          </w:tcPr>
          <w:p w14:paraId="0426178E"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tcPr>
          <w:p w14:paraId="44625709" w14:textId="77777777" w:rsidR="00AF2884" w:rsidRPr="008E2886" w:rsidRDefault="00AF2884" w:rsidP="00AF2884">
            <w:pPr>
              <w:pStyle w:val="TableReference"/>
              <w:rPr>
                <w:rFonts w:cs="Calibri"/>
                <w:color w:val="auto"/>
                <w:sz w:val="18"/>
                <w:szCs w:val="18"/>
              </w:rPr>
            </w:pPr>
            <w:r w:rsidRPr="008E2886">
              <w:rPr>
                <w:rFonts w:cs="Calibri"/>
                <w:b/>
                <w:iCs/>
                <w:color w:val="auto"/>
                <w:sz w:val="18"/>
                <w:szCs w:val="16"/>
              </w:rPr>
              <w:t>Total Transactions Involving Owners Affecting Accumulated Funds</w:t>
            </w:r>
          </w:p>
        </w:tc>
        <w:tc>
          <w:tcPr>
            <w:tcW w:w="708" w:type="dxa"/>
            <w:tcBorders>
              <w:top w:val="nil"/>
              <w:left w:val="nil"/>
              <w:bottom w:val="nil"/>
              <w:right w:val="nil"/>
            </w:tcBorders>
            <w:vAlign w:val="bottom"/>
          </w:tcPr>
          <w:p w14:paraId="0BB1D3CE" w14:textId="77777777" w:rsidR="00AF2884" w:rsidRPr="008E2886" w:rsidRDefault="00AF2884" w:rsidP="00AF2884">
            <w:pPr>
              <w:pStyle w:val="TableReference"/>
              <w:rPr>
                <w:rFonts w:cs="Calibri"/>
                <w:color w:val="auto"/>
              </w:rPr>
            </w:pPr>
          </w:p>
        </w:tc>
        <w:tc>
          <w:tcPr>
            <w:tcW w:w="709" w:type="dxa"/>
            <w:tcBorders>
              <w:top w:val="single" w:sz="4" w:space="0" w:color="auto"/>
              <w:left w:val="nil"/>
              <w:bottom w:val="single" w:sz="4" w:space="0" w:color="auto"/>
              <w:right w:val="nil"/>
            </w:tcBorders>
            <w:shd w:val="clear" w:color="auto" w:fill="auto"/>
            <w:vAlign w:val="bottom"/>
          </w:tcPr>
          <w:p w14:paraId="40175004" w14:textId="77777777" w:rsidR="00AF2884" w:rsidRPr="008E2886" w:rsidRDefault="00AF2884" w:rsidP="00AF2884">
            <w:pPr>
              <w:pStyle w:val="TableText"/>
              <w:tabs>
                <w:tab w:val="left" w:pos="3306"/>
              </w:tabs>
              <w:spacing w:before="0"/>
              <w:jc w:val="right"/>
              <w:rPr>
                <w:rFonts w:cs="Calibri"/>
                <w:b/>
                <w:highlight w:val="cyan"/>
              </w:rPr>
            </w:pPr>
          </w:p>
        </w:tc>
        <w:tc>
          <w:tcPr>
            <w:tcW w:w="1278" w:type="dxa"/>
            <w:tcBorders>
              <w:top w:val="single" w:sz="4" w:space="0" w:color="auto"/>
              <w:left w:val="nil"/>
              <w:bottom w:val="single" w:sz="4" w:space="0" w:color="auto"/>
              <w:right w:val="nil"/>
            </w:tcBorders>
          </w:tcPr>
          <w:p w14:paraId="6CF5964D" w14:textId="77777777" w:rsidR="00AF2884" w:rsidRPr="008E2886" w:rsidRDefault="00AF2884" w:rsidP="00AF2884">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vAlign w:val="bottom"/>
          </w:tcPr>
          <w:p w14:paraId="59657C8C" w14:textId="055019AC" w:rsidR="00AF2884" w:rsidRPr="008E2886" w:rsidRDefault="00AF2884" w:rsidP="00AF2884">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vAlign w:val="bottom"/>
          </w:tcPr>
          <w:p w14:paraId="2567F18F" w14:textId="77777777" w:rsidR="00AF2884" w:rsidRPr="008E2886" w:rsidRDefault="00AF2884" w:rsidP="00AF2884">
            <w:pPr>
              <w:pStyle w:val="TableText"/>
              <w:tabs>
                <w:tab w:val="left" w:pos="3306"/>
              </w:tabs>
              <w:spacing w:before="0"/>
              <w:jc w:val="right"/>
              <w:rPr>
                <w:rFonts w:cs="Calibri"/>
                <w:b/>
                <w:highlight w:val="cyan"/>
              </w:rPr>
            </w:pPr>
          </w:p>
        </w:tc>
        <w:tc>
          <w:tcPr>
            <w:tcW w:w="851" w:type="dxa"/>
            <w:tcBorders>
              <w:top w:val="single" w:sz="4" w:space="0" w:color="auto"/>
              <w:left w:val="nil"/>
              <w:bottom w:val="single" w:sz="4" w:space="0" w:color="auto"/>
              <w:right w:val="nil"/>
            </w:tcBorders>
            <w:shd w:val="clear" w:color="auto" w:fill="auto"/>
            <w:vAlign w:val="bottom"/>
          </w:tcPr>
          <w:p w14:paraId="1FAAC79A" w14:textId="77777777" w:rsidR="00AF2884" w:rsidRPr="008E2886" w:rsidRDefault="00AF2884" w:rsidP="00AF2884">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vAlign w:val="bottom"/>
          </w:tcPr>
          <w:p w14:paraId="75B831D0" w14:textId="77777777" w:rsidR="00AF2884" w:rsidRPr="008E2886" w:rsidRDefault="00AF2884" w:rsidP="00AF2884">
            <w:pPr>
              <w:pStyle w:val="TableText"/>
              <w:tabs>
                <w:tab w:val="left" w:pos="3306"/>
              </w:tabs>
              <w:spacing w:before="0"/>
              <w:jc w:val="right"/>
              <w:rPr>
                <w:rFonts w:cs="Calibri"/>
                <w:b/>
                <w:highlight w:val="cyan"/>
              </w:rPr>
            </w:pPr>
          </w:p>
        </w:tc>
      </w:tr>
      <w:tr w:rsidR="00AF2884" w:rsidRPr="00CF7E1B" w14:paraId="2A27A2F6" w14:textId="77777777" w:rsidTr="004D1EC6">
        <w:trPr>
          <w:cantSplit/>
          <w:trHeight w:val="20"/>
        </w:trPr>
        <w:tc>
          <w:tcPr>
            <w:tcW w:w="1476" w:type="dxa"/>
            <w:tcBorders>
              <w:top w:val="nil"/>
              <w:left w:val="single" w:sz="2" w:space="0" w:color="auto"/>
              <w:bottom w:val="nil"/>
              <w:right w:val="single" w:sz="2" w:space="0" w:color="auto"/>
            </w:tcBorders>
          </w:tcPr>
          <w:p w14:paraId="00C80FF0"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16181C8B" w14:textId="77777777" w:rsidR="00AF2884" w:rsidRPr="008E2886" w:rsidRDefault="00AF2884" w:rsidP="00AF2884">
            <w:pPr>
              <w:pStyle w:val="TableText"/>
              <w:tabs>
                <w:tab w:val="left" w:pos="3306"/>
              </w:tabs>
              <w:rPr>
                <w:rFonts w:cs="Calibri"/>
                <w:b/>
                <w:bCs/>
                <w:highlight w:val="cyan"/>
              </w:rPr>
            </w:pPr>
          </w:p>
        </w:tc>
        <w:tc>
          <w:tcPr>
            <w:tcW w:w="708" w:type="dxa"/>
            <w:tcBorders>
              <w:top w:val="nil"/>
              <w:left w:val="nil"/>
              <w:bottom w:val="nil"/>
              <w:right w:val="nil"/>
            </w:tcBorders>
            <w:vAlign w:val="bottom"/>
          </w:tcPr>
          <w:p w14:paraId="360BB65F"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single" w:sz="4" w:space="0" w:color="auto"/>
              <w:right w:val="nil"/>
            </w:tcBorders>
            <w:shd w:val="clear" w:color="auto" w:fill="auto"/>
            <w:vAlign w:val="bottom"/>
          </w:tcPr>
          <w:p w14:paraId="7A60307D" w14:textId="77777777" w:rsidR="00AF2884" w:rsidRPr="008E2886" w:rsidRDefault="00AF2884" w:rsidP="00AF2884">
            <w:pPr>
              <w:pStyle w:val="TableText"/>
              <w:tabs>
                <w:tab w:val="left" w:pos="3306"/>
              </w:tabs>
              <w:jc w:val="right"/>
              <w:rPr>
                <w:rFonts w:cs="Calibri"/>
                <w:b/>
                <w:bCs/>
                <w:highlight w:val="cyan"/>
              </w:rPr>
            </w:pPr>
          </w:p>
        </w:tc>
        <w:tc>
          <w:tcPr>
            <w:tcW w:w="1278" w:type="dxa"/>
            <w:tcBorders>
              <w:top w:val="single" w:sz="4" w:space="0" w:color="auto"/>
              <w:left w:val="nil"/>
              <w:bottom w:val="single" w:sz="4" w:space="0" w:color="auto"/>
              <w:right w:val="nil"/>
            </w:tcBorders>
          </w:tcPr>
          <w:p w14:paraId="5BABF34E" w14:textId="77777777" w:rsidR="00AF2884" w:rsidRPr="008E2886" w:rsidRDefault="00AF2884" w:rsidP="00AF2884">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573128FD" w14:textId="2493F85E" w:rsidR="00AF2884" w:rsidRPr="008E2886" w:rsidRDefault="00AF2884" w:rsidP="00AF2884">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13FE5C3D" w14:textId="77777777" w:rsidR="00AF2884" w:rsidRPr="008E2886" w:rsidRDefault="00AF2884" w:rsidP="00AF2884">
            <w:pPr>
              <w:pStyle w:val="TableText"/>
              <w:tabs>
                <w:tab w:val="left" w:pos="3306"/>
              </w:tabs>
              <w:jc w:val="right"/>
              <w:rPr>
                <w:rFonts w:cs="Calibri"/>
                <w:b/>
                <w:bCs/>
                <w:highlight w:val="cyan"/>
              </w:rPr>
            </w:pPr>
          </w:p>
        </w:tc>
        <w:tc>
          <w:tcPr>
            <w:tcW w:w="851" w:type="dxa"/>
            <w:tcBorders>
              <w:top w:val="single" w:sz="4" w:space="0" w:color="auto"/>
              <w:left w:val="nil"/>
              <w:bottom w:val="single" w:sz="4" w:space="0" w:color="auto"/>
              <w:right w:val="nil"/>
            </w:tcBorders>
            <w:shd w:val="clear" w:color="auto" w:fill="auto"/>
            <w:vAlign w:val="bottom"/>
          </w:tcPr>
          <w:p w14:paraId="202539F9" w14:textId="77777777" w:rsidR="00AF2884" w:rsidRPr="008E2886" w:rsidRDefault="00AF2884" w:rsidP="00AF2884">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4F2DC692" w14:textId="77777777" w:rsidR="00AF2884" w:rsidRPr="008E2886" w:rsidRDefault="00AF2884" w:rsidP="00AF2884">
            <w:pPr>
              <w:pStyle w:val="TableText"/>
              <w:tabs>
                <w:tab w:val="left" w:pos="3306"/>
              </w:tabs>
              <w:jc w:val="right"/>
              <w:rPr>
                <w:rFonts w:cs="Calibri"/>
                <w:b/>
                <w:bCs/>
              </w:rPr>
            </w:pPr>
          </w:p>
        </w:tc>
      </w:tr>
      <w:tr w:rsidR="00AF2884" w:rsidRPr="00CF7E1B" w14:paraId="425848FB" w14:textId="77777777" w:rsidTr="004D1EC6">
        <w:trPr>
          <w:cantSplit/>
          <w:trHeight w:val="20"/>
        </w:trPr>
        <w:tc>
          <w:tcPr>
            <w:tcW w:w="1476" w:type="dxa"/>
            <w:tcBorders>
              <w:top w:val="nil"/>
              <w:left w:val="single" w:sz="2" w:space="0" w:color="auto"/>
              <w:bottom w:val="nil"/>
              <w:right w:val="single" w:sz="2" w:space="0" w:color="auto"/>
            </w:tcBorders>
          </w:tcPr>
          <w:p w14:paraId="4DA37BA0"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3CA952D" w14:textId="63323E80" w:rsidR="00AF2884" w:rsidRPr="008E2886" w:rsidRDefault="00AF2884" w:rsidP="00AF2884">
            <w:pPr>
              <w:pStyle w:val="TableText"/>
              <w:tabs>
                <w:tab w:val="left" w:pos="3306"/>
              </w:tabs>
              <w:rPr>
                <w:rFonts w:cs="Calibri"/>
                <w:b/>
                <w:bCs/>
              </w:rPr>
            </w:pPr>
            <w:r w:rsidRPr="008E2886">
              <w:rPr>
                <w:rFonts w:cs="Calibri"/>
                <w:b/>
                <w:bCs/>
              </w:rPr>
              <w:t xml:space="preserve">Balance at 30 June </w:t>
            </w:r>
            <w:r w:rsidR="00900082" w:rsidRPr="008E2886">
              <w:rPr>
                <w:rFonts w:cs="Calibri"/>
                <w:b/>
                <w:bCs/>
              </w:rPr>
              <w:t>202</w:t>
            </w:r>
            <w:r w:rsidR="00D50594">
              <w:rPr>
                <w:rFonts w:cs="Calibri"/>
                <w:b/>
                <w:bCs/>
              </w:rPr>
              <w:t>3</w:t>
            </w:r>
          </w:p>
        </w:tc>
        <w:tc>
          <w:tcPr>
            <w:tcW w:w="708" w:type="dxa"/>
            <w:tcBorders>
              <w:top w:val="nil"/>
              <w:left w:val="nil"/>
              <w:bottom w:val="nil"/>
              <w:right w:val="nil"/>
            </w:tcBorders>
            <w:vAlign w:val="bottom"/>
          </w:tcPr>
          <w:p w14:paraId="5DC98FFA"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double" w:sz="4" w:space="0" w:color="auto"/>
              <w:right w:val="nil"/>
            </w:tcBorders>
            <w:shd w:val="clear" w:color="auto" w:fill="auto"/>
            <w:vAlign w:val="bottom"/>
          </w:tcPr>
          <w:p w14:paraId="18A53F3E" w14:textId="77777777" w:rsidR="00AF2884" w:rsidRPr="008E2886" w:rsidRDefault="00AF2884" w:rsidP="00AF2884">
            <w:pPr>
              <w:pStyle w:val="TableText"/>
              <w:tabs>
                <w:tab w:val="left" w:pos="3306"/>
              </w:tabs>
              <w:jc w:val="right"/>
              <w:rPr>
                <w:rFonts w:cs="Calibri"/>
                <w:b/>
                <w:bCs/>
                <w:strike/>
              </w:rPr>
            </w:pPr>
          </w:p>
        </w:tc>
        <w:tc>
          <w:tcPr>
            <w:tcW w:w="1278" w:type="dxa"/>
            <w:tcBorders>
              <w:top w:val="single" w:sz="4" w:space="0" w:color="auto"/>
              <w:left w:val="nil"/>
              <w:bottom w:val="double" w:sz="4" w:space="0" w:color="auto"/>
              <w:right w:val="nil"/>
            </w:tcBorders>
          </w:tcPr>
          <w:p w14:paraId="54A571B2" w14:textId="77777777" w:rsidR="00AF2884" w:rsidRPr="008E2886" w:rsidRDefault="00AF2884" w:rsidP="00AF2884">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1677E3B3" w14:textId="6EA1EA46" w:rsidR="00AF2884" w:rsidRPr="008E2886" w:rsidRDefault="00AF2884" w:rsidP="00AF2884">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10670A05" w14:textId="77777777" w:rsidR="00AF2884" w:rsidRPr="008E2886" w:rsidRDefault="00AF2884" w:rsidP="00AF2884">
            <w:pPr>
              <w:pStyle w:val="TableText"/>
              <w:tabs>
                <w:tab w:val="left" w:pos="3306"/>
              </w:tabs>
              <w:jc w:val="right"/>
              <w:rPr>
                <w:rFonts w:cs="Calibri"/>
                <w:b/>
                <w:bCs/>
              </w:rPr>
            </w:pPr>
          </w:p>
        </w:tc>
        <w:tc>
          <w:tcPr>
            <w:tcW w:w="851" w:type="dxa"/>
            <w:tcBorders>
              <w:top w:val="single" w:sz="4" w:space="0" w:color="auto"/>
              <w:left w:val="nil"/>
              <w:bottom w:val="double" w:sz="4" w:space="0" w:color="auto"/>
              <w:right w:val="nil"/>
            </w:tcBorders>
            <w:shd w:val="clear" w:color="auto" w:fill="auto"/>
            <w:vAlign w:val="bottom"/>
          </w:tcPr>
          <w:p w14:paraId="5BF819F0" w14:textId="77777777" w:rsidR="00AF2884" w:rsidRPr="008E2886" w:rsidRDefault="00AF2884" w:rsidP="00AF2884">
            <w:pPr>
              <w:pStyle w:val="TableText"/>
              <w:tabs>
                <w:tab w:val="left" w:pos="3306"/>
              </w:tabs>
              <w:jc w:val="right"/>
              <w:rPr>
                <w:rFonts w:cs="Calibri"/>
                <w:b/>
                <w:bCs/>
                <w:strike/>
              </w:rPr>
            </w:pPr>
          </w:p>
        </w:tc>
        <w:tc>
          <w:tcPr>
            <w:tcW w:w="850" w:type="dxa"/>
            <w:tcBorders>
              <w:top w:val="single" w:sz="4" w:space="0" w:color="auto"/>
              <w:left w:val="nil"/>
              <w:bottom w:val="double" w:sz="4" w:space="0" w:color="auto"/>
              <w:right w:val="nil"/>
            </w:tcBorders>
            <w:shd w:val="clear" w:color="auto" w:fill="auto"/>
            <w:vAlign w:val="bottom"/>
          </w:tcPr>
          <w:p w14:paraId="5807E7E6" w14:textId="77777777" w:rsidR="00AF2884" w:rsidRPr="008E2886" w:rsidRDefault="00AF2884" w:rsidP="00AF2884">
            <w:pPr>
              <w:pStyle w:val="TableText"/>
              <w:tabs>
                <w:tab w:val="left" w:pos="3306"/>
              </w:tabs>
              <w:jc w:val="right"/>
              <w:rPr>
                <w:rFonts w:cs="Calibri"/>
                <w:b/>
                <w:bCs/>
              </w:rPr>
            </w:pPr>
          </w:p>
        </w:tc>
      </w:tr>
      <w:tr w:rsidR="00AF2884" w:rsidRPr="00CF7E1B" w14:paraId="6064F9DC" w14:textId="77777777" w:rsidTr="004D1EC6">
        <w:trPr>
          <w:cantSplit/>
          <w:trHeight w:val="197"/>
        </w:trPr>
        <w:tc>
          <w:tcPr>
            <w:tcW w:w="1476" w:type="dxa"/>
            <w:tcBorders>
              <w:top w:val="nil"/>
              <w:left w:val="single" w:sz="2" w:space="0" w:color="auto"/>
              <w:bottom w:val="nil"/>
              <w:right w:val="single" w:sz="2" w:space="0" w:color="auto"/>
            </w:tcBorders>
          </w:tcPr>
          <w:p w14:paraId="4FF4AAA3" w14:textId="77777777" w:rsidR="00AF2884" w:rsidRPr="008E2886" w:rsidRDefault="00AF2884" w:rsidP="00AF2884">
            <w:pPr>
              <w:pStyle w:val="TableReference"/>
              <w:tabs>
                <w:tab w:val="left" w:pos="3306"/>
              </w:tabs>
              <w:spacing w:before="40"/>
              <w:rPr>
                <w:rFonts w:cs="Calibri"/>
                <w:color w:val="7030A0"/>
              </w:rPr>
            </w:pPr>
          </w:p>
        </w:tc>
        <w:tc>
          <w:tcPr>
            <w:tcW w:w="2410" w:type="dxa"/>
            <w:tcBorders>
              <w:top w:val="nil"/>
              <w:left w:val="single" w:sz="2" w:space="0" w:color="auto"/>
              <w:bottom w:val="nil"/>
              <w:right w:val="nil"/>
            </w:tcBorders>
          </w:tcPr>
          <w:p w14:paraId="784306CE" w14:textId="77777777" w:rsidR="00AF2884" w:rsidRPr="00CF7E1B" w:rsidRDefault="00AF2884" w:rsidP="00AF2884">
            <w:pPr>
              <w:tabs>
                <w:tab w:val="left" w:pos="3306"/>
              </w:tabs>
              <w:spacing w:before="60" w:after="60"/>
              <w:rPr>
                <w:rFonts w:cs="Calibri"/>
                <w:b/>
                <w:bCs/>
                <w:sz w:val="18"/>
              </w:rPr>
            </w:pPr>
          </w:p>
        </w:tc>
        <w:tc>
          <w:tcPr>
            <w:tcW w:w="708" w:type="dxa"/>
            <w:tcBorders>
              <w:top w:val="nil"/>
              <w:left w:val="nil"/>
              <w:bottom w:val="nil"/>
              <w:right w:val="nil"/>
            </w:tcBorders>
            <w:vAlign w:val="bottom"/>
          </w:tcPr>
          <w:p w14:paraId="3E68F3A3" w14:textId="77777777" w:rsidR="00AF2884" w:rsidRPr="00CF7E1B" w:rsidRDefault="00AF2884" w:rsidP="00AF2884">
            <w:pPr>
              <w:pStyle w:val="TableText"/>
              <w:tabs>
                <w:tab w:val="left" w:pos="3306"/>
              </w:tabs>
              <w:jc w:val="center"/>
              <w:rPr>
                <w:rFonts w:cs="Calibri"/>
              </w:rPr>
            </w:pPr>
          </w:p>
        </w:tc>
        <w:tc>
          <w:tcPr>
            <w:tcW w:w="709" w:type="dxa"/>
            <w:tcBorders>
              <w:top w:val="double" w:sz="4" w:space="0" w:color="auto"/>
              <w:left w:val="nil"/>
              <w:bottom w:val="nil"/>
              <w:right w:val="nil"/>
            </w:tcBorders>
            <w:shd w:val="clear" w:color="auto" w:fill="auto"/>
            <w:vAlign w:val="bottom"/>
          </w:tcPr>
          <w:p w14:paraId="5B579625" w14:textId="77777777" w:rsidR="00AF2884" w:rsidRPr="00CF7E1B" w:rsidRDefault="00AF2884" w:rsidP="00AF2884">
            <w:pPr>
              <w:pStyle w:val="TableText"/>
              <w:tabs>
                <w:tab w:val="left" w:pos="3306"/>
              </w:tabs>
              <w:jc w:val="right"/>
              <w:rPr>
                <w:rFonts w:cs="Calibri"/>
              </w:rPr>
            </w:pPr>
          </w:p>
        </w:tc>
        <w:tc>
          <w:tcPr>
            <w:tcW w:w="1278" w:type="dxa"/>
            <w:tcBorders>
              <w:top w:val="double" w:sz="4" w:space="0" w:color="auto"/>
              <w:left w:val="nil"/>
              <w:bottom w:val="nil"/>
              <w:right w:val="nil"/>
            </w:tcBorders>
          </w:tcPr>
          <w:p w14:paraId="3FB84D47" w14:textId="77777777" w:rsidR="00AF2884" w:rsidRPr="00CF7E1B" w:rsidRDefault="00AF2884" w:rsidP="00AF2884">
            <w:pPr>
              <w:pStyle w:val="TableText"/>
              <w:tabs>
                <w:tab w:val="left" w:pos="3306"/>
              </w:tabs>
              <w:jc w:val="right"/>
              <w:rPr>
                <w:rFonts w:cs="Calibri"/>
              </w:rPr>
            </w:pPr>
          </w:p>
        </w:tc>
        <w:tc>
          <w:tcPr>
            <w:tcW w:w="1134" w:type="dxa"/>
            <w:tcBorders>
              <w:top w:val="double" w:sz="4" w:space="0" w:color="auto"/>
              <w:left w:val="nil"/>
              <w:bottom w:val="nil"/>
              <w:right w:val="nil"/>
            </w:tcBorders>
            <w:shd w:val="clear" w:color="auto" w:fill="auto"/>
            <w:vAlign w:val="bottom"/>
          </w:tcPr>
          <w:p w14:paraId="4A27F2CA" w14:textId="6A0793A7" w:rsidR="00AF2884" w:rsidRPr="00CF7E1B" w:rsidRDefault="00AF2884" w:rsidP="00AF2884">
            <w:pPr>
              <w:pStyle w:val="TableText"/>
              <w:tabs>
                <w:tab w:val="left" w:pos="3306"/>
              </w:tabs>
              <w:jc w:val="right"/>
              <w:rPr>
                <w:rFonts w:cs="Calibri"/>
              </w:rPr>
            </w:pPr>
          </w:p>
        </w:tc>
        <w:tc>
          <w:tcPr>
            <w:tcW w:w="992" w:type="dxa"/>
            <w:tcBorders>
              <w:top w:val="double" w:sz="4" w:space="0" w:color="auto"/>
              <w:left w:val="nil"/>
              <w:bottom w:val="nil"/>
              <w:right w:val="nil"/>
            </w:tcBorders>
            <w:shd w:val="clear" w:color="auto" w:fill="auto"/>
            <w:vAlign w:val="bottom"/>
          </w:tcPr>
          <w:p w14:paraId="799A180E" w14:textId="77777777" w:rsidR="00AF2884" w:rsidRPr="00CF7E1B" w:rsidRDefault="00AF2884" w:rsidP="00AF2884">
            <w:pPr>
              <w:pStyle w:val="TableText"/>
              <w:tabs>
                <w:tab w:val="left" w:pos="3306"/>
              </w:tabs>
              <w:jc w:val="right"/>
              <w:rPr>
                <w:rFonts w:cs="Calibri"/>
              </w:rPr>
            </w:pPr>
          </w:p>
        </w:tc>
        <w:tc>
          <w:tcPr>
            <w:tcW w:w="851" w:type="dxa"/>
            <w:tcBorders>
              <w:top w:val="double" w:sz="4" w:space="0" w:color="auto"/>
              <w:left w:val="nil"/>
              <w:bottom w:val="nil"/>
              <w:right w:val="nil"/>
            </w:tcBorders>
            <w:shd w:val="clear" w:color="auto" w:fill="auto"/>
            <w:vAlign w:val="bottom"/>
          </w:tcPr>
          <w:p w14:paraId="2799C7C6" w14:textId="77777777" w:rsidR="00AF2884" w:rsidRPr="00CF7E1B" w:rsidRDefault="00AF2884" w:rsidP="00AF2884">
            <w:pPr>
              <w:pStyle w:val="TableText"/>
              <w:tabs>
                <w:tab w:val="left" w:pos="3306"/>
              </w:tabs>
              <w:jc w:val="right"/>
              <w:rPr>
                <w:rFonts w:cs="Calibri"/>
              </w:rPr>
            </w:pPr>
          </w:p>
        </w:tc>
        <w:tc>
          <w:tcPr>
            <w:tcW w:w="850" w:type="dxa"/>
            <w:tcBorders>
              <w:top w:val="double" w:sz="4" w:space="0" w:color="auto"/>
              <w:left w:val="nil"/>
              <w:bottom w:val="nil"/>
              <w:right w:val="nil"/>
            </w:tcBorders>
            <w:shd w:val="clear" w:color="auto" w:fill="auto"/>
            <w:vAlign w:val="bottom"/>
          </w:tcPr>
          <w:p w14:paraId="5191C5FA" w14:textId="77777777" w:rsidR="00AF2884" w:rsidRPr="00CF7E1B" w:rsidRDefault="00AF2884" w:rsidP="00AF2884">
            <w:pPr>
              <w:pStyle w:val="TableText"/>
              <w:tabs>
                <w:tab w:val="left" w:pos="3306"/>
              </w:tabs>
              <w:jc w:val="right"/>
              <w:rPr>
                <w:rFonts w:cs="Calibri"/>
              </w:rPr>
            </w:pPr>
          </w:p>
        </w:tc>
      </w:tr>
      <w:tr w:rsidR="00900082" w:rsidRPr="00CF7E1B" w14:paraId="1C05DD66" w14:textId="77777777" w:rsidTr="004D1EC6">
        <w:trPr>
          <w:cantSplit/>
          <w:trHeight w:val="237"/>
        </w:trPr>
        <w:tc>
          <w:tcPr>
            <w:tcW w:w="1476" w:type="dxa"/>
            <w:tcBorders>
              <w:top w:val="nil"/>
              <w:left w:val="single" w:sz="2" w:space="0" w:color="auto"/>
              <w:bottom w:val="nil"/>
              <w:right w:val="single" w:sz="2" w:space="0" w:color="auto"/>
            </w:tcBorders>
          </w:tcPr>
          <w:p w14:paraId="1CD2584C" w14:textId="77777777" w:rsidR="00900082" w:rsidRPr="008E2886" w:rsidRDefault="00900082"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4C921A40" w14:textId="1C796DF1" w:rsidR="00900082" w:rsidRPr="00CF7E1B" w:rsidRDefault="00900082" w:rsidP="00AF2884">
            <w:pPr>
              <w:pStyle w:val="TableText"/>
              <w:tabs>
                <w:tab w:val="left" w:pos="3306"/>
              </w:tabs>
              <w:spacing w:before="0"/>
              <w:rPr>
                <w:rFonts w:cs="Calibri"/>
                <w:bCs/>
                <w:sz w:val="14"/>
                <w:szCs w:val="14"/>
              </w:rPr>
            </w:pPr>
            <w:r w:rsidRPr="001F6B32">
              <w:rPr>
                <w:rFonts w:cs="Calibri"/>
                <w:bCs/>
              </w:rPr>
              <w:t xml:space="preserve">The above Statement of Changes in Equity </w:t>
            </w:r>
            <w:r>
              <w:rPr>
                <w:rFonts w:cs="Calibri"/>
                <w:bCs/>
              </w:rPr>
              <w:t xml:space="preserve">is to be </w:t>
            </w:r>
            <w:r w:rsidRPr="001F6B32">
              <w:rPr>
                <w:rFonts w:cs="Calibri"/>
                <w:bCs/>
              </w:rPr>
              <w:t>read in conjunction with the accompanying notes</w:t>
            </w:r>
            <w:r w:rsidRPr="00CF7E1B">
              <w:rPr>
                <w:rFonts w:cs="Calibri"/>
                <w:bCs/>
                <w:sz w:val="14"/>
                <w:szCs w:val="14"/>
              </w:rPr>
              <w:t>.</w:t>
            </w:r>
          </w:p>
        </w:tc>
      </w:tr>
      <w:tr w:rsidR="009F2845" w:rsidRPr="00CF7E1B" w14:paraId="4434C96D" w14:textId="77777777" w:rsidTr="004D1EC6">
        <w:trPr>
          <w:cantSplit/>
          <w:trHeight w:val="237"/>
        </w:trPr>
        <w:tc>
          <w:tcPr>
            <w:tcW w:w="1476" w:type="dxa"/>
            <w:tcBorders>
              <w:top w:val="nil"/>
              <w:left w:val="single" w:sz="2" w:space="0" w:color="auto"/>
              <w:bottom w:val="nil"/>
              <w:right w:val="single" w:sz="2" w:space="0" w:color="auto"/>
            </w:tcBorders>
          </w:tcPr>
          <w:p w14:paraId="1A8361A7"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3D461231" w14:textId="77777777" w:rsidR="009F2845" w:rsidRPr="001F6B32" w:rsidRDefault="009F2845" w:rsidP="00AF2884">
            <w:pPr>
              <w:pStyle w:val="TableText"/>
              <w:tabs>
                <w:tab w:val="left" w:pos="3306"/>
              </w:tabs>
              <w:spacing w:before="0"/>
              <w:rPr>
                <w:rFonts w:cs="Calibri"/>
                <w:bCs/>
              </w:rPr>
            </w:pPr>
          </w:p>
        </w:tc>
      </w:tr>
      <w:tr w:rsidR="009F2845" w:rsidRPr="00CF7E1B" w14:paraId="36D62D22" w14:textId="77777777" w:rsidTr="004D1EC6">
        <w:trPr>
          <w:cantSplit/>
          <w:trHeight w:val="237"/>
        </w:trPr>
        <w:tc>
          <w:tcPr>
            <w:tcW w:w="1476" w:type="dxa"/>
            <w:tcBorders>
              <w:top w:val="nil"/>
              <w:left w:val="single" w:sz="2" w:space="0" w:color="auto"/>
              <w:bottom w:val="nil"/>
              <w:right w:val="single" w:sz="2" w:space="0" w:color="auto"/>
            </w:tcBorders>
          </w:tcPr>
          <w:p w14:paraId="3F1684BD"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5DEF0D18" w14:textId="38203C74" w:rsidR="009F2845" w:rsidRPr="001F6B32" w:rsidRDefault="009F2845" w:rsidP="00AF2884">
            <w:pPr>
              <w:pStyle w:val="TableText"/>
              <w:tabs>
                <w:tab w:val="left" w:pos="3306"/>
              </w:tabs>
              <w:spacing w:before="0"/>
              <w:rPr>
                <w:rFonts w:cs="Calibri"/>
                <w:bCs/>
              </w:rPr>
            </w:pPr>
            <w:r w:rsidRPr="00C93ED0">
              <w:rPr>
                <w:rFonts w:cs="Calibri"/>
                <w:color w:val="FF0000"/>
                <w:sz w:val="16"/>
              </w:rPr>
              <w:t># Refer to the Statement of Appropriation.</w:t>
            </w:r>
          </w:p>
        </w:tc>
      </w:tr>
    </w:tbl>
    <w:p w14:paraId="280B44DC" w14:textId="77777777" w:rsidR="003C13E7" w:rsidRDefault="006A4E19" w:rsidP="008305AF">
      <w:pPr>
        <w:jc w:val="center"/>
      </w:pPr>
      <w:r w:rsidRPr="00CF7E1B">
        <w:br w:type="page"/>
      </w:r>
    </w:p>
    <w:p w14:paraId="4101D3A4" w14:textId="68270686" w:rsidR="006A4E19" w:rsidRPr="008E2886" w:rsidRDefault="006A4E19" w:rsidP="008E0712">
      <w:pPr>
        <w:spacing w:before="120" w:line="400" w:lineRule="exact"/>
        <w:jc w:val="center"/>
        <w:rPr>
          <w:b/>
          <w:sz w:val="40"/>
          <w:szCs w:val="40"/>
        </w:rPr>
      </w:pPr>
      <w:r w:rsidRPr="008E2886">
        <w:rPr>
          <w:b/>
          <w:sz w:val="40"/>
          <w:szCs w:val="40"/>
        </w:rPr>
        <w:t>‘</w:t>
      </w:r>
      <w:r w:rsidR="00836324" w:rsidRPr="008E2886">
        <w:rPr>
          <w:b/>
          <w:sz w:val="40"/>
          <w:szCs w:val="40"/>
        </w:rPr>
        <w:t xml:space="preserve">Burley Griffin </w:t>
      </w:r>
      <w:r w:rsidRPr="008E2886">
        <w:rPr>
          <w:b/>
          <w:sz w:val="40"/>
          <w:szCs w:val="40"/>
        </w:rPr>
        <w:t>Agency’</w:t>
      </w:r>
    </w:p>
    <w:p w14:paraId="7E21056E" w14:textId="29F243B0" w:rsidR="006A4E19" w:rsidRPr="008E2886" w:rsidRDefault="006A4E19" w:rsidP="005C5347">
      <w:pPr>
        <w:spacing w:line="400" w:lineRule="exact"/>
        <w:jc w:val="center"/>
        <w:rPr>
          <w:b/>
          <w:sz w:val="40"/>
          <w:szCs w:val="40"/>
        </w:rPr>
      </w:pPr>
      <w:bookmarkStart w:id="187" w:name="_Toc253495254"/>
      <w:bookmarkStart w:id="188" w:name="_Toc257295329"/>
      <w:r w:rsidRPr="008E2886">
        <w:rPr>
          <w:b/>
          <w:sz w:val="40"/>
          <w:szCs w:val="40"/>
        </w:rPr>
        <w:t>Statement of Changes in Equity</w:t>
      </w:r>
      <w:r w:rsidR="00727166" w:rsidRPr="008E2886">
        <w:rPr>
          <w:b/>
          <w:sz w:val="40"/>
          <w:szCs w:val="40"/>
        </w:rPr>
        <w:t xml:space="preserve"> </w:t>
      </w:r>
      <w:r w:rsidR="00F54F4E">
        <w:rPr>
          <w:b/>
          <w:sz w:val="40"/>
          <w:szCs w:val="40"/>
        </w:rPr>
        <w:t>–</w:t>
      </w:r>
      <w:r w:rsidR="00727166" w:rsidRPr="008E2886">
        <w:rPr>
          <w:b/>
          <w:sz w:val="40"/>
          <w:szCs w:val="40"/>
        </w:rPr>
        <w:t xml:space="preserve"> Continued</w:t>
      </w:r>
      <w:bookmarkEnd w:id="187"/>
      <w:bookmarkEnd w:id="188"/>
      <w:r w:rsidR="00F54F4E">
        <w:rPr>
          <w:b/>
          <w:sz w:val="40"/>
          <w:szCs w:val="40"/>
        </w:rPr>
        <w:t xml:space="preserve"> </w:t>
      </w:r>
    </w:p>
    <w:p w14:paraId="53DA3868" w14:textId="1D7E0ABD" w:rsidR="006A4E19" w:rsidRPr="008E2886" w:rsidRDefault="006A4E19" w:rsidP="005C5347">
      <w:pPr>
        <w:spacing w:line="400" w:lineRule="exact"/>
        <w:jc w:val="center"/>
        <w:rPr>
          <w:rFonts w:cs="Calibri"/>
          <w:b/>
          <w:sz w:val="40"/>
          <w:szCs w:val="40"/>
        </w:rPr>
      </w:pPr>
      <w:r w:rsidRPr="008E2886">
        <w:rPr>
          <w:rFonts w:cs="Calibri"/>
          <w:b/>
          <w:sz w:val="40"/>
          <w:szCs w:val="40"/>
        </w:rPr>
        <w:t xml:space="preserve">For the Year Ended 30 June </w:t>
      </w:r>
      <w:r w:rsidR="002C33F9" w:rsidRPr="00D50594">
        <w:rPr>
          <w:rFonts w:cs="Calibri"/>
          <w:b/>
          <w:sz w:val="40"/>
          <w:szCs w:val="40"/>
        </w:rPr>
        <w:t>202</w:t>
      </w:r>
      <w:r w:rsidR="00D50594" w:rsidRPr="00D50594">
        <w:rPr>
          <w:rFonts w:cs="Calibri"/>
          <w:b/>
          <w:sz w:val="40"/>
          <w:szCs w:val="40"/>
        </w:rPr>
        <w:t>3</w:t>
      </w:r>
    </w:p>
    <w:tbl>
      <w:tblPr>
        <w:tblW w:w="10833"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8"/>
        <w:gridCol w:w="3260"/>
        <w:gridCol w:w="709"/>
        <w:gridCol w:w="1134"/>
        <w:gridCol w:w="1276"/>
        <w:gridCol w:w="1134"/>
        <w:gridCol w:w="992"/>
        <w:gridCol w:w="850"/>
      </w:tblGrid>
      <w:tr w:rsidR="00620D4E" w:rsidRPr="00CF7E1B" w14:paraId="1376B87F" w14:textId="77777777" w:rsidTr="004D1EC6">
        <w:trPr>
          <w:cantSplit/>
          <w:trHeight w:val="20"/>
        </w:trPr>
        <w:tc>
          <w:tcPr>
            <w:tcW w:w="1478" w:type="dxa"/>
            <w:tcBorders>
              <w:top w:val="nil"/>
              <w:left w:val="single" w:sz="2" w:space="0" w:color="auto"/>
              <w:bottom w:val="nil"/>
              <w:right w:val="single" w:sz="2" w:space="0" w:color="auto"/>
            </w:tcBorders>
          </w:tcPr>
          <w:p w14:paraId="695E50E0" w14:textId="77777777" w:rsidR="00620D4E" w:rsidRPr="008E2886" w:rsidRDefault="00620D4E" w:rsidP="00620D4E">
            <w:pPr>
              <w:pStyle w:val="Reference"/>
              <w:tabs>
                <w:tab w:val="left" w:pos="3306"/>
              </w:tabs>
              <w:rPr>
                <w:rFonts w:cs="Calibri"/>
                <w:color w:val="7030A0"/>
                <w:sz w:val="22"/>
                <w:szCs w:val="22"/>
              </w:rPr>
            </w:pPr>
            <w:r w:rsidRPr="008E2886">
              <w:rPr>
                <w:rFonts w:cs="Calibri"/>
                <w:color w:val="7030A0"/>
                <w:sz w:val="22"/>
                <w:szCs w:val="22"/>
              </w:rPr>
              <w:t>Reference</w:t>
            </w:r>
          </w:p>
        </w:tc>
        <w:tc>
          <w:tcPr>
            <w:tcW w:w="3260" w:type="dxa"/>
            <w:tcBorders>
              <w:top w:val="nil"/>
              <w:left w:val="single" w:sz="2" w:space="0" w:color="auto"/>
              <w:bottom w:val="nil"/>
              <w:right w:val="nil"/>
            </w:tcBorders>
            <w:vAlign w:val="bottom"/>
          </w:tcPr>
          <w:p w14:paraId="6251992F" w14:textId="77777777" w:rsidR="00620D4E" w:rsidRPr="00CF7E1B" w:rsidRDefault="00620D4E" w:rsidP="00620D4E">
            <w:pPr>
              <w:tabs>
                <w:tab w:val="left" w:pos="3306"/>
              </w:tabs>
              <w:rPr>
                <w:rFonts w:cs="Calibri"/>
              </w:rPr>
            </w:pPr>
          </w:p>
        </w:tc>
        <w:tc>
          <w:tcPr>
            <w:tcW w:w="709" w:type="dxa"/>
            <w:tcBorders>
              <w:top w:val="nil"/>
              <w:left w:val="nil"/>
              <w:bottom w:val="nil"/>
              <w:right w:val="nil"/>
            </w:tcBorders>
            <w:vAlign w:val="bottom"/>
          </w:tcPr>
          <w:p w14:paraId="6F6E8AEB" w14:textId="77777777" w:rsidR="00620D4E" w:rsidRPr="00CF7E1B" w:rsidRDefault="00620D4E" w:rsidP="00620D4E">
            <w:pPr>
              <w:pStyle w:val="TableTitle"/>
              <w:tabs>
                <w:tab w:val="left" w:pos="3306"/>
              </w:tabs>
              <w:jc w:val="center"/>
              <w:rPr>
                <w:rFonts w:cs="Calibri"/>
              </w:rPr>
            </w:pPr>
          </w:p>
        </w:tc>
        <w:tc>
          <w:tcPr>
            <w:tcW w:w="1134" w:type="dxa"/>
            <w:vMerge w:val="restart"/>
            <w:tcBorders>
              <w:top w:val="nil"/>
              <w:left w:val="nil"/>
              <w:right w:val="nil"/>
            </w:tcBorders>
            <w:vAlign w:val="bottom"/>
          </w:tcPr>
          <w:p w14:paraId="6402D4F5"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Contributed Equity</w:t>
            </w:r>
          </w:p>
          <w:p w14:paraId="5BB0B4C3"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Actual</w:t>
            </w:r>
          </w:p>
          <w:p w14:paraId="25137D0D" w14:textId="4D061AA4"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202</w:t>
            </w:r>
            <w:r w:rsidR="00D50594">
              <w:rPr>
                <w:rFonts w:cs="Calibri"/>
                <w:color w:val="2E74B5" w:themeColor="accent1" w:themeShade="BF"/>
              </w:rPr>
              <w:t>2</w:t>
            </w:r>
          </w:p>
          <w:p w14:paraId="0B491283" w14:textId="77B117E3" w:rsidR="00620D4E" w:rsidRPr="008E2886" w:rsidRDefault="00620D4E" w:rsidP="00620D4E">
            <w:pPr>
              <w:pStyle w:val="TableTitle"/>
              <w:tabs>
                <w:tab w:val="left" w:pos="3306"/>
              </w:tabs>
              <w:rPr>
                <w:rFonts w:cs="Calibri"/>
              </w:rPr>
            </w:pPr>
            <w:r w:rsidRPr="008E2886">
              <w:rPr>
                <w:rFonts w:cs="Calibri"/>
                <w:color w:val="2E74B5" w:themeColor="accent1" w:themeShade="BF"/>
              </w:rPr>
              <w:t>$’000</w:t>
            </w:r>
          </w:p>
        </w:tc>
        <w:tc>
          <w:tcPr>
            <w:tcW w:w="1276" w:type="dxa"/>
            <w:vMerge w:val="restart"/>
            <w:tcBorders>
              <w:top w:val="nil"/>
              <w:left w:val="nil"/>
              <w:right w:val="nil"/>
            </w:tcBorders>
            <w:shd w:val="clear" w:color="auto" w:fill="auto"/>
            <w:vAlign w:val="bottom"/>
          </w:tcPr>
          <w:p w14:paraId="3DFCD932" w14:textId="77777777" w:rsidR="00620D4E" w:rsidRPr="008E2886" w:rsidRDefault="00620D4E" w:rsidP="00620D4E">
            <w:pPr>
              <w:pStyle w:val="TableTitle"/>
              <w:tabs>
                <w:tab w:val="left" w:pos="3306"/>
              </w:tabs>
              <w:rPr>
                <w:rFonts w:cs="Calibri"/>
              </w:rPr>
            </w:pPr>
            <w:r w:rsidRPr="008E2886">
              <w:rPr>
                <w:rFonts w:cs="Calibri"/>
              </w:rPr>
              <w:t>Accumulated Funds</w:t>
            </w:r>
          </w:p>
          <w:p w14:paraId="28251FAB" w14:textId="77777777" w:rsidR="00620D4E" w:rsidRPr="008E2886" w:rsidRDefault="00620D4E" w:rsidP="00620D4E">
            <w:pPr>
              <w:pStyle w:val="TableTitle"/>
              <w:tabs>
                <w:tab w:val="left" w:pos="3306"/>
              </w:tabs>
              <w:rPr>
                <w:rFonts w:cs="Calibri"/>
              </w:rPr>
            </w:pPr>
            <w:r w:rsidRPr="008E2886">
              <w:rPr>
                <w:rFonts w:cs="Calibri"/>
              </w:rPr>
              <w:t>Actual</w:t>
            </w:r>
          </w:p>
          <w:p w14:paraId="333CA80E" w14:textId="40216188" w:rsidR="00620D4E" w:rsidRPr="0009580B" w:rsidRDefault="00620D4E" w:rsidP="00620D4E">
            <w:pPr>
              <w:pStyle w:val="TableTitle"/>
              <w:tabs>
                <w:tab w:val="left" w:pos="3306"/>
              </w:tabs>
              <w:rPr>
                <w:rFonts w:cs="Calibri"/>
              </w:rPr>
            </w:pPr>
            <w:r w:rsidRPr="008E2886">
              <w:rPr>
                <w:rFonts w:cs="Calibri"/>
              </w:rPr>
              <w:t>202</w:t>
            </w:r>
            <w:r w:rsidR="00D50594">
              <w:rPr>
                <w:rFonts w:cs="Calibri"/>
              </w:rPr>
              <w:t>2</w:t>
            </w:r>
          </w:p>
          <w:p w14:paraId="7ED45A52" w14:textId="3907FF1F" w:rsidR="00620D4E" w:rsidRPr="008E2886" w:rsidRDefault="00620D4E" w:rsidP="00620D4E">
            <w:pPr>
              <w:pStyle w:val="TableTitle"/>
              <w:tabs>
                <w:tab w:val="left" w:pos="3306"/>
              </w:tabs>
              <w:rPr>
                <w:rFonts w:cs="Calibri"/>
              </w:rPr>
            </w:pPr>
            <w:r w:rsidRPr="008E2886">
              <w:rPr>
                <w:rFonts w:cs="Calibri"/>
              </w:rPr>
              <w:t>$’000</w:t>
            </w:r>
          </w:p>
        </w:tc>
        <w:tc>
          <w:tcPr>
            <w:tcW w:w="1134" w:type="dxa"/>
            <w:vMerge w:val="restart"/>
            <w:tcBorders>
              <w:top w:val="nil"/>
              <w:left w:val="nil"/>
              <w:right w:val="nil"/>
            </w:tcBorders>
            <w:shd w:val="clear" w:color="auto" w:fill="auto"/>
            <w:vAlign w:val="bottom"/>
          </w:tcPr>
          <w:p w14:paraId="74F6100F" w14:textId="77777777" w:rsidR="00620D4E" w:rsidRPr="008E2886" w:rsidRDefault="00620D4E" w:rsidP="00620D4E">
            <w:pPr>
              <w:pStyle w:val="TableTitle"/>
              <w:tabs>
                <w:tab w:val="left" w:pos="3306"/>
              </w:tabs>
              <w:rPr>
                <w:rFonts w:cs="Calibri"/>
              </w:rPr>
            </w:pPr>
            <w:r w:rsidRPr="008E2886">
              <w:rPr>
                <w:rFonts w:cs="Calibri"/>
              </w:rPr>
              <w:t>Asset Revaluation Surplus</w:t>
            </w:r>
          </w:p>
          <w:p w14:paraId="1ED3108E" w14:textId="77777777" w:rsidR="00620D4E" w:rsidRPr="008E2886" w:rsidRDefault="00620D4E" w:rsidP="00620D4E">
            <w:pPr>
              <w:pStyle w:val="TableTitle"/>
              <w:tabs>
                <w:tab w:val="left" w:pos="3306"/>
              </w:tabs>
              <w:rPr>
                <w:rFonts w:cs="Calibri"/>
              </w:rPr>
            </w:pPr>
            <w:r w:rsidRPr="008E2886">
              <w:rPr>
                <w:rFonts w:cs="Calibri"/>
              </w:rPr>
              <w:t>Actual</w:t>
            </w:r>
          </w:p>
          <w:p w14:paraId="222EC9DD" w14:textId="430A7711" w:rsidR="00620D4E" w:rsidRPr="0009580B" w:rsidRDefault="00620D4E" w:rsidP="00620D4E">
            <w:pPr>
              <w:pStyle w:val="TableTitle"/>
              <w:tabs>
                <w:tab w:val="left" w:pos="3306"/>
              </w:tabs>
              <w:rPr>
                <w:rFonts w:cs="Calibri"/>
              </w:rPr>
            </w:pPr>
            <w:r w:rsidRPr="008E2886">
              <w:rPr>
                <w:rFonts w:cs="Calibri"/>
              </w:rPr>
              <w:t>202</w:t>
            </w:r>
            <w:r w:rsidR="00D50594">
              <w:rPr>
                <w:rFonts w:cs="Calibri"/>
              </w:rPr>
              <w:t>2</w:t>
            </w:r>
          </w:p>
          <w:p w14:paraId="3399ECDB" w14:textId="7802F88D" w:rsidR="00620D4E" w:rsidRPr="008E2886" w:rsidRDefault="00620D4E" w:rsidP="00620D4E">
            <w:pPr>
              <w:pStyle w:val="TableTitle"/>
              <w:tabs>
                <w:tab w:val="left" w:pos="3306"/>
              </w:tabs>
              <w:rPr>
                <w:rFonts w:cs="Calibri"/>
              </w:rPr>
            </w:pPr>
            <w:r w:rsidRPr="008E2886">
              <w:rPr>
                <w:rFonts w:cs="Calibri"/>
              </w:rPr>
              <w:t>$’000</w:t>
            </w:r>
          </w:p>
        </w:tc>
        <w:tc>
          <w:tcPr>
            <w:tcW w:w="992" w:type="dxa"/>
            <w:vMerge w:val="restart"/>
            <w:tcBorders>
              <w:top w:val="nil"/>
              <w:left w:val="nil"/>
              <w:right w:val="nil"/>
            </w:tcBorders>
            <w:shd w:val="clear" w:color="auto" w:fill="auto"/>
            <w:vAlign w:val="bottom"/>
          </w:tcPr>
          <w:p w14:paraId="58432D89" w14:textId="77777777" w:rsidR="00620D4E" w:rsidRPr="008E2886" w:rsidRDefault="00620D4E" w:rsidP="00620D4E">
            <w:pPr>
              <w:pStyle w:val="TableTitle"/>
              <w:tabs>
                <w:tab w:val="left" w:pos="3306"/>
              </w:tabs>
              <w:ind w:left="-104"/>
              <w:rPr>
                <w:rFonts w:cs="Calibri"/>
              </w:rPr>
            </w:pPr>
            <w:r w:rsidRPr="008E2886">
              <w:rPr>
                <w:rFonts w:cs="Calibri"/>
              </w:rPr>
              <w:t>Other Reserves</w:t>
            </w:r>
          </w:p>
          <w:p w14:paraId="2436B4D7" w14:textId="77777777" w:rsidR="00620D4E" w:rsidRPr="008E2886" w:rsidRDefault="00620D4E" w:rsidP="00620D4E">
            <w:pPr>
              <w:pStyle w:val="TableTitle"/>
              <w:tabs>
                <w:tab w:val="left" w:pos="3306"/>
              </w:tabs>
              <w:rPr>
                <w:rFonts w:cs="Calibri"/>
              </w:rPr>
            </w:pPr>
            <w:r w:rsidRPr="008E2886">
              <w:rPr>
                <w:rFonts w:cs="Calibri"/>
              </w:rPr>
              <w:t>Actual</w:t>
            </w:r>
          </w:p>
          <w:p w14:paraId="61C46E4D" w14:textId="66C6A1A7" w:rsidR="00620D4E" w:rsidRPr="0009580B" w:rsidRDefault="00620D4E" w:rsidP="00620D4E">
            <w:pPr>
              <w:pStyle w:val="TableTitle"/>
              <w:tabs>
                <w:tab w:val="left" w:pos="3306"/>
              </w:tabs>
              <w:rPr>
                <w:rFonts w:cs="Calibri"/>
              </w:rPr>
            </w:pPr>
            <w:r w:rsidRPr="008E2886">
              <w:rPr>
                <w:rFonts w:cs="Calibri"/>
              </w:rPr>
              <w:t>202</w:t>
            </w:r>
            <w:r w:rsidR="00D50594">
              <w:rPr>
                <w:rFonts w:cs="Calibri"/>
              </w:rPr>
              <w:t>2</w:t>
            </w:r>
          </w:p>
          <w:p w14:paraId="33206B25" w14:textId="47C863C7" w:rsidR="00620D4E" w:rsidRPr="008E2886" w:rsidRDefault="00620D4E" w:rsidP="00620D4E">
            <w:pPr>
              <w:pStyle w:val="TableTitle"/>
              <w:tabs>
                <w:tab w:val="left" w:pos="3306"/>
              </w:tabs>
              <w:rPr>
                <w:rFonts w:cs="Calibri"/>
              </w:rPr>
            </w:pPr>
            <w:r w:rsidRPr="008E2886">
              <w:rPr>
                <w:rFonts w:cs="Calibri"/>
              </w:rPr>
              <w:t>$’000</w:t>
            </w:r>
          </w:p>
        </w:tc>
        <w:tc>
          <w:tcPr>
            <w:tcW w:w="850" w:type="dxa"/>
            <w:vMerge w:val="restart"/>
            <w:tcBorders>
              <w:top w:val="nil"/>
              <w:left w:val="nil"/>
              <w:right w:val="nil"/>
            </w:tcBorders>
            <w:shd w:val="clear" w:color="auto" w:fill="auto"/>
            <w:vAlign w:val="bottom"/>
          </w:tcPr>
          <w:p w14:paraId="6D71E8F7" w14:textId="77777777" w:rsidR="00620D4E" w:rsidRPr="008E2886" w:rsidRDefault="00620D4E" w:rsidP="00620D4E">
            <w:pPr>
              <w:pStyle w:val="TableTitle"/>
              <w:tabs>
                <w:tab w:val="left" w:pos="3306"/>
              </w:tabs>
              <w:rPr>
                <w:rFonts w:cs="Calibri"/>
              </w:rPr>
            </w:pPr>
            <w:r w:rsidRPr="008E2886">
              <w:rPr>
                <w:rFonts w:cs="Calibri"/>
              </w:rPr>
              <w:t>Total Equity</w:t>
            </w:r>
          </w:p>
          <w:p w14:paraId="46033621" w14:textId="77777777" w:rsidR="00620D4E" w:rsidRPr="008E2886" w:rsidRDefault="00620D4E" w:rsidP="00620D4E">
            <w:pPr>
              <w:pStyle w:val="TableTitle"/>
              <w:tabs>
                <w:tab w:val="left" w:pos="3306"/>
              </w:tabs>
              <w:rPr>
                <w:rFonts w:cs="Calibri"/>
              </w:rPr>
            </w:pPr>
            <w:r w:rsidRPr="008E2886">
              <w:rPr>
                <w:rFonts w:cs="Calibri"/>
              </w:rPr>
              <w:t>Actual</w:t>
            </w:r>
          </w:p>
          <w:p w14:paraId="04406722" w14:textId="7AC0B554" w:rsidR="00620D4E" w:rsidRPr="0009580B" w:rsidRDefault="00620D4E" w:rsidP="00620D4E">
            <w:pPr>
              <w:pStyle w:val="TableTitle"/>
              <w:tabs>
                <w:tab w:val="left" w:pos="3306"/>
              </w:tabs>
              <w:rPr>
                <w:rFonts w:cs="Calibri"/>
              </w:rPr>
            </w:pPr>
            <w:r w:rsidRPr="008E2886">
              <w:rPr>
                <w:rFonts w:cs="Calibri"/>
              </w:rPr>
              <w:t>202</w:t>
            </w:r>
            <w:r w:rsidR="00D50594">
              <w:rPr>
                <w:rFonts w:cs="Calibri"/>
              </w:rPr>
              <w:t>2</w:t>
            </w:r>
          </w:p>
          <w:p w14:paraId="7DBB3F42" w14:textId="35C14058" w:rsidR="00620D4E" w:rsidRPr="008E2886" w:rsidRDefault="00620D4E" w:rsidP="00620D4E">
            <w:pPr>
              <w:pStyle w:val="TableTitle"/>
              <w:tabs>
                <w:tab w:val="left" w:pos="3306"/>
              </w:tabs>
              <w:rPr>
                <w:rFonts w:cs="Calibri"/>
              </w:rPr>
            </w:pPr>
            <w:r w:rsidRPr="008E2886">
              <w:rPr>
                <w:rFonts w:cs="Calibri"/>
              </w:rPr>
              <w:t>$’000</w:t>
            </w:r>
          </w:p>
        </w:tc>
      </w:tr>
      <w:tr w:rsidR="00620D4E" w:rsidRPr="00CF7E1B" w14:paraId="1673F740" w14:textId="77777777" w:rsidTr="004D1EC6">
        <w:trPr>
          <w:cantSplit/>
          <w:trHeight w:val="20"/>
        </w:trPr>
        <w:tc>
          <w:tcPr>
            <w:tcW w:w="1478" w:type="dxa"/>
            <w:tcBorders>
              <w:top w:val="nil"/>
              <w:left w:val="single" w:sz="2" w:space="0" w:color="auto"/>
              <w:bottom w:val="nil"/>
              <w:right w:val="single" w:sz="2" w:space="0" w:color="auto"/>
            </w:tcBorders>
          </w:tcPr>
          <w:p w14:paraId="4C909ACE" w14:textId="77777777" w:rsidR="00620D4E" w:rsidRPr="008E2886" w:rsidRDefault="00620D4E" w:rsidP="00620D4E">
            <w:pPr>
              <w:pStyle w:val="Reference"/>
              <w:tabs>
                <w:tab w:val="left" w:pos="3306"/>
              </w:tabs>
              <w:rPr>
                <w:rFonts w:cs="Calibri"/>
                <w:color w:val="7030A0"/>
                <w:sz w:val="14"/>
                <w:szCs w:val="14"/>
              </w:rPr>
            </w:pPr>
          </w:p>
        </w:tc>
        <w:tc>
          <w:tcPr>
            <w:tcW w:w="3260" w:type="dxa"/>
            <w:tcBorders>
              <w:top w:val="nil"/>
              <w:left w:val="single" w:sz="2" w:space="0" w:color="auto"/>
              <w:bottom w:val="nil"/>
              <w:right w:val="nil"/>
            </w:tcBorders>
            <w:vAlign w:val="bottom"/>
          </w:tcPr>
          <w:p w14:paraId="628FB34A" w14:textId="77777777" w:rsidR="00620D4E" w:rsidRPr="008E2886" w:rsidRDefault="00620D4E" w:rsidP="00620D4E">
            <w:pPr>
              <w:tabs>
                <w:tab w:val="left" w:pos="3306"/>
              </w:tabs>
              <w:rPr>
                <w:rFonts w:cs="Calibri"/>
              </w:rPr>
            </w:pPr>
          </w:p>
        </w:tc>
        <w:tc>
          <w:tcPr>
            <w:tcW w:w="709" w:type="dxa"/>
            <w:tcBorders>
              <w:top w:val="nil"/>
              <w:left w:val="nil"/>
              <w:bottom w:val="nil"/>
              <w:right w:val="nil"/>
            </w:tcBorders>
            <w:vAlign w:val="bottom"/>
          </w:tcPr>
          <w:p w14:paraId="3DDE11A6" w14:textId="77777777" w:rsidR="00620D4E" w:rsidRPr="008E2886" w:rsidRDefault="00620D4E" w:rsidP="00620D4E">
            <w:pPr>
              <w:pStyle w:val="TableTitle"/>
              <w:tabs>
                <w:tab w:val="left" w:pos="3306"/>
              </w:tabs>
              <w:jc w:val="center"/>
              <w:rPr>
                <w:rFonts w:cs="Calibri"/>
              </w:rPr>
            </w:pPr>
            <w:r w:rsidRPr="008E2886">
              <w:rPr>
                <w:rFonts w:cs="Calibri"/>
              </w:rPr>
              <w:t>Note No.</w:t>
            </w:r>
          </w:p>
        </w:tc>
        <w:tc>
          <w:tcPr>
            <w:tcW w:w="1134" w:type="dxa"/>
            <w:vMerge/>
            <w:tcBorders>
              <w:left w:val="nil"/>
              <w:bottom w:val="nil"/>
              <w:right w:val="nil"/>
            </w:tcBorders>
          </w:tcPr>
          <w:p w14:paraId="7F93DB27" w14:textId="760CCC34" w:rsidR="00620D4E" w:rsidRPr="008E2886" w:rsidRDefault="00620D4E" w:rsidP="00620D4E">
            <w:pPr>
              <w:pStyle w:val="TableTitle"/>
              <w:tabs>
                <w:tab w:val="left" w:pos="3306"/>
              </w:tabs>
              <w:rPr>
                <w:rFonts w:cs="Calibri"/>
              </w:rPr>
            </w:pPr>
          </w:p>
        </w:tc>
        <w:tc>
          <w:tcPr>
            <w:tcW w:w="1276" w:type="dxa"/>
            <w:vMerge/>
            <w:tcBorders>
              <w:left w:val="nil"/>
              <w:bottom w:val="nil"/>
              <w:right w:val="nil"/>
            </w:tcBorders>
            <w:shd w:val="clear" w:color="auto" w:fill="auto"/>
            <w:vAlign w:val="bottom"/>
          </w:tcPr>
          <w:p w14:paraId="43AB005F" w14:textId="71A40FBE" w:rsidR="00620D4E" w:rsidRPr="008E2886" w:rsidRDefault="00620D4E" w:rsidP="00620D4E">
            <w:pPr>
              <w:pStyle w:val="TableTitle"/>
              <w:tabs>
                <w:tab w:val="left" w:pos="3306"/>
              </w:tabs>
              <w:rPr>
                <w:rFonts w:cs="Calibri"/>
              </w:rPr>
            </w:pPr>
          </w:p>
        </w:tc>
        <w:tc>
          <w:tcPr>
            <w:tcW w:w="1134" w:type="dxa"/>
            <w:vMerge/>
            <w:tcBorders>
              <w:left w:val="nil"/>
              <w:bottom w:val="nil"/>
              <w:right w:val="nil"/>
            </w:tcBorders>
            <w:shd w:val="clear" w:color="auto" w:fill="auto"/>
            <w:vAlign w:val="bottom"/>
          </w:tcPr>
          <w:p w14:paraId="08EF3EC2" w14:textId="7EC20992" w:rsidR="00620D4E" w:rsidRPr="008E2886" w:rsidRDefault="00620D4E" w:rsidP="00620D4E">
            <w:pPr>
              <w:pStyle w:val="TableTitle"/>
              <w:tabs>
                <w:tab w:val="left" w:pos="3306"/>
              </w:tabs>
              <w:rPr>
                <w:rFonts w:cs="Calibri"/>
              </w:rPr>
            </w:pPr>
          </w:p>
        </w:tc>
        <w:tc>
          <w:tcPr>
            <w:tcW w:w="992" w:type="dxa"/>
            <w:vMerge/>
            <w:tcBorders>
              <w:left w:val="nil"/>
              <w:bottom w:val="nil"/>
              <w:right w:val="nil"/>
            </w:tcBorders>
            <w:shd w:val="clear" w:color="auto" w:fill="auto"/>
            <w:vAlign w:val="bottom"/>
          </w:tcPr>
          <w:p w14:paraId="465B7E80" w14:textId="25EEE13A" w:rsidR="00620D4E" w:rsidRPr="008E2886" w:rsidRDefault="00620D4E" w:rsidP="00620D4E">
            <w:pPr>
              <w:pStyle w:val="TableTitle"/>
              <w:tabs>
                <w:tab w:val="left" w:pos="3306"/>
              </w:tabs>
              <w:rPr>
                <w:rFonts w:cs="Calibri"/>
              </w:rPr>
            </w:pPr>
          </w:p>
        </w:tc>
        <w:tc>
          <w:tcPr>
            <w:tcW w:w="850" w:type="dxa"/>
            <w:vMerge/>
            <w:tcBorders>
              <w:left w:val="nil"/>
              <w:bottom w:val="nil"/>
              <w:right w:val="nil"/>
            </w:tcBorders>
            <w:shd w:val="clear" w:color="auto" w:fill="auto"/>
            <w:vAlign w:val="bottom"/>
          </w:tcPr>
          <w:p w14:paraId="4AC5845E" w14:textId="17F6ADB0" w:rsidR="00620D4E" w:rsidRPr="008E2886" w:rsidRDefault="00620D4E" w:rsidP="00620D4E">
            <w:pPr>
              <w:pStyle w:val="TableTitle"/>
              <w:tabs>
                <w:tab w:val="left" w:pos="3306"/>
              </w:tabs>
              <w:rPr>
                <w:rFonts w:cs="Calibri"/>
              </w:rPr>
            </w:pPr>
          </w:p>
        </w:tc>
      </w:tr>
      <w:tr w:rsidR="00620D4E" w:rsidRPr="00CF7E1B" w14:paraId="7CB4F2F3" w14:textId="77777777" w:rsidTr="004D1EC6">
        <w:trPr>
          <w:cantSplit/>
          <w:trHeight w:val="20"/>
        </w:trPr>
        <w:tc>
          <w:tcPr>
            <w:tcW w:w="1478" w:type="dxa"/>
            <w:tcBorders>
              <w:top w:val="nil"/>
              <w:left w:val="single" w:sz="2" w:space="0" w:color="auto"/>
              <w:bottom w:val="nil"/>
              <w:right w:val="single" w:sz="2" w:space="0" w:color="auto"/>
            </w:tcBorders>
          </w:tcPr>
          <w:p w14:paraId="79E10858"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vAlign w:val="bottom"/>
          </w:tcPr>
          <w:p w14:paraId="490A1DB7" w14:textId="77777777" w:rsidR="00620D4E" w:rsidRPr="008E2886" w:rsidRDefault="00620D4E" w:rsidP="00620D4E">
            <w:pPr>
              <w:pStyle w:val="TableText"/>
              <w:tabs>
                <w:tab w:val="left" w:pos="3306"/>
              </w:tabs>
              <w:rPr>
                <w:rFonts w:cs="Calibri"/>
                <w:b/>
                <w:bCs/>
              </w:rPr>
            </w:pPr>
          </w:p>
        </w:tc>
        <w:tc>
          <w:tcPr>
            <w:tcW w:w="709" w:type="dxa"/>
            <w:tcBorders>
              <w:top w:val="nil"/>
              <w:left w:val="nil"/>
              <w:bottom w:val="nil"/>
              <w:right w:val="nil"/>
            </w:tcBorders>
            <w:vAlign w:val="bottom"/>
          </w:tcPr>
          <w:p w14:paraId="2422D82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774AA7E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67CB7F33" w14:textId="664B7169"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4DBAD5C"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A96502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738CD42F" w14:textId="77777777" w:rsidR="00620D4E" w:rsidRPr="008E2886" w:rsidRDefault="00620D4E" w:rsidP="00620D4E">
            <w:pPr>
              <w:pStyle w:val="TableText"/>
              <w:tabs>
                <w:tab w:val="left" w:pos="3306"/>
              </w:tabs>
              <w:jc w:val="right"/>
              <w:rPr>
                <w:rFonts w:cs="Calibri"/>
              </w:rPr>
            </w:pPr>
          </w:p>
        </w:tc>
      </w:tr>
      <w:tr w:rsidR="00620D4E" w:rsidRPr="00CF7E1B" w14:paraId="56756593" w14:textId="77777777" w:rsidTr="004D1EC6">
        <w:trPr>
          <w:cantSplit/>
          <w:trHeight w:val="20"/>
        </w:trPr>
        <w:tc>
          <w:tcPr>
            <w:tcW w:w="1478" w:type="dxa"/>
            <w:tcBorders>
              <w:top w:val="nil"/>
              <w:left w:val="single" w:sz="2" w:space="0" w:color="auto"/>
              <w:bottom w:val="nil"/>
              <w:right w:val="single" w:sz="2" w:space="0" w:color="auto"/>
            </w:tcBorders>
          </w:tcPr>
          <w:p w14:paraId="44D9596D" w14:textId="77777777" w:rsidR="00620D4E" w:rsidRPr="008E2886" w:rsidRDefault="00620D4E" w:rsidP="00620D4E">
            <w:pPr>
              <w:pStyle w:val="TableReference"/>
              <w:tabs>
                <w:tab w:val="left" w:pos="3306"/>
              </w:tabs>
              <w:spacing w:before="40"/>
              <w:rPr>
                <w:rFonts w:cs="Calibri"/>
                <w:color w:val="7030A0"/>
                <w:sz w:val="14"/>
              </w:rPr>
            </w:pPr>
            <w:r w:rsidRPr="008E2886">
              <w:rPr>
                <w:rFonts w:cs="Calibri"/>
                <w:color w:val="7030A0"/>
                <w:sz w:val="14"/>
              </w:rPr>
              <w:t xml:space="preserve"> </w:t>
            </w:r>
          </w:p>
        </w:tc>
        <w:tc>
          <w:tcPr>
            <w:tcW w:w="3260" w:type="dxa"/>
            <w:tcBorders>
              <w:top w:val="nil"/>
              <w:left w:val="single" w:sz="2" w:space="0" w:color="auto"/>
              <w:bottom w:val="nil"/>
              <w:right w:val="nil"/>
            </w:tcBorders>
            <w:vAlign w:val="bottom"/>
          </w:tcPr>
          <w:p w14:paraId="61487BE5" w14:textId="3D1D389E" w:rsidR="00620D4E" w:rsidRPr="008E2886" w:rsidRDefault="00620D4E" w:rsidP="00620D4E">
            <w:pPr>
              <w:pStyle w:val="TableText"/>
              <w:tabs>
                <w:tab w:val="left" w:pos="3306"/>
              </w:tabs>
              <w:rPr>
                <w:rFonts w:cs="Calibri"/>
                <w:b/>
                <w:bCs/>
              </w:rPr>
            </w:pPr>
            <w:r w:rsidRPr="008E2886">
              <w:rPr>
                <w:rFonts w:cs="Calibri"/>
                <w:b/>
                <w:bCs/>
              </w:rPr>
              <w:t>Balance at 1 July 202</w:t>
            </w:r>
            <w:r w:rsidR="00D50594">
              <w:rPr>
                <w:rFonts w:cs="Calibri"/>
                <w:b/>
                <w:bCs/>
              </w:rPr>
              <w:t>1</w:t>
            </w:r>
          </w:p>
        </w:tc>
        <w:tc>
          <w:tcPr>
            <w:tcW w:w="709" w:type="dxa"/>
            <w:tcBorders>
              <w:top w:val="nil"/>
              <w:left w:val="nil"/>
              <w:bottom w:val="nil"/>
              <w:right w:val="nil"/>
            </w:tcBorders>
            <w:vAlign w:val="bottom"/>
          </w:tcPr>
          <w:p w14:paraId="34C5DD1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single" w:sz="4" w:space="0" w:color="auto"/>
              <w:right w:val="nil"/>
            </w:tcBorders>
          </w:tcPr>
          <w:p w14:paraId="0DEDDD85" w14:textId="77777777" w:rsidR="00620D4E" w:rsidRPr="008E2886" w:rsidRDefault="00620D4E" w:rsidP="00620D4E">
            <w:pPr>
              <w:pStyle w:val="TableText"/>
              <w:tabs>
                <w:tab w:val="left" w:pos="3306"/>
              </w:tabs>
              <w:jc w:val="right"/>
              <w:rPr>
                <w:rFonts w:cs="Calibri"/>
                <w:b/>
              </w:rPr>
            </w:pPr>
          </w:p>
        </w:tc>
        <w:tc>
          <w:tcPr>
            <w:tcW w:w="1276" w:type="dxa"/>
            <w:tcBorders>
              <w:top w:val="nil"/>
              <w:left w:val="nil"/>
              <w:bottom w:val="single" w:sz="4" w:space="0" w:color="auto"/>
              <w:right w:val="nil"/>
            </w:tcBorders>
            <w:shd w:val="clear" w:color="auto" w:fill="auto"/>
            <w:vAlign w:val="bottom"/>
          </w:tcPr>
          <w:p w14:paraId="25C01147" w14:textId="061926B0" w:rsidR="00620D4E" w:rsidRPr="008E2886" w:rsidRDefault="00620D4E" w:rsidP="00620D4E">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54639AAC" w14:textId="77777777" w:rsidR="00620D4E" w:rsidRPr="008E2886" w:rsidRDefault="00620D4E" w:rsidP="00620D4E">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0C319613" w14:textId="77777777" w:rsidR="00620D4E" w:rsidRPr="008E2886" w:rsidRDefault="00620D4E" w:rsidP="00620D4E">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6557055B" w14:textId="77777777" w:rsidR="00620D4E" w:rsidRPr="008E2886" w:rsidRDefault="00620D4E" w:rsidP="00620D4E">
            <w:pPr>
              <w:pStyle w:val="TableText"/>
              <w:tabs>
                <w:tab w:val="left" w:pos="3306"/>
              </w:tabs>
              <w:jc w:val="right"/>
              <w:rPr>
                <w:rFonts w:cs="Calibri"/>
                <w:b/>
              </w:rPr>
            </w:pPr>
          </w:p>
        </w:tc>
      </w:tr>
      <w:tr w:rsidR="00620D4E" w:rsidRPr="00CF7E1B" w14:paraId="1192BD19" w14:textId="77777777" w:rsidTr="004D1EC6">
        <w:trPr>
          <w:cantSplit/>
          <w:trHeight w:val="173"/>
        </w:trPr>
        <w:tc>
          <w:tcPr>
            <w:tcW w:w="1478" w:type="dxa"/>
            <w:tcBorders>
              <w:top w:val="nil"/>
              <w:left w:val="single" w:sz="2" w:space="0" w:color="auto"/>
              <w:bottom w:val="nil"/>
              <w:right w:val="single" w:sz="2" w:space="0" w:color="auto"/>
            </w:tcBorders>
          </w:tcPr>
          <w:p w14:paraId="70C6995B" w14:textId="77777777" w:rsidR="00620D4E" w:rsidRPr="008E2886" w:rsidRDefault="00620D4E" w:rsidP="00620D4E">
            <w:pPr>
              <w:pStyle w:val="TableReference"/>
              <w:tabs>
                <w:tab w:val="left" w:pos="3306"/>
              </w:tabs>
              <w:rPr>
                <w:rFonts w:cs="Calibri"/>
                <w:color w:val="7030A0"/>
                <w:sz w:val="14"/>
              </w:rPr>
            </w:pPr>
          </w:p>
        </w:tc>
        <w:tc>
          <w:tcPr>
            <w:tcW w:w="3260" w:type="dxa"/>
            <w:tcBorders>
              <w:top w:val="nil"/>
              <w:left w:val="single" w:sz="2" w:space="0" w:color="auto"/>
              <w:bottom w:val="nil"/>
              <w:right w:val="nil"/>
            </w:tcBorders>
            <w:vAlign w:val="bottom"/>
          </w:tcPr>
          <w:p w14:paraId="0DF639EA" w14:textId="77777777" w:rsidR="00620D4E" w:rsidRPr="008E2886" w:rsidRDefault="00620D4E" w:rsidP="00620D4E">
            <w:pPr>
              <w:pStyle w:val="TableText"/>
              <w:tabs>
                <w:tab w:val="left" w:pos="3306"/>
              </w:tabs>
              <w:spacing w:before="0"/>
              <w:rPr>
                <w:rFonts w:cs="Calibri"/>
                <w:sz w:val="12"/>
                <w:szCs w:val="12"/>
              </w:rPr>
            </w:pPr>
          </w:p>
        </w:tc>
        <w:tc>
          <w:tcPr>
            <w:tcW w:w="709" w:type="dxa"/>
            <w:tcBorders>
              <w:top w:val="nil"/>
              <w:left w:val="nil"/>
              <w:bottom w:val="nil"/>
              <w:right w:val="nil"/>
            </w:tcBorders>
            <w:vAlign w:val="bottom"/>
          </w:tcPr>
          <w:p w14:paraId="3A18713E" w14:textId="77777777" w:rsidR="00620D4E" w:rsidRPr="008E2886" w:rsidRDefault="00620D4E" w:rsidP="00620D4E">
            <w:pPr>
              <w:pStyle w:val="TableText"/>
              <w:tabs>
                <w:tab w:val="left" w:pos="3306"/>
              </w:tabs>
              <w:spacing w:before="0"/>
              <w:jc w:val="center"/>
              <w:rPr>
                <w:rFonts w:cs="Calibri"/>
                <w:sz w:val="12"/>
                <w:szCs w:val="12"/>
              </w:rPr>
            </w:pPr>
          </w:p>
        </w:tc>
        <w:tc>
          <w:tcPr>
            <w:tcW w:w="1134" w:type="dxa"/>
            <w:tcBorders>
              <w:top w:val="single" w:sz="4" w:space="0" w:color="auto"/>
              <w:left w:val="nil"/>
              <w:bottom w:val="nil"/>
              <w:right w:val="nil"/>
            </w:tcBorders>
          </w:tcPr>
          <w:p w14:paraId="3ECE48C9" w14:textId="77777777" w:rsidR="00620D4E" w:rsidRPr="008E2886" w:rsidRDefault="00620D4E" w:rsidP="00620D4E">
            <w:pPr>
              <w:pStyle w:val="TableText"/>
              <w:tabs>
                <w:tab w:val="left" w:pos="3306"/>
              </w:tabs>
              <w:spacing w:before="0"/>
              <w:jc w:val="right"/>
              <w:rPr>
                <w:rFonts w:cs="Calibri"/>
                <w:sz w:val="12"/>
                <w:szCs w:val="12"/>
              </w:rPr>
            </w:pPr>
          </w:p>
        </w:tc>
        <w:tc>
          <w:tcPr>
            <w:tcW w:w="1276" w:type="dxa"/>
            <w:tcBorders>
              <w:top w:val="single" w:sz="4" w:space="0" w:color="auto"/>
              <w:left w:val="nil"/>
              <w:bottom w:val="nil"/>
              <w:right w:val="nil"/>
            </w:tcBorders>
            <w:shd w:val="clear" w:color="auto" w:fill="auto"/>
            <w:vAlign w:val="bottom"/>
          </w:tcPr>
          <w:p w14:paraId="56BD29F2" w14:textId="7957F7E7" w:rsidR="00620D4E" w:rsidRPr="008E2886" w:rsidRDefault="00620D4E" w:rsidP="00620D4E">
            <w:pPr>
              <w:pStyle w:val="TableText"/>
              <w:tabs>
                <w:tab w:val="left" w:pos="3306"/>
              </w:tabs>
              <w:spacing w:before="0"/>
              <w:jc w:val="right"/>
              <w:rPr>
                <w:rFonts w:cs="Calibri"/>
                <w:sz w:val="12"/>
                <w:szCs w:val="12"/>
              </w:rPr>
            </w:pPr>
          </w:p>
        </w:tc>
        <w:tc>
          <w:tcPr>
            <w:tcW w:w="1134" w:type="dxa"/>
            <w:tcBorders>
              <w:top w:val="single" w:sz="4" w:space="0" w:color="auto"/>
              <w:left w:val="nil"/>
              <w:bottom w:val="nil"/>
              <w:right w:val="nil"/>
            </w:tcBorders>
            <w:shd w:val="clear" w:color="auto" w:fill="auto"/>
            <w:vAlign w:val="bottom"/>
          </w:tcPr>
          <w:p w14:paraId="31FEFB43" w14:textId="77777777" w:rsidR="00620D4E" w:rsidRPr="008E2886" w:rsidRDefault="00620D4E" w:rsidP="00620D4E">
            <w:pPr>
              <w:pStyle w:val="TableText"/>
              <w:tabs>
                <w:tab w:val="left" w:pos="3306"/>
              </w:tabs>
              <w:spacing w:before="0"/>
              <w:jc w:val="right"/>
              <w:rPr>
                <w:rFonts w:cs="Calibri"/>
                <w:sz w:val="12"/>
                <w:szCs w:val="12"/>
              </w:rPr>
            </w:pPr>
          </w:p>
        </w:tc>
        <w:tc>
          <w:tcPr>
            <w:tcW w:w="992" w:type="dxa"/>
            <w:tcBorders>
              <w:top w:val="single" w:sz="4" w:space="0" w:color="auto"/>
              <w:left w:val="nil"/>
              <w:bottom w:val="nil"/>
              <w:right w:val="nil"/>
            </w:tcBorders>
            <w:shd w:val="clear" w:color="auto" w:fill="auto"/>
            <w:vAlign w:val="bottom"/>
          </w:tcPr>
          <w:p w14:paraId="1DFA04B8" w14:textId="77777777" w:rsidR="00620D4E" w:rsidRPr="008E2886" w:rsidRDefault="00620D4E" w:rsidP="00620D4E">
            <w:pPr>
              <w:pStyle w:val="TableText"/>
              <w:tabs>
                <w:tab w:val="left" w:pos="3306"/>
              </w:tabs>
              <w:spacing w:before="0"/>
              <w:jc w:val="right"/>
              <w:rPr>
                <w:rFonts w:cs="Calibri"/>
                <w:sz w:val="12"/>
                <w:szCs w:val="12"/>
              </w:rPr>
            </w:pPr>
          </w:p>
        </w:tc>
        <w:tc>
          <w:tcPr>
            <w:tcW w:w="850" w:type="dxa"/>
            <w:tcBorders>
              <w:top w:val="single" w:sz="4" w:space="0" w:color="auto"/>
              <w:left w:val="nil"/>
              <w:bottom w:val="nil"/>
              <w:right w:val="nil"/>
            </w:tcBorders>
            <w:shd w:val="clear" w:color="auto" w:fill="auto"/>
            <w:vAlign w:val="bottom"/>
          </w:tcPr>
          <w:p w14:paraId="1B93D658" w14:textId="77777777" w:rsidR="00620D4E" w:rsidRPr="008E2886" w:rsidRDefault="00620D4E" w:rsidP="00620D4E">
            <w:pPr>
              <w:pStyle w:val="TableText"/>
              <w:tabs>
                <w:tab w:val="left" w:pos="3306"/>
              </w:tabs>
              <w:spacing w:before="0"/>
              <w:jc w:val="right"/>
              <w:rPr>
                <w:rFonts w:cs="Calibri"/>
                <w:sz w:val="12"/>
                <w:szCs w:val="12"/>
              </w:rPr>
            </w:pPr>
          </w:p>
        </w:tc>
      </w:tr>
      <w:tr w:rsidR="00620D4E" w:rsidRPr="00CF7E1B" w14:paraId="4003B885" w14:textId="77777777" w:rsidTr="004D1EC6">
        <w:trPr>
          <w:cantSplit/>
          <w:trHeight w:val="20"/>
        </w:trPr>
        <w:tc>
          <w:tcPr>
            <w:tcW w:w="1478" w:type="dxa"/>
            <w:tcBorders>
              <w:top w:val="nil"/>
              <w:left w:val="single" w:sz="2" w:space="0" w:color="auto"/>
              <w:bottom w:val="nil"/>
              <w:right w:val="single" w:sz="2" w:space="0" w:color="auto"/>
            </w:tcBorders>
          </w:tcPr>
          <w:p w14:paraId="456D145D"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04B31B0A" w14:textId="77777777" w:rsidR="00620D4E" w:rsidRPr="008E2886" w:rsidRDefault="00620D4E" w:rsidP="00620D4E">
            <w:pPr>
              <w:tabs>
                <w:tab w:val="left" w:pos="3306"/>
              </w:tabs>
              <w:spacing w:before="60" w:after="60"/>
              <w:rPr>
                <w:rFonts w:cs="Calibri"/>
                <w:b/>
                <w:sz w:val="18"/>
              </w:rPr>
            </w:pPr>
            <w:r w:rsidRPr="008E2886">
              <w:rPr>
                <w:rFonts w:cs="Calibri"/>
                <w:b/>
                <w:sz w:val="18"/>
              </w:rPr>
              <w:t>Comprehensive Income</w:t>
            </w:r>
          </w:p>
        </w:tc>
        <w:tc>
          <w:tcPr>
            <w:tcW w:w="709" w:type="dxa"/>
            <w:tcBorders>
              <w:top w:val="nil"/>
              <w:left w:val="nil"/>
              <w:bottom w:val="nil"/>
              <w:right w:val="nil"/>
            </w:tcBorders>
            <w:vAlign w:val="bottom"/>
          </w:tcPr>
          <w:p w14:paraId="66210DA5"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2ED21CEC"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D1569EE" w14:textId="0ACB283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98D9405"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774656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761DA62" w14:textId="77777777" w:rsidR="00620D4E" w:rsidRPr="008E2886" w:rsidRDefault="00620D4E" w:rsidP="00620D4E">
            <w:pPr>
              <w:pStyle w:val="TableText"/>
              <w:tabs>
                <w:tab w:val="left" w:pos="3306"/>
              </w:tabs>
              <w:jc w:val="right"/>
              <w:rPr>
                <w:rFonts w:cs="Calibri"/>
              </w:rPr>
            </w:pPr>
          </w:p>
        </w:tc>
      </w:tr>
      <w:tr w:rsidR="00620D4E" w:rsidRPr="00CF7E1B" w14:paraId="79B2BC1D" w14:textId="77777777" w:rsidTr="004D1EC6">
        <w:trPr>
          <w:cantSplit/>
          <w:trHeight w:val="20"/>
        </w:trPr>
        <w:tc>
          <w:tcPr>
            <w:tcW w:w="1478" w:type="dxa"/>
            <w:tcBorders>
              <w:top w:val="nil"/>
              <w:left w:val="single" w:sz="2" w:space="0" w:color="auto"/>
              <w:bottom w:val="nil"/>
              <w:right w:val="single" w:sz="2" w:space="0" w:color="auto"/>
            </w:tcBorders>
          </w:tcPr>
          <w:p w14:paraId="69CA94C4"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w:t>
            </w:r>
          </w:p>
        </w:tc>
        <w:tc>
          <w:tcPr>
            <w:tcW w:w="3260" w:type="dxa"/>
            <w:tcBorders>
              <w:top w:val="nil"/>
              <w:left w:val="single" w:sz="2" w:space="0" w:color="auto"/>
              <w:bottom w:val="nil"/>
              <w:right w:val="nil"/>
            </w:tcBorders>
          </w:tcPr>
          <w:p w14:paraId="1BBA03DD" w14:textId="783BD852" w:rsidR="00620D4E" w:rsidRPr="008E2886" w:rsidRDefault="00620D4E" w:rsidP="00620D4E">
            <w:pPr>
              <w:tabs>
                <w:tab w:val="left" w:pos="3306"/>
              </w:tabs>
              <w:spacing w:before="60" w:after="60"/>
              <w:rPr>
                <w:rFonts w:cs="Calibri"/>
                <w:sz w:val="18"/>
              </w:rPr>
            </w:pPr>
            <w:r w:rsidRPr="008E2886">
              <w:rPr>
                <w:rFonts w:cs="Calibri"/>
                <w:sz w:val="18"/>
              </w:rPr>
              <w:t xml:space="preserve">Operating </w:t>
            </w:r>
            <w:r w:rsidR="00C716AA" w:rsidRPr="008E2886">
              <w:rPr>
                <w:rFonts w:cs="Calibri"/>
                <w:sz w:val="18"/>
              </w:rPr>
              <w:t xml:space="preserve">Result </w:t>
            </w:r>
          </w:p>
        </w:tc>
        <w:tc>
          <w:tcPr>
            <w:tcW w:w="709" w:type="dxa"/>
            <w:tcBorders>
              <w:top w:val="nil"/>
              <w:left w:val="nil"/>
              <w:bottom w:val="nil"/>
              <w:right w:val="nil"/>
            </w:tcBorders>
            <w:vAlign w:val="bottom"/>
          </w:tcPr>
          <w:p w14:paraId="4A32F4E6"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665B73C4"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FE9FD90" w14:textId="4DAC4EE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EB1474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207E042"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3314D4" w14:textId="77777777" w:rsidR="00620D4E" w:rsidRPr="008E2886" w:rsidRDefault="00620D4E" w:rsidP="00620D4E">
            <w:pPr>
              <w:pStyle w:val="TableText"/>
              <w:tabs>
                <w:tab w:val="left" w:pos="3306"/>
              </w:tabs>
              <w:jc w:val="right"/>
              <w:rPr>
                <w:rFonts w:cs="Calibri"/>
              </w:rPr>
            </w:pPr>
          </w:p>
        </w:tc>
      </w:tr>
      <w:tr w:rsidR="00620D4E" w:rsidRPr="00CF7E1B" w14:paraId="1192C2B5" w14:textId="77777777" w:rsidTr="004D1EC6">
        <w:trPr>
          <w:cantSplit/>
          <w:trHeight w:val="20"/>
        </w:trPr>
        <w:tc>
          <w:tcPr>
            <w:tcW w:w="1478" w:type="dxa"/>
            <w:tcBorders>
              <w:top w:val="nil"/>
              <w:left w:val="single" w:sz="2" w:space="0" w:color="auto"/>
              <w:bottom w:val="nil"/>
              <w:right w:val="single" w:sz="2" w:space="0" w:color="auto"/>
            </w:tcBorders>
          </w:tcPr>
          <w:p w14:paraId="58E7A017"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w:t>
            </w:r>
          </w:p>
        </w:tc>
        <w:tc>
          <w:tcPr>
            <w:tcW w:w="3260" w:type="dxa"/>
            <w:tcBorders>
              <w:top w:val="nil"/>
              <w:left w:val="single" w:sz="2" w:space="0" w:color="auto"/>
              <w:bottom w:val="nil"/>
              <w:right w:val="nil"/>
            </w:tcBorders>
          </w:tcPr>
          <w:p w14:paraId="48F5806D" w14:textId="77777777" w:rsidR="00620D4E" w:rsidRPr="008E2886" w:rsidRDefault="00620D4E" w:rsidP="00620D4E">
            <w:pPr>
              <w:tabs>
                <w:tab w:val="left" w:pos="3306"/>
              </w:tabs>
              <w:spacing w:before="60" w:after="60"/>
              <w:rPr>
                <w:rFonts w:cs="Calibri"/>
                <w:sz w:val="18"/>
              </w:rPr>
            </w:pPr>
            <w:r w:rsidRPr="008E2886">
              <w:rPr>
                <w:rFonts w:cs="Calibri"/>
                <w:sz w:val="18"/>
              </w:rPr>
              <w:t>Increase/(Decrease) in the Asset Revaluation Surplus</w:t>
            </w:r>
          </w:p>
        </w:tc>
        <w:tc>
          <w:tcPr>
            <w:tcW w:w="709" w:type="dxa"/>
            <w:tcBorders>
              <w:top w:val="nil"/>
              <w:left w:val="nil"/>
              <w:bottom w:val="nil"/>
              <w:right w:val="nil"/>
            </w:tcBorders>
            <w:vAlign w:val="bottom"/>
          </w:tcPr>
          <w:p w14:paraId="0D4CA8EC" w14:textId="6E5A254C" w:rsidR="00620D4E" w:rsidRPr="008E2886" w:rsidRDefault="00620D4E" w:rsidP="00620D4E">
            <w:pPr>
              <w:pStyle w:val="TableText"/>
              <w:tabs>
                <w:tab w:val="left" w:pos="3306"/>
              </w:tabs>
              <w:jc w:val="center"/>
              <w:rPr>
                <w:rFonts w:cs="Calibri"/>
                <w:strike/>
                <w:szCs w:val="16"/>
              </w:rPr>
            </w:pPr>
          </w:p>
        </w:tc>
        <w:tc>
          <w:tcPr>
            <w:tcW w:w="1134" w:type="dxa"/>
            <w:tcBorders>
              <w:top w:val="nil"/>
              <w:left w:val="nil"/>
              <w:bottom w:val="nil"/>
              <w:right w:val="nil"/>
            </w:tcBorders>
          </w:tcPr>
          <w:p w14:paraId="70388D81"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0F9189C" w14:textId="5D75187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F31FF52"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3C1CE72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BDC681C" w14:textId="77777777" w:rsidR="00620D4E" w:rsidRPr="008E2886" w:rsidRDefault="00620D4E" w:rsidP="00620D4E">
            <w:pPr>
              <w:pStyle w:val="TableText"/>
              <w:tabs>
                <w:tab w:val="left" w:pos="3306"/>
              </w:tabs>
              <w:jc w:val="right"/>
              <w:rPr>
                <w:rFonts w:cs="Calibri"/>
              </w:rPr>
            </w:pPr>
          </w:p>
        </w:tc>
      </w:tr>
      <w:tr w:rsidR="00620D4E" w:rsidRPr="00CF7E1B" w14:paraId="748206C0" w14:textId="77777777" w:rsidTr="004D1EC6">
        <w:trPr>
          <w:cantSplit/>
          <w:trHeight w:val="20"/>
        </w:trPr>
        <w:tc>
          <w:tcPr>
            <w:tcW w:w="1478" w:type="dxa"/>
            <w:tcBorders>
              <w:top w:val="nil"/>
              <w:left w:val="single" w:sz="2" w:space="0" w:color="auto"/>
              <w:bottom w:val="nil"/>
              <w:right w:val="single" w:sz="2" w:space="0" w:color="auto"/>
            </w:tcBorders>
          </w:tcPr>
          <w:p w14:paraId="464446A3"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4456AD7C" w14:textId="2441A3B8" w:rsidR="00620D4E" w:rsidRPr="008E2886" w:rsidRDefault="00620D4E" w:rsidP="00620D4E">
            <w:pPr>
              <w:tabs>
                <w:tab w:val="left" w:pos="3306"/>
              </w:tabs>
              <w:spacing w:before="60" w:after="60"/>
              <w:rPr>
                <w:rFonts w:cs="Calibri"/>
                <w:sz w:val="18"/>
              </w:rPr>
            </w:pPr>
            <w:r w:rsidRPr="008E2886">
              <w:rPr>
                <w:rFonts w:cs="Calibri"/>
                <w:sz w:val="18"/>
              </w:rPr>
              <w:t xml:space="preserve">Other Comprehensive </w:t>
            </w:r>
            <w:r w:rsidR="009E392C" w:rsidRPr="009E392C">
              <w:rPr>
                <w:rFonts w:cs="Calibri"/>
                <w:color w:val="FF0000"/>
                <w:sz w:val="18"/>
              </w:rPr>
              <w:t xml:space="preserve">Result </w:t>
            </w:r>
            <w:r w:rsidRPr="009E392C">
              <w:rPr>
                <w:rFonts w:cs="Calibri"/>
                <w:strike/>
                <w:color w:val="FF0000"/>
                <w:sz w:val="18"/>
              </w:rPr>
              <w:t>Income</w:t>
            </w:r>
          </w:p>
        </w:tc>
        <w:tc>
          <w:tcPr>
            <w:tcW w:w="709" w:type="dxa"/>
            <w:tcBorders>
              <w:top w:val="nil"/>
              <w:left w:val="nil"/>
              <w:bottom w:val="nil"/>
              <w:right w:val="nil"/>
            </w:tcBorders>
            <w:vAlign w:val="bottom"/>
          </w:tcPr>
          <w:p w14:paraId="4C4A58D2"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single" w:sz="4" w:space="0" w:color="auto"/>
              <w:right w:val="nil"/>
            </w:tcBorders>
          </w:tcPr>
          <w:p w14:paraId="51BDF5FE"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single" w:sz="4" w:space="0" w:color="auto"/>
              <w:right w:val="nil"/>
            </w:tcBorders>
            <w:shd w:val="clear" w:color="auto" w:fill="auto"/>
            <w:vAlign w:val="bottom"/>
          </w:tcPr>
          <w:p w14:paraId="5B3E43E8" w14:textId="44998CDE" w:rsidR="00620D4E" w:rsidRPr="008E2886" w:rsidRDefault="00620D4E" w:rsidP="00620D4E">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7EC0106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2941C8DC"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5BC37590" w14:textId="77777777" w:rsidR="00620D4E" w:rsidRPr="008E2886" w:rsidRDefault="00620D4E" w:rsidP="00620D4E">
            <w:pPr>
              <w:pStyle w:val="TableText"/>
              <w:tabs>
                <w:tab w:val="left" w:pos="3306"/>
              </w:tabs>
              <w:jc w:val="right"/>
              <w:rPr>
                <w:rFonts w:cs="Calibri"/>
              </w:rPr>
            </w:pPr>
          </w:p>
        </w:tc>
      </w:tr>
      <w:tr w:rsidR="00620D4E" w:rsidRPr="00CF7E1B" w14:paraId="287D966D" w14:textId="77777777" w:rsidTr="004D1EC6">
        <w:trPr>
          <w:cantSplit/>
          <w:trHeight w:val="20"/>
        </w:trPr>
        <w:tc>
          <w:tcPr>
            <w:tcW w:w="1478" w:type="dxa"/>
            <w:tcBorders>
              <w:top w:val="nil"/>
              <w:left w:val="single" w:sz="2" w:space="0" w:color="auto"/>
              <w:bottom w:val="nil"/>
              <w:right w:val="single" w:sz="2" w:space="0" w:color="auto"/>
            </w:tcBorders>
          </w:tcPr>
          <w:p w14:paraId="3B49F41A"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101.106(a)</w:t>
            </w:r>
          </w:p>
        </w:tc>
        <w:tc>
          <w:tcPr>
            <w:tcW w:w="3260" w:type="dxa"/>
            <w:tcBorders>
              <w:top w:val="nil"/>
              <w:left w:val="single" w:sz="2" w:space="0" w:color="auto"/>
              <w:bottom w:val="nil"/>
              <w:right w:val="nil"/>
            </w:tcBorders>
          </w:tcPr>
          <w:p w14:paraId="1F266922" w14:textId="3C4166C3" w:rsidR="00620D4E" w:rsidRPr="008E2886" w:rsidRDefault="00620D4E" w:rsidP="00620D4E">
            <w:pPr>
              <w:tabs>
                <w:tab w:val="left" w:pos="3306"/>
              </w:tabs>
              <w:spacing w:before="60" w:after="60"/>
              <w:rPr>
                <w:rFonts w:cs="Calibri"/>
                <w:b/>
                <w:strike/>
                <w:sz w:val="18"/>
              </w:rPr>
            </w:pPr>
            <w:r w:rsidRPr="008E2886">
              <w:rPr>
                <w:rFonts w:cs="Calibri"/>
                <w:b/>
                <w:sz w:val="18"/>
              </w:rPr>
              <w:t xml:space="preserve">Total Comprehensive </w:t>
            </w:r>
            <w:r w:rsidR="009E392C" w:rsidRPr="009E392C">
              <w:rPr>
                <w:rFonts w:cs="Calibri"/>
                <w:b/>
                <w:color w:val="FF0000"/>
                <w:sz w:val="18"/>
              </w:rPr>
              <w:t xml:space="preserve">Result </w:t>
            </w:r>
            <w:r w:rsidRPr="009E392C">
              <w:rPr>
                <w:rFonts w:cs="Calibri"/>
                <w:b/>
                <w:strike/>
                <w:color w:val="FF0000"/>
                <w:sz w:val="18"/>
              </w:rPr>
              <w:t>Income</w:t>
            </w:r>
          </w:p>
        </w:tc>
        <w:tc>
          <w:tcPr>
            <w:tcW w:w="709" w:type="dxa"/>
            <w:tcBorders>
              <w:top w:val="nil"/>
              <w:left w:val="nil"/>
              <w:bottom w:val="nil"/>
              <w:right w:val="nil"/>
            </w:tcBorders>
            <w:vAlign w:val="bottom"/>
          </w:tcPr>
          <w:p w14:paraId="1F9BEF1B" w14:textId="77777777" w:rsidR="00620D4E" w:rsidRPr="008E2886" w:rsidRDefault="00620D4E" w:rsidP="00620D4E">
            <w:pPr>
              <w:pStyle w:val="TableText"/>
              <w:tabs>
                <w:tab w:val="left" w:pos="3306"/>
              </w:tabs>
              <w:jc w:val="center"/>
              <w:rPr>
                <w:rFonts w:cs="Calibri"/>
                <w:b/>
                <w:strike/>
              </w:rPr>
            </w:pPr>
          </w:p>
        </w:tc>
        <w:tc>
          <w:tcPr>
            <w:tcW w:w="1134" w:type="dxa"/>
            <w:tcBorders>
              <w:top w:val="single" w:sz="4" w:space="0" w:color="auto"/>
              <w:left w:val="nil"/>
              <w:bottom w:val="single" w:sz="4" w:space="0" w:color="auto"/>
              <w:right w:val="nil"/>
            </w:tcBorders>
          </w:tcPr>
          <w:p w14:paraId="41AEB094" w14:textId="77777777" w:rsidR="00620D4E" w:rsidRPr="008E2886" w:rsidRDefault="00620D4E" w:rsidP="00620D4E">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shd w:val="clear" w:color="auto" w:fill="auto"/>
            <w:vAlign w:val="bottom"/>
          </w:tcPr>
          <w:p w14:paraId="3C30A9AA" w14:textId="7F92E6D7" w:rsidR="00620D4E" w:rsidRPr="008E2886" w:rsidRDefault="00620D4E" w:rsidP="00620D4E">
            <w:pPr>
              <w:pStyle w:val="TableText"/>
              <w:tabs>
                <w:tab w:val="left" w:pos="3306"/>
              </w:tabs>
              <w:jc w:val="right"/>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31E9A3D8" w14:textId="77777777" w:rsidR="00620D4E" w:rsidRPr="008E2886" w:rsidRDefault="00620D4E" w:rsidP="00620D4E">
            <w:pPr>
              <w:pStyle w:val="TableText"/>
              <w:tabs>
                <w:tab w:val="left" w:pos="3306"/>
              </w:tabs>
              <w:jc w:val="right"/>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6B3F5B13" w14:textId="77777777" w:rsidR="00620D4E" w:rsidRPr="008E2886" w:rsidRDefault="00620D4E" w:rsidP="00620D4E">
            <w:pPr>
              <w:pStyle w:val="TableText"/>
              <w:tabs>
                <w:tab w:val="left" w:pos="3306"/>
              </w:tabs>
              <w:jc w:val="right"/>
              <w:rPr>
                <w:rFonts w:cs="Calibri"/>
                <w:b/>
              </w:rPr>
            </w:pPr>
          </w:p>
        </w:tc>
        <w:tc>
          <w:tcPr>
            <w:tcW w:w="850" w:type="dxa"/>
            <w:tcBorders>
              <w:top w:val="single" w:sz="4" w:space="0" w:color="auto"/>
              <w:left w:val="nil"/>
              <w:bottom w:val="single" w:sz="4" w:space="0" w:color="auto"/>
              <w:right w:val="nil"/>
            </w:tcBorders>
            <w:shd w:val="clear" w:color="auto" w:fill="auto"/>
            <w:vAlign w:val="bottom"/>
          </w:tcPr>
          <w:p w14:paraId="7895DE49" w14:textId="77777777" w:rsidR="00620D4E" w:rsidRPr="008E2886" w:rsidRDefault="00620D4E" w:rsidP="00620D4E">
            <w:pPr>
              <w:pStyle w:val="TableText"/>
              <w:tabs>
                <w:tab w:val="left" w:pos="3306"/>
              </w:tabs>
              <w:jc w:val="right"/>
              <w:rPr>
                <w:rFonts w:cs="Calibri"/>
                <w:b/>
              </w:rPr>
            </w:pPr>
          </w:p>
        </w:tc>
      </w:tr>
      <w:tr w:rsidR="00620D4E" w:rsidRPr="00CF7E1B" w14:paraId="23EC4252" w14:textId="77777777" w:rsidTr="004D1EC6">
        <w:trPr>
          <w:cantSplit/>
          <w:trHeight w:val="20"/>
        </w:trPr>
        <w:tc>
          <w:tcPr>
            <w:tcW w:w="1478" w:type="dxa"/>
            <w:tcBorders>
              <w:top w:val="nil"/>
              <w:left w:val="single" w:sz="2" w:space="0" w:color="auto"/>
              <w:bottom w:val="nil"/>
              <w:right w:val="single" w:sz="2" w:space="0" w:color="auto"/>
            </w:tcBorders>
          </w:tcPr>
          <w:p w14:paraId="75008978" w14:textId="77777777" w:rsidR="00620D4E" w:rsidRPr="008E2886" w:rsidRDefault="00620D4E" w:rsidP="006141B9">
            <w:pPr>
              <w:pStyle w:val="TableReference"/>
              <w:tabs>
                <w:tab w:val="left" w:pos="3306"/>
              </w:tabs>
              <w:spacing w:before="240" w:after="240"/>
              <w:rPr>
                <w:rFonts w:cs="Calibri"/>
                <w:strike/>
                <w:color w:val="7030A0"/>
                <w:sz w:val="14"/>
              </w:rPr>
            </w:pPr>
          </w:p>
        </w:tc>
        <w:tc>
          <w:tcPr>
            <w:tcW w:w="3260" w:type="dxa"/>
            <w:tcBorders>
              <w:top w:val="nil"/>
              <w:left w:val="single" w:sz="2" w:space="0" w:color="auto"/>
              <w:bottom w:val="nil"/>
              <w:right w:val="nil"/>
            </w:tcBorders>
            <w:vAlign w:val="bottom"/>
          </w:tcPr>
          <w:p w14:paraId="30A6B170" w14:textId="50C0EF8C" w:rsidR="00620D4E" w:rsidRPr="00C93ED0" w:rsidRDefault="00620D4E" w:rsidP="006141B9">
            <w:pPr>
              <w:tabs>
                <w:tab w:val="left" w:pos="3306"/>
              </w:tabs>
              <w:spacing w:before="240" w:after="240"/>
              <w:rPr>
                <w:rFonts w:cs="Calibri"/>
                <w:strike/>
                <w:sz w:val="18"/>
              </w:rPr>
            </w:pPr>
            <w:r w:rsidRPr="00C93ED0">
              <w:rPr>
                <w:rFonts w:cs="Calibri"/>
                <w:sz w:val="18"/>
              </w:rPr>
              <w:t xml:space="preserve">Transfers </w:t>
            </w:r>
            <w:r w:rsidR="001846F5" w:rsidRPr="00C93ED0">
              <w:rPr>
                <w:rFonts w:cs="Calibri"/>
                <w:strike/>
                <w:color w:val="538135" w:themeColor="accent6" w:themeShade="BF"/>
                <w:sz w:val="18"/>
              </w:rPr>
              <w:t>(from)/</w:t>
            </w:r>
            <w:r w:rsidR="001846F5" w:rsidRPr="00C93ED0">
              <w:rPr>
                <w:rFonts w:cs="Calibri"/>
                <w:sz w:val="18"/>
              </w:rPr>
              <w:t>to</w:t>
            </w:r>
            <w:r w:rsidR="001846F5" w:rsidRPr="00C93ED0">
              <w:rPr>
                <w:rFonts w:cs="Calibri"/>
                <w:color w:val="538135" w:themeColor="accent6" w:themeShade="BF"/>
                <w:sz w:val="18"/>
              </w:rPr>
              <w:t xml:space="preserve">/(from) </w:t>
            </w:r>
            <w:r w:rsidRPr="00C93ED0">
              <w:rPr>
                <w:rFonts w:cs="Calibri"/>
                <w:sz w:val="18"/>
              </w:rPr>
              <w:t>reserves</w:t>
            </w:r>
          </w:p>
        </w:tc>
        <w:tc>
          <w:tcPr>
            <w:tcW w:w="709" w:type="dxa"/>
            <w:tcBorders>
              <w:top w:val="nil"/>
              <w:left w:val="nil"/>
              <w:bottom w:val="nil"/>
              <w:right w:val="nil"/>
            </w:tcBorders>
            <w:vAlign w:val="bottom"/>
          </w:tcPr>
          <w:p w14:paraId="05F1DE72" w14:textId="77777777" w:rsidR="00620D4E" w:rsidRPr="008E2886" w:rsidRDefault="00620D4E" w:rsidP="006141B9">
            <w:pPr>
              <w:pStyle w:val="TableText"/>
              <w:tabs>
                <w:tab w:val="left" w:pos="3306"/>
              </w:tabs>
              <w:spacing w:before="240" w:after="240"/>
              <w:rPr>
                <w:rFonts w:cs="Calibri"/>
                <w:strike/>
              </w:rPr>
            </w:pPr>
          </w:p>
        </w:tc>
        <w:tc>
          <w:tcPr>
            <w:tcW w:w="1134" w:type="dxa"/>
            <w:tcBorders>
              <w:top w:val="single" w:sz="4" w:space="0" w:color="auto"/>
              <w:left w:val="nil"/>
              <w:bottom w:val="nil"/>
              <w:right w:val="nil"/>
            </w:tcBorders>
            <w:vAlign w:val="bottom"/>
          </w:tcPr>
          <w:p w14:paraId="04A67F7C" w14:textId="77777777" w:rsidR="00620D4E" w:rsidRPr="008E2886" w:rsidRDefault="00620D4E" w:rsidP="006141B9">
            <w:pPr>
              <w:pStyle w:val="TableText"/>
              <w:tabs>
                <w:tab w:val="left" w:pos="3306"/>
              </w:tabs>
              <w:spacing w:before="240" w:after="240"/>
              <w:rPr>
                <w:rFonts w:cs="Calibri"/>
              </w:rPr>
            </w:pPr>
          </w:p>
        </w:tc>
        <w:tc>
          <w:tcPr>
            <w:tcW w:w="1276" w:type="dxa"/>
            <w:tcBorders>
              <w:top w:val="single" w:sz="4" w:space="0" w:color="auto"/>
              <w:left w:val="nil"/>
              <w:bottom w:val="nil"/>
              <w:right w:val="nil"/>
            </w:tcBorders>
            <w:shd w:val="clear" w:color="auto" w:fill="auto"/>
            <w:vAlign w:val="bottom"/>
          </w:tcPr>
          <w:p w14:paraId="2AEF7D34" w14:textId="65B8FBF3" w:rsidR="00620D4E" w:rsidRPr="008E2886" w:rsidRDefault="00620D4E" w:rsidP="006141B9">
            <w:pPr>
              <w:pStyle w:val="TableText"/>
              <w:tabs>
                <w:tab w:val="left" w:pos="3306"/>
              </w:tabs>
              <w:spacing w:before="240" w:after="240"/>
              <w:rPr>
                <w:rFonts w:cs="Calibri"/>
              </w:rPr>
            </w:pPr>
          </w:p>
        </w:tc>
        <w:tc>
          <w:tcPr>
            <w:tcW w:w="1134" w:type="dxa"/>
            <w:tcBorders>
              <w:top w:val="single" w:sz="4" w:space="0" w:color="auto"/>
              <w:left w:val="nil"/>
              <w:bottom w:val="nil"/>
              <w:right w:val="nil"/>
            </w:tcBorders>
            <w:shd w:val="clear" w:color="auto" w:fill="auto"/>
            <w:vAlign w:val="bottom"/>
          </w:tcPr>
          <w:p w14:paraId="40A2F9CD" w14:textId="77777777" w:rsidR="00620D4E" w:rsidRPr="008E2886" w:rsidRDefault="00620D4E" w:rsidP="006141B9">
            <w:pPr>
              <w:pStyle w:val="TableText"/>
              <w:tabs>
                <w:tab w:val="left" w:pos="3306"/>
              </w:tabs>
              <w:spacing w:before="240" w:after="240"/>
              <w:rPr>
                <w:rFonts w:cs="Calibri"/>
              </w:rPr>
            </w:pPr>
          </w:p>
        </w:tc>
        <w:tc>
          <w:tcPr>
            <w:tcW w:w="992" w:type="dxa"/>
            <w:tcBorders>
              <w:top w:val="single" w:sz="4" w:space="0" w:color="auto"/>
              <w:left w:val="nil"/>
              <w:bottom w:val="nil"/>
              <w:right w:val="nil"/>
            </w:tcBorders>
            <w:shd w:val="clear" w:color="auto" w:fill="auto"/>
            <w:vAlign w:val="bottom"/>
          </w:tcPr>
          <w:p w14:paraId="4755F302" w14:textId="77777777" w:rsidR="00620D4E" w:rsidRPr="008E2886" w:rsidRDefault="00620D4E" w:rsidP="006141B9">
            <w:pPr>
              <w:pStyle w:val="TableText"/>
              <w:tabs>
                <w:tab w:val="left" w:pos="3306"/>
              </w:tabs>
              <w:spacing w:before="240" w:after="240"/>
              <w:rPr>
                <w:rFonts w:cs="Calibri"/>
              </w:rPr>
            </w:pPr>
          </w:p>
        </w:tc>
        <w:tc>
          <w:tcPr>
            <w:tcW w:w="850" w:type="dxa"/>
            <w:tcBorders>
              <w:top w:val="single" w:sz="4" w:space="0" w:color="auto"/>
              <w:left w:val="nil"/>
              <w:bottom w:val="nil"/>
              <w:right w:val="nil"/>
            </w:tcBorders>
            <w:shd w:val="clear" w:color="auto" w:fill="auto"/>
            <w:vAlign w:val="bottom"/>
          </w:tcPr>
          <w:p w14:paraId="47585CC8" w14:textId="77777777" w:rsidR="00620D4E" w:rsidRPr="008E2886" w:rsidRDefault="00620D4E" w:rsidP="006141B9">
            <w:pPr>
              <w:pStyle w:val="TableText"/>
              <w:tabs>
                <w:tab w:val="left" w:pos="3306"/>
              </w:tabs>
              <w:spacing w:before="240" w:after="240"/>
              <w:rPr>
                <w:rFonts w:cs="Calibri"/>
              </w:rPr>
            </w:pPr>
          </w:p>
        </w:tc>
      </w:tr>
      <w:tr w:rsidR="00620D4E" w:rsidRPr="00CF7E1B" w14:paraId="500201FC" w14:textId="77777777" w:rsidTr="004D1EC6">
        <w:trPr>
          <w:cantSplit/>
          <w:trHeight w:val="20"/>
        </w:trPr>
        <w:tc>
          <w:tcPr>
            <w:tcW w:w="1478" w:type="dxa"/>
            <w:tcBorders>
              <w:top w:val="nil"/>
              <w:left w:val="single" w:sz="2" w:space="0" w:color="auto"/>
              <w:bottom w:val="nil"/>
              <w:right w:val="single" w:sz="2" w:space="0" w:color="auto"/>
            </w:tcBorders>
          </w:tcPr>
          <w:p w14:paraId="39B8F937"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tcPr>
          <w:p w14:paraId="083D7A04" w14:textId="77777777" w:rsidR="00620D4E" w:rsidRPr="00C93ED0" w:rsidRDefault="00620D4E" w:rsidP="00620D4E">
            <w:pPr>
              <w:tabs>
                <w:tab w:val="left" w:pos="3306"/>
              </w:tabs>
              <w:spacing w:before="60" w:after="60"/>
              <w:rPr>
                <w:rFonts w:cs="Calibri"/>
                <w:b/>
                <w:iCs/>
                <w:sz w:val="18"/>
              </w:rPr>
            </w:pPr>
            <w:r w:rsidRPr="00C93ED0">
              <w:rPr>
                <w:rFonts w:cs="Calibri"/>
                <w:b/>
                <w:iCs/>
                <w:sz w:val="18"/>
              </w:rPr>
              <w:t>Transactions Involving Owners Affecting Accumulated Funds</w:t>
            </w:r>
          </w:p>
        </w:tc>
        <w:tc>
          <w:tcPr>
            <w:tcW w:w="709" w:type="dxa"/>
            <w:tcBorders>
              <w:top w:val="nil"/>
              <w:left w:val="nil"/>
              <w:bottom w:val="nil"/>
              <w:right w:val="nil"/>
            </w:tcBorders>
            <w:vAlign w:val="bottom"/>
          </w:tcPr>
          <w:p w14:paraId="397EA66C"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6C46556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4AC35533" w14:textId="0275623C"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2A868CF"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1C99A8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E39F1E7" w14:textId="77777777" w:rsidR="00620D4E" w:rsidRPr="008E2886" w:rsidRDefault="00620D4E" w:rsidP="00620D4E">
            <w:pPr>
              <w:pStyle w:val="TableText"/>
              <w:tabs>
                <w:tab w:val="left" w:pos="3306"/>
              </w:tabs>
              <w:jc w:val="right"/>
              <w:rPr>
                <w:rFonts w:cs="Calibri"/>
              </w:rPr>
            </w:pPr>
          </w:p>
        </w:tc>
      </w:tr>
      <w:tr w:rsidR="00620D4E" w:rsidRPr="00CF7E1B" w14:paraId="01A185AE" w14:textId="77777777" w:rsidTr="004D1EC6">
        <w:trPr>
          <w:cantSplit/>
          <w:trHeight w:val="20"/>
        </w:trPr>
        <w:tc>
          <w:tcPr>
            <w:tcW w:w="1478" w:type="dxa"/>
            <w:tcBorders>
              <w:top w:val="nil"/>
              <w:left w:val="single" w:sz="2" w:space="0" w:color="auto"/>
              <w:bottom w:val="nil"/>
              <w:right w:val="single" w:sz="2" w:space="0" w:color="auto"/>
            </w:tcBorders>
          </w:tcPr>
          <w:p w14:paraId="7812FCEE"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7E353E" w14:textId="77777777" w:rsidR="00620D4E" w:rsidRPr="00C93ED0" w:rsidRDefault="00620D4E" w:rsidP="00181096">
            <w:pPr>
              <w:tabs>
                <w:tab w:val="left" w:pos="3306"/>
              </w:tabs>
              <w:spacing w:before="60" w:after="60"/>
              <w:rPr>
                <w:rFonts w:cs="Calibri"/>
                <w:sz w:val="18"/>
              </w:rPr>
            </w:pPr>
            <w:r w:rsidRPr="00C93ED0">
              <w:rPr>
                <w:rFonts w:cs="Calibri"/>
                <w:sz w:val="18"/>
              </w:rPr>
              <w:t>Capital Injections</w:t>
            </w:r>
          </w:p>
        </w:tc>
        <w:tc>
          <w:tcPr>
            <w:tcW w:w="709" w:type="dxa"/>
            <w:tcBorders>
              <w:top w:val="nil"/>
              <w:left w:val="nil"/>
              <w:bottom w:val="nil"/>
              <w:right w:val="nil"/>
            </w:tcBorders>
            <w:vAlign w:val="bottom"/>
          </w:tcPr>
          <w:p w14:paraId="03CD4BE4" w14:textId="6D5C4E2E" w:rsidR="00620D4E" w:rsidRPr="008E2886" w:rsidRDefault="00181096" w:rsidP="00181096">
            <w:pPr>
              <w:pStyle w:val="TableText"/>
              <w:tabs>
                <w:tab w:val="left" w:pos="3306"/>
              </w:tabs>
              <w:spacing w:before="60" w:after="60"/>
              <w:jc w:val="center"/>
              <w:rPr>
                <w:rFonts w:cs="Calibri"/>
                <w:strike/>
              </w:rPr>
            </w:pPr>
            <w:r w:rsidRPr="00C93ED0">
              <w:rPr>
                <w:rFonts w:cs="Calibri"/>
                <w:strike/>
                <w:color w:val="FF0000"/>
              </w:rPr>
              <w:t>#</w:t>
            </w:r>
          </w:p>
        </w:tc>
        <w:tc>
          <w:tcPr>
            <w:tcW w:w="1134" w:type="dxa"/>
            <w:tcBorders>
              <w:top w:val="nil"/>
              <w:left w:val="nil"/>
              <w:bottom w:val="nil"/>
              <w:right w:val="nil"/>
            </w:tcBorders>
          </w:tcPr>
          <w:p w14:paraId="6CF4431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75E51E6D" w14:textId="61469CA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1CD291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6AD598D"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51511D" w14:textId="77777777" w:rsidR="00620D4E" w:rsidRPr="008E2886" w:rsidRDefault="00620D4E" w:rsidP="00620D4E">
            <w:pPr>
              <w:pStyle w:val="TableText"/>
              <w:tabs>
                <w:tab w:val="left" w:pos="3306"/>
              </w:tabs>
              <w:jc w:val="right"/>
              <w:rPr>
                <w:rFonts w:cs="Calibri"/>
              </w:rPr>
            </w:pPr>
          </w:p>
        </w:tc>
      </w:tr>
      <w:tr w:rsidR="00620D4E" w:rsidRPr="00CF7E1B" w14:paraId="2A537C56" w14:textId="77777777" w:rsidTr="004D1EC6">
        <w:trPr>
          <w:cantSplit/>
          <w:trHeight w:val="20"/>
        </w:trPr>
        <w:tc>
          <w:tcPr>
            <w:tcW w:w="1478" w:type="dxa"/>
            <w:tcBorders>
              <w:top w:val="nil"/>
              <w:left w:val="single" w:sz="2" w:space="0" w:color="auto"/>
              <w:bottom w:val="nil"/>
              <w:right w:val="single" w:sz="2" w:space="0" w:color="auto"/>
            </w:tcBorders>
          </w:tcPr>
          <w:p w14:paraId="2C9203E8"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78ACAEC0" w14:textId="77777777" w:rsidR="00620D4E" w:rsidRPr="00C93ED0" w:rsidRDefault="00620D4E" w:rsidP="00181096">
            <w:pPr>
              <w:tabs>
                <w:tab w:val="left" w:pos="3306"/>
              </w:tabs>
              <w:spacing w:before="60" w:after="60"/>
              <w:rPr>
                <w:rFonts w:cs="Calibri"/>
                <w:sz w:val="18"/>
              </w:rPr>
            </w:pPr>
            <w:r w:rsidRPr="00C93ED0">
              <w:rPr>
                <w:rFonts w:cs="Calibri"/>
                <w:sz w:val="18"/>
              </w:rPr>
              <w:t xml:space="preserve">Capital </w:t>
            </w:r>
            <w:r w:rsidRPr="00C93ED0">
              <w:rPr>
                <w:rFonts w:cs="Calibri"/>
                <w:strike/>
                <w:color w:val="FF0000"/>
                <w:sz w:val="18"/>
              </w:rPr>
              <w:t>(</w:t>
            </w:r>
            <w:r w:rsidRPr="00C93ED0">
              <w:rPr>
                <w:rFonts w:cs="Calibri"/>
                <w:sz w:val="18"/>
              </w:rPr>
              <w:t>Distributions</w:t>
            </w:r>
            <w:r w:rsidRPr="00C93ED0">
              <w:rPr>
                <w:rFonts w:cs="Calibri"/>
                <w:strike/>
                <w:color w:val="FF0000"/>
                <w:sz w:val="18"/>
              </w:rPr>
              <w:t>)</w:t>
            </w:r>
          </w:p>
        </w:tc>
        <w:tc>
          <w:tcPr>
            <w:tcW w:w="709" w:type="dxa"/>
            <w:tcBorders>
              <w:top w:val="nil"/>
              <w:left w:val="nil"/>
              <w:bottom w:val="nil"/>
              <w:right w:val="nil"/>
            </w:tcBorders>
            <w:vAlign w:val="bottom"/>
          </w:tcPr>
          <w:p w14:paraId="13B8EE6E"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nil"/>
              <w:right w:val="nil"/>
            </w:tcBorders>
          </w:tcPr>
          <w:p w14:paraId="27037C3F"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389FB8C5" w14:textId="71BE27A3"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28029FE"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9D7D99A"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8C3CB1B" w14:textId="77777777" w:rsidR="00620D4E" w:rsidRPr="008E2886" w:rsidRDefault="00620D4E" w:rsidP="00620D4E">
            <w:pPr>
              <w:pStyle w:val="TableText"/>
              <w:tabs>
                <w:tab w:val="left" w:pos="3306"/>
              </w:tabs>
              <w:jc w:val="right"/>
              <w:rPr>
                <w:rFonts w:cs="Calibri"/>
              </w:rPr>
            </w:pPr>
          </w:p>
        </w:tc>
      </w:tr>
      <w:tr w:rsidR="00620D4E" w:rsidRPr="00CF7E1B" w14:paraId="440C71BE" w14:textId="77777777" w:rsidTr="004D1EC6">
        <w:trPr>
          <w:cantSplit/>
          <w:trHeight w:val="20"/>
        </w:trPr>
        <w:tc>
          <w:tcPr>
            <w:tcW w:w="1478" w:type="dxa"/>
            <w:tcBorders>
              <w:top w:val="nil"/>
              <w:left w:val="single" w:sz="2" w:space="0" w:color="auto"/>
              <w:bottom w:val="nil"/>
              <w:right w:val="single" w:sz="2" w:space="0" w:color="auto"/>
            </w:tcBorders>
          </w:tcPr>
          <w:p w14:paraId="4780F6BA" w14:textId="77777777" w:rsidR="00620D4E" w:rsidRPr="00B73007" w:rsidRDefault="00620D4E" w:rsidP="00620D4E">
            <w:pPr>
              <w:pStyle w:val="TableReference"/>
              <w:tabs>
                <w:tab w:val="left" w:pos="3306"/>
              </w:tabs>
              <w:spacing w:before="60"/>
              <w:rPr>
                <w:rFonts w:cs="Calibri"/>
                <w:color w:val="7030A0"/>
                <w:sz w:val="14"/>
              </w:rPr>
            </w:pPr>
            <w:r w:rsidRPr="00B73007">
              <w:rPr>
                <w:rFonts w:cs="Calibri"/>
                <w:color w:val="7030A0"/>
                <w:sz w:val="14"/>
              </w:rPr>
              <w:t>AASB 101.106(d)(iii)</w:t>
            </w:r>
          </w:p>
          <w:p w14:paraId="5FD5CB8D" w14:textId="39861E3B" w:rsidR="008647AF" w:rsidRPr="00B73007" w:rsidRDefault="008647AF" w:rsidP="00620D4E">
            <w:pPr>
              <w:pStyle w:val="TableReference"/>
              <w:tabs>
                <w:tab w:val="left" w:pos="3306"/>
              </w:tabs>
              <w:spacing w:before="60"/>
              <w:rPr>
                <w:rFonts w:cs="Calibri"/>
                <w:color w:val="7030A0"/>
                <w:sz w:val="14"/>
              </w:rPr>
            </w:pPr>
            <w:r w:rsidRPr="00B73007">
              <w:rPr>
                <w:rFonts w:cs="Calibri"/>
                <w:color w:val="FF0000"/>
                <w:sz w:val="14"/>
              </w:rPr>
              <w:t>AASB 1004.48</w:t>
            </w:r>
          </w:p>
        </w:tc>
        <w:tc>
          <w:tcPr>
            <w:tcW w:w="3260" w:type="dxa"/>
            <w:tcBorders>
              <w:top w:val="nil"/>
              <w:left w:val="single" w:sz="2" w:space="0" w:color="auto"/>
              <w:bottom w:val="nil"/>
              <w:right w:val="nil"/>
            </w:tcBorders>
          </w:tcPr>
          <w:p w14:paraId="27EED809" w14:textId="77777777" w:rsidR="00620D4E" w:rsidRPr="008E2886" w:rsidRDefault="00620D4E" w:rsidP="00181096">
            <w:pPr>
              <w:tabs>
                <w:tab w:val="left" w:pos="3306"/>
              </w:tabs>
              <w:spacing w:before="60" w:after="60"/>
              <w:rPr>
                <w:rFonts w:cs="Calibri"/>
                <w:sz w:val="18"/>
              </w:rPr>
            </w:pPr>
            <w:r w:rsidRPr="008E2886">
              <w:rPr>
                <w:rFonts w:cs="Calibri"/>
                <w:sz w:val="18"/>
              </w:rPr>
              <w:t>Net Assets transferred in as part of an Administrative Restructure</w:t>
            </w:r>
          </w:p>
        </w:tc>
        <w:tc>
          <w:tcPr>
            <w:tcW w:w="709" w:type="dxa"/>
            <w:tcBorders>
              <w:top w:val="nil"/>
              <w:left w:val="nil"/>
              <w:bottom w:val="nil"/>
              <w:right w:val="nil"/>
            </w:tcBorders>
          </w:tcPr>
          <w:p w14:paraId="10E295C2" w14:textId="66DEEBC9" w:rsidR="00620D4E" w:rsidRPr="008E2886" w:rsidRDefault="00DA3B1E" w:rsidP="00181096">
            <w:pPr>
              <w:pStyle w:val="TableText"/>
              <w:tabs>
                <w:tab w:val="left" w:pos="3306"/>
              </w:tabs>
              <w:spacing w:before="60" w:after="60"/>
              <w:jc w:val="center"/>
              <w:rPr>
                <w:rFonts w:cs="Calibri"/>
                <w:strike/>
              </w:rPr>
            </w:pPr>
            <w:r w:rsidRPr="008E2886">
              <w:rPr>
                <w:rFonts w:cs="Calibri"/>
              </w:rPr>
              <w:t>30</w:t>
            </w:r>
          </w:p>
        </w:tc>
        <w:tc>
          <w:tcPr>
            <w:tcW w:w="1134" w:type="dxa"/>
            <w:tcBorders>
              <w:top w:val="nil"/>
              <w:left w:val="nil"/>
              <w:bottom w:val="nil"/>
              <w:right w:val="nil"/>
            </w:tcBorders>
          </w:tcPr>
          <w:p w14:paraId="769A90D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F97E7B3" w14:textId="4BC2433E"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1A0AF0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C67295B"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CAA8065" w14:textId="77777777" w:rsidR="00620D4E" w:rsidRPr="008E2886" w:rsidRDefault="00620D4E" w:rsidP="00620D4E">
            <w:pPr>
              <w:pStyle w:val="TableText"/>
              <w:tabs>
                <w:tab w:val="left" w:pos="3306"/>
              </w:tabs>
              <w:jc w:val="right"/>
              <w:rPr>
                <w:rFonts w:cs="Calibri"/>
              </w:rPr>
            </w:pPr>
          </w:p>
        </w:tc>
      </w:tr>
      <w:tr w:rsidR="00620D4E" w:rsidRPr="00CF7E1B" w14:paraId="520172F0" w14:textId="77777777" w:rsidTr="004D1EC6">
        <w:trPr>
          <w:cantSplit/>
          <w:trHeight w:val="20"/>
        </w:trPr>
        <w:tc>
          <w:tcPr>
            <w:tcW w:w="1478" w:type="dxa"/>
            <w:tcBorders>
              <w:top w:val="nil"/>
              <w:left w:val="single" w:sz="2" w:space="0" w:color="auto"/>
              <w:bottom w:val="nil"/>
              <w:right w:val="single" w:sz="2" w:space="0" w:color="auto"/>
            </w:tcBorders>
          </w:tcPr>
          <w:p w14:paraId="5F0538FF" w14:textId="77777777" w:rsidR="00620D4E" w:rsidRPr="00B73007" w:rsidRDefault="00620D4E" w:rsidP="00620D4E">
            <w:pPr>
              <w:pStyle w:val="TableReference"/>
              <w:tabs>
                <w:tab w:val="left" w:pos="3306"/>
              </w:tabs>
              <w:spacing w:before="60"/>
              <w:rPr>
                <w:rFonts w:cs="Calibri"/>
                <w:color w:val="7030A0"/>
                <w:sz w:val="14"/>
              </w:rPr>
            </w:pPr>
            <w:r w:rsidRPr="00B73007">
              <w:rPr>
                <w:rFonts w:cs="Calibri"/>
                <w:color w:val="7030A0"/>
                <w:sz w:val="14"/>
              </w:rPr>
              <w:t>AASB 101.106(d)(iii)</w:t>
            </w:r>
          </w:p>
          <w:p w14:paraId="2C7451B4" w14:textId="666885B2" w:rsidR="008647AF" w:rsidRPr="00B73007" w:rsidRDefault="008647AF" w:rsidP="00620D4E">
            <w:pPr>
              <w:pStyle w:val="TableReference"/>
              <w:tabs>
                <w:tab w:val="left" w:pos="3306"/>
              </w:tabs>
              <w:spacing w:before="60"/>
              <w:rPr>
                <w:rFonts w:cs="Calibri"/>
                <w:color w:val="7030A0"/>
                <w:sz w:val="14"/>
              </w:rPr>
            </w:pPr>
            <w:r w:rsidRPr="00B73007">
              <w:rPr>
                <w:rFonts w:cs="Calibri"/>
                <w:color w:val="FF0000"/>
                <w:sz w:val="14"/>
              </w:rPr>
              <w:t>AASB 1004.49</w:t>
            </w:r>
          </w:p>
        </w:tc>
        <w:tc>
          <w:tcPr>
            <w:tcW w:w="3260" w:type="dxa"/>
            <w:tcBorders>
              <w:top w:val="nil"/>
              <w:left w:val="single" w:sz="2" w:space="0" w:color="auto"/>
              <w:bottom w:val="nil"/>
              <w:right w:val="nil"/>
            </w:tcBorders>
          </w:tcPr>
          <w:p w14:paraId="056F2B67" w14:textId="77777777" w:rsidR="00620D4E" w:rsidRPr="008E2886" w:rsidRDefault="00620D4E" w:rsidP="00181096">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9" w:type="dxa"/>
            <w:tcBorders>
              <w:top w:val="nil"/>
              <w:left w:val="nil"/>
              <w:bottom w:val="nil"/>
              <w:right w:val="nil"/>
            </w:tcBorders>
          </w:tcPr>
          <w:p w14:paraId="14E0CD10" w14:textId="7FF1F6E4" w:rsidR="00620D4E" w:rsidRPr="008E2886" w:rsidRDefault="00DA3B1E" w:rsidP="00181096">
            <w:pPr>
              <w:pStyle w:val="TableText"/>
              <w:tabs>
                <w:tab w:val="left" w:pos="3306"/>
              </w:tabs>
              <w:spacing w:before="60" w:after="60"/>
              <w:jc w:val="center"/>
              <w:rPr>
                <w:rFonts w:cs="Calibri"/>
                <w:strike/>
                <w:highlight w:val="cyan"/>
              </w:rPr>
            </w:pPr>
            <w:r w:rsidRPr="008E2886">
              <w:rPr>
                <w:rFonts w:cs="Calibri"/>
              </w:rPr>
              <w:t>30</w:t>
            </w:r>
          </w:p>
        </w:tc>
        <w:tc>
          <w:tcPr>
            <w:tcW w:w="1134" w:type="dxa"/>
            <w:tcBorders>
              <w:top w:val="nil"/>
              <w:left w:val="nil"/>
              <w:bottom w:val="nil"/>
              <w:right w:val="nil"/>
            </w:tcBorders>
          </w:tcPr>
          <w:p w14:paraId="7E86C896"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0F278C99" w14:textId="22B46B5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B497C6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D359B49"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C9317B6" w14:textId="77777777" w:rsidR="00620D4E" w:rsidRPr="008E2886" w:rsidRDefault="00620D4E" w:rsidP="00620D4E">
            <w:pPr>
              <w:pStyle w:val="TableText"/>
              <w:tabs>
                <w:tab w:val="left" w:pos="3306"/>
              </w:tabs>
              <w:jc w:val="right"/>
              <w:rPr>
                <w:rFonts w:cs="Calibri"/>
              </w:rPr>
            </w:pPr>
          </w:p>
        </w:tc>
      </w:tr>
      <w:tr w:rsidR="005C6F51" w:rsidRPr="00CF7E1B" w14:paraId="75D8D529" w14:textId="77777777" w:rsidTr="004D1EC6">
        <w:trPr>
          <w:cantSplit/>
          <w:trHeight w:val="20"/>
        </w:trPr>
        <w:tc>
          <w:tcPr>
            <w:tcW w:w="1478" w:type="dxa"/>
            <w:tcBorders>
              <w:top w:val="nil"/>
              <w:left w:val="single" w:sz="2" w:space="0" w:color="auto"/>
              <w:bottom w:val="nil"/>
              <w:right w:val="single" w:sz="2" w:space="0" w:color="auto"/>
            </w:tcBorders>
          </w:tcPr>
          <w:p w14:paraId="1FF73809" w14:textId="70FA8A9E" w:rsidR="005C6F51" w:rsidRPr="00B73007" w:rsidRDefault="005C6F51" w:rsidP="005C6F51">
            <w:pPr>
              <w:pStyle w:val="TableReference"/>
              <w:tabs>
                <w:tab w:val="left" w:pos="3306"/>
              </w:tabs>
              <w:spacing w:before="60"/>
              <w:rPr>
                <w:rFonts w:cs="Calibri"/>
                <w:color w:val="7030A0"/>
                <w:sz w:val="14"/>
              </w:rPr>
            </w:pPr>
            <w:r w:rsidRPr="00B73007">
              <w:rPr>
                <w:rFonts w:cs="Calibri"/>
                <w:color w:val="FF0000"/>
                <w:sz w:val="14"/>
              </w:rPr>
              <w:t>AASB 101.106(d)(iii)</w:t>
            </w:r>
          </w:p>
        </w:tc>
        <w:tc>
          <w:tcPr>
            <w:tcW w:w="3260" w:type="dxa"/>
            <w:tcBorders>
              <w:top w:val="nil"/>
              <w:left w:val="single" w:sz="2" w:space="0" w:color="auto"/>
              <w:bottom w:val="nil"/>
              <w:right w:val="nil"/>
            </w:tcBorders>
          </w:tcPr>
          <w:p w14:paraId="6A2D87BC" w14:textId="7899D2D0" w:rsidR="005C6F51" w:rsidRPr="008E2886" w:rsidRDefault="009D4A70" w:rsidP="005C6F51">
            <w:pPr>
              <w:tabs>
                <w:tab w:val="left" w:pos="3306"/>
              </w:tabs>
              <w:spacing w:before="60" w:after="60"/>
              <w:rPr>
                <w:rFonts w:cs="Calibri"/>
                <w:sz w:val="18"/>
              </w:rPr>
            </w:pPr>
            <w:r w:rsidRPr="007117C0">
              <w:rPr>
                <w:rFonts w:cs="Calibri"/>
                <w:color w:val="FF0000"/>
                <w:sz w:val="18"/>
              </w:rPr>
              <w:t>Net Assets transferred in/(out) from Other Agencies</w:t>
            </w:r>
          </w:p>
        </w:tc>
        <w:tc>
          <w:tcPr>
            <w:tcW w:w="709" w:type="dxa"/>
            <w:tcBorders>
              <w:top w:val="nil"/>
              <w:left w:val="nil"/>
              <w:bottom w:val="nil"/>
              <w:right w:val="nil"/>
            </w:tcBorders>
          </w:tcPr>
          <w:p w14:paraId="6FBD28A9" w14:textId="77777777" w:rsidR="005C6F51" w:rsidRPr="008E2886" w:rsidRDefault="005C6F51" w:rsidP="005C6F51">
            <w:pPr>
              <w:pStyle w:val="TableText"/>
              <w:tabs>
                <w:tab w:val="left" w:pos="3306"/>
              </w:tabs>
              <w:spacing w:before="60" w:after="60"/>
              <w:jc w:val="center"/>
              <w:rPr>
                <w:rFonts w:cs="Calibri"/>
              </w:rPr>
            </w:pPr>
          </w:p>
        </w:tc>
        <w:tc>
          <w:tcPr>
            <w:tcW w:w="1134" w:type="dxa"/>
            <w:tcBorders>
              <w:top w:val="nil"/>
              <w:left w:val="nil"/>
              <w:bottom w:val="nil"/>
              <w:right w:val="nil"/>
            </w:tcBorders>
          </w:tcPr>
          <w:p w14:paraId="46CDD4C7" w14:textId="77777777" w:rsidR="005C6F51" w:rsidRPr="008E2886" w:rsidRDefault="005C6F51" w:rsidP="005C6F51">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6168BA05" w14:textId="77777777" w:rsidR="005C6F51" w:rsidRPr="008E2886" w:rsidRDefault="005C6F51" w:rsidP="005C6F51">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9B548F5" w14:textId="77777777" w:rsidR="005C6F51" w:rsidRPr="008E2886" w:rsidRDefault="005C6F51" w:rsidP="005C6F51">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0ABC8B24" w14:textId="77777777" w:rsidR="005C6F51" w:rsidRPr="008E2886" w:rsidRDefault="005C6F51" w:rsidP="005C6F51">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7E329707" w14:textId="77777777" w:rsidR="005C6F51" w:rsidRPr="008E2886" w:rsidRDefault="005C6F51" w:rsidP="005C6F51">
            <w:pPr>
              <w:pStyle w:val="TableText"/>
              <w:tabs>
                <w:tab w:val="left" w:pos="3306"/>
              </w:tabs>
              <w:jc w:val="right"/>
              <w:rPr>
                <w:rFonts w:cs="Calibri"/>
              </w:rPr>
            </w:pPr>
          </w:p>
        </w:tc>
      </w:tr>
      <w:tr w:rsidR="00620D4E" w:rsidRPr="00CF7E1B" w14:paraId="2A415F70" w14:textId="77777777" w:rsidTr="004D1EC6">
        <w:trPr>
          <w:cantSplit/>
          <w:trHeight w:val="274"/>
        </w:trPr>
        <w:tc>
          <w:tcPr>
            <w:tcW w:w="1478" w:type="dxa"/>
            <w:tcBorders>
              <w:top w:val="nil"/>
              <w:left w:val="single" w:sz="2" w:space="0" w:color="auto"/>
              <w:bottom w:val="nil"/>
              <w:right w:val="single" w:sz="2" w:space="0" w:color="auto"/>
            </w:tcBorders>
          </w:tcPr>
          <w:p w14:paraId="1CA34884"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101.107</w:t>
            </w:r>
          </w:p>
          <w:p w14:paraId="3F21B5F0"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4D84B1" w14:textId="218D2B86" w:rsidR="00620D4E" w:rsidRPr="008E2886" w:rsidRDefault="00620D4E" w:rsidP="00181096">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9" w:type="dxa"/>
            <w:tcBorders>
              <w:top w:val="nil"/>
              <w:left w:val="nil"/>
              <w:bottom w:val="nil"/>
              <w:right w:val="nil"/>
            </w:tcBorders>
            <w:vAlign w:val="bottom"/>
          </w:tcPr>
          <w:p w14:paraId="37E83F3C"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single" w:sz="4" w:space="0" w:color="auto"/>
              <w:right w:val="nil"/>
            </w:tcBorders>
          </w:tcPr>
          <w:p w14:paraId="4ACD4D6A" w14:textId="77777777" w:rsidR="00620D4E" w:rsidRPr="008E2886" w:rsidRDefault="00620D4E" w:rsidP="00620D4E">
            <w:pPr>
              <w:pStyle w:val="TableText"/>
              <w:tabs>
                <w:tab w:val="left" w:pos="3306"/>
              </w:tabs>
              <w:spacing w:before="0"/>
              <w:jc w:val="right"/>
              <w:rPr>
                <w:rFonts w:cs="Calibri"/>
              </w:rPr>
            </w:pPr>
          </w:p>
        </w:tc>
        <w:tc>
          <w:tcPr>
            <w:tcW w:w="1276" w:type="dxa"/>
            <w:tcBorders>
              <w:top w:val="nil"/>
              <w:left w:val="nil"/>
              <w:bottom w:val="single" w:sz="4" w:space="0" w:color="auto"/>
              <w:right w:val="nil"/>
            </w:tcBorders>
            <w:shd w:val="clear" w:color="auto" w:fill="auto"/>
            <w:vAlign w:val="bottom"/>
          </w:tcPr>
          <w:p w14:paraId="63CEBED4" w14:textId="13CA167C" w:rsidR="00620D4E" w:rsidRPr="008E2886" w:rsidRDefault="00620D4E" w:rsidP="00620D4E">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0D7BC9A6" w14:textId="77777777" w:rsidR="00620D4E" w:rsidRPr="008E2886" w:rsidRDefault="00620D4E" w:rsidP="00620D4E">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60F397BB" w14:textId="77777777" w:rsidR="00620D4E" w:rsidRPr="008E2886" w:rsidRDefault="00620D4E" w:rsidP="00620D4E">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C10C423" w14:textId="77777777" w:rsidR="00620D4E" w:rsidRPr="008E2886" w:rsidRDefault="00620D4E" w:rsidP="00620D4E">
            <w:pPr>
              <w:pStyle w:val="TableText"/>
              <w:tabs>
                <w:tab w:val="left" w:pos="3306"/>
              </w:tabs>
              <w:spacing w:before="0"/>
              <w:jc w:val="right"/>
              <w:rPr>
                <w:rFonts w:cs="Calibri"/>
              </w:rPr>
            </w:pPr>
          </w:p>
        </w:tc>
      </w:tr>
      <w:tr w:rsidR="00620D4E" w:rsidRPr="00CF7E1B" w14:paraId="2F939BB5" w14:textId="77777777" w:rsidTr="004D1EC6">
        <w:trPr>
          <w:cantSplit/>
          <w:trHeight w:val="383"/>
        </w:trPr>
        <w:tc>
          <w:tcPr>
            <w:tcW w:w="1478" w:type="dxa"/>
            <w:tcBorders>
              <w:top w:val="nil"/>
              <w:left w:val="single" w:sz="2" w:space="0" w:color="auto"/>
              <w:bottom w:val="nil"/>
              <w:right w:val="single" w:sz="2" w:space="0" w:color="auto"/>
            </w:tcBorders>
          </w:tcPr>
          <w:p w14:paraId="28F714BF"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tcPr>
          <w:p w14:paraId="29E39AAF" w14:textId="77777777" w:rsidR="00620D4E" w:rsidRPr="008E2886" w:rsidRDefault="00620D4E" w:rsidP="00620D4E">
            <w:pPr>
              <w:pStyle w:val="TableReference"/>
              <w:rPr>
                <w:rFonts w:cs="Calibri"/>
                <w:b/>
                <w:color w:val="auto"/>
                <w:sz w:val="18"/>
                <w:szCs w:val="18"/>
              </w:rPr>
            </w:pPr>
            <w:r w:rsidRPr="008E2886">
              <w:rPr>
                <w:rFonts w:cs="Calibri"/>
                <w:b/>
                <w:iCs/>
                <w:color w:val="auto"/>
                <w:sz w:val="18"/>
                <w:szCs w:val="16"/>
              </w:rPr>
              <w:t>Total Transactions Involving Owners Affecting Accumulated Funds</w:t>
            </w:r>
          </w:p>
        </w:tc>
        <w:tc>
          <w:tcPr>
            <w:tcW w:w="709" w:type="dxa"/>
            <w:tcBorders>
              <w:top w:val="nil"/>
              <w:left w:val="nil"/>
              <w:bottom w:val="nil"/>
              <w:right w:val="nil"/>
            </w:tcBorders>
            <w:vAlign w:val="bottom"/>
          </w:tcPr>
          <w:p w14:paraId="1BB2075D" w14:textId="77777777" w:rsidR="00620D4E" w:rsidRPr="008E2886" w:rsidRDefault="00620D4E" w:rsidP="00620D4E">
            <w:pPr>
              <w:pStyle w:val="TableReference"/>
              <w:rPr>
                <w:rFonts w:cs="Calibri"/>
                <w:color w:val="auto"/>
              </w:rPr>
            </w:pPr>
          </w:p>
        </w:tc>
        <w:tc>
          <w:tcPr>
            <w:tcW w:w="1134" w:type="dxa"/>
            <w:tcBorders>
              <w:top w:val="single" w:sz="4" w:space="0" w:color="auto"/>
              <w:left w:val="nil"/>
              <w:bottom w:val="single" w:sz="4" w:space="0" w:color="auto"/>
              <w:right w:val="nil"/>
            </w:tcBorders>
          </w:tcPr>
          <w:p w14:paraId="7B59E806" w14:textId="77777777" w:rsidR="00620D4E" w:rsidRPr="008E2886" w:rsidRDefault="00620D4E" w:rsidP="00F70B16">
            <w:pPr>
              <w:pStyle w:val="TableText"/>
              <w:tabs>
                <w:tab w:val="left" w:pos="3306"/>
              </w:tabs>
              <w:spacing w:before="0"/>
              <w:jc w:val="right"/>
              <w:rPr>
                <w:rFonts w:cs="Calibri"/>
                <w:b/>
                <w:highlight w:val="cyan"/>
              </w:rPr>
            </w:pPr>
          </w:p>
        </w:tc>
        <w:tc>
          <w:tcPr>
            <w:tcW w:w="1276" w:type="dxa"/>
            <w:tcBorders>
              <w:top w:val="single" w:sz="4" w:space="0" w:color="auto"/>
              <w:left w:val="nil"/>
              <w:bottom w:val="single" w:sz="4" w:space="0" w:color="auto"/>
              <w:right w:val="nil"/>
            </w:tcBorders>
            <w:shd w:val="clear" w:color="auto" w:fill="auto"/>
          </w:tcPr>
          <w:p w14:paraId="17D141D2" w14:textId="411FC874" w:rsidR="00620D4E" w:rsidRPr="008E2886" w:rsidRDefault="00620D4E" w:rsidP="00F70B16">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tcPr>
          <w:p w14:paraId="51D6D042" w14:textId="77777777" w:rsidR="00620D4E" w:rsidRPr="008E2886" w:rsidRDefault="00620D4E" w:rsidP="00F70B16">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tcPr>
          <w:p w14:paraId="39004BF1" w14:textId="77777777" w:rsidR="00620D4E" w:rsidRPr="008E2886" w:rsidRDefault="00620D4E" w:rsidP="00F70B16">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tcPr>
          <w:p w14:paraId="5B6E3FD4" w14:textId="77777777" w:rsidR="00620D4E" w:rsidRPr="008E2886" w:rsidRDefault="00620D4E" w:rsidP="00F70B16">
            <w:pPr>
              <w:pStyle w:val="TableText"/>
              <w:tabs>
                <w:tab w:val="left" w:pos="3306"/>
              </w:tabs>
              <w:spacing w:before="0"/>
              <w:jc w:val="right"/>
              <w:rPr>
                <w:rFonts w:cs="Calibri"/>
                <w:b/>
                <w:highlight w:val="cyan"/>
              </w:rPr>
            </w:pPr>
          </w:p>
        </w:tc>
      </w:tr>
      <w:tr w:rsidR="00620D4E" w:rsidRPr="00CF7E1B" w14:paraId="3CFB514C" w14:textId="77777777" w:rsidTr="004D1EC6">
        <w:trPr>
          <w:cantSplit/>
          <w:trHeight w:val="20"/>
        </w:trPr>
        <w:tc>
          <w:tcPr>
            <w:tcW w:w="1478" w:type="dxa"/>
            <w:tcBorders>
              <w:top w:val="nil"/>
              <w:left w:val="single" w:sz="2" w:space="0" w:color="auto"/>
              <w:bottom w:val="nil"/>
              <w:right w:val="single" w:sz="2" w:space="0" w:color="auto"/>
            </w:tcBorders>
          </w:tcPr>
          <w:p w14:paraId="4CC9339D"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vAlign w:val="bottom"/>
          </w:tcPr>
          <w:p w14:paraId="5DCDE51A" w14:textId="77777777" w:rsidR="00620D4E" w:rsidRPr="008E2886" w:rsidRDefault="00620D4E" w:rsidP="00620D4E">
            <w:pPr>
              <w:pStyle w:val="TableText"/>
              <w:tabs>
                <w:tab w:val="left" w:pos="3306"/>
              </w:tabs>
              <w:rPr>
                <w:rFonts w:cs="Calibri"/>
                <w:b/>
                <w:bCs/>
                <w:highlight w:val="cyan"/>
              </w:rPr>
            </w:pPr>
          </w:p>
        </w:tc>
        <w:tc>
          <w:tcPr>
            <w:tcW w:w="709" w:type="dxa"/>
            <w:tcBorders>
              <w:top w:val="nil"/>
              <w:left w:val="nil"/>
              <w:bottom w:val="nil"/>
              <w:right w:val="nil"/>
            </w:tcBorders>
            <w:vAlign w:val="bottom"/>
          </w:tcPr>
          <w:p w14:paraId="3EDAF2D5"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single" w:sz="4" w:space="0" w:color="auto"/>
              <w:right w:val="nil"/>
            </w:tcBorders>
          </w:tcPr>
          <w:p w14:paraId="4ED8320B" w14:textId="77777777" w:rsidR="00620D4E" w:rsidRPr="008E2886" w:rsidRDefault="00620D4E" w:rsidP="00620D4E">
            <w:pPr>
              <w:pStyle w:val="TableText"/>
              <w:tabs>
                <w:tab w:val="left" w:pos="3306"/>
              </w:tabs>
              <w:jc w:val="right"/>
              <w:rPr>
                <w:rFonts w:cs="Calibri"/>
                <w:b/>
                <w:bCs/>
                <w:highlight w:val="cyan"/>
              </w:rPr>
            </w:pPr>
          </w:p>
        </w:tc>
        <w:tc>
          <w:tcPr>
            <w:tcW w:w="1276" w:type="dxa"/>
            <w:tcBorders>
              <w:top w:val="single" w:sz="4" w:space="0" w:color="auto"/>
              <w:left w:val="nil"/>
              <w:bottom w:val="single" w:sz="4" w:space="0" w:color="auto"/>
              <w:right w:val="nil"/>
            </w:tcBorders>
            <w:shd w:val="clear" w:color="auto" w:fill="auto"/>
            <w:vAlign w:val="bottom"/>
          </w:tcPr>
          <w:p w14:paraId="70A2ADCB" w14:textId="43271EDF" w:rsidR="00620D4E" w:rsidRPr="008E2886" w:rsidRDefault="00620D4E" w:rsidP="00620D4E">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2BF22B79" w14:textId="77777777" w:rsidR="00620D4E" w:rsidRPr="008E2886" w:rsidRDefault="00620D4E" w:rsidP="00620D4E">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047A9C00" w14:textId="77777777" w:rsidR="00620D4E" w:rsidRPr="008E2886" w:rsidRDefault="00620D4E" w:rsidP="00620D4E">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6EBF53B6" w14:textId="77777777" w:rsidR="00620D4E" w:rsidRPr="008E2886" w:rsidRDefault="00620D4E" w:rsidP="00620D4E">
            <w:pPr>
              <w:pStyle w:val="TableText"/>
              <w:tabs>
                <w:tab w:val="left" w:pos="3306"/>
              </w:tabs>
              <w:jc w:val="right"/>
              <w:rPr>
                <w:rFonts w:cs="Calibri"/>
                <w:b/>
                <w:bCs/>
                <w:highlight w:val="cyan"/>
              </w:rPr>
            </w:pPr>
          </w:p>
        </w:tc>
      </w:tr>
      <w:tr w:rsidR="00620D4E" w:rsidRPr="00CF7E1B" w14:paraId="0F41A988" w14:textId="77777777" w:rsidTr="004D1EC6">
        <w:trPr>
          <w:cantSplit/>
          <w:trHeight w:val="20"/>
        </w:trPr>
        <w:tc>
          <w:tcPr>
            <w:tcW w:w="1478" w:type="dxa"/>
            <w:tcBorders>
              <w:top w:val="nil"/>
              <w:left w:val="single" w:sz="2" w:space="0" w:color="auto"/>
              <w:bottom w:val="nil"/>
              <w:right w:val="single" w:sz="2" w:space="0" w:color="auto"/>
            </w:tcBorders>
          </w:tcPr>
          <w:p w14:paraId="106AA4E8" w14:textId="77777777" w:rsidR="00620D4E" w:rsidRPr="008E2886" w:rsidRDefault="00620D4E" w:rsidP="00620D4E">
            <w:pPr>
              <w:pStyle w:val="TableReference"/>
              <w:tabs>
                <w:tab w:val="left" w:pos="3306"/>
              </w:tabs>
              <w:spacing w:before="40"/>
              <w:rPr>
                <w:rFonts w:cs="Calibri"/>
                <w:color w:val="7030A0"/>
                <w:sz w:val="16"/>
                <w:szCs w:val="16"/>
              </w:rPr>
            </w:pPr>
            <w:r w:rsidRPr="008E2886">
              <w:rPr>
                <w:rFonts w:cs="Calibri"/>
                <w:color w:val="7030A0"/>
                <w:sz w:val="16"/>
                <w:szCs w:val="16"/>
              </w:rPr>
              <w:t xml:space="preserve"> </w:t>
            </w:r>
          </w:p>
        </w:tc>
        <w:tc>
          <w:tcPr>
            <w:tcW w:w="3260" w:type="dxa"/>
            <w:tcBorders>
              <w:top w:val="nil"/>
              <w:left w:val="single" w:sz="2" w:space="0" w:color="auto"/>
              <w:bottom w:val="nil"/>
              <w:right w:val="nil"/>
            </w:tcBorders>
            <w:vAlign w:val="bottom"/>
          </w:tcPr>
          <w:p w14:paraId="66451904" w14:textId="39C7D7AB" w:rsidR="00620D4E" w:rsidRPr="008E2886" w:rsidRDefault="00620D4E" w:rsidP="00620D4E">
            <w:pPr>
              <w:pStyle w:val="TableText"/>
              <w:tabs>
                <w:tab w:val="left" w:pos="3306"/>
              </w:tabs>
              <w:rPr>
                <w:rFonts w:cs="Calibri"/>
                <w:b/>
                <w:bCs/>
              </w:rPr>
            </w:pPr>
            <w:r w:rsidRPr="008E2886">
              <w:rPr>
                <w:rFonts w:cs="Calibri"/>
                <w:b/>
                <w:bCs/>
              </w:rPr>
              <w:t>Balance at 30 June 202</w:t>
            </w:r>
            <w:r w:rsidR="00D50594">
              <w:rPr>
                <w:rFonts w:cs="Calibri"/>
                <w:b/>
                <w:bCs/>
              </w:rPr>
              <w:t>2</w:t>
            </w:r>
          </w:p>
        </w:tc>
        <w:tc>
          <w:tcPr>
            <w:tcW w:w="709" w:type="dxa"/>
            <w:tcBorders>
              <w:top w:val="nil"/>
              <w:left w:val="nil"/>
              <w:bottom w:val="nil"/>
              <w:right w:val="nil"/>
            </w:tcBorders>
            <w:vAlign w:val="bottom"/>
          </w:tcPr>
          <w:p w14:paraId="03DDAC43"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double" w:sz="4" w:space="0" w:color="auto"/>
              <w:right w:val="nil"/>
            </w:tcBorders>
          </w:tcPr>
          <w:p w14:paraId="6A3ED98A" w14:textId="77777777" w:rsidR="00620D4E" w:rsidRPr="008E2886" w:rsidRDefault="00620D4E" w:rsidP="00620D4E">
            <w:pPr>
              <w:pStyle w:val="TableText"/>
              <w:tabs>
                <w:tab w:val="left" w:pos="3306"/>
              </w:tabs>
              <w:jc w:val="right"/>
              <w:rPr>
                <w:rFonts w:cs="Calibri"/>
                <w:b/>
                <w:bCs/>
              </w:rPr>
            </w:pPr>
          </w:p>
        </w:tc>
        <w:tc>
          <w:tcPr>
            <w:tcW w:w="1276" w:type="dxa"/>
            <w:tcBorders>
              <w:top w:val="single" w:sz="4" w:space="0" w:color="auto"/>
              <w:left w:val="nil"/>
              <w:bottom w:val="double" w:sz="4" w:space="0" w:color="auto"/>
              <w:right w:val="nil"/>
            </w:tcBorders>
            <w:shd w:val="clear" w:color="auto" w:fill="auto"/>
            <w:vAlign w:val="bottom"/>
          </w:tcPr>
          <w:p w14:paraId="6A2638D7" w14:textId="5704B273" w:rsidR="00620D4E" w:rsidRPr="008E2886" w:rsidRDefault="00620D4E" w:rsidP="00620D4E">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575F7A47" w14:textId="77777777" w:rsidR="00620D4E" w:rsidRPr="008E2886" w:rsidRDefault="00620D4E" w:rsidP="00620D4E">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04E2DE66" w14:textId="77777777" w:rsidR="00620D4E" w:rsidRPr="008E2886" w:rsidRDefault="00620D4E" w:rsidP="00620D4E">
            <w:pPr>
              <w:pStyle w:val="TableText"/>
              <w:tabs>
                <w:tab w:val="left" w:pos="3306"/>
              </w:tabs>
              <w:jc w:val="right"/>
              <w:rPr>
                <w:rFonts w:cs="Calibri"/>
                <w:b/>
                <w:bCs/>
              </w:rPr>
            </w:pPr>
          </w:p>
        </w:tc>
        <w:tc>
          <w:tcPr>
            <w:tcW w:w="850" w:type="dxa"/>
            <w:tcBorders>
              <w:top w:val="single" w:sz="4" w:space="0" w:color="auto"/>
              <w:left w:val="nil"/>
              <w:bottom w:val="double" w:sz="4" w:space="0" w:color="auto"/>
              <w:right w:val="nil"/>
            </w:tcBorders>
            <w:shd w:val="clear" w:color="auto" w:fill="auto"/>
            <w:vAlign w:val="bottom"/>
          </w:tcPr>
          <w:p w14:paraId="0E7A920D" w14:textId="77777777" w:rsidR="00620D4E" w:rsidRPr="008E2886" w:rsidRDefault="00620D4E" w:rsidP="00620D4E">
            <w:pPr>
              <w:pStyle w:val="TableText"/>
              <w:tabs>
                <w:tab w:val="left" w:pos="3306"/>
              </w:tabs>
              <w:jc w:val="right"/>
              <w:rPr>
                <w:rFonts w:cs="Calibri"/>
                <w:b/>
                <w:bCs/>
              </w:rPr>
            </w:pPr>
          </w:p>
        </w:tc>
      </w:tr>
      <w:tr w:rsidR="00620D4E" w:rsidRPr="00CF7E1B" w14:paraId="7361E010" w14:textId="77777777" w:rsidTr="004D1EC6">
        <w:trPr>
          <w:cantSplit/>
          <w:trHeight w:val="20"/>
        </w:trPr>
        <w:tc>
          <w:tcPr>
            <w:tcW w:w="1478" w:type="dxa"/>
            <w:tcBorders>
              <w:top w:val="nil"/>
              <w:left w:val="single" w:sz="2" w:space="0" w:color="auto"/>
              <w:bottom w:val="nil"/>
              <w:right w:val="single" w:sz="2" w:space="0" w:color="auto"/>
            </w:tcBorders>
          </w:tcPr>
          <w:p w14:paraId="651191B5" w14:textId="77777777" w:rsidR="00620D4E" w:rsidRPr="008E2886" w:rsidRDefault="00620D4E" w:rsidP="00620D4E">
            <w:pPr>
              <w:pStyle w:val="TableReference"/>
              <w:tabs>
                <w:tab w:val="left" w:pos="3306"/>
              </w:tabs>
              <w:rPr>
                <w:rFonts w:cs="Calibri"/>
                <w:color w:val="7030A0"/>
                <w:sz w:val="16"/>
                <w:szCs w:val="16"/>
              </w:rPr>
            </w:pPr>
          </w:p>
        </w:tc>
        <w:tc>
          <w:tcPr>
            <w:tcW w:w="3260" w:type="dxa"/>
            <w:tcBorders>
              <w:top w:val="nil"/>
              <w:left w:val="single" w:sz="2" w:space="0" w:color="auto"/>
              <w:bottom w:val="nil"/>
              <w:right w:val="nil"/>
            </w:tcBorders>
            <w:vAlign w:val="bottom"/>
          </w:tcPr>
          <w:p w14:paraId="6E0FBBA5" w14:textId="77777777" w:rsidR="00620D4E" w:rsidRPr="008E2886" w:rsidRDefault="00620D4E" w:rsidP="00620D4E">
            <w:pPr>
              <w:pStyle w:val="TableText"/>
              <w:tabs>
                <w:tab w:val="left" w:pos="3306"/>
              </w:tabs>
              <w:spacing w:before="0"/>
              <w:rPr>
                <w:rFonts w:cs="Calibri"/>
                <w:b/>
                <w:bCs/>
                <w:sz w:val="12"/>
              </w:rPr>
            </w:pPr>
          </w:p>
        </w:tc>
        <w:tc>
          <w:tcPr>
            <w:tcW w:w="709" w:type="dxa"/>
            <w:tcBorders>
              <w:top w:val="nil"/>
              <w:left w:val="nil"/>
              <w:bottom w:val="nil"/>
              <w:right w:val="nil"/>
            </w:tcBorders>
            <w:vAlign w:val="bottom"/>
          </w:tcPr>
          <w:p w14:paraId="6C9EA28C" w14:textId="77777777" w:rsidR="00620D4E" w:rsidRPr="008E2886" w:rsidRDefault="00620D4E" w:rsidP="00620D4E">
            <w:pPr>
              <w:pStyle w:val="TableText"/>
              <w:tabs>
                <w:tab w:val="left" w:pos="3306"/>
              </w:tabs>
              <w:spacing w:before="0"/>
              <w:jc w:val="center"/>
              <w:rPr>
                <w:rFonts w:cs="Calibri"/>
                <w:sz w:val="12"/>
              </w:rPr>
            </w:pPr>
          </w:p>
        </w:tc>
        <w:tc>
          <w:tcPr>
            <w:tcW w:w="1134" w:type="dxa"/>
            <w:tcBorders>
              <w:top w:val="double" w:sz="4" w:space="0" w:color="auto"/>
              <w:left w:val="nil"/>
              <w:bottom w:val="nil"/>
              <w:right w:val="nil"/>
            </w:tcBorders>
          </w:tcPr>
          <w:p w14:paraId="2C9DC419" w14:textId="77777777" w:rsidR="00620D4E" w:rsidRPr="008E2886" w:rsidRDefault="00620D4E" w:rsidP="00620D4E">
            <w:pPr>
              <w:pStyle w:val="TableText"/>
              <w:tabs>
                <w:tab w:val="left" w:pos="3306"/>
              </w:tabs>
              <w:spacing w:before="0"/>
              <w:jc w:val="right"/>
              <w:rPr>
                <w:rFonts w:cs="Calibri"/>
                <w:b/>
                <w:bCs/>
                <w:sz w:val="12"/>
              </w:rPr>
            </w:pPr>
          </w:p>
        </w:tc>
        <w:tc>
          <w:tcPr>
            <w:tcW w:w="1276" w:type="dxa"/>
            <w:tcBorders>
              <w:top w:val="double" w:sz="4" w:space="0" w:color="auto"/>
              <w:left w:val="nil"/>
              <w:bottom w:val="nil"/>
              <w:right w:val="nil"/>
            </w:tcBorders>
            <w:shd w:val="clear" w:color="auto" w:fill="auto"/>
            <w:vAlign w:val="bottom"/>
          </w:tcPr>
          <w:p w14:paraId="1CCECD92" w14:textId="082C7554" w:rsidR="00620D4E" w:rsidRPr="008E2886" w:rsidRDefault="00620D4E" w:rsidP="00620D4E">
            <w:pPr>
              <w:pStyle w:val="TableText"/>
              <w:tabs>
                <w:tab w:val="left" w:pos="3306"/>
              </w:tabs>
              <w:spacing w:before="0"/>
              <w:jc w:val="right"/>
              <w:rPr>
                <w:rFonts w:cs="Calibri"/>
                <w:b/>
                <w:bCs/>
                <w:sz w:val="12"/>
              </w:rPr>
            </w:pPr>
          </w:p>
        </w:tc>
        <w:tc>
          <w:tcPr>
            <w:tcW w:w="1134" w:type="dxa"/>
            <w:tcBorders>
              <w:top w:val="double" w:sz="4" w:space="0" w:color="auto"/>
              <w:left w:val="nil"/>
              <w:bottom w:val="nil"/>
              <w:right w:val="nil"/>
            </w:tcBorders>
            <w:shd w:val="clear" w:color="auto" w:fill="auto"/>
            <w:vAlign w:val="bottom"/>
          </w:tcPr>
          <w:p w14:paraId="44B1257E" w14:textId="77777777" w:rsidR="00620D4E" w:rsidRPr="008E2886" w:rsidRDefault="00620D4E" w:rsidP="00620D4E">
            <w:pPr>
              <w:pStyle w:val="TableText"/>
              <w:tabs>
                <w:tab w:val="left" w:pos="3306"/>
              </w:tabs>
              <w:spacing w:before="0"/>
              <w:jc w:val="right"/>
              <w:rPr>
                <w:rFonts w:cs="Calibri"/>
                <w:b/>
                <w:bCs/>
                <w:sz w:val="12"/>
              </w:rPr>
            </w:pPr>
          </w:p>
        </w:tc>
        <w:tc>
          <w:tcPr>
            <w:tcW w:w="992" w:type="dxa"/>
            <w:tcBorders>
              <w:top w:val="double" w:sz="4" w:space="0" w:color="auto"/>
              <w:left w:val="nil"/>
              <w:bottom w:val="nil"/>
              <w:right w:val="nil"/>
            </w:tcBorders>
            <w:shd w:val="clear" w:color="auto" w:fill="auto"/>
            <w:vAlign w:val="bottom"/>
          </w:tcPr>
          <w:p w14:paraId="5AF8293D" w14:textId="77777777" w:rsidR="00620D4E" w:rsidRPr="008E2886" w:rsidRDefault="00620D4E" w:rsidP="00620D4E">
            <w:pPr>
              <w:pStyle w:val="TableText"/>
              <w:tabs>
                <w:tab w:val="left" w:pos="3306"/>
              </w:tabs>
              <w:spacing w:before="0"/>
              <w:jc w:val="right"/>
              <w:rPr>
                <w:rFonts w:cs="Calibri"/>
                <w:b/>
                <w:bCs/>
                <w:sz w:val="12"/>
              </w:rPr>
            </w:pPr>
          </w:p>
        </w:tc>
        <w:tc>
          <w:tcPr>
            <w:tcW w:w="850" w:type="dxa"/>
            <w:tcBorders>
              <w:top w:val="double" w:sz="4" w:space="0" w:color="auto"/>
              <w:left w:val="nil"/>
              <w:bottom w:val="nil"/>
              <w:right w:val="nil"/>
            </w:tcBorders>
            <w:shd w:val="clear" w:color="auto" w:fill="auto"/>
            <w:vAlign w:val="bottom"/>
          </w:tcPr>
          <w:p w14:paraId="7D52FA86" w14:textId="77777777" w:rsidR="00620D4E" w:rsidRPr="008E2886" w:rsidRDefault="00620D4E" w:rsidP="00620D4E">
            <w:pPr>
              <w:pStyle w:val="TableText"/>
              <w:tabs>
                <w:tab w:val="left" w:pos="3306"/>
              </w:tabs>
              <w:spacing w:before="0"/>
              <w:jc w:val="right"/>
              <w:rPr>
                <w:rFonts w:cs="Calibri"/>
                <w:b/>
                <w:bCs/>
                <w:sz w:val="12"/>
              </w:rPr>
            </w:pPr>
          </w:p>
        </w:tc>
      </w:tr>
      <w:tr w:rsidR="00491C20" w:rsidRPr="00CF7E1B" w14:paraId="0380F86D" w14:textId="77777777" w:rsidTr="00DF1D7E">
        <w:trPr>
          <w:cantSplit/>
          <w:trHeight w:val="80"/>
        </w:trPr>
        <w:tc>
          <w:tcPr>
            <w:tcW w:w="1478" w:type="dxa"/>
            <w:tcBorders>
              <w:top w:val="nil"/>
              <w:left w:val="single" w:sz="2" w:space="0" w:color="auto"/>
              <w:bottom w:val="nil"/>
              <w:right w:val="single" w:sz="2" w:space="0" w:color="auto"/>
            </w:tcBorders>
          </w:tcPr>
          <w:p w14:paraId="709BB49C" w14:textId="77777777" w:rsidR="00491C20" w:rsidRPr="008E2886" w:rsidRDefault="00491C20"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06CA84B" w14:textId="0AF7A3A5" w:rsidR="00491C20" w:rsidRPr="008E2886" w:rsidRDefault="00491C20" w:rsidP="00491C20">
            <w:pPr>
              <w:pStyle w:val="TableText"/>
              <w:tabs>
                <w:tab w:val="left" w:pos="3306"/>
              </w:tabs>
              <w:spacing w:before="0"/>
              <w:rPr>
                <w:rFonts w:cs="Calibri"/>
                <w:bCs/>
              </w:rPr>
            </w:pPr>
            <w:r w:rsidRPr="008E2886">
              <w:rPr>
                <w:rFonts w:cs="Calibri"/>
                <w:bCs/>
              </w:rPr>
              <w:t xml:space="preserve">The above Statement of Changes in Equity is to read in conjunction with the accompanying </w:t>
            </w:r>
            <w:r w:rsidRPr="00DF1D7E">
              <w:rPr>
                <w:rFonts w:cs="Calibri"/>
                <w:bCs/>
              </w:rPr>
              <w:t>notes.</w:t>
            </w:r>
          </w:p>
        </w:tc>
      </w:tr>
      <w:tr w:rsidR="00181096" w:rsidRPr="00CF7E1B" w14:paraId="6C7960E7" w14:textId="77777777" w:rsidTr="00DF1D7E">
        <w:trPr>
          <w:cantSplit/>
          <w:trHeight w:val="80"/>
        </w:trPr>
        <w:tc>
          <w:tcPr>
            <w:tcW w:w="1478" w:type="dxa"/>
            <w:tcBorders>
              <w:top w:val="nil"/>
              <w:left w:val="single" w:sz="2" w:space="0" w:color="auto"/>
              <w:bottom w:val="nil"/>
              <w:right w:val="single" w:sz="2" w:space="0" w:color="auto"/>
            </w:tcBorders>
          </w:tcPr>
          <w:p w14:paraId="1412B0E9"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C199517" w14:textId="77777777" w:rsidR="00181096" w:rsidRPr="008E2886" w:rsidRDefault="00181096" w:rsidP="00491C20">
            <w:pPr>
              <w:pStyle w:val="TableText"/>
              <w:tabs>
                <w:tab w:val="left" w:pos="3306"/>
              </w:tabs>
              <w:spacing w:before="0"/>
              <w:rPr>
                <w:rFonts w:cs="Calibri"/>
                <w:bCs/>
              </w:rPr>
            </w:pPr>
          </w:p>
        </w:tc>
      </w:tr>
      <w:tr w:rsidR="00181096" w:rsidRPr="00CF7E1B" w14:paraId="49BEBFF8" w14:textId="77777777" w:rsidTr="00DF1D7E">
        <w:trPr>
          <w:cantSplit/>
          <w:trHeight w:val="80"/>
        </w:trPr>
        <w:tc>
          <w:tcPr>
            <w:tcW w:w="1478" w:type="dxa"/>
            <w:tcBorders>
              <w:top w:val="nil"/>
              <w:left w:val="single" w:sz="2" w:space="0" w:color="auto"/>
              <w:bottom w:val="nil"/>
              <w:right w:val="single" w:sz="2" w:space="0" w:color="auto"/>
            </w:tcBorders>
          </w:tcPr>
          <w:p w14:paraId="489EEB22"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13AF5E3B" w14:textId="0D33CC11" w:rsidR="00181096" w:rsidRPr="00C93ED0" w:rsidRDefault="00181096" w:rsidP="00491C20">
            <w:pPr>
              <w:pStyle w:val="TableText"/>
              <w:tabs>
                <w:tab w:val="left" w:pos="3306"/>
              </w:tabs>
              <w:spacing w:before="0"/>
              <w:rPr>
                <w:rFonts w:cs="Calibri"/>
                <w:bCs/>
              </w:rPr>
            </w:pPr>
            <w:r w:rsidRPr="00C93ED0">
              <w:rPr>
                <w:rFonts w:cs="Calibri"/>
                <w:color w:val="FF0000"/>
                <w:sz w:val="16"/>
              </w:rPr>
              <w:t># Refer to the Statement of Appropriation.</w:t>
            </w:r>
          </w:p>
        </w:tc>
      </w:tr>
    </w:tbl>
    <w:p w14:paraId="47809684" w14:textId="77777777" w:rsidR="00AD56C6" w:rsidRDefault="00AD56C6" w:rsidP="00DE21F8">
      <w:pPr>
        <w:sectPr w:rsidR="00AD56C6" w:rsidSect="00AD56C6">
          <w:headerReference w:type="default" r:id="rId29"/>
          <w:footnotePr>
            <w:numRestart w:val="eachPage"/>
          </w:footnotePr>
          <w:pgSz w:w="11907" w:h="16840" w:code="9"/>
          <w:pgMar w:top="567" w:right="680" w:bottom="1134" w:left="680" w:header="284" w:footer="284" w:gutter="0"/>
          <w:cols w:space="720"/>
        </w:sectPr>
      </w:pPr>
    </w:p>
    <w:tbl>
      <w:tblPr>
        <w:tblW w:w="5000" w:type="pct"/>
        <w:shd w:val="clear" w:color="auto" w:fill="CCFFCC"/>
        <w:tblLook w:val="00A0" w:firstRow="1" w:lastRow="0" w:firstColumn="1" w:lastColumn="0" w:noHBand="0" w:noVBand="0"/>
      </w:tblPr>
      <w:tblGrid>
        <w:gridCol w:w="1557"/>
        <w:gridCol w:w="8987"/>
      </w:tblGrid>
      <w:tr w:rsidR="006A4E19" w:rsidRPr="00CF7E1B" w14:paraId="0E0CB91D" w14:textId="77777777" w:rsidTr="004D1EC6">
        <w:trPr>
          <w:cantSplit/>
          <w:trHeight w:val="20"/>
        </w:trPr>
        <w:tc>
          <w:tcPr>
            <w:tcW w:w="1557" w:type="dxa"/>
            <w:tcBorders>
              <w:left w:val="single" w:sz="2" w:space="0" w:color="auto"/>
              <w:right w:val="single" w:sz="2" w:space="0" w:color="auto"/>
            </w:tcBorders>
          </w:tcPr>
          <w:p w14:paraId="4DA4BDA1" w14:textId="77777777" w:rsidR="006A4E19" w:rsidRPr="008E2886" w:rsidRDefault="000413B6" w:rsidP="00C9212B">
            <w:pPr>
              <w:pStyle w:val="CommentaryTitle"/>
              <w:spacing w:before="240" w:after="240"/>
              <w:rPr>
                <w:rFonts w:cs="Calibri"/>
                <w:color w:val="7030A0"/>
              </w:rPr>
            </w:pPr>
            <w:r w:rsidRPr="008E2886">
              <w:rPr>
                <w:rFonts w:cs="Calibri"/>
                <w:color w:val="7030A0"/>
              </w:rPr>
              <w:t>Reference</w:t>
            </w:r>
          </w:p>
        </w:tc>
        <w:tc>
          <w:tcPr>
            <w:tcW w:w="8987" w:type="dxa"/>
            <w:tcBorders>
              <w:left w:val="single" w:sz="2" w:space="0" w:color="auto"/>
            </w:tcBorders>
            <w:shd w:val="clear" w:color="auto" w:fill="7030A0"/>
          </w:tcPr>
          <w:p w14:paraId="440BA6D9" w14:textId="77777777" w:rsidR="006A4E19" w:rsidRPr="008E2886" w:rsidRDefault="006A4E19" w:rsidP="00C9212B">
            <w:pPr>
              <w:pStyle w:val="CommentaryTitle"/>
              <w:spacing w:before="240" w:after="240"/>
              <w:rPr>
                <w:rFonts w:cs="Calibri"/>
                <w:color w:val="FFFFFF" w:themeColor="background1"/>
                <w:sz w:val="28"/>
                <w:szCs w:val="28"/>
              </w:rPr>
            </w:pPr>
            <w:r w:rsidRPr="008E2886">
              <w:rPr>
                <w:rFonts w:cs="Calibri"/>
                <w:color w:val="FFFFFF" w:themeColor="background1"/>
                <w:sz w:val="28"/>
                <w:szCs w:val="28"/>
              </w:rPr>
              <w:t xml:space="preserve">Commentary </w:t>
            </w:r>
            <w:r w:rsidRPr="008E2886">
              <w:rPr>
                <w:rFonts w:cs="Calibri"/>
                <w:color w:val="FFFFFF" w:themeColor="background1"/>
                <w:sz w:val="28"/>
                <w:szCs w:val="28"/>
              </w:rPr>
              <w:sym w:font="Symbol" w:char="F02D"/>
            </w:r>
            <w:r w:rsidRPr="008E2886">
              <w:rPr>
                <w:rFonts w:cs="Calibri"/>
                <w:color w:val="FFFFFF" w:themeColor="background1"/>
                <w:sz w:val="28"/>
                <w:szCs w:val="28"/>
              </w:rPr>
              <w:t xml:space="preserve"> Statement of Changes in Equity</w:t>
            </w:r>
          </w:p>
        </w:tc>
      </w:tr>
      <w:tr w:rsidR="006A4E19" w:rsidRPr="00CF7E1B" w14:paraId="48B91277" w14:textId="77777777" w:rsidTr="004D1EC6">
        <w:trPr>
          <w:cantSplit/>
          <w:trHeight w:val="20"/>
        </w:trPr>
        <w:tc>
          <w:tcPr>
            <w:tcW w:w="1557" w:type="dxa"/>
            <w:tcBorders>
              <w:left w:val="single" w:sz="2" w:space="0" w:color="auto"/>
              <w:right w:val="single" w:sz="2" w:space="0" w:color="auto"/>
            </w:tcBorders>
          </w:tcPr>
          <w:p w14:paraId="09F22287"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29234274" w14:textId="77777777" w:rsidR="006A4E19" w:rsidRPr="008E2886" w:rsidRDefault="006A4E19" w:rsidP="00CC1E25">
            <w:pPr>
              <w:pStyle w:val="CommentaryReference"/>
              <w:spacing w:after="40"/>
              <w:jc w:val="both"/>
              <w:rPr>
                <w:rFonts w:cs="Calibri"/>
                <w:b/>
                <w:bCs/>
                <w:color w:val="FFFFFF" w:themeColor="background1"/>
                <w:sz w:val="18"/>
              </w:rPr>
            </w:pPr>
            <w:r w:rsidRPr="00F40D88">
              <w:rPr>
                <w:rFonts w:cs="Calibri"/>
                <w:b/>
                <w:bCs/>
                <w:color w:val="FFFFFF" w:themeColor="background1"/>
                <w:sz w:val="20"/>
                <w:szCs w:val="20"/>
              </w:rPr>
              <w:t>Format</w:t>
            </w:r>
          </w:p>
        </w:tc>
      </w:tr>
      <w:tr w:rsidR="006A4E19" w:rsidRPr="00CF7E1B" w14:paraId="1A8BE178" w14:textId="77777777" w:rsidTr="004D1EC6">
        <w:trPr>
          <w:cantSplit/>
          <w:trHeight w:val="20"/>
        </w:trPr>
        <w:tc>
          <w:tcPr>
            <w:tcW w:w="1557" w:type="dxa"/>
            <w:tcBorders>
              <w:left w:val="single" w:sz="2" w:space="0" w:color="auto"/>
              <w:right w:val="single" w:sz="2" w:space="0" w:color="auto"/>
            </w:tcBorders>
          </w:tcPr>
          <w:p w14:paraId="7F062D27" w14:textId="77777777"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001B7" w:rsidRPr="008E2886">
              <w:rPr>
                <w:rFonts w:cs="Calibri"/>
                <w:color w:val="7030A0"/>
                <w:sz w:val="14"/>
              </w:rPr>
              <w:t>.</w:t>
            </w:r>
            <w:r w:rsidRPr="008E2886">
              <w:rPr>
                <w:rFonts w:cs="Calibri"/>
                <w:color w:val="7030A0"/>
                <w:sz w:val="14"/>
              </w:rPr>
              <w:t>106 – 110</w:t>
            </w:r>
          </w:p>
        </w:tc>
        <w:tc>
          <w:tcPr>
            <w:tcW w:w="8987" w:type="dxa"/>
            <w:tcBorders>
              <w:left w:val="single" w:sz="2" w:space="0" w:color="auto"/>
            </w:tcBorders>
            <w:shd w:val="clear" w:color="auto" w:fill="7030A0"/>
          </w:tcPr>
          <w:p w14:paraId="2AFF2DC6" w14:textId="24B48F97" w:rsidR="006A4E19" w:rsidRPr="008E2886" w:rsidRDefault="006141B9" w:rsidP="006A4E19">
            <w:pPr>
              <w:pStyle w:val="CommentaryText"/>
              <w:rPr>
                <w:rFonts w:cs="Calibri"/>
                <w:color w:val="FFFFFF" w:themeColor="background1"/>
                <w:sz w:val="18"/>
                <w:szCs w:val="18"/>
              </w:rPr>
            </w:pPr>
            <w:r w:rsidRPr="008E2886">
              <w:rPr>
                <w:rFonts w:cs="Calibri"/>
                <w:color w:val="FFFFFF" w:themeColor="background1"/>
                <w:sz w:val="18"/>
                <w:szCs w:val="18"/>
              </w:rPr>
              <w:t>T</w:t>
            </w:r>
            <w:r w:rsidR="006A4E19" w:rsidRPr="008E2886">
              <w:rPr>
                <w:rFonts w:cs="Calibri"/>
                <w:color w:val="FFFFFF" w:themeColor="background1"/>
                <w:sz w:val="18"/>
                <w:szCs w:val="18"/>
              </w:rPr>
              <w:t xml:space="preserve">he Statement of Changes in Equity, </w:t>
            </w:r>
            <w:r w:rsidRPr="008E2886">
              <w:rPr>
                <w:rFonts w:cs="Calibri"/>
                <w:color w:val="FFFFFF" w:themeColor="background1"/>
                <w:sz w:val="18"/>
                <w:szCs w:val="18"/>
              </w:rPr>
              <w:t xml:space="preserve">must </w:t>
            </w:r>
            <w:r w:rsidR="006A4E19" w:rsidRPr="008E2886">
              <w:rPr>
                <w:rFonts w:cs="Calibri"/>
                <w:color w:val="FFFFFF" w:themeColor="background1"/>
                <w:sz w:val="18"/>
                <w:szCs w:val="18"/>
              </w:rPr>
              <w:t>includ</w:t>
            </w:r>
            <w:r w:rsidRPr="008E2886">
              <w:rPr>
                <w:rFonts w:cs="Calibri"/>
                <w:color w:val="FFFFFF" w:themeColor="background1"/>
                <w:sz w:val="18"/>
                <w:szCs w:val="18"/>
              </w:rPr>
              <w:t>e</w:t>
            </w:r>
            <w:r w:rsidR="006A4E19" w:rsidRPr="008E2886">
              <w:rPr>
                <w:rFonts w:cs="Calibri"/>
                <w:color w:val="FFFFFF" w:themeColor="background1"/>
                <w:sz w:val="18"/>
                <w:szCs w:val="18"/>
              </w:rPr>
              <w:t xml:space="preserve"> certain line items.</w:t>
            </w:r>
          </w:p>
        </w:tc>
      </w:tr>
      <w:tr w:rsidR="00CA71BB" w:rsidRPr="00CF7E1B" w14:paraId="30557CD6" w14:textId="77777777" w:rsidTr="004D1EC6">
        <w:trPr>
          <w:cantSplit/>
          <w:trHeight w:val="20"/>
        </w:trPr>
        <w:tc>
          <w:tcPr>
            <w:tcW w:w="1557" w:type="dxa"/>
            <w:tcBorders>
              <w:left w:val="single" w:sz="2" w:space="0" w:color="auto"/>
              <w:right w:val="single" w:sz="2" w:space="0" w:color="auto"/>
            </w:tcBorders>
          </w:tcPr>
          <w:p w14:paraId="03557896" w14:textId="77777777" w:rsidR="00CA71BB" w:rsidRPr="008E2886" w:rsidRDefault="00CA71BB" w:rsidP="00CA71BB">
            <w:pPr>
              <w:pStyle w:val="TableReference"/>
              <w:tabs>
                <w:tab w:val="left" w:pos="3306"/>
              </w:tabs>
              <w:spacing w:before="60"/>
              <w:ind w:left="-63" w:firstLine="63"/>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 xml:space="preserve">106 </w:t>
            </w:r>
          </w:p>
          <w:p w14:paraId="00FFCA9E" w14:textId="77777777" w:rsidR="00CA71BB" w:rsidRPr="008E2886" w:rsidRDefault="00CA71BB" w:rsidP="00CA71BB">
            <w:pPr>
              <w:pStyle w:val="TableReference"/>
              <w:tabs>
                <w:tab w:val="left" w:pos="3306"/>
              </w:tabs>
              <w:ind w:left="-63" w:firstLine="63"/>
              <w:rPr>
                <w:rFonts w:cs="Calibri"/>
                <w:color w:val="7030A0"/>
                <w:sz w:val="14"/>
              </w:rPr>
            </w:pPr>
          </w:p>
          <w:p w14:paraId="700CC4BF" w14:textId="77777777" w:rsidR="00CA71BB" w:rsidRPr="008E2886" w:rsidRDefault="00CA71BB" w:rsidP="00CA71BB">
            <w:pPr>
              <w:pStyle w:val="TableReference"/>
              <w:tabs>
                <w:tab w:val="left" w:pos="3306"/>
              </w:tabs>
              <w:ind w:left="-63" w:firstLine="63"/>
              <w:rPr>
                <w:rFonts w:cs="Calibri"/>
                <w:color w:val="7030A0"/>
                <w:sz w:val="14"/>
              </w:rPr>
            </w:pPr>
          </w:p>
          <w:p w14:paraId="34E4B9D1" w14:textId="77777777" w:rsidR="00CA71BB" w:rsidRPr="008E2886" w:rsidRDefault="00CA71BB" w:rsidP="00CA71BB">
            <w:pPr>
              <w:pStyle w:val="TableReference"/>
              <w:tabs>
                <w:tab w:val="left" w:pos="3306"/>
              </w:tabs>
              <w:ind w:left="-63" w:firstLine="63"/>
              <w:rPr>
                <w:rFonts w:cs="Calibri"/>
                <w:color w:val="7030A0"/>
                <w:sz w:val="14"/>
              </w:rPr>
            </w:pPr>
          </w:p>
          <w:p w14:paraId="45B951A1" w14:textId="77777777" w:rsidR="00CA71BB" w:rsidRPr="008E2886" w:rsidRDefault="00CA71BB" w:rsidP="00CA71BB">
            <w:pPr>
              <w:pStyle w:val="TableReference"/>
              <w:tabs>
                <w:tab w:val="left" w:pos="3306"/>
              </w:tabs>
              <w:ind w:left="-63" w:firstLine="63"/>
              <w:rPr>
                <w:rFonts w:cs="Calibri"/>
                <w:color w:val="7030A0"/>
                <w:sz w:val="14"/>
              </w:rPr>
            </w:pPr>
          </w:p>
          <w:p w14:paraId="717D6AFF" w14:textId="77777777" w:rsidR="00CA71BB" w:rsidRPr="008E2886" w:rsidRDefault="00CA71BB" w:rsidP="00CA71BB">
            <w:pPr>
              <w:pStyle w:val="TableReference"/>
              <w:tabs>
                <w:tab w:val="left" w:pos="3306"/>
              </w:tabs>
              <w:ind w:left="-63" w:firstLine="63"/>
              <w:rPr>
                <w:rFonts w:cs="Calibri"/>
                <w:color w:val="7030A0"/>
                <w:sz w:val="14"/>
              </w:rPr>
            </w:pPr>
          </w:p>
          <w:p w14:paraId="737EACD9" w14:textId="77777777" w:rsidR="00CA71BB" w:rsidRPr="008E2886" w:rsidRDefault="00CA71BB" w:rsidP="00CA71BB">
            <w:pPr>
              <w:pStyle w:val="TableReference"/>
              <w:tabs>
                <w:tab w:val="left" w:pos="3306"/>
              </w:tabs>
              <w:ind w:left="-63" w:firstLine="63"/>
              <w:rPr>
                <w:rFonts w:cs="Calibri"/>
                <w:color w:val="7030A0"/>
                <w:sz w:val="14"/>
              </w:rPr>
            </w:pPr>
          </w:p>
          <w:p w14:paraId="5DB9F68B" w14:textId="77777777" w:rsidR="00CA71BB" w:rsidRPr="008E2886" w:rsidRDefault="00CA71BB" w:rsidP="00CA71BB">
            <w:pPr>
              <w:pStyle w:val="TableReference"/>
              <w:tabs>
                <w:tab w:val="left" w:pos="3306"/>
              </w:tabs>
              <w:ind w:left="-63" w:firstLine="63"/>
              <w:rPr>
                <w:rFonts w:cs="Calibri"/>
                <w:color w:val="7030A0"/>
                <w:sz w:val="14"/>
              </w:rPr>
            </w:pPr>
          </w:p>
          <w:p w14:paraId="42341A1F" w14:textId="77777777" w:rsidR="00CA71BB" w:rsidRPr="008E2886" w:rsidRDefault="00CA71BB" w:rsidP="00CA71BB">
            <w:pPr>
              <w:pStyle w:val="TableReference"/>
              <w:tabs>
                <w:tab w:val="left" w:pos="3306"/>
              </w:tabs>
              <w:ind w:left="-63" w:firstLine="63"/>
              <w:rPr>
                <w:rFonts w:cs="Calibri"/>
                <w:color w:val="7030A0"/>
                <w:sz w:val="14"/>
              </w:rPr>
            </w:pPr>
          </w:p>
          <w:p w14:paraId="63DAF91E" w14:textId="77777777" w:rsidR="00CA71BB" w:rsidRPr="008E2886" w:rsidRDefault="00CA71BB" w:rsidP="00CA71BB">
            <w:pPr>
              <w:pStyle w:val="TableReference"/>
              <w:tabs>
                <w:tab w:val="left" w:pos="3306"/>
              </w:tabs>
              <w:ind w:left="-63" w:firstLine="63"/>
              <w:rPr>
                <w:rFonts w:cs="Calibri"/>
                <w:color w:val="7030A0"/>
                <w:sz w:val="14"/>
              </w:rPr>
            </w:pPr>
          </w:p>
          <w:p w14:paraId="6293D647" w14:textId="77777777" w:rsidR="00CA71BB" w:rsidRPr="008E2886" w:rsidRDefault="00CA71BB" w:rsidP="00CA71BB">
            <w:pPr>
              <w:pStyle w:val="TableReference"/>
              <w:tabs>
                <w:tab w:val="left" w:pos="3306"/>
              </w:tabs>
              <w:ind w:left="-63" w:firstLine="63"/>
              <w:rPr>
                <w:rFonts w:cs="Calibri"/>
                <w:color w:val="7030A0"/>
                <w:sz w:val="14"/>
              </w:rPr>
            </w:pPr>
          </w:p>
          <w:p w14:paraId="5C904E96" w14:textId="77777777" w:rsidR="00CA71BB" w:rsidRPr="008E2886" w:rsidRDefault="00CA71BB" w:rsidP="00CA71BB">
            <w:pPr>
              <w:pStyle w:val="TableReference"/>
              <w:tabs>
                <w:tab w:val="left" w:pos="3306"/>
              </w:tabs>
              <w:ind w:left="-63" w:firstLine="63"/>
              <w:rPr>
                <w:rFonts w:cs="Calibri"/>
                <w:color w:val="7030A0"/>
                <w:sz w:val="14"/>
              </w:rPr>
            </w:pPr>
          </w:p>
          <w:p w14:paraId="2723C6CE" w14:textId="77777777" w:rsidR="00CA71BB" w:rsidRPr="008E2886" w:rsidRDefault="00CA71BB" w:rsidP="00CA71BB">
            <w:pPr>
              <w:pStyle w:val="TableReference"/>
              <w:tabs>
                <w:tab w:val="left" w:pos="3306"/>
              </w:tabs>
              <w:ind w:left="-63" w:firstLine="63"/>
              <w:rPr>
                <w:rFonts w:cs="Calibri"/>
                <w:color w:val="7030A0"/>
                <w:sz w:val="14"/>
              </w:rPr>
            </w:pPr>
          </w:p>
          <w:p w14:paraId="228E9F69" w14:textId="77777777" w:rsidR="00CA71BB" w:rsidRPr="008E2886" w:rsidRDefault="00CA71BB" w:rsidP="00CA71BB">
            <w:pPr>
              <w:pStyle w:val="TableReference"/>
              <w:tabs>
                <w:tab w:val="left" w:pos="3306"/>
              </w:tabs>
              <w:ind w:left="-63" w:firstLine="63"/>
              <w:rPr>
                <w:rFonts w:cs="Calibri"/>
                <w:color w:val="7030A0"/>
                <w:sz w:val="14"/>
              </w:rPr>
            </w:pPr>
          </w:p>
        </w:tc>
        <w:tc>
          <w:tcPr>
            <w:tcW w:w="8987" w:type="dxa"/>
            <w:tcBorders>
              <w:left w:val="single" w:sz="2" w:space="0" w:color="auto"/>
            </w:tcBorders>
            <w:shd w:val="clear" w:color="auto" w:fill="7030A0"/>
          </w:tcPr>
          <w:p w14:paraId="54863910" w14:textId="77777777" w:rsidR="00CA71BB" w:rsidRPr="008E2886" w:rsidRDefault="00CA71BB" w:rsidP="00CA71BB">
            <w:pPr>
              <w:pStyle w:val="Default"/>
              <w:ind w:left="-63" w:firstLine="63"/>
              <w:rPr>
                <w:rFonts w:ascii="Calibri" w:hAnsi="Calibri" w:cs="Calibri"/>
                <w:bCs/>
                <w:color w:val="FFFFFF" w:themeColor="background1"/>
                <w:sz w:val="18"/>
                <w:szCs w:val="18"/>
                <w:lang w:eastAsia="en-US"/>
              </w:rPr>
            </w:pPr>
            <w:r w:rsidRPr="008E2886">
              <w:rPr>
                <w:rFonts w:ascii="Calibri" w:hAnsi="Calibri" w:cs="Calibri"/>
                <w:bCs/>
                <w:color w:val="FFFFFF" w:themeColor="background1"/>
                <w:sz w:val="18"/>
                <w:szCs w:val="18"/>
                <w:lang w:eastAsia="en-US"/>
              </w:rPr>
              <w:t xml:space="preserve">An agency shall present a Statement of Changes in Equity showing in the statement: </w:t>
            </w:r>
          </w:p>
          <w:p w14:paraId="3C480450"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total Comprehensive Income for the period; </w:t>
            </w:r>
          </w:p>
          <w:p w14:paraId="31DA4150"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(i.e. </w:t>
            </w:r>
            <w:r w:rsidR="00D41F42" w:rsidRPr="008E2886">
              <w:rPr>
                <w:rFonts w:cs="Calibri"/>
                <w:color w:val="FFFFFF" w:themeColor="background1"/>
                <w:sz w:val="18"/>
                <w:szCs w:val="18"/>
              </w:rPr>
              <w:t>a</w:t>
            </w:r>
            <w:r w:rsidRPr="008E2886">
              <w:rPr>
                <w:rFonts w:cs="Calibri"/>
                <w:color w:val="FFFFFF" w:themeColor="background1"/>
                <w:sz w:val="18"/>
                <w:szCs w:val="18"/>
              </w:rPr>
              <w:t xml:space="preserve">ccumulated funds, reserves and contributed equity), the effects of retrospective application or retrospective restatement recognised in accordance with AASB 108; and </w:t>
            </w:r>
          </w:p>
          <w:p w14:paraId="1D086225"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a reconciliation between the carrying amount at the beginning and the end of the period, separately disclosing changes resulting from: </w:t>
            </w:r>
          </w:p>
          <w:p w14:paraId="65A9F53D"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profit or loss;</w:t>
            </w:r>
          </w:p>
          <w:p w14:paraId="44321028"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 xml:space="preserve">other comprehensive income; and </w:t>
            </w:r>
          </w:p>
          <w:p w14:paraId="4FA2B70E"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transactions with owners in their capacity as owners, showing separately contributions by and distributions to owners and changes in ownership interests in subsidiaries that do not result in a loss of control.</w:t>
            </w:r>
          </w:p>
        </w:tc>
      </w:tr>
      <w:tr w:rsidR="006A4E19" w:rsidRPr="00CF7E1B" w14:paraId="4C62E194" w14:textId="77777777" w:rsidTr="004D1EC6">
        <w:trPr>
          <w:cantSplit/>
          <w:trHeight w:val="20"/>
        </w:trPr>
        <w:tc>
          <w:tcPr>
            <w:tcW w:w="1557" w:type="dxa"/>
            <w:tcBorders>
              <w:left w:val="single" w:sz="2" w:space="0" w:color="auto"/>
              <w:right w:val="single" w:sz="2" w:space="0" w:color="auto"/>
            </w:tcBorders>
          </w:tcPr>
          <w:p w14:paraId="5AA2F508"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389F2533" w14:textId="77777777" w:rsidR="006A4E19" w:rsidRPr="008E2886" w:rsidRDefault="006A4E19" w:rsidP="006A4E1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 xml:space="preserve">Note that where </w:t>
            </w:r>
            <w:r w:rsidR="00A728B9" w:rsidRPr="008E2886">
              <w:rPr>
                <w:rFonts w:cs="Calibri"/>
                <w:color w:val="FFFFFF" w:themeColor="background1"/>
                <w:sz w:val="18"/>
                <w:szCs w:val="18"/>
              </w:rPr>
              <w:t>an a</w:t>
            </w:r>
            <w:r w:rsidRPr="008E2886">
              <w:rPr>
                <w:rFonts w:cs="Calibri"/>
                <w:color w:val="FFFFFF" w:themeColor="background1"/>
                <w:sz w:val="18"/>
                <w:szCs w:val="18"/>
              </w:rPr>
              <w:t>gency has no amounts applicable to any individual line item, that line item should not be included in the Statement of Changes in Equity.</w:t>
            </w:r>
          </w:p>
        </w:tc>
      </w:tr>
      <w:tr w:rsidR="006A4E19" w:rsidRPr="00CF7E1B" w14:paraId="50E78BF3" w14:textId="77777777" w:rsidTr="004D1EC6">
        <w:trPr>
          <w:cantSplit/>
          <w:trHeight w:val="20"/>
        </w:trPr>
        <w:tc>
          <w:tcPr>
            <w:tcW w:w="1557" w:type="dxa"/>
            <w:tcBorders>
              <w:left w:val="single" w:sz="2" w:space="0" w:color="auto"/>
              <w:right w:val="single" w:sz="2" w:space="0" w:color="auto"/>
            </w:tcBorders>
          </w:tcPr>
          <w:p w14:paraId="19ACB6DC" w14:textId="11EFCAD3" w:rsidR="001D66DB" w:rsidRDefault="001D66DB" w:rsidP="006A4E19">
            <w:pPr>
              <w:pStyle w:val="TableReference"/>
              <w:tabs>
                <w:tab w:val="left" w:pos="3306"/>
              </w:tabs>
              <w:spacing w:before="60"/>
              <w:rPr>
                <w:rFonts w:cs="Calibri"/>
                <w:color w:val="7030A0"/>
                <w:sz w:val="14"/>
              </w:rPr>
            </w:pPr>
            <w:r w:rsidRPr="008E2886">
              <w:rPr>
                <w:rFonts w:cs="Calibri"/>
                <w:color w:val="7030A0"/>
                <w:sz w:val="14"/>
              </w:rPr>
              <w:t>AASB 101.51(c), 51(e) &amp; 53</w:t>
            </w:r>
          </w:p>
          <w:p w14:paraId="728DC08B" w14:textId="52477051"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113</w:t>
            </w:r>
          </w:p>
        </w:tc>
        <w:tc>
          <w:tcPr>
            <w:tcW w:w="8987" w:type="dxa"/>
            <w:tcBorders>
              <w:left w:val="single" w:sz="2" w:space="0" w:color="auto"/>
            </w:tcBorders>
            <w:shd w:val="clear" w:color="auto" w:fill="7030A0"/>
          </w:tcPr>
          <w:p w14:paraId="0A8EF3A0" w14:textId="2924F461" w:rsidR="001D66DB" w:rsidRDefault="001D66DB"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The reporting date and rounding used in the Statement of Changes in Equity must be identified.</w:t>
            </w:r>
          </w:p>
          <w:p w14:paraId="43208051" w14:textId="17EA175C" w:rsidR="006A4E19" w:rsidRPr="008E2886" w:rsidRDefault="006A4E19"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The Statement of Changes in Equity must be cross-referenced to </w:t>
            </w:r>
            <w:r w:rsidR="00250F66" w:rsidRPr="008E2886">
              <w:rPr>
                <w:rFonts w:cs="Calibri"/>
                <w:color w:val="FFFFFF" w:themeColor="background1"/>
                <w:sz w:val="18"/>
                <w:szCs w:val="18"/>
              </w:rPr>
              <w:t xml:space="preserve">relevant </w:t>
            </w:r>
            <w:r w:rsidRPr="008E2886">
              <w:rPr>
                <w:rFonts w:cs="Calibri"/>
                <w:color w:val="FFFFFF" w:themeColor="background1"/>
                <w:sz w:val="18"/>
                <w:szCs w:val="18"/>
              </w:rPr>
              <w:t>notes</w:t>
            </w:r>
            <w:r w:rsidR="004A0F71" w:rsidRPr="008E2886">
              <w:rPr>
                <w:rFonts w:cs="Calibri"/>
                <w:color w:val="FFFFFF" w:themeColor="background1"/>
                <w:sz w:val="18"/>
                <w:szCs w:val="18"/>
              </w:rPr>
              <w:t xml:space="preserve"> included</w:t>
            </w:r>
            <w:r w:rsidR="00250F66" w:rsidRPr="008E2886">
              <w:rPr>
                <w:rFonts w:cs="Calibri"/>
                <w:color w:val="FFFFFF" w:themeColor="background1"/>
                <w:sz w:val="18"/>
                <w:szCs w:val="18"/>
              </w:rPr>
              <w:t>, based on materiality considerations</w:t>
            </w:r>
            <w:r w:rsidRPr="008E2886">
              <w:rPr>
                <w:rFonts w:cs="Calibri"/>
                <w:color w:val="FFFFFF" w:themeColor="background1"/>
                <w:sz w:val="18"/>
                <w:szCs w:val="18"/>
              </w:rPr>
              <w:t>.</w:t>
            </w:r>
          </w:p>
        </w:tc>
      </w:tr>
      <w:tr w:rsidR="006A4E19" w:rsidRPr="00CF7E1B" w14:paraId="0E5CD38A" w14:textId="77777777" w:rsidTr="004D1EC6">
        <w:trPr>
          <w:cantSplit/>
          <w:trHeight w:val="20"/>
        </w:trPr>
        <w:tc>
          <w:tcPr>
            <w:tcW w:w="1557" w:type="dxa"/>
            <w:tcBorders>
              <w:left w:val="single" w:sz="2" w:space="0" w:color="auto"/>
              <w:right w:val="single" w:sz="2" w:space="0" w:color="auto"/>
            </w:tcBorders>
          </w:tcPr>
          <w:p w14:paraId="5DF0D207" w14:textId="77777777" w:rsidR="00D67A5B" w:rsidRPr="008E2886" w:rsidRDefault="00E95147" w:rsidP="00FE0856">
            <w:pPr>
              <w:pStyle w:val="TableReference"/>
              <w:tabs>
                <w:tab w:val="left" w:pos="3306"/>
              </w:tabs>
              <w:spacing w:before="60"/>
              <w:rPr>
                <w:rFonts w:cs="Calibri"/>
                <w:color w:val="7030A0"/>
                <w:sz w:val="14"/>
              </w:rPr>
            </w:pPr>
            <w:r w:rsidRPr="008E2886">
              <w:rPr>
                <w:rFonts w:cs="Calibri"/>
                <w:color w:val="7030A0"/>
                <w:sz w:val="14"/>
              </w:rPr>
              <w:t>AASB 101</w:t>
            </w:r>
            <w:r w:rsidR="003C43EB" w:rsidRPr="008E2886">
              <w:rPr>
                <w:rFonts w:cs="Calibri"/>
                <w:color w:val="7030A0"/>
                <w:sz w:val="14"/>
              </w:rPr>
              <w:t>.106</w:t>
            </w:r>
            <w:r w:rsidR="00C65C27" w:rsidRPr="008E2886">
              <w:rPr>
                <w:rFonts w:cs="Calibri"/>
                <w:color w:val="7030A0"/>
                <w:sz w:val="14"/>
              </w:rPr>
              <w:t>,</w:t>
            </w:r>
            <w:r w:rsidRPr="008E2886">
              <w:rPr>
                <w:rFonts w:cs="Calibri"/>
                <w:color w:val="7030A0"/>
                <w:sz w:val="14"/>
              </w:rPr>
              <w:t>106A</w:t>
            </w:r>
          </w:p>
          <w:p w14:paraId="7AB62DD5" w14:textId="40F6AD26" w:rsidR="00E95147" w:rsidRPr="008E2886" w:rsidRDefault="00E95147" w:rsidP="00FE0856">
            <w:pPr>
              <w:pStyle w:val="TableReference"/>
              <w:tabs>
                <w:tab w:val="left" w:pos="3306"/>
              </w:tabs>
              <w:spacing w:before="60"/>
              <w:rPr>
                <w:rFonts w:cs="Calibri"/>
                <w:strike/>
                <w:color w:val="7030A0"/>
                <w:sz w:val="14"/>
              </w:rPr>
            </w:pPr>
          </w:p>
        </w:tc>
        <w:tc>
          <w:tcPr>
            <w:tcW w:w="8987" w:type="dxa"/>
            <w:tcBorders>
              <w:left w:val="single" w:sz="2" w:space="0" w:color="auto"/>
            </w:tcBorders>
            <w:shd w:val="clear" w:color="auto" w:fill="7030A0"/>
          </w:tcPr>
          <w:p w14:paraId="3A0935AC" w14:textId="7D3FBD82" w:rsidR="006A4E19" w:rsidRPr="008E2886" w:rsidRDefault="00E95147" w:rsidP="00DA7FF4">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AASB 101 allows for the reconciliation </w:t>
            </w:r>
            <w:r w:rsidR="00D67A5B" w:rsidRPr="008E2886">
              <w:rPr>
                <w:rFonts w:cs="Calibri"/>
                <w:color w:val="FFFFFF" w:themeColor="background1"/>
                <w:sz w:val="18"/>
                <w:szCs w:val="18"/>
              </w:rPr>
              <w:t>of items</w:t>
            </w:r>
            <w:r w:rsidRPr="008E2886">
              <w:rPr>
                <w:rFonts w:cs="Calibri"/>
                <w:color w:val="FFFFFF" w:themeColor="background1"/>
                <w:sz w:val="18"/>
                <w:szCs w:val="18"/>
              </w:rPr>
              <w:t xml:space="preserve"> of other comprehensive income to be presented either in the Statement of Changes in Equity or in the notes.</w:t>
            </w:r>
            <w:r w:rsidR="00FA7C77">
              <w:rPr>
                <w:rFonts w:cs="Calibri"/>
                <w:color w:val="FFFFFF" w:themeColor="background1"/>
                <w:sz w:val="18"/>
                <w:szCs w:val="18"/>
              </w:rPr>
              <w:t xml:space="preserve"> </w:t>
            </w:r>
          </w:p>
        </w:tc>
      </w:tr>
      <w:tr w:rsidR="006141B9" w:rsidRPr="00CF7E1B" w14:paraId="4C35EC73" w14:textId="77777777" w:rsidTr="004D1EC6">
        <w:trPr>
          <w:cantSplit/>
          <w:trHeight w:val="20"/>
        </w:trPr>
        <w:tc>
          <w:tcPr>
            <w:tcW w:w="1557" w:type="dxa"/>
            <w:tcBorders>
              <w:left w:val="single" w:sz="2" w:space="0" w:color="auto"/>
              <w:right w:val="single" w:sz="2" w:space="0" w:color="auto"/>
            </w:tcBorders>
          </w:tcPr>
          <w:p w14:paraId="68E50818" w14:textId="77777777" w:rsidR="006141B9" w:rsidRPr="008E2886" w:rsidRDefault="006141B9" w:rsidP="00FE0856">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5745D8E" w14:textId="534D4777" w:rsidR="006141B9" w:rsidRPr="007402D3" w:rsidRDefault="006141B9" w:rsidP="00CC1E25">
            <w:pPr>
              <w:pStyle w:val="CommentaryReference"/>
              <w:spacing w:after="40"/>
              <w:jc w:val="both"/>
              <w:rPr>
                <w:rFonts w:cs="Calibri"/>
                <w:b/>
                <w:bCs/>
                <w:color w:val="FFFFFF" w:themeColor="background1"/>
                <w:sz w:val="20"/>
                <w:szCs w:val="20"/>
              </w:rPr>
            </w:pPr>
            <w:r w:rsidRPr="007402D3">
              <w:rPr>
                <w:rFonts w:cs="Calibri"/>
                <w:b/>
                <w:bCs/>
                <w:color w:val="FFFFFF" w:themeColor="background1"/>
                <w:sz w:val="20"/>
                <w:szCs w:val="20"/>
              </w:rPr>
              <w:t>Budget</w:t>
            </w:r>
          </w:p>
        </w:tc>
      </w:tr>
      <w:tr w:rsidR="006141B9" w:rsidRPr="00CF7E1B" w14:paraId="1115DC91" w14:textId="77777777" w:rsidTr="004D1EC6">
        <w:trPr>
          <w:cantSplit/>
          <w:trHeight w:val="20"/>
        </w:trPr>
        <w:tc>
          <w:tcPr>
            <w:tcW w:w="1557" w:type="dxa"/>
            <w:tcBorders>
              <w:left w:val="single" w:sz="2" w:space="0" w:color="auto"/>
              <w:right w:val="single" w:sz="2" w:space="0" w:color="auto"/>
            </w:tcBorders>
          </w:tcPr>
          <w:p w14:paraId="213A6E82"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FMA Section 27(2)</w:t>
            </w:r>
          </w:p>
          <w:p w14:paraId="286CA229" w14:textId="59AE2A2C" w:rsidR="006141B9" w:rsidRPr="008E2886" w:rsidRDefault="006141B9" w:rsidP="006141B9">
            <w:pPr>
              <w:pStyle w:val="TableReference"/>
              <w:tabs>
                <w:tab w:val="left" w:pos="3306"/>
              </w:tabs>
              <w:spacing w:before="60"/>
              <w:rPr>
                <w:rFonts w:cs="Calibri"/>
                <w:strike/>
                <w:color w:val="7030A0"/>
                <w:sz w:val="14"/>
              </w:rPr>
            </w:pPr>
            <w:r w:rsidRPr="008E2886">
              <w:rPr>
                <w:rFonts w:cs="Calibri"/>
                <w:color w:val="7030A0"/>
                <w:sz w:val="14"/>
              </w:rPr>
              <w:t>FMA s63(2)</w:t>
            </w:r>
          </w:p>
        </w:tc>
        <w:tc>
          <w:tcPr>
            <w:tcW w:w="8987" w:type="dxa"/>
            <w:tcBorders>
              <w:left w:val="single" w:sz="2" w:space="0" w:color="auto"/>
            </w:tcBorders>
            <w:shd w:val="clear" w:color="auto" w:fill="7030A0"/>
          </w:tcPr>
          <w:p w14:paraId="6A95D4E9" w14:textId="6E517ED2"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The budget numbers appearing in the Statement of Changes in Equity are those numbers published in the 202</w:t>
            </w:r>
            <w:r w:rsidR="00D50594">
              <w:rPr>
                <w:rFonts w:cs="Calibri"/>
                <w:color w:val="FFFFFF" w:themeColor="background1"/>
                <w:sz w:val="18"/>
                <w:szCs w:val="18"/>
              </w:rPr>
              <w:t>2</w:t>
            </w:r>
            <w:r w:rsidR="00090F32">
              <w:rPr>
                <w:rFonts w:cs="Calibri"/>
                <w:color w:val="FFFFFF" w:themeColor="background1"/>
                <w:sz w:val="18"/>
                <w:szCs w:val="18"/>
              </w:rPr>
              <w:noBreakHyphen/>
            </w:r>
            <w:r w:rsidRPr="008E2886">
              <w:rPr>
                <w:rFonts w:cs="Calibri"/>
                <w:color w:val="FFFFFF" w:themeColor="background1"/>
                <w:sz w:val="18"/>
                <w:szCs w:val="18"/>
              </w:rPr>
              <w:t>2</w:t>
            </w:r>
            <w:r w:rsidR="00D50594">
              <w:rPr>
                <w:rFonts w:cs="Calibri"/>
                <w:color w:val="FFFFFF" w:themeColor="background1"/>
                <w:sz w:val="18"/>
                <w:szCs w:val="18"/>
              </w:rPr>
              <w:t>3</w:t>
            </w:r>
            <w:r w:rsidR="00090F32">
              <w:rPr>
                <w:rFonts w:cs="Calibri"/>
                <w:color w:val="FFFFFF" w:themeColor="background1"/>
                <w:sz w:val="18"/>
                <w:szCs w:val="18"/>
              </w:rPr>
              <w:t> </w:t>
            </w:r>
            <w:r w:rsidRPr="008E2886">
              <w:rPr>
                <w:rFonts w:cs="Calibri"/>
                <w:color w:val="FFFFFF" w:themeColor="background1"/>
                <w:sz w:val="18"/>
                <w:szCs w:val="18"/>
              </w:rPr>
              <w:t>Budget</w:t>
            </w:r>
            <w:r w:rsidR="00090F32">
              <w:rPr>
                <w:rFonts w:cs="Calibri"/>
                <w:color w:val="FFFFFF" w:themeColor="background1"/>
                <w:sz w:val="18"/>
                <w:szCs w:val="18"/>
              </w:rPr>
              <w:t> </w:t>
            </w:r>
            <w:r w:rsidRPr="008E2886">
              <w:rPr>
                <w:rFonts w:cs="Calibri"/>
                <w:color w:val="FFFFFF" w:themeColor="background1"/>
                <w:sz w:val="18"/>
                <w:szCs w:val="18"/>
              </w:rPr>
              <w:t xml:space="preserve">Papers. For </w:t>
            </w:r>
            <w:r w:rsidR="001D4C66">
              <w:rPr>
                <w:rFonts w:cs="Calibri"/>
                <w:color w:val="FFFFFF" w:themeColor="background1"/>
                <w:sz w:val="18"/>
                <w:szCs w:val="18"/>
              </w:rPr>
              <w:t>t</w:t>
            </w:r>
            <w:r w:rsidRPr="008E2886">
              <w:rPr>
                <w:rFonts w:cs="Calibri"/>
                <w:color w:val="FFFFFF" w:themeColor="background1"/>
                <w:sz w:val="18"/>
                <w:szCs w:val="18"/>
              </w:rPr>
              <w:t xml:space="preserve">erritory </w:t>
            </w:r>
            <w:r w:rsidR="001D4C66">
              <w:rPr>
                <w:rFonts w:cs="Calibri"/>
                <w:color w:val="FFFFFF" w:themeColor="background1"/>
                <w:sz w:val="18"/>
                <w:szCs w:val="18"/>
              </w:rPr>
              <w:t>a</w:t>
            </w:r>
            <w:r w:rsidRPr="008E2886">
              <w:rPr>
                <w:rFonts w:cs="Calibri"/>
                <w:color w:val="FFFFFF" w:themeColor="background1"/>
                <w:sz w:val="18"/>
                <w:szCs w:val="18"/>
              </w:rPr>
              <w:t xml:space="preserve">uthorities budget numbers appearing in the Statement of Changes in Equity are based on the authority’s Statement of Intent included in the </w:t>
            </w:r>
            <w:r w:rsidR="001846F5" w:rsidRPr="00C93ED0">
              <w:rPr>
                <w:rFonts w:cs="Calibri"/>
                <w:color w:val="FF0000"/>
                <w:sz w:val="18"/>
                <w:szCs w:val="18"/>
              </w:rPr>
              <w:t>2022-23</w:t>
            </w:r>
            <w:r w:rsidR="001846F5" w:rsidRPr="001846F5">
              <w:rPr>
                <w:rFonts w:cs="Calibri"/>
                <w:color w:val="FF0000"/>
                <w:sz w:val="18"/>
                <w:szCs w:val="18"/>
              </w:rPr>
              <w:t xml:space="preserve"> </w:t>
            </w:r>
            <w:r w:rsidRPr="008E2886">
              <w:rPr>
                <w:rFonts w:cs="Calibri"/>
                <w:color w:val="FFFFFF" w:themeColor="background1"/>
                <w:sz w:val="18"/>
                <w:szCs w:val="18"/>
              </w:rPr>
              <w:t>Budget Papers.</w:t>
            </w:r>
          </w:p>
        </w:tc>
      </w:tr>
      <w:tr w:rsidR="006141B9" w:rsidRPr="00CF7E1B" w14:paraId="5BFD85C0" w14:textId="77777777" w:rsidTr="004D1EC6">
        <w:trPr>
          <w:cantSplit/>
          <w:trHeight w:val="20"/>
        </w:trPr>
        <w:tc>
          <w:tcPr>
            <w:tcW w:w="1557" w:type="dxa"/>
            <w:tcBorders>
              <w:left w:val="single" w:sz="2" w:space="0" w:color="auto"/>
              <w:right w:val="single" w:sz="2" w:space="0" w:color="auto"/>
            </w:tcBorders>
          </w:tcPr>
          <w:p w14:paraId="34A856D3"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917AABA" w14:textId="77777777" w:rsidR="006141B9" w:rsidRPr="00FA7C77" w:rsidRDefault="006141B9" w:rsidP="00CC1E25">
            <w:pPr>
              <w:pStyle w:val="CommentaryHeading"/>
              <w:spacing w:before="0" w:after="40"/>
              <w:rPr>
                <w:rFonts w:cs="Calibri"/>
                <w:color w:val="FFFFFF" w:themeColor="background1"/>
                <w:szCs w:val="20"/>
              </w:rPr>
            </w:pPr>
            <w:r w:rsidRPr="00FA7C77">
              <w:rPr>
                <w:rFonts w:cs="Calibri"/>
                <w:color w:val="FFFFFF" w:themeColor="background1"/>
                <w:szCs w:val="20"/>
              </w:rPr>
              <w:t>Dividend</w:t>
            </w:r>
          </w:p>
        </w:tc>
      </w:tr>
      <w:tr w:rsidR="006141B9" w:rsidRPr="00CF7E1B" w14:paraId="43416758" w14:textId="77777777" w:rsidTr="004D1EC6">
        <w:trPr>
          <w:cantSplit/>
          <w:trHeight w:val="20"/>
        </w:trPr>
        <w:tc>
          <w:tcPr>
            <w:tcW w:w="1557" w:type="dxa"/>
            <w:tcBorders>
              <w:left w:val="single" w:sz="2" w:space="0" w:color="auto"/>
              <w:right w:val="single" w:sz="2" w:space="0" w:color="auto"/>
            </w:tcBorders>
          </w:tcPr>
          <w:p w14:paraId="2800EAF9"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AASB 101.107</w:t>
            </w:r>
          </w:p>
          <w:p w14:paraId="46430C3A"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ACT Disclosure Policy</w:t>
            </w:r>
          </w:p>
        </w:tc>
        <w:tc>
          <w:tcPr>
            <w:tcW w:w="8987" w:type="dxa"/>
            <w:tcBorders>
              <w:left w:val="single" w:sz="2" w:space="0" w:color="auto"/>
            </w:tcBorders>
            <w:shd w:val="clear" w:color="auto" w:fill="7030A0"/>
          </w:tcPr>
          <w:p w14:paraId="1538E8A3" w14:textId="3EF82BA4" w:rsidR="006141B9" w:rsidRPr="008E2886" w:rsidRDefault="001846F5" w:rsidP="006141B9">
            <w:pPr>
              <w:pStyle w:val="CommentaryText"/>
              <w:rPr>
                <w:rFonts w:cs="Calibri"/>
                <w:color w:val="FFFFFF" w:themeColor="background1"/>
                <w:sz w:val="18"/>
                <w:szCs w:val="18"/>
              </w:rPr>
            </w:pPr>
            <w:r w:rsidRPr="00C93ED0">
              <w:rPr>
                <w:rFonts w:cs="Calibri"/>
                <w:color w:val="FF0000"/>
                <w:sz w:val="18"/>
                <w:szCs w:val="18"/>
              </w:rPr>
              <w:t>The accounting standards require that</w:t>
            </w:r>
            <w:r>
              <w:rPr>
                <w:rFonts w:cs="Calibri"/>
                <w:color w:val="FF0000"/>
                <w:sz w:val="18"/>
                <w:szCs w:val="18"/>
              </w:rPr>
              <w:t xml:space="preserve"> </w:t>
            </w:r>
            <w:r>
              <w:rPr>
                <w:rFonts w:cs="Calibri"/>
                <w:color w:val="FFFFFF" w:themeColor="background1"/>
                <w:sz w:val="18"/>
                <w:szCs w:val="18"/>
              </w:rPr>
              <w:t>d</w:t>
            </w:r>
            <w:r w:rsidR="006141B9" w:rsidRPr="008E2886">
              <w:rPr>
                <w:rFonts w:cs="Calibri"/>
                <w:color w:val="FFFFFF" w:themeColor="background1"/>
                <w:sz w:val="18"/>
                <w:szCs w:val="18"/>
              </w:rPr>
              <w:t xml:space="preserve">ividends recognised as distributions to owners during the year </w:t>
            </w:r>
            <w:r w:rsidR="00CF6845" w:rsidRPr="008E2886">
              <w:rPr>
                <w:rFonts w:cs="Calibri"/>
                <w:color w:val="FFFFFF" w:themeColor="background1"/>
                <w:sz w:val="18"/>
                <w:szCs w:val="18"/>
              </w:rPr>
              <w:t xml:space="preserve">must </w:t>
            </w:r>
            <w:r w:rsidR="006141B9" w:rsidRPr="008E2886">
              <w:rPr>
                <w:rFonts w:cs="Calibri"/>
                <w:color w:val="FFFFFF" w:themeColor="background1"/>
                <w:sz w:val="18"/>
                <w:szCs w:val="18"/>
              </w:rPr>
              <w:t>be disclosed in the Statement of Changes in Equity or in the notes.</w:t>
            </w:r>
            <w:r w:rsidR="00FA7C77">
              <w:rPr>
                <w:rFonts w:cs="Calibri"/>
                <w:color w:val="FFFFFF" w:themeColor="background1"/>
                <w:sz w:val="18"/>
                <w:szCs w:val="18"/>
              </w:rPr>
              <w:t xml:space="preserve"> </w:t>
            </w:r>
            <w:r w:rsidR="006141B9" w:rsidRPr="008E2886">
              <w:rPr>
                <w:rFonts w:cs="Calibri"/>
                <w:color w:val="FFFFFF" w:themeColor="background1"/>
                <w:sz w:val="18"/>
                <w:szCs w:val="18"/>
              </w:rPr>
              <w:t>ACT Disclosure policy requires that agencies include dividends in the Statement of Changes in Equity.</w:t>
            </w:r>
          </w:p>
        </w:tc>
      </w:tr>
      <w:tr w:rsidR="006141B9" w:rsidRPr="00CF7E1B" w14:paraId="2AC58EC1" w14:textId="77777777" w:rsidTr="004D1EC6">
        <w:trPr>
          <w:cantSplit/>
          <w:trHeight w:val="20"/>
        </w:trPr>
        <w:tc>
          <w:tcPr>
            <w:tcW w:w="1557" w:type="dxa"/>
            <w:tcBorders>
              <w:left w:val="single" w:sz="2" w:space="0" w:color="auto"/>
              <w:right w:val="single" w:sz="2" w:space="0" w:color="auto"/>
            </w:tcBorders>
          </w:tcPr>
          <w:p w14:paraId="692AD98F"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2BE9288E" w14:textId="77777777" w:rsidR="006141B9" w:rsidRPr="00FA7C77" w:rsidRDefault="006141B9" w:rsidP="00390C01">
            <w:pPr>
              <w:pStyle w:val="CommentaryHeading"/>
              <w:spacing w:before="0" w:after="40"/>
              <w:rPr>
                <w:rFonts w:cs="Calibri"/>
                <w:color w:val="FFFFFF" w:themeColor="background1"/>
                <w:szCs w:val="20"/>
              </w:rPr>
            </w:pPr>
            <w:r w:rsidRPr="00FA7C77">
              <w:rPr>
                <w:rFonts w:cs="Calibri"/>
                <w:color w:val="FFFFFF" w:themeColor="background1"/>
                <w:szCs w:val="20"/>
              </w:rPr>
              <w:t>Materiality and Aggregation</w:t>
            </w:r>
          </w:p>
        </w:tc>
      </w:tr>
      <w:tr w:rsidR="006141B9" w:rsidRPr="00CF7E1B" w14:paraId="462590BD" w14:textId="77777777" w:rsidTr="004D1EC6">
        <w:trPr>
          <w:cantSplit/>
          <w:trHeight w:val="20"/>
        </w:trPr>
        <w:tc>
          <w:tcPr>
            <w:tcW w:w="1557" w:type="dxa"/>
            <w:tcBorders>
              <w:left w:val="single" w:sz="2" w:space="0" w:color="auto"/>
              <w:right w:val="single" w:sz="2" w:space="0" w:color="auto"/>
            </w:tcBorders>
          </w:tcPr>
          <w:p w14:paraId="78023A4E" w14:textId="77777777" w:rsidR="006141B9" w:rsidRPr="008E2886" w:rsidRDefault="006141B9" w:rsidP="006141B9">
            <w:pPr>
              <w:pStyle w:val="TableReference"/>
              <w:tabs>
                <w:tab w:val="left" w:pos="3306"/>
              </w:tabs>
              <w:spacing w:before="80"/>
              <w:rPr>
                <w:rFonts w:cs="Calibri"/>
                <w:color w:val="7030A0"/>
                <w:sz w:val="14"/>
              </w:rPr>
            </w:pPr>
            <w:r w:rsidRPr="008E2886">
              <w:rPr>
                <w:rFonts w:cs="Calibri"/>
                <w:color w:val="7030A0"/>
                <w:sz w:val="14"/>
              </w:rPr>
              <w:t>AASB 101.30A</w:t>
            </w:r>
          </w:p>
          <w:p w14:paraId="2C627E03" w14:textId="4CA96DAF"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44E2A6CB" w14:textId="1040CE68"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Changes in Equity, which includes the notes.</w:t>
            </w:r>
            <w:r w:rsidR="00FA7C77">
              <w:rPr>
                <w:rFonts w:cs="Calibri"/>
                <w:color w:val="FFFFFF" w:themeColor="background1"/>
                <w:sz w:val="18"/>
                <w:szCs w:val="18"/>
              </w:rPr>
              <w:t xml:space="preserve"> </w:t>
            </w:r>
            <w:r w:rsidRPr="008E288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bl>
    <w:p w14:paraId="0D4DD06E" w14:textId="77777777" w:rsidR="00AD56C6" w:rsidRDefault="00AD56C6" w:rsidP="00DD1275">
      <w:pPr>
        <w:pStyle w:val="TableReference"/>
        <w:tabs>
          <w:tab w:val="left" w:pos="3306"/>
        </w:tabs>
        <w:spacing w:before="80"/>
        <w:rPr>
          <w:rFonts w:cs="Calibri"/>
          <w:color w:val="auto"/>
          <w:sz w:val="16"/>
          <w:szCs w:val="16"/>
        </w:rPr>
        <w:sectPr w:rsidR="00AD56C6" w:rsidSect="00AD56C6">
          <w:footnotePr>
            <w:numRestart w:val="eachPage"/>
          </w:footnotePr>
          <w:pgSz w:w="11907" w:h="16840" w:code="9"/>
          <w:pgMar w:top="567" w:right="680" w:bottom="851" w:left="680" w:header="284" w:footer="284" w:gutter="0"/>
          <w:cols w:space="720"/>
        </w:sectPr>
      </w:pPr>
    </w:p>
    <w:p w14:paraId="603CE7A2" w14:textId="154392B5" w:rsidR="000144FF" w:rsidRPr="008E2886" w:rsidRDefault="000144FF" w:rsidP="005C5347">
      <w:pPr>
        <w:spacing w:line="400" w:lineRule="exact"/>
        <w:jc w:val="center"/>
        <w:rPr>
          <w:rFonts w:asciiTheme="minorHAnsi" w:hAnsiTheme="minorHAnsi" w:cstheme="minorHAnsi"/>
          <w:b/>
          <w:sz w:val="40"/>
          <w:szCs w:val="40"/>
        </w:rPr>
      </w:pPr>
      <w:bookmarkStart w:id="189" w:name="_Toc194918642"/>
      <w:r w:rsidRPr="008E2886">
        <w:rPr>
          <w:rFonts w:asciiTheme="minorHAnsi" w:hAnsiTheme="minorHAnsi" w:cstheme="minorHAnsi"/>
          <w:b/>
          <w:sz w:val="40"/>
          <w:szCs w:val="40"/>
        </w:rPr>
        <w:t>‘</w:t>
      </w:r>
      <w:r w:rsidR="002F67B3" w:rsidRPr="008E2886">
        <w:rPr>
          <w:rFonts w:asciiTheme="minorHAnsi" w:hAnsiTheme="minorHAnsi" w:cstheme="minorHAnsi"/>
          <w:b/>
          <w:sz w:val="40"/>
          <w:szCs w:val="40"/>
        </w:rPr>
        <w:t xml:space="preserve">Burley Griffin </w:t>
      </w:r>
      <w:r w:rsidR="00CA68F4" w:rsidRPr="008E2886">
        <w:rPr>
          <w:rFonts w:asciiTheme="minorHAnsi" w:hAnsiTheme="minorHAnsi" w:cstheme="minorHAnsi"/>
          <w:b/>
          <w:sz w:val="40"/>
          <w:szCs w:val="40"/>
        </w:rPr>
        <w:t>Agency</w:t>
      </w:r>
      <w:r w:rsidRPr="008E2886">
        <w:rPr>
          <w:rFonts w:asciiTheme="minorHAnsi" w:hAnsiTheme="minorHAnsi" w:cstheme="minorHAnsi"/>
          <w:b/>
          <w:sz w:val="40"/>
          <w:szCs w:val="40"/>
        </w:rPr>
        <w:t>’</w:t>
      </w:r>
      <w:bookmarkEnd w:id="189"/>
    </w:p>
    <w:p w14:paraId="1B8F0998" w14:textId="642FDC82" w:rsidR="000144FF" w:rsidRPr="008E2886" w:rsidRDefault="00217D36" w:rsidP="005C5347">
      <w:pPr>
        <w:pStyle w:val="Subtitle"/>
        <w:spacing w:line="400" w:lineRule="exact"/>
        <w:rPr>
          <w:rFonts w:asciiTheme="minorHAnsi" w:hAnsiTheme="minorHAnsi" w:cstheme="minorHAnsi"/>
        </w:rPr>
      </w:pPr>
      <w:bookmarkStart w:id="190" w:name="_Toc132743765"/>
      <w:r w:rsidRPr="008E2886">
        <w:rPr>
          <w:rFonts w:asciiTheme="minorHAnsi" w:hAnsiTheme="minorHAnsi" w:cstheme="minorHAnsi"/>
        </w:rPr>
        <w:t>Statement of Cash Flows</w:t>
      </w:r>
      <w:bookmarkEnd w:id="190"/>
    </w:p>
    <w:p w14:paraId="596FDA98" w14:textId="018E1A25" w:rsidR="000144FF" w:rsidRPr="008E2886" w:rsidRDefault="000144FF" w:rsidP="005C5347">
      <w:pPr>
        <w:spacing w:line="400" w:lineRule="exact"/>
        <w:jc w:val="center"/>
        <w:rPr>
          <w:rFonts w:asciiTheme="minorHAnsi" w:hAnsiTheme="minorHAnsi" w:cstheme="minorHAnsi"/>
          <w:b/>
          <w:sz w:val="40"/>
          <w:szCs w:val="40"/>
        </w:rPr>
      </w:pPr>
      <w:bookmarkStart w:id="191" w:name="_Toc48468224"/>
      <w:bookmarkStart w:id="192" w:name="_Toc49155416"/>
      <w:r w:rsidRPr="008E2886">
        <w:rPr>
          <w:rFonts w:asciiTheme="minorHAnsi" w:hAnsiTheme="minorHAnsi" w:cstheme="minorHAnsi"/>
          <w:b/>
          <w:sz w:val="40"/>
          <w:szCs w:val="40"/>
        </w:rPr>
        <w:t xml:space="preserve">For the Year Ended 30 June </w:t>
      </w:r>
      <w:bookmarkEnd w:id="191"/>
      <w:bookmarkEnd w:id="192"/>
      <w:r w:rsidR="00C66E0D" w:rsidRPr="008E2886">
        <w:rPr>
          <w:rFonts w:asciiTheme="minorHAnsi" w:hAnsiTheme="minorHAnsi" w:cstheme="minorHAnsi"/>
          <w:b/>
          <w:sz w:val="40"/>
          <w:szCs w:val="40"/>
        </w:rPr>
        <w:t>202</w:t>
      </w:r>
      <w:r w:rsidR="00D50594">
        <w:rPr>
          <w:rFonts w:asciiTheme="minorHAnsi" w:hAnsiTheme="minorHAnsi" w:cstheme="minorHAnsi"/>
          <w:b/>
          <w:sz w:val="40"/>
          <w:szCs w:val="40"/>
        </w:rPr>
        <w:t>3</w:t>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244"/>
        <w:gridCol w:w="709"/>
        <w:gridCol w:w="992"/>
        <w:gridCol w:w="993"/>
        <w:gridCol w:w="992"/>
      </w:tblGrid>
      <w:tr w:rsidR="000144FF" w:rsidRPr="00CF7E1B" w14:paraId="7345E23C" w14:textId="77777777" w:rsidTr="004D1EC6">
        <w:trPr>
          <w:trHeight w:val="105"/>
        </w:trPr>
        <w:tc>
          <w:tcPr>
            <w:tcW w:w="1563" w:type="dxa"/>
            <w:tcBorders>
              <w:top w:val="nil"/>
              <w:left w:val="single" w:sz="2" w:space="0" w:color="auto"/>
              <w:bottom w:val="nil"/>
              <w:right w:val="single" w:sz="2" w:space="0" w:color="auto"/>
            </w:tcBorders>
          </w:tcPr>
          <w:p w14:paraId="3321D2E9" w14:textId="77777777" w:rsidR="000144FF" w:rsidRPr="00F70B16" w:rsidRDefault="000144FF">
            <w:pPr>
              <w:pStyle w:val="Reference"/>
              <w:tabs>
                <w:tab w:val="left" w:pos="3306"/>
              </w:tabs>
              <w:rPr>
                <w:rFonts w:cs="Calibri"/>
                <w:color w:val="7030A0"/>
                <w:sz w:val="22"/>
                <w:szCs w:val="22"/>
              </w:rPr>
            </w:pPr>
            <w:bookmarkStart w:id="193" w:name="_Toc48468225"/>
            <w:bookmarkStart w:id="194" w:name="_Toc49155417"/>
            <w:bookmarkStart w:id="195" w:name="_Toc49223865"/>
            <w:r w:rsidRPr="00F70B16">
              <w:rPr>
                <w:rFonts w:cs="Calibri"/>
                <w:color w:val="7030A0"/>
                <w:sz w:val="22"/>
                <w:szCs w:val="22"/>
              </w:rPr>
              <w:t>Reference</w:t>
            </w:r>
            <w:bookmarkEnd w:id="193"/>
            <w:bookmarkEnd w:id="194"/>
            <w:bookmarkEnd w:id="195"/>
          </w:p>
        </w:tc>
        <w:tc>
          <w:tcPr>
            <w:tcW w:w="5244" w:type="dxa"/>
            <w:tcBorders>
              <w:top w:val="nil"/>
              <w:left w:val="single" w:sz="2" w:space="0" w:color="auto"/>
              <w:bottom w:val="nil"/>
              <w:right w:val="nil"/>
            </w:tcBorders>
            <w:vAlign w:val="bottom"/>
          </w:tcPr>
          <w:p w14:paraId="33A4F861" w14:textId="77777777" w:rsidR="000144FF" w:rsidRPr="00F70B16" w:rsidRDefault="000144FF">
            <w:pPr>
              <w:pStyle w:val="TableTitle"/>
              <w:tabs>
                <w:tab w:val="left" w:pos="3306"/>
              </w:tabs>
              <w:rPr>
                <w:rFonts w:cs="Calibri"/>
              </w:rPr>
            </w:pPr>
          </w:p>
        </w:tc>
        <w:tc>
          <w:tcPr>
            <w:tcW w:w="709" w:type="dxa"/>
            <w:tcBorders>
              <w:top w:val="nil"/>
              <w:left w:val="nil"/>
              <w:bottom w:val="nil"/>
              <w:right w:val="nil"/>
            </w:tcBorders>
            <w:vAlign w:val="bottom"/>
          </w:tcPr>
          <w:p w14:paraId="5AD982DE" w14:textId="77777777" w:rsidR="000144FF" w:rsidRPr="00F70B16" w:rsidRDefault="000144FF">
            <w:pPr>
              <w:pStyle w:val="TableTitle"/>
              <w:tabs>
                <w:tab w:val="left" w:pos="3306"/>
              </w:tabs>
              <w:jc w:val="center"/>
              <w:rPr>
                <w:rFonts w:cs="Calibri"/>
              </w:rPr>
            </w:pPr>
            <w:r w:rsidRPr="00F70B16">
              <w:rPr>
                <w:rFonts w:cs="Calibri"/>
              </w:rPr>
              <w:t>Note No.</w:t>
            </w:r>
          </w:p>
        </w:tc>
        <w:tc>
          <w:tcPr>
            <w:tcW w:w="992" w:type="dxa"/>
            <w:tcBorders>
              <w:top w:val="nil"/>
              <w:left w:val="nil"/>
              <w:bottom w:val="nil"/>
              <w:right w:val="nil"/>
            </w:tcBorders>
            <w:vAlign w:val="bottom"/>
          </w:tcPr>
          <w:p w14:paraId="657E727C" w14:textId="77777777" w:rsidR="000144FF" w:rsidRPr="00F70B16" w:rsidRDefault="000144FF">
            <w:pPr>
              <w:pStyle w:val="TableTitle"/>
              <w:tabs>
                <w:tab w:val="left" w:pos="3306"/>
              </w:tabs>
              <w:rPr>
                <w:rFonts w:cs="Calibri"/>
              </w:rPr>
            </w:pPr>
            <w:r w:rsidRPr="00F70B16">
              <w:rPr>
                <w:rFonts w:cs="Calibri"/>
              </w:rPr>
              <w:t>Actual</w:t>
            </w:r>
          </w:p>
          <w:p w14:paraId="3C128662" w14:textId="2ECE8D47" w:rsidR="001B231B" w:rsidRPr="00F70B16" w:rsidRDefault="001B231B" w:rsidP="001B231B">
            <w:pPr>
              <w:pStyle w:val="TableTitle"/>
              <w:tabs>
                <w:tab w:val="left" w:pos="3306"/>
              </w:tabs>
              <w:rPr>
                <w:rFonts w:cs="Calibri"/>
              </w:rPr>
            </w:pPr>
            <w:r w:rsidRPr="00F70B16">
              <w:rPr>
                <w:rFonts w:cs="Calibri"/>
              </w:rPr>
              <w:t>202</w:t>
            </w:r>
            <w:r w:rsidR="00D50594">
              <w:rPr>
                <w:rFonts w:cs="Calibri"/>
              </w:rPr>
              <w:t>3</w:t>
            </w:r>
          </w:p>
          <w:p w14:paraId="3D10D814" w14:textId="77777777" w:rsidR="000144FF" w:rsidRPr="00F70B16" w:rsidRDefault="000144FF">
            <w:pPr>
              <w:pStyle w:val="TableTitle"/>
              <w:tabs>
                <w:tab w:val="left" w:pos="3306"/>
              </w:tabs>
              <w:rPr>
                <w:rFonts w:cs="Calibri"/>
              </w:rPr>
            </w:pPr>
            <w:r w:rsidRPr="00F70B16">
              <w:rPr>
                <w:rFonts w:cs="Calibri"/>
              </w:rPr>
              <w:t xml:space="preserve">$’000 </w:t>
            </w:r>
          </w:p>
        </w:tc>
        <w:tc>
          <w:tcPr>
            <w:tcW w:w="993" w:type="dxa"/>
            <w:tcBorders>
              <w:top w:val="nil"/>
              <w:left w:val="nil"/>
              <w:bottom w:val="nil"/>
              <w:right w:val="nil"/>
            </w:tcBorders>
            <w:vAlign w:val="bottom"/>
          </w:tcPr>
          <w:p w14:paraId="4A3E5467" w14:textId="77777777" w:rsidR="000144FF" w:rsidRPr="00F70B16" w:rsidRDefault="000144FF">
            <w:pPr>
              <w:pStyle w:val="TableTitle"/>
              <w:tabs>
                <w:tab w:val="left" w:pos="3306"/>
              </w:tabs>
              <w:rPr>
                <w:rFonts w:cs="Calibri"/>
              </w:rPr>
            </w:pPr>
            <w:r w:rsidRPr="00F70B16">
              <w:rPr>
                <w:rFonts w:cs="Calibri"/>
              </w:rPr>
              <w:t>Original</w:t>
            </w:r>
          </w:p>
          <w:p w14:paraId="5438C4CA" w14:textId="77777777" w:rsidR="000144FF" w:rsidRPr="00F70B16" w:rsidRDefault="000144FF">
            <w:pPr>
              <w:pStyle w:val="TableTitle"/>
              <w:tabs>
                <w:tab w:val="left" w:pos="3306"/>
              </w:tabs>
              <w:rPr>
                <w:rFonts w:cs="Calibri"/>
              </w:rPr>
            </w:pPr>
            <w:r w:rsidRPr="00F70B16">
              <w:rPr>
                <w:rFonts w:cs="Calibri"/>
              </w:rPr>
              <w:t xml:space="preserve">Budget </w:t>
            </w:r>
          </w:p>
          <w:p w14:paraId="2DBA2AA1" w14:textId="5DB296DA" w:rsidR="001B231B" w:rsidRPr="00F70B16" w:rsidRDefault="001B231B" w:rsidP="001B231B">
            <w:pPr>
              <w:pStyle w:val="TableTitle"/>
              <w:tabs>
                <w:tab w:val="left" w:pos="3306"/>
              </w:tabs>
              <w:rPr>
                <w:rFonts w:cs="Calibri"/>
              </w:rPr>
            </w:pPr>
            <w:r w:rsidRPr="00F70B16">
              <w:rPr>
                <w:rFonts w:cs="Calibri"/>
              </w:rPr>
              <w:t>202</w:t>
            </w:r>
            <w:r w:rsidR="00D50594">
              <w:rPr>
                <w:rFonts w:cs="Calibri"/>
              </w:rPr>
              <w:t>3</w:t>
            </w:r>
          </w:p>
          <w:p w14:paraId="2720B20D" w14:textId="77777777" w:rsidR="000144FF" w:rsidRPr="00F70B16" w:rsidRDefault="000144FF">
            <w:pPr>
              <w:pStyle w:val="TableTitle"/>
              <w:tabs>
                <w:tab w:val="left" w:pos="3306"/>
              </w:tabs>
              <w:rPr>
                <w:rFonts w:cs="Calibri"/>
              </w:rPr>
            </w:pPr>
            <w:r w:rsidRPr="00F70B16">
              <w:rPr>
                <w:rFonts w:cs="Calibri"/>
              </w:rPr>
              <w:t>$’000</w:t>
            </w:r>
          </w:p>
        </w:tc>
        <w:tc>
          <w:tcPr>
            <w:tcW w:w="992" w:type="dxa"/>
            <w:tcBorders>
              <w:top w:val="nil"/>
              <w:left w:val="nil"/>
              <w:bottom w:val="nil"/>
              <w:right w:val="nil"/>
            </w:tcBorders>
            <w:vAlign w:val="bottom"/>
          </w:tcPr>
          <w:p w14:paraId="2C5B66FA" w14:textId="77777777" w:rsidR="000144FF" w:rsidRPr="00F70B16" w:rsidRDefault="000144FF">
            <w:pPr>
              <w:pStyle w:val="TableTitle"/>
              <w:tabs>
                <w:tab w:val="left" w:pos="3306"/>
              </w:tabs>
              <w:rPr>
                <w:rFonts w:cs="Calibri"/>
              </w:rPr>
            </w:pPr>
            <w:r w:rsidRPr="00F70B16">
              <w:rPr>
                <w:rFonts w:cs="Calibri"/>
              </w:rPr>
              <w:t>Actual</w:t>
            </w:r>
          </w:p>
          <w:p w14:paraId="498A5EE2" w14:textId="15250A13" w:rsidR="000144FF" w:rsidRPr="00F70B16" w:rsidRDefault="00620D4E">
            <w:pPr>
              <w:pStyle w:val="TableTitle"/>
              <w:tabs>
                <w:tab w:val="left" w:pos="3306"/>
              </w:tabs>
              <w:rPr>
                <w:rFonts w:cs="Calibri"/>
              </w:rPr>
            </w:pPr>
            <w:r w:rsidRPr="00F70B16">
              <w:rPr>
                <w:rFonts w:cs="Calibri"/>
              </w:rPr>
              <w:t>202</w:t>
            </w:r>
            <w:r w:rsidR="00D50594">
              <w:rPr>
                <w:rFonts w:cs="Calibri"/>
              </w:rPr>
              <w:t>2</w:t>
            </w:r>
          </w:p>
          <w:p w14:paraId="5C66EAAD" w14:textId="77777777" w:rsidR="000144FF" w:rsidRPr="00F70B16" w:rsidRDefault="000144FF">
            <w:pPr>
              <w:pStyle w:val="TableTitle"/>
              <w:tabs>
                <w:tab w:val="left" w:pos="3306"/>
              </w:tabs>
              <w:rPr>
                <w:rFonts w:cs="Calibri"/>
              </w:rPr>
            </w:pPr>
            <w:r w:rsidRPr="00F70B16">
              <w:rPr>
                <w:rFonts w:cs="Calibri"/>
              </w:rPr>
              <w:t>$’000</w:t>
            </w:r>
          </w:p>
        </w:tc>
      </w:tr>
      <w:tr w:rsidR="000144FF" w:rsidRPr="00CF7E1B" w14:paraId="2A783966" w14:textId="77777777" w:rsidTr="004D1EC6">
        <w:trPr>
          <w:trHeight w:val="258"/>
        </w:trPr>
        <w:tc>
          <w:tcPr>
            <w:tcW w:w="1563" w:type="dxa"/>
            <w:tcBorders>
              <w:top w:val="nil"/>
              <w:left w:val="single" w:sz="2" w:space="0" w:color="auto"/>
              <w:bottom w:val="nil"/>
              <w:right w:val="single" w:sz="2" w:space="0" w:color="auto"/>
            </w:tcBorders>
          </w:tcPr>
          <w:p w14:paraId="5B050D82"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6BE41BDA" w14:textId="77777777" w:rsidR="000144FF" w:rsidRPr="00F70B16" w:rsidRDefault="000144FF">
            <w:pPr>
              <w:pStyle w:val="TableText"/>
              <w:tabs>
                <w:tab w:val="left" w:pos="3306"/>
              </w:tabs>
              <w:rPr>
                <w:rFonts w:cs="Calibri"/>
                <w:b/>
                <w:bCs/>
              </w:rPr>
            </w:pPr>
            <w:bookmarkStart w:id="196" w:name="_Toc48468226"/>
            <w:bookmarkStart w:id="197" w:name="_Toc49155418"/>
            <w:bookmarkStart w:id="198" w:name="_Toc49223866"/>
            <w:r w:rsidRPr="00F70B16">
              <w:rPr>
                <w:rFonts w:cs="Calibri"/>
                <w:b/>
                <w:bCs/>
              </w:rPr>
              <w:t>Cash Flows from Operating Activities</w:t>
            </w:r>
            <w:bookmarkEnd w:id="196"/>
            <w:bookmarkEnd w:id="197"/>
            <w:bookmarkEnd w:id="198"/>
          </w:p>
        </w:tc>
        <w:tc>
          <w:tcPr>
            <w:tcW w:w="709" w:type="dxa"/>
            <w:tcBorders>
              <w:top w:val="nil"/>
              <w:left w:val="nil"/>
              <w:bottom w:val="nil"/>
              <w:right w:val="nil"/>
            </w:tcBorders>
            <w:vAlign w:val="bottom"/>
          </w:tcPr>
          <w:p w14:paraId="290D5C0E"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0914142"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F812EFB"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79F44140" w14:textId="77777777" w:rsidR="000144FF" w:rsidRPr="00F70B16" w:rsidRDefault="000144FF">
            <w:pPr>
              <w:pStyle w:val="TableText"/>
              <w:tabs>
                <w:tab w:val="left" w:pos="3306"/>
              </w:tabs>
              <w:jc w:val="right"/>
              <w:rPr>
                <w:rFonts w:cs="Calibri"/>
                <w:b/>
                <w:bCs/>
              </w:rPr>
            </w:pPr>
          </w:p>
        </w:tc>
      </w:tr>
      <w:tr w:rsidR="000144FF" w:rsidRPr="00CF7E1B" w14:paraId="111B9C01" w14:textId="77777777" w:rsidTr="004D1EC6">
        <w:tc>
          <w:tcPr>
            <w:tcW w:w="1563" w:type="dxa"/>
            <w:tcBorders>
              <w:top w:val="nil"/>
              <w:left w:val="single" w:sz="2" w:space="0" w:color="auto"/>
              <w:bottom w:val="nil"/>
              <w:right w:val="single" w:sz="2" w:space="0" w:color="auto"/>
            </w:tcBorders>
          </w:tcPr>
          <w:p w14:paraId="613ECF5A"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1A58C9B" w14:textId="77777777" w:rsidR="000144FF" w:rsidRPr="00F70B16" w:rsidRDefault="000144FF">
            <w:pPr>
              <w:pStyle w:val="TableText"/>
              <w:tabs>
                <w:tab w:val="left" w:pos="3306"/>
              </w:tabs>
              <w:rPr>
                <w:rFonts w:cs="Calibri"/>
                <w:b/>
                <w:bCs/>
              </w:rPr>
            </w:pPr>
            <w:bookmarkStart w:id="199" w:name="_Toc48468227"/>
            <w:bookmarkStart w:id="200" w:name="_Toc49223867"/>
            <w:r w:rsidRPr="00F70B16">
              <w:rPr>
                <w:rFonts w:cs="Calibri"/>
                <w:b/>
                <w:bCs/>
              </w:rPr>
              <w:t>Receipts</w:t>
            </w:r>
            <w:bookmarkEnd w:id="199"/>
            <w:bookmarkEnd w:id="200"/>
          </w:p>
        </w:tc>
        <w:tc>
          <w:tcPr>
            <w:tcW w:w="709" w:type="dxa"/>
            <w:tcBorders>
              <w:top w:val="nil"/>
              <w:left w:val="nil"/>
              <w:bottom w:val="nil"/>
              <w:right w:val="nil"/>
            </w:tcBorders>
            <w:vAlign w:val="bottom"/>
          </w:tcPr>
          <w:p w14:paraId="070FF92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AD5A3F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0FFCB97"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03234AD" w14:textId="77777777" w:rsidR="000144FF" w:rsidRPr="00F70B16" w:rsidRDefault="000144FF">
            <w:pPr>
              <w:pStyle w:val="TableText"/>
              <w:tabs>
                <w:tab w:val="left" w:pos="3306"/>
              </w:tabs>
              <w:jc w:val="right"/>
              <w:rPr>
                <w:rFonts w:cs="Calibri"/>
              </w:rPr>
            </w:pPr>
          </w:p>
        </w:tc>
      </w:tr>
      <w:tr w:rsidR="000144FF" w:rsidRPr="00CF7E1B" w14:paraId="6181F048" w14:textId="77777777" w:rsidTr="004D1EC6">
        <w:tc>
          <w:tcPr>
            <w:tcW w:w="1563" w:type="dxa"/>
            <w:tcBorders>
              <w:top w:val="nil"/>
              <w:left w:val="single" w:sz="2" w:space="0" w:color="auto"/>
              <w:bottom w:val="nil"/>
              <w:right w:val="single" w:sz="2" w:space="0" w:color="auto"/>
            </w:tcBorders>
          </w:tcPr>
          <w:p w14:paraId="6B3C8CF4"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a)</w:t>
            </w:r>
          </w:p>
        </w:tc>
        <w:tc>
          <w:tcPr>
            <w:tcW w:w="5244" w:type="dxa"/>
            <w:tcBorders>
              <w:top w:val="nil"/>
              <w:left w:val="single" w:sz="2" w:space="0" w:color="auto"/>
              <w:bottom w:val="nil"/>
              <w:right w:val="nil"/>
            </w:tcBorders>
            <w:vAlign w:val="bottom"/>
          </w:tcPr>
          <w:p w14:paraId="0CF86E7F" w14:textId="77777777" w:rsidR="000144FF" w:rsidRPr="00F70B16" w:rsidRDefault="00952378">
            <w:pPr>
              <w:pStyle w:val="TableText"/>
              <w:tabs>
                <w:tab w:val="left" w:pos="3306"/>
              </w:tabs>
              <w:rPr>
                <w:rFonts w:cs="Calibri"/>
                <w:b/>
                <w:bCs/>
                <w:strike/>
              </w:rPr>
            </w:pPr>
            <w:r w:rsidRPr="00F70B16">
              <w:rPr>
                <w:rFonts w:cs="Calibri"/>
              </w:rPr>
              <w:t>Controlled Recurrent Payments</w:t>
            </w:r>
          </w:p>
        </w:tc>
        <w:tc>
          <w:tcPr>
            <w:tcW w:w="709" w:type="dxa"/>
            <w:tcBorders>
              <w:top w:val="nil"/>
              <w:left w:val="nil"/>
              <w:bottom w:val="nil"/>
              <w:right w:val="nil"/>
            </w:tcBorders>
            <w:vAlign w:val="bottom"/>
          </w:tcPr>
          <w:p w14:paraId="31B3A95F"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47573E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8ED6A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0EE55E" w14:textId="77777777" w:rsidR="000144FF" w:rsidRPr="00F70B16" w:rsidRDefault="000144FF">
            <w:pPr>
              <w:pStyle w:val="TableText"/>
              <w:tabs>
                <w:tab w:val="left" w:pos="3306"/>
              </w:tabs>
              <w:jc w:val="right"/>
              <w:rPr>
                <w:rFonts w:cs="Calibri"/>
              </w:rPr>
            </w:pPr>
          </w:p>
        </w:tc>
      </w:tr>
      <w:tr w:rsidR="00776995" w:rsidRPr="00CF7E1B" w14:paraId="05E4518F" w14:textId="77777777" w:rsidTr="004D1EC6">
        <w:tc>
          <w:tcPr>
            <w:tcW w:w="1563" w:type="dxa"/>
            <w:tcBorders>
              <w:top w:val="nil"/>
              <w:left w:val="single" w:sz="2" w:space="0" w:color="auto"/>
              <w:bottom w:val="nil"/>
              <w:right w:val="single" w:sz="2" w:space="0" w:color="auto"/>
            </w:tcBorders>
          </w:tcPr>
          <w:p w14:paraId="1D473775" w14:textId="04E43D3D" w:rsidR="00776995" w:rsidRPr="00F70B16" w:rsidRDefault="009271AD">
            <w:pPr>
              <w:pStyle w:val="TableReference"/>
              <w:tabs>
                <w:tab w:val="left" w:pos="3306"/>
              </w:tabs>
              <w:spacing w:before="60"/>
              <w:rPr>
                <w:rFonts w:cs="Calibri"/>
                <w:color w:val="7030A0"/>
                <w:sz w:val="14"/>
              </w:rPr>
            </w:pPr>
            <w:r w:rsidRPr="00F70B16">
              <w:rPr>
                <w:rFonts w:cs="Calibri"/>
                <w:color w:val="7030A0"/>
                <w:sz w:val="14"/>
              </w:rPr>
              <w:t>AASB 107.14(a)</w:t>
            </w:r>
          </w:p>
        </w:tc>
        <w:tc>
          <w:tcPr>
            <w:tcW w:w="5244" w:type="dxa"/>
            <w:tcBorders>
              <w:top w:val="nil"/>
              <w:left w:val="single" w:sz="2" w:space="0" w:color="auto"/>
              <w:bottom w:val="nil"/>
              <w:right w:val="nil"/>
            </w:tcBorders>
            <w:vAlign w:val="bottom"/>
          </w:tcPr>
          <w:p w14:paraId="50274BA9" w14:textId="23198164" w:rsidR="00776995" w:rsidRPr="00F70B16" w:rsidRDefault="00776995" w:rsidP="00F6748F">
            <w:pPr>
              <w:pStyle w:val="TableText"/>
              <w:tabs>
                <w:tab w:val="left" w:pos="3306"/>
              </w:tabs>
              <w:rPr>
                <w:rFonts w:cs="Calibri"/>
              </w:rPr>
            </w:pPr>
            <w:r w:rsidRPr="00F70B16">
              <w:rPr>
                <w:rFonts w:cs="Calibri"/>
              </w:rPr>
              <w:t>Sales of Goods and Services from Contracts with Customers</w:t>
            </w:r>
          </w:p>
        </w:tc>
        <w:tc>
          <w:tcPr>
            <w:tcW w:w="709" w:type="dxa"/>
            <w:tcBorders>
              <w:top w:val="nil"/>
              <w:left w:val="nil"/>
              <w:bottom w:val="nil"/>
              <w:right w:val="nil"/>
            </w:tcBorders>
            <w:vAlign w:val="bottom"/>
          </w:tcPr>
          <w:p w14:paraId="0E8E692A"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086530C6"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2D0CDE78"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61BF6075" w14:textId="77777777" w:rsidR="00776995" w:rsidRPr="00F70B16" w:rsidRDefault="00776995">
            <w:pPr>
              <w:pStyle w:val="TableText"/>
              <w:tabs>
                <w:tab w:val="left" w:pos="3306"/>
              </w:tabs>
              <w:jc w:val="right"/>
              <w:rPr>
                <w:rFonts w:cs="Calibri"/>
                <w:strike/>
              </w:rPr>
            </w:pPr>
          </w:p>
        </w:tc>
      </w:tr>
      <w:tr w:rsidR="00776995" w:rsidRPr="00CF7E1B" w14:paraId="1B3642CB" w14:textId="77777777" w:rsidTr="004D1EC6">
        <w:tc>
          <w:tcPr>
            <w:tcW w:w="1563" w:type="dxa"/>
            <w:tcBorders>
              <w:top w:val="nil"/>
              <w:left w:val="single" w:sz="2" w:space="0" w:color="auto"/>
              <w:bottom w:val="nil"/>
              <w:right w:val="single" w:sz="2" w:space="0" w:color="auto"/>
            </w:tcBorders>
          </w:tcPr>
          <w:p w14:paraId="44D4F6BA" w14:textId="77777777" w:rsidR="00776995" w:rsidRPr="00F70B16" w:rsidRDefault="00776995">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390A1E27" w14:textId="2B45A094" w:rsidR="00776995" w:rsidRPr="00F70B16" w:rsidRDefault="00776995" w:rsidP="00F6748F">
            <w:pPr>
              <w:pStyle w:val="TableText"/>
              <w:tabs>
                <w:tab w:val="left" w:pos="3306"/>
              </w:tabs>
              <w:rPr>
                <w:rFonts w:cs="Calibri"/>
              </w:rPr>
            </w:pPr>
            <w:r w:rsidRPr="00F70B16">
              <w:rPr>
                <w:rFonts w:cs="Calibri"/>
              </w:rPr>
              <w:t>Grants and Contributions</w:t>
            </w:r>
            <w:r w:rsidR="00CF6845" w:rsidRPr="00F70B16">
              <w:rPr>
                <w:rFonts w:cs="Calibri"/>
              </w:rPr>
              <w:t xml:space="preserve"> Receipts</w:t>
            </w:r>
          </w:p>
        </w:tc>
        <w:tc>
          <w:tcPr>
            <w:tcW w:w="709" w:type="dxa"/>
            <w:tcBorders>
              <w:top w:val="nil"/>
              <w:left w:val="nil"/>
              <w:bottom w:val="nil"/>
              <w:right w:val="nil"/>
            </w:tcBorders>
            <w:vAlign w:val="bottom"/>
          </w:tcPr>
          <w:p w14:paraId="54339D2D"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5B21AD79"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3608EAE7"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0F2861A2" w14:textId="77777777" w:rsidR="00776995" w:rsidRPr="00F70B16" w:rsidRDefault="00776995">
            <w:pPr>
              <w:pStyle w:val="TableText"/>
              <w:tabs>
                <w:tab w:val="left" w:pos="3306"/>
              </w:tabs>
              <w:jc w:val="right"/>
              <w:rPr>
                <w:rFonts w:cs="Calibri"/>
                <w:strike/>
              </w:rPr>
            </w:pPr>
          </w:p>
        </w:tc>
      </w:tr>
      <w:tr w:rsidR="00AA468F" w:rsidRPr="00E117EE" w14:paraId="7E0E0B5C" w14:textId="77777777" w:rsidTr="004D1EC6">
        <w:tc>
          <w:tcPr>
            <w:tcW w:w="1563" w:type="dxa"/>
            <w:tcBorders>
              <w:top w:val="nil"/>
              <w:left w:val="single" w:sz="2" w:space="0" w:color="auto"/>
              <w:bottom w:val="nil"/>
              <w:right w:val="single" w:sz="2" w:space="0" w:color="auto"/>
            </w:tcBorders>
          </w:tcPr>
          <w:p w14:paraId="5FFDA22F" w14:textId="77777777" w:rsidR="00AA468F" w:rsidRPr="00F70B16" w:rsidRDefault="00AA468F" w:rsidP="009A0F2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043C8CE" w14:textId="77777777" w:rsidR="00AA468F" w:rsidRPr="00F70B16" w:rsidRDefault="00AA468F" w:rsidP="009A0F2F">
            <w:pPr>
              <w:pStyle w:val="TableText"/>
              <w:tabs>
                <w:tab w:val="left" w:pos="3306"/>
              </w:tabs>
              <w:rPr>
                <w:rFonts w:cs="Calibri"/>
              </w:rPr>
            </w:pPr>
            <w:r w:rsidRPr="00F70B16">
              <w:rPr>
                <w:rFonts w:cs="Calibri"/>
              </w:rPr>
              <w:t>Investment Receipts</w:t>
            </w:r>
          </w:p>
        </w:tc>
        <w:tc>
          <w:tcPr>
            <w:tcW w:w="709" w:type="dxa"/>
            <w:tcBorders>
              <w:top w:val="nil"/>
              <w:left w:val="nil"/>
              <w:bottom w:val="nil"/>
              <w:right w:val="nil"/>
            </w:tcBorders>
            <w:vAlign w:val="bottom"/>
          </w:tcPr>
          <w:p w14:paraId="637B579B" w14:textId="77777777" w:rsidR="00AA468F" w:rsidRPr="00F70B16" w:rsidRDefault="00AA468F" w:rsidP="009A0F2F">
            <w:pPr>
              <w:pStyle w:val="TableText"/>
              <w:tabs>
                <w:tab w:val="left" w:pos="3306"/>
              </w:tabs>
              <w:jc w:val="center"/>
              <w:rPr>
                <w:rFonts w:cs="Calibri"/>
              </w:rPr>
            </w:pPr>
          </w:p>
        </w:tc>
        <w:tc>
          <w:tcPr>
            <w:tcW w:w="992" w:type="dxa"/>
            <w:tcBorders>
              <w:top w:val="nil"/>
              <w:left w:val="nil"/>
              <w:bottom w:val="nil"/>
              <w:right w:val="nil"/>
            </w:tcBorders>
            <w:vAlign w:val="bottom"/>
          </w:tcPr>
          <w:p w14:paraId="0DDCCE2C" w14:textId="77777777" w:rsidR="00AA468F" w:rsidRPr="00F70B16" w:rsidRDefault="00AA468F" w:rsidP="009A0F2F">
            <w:pPr>
              <w:pStyle w:val="TableText"/>
              <w:tabs>
                <w:tab w:val="left" w:pos="3306"/>
              </w:tabs>
              <w:jc w:val="right"/>
              <w:rPr>
                <w:rFonts w:cs="Calibri"/>
                <w:strike/>
              </w:rPr>
            </w:pPr>
          </w:p>
        </w:tc>
        <w:tc>
          <w:tcPr>
            <w:tcW w:w="993" w:type="dxa"/>
            <w:tcBorders>
              <w:top w:val="nil"/>
              <w:left w:val="nil"/>
              <w:bottom w:val="nil"/>
              <w:right w:val="nil"/>
            </w:tcBorders>
            <w:vAlign w:val="bottom"/>
          </w:tcPr>
          <w:p w14:paraId="6ADE20EF" w14:textId="77777777" w:rsidR="00AA468F" w:rsidRPr="00F70B16" w:rsidRDefault="00AA468F" w:rsidP="009A0F2F">
            <w:pPr>
              <w:pStyle w:val="TableText"/>
              <w:tabs>
                <w:tab w:val="left" w:pos="3306"/>
              </w:tabs>
              <w:jc w:val="right"/>
              <w:rPr>
                <w:rFonts w:cs="Calibri"/>
                <w:strike/>
              </w:rPr>
            </w:pPr>
          </w:p>
        </w:tc>
        <w:tc>
          <w:tcPr>
            <w:tcW w:w="992" w:type="dxa"/>
            <w:tcBorders>
              <w:top w:val="nil"/>
              <w:left w:val="nil"/>
              <w:bottom w:val="nil"/>
              <w:right w:val="nil"/>
            </w:tcBorders>
            <w:vAlign w:val="bottom"/>
          </w:tcPr>
          <w:p w14:paraId="66A25E71" w14:textId="77777777" w:rsidR="00AA468F" w:rsidRPr="00F70B16" w:rsidRDefault="00AA468F" w:rsidP="009A0F2F">
            <w:pPr>
              <w:pStyle w:val="TableText"/>
              <w:tabs>
                <w:tab w:val="left" w:pos="3306"/>
              </w:tabs>
              <w:jc w:val="right"/>
              <w:rPr>
                <w:rFonts w:cs="Calibri"/>
                <w:strike/>
              </w:rPr>
            </w:pPr>
          </w:p>
        </w:tc>
      </w:tr>
      <w:tr w:rsidR="000144FF" w:rsidRPr="00CF7E1B" w14:paraId="7DD29012" w14:textId="77777777" w:rsidTr="004D1EC6">
        <w:tc>
          <w:tcPr>
            <w:tcW w:w="1563" w:type="dxa"/>
            <w:tcBorders>
              <w:top w:val="nil"/>
              <w:left w:val="single" w:sz="2" w:space="0" w:color="auto"/>
              <w:bottom w:val="nil"/>
              <w:right w:val="single" w:sz="2" w:space="0" w:color="auto"/>
            </w:tcBorders>
          </w:tcPr>
          <w:p w14:paraId="4BCC82F3"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7FC87B44" w14:textId="77777777" w:rsidR="000144FF" w:rsidRPr="00F70B16" w:rsidRDefault="000144FF">
            <w:pPr>
              <w:pStyle w:val="TableText"/>
              <w:tabs>
                <w:tab w:val="left" w:pos="3306"/>
              </w:tabs>
              <w:rPr>
                <w:rFonts w:cs="Calibri"/>
              </w:rPr>
            </w:pPr>
            <w:r w:rsidRPr="00F70B16">
              <w:rPr>
                <w:rFonts w:cs="Calibri"/>
              </w:rPr>
              <w:t>Interest Received</w:t>
            </w:r>
          </w:p>
        </w:tc>
        <w:tc>
          <w:tcPr>
            <w:tcW w:w="709" w:type="dxa"/>
            <w:tcBorders>
              <w:top w:val="nil"/>
              <w:left w:val="nil"/>
              <w:bottom w:val="nil"/>
              <w:right w:val="nil"/>
            </w:tcBorders>
            <w:vAlign w:val="bottom"/>
          </w:tcPr>
          <w:p w14:paraId="492DDB7C"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7F4A0094" w14:textId="77777777" w:rsidR="000144FF" w:rsidRPr="00F70B16" w:rsidRDefault="000144FF">
            <w:pPr>
              <w:pStyle w:val="TableText"/>
              <w:tabs>
                <w:tab w:val="left" w:pos="3306"/>
              </w:tabs>
              <w:jc w:val="right"/>
              <w:rPr>
                <w:rFonts w:cs="Calibri"/>
                <w:strike/>
              </w:rPr>
            </w:pPr>
          </w:p>
        </w:tc>
        <w:tc>
          <w:tcPr>
            <w:tcW w:w="993" w:type="dxa"/>
            <w:tcBorders>
              <w:top w:val="nil"/>
              <w:left w:val="nil"/>
              <w:bottom w:val="nil"/>
              <w:right w:val="nil"/>
            </w:tcBorders>
            <w:vAlign w:val="bottom"/>
          </w:tcPr>
          <w:p w14:paraId="55053A7B" w14:textId="77777777" w:rsidR="000144FF" w:rsidRPr="00F70B16" w:rsidRDefault="000144FF">
            <w:pPr>
              <w:pStyle w:val="TableText"/>
              <w:tabs>
                <w:tab w:val="left" w:pos="3306"/>
              </w:tabs>
              <w:jc w:val="right"/>
              <w:rPr>
                <w:rFonts w:cs="Calibri"/>
                <w:strike/>
              </w:rPr>
            </w:pPr>
          </w:p>
        </w:tc>
        <w:tc>
          <w:tcPr>
            <w:tcW w:w="992" w:type="dxa"/>
            <w:tcBorders>
              <w:top w:val="nil"/>
              <w:left w:val="nil"/>
              <w:bottom w:val="nil"/>
              <w:right w:val="nil"/>
            </w:tcBorders>
            <w:vAlign w:val="bottom"/>
          </w:tcPr>
          <w:p w14:paraId="44A15F51" w14:textId="77777777" w:rsidR="000144FF" w:rsidRPr="00F70B16" w:rsidRDefault="000144FF" w:rsidP="00EE6F97">
            <w:pPr>
              <w:pStyle w:val="TableText"/>
              <w:tabs>
                <w:tab w:val="left" w:pos="3306"/>
              </w:tabs>
              <w:jc w:val="right"/>
              <w:rPr>
                <w:rFonts w:cs="Calibri"/>
                <w:strike/>
              </w:rPr>
            </w:pPr>
          </w:p>
        </w:tc>
      </w:tr>
      <w:tr w:rsidR="000144FF" w:rsidRPr="00CF7E1B" w14:paraId="0DB578CB" w14:textId="77777777" w:rsidTr="004D1EC6">
        <w:tc>
          <w:tcPr>
            <w:tcW w:w="1563" w:type="dxa"/>
            <w:tcBorders>
              <w:top w:val="nil"/>
              <w:left w:val="single" w:sz="2" w:space="0" w:color="auto"/>
              <w:bottom w:val="nil"/>
              <w:right w:val="single" w:sz="2" w:space="0" w:color="auto"/>
            </w:tcBorders>
          </w:tcPr>
          <w:p w14:paraId="6B7DCA77"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53CD2B85" w14:textId="77777777" w:rsidR="000144FF" w:rsidRPr="00F70B16" w:rsidRDefault="000144FF">
            <w:pPr>
              <w:pStyle w:val="TableText"/>
              <w:tabs>
                <w:tab w:val="left" w:pos="3306"/>
              </w:tabs>
              <w:rPr>
                <w:rFonts w:cs="Calibri"/>
              </w:rPr>
            </w:pPr>
            <w:r w:rsidRPr="00F70B16">
              <w:rPr>
                <w:rFonts w:cs="Calibri"/>
              </w:rPr>
              <w:t>Dividends Received</w:t>
            </w:r>
          </w:p>
        </w:tc>
        <w:tc>
          <w:tcPr>
            <w:tcW w:w="709" w:type="dxa"/>
            <w:tcBorders>
              <w:top w:val="nil"/>
              <w:left w:val="nil"/>
              <w:bottom w:val="nil"/>
              <w:right w:val="nil"/>
            </w:tcBorders>
            <w:vAlign w:val="bottom"/>
          </w:tcPr>
          <w:p w14:paraId="010B6390"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CF7416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49538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BA68127" w14:textId="77777777" w:rsidR="000144FF" w:rsidRPr="00F70B16" w:rsidRDefault="000144FF">
            <w:pPr>
              <w:pStyle w:val="TableText"/>
              <w:tabs>
                <w:tab w:val="left" w:pos="3306"/>
              </w:tabs>
              <w:jc w:val="right"/>
              <w:rPr>
                <w:rFonts w:cs="Calibri"/>
              </w:rPr>
            </w:pPr>
          </w:p>
        </w:tc>
      </w:tr>
      <w:tr w:rsidR="000144FF" w:rsidRPr="00CF7E1B" w14:paraId="5B71F3D0" w14:textId="77777777" w:rsidTr="004D1EC6">
        <w:tc>
          <w:tcPr>
            <w:tcW w:w="1563" w:type="dxa"/>
            <w:tcBorders>
              <w:top w:val="nil"/>
              <w:left w:val="single" w:sz="2" w:space="0" w:color="auto"/>
              <w:bottom w:val="nil"/>
              <w:right w:val="single" w:sz="2" w:space="0" w:color="auto"/>
            </w:tcBorders>
          </w:tcPr>
          <w:p w14:paraId="05E7C7BF"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38</w:t>
            </w:r>
          </w:p>
        </w:tc>
        <w:tc>
          <w:tcPr>
            <w:tcW w:w="5244" w:type="dxa"/>
            <w:tcBorders>
              <w:top w:val="nil"/>
              <w:left w:val="single" w:sz="2" w:space="0" w:color="auto"/>
              <w:bottom w:val="nil"/>
              <w:right w:val="nil"/>
            </w:tcBorders>
            <w:vAlign w:val="bottom"/>
          </w:tcPr>
          <w:p w14:paraId="27E6AADD" w14:textId="77777777" w:rsidR="000144FF" w:rsidRPr="00F70B16" w:rsidRDefault="000144FF">
            <w:pPr>
              <w:pStyle w:val="TableText"/>
              <w:tabs>
                <w:tab w:val="left" w:pos="3306"/>
              </w:tabs>
              <w:rPr>
                <w:rFonts w:cs="Calibri"/>
                <w:b/>
                <w:bCs/>
              </w:rPr>
            </w:pPr>
            <w:r w:rsidRPr="00F70B16">
              <w:rPr>
                <w:rFonts w:cs="Calibri"/>
              </w:rPr>
              <w:t>Distribution from Joint Ventures</w:t>
            </w:r>
          </w:p>
        </w:tc>
        <w:tc>
          <w:tcPr>
            <w:tcW w:w="709" w:type="dxa"/>
            <w:tcBorders>
              <w:top w:val="nil"/>
              <w:left w:val="nil"/>
              <w:bottom w:val="nil"/>
              <w:right w:val="nil"/>
            </w:tcBorders>
            <w:vAlign w:val="bottom"/>
          </w:tcPr>
          <w:p w14:paraId="5735B28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20E6C6C"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E6254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D428194" w14:textId="77777777" w:rsidR="000144FF" w:rsidRPr="00F70B16" w:rsidRDefault="000144FF">
            <w:pPr>
              <w:pStyle w:val="TableText"/>
              <w:tabs>
                <w:tab w:val="left" w:pos="3306"/>
              </w:tabs>
              <w:jc w:val="right"/>
              <w:rPr>
                <w:rFonts w:cs="Calibri"/>
              </w:rPr>
            </w:pPr>
          </w:p>
        </w:tc>
      </w:tr>
      <w:tr w:rsidR="000144FF" w:rsidRPr="00CF7E1B" w14:paraId="25C1E283" w14:textId="77777777" w:rsidTr="004D1EC6">
        <w:tc>
          <w:tcPr>
            <w:tcW w:w="1563" w:type="dxa"/>
            <w:tcBorders>
              <w:top w:val="nil"/>
              <w:left w:val="single" w:sz="2" w:space="0" w:color="auto"/>
              <w:bottom w:val="nil"/>
              <w:right w:val="single" w:sz="2" w:space="0" w:color="auto"/>
            </w:tcBorders>
          </w:tcPr>
          <w:p w14:paraId="3DA365BA"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0827161" w14:textId="77777777" w:rsidR="000144FF" w:rsidRPr="00F70B16" w:rsidRDefault="000144FF" w:rsidP="00CF6845">
            <w:pPr>
              <w:pStyle w:val="TableText"/>
              <w:tabs>
                <w:tab w:val="left" w:pos="3306"/>
              </w:tabs>
              <w:ind w:left="179" w:hanging="179"/>
              <w:rPr>
                <w:rFonts w:cs="Calibri"/>
              </w:rPr>
            </w:pPr>
            <w:bookmarkStart w:id="201" w:name="_Hlk104883285"/>
            <w:r w:rsidRPr="00F70B16">
              <w:rPr>
                <w:rFonts w:cs="Calibri"/>
              </w:rPr>
              <w:t>Goods and Services Tax Input Tax Credits from the Australian Taxation Office</w:t>
            </w:r>
            <w:bookmarkEnd w:id="201"/>
          </w:p>
        </w:tc>
        <w:tc>
          <w:tcPr>
            <w:tcW w:w="709" w:type="dxa"/>
            <w:tcBorders>
              <w:top w:val="nil"/>
              <w:left w:val="nil"/>
              <w:bottom w:val="nil"/>
              <w:right w:val="nil"/>
            </w:tcBorders>
            <w:vAlign w:val="bottom"/>
          </w:tcPr>
          <w:p w14:paraId="674463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5B5162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F1F7A8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5ABAABE" w14:textId="77777777" w:rsidR="000144FF" w:rsidRPr="00F70B16" w:rsidRDefault="000144FF">
            <w:pPr>
              <w:pStyle w:val="TableText"/>
              <w:tabs>
                <w:tab w:val="left" w:pos="3306"/>
              </w:tabs>
              <w:jc w:val="right"/>
              <w:rPr>
                <w:rFonts w:cs="Calibri"/>
              </w:rPr>
            </w:pPr>
          </w:p>
        </w:tc>
      </w:tr>
      <w:tr w:rsidR="000144FF" w:rsidRPr="00CF7E1B" w14:paraId="21A62A36" w14:textId="77777777" w:rsidTr="004D1EC6">
        <w:tc>
          <w:tcPr>
            <w:tcW w:w="1563" w:type="dxa"/>
            <w:tcBorders>
              <w:top w:val="nil"/>
              <w:left w:val="single" w:sz="2" w:space="0" w:color="auto"/>
              <w:bottom w:val="nil"/>
              <w:right w:val="single" w:sz="2" w:space="0" w:color="auto"/>
            </w:tcBorders>
          </w:tcPr>
          <w:p w14:paraId="1A1B8AD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DAB20DF" w14:textId="77777777" w:rsidR="000144FF" w:rsidRPr="00F70B16" w:rsidRDefault="000144FF">
            <w:pPr>
              <w:pStyle w:val="TableText"/>
              <w:tabs>
                <w:tab w:val="left" w:pos="3306"/>
              </w:tabs>
              <w:rPr>
                <w:rFonts w:cs="Calibri"/>
              </w:rPr>
            </w:pPr>
            <w:r w:rsidRPr="00F70B16">
              <w:rPr>
                <w:rFonts w:cs="Calibri"/>
              </w:rPr>
              <w:t>Goods and Services Tax Collected from Customers</w:t>
            </w:r>
          </w:p>
        </w:tc>
        <w:tc>
          <w:tcPr>
            <w:tcW w:w="709" w:type="dxa"/>
            <w:tcBorders>
              <w:top w:val="nil"/>
              <w:left w:val="nil"/>
              <w:bottom w:val="nil"/>
              <w:right w:val="nil"/>
            </w:tcBorders>
            <w:vAlign w:val="bottom"/>
          </w:tcPr>
          <w:p w14:paraId="1918C3A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616EA2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1821F07A"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9133A08" w14:textId="77777777" w:rsidR="000144FF" w:rsidRPr="00F70B16" w:rsidRDefault="000144FF">
            <w:pPr>
              <w:pStyle w:val="TableText"/>
              <w:tabs>
                <w:tab w:val="left" w:pos="3306"/>
              </w:tabs>
              <w:jc w:val="right"/>
              <w:rPr>
                <w:rFonts w:cs="Calibri"/>
              </w:rPr>
            </w:pPr>
          </w:p>
        </w:tc>
      </w:tr>
      <w:tr w:rsidR="000144FF" w:rsidRPr="00CF7E1B" w14:paraId="4379FC40" w14:textId="77777777" w:rsidTr="004D1EC6">
        <w:tc>
          <w:tcPr>
            <w:tcW w:w="1563" w:type="dxa"/>
            <w:tcBorders>
              <w:top w:val="nil"/>
              <w:left w:val="single" w:sz="2" w:space="0" w:color="auto"/>
              <w:bottom w:val="nil"/>
              <w:right w:val="single" w:sz="2" w:space="0" w:color="auto"/>
            </w:tcBorders>
          </w:tcPr>
          <w:p w14:paraId="7EAE2345"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798BFD1B" w14:textId="77777777" w:rsidR="000144FF" w:rsidRPr="00F70B16" w:rsidRDefault="000144FF">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0A79FC82"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4D8B8E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93A60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1F881AD4" w14:textId="77777777" w:rsidR="000144FF" w:rsidRPr="00F70B16" w:rsidRDefault="000144FF">
            <w:pPr>
              <w:pStyle w:val="TableText"/>
              <w:tabs>
                <w:tab w:val="left" w:pos="3306"/>
              </w:tabs>
              <w:jc w:val="right"/>
              <w:rPr>
                <w:rFonts w:cs="Calibri"/>
              </w:rPr>
            </w:pPr>
          </w:p>
        </w:tc>
      </w:tr>
      <w:tr w:rsidR="000144FF" w:rsidRPr="00CF7E1B" w14:paraId="6CD06284" w14:textId="77777777" w:rsidTr="004D1EC6">
        <w:trPr>
          <w:trHeight w:val="234"/>
        </w:trPr>
        <w:tc>
          <w:tcPr>
            <w:tcW w:w="1563" w:type="dxa"/>
            <w:tcBorders>
              <w:top w:val="nil"/>
              <w:left w:val="single" w:sz="2" w:space="0" w:color="auto"/>
              <w:bottom w:val="nil"/>
              <w:right w:val="single" w:sz="2" w:space="0" w:color="auto"/>
            </w:tcBorders>
          </w:tcPr>
          <w:p w14:paraId="39CEF6CC"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3DEB7E4" w14:textId="77777777" w:rsidR="000144FF" w:rsidRPr="00F70B16" w:rsidRDefault="000144FF">
            <w:pPr>
              <w:pStyle w:val="TableText"/>
              <w:tabs>
                <w:tab w:val="left" w:pos="3306"/>
              </w:tabs>
              <w:rPr>
                <w:rFonts w:cs="Calibri"/>
                <w:b/>
                <w:bCs/>
              </w:rPr>
            </w:pPr>
            <w:bookmarkStart w:id="202" w:name="_Toc48468228"/>
            <w:bookmarkStart w:id="203" w:name="_Toc49155419"/>
            <w:bookmarkStart w:id="204" w:name="_Toc49223868"/>
            <w:r w:rsidRPr="00F70B16">
              <w:rPr>
                <w:rFonts w:cs="Calibri"/>
                <w:b/>
                <w:bCs/>
              </w:rPr>
              <w:t>Total Receipts from Operating Activities</w:t>
            </w:r>
            <w:bookmarkEnd w:id="202"/>
            <w:bookmarkEnd w:id="203"/>
            <w:bookmarkEnd w:id="204"/>
          </w:p>
        </w:tc>
        <w:tc>
          <w:tcPr>
            <w:tcW w:w="709" w:type="dxa"/>
            <w:tcBorders>
              <w:top w:val="nil"/>
              <w:left w:val="nil"/>
              <w:bottom w:val="nil"/>
              <w:right w:val="nil"/>
            </w:tcBorders>
            <w:vAlign w:val="bottom"/>
          </w:tcPr>
          <w:p w14:paraId="2241801E" w14:textId="77777777" w:rsidR="000144FF" w:rsidRPr="00F70B16" w:rsidRDefault="000144FF">
            <w:pPr>
              <w:pStyle w:val="TableText"/>
              <w:tabs>
                <w:tab w:val="left" w:pos="3306"/>
              </w:tabs>
              <w:jc w:val="center"/>
              <w:rPr>
                <w:rFonts w:cs="Calibri"/>
              </w:rPr>
            </w:pPr>
          </w:p>
        </w:tc>
        <w:tc>
          <w:tcPr>
            <w:tcW w:w="992" w:type="dxa"/>
            <w:tcBorders>
              <w:top w:val="single" w:sz="2" w:space="0" w:color="003366"/>
              <w:left w:val="nil"/>
              <w:bottom w:val="nil"/>
              <w:right w:val="nil"/>
            </w:tcBorders>
            <w:vAlign w:val="bottom"/>
          </w:tcPr>
          <w:p w14:paraId="45DCD404" w14:textId="77777777" w:rsidR="000144FF" w:rsidRPr="00F70B16" w:rsidRDefault="000144FF">
            <w:pPr>
              <w:pStyle w:val="TableText"/>
              <w:tabs>
                <w:tab w:val="left" w:pos="3306"/>
              </w:tabs>
              <w:jc w:val="right"/>
              <w:rPr>
                <w:rFonts w:cs="Calibri"/>
                <w:b/>
                <w:bCs/>
              </w:rPr>
            </w:pPr>
          </w:p>
        </w:tc>
        <w:tc>
          <w:tcPr>
            <w:tcW w:w="993" w:type="dxa"/>
            <w:tcBorders>
              <w:top w:val="single" w:sz="2" w:space="0" w:color="003366"/>
              <w:left w:val="nil"/>
              <w:bottom w:val="nil"/>
              <w:right w:val="nil"/>
            </w:tcBorders>
            <w:vAlign w:val="bottom"/>
          </w:tcPr>
          <w:p w14:paraId="43BE847B" w14:textId="77777777" w:rsidR="000144FF" w:rsidRPr="00F70B16" w:rsidRDefault="000144FF">
            <w:pPr>
              <w:pStyle w:val="TableText"/>
              <w:tabs>
                <w:tab w:val="left" w:pos="3306"/>
              </w:tabs>
              <w:jc w:val="right"/>
              <w:rPr>
                <w:rFonts w:cs="Calibri"/>
                <w:b/>
                <w:bCs/>
              </w:rPr>
            </w:pPr>
          </w:p>
        </w:tc>
        <w:tc>
          <w:tcPr>
            <w:tcW w:w="992" w:type="dxa"/>
            <w:tcBorders>
              <w:top w:val="single" w:sz="2" w:space="0" w:color="003366"/>
              <w:left w:val="nil"/>
              <w:bottom w:val="nil"/>
              <w:right w:val="nil"/>
            </w:tcBorders>
            <w:vAlign w:val="bottom"/>
          </w:tcPr>
          <w:p w14:paraId="7EED3327" w14:textId="77777777" w:rsidR="000144FF" w:rsidRPr="00F70B16" w:rsidRDefault="000144FF">
            <w:pPr>
              <w:pStyle w:val="TableText"/>
              <w:tabs>
                <w:tab w:val="left" w:pos="3306"/>
              </w:tabs>
              <w:jc w:val="right"/>
              <w:rPr>
                <w:rFonts w:cs="Calibri"/>
                <w:b/>
                <w:bCs/>
              </w:rPr>
            </w:pPr>
          </w:p>
        </w:tc>
      </w:tr>
      <w:tr w:rsidR="000144FF" w:rsidRPr="00616F81" w14:paraId="0F03B31C" w14:textId="77777777" w:rsidTr="004D1EC6">
        <w:trPr>
          <w:trHeight w:val="63"/>
        </w:trPr>
        <w:tc>
          <w:tcPr>
            <w:tcW w:w="1563" w:type="dxa"/>
            <w:tcBorders>
              <w:top w:val="nil"/>
              <w:left w:val="single" w:sz="2" w:space="0" w:color="auto"/>
              <w:bottom w:val="nil"/>
              <w:right w:val="single" w:sz="2" w:space="0" w:color="auto"/>
            </w:tcBorders>
          </w:tcPr>
          <w:p w14:paraId="11604BD4" w14:textId="77777777" w:rsidR="000144FF" w:rsidRPr="00F70B16" w:rsidRDefault="000144FF" w:rsidP="00616F81">
            <w:pPr>
              <w:pStyle w:val="TableReference"/>
              <w:tabs>
                <w:tab w:val="left" w:pos="3306"/>
              </w:tabs>
              <w:rPr>
                <w:rFonts w:cs="Calibri"/>
                <w:color w:val="7030A0"/>
                <w:sz w:val="10"/>
                <w:szCs w:val="10"/>
              </w:rPr>
            </w:pPr>
          </w:p>
        </w:tc>
        <w:tc>
          <w:tcPr>
            <w:tcW w:w="5244" w:type="dxa"/>
            <w:tcBorders>
              <w:top w:val="nil"/>
              <w:left w:val="single" w:sz="2" w:space="0" w:color="auto"/>
              <w:bottom w:val="nil"/>
              <w:right w:val="nil"/>
            </w:tcBorders>
            <w:vAlign w:val="bottom"/>
          </w:tcPr>
          <w:p w14:paraId="3649D0D1" w14:textId="77777777" w:rsidR="000144FF" w:rsidRPr="00F70B16" w:rsidRDefault="000144FF" w:rsidP="00616F81">
            <w:pPr>
              <w:pStyle w:val="TableText"/>
              <w:tabs>
                <w:tab w:val="left" w:pos="3306"/>
              </w:tabs>
              <w:spacing w:before="0"/>
              <w:rPr>
                <w:rFonts w:cs="Calibri"/>
                <w:sz w:val="4"/>
                <w:szCs w:val="4"/>
              </w:rPr>
            </w:pPr>
          </w:p>
        </w:tc>
        <w:tc>
          <w:tcPr>
            <w:tcW w:w="709" w:type="dxa"/>
            <w:tcBorders>
              <w:top w:val="nil"/>
              <w:left w:val="nil"/>
              <w:bottom w:val="nil"/>
              <w:right w:val="nil"/>
            </w:tcBorders>
            <w:vAlign w:val="bottom"/>
          </w:tcPr>
          <w:p w14:paraId="48DCC2BC" w14:textId="77777777" w:rsidR="000144FF" w:rsidRPr="00F70B16" w:rsidRDefault="000144FF" w:rsidP="00616F81">
            <w:pPr>
              <w:pStyle w:val="TableText"/>
              <w:tabs>
                <w:tab w:val="left" w:pos="3306"/>
              </w:tabs>
              <w:spacing w:before="0"/>
              <w:jc w:val="center"/>
              <w:rPr>
                <w:rFonts w:cs="Calibri"/>
                <w:sz w:val="10"/>
                <w:szCs w:val="10"/>
              </w:rPr>
            </w:pPr>
          </w:p>
        </w:tc>
        <w:tc>
          <w:tcPr>
            <w:tcW w:w="992" w:type="dxa"/>
            <w:tcBorders>
              <w:top w:val="nil"/>
              <w:left w:val="nil"/>
              <w:bottom w:val="nil"/>
              <w:right w:val="nil"/>
            </w:tcBorders>
            <w:vAlign w:val="bottom"/>
          </w:tcPr>
          <w:p w14:paraId="582773D9" w14:textId="77777777" w:rsidR="000144FF" w:rsidRPr="00F70B16" w:rsidRDefault="000144FF" w:rsidP="00616F81">
            <w:pPr>
              <w:pStyle w:val="TableText"/>
              <w:tabs>
                <w:tab w:val="left" w:pos="3306"/>
              </w:tabs>
              <w:spacing w:before="0"/>
              <w:jc w:val="right"/>
              <w:rPr>
                <w:rFonts w:cs="Calibri"/>
                <w:b/>
                <w:bCs/>
                <w:sz w:val="10"/>
                <w:szCs w:val="10"/>
              </w:rPr>
            </w:pPr>
          </w:p>
        </w:tc>
        <w:tc>
          <w:tcPr>
            <w:tcW w:w="993" w:type="dxa"/>
            <w:tcBorders>
              <w:top w:val="nil"/>
              <w:left w:val="nil"/>
              <w:bottom w:val="nil"/>
              <w:right w:val="nil"/>
            </w:tcBorders>
            <w:vAlign w:val="bottom"/>
          </w:tcPr>
          <w:p w14:paraId="7C942598" w14:textId="77777777" w:rsidR="000144FF" w:rsidRPr="00F70B16" w:rsidRDefault="000144FF" w:rsidP="00616F81">
            <w:pPr>
              <w:pStyle w:val="TableText"/>
              <w:tabs>
                <w:tab w:val="left" w:pos="3306"/>
              </w:tabs>
              <w:spacing w:before="0"/>
              <w:jc w:val="right"/>
              <w:rPr>
                <w:rFonts w:cs="Calibri"/>
                <w:b/>
                <w:bCs/>
                <w:sz w:val="10"/>
                <w:szCs w:val="10"/>
              </w:rPr>
            </w:pPr>
          </w:p>
        </w:tc>
        <w:tc>
          <w:tcPr>
            <w:tcW w:w="992" w:type="dxa"/>
            <w:tcBorders>
              <w:top w:val="nil"/>
              <w:left w:val="nil"/>
              <w:bottom w:val="nil"/>
              <w:right w:val="nil"/>
            </w:tcBorders>
            <w:vAlign w:val="bottom"/>
          </w:tcPr>
          <w:p w14:paraId="5A732949" w14:textId="77777777" w:rsidR="000144FF" w:rsidRPr="00F70B16" w:rsidRDefault="000144FF" w:rsidP="00616F81">
            <w:pPr>
              <w:pStyle w:val="TableText"/>
              <w:tabs>
                <w:tab w:val="left" w:pos="3306"/>
              </w:tabs>
              <w:spacing w:before="0"/>
              <w:jc w:val="right"/>
              <w:rPr>
                <w:rFonts w:cs="Calibri"/>
                <w:b/>
                <w:bCs/>
                <w:sz w:val="10"/>
                <w:szCs w:val="10"/>
              </w:rPr>
            </w:pPr>
          </w:p>
        </w:tc>
      </w:tr>
      <w:tr w:rsidR="000144FF" w:rsidRPr="00CF7E1B" w14:paraId="39B12400" w14:textId="77777777" w:rsidTr="004D1EC6">
        <w:tc>
          <w:tcPr>
            <w:tcW w:w="1563" w:type="dxa"/>
            <w:tcBorders>
              <w:top w:val="nil"/>
              <w:left w:val="single" w:sz="2" w:space="0" w:color="auto"/>
              <w:bottom w:val="nil"/>
              <w:right w:val="single" w:sz="2" w:space="0" w:color="auto"/>
            </w:tcBorders>
          </w:tcPr>
          <w:p w14:paraId="1BFAE7A1"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0394D6A5" w14:textId="77777777" w:rsidR="000144FF" w:rsidRPr="00F70B16" w:rsidRDefault="000144FF" w:rsidP="00AA468F">
            <w:pPr>
              <w:pStyle w:val="TableText"/>
              <w:tabs>
                <w:tab w:val="left" w:pos="3306"/>
              </w:tabs>
              <w:spacing w:before="0"/>
              <w:rPr>
                <w:rFonts w:cs="Calibri"/>
                <w:b/>
                <w:bCs/>
              </w:rPr>
            </w:pPr>
            <w:bookmarkStart w:id="205" w:name="_Toc48468229"/>
            <w:bookmarkStart w:id="206" w:name="_Toc49155420"/>
            <w:bookmarkStart w:id="207" w:name="_Toc49223869"/>
            <w:r w:rsidRPr="00F70B16">
              <w:rPr>
                <w:rFonts w:cs="Calibri"/>
                <w:b/>
                <w:bCs/>
              </w:rPr>
              <w:t>Payments</w:t>
            </w:r>
            <w:bookmarkEnd w:id="205"/>
            <w:bookmarkEnd w:id="206"/>
            <w:bookmarkEnd w:id="207"/>
          </w:p>
        </w:tc>
        <w:tc>
          <w:tcPr>
            <w:tcW w:w="709" w:type="dxa"/>
            <w:tcBorders>
              <w:top w:val="nil"/>
              <w:left w:val="nil"/>
              <w:bottom w:val="nil"/>
              <w:right w:val="nil"/>
            </w:tcBorders>
            <w:vAlign w:val="bottom"/>
          </w:tcPr>
          <w:p w14:paraId="7FFB328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2CE8D41"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290DEE93"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16864FD4" w14:textId="77777777" w:rsidR="000144FF" w:rsidRPr="00F70B16" w:rsidRDefault="000144FF">
            <w:pPr>
              <w:pStyle w:val="TableText"/>
              <w:tabs>
                <w:tab w:val="left" w:pos="3306"/>
              </w:tabs>
              <w:jc w:val="right"/>
              <w:rPr>
                <w:rFonts w:cs="Calibri"/>
                <w:b/>
                <w:bCs/>
              </w:rPr>
            </w:pPr>
          </w:p>
        </w:tc>
      </w:tr>
      <w:tr w:rsidR="000144FF" w:rsidRPr="00CF7E1B" w14:paraId="5CC5146E" w14:textId="77777777" w:rsidTr="004D1EC6">
        <w:tc>
          <w:tcPr>
            <w:tcW w:w="1563" w:type="dxa"/>
            <w:tcBorders>
              <w:top w:val="nil"/>
              <w:left w:val="single" w:sz="2" w:space="0" w:color="auto"/>
              <w:bottom w:val="nil"/>
              <w:right w:val="single" w:sz="2" w:space="0" w:color="auto"/>
            </w:tcBorders>
          </w:tcPr>
          <w:p w14:paraId="5BBEDF60"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448C5BBD" w14:textId="6A58325B" w:rsidR="000144FF" w:rsidRPr="00F70B16" w:rsidRDefault="000144FF" w:rsidP="00181096">
            <w:pPr>
              <w:pStyle w:val="TableText"/>
              <w:tabs>
                <w:tab w:val="left" w:pos="3306"/>
              </w:tabs>
              <w:rPr>
                <w:rFonts w:cs="Calibri"/>
                <w:b/>
                <w:bCs/>
              </w:rPr>
            </w:pPr>
            <w:r w:rsidRPr="00B73007">
              <w:rPr>
                <w:rFonts w:cs="Calibri"/>
              </w:rPr>
              <w:t>Employee</w:t>
            </w:r>
            <w:r w:rsidR="00F9568D" w:rsidRPr="00B73007">
              <w:rPr>
                <w:rFonts w:cs="Calibri"/>
              </w:rPr>
              <w:t xml:space="preserve"> </w:t>
            </w:r>
            <w:r w:rsidR="00F9568D" w:rsidRPr="00B73007">
              <w:rPr>
                <w:rFonts w:cs="Calibri"/>
                <w:color w:val="FF0000"/>
              </w:rPr>
              <w:t>Payments</w:t>
            </w:r>
          </w:p>
        </w:tc>
        <w:tc>
          <w:tcPr>
            <w:tcW w:w="709" w:type="dxa"/>
            <w:tcBorders>
              <w:top w:val="nil"/>
              <w:left w:val="nil"/>
              <w:bottom w:val="nil"/>
              <w:right w:val="nil"/>
            </w:tcBorders>
            <w:vAlign w:val="bottom"/>
          </w:tcPr>
          <w:p w14:paraId="57A830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A6461A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8039E03"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DD1981B" w14:textId="77777777" w:rsidR="000144FF" w:rsidRPr="00F70B16" w:rsidRDefault="000144FF">
            <w:pPr>
              <w:pStyle w:val="TableText"/>
              <w:tabs>
                <w:tab w:val="left" w:pos="3306"/>
              </w:tabs>
              <w:jc w:val="right"/>
              <w:rPr>
                <w:rFonts w:cs="Calibri"/>
              </w:rPr>
            </w:pPr>
          </w:p>
        </w:tc>
      </w:tr>
      <w:tr w:rsidR="000144FF" w:rsidRPr="00CF7E1B" w14:paraId="22B9C07C" w14:textId="77777777" w:rsidTr="004D1EC6">
        <w:tc>
          <w:tcPr>
            <w:tcW w:w="1563" w:type="dxa"/>
            <w:tcBorders>
              <w:top w:val="nil"/>
              <w:left w:val="single" w:sz="2" w:space="0" w:color="auto"/>
              <w:bottom w:val="nil"/>
              <w:right w:val="single" w:sz="2" w:space="0" w:color="auto"/>
            </w:tcBorders>
          </w:tcPr>
          <w:p w14:paraId="0FADAAE3" w14:textId="77777777" w:rsidR="000144FF" w:rsidRPr="001309FE" w:rsidRDefault="000144FF" w:rsidP="00181096">
            <w:pPr>
              <w:pStyle w:val="TableReference"/>
              <w:tabs>
                <w:tab w:val="left" w:pos="3306"/>
              </w:tabs>
              <w:spacing w:before="40"/>
              <w:rPr>
                <w:rFonts w:cs="Calibri"/>
                <w:strike/>
                <w:color w:val="FF0000"/>
                <w:sz w:val="14"/>
              </w:rPr>
            </w:pPr>
            <w:r w:rsidRPr="001309FE">
              <w:rPr>
                <w:rFonts w:cs="Calibri"/>
                <w:strike/>
                <w:color w:val="FF0000"/>
                <w:sz w:val="14"/>
              </w:rPr>
              <w:t>AASB 107</w:t>
            </w:r>
            <w:r w:rsidR="00D65811" w:rsidRPr="001309FE">
              <w:rPr>
                <w:rFonts w:cs="Calibri"/>
                <w:strike/>
                <w:color w:val="FF0000"/>
                <w:sz w:val="14"/>
              </w:rPr>
              <w:t>.</w:t>
            </w:r>
            <w:r w:rsidRPr="001309FE">
              <w:rPr>
                <w:rFonts w:cs="Calibri"/>
                <w:strike/>
                <w:color w:val="FF0000"/>
                <w:sz w:val="14"/>
              </w:rPr>
              <w:t>14</w:t>
            </w:r>
            <w:r w:rsidR="00D001B7" w:rsidRPr="001309FE">
              <w:rPr>
                <w:rFonts w:cs="Calibri"/>
                <w:strike/>
                <w:color w:val="FF0000"/>
                <w:sz w:val="14"/>
              </w:rPr>
              <w:t>(</w:t>
            </w:r>
            <w:r w:rsidRPr="001309FE">
              <w:rPr>
                <w:rFonts w:cs="Calibri"/>
                <w:strike/>
                <w:color w:val="FF0000"/>
                <w:sz w:val="14"/>
              </w:rPr>
              <w:t>d)</w:t>
            </w:r>
          </w:p>
        </w:tc>
        <w:tc>
          <w:tcPr>
            <w:tcW w:w="5244" w:type="dxa"/>
            <w:tcBorders>
              <w:top w:val="nil"/>
              <w:left w:val="single" w:sz="2" w:space="0" w:color="auto"/>
              <w:bottom w:val="nil"/>
              <w:right w:val="nil"/>
            </w:tcBorders>
            <w:vAlign w:val="bottom"/>
          </w:tcPr>
          <w:p w14:paraId="148181A9" w14:textId="77777777" w:rsidR="000144FF" w:rsidRPr="001309FE" w:rsidRDefault="000144FF" w:rsidP="00181096">
            <w:pPr>
              <w:pStyle w:val="TableText"/>
              <w:tabs>
                <w:tab w:val="left" w:pos="3306"/>
              </w:tabs>
              <w:rPr>
                <w:rFonts w:cs="Calibri"/>
                <w:strike/>
                <w:color w:val="FF0000"/>
              </w:rPr>
            </w:pPr>
            <w:r w:rsidRPr="001309FE">
              <w:rPr>
                <w:rFonts w:cs="Calibri"/>
                <w:strike/>
                <w:color w:val="FF0000"/>
              </w:rPr>
              <w:t>Superannuation</w:t>
            </w:r>
          </w:p>
        </w:tc>
        <w:tc>
          <w:tcPr>
            <w:tcW w:w="709" w:type="dxa"/>
            <w:tcBorders>
              <w:top w:val="nil"/>
              <w:left w:val="nil"/>
              <w:bottom w:val="nil"/>
              <w:right w:val="nil"/>
            </w:tcBorders>
            <w:vAlign w:val="bottom"/>
          </w:tcPr>
          <w:p w14:paraId="4757F6E7"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4A7D2D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5502A3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F6F7A75" w14:textId="77777777" w:rsidR="000144FF" w:rsidRPr="00F70B16" w:rsidRDefault="000144FF">
            <w:pPr>
              <w:pStyle w:val="TableText"/>
              <w:tabs>
                <w:tab w:val="left" w:pos="3306"/>
              </w:tabs>
              <w:jc w:val="right"/>
              <w:rPr>
                <w:rFonts w:cs="Calibri"/>
              </w:rPr>
            </w:pPr>
          </w:p>
        </w:tc>
      </w:tr>
      <w:tr w:rsidR="000144FF" w:rsidRPr="00CF7E1B" w14:paraId="40D34E52" w14:textId="77777777" w:rsidTr="004D1EC6">
        <w:tc>
          <w:tcPr>
            <w:tcW w:w="1563" w:type="dxa"/>
            <w:tcBorders>
              <w:top w:val="nil"/>
              <w:left w:val="single" w:sz="2" w:space="0" w:color="auto"/>
              <w:bottom w:val="nil"/>
              <w:right w:val="single" w:sz="2" w:space="0" w:color="auto"/>
            </w:tcBorders>
          </w:tcPr>
          <w:p w14:paraId="4B1A10C4"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c)</w:t>
            </w:r>
          </w:p>
        </w:tc>
        <w:tc>
          <w:tcPr>
            <w:tcW w:w="5244" w:type="dxa"/>
            <w:tcBorders>
              <w:top w:val="nil"/>
              <w:left w:val="single" w:sz="2" w:space="0" w:color="auto"/>
              <w:bottom w:val="nil"/>
              <w:right w:val="nil"/>
            </w:tcBorders>
            <w:vAlign w:val="bottom"/>
          </w:tcPr>
          <w:p w14:paraId="42020020" w14:textId="77777777" w:rsidR="000144FF" w:rsidRPr="00F70B16" w:rsidRDefault="000144FF" w:rsidP="00181096">
            <w:pPr>
              <w:pStyle w:val="TableText"/>
              <w:tabs>
                <w:tab w:val="left" w:pos="3306"/>
              </w:tabs>
              <w:rPr>
                <w:rFonts w:cs="Calibri"/>
              </w:rPr>
            </w:pPr>
            <w:r w:rsidRPr="00F70B16">
              <w:rPr>
                <w:rFonts w:cs="Calibri"/>
              </w:rPr>
              <w:t>Supplies and Services</w:t>
            </w:r>
          </w:p>
        </w:tc>
        <w:tc>
          <w:tcPr>
            <w:tcW w:w="709" w:type="dxa"/>
            <w:tcBorders>
              <w:top w:val="nil"/>
              <w:left w:val="nil"/>
              <w:bottom w:val="nil"/>
              <w:right w:val="nil"/>
            </w:tcBorders>
            <w:vAlign w:val="bottom"/>
          </w:tcPr>
          <w:p w14:paraId="61CBAC0E"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D948C85"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6DFB8B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6FBD00C4" w14:textId="77777777" w:rsidR="000144FF" w:rsidRPr="00F70B16" w:rsidRDefault="000144FF" w:rsidP="00181096">
            <w:pPr>
              <w:pStyle w:val="TableText"/>
              <w:tabs>
                <w:tab w:val="left" w:pos="3306"/>
              </w:tabs>
              <w:spacing w:before="0"/>
              <w:jc w:val="right"/>
              <w:rPr>
                <w:rFonts w:cs="Calibri"/>
              </w:rPr>
            </w:pPr>
          </w:p>
        </w:tc>
      </w:tr>
      <w:tr w:rsidR="00411D5C" w:rsidRPr="00CF7E1B" w14:paraId="23954EFC" w14:textId="77777777" w:rsidTr="004D1EC6">
        <w:tc>
          <w:tcPr>
            <w:tcW w:w="1563" w:type="dxa"/>
            <w:tcBorders>
              <w:top w:val="nil"/>
              <w:left w:val="single" w:sz="2" w:space="0" w:color="auto"/>
              <w:bottom w:val="nil"/>
              <w:right w:val="single" w:sz="2" w:space="0" w:color="auto"/>
            </w:tcBorders>
          </w:tcPr>
          <w:p w14:paraId="01A9D3B0"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6B2AB850" w14:textId="5AC583D8" w:rsidR="00411D5C" w:rsidRPr="00F70B16" w:rsidRDefault="00411D5C" w:rsidP="00181096">
            <w:pPr>
              <w:pStyle w:val="TableText"/>
              <w:tabs>
                <w:tab w:val="left" w:pos="3306"/>
              </w:tabs>
              <w:rPr>
                <w:rFonts w:cs="Calibri"/>
              </w:rPr>
            </w:pPr>
            <w:r w:rsidRPr="00F70B16">
              <w:rPr>
                <w:rFonts w:cs="Calibri"/>
              </w:rPr>
              <w:t>Related to Cost of Goods Sold</w:t>
            </w:r>
          </w:p>
        </w:tc>
        <w:tc>
          <w:tcPr>
            <w:tcW w:w="709" w:type="dxa"/>
            <w:tcBorders>
              <w:top w:val="nil"/>
              <w:left w:val="nil"/>
              <w:bottom w:val="nil"/>
              <w:right w:val="nil"/>
            </w:tcBorders>
            <w:vAlign w:val="bottom"/>
          </w:tcPr>
          <w:p w14:paraId="60EDC9CD" w14:textId="77777777" w:rsidR="00411D5C" w:rsidRPr="00F70B16" w:rsidRDefault="00411D5C">
            <w:pPr>
              <w:pStyle w:val="TableText"/>
              <w:tabs>
                <w:tab w:val="left" w:pos="3306"/>
              </w:tabs>
              <w:jc w:val="center"/>
              <w:rPr>
                <w:rFonts w:cs="Calibri"/>
              </w:rPr>
            </w:pPr>
          </w:p>
        </w:tc>
        <w:tc>
          <w:tcPr>
            <w:tcW w:w="992" w:type="dxa"/>
            <w:tcBorders>
              <w:top w:val="nil"/>
              <w:left w:val="nil"/>
              <w:bottom w:val="nil"/>
              <w:right w:val="nil"/>
            </w:tcBorders>
            <w:vAlign w:val="bottom"/>
          </w:tcPr>
          <w:p w14:paraId="1D63A2B4"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12659614"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5E3B4A11" w14:textId="77777777" w:rsidR="00411D5C" w:rsidRPr="00F70B16" w:rsidRDefault="00411D5C">
            <w:pPr>
              <w:pStyle w:val="TableText"/>
              <w:tabs>
                <w:tab w:val="left" w:pos="3306"/>
              </w:tabs>
              <w:jc w:val="right"/>
              <w:rPr>
                <w:rFonts w:cs="Calibri"/>
              </w:rPr>
            </w:pPr>
          </w:p>
        </w:tc>
      </w:tr>
      <w:tr w:rsidR="000144FF" w:rsidRPr="00CF7E1B" w14:paraId="62D6D69F" w14:textId="77777777" w:rsidTr="004D1EC6">
        <w:tc>
          <w:tcPr>
            <w:tcW w:w="1563" w:type="dxa"/>
            <w:tcBorders>
              <w:top w:val="nil"/>
              <w:left w:val="single" w:sz="2" w:space="0" w:color="auto"/>
              <w:bottom w:val="nil"/>
              <w:right w:val="single" w:sz="2" w:space="0" w:color="auto"/>
            </w:tcBorders>
          </w:tcPr>
          <w:p w14:paraId="05708805"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91ECE54" w14:textId="77777777" w:rsidR="000144FF" w:rsidRPr="00F70B16" w:rsidRDefault="000144FF" w:rsidP="00181096">
            <w:pPr>
              <w:pStyle w:val="TableText"/>
              <w:tabs>
                <w:tab w:val="left" w:pos="3306"/>
              </w:tabs>
              <w:rPr>
                <w:rFonts w:cs="Calibri"/>
              </w:rPr>
            </w:pPr>
            <w:r w:rsidRPr="00F70B16">
              <w:rPr>
                <w:rFonts w:cs="Calibri"/>
              </w:rPr>
              <w:t>Grants and Purchased Services</w:t>
            </w:r>
          </w:p>
        </w:tc>
        <w:tc>
          <w:tcPr>
            <w:tcW w:w="709" w:type="dxa"/>
            <w:tcBorders>
              <w:top w:val="nil"/>
              <w:left w:val="nil"/>
              <w:bottom w:val="nil"/>
              <w:right w:val="nil"/>
            </w:tcBorders>
            <w:vAlign w:val="bottom"/>
          </w:tcPr>
          <w:p w14:paraId="3DDE544B"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5548AA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758E8F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8EEF917" w14:textId="77777777" w:rsidR="000144FF" w:rsidRPr="00F70B16" w:rsidRDefault="000144FF">
            <w:pPr>
              <w:pStyle w:val="TableText"/>
              <w:tabs>
                <w:tab w:val="left" w:pos="3306"/>
              </w:tabs>
              <w:jc w:val="right"/>
              <w:rPr>
                <w:rFonts w:cs="Calibri"/>
              </w:rPr>
            </w:pPr>
          </w:p>
        </w:tc>
      </w:tr>
      <w:tr w:rsidR="000144FF" w:rsidRPr="00CF7E1B" w14:paraId="31AFA497" w14:textId="77777777" w:rsidTr="004D1EC6">
        <w:tc>
          <w:tcPr>
            <w:tcW w:w="1563" w:type="dxa"/>
            <w:tcBorders>
              <w:top w:val="nil"/>
              <w:left w:val="single" w:sz="2" w:space="0" w:color="auto"/>
              <w:bottom w:val="nil"/>
              <w:right w:val="single" w:sz="2" w:space="0" w:color="auto"/>
            </w:tcBorders>
          </w:tcPr>
          <w:p w14:paraId="66F487D9"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4E0C73DC" w14:textId="77777777" w:rsidR="000144FF" w:rsidRPr="00F70B16" w:rsidRDefault="000144FF" w:rsidP="00181096">
            <w:pPr>
              <w:pStyle w:val="TableText"/>
              <w:tabs>
                <w:tab w:val="left" w:pos="3306"/>
              </w:tabs>
              <w:rPr>
                <w:rFonts w:cs="Calibri"/>
              </w:rPr>
            </w:pPr>
            <w:r w:rsidRPr="00F70B16">
              <w:rPr>
                <w:rFonts w:cs="Calibri"/>
              </w:rPr>
              <w:t>Borrowing Costs</w:t>
            </w:r>
          </w:p>
        </w:tc>
        <w:tc>
          <w:tcPr>
            <w:tcW w:w="709" w:type="dxa"/>
            <w:tcBorders>
              <w:top w:val="nil"/>
              <w:left w:val="nil"/>
              <w:bottom w:val="nil"/>
              <w:right w:val="nil"/>
            </w:tcBorders>
            <w:vAlign w:val="bottom"/>
          </w:tcPr>
          <w:p w14:paraId="4EC5AB91"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053C20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84847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ED324F" w14:textId="77777777" w:rsidR="000144FF" w:rsidRPr="00F70B16" w:rsidRDefault="000144FF">
            <w:pPr>
              <w:pStyle w:val="TableText"/>
              <w:tabs>
                <w:tab w:val="left" w:pos="3306"/>
              </w:tabs>
              <w:jc w:val="right"/>
              <w:rPr>
                <w:rFonts w:cs="Calibri"/>
              </w:rPr>
            </w:pPr>
          </w:p>
        </w:tc>
      </w:tr>
      <w:tr w:rsidR="00411D5C" w:rsidRPr="00CF7E1B" w14:paraId="75C08E84" w14:textId="77777777" w:rsidTr="004D1EC6">
        <w:tc>
          <w:tcPr>
            <w:tcW w:w="1563" w:type="dxa"/>
            <w:tcBorders>
              <w:top w:val="nil"/>
              <w:left w:val="single" w:sz="2" w:space="0" w:color="auto"/>
              <w:bottom w:val="nil"/>
              <w:right w:val="single" w:sz="2" w:space="0" w:color="auto"/>
            </w:tcBorders>
          </w:tcPr>
          <w:p w14:paraId="4B2C126F"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74CC11A0" w14:textId="2779A6E3" w:rsidR="00411D5C" w:rsidRPr="009F31C7" w:rsidRDefault="00411D5C" w:rsidP="00181096">
            <w:pPr>
              <w:tabs>
                <w:tab w:val="left" w:pos="3306"/>
              </w:tabs>
              <w:spacing w:before="40"/>
              <w:rPr>
                <w:rFonts w:cs="Calibri"/>
                <w:color w:val="2E74B5" w:themeColor="accent1" w:themeShade="BF"/>
                <w:sz w:val="18"/>
                <w:szCs w:val="18"/>
              </w:rPr>
            </w:pPr>
            <w:bookmarkStart w:id="208" w:name="_Hlk104882508"/>
            <w:r w:rsidRPr="009F31C7">
              <w:rPr>
                <w:rFonts w:cs="Calibri"/>
                <w:color w:val="2E74B5" w:themeColor="accent1" w:themeShade="BF"/>
                <w:sz w:val="18"/>
                <w:szCs w:val="18"/>
              </w:rPr>
              <w:t>Goods and Services Tax Remitted to the Australian Taxation Office</w:t>
            </w:r>
            <w:bookmarkEnd w:id="208"/>
          </w:p>
        </w:tc>
        <w:tc>
          <w:tcPr>
            <w:tcW w:w="709" w:type="dxa"/>
            <w:tcBorders>
              <w:top w:val="nil"/>
              <w:left w:val="nil"/>
              <w:bottom w:val="nil"/>
              <w:right w:val="nil"/>
            </w:tcBorders>
            <w:vAlign w:val="bottom"/>
          </w:tcPr>
          <w:p w14:paraId="53CD1724" w14:textId="77777777" w:rsidR="00411D5C" w:rsidRPr="009F31C7" w:rsidRDefault="00411D5C" w:rsidP="00181096">
            <w:pPr>
              <w:tabs>
                <w:tab w:val="left" w:pos="3306"/>
              </w:tabs>
              <w:rPr>
                <w:rFonts w:cs="Calibri"/>
                <w:color w:val="2E74B5" w:themeColor="accent1" w:themeShade="BF"/>
                <w:sz w:val="18"/>
                <w:szCs w:val="18"/>
              </w:rPr>
            </w:pPr>
          </w:p>
        </w:tc>
        <w:tc>
          <w:tcPr>
            <w:tcW w:w="992" w:type="dxa"/>
            <w:tcBorders>
              <w:top w:val="nil"/>
              <w:left w:val="nil"/>
              <w:bottom w:val="nil"/>
              <w:right w:val="nil"/>
            </w:tcBorders>
            <w:vAlign w:val="bottom"/>
          </w:tcPr>
          <w:p w14:paraId="7DFDAF31"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0836F951"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40075E7C" w14:textId="77777777" w:rsidR="00411D5C" w:rsidRPr="00F70B16" w:rsidRDefault="00411D5C" w:rsidP="00181096">
            <w:pPr>
              <w:pStyle w:val="TableText"/>
              <w:tabs>
                <w:tab w:val="left" w:pos="3306"/>
              </w:tabs>
              <w:spacing w:before="0"/>
              <w:jc w:val="right"/>
              <w:rPr>
                <w:rFonts w:cs="Calibri"/>
              </w:rPr>
            </w:pPr>
          </w:p>
        </w:tc>
      </w:tr>
      <w:tr w:rsidR="000144FF" w:rsidRPr="00CF7E1B" w14:paraId="7829D063" w14:textId="77777777" w:rsidTr="004D1EC6">
        <w:tc>
          <w:tcPr>
            <w:tcW w:w="1563" w:type="dxa"/>
            <w:tcBorders>
              <w:top w:val="nil"/>
              <w:left w:val="single" w:sz="2" w:space="0" w:color="auto"/>
              <w:bottom w:val="nil"/>
              <w:right w:val="single" w:sz="2" w:space="0" w:color="auto"/>
            </w:tcBorders>
          </w:tcPr>
          <w:p w14:paraId="3A4A0EEC"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62B33F3" w14:textId="77777777" w:rsidR="000144FF" w:rsidRPr="00F70B16" w:rsidRDefault="000144FF" w:rsidP="00181096">
            <w:pPr>
              <w:pStyle w:val="TableText"/>
              <w:tabs>
                <w:tab w:val="left" w:pos="3306"/>
              </w:tabs>
              <w:rPr>
                <w:rFonts w:cs="Calibri"/>
              </w:rPr>
            </w:pPr>
            <w:r w:rsidRPr="00F70B16">
              <w:rPr>
                <w:rFonts w:cs="Calibri"/>
              </w:rPr>
              <w:t>Goods and Services Tax Paid to Suppliers</w:t>
            </w:r>
          </w:p>
        </w:tc>
        <w:tc>
          <w:tcPr>
            <w:tcW w:w="709" w:type="dxa"/>
            <w:tcBorders>
              <w:top w:val="nil"/>
              <w:left w:val="nil"/>
              <w:bottom w:val="nil"/>
              <w:right w:val="nil"/>
            </w:tcBorders>
            <w:vAlign w:val="bottom"/>
          </w:tcPr>
          <w:p w14:paraId="0274BE4F"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3B585AF"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75D6722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3EE52784" w14:textId="77777777" w:rsidR="000144FF" w:rsidRPr="00F70B16" w:rsidRDefault="000144FF" w:rsidP="00181096">
            <w:pPr>
              <w:pStyle w:val="TableText"/>
              <w:tabs>
                <w:tab w:val="left" w:pos="3306"/>
              </w:tabs>
              <w:spacing w:before="0"/>
              <w:jc w:val="right"/>
              <w:rPr>
                <w:rFonts w:cs="Calibri"/>
              </w:rPr>
            </w:pPr>
          </w:p>
        </w:tc>
      </w:tr>
      <w:tr w:rsidR="00411D5C" w:rsidRPr="00CF7E1B" w14:paraId="058DF4F1" w14:textId="77777777" w:rsidTr="004D1EC6">
        <w:tc>
          <w:tcPr>
            <w:tcW w:w="1563" w:type="dxa"/>
            <w:tcBorders>
              <w:top w:val="nil"/>
              <w:left w:val="single" w:sz="2" w:space="0" w:color="auto"/>
              <w:bottom w:val="nil"/>
              <w:right w:val="single" w:sz="2" w:space="0" w:color="auto"/>
            </w:tcBorders>
          </w:tcPr>
          <w:p w14:paraId="39541FE9" w14:textId="76425171" w:rsidR="00411D5C" w:rsidRPr="00F70B16" w:rsidRDefault="00411D5C" w:rsidP="00181096">
            <w:pPr>
              <w:pStyle w:val="TableReference"/>
              <w:tabs>
                <w:tab w:val="left" w:pos="3306"/>
              </w:tabs>
              <w:spacing w:before="40"/>
              <w:rPr>
                <w:rFonts w:cs="Calibri"/>
                <w:color w:val="7030A0"/>
                <w:sz w:val="14"/>
              </w:rPr>
            </w:pPr>
            <w:r w:rsidRPr="00F70B16">
              <w:rPr>
                <w:rFonts w:cs="Calibri"/>
                <w:color w:val="7030A0"/>
                <w:sz w:val="14"/>
              </w:rPr>
              <w:t>AASB 107.35</w:t>
            </w:r>
          </w:p>
        </w:tc>
        <w:tc>
          <w:tcPr>
            <w:tcW w:w="5244" w:type="dxa"/>
            <w:tcBorders>
              <w:top w:val="nil"/>
              <w:left w:val="single" w:sz="2" w:space="0" w:color="auto"/>
              <w:bottom w:val="nil"/>
              <w:right w:val="nil"/>
            </w:tcBorders>
            <w:vAlign w:val="bottom"/>
          </w:tcPr>
          <w:p w14:paraId="6B58F9EB" w14:textId="6FC742C1" w:rsidR="00411D5C" w:rsidRPr="00F70B16" w:rsidRDefault="00411D5C" w:rsidP="00181096">
            <w:pPr>
              <w:tabs>
                <w:tab w:val="left" w:pos="3306"/>
              </w:tabs>
              <w:spacing w:before="40"/>
              <w:rPr>
                <w:rFonts w:cs="Calibri"/>
              </w:rPr>
            </w:pPr>
            <w:r w:rsidRPr="009F31C7">
              <w:rPr>
                <w:rFonts w:cs="Calibri"/>
                <w:color w:val="2E74B5" w:themeColor="accent1" w:themeShade="BF"/>
                <w:sz w:val="18"/>
                <w:szCs w:val="18"/>
              </w:rPr>
              <w:t>National Tax Equivalent Payments</w:t>
            </w:r>
          </w:p>
        </w:tc>
        <w:tc>
          <w:tcPr>
            <w:tcW w:w="709" w:type="dxa"/>
            <w:tcBorders>
              <w:top w:val="nil"/>
              <w:left w:val="nil"/>
              <w:bottom w:val="nil"/>
              <w:right w:val="nil"/>
            </w:tcBorders>
            <w:vAlign w:val="bottom"/>
          </w:tcPr>
          <w:p w14:paraId="4F78A920" w14:textId="77777777" w:rsidR="00411D5C" w:rsidRPr="00F70B16" w:rsidRDefault="00411D5C"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62FD1B19"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3056C32"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22147309" w14:textId="77777777" w:rsidR="00411D5C" w:rsidRPr="00F70B16" w:rsidRDefault="00411D5C" w:rsidP="00181096">
            <w:pPr>
              <w:pStyle w:val="TableText"/>
              <w:tabs>
                <w:tab w:val="left" w:pos="3306"/>
              </w:tabs>
              <w:spacing w:before="0"/>
              <w:jc w:val="right"/>
              <w:rPr>
                <w:rFonts w:cs="Calibri"/>
              </w:rPr>
            </w:pPr>
          </w:p>
        </w:tc>
      </w:tr>
      <w:tr w:rsidR="000144FF" w:rsidRPr="00CF7E1B" w14:paraId="31BAB8C1" w14:textId="77777777" w:rsidTr="004D1EC6">
        <w:tc>
          <w:tcPr>
            <w:tcW w:w="1563" w:type="dxa"/>
            <w:tcBorders>
              <w:top w:val="nil"/>
              <w:left w:val="single" w:sz="2" w:space="0" w:color="auto"/>
              <w:bottom w:val="nil"/>
              <w:right w:val="single" w:sz="2" w:space="0" w:color="auto"/>
            </w:tcBorders>
          </w:tcPr>
          <w:p w14:paraId="772C5335" w14:textId="760B030C" w:rsidR="000144FF" w:rsidRPr="00F70B16" w:rsidRDefault="00FA7C77" w:rsidP="00181096">
            <w:pPr>
              <w:pStyle w:val="TableReference"/>
              <w:tabs>
                <w:tab w:val="left" w:pos="3306"/>
              </w:tabs>
              <w:spacing w:before="40"/>
              <w:rPr>
                <w:rFonts w:cs="Calibri"/>
                <w:color w:val="7030A0"/>
                <w:sz w:val="14"/>
              </w:rPr>
            </w:pPr>
            <w:r>
              <w:rPr>
                <w:rFonts w:cs="Calibri"/>
                <w:color w:val="7030A0"/>
                <w:sz w:val="14"/>
              </w:rPr>
              <w:t xml:space="preserve"> </w:t>
            </w:r>
            <w:r w:rsidR="000144FF" w:rsidRPr="00F70B16">
              <w:rPr>
                <w:rFonts w:cs="Calibri"/>
                <w:color w:val="7030A0"/>
                <w:sz w:val="14"/>
              </w:rPr>
              <w:t xml:space="preserve"> </w:t>
            </w:r>
          </w:p>
        </w:tc>
        <w:tc>
          <w:tcPr>
            <w:tcW w:w="5244" w:type="dxa"/>
            <w:tcBorders>
              <w:top w:val="nil"/>
              <w:left w:val="single" w:sz="2" w:space="0" w:color="auto"/>
              <w:bottom w:val="nil"/>
              <w:right w:val="nil"/>
            </w:tcBorders>
            <w:vAlign w:val="bottom"/>
          </w:tcPr>
          <w:p w14:paraId="7A811229" w14:textId="77777777" w:rsidR="000144FF" w:rsidRPr="00F70B16" w:rsidRDefault="000144FF" w:rsidP="00181096">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44A29D1D"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single" w:sz="2" w:space="0" w:color="auto"/>
              <w:right w:val="nil"/>
            </w:tcBorders>
            <w:vAlign w:val="bottom"/>
          </w:tcPr>
          <w:p w14:paraId="2D7242DE"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single" w:sz="2" w:space="0" w:color="auto"/>
              <w:right w:val="nil"/>
            </w:tcBorders>
            <w:vAlign w:val="bottom"/>
          </w:tcPr>
          <w:p w14:paraId="137C169E"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single" w:sz="2" w:space="0" w:color="auto"/>
              <w:right w:val="nil"/>
            </w:tcBorders>
            <w:vAlign w:val="bottom"/>
          </w:tcPr>
          <w:p w14:paraId="1A7C6851" w14:textId="77777777" w:rsidR="000144FF" w:rsidRPr="00F70B16" w:rsidRDefault="000144FF" w:rsidP="00181096">
            <w:pPr>
              <w:pStyle w:val="TableText"/>
              <w:tabs>
                <w:tab w:val="left" w:pos="3306"/>
              </w:tabs>
              <w:spacing w:before="0"/>
              <w:jc w:val="right"/>
              <w:rPr>
                <w:rFonts w:cs="Calibri"/>
              </w:rPr>
            </w:pPr>
          </w:p>
        </w:tc>
      </w:tr>
      <w:tr w:rsidR="000144FF" w:rsidRPr="00CF7E1B" w14:paraId="1FE889D4" w14:textId="77777777" w:rsidTr="004D1EC6">
        <w:tc>
          <w:tcPr>
            <w:tcW w:w="1563" w:type="dxa"/>
            <w:tcBorders>
              <w:top w:val="nil"/>
              <w:left w:val="single" w:sz="2" w:space="0" w:color="auto"/>
              <w:bottom w:val="nil"/>
              <w:right w:val="single" w:sz="2" w:space="0" w:color="auto"/>
            </w:tcBorders>
          </w:tcPr>
          <w:p w14:paraId="634E88F8"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6E98F86" w14:textId="77777777" w:rsidR="000144FF" w:rsidRPr="00F70B16" w:rsidRDefault="000144FF">
            <w:pPr>
              <w:pStyle w:val="TableText"/>
              <w:tabs>
                <w:tab w:val="left" w:pos="3306"/>
              </w:tabs>
              <w:rPr>
                <w:rFonts w:cs="Calibri"/>
                <w:b/>
                <w:bCs/>
              </w:rPr>
            </w:pPr>
            <w:r w:rsidRPr="00F70B16">
              <w:rPr>
                <w:rFonts w:cs="Calibri"/>
                <w:b/>
                <w:bCs/>
              </w:rPr>
              <w:t xml:space="preserve">Total Payments </w:t>
            </w:r>
            <w:r w:rsidR="0088484B" w:rsidRPr="00F70B16">
              <w:rPr>
                <w:rFonts w:cs="Calibri"/>
                <w:b/>
                <w:bCs/>
              </w:rPr>
              <w:t xml:space="preserve">from </w:t>
            </w:r>
            <w:r w:rsidRPr="00F70B16">
              <w:rPr>
                <w:rFonts w:cs="Calibri"/>
                <w:b/>
                <w:bCs/>
              </w:rPr>
              <w:t>Operating Activities</w:t>
            </w:r>
          </w:p>
        </w:tc>
        <w:tc>
          <w:tcPr>
            <w:tcW w:w="709" w:type="dxa"/>
            <w:tcBorders>
              <w:top w:val="nil"/>
              <w:left w:val="nil"/>
              <w:bottom w:val="nil"/>
              <w:right w:val="nil"/>
            </w:tcBorders>
            <w:vAlign w:val="bottom"/>
          </w:tcPr>
          <w:p w14:paraId="5933E411" w14:textId="77777777" w:rsidR="000144FF" w:rsidRPr="00F70B16" w:rsidRDefault="000144FF">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36C13898"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2DA4DF95"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29223218" w14:textId="77777777" w:rsidR="000144FF" w:rsidRPr="00F70B16" w:rsidRDefault="000144FF">
            <w:pPr>
              <w:pStyle w:val="TableText"/>
              <w:tabs>
                <w:tab w:val="left" w:pos="3306"/>
              </w:tabs>
              <w:jc w:val="right"/>
              <w:rPr>
                <w:rFonts w:cs="Calibri"/>
                <w:b/>
                <w:bCs/>
              </w:rPr>
            </w:pPr>
          </w:p>
        </w:tc>
      </w:tr>
      <w:tr w:rsidR="000144FF" w:rsidRPr="00CF7E1B" w14:paraId="2154B298" w14:textId="77777777" w:rsidTr="004D1EC6">
        <w:tc>
          <w:tcPr>
            <w:tcW w:w="1563" w:type="dxa"/>
            <w:tcBorders>
              <w:top w:val="nil"/>
              <w:left w:val="single" w:sz="2" w:space="0" w:color="auto"/>
              <w:bottom w:val="nil"/>
              <w:right w:val="single" w:sz="2" w:space="0" w:color="auto"/>
            </w:tcBorders>
          </w:tcPr>
          <w:p w14:paraId="376C78E7"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766FFA5" w14:textId="77777777" w:rsidR="000144FF" w:rsidRPr="00F70B16" w:rsidRDefault="000144FF">
            <w:pPr>
              <w:pStyle w:val="TableText"/>
              <w:tabs>
                <w:tab w:val="left" w:pos="3306"/>
              </w:tabs>
              <w:rPr>
                <w:rFonts w:cs="Calibri"/>
                <w:b/>
                <w:bCs/>
              </w:rPr>
            </w:pPr>
            <w:bookmarkStart w:id="209" w:name="_Toc48468230"/>
            <w:bookmarkStart w:id="210" w:name="_Toc49155421"/>
            <w:bookmarkStart w:id="211" w:name="_Toc49223870"/>
            <w:r w:rsidRPr="00F70B16">
              <w:rPr>
                <w:rFonts w:cs="Calibri"/>
                <w:b/>
                <w:bCs/>
              </w:rPr>
              <w:t>Net Cash Inflows</w:t>
            </w:r>
            <w:r w:rsidR="00FD1B64" w:rsidRPr="00F70B16">
              <w:rPr>
                <w:rFonts w:cs="Calibri"/>
                <w:b/>
                <w:bCs/>
              </w:rPr>
              <w:t xml:space="preserve">/(Outflows) </w:t>
            </w:r>
            <w:r w:rsidRPr="00F70B16">
              <w:rPr>
                <w:rFonts w:cs="Calibri"/>
                <w:b/>
                <w:bCs/>
              </w:rPr>
              <w:t>from Operating Activities</w:t>
            </w:r>
            <w:bookmarkEnd w:id="209"/>
            <w:bookmarkEnd w:id="210"/>
            <w:bookmarkEnd w:id="211"/>
          </w:p>
        </w:tc>
        <w:tc>
          <w:tcPr>
            <w:tcW w:w="709" w:type="dxa"/>
            <w:tcBorders>
              <w:top w:val="nil"/>
              <w:left w:val="nil"/>
              <w:bottom w:val="nil"/>
              <w:right w:val="nil"/>
            </w:tcBorders>
            <w:vAlign w:val="bottom"/>
          </w:tcPr>
          <w:p w14:paraId="256A52F5" w14:textId="7C4C78B4" w:rsidR="000144FF" w:rsidRPr="00F70B16" w:rsidRDefault="009F31C7" w:rsidP="00F923AC">
            <w:pPr>
              <w:pStyle w:val="TableText"/>
              <w:tabs>
                <w:tab w:val="left" w:pos="3306"/>
              </w:tabs>
              <w:jc w:val="center"/>
              <w:rPr>
                <w:rFonts w:cs="Calibri"/>
              </w:rPr>
            </w:pPr>
            <w:r w:rsidRPr="008C3A72">
              <w:rPr>
                <w:rFonts w:cs="Calibri"/>
              </w:rPr>
              <w:t>15</w:t>
            </w:r>
          </w:p>
        </w:tc>
        <w:tc>
          <w:tcPr>
            <w:tcW w:w="992" w:type="dxa"/>
            <w:tcBorders>
              <w:top w:val="single" w:sz="2" w:space="0" w:color="auto"/>
              <w:left w:val="nil"/>
              <w:bottom w:val="single" w:sz="2" w:space="0" w:color="auto"/>
              <w:right w:val="nil"/>
            </w:tcBorders>
            <w:vAlign w:val="bottom"/>
          </w:tcPr>
          <w:p w14:paraId="7AFD37B3"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F4EBECB"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6AFA59D2" w14:textId="77777777" w:rsidR="000144FF" w:rsidRPr="00F70B16" w:rsidRDefault="000144FF">
            <w:pPr>
              <w:pStyle w:val="TableText"/>
              <w:tabs>
                <w:tab w:val="left" w:pos="3306"/>
              </w:tabs>
              <w:jc w:val="right"/>
              <w:rPr>
                <w:rFonts w:cs="Calibri"/>
                <w:b/>
                <w:bCs/>
              </w:rPr>
            </w:pPr>
          </w:p>
        </w:tc>
      </w:tr>
      <w:tr w:rsidR="005B695A" w:rsidRPr="00AA468F" w14:paraId="2F00F831" w14:textId="77777777" w:rsidTr="004D1EC6">
        <w:trPr>
          <w:trHeight w:val="63"/>
        </w:trPr>
        <w:tc>
          <w:tcPr>
            <w:tcW w:w="1563" w:type="dxa"/>
            <w:tcBorders>
              <w:top w:val="nil"/>
              <w:left w:val="single" w:sz="2" w:space="0" w:color="auto"/>
              <w:bottom w:val="nil"/>
              <w:right w:val="single" w:sz="2" w:space="0" w:color="auto"/>
            </w:tcBorders>
          </w:tcPr>
          <w:p w14:paraId="3CDB9FC3" w14:textId="77777777" w:rsidR="005B695A" w:rsidRPr="00F70B16" w:rsidRDefault="005B695A" w:rsidP="005B695A">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vAlign w:val="bottom"/>
          </w:tcPr>
          <w:p w14:paraId="508CCB30" w14:textId="77777777" w:rsidR="005B695A" w:rsidRPr="00F70B16" w:rsidRDefault="005B695A" w:rsidP="005B695A">
            <w:pPr>
              <w:pStyle w:val="TableText"/>
              <w:tabs>
                <w:tab w:val="left" w:pos="3306"/>
              </w:tabs>
              <w:spacing w:before="0"/>
              <w:rPr>
                <w:rFonts w:cs="Calibri"/>
                <w:b/>
                <w:bCs/>
                <w:sz w:val="4"/>
                <w:szCs w:val="4"/>
              </w:rPr>
            </w:pPr>
          </w:p>
        </w:tc>
        <w:tc>
          <w:tcPr>
            <w:tcW w:w="709" w:type="dxa"/>
            <w:tcBorders>
              <w:top w:val="nil"/>
              <w:left w:val="nil"/>
              <w:bottom w:val="nil"/>
              <w:right w:val="nil"/>
            </w:tcBorders>
            <w:vAlign w:val="bottom"/>
          </w:tcPr>
          <w:p w14:paraId="445BD7FD" w14:textId="77777777" w:rsidR="005B695A" w:rsidRPr="00F70B16" w:rsidRDefault="005B695A" w:rsidP="005B695A">
            <w:pPr>
              <w:pStyle w:val="TableText"/>
              <w:tabs>
                <w:tab w:val="left" w:pos="3306"/>
              </w:tabs>
              <w:spacing w:before="0"/>
              <w:jc w:val="center"/>
              <w:rPr>
                <w:rFonts w:cs="Calibri"/>
                <w:sz w:val="4"/>
                <w:szCs w:val="4"/>
              </w:rPr>
            </w:pPr>
          </w:p>
        </w:tc>
        <w:tc>
          <w:tcPr>
            <w:tcW w:w="992" w:type="dxa"/>
            <w:tcBorders>
              <w:top w:val="single" w:sz="2" w:space="0" w:color="auto"/>
              <w:left w:val="nil"/>
              <w:bottom w:val="nil"/>
              <w:right w:val="nil"/>
            </w:tcBorders>
            <w:vAlign w:val="bottom"/>
          </w:tcPr>
          <w:p w14:paraId="1279DFCD" w14:textId="77777777" w:rsidR="005B695A" w:rsidRPr="00F70B16" w:rsidRDefault="005B695A" w:rsidP="005B695A">
            <w:pPr>
              <w:pStyle w:val="TableText"/>
              <w:tabs>
                <w:tab w:val="left" w:pos="3306"/>
              </w:tabs>
              <w:spacing w:before="0"/>
              <w:jc w:val="right"/>
              <w:rPr>
                <w:rFonts w:cs="Calibri"/>
                <w:b/>
                <w:bCs/>
                <w:sz w:val="4"/>
                <w:szCs w:val="4"/>
              </w:rPr>
            </w:pPr>
          </w:p>
        </w:tc>
        <w:tc>
          <w:tcPr>
            <w:tcW w:w="993" w:type="dxa"/>
            <w:tcBorders>
              <w:top w:val="single" w:sz="2" w:space="0" w:color="auto"/>
              <w:left w:val="nil"/>
              <w:bottom w:val="nil"/>
              <w:right w:val="nil"/>
            </w:tcBorders>
            <w:vAlign w:val="bottom"/>
          </w:tcPr>
          <w:p w14:paraId="688B7B9C" w14:textId="77777777" w:rsidR="005B695A" w:rsidRPr="00F70B16" w:rsidRDefault="005B695A" w:rsidP="005B695A">
            <w:pPr>
              <w:pStyle w:val="TableText"/>
              <w:tabs>
                <w:tab w:val="left" w:pos="3306"/>
              </w:tabs>
              <w:spacing w:before="0"/>
              <w:jc w:val="right"/>
              <w:rPr>
                <w:rFonts w:cs="Calibri"/>
                <w:b/>
                <w:bCs/>
                <w:sz w:val="4"/>
                <w:szCs w:val="4"/>
              </w:rPr>
            </w:pPr>
          </w:p>
        </w:tc>
        <w:tc>
          <w:tcPr>
            <w:tcW w:w="992" w:type="dxa"/>
            <w:tcBorders>
              <w:top w:val="single" w:sz="2" w:space="0" w:color="auto"/>
              <w:left w:val="nil"/>
              <w:bottom w:val="nil"/>
              <w:right w:val="nil"/>
            </w:tcBorders>
            <w:vAlign w:val="bottom"/>
          </w:tcPr>
          <w:p w14:paraId="4A11FC18" w14:textId="77777777" w:rsidR="005B695A" w:rsidRPr="00F70B16" w:rsidRDefault="005B695A" w:rsidP="005B695A">
            <w:pPr>
              <w:pStyle w:val="TableText"/>
              <w:tabs>
                <w:tab w:val="left" w:pos="3306"/>
              </w:tabs>
              <w:spacing w:before="0"/>
              <w:jc w:val="right"/>
              <w:rPr>
                <w:rFonts w:cs="Calibri"/>
                <w:b/>
                <w:bCs/>
                <w:sz w:val="4"/>
                <w:szCs w:val="4"/>
              </w:rPr>
            </w:pPr>
          </w:p>
        </w:tc>
      </w:tr>
      <w:tr w:rsidR="000144FF" w:rsidRPr="00CF7E1B" w14:paraId="6B536B58" w14:textId="77777777" w:rsidTr="004D1EC6">
        <w:tc>
          <w:tcPr>
            <w:tcW w:w="1563" w:type="dxa"/>
            <w:tcBorders>
              <w:top w:val="nil"/>
              <w:left w:val="single" w:sz="2" w:space="0" w:color="auto"/>
              <w:bottom w:val="nil"/>
              <w:right w:val="single" w:sz="2" w:space="0" w:color="auto"/>
            </w:tcBorders>
          </w:tcPr>
          <w:p w14:paraId="49543ADF" w14:textId="77777777" w:rsidR="000144FF" w:rsidRPr="00F70B16" w:rsidRDefault="000144FF" w:rsidP="009E392C">
            <w:pPr>
              <w:pStyle w:val="TableReference"/>
              <w:tabs>
                <w:tab w:val="left" w:pos="3306"/>
              </w:tabs>
              <w:spacing w:before="2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3F636C0E" w14:textId="77777777" w:rsidR="000144FF" w:rsidRPr="00F70B16" w:rsidRDefault="000144FF" w:rsidP="009E392C">
            <w:pPr>
              <w:pStyle w:val="TableText"/>
              <w:tabs>
                <w:tab w:val="left" w:pos="3306"/>
              </w:tabs>
              <w:spacing w:before="180"/>
              <w:rPr>
                <w:rFonts w:cs="Calibri"/>
                <w:b/>
                <w:bCs/>
              </w:rPr>
            </w:pPr>
            <w:r w:rsidRPr="00F70B16">
              <w:rPr>
                <w:rFonts w:cs="Calibri"/>
                <w:b/>
                <w:bCs/>
              </w:rPr>
              <w:t>Cash Flows from Investing Activities</w:t>
            </w:r>
          </w:p>
        </w:tc>
        <w:tc>
          <w:tcPr>
            <w:tcW w:w="709" w:type="dxa"/>
            <w:tcBorders>
              <w:top w:val="nil"/>
              <w:left w:val="nil"/>
              <w:bottom w:val="nil"/>
              <w:right w:val="nil"/>
            </w:tcBorders>
            <w:vAlign w:val="bottom"/>
          </w:tcPr>
          <w:p w14:paraId="64353644" w14:textId="77777777" w:rsidR="000144FF" w:rsidRPr="00F70B16" w:rsidRDefault="000144FF" w:rsidP="009E392C">
            <w:pPr>
              <w:pStyle w:val="TableText"/>
              <w:tabs>
                <w:tab w:val="left" w:pos="3306"/>
              </w:tabs>
              <w:spacing w:before="120"/>
              <w:jc w:val="center"/>
              <w:rPr>
                <w:rFonts w:cs="Calibri"/>
              </w:rPr>
            </w:pPr>
          </w:p>
        </w:tc>
        <w:tc>
          <w:tcPr>
            <w:tcW w:w="992" w:type="dxa"/>
            <w:tcBorders>
              <w:top w:val="nil"/>
              <w:left w:val="nil"/>
              <w:bottom w:val="nil"/>
              <w:right w:val="nil"/>
            </w:tcBorders>
            <w:vAlign w:val="bottom"/>
          </w:tcPr>
          <w:p w14:paraId="686FBF18" w14:textId="77777777" w:rsidR="000144FF" w:rsidRPr="00F70B16" w:rsidRDefault="000144FF" w:rsidP="009E392C">
            <w:pPr>
              <w:pStyle w:val="TableText"/>
              <w:tabs>
                <w:tab w:val="left" w:pos="3306"/>
              </w:tabs>
              <w:spacing w:before="120"/>
              <w:jc w:val="right"/>
              <w:rPr>
                <w:rFonts w:cs="Calibri"/>
                <w:b/>
                <w:bCs/>
              </w:rPr>
            </w:pPr>
          </w:p>
        </w:tc>
        <w:tc>
          <w:tcPr>
            <w:tcW w:w="993" w:type="dxa"/>
            <w:tcBorders>
              <w:top w:val="nil"/>
              <w:left w:val="nil"/>
              <w:bottom w:val="nil"/>
              <w:right w:val="nil"/>
            </w:tcBorders>
            <w:vAlign w:val="bottom"/>
          </w:tcPr>
          <w:p w14:paraId="2202E73E" w14:textId="77777777" w:rsidR="000144FF" w:rsidRPr="00F70B16" w:rsidRDefault="000144FF" w:rsidP="009E392C">
            <w:pPr>
              <w:pStyle w:val="TableText"/>
              <w:tabs>
                <w:tab w:val="left" w:pos="3306"/>
              </w:tabs>
              <w:spacing w:before="120"/>
              <w:jc w:val="right"/>
              <w:rPr>
                <w:rFonts w:cs="Calibri"/>
                <w:b/>
                <w:bCs/>
              </w:rPr>
            </w:pPr>
          </w:p>
        </w:tc>
        <w:tc>
          <w:tcPr>
            <w:tcW w:w="992" w:type="dxa"/>
            <w:tcBorders>
              <w:top w:val="nil"/>
              <w:left w:val="nil"/>
              <w:bottom w:val="nil"/>
              <w:right w:val="nil"/>
            </w:tcBorders>
            <w:vAlign w:val="bottom"/>
          </w:tcPr>
          <w:p w14:paraId="646E0219" w14:textId="77777777" w:rsidR="000144FF" w:rsidRPr="00F70B16" w:rsidRDefault="000144FF" w:rsidP="009E392C">
            <w:pPr>
              <w:pStyle w:val="TableText"/>
              <w:tabs>
                <w:tab w:val="left" w:pos="3306"/>
              </w:tabs>
              <w:spacing w:before="120"/>
              <w:jc w:val="right"/>
              <w:rPr>
                <w:rFonts w:cs="Calibri"/>
                <w:b/>
                <w:bCs/>
              </w:rPr>
            </w:pPr>
          </w:p>
        </w:tc>
      </w:tr>
      <w:tr w:rsidR="000144FF" w:rsidRPr="00CF7E1B" w14:paraId="3CF3DB11" w14:textId="77777777" w:rsidTr="004D1EC6">
        <w:tc>
          <w:tcPr>
            <w:tcW w:w="1563" w:type="dxa"/>
            <w:tcBorders>
              <w:top w:val="nil"/>
              <w:left w:val="single" w:sz="2" w:space="0" w:color="auto"/>
              <w:bottom w:val="nil"/>
              <w:right w:val="single" w:sz="2" w:space="0" w:color="auto"/>
            </w:tcBorders>
          </w:tcPr>
          <w:p w14:paraId="7A4A0F3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0637BC88" w14:textId="77777777" w:rsidR="000144FF" w:rsidRPr="00F70B16" w:rsidRDefault="000144FF">
            <w:pPr>
              <w:pStyle w:val="TableText"/>
              <w:tabs>
                <w:tab w:val="left" w:pos="3306"/>
              </w:tabs>
              <w:rPr>
                <w:rFonts w:cs="Calibri"/>
                <w:b/>
                <w:bCs/>
              </w:rPr>
            </w:pPr>
            <w:bookmarkStart w:id="212" w:name="_Toc48468231"/>
            <w:bookmarkStart w:id="213" w:name="_Toc49155422"/>
            <w:bookmarkStart w:id="214" w:name="_Toc49223871"/>
            <w:r w:rsidRPr="00F70B16">
              <w:rPr>
                <w:rFonts w:cs="Calibri"/>
                <w:b/>
                <w:bCs/>
              </w:rPr>
              <w:t>Receipts</w:t>
            </w:r>
            <w:bookmarkEnd w:id="212"/>
            <w:bookmarkEnd w:id="213"/>
            <w:bookmarkEnd w:id="214"/>
          </w:p>
        </w:tc>
        <w:tc>
          <w:tcPr>
            <w:tcW w:w="709" w:type="dxa"/>
            <w:tcBorders>
              <w:top w:val="nil"/>
              <w:left w:val="nil"/>
              <w:bottom w:val="nil"/>
              <w:right w:val="nil"/>
            </w:tcBorders>
            <w:vAlign w:val="bottom"/>
          </w:tcPr>
          <w:p w14:paraId="23485C6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A0D1789"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34CA6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3EAAE3D9" w14:textId="77777777" w:rsidR="000144FF" w:rsidRPr="00F70B16" w:rsidRDefault="000144FF">
            <w:pPr>
              <w:pStyle w:val="TableText"/>
              <w:tabs>
                <w:tab w:val="left" w:pos="3306"/>
              </w:tabs>
              <w:jc w:val="right"/>
              <w:rPr>
                <w:rFonts w:cs="Calibri"/>
                <w:b/>
                <w:bCs/>
              </w:rPr>
            </w:pPr>
          </w:p>
        </w:tc>
      </w:tr>
      <w:tr w:rsidR="000144FF" w:rsidRPr="00CF7E1B" w14:paraId="3D22C091" w14:textId="77777777" w:rsidTr="004D1EC6">
        <w:tc>
          <w:tcPr>
            <w:tcW w:w="1563" w:type="dxa"/>
            <w:tcBorders>
              <w:top w:val="nil"/>
              <w:left w:val="single" w:sz="2" w:space="0" w:color="auto"/>
              <w:bottom w:val="nil"/>
              <w:right w:val="single" w:sz="2" w:space="0" w:color="auto"/>
            </w:tcBorders>
          </w:tcPr>
          <w:p w14:paraId="7227EFD8"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0129150D" w14:textId="77777777" w:rsidR="000144FF" w:rsidRPr="00F70B16" w:rsidRDefault="000144FF">
            <w:pPr>
              <w:pStyle w:val="TableText"/>
              <w:tabs>
                <w:tab w:val="left" w:pos="3306"/>
              </w:tabs>
              <w:rPr>
                <w:rFonts w:cs="Calibri"/>
                <w:b/>
                <w:bCs/>
              </w:rPr>
            </w:pPr>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Property, Plant and Equipment</w:t>
            </w:r>
          </w:p>
        </w:tc>
        <w:tc>
          <w:tcPr>
            <w:tcW w:w="709" w:type="dxa"/>
            <w:tcBorders>
              <w:top w:val="nil"/>
              <w:left w:val="nil"/>
              <w:bottom w:val="nil"/>
              <w:right w:val="nil"/>
            </w:tcBorders>
            <w:vAlign w:val="bottom"/>
          </w:tcPr>
          <w:p w14:paraId="201956A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71D6690" w14:textId="77777777" w:rsidR="000144FF" w:rsidRPr="00F70B16" w:rsidRDefault="000144FF" w:rsidP="00327366">
            <w:pPr>
              <w:pStyle w:val="TableText"/>
              <w:tabs>
                <w:tab w:val="left" w:pos="3306"/>
              </w:tabs>
              <w:ind w:right="-172"/>
              <w:jc w:val="right"/>
              <w:rPr>
                <w:rFonts w:cs="Calibri"/>
              </w:rPr>
            </w:pPr>
          </w:p>
        </w:tc>
        <w:tc>
          <w:tcPr>
            <w:tcW w:w="993" w:type="dxa"/>
            <w:tcBorders>
              <w:top w:val="nil"/>
              <w:left w:val="nil"/>
              <w:bottom w:val="nil"/>
              <w:right w:val="nil"/>
            </w:tcBorders>
            <w:vAlign w:val="bottom"/>
          </w:tcPr>
          <w:p w14:paraId="0DF45BE6"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72763D83" w14:textId="77777777" w:rsidR="000144FF" w:rsidRPr="00F70B16" w:rsidRDefault="000144FF">
            <w:pPr>
              <w:pStyle w:val="TableText"/>
              <w:tabs>
                <w:tab w:val="left" w:pos="3306"/>
              </w:tabs>
              <w:jc w:val="right"/>
              <w:rPr>
                <w:rFonts w:cs="Calibri"/>
              </w:rPr>
            </w:pPr>
          </w:p>
        </w:tc>
      </w:tr>
      <w:tr w:rsidR="000144FF" w:rsidRPr="00CF7E1B" w14:paraId="7C614DC5" w14:textId="77777777" w:rsidTr="004D1EC6">
        <w:tc>
          <w:tcPr>
            <w:tcW w:w="1563" w:type="dxa"/>
            <w:tcBorders>
              <w:top w:val="nil"/>
              <w:left w:val="single" w:sz="2" w:space="0" w:color="auto"/>
              <w:bottom w:val="nil"/>
              <w:right w:val="single" w:sz="2" w:space="0" w:color="auto"/>
            </w:tcBorders>
          </w:tcPr>
          <w:p w14:paraId="7942412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7DCB7EFD" w14:textId="77777777" w:rsidR="000144FF" w:rsidRPr="00F70B16" w:rsidRDefault="000144FF" w:rsidP="00181096">
            <w:pPr>
              <w:pStyle w:val="TableText"/>
              <w:tabs>
                <w:tab w:val="left" w:pos="3306"/>
              </w:tabs>
              <w:rPr>
                <w:rFonts w:cs="Calibri"/>
              </w:rPr>
            </w:pPr>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Investment Property</w:t>
            </w:r>
          </w:p>
        </w:tc>
        <w:tc>
          <w:tcPr>
            <w:tcW w:w="709" w:type="dxa"/>
            <w:tcBorders>
              <w:top w:val="nil"/>
              <w:left w:val="nil"/>
              <w:bottom w:val="nil"/>
              <w:right w:val="nil"/>
            </w:tcBorders>
            <w:vAlign w:val="bottom"/>
          </w:tcPr>
          <w:p w14:paraId="02D3A4BA"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C632DF1"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53E63D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2C4363B" w14:textId="77777777" w:rsidR="000144FF" w:rsidRPr="00F70B16" w:rsidRDefault="000144FF">
            <w:pPr>
              <w:pStyle w:val="TableText"/>
              <w:tabs>
                <w:tab w:val="left" w:pos="3306"/>
              </w:tabs>
              <w:jc w:val="right"/>
              <w:rPr>
                <w:rFonts w:cs="Calibri"/>
              </w:rPr>
            </w:pPr>
          </w:p>
        </w:tc>
      </w:tr>
      <w:tr w:rsidR="000144FF" w:rsidRPr="00CF7E1B" w14:paraId="21F54B93" w14:textId="77777777" w:rsidTr="004D1EC6">
        <w:tc>
          <w:tcPr>
            <w:tcW w:w="1563" w:type="dxa"/>
            <w:tcBorders>
              <w:top w:val="nil"/>
              <w:left w:val="single" w:sz="2" w:space="0" w:color="auto"/>
              <w:bottom w:val="nil"/>
              <w:right w:val="single" w:sz="2" w:space="0" w:color="auto"/>
            </w:tcBorders>
          </w:tcPr>
          <w:p w14:paraId="3BF184B0"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3B7C332C" w14:textId="77777777" w:rsidR="000144FF" w:rsidRPr="00F70B16" w:rsidRDefault="000144FF" w:rsidP="00181096">
            <w:pPr>
              <w:pStyle w:val="TableText"/>
              <w:tabs>
                <w:tab w:val="left" w:pos="3306"/>
              </w:tabs>
              <w:rPr>
                <w:rFonts w:cs="Calibri"/>
                <w:b/>
                <w:bCs/>
              </w:rPr>
            </w:pPr>
            <w:r w:rsidRPr="00F70B16">
              <w:rPr>
                <w:rFonts w:cs="Calibri"/>
              </w:rPr>
              <w:t>Proceeds from Sale/Maturity of Investments</w:t>
            </w:r>
          </w:p>
        </w:tc>
        <w:tc>
          <w:tcPr>
            <w:tcW w:w="709" w:type="dxa"/>
            <w:tcBorders>
              <w:top w:val="nil"/>
              <w:left w:val="nil"/>
              <w:bottom w:val="nil"/>
              <w:right w:val="nil"/>
            </w:tcBorders>
            <w:vAlign w:val="bottom"/>
          </w:tcPr>
          <w:p w14:paraId="26C3F3A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667313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FD92715"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8BD51BB" w14:textId="77777777" w:rsidR="000144FF" w:rsidRPr="00F70B16" w:rsidRDefault="000144FF">
            <w:pPr>
              <w:pStyle w:val="TableText"/>
              <w:tabs>
                <w:tab w:val="left" w:pos="3306"/>
              </w:tabs>
              <w:jc w:val="right"/>
              <w:rPr>
                <w:rFonts w:cs="Calibri"/>
              </w:rPr>
            </w:pPr>
          </w:p>
        </w:tc>
      </w:tr>
      <w:tr w:rsidR="000144FF" w:rsidRPr="00CF7E1B" w14:paraId="2C0C2EC5" w14:textId="77777777" w:rsidTr="004D1EC6">
        <w:tc>
          <w:tcPr>
            <w:tcW w:w="1563" w:type="dxa"/>
            <w:tcBorders>
              <w:top w:val="nil"/>
              <w:left w:val="single" w:sz="2" w:space="0" w:color="auto"/>
              <w:bottom w:val="nil"/>
              <w:right w:val="single" w:sz="2" w:space="0" w:color="auto"/>
            </w:tcBorders>
          </w:tcPr>
          <w:p w14:paraId="5A611BAB"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5A6F6415" w14:textId="77777777" w:rsidR="000144FF" w:rsidRPr="00F70B16" w:rsidRDefault="000144FF" w:rsidP="00181096">
            <w:pPr>
              <w:pStyle w:val="TableText"/>
              <w:tabs>
                <w:tab w:val="left" w:pos="3306"/>
              </w:tabs>
              <w:rPr>
                <w:rFonts w:cs="Calibri"/>
              </w:rPr>
            </w:pPr>
            <w:bookmarkStart w:id="215" w:name="_Toc48468232"/>
            <w:bookmarkStart w:id="216" w:name="_Toc49155423"/>
            <w:bookmarkStart w:id="217" w:name="_Toc49223872"/>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Investment in Joint Venture</w:t>
            </w:r>
            <w:bookmarkEnd w:id="215"/>
            <w:bookmarkEnd w:id="216"/>
            <w:bookmarkEnd w:id="217"/>
          </w:p>
        </w:tc>
        <w:tc>
          <w:tcPr>
            <w:tcW w:w="709" w:type="dxa"/>
            <w:tcBorders>
              <w:top w:val="nil"/>
              <w:left w:val="nil"/>
              <w:bottom w:val="nil"/>
              <w:right w:val="nil"/>
            </w:tcBorders>
            <w:vAlign w:val="bottom"/>
          </w:tcPr>
          <w:p w14:paraId="7E5F683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D2E3072"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00541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44BD44FB" w14:textId="77777777" w:rsidR="000144FF" w:rsidRPr="00F70B16" w:rsidRDefault="000144FF">
            <w:pPr>
              <w:pStyle w:val="TableText"/>
              <w:tabs>
                <w:tab w:val="left" w:pos="3306"/>
              </w:tabs>
              <w:jc w:val="right"/>
              <w:rPr>
                <w:rFonts w:cs="Calibri"/>
              </w:rPr>
            </w:pPr>
          </w:p>
        </w:tc>
      </w:tr>
      <w:tr w:rsidR="000144FF" w:rsidRPr="00CF7E1B" w14:paraId="5A465520" w14:textId="77777777" w:rsidTr="004D1EC6">
        <w:tc>
          <w:tcPr>
            <w:tcW w:w="1563" w:type="dxa"/>
            <w:tcBorders>
              <w:top w:val="nil"/>
              <w:left w:val="single" w:sz="2" w:space="0" w:color="auto"/>
              <w:bottom w:val="nil"/>
              <w:right w:val="single" w:sz="2" w:space="0" w:color="auto"/>
            </w:tcBorders>
          </w:tcPr>
          <w:p w14:paraId="6A6B1062" w14:textId="77777777" w:rsidR="000144FF" w:rsidRPr="00F70B16" w:rsidRDefault="00CF2697">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f)</w:t>
            </w:r>
          </w:p>
        </w:tc>
        <w:tc>
          <w:tcPr>
            <w:tcW w:w="5244" w:type="dxa"/>
            <w:tcBorders>
              <w:top w:val="nil"/>
              <w:left w:val="single" w:sz="2" w:space="0" w:color="auto"/>
              <w:bottom w:val="nil"/>
              <w:right w:val="nil"/>
            </w:tcBorders>
            <w:vAlign w:val="bottom"/>
          </w:tcPr>
          <w:p w14:paraId="2860711F" w14:textId="77777777" w:rsidR="000144FF" w:rsidRPr="00F70B16" w:rsidRDefault="000144FF">
            <w:pPr>
              <w:pStyle w:val="TableText"/>
              <w:tabs>
                <w:tab w:val="left" w:pos="3306"/>
              </w:tabs>
              <w:rPr>
                <w:rFonts w:cs="Calibri"/>
              </w:rPr>
            </w:pPr>
            <w:r w:rsidRPr="00F70B16">
              <w:rPr>
                <w:rFonts w:cs="Calibri"/>
              </w:rPr>
              <w:t>Loan Receivable Repayment Received</w:t>
            </w:r>
          </w:p>
        </w:tc>
        <w:tc>
          <w:tcPr>
            <w:tcW w:w="709" w:type="dxa"/>
            <w:tcBorders>
              <w:top w:val="nil"/>
              <w:left w:val="nil"/>
              <w:bottom w:val="nil"/>
              <w:right w:val="nil"/>
            </w:tcBorders>
            <w:vAlign w:val="bottom"/>
          </w:tcPr>
          <w:p w14:paraId="16E06CDC" w14:textId="77777777" w:rsidR="000144FF" w:rsidRPr="00F70B16" w:rsidRDefault="000144FF">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3ABCE90C" w14:textId="77777777" w:rsidR="000144FF" w:rsidRPr="00F70B16" w:rsidRDefault="000144FF">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7C4542E1" w14:textId="77777777" w:rsidR="000144FF" w:rsidRPr="00F70B16" w:rsidRDefault="000144FF">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0823A38F" w14:textId="77777777" w:rsidR="000144FF" w:rsidRPr="00F70B16" w:rsidRDefault="000144FF">
            <w:pPr>
              <w:pStyle w:val="TableText"/>
              <w:tabs>
                <w:tab w:val="left" w:pos="3306"/>
              </w:tabs>
              <w:jc w:val="right"/>
              <w:rPr>
                <w:rFonts w:cs="Calibri"/>
              </w:rPr>
            </w:pPr>
          </w:p>
        </w:tc>
      </w:tr>
      <w:tr w:rsidR="00616F81" w:rsidRPr="00CF7E1B" w14:paraId="2A16A292" w14:textId="77777777" w:rsidTr="004D1EC6">
        <w:tc>
          <w:tcPr>
            <w:tcW w:w="1563" w:type="dxa"/>
            <w:tcBorders>
              <w:top w:val="nil"/>
              <w:left w:val="single" w:sz="2" w:space="0" w:color="auto"/>
              <w:bottom w:val="nil"/>
              <w:right w:val="single" w:sz="2" w:space="0" w:color="auto"/>
            </w:tcBorders>
          </w:tcPr>
          <w:p w14:paraId="573CA4F5" w14:textId="77777777" w:rsidR="00616F81" w:rsidRPr="00F70B16" w:rsidRDefault="00616F81" w:rsidP="00616F81">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C914044" w14:textId="77777777" w:rsidR="00616F81" w:rsidRPr="00F70B16" w:rsidRDefault="00616F81" w:rsidP="009E392C">
            <w:pPr>
              <w:pStyle w:val="TableText"/>
              <w:tabs>
                <w:tab w:val="left" w:pos="3306"/>
              </w:tabs>
              <w:rPr>
                <w:rFonts w:cs="Calibri"/>
                <w:b/>
                <w:bCs/>
              </w:rPr>
            </w:pPr>
            <w:bookmarkStart w:id="218" w:name="_Toc48468233"/>
            <w:bookmarkStart w:id="219" w:name="_Toc49155424"/>
            <w:bookmarkStart w:id="220" w:name="_Toc49223873"/>
            <w:r w:rsidRPr="00F70B16">
              <w:rPr>
                <w:rFonts w:cs="Calibri"/>
                <w:b/>
                <w:bCs/>
              </w:rPr>
              <w:t>Total Receipts from Investing Activities</w:t>
            </w:r>
            <w:bookmarkEnd w:id="218"/>
            <w:bookmarkEnd w:id="219"/>
            <w:bookmarkEnd w:id="220"/>
          </w:p>
        </w:tc>
        <w:tc>
          <w:tcPr>
            <w:tcW w:w="709" w:type="dxa"/>
            <w:tcBorders>
              <w:top w:val="nil"/>
              <w:left w:val="nil"/>
              <w:bottom w:val="nil"/>
              <w:right w:val="nil"/>
            </w:tcBorders>
            <w:vAlign w:val="bottom"/>
          </w:tcPr>
          <w:p w14:paraId="7B5B54CE" w14:textId="77777777"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nil"/>
              <w:right w:val="nil"/>
            </w:tcBorders>
            <w:vAlign w:val="bottom"/>
          </w:tcPr>
          <w:p w14:paraId="79D15672" w14:textId="77777777" w:rsidR="00616F81" w:rsidRPr="00F70B16" w:rsidRDefault="00616F81" w:rsidP="00616F81">
            <w:pPr>
              <w:pStyle w:val="TableText"/>
              <w:tabs>
                <w:tab w:val="left" w:pos="3306"/>
              </w:tabs>
              <w:jc w:val="right"/>
              <w:rPr>
                <w:rFonts w:cs="Calibri"/>
                <w:b/>
                <w:bCs/>
              </w:rPr>
            </w:pPr>
          </w:p>
        </w:tc>
        <w:tc>
          <w:tcPr>
            <w:tcW w:w="993" w:type="dxa"/>
            <w:tcBorders>
              <w:top w:val="single" w:sz="2" w:space="0" w:color="auto"/>
              <w:left w:val="nil"/>
              <w:bottom w:val="nil"/>
              <w:right w:val="nil"/>
            </w:tcBorders>
            <w:vAlign w:val="bottom"/>
          </w:tcPr>
          <w:p w14:paraId="6EEE5E1B" w14:textId="77777777" w:rsidR="00616F81" w:rsidRPr="00F70B16" w:rsidRDefault="00616F81" w:rsidP="00616F81">
            <w:pPr>
              <w:pStyle w:val="TableText"/>
              <w:tabs>
                <w:tab w:val="left" w:pos="3306"/>
              </w:tabs>
              <w:jc w:val="right"/>
              <w:rPr>
                <w:rFonts w:cs="Calibri"/>
                <w:b/>
                <w:bCs/>
              </w:rPr>
            </w:pPr>
          </w:p>
        </w:tc>
        <w:tc>
          <w:tcPr>
            <w:tcW w:w="992" w:type="dxa"/>
            <w:tcBorders>
              <w:top w:val="single" w:sz="2" w:space="0" w:color="auto"/>
              <w:left w:val="nil"/>
              <w:bottom w:val="nil"/>
              <w:right w:val="nil"/>
            </w:tcBorders>
            <w:vAlign w:val="bottom"/>
          </w:tcPr>
          <w:p w14:paraId="499D140A" w14:textId="77777777" w:rsidR="00616F81" w:rsidRPr="00F70B16" w:rsidRDefault="00616F81" w:rsidP="00616F81">
            <w:pPr>
              <w:pStyle w:val="TableText"/>
              <w:tabs>
                <w:tab w:val="left" w:pos="3306"/>
              </w:tabs>
              <w:jc w:val="right"/>
              <w:rPr>
                <w:rFonts w:cs="Calibri"/>
                <w:b/>
                <w:bCs/>
              </w:rPr>
            </w:pPr>
          </w:p>
        </w:tc>
      </w:tr>
      <w:tr w:rsidR="00616F81" w:rsidRPr="00AA468F" w14:paraId="560D5E2D" w14:textId="77777777" w:rsidTr="004D1EC6">
        <w:trPr>
          <w:trHeight w:val="114"/>
        </w:trPr>
        <w:tc>
          <w:tcPr>
            <w:tcW w:w="1563" w:type="dxa"/>
            <w:tcBorders>
              <w:top w:val="nil"/>
              <w:left w:val="single" w:sz="2" w:space="0" w:color="auto"/>
              <w:bottom w:val="nil"/>
              <w:right w:val="single" w:sz="2" w:space="0" w:color="auto"/>
            </w:tcBorders>
          </w:tcPr>
          <w:p w14:paraId="416773D6" w14:textId="77777777" w:rsidR="00616F81" w:rsidRPr="00F70B16" w:rsidRDefault="00616F81" w:rsidP="00616F81">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tcPr>
          <w:p w14:paraId="38D3A672" w14:textId="77777777" w:rsidR="00616F81" w:rsidRPr="00F70B16" w:rsidRDefault="00616F81" w:rsidP="00616F81">
            <w:pPr>
              <w:pStyle w:val="TableText"/>
              <w:tabs>
                <w:tab w:val="left" w:pos="3306"/>
              </w:tabs>
              <w:spacing w:before="0"/>
              <w:rPr>
                <w:rFonts w:cs="Calibri"/>
                <w:sz w:val="4"/>
                <w:szCs w:val="4"/>
              </w:rPr>
            </w:pPr>
          </w:p>
        </w:tc>
        <w:tc>
          <w:tcPr>
            <w:tcW w:w="709" w:type="dxa"/>
            <w:tcBorders>
              <w:top w:val="nil"/>
              <w:left w:val="nil"/>
              <w:bottom w:val="nil"/>
              <w:right w:val="nil"/>
            </w:tcBorders>
          </w:tcPr>
          <w:p w14:paraId="2AA524C1" w14:textId="77777777" w:rsidR="00616F81" w:rsidRPr="00F70B16" w:rsidRDefault="00616F81" w:rsidP="00616F81">
            <w:pPr>
              <w:pStyle w:val="TableText"/>
              <w:tabs>
                <w:tab w:val="left" w:pos="3306"/>
              </w:tabs>
              <w:spacing w:before="0"/>
              <w:rPr>
                <w:rFonts w:cs="Calibri"/>
                <w:sz w:val="4"/>
                <w:szCs w:val="4"/>
              </w:rPr>
            </w:pPr>
          </w:p>
        </w:tc>
        <w:tc>
          <w:tcPr>
            <w:tcW w:w="992" w:type="dxa"/>
            <w:tcBorders>
              <w:top w:val="nil"/>
              <w:left w:val="nil"/>
              <w:bottom w:val="nil"/>
              <w:right w:val="nil"/>
            </w:tcBorders>
          </w:tcPr>
          <w:p w14:paraId="1C7FC294" w14:textId="77777777" w:rsidR="00616F81" w:rsidRPr="00F70B16" w:rsidRDefault="00616F81" w:rsidP="00616F81">
            <w:pPr>
              <w:pStyle w:val="TableText"/>
              <w:tabs>
                <w:tab w:val="left" w:pos="3306"/>
              </w:tabs>
              <w:spacing w:before="0"/>
              <w:rPr>
                <w:rFonts w:cs="Calibri"/>
                <w:b/>
                <w:bCs/>
                <w:sz w:val="4"/>
                <w:szCs w:val="4"/>
              </w:rPr>
            </w:pPr>
          </w:p>
        </w:tc>
        <w:tc>
          <w:tcPr>
            <w:tcW w:w="993" w:type="dxa"/>
            <w:tcBorders>
              <w:top w:val="nil"/>
              <w:left w:val="nil"/>
              <w:bottom w:val="nil"/>
              <w:right w:val="nil"/>
            </w:tcBorders>
          </w:tcPr>
          <w:p w14:paraId="6C585FA9" w14:textId="77777777" w:rsidR="00616F81" w:rsidRPr="00F70B16" w:rsidRDefault="00616F81" w:rsidP="00616F81">
            <w:pPr>
              <w:pStyle w:val="TableText"/>
              <w:tabs>
                <w:tab w:val="left" w:pos="3306"/>
              </w:tabs>
              <w:spacing w:before="0"/>
              <w:rPr>
                <w:rFonts w:cs="Calibri"/>
                <w:b/>
                <w:bCs/>
                <w:sz w:val="4"/>
                <w:szCs w:val="4"/>
              </w:rPr>
            </w:pPr>
          </w:p>
        </w:tc>
        <w:tc>
          <w:tcPr>
            <w:tcW w:w="992" w:type="dxa"/>
            <w:tcBorders>
              <w:top w:val="nil"/>
              <w:left w:val="nil"/>
              <w:bottom w:val="nil"/>
              <w:right w:val="nil"/>
            </w:tcBorders>
          </w:tcPr>
          <w:p w14:paraId="155AC391" w14:textId="77777777" w:rsidR="00616F81" w:rsidRPr="00F70B16" w:rsidRDefault="00616F81" w:rsidP="00616F81">
            <w:pPr>
              <w:pStyle w:val="TableText"/>
              <w:tabs>
                <w:tab w:val="left" w:pos="3306"/>
              </w:tabs>
              <w:spacing w:before="0"/>
              <w:rPr>
                <w:rFonts w:cs="Calibri"/>
                <w:b/>
                <w:bCs/>
                <w:sz w:val="4"/>
                <w:szCs w:val="4"/>
              </w:rPr>
            </w:pPr>
          </w:p>
        </w:tc>
      </w:tr>
      <w:tr w:rsidR="00616F81" w:rsidRPr="00CF7E1B" w14:paraId="4C5C97A0" w14:textId="77777777" w:rsidTr="004D1EC6">
        <w:trPr>
          <w:trHeight w:val="204"/>
        </w:trPr>
        <w:tc>
          <w:tcPr>
            <w:tcW w:w="1563" w:type="dxa"/>
            <w:tcBorders>
              <w:top w:val="nil"/>
              <w:left w:val="single" w:sz="2" w:space="0" w:color="auto"/>
              <w:bottom w:val="nil"/>
              <w:right w:val="single" w:sz="2" w:space="0" w:color="auto"/>
            </w:tcBorders>
          </w:tcPr>
          <w:p w14:paraId="59E2CFA5" w14:textId="77777777" w:rsidR="00616F81" w:rsidRPr="00F70B16" w:rsidRDefault="00616F81" w:rsidP="00AA468F">
            <w:pPr>
              <w:pStyle w:val="TableReference"/>
              <w:tabs>
                <w:tab w:val="left" w:pos="3306"/>
              </w:tabs>
              <w:rPr>
                <w:rFonts w:cs="Calibri"/>
                <w:color w:val="7030A0"/>
                <w:sz w:val="14"/>
              </w:rPr>
            </w:pPr>
          </w:p>
        </w:tc>
        <w:tc>
          <w:tcPr>
            <w:tcW w:w="5244" w:type="dxa"/>
            <w:tcBorders>
              <w:top w:val="nil"/>
              <w:left w:val="single" w:sz="2" w:space="0" w:color="auto"/>
              <w:bottom w:val="nil"/>
              <w:right w:val="nil"/>
            </w:tcBorders>
            <w:vAlign w:val="bottom"/>
          </w:tcPr>
          <w:p w14:paraId="6D44CAF9" w14:textId="77777777" w:rsidR="00616F81" w:rsidRPr="00F70B16" w:rsidRDefault="00616F81" w:rsidP="009E392C">
            <w:pPr>
              <w:pStyle w:val="TableText"/>
              <w:tabs>
                <w:tab w:val="left" w:pos="3306"/>
              </w:tabs>
              <w:spacing w:before="60"/>
              <w:rPr>
                <w:rFonts w:cs="Calibri"/>
                <w:b/>
                <w:bCs/>
              </w:rPr>
            </w:pPr>
            <w:bookmarkStart w:id="221" w:name="_Toc48468234"/>
            <w:bookmarkStart w:id="222" w:name="_Toc49155425"/>
            <w:bookmarkStart w:id="223" w:name="_Toc49223874"/>
            <w:r w:rsidRPr="00F70B16">
              <w:rPr>
                <w:rFonts w:cs="Calibri"/>
                <w:b/>
                <w:bCs/>
              </w:rPr>
              <w:t>Payments</w:t>
            </w:r>
            <w:bookmarkEnd w:id="221"/>
            <w:bookmarkEnd w:id="222"/>
            <w:bookmarkEnd w:id="223"/>
          </w:p>
        </w:tc>
        <w:tc>
          <w:tcPr>
            <w:tcW w:w="709" w:type="dxa"/>
            <w:tcBorders>
              <w:top w:val="nil"/>
              <w:left w:val="nil"/>
              <w:bottom w:val="nil"/>
              <w:right w:val="nil"/>
            </w:tcBorders>
            <w:vAlign w:val="bottom"/>
          </w:tcPr>
          <w:p w14:paraId="032BB117" w14:textId="77777777" w:rsidR="00616F81" w:rsidRPr="00F70B16" w:rsidRDefault="00616F81" w:rsidP="00AA468F">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3E3571EF" w14:textId="77777777" w:rsidR="00616F81" w:rsidRPr="00F70B16" w:rsidRDefault="00616F81" w:rsidP="00AA468F">
            <w:pPr>
              <w:pStyle w:val="TableText"/>
              <w:tabs>
                <w:tab w:val="left" w:pos="3306"/>
              </w:tabs>
              <w:spacing w:before="0"/>
              <w:jc w:val="right"/>
              <w:rPr>
                <w:rFonts w:cs="Calibri"/>
                <w:b/>
                <w:bCs/>
              </w:rPr>
            </w:pPr>
          </w:p>
        </w:tc>
        <w:tc>
          <w:tcPr>
            <w:tcW w:w="993" w:type="dxa"/>
            <w:tcBorders>
              <w:top w:val="nil"/>
              <w:left w:val="nil"/>
              <w:bottom w:val="nil"/>
              <w:right w:val="nil"/>
            </w:tcBorders>
            <w:vAlign w:val="bottom"/>
          </w:tcPr>
          <w:p w14:paraId="2360A89B" w14:textId="77777777" w:rsidR="00616F81" w:rsidRPr="00F70B16" w:rsidRDefault="00616F81" w:rsidP="00AA468F">
            <w:pPr>
              <w:pStyle w:val="TableText"/>
              <w:tabs>
                <w:tab w:val="left" w:pos="3306"/>
              </w:tabs>
              <w:spacing w:before="0"/>
              <w:jc w:val="right"/>
              <w:rPr>
                <w:rFonts w:cs="Calibri"/>
                <w:b/>
                <w:bCs/>
              </w:rPr>
            </w:pPr>
          </w:p>
        </w:tc>
        <w:tc>
          <w:tcPr>
            <w:tcW w:w="992" w:type="dxa"/>
            <w:tcBorders>
              <w:top w:val="nil"/>
              <w:left w:val="nil"/>
              <w:bottom w:val="nil"/>
              <w:right w:val="nil"/>
            </w:tcBorders>
            <w:vAlign w:val="bottom"/>
          </w:tcPr>
          <w:p w14:paraId="4E31176D" w14:textId="77777777" w:rsidR="00616F81" w:rsidRPr="00F70B16" w:rsidRDefault="00616F81" w:rsidP="00AA468F">
            <w:pPr>
              <w:pStyle w:val="TableText"/>
              <w:tabs>
                <w:tab w:val="left" w:pos="3306"/>
              </w:tabs>
              <w:spacing w:before="0"/>
              <w:jc w:val="right"/>
              <w:rPr>
                <w:rFonts w:cs="Calibri"/>
                <w:b/>
                <w:bCs/>
              </w:rPr>
            </w:pPr>
          </w:p>
        </w:tc>
      </w:tr>
      <w:tr w:rsidR="00616F81" w:rsidRPr="00CF7E1B" w14:paraId="6F06FB0F" w14:textId="77777777" w:rsidTr="004D1EC6">
        <w:tc>
          <w:tcPr>
            <w:tcW w:w="1563" w:type="dxa"/>
            <w:tcBorders>
              <w:top w:val="nil"/>
              <w:left w:val="single" w:sz="2" w:space="0" w:color="auto"/>
              <w:bottom w:val="nil"/>
              <w:right w:val="single" w:sz="2" w:space="0" w:color="auto"/>
            </w:tcBorders>
          </w:tcPr>
          <w:p w14:paraId="1731A59A" w14:textId="6E7D846D" w:rsidR="00616F81" w:rsidRPr="00F70B16" w:rsidRDefault="00616F81" w:rsidP="00616F81">
            <w:pPr>
              <w:pStyle w:val="TableReference"/>
              <w:tabs>
                <w:tab w:val="left" w:pos="3306"/>
              </w:tabs>
              <w:spacing w:before="60"/>
              <w:rPr>
                <w:rFonts w:cs="Calibri"/>
                <w:color w:val="7030A0"/>
                <w:sz w:val="14"/>
              </w:rPr>
            </w:pPr>
            <w:bookmarkStart w:id="224" w:name="OLE_LINK11"/>
            <w:r w:rsidRPr="00F70B16">
              <w:rPr>
                <w:rFonts w:cs="Calibri"/>
                <w:color w:val="7030A0"/>
                <w:sz w:val="14"/>
              </w:rPr>
              <w:t>AASB 107.16(a)</w:t>
            </w:r>
            <w:bookmarkEnd w:id="224"/>
          </w:p>
        </w:tc>
        <w:tc>
          <w:tcPr>
            <w:tcW w:w="5244" w:type="dxa"/>
            <w:tcBorders>
              <w:top w:val="nil"/>
              <w:left w:val="single" w:sz="2" w:space="0" w:color="auto"/>
              <w:bottom w:val="nil"/>
              <w:right w:val="nil"/>
            </w:tcBorders>
            <w:vAlign w:val="bottom"/>
          </w:tcPr>
          <w:p w14:paraId="66AABB91" w14:textId="77777777" w:rsidR="00616F81" w:rsidRPr="00F70B16" w:rsidRDefault="00616F81" w:rsidP="00616F81">
            <w:pPr>
              <w:pStyle w:val="TableText"/>
              <w:tabs>
                <w:tab w:val="left" w:pos="3306"/>
              </w:tabs>
              <w:rPr>
                <w:rFonts w:cs="Calibri"/>
                <w:b/>
                <w:bCs/>
              </w:rPr>
            </w:pPr>
            <w:r w:rsidRPr="00F70B16">
              <w:rPr>
                <w:rFonts w:cs="Calibri"/>
              </w:rPr>
              <w:t>Purchase of Property, Plant and Equipment</w:t>
            </w:r>
          </w:p>
        </w:tc>
        <w:tc>
          <w:tcPr>
            <w:tcW w:w="709" w:type="dxa"/>
            <w:tcBorders>
              <w:top w:val="nil"/>
              <w:left w:val="nil"/>
              <w:bottom w:val="nil"/>
              <w:right w:val="nil"/>
            </w:tcBorders>
            <w:vAlign w:val="bottom"/>
          </w:tcPr>
          <w:p w14:paraId="3EEA937A"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48287514"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53205E3A"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1BCBA85F" w14:textId="77777777" w:rsidR="00616F81" w:rsidRPr="00F70B16" w:rsidRDefault="00616F81" w:rsidP="00616F81">
            <w:pPr>
              <w:pStyle w:val="TableText"/>
              <w:tabs>
                <w:tab w:val="left" w:pos="3306"/>
              </w:tabs>
              <w:jc w:val="right"/>
              <w:rPr>
                <w:rFonts w:cs="Calibri"/>
              </w:rPr>
            </w:pPr>
          </w:p>
        </w:tc>
      </w:tr>
      <w:tr w:rsidR="00126B18" w:rsidRPr="00CF7E1B" w14:paraId="2696E430" w14:textId="77777777" w:rsidTr="004D1EC6">
        <w:tc>
          <w:tcPr>
            <w:tcW w:w="1563" w:type="dxa"/>
            <w:tcBorders>
              <w:top w:val="nil"/>
              <w:left w:val="single" w:sz="2" w:space="0" w:color="auto"/>
              <w:bottom w:val="nil"/>
              <w:right w:val="single" w:sz="2" w:space="0" w:color="auto"/>
            </w:tcBorders>
          </w:tcPr>
          <w:p w14:paraId="023D8AA6" w14:textId="7815D51E" w:rsidR="00126B18" w:rsidRPr="00126B18" w:rsidRDefault="00126B18" w:rsidP="00126B18">
            <w:pPr>
              <w:pStyle w:val="TableReference"/>
              <w:tabs>
                <w:tab w:val="left" w:pos="3306"/>
              </w:tabs>
              <w:spacing w:before="60"/>
              <w:rPr>
                <w:rFonts w:cs="Calibri"/>
                <w:color w:val="FF0000"/>
                <w:sz w:val="14"/>
              </w:rPr>
            </w:pPr>
            <w:r w:rsidRPr="00126B18">
              <w:rPr>
                <w:rFonts w:cs="Calibri"/>
                <w:color w:val="FF0000"/>
                <w:sz w:val="14"/>
              </w:rPr>
              <w:t>AASB 107.16(a)</w:t>
            </w:r>
          </w:p>
        </w:tc>
        <w:tc>
          <w:tcPr>
            <w:tcW w:w="5244" w:type="dxa"/>
            <w:tcBorders>
              <w:top w:val="nil"/>
              <w:left w:val="single" w:sz="2" w:space="0" w:color="auto"/>
              <w:bottom w:val="nil"/>
              <w:right w:val="nil"/>
            </w:tcBorders>
            <w:vAlign w:val="bottom"/>
          </w:tcPr>
          <w:p w14:paraId="0DFCBFF9" w14:textId="4B98DAA8" w:rsidR="00126B18" w:rsidRPr="00F70B16" w:rsidRDefault="00126B18" w:rsidP="00126B18">
            <w:pPr>
              <w:pStyle w:val="TableText"/>
              <w:tabs>
                <w:tab w:val="left" w:pos="3306"/>
              </w:tabs>
              <w:rPr>
                <w:rFonts w:cs="Calibri"/>
              </w:rPr>
            </w:pPr>
            <w:r w:rsidRPr="00252B2F">
              <w:rPr>
                <w:rFonts w:cs="Calibri"/>
                <w:color w:val="FF0000"/>
              </w:rPr>
              <w:t>Purchase of Capital Works</w:t>
            </w:r>
          </w:p>
        </w:tc>
        <w:tc>
          <w:tcPr>
            <w:tcW w:w="709" w:type="dxa"/>
            <w:tcBorders>
              <w:top w:val="nil"/>
              <w:left w:val="nil"/>
              <w:bottom w:val="nil"/>
              <w:right w:val="nil"/>
            </w:tcBorders>
            <w:vAlign w:val="bottom"/>
          </w:tcPr>
          <w:p w14:paraId="345D79BE"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114470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01F61C62"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9AB9599" w14:textId="77777777" w:rsidR="00126B18" w:rsidRPr="00F70B16" w:rsidRDefault="00126B18" w:rsidP="00126B18">
            <w:pPr>
              <w:pStyle w:val="TableText"/>
              <w:tabs>
                <w:tab w:val="left" w:pos="3306"/>
              </w:tabs>
              <w:jc w:val="right"/>
              <w:rPr>
                <w:rFonts w:cs="Calibri"/>
              </w:rPr>
            </w:pPr>
          </w:p>
        </w:tc>
      </w:tr>
      <w:tr w:rsidR="00126B18" w:rsidRPr="00CF7E1B" w14:paraId="6249B674" w14:textId="77777777" w:rsidTr="004D1EC6">
        <w:tc>
          <w:tcPr>
            <w:tcW w:w="1563" w:type="dxa"/>
            <w:tcBorders>
              <w:top w:val="nil"/>
              <w:left w:val="single" w:sz="2" w:space="0" w:color="auto"/>
              <w:bottom w:val="nil"/>
              <w:right w:val="single" w:sz="2" w:space="0" w:color="auto"/>
            </w:tcBorders>
          </w:tcPr>
          <w:p w14:paraId="795FD02A" w14:textId="789DE0B2" w:rsidR="00126B18" w:rsidRPr="00126B18" w:rsidRDefault="00126B18" w:rsidP="00126B18">
            <w:pPr>
              <w:pStyle w:val="TableReference"/>
              <w:tabs>
                <w:tab w:val="left" w:pos="3306"/>
              </w:tabs>
              <w:spacing w:before="60"/>
              <w:rPr>
                <w:rFonts w:cs="Calibri"/>
                <w:color w:val="FF0000"/>
                <w:sz w:val="14"/>
              </w:rPr>
            </w:pPr>
            <w:r w:rsidRPr="00126B18">
              <w:rPr>
                <w:rFonts w:cs="Calibri"/>
                <w:color w:val="FF0000"/>
                <w:sz w:val="14"/>
              </w:rPr>
              <w:t>AASB 107.16(a)</w:t>
            </w:r>
          </w:p>
        </w:tc>
        <w:tc>
          <w:tcPr>
            <w:tcW w:w="5244" w:type="dxa"/>
            <w:tcBorders>
              <w:top w:val="nil"/>
              <w:left w:val="single" w:sz="2" w:space="0" w:color="auto"/>
              <w:bottom w:val="nil"/>
              <w:right w:val="nil"/>
            </w:tcBorders>
            <w:vAlign w:val="bottom"/>
          </w:tcPr>
          <w:p w14:paraId="6BC1E08E" w14:textId="431AC906" w:rsidR="00126B18" w:rsidRPr="00F70B16" w:rsidRDefault="00126B18" w:rsidP="00126B18">
            <w:pPr>
              <w:pStyle w:val="TableText"/>
              <w:tabs>
                <w:tab w:val="left" w:pos="3306"/>
              </w:tabs>
              <w:rPr>
                <w:rFonts w:cs="Calibri"/>
              </w:rPr>
            </w:pPr>
            <w:r w:rsidRPr="001E1601">
              <w:rPr>
                <w:rFonts w:cs="Calibri"/>
                <w:color w:val="FF0000"/>
              </w:rPr>
              <w:t>Purchase of Intangibles</w:t>
            </w:r>
          </w:p>
        </w:tc>
        <w:tc>
          <w:tcPr>
            <w:tcW w:w="709" w:type="dxa"/>
            <w:tcBorders>
              <w:top w:val="nil"/>
              <w:left w:val="nil"/>
              <w:bottom w:val="nil"/>
              <w:right w:val="nil"/>
            </w:tcBorders>
            <w:vAlign w:val="bottom"/>
          </w:tcPr>
          <w:p w14:paraId="07D086D3"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65D0FB08"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D3B4C75"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6F0E339" w14:textId="77777777" w:rsidR="00126B18" w:rsidRPr="00F70B16" w:rsidRDefault="00126B18" w:rsidP="00126B18">
            <w:pPr>
              <w:pStyle w:val="TableText"/>
              <w:tabs>
                <w:tab w:val="left" w:pos="3306"/>
              </w:tabs>
              <w:jc w:val="right"/>
              <w:rPr>
                <w:rFonts w:cs="Calibri"/>
              </w:rPr>
            </w:pPr>
          </w:p>
        </w:tc>
      </w:tr>
      <w:tr w:rsidR="00126B18" w:rsidRPr="00CF7E1B" w14:paraId="74136448" w14:textId="77777777" w:rsidTr="004D1EC6">
        <w:tc>
          <w:tcPr>
            <w:tcW w:w="1563" w:type="dxa"/>
            <w:tcBorders>
              <w:top w:val="nil"/>
              <w:left w:val="single" w:sz="2" w:space="0" w:color="auto"/>
              <w:bottom w:val="nil"/>
              <w:right w:val="single" w:sz="2" w:space="0" w:color="auto"/>
            </w:tcBorders>
          </w:tcPr>
          <w:p w14:paraId="79DA5147" w14:textId="77777777" w:rsidR="00126B18" w:rsidRPr="00F70B16" w:rsidRDefault="00126B18" w:rsidP="00126B18">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76D011C" w14:textId="77777777" w:rsidR="00126B18" w:rsidRPr="00F70B16" w:rsidRDefault="00126B18" w:rsidP="00126B18">
            <w:pPr>
              <w:pStyle w:val="TableText"/>
              <w:tabs>
                <w:tab w:val="left" w:pos="3306"/>
              </w:tabs>
              <w:rPr>
                <w:rFonts w:cs="Calibri"/>
              </w:rPr>
            </w:pPr>
            <w:r w:rsidRPr="00F70B16">
              <w:rPr>
                <w:rFonts w:cs="Calibri"/>
              </w:rPr>
              <w:t>Purchase of Investment Property</w:t>
            </w:r>
          </w:p>
        </w:tc>
        <w:tc>
          <w:tcPr>
            <w:tcW w:w="709" w:type="dxa"/>
            <w:tcBorders>
              <w:top w:val="nil"/>
              <w:left w:val="nil"/>
              <w:bottom w:val="nil"/>
              <w:right w:val="nil"/>
            </w:tcBorders>
            <w:vAlign w:val="bottom"/>
          </w:tcPr>
          <w:p w14:paraId="3BD073CD"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46F75723"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9D6C77D"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FAFBDDB" w14:textId="77777777" w:rsidR="00126B18" w:rsidRPr="00F70B16" w:rsidRDefault="00126B18" w:rsidP="00126B18">
            <w:pPr>
              <w:pStyle w:val="TableText"/>
              <w:tabs>
                <w:tab w:val="left" w:pos="3306"/>
              </w:tabs>
              <w:jc w:val="right"/>
              <w:rPr>
                <w:rFonts w:cs="Calibri"/>
              </w:rPr>
            </w:pPr>
          </w:p>
        </w:tc>
      </w:tr>
      <w:tr w:rsidR="00126B18" w:rsidRPr="00CF7E1B" w14:paraId="19594D49" w14:textId="77777777" w:rsidTr="004D1EC6">
        <w:tc>
          <w:tcPr>
            <w:tcW w:w="1563" w:type="dxa"/>
            <w:tcBorders>
              <w:top w:val="nil"/>
              <w:left w:val="single" w:sz="2" w:space="0" w:color="auto"/>
              <w:bottom w:val="nil"/>
              <w:right w:val="single" w:sz="2" w:space="0" w:color="auto"/>
            </w:tcBorders>
          </w:tcPr>
          <w:p w14:paraId="26FB0350" w14:textId="07C8DACB"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w:t>
            </w:r>
            <w:r>
              <w:rPr>
                <w:rFonts w:cs="Calibri"/>
                <w:color w:val="7030A0"/>
                <w:sz w:val="14"/>
              </w:rPr>
              <w:t>c</w:t>
            </w:r>
            <w:r w:rsidRPr="00F70B16">
              <w:rPr>
                <w:rFonts w:cs="Calibri"/>
                <w:color w:val="7030A0"/>
                <w:sz w:val="14"/>
              </w:rPr>
              <w:t>)</w:t>
            </w:r>
          </w:p>
        </w:tc>
        <w:tc>
          <w:tcPr>
            <w:tcW w:w="5244" w:type="dxa"/>
            <w:tcBorders>
              <w:top w:val="nil"/>
              <w:left w:val="single" w:sz="2" w:space="0" w:color="auto"/>
              <w:bottom w:val="nil"/>
              <w:right w:val="nil"/>
            </w:tcBorders>
            <w:vAlign w:val="bottom"/>
          </w:tcPr>
          <w:p w14:paraId="06BACFEF" w14:textId="77777777" w:rsidR="00126B18" w:rsidRPr="00F70B16" w:rsidRDefault="00126B18" w:rsidP="00126B18">
            <w:pPr>
              <w:pStyle w:val="TableText"/>
              <w:tabs>
                <w:tab w:val="left" w:pos="3306"/>
              </w:tabs>
              <w:rPr>
                <w:rFonts w:cs="Calibri"/>
                <w:b/>
                <w:bCs/>
              </w:rPr>
            </w:pPr>
            <w:r w:rsidRPr="00F70B16">
              <w:rPr>
                <w:rFonts w:cs="Calibri"/>
              </w:rPr>
              <w:t>Purchase of Investments</w:t>
            </w:r>
          </w:p>
        </w:tc>
        <w:tc>
          <w:tcPr>
            <w:tcW w:w="709" w:type="dxa"/>
            <w:tcBorders>
              <w:top w:val="nil"/>
              <w:left w:val="nil"/>
              <w:bottom w:val="nil"/>
              <w:right w:val="nil"/>
            </w:tcBorders>
            <w:vAlign w:val="bottom"/>
          </w:tcPr>
          <w:p w14:paraId="47C7BC52"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54906DF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43D80801"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1B7F5B0" w14:textId="77777777" w:rsidR="00126B18" w:rsidRPr="00F70B16" w:rsidRDefault="00126B18" w:rsidP="00126B18">
            <w:pPr>
              <w:pStyle w:val="TableText"/>
              <w:tabs>
                <w:tab w:val="left" w:pos="3306"/>
              </w:tabs>
              <w:jc w:val="right"/>
              <w:rPr>
                <w:rFonts w:cs="Calibri"/>
                <w:strike/>
              </w:rPr>
            </w:pPr>
          </w:p>
        </w:tc>
      </w:tr>
      <w:tr w:rsidR="00126B18" w:rsidRPr="00CF7E1B" w14:paraId="02922B86" w14:textId="77777777" w:rsidTr="004D1EC6">
        <w:tc>
          <w:tcPr>
            <w:tcW w:w="1563" w:type="dxa"/>
            <w:tcBorders>
              <w:top w:val="nil"/>
              <w:left w:val="single" w:sz="2" w:space="0" w:color="auto"/>
              <w:bottom w:val="nil"/>
              <w:right w:val="single" w:sz="2" w:space="0" w:color="auto"/>
            </w:tcBorders>
          </w:tcPr>
          <w:p w14:paraId="11F6B606"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107.16(c)</w:t>
            </w:r>
          </w:p>
        </w:tc>
        <w:tc>
          <w:tcPr>
            <w:tcW w:w="5244" w:type="dxa"/>
            <w:tcBorders>
              <w:top w:val="nil"/>
              <w:left w:val="single" w:sz="2" w:space="0" w:color="auto"/>
              <w:bottom w:val="nil"/>
              <w:right w:val="nil"/>
            </w:tcBorders>
            <w:vAlign w:val="bottom"/>
          </w:tcPr>
          <w:p w14:paraId="40B1C91D" w14:textId="77777777" w:rsidR="00126B18" w:rsidRPr="00F70B16" w:rsidRDefault="00126B18" w:rsidP="00126B18">
            <w:pPr>
              <w:pStyle w:val="TableText"/>
              <w:tabs>
                <w:tab w:val="left" w:pos="3306"/>
              </w:tabs>
              <w:rPr>
                <w:rFonts w:cs="Calibri"/>
              </w:rPr>
            </w:pPr>
            <w:r w:rsidRPr="00F70B16">
              <w:rPr>
                <w:rFonts w:cs="Calibri"/>
              </w:rPr>
              <w:t>Purchase of Investment in Joint Venture</w:t>
            </w:r>
          </w:p>
        </w:tc>
        <w:tc>
          <w:tcPr>
            <w:tcW w:w="709" w:type="dxa"/>
            <w:tcBorders>
              <w:top w:val="nil"/>
              <w:left w:val="nil"/>
              <w:bottom w:val="nil"/>
              <w:right w:val="nil"/>
            </w:tcBorders>
            <w:vAlign w:val="bottom"/>
          </w:tcPr>
          <w:p w14:paraId="7F7D3B91"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263284F"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310E1147"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3B99B94" w14:textId="77777777" w:rsidR="00126B18" w:rsidRPr="00F70B16" w:rsidRDefault="00126B18" w:rsidP="00126B18">
            <w:pPr>
              <w:pStyle w:val="TableText"/>
              <w:tabs>
                <w:tab w:val="left" w:pos="3306"/>
              </w:tabs>
              <w:jc w:val="right"/>
              <w:rPr>
                <w:rFonts w:cs="Calibri"/>
              </w:rPr>
            </w:pPr>
          </w:p>
        </w:tc>
      </w:tr>
      <w:tr w:rsidR="00126B18" w:rsidRPr="00CF7E1B" w14:paraId="221E6683" w14:textId="77777777" w:rsidTr="004D1EC6">
        <w:tc>
          <w:tcPr>
            <w:tcW w:w="1563" w:type="dxa"/>
            <w:tcBorders>
              <w:top w:val="nil"/>
              <w:left w:val="single" w:sz="2" w:space="0" w:color="auto"/>
              <w:bottom w:val="nil"/>
              <w:right w:val="single" w:sz="2" w:space="0" w:color="auto"/>
            </w:tcBorders>
          </w:tcPr>
          <w:p w14:paraId="3C9C7458"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107.16(e)</w:t>
            </w:r>
          </w:p>
        </w:tc>
        <w:tc>
          <w:tcPr>
            <w:tcW w:w="5244" w:type="dxa"/>
            <w:tcBorders>
              <w:top w:val="nil"/>
              <w:left w:val="single" w:sz="2" w:space="0" w:color="auto"/>
              <w:bottom w:val="nil"/>
              <w:right w:val="nil"/>
            </w:tcBorders>
            <w:vAlign w:val="bottom"/>
          </w:tcPr>
          <w:p w14:paraId="59282471" w14:textId="331F2918" w:rsidR="00126B18" w:rsidRPr="00F70B16" w:rsidRDefault="00126B18" w:rsidP="00126B18">
            <w:pPr>
              <w:pStyle w:val="TableText"/>
              <w:tabs>
                <w:tab w:val="left" w:pos="3306"/>
              </w:tabs>
              <w:rPr>
                <w:rFonts w:cs="Calibri"/>
              </w:rPr>
            </w:pPr>
            <w:r w:rsidRPr="00F70B16">
              <w:rPr>
                <w:rFonts w:cs="Calibri"/>
              </w:rPr>
              <w:t>Loans Receivable Provided</w:t>
            </w:r>
          </w:p>
        </w:tc>
        <w:tc>
          <w:tcPr>
            <w:tcW w:w="709" w:type="dxa"/>
            <w:tcBorders>
              <w:top w:val="nil"/>
              <w:left w:val="nil"/>
              <w:bottom w:val="nil"/>
              <w:right w:val="nil"/>
            </w:tcBorders>
            <w:vAlign w:val="bottom"/>
          </w:tcPr>
          <w:p w14:paraId="740AF709"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63B41B5D"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0F8AABCF"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55EDE2B0" w14:textId="77777777" w:rsidR="00126B18" w:rsidRPr="00F70B16" w:rsidRDefault="00126B18" w:rsidP="00126B18">
            <w:pPr>
              <w:pStyle w:val="TableText"/>
              <w:tabs>
                <w:tab w:val="left" w:pos="3306"/>
              </w:tabs>
              <w:jc w:val="right"/>
              <w:rPr>
                <w:rFonts w:cs="Calibri"/>
              </w:rPr>
            </w:pPr>
          </w:p>
        </w:tc>
      </w:tr>
      <w:tr w:rsidR="00126B18" w:rsidRPr="00CF7E1B" w14:paraId="069A82C2" w14:textId="77777777" w:rsidTr="004D1EC6">
        <w:tc>
          <w:tcPr>
            <w:tcW w:w="1563" w:type="dxa"/>
            <w:tcBorders>
              <w:top w:val="nil"/>
              <w:left w:val="single" w:sz="2" w:space="0" w:color="auto"/>
              <w:bottom w:val="nil"/>
              <w:right w:val="single" w:sz="2" w:space="0" w:color="auto"/>
            </w:tcBorders>
          </w:tcPr>
          <w:p w14:paraId="034F6AA3"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18BAA7CA" w14:textId="77777777" w:rsidR="00126B18" w:rsidRPr="00F70B16" w:rsidRDefault="00126B18" w:rsidP="00126B18">
            <w:pPr>
              <w:pStyle w:val="TableText"/>
              <w:tabs>
                <w:tab w:val="left" w:pos="3306"/>
              </w:tabs>
              <w:rPr>
                <w:rFonts w:cs="Calibri"/>
                <w:b/>
                <w:bCs/>
              </w:rPr>
            </w:pPr>
            <w:r w:rsidRPr="00F70B16">
              <w:rPr>
                <w:rFonts w:cs="Calibri"/>
                <w:b/>
                <w:bCs/>
              </w:rPr>
              <w:t>Total Payments from Investing Activities</w:t>
            </w:r>
          </w:p>
        </w:tc>
        <w:tc>
          <w:tcPr>
            <w:tcW w:w="709" w:type="dxa"/>
            <w:tcBorders>
              <w:top w:val="nil"/>
              <w:left w:val="nil"/>
              <w:bottom w:val="nil"/>
              <w:right w:val="nil"/>
            </w:tcBorders>
            <w:vAlign w:val="bottom"/>
          </w:tcPr>
          <w:p w14:paraId="4BC3A92E" w14:textId="77777777"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2C3E2E6B" w14:textId="77777777" w:rsidR="00126B18" w:rsidRPr="00F70B16" w:rsidRDefault="00126B18" w:rsidP="00126B18">
            <w:pPr>
              <w:pStyle w:val="TableText"/>
              <w:tabs>
                <w:tab w:val="left" w:pos="3306"/>
              </w:tabs>
              <w:jc w:val="right"/>
              <w:rPr>
                <w:rFonts w:cs="Calibri"/>
                <w:b/>
                <w:bCs/>
                <w:strike/>
              </w:rPr>
            </w:pPr>
          </w:p>
        </w:tc>
        <w:tc>
          <w:tcPr>
            <w:tcW w:w="993" w:type="dxa"/>
            <w:tcBorders>
              <w:top w:val="single" w:sz="2" w:space="0" w:color="auto"/>
              <w:left w:val="nil"/>
              <w:bottom w:val="single" w:sz="2" w:space="0" w:color="auto"/>
              <w:right w:val="nil"/>
            </w:tcBorders>
            <w:vAlign w:val="bottom"/>
          </w:tcPr>
          <w:p w14:paraId="68877724" w14:textId="77777777" w:rsidR="00126B18" w:rsidRPr="00F70B16" w:rsidRDefault="00126B18" w:rsidP="00126B18">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2FF289BA" w14:textId="77777777" w:rsidR="00126B18" w:rsidRPr="00F70B16" w:rsidRDefault="00126B18" w:rsidP="00126B18">
            <w:pPr>
              <w:pStyle w:val="TableText"/>
              <w:tabs>
                <w:tab w:val="left" w:pos="3306"/>
              </w:tabs>
              <w:jc w:val="right"/>
              <w:rPr>
                <w:rFonts w:cs="Calibri"/>
                <w:b/>
                <w:bCs/>
                <w:strike/>
              </w:rPr>
            </w:pPr>
          </w:p>
        </w:tc>
      </w:tr>
      <w:tr w:rsidR="00126B18" w:rsidRPr="00CF7E1B" w14:paraId="22994822" w14:textId="77777777" w:rsidTr="00634C5A">
        <w:tc>
          <w:tcPr>
            <w:tcW w:w="1563" w:type="dxa"/>
            <w:tcBorders>
              <w:top w:val="nil"/>
              <w:left w:val="single" w:sz="2" w:space="0" w:color="auto"/>
              <w:bottom w:val="nil"/>
              <w:right w:val="single" w:sz="2" w:space="0" w:color="auto"/>
            </w:tcBorders>
          </w:tcPr>
          <w:p w14:paraId="70970C50"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6DC04FF9" w14:textId="77777777" w:rsidR="00126B18" w:rsidRPr="00F70B16" w:rsidRDefault="00126B18" w:rsidP="00126B18">
            <w:pPr>
              <w:pStyle w:val="TableText"/>
              <w:tabs>
                <w:tab w:val="left" w:pos="3306"/>
              </w:tabs>
              <w:rPr>
                <w:rFonts w:cs="Calibri"/>
                <w:b/>
                <w:bCs/>
              </w:rPr>
            </w:pPr>
            <w:r w:rsidRPr="00F70B16">
              <w:rPr>
                <w:rFonts w:cs="Calibri"/>
                <w:b/>
                <w:bCs/>
              </w:rPr>
              <w:t>Net Cash Inflows/(Outflows) from Investing Activities</w:t>
            </w:r>
          </w:p>
        </w:tc>
        <w:tc>
          <w:tcPr>
            <w:tcW w:w="709" w:type="dxa"/>
            <w:tcBorders>
              <w:top w:val="nil"/>
              <w:left w:val="nil"/>
              <w:bottom w:val="nil"/>
              <w:right w:val="nil"/>
            </w:tcBorders>
            <w:vAlign w:val="bottom"/>
          </w:tcPr>
          <w:p w14:paraId="05C8E77D" w14:textId="598C5A1B"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07656CC6" w14:textId="77777777" w:rsidR="00126B18" w:rsidRPr="00F70B16" w:rsidRDefault="00126B18" w:rsidP="00126B18">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90A8A8C" w14:textId="77777777" w:rsidR="00126B18" w:rsidRPr="00F70B16" w:rsidRDefault="00126B18" w:rsidP="00126B18">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0471F38E" w14:textId="77777777" w:rsidR="00126B18" w:rsidRPr="00F70B16" w:rsidRDefault="00126B18" w:rsidP="00126B18">
            <w:pPr>
              <w:pStyle w:val="TableText"/>
              <w:tabs>
                <w:tab w:val="left" w:pos="3306"/>
              </w:tabs>
              <w:jc w:val="right"/>
              <w:rPr>
                <w:rFonts w:cs="Calibri"/>
                <w:b/>
                <w:bCs/>
              </w:rPr>
            </w:pPr>
          </w:p>
        </w:tc>
      </w:tr>
    </w:tbl>
    <w:p w14:paraId="2479F184" w14:textId="56DA92C3" w:rsidR="00574DE1" w:rsidRPr="00A26DB2" w:rsidRDefault="0019122B" w:rsidP="00A26DB2">
      <w:pPr>
        <w:jc w:val="center"/>
        <w:rPr>
          <w:rFonts w:asciiTheme="minorHAnsi" w:hAnsiTheme="minorHAnsi" w:cstheme="minorHAnsi"/>
          <w:b/>
          <w:sz w:val="40"/>
          <w:szCs w:val="24"/>
        </w:rPr>
      </w:pPr>
      <w:r w:rsidRPr="00CF7E1B">
        <w:rPr>
          <w:rFonts w:cs="Calibri"/>
        </w:rPr>
        <w:br w:type="page"/>
      </w:r>
      <w:r w:rsidR="00574DE1" w:rsidRPr="00574DE1">
        <w:rPr>
          <w:rFonts w:cs="Calibri"/>
          <w:sz w:val="16"/>
        </w:rPr>
        <w:t xml:space="preserve"> </w:t>
      </w:r>
      <w:bookmarkStart w:id="225" w:name="_Toc253495256"/>
      <w:bookmarkStart w:id="226" w:name="_Toc257295331"/>
      <w:r w:rsidR="00574DE1" w:rsidRPr="00A26DB2">
        <w:rPr>
          <w:rFonts w:asciiTheme="minorHAnsi" w:hAnsiTheme="minorHAnsi" w:cstheme="minorHAnsi"/>
          <w:b/>
          <w:sz w:val="40"/>
          <w:szCs w:val="24"/>
        </w:rPr>
        <w:t>‘</w:t>
      </w:r>
      <w:r w:rsidR="00CB5FDC" w:rsidRPr="00A26DB2">
        <w:rPr>
          <w:rFonts w:asciiTheme="minorHAnsi" w:hAnsiTheme="minorHAnsi" w:cstheme="minorHAnsi"/>
          <w:b/>
          <w:sz w:val="40"/>
          <w:szCs w:val="24"/>
        </w:rPr>
        <w:t xml:space="preserve">Burley Griffin </w:t>
      </w:r>
      <w:r w:rsidR="00574DE1" w:rsidRPr="00A26DB2">
        <w:rPr>
          <w:rFonts w:asciiTheme="minorHAnsi" w:hAnsiTheme="minorHAnsi" w:cstheme="minorHAnsi"/>
          <w:b/>
          <w:sz w:val="40"/>
          <w:szCs w:val="24"/>
        </w:rPr>
        <w:t>Agency’</w:t>
      </w:r>
    </w:p>
    <w:p w14:paraId="6BF19263" w14:textId="0B284F61" w:rsidR="0019122B" w:rsidRPr="00A26DB2" w:rsidRDefault="00217D36" w:rsidP="005C5347">
      <w:pPr>
        <w:pStyle w:val="Subtitle"/>
        <w:spacing w:line="400" w:lineRule="exact"/>
        <w:rPr>
          <w:rFonts w:asciiTheme="minorHAnsi" w:hAnsiTheme="minorHAnsi" w:cstheme="minorHAnsi"/>
        </w:rPr>
      </w:pPr>
      <w:bookmarkStart w:id="227" w:name="_Toc98763028"/>
      <w:bookmarkStart w:id="228" w:name="_Toc127733813"/>
      <w:bookmarkStart w:id="229" w:name="_Toc131164466"/>
      <w:bookmarkStart w:id="230" w:name="_Toc131591731"/>
      <w:bookmarkStart w:id="231" w:name="_Toc132743766"/>
      <w:r w:rsidRPr="00A26DB2">
        <w:rPr>
          <w:rFonts w:asciiTheme="minorHAnsi" w:hAnsiTheme="minorHAnsi" w:cstheme="minorHAnsi"/>
        </w:rPr>
        <w:t>Statement of Cash Flows</w:t>
      </w:r>
      <w:r w:rsidR="007E0503" w:rsidRPr="00A26DB2">
        <w:rPr>
          <w:rFonts w:asciiTheme="minorHAnsi" w:hAnsiTheme="minorHAnsi" w:cstheme="minorHAnsi"/>
        </w:rPr>
        <w:t xml:space="preserve"> –</w:t>
      </w:r>
      <w:r w:rsidR="0019122B" w:rsidRPr="00A26DB2">
        <w:rPr>
          <w:rFonts w:asciiTheme="minorHAnsi" w:hAnsiTheme="minorHAnsi" w:cstheme="minorHAnsi"/>
        </w:rPr>
        <w:t xml:space="preserve"> Continued</w:t>
      </w:r>
      <w:bookmarkEnd w:id="225"/>
      <w:bookmarkEnd w:id="226"/>
      <w:bookmarkEnd w:id="227"/>
      <w:bookmarkEnd w:id="228"/>
      <w:bookmarkEnd w:id="229"/>
      <w:bookmarkEnd w:id="230"/>
      <w:bookmarkEnd w:id="231"/>
      <w:r w:rsidR="007E0503" w:rsidRPr="00A26DB2">
        <w:rPr>
          <w:rFonts w:asciiTheme="minorHAnsi" w:hAnsiTheme="minorHAnsi" w:cstheme="minorHAnsi"/>
        </w:rPr>
        <w:t xml:space="preserve"> </w:t>
      </w:r>
    </w:p>
    <w:p w14:paraId="2D89DD2C" w14:textId="2A58AA5F" w:rsidR="0019122B" w:rsidRPr="00411D5C" w:rsidRDefault="0019122B" w:rsidP="005C5347">
      <w:pPr>
        <w:spacing w:line="400" w:lineRule="exact"/>
        <w:jc w:val="center"/>
        <w:rPr>
          <w:rFonts w:asciiTheme="minorHAnsi" w:hAnsiTheme="minorHAnsi" w:cstheme="minorHAnsi"/>
        </w:rPr>
      </w:pPr>
      <w:r w:rsidRPr="00A26DB2">
        <w:rPr>
          <w:rFonts w:asciiTheme="minorHAnsi" w:hAnsiTheme="minorHAnsi" w:cstheme="minorHAnsi"/>
          <w:b/>
          <w:sz w:val="40"/>
          <w:szCs w:val="40"/>
        </w:rPr>
        <w:t xml:space="preserve">For the Year Ended 30 June </w:t>
      </w:r>
      <w:r w:rsidR="00C66E0D" w:rsidRPr="00A26DB2">
        <w:rPr>
          <w:rFonts w:asciiTheme="minorHAnsi" w:hAnsiTheme="minorHAnsi" w:cstheme="minorHAnsi"/>
          <w:b/>
          <w:sz w:val="40"/>
          <w:szCs w:val="40"/>
        </w:rPr>
        <w:t>202</w:t>
      </w:r>
      <w:r w:rsidR="00D50594">
        <w:rPr>
          <w:rFonts w:asciiTheme="minorHAnsi" w:hAnsiTheme="minorHAnsi" w:cstheme="minorHAnsi"/>
          <w:b/>
          <w:sz w:val="40"/>
          <w:szCs w:val="40"/>
        </w:rPr>
        <w:t>3</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103"/>
        <w:gridCol w:w="850"/>
        <w:gridCol w:w="992"/>
        <w:gridCol w:w="993"/>
        <w:gridCol w:w="992"/>
        <w:gridCol w:w="51"/>
      </w:tblGrid>
      <w:tr w:rsidR="0019122B" w:rsidRPr="00CF7E1B" w14:paraId="7E445141" w14:textId="77777777" w:rsidTr="004D1EC6">
        <w:trPr>
          <w:gridAfter w:val="1"/>
          <w:wAfter w:w="51" w:type="dxa"/>
          <w:trHeight w:val="105"/>
        </w:trPr>
        <w:tc>
          <w:tcPr>
            <w:tcW w:w="1563" w:type="dxa"/>
            <w:tcBorders>
              <w:top w:val="nil"/>
              <w:left w:val="single" w:sz="2" w:space="0" w:color="auto"/>
              <w:bottom w:val="nil"/>
              <w:right w:val="single" w:sz="2" w:space="0" w:color="auto"/>
            </w:tcBorders>
          </w:tcPr>
          <w:p w14:paraId="1CF6A88B" w14:textId="77777777" w:rsidR="0019122B" w:rsidRPr="00A26DB2" w:rsidRDefault="0019122B" w:rsidP="0019122B">
            <w:pPr>
              <w:pStyle w:val="Reference"/>
              <w:tabs>
                <w:tab w:val="left" w:pos="3306"/>
              </w:tabs>
              <w:rPr>
                <w:rFonts w:cs="Calibri"/>
                <w:color w:val="7030A0"/>
                <w:sz w:val="22"/>
                <w:szCs w:val="22"/>
              </w:rPr>
            </w:pPr>
            <w:r w:rsidRPr="00A26DB2">
              <w:rPr>
                <w:rFonts w:cs="Calibri"/>
                <w:color w:val="7030A0"/>
                <w:sz w:val="22"/>
                <w:szCs w:val="22"/>
              </w:rPr>
              <w:t>Reference</w:t>
            </w:r>
          </w:p>
        </w:tc>
        <w:tc>
          <w:tcPr>
            <w:tcW w:w="5103" w:type="dxa"/>
            <w:tcBorders>
              <w:top w:val="nil"/>
              <w:left w:val="single" w:sz="2" w:space="0" w:color="auto"/>
              <w:bottom w:val="nil"/>
              <w:right w:val="nil"/>
            </w:tcBorders>
            <w:vAlign w:val="bottom"/>
          </w:tcPr>
          <w:p w14:paraId="3DACA1E1" w14:textId="77777777" w:rsidR="0019122B" w:rsidRPr="00A26DB2" w:rsidRDefault="0019122B" w:rsidP="0019122B">
            <w:pPr>
              <w:pStyle w:val="TableTitle"/>
              <w:tabs>
                <w:tab w:val="left" w:pos="3306"/>
              </w:tabs>
              <w:rPr>
                <w:rFonts w:cs="Calibri"/>
              </w:rPr>
            </w:pPr>
          </w:p>
        </w:tc>
        <w:tc>
          <w:tcPr>
            <w:tcW w:w="850" w:type="dxa"/>
            <w:tcBorders>
              <w:top w:val="nil"/>
              <w:left w:val="nil"/>
              <w:bottom w:val="nil"/>
              <w:right w:val="nil"/>
            </w:tcBorders>
            <w:vAlign w:val="bottom"/>
          </w:tcPr>
          <w:p w14:paraId="22CB1639" w14:textId="77777777" w:rsidR="0019122B" w:rsidRPr="00A26DB2" w:rsidRDefault="0019122B" w:rsidP="0019122B">
            <w:pPr>
              <w:pStyle w:val="TableTitle"/>
              <w:tabs>
                <w:tab w:val="left" w:pos="3306"/>
              </w:tabs>
              <w:jc w:val="center"/>
              <w:rPr>
                <w:rFonts w:cs="Calibri"/>
              </w:rPr>
            </w:pPr>
            <w:r w:rsidRPr="00A26DB2">
              <w:rPr>
                <w:rFonts w:cs="Calibri"/>
              </w:rPr>
              <w:t>Note No.</w:t>
            </w:r>
          </w:p>
        </w:tc>
        <w:tc>
          <w:tcPr>
            <w:tcW w:w="992" w:type="dxa"/>
            <w:tcBorders>
              <w:top w:val="nil"/>
              <w:left w:val="nil"/>
              <w:bottom w:val="nil"/>
              <w:right w:val="nil"/>
            </w:tcBorders>
            <w:vAlign w:val="bottom"/>
          </w:tcPr>
          <w:p w14:paraId="6420483F" w14:textId="77777777" w:rsidR="0019122B" w:rsidRPr="00A26DB2" w:rsidRDefault="0019122B" w:rsidP="0019122B">
            <w:pPr>
              <w:pStyle w:val="TableTitle"/>
              <w:tabs>
                <w:tab w:val="left" w:pos="3306"/>
              </w:tabs>
              <w:rPr>
                <w:rFonts w:cs="Calibri"/>
              </w:rPr>
            </w:pPr>
            <w:r w:rsidRPr="00A26DB2">
              <w:rPr>
                <w:rFonts w:cs="Calibri"/>
              </w:rPr>
              <w:t>Actual</w:t>
            </w:r>
          </w:p>
          <w:p w14:paraId="5A0231D6" w14:textId="043247EC" w:rsidR="001B231B" w:rsidRPr="00A26DB2" w:rsidRDefault="001B231B" w:rsidP="001B231B">
            <w:pPr>
              <w:pStyle w:val="TableTitle"/>
              <w:tabs>
                <w:tab w:val="left" w:pos="3306"/>
              </w:tabs>
              <w:rPr>
                <w:rFonts w:cs="Calibri"/>
              </w:rPr>
            </w:pPr>
            <w:r w:rsidRPr="00A26DB2">
              <w:rPr>
                <w:rFonts w:cs="Calibri"/>
              </w:rPr>
              <w:t>202</w:t>
            </w:r>
            <w:r w:rsidR="00D50594">
              <w:rPr>
                <w:rFonts w:cs="Calibri"/>
              </w:rPr>
              <w:t>3</w:t>
            </w:r>
          </w:p>
          <w:p w14:paraId="6BEC192C" w14:textId="77777777" w:rsidR="0019122B" w:rsidRPr="00A26DB2" w:rsidRDefault="0019122B" w:rsidP="0019122B">
            <w:pPr>
              <w:pStyle w:val="TableTitle"/>
              <w:tabs>
                <w:tab w:val="left" w:pos="3306"/>
              </w:tabs>
              <w:rPr>
                <w:rFonts w:cs="Calibri"/>
              </w:rPr>
            </w:pPr>
            <w:r w:rsidRPr="00A26DB2">
              <w:rPr>
                <w:rFonts w:cs="Calibri"/>
              </w:rPr>
              <w:t xml:space="preserve">$’000 </w:t>
            </w:r>
          </w:p>
        </w:tc>
        <w:tc>
          <w:tcPr>
            <w:tcW w:w="993" w:type="dxa"/>
            <w:tcBorders>
              <w:top w:val="nil"/>
              <w:left w:val="nil"/>
              <w:bottom w:val="nil"/>
              <w:right w:val="nil"/>
            </w:tcBorders>
            <w:vAlign w:val="bottom"/>
          </w:tcPr>
          <w:p w14:paraId="5B8E912A" w14:textId="77777777" w:rsidR="0019122B" w:rsidRPr="00A26DB2" w:rsidRDefault="0019122B" w:rsidP="0019122B">
            <w:pPr>
              <w:pStyle w:val="TableTitle"/>
              <w:tabs>
                <w:tab w:val="left" w:pos="3306"/>
              </w:tabs>
              <w:rPr>
                <w:rFonts w:cs="Calibri"/>
              </w:rPr>
            </w:pPr>
            <w:r w:rsidRPr="00A26DB2">
              <w:rPr>
                <w:rFonts w:cs="Calibri"/>
              </w:rPr>
              <w:t>Original</w:t>
            </w:r>
          </w:p>
          <w:p w14:paraId="0763CC8E" w14:textId="77777777" w:rsidR="0019122B" w:rsidRPr="00A26DB2" w:rsidRDefault="0019122B" w:rsidP="0019122B">
            <w:pPr>
              <w:pStyle w:val="TableTitle"/>
              <w:tabs>
                <w:tab w:val="left" w:pos="3306"/>
              </w:tabs>
              <w:rPr>
                <w:rFonts w:cs="Calibri"/>
              </w:rPr>
            </w:pPr>
            <w:r w:rsidRPr="00A26DB2">
              <w:rPr>
                <w:rFonts w:cs="Calibri"/>
              </w:rPr>
              <w:t xml:space="preserve">Budget </w:t>
            </w:r>
          </w:p>
          <w:p w14:paraId="213EC64C" w14:textId="028E02EE" w:rsidR="001B231B" w:rsidRPr="00A26DB2" w:rsidRDefault="001B231B" w:rsidP="001B231B">
            <w:pPr>
              <w:pStyle w:val="TableTitle"/>
              <w:tabs>
                <w:tab w:val="left" w:pos="3306"/>
              </w:tabs>
              <w:rPr>
                <w:rFonts w:cs="Calibri"/>
              </w:rPr>
            </w:pPr>
            <w:r w:rsidRPr="00A26DB2">
              <w:rPr>
                <w:rFonts w:cs="Calibri"/>
              </w:rPr>
              <w:t>202</w:t>
            </w:r>
            <w:r w:rsidR="00D50594">
              <w:rPr>
                <w:rFonts w:cs="Calibri"/>
              </w:rPr>
              <w:t>3</w:t>
            </w:r>
          </w:p>
          <w:p w14:paraId="329D5B98" w14:textId="77777777" w:rsidR="0019122B" w:rsidRPr="00A26DB2" w:rsidRDefault="0019122B" w:rsidP="0019122B">
            <w:pPr>
              <w:pStyle w:val="TableTitle"/>
              <w:tabs>
                <w:tab w:val="left" w:pos="3306"/>
              </w:tabs>
              <w:rPr>
                <w:rFonts w:cs="Calibri"/>
              </w:rPr>
            </w:pPr>
            <w:r w:rsidRPr="00A26DB2">
              <w:rPr>
                <w:rFonts w:cs="Calibri"/>
              </w:rPr>
              <w:t>$’000</w:t>
            </w:r>
          </w:p>
        </w:tc>
        <w:tc>
          <w:tcPr>
            <w:tcW w:w="992" w:type="dxa"/>
            <w:tcBorders>
              <w:top w:val="nil"/>
              <w:left w:val="nil"/>
              <w:bottom w:val="nil"/>
              <w:right w:val="nil"/>
            </w:tcBorders>
            <w:vAlign w:val="bottom"/>
          </w:tcPr>
          <w:p w14:paraId="59CFAF15" w14:textId="77777777" w:rsidR="0019122B" w:rsidRPr="00A26DB2" w:rsidRDefault="0019122B" w:rsidP="0019122B">
            <w:pPr>
              <w:pStyle w:val="TableTitle"/>
              <w:tabs>
                <w:tab w:val="left" w:pos="3306"/>
              </w:tabs>
              <w:rPr>
                <w:rFonts w:cs="Calibri"/>
              </w:rPr>
            </w:pPr>
            <w:r w:rsidRPr="00A26DB2">
              <w:rPr>
                <w:rFonts w:cs="Calibri"/>
              </w:rPr>
              <w:t>Actual</w:t>
            </w:r>
          </w:p>
          <w:p w14:paraId="795E606B" w14:textId="7F033572" w:rsidR="00620D4E" w:rsidRPr="00A26DB2" w:rsidRDefault="00620D4E" w:rsidP="00620D4E">
            <w:pPr>
              <w:pStyle w:val="TableTitle"/>
              <w:tabs>
                <w:tab w:val="left" w:pos="3306"/>
              </w:tabs>
              <w:rPr>
                <w:rFonts w:cs="Calibri"/>
              </w:rPr>
            </w:pPr>
            <w:r w:rsidRPr="00A26DB2">
              <w:rPr>
                <w:rFonts w:cs="Calibri"/>
              </w:rPr>
              <w:t>202</w:t>
            </w:r>
            <w:r w:rsidR="00D50594">
              <w:rPr>
                <w:rFonts w:cs="Calibri"/>
              </w:rPr>
              <w:t>2</w:t>
            </w:r>
          </w:p>
          <w:p w14:paraId="3B7E7B13" w14:textId="77777777" w:rsidR="0019122B" w:rsidRPr="00A26DB2" w:rsidRDefault="0019122B" w:rsidP="0019122B">
            <w:pPr>
              <w:pStyle w:val="TableTitle"/>
              <w:tabs>
                <w:tab w:val="left" w:pos="3306"/>
              </w:tabs>
              <w:rPr>
                <w:rFonts w:cs="Calibri"/>
              </w:rPr>
            </w:pPr>
            <w:r w:rsidRPr="00A26DB2">
              <w:rPr>
                <w:rFonts w:cs="Calibri"/>
              </w:rPr>
              <w:t>$’000</w:t>
            </w:r>
          </w:p>
        </w:tc>
      </w:tr>
      <w:tr w:rsidR="0019122B" w:rsidRPr="00CF7E1B" w14:paraId="2C09BECC" w14:textId="77777777" w:rsidTr="004D1EC6">
        <w:trPr>
          <w:gridAfter w:val="1"/>
          <w:wAfter w:w="51" w:type="dxa"/>
          <w:trHeight w:val="145"/>
        </w:trPr>
        <w:tc>
          <w:tcPr>
            <w:tcW w:w="1563" w:type="dxa"/>
            <w:tcBorders>
              <w:top w:val="nil"/>
              <w:left w:val="single" w:sz="2" w:space="0" w:color="auto"/>
              <w:bottom w:val="nil"/>
              <w:right w:val="single" w:sz="2" w:space="0" w:color="auto"/>
            </w:tcBorders>
          </w:tcPr>
          <w:p w14:paraId="1DEE2426" w14:textId="77777777" w:rsidR="0019122B" w:rsidRPr="00A26DB2" w:rsidRDefault="0019122B">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vAlign w:val="bottom"/>
          </w:tcPr>
          <w:p w14:paraId="53ED9142" w14:textId="77777777" w:rsidR="0019122B" w:rsidRPr="00A26DB2" w:rsidRDefault="0019122B">
            <w:pPr>
              <w:pStyle w:val="TableText"/>
              <w:tabs>
                <w:tab w:val="left" w:pos="3306"/>
              </w:tabs>
              <w:rPr>
                <w:rFonts w:cs="Calibri"/>
                <w:b/>
                <w:bCs/>
              </w:rPr>
            </w:pPr>
          </w:p>
        </w:tc>
        <w:tc>
          <w:tcPr>
            <w:tcW w:w="850" w:type="dxa"/>
            <w:tcBorders>
              <w:top w:val="nil"/>
              <w:left w:val="nil"/>
              <w:bottom w:val="nil"/>
              <w:right w:val="nil"/>
            </w:tcBorders>
            <w:vAlign w:val="bottom"/>
          </w:tcPr>
          <w:p w14:paraId="5BEA6771" w14:textId="77777777" w:rsidR="0019122B" w:rsidRPr="00A26DB2" w:rsidRDefault="0019122B">
            <w:pPr>
              <w:pStyle w:val="TableText"/>
              <w:tabs>
                <w:tab w:val="left" w:pos="3306"/>
              </w:tabs>
              <w:jc w:val="center"/>
              <w:rPr>
                <w:rFonts w:cs="Calibri"/>
              </w:rPr>
            </w:pPr>
          </w:p>
        </w:tc>
        <w:tc>
          <w:tcPr>
            <w:tcW w:w="992" w:type="dxa"/>
            <w:tcBorders>
              <w:top w:val="nil"/>
              <w:left w:val="nil"/>
              <w:bottom w:val="nil"/>
              <w:right w:val="nil"/>
            </w:tcBorders>
            <w:vAlign w:val="bottom"/>
          </w:tcPr>
          <w:p w14:paraId="4A8F4B6B" w14:textId="77777777" w:rsidR="0019122B" w:rsidRPr="00A26DB2" w:rsidRDefault="0019122B">
            <w:pPr>
              <w:pStyle w:val="TableText"/>
              <w:tabs>
                <w:tab w:val="left" w:pos="3306"/>
              </w:tabs>
              <w:jc w:val="right"/>
              <w:rPr>
                <w:rFonts w:cs="Calibri"/>
                <w:b/>
                <w:bCs/>
              </w:rPr>
            </w:pPr>
          </w:p>
        </w:tc>
        <w:tc>
          <w:tcPr>
            <w:tcW w:w="993" w:type="dxa"/>
            <w:tcBorders>
              <w:top w:val="nil"/>
              <w:left w:val="nil"/>
              <w:bottom w:val="nil"/>
              <w:right w:val="nil"/>
            </w:tcBorders>
            <w:vAlign w:val="bottom"/>
          </w:tcPr>
          <w:p w14:paraId="764D1AE3" w14:textId="77777777" w:rsidR="0019122B" w:rsidRPr="00A26DB2" w:rsidRDefault="0019122B">
            <w:pPr>
              <w:pStyle w:val="TableText"/>
              <w:tabs>
                <w:tab w:val="left" w:pos="3306"/>
              </w:tabs>
              <w:jc w:val="right"/>
              <w:rPr>
                <w:rFonts w:cs="Calibri"/>
                <w:b/>
                <w:bCs/>
              </w:rPr>
            </w:pPr>
          </w:p>
        </w:tc>
        <w:tc>
          <w:tcPr>
            <w:tcW w:w="992" w:type="dxa"/>
            <w:tcBorders>
              <w:top w:val="nil"/>
              <w:left w:val="nil"/>
              <w:bottom w:val="nil"/>
              <w:right w:val="nil"/>
            </w:tcBorders>
            <w:vAlign w:val="bottom"/>
          </w:tcPr>
          <w:p w14:paraId="070D8090" w14:textId="77777777" w:rsidR="0019122B" w:rsidRPr="00A26DB2" w:rsidRDefault="0019122B">
            <w:pPr>
              <w:pStyle w:val="TableText"/>
              <w:tabs>
                <w:tab w:val="left" w:pos="3306"/>
              </w:tabs>
              <w:jc w:val="right"/>
              <w:rPr>
                <w:rFonts w:cs="Calibri"/>
                <w:b/>
                <w:bCs/>
              </w:rPr>
            </w:pPr>
          </w:p>
        </w:tc>
      </w:tr>
      <w:tr w:rsidR="000144FF" w:rsidRPr="00CF7E1B" w14:paraId="7952423E"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0CE97194" w14:textId="77777777" w:rsidR="000144FF" w:rsidRPr="00A26DB2" w:rsidRDefault="000144FF" w:rsidP="0077272D">
            <w:pPr>
              <w:pStyle w:val="TableReference"/>
              <w:tabs>
                <w:tab w:val="left" w:pos="3306"/>
              </w:tabs>
              <w:spacing w:before="4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10</w:t>
            </w:r>
          </w:p>
        </w:tc>
        <w:tc>
          <w:tcPr>
            <w:tcW w:w="5103" w:type="dxa"/>
            <w:tcBorders>
              <w:top w:val="nil"/>
              <w:left w:val="single" w:sz="2" w:space="0" w:color="auto"/>
            </w:tcBorders>
            <w:vAlign w:val="bottom"/>
          </w:tcPr>
          <w:p w14:paraId="72B6E998" w14:textId="77777777" w:rsidR="000144FF" w:rsidRPr="00A26DB2" w:rsidRDefault="000144FF" w:rsidP="0077272D">
            <w:pPr>
              <w:pStyle w:val="TableText"/>
              <w:tabs>
                <w:tab w:val="left" w:pos="3306"/>
              </w:tabs>
              <w:spacing w:before="0"/>
              <w:rPr>
                <w:rFonts w:cs="Calibri"/>
                <w:b/>
                <w:bCs/>
              </w:rPr>
            </w:pPr>
            <w:r w:rsidRPr="00A26DB2">
              <w:rPr>
                <w:rFonts w:cs="Calibri"/>
                <w:b/>
                <w:bCs/>
              </w:rPr>
              <w:t>Cash Flows from Financing Activities</w:t>
            </w:r>
          </w:p>
        </w:tc>
        <w:tc>
          <w:tcPr>
            <w:tcW w:w="850" w:type="dxa"/>
            <w:tcBorders>
              <w:top w:val="nil"/>
            </w:tcBorders>
            <w:vAlign w:val="bottom"/>
          </w:tcPr>
          <w:p w14:paraId="6E2C5A36"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368DBC55"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767EE650"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D56784E" w14:textId="77777777" w:rsidR="000144FF" w:rsidRPr="00A26DB2" w:rsidRDefault="000144FF">
            <w:pPr>
              <w:pStyle w:val="TableText"/>
              <w:tabs>
                <w:tab w:val="left" w:pos="3306"/>
              </w:tabs>
              <w:jc w:val="right"/>
              <w:rPr>
                <w:rFonts w:cs="Calibri"/>
              </w:rPr>
            </w:pPr>
          </w:p>
        </w:tc>
      </w:tr>
      <w:tr w:rsidR="000144FF" w:rsidRPr="00CF7E1B" w14:paraId="3A019CA7"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C432BE" w14:textId="77777777" w:rsidR="000144FF" w:rsidRPr="00A26DB2" w:rsidRDefault="000144FF" w:rsidP="0077272D">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8DB845A" w14:textId="77777777" w:rsidR="000144FF" w:rsidRPr="00A26DB2" w:rsidRDefault="000144FF" w:rsidP="0077272D">
            <w:pPr>
              <w:pStyle w:val="TableText"/>
              <w:tabs>
                <w:tab w:val="left" w:pos="3306"/>
              </w:tabs>
              <w:rPr>
                <w:rFonts w:cs="Calibri"/>
                <w:b/>
                <w:bCs/>
              </w:rPr>
            </w:pPr>
            <w:bookmarkStart w:id="232" w:name="_Toc48468236"/>
            <w:bookmarkStart w:id="233" w:name="_Toc49155427"/>
            <w:bookmarkStart w:id="234" w:name="_Toc49223876"/>
            <w:r w:rsidRPr="00A26DB2">
              <w:rPr>
                <w:rFonts w:cs="Calibri"/>
                <w:b/>
                <w:bCs/>
              </w:rPr>
              <w:t>Receipts</w:t>
            </w:r>
            <w:bookmarkEnd w:id="232"/>
            <w:bookmarkEnd w:id="233"/>
            <w:bookmarkEnd w:id="234"/>
          </w:p>
        </w:tc>
        <w:tc>
          <w:tcPr>
            <w:tcW w:w="850" w:type="dxa"/>
            <w:tcBorders>
              <w:top w:val="nil"/>
            </w:tcBorders>
            <w:vAlign w:val="bottom"/>
          </w:tcPr>
          <w:p w14:paraId="18716F0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2BD1C9C"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3BFF67EF"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50431ECE" w14:textId="77777777" w:rsidR="000144FF" w:rsidRPr="00A26DB2" w:rsidRDefault="000144FF">
            <w:pPr>
              <w:pStyle w:val="TableText"/>
              <w:tabs>
                <w:tab w:val="left" w:pos="3306"/>
              </w:tabs>
              <w:jc w:val="right"/>
              <w:rPr>
                <w:rFonts w:cs="Calibri"/>
              </w:rPr>
            </w:pPr>
          </w:p>
        </w:tc>
      </w:tr>
      <w:tr w:rsidR="000144FF" w:rsidRPr="00CF7E1B" w14:paraId="4A24066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AE38802"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35E5B0A9" w14:textId="77777777" w:rsidR="000144FF" w:rsidRPr="00A26DB2" w:rsidRDefault="000144FF">
            <w:pPr>
              <w:pStyle w:val="TableText"/>
              <w:tabs>
                <w:tab w:val="left" w:pos="3306"/>
              </w:tabs>
              <w:rPr>
                <w:rFonts w:cs="Calibri"/>
              </w:rPr>
            </w:pPr>
            <w:r w:rsidRPr="00A26DB2">
              <w:rPr>
                <w:rFonts w:cs="Calibri"/>
              </w:rPr>
              <w:t>Capital Injections</w:t>
            </w:r>
          </w:p>
        </w:tc>
        <w:tc>
          <w:tcPr>
            <w:tcW w:w="850" w:type="dxa"/>
            <w:tcBorders>
              <w:top w:val="nil"/>
            </w:tcBorders>
            <w:vAlign w:val="bottom"/>
          </w:tcPr>
          <w:p w14:paraId="47B707A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3AD7DB7"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41BCAC79"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E31735F" w14:textId="77777777" w:rsidR="000144FF" w:rsidRPr="00A26DB2" w:rsidRDefault="000144FF">
            <w:pPr>
              <w:pStyle w:val="TableText"/>
              <w:tabs>
                <w:tab w:val="left" w:pos="3306"/>
              </w:tabs>
              <w:jc w:val="right"/>
              <w:rPr>
                <w:rFonts w:cs="Calibri"/>
              </w:rPr>
            </w:pPr>
          </w:p>
        </w:tc>
      </w:tr>
      <w:tr w:rsidR="000144FF" w:rsidRPr="00CF7E1B" w14:paraId="3165BFE6"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16D092"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c)</w:t>
            </w:r>
          </w:p>
        </w:tc>
        <w:tc>
          <w:tcPr>
            <w:tcW w:w="5103" w:type="dxa"/>
            <w:tcBorders>
              <w:top w:val="nil"/>
              <w:left w:val="single" w:sz="2" w:space="0" w:color="auto"/>
            </w:tcBorders>
            <w:vAlign w:val="bottom"/>
          </w:tcPr>
          <w:p w14:paraId="7D4C567D" w14:textId="77777777" w:rsidR="000144FF" w:rsidRPr="00A26DB2" w:rsidRDefault="000144FF">
            <w:pPr>
              <w:pStyle w:val="TableText"/>
              <w:tabs>
                <w:tab w:val="left" w:pos="3306"/>
              </w:tabs>
              <w:rPr>
                <w:rFonts w:cs="Calibri"/>
              </w:rPr>
            </w:pPr>
            <w:r w:rsidRPr="00A26DB2">
              <w:rPr>
                <w:rFonts w:cs="Calibri"/>
              </w:rPr>
              <w:t>Proceeds from Borrowings</w:t>
            </w:r>
          </w:p>
        </w:tc>
        <w:tc>
          <w:tcPr>
            <w:tcW w:w="850" w:type="dxa"/>
            <w:tcBorders>
              <w:top w:val="nil"/>
            </w:tcBorders>
            <w:vAlign w:val="bottom"/>
          </w:tcPr>
          <w:p w14:paraId="749EF75D" w14:textId="77777777" w:rsidR="000144FF" w:rsidRPr="00A26DB2" w:rsidRDefault="000144FF">
            <w:pPr>
              <w:pStyle w:val="TableText"/>
              <w:tabs>
                <w:tab w:val="left" w:pos="3306"/>
              </w:tabs>
              <w:jc w:val="center"/>
              <w:rPr>
                <w:rFonts w:cs="Calibri"/>
              </w:rPr>
            </w:pPr>
          </w:p>
        </w:tc>
        <w:tc>
          <w:tcPr>
            <w:tcW w:w="992" w:type="dxa"/>
            <w:tcBorders>
              <w:top w:val="nil"/>
              <w:bottom w:val="nil"/>
            </w:tcBorders>
            <w:vAlign w:val="bottom"/>
          </w:tcPr>
          <w:p w14:paraId="118491AA" w14:textId="77777777" w:rsidR="000144FF" w:rsidRPr="00A26DB2" w:rsidRDefault="000144FF">
            <w:pPr>
              <w:pStyle w:val="TableText"/>
              <w:tabs>
                <w:tab w:val="left" w:pos="3306"/>
              </w:tabs>
              <w:jc w:val="right"/>
              <w:rPr>
                <w:rFonts w:cs="Calibri"/>
              </w:rPr>
            </w:pPr>
          </w:p>
        </w:tc>
        <w:tc>
          <w:tcPr>
            <w:tcW w:w="993" w:type="dxa"/>
            <w:tcBorders>
              <w:top w:val="nil"/>
              <w:bottom w:val="nil"/>
            </w:tcBorders>
            <w:vAlign w:val="bottom"/>
          </w:tcPr>
          <w:p w14:paraId="25D4E95F" w14:textId="77777777" w:rsidR="000144FF" w:rsidRPr="00A26DB2" w:rsidRDefault="000144FF">
            <w:pPr>
              <w:pStyle w:val="TableText"/>
              <w:tabs>
                <w:tab w:val="left" w:pos="3306"/>
              </w:tabs>
              <w:jc w:val="right"/>
              <w:rPr>
                <w:rFonts w:cs="Calibri"/>
              </w:rPr>
            </w:pPr>
          </w:p>
        </w:tc>
        <w:tc>
          <w:tcPr>
            <w:tcW w:w="992" w:type="dxa"/>
            <w:tcBorders>
              <w:top w:val="nil"/>
              <w:bottom w:val="nil"/>
              <w:right w:val="nil"/>
            </w:tcBorders>
            <w:vAlign w:val="bottom"/>
          </w:tcPr>
          <w:p w14:paraId="7409A758" w14:textId="77777777" w:rsidR="000144FF" w:rsidRPr="00A26DB2" w:rsidRDefault="000144FF">
            <w:pPr>
              <w:pStyle w:val="TableText"/>
              <w:tabs>
                <w:tab w:val="left" w:pos="3306"/>
              </w:tabs>
              <w:jc w:val="right"/>
              <w:rPr>
                <w:rFonts w:cs="Calibri"/>
              </w:rPr>
            </w:pPr>
          </w:p>
        </w:tc>
      </w:tr>
      <w:tr w:rsidR="000144FF" w:rsidRPr="00CF7E1B" w14:paraId="38B89C2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277FA7CF"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67556E17" w14:textId="77777777" w:rsidR="000144FF" w:rsidRPr="00A26DB2" w:rsidRDefault="000144FF">
            <w:pPr>
              <w:pStyle w:val="TableText"/>
              <w:tabs>
                <w:tab w:val="left" w:pos="3306"/>
              </w:tabs>
              <w:rPr>
                <w:rFonts w:cs="Calibri"/>
              </w:rPr>
            </w:pPr>
            <w:r w:rsidRPr="00A26DB2">
              <w:rPr>
                <w:rFonts w:cs="Calibri"/>
              </w:rPr>
              <w:t>Receipts of Transferred Cash Balances</w:t>
            </w:r>
          </w:p>
        </w:tc>
        <w:tc>
          <w:tcPr>
            <w:tcW w:w="850" w:type="dxa"/>
            <w:tcBorders>
              <w:top w:val="nil"/>
            </w:tcBorders>
            <w:vAlign w:val="bottom"/>
          </w:tcPr>
          <w:p w14:paraId="536D438B" w14:textId="77777777" w:rsidR="000144FF" w:rsidRPr="00A26DB2" w:rsidRDefault="000144FF">
            <w:pPr>
              <w:pStyle w:val="TableText"/>
              <w:tabs>
                <w:tab w:val="left" w:pos="3306"/>
              </w:tabs>
              <w:jc w:val="center"/>
              <w:rPr>
                <w:rFonts w:cs="Calibri"/>
              </w:rPr>
            </w:pPr>
          </w:p>
        </w:tc>
        <w:tc>
          <w:tcPr>
            <w:tcW w:w="992" w:type="dxa"/>
            <w:tcBorders>
              <w:top w:val="nil"/>
              <w:bottom w:val="single" w:sz="4" w:space="0" w:color="auto"/>
            </w:tcBorders>
            <w:vAlign w:val="bottom"/>
          </w:tcPr>
          <w:p w14:paraId="21C50783" w14:textId="77777777" w:rsidR="000144FF" w:rsidRPr="00A26DB2" w:rsidRDefault="000144FF">
            <w:pPr>
              <w:pStyle w:val="TableText"/>
              <w:tabs>
                <w:tab w:val="left" w:pos="3306"/>
              </w:tabs>
              <w:jc w:val="right"/>
              <w:rPr>
                <w:rFonts w:cs="Calibri"/>
              </w:rPr>
            </w:pPr>
          </w:p>
        </w:tc>
        <w:tc>
          <w:tcPr>
            <w:tcW w:w="993" w:type="dxa"/>
            <w:tcBorders>
              <w:top w:val="nil"/>
              <w:bottom w:val="single" w:sz="4" w:space="0" w:color="auto"/>
            </w:tcBorders>
            <w:vAlign w:val="bottom"/>
          </w:tcPr>
          <w:p w14:paraId="1EBDE22A" w14:textId="77777777" w:rsidR="000144FF" w:rsidRPr="00A26DB2" w:rsidRDefault="000144FF">
            <w:pPr>
              <w:pStyle w:val="TableText"/>
              <w:tabs>
                <w:tab w:val="left" w:pos="3306"/>
              </w:tabs>
              <w:jc w:val="right"/>
              <w:rPr>
                <w:rFonts w:cs="Calibri"/>
              </w:rPr>
            </w:pPr>
          </w:p>
        </w:tc>
        <w:tc>
          <w:tcPr>
            <w:tcW w:w="992" w:type="dxa"/>
            <w:tcBorders>
              <w:top w:val="nil"/>
              <w:bottom w:val="single" w:sz="4" w:space="0" w:color="auto"/>
              <w:right w:val="nil"/>
            </w:tcBorders>
            <w:vAlign w:val="bottom"/>
          </w:tcPr>
          <w:p w14:paraId="759A3A39" w14:textId="77777777" w:rsidR="000144FF" w:rsidRPr="00A26DB2" w:rsidRDefault="000144FF">
            <w:pPr>
              <w:pStyle w:val="TableText"/>
              <w:tabs>
                <w:tab w:val="left" w:pos="3306"/>
              </w:tabs>
              <w:jc w:val="right"/>
              <w:rPr>
                <w:rFonts w:cs="Calibri"/>
              </w:rPr>
            </w:pPr>
          </w:p>
        </w:tc>
      </w:tr>
      <w:tr w:rsidR="000144FF" w:rsidRPr="00CF7E1B" w14:paraId="4EC542B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1D4BA9B0"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AB981C7" w14:textId="77777777" w:rsidR="000144FF" w:rsidRPr="00A26DB2" w:rsidRDefault="000144FF" w:rsidP="005B695A">
            <w:pPr>
              <w:pStyle w:val="TableText"/>
              <w:tabs>
                <w:tab w:val="left" w:pos="3306"/>
              </w:tabs>
              <w:spacing w:after="120"/>
              <w:rPr>
                <w:rFonts w:cs="Calibri"/>
                <w:b/>
                <w:bCs/>
              </w:rPr>
            </w:pPr>
            <w:r w:rsidRPr="00A26DB2">
              <w:rPr>
                <w:rFonts w:cs="Calibri"/>
                <w:b/>
                <w:bCs/>
              </w:rPr>
              <w:t>Total Receipts from Financing Activities</w:t>
            </w:r>
          </w:p>
        </w:tc>
        <w:tc>
          <w:tcPr>
            <w:tcW w:w="850" w:type="dxa"/>
            <w:tcBorders>
              <w:top w:val="nil"/>
            </w:tcBorders>
            <w:vAlign w:val="bottom"/>
          </w:tcPr>
          <w:p w14:paraId="39B49C04" w14:textId="77777777" w:rsidR="000144FF" w:rsidRPr="00A26DB2" w:rsidRDefault="000144FF">
            <w:pPr>
              <w:pStyle w:val="TableText"/>
              <w:tabs>
                <w:tab w:val="left" w:pos="3306"/>
              </w:tabs>
              <w:jc w:val="center"/>
              <w:rPr>
                <w:rFonts w:cs="Calibri"/>
              </w:rPr>
            </w:pPr>
          </w:p>
        </w:tc>
        <w:tc>
          <w:tcPr>
            <w:tcW w:w="992" w:type="dxa"/>
            <w:tcBorders>
              <w:top w:val="single" w:sz="4" w:space="0" w:color="auto"/>
            </w:tcBorders>
            <w:vAlign w:val="bottom"/>
          </w:tcPr>
          <w:p w14:paraId="60D20E82" w14:textId="77777777" w:rsidR="000144FF" w:rsidRPr="00A26DB2" w:rsidRDefault="000144FF">
            <w:pPr>
              <w:pStyle w:val="TableText"/>
              <w:tabs>
                <w:tab w:val="left" w:pos="3306"/>
              </w:tabs>
              <w:jc w:val="right"/>
              <w:rPr>
                <w:rFonts w:cs="Calibri"/>
                <w:b/>
                <w:bCs/>
              </w:rPr>
            </w:pPr>
          </w:p>
        </w:tc>
        <w:tc>
          <w:tcPr>
            <w:tcW w:w="993" w:type="dxa"/>
            <w:tcBorders>
              <w:top w:val="single" w:sz="4" w:space="0" w:color="auto"/>
            </w:tcBorders>
            <w:vAlign w:val="bottom"/>
          </w:tcPr>
          <w:p w14:paraId="75836EE2" w14:textId="77777777" w:rsidR="000144FF" w:rsidRPr="00A26DB2" w:rsidRDefault="000144FF">
            <w:pPr>
              <w:pStyle w:val="TableText"/>
              <w:tabs>
                <w:tab w:val="left" w:pos="3306"/>
              </w:tabs>
              <w:jc w:val="right"/>
              <w:rPr>
                <w:rFonts w:cs="Calibri"/>
                <w:b/>
                <w:bCs/>
              </w:rPr>
            </w:pPr>
          </w:p>
        </w:tc>
        <w:tc>
          <w:tcPr>
            <w:tcW w:w="992" w:type="dxa"/>
            <w:tcBorders>
              <w:top w:val="single" w:sz="4" w:space="0" w:color="auto"/>
              <w:right w:val="nil"/>
            </w:tcBorders>
            <w:vAlign w:val="bottom"/>
          </w:tcPr>
          <w:p w14:paraId="4E41D640" w14:textId="77777777" w:rsidR="000144FF" w:rsidRPr="00A26DB2" w:rsidRDefault="000144FF">
            <w:pPr>
              <w:pStyle w:val="TableText"/>
              <w:tabs>
                <w:tab w:val="left" w:pos="3306"/>
              </w:tabs>
              <w:jc w:val="right"/>
              <w:rPr>
                <w:rFonts w:cs="Calibri"/>
                <w:b/>
                <w:bCs/>
              </w:rPr>
            </w:pPr>
          </w:p>
        </w:tc>
      </w:tr>
      <w:tr w:rsidR="000144FF" w:rsidRPr="00CF7E1B" w14:paraId="7072344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09D7526" w14:textId="77777777" w:rsidR="000144FF" w:rsidRPr="00A26DB2" w:rsidRDefault="000144FF" w:rsidP="0019122B">
            <w:pPr>
              <w:rPr>
                <w:rFonts w:cs="Calibri"/>
                <w:color w:val="7030A0"/>
                <w:sz w:val="14"/>
                <w:szCs w:val="14"/>
              </w:rPr>
            </w:pPr>
          </w:p>
        </w:tc>
        <w:tc>
          <w:tcPr>
            <w:tcW w:w="5103" w:type="dxa"/>
            <w:tcBorders>
              <w:left w:val="single" w:sz="2" w:space="0" w:color="auto"/>
            </w:tcBorders>
            <w:vAlign w:val="bottom"/>
          </w:tcPr>
          <w:p w14:paraId="33A3E04A" w14:textId="77777777" w:rsidR="000144FF" w:rsidRPr="00A26DB2" w:rsidRDefault="000144FF">
            <w:pPr>
              <w:pStyle w:val="TableText"/>
              <w:tabs>
                <w:tab w:val="left" w:pos="3306"/>
              </w:tabs>
              <w:rPr>
                <w:rFonts w:cs="Calibri"/>
                <w:b/>
                <w:bCs/>
              </w:rPr>
            </w:pPr>
            <w:r w:rsidRPr="00A26DB2">
              <w:rPr>
                <w:rFonts w:cs="Calibri"/>
                <w:b/>
                <w:bCs/>
              </w:rPr>
              <w:t>Payments</w:t>
            </w:r>
          </w:p>
        </w:tc>
        <w:tc>
          <w:tcPr>
            <w:tcW w:w="850" w:type="dxa"/>
            <w:vAlign w:val="bottom"/>
          </w:tcPr>
          <w:p w14:paraId="30E0342D" w14:textId="77777777" w:rsidR="000144FF" w:rsidRPr="00A26DB2" w:rsidRDefault="000144FF">
            <w:pPr>
              <w:pStyle w:val="TableText"/>
              <w:tabs>
                <w:tab w:val="left" w:pos="3306"/>
              </w:tabs>
              <w:jc w:val="center"/>
              <w:rPr>
                <w:rFonts w:cs="Calibri"/>
              </w:rPr>
            </w:pPr>
          </w:p>
        </w:tc>
        <w:tc>
          <w:tcPr>
            <w:tcW w:w="992" w:type="dxa"/>
            <w:vAlign w:val="bottom"/>
          </w:tcPr>
          <w:p w14:paraId="243E77A8" w14:textId="77777777" w:rsidR="000144FF" w:rsidRPr="00A26DB2" w:rsidRDefault="000144FF">
            <w:pPr>
              <w:pStyle w:val="TableText"/>
              <w:tabs>
                <w:tab w:val="left" w:pos="3306"/>
              </w:tabs>
              <w:jc w:val="right"/>
              <w:rPr>
                <w:rFonts w:cs="Calibri"/>
              </w:rPr>
            </w:pPr>
          </w:p>
        </w:tc>
        <w:tc>
          <w:tcPr>
            <w:tcW w:w="993" w:type="dxa"/>
            <w:vAlign w:val="bottom"/>
          </w:tcPr>
          <w:p w14:paraId="0B8126F0"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74BF782C" w14:textId="77777777" w:rsidR="000144FF" w:rsidRPr="00A26DB2" w:rsidRDefault="000144FF">
            <w:pPr>
              <w:pStyle w:val="TableText"/>
              <w:tabs>
                <w:tab w:val="left" w:pos="3306"/>
              </w:tabs>
              <w:jc w:val="right"/>
              <w:rPr>
                <w:rFonts w:cs="Calibri"/>
              </w:rPr>
            </w:pPr>
          </w:p>
        </w:tc>
      </w:tr>
      <w:tr w:rsidR="000144FF" w:rsidRPr="00CF7E1B" w14:paraId="58F3E4A3"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684C1C19" w14:textId="77777777" w:rsidR="000144FF" w:rsidRPr="00A26DB2" w:rsidRDefault="000144F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ADECD9D" w14:textId="77777777" w:rsidR="000144FF" w:rsidRPr="00A26DB2" w:rsidRDefault="000144FF">
            <w:pPr>
              <w:pStyle w:val="TableText"/>
              <w:tabs>
                <w:tab w:val="left" w:pos="3306"/>
              </w:tabs>
              <w:rPr>
                <w:rFonts w:cs="Calibri"/>
              </w:rPr>
            </w:pPr>
            <w:r w:rsidRPr="00A26DB2">
              <w:rPr>
                <w:rFonts w:cs="Calibri"/>
              </w:rPr>
              <w:t>Distributions to Government</w:t>
            </w:r>
          </w:p>
        </w:tc>
        <w:tc>
          <w:tcPr>
            <w:tcW w:w="850" w:type="dxa"/>
            <w:vAlign w:val="bottom"/>
          </w:tcPr>
          <w:p w14:paraId="6082D467" w14:textId="77777777" w:rsidR="000144FF" w:rsidRPr="00A26DB2" w:rsidRDefault="000144FF">
            <w:pPr>
              <w:pStyle w:val="TableText"/>
              <w:tabs>
                <w:tab w:val="left" w:pos="3306"/>
              </w:tabs>
              <w:jc w:val="center"/>
              <w:rPr>
                <w:rFonts w:cs="Calibri"/>
              </w:rPr>
            </w:pPr>
          </w:p>
        </w:tc>
        <w:tc>
          <w:tcPr>
            <w:tcW w:w="992" w:type="dxa"/>
            <w:vAlign w:val="bottom"/>
          </w:tcPr>
          <w:p w14:paraId="161B617E" w14:textId="77777777" w:rsidR="000144FF" w:rsidRPr="00A26DB2" w:rsidRDefault="000144FF">
            <w:pPr>
              <w:pStyle w:val="TableText"/>
              <w:tabs>
                <w:tab w:val="left" w:pos="3306"/>
              </w:tabs>
              <w:jc w:val="right"/>
              <w:rPr>
                <w:rFonts w:cs="Calibri"/>
              </w:rPr>
            </w:pPr>
          </w:p>
        </w:tc>
        <w:tc>
          <w:tcPr>
            <w:tcW w:w="993" w:type="dxa"/>
            <w:vAlign w:val="bottom"/>
          </w:tcPr>
          <w:p w14:paraId="3377CBBB"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15CF9E2D" w14:textId="77777777" w:rsidR="000144FF" w:rsidRPr="00A26DB2" w:rsidRDefault="000144FF">
            <w:pPr>
              <w:pStyle w:val="TableText"/>
              <w:tabs>
                <w:tab w:val="left" w:pos="3306"/>
              </w:tabs>
              <w:jc w:val="right"/>
              <w:rPr>
                <w:rFonts w:cs="Calibri"/>
              </w:rPr>
            </w:pPr>
          </w:p>
        </w:tc>
      </w:tr>
      <w:tr w:rsidR="000144FF" w:rsidRPr="00CF7E1B" w14:paraId="7BF47CF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971536"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d)</w:t>
            </w:r>
          </w:p>
        </w:tc>
        <w:tc>
          <w:tcPr>
            <w:tcW w:w="5103" w:type="dxa"/>
            <w:tcBorders>
              <w:left w:val="single" w:sz="2" w:space="0" w:color="auto"/>
            </w:tcBorders>
            <w:vAlign w:val="bottom"/>
          </w:tcPr>
          <w:p w14:paraId="021583D9" w14:textId="77777777" w:rsidR="000144FF" w:rsidRPr="00A26DB2" w:rsidRDefault="000144FF">
            <w:pPr>
              <w:pStyle w:val="TableText"/>
              <w:tabs>
                <w:tab w:val="left" w:pos="3306"/>
              </w:tabs>
              <w:rPr>
                <w:rFonts w:cs="Calibri"/>
              </w:rPr>
            </w:pPr>
            <w:r w:rsidRPr="00A26DB2">
              <w:rPr>
                <w:rFonts w:cs="Calibri"/>
              </w:rPr>
              <w:t>Repayment of Borrowings</w:t>
            </w:r>
          </w:p>
        </w:tc>
        <w:tc>
          <w:tcPr>
            <w:tcW w:w="850" w:type="dxa"/>
            <w:vAlign w:val="bottom"/>
          </w:tcPr>
          <w:p w14:paraId="0E6FDD66" w14:textId="77777777" w:rsidR="000144FF" w:rsidRPr="00A26DB2" w:rsidRDefault="000144FF">
            <w:pPr>
              <w:pStyle w:val="TableText"/>
              <w:tabs>
                <w:tab w:val="left" w:pos="3306"/>
              </w:tabs>
              <w:jc w:val="center"/>
              <w:rPr>
                <w:rFonts w:cs="Calibri"/>
              </w:rPr>
            </w:pPr>
          </w:p>
        </w:tc>
        <w:tc>
          <w:tcPr>
            <w:tcW w:w="992" w:type="dxa"/>
            <w:tcBorders>
              <w:bottom w:val="nil"/>
            </w:tcBorders>
            <w:vAlign w:val="bottom"/>
          </w:tcPr>
          <w:p w14:paraId="748D430F" w14:textId="77777777" w:rsidR="000144FF" w:rsidRPr="00A26DB2" w:rsidRDefault="000144FF">
            <w:pPr>
              <w:pStyle w:val="TableText"/>
              <w:tabs>
                <w:tab w:val="left" w:pos="3306"/>
              </w:tabs>
              <w:jc w:val="right"/>
              <w:rPr>
                <w:rFonts w:cs="Calibri"/>
              </w:rPr>
            </w:pPr>
          </w:p>
        </w:tc>
        <w:tc>
          <w:tcPr>
            <w:tcW w:w="993" w:type="dxa"/>
            <w:tcBorders>
              <w:bottom w:val="nil"/>
            </w:tcBorders>
            <w:vAlign w:val="bottom"/>
          </w:tcPr>
          <w:p w14:paraId="6A527F59" w14:textId="77777777" w:rsidR="000144FF" w:rsidRPr="00A26DB2" w:rsidRDefault="000144FF">
            <w:pPr>
              <w:pStyle w:val="TableText"/>
              <w:tabs>
                <w:tab w:val="left" w:pos="3306"/>
              </w:tabs>
              <w:jc w:val="right"/>
              <w:rPr>
                <w:rFonts w:cs="Calibri"/>
              </w:rPr>
            </w:pPr>
          </w:p>
        </w:tc>
        <w:tc>
          <w:tcPr>
            <w:tcW w:w="992" w:type="dxa"/>
            <w:tcBorders>
              <w:bottom w:val="nil"/>
              <w:right w:val="nil"/>
            </w:tcBorders>
            <w:vAlign w:val="bottom"/>
          </w:tcPr>
          <w:p w14:paraId="79EC5E8F" w14:textId="77777777" w:rsidR="000144FF" w:rsidRPr="00A26DB2" w:rsidRDefault="000144FF">
            <w:pPr>
              <w:pStyle w:val="TableText"/>
              <w:tabs>
                <w:tab w:val="left" w:pos="3306"/>
              </w:tabs>
              <w:jc w:val="right"/>
              <w:rPr>
                <w:rFonts w:cs="Calibri"/>
              </w:rPr>
            </w:pPr>
          </w:p>
        </w:tc>
      </w:tr>
      <w:tr w:rsidR="00970FDF" w:rsidRPr="00CF7E1B" w14:paraId="1DB49CB3" w14:textId="77777777" w:rsidTr="00126B18">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F15615A"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107.17(e)</w:t>
            </w:r>
          </w:p>
          <w:p w14:paraId="02448AD9" w14:textId="77777777" w:rsidR="00D032F3" w:rsidRPr="00A26DB2" w:rsidRDefault="00D032F3" w:rsidP="00970FDF">
            <w:pPr>
              <w:pStyle w:val="TableReference"/>
              <w:tabs>
                <w:tab w:val="left" w:pos="3306"/>
              </w:tabs>
              <w:spacing w:before="60"/>
              <w:rPr>
                <w:rFonts w:cs="Calibri"/>
                <w:color w:val="7030A0"/>
                <w:sz w:val="14"/>
              </w:rPr>
            </w:pPr>
            <w:r w:rsidRPr="00A26DB2">
              <w:rPr>
                <w:rFonts w:cs="Calibri"/>
                <w:color w:val="7030A0"/>
                <w:sz w:val="14"/>
              </w:rPr>
              <w:t>AASB 16.50(a)</w:t>
            </w:r>
          </w:p>
        </w:tc>
        <w:tc>
          <w:tcPr>
            <w:tcW w:w="5103" w:type="dxa"/>
            <w:tcBorders>
              <w:left w:val="single" w:sz="2" w:space="0" w:color="auto"/>
            </w:tcBorders>
            <w:vAlign w:val="center"/>
          </w:tcPr>
          <w:p w14:paraId="1A8F4F72" w14:textId="3E240DF6" w:rsidR="00970FDF" w:rsidRPr="00A26DB2" w:rsidRDefault="00970FDF" w:rsidP="00126B18">
            <w:pPr>
              <w:pStyle w:val="TableText"/>
              <w:tabs>
                <w:tab w:val="left" w:pos="3306"/>
              </w:tabs>
              <w:rPr>
                <w:rFonts w:cs="Calibri"/>
              </w:rPr>
            </w:pPr>
            <w:r w:rsidRPr="00A26DB2">
              <w:rPr>
                <w:rFonts w:cs="Calibri"/>
              </w:rPr>
              <w:t xml:space="preserve">Repayment </w:t>
            </w:r>
            <w:r w:rsidR="00D30C12" w:rsidRPr="00A26DB2">
              <w:rPr>
                <w:rFonts w:cs="Calibri"/>
              </w:rPr>
              <w:t xml:space="preserve">of </w:t>
            </w:r>
            <w:r w:rsidRPr="00A26DB2">
              <w:rPr>
                <w:rFonts w:cs="Calibri"/>
              </w:rPr>
              <w:t>Lease Liabilities</w:t>
            </w:r>
            <w:r w:rsidR="00A21A66" w:rsidRPr="00A26DB2">
              <w:rPr>
                <w:rFonts w:cs="Calibri"/>
              </w:rPr>
              <w:t xml:space="preserve"> </w:t>
            </w:r>
            <w:r w:rsidR="00776995" w:rsidRPr="00A26DB2">
              <w:rPr>
                <w:rFonts w:cs="Calibri"/>
              </w:rPr>
              <w:t>–</w:t>
            </w:r>
            <w:r w:rsidR="00A21A66" w:rsidRPr="00A26DB2">
              <w:rPr>
                <w:rFonts w:cs="Calibri"/>
              </w:rPr>
              <w:t xml:space="preserve"> Principal</w:t>
            </w:r>
          </w:p>
        </w:tc>
        <w:tc>
          <w:tcPr>
            <w:tcW w:w="850" w:type="dxa"/>
            <w:vAlign w:val="bottom"/>
          </w:tcPr>
          <w:p w14:paraId="06E78D21" w14:textId="77777777" w:rsidR="00970FDF" w:rsidRPr="00A26DB2" w:rsidRDefault="00970FDF" w:rsidP="00970FDF">
            <w:pPr>
              <w:pStyle w:val="TableText"/>
              <w:tabs>
                <w:tab w:val="left" w:pos="3306"/>
              </w:tabs>
              <w:jc w:val="center"/>
              <w:rPr>
                <w:rFonts w:cs="Calibri"/>
              </w:rPr>
            </w:pPr>
          </w:p>
        </w:tc>
        <w:tc>
          <w:tcPr>
            <w:tcW w:w="992" w:type="dxa"/>
            <w:tcBorders>
              <w:bottom w:val="nil"/>
            </w:tcBorders>
            <w:shd w:val="clear" w:color="auto" w:fill="auto"/>
            <w:vAlign w:val="bottom"/>
          </w:tcPr>
          <w:p w14:paraId="7C1DE4C1" w14:textId="77777777" w:rsidR="00970FDF" w:rsidRPr="00A26DB2" w:rsidRDefault="00970FDF" w:rsidP="00970FDF">
            <w:pPr>
              <w:pStyle w:val="TableText"/>
              <w:tabs>
                <w:tab w:val="left" w:pos="3306"/>
              </w:tabs>
              <w:jc w:val="right"/>
              <w:rPr>
                <w:rFonts w:cs="Calibri"/>
              </w:rPr>
            </w:pPr>
          </w:p>
        </w:tc>
        <w:tc>
          <w:tcPr>
            <w:tcW w:w="993" w:type="dxa"/>
            <w:tcBorders>
              <w:bottom w:val="nil"/>
            </w:tcBorders>
            <w:shd w:val="clear" w:color="auto" w:fill="auto"/>
            <w:vAlign w:val="bottom"/>
          </w:tcPr>
          <w:p w14:paraId="21DDC20B" w14:textId="77777777" w:rsidR="00970FDF" w:rsidRPr="00A26DB2" w:rsidRDefault="00970FDF" w:rsidP="00970FDF">
            <w:pPr>
              <w:pStyle w:val="TableText"/>
              <w:tabs>
                <w:tab w:val="left" w:pos="3306"/>
              </w:tabs>
              <w:jc w:val="right"/>
              <w:rPr>
                <w:rFonts w:cs="Calibri"/>
              </w:rPr>
            </w:pPr>
          </w:p>
        </w:tc>
        <w:tc>
          <w:tcPr>
            <w:tcW w:w="992" w:type="dxa"/>
            <w:tcBorders>
              <w:bottom w:val="nil"/>
              <w:right w:val="nil"/>
            </w:tcBorders>
            <w:shd w:val="clear" w:color="auto" w:fill="auto"/>
            <w:vAlign w:val="bottom"/>
          </w:tcPr>
          <w:p w14:paraId="5369D246" w14:textId="77777777" w:rsidR="00970FDF" w:rsidRPr="00A26DB2" w:rsidRDefault="00970FDF" w:rsidP="00970FDF">
            <w:pPr>
              <w:pStyle w:val="TableText"/>
              <w:tabs>
                <w:tab w:val="left" w:pos="3306"/>
              </w:tabs>
              <w:jc w:val="right"/>
              <w:rPr>
                <w:rFonts w:cs="Calibri"/>
              </w:rPr>
            </w:pPr>
          </w:p>
        </w:tc>
      </w:tr>
      <w:tr w:rsidR="00970FDF" w:rsidRPr="00CF7E1B" w14:paraId="54497EC1"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4EC4DA1"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107.31</w:t>
            </w:r>
          </w:p>
        </w:tc>
        <w:tc>
          <w:tcPr>
            <w:tcW w:w="5103" w:type="dxa"/>
            <w:tcBorders>
              <w:left w:val="single" w:sz="2" w:space="0" w:color="auto"/>
            </w:tcBorders>
            <w:vAlign w:val="bottom"/>
          </w:tcPr>
          <w:p w14:paraId="686AE1B8" w14:textId="77777777" w:rsidR="00970FDF" w:rsidRPr="00A26DB2" w:rsidRDefault="00970FDF" w:rsidP="00970FDF">
            <w:pPr>
              <w:pStyle w:val="TableText"/>
              <w:tabs>
                <w:tab w:val="left" w:pos="3306"/>
              </w:tabs>
              <w:rPr>
                <w:rFonts w:cs="Calibri"/>
              </w:rPr>
            </w:pPr>
            <w:r w:rsidRPr="00A26DB2">
              <w:rPr>
                <w:rFonts w:cs="Calibri"/>
              </w:rPr>
              <w:t>Payment of Dividend</w:t>
            </w:r>
          </w:p>
        </w:tc>
        <w:tc>
          <w:tcPr>
            <w:tcW w:w="850" w:type="dxa"/>
            <w:vAlign w:val="bottom"/>
          </w:tcPr>
          <w:p w14:paraId="67622D94"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3C7B6986" w14:textId="77777777" w:rsidR="00970FDF" w:rsidRPr="00A26DB2" w:rsidRDefault="00970FDF" w:rsidP="00970FDF">
            <w:pPr>
              <w:pStyle w:val="TableText"/>
              <w:tabs>
                <w:tab w:val="left" w:pos="3306"/>
              </w:tabs>
              <w:jc w:val="right"/>
              <w:rPr>
                <w:rFonts w:cs="Calibri"/>
              </w:rPr>
            </w:pPr>
          </w:p>
        </w:tc>
        <w:tc>
          <w:tcPr>
            <w:tcW w:w="993" w:type="dxa"/>
            <w:tcBorders>
              <w:bottom w:val="single" w:sz="2" w:space="0" w:color="auto"/>
            </w:tcBorders>
            <w:vAlign w:val="bottom"/>
          </w:tcPr>
          <w:p w14:paraId="658BFC97" w14:textId="77777777" w:rsidR="00970FDF" w:rsidRPr="00A26DB2" w:rsidRDefault="00970FDF" w:rsidP="00970FDF">
            <w:pPr>
              <w:pStyle w:val="TableText"/>
              <w:tabs>
                <w:tab w:val="left" w:pos="3306"/>
              </w:tabs>
              <w:jc w:val="right"/>
              <w:rPr>
                <w:rFonts w:cs="Calibri"/>
              </w:rPr>
            </w:pPr>
          </w:p>
        </w:tc>
        <w:tc>
          <w:tcPr>
            <w:tcW w:w="992" w:type="dxa"/>
            <w:tcBorders>
              <w:bottom w:val="single" w:sz="2" w:space="0" w:color="auto"/>
              <w:right w:val="nil"/>
            </w:tcBorders>
            <w:vAlign w:val="bottom"/>
          </w:tcPr>
          <w:p w14:paraId="46660E90" w14:textId="77777777" w:rsidR="00970FDF" w:rsidRPr="00A26DB2" w:rsidRDefault="00970FDF" w:rsidP="00970FDF">
            <w:pPr>
              <w:pStyle w:val="TableText"/>
              <w:tabs>
                <w:tab w:val="left" w:pos="3306"/>
              </w:tabs>
              <w:jc w:val="right"/>
              <w:rPr>
                <w:rFonts w:cs="Calibri"/>
              </w:rPr>
            </w:pPr>
          </w:p>
        </w:tc>
      </w:tr>
      <w:tr w:rsidR="00970FDF" w:rsidRPr="00CF7E1B" w14:paraId="29D76B2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290A727"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2269525F" w14:textId="77777777" w:rsidR="00970FDF" w:rsidRPr="00A26DB2" w:rsidRDefault="00970FDF" w:rsidP="00970FDF">
            <w:pPr>
              <w:pStyle w:val="TableText"/>
              <w:tabs>
                <w:tab w:val="left" w:pos="3306"/>
              </w:tabs>
              <w:rPr>
                <w:rFonts w:cs="Calibri"/>
                <w:b/>
                <w:bCs/>
              </w:rPr>
            </w:pPr>
            <w:bookmarkStart w:id="235" w:name="_Toc48468237"/>
            <w:bookmarkStart w:id="236" w:name="_Toc49155428"/>
            <w:bookmarkStart w:id="237" w:name="_Toc49223877"/>
            <w:r w:rsidRPr="00A26DB2">
              <w:rPr>
                <w:rFonts w:cs="Calibri"/>
                <w:b/>
                <w:bCs/>
              </w:rPr>
              <w:t>Total Payments from Financing Activities</w:t>
            </w:r>
            <w:bookmarkEnd w:id="235"/>
            <w:bookmarkEnd w:id="236"/>
            <w:bookmarkEnd w:id="237"/>
          </w:p>
        </w:tc>
        <w:tc>
          <w:tcPr>
            <w:tcW w:w="850" w:type="dxa"/>
            <w:vAlign w:val="bottom"/>
          </w:tcPr>
          <w:p w14:paraId="3D89B9C3"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nil"/>
            </w:tcBorders>
            <w:vAlign w:val="bottom"/>
          </w:tcPr>
          <w:p w14:paraId="67A850F8" w14:textId="77777777" w:rsidR="00970FDF" w:rsidRPr="00A26DB2" w:rsidRDefault="00970FDF" w:rsidP="00970FDF">
            <w:pPr>
              <w:pStyle w:val="TableText"/>
              <w:tabs>
                <w:tab w:val="left" w:pos="3306"/>
              </w:tabs>
              <w:jc w:val="right"/>
              <w:rPr>
                <w:rFonts w:cs="Calibri"/>
                <w:b/>
                <w:bCs/>
              </w:rPr>
            </w:pPr>
          </w:p>
        </w:tc>
        <w:tc>
          <w:tcPr>
            <w:tcW w:w="993" w:type="dxa"/>
            <w:tcBorders>
              <w:top w:val="single" w:sz="2" w:space="0" w:color="auto"/>
              <w:bottom w:val="nil"/>
            </w:tcBorders>
            <w:vAlign w:val="bottom"/>
          </w:tcPr>
          <w:p w14:paraId="3F371FD9"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nil"/>
              <w:right w:val="nil"/>
            </w:tcBorders>
            <w:vAlign w:val="bottom"/>
          </w:tcPr>
          <w:p w14:paraId="40CD94EF" w14:textId="77777777" w:rsidR="00970FDF" w:rsidRPr="00A26DB2" w:rsidRDefault="00970FDF" w:rsidP="00970FDF">
            <w:pPr>
              <w:pStyle w:val="TableText"/>
              <w:tabs>
                <w:tab w:val="left" w:pos="3306"/>
              </w:tabs>
              <w:jc w:val="right"/>
              <w:rPr>
                <w:rFonts w:cs="Calibri"/>
                <w:b/>
                <w:bCs/>
              </w:rPr>
            </w:pPr>
          </w:p>
        </w:tc>
      </w:tr>
      <w:tr w:rsidR="005B695A" w:rsidRPr="005B695A" w14:paraId="3A95424C"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6656350" w14:textId="77777777" w:rsidR="005B695A" w:rsidRPr="00A26DB2" w:rsidRDefault="005B695A" w:rsidP="00970FDF">
            <w:pPr>
              <w:pStyle w:val="TableReference"/>
              <w:tabs>
                <w:tab w:val="left" w:pos="3306"/>
              </w:tabs>
              <w:spacing w:before="40"/>
              <w:rPr>
                <w:rFonts w:cs="Calibri"/>
                <w:color w:val="7030A0"/>
                <w:sz w:val="6"/>
                <w:szCs w:val="6"/>
              </w:rPr>
            </w:pPr>
          </w:p>
        </w:tc>
        <w:tc>
          <w:tcPr>
            <w:tcW w:w="5103" w:type="dxa"/>
            <w:tcBorders>
              <w:left w:val="single" w:sz="2" w:space="0" w:color="auto"/>
            </w:tcBorders>
            <w:vAlign w:val="bottom"/>
          </w:tcPr>
          <w:p w14:paraId="7A9FA909" w14:textId="77777777" w:rsidR="005B695A" w:rsidRPr="00A26DB2" w:rsidRDefault="005B695A" w:rsidP="00970FDF">
            <w:pPr>
              <w:pStyle w:val="TableText"/>
              <w:tabs>
                <w:tab w:val="left" w:pos="3306"/>
              </w:tabs>
              <w:rPr>
                <w:rFonts w:cs="Calibri"/>
                <w:b/>
                <w:bCs/>
                <w:sz w:val="6"/>
                <w:szCs w:val="6"/>
              </w:rPr>
            </w:pPr>
          </w:p>
        </w:tc>
        <w:tc>
          <w:tcPr>
            <w:tcW w:w="850" w:type="dxa"/>
            <w:vAlign w:val="bottom"/>
          </w:tcPr>
          <w:p w14:paraId="5A24A838" w14:textId="77777777" w:rsidR="005B695A" w:rsidRPr="00A26DB2" w:rsidRDefault="005B695A" w:rsidP="00970FDF">
            <w:pPr>
              <w:pStyle w:val="TableText"/>
              <w:tabs>
                <w:tab w:val="left" w:pos="3306"/>
              </w:tabs>
              <w:jc w:val="center"/>
              <w:rPr>
                <w:rFonts w:cs="Calibri"/>
                <w:sz w:val="6"/>
                <w:szCs w:val="6"/>
              </w:rPr>
            </w:pPr>
          </w:p>
        </w:tc>
        <w:tc>
          <w:tcPr>
            <w:tcW w:w="992" w:type="dxa"/>
            <w:tcBorders>
              <w:top w:val="nil"/>
              <w:bottom w:val="single" w:sz="2" w:space="0" w:color="auto"/>
            </w:tcBorders>
            <w:vAlign w:val="bottom"/>
          </w:tcPr>
          <w:p w14:paraId="4B564030" w14:textId="77777777" w:rsidR="005B695A" w:rsidRPr="00A26DB2" w:rsidRDefault="005B695A" w:rsidP="00970FDF">
            <w:pPr>
              <w:pStyle w:val="TableText"/>
              <w:tabs>
                <w:tab w:val="left" w:pos="3306"/>
              </w:tabs>
              <w:jc w:val="right"/>
              <w:rPr>
                <w:rFonts w:cs="Calibri"/>
                <w:b/>
                <w:bCs/>
                <w:sz w:val="6"/>
                <w:szCs w:val="6"/>
              </w:rPr>
            </w:pPr>
          </w:p>
        </w:tc>
        <w:tc>
          <w:tcPr>
            <w:tcW w:w="993" w:type="dxa"/>
            <w:tcBorders>
              <w:top w:val="nil"/>
              <w:bottom w:val="single" w:sz="2" w:space="0" w:color="auto"/>
            </w:tcBorders>
            <w:vAlign w:val="bottom"/>
          </w:tcPr>
          <w:p w14:paraId="46E95518" w14:textId="77777777" w:rsidR="005B695A" w:rsidRPr="00A26DB2" w:rsidRDefault="005B695A" w:rsidP="00970FDF">
            <w:pPr>
              <w:pStyle w:val="TableText"/>
              <w:tabs>
                <w:tab w:val="left" w:pos="3306"/>
              </w:tabs>
              <w:jc w:val="right"/>
              <w:rPr>
                <w:rFonts w:cs="Calibri"/>
                <w:b/>
                <w:bCs/>
                <w:sz w:val="6"/>
                <w:szCs w:val="6"/>
              </w:rPr>
            </w:pPr>
          </w:p>
        </w:tc>
        <w:tc>
          <w:tcPr>
            <w:tcW w:w="992" w:type="dxa"/>
            <w:tcBorders>
              <w:top w:val="nil"/>
              <w:bottom w:val="single" w:sz="2" w:space="0" w:color="auto"/>
              <w:right w:val="nil"/>
            </w:tcBorders>
            <w:vAlign w:val="bottom"/>
          </w:tcPr>
          <w:p w14:paraId="00724387" w14:textId="77777777" w:rsidR="005B695A" w:rsidRPr="00A26DB2" w:rsidRDefault="005B695A" w:rsidP="00970FDF">
            <w:pPr>
              <w:pStyle w:val="TableText"/>
              <w:tabs>
                <w:tab w:val="left" w:pos="3306"/>
              </w:tabs>
              <w:jc w:val="right"/>
              <w:rPr>
                <w:rFonts w:cs="Calibri"/>
                <w:b/>
                <w:bCs/>
                <w:sz w:val="6"/>
                <w:szCs w:val="6"/>
              </w:rPr>
            </w:pPr>
          </w:p>
        </w:tc>
      </w:tr>
      <w:tr w:rsidR="00970FDF" w:rsidRPr="00CF7E1B" w14:paraId="0AE1F7F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8362782"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6096817D" w14:textId="685D1999" w:rsidR="00970FDF" w:rsidRPr="00A26DB2" w:rsidRDefault="005B695A" w:rsidP="00970FDF">
            <w:pPr>
              <w:pStyle w:val="TableText"/>
              <w:tabs>
                <w:tab w:val="left" w:pos="3306"/>
              </w:tabs>
              <w:rPr>
                <w:rFonts w:cs="Calibri"/>
              </w:rPr>
            </w:pPr>
            <w:r w:rsidRPr="00A26DB2">
              <w:rPr>
                <w:rFonts w:cs="Calibri"/>
                <w:b/>
                <w:bCs/>
              </w:rPr>
              <w:t>Net Cash Inflows/(Outflows) from Financing Activities</w:t>
            </w:r>
          </w:p>
        </w:tc>
        <w:tc>
          <w:tcPr>
            <w:tcW w:w="850" w:type="dxa"/>
            <w:vAlign w:val="bottom"/>
          </w:tcPr>
          <w:p w14:paraId="08F27B65"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single" w:sz="2" w:space="0" w:color="auto"/>
            </w:tcBorders>
            <w:vAlign w:val="bottom"/>
          </w:tcPr>
          <w:p w14:paraId="59748325" w14:textId="77777777" w:rsidR="00970FDF" w:rsidRPr="00A26DB2" w:rsidRDefault="00970FDF" w:rsidP="00970FDF">
            <w:pPr>
              <w:pStyle w:val="TableText"/>
              <w:tabs>
                <w:tab w:val="left" w:pos="3306"/>
              </w:tabs>
              <w:jc w:val="right"/>
              <w:rPr>
                <w:rFonts w:cs="Calibri"/>
              </w:rPr>
            </w:pPr>
          </w:p>
        </w:tc>
        <w:tc>
          <w:tcPr>
            <w:tcW w:w="993" w:type="dxa"/>
            <w:tcBorders>
              <w:top w:val="single" w:sz="2" w:space="0" w:color="auto"/>
              <w:bottom w:val="single" w:sz="2" w:space="0" w:color="auto"/>
            </w:tcBorders>
            <w:vAlign w:val="bottom"/>
          </w:tcPr>
          <w:p w14:paraId="65D7F7C8" w14:textId="77777777" w:rsidR="00970FDF" w:rsidRPr="00A26DB2" w:rsidRDefault="00970FDF" w:rsidP="00970FDF">
            <w:pPr>
              <w:pStyle w:val="TableText"/>
              <w:tabs>
                <w:tab w:val="left" w:pos="3306"/>
              </w:tabs>
              <w:jc w:val="right"/>
              <w:rPr>
                <w:rFonts w:cs="Calibri"/>
              </w:rPr>
            </w:pPr>
          </w:p>
        </w:tc>
        <w:tc>
          <w:tcPr>
            <w:tcW w:w="992" w:type="dxa"/>
            <w:tcBorders>
              <w:top w:val="single" w:sz="2" w:space="0" w:color="auto"/>
              <w:bottom w:val="single" w:sz="2" w:space="0" w:color="auto"/>
              <w:right w:val="nil"/>
            </w:tcBorders>
            <w:vAlign w:val="bottom"/>
          </w:tcPr>
          <w:p w14:paraId="2949AF97" w14:textId="77777777" w:rsidR="00970FDF" w:rsidRPr="00A26DB2" w:rsidRDefault="00970FDF" w:rsidP="00970FDF">
            <w:pPr>
              <w:pStyle w:val="TableText"/>
              <w:tabs>
                <w:tab w:val="left" w:pos="3306"/>
              </w:tabs>
              <w:jc w:val="center"/>
              <w:rPr>
                <w:rFonts w:cs="Calibri"/>
              </w:rPr>
            </w:pPr>
          </w:p>
        </w:tc>
      </w:tr>
      <w:tr w:rsidR="005B695A" w:rsidRPr="00CF7E1B" w14:paraId="43888B84"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77A6EF" w14:textId="77777777" w:rsidR="005B695A" w:rsidRPr="00A26DB2" w:rsidRDefault="005B695A"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C4BED59" w14:textId="77777777" w:rsidR="005B695A" w:rsidRPr="00A26DB2" w:rsidRDefault="005B695A" w:rsidP="00970FDF">
            <w:pPr>
              <w:pStyle w:val="TableText"/>
              <w:tabs>
                <w:tab w:val="left" w:pos="3306"/>
              </w:tabs>
              <w:rPr>
                <w:rFonts w:cs="Calibri"/>
              </w:rPr>
            </w:pPr>
          </w:p>
        </w:tc>
        <w:tc>
          <w:tcPr>
            <w:tcW w:w="850" w:type="dxa"/>
            <w:vAlign w:val="bottom"/>
          </w:tcPr>
          <w:p w14:paraId="17DD56F6" w14:textId="77777777" w:rsidR="005B695A" w:rsidRPr="00A26DB2" w:rsidRDefault="005B695A" w:rsidP="00970FDF">
            <w:pPr>
              <w:pStyle w:val="TableText"/>
              <w:tabs>
                <w:tab w:val="left" w:pos="3306"/>
              </w:tabs>
              <w:jc w:val="center"/>
              <w:rPr>
                <w:rFonts w:cs="Calibri"/>
              </w:rPr>
            </w:pPr>
          </w:p>
        </w:tc>
        <w:tc>
          <w:tcPr>
            <w:tcW w:w="992" w:type="dxa"/>
            <w:tcBorders>
              <w:top w:val="single" w:sz="2" w:space="0" w:color="auto"/>
            </w:tcBorders>
            <w:vAlign w:val="bottom"/>
          </w:tcPr>
          <w:p w14:paraId="215DD6DD" w14:textId="77777777" w:rsidR="005B695A" w:rsidRPr="00A26DB2" w:rsidRDefault="005B695A" w:rsidP="00970FDF">
            <w:pPr>
              <w:pStyle w:val="TableText"/>
              <w:tabs>
                <w:tab w:val="left" w:pos="3306"/>
              </w:tabs>
              <w:jc w:val="right"/>
              <w:rPr>
                <w:rFonts w:cs="Calibri"/>
              </w:rPr>
            </w:pPr>
          </w:p>
        </w:tc>
        <w:tc>
          <w:tcPr>
            <w:tcW w:w="993" w:type="dxa"/>
            <w:tcBorders>
              <w:top w:val="single" w:sz="2" w:space="0" w:color="auto"/>
            </w:tcBorders>
            <w:vAlign w:val="bottom"/>
          </w:tcPr>
          <w:p w14:paraId="2808984E" w14:textId="77777777" w:rsidR="005B695A" w:rsidRPr="00A26DB2" w:rsidRDefault="005B695A" w:rsidP="00970FDF">
            <w:pPr>
              <w:pStyle w:val="TableText"/>
              <w:tabs>
                <w:tab w:val="left" w:pos="3306"/>
              </w:tabs>
              <w:jc w:val="right"/>
              <w:rPr>
                <w:rFonts w:cs="Calibri"/>
              </w:rPr>
            </w:pPr>
          </w:p>
        </w:tc>
        <w:tc>
          <w:tcPr>
            <w:tcW w:w="992" w:type="dxa"/>
            <w:tcBorders>
              <w:top w:val="single" w:sz="2" w:space="0" w:color="auto"/>
              <w:right w:val="nil"/>
            </w:tcBorders>
            <w:vAlign w:val="bottom"/>
          </w:tcPr>
          <w:p w14:paraId="6CC7AEC4" w14:textId="77777777" w:rsidR="005B695A" w:rsidRPr="00A26DB2" w:rsidRDefault="005B695A" w:rsidP="00970FDF">
            <w:pPr>
              <w:pStyle w:val="TableText"/>
              <w:tabs>
                <w:tab w:val="left" w:pos="3306"/>
              </w:tabs>
              <w:jc w:val="center"/>
              <w:rPr>
                <w:rFonts w:cs="Calibri"/>
              </w:rPr>
            </w:pPr>
          </w:p>
        </w:tc>
      </w:tr>
      <w:tr w:rsidR="00970FDF" w:rsidRPr="00CF7E1B" w14:paraId="53F35762"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9F29CD8"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0B77C358" w14:textId="77777777" w:rsidR="00970FDF" w:rsidRPr="00A26DB2" w:rsidRDefault="00970FDF" w:rsidP="00970FDF">
            <w:pPr>
              <w:pStyle w:val="TableText"/>
              <w:tabs>
                <w:tab w:val="left" w:pos="3306"/>
              </w:tabs>
              <w:rPr>
                <w:rFonts w:cs="Calibri"/>
                <w:b/>
                <w:bCs/>
              </w:rPr>
            </w:pPr>
            <w:r w:rsidRPr="00A26DB2">
              <w:rPr>
                <w:rFonts w:cs="Calibri"/>
                <w:b/>
                <w:bCs/>
              </w:rPr>
              <w:t xml:space="preserve">Net Increase/(Decrease) in Cash and Cash Equivalents </w:t>
            </w:r>
          </w:p>
        </w:tc>
        <w:tc>
          <w:tcPr>
            <w:tcW w:w="850" w:type="dxa"/>
            <w:vAlign w:val="bottom"/>
          </w:tcPr>
          <w:p w14:paraId="0C8DB547" w14:textId="77777777" w:rsidR="00970FDF" w:rsidRPr="00A26DB2" w:rsidRDefault="00970FDF" w:rsidP="00970FDF">
            <w:pPr>
              <w:pStyle w:val="TableText"/>
              <w:tabs>
                <w:tab w:val="left" w:pos="3306"/>
              </w:tabs>
              <w:jc w:val="center"/>
              <w:rPr>
                <w:rFonts w:cs="Calibri"/>
              </w:rPr>
            </w:pPr>
          </w:p>
        </w:tc>
        <w:tc>
          <w:tcPr>
            <w:tcW w:w="992" w:type="dxa"/>
            <w:tcBorders>
              <w:bottom w:val="nil"/>
            </w:tcBorders>
            <w:vAlign w:val="bottom"/>
          </w:tcPr>
          <w:p w14:paraId="33702203" w14:textId="77777777" w:rsidR="00970FDF" w:rsidRPr="00A26DB2" w:rsidRDefault="00970FDF" w:rsidP="00970FDF">
            <w:pPr>
              <w:pStyle w:val="TableText"/>
              <w:tabs>
                <w:tab w:val="left" w:pos="3306"/>
              </w:tabs>
              <w:jc w:val="right"/>
              <w:rPr>
                <w:rFonts w:cs="Calibri"/>
                <w:b/>
                <w:bCs/>
              </w:rPr>
            </w:pPr>
          </w:p>
        </w:tc>
        <w:tc>
          <w:tcPr>
            <w:tcW w:w="993" w:type="dxa"/>
            <w:tcBorders>
              <w:bottom w:val="nil"/>
            </w:tcBorders>
            <w:vAlign w:val="bottom"/>
          </w:tcPr>
          <w:p w14:paraId="6FD58FEC" w14:textId="77777777" w:rsidR="00970FDF" w:rsidRPr="00A26DB2" w:rsidRDefault="00970FDF" w:rsidP="00970FDF">
            <w:pPr>
              <w:pStyle w:val="TableText"/>
              <w:tabs>
                <w:tab w:val="left" w:pos="3306"/>
              </w:tabs>
              <w:jc w:val="right"/>
              <w:rPr>
                <w:rFonts w:cs="Calibri"/>
                <w:b/>
                <w:bCs/>
              </w:rPr>
            </w:pPr>
          </w:p>
        </w:tc>
        <w:tc>
          <w:tcPr>
            <w:tcW w:w="992" w:type="dxa"/>
            <w:tcBorders>
              <w:bottom w:val="nil"/>
              <w:right w:val="nil"/>
            </w:tcBorders>
            <w:vAlign w:val="bottom"/>
          </w:tcPr>
          <w:p w14:paraId="6EFF51D5" w14:textId="77777777" w:rsidR="00970FDF" w:rsidRPr="00A26DB2" w:rsidRDefault="00970FDF" w:rsidP="00970FDF">
            <w:pPr>
              <w:pStyle w:val="TableText"/>
              <w:tabs>
                <w:tab w:val="left" w:pos="3306"/>
              </w:tabs>
              <w:jc w:val="right"/>
              <w:rPr>
                <w:rFonts w:cs="Calibri"/>
                <w:b/>
                <w:bCs/>
              </w:rPr>
            </w:pPr>
          </w:p>
        </w:tc>
      </w:tr>
      <w:tr w:rsidR="00970FDF" w:rsidRPr="00CF7E1B" w14:paraId="46D6697A"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96C1FF2"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left w:val="single" w:sz="2" w:space="0" w:color="auto"/>
              <w:bottom w:val="nil"/>
            </w:tcBorders>
            <w:vAlign w:val="bottom"/>
          </w:tcPr>
          <w:p w14:paraId="04125C7C" w14:textId="77777777" w:rsidR="00970FDF" w:rsidRPr="00A26DB2" w:rsidRDefault="00970FDF" w:rsidP="00970FDF">
            <w:pPr>
              <w:pStyle w:val="TableText"/>
              <w:tabs>
                <w:tab w:val="left" w:pos="3306"/>
              </w:tabs>
              <w:rPr>
                <w:rFonts w:cs="Calibri"/>
              </w:rPr>
            </w:pPr>
            <w:bookmarkStart w:id="238" w:name="_Toc48468238"/>
            <w:bookmarkStart w:id="239" w:name="_Toc49155429"/>
            <w:bookmarkStart w:id="240" w:name="_Toc49223878"/>
            <w:r w:rsidRPr="00A26DB2">
              <w:rPr>
                <w:rFonts w:cs="Calibri"/>
              </w:rPr>
              <w:t>Cash and Cash Equivalents at the Beginning of the Reporting Period</w:t>
            </w:r>
            <w:bookmarkEnd w:id="238"/>
            <w:bookmarkEnd w:id="239"/>
            <w:bookmarkEnd w:id="240"/>
          </w:p>
        </w:tc>
        <w:tc>
          <w:tcPr>
            <w:tcW w:w="850" w:type="dxa"/>
            <w:tcBorders>
              <w:bottom w:val="nil"/>
            </w:tcBorders>
            <w:vAlign w:val="bottom"/>
          </w:tcPr>
          <w:p w14:paraId="4F72C528"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01026DA5" w14:textId="77777777" w:rsidR="00970FDF" w:rsidRPr="00A26DB2" w:rsidRDefault="00970FDF" w:rsidP="00970FDF">
            <w:pPr>
              <w:pStyle w:val="TableText"/>
              <w:tabs>
                <w:tab w:val="left" w:pos="3306"/>
              </w:tabs>
              <w:jc w:val="right"/>
              <w:rPr>
                <w:rFonts w:cs="Calibri"/>
                <w:strike/>
              </w:rPr>
            </w:pPr>
          </w:p>
        </w:tc>
        <w:tc>
          <w:tcPr>
            <w:tcW w:w="993" w:type="dxa"/>
            <w:tcBorders>
              <w:bottom w:val="single" w:sz="2" w:space="0" w:color="auto"/>
            </w:tcBorders>
            <w:vAlign w:val="bottom"/>
          </w:tcPr>
          <w:p w14:paraId="55350BD0" w14:textId="77777777" w:rsidR="00970FDF" w:rsidRPr="00A26DB2" w:rsidRDefault="00970FDF" w:rsidP="00970FDF">
            <w:pPr>
              <w:pStyle w:val="TableText"/>
              <w:tabs>
                <w:tab w:val="left" w:pos="3306"/>
              </w:tabs>
              <w:jc w:val="right"/>
              <w:rPr>
                <w:rFonts w:cs="Calibri"/>
                <w:b/>
              </w:rPr>
            </w:pPr>
          </w:p>
        </w:tc>
        <w:tc>
          <w:tcPr>
            <w:tcW w:w="992" w:type="dxa"/>
            <w:tcBorders>
              <w:bottom w:val="single" w:sz="2" w:space="0" w:color="auto"/>
              <w:right w:val="nil"/>
            </w:tcBorders>
            <w:vAlign w:val="bottom"/>
          </w:tcPr>
          <w:p w14:paraId="6F12FF3B" w14:textId="77777777" w:rsidR="00970FDF" w:rsidRPr="00A26DB2" w:rsidRDefault="00970FDF" w:rsidP="00970FDF">
            <w:pPr>
              <w:pStyle w:val="TableText"/>
              <w:tabs>
                <w:tab w:val="left" w:pos="3306"/>
              </w:tabs>
              <w:jc w:val="right"/>
              <w:rPr>
                <w:rFonts w:cs="Calibri"/>
                <w:b/>
                <w:strike/>
              </w:rPr>
            </w:pPr>
          </w:p>
        </w:tc>
      </w:tr>
      <w:tr w:rsidR="00970FDF" w:rsidRPr="00D6399E" w14:paraId="17045AD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A994EA7"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top w:val="nil"/>
              <w:left w:val="single" w:sz="2" w:space="0" w:color="auto"/>
              <w:bottom w:val="nil"/>
            </w:tcBorders>
            <w:vAlign w:val="bottom"/>
          </w:tcPr>
          <w:p w14:paraId="566B34A2" w14:textId="77777777" w:rsidR="00970FDF" w:rsidRPr="00A26DB2" w:rsidRDefault="00970FDF" w:rsidP="00970FDF">
            <w:pPr>
              <w:pStyle w:val="TableText"/>
              <w:tabs>
                <w:tab w:val="left" w:pos="3306"/>
              </w:tabs>
              <w:rPr>
                <w:rFonts w:cs="Calibri"/>
                <w:b/>
                <w:bCs/>
              </w:rPr>
            </w:pPr>
            <w:r w:rsidRPr="00A26DB2">
              <w:rPr>
                <w:rFonts w:cs="Calibri"/>
                <w:b/>
                <w:bCs/>
              </w:rPr>
              <w:t>Cash and Cash Equivalents at the End of the Reporting Period</w:t>
            </w:r>
          </w:p>
        </w:tc>
        <w:tc>
          <w:tcPr>
            <w:tcW w:w="850" w:type="dxa"/>
            <w:tcBorders>
              <w:top w:val="nil"/>
              <w:bottom w:val="nil"/>
            </w:tcBorders>
            <w:vAlign w:val="bottom"/>
          </w:tcPr>
          <w:p w14:paraId="69CF0E21" w14:textId="7869B671" w:rsidR="00970FDF" w:rsidRPr="00A26DB2" w:rsidRDefault="002B3D78" w:rsidP="00970FDF">
            <w:pPr>
              <w:pStyle w:val="TableText"/>
              <w:tabs>
                <w:tab w:val="left" w:pos="3306"/>
              </w:tabs>
              <w:jc w:val="center"/>
              <w:rPr>
                <w:rFonts w:cs="Calibri"/>
                <w:strike/>
              </w:rPr>
            </w:pPr>
            <w:r w:rsidRPr="00A26DB2">
              <w:rPr>
                <w:rFonts w:cs="Calibri"/>
              </w:rPr>
              <w:t>15</w:t>
            </w:r>
          </w:p>
        </w:tc>
        <w:tc>
          <w:tcPr>
            <w:tcW w:w="992" w:type="dxa"/>
            <w:tcBorders>
              <w:top w:val="single" w:sz="2" w:space="0" w:color="auto"/>
              <w:bottom w:val="double" w:sz="4" w:space="0" w:color="auto"/>
            </w:tcBorders>
            <w:vAlign w:val="bottom"/>
          </w:tcPr>
          <w:p w14:paraId="475DFBAD" w14:textId="77777777" w:rsidR="00970FDF" w:rsidRPr="00A26DB2" w:rsidRDefault="00970FDF" w:rsidP="00970FDF">
            <w:pPr>
              <w:pStyle w:val="TableText"/>
              <w:tabs>
                <w:tab w:val="left" w:pos="3306"/>
              </w:tabs>
              <w:ind w:left="123" w:hanging="123"/>
              <w:jc w:val="right"/>
              <w:rPr>
                <w:rFonts w:cs="Calibri"/>
                <w:b/>
                <w:bCs/>
                <w:strike/>
              </w:rPr>
            </w:pPr>
          </w:p>
        </w:tc>
        <w:tc>
          <w:tcPr>
            <w:tcW w:w="993" w:type="dxa"/>
            <w:tcBorders>
              <w:top w:val="single" w:sz="2" w:space="0" w:color="auto"/>
              <w:bottom w:val="double" w:sz="4" w:space="0" w:color="auto"/>
            </w:tcBorders>
            <w:vAlign w:val="bottom"/>
          </w:tcPr>
          <w:p w14:paraId="7B8D0711"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double" w:sz="4" w:space="0" w:color="auto"/>
              <w:right w:val="nil"/>
            </w:tcBorders>
            <w:vAlign w:val="bottom"/>
          </w:tcPr>
          <w:p w14:paraId="6C55149A" w14:textId="77777777" w:rsidR="00970FDF" w:rsidRPr="00A26DB2" w:rsidRDefault="00970FDF" w:rsidP="00970FDF">
            <w:pPr>
              <w:pStyle w:val="TableText"/>
              <w:tabs>
                <w:tab w:val="left" w:pos="3306"/>
              </w:tabs>
              <w:jc w:val="right"/>
              <w:rPr>
                <w:rFonts w:cs="Calibri"/>
                <w:b/>
                <w:bCs/>
                <w:strike/>
              </w:rPr>
            </w:pPr>
          </w:p>
        </w:tc>
      </w:tr>
      <w:tr w:rsidR="00970FDF" w:rsidRPr="00CF7E1B" w14:paraId="4A3AAC3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1D1DF6E6"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top w:val="nil"/>
              <w:left w:val="single" w:sz="2" w:space="0" w:color="auto"/>
              <w:bottom w:val="nil"/>
            </w:tcBorders>
            <w:vAlign w:val="bottom"/>
          </w:tcPr>
          <w:p w14:paraId="219594A6" w14:textId="77777777" w:rsidR="00970FDF" w:rsidRPr="00A26DB2" w:rsidRDefault="00970FDF" w:rsidP="00970FDF">
            <w:pPr>
              <w:pStyle w:val="TableText"/>
              <w:tabs>
                <w:tab w:val="left" w:pos="3306"/>
              </w:tabs>
              <w:rPr>
                <w:rFonts w:cs="Calibri"/>
                <w:b/>
                <w:bCs/>
              </w:rPr>
            </w:pPr>
          </w:p>
        </w:tc>
        <w:tc>
          <w:tcPr>
            <w:tcW w:w="850" w:type="dxa"/>
            <w:tcBorders>
              <w:top w:val="nil"/>
              <w:bottom w:val="nil"/>
            </w:tcBorders>
            <w:vAlign w:val="bottom"/>
          </w:tcPr>
          <w:p w14:paraId="02745589" w14:textId="77777777" w:rsidR="00970FDF" w:rsidRPr="00A26DB2" w:rsidRDefault="00970FDF" w:rsidP="00970FDF">
            <w:pPr>
              <w:pStyle w:val="TableText"/>
              <w:tabs>
                <w:tab w:val="left" w:pos="3306"/>
              </w:tabs>
              <w:jc w:val="center"/>
              <w:rPr>
                <w:rFonts w:cs="Calibri"/>
              </w:rPr>
            </w:pPr>
          </w:p>
        </w:tc>
        <w:tc>
          <w:tcPr>
            <w:tcW w:w="992" w:type="dxa"/>
            <w:tcBorders>
              <w:top w:val="double" w:sz="4" w:space="0" w:color="auto"/>
              <w:bottom w:val="nil"/>
            </w:tcBorders>
            <w:vAlign w:val="bottom"/>
          </w:tcPr>
          <w:p w14:paraId="44022935" w14:textId="77777777" w:rsidR="00970FDF" w:rsidRPr="00A26DB2" w:rsidRDefault="00970FDF" w:rsidP="00970FDF">
            <w:pPr>
              <w:pStyle w:val="TableText"/>
              <w:tabs>
                <w:tab w:val="left" w:pos="3306"/>
              </w:tabs>
              <w:jc w:val="right"/>
              <w:rPr>
                <w:rFonts w:cs="Calibri"/>
                <w:b/>
                <w:bCs/>
              </w:rPr>
            </w:pPr>
          </w:p>
        </w:tc>
        <w:tc>
          <w:tcPr>
            <w:tcW w:w="993" w:type="dxa"/>
            <w:tcBorders>
              <w:top w:val="double" w:sz="4" w:space="0" w:color="auto"/>
              <w:bottom w:val="nil"/>
            </w:tcBorders>
            <w:vAlign w:val="bottom"/>
          </w:tcPr>
          <w:p w14:paraId="21F3B831" w14:textId="77777777" w:rsidR="00970FDF" w:rsidRPr="00A26DB2" w:rsidRDefault="00970FDF" w:rsidP="00970FDF">
            <w:pPr>
              <w:pStyle w:val="TableText"/>
              <w:tabs>
                <w:tab w:val="left" w:pos="3306"/>
              </w:tabs>
              <w:jc w:val="right"/>
              <w:rPr>
                <w:rFonts w:cs="Calibri"/>
                <w:b/>
                <w:bCs/>
              </w:rPr>
            </w:pPr>
          </w:p>
        </w:tc>
        <w:tc>
          <w:tcPr>
            <w:tcW w:w="992" w:type="dxa"/>
            <w:tcBorders>
              <w:top w:val="double" w:sz="4" w:space="0" w:color="auto"/>
              <w:bottom w:val="nil"/>
              <w:right w:val="nil"/>
            </w:tcBorders>
            <w:vAlign w:val="bottom"/>
          </w:tcPr>
          <w:p w14:paraId="1DEDE36E" w14:textId="77777777" w:rsidR="00970FDF" w:rsidRPr="00A26DB2" w:rsidRDefault="00970FDF" w:rsidP="00970FDF">
            <w:pPr>
              <w:pStyle w:val="TableText"/>
              <w:tabs>
                <w:tab w:val="left" w:pos="3306"/>
              </w:tabs>
              <w:jc w:val="right"/>
              <w:rPr>
                <w:rFonts w:cs="Calibri"/>
                <w:b/>
                <w:bCs/>
              </w:rPr>
            </w:pPr>
          </w:p>
        </w:tc>
      </w:tr>
      <w:tr w:rsidR="00970FDF" w:rsidRPr="00CF7E1B" w14:paraId="079E1B6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47ED3E67" w14:textId="77777777" w:rsidR="00970FDF" w:rsidRPr="00A26DB2" w:rsidRDefault="00970FDF"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737FC464" w14:textId="2EEEB9C1" w:rsidR="00970FDF" w:rsidRPr="00A26DB2" w:rsidRDefault="00970FDF" w:rsidP="00C0544A">
            <w:pPr>
              <w:pStyle w:val="CommentaryReference"/>
              <w:rPr>
                <w:rFonts w:cs="Calibri"/>
                <w:sz w:val="18"/>
                <w:szCs w:val="18"/>
              </w:rPr>
            </w:pPr>
            <w:r w:rsidRPr="00A26DB2">
              <w:rPr>
                <w:rFonts w:cs="Calibri"/>
                <w:sz w:val="18"/>
                <w:szCs w:val="18"/>
              </w:rPr>
              <w:t xml:space="preserve">The above </w:t>
            </w:r>
            <w:r w:rsidR="00C0544A" w:rsidRPr="00A26DB2">
              <w:rPr>
                <w:rFonts w:cs="Calibri"/>
                <w:sz w:val="18"/>
                <w:szCs w:val="18"/>
              </w:rPr>
              <w:t>Statement of Cash Flows</w:t>
            </w:r>
            <w:r w:rsidRPr="00A26DB2">
              <w:rPr>
                <w:rFonts w:cs="Calibri"/>
                <w:sz w:val="18"/>
                <w:szCs w:val="18"/>
              </w:rPr>
              <w:t xml:space="preserve"> is to be read in conjunction with the accompanying notes.</w:t>
            </w:r>
            <w:r w:rsidR="00FA7C77">
              <w:rPr>
                <w:rFonts w:cs="Calibri"/>
                <w:sz w:val="18"/>
                <w:szCs w:val="18"/>
              </w:rPr>
              <w:t xml:space="preserve"> </w:t>
            </w:r>
            <w:r w:rsidRPr="00A26DB2">
              <w:rPr>
                <w:rFonts w:cs="Calibri"/>
                <w:sz w:val="18"/>
                <w:szCs w:val="18"/>
              </w:rPr>
              <w:t xml:space="preserve"> </w:t>
            </w:r>
          </w:p>
        </w:tc>
      </w:tr>
      <w:tr w:rsidR="00A26DB2" w:rsidRPr="00CF7E1B" w14:paraId="76A9580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7D1A07F2" w14:textId="77777777" w:rsidR="00A26DB2" w:rsidRPr="00A26DB2" w:rsidRDefault="00A26DB2"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6AAFD5C8" w14:textId="77777777" w:rsidR="00A26DB2" w:rsidRPr="00DE21F8" w:rsidRDefault="00A26DB2" w:rsidP="00C0544A">
            <w:pPr>
              <w:pStyle w:val="CommentaryReference"/>
              <w:rPr>
                <w:rFonts w:cs="Calibri"/>
                <w:sz w:val="18"/>
                <w:szCs w:val="18"/>
              </w:rPr>
            </w:pPr>
          </w:p>
        </w:tc>
      </w:tr>
      <w:tr w:rsidR="000144FF" w:rsidRPr="00CF7E1B" w14:paraId="60E0C688"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E7C7EF8" w14:textId="083F05B9" w:rsidR="000144FF" w:rsidRPr="00A26DB2" w:rsidRDefault="000144FF" w:rsidP="00C54DBF">
            <w:pPr>
              <w:pStyle w:val="TableReference"/>
              <w:tabs>
                <w:tab w:val="left" w:pos="3306"/>
              </w:tabs>
              <w:spacing w:before="120" w:after="240"/>
              <w:rPr>
                <w:rFonts w:cs="Calibri"/>
                <w:b/>
                <w:color w:val="7030A0"/>
                <w:sz w:val="22"/>
                <w:szCs w:val="22"/>
              </w:rPr>
            </w:pPr>
            <w:r w:rsidRPr="00A26DB2">
              <w:rPr>
                <w:rFonts w:cs="Calibri"/>
                <w:color w:val="7030A0"/>
                <w:sz w:val="22"/>
                <w:szCs w:val="22"/>
              </w:rPr>
              <w:br w:type="page"/>
            </w:r>
          </w:p>
        </w:tc>
        <w:tc>
          <w:tcPr>
            <w:tcW w:w="8981" w:type="dxa"/>
            <w:gridSpan w:val="6"/>
            <w:tcBorders>
              <w:left w:val="single" w:sz="2" w:space="0" w:color="auto"/>
            </w:tcBorders>
            <w:shd w:val="clear" w:color="auto" w:fill="7030A0"/>
          </w:tcPr>
          <w:p w14:paraId="491FB7F3" w14:textId="2DC96DBB" w:rsidR="000144FF" w:rsidRPr="00A26DB2" w:rsidRDefault="000144FF" w:rsidP="00C9212B">
            <w:pPr>
              <w:pStyle w:val="CommentaryTitle"/>
              <w:spacing w:before="240" w:after="240"/>
              <w:rPr>
                <w:rFonts w:cs="Calibri"/>
                <w:color w:val="FFFFFF" w:themeColor="background1"/>
                <w:sz w:val="28"/>
                <w:szCs w:val="28"/>
              </w:rPr>
            </w:pPr>
            <w:bookmarkStart w:id="241" w:name="_Toc50440316"/>
            <w:r w:rsidRPr="00A26DB2">
              <w:rPr>
                <w:rFonts w:cs="Calibri"/>
                <w:color w:val="FFFFFF" w:themeColor="background1"/>
                <w:sz w:val="28"/>
                <w:szCs w:val="28"/>
              </w:rPr>
              <w:t xml:space="preserve">Commentary </w:t>
            </w:r>
            <w:r w:rsidRPr="00A26DB2">
              <w:rPr>
                <w:rFonts w:cs="Calibri"/>
                <w:color w:val="FFFFFF" w:themeColor="background1"/>
                <w:sz w:val="28"/>
                <w:szCs w:val="28"/>
              </w:rPr>
              <w:sym w:font="Symbol" w:char="F02D"/>
            </w:r>
            <w:r w:rsidRPr="00A26DB2">
              <w:rPr>
                <w:rFonts w:cs="Calibri"/>
                <w:color w:val="FFFFFF" w:themeColor="background1"/>
                <w:sz w:val="28"/>
                <w:szCs w:val="28"/>
              </w:rPr>
              <w:t xml:space="preserve"> </w:t>
            </w:r>
            <w:bookmarkEnd w:id="241"/>
            <w:r w:rsidR="00C0544A" w:rsidRPr="00A26DB2">
              <w:rPr>
                <w:rFonts w:cs="Calibri"/>
                <w:color w:val="FFFFFF" w:themeColor="background1"/>
                <w:sz w:val="28"/>
                <w:szCs w:val="28"/>
              </w:rPr>
              <w:t>Statement of Cash Flows</w:t>
            </w:r>
          </w:p>
        </w:tc>
      </w:tr>
      <w:tr w:rsidR="000144FF" w:rsidRPr="00CF7E1B" w14:paraId="08AA618C"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7A8B1B8" w14:textId="77777777" w:rsidR="000144FF" w:rsidRPr="00A26DB2" w:rsidRDefault="000144FF">
            <w:pPr>
              <w:pStyle w:val="TableReference"/>
              <w:tabs>
                <w:tab w:val="left" w:pos="3306"/>
              </w:tabs>
              <w:rPr>
                <w:rFonts w:cs="Calibri"/>
                <w:color w:val="7030A0"/>
                <w:sz w:val="16"/>
                <w:szCs w:val="16"/>
              </w:rPr>
            </w:pPr>
          </w:p>
        </w:tc>
        <w:tc>
          <w:tcPr>
            <w:tcW w:w="8981" w:type="dxa"/>
            <w:gridSpan w:val="6"/>
            <w:tcBorders>
              <w:left w:val="single" w:sz="2" w:space="0" w:color="auto"/>
            </w:tcBorders>
            <w:shd w:val="clear" w:color="auto" w:fill="7030A0"/>
          </w:tcPr>
          <w:p w14:paraId="1DB6CB85"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Classification of Cash Flows</w:t>
            </w:r>
          </w:p>
        </w:tc>
      </w:tr>
      <w:tr w:rsidR="000144FF" w:rsidRPr="00CF7E1B" w14:paraId="7D5148C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9876B1F" w14:textId="7BBCD01A" w:rsidR="000144FF" w:rsidRPr="00A26DB2" w:rsidRDefault="000144FF" w:rsidP="00DA7FF4">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 xml:space="preserve">10 </w:t>
            </w:r>
          </w:p>
        </w:tc>
        <w:tc>
          <w:tcPr>
            <w:tcW w:w="8981" w:type="dxa"/>
            <w:gridSpan w:val="6"/>
            <w:tcBorders>
              <w:left w:val="single" w:sz="2" w:space="0" w:color="auto"/>
            </w:tcBorders>
            <w:shd w:val="clear" w:color="auto" w:fill="7030A0"/>
          </w:tcPr>
          <w:p w14:paraId="41F20908" w14:textId="5177CB3D" w:rsidR="000144FF" w:rsidRPr="00A26DB2" w:rsidRDefault="000144FF"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AASB 107 </w:t>
            </w:r>
            <w:r w:rsidR="00D032F3" w:rsidRPr="00A26DB2">
              <w:rPr>
                <w:rFonts w:cs="Calibri"/>
                <w:i/>
                <w:iCs/>
                <w:color w:val="FFFFFF" w:themeColor="background1"/>
                <w:sz w:val="18"/>
                <w:szCs w:val="18"/>
              </w:rPr>
              <w:t>Statement of Cash Flows</w:t>
            </w:r>
            <w:r w:rsidR="00D032F3" w:rsidRPr="00A26DB2">
              <w:rPr>
                <w:rFonts w:cs="Calibri"/>
                <w:color w:val="FFFFFF" w:themeColor="background1"/>
                <w:sz w:val="18"/>
                <w:szCs w:val="18"/>
              </w:rPr>
              <w:t xml:space="preserve"> </w:t>
            </w:r>
            <w:r w:rsidRPr="00A26DB2">
              <w:rPr>
                <w:rFonts w:cs="Calibri"/>
                <w:color w:val="FFFFFF" w:themeColor="background1"/>
                <w:sz w:val="18"/>
                <w:szCs w:val="18"/>
              </w:rPr>
              <w:t>requires that cash flows be classified as arising from operating, investing or financi</w:t>
            </w:r>
            <w:r w:rsidR="00784BCE" w:rsidRPr="00A26DB2">
              <w:rPr>
                <w:rFonts w:cs="Calibri"/>
                <w:color w:val="FFFFFF" w:themeColor="background1"/>
                <w:sz w:val="18"/>
                <w:szCs w:val="18"/>
              </w:rPr>
              <w:t>ng</w:t>
            </w:r>
            <w:r w:rsidRPr="00A26DB2">
              <w:rPr>
                <w:rFonts w:cs="Calibri"/>
                <w:color w:val="FFFFFF" w:themeColor="background1"/>
                <w:sz w:val="18"/>
                <w:szCs w:val="18"/>
              </w:rPr>
              <w:t xml:space="preserve"> activities.</w:t>
            </w:r>
            <w:r w:rsidR="00EC03F8" w:rsidRPr="00A26DB2">
              <w:rPr>
                <w:rFonts w:cs="Calibri"/>
                <w:color w:val="FFFFFF" w:themeColor="background1"/>
                <w:sz w:val="18"/>
                <w:szCs w:val="18"/>
              </w:rPr>
              <w:t xml:space="preserve"> </w:t>
            </w:r>
          </w:p>
        </w:tc>
      </w:tr>
      <w:tr w:rsidR="00DA7FF4" w:rsidRPr="00CF7E1B" w14:paraId="08168974"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6751157" w14:textId="67548684" w:rsidR="00DA7FF4" w:rsidRPr="00A26DB2" w:rsidRDefault="00DA7FF4">
            <w:pPr>
              <w:pStyle w:val="TableReference"/>
              <w:tabs>
                <w:tab w:val="left" w:pos="3306"/>
              </w:tabs>
              <w:spacing w:before="60"/>
              <w:rPr>
                <w:rFonts w:cs="Calibri"/>
                <w:color w:val="7030A0"/>
                <w:sz w:val="14"/>
              </w:rPr>
            </w:pPr>
            <w:r w:rsidRPr="00A26DB2">
              <w:rPr>
                <w:rFonts w:cs="Calibri"/>
                <w:color w:val="7030A0"/>
                <w:sz w:val="14"/>
              </w:rPr>
              <w:t>AASB 107.31</w:t>
            </w:r>
          </w:p>
        </w:tc>
        <w:tc>
          <w:tcPr>
            <w:tcW w:w="8981" w:type="dxa"/>
            <w:gridSpan w:val="6"/>
            <w:tcBorders>
              <w:left w:val="single" w:sz="2" w:space="0" w:color="auto"/>
            </w:tcBorders>
            <w:shd w:val="clear" w:color="auto" w:fill="7030A0"/>
          </w:tcPr>
          <w:p w14:paraId="7C804981" w14:textId="77777777" w:rsidR="00DA7FF4" w:rsidRPr="00A26DB2" w:rsidRDefault="00DA7FF4" w:rsidP="00090F32">
            <w:pPr>
              <w:pStyle w:val="CommentaryText"/>
              <w:spacing w:after="40"/>
              <w:rPr>
                <w:rFonts w:cs="Calibri"/>
                <w:color w:val="FFFFFF" w:themeColor="background1"/>
                <w:sz w:val="18"/>
                <w:szCs w:val="18"/>
              </w:rPr>
            </w:pPr>
            <w:r w:rsidRPr="00A26DB2">
              <w:rPr>
                <w:rFonts w:cs="Calibri"/>
                <w:color w:val="FFFFFF" w:themeColor="background1"/>
                <w:sz w:val="18"/>
                <w:szCs w:val="18"/>
              </w:rPr>
              <w:t>AASB 107 also requires the following cash flows to be separately disclosed on the Statement of Cash Flows:</w:t>
            </w:r>
          </w:p>
          <w:p w14:paraId="6090C7EE"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interest received;</w:t>
            </w:r>
          </w:p>
          <w:p w14:paraId="2D52EF39"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dividends received;</w:t>
            </w:r>
          </w:p>
          <w:p w14:paraId="61B0178D" w14:textId="6033E67B"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dividends paid; and</w:t>
            </w:r>
          </w:p>
          <w:p w14:paraId="242705CF" w14:textId="3B845EC1"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borrowing costs.</w:t>
            </w:r>
          </w:p>
        </w:tc>
      </w:tr>
      <w:tr w:rsidR="000144FF" w:rsidRPr="00CF7E1B" w14:paraId="722D1E1D"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60ED94"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 xml:space="preserve">ACT </w:t>
            </w:r>
            <w:r w:rsidR="00511FD1" w:rsidRPr="00A26DB2">
              <w:rPr>
                <w:rFonts w:cs="Calibri"/>
                <w:color w:val="7030A0"/>
                <w:sz w:val="14"/>
              </w:rPr>
              <w:t>Disclosure</w:t>
            </w:r>
            <w:r w:rsidRPr="00A26DB2">
              <w:rPr>
                <w:rFonts w:cs="Calibri"/>
                <w:color w:val="7030A0"/>
                <w:sz w:val="14"/>
              </w:rPr>
              <w:t xml:space="preserve"> Policy</w:t>
            </w:r>
          </w:p>
          <w:p w14:paraId="3F282A76" w14:textId="0F9F8559" w:rsidR="00A37D6A" w:rsidRPr="00A26DB2" w:rsidRDefault="000144FF" w:rsidP="00DA7FF4">
            <w:pPr>
              <w:pStyle w:val="TableReference"/>
              <w:tabs>
                <w:tab w:val="left" w:pos="3306"/>
              </w:tabs>
              <w:spacing w:after="12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33</w:t>
            </w:r>
          </w:p>
        </w:tc>
        <w:tc>
          <w:tcPr>
            <w:tcW w:w="8981" w:type="dxa"/>
            <w:gridSpan w:val="6"/>
            <w:tcBorders>
              <w:left w:val="single" w:sz="2" w:space="0" w:color="auto"/>
            </w:tcBorders>
            <w:shd w:val="clear" w:color="auto" w:fill="7030A0"/>
          </w:tcPr>
          <w:p w14:paraId="11C94A1E" w14:textId="1CAE1DF8" w:rsidR="000144FF" w:rsidRPr="00A26DB2" w:rsidRDefault="000144F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For consistency across the ACT Government, </w:t>
            </w:r>
            <w:r w:rsidR="00D65811" w:rsidRPr="00A26DB2">
              <w:rPr>
                <w:rFonts w:cs="Calibri"/>
                <w:color w:val="FFFFFF" w:themeColor="background1"/>
                <w:sz w:val="18"/>
                <w:szCs w:val="18"/>
              </w:rPr>
              <w:t>a</w:t>
            </w:r>
            <w:r w:rsidR="00CA68F4" w:rsidRPr="00A26DB2">
              <w:rPr>
                <w:rFonts w:cs="Calibri"/>
                <w:color w:val="FFFFFF" w:themeColor="background1"/>
                <w:sz w:val="18"/>
                <w:szCs w:val="18"/>
              </w:rPr>
              <w:t xml:space="preserve">gencies </w:t>
            </w:r>
            <w:r w:rsidRPr="00A26DB2">
              <w:rPr>
                <w:rFonts w:cs="Calibri"/>
                <w:color w:val="FFFFFF" w:themeColor="background1"/>
                <w:sz w:val="18"/>
                <w:szCs w:val="18"/>
              </w:rPr>
              <w:t>should classify interest received and paid, and dividends received as an operating cash flow</w:t>
            </w:r>
            <w:r w:rsidR="00213494" w:rsidRPr="00A26DB2">
              <w:rPr>
                <w:rFonts w:cs="Calibri"/>
                <w:color w:val="FFFFFF" w:themeColor="background1"/>
                <w:sz w:val="18"/>
                <w:szCs w:val="18"/>
              </w:rPr>
              <w:t xml:space="preserve">. </w:t>
            </w:r>
          </w:p>
        </w:tc>
      </w:tr>
      <w:tr w:rsidR="00DA7FF4" w:rsidRPr="00CF7E1B" w14:paraId="1D0BE35A"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23BFB4A"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107.34</w:t>
            </w:r>
          </w:p>
          <w:p w14:paraId="448BB02D" w14:textId="122424AC" w:rsidR="00DA7FF4" w:rsidRPr="00A26DB2" w:rsidRDefault="00DA7FF4" w:rsidP="00DA7FF4">
            <w:pPr>
              <w:pStyle w:val="TableReference"/>
              <w:tabs>
                <w:tab w:val="left" w:pos="3306"/>
              </w:tabs>
              <w:spacing w:before="60"/>
              <w:rPr>
                <w:rFonts w:cs="Calibri"/>
                <w:color w:val="7030A0"/>
                <w:sz w:val="14"/>
              </w:rPr>
            </w:pPr>
            <w:r w:rsidRPr="00A26DB2">
              <w:rPr>
                <w:rFonts w:cs="Calibri"/>
                <w:color w:val="7030A0"/>
                <w:sz w:val="14"/>
              </w:rPr>
              <w:t>ACT Disclosure Policy</w:t>
            </w:r>
          </w:p>
        </w:tc>
        <w:tc>
          <w:tcPr>
            <w:tcW w:w="8981" w:type="dxa"/>
            <w:gridSpan w:val="6"/>
            <w:tcBorders>
              <w:left w:val="single" w:sz="2" w:space="0" w:color="auto"/>
            </w:tcBorders>
            <w:shd w:val="clear" w:color="auto" w:fill="7030A0"/>
          </w:tcPr>
          <w:p w14:paraId="3DF28CAF" w14:textId="7CA8E9FA" w:rsidR="00DA7FF4" w:rsidRPr="00A26DB2" w:rsidRDefault="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AASB 107 allows dividends paid to be classified as either a financing cash flow or an operating cash flow.</w:t>
            </w:r>
            <w:r w:rsidR="00FA7C77">
              <w:rPr>
                <w:rFonts w:cs="Calibri"/>
                <w:color w:val="FFFFFF" w:themeColor="background1"/>
                <w:sz w:val="18"/>
                <w:szCs w:val="18"/>
              </w:rPr>
              <w:t xml:space="preserve"> </w:t>
            </w:r>
            <w:r w:rsidRPr="00A26DB2">
              <w:rPr>
                <w:rFonts w:cs="Calibri"/>
                <w:color w:val="FFFFFF" w:themeColor="background1"/>
                <w:sz w:val="18"/>
                <w:szCs w:val="18"/>
              </w:rPr>
              <w:t>ACT Disclosure Policy requires agencies to classify dividends paid as a financing cash flow.</w:t>
            </w:r>
            <w:r w:rsidR="00FA7C77">
              <w:rPr>
                <w:rFonts w:cs="Calibri"/>
                <w:color w:val="FFFFFF" w:themeColor="background1"/>
                <w:sz w:val="18"/>
                <w:szCs w:val="18"/>
              </w:rPr>
              <w:t xml:space="preserve"> </w:t>
            </w:r>
          </w:p>
        </w:tc>
      </w:tr>
      <w:tr w:rsidR="00DA7FF4" w:rsidRPr="00CF7E1B" w14:paraId="63F823CB"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E9798D2" w14:textId="77777777" w:rsidR="00DA7FF4" w:rsidRPr="00A26DB2" w:rsidRDefault="00DA7FF4" w:rsidP="009A0F2F">
            <w:pPr>
              <w:pStyle w:val="TableReference"/>
              <w:tabs>
                <w:tab w:val="left" w:pos="3306"/>
              </w:tabs>
              <w:rPr>
                <w:rFonts w:cs="Calibri"/>
                <w:color w:val="7030A0"/>
                <w:sz w:val="14"/>
              </w:rPr>
            </w:pPr>
            <w:r w:rsidRPr="00A26DB2">
              <w:rPr>
                <w:rFonts w:cs="Calibri"/>
                <w:color w:val="7030A0"/>
                <w:sz w:val="14"/>
              </w:rPr>
              <w:t>AASB 107.42A</w:t>
            </w:r>
          </w:p>
        </w:tc>
        <w:tc>
          <w:tcPr>
            <w:tcW w:w="8981" w:type="dxa"/>
            <w:gridSpan w:val="6"/>
            <w:tcBorders>
              <w:left w:val="single" w:sz="2" w:space="0" w:color="auto"/>
            </w:tcBorders>
            <w:shd w:val="clear" w:color="auto" w:fill="7030A0"/>
          </w:tcPr>
          <w:p w14:paraId="38CE78AC"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Cash flows arising from changes in ownership interests where control is neither lost nor obtained are classified as financing transactions.</w:t>
            </w:r>
          </w:p>
        </w:tc>
      </w:tr>
      <w:tr w:rsidR="00DA7FF4" w:rsidRPr="00CF7E1B" w14:paraId="7EC255A9"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181FD42" w14:textId="77777777" w:rsidR="00DA7FF4" w:rsidRPr="00A26DB2" w:rsidRDefault="00DA7FF4" w:rsidP="00DA7FF4">
            <w:pPr>
              <w:pStyle w:val="TableReference"/>
              <w:tabs>
                <w:tab w:val="left" w:pos="3306"/>
              </w:tabs>
              <w:rPr>
                <w:rFonts w:cs="Calibri"/>
                <w:color w:val="7030A0"/>
                <w:sz w:val="14"/>
              </w:rPr>
            </w:pPr>
          </w:p>
        </w:tc>
        <w:tc>
          <w:tcPr>
            <w:tcW w:w="8981" w:type="dxa"/>
            <w:gridSpan w:val="6"/>
            <w:tcBorders>
              <w:left w:val="single" w:sz="2" w:space="0" w:color="auto"/>
            </w:tcBorders>
            <w:shd w:val="clear" w:color="auto" w:fill="7030A0"/>
          </w:tcPr>
          <w:p w14:paraId="32DDB700" w14:textId="77777777" w:rsidR="00DA7FF4" w:rsidRPr="00A26DB2" w:rsidRDefault="00DA7FF4" w:rsidP="009A0F2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Where an agency has no amounts applicable to any individual line item, these line items should not be included in the Statement of Cash Flows.</w:t>
            </w:r>
          </w:p>
        </w:tc>
      </w:tr>
      <w:tr w:rsidR="00DA7FF4" w:rsidRPr="00CF7E1B" w14:paraId="47C02DE7"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05D2C5C"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101.51(c),(e) &amp; 53</w:t>
            </w:r>
          </w:p>
        </w:tc>
        <w:tc>
          <w:tcPr>
            <w:tcW w:w="8981" w:type="dxa"/>
            <w:gridSpan w:val="6"/>
            <w:tcBorders>
              <w:left w:val="single" w:sz="2" w:space="0" w:color="auto"/>
            </w:tcBorders>
            <w:shd w:val="clear" w:color="auto" w:fill="7030A0"/>
          </w:tcPr>
          <w:p w14:paraId="117B718F"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reporting date and rounding used in the Statement of Cash Flows must be identified.</w:t>
            </w:r>
          </w:p>
        </w:tc>
      </w:tr>
      <w:tr w:rsidR="00DA7FF4" w:rsidRPr="00CF7E1B" w14:paraId="4332A2D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ADCC8B"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101.113</w:t>
            </w:r>
          </w:p>
        </w:tc>
        <w:tc>
          <w:tcPr>
            <w:tcW w:w="8981" w:type="dxa"/>
            <w:gridSpan w:val="6"/>
            <w:tcBorders>
              <w:left w:val="single" w:sz="2" w:space="0" w:color="auto"/>
            </w:tcBorders>
            <w:shd w:val="clear" w:color="auto" w:fill="7030A0"/>
          </w:tcPr>
          <w:p w14:paraId="508CC371"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Statement of Cash Flows must be cross-referenced to relevant notes included, depending upon materiality considerations.</w:t>
            </w:r>
          </w:p>
        </w:tc>
      </w:tr>
    </w:tbl>
    <w:p w14:paraId="47E93EBD" w14:textId="77777777" w:rsidR="00AD56C6" w:rsidRDefault="00AD56C6">
      <w:pPr>
        <w:sectPr w:rsidR="00AD56C6" w:rsidSect="00AD56C6">
          <w:headerReference w:type="default" r:id="rId30"/>
          <w:footnotePr>
            <w:numRestart w:val="eachPage"/>
          </w:footnotePr>
          <w:type w:val="nextColumn"/>
          <w:pgSz w:w="11907" w:h="16840" w:code="9"/>
          <w:pgMar w:top="964" w:right="680" w:bottom="567" w:left="680" w:header="426" w:footer="680" w:gutter="0"/>
          <w:cols w:space="720"/>
        </w:sectPr>
      </w:pPr>
    </w:p>
    <w:tbl>
      <w:tblPr>
        <w:tblW w:w="4976" w:type="pct"/>
        <w:tblInd w:w="-6" w:type="dxa"/>
        <w:shd w:val="clear" w:color="auto" w:fill="CCFFCC"/>
        <w:tblLayout w:type="fixed"/>
        <w:tblLook w:val="00A0" w:firstRow="1" w:lastRow="0" w:firstColumn="1" w:lastColumn="0" w:noHBand="0" w:noVBand="0"/>
      </w:tblPr>
      <w:tblGrid>
        <w:gridCol w:w="1563"/>
        <w:gridCol w:w="8930"/>
      </w:tblGrid>
      <w:tr w:rsidR="000F132A" w:rsidRPr="00CF7E1B" w14:paraId="1F6AE247" w14:textId="77777777" w:rsidTr="001F1661">
        <w:tc>
          <w:tcPr>
            <w:tcW w:w="1563" w:type="dxa"/>
            <w:tcBorders>
              <w:left w:val="single" w:sz="2" w:space="0" w:color="auto"/>
              <w:right w:val="single" w:sz="2" w:space="0" w:color="auto"/>
            </w:tcBorders>
          </w:tcPr>
          <w:p w14:paraId="7F4E3823" w14:textId="77777777" w:rsidR="000F132A" w:rsidRPr="00C54DBF" w:rsidRDefault="000F132A" w:rsidP="00C9212B">
            <w:pPr>
              <w:pStyle w:val="TableReference"/>
              <w:tabs>
                <w:tab w:val="left" w:pos="3306"/>
              </w:tabs>
              <w:spacing w:before="240" w:after="240"/>
              <w:rPr>
                <w:rFonts w:cs="Calibri"/>
                <w:b/>
                <w:color w:val="auto"/>
                <w:sz w:val="22"/>
                <w:szCs w:val="22"/>
              </w:rPr>
            </w:pPr>
            <w:r w:rsidRPr="00C54DBF">
              <w:rPr>
                <w:rFonts w:cs="Calibri"/>
                <w:b/>
                <w:color w:val="auto"/>
                <w:sz w:val="22"/>
                <w:szCs w:val="22"/>
              </w:rPr>
              <w:br w:type="page"/>
            </w:r>
            <w:r w:rsidRPr="00BB62BB">
              <w:rPr>
                <w:rFonts w:cs="Calibri"/>
                <w:b/>
                <w:color w:val="7030A0"/>
                <w:sz w:val="22"/>
                <w:szCs w:val="22"/>
              </w:rPr>
              <w:t>Reference</w:t>
            </w:r>
          </w:p>
        </w:tc>
        <w:tc>
          <w:tcPr>
            <w:tcW w:w="8930" w:type="dxa"/>
            <w:tcBorders>
              <w:left w:val="single" w:sz="2" w:space="0" w:color="auto"/>
            </w:tcBorders>
            <w:shd w:val="clear" w:color="auto" w:fill="7030A0"/>
          </w:tcPr>
          <w:p w14:paraId="76CC872E" w14:textId="31F7115A" w:rsidR="000F132A" w:rsidRPr="003E6941" w:rsidRDefault="006500AC" w:rsidP="00C9212B">
            <w:pPr>
              <w:pStyle w:val="TableReference"/>
              <w:tabs>
                <w:tab w:val="left" w:pos="3306"/>
              </w:tabs>
              <w:spacing w:before="240" w:after="240"/>
              <w:rPr>
                <w:rFonts w:cs="Calibri"/>
                <w:b/>
                <w:color w:val="FFFFFF" w:themeColor="background1"/>
                <w:sz w:val="28"/>
                <w:szCs w:val="28"/>
              </w:rPr>
            </w:pPr>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w:t>
            </w:r>
            <w:r w:rsidR="00C0544A" w:rsidRPr="003E6941">
              <w:rPr>
                <w:rFonts w:cs="Calibri"/>
                <w:b/>
                <w:color w:val="FFFFFF" w:themeColor="background1"/>
                <w:sz w:val="28"/>
                <w:szCs w:val="28"/>
              </w:rPr>
              <w:t xml:space="preserve">Statement of Cash Flows – </w:t>
            </w:r>
            <w:r w:rsidRPr="003E6941">
              <w:rPr>
                <w:rFonts w:cs="Calibri"/>
                <w:b/>
                <w:color w:val="FFFFFF" w:themeColor="background1"/>
                <w:sz w:val="28"/>
                <w:szCs w:val="28"/>
              </w:rPr>
              <w:t>Continued</w:t>
            </w:r>
          </w:p>
        </w:tc>
      </w:tr>
      <w:tr w:rsidR="000144FF" w:rsidRPr="00CF7E1B" w14:paraId="0F77689F" w14:textId="77777777" w:rsidTr="001F1661">
        <w:tc>
          <w:tcPr>
            <w:tcW w:w="1563" w:type="dxa"/>
            <w:tcBorders>
              <w:left w:val="single" w:sz="2" w:space="0" w:color="auto"/>
              <w:right w:val="single" w:sz="2" w:space="0" w:color="auto"/>
            </w:tcBorders>
          </w:tcPr>
          <w:p w14:paraId="5ECA684E" w14:textId="77777777" w:rsidR="000144FF" w:rsidRPr="00F22DB5" w:rsidRDefault="000144FF">
            <w:pPr>
              <w:pStyle w:val="TableReference"/>
              <w:tabs>
                <w:tab w:val="left" w:pos="3306"/>
              </w:tabs>
              <w:spacing w:before="60"/>
              <w:rPr>
                <w:rFonts w:cs="Calibri"/>
                <w:color w:val="auto"/>
                <w:sz w:val="14"/>
              </w:rPr>
            </w:pPr>
          </w:p>
        </w:tc>
        <w:tc>
          <w:tcPr>
            <w:tcW w:w="8930" w:type="dxa"/>
            <w:tcBorders>
              <w:left w:val="single" w:sz="2" w:space="0" w:color="auto"/>
            </w:tcBorders>
            <w:shd w:val="clear" w:color="auto" w:fill="7030A0"/>
          </w:tcPr>
          <w:p w14:paraId="16106ECD" w14:textId="77777777" w:rsidR="000144FF" w:rsidRPr="00552ECB" w:rsidRDefault="000144FF" w:rsidP="00CC1E25">
            <w:pPr>
              <w:pStyle w:val="CommentaryHeading"/>
              <w:spacing w:before="0" w:after="40"/>
              <w:rPr>
                <w:rFonts w:cs="Calibri"/>
                <w:color w:val="FFFFFF" w:themeColor="background1"/>
                <w:szCs w:val="20"/>
              </w:rPr>
            </w:pPr>
            <w:r w:rsidRPr="00552ECB">
              <w:rPr>
                <w:rFonts w:cs="Calibri"/>
                <w:color w:val="FFFFFF" w:themeColor="background1"/>
                <w:szCs w:val="20"/>
              </w:rPr>
              <w:t>Reporting of Cash Flows</w:t>
            </w:r>
          </w:p>
        </w:tc>
      </w:tr>
      <w:tr w:rsidR="000144FF" w:rsidRPr="00CF7E1B" w14:paraId="0AC10C7A" w14:textId="77777777" w:rsidTr="001F1661">
        <w:tc>
          <w:tcPr>
            <w:tcW w:w="1563" w:type="dxa"/>
            <w:tcBorders>
              <w:left w:val="single" w:sz="2" w:space="0" w:color="auto"/>
              <w:right w:val="single" w:sz="2" w:space="0" w:color="auto"/>
            </w:tcBorders>
          </w:tcPr>
          <w:p w14:paraId="72F54D70" w14:textId="77777777" w:rsidR="000144FF" w:rsidRPr="003E6941" w:rsidRDefault="000144FF">
            <w:pPr>
              <w:pStyle w:val="TableReference"/>
              <w:tabs>
                <w:tab w:val="left" w:pos="3306"/>
              </w:tabs>
              <w:spacing w:before="60"/>
              <w:rPr>
                <w:rFonts w:cs="Calibri"/>
                <w:color w:val="7030A0"/>
                <w:sz w:val="14"/>
              </w:rPr>
            </w:pPr>
            <w:r w:rsidRPr="003E6941">
              <w:rPr>
                <w:rFonts w:cs="Calibri"/>
                <w:color w:val="7030A0"/>
                <w:sz w:val="14"/>
              </w:rPr>
              <w:t>AASB 107</w:t>
            </w:r>
            <w:r w:rsidR="00D65811" w:rsidRPr="003E6941">
              <w:rPr>
                <w:rFonts w:cs="Calibri"/>
                <w:color w:val="7030A0"/>
                <w:sz w:val="14"/>
              </w:rPr>
              <w:t>.</w:t>
            </w:r>
            <w:r w:rsidRPr="003E6941">
              <w:rPr>
                <w:rFonts w:cs="Calibri"/>
                <w:color w:val="7030A0"/>
                <w:sz w:val="14"/>
              </w:rPr>
              <w:t>18 &amp; 21</w:t>
            </w:r>
          </w:p>
          <w:p w14:paraId="061F7722" w14:textId="3B0397C6" w:rsidR="000144FF" w:rsidRPr="003E6941" w:rsidRDefault="00EC3FF0" w:rsidP="00D15034">
            <w:pPr>
              <w:pStyle w:val="TableReference"/>
              <w:tabs>
                <w:tab w:val="left" w:pos="3306"/>
              </w:tabs>
              <w:spacing w:before="60"/>
              <w:rPr>
                <w:rFonts w:cs="Calibri"/>
                <w:color w:val="7030A0"/>
                <w:sz w:val="14"/>
              </w:rPr>
            </w:pPr>
            <w:r w:rsidRPr="003E6941">
              <w:rPr>
                <w:rFonts w:cs="Calibri"/>
                <w:color w:val="7030A0"/>
                <w:sz w:val="14"/>
              </w:rPr>
              <w:t xml:space="preserve">ACT </w:t>
            </w:r>
            <w:r w:rsidR="00770EA6" w:rsidRPr="003E6941">
              <w:rPr>
                <w:rFonts w:cs="Calibri"/>
                <w:color w:val="7030A0"/>
                <w:sz w:val="14"/>
              </w:rPr>
              <w:t>Disclosure</w:t>
            </w:r>
            <w:r w:rsidRPr="003E6941">
              <w:rPr>
                <w:rFonts w:cs="Calibri"/>
                <w:color w:val="7030A0"/>
                <w:sz w:val="14"/>
              </w:rPr>
              <w:t xml:space="preserve"> </w:t>
            </w:r>
            <w:r w:rsidR="00D44587" w:rsidRPr="003E6941">
              <w:rPr>
                <w:rFonts w:cs="Calibri"/>
                <w:color w:val="7030A0"/>
                <w:sz w:val="14"/>
              </w:rPr>
              <w:t>Policy</w:t>
            </w:r>
          </w:p>
        </w:tc>
        <w:tc>
          <w:tcPr>
            <w:tcW w:w="8930" w:type="dxa"/>
            <w:tcBorders>
              <w:left w:val="single" w:sz="2" w:space="0" w:color="auto"/>
            </w:tcBorders>
            <w:shd w:val="clear" w:color="auto" w:fill="7030A0"/>
          </w:tcPr>
          <w:p w14:paraId="1AD57A49" w14:textId="77619D86" w:rsidR="000144FF" w:rsidRPr="003E6941" w:rsidRDefault="00A02AD6" w:rsidP="00D15034">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allows cash flows arising from operating activities to be report</w:t>
            </w:r>
            <w:r w:rsidR="008202F0" w:rsidRPr="003E6941">
              <w:rPr>
                <w:rFonts w:cs="Calibri"/>
                <w:color w:val="FFFFFF" w:themeColor="background1"/>
                <w:sz w:val="18"/>
                <w:szCs w:val="18"/>
              </w:rPr>
              <w:t>ed</w:t>
            </w:r>
            <w:r w:rsidR="008F3F10" w:rsidRPr="003E6941">
              <w:rPr>
                <w:rFonts w:cs="Calibri"/>
                <w:color w:val="FFFFFF" w:themeColor="background1"/>
                <w:sz w:val="18"/>
                <w:szCs w:val="18"/>
              </w:rPr>
              <w:t xml:space="preserve"> in the </w:t>
            </w:r>
            <w:r w:rsidR="00C0544A" w:rsidRPr="003E6941">
              <w:rPr>
                <w:rFonts w:cs="Calibri"/>
                <w:color w:val="FFFFFF" w:themeColor="background1"/>
                <w:sz w:val="18"/>
                <w:szCs w:val="18"/>
              </w:rPr>
              <w:t>Statement of Cash Flows</w:t>
            </w:r>
            <w:r w:rsidRPr="003E6941">
              <w:rPr>
                <w:rFonts w:cs="Calibri"/>
                <w:color w:val="FFFFFF" w:themeColor="background1"/>
                <w:sz w:val="18"/>
                <w:szCs w:val="18"/>
              </w:rPr>
              <w:t xml:space="preserve"> using either the direct or in</w:t>
            </w:r>
            <w:r w:rsidR="00F12D36" w:rsidRPr="003E6941">
              <w:rPr>
                <w:rFonts w:cs="Calibri"/>
                <w:color w:val="FFFFFF" w:themeColor="background1"/>
                <w:sz w:val="18"/>
                <w:szCs w:val="18"/>
              </w:rPr>
              <w:t>direct method.</w:t>
            </w:r>
            <w:r w:rsidR="00FA7C77">
              <w:rPr>
                <w:rFonts w:cs="Calibri"/>
                <w:color w:val="FFFFFF" w:themeColor="background1"/>
                <w:sz w:val="18"/>
                <w:szCs w:val="18"/>
              </w:rPr>
              <w:t xml:space="preserve"> </w:t>
            </w:r>
            <w:r w:rsidR="00F12D36" w:rsidRPr="003E6941">
              <w:rPr>
                <w:rFonts w:cs="Calibri"/>
                <w:color w:val="FFFFFF" w:themeColor="background1"/>
                <w:sz w:val="18"/>
                <w:szCs w:val="18"/>
              </w:rPr>
              <w:t xml:space="preserve">ACT </w:t>
            </w:r>
            <w:r w:rsidR="00A67B85" w:rsidRPr="003E6941">
              <w:rPr>
                <w:rFonts w:cs="Calibri"/>
                <w:color w:val="FFFFFF" w:themeColor="background1"/>
                <w:sz w:val="18"/>
                <w:szCs w:val="18"/>
              </w:rPr>
              <w:t>Disclosure</w:t>
            </w:r>
            <w:r w:rsidR="00F12D36" w:rsidRPr="003E6941">
              <w:rPr>
                <w:rFonts w:cs="Calibri"/>
                <w:color w:val="FFFFFF" w:themeColor="background1"/>
                <w:sz w:val="18"/>
                <w:szCs w:val="18"/>
              </w:rPr>
              <w:t xml:space="preserve"> P</w:t>
            </w:r>
            <w:r w:rsidRPr="003E6941">
              <w:rPr>
                <w:rFonts w:cs="Calibri"/>
                <w:color w:val="FFFFFF" w:themeColor="background1"/>
                <w:sz w:val="18"/>
                <w:szCs w:val="18"/>
              </w:rPr>
              <w:t xml:space="preserve">olicy requires that </w:t>
            </w:r>
            <w:r w:rsidR="00D65811" w:rsidRPr="003E6941">
              <w:rPr>
                <w:rFonts w:cs="Calibri"/>
                <w:color w:val="FFFFFF" w:themeColor="background1"/>
                <w:sz w:val="18"/>
                <w:szCs w:val="18"/>
              </w:rPr>
              <w:t>a</w:t>
            </w:r>
            <w:r w:rsidR="002B361F" w:rsidRPr="003E6941">
              <w:rPr>
                <w:rFonts w:cs="Calibri"/>
                <w:color w:val="FFFFFF" w:themeColor="background1"/>
                <w:sz w:val="18"/>
                <w:szCs w:val="18"/>
              </w:rPr>
              <w:t xml:space="preserve">gencies </w:t>
            </w:r>
            <w:r w:rsidRPr="003E6941">
              <w:rPr>
                <w:rFonts w:cs="Calibri"/>
                <w:color w:val="FFFFFF" w:themeColor="background1"/>
                <w:sz w:val="18"/>
                <w:szCs w:val="18"/>
              </w:rPr>
              <w:t>u</w:t>
            </w:r>
            <w:r w:rsidR="000144FF" w:rsidRPr="003E6941">
              <w:rPr>
                <w:rFonts w:cs="Calibri"/>
                <w:color w:val="FFFFFF" w:themeColor="background1"/>
                <w:sz w:val="18"/>
                <w:szCs w:val="18"/>
              </w:rPr>
              <w:t>s</w:t>
            </w:r>
            <w:r w:rsidRPr="003E6941">
              <w:rPr>
                <w:rFonts w:cs="Calibri"/>
                <w:color w:val="FFFFFF" w:themeColor="background1"/>
                <w:sz w:val="18"/>
                <w:szCs w:val="18"/>
              </w:rPr>
              <w:t>e</w:t>
            </w:r>
            <w:r w:rsidR="000144FF" w:rsidRPr="003E6941">
              <w:rPr>
                <w:rFonts w:cs="Calibri"/>
                <w:color w:val="FFFFFF" w:themeColor="background1"/>
                <w:sz w:val="18"/>
                <w:szCs w:val="18"/>
              </w:rPr>
              <w:t xml:space="preserve"> the direct method, whereby major classes of gross cash receipts and gross cash payments are disclosed.</w:t>
            </w:r>
            <w:r w:rsidR="00FA7C77">
              <w:rPr>
                <w:rFonts w:cs="Calibri"/>
                <w:color w:val="FFFFFF" w:themeColor="background1"/>
                <w:sz w:val="18"/>
                <w:szCs w:val="18"/>
              </w:rPr>
              <w:t xml:space="preserve"> </w:t>
            </w:r>
            <w:r w:rsidR="000144FF" w:rsidRPr="003E6941">
              <w:rPr>
                <w:rFonts w:cs="Calibri"/>
                <w:color w:val="FFFFFF" w:themeColor="background1"/>
                <w:sz w:val="18"/>
                <w:szCs w:val="18"/>
              </w:rPr>
              <w:t>Major classes of investing and financing cash flows shall be presented on a gross basis.</w:t>
            </w:r>
          </w:p>
        </w:tc>
      </w:tr>
      <w:tr w:rsidR="00D15034" w:rsidRPr="00CF7E1B" w14:paraId="3327BD5D" w14:textId="77777777" w:rsidTr="001F1661">
        <w:tc>
          <w:tcPr>
            <w:tcW w:w="1563" w:type="dxa"/>
            <w:tcBorders>
              <w:left w:val="single" w:sz="2" w:space="0" w:color="auto"/>
              <w:right w:val="single" w:sz="2" w:space="0" w:color="auto"/>
            </w:tcBorders>
          </w:tcPr>
          <w:p w14:paraId="5D40D48A" w14:textId="565CBB9B" w:rsidR="00D15034" w:rsidRPr="003E6941" w:rsidRDefault="00D15034">
            <w:pPr>
              <w:pStyle w:val="TableReference"/>
              <w:tabs>
                <w:tab w:val="left" w:pos="3306"/>
              </w:tabs>
              <w:spacing w:before="60"/>
              <w:rPr>
                <w:rFonts w:cs="Calibri"/>
                <w:color w:val="7030A0"/>
                <w:sz w:val="14"/>
              </w:rPr>
            </w:pPr>
            <w:r w:rsidRPr="003E6941">
              <w:rPr>
                <w:rFonts w:cs="Calibri"/>
                <w:color w:val="7030A0"/>
                <w:sz w:val="14"/>
              </w:rPr>
              <w:t>AASB 107.22</w:t>
            </w:r>
          </w:p>
        </w:tc>
        <w:tc>
          <w:tcPr>
            <w:tcW w:w="8930" w:type="dxa"/>
            <w:tcBorders>
              <w:left w:val="single" w:sz="2" w:space="0" w:color="auto"/>
            </w:tcBorders>
            <w:shd w:val="clear" w:color="auto" w:fill="7030A0"/>
          </w:tcPr>
          <w:p w14:paraId="4AEE128B" w14:textId="77777777" w:rsidR="00D15034" w:rsidRPr="003E6941" w:rsidRDefault="00D15034" w:rsidP="00090F32">
            <w:pPr>
              <w:pStyle w:val="CommentaryText"/>
              <w:spacing w:after="40"/>
              <w:rPr>
                <w:rFonts w:cs="Calibri"/>
                <w:color w:val="FFFFFF" w:themeColor="background1"/>
                <w:sz w:val="18"/>
                <w:szCs w:val="18"/>
              </w:rPr>
            </w:pPr>
            <w:r w:rsidRPr="003E6941">
              <w:rPr>
                <w:rFonts w:cs="Calibri"/>
                <w:color w:val="FFFFFF" w:themeColor="background1"/>
                <w:sz w:val="18"/>
                <w:szCs w:val="18"/>
              </w:rPr>
              <w:t>However, the following items, may be reported on a net basis:</w:t>
            </w:r>
          </w:p>
          <w:p w14:paraId="2A4A333E" w14:textId="412825D5"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the agency is, in substance, holding or disbursing cash on behalf of its customers; and</w:t>
            </w:r>
          </w:p>
          <w:p w14:paraId="1B269B7D" w14:textId="7B9C95B4"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turnover is quick, the amounts are large, and the maturities are short i.e. less than 3 months.</w:t>
            </w:r>
          </w:p>
        </w:tc>
      </w:tr>
      <w:tr w:rsidR="000144FF" w:rsidRPr="00CF7E1B" w14:paraId="5EBC3E69" w14:textId="77777777" w:rsidTr="001F1661">
        <w:tc>
          <w:tcPr>
            <w:tcW w:w="1563" w:type="dxa"/>
            <w:tcBorders>
              <w:left w:val="single" w:sz="2" w:space="0" w:color="auto"/>
              <w:right w:val="single" w:sz="2" w:space="0" w:color="auto"/>
            </w:tcBorders>
          </w:tcPr>
          <w:p w14:paraId="2B086283"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BB80C49" w14:textId="3D1DC4E0" w:rsidR="000144FF" w:rsidRPr="003E6941" w:rsidRDefault="000144FF" w:rsidP="00D15034">
            <w:pPr>
              <w:pStyle w:val="CommentaryText"/>
              <w:spacing w:before="120"/>
              <w:rPr>
                <w:rFonts w:cs="Calibri"/>
                <w:color w:val="FFFFFF" w:themeColor="background1"/>
                <w:sz w:val="18"/>
                <w:szCs w:val="18"/>
              </w:rPr>
            </w:pPr>
            <w:r w:rsidRPr="003E6941">
              <w:rPr>
                <w:rFonts w:cs="Calibri"/>
                <w:color w:val="FFFFFF" w:themeColor="background1"/>
                <w:sz w:val="18"/>
                <w:szCs w:val="18"/>
              </w:rPr>
              <w:t xml:space="preserve">These two situations will not apply to </w:t>
            </w:r>
            <w:r w:rsidR="00D65811" w:rsidRPr="003E6941">
              <w:rPr>
                <w:rFonts w:cs="Calibri"/>
                <w:color w:val="FFFFFF" w:themeColor="background1"/>
                <w:sz w:val="18"/>
                <w:szCs w:val="18"/>
              </w:rPr>
              <w:t>a</w:t>
            </w:r>
            <w:r w:rsidR="002B361F" w:rsidRPr="003E6941">
              <w:rPr>
                <w:rFonts w:cs="Calibri"/>
                <w:color w:val="FFFFFF" w:themeColor="background1"/>
                <w:sz w:val="18"/>
                <w:szCs w:val="18"/>
              </w:rPr>
              <w:t>gencies</w:t>
            </w:r>
            <w:r w:rsidR="0077272D">
              <w:rPr>
                <w:rFonts w:cs="Calibri"/>
                <w:color w:val="FFFFFF" w:themeColor="background1"/>
                <w:sz w:val="18"/>
                <w:szCs w:val="18"/>
              </w:rPr>
              <w:t>,</w:t>
            </w:r>
            <w:r w:rsidR="002B361F" w:rsidRPr="003E6941">
              <w:rPr>
                <w:rFonts w:cs="Calibri"/>
                <w:color w:val="FFFFFF" w:themeColor="background1"/>
                <w:sz w:val="18"/>
                <w:szCs w:val="18"/>
              </w:rPr>
              <w:t xml:space="preserve"> </w:t>
            </w:r>
            <w:r w:rsidRPr="003E6941">
              <w:rPr>
                <w:rFonts w:cs="Calibri"/>
                <w:color w:val="FFFFFF" w:themeColor="background1"/>
                <w:sz w:val="18"/>
                <w:szCs w:val="18"/>
              </w:rPr>
              <w:t>with the</w:t>
            </w:r>
            <w:r w:rsidR="00143D7D" w:rsidRPr="003E6941">
              <w:rPr>
                <w:rFonts w:cs="Calibri"/>
                <w:color w:val="FFFFFF" w:themeColor="background1"/>
                <w:sz w:val="18"/>
                <w:szCs w:val="18"/>
              </w:rPr>
              <w:t xml:space="preserve"> possible</w:t>
            </w:r>
            <w:r w:rsidRPr="003E6941">
              <w:rPr>
                <w:rFonts w:cs="Calibri"/>
                <w:color w:val="FFFFFF" w:themeColor="background1"/>
                <w:sz w:val="18"/>
                <w:szCs w:val="18"/>
              </w:rPr>
              <w:t xml:space="preserve"> exception of the </w:t>
            </w:r>
            <w:r w:rsidR="009B6BD6" w:rsidRPr="003E6941">
              <w:rPr>
                <w:rFonts w:cs="Calibri"/>
                <w:color w:val="FFFFFF" w:themeColor="background1"/>
                <w:sz w:val="18"/>
                <w:szCs w:val="18"/>
              </w:rPr>
              <w:t>Territory Banking Account</w:t>
            </w:r>
            <w:r w:rsidRPr="003E6941">
              <w:rPr>
                <w:rFonts w:cs="Calibri"/>
                <w:color w:val="FFFFFF" w:themeColor="background1"/>
                <w:sz w:val="18"/>
                <w:szCs w:val="18"/>
              </w:rPr>
              <w:t xml:space="preserve"> </w:t>
            </w:r>
            <w:r w:rsidR="00D65811" w:rsidRPr="003E6941">
              <w:rPr>
                <w:rFonts w:cs="Calibri"/>
                <w:color w:val="FFFFFF" w:themeColor="background1"/>
                <w:sz w:val="18"/>
                <w:szCs w:val="18"/>
              </w:rPr>
              <w:t>and/</w:t>
            </w:r>
            <w:r w:rsidRPr="003E6941">
              <w:rPr>
                <w:rFonts w:cs="Calibri"/>
                <w:color w:val="FFFFFF" w:themeColor="background1"/>
                <w:sz w:val="18"/>
                <w:szCs w:val="18"/>
              </w:rPr>
              <w:t xml:space="preserve">or the </w:t>
            </w:r>
            <w:r w:rsidR="00AB7939" w:rsidRPr="003E6941">
              <w:rPr>
                <w:rFonts w:cs="Calibri"/>
                <w:color w:val="FFFFFF" w:themeColor="background1"/>
                <w:sz w:val="18"/>
                <w:szCs w:val="18"/>
              </w:rPr>
              <w:t>Superannuation Provision Account</w:t>
            </w:r>
            <w:r w:rsidRPr="003E6941">
              <w:rPr>
                <w:rFonts w:cs="Calibri"/>
                <w:color w:val="FFFFFF" w:themeColor="background1"/>
                <w:sz w:val="18"/>
                <w:szCs w:val="18"/>
              </w:rPr>
              <w:t>.</w:t>
            </w:r>
          </w:p>
        </w:tc>
      </w:tr>
      <w:tr w:rsidR="000144FF" w:rsidRPr="00CF7E1B" w14:paraId="64C71937" w14:textId="77777777" w:rsidTr="001F1661">
        <w:tc>
          <w:tcPr>
            <w:tcW w:w="1563" w:type="dxa"/>
            <w:tcBorders>
              <w:left w:val="single" w:sz="2" w:space="0" w:color="auto"/>
              <w:right w:val="single" w:sz="2" w:space="0" w:color="auto"/>
            </w:tcBorders>
          </w:tcPr>
          <w:p w14:paraId="14927100"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105C0ED"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Budget</w:t>
            </w:r>
          </w:p>
        </w:tc>
      </w:tr>
      <w:tr w:rsidR="006141B9" w:rsidRPr="00CF7E1B" w14:paraId="7A7C9483" w14:textId="77777777" w:rsidTr="001F1661">
        <w:tc>
          <w:tcPr>
            <w:tcW w:w="1563" w:type="dxa"/>
            <w:tcBorders>
              <w:left w:val="single" w:sz="2" w:space="0" w:color="auto"/>
              <w:right w:val="single" w:sz="2" w:space="0" w:color="auto"/>
            </w:tcBorders>
          </w:tcPr>
          <w:p w14:paraId="0591683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FMA Section 27(2)</w:t>
            </w:r>
          </w:p>
          <w:p w14:paraId="451F3A02" w14:textId="365822A8" w:rsidR="006141B9" w:rsidRPr="003E6941" w:rsidRDefault="006141B9" w:rsidP="006141B9">
            <w:pPr>
              <w:pStyle w:val="TableReference"/>
              <w:tabs>
                <w:tab w:val="left" w:pos="3306"/>
              </w:tabs>
              <w:spacing w:before="60"/>
              <w:rPr>
                <w:rFonts w:cs="Calibri"/>
                <w:strike/>
                <w:color w:val="7030A0"/>
                <w:sz w:val="14"/>
              </w:rPr>
            </w:pPr>
            <w:r w:rsidRPr="003E6941">
              <w:rPr>
                <w:rFonts w:cs="Calibri"/>
                <w:color w:val="7030A0"/>
                <w:sz w:val="14"/>
              </w:rPr>
              <w:t>FMA s63(2)</w:t>
            </w:r>
          </w:p>
        </w:tc>
        <w:tc>
          <w:tcPr>
            <w:tcW w:w="8930" w:type="dxa"/>
            <w:tcBorders>
              <w:left w:val="single" w:sz="2" w:space="0" w:color="auto"/>
            </w:tcBorders>
            <w:shd w:val="clear" w:color="auto" w:fill="7030A0"/>
          </w:tcPr>
          <w:p w14:paraId="5A012F33" w14:textId="0E22CB76" w:rsidR="006141B9" w:rsidRPr="003E6941" w:rsidRDefault="006141B9" w:rsidP="006141B9">
            <w:pPr>
              <w:pStyle w:val="CommentaryText"/>
              <w:rPr>
                <w:rFonts w:cs="Calibri"/>
                <w:color w:val="FFFFFF" w:themeColor="background1"/>
                <w:sz w:val="18"/>
                <w:szCs w:val="18"/>
              </w:rPr>
            </w:pPr>
            <w:r w:rsidRPr="003E6941">
              <w:rPr>
                <w:rFonts w:cs="Calibri"/>
                <w:color w:val="FFFFFF" w:themeColor="background1"/>
                <w:sz w:val="18"/>
                <w:szCs w:val="18"/>
              </w:rPr>
              <w:t>The budget numbers appearing in the Statement of Cash Flows are the numbers published in the 202</w:t>
            </w:r>
            <w:r w:rsidR="00D50594">
              <w:rPr>
                <w:rFonts w:cs="Calibri"/>
                <w:color w:val="FFFFFF" w:themeColor="background1"/>
                <w:sz w:val="18"/>
                <w:szCs w:val="18"/>
              </w:rPr>
              <w:t>2</w:t>
            </w:r>
            <w:r w:rsidRPr="003E6941">
              <w:rPr>
                <w:rFonts w:cs="Calibri"/>
                <w:color w:val="FFFFFF" w:themeColor="background1"/>
                <w:sz w:val="18"/>
                <w:szCs w:val="18"/>
              </w:rPr>
              <w:t>-2</w:t>
            </w:r>
            <w:r w:rsidR="00D50594">
              <w:rPr>
                <w:rFonts w:cs="Calibri"/>
                <w:color w:val="FFFFFF" w:themeColor="background1"/>
                <w:sz w:val="18"/>
                <w:szCs w:val="18"/>
              </w:rPr>
              <w:t>3</w:t>
            </w:r>
            <w:r w:rsidRPr="003E6941">
              <w:rPr>
                <w:rFonts w:cs="Calibri"/>
                <w:color w:val="FFFFFF" w:themeColor="background1"/>
                <w:sz w:val="18"/>
                <w:szCs w:val="18"/>
              </w:rPr>
              <w:t xml:space="preserve"> Budget Papers.</w:t>
            </w:r>
            <w:r w:rsidR="00FA7C77">
              <w:rPr>
                <w:rFonts w:cs="Calibri"/>
                <w:color w:val="FFFFFF" w:themeColor="background1"/>
                <w:sz w:val="18"/>
                <w:szCs w:val="18"/>
              </w:rPr>
              <w:t xml:space="preserve"> </w:t>
            </w:r>
            <w:r w:rsidRPr="003E6941">
              <w:rPr>
                <w:rFonts w:cs="Calibri"/>
                <w:color w:val="FFFFFF" w:themeColor="background1"/>
                <w:sz w:val="18"/>
                <w:szCs w:val="18"/>
              </w:rPr>
              <w:t xml:space="preserve">For </w:t>
            </w:r>
            <w:r w:rsidR="00090F32">
              <w:rPr>
                <w:rFonts w:cs="Calibri"/>
                <w:color w:val="FFFFFF" w:themeColor="background1"/>
                <w:sz w:val="18"/>
                <w:szCs w:val="18"/>
              </w:rPr>
              <w:t>t</w:t>
            </w:r>
            <w:r w:rsidRPr="003E6941">
              <w:rPr>
                <w:rFonts w:cs="Calibri"/>
                <w:color w:val="FFFFFF" w:themeColor="background1"/>
                <w:sz w:val="18"/>
                <w:szCs w:val="18"/>
              </w:rPr>
              <w:t xml:space="preserve">erritory </w:t>
            </w:r>
            <w:r w:rsidR="00090F32">
              <w:rPr>
                <w:rFonts w:cs="Calibri"/>
                <w:color w:val="FFFFFF" w:themeColor="background1"/>
                <w:sz w:val="18"/>
                <w:szCs w:val="18"/>
              </w:rPr>
              <w:t>a</w:t>
            </w:r>
            <w:r w:rsidRPr="003E6941">
              <w:rPr>
                <w:rFonts w:cs="Calibri"/>
                <w:color w:val="FFFFFF" w:themeColor="background1"/>
                <w:sz w:val="18"/>
                <w:szCs w:val="18"/>
              </w:rPr>
              <w:t xml:space="preserve">uthorities budget numbers appearing in the Statement of Cash Flows are based on the authority’s Statement of Intent included in the </w:t>
            </w:r>
            <w:r w:rsidR="0077272D" w:rsidRPr="00C93ED0">
              <w:rPr>
                <w:rFonts w:cs="Calibri"/>
                <w:color w:val="FF0000"/>
                <w:sz w:val="18"/>
                <w:szCs w:val="18"/>
              </w:rPr>
              <w:t>2022-23</w:t>
            </w:r>
            <w:r w:rsidR="0077272D" w:rsidRPr="0077272D">
              <w:rPr>
                <w:rFonts w:cs="Calibri"/>
                <w:color w:val="FF0000"/>
                <w:sz w:val="18"/>
                <w:szCs w:val="18"/>
              </w:rPr>
              <w:t xml:space="preserve"> </w:t>
            </w:r>
            <w:r w:rsidRPr="003E6941">
              <w:rPr>
                <w:rFonts w:cs="Calibri"/>
                <w:color w:val="FFFFFF" w:themeColor="background1"/>
                <w:sz w:val="18"/>
                <w:szCs w:val="18"/>
              </w:rPr>
              <w:t>Budget Papers.</w:t>
            </w:r>
          </w:p>
        </w:tc>
      </w:tr>
      <w:tr w:rsidR="006141B9" w:rsidRPr="00CF7E1B" w14:paraId="775720E9" w14:textId="77777777" w:rsidTr="001F1661">
        <w:tc>
          <w:tcPr>
            <w:tcW w:w="1563" w:type="dxa"/>
            <w:tcBorders>
              <w:left w:val="single" w:sz="2" w:space="0" w:color="auto"/>
              <w:right w:val="single" w:sz="2" w:space="0" w:color="auto"/>
            </w:tcBorders>
          </w:tcPr>
          <w:p w14:paraId="7FA723EF"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A1A8B19" w14:textId="77777777"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Definitions</w:t>
            </w:r>
          </w:p>
        </w:tc>
      </w:tr>
      <w:tr w:rsidR="006141B9" w:rsidRPr="00CF7E1B" w14:paraId="08E06B49" w14:textId="77777777" w:rsidTr="001F1661">
        <w:tc>
          <w:tcPr>
            <w:tcW w:w="1563" w:type="dxa"/>
            <w:tcBorders>
              <w:left w:val="single" w:sz="2" w:space="0" w:color="auto"/>
              <w:right w:val="single" w:sz="2" w:space="0" w:color="auto"/>
            </w:tcBorders>
          </w:tcPr>
          <w:p w14:paraId="64967AE3"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 &amp; 9</w:t>
            </w:r>
          </w:p>
        </w:tc>
        <w:tc>
          <w:tcPr>
            <w:tcW w:w="8930" w:type="dxa"/>
            <w:tcBorders>
              <w:left w:val="single" w:sz="2" w:space="0" w:color="auto"/>
            </w:tcBorders>
            <w:shd w:val="clear" w:color="auto" w:fill="7030A0"/>
          </w:tcPr>
          <w:p w14:paraId="7BF53432" w14:textId="5265FBBC"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flows are inflows and outflows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Cash flows exclude movements between items that constitute cash or cash equivalents because these components are part of the cash management of an agency rather than part of its operating, investing and financing activities.</w:t>
            </w:r>
          </w:p>
        </w:tc>
      </w:tr>
      <w:tr w:rsidR="006141B9" w:rsidRPr="00CF7E1B" w14:paraId="6D72737A" w14:textId="77777777" w:rsidTr="001F1661">
        <w:tc>
          <w:tcPr>
            <w:tcW w:w="1563" w:type="dxa"/>
            <w:tcBorders>
              <w:left w:val="single" w:sz="2" w:space="0" w:color="auto"/>
              <w:right w:val="single" w:sz="2" w:space="0" w:color="auto"/>
            </w:tcBorders>
          </w:tcPr>
          <w:p w14:paraId="0D352CD6" w14:textId="106C6C0D"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12374583" w14:textId="2F3AABD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defines cash as cash on hand and demand deposits.</w:t>
            </w:r>
            <w:r w:rsidR="00FA7C77">
              <w:rPr>
                <w:rFonts w:cs="Calibri"/>
                <w:color w:val="FFFFFF" w:themeColor="background1"/>
                <w:sz w:val="18"/>
                <w:szCs w:val="18"/>
              </w:rPr>
              <w:t xml:space="preserve"> </w:t>
            </w:r>
            <w:r w:rsidRPr="003E6941">
              <w:rPr>
                <w:rFonts w:cs="Calibri"/>
                <w:color w:val="FFFFFF" w:themeColor="background1"/>
                <w:sz w:val="18"/>
                <w:szCs w:val="18"/>
              </w:rPr>
              <w:t>Cash on hand refers to notes and coins held on premises and demand deposits are deposits held at call with a financial institution.</w:t>
            </w:r>
            <w:r w:rsidR="00FA7C77">
              <w:rPr>
                <w:rFonts w:cs="Calibri"/>
                <w:color w:val="FFFFFF" w:themeColor="background1"/>
                <w:sz w:val="18"/>
                <w:szCs w:val="18"/>
              </w:rPr>
              <w:t xml:space="preserve"> </w:t>
            </w:r>
          </w:p>
        </w:tc>
      </w:tr>
      <w:tr w:rsidR="006141B9" w:rsidRPr="00CF7E1B" w14:paraId="76E939F3" w14:textId="77777777" w:rsidTr="001F1661">
        <w:tc>
          <w:tcPr>
            <w:tcW w:w="1563" w:type="dxa"/>
            <w:tcBorders>
              <w:left w:val="single" w:sz="2" w:space="0" w:color="auto"/>
              <w:right w:val="single" w:sz="2" w:space="0" w:color="auto"/>
            </w:tcBorders>
          </w:tcPr>
          <w:p w14:paraId="014EB3B1" w14:textId="1B9724D3"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4350340A" w14:textId="298D8B9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equivalents are highly liquid investments with short periods to maturity, and are subject to an insignificant risk of changes in value.</w:t>
            </w:r>
          </w:p>
        </w:tc>
      </w:tr>
      <w:tr w:rsidR="006141B9" w:rsidRPr="00CF7E1B" w14:paraId="1388761A" w14:textId="77777777" w:rsidTr="001F1661">
        <w:tc>
          <w:tcPr>
            <w:tcW w:w="1563" w:type="dxa"/>
            <w:tcBorders>
              <w:left w:val="single" w:sz="2" w:space="0" w:color="auto"/>
              <w:right w:val="single" w:sz="2" w:space="0" w:color="auto"/>
            </w:tcBorders>
          </w:tcPr>
          <w:p w14:paraId="5AC4F4B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50EC47B9" w14:textId="444DDD60"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Operating activities are the </w:t>
            </w:r>
            <w:r w:rsidR="008475E2" w:rsidRPr="003E6941">
              <w:rPr>
                <w:rFonts w:cs="Calibri"/>
                <w:color w:val="FFFFFF" w:themeColor="background1"/>
                <w:sz w:val="18"/>
                <w:szCs w:val="18"/>
              </w:rPr>
              <w:t>principal</w:t>
            </w:r>
            <w:r w:rsidRPr="003E6941">
              <w:rPr>
                <w:rFonts w:cs="Calibri"/>
                <w:color w:val="FFFFFF" w:themeColor="background1"/>
                <w:sz w:val="18"/>
                <w:szCs w:val="18"/>
              </w:rPr>
              <w:t xml:space="preserve"> revenue-producing activities of an agency and other activities that are not investing or financing activities.</w:t>
            </w:r>
          </w:p>
        </w:tc>
      </w:tr>
      <w:tr w:rsidR="006141B9" w:rsidRPr="00CF7E1B" w14:paraId="77E50312" w14:textId="77777777" w:rsidTr="001F1661">
        <w:tc>
          <w:tcPr>
            <w:tcW w:w="1563" w:type="dxa"/>
            <w:tcBorders>
              <w:left w:val="single" w:sz="2" w:space="0" w:color="auto"/>
              <w:right w:val="single" w:sz="2" w:space="0" w:color="auto"/>
            </w:tcBorders>
          </w:tcPr>
          <w:p w14:paraId="75277A8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0694073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Investing activities are the acquisition and disposal of long-term assets, and other investments not included in cash equivalents.</w:t>
            </w:r>
          </w:p>
        </w:tc>
      </w:tr>
      <w:tr w:rsidR="006141B9" w:rsidRPr="00CF7E1B" w14:paraId="286D4926" w14:textId="77777777" w:rsidTr="001F1661">
        <w:tc>
          <w:tcPr>
            <w:tcW w:w="1563" w:type="dxa"/>
            <w:tcBorders>
              <w:left w:val="single" w:sz="2" w:space="0" w:color="auto"/>
              <w:right w:val="single" w:sz="2" w:space="0" w:color="auto"/>
            </w:tcBorders>
          </w:tcPr>
          <w:p w14:paraId="27B3B7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349A8F0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Financing activities are activities that relate to changes in the size and composition of the contributed capital (accumulated funds) and borrowings of the agency.</w:t>
            </w:r>
          </w:p>
        </w:tc>
      </w:tr>
      <w:tr w:rsidR="006141B9" w:rsidRPr="00CF7E1B" w14:paraId="640DF97C" w14:textId="77777777" w:rsidTr="001F1661">
        <w:tc>
          <w:tcPr>
            <w:tcW w:w="1563" w:type="dxa"/>
            <w:tcBorders>
              <w:left w:val="single" w:sz="2" w:space="0" w:color="auto"/>
              <w:right w:val="single" w:sz="2" w:space="0" w:color="auto"/>
            </w:tcBorders>
          </w:tcPr>
          <w:p w14:paraId="0A45BC64"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05911D6"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Bank Overdraft</w:t>
            </w:r>
          </w:p>
        </w:tc>
      </w:tr>
      <w:tr w:rsidR="006141B9" w:rsidRPr="00CF7E1B" w14:paraId="33C11A5D" w14:textId="77777777" w:rsidTr="001F1661">
        <w:tc>
          <w:tcPr>
            <w:tcW w:w="1563" w:type="dxa"/>
            <w:tcBorders>
              <w:left w:val="single" w:sz="2" w:space="0" w:color="auto"/>
              <w:right w:val="single" w:sz="2" w:space="0" w:color="auto"/>
            </w:tcBorders>
          </w:tcPr>
          <w:p w14:paraId="0728F37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107.8</w:t>
            </w:r>
          </w:p>
        </w:tc>
        <w:tc>
          <w:tcPr>
            <w:tcW w:w="8930" w:type="dxa"/>
            <w:tcBorders>
              <w:left w:val="single" w:sz="2" w:space="0" w:color="auto"/>
            </w:tcBorders>
            <w:shd w:val="clear" w:color="auto" w:fill="7030A0"/>
          </w:tcPr>
          <w:p w14:paraId="4911323D" w14:textId="53593EE4"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Where a bank overdraft is repayable on demand and therefore forms an integral part of an agency’s cash management, these overdrafts are included as a component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A characteristic of such banking arrangements is that the bank balance often fluctuates from being positive to overdrawn.</w:t>
            </w:r>
            <w:r w:rsidR="00FA7C77">
              <w:rPr>
                <w:rFonts w:cs="Calibri"/>
                <w:color w:val="FFFFFF" w:themeColor="background1"/>
                <w:sz w:val="18"/>
                <w:szCs w:val="18"/>
              </w:rPr>
              <w:t xml:space="preserve"> </w:t>
            </w:r>
            <w:r w:rsidRPr="003E6941">
              <w:rPr>
                <w:rFonts w:cs="Calibri"/>
                <w:color w:val="FFFFFF" w:themeColor="background1"/>
                <w:sz w:val="18"/>
                <w:szCs w:val="18"/>
              </w:rPr>
              <w:t>Where a bank overdraft is not repayable on demand</w:t>
            </w:r>
            <w:r w:rsidR="008475E2" w:rsidRPr="003E6941">
              <w:rPr>
                <w:rFonts w:cs="Calibri"/>
                <w:color w:val="FFFFFF" w:themeColor="background1"/>
                <w:sz w:val="18"/>
                <w:szCs w:val="18"/>
              </w:rPr>
              <w:t>,</w:t>
            </w:r>
            <w:r w:rsidRPr="003E6941">
              <w:rPr>
                <w:rFonts w:cs="Calibri"/>
                <w:color w:val="FFFFFF" w:themeColor="background1"/>
                <w:sz w:val="18"/>
                <w:szCs w:val="18"/>
              </w:rPr>
              <w:t xml:space="preserve"> it would </w:t>
            </w:r>
            <w:r w:rsidR="008475E2" w:rsidRPr="003E6941">
              <w:rPr>
                <w:rFonts w:cs="Calibri"/>
                <w:color w:val="FFFFFF" w:themeColor="background1"/>
                <w:sz w:val="18"/>
                <w:szCs w:val="18"/>
              </w:rPr>
              <w:t xml:space="preserve">be </w:t>
            </w:r>
            <w:r w:rsidRPr="003E6941">
              <w:rPr>
                <w:rFonts w:cs="Calibri"/>
                <w:color w:val="FFFFFF" w:themeColor="background1"/>
                <w:sz w:val="18"/>
                <w:szCs w:val="18"/>
              </w:rPr>
              <w:t>treated as a cash flow from financing activities.</w:t>
            </w:r>
          </w:p>
        </w:tc>
      </w:tr>
      <w:tr w:rsidR="006141B9" w:rsidRPr="00CF7E1B" w14:paraId="716F5422" w14:textId="77777777" w:rsidTr="001F1661">
        <w:tc>
          <w:tcPr>
            <w:tcW w:w="1563" w:type="dxa"/>
            <w:tcBorders>
              <w:left w:val="single" w:sz="2" w:space="0" w:color="auto"/>
              <w:right w:val="single" w:sz="2" w:space="0" w:color="auto"/>
            </w:tcBorders>
          </w:tcPr>
          <w:p w14:paraId="61C4D98A"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7DA6C08"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Different Cash Flows in One Transaction</w:t>
            </w:r>
          </w:p>
        </w:tc>
      </w:tr>
      <w:tr w:rsidR="006141B9" w:rsidRPr="00CF7E1B" w14:paraId="5CF13DE4" w14:textId="77777777" w:rsidTr="001F1661">
        <w:tc>
          <w:tcPr>
            <w:tcW w:w="1563" w:type="dxa"/>
            <w:tcBorders>
              <w:left w:val="single" w:sz="2" w:space="0" w:color="auto"/>
              <w:right w:val="single" w:sz="2" w:space="0" w:color="auto"/>
            </w:tcBorders>
          </w:tcPr>
          <w:p w14:paraId="56FB8566"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107.12</w:t>
            </w:r>
          </w:p>
        </w:tc>
        <w:tc>
          <w:tcPr>
            <w:tcW w:w="8930" w:type="dxa"/>
            <w:tcBorders>
              <w:left w:val="single" w:sz="2" w:space="0" w:color="auto"/>
            </w:tcBorders>
            <w:shd w:val="clear" w:color="auto" w:fill="7030A0"/>
          </w:tcPr>
          <w:p w14:paraId="0A398D5F" w14:textId="32662FD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 single transaction may include cash flows that are classified differently. For example, when the cash repayment of a loan includes both an interest element and a capital element, the interest element may be classified as operating and the capital element as financing.</w:t>
            </w:r>
          </w:p>
        </w:tc>
      </w:tr>
      <w:tr w:rsidR="006141B9" w:rsidRPr="00CF7E1B" w14:paraId="36F412B5" w14:textId="77777777" w:rsidTr="001F1661">
        <w:tc>
          <w:tcPr>
            <w:tcW w:w="1563" w:type="dxa"/>
            <w:tcBorders>
              <w:left w:val="single" w:sz="2" w:space="0" w:color="auto"/>
              <w:right w:val="single" w:sz="2" w:space="0" w:color="auto"/>
            </w:tcBorders>
          </w:tcPr>
          <w:p w14:paraId="03219E21"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3BBC040C" w14:textId="4C97A928"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Goods and Services Tax</w:t>
            </w:r>
            <w:r w:rsidR="008475E2" w:rsidRPr="00552ECB">
              <w:rPr>
                <w:rFonts w:cs="Calibri"/>
                <w:color w:val="FFFFFF" w:themeColor="background1"/>
                <w:szCs w:val="20"/>
              </w:rPr>
              <w:t xml:space="preserve"> </w:t>
            </w:r>
            <w:r w:rsidRPr="00552ECB">
              <w:rPr>
                <w:rFonts w:cs="Calibri"/>
                <w:color w:val="FFFFFF" w:themeColor="background1"/>
                <w:szCs w:val="20"/>
              </w:rPr>
              <w:t>(GST)</w:t>
            </w:r>
          </w:p>
        </w:tc>
      </w:tr>
      <w:tr w:rsidR="006141B9" w:rsidRPr="00CF7E1B" w14:paraId="0E143EC2" w14:textId="77777777" w:rsidTr="001F1661">
        <w:tc>
          <w:tcPr>
            <w:tcW w:w="1563" w:type="dxa"/>
            <w:tcBorders>
              <w:left w:val="single" w:sz="2" w:space="0" w:color="auto"/>
              <w:right w:val="single" w:sz="2" w:space="0" w:color="auto"/>
            </w:tcBorders>
          </w:tcPr>
          <w:p w14:paraId="4C7E8C2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1031.10</w:t>
            </w:r>
          </w:p>
        </w:tc>
        <w:tc>
          <w:tcPr>
            <w:tcW w:w="8930" w:type="dxa"/>
            <w:tcBorders>
              <w:left w:val="single" w:sz="2" w:space="0" w:color="auto"/>
            </w:tcBorders>
            <w:shd w:val="clear" w:color="auto" w:fill="7030A0"/>
          </w:tcPr>
          <w:p w14:paraId="2DD2E126" w14:textId="1BEF0F5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Cash flows relating to the GST must be included in the Statement of Cash Flows on a gross basis. </w:t>
            </w:r>
          </w:p>
        </w:tc>
      </w:tr>
      <w:tr w:rsidR="006141B9" w:rsidRPr="00CF7E1B" w14:paraId="5DF9340E" w14:textId="77777777" w:rsidTr="001F1661">
        <w:tc>
          <w:tcPr>
            <w:tcW w:w="1563" w:type="dxa"/>
            <w:tcBorders>
              <w:left w:val="single" w:sz="2" w:space="0" w:color="auto"/>
              <w:right w:val="single" w:sz="2" w:space="0" w:color="auto"/>
            </w:tcBorders>
          </w:tcPr>
          <w:p w14:paraId="39B844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1031.11</w:t>
            </w:r>
          </w:p>
        </w:tc>
        <w:tc>
          <w:tcPr>
            <w:tcW w:w="8930" w:type="dxa"/>
            <w:tcBorders>
              <w:left w:val="single" w:sz="2" w:space="0" w:color="auto"/>
            </w:tcBorders>
            <w:shd w:val="clear" w:color="auto" w:fill="7030A0"/>
          </w:tcPr>
          <w:p w14:paraId="6D2FCDDB"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The GST component of cash flows arising from investing and financing activities which is recoverable from, or payable to, the taxation authority must be classified as operating cash flows.</w:t>
            </w:r>
          </w:p>
        </w:tc>
      </w:tr>
      <w:tr w:rsidR="006141B9" w:rsidRPr="00CF7E1B" w14:paraId="73A9567C" w14:textId="77777777" w:rsidTr="001F1661">
        <w:tc>
          <w:tcPr>
            <w:tcW w:w="1563" w:type="dxa"/>
            <w:tcBorders>
              <w:left w:val="single" w:sz="2" w:space="0" w:color="auto"/>
              <w:right w:val="single" w:sz="2" w:space="0" w:color="auto"/>
            </w:tcBorders>
          </w:tcPr>
          <w:p w14:paraId="4F6FE417"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8E2EE2" w14:textId="77777777" w:rsidR="006141B9" w:rsidRPr="00552ECB" w:rsidRDefault="006141B9" w:rsidP="00CC1E25">
            <w:pPr>
              <w:pStyle w:val="CommentaryHeading"/>
              <w:spacing w:after="40"/>
              <w:rPr>
                <w:rFonts w:cs="Calibri"/>
                <w:color w:val="FFFFFF" w:themeColor="background1"/>
                <w:szCs w:val="20"/>
              </w:rPr>
            </w:pPr>
            <w:r w:rsidRPr="00552ECB">
              <w:rPr>
                <w:rFonts w:cs="Calibri"/>
                <w:color w:val="FFFFFF" w:themeColor="background1"/>
                <w:szCs w:val="20"/>
              </w:rPr>
              <w:t>Interest in a Joint Venture</w:t>
            </w:r>
          </w:p>
        </w:tc>
      </w:tr>
      <w:tr w:rsidR="006141B9" w:rsidRPr="00CF7E1B" w14:paraId="55297BCE" w14:textId="77777777" w:rsidTr="001F1661">
        <w:tc>
          <w:tcPr>
            <w:tcW w:w="1563" w:type="dxa"/>
            <w:tcBorders>
              <w:left w:val="single" w:sz="2" w:space="0" w:color="auto"/>
              <w:right w:val="single" w:sz="2" w:space="0" w:color="auto"/>
            </w:tcBorders>
          </w:tcPr>
          <w:p w14:paraId="4267D0B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107.38</w:t>
            </w:r>
          </w:p>
        </w:tc>
        <w:tc>
          <w:tcPr>
            <w:tcW w:w="8930" w:type="dxa"/>
            <w:tcBorders>
              <w:left w:val="single" w:sz="2" w:space="0" w:color="auto"/>
            </w:tcBorders>
            <w:shd w:val="clear" w:color="auto" w:fill="7030A0"/>
          </w:tcPr>
          <w:p w14:paraId="23BE5465" w14:textId="23E64BFF" w:rsidR="006141B9" w:rsidRPr="003E6941" w:rsidRDefault="006141B9" w:rsidP="006141B9">
            <w:pPr>
              <w:pStyle w:val="CommentaryText"/>
              <w:tabs>
                <w:tab w:val="left" w:pos="3306"/>
              </w:tabs>
              <w:spacing w:after="40"/>
              <w:rPr>
                <w:rFonts w:cs="Calibri"/>
                <w:color w:val="FFFFFF" w:themeColor="background1"/>
                <w:sz w:val="18"/>
                <w:szCs w:val="18"/>
              </w:rPr>
            </w:pPr>
            <w:r w:rsidRPr="003E6941">
              <w:rPr>
                <w:rFonts w:cs="Calibri"/>
                <w:color w:val="FFFFFF" w:themeColor="background1"/>
                <w:sz w:val="18"/>
                <w:szCs w:val="18"/>
              </w:rPr>
              <w:t>Where applicable, an agency shall include the following cash flows, relating to a Joint Venture, in its Statement of Cash Flows:</w:t>
            </w:r>
          </w:p>
          <w:p w14:paraId="57B879B6" w14:textId="77777777" w:rsidR="006141B9" w:rsidRPr="003E6941" w:rsidRDefault="006141B9" w:rsidP="00090F32">
            <w:pPr>
              <w:pStyle w:val="Commentary-Bullet"/>
              <w:tabs>
                <w:tab w:val="clear" w:pos="502"/>
              </w:tabs>
              <w:ind w:left="604" w:hanging="462"/>
              <w:rPr>
                <w:rFonts w:cs="Calibri"/>
                <w:color w:val="FFFFFF" w:themeColor="background1"/>
                <w:sz w:val="18"/>
                <w:szCs w:val="18"/>
              </w:rPr>
            </w:pPr>
            <w:r w:rsidRPr="003E6941">
              <w:rPr>
                <w:rFonts w:cs="Calibri"/>
                <w:color w:val="FFFFFF" w:themeColor="background1"/>
                <w:sz w:val="18"/>
                <w:szCs w:val="18"/>
              </w:rPr>
              <w:t>its investment in the Joint Venture;</w:t>
            </w:r>
          </w:p>
          <w:p w14:paraId="5B221ED8" w14:textId="77777777" w:rsidR="006141B9" w:rsidRPr="003E6941" w:rsidRDefault="006141B9" w:rsidP="00090F32">
            <w:pPr>
              <w:pStyle w:val="Commentary-Bullet"/>
              <w:tabs>
                <w:tab w:val="clear" w:pos="502"/>
              </w:tabs>
              <w:ind w:left="604" w:hanging="462"/>
              <w:rPr>
                <w:rFonts w:cs="Calibri"/>
                <w:color w:val="FFFFFF" w:themeColor="background1"/>
                <w:sz w:val="18"/>
                <w:szCs w:val="18"/>
              </w:rPr>
            </w:pPr>
            <w:r w:rsidRPr="003E6941">
              <w:rPr>
                <w:rFonts w:cs="Calibri"/>
                <w:color w:val="FFFFFF" w:themeColor="background1"/>
                <w:sz w:val="18"/>
                <w:szCs w:val="18"/>
              </w:rPr>
              <w:t>distributions from the Joint Venture; and</w:t>
            </w:r>
          </w:p>
          <w:p w14:paraId="47063B9B" w14:textId="55405C15" w:rsidR="00552ECB" w:rsidRPr="00552ECB" w:rsidRDefault="006141B9" w:rsidP="00090F32">
            <w:pPr>
              <w:pStyle w:val="Commentary-Bullet"/>
              <w:tabs>
                <w:tab w:val="clear" w:pos="502"/>
              </w:tabs>
              <w:spacing w:after="120"/>
              <w:ind w:left="604" w:hanging="462"/>
              <w:rPr>
                <w:rFonts w:cs="Calibri"/>
                <w:color w:val="FFFFFF" w:themeColor="background1"/>
                <w:sz w:val="18"/>
                <w:szCs w:val="18"/>
              </w:rPr>
            </w:pPr>
            <w:r w:rsidRPr="003E6941">
              <w:rPr>
                <w:rFonts w:cs="Calibri"/>
                <w:color w:val="FFFFFF" w:themeColor="background1"/>
                <w:sz w:val="18"/>
                <w:szCs w:val="18"/>
              </w:rPr>
              <w:t>other payments or receipts between it and the Joint Venture.</w:t>
            </w:r>
          </w:p>
        </w:tc>
      </w:tr>
    </w:tbl>
    <w:p w14:paraId="1698E126" w14:textId="77777777" w:rsidR="00552ECB" w:rsidRDefault="00552ECB">
      <w:r>
        <w:br w:type="page"/>
      </w:r>
    </w:p>
    <w:tbl>
      <w:tblPr>
        <w:tblW w:w="4976" w:type="pct"/>
        <w:tblInd w:w="-6" w:type="dxa"/>
        <w:shd w:val="clear" w:color="auto" w:fill="CCFFCC"/>
        <w:tblLayout w:type="fixed"/>
        <w:tblLook w:val="00A0" w:firstRow="1" w:lastRow="0" w:firstColumn="1" w:lastColumn="0" w:noHBand="0" w:noVBand="0"/>
      </w:tblPr>
      <w:tblGrid>
        <w:gridCol w:w="1563"/>
        <w:gridCol w:w="8930"/>
      </w:tblGrid>
      <w:tr w:rsidR="00552ECB" w:rsidRPr="00CF7E1B" w14:paraId="00218E09" w14:textId="77777777" w:rsidTr="004D1EC6">
        <w:tc>
          <w:tcPr>
            <w:tcW w:w="1563" w:type="dxa"/>
            <w:tcBorders>
              <w:left w:val="single" w:sz="2" w:space="0" w:color="auto"/>
              <w:right w:val="single" w:sz="2" w:space="0" w:color="auto"/>
            </w:tcBorders>
          </w:tcPr>
          <w:p w14:paraId="647761EA" w14:textId="77777777" w:rsidR="00552ECB" w:rsidRPr="003E6941" w:rsidRDefault="00552ECB" w:rsidP="00C9212B">
            <w:pPr>
              <w:pStyle w:val="TableReference"/>
              <w:tabs>
                <w:tab w:val="left" w:pos="3306"/>
              </w:tabs>
              <w:spacing w:before="240" w:after="240"/>
              <w:rPr>
                <w:rFonts w:cs="Calibri"/>
                <w:b/>
                <w:color w:val="7030A0"/>
                <w:sz w:val="22"/>
                <w:szCs w:val="22"/>
              </w:rPr>
            </w:pPr>
            <w:r w:rsidRPr="003E6941">
              <w:rPr>
                <w:rFonts w:cs="Calibri"/>
                <w:b/>
                <w:color w:val="7030A0"/>
                <w:sz w:val="22"/>
                <w:szCs w:val="22"/>
              </w:rPr>
              <w:br w:type="page"/>
              <w:t>Reference</w:t>
            </w:r>
          </w:p>
        </w:tc>
        <w:tc>
          <w:tcPr>
            <w:tcW w:w="8930" w:type="dxa"/>
            <w:tcBorders>
              <w:left w:val="single" w:sz="2" w:space="0" w:color="auto"/>
            </w:tcBorders>
            <w:shd w:val="clear" w:color="auto" w:fill="7030A0"/>
          </w:tcPr>
          <w:p w14:paraId="52F445AB" w14:textId="77777777" w:rsidR="00552ECB" w:rsidRPr="003E6941" w:rsidRDefault="00552ECB" w:rsidP="00C9212B">
            <w:pPr>
              <w:pStyle w:val="CommentaryText"/>
              <w:spacing w:before="240" w:after="240"/>
              <w:rPr>
                <w:rFonts w:cs="Calibri"/>
                <w:b/>
                <w:color w:val="FFFFFF" w:themeColor="background1"/>
                <w:sz w:val="28"/>
                <w:szCs w:val="28"/>
              </w:rPr>
            </w:pPr>
            <w:r w:rsidRPr="003E6941">
              <w:rPr>
                <w:rFonts w:cs="Calibri"/>
                <w:b/>
                <w:color w:val="FFFFFF" w:themeColor="background1"/>
                <w:sz w:val="28"/>
                <w:szCs w:val="28"/>
              </w:rPr>
              <w:t xml:space="preserve">Commentary Statement of Cash Flows – Continued </w:t>
            </w:r>
          </w:p>
        </w:tc>
      </w:tr>
      <w:tr w:rsidR="006141B9" w:rsidRPr="00CF7E1B" w14:paraId="043C27D3" w14:textId="77777777" w:rsidTr="004D1EC6">
        <w:tc>
          <w:tcPr>
            <w:tcW w:w="1563" w:type="dxa"/>
            <w:tcBorders>
              <w:left w:val="single" w:sz="2" w:space="0" w:color="auto"/>
              <w:right w:val="single" w:sz="2" w:space="0" w:color="auto"/>
            </w:tcBorders>
          </w:tcPr>
          <w:p w14:paraId="592A388F" w14:textId="6C8DCA5A"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3C8AA5A"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Materiality and Aggregation</w:t>
            </w:r>
          </w:p>
        </w:tc>
      </w:tr>
      <w:tr w:rsidR="006141B9" w:rsidRPr="00CF7E1B" w14:paraId="65E5DBFE" w14:textId="77777777" w:rsidTr="004D1EC6">
        <w:tc>
          <w:tcPr>
            <w:tcW w:w="1563" w:type="dxa"/>
            <w:tcBorders>
              <w:left w:val="single" w:sz="2" w:space="0" w:color="auto"/>
              <w:right w:val="single" w:sz="2" w:space="0" w:color="auto"/>
            </w:tcBorders>
          </w:tcPr>
          <w:p w14:paraId="76D1988D" w14:textId="18B0A1D6"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101.30A</w:t>
            </w:r>
          </w:p>
        </w:tc>
        <w:tc>
          <w:tcPr>
            <w:tcW w:w="8930" w:type="dxa"/>
            <w:tcBorders>
              <w:left w:val="single" w:sz="2" w:space="0" w:color="auto"/>
            </w:tcBorders>
            <w:shd w:val="clear" w:color="auto" w:fill="7030A0"/>
          </w:tcPr>
          <w:p w14:paraId="6DEE314A" w14:textId="0ACA5DE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Cash Flows, which includes the notes.</w:t>
            </w:r>
            <w:r w:rsidR="00FA7C77">
              <w:rPr>
                <w:rFonts w:cs="Calibri"/>
                <w:color w:val="FFFFFF" w:themeColor="background1"/>
                <w:sz w:val="18"/>
                <w:szCs w:val="18"/>
              </w:rPr>
              <w:t xml:space="preserve"> </w:t>
            </w:r>
            <w:r w:rsidRPr="003E6941">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6141B9" w:rsidRPr="00CF7E1B" w14:paraId="7E243738" w14:textId="77777777" w:rsidTr="004D1EC6">
        <w:tc>
          <w:tcPr>
            <w:tcW w:w="1563" w:type="dxa"/>
            <w:tcBorders>
              <w:left w:val="single" w:sz="2" w:space="0" w:color="auto"/>
              <w:right w:val="single" w:sz="2" w:space="0" w:color="auto"/>
            </w:tcBorders>
          </w:tcPr>
          <w:p w14:paraId="5E73A100"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F4606F" w14:textId="2667ECEB" w:rsidR="006141B9" w:rsidRPr="00552ECB" w:rsidRDefault="006141B9" w:rsidP="00CC1E25">
            <w:pPr>
              <w:pStyle w:val="CommentaryText"/>
              <w:tabs>
                <w:tab w:val="left" w:pos="3306"/>
              </w:tabs>
              <w:spacing w:after="40"/>
              <w:rPr>
                <w:rFonts w:cs="Calibri"/>
                <w:b/>
                <w:bCs/>
                <w:color w:val="FFFFFF" w:themeColor="background1"/>
                <w:szCs w:val="20"/>
              </w:rPr>
            </w:pPr>
            <w:r w:rsidRPr="00552ECB">
              <w:rPr>
                <w:rFonts w:cs="Calibri"/>
                <w:b/>
                <w:bCs/>
                <w:color w:val="FFFFFF" w:themeColor="background1"/>
                <w:szCs w:val="20"/>
              </w:rPr>
              <w:t>Leases</w:t>
            </w:r>
          </w:p>
        </w:tc>
      </w:tr>
      <w:tr w:rsidR="006141B9" w:rsidRPr="00CF7E1B" w14:paraId="11B5D250" w14:textId="77777777" w:rsidTr="004D1EC6">
        <w:trPr>
          <w:trHeight w:val="20"/>
        </w:trPr>
        <w:tc>
          <w:tcPr>
            <w:tcW w:w="1563" w:type="dxa"/>
            <w:tcBorders>
              <w:left w:val="single" w:sz="2" w:space="0" w:color="auto"/>
              <w:right w:val="single" w:sz="2" w:space="0" w:color="auto"/>
            </w:tcBorders>
          </w:tcPr>
          <w:p w14:paraId="75968104"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16.50(a)</w:t>
            </w:r>
          </w:p>
          <w:p w14:paraId="74A37ADC" w14:textId="2B4F5493"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16.50(b</w:t>
            </w:r>
          </w:p>
        </w:tc>
        <w:tc>
          <w:tcPr>
            <w:tcW w:w="8930" w:type="dxa"/>
            <w:tcBorders>
              <w:left w:val="single" w:sz="2" w:space="0" w:color="auto"/>
            </w:tcBorders>
            <w:shd w:val="clear" w:color="auto" w:fill="7030A0"/>
          </w:tcPr>
          <w:p w14:paraId="039BF941" w14:textId="7379869C" w:rsidR="006141B9" w:rsidRPr="003E6941" w:rsidRDefault="006141B9" w:rsidP="00CC1E25">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is a lessee, they are required to classify cash payments for the principal portion of the lease liability within financing activities.</w:t>
            </w:r>
            <w:r w:rsidR="00FA7C77">
              <w:rPr>
                <w:rFonts w:cs="Calibri"/>
                <w:color w:val="FFFFFF" w:themeColor="background1"/>
                <w:sz w:val="18"/>
                <w:szCs w:val="18"/>
              </w:rPr>
              <w:t xml:space="preserve"> </w:t>
            </w:r>
            <w:r w:rsidRPr="003E6941">
              <w:rPr>
                <w:rFonts w:cs="Calibri"/>
                <w:color w:val="FFFFFF" w:themeColor="background1"/>
                <w:sz w:val="18"/>
                <w:szCs w:val="18"/>
              </w:rPr>
              <w:t>Cash payments for the interest portion of lease liability are classified as operating activities.</w:t>
            </w:r>
            <w:r w:rsidR="00FA7C77">
              <w:rPr>
                <w:rFonts w:cs="Calibri"/>
                <w:color w:val="FFFFFF" w:themeColor="background1"/>
                <w:sz w:val="18"/>
                <w:szCs w:val="18"/>
              </w:rPr>
              <w:t xml:space="preserve"> </w:t>
            </w:r>
          </w:p>
        </w:tc>
      </w:tr>
      <w:tr w:rsidR="006141B9" w:rsidRPr="00CF7E1B" w14:paraId="2E485AA4" w14:textId="77777777" w:rsidTr="004D1EC6">
        <w:trPr>
          <w:trHeight w:val="20"/>
        </w:trPr>
        <w:tc>
          <w:tcPr>
            <w:tcW w:w="1563" w:type="dxa"/>
            <w:tcBorders>
              <w:left w:val="single" w:sz="2" w:space="0" w:color="auto"/>
              <w:right w:val="single" w:sz="2" w:space="0" w:color="auto"/>
            </w:tcBorders>
          </w:tcPr>
          <w:p w14:paraId="0908CEB5"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16.50(c)</w:t>
            </w:r>
          </w:p>
          <w:p w14:paraId="6300376B"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A5AF3D1" w14:textId="421BE37B"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Short-term lease payments, payments for leases of low-value assets and variable lease payments not included in the measurement of the lease liability are classified within operating activities.</w:t>
            </w:r>
          </w:p>
        </w:tc>
      </w:tr>
      <w:tr w:rsidR="006141B9" w:rsidRPr="00CF7E1B" w14:paraId="41519A98" w14:textId="77777777" w:rsidTr="004D1EC6">
        <w:trPr>
          <w:trHeight w:val="20"/>
        </w:trPr>
        <w:tc>
          <w:tcPr>
            <w:tcW w:w="1563" w:type="dxa"/>
            <w:tcBorders>
              <w:left w:val="single" w:sz="2" w:space="0" w:color="auto"/>
              <w:right w:val="single" w:sz="2" w:space="0" w:color="auto"/>
            </w:tcBorders>
          </w:tcPr>
          <w:p w14:paraId="703CBED1"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107.43</w:t>
            </w:r>
          </w:p>
          <w:p w14:paraId="4C9BC45A" w14:textId="6571590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107.44</w:t>
            </w:r>
          </w:p>
        </w:tc>
        <w:tc>
          <w:tcPr>
            <w:tcW w:w="8930" w:type="dxa"/>
            <w:tcBorders>
              <w:left w:val="single" w:sz="2" w:space="0" w:color="auto"/>
            </w:tcBorders>
            <w:shd w:val="clear" w:color="auto" w:fill="7030A0"/>
          </w:tcPr>
          <w:p w14:paraId="0EC89D92" w14:textId="3665AE0C"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Non-cash investing and financing transactions (e.g. the initial recognition of the lease at commencement) should be excluded from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Such transactions shall be disclosed elsewhere in the financial statements in a way that provides all the relevant information about these investing and financing activities.</w:t>
            </w:r>
          </w:p>
        </w:tc>
      </w:tr>
      <w:tr w:rsidR="006141B9" w:rsidRPr="00CF7E1B" w14:paraId="5D04EE50" w14:textId="77777777" w:rsidTr="004D1EC6">
        <w:trPr>
          <w:trHeight w:val="20"/>
        </w:trPr>
        <w:tc>
          <w:tcPr>
            <w:tcW w:w="1563" w:type="dxa"/>
            <w:tcBorders>
              <w:left w:val="single" w:sz="2" w:space="0" w:color="auto"/>
              <w:right w:val="single" w:sz="2" w:space="0" w:color="auto"/>
            </w:tcBorders>
          </w:tcPr>
          <w:p w14:paraId="282CDEA6" w14:textId="16201266"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5C66562D" w14:textId="07DB832D" w:rsidR="006141B9" w:rsidRPr="00552ECB" w:rsidRDefault="006141B9" w:rsidP="00CC1E25">
            <w:pPr>
              <w:pStyle w:val="CommentaryText"/>
              <w:tabs>
                <w:tab w:val="left" w:pos="3306"/>
              </w:tabs>
              <w:spacing w:after="40"/>
              <w:rPr>
                <w:rFonts w:cs="Calibri"/>
                <w:b/>
                <w:bCs/>
                <w:color w:val="FFFFFF" w:themeColor="background1"/>
                <w:szCs w:val="20"/>
              </w:rPr>
            </w:pPr>
            <w:r w:rsidRPr="00552ECB">
              <w:rPr>
                <w:rFonts w:cs="Calibri"/>
                <w:b/>
                <w:bCs/>
                <w:color w:val="FFFFFF" w:themeColor="background1"/>
                <w:szCs w:val="20"/>
              </w:rPr>
              <w:t>Territory Authority Commentary</w:t>
            </w:r>
          </w:p>
        </w:tc>
      </w:tr>
      <w:tr w:rsidR="006141B9" w:rsidRPr="00CF7E1B" w14:paraId="4B9F2405" w14:textId="77777777" w:rsidTr="004D1EC6">
        <w:trPr>
          <w:trHeight w:val="20"/>
        </w:trPr>
        <w:tc>
          <w:tcPr>
            <w:tcW w:w="1563" w:type="dxa"/>
            <w:tcBorders>
              <w:left w:val="single" w:sz="2" w:space="0" w:color="auto"/>
              <w:right w:val="single" w:sz="2" w:space="0" w:color="auto"/>
            </w:tcBorders>
          </w:tcPr>
          <w:p w14:paraId="1ED3AF7F" w14:textId="19455464" w:rsidR="006141B9" w:rsidRPr="003E6941" w:rsidRDefault="006141B9" w:rsidP="006141B9">
            <w:pPr>
              <w:pStyle w:val="TableReference"/>
              <w:tabs>
                <w:tab w:val="left" w:pos="3306"/>
              </w:tabs>
              <w:spacing w:before="120"/>
              <w:rPr>
                <w:rFonts w:cs="Calibri"/>
                <w:color w:val="7030A0"/>
                <w:sz w:val="14"/>
              </w:rPr>
            </w:pPr>
            <w:r w:rsidRPr="003E6941">
              <w:rPr>
                <w:rFonts w:cs="Calibri"/>
                <w:color w:val="7030A0"/>
                <w:sz w:val="14"/>
              </w:rPr>
              <w:t>AASB 107.14 (a)</w:t>
            </w:r>
          </w:p>
          <w:p w14:paraId="07A0554C"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2CF4EFC5" w14:textId="32906225"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 some cases it may be more appropriate to disclose different receipts and payments classes as needed on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For example, payments related to Cost of Goods Sold may be more appropriate to territory authorities.</w:t>
            </w:r>
          </w:p>
        </w:tc>
      </w:tr>
      <w:tr w:rsidR="006141B9" w:rsidRPr="00CF7E1B" w14:paraId="23046D60" w14:textId="77777777" w:rsidTr="004D1EC6">
        <w:trPr>
          <w:trHeight w:val="20"/>
        </w:trPr>
        <w:tc>
          <w:tcPr>
            <w:tcW w:w="1563" w:type="dxa"/>
            <w:tcBorders>
              <w:left w:val="single" w:sz="2" w:space="0" w:color="auto"/>
              <w:right w:val="single" w:sz="2" w:space="0" w:color="auto"/>
            </w:tcBorders>
          </w:tcPr>
          <w:p w14:paraId="7C9797AD" w14:textId="15327AB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107.14 (f)</w:t>
            </w:r>
          </w:p>
        </w:tc>
        <w:tc>
          <w:tcPr>
            <w:tcW w:w="8930" w:type="dxa"/>
            <w:tcBorders>
              <w:left w:val="single" w:sz="2" w:space="0" w:color="auto"/>
            </w:tcBorders>
            <w:shd w:val="clear" w:color="auto" w:fill="7030A0"/>
          </w:tcPr>
          <w:p w14:paraId="5EA2B4F1" w14:textId="4F76E275"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Territory authorities will most likely need to include a payment line relating to GST remitted to the ATO.</w:t>
            </w:r>
            <w:r w:rsidR="00FA7C77">
              <w:rPr>
                <w:rFonts w:cs="Calibri"/>
                <w:color w:val="FFFFFF" w:themeColor="background1"/>
                <w:sz w:val="18"/>
                <w:szCs w:val="18"/>
              </w:rPr>
              <w:t xml:space="preserve"> </w:t>
            </w:r>
            <w:r w:rsidRPr="003E6941">
              <w:rPr>
                <w:rFonts w:cs="Calibri"/>
                <w:color w:val="FFFFFF" w:themeColor="background1"/>
                <w:sz w:val="18"/>
                <w:szCs w:val="18"/>
              </w:rPr>
              <w:t xml:space="preserve">Where payments are greater than any refunds for any given year, the line </w:t>
            </w:r>
            <w:r w:rsidRPr="003E6941">
              <w:rPr>
                <w:rFonts w:cs="Calibri"/>
                <w:i/>
                <w:color w:val="FFFFFF" w:themeColor="background1"/>
                <w:sz w:val="18"/>
                <w:szCs w:val="18"/>
              </w:rPr>
              <w:t>Goods and Services Tax Remitted to the ATO</w:t>
            </w:r>
            <w:r w:rsidRPr="003E6941">
              <w:rPr>
                <w:rFonts w:cs="Calibri"/>
                <w:color w:val="FFFFFF" w:themeColor="background1"/>
                <w:sz w:val="18"/>
                <w:szCs w:val="18"/>
              </w:rPr>
              <w:t xml:space="preserve"> should replace the </w:t>
            </w:r>
            <w:r w:rsidRPr="00C93ED0">
              <w:rPr>
                <w:rFonts w:cs="Calibri"/>
                <w:color w:val="FFFFFF" w:themeColor="background1"/>
                <w:sz w:val="18"/>
                <w:szCs w:val="18"/>
              </w:rPr>
              <w:t>line</w:t>
            </w:r>
            <w:r w:rsidRPr="00C93ED0">
              <w:rPr>
                <w:rFonts w:cs="Calibri"/>
                <w:i/>
                <w:color w:val="FF0000"/>
                <w:sz w:val="18"/>
                <w:szCs w:val="18"/>
              </w:rPr>
              <w:t xml:space="preserve"> </w:t>
            </w:r>
            <w:r w:rsidR="0077272D" w:rsidRPr="00C93ED0">
              <w:rPr>
                <w:rFonts w:cs="Calibri"/>
                <w:i/>
                <w:color w:val="FF0000"/>
                <w:sz w:val="18"/>
                <w:szCs w:val="18"/>
              </w:rPr>
              <w:t>‘</w:t>
            </w:r>
            <w:r w:rsidRPr="00C93ED0">
              <w:rPr>
                <w:rFonts w:cs="Calibri"/>
                <w:i/>
                <w:color w:val="FFFFFF" w:themeColor="background1"/>
                <w:sz w:val="18"/>
                <w:szCs w:val="18"/>
              </w:rPr>
              <w:t>Goods</w:t>
            </w:r>
            <w:r w:rsidRPr="003E6941">
              <w:rPr>
                <w:rFonts w:cs="Calibri"/>
                <w:i/>
                <w:color w:val="FFFFFF" w:themeColor="background1"/>
                <w:sz w:val="18"/>
                <w:szCs w:val="18"/>
              </w:rPr>
              <w:t xml:space="preserve"> and Services Tax Input Tax Credits from the Australian Taxation </w:t>
            </w:r>
            <w:r w:rsidRPr="00C93ED0">
              <w:rPr>
                <w:rFonts w:cs="Calibri"/>
                <w:i/>
                <w:color w:val="FFFFFF" w:themeColor="background1"/>
                <w:sz w:val="18"/>
                <w:szCs w:val="18"/>
              </w:rPr>
              <w:t>Office</w:t>
            </w:r>
            <w:r w:rsidR="0077272D" w:rsidRPr="00C93ED0">
              <w:rPr>
                <w:rFonts w:cs="Calibri"/>
                <w:i/>
                <w:color w:val="FF0000"/>
                <w:sz w:val="18"/>
                <w:szCs w:val="18"/>
              </w:rPr>
              <w:t>’</w:t>
            </w:r>
            <w:r w:rsidRPr="00C93ED0">
              <w:rPr>
                <w:rFonts w:cs="Calibri"/>
                <w:color w:val="FFFFFF" w:themeColor="background1"/>
                <w:sz w:val="18"/>
                <w:szCs w:val="18"/>
              </w:rPr>
              <w:t>.</w:t>
            </w:r>
            <w:r w:rsidR="00FA7C77">
              <w:rPr>
                <w:rFonts w:cs="Calibri"/>
                <w:color w:val="FFFFFF" w:themeColor="background1"/>
                <w:sz w:val="18"/>
                <w:szCs w:val="18"/>
              </w:rPr>
              <w:t xml:space="preserve"> </w:t>
            </w:r>
            <w:r w:rsidRPr="003E6941">
              <w:rPr>
                <w:rFonts w:cs="Calibri"/>
                <w:color w:val="FFFFFF" w:themeColor="background1"/>
                <w:sz w:val="18"/>
                <w:szCs w:val="18"/>
              </w:rPr>
              <w:t>In most cases, an authority would have either a ‘</w:t>
            </w:r>
            <w:r w:rsidRPr="003E6941">
              <w:rPr>
                <w:rFonts w:cs="Calibri"/>
                <w:i/>
                <w:color w:val="FFFFFF" w:themeColor="background1"/>
                <w:sz w:val="18"/>
                <w:szCs w:val="18"/>
              </w:rPr>
              <w:t>Goods and Services Tax Input Tax Credits from the Australian Taxation Office</w:t>
            </w:r>
            <w:r w:rsidRPr="003E6941">
              <w:rPr>
                <w:rFonts w:cs="Calibri"/>
                <w:color w:val="FFFFFF" w:themeColor="background1"/>
                <w:sz w:val="18"/>
                <w:szCs w:val="18"/>
              </w:rPr>
              <w:t>’ line or a ‘</w:t>
            </w:r>
            <w:r w:rsidRPr="003E6941">
              <w:rPr>
                <w:rFonts w:cs="Calibri"/>
                <w:i/>
                <w:color w:val="FFFFFF" w:themeColor="background1"/>
                <w:sz w:val="18"/>
                <w:szCs w:val="18"/>
              </w:rPr>
              <w:t xml:space="preserve">Goods and Services Tax Remitted to the Australian Taxation Office’ </w:t>
            </w:r>
            <w:r w:rsidRPr="003E6941">
              <w:rPr>
                <w:rFonts w:cs="Calibri"/>
                <w:color w:val="FFFFFF" w:themeColor="background1"/>
                <w:sz w:val="18"/>
                <w:szCs w:val="18"/>
              </w:rPr>
              <w:t>depending on whether the authority generally is in a refund or payment situation with the ATO.</w:t>
            </w:r>
            <w:r w:rsidR="00FA7C77">
              <w:rPr>
                <w:rFonts w:cs="Calibri"/>
                <w:color w:val="FFFFFF" w:themeColor="background1"/>
                <w:sz w:val="18"/>
                <w:szCs w:val="18"/>
              </w:rPr>
              <w:t xml:space="preserve"> </w:t>
            </w:r>
            <w:r w:rsidR="008475E2" w:rsidRPr="003E6941">
              <w:rPr>
                <w:rFonts w:cs="Calibri"/>
                <w:color w:val="FFFFFF" w:themeColor="background1"/>
                <w:sz w:val="18"/>
                <w:szCs w:val="18"/>
              </w:rPr>
              <w:t>If</w:t>
            </w:r>
            <w:r w:rsidRPr="003E6941">
              <w:rPr>
                <w:rFonts w:cs="Calibri"/>
                <w:color w:val="FFFFFF" w:themeColor="background1"/>
                <w:sz w:val="18"/>
                <w:szCs w:val="18"/>
              </w:rPr>
              <w:t xml:space="preserve"> refunds are greater one year and payments are greater the next (or vice versa) both lines will be required.</w:t>
            </w:r>
          </w:p>
        </w:tc>
      </w:tr>
      <w:tr w:rsidR="006141B9" w:rsidRPr="00CF7E1B" w14:paraId="6D77D667" w14:textId="77777777" w:rsidTr="004D1EC6">
        <w:trPr>
          <w:trHeight w:val="20"/>
        </w:trPr>
        <w:tc>
          <w:tcPr>
            <w:tcW w:w="1563" w:type="dxa"/>
            <w:tcBorders>
              <w:left w:val="single" w:sz="2" w:space="0" w:color="auto"/>
              <w:right w:val="single" w:sz="2" w:space="0" w:color="auto"/>
            </w:tcBorders>
          </w:tcPr>
          <w:p w14:paraId="6446F160"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0A6E3A4" w14:textId="33FA676F" w:rsidR="006141B9" w:rsidRPr="00CC1E25" w:rsidRDefault="006141B9" w:rsidP="00CC1E25">
            <w:pPr>
              <w:pStyle w:val="CommentaryText"/>
              <w:tabs>
                <w:tab w:val="left" w:pos="3306"/>
              </w:tabs>
              <w:spacing w:after="40"/>
              <w:rPr>
                <w:rFonts w:cs="Calibri"/>
                <w:i/>
                <w:iCs/>
                <w:color w:val="FFFFFF" w:themeColor="background1"/>
                <w:sz w:val="18"/>
                <w:szCs w:val="18"/>
              </w:rPr>
            </w:pPr>
            <w:r w:rsidRPr="00CC1E25">
              <w:rPr>
                <w:rFonts w:cs="Calibri"/>
                <w:i/>
                <w:iCs/>
                <w:color w:val="FFFFFF" w:themeColor="background1"/>
                <w:sz w:val="18"/>
                <w:szCs w:val="18"/>
              </w:rPr>
              <w:t>Classification of Income Tax Cash Flows</w:t>
            </w:r>
          </w:p>
        </w:tc>
      </w:tr>
      <w:tr w:rsidR="006141B9" w:rsidRPr="00CF7E1B" w14:paraId="362290C2" w14:textId="77777777" w:rsidTr="004D1EC6">
        <w:trPr>
          <w:trHeight w:val="20"/>
        </w:trPr>
        <w:tc>
          <w:tcPr>
            <w:tcW w:w="1563" w:type="dxa"/>
            <w:tcBorders>
              <w:left w:val="single" w:sz="2" w:space="0" w:color="auto"/>
              <w:right w:val="single" w:sz="2" w:space="0" w:color="auto"/>
            </w:tcBorders>
          </w:tcPr>
          <w:p w14:paraId="4D927666" w14:textId="71DB51F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107.35</w:t>
            </w:r>
          </w:p>
        </w:tc>
        <w:tc>
          <w:tcPr>
            <w:tcW w:w="8930" w:type="dxa"/>
            <w:tcBorders>
              <w:left w:val="single" w:sz="2" w:space="0" w:color="auto"/>
            </w:tcBorders>
            <w:shd w:val="clear" w:color="auto" w:fill="7030A0"/>
          </w:tcPr>
          <w:p w14:paraId="06D50B63" w14:textId="1C01682B"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Where an authority has to pay income tax (because of the National Tax Equivalents Regime), cash flows relating to income taxes shall be disclosed separately and classified as operating activities. </w:t>
            </w:r>
          </w:p>
        </w:tc>
      </w:tr>
    </w:tbl>
    <w:p w14:paraId="0751F42C" w14:textId="77777777" w:rsidR="000144FF" w:rsidRPr="00CF7E1B" w:rsidRDefault="000144FF" w:rsidP="0091493A">
      <w:pPr>
        <w:sectPr w:rsidR="000144FF" w:rsidRPr="00CF7E1B" w:rsidSect="006128E8">
          <w:headerReference w:type="default" r:id="rId31"/>
          <w:footnotePr>
            <w:numRestart w:val="eachPage"/>
          </w:footnotePr>
          <w:pgSz w:w="11907" w:h="16840" w:code="9"/>
          <w:pgMar w:top="964" w:right="680" w:bottom="567" w:left="680" w:header="426" w:footer="387" w:gutter="0"/>
          <w:cols w:space="720"/>
        </w:sectPr>
      </w:pPr>
    </w:p>
    <w:p w14:paraId="1CBEFC86" w14:textId="56F590E1" w:rsidR="00D37A89" w:rsidRPr="003E6941" w:rsidRDefault="00D37A89" w:rsidP="00574DE1">
      <w:pPr>
        <w:spacing w:line="400" w:lineRule="exact"/>
        <w:jc w:val="center"/>
        <w:rPr>
          <w:b/>
          <w:sz w:val="40"/>
          <w:szCs w:val="40"/>
        </w:rPr>
      </w:pPr>
      <w:bookmarkStart w:id="242" w:name="_Toc194918644"/>
      <w:r w:rsidRPr="003E6941">
        <w:rPr>
          <w:b/>
          <w:sz w:val="40"/>
          <w:szCs w:val="40"/>
        </w:rPr>
        <w:t>‘</w:t>
      </w:r>
      <w:r w:rsidR="00CB5FDC" w:rsidRPr="003E6941">
        <w:rPr>
          <w:rFonts w:asciiTheme="minorHAnsi" w:hAnsiTheme="minorHAnsi" w:cstheme="minorHAnsi"/>
          <w:b/>
          <w:bCs/>
          <w:sz w:val="40"/>
          <w:szCs w:val="24"/>
        </w:rPr>
        <w:t xml:space="preserve">Burley Griffin </w:t>
      </w:r>
      <w:r w:rsidRPr="003E6941">
        <w:rPr>
          <w:b/>
          <w:sz w:val="40"/>
          <w:szCs w:val="40"/>
        </w:rPr>
        <w:t>Agency’</w:t>
      </w:r>
    </w:p>
    <w:p w14:paraId="65EA4F0F" w14:textId="4A938A66" w:rsidR="00D37A89" w:rsidRPr="003E6941" w:rsidRDefault="00D37A89" w:rsidP="00574DE1">
      <w:pPr>
        <w:spacing w:line="400" w:lineRule="exact"/>
        <w:jc w:val="center"/>
        <w:outlineLvl w:val="0"/>
        <w:rPr>
          <w:rFonts w:asciiTheme="minorHAnsi" w:hAnsiTheme="minorHAnsi" w:cstheme="minorHAnsi"/>
          <w:b/>
          <w:sz w:val="40"/>
          <w:szCs w:val="24"/>
        </w:rPr>
      </w:pPr>
      <w:bookmarkStart w:id="243" w:name="_Toc48468264"/>
      <w:bookmarkStart w:id="244" w:name="_Toc49155443"/>
      <w:bookmarkStart w:id="245" w:name="_Toc49223907"/>
      <w:bookmarkStart w:id="246" w:name="_Toc50440323"/>
      <w:bookmarkStart w:id="247" w:name="_Toc400627316"/>
      <w:bookmarkStart w:id="248" w:name="_Toc132743767"/>
      <w:r w:rsidRPr="003E6941">
        <w:rPr>
          <w:rFonts w:asciiTheme="minorHAnsi" w:hAnsiTheme="minorHAnsi" w:cstheme="minorHAnsi"/>
          <w:b/>
          <w:sz w:val="40"/>
          <w:szCs w:val="24"/>
        </w:rPr>
        <w:t>Statement of Appropriation</w:t>
      </w:r>
      <w:bookmarkEnd w:id="243"/>
      <w:bookmarkEnd w:id="244"/>
      <w:bookmarkEnd w:id="245"/>
      <w:bookmarkEnd w:id="246"/>
      <w:bookmarkEnd w:id="247"/>
      <w:bookmarkEnd w:id="248"/>
    </w:p>
    <w:p w14:paraId="68E7DCFF" w14:textId="33D5AC8B" w:rsidR="00D37A89" w:rsidRPr="003E6941" w:rsidRDefault="00D37A89" w:rsidP="009F0413">
      <w:pPr>
        <w:spacing w:after="240" w:line="400" w:lineRule="exact"/>
        <w:jc w:val="center"/>
        <w:rPr>
          <w:b/>
          <w:snapToGrid w:val="0"/>
          <w:sz w:val="40"/>
          <w:szCs w:val="40"/>
        </w:rPr>
      </w:pPr>
      <w:bookmarkStart w:id="249" w:name="_Toc48468265"/>
      <w:bookmarkStart w:id="250" w:name="_Toc49155444"/>
      <w:r w:rsidRPr="003E6941">
        <w:rPr>
          <w:b/>
          <w:sz w:val="40"/>
          <w:szCs w:val="40"/>
        </w:rPr>
        <w:t>For the Year</w:t>
      </w:r>
      <w:r w:rsidRPr="003E6941">
        <w:rPr>
          <w:b/>
          <w:snapToGrid w:val="0"/>
          <w:sz w:val="40"/>
          <w:szCs w:val="40"/>
        </w:rPr>
        <w:t xml:space="preserve"> Ended 30 June </w:t>
      </w:r>
      <w:bookmarkEnd w:id="249"/>
      <w:bookmarkEnd w:id="250"/>
      <w:r w:rsidR="00C66E0D" w:rsidRPr="003E6941">
        <w:rPr>
          <w:b/>
          <w:sz w:val="40"/>
          <w:szCs w:val="40"/>
        </w:rPr>
        <w:t>202</w:t>
      </w:r>
      <w:r w:rsidR="00D50594">
        <w:rPr>
          <w:b/>
          <w:sz w:val="40"/>
          <w:szCs w:val="40"/>
        </w:rPr>
        <w:t>3</w:t>
      </w:r>
      <w:r w:rsidRPr="003E6941">
        <w:rPr>
          <w:b/>
          <w:snapToGrid w:val="0"/>
          <w:sz w:val="40"/>
          <w:szCs w:val="40"/>
        </w:rPr>
        <w:t xml:space="preserve"> </w:t>
      </w:r>
    </w:p>
    <w:tbl>
      <w:tblPr>
        <w:tblW w:w="5003" w:type="pct"/>
        <w:tblInd w:w="-6" w:type="dxa"/>
        <w:tblLayout w:type="fixed"/>
        <w:tblLook w:val="00A0" w:firstRow="1" w:lastRow="0" w:firstColumn="1" w:lastColumn="0" w:noHBand="0" w:noVBand="0"/>
      </w:tblPr>
      <w:tblGrid>
        <w:gridCol w:w="1563"/>
        <w:gridCol w:w="2720"/>
        <w:gridCol w:w="627"/>
        <w:gridCol w:w="1383"/>
        <w:gridCol w:w="1383"/>
        <w:gridCol w:w="1437"/>
        <w:gridCol w:w="1437"/>
      </w:tblGrid>
      <w:tr w:rsidR="00FA4CC1" w:rsidRPr="00D37A89" w14:paraId="3FFEDFFA" w14:textId="77777777" w:rsidTr="004D1EC6">
        <w:trPr>
          <w:cantSplit/>
        </w:trPr>
        <w:tc>
          <w:tcPr>
            <w:tcW w:w="1563" w:type="dxa"/>
            <w:tcBorders>
              <w:left w:val="single" w:sz="2" w:space="0" w:color="auto"/>
              <w:right w:val="single" w:sz="2" w:space="0" w:color="auto"/>
            </w:tcBorders>
            <w:tcMar>
              <w:left w:w="108" w:type="dxa"/>
              <w:right w:w="108" w:type="dxa"/>
            </w:tcMar>
          </w:tcPr>
          <w:p w14:paraId="36ACA40A" w14:textId="74887DC0" w:rsidR="00FA4CC1" w:rsidRPr="007E64C0" w:rsidRDefault="00FA4CC1" w:rsidP="00FA4CC1">
            <w:pPr>
              <w:tabs>
                <w:tab w:val="left" w:pos="3306"/>
              </w:tabs>
              <w:rPr>
                <w:rFonts w:cs="Calibri"/>
                <w:b/>
                <w:color w:val="7030A0"/>
                <w:szCs w:val="22"/>
              </w:rPr>
            </w:pPr>
            <w:bookmarkStart w:id="251" w:name="_Toc48468266"/>
            <w:bookmarkStart w:id="252" w:name="_Toc49155445"/>
            <w:bookmarkStart w:id="253" w:name="_Toc49223908"/>
            <w:r w:rsidRPr="007E64C0">
              <w:rPr>
                <w:rFonts w:cs="Calibri"/>
                <w:b/>
                <w:color w:val="7030A0"/>
                <w:szCs w:val="22"/>
              </w:rPr>
              <w:t>Reference</w:t>
            </w:r>
            <w:bookmarkEnd w:id="251"/>
            <w:bookmarkEnd w:id="252"/>
            <w:bookmarkEnd w:id="253"/>
          </w:p>
        </w:tc>
        <w:tc>
          <w:tcPr>
            <w:tcW w:w="8987" w:type="dxa"/>
            <w:gridSpan w:val="6"/>
            <w:tcBorders>
              <w:left w:val="single" w:sz="2" w:space="0" w:color="auto"/>
            </w:tcBorders>
            <w:tcMar>
              <w:left w:w="108" w:type="dxa"/>
              <w:right w:w="108" w:type="dxa"/>
            </w:tcMar>
          </w:tcPr>
          <w:p w14:paraId="127224EA" w14:textId="2130A291" w:rsidR="00FA4CC1" w:rsidRPr="007E64C0" w:rsidRDefault="00A737C0" w:rsidP="00A737C0">
            <w:pPr>
              <w:rPr>
                <w:b/>
                <w:bCs/>
                <w:sz w:val="18"/>
                <w:szCs w:val="18"/>
              </w:rPr>
            </w:pPr>
            <w:r w:rsidRPr="007E64C0">
              <w:rPr>
                <w:b/>
                <w:bCs/>
                <w:sz w:val="18"/>
                <w:szCs w:val="18"/>
              </w:rPr>
              <w:t xml:space="preserve">Description and Material Accounting Policies relating to </w:t>
            </w:r>
            <w:r w:rsidR="000356A2" w:rsidRPr="007E64C0">
              <w:rPr>
                <w:b/>
                <w:bCs/>
                <w:sz w:val="18"/>
                <w:szCs w:val="18"/>
              </w:rPr>
              <w:t xml:space="preserve">Controlled </w:t>
            </w:r>
            <w:r w:rsidRPr="007E64C0">
              <w:rPr>
                <w:b/>
                <w:bCs/>
                <w:sz w:val="18"/>
                <w:szCs w:val="18"/>
              </w:rPr>
              <w:t>Recurrent Payments</w:t>
            </w:r>
          </w:p>
        </w:tc>
      </w:tr>
      <w:tr w:rsidR="000C06DA" w:rsidRPr="00D37A89" w14:paraId="1C29DE05" w14:textId="77777777" w:rsidTr="004D1EC6">
        <w:trPr>
          <w:cantSplit/>
        </w:trPr>
        <w:tc>
          <w:tcPr>
            <w:tcW w:w="1563" w:type="dxa"/>
            <w:tcBorders>
              <w:left w:val="single" w:sz="2" w:space="0" w:color="auto"/>
              <w:right w:val="single" w:sz="2" w:space="0" w:color="auto"/>
            </w:tcBorders>
            <w:tcMar>
              <w:left w:w="108" w:type="dxa"/>
              <w:right w:w="108" w:type="dxa"/>
            </w:tcMar>
          </w:tcPr>
          <w:p w14:paraId="01AB9575" w14:textId="77777777" w:rsidR="000C06DA" w:rsidRPr="007E64C0" w:rsidRDefault="000C06DA" w:rsidP="00FA4CC1">
            <w:pPr>
              <w:tabs>
                <w:tab w:val="left" w:pos="3306"/>
              </w:tabs>
              <w:rPr>
                <w:rFonts w:cs="Calibri"/>
                <w:b/>
                <w:color w:val="7030A0"/>
                <w:sz w:val="14"/>
                <w:szCs w:val="14"/>
              </w:rPr>
            </w:pPr>
          </w:p>
        </w:tc>
        <w:tc>
          <w:tcPr>
            <w:tcW w:w="8987" w:type="dxa"/>
            <w:gridSpan w:val="6"/>
            <w:tcBorders>
              <w:left w:val="single" w:sz="2" w:space="0" w:color="auto"/>
            </w:tcBorders>
            <w:tcMar>
              <w:left w:w="108" w:type="dxa"/>
              <w:right w:w="108" w:type="dxa"/>
            </w:tcMar>
          </w:tcPr>
          <w:p w14:paraId="2E916DB1" w14:textId="12408514" w:rsidR="000C06DA" w:rsidRPr="007E64C0" w:rsidRDefault="000C06DA" w:rsidP="00A737C0">
            <w:pPr>
              <w:pStyle w:val="TableText"/>
              <w:spacing w:before="0" w:after="120"/>
              <w:jc w:val="both"/>
              <w:rPr>
                <w:rFonts w:cs="Calibri"/>
              </w:rPr>
            </w:pPr>
            <w:r w:rsidRPr="007E64C0">
              <w:rPr>
                <w:rFonts w:cs="Calibri"/>
              </w:rPr>
              <w:t>Controlled Recurrent Payments (CRP) are revenue received from the ACT Government to fund the costs of delivering outputs.</w:t>
            </w:r>
            <w:r w:rsidR="00FA7C77">
              <w:rPr>
                <w:rFonts w:cs="Calibri"/>
              </w:rPr>
              <w:t xml:space="preserve"> </w:t>
            </w:r>
            <w:r w:rsidR="00317818" w:rsidRPr="007E64C0">
              <w:rPr>
                <w:rFonts w:cs="Calibri"/>
              </w:rPr>
              <w:t xml:space="preserve">Community Service Obligations (CSO) are received by the </w:t>
            </w:r>
            <w:r w:rsidR="00A527D1" w:rsidRPr="00634C5A">
              <w:rPr>
                <w:rFonts w:cs="Calibri"/>
                <w:color w:val="FF0000"/>
              </w:rPr>
              <w:t xml:space="preserve">‘Burley Griffin </w:t>
            </w:r>
            <w:r w:rsidR="00A527D1">
              <w:rPr>
                <w:rFonts w:cs="Calibri"/>
              </w:rPr>
              <w:t>Agency</w:t>
            </w:r>
            <w:r w:rsidR="00A527D1" w:rsidRPr="00634C5A">
              <w:rPr>
                <w:rFonts w:cs="Calibri"/>
                <w:color w:val="FF0000"/>
              </w:rPr>
              <w:t>’</w:t>
            </w:r>
            <w:r w:rsidR="00317818" w:rsidRPr="007E64C0">
              <w:rPr>
                <w:rFonts w:cs="Calibri"/>
              </w:rPr>
              <w:t xml:space="preserve"> for the provision of waste management services to the public at subsidised rates.</w:t>
            </w:r>
          </w:p>
        </w:tc>
      </w:tr>
      <w:tr w:rsidR="00D135C5" w:rsidRPr="00D37A89" w14:paraId="07D4A294" w14:textId="77777777" w:rsidTr="004D1EC6">
        <w:trPr>
          <w:cantSplit/>
        </w:trPr>
        <w:tc>
          <w:tcPr>
            <w:tcW w:w="1563" w:type="dxa"/>
            <w:tcBorders>
              <w:left w:val="single" w:sz="2" w:space="0" w:color="auto"/>
              <w:right w:val="single" w:sz="2" w:space="0" w:color="auto"/>
            </w:tcBorders>
            <w:tcMar>
              <w:left w:w="108" w:type="dxa"/>
              <w:right w:w="108" w:type="dxa"/>
            </w:tcMar>
          </w:tcPr>
          <w:p w14:paraId="0447071F" w14:textId="2B5E88C9" w:rsidR="00D135C5" w:rsidRPr="007E64C0" w:rsidRDefault="00D135C5" w:rsidP="00FA4CC1">
            <w:pPr>
              <w:tabs>
                <w:tab w:val="left" w:pos="3306"/>
              </w:tabs>
              <w:rPr>
                <w:rFonts w:cs="Calibri"/>
                <w:b/>
                <w:color w:val="7030A0"/>
                <w:sz w:val="14"/>
                <w:szCs w:val="14"/>
              </w:rPr>
            </w:pPr>
            <w:r w:rsidRPr="007E64C0">
              <w:rPr>
                <w:color w:val="7030A0"/>
                <w:sz w:val="14"/>
                <w:szCs w:val="14"/>
              </w:rPr>
              <w:t>AASB 1058.10</w:t>
            </w:r>
          </w:p>
        </w:tc>
        <w:tc>
          <w:tcPr>
            <w:tcW w:w="8987" w:type="dxa"/>
            <w:gridSpan w:val="6"/>
            <w:tcBorders>
              <w:left w:val="single" w:sz="2" w:space="0" w:color="auto"/>
            </w:tcBorders>
            <w:tcMar>
              <w:left w:w="108" w:type="dxa"/>
              <w:right w:w="108" w:type="dxa"/>
            </w:tcMar>
          </w:tcPr>
          <w:p w14:paraId="33E8DF8B" w14:textId="0D866B18" w:rsidR="00D135C5" w:rsidRPr="007E64C0" w:rsidRDefault="00D135C5" w:rsidP="00DB02DF">
            <w:pPr>
              <w:spacing w:after="120"/>
              <w:jc w:val="both"/>
              <w:rPr>
                <w:rFonts w:cs="Calibri"/>
                <w:sz w:val="18"/>
                <w:szCs w:val="18"/>
              </w:rPr>
            </w:pPr>
            <w:r w:rsidRPr="007E64C0">
              <w:rPr>
                <w:rFonts w:cs="Calibri"/>
                <w:sz w:val="18"/>
                <w:szCs w:val="18"/>
              </w:rPr>
              <w:t>CRP</w:t>
            </w:r>
            <w:r w:rsidR="00035826" w:rsidRPr="007E64C0">
              <w:rPr>
                <w:rFonts w:cs="Calibri"/>
                <w:sz w:val="18"/>
                <w:szCs w:val="18"/>
              </w:rPr>
              <w:t xml:space="preserve"> and CSO</w:t>
            </w:r>
            <w:r w:rsidRPr="007E64C0">
              <w:rPr>
                <w:rFonts w:cs="Calibri"/>
                <w:sz w:val="18"/>
                <w:szCs w:val="18"/>
              </w:rPr>
              <w:t xml:space="preserve"> </w:t>
            </w:r>
            <w:r w:rsidR="00035826" w:rsidRPr="007E64C0">
              <w:rPr>
                <w:rFonts w:cs="Calibri"/>
                <w:sz w:val="18"/>
                <w:szCs w:val="18"/>
              </w:rPr>
              <w:t>are</w:t>
            </w:r>
            <w:r w:rsidRPr="007E64C0">
              <w:rPr>
                <w:rFonts w:cs="Calibri"/>
                <w:sz w:val="18"/>
                <w:szCs w:val="18"/>
              </w:rPr>
              <w:t xml:space="preserve"> </w:t>
            </w:r>
            <w:r w:rsidR="00DB02DF" w:rsidRPr="007E64C0">
              <w:rPr>
                <w:rFonts w:cs="Calibri"/>
                <w:sz w:val="18"/>
                <w:szCs w:val="18"/>
              </w:rPr>
              <w:t>recognised when the Agency gains control over the funding which is obtained upon the receipt of cash, given they do not contain enforceable and sufficiently specific performance obligations as defined by AASB 15.</w:t>
            </w:r>
          </w:p>
        </w:tc>
      </w:tr>
      <w:tr w:rsidR="00DB02DF" w:rsidRPr="00D37A89" w14:paraId="2475E1DC" w14:textId="77777777" w:rsidTr="004D1EC6">
        <w:trPr>
          <w:cantSplit/>
        </w:trPr>
        <w:tc>
          <w:tcPr>
            <w:tcW w:w="1563" w:type="dxa"/>
            <w:tcBorders>
              <w:left w:val="single" w:sz="2" w:space="0" w:color="auto"/>
              <w:right w:val="single" w:sz="2" w:space="0" w:color="auto"/>
            </w:tcBorders>
            <w:tcMar>
              <w:left w:w="108" w:type="dxa"/>
              <w:right w:w="108" w:type="dxa"/>
            </w:tcMar>
          </w:tcPr>
          <w:p w14:paraId="19CE5B24" w14:textId="77777777" w:rsidR="00DB02DF" w:rsidRPr="007E64C0" w:rsidRDefault="00DB02DF"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1C8B3B7D" w14:textId="4A88AE16" w:rsidR="00DB02DF" w:rsidRPr="007E64C0" w:rsidRDefault="00DB02DF" w:rsidP="00DB02DF">
            <w:pPr>
              <w:jc w:val="both"/>
              <w:rPr>
                <w:rFonts w:cs="Calibri"/>
                <w:sz w:val="18"/>
                <w:szCs w:val="18"/>
              </w:rPr>
            </w:pPr>
            <w:r w:rsidRPr="007E64C0">
              <w:rPr>
                <w:rFonts w:cs="Calibri"/>
                <w:sz w:val="18"/>
                <w:szCs w:val="18"/>
              </w:rPr>
              <w:t xml:space="preserve">Capital injection appropriations are not recognised as income, but instead are recognised as </w:t>
            </w:r>
            <w:r w:rsidR="009271AD" w:rsidRPr="007E64C0">
              <w:rPr>
                <w:rFonts w:cs="Calibri"/>
                <w:sz w:val="18"/>
                <w:szCs w:val="18"/>
              </w:rPr>
              <w:t xml:space="preserve">equity </w:t>
            </w:r>
            <w:r w:rsidR="009271AD" w:rsidRPr="00FC7558">
              <w:rPr>
                <w:rFonts w:cs="Calibri"/>
                <w:sz w:val="18"/>
                <w:szCs w:val="18"/>
              </w:rPr>
              <w:t>injection</w:t>
            </w:r>
            <w:r w:rsidR="005D0A72" w:rsidRPr="00FC7558">
              <w:rPr>
                <w:rFonts w:cs="Calibri"/>
                <w:sz w:val="18"/>
                <w:szCs w:val="18"/>
              </w:rPr>
              <w:t>s</w:t>
            </w:r>
            <w:r w:rsidR="009271AD" w:rsidRPr="005D0A72">
              <w:rPr>
                <w:rFonts w:cs="Calibri"/>
                <w:color w:val="FF0000"/>
                <w:sz w:val="18"/>
                <w:szCs w:val="18"/>
              </w:rPr>
              <w:t xml:space="preserve"> </w:t>
            </w:r>
            <w:r w:rsidR="009271AD" w:rsidRPr="007E64C0">
              <w:rPr>
                <w:rFonts w:cs="Calibri"/>
                <w:sz w:val="18"/>
                <w:szCs w:val="18"/>
              </w:rPr>
              <w:t xml:space="preserve">and </w:t>
            </w:r>
            <w:r w:rsidRPr="007E64C0">
              <w:rPr>
                <w:rFonts w:cs="Calibri"/>
                <w:sz w:val="18"/>
                <w:szCs w:val="18"/>
              </w:rPr>
              <w:t>a cash inflow which is used to purchase/build an asset(s) or to reduce a liability(s).</w:t>
            </w:r>
          </w:p>
        </w:tc>
      </w:tr>
      <w:tr w:rsidR="00177D40" w:rsidRPr="00D37A89" w14:paraId="75DB59FB" w14:textId="77777777" w:rsidTr="004D1EC6">
        <w:trPr>
          <w:cantSplit/>
        </w:trPr>
        <w:tc>
          <w:tcPr>
            <w:tcW w:w="1563" w:type="dxa"/>
            <w:tcBorders>
              <w:left w:val="single" w:sz="2" w:space="0" w:color="auto"/>
              <w:right w:val="single" w:sz="2" w:space="0" w:color="auto"/>
            </w:tcBorders>
            <w:tcMar>
              <w:left w:w="108" w:type="dxa"/>
              <w:right w:w="108" w:type="dxa"/>
            </w:tcMar>
          </w:tcPr>
          <w:p w14:paraId="12253D6A" w14:textId="77777777" w:rsidR="00177D40" w:rsidRPr="007E64C0" w:rsidRDefault="00177D40"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48D1EBFD" w14:textId="6F8AAE53" w:rsidR="00177D40" w:rsidRPr="007E64C0" w:rsidRDefault="00177D40" w:rsidP="00177D40">
            <w:pPr>
              <w:spacing w:before="240" w:after="40"/>
              <w:jc w:val="both"/>
              <w:rPr>
                <w:b/>
                <w:sz w:val="18"/>
                <w:szCs w:val="18"/>
              </w:rPr>
            </w:pPr>
            <w:r w:rsidRPr="007E64C0">
              <w:rPr>
                <w:b/>
                <w:sz w:val="18"/>
                <w:szCs w:val="18"/>
              </w:rPr>
              <w:t>Column Heading Explanations</w:t>
            </w:r>
          </w:p>
          <w:p w14:paraId="02FF7720" w14:textId="77777777"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Original Budget</w:t>
            </w:r>
            <w:r w:rsidRPr="007E64C0">
              <w:rPr>
                <w:sz w:val="18"/>
                <w:szCs w:val="18"/>
              </w:rPr>
              <w:t xml:space="preserve"> column shows the amounts that appear in the </w:t>
            </w:r>
            <w:r w:rsidRPr="007E64C0">
              <w:rPr>
                <w:rFonts w:cs="Calibri"/>
                <w:sz w:val="18"/>
                <w:szCs w:val="18"/>
              </w:rPr>
              <w:t xml:space="preserve">Statement of Cash Flows </w:t>
            </w:r>
            <w:r w:rsidRPr="007E64C0">
              <w:rPr>
                <w:sz w:val="18"/>
                <w:szCs w:val="18"/>
              </w:rPr>
              <w:t xml:space="preserve">in the Budget Papers. This amount also appears in the </w:t>
            </w:r>
            <w:r w:rsidRPr="007E64C0">
              <w:rPr>
                <w:rFonts w:cs="Calibri"/>
                <w:sz w:val="18"/>
                <w:szCs w:val="18"/>
              </w:rPr>
              <w:t>Statement of Cash Flows.</w:t>
            </w:r>
          </w:p>
          <w:p w14:paraId="1D89C365" w14:textId="2A7D51F0"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Total Appropriated</w:t>
            </w:r>
            <w:r w:rsidRPr="007E64C0">
              <w:rPr>
                <w:sz w:val="18"/>
                <w:szCs w:val="18"/>
              </w:rPr>
              <w:t xml:space="preserve"> column is inclusive of all appropriation variations occurring after the Original Budget.</w:t>
            </w:r>
            <w:r w:rsidR="00FA7C77">
              <w:rPr>
                <w:sz w:val="18"/>
                <w:szCs w:val="18"/>
              </w:rPr>
              <w:t xml:space="preserve">   </w:t>
            </w:r>
          </w:p>
          <w:p w14:paraId="39B1D23E" w14:textId="4919B915" w:rsidR="00177D40" w:rsidRPr="007E64C0" w:rsidRDefault="00177D40" w:rsidP="00177D40">
            <w:pPr>
              <w:jc w:val="both"/>
              <w:rPr>
                <w:rFonts w:cs="Calibri"/>
                <w:sz w:val="18"/>
                <w:szCs w:val="18"/>
              </w:rPr>
            </w:pPr>
            <w:r w:rsidRPr="007E64C0">
              <w:rPr>
                <w:sz w:val="18"/>
                <w:szCs w:val="18"/>
              </w:rPr>
              <w:t xml:space="preserve">The </w:t>
            </w:r>
            <w:r w:rsidRPr="007E64C0">
              <w:rPr>
                <w:iCs/>
                <w:sz w:val="18"/>
                <w:szCs w:val="18"/>
              </w:rPr>
              <w:t>Appropriation Drawn</w:t>
            </w:r>
            <w:r w:rsidRPr="007E64C0">
              <w:rPr>
                <w:sz w:val="18"/>
                <w:szCs w:val="18"/>
              </w:rPr>
              <w:t xml:space="preserve"> is the total amount of appropriation received by the Agency during the year. This amount appears in the </w:t>
            </w:r>
            <w:r w:rsidRPr="007E64C0">
              <w:rPr>
                <w:rFonts w:cs="Calibri"/>
                <w:sz w:val="18"/>
                <w:szCs w:val="18"/>
              </w:rPr>
              <w:t>Statement of Cash Flows.</w:t>
            </w:r>
          </w:p>
        </w:tc>
      </w:tr>
      <w:tr w:rsidR="00FA4CC1" w:rsidRPr="00D37A89" w14:paraId="334B1117" w14:textId="77777777" w:rsidTr="004D1EC6">
        <w:trPr>
          <w:cantSplit/>
        </w:trPr>
        <w:tc>
          <w:tcPr>
            <w:tcW w:w="1563" w:type="dxa"/>
            <w:tcBorders>
              <w:left w:val="single" w:sz="2" w:space="0" w:color="auto"/>
              <w:right w:val="single" w:sz="2" w:space="0" w:color="auto"/>
            </w:tcBorders>
            <w:tcMar>
              <w:left w:w="108" w:type="dxa"/>
              <w:right w:w="108" w:type="dxa"/>
            </w:tcMar>
          </w:tcPr>
          <w:p w14:paraId="1F46AF03" w14:textId="77777777" w:rsidR="00FA4CC1" w:rsidRPr="007E64C0" w:rsidRDefault="00FA4CC1" w:rsidP="00FA4CC1">
            <w:pPr>
              <w:tabs>
                <w:tab w:val="left" w:pos="3306"/>
              </w:tabs>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75B4CA46" w14:textId="77777777" w:rsidR="00FA4CC1" w:rsidRPr="007E64C0" w:rsidRDefault="00FA4CC1" w:rsidP="00FA4CC1">
            <w:pPr>
              <w:tabs>
                <w:tab w:val="left" w:pos="3306"/>
              </w:tabs>
              <w:rPr>
                <w:rFonts w:cs="Calibri"/>
                <w:b/>
                <w:bCs/>
                <w:sz w:val="18"/>
                <w:szCs w:val="18"/>
              </w:rPr>
            </w:pPr>
          </w:p>
        </w:tc>
        <w:tc>
          <w:tcPr>
            <w:tcW w:w="627" w:type="dxa"/>
            <w:tcBorders>
              <w:left w:val="nil"/>
              <w:right w:val="nil"/>
            </w:tcBorders>
            <w:tcMar>
              <w:left w:w="108" w:type="dxa"/>
              <w:right w:w="108" w:type="dxa"/>
            </w:tcMar>
            <w:vAlign w:val="bottom"/>
          </w:tcPr>
          <w:p w14:paraId="33C0C482" w14:textId="77777777" w:rsidR="00FA4CC1" w:rsidRPr="007E64C0" w:rsidRDefault="00FA4CC1" w:rsidP="00FA4CC1">
            <w:pPr>
              <w:tabs>
                <w:tab w:val="left" w:pos="3306"/>
              </w:tabs>
              <w:jc w:val="center"/>
              <w:rPr>
                <w:rFonts w:cs="Calibri"/>
                <w:sz w:val="18"/>
                <w:szCs w:val="18"/>
              </w:rPr>
            </w:pPr>
          </w:p>
        </w:tc>
        <w:tc>
          <w:tcPr>
            <w:tcW w:w="1383" w:type="dxa"/>
            <w:tcBorders>
              <w:left w:val="nil"/>
              <w:right w:val="nil"/>
            </w:tcBorders>
            <w:tcMar>
              <w:left w:w="108" w:type="dxa"/>
              <w:right w:w="108" w:type="dxa"/>
            </w:tcMar>
            <w:vAlign w:val="bottom"/>
          </w:tcPr>
          <w:p w14:paraId="053F8A6B" w14:textId="77777777" w:rsidR="00FA4CC1" w:rsidRPr="007E64C0" w:rsidRDefault="00FA4CC1" w:rsidP="00FA4CC1">
            <w:pPr>
              <w:tabs>
                <w:tab w:val="left" w:pos="3306"/>
              </w:tabs>
              <w:jc w:val="right"/>
              <w:rPr>
                <w:rFonts w:cs="Calibri"/>
                <w:b/>
                <w:bCs/>
                <w:sz w:val="18"/>
                <w:szCs w:val="18"/>
              </w:rPr>
            </w:pPr>
          </w:p>
        </w:tc>
        <w:tc>
          <w:tcPr>
            <w:tcW w:w="1383" w:type="dxa"/>
            <w:tcBorders>
              <w:left w:val="nil"/>
              <w:right w:val="nil"/>
            </w:tcBorders>
            <w:tcMar>
              <w:left w:w="108" w:type="dxa"/>
              <w:right w:w="108" w:type="dxa"/>
            </w:tcMar>
            <w:vAlign w:val="bottom"/>
          </w:tcPr>
          <w:p w14:paraId="71ADE084" w14:textId="77777777" w:rsidR="00FA4CC1" w:rsidRPr="007E64C0" w:rsidRDefault="00FA4CC1" w:rsidP="00FA4CC1">
            <w:pPr>
              <w:tabs>
                <w:tab w:val="left" w:pos="3306"/>
              </w:tabs>
              <w:jc w:val="right"/>
              <w:rPr>
                <w:rFonts w:cs="Calibri"/>
                <w:b/>
                <w:bCs/>
                <w:sz w:val="18"/>
                <w:szCs w:val="18"/>
              </w:rPr>
            </w:pPr>
          </w:p>
        </w:tc>
        <w:tc>
          <w:tcPr>
            <w:tcW w:w="1437" w:type="dxa"/>
            <w:tcBorders>
              <w:left w:val="nil"/>
              <w:right w:val="nil"/>
            </w:tcBorders>
            <w:tcMar>
              <w:left w:w="108" w:type="dxa"/>
              <w:right w:w="108" w:type="dxa"/>
            </w:tcMar>
            <w:vAlign w:val="bottom"/>
          </w:tcPr>
          <w:p w14:paraId="368B2A41" w14:textId="77777777" w:rsidR="00FA4CC1" w:rsidRPr="007E64C0" w:rsidRDefault="00FA4CC1" w:rsidP="00FA4CC1">
            <w:pPr>
              <w:tabs>
                <w:tab w:val="left" w:pos="3306"/>
              </w:tabs>
              <w:jc w:val="right"/>
              <w:rPr>
                <w:rFonts w:cs="Calibri"/>
                <w:b/>
                <w:bCs/>
                <w:sz w:val="18"/>
                <w:szCs w:val="18"/>
              </w:rPr>
            </w:pPr>
          </w:p>
        </w:tc>
        <w:tc>
          <w:tcPr>
            <w:tcW w:w="1437" w:type="dxa"/>
            <w:tcBorders>
              <w:left w:val="nil"/>
            </w:tcBorders>
            <w:tcMar>
              <w:left w:w="108" w:type="dxa"/>
              <w:right w:w="108" w:type="dxa"/>
            </w:tcMar>
            <w:vAlign w:val="bottom"/>
          </w:tcPr>
          <w:p w14:paraId="13E0D4A9" w14:textId="77777777" w:rsidR="00FA4CC1" w:rsidRPr="007E64C0" w:rsidRDefault="00FA4CC1" w:rsidP="00FA4CC1">
            <w:pPr>
              <w:tabs>
                <w:tab w:val="left" w:pos="3306"/>
              </w:tabs>
              <w:jc w:val="right"/>
              <w:rPr>
                <w:rFonts w:cs="Calibri"/>
                <w:b/>
                <w:bCs/>
                <w:sz w:val="18"/>
                <w:szCs w:val="18"/>
              </w:rPr>
            </w:pPr>
          </w:p>
        </w:tc>
      </w:tr>
      <w:tr w:rsidR="00D37A89" w:rsidRPr="00D37A89" w14:paraId="4FDCDF78" w14:textId="77777777" w:rsidTr="004D1EC6">
        <w:trPr>
          <w:cantSplit/>
        </w:trPr>
        <w:tc>
          <w:tcPr>
            <w:tcW w:w="1563" w:type="dxa"/>
            <w:tcBorders>
              <w:left w:val="single" w:sz="2" w:space="0" w:color="auto"/>
              <w:right w:val="single" w:sz="2" w:space="0" w:color="auto"/>
            </w:tcBorders>
            <w:tcMar>
              <w:left w:w="108" w:type="dxa"/>
              <w:right w:w="108" w:type="dxa"/>
            </w:tcMar>
          </w:tcPr>
          <w:p w14:paraId="221607B8" w14:textId="0EE20E9E" w:rsidR="00D37A89" w:rsidRPr="007E64C0" w:rsidRDefault="00D37A89" w:rsidP="00D37A89">
            <w:pPr>
              <w:tabs>
                <w:tab w:val="left" w:pos="3306"/>
              </w:tabs>
              <w:spacing w:before="240"/>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4232D298" w14:textId="77777777" w:rsidR="00D37A89" w:rsidRPr="007E64C0" w:rsidRDefault="00D37A89" w:rsidP="00D37A89">
            <w:pPr>
              <w:tabs>
                <w:tab w:val="left" w:pos="3306"/>
              </w:tabs>
              <w:spacing w:before="40"/>
              <w:rPr>
                <w:rFonts w:cs="Calibri"/>
                <w:b/>
                <w:bCs/>
                <w:sz w:val="18"/>
                <w:szCs w:val="18"/>
              </w:rPr>
            </w:pPr>
          </w:p>
        </w:tc>
        <w:tc>
          <w:tcPr>
            <w:tcW w:w="627" w:type="dxa"/>
            <w:tcBorders>
              <w:left w:val="nil"/>
              <w:right w:val="nil"/>
            </w:tcBorders>
            <w:tcMar>
              <w:left w:w="108" w:type="dxa"/>
              <w:right w:w="108" w:type="dxa"/>
            </w:tcMar>
            <w:vAlign w:val="bottom"/>
          </w:tcPr>
          <w:p w14:paraId="32C5E643"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right w:val="nil"/>
            </w:tcBorders>
            <w:tcMar>
              <w:left w:w="108" w:type="dxa"/>
              <w:right w:w="108" w:type="dxa"/>
            </w:tcMar>
            <w:vAlign w:val="bottom"/>
          </w:tcPr>
          <w:p w14:paraId="6D1F786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Original</w:t>
            </w:r>
          </w:p>
          <w:p w14:paraId="6B5AB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Budget</w:t>
            </w:r>
          </w:p>
          <w:p w14:paraId="004A0623" w14:textId="3B5D48C3" w:rsidR="001B231B" w:rsidRPr="007E64C0" w:rsidRDefault="001B231B" w:rsidP="001B231B">
            <w:pPr>
              <w:pStyle w:val="TableTitle"/>
              <w:tabs>
                <w:tab w:val="left" w:pos="3306"/>
              </w:tabs>
              <w:rPr>
                <w:rFonts w:cs="Calibri"/>
              </w:rPr>
            </w:pPr>
            <w:r w:rsidRPr="007E64C0">
              <w:rPr>
                <w:rFonts w:cs="Calibri"/>
              </w:rPr>
              <w:t>202</w:t>
            </w:r>
            <w:r w:rsidR="00D50594">
              <w:rPr>
                <w:rFonts w:cs="Calibri"/>
              </w:rPr>
              <w:t>3</w:t>
            </w:r>
          </w:p>
          <w:p w14:paraId="5EA94746"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383" w:type="dxa"/>
            <w:tcBorders>
              <w:left w:val="nil"/>
              <w:right w:val="nil"/>
            </w:tcBorders>
            <w:tcMar>
              <w:left w:w="108" w:type="dxa"/>
              <w:right w:w="108" w:type="dxa"/>
            </w:tcMar>
            <w:vAlign w:val="bottom"/>
          </w:tcPr>
          <w:p w14:paraId="1F202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Total</w:t>
            </w:r>
          </w:p>
          <w:p w14:paraId="2F50DCE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Appropriated</w:t>
            </w:r>
          </w:p>
          <w:p w14:paraId="32DA2CDB" w14:textId="696D034C" w:rsidR="001B231B" w:rsidRPr="007E64C0" w:rsidRDefault="001B231B" w:rsidP="001B231B">
            <w:pPr>
              <w:pStyle w:val="TableTitle"/>
              <w:tabs>
                <w:tab w:val="left" w:pos="3306"/>
              </w:tabs>
              <w:rPr>
                <w:rFonts w:cs="Calibri"/>
              </w:rPr>
            </w:pPr>
            <w:r w:rsidRPr="007E64C0">
              <w:rPr>
                <w:rFonts w:cs="Calibri"/>
              </w:rPr>
              <w:t>202</w:t>
            </w:r>
            <w:r w:rsidR="00D50594">
              <w:rPr>
                <w:rFonts w:cs="Calibri"/>
              </w:rPr>
              <w:t>3</w:t>
            </w:r>
          </w:p>
          <w:p w14:paraId="1BDCE81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right w:val="nil"/>
            </w:tcBorders>
            <w:tcMar>
              <w:left w:w="108" w:type="dxa"/>
              <w:right w:w="108" w:type="dxa"/>
            </w:tcMar>
            <w:vAlign w:val="bottom"/>
          </w:tcPr>
          <w:p w14:paraId="04BFE7A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51261DA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76F7939D" w14:textId="0C833D89" w:rsidR="001B231B" w:rsidRPr="007E64C0" w:rsidRDefault="001B231B" w:rsidP="001B231B">
            <w:pPr>
              <w:pStyle w:val="TableTitle"/>
              <w:tabs>
                <w:tab w:val="left" w:pos="3306"/>
              </w:tabs>
              <w:rPr>
                <w:rFonts w:cs="Calibri"/>
              </w:rPr>
            </w:pPr>
            <w:r w:rsidRPr="007E64C0">
              <w:rPr>
                <w:rFonts w:cs="Calibri"/>
              </w:rPr>
              <w:t>202</w:t>
            </w:r>
            <w:r w:rsidR="00D50594">
              <w:rPr>
                <w:rFonts w:cs="Calibri"/>
              </w:rPr>
              <w:t>3</w:t>
            </w:r>
          </w:p>
          <w:p w14:paraId="3367AD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tcBorders>
            <w:tcMar>
              <w:left w:w="108" w:type="dxa"/>
              <w:right w:w="108" w:type="dxa"/>
            </w:tcMar>
            <w:vAlign w:val="bottom"/>
          </w:tcPr>
          <w:p w14:paraId="2B7BEEB9"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4C81F9C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31577D6A" w14:textId="218DF913" w:rsidR="00D37A89" w:rsidRPr="007E64C0" w:rsidRDefault="00264852" w:rsidP="00D37A89">
            <w:pPr>
              <w:tabs>
                <w:tab w:val="left" w:pos="3306"/>
              </w:tabs>
              <w:jc w:val="right"/>
              <w:rPr>
                <w:rFonts w:cs="Calibri"/>
                <w:b/>
                <w:bCs/>
                <w:sz w:val="18"/>
                <w:szCs w:val="18"/>
              </w:rPr>
            </w:pPr>
            <w:r w:rsidRPr="007E64C0">
              <w:rPr>
                <w:rFonts w:cs="Calibri"/>
                <w:b/>
                <w:bCs/>
                <w:sz w:val="18"/>
                <w:szCs w:val="18"/>
              </w:rPr>
              <w:t>202</w:t>
            </w:r>
            <w:r w:rsidR="00D50594">
              <w:rPr>
                <w:rFonts w:cs="Calibri"/>
                <w:b/>
                <w:bCs/>
                <w:sz w:val="18"/>
                <w:szCs w:val="18"/>
              </w:rPr>
              <w:t>2</w:t>
            </w:r>
          </w:p>
          <w:p w14:paraId="047321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r>
      <w:tr w:rsidR="00D37A89" w:rsidRPr="00D37A89" w14:paraId="262F391B" w14:textId="77777777" w:rsidTr="004D1EC6">
        <w:trPr>
          <w:cantSplit/>
        </w:trPr>
        <w:tc>
          <w:tcPr>
            <w:tcW w:w="1563" w:type="dxa"/>
            <w:tcBorders>
              <w:left w:val="single" w:sz="2" w:space="0" w:color="auto"/>
              <w:bottom w:val="nil"/>
              <w:right w:val="single" w:sz="2" w:space="0" w:color="auto"/>
            </w:tcBorders>
            <w:tcMar>
              <w:left w:w="108" w:type="dxa"/>
              <w:right w:w="108" w:type="dxa"/>
            </w:tcMar>
          </w:tcPr>
          <w:p w14:paraId="6775E638" w14:textId="77777777" w:rsidR="00D37A89" w:rsidRPr="007E64C0" w:rsidRDefault="00D37A89" w:rsidP="00D37A89">
            <w:pPr>
              <w:tabs>
                <w:tab w:val="left" w:pos="3306"/>
              </w:tabs>
              <w:spacing w:before="40"/>
              <w:rPr>
                <w:rFonts w:cs="Calibri"/>
                <w:color w:val="7030A0"/>
                <w:sz w:val="14"/>
                <w:szCs w:val="14"/>
              </w:rPr>
            </w:pPr>
          </w:p>
        </w:tc>
        <w:tc>
          <w:tcPr>
            <w:tcW w:w="2720" w:type="dxa"/>
            <w:tcBorders>
              <w:left w:val="single" w:sz="2" w:space="0" w:color="auto"/>
              <w:bottom w:val="nil"/>
              <w:right w:val="nil"/>
            </w:tcBorders>
            <w:tcMar>
              <w:left w:w="108" w:type="dxa"/>
              <w:right w:w="108" w:type="dxa"/>
            </w:tcMar>
            <w:vAlign w:val="bottom"/>
          </w:tcPr>
          <w:p w14:paraId="310DD434" w14:textId="77777777" w:rsidR="00D37A89" w:rsidRPr="007E64C0" w:rsidRDefault="00D37A89" w:rsidP="00D37A89">
            <w:pPr>
              <w:tabs>
                <w:tab w:val="left" w:pos="3306"/>
              </w:tabs>
              <w:spacing w:before="40"/>
              <w:rPr>
                <w:rFonts w:cs="Calibri"/>
                <w:b/>
                <w:bCs/>
                <w:strike/>
                <w:sz w:val="18"/>
                <w:szCs w:val="18"/>
              </w:rPr>
            </w:pPr>
            <w:r w:rsidRPr="007E64C0">
              <w:rPr>
                <w:rFonts w:cs="Calibri"/>
                <w:b/>
                <w:bCs/>
                <w:sz w:val="18"/>
                <w:szCs w:val="18"/>
              </w:rPr>
              <w:t>Controlled</w:t>
            </w:r>
          </w:p>
        </w:tc>
        <w:tc>
          <w:tcPr>
            <w:tcW w:w="627" w:type="dxa"/>
            <w:tcBorders>
              <w:left w:val="nil"/>
              <w:bottom w:val="nil"/>
              <w:right w:val="nil"/>
            </w:tcBorders>
            <w:tcMar>
              <w:left w:w="108" w:type="dxa"/>
              <w:right w:w="108" w:type="dxa"/>
            </w:tcMar>
            <w:vAlign w:val="bottom"/>
          </w:tcPr>
          <w:p w14:paraId="7A928AE8"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bottom w:val="nil"/>
              <w:right w:val="nil"/>
            </w:tcBorders>
            <w:tcMar>
              <w:left w:w="108" w:type="dxa"/>
              <w:right w:w="108" w:type="dxa"/>
            </w:tcMar>
            <w:vAlign w:val="bottom"/>
          </w:tcPr>
          <w:p w14:paraId="62E7D313" w14:textId="77777777" w:rsidR="00D37A89" w:rsidRPr="007E64C0" w:rsidRDefault="00D37A89" w:rsidP="00D37A89">
            <w:pPr>
              <w:tabs>
                <w:tab w:val="left" w:pos="3306"/>
              </w:tabs>
              <w:spacing w:before="40"/>
              <w:jc w:val="right"/>
              <w:rPr>
                <w:rFonts w:cs="Calibri"/>
                <w:sz w:val="18"/>
                <w:szCs w:val="18"/>
              </w:rPr>
            </w:pPr>
          </w:p>
        </w:tc>
        <w:tc>
          <w:tcPr>
            <w:tcW w:w="1383" w:type="dxa"/>
            <w:tcBorders>
              <w:left w:val="nil"/>
              <w:bottom w:val="nil"/>
              <w:right w:val="nil"/>
            </w:tcBorders>
            <w:tcMar>
              <w:left w:w="108" w:type="dxa"/>
              <w:right w:w="108" w:type="dxa"/>
            </w:tcMar>
            <w:vAlign w:val="bottom"/>
          </w:tcPr>
          <w:p w14:paraId="72997636"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right w:val="nil"/>
            </w:tcBorders>
            <w:tcMar>
              <w:left w:w="108" w:type="dxa"/>
              <w:right w:w="108" w:type="dxa"/>
            </w:tcMar>
            <w:vAlign w:val="bottom"/>
          </w:tcPr>
          <w:p w14:paraId="0458EE8E"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tcBorders>
            <w:tcMar>
              <w:left w:w="108" w:type="dxa"/>
              <w:right w:w="108" w:type="dxa"/>
            </w:tcMar>
            <w:vAlign w:val="bottom"/>
          </w:tcPr>
          <w:p w14:paraId="62C477A7" w14:textId="77777777" w:rsidR="00D37A89" w:rsidRPr="007E64C0" w:rsidRDefault="00D37A89" w:rsidP="00D37A89">
            <w:pPr>
              <w:tabs>
                <w:tab w:val="left" w:pos="3306"/>
              </w:tabs>
              <w:spacing w:before="40"/>
              <w:jc w:val="right"/>
              <w:rPr>
                <w:rFonts w:cs="Calibri"/>
                <w:sz w:val="18"/>
                <w:szCs w:val="18"/>
              </w:rPr>
            </w:pPr>
          </w:p>
        </w:tc>
      </w:tr>
      <w:tr w:rsidR="00D37A89" w:rsidRPr="007E0503" w14:paraId="16695367"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4E88AFDC" w14:textId="0CFF93BE" w:rsidR="00D37A89" w:rsidRPr="007E64C0" w:rsidRDefault="00D37A89" w:rsidP="00D37A89">
            <w:pPr>
              <w:tabs>
                <w:tab w:val="left" w:pos="3306"/>
              </w:tabs>
              <w:spacing w:before="60"/>
              <w:rPr>
                <w:rFonts w:cs="Calibri"/>
                <w:color w:val="7030A0"/>
                <w:sz w:val="14"/>
                <w:szCs w:val="14"/>
              </w:rPr>
            </w:pPr>
            <w:bookmarkStart w:id="254" w:name="_Toc48468268"/>
            <w:bookmarkStart w:id="255" w:name="_Toc49155447"/>
            <w:bookmarkStart w:id="256" w:name="_Toc49223910"/>
            <w:r w:rsidRPr="007E64C0">
              <w:rPr>
                <w:rFonts w:cs="Calibri"/>
                <w:color w:val="7030A0"/>
                <w:sz w:val="14"/>
                <w:szCs w:val="14"/>
              </w:rPr>
              <w:t>AAS</w:t>
            </w:r>
            <w:bookmarkEnd w:id="254"/>
            <w:bookmarkEnd w:id="255"/>
            <w:bookmarkEnd w:id="256"/>
            <w:r w:rsidRPr="007E64C0">
              <w:rPr>
                <w:rFonts w:cs="Calibri"/>
                <w:color w:val="7030A0"/>
                <w:sz w:val="14"/>
                <w:szCs w:val="14"/>
              </w:rPr>
              <w:t>B 1004.64(a)</w:t>
            </w:r>
            <w:r w:rsidR="00FA7C77">
              <w:rPr>
                <w:rFonts w:cs="Calibri"/>
                <w:color w:val="7030A0"/>
                <w:sz w:val="14"/>
                <w:szCs w:val="14"/>
              </w:rPr>
              <w:t xml:space="preserve">    </w:t>
            </w:r>
            <w:r w:rsidR="002147FC" w:rsidRPr="007E64C0">
              <w:rPr>
                <w:rFonts w:cs="Calibri"/>
                <w:color w:val="7030A0"/>
                <w:sz w:val="14"/>
                <w:szCs w:val="14"/>
              </w:rPr>
              <w:t xml:space="preserve">AASB </w:t>
            </w:r>
            <w:r w:rsidRPr="007E64C0">
              <w:rPr>
                <w:rFonts w:cs="Calibri"/>
                <w:color w:val="7030A0"/>
                <w:sz w:val="14"/>
                <w:szCs w:val="14"/>
              </w:rPr>
              <w:t>1058.26 (c)</w:t>
            </w:r>
          </w:p>
          <w:p w14:paraId="7CAE88D0" w14:textId="517EF401" w:rsidR="002147FC" w:rsidRPr="007E64C0" w:rsidRDefault="002147FC" w:rsidP="002147FC">
            <w:pPr>
              <w:tabs>
                <w:tab w:val="left" w:pos="3306"/>
              </w:tabs>
              <w:rPr>
                <w:rFonts w:cs="Calibri"/>
                <w:strike/>
                <w:color w:val="7030A0"/>
                <w:sz w:val="14"/>
                <w:szCs w:val="14"/>
                <w:highlight w:val="cyan"/>
              </w:rPr>
            </w:pPr>
            <w:r w:rsidRPr="007E64C0">
              <w:rPr>
                <w:rFonts w:cs="Calibri"/>
                <w:color w:val="7030A0"/>
                <w:sz w:val="14"/>
                <w:szCs w:val="14"/>
              </w:rPr>
              <w:t>AASB 1059.39</w:t>
            </w:r>
          </w:p>
        </w:tc>
        <w:tc>
          <w:tcPr>
            <w:tcW w:w="2720" w:type="dxa"/>
            <w:tcBorders>
              <w:top w:val="nil"/>
              <w:left w:val="single" w:sz="2" w:space="0" w:color="auto"/>
              <w:bottom w:val="nil"/>
              <w:right w:val="nil"/>
            </w:tcBorders>
            <w:tcMar>
              <w:left w:w="108" w:type="dxa"/>
              <w:right w:w="108" w:type="dxa"/>
            </w:tcMar>
            <w:vAlign w:val="center"/>
          </w:tcPr>
          <w:p w14:paraId="4EC382C1" w14:textId="77777777" w:rsidR="00D37A89" w:rsidRPr="007E64C0" w:rsidRDefault="00D37A89" w:rsidP="009F0413">
            <w:pPr>
              <w:tabs>
                <w:tab w:val="left" w:pos="3306"/>
              </w:tabs>
              <w:spacing w:before="40"/>
              <w:rPr>
                <w:rFonts w:cs="Calibri"/>
                <w:strike/>
                <w:sz w:val="18"/>
                <w:szCs w:val="18"/>
              </w:rPr>
            </w:pPr>
            <w:r w:rsidRPr="007E64C0">
              <w:rPr>
                <w:rFonts w:cs="Calibri"/>
                <w:sz w:val="18"/>
                <w:szCs w:val="18"/>
              </w:rPr>
              <w:t>Controlled Recurrent Payments</w:t>
            </w:r>
          </w:p>
        </w:tc>
        <w:tc>
          <w:tcPr>
            <w:tcW w:w="627" w:type="dxa"/>
            <w:tcBorders>
              <w:top w:val="nil"/>
              <w:left w:val="nil"/>
              <w:bottom w:val="nil"/>
              <w:right w:val="nil"/>
            </w:tcBorders>
            <w:tcMar>
              <w:left w:w="108" w:type="dxa"/>
              <w:right w:w="108" w:type="dxa"/>
            </w:tcMar>
            <w:vAlign w:val="bottom"/>
          </w:tcPr>
          <w:p w14:paraId="3D7C153B"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5C476095"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3951206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7854D4F3"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697A5DB2" w14:textId="77777777" w:rsidR="00D37A89" w:rsidRPr="007E64C0" w:rsidRDefault="00D37A89" w:rsidP="00D37A89">
            <w:pPr>
              <w:tabs>
                <w:tab w:val="left" w:pos="3306"/>
              </w:tabs>
              <w:spacing w:before="40"/>
              <w:jc w:val="right"/>
              <w:rPr>
                <w:rFonts w:cs="Calibri"/>
                <w:sz w:val="18"/>
                <w:szCs w:val="18"/>
              </w:rPr>
            </w:pPr>
          </w:p>
        </w:tc>
      </w:tr>
      <w:tr w:rsidR="00EB6844" w:rsidRPr="007E0503" w14:paraId="7E3A5599"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3FB6B69" w14:textId="589D7F3F" w:rsidR="00EB6844" w:rsidRPr="007E64C0" w:rsidRDefault="00EB6844" w:rsidP="00D37A89">
            <w:pPr>
              <w:tabs>
                <w:tab w:val="left" w:pos="3306"/>
              </w:tabs>
              <w:spacing w:before="60"/>
              <w:rPr>
                <w:rFonts w:cs="Calibri"/>
                <w:color w:val="7030A0"/>
                <w:sz w:val="14"/>
                <w:szCs w:val="14"/>
              </w:rPr>
            </w:pPr>
            <w:r w:rsidRPr="007E64C0">
              <w:rPr>
                <w:rFonts w:cs="Calibri"/>
                <w:color w:val="7030A0"/>
                <w:sz w:val="14"/>
                <w:szCs w:val="14"/>
              </w:rPr>
              <w:t xml:space="preserve">ACT </w:t>
            </w:r>
            <w:r w:rsidR="00A274A8" w:rsidRPr="007E64C0">
              <w:rPr>
                <w:rFonts w:cs="Calibri"/>
                <w:color w:val="7030A0"/>
                <w:sz w:val="14"/>
              </w:rPr>
              <w:t>Disclosure</w:t>
            </w:r>
            <w:r w:rsidR="003E6941" w:rsidRPr="007E64C0">
              <w:rPr>
                <w:rFonts w:cs="Calibri"/>
                <w:color w:val="7030A0"/>
                <w:sz w:val="14"/>
                <w:szCs w:val="14"/>
              </w:rPr>
              <w:t xml:space="preserve"> </w:t>
            </w:r>
            <w:r w:rsidRPr="007E64C0">
              <w:rPr>
                <w:rFonts w:cs="Calibri"/>
                <w:color w:val="7030A0"/>
                <w:sz w:val="14"/>
                <w:szCs w:val="14"/>
              </w:rPr>
              <w:t>Policy</w:t>
            </w:r>
          </w:p>
        </w:tc>
        <w:tc>
          <w:tcPr>
            <w:tcW w:w="2720" w:type="dxa"/>
            <w:tcBorders>
              <w:top w:val="nil"/>
              <w:left w:val="single" w:sz="2" w:space="0" w:color="auto"/>
              <w:bottom w:val="nil"/>
              <w:right w:val="nil"/>
            </w:tcBorders>
            <w:tcMar>
              <w:left w:w="108" w:type="dxa"/>
              <w:right w:w="108" w:type="dxa"/>
            </w:tcMar>
          </w:tcPr>
          <w:p w14:paraId="3F5484DE" w14:textId="311016EB" w:rsidR="00EB6844" w:rsidRPr="007E64C0" w:rsidRDefault="00EB6844" w:rsidP="00C0544A">
            <w:pPr>
              <w:tabs>
                <w:tab w:val="left" w:pos="3306"/>
              </w:tabs>
              <w:spacing w:before="40"/>
              <w:rPr>
                <w:rFonts w:cs="Calibri"/>
                <w:sz w:val="18"/>
                <w:szCs w:val="18"/>
              </w:rPr>
            </w:pPr>
            <w:r w:rsidRPr="007E64C0">
              <w:rPr>
                <w:rFonts w:cs="Calibri"/>
                <w:sz w:val="18"/>
                <w:szCs w:val="18"/>
              </w:rPr>
              <w:t>Community Service Obligations</w:t>
            </w:r>
          </w:p>
        </w:tc>
        <w:tc>
          <w:tcPr>
            <w:tcW w:w="627" w:type="dxa"/>
            <w:tcBorders>
              <w:top w:val="nil"/>
              <w:left w:val="nil"/>
              <w:bottom w:val="nil"/>
              <w:right w:val="nil"/>
            </w:tcBorders>
            <w:tcMar>
              <w:left w:w="108" w:type="dxa"/>
              <w:right w:w="108" w:type="dxa"/>
            </w:tcMar>
            <w:vAlign w:val="bottom"/>
          </w:tcPr>
          <w:p w14:paraId="287A1DCE" w14:textId="77777777" w:rsidR="00EB6844" w:rsidRPr="007E64C0" w:rsidRDefault="00EB6844"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6FD6238D" w14:textId="77777777" w:rsidR="00EB6844" w:rsidRPr="007E64C0" w:rsidRDefault="00EB6844"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051ECF83"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0A0B8EAA"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786CBA77" w14:textId="77777777" w:rsidR="00EB6844" w:rsidRPr="007E64C0" w:rsidRDefault="00EB6844" w:rsidP="00D37A89">
            <w:pPr>
              <w:tabs>
                <w:tab w:val="left" w:pos="3306"/>
              </w:tabs>
              <w:spacing w:before="40"/>
              <w:jc w:val="right"/>
              <w:rPr>
                <w:rFonts w:cs="Calibri"/>
                <w:sz w:val="18"/>
                <w:szCs w:val="18"/>
              </w:rPr>
            </w:pPr>
          </w:p>
        </w:tc>
      </w:tr>
      <w:tr w:rsidR="00D37A89" w:rsidRPr="007E0503" w14:paraId="73A1FDB1"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1B152CF" w14:textId="42728E24" w:rsidR="00D37A89" w:rsidRPr="007E64C0" w:rsidRDefault="00D37A89" w:rsidP="0093771E">
            <w:pPr>
              <w:tabs>
                <w:tab w:val="left" w:pos="3306"/>
              </w:tabs>
              <w:spacing w:before="40"/>
              <w:rPr>
                <w:rFonts w:cs="Calibri"/>
                <w:color w:val="7030A0"/>
                <w:sz w:val="14"/>
                <w:szCs w:val="14"/>
              </w:rPr>
            </w:pPr>
            <w:r w:rsidRPr="007E64C0">
              <w:rPr>
                <w:rFonts w:cs="Calibri"/>
                <w:color w:val="7030A0"/>
                <w:sz w:val="14"/>
                <w:szCs w:val="14"/>
              </w:rPr>
              <w:t>AASB 1004.64(a),</w:t>
            </w:r>
            <w:r w:rsidR="0093771E" w:rsidRPr="007E64C0">
              <w:rPr>
                <w:rFonts w:cs="Calibri"/>
                <w:color w:val="7030A0"/>
                <w:sz w:val="14"/>
                <w:szCs w:val="14"/>
              </w:rPr>
              <w:t xml:space="preserve"> 48 </w:t>
            </w:r>
          </w:p>
        </w:tc>
        <w:tc>
          <w:tcPr>
            <w:tcW w:w="2720" w:type="dxa"/>
            <w:tcBorders>
              <w:top w:val="nil"/>
              <w:left w:val="single" w:sz="2" w:space="0" w:color="auto"/>
              <w:bottom w:val="nil"/>
              <w:right w:val="nil"/>
            </w:tcBorders>
            <w:tcMar>
              <w:left w:w="108" w:type="dxa"/>
              <w:right w:w="108" w:type="dxa"/>
            </w:tcMar>
            <w:vAlign w:val="bottom"/>
          </w:tcPr>
          <w:p w14:paraId="6AC2B879" w14:textId="77777777" w:rsidR="00D37A89" w:rsidRPr="007E64C0" w:rsidRDefault="00D37A89" w:rsidP="00D37A89">
            <w:pPr>
              <w:tabs>
                <w:tab w:val="left" w:pos="3306"/>
              </w:tabs>
              <w:spacing w:before="40"/>
              <w:rPr>
                <w:rFonts w:cs="Calibri"/>
                <w:sz w:val="18"/>
                <w:szCs w:val="18"/>
              </w:rPr>
            </w:pPr>
            <w:bookmarkStart w:id="257" w:name="_Toc48468271"/>
            <w:bookmarkStart w:id="258" w:name="_Toc49155450"/>
            <w:bookmarkStart w:id="259" w:name="_Toc49223913"/>
            <w:r w:rsidRPr="007E64C0">
              <w:rPr>
                <w:rFonts w:cs="Calibri"/>
                <w:sz w:val="18"/>
                <w:szCs w:val="18"/>
              </w:rPr>
              <w:t xml:space="preserve">Capital </w:t>
            </w:r>
            <w:bookmarkEnd w:id="257"/>
            <w:bookmarkEnd w:id="258"/>
            <w:bookmarkEnd w:id="259"/>
            <w:r w:rsidRPr="007E64C0">
              <w:rPr>
                <w:rFonts w:cs="Calibri"/>
                <w:sz w:val="18"/>
                <w:szCs w:val="18"/>
              </w:rPr>
              <w:t>Injections</w:t>
            </w:r>
          </w:p>
        </w:tc>
        <w:tc>
          <w:tcPr>
            <w:tcW w:w="627" w:type="dxa"/>
            <w:tcBorders>
              <w:top w:val="nil"/>
              <w:left w:val="nil"/>
              <w:bottom w:val="nil"/>
              <w:right w:val="nil"/>
            </w:tcBorders>
            <w:tcMar>
              <w:left w:w="108" w:type="dxa"/>
              <w:right w:w="108" w:type="dxa"/>
            </w:tcMar>
            <w:vAlign w:val="bottom"/>
          </w:tcPr>
          <w:p w14:paraId="4B2BDBAA"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6C96DD33"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72B0E290"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right w:val="nil"/>
            </w:tcBorders>
            <w:tcMar>
              <w:left w:w="108" w:type="dxa"/>
              <w:right w:w="108" w:type="dxa"/>
            </w:tcMar>
            <w:vAlign w:val="bottom"/>
          </w:tcPr>
          <w:p w14:paraId="06F0A40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tcBorders>
            <w:tcMar>
              <w:left w:w="108" w:type="dxa"/>
              <w:right w:w="108" w:type="dxa"/>
            </w:tcMar>
            <w:vAlign w:val="bottom"/>
          </w:tcPr>
          <w:p w14:paraId="58D161CE" w14:textId="77777777" w:rsidR="00D37A89" w:rsidRPr="007E64C0" w:rsidRDefault="00D37A89" w:rsidP="00D37A89">
            <w:pPr>
              <w:tabs>
                <w:tab w:val="left" w:pos="3306"/>
              </w:tabs>
              <w:spacing w:before="40"/>
              <w:jc w:val="right"/>
              <w:rPr>
                <w:rFonts w:cs="Calibri"/>
                <w:sz w:val="18"/>
                <w:szCs w:val="18"/>
              </w:rPr>
            </w:pPr>
          </w:p>
        </w:tc>
      </w:tr>
      <w:tr w:rsidR="00D37A89" w:rsidRPr="007E0503" w14:paraId="543E0ABF"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88E51AF" w14:textId="7915C959" w:rsidR="00D37A89" w:rsidRPr="007E64C0" w:rsidRDefault="002147FC" w:rsidP="002147FC">
            <w:pPr>
              <w:tabs>
                <w:tab w:val="left" w:pos="3306"/>
              </w:tabs>
              <w:rPr>
                <w:rFonts w:cs="Calibri"/>
                <w:color w:val="7030A0"/>
                <w:sz w:val="14"/>
                <w:szCs w:val="14"/>
              </w:rPr>
            </w:pPr>
            <w:r w:rsidRPr="007E64C0">
              <w:rPr>
                <w:rFonts w:cs="Calibri"/>
                <w:color w:val="7030A0"/>
                <w:sz w:val="14"/>
                <w:szCs w:val="14"/>
              </w:rPr>
              <w:t>AASB 1059.39</w:t>
            </w:r>
          </w:p>
        </w:tc>
        <w:tc>
          <w:tcPr>
            <w:tcW w:w="2720" w:type="dxa"/>
            <w:tcBorders>
              <w:left w:val="single" w:sz="2" w:space="0" w:color="auto"/>
              <w:right w:val="nil"/>
            </w:tcBorders>
            <w:tcMar>
              <w:left w:w="108" w:type="dxa"/>
              <w:right w:w="108" w:type="dxa"/>
            </w:tcMar>
            <w:vAlign w:val="bottom"/>
          </w:tcPr>
          <w:p w14:paraId="76E06D14" w14:textId="77777777" w:rsidR="00D37A89" w:rsidRPr="007E64C0" w:rsidRDefault="00D37A89" w:rsidP="00D37A89">
            <w:pPr>
              <w:tabs>
                <w:tab w:val="left" w:pos="3306"/>
              </w:tabs>
              <w:spacing w:before="40"/>
              <w:rPr>
                <w:rFonts w:cs="Calibri"/>
                <w:b/>
                <w:bCs/>
                <w:sz w:val="18"/>
                <w:szCs w:val="18"/>
              </w:rPr>
            </w:pPr>
            <w:r w:rsidRPr="007E64C0">
              <w:rPr>
                <w:rFonts w:cs="Calibri"/>
                <w:b/>
                <w:bCs/>
                <w:sz w:val="18"/>
                <w:szCs w:val="18"/>
              </w:rPr>
              <w:t>Total Controlled Appropriation</w:t>
            </w:r>
          </w:p>
        </w:tc>
        <w:tc>
          <w:tcPr>
            <w:tcW w:w="627" w:type="dxa"/>
            <w:tcBorders>
              <w:left w:val="nil"/>
              <w:right w:val="nil"/>
            </w:tcBorders>
            <w:tcMar>
              <w:left w:w="108" w:type="dxa"/>
              <w:right w:w="108" w:type="dxa"/>
            </w:tcMar>
            <w:vAlign w:val="bottom"/>
          </w:tcPr>
          <w:p w14:paraId="1AC5958C" w14:textId="77777777" w:rsidR="00D37A89" w:rsidRPr="007E64C0" w:rsidRDefault="00D37A89" w:rsidP="00D37A89">
            <w:pPr>
              <w:tabs>
                <w:tab w:val="left" w:pos="3306"/>
              </w:tabs>
              <w:spacing w:before="40"/>
              <w:jc w:val="center"/>
              <w:rPr>
                <w:rFonts w:cs="Calibri"/>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2906EA50" w14:textId="77777777" w:rsidR="00D37A89" w:rsidRPr="007E64C0" w:rsidRDefault="00D37A89" w:rsidP="00D37A89">
            <w:pPr>
              <w:tabs>
                <w:tab w:val="left" w:pos="3306"/>
              </w:tabs>
              <w:spacing w:before="40"/>
              <w:jc w:val="right"/>
              <w:rPr>
                <w:rFonts w:cs="Calibri"/>
                <w:b/>
                <w:bCs/>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0957B95C"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right w:val="nil"/>
            </w:tcBorders>
            <w:tcMar>
              <w:left w:w="108" w:type="dxa"/>
              <w:right w:w="108" w:type="dxa"/>
            </w:tcMar>
            <w:vAlign w:val="bottom"/>
          </w:tcPr>
          <w:p w14:paraId="056EBE0A"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tcBorders>
            <w:tcMar>
              <w:left w:w="108" w:type="dxa"/>
              <w:right w:w="108" w:type="dxa"/>
            </w:tcMar>
            <w:vAlign w:val="bottom"/>
          </w:tcPr>
          <w:p w14:paraId="047D4148" w14:textId="77777777" w:rsidR="00D37A89" w:rsidRPr="007E64C0" w:rsidRDefault="00D37A89" w:rsidP="00D37A89">
            <w:pPr>
              <w:tabs>
                <w:tab w:val="left" w:pos="3306"/>
              </w:tabs>
              <w:spacing w:before="40"/>
              <w:jc w:val="right"/>
              <w:rPr>
                <w:rFonts w:cs="Calibri"/>
                <w:b/>
                <w:bCs/>
                <w:sz w:val="18"/>
                <w:szCs w:val="18"/>
              </w:rPr>
            </w:pPr>
          </w:p>
        </w:tc>
      </w:tr>
      <w:tr w:rsidR="00D37A89" w:rsidRPr="007E0503" w14:paraId="4B5C2A13"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B2F25F0" w14:textId="16601349" w:rsidR="00D37A89" w:rsidRPr="007E64C0" w:rsidRDefault="00D37A89" w:rsidP="002147FC">
            <w:pPr>
              <w:tabs>
                <w:tab w:val="left" w:pos="3306"/>
              </w:tabs>
              <w:rPr>
                <w:rFonts w:cs="Calibri"/>
                <w:color w:val="7030A0"/>
                <w:sz w:val="16"/>
              </w:rPr>
            </w:pPr>
          </w:p>
        </w:tc>
        <w:tc>
          <w:tcPr>
            <w:tcW w:w="2720" w:type="dxa"/>
            <w:tcBorders>
              <w:left w:val="single" w:sz="2" w:space="0" w:color="auto"/>
              <w:right w:val="nil"/>
            </w:tcBorders>
            <w:tcMar>
              <w:left w:w="108" w:type="dxa"/>
              <w:right w:w="108" w:type="dxa"/>
            </w:tcMar>
            <w:vAlign w:val="bottom"/>
          </w:tcPr>
          <w:p w14:paraId="0ACF5F41" w14:textId="77777777" w:rsidR="00D37A89" w:rsidRPr="007E64C0" w:rsidRDefault="00D37A89" w:rsidP="00D37A89">
            <w:pPr>
              <w:tabs>
                <w:tab w:val="left" w:pos="3306"/>
              </w:tabs>
              <w:spacing w:before="40"/>
              <w:rPr>
                <w:rFonts w:cs="Calibri"/>
                <w:sz w:val="18"/>
                <w:szCs w:val="18"/>
              </w:rPr>
            </w:pPr>
          </w:p>
        </w:tc>
        <w:tc>
          <w:tcPr>
            <w:tcW w:w="627" w:type="dxa"/>
            <w:tcBorders>
              <w:left w:val="nil"/>
              <w:right w:val="nil"/>
            </w:tcBorders>
            <w:tcMar>
              <w:left w:w="108" w:type="dxa"/>
              <w:right w:w="108" w:type="dxa"/>
            </w:tcMar>
            <w:vAlign w:val="bottom"/>
          </w:tcPr>
          <w:p w14:paraId="5085E5DA" w14:textId="77777777" w:rsidR="00D37A89" w:rsidRPr="007E64C0" w:rsidRDefault="00D37A89" w:rsidP="00D37A89">
            <w:pPr>
              <w:tabs>
                <w:tab w:val="left" w:pos="3306"/>
              </w:tabs>
              <w:spacing w:before="40"/>
              <w:jc w:val="center"/>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3BCFC09A" w14:textId="77777777" w:rsidR="00D37A89" w:rsidRPr="007E64C0" w:rsidRDefault="00D37A89" w:rsidP="00D37A89">
            <w:pPr>
              <w:tabs>
                <w:tab w:val="left" w:pos="3306"/>
              </w:tabs>
              <w:spacing w:before="40"/>
              <w:jc w:val="right"/>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2C1C96B5"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right w:val="nil"/>
            </w:tcBorders>
            <w:tcMar>
              <w:left w:w="108" w:type="dxa"/>
              <w:right w:w="108" w:type="dxa"/>
            </w:tcMar>
            <w:vAlign w:val="bottom"/>
          </w:tcPr>
          <w:p w14:paraId="5FCE7186"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tcBorders>
            <w:tcMar>
              <w:left w:w="108" w:type="dxa"/>
              <w:right w:w="108" w:type="dxa"/>
            </w:tcMar>
            <w:vAlign w:val="bottom"/>
          </w:tcPr>
          <w:p w14:paraId="0DE5FE5F" w14:textId="77777777" w:rsidR="00D37A89" w:rsidRPr="007E64C0" w:rsidRDefault="00D37A89" w:rsidP="00D37A89">
            <w:pPr>
              <w:tabs>
                <w:tab w:val="left" w:pos="3306"/>
              </w:tabs>
              <w:spacing w:before="40"/>
              <w:jc w:val="right"/>
              <w:rPr>
                <w:rFonts w:cs="Calibri"/>
                <w:sz w:val="18"/>
                <w:szCs w:val="18"/>
              </w:rPr>
            </w:pPr>
          </w:p>
        </w:tc>
      </w:tr>
      <w:tr w:rsidR="00D37A89" w:rsidRPr="007E0503" w14:paraId="2849214E"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9C6F126" w14:textId="77777777" w:rsidR="00D37A89" w:rsidRPr="007E64C0" w:rsidRDefault="00D37A89" w:rsidP="00D37A89">
            <w:pPr>
              <w:tabs>
                <w:tab w:val="left" w:pos="3306"/>
              </w:tabs>
              <w:spacing w:before="40"/>
              <w:rPr>
                <w:rFonts w:cs="Calibri"/>
                <w:color w:val="7030A0"/>
                <w:sz w:val="16"/>
              </w:rPr>
            </w:pPr>
          </w:p>
        </w:tc>
        <w:tc>
          <w:tcPr>
            <w:tcW w:w="8987" w:type="dxa"/>
            <w:gridSpan w:val="6"/>
            <w:tcBorders>
              <w:left w:val="single" w:sz="2" w:space="0" w:color="auto"/>
            </w:tcBorders>
            <w:tcMar>
              <w:left w:w="108" w:type="dxa"/>
              <w:right w:w="108" w:type="dxa"/>
            </w:tcMar>
            <w:vAlign w:val="bottom"/>
          </w:tcPr>
          <w:p w14:paraId="501DF4E7" w14:textId="2791BE6F" w:rsidR="00D37A89" w:rsidRPr="007E64C0" w:rsidRDefault="00D37A89" w:rsidP="00D37A89">
            <w:pPr>
              <w:rPr>
                <w:sz w:val="18"/>
                <w:szCs w:val="18"/>
              </w:rPr>
            </w:pPr>
            <w:r w:rsidRPr="007E64C0">
              <w:rPr>
                <w:sz w:val="18"/>
                <w:szCs w:val="18"/>
              </w:rPr>
              <w:t xml:space="preserve">The above Statement of Appropriation </w:t>
            </w:r>
            <w:r w:rsidR="00420AE1" w:rsidRPr="007E64C0">
              <w:rPr>
                <w:rFonts w:cs="Calibri"/>
                <w:sz w:val="18"/>
                <w:szCs w:val="18"/>
              </w:rPr>
              <w:t xml:space="preserve">is to </w:t>
            </w:r>
            <w:r w:rsidRPr="007E64C0">
              <w:rPr>
                <w:sz w:val="18"/>
                <w:szCs w:val="18"/>
              </w:rPr>
              <w:t>be read in conjunction with the accompanying notes.</w:t>
            </w:r>
          </w:p>
        </w:tc>
      </w:tr>
      <w:tr w:rsidR="00EB6844" w:rsidRPr="00633A3A" w14:paraId="76DDC3D7"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78"/>
        </w:trPr>
        <w:tc>
          <w:tcPr>
            <w:tcW w:w="1563" w:type="dxa"/>
            <w:tcBorders>
              <w:top w:val="nil"/>
              <w:left w:val="single" w:sz="2" w:space="0" w:color="auto"/>
              <w:bottom w:val="nil"/>
              <w:right w:val="single" w:sz="2" w:space="0" w:color="auto"/>
            </w:tcBorders>
          </w:tcPr>
          <w:p w14:paraId="42B77900" w14:textId="77777777" w:rsidR="00EB6844" w:rsidRPr="007E64C0" w:rsidRDefault="00EB6844" w:rsidP="00633A3A">
            <w:pPr>
              <w:tabs>
                <w:tab w:val="left" w:pos="3306"/>
              </w:tabs>
              <w:rPr>
                <w:rFonts w:cs="Calibri"/>
                <w:color w:val="7030A0"/>
                <w:sz w:val="16"/>
              </w:rPr>
            </w:pPr>
          </w:p>
        </w:tc>
        <w:tc>
          <w:tcPr>
            <w:tcW w:w="8987" w:type="dxa"/>
            <w:gridSpan w:val="6"/>
            <w:tcBorders>
              <w:top w:val="nil"/>
              <w:left w:val="single" w:sz="2" w:space="0" w:color="auto"/>
              <w:bottom w:val="nil"/>
              <w:right w:val="nil"/>
            </w:tcBorders>
          </w:tcPr>
          <w:p w14:paraId="13A9DF07" w14:textId="77777777" w:rsidR="00EB6844" w:rsidRPr="007E64C0" w:rsidRDefault="00EB6844" w:rsidP="00A81061">
            <w:pPr>
              <w:jc w:val="both"/>
              <w:rPr>
                <w:b/>
                <w:sz w:val="16"/>
              </w:rPr>
            </w:pPr>
          </w:p>
        </w:tc>
      </w:tr>
      <w:tr w:rsidR="00EB6844" w:rsidRPr="007E0503" w14:paraId="35F85CCF"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8"/>
        </w:trPr>
        <w:tc>
          <w:tcPr>
            <w:tcW w:w="1563" w:type="dxa"/>
            <w:tcBorders>
              <w:top w:val="nil"/>
              <w:left w:val="single" w:sz="2" w:space="0" w:color="auto"/>
              <w:bottom w:val="nil"/>
              <w:right w:val="single" w:sz="2" w:space="0" w:color="auto"/>
            </w:tcBorders>
          </w:tcPr>
          <w:p w14:paraId="064744CE" w14:textId="77777777" w:rsidR="00EB6844" w:rsidRPr="007E64C0" w:rsidRDefault="00EB6844" w:rsidP="00D37A89">
            <w:pPr>
              <w:tabs>
                <w:tab w:val="left" w:pos="3306"/>
              </w:tabs>
              <w:spacing w:before="40"/>
              <w:rPr>
                <w:rFonts w:cs="Calibri"/>
                <w:color w:val="7030A0"/>
                <w:sz w:val="16"/>
              </w:rPr>
            </w:pPr>
          </w:p>
        </w:tc>
        <w:tc>
          <w:tcPr>
            <w:tcW w:w="8987" w:type="dxa"/>
            <w:gridSpan w:val="6"/>
            <w:tcBorders>
              <w:top w:val="nil"/>
              <w:left w:val="single" w:sz="2" w:space="0" w:color="auto"/>
              <w:bottom w:val="nil"/>
              <w:right w:val="nil"/>
            </w:tcBorders>
            <w:vAlign w:val="bottom"/>
          </w:tcPr>
          <w:p w14:paraId="772733BA" w14:textId="06F7CBD6" w:rsidR="00EB6844" w:rsidRPr="007E64C0" w:rsidRDefault="00EB6844" w:rsidP="00A81061">
            <w:pPr>
              <w:spacing w:after="120"/>
              <w:jc w:val="both"/>
              <w:rPr>
                <w:b/>
                <w:sz w:val="18"/>
                <w:szCs w:val="18"/>
              </w:rPr>
            </w:pPr>
            <w:r w:rsidRPr="007E64C0">
              <w:rPr>
                <w:b/>
                <w:bCs/>
                <w:sz w:val="18"/>
                <w:szCs w:val="18"/>
              </w:rPr>
              <w:t>Variances between ‘202</w:t>
            </w:r>
            <w:r w:rsidR="00D50594">
              <w:rPr>
                <w:b/>
                <w:bCs/>
                <w:sz w:val="18"/>
                <w:szCs w:val="18"/>
              </w:rPr>
              <w:t>2</w:t>
            </w:r>
            <w:r w:rsidRPr="007E64C0">
              <w:rPr>
                <w:b/>
                <w:bCs/>
                <w:sz w:val="18"/>
                <w:szCs w:val="18"/>
              </w:rPr>
              <w:t>-2</w:t>
            </w:r>
            <w:r w:rsidR="00D50594">
              <w:rPr>
                <w:b/>
                <w:bCs/>
                <w:sz w:val="18"/>
                <w:szCs w:val="18"/>
              </w:rPr>
              <w:t>3</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Appropriation Drawn</w:t>
            </w:r>
            <w:r w:rsidRPr="007E64C0">
              <w:rPr>
                <w:b/>
                <w:bCs/>
                <w:sz w:val="18"/>
                <w:szCs w:val="18"/>
              </w:rPr>
              <w:t>’ and ‘202</w:t>
            </w:r>
            <w:r w:rsidR="00D50594">
              <w:rPr>
                <w:b/>
                <w:bCs/>
                <w:sz w:val="18"/>
                <w:szCs w:val="18"/>
              </w:rPr>
              <w:t>1</w:t>
            </w:r>
            <w:r w:rsidRPr="007E64C0">
              <w:rPr>
                <w:b/>
                <w:bCs/>
                <w:sz w:val="18"/>
                <w:szCs w:val="18"/>
              </w:rPr>
              <w:t>-2</w:t>
            </w:r>
            <w:r w:rsidR="00D50594">
              <w:rPr>
                <w:b/>
                <w:bCs/>
                <w:sz w:val="18"/>
                <w:szCs w:val="18"/>
              </w:rPr>
              <w:t>2</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w:t>
            </w:r>
            <w:r w:rsidRPr="007E64C0">
              <w:rPr>
                <w:b/>
                <w:bCs/>
                <w:sz w:val="18"/>
                <w:szCs w:val="18"/>
              </w:rPr>
              <w:t>Appropriation Drawn’</w:t>
            </w:r>
          </w:p>
        </w:tc>
      </w:tr>
      <w:tr w:rsidR="002A4BBE" w:rsidRPr="007E0503" w14:paraId="7115D781"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4"/>
        </w:trPr>
        <w:tc>
          <w:tcPr>
            <w:tcW w:w="1563" w:type="dxa"/>
            <w:tcBorders>
              <w:top w:val="nil"/>
              <w:left w:val="single" w:sz="2" w:space="0" w:color="auto"/>
              <w:bottom w:val="nil"/>
              <w:right w:val="single" w:sz="2" w:space="0" w:color="auto"/>
            </w:tcBorders>
          </w:tcPr>
          <w:p w14:paraId="348F08EB" w14:textId="77777777" w:rsidR="002A4BBE" w:rsidRPr="007E64C0" w:rsidRDefault="002A4BBE" w:rsidP="00D37A89">
            <w:pPr>
              <w:rPr>
                <w:rFonts w:cs="Calibri"/>
                <w:color w:val="7030A0"/>
                <w:sz w:val="16"/>
              </w:rPr>
            </w:pPr>
          </w:p>
        </w:tc>
        <w:tc>
          <w:tcPr>
            <w:tcW w:w="8987" w:type="dxa"/>
            <w:gridSpan w:val="6"/>
            <w:tcBorders>
              <w:top w:val="nil"/>
              <w:left w:val="single" w:sz="2" w:space="0" w:color="auto"/>
              <w:bottom w:val="nil"/>
              <w:right w:val="nil"/>
            </w:tcBorders>
            <w:vAlign w:val="bottom"/>
          </w:tcPr>
          <w:p w14:paraId="6E55EA99" w14:textId="6B9DE1A2" w:rsidR="002A4BBE" w:rsidRPr="007E64C0" w:rsidRDefault="00EB6844" w:rsidP="00A81061">
            <w:pPr>
              <w:jc w:val="both"/>
              <w:rPr>
                <w:sz w:val="18"/>
                <w:szCs w:val="18"/>
              </w:rPr>
            </w:pPr>
            <w:r w:rsidRPr="007E64C0">
              <w:rPr>
                <w:rFonts w:cs="Calibri"/>
                <w:sz w:val="18"/>
                <w:szCs w:val="18"/>
              </w:rPr>
              <w:t>The increase in CRP was due to the transfer of the Heritage and Environment function from ABC</w:t>
            </w:r>
            <w:r w:rsidR="00FA4CC1" w:rsidRPr="007E64C0">
              <w:rPr>
                <w:rFonts w:cs="Calibri"/>
                <w:sz w:val="18"/>
                <w:szCs w:val="18"/>
              </w:rPr>
              <w:t xml:space="preserve"> Directorate</w:t>
            </w:r>
            <w:r w:rsidRPr="007E64C0">
              <w:rPr>
                <w:rFonts w:cs="Calibri"/>
                <w:sz w:val="18"/>
                <w:szCs w:val="18"/>
              </w:rPr>
              <w:t xml:space="preserve"> to ‘</w:t>
            </w:r>
            <w:r w:rsidR="00CB5FDC" w:rsidRPr="007E64C0">
              <w:rPr>
                <w:rFonts w:cs="Calibri"/>
                <w:sz w:val="18"/>
                <w:szCs w:val="18"/>
              </w:rPr>
              <w:t xml:space="preserve">Burley Griffin </w:t>
            </w:r>
            <w:r w:rsidRPr="007E64C0">
              <w:rPr>
                <w:rFonts w:cs="Calibri"/>
                <w:sz w:val="18"/>
                <w:szCs w:val="18"/>
              </w:rPr>
              <w:t>Agency’.</w:t>
            </w:r>
            <w:r w:rsidR="00FA7C77">
              <w:rPr>
                <w:rFonts w:cs="Calibri"/>
                <w:sz w:val="18"/>
                <w:szCs w:val="18"/>
              </w:rPr>
              <w:t xml:space="preserve"> </w:t>
            </w:r>
            <w:r w:rsidRPr="00C9508B">
              <w:rPr>
                <w:rFonts w:cs="Calibri"/>
                <w:strike/>
                <w:color w:val="FF0000"/>
                <w:sz w:val="18"/>
                <w:szCs w:val="18"/>
              </w:rPr>
              <w:t>Please</w:t>
            </w:r>
            <w:r w:rsidRPr="007E64C0">
              <w:rPr>
                <w:rFonts w:cs="Calibri"/>
                <w:sz w:val="18"/>
                <w:szCs w:val="18"/>
              </w:rPr>
              <w:t xml:space="preserve"> </w:t>
            </w:r>
            <w:r w:rsidR="00D96A68">
              <w:rPr>
                <w:rFonts w:cs="Calibri"/>
                <w:sz w:val="18"/>
                <w:szCs w:val="18"/>
              </w:rPr>
              <w:t>R</w:t>
            </w:r>
            <w:r w:rsidRPr="007E64C0">
              <w:rPr>
                <w:rFonts w:cs="Calibri"/>
                <w:sz w:val="18"/>
                <w:szCs w:val="18"/>
              </w:rPr>
              <w:t xml:space="preserve">efer to Note </w:t>
            </w:r>
            <w:r w:rsidR="0093771E" w:rsidRPr="007E64C0">
              <w:rPr>
                <w:rFonts w:cs="Calibri"/>
                <w:sz w:val="18"/>
                <w:szCs w:val="18"/>
              </w:rPr>
              <w:t xml:space="preserve">30 </w:t>
            </w:r>
            <w:r w:rsidRPr="007E64C0">
              <w:rPr>
                <w:rFonts w:cs="Calibri"/>
                <w:i/>
                <w:sz w:val="18"/>
                <w:szCs w:val="18"/>
              </w:rPr>
              <w:t>Restructure of Administrative Arrangements</w:t>
            </w:r>
            <w:r w:rsidRPr="007E64C0">
              <w:rPr>
                <w:rFonts w:cs="Calibri"/>
                <w:sz w:val="18"/>
                <w:szCs w:val="18"/>
              </w:rPr>
              <w:t xml:space="preserve"> for further details.</w:t>
            </w:r>
          </w:p>
        </w:tc>
      </w:tr>
    </w:tbl>
    <w:p w14:paraId="24D465BA" w14:textId="77777777" w:rsidR="00F2614A" w:rsidRDefault="00F2614A">
      <w:r>
        <w:br w:type="page"/>
      </w:r>
    </w:p>
    <w:p w14:paraId="358908F1" w14:textId="01A1EC07" w:rsidR="00F2614A" w:rsidRPr="003E6941" w:rsidRDefault="00F2614A" w:rsidP="00F2614A">
      <w:pPr>
        <w:spacing w:line="400" w:lineRule="exact"/>
        <w:jc w:val="center"/>
        <w:rPr>
          <w:b/>
          <w:sz w:val="40"/>
          <w:szCs w:val="40"/>
        </w:rPr>
      </w:pPr>
      <w:r w:rsidRPr="003E6941">
        <w:rPr>
          <w:b/>
          <w:sz w:val="40"/>
          <w:szCs w:val="40"/>
        </w:rPr>
        <w:t>‘</w:t>
      </w:r>
      <w:r w:rsidRPr="003E6941">
        <w:rPr>
          <w:rFonts w:asciiTheme="minorHAnsi" w:hAnsiTheme="minorHAnsi" w:cstheme="minorHAnsi"/>
          <w:b/>
          <w:bCs/>
          <w:sz w:val="40"/>
          <w:szCs w:val="24"/>
        </w:rPr>
        <w:t xml:space="preserve">Burley Griffin </w:t>
      </w:r>
      <w:r w:rsidRPr="003E6941">
        <w:rPr>
          <w:b/>
          <w:sz w:val="40"/>
          <w:szCs w:val="40"/>
        </w:rPr>
        <w:t>Agency’</w:t>
      </w:r>
    </w:p>
    <w:p w14:paraId="6528D7E5" w14:textId="3D2F754B" w:rsidR="00F2614A" w:rsidRPr="003E6941" w:rsidRDefault="00F2614A" w:rsidP="00F2614A">
      <w:pPr>
        <w:spacing w:line="400" w:lineRule="exact"/>
        <w:jc w:val="center"/>
        <w:outlineLvl w:val="0"/>
        <w:rPr>
          <w:rFonts w:asciiTheme="minorHAnsi" w:hAnsiTheme="minorHAnsi" w:cstheme="minorHAnsi"/>
          <w:b/>
          <w:sz w:val="40"/>
          <w:szCs w:val="24"/>
        </w:rPr>
      </w:pPr>
      <w:bookmarkStart w:id="260" w:name="_Toc98763030"/>
      <w:bookmarkStart w:id="261" w:name="_Toc127733815"/>
      <w:bookmarkStart w:id="262" w:name="_Toc131164468"/>
      <w:bookmarkStart w:id="263" w:name="_Toc131591733"/>
      <w:bookmarkStart w:id="264" w:name="_Toc132743768"/>
      <w:r w:rsidRPr="003E6941">
        <w:rPr>
          <w:rFonts w:asciiTheme="minorHAnsi" w:hAnsiTheme="minorHAnsi" w:cstheme="minorHAnsi"/>
          <w:b/>
          <w:sz w:val="40"/>
          <w:szCs w:val="24"/>
        </w:rPr>
        <w:t xml:space="preserve">Statement of Appropriation </w:t>
      </w:r>
      <w:r w:rsidR="007B316A">
        <w:rPr>
          <w:rFonts w:asciiTheme="minorHAnsi" w:hAnsiTheme="minorHAnsi" w:cstheme="minorHAnsi"/>
          <w:b/>
          <w:sz w:val="40"/>
          <w:szCs w:val="24"/>
        </w:rPr>
        <w:t>–</w:t>
      </w:r>
      <w:r w:rsidRPr="003E6941">
        <w:rPr>
          <w:rFonts w:asciiTheme="minorHAnsi" w:hAnsiTheme="minorHAnsi" w:cstheme="minorHAnsi"/>
          <w:b/>
          <w:sz w:val="40"/>
          <w:szCs w:val="24"/>
        </w:rPr>
        <w:t xml:space="preserve"> Continued</w:t>
      </w:r>
      <w:bookmarkEnd w:id="260"/>
      <w:bookmarkEnd w:id="261"/>
      <w:bookmarkEnd w:id="262"/>
      <w:bookmarkEnd w:id="263"/>
      <w:bookmarkEnd w:id="264"/>
      <w:r w:rsidR="007B316A">
        <w:rPr>
          <w:rFonts w:asciiTheme="minorHAnsi" w:hAnsiTheme="minorHAnsi" w:cstheme="minorHAnsi"/>
          <w:b/>
          <w:sz w:val="40"/>
          <w:szCs w:val="24"/>
        </w:rPr>
        <w:t xml:space="preserve"> </w:t>
      </w:r>
    </w:p>
    <w:p w14:paraId="6AEF5DEE" w14:textId="170F71BE" w:rsidR="00F2614A" w:rsidRPr="003E6941" w:rsidRDefault="00F2614A" w:rsidP="00F2614A">
      <w:pPr>
        <w:spacing w:after="240" w:line="400" w:lineRule="exact"/>
        <w:jc w:val="center"/>
        <w:rPr>
          <w:b/>
          <w:snapToGrid w:val="0"/>
          <w:sz w:val="40"/>
          <w:szCs w:val="40"/>
        </w:rPr>
      </w:pPr>
      <w:r w:rsidRPr="003E6941">
        <w:rPr>
          <w:b/>
          <w:sz w:val="40"/>
          <w:szCs w:val="40"/>
        </w:rPr>
        <w:t>For the Year</w:t>
      </w:r>
      <w:r w:rsidRPr="003E6941">
        <w:rPr>
          <w:b/>
          <w:snapToGrid w:val="0"/>
          <w:sz w:val="40"/>
          <w:szCs w:val="40"/>
        </w:rPr>
        <w:t xml:space="preserve"> Ended 30 June </w:t>
      </w:r>
      <w:r w:rsidRPr="003E6941">
        <w:rPr>
          <w:b/>
          <w:sz w:val="40"/>
          <w:szCs w:val="40"/>
        </w:rPr>
        <w:t>202</w:t>
      </w:r>
      <w:r w:rsidR="00515DDE">
        <w:rPr>
          <w:b/>
          <w:sz w:val="40"/>
          <w:szCs w:val="40"/>
        </w:rPr>
        <w:t>3</w:t>
      </w:r>
      <w:r w:rsidRPr="003E6941">
        <w:rPr>
          <w:b/>
          <w:snapToGrid w:val="0"/>
          <w:sz w:val="40"/>
          <w:szCs w:val="40"/>
        </w:rPr>
        <w:t xml:space="preserve"> </w:t>
      </w:r>
    </w:p>
    <w:tbl>
      <w:tblPr>
        <w:tblW w:w="5003"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5244"/>
        <w:gridCol w:w="1985"/>
        <w:gridCol w:w="1758"/>
      </w:tblGrid>
      <w:tr w:rsidR="00784D00" w:rsidRPr="007E0503" w14:paraId="54AB2D95" w14:textId="77777777" w:rsidTr="004D1EC6">
        <w:trPr>
          <w:cantSplit/>
          <w:trHeight w:val="284"/>
        </w:trPr>
        <w:tc>
          <w:tcPr>
            <w:tcW w:w="1563" w:type="dxa"/>
            <w:tcBorders>
              <w:top w:val="nil"/>
              <w:left w:val="single" w:sz="2" w:space="0" w:color="auto"/>
              <w:bottom w:val="nil"/>
              <w:right w:val="single" w:sz="2" w:space="0" w:color="auto"/>
            </w:tcBorders>
          </w:tcPr>
          <w:p w14:paraId="5D084EA1" w14:textId="4B99DDAA" w:rsidR="00784D00" w:rsidRPr="007E64C0" w:rsidRDefault="00784D00" w:rsidP="00784D00">
            <w:pPr>
              <w:rPr>
                <w:rFonts w:cs="Calibri"/>
                <w:color w:val="7030A0"/>
                <w:szCs w:val="22"/>
              </w:rPr>
            </w:pPr>
            <w:r w:rsidRPr="007E64C0">
              <w:rPr>
                <w:rFonts w:cs="Calibri"/>
                <w:b/>
                <w:color w:val="7030A0"/>
                <w:szCs w:val="22"/>
              </w:rPr>
              <w:t>Reference</w:t>
            </w:r>
          </w:p>
        </w:tc>
        <w:tc>
          <w:tcPr>
            <w:tcW w:w="8987" w:type="dxa"/>
            <w:gridSpan w:val="3"/>
            <w:tcBorders>
              <w:top w:val="nil"/>
              <w:left w:val="single" w:sz="2" w:space="0" w:color="auto"/>
              <w:bottom w:val="nil"/>
              <w:right w:val="nil"/>
            </w:tcBorders>
            <w:vAlign w:val="bottom"/>
          </w:tcPr>
          <w:p w14:paraId="1055097E" w14:textId="77777777" w:rsidR="00784D00" w:rsidRDefault="00784D00" w:rsidP="00784D00">
            <w:pPr>
              <w:rPr>
                <w:b/>
                <w:bCs/>
                <w:sz w:val="18"/>
                <w:szCs w:val="18"/>
              </w:rPr>
            </w:pPr>
            <w:r w:rsidRPr="007E64C0">
              <w:rPr>
                <w:b/>
                <w:bCs/>
                <w:sz w:val="18"/>
                <w:szCs w:val="18"/>
              </w:rPr>
              <w:t>Variances between ‘Original Budget’, ‘Total Appropriated’ and ‘Appropriation Drawn ‘</w:t>
            </w:r>
          </w:p>
          <w:p w14:paraId="22BD5679" w14:textId="7BB2AAF2" w:rsidR="00552ECB" w:rsidRPr="007E64C0" w:rsidRDefault="00552ECB" w:rsidP="00784D00">
            <w:pPr>
              <w:rPr>
                <w:b/>
                <w:bCs/>
                <w:sz w:val="18"/>
                <w:szCs w:val="18"/>
              </w:rPr>
            </w:pPr>
          </w:p>
        </w:tc>
      </w:tr>
      <w:tr w:rsidR="00784D00" w:rsidRPr="007E0503" w14:paraId="290D1578" w14:textId="77777777" w:rsidTr="004D1EC6">
        <w:trPr>
          <w:cantSplit/>
          <w:trHeight w:val="284"/>
        </w:trPr>
        <w:tc>
          <w:tcPr>
            <w:tcW w:w="1563" w:type="dxa"/>
            <w:tcBorders>
              <w:top w:val="nil"/>
              <w:left w:val="single" w:sz="2" w:space="0" w:color="auto"/>
              <w:bottom w:val="nil"/>
              <w:right w:val="single" w:sz="2" w:space="0" w:color="auto"/>
            </w:tcBorders>
          </w:tcPr>
          <w:p w14:paraId="55BFA381"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3D97D3B" w14:textId="77777777" w:rsidR="00784D00" w:rsidRPr="007E64C0" w:rsidRDefault="00784D00" w:rsidP="00784D00">
            <w:pPr>
              <w:rPr>
                <w:sz w:val="18"/>
                <w:szCs w:val="18"/>
              </w:rPr>
            </w:pPr>
          </w:p>
        </w:tc>
        <w:tc>
          <w:tcPr>
            <w:tcW w:w="1985" w:type="dxa"/>
            <w:tcBorders>
              <w:top w:val="nil"/>
              <w:left w:val="nil"/>
              <w:bottom w:val="nil"/>
              <w:right w:val="nil"/>
            </w:tcBorders>
            <w:vAlign w:val="bottom"/>
          </w:tcPr>
          <w:p w14:paraId="19A5F410" w14:textId="59F168D6" w:rsidR="00784D00" w:rsidRPr="007E64C0" w:rsidRDefault="00784D00" w:rsidP="00784D00">
            <w:pPr>
              <w:jc w:val="center"/>
              <w:rPr>
                <w:b/>
                <w:bCs/>
                <w:sz w:val="18"/>
                <w:szCs w:val="18"/>
                <w:lang w:eastAsia="en-AU"/>
              </w:rPr>
            </w:pPr>
            <w:r w:rsidRPr="007E64C0">
              <w:rPr>
                <w:b/>
                <w:bCs/>
                <w:sz w:val="18"/>
                <w:szCs w:val="18"/>
                <w:lang w:eastAsia="en-AU"/>
              </w:rPr>
              <w:t>Controlled Recurrent Payments (CRP)</w:t>
            </w:r>
          </w:p>
        </w:tc>
        <w:tc>
          <w:tcPr>
            <w:tcW w:w="1758" w:type="dxa"/>
            <w:tcBorders>
              <w:top w:val="nil"/>
              <w:left w:val="nil"/>
              <w:bottom w:val="nil"/>
              <w:right w:val="nil"/>
            </w:tcBorders>
            <w:vAlign w:val="bottom"/>
          </w:tcPr>
          <w:p w14:paraId="33F06986" w14:textId="40FD2074" w:rsidR="00784D00" w:rsidRPr="007E64C0" w:rsidRDefault="00784D00" w:rsidP="00784D00">
            <w:pPr>
              <w:jc w:val="center"/>
              <w:rPr>
                <w:b/>
                <w:bCs/>
                <w:sz w:val="18"/>
                <w:szCs w:val="18"/>
                <w:lang w:eastAsia="en-AU"/>
              </w:rPr>
            </w:pPr>
            <w:r w:rsidRPr="007E64C0">
              <w:rPr>
                <w:b/>
                <w:bCs/>
                <w:sz w:val="18"/>
                <w:szCs w:val="18"/>
                <w:lang w:eastAsia="en-AU"/>
              </w:rPr>
              <w:t>Capital Injections</w:t>
            </w:r>
            <w:r w:rsidR="00FA7C77">
              <w:rPr>
                <w:b/>
                <w:bCs/>
                <w:sz w:val="18"/>
                <w:szCs w:val="18"/>
                <w:lang w:eastAsia="en-AU"/>
              </w:rPr>
              <w:t xml:space="preserve">      </w:t>
            </w:r>
            <w:r w:rsidRPr="007E64C0">
              <w:rPr>
                <w:b/>
                <w:bCs/>
                <w:sz w:val="18"/>
                <w:szCs w:val="18"/>
                <w:lang w:eastAsia="en-AU"/>
              </w:rPr>
              <w:t xml:space="preserve"> (CI)</w:t>
            </w:r>
          </w:p>
        </w:tc>
      </w:tr>
      <w:tr w:rsidR="00784D00" w:rsidRPr="007E0503" w14:paraId="6189C9F4" w14:textId="77777777" w:rsidTr="004D1EC6">
        <w:trPr>
          <w:cantSplit/>
          <w:trHeight w:val="284"/>
        </w:trPr>
        <w:tc>
          <w:tcPr>
            <w:tcW w:w="1563" w:type="dxa"/>
            <w:tcBorders>
              <w:top w:val="nil"/>
              <w:left w:val="single" w:sz="2" w:space="0" w:color="auto"/>
              <w:bottom w:val="nil"/>
              <w:right w:val="single" w:sz="2" w:space="0" w:color="auto"/>
            </w:tcBorders>
          </w:tcPr>
          <w:p w14:paraId="1B0279A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9010D86" w14:textId="20B0BE04" w:rsidR="00784D00" w:rsidRPr="007E64C0" w:rsidRDefault="00784D00" w:rsidP="00784D00">
            <w:pPr>
              <w:rPr>
                <w:sz w:val="18"/>
                <w:szCs w:val="18"/>
              </w:rPr>
            </w:pPr>
            <w:r w:rsidRPr="00A225E0">
              <w:rPr>
                <w:b/>
                <w:bCs/>
                <w:sz w:val="18"/>
                <w:szCs w:val="18"/>
                <w:lang w:eastAsia="en-AU"/>
              </w:rPr>
              <w:t>Reconciliation of Appropriation for 202</w:t>
            </w:r>
            <w:r w:rsidR="00515DDE" w:rsidRPr="00A225E0">
              <w:rPr>
                <w:b/>
                <w:bCs/>
                <w:sz w:val="18"/>
                <w:szCs w:val="18"/>
                <w:lang w:eastAsia="en-AU"/>
              </w:rPr>
              <w:t>2</w:t>
            </w:r>
            <w:r w:rsidRPr="00A225E0">
              <w:rPr>
                <w:b/>
                <w:bCs/>
                <w:sz w:val="18"/>
                <w:szCs w:val="18"/>
                <w:lang w:eastAsia="en-AU"/>
              </w:rPr>
              <w:t>-2</w:t>
            </w:r>
            <w:r w:rsidR="00515DDE" w:rsidRPr="00A225E0">
              <w:rPr>
                <w:b/>
                <w:bCs/>
                <w:sz w:val="18"/>
                <w:szCs w:val="18"/>
                <w:lang w:eastAsia="en-AU"/>
              </w:rPr>
              <w:t>3</w:t>
            </w:r>
          </w:p>
        </w:tc>
        <w:tc>
          <w:tcPr>
            <w:tcW w:w="1985" w:type="dxa"/>
            <w:tcBorders>
              <w:top w:val="nil"/>
              <w:left w:val="nil"/>
              <w:bottom w:val="nil"/>
              <w:right w:val="nil"/>
            </w:tcBorders>
            <w:vAlign w:val="bottom"/>
          </w:tcPr>
          <w:p w14:paraId="4870A712" w14:textId="38E4E39F" w:rsidR="00784D00" w:rsidRPr="007E64C0" w:rsidRDefault="00784D00" w:rsidP="00784D00">
            <w:pPr>
              <w:jc w:val="center"/>
              <w:rPr>
                <w:sz w:val="18"/>
                <w:szCs w:val="18"/>
              </w:rPr>
            </w:pPr>
            <w:r w:rsidRPr="007E64C0">
              <w:rPr>
                <w:b/>
                <w:bCs/>
                <w:sz w:val="18"/>
                <w:szCs w:val="18"/>
                <w:lang w:eastAsia="en-AU"/>
              </w:rPr>
              <w:t>$’000</w:t>
            </w:r>
          </w:p>
        </w:tc>
        <w:tc>
          <w:tcPr>
            <w:tcW w:w="1758" w:type="dxa"/>
            <w:tcBorders>
              <w:top w:val="nil"/>
              <w:left w:val="nil"/>
              <w:bottom w:val="nil"/>
              <w:right w:val="nil"/>
            </w:tcBorders>
            <w:vAlign w:val="bottom"/>
          </w:tcPr>
          <w:p w14:paraId="24C62BC4" w14:textId="09054191" w:rsidR="00784D00" w:rsidRPr="007E64C0" w:rsidRDefault="00784D00" w:rsidP="00784D00">
            <w:pPr>
              <w:jc w:val="center"/>
              <w:rPr>
                <w:sz w:val="18"/>
                <w:szCs w:val="18"/>
              </w:rPr>
            </w:pPr>
            <w:r w:rsidRPr="007E64C0">
              <w:rPr>
                <w:b/>
                <w:bCs/>
                <w:sz w:val="18"/>
                <w:szCs w:val="18"/>
                <w:lang w:eastAsia="en-AU"/>
              </w:rPr>
              <w:t>$’000</w:t>
            </w:r>
          </w:p>
        </w:tc>
      </w:tr>
      <w:tr w:rsidR="00784D00" w:rsidRPr="007E0503" w14:paraId="4DD9F02A" w14:textId="77777777" w:rsidTr="004D1EC6">
        <w:trPr>
          <w:cantSplit/>
          <w:trHeight w:val="284"/>
        </w:trPr>
        <w:tc>
          <w:tcPr>
            <w:tcW w:w="1563" w:type="dxa"/>
            <w:tcBorders>
              <w:top w:val="nil"/>
              <w:left w:val="single" w:sz="2" w:space="0" w:color="auto"/>
              <w:bottom w:val="nil"/>
              <w:right w:val="single" w:sz="2" w:space="0" w:color="auto"/>
            </w:tcBorders>
          </w:tcPr>
          <w:p w14:paraId="0E190AF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1C6DAC1" w14:textId="7510EFC6" w:rsidR="00784D00" w:rsidRPr="007E64C0" w:rsidRDefault="00784D00" w:rsidP="00784D00">
            <w:pPr>
              <w:rPr>
                <w:sz w:val="18"/>
                <w:szCs w:val="18"/>
              </w:rPr>
            </w:pPr>
            <w:r w:rsidRPr="007E64C0">
              <w:rPr>
                <w:sz w:val="18"/>
                <w:szCs w:val="18"/>
                <w:lang w:eastAsia="en-AU"/>
              </w:rPr>
              <w:t>Original Appropriation</w:t>
            </w:r>
          </w:p>
        </w:tc>
        <w:tc>
          <w:tcPr>
            <w:tcW w:w="1985" w:type="dxa"/>
            <w:tcBorders>
              <w:top w:val="nil"/>
              <w:left w:val="nil"/>
              <w:bottom w:val="nil"/>
              <w:right w:val="nil"/>
            </w:tcBorders>
            <w:vAlign w:val="bottom"/>
          </w:tcPr>
          <w:p w14:paraId="74C3185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7B88E584" w14:textId="77777777" w:rsidR="00784D00" w:rsidRPr="007E64C0" w:rsidRDefault="00784D00" w:rsidP="00784D00">
            <w:pPr>
              <w:rPr>
                <w:sz w:val="18"/>
                <w:szCs w:val="18"/>
              </w:rPr>
            </w:pPr>
          </w:p>
        </w:tc>
      </w:tr>
      <w:tr w:rsidR="00784D00" w:rsidRPr="007E0503" w14:paraId="41EB1684" w14:textId="77777777" w:rsidTr="004D1EC6">
        <w:trPr>
          <w:cantSplit/>
          <w:trHeight w:val="284"/>
        </w:trPr>
        <w:tc>
          <w:tcPr>
            <w:tcW w:w="1563" w:type="dxa"/>
            <w:tcBorders>
              <w:top w:val="nil"/>
              <w:left w:val="single" w:sz="2" w:space="0" w:color="auto"/>
              <w:bottom w:val="nil"/>
              <w:right w:val="single" w:sz="2" w:space="0" w:color="auto"/>
            </w:tcBorders>
          </w:tcPr>
          <w:p w14:paraId="1D774B3C"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048DF9B8" w14:textId="460179D0" w:rsidR="00784D00" w:rsidRPr="007E64C0" w:rsidRDefault="00784D00" w:rsidP="00784D00">
            <w:pPr>
              <w:rPr>
                <w:sz w:val="18"/>
                <w:szCs w:val="18"/>
              </w:rPr>
            </w:pPr>
            <w:r w:rsidRPr="007E64C0">
              <w:rPr>
                <w:sz w:val="18"/>
                <w:szCs w:val="18"/>
                <w:lang w:eastAsia="en-AU"/>
              </w:rPr>
              <w:t>Supplementary Appropriation (</w:t>
            </w:r>
            <w:r w:rsidR="0081476E" w:rsidRPr="007E64C0">
              <w:rPr>
                <w:rFonts w:cs="Calibri"/>
                <w:sz w:val="18"/>
                <w:szCs w:val="18"/>
              </w:rPr>
              <w:t>Financial Management Act</w:t>
            </w:r>
            <w:r w:rsidR="0081476E" w:rsidRPr="007E64C0">
              <w:rPr>
                <w:rFonts w:cs="Calibri"/>
                <w:i/>
                <w:iCs/>
                <w:sz w:val="18"/>
                <w:szCs w:val="18"/>
              </w:rPr>
              <w:t xml:space="preserve"> </w:t>
            </w:r>
            <w:r w:rsidR="0081476E" w:rsidRPr="007E64C0">
              <w:rPr>
                <w:sz w:val="18"/>
                <w:szCs w:val="18"/>
                <w:lang w:eastAsia="en-AU"/>
              </w:rPr>
              <w:t>(</w:t>
            </w:r>
            <w:r w:rsidRPr="007E64C0">
              <w:rPr>
                <w:sz w:val="18"/>
                <w:szCs w:val="18"/>
                <w:lang w:eastAsia="en-AU"/>
              </w:rPr>
              <w:t>FMA</w:t>
            </w:r>
            <w:r w:rsidR="0081476E" w:rsidRPr="007E64C0">
              <w:rPr>
                <w:sz w:val="18"/>
                <w:szCs w:val="18"/>
                <w:lang w:eastAsia="en-AU"/>
              </w:rPr>
              <w:t>)</w:t>
            </w:r>
            <w:r w:rsidRPr="007E64C0">
              <w:rPr>
                <w:sz w:val="18"/>
                <w:szCs w:val="18"/>
                <w:lang w:eastAsia="en-AU"/>
              </w:rPr>
              <w:t xml:space="preserve"> s.13)</w:t>
            </w:r>
          </w:p>
        </w:tc>
        <w:tc>
          <w:tcPr>
            <w:tcW w:w="1985" w:type="dxa"/>
            <w:tcBorders>
              <w:top w:val="nil"/>
              <w:left w:val="nil"/>
              <w:bottom w:val="nil"/>
              <w:right w:val="nil"/>
            </w:tcBorders>
            <w:vAlign w:val="bottom"/>
          </w:tcPr>
          <w:p w14:paraId="55B1AECE"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1C8C0010" w14:textId="77777777" w:rsidR="00784D00" w:rsidRPr="007E64C0" w:rsidRDefault="00784D00" w:rsidP="00784D00">
            <w:pPr>
              <w:rPr>
                <w:sz w:val="18"/>
                <w:szCs w:val="18"/>
              </w:rPr>
            </w:pPr>
          </w:p>
        </w:tc>
      </w:tr>
      <w:tr w:rsidR="00784D00" w:rsidRPr="007E0503" w14:paraId="3A2DF42D" w14:textId="77777777" w:rsidTr="004D1EC6">
        <w:trPr>
          <w:cantSplit/>
          <w:trHeight w:val="284"/>
        </w:trPr>
        <w:tc>
          <w:tcPr>
            <w:tcW w:w="1563" w:type="dxa"/>
            <w:tcBorders>
              <w:top w:val="nil"/>
              <w:left w:val="single" w:sz="2" w:space="0" w:color="auto"/>
              <w:bottom w:val="nil"/>
              <w:right w:val="single" w:sz="2" w:space="0" w:color="auto"/>
            </w:tcBorders>
          </w:tcPr>
          <w:p w14:paraId="5044D4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A0AC84" w14:textId="568F935F" w:rsidR="00784D00" w:rsidRPr="007E64C0" w:rsidRDefault="00784D00" w:rsidP="00784D00">
            <w:pPr>
              <w:rPr>
                <w:sz w:val="18"/>
                <w:szCs w:val="18"/>
              </w:rPr>
            </w:pPr>
            <w:r w:rsidRPr="007E64C0">
              <w:rPr>
                <w:sz w:val="18"/>
                <w:szCs w:val="18"/>
                <w:lang w:eastAsia="en-AU"/>
              </w:rPr>
              <w:t xml:space="preserve">Transfer of Appropriation from CRP to </w:t>
            </w:r>
            <w:r w:rsidR="00A2734A" w:rsidRPr="007E64C0">
              <w:rPr>
                <w:sz w:val="18"/>
                <w:szCs w:val="18"/>
                <w:lang w:eastAsia="en-AU"/>
              </w:rPr>
              <w:t>Expenses on Behalf of the Territory (E</w:t>
            </w:r>
            <w:r w:rsidRPr="007E64C0">
              <w:rPr>
                <w:sz w:val="18"/>
                <w:szCs w:val="18"/>
                <w:lang w:eastAsia="en-AU"/>
              </w:rPr>
              <w:t>BT</w:t>
            </w:r>
            <w:r w:rsidR="00A2734A" w:rsidRPr="007E64C0">
              <w:rPr>
                <w:sz w:val="18"/>
                <w:szCs w:val="18"/>
                <w:lang w:eastAsia="en-AU"/>
              </w:rPr>
              <w:t>)</w:t>
            </w:r>
            <w:r w:rsidRPr="007E64C0">
              <w:rPr>
                <w:sz w:val="18"/>
                <w:szCs w:val="18"/>
                <w:lang w:eastAsia="en-AU"/>
              </w:rPr>
              <w:t xml:space="preserve"> (FMA s.14)</w:t>
            </w:r>
          </w:p>
        </w:tc>
        <w:tc>
          <w:tcPr>
            <w:tcW w:w="1985" w:type="dxa"/>
            <w:tcBorders>
              <w:top w:val="nil"/>
              <w:left w:val="nil"/>
              <w:bottom w:val="nil"/>
              <w:right w:val="nil"/>
            </w:tcBorders>
            <w:vAlign w:val="bottom"/>
          </w:tcPr>
          <w:p w14:paraId="5E074DD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9415385" w14:textId="77777777" w:rsidR="00784D00" w:rsidRPr="007E64C0" w:rsidRDefault="00784D00" w:rsidP="00784D00">
            <w:pPr>
              <w:rPr>
                <w:sz w:val="18"/>
                <w:szCs w:val="18"/>
              </w:rPr>
            </w:pPr>
          </w:p>
        </w:tc>
      </w:tr>
      <w:tr w:rsidR="00784D00" w:rsidRPr="007E0503" w14:paraId="4DD6B375" w14:textId="77777777" w:rsidTr="004D1EC6">
        <w:trPr>
          <w:cantSplit/>
          <w:trHeight w:val="284"/>
        </w:trPr>
        <w:tc>
          <w:tcPr>
            <w:tcW w:w="1563" w:type="dxa"/>
            <w:tcBorders>
              <w:top w:val="nil"/>
              <w:left w:val="single" w:sz="2" w:space="0" w:color="auto"/>
              <w:bottom w:val="nil"/>
              <w:right w:val="single" w:sz="2" w:space="0" w:color="auto"/>
            </w:tcBorders>
          </w:tcPr>
          <w:p w14:paraId="438F70E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0EB4BB8" w14:textId="3137285E" w:rsidR="00784D00" w:rsidRPr="007E64C0" w:rsidRDefault="00784D00" w:rsidP="00784D00">
            <w:pPr>
              <w:rPr>
                <w:sz w:val="18"/>
                <w:szCs w:val="18"/>
              </w:rPr>
            </w:pPr>
            <w:r w:rsidRPr="007E64C0">
              <w:rPr>
                <w:sz w:val="18"/>
                <w:szCs w:val="18"/>
                <w:lang w:eastAsia="en-AU"/>
              </w:rPr>
              <w:t>Transfer of Appropriation from CI to CRP (FMA s.14A)</w:t>
            </w:r>
          </w:p>
        </w:tc>
        <w:tc>
          <w:tcPr>
            <w:tcW w:w="1985" w:type="dxa"/>
            <w:tcBorders>
              <w:top w:val="nil"/>
              <w:left w:val="nil"/>
              <w:bottom w:val="nil"/>
              <w:right w:val="nil"/>
            </w:tcBorders>
            <w:vAlign w:val="bottom"/>
          </w:tcPr>
          <w:p w14:paraId="0DC4D11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29589DD" w14:textId="77777777" w:rsidR="00784D00" w:rsidRPr="007E64C0" w:rsidRDefault="00784D00" w:rsidP="00784D00">
            <w:pPr>
              <w:rPr>
                <w:sz w:val="18"/>
                <w:szCs w:val="18"/>
              </w:rPr>
            </w:pPr>
          </w:p>
        </w:tc>
      </w:tr>
      <w:tr w:rsidR="00784D00" w:rsidRPr="007E0503" w14:paraId="09D1C989" w14:textId="77777777" w:rsidTr="004D1EC6">
        <w:trPr>
          <w:cantSplit/>
          <w:trHeight w:val="284"/>
        </w:trPr>
        <w:tc>
          <w:tcPr>
            <w:tcW w:w="1563" w:type="dxa"/>
            <w:tcBorders>
              <w:top w:val="nil"/>
              <w:left w:val="single" w:sz="2" w:space="0" w:color="auto"/>
              <w:bottom w:val="nil"/>
              <w:right w:val="single" w:sz="2" w:space="0" w:color="auto"/>
            </w:tcBorders>
          </w:tcPr>
          <w:p w14:paraId="5B46B52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2A01400" w14:textId="3B5F17BB" w:rsidR="00784D00" w:rsidRPr="007E64C0" w:rsidRDefault="00784D00" w:rsidP="00784D00">
            <w:pPr>
              <w:rPr>
                <w:sz w:val="18"/>
                <w:szCs w:val="18"/>
              </w:rPr>
            </w:pPr>
            <w:r w:rsidRPr="007E64C0">
              <w:rPr>
                <w:sz w:val="18"/>
                <w:szCs w:val="18"/>
                <w:lang w:eastAsia="en-AU"/>
              </w:rPr>
              <w:t>Transfer of Appropriation from EBT to CRP (FMA s.15A)</w:t>
            </w:r>
          </w:p>
        </w:tc>
        <w:tc>
          <w:tcPr>
            <w:tcW w:w="1985" w:type="dxa"/>
            <w:tcBorders>
              <w:top w:val="nil"/>
              <w:left w:val="nil"/>
              <w:bottom w:val="nil"/>
              <w:right w:val="nil"/>
            </w:tcBorders>
            <w:vAlign w:val="bottom"/>
          </w:tcPr>
          <w:p w14:paraId="122C096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3E70D615" w14:textId="77777777" w:rsidR="00784D00" w:rsidRPr="007E64C0" w:rsidRDefault="00784D00" w:rsidP="00784D00">
            <w:pPr>
              <w:rPr>
                <w:sz w:val="18"/>
                <w:szCs w:val="18"/>
              </w:rPr>
            </w:pPr>
          </w:p>
        </w:tc>
      </w:tr>
      <w:tr w:rsidR="00784D00" w:rsidRPr="007E0503" w14:paraId="5885C29C" w14:textId="77777777" w:rsidTr="004D1EC6">
        <w:trPr>
          <w:cantSplit/>
          <w:trHeight w:val="284"/>
        </w:trPr>
        <w:tc>
          <w:tcPr>
            <w:tcW w:w="1563" w:type="dxa"/>
            <w:tcBorders>
              <w:top w:val="nil"/>
              <w:left w:val="single" w:sz="2" w:space="0" w:color="auto"/>
              <w:bottom w:val="nil"/>
              <w:right w:val="single" w:sz="2" w:space="0" w:color="auto"/>
            </w:tcBorders>
          </w:tcPr>
          <w:p w14:paraId="778740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AC9FFAD" w14:textId="47BC1085" w:rsidR="00784D00" w:rsidRPr="007E64C0" w:rsidRDefault="00784D00" w:rsidP="00784D00">
            <w:pPr>
              <w:rPr>
                <w:sz w:val="18"/>
                <w:szCs w:val="18"/>
              </w:rPr>
            </w:pPr>
            <w:r w:rsidRPr="007E64C0">
              <w:rPr>
                <w:sz w:val="18"/>
                <w:szCs w:val="18"/>
                <w:lang w:eastAsia="en-AU"/>
              </w:rPr>
              <w:t>Administrative Arrangements Transfer (FMA s.16)</w:t>
            </w:r>
            <w:r w:rsidRPr="007E64C0">
              <w:rPr>
                <w:sz w:val="18"/>
                <w:szCs w:val="18"/>
                <w:vertAlign w:val="superscript"/>
                <w:lang w:eastAsia="en-AU"/>
              </w:rPr>
              <w:footnoteReference w:id="2"/>
            </w:r>
          </w:p>
        </w:tc>
        <w:tc>
          <w:tcPr>
            <w:tcW w:w="1985" w:type="dxa"/>
            <w:tcBorders>
              <w:top w:val="nil"/>
              <w:left w:val="nil"/>
              <w:bottom w:val="nil"/>
              <w:right w:val="nil"/>
            </w:tcBorders>
            <w:vAlign w:val="bottom"/>
          </w:tcPr>
          <w:p w14:paraId="5262520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0F0FF7B" w14:textId="77777777" w:rsidR="00784D00" w:rsidRPr="007E64C0" w:rsidRDefault="00784D00" w:rsidP="00784D00">
            <w:pPr>
              <w:rPr>
                <w:sz w:val="18"/>
                <w:szCs w:val="18"/>
              </w:rPr>
            </w:pPr>
          </w:p>
        </w:tc>
      </w:tr>
      <w:tr w:rsidR="00784D00" w:rsidRPr="007E0503" w14:paraId="17340393" w14:textId="77777777" w:rsidTr="004D1EC6">
        <w:trPr>
          <w:cantSplit/>
          <w:trHeight w:val="284"/>
        </w:trPr>
        <w:tc>
          <w:tcPr>
            <w:tcW w:w="1563" w:type="dxa"/>
            <w:tcBorders>
              <w:top w:val="nil"/>
              <w:left w:val="single" w:sz="2" w:space="0" w:color="auto"/>
              <w:bottom w:val="nil"/>
              <w:right w:val="single" w:sz="2" w:space="0" w:color="auto"/>
            </w:tcBorders>
          </w:tcPr>
          <w:p w14:paraId="18A567A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C865CAB" w14:textId="204CF1FD" w:rsidR="00784D00" w:rsidRPr="007E64C0" w:rsidRDefault="00784D00" w:rsidP="00784D00">
            <w:pPr>
              <w:rPr>
                <w:sz w:val="18"/>
                <w:szCs w:val="18"/>
              </w:rPr>
            </w:pPr>
            <w:r w:rsidRPr="007E64C0">
              <w:rPr>
                <w:sz w:val="18"/>
                <w:szCs w:val="18"/>
                <w:lang w:eastAsia="en-AU"/>
              </w:rPr>
              <w:t>Appropriation for accrued employee entitlements (FMA s.16A)</w:t>
            </w:r>
          </w:p>
        </w:tc>
        <w:tc>
          <w:tcPr>
            <w:tcW w:w="1985" w:type="dxa"/>
            <w:tcBorders>
              <w:top w:val="nil"/>
              <w:left w:val="nil"/>
              <w:bottom w:val="nil"/>
              <w:right w:val="nil"/>
            </w:tcBorders>
            <w:vAlign w:val="bottom"/>
          </w:tcPr>
          <w:p w14:paraId="699DCE4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65FF88E7" w14:textId="77777777" w:rsidR="00784D00" w:rsidRPr="007E64C0" w:rsidRDefault="00784D00" w:rsidP="00784D00">
            <w:pPr>
              <w:rPr>
                <w:sz w:val="18"/>
                <w:szCs w:val="18"/>
              </w:rPr>
            </w:pPr>
          </w:p>
        </w:tc>
      </w:tr>
      <w:tr w:rsidR="00784D00" w:rsidRPr="007E0503" w14:paraId="730385A2" w14:textId="77777777" w:rsidTr="004D1EC6">
        <w:trPr>
          <w:cantSplit/>
          <w:trHeight w:val="284"/>
        </w:trPr>
        <w:tc>
          <w:tcPr>
            <w:tcW w:w="1563" w:type="dxa"/>
            <w:tcBorders>
              <w:top w:val="nil"/>
              <w:left w:val="single" w:sz="2" w:space="0" w:color="auto"/>
              <w:bottom w:val="nil"/>
              <w:right w:val="single" w:sz="2" w:space="0" w:color="auto"/>
            </w:tcBorders>
          </w:tcPr>
          <w:p w14:paraId="192FCDCB"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59F69B84" w14:textId="2336D5BE" w:rsidR="00784D00" w:rsidRPr="007E64C0" w:rsidRDefault="00784D00" w:rsidP="00784D00">
            <w:pPr>
              <w:rPr>
                <w:sz w:val="18"/>
                <w:szCs w:val="18"/>
              </w:rPr>
            </w:pPr>
            <w:r w:rsidRPr="007E64C0">
              <w:rPr>
                <w:sz w:val="18"/>
                <w:szCs w:val="18"/>
                <w:lang w:eastAsia="en-AU"/>
              </w:rPr>
              <w:t>Rollover of Undisbursed Appropriation (FMA s.16B)</w:t>
            </w:r>
            <w:r w:rsidR="00FA7C77">
              <w:rPr>
                <w:sz w:val="18"/>
                <w:szCs w:val="18"/>
                <w:lang w:eastAsia="en-AU"/>
              </w:rPr>
              <w:t xml:space="preserve">         </w:t>
            </w:r>
            <w:r w:rsidRPr="007E64C0">
              <w:rPr>
                <w:sz w:val="18"/>
                <w:szCs w:val="18"/>
                <w:lang w:eastAsia="en-AU"/>
              </w:rPr>
              <w:t xml:space="preserve"> </w:t>
            </w:r>
          </w:p>
        </w:tc>
        <w:tc>
          <w:tcPr>
            <w:tcW w:w="1985" w:type="dxa"/>
            <w:tcBorders>
              <w:top w:val="nil"/>
              <w:left w:val="nil"/>
              <w:bottom w:val="nil"/>
              <w:right w:val="nil"/>
            </w:tcBorders>
            <w:vAlign w:val="bottom"/>
          </w:tcPr>
          <w:p w14:paraId="64B90EB0"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A7559D2" w14:textId="77777777" w:rsidR="00784D00" w:rsidRPr="007E64C0" w:rsidRDefault="00784D00" w:rsidP="00784D00">
            <w:pPr>
              <w:rPr>
                <w:sz w:val="18"/>
                <w:szCs w:val="18"/>
              </w:rPr>
            </w:pPr>
          </w:p>
        </w:tc>
      </w:tr>
      <w:tr w:rsidR="00784D00" w:rsidRPr="007E0503" w14:paraId="4FB77436" w14:textId="77777777" w:rsidTr="00A225E0">
        <w:trPr>
          <w:cantSplit/>
          <w:trHeight w:val="284"/>
        </w:trPr>
        <w:tc>
          <w:tcPr>
            <w:tcW w:w="1563" w:type="dxa"/>
            <w:tcBorders>
              <w:top w:val="nil"/>
              <w:left w:val="single" w:sz="2" w:space="0" w:color="auto"/>
              <w:bottom w:val="nil"/>
              <w:right w:val="single" w:sz="2" w:space="0" w:color="auto"/>
            </w:tcBorders>
          </w:tcPr>
          <w:p w14:paraId="191DC2D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5C7F112" w14:textId="5506E8A8" w:rsidR="00784D00" w:rsidRPr="007E64C0" w:rsidRDefault="00784D00" w:rsidP="00784D00">
            <w:pPr>
              <w:rPr>
                <w:sz w:val="18"/>
                <w:szCs w:val="18"/>
              </w:rPr>
            </w:pPr>
            <w:r w:rsidRPr="007E64C0">
              <w:rPr>
                <w:sz w:val="18"/>
                <w:szCs w:val="18"/>
                <w:lang w:eastAsia="en-AU"/>
              </w:rPr>
              <w:t>Variation of appropriations for Commonwealth grants (FMA s.17)</w:t>
            </w:r>
          </w:p>
        </w:tc>
        <w:tc>
          <w:tcPr>
            <w:tcW w:w="1985" w:type="dxa"/>
            <w:tcBorders>
              <w:top w:val="nil"/>
              <w:left w:val="nil"/>
              <w:bottom w:val="nil"/>
              <w:right w:val="nil"/>
            </w:tcBorders>
            <w:vAlign w:val="bottom"/>
          </w:tcPr>
          <w:p w14:paraId="0277FFE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0A11BE1" w14:textId="77777777" w:rsidR="00784D00" w:rsidRPr="007E64C0" w:rsidRDefault="00784D00" w:rsidP="00784D00">
            <w:pPr>
              <w:rPr>
                <w:sz w:val="18"/>
                <w:szCs w:val="18"/>
              </w:rPr>
            </w:pPr>
          </w:p>
        </w:tc>
      </w:tr>
      <w:tr w:rsidR="00784D00" w:rsidRPr="007E0503" w14:paraId="2D533F3B" w14:textId="77777777" w:rsidTr="00A225E0">
        <w:trPr>
          <w:cantSplit/>
          <w:trHeight w:val="284"/>
        </w:trPr>
        <w:tc>
          <w:tcPr>
            <w:tcW w:w="1563" w:type="dxa"/>
            <w:tcBorders>
              <w:top w:val="nil"/>
              <w:left w:val="single" w:sz="2" w:space="0" w:color="auto"/>
              <w:bottom w:val="nil"/>
              <w:right w:val="single" w:sz="2" w:space="0" w:color="auto"/>
            </w:tcBorders>
          </w:tcPr>
          <w:p w14:paraId="3F220479"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7126B9A" w14:textId="26F5624F" w:rsidR="00784D00" w:rsidRPr="007E64C0" w:rsidRDefault="00784D00" w:rsidP="00784D00">
            <w:pPr>
              <w:rPr>
                <w:sz w:val="18"/>
                <w:szCs w:val="18"/>
              </w:rPr>
            </w:pPr>
            <w:r w:rsidRPr="007E64C0">
              <w:rPr>
                <w:sz w:val="18"/>
                <w:szCs w:val="18"/>
                <w:lang w:eastAsia="en-AU"/>
              </w:rPr>
              <w:t>Treasurer's Advance (FMA s.18)</w:t>
            </w:r>
          </w:p>
        </w:tc>
        <w:tc>
          <w:tcPr>
            <w:tcW w:w="1985" w:type="dxa"/>
            <w:tcBorders>
              <w:top w:val="nil"/>
              <w:left w:val="nil"/>
              <w:bottom w:val="nil"/>
              <w:right w:val="nil"/>
            </w:tcBorders>
            <w:vAlign w:val="bottom"/>
          </w:tcPr>
          <w:p w14:paraId="38B6BE06"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5A4C62B" w14:textId="77777777" w:rsidR="00784D00" w:rsidRPr="007E64C0" w:rsidRDefault="00784D00" w:rsidP="00784D00">
            <w:pPr>
              <w:rPr>
                <w:sz w:val="18"/>
                <w:szCs w:val="18"/>
              </w:rPr>
            </w:pPr>
          </w:p>
        </w:tc>
      </w:tr>
      <w:tr w:rsidR="00784D00" w:rsidRPr="007E0503" w14:paraId="5916520D" w14:textId="77777777" w:rsidTr="004D1EC6">
        <w:trPr>
          <w:cantSplit/>
          <w:trHeight w:val="284"/>
        </w:trPr>
        <w:tc>
          <w:tcPr>
            <w:tcW w:w="1563" w:type="dxa"/>
            <w:tcBorders>
              <w:top w:val="nil"/>
              <w:left w:val="single" w:sz="2" w:space="0" w:color="auto"/>
              <w:bottom w:val="nil"/>
              <w:right w:val="single" w:sz="2" w:space="0" w:color="auto"/>
            </w:tcBorders>
          </w:tcPr>
          <w:p w14:paraId="47C56817"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370EDF" w14:textId="02ECC339" w:rsidR="00784D00" w:rsidRPr="007E64C0" w:rsidRDefault="00784D00" w:rsidP="00784D00">
            <w:pPr>
              <w:rPr>
                <w:b/>
                <w:bCs/>
                <w:sz w:val="18"/>
                <w:szCs w:val="18"/>
                <w:lang w:eastAsia="en-AU"/>
              </w:rPr>
            </w:pPr>
            <w:r w:rsidRPr="007E64C0">
              <w:rPr>
                <w:b/>
                <w:bCs/>
                <w:sz w:val="18"/>
                <w:szCs w:val="18"/>
                <w:lang w:eastAsia="en-AU"/>
              </w:rPr>
              <w:t>Total Appropriated</w:t>
            </w:r>
          </w:p>
        </w:tc>
        <w:tc>
          <w:tcPr>
            <w:tcW w:w="1985" w:type="dxa"/>
            <w:tcBorders>
              <w:top w:val="single" w:sz="2" w:space="0" w:color="auto"/>
              <w:left w:val="nil"/>
              <w:bottom w:val="single" w:sz="2" w:space="0" w:color="auto"/>
              <w:right w:val="nil"/>
            </w:tcBorders>
            <w:vAlign w:val="bottom"/>
          </w:tcPr>
          <w:p w14:paraId="0A427D06"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33C2F3F8" w14:textId="77777777" w:rsidR="00784D00" w:rsidRPr="007E64C0" w:rsidRDefault="00784D00" w:rsidP="00784D00">
            <w:pPr>
              <w:rPr>
                <w:sz w:val="18"/>
                <w:szCs w:val="18"/>
              </w:rPr>
            </w:pPr>
          </w:p>
        </w:tc>
      </w:tr>
      <w:tr w:rsidR="00784D00" w:rsidRPr="007E0503" w14:paraId="4D948DE4" w14:textId="77777777" w:rsidTr="004D1EC6">
        <w:trPr>
          <w:cantSplit/>
          <w:trHeight w:val="284"/>
        </w:trPr>
        <w:tc>
          <w:tcPr>
            <w:tcW w:w="1563" w:type="dxa"/>
            <w:tcBorders>
              <w:top w:val="nil"/>
              <w:left w:val="single" w:sz="2" w:space="0" w:color="auto"/>
              <w:bottom w:val="nil"/>
              <w:right w:val="single" w:sz="2" w:space="0" w:color="auto"/>
            </w:tcBorders>
          </w:tcPr>
          <w:p w14:paraId="5D37C09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EE4CD54" w14:textId="14D2AB1E" w:rsidR="00784D00" w:rsidRPr="007E64C0" w:rsidRDefault="00784D00" w:rsidP="00784D00">
            <w:pPr>
              <w:rPr>
                <w:sz w:val="18"/>
                <w:szCs w:val="18"/>
                <w:lang w:eastAsia="en-AU"/>
              </w:rPr>
            </w:pPr>
            <w:r w:rsidRPr="007E64C0">
              <w:rPr>
                <w:sz w:val="18"/>
                <w:szCs w:val="18"/>
              </w:rPr>
              <w:t>Budget Rollovers</w:t>
            </w:r>
            <w:r w:rsidRPr="007E64C0">
              <w:rPr>
                <w:sz w:val="18"/>
                <w:szCs w:val="18"/>
                <w:vertAlign w:val="superscript"/>
              </w:rPr>
              <w:footnoteReference w:id="3"/>
            </w:r>
          </w:p>
        </w:tc>
        <w:tc>
          <w:tcPr>
            <w:tcW w:w="1985" w:type="dxa"/>
            <w:tcBorders>
              <w:top w:val="single" w:sz="2" w:space="0" w:color="auto"/>
              <w:left w:val="nil"/>
              <w:bottom w:val="single" w:sz="2" w:space="0" w:color="auto"/>
              <w:right w:val="nil"/>
            </w:tcBorders>
            <w:vAlign w:val="bottom"/>
          </w:tcPr>
          <w:p w14:paraId="6AA5F33E"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7B7188A8" w14:textId="77777777" w:rsidR="00784D00" w:rsidRPr="007E64C0" w:rsidRDefault="00784D00" w:rsidP="00784D00">
            <w:pPr>
              <w:rPr>
                <w:sz w:val="18"/>
                <w:szCs w:val="18"/>
              </w:rPr>
            </w:pPr>
          </w:p>
        </w:tc>
      </w:tr>
      <w:tr w:rsidR="00784D00" w:rsidRPr="007E0503" w14:paraId="151F4F03" w14:textId="77777777" w:rsidTr="00947CD5">
        <w:trPr>
          <w:cantSplit/>
          <w:trHeight w:val="284"/>
        </w:trPr>
        <w:tc>
          <w:tcPr>
            <w:tcW w:w="1563" w:type="dxa"/>
            <w:tcBorders>
              <w:top w:val="nil"/>
              <w:left w:val="single" w:sz="2" w:space="0" w:color="auto"/>
              <w:bottom w:val="nil"/>
              <w:right w:val="single" w:sz="2" w:space="0" w:color="auto"/>
            </w:tcBorders>
          </w:tcPr>
          <w:p w14:paraId="3851A1F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EBE9104" w14:textId="74AD69B2" w:rsidR="00784D00" w:rsidRPr="007E64C0" w:rsidRDefault="00784D00" w:rsidP="00784D00">
            <w:pPr>
              <w:rPr>
                <w:b/>
                <w:bCs/>
                <w:sz w:val="18"/>
                <w:szCs w:val="18"/>
                <w:lang w:eastAsia="en-AU"/>
              </w:rPr>
            </w:pPr>
            <w:r w:rsidRPr="007E64C0">
              <w:rPr>
                <w:b/>
                <w:bCs/>
                <w:sz w:val="18"/>
                <w:szCs w:val="18"/>
              </w:rPr>
              <w:t>Controlled Appropriation Drawn</w:t>
            </w:r>
          </w:p>
        </w:tc>
        <w:tc>
          <w:tcPr>
            <w:tcW w:w="1985" w:type="dxa"/>
            <w:tcBorders>
              <w:top w:val="single" w:sz="2" w:space="0" w:color="auto"/>
              <w:left w:val="nil"/>
              <w:bottom w:val="double" w:sz="4" w:space="0" w:color="auto"/>
              <w:right w:val="nil"/>
            </w:tcBorders>
            <w:vAlign w:val="bottom"/>
          </w:tcPr>
          <w:p w14:paraId="5FCE0099" w14:textId="77777777" w:rsidR="00784D00" w:rsidRPr="007E64C0" w:rsidRDefault="00784D00" w:rsidP="00784D00">
            <w:pPr>
              <w:rPr>
                <w:sz w:val="18"/>
                <w:szCs w:val="18"/>
              </w:rPr>
            </w:pPr>
          </w:p>
        </w:tc>
        <w:tc>
          <w:tcPr>
            <w:tcW w:w="1758" w:type="dxa"/>
            <w:tcBorders>
              <w:top w:val="single" w:sz="2" w:space="0" w:color="auto"/>
              <w:left w:val="nil"/>
              <w:bottom w:val="double" w:sz="4" w:space="0" w:color="auto"/>
              <w:right w:val="nil"/>
            </w:tcBorders>
            <w:vAlign w:val="bottom"/>
          </w:tcPr>
          <w:p w14:paraId="7CF9C59F" w14:textId="77777777" w:rsidR="00784D00" w:rsidRPr="007E64C0" w:rsidRDefault="00784D00" w:rsidP="00784D00">
            <w:pPr>
              <w:rPr>
                <w:sz w:val="18"/>
                <w:szCs w:val="18"/>
              </w:rPr>
            </w:pPr>
          </w:p>
        </w:tc>
      </w:tr>
      <w:tr w:rsidR="00784D00" w:rsidRPr="007E0503" w14:paraId="55DD3F19" w14:textId="77777777" w:rsidTr="004D1EC6">
        <w:trPr>
          <w:cantSplit/>
          <w:trHeight w:val="284"/>
        </w:trPr>
        <w:tc>
          <w:tcPr>
            <w:tcW w:w="1563" w:type="dxa"/>
            <w:tcBorders>
              <w:top w:val="nil"/>
              <w:left w:val="single" w:sz="2" w:space="0" w:color="auto"/>
              <w:bottom w:val="nil"/>
              <w:right w:val="single" w:sz="2" w:space="0" w:color="auto"/>
            </w:tcBorders>
          </w:tcPr>
          <w:p w14:paraId="43E7DA0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0A42DAA" w14:textId="77777777" w:rsidR="00784D00" w:rsidRPr="007E64C0" w:rsidRDefault="00784D00" w:rsidP="00784D00">
            <w:pPr>
              <w:rPr>
                <w:sz w:val="18"/>
                <w:szCs w:val="18"/>
              </w:rPr>
            </w:pPr>
          </w:p>
        </w:tc>
        <w:tc>
          <w:tcPr>
            <w:tcW w:w="1985" w:type="dxa"/>
            <w:tcBorders>
              <w:top w:val="double" w:sz="4" w:space="0" w:color="auto"/>
              <w:left w:val="nil"/>
              <w:bottom w:val="nil"/>
              <w:right w:val="nil"/>
            </w:tcBorders>
            <w:vAlign w:val="bottom"/>
          </w:tcPr>
          <w:p w14:paraId="2578948C" w14:textId="77777777" w:rsidR="00784D00" w:rsidRPr="007E64C0" w:rsidRDefault="00784D00" w:rsidP="00784D00">
            <w:pPr>
              <w:rPr>
                <w:sz w:val="18"/>
                <w:szCs w:val="18"/>
              </w:rPr>
            </w:pPr>
          </w:p>
        </w:tc>
        <w:tc>
          <w:tcPr>
            <w:tcW w:w="1758" w:type="dxa"/>
            <w:tcBorders>
              <w:top w:val="double" w:sz="4" w:space="0" w:color="auto"/>
              <w:left w:val="nil"/>
              <w:bottom w:val="nil"/>
              <w:right w:val="nil"/>
            </w:tcBorders>
            <w:vAlign w:val="bottom"/>
          </w:tcPr>
          <w:p w14:paraId="1DE784C5" w14:textId="77777777" w:rsidR="00784D00" w:rsidRPr="007E64C0" w:rsidRDefault="00784D00" w:rsidP="00784D00">
            <w:pPr>
              <w:rPr>
                <w:sz w:val="18"/>
                <w:szCs w:val="18"/>
              </w:rPr>
            </w:pPr>
          </w:p>
        </w:tc>
      </w:tr>
      <w:tr w:rsidR="00784D00" w:rsidRPr="00D37A89" w14:paraId="653BC3CA" w14:textId="77777777" w:rsidTr="004D1EC6">
        <w:trPr>
          <w:cantSplit/>
          <w:trHeight w:val="284"/>
        </w:trPr>
        <w:tc>
          <w:tcPr>
            <w:tcW w:w="1563" w:type="dxa"/>
            <w:tcBorders>
              <w:top w:val="nil"/>
              <w:left w:val="single" w:sz="2" w:space="0" w:color="auto"/>
              <w:bottom w:val="nil"/>
              <w:right w:val="single" w:sz="2" w:space="0" w:color="auto"/>
            </w:tcBorders>
          </w:tcPr>
          <w:p w14:paraId="1ED778F5"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93C9C0F" w14:textId="0B0CAD5C" w:rsidR="00784D00" w:rsidRPr="007E64C0" w:rsidRDefault="00784D00" w:rsidP="002D13BE">
            <w:pPr>
              <w:spacing w:after="60"/>
              <w:jc w:val="both"/>
              <w:rPr>
                <w:sz w:val="18"/>
                <w:szCs w:val="18"/>
              </w:rPr>
            </w:pPr>
            <w:r w:rsidRPr="00DF1D7E">
              <w:rPr>
                <w:sz w:val="18"/>
                <w:szCs w:val="18"/>
                <w:vertAlign w:val="superscript"/>
              </w:rPr>
              <w:t>1.</w:t>
            </w:r>
            <w:r w:rsidRPr="007E64C0">
              <w:rPr>
                <w:sz w:val="18"/>
                <w:szCs w:val="18"/>
              </w:rPr>
              <w:t xml:space="preserve"> The difference between the Original Budget and the Total Appropriated is mainly due to an </w:t>
            </w:r>
            <w:r w:rsidR="00035833">
              <w:rPr>
                <w:sz w:val="18"/>
                <w:szCs w:val="18"/>
              </w:rPr>
              <w:t>a</w:t>
            </w:r>
            <w:r w:rsidRPr="007E64C0">
              <w:rPr>
                <w:sz w:val="18"/>
                <w:szCs w:val="18"/>
              </w:rPr>
              <w:t xml:space="preserve">dministrative </w:t>
            </w:r>
            <w:r w:rsidR="00035833">
              <w:rPr>
                <w:sz w:val="18"/>
                <w:szCs w:val="18"/>
              </w:rPr>
              <w:t>a</w:t>
            </w:r>
            <w:r w:rsidRPr="007E64C0">
              <w:rPr>
                <w:sz w:val="18"/>
                <w:szCs w:val="18"/>
              </w:rPr>
              <w:t>rrangement that occurred on 7 January 202</w:t>
            </w:r>
            <w:r w:rsidR="00EC6DF4">
              <w:rPr>
                <w:sz w:val="18"/>
                <w:szCs w:val="18"/>
              </w:rPr>
              <w:t>3</w:t>
            </w:r>
            <w:r w:rsidRPr="007E64C0">
              <w:rPr>
                <w:sz w:val="18"/>
                <w:szCs w:val="18"/>
              </w:rPr>
              <w:t>, where the Agency gained the Heritage and Environment Division from the ABC Directorate.</w:t>
            </w:r>
            <w:r w:rsidR="0057674E">
              <w:rPr>
                <w:sz w:val="18"/>
                <w:szCs w:val="18"/>
              </w:rPr>
              <w:t xml:space="preserve"> </w:t>
            </w:r>
            <w:r w:rsidRPr="007E64C0">
              <w:rPr>
                <w:sz w:val="18"/>
                <w:szCs w:val="18"/>
              </w:rPr>
              <w:t xml:space="preserve">The heritage function is responsible for the development of heritage policy as well as the maintenance of a number of large heritage assets. The environment function is responsible for the development of policy frameworks and providing advice on the management and protection of the environment. For further details see Note 30 </w:t>
            </w:r>
            <w:r w:rsidRPr="007E64C0">
              <w:rPr>
                <w:i/>
                <w:sz w:val="18"/>
                <w:szCs w:val="18"/>
              </w:rPr>
              <w:t>Restructure of Administrative Arrangements</w:t>
            </w:r>
            <w:r w:rsidRPr="007E64C0">
              <w:rPr>
                <w:sz w:val="18"/>
                <w:szCs w:val="18"/>
              </w:rPr>
              <w:t>.</w:t>
            </w:r>
            <w:r w:rsidR="00FA7C77">
              <w:rPr>
                <w:sz w:val="18"/>
                <w:szCs w:val="18"/>
              </w:rPr>
              <w:t xml:space="preserve"> </w:t>
            </w:r>
          </w:p>
        </w:tc>
      </w:tr>
      <w:tr w:rsidR="00784D00" w:rsidRPr="00D37A89" w14:paraId="78C86961" w14:textId="77777777" w:rsidTr="004D1EC6">
        <w:trPr>
          <w:cantSplit/>
          <w:trHeight w:val="284"/>
        </w:trPr>
        <w:tc>
          <w:tcPr>
            <w:tcW w:w="1563" w:type="dxa"/>
            <w:tcBorders>
              <w:top w:val="nil"/>
              <w:left w:val="single" w:sz="2" w:space="0" w:color="auto"/>
              <w:bottom w:val="nil"/>
              <w:right w:val="single" w:sz="2" w:space="0" w:color="auto"/>
            </w:tcBorders>
          </w:tcPr>
          <w:p w14:paraId="0C3052BC"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4E2B862" w14:textId="5D9DDA58" w:rsidR="00784D00" w:rsidRPr="007E64C0" w:rsidRDefault="00784D00" w:rsidP="00784D00">
            <w:pPr>
              <w:jc w:val="both"/>
              <w:rPr>
                <w:sz w:val="18"/>
                <w:szCs w:val="18"/>
              </w:rPr>
            </w:pPr>
            <w:r w:rsidRPr="00DF1D7E">
              <w:rPr>
                <w:bCs/>
                <w:sz w:val="18"/>
                <w:szCs w:val="18"/>
                <w:vertAlign w:val="superscript"/>
              </w:rPr>
              <w:t>2.</w:t>
            </w:r>
            <w:r w:rsidRPr="007E64C0">
              <w:rPr>
                <w:bCs/>
                <w:sz w:val="18"/>
                <w:szCs w:val="18"/>
              </w:rPr>
              <w:t xml:space="preserve"> The difference between the Total Appropriated and the </w:t>
            </w:r>
            <w:r w:rsidR="002D13BE" w:rsidRPr="00C9508B">
              <w:rPr>
                <w:bCs/>
                <w:color w:val="FF0000"/>
                <w:sz w:val="18"/>
                <w:szCs w:val="18"/>
              </w:rPr>
              <w:t>Controlled</w:t>
            </w:r>
            <w:r w:rsidR="002D13BE">
              <w:rPr>
                <w:bCs/>
                <w:sz w:val="18"/>
                <w:szCs w:val="18"/>
              </w:rPr>
              <w:t xml:space="preserve"> </w:t>
            </w:r>
            <w:r w:rsidRPr="007E64C0">
              <w:rPr>
                <w:bCs/>
                <w:sz w:val="18"/>
                <w:szCs w:val="18"/>
              </w:rPr>
              <w:t xml:space="preserve">Appropriation Drawn </w:t>
            </w:r>
            <w:r w:rsidRPr="00C9508B">
              <w:rPr>
                <w:bCs/>
                <w:strike/>
                <w:color w:val="FF0000"/>
                <w:sz w:val="18"/>
                <w:szCs w:val="18"/>
              </w:rPr>
              <w:t>down</w:t>
            </w:r>
            <w:r w:rsidRPr="007E64C0">
              <w:rPr>
                <w:bCs/>
                <w:sz w:val="18"/>
                <w:szCs w:val="18"/>
              </w:rPr>
              <w:t xml:space="preserve"> is largely due to design delays associated with a major project scheduled to commence in </w:t>
            </w:r>
            <w:r w:rsidR="00EC6DF4" w:rsidRPr="00EC6DF4">
              <w:rPr>
                <w:bCs/>
                <w:color w:val="FF0000"/>
                <w:sz w:val="18"/>
                <w:szCs w:val="18"/>
              </w:rPr>
              <w:t xml:space="preserve">2022-23 </w:t>
            </w:r>
            <w:r w:rsidRPr="00EC6DF4">
              <w:rPr>
                <w:bCs/>
                <w:strike/>
                <w:color w:val="FF0000"/>
                <w:sz w:val="18"/>
                <w:szCs w:val="18"/>
              </w:rPr>
              <w:t>202</w:t>
            </w:r>
            <w:r w:rsidR="00EC6DF4" w:rsidRPr="00EC6DF4">
              <w:rPr>
                <w:bCs/>
                <w:strike/>
                <w:color w:val="FF0000"/>
                <w:sz w:val="18"/>
                <w:szCs w:val="18"/>
              </w:rPr>
              <w:t>3</w:t>
            </w:r>
            <w:r w:rsidRPr="007E64C0">
              <w:rPr>
                <w:bCs/>
                <w:sz w:val="18"/>
                <w:szCs w:val="18"/>
              </w:rPr>
              <w:t xml:space="preserve">. Appropriation was not drawn down for this project and has been rolled over to the following </w:t>
            </w:r>
            <w:r w:rsidRPr="007E64C0">
              <w:rPr>
                <w:sz w:val="18"/>
                <w:szCs w:val="18"/>
              </w:rPr>
              <w:t>reporting period</w:t>
            </w:r>
            <w:r w:rsidRPr="007E64C0">
              <w:rPr>
                <w:bCs/>
                <w:sz w:val="18"/>
                <w:szCs w:val="18"/>
              </w:rPr>
              <w:t>. ‘Project X’ ($xxx) was due to start in February 202</w:t>
            </w:r>
            <w:r w:rsidR="00EC6DF4">
              <w:rPr>
                <w:bCs/>
                <w:sz w:val="18"/>
                <w:szCs w:val="18"/>
              </w:rPr>
              <w:t>3</w:t>
            </w:r>
            <w:r w:rsidRPr="007E64C0">
              <w:rPr>
                <w:bCs/>
                <w:sz w:val="18"/>
                <w:szCs w:val="18"/>
              </w:rPr>
              <w:t>, however, it is expected that it will not commence until August 202</w:t>
            </w:r>
            <w:r w:rsidR="00EC6DF4">
              <w:rPr>
                <w:bCs/>
                <w:sz w:val="18"/>
                <w:szCs w:val="18"/>
              </w:rPr>
              <w:t>3</w:t>
            </w:r>
            <w:r w:rsidRPr="007E64C0">
              <w:rPr>
                <w:bCs/>
                <w:sz w:val="18"/>
                <w:szCs w:val="18"/>
              </w:rPr>
              <w:t>.</w:t>
            </w:r>
            <w:r w:rsidR="0057674E" w:rsidRPr="007E64C0">
              <w:rPr>
                <w:bCs/>
                <w:sz w:val="18"/>
                <w:szCs w:val="18"/>
              </w:rPr>
              <w:t xml:space="preserve"> This project has both recurrent</w:t>
            </w:r>
            <w:r w:rsidR="0057674E">
              <w:rPr>
                <w:bCs/>
                <w:sz w:val="18"/>
                <w:szCs w:val="18"/>
              </w:rPr>
              <w:t xml:space="preserve"> </w:t>
            </w:r>
            <w:r w:rsidR="0057674E" w:rsidRPr="007E64C0">
              <w:rPr>
                <w:bCs/>
                <w:sz w:val="18"/>
                <w:szCs w:val="18"/>
              </w:rPr>
              <w:t>and capital injection elements</w:t>
            </w:r>
            <w:r w:rsidR="0057674E">
              <w:rPr>
                <w:bCs/>
                <w:sz w:val="18"/>
                <w:szCs w:val="18"/>
              </w:rPr>
              <w:t>.</w:t>
            </w:r>
            <w:r w:rsidRPr="007E64C0">
              <w:rPr>
                <w:bCs/>
                <w:sz w:val="18"/>
                <w:szCs w:val="18"/>
              </w:rPr>
              <w:t xml:space="preserve"> </w:t>
            </w:r>
            <w:r w:rsidR="009F72E9">
              <w:rPr>
                <w:bCs/>
                <w:sz w:val="18"/>
                <w:szCs w:val="18"/>
              </w:rPr>
              <w:t xml:space="preserve">                                                                                                                                                                                                                                                                                                                                                                                                                                                                                                                                                                                                                                                                                                                                                                                                                                                                                                                                                                                                                                                                                                                                                                                         </w:t>
            </w:r>
          </w:p>
        </w:tc>
      </w:tr>
    </w:tbl>
    <w:p w14:paraId="18598011" w14:textId="77777777" w:rsidR="00D37A89" w:rsidRPr="00D37A89" w:rsidRDefault="00D37A89" w:rsidP="00D37A89">
      <w:r w:rsidRPr="00D37A89">
        <w:br w:type="page"/>
      </w:r>
    </w:p>
    <w:tbl>
      <w:tblPr>
        <w:tblW w:w="4976"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8930"/>
      </w:tblGrid>
      <w:tr w:rsidR="00D37A89" w:rsidRPr="00D37A89" w14:paraId="1C078B10" w14:textId="77777777" w:rsidTr="004D1EC6">
        <w:trPr>
          <w:cantSplit/>
          <w:trHeight w:val="288"/>
        </w:trPr>
        <w:tc>
          <w:tcPr>
            <w:tcW w:w="1563" w:type="dxa"/>
            <w:tcBorders>
              <w:top w:val="nil"/>
              <w:left w:val="single" w:sz="2" w:space="0" w:color="auto"/>
              <w:bottom w:val="nil"/>
              <w:right w:val="single" w:sz="2" w:space="0" w:color="auto"/>
            </w:tcBorders>
          </w:tcPr>
          <w:p w14:paraId="68DCECA7" w14:textId="77777777" w:rsidR="00D37A89" w:rsidRPr="003E6941" w:rsidRDefault="00D37A89" w:rsidP="00C9212B">
            <w:pPr>
              <w:pStyle w:val="TableReference"/>
              <w:tabs>
                <w:tab w:val="left" w:pos="3306"/>
              </w:tabs>
              <w:spacing w:before="240" w:after="240"/>
              <w:rPr>
                <w:rFonts w:cs="Calibri"/>
                <w:b/>
                <w:color w:val="7030A0"/>
                <w:sz w:val="22"/>
                <w:szCs w:val="22"/>
              </w:rPr>
            </w:pPr>
            <w:r w:rsidRPr="003E6941">
              <w:rPr>
                <w:rFonts w:cs="Calibri"/>
                <w:b/>
                <w:color w:val="7030A0"/>
                <w:sz w:val="22"/>
                <w:szCs w:val="22"/>
              </w:rPr>
              <w:t>Reference</w:t>
            </w:r>
          </w:p>
        </w:tc>
        <w:tc>
          <w:tcPr>
            <w:tcW w:w="8930" w:type="dxa"/>
            <w:tcBorders>
              <w:top w:val="nil"/>
              <w:left w:val="single" w:sz="2" w:space="0" w:color="auto"/>
              <w:bottom w:val="nil"/>
              <w:right w:val="nil"/>
            </w:tcBorders>
            <w:shd w:val="clear" w:color="auto" w:fill="7030A0"/>
            <w:vAlign w:val="bottom"/>
          </w:tcPr>
          <w:p w14:paraId="7E6FA485" w14:textId="4E5D520F" w:rsidR="00D37A89" w:rsidRPr="008E0712" w:rsidRDefault="00D37A89" w:rsidP="00C9212B">
            <w:pPr>
              <w:pStyle w:val="TableReference"/>
              <w:tabs>
                <w:tab w:val="left" w:pos="3306"/>
              </w:tabs>
              <w:spacing w:before="240" w:after="240"/>
              <w:rPr>
                <w:rFonts w:cs="Calibri"/>
                <w:b/>
                <w:color w:val="auto"/>
                <w:sz w:val="28"/>
                <w:szCs w:val="28"/>
              </w:rPr>
            </w:pPr>
            <w:bookmarkStart w:id="265" w:name="_Toc50440328"/>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Statement of Appropriation</w:t>
            </w:r>
            <w:bookmarkEnd w:id="265"/>
          </w:p>
        </w:tc>
      </w:tr>
      <w:tr w:rsidR="00D37A89" w:rsidRPr="00D37A89" w14:paraId="75BEF932" w14:textId="77777777" w:rsidTr="004D1EC6">
        <w:trPr>
          <w:cantSplit/>
          <w:trHeight w:val="288"/>
        </w:trPr>
        <w:tc>
          <w:tcPr>
            <w:tcW w:w="1563" w:type="dxa"/>
            <w:tcBorders>
              <w:top w:val="nil"/>
              <w:left w:val="single" w:sz="2" w:space="0" w:color="auto"/>
              <w:bottom w:val="nil"/>
              <w:right w:val="single" w:sz="2" w:space="0" w:color="auto"/>
            </w:tcBorders>
          </w:tcPr>
          <w:p w14:paraId="0A0598A0" w14:textId="77777777" w:rsidR="00D37A89" w:rsidRPr="003E6941" w:rsidRDefault="00D37A89" w:rsidP="00A81061">
            <w:pPr>
              <w:tabs>
                <w:tab w:val="left" w:pos="3306"/>
              </w:tabs>
              <w:spacing w:before="60"/>
              <w:rPr>
                <w:rFonts w:cs="Calibri"/>
                <w:color w:val="7030A0"/>
                <w:sz w:val="14"/>
                <w:szCs w:val="14"/>
              </w:rPr>
            </w:pPr>
            <w:r w:rsidRPr="003E6941">
              <w:rPr>
                <w:rFonts w:cs="Calibri"/>
                <w:color w:val="7030A0"/>
                <w:sz w:val="14"/>
                <w:szCs w:val="14"/>
              </w:rPr>
              <w:t>FMA Section 6</w:t>
            </w:r>
          </w:p>
          <w:p w14:paraId="4F0415E3" w14:textId="73FB63DE" w:rsidR="00D37A89" w:rsidRPr="003E6941" w:rsidRDefault="00D37A89" w:rsidP="00A81061">
            <w:pPr>
              <w:tabs>
                <w:tab w:val="left" w:pos="3306"/>
              </w:tabs>
              <w:spacing w:before="80"/>
              <w:rPr>
                <w:rFonts w:cs="Calibri"/>
                <w:color w:val="7030A0"/>
                <w:sz w:val="14"/>
                <w:szCs w:val="14"/>
              </w:rPr>
            </w:pPr>
          </w:p>
        </w:tc>
        <w:tc>
          <w:tcPr>
            <w:tcW w:w="8930" w:type="dxa"/>
            <w:tcBorders>
              <w:top w:val="nil"/>
              <w:left w:val="single" w:sz="2" w:space="0" w:color="auto"/>
              <w:bottom w:val="nil"/>
              <w:right w:val="nil"/>
            </w:tcBorders>
            <w:shd w:val="clear" w:color="auto" w:fill="7030A0"/>
          </w:tcPr>
          <w:p w14:paraId="6323F6C6" w14:textId="7F9B3203" w:rsidR="00D37A89" w:rsidRPr="003E6941" w:rsidRDefault="004B2ECC" w:rsidP="00552ECB">
            <w:pPr>
              <w:rPr>
                <w:rFonts w:cs="Calibri"/>
                <w:color w:val="FFFFFF" w:themeColor="background1"/>
                <w:sz w:val="18"/>
                <w:szCs w:val="18"/>
              </w:rPr>
            </w:pPr>
            <w:r w:rsidRPr="003E6941">
              <w:rPr>
                <w:rFonts w:cs="Calibri"/>
                <w:color w:val="FFFFFF" w:themeColor="background1"/>
                <w:sz w:val="18"/>
                <w:szCs w:val="18"/>
              </w:rPr>
              <w:t>N</w:t>
            </w:r>
            <w:r w:rsidR="00D37A89" w:rsidRPr="003E6941">
              <w:rPr>
                <w:rFonts w:cs="Calibri"/>
                <w:color w:val="FFFFFF" w:themeColor="background1"/>
                <w:sz w:val="18"/>
                <w:szCs w:val="18"/>
              </w:rPr>
              <w:t xml:space="preserve">o payment of public money </w:t>
            </w:r>
            <w:r w:rsidRPr="003E6941">
              <w:rPr>
                <w:rFonts w:cs="Calibri"/>
                <w:color w:val="FFFFFF" w:themeColor="background1"/>
                <w:sz w:val="18"/>
                <w:szCs w:val="18"/>
              </w:rPr>
              <w:t xml:space="preserve">can </w:t>
            </w:r>
            <w:r w:rsidR="00D37A89" w:rsidRPr="003E6941">
              <w:rPr>
                <w:rFonts w:cs="Calibri"/>
                <w:color w:val="FFFFFF" w:themeColor="background1"/>
                <w:sz w:val="18"/>
                <w:szCs w:val="18"/>
              </w:rPr>
              <w:t>be made other than in accordance with an appropriation.</w:t>
            </w:r>
            <w:r w:rsidR="00552ECB">
              <w:rPr>
                <w:rFonts w:cs="Calibri"/>
                <w:color w:val="FFFFFF" w:themeColor="background1"/>
                <w:sz w:val="18"/>
                <w:szCs w:val="18"/>
              </w:rPr>
              <w:t xml:space="preserve"> </w:t>
            </w:r>
            <w:r w:rsidR="00D37A89" w:rsidRPr="003E6941">
              <w:rPr>
                <w:rFonts w:cs="Calibri"/>
                <w:color w:val="FFFFFF" w:themeColor="background1"/>
                <w:sz w:val="18"/>
                <w:szCs w:val="18"/>
              </w:rPr>
              <w:t>Appropriation reconciliations are reconciliations of cash flow</w:t>
            </w:r>
            <w:r w:rsidR="007E0503" w:rsidRPr="003E6941">
              <w:rPr>
                <w:rFonts w:cs="Calibri"/>
                <w:color w:val="FFFFFF" w:themeColor="background1"/>
                <w:sz w:val="18"/>
                <w:szCs w:val="18"/>
              </w:rPr>
              <w:t>.</w:t>
            </w:r>
          </w:p>
        </w:tc>
      </w:tr>
      <w:tr w:rsidR="00A81061" w:rsidRPr="00D37A89" w14:paraId="4000B40F" w14:textId="77777777" w:rsidTr="004D1EC6">
        <w:trPr>
          <w:cantSplit/>
          <w:trHeight w:val="288"/>
        </w:trPr>
        <w:tc>
          <w:tcPr>
            <w:tcW w:w="1563" w:type="dxa"/>
            <w:tcBorders>
              <w:top w:val="nil"/>
              <w:left w:val="single" w:sz="2" w:space="0" w:color="auto"/>
              <w:bottom w:val="nil"/>
              <w:right w:val="single" w:sz="2" w:space="0" w:color="auto"/>
            </w:tcBorders>
          </w:tcPr>
          <w:p w14:paraId="1127820D" w14:textId="0E331FE8" w:rsidR="00A81061" w:rsidRPr="003E6941" w:rsidRDefault="00A81061" w:rsidP="00D37A89">
            <w:pPr>
              <w:tabs>
                <w:tab w:val="left" w:pos="3306"/>
              </w:tabs>
              <w:spacing w:before="60"/>
              <w:rPr>
                <w:rFonts w:cs="Calibri"/>
                <w:color w:val="7030A0"/>
                <w:sz w:val="14"/>
                <w:szCs w:val="14"/>
              </w:rPr>
            </w:pPr>
            <w:r w:rsidRPr="003E6941">
              <w:rPr>
                <w:rFonts w:cs="Calibri"/>
                <w:color w:val="7030A0"/>
                <w:sz w:val="14"/>
                <w:szCs w:val="14"/>
              </w:rPr>
              <w:t>FMA Section 8</w:t>
            </w:r>
          </w:p>
        </w:tc>
        <w:tc>
          <w:tcPr>
            <w:tcW w:w="8930" w:type="dxa"/>
            <w:tcBorders>
              <w:top w:val="nil"/>
              <w:left w:val="single" w:sz="2" w:space="0" w:color="auto"/>
              <w:bottom w:val="nil"/>
              <w:right w:val="nil"/>
            </w:tcBorders>
            <w:shd w:val="clear" w:color="auto" w:fill="7030A0"/>
            <w:vAlign w:val="bottom"/>
          </w:tcPr>
          <w:p w14:paraId="39E27CD3" w14:textId="14AF842D" w:rsidR="00B274F9" w:rsidRPr="003E6941" w:rsidRDefault="00B274F9" w:rsidP="00090F32">
            <w:pPr>
              <w:spacing w:after="40"/>
              <w:rPr>
                <w:rFonts w:cs="Calibri"/>
                <w:color w:val="FFFFFF" w:themeColor="background1"/>
                <w:sz w:val="18"/>
                <w:szCs w:val="18"/>
              </w:rPr>
            </w:pPr>
            <w:r w:rsidRPr="003E6941">
              <w:rPr>
                <w:rFonts w:cs="Calibri"/>
                <w:color w:val="FFFFFF" w:themeColor="background1"/>
                <w:sz w:val="18"/>
                <w:szCs w:val="18"/>
              </w:rPr>
              <w:t xml:space="preserve">An Appropriation Act must make separate appropriations in relation to each </w:t>
            </w:r>
            <w:r w:rsidR="00086FDD">
              <w:rPr>
                <w:rFonts w:cs="Calibri"/>
                <w:color w:val="FFFFFF" w:themeColor="background1"/>
                <w:sz w:val="18"/>
                <w:szCs w:val="18"/>
              </w:rPr>
              <w:t>d</w:t>
            </w:r>
            <w:r w:rsidRPr="003E6941">
              <w:rPr>
                <w:rFonts w:cs="Calibri"/>
                <w:color w:val="FFFFFF" w:themeColor="background1"/>
                <w:sz w:val="18"/>
                <w:szCs w:val="18"/>
              </w:rPr>
              <w:t>irectorate for:</w:t>
            </w:r>
          </w:p>
          <w:p w14:paraId="40DB6BB1" w14:textId="541058A7" w:rsidR="00B274F9" w:rsidRPr="003E6941" w:rsidRDefault="00B274F9" w:rsidP="008E62D1">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controlled recurrent payments to be provided to the </w:t>
            </w:r>
            <w:r w:rsidR="00086FDD">
              <w:rPr>
                <w:rFonts w:cs="Calibri"/>
                <w:color w:val="FFFFFF" w:themeColor="background1"/>
                <w:sz w:val="18"/>
                <w:szCs w:val="18"/>
              </w:rPr>
              <w:t>d</w:t>
            </w:r>
            <w:r w:rsidRPr="003E6941">
              <w:rPr>
                <w:rFonts w:cs="Calibri"/>
                <w:color w:val="FFFFFF" w:themeColor="background1"/>
                <w:sz w:val="18"/>
                <w:szCs w:val="18"/>
              </w:rPr>
              <w:t>irectorate; and</w:t>
            </w:r>
          </w:p>
          <w:p w14:paraId="33B4F3FB" w14:textId="5D6D50C6" w:rsidR="00A81061" w:rsidRPr="003E6941" w:rsidRDefault="00B274F9" w:rsidP="008E62D1">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capital injection to be provided to the </w:t>
            </w:r>
            <w:r w:rsidR="00086FDD">
              <w:rPr>
                <w:rFonts w:cs="Calibri"/>
                <w:color w:val="FFFFFF" w:themeColor="background1"/>
                <w:sz w:val="18"/>
                <w:szCs w:val="18"/>
              </w:rPr>
              <w:t>d</w:t>
            </w:r>
            <w:r w:rsidRPr="003E6941">
              <w:rPr>
                <w:rFonts w:cs="Calibri"/>
                <w:color w:val="FFFFFF" w:themeColor="background1"/>
                <w:sz w:val="18"/>
                <w:szCs w:val="18"/>
              </w:rPr>
              <w:t>irectorate.</w:t>
            </w:r>
          </w:p>
        </w:tc>
      </w:tr>
      <w:tr w:rsidR="00D37A89" w:rsidRPr="00D37A89" w14:paraId="499787F6" w14:textId="77777777" w:rsidTr="004D1EC6">
        <w:trPr>
          <w:cantSplit/>
          <w:trHeight w:val="288"/>
        </w:trPr>
        <w:tc>
          <w:tcPr>
            <w:tcW w:w="1563" w:type="dxa"/>
            <w:tcBorders>
              <w:top w:val="nil"/>
              <w:left w:val="single" w:sz="2" w:space="0" w:color="auto"/>
              <w:bottom w:val="nil"/>
              <w:right w:val="single" w:sz="2" w:space="0" w:color="auto"/>
            </w:tcBorders>
          </w:tcPr>
          <w:p w14:paraId="3A6AE940" w14:textId="77777777" w:rsidR="00D37A89" w:rsidRPr="003E6941" w:rsidRDefault="00D37A89" w:rsidP="00D37A89">
            <w:pPr>
              <w:tabs>
                <w:tab w:val="left" w:pos="3306"/>
              </w:tabs>
              <w:spacing w:before="60"/>
              <w:rPr>
                <w:rFonts w:cs="Calibri"/>
                <w:color w:val="7030A0"/>
                <w:sz w:val="14"/>
                <w:szCs w:val="14"/>
              </w:rPr>
            </w:pPr>
            <w:r w:rsidRPr="003E6941">
              <w:rPr>
                <w:rFonts w:cs="Calibri"/>
                <w:color w:val="7030A0"/>
                <w:sz w:val="14"/>
                <w:szCs w:val="14"/>
              </w:rPr>
              <w:t>FMA Section 37A</w:t>
            </w:r>
          </w:p>
          <w:p w14:paraId="32832048" w14:textId="77777777" w:rsidR="00D37A89" w:rsidRPr="003E6941" w:rsidRDefault="00D37A89" w:rsidP="00D37A89">
            <w:pPr>
              <w:tabs>
                <w:tab w:val="left" w:pos="3306"/>
              </w:tabs>
              <w:spacing w:before="60"/>
              <w:rPr>
                <w:rFonts w:cs="Calibri"/>
                <w:color w:val="7030A0"/>
                <w:sz w:val="14"/>
                <w:szCs w:val="14"/>
              </w:rPr>
            </w:pPr>
          </w:p>
          <w:p w14:paraId="6B7A3070" w14:textId="77777777" w:rsidR="00D37A89" w:rsidRPr="003E6941" w:rsidRDefault="00D37A89" w:rsidP="00D37A89">
            <w:pPr>
              <w:tabs>
                <w:tab w:val="left" w:pos="3306"/>
              </w:tabs>
              <w:spacing w:before="60"/>
              <w:rPr>
                <w:rFonts w:cs="Calibri"/>
                <w:color w:val="7030A0"/>
                <w:sz w:val="14"/>
                <w:szCs w:val="14"/>
              </w:rPr>
            </w:pPr>
          </w:p>
          <w:p w14:paraId="7DDE684C"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64C564C" w14:textId="1B2E421B" w:rsidR="00D37A89" w:rsidRPr="003E6941" w:rsidRDefault="00D37A89" w:rsidP="009F041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receives an amount of appropriation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appropriation from which the excess amount was paid to the agency is restored by the amount it repaid to the </w:t>
            </w:r>
            <w:r w:rsidR="004B2ECC" w:rsidRPr="003E6941">
              <w:rPr>
                <w:rFonts w:cs="Calibri"/>
                <w:color w:val="FFFFFF" w:themeColor="background1"/>
                <w:sz w:val="18"/>
                <w:szCs w:val="18"/>
              </w:rPr>
              <w:t>T</w:t>
            </w:r>
            <w:r w:rsidRPr="003E6941">
              <w:rPr>
                <w:rFonts w:cs="Calibri"/>
                <w:color w:val="FFFFFF" w:themeColor="background1"/>
                <w:sz w:val="18"/>
                <w:szCs w:val="18"/>
              </w:rPr>
              <w:t xml:space="preserve">erritory </w:t>
            </w:r>
            <w:r w:rsidR="004B2ECC" w:rsidRPr="003E6941">
              <w:rPr>
                <w:rFonts w:cs="Calibri"/>
                <w:color w:val="FFFFFF" w:themeColor="background1"/>
                <w:sz w:val="18"/>
                <w:szCs w:val="18"/>
              </w:rPr>
              <w:t>B</w:t>
            </w:r>
            <w:r w:rsidRPr="003E6941">
              <w:rPr>
                <w:rFonts w:cs="Calibri"/>
                <w:color w:val="FFFFFF" w:themeColor="background1"/>
                <w:sz w:val="18"/>
                <w:szCs w:val="18"/>
              </w:rPr>
              <w:t xml:space="preserve">anking </w:t>
            </w:r>
            <w:r w:rsidR="004B2ECC" w:rsidRPr="003E6941">
              <w:rPr>
                <w:rFonts w:cs="Calibri"/>
                <w:color w:val="FFFFFF" w:themeColor="background1"/>
                <w:sz w:val="18"/>
                <w:szCs w:val="18"/>
              </w:rPr>
              <w:t>A</w:t>
            </w:r>
            <w:r w:rsidRPr="003E6941">
              <w:rPr>
                <w:rFonts w:cs="Calibri"/>
                <w:color w:val="FFFFFF" w:themeColor="background1"/>
                <w:sz w:val="18"/>
                <w:szCs w:val="18"/>
              </w:rPr>
              <w:t>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balance of the appropriation, including the amount repaid, may be applied for the purposes for which it was appropriated. </w:t>
            </w:r>
          </w:p>
        </w:tc>
      </w:tr>
      <w:tr w:rsidR="00A81061" w:rsidRPr="00D37A89" w14:paraId="2577E895" w14:textId="77777777" w:rsidTr="004D1EC6">
        <w:trPr>
          <w:cantSplit/>
          <w:trHeight w:val="288"/>
        </w:trPr>
        <w:tc>
          <w:tcPr>
            <w:tcW w:w="1563" w:type="dxa"/>
            <w:tcBorders>
              <w:top w:val="nil"/>
              <w:left w:val="single" w:sz="2" w:space="0" w:color="auto"/>
              <w:bottom w:val="nil"/>
              <w:right w:val="single" w:sz="2" w:space="0" w:color="auto"/>
            </w:tcBorders>
          </w:tcPr>
          <w:p w14:paraId="20075F69"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5E3F697" w14:textId="502FCF96" w:rsidR="00A81061" w:rsidRPr="003E6941" w:rsidRDefault="009F0413" w:rsidP="00C0544A">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should disclose appropriation amounts returned (if any) in a footnote to the ‘Appropriation Drawn’ in the Statement of Appropriation.</w:t>
            </w:r>
          </w:p>
        </w:tc>
      </w:tr>
      <w:tr w:rsidR="00A81061" w:rsidRPr="00D37A89" w14:paraId="53935918" w14:textId="77777777" w:rsidTr="004D1EC6">
        <w:trPr>
          <w:cantSplit/>
          <w:trHeight w:val="288"/>
        </w:trPr>
        <w:tc>
          <w:tcPr>
            <w:tcW w:w="1563" w:type="dxa"/>
            <w:tcBorders>
              <w:top w:val="nil"/>
              <w:left w:val="single" w:sz="2" w:space="0" w:color="auto"/>
              <w:bottom w:val="nil"/>
              <w:right w:val="single" w:sz="2" w:space="0" w:color="auto"/>
            </w:tcBorders>
          </w:tcPr>
          <w:p w14:paraId="7F6F7249" w14:textId="77777777" w:rsidR="009F0413" w:rsidRPr="003E6941" w:rsidRDefault="009F0413" w:rsidP="009F0413">
            <w:pPr>
              <w:tabs>
                <w:tab w:val="left" w:pos="3306"/>
              </w:tabs>
              <w:spacing w:before="60"/>
              <w:rPr>
                <w:rFonts w:cs="Calibri"/>
                <w:color w:val="7030A0"/>
                <w:sz w:val="14"/>
                <w:szCs w:val="14"/>
              </w:rPr>
            </w:pPr>
            <w:r w:rsidRPr="003E6941">
              <w:rPr>
                <w:rFonts w:cs="Calibri"/>
                <w:color w:val="7030A0"/>
                <w:sz w:val="14"/>
                <w:szCs w:val="14"/>
              </w:rPr>
              <w:t>AASB 1058.39</w:t>
            </w:r>
          </w:p>
          <w:p w14:paraId="15685F91"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27337114" w14:textId="28BCD77B" w:rsidR="00A81061" w:rsidRPr="003E6941" w:rsidRDefault="00BB0270" w:rsidP="00090F32">
            <w:pPr>
              <w:tabs>
                <w:tab w:val="num" w:pos="348"/>
                <w:tab w:val="left" w:pos="3306"/>
              </w:tabs>
              <w:spacing w:after="40"/>
              <w:ind w:left="6"/>
              <w:jc w:val="both"/>
              <w:rPr>
                <w:rFonts w:cs="Calibri"/>
                <w:color w:val="FFFFFF" w:themeColor="background1"/>
                <w:sz w:val="18"/>
                <w:szCs w:val="18"/>
              </w:rPr>
            </w:pPr>
            <w:r w:rsidRPr="003E6941">
              <w:rPr>
                <w:rFonts w:cs="Calibri"/>
                <w:color w:val="FFFFFF" w:themeColor="background1"/>
                <w:sz w:val="18"/>
                <w:szCs w:val="18"/>
              </w:rPr>
              <w:t>T</w:t>
            </w:r>
            <w:r w:rsidR="00A81061" w:rsidRPr="003E6941">
              <w:rPr>
                <w:rFonts w:cs="Calibri"/>
                <w:color w:val="FFFFFF" w:themeColor="background1"/>
                <w:sz w:val="18"/>
                <w:szCs w:val="18"/>
              </w:rPr>
              <w:t xml:space="preserve">he following </w:t>
            </w:r>
            <w:r w:rsidRPr="003E6941">
              <w:rPr>
                <w:rFonts w:cs="Calibri"/>
                <w:color w:val="FFFFFF" w:themeColor="background1"/>
                <w:sz w:val="18"/>
                <w:szCs w:val="18"/>
              </w:rPr>
              <w:t xml:space="preserve">must </w:t>
            </w:r>
            <w:r w:rsidR="00A81061" w:rsidRPr="003E6941">
              <w:rPr>
                <w:rFonts w:cs="Calibri"/>
                <w:color w:val="FFFFFF" w:themeColor="background1"/>
                <w:sz w:val="18"/>
                <w:szCs w:val="18"/>
              </w:rPr>
              <w:t xml:space="preserve">be disclosed by a government </w:t>
            </w:r>
            <w:r w:rsidR="008475E2" w:rsidRPr="003E6941">
              <w:rPr>
                <w:rFonts w:cs="Calibri"/>
                <w:color w:val="FFFFFF" w:themeColor="background1"/>
                <w:sz w:val="18"/>
                <w:szCs w:val="18"/>
              </w:rPr>
              <w:t>d</w:t>
            </w:r>
            <w:r w:rsidR="00A81061" w:rsidRPr="003E6941">
              <w:rPr>
                <w:rFonts w:cs="Calibri"/>
                <w:color w:val="FFFFFF" w:themeColor="background1"/>
                <w:sz w:val="18"/>
                <w:szCs w:val="18"/>
              </w:rPr>
              <w:t>irectorate or other public sector entity that obtains part or all of their spending authority from a</w:t>
            </w:r>
            <w:r w:rsidRPr="003E6941">
              <w:rPr>
                <w:rFonts w:cs="Calibri"/>
                <w:color w:val="FFFFFF" w:themeColor="background1"/>
                <w:sz w:val="18"/>
                <w:szCs w:val="18"/>
              </w:rPr>
              <w:t>n</w:t>
            </w:r>
            <w:r w:rsidR="00A81061" w:rsidRPr="003E6941">
              <w:rPr>
                <w:rFonts w:cs="Calibri"/>
                <w:color w:val="FFFFFF" w:themeColor="background1"/>
                <w:sz w:val="18"/>
                <w:szCs w:val="18"/>
              </w:rPr>
              <w:t xml:space="preserve"> </w:t>
            </w:r>
            <w:r w:rsidRPr="003E6941">
              <w:rPr>
                <w:rFonts w:cs="Calibri"/>
                <w:color w:val="FFFFFF" w:themeColor="background1"/>
                <w:sz w:val="18"/>
                <w:szCs w:val="18"/>
              </w:rPr>
              <w:t xml:space="preserve">ACT Government </w:t>
            </w:r>
            <w:r w:rsidR="00A81061" w:rsidRPr="003E6941">
              <w:rPr>
                <w:rFonts w:cs="Calibri"/>
                <w:color w:val="FFFFFF" w:themeColor="background1"/>
                <w:sz w:val="18"/>
                <w:szCs w:val="18"/>
              </w:rPr>
              <w:t>appropriation:</w:t>
            </w:r>
          </w:p>
          <w:p w14:paraId="7B85DFCF" w14:textId="77777777" w:rsidR="00A81061" w:rsidRPr="003E6941" w:rsidRDefault="00A81061" w:rsidP="008E62D1">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a summary of the major categories of appropriations, disclosing separately the original amounts appropriated for the reporting period and the total amounts appropriated for the reporting period;</w:t>
            </w:r>
          </w:p>
          <w:p w14:paraId="59E7F658" w14:textId="77777777" w:rsidR="00A81061" w:rsidRPr="003E6941" w:rsidRDefault="00A81061" w:rsidP="008E62D1">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the expenditures for the reporting period in respect of each of the above items; and </w:t>
            </w:r>
          </w:p>
          <w:p w14:paraId="60270262" w14:textId="32E26869" w:rsidR="00A81061" w:rsidRPr="003E6941" w:rsidRDefault="00A81061" w:rsidP="008E62D1">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any reasons for material variances between the amounts appropriated or otherwise authorised and the associated expenditures for the reporting period.</w:t>
            </w:r>
          </w:p>
        </w:tc>
      </w:tr>
      <w:tr w:rsidR="00D37A89" w:rsidRPr="00D37A89" w14:paraId="6925CEB5" w14:textId="77777777" w:rsidTr="004D1EC6">
        <w:trPr>
          <w:cantSplit/>
          <w:trHeight w:val="288"/>
        </w:trPr>
        <w:tc>
          <w:tcPr>
            <w:tcW w:w="1563" w:type="dxa"/>
            <w:tcBorders>
              <w:top w:val="nil"/>
              <w:left w:val="single" w:sz="2" w:space="0" w:color="auto"/>
              <w:bottom w:val="nil"/>
              <w:right w:val="single" w:sz="2" w:space="0" w:color="auto"/>
            </w:tcBorders>
          </w:tcPr>
          <w:p w14:paraId="5547C6DA"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3DA474E8" w14:textId="77777777" w:rsidR="00D37A89" w:rsidRPr="003E6941" w:rsidRDefault="00D37A89" w:rsidP="00D37A89">
            <w:pPr>
              <w:spacing w:after="120"/>
              <w:jc w:val="both"/>
              <w:rPr>
                <w:rFonts w:cs="Calibri"/>
                <w:color w:val="FFFFFF" w:themeColor="background1"/>
                <w:sz w:val="18"/>
                <w:szCs w:val="18"/>
              </w:rPr>
            </w:pPr>
            <w:r w:rsidRPr="003E6941">
              <w:rPr>
                <w:rFonts w:cs="Calibri"/>
                <w:color w:val="FFFFFF" w:themeColor="background1"/>
                <w:sz w:val="18"/>
                <w:szCs w:val="18"/>
              </w:rPr>
              <w:t>A tabular presentation of the variance explanation should be used if it would assist understanding of the reasons for the variance.</w:t>
            </w:r>
          </w:p>
        </w:tc>
      </w:tr>
      <w:tr w:rsidR="00F5529C" w:rsidRPr="00D37A89" w14:paraId="471E877F" w14:textId="77777777" w:rsidTr="004D1EC6">
        <w:trPr>
          <w:cantSplit/>
          <w:trHeight w:val="288"/>
        </w:trPr>
        <w:tc>
          <w:tcPr>
            <w:tcW w:w="1563" w:type="dxa"/>
            <w:tcBorders>
              <w:top w:val="nil"/>
              <w:left w:val="single" w:sz="2" w:space="0" w:color="auto"/>
              <w:bottom w:val="nil"/>
              <w:right w:val="single" w:sz="2" w:space="0" w:color="auto"/>
            </w:tcBorders>
          </w:tcPr>
          <w:p w14:paraId="2F0B1498" w14:textId="5F757443" w:rsidR="00F5529C" w:rsidRPr="003E6941" w:rsidRDefault="00F5529C" w:rsidP="00F5529C">
            <w:pPr>
              <w:tabs>
                <w:tab w:val="left" w:pos="3306"/>
              </w:tabs>
              <w:spacing w:before="60"/>
              <w:rPr>
                <w:rFonts w:cs="Calibri"/>
                <w:color w:val="7030A0"/>
                <w:sz w:val="14"/>
                <w:szCs w:val="14"/>
              </w:rPr>
            </w:pPr>
            <w:r w:rsidRPr="003E6941">
              <w:rPr>
                <w:rFonts w:cs="Calibri"/>
                <w:color w:val="7030A0"/>
                <w:sz w:val="14"/>
                <w:szCs w:val="14"/>
              </w:rPr>
              <w:t>ACT Disclosure Policy</w:t>
            </w:r>
          </w:p>
        </w:tc>
        <w:tc>
          <w:tcPr>
            <w:tcW w:w="8930" w:type="dxa"/>
            <w:tcBorders>
              <w:top w:val="nil"/>
              <w:left w:val="single" w:sz="2" w:space="0" w:color="auto"/>
              <w:bottom w:val="nil"/>
              <w:right w:val="nil"/>
            </w:tcBorders>
            <w:shd w:val="clear" w:color="auto" w:fill="7030A0"/>
          </w:tcPr>
          <w:p w14:paraId="5721CF67" w14:textId="2C1C6E75" w:rsidR="00F5529C" w:rsidRPr="003E6941" w:rsidRDefault="00F5529C" w:rsidP="00F5529C">
            <w:pPr>
              <w:spacing w:after="120"/>
              <w:jc w:val="both"/>
              <w:rPr>
                <w:rFonts w:cs="Calibri"/>
                <w:color w:val="FFFFFF" w:themeColor="background1"/>
                <w:sz w:val="18"/>
                <w:szCs w:val="18"/>
              </w:rPr>
            </w:pPr>
            <w:r w:rsidRPr="003E6941">
              <w:rPr>
                <w:rFonts w:cs="Calibri"/>
                <w:color w:val="FFFFFF" w:themeColor="background1"/>
                <w:sz w:val="18"/>
                <w:szCs w:val="18"/>
              </w:rPr>
              <w:t xml:space="preserve">Although CSO revenue is not separately identified in the Appropriation Act, CSO revenue is an identifiable sub-category of CRP revenue and is separately disclosed in the </w:t>
            </w:r>
            <w:r w:rsidR="00F86F80" w:rsidRPr="003E6941">
              <w:rPr>
                <w:rFonts w:cs="Calibri"/>
                <w:color w:val="FFFFFF" w:themeColor="background1"/>
                <w:sz w:val="18"/>
                <w:szCs w:val="18"/>
              </w:rPr>
              <w:t>Statement of Appropriation</w:t>
            </w:r>
            <w:r w:rsidRPr="003E6941">
              <w:rPr>
                <w:rFonts w:cs="Calibri"/>
                <w:color w:val="FFFFFF" w:themeColor="background1"/>
                <w:sz w:val="18"/>
                <w:szCs w:val="18"/>
              </w:rPr>
              <w:t>.</w:t>
            </w:r>
            <w:r w:rsidR="00FA7C77">
              <w:rPr>
                <w:rFonts w:cs="Calibri"/>
                <w:color w:val="FFFFFF" w:themeColor="background1"/>
                <w:sz w:val="18"/>
                <w:szCs w:val="18"/>
              </w:rPr>
              <w:t xml:space="preserve"> </w:t>
            </w:r>
          </w:p>
        </w:tc>
      </w:tr>
      <w:tr w:rsidR="00F5529C" w:rsidRPr="00D37A89" w14:paraId="573036AF" w14:textId="77777777" w:rsidTr="004D1EC6">
        <w:trPr>
          <w:cantSplit/>
          <w:trHeight w:val="288"/>
        </w:trPr>
        <w:tc>
          <w:tcPr>
            <w:tcW w:w="1563" w:type="dxa"/>
            <w:tcBorders>
              <w:top w:val="nil"/>
              <w:left w:val="single" w:sz="2" w:space="0" w:color="auto"/>
              <w:bottom w:val="nil"/>
              <w:right w:val="single" w:sz="2" w:space="0" w:color="auto"/>
            </w:tcBorders>
          </w:tcPr>
          <w:p w14:paraId="2FF1BCFB"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67EBABF1" w14:textId="6A08304D" w:rsidR="00F5529C" w:rsidRPr="00552ECB" w:rsidRDefault="00F5529C" w:rsidP="00CC1E25">
            <w:pPr>
              <w:spacing w:after="40"/>
              <w:jc w:val="both"/>
              <w:rPr>
                <w:rFonts w:cs="Calibri"/>
                <w:color w:val="FFFFFF" w:themeColor="background1"/>
                <w:sz w:val="20"/>
                <w:szCs w:val="20"/>
              </w:rPr>
            </w:pPr>
            <w:r w:rsidRPr="00552ECB">
              <w:rPr>
                <w:rFonts w:cs="Calibri"/>
                <w:b/>
                <w:bCs/>
                <w:color w:val="FFFFFF" w:themeColor="background1"/>
                <w:sz w:val="20"/>
                <w:szCs w:val="20"/>
              </w:rPr>
              <w:t>Territory Authority Commentary</w:t>
            </w:r>
          </w:p>
        </w:tc>
      </w:tr>
      <w:tr w:rsidR="00F5529C" w:rsidRPr="00D37A89" w14:paraId="057D53AB" w14:textId="77777777" w:rsidTr="004D1EC6">
        <w:trPr>
          <w:cantSplit/>
          <w:trHeight w:val="288"/>
        </w:trPr>
        <w:tc>
          <w:tcPr>
            <w:tcW w:w="1563" w:type="dxa"/>
            <w:tcBorders>
              <w:top w:val="nil"/>
              <w:left w:val="single" w:sz="2" w:space="0" w:color="auto"/>
              <w:bottom w:val="nil"/>
              <w:right w:val="single" w:sz="2" w:space="0" w:color="auto"/>
            </w:tcBorders>
          </w:tcPr>
          <w:p w14:paraId="3F581C2E" w14:textId="77777777" w:rsidR="00F5529C" w:rsidRPr="003E6941" w:rsidRDefault="00F5529C" w:rsidP="00F5529C">
            <w:pPr>
              <w:pStyle w:val="TableReference"/>
              <w:tabs>
                <w:tab w:val="left" w:pos="3306"/>
              </w:tabs>
              <w:spacing w:before="40"/>
              <w:rPr>
                <w:rFonts w:cs="Calibri"/>
                <w:color w:val="7030A0"/>
                <w:sz w:val="14"/>
              </w:rPr>
            </w:pPr>
            <w:r w:rsidRPr="003E6941">
              <w:rPr>
                <w:rFonts w:cs="Calibri"/>
                <w:color w:val="7030A0"/>
                <w:sz w:val="14"/>
              </w:rPr>
              <w:t>AASB 107.14 (a)</w:t>
            </w:r>
          </w:p>
          <w:p w14:paraId="2C7CFA6E"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1A0161E" w14:textId="5C2BF364" w:rsidR="00F5529C" w:rsidRPr="003E6941" w:rsidRDefault="007B6D4A" w:rsidP="00F5529C">
            <w:pPr>
              <w:spacing w:after="120"/>
              <w:jc w:val="both"/>
              <w:rPr>
                <w:rFonts w:cs="Calibri"/>
                <w:color w:val="FFFFFF" w:themeColor="background1"/>
                <w:sz w:val="18"/>
                <w:szCs w:val="18"/>
              </w:rPr>
            </w:pPr>
            <w:r w:rsidRPr="003E6941">
              <w:rPr>
                <w:color w:val="FFFFFF" w:themeColor="background1"/>
                <w:sz w:val="18"/>
                <w:szCs w:val="18"/>
              </w:rPr>
              <w:t xml:space="preserve">The </w:t>
            </w:r>
            <w:r w:rsidRPr="003E6941">
              <w:rPr>
                <w:i/>
                <w:iCs/>
                <w:color w:val="FFFFFF" w:themeColor="background1"/>
                <w:sz w:val="18"/>
                <w:szCs w:val="18"/>
              </w:rPr>
              <w:t>Financial Management Act 1996</w:t>
            </w:r>
            <w:r w:rsidRPr="003E6941">
              <w:rPr>
                <w:color w:val="FFFFFF" w:themeColor="background1"/>
                <w:sz w:val="18"/>
                <w:szCs w:val="18"/>
              </w:rPr>
              <w:t xml:space="preserve"> </w:t>
            </w:r>
            <w:r w:rsidR="002E2219">
              <w:rPr>
                <w:color w:val="FFFFFF" w:themeColor="background1"/>
                <w:sz w:val="18"/>
                <w:szCs w:val="18"/>
              </w:rPr>
              <w:t xml:space="preserve">(FMA) </w:t>
            </w:r>
            <w:r w:rsidRPr="003E6941">
              <w:rPr>
                <w:color w:val="FFFFFF" w:themeColor="background1"/>
                <w:sz w:val="18"/>
                <w:szCs w:val="18"/>
              </w:rPr>
              <w:t>allows some territory authorities to receive CRP directly from the ACT Government.</w:t>
            </w:r>
            <w:r w:rsidR="00FA7C77">
              <w:rPr>
                <w:color w:val="FFFFFF" w:themeColor="background1"/>
                <w:sz w:val="18"/>
                <w:szCs w:val="18"/>
              </w:rPr>
              <w:t xml:space="preserve"> </w:t>
            </w:r>
            <w:r w:rsidRPr="003E6941">
              <w:rPr>
                <w:color w:val="FFFFFF" w:themeColor="background1"/>
                <w:sz w:val="18"/>
                <w:szCs w:val="18"/>
              </w:rPr>
              <w:t>Territory authorities that receive CRP will need to include the Statement of Appropriation, as provided in the Model, in their Financial Statements.</w:t>
            </w:r>
            <w:r w:rsidR="00FA7C77">
              <w:rPr>
                <w:color w:val="FFFFFF" w:themeColor="background1"/>
                <w:sz w:val="18"/>
                <w:szCs w:val="18"/>
              </w:rPr>
              <w:t xml:space="preserve"> </w:t>
            </w:r>
            <w:r w:rsidRPr="003E6941">
              <w:rPr>
                <w:color w:val="FFFFFF" w:themeColor="background1"/>
                <w:sz w:val="18"/>
                <w:szCs w:val="18"/>
              </w:rPr>
              <w:t xml:space="preserve">Authorities that do not receive CRP are </w:t>
            </w:r>
            <w:r w:rsidRPr="00C9508B">
              <w:rPr>
                <w:strike/>
                <w:color w:val="FF0000"/>
                <w:sz w:val="18"/>
                <w:szCs w:val="18"/>
              </w:rPr>
              <w:t>therefore</w:t>
            </w:r>
            <w:r w:rsidRPr="003E6941">
              <w:rPr>
                <w:color w:val="FFFFFF" w:themeColor="background1"/>
                <w:sz w:val="18"/>
                <w:szCs w:val="18"/>
              </w:rPr>
              <w:t xml:space="preserve"> not required to include a Statement of Appropriation in their Financial Statements.</w:t>
            </w:r>
            <w:r w:rsidR="00FA7C77">
              <w:rPr>
                <w:rFonts w:cs="Calibri"/>
                <w:color w:val="FFFFFF" w:themeColor="background1"/>
                <w:sz w:val="18"/>
                <w:szCs w:val="18"/>
              </w:rPr>
              <w:t xml:space="preserve"> </w:t>
            </w:r>
          </w:p>
        </w:tc>
      </w:tr>
    </w:tbl>
    <w:p w14:paraId="6A77DB34" w14:textId="77777777" w:rsidR="00D37A89" w:rsidRPr="00D37A89" w:rsidRDefault="00D37A89" w:rsidP="00D37A89"/>
    <w:p w14:paraId="132157D9" w14:textId="77777777" w:rsidR="00D37A89" w:rsidRDefault="00D37A89" w:rsidP="00D37A89">
      <w:pPr>
        <w:rPr>
          <w:b/>
          <w:sz w:val="40"/>
          <w:szCs w:val="40"/>
        </w:rPr>
        <w:sectPr w:rsidR="00D37A89" w:rsidSect="004514CD">
          <w:headerReference w:type="default" r:id="rId32"/>
          <w:footnotePr>
            <w:numRestart w:val="eachPage"/>
          </w:footnotePr>
          <w:pgSz w:w="11907" w:h="16840" w:code="9"/>
          <w:pgMar w:top="1134" w:right="680" w:bottom="567" w:left="680" w:header="720" w:footer="720" w:gutter="0"/>
          <w:cols w:space="720"/>
        </w:sectPr>
      </w:pPr>
    </w:p>
    <w:p w14:paraId="0DD91DB2" w14:textId="35DD56FA" w:rsidR="000144FF" w:rsidRPr="00572AEC" w:rsidRDefault="000144FF" w:rsidP="00574DE1">
      <w:pPr>
        <w:spacing w:line="400" w:lineRule="exact"/>
        <w:jc w:val="center"/>
        <w:rPr>
          <w:b/>
          <w:sz w:val="40"/>
          <w:szCs w:val="40"/>
        </w:rPr>
      </w:pPr>
      <w:bookmarkStart w:id="266" w:name="_Toc194918645"/>
      <w:bookmarkEnd w:id="242"/>
      <w:r w:rsidRPr="00572AEC">
        <w:rPr>
          <w:b/>
          <w:sz w:val="40"/>
          <w:szCs w:val="40"/>
        </w:rPr>
        <w:t>‘</w:t>
      </w:r>
      <w:r w:rsidR="00CB5FDC" w:rsidRPr="00572AEC">
        <w:rPr>
          <w:rFonts w:asciiTheme="minorHAnsi" w:hAnsiTheme="minorHAnsi" w:cstheme="minorHAnsi"/>
          <w:b/>
          <w:bCs/>
          <w:sz w:val="40"/>
          <w:szCs w:val="24"/>
        </w:rPr>
        <w:t xml:space="preserve">Burley Griffin </w:t>
      </w:r>
      <w:r w:rsidR="002B361F" w:rsidRPr="00572AEC">
        <w:rPr>
          <w:b/>
          <w:sz w:val="40"/>
          <w:szCs w:val="40"/>
        </w:rPr>
        <w:t>Agency</w:t>
      </w:r>
      <w:r w:rsidRPr="00572AEC">
        <w:rPr>
          <w:b/>
          <w:sz w:val="40"/>
          <w:szCs w:val="40"/>
        </w:rPr>
        <w:t>’</w:t>
      </w:r>
      <w:bookmarkEnd w:id="266"/>
    </w:p>
    <w:p w14:paraId="5D54EA43" w14:textId="77777777" w:rsidR="000144FF" w:rsidRPr="00572AEC" w:rsidRDefault="000144FF" w:rsidP="00574DE1">
      <w:pPr>
        <w:pStyle w:val="Subtitle"/>
        <w:spacing w:line="400" w:lineRule="exact"/>
        <w:rPr>
          <w:rFonts w:asciiTheme="minorHAnsi" w:hAnsiTheme="minorHAnsi" w:cstheme="minorHAnsi"/>
        </w:rPr>
      </w:pPr>
      <w:bookmarkStart w:id="267" w:name="_Toc48468239"/>
      <w:bookmarkStart w:id="268" w:name="_Toc49155430"/>
      <w:bookmarkStart w:id="269" w:name="_Toc49223880"/>
      <w:bookmarkStart w:id="270" w:name="_Toc50440319"/>
      <w:bookmarkStart w:id="271" w:name="_Toc194918646"/>
      <w:bookmarkStart w:id="272" w:name="_Toc400627313"/>
      <w:bookmarkStart w:id="273" w:name="_Toc132743769"/>
      <w:r w:rsidRPr="00572AEC">
        <w:rPr>
          <w:rFonts w:asciiTheme="minorHAnsi" w:hAnsiTheme="minorHAnsi" w:cstheme="minorHAnsi"/>
        </w:rPr>
        <w:t>Operating Statement for Output Class 1 – Management of Land</w:t>
      </w:r>
      <w:bookmarkEnd w:id="267"/>
      <w:bookmarkEnd w:id="268"/>
      <w:bookmarkEnd w:id="269"/>
      <w:bookmarkEnd w:id="270"/>
      <w:bookmarkEnd w:id="271"/>
      <w:bookmarkEnd w:id="272"/>
      <w:bookmarkEnd w:id="273"/>
    </w:p>
    <w:p w14:paraId="1DABF9D0" w14:textId="28E62909" w:rsidR="000144FF" w:rsidRPr="00572AEC" w:rsidRDefault="000144FF" w:rsidP="00574DE1">
      <w:pPr>
        <w:spacing w:after="240" w:line="400" w:lineRule="exact"/>
        <w:jc w:val="center"/>
        <w:rPr>
          <w:b/>
          <w:sz w:val="40"/>
          <w:szCs w:val="40"/>
        </w:rPr>
      </w:pPr>
      <w:r w:rsidRPr="00572AEC">
        <w:rPr>
          <w:b/>
          <w:sz w:val="40"/>
          <w:szCs w:val="40"/>
        </w:rPr>
        <w:t xml:space="preserve">For the Year Ended 30 June </w:t>
      </w:r>
      <w:r w:rsidR="00C66E0D" w:rsidRPr="00572AEC">
        <w:rPr>
          <w:b/>
          <w:sz w:val="40"/>
          <w:szCs w:val="40"/>
        </w:rPr>
        <w:t>202</w:t>
      </w:r>
      <w:r w:rsidR="00826627">
        <w:rPr>
          <w:b/>
          <w:sz w:val="40"/>
          <w:szCs w:val="40"/>
        </w:rPr>
        <w:t>3</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5528"/>
        <w:gridCol w:w="1134"/>
        <w:gridCol w:w="992"/>
        <w:gridCol w:w="1276"/>
      </w:tblGrid>
      <w:tr w:rsidR="000144FF" w:rsidRPr="00CF7E1B" w14:paraId="7660BF9F" w14:textId="77777777" w:rsidTr="004D1EC6">
        <w:tc>
          <w:tcPr>
            <w:tcW w:w="1557" w:type="dxa"/>
            <w:tcBorders>
              <w:top w:val="nil"/>
              <w:left w:val="single" w:sz="2" w:space="0" w:color="auto"/>
              <w:bottom w:val="nil"/>
              <w:right w:val="single" w:sz="2" w:space="0" w:color="auto"/>
            </w:tcBorders>
            <w:vAlign w:val="bottom"/>
          </w:tcPr>
          <w:p w14:paraId="699B627F" w14:textId="77777777" w:rsidR="000144FF" w:rsidRPr="00572AEC" w:rsidRDefault="000144FF" w:rsidP="00421D32">
            <w:pPr>
              <w:pStyle w:val="Reference"/>
              <w:tabs>
                <w:tab w:val="left" w:pos="3306"/>
              </w:tabs>
              <w:rPr>
                <w:rFonts w:cs="Calibri"/>
                <w:color w:val="7030A0"/>
                <w:sz w:val="22"/>
                <w:szCs w:val="22"/>
              </w:rPr>
            </w:pPr>
            <w:bookmarkStart w:id="274" w:name="_Toc48468240"/>
            <w:bookmarkStart w:id="275" w:name="_Toc49155431"/>
            <w:bookmarkStart w:id="276" w:name="_Toc49223881"/>
            <w:r w:rsidRPr="00572AEC">
              <w:rPr>
                <w:rFonts w:cs="Calibri"/>
                <w:color w:val="7030A0"/>
                <w:sz w:val="22"/>
                <w:szCs w:val="22"/>
              </w:rPr>
              <w:t>Reference</w:t>
            </w:r>
            <w:bookmarkEnd w:id="274"/>
            <w:bookmarkEnd w:id="275"/>
            <w:bookmarkEnd w:id="276"/>
          </w:p>
        </w:tc>
        <w:tc>
          <w:tcPr>
            <w:tcW w:w="8930" w:type="dxa"/>
            <w:gridSpan w:val="4"/>
            <w:tcBorders>
              <w:top w:val="nil"/>
              <w:left w:val="single" w:sz="2" w:space="0" w:color="auto"/>
              <w:bottom w:val="nil"/>
              <w:right w:val="nil"/>
            </w:tcBorders>
            <w:vAlign w:val="bottom"/>
          </w:tcPr>
          <w:p w14:paraId="091E9C59" w14:textId="77777777" w:rsidR="000144FF" w:rsidRPr="003437E5" w:rsidRDefault="003437E5" w:rsidP="00786CB8">
            <w:pPr>
              <w:pStyle w:val="CommentaryHeading"/>
              <w:tabs>
                <w:tab w:val="left" w:pos="3306"/>
              </w:tabs>
              <w:spacing w:before="0" w:after="120"/>
              <w:rPr>
                <w:rFonts w:cs="Calibri"/>
                <w:sz w:val="24"/>
                <w:szCs w:val="24"/>
              </w:rPr>
            </w:pPr>
            <w:r w:rsidRPr="003437E5">
              <w:rPr>
                <w:sz w:val="24"/>
                <w:szCs w:val="24"/>
              </w:rPr>
              <w:t>Operating Statement for Output Class 1 – Management of Land</w:t>
            </w:r>
          </w:p>
        </w:tc>
      </w:tr>
      <w:tr w:rsidR="000144FF" w:rsidRPr="00CF7E1B" w14:paraId="1A01407B" w14:textId="77777777" w:rsidTr="004D1EC6">
        <w:tc>
          <w:tcPr>
            <w:tcW w:w="1557" w:type="dxa"/>
            <w:tcBorders>
              <w:top w:val="nil"/>
              <w:left w:val="single" w:sz="2" w:space="0" w:color="auto"/>
              <w:bottom w:val="nil"/>
              <w:right w:val="single" w:sz="2" w:space="0" w:color="auto"/>
            </w:tcBorders>
            <w:vAlign w:val="bottom"/>
          </w:tcPr>
          <w:p w14:paraId="78A426ED" w14:textId="77777777" w:rsidR="000144FF" w:rsidRPr="00572AEC" w:rsidRDefault="000144FF" w:rsidP="003437E5">
            <w:pPr>
              <w:pStyle w:val="Reference"/>
              <w:tabs>
                <w:tab w:val="left" w:pos="3306"/>
              </w:tabs>
              <w:spacing w:before="240" w:after="200"/>
              <w:rPr>
                <w:rFonts w:cs="Calibri"/>
                <w:b w:val="0"/>
                <w:bCs w:val="0"/>
                <w:color w:val="7030A0"/>
                <w:sz w:val="14"/>
                <w:szCs w:val="14"/>
              </w:rPr>
            </w:pPr>
          </w:p>
          <w:p w14:paraId="4C764F27" w14:textId="77777777" w:rsidR="00D15010" w:rsidRPr="00572AEC" w:rsidRDefault="00D15010">
            <w:pPr>
              <w:pStyle w:val="Reference"/>
              <w:tabs>
                <w:tab w:val="left" w:pos="3306"/>
              </w:tabs>
              <w:spacing w:before="60" w:after="200"/>
              <w:rPr>
                <w:rFonts w:cs="Calibri"/>
                <w:b w:val="0"/>
                <w:bCs w:val="0"/>
                <w:color w:val="7030A0"/>
                <w:sz w:val="14"/>
                <w:szCs w:val="14"/>
              </w:rPr>
            </w:pPr>
            <w:r w:rsidRPr="00572AEC">
              <w:rPr>
                <w:rFonts w:cs="Calibri"/>
                <w:b w:val="0"/>
                <w:bCs w:val="0"/>
                <w:color w:val="7030A0"/>
                <w:sz w:val="14"/>
                <w:szCs w:val="14"/>
              </w:rPr>
              <w:t>AASB 1052</w:t>
            </w:r>
            <w:r w:rsidR="00D65811" w:rsidRPr="00572AEC">
              <w:rPr>
                <w:rFonts w:cs="Calibri"/>
                <w:b w:val="0"/>
                <w:bCs w:val="0"/>
                <w:color w:val="7030A0"/>
                <w:sz w:val="14"/>
                <w:szCs w:val="14"/>
              </w:rPr>
              <w:t>.</w:t>
            </w:r>
            <w:r w:rsidRPr="00572AEC">
              <w:rPr>
                <w:rFonts w:cs="Calibri"/>
                <w:b w:val="0"/>
                <w:bCs w:val="0"/>
                <w:color w:val="7030A0"/>
                <w:sz w:val="14"/>
                <w:szCs w:val="14"/>
              </w:rPr>
              <w:t>15(a)</w:t>
            </w:r>
          </w:p>
        </w:tc>
        <w:tc>
          <w:tcPr>
            <w:tcW w:w="8930" w:type="dxa"/>
            <w:gridSpan w:val="4"/>
            <w:tcBorders>
              <w:top w:val="nil"/>
              <w:left w:val="single" w:sz="2" w:space="0" w:color="auto"/>
              <w:bottom w:val="nil"/>
              <w:right w:val="nil"/>
            </w:tcBorders>
            <w:vAlign w:val="bottom"/>
          </w:tcPr>
          <w:p w14:paraId="71C76B26" w14:textId="77777777" w:rsidR="000144FF" w:rsidRPr="00572AEC" w:rsidRDefault="000144FF" w:rsidP="003A2D8E">
            <w:pPr>
              <w:pStyle w:val="CommentaryHeading"/>
              <w:tabs>
                <w:tab w:val="left" w:pos="3306"/>
              </w:tabs>
              <w:spacing w:before="0" w:after="120"/>
              <w:rPr>
                <w:rFonts w:cs="Calibri"/>
                <w:sz w:val="18"/>
              </w:rPr>
            </w:pPr>
            <w:r w:rsidRPr="00572AEC">
              <w:rPr>
                <w:rFonts w:cs="Calibri"/>
                <w:sz w:val="18"/>
              </w:rPr>
              <w:t>Description</w:t>
            </w:r>
          </w:p>
          <w:p w14:paraId="0A6684CC" w14:textId="09DB7B92" w:rsidR="000144FF" w:rsidRPr="00572AEC" w:rsidRDefault="000144FF" w:rsidP="000926D0">
            <w:pPr>
              <w:pStyle w:val="TableTitle"/>
              <w:tabs>
                <w:tab w:val="left" w:pos="3306"/>
              </w:tabs>
              <w:spacing w:after="120"/>
              <w:jc w:val="both"/>
              <w:rPr>
                <w:rFonts w:cs="Calibri"/>
                <w:b w:val="0"/>
                <w:bCs w:val="0"/>
              </w:rPr>
            </w:pPr>
            <w:r w:rsidRPr="00572AEC">
              <w:rPr>
                <w:rFonts w:cs="Calibri"/>
                <w:b w:val="0"/>
                <w:bCs w:val="0"/>
              </w:rPr>
              <w:t>Output Class 1: ‘Management of Land’ includes the coordination of integrated land use, metropolitan planning, Land Act compliance, lease management services, land surveying</w:t>
            </w:r>
            <w:r w:rsidR="00DD2353" w:rsidRPr="00572AEC">
              <w:rPr>
                <w:rFonts w:cs="Calibri"/>
                <w:b w:val="0"/>
                <w:bCs w:val="0"/>
              </w:rPr>
              <w:t>,</w:t>
            </w:r>
            <w:r w:rsidRPr="00572AEC">
              <w:rPr>
                <w:rFonts w:cs="Calibri"/>
                <w:b w:val="0"/>
                <w:bCs w:val="0"/>
              </w:rPr>
              <w:t xml:space="preserve"> </w:t>
            </w:r>
            <w:r w:rsidR="00DD2353" w:rsidRPr="00572AEC">
              <w:rPr>
                <w:rFonts w:cs="Calibri"/>
                <w:b w:val="0"/>
                <w:bCs w:val="0"/>
              </w:rPr>
              <w:t xml:space="preserve">land sales </w:t>
            </w:r>
            <w:r w:rsidRPr="00572AEC">
              <w:rPr>
                <w:rFonts w:cs="Calibri"/>
                <w:b w:val="0"/>
                <w:bCs w:val="0"/>
              </w:rPr>
              <w:t>and the management of land and infrastructure.</w:t>
            </w:r>
            <w:r w:rsidR="00FA7C77">
              <w:rPr>
                <w:rFonts w:cs="Calibri"/>
                <w:b w:val="0"/>
                <w:bCs w:val="0"/>
              </w:rPr>
              <w:t xml:space="preserve"> </w:t>
            </w:r>
            <w:r w:rsidRPr="00572AEC">
              <w:rPr>
                <w:rFonts w:cs="Calibri"/>
                <w:b w:val="0"/>
                <w:bCs w:val="0"/>
              </w:rPr>
              <w:t xml:space="preserve"> </w:t>
            </w:r>
          </w:p>
        </w:tc>
      </w:tr>
      <w:tr w:rsidR="00F82E19" w:rsidRPr="00CF7E1B" w14:paraId="64520C51" w14:textId="77777777" w:rsidTr="004D1EC6">
        <w:tc>
          <w:tcPr>
            <w:tcW w:w="1557" w:type="dxa"/>
            <w:vMerge w:val="restart"/>
            <w:tcBorders>
              <w:top w:val="nil"/>
              <w:left w:val="single" w:sz="2" w:space="0" w:color="auto"/>
              <w:right w:val="single" w:sz="2" w:space="0" w:color="auto"/>
            </w:tcBorders>
            <w:vAlign w:val="bottom"/>
          </w:tcPr>
          <w:p w14:paraId="4230B623" w14:textId="1CFD506E" w:rsidR="007F6866" w:rsidRPr="00572AEC" w:rsidRDefault="00F82E19" w:rsidP="007F6866">
            <w:pPr>
              <w:pStyle w:val="TableReference"/>
              <w:tabs>
                <w:tab w:val="left" w:pos="3306"/>
              </w:tabs>
              <w:spacing w:before="40"/>
              <w:rPr>
                <w:rFonts w:cs="Calibri"/>
                <w:bCs/>
                <w:color w:val="7030A0"/>
                <w:sz w:val="14"/>
              </w:rPr>
            </w:pPr>
            <w:r w:rsidRPr="00572AEC">
              <w:rPr>
                <w:rFonts w:cs="Calibri"/>
                <w:color w:val="7030A0"/>
                <w:sz w:val="14"/>
              </w:rPr>
              <w:t xml:space="preserve">FMA Section 27(3)(a) Financial Management (Periodic &amp; Annual Financial Statements) Guidelines </w:t>
            </w:r>
            <w:r w:rsidR="007F6866" w:rsidRPr="00572AEC">
              <w:rPr>
                <w:rFonts w:cs="Calibri"/>
                <w:bCs/>
                <w:color w:val="7030A0"/>
                <w:sz w:val="14"/>
              </w:rPr>
              <w:t>2016</w:t>
            </w:r>
          </w:p>
          <w:p w14:paraId="2E868F97" w14:textId="77777777" w:rsidR="00F82E19" w:rsidRPr="00572AEC" w:rsidRDefault="00F82E19" w:rsidP="006A4EE4">
            <w:pPr>
              <w:pStyle w:val="Reference"/>
              <w:tabs>
                <w:tab w:val="left" w:pos="3306"/>
              </w:tabs>
              <w:rPr>
                <w:rFonts w:cs="Calibri"/>
                <w:b w:val="0"/>
                <w:bCs w:val="0"/>
                <w:color w:val="7030A0"/>
                <w:sz w:val="14"/>
                <w:szCs w:val="14"/>
              </w:rPr>
            </w:pPr>
            <w:r w:rsidRPr="00572AEC">
              <w:rPr>
                <w:rFonts w:cs="Calibri"/>
                <w:b w:val="0"/>
                <w:bCs w:val="0"/>
                <w:color w:val="7030A0"/>
                <w:sz w:val="14"/>
                <w:szCs w:val="14"/>
              </w:rPr>
              <w:t>Section 7(2)</w:t>
            </w:r>
          </w:p>
        </w:tc>
        <w:tc>
          <w:tcPr>
            <w:tcW w:w="5528" w:type="dxa"/>
            <w:tcBorders>
              <w:top w:val="nil"/>
              <w:left w:val="single" w:sz="2" w:space="0" w:color="auto"/>
              <w:bottom w:val="nil"/>
              <w:right w:val="nil"/>
            </w:tcBorders>
            <w:vAlign w:val="bottom"/>
          </w:tcPr>
          <w:p w14:paraId="7B3F5E2E" w14:textId="77777777" w:rsidR="00F82E19" w:rsidRPr="00572AEC" w:rsidRDefault="00F82E19">
            <w:pPr>
              <w:pStyle w:val="TableTitle"/>
              <w:tabs>
                <w:tab w:val="left" w:pos="3306"/>
              </w:tabs>
              <w:rPr>
                <w:rFonts w:cs="Calibri"/>
              </w:rPr>
            </w:pPr>
          </w:p>
        </w:tc>
        <w:tc>
          <w:tcPr>
            <w:tcW w:w="1134" w:type="dxa"/>
            <w:tcBorders>
              <w:top w:val="nil"/>
              <w:left w:val="nil"/>
              <w:bottom w:val="nil"/>
              <w:right w:val="nil"/>
            </w:tcBorders>
            <w:vAlign w:val="bottom"/>
          </w:tcPr>
          <w:p w14:paraId="490D121B" w14:textId="77777777" w:rsidR="00F82E19" w:rsidRPr="00572AEC" w:rsidRDefault="00F82E19">
            <w:pPr>
              <w:pStyle w:val="TableTitle"/>
              <w:tabs>
                <w:tab w:val="left" w:pos="3306"/>
              </w:tabs>
              <w:rPr>
                <w:rFonts w:cs="Calibri"/>
              </w:rPr>
            </w:pPr>
            <w:r w:rsidRPr="00572AEC">
              <w:rPr>
                <w:rFonts w:cs="Calibri"/>
              </w:rPr>
              <w:t>Actual</w:t>
            </w:r>
          </w:p>
          <w:p w14:paraId="1488E446" w14:textId="27CFDDFD" w:rsidR="00F82E19" w:rsidRPr="00572AEC" w:rsidRDefault="00F82E19" w:rsidP="001B231B">
            <w:pPr>
              <w:pStyle w:val="TableTitle"/>
              <w:tabs>
                <w:tab w:val="left" w:pos="3306"/>
              </w:tabs>
              <w:rPr>
                <w:rFonts w:cs="Calibri"/>
              </w:rPr>
            </w:pPr>
            <w:r w:rsidRPr="00572AEC">
              <w:rPr>
                <w:rFonts w:cs="Calibri"/>
              </w:rPr>
              <w:t>202</w:t>
            </w:r>
            <w:r w:rsidR="00826627">
              <w:rPr>
                <w:rFonts w:cs="Calibri"/>
              </w:rPr>
              <w:t>3</w:t>
            </w:r>
          </w:p>
          <w:p w14:paraId="632175F9" w14:textId="77777777" w:rsidR="00F82E19" w:rsidRPr="00572AEC" w:rsidRDefault="00F82E19">
            <w:pPr>
              <w:pStyle w:val="TableTitle"/>
              <w:tabs>
                <w:tab w:val="left" w:pos="3306"/>
              </w:tabs>
              <w:rPr>
                <w:rFonts w:cs="Calibri"/>
              </w:rPr>
            </w:pPr>
            <w:r w:rsidRPr="00572AEC">
              <w:rPr>
                <w:rFonts w:cs="Calibri"/>
              </w:rPr>
              <w:t>$’000</w:t>
            </w:r>
          </w:p>
        </w:tc>
        <w:tc>
          <w:tcPr>
            <w:tcW w:w="992" w:type="dxa"/>
            <w:tcBorders>
              <w:top w:val="nil"/>
              <w:left w:val="nil"/>
              <w:bottom w:val="nil"/>
              <w:right w:val="nil"/>
            </w:tcBorders>
            <w:vAlign w:val="bottom"/>
          </w:tcPr>
          <w:p w14:paraId="15B7BF88" w14:textId="77777777" w:rsidR="00F82E19" w:rsidRPr="00572AEC" w:rsidRDefault="00F82E19">
            <w:pPr>
              <w:pStyle w:val="TableTitle"/>
              <w:tabs>
                <w:tab w:val="left" w:pos="3306"/>
              </w:tabs>
              <w:rPr>
                <w:rFonts w:cs="Calibri"/>
              </w:rPr>
            </w:pPr>
            <w:r w:rsidRPr="00572AEC">
              <w:rPr>
                <w:rFonts w:cs="Calibri"/>
              </w:rPr>
              <w:t>Original Budget</w:t>
            </w:r>
          </w:p>
          <w:p w14:paraId="62A9FE63" w14:textId="1D29DE9E" w:rsidR="00F82E19" w:rsidRPr="00572AEC" w:rsidRDefault="00F82E19" w:rsidP="001B231B">
            <w:pPr>
              <w:pStyle w:val="TableTitle"/>
              <w:tabs>
                <w:tab w:val="left" w:pos="3306"/>
              </w:tabs>
              <w:rPr>
                <w:rFonts w:cs="Calibri"/>
              </w:rPr>
            </w:pPr>
            <w:r w:rsidRPr="00572AEC">
              <w:rPr>
                <w:rFonts w:cs="Calibri"/>
              </w:rPr>
              <w:t>202</w:t>
            </w:r>
            <w:r w:rsidR="00826627">
              <w:rPr>
                <w:rFonts w:cs="Calibri"/>
              </w:rPr>
              <w:t>3</w:t>
            </w:r>
          </w:p>
          <w:p w14:paraId="1478D607" w14:textId="77777777" w:rsidR="00F82E19" w:rsidRPr="00572AEC" w:rsidRDefault="00F82E19">
            <w:pPr>
              <w:pStyle w:val="TableTitle"/>
              <w:tabs>
                <w:tab w:val="left" w:pos="3306"/>
              </w:tabs>
              <w:rPr>
                <w:rFonts w:cs="Calibri"/>
              </w:rPr>
            </w:pPr>
            <w:r w:rsidRPr="00572AEC">
              <w:rPr>
                <w:rFonts w:cs="Calibri"/>
              </w:rPr>
              <w:t>$’000</w:t>
            </w:r>
          </w:p>
        </w:tc>
        <w:tc>
          <w:tcPr>
            <w:tcW w:w="1276" w:type="dxa"/>
            <w:tcBorders>
              <w:top w:val="nil"/>
              <w:left w:val="nil"/>
              <w:bottom w:val="nil"/>
              <w:right w:val="nil"/>
            </w:tcBorders>
            <w:vAlign w:val="bottom"/>
          </w:tcPr>
          <w:p w14:paraId="7AB78AD4" w14:textId="77777777" w:rsidR="00F82E19" w:rsidRPr="00572AEC" w:rsidRDefault="00F82E19">
            <w:pPr>
              <w:pStyle w:val="TableTitle"/>
              <w:tabs>
                <w:tab w:val="left" w:pos="3306"/>
              </w:tabs>
              <w:rPr>
                <w:rFonts w:cs="Calibri"/>
              </w:rPr>
            </w:pPr>
            <w:r w:rsidRPr="00572AEC">
              <w:rPr>
                <w:rFonts w:cs="Calibri"/>
              </w:rPr>
              <w:t>Actual</w:t>
            </w:r>
          </w:p>
          <w:p w14:paraId="6E55E15F" w14:textId="5366D7A0" w:rsidR="00F82E19" w:rsidRPr="00572AEC" w:rsidRDefault="00F82E19">
            <w:pPr>
              <w:pStyle w:val="TableTitle"/>
              <w:tabs>
                <w:tab w:val="left" w:pos="3306"/>
              </w:tabs>
              <w:rPr>
                <w:rFonts w:cs="Calibri"/>
              </w:rPr>
            </w:pPr>
            <w:r w:rsidRPr="00572AEC">
              <w:rPr>
                <w:rFonts w:cs="Calibri"/>
              </w:rPr>
              <w:t>202</w:t>
            </w:r>
            <w:r w:rsidR="00826627">
              <w:rPr>
                <w:rFonts w:cs="Calibri"/>
              </w:rPr>
              <w:t>2</w:t>
            </w:r>
          </w:p>
          <w:p w14:paraId="6FB3EB2D" w14:textId="77777777" w:rsidR="00F82E19" w:rsidRPr="00572AEC" w:rsidRDefault="00F82E19">
            <w:pPr>
              <w:pStyle w:val="TableTitle"/>
              <w:tabs>
                <w:tab w:val="left" w:pos="3306"/>
              </w:tabs>
              <w:rPr>
                <w:rFonts w:cs="Calibri"/>
              </w:rPr>
            </w:pPr>
            <w:r w:rsidRPr="00572AEC">
              <w:rPr>
                <w:rFonts w:cs="Calibri"/>
              </w:rPr>
              <w:t>$’000</w:t>
            </w:r>
          </w:p>
        </w:tc>
      </w:tr>
      <w:tr w:rsidR="00F82E19" w:rsidRPr="00CF7E1B" w14:paraId="0823844A" w14:textId="77777777" w:rsidTr="004D1EC6">
        <w:tc>
          <w:tcPr>
            <w:tcW w:w="1557" w:type="dxa"/>
            <w:vMerge/>
            <w:tcBorders>
              <w:top w:val="nil"/>
              <w:left w:val="single" w:sz="2" w:space="0" w:color="auto"/>
              <w:bottom w:val="nil"/>
              <w:right w:val="single" w:sz="2" w:space="0" w:color="auto"/>
            </w:tcBorders>
          </w:tcPr>
          <w:p w14:paraId="3AAF59B7" w14:textId="77777777" w:rsidR="00F82E19" w:rsidRPr="00572AEC" w:rsidRDefault="00F82E19">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4119699" w14:textId="77777777" w:rsidR="00F82E19" w:rsidRPr="00572AEC" w:rsidRDefault="00F82E19">
            <w:pPr>
              <w:pStyle w:val="TableText"/>
              <w:tabs>
                <w:tab w:val="left" w:pos="3306"/>
              </w:tabs>
              <w:rPr>
                <w:rFonts w:cs="Calibri"/>
                <w:b/>
                <w:bCs/>
              </w:rPr>
            </w:pPr>
            <w:r w:rsidRPr="00572AEC">
              <w:rPr>
                <w:rFonts w:cs="Calibri"/>
                <w:b/>
                <w:bCs/>
              </w:rPr>
              <w:t>Income</w:t>
            </w:r>
          </w:p>
        </w:tc>
        <w:tc>
          <w:tcPr>
            <w:tcW w:w="1134" w:type="dxa"/>
            <w:tcBorders>
              <w:top w:val="nil"/>
              <w:left w:val="nil"/>
              <w:bottom w:val="nil"/>
              <w:right w:val="nil"/>
            </w:tcBorders>
            <w:vAlign w:val="bottom"/>
          </w:tcPr>
          <w:p w14:paraId="61CB529B" w14:textId="77777777" w:rsidR="00F82E19" w:rsidRPr="00572AEC" w:rsidRDefault="00F82E19">
            <w:pPr>
              <w:pStyle w:val="TableText"/>
              <w:tabs>
                <w:tab w:val="left" w:pos="3306"/>
              </w:tabs>
              <w:jc w:val="right"/>
              <w:rPr>
                <w:rFonts w:cs="Calibri"/>
              </w:rPr>
            </w:pPr>
          </w:p>
        </w:tc>
        <w:tc>
          <w:tcPr>
            <w:tcW w:w="992" w:type="dxa"/>
            <w:tcBorders>
              <w:top w:val="nil"/>
              <w:left w:val="nil"/>
              <w:bottom w:val="nil"/>
              <w:right w:val="nil"/>
            </w:tcBorders>
            <w:vAlign w:val="bottom"/>
          </w:tcPr>
          <w:p w14:paraId="502CFB38" w14:textId="77777777" w:rsidR="00F82E19" w:rsidRPr="00572AEC" w:rsidRDefault="00F82E19">
            <w:pPr>
              <w:pStyle w:val="TableText"/>
              <w:tabs>
                <w:tab w:val="left" w:pos="3306"/>
              </w:tabs>
              <w:jc w:val="right"/>
              <w:rPr>
                <w:rFonts w:cs="Calibri"/>
              </w:rPr>
            </w:pPr>
          </w:p>
        </w:tc>
        <w:tc>
          <w:tcPr>
            <w:tcW w:w="1276" w:type="dxa"/>
            <w:tcBorders>
              <w:top w:val="nil"/>
              <w:left w:val="nil"/>
              <w:bottom w:val="nil"/>
              <w:right w:val="nil"/>
            </w:tcBorders>
            <w:vAlign w:val="bottom"/>
          </w:tcPr>
          <w:p w14:paraId="68AE774C" w14:textId="77777777" w:rsidR="00F82E19" w:rsidRPr="00572AEC" w:rsidRDefault="00F82E19">
            <w:pPr>
              <w:pStyle w:val="TableText"/>
              <w:tabs>
                <w:tab w:val="left" w:pos="3306"/>
              </w:tabs>
              <w:jc w:val="right"/>
              <w:rPr>
                <w:rFonts w:cs="Calibri"/>
              </w:rPr>
            </w:pPr>
          </w:p>
        </w:tc>
      </w:tr>
      <w:tr w:rsidR="000144FF" w:rsidRPr="00CF7E1B" w14:paraId="77B4D3E1" w14:textId="77777777" w:rsidTr="004D1EC6">
        <w:tc>
          <w:tcPr>
            <w:tcW w:w="1557" w:type="dxa"/>
            <w:tcBorders>
              <w:top w:val="nil"/>
              <w:left w:val="single" w:sz="2" w:space="0" w:color="auto"/>
              <w:bottom w:val="nil"/>
              <w:right w:val="single" w:sz="2" w:space="0" w:color="auto"/>
            </w:tcBorders>
          </w:tcPr>
          <w:p w14:paraId="5596D104" w14:textId="77777777" w:rsidR="000144FF" w:rsidRPr="00572AEC" w:rsidRDefault="000144FF">
            <w:pPr>
              <w:pStyle w:val="TableReference"/>
              <w:tabs>
                <w:tab w:val="left" w:pos="3306"/>
              </w:tabs>
              <w:spacing w:before="4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15DD60E5" w14:textId="77777777" w:rsidR="000144FF" w:rsidRPr="001E1601" w:rsidRDefault="000144FF">
            <w:pPr>
              <w:pStyle w:val="TableText"/>
              <w:tabs>
                <w:tab w:val="left" w:pos="3306"/>
              </w:tabs>
              <w:rPr>
                <w:rFonts w:cs="Calibri"/>
                <w:i/>
                <w:iCs/>
                <w:strike/>
                <w:color w:val="FF0000"/>
              </w:rPr>
            </w:pPr>
            <w:r w:rsidRPr="001E1601">
              <w:rPr>
                <w:rFonts w:cs="Calibri"/>
                <w:i/>
                <w:iCs/>
                <w:strike/>
                <w:color w:val="FF0000"/>
              </w:rPr>
              <w:t>Revenue</w:t>
            </w:r>
          </w:p>
        </w:tc>
        <w:tc>
          <w:tcPr>
            <w:tcW w:w="1134" w:type="dxa"/>
            <w:tcBorders>
              <w:top w:val="nil"/>
              <w:left w:val="nil"/>
              <w:bottom w:val="nil"/>
              <w:right w:val="nil"/>
            </w:tcBorders>
            <w:vAlign w:val="bottom"/>
          </w:tcPr>
          <w:p w14:paraId="68DAEDE2" w14:textId="77777777" w:rsidR="000144FF" w:rsidRPr="00572AEC"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1E4D5E3" w14:textId="77777777" w:rsidR="000144FF" w:rsidRPr="00572AEC" w:rsidRDefault="000144FF">
            <w:pPr>
              <w:pStyle w:val="TableText"/>
              <w:tabs>
                <w:tab w:val="left" w:pos="3306"/>
              </w:tabs>
              <w:jc w:val="right"/>
              <w:rPr>
                <w:rFonts w:cs="Calibri"/>
              </w:rPr>
            </w:pPr>
          </w:p>
        </w:tc>
        <w:tc>
          <w:tcPr>
            <w:tcW w:w="1276" w:type="dxa"/>
            <w:tcBorders>
              <w:top w:val="nil"/>
              <w:left w:val="nil"/>
              <w:bottom w:val="nil"/>
              <w:right w:val="nil"/>
            </w:tcBorders>
            <w:vAlign w:val="bottom"/>
          </w:tcPr>
          <w:p w14:paraId="32EE36B0" w14:textId="77777777" w:rsidR="000144FF" w:rsidRPr="00572AEC" w:rsidRDefault="000144FF">
            <w:pPr>
              <w:pStyle w:val="TableText"/>
              <w:tabs>
                <w:tab w:val="left" w:pos="3306"/>
              </w:tabs>
              <w:jc w:val="right"/>
              <w:rPr>
                <w:rFonts w:cs="Calibri"/>
              </w:rPr>
            </w:pPr>
          </w:p>
        </w:tc>
      </w:tr>
      <w:tr w:rsidR="000144FF" w:rsidRPr="00CF7E1B" w14:paraId="0A8D8155" w14:textId="77777777" w:rsidTr="004D1EC6">
        <w:tc>
          <w:tcPr>
            <w:tcW w:w="1557" w:type="dxa"/>
            <w:tcBorders>
              <w:top w:val="nil"/>
              <w:left w:val="single" w:sz="2" w:space="0" w:color="auto"/>
              <w:bottom w:val="nil"/>
              <w:right w:val="single" w:sz="2" w:space="0" w:color="auto"/>
            </w:tcBorders>
          </w:tcPr>
          <w:p w14:paraId="6F3145B0" w14:textId="77777777" w:rsidR="00D15010" w:rsidRPr="00572AEC" w:rsidRDefault="00D15010">
            <w:pPr>
              <w:pStyle w:val="TableReference"/>
              <w:tabs>
                <w:tab w:val="left" w:pos="3306"/>
              </w:tabs>
              <w:spacing w:before="60"/>
              <w:rPr>
                <w:rFonts w:cs="Calibri"/>
                <w:color w:val="7030A0"/>
                <w:sz w:val="14"/>
                <w:highlight w:val="cyan"/>
              </w:rPr>
            </w:pPr>
            <w:r w:rsidRPr="00572AEC">
              <w:rPr>
                <w:rFonts w:cs="Calibri"/>
                <w:color w:val="7030A0"/>
                <w:sz w:val="14"/>
              </w:rPr>
              <w:t>AASB 1052</w:t>
            </w:r>
            <w:r w:rsidR="00D65811" w:rsidRPr="00572AEC">
              <w:rPr>
                <w:rFonts w:cs="Calibri"/>
                <w:color w:val="7030A0"/>
                <w:sz w:val="14"/>
              </w:rPr>
              <w:t>.</w:t>
            </w:r>
            <w:r w:rsidRPr="00572AEC">
              <w:rPr>
                <w:rFonts w:cs="Calibri"/>
                <w:color w:val="7030A0"/>
                <w:sz w:val="14"/>
              </w:rPr>
              <w:t>15(d)</w:t>
            </w:r>
          </w:p>
        </w:tc>
        <w:tc>
          <w:tcPr>
            <w:tcW w:w="5528" w:type="dxa"/>
            <w:tcBorders>
              <w:top w:val="nil"/>
              <w:left w:val="single" w:sz="2" w:space="0" w:color="auto"/>
              <w:bottom w:val="nil"/>
              <w:right w:val="nil"/>
            </w:tcBorders>
            <w:vAlign w:val="bottom"/>
          </w:tcPr>
          <w:p w14:paraId="504B60F4" w14:textId="77777777" w:rsidR="000144FF" w:rsidRPr="00572AEC" w:rsidRDefault="00EB3A0D">
            <w:pPr>
              <w:pStyle w:val="TableText"/>
              <w:tabs>
                <w:tab w:val="left" w:pos="3306"/>
              </w:tabs>
              <w:rPr>
                <w:rFonts w:cs="Calibri"/>
                <w:strike/>
              </w:rPr>
            </w:pPr>
            <w:r w:rsidRPr="00572AEC">
              <w:rPr>
                <w:rFonts w:cs="Calibri"/>
              </w:rPr>
              <w:t>Controlled Recurrent Payments</w:t>
            </w:r>
          </w:p>
        </w:tc>
        <w:tc>
          <w:tcPr>
            <w:tcW w:w="1134" w:type="dxa"/>
            <w:tcBorders>
              <w:top w:val="nil"/>
              <w:left w:val="nil"/>
              <w:bottom w:val="nil"/>
              <w:right w:val="nil"/>
            </w:tcBorders>
            <w:vAlign w:val="bottom"/>
          </w:tcPr>
          <w:p w14:paraId="76D35FC2" w14:textId="77777777" w:rsidR="000144FF" w:rsidRPr="00572AEC"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60D7DA1" w14:textId="77777777" w:rsidR="000144FF" w:rsidRPr="00572AEC" w:rsidRDefault="000144FF">
            <w:pPr>
              <w:pStyle w:val="TableText"/>
              <w:tabs>
                <w:tab w:val="left" w:pos="3306"/>
              </w:tabs>
              <w:jc w:val="right"/>
              <w:rPr>
                <w:rFonts w:cs="Calibri"/>
              </w:rPr>
            </w:pPr>
          </w:p>
        </w:tc>
        <w:tc>
          <w:tcPr>
            <w:tcW w:w="1276" w:type="dxa"/>
            <w:tcBorders>
              <w:top w:val="nil"/>
              <w:left w:val="nil"/>
              <w:bottom w:val="nil"/>
              <w:right w:val="nil"/>
            </w:tcBorders>
            <w:vAlign w:val="bottom"/>
          </w:tcPr>
          <w:p w14:paraId="6E994F8B" w14:textId="77777777" w:rsidR="000144FF" w:rsidRPr="00572AEC" w:rsidRDefault="000144FF">
            <w:pPr>
              <w:pStyle w:val="TableText"/>
              <w:tabs>
                <w:tab w:val="left" w:pos="3306"/>
              </w:tabs>
              <w:jc w:val="right"/>
              <w:rPr>
                <w:rFonts w:cs="Calibri"/>
              </w:rPr>
            </w:pPr>
          </w:p>
        </w:tc>
      </w:tr>
      <w:tr w:rsidR="00936AB8" w:rsidRPr="00CF7E1B" w14:paraId="36284392" w14:textId="77777777" w:rsidTr="004D1EC6">
        <w:tc>
          <w:tcPr>
            <w:tcW w:w="1557" w:type="dxa"/>
            <w:tcBorders>
              <w:top w:val="nil"/>
              <w:left w:val="single" w:sz="2" w:space="0" w:color="auto"/>
              <w:bottom w:val="nil"/>
              <w:right w:val="single" w:sz="2" w:space="0" w:color="auto"/>
            </w:tcBorders>
          </w:tcPr>
          <w:p w14:paraId="002350AD"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65DAB6D7" w14:textId="270C3230" w:rsidR="00936AB8" w:rsidRPr="00572AEC" w:rsidRDefault="00197E49" w:rsidP="00421D32">
            <w:pPr>
              <w:pStyle w:val="TableText"/>
              <w:tabs>
                <w:tab w:val="left" w:pos="3306"/>
              </w:tabs>
              <w:rPr>
                <w:rFonts w:cs="Calibri"/>
              </w:rPr>
            </w:pPr>
            <w:r w:rsidRPr="00572AEC">
              <w:rPr>
                <w:rFonts w:cs="Calibri"/>
              </w:rPr>
              <w:t xml:space="preserve">Sales of Goods and Services </w:t>
            </w:r>
            <w:r w:rsidR="00936AB8" w:rsidRPr="00572AEC">
              <w:rPr>
                <w:rFonts w:cs="Calibri"/>
              </w:rPr>
              <w:t>fro</w:t>
            </w:r>
            <w:r w:rsidR="00421D32" w:rsidRPr="00572AEC">
              <w:rPr>
                <w:rFonts w:cs="Calibri"/>
              </w:rPr>
              <w:t>m</w:t>
            </w:r>
            <w:r w:rsidR="00936AB8" w:rsidRPr="00572AEC">
              <w:rPr>
                <w:rFonts w:cs="Calibri"/>
              </w:rPr>
              <w:t xml:space="preserve"> Contracts with Customers</w:t>
            </w:r>
          </w:p>
        </w:tc>
        <w:tc>
          <w:tcPr>
            <w:tcW w:w="1134" w:type="dxa"/>
            <w:tcBorders>
              <w:top w:val="nil"/>
              <w:left w:val="nil"/>
              <w:bottom w:val="nil"/>
              <w:right w:val="nil"/>
            </w:tcBorders>
            <w:shd w:val="clear" w:color="auto" w:fill="auto"/>
            <w:vAlign w:val="bottom"/>
          </w:tcPr>
          <w:p w14:paraId="12A54694" w14:textId="77777777" w:rsidR="00936AB8" w:rsidRPr="00572AEC" w:rsidRDefault="00936AB8"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69914FEA" w14:textId="77777777" w:rsidR="00936AB8" w:rsidRPr="00572AEC" w:rsidRDefault="00936AB8"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06B3AE09" w14:textId="77777777" w:rsidR="00936AB8" w:rsidRPr="00572AEC" w:rsidRDefault="00936AB8" w:rsidP="00936AB8">
            <w:pPr>
              <w:pStyle w:val="TableText"/>
              <w:tabs>
                <w:tab w:val="left" w:pos="3306"/>
              </w:tabs>
              <w:jc w:val="right"/>
              <w:rPr>
                <w:rFonts w:cs="Calibri"/>
              </w:rPr>
            </w:pPr>
          </w:p>
        </w:tc>
      </w:tr>
      <w:tr w:rsidR="00421D32" w:rsidRPr="00CF7E1B" w14:paraId="439FAD2C" w14:textId="77777777" w:rsidTr="004D1EC6">
        <w:tc>
          <w:tcPr>
            <w:tcW w:w="1557" w:type="dxa"/>
            <w:tcBorders>
              <w:top w:val="nil"/>
              <w:left w:val="single" w:sz="2" w:space="0" w:color="auto"/>
              <w:bottom w:val="nil"/>
              <w:right w:val="single" w:sz="2" w:space="0" w:color="auto"/>
            </w:tcBorders>
          </w:tcPr>
          <w:p w14:paraId="5FF9F955" w14:textId="77DEDC76" w:rsidR="00421D32" w:rsidRPr="00572AEC" w:rsidRDefault="00776995"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13DF2D4A" w14:textId="63ED4B7D" w:rsidR="00421D32" w:rsidRPr="00572AEC" w:rsidRDefault="00685FDE" w:rsidP="00421D32">
            <w:pPr>
              <w:pStyle w:val="TableText"/>
              <w:tabs>
                <w:tab w:val="left" w:pos="3306"/>
              </w:tabs>
              <w:rPr>
                <w:rFonts w:cs="Calibri"/>
              </w:rPr>
            </w:pPr>
            <w:r w:rsidRPr="00572AEC">
              <w:rPr>
                <w:rFonts w:cs="Calibri"/>
              </w:rPr>
              <w:t xml:space="preserve">Grants and </w:t>
            </w:r>
            <w:r w:rsidR="00421D32" w:rsidRPr="00572AEC">
              <w:rPr>
                <w:rFonts w:cs="Calibri"/>
              </w:rPr>
              <w:t>Contributions</w:t>
            </w:r>
            <w:r w:rsidR="000E31C1" w:rsidRPr="00572AEC">
              <w:rPr>
                <w:rFonts w:cs="Calibri"/>
              </w:rPr>
              <w:t xml:space="preserve"> Revenue</w:t>
            </w:r>
          </w:p>
        </w:tc>
        <w:tc>
          <w:tcPr>
            <w:tcW w:w="1134" w:type="dxa"/>
            <w:tcBorders>
              <w:top w:val="nil"/>
              <w:left w:val="nil"/>
              <w:bottom w:val="nil"/>
              <w:right w:val="nil"/>
            </w:tcBorders>
            <w:shd w:val="clear" w:color="auto" w:fill="auto"/>
            <w:vAlign w:val="bottom"/>
          </w:tcPr>
          <w:p w14:paraId="73D92993" w14:textId="77777777" w:rsidR="00421D32" w:rsidRPr="00572AEC" w:rsidRDefault="00421D32"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6D1CE75B" w14:textId="77777777" w:rsidR="00421D32" w:rsidRPr="00572AEC" w:rsidRDefault="00421D32"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08E4911D" w14:textId="77777777" w:rsidR="00421D32" w:rsidRPr="00572AEC" w:rsidRDefault="00421D32" w:rsidP="00936AB8">
            <w:pPr>
              <w:pStyle w:val="TableText"/>
              <w:tabs>
                <w:tab w:val="left" w:pos="3306"/>
              </w:tabs>
              <w:jc w:val="right"/>
              <w:rPr>
                <w:rFonts w:cs="Calibri"/>
              </w:rPr>
            </w:pPr>
          </w:p>
        </w:tc>
      </w:tr>
      <w:tr w:rsidR="00421D32" w:rsidRPr="00CF7E1B" w14:paraId="0A36EBBB" w14:textId="77777777" w:rsidTr="004D1EC6">
        <w:tc>
          <w:tcPr>
            <w:tcW w:w="1557" w:type="dxa"/>
            <w:tcBorders>
              <w:top w:val="nil"/>
              <w:left w:val="single" w:sz="2" w:space="0" w:color="auto"/>
              <w:bottom w:val="nil"/>
              <w:right w:val="single" w:sz="2" w:space="0" w:color="auto"/>
            </w:tcBorders>
          </w:tcPr>
          <w:p w14:paraId="47AE4007" w14:textId="2DADFC97" w:rsidR="00421D32" w:rsidRPr="00572AEC" w:rsidRDefault="00776995"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02DB171A" w14:textId="6B4E768E" w:rsidR="00421D32" w:rsidRPr="00572AEC" w:rsidRDefault="00421D32" w:rsidP="00421D32">
            <w:pPr>
              <w:pStyle w:val="TableText"/>
              <w:tabs>
                <w:tab w:val="left" w:pos="3306"/>
              </w:tabs>
              <w:rPr>
                <w:rFonts w:cs="Calibri"/>
              </w:rPr>
            </w:pPr>
            <w:r w:rsidRPr="00572AEC">
              <w:rPr>
                <w:rFonts w:cs="Calibri"/>
              </w:rPr>
              <w:t>Investment Revenue</w:t>
            </w:r>
          </w:p>
        </w:tc>
        <w:tc>
          <w:tcPr>
            <w:tcW w:w="1134" w:type="dxa"/>
            <w:tcBorders>
              <w:top w:val="nil"/>
              <w:left w:val="nil"/>
              <w:bottom w:val="nil"/>
              <w:right w:val="nil"/>
            </w:tcBorders>
            <w:shd w:val="clear" w:color="auto" w:fill="auto"/>
            <w:vAlign w:val="bottom"/>
          </w:tcPr>
          <w:p w14:paraId="2A11E9A8" w14:textId="77777777" w:rsidR="00421D32" w:rsidRPr="00572AEC" w:rsidRDefault="00421D32"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0C3DA821" w14:textId="77777777" w:rsidR="00421D32" w:rsidRPr="00572AEC" w:rsidRDefault="00421D32"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3467B927" w14:textId="77777777" w:rsidR="00421D32" w:rsidRPr="00572AEC" w:rsidRDefault="00421D32" w:rsidP="00936AB8">
            <w:pPr>
              <w:pStyle w:val="TableText"/>
              <w:tabs>
                <w:tab w:val="left" w:pos="3306"/>
              </w:tabs>
              <w:jc w:val="right"/>
              <w:rPr>
                <w:rFonts w:cs="Calibri"/>
              </w:rPr>
            </w:pPr>
          </w:p>
        </w:tc>
      </w:tr>
      <w:tr w:rsidR="00636A09" w:rsidRPr="00CF7E1B" w14:paraId="02D36817" w14:textId="77777777" w:rsidTr="004D1EC6">
        <w:tc>
          <w:tcPr>
            <w:tcW w:w="1557" w:type="dxa"/>
            <w:tcBorders>
              <w:top w:val="nil"/>
              <w:left w:val="single" w:sz="2" w:space="0" w:color="auto"/>
              <w:bottom w:val="nil"/>
              <w:right w:val="single" w:sz="2" w:space="0" w:color="auto"/>
            </w:tcBorders>
          </w:tcPr>
          <w:p w14:paraId="43511854" w14:textId="497569E7" w:rsidR="00636A09" w:rsidRPr="00572AEC" w:rsidRDefault="00636A09"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191F2729" w14:textId="148787CE" w:rsidR="00636A09" w:rsidRPr="00572AEC" w:rsidRDefault="00636A09" w:rsidP="00421D32">
            <w:pPr>
              <w:pStyle w:val="TableText"/>
              <w:tabs>
                <w:tab w:val="left" w:pos="3306"/>
              </w:tabs>
              <w:rPr>
                <w:rFonts w:cs="Calibri"/>
              </w:rPr>
            </w:pPr>
            <w:r w:rsidRPr="00572AEC">
              <w:rPr>
                <w:rFonts w:cs="Calibri"/>
              </w:rPr>
              <w:t>Interest Revenue</w:t>
            </w:r>
          </w:p>
        </w:tc>
        <w:tc>
          <w:tcPr>
            <w:tcW w:w="1134" w:type="dxa"/>
            <w:tcBorders>
              <w:top w:val="nil"/>
              <w:left w:val="nil"/>
              <w:bottom w:val="nil"/>
              <w:right w:val="nil"/>
            </w:tcBorders>
            <w:shd w:val="clear" w:color="auto" w:fill="auto"/>
            <w:vAlign w:val="bottom"/>
          </w:tcPr>
          <w:p w14:paraId="5B2DFECC" w14:textId="77777777" w:rsidR="00636A09" w:rsidRPr="00572AEC" w:rsidRDefault="00636A09"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0E94CD13" w14:textId="77777777" w:rsidR="00636A09" w:rsidRPr="00572AEC" w:rsidRDefault="00636A09"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7D8C1A21" w14:textId="77777777" w:rsidR="00636A09" w:rsidRPr="00572AEC" w:rsidRDefault="00636A09" w:rsidP="00936AB8">
            <w:pPr>
              <w:pStyle w:val="TableText"/>
              <w:tabs>
                <w:tab w:val="left" w:pos="3306"/>
              </w:tabs>
              <w:jc w:val="right"/>
              <w:rPr>
                <w:rFonts w:cs="Calibri"/>
              </w:rPr>
            </w:pPr>
          </w:p>
        </w:tc>
      </w:tr>
      <w:tr w:rsidR="00936AB8" w:rsidRPr="00CF7E1B" w14:paraId="1D064F31" w14:textId="77777777" w:rsidTr="004D1EC6">
        <w:tc>
          <w:tcPr>
            <w:tcW w:w="1557" w:type="dxa"/>
            <w:tcBorders>
              <w:top w:val="nil"/>
              <w:left w:val="single" w:sz="2" w:space="0" w:color="auto"/>
              <w:bottom w:val="nil"/>
              <w:right w:val="single" w:sz="2" w:space="0" w:color="auto"/>
            </w:tcBorders>
          </w:tcPr>
          <w:p w14:paraId="63E8BD25" w14:textId="77777777" w:rsidR="00936AB8" w:rsidRPr="001E1601" w:rsidRDefault="00936AB8" w:rsidP="00936AB8">
            <w:pPr>
              <w:pStyle w:val="TableReference"/>
              <w:tabs>
                <w:tab w:val="left" w:pos="3306"/>
              </w:tabs>
              <w:spacing w:before="60"/>
              <w:rPr>
                <w:rFonts w:cs="Calibri"/>
                <w:strike/>
                <w:color w:val="FF0000"/>
                <w:sz w:val="14"/>
              </w:rPr>
            </w:pPr>
            <w:r w:rsidRPr="001E1601">
              <w:rPr>
                <w:rFonts w:cs="Calibri"/>
                <w:strike/>
                <w:color w:val="FF0000"/>
                <w:sz w:val="14"/>
              </w:rPr>
              <w:t>AASB 1052.15(d)</w:t>
            </w:r>
          </w:p>
        </w:tc>
        <w:tc>
          <w:tcPr>
            <w:tcW w:w="5528" w:type="dxa"/>
            <w:tcBorders>
              <w:top w:val="nil"/>
              <w:left w:val="single" w:sz="2" w:space="0" w:color="auto"/>
              <w:bottom w:val="nil"/>
              <w:right w:val="nil"/>
            </w:tcBorders>
            <w:vAlign w:val="bottom"/>
          </w:tcPr>
          <w:p w14:paraId="72AD2774" w14:textId="77777777" w:rsidR="00936AB8" w:rsidRPr="001E1601" w:rsidRDefault="00936AB8" w:rsidP="00936AB8">
            <w:pPr>
              <w:pStyle w:val="TableText"/>
              <w:tabs>
                <w:tab w:val="left" w:pos="3306"/>
              </w:tabs>
              <w:rPr>
                <w:rFonts w:cs="Calibri"/>
                <w:strike/>
                <w:color w:val="FF0000"/>
              </w:rPr>
            </w:pPr>
            <w:r w:rsidRPr="001E1601">
              <w:rPr>
                <w:rFonts w:cs="Calibri"/>
                <w:strike/>
                <w:color w:val="FF0000"/>
              </w:rPr>
              <w:t>Other Revenue</w:t>
            </w:r>
          </w:p>
        </w:tc>
        <w:tc>
          <w:tcPr>
            <w:tcW w:w="1134" w:type="dxa"/>
            <w:tcBorders>
              <w:top w:val="nil"/>
              <w:left w:val="nil"/>
              <w:bottom w:val="single" w:sz="4" w:space="0" w:color="auto"/>
              <w:right w:val="nil"/>
            </w:tcBorders>
            <w:vAlign w:val="bottom"/>
          </w:tcPr>
          <w:p w14:paraId="77CF865F"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6F62E6D1"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403DC6F4" w14:textId="77777777" w:rsidR="00936AB8" w:rsidRPr="00572AEC" w:rsidRDefault="00936AB8" w:rsidP="00936AB8">
            <w:pPr>
              <w:pStyle w:val="TableText"/>
              <w:tabs>
                <w:tab w:val="left" w:pos="3306"/>
              </w:tabs>
              <w:jc w:val="right"/>
              <w:rPr>
                <w:rFonts w:cs="Calibri"/>
              </w:rPr>
            </w:pPr>
          </w:p>
        </w:tc>
      </w:tr>
      <w:tr w:rsidR="00936AB8" w:rsidRPr="00CF7E1B" w14:paraId="0732690E" w14:textId="77777777" w:rsidTr="004D1EC6">
        <w:tc>
          <w:tcPr>
            <w:tcW w:w="1557" w:type="dxa"/>
            <w:tcBorders>
              <w:top w:val="nil"/>
              <w:left w:val="single" w:sz="2" w:space="0" w:color="auto"/>
              <w:bottom w:val="nil"/>
              <w:right w:val="single" w:sz="2" w:space="0" w:color="auto"/>
            </w:tcBorders>
          </w:tcPr>
          <w:p w14:paraId="1618C865"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4FCC8A01" w14:textId="77777777" w:rsidR="00936AB8" w:rsidRPr="001E1601" w:rsidRDefault="00936AB8" w:rsidP="00936AB8">
            <w:pPr>
              <w:pStyle w:val="TableText"/>
              <w:tabs>
                <w:tab w:val="left" w:pos="3306"/>
              </w:tabs>
              <w:rPr>
                <w:rFonts w:cs="Calibri"/>
                <w:i/>
                <w:iCs/>
                <w:strike/>
              </w:rPr>
            </w:pPr>
            <w:r w:rsidRPr="001E1601">
              <w:rPr>
                <w:rFonts w:cs="Calibri"/>
                <w:i/>
                <w:iCs/>
                <w:strike/>
                <w:color w:val="FF0000"/>
              </w:rPr>
              <w:t>Total Revenue</w:t>
            </w:r>
          </w:p>
        </w:tc>
        <w:tc>
          <w:tcPr>
            <w:tcW w:w="1134" w:type="dxa"/>
            <w:tcBorders>
              <w:top w:val="single" w:sz="4" w:space="0" w:color="auto"/>
              <w:left w:val="nil"/>
              <w:bottom w:val="nil"/>
              <w:right w:val="nil"/>
            </w:tcBorders>
            <w:vAlign w:val="bottom"/>
          </w:tcPr>
          <w:p w14:paraId="74D734DB"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nil"/>
              <w:right w:val="nil"/>
            </w:tcBorders>
            <w:vAlign w:val="bottom"/>
          </w:tcPr>
          <w:p w14:paraId="7F13B65B"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3247CA8E" w14:textId="77777777" w:rsidR="00936AB8" w:rsidRPr="00572AEC" w:rsidRDefault="00936AB8" w:rsidP="00936AB8">
            <w:pPr>
              <w:pStyle w:val="TableText"/>
              <w:tabs>
                <w:tab w:val="left" w:pos="3306"/>
              </w:tabs>
              <w:jc w:val="right"/>
              <w:rPr>
                <w:rFonts w:cs="Calibri"/>
              </w:rPr>
            </w:pPr>
          </w:p>
        </w:tc>
      </w:tr>
      <w:tr w:rsidR="00936AB8" w:rsidRPr="00CF7E1B" w14:paraId="39C471D4" w14:textId="77777777" w:rsidTr="004D1EC6">
        <w:tc>
          <w:tcPr>
            <w:tcW w:w="1557" w:type="dxa"/>
            <w:tcBorders>
              <w:top w:val="nil"/>
              <w:left w:val="single" w:sz="2" w:space="0" w:color="auto"/>
              <w:bottom w:val="nil"/>
              <w:right w:val="single" w:sz="2" w:space="0" w:color="auto"/>
            </w:tcBorders>
          </w:tcPr>
          <w:p w14:paraId="7D95D369" w14:textId="77777777" w:rsidR="00936AB8" w:rsidRPr="00572AEC" w:rsidRDefault="00936AB8" w:rsidP="00936AB8">
            <w:pPr>
              <w:pStyle w:val="TableReference"/>
              <w:tabs>
                <w:tab w:val="left" w:pos="3306"/>
              </w:tabs>
              <w:spacing w:before="4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77DC6B23" w14:textId="77777777" w:rsidR="00936AB8" w:rsidRPr="001E1601" w:rsidRDefault="00936AB8" w:rsidP="00A742FB">
            <w:pPr>
              <w:pStyle w:val="TableText"/>
              <w:tabs>
                <w:tab w:val="left" w:pos="3306"/>
              </w:tabs>
              <w:spacing w:before="0"/>
              <w:rPr>
                <w:rFonts w:cs="Calibri"/>
                <w:i/>
                <w:iCs/>
                <w:strike/>
              </w:rPr>
            </w:pPr>
            <w:r w:rsidRPr="001E1601">
              <w:rPr>
                <w:rFonts w:cs="Calibri"/>
                <w:i/>
                <w:iCs/>
                <w:strike/>
                <w:color w:val="FF0000"/>
              </w:rPr>
              <w:t>Gains</w:t>
            </w:r>
          </w:p>
        </w:tc>
        <w:tc>
          <w:tcPr>
            <w:tcW w:w="1134" w:type="dxa"/>
            <w:tcBorders>
              <w:top w:val="nil"/>
              <w:left w:val="nil"/>
              <w:bottom w:val="nil"/>
              <w:right w:val="nil"/>
            </w:tcBorders>
            <w:vAlign w:val="bottom"/>
          </w:tcPr>
          <w:p w14:paraId="5E0711A1"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03C2754"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2EBD9330" w14:textId="77777777" w:rsidR="00936AB8" w:rsidRPr="00572AEC" w:rsidRDefault="00936AB8" w:rsidP="00936AB8">
            <w:pPr>
              <w:pStyle w:val="TableText"/>
              <w:tabs>
                <w:tab w:val="left" w:pos="3306"/>
              </w:tabs>
              <w:jc w:val="right"/>
              <w:rPr>
                <w:rFonts w:cs="Calibri"/>
              </w:rPr>
            </w:pPr>
          </w:p>
        </w:tc>
      </w:tr>
      <w:tr w:rsidR="00421D32" w:rsidRPr="00421D32" w14:paraId="1C6386F1" w14:textId="77777777" w:rsidTr="004D1EC6">
        <w:tc>
          <w:tcPr>
            <w:tcW w:w="1557" w:type="dxa"/>
            <w:tcBorders>
              <w:top w:val="nil"/>
              <w:left w:val="single" w:sz="2" w:space="0" w:color="auto"/>
              <w:bottom w:val="nil"/>
              <w:right w:val="single" w:sz="2" w:space="0" w:color="auto"/>
            </w:tcBorders>
          </w:tcPr>
          <w:p w14:paraId="40AE012F" w14:textId="416E832F" w:rsidR="00421D32" w:rsidRPr="00572AEC" w:rsidRDefault="00776995" w:rsidP="00936AB8">
            <w:pPr>
              <w:pStyle w:val="TableReference"/>
              <w:tabs>
                <w:tab w:val="left" w:pos="3306"/>
              </w:tabs>
              <w:spacing w:before="4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6E704F66" w14:textId="78C262A2" w:rsidR="00421D32" w:rsidRPr="00572AEC" w:rsidRDefault="00421D32" w:rsidP="00936AB8">
            <w:pPr>
              <w:pStyle w:val="TableText"/>
              <w:tabs>
                <w:tab w:val="left" w:pos="3306"/>
              </w:tabs>
              <w:rPr>
                <w:rFonts w:cs="Calibri"/>
                <w:iCs/>
              </w:rPr>
            </w:pPr>
            <w:r w:rsidRPr="00572AEC">
              <w:rPr>
                <w:rFonts w:cs="Calibri"/>
                <w:iCs/>
              </w:rPr>
              <w:t>Gains from Disposal, Derecognition and Remeasurement of Assets</w:t>
            </w:r>
          </w:p>
        </w:tc>
        <w:tc>
          <w:tcPr>
            <w:tcW w:w="1134" w:type="dxa"/>
            <w:tcBorders>
              <w:top w:val="nil"/>
              <w:left w:val="nil"/>
              <w:bottom w:val="nil"/>
              <w:right w:val="nil"/>
            </w:tcBorders>
            <w:vAlign w:val="bottom"/>
          </w:tcPr>
          <w:p w14:paraId="65A2E866" w14:textId="77777777" w:rsidR="00421D32" w:rsidRPr="00572AEC" w:rsidRDefault="00421D32"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35BA8412" w14:textId="77777777" w:rsidR="00421D32" w:rsidRPr="00572AEC" w:rsidRDefault="00421D32"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4F697969" w14:textId="77777777" w:rsidR="00421D32" w:rsidRPr="00572AEC" w:rsidRDefault="00421D32" w:rsidP="00936AB8">
            <w:pPr>
              <w:pStyle w:val="TableText"/>
              <w:tabs>
                <w:tab w:val="left" w:pos="3306"/>
              </w:tabs>
              <w:jc w:val="right"/>
              <w:rPr>
                <w:rFonts w:cs="Calibri"/>
              </w:rPr>
            </w:pPr>
          </w:p>
        </w:tc>
      </w:tr>
      <w:tr w:rsidR="00936AB8" w:rsidRPr="00CF7E1B" w14:paraId="50AF3DC4" w14:textId="77777777" w:rsidTr="004D1EC6">
        <w:tc>
          <w:tcPr>
            <w:tcW w:w="1557" w:type="dxa"/>
            <w:tcBorders>
              <w:top w:val="nil"/>
              <w:left w:val="single" w:sz="2" w:space="0" w:color="auto"/>
              <w:bottom w:val="nil"/>
              <w:right w:val="single" w:sz="2" w:space="0" w:color="auto"/>
            </w:tcBorders>
          </w:tcPr>
          <w:p w14:paraId="767368B0"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44842871" w14:textId="21B8FE01" w:rsidR="00936AB8" w:rsidRPr="00572AEC" w:rsidRDefault="00936AB8" w:rsidP="00936AB8">
            <w:pPr>
              <w:pStyle w:val="TableText"/>
              <w:tabs>
                <w:tab w:val="left" w:pos="3306"/>
              </w:tabs>
              <w:rPr>
                <w:rFonts w:cs="Calibri"/>
              </w:rPr>
            </w:pPr>
            <w:r w:rsidRPr="00572AEC">
              <w:rPr>
                <w:rFonts w:cs="Calibri"/>
              </w:rPr>
              <w:t xml:space="preserve">Other </w:t>
            </w:r>
            <w:r w:rsidR="001E1601" w:rsidRPr="001E1601">
              <w:rPr>
                <w:rFonts w:cs="Calibri"/>
                <w:color w:val="FF0000"/>
              </w:rPr>
              <w:t xml:space="preserve">Income </w:t>
            </w:r>
            <w:r w:rsidRPr="001E1601">
              <w:rPr>
                <w:rFonts w:cs="Calibri"/>
                <w:strike/>
                <w:color w:val="FF0000"/>
              </w:rPr>
              <w:t>Gains</w:t>
            </w:r>
          </w:p>
        </w:tc>
        <w:tc>
          <w:tcPr>
            <w:tcW w:w="1134" w:type="dxa"/>
            <w:tcBorders>
              <w:top w:val="nil"/>
              <w:left w:val="nil"/>
              <w:bottom w:val="single" w:sz="4" w:space="0" w:color="auto"/>
              <w:right w:val="nil"/>
            </w:tcBorders>
            <w:vAlign w:val="bottom"/>
          </w:tcPr>
          <w:p w14:paraId="1D103E4F"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13332C93"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2D41CF02" w14:textId="77777777" w:rsidR="00936AB8" w:rsidRPr="00572AEC" w:rsidRDefault="00936AB8" w:rsidP="00936AB8">
            <w:pPr>
              <w:pStyle w:val="TableText"/>
              <w:tabs>
                <w:tab w:val="left" w:pos="3306"/>
              </w:tabs>
              <w:jc w:val="right"/>
              <w:rPr>
                <w:rFonts w:cs="Calibri"/>
              </w:rPr>
            </w:pPr>
          </w:p>
        </w:tc>
      </w:tr>
      <w:tr w:rsidR="00936AB8" w:rsidRPr="00CF7E1B" w14:paraId="2FDA2866" w14:textId="77777777" w:rsidTr="004D1EC6">
        <w:tc>
          <w:tcPr>
            <w:tcW w:w="1557" w:type="dxa"/>
            <w:tcBorders>
              <w:top w:val="nil"/>
              <w:left w:val="single" w:sz="2" w:space="0" w:color="auto"/>
              <w:bottom w:val="nil"/>
              <w:right w:val="single" w:sz="2" w:space="0" w:color="auto"/>
            </w:tcBorders>
          </w:tcPr>
          <w:p w14:paraId="6DE17153"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CC57748" w14:textId="77777777" w:rsidR="00936AB8" w:rsidRPr="001E1601" w:rsidRDefault="00936AB8" w:rsidP="00936AB8">
            <w:pPr>
              <w:pStyle w:val="TableText"/>
              <w:tabs>
                <w:tab w:val="left" w:pos="3306"/>
              </w:tabs>
              <w:rPr>
                <w:rFonts w:cs="Calibri"/>
                <w:i/>
                <w:iCs/>
                <w:strike/>
              </w:rPr>
            </w:pPr>
            <w:r w:rsidRPr="001E1601">
              <w:rPr>
                <w:rFonts w:cs="Calibri"/>
                <w:i/>
                <w:iCs/>
                <w:strike/>
                <w:color w:val="FF0000"/>
              </w:rPr>
              <w:t>Total Gains</w:t>
            </w:r>
          </w:p>
        </w:tc>
        <w:tc>
          <w:tcPr>
            <w:tcW w:w="1134" w:type="dxa"/>
            <w:tcBorders>
              <w:top w:val="single" w:sz="4" w:space="0" w:color="auto"/>
              <w:left w:val="nil"/>
              <w:bottom w:val="single" w:sz="4" w:space="0" w:color="auto"/>
              <w:right w:val="nil"/>
            </w:tcBorders>
            <w:vAlign w:val="bottom"/>
          </w:tcPr>
          <w:p w14:paraId="3E7E085B"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single" w:sz="4" w:space="0" w:color="auto"/>
              <w:right w:val="nil"/>
            </w:tcBorders>
            <w:vAlign w:val="bottom"/>
          </w:tcPr>
          <w:p w14:paraId="04136700"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7763199A" w14:textId="77777777" w:rsidR="00936AB8" w:rsidRPr="00572AEC" w:rsidRDefault="00936AB8" w:rsidP="00936AB8">
            <w:pPr>
              <w:pStyle w:val="TableText"/>
              <w:tabs>
                <w:tab w:val="left" w:pos="3306"/>
              </w:tabs>
              <w:jc w:val="right"/>
              <w:rPr>
                <w:rFonts w:cs="Calibri"/>
              </w:rPr>
            </w:pPr>
          </w:p>
        </w:tc>
      </w:tr>
      <w:tr w:rsidR="00936AB8" w:rsidRPr="00CF7E1B" w14:paraId="154DCCD5" w14:textId="77777777" w:rsidTr="004D1EC6">
        <w:tc>
          <w:tcPr>
            <w:tcW w:w="1557" w:type="dxa"/>
            <w:tcBorders>
              <w:top w:val="nil"/>
              <w:left w:val="single" w:sz="2" w:space="0" w:color="auto"/>
              <w:bottom w:val="nil"/>
              <w:right w:val="single" w:sz="2" w:space="0" w:color="auto"/>
            </w:tcBorders>
          </w:tcPr>
          <w:p w14:paraId="4F0051F3"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5A54A474" w14:textId="77777777" w:rsidR="00936AB8" w:rsidRPr="00572AEC" w:rsidRDefault="00936AB8" w:rsidP="00936AB8">
            <w:pPr>
              <w:pStyle w:val="TableText"/>
              <w:tabs>
                <w:tab w:val="left" w:pos="3306"/>
              </w:tabs>
              <w:rPr>
                <w:rFonts w:cs="Calibri"/>
                <w:b/>
                <w:bCs/>
              </w:rPr>
            </w:pPr>
            <w:bookmarkStart w:id="277" w:name="_Toc48468243"/>
            <w:bookmarkStart w:id="278" w:name="_Toc49223884"/>
            <w:r w:rsidRPr="00572AEC">
              <w:rPr>
                <w:rFonts w:cs="Calibri"/>
                <w:b/>
                <w:bCs/>
              </w:rPr>
              <w:t xml:space="preserve">Total </w:t>
            </w:r>
            <w:bookmarkEnd w:id="277"/>
            <w:bookmarkEnd w:id="278"/>
            <w:r w:rsidRPr="00572AEC">
              <w:rPr>
                <w:rFonts w:cs="Calibri"/>
                <w:b/>
                <w:bCs/>
              </w:rPr>
              <w:t>Income</w:t>
            </w:r>
          </w:p>
        </w:tc>
        <w:tc>
          <w:tcPr>
            <w:tcW w:w="1134" w:type="dxa"/>
            <w:tcBorders>
              <w:top w:val="single" w:sz="4" w:space="0" w:color="auto"/>
              <w:left w:val="nil"/>
              <w:bottom w:val="single" w:sz="4" w:space="0" w:color="auto"/>
              <w:right w:val="nil"/>
            </w:tcBorders>
            <w:vAlign w:val="bottom"/>
          </w:tcPr>
          <w:p w14:paraId="7C35D36C" w14:textId="77777777" w:rsidR="00936AB8" w:rsidRPr="00572AEC" w:rsidRDefault="00936AB8" w:rsidP="00936AB8">
            <w:pPr>
              <w:pStyle w:val="TableText"/>
              <w:tabs>
                <w:tab w:val="left" w:pos="3306"/>
              </w:tabs>
              <w:jc w:val="right"/>
              <w:rPr>
                <w:rFonts w:cs="Calibri"/>
                <w:b/>
                <w:bCs/>
              </w:rPr>
            </w:pPr>
          </w:p>
        </w:tc>
        <w:tc>
          <w:tcPr>
            <w:tcW w:w="992" w:type="dxa"/>
            <w:tcBorders>
              <w:top w:val="single" w:sz="4" w:space="0" w:color="auto"/>
              <w:left w:val="nil"/>
              <w:bottom w:val="single" w:sz="4" w:space="0" w:color="auto"/>
              <w:right w:val="nil"/>
            </w:tcBorders>
            <w:vAlign w:val="bottom"/>
          </w:tcPr>
          <w:p w14:paraId="37FCDBE8" w14:textId="77777777" w:rsidR="00936AB8" w:rsidRPr="00572AEC" w:rsidRDefault="00936AB8" w:rsidP="00936AB8">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7A8D2EEA" w14:textId="77777777" w:rsidR="00936AB8" w:rsidRPr="00572AEC" w:rsidRDefault="00936AB8" w:rsidP="00936AB8">
            <w:pPr>
              <w:pStyle w:val="TableText"/>
              <w:tabs>
                <w:tab w:val="left" w:pos="3306"/>
              </w:tabs>
              <w:jc w:val="right"/>
              <w:rPr>
                <w:rFonts w:cs="Calibri"/>
                <w:b/>
                <w:bCs/>
              </w:rPr>
            </w:pPr>
          </w:p>
        </w:tc>
      </w:tr>
      <w:tr w:rsidR="00936AB8" w:rsidRPr="00CF7E1B" w14:paraId="077C97D0" w14:textId="77777777" w:rsidTr="004D1EC6">
        <w:tc>
          <w:tcPr>
            <w:tcW w:w="1557" w:type="dxa"/>
            <w:tcBorders>
              <w:top w:val="nil"/>
              <w:left w:val="single" w:sz="2" w:space="0" w:color="auto"/>
              <w:bottom w:val="nil"/>
              <w:right w:val="single" w:sz="2" w:space="0" w:color="auto"/>
            </w:tcBorders>
          </w:tcPr>
          <w:p w14:paraId="64B7CABD"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9E999CF" w14:textId="77777777" w:rsidR="00936AB8" w:rsidRPr="00572AEC" w:rsidRDefault="00936AB8" w:rsidP="00936AB8">
            <w:pPr>
              <w:pStyle w:val="TableText"/>
              <w:tabs>
                <w:tab w:val="left" w:pos="3306"/>
              </w:tabs>
              <w:rPr>
                <w:rFonts w:cs="Calibri"/>
              </w:rPr>
            </w:pPr>
          </w:p>
        </w:tc>
        <w:tc>
          <w:tcPr>
            <w:tcW w:w="1134" w:type="dxa"/>
            <w:tcBorders>
              <w:top w:val="single" w:sz="4" w:space="0" w:color="auto"/>
              <w:left w:val="nil"/>
              <w:bottom w:val="nil"/>
              <w:right w:val="nil"/>
            </w:tcBorders>
            <w:vAlign w:val="bottom"/>
          </w:tcPr>
          <w:p w14:paraId="11BEA2A6"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nil"/>
              <w:right w:val="nil"/>
            </w:tcBorders>
            <w:vAlign w:val="bottom"/>
          </w:tcPr>
          <w:p w14:paraId="597264F0"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14973297" w14:textId="77777777" w:rsidR="00936AB8" w:rsidRPr="00572AEC" w:rsidRDefault="00936AB8" w:rsidP="00936AB8">
            <w:pPr>
              <w:pStyle w:val="TableText"/>
              <w:tabs>
                <w:tab w:val="left" w:pos="3306"/>
              </w:tabs>
              <w:jc w:val="right"/>
              <w:rPr>
                <w:rFonts w:cs="Calibri"/>
              </w:rPr>
            </w:pPr>
          </w:p>
        </w:tc>
      </w:tr>
      <w:tr w:rsidR="00936AB8" w:rsidRPr="00CF7E1B" w14:paraId="6358A30F" w14:textId="77777777" w:rsidTr="004D1EC6">
        <w:tc>
          <w:tcPr>
            <w:tcW w:w="1557" w:type="dxa"/>
            <w:tcBorders>
              <w:top w:val="nil"/>
              <w:left w:val="single" w:sz="2" w:space="0" w:color="auto"/>
              <w:bottom w:val="nil"/>
              <w:right w:val="single" w:sz="2" w:space="0" w:color="auto"/>
            </w:tcBorders>
          </w:tcPr>
          <w:p w14:paraId="51D8A894"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7FC8216F" w14:textId="25AE0669" w:rsidR="00936AB8" w:rsidRPr="00572AEC" w:rsidRDefault="00936AB8" w:rsidP="00936AB8">
            <w:pPr>
              <w:pStyle w:val="TableText"/>
              <w:tabs>
                <w:tab w:val="left" w:pos="3306"/>
              </w:tabs>
              <w:rPr>
                <w:rFonts w:cs="Calibri"/>
                <w:b/>
                <w:bCs/>
              </w:rPr>
            </w:pPr>
            <w:bookmarkStart w:id="279" w:name="_Toc48468244"/>
            <w:bookmarkStart w:id="280" w:name="_Toc49155434"/>
            <w:bookmarkStart w:id="281" w:name="_Toc49223885"/>
            <w:r w:rsidRPr="00572AEC">
              <w:rPr>
                <w:rFonts w:cs="Calibri"/>
                <w:b/>
                <w:bCs/>
              </w:rPr>
              <w:t>Expenses</w:t>
            </w:r>
            <w:bookmarkEnd w:id="279"/>
            <w:bookmarkEnd w:id="280"/>
            <w:bookmarkEnd w:id="281"/>
            <w:r w:rsidR="00FA7C77">
              <w:rPr>
                <w:rFonts w:cs="Calibri"/>
                <w:b/>
                <w:bCs/>
              </w:rPr>
              <w:t xml:space="preserve"> </w:t>
            </w:r>
          </w:p>
        </w:tc>
        <w:tc>
          <w:tcPr>
            <w:tcW w:w="1134" w:type="dxa"/>
            <w:tcBorders>
              <w:top w:val="nil"/>
              <w:left w:val="nil"/>
              <w:bottom w:val="nil"/>
              <w:right w:val="nil"/>
            </w:tcBorders>
            <w:vAlign w:val="bottom"/>
          </w:tcPr>
          <w:p w14:paraId="3BB7A034"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0E89AE8E"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52FA31E3" w14:textId="77777777" w:rsidR="00936AB8" w:rsidRPr="00572AEC" w:rsidRDefault="00936AB8" w:rsidP="00936AB8">
            <w:pPr>
              <w:pStyle w:val="TableText"/>
              <w:tabs>
                <w:tab w:val="left" w:pos="3306"/>
              </w:tabs>
              <w:jc w:val="right"/>
              <w:rPr>
                <w:rFonts w:cs="Calibri"/>
              </w:rPr>
            </w:pPr>
          </w:p>
        </w:tc>
      </w:tr>
      <w:tr w:rsidR="00936AB8" w:rsidRPr="00CF7E1B" w14:paraId="2F4971D2" w14:textId="77777777" w:rsidTr="004D1EC6">
        <w:tc>
          <w:tcPr>
            <w:tcW w:w="1557" w:type="dxa"/>
            <w:tcBorders>
              <w:top w:val="nil"/>
              <w:left w:val="single" w:sz="2" w:space="0" w:color="auto"/>
              <w:bottom w:val="nil"/>
              <w:right w:val="single" w:sz="2" w:space="0" w:color="auto"/>
            </w:tcBorders>
          </w:tcPr>
          <w:p w14:paraId="5A746F3B"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3FDC2325" w14:textId="77777777" w:rsidR="00936AB8" w:rsidRPr="00572AEC" w:rsidRDefault="00936AB8" w:rsidP="00936AB8">
            <w:pPr>
              <w:pStyle w:val="TableText"/>
              <w:tabs>
                <w:tab w:val="left" w:pos="3306"/>
              </w:tabs>
              <w:rPr>
                <w:rFonts w:cs="Calibri"/>
              </w:rPr>
            </w:pPr>
            <w:r w:rsidRPr="00572AEC">
              <w:rPr>
                <w:rFonts w:cs="Calibri"/>
              </w:rPr>
              <w:t>Employee Expenses</w:t>
            </w:r>
          </w:p>
        </w:tc>
        <w:tc>
          <w:tcPr>
            <w:tcW w:w="1134" w:type="dxa"/>
            <w:tcBorders>
              <w:top w:val="nil"/>
              <w:left w:val="nil"/>
              <w:bottom w:val="nil"/>
              <w:right w:val="nil"/>
            </w:tcBorders>
            <w:vAlign w:val="bottom"/>
          </w:tcPr>
          <w:p w14:paraId="7B3D0DD1"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704800C9"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15531496" w14:textId="77777777" w:rsidR="00936AB8" w:rsidRPr="00572AEC" w:rsidRDefault="00936AB8" w:rsidP="00936AB8">
            <w:pPr>
              <w:pStyle w:val="TableText"/>
              <w:tabs>
                <w:tab w:val="left" w:pos="3306"/>
              </w:tabs>
              <w:jc w:val="right"/>
              <w:rPr>
                <w:rFonts w:cs="Calibri"/>
              </w:rPr>
            </w:pPr>
          </w:p>
        </w:tc>
      </w:tr>
      <w:tr w:rsidR="00936AB8" w:rsidRPr="00CF7E1B" w14:paraId="56472928" w14:textId="77777777" w:rsidTr="004D1EC6">
        <w:tc>
          <w:tcPr>
            <w:tcW w:w="1557" w:type="dxa"/>
            <w:tcBorders>
              <w:top w:val="nil"/>
              <w:left w:val="single" w:sz="2" w:space="0" w:color="auto"/>
              <w:bottom w:val="nil"/>
              <w:right w:val="single" w:sz="2" w:space="0" w:color="auto"/>
            </w:tcBorders>
          </w:tcPr>
          <w:p w14:paraId="2FA04907" w14:textId="77777777" w:rsidR="00936AB8" w:rsidRPr="001E1601" w:rsidRDefault="00936AB8" w:rsidP="00936AB8">
            <w:pPr>
              <w:pStyle w:val="TableReference"/>
              <w:tabs>
                <w:tab w:val="left" w:pos="3306"/>
              </w:tabs>
              <w:spacing w:before="60"/>
              <w:rPr>
                <w:rFonts w:cs="Calibri"/>
                <w:strike/>
                <w:color w:val="FF0000"/>
                <w:sz w:val="14"/>
              </w:rPr>
            </w:pPr>
            <w:r w:rsidRPr="001E1601">
              <w:rPr>
                <w:rFonts w:cs="Calibri"/>
                <w:strike/>
                <w:color w:val="FF0000"/>
                <w:sz w:val="14"/>
              </w:rPr>
              <w:t>AASB 1052.15(c)</w:t>
            </w:r>
          </w:p>
        </w:tc>
        <w:tc>
          <w:tcPr>
            <w:tcW w:w="5528" w:type="dxa"/>
            <w:tcBorders>
              <w:top w:val="nil"/>
              <w:left w:val="single" w:sz="2" w:space="0" w:color="auto"/>
              <w:bottom w:val="nil"/>
              <w:right w:val="nil"/>
            </w:tcBorders>
            <w:vAlign w:val="bottom"/>
          </w:tcPr>
          <w:p w14:paraId="331E4CD0" w14:textId="77777777" w:rsidR="00936AB8" w:rsidRPr="001E1601" w:rsidRDefault="00936AB8" w:rsidP="00936AB8">
            <w:pPr>
              <w:pStyle w:val="TableText"/>
              <w:tabs>
                <w:tab w:val="left" w:pos="3306"/>
              </w:tabs>
              <w:rPr>
                <w:rFonts w:cs="Calibri"/>
                <w:strike/>
                <w:color w:val="FF0000"/>
              </w:rPr>
            </w:pPr>
            <w:r w:rsidRPr="001E1601">
              <w:rPr>
                <w:rFonts w:cs="Calibri"/>
                <w:strike/>
                <w:color w:val="FF0000"/>
              </w:rPr>
              <w:t>Superannuation Expenses</w:t>
            </w:r>
          </w:p>
        </w:tc>
        <w:tc>
          <w:tcPr>
            <w:tcW w:w="1134" w:type="dxa"/>
            <w:tcBorders>
              <w:top w:val="nil"/>
              <w:left w:val="nil"/>
              <w:bottom w:val="nil"/>
              <w:right w:val="nil"/>
            </w:tcBorders>
            <w:vAlign w:val="bottom"/>
          </w:tcPr>
          <w:p w14:paraId="2C75950A"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35E3736E"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71D011C8" w14:textId="77777777" w:rsidR="00936AB8" w:rsidRPr="00572AEC" w:rsidRDefault="00936AB8" w:rsidP="00936AB8">
            <w:pPr>
              <w:pStyle w:val="TableText"/>
              <w:tabs>
                <w:tab w:val="left" w:pos="3306"/>
              </w:tabs>
              <w:jc w:val="right"/>
              <w:rPr>
                <w:rFonts w:cs="Calibri"/>
              </w:rPr>
            </w:pPr>
          </w:p>
        </w:tc>
      </w:tr>
      <w:tr w:rsidR="00936AB8" w:rsidRPr="00CF7E1B" w14:paraId="113CC0DF" w14:textId="77777777" w:rsidTr="004D1EC6">
        <w:tc>
          <w:tcPr>
            <w:tcW w:w="1557" w:type="dxa"/>
            <w:tcBorders>
              <w:top w:val="nil"/>
              <w:left w:val="single" w:sz="2" w:space="0" w:color="auto"/>
              <w:bottom w:val="nil"/>
              <w:right w:val="single" w:sz="2" w:space="0" w:color="auto"/>
            </w:tcBorders>
          </w:tcPr>
          <w:p w14:paraId="0302B4FB"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19E5C5AC" w14:textId="77777777" w:rsidR="00936AB8" w:rsidRPr="00572AEC" w:rsidRDefault="00936AB8" w:rsidP="00936AB8">
            <w:pPr>
              <w:pStyle w:val="TableText"/>
              <w:tabs>
                <w:tab w:val="left" w:pos="3306"/>
              </w:tabs>
              <w:rPr>
                <w:rFonts w:cs="Calibri"/>
              </w:rPr>
            </w:pPr>
            <w:r w:rsidRPr="00572AEC">
              <w:rPr>
                <w:rFonts w:cs="Calibri"/>
              </w:rPr>
              <w:t xml:space="preserve">Supplies and Services </w:t>
            </w:r>
          </w:p>
        </w:tc>
        <w:tc>
          <w:tcPr>
            <w:tcW w:w="1134" w:type="dxa"/>
            <w:tcBorders>
              <w:top w:val="nil"/>
              <w:left w:val="nil"/>
              <w:bottom w:val="nil"/>
              <w:right w:val="nil"/>
            </w:tcBorders>
            <w:vAlign w:val="bottom"/>
          </w:tcPr>
          <w:p w14:paraId="1EDD0BB7"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211726C0"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1036613B" w14:textId="77777777" w:rsidR="00936AB8" w:rsidRPr="00572AEC" w:rsidRDefault="00936AB8" w:rsidP="00936AB8">
            <w:pPr>
              <w:pStyle w:val="TableText"/>
              <w:tabs>
                <w:tab w:val="left" w:pos="3306"/>
              </w:tabs>
              <w:jc w:val="right"/>
              <w:rPr>
                <w:rFonts w:cs="Calibri"/>
              </w:rPr>
            </w:pPr>
          </w:p>
        </w:tc>
      </w:tr>
      <w:tr w:rsidR="00936AB8" w:rsidRPr="00CF7E1B" w14:paraId="702B2343" w14:textId="77777777" w:rsidTr="004D1EC6">
        <w:tc>
          <w:tcPr>
            <w:tcW w:w="1557" w:type="dxa"/>
            <w:tcBorders>
              <w:top w:val="nil"/>
              <w:left w:val="single" w:sz="2" w:space="0" w:color="auto"/>
              <w:bottom w:val="nil"/>
              <w:right w:val="single" w:sz="2" w:space="0" w:color="auto"/>
            </w:tcBorders>
          </w:tcPr>
          <w:p w14:paraId="62BFD379"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7420A617" w14:textId="77777777" w:rsidR="00936AB8" w:rsidRPr="00572AEC" w:rsidRDefault="00936AB8" w:rsidP="00936AB8">
            <w:pPr>
              <w:pStyle w:val="TableText"/>
              <w:tabs>
                <w:tab w:val="left" w:pos="3306"/>
              </w:tabs>
              <w:rPr>
                <w:rFonts w:cs="Calibri"/>
              </w:rPr>
            </w:pPr>
            <w:r w:rsidRPr="00572AEC">
              <w:rPr>
                <w:rFonts w:cs="Calibri"/>
              </w:rPr>
              <w:t>Depreciation and Amortisation</w:t>
            </w:r>
          </w:p>
        </w:tc>
        <w:tc>
          <w:tcPr>
            <w:tcW w:w="1134" w:type="dxa"/>
            <w:tcBorders>
              <w:top w:val="nil"/>
              <w:left w:val="nil"/>
              <w:bottom w:val="nil"/>
              <w:right w:val="nil"/>
            </w:tcBorders>
            <w:vAlign w:val="bottom"/>
          </w:tcPr>
          <w:p w14:paraId="2390B818"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01F32E64"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6947523F" w14:textId="77777777" w:rsidR="00936AB8" w:rsidRPr="00572AEC" w:rsidRDefault="00936AB8" w:rsidP="00936AB8">
            <w:pPr>
              <w:pStyle w:val="TableText"/>
              <w:tabs>
                <w:tab w:val="left" w:pos="3306"/>
              </w:tabs>
              <w:jc w:val="right"/>
              <w:rPr>
                <w:rFonts w:cs="Calibri"/>
              </w:rPr>
            </w:pPr>
          </w:p>
        </w:tc>
      </w:tr>
      <w:tr w:rsidR="00936AB8" w:rsidRPr="00CF7E1B" w14:paraId="3C7DE005" w14:textId="77777777" w:rsidTr="004D1EC6">
        <w:tc>
          <w:tcPr>
            <w:tcW w:w="1557" w:type="dxa"/>
            <w:tcBorders>
              <w:top w:val="nil"/>
              <w:left w:val="single" w:sz="2" w:space="0" w:color="auto"/>
              <w:bottom w:val="nil"/>
              <w:right w:val="single" w:sz="2" w:space="0" w:color="auto"/>
            </w:tcBorders>
          </w:tcPr>
          <w:p w14:paraId="41F4B328"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6389DC12" w14:textId="77777777" w:rsidR="00936AB8" w:rsidRPr="00572AEC" w:rsidRDefault="00936AB8" w:rsidP="00936AB8">
            <w:pPr>
              <w:pStyle w:val="TableText"/>
              <w:tabs>
                <w:tab w:val="left" w:pos="3306"/>
              </w:tabs>
              <w:rPr>
                <w:rFonts w:cs="Calibri"/>
              </w:rPr>
            </w:pPr>
            <w:r w:rsidRPr="00572AEC">
              <w:rPr>
                <w:rFonts w:cs="Calibri"/>
              </w:rPr>
              <w:t>Grants and Purchased Services</w:t>
            </w:r>
          </w:p>
        </w:tc>
        <w:tc>
          <w:tcPr>
            <w:tcW w:w="1134" w:type="dxa"/>
            <w:tcBorders>
              <w:top w:val="nil"/>
              <w:left w:val="nil"/>
              <w:bottom w:val="nil"/>
              <w:right w:val="nil"/>
            </w:tcBorders>
            <w:vAlign w:val="bottom"/>
          </w:tcPr>
          <w:p w14:paraId="3ACC96E0"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5C4DE46"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7C900788" w14:textId="77777777" w:rsidR="00936AB8" w:rsidRPr="00572AEC" w:rsidRDefault="00936AB8" w:rsidP="00936AB8">
            <w:pPr>
              <w:pStyle w:val="TableText"/>
              <w:tabs>
                <w:tab w:val="left" w:pos="3306"/>
              </w:tabs>
              <w:jc w:val="right"/>
              <w:rPr>
                <w:rFonts w:cs="Calibri"/>
              </w:rPr>
            </w:pPr>
          </w:p>
        </w:tc>
      </w:tr>
      <w:tr w:rsidR="00DD2353" w:rsidRPr="00CF7E1B" w14:paraId="5528D555" w14:textId="77777777" w:rsidTr="004D1EC6">
        <w:tc>
          <w:tcPr>
            <w:tcW w:w="1557" w:type="dxa"/>
            <w:tcBorders>
              <w:top w:val="nil"/>
              <w:left w:val="single" w:sz="2" w:space="0" w:color="auto"/>
              <w:bottom w:val="nil"/>
              <w:right w:val="single" w:sz="2" w:space="0" w:color="auto"/>
            </w:tcBorders>
          </w:tcPr>
          <w:p w14:paraId="552B5795" w14:textId="2FB440BD" w:rsidR="00DD2353" w:rsidRPr="00572AEC" w:rsidRDefault="00DD2353" w:rsidP="00936AB8">
            <w:pPr>
              <w:pStyle w:val="TableReference"/>
              <w:tabs>
                <w:tab w:val="left" w:pos="3306"/>
              </w:tabs>
              <w:spacing w:before="60"/>
              <w:rPr>
                <w:rFonts w:cs="Calibri"/>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7ACBD541" w14:textId="25BFBB5F" w:rsidR="00DD2353" w:rsidRPr="00572AEC" w:rsidRDefault="00DD2353" w:rsidP="00936AB8">
            <w:pPr>
              <w:pStyle w:val="TableText"/>
              <w:tabs>
                <w:tab w:val="left" w:pos="3306"/>
              </w:tabs>
              <w:rPr>
                <w:rFonts w:cs="Calibri"/>
              </w:rPr>
            </w:pPr>
            <w:r w:rsidRPr="00572AEC">
              <w:rPr>
                <w:rFonts w:cs="Calibri"/>
              </w:rPr>
              <w:t>Cost of Goods Sold and Distributed</w:t>
            </w:r>
          </w:p>
        </w:tc>
        <w:tc>
          <w:tcPr>
            <w:tcW w:w="1134" w:type="dxa"/>
            <w:tcBorders>
              <w:top w:val="nil"/>
              <w:left w:val="nil"/>
              <w:bottom w:val="nil"/>
              <w:right w:val="nil"/>
            </w:tcBorders>
            <w:vAlign w:val="bottom"/>
          </w:tcPr>
          <w:p w14:paraId="78C10E8E" w14:textId="77777777" w:rsidR="00DD2353" w:rsidRPr="00572AEC" w:rsidRDefault="00DD2353"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215845D0" w14:textId="77777777" w:rsidR="00DD2353" w:rsidRPr="00572AEC" w:rsidRDefault="00DD2353"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527B0983" w14:textId="77777777" w:rsidR="00DD2353" w:rsidRPr="00572AEC" w:rsidRDefault="00DD2353" w:rsidP="00936AB8">
            <w:pPr>
              <w:pStyle w:val="TableText"/>
              <w:tabs>
                <w:tab w:val="left" w:pos="3306"/>
              </w:tabs>
              <w:jc w:val="right"/>
              <w:rPr>
                <w:rFonts w:cs="Calibri"/>
              </w:rPr>
            </w:pPr>
          </w:p>
        </w:tc>
      </w:tr>
      <w:tr w:rsidR="00936AB8" w:rsidRPr="00CF7E1B" w14:paraId="27A7649B" w14:textId="77777777" w:rsidTr="004D1EC6">
        <w:tc>
          <w:tcPr>
            <w:tcW w:w="1557" w:type="dxa"/>
            <w:tcBorders>
              <w:top w:val="nil"/>
              <w:left w:val="single" w:sz="2" w:space="0" w:color="auto"/>
              <w:bottom w:val="nil"/>
              <w:right w:val="single" w:sz="2" w:space="0" w:color="auto"/>
            </w:tcBorders>
          </w:tcPr>
          <w:p w14:paraId="44080425"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0293E19A" w14:textId="77777777" w:rsidR="00936AB8" w:rsidRPr="00572AEC" w:rsidRDefault="00936AB8" w:rsidP="00936AB8">
            <w:pPr>
              <w:pStyle w:val="TableText"/>
              <w:tabs>
                <w:tab w:val="left" w:pos="3306"/>
              </w:tabs>
              <w:rPr>
                <w:rFonts w:cs="Calibri"/>
              </w:rPr>
            </w:pPr>
            <w:r w:rsidRPr="00572AEC">
              <w:rPr>
                <w:rFonts w:cs="Calibri"/>
              </w:rPr>
              <w:t>Borrowing Costs</w:t>
            </w:r>
          </w:p>
        </w:tc>
        <w:tc>
          <w:tcPr>
            <w:tcW w:w="1134" w:type="dxa"/>
            <w:tcBorders>
              <w:top w:val="nil"/>
              <w:left w:val="nil"/>
              <w:bottom w:val="nil"/>
              <w:right w:val="nil"/>
            </w:tcBorders>
            <w:vAlign w:val="bottom"/>
          </w:tcPr>
          <w:p w14:paraId="7E428278"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8943845"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493F9797" w14:textId="77777777" w:rsidR="00936AB8" w:rsidRPr="00572AEC" w:rsidRDefault="00936AB8" w:rsidP="00936AB8">
            <w:pPr>
              <w:pStyle w:val="TableText"/>
              <w:tabs>
                <w:tab w:val="left" w:pos="3306"/>
              </w:tabs>
              <w:jc w:val="right"/>
              <w:rPr>
                <w:rFonts w:cs="Calibri"/>
              </w:rPr>
            </w:pPr>
          </w:p>
        </w:tc>
      </w:tr>
      <w:tr w:rsidR="00936AB8" w:rsidRPr="00CF7E1B" w14:paraId="0B66655E" w14:textId="77777777" w:rsidTr="004D1EC6">
        <w:tc>
          <w:tcPr>
            <w:tcW w:w="1557" w:type="dxa"/>
            <w:tcBorders>
              <w:top w:val="nil"/>
              <w:left w:val="single" w:sz="2" w:space="0" w:color="auto"/>
              <w:bottom w:val="nil"/>
              <w:right w:val="single" w:sz="2" w:space="0" w:color="auto"/>
            </w:tcBorders>
          </w:tcPr>
          <w:p w14:paraId="5BCB6599"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25058FE0" w14:textId="77777777" w:rsidR="00936AB8" w:rsidRPr="00572AEC" w:rsidRDefault="00936AB8" w:rsidP="00936AB8">
            <w:pPr>
              <w:pStyle w:val="TableText"/>
              <w:tabs>
                <w:tab w:val="left" w:pos="3306"/>
              </w:tabs>
              <w:rPr>
                <w:rFonts w:cs="Calibri"/>
              </w:rPr>
            </w:pPr>
            <w:r w:rsidRPr="00572AEC">
              <w:rPr>
                <w:rFonts w:cs="Calibri"/>
              </w:rPr>
              <w:t>Other Expenses</w:t>
            </w:r>
          </w:p>
        </w:tc>
        <w:tc>
          <w:tcPr>
            <w:tcW w:w="1134" w:type="dxa"/>
            <w:tcBorders>
              <w:top w:val="nil"/>
              <w:left w:val="nil"/>
              <w:bottom w:val="single" w:sz="2" w:space="0" w:color="auto"/>
              <w:right w:val="nil"/>
            </w:tcBorders>
            <w:vAlign w:val="bottom"/>
          </w:tcPr>
          <w:p w14:paraId="616D506D" w14:textId="77777777" w:rsidR="00936AB8" w:rsidRPr="00572AEC" w:rsidRDefault="00936AB8" w:rsidP="00936AB8">
            <w:pPr>
              <w:pStyle w:val="TableText"/>
              <w:tabs>
                <w:tab w:val="left" w:pos="3306"/>
              </w:tabs>
              <w:jc w:val="right"/>
              <w:rPr>
                <w:rFonts w:cs="Calibri"/>
                <w:strike/>
              </w:rPr>
            </w:pPr>
          </w:p>
        </w:tc>
        <w:tc>
          <w:tcPr>
            <w:tcW w:w="992" w:type="dxa"/>
            <w:tcBorders>
              <w:top w:val="nil"/>
              <w:left w:val="nil"/>
              <w:bottom w:val="single" w:sz="2" w:space="0" w:color="auto"/>
              <w:right w:val="nil"/>
            </w:tcBorders>
            <w:vAlign w:val="bottom"/>
          </w:tcPr>
          <w:p w14:paraId="39B34D73"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2EAF052D" w14:textId="77777777" w:rsidR="00936AB8" w:rsidRPr="00572AEC" w:rsidRDefault="00936AB8" w:rsidP="00936AB8">
            <w:pPr>
              <w:pStyle w:val="TableText"/>
              <w:tabs>
                <w:tab w:val="left" w:pos="3306"/>
              </w:tabs>
              <w:jc w:val="right"/>
              <w:rPr>
                <w:rFonts w:cs="Calibri"/>
              </w:rPr>
            </w:pPr>
          </w:p>
        </w:tc>
      </w:tr>
      <w:tr w:rsidR="00936AB8" w:rsidRPr="00CF7E1B" w14:paraId="65B0A676" w14:textId="77777777" w:rsidTr="004D1EC6">
        <w:tc>
          <w:tcPr>
            <w:tcW w:w="1557" w:type="dxa"/>
            <w:tcBorders>
              <w:top w:val="nil"/>
              <w:left w:val="single" w:sz="2" w:space="0" w:color="auto"/>
              <w:bottom w:val="nil"/>
              <w:right w:val="single" w:sz="2" w:space="0" w:color="auto"/>
            </w:tcBorders>
          </w:tcPr>
          <w:p w14:paraId="724B8EB4"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57AE7B23" w14:textId="77777777" w:rsidR="00936AB8" w:rsidRPr="00572AEC" w:rsidRDefault="00936AB8" w:rsidP="00936AB8">
            <w:pPr>
              <w:pStyle w:val="TableText"/>
              <w:tabs>
                <w:tab w:val="left" w:pos="3306"/>
              </w:tabs>
              <w:rPr>
                <w:rFonts w:cs="Calibri"/>
                <w:b/>
                <w:bCs/>
              </w:rPr>
            </w:pPr>
            <w:bookmarkStart w:id="282" w:name="_Toc48468245"/>
            <w:bookmarkStart w:id="283" w:name="_Toc49223886"/>
            <w:r w:rsidRPr="00572AEC">
              <w:rPr>
                <w:rFonts w:cs="Calibri"/>
                <w:b/>
                <w:bCs/>
              </w:rPr>
              <w:t xml:space="preserve">Total Expenses </w:t>
            </w:r>
            <w:bookmarkEnd w:id="282"/>
            <w:bookmarkEnd w:id="283"/>
          </w:p>
        </w:tc>
        <w:tc>
          <w:tcPr>
            <w:tcW w:w="1134" w:type="dxa"/>
            <w:tcBorders>
              <w:top w:val="single" w:sz="2" w:space="0" w:color="auto"/>
              <w:left w:val="nil"/>
              <w:bottom w:val="single" w:sz="2" w:space="0" w:color="auto"/>
              <w:right w:val="nil"/>
            </w:tcBorders>
            <w:vAlign w:val="bottom"/>
          </w:tcPr>
          <w:p w14:paraId="5BB6CF58" w14:textId="77777777" w:rsidR="00936AB8" w:rsidRPr="00572AEC" w:rsidRDefault="00936AB8" w:rsidP="00936AB8">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0F3D56D0" w14:textId="77777777" w:rsidR="00936AB8" w:rsidRPr="00572AEC" w:rsidRDefault="00936AB8" w:rsidP="00936AB8">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3F3815FF" w14:textId="77777777" w:rsidR="00936AB8" w:rsidRPr="00572AEC" w:rsidRDefault="00936AB8" w:rsidP="00936AB8">
            <w:pPr>
              <w:pStyle w:val="TableText"/>
              <w:tabs>
                <w:tab w:val="left" w:pos="3306"/>
              </w:tabs>
              <w:jc w:val="right"/>
              <w:rPr>
                <w:rFonts w:cs="Calibri"/>
                <w:b/>
                <w:bCs/>
              </w:rPr>
            </w:pPr>
          </w:p>
        </w:tc>
      </w:tr>
      <w:tr w:rsidR="00936AB8" w:rsidRPr="00CF7E1B" w14:paraId="0EB95E5D" w14:textId="77777777" w:rsidTr="004D1EC6">
        <w:tc>
          <w:tcPr>
            <w:tcW w:w="1557" w:type="dxa"/>
            <w:tcBorders>
              <w:top w:val="nil"/>
              <w:left w:val="single" w:sz="2" w:space="0" w:color="auto"/>
              <w:bottom w:val="nil"/>
              <w:right w:val="single" w:sz="2" w:space="0" w:color="auto"/>
            </w:tcBorders>
          </w:tcPr>
          <w:p w14:paraId="653316B7"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73FB5DDE" w14:textId="77777777" w:rsidR="00936AB8" w:rsidRPr="00572AEC" w:rsidRDefault="00936AB8" w:rsidP="00A742FB">
            <w:pPr>
              <w:pStyle w:val="TableText"/>
              <w:tabs>
                <w:tab w:val="left" w:pos="3306"/>
              </w:tabs>
              <w:spacing w:before="120" w:after="120"/>
              <w:rPr>
                <w:rFonts w:cs="Calibri"/>
              </w:rPr>
            </w:pPr>
            <w:r w:rsidRPr="00572AEC">
              <w:rPr>
                <w:rFonts w:cs="Calibri"/>
              </w:rPr>
              <w:t>Share of Operating Profit from Joint Venture accounted for using the Equity Method</w:t>
            </w:r>
          </w:p>
        </w:tc>
        <w:tc>
          <w:tcPr>
            <w:tcW w:w="1134" w:type="dxa"/>
            <w:tcBorders>
              <w:top w:val="single" w:sz="2" w:space="0" w:color="auto"/>
              <w:left w:val="nil"/>
              <w:bottom w:val="single" w:sz="2" w:space="0" w:color="auto"/>
              <w:right w:val="nil"/>
            </w:tcBorders>
            <w:vAlign w:val="bottom"/>
          </w:tcPr>
          <w:p w14:paraId="0D4D035D" w14:textId="77777777" w:rsidR="00936AB8" w:rsidRPr="00572AEC" w:rsidRDefault="00936AB8" w:rsidP="00936AB8">
            <w:pPr>
              <w:pStyle w:val="TableText"/>
              <w:tabs>
                <w:tab w:val="left" w:pos="3306"/>
              </w:tabs>
              <w:jc w:val="right"/>
              <w:rPr>
                <w:rFonts w:cs="Calibri"/>
              </w:rPr>
            </w:pPr>
          </w:p>
        </w:tc>
        <w:tc>
          <w:tcPr>
            <w:tcW w:w="992" w:type="dxa"/>
            <w:tcBorders>
              <w:top w:val="single" w:sz="2" w:space="0" w:color="auto"/>
              <w:left w:val="nil"/>
              <w:bottom w:val="single" w:sz="2" w:space="0" w:color="auto"/>
              <w:right w:val="nil"/>
            </w:tcBorders>
            <w:vAlign w:val="bottom"/>
          </w:tcPr>
          <w:p w14:paraId="5E86C80C" w14:textId="77777777" w:rsidR="00936AB8" w:rsidRPr="00572AEC" w:rsidRDefault="00936AB8" w:rsidP="00936AB8">
            <w:pPr>
              <w:pStyle w:val="TableText"/>
              <w:tabs>
                <w:tab w:val="left" w:pos="3306"/>
              </w:tabs>
              <w:jc w:val="right"/>
              <w:rPr>
                <w:rFonts w:cs="Calibri"/>
              </w:rPr>
            </w:pPr>
          </w:p>
        </w:tc>
        <w:tc>
          <w:tcPr>
            <w:tcW w:w="1276" w:type="dxa"/>
            <w:tcBorders>
              <w:top w:val="single" w:sz="2" w:space="0" w:color="auto"/>
              <w:left w:val="nil"/>
              <w:bottom w:val="single" w:sz="2" w:space="0" w:color="auto"/>
              <w:right w:val="nil"/>
            </w:tcBorders>
            <w:vAlign w:val="bottom"/>
          </w:tcPr>
          <w:p w14:paraId="73B55637" w14:textId="77777777" w:rsidR="00936AB8" w:rsidRPr="00572AEC" w:rsidRDefault="00936AB8" w:rsidP="00936AB8">
            <w:pPr>
              <w:pStyle w:val="TableText"/>
              <w:tabs>
                <w:tab w:val="left" w:pos="3306"/>
              </w:tabs>
              <w:jc w:val="right"/>
              <w:rPr>
                <w:rFonts w:cs="Calibri"/>
              </w:rPr>
            </w:pPr>
          </w:p>
        </w:tc>
      </w:tr>
      <w:tr w:rsidR="00936AB8" w:rsidRPr="00CF7E1B" w14:paraId="3EFAF964" w14:textId="77777777" w:rsidTr="004D1EC6">
        <w:tc>
          <w:tcPr>
            <w:tcW w:w="1557" w:type="dxa"/>
            <w:tcBorders>
              <w:top w:val="nil"/>
              <w:left w:val="single" w:sz="2" w:space="0" w:color="auto"/>
              <w:bottom w:val="nil"/>
              <w:right w:val="single" w:sz="2" w:space="0" w:color="auto"/>
            </w:tcBorders>
          </w:tcPr>
          <w:p w14:paraId="36FC22B9"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01CCD4E3" w14:textId="249A498A" w:rsidR="00936AB8" w:rsidRPr="00572AEC" w:rsidRDefault="00936AB8" w:rsidP="00936AB8">
            <w:pPr>
              <w:pStyle w:val="TableText"/>
              <w:tabs>
                <w:tab w:val="left" w:pos="3306"/>
              </w:tabs>
              <w:rPr>
                <w:rFonts w:cs="Calibri"/>
                <w:b/>
                <w:bCs/>
              </w:rPr>
            </w:pPr>
            <w:bookmarkStart w:id="284" w:name="_Toc48468246"/>
            <w:bookmarkStart w:id="285" w:name="_Toc49223887"/>
            <w:r w:rsidRPr="00572AEC">
              <w:rPr>
                <w:rFonts w:cs="Calibri"/>
                <w:b/>
                <w:bCs/>
              </w:rPr>
              <w:t xml:space="preserve">Operating </w:t>
            </w:r>
            <w:r w:rsidR="00F91BB4" w:rsidRPr="00572AEC">
              <w:rPr>
                <w:rFonts w:cs="Calibri"/>
                <w:b/>
                <w:bCs/>
              </w:rPr>
              <w:t>Result</w:t>
            </w:r>
            <w:bookmarkEnd w:id="284"/>
            <w:bookmarkEnd w:id="285"/>
          </w:p>
        </w:tc>
        <w:tc>
          <w:tcPr>
            <w:tcW w:w="1134" w:type="dxa"/>
            <w:tcBorders>
              <w:top w:val="single" w:sz="2" w:space="0" w:color="auto"/>
              <w:left w:val="nil"/>
              <w:bottom w:val="double" w:sz="4" w:space="0" w:color="auto"/>
              <w:right w:val="nil"/>
            </w:tcBorders>
            <w:vAlign w:val="bottom"/>
          </w:tcPr>
          <w:p w14:paraId="2A0FB0C7" w14:textId="77777777" w:rsidR="00936AB8" w:rsidRPr="00572AEC" w:rsidRDefault="00936AB8" w:rsidP="00936AB8">
            <w:pPr>
              <w:pStyle w:val="TableText"/>
              <w:tabs>
                <w:tab w:val="left" w:pos="3306"/>
              </w:tabs>
              <w:jc w:val="right"/>
              <w:rPr>
                <w:rFonts w:cs="Calibri"/>
                <w:b/>
                <w:bCs/>
                <w:strike/>
              </w:rPr>
            </w:pPr>
          </w:p>
        </w:tc>
        <w:tc>
          <w:tcPr>
            <w:tcW w:w="992" w:type="dxa"/>
            <w:tcBorders>
              <w:top w:val="single" w:sz="2" w:space="0" w:color="auto"/>
              <w:left w:val="nil"/>
              <w:bottom w:val="double" w:sz="4" w:space="0" w:color="auto"/>
              <w:right w:val="nil"/>
            </w:tcBorders>
            <w:vAlign w:val="bottom"/>
          </w:tcPr>
          <w:p w14:paraId="36FD917F" w14:textId="77777777" w:rsidR="00936AB8" w:rsidRPr="00572AEC" w:rsidRDefault="00936AB8" w:rsidP="00936AB8">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38C37F64" w14:textId="77777777" w:rsidR="00936AB8" w:rsidRPr="00572AEC" w:rsidRDefault="00936AB8" w:rsidP="00936AB8">
            <w:pPr>
              <w:pStyle w:val="TableText"/>
              <w:tabs>
                <w:tab w:val="left" w:pos="3306"/>
              </w:tabs>
              <w:jc w:val="right"/>
              <w:rPr>
                <w:rFonts w:cs="Calibri"/>
                <w:b/>
                <w:bCs/>
              </w:rPr>
            </w:pPr>
          </w:p>
        </w:tc>
      </w:tr>
      <w:tr w:rsidR="004A29C0" w:rsidRPr="00CF7E1B" w14:paraId="167D0435" w14:textId="77777777" w:rsidTr="004D1EC6">
        <w:tc>
          <w:tcPr>
            <w:tcW w:w="1557" w:type="dxa"/>
            <w:tcBorders>
              <w:top w:val="nil"/>
              <w:left w:val="single" w:sz="2" w:space="0" w:color="auto"/>
              <w:bottom w:val="nil"/>
              <w:right w:val="single" w:sz="2" w:space="0" w:color="auto"/>
            </w:tcBorders>
          </w:tcPr>
          <w:p w14:paraId="1E682FE0" w14:textId="77777777" w:rsidR="004A29C0" w:rsidRPr="00572AEC" w:rsidRDefault="004A29C0"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1E017394" w14:textId="77777777" w:rsidR="004A29C0" w:rsidRPr="00572AEC" w:rsidRDefault="004A29C0" w:rsidP="00936AB8">
            <w:pPr>
              <w:pStyle w:val="TableText"/>
              <w:tabs>
                <w:tab w:val="left" w:pos="3306"/>
              </w:tabs>
              <w:rPr>
                <w:rFonts w:cs="Calibri"/>
                <w:b/>
                <w:bCs/>
              </w:rPr>
            </w:pPr>
          </w:p>
        </w:tc>
        <w:tc>
          <w:tcPr>
            <w:tcW w:w="1134" w:type="dxa"/>
            <w:tcBorders>
              <w:top w:val="double" w:sz="4" w:space="0" w:color="auto"/>
              <w:left w:val="nil"/>
              <w:bottom w:val="nil"/>
              <w:right w:val="nil"/>
            </w:tcBorders>
            <w:vAlign w:val="bottom"/>
          </w:tcPr>
          <w:p w14:paraId="38BBA804" w14:textId="77777777" w:rsidR="004A29C0" w:rsidRPr="00572AEC" w:rsidRDefault="004A29C0" w:rsidP="00936AB8">
            <w:pPr>
              <w:pStyle w:val="TableText"/>
              <w:tabs>
                <w:tab w:val="left" w:pos="3306"/>
              </w:tabs>
              <w:jc w:val="right"/>
              <w:rPr>
                <w:rFonts w:cs="Calibri"/>
                <w:b/>
                <w:bCs/>
                <w:strike/>
              </w:rPr>
            </w:pPr>
          </w:p>
        </w:tc>
        <w:tc>
          <w:tcPr>
            <w:tcW w:w="992" w:type="dxa"/>
            <w:tcBorders>
              <w:top w:val="double" w:sz="4" w:space="0" w:color="auto"/>
              <w:left w:val="nil"/>
              <w:bottom w:val="nil"/>
              <w:right w:val="nil"/>
            </w:tcBorders>
            <w:vAlign w:val="bottom"/>
          </w:tcPr>
          <w:p w14:paraId="12298496" w14:textId="77777777" w:rsidR="004A29C0" w:rsidRPr="00572AEC" w:rsidRDefault="004A29C0" w:rsidP="00936AB8">
            <w:pPr>
              <w:pStyle w:val="TableText"/>
              <w:tabs>
                <w:tab w:val="left" w:pos="3306"/>
              </w:tabs>
              <w:jc w:val="right"/>
              <w:rPr>
                <w:rFonts w:cs="Calibri"/>
                <w:b/>
                <w:bCs/>
              </w:rPr>
            </w:pPr>
          </w:p>
        </w:tc>
        <w:tc>
          <w:tcPr>
            <w:tcW w:w="1276" w:type="dxa"/>
            <w:tcBorders>
              <w:top w:val="double" w:sz="4" w:space="0" w:color="auto"/>
              <w:left w:val="nil"/>
              <w:bottom w:val="nil"/>
              <w:right w:val="nil"/>
            </w:tcBorders>
            <w:vAlign w:val="bottom"/>
          </w:tcPr>
          <w:p w14:paraId="5DD02DE1" w14:textId="77777777" w:rsidR="004A29C0" w:rsidRPr="00572AEC" w:rsidRDefault="004A29C0" w:rsidP="00936AB8">
            <w:pPr>
              <w:pStyle w:val="TableText"/>
              <w:tabs>
                <w:tab w:val="left" w:pos="3306"/>
              </w:tabs>
              <w:jc w:val="right"/>
              <w:rPr>
                <w:rFonts w:cs="Calibri"/>
                <w:b/>
                <w:bCs/>
              </w:rPr>
            </w:pPr>
          </w:p>
        </w:tc>
      </w:tr>
      <w:tr w:rsidR="004A29C0" w:rsidRPr="00CF7E1B" w14:paraId="326960BD" w14:textId="77777777" w:rsidTr="004D1EC6">
        <w:tc>
          <w:tcPr>
            <w:tcW w:w="1557" w:type="dxa"/>
            <w:tcBorders>
              <w:top w:val="nil"/>
              <w:left w:val="single" w:sz="2" w:space="0" w:color="auto"/>
              <w:bottom w:val="nil"/>
              <w:right w:val="single" w:sz="2" w:space="0" w:color="auto"/>
            </w:tcBorders>
          </w:tcPr>
          <w:p w14:paraId="382C37A3" w14:textId="10ECDF96" w:rsidR="004A29C0" w:rsidRPr="00572AEC" w:rsidRDefault="004A29C0" w:rsidP="004A29C0">
            <w:pPr>
              <w:pStyle w:val="TableReference"/>
              <w:tabs>
                <w:tab w:val="left" w:pos="3306"/>
              </w:tabs>
              <w:spacing w:before="40"/>
              <w:rPr>
                <w:rFonts w:cs="Calibri"/>
                <w:color w:val="7030A0"/>
                <w:sz w:val="16"/>
                <w:szCs w:val="16"/>
              </w:rPr>
            </w:pPr>
            <w:r w:rsidRPr="00572AEC">
              <w:rPr>
                <w:rFonts w:cs="Calibri"/>
                <w:color w:val="7030A0"/>
                <w:sz w:val="14"/>
              </w:rPr>
              <w:t>AASB 1052.15(d)</w:t>
            </w:r>
          </w:p>
        </w:tc>
        <w:tc>
          <w:tcPr>
            <w:tcW w:w="8930" w:type="dxa"/>
            <w:gridSpan w:val="4"/>
            <w:tcBorders>
              <w:top w:val="nil"/>
              <w:left w:val="single" w:sz="2" w:space="0" w:color="auto"/>
              <w:bottom w:val="nil"/>
              <w:right w:val="nil"/>
            </w:tcBorders>
            <w:vAlign w:val="bottom"/>
          </w:tcPr>
          <w:p w14:paraId="244CD3E3" w14:textId="6BC930AD" w:rsidR="004A29C0" w:rsidRPr="00572AEC" w:rsidRDefault="004A29C0" w:rsidP="004A29C0">
            <w:pPr>
              <w:pStyle w:val="TableText"/>
              <w:tabs>
                <w:tab w:val="left" w:pos="3306"/>
              </w:tabs>
              <w:rPr>
                <w:rFonts w:cs="Calibri"/>
                <w:b/>
                <w:bCs/>
              </w:rPr>
            </w:pPr>
            <w:r w:rsidRPr="00572AEC">
              <w:rPr>
                <w:rFonts w:cs="Calibri"/>
              </w:rPr>
              <w:t>Income from Government Sources</w:t>
            </w:r>
          </w:p>
        </w:tc>
      </w:tr>
    </w:tbl>
    <w:p w14:paraId="0647EC1A" w14:textId="77777777" w:rsidR="00435A25" w:rsidRDefault="00435A25" w:rsidP="00435A25">
      <w:bookmarkStart w:id="286" w:name="_Toc194918647"/>
    </w:p>
    <w:p w14:paraId="1F84318D" w14:textId="77777777" w:rsidR="00EF0DF0" w:rsidRDefault="00EF0DF0">
      <w:pPr>
        <w:rPr>
          <w:b/>
          <w:sz w:val="40"/>
          <w:szCs w:val="40"/>
        </w:rPr>
      </w:pPr>
      <w:r>
        <w:rPr>
          <w:b/>
          <w:sz w:val="40"/>
          <w:szCs w:val="40"/>
        </w:rPr>
        <w:br w:type="page"/>
      </w:r>
    </w:p>
    <w:p w14:paraId="1039597F" w14:textId="0CADB8ED" w:rsidR="000144FF" w:rsidRPr="00572AEC" w:rsidRDefault="000144FF" w:rsidP="00574DE1">
      <w:pPr>
        <w:spacing w:line="400" w:lineRule="exact"/>
        <w:jc w:val="center"/>
        <w:rPr>
          <w:rFonts w:asciiTheme="minorHAnsi" w:hAnsiTheme="minorHAnsi" w:cstheme="minorHAnsi"/>
          <w:b/>
          <w:sz w:val="40"/>
          <w:szCs w:val="40"/>
        </w:rPr>
      </w:pPr>
      <w:r w:rsidRPr="00572AEC">
        <w:rPr>
          <w:rFonts w:asciiTheme="minorHAnsi" w:hAnsiTheme="minorHAnsi" w:cstheme="minorHAnsi"/>
          <w:b/>
          <w:sz w:val="40"/>
          <w:szCs w:val="40"/>
        </w:rPr>
        <w:t>‘</w:t>
      </w:r>
      <w:r w:rsidR="00CB5FDC" w:rsidRPr="00572AEC">
        <w:rPr>
          <w:rFonts w:asciiTheme="minorHAnsi" w:hAnsiTheme="minorHAnsi" w:cstheme="minorHAnsi"/>
          <w:b/>
          <w:bCs/>
          <w:sz w:val="40"/>
          <w:szCs w:val="24"/>
        </w:rPr>
        <w:t xml:space="preserve">Burley Griffin </w:t>
      </w:r>
      <w:r w:rsidR="002B361F" w:rsidRPr="00572AEC">
        <w:rPr>
          <w:rFonts w:asciiTheme="minorHAnsi" w:hAnsiTheme="minorHAnsi" w:cstheme="minorHAnsi"/>
          <w:b/>
          <w:sz w:val="40"/>
          <w:szCs w:val="40"/>
        </w:rPr>
        <w:t>Agency</w:t>
      </w:r>
      <w:r w:rsidRPr="00572AEC">
        <w:rPr>
          <w:rFonts w:asciiTheme="minorHAnsi" w:hAnsiTheme="minorHAnsi" w:cstheme="minorHAnsi"/>
          <w:b/>
          <w:sz w:val="40"/>
          <w:szCs w:val="40"/>
        </w:rPr>
        <w:t>’</w:t>
      </w:r>
      <w:bookmarkEnd w:id="286"/>
    </w:p>
    <w:p w14:paraId="032B0B85" w14:textId="4D1E9E48" w:rsidR="000144FF" w:rsidRPr="00572AEC" w:rsidRDefault="000144FF" w:rsidP="00574DE1">
      <w:pPr>
        <w:pStyle w:val="Subtitle"/>
        <w:spacing w:line="400" w:lineRule="exact"/>
        <w:rPr>
          <w:rFonts w:asciiTheme="minorHAnsi" w:hAnsiTheme="minorHAnsi" w:cstheme="minorHAnsi"/>
        </w:rPr>
      </w:pPr>
      <w:bookmarkStart w:id="287" w:name="_Toc49223888"/>
      <w:bookmarkStart w:id="288" w:name="_Toc50440320"/>
      <w:bookmarkStart w:id="289" w:name="_Toc194918648"/>
      <w:bookmarkStart w:id="290" w:name="_Toc400627314"/>
      <w:bookmarkStart w:id="291" w:name="_Toc132743770"/>
      <w:r w:rsidRPr="00572AEC">
        <w:rPr>
          <w:rFonts w:asciiTheme="minorHAnsi" w:hAnsiTheme="minorHAnsi" w:cstheme="minorHAnsi"/>
        </w:rPr>
        <w:t>Operating Statement for Output Class 2 – Municipal Services</w:t>
      </w:r>
      <w:bookmarkEnd w:id="287"/>
      <w:bookmarkEnd w:id="288"/>
      <w:bookmarkEnd w:id="289"/>
      <w:bookmarkEnd w:id="290"/>
      <w:r w:rsidR="00264852" w:rsidRPr="00572AEC">
        <w:rPr>
          <w:rFonts w:asciiTheme="minorHAnsi" w:hAnsiTheme="minorHAnsi" w:cstheme="minorHAnsi"/>
          <w:szCs w:val="40"/>
        </w:rPr>
        <w:t xml:space="preserve"> and Transportation</w:t>
      </w:r>
      <w:bookmarkEnd w:id="291"/>
    </w:p>
    <w:p w14:paraId="2565B181" w14:textId="420D7801" w:rsidR="000144FF" w:rsidRPr="00572AEC" w:rsidRDefault="000144FF" w:rsidP="00574DE1">
      <w:pPr>
        <w:spacing w:after="240" w:line="400" w:lineRule="exact"/>
        <w:jc w:val="center"/>
        <w:rPr>
          <w:rFonts w:asciiTheme="minorHAnsi" w:hAnsiTheme="minorHAnsi" w:cstheme="minorHAnsi"/>
          <w:b/>
          <w:sz w:val="40"/>
          <w:szCs w:val="40"/>
        </w:rPr>
      </w:pPr>
      <w:r w:rsidRPr="00572AEC">
        <w:rPr>
          <w:rFonts w:asciiTheme="minorHAnsi" w:hAnsiTheme="minorHAnsi" w:cstheme="minorHAnsi"/>
          <w:b/>
          <w:sz w:val="40"/>
          <w:szCs w:val="40"/>
        </w:rPr>
        <w:t xml:space="preserve">For the Year Ended 30 June </w:t>
      </w:r>
      <w:r w:rsidR="00C66E0D" w:rsidRPr="00572AEC">
        <w:rPr>
          <w:rFonts w:asciiTheme="minorHAnsi" w:hAnsiTheme="minorHAnsi" w:cstheme="minorHAnsi"/>
          <w:b/>
          <w:sz w:val="40"/>
          <w:szCs w:val="40"/>
        </w:rPr>
        <w:t>202</w:t>
      </w:r>
      <w:r w:rsidR="00826627">
        <w:rPr>
          <w:rFonts w:asciiTheme="minorHAnsi" w:hAnsiTheme="minorHAnsi" w:cstheme="minorHAnsi"/>
          <w:b/>
          <w:sz w:val="40"/>
          <w:szCs w:val="40"/>
        </w:rPr>
        <w:t>3</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1"/>
        <w:gridCol w:w="1221"/>
        <w:gridCol w:w="1240"/>
        <w:gridCol w:w="1199"/>
      </w:tblGrid>
      <w:tr w:rsidR="000144FF" w:rsidRPr="00CF7E1B" w14:paraId="65054D14" w14:textId="77777777" w:rsidTr="004D1EC6">
        <w:tc>
          <w:tcPr>
            <w:tcW w:w="1563" w:type="dxa"/>
            <w:tcBorders>
              <w:top w:val="nil"/>
              <w:left w:val="single" w:sz="2" w:space="0" w:color="auto"/>
              <w:bottom w:val="nil"/>
              <w:right w:val="single" w:sz="2" w:space="0" w:color="auto"/>
            </w:tcBorders>
          </w:tcPr>
          <w:p w14:paraId="49576095" w14:textId="77777777" w:rsidR="000144FF" w:rsidRPr="006911F3" w:rsidRDefault="000144FF" w:rsidP="00421D32">
            <w:pPr>
              <w:pStyle w:val="Reference"/>
              <w:tabs>
                <w:tab w:val="left" w:pos="3306"/>
              </w:tabs>
              <w:rPr>
                <w:rFonts w:cs="Calibri"/>
                <w:color w:val="7030A0"/>
                <w:sz w:val="22"/>
                <w:szCs w:val="22"/>
              </w:rPr>
            </w:pPr>
            <w:r w:rsidRPr="006911F3">
              <w:rPr>
                <w:rFonts w:cs="Calibri"/>
                <w:color w:val="7030A0"/>
                <w:sz w:val="22"/>
                <w:szCs w:val="22"/>
              </w:rPr>
              <w:t>Reference</w:t>
            </w:r>
          </w:p>
        </w:tc>
        <w:tc>
          <w:tcPr>
            <w:tcW w:w="8981" w:type="dxa"/>
            <w:gridSpan w:val="4"/>
            <w:tcBorders>
              <w:top w:val="nil"/>
              <w:left w:val="single" w:sz="2" w:space="0" w:color="auto"/>
              <w:bottom w:val="nil"/>
              <w:right w:val="nil"/>
            </w:tcBorders>
            <w:vAlign w:val="bottom"/>
          </w:tcPr>
          <w:p w14:paraId="3820FFE2" w14:textId="5C8F46D8" w:rsidR="000144FF" w:rsidRPr="006911F3" w:rsidRDefault="003437E5" w:rsidP="00264852">
            <w:pPr>
              <w:pStyle w:val="CommentaryHeading"/>
              <w:tabs>
                <w:tab w:val="left" w:pos="3306"/>
              </w:tabs>
              <w:spacing w:before="0" w:after="120"/>
              <w:rPr>
                <w:rFonts w:cs="Calibri"/>
                <w:sz w:val="24"/>
                <w:szCs w:val="24"/>
              </w:rPr>
            </w:pPr>
            <w:r w:rsidRPr="006911F3">
              <w:rPr>
                <w:sz w:val="24"/>
                <w:szCs w:val="24"/>
              </w:rPr>
              <w:t>Operating Statement for Output Class 2 – Municipal Services</w:t>
            </w:r>
            <w:r w:rsidR="00264852" w:rsidRPr="006911F3">
              <w:rPr>
                <w:sz w:val="24"/>
                <w:szCs w:val="24"/>
              </w:rPr>
              <w:t xml:space="preserve"> and Transportation</w:t>
            </w:r>
          </w:p>
        </w:tc>
      </w:tr>
      <w:tr w:rsidR="000144FF" w:rsidRPr="00CF7E1B" w14:paraId="6D7246EB" w14:textId="77777777" w:rsidTr="004D1EC6">
        <w:tc>
          <w:tcPr>
            <w:tcW w:w="1563" w:type="dxa"/>
            <w:tcBorders>
              <w:top w:val="nil"/>
              <w:left w:val="single" w:sz="2" w:space="0" w:color="auto"/>
              <w:bottom w:val="nil"/>
              <w:right w:val="single" w:sz="2" w:space="0" w:color="auto"/>
            </w:tcBorders>
          </w:tcPr>
          <w:p w14:paraId="176AD927" w14:textId="77777777" w:rsidR="000144FF" w:rsidRPr="006911F3" w:rsidRDefault="000144FF" w:rsidP="00162CD4">
            <w:pPr>
              <w:pStyle w:val="Reference"/>
              <w:rPr>
                <w:rFonts w:cs="Calibri"/>
                <w:b w:val="0"/>
                <w:bCs w:val="0"/>
                <w:color w:val="7030A0"/>
                <w:sz w:val="14"/>
                <w:szCs w:val="14"/>
              </w:rPr>
            </w:pPr>
          </w:p>
          <w:p w14:paraId="79195B52" w14:textId="77777777" w:rsidR="000144FF" w:rsidRPr="006911F3" w:rsidRDefault="000144FF">
            <w:pPr>
              <w:pStyle w:val="Reference"/>
              <w:tabs>
                <w:tab w:val="left" w:pos="3306"/>
              </w:tabs>
              <w:rPr>
                <w:rFonts w:cs="Calibri"/>
                <w:b w:val="0"/>
                <w:bCs w:val="0"/>
                <w:color w:val="7030A0"/>
                <w:sz w:val="14"/>
                <w:szCs w:val="14"/>
              </w:rPr>
            </w:pPr>
          </w:p>
          <w:p w14:paraId="5CD154CB" w14:textId="77777777" w:rsidR="000144FF" w:rsidRPr="006911F3" w:rsidRDefault="007174F5">
            <w:pPr>
              <w:pStyle w:val="Reference"/>
              <w:tabs>
                <w:tab w:val="left" w:pos="3306"/>
              </w:tabs>
              <w:rPr>
                <w:rFonts w:cs="Calibri"/>
                <w:b w:val="0"/>
                <w:bCs w:val="0"/>
                <w:color w:val="7030A0"/>
                <w:sz w:val="14"/>
                <w:szCs w:val="14"/>
              </w:rPr>
            </w:pPr>
            <w:r w:rsidRPr="006911F3">
              <w:rPr>
                <w:rFonts w:cs="Calibri"/>
                <w:b w:val="0"/>
                <w:bCs w:val="0"/>
                <w:color w:val="7030A0"/>
                <w:sz w:val="14"/>
                <w:szCs w:val="14"/>
              </w:rPr>
              <w:t>AASB 1052</w:t>
            </w:r>
            <w:r w:rsidR="00D65811" w:rsidRPr="006911F3">
              <w:rPr>
                <w:rFonts w:cs="Calibri"/>
                <w:b w:val="0"/>
                <w:bCs w:val="0"/>
                <w:color w:val="7030A0"/>
                <w:sz w:val="14"/>
                <w:szCs w:val="14"/>
              </w:rPr>
              <w:t>.</w:t>
            </w:r>
            <w:r w:rsidRPr="006911F3">
              <w:rPr>
                <w:rFonts w:cs="Calibri"/>
                <w:b w:val="0"/>
                <w:bCs w:val="0"/>
                <w:color w:val="7030A0"/>
                <w:sz w:val="14"/>
                <w:szCs w:val="14"/>
              </w:rPr>
              <w:t>15(a)</w:t>
            </w:r>
          </w:p>
        </w:tc>
        <w:tc>
          <w:tcPr>
            <w:tcW w:w="8981" w:type="dxa"/>
            <w:gridSpan w:val="4"/>
            <w:tcBorders>
              <w:top w:val="nil"/>
              <w:left w:val="single" w:sz="2" w:space="0" w:color="auto"/>
              <w:bottom w:val="nil"/>
              <w:right w:val="nil"/>
            </w:tcBorders>
            <w:vAlign w:val="bottom"/>
          </w:tcPr>
          <w:p w14:paraId="65AEE143" w14:textId="77777777" w:rsidR="000144FF" w:rsidRPr="006911F3" w:rsidRDefault="000144FF" w:rsidP="003A2D8E">
            <w:pPr>
              <w:pStyle w:val="CommentaryHeading"/>
              <w:tabs>
                <w:tab w:val="left" w:pos="3306"/>
              </w:tabs>
              <w:spacing w:before="0" w:after="120"/>
              <w:rPr>
                <w:rFonts w:cs="Calibri"/>
                <w:sz w:val="18"/>
                <w:szCs w:val="16"/>
              </w:rPr>
            </w:pPr>
            <w:r w:rsidRPr="006911F3">
              <w:rPr>
                <w:rFonts w:cs="Calibri"/>
                <w:sz w:val="18"/>
                <w:szCs w:val="16"/>
              </w:rPr>
              <w:t>Description</w:t>
            </w:r>
          </w:p>
          <w:p w14:paraId="0104A84D" w14:textId="31A2880D" w:rsidR="000144FF" w:rsidRPr="006911F3" w:rsidRDefault="000144FF" w:rsidP="00512537">
            <w:pPr>
              <w:pStyle w:val="CommentaryText"/>
              <w:tabs>
                <w:tab w:val="left" w:pos="3306"/>
              </w:tabs>
              <w:spacing w:after="40"/>
              <w:rPr>
                <w:rFonts w:cs="Calibri"/>
                <w:sz w:val="18"/>
              </w:rPr>
            </w:pPr>
            <w:r w:rsidRPr="006911F3">
              <w:rPr>
                <w:rFonts w:cs="Calibri"/>
                <w:sz w:val="18"/>
              </w:rPr>
              <w:t>Output Class 2: ‘Municipal Services</w:t>
            </w:r>
            <w:r w:rsidR="00264852" w:rsidRPr="006911F3">
              <w:rPr>
                <w:rFonts w:cs="Calibri"/>
                <w:sz w:val="18"/>
              </w:rPr>
              <w:t xml:space="preserve"> and Transportation</w:t>
            </w:r>
            <w:r w:rsidRPr="006911F3">
              <w:rPr>
                <w:rFonts w:cs="Calibri"/>
                <w:sz w:val="18"/>
              </w:rPr>
              <w:t>’ includes:</w:t>
            </w:r>
          </w:p>
          <w:p w14:paraId="2AB94719" w14:textId="39E66D33" w:rsidR="000144FF" w:rsidRPr="006911F3" w:rsidRDefault="000144FF" w:rsidP="00512537">
            <w:pPr>
              <w:pStyle w:val="Commentary-Bullet"/>
              <w:spacing w:after="40"/>
              <w:ind w:left="481" w:hanging="456"/>
              <w:rPr>
                <w:rFonts w:cs="Calibri"/>
                <w:sz w:val="18"/>
              </w:rPr>
            </w:pPr>
            <w:r w:rsidRPr="006911F3">
              <w:rPr>
                <w:rFonts w:cs="Calibri"/>
                <w:sz w:val="18"/>
              </w:rPr>
              <w:t>policy advice on industry and regulatory reform, specifically implementing reforms in the energy and water industries, policy development for workplace safety, whole of government purchasing policy advice and workers’ compensation;</w:t>
            </w:r>
            <w:r w:rsidR="00FA7C77">
              <w:rPr>
                <w:rFonts w:cs="Calibri"/>
                <w:sz w:val="18"/>
              </w:rPr>
              <w:t xml:space="preserve"> </w:t>
            </w:r>
          </w:p>
          <w:p w14:paraId="5F6F50E0" w14:textId="7B217166" w:rsidR="00264852" w:rsidRPr="006911F3" w:rsidRDefault="000144FF" w:rsidP="005E4472">
            <w:pPr>
              <w:pStyle w:val="Commentary-Bullet"/>
              <w:spacing w:after="40"/>
              <w:ind w:left="481" w:hanging="456"/>
              <w:rPr>
                <w:rFonts w:cs="Calibri"/>
                <w:sz w:val="18"/>
              </w:rPr>
            </w:pPr>
            <w:r w:rsidRPr="006911F3">
              <w:rPr>
                <w:rFonts w:cs="Calibri"/>
                <w:sz w:val="18"/>
              </w:rPr>
              <w:t xml:space="preserve">infrastructure </w:t>
            </w:r>
            <w:r w:rsidR="00C57514" w:rsidRPr="006911F3">
              <w:rPr>
                <w:rFonts w:cs="Calibri"/>
                <w:sz w:val="18"/>
              </w:rPr>
              <w:t xml:space="preserve">construction and maintenance of roads, </w:t>
            </w:r>
            <w:r w:rsidR="00206B5F" w:rsidRPr="006911F3">
              <w:rPr>
                <w:rFonts w:cs="Calibri"/>
                <w:sz w:val="18"/>
              </w:rPr>
              <w:t>bridges</w:t>
            </w:r>
            <w:r w:rsidRPr="006911F3">
              <w:rPr>
                <w:rFonts w:cs="Calibri"/>
                <w:sz w:val="18"/>
              </w:rPr>
              <w:t>, stormwater drains, footpaths</w:t>
            </w:r>
            <w:r w:rsidR="00C57514" w:rsidRPr="006911F3">
              <w:rPr>
                <w:rFonts w:cs="Calibri"/>
                <w:sz w:val="18"/>
              </w:rPr>
              <w:t>, signs, barriers,</w:t>
            </w:r>
            <w:r w:rsidR="005E4472">
              <w:rPr>
                <w:rFonts w:cs="Calibri"/>
                <w:sz w:val="18"/>
              </w:rPr>
              <w:t xml:space="preserve"> </w:t>
            </w:r>
            <w:r w:rsidR="00C57514" w:rsidRPr="006911F3">
              <w:rPr>
                <w:rFonts w:cs="Calibri"/>
                <w:sz w:val="18"/>
              </w:rPr>
              <w:t>bollards</w:t>
            </w:r>
            <w:r w:rsidRPr="006911F3">
              <w:rPr>
                <w:rFonts w:cs="Calibri"/>
                <w:sz w:val="18"/>
              </w:rPr>
              <w:t xml:space="preserve"> and </w:t>
            </w:r>
            <w:r w:rsidR="008475E2" w:rsidRPr="006911F3">
              <w:rPr>
                <w:rFonts w:cs="Calibri"/>
                <w:sz w:val="18"/>
              </w:rPr>
              <w:t>streetlights</w:t>
            </w:r>
            <w:r w:rsidRPr="006911F3">
              <w:rPr>
                <w:rFonts w:cs="Calibri"/>
                <w:sz w:val="18"/>
              </w:rPr>
              <w:t xml:space="preserve">; </w:t>
            </w:r>
          </w:p>
          <w:p w14:paraId="5310621A" w14:textId="77777777" w:rsidR="00EF3D67" w:rsidRPr="006911F3" w:rsidRDefault="00264852" w:rsidP="005E4472">
            <w:pPr>
              <w:pStyle w:val="Commentary-Bullet"/>
              <w:spacing w:after="40"/>
              <w:ind w:left="481" w:hanging="456"/>
              <w:rPr>
                <w:rFonts w:cs="Calibri"/>
                <w:sz w:val="18"/>
              </w:rPr>
            </w:pPr>
            <w:r w:rsidRPr="006911F3">
              <w:rPr>
                <w:rFonts w:cs="Calibri"/>
                <w:sz w:val="18"/>
              </w:rPr>
              <w:t>transportation services provided by buses and light rail;</w:t>
            </w:r>
          </w:p>
          <w:p w14:paraId="20E95B9B" w14:textId="60160BD1" w:rsidR="000144FF" w:rsidRPr="006911F3" w:rsidRDefault="00EF3D67" w:rsidP="005E4472">
            <w:pPr>
              <w:pStyle w:val="Commentary-Bullet"/>
              <w:spacing w:after="40"/>
              <w:ind w:left="481" w:hanging="456"/>
              <w:rPr>
                <w:rFonts w:cs="Calibri"/>
                <w:sz w:val="18"/>
              </w:rPr>
            </w:pPr>
            <w:r w:rsidRPr="006911F3">
              <w:rPr>
                <w:rFonts w:cs="Calibri"/>
                <w:sz w:val="18"/>
              </w:rPr>
              <w:t xml:space="preserve">issuing of </w:t>
            </w:r>
            <w:r w:rsidR="008475E2" w:rsidRPr="006911F3">
              <w:rPr>
                <w:rFonts w:cs="Calibri"/>
                <w:sz w:val="18"/>
              </w:rPr>
              <w:t>driver’s</w:t>
            </w:r>
            <w:r w:rsidRPr="006911F3">
              <w:rPr>
                <w:rFonts w:cs="Calibri"/>
                <w:sz w:val="18"/>
              </w:rPr>
              <w:t xml:space="preserve"> </w:t>
            </w:r>
            <w:r w:rsidR="008475E2" w:rsidRPr="006911F3">
              <w:rPr>
                <w:rFonts w:cs="Calibri"/>
                <w:sz w:val="18"/>
              </w:rPr>
              <w:t>licences</w:t>
            </w:r>
            <w:r w:rsidRPr="006911F3">
              <w:rPr>
                <w:rFonts w:cs="Calibri"/>
                <w:sz w:val="18"/>
              </w:rPr>
              <w:t xml:space="preserve"> </w:t>
            </w:r>
            <w:r w:rsidR="007551E7" w:rsidRPr="006911F3">
              <w:rPr>
                <w:rFonts w:cs="Calibri"/>
                <w:sz w:val="18"/>
              </w:rPr>
              <w:t xml:space="preserve">and motor vehicle registration </w:t>
            </w:r>
            <w:r w:rsidRPr="006911F3">
              <w:rPr>
                <w:rFonts w:cs="Calibri"/>
                <w:sz w:val="18"/>
              </w:rPr>
              <w:t xml:space="preserve">as well as </w:t>
            </w:r>
            <w:r w:rsidR="007551E7" w:rsidRPr="006911F3">
              <w:rPr>
                <w:rFonts w:cs="Calibri"/>
                <w:sz w:val="18"/>
              </w:rPr>
              <w:t>traffic and parking fines;</w:t>
            </w:r>
            <w:r w:rsidR="00FA7C77">
              <w:rPr>
                <w:rFonts w:cs="Calibri"/>
                <w:sz w:val="18"/>
              </w:rPr>
              <w:t xml:space="preserve"> </w:t>
            </w:r>
          </w:p>
          <w:p w14:paraId="336C2044" w14:textId="7541D028" w:rsidR="000144FF" w:rsidRPr="006911F3" w:rsidRDefault="000144FF" w:rsidP="005E4472">
            <w:pPr>
              <w:pStyle w:val="Commentary-Bullet"/>
              <w:spacing w:after="40"/>
              <w:ind w:left="481" w:hanging="456"/>
              <w:rPr>
                <w:rFonts w:cs="Calibri"/>
                <w:sz w:val="18"/>
              </w:rPr>
            </w:pPr>
            <w:r w:rsidRPr="006911F3">
              <w:rPr>
                <w:rFonts w:cs="Calibri"/>
                <w:sz w:val="18"/>
              </w:rPr>
              <w:t>waste and recycling including waste management advice, services and development control measures; and</w:t>
            </w:r>
            <w:r w:rsidR="00FA7C77">
              <w:rPr>
                <w:rFonts w:cs="Calibri"/>
                <w:sz w:val="18"/>
              </w:rPr>
              <w:t xml:space="preserve"> </w:t>
            </w:r>
          </w:p>
          <w:p w14:paraId="561E8F74" w14:textId="491113BC" w:rsidR="000144FF" w:rsidRPr="006911F3" w:rsidRDefault="000144FF" w:rsidP="005E4472">
            <w:pPr>
              <w:pStyle w:val="Commentary-Bullet"/>
              <w:spacing w:after="40"/>
              <w:ind w:left="481" w:hanging="456"/>
              <w:rPr>
                <w:rFonts w:cs="Calibri"/>
                <w:sz w:val="18"/>
              </w:rPr>
            </w:pPr>
            <w:r w:rsidRPr="006911F3">
              <w:rPr>
                <w:rFonts w:cs="Calibri"/>
                <w:sz w:val="18"/>
              </w:rPr>
              <w:t xml:space="preserve">procurement </w:t>
            </w:r>
            <w:r w:rsidR="004C19B3" w:rsidRPr="006911F3">
              <w:rPr>
                <w:rFonts w:cs="Calibri"/>
                <w:sz w:val="18"/>
              </w:rPr>
              <w:t xml:space="preserve">services </w:t>
            </w:r>
            <w:r w:rsidRPr="006911F3">
              <w:rPr>
                <w:rFonts w:cs="Calibri"/>
                <w:sz w:val="18"/>
              </w:rPr>
              <w:t>including on-line procurement services, business opportunity notifications and information on tenders and contracts.</w:t>
            </w:r>
          </w:p>
        </w:tc>
      </w:tr>
      <w:tr w:rsidR="00ED1443" w:rsidRPr="00CF7E1B" w14:paraId="2AEDEA7E" w14:textId="77777777" w:rsidTr="004D1EC6">
        <w:tc>
          <w:tcPr>
            <w:tcW w:w="1563" w:type="dxa"/>
            <w:vMerge w:val="restart"/>
            <w:tcBorders>
              <w:top w:val="nil"/>
              <w:left w:val="single" w:sz="2" w:space="0" w:color="auto"/>
              <w:right w:val="single" w:sz="2" w:space="0" w:color="auto"/>
            </w:tcBorders>
            <w:vAlign w:val="bottom"/>
          </w:tcPr>
          <w:p w14:paraId="54178B93" w14:textId="643993E7" w:rsidR="00ED1443" w:rsidRPr="006911F3" w:rsidRDefault="00ED1443">
            <w:pPr>
              <w:pStyle w:val="TableReference"/>
              <w:tabs>
                <w:tab w:val="left" w:pos="3306"/>
              </w:tabs>
              <w:spacing w:before="40"/>
              <w:rPr>
                <w:rFonts w:cs="Calibri"/>
                <w:bCs/>
                <w:color w:val="7030A0"/>
                <w:sz w:val="14"/>
              </w:rPr>
            </w:pPr>
            <w:r w:rsidRPr="006911F3">
              <w:rPr>
                <w:rFonts w:cs="Calibri"/>
                <w:bCs/>
                <w:color w:val="7030A0"/>
                <w:sz w:val="14"/>
              </w:rPr>
              <w:t xml:space="preserve">FMA Section 27(3)(a) </w:t>
            </w:r>
            <w:r w:rsidRPr="006911F3">
              <w:rPr>
                <w:rFonts w:cs="Calibri"/>
                <w:bCs/>
                <w:color w:val="7030A0"/>
                <w:sz w:val="14"/>
              </w:rPr>
              <w:br/>
              <w:t xml:space="preserve">Financial </w:t>
            </w:r>
            <w:r w:rsidR="008475E2" w:rsidRPr="006911F3">
              <w:rPr>
                <w:rFonts w:cs="Calibri"/>
                <w:bCs/>
                <w:color w:val="7030A0"/>
                <w:sz w:val="14"/>
              </w:rPr>
              <w:t>Management (</w:t>
            </w:r>
            <w:r w:rsidRPr="006911F3">
              <w:rPr>
                <w:rFonts w:cs="Calibri"/>
                <w:bCs/>
                <w:color w:val="7030A0"/>
                <w:sz w:val="14"/>
              </w:rPr>
              <w:t xml:space="preserve">Periodic &amp; Annual Financial Statements) </w:t>
            </w:r>
            <w:r w:rsidR="008475E2" w:rsidRPr="006911F3">
              <w:rPr>
                <w:rFonts w:cs="Calibri"/>
                <w:bCs/>
                <w:color w:val="7030A0"/>
                <w:sz w:val="14"/>
              </w:rPr>
              <w:t xml:space="preserve">Guidelines </w:t>
            </w:r>
            <w:r w:rsidR="004A4187" w:rsidRPr="006911F3">
              <w:rPr>
                <w:rFonts w:cs="Calibri"/>
                <w:bCs/>
                <w:color w:val="7030A0"/>
                <w:sz w:val="14"/>
              </w:rPr>
              <w:t>2016</w:t>
            </w:r>
          </w:p>
          <w:p w14:paraId="265256F4" w14:textId="77777777" w:rsidR="00ED1443" w:rsidRPr="006911F3" w:rsidRDefault="00ED1443" w:rsidP="00FD3F52">
            <w:pPr>
              <w:pStyle w:val="TableReference"/>
              <w:tabs>
                <w:tab w:val="left" w:pos="3306"/>
              </w:tabs>
              <w:spacing w:before="40"/>
              <w:rPr>
                <w:rFonts w:cs="Calibri"/>
                <w:color w:val="7030A0"/>
                <w:sz w:val="14"/>
              </w:rPr>
            </w:pPr>
            <w:r w:rsidRPr="006911F3">
              <w:rPr>
                <w:rFonts w:cs="Calibri"/>
                <w:bCs/>
                <w:color w:val="7030A0"/>
                <w:sz w:val="14"/>
              </w:rPr>
              <w:t>Section 7(2)</w:t>
            </w:r>
          </w:p>
        </w:tc>
        <w:tc>
          <w:tcPr>
            <w:tcW w:w="5321" w:type="dxa"/>
            <w:tcBorders>
              <w:top w:val="nil"/>
              <w:left w:val="single" w:sz="2" w:space="0" w:color="auto"/>
              <w:bottom w:val="nil"/>
              <w:right w:val="nil"/>
            </w:tcBorders>
            <w:vAlign w:val="bottom"/>
          </w:tcPr>
          <w:p w14:paraId="3FDE8C3B" w14:textId="77777777" w:rsidR="00ED1443" w:rsidRPr="006911F3" w:rsidRDefault="00ED1443">
            <w:pPr>
              <w:tabs>
                <w:tab w:val="left" w:pos="3306"/>
              </w:tabs>
              <w:rPr>
                <w:rFonts w:cs="Calibri"/>
              </w:rPr>
            </w:pPr>
          </w:p>
        </w:tc>
        <w:tc>
          <w:tcPr>
            <w:tcW w:w="1221" w:type="dxa"/>
            <w:tcBorders>
              <w:top w:val="nil"/>
              <w:left w:val="nil"/>
              <w:bottom w:val="nil"/>
              <w:right w:val="nil"/>
            </w:tcBorders>
            <w:vAlign w:val="bottom"/>
          </w:tcPr>
          <w:p w14:paraId="57B6991C" w14:textId="77777777" w:rsidR="00ED1443" w:rsidRPr="006911F3" w:rsidRDefault="00ED1443">
            <w:pPr>
              <w:pStyle w:val="TableTitle"/>
              <w:tabs>
                <w:tab w:val="left" w:pos="3306"/>
              </w:tabs>
              <w:rPr>
                <w:rFonts w:cs="Calibri"/>
              </w:rPr>
            </w:pPr>
            <w:r w:rsidRPr="006911F3">
              <w:rPr>
                <w:rFonts w:cs="Calibri"/>
              </w:rPr>
              <w:t>Actual</w:t>
            </w:r>
          </w:p>
          <w:p w14:paraId="2E90F535" w14:textId="3240DCD7" w:rsidR="00ED1443" w:rsidRPr="006911F3" w:rsidRDefault="00ED1443" w:rsidP="001B231B">
            <w:pPr>
              <w:pStyle w:val="TableTitle"/>
              <w:tabs>
                <w:tab w:val="left" w:pos="3306"/>
              </w:tabs>
              <w:rPr>
                <w:rFonts w:cs="Calibri"/>
              </w:rPr>
            </w:pPr>
            <w:r w:rsidRPr="006911F3">
              <w:rPr>
                <w:rFonts w:cs="Calibri"/>
              </w:rPr>
              <w:t>202</w:t>
            </w:r>
            <w:r w:rsidR="00826627">
              <w:rPr>
                <w:rFonts w:cs="Calibri"/>
              </w:rPr>
              <w:t>3</w:t>
            </w:r>
          </w:p>
          <w:p w14:paraId="4F25818F" w14:textId="77777777" w:rsidR="00ED1443" w:rsidRPr="006911F3" w:rsidRDefault="00ED1443">
            <w:pPr>
              <w:pStyle w:val="TableTitle"/>
              <w:tabs>
                <w:tab w:val="left" w:pos="3306"/>
              </w:tabs>
              <w:rPr>
                <w:rFonts w:cs="Calibri"/>
              </w:rPr>
            </w:pPr>
            <w:r w:rsidRPr="006911F3">
              <w:rPr>
                <w:rFonts w:cs="Calibri"/>
              </w:rPr>
              <w:t>$’000</w:t>
            </w:r>
          </w:p>
        </w:tc>
        <w:tc>
          <w:tcPr>
            <w:tcW w:w="1240" w:type="dxa"/>
            <w:tcBorders>
              <w:top w:val="nil"/>
              <w:left w:val="nil"/>
              <w:bottom w:val="nil"/>
              <w:right w:val="nil"/>
            </w:tcBorders>
            <w:vAlign w:val="bottom"/>
          </w:tcPr>
          <w:p w14:paraId="6CE82E01" w14:textId="77777777" w:rsidR="00ED1443" w:rsidRPr="006911F3" w:rsidRDefault="00ED1443">
            <w:pPr>
              <w:pStyle w:val="TableTitle"/>
              <w:tabs>
                <w:tab w:val="left" w:pos="3306"/>
              </w:tabs>
              <w:rPr>
                <w:rFonts w:cs="Calibri"/>
              </w:rPr>
            </w:pPr>
            <w:r w:rsidRPr="006911F3">
              <w:rPr>
                <w:rFonts w:cs="Calibri"/>
              </w:rPr>
              <w:t>Original Budget</w:t>
            </w:r>
          </w:p>
          <w:p w14:paraId="0A1BB28C" w14:textId="25A5C7A4" w:rsidR="00ED1443" w:rsidRPr="006911F3" w:rsidRDefault="00ED1443" w:rsidP="001B231B">
            <w:pPr>
              <w:pStyle w:val="TableTitle"/>
              <w:tabs>
                <w:tab w:val="left" w:pos="3306"/>
              </w:tabs>
              <w:rPr>
                <w:rFonts w:cs="Calibri"/>
              </w:rPr>
            </w:pPr>
            <w:r w:rsidRPr="006911F3">
              <w:rPr>
                <w:rFonts w:cs="Calibri"/>
              </w:rPr>
              <w:t>202</w:t>
            </w:r>
            <w:r w:rsidR="00826627">
              <w:rPr>
                <w:rFonts w:cs="Calibri"/>
              </w:rPr>
              <w:t>3</w:t>
            </w:r>
          </w:p>
          <w:p w14:paraId="1BCD721B" w14:textId="77777777" w:rsidR="00ED1443" w:rsidRPr="006911F3" w:rsidRDefault="00ED1443">
            <w:pPr>
              <w:pStyle w:val="TableTitle"/>
              <w:tabs>
                <w:tab w:val="left" w:pos="3306"/>
              </w:tabs>
              <w:rPr>
                <w:rFonts w:cs="Calibri"/>
              </w:rPr>
            </w:pPr>
            <w:r w:rsidRPr="006911F3">
              <w:rPr>
                <w:rFonts w:cs="Calibri"/>
              </w:rPr>
              <w:t>$’000</w:t>
            </w:r>
          </w:p>
        </w:tc>
        <w:tc>
          <w:tcPr>
            <w:tcW w:w="1199" w:type="dxa"/>
            <w:tcBorders>
              <w:top w:val="nil"/>
              <w:left w:val="nil"/>
              <w:bottom w:val="nil"/>
              <w:right w:val="nil"/>
            </w:tcBorders>
            <w:vAlign w:val="bottom"/>
          </w:tcPr>
          <w:p w14:paraId="339F2C5C" w14:textId="77777777" w:rsidR="00ED1443" w:rsidRPr="006911F3" w:rsidRDefault="00ED1443">
            <w:pPr>
              <w:pStyle w:val="TableTitle"/>
              <w:tabs>
                <w:tab w:val="left" w:pos="3306"/>
              </w:tabs>
              <w:rPr>
                <w:rFonts w:cs="Calibri"/>
              </w:rPr>
            </w:pPr>
            <w:r w:rsidRPr="006911F3">
              <w:rPr>
                <w:rFonts w:cs="Calibri"/>
              </w:rPr>
              <w:t>Actual</w:t>
            </w:r>
          </w:p>
          <w:p w14:paraId="7C7581E3" w14:textId="6F235321" w:rsidR="00ED1443" w:rsidRPr="0009580B" w:rsidRDefault="00ED1443">
            <w:pPr>
              <w:pStyle w:val="TableTitle"/>
              <w:tabs>
                <w:tab w:val="left" w:pos="3306"/>
              </w:tabs>
              <w:rPr>
                <w:rFonts w:cs="Calibri"/>
              </w:rPr>
            </w:pPr>
            <w:r w:rsidRPr="006911F3">
              <w:rPr>
                <w:rFonts w:cs="Calibri"/>
              </w:rPr>
              <w:t>202</w:t>
            </w:r>
            <w:r w:rsidR="00826627">
              <w:rPr>
                <w:rFonts w:cs="Calibri"/>
              </w:rPr>
              <w:t>2</w:t>
            </w:r>
          </w:p>
          <w:p w14:paraId="4304D1B5" w14:textId="77777777" w:rsidR="00ED1443" w:rsidRPr="006911F3" w:rsidRDefault="00ED1443">
            <w:pPr>
              <w:pStyle w:val="TableTitle"/>
              <w:tabs>
                <w:tab w:val="left" w:pos="3306"/>
              </w:tabs>
              <w:rPr>
                <w:rFonts w:cs="Calibri"/>
              </w:rPr>
            </w:pPr>
            <w:r w:rsidRPr="006911F3">
              <w:rPr>
                <w:rFonts w:cs="Calibri"/>
              </w:rPr>
              <w:t>$’000</w:t>
            </w:r>
          </w:p>
        </w:tc>
      </w:tr>
      <w:tr w:rsidR="00ED1443" w:rsidRPr="00CF7E1B" w14:paraId="15991520" w14:textId="77777777" w:rsidTr="004D1EC6">
        <w:tc>
          <w:tcPr>
            <w:tcW w:w="1563" w:type="dxa"/>
            <w:vMerge/>
            <w:tcBorders>
              <w:top w:val="nil"/>
              <w:left w:val="single" w:sz="2" w:space="0" w:color="auto"/>
              <w:bottom w:val="nil"/>
              <w:right w:val="single" w:sz="2" w:space="0" w:color="auto"/>
            </w:tcBorders>
          </w:tcPr>
          <w:p w14:paraId="0449A02B" w14:textId="77777777" w:rsidR="00ED1443" w:rsidRPr="006911F3" w:rsidRDefault="00ED1443">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17925489" w14:textId="77777777" w:rsidR="00ED1443" w:rsidRPr="006911F3" w:rsidRDefault="00ED1443">
            <w:pPr>
              <w:pStyle w:val="TableText"/>
              <w:tabs>
                <w:tab w:val="left" w:pos="3306"/>
              </w:tabs>
              <w:rPr>
                <w:rFonts w:cs="Calibri"/>
                <w:b/>
                <w:bCs/>
              </w:rPr>
            </w:pPr>
            <w:r w:rsidRPr="006911F3">
              <w:rPr>
                <w:rFonts w:cs="Calibri"/>
                <w:b/>
                <w:bCs/>
              </w:rPr>
              <w:t>Income</w:t>
            </w:r>
          </w:p>
        </w:tc>
        <w:tc>
          <w:tcPr>
            <w:tcW w:w="1221" w:type="dxa"/>
            <w:tcBorders>
              <w:top w:val="nil"/>
              <w:left w:val="nil"/>
              <w:bottom w:val="nil"/>
              <w:right w:val="nil"/>
            </w:tcBorders>
            <w:vAlign w:val="bottom"/>
          </w:tcPr>
          <w:p w14:paraId="63C1C71C" w14:textId="77777777" w:rsidR="00ED1443" w:rsidRPr="006911F3" w:rsidRDefault="00ED1443">
            <w:pPr>
              <w:pStyle w:val="TableText"/>
              <w:tabs>
                <w:tab w:val="left" w:pos="3306"/>
              </w:tabs>
              <w:jc w:val="right"/>
              <w:rPr>
                <w:rFonts w:cs="Calibri"/>
              </w:rPr>
            </w:pPr>
          </w:p>
        </w:tc>
        <w:tc>
          <w:tcPr>
            <w:tcW w:w="1240" w:type="dxa"/>
            <w:tcBorders>
              <w:top w:val="nil"/>
              <w:left w:val="nil"/>
              <w:bottom w:val="nil"/>
              <w:right w:val="nil"/>
            </w:tcBorders>
            <w:vAlign w:val="bottom"/>
          </w:tcPr>
          <w:p w14:paraId="1C0077FB" w14:textId="77777777" w:rsidR="00ED1443" w:rsidRPr="006911F3" w:rsidRDefault="00ED1443">
            <w:pPr>
              <w:pStyle w:val="TableText"/>
              <w:tabs>
                <w:tab w:val="left" w:pos="3306"/>
              </w:tabs>
              <w:jc w:val="right"/>
              <w:rPr>
                <w:rFonts w:cs="Calibri"/>
              </w:rPr>
            </w:pPr>
          </w:p>
        </w:tc>
        <w:tc>
          <w:tcPr>
            <w:tcW w:w="1199" w:type="dxa"/>
            <w:tcBorders>
              <w:top w:val="nil"/>
              <w:left w:val="nil"/>
              <w:bottom w:val="nil"/>
              <w:right w:val="nil"/>
            </w:tcBorders>
            <w:vAlign w:val="bottom"/>
          </w:tcPr>
          <w:p w14:paraId="5907A6DB" w14:textId="77777777" w:rsidR="00ED1443" w:rsidRPr="006911F3" w:rsidRDefault="00ED1443">
            <w:pPr>
              <w:pStyle w:val="TableText"/>
              <w:tabs>
                <w:tab w:val="left" w:pos="3306"/>
              </w:tabs>
              <w:jc w:val="right"/>
              <w:rPr>
                <w:rFonts w:cs="Calibri"/>
              </w:rPr>
            </w:pPr>
          </w:p>
        </w:tc>
      </w:tr>
      <w:tr w:rsidR="000144FF" w:rsidRPr="00CF7E1B" w14:paraId="5061FC5B" w14:textId="77777777" w:rsidTr="004D1EC6">
        <w:trPr>
          <w:trHeight w:val="182"/>
        </w:trPr>
        <w:tc>
          <w:tcPr>
            <w:tcW w:w="1563" w:type="dxa"/>
            <w:tcBorders>
              <w:top w:val="nil"/>
              <w:left w:val="single" w:sz="2" w:space="0" w:color="auto"/>
              <w:bottom w:val="nil"/>
              <w:right w:val="single" w:sz="2" w:space="0" w:color="auto"/>
            </w:tcBorders>
          </w:tcPr>
          <w:p w14:paraId="2CCC1FE1" w14:textId="77777777" w:rsidR="000144FF" w:rsidRPr="006911F3" w:rsidRDefault="000144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2DEFB782" w14:textId="77777777" w:rsidR="000144FF" w:rsidRPr="00A742FB" w:rsidRDefault="000144FF">
            <w:pPr>
              <w:pStyle w:val="TableText"/>
              <w:tabs>
                <w:tab w:val="left" w:pos="3306"/>
              </w:tabs>
              <w:rPr>
                <w:rFonts w:cs="Calibri"/>
                <w:i/>
                <w:iCs/>
                <w:strike/>
              </w:rPr>
            </w:pPr>
            <w:r w:rsidRPr="00A742FB">
              <w:rPr>
                <w:rFonts w:cs="Calibri"/>
                <w:i/>
                <w:iCs/>
                <w:strike/>
                <w:color w:val="FF0000"/>
              </w:rPr>
              <w:t>Revenue</w:t>
            </w:r>
          </w:p>
        </w:tc>
        <w:tc>
          <w:tcPr>
            <w:tcW w:w="1221" w:type="dxa"/>
            <w:tcBorders>
              <w:top w:val="nil"/>
              <w:left w:val="nil"/>
              <w:bottom w:val="nil"/>
              <w:right w:val="nil"/>
            </w:tcBorders>
            <w:vAlign w:val="bottom"/>
          </w:tcPr>
          <w:p w14:paraId="605FB59D" w14:textId="77777777" w:rsidR="000144FF" w:rsidRPr="006911F3" w:rsidRDefault="000144FF">
            <w:pPr>
              <w:pStyle w:val="TableText"/>
              <w:tabs>
                <w:tab w:val="left" w:pos="3306"/>
              </w:tabs>
              <w:jc w:val="right"/>
              <w:rPr>
                <w:rFonts w:cs="Calibri"/>
              </w:rPr>
            </w:pPr>
          </w:p>
        </w:tc>
        <w:tc>
          <w:tcPr>
            <w:tcW w:w="1240" w:type="dxa"/>
            <w:tcBorders>
              <w:top w:val="nil"/>
              <w:left w:val="nil"/>
              <w:bottom w:val="nil"/>
              <w:right w:val="nil"/>
            </w:tcBorders>
            <w:vAlign w:val="bottom"/>
          </w:tcPr>
          <w:p w14:paraId="52C73B80" w14:textId="77777777" w:rsidR="000144FF" w:rsidRPr="006911F3" w:rsidRDefault="000144FF">
            <w:pPr>
              <w:pStyle w:val="TableText"/>
              <w:tabs>
                <w:tab w:val="left" w:pos="3306"/>
              </w:tabs>
              <w:jc w:val="right"/>
              <w:rPr>
                <w:rFonts w:cs="Calibri"/>
              </w:rPr>
            </w:pPr>
          </w:p>
        </w:tc>
        <w:tc>
          <w:tcPr>
            <w:tcW w:w="1199" w:type="dxa"/>
            <w:tcBorders>
              <w:top w:val="nil"/>
              <w:left w:val="nil"/>
              <w:bottom w:val="nil"/>
              <w:right w:val="nil"/>
            </w:tcBorders>
            <w:vAlign w:val="bottom"/>
          </w:tcPr>
          <w:p w14:paraId="404273D1" w14:textId="77777777" w:rsidR="000144FF" w:rsidRPr="006911F3" w:rsidRDefault="000144FF">
            <w:pPr>
              <w:pStyle w:val="TableText"/>
              <w:tabs>
                <w:tab w:val="left" w:pos="3306"/>
              </w:tabs>
              <w:jc w:val="right"/>
              <w:rPr>
                <w:rFonts w:cs="Calibri"/>
              </w:rPr>
            </w:pPr>
          </w:p>
        </w:tc>
      </w:tr>
      <w:tr w:rsidR="000144FF" w:rsidRPr="00CF7E1B" w14:paraId="74D71127" w14:textId="77777777" w:rsidTr="004D1EC6">
        <w:tc>
          <w:tcPr>
            <w:tcW w:w="1563" w:type="dxa"/>
            <w:tcBorders>
              <w:top w:val="nil"/>
              <w:left w:val="single" w:sz="2" w:space="0" w:color="auto"/>
              <w:bottom w:val="nil"/>
              <w:right w:val="single" w:sz="2" w:space="0" w:color="auto"/>
            </w:tcBorders>
          </w:tcPr>
          <w:p w14:paraId="5A1B0A52" w14:textId="77777777" w:rsidR="007174F5" w:rsidRPr="006911F3" w:rsidRDefault="00AA7342">
            <w:pPr>
              <w:pStyle w:val="TableReference"/>
              <w:tabs>
                <w:tab w:val="left" w:pos="3306"/>
              </w:tabs>
              <w:spacing w:before="60"/>
              <w:rPr>
                <w:rFonts w:cs="Calibri"/>
                <w:color w:val="7030A0"/>
                <w:sz w:val="14"/>
                <w:highlight w:val="cyan"/>
              </w:rPr>
            </w:pPr>
            <w:r w:rsidRPr="006911F3">
              <w:rPr>
                <w:rFonts w:cs="Calibri"/>
                <w:color w:val="7030A0"/>
                <w:sz w:val="14"/>
              </w:rPr>
              <w:t>AASB 1052</w:t>
            </w:r>
            <w:r w:rsidR="00D65811" w:rsidRPr="006911F3">
              <w:rPr>
                <w:rFonts w:cs="Calibri"/>
                <w:color w:val="7030A0"/>
                <w:sz w:val="14"/>
              </w:rPr>
              <w:t>.</w:t>
            </w:r>
            <w:r w:rsidRPr="006911F3">
              <w:rPr>
                <w:rFonts w:cs="Calibri"/>
                <w:color w:val="7030A0"/>
                <w:sz w:val="14"/>
              </w:rPr>
              <w:t>15(d)</w:t>
            </w:r>
          </w:p>
        </w:tc>
        <w:tc>
          <w:tcPr>
            <w:tcW w:w="5321" w:type="dxa"/>
            <w:tcBorders>
              <w:top w:val="nil"/>
              <w:left w:val="single" w:sz="2" w:space="0" w:color="auto"/>
              <w:bottom w:val="nil"/>
              <w:right w:val="nil"/>
            </w:tcBorders>
            <w:vAlign w:val="bottom"/>
          </w:tcPr>
          <w:p w14:paraId="5A67CEC5" w14:textId="77777777" w:rsidR="000144FF" w:rsidRPr="006911F3" w:rsidRDefault="00EB3A0D">
            <w:pPr>
              <w:pStyle w:val="TableText"/>
              <w:tabs>
                <w:tab w:val="left" w:pos="3306"/>
              </w:tabs>
              <w:rPr>
                <w:rFonts w:cs="Calibri"/>
                <w:strike/>
              </w:rPr>
            </w:pPr>
            <w:r w:rsidRPr="006911F3">
              <w:rPr>
                <w:rFonts w:cs="Calibri"/>
              </w:rPr>
              <w:t>Controlled Recurrent Payments</w:t>
            </w:r>
          </w:p>
        </w:tc>
        <w:tc>
          <w:tcPr>
            <w:tcW w:w="1221" w:type="dxa"/>
            <w:tcBorders>
              <w:top w:val="nil"/>
              <w:left w:val="nil"/>
              <w:bottom w:val="nil"/>
              <w:right w:val="nil"/>
            </w:tcBorders>
            <w:vAlign w:val="bottom"/>
          </w:tcPr>
          <w:p w14:paraId="5B743362" w14:textId="77777777" w:rsidR="000144FF" w:rsidRPr="006911F3" w:rsidRDefault="000144FF">
            <w:pPr>
              <w:pStyle w:val="TableText"/>
              <w:tabs>
                <w:tab w:val="left" w:pos="3306"/>
              </w:tabs>
              <w:jc w:val="right"/>
              <w:rPr>
                <w:rFonts w:cs="Calibri"/>
              </w:rPr>
            </w:pPr>
          </w:p>
        </w:tc>
        <w:tc>
          <w:tcPr>
            <w:tcW w:w="1240" w:type="dxa"/>
            <w:tcBorders>
              <w:top w:val="nil"/>
              <w:left w:val="nil"/>
              <w:bottom w:val="nil"/>
              <w:right w:val="nil"/>
            </w:tcBorders>
            <w:vAlign w:val="bottom"/>
          </w:tcPr>
          <w:p w14:paraId="13E40BF3" w14:textId="77777777" w:rsidR="000144FF" w:rsidRPr="006911F3" w:rsidRDefault="000144FF">
            <w:pPr>
              <w:pStyle w:val="TableText"/>
              <w:tabs>
                <w:tab w:val="left" w:pos="3306"/>
              </w:tabs>
              <w:jc w:val="right"/>
              <w:rPr>
                <w:rFonts w:cs="Calibri"/>
              </w:rPr>
            </w:pPr>
          </w:p>
        </w:tc>
        <w:tc>
          <w:tcPr>
            <w:tcW w:w="1199" w:type="dxa"/>
            <w:tcBorders>
              <w:top w:val="nil"/>
              <w:left w:val="nil"/>
              <w:bottom w:val="nil"/>
              <w:right w:val="nil"/>
            </w:tcBorders>
            <w:vAlign w:val="bottom"/>
          </w:tcPr>
          <w:p w14:paraId="2EAB187C" w14:textId="77777777" w:rsidR="000144FF" w:rsidRPr="006911F3" w:rsidRDefault="000144FF">
            <w:pPr>
              <w:pStyle w:val="TableText"/>
              <w:tabs>
                <w:tab w:val="left" w:pos="3306"/>
              </w:tabs>
              <w:jc w:val="right"/>
              <w:rPr>
                <w:rFonts w:cs="Calibri"/>
              </w:rPr>
            </w:pPr>
          </w:p>
        </w:tc>
      </w:tr>
      <w:tr w:rsidR="00421D32" w:rsidRPr="00CF7E1B" w14:paraId="441736F1" w14:textId="77777777" w:rsidTr="004D1EC6">
        <w:tc>
          <w:tcPr>
            <w:tcW w:w="1563" w:type="dxa"/>
            <w:tcBorders>
              <w:top w:val="nil"/>
              <w:left w:val="single" w:sz="2" w:space="0" w:color="auto"/>
              <w:bottom w:val="nil"/>
              <w:right w:val="single" w:sz="2" w:space="0" w:color="auto"/>
            </w:tcBorders>
          </w:tcPr>
          <w:p w14:paraId="103C37CC" w14:textId="43EB85A4" w:rsidR="00421D32" w:rsidRPr="006911F3" w:rsidRDefault="00421D32" w:rsidP="00421D32">
            <w:pPr>
              <w:pStyle w:val="TableReference"/>
              <w:tabs>
                <w:tab w:val="left" w:pos="3306"/>
              </w:tabs>
              <w:spacing w:before="60"/>
              <w:rPr>
                <w:rFonts w:cs="Calibri"/>
                <w:strike/>
                <w:color w:val="7030A0"/>
                <w:sz w:val="14"/>
              </w:rPr>
            </w:pPr>
          </w:p>
        </w:tc>
        <w:tc>
          <w:tcPr>
            <w:tcW w:w="5321" w:type="dxa"/>
            <w:tcBorders>
              <w:top w:val="nil"/>
              <w:left w:val="single" w:sz="2" w:space="0" w:color="auto"/>
              <w:bottom w:val="nil"/>
              <w:right w:val="nil"/>
            </w:tcBorders>
            <w:vAlign w:val="bottom"/>
          </w:tcPr>
          <w:p w14:paraId="71354095" w14:textId="41ABB1C2" w:rsidR="00421D32" w:rsidRPr="006911F3" w:rsidRDefault="00197E49" w:rsidP="00500DD7">
            <w:pPr>
              <w:pStyle w:val="TableText"/>
              <w:tabs>
                <w:tab w:val="left" w:pos="3306"/>
              </w:tabs>
              <w:ind w:left="172" w:hanging="172"/>
              <w:rPr>
                <w:rFonts w:cs="Calibri"/>
              </w:rPr>
            </w:pPr>
            <w:r w:rsidRPr="006911F3">
              <w:rPr>
                <w:rFonts w:cs="Calibri"/>
              </w:rPr>
              <w:t>Sales of Goods and Services</w:t>
            </w:r>
            <w:r w:rsidR="00421D32" w:rsidRPr="006911F3">
              <w:rPr>
                <w:rFonts w:cs="Calibri"/>
              </w:rPr>
              <w:t xml:space="preserve"> from Contracts with Customers</w:t>
            </w:r>
          </w:p>
        </w:tc>
        <w:tc>
          <w:tcPr>
            <w:tcW w:w="1221" w:type="dxa"/>
            <w:tcBorders>
              <w:top w:val="nil"/>
              <w:left w:val="nil"/>
              <w:bottom w:val="nil"/>
              <w:right w:val="nil"/>
            </w:tcBorders>
            <w:vAlign w:val="bottom"/>
          </w:tcPr>
          <w:p w14:paraId="22FB8C2B"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273D00CD"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6A546E45" w14:textId="77777777" w:rsidR="00421D32" w:rsidRPr="006911F3" w:rsidRDefault="00421D32" w:rsidP="00421D32">
            <w:pPr>
              <w:pStyle w:val="TableText"/>
              <w:tabs>
                <w:tab w:val="left" w:pos="3306"/>
              </w:tabs>
              <w:jc w:val="right"/>
              <w:rPr>
                <w:rFonts w:cs="Calibri"/>
              </w:rPr>
            </w:pPr>
          </w:p>
        </w:tc>
      </w:tr>
      <w:tr w:rsidR="00421D32" w:rsidRPr="00CF7E1B" w14:paraId="0AA3B8A8" w14:textId="77777777" w:rsidTr="004D1EC6">
        <w:tc>
          <w:tcPr>
            <w:tcW w:w="1563" w:type="dxa"/>
            <w:tcBorders>
              <w:top w:val="nil"/>
              <w:left w:val="single" w:sz="2" w:space="0" w:color="auto"/>
              <w:bottom w:val="nil"/>
              <w:right w:val="single" w:sz="2" w:space="0" w:color="auto"/>
            </w:tcBorders>
          </w:tcPr>
          <w:p w14:paraId="06525594" w14:textId="2F235BA9" w:rsidR="00421D32" w:rsidRPr="006911F3" w:rsidRDefault="00CE3EE0"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1FA9BE0C" w14:textId="33AC565F" w:rsidR="00421D32" w:rsidRPr="006911F3" w:rsidRDefault="00685FDE" w:rsidP="00421D32">
            <w:pPr>
              <w:pStyle w:val="TableText"/>
              <w:tabs>
                <w:tab w:val="left" w:pos="3306"/>
              </w:tabs>
              <w:rPr>
                <w:rFonts w:cs="Calibri"/>
              </w:rPr>
            </w:pPr>
            <w:r w:rsidRPr="006911F3">
              <w:rPr>
                <w:rFonts w:cs="Calibri"/>
              </w:rPr>
              <w:t xml:space="preserve">Grants and </w:t>
            </w:r>
            <w:r w:rsidR="00421D32" w:rsidRPr="006911F3">
              <w:rPr>
                <w:rFonts w:cs="Calibri"/>
              </w:rPr>
              <w:t>Contributions</w:t>
            </w:r>
            <w:r w:rsidR="000E31C1" w:rsidRPr="006911F3">
              <w:rPr>
                <w:rFonts w:cs="Calibri"/>
              </w:rPr>
              <w:t xml:space="preserve"> Revenue</w:t>
            </w:r>
          </w:p>
        </w:tc>
        <w:tc>
          <w:tcPr>
            <w:tcW w:w="1221" w:type="dxa"/>
            <w:tcBorders>
              <w:top w:val="nil"/>
              <w:left w:val="nil"/>
              <w:bottom w:val="nil"/>
              <w:right w:val="nil"/>
            </w:tcBorders>
            <w:vAlign w:val="bottom"/>
          </w:tcPr>
          <w:p w14:paraId="4DEC9D70"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0960ABAE"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5CA6EB74" w14:textId="77777777" w:rsidR="00421D32" w:rsidRPr="006911F3" w:rsidRDefault="00421D32" w:rsidP="00421D32">
            <w:pPr>
              <w:pStyle w:val="TableText"/>
              <w:tabs>
                <w:tab w:val="left" w:pos="3306"/>
              </w:tabs>
              <w:jc w:val="right"/>
              <w:rPr>
                <w:rFonts w:cs="Calibri"/>
              </w:rPr>
            </w:pPr>
          </w:p>
        </w:tc>
      </w:tr>
      <w:tr w:rsidR="00421D32" w:rsidRPr="00CF7E1B" w14:paraId="18CF817A" w14:textId="77777777" w:rsidTr="004D1EC6">
        <w:tc>
          <w:tcPr>
            <w:tcW w:w="1563" w:type="dxa"/>
            <w:tcBorders>
              <w:top w:val="nil"/>
              <w:left w:val="single" w:sz="2" w:space="0" w:color="auto"/>
              <w:bottom w:val="nil"/>
              <w:right w:val="single" w:sz="2" w:space="0" w:color="auto"/>
            </w:tcBorders>
          </w:tcPr>
          <w:p w14:paraId="732B0F5E" w14:textId="7D22F5A1" w:rsidR="00421D32" w:rsidRPr="006911F3" w:rsidRDefault="00CE3EE0"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55F98827" w14:textId="45302F77" w:rsidR="00421D32" w:rsidRPr="006911F3" w:rsidRDefault="00421D32" w:rsidP="00421D32">
            <w:pPr>
              <w:pStyle w:val="TableText"/>
              <w:tabs>
                <w:tab w:val="left" w:pos="3306"/>
              </w:tabs>
              <w:rPr>
                <w:rFonts w:cs="Calibri"/>
              </w:rPr>
            </w:pPr>
            <w:r w:rsidRPr="006911F3">
              <w:rPr>
                <w:rFonts w:cs="Calibri"/>
              </w:rPr>
              <w:t>Investment Revenue</w:t>
            </w:r>
          </w:p>
        </w:tc>
        <w:tc>
          <w:tcPr>
            <w:tcW w:w="1221" w:type="dxa"/>
            <w:tcBorders>
              <w:top w:val="nil"/>
              <w:left w:val="nil"/>
              <w:bottom w:val="nil"/>
              <w:right w:val="nil"/>
            </w:tcBorders>
            <w:vAlign w:val="bottom"/>
          </w:tcPr>
          <w:p w14:paraId="60E91582"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68EB1828"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1E0AA102" w14:textId="77777777" w:rsidR="00421D32" w:rsidRPr="006911F3" w:rsidRDefault="00421D32" w:rsidP="00421D32">
            <w:pPr>
              <w:pStyle w:val="TableText"/>
              <w:tabs>
                <w:tab w:val="left" w:pos="3306"/>
              </w:tabs>
              <w:jc w:val="right"/>
              <w:rPr>
                <w:rFonts w:cs="Calibri"/>
              </w:rPr>
            </w:pPr>
          </w:p>
        </w:tc>
      </w:tr>
      <w:tr w:rsidR="00636A09" w:rsidRPr="00CF7E1B" w14:paraId="0C207058" w14:textId="77777777" w:rsidTr="004D1EC6">
        <w:tc>
          <w:tcPr>
            <w:tcW w:w="1563" w:type="dxa"/>
            <w:tcBorders>
              <w:top w:val="nil"/>
              <w:left w:val="single" w:sz="2" w:space="0" w:color="auto"/>
              <w:bottom w:val="nil"/>
              <w:right w:val="single" w:sz="2" w:space="0" w:color="auto"/>
            </w:tcBorders>
          </w:tcPr>
          <w:p w14:paraId="6E3CD657" w14:textId="21AF5C6C" w:rsidR="00636A09" w:rsidRPr="006911F3" w:rsidRDefault="00636A09"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2EF7B6A7" w14:textId="731A266D" w:rsidR="00636A09" w:rsidRPr="006911F3" w:rsidRDefault="00636A09" w:rsidP="00421D32">
            <w:pPr>
              <w:pStyle w:val="TableText"/>
              <w:tabs>
                <w:tab w:val="left" w:pos="3306"/>
              </w:tabs>
              <w:rPr>
                <w:rFonts w:cs="Calibri"/>
              </w:rPr>
            </w:pPr>
            <w:r w:rsidRPr="006911F3">
              <w:rPr>
                <w:rFonts w:cs="Calibri"/>
              </w:rPr>
              <w:t>Interest Revenue</w:t>
            </w:r>
          </w:p>
        </w:tc>
        <w:tc>
          <w:tcPr>
            <w:tcW w:w="1221" w:type="dxa"/>
            <w:tcBorders>
              <w:top w:val="nil"/>
              <w:left w:val="nil"/>
              <w:bottom w:val="nil"/>
              <w:right w:val="nil"/>
            </w:tcBorders>
            <w:vAlign w:val="bottom"/>
          </w:tcPr>
          <w:p w14:paraId="7026DFA2" w14:textId="77777777" w:rsidR="00636A09" w:rsidRPr="006911F3" w:rsidRDefault="00636A09"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1E5E482F" w14:textId="77777777" w:rsidR="00636A09" w:rsidRPr="006911F3" w:rsidRDefault="00636A09"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2203F025" w14:textId="77777777" w:rsidR="00636A09" w:rsidRPr="006911F3" w:rsidRDefault="00636A09" w:rsidP="00421D32">
            <w:pPr>
              <w:pStyle w:val="TableText"/>
              <w:tabs>
                <w:tab w:val="left" w:pos="3306"/>
              </w:tabs>
              <w:jc w:val="right"/>
              <w:rPr>
                <w:rFonts w:cs="Calibri"/>
              </w:rPr>
            </w:pPr>
          </w:p>
        </w:tc>
      </w:tr>
      <w:tr w:rsidR="00262BD5" w:rsidRPr="00262BD5" w14:paraId="689E3F63" w14:textId="77777777" w:rsidTr="004D1EC6">
        <w:tc>
          <w:tcPr>
            <w:tcW w:w="1563" w:type="dxa"/>
            <w:tcBorders>
              <w:top w:val="nil"/>
              <w:left w:val="single" w:sz="2" w:space="0" w:color="auto"/>
              <w:bottom w:val="nil"/>
              <w:right w:val="single" w:sz="2" w:space="0" w:color="auto"/>
            </w:tcBorders>
          </w:tcPr>
          <w:p w14:paraId="760F3D48" w14:textId="00B131F9" w:rsidR="00421D32" w:rsidRPr="00A742FB" w:rsidRDefault="00421D32" w:rsidP="00421D32">
            <w:pPr>
              <w:pStyle w:val="TableReference"/>
              <w:tabs>
                <w:tab w:val="left" w:pos="3306"/>
              </w:tabs>
              <w:spacing w:before="60"/>
              <w:rPr>
                <w:rFonts w:cs="Calibri"/>
                <w:strike/>
                <w:color w:val="FF0000"/>
                <w:sz w:val="14"/>
              </w:rPr>
            </w:pPr>
            <w:r w:rsidRPr="00A742FB">
              <w:rPr>
                <w:rFonts w:cs="Calibri"/>
                <w:strike/>
                <w:color w:val="FF0000"/>
                <w:sz w:val="14"/>
              </w:rPr>
              <w:t>AASB 1052.15(d)</w:t>
            </w:r>
          </w:p>
        </w:tc>
        <w:tc>
          <w:tcPr>
            <w:tcW w:w="5321" w:type="dxa"/>
            <w:tcBorders>
              <w:top w:val="nil"/>
              <w:left w:val="single" w:sz="2" w:space="0" w:color="auto"/>
              <w:bottom w:val="nil"/>
              <w:right w:val="nil"/>
            </w:tcBorders>
            <w:vAlign w:val="bottom"/>
          </w:tcPr>
          <w:p w14:paraId="41AEDDB4" w14:textId="28D6D402" w:rsidR="00421D32" w:rsidRPr="00A742FB" w:rsidRDefault="00421D32" w:rsidP="00421D32">
            <w:pPr>
              <w:pStyle w:val="TableText"/>
              <w:tabs>
                <w:tab w:val="left" w:pos="3306"/>
              </w:tabs>
              <w:rPr>
                <w:rFonts w:cs="Calibri"/>
                <w:strike/>
                <w:color w:val="FF0000"/>
              </w:rPr>
            </w:pPr>
            <w:r w:rsidRPr="00A742FB">
              <w:rPr>
                <w:rFonts w:cs="Calibri"/>
                <w:strike/>
                <w:color w:val="FF0000"/>
              </w:rPr>
              <w:t>Other Revenue</w:t>
            </w:r>
          </w:p>
        </w:tc>
        <w:tc>
          <w:tcPr>
            <w:tcW w:w="1221" w:type="dxa"/>
            <w:tcBorders>
              <w:top w:val="nil"/>
              <w:left w:val="nil"/>
              <w:bottom w:val="single" w:sz="4" w:space="0" w:color="auto"/>
              <w:right w:val="nil"/>
            </w:tcBorders>
            <w:vAlign w:val="bottom"/>
          </w:tcPr>
          <w:p w14:paraId="6C7C279E" w14:textId="77777777" w:rsidR="00421D32" w:rsidRPr="006911F3" w:rsidRDefault="00421D32" w:rsidP="00421D32">
            <w:pPr>
              <w:pStyle w:val="TableText"/>
              <w:tabs>
                <w:tab w:val="left" w:pos="3306"/>
              </w:tabs>
              <w:jc w:val="right"/>
              <w:rPr>
                <w:rFonts w:cs="Calibri"/>
                <w:strike/>
              </w:rPr>
            </w:pPr>
          </w:p>
        </w:tc>
        <w:tc>
          <w:tcPr>
            <w:tcW w:w="1240" w:type="dxa"/>
            <w:tcBorders>
              <w:top w:val="nil"/>
              <w:left w:val="nil"/>
              <w:bottom w:val="single" w:sz="4" w:space="0" w:color="auto"/>
              <w:right w:val="nil"/>
            </w:tcBorders>
            <w:vAlign w:val="bottom"/>
          </w:tcPr>
          <w:p w14:paraId="7208C172" w14:textId="77777777" w:rsidR="00421D32" w:rsidRPr="006911F3" w:rsidRDefault="00421D32" w:rsidP="00421D32">
            <w:pPr>
              <w:pStyle w:val="TableText"/>
              <w:tabs>
                <w:tab w:val="left" w:pos="3306"/>
              </w:tabs>
              <w:jc w:val="right"/>
              <w:rPr>
                <w:rFonts w:cs="Calibri"/>
                <w:strike/>
              </w:rPr>
            </w:pPr>
          </w:p>
        </w:tc>
        <w:tc>
          <w:tcPr>
            <w:tcW w:w="1199" w:type="dxa"/>
            <w:tcBorders>
              <w:top w:val="nil"/>
              <w:left w:val="nil"/>
              <w:bottom w:val="single" w:sz="4" w:space="0" w:color="auto"/>
              <w:right w:val="nil"/>
            </w:tcBorders>
            <w:vAlign w:val="bottom"/>
          </w:tcPr>
          <w:p w14:paraId="54F225BA" w14:textId="77777777" w:rsidR="00421D32" w:rsidRPr="006911F3" w:rsidRDefault="00421D32" w:rsidP="00421D32">
            <w:pPr>
              <w:pStyle w:val="TableText"/>
              <w:tabs>
                <w:tab w:val="left" w:pos="3306"/>
              </w:tabs>
              <w:jc w:val="right"/>
              <w:rPr>
                <w:rFonts w:cs="Calibri"/>
                <w:strike/>
              </w:rPr>
            </w:pPr>
          </w:p>
        </w:tc>
      </w:tr>
      <w:tr w:rsidR="001E30FF" w:rsidRPr="00CF7E1B" w14:paraId="3B854C0A" w14:textId="77777777" w:rsidTr="004D1EC6">
        <w:tc>
          <w:tcPr>
            <w:tcW w:w="1563" w:type="dxa"/>
            <w:tcBorders>
              <w:top w:val="nil"/>
              <w:left w:val="single" w:sz="2" w:space="0" w:color="auto"/>
              <w:bottom w:val="nil"/>
              <w:right w:val="single" w:sz="2" w:space="0" w:color="auto"/>
            </w:tcBorders>
          </w:tcPr>
          <w:p w14:paraId="1B40DE05"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2292358B" w14:textId="77777777" w:rsidR="001E30FF" w:rsidRPr="00A742FB" w:rsidRDefault="001E30FF" w:rsidP="001E30FF">
            <w:pPr>
              <w:pStyle w:val="TableText"/>
              <w:tabs>
                <w:tab w:val="left" w:pos="3306"/>
              </w:tabs>
              <w:rPr>
                <w:rFonts w:cs="Calibri"/>
                <w:i/>
                <w:iCs/>
                <w:strike/>
              </w:rPr>
            </w:pPr>
            <w:r w:rsidRPr="00A742FB">
              <w:rPr>
                <w:rFonts w:cs="Calibri"/>
                <w:i/>
                <w:iCs/>
                <w:strike/>
                <w:color w:val="FF0000"/>
              </w:rPr>
              <w:t>Total Revenue</w:t>
            </w:r>
          </w:p>
        </w:tc>
        <w:tc>
          <w:tcPr>
            <w:tcW w:w="1221" w:type="dxa"/>
            <w:tcBorders>
              <w:top w:val="single" w:sz="4" w:space="0" w:color="auto"/>
              <w:left w:val="nil"/>
              <w:bottom w:val="nil"/>
              <w:right w:val="nil"/>
            </w:tcBorders>
            <w:vAlign w:val="bottom"/>
          </w:tcPr>
          <w:p w14:paraId="5E1CD329" w14:textId="77777777" w:rsidR="001E30FF" w:rsidRPr="006911F3" w:rsidRDefault="001E30FF" w:rsidP="001E30FF">
            <w:pPr>
              <w:pStyle w:val="TableText"/>
              <w:tabs>
                <w:tab w:val="left" w:pos="3306"/>
              </w:tabs>
              <w:jc w:val="right"/>
              <w:rPr>
                <w:rFonts w:cs="Calibri"/>
              </w:rPr>
            </w:pPr>
          </w:p>
        </w:tc>
        <w:tc>
          <w:tcPr>
            <w:tcW w:w="1240" w:type="dxa"/>
            <w:tcBorders>
              <w:top w:val="single" w:sz="4" w:space="0" w:color="auto"/>
              <w:left w:val="nil"/>
              <w:bottom w:val="nil"/>
              <w:right w:val="nil"/>
            </w:tcBorders>
            <w:vAlign w:val="bottom"/>
          </w:tcPr>
          <w:p w14:paraId="12DDB88B" w14:textId="77777777" w:rsidR="001E30FF" w:rsidRPr="006911F3" w:rsidRDefault="001E30FF" w:rsidP="001E30FF">
            <w:pPr>
              <w:pStyle w:val="TableText"/>
              <w:tabs>
                <w:tab w:val="left" w:pos="3306"/>
              </w:tabs>
              <w:jc w:val="right"/>
              <w:rPr>
                <w:rFonts w:cs="Calibri"/>
              </w:rPr>
            </w:pPr>
          </w:p>
        </w:tc>
        <w:tc>
          <w:tcPr>
            <w:tcW w:w="1199" w:type="dxa"/>
            <w:tcBorders>
              <w:top w:val="single" w:sz="4" w:space="0" w:color="auto"/>
              <w:left w:val="nil"/>
              <w:bottom w:val="nil"/>
              <w:right w:val="nil"/>
            </w:tcBorders>
            <w:vAlign w:val="bottom"/>
          </w:tcPr>
          <w:p w14:paraId="5EFD6E82" w14:textId="77777777" w:rsidR="001E30FF" w:rsidRPr="006911F3" w:rsidRDefault="001E30FF" w:rsidP="001E30FF">
            <w:pPr>
              <w:pStyle w:val="TableText"/>
              <w:tabs>
                <w:tab w:val="left" w:pos="3306"/>
              </w:tabs>
              <w:jc w:val="right"/>
              <w:rPr>
                <w:rFonts w:cs="Calibri"/>
              </w:rPr>
            </w:pPr>
          </w:p>
        </w:tc>
      </w:tr>
      <w:tr w:rsidR="001E30FF" w:rsidRPr="00CF7E1B" w14:paraId="4971DCF4" w14:textId="77777777" w:rsidTr="004D1EC6">
        <w:tc>
          <w:tcPr>
            <w:tcW w:w="1563" w:type="dxa"/>
            <w:tcBorders>
              <w:top w:val="nil"/>
              <w:left w:val="single" w:sz="2" w:space="0" w:color="auto"/>
              <w:bottom w:val="nil"/>
              <w:right w:val="single" w:sz="2" w:space="0" w:color="auto"/>
            </w:tcBorders>
          </w:tcPr>
          <w:p w14:paraId="6F555CCC" w14:textId="77777777" w:rsidR="001E30FF" w:rsidRPr="006911F3" w:rsidRDefault="001E30FF" w:rsidP="001E30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38D5FD7D" w14:textId="77777777" w:rsidR="001E30FF" w:rsidRPr="00A742FB" w:rsidRDefault="001E30FF" w:rsidP="001E30FF">
            <w:pPr>
              <w:pStyle w:val="TableText"/>
              <w:tabs>
                <w:tab w:val="left" w:pos="3306"/>
              </w:tabs>
              <w:rPr>
                <w:rFonts w:cs="Calibri"/>
                <w:i/>
                <w:iCs/>
                <w:strike/>
              </w:rPr>
            </w:pPr>
            <w:r w:rsidRPr="00A742FB">
              <w:rPr>
                <w:rFonts w:cs="Calibri"/>
                <w:i/>
                <w:iCs/>
                <w:strike/>
                <w:color w:val="FF0000"/>
              </w:rPr>
              <w:t>Gains</w:t>
            </w:r>
          </w:p>
        </w:tc>
        <w:tc>
          <w:tcPr>
            <w:tcW w:w="1221" w:type="dxa"/>
            <w:tcBorders>
              <w:top w:val="nil"/>
              <w:left w:val="nil"/>
              <w:bottom w:val="nil"/>
              <w:right w:val="nil"/>
            </w:tcBorders>
            <w:vAlign w:val="bottom"/>
          </w:tcPr>
          <w:p w14:paraId="046A7629"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0343BCE5"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58B240EE" w14:textId="77777777" w:rsidR="001E30FF" w:rsidRPr="006911F3" w:rsidRDefault="001E30FF" w:rsidP="001E30FF">
            <w:pPr>
              <w:pStyle w:val="TableText"/>
              <w:tabs>
                <w:tab w:val="left" w:pos="3306"/>
              </w:tabs>
              <w:jc w:val="right"/>
              <w:rPr>
                <w:rFonts w:cs="Calibri"/>
              </w:rPr>
            </w:pPr>
          </w:p>
        </w:tc>
      </w:tr>
      <w:tr w:rsidR="00421D32" w:rsidRPr="00CF7E1B" w14:paraId="1904FB3E" w14:textId="77777777" w:rsidTr="004D1EC6">
        <w:tc>
          <w:tcPr>
            <w:tcW w:w="1563" w:type="dxa"/>
            <w:tcBorders>
              <w:top w:val="nil"/>
              <w:left w:val="single" w:sz="2" w:space="0" w:color="auto"/>
              <w:bottom w:val="nil"/>
              <w:right w:val="single" w:sz="2" w:space="0" w:color="auto"/>
            </w:tcBorders>
          </w:tcPr>
          <w:p w14:paraId="3DF5E9AA" w14:textId="5591CB38" w:rsidR="00421D32" w:rsidRPr="006911F3" w:rsidRDefault="00CE3EE0" w:rsidP="00421D32">
            <w:pPr>
              <w:pStyle w:val="TableReference"/>
              <w:tabs>
                <w:tab w:val="left" w:pos="3306"/>
              </w:tabs>
              <w:spacing w:before="4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1E11F886" w14:textId="127C114C" w:rsidR="00421D32" w:rsidRPr="006911F3" w:rsidRDefault="00421D32" w:rsidP="00421D32">
            <w:pPr>
              <w:pStyle w:val="TableText"/>
              <w:tabs>
                <w:tab w:val="left" w:pos="3306"/>
              </w:tabs>
              <w:rPr>
                <w:rFonts w:cs="Calibri"/>
                <w:i/>
                <w:iCs/>
              </w:rPr>
            </w:pPr>
            <w:r w:rsidRPr="006911F3">
              <w:rPr>
                <w:rFonts w:cs="Calibri"/>
                <w:iCs/>
              </w:rPr>
              <w:t>Gains from Disposal, Derecognition and Remeasurement of Assets</w:t>
            </w:r>
          </w:p>
        </w:tc>
        <w:tc>
          <w:tcPr>
            <w:tcW w:w="1221" w:type="dxa"/>
            <w:tcBorders>
              <w:top w:val="nil"/>
              <w:left w:val="nil"/>
              <w:bottom w:val="nil"/>
              <w:right w:val="nil"/>
            </w:tcBorders>
            <w:vAlign w:val="bottom"/>
          </w:tcPr>
          <w:p w14:paraId="3277F762"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3F5A481D"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058D4E64" w14:textId="77777777" w:rsidR="00421D32" w:rsidRPr="006911F3" w:rsidRDefault="00421D32" w:rsidP="00421D32">
            <w:pPr>
              <w:pStyle w:val="TableText"/>
              <w:tabs>
                <w:tab w:val="left" w:pos="3306"/>
              </w:tabs>
              <w:jc w:val="right"/>
              <w:rPr>
                <w:rFonts w:cs="Calibri"/>
              </w:rPr>
            </w:pPr>
          </w:p>
        </w:tc>
      </w:tr>
      <w:tr w:rsidR="001E30FF" w:rsidRPr="00CF7E1B" w14:paraId="7481931B" w14:textId="77777777" w:rsidTr="004D1EC6">
        <w:tc>
          <w:tcPr>
            <w:tcW w:w="1563" w:type="dxa"/>
            <w:tcBorders>
              <w:top w:val="nil"/>
              <w:left w:val="single" w:sz="2" w:space="0" w:color="auto"/>
              <w:bottom w:val="nil"/>
              <w:right w:val="single" w:sz="2" w:space="0" w:color="auto"/>
            </w:tcBorders>
          </w:tcPr>
          <w:p w14:paraId="0860B5D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012CE3BC" w14:textId="41957F67" w:rsidR="001E30FF" w:rsidRPr="006911F3" w:rsidRDefault="001E30FF" w:rsidP="001E30FF">
            <w:pPr>
              <w:pStyle w:val="TableText"/>
              <w:tabs>
                <w:tab w:val="left" w:pos="3306"/>
              </w:tabs>
              <w:rPr>
                <w:rFonts w:cs="Calibri"/>
              </w:rPr>
            </w:pPr>
            <w:r w:rsidRPr="006911F3">
              <w:rPr>
                <w:rFonts w:cs="Calibri"/>
              </w:rPr>
              <w:t xml:space="preserve">Other </w:t>
            </w:r>
            <w:r w:rsidR="00A742FB" w:rsidRPr="00A742FB">
              <w:rPr>
                <w:rFonts w:cs="Calibri"/>
                <w:color w:val="FF0000"/>
              </w:rPr>
              <w:t xml:space="preserve">Income </w:t>
            </w:r>
            <w:r w:rsidRPr="00A742FB">
              <w:rPr>
                <w:rFonts w:cs="Calibri"/>
                <w:strike/>
                <w:color w:val="FF0000"/>
              </w:rPr>
              <w:t>Gains</w:t>
            </w:r>
          </w:p>
        </w:tc>
        <w:tc>
          <w:tcPr>
            <w:tcW w:w="1221" w:type="dxa"/>
            <w:tcBorders>
              <w:top w:val="nil"/>
              <w:left w:val="nil"/>
              <w:bottom w:val="single" w:sz="4" w:space="0" w:color="auto"/>
              <w:right w:val="nil"/>
            </w:tcBorders>
            <w:vAlign w:val="bottom"/>
          </w:tcPr>
          <w:p w14:paraId="3229429E"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single" w:sz="4" w:space="0" w:color="auto"/>
              <w:right w:val="nil"/>
            </w:tcBorders>
            <w:vAlign w:val="bottom"/>
          </w:tcPr>
          <w:p w14:paraId="73ED7E63"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single" w:sz="4" w:space="0" w:color="auto"/>
              <w:right w:val="nil"/>
            </w:tcBorders>
            <w:vAlign w:val="bottom"/>
          </w:tcPr>
          <w:p w14:paraId="7916A33F" w14:textId="77777777" w:rsidR="001E30FF" w:rsidRPr="006911F3" w:rsidRDefault="001E30FF" w:rsidP="001E30FF">
            <w:pPr>
              <w:pStyle w:val="TableText"/>
              <w:tabs>
                <w:tab w:val="left" w:pos="3306"/>
              </w:tabs>
              <w:jc w:val="right"/>
              <w:rPr>
                <w:rFonts w:cs="Calibri"/>
              </w:rPr>
            </w:pPr>
          </w:p>
        </w:tc>
      </w:tr>
      <w:tr w:rsidR="001E30FF" w:rsidRPr="00CF7E1B" w14:paraId="3D571185" w14:textId="77777777" w:rsidTr="004D1EC6">
        <w:tc>
          <w:tcPr>
            <w:tcW w:w="1563" w:type="dxa"/>
            <w:tcBorders>
              <w:top w:val="nil"/>
              <w:left w:val="single" w:sz="2" w:space="0" w:color="auto"/>
              <w:bottom w:val="nil"/>
              <w:right w:val="single" w:sz="2" w:space="0" w:color="auto"/>
            </w:tcBorders>
          </w:tcPr>
          <w:p w14:paraId="29F57051"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47E2907E" w14:textId="77777777" w:rsidR="001E30FF" w:rsidRPr="00A742FB" w:rsidRDefault="001E30FF" w:rsidP="001E30FF">
            <w:pPr>
              <w:pStyle w:val="TableText"/>
              <w:tabs>
                <w:tab w:val="left" w:pos="3306"/>
              </w:tabs>
              <w:rPr>
                <w:rFonts w:cs="Calibri"/>
                <w:i/>
                <w:iCs/>
                <w:strike/>
              </w:rPr>
            </w:pPr>
            <w:r w:rsidRPr="00A742FB">
              <w:rPr>
                <w:rFonts w:cs="Calibri"/>
                <w:i/>
                <w:iCs/>
                <w:strike/>
                <w:color w:val="FF0000"/>
              </w:rPr>
              <w:t>Total Gains</w:t>
            </w:r>
          </w:p>
        </w:tc>
        <w:tc>
          <w:tcPr>
            <w:tcW w:w="1221" w:type="dxa"/>
            <w:tcBorders>
              <w:top w:val="single" w:sz="4" w:space="0" w:color="auto"/>
              <w:left w:val="nil"/>
              <w:bottom w:val="single" w:sz="4" w:space="0" w:color="auto"/>
              <w:right w:val="nil"/>
            </w:tcBorders>
            <w:vAlign w:val="bottom"/>
          </w:tcPr>
          <w:p w14:paraId="59CE0D09" w14:textId="77777777" w:rsidR="001E30FF" w:rsidRPr="006911F3" w:rsidRDefault="001E30FF" w:rsidP="001E30FF">
            <w:pPr>
              <w:pStyle w:val="TableText"/>
              <w:tabs>
                <w:tab w:val="left" w:pos="3306"/>
              </w:tabs>
              <w:jc w:val="right"/>
              <w:rPr>
                <w:rFonts w:cs="Calibri"/>
              </w:rPr>
            </w:pPr>
          </w:p>
        </w:tc>
        <w:tc>
          <w:tcPr>
            <w:tcW w:w="1240" w:type="dxa"/>
            <w:tcBorders>
              <w:top w:val="single" w:sz="4" w:space="0" w:color="auto"/>
              <w:left w:val="nil"/>
              <w:bottom w:val="single" w:sz="4" w:space="0" w:color="auto"/>
              <w:right w:val="nil"/>
            </w:tcBorders>
            <w:vAlign w:val="bottom"/>
          </w:tcPr>
          <w:p w14:paraId="50D6F540" w14:textId="77777777" w:rsidR="001E30FF" w:rsidRPr="006911F3" w:rsidRDefault="001E30FF" w:rsidP="001E30FF">
            <w:pPr>
              <w:pStyle w:val="TableText"/>
              <w:tabs>
                <w:tab w:val="left" w:pos="3306"/>
              </w:tabs>
              <w:jc w:val="right"/>
              <w:rPr>
                <w:rFonts w:cs="Calibri"/>
              </w:rPr>
            </w:pPr>
          </w:p>
        </w:tc>
        <w:tc>
          <w:tcPr>
            <w:tcW w:w="1199" w:type="dxa"/>
            <w:tcBorders>
              <w:top w:val="single" w:sz="4" w:space="0" w:color="auto"/>
              <w:left w:val="nil"/>
              <w:bottom w:val="single" w:sz="4" w:space="0" w:color="auto"/>
              <w:right w:val="nil"/>
            </w:tcBorders>
            <w:vAlign w:val="bottom"/>
          </w:tcPr>
          <w:p w14:paraId="618B7010" w14:textId="77777777" w:rsidR="001E30FF" w:rsidRPr="006911F3" w:rsidRDefault="001E30FF" w:rsidP="001E30FF">
            <w:pPr>
              <w:pStyle w:val="TableText"/>
              <w:tabs>
                <w:tab w:val="left" w:pos="3306"/>
              </w:tabs>
              <w:jc w:val="right"/>
              <w:rPr>
                <w:rFonts w:cs="Calibri"/>
              </w:rPr>
            </w:pPr>
          </w:p>
        </w:tc>
      </w:tr>
      <w:tr w:rsidR="001E30FF" w:rsidRPr="00CF7E1B" w14:paraId="326E655F" w14:textId="77777777" w:rsidTr="004D1EC6">
        <w:tc>
          <w:tcPr>
            <w:tcW w:w="1563" w:type="dxa"/>
            <w:tcBorders>
              <w:top w:val="nil"/>
              <w:left w:val="single" w:sz="2" w:space="0" w:color="auto"/>
              <w:bottom w:val="nil"/>
              <w:right w:val="single" w:sz="2" w:space="0" w:color="auto"/>
            </w:tcBorders>
          </w:tcPr>
          <w:p w14:paraId="5047F0E2"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72F0F892" w14:textId="77777777" w:rsidR="001E30FF" w:rsidRPr="006911F3" w:rsidRDefault="001E30FF" w:rsidP="001E30FF">
            <w:pPr>
              <w:pStyle w:val="TableText"/>
              <w:tabs>
                <w:tab w:val="left" w:pos="3306"/>
              </w:tabs>
              <w:rPr>
                <w:rFonts w:cs="Calibri"/>
                <w:b/>
                <w:bCs/>
              </w:rPr>
            </w:pPr>
            <w:bookmarkStart w:id="292" w:name="_Toc48468250"/>
            <w:bookmarkStart w:id="293" w:name="_Toc49223892"/>
            <w:r w:rsidRPr="006911F3">
              <w:rPr>
                <w:rFonts w:cs="Calibri"/>
                <w:b/>
                <w:bCs/>
              </w:rPr>
              <w:t xml:space="preserve">Total </w:t>
            </w:r>
            <w:bookmarkEnd w:id="292"/>
            <w:bookmarkEnd w:id="293"/>
            <w:r w:rsidRPr="006911F3">
              <w:rPr>
                <w:rFonts w:cs="Calibri"/>
                <w:b/>
                <w:bCs/>
              </w:rPr>
              <w:t>Income</w:t>
            </w:r>
          </w:p>
        </w:tc>
        <w:tc>
          <w:tcPr>
            <w:tcW w:w="1221" w:type="dxa"/>
            <w:tcBorders>
              <w:top w:val="single" w:sz="4" w:space="0" w:color="auto"/>
              <w:left w:val="nil"/>
              <w:bottom w:val="single" w:sz="4" w:space="0" w:color="auto"/>
              <w:right w:val="nil"/>
            </w:tcBorders>
            <w:vAlign w:val="bottom"/>
          </w:tcPr>
          <w:p w14:paraId="217CFD84"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single" w:sz="4" w:space="0" w:color="auto"/>
              <w:right w:val="nil"/>
            </w:tcBorders>
            <w:vAlign w:val="bottom"/>
          </w:tcPr>
          <w:p w14:paraId="531669D3"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single" w:sz="4" w:space="0" w:color="auto"/>
              <w:right w:val="nil"/>
            </w:tcBorders>
            <w:vAlign w:val="bottom"/>
          </w:tcPr>
          <w:p w14:paraId="1DE69853" w14:textId="77777777" w:rsidR="001E30FF" w:rsidRPr="006911F3" w:rsidRDefault="001E30FF" w:rsidP="001E30FF">
            <w:pPr>
              <w:pStyle w:val="TableText"/>
              <w:tabs>
                <w:tab w:val="left" w:pos="3306"/>
              </w:tabs>
              <w:jc w:val="right"/>
              <w:rPr>
                <w:rFonts w:cs="Calibri"/>
                <w:b/>
                <w:bCs/>
              </w:rPr>
            </w:pPr>
          </w:p>
        </w:tc>
      </w:tr>
      <w:tr w:rsidR="001E30FF" w:rsidRPr="00CF7E1B" w14:paraId="2A3B5F0D" w14:textId="77777777" w:rsidTr="004D1EC6">
        <w:tc>
          <w:tcPr>
            <w:tcW w:w="1563" w:type="dxa"/>
            <w:tcBorders>
              <w:top w:val="nil"/>
              <w:left w:val="single" w:sz="2" w:space="0" w:color="auto"/>
              <w:bottom w:val="nil"/>
              <w:right w:val="single" w:sz="2" w:space="0" w:color="auto"/>
            </w:tcBorders>
          </w:tcPr>
          <w:p w14:paraId="5033B059"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6A012111" w14:textId="77777777" w:rsidR="001E30FF" w:rsidRPr="006911F3" w:rsidRDefault="001E30FF" w:rsidP="001E30FF">
            <w:pPr>
              <w:pStyle w:val="TableText"/>
              <w:tabs>
                <w:tab w:val="left" w:pos="3306"/>
              </w:tabs>
              <w:rPr>
                <w:rFonts w:cs="Calibri"/>
                <w:sz w:val="16"/>
                <w:szCs w:val="16"/>
              </w:rPr>
            </w:pPr>
          </w:p>
        </w:tc>
        <w:tc>
          <w:tcPr>
            <w:tcW w:w="1221" w:type="dxa"/>
            <w:tcBorders>
              <w:top w:val="single" w:sz="4" w:space="0" w:color="auto"/>
              <w:left w:val="nil"/>
              <w:bottom w:val="nil"/>
              <w:right w:val="nil"/>
            </w:tcBorders>
            <w:vAlign w:val="bottom"/>
          </w:tcPr>
          <w:p w14:paraId="485E881B" w14:textId="77777777" w:rsidR="001E30FF" w:rsidRPr="006911F3" w:rsidRDefault="001E30FF" w:rsidP="001E30FF">
            <w:pPr>
              <w:pStyle w:val="TableText"/>
              <w:tabs>
                <w:tab w:val="left" w:pos="3306"/>
              </w:tabs>
              <w:jc w:val="right"/>
              <w:rPr>
                <w:rFonts w:cs="Calibri"/>
                <w:sz w:val="16"/>
                <w:szCs w:val="16"/>
              </w:rPr>
            </w:pPr>
          </w:p>
        </w:tc>
        <w:tc>
          <w:tcPr>
            <w:tcW w:w="1240" w:type="dxa"/>
            <w:tcBorders>
              <w:top w:val="single" w:sz="4" w:space="0" w:color="auto"/>
              <w:left w:val="nil"/>
              <w:bottom w:val="nil"/>
              <w:right w:val="nil"/>
            </w:tcBorders>
            <w:vAlign w:val="bottom"/>
          </w:tcPr>
          <w:p w14:paraId="6D98421B" w14:textId="77777777" w:rsidR="001E30FF" w:rsidRPr="006911F3" w:rsidRDefault="001E30FF" w:rsidP="001E30FF">
            <w:pPr>
              <w:pStyle w:val="TableText"/>
              <w:tabs>
                <w:tab w:val="left" w:pos="3306"/>
              </w:tabs>
              <w:jc w:val="right"/>
              <w:rPr>
                <w:rFonts w:cs="Calibri"/>
                <w:sz w:val="16"/>
                <w:szCs w:val="16"/>
              </w:rPr>
            </w:pPr>
          </w:p>
        </w:tc>
        <w:tc>
          <w:tcPr>
            <w:tcW w:w="1199" w:type="dxa"/>
            <w:tcBorders>
              <w:top w:val="single" w:sz="4" w:space="0" w:color="auto"/>
              <w:left w:val="nil"/>
              <w:bottom w:val="nil"/>
              <w:right w:val="nil"/>
            </w:tcBorders>
            <w:vAlign w:val="bottom"/>
          </w:tcPr>
          <w:p w14:paraId="052CFEE6" w14:textId="77777777" w:rsidR="001E30FF" w:rsidRPr="006911F3" w:rsidRDefault="001E30FF" w:rsidP="001E30FF">
            <w:pPr>
              <w:pStyle w:val="TableText"/>
              <w:tabs>
                <w:tab w:val="left" w:pos="3306"/>
              </w:tabs>
              <w:jc w:val="right"/>
              <w:rPr>
                <w:rFonts w:cs="Calibri"/>
                <w:sz w:val="16"/>
                <w:szCs w:val="16"/>
              </w:rPr>
            </w:pPr>
          </w:p>
        </w:tc>
      </w:tr>
      <w:tr w:rsidR="001E30FF" w:rsidRPr="00CF7E1B" w14:paraId="4D2B6CF5" w14:textId="77777777" w:rsidTr="004D1EC6">
        <w:tc>
          <w:tcPr>
            <w:tcW w:w="1563" w:type="dxa"/>
            <w:tcBorders>
              <w:top w:val="nil"/>
              <w:left w:val="single" w:sz="2" w:space="0" w:color="auto"/>
              <w:bottom w:val="nil"/>
              <w:right w:val="single" w:sz="2" w:space="0" w:color="auto"/>
            </w:tcBorders>
          </w:tcPr>
          <w:p w14:paraId="42BA309E" w14:textId="77777777" w:rsidR="001E30FF" w:rsidRPr="006911F3" w:rsidRDefault="001E30FF" w:rsidP="001E30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7BE7EE65" w14:textId="1875C5D7" w:rsidR="001E30FF" w:rsidRPr="006911F3" w:rsidRDefault="001E30FF" w:rsidP="001E30FF">
            <w:pPr>
              <w:pStyle w:val="TableText"/>
              <w:tabs>
                <w:tab w:val="left" w:pos="3306"/>
              </w:tabs>
              <w:rPr>
                <w:rFonts w:cs="Calibri"/>
                <w:b/>
                <w:bCs/>
              </w:rPr>
            </w:pPr>
            <w:bookmarkStart w:id="294" w:name="_Toc48468251"/>
            <w:bookmarkStart w:id="295" w:name="_Toc49155438"/>
            <w:bookmarkStart w:id="296" w:name="_Toc49223893"/>
            <w:r w:rsidRPr="006911F3">
              <w:rPr>
                <w:rFonts w:cs="Calibri"/>
                <w:b/>
                <w:bCs/>
              </w:rPr>
              <w:t>Expenses</w:t>
            </w:r>
            <w:bookmarkEnd w:id="294"/>
            <w:bookmarkEnd w:id="295"/>
            <w:bookmarkEnd w:id="296"/>
            <w:r w:rsidR="00FA7C77">
              <w:rPr>
                <w:rFonts w:cs="Calibri"/>
                <w:b/>
                <w:bCs/>
              </w:rPr>
              <w:t xml:space="preserve"> </w:t>
            </w:r>
          </w:p>
        </w:tc>
        <w:tc>
          <w:tcPr>
            <w:tcW w:w="1221" w:type="dxa"/>
            <w:tcBorders>
              <w:top w:val="nil"/>
              <w:left w:val="nil"/>
              <w:bottom w:val="nil"/>
              <w:right w:val="nil"/>
            </w:tcBorders>
            <w:vAlign w:val="bottom"/>
          </w:tcPr>
          <w:p w14:paraId="0BB18019"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338BE5AC"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18F6BFDE" w14:textId="77777777" w:rsidR="001E30FF" w:rsidRPr="006911F3" w:rsidRDefault="001E30FF" w:rsidP="001E30FF">
            <w:pPr>
              <w:pStyle w:val="TableText"/>
              <w:tabs>
                <w:tab w:val="left" w:pos="3306"/>
              </w:tabs>
              <w:jc w:val="right"/>
              <w:rPr>
                <w:rFonts w:cs="Calibri"/>
              </w:rPr>
            </w:pPr>
          </w:p>
        </w:tc>
      </w:tr>
      <w:tr w:rsidR="001E30FF" w:rsidRPr="00CF7E1B" w14:paraId="34039322" w14:textId="77777777" w:rsidTr="004D1EC6">
        <w:tc>
          <w:tcPr>
            <w:tcW w:w="1563" w:type="dxa"/>
            <w:tcBorders>
              <w:top w:val="nil"/>
              <w:left w:val="single" w:sz="2" w:space="0" w:color="auto"/>
              <w:bottom w:val="nil"/>
              <w:right w:val="single" w:sz="2" w:space="0" w:color="auto"/>
            </w:tcBorders>
          </w:tcPr>
          <w:p w14:paraId="15FFCD85"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117C2AFB" w14:textId="77777777" w:rsidR="001E30FF" w:rsidRPr="006911F3" w:rsidRDefault="001E30FF" w:rsidP="001E30FF">
            <w:pPr>
              <w:pStyle w:val="TableText"/>
              <w:tabs>
                <w:tab w:val="left" w:pos="3306"/>
              </w:tabs>
              <w:rPr>
                <w:rFonts w:cs="Calibri"/>
              </w:rPr>
            </w:pPr>
            <w:r w:rsidRPr="006911F3">
              <w:rPr>
                <w:rFonts w:cs="Calibri"/>
              </w:rPr>
              <w:t>Employee Expenses</w:t>
            </w:r>
          </w:p>
        </w:tc>
        <w:tc>
          <w:tcPr>
            <w:tcW w:w="1221" w:type="dxa"/>
            <w:tcBorders>
              <w:top w:val="nil"/>
              <w:left w:val="nil"/>
              <w:bottom w:val="nil"/>
              <w:right w:val="nil"/>
            </w:tcBorders>
            <w:vAlign w:val="bottom"/>
          </w:tcPr>
          <w:p w14:paraId="6389937B"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2FEBCDA5"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043D055E" w14:textId="77777777" w:rsidR="001E30FF" w:rsidRPr="006911F3" w:rsidRDefault="001E30FF" w:rsidP="001E30FF">
            <w:pPr>
              <w:pStyle w:val="TableText"/>
              <w:tabs>
                <w:tab w:val="left" w:pos="3306"/>
              </w:tabs>
              <w:jc w:val="right"/>
              <w:rPr>
                <w:rFonts w:cs="Calibri"/>
              </w:rPr>
            </w:pPr>
          </w:p>
        </w:tc>
      </w:tr>
      <w:tr w:rsidR="001E30FF" w:rsidRPr="00CF7E1B" w14:paraId="6ED4126C" w14:textId="77777777" w:rsidTr="004D1EC6">
        <w:tc>
          <w:tcPr>
            <w:tcW w:w="1563" w:type="dxa"/>
            <w:tcBorders>
              <w:top w:val="nil"/>
              <w:left w:val="single" w:sz="2" w:space="0" w:color="auto"/>
              <w:bottom w:val="nil"/>
              <w:right w:val="single" w:sz="2" w:space="0" w:color="auto"/>
            </w:tcBorders>
          </w:tcPr>
          <w:p w14:paraId="08304ABC" w14:textId="77777777" w:rsidR="001E30FF" w:rsidRPr="00A742FB" w:rsidRDefault="001E30FF" w:rsidP="001E30FF">
            <w:pPr>
              <w:pStyle w:val="TableReference"/>
              <w:tabs>
                <w:tab w:val="left" w:pos="3306"/>
              </w:tabs>
              <w:spacing w:before="60"/>
              <w:rPr>
                <w:rFonts w:cs="Calibri"/>
                <w:strike/>
                <w:color w:val="FF0000"/>
                <w:sz w:val="14"/>
              </w:rPr>
            </w:pPr>
            <w:r w:rsidRPr="00A742FB">
              <w:rPr>
                <w:rFonts w:cs="Calibri"/>
                <w:strike/>
                <w:color w:val="FF0000"/>
                <w:sz w:val="14"/>
              </w:rPr>
              <w:t>AASB 1052.15(c)</w:t>
            </w:r>
          </w:p>
        </w:tc>
        <w:tc>
          <w:tcPr>
            <w:tcW w:w="5321" w:type="dxa"/>
            <w:tcBorders>
              <w:top w:val="nil"/>
              <w:left w:val="single" w:sz="2" w:space="0" w:color="auto"/>
              <w:bottom w:val="nil"/>
              <w:right w:val="nil"/>
            </w:tcBorders>
            <w:vAlign w:val="bottom"/>
          </w:tcPr>
          <w:p w14:paraId="3FAFB76F" w14:textId="77777777" w:rsidR="001E30FF" w:rsidRPr="00A742FB" w:rsidRDefault="001E30FF" w:rsidP="001E30FF">
            <w:pPr>
              <w:pStyle w:val="TableText"/>
              <w:tabs>
                <w:tab w:val="left" w:pos="3306"/>
              </w:tabs>
              <w:rPr>
                <w:rFonts w:cs="Calibri"/>
                <w:strike/>
                <w:color w:val="FF0000"/>
              </w:rPr>
            </w:pPr>
            <w:r w:rsidRPr="00A742FB">
              <w:rPr>
                <w:rFonts w:cs="Calibri"/>
                <w:strike/>
                <w:color w:val="FF0000"/>
              </w:rPr>
              <w:t>Superannuation Expenses</w:t>
            </w:r>
          </w:p>
        </w:tc>
        <w:tc>
          <w:tcPr>
            <w:tcW w:w="1221" w:type="dxa"/>
            <w:tcBorders>
              <w:top w:val="nil"/>
              <w:left w:val="nil"/>
              <w:bottom w:val="nil"/>
              <w:right w:val="nil"/>
            </w:tcBorders>
            <w:vAlign w:val="bottom"/>
          </w:tcPr>
          <w:p w14:paraId="531CEC73"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17A7CA6D"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1B0D787D" w14:textId="77777777" w:rsidR="001E30FF" w:rsidRPr="006911F3" w:rsidRDefault="001E30FF" w:rsidP="001E30FF">
            <w:pPr>
              <w:pStyle w:val="TableText"/>
              <w:tabs>
                <w:tab w:val="left" w:pos="3306"/>
              </w:tabs>
              <w:jc w:val="right"/>
              <w:rPr>
                <w:rFonts w:cs="Calibri"/>
              </w:rPr>
            </w:pPr>
          </w:p>
        </w:tc>
      </w:tr>
      <w:tr w:rsidR="001E30FF" w:rsidRPr="00CF7E1B" w14:paraId="468D9C25" w14:textId="77777777" w:rsidTr="004D1EC6">
        <w:tc>
          <w:tcPr>
            <w:tcW w:w="1563" w:type="dxa"/>
            <w:tcBorders>
              <w:top w:val="nil"/>
              <w:left w:val="single" w:sz="2" w:space="0" w:color="auto"/>
              <w:bottom w:val="nil"/>
              <w:right w:val="single" w:sz="2" w:space="0" w:color="auto"/>
            </w:tcBorders>
          </w:tcPr>
          <w:p w14:paraId="58D3B03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4C1C3F44" w14:textId="77777777" w:rsidR="001E30FF" w:rsidRPr="006911F3" w:rsidRDefault="001E30FF" w:rsidP="001E30FF">
            <w:pPr>
              <w:pStyle w:val="TableText"/>
              <w:tabs>
                <w:tab w:val="left" w:pos="3306"/>
              </w:tabs>
              <w:rPr>
                <w:rFonts w:cs="Calibri"/>
              </w:rPr>
            </w:pPr>
            <w:r w:rsidRPr="006911F3">
              <w:rPr>
                <w:rFonts w:cs="Calibri"/>
              </w:rPr>
              <w:t>Supplies and Services</w:t>
            </w:r>
          </w:p>
        </w:tc>
        <w:tc>
          <w:tcPr>
            <w:tcW w:w="1221" w:type="dxa"/>
            <w:tcBorders>
              <w:top w:val="nil"/>
              <w:left w:val="nil"/>
              <w:bottom w:val="nil"/>
              <w:right w:val="nil"/>
            </w:tcBorders>
            <w:vAlign w:val="bottom"/>
          </w:tcPr>
          <w:p w14:paraId="72B3F542"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7CD4D1D8"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0B8348D4" w14:textId="77777777" w:rsidR="001E30FF" w:rsidRPr="006911F3" w:rsidRDefault="001E30FF" w:rsidP="001E30FF">
            <w:pPr>
              <w:pStyle w:val="TableText"/>
              <w:tabs>
                <w:tab w:val="left" w:pos="3306"/>
              </w:tabs>
              <w:jc w:val="right"/>
              <w:rPr>
                <w:rFonts w:cs="Calibri"/>
              </w:rPr>
            </w:pPr>
          </w:p>
        </w:tc>
      </w:tr>
      <w:tr w:rsidR="001E30FF" w:rsidRPr="00CF7E1B" w14:paraId="0C4303E4" w14:textId="77777777" w:rsidTr="004D1EC6">
        <w:tc>
          <w:tcPr>
            <w:tcW w:w="1563" w:type="dxa"/>
            <w:tcBorders>
              <w:top w:val="nil"/>
              <w:left w:val="single" w:sz="2" w:space="0" w:color="auto"/>
              <w:bottom w:val="nil"/>
              <w:right w:val="single" w:sz="2" w:space="0" w:color="auto"/>
            </w:tcBorders>
          </w:tcPr>
          <w:p w14:paraId="41AC1AF2"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02929826" w14:textId="77777777" w:rsidR="001E30FF" w:rsidRPr="006911F3" w:rsidRDefault="001E30FF" w:rsidP="001E30FF">
            <w:pPr>
              <w:pStyle w:val="TableText"/>
              <w:tabs>
                <w:tab w:val="left" w:pos="3306"/>
              </w:tabs>
              <w:rPr>
                <w:rFonts w:cs="Calibri"/>
              </w:rPr>
            </w:pPr>
            <w:r w:rsidRPr="006911F3">
              <w:rPr>
                <w:rFonts w:cs="Calibri"/>
              </w:rPr>
              <w:t>Depreciation and Amortisation</w:t>
            </w:r>
          </w:p>
        </w:tc>
        <w:tc>
          <w:tcPr>
            <w:tcW w:w="1221" w:type="dxa"/>
            <w:tcBorders>
              <w:top w:val="nil"/>
              <w:left w:val="nil"/>
              <w:bottom w:val="nil"/>
              <w:right w:val="nil"/>
            </w:tcBorders>
            <w:vAlign w:val="bottom"/>
          </w:tcPr>
          <w:p w14:paraId="4CE3A24D"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53D63C2A"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5CCF0015" w14:textId="77777777" w:rsidR="001E30FF" w:rsidRPr="006911F3" w:rsidRDefault="001E30FF" w:rsidP="001E30FF">
            <w:pPr>
              <w:pStyle w:val="TableText"/>
              <w:tabs>
                <w:tab w:val="left" w:pos="3306"/>
              </w:tabs>
              <w:jc w:val="right"/>
              <w:rPr>
                <w:rFonts w:cs="Calibri"/>
              </w:rPr>
            </w:pPr>
          </w:p>
        </w:tc>
      </w:tr>
      <w:tr w:rsidR="001E30FF" w:rsidRPr="00CF7E1B" w14:paraId="4380C083" w14:textId="77777777" w:rsidTr="004D1EC6">
        <w:tc>
          <w:tcPr>
            <w:tcW w:w="1563" w:type="dxa"/>
            <w:tcBorders>
              <w:top w:val="nil"/>
              <w:left w:val="single" w:sz="2" w:space="0" w:color="auto"/>
              <w:bottom w:val="nil"/>
              <w:right w:val="single" w:sz="2" w:space="0" w:color="auto"/>
            </w:tcBorders>
          </w:tcPr>
          <w:p w14:paraId="01F908A4"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49CD21A4" w14:textId="77777777" w:rsidR="001E30FF" w:rsidRPr="006911F3" w:rsidRDefault="001E30FF" w:rsidP="001E30FF">
            <w:pPr>
              <w:pStyle w:val="TableText"/>
              <w:tabs>
                <w:tab w:val="left" w:pos="3306"/>
              </w:tabs>
              <w:rPr>
                <w:rFonts w:cs="Calibri"/>
              </w:rPr>
            </w:pPr>
            <w:r w:rsidRPr="006911F3">
              <w:rPr>
                <w:rFonts w:cs="Calibri"/>
              </w:rPr>
              <w:t>Grants and Purchased Services</w:t>
            </w:r>
          </w:p>
        </w:tc>
        <w:tc>
          <w:tcPr>
            <w:tcW w:w="1221" w:type="dxa"/>
            <w:tcBorders>
              <w:top w:val="nil"/>
              <w:left w:val="nil"/>
              <w:bottom w:val="nil"/>
              <w:right w:val="nil"/>
            </w:tcBorders>
            <w:vAlign w:val="bottom"/>
          </w:tcPr>
          <w:p w14:paraId="5D9074E8"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09E1E172"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39927AE0" w14:textId="77777777" w:rsidR="001E30FF" w:rsidRPr="006911F3" w:rsidRDefault="001E30FF" w:rsidP="001E30FF">
            <w:pPr>
              <w:pStyle w:val="TableText"/>
              <w:tabs>
                <w:tab w:val="left" w:pos="3306"/>
              </w:tabs>
              <w:jc w:val="right"/>
              <w:rPr>
                <w:rFonts w:cs="Calibri"/>
              </w:rPr>
            </w:pPr>
          </w:p>
        </w:tc>
      </w:tr>
      <w:tr w:rsidR="001E30FF" w:rsidRPr="00CF7E1B" w14:paraId="2646396A" w14:textId="77777777" w:rsidTr="004D1EC6">
        <w:tc>
          <w:tcPr>
            <w:tcW w:w="1563" w:type="dxa"/>
            <w:tcBorders>
              <w:top w:val="nil"/>
              <w:left w:val="single" w:sz="2" w:space="0" w:color="auto"/>
              <w:bottom w:val="nil"/>
              <w:right w:val="single" w:sz="2" w:space="0" w:color="auto"/>
            </w:tcBorders>
          </w:tcPr>
          <w:p w14:paraId="3D6632F6"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14BDEB40" w14:textId="77777777" w:rsidR="001E30FF" w:rsidRPr="006911F3" w:rsidRDefault="001E30FF" w:rsidP="001E30FF">
            <w:pPr>
              <w:pStyle w:val="TableText"/>
              <w:tabs>
                <w:tab w:val="left" w:pos="3306"/>
              </w:tabs>
              <w:rPr>
                <w:rFonts w:cs="Calibri"/>
              </w:rPr>
            </w:pPr>
            <w:r w:rsidRPr="006911F3">
              <w:rPr>
                <w:rFonts w:cs="Calibri"/>
              </w:rPr>
              <w:t>Borrowing Costs</w:t>
            </w:r>
          </w:p>
        </w:tc>
        <w:tc>
          <w:tcPr>
            <w:tcW w:w="1221" w:type="dxa"/>
            <w:tcBorders>
              <w:top w:val="nil"/>
              <w:left w:val="nil"/>
              <w:bottom w:val="nil"/>
              <w:right w:val="nil"/>
            </w:tcBorders>
            <w:vAlign w:val="bottom"/>
          </w:tcPr>
          <w:p w14:paraId="54F6AE98"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1694EDD7"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6A7504CE" w14:textId="77777777" w:rsidR="001E30FF" w:rsidRPr="006911F3" w:rsidRDefault="001E30FF" w:rsidP="001E30FF">
            <w:pPr>
              <w:pStyle w:val="TableText"/>
              <w:tabs>
                <w:tab w:val="left" w:pos="3306"/>
              </w:tabs>
              <w:jc w:val="right"/>
              <w:rPr>
                <w:rFonts w:cs="Calibri"/>
              </w:rPr>
            </w:pPr>
          </w:p>
        </w:tc>
      </w:tr>
      <w:tr w:rsidR="001E30FF" w:rsidRPr="00CF7E1B" w14:paraId="3DEEDF9A" w14:textId="77777777" w:rsidTr="004D1EC6">
        <w:tc>
          <w:tcPr>
            <w:tcW w:w="1563" w:type="dxa"/>
            <w:tcBorders>
              <w:top w:val="nil"/>
              <w:left w:val="single" w:sz="2" w:space="0" w:color="auto"/>
              <w:bottom w:val="nil"/>
              <w:right w:val="single" w:sz="2" w:space="0" w:color="auto"/>
            </w:tcBorders>
          </w:tcPr>
          <w:p w14:paraId="6F15648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22BEAB1F" w14:textId="77777777" w:rsidR="001E30FF" w:rsidRPr="006911F3" w:rsidRDefault="001E30FF" w:rsidP="001E30FF">
            <w:pPr>
              <w:pStyle w:val="TableText"/>
              <w:tabs>
                <w:tab w:val="left" w:pos="3306"/>
              </w:tabs>
              <w:rPr>
                <w:rFonts w:cs="Calibri"/>
              </w:rPr>
            </w:pPr>
            <w:r w:rsidRPr="006911F3">
              <w:rPr>
                <w:rFonts w:cs="Calibri"/>
              </w:rPr>
              <w:t>Other Expenses</w:t>
            </w:r>
          </w:p>
        </w:tc>
        <w:tc>
          <w:tcPr>
            <w:tcW w:w="1221" w:type="dxa"/>
            <w:tcBorders>
              <w:top w:val="nil"/>
              <w:left w:val="nil"/>
              <w:bottom w:val="single" w:sz="4" w:space="0" w:color="auto"/>
              <w:right w:val="nil"/>
            </w:tcBorders>
            <w:vAlign w:val="bottom"/>
          </w:tcPr>
          <w:p w14:paraId="07B78587"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single" w:sz="4" w:space="0" w:color="auto"/>
              <w:right w:val="nil"/>
            </w:tcBorders>
            <w:vAlign w:val="bottom"/>
          </w:tcPr>
          <w:p w14:paraId="268A478A"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single" w:sz="4" w:space="0" w:color="auto"/>
              <w:right w:val="nil"/>
            </w:tcBorders>
            <w:vAlign w:val="bottom"/>
          </w:tcPr>
          <w:p w14:paraId="21E73527" w14:textId="77777777" w:rsidR="001E30FF" w:rsidRPr="006911F3" w:rsidRDefault="001E30FF" w:rsidP="001E30FF">
            <w:pPr>
              <w:pStyle w:val="TableText"/>
              <w:tabs>
                <w:tab w:val="left" w:pos="3306"/>
              </w:tabs>
              <w:jc w:val="right"/>
              <w:rPr>
                <w:rFonts w:cs="Calibri"/>
              </w:rPr>
            </w:pPr>
          </w:p>
        </w:tc>
      </w:tr>
      <w:tr w:rsidR="001E30FF" w:rsidRPr="00CF7E1B" w14:paraId="2FA5FB70" w14:textId="77777777" w:rsidTr="004D1EC6">
        <w:tc>
          <w:tcPr>
            <w:tcW w:w="1563" w:type="dxa"/>
            <w:tcBorders>
              <w:top w:val="nil"/>
              <w:left w:val="single" w:sz="2" w:space="0" w:color="auto"/>
              <w:bottom w:val="nil"/>
              <w:right w:val="single" w:sz="2" w:space="0" w:color="auto"/>
            </w:tcBorders>
          </w:tcPr>
          <w:p w14:paraId="1004E6E6" w14:textId="77777777" w:rsidR="001E30FF" w:rsidRPr="006911F3" w:rsidRDefault="001E30FF"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271AB1C4" w14:textId="77777777" w:rsidR="001E30FF" w:rsidRPr="006911F3" w:rsidRDefault="001E30FF" w:rsidP="001E30FF">
            <w:pPr>
              <w:pStyle w:val="TableText"/>
              <w:tabs>
                <w:tab w:val="left" w:pos="3306"/>
              </w:tabs>
              <w:rPr>
                <w:rFonts w:cs="Calibri"/>
                <w:b/>
                <w:bCs/>
              </w:rPr>
            </w:pPr>
            <w:bookmarkStart w:id="297" w:name="_Toc48468252"/>
            <w:bookmarkStart w:id="298" w:name="_Toc49223894"/>
            <w:r w:rsidRPr="006911F3">
              <w:rPr>
                <w:rFonts w:cs="Calibri"/>
                <w:b/>
                <w:bCs/>
              </w:rPr>
              <w:t>Total Expenses</w:t>
            </w:r>
            <w:bookmarkEnd w:id="297"/>
            <w:bookmarkEnd w:id="298"/>
          </w:p>
        </w:tc>
        <w:tc>
          <w:tcPr>
            <w:tcW w:w="1221" w:type="dxa"/>
            <w:tcBorders>
              <w:top w:val="single" w:sz="4" w:space="0" w:color="auto"/>
              <w:left w:val="nil"/>
              <w:bottom w:val="single" w:sz="4" w:space="0" w:color="auto"/>
              <w:right w:val="nil"/>
            </w:tcBorders>
            <w:vAlign w:val="bottom"/>
          </w:tcPr>
          <w:p w14:paraId="4622661F"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single" w:sz="4" w:space="0" w:color="auto"/>
              <w:right w:val="nil"/>
            </w:tcBorders>
            <w:vAlign w:val="bottom"/>
          </w:tcPr>
          <w:p w14:paraId="30B49CC3"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single" w:sz="4" w:space="0" w:color="auto"/>
              <w:right w:val="nil"/>
            </w:tcBorders>
            <w:vAlign w:val="bottom"/>
          </w:tcPr>
          <w:p w14:paraId="1BEEB517" w14:textId="77777777" w:rsidR="001E30FF" w:rsidRPr="006911F3" w:rsidRDefault="001E30FF" w:rsidP="001E30FF">
            <w:pPr>
              <w:pStyle w:val="TableText"/>
              <w:tabs>
                <w:tab w:val="left" w:pos="3306"/>
              </w:tabs>
              <w:jc w:val="right"/>
              <w:rPr>
                <w:rFonts w:cs="Calibri"/>
                <w:b/>
                <w:bCs/>
              </w:rPr>
            </w:pPr>
          </w:p>
        </w:tc>
      </w:tr>
      <w:tr w:rsidR="001E30FF" w:rsidRPr="00CF7E1B" w14:paraId="615C2C20" w14:textId="77777777" w:rsidTr="004D1EC6">
        <w:tc>
          <w:tcPr>
            <w:tcW w:w="1563" w:type="dxa"/>
            <w:tcBorders>
              <w:top w:val="nil"/>
              <w:left w:val="single" w:sz="2" w:space="0" w:color="auto"/>
              <w:bottom w:val="nil"/>
              <w:right w:val="single" w:sz="2" w:space="0" w:color="auto"/>
            </w:tcBorders>
          </w:tcPr>
          <w:p w14:paraId="48C9049C" w14:textId="77777777" w:rsidR="001E30FF" w:rsidRPr="006911F3" w:rsidRDefault="001E30FF"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62C2BCD2" w14:textId="43C43090" w:rsidR="001E30FF" w:rsidRPr="006911F3" w:rsidRDefault="001E30FF" w:rsidP="001E30FF">
            <w:pPr>
              <w:pStyle w:val="TableText"/>
              <w:tabs>
                <w:tab w:val="left" w:pos="3306"/>
              </w:tabs>
              <w:rPr>
                <w:rFonts w:cs="Calibri"/>
                <w:b/>
                <w:bCs/>
              </w:rPr>
            </w:pPr>
            <w:bookmarkStart w:id="299" w:name="_Toc48468254"/>
            <w:bookmarkStart w:id="300" w:name="_Toc49223896"/>
            <w:r w:rsidRPr="006911F3">
              <w:rPr>
                <w:rFonts w:cs="Calibri"/>
                <w:b/>
                <w:bCs/>
              </w:rPr>
              <w:t xml:space="preserve">Operating </w:t>
            </w:r>
            <w:r w:rsidR="00F91BB4" w:rsidRPr="006911F3">
              <w:rPr>
                <w:rFonts w:cs="Calibri"/>
                <w:b/>
                <w:bCs/>
              </w:rPr>
              <w:t xml:space="preserve">Result </w:t>
            </w:r>
            <w:bookmarkEnd w:id="299"/>
            <w:bookmarkEnd w:id="300"/>
          </w:p>
        </w:tc>
        <w:tc>
          <w:tcPr>
            <w:tcW w:w="1221" w:type="dxa"/>
            <w:tcBorders>
              <w:top w:val="single" w:sz="4" w:space="0" w:color="auto"/>
              <w:left w:val="nil"/>
              <w:bottom w:val="double" w:sz="4" w:space="0" w:color="auto"/>
              <w:right w:val="nil"/>
            </w:tcBorders>
            <w:vAlign w:val="bottom"/>
          </w:tcPr>
          <w:p w14:paraId="63D2B08F"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double" w:sz="4" w:space="0" w:color="auto"/>
              <w:right w:val="nil"/>
            </w:tcBorders>
            <w:vAlign w:val="bottom"/>
          </w:tcPr>
          <w:p w14:paraId="24CC49D9"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double" w:sz="4" w:space="0" w:color="auto"/>
              <w:right w:val="nil"/>
            </w:tcBorders>
            <w:vAlign w:val="bottom"/>
          </w:tcPr>
          <w:p w14:paraId="4C39D2E3" w14:textId="77777777" w:rsidR="001E30FF" w:rsidRPr="006911F3" w:rsidRDefault="001E30FF" w:rsidP="001E30FF">
            <w:pPr>
              <w:pStyle w:val="TableText"/>
              <w:tabs>
                <w:tab w:val="left" w:pos="3306"/>
              </w:tabs>
              <w:jc w:val="right"/>
              <w:rPr>
                <w:rFonts w:cs="Calibri"/>
                <w:b/>
                <w:bCs/>
              </w:rPr>
            </w:pPr>
          </w:p>
        </w:tc>
      </w:tr>
      <w:tr w:rsidR="00512537" w:rsidRPr="00CF7E1B" w14:paraId="508AC2C3" w14:textId="77777777" w:rsidTr="004D1EC6">
        <w:tc>
          <w:tcPr>
            <w:tcW w:w="1563" w:type="dxa"/>
            <w:tcBorders>
              <w:top w:val="nil"/>
              <w:left w:val="single" w:sz="2" w:space="0" w:color="auto"/>
              <w:bottom w:val="nil"/>
              <w:right w:val="single" w:sz="2" w:space="0" w:color="auto"/>
            </w:tcBorders>
          </w:tcPr>
          <w:p w14:paraId="09973E79" w14:textId="77777777" w:rsidR="00512537" w:rsidRPr="006911F3" w:rsidRDefault="00512537"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0A445D9C" w14:textId="77777777" w:rsidR="00512537" w:rsidRPr="006911F3" w:rsidRDefault="00512537" w:rsidP="001E30FF">
            <w:pPr>
              <w:pStyle w:val="TableText"/>
              <w:tabs>
                <w:tab w:val="left" w:pos="3306"/>
              </w:tabs>
              <w:rPr>
                <w:rFonts w:cs="Calibri"/>
                <w:b/>
                <w:bCs/>
              </w:rPr>
            </w:pPr>
          </w:p>
        </w:tc>
        <w:tc>
          <w:tcPr>
            <w:tcW w:w="1221" w:type="dxa"/>
            <w:tcBorders>
              <w:top w:val="double" w:sz="4" w:space="0" w:color="auto"/>
              <w:left w:val="nil"/>
              <w:bottom w:val="nil"/>
              <w:right w:val="nil"/>
            </w:tcBorders>
            <w:vAlign w:val="bottom"/>
          </w:tcPr>
          <w:p w14:paraId="7BC7DF3E" w14:textId="77777777" w:rsidR="00512537" w:rsidRPr="006911F3" w:rsidRDefault="00512537" w:rsidP="001E30FF">
            <w:pPr>
              <w:pStyle w:val="TableText"/>
              <w:tabs>
                <w:tab w:val="left" w:pos="3306"/>
              </w:tabs>
              <w:jc w:val="right"/>
              <w:rPr>
                <w:rFonts w:cs="Calibri"/>
                <w:b/>
                <w:bCs/>
              </w:rPr>
            </w:pPr>
          </w:p>
        </w:tc>
        <w:tc>
          <w:tcPr>
            <w:tcW w:w="1240" w:type="dxa"/>
            <w:tcBorders>
              <w:top w:val="double" w:sz="4" w:space="0" w:color="auto"/>
              <w:left w:val="nil"/>
              <w:bottom w:val="nil"/>
              <w:right w:val="nil"/>
            </w:tcBorders>
            <w:vAlign w:val="bottom"/>
          </w:tcPr>
          <w:p w14:paraId="3DCC48DB" w14:textId="77777777" w:rsidR="00512537" w:rsidRPr="006911F3" w:rsidRDefault="00512537" w:rsidP="001E30FF">
            <w:pPr>
              <w:pStyle w:val="TableText"/>
              <w:tabs>
                <w:tab w:val="left" w:pos="3306"/>
              </w:tabs>
              <w:jc w:val="right"/>
              <w:rPr>
                <w:rFonts w:cs="Calibri"/>
                <w:b/>
                <w:bCs/>
              </w:rPr>
            </w:pPr>
          </w:p>
        </w:tc>
        <w:tc>
          <w:tcPr>
            <w:tcW w:w="1199" w:type="dxa"/>
            <w:tcBorders>
              <w:top w:val="double" w:sz="4" w:space="0" w:color="auto"/>
              <w:left w:val="nil"/>
              <w:bottom w:val="nil"/>
              <w:right w:val="nil"/>
            </w:tcBorders>
            <w:vAlign w:val="bottom"/>
          </w:tcPr>
          <w:p w14:paraId="6113D2CC" w14:textId="77777777" w:rsidR="00512537" w:rsidRPr="006911F3" w:rsidRDefault="00512537" w:rsidP="001E30FF">
            <w:pPr>
              <w:pStyle w:val="TableText"/>
              <w:tabs>
                <w:tab w:val="left" w:pos="3306"/>
              </w:tabs>
              <w:jc w:val="right"/>
              <w:rPr>
                <w:rFonts w:cs="Calibri"/>
                <w:b/>
                <w:bCs/>
              </w:rPr>
            </w:pPr>
          </w:p>
        </w:tc>
      </w:tr>
      <w:tr w:rsidR="00512537" w:rsidRPr="00CF7E1B" w14:paraId="2B0B5D9F" w14:textId="77777777" w:rsidTr="004D1EC6">
        <w:tc>
          <w:tcPr>
            <w:tcW w:w="1563" w:type="dxa"/>
            <w:tcBorders>
              <w:top w:val="nil"/>
              <w:left w:val="single" w:sz="2" w:space="0" w:color="auto"/>
              <w:bottom w:val="nil"/>
              <w:right w:val="single" w:sz="2" w:space="0" w:color="auto"/>
            </w:tcBorders>
          </w:tcPr>
          <w:p w14:paraId="5348D678" w14:textId="4FF92BEE" w:rsidR="00512537" w:rsidRPr="006911F3" w:rsidRDefault="004A29C0" w:rsidP="001E30FF">
            <w:pPr>
              <w:pStyle w:val="TableReference"/>
              <w:tabs>
                <w:tab w:val="left" w:pos="3306"/>
              </w:tabs>
              <w:spacing w:before="40"/>
              <w:rPr>
                <w:rFonts w:cs="Calibri"/>
                <w:color w:val="7030A0"/>
                <w:sz w:val="16"/>
                <w:szCs w:val="16"/>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2C58954F" w14:textId="2DAEBF06" w:rsidR="00512537" w:rsidRPr="006911F3" w:rsidRDefault="00512537" w:rsidP="001E30FF">
            <w:pPr>
              <w:pStyle w:val="TableText"/>
              <w:tabs>
                <w:tab w:val="left" w:pos="3306"/>
              </w:tabs>
              <w:rPr>
                <w:rFonts w:cs="Calibri"/>
              </w:rPr>
            </w:pPr>
            <w:r w:rsidRPr="006911F3">
              <w:rPr>
                <w:rFonts w:cs="Calibri"/>
              </w:rPr>
              <w:t>Income from Government Sources</w:t>
            </w:r>
          </w:p>
        </w:tc>
        <w:tc>
          <w:tcPr>
            <w:tcW w:w="1221" w:type="dxa"/>
            <w:tcBorders>
              <w:top w:val="nil"/>
              <w:left w:val="nil"/>
              <w:bottom w:val="nil"/>
              <w:right w:val="nil"/>
            </w:tcBorders>
            <w:vAlign w:val="bottom"/>
          </w:tcPr>
          <w:p w14:paraId="5D64B7C3" w14:textId="77777777" w:rsidR="00512537" w:rsidRPr="006911F3" w:rsidRDefault="00512537" w:rsidP="001E30FF">
            <w:pPr>
              <w:pStyle w:val="TableText"/>
              <w:tabs>
                <w:tab w:val="left" w:pos="3306"/>
              </w:tabs>
              <w:jc w:val="right"/>
              <w:rPr>
                <w:rFonts w:cs="Calibri"/>
                <w:b/>
                <w:bCs/>
              </w:rPr>
            </w:pPr>
          </w:p>
        </w:tc>
        <w:tc>
          <w:tcPr>
            <w:tcW w:w="1240" w:type="dxa"/>
            <w:tcBorders>
              <w:top w:val="nil"/>
              <w:left w:val="nil"/>
              <w:bottom w:val="nil"/>
              <w:right w:val="nil"/>
            </w:tcBorders>
            <w:vAlign w:val="bottom"/>
          </w:tcPr>
          <w:p w14:paraId="7BEA994A" w14:textId="77777777" w:rsidR="00512537" w:rsidRPr="006911F3" w:rsidRDefault="00512537" w:rsidP="001E30FF">
            <w:pPr>
              <w:pStyle w:val="TableText"/>
              <w:tabs>
                <w:tab w:val="left" w:pos="3306"/>
              </w:tabs>
              <w:jc w:val="right"/>
              <w:rPr>
                <w:rFonts w:cs="Calibri"/>
                <w:b/>
                <w:bCs/>
              </w:rPr>
            </w:pPr>
          </w:p>
        </w:tc>
        <w:tc>
          <w:tcPr>
            <w:tcW w:w="1199" w:type="dxa"/>
            <w:tcBorders>
              <w:top w:val="nil"/>
              <w:left w:val="nil"/>
              <w:bottom w:val="nil"/>
              <w:right w:val="nil"/>
            </w:tcBorders>
            <w:vAlign w:val="bottom"/>
          </w:tcPr>
          <w:p w14:paraId="7207A9D6" w14:textId="77777777" w:rsidR="00512537" w:rsidRPr="006911F3" w:rsidRDefault="00512537" w:rsidP="001E30FF">
            <w:pPr>
              <w:pStyle w:val="TableText"/>
              <w:tabs>
                <w:tab w:val="left" w:pos="3306"/>
              </w:tabs>
              <w:jc w:val="right"/>
              <w:rPr>
                <w:rFonts w:cs="Calibri"/>
                <w:b/>
                <w:bCs/>
              </w:rPr>
            </w:pPr>
          </w:p>
        </w:tc>
      </w:tr>
    </w:tbl>
    <w:p w14:paraId="612AE08A" w14:textId="4B06C6F6" w:rsidR="00435A25" w:rsidRDefault="00435A25" w:rsidP="00EC4593">
      <w:pPr>
        <w:jc w:val="center"/>
      </w:pPr>
      <w:bookmarkStart w:id="301" w:name="_Toc194918649"/>
    </w:p>
    <w:p w14:paraId="5E0BA8E0" w14:textId="77777777" w:rsidR="00A742FB" w:rsidRDefault="00A742FB" w:rsidP="00EC4593">
      <w:pPr>
        <w:jc w:val="center"/>
      </w:pPr>
    </w:p>
    <w:p w14:paraId="02880156" w14:textId="77777777" w:rsidR="00574DE1" w:rsidRPr="00574DE1" w:rsidRDefault="00574DE1" w:rsidP="00574DE1">
      <w:pPr>
        <w:jc w:val="center"/>
        <w:rPr>
          <w:b/>
          <w:sz w:val="16"/>
        </w:rPr>
      </w:pPr>
    </w:p>
    <w:p w14:paraId="44F4EF77" w14:textId="65CC5248" w:rsidR="000144FF" w:rsidRPr="006911F3" w:rsidRDefault="000144FF" w:rsidP="00574DE1">
      <w:pPr>
        <w:spacing w:line="400" w:lineRule="exact"/>
        <w:jc w:val="center"/>
        <w:rPr>
          <w:b/>
          <w:sz w:val="40"/>
          <w:szCs w:val="40"/>
        </w:rPr>
      </w:pPr>
      <w:r w:rsidRPr="006911F3">
        <w:rPr>
          <w:b/>
          <w:sz w:val="40"/>
          <w:szCs w:val="40"/>
        </w:rPr>
        <w:t>‘</w:t>
      </w:r>
      <w:r w:rsidR="00CB5FDC" w:rsidRPr="006911F3">
        <w:rPr>
          <w:rFonts w:asciiTheme="minorHAnsi" w:hAnsiTheme="minorHAnsi" w:cstheme="minorHAnsi"/>
          <w:b/>
          <w:bCs/>
          <w:sz w:val="40"/>
          <w:szCs w:val="24"/>
        </w:rPr>
        <w:t xml:space="preserve">Burley Griffin </w:t>
      </w:r>
      <w:r w:rsidR="002B361F" w:rsidRPr="006911F3">
        <w:rPr>
          <w:b/>
          <w:sz w:val="40"/>
          <w:szCs w:val="40"/>
        </w:rPr>
        <w:t>Agency</w:t>
      </w:r>
      <w:r w:rsidRPr="006911F3">
        <w:rPr>
          <w:b/>
          <w:sz w:val="40"/>
          <w:szCs w:val="40"/>
        </w:rPr>
        <w:t>’</w:t>
      </w:r>
      <w:bookmarkEnd w:id="301"/>
    </w:p>
    <w:p w14:paraId="03938033" w14:textId="77777777" w:rsidR="000144FF" w:rsidRPr="006911F3" w:rsidRDefault="000144FF" w:rsidP="00574DE1">
      <w:pPr>
        <w:pStyle w:val="Subtitle"/>
        <w:spacing w:line="400" w:lineRule="exact"/>
        <w:rPr>
          <w:rFonts w:asciiTheme="minorHAnsi" w:hAnsiTheme="minorHAnsi" w:cstheme="minorHAnsi"/>
        </w:rPr>
      </w:pPr>
      <w:bookmarkStart w:id="302" w:name="_Toc49223897"/>
      <w:bookmarkStart w:id="303" w:name="_Toc50440321"/>
      <w:bookmarkStart w:id="304" w:name="_Toc194918650"/>
      <w:bookmarkStart w:id="305" w:name="_Toc400627315"/>
      <w:bookmarkStart w:id="306" w:name="_Toc132743771"/>
      <w:r w:rsidRPr="006911F3">
        <w:rPr>
          <w:rFonts w:asciiTheme="minorHAnsi" w:hAnsiTheme="minorHAnsi" w:cstheme="minorHAnsi"/>
        </w:rPr>
        <w:t>Operating Statement for Output Class 3 – Environment and Heritage</w:t>
      </w:r>
      <w:bookmarkEnd w:id="302"/>
      <w:bookmarkEnd w:id="303"/>
      <w:bookmarkEnd w:id="304"/>
      <w:bookmarkEnd w:id="305"/>
      <w:bookmarkEnd w:id="306"/>
    </w:p>
    <w:p w14:paraId="4CA9E172" w14:textId="5EDE7AAB" w:rsidR="000144FF" w:rsidRPr="0009580B" w:rsidRDefault="000144FF" w:rsidP="00183BD1">
      <w:pPr>
        <w:spacing w:after="120" w:line="400" w:lineRule="exact"/>
        <w:jc w:val="center"/>
        <w:rPr>
          <w:b/>
          <w:sz w:val="40"/>
          <w:szCs w:val="40"/>
        </w:rPr>
      </w:pPr>
      <w:r w:rsidRPr="006911F3">
        <w:rPr>
          <w:b/>
          <w:sz w:val="40"/>
          <w:szCs w:val="40"/>
        </w:rPr>
        <w:t xml:space="preserve">For the Year Ended 30 June </w:t>
      </w:r>
      <w:r w:rsidR="00C66E0D" w:rsidRPr="006911F3">
        <w:rPr>
          <w:b/>
          <w:sz w:val="40"/>
          <w:szCs w:val="40"/>
        </w:rPr>
        <w:t>202</w:t>
      </w:r>
      <w:r w:rsidR="00826627">
        <w:rPr>
          <w:b/>
          <w:sz w:val="40"/>
          <w:szCs w:val="40"/>
        </w:rPr>
        <w:t>3</w:t>
      </w:r>
    </w:p>
    <w:p w14:paraId="224E3A98" w14:textId="77777777" w:rsidR="00183BD1" w:rsidRPr="00183BD1" w:rsidRDefault="00183BD1" w:rsidP="00183BD1">
      <w:pPr>
        <w:jc w:val="center"/>
        <w:rPr>
          <w:b/>
          <w:sz w:val="16"/>
        </w:rPr>
      </w:pPr>
    </w:p>
    <w:tbl>
      <w:tblPr>
        <w:tblW w:w="500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5"/>
        <w:gridCol w:w="1217"/>
        <w:gridCol w:w="1230"/>
        <w:gridCol w:w="1215"/>
      </w:tblGrid>
      <w:tr w:rsidR="000144FF" w:rsidRPr="00CF7E1B" w14:paraId="3AA1B52B" w14:textId="77777777" w:rsidTr="004D1EC6">
        <w:tc>
          <w:tcPr>
            <w:tcW w:w="1563" w:type="dxa"/>
            <w:tcBorders>
              <w:top w:val="nil"/>
              <w:left w:val="single" w:sz="2" w:space="0" w:color="auto"/>
              <w:bottom w:val="nil"/>
              <w:right w:val="single" w:sz="2" w:space="0" w:color="auto"/>
            </w:tcBorders>
          </w:tcPr>
          <w:p w14:paraId="2C3A9FBE" w14:textId="77777777" w:rsidR="000144FF" w:rsidRPr="006911F3" w:rsidRDefault="000144FF" w:rsidP="00786CB8">
            <w:pPr>
              <w:pStyle w:val="Reference"/>
              <w:tabs>
                <w:tab w:val="left" w:pos="3306"/>
              </w:tabs>
              <w:spacing w:after="120"/>
              <w:rPr>
                <w:rFonts w:cs="Calibri"/>
                <w:color w:val="7030A0"/>
                <w:sz w:val="22"/>
                <w:szCs w:val="22"/>
              </w:rPr>
            </w:pPr>
            <w:r w:rsidRPr="006911F3">
              <w:rPr>
                <w:rFonts w:cs="Calibri"/>
                <w:color w:val="7030A0"/>
                <w:sz w:val="22"/>
                <w:szCs w:val="22"/>
              </w:rPr>
              <w:t>Reference</w:t>
            </w:r>
          </w:p>
        </w:tc>
        <w:tc>
          <w:tcPr>
            <w:tcW w:w="8987" w:type="dxa"/>
            <w:gridSpan w:val="4"/>
            <w:tcBorders>
              <w:top w:val="nil"/>
              <w:left w:val="single" w:sz="2" w:space="0" w:color="auto"/>
              <w:bottom w:val="nil"/>
              <w:right w:val="nil"/>
            </w:tcBorders>
          </w:tcPr>
          <w:p w14:paraId="600F00E2" w14:textId="77777777" w:rsidR="000144FF" w:rsidRPr="00CF7E1B" w:rsidRDefault="003437E5" w:rsidP="00786CB8">
            <w:pPr>
              <w:spacing w:after="120"/>
              <w:rPr>
                <w:rFonts w:cs="Calibri"/>
              </w:rPr>
            </w:pPr>
            <w:r w:rsidRPr="003437E5">
              <w:rPr>
                <w:b/>
              </w:rPr>
              <w:t>Operating Statement for Output Class 3 – Environment and Heritage</w:t>
            </w:r>
          </w:p>
        </w:tc>
      </w:tr>
      <w:tr w:rsidR="000144FF" w:rsidRPr="00CF7E1B" w14:paraId="4933A505" w14:textId="77777777" w:rsidTr="004D1EC6">
        <w:tc>
          <w:tcPr>
            <w:tcW w:w="1563" w:type="dxa"/>
            <w:tcBorders>
              <w:top w:val="nil"/>
              <w:left w:val="single" w:sz="2" w:space="0" w:color="auto"/>
              <w:bottom w:val="nil"/>
              <w:right w:val="single" w:sz="2" w:space="0" w:color="auto"/>
            </w:tcBorders>
          </w:tcPr>
          <w:p w14:paraId="28BE50CD" w14:textId="2EE1C9E4" w:rsidR="000144FF" w:rsidRPr="006911F3" w:rsidRDefault="000144FF">
            <w:pPr>
              <w:pStyle w:val="Reference"/>
              <w:tabs>
                <w:tab w:val="left" w:pos="3306"/>
              </w:tabs>
              <w:spacing w:before="60"/>
              <w:rPr>
                <w:rFonts w:cs="Calibri"/>
                <w:b w:val="0"/>
                <w:bCs w:val="0"/>
                <w:color w:val="7030A0"/>
                <w:sz w:val="14"/>
                <w:szCs w:val="14"/>
              </w:rPr>
            </w:pPr>
          </w:p>
        </w:tc>
        <w:tc>
          <w:tcPr>
            <w:tcW w:w="8987" w:type="dxa"/>
            <w:gridSpan w:val="4"/>
            <w:tcBorders>
              <w:top w:val="nil"/>
              <w:left w:val="single" w:sz="2" w:space="0" w:color="auto"/>
              <w:bottom w:val="nil"/>
              <w:right w:val="nil"/>
            </w:tcBorders>
            <w:vAlign w:val="bottom"/>
          </w:tcPr>
          <w:p w14:paraId="1D470911" w14:textId="172B210C" w:rsidR="000144FF" w:rsidRPr="006911F3" w:rsidRDefault="000144FF" w:rsidP="00846578">
            <w:pPr>
              <w:pStyle w:val="CommentaryHeading"/>
              <w:tabs>
                <w:tab w:val="left" w:pos="3306"/>
              </w:tabs>
              <w:rPr>
                <w:rFonts w:cs="Calibri"/>
                <w:sz w:val="18"/>
              </w:rPr>
            </w:pPr>
            <w:r w:rsidRPr="006911F3">
              <w:rPr>
                <w:rFonts w:cs="Calibri"/>
                <w:sz w:val="18"/>
              </w:rPr>
              <w:t>Description</w:t>
            </w:r>
          </w:p>
        </w:tc>
      </w:tr>
      <w:tr w:rsidR="00846578" w:rsidRPr="00CF7E1B" w14:paraId="46918BA0" w14:textId="77777777" w:rsidTr="004D1EC6">
        <w:tc>
          <w:tcPr>
            <w:tcW w:w="1563" w:type="dxa"/>
            <w:tcBorders>
              <w:top w:val="nil"/>
              <w:left w:val="single" w:sz="2" w:space="0" w:color="auto"/>
              <w:bottom w:val="nil"/>
              <w:right w:val="single" w:sz="2" w:space="0" w:color="auto"/>
            </w:tcBorders>
          </w:tcPr>
          <w:p w14:paraId="69C8B506" w14:textId="270AF5E3" w:rsidR="00846578" w:rsidRPr="006911F3" w:rsidRDefault="00846578" w:rsidP="00B01E81">
            <w:pPr>
              <w:pStyle w:val="Reference"/>
              <w:spacing w:before="40"/>
              <w:rPr>
                <w:rFonts w:cs="Calibri"/>
                <w:b w:val="0"/>
                <w:bCs w:val="0"/>
                <w:color w:val="7030A0"/>
                <w:sz w:val="14"/>
                <w:szCs w:val="14"/>
              </w:rPr>
            </w:pPr>
            <w:r w:rsidRPr="006911F3">
              <w:rPr>
                <w:rFonts w:cs="Calibri"/>
                <w:b w:val="0"/>
                <w:bCs w:val="0"/>
                <w:color w:val="7030A0"/>
                <w:sz w:val="14"/>
                <w:szCs w:val="14"/>
              </w:rPr>
              <w:t>AASB 1052.15(a)</w:t>
            </w:r>
          </w:p>
        </w:tc>
        <w:tc>
          <w:tcPr>
            <w:tcW w:w="8987" w:type="dxa"/>
            <w:gridSpan w:val="4"/>
            <w:tcBorders>
              <w:top w:val="nil"/>
              <w:left w:val="single" w:sz="2" w:space="0" w:color="auto"/>
              <w:bottom w:val="nil"/>
              <w:right w:val="nil"/>
            </w:tcBorders>
            <w:vAlign w:val="bottom"/>
          </w:tcPr>
          <w:p w14:paraId="53D5A7C1" w14:textId="47A6AD25" w:rsidR="00846578" w:rsidRPr="006911F3" w:rsidRDefault="00846578" w:rsidP="00183BD1">
            <w:pPr>
              <w:pStyle w:val="CommentaryHeading"/>
              <w:tabs>
                <w:tab w:val="left" w:pos="3306"/>
              </w:tabs>
              <w:spacing w:before="0"/>
              <w:jc w:val="both"/>
              <w:rPr>
                <w:rFonts w:cs="Calibri"/>
                <w:sz w:val="18"/>
              </w:rPr>
            </w:pPr>
            <w:r w:rsidRPr="006911F3">
              <w:rPr>
                <w:rFonts w:cs="Calibri"/>
                <w:b w:val="0"/>
                <w:bCs w:val="0"/>
                <w:sz w:val="18"/>
              </w:rPr>
              <w:t>Output Class 3: ‘Environment and Heritage’ includes the sustainable management of natural and cultural resources and the conduct of ecological surveys and the provision of scientific advice for policy development.</w:t>
            </w:r>
            <w:r w:rsidR="00FA7C77">
              <w:rPr>
                <w:rFonts w:cs="Calibri"/>
                <w:b w:val="0"/>
                <w:bCs w:val="0"/>
                <w:sz w:val="18"/>
              </w:rPr>
              <w:t xml:space="preserve"> </w:t>
            </w:r>
            <w:r w:rsidRPr="006911F3">
              <w:rPr>
                <w:rFonts w:cs="Calibri"/>
                <w:b w:val="0"/>
                <w:bCs w:val="0"/>
                <w:sz w:val="18"/>
              </w:rPr>
              <w:t>It also includes the management of designated heritage resources, administration of heritage legislation and the provision of grants to heritage related programs.</w:t>
            </w:r>
          </w:p>
        </w:tc>
      </w:tr>
      <w:tr w:rsidR="00F82E19" w:rsidRPr="00CF7E1B" w14:paraId="1A814D50" w14:textId="77777777" w:rsidTr="004D1EC6">
        <w:tc>
          <w:tcPr>
            <w:tcW w:w="1563" w:type="dxa"/>
            <w:vMerge w:val="restart"/>
            <w:tcBorders>
              <w:top w:val="nil"/>
              <w:left w:val="single" w:sz="2" w:space="0" w:color="auto"/>
              <w:right w:val="single" w:sz="2" w:space="0" w:color="auto"/>
            </w:tcBorders>
            <w:vAlign w:val="bottom"/>
          </w:tcPr>
          <w:p w14:paraId="3A23EA99" w14:textId="7EFEBA88" w:rsidR="007F6866" w:rsidRPr="006911F3" w:rsidRDefault="00F82E19" w:rsidP="007F6866">
            <w:pPr>
              <w:pStyle w:val="TableReference"/>
              <w:tabs>
                <w:tab w:val="left" w:pos="3306"/>
              </w:tabs>
              <w:spacing w:before="40"/>
              <w:rPr>
                <w:rFonts w:cs="Calibri"/>
                <w:bCs/>
                <w:color w:val="7030A0"/>
                <w:sz w:val="14"/>
              </w:rPr>
            </w:pPr>
            <w:r w:rsidRPr="006911F3">
              <w:rPr>
                <w:rFonts w:cs="Calibri"/>
                <w:color w:val="7030A0"/>
                <w:sz w:val="14"/>
              </w:rPr>
              <w:t xml:space="preserve">FMA Section 27(3)(a) Financial Management (Periodic &amp; Annual Financial Statements) Guidelines </w:t>
            </w:r>
            <w:r w:rsidR="007F6866" w:rsidRPr="006911F3">
              <w:rPr>
                <w:rFonts w:cs="Calibri"/>
                <w:bCs/>
                <w:color w:val="7030A0"/>
                <w:sz w:val="14"/>
              </w:rPr>
              <w:t>2016</w:t>
            </w:r>
          </w:p>
          <w:p w14:paraId="2AA2AFC3" w14:textId="0D46E6A6" w:rsidR="00F82E19" w:rsidRPr="006911F3" w:rsidRDefault="00F82E19" w:rsidP="00A41EF6">
            <w:pPr>
              <w:pStyle w:val="TableReference"/>
              <w:tabs>
                <w:tab w:val="left" w:pos="3306"/>
              </w:tabs>
              <w:rPr>
                <w:rFonts w:cs="Calibri"/>
                <w:color w:val="7030A0"/>
                <w:sz w:val="14"/>
              </w:rPr>
            </w:pPr>
            <w:r w:rsidRPr="006911F3">
              <w:rPr>
                <w:rFonts w:cs="Calibri"/>
                <w:color w:val="7030A0"/>
                <w:sz w:val="14"/>
              </w:rPr>
              <w:t>Section 7(2)</w:t>
            </w:r>
          </w:p>
        </w:tc>
        <w:tc>
          <w:tcPr>
            <w:tcW w:w="5325" w:type="dxa"/>
            <w:tcBorders>
              <w:top w:val="nil"/>
              <w:left w:val="single" w:sz="2" w:space="0" w:color="auto"/>
              <w:bottom w:val="nil"/>
              <w:right w:val="nil"/>
            </w:tcBorders>
            <w:vAlign w:val="bottom"/>
          </w:tcPr>
          <w:p w14:paraId="3E3DA275" w14:textId="77777777" w:rsidR="00F82E19" w:rsidRPr="006911F3" w:rsidRDefault="00F82E19">
            <w:pPr>
              <w:pStyle w:val="TableTitle"/>
              <w:tabs>
                <w:tab w:val="left" w:pos="3306"/>
              </w:tabs>
              <w:rPr>
                <w:rFonts w:cs="Calibri"/>
              </w:rPr>
            </w:pPr>
          </w:p>
        </w:tc>
        <w:tc>
          <w:tcPr>
            <w:tcW w:w="1217" w:type="dxa"/>
            <w:tcBorders>
              <w:top w:val="nil"/>
              <w:left w:val="nil"/>
              <w:bottom w:val="nil"/>
              <w:right w:val="nil"/>
            </w:tcBorders>
            <w:vAlign w:val="bottom"/>
          </w:tcPr>
          <w:p w14:paraId="5D8E3B71" w14:textId="77777777" w:rsidR="00F82E19" w:rsidRPr="006911F3" w:rsidRDefault="00F82E19">
            <w:pPr>
              <w:pStyle w:val="TableTitle"/>
              <w:tabs>
                <w:tab w:val="left" w:pos="3306"/>
              </w:tabs>
              <w:rPr>
                <w:rFonts w:cs="Calibri"/>
              </w:rPr>
            </w:pPr>
            <w:r w:rsidRPr="006911F3">
              <w:rPr>
                <w:rFonts w:cs="Calibri"/>
              </w:rPr>
              <w:t>Actual</w:t>
            </w:r>
          </w:p>
          <w:p w14:paraId="639D527D" w14:textId="7093D187" w:rsidR="00F82E19" w:rsidRPr="006911F3" w:rsidRDefault="00F82E19" w:rsidP="001B231B">
            <w:pPr>
              <w:pStyle w:val="TableTitle"/>
              <w:tabs>
                <w:tab w:val="left" w:pos="3306"/>
              </w:tabs>
              <w:rPr>
                <w:rFonts w:cs="Calibri"/>
              </w:rPr>
            </w:pPr>
            <w:r w:rsidRPr="006911F3">
              <w:rPr>
                <w:rFonts w:cs="Calibri"/>
              </w:rPr>
              <w:t>202</w:t>
            </w:r>
            <w:r w:rsidR="00826627">
              <w:rPr>
                <w:rFonts w:cs="Calibri"/>
              </w:rPr>
              <w:t>3</w:t>
            </w:r>
          </w:p>
          <w:p w14:paraId="5F69EF47" w14:textId="77777777" w:rsidR="00F82E19" w:rsidRPr="006911F3" w:rsidRDefault="00F82E19">
            <w:pPr>
              <w:pStyle w:val="TableTitle"/>
              <w:tabs>
                <w:tab w:val="left" w:pos="3306"/>
              </w:tabs>
              <w:rPr>
                <w:rFonts w:cs="Calibri"/>
              </w:rPr>
            </w:pPr>
            <w:r w:rsidRPr="006911F3">
              <w:rPr>
                <w:rFonts w:cs="Calibri"/>
              </w:rPr>
              <w:t>$’000</w:t>
            </w:r>
          </w:p>
        </w:tc>
        <w:tc>
          <w:tcPr>
            <w:tcW w:w="1230" w:type="dxa"/>
            <w:tcBorders>
              <w:top w:val="nil"/>
              <w:left w:val="nil"/>
              <w:bottom w:val="nil"/>
              <w:right w:val="nil"/>
            </w:tcBorders>
            <w:vAlign w:val="bottom"/>
          </w:tcPr>
          <w:p w14:paraId="7E0D66E2" w14:textId="77777777" w:rsidR="00F82E19" w:rsidRPr="006911F3" w:rsidRDefault="00F82E19">
            <w:pPr>
              <w:pStyle w:val="TableTitle"/>
              <w:tabs>
                <w:tab w:val="left" w:pos="3306"/>
              </w:tabs>
              <w:rPr>
                <w:rFonts w:cs="Calibri"/>
              </w:rPr>
            </w:pPr>
            <w:r w:rsidRPr="006911F3">
              <w:rPr>
                <w:rFonts w:cs="Calibri"/>
              </w:rPr>
              <w:t>Original Budget</w:t>
            </w:r>
          </w:p>
          <w:p w14:paraId="25727701" w14:textId="58A2F214" w:rsidR="00F82E19" w:rsidRPr="006911F3" w:rsidRDefault="00F82E19" w:rsidP="001B231B">
            <w:pPr>
              <w:pStyle w:val="TableTitle"/>
              <w:tabs>
                <w:tab w:val="left" w:pos="3306"/>
              </w:tabs>
              <w:rPr>
                <w:rFonts w:cs="Calibri"/>
              </w:rPr>
            </w:pPr>
            <w:r w:rsidRPr="006911F3">
              <w:rPr>
                <w:rFonts w:cs="Calibri"/>
              </w:rPr>
              <w:t>202</w:t>
            </w:r>
            <w:r w:rsidR="00826627">
              <w:rPr>
                <w:rFonts w:cs="Calibri"/>
              </w:rPr>
              <w:t>3</w:t>
            </w:r>
          </w:p>
          <w:p w14:paraId="655F4FAB" w14:textId="77777777" w:rsidR="00F82E19" w:rsidRPr="006911F3" w:rsidRDefault="00F82E19">
            <w:pPr>
              <w:pStyle w:val="TableTitle"/>
              <w:tabs>
                <w:tab w:val="left" w:pos="3306"/>
              </w:tabs>
              <w:rPr>
                <w:rFonts w:cs="Calibri"/>
              </w:rPr>
            </w:pPr>
            <w:r w:rsidRPr="006911F3">
              <w:rPr>
                <w:rFonts w:cs="Calibri"/>
              </w:rPr>
              <w:t>$’000</w:t>
            </w:r>
          </w:p>
        </w:tc>
        <w:tc>
          <w:tcPr>
            <w:tcW w:w="1215" w:type="dxa"/>
            <w:tcBorders>
              <w:top w:val="nil"/>
              <w:left w:val="nil"/>
              <w:bottom w:val="nil"/>
              <w:right w:val="nil"/>
            </w:tcBorders>
            <w:vAlign w:val="bottom"/>
          </w:tcPr>
          <w:p w14:paraId="14804ADC" w14:textId="77777777" w:rsidR="00F82E19" w:rsidRPr="006911F3" w:rsidRDefault="00F82E19">
            <w:pPr>
              <w:pStyle w:val="TableTitle"/>
              <w:tabs>
                <w:tab w:val="left" w:pos="3306"/>
              </w:tabs>
              <w:rPr>
                <w:rFonts w:cs="Calibri"/>
              </w:rPr>
            </w:pPr>
            <w:r w:rsidRPr="006911F3">
              <w:rPr>
                <w:rFonts w:cs="Calibri"/>
              </w:rPr>
              <w:t>Actual</w:t>
            </w:r>
          </w:p>
          <w:p w14:paraId="18C49771" w14:textId="3F6014ED" w:rsidR="00F82E19" w:rsidRPr="006911F3" w:rsidRDefault="00F82E19">
            <w:pPr>
              <w:pStyle w:val="TableTitle"/>
              <w:tabs>
                <w:tab w:val="left" w:pos="3306"/>
              </w:tabs>
              <w:rPr>
                <w:rFonts w:cs="Calibri"/>
              </w:rPr>
            </w:pPr>
            <w:r w:rsidRPr="006911F3">
              <w:rPr>
                <w:rFonts w:cs="Calibri"/>
              </w:rPr>
              <w:t>202</w:t>
            </w:r>
            <w:r w:rsidR="00826627">
              <w:rPr>
                <w:rFonts w:cs="Calibri"/>
              </w:rPr>
              <w:t>2</w:t>
            </w:r>
          </w:p>
          <w:p w14:paraId="48F28266" w14:textId="77777777" w:rsidR="00F82E19" w:rsidRPr="006911F3" w:rsidRDefault="00F82E19">
            <w:pPr>
              <w:pStyle w:val="TableTitle"/>
              <w:tabs>
                <w:tab w:val="left" w:pos="3306"/>
              </w:tabs>
              <w:rPr>
                <w:rFonts w:cs="Calibri"/>
              </w:rPr>
            </w:pPr>
            <w:r w:rsidRPr="006911F3">
              <w:rPr>
                <w:rFonts w:cs="Calibri"/>
              </w:rPr>
              <w:t>$’000</w:t>
            </w:r>
          </w:p>
        </w:tc>
      </w:tr>
      <w:tr w:rsidR="00F82E19" w:rsidRPr="00CF7E1B" w14:paraId="1F585AC3" w14:textId="77777777" w:rsidTr="004D1EC6">
        <w:tc>
          <w:tcPr>
            <w:tcW w:w="1563" w:type="dxa"/>
            <w:vMerge/>
            <w:tcBorders>
              <w:top w:val="nil"/>
              <w:left w:val="single" w:sz="2" w:space="0" w:color="auto"/>
              <w:bottom w:val="nil"/>
              <w:right w:val="single" w:sz="2" w:space="0" w:color="auto"/>
            </w:tcBorders>
          </w:tcPr>
          <w:p w14:paraId="6D7FA9C3" w14:textId="77777777" w:rsidR="00F82E19" w:rsidRPr="006911F3" w:rsidRDefault="00F82E19">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55A0846A" w14:textId="77777777" w:rsidR="00F82E19" w:rsidRPr="006911F3" w:rsidRDefault="00F82E19">
            <w:pPr>
              <w:pStyle w:val="TableText"/>
              <w:tabs>
                <w:tab w:val="left" w:pos="3306"/>
              </w:tabs>
              <w:rPr>
                <w:rFonts w:cs="Calibri"/>
                <w:b/>
                <w:bCs/>
              </w:rPr>
            </w:pPr>
            <w:r w:rsidRPr="006911F3">
              <w:rPr>
                <w:rFonts w:cs="Calibri"/>
                <w:b/>
                <w:bCs/>
              </w:rPr>
              <w:t>Income</w:t>
            </w:r>
          </w:p>
        </w:tc>
        <w:tc>
          <w:tcPr>
            <w:tcW w:w="1217" w:type="dxa"/>
            <w:tcBorders>
              <w:top w:val="nil"/>
              <w:left w:val="nil"/>
              <w:bottom w:val="nil"/>
              <w:right w:val="nil"/>
            </w:tcBorders>
            <w:vAlign w:val="bottom"/>
          </w:tcPr>
          <w:p w14:paraId="0A04C9FA" w14:textId="77777777" w:rsidR="00F82E19" w:rsidRPr="006911F3" w:rsidRDefault="00F82E19">
            <w:pPr>
              <w:pStyle w:val="TableText"/>
              <w:tabs>
                <w:tab w:val="left" w:pos="3306"/>
              </w:tabs>
              <w:jc w:val="right"/>
              <w:rPr>
                <w:rFonts w:cs="Calibri"/>
              </w:rPr>
            </w:pPr>
          </w:p>
        </w:tc>
        <w:tc>
          <w:tcPr>
            <w:tcW w:w="1230" w:type="dxa"/>
            <w:tcBorders>
              <w:top w:val="nil"/>
              <w:left w:val="nil"/>
              <w:bottom w:val="nil"/>
              <w:right w:val="nil"/>
            </w:tcBorders>
            <w:vAlign w:val="bottom"/>
          </w:tcPr>
          <w:p w14:paraId="74C52BC6" w14:textId="77777777" w:rsidR="00F82E19" w:rsidRPr="006911F3" w:rsidRDefault="00F82E19">
            <w:pPr>
              <w:pStyle w:val="TableText"/>
              <w:tabs>
                <w:tab w:val="left" w:pos="3306"/>
              </w:tabs>
              <w:jc w:val="right"/>
              <w:rPr>
                <w:rFonts w:cs="Calibri"/>
              </w:rPr>
            </w:pPr>
          </w:p>
        </w:tc>
        <w:tc>
          <w:tcPr>
            <w:tcW w:w="1215" w:type="dxa"/>
            <w:tcBorders>
              <w:top w:val="nil"/>
              <w:left w:val="nil"/>
              <w:bottom w:val="nil"/>
              <w:right w:val="nil"/>
            </w:tcBorders>
            <w:vAlign w:val="bottom"/>
          </w:tcPr>
          <w:p w14:paraId="4B2D2E5C" w14:textId="77777777" w:rsidR="00F82E19" w:rsidRPr="006911F3" w:rsidRDefault="00F82E19">
            <w:pPr>
              <w:pStyle w:val="TableText"/>
              <w:tabs>
                <w:tab w:val="left" w:pos="3306"/>
              </w:tabs>
              <w:jc w:val="right"/>
              <w:rPr>
                <w:rFonts w:cs="Calibri"/>
              </w:rPr>
            </w:pPr>
          </w:p>
        </w:tc>
      </w:tr>
      <w:tr w:rsidR="0064515B" w:rsidRPr="00CF7E1B" w14:paraId="656B12BF" w14:textId="77777777" w:rsidTr="004D1EC6">
        <w:tc>
          <w:tcPr>
            <w:tcW w:w="1563" w:type="dxa"/>
            <w:tcBorders>
              <w:top w:val="nil"/>
              <w:left w:val="single" w:sz="2" w:space="0" w:color="auto"/>
              <w:bottom w:val="nil"/>
              <w:right w:val="single" w:sz="2" w:space="0" w:color="auto"/>
            </w:tcBorders>
          </w:tcPr>
          <w:p w14:paraId="1B9EAE6D" w14:textId="77777777" w:rsidR="0064515B" w:rsidRPr="006911F3" w:rsidRDefault="0064515B">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5" w:type="dxa"/>
            <w:tcBorders>
              <w:top w:val="nil"/>
              <w:left w:val="single" w:sz="2" w:space="0" w:color="auto"/>
              <w:bottom w:val="nil"/>
              <w:right w:val="nil"/>
            </w:tcBorders>
            <w:vAlign w:val="bottom"/>
          </w:tcPr>
          <w:p w14:paraId="31965F4B" w14:textId="77777777" w:rsidR="0064515B" w:rsidRPr="00A742FB" w:rsidRDefault="0064515B">
            <w:pPr>
              <w:pStyle w:val="TableText"/>
              <w:tabs>
                <w:tab w:val="left" w:pos="3306"/>
              </w:tabs>
              <w:rPr>
                <w:rFonts w:cs="Calibri"/>
                <w:i/>
                <w:iCs/>
                <w:strike/>
              </w:rPr>
            </w:pPr>
            <w:r w:rsidRPr="00A742FB">
              <w:rPr>
                <w:rFonts w:cs="Calibri"/>
                <w:i/>
                <w:iCs/>
                <w:strike/>
                <w:color w:val="FF0000"/>
              </w:rPr>
              <w:t>Revenue</w:t>
            </w:r>
          </w:p>
        </w:tc>
        <w:tc>
          <w:tcPr>
            <w:tcW w:w="1217" w:type="dxa"/>
            <w:tcBorders>
              <w:top w:val="nil"/>
              <w:left w:val="nil"/>
              <w:bottom w:val="nil"/>
              <w:right w:val="nil"/>
            </w:tcBorders>
            <w:vAlign w:val="bottom"/>
          </w:tcPr>
          <w:p w14:paraId="70D295F6" w14:textId="77777777" w:rsidR="0064515B" w:rsidRPr="006911F3" w:rsidRDefault="0064515B">
            <w:pPr>
              <w:pStyle w:val="TableText"/>
              <w:tabs>
                <w:tab w:val="left" w:pos="3306"/>
              </w:tabs>
              <w:jc w:val="right"/>
              <w:rPr>
                <w:rFonts w:cs="Calibri"/>
              </w:rPr>
            </w:pPr>
          </w:p>
        </w:tc>
        <w:tc>
          <w:tcPr>
            <w:tcW w:w="1230" w:type="dxa"/>
            <w:tcBorders>
              <w:top w:val="nil"/>
              <w:left w:val="nil"/>
              <w:bottom w:val="nil"/>
              <w:right w:val="nil"/>
            </w:tcBorders>
            <w:vAlign w:val="bottom"/>
          </w:tcPr>
          <w:p w14:paraId="59CFF6C7" w14:textId="77777777" w:rsidR="0064515B" w:rsidRPr="006911F3" w:rsidRDefault="0064515B">
            <w:pPr>
              <w:pStyle w:val="TableText"/>
              <w:tabs>
                <w:tab w:val="left" w:pos="3306"/>
              </w:tabs>
              <w:jc w:val="right"/>
              <w:rPr>
                <w:rFonts w:cs="Calibri"/>
              </w:rPr>
            </w:pPr>
          </w:p>
        </w:tc>
        <w:tc>
          <w:tcPr>
            <w:tcW w:w="1215" w:type="dxa"/>
            <w:tcBorders>
              <w:top w:val="nil"/>
              <w:left w:val="nil"/>
              <w:bottom w:val="nil"/>
              <w:right w:val="nil"/>
            </w:tcBorders>
            <w:vAlign w:val="bottom"/>
          </w:tcPr>
          <w:p w14:paraId="1A3B063D" w14:textId="77777777" w:rsidR="0064515B" w:rsidRPr="006911F3" w:rsidRDefault="0064515B">
            <w:pPr>
              <w:pStyle w:val="TableText"/>
              <w:tabs>
                <w:tab w:val="left" w:pos="3306"/>
              </w:tabs>
              <w:jc w:val="right"/>
              <w:rPr>
                <w:rFonts w:cs="Calibri"/>
              </w:rPr>
            </w:pPr>
          </w:p>
        </w:tc>
      </w:tr>
      <w:tr w:rsidR="0064515B" w:rsidRPr="00CF7E1B" w14:paraId="7CBF1FEE" w14:textId="77777777" w:rsidTr="004D1EC6">
        <w:tc>
          <w:tcPr>
            <w:tcW w:w="1563" w:type="dxa"/>
            <w:tcBorders>
              <w:top w:val="nil"/>
              <w:left w:val="single" w:sz="2" w:space="0" w:color="auto"/>
              <w:bottom w:val="nil"/>
              <w:right w:val="single" w:sz="2" w:space="0" w:color="auto"/>
            </w:tcBorders>
          </w:tcPr>
          <w:p w14:paraId="57BB1941" w14:textId="77777777" w:rsidR="0064515B" w:rsidRPr="006911F3" w:rsidRDefault="00385877">
            <w:pPr>
              <w:pStyle w:val="TableReference"/>
              <w:tabs>
                <w:tab w:val="left" w:pos="3306"/>
              </w:tabs>
              <w:spacing w:before="60"/>
              <w:rPr>
                <w:rFonts w:cs="Calibri"/>
                <w:color w:val="7030A0"/>
                <w:sz w:val="14"/>
              </w:rPr>
            </w:pPr>
            <w:r w:rsidRPr="006911F3">
              <w:rPr>
                <w:rFonts w:cs="Calibri"/>
                <w:color w:val="7030A0"/>
                <w:sz w:val="14"/>
              </w:rPr>
              <w:t>AASB 1052</w:t>
            </w:r>
            <w:r w:rsidR="00D65811" w:rsidRPr="006911F3">
              <w:rPr>
                <w:rFonts w:cs="Calibri"/>
                <w:color w:val="7030A0"/>
                <w:sz w:val="14"/>
              </w:rPr>
              <w:t>.</w:t>
            </w:r>
            <w:r w:rsidRPr="006911F3">
              <w:rPr>
                <w:rFonts w:cs="Calibri"/>
                <w:color w:val="7030A0"/>
                <w:sz w:val="14"/>
              </w:rPr>
              <w:t>15(d)</w:t>
            </w:r>
          </w:p>
        </w:tc>
        <w:tc>
          <w:tcPr>
            <w:tcW w:w="5325" w:type="dxa"/>
            <w:tcBorders>
              <w:top w:val="nil"/>
              <w:left w:val="single" w:sz="2" w:space="0" w:color="auto"/>
              <w:bottom w:val="nil"/>
              <w:right w:val="nil"/>
            </w:tcBorders>
            <w:vAlign w:val="bottom"/>
          </w:tcPr>
          <w:p w14:paraId="3FC4B3B8" w14:textId="77777777" w:rsidR="0064515B" w:rsidRPr="006911F3" w:rsidRDefault="009514AA">
            <w:pPr>
              <w:pStyle w:val="TableText"/>
              <w:tabs>
                <w:tab w:val="left" w:pos="3306"/>
              </w:tabs>
              <w:rPr>
                <w:rFonts w:cs="Calibri"/>
                <w:strike/>
              </w:rPr>
            </w:pPr>
            <w:r w:rsidRPr="006911F3">
              <w:rPr>
                <w:rFonts w:cs="Calibri"/>
              </w:rPr>
              <w:t>Controlled Recurrent Payments</w:t>
            </w:r>
          </w:p>
        </w:tc>
        <w:tc>
          <w:tcPr>
            <w:tcW w:w="1217" w:type="dxa"/>
            <w:tcBorders>
              <w:top w:val="nil"/>
              <w:left w:val="nil"/>
              <w:bottom w:val="nil"/>
              <w:right w:val="nil"/>
            </w:tcBorders>
            <w:vAlign w:val="bottom"/>
          </w:tcPr>
          <w:p w14:paraId="782F8344" w14:textId="77777777" w:rsidR="0064515B" w:rsidRPr="006911F3" w:rsidRDefault="0064515B">
            <w:pPr>
              <w:pStyle w:val="TableText"/>
              <w:tabs>
                <w:tab w:val="left" w:pos="3306"/>
              </w:tabs>
              <w:jc w:val="right"/>
              <w:rPr>
                <w:rFonts w:cs="Calibri"/>
              </w:rPr>
            </w:pPr>
          </w:p>
        </w:tc>
        <w:tc>
          <w:tcPr>
            <w:tcW w:w="1230" w:type="dxa"/>
            <w:tcBorders>
              <w:top w:val="nil"/>
              <w:left w:val="nil"/>
              <w:bottom w:val="nil"/>
              <w:right w:val="nil"/>
            </w:tcBorders>
            <w:vAlign w:val="bottom"/>
          </w:tcPr>
          <w:p w14:paraId="51CBB758" w14:textId="77777777" w:rsidR="0064515B" w:rsidRPr="006911F3" w:rsidRDefault="0064515B">
            <w:pPr>
              <w:pStyle w:val="TableText"/>
              <w:tabs>
                <w:tab w:val="left" w:pos="3306"/>
              </w:tabs>
              <w:jc w:val="right"/>
              <w:rPr>
                <w:rFonts w:cs="Calibri"/>
              </w:rPr>
            </w:pPr>
          </w:p>
        </w:tc>
        <w:tc>
          <w:tcPr>
            <w:tcW w:w="1215" w:type="dxa"/>
            <w:tcBorders>
              <w:top w:val="nil"/>
              <w:left w:val="nil"/>
              <w:bottom w:val="nil"/>
              <w:right w:val="nil"/>
            </w:tcBorders>
            <w:vAlign w:val="bottom"/>
          </w:tcPr>
          <w:p w14:paraId="0F459DB0" w14:textId="77777777" w:rsidR="0064515B" w:rsidRPr="006911F3" w:rsidRDefault="0064515B">
            <w:pPr>
              <w:pStyle w:val="TableText"/>
              <w:tabs>
                <w:tab w:val="left" w:pos="3306"/>
              </w:tabs>
              <w:jc w:val="right"/>
              <w:rPr>
                <w:rFonts w:cs="Calibri"/>
              </w:rPr>
            </w:pPr>
          </w:p>
        </w:tc>
      </w:tr>
      <w:tr w:rsidR="00421D32" w:rsidRPr="00CF7E1B" w14:paraId="2B871ADC" w14:textId="77777777" w:rsidTr="004D1EC6">
        <w:tc>
          <w:tcPr>
            <w:tcW w:w="1563" w:type="dxa"/>
            <w:tcBorders>
              <w:top w:val="nil"/>
              <w:left w:val="single" w:sz="2" w:space="0" w:color="auto"/>
              <w:bottom w:val="nil"/>
              <w:right w:val="single" w:sz="2" w:space="0" w:color="auto"/>
            </w:tcBorders>
          </w:tcPr>
          <w:p w14:paraId="45C2F0BD" w14:textId="0C4265DD" w:rsidR="00421D32" w:rsidRPr="006911F3" w:rsidRDefault="00421D32"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29A66FD" w14:textId="1B40FD2D" w:rsidR="00421D32" w:rsidRPr="006911F3" w:rsidRDefault="00197E49" w:rsidP="00421D32">
            <w:pPr>
              <w:pStyle w:val="TableText"/>
              <w:tabs>
                <w:tab w:val="left" w:pos="3306"/>
              </w:tabs>
              <w:rPr>
                <w:rFonts w:cs="Calibri"/>
              </w:rPr>
            </w:pPr>
            <w:r w:rsidRPr="006911F3">
              <w:rPr>
                <w:rFonts w:cs="Calibri"/>
              </w:rPr>
              <w:t xml:space="preserve">Sales of Goods and Services </w:t>
            </w:r>
            <w:r w:rsidR="00421D32" w:rsidRPr="006911F3">
              <w:rPr>
                <w:rFonts w:cs="Calibri"/>
              </w:rPr>
              <w:t>from Contracts with Customers</w:t>
            </w:r>
          </w:p>
        </w:tc>
        <w:tc>
          <w:tcPr>
            <w:tcW w:w="1217" w:type="dxa"/>
            <w:tcBorders>
              <w:top w:val="nil"/>
              <w:left w:val="nil"/>
              <w:bottom w:val="nil"/>
              <w:right w:val="nil"/>
            </w:tcBorders>
            <w:vAlign w:val="bottom"/>
          </w:tcPr>
          <w:p w14:paraId="586DDA11" w14:textId="77777777" w:rsidR="00421D32" w:rsidRPr="006911F3" w:rsidRDefault="00421D32" w:rsidP="00421D32">
            <w:pPr>
              <w:pStyle w:val="TableText"/>
              <w:tabs>
                <w:tab w:val="left" w:pos="3306"/>
              </w:tabs>
              <w:jc w:val="right"/>
              <w:rPr>
                <w:rFonts w:cs="Calibri"/>
              </w:rPr>
            </w:pPr>
          </w:p>
        </w:tc>
        <w:tc>
          <w:tcPr>
            <w:tcW w:w="1230" w:type="dxa"/>
            <w:tcBorders>
              <w:top w:val="nil"/>
              <w:left w:val="nil"/>
              <w:bottom w:val="nil"/>
              <w:right w:val="nil"/>
            </w:tcBorders>
            <w:vAlign w:val="bottom"/>
          </w:tcPr>
          <w:p w14:paraId="09539612" w14:textId="77777777" w:rsidR="00421D32" w:rsidRPr="006911F3" w:rsidRDefault="00421D32" w:rsidP="00421D32">
            <w:pPr>
              <w:pStyle w:val="TableText"/>
              <w:tabs>
                <w:tab w:val="left" w:pos="3306"/>
              </w:tabs>
              <w:jc w:val="right"/>
              <w:rPr>
                <w:rFonts w:cs="Calibri"/>
              </w:rPr>
            </w:pPr>
          </w:p>
        </w:tc>
        <w:tc>
          <w:tcPr>
            <w:tcW w:w="1215" w:type="dxa"/>
            <w:tcBorders>
              <w:top w:val="nil"/>
              <w:left w:val="nil"/>
              <w:bottom w:val="nil"/>
              <w:right w:val="nil"/>
            </w:tcBorders>
            <w:vAlign w:val="bottom"/>
          </w:tcPr>
          <w:p w14:paraId="66B0E67C" w14:textId="77777777" w:rsidR="00421D32" w:rsidRPr="006911F3" w:rsidRDefault="00421D32" w:rsidP="00421D32">
            <w:pPr>
              <w:pStyle w:val="TableText"/>
              <w:tabs>
                <w:tab w:val="left" w:pos="3306"/>
              </w:tabs>
              <w:jc w:val="right"/>
              <w:rPr>
                <w:rFonts w:cs="Calibri"/>
              </w:rPr>
            </w:pPr>
          </w:p>
        </w:tc>
      </w:tr>
      <w:tr w:rsidR="00B92775" w:rsidRPr="00CF7E1B" w14:paraId="365913F1" w14:textId="77777777" w:rsidTr="004D1EC6">
        <w:tc>
          <w:tcPr>
            <w:tcW w:w="1563" w:type="dxa"/>
            <w:tcBorders>
              <w:top w:val="nil"/>
              <w:left w:val="single" w:sz="2" w:space="0" w:color="auto"/>
              <w:bottom w:val="nil"/>
              <w:right w:val="single" w:sz="2" w:space="0" w:color="auto"/>
            </w:tcBorders>
          </w:tcPr>
          <w:p w14:paraId="18040B5C" w14:textId="3EB19B40"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E34778D" w14:textId="4B0AF81B" w:rsidR="00B92775" w:rsidRPr="006911F3" w:rsidRDefault="00B92775" w:rsidP="00B92775">
            <w:pPr>
              <w:pStyle w:val="TableText"/>
              <w:tabs>
                <w:tab w:val="left" w:pos="3306"/>
              </w:tabs>
              <w:rPr>
                <w:rFonts w:cs="Calibri"/>
              </w:rPr>
            </w:pPr>
            <w:r w:rsidRPr="006911F3">
              <w:rPr>
                <w:rFonts w:cs="Calibri"/>
              </w:rPr>
              <w:t>Grants and Contributions Revenue</w:t>
            </w:r>
          </w:p>
        </w:tc>
        <w:tc>
          <w:tcPr>
            <w:tcW w:w="1217" w:type="dxa"/>
            <w:tcBorders>
              <w:top w:val="nil"/>
              <w:left w:val="nil"/>
              <w:bottom w:val="nil"/>
              <w:right w:val="nil"/>
            </w:tcBorders>
            <w:vAlign w:val="bottom"/>
          </w:tcPr>
          <w:p w14:paraId="6DDB3FBA"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0F28A4CE"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5472B69" w14:textId="77777777" w:rsidR="00B92775" w:rsidRPr="006911F3" w:rsidRDefault="00B92775" w:rsidP="00B92775">
            <w:pPr>
              <w:pStyle w:val="TableText"/>
              <w:tabs>
                <w:tab w:val="left" w:pos="3306"/>
              </w:tabs>
              <w:jc w:val="right"/>
              <w:rPr>
                <w:rFonts w:cs="Calibri"/>
              </w:rPr>
            </w:pPr>
          </w:p>
        </w:tc>
      </w:tr>
      <w:tr w:rsidR="00B92775" w:rsidRPr="00CF7E1B" w14:paraId="25A8DD0B" w14:textId="77777777" w:rsidTr="004D1EC6">
        <w:tc>
          <w:tcPr>
            <w:tcW w:w="1563" w:type="dxa"/>
            <w:tcBorders>
              <w:top w:val="nil"/>
              <w:left w:val="single" w:sz="2" w:space="0" w:color="auto"/>
              <w:bottom w:val="nil"/>
              <w:right w:val="single" w:sz="2" w:space="0" w:color="auto"/>
            </w:tcBorders>
          </w:tcPr>
          <w:p w14:paraId="0DE359A1" w14:textId="443B2B66"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5F237B9" w14:textId="1D3D133B" w:rsidR="00B92775" w:rsidRPr="006911F3" w:rsidRDefault="00B92775" w:rsidP="00B92775">
            <w:pPr>
              <w:pStyle w:val="TableText"/>
              <w:tabs>
                <w:tab w:val="left" w:pos="3306"/>
              </w:tabs>
              <w:rPr>
                <w:rFonts w:cs="Calibri"/>
              </w:rPr>
            </w:pPr>
            <w:r w:rsidRPr="006911F3">
              <w:rPr>
                <w:rFonts w:cs="Calibri"/>
              </w:rPr>
              <w:t>Investment Revenue</w:t>
            </w:r>
          </w:p>
        </w:tc>
        <w:tc>
          <w:tcPr>
            <w:tcW w:w="1217" w:type="dxa"/>
            <w:tcBorders>
              <w:top w:val="nil"/>
              <w:left w:val="nil"/>
              <w:bottom w:val="nil"/>
              <w:right w:val="nil"/>
            </w:tcBorders>
            <w:vAlign w:val="bottom"/>
          </w:tcPr>
          <w:p w14:paraId="1850A3EE"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68AD8E44"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537B85E" w14:textId="77777777" w:rsidR="00B92775" w:rsidRPr="006911F3" w:rsidRDefault="00B92775" w:rsidP="00B92775">
            <w:pPr>
              <w:pStyle w:val="TableText"/>
              <w:tabs>
                <w:tab w:val="left" w:pos="3306"/>
              </w:tabs>
              <w:jc w:val="right"/>
              <w:rPr>
                <w:rFonts w:cs="Calibri"/>
              </w:rPr>
            </w:pPr>
          </w:p>
        </w:tc>
      </w:tr>
      <w:tr w:rsidR="00636A09" w:rsidRPr="00CF7E1B" w14:paraId="661C9E82" w14:textId="77777777" w:rsidTr="004D1EC6">
        <w:tc>
          <w:tcPr>
            <w:tcW w:w="1563" w:type="dxa"/>
            <w:tcBorders>
              <w:top w:val="nil"/>
              <w:left w:val="single" w:sz="2" w:space="0" w:color="auto"/>
              <w:bottom w:val="nil"/>
              <w:right w:val="single" w:sz="2" w:space="0" w:color="auto"/>
            </w:tcBorders>
          </w:tcPr>
          <w:p w14:paraId="05296318" w14:textId="7027C4E2" w:rsidR="00636A09" w:rsidRPr="006911F3" w:rsidRDefault="00636A09"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1FCB4FC9" w14:textId="113D8471" w:rsidR="00636A09" w:rsidRPr="006911F3" w:rsidRDefault="00636A09" w:rsidP="00B92775">
            <w:pPr>
              <w:pStyle w:val="TableText"/>
              <w:tabs>
                <w:tab w:val="left" w:pos="3306"/>
              </w:tabs>
              <w:rPr>
                <w:rFonts w:cs="Calibri"/>
              </w:rPr>
            </w:pPr>
            <w:r w:rsidRPr="006911F3">
              <w:rPr>
                <w:rFonts w:cs="Calibri"/>
              </w:rPr>
              <w:t>Interest Revenue</w:t>
            </w:r>
          </w:p>
        </w:tc>
        <w:tc>
          <w:tcPr>
            <w:tcW w:w="1217" w:type="dxa"/>
            <w:tcBorders>
              <w:top w:val="nil"/>
              <w:left w:val="nil"/>
              <w:bottom w:val="nil"/>
              <w:right w:val="nil"/>
            </w:tcBorders>
            <w:vAlign w:val="bottom"/>
          </w:tcPr>
          <w:p w14:paraId="55C0911C" w14:textId="77777777" w:rsidR="00636A09" w:rsidRPr="006911F3" w:rsidRDefault="00636A09"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578BB6C3" w14:textId="77777777" w:rsidR="00636A09" w:rsidRPr="006911F3" w:rsidRDefault="00636A09"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5EF3DA5" w14:textId="77777777" w:rsidR="00636A09" w:rsidRPr="006911F3" w:rsidRDefault="00636A09" w:rsidP="00B92775">
            <w:pPr>
              <w:pStyle w:val="TableText"/>
              <w:tabs>
                <w:tab w:val="left" w:pos="3306"/>
              </w:tabs>
              <w:jc w:val="right"/>
              <w:rPr>
                <w:rFonts w:cs="Calibri"/>
              </w:rPr>
            </w:pPr>
          </w:p>
        </w:tc>
      </w:tr>
      <w:tr w:rsidR="00B92775" w:rsidRPr="00CF7E1B" w14:paraId="0BF4FF60" w14:textId="77777777" w:rsidTr="004D1EC6">
        <w:tc>
          <w:tcPr>
            <w:tcW w:w="1563" w:type="dxa"/>
            <w:tcBorders>
              <w:top w:val="nil"/>
              <w:left w:val="single" w:sz="2" w:space="0" w:color="auto"/>
              <w:bottom w:val="nil"/>
              <w:right w:val="single" w:sz="2" w:space="0" w:color="auto"/>
            </w:tcBorders>
          </w:tcPr>
          <w:p w14:paraId="12E09EE0" w14:textId="0199E76C" w:rsidR="00B92775" w:rsidRPr="00A742FB" w:rsidRDefault="00B92775" w:rsidP="00B92775">
            <w:pPr>
              <w:pStyle w:val="TableReference"/>
              <w:tabs>
                <w:tab w:val="left" w:pos="3306"/>
              </w:tabs>
              <w:spacing w:before="60"/>
              <w:rPr>
                <w:rFonts w:cs="Calibri"/>
                <w:strike/>
                <w:color w:val="FF0000"/>
                <w:sz w:val="14"/>
              </w:rPr>
            </w:pPr>
            <w:r w:rsidRPr="00A742FB">
              <w:rPr>
                <w:rFonts w:cs="Calibri"/>
                <w:strike/>
                <w:color w:val="FF0000"/>
                <w:sz w:val="14"/>
              </w:rPr>
              <w:t>AASB 1052.15(d)</w:t>
            </w:r>
          </w:p>
        </w:tc>
        <w:tc>
          <w:tcPr>
            <w:tcW w:w="5325" w:type="dxa"/>
            <w:tcBorders>
              <w:top w:val="nil"/>
              <w:left w:val="single" w:sz="2" w:space="0" w:color="auto"/>
              <w:bottom w:val="nil"/>
              <w:right w:val="nil"/>
            </w:tcBorders>
            <w:vAlign w:val="bottom"/>
          </w:tcPr>
          <w:p w14:paraId="4E3BB75D" w14:textId="084FCBEB" w:rsidR="00B92775" w:rsidRPr="00A742FB" w:rsidRDefault="00B92775" w:rsidP="00B92775">
            <w:pPr>
              <w:pStyle w:val="TableText"/>
              <w:tabs>
                <w:tab w:val="left" w:pos="3306"/>
              </w:tabs>
              <w:rPr>
                <w:rFonts w:cs="Calibri"/>
                <w:strike/>
                <w:color w:val="FF0000"/>
              </w:rPr>
            </w:pPr>
            <w:r w:rsidRPr="00A742FB">
              <w:rPr>
                <w:rFonts w:cs="Calibri"/>
                <w:strike/>
                <w:color w:val="FF0000"/>
              </w:rPr>
              <w:t>Other Revenue</w:t>
            </w:r>
          </w:p>
        </w:tc>
        <w:tc>
          <w:tcPr>
            <w:tcW w:w="1217" w:type="dxa"/>
            <w:tcBorders>
              <w:top w:val="nil"/>
              <w:left w:val="nil"/>
              <w:bottom w:val="single" w:sz="4" w:space="0" w:color="auto"/>
              <w:right w:val="nil"/>
            </w:tcBorders>
            <w:vAlign w:val="bottom"/>
          </w:tcPr>
          <w:p w14:paraId="63F6494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7A65B7C7"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2B4833B9" w14:textId="77777777" w:rsidR="00B92775" w:rsidRPr="006911F3" w:rsidRDefault="00B92775" w:rsidP="00B92775">
            <w:pPr>
              <w:pStyle w:val="TableText"/>
              <w:tabs>
                <w:tab w:val="left" w:pos="3306"/>
              </w:tabs>
              <w:jc w:val="right"/>
              <w:rPr>
                <w:rFonts w:cs="Calibri"/>
              </w:rPr>
            </w:pPr>
          </w:p>
        </w:tc>
      </w:tr>
      <w:tr w:rsidR="00B92775" w:rsidRPr="00CF7E1B" w14:paraId="599005E7" w14:textId="77777777" w:rsidTr="004D1EC6">
        <w:tc>
          <w:tcPr>
            <w:tcW w:w="1563" w:type="dxa"/>
            <w:tcBorders>
              <w:top w:val="nil"/>
              <w:left w:val="single" w:sz="2" w:space="0" w:color="auto"/>
              <w:bottom w:val="nil"/>
              <w:right w:val="single" w:sz="2" w:space="0" w:color="auto"/>
            </w:tcBorders>
          </w:tcPr>
          <w:p w14:paraId="4503E814" w14:textId="77777777" w:rsidR="00B92775" w:rsidRPr="00A742FB" w:rsidRDefault="00B92775" w:rsidP="00B92775">
            <w:pPr>
              <w:pStyle w:val="TableReference"/>
              <w:tabs>
                <w:tab w:val="left" w:pos="3306"/>
              </w:tabs>
              <w:spacing w:before="40"/>
              <w:rPr>
                <w:rFonts w:cs="Calibri"/>
                <w:strike/>
                <w:color w:val="FF0000"/>
                <w:sz w:val="14"/>
              </w:rPr>
            </w:pPr>
          </w:p>
        </w:tc>
        <w:tc>
          <w:tcPr>
            <w:tcW w:w="5325" w:type="dxa"/>
            <w:tcBorders>
              <w:top w:val="nil"/>
              <w:left w:val="single" w:sz="2" w:space="0" w:color="auto"/>
              <w:bottom w:val="nil"/>
              <w:right w:val="nil"/>
            </w:tcBorders>
            <w:vAlign w:val="bottom"/>
          </w:tcPr>
          <w:p w14:paraId="41EB1737" w14:textId="77777777" w:rsidR="00B92775" w:rsidRPr="00A742FB" w:rsidRDefault="00B92775" w:rsidP="00B92775">
            <w:pPr>
              <w:pStyle w:val="TableText"/>
              <w:tabs>
                <w:tab w:val="left" w:pos="3306"/>
              </w:tabs>
              <w:rPr>
                <w:rFonts w:cs="Calibri"/>
                <w:i/>
                <w:iCs/>
                <w:strike/>
                <w:color w:val="FF0000"/>
              </w:rPr>
            </w:pPr>
            <w:r w:rsidRPr="00A742FB">
              <w:rPr>
                <w:rFonts w:cs="Calibri"/>
                <w:i/>
                <w:iCs/>
                <w:strike/>
                <w:color w:val="FF0000"/>
              </w:rPr>
              <w:t>Total Revenue</w:t>
            </w:r>
          </w:p>
        </w:tc>
        <w:tc>
          <w:tcPr>
            <w:tcW w:w="1217" w:type="dxa"/>
            <w:tcBorders>
              <w:top w:val="single" w:sz="4" w:space="0" w:color="auto"/>
              <w:left w:val="nil"/>
              <w:bottom w:val="nil"/>
              <w:right w:val="nil"/>
            </w:tcBorders>
            <w:vAlign w:val="bottom"/>
          </w:tcPr>
          <w:p w14:paraId="72E66B8C"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0CB8E082"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2B899E70" w14:textId="77777777" w:rsidR="00B92775" w:rsidRPr="006911F3" w:rsidRDefault="00B92775" w:rsidP="00B92775">
            <w:pPr>
              <w:pStyle w:val="TableText"/>
              <w:tabs>
                <w:tab w:val="left" w:pos="3306"/>
              </w:tabs>
              <w:jc w:val="right"/>
              <w:rPr>
                <w:rFonts w:cs="Calibri"/>
              </w:rPr>
            </w:pPr>
          </w:p>
        </w:tc>
      </w:tr>
      <w:tr w:rsidR="00B92775" w:rsidRPr="00CF7E1B" w14:paraId="30C77F31" w14:textId="77777777" w:rsidTr="004D1EC6">
        <w:tc>
          <w:tcPr>
            <w:tcW w:w="1563" w:type="dxa"/>
            <w:tcBorders>
              <w:top w:val="nil"/>
              <w:left w:val="single" w:sz="2" w:space="0" w:color="auto"/>
              <w:bottom w:val="nil"/>
              <w:right w:val="single" w:sz="2" w:space="0" w:color="auto"/>
            </w:tcBorders>
          </w:tcPr>
          <w:p w14:paraId="44BDE52C" w14:textId="77777777" w:rsidR="00B92775" w:rsidRPr="00A742FB" w:rsidRDefault="00B92775" w:rsidP="00B92775">
            <w:pPr>
              <w:pStyle w:val="TableReference"/>
              <w:tabs>
                <w:tab w:val="left" w:pos="3306"/>
              </w:tabs>
              <w:spacing w:before="40"/>
              <w:rPr>
                <w:rFonts w:cs="Calibri"/>
                <w:strike/>
                <w:color w:val="FF0000"/>
                <w:sz w:val="14"/>
              </w:rPr>
            </w:pPr>
            <w:r w:rsidRPr="00A742FB">
              <w:rPr>
                <w:rFonts w:cs="Calibri"/>
                <w:strike/>
                <w:color w:val="FF0000"/>
                <w:sz w:val="14"/>
              </w:rPr>
              <w:t xml:space="preserve"> </w:t>
            </w:r>
          </w:p>
        </w:tc>
        <w:tc>
          <w:tcPr>
            <w:tcW w:w="5325" w:type="dxa"/>
            <w:tcBorders>
              <w:top w:val="nil"/>
              <w:left w:val="single" w:sz="2" w:space="0" w:color="auto"/>
              <w:bottom w:val="nil"/>
              <w:right w:val="nil"/>
            </w:tcBorders>
            <w:vAlign w:val="bottom"/>
          </w:tcPr>
          <w:p w14:paraId="440D9E67" w14:textId="77777777" w:rsidR="00B92775" w:rsidRPr="00A742FB" w:rsidRDefault="00B92775" w:rsidP="00B92775">
            <w:pPr>
              <w:pStyle w:val="TableText"/>
              <w:tabs>
                <w:tab w:val="left" w:pos="3306"/>
              </w:tabs>
              <w:rPr>
                <w:rFonts w:cs="Calibri"/>
                <w:i/>
                <w:iCs/>
                <w:strike/>
                <w:color w:val="FF0000"/>
              </w:rPr>
            </w:pPr>
            <w:r w:rsidRPr="00A742FB">
              <w:rPr>
                <w:rFonts w:cs="Calibri"/>
                <w:i/>
                <w:iCs/>
                <w:strike/>
                <w:color w:val="FF0000"/>
              </w:rPr>
              <w:t>Gains</w:t>
            </w:r>
          </w:p>
        </w:tc>
        <w:tc>
          <w:tcPr>
            <w:tcW w:w="1217" w:type="dxa"/>
            <w:tcBorders>
              <w:top w:val="nil"/>
              <w:left w:val="nil"/>
              <w:bottom w:val="nil"/>
              <w:right w:val="nil"/>
            </w:tcBorders>
            <w:vAlign w:val="bottom"/>
          </w:tcPr>
          <w:p w14:paraId="5982B1F4" w14:textId="77777777" w:rsidR="00B92775" w:rsidRPr="006911F3" w:rsidRDefault="00B92775" w:rsidP="00B92775">
            <w:pPr>
              <w:pStyle w:val="TableText"/>
              <w:tabs>
                <w:tab w:val="left" w:pos="3306"/>
              </w:tabs>
              <w:jc w:val="right"/>
              <w:rPr>
                <w:rFonts w:cs="Calibri"/>
                <w:b/>
                <w:bCs/>
              </w:rPr>
            </w:pPr>
          </w:p>
        </w:tc>
        <w:tc>
          <w:tcPr>
            <w:tcW w:w="1230" w:type="dxa"/>
            <w:tcBorders>
              <w:top w:val="nil"/>
              <w:left w:val="nil"/>
              <w:bottom w:val="nil"/>
              <w:right w:val="nil"/>
            </w:tcBorders>
            <w:vAlign w:val="bottom"/>
          </w:tcPr>
          <w:p w14:paraId="05F1C3FF" w14:textId="77777777" w:rsidR="00B92775" w:rsidRPr="006911F3" w:rsidRDefault="00B92775" w:rsidP="00B92775">
            <w:pPr>
              <w:pStyle w:val="TableText"/>
              <w:tabs>
                <w:tab w:val="left" w:pos="3306"/>
              </w:tabs>
              <w:jc w:val="right"/>
              <w:rPr>
                <w:rFonts w:cs="Calibri"/>
                <w:b/>
                <w:bCs/>
              </w:rPr>
            </w:pPr>
          </w:p>
        </w:tc>
        <w:tc>
          <w:tcPr>
            <w:tcW w:w="1215" w:type="dxa"/>
            <w:tcBorders>
              <w:top w:val="nil"/>
              <w:left w:val="nil"/>
              <w:bottom w:val="nil"/>
              <w:right w:val="nil"/>
            </w:tcBorders>
            <w:vAlign w:val="bottom"/>
          </w:tcPr>
          <w:p w14:paraId="26F8C5C3" w14:textId="77777777" w:rsidR="00B92775" w:rsidRPr="006911F3" w:rsidRDefault="00B92775" w:rsidP="00B92775">
            <w:pPr>
              <w:pStyle w:val="TableText"/>
              <w:tabs>
                <w:tab w:val="left" w:pos="3306"/>
              </w:tabs>
              <w:jc w:val="right"/>
              <w:rPr>
                <w:rFonts w:cs="Calibri"/>
                <w:b/>
                <w:bCs/>
              </w:rPr>
            </w:pPr>
          </w:p>
        </w:tc>
      </w:tr>
      <w:tr w:rsidR="00B92775" w:rsidRPr="00CF7E1B" w14:paraId="7A24C82F" w14:textId="77777777" w:rsidTr="004D1EC6">
        <w:tc>
          <w:tcPr>
            <w:tcW w:w="1563" w:type="dxa"/>
            <w:tcBorders>
              <w:top w:val="nil"/>
              <w:left w:val="single" w:sz="2" w:space="0" w:color="auto"/>
              <w:bottom w:val="nil"/>
              <w:right w:val="single" w:sz="2" w:space="0" w:color="auto"/>
            </w:tcBorders>
          </w:tcPr>
          <w:p w14:paraId="22CA138C" w14:textId="784B187D" w:rsidR="00B92775" w:rsidRPr="006911F3" w:rsidRDefault="00B92775" w:rsidP="00B92775">
            <w:pPr>
              <w:pStyle w:val="TableReference"/>
              <w:tabs>
                <w:tab w:val="left" w:pos="3306"/>
              </w:tabs>
              <w:spacing w:before="4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3D5C9E54" w14:textId="7F0CE4C9" w:rsidR="00B92775" w:rsidRPr="006911F3" w:rsidRDefault="00B92775" w:rsidP="00B92775">
            <w:pPr>
              <w:pStyle w:val="TableText"/>
              <w:tabs>
                <w:tab w:val="left" w:pos="3306"/>
              </w:tabs>
              <w:rPr>
                <w:rFonts w:cs="Calibri"/>
                <w:i/>
                <w:iCs/>
              </w:rPr>
            </w:pPr>
            <w:r w:rsidRPr="006911F3">
              <w:rPr>
                <w:rFonts w:cs="Calibri"/>
                <w:iCs/>
              </w:rPr>
              <w:t>Gains from Disposal, Derecognition and Remeasurement of Assets</w:t>
            </w:r>
          </w:p>
        </w:tc>
        <w:tc>
          <w:tcPr>
            <w:tcW w:w="1217" w:type="dxa"/>
            <w:tcBorders>
              <w:top w:val="nil"/>
              <w:left w:val="nil"/>
              <w:bottom w:val="nil"/>
              <w:right w:val="nil"/>
            </w:tcBorders>
            <w:vAlign w:val="bottom"/>
          </w:tcPr>
          <w:p w14:paraId="2532C666" w14:textId="77777777" w:rsidR="00B92775" w:rsidRPr="006911F3" w:rsidRDefault="00B92775" w:rsidP="00B92775">
            <w:pPr>
              <w:pStyle w:val="TableText"/>
              <w:tabs>
                <w:tab w:val="left" w:pos="3306"/>
              </w:tabs>
              <w:jc w:val="right"/>
              <w:rPr>
                <w:rFonts w:cs="Calibri"/>
                <w:b/>
                <w:bCs/>
              </w:rPr>
            </w:pPr>
          </w:p>
        </w:tc>
        <w:tc>
          <w:tcPr>
            <w:tcW w:w="1230" w:type="dxa"/>
            <w:tcBorders>
              <w:top w:val="nil"/>
              <w:left w:val="nil"/>
              <w:bottom w:val="nil"/>
              <w:right w:val="nil"/>
            </w:tcBorders>
            <w:vAlign w:val="bottom"/>
          </w:tcPr>
          <w:p w14:paraId="27F1EE47" w14:textId="77777777" w:rsidR="00B92775" w:rsidRPr="006911F3" w:rsidRDefault="00B92775" w:rsidP="00B92775">
            <w:pPr>
              <w:pStyle w:val="TableText"/>
              <w:tabs>
                <w:tab w:val="left" w:pos="3306"/>
              </w:tabs>
              <w:jc w:val="right"/>
              <w:rPr>
                <w:rFonts w:cs="Calibri"/>
                <w:b/>
                <w:bCs/>
              </w:rPr>
            </w:pPr>
          </w:p>
        </w:tc>
        <w:tc>
          <w:tcPr>
            <w:tcW w:w="1215" w:type="dxa"/>
            <w:tcBorders>
              <w:top w:val="nil"/>
              <w:left w:val="nil"/>
              <w:bottom w:val="nil"/>
              <w:right w:val="nil"/>
            </w:tcBorders>
            <w:vAlign w:val="bottom"/>
          </w:tcPr>
          <w:p w14:paraId="074EEE9E" w14:textId="77777777" w:rsidR="00B92775" w:rsidRPr="006911F3" w:rsidRDefault="00B92775" w:rsidP="00B92775">
            <w:pPr>
              <w:pStyle w:val="TableText"/>
              <w:tabs>
                <w:tab w:val="left" w:pos="3306"/>
              </w:tabs>
              <w:jc w:val="right"/>
              <w:rPr>
                <w:rFonts w:cs="Calibri"/>
                <w:b/>
                <w:bCs/>
              </w:rPr>
            </w:pPr>
          </w:p>
        </w:tc>
      </w:tr>
      <w:tr w:rsidR="00B92775" w:rsidRPr="00CF7E1B" w14:paraId="2B04EF59" w14:textId="77777777" w:rsidTr="004D1EC6">
        <w:tc>
          <w:tcPr>
            <w:tcW w:w="1563" w:type="dxa"/>
            <w:tcBorders>
              <w:top w:val="nil"/>
              <w:left w:val="single" w:sz="2" w:space="0" w:color="auto"/>
              <w:bottom w:val="nil"/>
              <w:right w:val="single" w:sz="2" w:space="0" w:color="auto"/>
            </w:tcBorders>
          </w:tcPr>
          <w:p w14:paraId="6D4305DD"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3F44E320" w14:textId="1718CD5A" w:rsidR="00B92775" w:rsidRPr="006911F3" w:rsidRDefault="00B92775" w:rsidP="00B92775">
            <w:pPr>
              <w:pStyle w:val="TableText"/>
              <w:tabs>
                <w:tab w:val="left" w:pos="3306"/>
              </w:tabs>
              <w:rPr>
                <w:rFonts w:cs="Calibri"/>
              </w:rPr>
            </w:pPr>
            <w:r w:rsidRPr="006911F3">
              <w:rPr>
                <w:rFonts w:cs="Calibri"/>
              </w:rPr>
              <w:t xml:space="preserve">Other </w:t>
            </w:r>
            <w:r w:rsidR="00A742FB" w:rsidRPr="00A742FB">
              <w:rPr>
                <w:rFonts w:cs="Calibri"/>
                <w:color w:val="FF0000"/>
              </w:rPr>
              <w:t xml:space="preserve">Income </w:t>
            </w:r>
            <w:r w:rsidRPr="00A742FB">
              <w:rPr>
                <w:rFonts w:cs="Calibri"/>
                <w:strike/>
                <w:color w:val="FF0000"/>
              </w:rPr>
              <w:t>Gains</w:t>
            </w:r>
          </w:p>
        </w:tc>
        <w:tc>
          <w:tcPr>
            <w:tcW w:w="1217" w:type="dxa"/>
            <w:tcBorders>
              <w:top w:val="nil"/>
              <w:left w:val="nil"/>
              <w:bottom w:val="single" w:sz="4" w:space="0" w:color="auto"/>
              <w:right w:val="nil"/>
            </w:tcBorders>
            <w:vAlign w:val="bottom"/>
          </w:tcPr>
          <w:p w14:paraId="50CA1592"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73AA5EC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A03B35D" w14:textId="77777777" w:rsidR="00B92775" w:rsidRPr="006911F3" w:rsidRDefault="00B92775" w:rsidP="00B92775">
            <w:pPr>
              <w:pStyle w:val="TableText"/>
              <w:tabs>
                <w:tab w:val="left" w:pos="3306"/>
              </w:tabs>
              <w:jc w:val="right"/>
              <w:rPr>
                <w:rFonts w:cs="Calibri"/>
              </w:rPr>
            </w:pPr>
          </w:p>
        </w:tc>
      </w:tr>
      <w:tr w:rsidR="00B92775" w:rsidRPr="00CF7E1B" w14:paraId="4E757766" w14:textId="77777777" w:rsidTr="004D1EC6">
        <w:tc>
          <w:tcPr>
            <w:tcW w:w="1563" w:type="dxa"/>
            <w:tcBorders>
              <w:top w:val="nil"/>
              <w:left w:val="single" w:sz="2" w:space="0" w:color="auto"/>
              <w:bottom w:val="nil"/>
              <w:right w:val="single" w:sz="2" w:space="0" w:color="auto"/>
            </w:tcBorders>
          </w:tcPr>
          <w:p w14:paraId="775EE6C5"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0EC811AD" w14:textId="77777777" w:rsidR="00B92775" w:rsidRPr="00A742FB" w:rsidRDefault="00B92775" w:rsidP="00B92775">
            <w:pPr>
              <w:pStyle w:val="TableText"/>
              <w:tabs>
                <w:tab w:val="left" w:pos="3306"/>
              </w:tabs>
              <w:rPr>
                <w:rFonts w:cs="Calibri"/>
                <w:i/>
                <w:iCs/>
                <w:strike/>
              </w:rPr>
            </w:pPr>
            <w:r w:rsidRPr="00A742FB">
              <w:rPr>
                <w:rFonts w:cs="Calibri"/>
                <w:i/>
                <w:iCs/>
                <w:strike/>
                <w:color w:val="FF0000"/>
              </w:rPr>
              <w:t>Total Gains</w:t>
            </w:r>
          </w:p>
        </w:tc>
        <w:tc>
          <w:tcPr>
            <w:tcW w:w="1217" w:type="dxa"/>
            <w:tcBorders>
              <w:top w:val="single" w:sz="4" w:space="0" w:color="auto"/>
              <w:left w:val="nil"/>
              <w:bottom w:val="single" w:sz="4" w:space="0" w:color="auto"/>
              <w:right w:val="nil"/>
            </w:tcBorders>
            <w:vAlign w:val="bottom"/>
          </w:tcPr>
          <w:p w14:paraId="2C5AC1F0"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single" w:sz="4" w:space="0" w:color="auto"/>
              <w:right w:val="nil"/>
            </w:tcBorders>
            <w:vAlign w:val="bottom"/>
          </w:tcPr>
          <w:p w14:paraId="30CECE7C"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single" w:sz="4" w:space="0" w:color="auto"/>
              <w:right w:val="nil"/>
            </w:tcBorders>
            <w:vAlign w:val="bottom"/>
          </w:tcPr>
          <w:p w14:paraId="08D42AAA" w14:textId="77777777" w:rsidR="00B92775" w:rsidRPr="006911F3" w:rsidRDefault="00B92775" w:rsidP="00B92775">
            <w:pPr>
              <w:pStyle w:val="TableText"/>
              <w:tabs>
                <w:tab w:val="left" w:pos="3306"/>
              </w:tabs>
              <w:jc w:val="right"/>
              <w:rPr>
                <w:rFonts w:cs="Calibri"/>
              </w:rPr>
            </w:pPr>
          </w:p>
        </w:tc>
      </w:tr>
      <w:tr w:rsidR="00B92775" w:rsidRPr="00CF7E1B" w14:paraId="72DEDA8C" w14:textId="77777777" w:rsidTr="004D1EC6">
        <w:tc>
          <w:tcPr>
            <w:tcW w:w="1563" w:type="dxa"/>
            <w:tcBorders>
              <w:top w:val="nil"/>
              <w:left w:val="single" w:sz="2" w:space="0" w:color="auto"/>
              <w:bottom w:val="nil"/>
              <w:right w:val="single" w:sz="2" w:space="0" w:color="auto"/>
            </w:tcBorders>
          </w:tcPr>
          <w:p w14:paraId="3A04EA3E"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699B2D8E" w14:textId="77777777" w:rsidR="00B92775" w:rsidRPr="006911F3" w:rsidRDefault="00B92775" w:rsidP="00B92775">
            <w:pPr>
              <w:pStyle w:val="TableText"/>
              <w:tabs>
                <w:tab w:val="left" w:pos="3306"/>
              </w:tabs>
              <w:rPr>
                <w:rFonts w:cs="Calibri"/>
                <w:b/>
                <w:bCs/>
              </w:rPr>
            </w:pPr>
            <w:r w:rsidRPr="006911F3">
              <w:rPr>
                <w:rFonts w:cs="Calibri"/>
                <w:b/>
                <w:bCs/>
              </w:rPr>
              <w:t>Total Income</w:t>
            </w:r>
          </w:p>
        </w:tc>
        <w:tc>
          <w:tcPr>
            <w:tcW w:w="1217" w:type="dxa"/>
            <w:tcBorders>
              <w:top w:val="single" w:sz="4" w:space="0" w:color="auto"/>
              <w:left w:val="nil"/>
              <w:bottom w:val="single" w:sz="4" w:space="0" w:color="auto"/>
              <w:right w:val="nil"/>
            </w:tcBorders>
            <w:vAlign w:val="bottom"/>
          </w:tcPr>
          <w:p w14:paraId="012F830C"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16C30A66"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5372B6E2" w14:textId="77777777" w:rsidR="00B92775" w:rsidRPr="006911F3" w:rsidRDefault="00B92775" w:rsidP="00B92775">
            <w:pPr>
              <w:pStyle w:val="TableText"/>
              <w:tabs>
                <w:tab w:val="left" w:pos="3306"/>
              </w:tabs>
              <w:jc w:val="right"/>
              <w:rPr>
                <w:rFonts w:cs="Calibri"/>
                <w:b/>
                <w:bCs/>
              </w:rPr>
            </w:pPr>
          </w:p>
        </w:tc>
      </w:tr>
      <w:tr w:rsidR="00B92775" w:rsidRPr="00CF7E1B" w14:paraId="668FB678" w14:textId="77777777" w:rsidTr="004D1EC6">
        <w:tc>
          <w:tcPr>
            <w:tcW w:w="1563" w:type="dxa"/>
            <w:tcBorders>
              <w:top w:val="nil"/>
              <w:left w:val="single" w:sz="2" w:space="0" w:color="auto"/>
              <w:bottom w:val="nil"/>
              <w:right w:val="single" w:sz="2" w:space="0" w:color="auto"/>
            </w:tcBorders>
          </w:tcPr>
          <w:p w14:paraId="6A73184E"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5C785475" w14:textId="77777777" w:rsidR="00B92775" w:rsidRPr="006911F3" w:rsidRDefault="00B92775" w:rsidP="00B92775">
            <w:pPr>
              <w:pStyle w:val="TableText"/>
              <w:tabs>
                <w:tab w:val="left" w:pos="3306"/>
              </w:tabs>
              <w:rPr>
                <w:rFonts w:cs="Calibri"/>
              </w:rPr>
            </w:pPr>
            <w:r w:rsidRPr="006911F3">
              <w:rPr>
                <w:rFonts w:cs="Calibri"/>
              </w:rPr>
              <w:t xml:space="preserve"> </w:t>
            </w:r>
          </w:p>
        </w:tc>
        <w:tc>
          <w:tcPr>
            <w:tcW w:w="1217" w:type="dxa"/>
            <w:tcBorders>
              <w:top w:val="single" w:sz="4" w:space="0" w:color="auto"/>
              <w:left w:val="nil"/>
              <w:bottom w:val="nil"/>
              <w:right w:val="nil"/>
            </w:tcBorders>
            <w:vAlign w:val="bottom"/>
          </w:tcPr>
          <w:p w14:paraId="0F4CEA78"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14CBA888"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640D1FF4" w14:textId="77777777" w:rsidR="00B92775" w:rsidRPr="006911F3" w:rsidRDefault="00B92775" w:rsidP="00B92775">
            <w:pPr>
              <w:pStyle w:val="TableText"/>
              <w:tabs>
                <w:tab w:val="left" w:pos="3306"/>
              </w:tabs>
              <w:jc w:val="right"/>
              <w:rPr>
                <w:rFonts w:cs="Calibri"/>
              </w:rPr>
            </w:pPr>
          </w:p>
        </w:tc>
      </w:tr>
      <w:tr w:rsidR="00B92775" w:rsidRPr="00CF7E1B" w14:paraId="436FFBCB" w14:textId="77777777" w:rsidTr="004D1EC6">
        <w:tc>
          <w:tcPr>
            <w:tcW w:w="1563" w:type="dxa"/>
            <w:tcBorders>
              <w:top w:val="nil"/>
              <w:left w:val="single" w:sz="2" w:space="0" w:color="auto"/>
              <w:bottom w:val="nil"/>
              <w:right w:val="single" w:sz="2" w:space="0" w:color="auto"/>
            </w:tcBorders>
          </w:tcPr>
          <w:p w14:paraId="325809D6" w14:textId="77777777" w:rsidR="00B92775" w:rsidRPr="006911F3" w:rsidRDefault="00B92775" w:rsidP="00B92775">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5" w:type="dxa"/>
            <w:tcBorders>
              <w:top w:val="nil"/>
              <w:left w:val="single" w:sz="2" w:space="0" w:color="auto"/>
              <w:bottom w:val="nil"/>
              <w:right w:val="nil"/>
            </w:tcBorders>
            <w:vAlign w:val="bottom"/>
          </w:tcPr>
          <w:p w14:paraId="767E3453" w14:textId="77777777" w:rsidR="00B92775" w:rsidRPr="006911F3" w:rsidRDefault="00B92775" w:rsidP="00B92775">
            <w:pPr>
              <w:pStyle w:val="TableText"/>
              <w:tabs>
                <w:tab w:val="left" w:pos="3306"/>
              </w:tabs>
              <w:rPr>
                <w:rFonts w:cs="Calibri"/>
                <w:b/>
                <w:bCs/>
              </w:rPr>
            </w:pPr>
            <w:r w:rsidRPr="006911F3">
              <w:rPr>
                <w:rFonts w:cs="Calibri"/>
                <w:b/>
                <w:bCs/>
              </w:rPr>
              <w:t>Expenses</w:t>
            </w:r>
          </w:p>
        </w:tc>
        <w:tc>
          <w:tcPr>
            <w:tcW w:w="1217" w:type="dxa"/>
            <w:tcBorders>
              <w:top w:val="nil"/>
              <w:left w:val="nil"/>
              <w:bottom w:val="nil"/>
              <w:right w:val="nil"/>
            </w:tcBorders>
            <w:vAlign w:val="bottom"/>
          </w:tcPr>
          <w:p w14:paraId="62AA4F5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3AB26165"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84F40A5" w14:textId="77777777" w:rsidR="00B92775" w:rsidRPr="006911F3" w:rsidRDefault="00B92775" w:rsidP="00B92775">
            <w:pPr>
              <w:pStyle w:val="TableText"/>
              <w:tabs>
                <w:tab w:val="left" w:pos="3306"/>
              </w:tabs>
              <w:jc w:val="right"/>
              <w:rPr>
                <w:rFonts w:cs="Calibri"/>
              </w:rPr>
            </w:pPr>
          </w:p>
        </w:tc>
      </w:tr>
      <w:tr w:rsidR="00B92775" w:rsidRPr="00CF7E1B" w14:paraId="42020942" w14:textId="77777777" w:rsidTr="004D1EC6">
        <w:tc>
          <w:tcPr>
            <w:tcW w:w="1563" w:type="dxa"/>
            <w:tcBorders>
              <w:top w:val="nil"/>
              <w:left w:val="single" w:sz="2" w:space="0" w:color="auto"/>
              <w:bottom w:val="nil"/>
              <w:right w:val="single" w:sz="2" w:space="0" w:color="auto"/>
            </w:tcBorders>
          </w:tcPr>
          <w:p w14:paraId="3A1B6C45"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49155E85" w14:textId="77777777" w:rsidR="00B92775" w:rsidRPr="006911F3" w:rsidRDefault="00B92775" w:rsidP="00B92775">
            <w:pPr>
              <w:pStyle w:val="TableText"/>
              <w:tabs>
                <w:tab w:val="left" w:pos="3306"/>
              </w:tabs>
              <w:rPr>
                <w:rFonts w:cs="Calibri"/>
              </w:rPr>
            </w:pPr>
            <w:r w:rsidRPr="006911F3">
              <w:rPr>
                <w:rFonts w:cs="Calibri"/>
              </w:rPr>
              <w:t>Employee Expenses</w:t>
            </w:r>
          </w:p>
        </w:tc>
        <w:tc>
          <w:tcPr>
            <w:tcW w:w="1217" w:type="dxa"/>
            <w:tcBorders>
              <w:top w:val="nil"/>
              <w:left w:val="nil"/>
              <w:bottom w:val="nil"/>
              <w:right w:val="nil"/>
            </w:tcBorders>
            <w:vAlign w:val="bottom"/>
          </w:tcPr>
          <w:p w14:paraId="53D7EAC8"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1D56EC06"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AA97534" w14:textId="77777777" w:rsidR="00B92775" w:rsidRPr="006911F3" w:rsidRDefault="00B92775" w:rsidP="00B92775">
            <w:pPr>
              <w:pStyle w:val="TableText"/>
              <w:tabs>
                <w:tab w:val="left" w:pos="3306"/>
              </w:tabs>
              <w:jc w:val="right"/>
              <w:rPr>
                <w:rFonts w:cs="Calibri"/>
              </w:rPr>
            </w:pPr>
          </w:p>
        </w:tc>
      </w:tr>
      <w:tr w:rsidR="00B92775" w:rsidRPr="00CF7E1B" w14:paraId="480A6CD0" w14:textId="77777777" w:rsidTr="004D1EC6">
        <w:tc>
          <w:tcPr>
            <w:tcW w:w="1563" w:type="dxa"/>
            <w:tcBorders>
              <w:top w:val="nil"/>
              <w:left w:val="single" w:sz="2" w:space="0" w:color="auto"/>
              <w:bottom w:val="nil"/>
              <w:right w:val="single" w:sz="2" w:space="0" w:color="auto"/>
            </w:tcBorders>
          </w:tcPr>
          <w:p w14:paraId="6329F9BF" w14:textId="77777777" w:rsidR="00B92775" w:rsidRPr="00A742FB" w:rsidRDefault="00B92775" w:rsidP="00B92775">
            <w:pPr>
              <w:pStyle w:val="TableReference"/>
              <w:tabs>
                <w:tab w:val="left" w:pos="3306"/>
              </w:tabs>
              <w:spacing w:before="60"/>
              <w:rPr>
                <w:rFonts w:cs="Calibri"/>
                <w:strike/>
                <w:color w:val="FF0000"/>
                <w:sz w:val="14"/>
              </w:rPr>
            </w:pPr>
            <w:r w:rsidRPr="00A742FB">
              <w:rPr>
                <w:rFonts w:cs="Calibri"/>
                <w:strike/>
                <w:color w:val="FF0000"/>
                <w:sz w:val="14"/>
              </w:rPr>
              <w:t>AASB 1052.15(c)</w:t>
            </w:r>
          </w:p>
        </w:tc>
        <w:tc>
          <w:tcPr>
            <w:tcW w:w="5325" w:type="dxa"/>
            <w:tcBorders>
              <w:top w:val="nil"/>
              <w:left w:val="single" w:sz="2" w:space="0" w:color="auto"/>
              <w:bottom w:val="nil"/>
              <w:right w:val="nil"/>
            </w:tcBorders>
            <w:vAlign w:val="bottom"/>
          </w:tcPr>
          <w:p w14:paraId="5C5F0D3F" w14:textId="77777777" w:rsidR="00B92775" w:rsidRPr="00A742FB" w:rsidRDefault="00B92775" w:rsidP="00B92775">
            <w:pPr>
              <w:pStyle w:val="TableText"/>
              <w:tabs>
                <w:tab w:val="left" w:pos="3306"/>
              </w:tabs>
              <w:rPr>
                <w:rFonts w:cs="Calibri"/>
                <w:strike/>
                <w:color w:val="FF0000"/>
              </w:rPr>
            </w:pPr>
            <w:r w:rsidRPr="00A742FB">
              <w:rPr>
                <w:rFonts w:cs="Calibri"/>
                <w:strike/>
                <w:color w:val="FF0000"/>
              </w:rPr>
              <w:t>Superannuation Expenses</w:t>
            </w:r>
          </w:p>
        </w:tc>
        <w:tc>
          <w:tcPr>
            <w:tcW w:w="1217" w:type="dxa"/>
            <w:tcBorders>
              <w:top w:val="nil"/>
              <w:left w:val="nil"/>
              <w:bottom w:val="nil"/>
              <w:right w:val="nil"/>
            </w:tcBorders>
            <w:vAlign w:val="bottom"/>
          </w:tcPr>
          <w:p w14:paraId="458C0334"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763A926"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355CE6AE" w14:textId="77777777" w:rsidR="00B92775" w:rsidRPr="006911F3" w:rsidRDefault="00B92775" w:rsidP="00B92775">
            <w:pPr>
              <w:pStyle w:val="TableText"/>
              <w:tabs>
                <w:tab w:val="left" w:pos="3306"/>
              </w:tabs>
              <w:jc w:val="right"/>
              <w:rPr>
                <w:rFonts w:cs="Calibri"/>
              </w:rPr>
            </w:pPr>
          </w:p>
        </w:tc>
      </w:tr>
      <w:tr w:rsidR="00B92775" w:rsidRPr="00CF7E1B" w14:paraId="292DFF2C" w14:textId="77777777" w:rsidTr="004D1EC6">
        <w:tc>
          <w:tcPr>
            <w:tcW w:w="1563" w:type="dxa"/>
            <w:tcBorders>
              <w:top w:val="nil"/>
              <w:left w:val="single" w:sz="2" w:space="0" w:color="auto"/>
              <w:bottom w:val="nil"/>
              <w:right w:val="single" w:sz="2" w:space="0" w:color="auto"/>
            </w:tcBorders>
          </w:tcPr>
          <w:p w14:paraId="52FD4BF7"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5A582BDB" w14:textId="77777777" w:rsidR="00B92775" w:rsidRPr="006911F3" w:rsidRDefault="00B92775" w:rsidP="00B92775">
            <w:pPr>
              <w:pStyle w:val="TableText"/>
              <w:tabs>
                <w:tab w:val="left" w:pos="3306"/>
              </w:tabs>
              <w:rPr>
                <w:rFonts w:cs="Calibri"/>
              </w:rPr>
            </w:pPr>
            <w:r w:rsidRPr="006911F3">
              <w:rPr>
                <w:rFonts w:cs="Calibri"/>
              </w:rPr>
              <w:t>Supplies and Services</w:t>
            </w:r>
          </w:p>
        </w:tc>
        <w:tc>
          <w:tcPr>
            <w:tcW w:w="1217" w:type="dxa"/>
            <w:tcBorders>
              <w:top w:val="nil"/>
              <w:left w:val="nil"/>
              <w:bottom w:val="nil"/>
              <w:right w:val="nil"/>
            </w:tcBorders>
            <w:vAlign w:val="bottom"/>
          </w:tcPr>
          <w:p w14:paraId="0397445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5D252733"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755DC3D0" w14:textId="77777777" w:rsidR="00B92775" w:rsidRPr="006911F3" w:rsidRDefault="00B92775" w:rsidP="00B92775">
            <w:pPr>
              <w:pStyle w:val="TableText"/>
              <w:tabs>
                <w:tab w:val="left" w:pos="3306"/>
              </w:tabs>
              <w:jc w:val="right"/>
              <w:rPr>
                <w:rFonts w:cs="Calibri"/>
              </w:rPr>
            </w:pPr>
          </w:p>
        </w:tc>
      </w:tr>
      <w:tr w:rsidR="00B92775" w:rsidRPr="00CF7E1B" w14:paraId="67E6C8E0" w14:textId="77777777" w:rsidTr="004D1EC6">
        <w:tc>
          <w:tcPr>
            <w:tcW w:w="1563" w:type="dxa"/>
            <w:tcBorders>
              <w:top w:val="nil"/>
              <w:left w:val="single" w:sz="2" w:space="0" w:color="auto"/>
              <w:bottom w:val="nil"/>
              <w:right w:val="single" w:sz="2" w:space="0" w:color="auto"/>
            </w:tcBorders>
          </w:tcPr>
          <w:p w14:paraId="64A2F128"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5A0A71E2" w14:textId="77777777" w:rsidR="00B92775" w:rsidRPr="006911F3" w:rsidRDefault="00B92775" w:rsidP="00B92775">
            <w:pPr>
              <w:pStyle w:val="TableText"/>
              <w:tabs>
                <w:tab w:val="left" w:pos="3306"/>
              </w:tabs>
              <w:rPr>
                <w:rFonts w:cs="Calibri"/>
              </w:rPr>
            </w:pPr>
            <w:r w:rsidRPr="006911F3">
              <w:rPr>
                <w:rFonts w:cs="Calibri"/>
              </w:rPr>
              <w:t>Depreciation and Amortisation</w:t>
            </w:r>
          </w:p>
        </w:tc>
        <w:tc>
          <w:tcPr>
            <w:tcW w:w="1217" w:type="dxa"/>
            <w:tcBorders>
              <w:top w:val="nil"/>
              <w:left w:val="nil"/>
              <w:bottom w:val="nil"/>
              <w:right w:val="nil"/>
            </w:tcBorders>
            <w:vAlign w:val="bottom"/>
          </w:tcPr>
          <w:p w14:paraId="5DBFC996"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1A55B35"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5FA8C051" w14:textId="77777777" w:rsidR="00B92775" w:rsidRPr="006911F3" w:rsidRDefault="00B92775" w:rsidP="00B92775">
            <w:pPr>
              <w:pStyle w:val="TableText"/>
              <w:tabs>
                <w:tab w:val="left" w:pos="3306"/>
              </w:tabs>
              <w:jc w:val="right"/>
              <w:rPr>
                <w:rFonts w:cs="Calibri"/>
              </w:rPr>
            </w:pPr>
          </w:p>
        </w:tc>
      </w:tr>
      <w:tr w:rsidR="00B92775" w:rsidRPr="00CF7E1B" w14:paraId="55071BE7" w14:textId="77777777" w:rsidTr="004D1EC6">
        <w:tc>
          <w:tcPr>
            <w:tcW w:w="1563" w:type="dxa"/>
            <w:tcBorders>
              <w:top w:val="nil"/>
              <w:left w:val="single" w:sz="2" w:space="0" w:color="auto"/>
              <w:bottom w:val="nil"/>
              <w:right w:val="single" w:sz="2" w:space="0" w:color="auto"/>
            </w:tcBorders>
          </w:tcPr>
          <w:p w14:paraId="1BB53755"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12187852" w14:textId="77777777" w:rsidR="00B92775" w:rsidRPr="006911F3" w:rsidRDefault="00B92775" w:rsidP="00B92775">
            <w:pPr>
              <w:pStyle w:val="TableText"/>
              <w:tabs>
                <w:tab w:val="left" w:pos="3306"/>
              </w:tabs>
              <w:rPr>
                <w:rFonts w:cs="Calibri"/>
              </w:rPr>
            </w:pPr>
            <w:r w:rsidRPr="006911F3">
              <w:rPr>
                <w:rFonts w:cs="Calibri"/>
              </w:rPr>
              <w:t xml:space="preserve">Grants and Purchased Services </w:t>
            </w:r>
          </w:p>
        </w:tc>
        <w:tc>
          <w:tcPr>
            <w:tcW w:w="1217" w:type="dxa"/>
            <w:tcBorders>
              <w:top w:val="nil"/>
              <w:left w:val="nil"/>
              <w:bottom w:val="nil"/>
              <w:right w:val="nil"/>
            </w:tcBorders>
            <w:vAlign w:val="bottom"/>
          </w:tcPr>
          <w:p w14:paraId="4FCC9D5B"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77BD9568"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3F199F75" w14:textId="77777777" w:rsidR="00B92775" w:rsidRPr="006911F3" w:rsidRDefault="00B92775" w:rsidP="00B92775">
            <w:pPr>
              <w:pStyle w:val="TableText"/>
              <w:tabs>
                <w:tab w:val="left" w:pos="3306"/>
              </w:tabs>
              <w:jc w:val="right"/>
              <w:rPr>
                <w:rFonts w:cs="Calibri"/>
              </w:rPr>
            </w:pPr>
          </w:p>
        </w:tc>
      </w:tr>
      <w:tr w:rsidR="00B92775" w:rsidRPr="00CF7E1B" w14:paraId="3C9B6D78" w14:textId="77777777" w:rsidTr="004D1EC6">
        <w:tc>
          <w:tcPr>
            <w:tcW w:w="1563" w:type="dxa"/>
            <w:tcBorders>
              <w:top w:val="nil"/>
              <w:left w:val="single" w:sz="2" w:space="0" w:color="auto"/>
              <w:bottom w:val="nil"/>
              <w:right w:val="single" w:sz="2" w:space="0" w:color="auto"/>
            </w:tcBorders>
          </w:tcPr>
          <w:p w14:paraId="5895DEEA" w14:textId="1A56D765"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08959100" w14:textId="648D6BA5" w:rsidR="00B92775" w:rsidRPr="006911F3" w:rsidRDefault="00B92775" w:rsidP="00B92775">
            <w:pPr>
              <w:pStyle w:val="TableText"/>
              <w:tabs>
                <w:tab w:val="left" w:pos="3306"/>
              </w:tabs>
              <w:rPr>
                <w:rFonts w:cs="Calibri"/>
              </w:rPr>
            </w:pPr>
            <w:r w:rsidRPr="006911F3">
              <w:rPr>
                <w:rFonts w:cs="Calibri"/>
              </w:rPr>
              <w:t>Cost of Goods Sold and Distributed</w:t>
            </w:r>
          </w:p>
        </w:tc>
        <w:tc>
          <w:tcPr>
            <w:tcW w:w="1217" w:type="dxa"/>
            <w:tcBorders>
              <w:top w:val="nil"/>
              <w:left w:val="nil"/>
              <w:bottom w:val="nil"/>
              <w:right w:val="nil"/>
            </w:tcBorders>
            <w:vAlign w:val="bottom"/>
          </w:tcPr>
          <w:p w14:paraId="6CE8663E"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AA75009"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FB63851" w14:textId="77777777" w:rsidR="00B92775" w:rsidRPr="006911F3" w:rsidRDefault="00B92775" w:rsidP="00B92775">
            <w:pPr>
              <w:pStyle w:val="TableText"/>
              <w:tabs>
                <w:tab w:val="left" w:pos="3306"/>
              </w:tabs>
              <w:jc w:val="right"/>
              <w:rPr>
                <w:rFonts w:cs="Calibri"/>
              </w:rPr>
            </w:pPr>
          </w:p>
        </w:tc>
      </w:tr>
      <w:tr w:rsidR="00B92775" w:rsidRPr="00CF7E1B" w14:paraId="3A5E9A61" w14:textId="77777777" w:rsidTr="004D1EC6">
        <w:tc>
          <w:tcPr>
            <w:tcW w:w="1563" w:type="dxa"/>
            <w:tcBorders>
              <w:top w:val="nil"/>
              <w:left w:val="single" w:sz="2" w:space="0" w:color="auto"/>
              <w:bottom w:val="nil"/>
              <w:right w:val="single" w:sz="2" w:space="0" w:color="auto"/>
            </w:tcBorders>
          </w:tcPr>
          <w:p w14:paraId="0CC642F0"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2D02B8BF" w14:textId="77777777" w:rsidR="00B92775" w:rsidRPr="006911F3" w:rsidRDefault="00B92775" w:rsidP="00B92775">
            <w:pPr>
              <w:pStyle w:val="TableText"/>
              <w:tabs>
                <w:tab w:val="left" w:pos="3306"/>
              </w:tabs>
              <w:rPr>
                <w:rFonts w:cs="Calibri"/>
              </w:rPr>
            </w:pPr>
            <w:r w:rsidRPr="006911F3">
              <w:rPr>
                <w:rFonts w:cs="Calibri"/>
              </w:rPr>
              <w:t>Borrowing Costs</w:t>
            </w:r>
          </w:p>
        </w:tc>
        <w:tc>
          <w:tcPr>
            <w:tcW w:w="1217" w:type="dxa"/>
            <w:tcBorders>
              <w:top w:val="nil"/>
              <w:left w:val="nil"/>
              <w:bottom w:val="nil"/>
              <w:right w:val="nil"/>
            </w:tcBorders>
            <w:vAlign w:val="bottom"/>
          </w:tcPr>
          <w:p w14:paraId="5C763CC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3F06330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BE13942" w14:textId="77777777" w:rsidR="00B92775" w:rsidRPr="006911F3" w:rsidRDefault="00B92775" w:rsidP="00B92775">
            <w:pPr>
              <w:pStyle w:val="TableText"/>
              <w:tabs>
                <w:tab w:val="left" w:pos="3306"/>
              </w:tabs>
              <w:jc w:val="right"/>
              <w:rPr>
                <w:rFonts w:cs="Calibri"/>
              </w:rPr>
            </w:pPr>
          </w:p>
        </w:tc>
      </w:tr>
      <w:tr w:rsidR="00B92775" w:rsidRPr="00CF7E1B" w14:paraId="721DA31D" w14:textId="77777777" w:rsidTr="004D1EC6">
        <w:tc>
          <w:tcPr>
            <w:tcW w:w="1563" w:type="dxa"/>
            <w:tcBorders>
              <w:top w:val="nil"/>
              <w:left w:val="single" w:sz="2" w:space="0" w:color="auto"/>
              <w:bottom w:val="nil"/>
              <w:right w:val="single" w:sz="2" w:space="0" w:color="auto"/>
            </w:tcBorders>
          </w:tcPr>
          <w:p w14:paraId="5A554963"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14ED461E" w14:textId="77777777" w:rsidR="00B92775" w:rsidRPr="006911F3" w:rsidRDefault="00B92775" w:rsidP="00B92775">
            <w:pPr>
              <w:pStyle w:val="TableText"/>
              <w:tabs>
                <w:tab w:val="left" w:pos="3306"/>
              </w:tabs>
              <w:rPr>
                <w:rFonts w:cs="Calibri"/>
              </w:rPr>
            </w:pPr>
            <w:bookmarkStart w:id="307" w:name="_Toc48468261"/>
            <w:bookmarkStart w:id="308" w:name="_Toc49223904"/>
            <w:r w:rsidRPr="006911F3">
              <w:rPr>
                <w:rFonts w:cs="Calibri"/>
              </w:rPr>
              <w:t xml:space="preserve">Other Expenses </w:t>
            </w:r>
            <w:bookmarkEnd w:id="307"/>
            <w:bookmarkEnd w:id="308"/>
          </w:p>
        </w:tc>
        <w:tc>
          <w:tcPr>
            <w:tcW w:w="1217" w:type="dxa"/>
            <w:tcBorders>
              <w:top w:val="nil"/>
              <w:left w:val="nil"/>
              <w:bottom w:val="single" w:sz="4" w:space="0" w:color="auto"/>
              <w:right w:val="nil"/>
            </w:tcBorders>
            <w:vAlign w:val="bottom"/>
          </w:tcPr>
          <w:p w14:paraId="6DA796A2" w14:textId="77777777" w:rsidR="00B92775" w:rsidRPr="006911F3" w:rsidRDefault="00B92775" w:rsidP="00B92775">
            <w:pPr>
              <w:pStyle w:val="TableText"/>
              <w:tabs>
                <w:tab w:val="left" w:pos="3306"/>
              </w:tabs>
              <w:jc w:val="right"/>
              <w:rPr>
                <w:rFonts w:cs="Calibri"/>
                <w:strike/>
              </w:rPr>
            </w:pPr>
          </w:p>
        </w:tc>
        <w:tc>
          <w:tcPr>
            <w:tcW w:w="1230" w:type="dxa"/>
            <w:tcBorders>
              <w:top w:val="nil"/>
              <w:left w:val="nil"/>
              <w:bottom w:val="single" w:sz="4" w:space="0" w:color="auto"/>
              <w:right w:val="nil"/>
            </w:tcBorders>
            <w:vAlign w:val="bottom"/>
          </w:tcPr>
          <w:p w14:paraId="514AA55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37B69277" w14:textId="77777777" w:rsidR="00B92775" w:rsidRPr="006911F3" w:rsidRDefault="00B92775" w:rsidP="00B92775">
            <w:pPr>
              <w:pStyle w:val="TableText"/>
              <w:tabs>
                <w:tab w:val="left" w:pos="3306"/>
              </w:tabs>
              <w:jc w:val="right"/>
              <w:rPr>
                <w:rFonts w:cs="Calibri"/>
              </w:rPr>
            </w:pPr>
          </w:p>
        </w:tc>
      </w:tr>
      <w:tr w:rsidR="00B92775" w:rsidRPr="00CF7E1B" w14:paraId="209FF565" w14:textId="77777777" w:rsidTr="004D1EC6">
        <w:tc>
          <w:tcPr>
            <w:tcW w:w="1563" w:type="dxa"/>
            <w:tcBorders>
              <w:top w:val="nil"/>
              <w:left w:val="single" w:sz="2" w:space="0" w:color="auto"/>
              <w:bottom w:val="nil"/>
              <w:right w:val="single" w:sz="2" w:space="0" w:color="auto"/>
            </w:tcBorders>
          </w:tcPr>
          <w:p w14:paraId="76077F1A"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18A3F41F" w14:textId="77777777" w:rsidR="00B92775" w:rsidRPr="006911F3" w:rsidRDefault="00B92775" w:rsidP="00B92775">
            <w:pPr>
              <w:pStyle w:val="TableText"/>
              <w:tabs>
                <w:tab w:val="left" w:pos="3306"/>
              </w:tabs>
              <w:rPr>
                <w:rFonts w:cs="Calibri"/>
                <w:b/>
                <w:bCs/>
              </w:rPr>
            </w:pPr>
            <w:r w:rsidRPr="006911F3">
              <w:rPr>
                <w:rFonts w:cs="Calibri"/>
                <w:b/>
                <w:bCs/>
              </w:rPr>
              <w:t xml:space="preserve">Total Expenses </w:t>
            </w:r>
          </w:p>
        </w:tc>
        <w:tc>
          <w:tcPr>
            <w:tcW w:w="1217" w:type="dxa"/>
            <w:tcBorders>
              <w:top w:val="single" w:sz="4" w:space="0" w:color="auto"/>
              <w:left w:val="nil"/>
              <w:bottom w:val="single" w:sz="4" w:space="0" w:color="auto"/>
              <w:right w:val="nil"/>
            </w:tcBorders>
            <w:vAlign w:val="bottom"/>
          </w:tcPr>
          <w:p w14:paraId="64D8FD7C"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73816F09"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478DA92D" w14:textId="77777777" w:rsidR="00B92775" w:rsidRPr="006911F3" w:rsidRDefault="00B92775" w:rsidP="00B92775">
            <w:pPr>
              <w:pStyle w:val="TableText"/>
              <w:tabs>
                <w:tab w:val="left" w:pos="3306"/>
              </w:tabs>
              <w:jc w:val="right"/>
              <w:rPr>
                <w:rFonts w:cs="Calibri"/>
                <w:b/>
                <w:bCs/>
              </w:rPr>
            </w:pPr>
          </w:p>
        </w:tc>
      </w:tr>
      <w:tr w:rsidR="00B92775" w:rsidRPr="00CF7E1B" w14:paraId="647C60CE" w14:textId="77777777" w:rsidTr="004D1EC6">
        <w:tc>
          <w:tcPr>
            <w:tcW w:w="1563" w:type="dxa"/>
            <w:tcBorders>
              <w:top w:val="nil"/>
              <w:left w:val="single" w:sz="2" w:space="0" w:color="auto"/>
              <w:bottom w:val="nil"/>
              <w:right w:val="single" w:sz="2" w:space="0" w:color="auto"/>
            </w:tcBorders>
          </w:tcPr>
          <w:p w14:paraId="25A78DC6"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27F6BDCC" w14:textId="0F13198E" w:rsidR="00B92775" w:rsidRPr="006911F3" w:rsidRDefault="00B92775" w:rsidP="00B92775">
            <w:pPr>
              <w:pStyle w:val="TableText"/>
              <w:tabs>
                <w:tab w:val="left" w:pos="3306"/>
              </w:tabs>
              <w:rPr>
                <w:rFonts w:cs="Calibri"/>
                <w:b/>
                <w:bCs/>
              </w:rPr>
            </w:pPr>
            <w:bookmarkStart w:id="309" w:name="_Toc48468263"/>
            <w:bookmarkStart w:id="310" w:name="_Toc49223906"/>
            <w:r w:rsidRPr="006911F3">
              <w:rPr>
                <w:rFonts w:cs="Calibri"/>
                <w:b/>
                <w:bCs/>
              </w:rPr>
              <w:t xml:space="preserve">Operating </w:t>
            </w:r>
            <w:r w:rsidR="00F91BB4" w:rsidRPr="006911F3">
              <w:rPr>
                <w:rFonts w:cs="Calibri"/>
                <w:b/>
                <w:bCs/>
              </w:rPr>
              <w:t>Result</w:t>
            </w:r>
            <w:bookmarkEnd w:id="309"/>
            <w:bookmarkEnd w:id="310"/>
            <w:r w:rsidR="00FA7C77">
              <w:rPr>
                <w:rFonts w:cs="Calibri"/>
                <w:b/>
                <w:bCs/>
              </w:rPr>
              <w:t xml:space="preserve"> </w:t>
            </w:r>
          </w:p>
        </w:tc>
        <w:tc>
          <w:tcPr>
            <w:tcW w:w="1217" w:type="dxa"/>
            <w:tcBorders>
              <w:top w:val="single" w:sz="4" w:space="0" w:color="auto"/>
              <w:left w:val="nil"/>
              <w:bottom w:val="double" w:sz="4" w:space="0" w:color="auto"/>
              <w:right w:val="nil"/>
            </w:tcBorders>
            <w:vAlign w:val="bottom"/>
          </w:tcPr>
          <w:p w14:paraId="3FDBFEEB"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double" w:sz="4" w:space="0" w:color="auto"/>
              <w:right w:val="nil"/>
            </w:tcBorders>
            <w:vAlign w:val="bottom"/>
          </w:tcPr>
          <w:p w14:paraId="75CF65F8"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double" w:sz="4" w:space="0" w:color="auto"/>
              <w:right w:val="nil"/>
            </w:tcBorders>
            <w:vAlign w:val="bottom"/>
          </w:tcPr>
          <w:p w14:paraId="3087CAD0" w14:textId="77777777" w:rsidR="00B92775" w:rsidRPr="006911F3" w:rsidRDefault="00B92775" w:rsidP="00B92775">
            <w:pPr>
              <w:pStyle w:val="TableText"/>
              <w:tabs>
                <w:tab w:val="left" w:pos="3306"/>
              </w:tabs>
              <w:jc w:val="right"/>
              <w:rPr>
                <w:rFonts w:cs="Calibri"/>
                <w:b/>
                <w:bCs/>
                <w:strike/>
              </w:rPr>
            </w:pPr>
          </w:p>
        </w:tc>
      </w:tr>
      <w:tr w:rsidR="00B92775" w:rsidRPr="00CF7E1B" w14:paraId="55CF872A" w14:textId="77777777" w:rsidTr="004D1EC6">
        <w:tc>
          <w:tcPr>
            <w:tcW w:w="1563" w:type="dxa"/>
            <w:tcBorders>
              <w:top w:val="nil"/>
              <w:left w:val="single" w:sz="2" w:space="0" w:color="auto"/>
              <w:bottom w:val="nil"/>
              <w:right w:val="single" w:sz="2" w:space="0" w:color="auto"/>
            </w:tcBorders>
          </w:tcPr>
          <w:p w14:paraId="1EBD2189"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58BC3C84" w14:textId="77777777" w:rsidR="00B92775" w:rsidRPr="006911F3" w:rsidRDefault="00B92775" w:rsidP="00B92775">
            <w:pPr>
              <w:pStyle w:val="TableText"/>
              <w:tabs>
                <w:tab w:val="left" w:pos="3306"/>
              </w:tabs>
              <w:rPr>
                <w:rFonts w:cs="Calibri"/>
                <w:b/>
                <w:bCs/>
              </w:rPr>
            </w:pPr>
          </w:p>
        </w:tc>
        <w:tc>
          <w:tcPr>
            <w:tcW w:w="1217" w:type="dxa"/>
            <w:tcBorders>
              <w:top w:val="double" w:sz="4" w:space="0" w:color="auto"/>
              <w:left w:val="nil"/>
              <w:bottom w:val="nil"/>
              <w:right w:val="nil"/>
            </w:tcBorders>
            <w:vAlign w:val="bottom"/>
          </w:tcPr>
          <w:p w14:paraId="486A7330" w14:textId="77777777" w:rsidR="00B92775" w:rsidRPr="006911F3" w:rsidRDefault="00B92775" w:rsidP="00B92775">
            <w:pPr>
              <w:pStyle w:val="TableText"/>
              <w:tabs>
                <w:tab w:val="left" w:pos="3306"/>
              </w:tabs>
              <w:jc w:val="right"/>
              <w:rPr>
                <w:rFonts w:cs="Calibri"/>
                <w:b/>
                <w:bCs/>
              </w:rPr>
            </w:pPr>
          </w:p>
        </w:tc>
        <w:tc>
          <w:tcPr>
            <w:tcW w:w="1230" w:type="dxa"/>
            <w:tcBorders>
              <w:top w:val="double" w:sz="4" w:space="0" w:color="auto"/>
              <w:left w:val="nil"/>
              <w:bottom w:val="nil"/>
              <w:right w:val="nil"/>
            </w:tcBorders>
            <w:vAlign w:val="bottom"/>
          </w:tcPr>
          <w:p w14:paraId="36D1CD1B" w14:textId="77777777" w:rsidR="00B92775" w:rsidRPr="006911F3" w:rsidRDefault="00B92775" w:rsidP="00B92775">
            <w:pPr>
              <w:pStyle w:val="TableText"/>
              <w:tabs>
                <w:tab w:val="left" w:pos="3306"/>
              </w:tabs>
              <w:jc w:val="right"/>
              <w:rPr>
                <w:rFonts w:cs="Calibri"/>
                <w:b/>
                <w:bCs/>
              </w:rPr>
            </w:pPr>
          </w:p>
        </w:tc>
        <w:tc>
          <w:tcPr>
            <w:tcW w:w="1215" w:type="dxa"/>
            <w:tcBorders>
              <w:top w:val="double" w:sz="4" w:space="0" w:color="auto"/>
              <w:left w:val="nil"/>
              <w:bottom w:val="nil"/>
              <w:right w:val="nil"/>
            </w:tcBorders>
            <w:vAlign w:val="bottom"/>
          </w:tcPr>
          <w:p w14:paraId="29B66864" w14:textId="77777777" w:rsidR="00B92775" w:rsidRPr="006911F3" w:rsidRDefault="00B92775" w:rsidP="00B92775">
            <w:pPr>
              <w:pStyle w:val="TableText"/>
              <w:tabs>
                <w:tab w:val="left" w:pos="3306"/>
              </w:tabs>
              <w:jc w:val="right"/>
              <w:rPr>
                <w:rFonts w:cs="Calibri"/>
                <w:b/>
                <w:bCs/>
                <w:strike/>
              </w:rPr>
            </w:pPr>
          </w:p>
        </w:tc>
      </w:tr>
      <w:tr w:rsidR="00B92775" w:rsidRPr="00CF7E1B" w14:paraId="1D8132A8" w14:textId="77777777" w:rsidTr="004D1EC6">
        <w:tc>
          <w:tcPr>
            <w:tcW w:w="1563" w:type="dxa"/>
            <w:tcBorders>
              <w:top w:val="nil"/>
              <w:left w:val="single" w:sz="2" w:space="0" w:color="auto"/>
              <w:bottom w:val="nil"/>
              <w:right w:val="single" w:sz="2" w:space="0" w:color="auto"/>
            </w:tcBorders>
          </w:tcPr>
          <w:p w14:paraId="0FAE61CF" w14:textId="77777777" w:rsidR="00B92775" w:rsidRPr="006911F3" w:rsidRDefault="00B92775" w:rsidP="00B92775">
            <w:pPr>
              <w:pStyle w:val="TableReference"/>
              <w:tabs>
                <w:tab w:val="left" w:pos="3306"/>
              </w:tabs>
              <w:spacing w:before="40"/>
              <w:rPr>
                <w:rFonts w:cs="Calibri"/>
                <w:color w:val="7030A0"/>
                <w:sz w:val="16"/>
                <w:szCs w:val="16"/>
              </w:rPr>
            </w:pPr>
          </w:p>
        </w:tc>
        <w:tc>
          <w:tcPr>
            <w:tcW w:w="8987" w:type="dxa"/>
            <w:gridSpan w:val="4"/>
            <w:tcBorders>
              <w:top w:val="nil"/>
              <w:left w:val="single" w:sz="2" w:space="0" w:color="auto"/>
              <w:bottom w:val="nil"/>
              <w:right w:val="nil"/>
            </w:tcBorders>
          </w:tcPr>
          <w:p w14:paraId="788EE8AD" w14:textId="2F9D7E25" w:rsidR="00B92775" w:rsidRPr="006911F3" w:rsidRDefault="00B92775" w:rsidP="00B92775">
            <w:pPr>
              <w:pStyle w:val="TableText"/>
              <w:tabs>
                <w:tab w:val="left" w:pos="3306"/>
              </w:tabs>
              <w:rPr>
                <w:rFonts w:cs="Calibri"/>
                <w:b/>
                <w:bCs/>
                <w:strike/>
              </w:rPr>
            </w:pPr>
            <w:r w:rsidRPr="006911F3">
              <w:rPr>
                <w:rFonts w:cs="Calibri"/>
              </w:rPr>
              <w:t>Income from Government Sources</w:t>
            </w:r>
          </w:p>
        </w:tc>
      </w:tr>
    </w:tbl>
    <w:p w14:paraId="612A009F" w14:textId="77777777" w:rsidR="006128E8" w:rsidRDefault="006128E8">
      <w:pPr>
        <w:rPr>
          <w:rFonts w:cs="Calibri"/>
          <w:b/>
          <w:bCs/>
        </w:rPr>
        <w:sectPr w:rsidR="006128E8" w:rsidSect="004514CD">
          <w:footnotePr>
            <w:numRestart w:val="eachPage"/>
          </w:footnotePr>
          <w:pgSz w:w="11907" w:h="16840" w:code="9"/>
          <w:pgMar w:top="1134" w:right="680" w:bottom="567" w:left="680" w:header="720" w:footer="720" w:gutter="0"/>
          <w:cols w:space="720"/>
        </w:sectPr>
      </w:pPr>
    </w:p>
    <w:p w14:paraId="5FD6CF22" w14:textId="11D995C9" w:rsidR="00A2296F" w:rsidRPr="00572AEC" w:rsidRDefault="00A2296F" w:rsidP="00A2296F">
      <w:pPr>
        <w:spacing w:line="400" w:lineRule="exact"/>
        <w:jc w:val="center"/>
        <w:rPr>
          <w:b/>
          <w:sz w:val="40"/>
          <w:szCs w:val="40"/>
        </w:rPr>
      </w:pPr>
      <w:r w:rsidRPr="00572AEC">
        <w:rPr>
          <w:b/>
          <w:sz w:val="40"/>
          <w:szCs w:val="40"/>
        </w:rPr>
        <w:t>‘</w:t>
      </w:r>
      <w:r w:rsidR="00CB5FDC" w:rsidRPr="00572AEC">
        <w:rPr>
          <w:rFonts w:asciiTheme="minorHAnsi" w:hAnsiTheme="minorHAnsi" w:cstheme="minorHAnsi"/>
          <w:b/>
          <w:bCs/>
          <w:sz w:val="40"/>
          <w:szCs w:val="24"/>
        </w:rPr>
        <w:t>Burley Griffin</w:t>
      </w:r>
      <w:r w:rsidR="00CB5FDC" w:rsidRPr="00572AEC">
        <w:rPr>
          <w:rFonts w:asciiTheme="minorHAnsi" w:hAnsiTheme="minorHAnsi" w:cstheme="minorHAnsi"/>
          <w:sz w:val="40"/>
          <w:szCs w:val="24"/>
        </w:rPr>
        <w:t xml:space="preserve"> </w:t>
      </w:r>
      <w:r w:rsidRPr="00572AEC">
        <w:rPr>
          <w:b/>
          <w:sz w:val="40"/>
          <w:szCs w:val="40"/>
        </w:rPr>
        <w:t>Agency’</w:t>
      </w:r>
    </w:p>
    <w:p w14:paraId="4ED5476F" w14:textId="0A8577AB" w:rsidR="00A2296F" w:rsidRPr="00572AEC" w:rsidRDefault="00A2296F" w:rsidP="00A2296F">
      <w:pPr>
        <w:pStyle w:val="Subtitle"/>
        <w:spacing w:line="400" w:lineRule="exact"/>
        <w:rPr>
          <w:rFonts w:asciiTheme="minorHAnsi" w:hAnsiTheme="minorHAnsi" w:cstheme="minorHAnsi"/>
        </w:rPr>
      </w:pPr>
      <w:bookmarkStart w:id="311" w:name="_Toc132743772"/>
      <w:r w:rsidRPr="00572AEC">
        <w:rPr>
          <w:rFonts w:asciiTheme="minorHAnsi" w:hAnsiTheme="minorHAnsi" w:cstheme="minorHAnsi"/>
        </w:rPr>
        <w:t xml:space="preserve">Operating Statement for Output Class </w:t>
      </w:r>
      <w:r w:rsidR="00ED1443" w:rsidRPr="00572AEC">
        <w:rPr>
          <w:rFonts w:asciiTheme="minorHAnsi" w:hAnsiTheme="minorHAnsi" w:cstheme="minorHAnsi"/>
        </w:rPr>
        <w:t>4</w:t>
      </w:r>
      <w:r w:rsidRPr="00572AEC">
        <w:rPr>
          <w:rFonts w:asciiTheme="minorHAnsi" w:hAnsiTheme="minorHAnsi" w:cstheme="minorHAnsi"/>
        </w:rPr>
        <w:t xml:space="preserve"> – </w:t>
      </w:r>
      <w:r w:rsidR="00ED1443" w:rsidRPr="00572AEC">
        <w:rPr>
          <w:rFonts w:asciiTheme="minorHAnsi" w:hAnsiTheme="minorHAnsi" w:cstheme="minorHAnsi"/>
        </w:rPr>
        <w:t>Courts and Tribunals</w:t>
      </w:r>
      <w:bookmarkEnd w:id="311"/>
    </w:p>
    <w:p w14:paraId="67223F5E" w14:textId="3BA66736" w:rsidR="00A2296F" w:rsidRPr="00572AEC" w:rsidRDefault="00A2296F" w:rsidP="00183BD1">
      <w:pPr>
        <w:spacing w:after="240" w:line="400" w:lineRule="exact"/>
        <w:jc w:val="center"/>
        <w:rPr>
          <w:b/>
          <w:sz w:val="40"/>
          <w:szCs w:val="40"/>
        </w:rPr>
      </w:pPr>
      <w:r w:rsidRPr="00572AEC">
        <w:rPr>
          <w:b/>
          <w:sz w:val="40"/>
          <w:szCs w:val="40"/>
        </w:rPr>
        <w:t>For the Year Ended 30 June 202</w:t>
      </w:r>
      <w:r w:rsidR="00826627">
        <w:rPr>
          <w:b/>
          <w:sz w:val="40"/>
          <w:szCs w:val="40"/>
        </w:rPr>
        <w:t>3</w:t>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324"/>
        <w:gridCol w:w="1217"/>
        <w:gridCol w:w="1230"/>
        <w:gridCol w:w="1215"/>
      </w:tblGrid>
      <w:tr w:rsidR="00572AEC" w:rsidRPr="00572AEC" w14:paraId="6A0EDA55" w14:textId="77777777" w:rsidTr="004D1EC6">
        <w:tc>
          <w:tcPr>
            <w:tcW w:w="1560" w:type="dxa"/>
            <w:tcBorders>
              <w:top w:val="nil"/>
              <w:left w:val="single" w:sz="2" w:space="0" w:color="auto"/>
              <w:bottom w:val="nil"/>
              <w:right w:val="single" w:sz="2" w:space="0" w:color="auto"/>
            </w:tcBorders>
          </w:tcPr>
          <w:p w14:paraId="27E5F562" w14:textId="77777777" w:rsidR="00A2296F" w:rsidRPr="00572AEC" w:rsidRDefault="00A2296F" w:rsidP="004C6029">
            <w:pPr>
              <w:pStyle w:val="Reference"/>
              <w:tabs>
                <w:tab w:val="left" w:pos="3306"/>
              </w:tabs>
              <w:spacing w:after="120"/>
              <w:rPr>
                <w:rFonts w:cs="Calibri"/>
                <w:color w:val="7030A0"/>
                <w:sz w:val="22"/>
                <w:szCs w:val="22"/>
              </w:rPr>
            </w:pPr>
            <w:r w:rsidRPr="00572AEC">
              <w:rPr>
                <w:rFonts w:cs="Calibri"/>
                <w:color w:val="7030A0"/>
                <w:sz w:val="22"/>
                <w:szCs w:val="22"/>
              </w:rPr>
              <w:t>Reference</w:t>
            </w:r>
          </w:p>
        </w:tc>
        <w:tc>
          <w:tcPr>
            <w:tcW w:w="8986" w:type="dxa"/>
            <w:gridSpan w:val="4"/>
            <w:tcBorders>
              <w:top w:val="nil"/>
              <w:left w:val="single" w:sz="2" w:space="0" w:color="auto"/>
              <w:bottom w:val="nil"/>
              <w:right w:val="nil"/>
            </w:tcBorders>
          </w:tcPr>
          <w:p w14:paraId="3C036A39" w14:textId="2E63E53F" w:rsidR="00A2296F" w:rsidRPr="00572AEC" w:rsidRDefault="00A2296F" w:rsidP="004C6029">
            <w:pPr>
              <w:spacing w:after="120"/>
              <w:rPr>
                <w:rFonts w:cs="Calibri"/>
              </w:rPr>
            </w:pPr>
            <w:r w:rsidRPr="00572AEC">
              <w:rPr>
                <w:b/>
              </w:rPr>
              <w:t xml:space="preserve">Operating Statement for Output Class </w:t>
            </w:r>
            <w:r w:rsidR="00ED1443" w:rsidRPr="00572AEC">
              <w:rPr>
                <w:b/>
              </w:rPr>
              <w:t>4</w:t>
            </w:r>
            <w:r w:rsidRPr="00572AEC">
              <w:rPr>
                <w:b/>
              </w:rPr>
              <w:t xml:space="preserve"> – </w:t>
            </w:r>
            <w:r w:rsidR="00ED1443" w:rsidRPr="00572AEC">
              <w:rPr>
                <w:b/>
              </w:rPr>
              <w:t>Courts and Tribunals</w:t>
            </w:r>
          </w:p>
        </w:tc>
      </w:tr>
      <w:tr w:rsidR="00572AEC" w:rsidRPr="00572AEC" w14:paraId="0D53306E" w14:textId="77777777" w:rsidTr="004D1EC6">
        <w:tc>
          <w:tcPr>
            <w:tcW w:w="1560" w:type="dxa"/>
            <w:vMerge w:val="restart"/>
            <w:tcBorders>
              <w:top w:val="nil"/>
              <w:left w:val="single" w:sz="2" w:space="0" w:color="auto"/>
              <w:right w:val="single" w:sz="2" w:space="0" w:color="auto"/>
            </w:tcBorders>
          </w:tcPr>
          <w:p w14:paraId="077962FE" w14:textId="77777777" w:rsidR="00F82E19" w:rsidRPr="00572AEC" w:rsidRDefault="00F82E19" w:rsidP="00846578">
            <w:pPr>
              <w:pStyle w:val="Reference"/>
              <w:tabs>
                <w:tab w:val="left" w:pos="3306"/>
              </w:tabs>
              <w:spacing w:before="60"/>
              <w:rPr>
                <w:rFonts w:cs="Calibri"/>
                <w:b w:val="0"/>
                <w:bCs w:val="0"/>
                <w:color w:val="7030A0"/>
                <w:sz w:val="14"/>
                <w:szCs w:val="14"/>
              </w:rPr>
            </w:pPr>
            <w:r w:rsidRPr="00572AEC">
              <w:rPr>
                <w:rFonts w:cs="Calibri"/>
                <w:b w:val="0"/>
                <w:bCs w:val="0"/>
                <w:color w:val="7030A0"/>
                <w:sz w:val="14"/>
                <w:szCs w:val="14"/>
              </w:rPr>
              <w:t>AASB 1052.15(a)</w:t>
            </w:r>
          </w:p>
          <w:p w14:paraId="56D760AC" w14:textId="7E4B8843" w:rsidR="00F82E19" w:rsidRPr="00572AEC" w:rsidRDefault="00F82E19" w:rsidP="00846578">
            <w:pPr>
              <w:pStyle w:val="TableReference"/>
              <w:tabs>
                <w:tab w:val="left" w:pos="3306"/>
              </w:tabs>
              <w:rPr>
                <w:rFonts w:cs="Calibri"/>
                <w:color w:val="7030A0"/>
                <w:sz w:val="14"/>
              </w:rPr>
            </w:pPr>
            <w:r w:rsidRPr="00572AEC">
              <w:rPr>
                <w:rFonts w:cs="Calibri"/>
                <w:color w:val="7030A0"/>
                <w:sz w:val="14"/>
              </w:rPr>
              <w:t>FMA Section 27(3)(a) Financial Management (Periodic &amp; Annual Financial Statements) Guidelines 201</w:t>
            </w:r>
            <w:r w:rsidR="007F6866" w:rsidRPr="00572AEC">
              <w:rPr>
                <w:rFonts w:cs="Calibri"/>
                <w:color w:val="7030A0"/>
                <w:sz w:val="14"/>
              </w:rPr>
              <w:t>6</w:t>
            </w:r>
          </w:p>
          <w:p w14:paraId="3457B9D9" w14:textId="3AD11624" w:rsidR="00F82E19" w:rsidRPr="00572AEC" w:rsidRDefault="00F82E19" w:rsidP="00846578">
            <w:pPr>
              <w:pStyle w:val="TableReference"/>
              <w:tabs>
                <w:tab w:val="left" w:pos="3306"/>
              </w:tabs>
              <w:rPr>
                <w:rFonts w:cs="Calibri"/>
                <w:b/>
                <w:bCs/>
                <w:color w:val="7030A0"/>
                <w:sz w:val="14"/>
              </w:rPr>
            </w:pPr>
            <w:r w:rsidRPr="00572AEC">
              <w:rPr>
                <w:rFonts w:cs="Calibri"/>
                <w:color w:val="7030A0"/>
                <w:sz w:val="14"/>
              </w:rPr>
              <w:t>Section 7(2)</w:t>
            </w:r>
          </w:p>
        </w:tc>
        <w:tc>
          <w:tcPr>
            <w:tcW w:w="8986" w:type="dxa"/>
            <w:gridSpan w:val="4"/>
            <w:tcBorders>
              <w:top w:val="nil"/>
              <w:left w:val="single" w:sz="2" w:space="0" w:color="auto"/>
              <w:bottom w:val="nil"/>
              <w:right w:val="nil"/>
            </w:tcBorders>
            <w:vAlign w:val="bottom"/>
          </w:tcPr>
          <w:p w14:paraId="24819ADE" w14:textId="77777777" w:rsidR="00F82E19" w:rsidRPr="00572AEC" w:rsidRDefault="00F82E19" w:rsidP="004C6029">
            <w:pPr>
              <w:pStyle w:val="CommentaryHeading"/>
              <w:tabs>
                <w:tab w:val="left" w:pos="3306"/>
              </w:tabs>
              <w:rPr>
                <w:rFonts w:cs="Calibri"/>
                <w:sz w:val="18"/>
              </w:rPr>
            </w:pPr>
            <w:r w:rsidRPr="00572AEC">
              <w:rPr>
                <w:rFonts w:cs="Calibri"/>
                <w:sz w:val="18"/>
              </w:rPr>
              <w:t>Description</w:t>
            </w:r>
          </w:p>
          <w:p w14:paraId="1B1EF2BE" w14:textId="16AB745A" w:rsidR="00F82E19" w:rsidRPr="00572AEC" w:rsidRDefault="00F82E19" w:rsidP="004C6029">
            <w:pPr>
              <w:pStyle w:val="TableTitle"/>
              <w:tabs>
                <w:tab w:val="left" w:pos="3306"/>
              </w:tabs>
              <w:spacing w:after="120"/>
              <w:jc w:val="both"/>
              <w:rPr>
                <w:rFonts w:cs="Calibri"/>
                <w:b w:val="0"/>
                <w:bCs w:val="0"/>
              </w:rPr>
            </w:pPr>
            <w:r w:rsidRPr="00572AEC">
              <w:rPr>
                <w:rFonts w:cs="Calibri"/>
                <w:b w:val="0"/>
                <w:bCs w:val="0"/>
              </w:rPr>
              <w:t xml:space="preserve">Output Class </w:t>
            </w:r>
            <w:r w:rsidR="00225AA5" w:rsidRPr="00572AEC">
              <w:rPr>
                <w:rFonts w:cs="Calibri"/>
                <w:b w:val="0"/>
                <w:bCs w:val="0"/>
              </w:rPr>
              <w:t>4</w:t>
            </w:r>
            <w:r w:rsidRPr="00572AEC">
              <w:rPr>
                <w:rFonts w:cs="Calibri"/>
                <w:b w:val="0"/>
                <w:bCs w:val="0"/>
              </w:rPr>
              <w:t xml:space="preserve">: </w:t>
            </w:r>
            <w:r w:rsidR="00225AA5" w:rsidRPr="00572AEC">
              <w:rPr>
                <w:rFonts w:cs="Calibri"/>
                <w:b w:val="0"/>
                <w:bCs w:val="0"/>
              </w:rPr>
              <w:t>‘</w:t>
            </w:r>
            <w:r w:rsidR="00225AA5" w:rsidRPr="00572AEC">
              <w:rPr>
                <w:b w:val="0"/>
              </w:rPr>
              <w:t>Courts and Tribunals’</w:t>
            </w:r>
            <w:r w:rsidR="00225AA5" w:rsidRPr="00572AEC">
              <w:rPr>
                <w:rFonts w:cs="Calibri"/>
                <w:b w:val="0"/>
                <w:bCs w:val="0"/>
              </w:rPr>
              <w:t xml:space="preserve"> includes h</w:t>
            </w:r>
            <w:r w:rsidRPr="00572AEC">
              <w:rPr>
                <w:b w:val="0"/>
                <w:bCs w:val="0"/>
              </w:rPr>
              <w:t>igh quality support to judicial officers and tribunal members in the ACT Courts and Tribunal</w:t>
            </w:r>
            <w:r w:rsidR="007F6866" w:rsidRPr="00572AEC">
              <w:rPr>
                <w:b w:val="0"/>
                <w:bCs w:val="0"/>
              </w:rPr>
              <w:t>,</w:t>
            </w:r>
            <w:r w:rsidRPr="00572AEC">
              <w:rPr>
                <w:b w:val="0"/>
                <w:bCs w:val="0"/>
              </w:rPr>
              <w:t xml:space="preserve"> and high quality services to the public using the courts and the tribunal.</w:t>
            </w:r>
          </w:p>
        </w:tc>
      </w:tr>
      <w:tr w:rsidR="00572AEC" w:rsidRPr="00572AEC" w14:paraId="0BBB6B9F" w14:textId="77777777" w:rsidTr="004D1EC6">
        <w:tc>
          <w:tcPr>
            <w:tcW w:w="1560" w:type="dxa"/>
            <w:vMerge/>
            <w:tcBorders>
              <w:left w:val="single" w:sz="2" w:space="0" w:color="auto"/>
              <w:right w:val="single" w:sz="2" w:space="0" w:color="auto"/>
            </w:tcBorders>
            <w:vAlign w:val="bottom"/>
          </w:tcPr>
          <w:p w14:paraId="7858D58A" w14:textId="26EA5987" w:rsidR="00F82E19" w:rsidRPr="00572AEC" w:rsidRDefault="00F82E19" w:rsidP="004C6029">
            <w:pPr>
              <w:pStyle w:val="TableReference"/>
              <w:tabs>
                <w:tab w:val="left" w:pos="3306"/>
              </w:tabs>
              <w:rPr>
                <w:rFonts w:cs="Calibri"/>
                <w:color w:val="7030A0"/>
                <w:sz w:val="14"/>
              </w:rPr>
            </w:pPr>
          </w:p>
        </w:tc>
        <w:tc>
          <w:tcPr>
            <w:tcW w:w="5324" w:type="dxa"/>
            <w:tcBorders>
              <w:top w:val="nil"/>
              <w:left w:val="single" w:sz="2" w:space="0" w:color="auto"/>
              <w:bottom w:val="nil"/>
              <w:right w:val="nil"/>
            </w:tcBorders>
            <w:vAlign w:val="bottom"/>
          </w:tcPr>
          <w:p w14:paraId="03051243" w14:textId="77777777" w:rsidR="00F82E19" w:rsidRPr="00572AEC" w:rsidRDefault="00F82E19" w:rsidP="004C6029">
            <w:pPr>
              <w:pStyle w:val="TableTitle"/>
              <w:tabs>
                <w:tab w:val="left" w:pos="3306"/>
              </w:tabs>
              <w:rPr>
                <w:rFonts w:cs="Calibri"/>
              </w:rPr>
            </w:pPr>
          </w:p>
        </w:tc>
        <w:tc>
          <w:tcPr>
            <w:tcW w:w="1217" w:type="dxa"/>
            <w:tcBorders>
              <w:top w:val="nil"/>
              <w:left w:val="nil"/>
              <w:bottom w:val="nil"/>
              <w:right w:val="nil"/>
            </w:tcBorders>
            <w:vAlign w:val="bottom"/>
          </w:tcPr>
          <w:p w14:paraId="749A4304" w14:textId="77777777" w:rsidR="00F82E19" w:rsidRPr="00572AEC" w:rsidRDefault="00F82E19" w:rsidP="004C6029">
            <w:pPr>
              <w:pStyle w:val="TableTitle"/>
              <w:tabs>
                <w:tab w:val="left" w:pos="3306"/>
              </w:tabs>
              <w:rPr>
                <w:rFonts w:cs="Calibri"/>
              </w:rPr>
            </w:pPr>
            <w:r w:rsidRPr="00572AEC">
              <w:rPr>
                <w:rFonts w:cs="Calibri"/>
              </w:rPr>
              <w:t>Actual</w:t>
            </w:r>
          </w:p>
          <w:p w14:paraId="5D09F6E0" w14:textId="131869DF" w:rsidR="00F82E19" w:rsidRPr="00572AEC" w:rsidRDefault="00F82E19" w:rsidP="004C6029">
            <w:pPr>
              <w:pStyle w:val="TableTitle"/>
              <w:tabs>
                <w:tab w:val="left" w:pos="3306"/>
              </w:tabs>
              <w:rPr>
                <w:rFonts w:cs="Calibri"/>
              </w:rPr>
            </w:pPr>
            <w:r w:rsidRPr="00572AEC">
              <w:rPr>
                <w:rFonts w:cs="Calibri"/>
              </w:rPr>
              <w:t>202</w:t>
            </w:r>
            <w:r w:rsidR="00826627">
              <w:rPr>
                <w:rFonts w:cs="Calibri"/>
              </w:rPr>
              <w:t>3</w:t>
            </w:r>
          </w:p>
          <w:p w14:paraId="6250DB0C" w14:textId="77777777" w:rsidR="00F82E19" w:rsidRPr="00572AEC" w:rsidRDefault="00F82E19" w:rsidP="004C6029">
            <w:pPr>
              <w:pStyle w:val="TableTitle"/>
              <w:tabs>
                <w:tab w:val="left" w:pos="3306"/>
              </w:tabs>
              <w:rPr>
                <w:rFonts w:cs="Calibri"/>
              </w:rPr>
            </w:pPr>
            <w:r w:rsidRPr="00572AEC">
              <w:rPr>
                <w:rFonts w:cs="Calibri"/>
              </w:rPr>
              <w:t>$’000</w:t>
            </w:r>
          </w:p>
        </w:tc>
        <w:tc>
          <w:tcPr>
            <w:tcW w:w="1230" w:type="dxa"/>
            <w:tcBorders>
              <w:top w:val="nil"/>
              <w:left w:val="nil"/>
              <w:bottom w:val="nil"/>
              <w:right w:val="nil"/>
            </w:tcBorders>
            <w:vAlign w:val="bottom"/>
          </w:tcPr>
          <w:p w14:paraId="52F035DF" w14:textId="77777777" w:rsidR="00F82E19" w:rsidRPr="00572AEC" w:rsidRDefault="00F82E19" w:rsidP="004C6029">
            <w:pPr>
              <w:pStyle w:val="TableTitle"/>
              <w:tabs>
                <w:tab w:val="left" w:pos="3306"/>
              </w:tabs>
              <w:rPr>
                <w:rFonts w:cs="Calibri"/>
              </w:rPr>
            </w:pPr>
            <w:r w:rsidRPr="00572AEC">
              <w:rPr>
                <w:rFonts w:cs="Calibri"/>
              </w:rPr>
              <w:t>Original Budget</w:t>
            </w:r>
          </w:p>
          <w:p w14:paraId="644F9609" w14:textId="31B2B9AA" w:rsidR="00F82E19" w:rsidRPr="00572AEC" w:rsidRDefault="00F82E19" w:rsidP="004C6029">
            <w:pPr>
              <w:pStyle w:val="TableTitle"/>
              <w:tabs>
                <w:tab w:val="left" w:pos="3306"/>
              </w:tabs>
              <w:rPr>
                <w:rFonts w:cs="Calibri"/>
              </w:rPr>
            </w:pPr>
            <w:r w:rsidRPr="00572AEC">
              <w:rPr>
                <w:rFonts w:cs="Calibri"/>
              </w:rPr>
              <w:t>202</w:t>
            </w:r>
            <w:r w:rsidR="00826627">
              <w:rPr>
                <w:rFonts w:cs="Calibri"/>
              </w:rPr>
              <w:t>3</w:t>
            </w:r>
          </w:p>
          <w:p w14:paraId="5C3BB1EE" w14:textId="77777777" w:rsidR="00F82E19" w:rsidRPr="00572AEC" w:rsidRDefault="00F82E19" w:rsidP="004C6029">
            <w:pPr>
              <w:pStyle w:val="TableTitle"/>
              <w:tabs>
                <w:tab w:val="left" w:pos="3306"/>
              </w:tabs>
              <w:rPr>
                <w:rFonts w:cs="Calibri"/>
              </w:rPr>
            </w:pPr>
            <w:r w:rsidRPr="00572AEC">
              <w:rPr>
                <w:rFonts w:cs="Calibri"/>
              </w:rPr>
              <w:t>$’000</w:t>
            </w:r>
          </w:p>
        </w:tc>
        <w:tc>
          <w:tcPr>
            <w:tcW w:w="1215" w:type="dxa"/>
            <w:tcBorders>
              <w:top w:val="nil"/>
              <w:left w:val="nil"/>
              <w:bottom w:val="nil"/>
              <w:right w:val="nil"/>
            </w:tcBorders>
            <w:vAlign w:val="bottom"/>
          </w:tcPr>
          <w:p w14:paraId="7925EF6B" w14:textId="77777777" w:rsidR="00F82E19" w:rsidRPr="00572AEC" w:rsidRDefault="00F82E19" w:rsidP="004C6029">
            <w:pPr>
              <w:pStyle w:val="TableTitle"/>
              <w:tabs>
                <w:tab w:val="left" w:pos="3306"/>
              </w:tabs>
              <w:rPr>
                <w:rFonts w:cs="Calibri"/>
              </w:rPr>
            </w:pPr>
            <w:r w:rsidRPr="00572AEC">
              <w:rPr>
                <w:rFonts w:cs="Calibri"/>
              </w:rPr>
              <w:t>Actual</w:t>
            </w:r>
          </w:p>
          <w:p w14:paraId="3F5ED4A8" w14:textId="25DFF78D" w:rsidR="00F82E19" w:rsidRPr="00572AEC" w:rsidRDefault="00F82E19" w:rsidP="004C6029">
            <w:pPr>
              <w:pStyle w:val="TableTitle"/>
              <w:tabs>
                <w:tab w:val="left" w:pos="3306"/>
              </w:tabs>
              <w:rPr>
                <w:rFonts w:cs="Calibri"/>
              </w:rPr>
            </w:pPr>
            <w:r w:rsidRPr="00572AEC">
              <w:rPr>
                <w:rFonts w:cs="Calibri"/>
              </w:rPr>
              <w:t>202</w:t>
            </w:r>
            <w:r w:rsidR="00826627">
              <w:rPr>
                <w:rFonts w:cs="Calibri"/>
              </w:rPr>
              <w:t>2</w:t>
            </w:r>
          </w:p>
          <w:p w14:paraId="34110361" w14:textId="77777777" w:rsidR="00F82E19" w:rsidRPr="00572AEC" w:rsidRDefault="00F82E19" w:rsidP="004C6029">
            <w:pPr>
              <w:pStyle w:val="TableTitle"/>
              <w:tabs>
                <w:tab w:val="left" w:pos="3306"/>
              </w:tabs>
              <w:rPr>
                <w:rFonts w:cs="Calibri"/>
              </w:rPr>
            </w:pPr>
            <w:r w:rsidRPr="00572AEC">
              <w:rPr>
                <w:rFonts w:cs="Calibri"/>
              </w:rPr>
              <w:t>$’000</w:t>
            </w:r>
          </w:p>
        </w:tc>
      </w:tr>
      <w:tr w:rsidR="00572AEC" w:rsidRPr="00572AEC" w14:paraId="36115664" w14:textId="77777777" w:rsidTr="004D1EC6">
        <w:tc>
          <w:tcPr>
            <w:tcW w:w="1560" w:type="dxa"/>
            <w:vMerge/>
            <w:tcBorders>
              <w:top w:val="nil"/>
              <w:left w:val="single" w:sz="2" w:space="0" w:color="auto"/>
              <w:bottom w:val="nil"/>
              <w:right w:val="single" w:sz="2" w:space="0" w:color="auto"/>
            </w:tcBorders>
          </w:tcPr>
          <w:p w14:paraId="301C5BE6" w14:textId="77777777" w:rsidR="00F82E19" w:rsidRPr="00572AEC" w:rsidRDefault="00F82E19" w:rsidP="004C6029">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4AFE55AE" w14:textId="77777777" w:rsidR="00F82E19" w:rsidRPr="00572AEC" w:rsidRDefault="00F82E19" w:rsidP="004C6029">
            <w:pPr>
              <w:pStyle w:val="TableText"/>
              <w:tabs>
                <w:tab w:val="left" w:pos="3306"/>
              </w:tabs>
              <w:rPr>
                <w:rFonts w:cs="Calibri"/>
                <w:b/>
                <w:bCs/>
              </w:rPr>
            </w:pPr>
            <w:r w:rsidRPr="00572AEC">
              <w:rPr>
                <w:rFonts w:cs="Calibri"/>
                <w:b/>
                <w:bCs/>
              </w:rPr>
              <w:t>Income</w:t>
            </w:r>
          </w:p>
        </w:tc>
        <w:tc>
          <w:tcPr>
            <w:tcW w:w="1217" w:type="dxa"/>
            <w:tcBorders>
              <w:top w:val="nil"/>
              <w:left w:val="nil"/>
              <w:bottom w:val="nil"/>
              <w:right w:val="nil"/>
            </w:tcBorders>
            <w:vAlign w:val="bottom"/>
          </w:tcPr>
          <w:p w14:paraId="1A29C6DC" w14:textId="77777777" w:rsidR="00F82E19" w:rsidRPr="00572AEC" w:rsidRDefault="00F82E19"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4FBEA6CF" w14:textId="77777777" w:rsidR="00F82E19" w:rsidRPr="00572AEC" w:rsidRDefault="00F82E19"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60123893" w14:textId="77777777" w:rsidR="00F82E19" w:rsidRPr="00572AEC" w:rsidRDefault="00F82E19" w:rsidP="004C6029">
            <w:pPr>
              <w:pStyle w:val="TableText"/>
              <w:tabs>
                <w:tab w:val="left" w:pos="3306"/>
              </w:tabs>
              <w:jc w:val="right"/>
              <w:rPr>
                <w:rFonts w:cs="Calibri"/>
              </w:rPr>
            </w:pPr>
          </w:p>
        </w:tc>
      </w:tr>
      <w:tr w:rsidR="00572AEC" w:rsidRPr="00572AEC" w14:paraId="0C0B4526" w14:textId="77777777" w:rsidTr="004D1EC6">
        <w:tc>
          <w:tcPr>
            <w:tcW w:w="1560" w:type="dxa"/>
            <w:tcBorders>
              <w:top w:val="nil"/>
              <w:left w:val="single" w:sz="2" w:space="0" w:color="auto"/>
              <w:bottom w:val="nil"/>
              <w:right w:val="single" w:sz="2" w:space="0" w:color="auto"/>
            </w:tcBorders>
          </w:tcPr>
          <w:p w14:paraId="522BFEE3" w14:textId="77777777" w:rsidR="00A2296F" w:rsidRPr="00572AEC" w:rsidRDefault="00A2296F" w:rsidP="004C6029">
            <w:pPr>
              <w:pStyle w:val="TableReference"/>
              <w:tabs>
                <w:tab w:val="left" w:pos="3306"/>
              </w:tabs>
              <w:spacing w:before="4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7CDE2C05" w14:textId="77777777" w:rsidR="00A2296F" w:rsidRPr="00A742FB" w:rsidRDefault="00A2296F" w:rsidP="004C6029">
            <w:pPr>
              <w:pStyle w:val="TableText"/>
              <w:tabs>
                <w:tab w:val="left" w:pos="3306"/>
              </w:tabs>
              <w:rPr>
                <w:rFonts w:cs="Calibri"/>
                <w:i/>
                <w:iCs/>
                <w:strike/>
              </w:rPr>
            </w:pPr>
            <w:r w:rsidRPr="00A742FB">
              <w:rPr>
                <w:rFonts w:cs="Calibri"/>
                <w:i/>
                <w:iCs/>
                <w:strike/>
                <w:color w:val="FF0000"/>
              </w:rPr>
              <w:t>Revenue</w:t>
            </w:r>
          </w:p>
        </w:tc>
        <w:tc>
          <w:tcPr>
            <w:tcW w:w="1217" w:type="dxa"/>
            <w:tcBorders>
              <w:top w:val="nil"/>
              <w:left w:val="nil"/>
              <w:bottom w:val="nil"/>
              <w:right w:val="nil"/>
            </w:tcBorders>
            <w:vAlign w:val="bottom"/>
          </w:tcPr>
          <w:p w14:paraId="724BA8AF"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5B933EEE"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3AE205F4" w14:textId="77777777" w:rsidR="00A2296F" w:rsidRPr="00572AEC" w:rsidRDefault="00A2296F" w:rsidP="004C6029">
            <w:pPr>
              <w:pStyle w:val="TableText"/>
              <w:tabs>
                <w:tab w:val="left" w:pos="3306"/>
              </w:tabs>
              <w:jc w:val="right"/>
              <w:rPr>
                <w:rFonts w:cs="Calibri"/>
              </w:rPr>
            </w:pPr>
          </w:p>
        </w:tc>
      </w:tr>
      <w:tr w:rsidR="00572AEC" w:rsidRPr="00572AEC" w14:paraId="57E20512" w14:textId="77777777" w:rsidTr="004D1EC6">
        <w:tc>
          <w:tcPr>
            <w:tcW w:w="1560" w:type="dxa"/>
            <w:tcBorders>
              <w:top w:val="nil"/>
              <w:left w:val="single" w:sz="2" w:space="0" w:color="auto"/>
              <w:bottom w:val="nil"/>
              <w:right w:val="single" w:sz="2" w:space="0" w:color="auto"/>
            </w:tcBorders>
          </w:tcPr>
          <w:p w14:paraId="27687EAD" w14:textId="77777777" w:rsidR="00A2296F" w:rsidRPr="00572AEC" w:rsidRDefault="00A2296F" w:rsidP="004C6029">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6ED06B57" w14:textId="77777777" w:rsidR="00A2296F" w:rsidRPr="00572AEC" w:rsidRDefault="00A2296F" w:rsidP="004C6029">
            <w:pPr>
              <w:pStyle w:val="TableText"/>
              <w:tabs>
                <w:tab w:val="left" w:pos="3306"/>
              </w:tabs>
              <w:rPr>
                <w:rFonts w:cs="Calibri"/>
                <w:strike/>
              </w:rPr>
            </w:pPr>
            <w:r w:rsidRPr="00572AEC">
              <w:rPr>
                <w:rFonts w:cs="Calibri"/>
              </w:rPr>
              <w:t>Controlled Recurrent Payments</w:t>
            </w:r>
          </w:p>
        </w:tc>
        <w:tc>
          <w:tcPr>
            <w:tcW w:w="1217" w:type="dxa"/>
            <w:tcBorders>
              <w:top w:val="nil"/>
              <w:left w:val="nil"/>
              <w:bottom w:val="nil"/>
              <w:right w:val="nil"/>
            </w:tcBorders>
            <w:vAlign w:val="bottom"/>
          </w:tcPr>
          <w:p w14:paraId="4CB2E729"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065AE1CC"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6794F0AD" w14:textId="77777777" w:rsidR="00A2296F" w:rsidRPr="00572AEC" w:rsidRDefault="00A2296F" w:rsidP="004C6029">
            <w:pPr>
              <w:pStyle w:val="TableText"/>
              <w:tabs>
                <w:tab w:val="left" w:pos="3306"/>
              </w:tabs>
              <w:jc w:val="right"/>
              <w:rPr>
                <w:rFonts w:cs="Calibri"/>
              </w:rPr>
            </w:pPr>
          </w:p>
        </w:tc>
      </w:tr>
      <w:tr w:rsidR="00572AEC" w:rsidRPr="00572AEC" w14:paraId="4453441B" w14:textId="77777777" w:rsidTr="004D1EC6">
        <w:tc>
          <w:tcPr>
            <w:tcW w:w="1560" w:type="dxa"/>
            <w:tcBorders>
              <w:top w:val="nil"/>
              <w:left w:val="single" w:sz="2" w:space="0" w:color="auto"/>
              <w:bottom w:val="nil"/>
              <w:right w:val="single" w:sz="2" w:space="0" w:color="auto"/>
            </w:tcBorders>
          </w:tcPr>
          <w:p w14:paraId="1E612AD3" w14:textId="77777777" w:rsidR="00A2296F" w:rsidRPr="00572AEC" w:rsidRDefault="00A2296F" w:rsidP="004C6029">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10B49614" w14:textId="77777777" w:rsidR="00A2296F" w:rsidRPr="00572AEC" w:rsidRDefault="00A2296F" w:rsidP="004C6029">
            <w:pPr>
              <w:pStyle w:val="TableText"/>
              <w:tabs>
                <w:tab w:val="left" w:pos="3306"/>
              </w:tabs>
              <w:rPr>
                <w:rFonts w:cs="Calibri"/>
              </w:rPr>
            </w:pPr>
            <w:r w:rsidRPr="00572AEC">
              <w:rPr>
                <w:rFonts w:cs="Calibri"/>
              </w:rPr>
              <w:t>Grants and Contributions Revenue</w:t>
            </w:r>
          </w:p>
        </w:tc>
        <w:tc>
          <w:tcPr>
            <w:tcW w:w="1217" w:type="dxa"/>
            <w:tcBorders>
              <w:top w:val="nil"/>
              <w:left w:val="nil"/>
              <w:bottom w:val="nil"/>
              <w:right w:val="nil"/>
            </w:tcBorders>
            <w:vAlign w:val="bottom"/>
          </w:tcPr>
          <w:p w14:paraId="7AEE444B"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21BEF8F2"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36610D98" w14:textId="77777777" w:rsidR="00A2296F" w:rsidRPr="00572AEC" w:rsidRDefault="00A2296F" w:rsidP="004C6029">
            <w:pPr>
              <w:pStyle w:val="TableText"/>
              <w:tabs>
                <w:tab w:val="left" w:pos="3306"/>
              </w:tabs>
              <w:jc w:val="right"/>
              <w:rPr>
                <w:rFonts w:cs="Calibri"/>
              </w:rPr>
            </w:pPr>
          </w:p>
        </w:tc>
      </w:tr>
      <w:tr w:rsidR="00572AEC" w:rsidRPr="00572AEC" w14:paraId="1672730C" w14:textId="77777777" w:rsidTr="004D1EC6">
        <w:tc>
          <w:tcPr>
            <w:tcW w:w="1560" w:type="dxa"/>
            <w:tcBorders>
              <w:top w:val="nil"/>
              <w:left w:val="single" w:sz="2" w:space="0" w:color="auto"/>
              <w:bottom w:val="nil"/>
              <w:right w:val="single" w:sz="2" w:space="0" w:color="auto"/>
            </w:tcBorders>
          </w:tcPr>
          <w:p w14:paraId="3AE95C23" w14:textId="77777777" w:rsidR="00A2296F" w:rsidRPr="00947CD5" w:rsidRDefault="00A2296F" w:rsidP="004C6029">
            <w:pPr>
              <w:pStyle w:val="TableReference"/>
              <w:tabs>
                <w:tab w:val="left" w:pos="3306"/>
              </w:tabs>
              <w:spacing w:before="60"/>
              <w:rPr>
                <w:rFonts w:cs="Calibri"/>
                <w:strike/>
                <w:color w:val="7030A0"/>
                <w:sz w:val="14"/>
              </w:rPr>
            </w:pPr>
            <w:r w:rsidRPr="00947CD5">
              <w:rPr>
                <w:rFonts w:cs="Calibri"/>
                <w:strike/>
                <w:color w:val="FF0000"/>
                <w:sz w:val="14"/>
              </w:rPr>
              <w:t>AASB 1052.15(d)</w:t>
            </w:r>
          </w:p>
        </w:tc>
        <w:tc>
          <w:tcPr>
            <w:tcW w:w="5324" w:type="dxa"/>
            <w:tcBorders>
              <w:top w:val="nil"/>
              <w:left w:val="single" w:sz="2" w:space="0" w:color="auto"/>
              <w:bottom w:val="nil"/>
              <w:right w:val="nil"/>
            </w:tcBorders>
            <w:vAlign w:val="bottom"/>
          </w:tcPr>
          <w:p w14:paraId="25807605" w14:textId="457875E5" w:rsidR="00A2296F" w:rsidRPr="00A742FB" w:rsidRDefault="00A2296F" w:rsidP="004C6029">
            <w:pPr>
              <w:pStyle w:val="TableText"/>
              <w:tabs>
                <w:tab w:val="left" w:pos="3306"/>
              </w:tabs>
              <w:rPr>
                <w:rFonts w:cs="Calibri"/>
                <w:strike/>
                <w:color w:val="FF0000"/>
              </w:rPr>
            </w:pPr>
            <w:r w:rsidRPr="00A742FB">
              <w:rPr>
                <w:rFonts w:cs="Calibri"/>
                <w:strike/>
                <w:color w:val="FF0000"/>
              </w:rPr>
              <w:t xml:space="preserve">Other </w:t>
            </w:r>
            <w:r w:rsidR="00500DD7" w:rsidRPr="00A742FB">
              <w:rPr>
                <w:rFonts w:cs="Calibri"/>
                <w:strike/>
                <w:color w:val="FF0000"/>
              </w:rPr>
              <w:t>Revenue</w:t>
            </w:r>
          </w:p>
        </w:tc>
        <w:tc>
          <w:tcPr>
            <w:tcW w:w="1217" w:type="dxa"/>
            <w:tcBorders>
              <w:top w:val="nil"/>
              <w:left w:val="nil"/>
              <w:bottom w:val="single" w:sz="4" w:space="0" w:color="auto"/>
              <w:right w:val="nil"/>
            </w:tcBorders>
            <w:vAlign w:val="bottom"/>
          </w:tcPr>
          <w:p w14:paraId="4C3C6659"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442F3794"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273FB09" w14:textId="77777777" w:rsidR="00A2296F" w:rsidRPr="00572AEC" w:rsidRDefault="00A2296F" w:rsidP="004C6029">
            <w:pPr>
              <w:pStyle w:val="TableText"/>
              <w:tabs>
                <w:tab w:val="left" w:pos="3306"/>
              </w:tabs>
              <w:jc w:val="right"/>
              <w:rPr>
                <w:rFonts w:cs="Calibri"/>
              </w:rPr>
            </w:pPr>
          </w:p>
        </w:tc>
      </w:tr>
      <w:tr w:rsidR="00572AEC" w:rsidRPr="00572AEC" w14:paraId="466E58C5" w14:textId="77777777" w:rsidTr="004D1EC6">
        <w:tc>
          <w:tcPr>
            <w:tcW w:w="1560" w:type="dxa"/>
            <w:tcBorders>
              <w:top w:val="nil"/>
              <w:left w:val="single" w:sz="2" w:space="0" w:color="auto"/>
              <w:bottom w:val="nil"/>
              <w:right w:val="single" w:sz="2" w:space="0" w:color="auto"/>
            </w:tcBorders>
          </w:tcPr>
          <w:p w14:paraId="0EB410DC" w14:textId="77777777" w:rsidR="00500DD7" w:rsidRPr="00572AEC" w:rsidRDefault="00500DD7" w:rsidP="00500DD7">
            <w:pPr>
              <w:pStyle w:val="TableReference"/>
              <w:tabs>
                <w:tab w:val="left" w:pos="3306"/>
              </w:tabs>
              <w:spacing w:before="60"/>
              <w:rPr>
                <w:rFonts w:cs="Calibri"/>
                <w:color w:val="7030A0"/>
                <w:sz w:val="14"/>
              </w:rPr>
            </w:pPr>
          </w:p>
        </w:tc>
        <w:tc>
          <w:tcPr>
            <w:tcW w:w="5324" w:type="dxa"/>
            <w:tcBorders>
              <w:top w:val="nil"/>
              <w:left w:val="single" w:sz="2" w:space="0" w:color="auto"/>
              <w:bottom w:val="nil"/>
              <w:right w:val="nil"/>
            </w:tcBorders>
            <w:vAlign w:val="bottom"/>
          </w:tcPr>
          <w:p w14:paraId="2CF78A62" w14:textId="5F92742C" w:rsidR="00500DD7" w:rsidRPr="00A742FB" w:rsidRDefault="00500DD7" w:rsidP="00500DD7">
            <w:pPr>
              <w:pStyle w:val="TableText"/>
              <w:tabs>
                <w:tab w:val="left" w:pos="3306"/>
              </w:tabs>
              <w:rPr>
                <w:rFonts w:cs="Calibri"/>
                <w:strike/>
                <w:color w:val="FF0000"/>
              </w:rPr>
            </w:pPr>
            <w:r w:rsidRPr="00A742FB">
              <w:rPr>
                <w:rFonts w:cs="Calibri"/>
                <w:i/>
                <w:iCs/>
                <w:strike/>
                <w:color w:val="FF0000"/>
              </w:rPr>
              <w:t>Total Revenue</w:t>
            </w:r>
          </w:p>
        </w:tc>
        <w:tc>
          <w:tcPr>
            <w:tcW w:w="1217" w:type="dxa"/>
            <w:tcBorders>
              <w:top w:val="single" w:sz="4" w:space="0" w:color="auto"/>
              <w:left w:val="nil"/>
              <w:bottom w:val="nil"/>
              <w:right w:val="nil"/>
            </w:tcBorders>
            <w:vAlign w:val="bottom"/>
          </w:tcPr>
          <w:p w14:paraId="2F84AFDD"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105B7818"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201AFD26" w14:textId="77777777" w:rsidR="00500DD7" w:rsidRPr="00572AEC" w:rsidRDefault="00500DD7" w:rsidP="00500DD7">
            <w:pPr>
              <w:pStyle w:val="TableText"/>
              <w:tabs>
                <w:tab w:val="left" w:pos="3306"/>
              </w:tabs>
              <w:jc w:val="right"/>
              <w:rPr>
                <w:rFonts w:cs="Calibri"/>
              </w:rPr>
            </w:pPr>
          </w:p>
        </w:tc>
      </w:tr>
      <w:tr w:rsidR="00572AEC" w:rsidRPr="00572AEC" w14:paraId="2A43D1F2" w14:textId="77777777" w:rsidTr="004D1EC6">
        <w:tc>
          <w:tcPr>
            <w:tcW w:w="1560" w:type="dxa"/>
            <w:tcBorders>
              <w:top w:val="nil"/>
              <w:left w:val="single" w:sz="2" w:space="0" w:color="auto"/>
              <w:bottom w:val="nil"/>
              <w:right w:val="single" w:sz="2" w:space="0" w:color="auto"/>
            </w:tcBorders>
          </w:tcPr>
          <w:p w14:paraId="2FABB363" w14:textId="6B9C4599"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690DAB26" w14:textId="6526E216" w:rsidR="00500DD7" w:rsidRPr="00A742FB" w:rsidRDefault="00500DD7" w:rsidP="00500DD7">
            <w:pPr>
              <w:pStyle w:val="TableText"/>
              <w:tabs>
                <w:tab w:val="left" w:pos="3306"/>
              </w:tabs>
              <w:rPr>
                <w:rFonts w:cs="Calibri"/>
                <w:strike/>
              </w:rPr>
            </w:pPr>
            <w:r w:rsidRPr="00A742FB">
              <w:rPr>
                <w:rFonts w:cs="Calibri"/>
                <w:i/>
                <w:iCs/>
                <w:strike/>
                <w:color w:val="FF0000"/>
              </w:rPr>
              <w:t>Gains</w:t>
            </w:r>
          </w:p>
        </w:tc>
        <w:tc>
          <w:tcPr>
            <w:tcW w:w="1217" w:type="dxa"/>
            <w:tcBorders>
              <w:top w:val="nil"/>
              <w:left w:val="nil"/>
              <w:bottom w:val="nil"/>
              <w:right w:val="nil"/>
            </w:tcBorders>
            <w:vAlign w:val="bottom"/>
          </w:tcPr>
          <w:p w14:paraId="4C6BD29E"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5F7BD8A7"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2D337608" w14:textId="77777777" w:rsidR="00500DD7" w:rsidRPr="00572AEC" w:rsidRDefault="00500DD7" w:rsidP="00500DD7">
            <w:pPr>
              <w:pStyle w:val="TableText"/>
              <w:tabs>
                <w:tab w:val="left" w:pos="3306"/>
              </w:tabs>
              <w:jc w:val="right"/>
              <w:rPr>
                <w:rFonts w:cs="Calibri"/>
              </w:rPr>
            </w:pPr>
          </w:p>
        </w:tc>
      </w:tr>
      <w:tr w:rsidR="00572AEC" w:rsidRPr="00572AEC" w14:paraId="2EE4449E" w14:textId="77777777" w:rsidTr="004D1EC6">
        <w:tc>
          <w:tcPr>
            <w:tcW w:w="1560" w:type="dxa"/>
            <w:tcBorders>
              <w:top w:val="nil"/>
              <w:left w:val="single" w:sz="2" w:space="0" w:color="auto"/>
              <w:bottom w:val="nil"/>
              <w:right w:val="single" w:sz="2" w:space="0" w:color="auto"/>
            </w:tcBorders>
          </w:tcPr>
          <w:p w14:paraId="1EEBA3E5" w14:textId="1FBC483A"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50FB4302" w14:textId="152B9192" w:rsidR="00500DD7" w:rsidRPr="00572AEC" w:rsidRDefault="00500DD7" w:rsidP="00500DD7">
            <w:pPr>
              <w:pStyle w:val="TableText"/>
              <w:tabs>
                <w:tab w:val="left" w:pos="3306"/>
              </w:tabs>
              <w:rPr>
                <w:rFonts w:cs="Calibri"/>
              </w:rPr>
            </w:pPr>
            <w:r w:rsidRPr="00572AEC">
              <w:rPr>
                <w:rFonts w:cs="Calibri"/>
                <w:iCs/>
              </w:rPr>
              <w:t>Gains from Disposal, Derecognition and Remeasurement of Assets</w:t>
            </w:r>
          </w:p>
        </w:tc>
        <w:tc>
          <w:tcPr>
            <w:tcW w:w="1217" w:type="dxa"/>
            <w:tcBorders>
              <w:top w:val="nil"/>
              <w:left w:val="nil"/>
              <w:bottom w:val="nil"/>
              <w:right w:val="nil"/>
            </w:tcBorders>
            <w:vAlign w:val="bottom"/>
          </w:tcPr>
          <w:p w14:paraId="5246941E"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78AD2E6B"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26DAB1D0" w14:textId="77777777" w:rsidR="00500DD7" w:rsidRPr="00572AEC" w:rsidRDefault="00500DD7" w:rsidP="00500DD7">
            <w:pPr>
              <w:pStyle w:val="TableText"/>
              <w:tabs>
                <w:tab w:val="left" w:pos="3306"/>
              </w:tabs>
              <w:jc w:val="right"/>
              <w:rPr>
                <w:rFonts w:cs="Calibri"/>
              </w:rPr>
            </w:pPr>
          </w:p>
        </w:tc>
      </w:tr>
      <w:tr w:rsidR="00572AEC" w:rsidRPr="00572AEC" w14:paraId="42BFD9B0" w14:textId="77777777" w:rsidTr="004D1EC6">
        <w:tc>
          <w:tcPr>
            <w:tcW w:w="1560" w:type="dxa"/>
            <w:tcBorders>
              <w:top w:val="nil"/>
              <w:left w:val="single" w:sz="2" w:space="0" w:color="auto"/>
              <w:bottom w:val="nil"/>
              <w:right w:val="single" w:sz="2" w:space="0" w:color="auto"/>
            </w:tcBorders>
          </w:tcPr>
          <w:p w14:paraId="5129DAA9" w14:textId="437C3FDE"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4DB666F3" w14:textId="56177161" w:rsidR="00500DD7" w:rsidRPr="00572AEC" w:rsidRDefault="00500DD7" w:rsidP="00500DD7">
            <w:pPr>
              <w:pStyle w:val="TableText"/>
              <w:tabs>
                <w:tab w:val="left" w:pos="3306"/>
              </w:tabs>
              <w:rPr>
                <w:rFonts w:cs="Calibri"/>
              </w:rPr>
            </w:pPr>
            <w:r w:rsidRPr="00572AEC">
              <w:rPr>
                <w:rFonts w:cs="Calibri"/>
              </w:rPr>
              <w:t xml:space="preserve">Other </w:t>
            </w:r>
            <w:r w:rsidR="00A742FB" w:rsidRPr="00A742FB">
              <w:rPr>
                <w:rFonts w:cs="Calibri"/>
                <w:color w:val="FF0000"/>
              </w:rPr>
              <w:t xml:space="preserve">Income </w:t>
            </w:r>
            <w:r w:rsidRPr="00A742FB">
              <w:rPr>
                <w:rFonts w:cs="Calibri"/>
                <w:strike/>
                <w:color w:val="FF0000"/>
              </w:rPr>
              <w:t>Gains</w:t>
            </w:r>
          </w:p>
        </w:tc>
        <w:tc>
          <w:tcPr>
            <w:tcW w:w="1217" w:type="dxa"/>
            <w:tcBorders>
              <w:top w:val="nil"/>
              <w:left w:val="nil"/>
              <w:bottom w:val="single" w:sz="4" w:space="0" w:color="auto"/>
              <w:right w:val="nil"/>
            </w:tcBorders>
            <w:vAlign w:val="bottom"/>
          </w:tcPr>
          <w:p w14:paraId="69986525"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166D39B9"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774C3CA7" w14:textId="77777777" w:rsidR="00500DD7" w:rsidRPr="00572AEC" w:rsidRDefault="00500DD7" w:rsidP="00500DD7">
            <w:pPr>
              <w:pStyle w:val="TableText"/>
              <w:tabs>
                <w:tab w:val="left" w:pos="3306"/>
              </w:tabs>
              <w:jc w:val="right"/>
              <w:rPr>
                <w:rFonts w:cs="Calibri"/>
              </w:rPr>
            </w:pPr>
          </w:p>
        </w:tc>
      </w:tr>
      <w:tr w:rsidR="00572AEC" w:rsidRPr="00572AEC" w14:paraId="305EB5BA" w14:textId="77777777" w:rsidTr="004D1EC6">
        <w:tc>
          <w:tcPr>
            <w:tcW w:w="1560" w:type="dxa"/>
            <w:tcBorders>
              <w:top w:val="nil"/>
              <w:left w:val="single" w:sz="2" w:space="0" w:color="auto"/>
              <w:bottom w:val="nil"/>
              <w:right w:val="single" w:sz="2" w:space="0" w:color="auto"/>
            </w:tcBorders>
          </w:tcPr>
          <w:p w14:paraId="23684BC1" w14:textId="77777777" w:rsidR="00500DD7" w:rsidRPr="00572AEC" w:rsidRDefault="00500DD7" w:rsidP="00500DD7">
            <w:pPr>
              <w:pStyle w:val="TableReference"/>
              <w:tabs>
                <w:tab w:val="left" w:pos="3306"/>
              </w:tabs>
              <w:spacing w:before="60"/>
              <w:rPr>
                <w:rFonts w:cs="Calibri"/>
                <w:color w:val="7030A0"/>
                <w:sz w:val="14"/>
              </w:rPr>
            </w:pPr>
          </w:p>
        </w:tc>
        <w:tc>
          <w:tcPr>
            <w:tcW w:w="5324" w:type="dxa"/>
            <w:tcBorders>
              <w:top w:val="nil"/>
              <w:left w:val="single" w:sz="2" w:space="0" w:color="auto"/>
              <w:bottom w:val="nil"/>
              <w:right w:val="nil"/>
            </w:tcBorders>
            <w:vAlign w:val="bottom"/>
          </w:tcPr>
          <w:p w14:paraId="732EEE65" w14:textId="0A3157EC" w:rsidR="00500DD7" w:rsidRPr="00A742FB" w:rsidRDefault="00500DD7" w:rsidP="00500DD7">
            <w:pPr>
              <w:pStyle w:val="TableText"/>
              <w:tabs>
                <w:tab w:val="left" w:pos="3306"/>
              </w:tabs>
              <w:rPr>
                <w:rFonts w:cs="Calibri"/>
                <w:strike/>
              </w:rPr>
            </w:pPr>
            <w:r w:rsidRPr="00A742FB">
              <w:rPr>
                <w:rFonts w:cs="Calibri"/>
                <w:i/>
                <w:iCs/>
                <w:strike/>
                <w:color w:val="FF0000"/>
              </w:rPr>
              <w:t>Total Gains</w:t>
            </w:r>
          </w:p>
        </w:tc>
        <w:tc>
          <w:tcPr>
            <w:tcW w:w="1217" w:type="dxa"/>
            <w:tcBorders>
              <w:top w:val="single" w:sz="4" w:space="0" w:color="auto"/>
              <w:left w:val="nil"/>
              <w:bottom w:val="nil"/>
              <w:right w:val="nil"/>
            </w:tcBorders>
            <w:vAlign w:val="bottom"/>
          </w:tcPr>
          <w:p w14:paraId="6A7C9D3D"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49A91370"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765B8733" w14:textId="77777777" w:rsidR="00500DD7" w:rsidRPr="00572AEC" w:rsidRDefault="00500DD7" w:rsidP="00500DD7">
            <w:pPr>
              <w:pStyle w:val="TableText"/>
              <w:tabs>
                <w:tab w:val="left" w:pos="3306"/>
              </w:tabs>
              <w:jc w:val="right"/>
              <w:rPr>
                <w:rFonts w:cs="Calibri"/>
              </w:rPr>
            </w:pPr>
          </w:p>
        </w:tc>
      </w:tr>
      <w:tr w:rsidR="00572AEC" w:rsidRPr="00572AEC" w14:paraId="1813C76C" w14:textId="77777777" w:rsidTr="004D1EC6">
        <w:tc>
          <w:tcPr>
            <w:tcW w:w="1560" w:type="dxa"/>
            <w:tcBorders>
              <w:top w:val="nil"/>
              <w:left w:val="single" w:sz="2" w:space="0" w:color="auto"/>
              <w:bottom w:val="nil"/>
              <w:right w:val="single" w:sz="2" w:space="0" w:color="auto"/>
            </w:tcBorders>
          </w:tcPr>
          <w:p w14:paraId="6056EFCF" w14:textId="77777777" w:rsidR="00500DD7" w:rsidRPr="00572AEC" w:rsidRDefault="00500DD7" w:rsidP="00500DD7">
            <w:pPr>
              <w:pStyle w:val="TableReference"/>
              <w:tabs>
                <w:tab w:val="left" w:pos="3306"/>
              </w:tabs>
              <w:spacing w:before="60"/>
              <w:rPr>
                <w:rFonts w:cs="Calibri"/>
                <w:color w:val="7030A0"/>
                <w:sz w:val="6"/>
                <w:szCs w:val="6"/>
              </w:rPr>
            </w:pPr>
          </w:p>
        </w:tc>
        <w:tc>
          <w:tcPr>
            <w:tcW w:w="5324" w:type="dxa"/>
            <w:tcBorders>
              <w:top w:val="nil"/>
              <w:left w:val="single" w:sz="2" w:space="0" w:color="auto"/>
              <w:bottom w:val="nil"/>
              <w:right w:val="nil"/>
            </w:tcBorders>
            <w:vAlign w:val="bottom"/>
          </w:tcPr>
          <w:p w14:paraId="023AD436" w14:textId="77777777" w:rsidR="00500DD7" w:rsidRPr="00572AEC" w:rsidRDefault="00500DD7" w:rsidP="00500DD7">
            <w:pPr>
              <w:pStyle w:val="TableText"/>
              <w:tabs>
                <w:tab w:val="left" w:pos="3306"/>
              </w:tabs>
              <w:rPr>
                <w:rFonts w:cs="Calibri"/>
                <w:sz w:val="6"/>
                <w:szCs w:val="6"/>
              </w:rPr>
            </w:pPr>
          </w:p>
        </w:tc>
        <w:tc>
          <w:tcPr>
            <w:tcW w:w="1217" w:type="dxa"/>
            <w:tcBorders>
              <w:top w:val="nil"/>
              <w:left w:val="nil"/>
              <w:bottom w:val="single" w:sz="4" w:space="0" w:color="auto"/>
              <w:right w:val="nil"/>
            </w:tcBorders>
            <w:vAlign w:val="bottom"/>
          </w:tcPr>
          <w:p w14:paraId="25EBC055" w14:textId="77777777" w:rsidR="00500DD7" w:rsidRPr="00572AEC" w:rsidRDefault="00500DD7" w:rsidP="00500DD7">
            <w:pPr>
              <w:pStyle w:val="TableText"/>
              <w:tabs>
                <w:tab w:val="left" w:pos="3306"/>
              </w:tabs>
              <w:jc w:val="right"/>
              <w:rPr>
                <w:rFonts w:cs="Calibri"/>
                <w:sz w:val="6"/>
                <w:szCs w:val="6"/>
              </w:rPr>
            </w:pPr>
          </w:p>
        </w:tc>
        <w:tc>
          <w:tcPr>
            <w:tcW w:w="1230" w:type="dxa"/>
            <w:tcBorders>
              <w:top w:val="nil"/>
              <w:left w:val="nil"/>
              <w:bottom w:val="single" w:sz="4" w:space="0" w:color="auto"/>
              <w:right w:val="nil"/>
            </w:tcBorders>
            <w:vAlign w:val="bottom"/>
          </w:tcPr>
          <w:p w14:paraId="603E56DE" w14:textId="77777777" w:rsidR="00500DD7" w:rsidRPr="00572AEC" w:rsidRDefault="00500DD7" w:rsidP="00500DD7">
            <w:pPr>
              <w:pStyle w:val="TableText"/>
              <w:tabs>
                <w:tab w:val="left" w:pos="3306"/>
              </w:tabs>
              <w:jc w:val="right"/>
              <w:rPr>
                <w:rFonts w:cs="Calibri"/>
                <w:sz w:val="6"/>
                <w:szCs w:val="6"/>
              </w:rPr>
            </w:pPr>
          </w:p>
        </w:tc>
        <w:tc>
          <w:tcPr>
            <w:tcW w:w="1215" w:type="dxa"/>
            <w:tcBorders>
              <w:top w:val="nil"/>
              <w:left w:val="nil"/>
              <w:bottom w:val="single" w:sz="4" w:space="0" w:color="auto"/>
              <w:right w:val="nil"/>
            </w:tcBorders>
            <w:vAlign w:val="bottom"/>
          </w:tcPr>
          <w:p w14:paraId="52977942" w14:textId="77777777" w:rsidR="00500DD7" w:rsidRPr="00572AEC" w:rsidRDefault="00500DD7" w:rsidP="00500DD7">
            <w:pPr>
              <w:pStyle w:val="TableText"/>
              <w:tabs>
                <w:tab w:val="left" w:pos="3306"/>
              </w:tabs>
              <w:jc w:val="right"/>
              <w:rPr>
                <w:rFonts w:cs="Calibri"/>
                <w:sz w:val="6"/>
                <w:szCs w:val="6"/>
              </w:rPr>
            </w:pPr>
          </w:p>
        </w:tc>
      </w:tr>
      <w:tr w:rsidR="00572AEC" w:rsidRPr="00572AEC" w14:paraId="08CA5839" w14:textId="77777777" w:rsidTr="004D1EC6">
        <w:tc>
          <w:tcPr>
            <w:tcW w:w="1560" w:type="dxa"/>
            <w:tcBorders>
              <w:top w:val="nil"/>
              <w:left w:val="single" w:sz="2" w:space="0" w:color="auto"/>
              <w:bottom w:val="nil"/>
              <w:right w:val="single" w:sz="2" w:space="0" w:color="auto"/>
            </w:tcBorders>
          </w:tcPr>
          <w:p w14:paraId="3E3FAA6E" w14:textId="77777777" w:rsidR="00500DD7" w:rsidRPr="00572AEC" w:rsidRDefault="00500DD7" w:rsidP="00500DD7">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2B7A1122" w14:textId="77777777" w:rsidR="00500DD7" w:rsidRPr="00572AEC" w:rsidRDefault="00500DD7" w:rsidP="00500DD7">
            <w:pPr>
              <w:pStyle w:val="TableText"/>
              <w:tabs>
                <w:tab w:val="left" w:pos="3306"/>
              </w:tabs>
              <w:rPr>
                <w:rFonts w:cs="Calibri"/>
                <w:b/>
                <w:bCs/>
              </w:rPr>
            </w:pPr>
            <w:r w:rsidRPr="00572AEC">
              <w:rPr>
                <w:rFonts w:cs="Calibri"/>
                <w:b/>
                <w:bCs/>
              </w:rPr>
              <w:t>Total Income</w:t>
            </w:r>
          </w:p>
        </w:tc>
        <w:tc>
          <w:tcPr>
            <w:tcW w:w="1217" w:type="dxa"/>
            <w:tcBorders>
              <w:top w:val="single" w:sz="4" w:space="0" w:color="auto"/>
              <w:left w:val="nil"/>
              <w:bottom w:val="single" w:sz="4" w:space="0" w:color="auto"/>
              <w:right w:val="nil"/>
            </w:tcBorders>
            <w:vAlign w:val="bottom"/>
          </w:tcPr>
          <w:p w14:paraId="04F010A9"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08BBC591"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2696F88F" w14:textId="77777777" w:rsidR="00500DD7" w:rsidRPr="00572AEC" w:rsidRDefault="00500DD7" w:rsidP="00500DD7">
            <w:pPr>
              <w:pStyle w:val="TableText"/>
              <w:tabs>
                <w:tab w:val="left" w:pos="3306"/>
              </w:tabs>
              <w:jc w:val="right"/>
              <w:rPr>
                <w:rFonts w:cs="Calibri"/>
                <w:b/>
                <w:bCs/>
              </w:rPr>
            </w:pPr>
          </w:p>
        </w:tc>
      </w:tr>
      <w:tr w:rsidR="00572AEC" w:rsidRPr="00572AEC" w14:paraId="222CB373" w14:textId="77777777" w:rsidTr="004D1EC6">
        <w:tc>
          <w:tcPr>
            <w:tcW w:w="1560" w:type="dxa"/>
            <w:tcBorders>
              <w:top w:val="nil"/>
              <w:left w:val="single" w:sz="2" w:space="0" w:color="auto"/>
              <w:bottom w:val="nil"/>
              <w:right w:val="single" w:sz="2" w:space="0" w:color="auto"/>
            </w:tcBorders>
          </w:tcPr>
          <w:p w14:paraId="55A7471E" w14:textId="77777777" w:rsidR="00500DD7" w:rsidRPr="00572AEC" w:rsidRDefault="00500DD7" w:rsidP="00500DD7">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0D601D86" w14:textId="77777777" w:rsidR="00500DD7" w:rsidRPr="00572AEC" w:rsidRDefault="00500DD7" w:rsidP="00500DD7">
            <w:pPr>
              <w:pStyle w:val="TableText"/>
              <w:tabs>
                <w:tab w:val="left" w:pos="3306"/>
              </w:tabs>
              <w:rPr>
                <w:rFonts w:cs="Calibri"/>
              </w:rPr>
            </w:pPr>
            <w:r w:rsidRPr="00572AEC">
              <w:rPr>
                <w:rFonts w:cs="Calibri"/>
              </w:rPr>
              <w:t xml:space="preserve"> </w:t>
            </w:r>
          </w:p>
        </w:tc>
        <w:tc>
          <w:tcPr>
            <w:tcW w:w="1217" w:type="dxa"/>
            <w:tcBorders>
              <w:top w:val="single" w:sz="4" w:space="0" w:color="auto"/>
              <w:left w:val="nil"/>
              <w:bottom w:val="nil"/>
              <w:right w:val="nil"/>
            </w:tcBorders>
            <w:vAlign w:val="bottom"/>
          </w:tcPr>
          <w:p w14:paraId="3B594611"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6AE1D057"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74029576" w14:textId="77777777" w:rsidR="00500DD7" w:rsidRPr="00572AEC" w:rsidRDefault="00500DD7" w:rsidP="00500DD7">
            <w:pPr>
              <w:pStyle w:val="TableText"/>
              <w:tabs>
                <w:tab w:val="left" w:pos="3306"/>
              </w:tabs>
              <w:jc w:val="right"/>
              <w:rPr>
                <w:rFonts w:cs="Calibri"/>
              </w:rPr>
            </w:pPr>
          </w:p>
        </w:tc>
      </w:tr>
      <w:tr w:rsidR="00572AEC" w:rsidRPr="00572AEC" w14:paraId="7C0B81E7" w14:textId="77777777" w:rsidTr="004D1EC6">
        <w:tc>
          <w:tcPr>
            <w:tcW w:w="1560" w:type="dxa"/>
            <w:tcBorders>
              <w:top w:val="nil"/>
              <w:left w:val="single" w:sz="2" w:space="0" w:color="auto"/>
              <w:bottom w:val="nil"/>
              <w:right w:val="single" w:sz="2" w:space="0" w:color="auto"/>
            </w:tcBorders>
          </w:tcPr>
          <w:p w14:paraId="27ED05B1" w14:textId="77777777" w:rsidR="00500DD7" w:rsidRPr="00572AEC" w:rsidRDefault="00500DD7" w:rsidP="00500DD7">
            <w:pPr>
              <w:pStyle w:val="TableReference"/>
              <w:tabs>
                <w:tab w:val="left" w:pos="3306"/>
              </w:tabs>
              <w:spacing w:before="4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4B0012A5" w14:textId="77777777" w:rsidR="00500DD7" w:rsidRPr="00572AEC" w:rsidRDefault="00500DD7" w:rsidP="00500DD7">
            <w:pPr>
              <w:pStyle w:val="TableText"/>
              <w:tabs>
                <w:tab w:val="left" w:pos="3306"/>
              </w:tabs>
              <w:rPr>
                <w:rFonts w:cs="Calibri"/>
                <w:b/>
                <w:bCs/>
              </w:rPr>
            </w:pPr>
            <w:r w:rsidRPr="00572AEC">
              <w:rPr>
                <w:rFonts w:cs="Calibri"/>
                <w:b/>
                <w:bCs/>
              </w:rPr>
              <w:t>Expenses</w:t>
            </w:r>
          </w:p>
        </w:tc>
        <w:tc>
          <w:tcPr>
            <w:tcW w:w="1217" w:type="dxa"/>
            <w:tcBorders>
              <w:top w:val="nil"/>
              <w:left w:val="nil"/>
              <w:bottom w:val="nil"/>
              <w:right w:val="nil"/>
            </w:tcBorders>
            <w:vAlign w:val="bottom"/>
          </w:tcPr>
          <w:p w14:paraId="5CD81862"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92C5CA3"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5EACEC6" w14:textId="77777777" w:rsidR="00500DD7" w:rsidRPr="00572AEC" w:rsidRDefault="00500DD7" w:rsidP="00500DD7">
            <w:pPr>
              <w:pStyle w:val="TableText"/>
              <w:tabs>
                <w:tab w:val="left" w:pos="3306"/>
              </w:tabs>
              <w:jc w:val="right"/>
              <w:rPr>
                <w:rFonts w:cs="Calibri"/>
              </w:rPr>
            </w:pPr>
          </w:p>
        </w:tc>
      </w:tr>
      <w:tr w:rsidR="00572AEC" w:rsidRPr="00572AEC" w14:paraId="6BBAF478" w14:textId="77777777" w:rsidTr="004D1EC6">
        <w:tc>
          <w:tcPr>
            <w:tcW w:w="1560" w:type="dxa"/>
            <w:tcBorders>
              <w:top w:val="nil"/>
              <w:left w:val="single" w:sz="2" w:space="0" w:color="auto"/>
              <w:bottom w:val="nil"/>
              <w:right w:val="single" w:sz="2" w:space="0" w:color="auto"/>
            </w:tcBorders>
          </w:tcPr>
          <w:p w14:paraId="60838469"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307B95F9" w14:textId="77777777" w:rsidR="00500DD7" w:rsidRPr="00572AEC" w:rsidRDefault="00500DD7" w:rsidP="00500DD7">
            <w:pPr>
              <w:pStyle w:val="TableText"/>
              <w:tabs>
                <w:tab w:val="left" w:pos="3306"/>
              </w:tabs>
              <w:rPr>
                <w:rFonts w:cs="Calibri"/>
              </w:rPr>
            </w:pPr>
            <w:r w:rsidRPr="00572AEC">
              <w:rPr>
                <w:rFonts w:cs="Calibri"/>
              </w:rPr>
              <w:t>Employee Expenses</w:t>
            </w:r>
          </w:p>
        </w:tc>
        <w:tc>
          <w:tcPr>
            <w:tcW w:w="1217" w:type="dxa"/>
            <w:tcBorders>
              <w:top w:val="nil"/>
              <w:left w:val="nil"/>
              <w:bottom w:val="nil"/>
              <w:right w:val="nil"/>
            </w:tcBorders>
            <w:vAlign w:val="bottom"/>
          </w:tcPr>
          <w:p w14:paraId="10354588"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6B91E3D"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6C9EDF6" w14:textId="77777777" w:rsidR="00500DD7" w:rsidRPr="00572AEC" w:rsidRDefault="00500DD7" w:rsidP="00500DD7">
            <w:pPr>
              <w:pStyle w:val="TableText"/>
              <w:tabs>
                <w:tab w:val="left" w:pos="3306"/>
              </w:tabs>
              <w:jc w:val="right"/>
              <w:rPr>
                <w:rFonts w:cs="Calibri"/>
              </w:rPr>
            </w:pPr>
          </w:p>
        </w:tc>
      </w:tr>
      <w:tr w:rsidR="00572AEC" w:rsidRPr="00572AEC" w14:paraId="258EB71F" w14:textId="77777777" w:rsidTr="004D1EC6">
        <w:tc>
          <w:tcPr>
            <w:tcW w:w="1560" w:type="dxa"/>
            <w:tcBorders>
              <w:top w:val="nil"/>
              <w:left w:val="single" w:sz="2" w:space="0" w:color="auto"/>
              <w:bottom w:val="nil"/>
              <w:right w:val="single" w:sz="2" w:space="0" w:color="auto"/>
            </w:tcBorders>
          </w:tcPr>
          <w:p w14:paraId="7E419454" w14:textId="77777777" w:rsidR="00500DD7" w:rsidRPr="00A742FB" w:rsidRDefault="00500DD7" w:rsidP="00500DD7">
            <w:pPr>
              <w:pStyle w:val="TableReference"/>
              <w:tabs>
                <w:tab w:val="left" w:pos="3306"/>
              </w:tabs>
              <w:spacing w:before="60"/>
              <w:rPr>
                <w:rFonts w:cs="Calibri"/>
                <w:strike/>
                <w:color w:val="FF0000"/>
                <w:sz w:val="14"/>
              </w:rPr>
            </w:pPr>
            <w:r w:rsidRPr="00A742FB">
              <w:rPr>
                <w:rFonts w:cs="Calibri"/>
                <w:strike/>
                <w:color w:val="FF0000"/>
                <w:sz w:val="14"/>
              </w:rPr>
              <w:t>AASB 1052.15(c)</w:t>
            </w:r>
          </w:p>
        </w:tc>
        <w:tc>
          <w:tcPr>
            <w:tcW w:w="5324" w:type="dxa"/>
            <w:tcBorders>
              <w:top w:val="nil"/>
              <w:left w:val="single" w:sz="2" w:space="0" w:color="auto"/>
              <w:bottom w:val="nil"/>
              <w:right w:val="nil"/>
            </w:tcBorders>
            <w:vAlign w:val="bottom"/>
          </w:tcPr>
          <w:p w14:paraId="34E45AB8" w14:textId="77777777" w:rsidR="00500DD7" w:rsidRPr="00A742FB" w:rsidRDefault="00500DD7" w:rsidP="00500DD7">
            <w:pPr>
              <w:pStyle w:val="TableText"/>
              <w:tabs>
                <w:tab w:val="left" w:pos="3306"/>
              </w:tabs>
              <w:rPr>
                <w:rFonts w:cs="Calibri"/>
                <w:strike/>
                <w:color w:val="FF0000"/>
              </w:rPr>
            </w:pPr>
            <w:r w:rsidRPr="00A742FB">
              <w:rPr>
                <w:rFonts w:cs="Calibri"/>
                <w:strike/>
                <w:color w:val="FF0000"/>
              </w:rPr>
              <w:t>Superannuation Expenses</w:t>
            </w:r>
          </w:p>
        </w:tc>
        <w:tc>
          <w:tcPr>
            <w:tcW w:w="1217" w:type="dxa"/>
            <w:tcBorders>
              <w:top w:val="nil"/>
              <w:left w:val="nil"/>
              <w:bottom w:val="nil"/>
              <w:right w:val="nil"/>
            </w:tcBorders>
            <w:vAlign w:val="bottom"/>
          </w:tcPr>
          <w:p w14:paraId="37791697"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3B647F37"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19712B16" w14:textId="77777777" w:rsidR="00500DD7" w:rsidRPr="00572AEC" w:rsidRDefault="00500DD7" w:rsidP="00500DD7">
            <w:pPr>
              <w:pStyle w:val="TableText"/>
              <w:tabs>
                <w:tab w:val="left" w:pos="3306"/>
              </w:tabs>
              <w:jc w:val="right"/>
              <w:rPr>
                <w:rFonts w:cs="Calibri"/>
              </w:rPr>
            </w:pPr>
          </w:p>
        </w:tc>
      </w:tr>
      <w:tr w:rsidR="00572AEC" w:rsidRPr="00572AEC" w14:paraId="60235500" w14:textId="77777777" w:rsidTr="004D1EC6">
        <w:tc>
          <w:tcPr>
            <w:tcW w:w="1560" w:type="dxa"/>
            <w:tcBorders>
              <w:top w:val="nil"/>
              <w:left w:val="single" w:sz="2" w:space="0" w:color="auto"/>
              <w:bottom w:val="nil"/>
              <w:right w:val="single" w:sz="2" w:space="0" w:color="auto"/>
            </w:tcBorders>
          </w:tcPr>
          <w:p w14:paraId="6F13E8B7"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69D3A71E" w14:textId="77777777" w:rsidR="00500DD7" w:rsidRPr="00572AEC" w:rsidRDefault="00500DD7" w:rsidP="00500DD7">
            <w:pPr>
              <w:pStyle w:val="TableText"/>
              <w:tabs>
                <w:tab w:val="left" w:pos="3306"/>
              </w:tabs>
              <w:rPr>
                <w:rFonts w:cs="Calibri"/>
              </w:rPr>
            </w:pPr>
            <w:r w:rsidRPr="00572AEC">
              <w:rPr>
                <w:rFonts w:cs="Calibri"/>
              </w:rPr>
              <w:t>Supplies and Services</w:t>
            </w:r>
          </w:p>
        </w:tc>
        <w:tc>
          <w:tcPr>
            <w:tcW w:w="1217" w:type="dxa"/>
            <w:tcBorders>
              <w:top w:val="nil"/>
              <w:left w:val="nil"/>
              <w:bottom w:val="nil"/>
              <w:right w:val="nil"/>
            </w:tcBorders>
            <w:vAlign w:val="bottom"/>
          </w:tcPr>
          <w:p w14:paraId="77BF26CD"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7B407ECE"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744D9A3F" w14:textId="77777777" w:rsidR="00500DD7" w:rsidRPr="00572AEC" w:rsidRDefault="00500DD7" w:rsidP="00500DD7">
            <w:pPr>
              <w:pStyle w:val="TableText"/>
              <w:tabs>
                <w:tab w:val="left" w:pos="3306"/>
              </w:tabs>
              <w:jc w:val="right"/>
              <w:rPr>
                <w:rFonts w:cs="Calibri"/>
              </w:rPr>
            </w:pPr>
          </w:p>
        </w:tc>
      </w:tr>
      <w:tr w:rsidR="00572AEC" w:rsidRPr="00572AEC" w14:paraId="03E68B5D" w14:textId="77777777" w:rsidTr="004D1EC6">
        <w:tc>
          <w:tcPr>
            <w:tcW w:w="1560" w:type="dxa"/>
            <w:tcBorders>
              <w:top w:val="nil"/>
              <w:left w:val="single" w:sz="2" w:space="0" w:color="auto"/>
              <w:bottom w:val="nil"/>
              <w:right w:val="single" w:sz="2" w:space="0" w:color="auto"/>
            </w:tcBorders>
          </w:tcPr>
          <w:p w14:paraId="4680D36A"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573B715B" w14:textId="77777777" w:rsidR="00500DD7" w:rsidRPr="00572AEC" w:rsidRDefault="00500DD7" w:rsidP="00500DD7">
            <w:pPr>
              <w:pStyle w:val="TableText"/>
              <w:tabs>
                <w:tab w:val="left" w:pos="3306"/>
              </w:tabs>
              <w:rPr>
                <w:rFonts w:cs="Calibri"/>
              </w:rPr>
            </w:pPr>
            <w:r w:rsidRPr="00572AEC">
              <w:rPr>
                <w:rFonts w:cs="Calibri"/>
              </w:rPr>
              <w:t>Depreciation and Amortisation</w:t>
            </w:r>
          </w:p>
        </w:tc>
        <w:tc>
          <w:tcPr>
            <w:tcW w:w="1217" w:type="dxa"/>
            <w:tcBorders>
              <w:top w:val="nil"/>
              <w:left w:val="nil"/>
              <w:bottom w:val="nil"/>
              <w:right w:val="nil"/>
            </w:tcBorders>
            <w:vAlign w:val="bottom"/>
          </w:tcPr>
          <w:p w14:paraId="1E78A6D3"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15A49C4F"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70D4A41" w14:textId="77777777" w:rsidR="00500DD7" w:rsidRPr="00572AEC" w:rsidRDefault="00500DD7" w:rsidP="00500DD7">
            <w:pPr>
              <w:pStyle w:val="TableText"/>
              <w:tabs>
                <w:tab w:val="left" w:pos="3306"/>
              </w:tabs>
              <w:jc w:val="right"/>
              <w:rPr>
                <w:rFonts w:cs="Calibri"/>
              </w:rPr>
            </w:pPr>
          </w:p>
        </w:tc>
      </w:tr>
      <w:tr w:rsidR="00572AEC" w:rsidRPr="00572AEC" w14:paraId="41A6897E" w14:textId="77777777" w:rsidTr="004D1EC6">
        <w:tc>
          <w:tcPr>
            <w:tcW w:w="1560" w:type="dxa"/>
            <w:tcBorders>
              <w:top w:val="nil"/>
              <w:left w:val="single" w:sz="2" w:space="0" w:color="auto"/>
              <w:bottom w:val="nil"/>
              <w:right w:val="single" w:sz="2" w:space="0" w:color="auto"/>
            </w:tcBorders>
          </w:tcPr>
          <w:p w14:paraId="3E7D29E7"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62BD68D2" w14:textId="77777777" w:rsidR="00500DD7" w:rsidRPr="00572AEC" w:rsidRDefault="00500DD7" w:rsidP="00500DD7">
            <w:pPr>
              <w:pStyle w:val="TableText"/>
              <w:tabs>
                <w:tab w:val="left" w:pos="3306"/>
              </w:tabs>
              <w:rPr>
                <w:rFonts w:cs="Calibri"/>
              </w:rPr>
            </w:pPr>
            <w:r w:rsidRPr="00572AEC">
              <w:rPr>
                <w:rFonts w:cs="Calibri"/>
              </w:rPr>
              <w:t xml:space="preserve">Grants and Purchased Services </w:t>
            </w:r>
          </w:p>
        </w:tc>
        <w:tc>
          <w:tcPr>
            <w:tcW w:w="1217" w:type="dxa"/>
            <w:tcBorders>
              <w:top w:val="nil"/>
              <w:left w:val="nil"/>
              <w:bottom w:val="nil"/>
              <w:right w:val="nil"/>
            </w:tcBorders>
            <w:vAlign w:val="bottom"/>
          </w:tcPr>
          <w:p w14:paraId="176B1B54"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03043398"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533C0C09" w14:textId="77777777" w:rsidR="00500DD7" w:rsidRPr="00572AEC" w:rsidRDefault="00500DD7" w:rsidP="00500DD7">
            <w:pPr>
              <w:pStyle w:val="TableText"/>
              <w:tabs>
                <w:tab w:val="left" w:pos="3306"/>
              </w:tabs>
              <w:jc w:val="right"/>
              <w:rPr>
                <w:rFonts w:cs="Calibri"/>
              </w:rPr>
            </w:pPr>
          </w:p>
        </w:tc>
      </w:tr>
      <w:tr w:rsidR="00572AEC" w:rsidRPr="00572AEC" w14:paraId="75E891A6" w14:textId="77777777" w:rsidTr="004D1EC6">
        <w:tc>
          <w:tcPr>
            <w:tcW w:w="1560" w:type="dxa"/>
            <w:tcBorders>
              <w:top w:val="nil"/>
              <w:left w:val="single" w:sz="2" w:space="0" w:color="auto"/>
              <w:bottom w:val="nil"/>
              <w:right w:val="single" w:sz="2" w:space="0" w:color="auto"/>
            </w:tcBorders>
          </w:tcPr>
          <w:p w14:paraId="490E54E3"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45DB7197" w14:textId="77777777" w:rsidR="00500DD7" w:rsidRPr="00572AEC" w:rsidRDefault="00500DD7" w:rsidP="00500DD7">
            <w:pPr>
              <w:pStyle w:val="TableText"/>
              <w:tabs>
                <w:tab w:val="left" w:pos="3306"/>
              </w:tabs>
              <w:rPr>
                <w:rFonts w:cs="Calibri"/>
              </w:rPr>
            </w:pPr>
            <w:r w:rsidRPr="00572AEC">
              <w:rPr>
                <w:rFonts w:cs="Calibri"/>
              </w:rPr>
              <w:t>Borrowing Costs</w:t>
            </w:r>
          </w:p>
        </w:tc>
        <w:tc>
          <w:tcPr>
            <w:tcW w:w="1217" w:type="dxa"/>
            <w:tcBorders>
              <w:top w:val="nil"/>
              <w:left w:val="nil"/>
              <w:bottom w:val="nil"/>
              <w:right w:val="nil"/>
            </w:tcBorders>
            <w:vAlign w:val="bottom"/>
          </w:tcPr>
          <w:p w14:paraId="0EA181A1"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4F6B3CF"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75D007C" w14:textId="77777777" w:rsidR="00500DD7" w:rsidRPr="00572AEC" w:rsidRDefault="00500DD7" w:rsidP="00500DD7">
            <w:pPr>
              <w:pStyle w:val="TableText"/>
              <w:tabs>
                <w:tab w:val="left" w:pos="3306"/>
              </w:tabs>
              <w:jc w:val="right"/>
              <w:rPr>
                <w:rFonts w:cs="Calibri"/>
              </w:rPr>
            </w:pPr>
          </w:p>
        </w:tc>
      </w:tr>
      <w:tr w:rsidR="00572AEC" w:rsidRPr="00572AEC" w14:paraId="2FB79306" w14:textId="77777777" w:rsidTr="004D1EC6">
        <w:tc>
          <w:tcPr>
            <w:tcW w:w="1560" w:type="dxa"/>
            <w:tcBorders>
              <w:top w:val="nil"/>
              <w:left w:val="single" w:sz="2" w:space="0" w:color="auto"/>
              <w:bottom w:val="nil"/>
              <w:right w:val="single" w:sz="2" w:space="0" w:color="auto"/>
            </w:tcBorders>
          </w:tcPr>
          <w:p w14:paraId="76289020"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0D2E2186" w14:textId="77777777" w:rsidR="00500DD7" w:rsidRPr="00572AEC" w:rsidRDefault="00500DD7" w:rsidP="00500DD7">
            <w:pPr>
              <w:pStyle w:val="TableText"/>
              <w:tabs>
                <w:tab w:val="left" w:pos="3306"/>
              </w:tabs>
              <w:rPr>
                <w:rFonts w:cs="Calibri"/>
              </w:rPr>
            </w:pPr>
            <w:r w:rsidRPr="00572AEC">
              <w:rPr>
                <w:rFonts w:cs="Calibri"/>
              </w:rPr>
              <w:t xml:space="preserve">Other Expenses </w:t>
            </w:r>
          </w:p>
        </w:tc>
        <w:tc>
          <w:tcPr>
            <w:tcW w:w="1217" w:type="dxa"/>
            <w:tcBorders>
              <w:top w:val="nil"/>
              <w:left w:val="nil"/>
              <w:bottom w:val="single" w:sz="4" w:space="0" w:color="auto"/>
              <w:right w:val="nil"/>
            </w:tcBorders>
            <w:vAlign w:val="bottom"/>
          </w:tcPr>
          <w:p w14:paraId="3DC8DBEF" w14:textId="77777777" w:rsidR="00500DD7" w:rsidRPr="00572AEC" w:rsidRDefault="00500DD7" w:rsidP="00500DD7">
            <w:pPr>
              <w:pStyle w:val="TableText"/>
              <w:tabs>
                <w:tab w:val="left" w:pos="3306"/>
              </w:tabs>
              <w:jc w:val="right"/>
              <w:rPr>
                <w:rFonts w:cs="Calibri"/>
                <w:strike/>
              </w:rPr>
            </w:pPr>
          </w:p>
        </w:tc>
        <w:tc>
          <w:tcPr>
            <w:tcW w:w="1230" w:type="dxa"/>
            <w:tcBorders>
              <w:top w:val="nil"/>
              <w:left w:val="nil"/>
              <w:bottom w:val="single" w:sz="4" w:space="0" w:color="auto"/>
              <w:right w:val="nil"/>
            </w:tcBorders>
            <w:vAlign w:val="bottom"/>
          </w:tcPr>
          <w:p w14:paraId="5DAA39E3"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67BA00A" w14:textId="77777777" w:rsidR="00500DD7" w:rsidRPr="00572AEC" w:rsidRDefault="00500DD7" w:rsidP="00500DD7">
            <w:pPr>
              <w:pStyle w:val="TableText"/>
              <w:tabs>
                <w:tab w:val="left" w:pos="3306"/>
              </w:tabs>
              <w:jc w:val="right"/>
              <w:rPr>
                <w:rFonts w:cs="Calibri"/>
              </w:rPr>
            </w:pPr>
          </w:p>
        </w:tc>
      </w:tr>
      <w:tr w:rsidR="00572AEC" w:rsidRPr="00572AEC" w14:paraId="61F129CE" w14:textId="77777777" w:rsidTr="004D1EC6">
        <w:tc>
          <w:tcPr>
            <w:tcW w:w="1560" w:type="dxa"/>
            <w:tcBorders>
              <w:top w:val="nil"/>
              <w:left w:val="single" w:sz="2" w:space="0" w:color="auto"/>
              <w:bottom w:val="nil"/>
              <w:right w:val="single" w:sz="2" w:space="0" w:color="auto"/>
            </w:tcBorders>
          </w:tcPr>
          <w:p w14:paraId="30901C88" w14:textId="77777777" w:rsidR="00500DD7" w:rsidRPr="00572AEC" w:rsidRDefault="00500DD7"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23A34E99" w14:textId="77777777" w:rsidR="00500DD7" w:rsidRPr="00572AEC" w:rsidRDefault="00500DD7" w:rsidP="00500DD7">
            <w:pPr>
              <w:pStyle w:val="TableText"/>
              <w:tabs>
                <w:tab w:val="left" w:pos="3306"/>
              </w:tabs>
              <w:rPr>
                <w:rFonts w:cs="Calibri"/>
                <w:b/>
                <w:bCs/>
              </w:rPr>
            </w:pPr>
            <w:r w:rsidRPr="00572AEC">
              <w:rPr>
                <w:rFonts w:cs="Calibri"/>
                <w:b/>
                <w:bCs/>
              </w:rPr>
              <w:t xml:space="preserve">Total Expenses </w:t>
            </w:r>
          </w:p>
        </w:tc>
        <w:tc>
          <w:tcPr>
            <w:tcW w:w="1217" w:type="dxa"/>
            <w:tcBorders>
              <w:top w:val="single" w:sz="4" w:space="0" w:color="auto"/>
              <w:left w:val="nil"/>
              <w:bottom w:val="single" w:sz="4" w:space="0" w:color="auto"/>
              <w:right w:val="nil"/>
            </w:tcBorders>
            <w:vAlign w:val="bottom"/>
          </w:tcPr>
          <w:p w14:paraId="4B0AF81B"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7EDD0A4F"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00E16520" w14:textId="77777777" w:rsidR="00500DD7" w:rsidRPr="00572AEC" w:rsidRDefault="00500DD7" w:rsidP="00500DD7">
            <w:pPr>
              <w:pStyle w:val="TableText"/>
              <w:tabs>
                <w:tab w:val="left" w:pos="3306"/>
              </w:tabs>
              <w:jc w:val="right"/>
              <w:rPr>
                <w:rFonts w:cs="Calibri"/>
                <w:b/>
                <w:bCs/>
              </w:rPr>
            </w:pPr>
          </w:p>
        </w:tc>
      </w:tr>
      <w:tr w:rsidR="00572AEC" w:rsidRPr="00572AEC" w14:paraId="50BCBA6F" w14:textId="77777777" w:rsidTr="004D1EC6">
        <w:tc>
          <w:tcPr>
            <w:tcW w:w="1560" w:type="dxa"/>
            <w:tcBorders>
              <w:top w:val="nil"/>
              <w:left w:val="single" w:sz="2" w:space="0" w:color="auto"/>
              <w:bottom w:val="nil"/>
              <w:right w:val="single" w:sz="2" w:space="0" w:color="auto"/>
            </w:tcBorders>
          </w:tcPr>
          <w:p w14:paraId="658379BE" w14:textId="77777777" w:rsidR="00500DD7" w:rsidRPr="00572AEC" w:rsidRDefault="00500DD7"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7FE269A7" w14:textId="7E9EC3A0" w:rsidR="00500DD7" w:rsidRPr="00572AEC" w:rsidRDefault="00500DD7" w:rsidP="00500DD7">
            <w:pPr>
              <w:pStyle w:val="TableText"/>
              <w:tabs>
                <w:tab w:val="left" w:pos="3306"/>
              </w:tabs>
              <w:rPr>
                <w:rFonts w:cs="Calibri"/>
                <w:b/>
                <w:bCs/>
              </w:rPr>
            </w:pPr>
            <w:r w:rsidRPr="00572AEC">
              <w:rPr>
                <w:rFonts w:cs="Calibri"/>
                <w:b/>
                <w:bCs/>
              </w:rPr>
              <w:t xml:space="preserve">Operating </w:t>
            </w:r>
            <w:r w:rsidR="00F91BB4" w:rsidRPr="00572AEC">
              <w:rPr>
                <w:rFonts w:cs="Calibri"/>
                <w:b/>
                <w:bCs/>
              </w:rPr>
              <w:t>Result</w:t>
            </w:r>
            <w:r w:rsidRPr="00572AEC">
              <w:rPr>
                <w:rFonts w:cs="Calibri"/>
                <w:b/>
                <w:bCs/>
              </w:rPr>
              <w:t xml:space="preserve"> </w:t>
            </w:r>
          </w:p>
        </w:tc>
        <w:tc>
          <w:tcPr>
            <w:tcW w:w="1217" w:type="dxa"/>
            <w:tcBorders>
              <w:top w:val="single" w:sz="4" w:space="0" w:color="auto"/>
              <w:left w:val="nil"/>
              <w:bottom w:val="double" w:sz="4" w:space="0" w:color="auto"/>
              <w:right w:val="nil"/>
            </w:tcBorders>
            <w:vAlign w:val="bottom"/>
          </w:tcPr>
          <w:p w14:paraId="2BFC20A2"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double" w:sz="4" w:space="0" w:color="auto"/>
              <w:right w:val="nil"/>
            </w:tcBorders>
            <w:vAlign w:val="bottom"/>
          </w:tcPr>
          <w:p w14:paraId="027CAF29"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double" w:sz="4" w:space="0" w:color="auto"/>
              <w:right w:val="nil"/>
            </w:tcBorders>
            <w:vAlign w:val="bottom"/>
          </w:tcPr>
          <w:p w14:paraId="0458763D" w14:textId="77777777" w:rsidR="00500DD7" w:rsidRPr="00572AEC" w:rsidRDefault="00500DD7" w:rsidP="00500DD7">
            <w:pPr>
              <w:pStyle w:val="TableText"/>
              <w:tabs>
                <w:tab w:val="left" w:pos="3306"/>
              </w:tabs>
              <w:jc w:val="right"/>
              <w:rPr>
                <w:rFonts w:cs="Calibri"/>
                <w:b/>
                <w:bCs/>
                <w:strike/>
              </w:rPr>
            </w:pPr>
          </w:p>
        </w:tc>
      </w:tr>
      <w:tr w:rsidR="00572AEC" w:rsidRPr="00572AEC" w14:paraId="40AD6DBE" w14:textId="77777777" w:rsidTr="004D1EC6">
        <w:tc>
          <w:tcPr>
            <w:tcW w:w="1560" w:type="dxa"/>
            <w:tcBorders>
              <w:top w:val="nil"/>
              <w:left w:val="single" w:sz="2" w:space="0" w:color="auto"/>
              <w:bottom w:val="nil"/>
              <w:right w:val="single" w:sz="2" w:space="0" w:color="auto"/>
            </w:tcBorders>
          </w:tcPr>
          <w:p w14:paraId="21F69262" w14:textId="77777777" w:rsidR="007F6866" w:rsidRPr="00572AEC" w:rsidRDefault="007F6866"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0B5A8CB3" w14:textId="77777777" w:rsidR="007F6866" w:rsidRPr="00572AEC" w:rsidRDefault="007F6866" w:rsidP="00500DD7">
            <w:pPr>
              <w:pStyle w:val="TableText"/>
              <w:tabs>
                <w:tab w:val="left" w:pos="3306"/>
              </w:tabs>
              <w:rPr>
                <w:rFonts w:cs="Calibri"/>
                <w:b/>
                <w:bCs/>
              </w:rPr>
            </w:pPr>
          </w:p>
        </w:tc>
        <w:tc>
          <w:tcPr>
            <w:tcW w:w="1217" w:type="dxa"/>
            <w:tcBorders>
              <w:top w:val="double" w:sz="4" w:space="0" w:color="auto"/>
              <w:left w:val="nil"/>
              <w:bottom w:val="nil"/>
              <w:right w:val="nil"/>
            </w:tcBorders>
            <w:vAlign w:val="bottom"/>
          </w:tcPr>
          <w:p w14:paraId="2BD4735D" w14:textId="77777777" w:rsidR="007F6866" w:rsidRPr="00572AEC" w:rsidRDefault="007F6866" w:rsidP="00500DD7">
            <w:pPr>
              <w:pStyle w:val="TableText"/>
              <w:tabs>
                <w:tab w:val="left" w:pos="3306"/>
              </w:tabs>
              <w:jc w:val="right"/>
              <w:rPr>
                <w:rFonts w:cs="Calibri"/>
                <w:b/>
                <w:bCs/>
              </w:rPr>
            </w:pPr>
          </w:p>
        </w:tc>
        <w:tc>
          <w:tcPr>
            <w:tcW w:w="1230" w:type="dxa"/>
            <w:tcBorders>
              <w:top w:val="double" w:sz="4" w:space="0" w:color="auto"/>
              <w:left w:val="nil"/>
              <w:bottom w:val="nil"/>
              <w:right w:val="nil"/>
            </w:tcBorders>
            <w:vAlign w:val="bottom"/>
          </w:tcPr>
          <w:p w14:paraId="105A8371" w14:textId="77777777" w:rsidR="007F6866" w:rsidRPr="00572AEC" w:rsidRDefault="007F6866" w:rsidP="00500DD7">
            <w:pPr>
              <w:pStyle w:val="TableText"/>
              <w:tabs>
                <w:tab w:val="left" w:pos="3306"/>
              </w:tabs>
              <w:jc w:val="right"/>
              <w:rPr>
                <w:rFonts w:cs="Calibri"/>
                <w:b/>
                <w:bCs/>
              </w:rPr>
            </w:pPr>
          </w:p>
        </w:tc>
        <w:tc>
          <w:tcPr>
            <w:tcW w:w="1215" w:type="dxa"/>
            <w:tcBorders>
              <w:top w:val="double" w:sz="4" w:space="0" w:color="auto"/>
              <w:left w:val="nil"/>
              <w:bottom w:val="nil"/>
              <w:right w:val="nil"/>
            </w:tcBorders>
            <w:vAlign w:val="bottom"/>
          </w:tcPr>
          <w:p w14:paraId="7B71328E" w14:textId="77777777" w:rsidR="007F6866" w:rsidRPr="00572AEC" w:rsidRDefault="007F6866" w:rsidP="00500DD7">
            <w:pPr>
              <w:pStyle w:val="TableText"/>
              <w:tabs>
                <w:tab w:val="left" w:pos="3306"/>
              </w:tabs>
              <w:jc w:val="right"/>
              <w:rPr>
                <w:rFonts w:cs="Calibri"/>
                <w:b/>
                <w:bCs/>
                <w:strike/>
              </w:rPr>
            </w:pPr>
          </w:p>
        </w:tc>
      </w:tr>
      <w:tr w:rsidR="00572AEC" w:rsidRPr="00572AEC" w14:paraId="300D3266" w14:textId="77777777" w:rsidTr="004D1EC6">
        <w:tc>
          <w:tcPr>
            <w:tcW w:w="1560" w:type="dxa"/>
            <w:tcBorders>
              <w:top w:val="nil"/>
              <w:left w:val="single" w:sz="2" w:space="0" w:color="auto"/>
              <w:bottom w:val="nil"/>
              <w:right w:val="single" w:sz="2" w:space="0" w:color="auto"/>
            </w:tcBorders>
          </w:tcPr>
          <w:p w14:paraId="7AD0A0B2" w14:textId="6A2EC3B8" w:rsidR="00B92775" w:rsidRPr="00572AEC" w:rsidRDefault="00A54F62" w:rsidP="00500DD7">
            <w:pPr>
              <w:pStyle w:val="TableReference"/>
              <w:tabs>
                <w:tab w:val="left" w:pos="3306"/>
              </w:tabs>
              <w:spacing w:before="40"/>
              <w:rPr>
                <w:rFonts w:cs="Calibri"/>
                <w:b/>
                <w:strike/>
                <w:color w:val="7030A0"/>
                <w:sz w:val="22"/>
                <w:szCs w:val="22"/>
              </w:rPr>
            </w:pPr>
            <w:r w:rsidRPr="00572AEC">
              <w:rPr>
                <w:rFonts w:cs="Calibri"/>
                <w:color w:val="7030A0"/>
                <w:sz w:val="14"/>
              </w:rPr>
              <w:t>AASB 1052.15(d)</w:t>
            </w:r>
          </w:p>
        </w:tc>
        <w:tc>
          <w:tcPr>
            <w:tcW w:w="8986" w:type="dxa"/>
            <w:gridSpan w:val="4"/>
            <w:tcBorders>
              <w:top w:val="nil"/>
              <w:left w:val="single" w:sz="2" w:space="0" w:color="auto"/>
              <w:bottom w:val="nil"/>
              <w:right w:val="nil"/>
            </w:tcBorders>
            <w:shd w:val="clear" w:color="auto" w:fill="auto"/>
          </w:tcPr>
          <w:p w14:paraId="30B1CCDE" w14:textId="14B2D872" w:rsidR="00B92775" w:rsidRPr="00572AEC" w:rsidRDefault="00B92775" w:rsidP="002414E7">
            <w:pPr>
              <w:pStyle w:val="TableText"/>
              <w:tabs>
                <w:tab w:val="left" w:pos="3306"/>
              </w:tabs>
              <w:rPr>
                <w:rFonts w:cs="Calibri"/>
                <w:b/>
                <w:sz w:val="22"/>
                <w:szCs w:val="22"/>
              </w:rPr>
            </w:pPr>
            <w:r w:rsidRPr="00572AEC">
              <w:rPr>
                <w:rFonts w:cs="Calibri"/>
              </w:rPr>
              <w:t>Income from Government Sources</w:t>
            </w:r>
          </w:p>
        </w:tc>
      </w:tr>
      <w:tr w:rsidR="00C85383" w:rsidRPr="00572AEC" w14:paraId="4078AE1E" w14:textId="77777777" w:rsidTr="004D1EC6">
        <w:tc>
          <w:tcPr>
            <w:tcW w:w="1560" w:type="dxa"/>
            <w:tcBorders>
              <w:top w:val="nil"/>
              <w:left w:val="single" w:sz="2" w:space="0" w:color="auto"/>
              <w:bottom w:val="nil"/>
              <w:right w:val="single" w:sz="2" w:space="0" w:color="auto"/>
            </w:tcBorders>
          </w:tcPr>
          <w:p w14:paraId="7F1C5AF5" w14:textId="0B86484D" w:rsidR="00C85383" w:rsidRPr="00572AEC" w:rsidRDefault="00C85383" w:rsidP="00DA5473">
            <w:pPr>
              <w:pStyle w:val="TableReference"/>
              <w:tabs>
                <w:tab w:val="left" w:pos="3306"/>
              </w:tabs>
              <w:spacing w:before="40"/>
              <w:rPr>
                <w:rFonts w:cs="Calibri"/>
                <w:b/>
                <w:strike/>
                <w:color w:val="7030A0"/>
                <w:sz w:val="22"/>
                <w:szCs w:val="22"/>
              </w:rPr>
            </w:pPr>
          </w:p>
        </w:tc>
        <w:tc>
          <w:tcPr>
            <w:tcW w:w="8986" w:type="dxa"/>
            <w:gridSpan w:val="4"/>
            <w:tcBorders>
              <w:top w:val="nil"/>
              <w:left w:val="single" w:sz="2" w:space="0" w:color="auto"/>
              <w:bottom w:val="nil"/>
              <w:right w:val="nil"/>
            </w:tcBorders>
            <w:shd w:val="clear" w:color="auto" w:fill="auto"/>
          </w:tcPr>
          <w:p w14:paraId="7DDA72F2" w14:textId="70BC86A4" w:rsidR="00C85383" w:rsidRPr="00572AEC" w:rsidRDefault="00C85383" w:rsidP="00DA5473">
            <w:pPr>
              <w:pStyle w:val="TableText"/>
              <w:tabs>
                <w:tab w:val="left" w:pos="3306"/>
              </w:tabs>
              <w:rPr>
                <w:rFonts w:cs="Calibri"/>
                <w:b/>
                <w:sz w:val="22"/>
                <w:szCs w:val="22"/>
              </w:rPr>
            </w:pPr>
          </w:p>
        </w:tc>
      </w:tr>
      <w:tr w:rsidR="002414E7" w:rsidRPr="00ED1443" w14:paraId="225089A1" w14:textId="77777777" w:rsidTr="004D1EC6">
        <w:tc>
          <w:tcPr>
            <w:tcW w:w="1560" w:type="dxa"/>
            <w:tcBorders>
              <w:top w:val="nil"/>
              <w:left w:val="single" w:sz="2" w:space="0" w:color="auto"/>
              <w:bottom w:val="nil"/>
              <w:right w:val="single" w:sz="2" w:space="0" w:color="auto"/>
            </w:tcBorders>
          </w:tcPr>
          <w:p w14:paraId="270C805C" w14:textId="0D5DC565" w:rsidR="002414E7" w:rsidRPr="006911F3" w:rsidRDefault="002414E7" w:rsidP="00C9212B">
            <w:pPr>
              <w:pStyle w:val="TableReference"/>
              <w:tabs>
                <w:tab w:val="left" w:pos="3306"/>
              </w:tabs>
              <w:spacing w:before="240" w:after="2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53273607" w14:textId="118B86FA" w:rsidR="002414E7" w:rsidRPr="006911F3" w:rsidRDefault="002414E7" w:rsidP="00C9212B">
            <w:pPr>
              <w:pStyle w:val="TableText"/>
              <w:tabs>
                <w:tab w:val="left" w:pos="3306"/>
              </w:tabs>
              <w:spacing w:before="240" w:after="240"/>
              <w:rPr>
                <w:rFonts w:cs="Calibri"/>
                <w:b/>
                <w:bCs/>
                <w:strike/>
                <w:color w:val="FFFFFF" w:themeColor="background1"/>
                <w:sz w:val="28"/>
                <w:szCs w:val="28"/>
              </w:rPr>
            </w:pPr>
            <w:bookmarkStart w:id="312" w:name="_Toc50440322"/>
            <w:r w:rsidRPr="006911F3">
              <w:rPr>
                <w:rFonts w:cs="Calibri"/>
                <w:b/>
                <w:color w:val="FFFFFF" w:themeColor="background1"/>
                <w:sz w:val="28"/>
                <w:szCs w:val="28"/>
              </w:rPr>
              <w:t xml:space="preserve">Commentary </w:t>
            </w:r>
            <w:r w:rsidRPr="006911F3">
              <w:rPr>
                <w:rFonts w:cs="Calibri"/>
                <w:b/>
                <w:color w:val="FFFFFF" w:themeColor="background1"/>
                <w:sz w:val="28"/>
                <w:szCs w:val="28"/>
              </w:rPr>
              <w:sym w:font="Symbol" w:char="F02D"/>
            </w:r>
            <w:r w:rsidRPr="006911F3">
              <w:rPr>
                <w:rFonts w:cs="Calibri"/>
                <w:b/>
                <w:color w:val="FFFFFF" w:themeColor="background1"/>
                <w:sz w:val="28"/>
                <w:szCs w:val="28"/>
              </w:rPr>
              <w:t xml:space="preserve"> Operating Statement for Each Output Class</w:t>
            </w:r>
            <w:bookmarkEnd w:id="312"/>
          </w:p>
        </w:tc>
      </w:tr>
      <w:tr w:rsidR="002414E7" w:rsidRPr="00ED1443" w14:paraId="77D620A0" w14:textId="77777777" w:rsidTr="004D1EC6">
        <w:tc>
          <w:tcPr>
            <w:tcW w:w="1560" w:type="dxa"/>
            <w:tcBorders>
              <w:top w:val="nil"/>
              <w:left w:val="single" w:sz="2" w:space="0" w:color="auto"/>
              <w:bottom w:val="nil"/>
              <w:right w:val="single" w:sz="2" w:space="0" w:color="auto"/>
            </w:tcBorders>
          </w:tcPr>
          <w:p w14:paraId="06BCAC39" w14:textId="77777777" w:rsidR="002414E7" w:rsidRPr="006911F3" w:rsidRDefault="002414E7"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6BB0C72E" w14:textId="3FA6A7D0" w:rsidR="002414E7" w:rsidRPr="00C9508B" w:rsidRDefault="007F0E48" w:rsidP="007F0E48">
            <w:pPr>
              <w:pStyle w:val="Normal1"/>
              <w:spacing w:before="120"/>
              <w:rPr>
                <w:rFonts w:cs="Calibri"/>
                <w:b/>
                <w:bCs/>
                <w:strike/>
                <w:color w:val="538135" w:themeColor="accent6" w:themeShade="BF"/>
                <w:sz w:val="20"/>
                <w:szCs w:val="20"/>
              </w:rPr>
            </w:pPr>
            <w:r w:rsidRPr="00C9508B">
              <w:rPr>
                <w:b/>
                <w:bCs/>
                <w:strike/>
                <w:color w:val="538135" w:themeColor="accent6" w:themeShade="BF"/>
                <w:sz w:val="20"/>
                <w:szCs w:val="20"/>
              </w:rPr>
              <w:t>Summary of Agency Output Classes</w:t>
            </w:r>
          </w:p>
        </w:tc>
      </w:tr>
      <w:tr w:rsidR="007F0E48" w:rsidRPr="00ED1443" w14:paraId="5F7B1E5C" w14:textId="77777777" w:rsidTr="004D1EC6">
        <w:tc>
          <w:tcPr>
            <w:tcW w:w="1560" w:type="dxa"/>
            <w:tcBorders>
              <w:top w:val="nil"/>
              <w:left w:val="single" w:sz="2" w:space="0" w:color="auto"/>
              <w:bottom w:val="nil"/>
              <w:right w:val="single" w:sz="2" w:space="0" w:color="auto"/>
            </w:tcBorders>
          </w:tcPr>
          <w:p w14:paraId="76536D1F" w14:textId="77777777" w:rsidR="007F0E48" w:rsidRPr="006911F3" w:rsidRDefault="007F0E48"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798E3458" w14:textId="1F725D5E" w:rsidR="007F0E48" w:rsidRPr="00C9508B" w:rsidRDefault="007F0E48" w:rsidP="007F0E48">
            <w:pPr>
              <w:pStyle w:val="Normal1"/>
              <w:rPr>
                <w:strike/>
                <w:color w:val="538135" w:themeColor="accent6" w:themeShade="BF"/>
                <w:sz w:val="18"/>
                <w:szCs w:val="18"/>
              </w:rPr>
            </w:pPr>
            <w:r w:rsidRPr="00C9508B">
              <w:rPr>
                <w:strike/>
                <w:color w:val="538135" w:themeColor="accent6" w:themeShade="BF"/>
                <w:sz w:val="18"/>
                <w:szCs w:val="18"/>
              </w:rPr>
              <w:t>For agencies that have multiple output classes and have intra agency eliminations between those output classes then those agencies can cho</w:t>
            </w:r>
            <w:r w:rsidR="002E2219" w:rsidRPr="00C9508B">
              <w:rPr>
                <w:strike/>
                <w:color w:val="538135" w:themeColor="accent6" w:themeShade="BF"/>
                <w:sz w:val="18"/>
                <w:szCs w:val="18"/>
              </w:rPr>
              <w:t>o</w:t>
            </w:r>
            <w:r w:rsidRPr="00C9508B">
              <w:rPr>
                <w:strike/>
                <w:color w:val="538135" w:themeColor="accent6" w:themeShade="BF"/>
                <w:sz w:val="18"/>
                <w:szCs w:val="18"/>
              </w:rPr>
              <w:t>se to include a Summary of Agency Output Classes in their Financial Statements.</w:t>
            </w:r>
          </w:p>
        </w:tc>
      </w:tr>
      <w:tr w:rsidR="002414E7" w:rsidRPr="00ED1443" w14:paraId="6389E064" w14:textId="77777777" w:rsidTr="00CC1E25">
        <w:trPr>
          <w:trHeight w:val="326"/>
        </w:trPr>
        <w:tc>
          <w:tcPr>
            <w:tcW w:w="1560" w:type="dxa"/>
            <w:tcBorders>
              <w:top w:val="nil"/>
              <w:left w:val="single" w:sz="2" w:space="0" w:color="auto"/>
              <w:bottom w:val="nil"/>
              <w:right w:val="single" w:sz="2" w:space="0" w:color="auto"/>
            </w:tcBorders>
          </w:tcPr>
          <w:p w14:paraId="2AC41902" w14:textId="77777777" w:rsidR="002414E7" w:rsidRPr="006911F3" w:rsidRDefault="002414E7"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400038A5" w14:textId="0C055BC7" w:rsidR="002414E7" w:rsidRPr="005E4472" w:rsidRDefault="002414E7" w:rsidP="00CC1E25">
            <w:pPr>
              <w:pStyle w:val="TableText"/>
              <w:tabs>
                <w:tab w:val="left" w:pos="3306"/>
              </w:tabs>
              <w:spacing w:before="120"/>
              <w:rPr>
                <w:rFonts w:cs="Calibri"/>
                <w:b/>
                <w:bCs/>
                <w:strike/>
                <w:color w:val="FFFFFF" w:themeColor="background1"/>
                <w:sz w:val="20"/>
                <w:szCs w:val="20"/>
              </w:rPr>
            </w:pPr>
            <w:r w:rsidRPr="005E4472">
              <w:rPr>
                <w:rFonts w:cs="Calibri"/>
                <w:b/>
                <w:bCs/>
                <w:color w:val="FFFFFF" w:themeColor="background1"/>
                <w:sz w:val="20"/>
                <w:szCs w:val="20"/>
              </w:rPr>
              <w:t>Format</w:t>
            </w:r>
          </w:p>
        </w:tc>
      </w:tr>
      <w:tr w:rsidR="002414E7" w:rsidRPr="00ED1443" w14:paraId="2154100E" w14:textId="77777777" w:rsidTr="004D1EC6">
        <w:tc>
          <w:tcPr>
            <w:tcW w:w="1560" w:type="dxa"/>
            <w:tcBorders>
              <w:top w:val="nil"/>
              <w:left w:val="single" w:sz="2" w:space="0" w:color="auto"/>
              <w:bottom w:val="nil"/>
              <w:right w:val="single" w:sz="2" w:space="0" w:color="auto"/>
            </w:tcBorders>
          </w:tcPr>
          <w:p w14:paraId="2F60A90D" w14:textId="77777777" w:rsidR="002414E7" w:rsidRPr="006911F3" w:rsidRDefault="002414E7" w:rsidP="002414E7">
            <w:pPr>
              <w:pStyle w:val="TableReference"/>
              <w:tabs>
                <w:tab w:val="left" w:pos="3306"/>
              </w:tabs>
              <w:spacing w:before="60"/>
              <w:rPr>
                <w:rFonts w:cs="Calibri"/>
                <w:color w:val="7030A0"/>
                <w:sz w:val="14"/>
              </w:rPr>
            </w:pPr>
            <w:r w:rsidRPr="006911F3">
              <w:rPr>
                <w:rFonts w:cs="Calibri"/>
                <w:color w:val="7030A0"/>
                <w:sz w:val="14"/>
              </w:rPr>
              <w:t>FMA Section 27(3)(a)</w:t>
            </w:r>
          </w:p>
          <w:p w14:paraId="06B5202A" w14:textId="5C7B21EF" w:rsidR="002414E7" w:rsidRPr="006911F3" w:rsidRDefault="002414E7" w:rsidP="002414E7">
            <w:pPr>
              <w:pStyle w:val="TableReference"/>
              <w:tabs>
                <w:tab w:val="left" w:pos="3306"/>
              </w:tabs>
              <w:spacing w:before="40"/>
              <w:rPr>
                <w:rFonts w:cs="Calibri"/>
                <w:color w:val="7030A0"/>
                <w:sz w:val="16"/>
                <w:szCs w:val="16"/>
              </w:rPr>
            </w:pPr>
            <w:r w:rsidRPr="006911F3">
              <w:rPr>
                <w:rFonts w:cs="Calibri"/>
                <w:color w:val="7030A0"/>
                <w:sz w:val="14"/>
              </w:rPr>
              <w:t>Financial Management (Periodic &amp; Annual Financial Statements) Guidelines </w:t>
            </w:r>
            <w:r w:rsidR="00183BD1" w:rsidRPr="006911F3">
              <w:rPr>
                <w:rFonts w:cs="Calibri"/>
                <w:bCs/>
                <w:color w:val="7030A0"/>
                <w:sz w:val="14"/>
              </w:rPr>
              <w:t>2016</w:t>
            </w:r>
            <w:r w:rsidRPr="006911F3">
              <w:rPr>
                <w:rFonts w:cs="Calibri"/>
                <w:color w:val="7030A0"/>
                <w:sz w:val="14"/>
              </w:rPr>
              <w:t xml:space="preserve"> Section 7(2)</w:t>
            </w:r>
          </w:p>
        </w:tc>
        <w:tc>
          <w:tcPr>
            <w:tcW w:w="8986" w:type="dxa"/>
            <w:gridSpan w:val="4"/>
            <w:tcBorders>
              <w:top w:val="nil"/>
              <w:left w:val="single" w:sz="2" w:space="0" w:color="auto"/>
              <w:bottom w:val="nil"/>
              <w:right w:val="nil"/>
            </w:tcBorders>
            <w:shd w:val="clear" w:color="auto" w:fill="7030A0"/>
          </w:tcPr>
          <w:p w14:paraId="6D9FAA45" w14:textId="751C37AC" w:rsidR="002414E7" w:rsidRPr="006911F3" w:rsidRDefault="002414E7" w:rsidP="00E74C30">
            <w:pPr>
              <w:pStyle w:val="TableText"/>
              <w:tabs>
                <w:tab w:val="left" w:pos="3306"/>
              </w:tabs>
              <w:spacing w:after="120"/>
              <w:jc w:val="both"/>
              <w:rPr>
                <w:rFonts w:cs="Calibri"/>
                <w:strike/>
                <w:color w:val="FFFFFF" w:themeColor="background1"/>
              </w:rPr>
            </w:pPr>
            <w:r w:rsidRPr="006911F3">
              <w:rPr>
                <w:rFonts w:cs="Calibri"/>
                <w:color w:val="FFFFFF" w:themeColor="background1"/>
              </w:rPr>
              <w:t xml:space="preserve">The </w:t>
            </w:r>
            <w:r w:rsidR="002B66A5" w:rsidRPr="006911F3">
              <w:rPr>
                <w:rFonts w:cs="Calibri"/>
                <w:i/>
                <w:iCs/>
                <w:color w:val="FFFFFF" w:themeColor="background1"/>
              </w:rPr>
              <w:t>Financial Management A</w:t>
            </w:r>
            <w:r w:rsidR="00DB7BA9" w:rsidRPr="006911F3">
              <w:rPr>
                <w:rFonts w:cs="Calibri"/>
                <w:i/>
                <w:iCs/>
                <w:color w:val="FFFFFF" w:themeColor="background1"/>
              </w:rPr>
              <w:t>ct</w:t>
            </w:r>
            <w:r w:rsidR="002B66A5" w:rsidRPr="006911F3">
              <w:rPr>
                <w:rFonts w:cs="Calibri"/>
                <w:i/>
                <w:iCs/>
                <w:color w:val="FFFFFF" w:themeColor="background1"/>
              </w:rPr>
              <w:t xml:space="preserve"> </w:t>
            </w:r>
            <w:r w:rsidR="00E74C30" w:rsidRPr="006911F3">
              <w:rPr>
                <w:rFonts w:cs="Calibri"/>
                <w:i/>
                <w:iCs/>
                <w:color w:val="FFFFFF" w:themeColor="background1"/>
              </w:rPr>
              <w:t>1996</w:t>
            </w:r>
            <w:r w:rsidR="00E74C30" w:rsidRPr="006911F3">
              <w:rPr>
                <w:rFonts w:cs="Calibri"/>
                <w:color w:val="FFFFFF" w:themeColor="background1"/>
              </w:rPr>
              <w:t xml:space="preserve"> </w:t>
            </w:r>
            <w:r w:rsidR="00DB7BA9" w:rsidRPr="006911F3">
              <w:rPr>
                <w:rFonts w:cs="Calibri"/>
                <w:color w:val="FFFFFF" w:themeColor="background1"/>
              </w:rPr>
              <w:t>(</w:t>
            </w:r>
            <w:r w:rsidRPr="006911F3">
              <w:rPr>
                <w:rFonts w:cs="Calibri"/>
                <w:color w:val="FFFFFF" w:themeColor="background1"/>
              </w:rPr>
              <w:t>FMA</w:t>
            </w:r>
            <w:r w:rsidR="00DB7BA9" w:rsidRPr="006911F3">
              <w:rPr>
                <w:rFonts w:cs="Calibri"/>
                <w:color w:val="FFFFFF" w:themeColor="background1"/>
              </w:rPr>
              <w:t>)</w:t>
            </w:r>
            <w:r w:rsidRPr="006911F3">
              <w:rPr>
                <w:rFonts w:cs="Calibri"/>
                <w:color w:val="FFFFFF" w:themeColor="background1"/>
              </w:rPr>
              <w:t xml:space="preserve"> states that the </w:t>
            </w:r>
            <w:bookmarkStart w:id="313" w:name="Citation"/>
            <w:r w:rsidRPr="006911F3">
              <w:rPr>
                <w:rFonts w:cs="Calibri"/>
                <w:i/>
                <w:iCs/>
                <w:color w:val="FFFFFF" w:themeColor="background1"/>
              </w:rPr>
              <w:t>Financial Management (Periodic and Annual Financial Statements) Guidelines </w:t>
            </w:r>
            <w:bookmarkEnd w:id="313"/>
            <w:r w:rsidR="002B66A5" w:rsidRPr="006911F3">
              <w:rPr>
                <w:rFonts w:cs="Calibri"/>
                <w:i/>
                <w:iCs/>
                <w:color w:val="FFFFFF" w:themeColor="background1"/>
              </w:rPr>
              <w:t>2016</w:t>
            </w:r>
            <w:r w:rsidR="006911F3" w:rsidRPr="006911F3">
              <w:rPr>
                <w:rFonts w:cs="Calibri"/>
                <w:i/>
                <w:iCs/>
                <w:color w:val="FFFFFF" w:themeColor="background1"/>
              </w:rPr>
              <w:t xml:space="preserve"> </w:t>
            </w:r>
            <w:r w:rsidRPr="006911F3">
              <w:rPr>
                <w:rFonts w:cs="Calibri"/>
                <w:color w:val="FFFFFF" w:themeColor="background1"/>
              </w:rPr>
              <w:t>must be complied with</w:t>
            </w:r>
            <w:r w:rsidR="002B66A5" w:rsidRPr="006911F3">
              <w:rPr>
                <w:rFonts w:cs="Calibri"/>
                <w:color w:val="FFFFFF" w:themeColor="background1"/>
              </w:rPr>
              <w:t>,</w:t>
            </w:r>
            <w:r w:rsidRPr="006911F3">
              <w:rPr>
                <w:rFonts w:cs="Calibri"/>
                <w:color w:val="FFFFFF" w:themeColor="background1"/>
              </w:rPr>
              <w:t xml:space="preserve"> when preparing annual financial statements.</w:t>
            </w:r>
            <w:r w:rsidR="00FA7C77">
              <w:rPr>
                <w:rFonts w:cs="Calibri"/>
                <w:color w:val="FFFFFF" w:themeColor="background1"/>
              </w:rPr>
              <w:t xml:space="preserve"> </w:t>
            </w:r>
            <w:r w:rsidRPr="006911F3">
              <w:rPr>
                <w:rFonts w:cs="Calibri"/>
                <w:color w:val="FFFFFF" w:themeColor="background1"/>
              </w:rPr>
              <w:t>These guidelines require the financial statements include an Operating Statement for each class of output provided by the agency during the year.</w:t>
            </w:r>
            <w:r w:rsidR="00FA7C77">
              <w:rPr>
                <w:rFonts w:cs="Calibri"/>
                <w:color w:val="FFFFFF" w:themeColor="background1"/>
              </w:rPr>
              <w:t xml:space="preserve"> </w:t>
            </w:r>
            <w:r w:rsidRPr="006911F3">
              <w:rPr>
                <w:rFonts w:cs="Calibri"/>
                <w:color w:val="FFFFFF" w:themeColor="background1"/>
              </w:rPr>
              <w:t>However the guidelines specifically exclude other comprehensive income from being included in the Operating Statement for each class of output.</w:t>
            </w:r>
          </w:p>
        </w:tc>
      </w:tr>
    </w:tbl>
    <w:p w14:paraId="61A7226C" w14:textId="77777777" w:rsidR="00C85383" w:rsidRDefault="00C85383">
      <w:r>
        <w:br w:type="page"/>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86"/>
      </w:tblGrid>
      <w:tr w:rsidR="00C85383" w:rsidRPr="00ED1443" w14:paraId="62729B9B" w14:textId="77777777" w:rsidTr="004D1EC6">
        <w:tc>
          <w:tcPr>
            <w:tcW w:w="1560" w:type="dxa"/>
            <w:tcBorders>
              <w:top w:val="nil"/>
              <w:left w:val="single" w:sz="2" w:space="0" w:color="auto"/>
              <w:bottom w:val="nil"/>
              <w:right w:val="single" w:sz="2" w:space="0" w:color="auto"/>
            </w:tcBorders>
          </w:tcPr>
          <w:p w14:paraId="04E2C8E2" w14:textId="61C87115" w:rsidR="00C85383" w:rsidRPr="006911F3" w:rsidRDefault="00C85383" w:rsidP="00C9212B">
            <w:pPr>
              <w:pStyle w:val="TableReference"/>
              <w:tabs>
                <w:tab w:val="left" w:pos="3306"/>
              </w:tabs>
              <w:spacing w:before="240" w:after="240"/>
              <w:rPr>
                <w:rFonts w:cs="Calibri"/>
                <w:color w:val="7030A0"/>
                <w:sz w:val="16"/>
                <w:szCs w:val="16"/>
              </w:rPr>
            </w:pPr>
            <w:r w:rsidRPr="006911F3">
              <w:rPr>
                <w:rFonts w:cs="Calibri"/>
                <w:b/>
                <w:color w:val="7030A0"/>
                <w:sz w:val="22"/>
                <w:szCs w:val="22"/>
              </w:rPr>
              <w:t>Reference</w:t>
            </w:r>
          </w:p>
        </w:tc>
        <w:tc>
          <w:tcPr>
            <w:tcW w:w="8986" w:type="dxa"/>
            <w:tcBorders>
              <w:top w:val="nil"/>
              <w:left w:val="single" w:sz="2" w:space="0" w:color="auto"/>
              <w:bottom w:val="nil"/>
              <w:right w:val="nil"/>
            </w:tcBorders>
            <w:shd w:val="clear" w:color="auto" w:fill="7030A0"/>
          </w:tcPr>
          <w:p w14:paraId="0B4147F8" w14:textId="77777777" w:rsidR="00C85383" w:rsidRPr="006911F3" w:rsidRDefault="00C85383" w:rsidP="00C9212B">
            <w:pPr>
              <w:pStyle w:val="TableText"/>
              <w:tabs>
                <w:tab w:val="left" w:pos="3306"/>
              </w:tabs>
              <w:spacing w:before="240" w:after="240"/>
              <w:rPr>
                <w:rFonts w:cs="Calibri"/>
                <w:b/>
                <w:bCs/>
                <w:strike/>
                <w:color w:val="FFFFFF" w:themeColor="background1"/>
                <w:sz w:val="28"/>
                <w:szCs w:val="28"/>
              </w:rPr>
            </w:pPr>
            <w:r w:rsidRPr="006911F3">
              <w:rPr>
                <w:rFonts w:cs="Calibri"/>
                <w:b/>
                <w:color w:val="FFFFFF" w:themeColor="background1"/>
                <w:sz w:val="28"/>
                <w:szCs w:val="28"/>
              </w:rPr>
              <w:t xml:space="preserve">Commentary </w:t>
            </w:r>
            <w:r w:rsidRPr="006911F3">
              <w:rPr>
                <w:rFonts w:cs="Calibri"/>
                <w:b/>
                <w:color w:val="FFFFFF" w:themeColor="background1"/>
                <w:sz w:val="28"/>
                <w:szCs w:val="28"/>
              </w:rPr>
              <w:sym w:font="Symbol" w:char="F02D"/>
            </w:r>
            <w:r w:rsidRPr="006911F3">
              <w:rPr>
                <w:rFonts w:cs="Calibri"/>
                <w:b/>
                <w:color w:val="FFFFFF" w:themeColor="background1"/>
                <w:sz w:val="28"/>
                <w:szCs w:val="28"/>
              </w:rPr>
              <w:t xml:space="preserve"> Operating Statement for Each Output Class</w:t>
            </w:r>
            <w:r>
              <w:rPr>
                <w:rFonts w:cs="Calibri"/>
                <w:b/>
                <w:color w:val="FFFFFF" w:themeColor="background1"/>
                <w:sz w:val="28"/>
                <w:szCs w:val="28"/>
              </w:rPr>
              <w:t xml:space="preserve"> – Continued </w:t>
            </w:r>
          </w:p>
        </w:tc>
      </w:tr>
      <w:tr w:rsidR="002414E7" w:rsidRPr="00E35CD2" w14:paraId="41B28B09" w14:textId="77777777" w:rsidTr="004D1EC6">
        <w:tc>
          <w:tcPr>
            <w:tcW w:w="1560" w:type="dxa"/>
            <w:tcBorders>
              <w:top w:val="nil"/>
              <w:left w:val="single" w:sz="2" w:space="0" w:color="auto"/>
              <w:bottom w:val="nil"/>
              <w:right w:val="single" w:sz="2" w:space="0" w:color="auto"/>
            </w:tcBorders>
          </w:tcPr>
          <w:p w14:paraId="1AE4CB2A" w14:textId="6AC5E0D5" w:rsidR="002414E7" w:rsidRPr="006911F3" w:rsidRDefault="00183BD1" w:rsidP="00500DD7">
            <w:pPr>
              <w:pStyle w:val="TableReference"/>
              <w:tabs>
                <w:tab w:val="left" w:pos="3306"/>
              </w:tabs>
              <w:spacing w:before="40"/>
              <w:rPr>
                <w:rFonts w:cs="Calibri"/>
                <w:color w:val="7030A0"/>
                <w:sz w:val="16"/>
                <w:szCs w:val="16"/>
              </w:rPr>
            </w:pPr>
            <w:r w:rsidRPr="006911F3">
              <w:rPr>
                <w:rFonts w:cs="Calibri"/>
                <w:color w:val="7030A0"/>
                <w:sz w:val="14"/>
              </w:rPr>
              <w:t>AASB 1052.15</w:t>
            </w:r>
          </w:p>
        </w:tc>
        <w:tc>
          <w:tcPr>
            <w:tcW w:w="8986" w:type="dxa"/>
            <w:tcBorders>
              <w:top w:val="nil"/>
              <w:left w:val="single" w:sz="2" w:space="0" w:color="auto"/>
              <w:bottom w:val="nil"/>
              <w:right w:val="nil"/>
            </w:tcBorders>
            <w:shd w:val="clear" w:color="auto" w:fill="7030A0"/>
          </w:tcPr>
          <w:p w14:paraId="7D77BBEF" w14:textId="2DB38079" w:rsidR="002414E7" w:rsidRPr="006911F3" w:rsidRDefault="002414E7" w:rsidP="000C7720">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 xml:space="preserve">In addition to the FMA, AASB 1052 </w:t>
            </w:r>
            <w:r w:rsidRPr="00E35CD2">
              <w:rPr>
                <w:rFonts w:cs="Calibri"/>
                <w:i/>
                <w:iCs/>
                <w:color w:val="FFFFFF" w:themeColor="background1"/>
                <w:sz w:val="18"/>
                <w:szCs w:val="18"/>
              </w:rPr>
              <w:t>Disaggregated Disclosures</w:t>
            </w:r>
            <w:r w:rsidRPr="006911F3">
              <w:rPr>
                <w:rFonts w:cs="Calibri"/>
                <w:color w:val="FFFFFF" w:themeColor="background1"/>
                <w:sz w:val="18"/>
                <w:szCs w:val="18"/>
              </w:rPr>
              <w:t xml:space="preserve"> requires the following disclosures to be provided in the financial statements of a </w:t>
            </w:r>
            <w:r w:rsidR="00086FDD">
              <w:rPr>
                <w:rFonts w:cs="Calibri"/>
                <w:color w:val="FFFFFF" w:themeColor="background1"/>
                <w:sz w:val="18"/>
                <w:szCs w:val="18"/>
              </w:rPr>
              <w:t>g</w:t>
            </w:r>
            <w:r w:rsidRPr="006911F3">
              <w:rPr>
                <w:rFonts w:cs="Calibri"/>
                <w:color w:val="FFFFFF" w:themeColor="background1"/>
                <w:sz w:val="18"/>
                <w:szCs w:val="18"/>
              </w:rPr>
              <w:t xml:space="preserve">overnment </w:t>
            </w:r>
            <w:r w:rsidR="00086FDD">
              <w:rPr>
                <w:rFonts w:cs="Calibri"/>
                <w:color w:val="FFFFFF" w:themeColor="background1"/>
                <w:sz w:val="18"/>
                <w:szCs w:val="18"/>
              </w:rPr>
              <w:t>d</w:t>
            </w:r>
            <w:r w:rsidRPr="006911F3">
              <w:rPr>
                <w:rFonts w:cs="Calibri"/>
                <w:color w:val="FFFFFF" w:themeColor="background1"/>
                <w:sz w:val="18"/>
                <w:szCs w:val="18"/>
              </w:rPr>
              <w:t>irectorate:</w:t>
            </w:r>
          </w:p>
          <w:p w14:paraId="7571C259" w14:textId="368AE402" w:rsidR="002414E7" w:rsidRPr="006911F3" w:rsidRDefault="002414E7"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 xml:space="preserve">in summarised form, the identity and purpose of each major activity undertaken by the </w:t>
            </w:r>
            <w:r w:rsidR="00086FDD">
              <w:rPr>
                <w:rFonts w:cs="Calibri"/>
                <w:color w:val="FFFFFF" w:themeColor="background1"/>
                <w:sz w:val="18"/>
                <w:szCs w:val="18"/>
              </w:rPr>
              <w:t>g</w:t>
            </w:r>
            <w:r w:rsidRPr="006911F3">
              <w:rPr>
                <w:rFonts w:cs="Calibri"/>
                <w:color w:val="FFFFFF" w:themeColor="background1"/>
                <w:sz w:val="18"/>
                <w:szCs w:val="18"/>
              </w:rPr>
              <w:t xml:space="preserve">overnment </w:t>
            </w:r>
            <w:r w:rsidR="00086FDD">
              <w:rPr>
                <w:rFonts w:cs="Calibri"/>
                <w:color w:val="FFFFFF" w:themeColor="background1"/>
                <w:sz w:val="18"/>
                <w:szCs w:val="18"/>
              </w:rPr>
              <w:t>d</w:t>
            </w:r>
            <w:r w:rsidRPr="006911F3">
              <w:rPr>
                <w:rFonts w:cs="Calibri"/>
                <w:color w:val="FFFFFF" w:themeColor="background1"/>
                <w:sz w:val="18"/>
                <w:szCs w:val="18"/>
              </w:rPr>
              <w:t>irectorate during the reporting period;</w:t>
            </w:r>
          </w:p>
          <w:p w14:paraId="2839BA5B" w14:textId="5BFDDDAC" w:rsidR="002414E7" w:rsidRPr="006911F3" w:rsidRDefault="002414E7"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income reliably attributable to each of the major activities, showing separately user charges, income from government and other income by major class of income; and</w:t>
            </w:r>
          </w:p>
          <w:p w14:paraId="5652CDEB" w14:textId="49AF0FCC" w:rsidR="002414E7" w:rsidRPr="006911F3" w:rsidRDefault="002414E7"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expenses reliably attributable to each of the major activities, showing separately each major class of expense.</w:t>
            </w:r>
          </w:p>
        </w:tc>
      </w:tr>
      <w:tr w:rsidR="00FD1106" w:rsidRPr="00ED1443" w14:paraId="58EB751C" w14:textId="77777777" w:rsidTr="004D1EC6">
        <w:tc>
          <w:tcPr>
            <w:tcW w:w="1560" w:type="dxa"/>
            <w:tcBorders>
              <w:top w:val="nil"/>
              <w:left w:val="single" w:sz="2" w:space="0" w:color="auto"/>
              <w:bottom w:val="nil"/>
              <w:right w:val="single" w:sz="2" w:space="0" w:color="auto"/>
            </w:tcBorders>
          </w:tcPr>
          <w:p w14:paraId="0CBB4E5B" w14:textId="77777777" w:rsidR="00FD1106" w:rsidRPr="006911F3" w:rsidRDefault="00FD1106"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8B9BF45" w14:textId="580E0590" w:rsidR="00FD1106" w:rsidRPr="006911F3" w:rsidRDefault="00946037" w:rsidP="00183BD1">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If an agency has no amounts applicable to any line item, the item should not be included in the Output Class Operating Statement.</w:t>
            </w:r>
          </w:p>
        </w:tc>
      </w:tr>
      <w:tr w:rsidR="00946037" w:rsidRPr="00ED1443" w14:paraId="05F5F472" w14:textId="77777777" w:rsidTr="004D1EC6">
        <w:tc>
          <w:tcPr>
            <w:tcW w:w="1560" w:type="dxa"/>
            <w:tcBorders>
              <w:top w:val="nil"/>
              <w:left w:val="single" w:sz="2" w:space="0" w:color="auto"/>
              <w:bottom w:val="nil"/>
              <w:right w:val="single" w:sz="2" w:space="0" w:color="auto"/>
            </w:tcBorders>
          </w:tcPr>
          <w:p w14:paraId="0B444620"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5542FD22" w14:textId="2DD741C5" w:rsidR="00946037" w:rsidRPr="006911F3" w:rsidRDefault="00946037" w:rsidP="00682AFA">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 xml:space="preserve">The output class names and descriptions used in the </w:t>
            </w:r>
            <w:r w:rsidRPr="006911F3">
              <w:rPr>
                <w:rFonts w:cs="Calibri"/>
                <w:iCs/>
                <w:color w:val="FFFFFF" w:themeColor="background1"/>
                <w:sz w:val="18"/>
                <w:szCs w:val="18"/>
              </w:rPr>
              <w:t>Operating Statement</w:t>
            </w:r>
            <w:r w:rsidRPr="006911F3">
              <w:rPr>
                <w:rFonts w:cs="Calibri"/>
                <w:color w:val="FFFFFF" w:themeColor="background1"/>
                <w:sz w:val="18"/>
                <w:szCs w:val="18"/>
              </w:rPr>
              <w:t xml:space="preserve"> for each Output Class </w:t>
            </w:r>
            <w:r w:rsidR="002E2219" w:rsidRPr="00C9508B">
              <w:rPr>
                <w:rFonts w:cs="Calibri"/>
                <w:color w:val="FF0000"/>
                <w:sz w:val="18"/>
                <w:szCs w:val="18"/>
              </w:rPr>
              <w:t>of ‘Burley Griffin Agency’</w:t>
            </w:r>
            <w:r w:rsidR="002E2219" w:rsidRPr="002E2219">
              <w:rPr>
                <w:rFonts w:cs="Calibri"/>
                <w:color w:val="FF0000"/>
                <w:sz w:val="18"/>
                <w:szCs w:val="18"/>
              </w:rPr>
              <w:t xml:space="preserve"> </w:t>
            </w:r>
            <w:r w:rsidRPr="006911F3">
              <w:rPr>
                <w:rFonts w:cs="Calibri"/>
                <w:color w:val="FFFFFF" w:themeColor="background1"/>
                <w:sz w:val="18"/>
                <w:szCs w:val="18"/>
              </w:rPr>
              <w:t>are examples only that need to be tailored to the agency.</w:t>
            </w:r>
          </w:p>
        </w:tc>
      </w:tr>
      <w:tr w:rsidR="00946037" w:rsidRPr="00ED1443" w14:paraId="6147C323" w14:textId="77777777" w:rsidTr="004D1EC6">
        <w:tc>
          <w:tcPr>
            <w:tcW w:w="1560" w:type="dxa"/>
            <w:tcBorders>
              <w:top w:val="nil"/>
              <w:left w:val="single" w:sz="2" w:space="0" w:color="auto"/>
              <w:bottom w:val="nil"/>
              <w:right w:val="single" w:sz="2" w:space="0" w:color="auto"/>
            </w:tcBorders>
          </w:tcPr>
          <w:p w14:paraId="4000518B"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67451BC8" w14:textId="2B4D963C" w:rsidR="00946037" w:rsidRPr="005E4472" w:rsidRDefault="00946037" w:rsidP="00CC1E25">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Definitions</w:t>
            </w:r>
          </w:p>
        </w:tc>
      </w:tr>
      <w:tr w:rsidR="00946037" w:rsidRPr="00ED1443" w14:paraId="777B018E" w14:textId="77777777" w:rsidTr="004D1EC6">
        <w:tc>
          <w:tcPr>
            <w:tcW w:w="1560" w:type="dxa"/>
            <w:tcBorders>
              <w:top w:val="nil"/>
              <w:left w:val="single" w:sz="2" w:space="0" w:color="auto"/>
              <w:bottom w:val="nil"/>
              <w:right w:val="single" w:sz="2" w:space="0" w:color="auto"/>
            </w:tcBorders>
          </w:tcPr>
          <w:p w14:paraId="00B49422" w14:textId="77777777" w:rsidR="00946037" w:rsidRPr="006911F3" w:rsidRDefault="00946037" w:rsidP="00946037">
            <w:pPr>
              <w:pStyle w:val="TableReference"/>
              <w:tabs>
                <w:tab w:val="left" w:pos="3306"/>
              </w:tabs>
              <w:spacing w:before="60"/>
              <w:rPr>
                <w:rFonts w:cs="Calibri"/>
                <w:color w:val="7030A0"/>
                <w:sz w:val="14"/>
              </w:rPr>
            </w:pPr>
            <w:r w:rsidRPr="006911F3">
              <w:rPr>
                <w:rFonts w:cs="Calibri"/>
                <w:color w:val="7030A0"/>
                <w:sz w:val="14"/>
              </w:rPr>
              <w:t>FMA, Dictionary</w:t>
            </w:r>
          </w:p>
          <w:p w14:paraId="4F5A2B4A" w14:textId="19CCD905" w:rsidR="00946037" w:rsidRPr="006911F3" w:rsidRDefault="00946037" w:rsidP="00946037">
            <w:pPr>
              <w:pStyle w:val="TableReference"/>
              <w:tabs>
                <w:tab w:val="left" w:pos="3306"/>
              </w:tabs>
              <w:spacing w:before="240"/>
              <w:rPr>
                <w:rFonts w:cs="Calibri"/>
                <w:color w:val="7030A0"/>
                <w:sz w:val="14"/>
              </w:rPr>
            </w:pPr>
            <w:r w:rsidRPr="006911F3">
              <w:rPr>
                <w:rFonts w:cs="Calibri"/>
                <w:color w:val="7030A0"/>
                <w:sz w:val="14"/>
              </w:rPr>
              <w:t>AASB 1052</w:t>
            </w:r>
          </w:p>
        </w:tc>
        <w:tc>
          <w:tcPr>
            <w:tcW w:w="8986" w:type="dxa"/>
            <w:tcBorders>
              <w:top w:val="nil"/>
              <w:left w:val="single" w:sz="2" w:space="0" w:color="auto"/>
              <w:bottom w:val="nil"/>
              <w:right w:val="nil"/>
            </w:tcBorders>
            <w:shd w:val="clear" w:color="auto" w:fill="7030A0"/>
          </w:tcPr>
          <w:p w14:paraId="513BA021" w14:textId="61220626" w:rsidR="00946037" w:rsidRPr="006911F3" w:rsidRDefault="00946037" w:rsidP="00682AFA">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For FMA purposes, ‘outputs’ are defined as goods produced or services provided by a directorate or territory authority or a person producing goods or providing services on behalf of a directorate or territory authority.</w:t>
            </w:r>
            <w:r w:rsidR="00FA7C77">
              <w:rPr>
                <w:rFonts w:cs="Calibri"/>
                <w:color w:val="FFFFFF" w:themeColor="background1"/>
                <w:sz w:val="18"/>
                <w:szCs w:val="18"/>
              </w:rPr>
              <w:t xml:space="preserve"> </w:t>
            </w:r>
            <w:r w:rsidRPr="006911F3">
              <w:rPr>
                <w:rFonts w:cs="Calibri"/>
                <w:color w:val="FFFFFF" w:themeColor="background1"/>
                <w:sz w:val="18"/>
                <w:szCs w:val="18"/>
              </w:rPr>
              <w:t>‘Class of outputs’ are defined as a group of related outputs.</w:t>
            </w:r>
            <w:r w:rsidR="00FA7C77">
              <w:rPr>
                <w:rFonts w:cs="Calibri"/>
                <w:color w:val="FFFFFF" w:themeColor="background1"/>
                <w:sz w:val="18"/>
                <w:szCs w:val="18"/>
              </w:rPr>
              <w:t xml:space="preserve"> </w:t>
            </w:r>
            <w:r w:rsidRPr="006911F3">
              <w:rPr>
                <w:rFonts w:cs="Calibri"/>
                <w:color w:val="FFFFFF" w:themeColor="background1"/>
                <w:sz w:val="18"/>
                <w:szCs w:val="18"/>
              </w:rPr>
              <w:t>For the purposes of AASB 1052, major activities of a directorate have been defined as ‘output classes’.</w:t>
            </w:r>
          </w:p>
        </w:tc>
      </w:tr>
      <w:tr w:rsidR="00946037" w:rsidRPr="00ED1443" w14:paraId="1679094B" w14:textId="77777777" w:rsidTr="004D1EC6">
        <w:tc>
          <w:tcPr>
            <w:tcW w:w="1560" w:type="dxa"/>
            <w:tcBorders>
              <w:top w:val="nil"/>
              <w:left w:val="single" w:sz="2" w:space="0" w:color="auto"/>
              <w:bottom w:val="nil"/>
              <w:right w:val="single" w:sz="2" w:space="0" w:color="auto"/>
            </w:tcBorders>
          </w:tcPr>
          <w:p w14:paraId="2988E084"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319F92E" w14:textId="50F57561" w:rsidR="00946037" w:rsidRPr="005E4472" w:rsidRDefault="00946037" w:rsidP="00CC1E25">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Budget</w:t>
            </w:r>
          </w:p>
        </w:tc>
      </w:tr>
      <w:tr w:rsidR="00946037" w:rsidRPr="00ED1443" w14:paraId="4AF797F1" w14:textId="77777777" w:rsidTr="004D1EC6">
        <w:tc>
          <w:tcPr>
            <w:tcW w:w="1560" w:type="dxa"/>
            <w:tcBorders>
              <w:top w:val="nil"/>
              <w:left w:val="single" w:sz="2" w:space="0" w:color="auto"/>
              <w:bottom w:val="nil"/>
              <w:right w:val="single" w:sz="2" w:space="0" w:color="auto"/>
            </w:tcBorders>
          </w:tcPr>
          <w:p w14:paraId="09E0F952" w14:textId="5C65500B" w:rsidR="00946037" w:rsidRPr="006911F3" w:rsidRDefault="00946037" w:rsidP="00500DD7">
            <w:pPr>
              <w:pStyle w:val="TableReference"/>
              <w:tabs>
                <w:tab w:val="left" w:pos="3306"/>
              </w:tabs>
              <w:spacing w:before="40"/>
              <w:rPr>
                <w:rFonts w:cs="Calibri"/>
                <w:color w:val="7030A0"/>
                <w:sz w:val="14"/>
              </w:rPr>
            </w:pPr>
            <w:r w:rsidRPr="006911F3">
              <w:rPr>
                <w:rFonts w:cs="Calibri"/>
                <w:color w:val="7030A0"/>
                <w:sz w:val="14"/>
              </w:rPr>
              <w:t>FMA Section 27(2)</w:t>
            </w:r>
          </w:p>
        </w:tc>
        <w:tc>
          <w:tcPr>
            <w:tcW w:w="8986" w:type="dxa"/>
            <w:tcBorders>
              <w:top w:val="nil"/>
              <w:left w:val="single" w:sz="2" w:space="0" w:color="auto"/>
              <w:bottom w:val="nil"/>
              <w:right w:val="nil"/>
            </w:tcBorders>
            <w:shd w:val="clear" w:color="auto" w:fill="7030A0"/>
          </w:tcPr>
          <w:p w14:paraId="16C97E1B" w14:textId="1DEF4374" w:rsidR="00946037" w:rsidRPr="006911F3" w:rsidRDefault="00946037" w:rsidP="001A12A3">
            <w:pPr>
              <w:autoSpaceDE w:val="0"/>
              <w:autoSpaceDN w:val="0"/>
              <w:adjustRightInd w:val="0"/>
              <w:spacing w:after="120"/>
              <w:jc w:val="both"/>
              <w:rPr>
                <w:rFonts w:cs="Calibri"/>
                <w:color w:val="FFFFFF" w:themeColor="background1"/>
                <w:sz w:val="18"/>
                <w:szCs w:val="18"/>
              </w:rPr>
            </w:pPr>
            <w:r w:rsidRPr="006911F3">
              <w:rPr>
                <w:rFonts w:cs="Calibri"/>
                <w:color w:val="FFFFFF" w:themeColor="background1"/>
                <w:sz w:val="18"/>
                <w:szCs w:val="18"/>
              </w:rPr>
              <w:t>The budget numbers appearing in the output class operating statements are those numbers published in the 202</w:t>
            </w:r>
            <w:r w:rsidR="00826627">
              <w:rPr>
                <w:rFonts w:cs="Calibri"/>
                <w:color w:val="FFFFFF" w:themeColor="background1"/>
                <w:sz w:val="18"/>
                <w:szCs w:val="18"/>
              </w:rPr>
              <w:t>2</w:t>
            </w:r>
            <w:r w:rsidR="000A5EE0">
              <w:rPr>
                <w:rFonts w:cs="Calibri"/>
                <w:color w:val="FFFFFF" w:themeColor="background1"/>
                <w:sz w:val="18"/>
                <w:szCs w:val="18"/>
              </w:rPr>
              <w:noBreakHyphen/>
            </w:r>
            <w:r w:rsidRPr="006911F3">
              <w:rPr>
                <w:rFonts w:cs="Calibri"/>
                <w:color w:val="FFFFFF" w:themeColor="background1"/>
                <w:sz w:val="18"/>
                <w:szCs w:val="18"/>
              </w:rPr>
              <w:t>2</w:t>
            </w:r>
            <w:r w:rsidR="00826627">
              <w:rPr>
                <w:rFonts w:cs="Calibri"/>
                <w:color w:val="FFFFFF" w:themeColor="background1"/>
                <w:sz w:val="18"/>
                <w:szCs w:val="18"/>
              </w:rPr>
              <w:t>3</w:t>
            </w:r>
            <w:r w:rsidR="000A5EE0">
              <w:rPr>
                <w:rFonts w:cs="Calibri"/>
                <w:color w:val="FFFFFF" w:themeColor="background1"/>
                <w:sz w:val="18"/>
                <w:szCs w:val="18"/>
              </w:rPr>
              <w:t> </w:t>
            </w:r>
            <w:r w:rsidRPr="006911F3">
              <w:rPr>
                <w:rFonts w:cs="Calibri"/>
                <w:color w:val="FFFFFF" w:themeColor="background1"/>
                <w:sz w:val="18"/>
                <w:szCs w:val="18"/>
              </w:rPr>
              <w:t>Budget Papers.</w:t>
            </w:r>
            <w:r w:rsidR="00A527D1">
              <w:rPr>
                <w:rFonts w:cs="Calibri"/>
                <w:color w:val="FFFFFF" w:themeColor="background1"/>
                <w:sz w:val="18"/>
                <w:szCs w:val="18"/>
              </w:rPr>
              <w:t xml:space="preserve"> </w:t>
            </w:r>
            <w:r w:rsidR="001A12A3" w:rsidRPr="00DF1D7E">
              <w:rPr>
                <w:rFonts w:cs="Calibri"/>
                <w:color w:val="FFFFFF" w:themeColor="background1"/>
                <w:sz w:val="18"/>
                <w:szCs w:val="18"/>
              </w:rPr>
              <w:t xml:space="preserve">For </w:t>
            </w:r>
            <w:r w:rsidR="000A5EE0">
              <w:rPr>
                <w:rFonts w:cs="Calibri"/>
                <w:color w:val="FFFFFF" w:themeColor="background1"/>
                <w:sz w:val="18"/>
                <w:szCs w:val="18"/>
              </w:rPr>
              <w:t>t</w:t>
            </w:r>
            <w:r w:rsidR="001A12A3" w:rsidRPr="00DF1D7E">
              <w:rPr>
                <w:rFonts w:cs="Calibri"/>
                <w:color w:val="FFFFFF" w:themeColor="background1"/>
                <w:sz w:val="18"/>
                <w:szCs w:val="18"/>
              </w:rPr>
              <w:t xml:space="preserve">erritory </w:t>
            </w:r>
            <w:r w:rsidR="000A5EE0">
              <w:rPr>
                <w:rFonts w:cs="Calibri"/>
                <w:color w:val="FFFFFF" w:themeColor="background1"/>
                <w:sz w:val="18"/>
                <w:szCs w:val="18"/>
              </w:rPr>
              <w:t>a</w:t>
            </w:r>
            <w:r w:rsidR="001A12A3" w:rsidRPr="00DF1D7E">
              <w:rPr>
                <w:rFonts w:cs="Calibri"/>
                <w:color w:val="FFFFFF" w:themeColor="background1"/>
                <w:sz w:val="18"/>
                <w:szCs w:val="18"/>
              </w:rPr>
              <w:t>uthorities budget numbers appearing in the Output Class Operating Statements are based on the authority’s Statement of Intent.</w:t>
            </w:r>
            <w:r w:rsidR="001A12A3" w:rsidRPr="00DF1D7E">
              <w:rPr>
                <w:rFonts w:cs="Calibri"/>
                <w:sz w:val="18"/>
                <w:szCs w:val="18"/>
              </w:rPr>
              <w:t xml:space="preserve"> </w:t>
            </w:r>
          </w:p>
        </w:tc>
      </w:tr>
      <w:tr w:rsidR="00FC54D8" w:rsidRPr="00ED1443" w14:paraId="0243C9B8" w14:textId="77777777" w:rsidTr="004D1EC6">
        <w:tc>
          <w:tcPr>
            <w:tcW w:w="1560" w:type="dxa"/>
            <w:tcBorders>
              <w:top w:val="nil"/>
              <w:left w:val="single" w:sz="2" w:space="0" w:color="auto"/>
              <w:bottom w:val="nil"/>
              <w:right w:val="single" w:sz="2" w:space="0" w:color="auto"/>
            </w:tcBorders>
          </w:tcPr>
          <w:p w14:paraId="0E70EBA3" w14:textId="77777777" w:rsidR="00FC54D8" w:rsidRPr="006911F3" w:rsidRDefault="00FC54D8"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1D0C7727" w14:textId="1003C94D" w:rsidR="00FC54D8" w:rsidRPr="00C9508B" w:rsidRDefault="00FC54D8" w:rsidP="00CC1E25">
            <w:pPr>
              <w:autoSpaceDE w:val="0"/>
              <w:autoSpaceDN w:val="0"/>
              <w:adjustRightInd w:val="0"/>
              <w:spacing w:after="40"/>
              <w:jc w:val="both"/>
              <w:rPr>
                <w:rFonts w:cs="Calibri"/>
                <w:color w:val="FFFFFF" w:themeColor="background1"/>
                <w:sz w:val="18"/>
                <w:szCs w:val="18"/>
              </w:rPr>
            </w:pPr>
            <w:r w:rsidRPr="00C9508B">
              <w:rPr>
                <w:b/>
                <w:bCs/>
                <w:color w:val="538135" w:themeColor="accent6" w:themeShade="BF"/>
                <w:sz w:val="20"/>
                <w:szCs w:val="20"/>
              </w:rPr>
              <w:t>Summary of Agency Output Classes</w:t>
            </w:r>
          </w:p>
        </w:tc>
      </w:tr>
      <w:tr w:rsidR="00FC54D8" w:rsidRPr="00ED1443" w14:paraId="5BE976F7" w14:textId="77777777" w:rsidTr="004D1EC6">
        <w:tc>
          <w:tcPr>
            <w:tcW w:w="1560" w:type="dxa"/>
            <w:tcBorders>
              <w:top w:val="nil"/>
              <w:left w:val="single" w:sz="2" w:space="0" w:color="auto"/>
              <w:bottom w:val="nil"/>
              <w:right w:val="single" w:sz="2" w:space="0" w:color="auto"/>
            </w:tcBorders>
          </w:tcPr>
          <w:p w14:paraId="5668EB27" w14:textId="77777777" w:rsidR="00FC54D8" w:rsidRPr="006911F3" w:rsidRDefault="00FC54D8"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12121CD9" w14:textId="7C4E467E" w:rsidR="00FC54D8" w:rsidRPr="00C9508B" w:rsidRDefault="00FC54D8" w:rsidP="00FC54D8">
            <w:pPr>
              <w:autoSpaceDE w:val="0"/>
              <w:autoSpaceDN w:val="0"/>
              <w:adjustRightInd w:val="0"/>
              <w:spacing w:after="120"/>
              <w:jc w:val="both"/>
              <w:rPr>
                <w:rFonts w:cs="Calibri"/>
                <w:color w:val="FFFFFF" w:themeColor="background1"/>
                <w:sz w:val="18"/>
                <w:szCs w:val="18"/>
              </w:rPr>
            </w:pPr>
            <w:r w:rsidRPr="00C9508B">
              <w:rPr>
                <w:color w:val="538135" w:themeColor="accent6" w:themeShade="BF"/>
                <w:sz w:val="18"/>
                <w:szCs w:val="18"/>
              </w:rPr>
              <w:t>For agencies that have multiple output classes and have intra agency eliminations between those output classes then those agencies can choose to include a Summary of Agency Output Classes in their Financial Statements.</w:t>
            </w:r>
          </w:p>
        </w:tc>
      </w:tr>
      <w:tr w:rsidR="00FC54D8" w:rsidRPr="00ED1443" w14:paraId="6E02DA41" w14:textId="77777777" w:rsidTr="004D1EC6">
        <w:tc>
          <w:tcPr>
            <w:tcW w:w="1560" w:type="dxa"/>
            <w:tcBorders>
              <w:top w:val="nil"/>
              <w:left w:val="single" w:sz="2" w:space="0" w:color="auto"/>
              <w:bottom w:val="nil"/>
              <w:right w:val="single" w:sz="2" w:space="0" w:color="auto"/>
            </w:tcBorders>
          </w:tcPr>
          <w:p w14:paraId="211EAEA2" w14:textId="77777777" w:rsidR="00FC54D8" w:rsidRPr="006911F3" w:rsidRDefault="00FC54D8"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311E2F21" w14:textId="15AEAF3F" w:rsidR="00FC54D8" w:rsidRPr="005E4472" w:rsidRDefault="00FC54D8" w:rsidP="00CC1E25">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One Output Class</w:t>
            </w:r>
          </w:p>
        </w:tc>
      </w:tr>
      <w:tr w:rsidR="00FC54D8" w:rsidRPr="00E35CD2" w14:paraId="342F90B8" w14:textId="77777777" w:rsidTr="004D1EC6">
        <w:tc>
          <w:tcPr>
            <w:tcW w:w="1560" w:type="dxa"/>
            <w:tcBorders>
              <w:top w:val="nil"/>
              <w:left w:val="single" w:sz="2" w:space="0" w:color="auto"/>
              <w:bottom w:val="nil"/>
              <w:right w:val="single" w:sz="2" w:space="0" w:color="auto"/>
            </w:tcBorders>
          </w:tcPr>
          <w:p w14:paraId="33F1C8EF" w14:textId="77777777" w:rsidR="00FC54D8" w:rsidRPr="006911F3" w:rsidRDefault="00FC54D8"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5FE0F49" w14:textId="0E74D76F" w:rsidR="00FC54D8" w:rsidRPr="006911F3" w:rsidRDefault="00FC54D8" w:rsidP="000A5EE0">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Where an agency only has one output class, a separate operating statement for that output class and the ‘Summary of Agency Output Classes’ is not required to be included in an agency’s financial statements.</w:t>
            </w:r>
            <w:r>
              <w:rPr>
                <w:rFonts w:cs="Calibri"/>
                <w:color w:val="FFFFFF" w:themeColor="background1"/>
                <w:sz w:val="18"/>
                <w:szCs w:val="18"/>
              </w:rPr>
              <w:t xml:space="preserve"> </w:t>
            </w:r>
            <w:r w:rsidRPr="006911F3">
              <w:rPr>
                <w:rFonts w:cs="Calibri"/>
                <w:color w:val="FFFFFF" w:themeColor="background1"/>
                <w:sz w:val="18"/>
                <w:szCs w:val="18"/>
              </w:rPr>
              <w:t>However, where this is the case, an agency must disclose:</w:t>
            </w:r>
          </w:p>
          <w:p w14:paraId="7E9D230E" w14:textId="77777777" w:rsidR="00FC54D8" w:rsidRPr="006911F3" w:rsidRDefault="00FC54D8"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the title of the output class;</w:t>
            </w:r>
          </w:p>
          <w:p w14:paraId="6D56D17C" w14:textId="77777777" w:rsidR="00FC54D8" w:rsidRPr="006911F3" w:rsidRDefault="00FC54D8"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a description of the output class; and</w:t>
            </w:r>
          </w:p>
          <w:p w14:paraId="5DB642DA" w14:textId="36AF7690" w:rsidR="00FC54D8" w:rsidRPr="006911F3" w:rsidRDefault="00FC54D8" w:rsidP="008E62D1">
            <w:pPr>
              <w:pStyle w:val="Commentary-Bullet"/>
              <w:tabs>
                <w:tab w:val="clear" w:pos="502"/>
              </w:tabs>
              <w:spacing w:after="40"/>
              <w:ind w:left="604" w:hanging="462"/>
              <w:rPr>
                <w:rFonts w:cs="Calibri"/>
                <w:color w:val="FFFFFF" w:themeColor="background1"/>
                <w:sz w:val="18"/>
                <w:szCs w:val="18"/>
              </w:rPr>
            </w:pPr>
            <w:r w:rsidRPr="006911F3">
              <w:rPr>
                <w:rFonts w:cs="Calibri"/>
                <w:color w:val="FFFFFF" w:themeColor="background1"/>
                <w:sz w:val="18"/>
                <w:szCs w:val="18"/>
              </w:rPr>
              <w:t>the fact that there is not an additional Output Class Operating Statement or a Summary of Agency Output Classes.</w:t>
            </w:r>
          </w:p>
        </w:tc>
      </w:tr>
      <w:tr w:rsidR="00FC54D8" w:rsidRPr="00ED1443" w14:paraId="30CA4CBA" w14:textId="77777777" w:rsidTr="000A5EE0">
        <w:trPr>
          <w:trHeight w:val="1198"/>
        </w:trPr>
        <w:tc>
          <w:tcPr>
            <w:tcW w:w="1560" w:type="dxa"/>
            <w:tcBorders>
              <w:top w:val="nil"/>
              <w:left w:val="single" w:sz="2" w:space="0" w:color="auto"/>
              <w:bottom w:val="nil"/>
              <w:right w:val="single" w:sz="2" w:space="0" w:color="auto"/>
            </w:tcBorders>
          </w:tcPr>
          <w:p w14:paraId="2D6FF0DE" w14:textId="77777777" w:rsidR="00FC54D8" w:rsidRPr="006911F3" w:rsidRDefault="00FC54D8"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464372D" w14:textId="77777777" w:rsidR="00FC54D8" w:rsidRPr="006911F3" w:rsidRDefault="00FC54D8" w:rsidP="00FC54D8">
            <w:pPr>
              <w:pStyle w:val="CommentaryText"/>
              <w:spacing w:before="120" w:after="40"/>
              <w:rPr>
                <w:rFonts w:cs="Calibri"/>
                <w:color w:val="FFFFFF" w:themeColor="background1"/>
                <w:sz w:val="18"/>
                <w:szCs w:val="18"/>
              </w:rPr>
            </w:pPr>
            <w:r w:rsidRPr="006911F3">
              <w:rPr>
                <w:rFonts w:cs="Calibri"/>
                <w:color w:val="FFFFFF" w:themeColor="background1"/>
                <w:sz w:val="18"/>
                <w:szCs w:val="18"/>
              </w:rPr>
              <w:t xml:space="preserve">Example wording an agency may use at the bottom of its operating statement, is as follows: </w:t>
            </w:r>
          </w:p>
          <w:p w14:paraId="3A78365C" w14:textId="3215DD52" w:rsidR="00FC54D8" w:rsidRPr="006911F3" w:rsidRDefault="00FC54D8" w:rsidP="00FC54D8">
            <w:pPr>
              <w:pStyle w:val="CommentaryText"/>
              <w:tabs>
                <w:tab w:val="left" w:pos="604"/>
              </w:tabs>
              <w:ind w:left="607"/>
              <w:rPr>
                <w:rFonts w:cs="Calibri"/>
                <w:color w:val="FFFFFF" w:themeColor="background1"/>
                <w:sz w:val="18"/>
                <w:szCs w:val="18"/>
              </w:rPr>
            </w:pPr>
            <w:r w:rsidRPr="006911F3">
              <w:rPr>
                <w:rFonts w:cs="Calibri"/>
                <w:i/>
                <w:color w:val="FFFFFF" w:themeColor="background1"/>
                <w:sz w:val="18"/>
                <w:szCs w:val="18"/>
              </w:rPr>
              <w:t>‘</w:t>
            </w:r>
            <w:r w:rsidRPr="006911F3">
              <w:rPr>
                <w:color w:val="FFFFFF" w:themeColor="background1"/>
                <w:sz w:val="18"/>
                <w:szCs w:val="18"/>
              </w:rPr>
              <w:t xml:space="preserve">Burley Griffin </w:t>
            </w:r>
            <w:r w:rsidRPr="006911F3">
              <w:rPr>
                <w:rFonts w:cs="Calibri"/>
                <w:color w:val="FFFFFF" w:themeColor="background1"/>
                <w:sz w:val="18"/>
                <w:szCs w:val="18"/>
              </w:rPr>
              <w:t>Agency’ only has one output class and as such the above Operating Statement is also the Agency’s Operating Statement for the [Name of Output Class] Output Class.</w:t>
            </w:r>
            <w:r>
              <w:rPr>
                <w:rFonts w:cs="Calibri"/>
                <w:color w:val="FFFFFF" w:themeColor="background1"/>
                <w:sz w:val="18"/>
                <w:szCs w:val="18"/>
              </w:rPr>
              <w:t xml:space="preserve"> </w:t>
            </w:r>
            <w:r w:rsidRPr="006911F3">
              <w:rPr>
                <w:rFonts w:cs="Calibri"/>
                <w:color w:val="FFFFFF" w:themeColor="background1"/>
                <w:sz w:val="18"/>
                <w:szCs w:val="18"/>
              </w:rPr>
              <w:t>The [Name of Output Class] Output Class includes [Description of Output Class.]</w:t>
            </w:r>
            <w:r>
              <w:rPr>
                <w:rFonts w:cs="Calibri"/>
                <w:color w:val="FFFFFF" w:themeColor="background1"/>
                <w:sz w:val="18"/>
                <w:szCs w:val="18"/>
              </w:rPr>
              <w:t xml:space="preserve"> </w:t>
            </w:r>
            <w:r w:rsidRPr="006911F3">
              <w:rPr>
                <w:rFonts w:cs="Calibri"/>
                <w:color w:val="FFFFFF" w:themeColor="background1"/>
                <w:sz w:val="18"/>
                <w:szCs w:val="18"/>
              </w:rPr>
              <w:t>As a result, a separate output class Operating Statement and Summary of Agency Output Classes has not been included in these financial statements</w:t>
            </w:r>
            <w:r w:rsidRPr="006911F3">
              <w:rPr>
                <w:rFonts w:cs="Calibri"/>
                <w:i/>
                <w:color w:val="FFFFFF" w:themeColor="background1"/>
                <w:sz w:val="18"/>
                <w:szCs w:val="18"/>
              </w:rPr>
              <w:t>.</w:t>
            </w:r>
          </w:p>
        </w:tc>
      </w:tr>
      <w:tr w:rsidR="000A5EE0" w:rsidRPr="00ED1443" w14:paraId="2B171E9F" w14:textId="77777777" w:rsidTr="000A5EE0">
        <w:trPr>
          <w:trHeight w:val="283"/>
        </w:trPr>
        <w:tc>
          <w:tcPr>
            <w:tcW w:w="1560" w:type="dxa"/>
            <w:tcBorders>
              <w:top w:val="nil"/>
              <w:left w:val="single" w:sz="2" w:space="0" w:color="auto"/>
              <w:bottom w:val="nil"/>
              <w:right w:val="single" w:sz="2" w:space="0" w:color="auto"/>
            </w:tcBorders>
          </w:tcPr>
          <w:p w14:paraId="585599B7" w14:textId="77777777" w:rsidR="000A5EE0" w:rsidRPr="006911F3" w:rsidRDefault="000A5EE0" w:rsidP="00FC54D8">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66F6F4B8" w14:textId="2CD09ACC" w:rsidR="000A5EE0" w:rsidRPr="006911F3" w:rsidRDefault="000A5EE0" w:rsidP="00CC1E25">
            <w:pPr>
              <w:pStyle w:val="CommentaryText"/>
              <w:spacing w:after="40"/>
              <w:rPr>
                <w:rFonts w:cs="Calibri"/>
                <w:color w:val="FFFFFF" w:themeColor="background1"/>
                <w:sz w:val="18"/>
                <w:szCs w:val="18"/>
              </w:rPr>
            </w:pPr>
            <w:r w:rsidRPr="00B42831">
              <w:rPr>
                <w:rFonts w:cs="Calibri"/>
                <w:b/>
                <w:bCs/>
                <w:color w:val="FFFFFF" w:themeColor="background1"/>
                <w:szCs w:val="20"/>
              </w:rPr>
              <w:t>Territory Authority Commentary</w:t>
            </w:r>
          </w:p>
        </w:tc>
      </w:tr>
      <w:tr w:rsidR="00FC54D8" w:rsidRPr="00ED1443" w14:paraId="541F8809" w14:textId="77777777" w:rsidTr="004D1EC6">
        <w:tc>
          <w:tcPr>
            <w:tcW w:w="1560" w:type="dxa"/>
            <w:tcBorders>
              <w:top w:val="nil"/>
              <w:left w:val="single" w:sz="2" w:space="0" w:color="auto"/>
              <w:bottom w:val="nil"/>
              <w:right w:val="single" w:sz="2" w:space="0" w:color="auto"/>
            </w:tcBorders>
          </w:tcPr>
          <w:p w14:paraId="6694E8AE" w14:textId="06428B64" w:rsidR="00FC54D8" w:rsidRPr="006911F3" w:rsidRDefault="00FC54D8" w:rsidP="00FC54D8">
            <w:pPr>
              <w:pStyle w:val="TableReference"/>
              <w:tabs>
                <w:tab w:val="left" w:pos="3306"/>
              </w:tabs>
              <w:spacing w:before="40"/>
              <w:rPr>
                <w:rFonts w:cs="Calibri"/>
                <w:color w:val="7030A0"/>
                <w:sz w:val="14"/>
              </w:rPr>
            </w:pPr>
            <w:r w:rsidRPr="006911F3">
              <w:rPr>
                <w:rFonts w:cs="Calibri"/>
                <w:bCs/>
                <w:iCs/>
                <w:color w:val="7030A0"/>
                <w:sz w:val="14"/>
                <w:lang w:val="en-US"/>
              </w:rPr>
              <w:t xml:space="preserve">Financial Management (Territory Authorities prescribed for Outputs) Guidelines </w:t>
            </w:r>
            <w:r w:rsidRPr="006911F3">
              <w:rPr>
                <w:rFonts w:cs="Calibri"/>
                <w:bCs/>
                <w:color w:val="7030A0"/>
                <w:sz w:val="14"/>
                <w:lang w:val="en-US"/>
              </w:rPr>
              <w:t>2020 (No 2020).</w:t>
            </w:r>
            <w:r>
              <w:rPr>
                <w:rFonts w:cs="Calibri"/>
                <w:bCs/>
                <w:color w:val="7030A0"/>
                <w:sz w:val="14"/>
                <w:lang w:val="en-US"/>
              </w:rPr>
              <w:t xml:space="preserve"> </w:t>
            </w:r>
            <w:r w:rsidRPr="006911F3">
              <w:rPr>
                <w:rFonts w:cs="Calibri"/>
                <w:bCs/>
                <w:color w:val="7030A0"/>
                <w:sz w:val="14"/>
                <w:lang w:val="en-US"/>
              </w:rPr>
              <w:t>Disallowable instrument 2020-</w:t>
            </w:r>
            <w:r>
              <w:rPr>
                <w:rFonts w:cs="Calibri"/>
                <w:bCs/>
                <w:color w:val="7030A0"/>
                <w:sz w:val="14"/>
                <w:lang w:val="en-US"/>
              </w:rPr>
              <w:t>183</w:t>
            </w:r>
          </w:p>
        </w:tc>
        <w:tc>
          <w:tcPr>
            <w:tcW w:w="8986" w:type="dxa"/>
            <w:tcBorders>
              <w:top w:val="nil"/>
              <w:left w:val="single" w:sz="2" w:space="0" w:color="auto"/>
              <w:bottom w:val="nil"/>
              <w:right w:val="nil"/>
            </w:tcBorders>
            <w:shd w:val="clear" w:color="auto" w:fill="7030A0"/>
          </w:tcPr>
          <w:p w14:paraId="15D9B497" w14:textId="10A5B134" w:rsidR="00FC54D8" w:rsidRPr="006911F3" w:rsidRDefault="00FC54D8" w:rsidP="000A5EE0">
            <w:pPr>
              <w:autoSpaceDE w:val="0"/>
              <w:autoSpaceDN w:val="0"/>
              <w:adjustRightInd w:val="0"/>
              <w:spacing w:after="40"/>
              <w:jc w:val="both"/>
              <w:rPr>
                <w:rFonts w:cs="Calibri"/>
                <w:color w:val="FFFFFF" w:themeColor="background1"/>
                <w:sz w:val="18"/>
                <w:szCs w:val="18"/>
              </w:rPr>
            </w:pPr>
            <w:r w:rsidRPr="006911F3">
              <w:rPr>
                <w:rFonts w:cs="Calibri"/>
                <w:color w:val="FFFFFF" w:themeColor="background1"/>
                <w:sz w:val="18"/>
                <w:szCs w:val="18"/>
              </w:rPr>
              <w:t xml:space="preserve">Only territory authorities that are </w:t>
            </w:r>
            <w:r>
              <w:rPr>
                <w:rFonts w:cs="Calibri"/>
                <w:color w:val="FFFFFF" w:themeColor="background1"/>
                <w:sz w:val="18"/>
                <w:szCs w:val="18"/>
              </w:rPr>
              <w:t>‘</w:t>
            </w:r>
            <w:r w:rsidRPr="006911F3">
              <w:rPr>
                <w:rFonts w:cs="Calibri"/>
                <w:color w:val="FFFFFF" w:themeColor="background1"/>
                <w:sz w:val="18"/>
                <w:szCs w:val="18"/>
              </w:rPr>
              <w:t>prescribed</w:t>
            </w:r>
            <w:r>
              <w:rPr>
                <w:rFonts w:cs="Calibri"/>
                <w:color w:val="FFFFFF" w:themeColor="background1"/>
                <w:sz w:val="18"/>
                <w:szCs w:val="18"/>
              </w:rPr>
              <w:t>’</w:t>
            </w:r>
            <w:r w:rsidRPr="006911F3">
              <w:rPr>
                <w:rFonts w:cs="Calibri"/>
                <w:color w:val="FFFFFF" w:themeColor="background1"/>
                <w:sz w:val="18"/>
                <w:szCs w:val="18"/>
              </w:rPr>
              <w:t xml:space="preserve"> territory authorities (PTA) receiving</w:t>
            </w:r>
            <w:r w:rsidRPr="006911F3">
              <w:rPr>
                <w:color w:val="FFFFFF" w:themeColor="background1"/>
                <w:sz w:val="18"/>
                <w:szCs w:val="18"/>
              </w:rPr>
              <w:t xml:space="preserve"> Controlled Recurrent Payments </w:t>
            </w:r>
            <w:r w:rsidRPr="006911F3">
              <w:rPr>
                <w:rFonts w:cs="Calibri"/>
                <w:color w:val="FFFFFF" w:themeColor="background1"/>
                <w:sz w:val="18"/>
                <w:szCs w:val="18"/>
              </w:rPr>
              <w:t>are required to report on output classes.</w:t>
            </w:r>
            <w:r>
              <w:rPr>
                <w:rFonts w:cs="Calibri"/>
                <w:color w:val="FFFFFF" w:themeColor="background1"/>
                <w:sz w:val="18"/>
                <w:szCs w:val="18"/>
              </w:rPr>
              <w:t xml:space="preserve"> </w:t>
            </w:r>
            <w:r w:rsidRPr="006911F3">
              <w:rPr>
                <w:rFonts w:cs="Calibri"/>
                <w:color w:val="FFFFFF" w:themeColor="background1"/>
                <w:sz w:val="18"/>
                <w:szCs w:val="18"/>
              </w:rPr>
              <w:t>A ‘Summary of Output Classes’ statement and an Operating Statement for each territory authority output class must be disclosed in a territory authority’s financial statements</w:t>
            </w:r>
            <w:r>
              <w:rPr>
                <w:rFonts w:cs="Calibri"/>
                <w:color w:val="FFFFFF" w:themeColor="background1"/>
                <w:sz w:val="18"/>
                <w:szCs w:val="18"/>
              </w:rPr>
              <w:t>, where relevant</w:t>
            </w:r>
            <w:r w:rsidRPr="006911F3">
              <w:rPr>
                <w:rFonts w:cs="Calibri"/>
                <w:color w:val="FFFFFF" w:themeColor="background1"/>
                <w:sz w:val="18"/>
                <w:szCs w:val="18"/>
              </w:rPr>
              <w:t>.</w:t>
            </w:r>
            <w:r>
              <w:rPr>
                <w:rFonts w:cs="Calibri"/>
                <w:color w:val="FFFFFF" w:themeColor="background1"/>
                <w:sz w:val="18"/>
                <w:szCs w:val="18"/>
              </w:rPr>
              <w:t xml:space="preserve"> </w:t>
            </w:r>
            <w:r w:rsidRPr="006911F3">
              <w:rPr>
                <w:rFonts w:cs="Calibri"/>
                <w:color w:val="FFFFFF" w:themeColor="background1"/>
                <w:sz w:val="18"/>
                <w:szCs w:val="18"/>
              </w:rPr>
              <w:t>Prescribed territory authorities are:</w:t>
            </w:r>
          </w:p>
          <w:p w14:paraId="5BF1C524" w14:textId="77777777" w:rsidR="00FC54D8" w:rsidRPr="006911F3" w:rsidRDefault="00FC54D8" w:rsidP="008E62D1">
            <w:pPr>
              <w:pStyle w:val="Commentary-Bullet"/>
              <w:tabs>
                <w:tab w:val="clear" w:pos="502"/>
              </w:tabs>
              <w:spacing w:after="40"/>
              <w:ind w:left="604" w:hanging="425"/>
              <w:rPr>
                <w:rFonts w:cs="Calibri"/>
                <w:color w:val="FFFFFF" w:themeColor="background1"/>
                <w:sz w:val="18"/>
                <w:szCs w:val="18"/>
              </w:rPr>
            </w:pPr>
            <w:r w:rsidRPr="006911F3">
              <w:rPr>
                <w:rFonts w:cs="Calibri"/>
                <w:color w:val="FFFFFF" w:themeColor="background1"/>
                <w:sz w:val="18"/>
                <w:szCs w:val="18"/>
              </w:rPr>
              <w:t xml:space="preserve">ACT Gambling and Racing Commission; </w:t>
            </w:r>
          </w:p>
          <w:p w14:paraId="6524F06F" w14:textId="77777777" w:rsidR="00FC54D8" w:rsidRPr="006911F3" w:rsidRDefault="00FC54D8" w:rsidP="008E62D1">
            <w:pPr>
              <w:pStyle w:val="Commentary-Bullet"/>
              <w:tabs>
                <w:tab w:val="clear" w:pos="502"/>
              </w:tabs>
              <w:spacing w:after="40"/>
              <w:ind w:left="604" w:hanging="425"/>
              <w:rPr>
                <w:rFonts w:cs="Calibri"/>
                <w:color w:val="FFFFFF" w:themeColor="background1"/>
                <w:sz w:val="18"/>
                <w:szCs w:val="18"/>
              </w:rPr>
            </w:pPr>
            <w:r w:rsidRPr="006911F3">
              <w:rPr>
                <w:rFonts w:cs="Calibri"/>
                <w:color w:val="FFFFFF" w:themeColor="background1"/>
                <w:sz w:val="18"/>
                <w:szCs w:val="18"/>
              </w:rPr>
              <w:t>Canberra Institute of Technology;</w:t>
            </w:r>
          </w:p>
          <w:p w14:paraId="5528C3EA" w14:textId="77777777" w:rsidR="00FC54D8" w:rsidRPr="006911F3" w:rsidRDefault="00FC54D8" w:rsidP="008E62D1">
            <w:pPr>
              <w:pStyle w:val="Commentary-Bullet"/>
              <w:tabs>
                <w:tab w:val="clear" w:pos="502"/>
              </w:tabs>
              <w:spacing w:after="40"/>
              <w:ind w:left="604" w:hanging="425"/>
              <w:rPr>
                <w:rFonts w:cs="Calibri"/>
                <w:color w:val="FFFFFF" w:themeColor="background1"/>
                <w:sz w:val="18"/>
                <w:szCs w:val="18"/>
              </w:rPr>
            </w:pPr>
            <w:r w:rsidRPr="006911F3">
              <w:rPr>
                <w:rFonts w:cs="Calibri"/>
                <w:color w:val="FFFFFF" w:themeColor="background1"/>
                <w:sz w:val="18"/>
                <w:szCs w:val="18"/>
              </w:rPr>
              <w:t>Cultural Facilities Corporation;</w:t>
            </w:r>
          </w:p>
          <w:p w14:paraId="17F0CFF0" w14:textId="77777777" w:rsidR="00FC54D8" w:rsidRPr="006911F3" w:rsidRDefault="00FC54D8" w:rsidP="008E62D1">
            <w:pPr>
              <w:pStyle w:val="Commentary-Bullet"/>
              <w:tabs>
                <w:tab w:val="clear" w:pos="502"/>
              </w:tabs>
              <w:spacing w:after="40"/>
              <w:ind w:left="604" w:hanging="425"/>
              <w:rPr>
                <w:rFonts w:cs="Calibri"/>
                <w:color w:val="FFFFFF" w:themeColor="background1"/>
                <w:sz w:val="18"/>
                <w:szCs w:val="18"/>
              </w:rPr>
            </w:pPr>
            <w:r w:rsidRPr="006911F3">
              <w:rPr>
                <w:rFonts w:cs="Calibri"/>
                <w:color w:val="FFFFFF" w:themeColor="background1"/>
                <w:sz w:val="18"/>
                <w:szCs w:val="18"/>
              </w:rPr>
              <w:t>Legal Aid Commission (ACT); and</w:t>
            </w:r>
          </w:p>
          <w:p w14:paraId="79AF460E" w14:textId="0C65DB32" w:rsidR="00FC54D8" w:rsidRPr="006911F3" w:rsidRDefault="00FC54D8" w:rsidP="008E62D1">
            <w:pPr>
              <w:pStyle w:val="Commentary-Bullet"/>
              <w:tabs>
                <w:tab w:val="clear" w:pos="502"/>
              </w:tabs>
              <w:spacing w:after="40"/>
              <w:ind w:left="604" w:hanging="425"/>
              <w:rPr>
                <w:rFonts w:cs="Calibri"/>
                <w:color w:val="FFFFFF" w:themeColor="background1"/>
                <w:sz w:val="18"/>
                <w:szCs w:val="18"/>
              </w:rPr>
            </w:pPr>
            <w:bookmarkStart w:id="314" w:name="_Hlk42246020"/>
            <w:r w:rsidRPr="006911F3">
              <w:rPr>
                <w:rFonts w:cs="Calibri"/>
                <w:color w:val="FFFFFF" w:themeColor="background1"/>
                <w:sz w:val="18"/>
                <w:szCs w:val="18"/>
              </w:rPr>
              <w:t>Office of the Work Health and Safety Commissioner (to be known as WorkSafe ACT)</w:t>
            </w:r>
            <w:bookmarkEnd w:id="314"/>
            <w:r w:rsidRPr="006911F3">
              <w:rPr>
                <w:rFonts w:cs="Calibri"/>
                <w:color w:val="FFFFFF" w:themeColor="background1"/>
                <w:sz w:val="18"/>
                <w:szCs w:val="18"/>
              </w:rPr>
              <w:t>.</w:t>
            </w:r>
          </w:p>
        </w:tc>
      </w:tr>
      <w:tr w:rsidR="00FC54D8" w:rsidRPr="00ED1443" w14:paraId="6BECC8B3" w14:textId="77777777" w:rsidTr="004D1EC6">
        <w:tc>
          <w:tcPr>
            <w:tcW w:w="1560" w:type="dxa"/>
            <w:tcBorders>
              <w:top w:val="nil"/>
              <w:left w:val="single" w:sz="2" w:space="0" w:color="auto"/>
              <w:bottom w:val="nil"/>
              <w:right w:val="single" w:sz="2" w:space="0" w:color="auto"/>
            </w:tcBorders>
          </w:tcPr>
          <w:p w14:paraId="03CE4B10" w14:textId="77777777" w:rsidR="00FC54D8" w:rsidRPr="006911F3" w:rsidRDefault="00FC54D8" w:rsidP="00FC54D8">
            <w:pPr>
              <w:pStyle w:val="TableReference"/>
              <w:tabs>
                <w:tab w:val="left" w:pos="3306"/>
              </w:tabs>
              <w:spacing w:beforeLines="120" w:before="288"/>
              <w:rPr>
                <w:rFonts w:cs="Calibri"/>
                <w:color w:val="7030A0"/>
                <w:sz w:val="14"/>
              </w:rPr>
            </w:pPr>
          </w:p>
        </w:tc>
        <w:tc>
          <w:tcPr>
            <w:tcW w:w="8986" w:type="dxa"/>
            <w:tcBorders>
              <w:top w:val="nil"/>
              <w:left w:val="single" w:sz="2" w:space="0" w:color="auto"/>
              <w:bottom w:val="nil"/>
              <w:right w:val="nil"/>
            </w:tcBorders>
            <w:shd w:val="clear" w:color="auto" w:fill="7030A0"/>
          </w:tcPr>
          <w:p w14:paraId="1C225392" w14:textId="11FB7C52" w:rsidR="00FC54D8" w:rsidRPr="006911F3" w:rsidRDefault="00FC54D8" w:rsidP="00FC54D8">
            <w:pPr>
              <w:pStyle w:val="CommentaryText"/>
              <w:tabs>
                <w:tab w:val="left" w:pos="3306"/>
              </w:tabs>
              <w:spacing w:before="120" w:after="40"/>
              <w:rPr>
                <w:rFonts w:cs="Calibri"/>
                <w:color w:val="FFFFFF" w:themeColor="background1"/>
                <w:sz w:val="18"/>
                <w:szCs w:val="18"/>
              </w:rPr>
            </w:pPr>
            <w:r w:rsidRPr="006911F3">
              <w:rPr>
                <w:rFonts w:cs="Calibri"/>
                <w:color w:val="FFFFFF" w:themeColor="background1"/>
                <w:sz w:val="18"/>
                <w:szCs w:val="18"/>
              </w:rPr>
              <w:t>All other territory authorities are not required to report this information.</w:t>
            </w:r>
          </w:p>
        </w:tc>
      </w:tr>
      <w:tr w:rsidR="00FC54D8" w:rsidRPr="00ED1443" w14:paraId="3AD2D84C" w14:textId="77777777" w:rsidTr="004D1EC6">
        <w:tc>
          <w:tcPr>
            <w:tcW w:w="1560" w:type="dxa"/>
            <w:tcBorders>
              <w:top w:val="nil"/>
              <w:left w:val="single" w:sz="2" w:space="0" w:color="auto"/>
              <w:bottom w:val="nil"/>
              <w:right w:val="single" w:sz="2" w:space="0" w:color="auto"/>
            </w:tcBorders>
          </w:tcPr>
          <w:p w14:paraId="45B195DA" w14:textId="630C0757" w:rsidR="00FC54D8" w:rsidRPr="006911F3" w:rsidRDefault="00FC54D8" w:rsidP="00FC54D8">
            <w:pPr>
              <w:pStyle w:val="TableReference"/>
              <w:tabs>
                <w:tab w:val="left" w:pos="3306"/>
              </w:tabs>
              <w:spacing w:before="40"/>
              <w:rPr>
                <w:rFonts w:cs="Calibri"/>
                <w:color w:val="7030A0"/>
                <w:sz w:val="14"/>
              </w:rPr>
            </w:pPr>
            <w:r w:rsidRPr="006911F3">
              <w:rPr>
                <w:rFonts w:cs="Calibri"/>
                <w:color w:val="7030A0"/>
                <w:sz w:val="14"/>
              </w:rPr>
              <w:t>FMA Section 63(2)</w:t>
            </w:r>
          </w:p>
        </w:tc>
        <w:tc>
          <w:tcPr>
            <w:tcW w:w="8986" w:type="dxa"/>
            <w:tcBorders>
              <w:top w:val="nil"/>
              <w:left w:val="single" w:sz="2" w:space="0" w:color="auto"/>
              <w:bottom w:val="nil"/>
              <w:right w:val="nil"/>
            </w:tcBorders>
            <w:shd w:val="clear" w:color="auto" w:fill="7030A0"/>
          </w:tcPr>
          <w:p w14:paraId="6DC329C7" w14:textId="7754E5A2" w:rsidR="00FC54D8" w:rsidRDefault="00FC54D8" w:rsidP="00FC54D8">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AASB 1052 applies to government department (i.e. ACT directorate) disclosures, which are not relevant to territory authorities.</w:t>
            </w:r>
          </w:p>
          <w:p w14:paraId="48CEA669" w14:textId="678B803A" w:rsidR="00FC54D8" w:rsidRPr="005E4472" w:rsidRDefault="00FC54D8" w:rsidP="00FC54D8">
            <w:pPr>
              <w:pStyle w:val="CommentaryText"/>
              <w:tabs>
                <w:tab w:val="left" w:pos="3306"/>
              </w:tabs>
              <w:spacing w:after="40"/>
              <w:rPr>
                <w:rFonts w:cs="Calibri"/>
                <w:color w:val="FFFFFF" w:themeColor="background1"/>
                <w:sz w:val="4"/>
                <w:szCs w:val="4"/>
              </w:rPr>
            </w:pPr>
          </w:p>
        </w:tc>
      </w:tr>
    </w:tbl>
    <w:p w14:paraId="3605E1DC" w14:textId="5A156A38" w:rsidR="000F238D" w:rsidRPr="00CF7E1B" w:rsidRDefault="000F238D" w:rsidP="000F238D">
      <w:pPr>
        <w:sectPr w:rsidR="000F238D" w:rsidRPr="00CF7E1B" w:rsidSect="004514CD">
          <w:headerReference w:type="default" r:id="rId33"/>
          <w:footnotePr>
            <w:numRestart w:val="eachPage"/>
          </w:footnotePr>
          <w:pgSz w:w="11907" w:h="16840" w:code="9"/>
          <w:pgMar w:top="1134" w:right="680" w:bottom="567" w:left="680" w:header="720" w:footer="720" w:gutter="0"/>
          <w:cols w:space="720"/>
        </w:sectPr>
      </w:pPr>
    </w:p>
    <w:tbl>
      <w:tblPr>
        <w:tblW w:w="10629" w:type="dxa"/>
        <w:tblLayout w:type="fixed"/>
        <w:tblLook w:val="00A0" w:firstRow="1" w:lastRow="0" w:firstColumn="1" w:lastColumn="0" w:noHBand="0" w:noVBand="0"/>
      </w:tblPr>
      <w:tblGrid>
        <w:gridCol w:w="1557"/>
        <w:gridCol w:w="3402"/>
        <w:gridCol w:w="425"/>
        <w:gridCol w:w="425"/>
        <w:gridCol w:w="425"/>
        <w:gridCol w:w="426"/>
        <w:gridCol w:w="425"/>
        <w:gridCol w:w="425"/>
        <w:gridCol w:w="425"/>
        <w:gridCol w:w="426"/>
        <w:gridCol w:w="425"/>
        <w:gridCol w:w="709"/>
        <w:gridCol w:w="425"/>
        <w:gridCol w:w="425"/>
        <w:gridCol w:w="199"/>
        <w:gridCol w:w="85"/>
      </w:tblGrid>
      <w:tr w:rsidR="007918F1" w:rsidRPr="007918F1" w14:paraId="18B1E309" w14:textId="77777777" w:rsidTr="004D1EC6">
        <w:trPr>
          <w:trHeight w:val="314"/>
        </w:trPr>
        <w:tc>
          <w:tcPr>
            <w:tcW w:w="1557" w:type="dxa"/>
            <w:tcBorders>
              <w:left w:val="single" w:sz="2" w:space="0" w:color="auto"/>
              <w:right w:val="single" w:sz="2" w:space="0" w:color="auto"/>
            </w:tcBorders>
          </w:tcPr>
          <w:p w14:paraId="6636DB8A" w14:textId="77777777" w:rsidR="00A30ED6" w:rsidRPr="007918F1" w:rsidRDefault="00A30ED6" w:rsidP="00F22D61">
            <w:pPr>
              <w:spacing w:before="240"/>
              <w:rPr>
                <w:rFonts w:cs="Calibri"/>
                <w:b/>
                <w:color w:val="7030A0"/>
                <w:szCs w:val="22"/>
              </w:rPr>
            </w:pPr>
            <w:bookmarkStart w:id="315" w:name="_Toc194918651"/>
            <w:r w:rsidRPr="007918F1">
              <w:rPr>
                <w:rFonts w:cs="Calibri"/>
                <w:b/>
                <w:color w:val="7030A0"/>
                <w:szCs w:val="22"/>
              </w:rPr>
              <w:t>Reference</w:t>
            </w:r>
          </w:p>
        </w:tc>
        <w:tc>
          <w:tcPr>
            <w:tcW w:w="9072" w:type="dxa"/>
            <w:gridSpan w:val="15"/>
            <w:tcBorders>
              <w:left w:val="single" w:sz="2" w:space="0" w:color="auto"/>
            </w:tcBorders>
          </w:tcPr>
          <w:p w14:paraId="619127D4" w14:textId="77777777" w:rsidR="00A30ED6" w:rsidRPr="007918F1" w:rsidRDefault="00A30ED6" w:rsidP="00F22D61">
            <w:pPr>
              <w:pStyle w:val="Heading1"/>
              <w:numPr>
                <w:ilvl w:val="0"/>
                <w:numId w:val="0"/>
              </w:numPr>
              <w:rPr>
                <w:rFonts w:asciiTheme="minorHAnsi" w:hAnsiTheme="minorHAnsi" w:cstheme="minorHAnsi"/>
                <w:sz w:val="36"/>
                <w:szCs w:val="36"/>
              </w:rPr>
            </w:pPr>
            <w:bookmarkStart w:id="316" w:name="_Toc132743773"/>
            <w:r w:rsidRPr="007918F1">
              <w:rPr>
                <w:rFonts w:asciiTheme="minorHAnsi" w:hAnsiTheme="minorHAnsi" w:cstheme="minorHAnsi"/>
                <w:sz w:val="36"/>
                <w:szCs w:val="36"/>
              </w:rPr>
              <w:t>Disaggregated Disclosure of Assets and Liabilities [Directorates Only]</w:t>
            </w:r>
            <w:bookmarkEnd w:id="316"/>
            <w:r w:rsidR="003B4590" w:rsidRPr="007918F1">
              <w:rPr>
                <w:rFonts w:asciiTheme="minorHAnsi" w:hAnsiTheme="minorHAnsi" w:cstheme="minorHAnsi"/>
                <w:sz w:val="36"/>
                <w:szCs w:val="36"/>
              </w:rPr>
              <w:t xml:space="preserve"> </w:t>
            </w:r>
          </w:p>
        </w:tc>
      </w:tr>
      <w:tr w:rsidR="00A30ED6" w:rsidRPr="0020314C" w14:paraId="2F038915" w14:textId="77777777" w:rsidTr="004D1EC6">
        <w:trPr>
          <w:trHeight w:hRule="exact" w:val="245"/>
        </w:trPr>
        <w:tc>
          <w:tcPr>
            <w:tcW w:w="1557" w:type="dxa"/>
            <w:tcBorders>
              <w:left w:val="single" w:sz="2" w:space="0" w:color="auto"/>
              <w:right w:val="single" w:sz="2" w:space="0" w:color="auto"/>
            </w:tcBorders>
          </w:tcPr>
          <w:p w14:paraId="7B5F7CC6" w14:textId="34B494AC" w:rsidR="00A30ED6" w:rsidRPr="007918F1" w:rsidRDefault="00A30ED6" w:rsidP="007918F1">
            <w:pPr>
              <w:pStyle w:val="Reference"/>
              <w:rPr>
                <w:rFonts w:cs="Calibri"/>
                <w:b w:val="0"/>
                <w:bCs w:val="0"/>
                <w:color w:val="7030A0"/>
                <w:sz w:val="14"/>
                <w:szCs w:val="14"/>
              </w:rPr>
            </w:pPr>
            <w:r w:rsidRPr="007918F1">
              <w:rPr>
                <w:rFonts w:cs="Calibri"/>
                <w:b w:val="0"/>
                <w:bCs w:val="0"/>
                <w:color w:val="7030A0"/>
                <w:sz w:val="14"/>
                <w:szCs w:val="14"/>
              </w:rPr>
              <w:t xml:space="preserve">ACT </w:t>
            </w:r>
            <w:r w:rsidR="00A274A8" w:rsidRPr="007918F1">
              <w:rPr>
                <w:rFonts w:cs="Calibri"/>
                <w:b w:val="0"/>
                <w:bCs w:val="0"/>
                <w:color w:val="7030A0"/>
                <w:sz w:val="14"/>
              </w:rPr>
              <w:t>Disclosure</w:t>
            </w:r>
            <w:r w:rsidR="006911F3" w:rsidRPr="007918F1">
              <w:rPr>
                <w:rFonts w:cs="Calibri"/>
                <w:b w:val="0"/>
                <w:bCs w:val="0"/>
                <w:color w:val="7030A0"/>
                <w:sz w:val="14"/>
                <w:szCs w:val="14"/>
              </w:rPr>
              <w:t xml:space="preserve"> </w:t>
            </w:r>
            <w:r w:rsidRPr="007918F1">
              <w:rPr>
                <w:rFonts w:cs="Calibri"/>
                <w:b w:val="0"/>
                <w:bCs w:val="0"/>
                <w:color w:val="7030A0"/>
                <w:sz w:val="14"/>
                <w:szCs w:val="14"/>
              </w:rPr>
              <w:t>Policy</w:t>
            </w:r>
          </w:p>
        </w:tc>
        <w:tc>
          <w:tcPr>
            <w:tcW w:w="9072" w:type="dxa"/>
            <w:gridSpan w:val="15"/>
            <w:tcBorders>
              <w:left w:val="single" w:sz="2" w:space="0" w:color="auto"/>
            </w:tcBorders>
            <w:vAlign w:val="center"/>
          </w:tcPr>
          <w:p w14:paraId="1942B417" w14:textId="2350EBE4" w:rsidR="00A30ED6" w:rsidRPr="007918F1" w:rsidRDefault="00A30ED6" w:rsidP="007918F1">
            <w:pPr>
              <w:pStyle w:val="TableTitle"/>
              <w:tabs>
                <w:tab w:val="left" w:pos="3306"/>
              </w:tabs>
              <w:jc w:val="left"/>
              <w:rPr>
                <w:rFonts w:cs="Calibri"/>
                <w:bCs w:val="0"/>
              </w:rPr>
            </w:pPr>
            <w:r w:rsidRPr="007918F1">
              <w:rPr>
                <w:rFonts w:cs="Calibri"/>
                <w:bCs w:val="0"/>
              </w:rPr>
              <w:t xml:space="preserve">Year Ended 30 June </w:t>
            </w:r>
            <w:r w:rsidR="001B231B" w:rsidRPr="007918F1">
              <w:rPr>
                <w:rFonts w:cs="Calibri"/>
                <w:bCs w:val="0"/>
              </w:rPr>
              <w:t>202</w:t>
            </w:r>
            <w:r w:rsidR="00826627">
              <w:rPr>
                <w:rFonts w:cs="Calibri"/>
                <w:bCs w:val="0"/>
              </w:rPr>
              <w:t>3</w:t>
            </w:r>
          </w:p>
        </w:tc>
      </w:tr>
      <w:tr w:rsidR="00F257E0" w:rsidRPr="0020314C" w14:paraId="4148819B" w14:textId="77777777" w:rsidTr="004D1EC6">
        <w:tc>
          <w:tcPr>
            <w:tcW w:w="1557" w:type="dxa"/>
            <w:tcBorders>
              <w:left w:val="single" w:sz="2" w:space="0" w:color="auto"/>
              <w:right w:val="single" w:sz="2" w:space="0" w:color="auto"/>
            </w:tcBorders>
          </w:tcPr>
          <w:p w14:paraId="35AEC358" w14:textId="77777777" w:rsidR="00F257E0" w:rsidRPr="007918F1" w:rsidRDefault="00F257E0" w:rsidP="00F257E0">
            <w:pPr>
              <w:pStyle w:val="Reference"/>
              <w:rPr>
                <w:rFonts w:cs="Calibri"/>
                <w:b w:val="0"/>
                <w:bCs w:val="0"/>
                <w:color w:val="7030A0"/>
                <w:sz w:val="14"/>
                <w:szCs w:val="14"/>
              </w:rPr>
            </w:pPr>
            <w:r w:rsidRPr="007918F1">
              <w:rPr>
                <w:rFonts w:cs="Calibri"/>
                <w:b w:val="0"/>
                <w:bCs w:val="0"/>
                <w:color w:val="7030A0"/>
                <w:sz w:val="14"/>
                <w:szCs w:val="14"/>
              </w:rPr>
              <w:t>AASB 1052.16</w:t>
            </w:r>
          </w:p>
        </w:tc>
        <w:tc>
          <w:tcPr>
            <w:tcW w:w="3827" w:type="dxa"/>
            <w:gridSpan w:val="2"/>
            <w:tcBorders>
              <w:left w:val="single" w:sz="2" w:space="0" w:color="auto"/>
            </w:tcBorders>
            <w:shd w:val="clear" w:color="auto" w:fill="auto"/>
            <w:vAlign w:val="bottom"/>
          </w:tcPr>
          <w:p w14:paraId="0C88E335" w14:textId="77777777" w:rsidR="00F257E0" w:rsidRPr="007918F1" w:rsidRDefault="00F257E0" w:rsidP="00F257E0">
            <w:pPr>
              <w:pStyle w:val="TableText"/>
              <w:tabs>
                <w:tab w:val="left" w:pos="3306"/>
              </w:tabs>
              <w:rPr>
                <w:rFonts w:cs="Calibri"/>
                <w:b/>
                <w:bCs/>
              </w:rPr>
            </w:pPr>
          </w:p>
        </w:tc>
        <w:tc>
          <w:tcPr>
            <w:tcW w:w="850" w:type="dxa"/>
            <w:gridSpan w:val="2"/>
            <w:shd w:val="clear" w:color="auto" w:fill="auto"/>
          </w:tcPr>
          <w:p w14:paraId="7A8132BB" w14:textId="77777777" w:rsidR="00F257E0" w:rsidRPr="007918F1" w:rsidRDefault="00F257E0" w:rsidP="00F257E0">
            <w:pPr>
              <w:spacing w:before="60"/>
              <w:jc w:val="right"/>
              <w:rPr>
                <w:rFonts w:cs="Calibri"/>
                <w:b/>
                <w:bCs/>
                <w:sz w:val="18"/>
                <w:szCs w:val="18"/>
              </w:rPr>
            </w:pPr>
            <w:r w:rsidRPr="007918F1">
              <w:rPr>
                <w:rFonts w:cs="Calibri"/>
                <w:b/>
                <w:bCs/>
                <w:sz w:val="18"/>
                <w:szCs w:val="18"/>
              </w:rPr>
              <w:t xml:space="preserve">Output Class 1 </w:t>
            </w:r>
          </w:p>
        </w:tc>
        <w:tc>
          <w:tcPr>
            <w:tcW w:w="851" w:type="dxa"/>
            <w:gridSpan w:val="2"/>
            <w:shd w:val="clear" w:color="auto" w:fill="auto"/>
          </w:tcPr>
          <w:p w14:paraId="49841EE7" w14:textId="77777777" w:rsidR="00F257E0" w:rsidRPr="007918F1" w:rsidRDefault="00F257E0" w:rsidP="00F257E0">
            <w:pPr>
              <w:spacing w:before="60"/>
              <w:jc w:val="right"/>
              <w:rPr>
                <w:rFonts w:cs="Calibri"/>
                <w:b/>
                <w:bCs/>
                <w:sz w:val="18"/>
                <w:szCs w:val="18"/>
              </w:rPr>
            </w:pPr>
            <w:r w:rsidRPr="007918F1">
              <w:rPr>
                <w:rFonts w:cs="Calibri"/>
                <w:b/>
                <w:bCs/>
                <w:sz w:val="18"/>
                <w:szCs w:val="18"/>
              </w:rPr>
              <w:t>Output Class 2</w:t>
            </w:r>
          </w:p>
        </w:tc>
        <w:tc>
          <w:tcPr>
            <w:tcW w:w="850" w:type="dxa"/>
            <w:gridSpan w:val="2"/>
          </w:tcPr>
          <w:p w14:paraId="23D577E2" w14:textId="4143535C" w:rsidR="00F257E0" w:rsidRPr="007918F1" w:rsidRDefault="00F257E0" w:rsidP="00F257E0">
            <w:pPr>
              <w:spacing w:before="60"/>
              <w:jc w:val="right"/>
              <w:rPr>
                <w:rFonts w:cs="Calibri"/>
                <w:b/>
                <w:bCs/>
                <w:sz w:val="18"/>
                <w:szCs w:val="18"/>
              </w:rPr>
            </w:pPr>
            <w:r w:rsidRPr="007918F1">
              <w:rPr>
                <w:rFonts w:cs="Calibri"/>
                <w:b/>
                <w:bCs/>
                <w:sz w:val="18"/>
                <w:szCs w:val="18"/>
              </w:rPr>
              <w:t>Output Class 3</w:t>
            </w:r>
          </w:p>
        </w:tc>
        <w:tc>
          <w:tcPr>
            <w:tcW w:w="851" w:type="dxa"/>
            <w:gridSpan w:val="2"/>
            <w:shd w:val="clear" w:color="auto" w:fill="auto"/>
          </w:tcPr>
          <w:p w14:paraId="6CA25E34" w14:textId="0C6515EA" w:rsidR="00F257E0" w:rsidRPr="007918F1" w:rsidRDefault="00F257E0" w:rsidP="00F257E0">
            <w:pPr>
              <w:spacing w:before="60"/>
              <w:jc w:val="right"/>
              <w:rPr>
                <w:rFonts w:cs="Calibri"/>
                <w:b/>
                <w:bCs/>
                <w:sz w:val="18"/>
                <w:szCs w:val="18"/>
              </w:rPr>
            </w:pPr>
            <w:r w:rsidRPr="007918F1">
              <w:rPr>
                <w:rFonts w:cs="Calibri"/>
                <w:b/>
                <w:bCs/>
                <w:sz w:val="18"/>
                <w:szCs w:val="18"/>
              </w:rPr>
              <w:t>Output Class 4</w:t>
            </w:r>
          </w:p>
        </w:tc>
        <w:tc>
          <w:tcPr>
            <w:tcW w:w="1134" w:type="dxa"/>
            <w:gridSpan w:val="2"/>
            <w:shd w:val="clear" w:color="auto" w:fill="auto"/>
            <w:vAlign w:val="bottom"/>
          </w:tcPr>
          <w:p w14:paraId="2C04EC60" w14:textId="77777777" w:rsidR="00F257E0" w:rsidRPr="007918F1" w:rsidRDefault="00F257E0" w:rsidP="007918F1">
            <w:pPr>
              <w:pStyle w:val="TableText"/>
              <w:tabs>
                <w:tab w:val="left" w:pos="3306"/>
              </w:tabs>
              <w:jc w:val="right"/>
              <w:rPr>
                <w:rFonts w:cs="Calibri"/>
                <w:b/>
                <w:bCs/>
              </w:rPr>
            </w:pPr>
            <w:r w:rsidRPr="007918F1">
              <w:rPr>
                <w:rFonts w:cs="Calibri"/>
                <w:b/>
                <w:bCs/>
              </w:rPr>
              <w:t>Unallocated</w:t>
            </w:r>
          </w:p>
        </w:tc>
        <w:tc>
          <w:tcPr>
            <w:tcW w:w="709" w:type="dxa"/>
            <w:gridSpan w:val="3"/>
            <w:shd w:val="clear" w:color="auto" w:fill="auto"/>
            <w:vAlign w:val="bottom"/>
          </w:tcPr>
          <w:p w14:paraId="53ECDF8A" w14:textId="77777777" w:rsidR="00F257E0" w:rsidRPr="007918F1" w:rsidRDefault="00F257E0" w:rsidP="007918F1">
            <w:pPr>
              <w:pStyle w:val="TableText"/>
              <w:tabs>
                <w:tab w:val="left" w:pos="3306"/>
              </w:tabs>
              <w:jc w:val="right"/>
              <w:rPr>
                <w:rFonts w:cs="Calibri"/>
                <w:b/>
                <w:bCs/>
              </w:rPr>
            </w:pPr>
            <w:r w:rsidRPr="007918F1">
              <w:rPr>
                <w:rFonts w:cs="Calibri"/>
                <w:b/>
                <w:bCs/>
              </w:rPr>
              <w:t>Total</w:t>
            </w:r>
          </w:p>
        </w:tc>
      </w:tr>
      <w:tr w:rsidR="00F257E0" w:rsidRPr="0020314C" w14:paraId="44210E4C" w14:textId="77777777" w:rsidTr="001F436C">
        <w:tc>
          <w:tcPr>
            <w:tcW w:w="1557" w:type="dxa"/>
            <w:tcBorders>
              <w:left w:val="single" w:sz="2" w:space="0" w:color="auto"/>
              <w:right w:val="single" w:sz="2" w:space="0" w:color="auto"/>
            </w:tcBorders>
          </w:tcPr>
          <w:p w14:paraId="15A0F44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AC8CB0B" w14:textId="77777777" w:rsidR="00F257E0" w:rsidRPr="007918F1" w:rsidRDefault="00F257E0" w:rsidP="00F257E0">
            <w:pPr>
              <w:pStyle w:val="TableText"/>
              <w:tabs>
                <w:tab w:val="left" w:pos="3306"/>
              </w:tabs>
              <w:rPr>
                <w:rFonts w:cs="Calibri"/>
                <w:b/>
                <w:bCs/>
              </w:rPr>
            </w:pPr>
          </w:p>
        </w:tc>
        <w:tc>
          <w:tcPr>
            <w:tcW w:w="850" w:type="dxa"/>
            <w:gridSpan w:val="2"/>
            <w:shd w:val="clear" w:color="auto" w:fill="auto"/>
          </w:tcPr>
          <w:p w14:paraId="6422511E" w14:textId="77777777" w:rsidR="00F257E0" w:rsidRPr="007918F1" w:rsidRDefault="00F257E0" w:rsidP="001F436C">
            <w:pPr>
              <w:jc w:val="center"/>
              <w:rPr>
                <w:rFonts w:cs="Calibri"/>
                <w:b/>
                <w:bCs/>
                <w:sz w:val="18"/>
                <w:szCs w:val="18"/>
              </w:rPr>
            </w:pPr>
            <w:r w:rsidRPr="007918F1">
              <w:rPr>
                <w:rFonts w:cs="Calibri"/>
                <w:b/>
                <w:bCs/>
                <w:sz w:val="18"/>
                <w:szCs w:val="18"/>
              </w:rPr>
              <w:t>$’000</w:t>
            </w:r>
          </w:p>
        </w:tc>
        <w:tc>
          <w:tcPr>
            <w:tcW w:w="851" w:type="dxa"/>
            <w:gridSpan w:val="2"/>
            <w:shd w:val="clear" w:color="auto" w:fill="auto"/>
          </w:tcPr>
          <w:p w14:paraId="138EC9DD" w14:textId="77777777" w:rsidR="00F257E0" w:rsidRPr="007918F1" w:rsidRDefault="00F257E0" w:rsidP="001F436C">
            <w:pPr>
              <w:jc w:val="center"/>
              <w:rPr>
                <w:rFonts w:cs="Calibri"/>
                <w:b/>
                <w:bCs/>
                <w:sz w:val="18"/>
                <w:szCs w:val="18"/>
              </w:rPr>
            </w:pPr>
            <w:r w:rsidRPr="007918F1">
              <w:rPr>
                <w:rFonts w:cs="Calibri"/>
                <w:b/>
                <w:bCs/>
                <w:sz w:val="18"/>
                <w:szCs w:val="18"/>
              </w:rPr>
              <w:t>$’000</w:t>
            </w:r>
          </w:p>
        </w:tc>
        <w:tc>
          <w:tcPr>
            <w:tcW w:w="850" w:type="dxa"/>
            <w:gridSpan w:val="2"/>
          </w:tcPr>
          <w:p w14:paraId="6B731FA1" w14:textId="4EE1D487" w:rsidR="00F257E0" w:rsidRPr="007918F1" w:rsidRDefault="00F257E0" w:rsidP="001F436C">
            <w:pPr>
              <w:jc w:val="center"/>
              <w:rPr>
                <w:rFonts w:cs="Calibri"/>
                <w:b/>
                <w:bCs/>
                <w:sz w:val="18"/>
                <w:szCs w:val="18"/>
              </w:rPr>
            </w:pPr>
            <w:r w:rsidRPr="007918F1">
              <w:rPr>
                <w:rFonts w:cs="Calibri"/>
                <w:b/>
                <w:bCs/>
                <w:sz w:val="18"/>
                <w:szCs w:val="18"/>
              </w:rPr>
              <w:t>$’000</w:t>
            </w:r>
          </w:p>
        </w:tc>
        <w:tc>
          <w:tcPr>
            <w:tcW w:w="851" w:type="dxa"/>
            <w:gridSpan w:val="2"/>
            <w:shd w:val="clear" w:color="auto" w:fill="auto"/>
          </w:tcPr>
          <w:p w14:paraId="67E2CE38" w14:textId="3B8F1EF1" w:rsidR="00F257E0" w:rsidRPr="007918F1" w:rsidRDefault="00F257E0" w:rsidP="001F436C">
            <w:pPr>
              <w:jc w:val="center"/>
              <w:rPr>
                <w:rFonts w:cs="Calibri"/>
                <w:b/>
                <w:bCs/>
                <w:sz w:val="18"/>
                <w:szCs w:val="18"/>
              </w:rPr>
            </w:pPr>
            <w:r w:rsidRPr="007918F1">
              <w:rPr>
                <w:rFonts w:cs="Calibri"/>
                <w:b/>
                <w:bCs/>
                <w:sz w:val="18"/>
                <w:szCs w:val="18"/>
              </w:rPr>
              <w:t>$’000</w:t>
            </w:r>
          </w:p>
        </w:tc>
        <w:tc>
          <w:tcPr>
            <w:tcW w:w="1134" w:type="dxa"/>
            <w:gridSpan w:val="2"/>
            <w:shd w:val="clear" w:color="auto" w:fill="auto"/>
          </w:tcPr>
          <w:p w14:paraId="030E1742" w14:textId="77777777" w:rsidR="00F257E0" w:rsidRPr="007918F1" w:rsidRDefault="00F257E0" w:rsidP="001F436C">
            <w:pPr>
              <w:jc w:val="center"/>
              <w:rPr>
                <w:rFonts w:cs="Calibri"/>
                <w:b/>
                <w:bCs/>
                <w:sz w:val="18"/>
                <w:szCs w:val="18"/>
              </w:rPr>
            </w:pPr>
            <w:r w:rsidRPr="007918F1">
              <w:rPr>
                <w:rFonts w:cs="Calibri"/>
                <w:b/>
                <w:bCs/>
                <w:sz w:val="18"/>
                <w:szCs w:val="18"/>
              </w:rPr>
              <w:t>$’000</w:t>
            </w:r>
          </w:p>
        </w:tc>
        <w:tc>
          <w:tcPr>
            <w:tcW w:w="709" w:type="dxa"/>
            <w:gridSpan w:val="3"/>
            <w:shd w:val="clear" w:color="auto" w:fill="auto"/>
          </w:tcPr>
          <w:p w14:paraId="4E9EFB71" w14:textId="77777777" w:rsidR="00F257E0" w:rsidRPr="007918F1" w:rsidRDefault="00F257E0" w:rsidP="001F436C">
            <w:pPr>
              <w:pStyle w:val="TableText"/>
              <w:tabs>
                <w:tab w:val="left" w:pos="3306"/>
              </w:tabs>
              <w:spacing w:before="0"/>
              <w:jc w:val="center"/>
              <w:rPr>
                <w:rFonts w:cs="Calibri"/>
                <w:b/>
                <w:bCs/>
              </w:rPr>
            </w:pPr>
            <w:r w:rsidRPr="007918F1">
              <w:rPr>
                <w:rFonts w:cs="Calibri"/>
                <w:b/>
                <w:bCs/>
              </w:rPr>
              <w:t>$’000</w:t>
            </w:r>
          </w:p>
        </w:tc>
      </w:tr>
      <w:tr w:rsidR="00F257E0" w:rsidRPr="0020314C" w14:paraId="5A7FCFC2" w14:textId="77777777" w:rsidTr="004D1EC6">
        <w:tc>
          <w:tcPr>
            <w:tcW w:w="1557" w:type="dxa"/>
            <w:tcBorders>
              <w:left w:val="single" w:sz="2" w:space="0" w:color="auto"/>
              <w:right w:val="single" w:sz="2" w:space="0" w:color="auto"/>
            </w:tcBorders>
          </w:tcPr>
          <w:p w14:paraId="432E47D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86A87E" w14:textId="77777777" w:rsidR="00F257E0" w:rsidRPr="007918F1" w:rsidRDefault="00F257E0" w:rsidP="00F257E0">
            <w:pPr>
              <w:pStyle w:val="TableText"/>
              <w:tabs>
                <w:tab w:val="left" w:pos="3306"/>
              </w:tabs>
              <w:rPr>
                <w:rFonts w:cs="Calibri"/>
                <w:b/>
                <w:szCs w:val="16"/>
              </w:rPr>
            </w:pPr>
            <w:r w:rsidRPr="007918F1">
              <w:rPr>
                <w:rFonts w:cs="Calibri"/>
                <w:b/>
                <w:szCs w:val="16"/>
              </w:rPr>
              <w:t>Current Assets</w:t>
            </w:r>
          </w:p>
        </w:tc>
        <w:tc>
          <w:tcPr>
            <w:tcW w:w="850" w:type="dxa"/>
            <w:gridSpan w:val="2"/>
            <w:shd w:val="clear" w:color="auto" w:fill="auto"/>
          </w:tcPr>
          <w:p w14:paraId="05FADC1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03DB256C" w14:textId="77777777" w:rsidR="00F257E0" w:rsidRPr="007918F1" w:rsidRDefault="00F257E0" w:rsidP="00F257E0">
            <w:pPr>
              <w:pStyle w:val="TableText"/>
              <w:tabs>
                <w:tab w:val="left" w:pos="3306"/>
              </w:tabs>
              <w:jc w:val="right"/>
              <w:rPr>
                <w:rFonts w:cs="Calibri"/>
                <w:b/>
                <w:bCs/>
              </w:rPr>
            </w:pPr>
          </w:p>
        </w:tc>
        <w:tc>
          <w:tcPr>
            <w:tcW w:w="850" w:type="dxa"/>
            <w:gridSpan w:val="2"/>
          </w:tcPr>
          <w:p w14:paraId="760C3615"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09374E65" w14:textId="3A915F92"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9C727F9"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58554689" w14:textId="77777777" w:rsidR="00F257E0" w:rsidRPr="007918F1" w:rsidRDefault="00F257E0" w:rsidP="00F257E0">
            <w:pPr>
              <w:pStyle w:val="TableText"/>
              <w:tabs>
                <w:tab w:val="left" w:pos="3306"/>
              </w:tabs>
              <w:jc w:val="right"/>
              <w:rPr>
                <w:rFonts w:cs="Calibri"/>
                <w:b/>
                <w:bCs/>
              </w:rPr>
            </w:pPr>
          </w:p>
        </w:tc>
      </w:tr>
      <w:tr w:rsidR="00F257E0" w:rsidRPr="0020314C" w14:paraId="39F4040A" w14:textId="77777777" w:rsidTr="004D1EC6">
        <w:tc>
          <w:tcPr>
            <w:tcW w:w="1557" w:type="dxa"/>
            <w:tcBorders>
              <w:left w:val="single" w:sz="2" w:space="0" w:color="auto"/>
              <w:right w:val="single" w:sz="2" w:space="0" w:color="auto"/>
            </w:tcBorders>
          </w:tcPr>
          <w:p w14:paraId="7452251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E658E25" w14:textId="5270B7A1" w:rsidR="00F257E0" w:rsidRPr="00A742FB" w:rsidRDefault="00F257E0" w:rsidP="00F257E0">
            <w:pPr>
              <w:pStyle w:val="TableText"/>
              <w:tabs>
                <w:tab w:val="left" w:pos="3306"/>
              </w:tabs>
              <w:rPr>
                <w:rFonts w:cs="Calibri"/>
                <w:strike/>
                <w:szCs w:val="16"/>
              </w:rPr>
            </w:pPr>
            <w:r w:rsidRPr="00A742FB">
              <w:rPr>
                <w:rFonts w:cs="Calibri"/>
                <w:strike/>
                <w:color w:val="FF0000"/>
                <w:szCs w:val="16"/>
              </w:rPr>
              <w:t>Cash and Cash Equivalents</w:t>
            </w:r>
            <w:r w:rsidR="001A12A3" w:rsidRPr="00A742FB">
              <w:rPr>
                <w:rFonts w:cs="Calibri"/>
                <w:strike/>
                <w:color w:val="FF0000"/>
                <w:szCs w:val="16"/>
                <w:vertAlign w:val="superscript"/>
              </w:rPr>
              <w:t>a</w:t>
            </w:r>
          </w:p>
        </w:tc>
        <w:tc>
          <w:tcPr>
            <w:tcW w:w="850" w:type="dxa"/>
            <w:gridSpan w:val="2"/>
            <w:shd w:val="clear" w:color="auto" w:fill="auto"/>
          </w:tcPr>
          <w:p w14:paraId="690ACA20"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5DF91FAA" w14:textId="77777777" w:rsidR="00F257E0" w:rsidRPr="007918F1" w:rsidRDefault="00F257E0" w:rsidP="00F257E0">
            <w:pPr>
              <w:pStyle w:val="TableText"/>
              <w:tabs>
                <w:tab w:val="left" w:pos="3306"/>
              </w:tabs>
              <w:jc w:val="right"/>
              <w:rPr>
                <w:rFonts w:cs="Calibri"/>
                <w:b/>
                <w:bCs/>
              </w:rPr>
            </w:pPr>
          </w:p>
        </w:tc>
        <w:tc>
          <w:tcPr>
            <w:tcW w:w="850" w:type="dxa"/>
            <w:gridSpan w:val="2"/>
          </w:tcPr>
          <w:p w14:paraId="52643B0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3940A821" w14:textId="4D83BFDC"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007EDEFF" w14:textId="77777777" w:rsidR="00F257E0" w:rsidRPr="007918F1" w:rsidRDefault="00F257E0" w:rsidP="00F257E0">
            <w:pPr>
              <w:pStyle w:val="TableText"/>
              <w:tabs>
                <w:tab w:val="left" w:pos="3306"/>
              </w:tabs>
              <w:jc w:val="right"/>
              <w:rPr>
                <w:rFonts w:cs="Calibri"/>
                <w:bCs/>
                <w:strike/>
              </w:rPr>
            </w:pPr>
          </w:p>
        </w:tc>
        <w:tc>
          <w:tcPr>
            <w:tcW w:w="709" w:type="dxa"/>
            <w:gridSpan w:val="3"/>
            <w:shd w:val="clear" w:color="auto" w:fill="auto"/>
            <w:vAlign w:val="bottom"/>
          </w:tcPr>
          <w:p w14:paraId="1E3D8A6C" w14:textId="77777777" w:rsidR="00F257E0" w:rsidRPr="007918F1" w:rsidRDefault="00F257E0" w:rsidP="00F257E0">
            <w:pPr>
              <w:pStyle w:val="TableText"/>
              <w:tabs>
                <w:tab w:val="left" w:pos="3306"/>
              </w:tabs>
              <w:jc w:val="right"/>
              <w:rPr>
                <w:rFonts w:cs="Calibri"/>
                <w:bCs/>
                <w:strike/>
              </w:rPr>
            </w:pPr>
          </w:p>
        </w:tc>
      </w:tr>
      <w:tr w:rsidR="00F257E0" w:rsidRPr="0020314C" w14:paraId="15EDC67B" w14:textId="77777777" w:rsidTr="004D1EC6">
        <w:tc>
          <w:tcPr>
            <w:tcW w:w="1557" w:type="dxa"/>
            <w:tcBorders>
              <w:left w:val="single" w:sz="2" w:space="0" w:color="auto"/>
              <w:right w:val="single" w:sz="2" w:space="0" w:color="auto"/>
            </w:tcBorders>
          </w:tcPr>
          <w:p w14:paraId="614BB8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F020F2" w14:textId="3BA8B8CB" w:rsidR="00F257E0" w:rsidRPr="007918F1" w:rsidRDefault="00A742FB" w:rsidP="00F257E0">
            <w:pPr>
              <w:pStyle w:val="TableText"/>
              <w:tabs>
                <w:tab w:val="left" w:pos="3306"/>
              </w:tabs>
              <w:rPr>
                <w:rFonts w:cs="Calibri"/>
                <w:szCs w:val="16"/>
              </w:rPr>
            </w:pPr>
            <w:r w:rsidRPr="00A742FB">
              <w:rPr>
                <w:rFonts w:cs="Calibri"/>
                <w:color w:val="FF0000"/>
                <w:szCs w:val="16"/>
              </w:rPr>
              <w:t>Cash and</w:t>
            </w:r>
            <w:r w:rsidRPr="00A742FB">
              <w:rPr>
                <w:rFonts w:cs="Calibri"/>
                <w:szCs w:val="16"/>
              </w:rPr>
              <w:t xml:space="preserve"> </w:t>
            </w:r>
            <w:r w:rsidRPr="001B6B99">
              <w:rPr>
                <w:rFonts w:cs="Calibri"/>
                <w:szCs w:val="16"/>
              </w:rPr>
              <w:t>Investments</w:t>
            </w:r>
            <w:r w:rsidRPr="00A742FB">
              <w:rPr>
                <w:rFonts w:cs="Calibri"/>
                <w:color w:val="FF0000"/>
                <w:szCs w:val="16"/>
                <w:vertAlign w:val="superscript"/>
              </w:rPr>
              <w:t>a</w:t>
            </w:r>
            <w:r w:rsidR="00FC54D8">
              <w:rPr>
                <w:rFonts w:cs="Calibri"/>
                <w:color w:val="FF0000"/>
                <w:szCs w:val="16"/>
                <w:vertAlign w:val="superscript"/>
              </w:rPr>
              <w:t>,</w:t>
            </w:r>
            <w:r w:rsidRPr="001A12A3">
              <w:rPr>
                <w:rFonts w:cs="Calibri"/>
                <w:szCs w:val="16"/>
                <w:vertAlign w:val="superscript"/>
              </w:rPr>
              <w:t>b</w:t>
            </w:r>
            <w:r w:rsidR="00F257E0" w:rsidRPr="007918F1">
              <w:rPr>
                <w:rFonts w:cs="Calibri"/>
                <w:szCs w:val="16"/>
              </w:rPr>
              <w:t xml:space="preserve"> </w:t>
            </w:r>
          </w:p>
        </w:tc>
        <w:tc>
          <w:tcPr>
            <w:tcW w:w="850" w:type="dxa"/>
            <w:gridSpan w:val="2"/>
            <w:shd w:val="clear" w:color="auto" w:fill="auto"/>
          </w:tcPr>
          <w:p w14:paraId="072C9F7C"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55EF1B08" w14:textId="77777777" w:rsidR="00F257E0" w:rsidRPr="007918F1" w:rsidRDefault="00F257E0" w:rsidP="00F257E0">
            <w:pPr>
              <w:pStyle w:val="TableText"/>
              <w:tabs>
                <w:tab w:val="left" w:pos="3306"/>
              </w:tabs>
              <w:jc w:val="right"/>
              <w:rPr>
                <w:rFonts w:cs="Calibri"/>
                <w:b/>
                <w:bCs/>
              </w:rPr>
            </w:pPr>
          </w:p>
        </w:tc>
        <w:tc>
          <w:tcPr>
            <w:tcW w:w="850" w:type="dxa"/>
            <w:gridSpan w:val="2"/>
          </w:tcPr>
          <w:p w14:paraId="5D0DAFCB"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50ECEA95" w14:textId="6A3A63A5"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BF02674"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6FFFF31" w14:textId="77777777" w:rsidR="00F257E0" w:rsidRPr="007918F1" w:rsidRDefault="00F257E0" w:rsidP="00F257E0">
            <w:pPr>
              <w:pStyle w:val="TableText"/>
              <w:tabs>
                <w:tab w:val="left" w:pos="3306"/>
              </w:tabs>
              <w:jc w:val="right"/>
              <w:rPr>
                <w:rFonts w:cs="Calibri"/>
                <w:bCs/>
              </w:rPr>
            </w:pPr>
          </w:p>
        </w:tc>
      </w:tr>
      <w:tr w:rsidR="00F257E0" w:rsidRPr="0020314C" w14:paraId="307637C7" w14:textId="77777777" w:rsidTr="004D1EC6">
        <w:tc>
          <w:tcPr>
            <w:tcW w:w="1557" w:type="dxa"/>
            <w:tcBorders>
              <w:left w:val="single" w:sz="2" w:space="0" w:color="auto"/>
              <w:right w:val="single" w:sz="2" w:space="0" w:color="auto"/>
            </w:tcBorders>
          </w:tcPr>
          <w:p w14:paraId="5DE421B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3ED684F" w14:textId="77777777" w:rsidR="00F257E0" w:rsidRPr="007918F1" w:rsidRDefault="00F257E0" w:rsidP="00F257E0">
            <w:pPr>
              <w:pStyle w:val="TableText"/>
              <w:tabs>
                <w:tab w:val="left" w:pos="3306"/>
              </w:tabs>
              <w:rPr>
                <w:rFonts w:cs="Calibri"/>
                <w:szCs w:val="16"/>
              </w:rPr>
            </w:pPr>
            <w:r w:rsidRPr="007918F1">
              <w:rPr>
                <w:rFonts w:cs="Calibri"/>
                <w:szCs w:val="16"/>
              </w:rPr>
              <w:t>Receivables</w:t>
            </w:r>
          </w:p>
        </w:tc>
        <w:tc>
          <w:tcPr>
            <w:tcW w:w="850" w:type="dxa"/>
            <w:gridSpan w:val="2"/>
            <w:shd w:val="clear" w:color="auto" w:fill="auto"/>
          </w:tcPr>
          <w:p w14:paraId="15C74C7C" w14:textId="77777777" w:rsidR="00F257E0" w:rsidRPr="007918F1" w:rsidRDefault="00F257E0" w:rsidP="00F257E0">
            <w:pPr>
              <w:pStyle w:val="TableText"/>
              <w:tabs>
                <w:tab w:val="left" w:pos="3306"/>
              </w:tabs>
              <w:jc w:val="right"/>
              <w:rPr>
                <w:rFonts w:cs="Calibri"/>
                <w:bCs/>
                <w:strike/>
              </w:rPr>
            </w:pPr>
          </w:p>
        </w:tc>
        <w:tc>
          <w:tcPr>
            <w:tcW w:w="851" w:type="dxa"/>
            <w:gridSpan w:val="2"/>
            <w:shd w:val="clear" w:color="auto" w:fill="auto"/>
          </w:tcPr>
          <w:p w14:paraId="19CDE3DA" w14:textId="77777777" w:rsidR="00F257E0" w:rsidRPr="007918F1" w:rsidRDefault="00F257E0" w:rsidP="00F257E0">
            <w:pPr>
              <w:pStyle w:val="TableText"/>
              <w:tabs>
                <w:tab w:val="left" w:pos="3306"/>
              </w:tabs>
              <w:jc w:val="right"/>
              <w:rPr>
                <w:rFonts w:cs="Calibri"/>
                <w:bCs/>
              </w:rPr>
            </w:pPr>
          </w:p>
        </w:tc>
        <w:tc>
          <w:tcPr>
            <w:tcW w:w="850" w:type="dxa"/>
            <w:gridSpan w:val="2"/>
          </w:tcPr>
          <w:p w14:paraId="240481E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AAADB85" w14:textId="711DEC7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7B42F11"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67E9065" w14:textId="77777777" w:rsidR="00F257E0" w:rsidRPr="007918F1" w:rsidRDefault="00F257E0" w:rsidP="00F257E0">
            <w:pPr>
              <w:pStyle w:val="TableText"/>
              <w:tabs>
                <w:tab w:val="left" w:pos="3306"/>
              </w:tabs>
              <w:jc w:val="right"/>
              <w:rPr>
                <w:rFonts w:cs="Calibri"/>
                <w:bCs/>
                <w:strike/>
              </w:rPr>
            </w:pPr>
          </w:p>
        </w:tc>
      </w:tr>
      <w:tr w:rsidR="00F257E0" w:rsidRPr="0020314C" w14:paraId="6FC70008" w14:textId="77777777" w:rsidTr="004D1EC6">
        <w:tc>
          <w:tcPr>
            <w:tcW w:w="1557" w:type="dxa"/>
            <w:tcBorders>
              <w:left w:val="single" w:sz="2" w:space="0" w:color="auto"/>
              <w:right w:val="single" w:sz="2" w:space="0" w:color="auto"/>
            </w:tcBorders>
          </w:tcPr>
          <w:p w14:paraId="424692E7"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87E77F1" w14:textId="77777777" w:rsidR="00F257E0" w:rsidRPr="00A742FB" w:rsidRDefault="00F257E0" w:rsidP="00F257E0">
            <w:pPr>
              <w:pStyle w:val="TableText"/>
              <w:tabs>
                <w:tab w:val="left" w:pos="3306"/>
              </w:tabs>
              <w:rPr>
                <w:rFonts w:cs="Calibri"/>
                <w:strike/>
                <w:szCs w:val="16"/>
              </w:rPr>
            </w:pPr>
            <w:r w:rsidRPr="00A742FB">
              <w:rPr>
                <w:rFonts w:cs="Calibri"/>
                <w:strike/>
                <w:color w:val="FF0000"/>
                <w:szCs w:val="16"/>
              </w:rPr>
              <w:t>Contract Assets</w:t>
            </w:r>
          </w:p>
        </w:tc>
        <w:tc>
          <w:tcPr>
            <w:tcW w:w="850" w:type="dxa"/>
            <w:gridSpan w:val="2"/>
            <w:shd w:val="clear" w:color="auto" w:fill="auto"/>
          </w:tcPr>
          <w:p w14:paraId="16CC321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2AA7885" w14:textId="77777777" w:rsidR="00F257E0" w:rsidRPr="007918F1" w:rsidRDefault="00F257E0" w:rsidP="00F257E0">
            <w:pPr>
              <w:pStyle w:val="TableText"/>
              <w:tabs>
                <w:tab w:val="left" w:pos="3306"/>
              </w:tabs>
              <w:jc w:val="right"/>
              <w:rPr>
                <w:rFonts w:cs="Calibri"/>
                <w:bCs/>
              </w:rPr>
            </w:pPr>
          </w:p>
        </w:tc>
        <w:tc>
          <w:tcPr>
            <w:tcW w:w="850" w:type="dxa"/>
            <w:gridSpan w:val="2"/>
          </w:tcPr>
          <w:p w14:paraId="529B8C22"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50DE49D3" w14:textId="5BF7F5B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AC316B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94C50DD" w14:textId="77777777" w:rsidR="00F257E0" w:rsidRPr="007918F1" w:rsidRDefault="00F257E0" w:rsidP="00F257E0">
            <w:pPr>
              <w:pStyle w:val="TableText"/>
              <w:tabs>
                <w:tab w:val="left" w:pos="3306"/>
              </w:tabs>
              <w:jc w:val="right"/>
              <w:rPr>
                <w:rFonts w:cs="Calibri"/>
                <w:bCs/>
              </w:rPr>
            </w:pPr>
          </w:p>
        </w:tc>
      </w:tr>
      <w:tr w:rsidR="00F257E0" w:rsidRPr="0020314C" w14:paraId="0B2A6EB2" w14:textId="77777777" w:rsidTr="004D1EC6">
        <w:tc>
          <w:tcPr>
            <w:tcW w:w="1557" w:type="dxa"/>
            <w:tcBorders>
              <w:left w:val="single" w:sz="2" w:space="0" w:color="auto"/>
              <w:right w:val="single" w:sz="2" w:space="0" w:color="auto"/>
            </w:tcBorders>
          </w:tcPr>
          <w:p w14:paraId="4059134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444E1F5" w14:textId="77777777" w:rsidR="00F257E0" w:rsidRPr="007918F1" w:rsidRDefault="00F257E0" w:rsidP="00F257E0">
            <w:pPr>
              <w:pStyle w:val="TableText"/>
              <w:tabs>
                <w:tab w:val="left" w:pos="3306"/>
              </w:tabs>
              <w:rPr>
                <w:rFonts w:cs="Calibri"/>
                <w:szCs w:val="16"/>
              </w:rPr>
            </w:pPr>
            <w:r w:rsidRPr="007918F1">
              <w:rPr>
                <w:rFonts w:cs="Calibri"/>
                <w:szCs w:val="16"/>
              </w:rPr>
              <w:t>Inventories</w:t>
            </w:r>
          </w:p>
        </w:tc>
        <w:tc>
          <w:tcPr>
            <w:tcW w:w="850" w:type="dxa"/>
            <w:gridSpan w:val="2"/>
            <w:shd w:val="clear" w:color="auto" w:fill="auto"/>
          </w:tcPr>
          <w:p w14:paraId="519D4E1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1AC8C8C1" w14:textId="77777777" w:rsidR="00F257E0" w:rsidRPr="007918F1" w:rsidRDefault="00F257E0" w:rsidP="00F257E0">
            <w:pPr>
              <w:pStyle w:val="TableText"/>
              <w:tabs>
                <w:tab w:val="left" w:pos="3306"/>
              </w:tabs>
              <w:jc w:val="right"/>
              <w:rPr>
                <w:rFonts w:cs="Calibri"/>
                <w:bCs/>
              </w:rPr>
            </w:pPr>
          </w:p>
        </w:tc>
        <w:tc>
          <w:tcPr>
            <w:tcW w:w="850" w:type="dxa"/>
            <w:gridSpan w:val="2"/>
          </w:tcPr>
          <w:p w14:paraId="4227324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3CA6124" w14:textId="345BD5D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5FD716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6F54A27" w14:textId="77777777" w:rsidR="00F257E0" w:rsidRPr="007918F1" w:rsidRDefault="00F257E0" w:rsidP="00F257E0">
            <w:pPr>
              <w:pStyle w:val="TableText"/>
              <w:tabs>
                <w:tab w:val="left" w:pos="3306"/>
              </w:tabs>
              <w:jc w:val="right"/>
              <w:rPr>
                <w:rFonts w:cs="Calibri"/>
                <w:bCs/>
              </w:rPr>
            </w:pPr>
          </w:p>
        </w:tc>
      </w:tr>
      <w:tr w:rsidR="00F257E0" w:rsidRPr="0020314C" w14:paraId="0101ECD9" w14:textId="77777777" w:rsidTr="004D1EC6">
        <w:tc>
          <w:tcPr>
            <w:tcW w:w="1557" w:type="dxa"/>
            <w:tcBorders>
              <w:left w:val="single" w:sz="2" w:space="0" w:color="auto"/>
              <w:right w:val="single" w:sz="2" w:space="0" w:color="auto"/>
            </w:tcBorders>
          </w:tcPr>
          <w:p w14:paraId="75E562CD"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C0C3EE4" w14:textId="1B4B845F" w:rsidR="00F257E0" w:rsidRPr="007918F1" w:rsidRDefault="00F257E0" w:rsidP="00F257E0">
            <w:pPr>
              <w:pStyle w:val="TableText"/>
              <w:tabs>
                <w:tab w:val="left" w:pos="3306"/>
              </w:tabs>
              <w:rPr>
                <w:rFonts w:cs="Calibri"/>
                <w:szCs w:val="16"/>
              </w:rPr>
            </w:pPr>
            <w:r w:rsidRPr="007918F1">
              <w:rPr>
                <w:rFonts w:cs="Calibri"/>
                <w:szCs w:val="16"/>
              </w:rPr>
              <w:t>Non-Current Assets Held for Sale</w:t>
            </w:r>
          </w:p>
        </w:tc>
        <w:tc>
          <w:tcPr>
            <w:tcW w:w="850" w:type="dxa"/>
            <w:gridSpan w:val="2"/>
            <w:shd w:val="clear" w:color="auto" w:fill="auto"/>
          </w:tcPr>
          <w:p w14:paraId="7CD5AAB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C03DC85" w14:textId="77777777" w:rsidR="00F257E0" w:rsidRPr="007918F1" w:rsidRDefault="00F257E0" w:rsidP="00F257E0">
            <w:pPr>
              <w:pStyle w:val="TableText"/>
              <w:tabs>
                <w:tab w:val="left" w:pos="3306"/>
              </w:tabs>
              <w:jc w:val="right"/>
              <w:rPr>
                <w:rFonts w:cs="Calibri"/>
                <w:bCs/>
              </w:rPr>
            </w:pPr>
          </w:p>
        </w:tc>
        <w:tc>
          <w:tcPr>
            <w:tcW w:w="850" w:type="dxa"/>
            <w:gridSpan w:val="2"/>
          </w:tcPr>
          <w:p w14:paraId="23D97F3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B2F9549" w14:textId="74C0CF31"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B7EE97C"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ED01D54" w14:textId="77777777" w:rsidR="00F257E0" w:rsidRPr="007918F1" w:rsidRDefault="00F257E0" w:rsidP="00F257E0">
            <w:pPr>
              <w:pStyle w:val="TableText"/>
              <w:tabs>
                <w:tab w:val="left" w:pos="3306"/>
              </w:tabs>
              <w:jc w:val="right"/>
              <w:rPr>
                <w:rFonts w:cs="Calibri"/>
                <w:bCs/>
              </w:rPr>
            </w:pPr>
          </w:p>
        </w:tc>
      </w:tr>
      <w:tr w:rsidR="00F257E0" w:rsidRPr="0020314C" w14:paraId="5E1621D7" w14:textId="77777777" w:rsidTr="004D1EC6">
        <w:tc>
          <w:tcPr>
            <w:tcW w:w="1557" w:type="dxa"/>
            <w:tcBorders>
              <w:left w:val="single" w:sz="2" w:space="0" w:color="auto"/>
              <w:right w:val="single" w:sz="2" w:space="0" w:color="auto"/>
            </w:tcBorders>
          </w:tcPr>
          <w:p w14:paraId="41E7DF5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76F7095" w14:textId="77777777" w:rsidR="00F257E0" w:rsidRPr="007918F1" w:rsidRDefault="00F257E0" w:rsidP="00F257E0">
            <w:pPr>
              <w:pStyle w:val="TableText"/>
              <w:tabs>
                <w:tab w:val="left" w:pos="3306"/>
              </w:tabs>
              <w:rPr>
                <w:rFonts w:cs="Calibri"/>
                <w:szCs w:val="16"/>
              </w:rPr>
            </w:pPr>
            <w:r w:rsidRPr="007918F1">
              <w:rPr>
                <w:rFonts w:cs="Calibri"/>
                <w:szCs w:val="16"/>
              </w:rPr>
              <w:t>Other Assets</w:t>
            </w:r>
          </w:p>
        </w:tc>
        <w:tc>
          <w:tcPr>
            <w:tcW w:w="850" w:type="dxa"/>
            <w:gridSpan w:val="2"/>
            <w:tcBorders>
              <w:bottom w:val="single" w:sz="2" w:space="0" w:color="auto"/>
            </w:tcBorders>
            <w:shd w:val="clear" w:color="auto" w:fill="auto"/>
          </w:tcPr>
          <w:p w14:paraId="093EEBFC"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DEFCCB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0D83C9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038E05E4" w14:textId="69F32B7D"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7A84BB24"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510C4093" w14:textId="77777777" w:rsidR="00F257E0" w:rsidRPr="007918F1" w:rsidRDefault="00F257E0" w:rsidP="00F257E0">
            <w:pPr>
              <w:pStyle w:val="TableText"/>
              <w:tabs>
                <w:tab w:val="left" w:pos="3306"/>
              </w:tabs>
              <w:jc w:val="right"/>
              <w:rPr>
                <w:rFonts w:cs="Calibri"/>
                <w:bCs/>
              </w:rPr>
            </w:pPr>
          </w:p>
        </w:tc>
      </w:tr>
      <w:tr w:rsidR="00F257E0" w:rsidRPr="0020314C" w14:paraId="121319D3" w14:textId="77777777" w:rsidTr="004D1EC6">
        <w:tc>
          <w:tcPr>
            <w:tcW w:w="1557" w:type="dxa"/>
            <w:tcBorders>
              <w:left w:val="single" w:sz="2" w:space="0" w:color="auto"/>
              <w:right w:val="single" w:sz="2" w:space="0" w:color="auto"/>
            </w:tcBorders>
          </w:tcPr>
          <w:p w14:paraId="121D182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134BBAF" w14:textId="77777777" w:rsidR="00F257E0" w:rsidRPr="007918F1" w:rsidRDefault="00F257E0" w:rsidP="00F257E0">
            <w:pPr>
              <w:pStyle w:val="TableText"/>
              <w:tabs>
                <w:tab w:val="left" w:pos="3306"/>
              </w:tabs>
              <w:rPr>
                <w:rFonts w:cs="Calibri"/>
                <w:b/>
                <w:szCs w:val="16"/>
              </w:rPr>
            </w:pPr>
            <w:r w:rsidRPr="007918F1">
              <w:rPr>
                <w:rFonts w:cs="Calibri"/>
                <w:b/>
                <w:szCs w:val="16"/>
              </w:rPr>
              <w:t>Total Current Assets</w:t>
            </w:r>
          </w:p>
        </w:tc>
        <w:tc>
          <w:tcPr>
            <w:tcW w:w="850" w:type="dxa"/>
            <w:gridSpan w:val="2"/>
            <w:tcBorders>
              <w:top w:val="single" w:sz="2" w:space="0" w:color="auto"/>
            </w:tcBorders>
            <w:shd w:val="clear" w:color="auto" w:fill="auto"/>
          </w:tcPr>
          <w:p w14:paraId="5F10D36E"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38C1F45"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5A70BCFC"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198661E" w14:textId="72985E90"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5E9274BF"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3395BA26" w14:textId="77777777" w:rsidR="00F257E0" w:rsidRPr="007918F1" w:rsidRDefault="00F257E0" w:rsidP="00F257E0">
            <w:pPr>
              <w:pStyle w:val="TableText"/>
              <w:tabs>
                <w:tab w:val="left" w:pos="3306"/>
              </w:tabs>
              <w:jc w:val="right"/>
              <w:rPr>
                <w:rFonts w:cs="Calibri"/>
                <w:b/>
                <w:bCs/>
                <w:strike/>
              </w:rPr>
            </w:pPr>
          </w:p>
        </w:tc>
      </w:tr>
      <w:tr w:rsidR="00F257E0" w:rsidRPr="0020314C" w14:paraId="65C8C349" w14:textId="77777777" w:rsidTr="004D1EC6">
        <w:trPr>
          <w:trHeight w:hRule="exact" w:val="170"/>
        </w:trPr>
        <w:tc>
          <w:tcPr>
            <w:tcW w:w="1557" w:type="dxa"/>
            <w:tcBorders>
              <w:left w:val="single" w:sz="2" w:space="0" w:color="auto"/>
              <w:right w:val="single" w:sz="2" w:space="0" w:color="auto"/>
            </w:tcBorders>
          </w:tcPr>
          <w:p w14:paraId="01D27B37"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2CD8C01" w14:textId="77777777" w:rsidR="00F257E0" w:rsidRPr="007918F1" w:rsidRDefault="00F257E0" w:rsidP="00F257E0">
            <w:pPr>
              <w:pStyle w:val="TableText"/>
              <w:tabs>
                <w:tab w:val="left" w:pos="3306"/>
              </w:tabs>
              <w:rPr>
                <w:rFonts w:cs="Calibri"/>
                <w:szCs w:val="16"/>
              </w:rPr>
            </w:pPr>
          </w:p>
        </w:tc>
        <w:tc>
          <w:tcPr>
            <w:tcW w:w="850" w:type="dxa"/>
            <w:gridSpan w:val="2"/>
            <w:shd w:val="clear" w:color="auto" w:fill="auto"/>
          </w:tcPr>
          <w:p w14:paraId="2280BD7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FF21496" w14:textId="77777777" w:rsidR="00F257E0" w:rsidRPr="007918F1" w:rsidRDefault="00F257E0" w:rsidP="00F257E0">
            <w:pPr>
              <w:pStyle w:val="TableText"/>
              <w:tabs>
                <w:tab w:val="left" w:pos="3306"/>
              </w:tabs>
              <w:jc w:val="right"/>
              <w:rPr>
                <w:rFonts w:cs="Calibri"/>
                <w:bCs/>
              </w:rPr>
            </w:pPr>
          </w:p>
        </w:tc>
        <w:tc>
          <w:tcPr>
            <w:tcW w:w="850" w:type="dxa"/>
            <w:gridSpan w:val="2"/>
          </w:tcPr>
          <w:p w14:paraId="059A18E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50C88D2" w14:textId="320F075C"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CE9C153"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EAA493E" w14:textId="77777777" w:rsidR="00F257E0" w:rsidRPr="007918F1" w:rsidRDefault="00F257E0" w:rsidP="00F257E0">
            <w:pPr>
              <w:pStyle w:val="TableText"/>
              <w:tabs>
                <w:tab w:val="left" w:pos="3306"/>
              </w:tabs>
              <w:jc w:val="right"/>
              <w:rPr>
                <w:rFonts w:cs="Calibri"/>
                <w:bCs/>
              </w:rPr>
            </w:pPr>
          </w:p>
        </w:tc>
      </w:tr>
      <w:tr w:rsidR="00F257E0" w:rsidRPr="0020314C" w14:paraId="25D6D283" w14:textId="77777777" w:rsidTr="004D1EC6">
        <w:tc>
          <w:tcPr>
            <w:tcW w:w="1557" w:type="dxa"/>
            <w:tcBorders>
              <w:left w:val="single" w:sz="2" w:space="0" w:color="auto"/>
              <w:right w:val="single" w:sz="2" w:space="0" w:color="auto"/>
            </w:tcBorders>
          </w:tcPr>
          <w:p w14:paraId="61F8B9C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DFC2DF0" w14:textId="77777777" w:rsidR="00F257E0" w:rsidRPr="007918F1" w:rsidRDefault="00F257E0" w:rsidP="00F257E0">
            <w:pPr>
              <w:pStyle w:val="TableText"/>
              <w:tabs>
                <w:tab w:val="left" w:pos="3306"/>
              </w:tabs>
              <w:rPr>
                <w:rFonts w:cs="Calibri"/>
                <w:b/>
                <w:szCs w:val="16"/>
              </w:rPr>
            </w:pPr>
            <w:r w:rsidRPr="007918F1">
              <w:rPr>
                <w:rFonts w:cs="Calibri"/>
                <w:b/>
                <w:szCs w:val="16"/>
              </w:rPr>
              <w:t>Non-Current Assets</w:t>
            </w:r>
          </w:p>
        </w:tc>
        <w:tc>
          <w:tcPr>
            <w:tcW w:w="850" w:type="dxa"/>
            <w:gridSpan w:val="2"/>
            <w:shd w:val="clear" w:color="auto" w:fill="auto"/>
          </w:tcPr>
          <w:p w14:paraId="6E7B027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001A6481" w14:textId="77777777" w:rsidR="00F257E0" w:rsidRPr="007918F1" w:rsidRDefault="00F257E0" w:rsidP="00F257E0">
            <w:pPr>
              <w:pStyle w:val="TableText"/>
              <w:tabs>
                <w:tab w:val="left" w:pos="3306"/>
              </w:tabs>
              <w:jc w:val="right"/>
              <w:rPr>
                <w:rFonts w:cs="Calibri"/>
                <w:bCs/>
              </w:rPr>
            </w:pPr>
          </w:p>
        </w:tc>
        <w:tc>
          <w:tcPr>
            <w:tcW w:w="850" w:type="dxa"/>
            <w:gridSpan w:val="2"/>
          </w:tcPr>
          <w:p w14:paraId="1EA373A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F8E5141" w14:textId="03BA56E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1CFDA6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DFB1EBA" w14:textId="77777777" w:rsidR="00F257E0" w:rsidRPr="007918F1" w:rsidRDefault="00F257E0" w:rsidP="00F257E0">
            <w:pPr>
              <w:pStyle w:val="TableText"/>
              <w:tabs>
                <w:tab w:val="left" w:pos="3306"/>
              </w:tabs>
              <w:jc w:val="right"/>
              <w:rPr>
                <w:rFonts w:cs="Calibri"/>
                <w:bCs/>
              </w:rPr>
            </w:pPr>
          </w:p>
        </w:tc>
      </w:tr>
      <w:tr w:rsidR="00F257E0" w:rsidRPr="0020314C" w14:paraId="25927C81" w14:textId="77777777" w:rsidTr="004D1EC6">
        <w:tc>
          <w:tcPr>
            <w:tcW w:w="1557" w:type="dxa"/>
            <w:tcBorders>
              <w:left w:val="single" w:sz="2" w:space="0" w:color="auto"/>
              <w:right w:val="single" w:sz="2" w:space="0" w:color="auto"/>
            </w:tcBorders>
          </w:tcPr>
          <w:p w14:paraId="3D56B8B1" w14:textId="77777777" w:rsidR="00F257E0" w:rsidRPr="007918F1" w:rsidRDefault="00F257E0" w:rsidP="00F257E0">
            <w:pPr>
              <w:pStyle w:val="Reference"/>
              <w:rPr>
                <w:rFonts w:cs="Calibri"/>
                <w:b w:val="0"/>
                <w:bCs w:val="0"/>
                <w:strike/>
                <w:color w:val="7030A0"/>
                <w:sz w:val="16"/>
                <w:szCs w:val="16"/>
              </w:rPr>
            </w:pPr>
          </w:p>
        </w:tc>
        <w:tc>
          <w:tcPr>
            <w:tcW w:w="3827" w:type="dxa"/>
            <w:gridSpan w:val="2"/>
            <w:tcBorders>
              <w:left w:val="single" w:sz="2" w:space="0" w:color="auto"/>
            </w:tcBorders>
            <w:shd w:val="clear" w:color="auto" w:fill="auto"/>
            <w:vAlign w:val="bottom"/>
          </w:tcPr>
          <w:p w14:paraId="42F8349E" w14:textId="09E50411" w:rsidR="00F257E0" w:rsidRPr="007918F1" w:rsidRDefault="00BC2A04" w:rsidP="00F257E0">
            <w:pPr>
              <w:pStyle w:val="TableText"/>
              <w:tabs>
                <w:tab w:val="left" w:pos="3306"/>
              </w:tabs>
              <w:rPr>
                <w:rFonts w:cs="Calibri"/>
                <w:szCs w:val="16"/>
              </w:rPr>
            </w:pPr>
            <w:r w:rsidRPr="00B73007">
              <w:rPr>
                <w:rFonts w:cs="Calibri"/>
                <w:szCs w:val="16"/>
              </w:rPr>
              <w:t>Investments</w:t>
            </w:r>
          </w:p>
        </w:tc>
        <w:tc>
          <w:tcPr>
            <w:tcW w:w="850" w:type="dxa"/>
            <w:gridSpan w:val="2"/>
            <w:shd w:val="clear" w:color="auto" w:fill="auto"/>
          </w:tcPr>
          <w:p w14:paraId="470774D4" w14:textId="77777777" w:rsidR="00F257E0" w:rsidRPr="007918F1" w:rsidRDefault="00F257E0" w:rsidP="00F257E0">
            <w:pPr>
              <w:pStyle w:val="TableText"/>
              <w:tabs>
                <w:tab w:val="left" w:pos="3306"/>
              </w:tabs>
              <w:jc w:val="right"/>
              <w:rPr>
                <w:rFonts w:cs="Calibri"/>
                <w:bCs/>
                <w:strike/>
              </w:rPr>
            </w:pPr>
          </w:p>
        </w:tc>
        <w:tc>
          <w:tcPr>
            <w:tcW w:w="851" w:type="dxa"/>
            <w:gridSpan w:val="2"/>
            <w:shd w:val="clear" w:color="auto" w:fill="auto"/>
          </w:tcPr>
          <w:p w14:paraId="0419C448" w14:textId="77777777" w:rsidR="00F257E0" w:rsidRPr="007918F1" w:rsidRDefault="00F257E0" w:rsidP="00F257E0">
            <w:pPr>
              <w:pStyle w:val="TableText"/>
              <w:tabs>
                <w:tab w:val="left" w:pos="3306"/>
              </w:tabs>
              <w:jc w:val="right"/>
              <w:rPr>
                <w:rFonts w:cs="Calibri"/>
                <w:bCs/>
              </w:rPr>
            </w:pPr>
          </w:p>
        </w:tc>
        <w:tc>
          <w:tcPr>
            <w:tcW w:w="850" w:type="dxa"/>
            <w:gridSpan w:val="2"/>
          </w:tcPr>
          <w:p w14:paraId="0CA1443D"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6B8BBAC5" w14:textId="7F98311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A8915B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81415BB" w14:textId="77777777" w:rsidR="00F257E0" w:rsidRPr="007918F1" w:rsidRDefault="00F257E0" w:rsidP="00F257E0">
            <w:pPr>
              <w:pStyle w:val="TableText"/>
              <w:tabs>
                <w:tab w:val="left" w:pos="3306"/>
              </w:tabs>
              <w:jc w:val="right"/>
              <w:rPr>
                <w:rFonts w:cs="Calibri"/>
                <w:bCs/>
              </w:rPr>
            </w:pPr>
          </w:p>
        </w:tc>
      </w:tr>
      <w:tr w:rsidR="00BC2A04" w:rsidRPr="0020314C" w14:paraId="74D7DE50" w14:textId="77777777" w:rsidTr="004D1EC6">
        <w:tc>
          <w:tcPr>
            <w:tcW w:w="1557" w:type="dxa"/>
            <w:tcBorders>
              <w:left w:val="single" w:sz="2" w:space="0" w:color="auto"/>
              <w:right w:val="single" w:sz="2" w:space="0" w:color="auto"/>
            </w:tcBorders>
          </w:tcPr>
          <w:p w14:paraId="454D887D" w14:textId="77777777" w:rsidR="00BC2A04" w:rsidRPr="007918F1" w:rsidRDefault="00BC2A04"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A79F648" w14:textId="58674C01" w:rsidR="00BC2A04" w:rsidRPr="007918F1" w:rsidRDefault="00BC2A04" w:rsidP="00F257E0">
            <w:pPr>
              <w:pStyle w:val="TableText"/>
              <w:tabs>
                <w:tab w:val="left" w:pos="3306"/>
              </w:tabs>
              <w:rPr>
                <w:rFonts w:cs="Calibri"/>
                <w:szCs w:val="16"/>
              </w:rPr>
            </w:pPr>
            <w:r w:rsidRPr="007918F1">
              <w:rPr>
                <w:rFonts w:cs="Calibri"/>
                <w:szCs w:val="16"/>
              </w:rPr>
              <w:t>Receivables</w:t>
            </w:r>
          </w:p>
        </w:tc>
        <w:tc>
          <w:tcPr>
            <w:tcW w:w="850" w:type="dxa"/>
            <w:gridSpan w:val="2"/>
            <w:shd w:val="clear" w:color="auto" w:fill="auto"/>
          </w:tcPr>
          <w:p w14:paraId="43E9FDF3" w14:textId="77777777" w:rsidR="00BC2A04" w:rsidRPr="007918F1" w:rsidRDefault="00BC2A04" w:rsidP="00F257E0">
            <w:pPr>
              <w:pStyle w:val="TableText"/>
              <w:tabs>
                <w:tab w:val="left" w:pos="3306"/>
              </w:tabs>
              <w:jc w:val="right"/>
              <w:rPr>
                <w:rFonts w:cs="Calibri"/>
                <w:bCs/>
              </w:rPr>
            </w:pPr>
          </w:p>
        </w:tc>
        <w:tc>
          <w:tcPr>
            <w:tcW w:w="851" w:type="dxa"/>
            <w:gridSpan w:val="2"/>
            <w:shd w:val="clear" w:color="auto" w:fill="auto"/>
          </w:tcPr>
          <w:p w14:paraId="02C02C4C" w14:textId="77777777" w:rsidR="00BC2A04" w:rsidRPr="007918F1" w:rsidRDefault="00BC2A04" w:rsidP="00F257E0">
            <w:pPr>
              <w:pStyle w:val="TableText"/>
              <w:tabs>
                <w:tab w:val="left" w:pos="3306"/>
              </w:tabs>
              <w:jc w:val="right"/>
              <w:rPr>
                <w:rFonts w:cs="Calibri"/>
                <w:bCs/>
              </w:rPr>
            </w:pPr>
          </w:p>
        </w:tc>
        <w:tc>
          <w:tcPr>
            <w:tcW w:w="850" w:type="dxa"/>
            <w:gridSpan w:val="2"/>
          </w:tcPr>
          <w:p w14:paraId="21700AFF" w14:textId="77777777" w:rsidR="00BC2A04" w:rsidRPr="007918F1" w:rsidRDefault="00BC2A04" w:rsidP="00F257E0">
            <w:pPr>
              <w:pStyle w:val="TableText"/>
              <w:tabs>
                <w:tab w:val="left" w:pos="3306"/>
              </w:tabs>
              <w:jc w:val="right"/>
              <w:rPr>
                <w:rFonts w:cs="Calibri"/>
                <w:bCs/>
              </w:rPr>
            </w:pPr>
          </w:p>
        </w:tc>
        <w:tc>
          <w:tcPr>
            <w:tcW w:w="851" w:type="dxa"/>
            <w:gridSpan w:val="2"/>
            <w:shd w:val="clear" w:color="auto" w:fill="auto"/>
            <w:vAlign w:val="bottom"/>
          </w:tcPr>
          <w:p w14:paraId="626292A2" w14:textId="77777777" w:rsidR="00BC2A04" w:rsidRPr="007918F1" w:rsidRDefault="00BC2A04" w:rsidP="00F257E0">
            <w:pPr>
              <w:pStyle w:val="TableText"/>
              <w:tabs>
                <w:tab w:val="left" w:pos="3306"/>
              </w:tabs>
              <w:jc w:val="right"/>
              <w:rPr>
                <w:rFonts w:cs="Calibri"/>
                <w:bCs/>
              </w:rPr>
            </w:pPr>
          </w:p>
        </w:tc>
        <w:tc>
          <w:tcPr>
            <w:tcW w:w="1134" w:type="dxa"/>
            <w:gridSpan w:val="2"/>
            <w:shd w:val="clear" w:color="auto" w:fill="auto"/>
            <w:vAlign w:val="bottom"/>
          </w:tcPr>
          <w:p w14:paraId="7AA031F5" w14:textId="77777777" w:rsidR="00BC2A04" w:rsidRPr="007918F1" w:rsidRDefault="00BC2A04" w:rsidP="00F257E0">
            <w:pPr>
              <w:pStyle w:val="TableText"/>
              <w:tabs>
                <w:tab w:val="left" w:pos="3306"/>
              </w:tabs>
              <w:jc w:val="right"/>
              <w:rPr>
                <w:rFonts w:cs="Calibri"/>
                <w:bCs/>
              </w:rPr>
            </w:pPr>
          </w:p>
        </w:tc>
        <w:tc>
          <w:tcPr>
            <w:tcW w:w="709" w:type="dxa"/>
            <w:gridSpan w:val="3"/>
            <w:shd w:val="clear" w:color="auto" w:fill="auto"/>
            <w:vAlign w:val="bottom"/>
          </w:tcPr>
          <w:p w14:paraId="6EA96D6D" w14:textId="77777777" w:rsidR="00BC2A04" w:rsidRPr="007918F1" w:rsidRDefault="00BC2A04" w:rsidP="00F257E0">
            <w:pPr>
              <w:pStyle w:val="TableText"/>
              <w:tabs>
                <w:tab w:val="left" w:pos="3306"/>
              </w:tabs>
              <w:jc w:val="right"/>
              <w:rPr>
                <w:rFonts w:cs="Calibri"/>
                <w:bCs/>
              </w:rPr>
            </w:pPr>
          </w:p>
        </w:tc>
      </w:tr>
      <w:tr w:rsidR="00F257E0" w:rsidRPr="0020314C" w14:paraId="2AB5BCEB" w14:textId="77777777" w:rsidTr="004D1EC6">
        <w:tc>
          <w:tcPr>
            <w:tcW w:w="1557" w:type="dxa"/>
            <w:tcBorders>
              <w:left w:val="single" w:sz="2" w:space="0" w:color="auto"/>
              <w:right w:val="single" w:sz="2" w:space="0" w:color="auto"/>
            </w:tcBorders>
          </w:tcPr>
          <w:p w14:paraId="3A2E3E42"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B173CC6" w14:textId="77777777" w:rsidR="00F257E0" w:rsidRPr="00A742FB" w:rsidRDefault="00F257E0" w:rsidP="00F257E0">
            <w:pPr>
              <w:pStyle w:val="TableText"/>
              <w:tabs>
                <w:tab w:val="left" w:pos="3306"/>
              </w:tabs>
              <w:rPr>
                <w:rFonts w:cs="Calibri"/>
                <w:strike/>
                <w:szCs w:val="16"/>
              </w:rPr>
            </w:pPr>
            <w:r w:rsidRPr="00A742FB">
              <w:rPr>
                <w:rFonts w:cs="Calibri"/>
                <w:strike/>
                <w:color w:val="FF0000"/>
                <w:szCs w:val="16"/>
              </w:rPr>
              <w:t>Contract Assets</w:t>
            </w:r>
          </w:p>
        </w:tc>
        <w:tc>
          <w:tcPr>
            <w:tcW w:w="850" w:type="dxa"/>
            <w:gridSpan w:val="2"/>
            <w:shd w:val="clear" w:color="auto" w:fill="auto"/>
          </w:tcPr>
          <w:p w14:paraId="658346C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83E373F" w14:textId="77777777" w:rsidR="00F257E0" w:rsidRPr="007918F1" w:rsidRDefault="00F257E0" w:rsidP="00F257E0">
            <w:pPr>
              <w:pStyle w:val="TableText"/>
              <w:tabs>
                <w:tab w:val="left" w:pos="3306"/>
              </w:tabs>
              <w:jc w:val="right"/>
              <w:rPr>
                <w:rFonts w:cs="Calibri"/>
                <w:bCs/>
              </w:rPr>
            </w:pPr>
          </w:p>
        </w:tc>
        <w:tc>
          <w:tcPr>
            <w:tcW w:w="850" w:type="dxa"/>
            <w:gridSpan w:val="2"/>
          </w:tcPr>
          <w:p w14:paraId="2482309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5DA63A0" w14:textId="0C75F69A"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62CAEC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B3A6808" w14:textId="77777777" w:rsidR="00F257E0" w:rsidRPr="007918F1" w:rsidRDefault="00F257E0" w:rsidP="00F257E0">
            <w:pPr>
              <w:pStyle w:val="TableText"/>
              <w:tabs>
                <w:tab w:val="left" w:pos="3306"/>
              </w:tabs>
              <w:jc w:val="right"/>
              <w:rPr>
                <w:rFonts w:cs="Calibri"/>
                <w:bCs/>
              </w:rPr>
            </w:pPr>
          </w:p>
        </w:tc>
      </w:tr>
      <w:tr w:rsidR="006B5DF1" w:rsidRPr="0020314C" w14:paraId="5E06F343" w14:textId="77777777" w:rsidTr="004D1EC6">
        <w:tc>
          <w:tcPr>
            <w:tcW w:w="1557" w:type="dxa"/>
            <w:tcBorders>
              <w:left w:val="single" w:sz="2" w:space="0" w:color="auto"/>
              <w:right w:val="single" w:sz="2" w:space="0" w:color="auto"/>
            </w:tcBorders>
          </w:tcPr>
          <w:p w14:paraId="7BF9A026" w14:textId="77777777" w:rsidR="006B5DF1" w:rsidRPr="007918F1" w:rsidRDefault="006B5DF1"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281D65B" w14:textId="612EB461" w:rsidR="006B5DF1" w:rsidRPr="007918F1" w:rsidRDefault="006B5DF1" w:rsidP="00F257E0">
            <w:pPr>
              <w:pStyle w:val="TableText"/>
              <w:tabs>
                <w:tab w:val="left" w:pos="3306"/>
              </w:tabs>
              <w:rPr>
                <w:rFonts w:cs="Calibri"/>
                <w:szCs w:val="16"/>
              </w:rPr>
            </w:pPr>
            <w:r w:rsidRPr="007918F1">
              <w:rPr>
                <w:rFonts w:cs="Calibri"/>
                <w:szCs w:val="16"/>
              </w:rPr>
              <w:t>Inventories</w:t>
            </w:r>
          </w:p>
        </w:tc>
        <w:tc>
          <w:tcPr>
            <w:tcW w:w="850" w:type="dxa"/>
            <w:gridSpan w:val="2"/>
            <w:shd w:val="clear" w:color="auto" w:fill="auto"/>
          </w:tcPr>
          <w:p w14:paraId="3A0920F9" w14:textId="77777777" w:rsidR="006B5DF1" w:rsidRPr="007918F1" w:rsidRDefault="006B5DF1" w:rsidP="00F257E0">
            <w:pPr>
              <w:pStyle w:val="TableText"/>
              <w:tabs>
                <w:tab w:val="left" w:pos="3306"/>
              </w:tabs>
              <w:jc w:val="right"/>
              <w:rPr>
                <w:rFonts w:cs="Calibri"/>
                <w:bCs/>
              </w:rPr>
            </w:pPr>
          </w:p>
        </w:tc>
        <w:tc>
          <w:tcPr>
            <w:tcW w:w="851" w:type="dxa"/>
            <w:gridSpan w:val="2"/>
            <w:shd w:val="clear" w:color="auto" w:fill="auto"/>
          </w:tcPr>
          <w:p w14:paraId="0B42C7FA" w14:textId="77777777" w:rsidR="006B5DF1" w:rsidRPr="007918F1" w:rsidRDefault="006B5DF1" w:rsidP="00F257E0">
            <w:pPr>
              <w:pStyle w:val="TableText"/>
              <w:tabs>
                <w:tab w:val="left" w:pos="3306"/>
              </w:tabs>
              <w:jc w:val="right"/>
              <w:rPr>
                <w:rFonts w:cs="Calibri"/>
                <w:bCs/>
              </w:rPr>
            </w:pPr>
          </w:p>
        </w:tc>
        <w:tc>
          <w:tcPr>
            <w:tcW w:w="850" w:type="dxa"/>
            <w:gridSpan w:val="2"/>
          </w:tcPr>
          <w:p w14:paraId="1BFE7B4B" w14:textId="77777777" w:rsidR="006B5DF1" w:rsidRPr="007918F1" w:rsidRDefault="006B5DF1" w:rsidP="00F257E0">
            <w:pPr>
              <w:pStyle w:val="TableText"/>
              <w:tabs>
                <w:tab w:val="left" w:pos="3306"/>
              </w:tabs>
              <w:jc w:val="right"/>
              <w:rPr>
                <w:rFonts w:cs="Calibri"/>
                <w:bCs/>
              </w:rPr>
            </w:pPr>
          </w:p>
        </w:tc>
        <w:tc>
          <w:tcPr>
            <w:tcW w:w="851" w:type="dxa"/>
            <w:gridSpan w:val="2"/>
            <w:shd w:val="clear" w:color="auto" w:fill="auto"/>
            <w:vAlign w:val="bottom"/>
          </w:tcPr>
          <w:p w14:paraId="0CCCABF0" w14:textId="77777777" w:rsidR="006B5DF1" w:rsidRPr="007918F1" w:rsidRDefault="006B5DF1" w:rsidP="00F257E0">
            <w:pPr>
              <w:pStyle w:val="TableText"/>
              <w:tabs>
                <w:tab w:val="left" w:pos="3306"/>
              </w:tabs>
              <w:jc w:val="right"/>
              <w:rPr>
                <w:rFonts w:cs="Calibri"/>
                <w:bCs/>
              </w:rPr>
            </w:pPr>
          </w:p>
        </w:tc>
        <w:tc>
          <w:tcPr>
            <w:tcW w:w="1134" w:type="dxa"/>
            <w:gridSpan w:val="2"/>
            <w:shd w:val="clear" w:color="auto" w:fill="auto"/>
            <w:vAlign w:val="bottom"/>
          </w:tcPr>
          <w:p w14:paraId="22ECD8CD" w14:textId="77777777" w:rsidR="006B5DF1" w:rsidRPr="007918F1" w:rsidRDefault="006B5DF1" w:rsidP="00F257E0">
            <w:pPr>
              <w:pStyle w:val="TableText"/>
              <w:tabs>
                <w:tab w:val="left" w:pos="3306"/>
              </w:tabs>
              <w:jc w:val="right"/>
              <w:rPr>
                <w:rFonts w:cs="Calibri"/>
                <w:bCs/>
              </w:rPr>
            </w:pPr>
          </w:p>
        </w:tc>
        <w:tc>
          <w:tcPr>
            <w:tcW w:w="709" w:type="dxa"/>
            <w:gridSpan w:val="3"/>
            <w:shd w:val="clear" w:color="auto" w:fill="auto"/>
            <w:vAlign w:val="bottom"/>
          </w:tcPr>
          <w:p w14:paraId="7345F64E" w14:textId="77777777" w:rsidR="006B5DF1" w:rsidRPr="007918F1" w:rsidRDefault="006B5DF1" w:rsidP="00F257E0">
            <w:pPr>
              <w:pStyle w:val="TableText"/>
              <w:tabs>
                <w:tab w:val="left" w:pos="3306"/>
              </w:tabs>
              <w:jc w:val="right"/>
              <w:rPr>
                <w:rFonts w:cs="Calibri"/>
                <w:bCs/>
              </w:rPr>
            </w:pPr>
          </w:p>
        </w:tc>
      </w:tr>
      <w:tr w:rsidR="00F257E0" w:rsidRPr="0020314C" w14:paraId="0D34951E" w14:textId="77777777" w:rsidTr="004D1EC6">
        <w:tc>
          <w:tcPr>
            <w:tcW w:w="1557" w:type="dxa"/>
            <w:tcBorders>
              <w:left w:val="single" w:sz="2" w:space="0" w:color="auto"/>
              <w:right w:val="single" w:sz="2" w:space="0" w:color="auto"/>
            </w:tcBorders>
          </w:tcPr>
          <w:p w14:paraId="191D5E3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6B3109C" w14:textId="77777777" w:rsidR="00F257E0" w:rsidRPr="007918F1" w:rsidRDefault="00F257E0" w:rsidP="00F257E0">
            <w:pPr>
              <w:pStyle w:val="TableText"/>
              <w:tabs>
                <w:tab w:val="left" w:pos="3306"/>
              </w:tabs>
              <w:rPr>
                <w:rFonts w:cs="Calibri"/>
                <w:szCs w:val="16"/>
              </w:rPr>
            </w:pPr>
            <w:r w:rsidRPr="007918F1">
              <w:rPr>
                <w:rFonts w:cs="Calibri"/>
                <w:szCs w:val="16"/>
              </w:rPr>
              <w:t>Investment – Joint Venture</w:t>
            </w:r>
          </w:p>
        </w:tc>
        <w:tc>
          <w:tcPr>
            <w:tcW w:w="850" w:type="dxa"/>
            <w:gridSpan w:val="2"/>
            <w:shd w:val="clear" w:color="auto" w:fill="auto"/>
          </w:tcPr>
          <w:p w14:paraId="6E90FAD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AF4504A" w14:textId="77777777" w:rsidR="00F257E0" w:rsidRPr="007918F1" w:rsidRDefault="00F257E0" w:rsidP="00F257E0">
            <w:pPr>
              <w:pStyle w:val="TableText"/>
              <w:tabs>
                <w:tab w:val="left" w:pos="3306"/>
              </w:tabs>
              <w:jc w:val="right"/>
              <w:rPr>
                <w:rFonts w:cs="Calibri"/>
                <w:bCs/>
              </w:rPr>
            </w:pPr>
          </w:p>
        </w:tc>
        <w:tc>
          <w:tcPr>
            <w:tcW w:w="850" w:type="dxa"/>
            <w:gridSpan w:val="2"/>
          </w:tcPr>
          <w:p w14:paraId="4C344C6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9B911A9" w14:textId="318EBEA3"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BE72DA6"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ECF2E6C" w14:textId="77777777" w:rsidR="00F257E0" w:rsidRPr="007918F1" w:rsidRDefault="00F257E0" w:rsidP="00F257E0">
            <w:pPr>
              <w:pStyle w:val="TableText"/>
              <w:tabs>
                <w:tab w:val="left" w:pos="3306"/>
              </w:tabs>
              <w:jc w:val="right"/>
              <w:rPr>
                <w:rFonts w:cs="Calibri"/>
                <w:bCs/>
              </w:rPr>
            </w:pPr>
          </w:p>
        </w:tc>
      </w:tr>
      <w:tr w:rsidR="00F257E0" w:rsidRPr="0020314C" w14:paraId="301F98DE" w14:textId="77777777" w:rsidTr="004D1EC6">
        <w:tc>
          <w:tcPr>
            <w:tcW w:w="1557" w:type="dxa"/>
            <w:tcBorders>
              <w:left w:val="single" w:sz="2" w:space="0" w:color="auto"/>
              <w:right w:val="single" w:sz="2" w:space="0" w:color="auto"/>
            </w:tcBorders>
          </w:tcPr>
          <w:p w14:paraId="354955FF"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974F705" w14:textId="77777777" w:rsidR="00F257E0" w:rsidRPr="007918F1" w:rsidRDefault="00F257E0" w:rsidP="00F257E0">
            <w:pPr>
              <w:pStyle w:val="TableText"/>
              <w:tabs>
                <w:tab w:val="left" w:pos="3306"/>
              </w:tabs>
              <w:rPr>
                <w:rFonts w:cs="Calibri"/>
                <w:szCs w:val="16"/>
              </w:rPr>
            </w:pPr>
            <w:r w:rsidRPr="007918F1">
              <w:rPr>
                <w:rFonts w:cs="Calibri"/>
                <w:szCs w:val="16"/>
              </w:rPr>
              <w:t>Property, Plant and Equipment</w:t>
            </w:r>
          </w:p>
        </w:tc>
        <w:tc>
          <w:tcPr>
            <w:tcW w:w="850" w:type="dxa"/>
            <w:gridSpan w:val="2"/>
            <w:shd w:val="clear" w:color="auto" w:fill="auto"/>
          </w:tcPr>
          <w:p w14:paraId="77355D6B"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54DD392" w14:textId="77777777" w:rsidR="00F257E0" w:rsidRPr="007918F1" w:rsidRDefault="00F257E0" w:rsidP="00F257E0">
            <w:pPr>
              <w:pStyle w:val="TableText"/>
              <w:tabs>
                <w:tab w:val="left" w:pos="3306"/>
              </w:tabs>
              <w:jc w:val="right"/>
              <w:rPr>
                <w:rFonts w:cs="Calibri"/>
                <w:bCs/>
              </w:rPr>
            </w:pPr>
          </w:p>
        </w:tc>
        <w:tc>
          <w:tcPr>
            <w:tcW w:w="850" w:type="dxa"/>
            <w:gridSpan w:val="2"/>
          </w:tcPr>
          <w:p w14:paraId="2AC0A9D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5BA7211" w14:textId="0D6304ED" w:rsidR="00F257E0" w:rsidRPr="007918F1" w:rsidRDefault="00F257E0" w:rsidP="00F257E0">
            <w:pPr>
              <w:pStyle w:val="TableText"/>
              <w:tabs>
                <w:tab w:val="left" w:pos="3306"/>
              </w:tabs>
              <w:jc w:val="right"/>
              <w:rPr>
                <w:rFonts w:cs="Calibri"/>
                <w:bCs/>
              </w:rPr>
            </w:pPr>
          </w:p>
        </w:tc>
        <w:tc>
          <w:tcPr>
            <w:tcW w:w="1134" w:type="dxa"/>
            <w:gridSpan w:val="2"/>
            <w:shd w:val="clear" w:color="auto" w:fill="auto"/>
          </w:tcPr>
          <w:p w14:paraId="7CB6AA79"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tcPr>
          <w:p w14:paraId="06B6DBEC" w14:textId="77777777" w:rsidR="00F257E0" w:rsidRPr="007918F1" w:rsidRDefault="00F257E0" w:rsidP="00F257E0">
            <w:pPr>
              <w:pStyle w:val="TableText"/>
              <w:tabs>
                <w:tab w:val="left" w:pos="3306"/>
              </w:tabs>
              <w:jc w:val="right"/>
              <w:rPr>
                <w:rFonts w:cs="Calibri"/>
                <w:bCs/>
              </w:rPr>
            </w:pPr>
          </w:p>
        </w:tc>
      </w:tr>
      <w:tr w:rsidR="00F257E0" w:rsidRPr="0020314C" w14:paraId="4A521E33" w14:textId="77777777" w:rsidTr="004D1EC6">
        <w:tc>
          <w:tcPr>
            <w:tcW w:w="1557" w:type="dxa"/>
            <w:tcBorders>
              <w:left w:val="single" w:sz="2" w:space="0" w:color="auto"/>
              <w:right w:val="single" w:sz="2" w:space="0" w:color="auto"/>
            </w:tcBorders>
          </w:tcPr>
          <w:p w14:paraId="473855F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746ABFC" w14:textId="77777777" w:rsidR="00F257E0" w:rsidRPr="007918F1" w:rsidRDefault="00F257E0" w:rsidP="00F257E0">
            <w:pPr>
              <w:pStyle w:val="TableText"/>
              <w:tabs>
                <w:tab w:val="left" w:pos="3306"/>
              </w:tabs>
              <w:rPr>
                <w:rFonts w:cs="Calibri"/>
                <w:szCs w:val="16"/>
              </w:rPr>
            </w:pPr>
            <w:r w:rsidRPr="007918F1">
              <w:rPr>
                <w:rFonts w:cs="Calibri"/>
                <w:szCs w:val="16"/>
              </w:rPr>
              <w:t>Investment Properties</w:t>
            </w:r>
          </w:p>
        </w:tc>
        <w:tc>
          <w:tcPr>
            <w:tcW w:w="850" w:type="dxa"/>
            <w:gridSpan w:val="2"/>
            <w:shd w:val="clear" w:color="auto" w:fill="auto"/>
          </w:tcPr>
          <w:p w14:paraId="4D40D8C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BC9629F" w14:textId="77777777" w:rsidR="00F257E0" w:rsidRPr="007918F1" w:rsidRDefault="00F257E0" w:rsidP="00F257E0">
            <w:pPr>
              <w:pStyle w:val="TableText"/>
              <w:tabs>
                <w:tab w:val="left" w:pos="3306"/>
              </w:tabs>
              <w:jc w:val="right"/>
              <w:rPr>
                <w:rFonts w:cs="Calibri"/>
                <w:bCs/>
              </w:rPr>
            </w:pPr>
          </w:p>
        </w:tc>
        <w:tc>
          <w:tcPr>
            <w:tcW w:w="850" w:type="dxa"/>
            <w:gridSpan w:val="2"/>
          </w:tcPr>
          <w:p w14:paraId="1F2046C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7D9522B" w14:textId="3C40DB0D"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731FE62"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3F8C960" w14:textId="77777777" w:rsidR="00F257E0" w:rsidRPr="007918F1" w:rsidRDefault="00F257E0" w:rsidP="00F257E0">
            <w:pPr>
              <w:pStyle w:val="TableText"/>
              <w:tabs>
                <w:tab w:val="left" w:pos="3306"/>
              </w:tabs>
              <w:jc w:val="right"/>
              <w:rPr>
                <w:rFonts w:cs="Calibri"/>
                <w:bCs/>
              </w:rPr>
            </w:pPr>
          </w:p>
        </w:tc>
      </w:tr>
      <w:tr w:rsidR="00F257E0" w:rsidRPr="0020314C" w14:paraId="78D60457" w14:textId="77777777" w:rsidTr="004D1EC6">
        <w:tc>
          <w:tcPr>
            <w:tcW w:w="1557" w:type="dxa"/>
            <w:tcBorders>
              <w:left w:val="single" w:sz="2" w:space="0" w:color="auto"/>
              <w:right w:val="single" w:sz="2" w:space="0" w:color="auto"/>
            </w:tcBorders>
          </w:tcPr>
          <w:p w14:paraId="4B5D58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7173062" w14:textId="77777777" w:rsidR="00F257E0" w:rsidRPr="007918F1" w:rsidRDefault="00F257E0" w:rsidP="00F257E0">
            <w:pPr>
              <w:pStyle w:val="TableText"/>
              <w:tabs>
                <w:tab w:val="left" w:pos="3306"/>
              </w:tabs>
              <w:rPr>
                <w:rFonts w:cs="Calibri"/>
                <w:szCs w:val="16"/>
              </w:rPr>
            </w:pPr>
            <w:r w:rsidRPr="007918F1">
              <w:rPr>
                <w:rFonts w:cs="Calibri"/>
                <w:szCs w:val="16"/>
              </w:rPr>
              <w:t>Intangible Assets</w:t>
            </w:r>
          </w:p>
        </w:tc>
        <w:tc>
          <w:tcPr>
            <w:tcW w:w="850" w:type="dxa"/>
            <w:gridSpan w:val="2"/>
            <w:shd w:val="clear" w:color="auto" w:fill="auto"/>
          </w:tcPr>
          <w:p w14:paraId="2FA7FC1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A7DD132" w14:textId="77777777" w:rsidR="00F257E0" w:rsidRPr="007918F1" w:rsidRDefault="00F257E0" w:rsidP="00F257E0">
            <w:pPr>
              <w:pStyle w:val="TableText"/>
              <w:tabs>
                <w:tab w:val="left" w:pos="3306"/>
              </w:tabs>
              <w:jc w:val="right"/>
              <w:rPr>
                <w:rFonts w:cs="Calibri"/>
                <w:bCs/>
              </w:rPr>
            </w:pPr>
          </w:p>
        </w:tc>
        <w:tc>
          <w:tcPr>
            <w:tcW w:w="850" w:type="dxa"/>
            <w:gridSpan w:val="2"/>
          </w:tcPr>
          <w:p w14:paraId="78152D3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7CF4DC6" w14:textId="344938C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6E759E7"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470DCDF" w14:textId="77777777" w:rsidR="00F257E0" w:rsidRPr="007918F1" w:rsidRDefault="00F257E0" w:rsidP="00F257E0">
            <w:pPr>
              <w:pStyle w:val="TableText"/>
              <w:tabs>
                <w:tab w:val="left" w:pos="3306"/>
              </w:tabs>
              <w:jc w:val="right"/>
              <w:rPr>
                <w:rFonts w:cs="Calibri"/>
                <w:bCs/>
              </w:rPr>
            </w:pPr>
          </w:p>
        </w:tc>
      </w:tr>
      <w:tr w:rsidR="00F257E0" w:rsidRPr="0020314C" w14:paraId="0034399F" w14:textId="77777777" w:rsidTr="004D1EC6">
        <w:tc>
          <w:tcPr>
            <w:tcW w:w="1557" w:type="dxa"/>
            <w:tcBorders>
              <w:left w:val="single" w:sz="2" w:space="0" w:color="auto"/>
              <w:right w:val="single" w:sz="2" w:space="0" w:color="auto"/>
            </w:tcBorders>
          </w:tcPr>
          <w:p w14:paraId="457179B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D5626FC" w14:textId="77777777" w:rsidR="00F257E0" w:rsidRPr="007918F1" w:rsidRDefault="00F257E0" w:rsidP="00F257E0">
            <w:pPr>
              <w:pStyle w:val="TableText"/>
              <w:tabs>
                <w:tab w:val="left" w:pos="3306"/>
              </w:tabs>
              <w:rPr>
                <w:rFonts w:cs="Calibri"/>
                <w:szCs w:val="16"/>
              </w:rPr>
            </w:pPr>
            <w:r w:rsidRPr="007918F1">
              <w:rPr>
                <w:rFonts w:cs="Calibri"/>
                <w:szCs w:val="16"/>
              </w:rPr>
              <w:t>Capital Works in Progress</w:t>
            </w:r>
          </w:p>
        </w:tc>
        <w:tc>
          <w:tcPr>
            <w:tcW w:w="850" w:type="dxa"/>
            <w:gridSpan w:val="2"/>
            <w:shd w:val="clear" w:color="auto" w:fill="auto"/>
          </w:tcPr>
          <w:p w14:paraId="5D22676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0BE62D7F" w14:textId="77777777" w:rsidR="00F257E0" w:rsidRPr="007918F1" w:rsidRDefault="00F257E0" w:rsidP="00F257E0">
            <w:pPr>
              <w:pStyle w:val="TableText"/>
              <w:tabs>
                <w:tab w:val="left" w:pos="3306"/>
              </w:tabs>
              <w:jc w:val="right"/>
              <w:rPr>
                <w:rFonts w:cs="Calibri"/>
                <w:bCs/>
              </w:rPr>
            </w:pPr>
          </w:p>
        </w:tc>
        <w:tc>
          <w:tcPr>
            <w:tcW w:w="850" w:type="dxa"/>
            <w:gridSpan w:val="2"/>
          </w:tcPr>
          <w:p w14:paraId="1C8CF62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86C0867" w14:textId="5F74BD3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38B11C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93638F8" w14:textId="77777777" w:rsidR="00F257E0" w:rsidRPr="007918F1" w:rsidRDefault="00F257E0" w:rsidP="00F257E0">
            <w:pPr>
              <w:pStyle w:val="TableText"/>
              <w:tabs>
                <w:tab w:val="left" w:pos="3306"/>
              </w:tabs>
              <w:jc w:val="right"/>
              <w:rPr>
                <w:rFonts w:cs="Calibri"/>
                <w:bCs/>
              </w:rPr>
            </w:pPr>
          </w:p>
        </w:tc>
      </w:tr>
      <w:tr w:rsidR="00F257E0" w:rsidRPr="0020314C" w14:paraId="22868F46" w14:textId="77777777" w:rsidTr="004D1EC6">
        <w:tc>
          <w:tcPr>
            <w:tcW w:w="1557" w:type="dxa"/>
            <w:tcBorders>
              <w:left w:val="single" w:sz="2" w:space="0" w:color="auto"/>
              <w:right w:val="single" w:sz="2" w:space="0" w:color="auto"/>
            </w:tcBorders>
          </w:tcPr>
          <w:p w14:paraId="6E932CB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F27BC9B" w14:textId="77777777" w:rsidR="00F257E0" w:rsidRPr="007918F1" w:rsidRDefault="00F257E0" w:rsidP="00F257E0">
            <w:pPr>
              <w:pStyle w:val="TableText"/>
              <w:tabs>
                <w:tab w:val="left" w:pos="3306"/>
              </w:tabs>
              <w:rPr>
                <w:rFonts w:cs="Calibri"/>
                <w:szCs w:val="16"/>
              </w:rPr>
            </w:pPr>
            <w:r w:rsidRPr="007918F1">
              <w:rPr>
                <w:rFonts w:cs="Calibri"/>
                <w:szCs w:val="16"/>
              </w:rPr>
              <w:t>Other Assets</w:t>
            </w:r>
          </w:p>
        </w:tc>
        <w:tc>
          <w:tcPr>
            <w:tcW w:w="850" w:type="dxa"/>
            <w:gridSpan w:val="2"/>
            <w:tcBorders>
              <w:bottom w:val="single" w:sz="2" w:space="0" w:color="auto"/>
            </w:tcBorders>
            <w:shd w:val="clear" w:color="auto" w:fill="auto"/>
          </w:tcPr>
          <w:p w14:paraId="527B50DD"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D9FDD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1303786B"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8ECB704" w14:textId="66CAF41A"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C35E2FB"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7A517871" w14:textId="77777777" w:rsidR="00F257E0" w:rsidRPr="007918F1" w:rsidRDefault="00F257E0" w:rsidP="00F257E0">
            <w:pPr>
              <w:pStyle w:val="TableText"/>
              <w:tabs>
                <w:tab w:val="left" w:pos="3306"/>
              </w:tabs>
              <w:jc w:val="right"/>
              <w:rPr>
                <w:rFonts w:cs="Calibri"/>
                <w:bCs/>
              </w:rPr>
            </w:pPr>
          </w:p>
        </w:tc>
      </w:tr>
      <w:tr w:rsidR="00F257E0" w:rsidRPr="00E34168" w14:paraId="50511297" w14:textId="77777777" w:rsidTr="004D1EC6">
        <w:tc>
          <w:tcPr>
            <w:tcW w:w="1557" w:type="dxa"/>
            <w:tcBorders>
              <w:left w:val="single" w:sz="2" w:space="0" w:color="auto"/>
              <w:right w:val="single" w:sz="2" w:space="0" w:color="auto"/>
            </w:tcBorders>
          </w:tcPr>
          <w:p w14:paraId="1F332C9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942BDF4" w14:textId="77777777" w:rsidR="00F257E0" w:rsidRPr="007918F1" w:rsidRDefault="00F257E0" w:rsidP="00F257E0">
            <w:pPr>
              <w:pStyle w:val="TableText"/>
              <w:tabs>
                <w:tab w:val="left" w:pos="3306"/>
              </w:tabs>
              <w:rPr>
                <w:rFonts w:cs="Calibri"/>
                <w:b/>
                <w:szCs w:val="16"/>
              </w:rPr>
            </w:pPr>
            <w:r w:rsidRPr="007918F1">
              <w:rPr>
                <w:rFonts w:cs="Calibri"/>
                <w:b/>
                <w:szCs w:val="16"/>
              </w:rPr>
              <w:t>Total Non-Current Assets</w:t>
            </w:r>
          </w:p>
        </w:tc>
        <w:tc>
          <w:tcPr>
            <w:tcW w:w="850" w:type="dxa"/>
            <w:gridSpan w:val="2"/>
            <w:tcBorders>
              <w:top w:val="single" w:sz="2" w:space="0" w:color="auto"/>
            </w:tcBorders>
            <w:shd w:val="clear" w:color="auto" w:fill="auto"/>
          </w:tcPr>
          <w:p w14:paraId="607E0158" w14:textId="77777777" w:rsidR="00F257E0" w:rsidRPr="007918F1"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5D0686A7"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3DD20B5C"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E688DE8" w14:textId="072F54BA"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6C18E3EE"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11ED1BD2" w14:textId="77777777" w:rsidR="00F257E0" w:rsidRPr="007918F1" w:rsidRDefault="00F257E0" w:rsidP="00F257E0">
            <w:pPr>
              <w:pStyle w:val="TableText"/>
              <w:tabs>
                <w:tab w:val="left" w:pos="3306"/>
              </w:tabs>
              <w:jc w:val="right"/>
              <w:rPr>
                <w:rFonts w:cs="Calibri"/>
                <w:b/>
                <w:bCs/>
              </w:rPr>
            </w:pPr>
          </w:p>
        </w:tc>
      </w:tr>
      <w:tr w:rsidR="00F257E0" w:rsidRPr="0020314C" w14:paraId="72174D66" w14:textId="77777777" w:rsidTr="004D1EC6">
        <w:trPr>
          <w:trHeight w:hRule="exact" w:val="170"/>
        </w:trPr>
        <w:tc>
          <w:tcPr>
            <w:tcW w:w="1557" w:type="dxa"/>
            <w:tcBorders>
              <w:left w:val="single" w:sz="2" w:space="0" w:color="auto"/>
              <w:right w:val="single" w:sz="2" w:space="0" w:color="auto"/>
            </w:tcBorders>
          </w:tcPr>
          <w:p w14:paraId="514319C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63FAE00" w14:textId="77777777" w:rsidR="00F257E0" w:rsidRPr="007918F1" w:rsidRDefault="00F257E0" w:rsidP="00F257E0">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2402E1E9"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DA16C0E"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5D7FA5A"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54BB28B4" w14:textId="3E0A8D35"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B157681"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71700907" w14:textId="77777777" w:rsidR="00F257E0" w:rsidRPr="007918F1" w:rsidRDefault="00F257E0" w:rsidP="00F257E0">
            <w:pPr>
              <w:pStyle w:val="TableText"/>
              <w:tabs>
                <w:tab w:val="left" w:pos="3306"/>
              </w:tabs>
              <w:jc w:val="right"/>
              <w:rPr>
                <w:rFonts w:cs="Calibri"/>
                <w:bCs/>
              </w:rPr>
            </w:pPr>
          </w:p>
        </w:tc>
      </w:tr>
      <w:tr w:rsidR="00F257E0" w:rsidRPr="0020314C" w14:paraId="1C0FF8A2" w14:textId="77777777" w:rsidTr="004D1EC6">
        <w:tc>
          <w:tcPr>
            <w:tcW w:w="1557" w:type="dxa"/>
            <w:tcBorders>
              <w:left w:val="single" w:sz="2" w:space="0" w:color="auto"/>
              <w:right w:val="single" w:sz="2" w:space="0" w:color="auto"/>
            </w:tcBorders>
          </w:tcPr>
          <w:p w14:paraId="030125A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E0DA120" w14:textId="77777777" w:rsidR="00F257E0" w:rsidRPr="007918F1" w:rsidRDefault="00F257E0" w:rsidP="00F257E0">
            <w:pPr>
              <w:pStyle w:val="TableText"/>
              <w:tabs>
                <w:tab w:val="left" w:pos="3306"/>
              </w:tabs>
              <w:rPr>
                <w:rFonts w:cs="Calibri"/>
                <w:b/>
                <w:szCs w:val="16"/>
              </w:rPr>
            </w:pPr>
            <w:r w:rsidRPr="007918F1">
              <w:rPr>
                <w:rFonts w:cs="Calibri"/>
                <w:b/>
                <w:szCs w:val="16"/>
              </w:rPr>
              <w:t>Total Assets</w:t>
            </w:r>
          </w:p>
        </w:tc>
        <w:tc>
          <w:tcPr>
            <w:tcW w:w="850" w:type="dxa"/>
            <w:gridSpan w:val="2"/>
            <w:tcBorders>
              <w:top w:val="single" w:sz="2" w:space="0" w:color="auto"/>
              <w:bottom w:val="single" w:sz="2" w:space="0" w:color="auto"/>
            </w:tcBorders>
            <w:shd w:val="clear" w:color="auto" w:fill="auto"/>
          </w:tcPr>
          <w:p w14:paraId="4BEB2A55"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17C3EA54"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1D9BB5EF"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52015E20" w14:textId="39AC2F34"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1984C1A7"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1505D6D9" w14:textId="77777777" w:rsidR="00F257E0" w:rsidRPr="007918F1" w:rsidRDefault="00F257E0" w:rsidP="00F257E0">
            <w:pPr>
              <w:pStyle w:val="TableText"/>
              <w:tabs>
                <w:tab w:val="left" w:pos="3306"/>
              </w:tabs>
              <w:jc w:val="right"/>
              <w:rPr>
                <w:rFonts w:cs="Calibri"/>
                <w:b/>
                <w:bCs/>
              </w:rPr>
            </w:pPr>
          </w:p>
        </w:tc>
      </w:tr>
      <w:tr w:rsidR="00F257E0" w:rsidRPr="0020314C" w14:paraId="3836C83F" w14:textId="77777777" w:rsidTr="004D1EC6">
        <w:trPr>
          <w:trHeight w:hRule="exact" w:val="170"/>
        </w:trPr>
        <w:tc>
          <w:tcPr>
            <w:tcW w:w="1557" w:type="dxa"/>
            <w:tcBorders>
              <w:left w:val="single" w:sz="2" w:space="0" w:color="auto"/>
              <w:right w:val="single" w:sz="2" w:space="0" w:color="auto"/>
            </w:tcBorders>
          </w:tcPr>
          <w:p w14:paraId="2BC2225D"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1AD1683" w14:textId="77777777" w:rsidR="00F257E0" w:rsidRPr="007918F1" w:rsidRDefault="00F257E0" w:rsidP="00F257E0">
            <w:pPr>
              <w:pStyle w:val="TableText"/>
              <w:tabs>
                <w:tab w:val="left" w:pos="3306"/>
              </w:tabs>
              <w:rPr>
                <w:rFonts w:cs="Calibri"/>
                <w:szCs w:val="16"/>
              </w:rPr>
            </w:pPr>
          </w:p>
        </w:tc>
        <w:tc>
          <w:tcPr>
            <w:tcW w:w="850" w:type="dxa"/>
            <w:gridSpan w:val="2"/>
            <w:tcBorders>
              <w:top w:val="single" w:sz="2" w:space="0" w:color="auto"/>
            </w:tcBorders>
            <w:shd w:val="clear" w:color="auto" w:fill="auto"/>
          </w:tcPr>
          <w:p w14:paraId="7845796D"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C5042A3"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70A7F05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E191A64" w14:textId="799F55B5"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34164A7E"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56348748" w14:textId="77777777" w:rsidR="00F257E0" w:rsidRPr="007918F1" w:rsidRDefault="00F257E0" w:rsidP="00F257E0">
            <w:pPr>
              <w:pStyle w:val="TableText"/>
              <w:tabs>
                <w:tab w:val="left" w:pos="3306"/>
              </w:tabs>
              <w:jc w:val="right"/>
              <w:rPr>
                <w:rFonts w:cs="Calibri"/>
                <w:b/>
                <w:bCs/>
              </w:rPr>
            </w:pPr>
          </w:p>
        </w:tc>
      </w:tr>
      <w:tr w:rsidR="00F257E0" w:rsidRPr="0020314C" w14:paraId="36077CAA" w14:textId="77777777" w:rsidTr="004D1EC6">
        <w:tc>
          <w:tcPr>
            <w:tcW w:w="1557" w:type="dxa"/>
            <w:tcBorders>
              <w:left w:val="single" w:sz="2" w:space="0" w:color="auto"/>
              <w:right w:val="single" w:sz="2" w:space="0" w:color="auto"/>
            </w:tcBorders>
          </w:tcPr>
          <w:p w14:paraId="28ACF2B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DE89B3F" w14:textId="77777777" w:rsidR="00F257E0" w:rsidRPr="007918F1" w:rsidRDefault="00F257E0" w:rsidP="00F257E0">
            <w:pPr>
              <w:pStyle w:val="TableText"/>
              <w:tabs>
                <w:tab w:val="left" w:pos="3306"/>
              </w:tabs>
              <w:rPr>
                <w:rFonts w:cs="Calibri"/>
                <w:b/>
                <w:szCs w:val="16"/>
              </w:rPr>
            </w:pPr>
            <w:r w:rsidRPr="007918F1">
              <w:rPr>
                <w:rFonts w:cs="Calibri"/>
                <w:b/>
                <w:szCs w:val="16"/>
              </w:rPr>
              <w:t>Current Liabilities</w:t>
            </w:r>
          </w:p>
        </w:tc>
        <w:tc>
          <w:tcPr>
            <w:tcW w:w="850" w:type="dxa"/>
            <w:gridSpan w:val="2"/>
            <w:shd w:val="clear" w:color="auto" w:fill="auto"/>
          </w:tcPr>
          <w:p w14:paraId="2F9872EA"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067D493D" w14:textId="77777777" w:rsidR="00F257E0" w:rsidRPr="007918F1" w:rsidRDefault="00F257E0" w:rsidP="00F257E0">
            <w:pPr>
              <w:pStyle w:val="TableText"/>
              <w:tabs>
                <w:tab w:val="left" w:pos="3306"/>
              </w:tabs>
              <w:jc w:val="right"/>
              <w:rPr>
                <w:rFonts w:cs="Calibri"/>
                <w:b/>
                <w:bCs/>
              </w:rPr>
            </w:pPr>
          </w:p>
        </w:tc>
        <w:tc>
          <w:tcPr>
            <w:tcW w:w="850" w:type="dxa"/>
            <w:gridSpan w:val="2"/>
          </w:tcPr>
          <w:p w14:paraId="31303A75"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0F6F4E8D" w14:textId="75BB6575"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3C254333"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7C8FDC68" w14:textId="77777777" w:rsidR="00F257E0" w:rsidRPr="007918F1" w:rsidRDefault="00F257E0" w:rsidP="00F257E0">
            <w:pPr>
              <w:pStyle w:val="TableText"/>
              <w:tabs>
                <w:tab w:val="left" w:pos="3306"/>
              </w:tabs>
              <w:jc w:val="right"/>
              <w:rPr>
                <w:rFonts w:cs="Calibri"/>
                <w:b/>
                <w:bCs/>
              </w:rPr>
            </w:pPr>
          </w:p>
        </w:tc>
      </w:tr>
      <w:tr w:rsidR="00F257E0" w:rsidRPr="0020314C" w14:paraId="31486844" w14:textId="77777777" w:rsidTr="004D1EC6">
        <w:tc>
          <w:tcPr>
            <w:tcW w:w="1557" w:type="dxa"/>
            <w:tcBorders>
              <w:left w:val="single" w:sz="2" w:space="0" w:color="auto"/>
              <w:right w:val="single" w:sz="2" w:space="0" w:color="auto"/>
            </w:tcBorders>
          </w:tcPr>
          <w:p w14:paraId="58465B6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E2D4980" w14:textId="5B65BAEE" w:rsidR="00F257E0" w:rsidRPr="00B73007" w:rsidRDefault="00F257E0" w:rsidP="00F257E0">
            <w:pPr>
              <w:pStyle w:val="TableText"/>
              <w:tabs>
                <w:tab w:val="left" w:pos="3306"/>
              </w:tabs>
              <w:rPr>
                <w:rFonts w:cs="Calibri"/>
                <w:szCs w:val="16"/>
              </w:rPr>
            </w:pPr>
            <w:r w:rsidRPr="00B73007">
              <w:rPr>
                <w:rFonts w:cs="Calibri"/>
                <w:szCs w:val="16"/>
              </w:rPr>
              <w:t>Payables</w:t>
            </w:r>
            <w:r w:rsidR="00676AA9" w:rsidRPr="00B73007">
              <w:rPr>
                <w:rFonts w:cs="Calibri"/>
                <w:szCs w:val="16"/>
              </w:rPr>
              <w:t xml:space="preserve"> </w:t>
            </w:r>
          </w:p>
        </w:tc>
        <w:tc>
          <w:tcPr>
            <w:tcW w:w="850" w:type="dxa"/>
            <w:gridSpan w:val="2"/>
            <w:shd w:val="clear" w:color="auto" w:fill="auto"/>
          </w:tcPr>
          <w:p w14:paraId="4A69672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8A6163C" w14:textId="77777777" w:rsidR="00F257E0" w:rsidRPr="007918F1" w:rsidRDefault="00F257E0" w:rsidP="00F257E0">
            <w:pPr>
              <w:pStyle w:val="TableText"/>
              <w:tabs>
                <w:tab w:val="left" w:pos="3306"/>
              </w:tabs>
              <w:jc w:val="right"/>
              <w:rPr>
                <w:rFonts w:cs="Calibri"/>
                <w:bCs/>
              </w:rPr>
            </w:pPr>
          </w:p>
        </w:tc>
        <w:tc>
          <w:tcPr>
            <w:tcW w:w="850" w:type="dxa"/>
            <w:gridSpan w:val="2"/>
          </w:tcPr>
          <w:p w14:paraId="751A7FC3"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6AFCCF2" w14:textId="223F653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1562EE4"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251A58A" w14:textId="77777777" w:rsidR="00F257E0" w:rsidRPr="007918F1" w:rsidRDefault="00F257E0" w:rsidP="00F257E0">
            <w:pPr>
              <w:pStyle w:val="TableText"/>
              <w:tabs>
                <w:tab w:val="left" w:pos="3306"/>
              </w:tabs>
              <w:jc w:val="right"/>
              <w:rPr>
                <w:rFonts w:cs="Calibri"/>
                <w:bCs/>
              </w:rPr>
            </w:pPr>
          </w:p>
        </w:tc>
      </w:tr>
      <w:tr w:rsidR="00F257E0" w:rsidRPr="0020314C" w14:paraId="0F55C42F" w14:textId="77777777" w:rsidTr="004D1EC6">
        <w:tc>
          <w:tcPr>
            <w:tcW w:w="1557" w:type="dxa"/>
            <w:tcBorders>
              <w:left w:val="single" w:sz="2" w:space="0" w:color="auto"/>
              <w:right w:val="single" w:sz="2" w:space="0" w:color="auto"/>
            </w:tcBorders>
          </w:tcPr>
          <w:p w14:paraId="41D4B6F8"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87C1FC3" w14:textId="77777777" w:rsidR="00F257E0" w:rsidRPr="00676AA9" w:rsidRDefault="00F257E0" w:rsidP="00F257E0">
            <w:pPr>
              <w:pStyle w:val="TableText"/>
              <w:tabs>
                <w:tab w:val="left" w:pos="3306"/>
              </w:tabs>
              <w:rPr>
                <w:rFonts w:cs="Calibri"/>
                <w:strike/>
                <w:szCs w:val="16"/>
              </w:rPr>
            </w:pPr>
            <w:r w:rsidRPr="00676AA9">
              <w:rPr>
                <w:rFonts w:cs="Calibri"/>
                <w:strike/>
                <w:color w:val="FF0000"/>
                <w:szCs w:val="16"/>
              </w:rPr>
              <w:t>Contract Liabilities</w:t>
            </w:r>
          </w:p>
        </w:tc>
        <w:tc>
          <w:tcPr>
            <w:tcW w:w="850" w:type="dxa"/>
            <w:gridSpan w:val="2"/>
            <w:shd w:val="clear" w:color="auto" w:fill="auto"/>
          </w:tcPr>
          <w:p w14:paraId="6CDB433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2AFA5B3" w14:textId="77777777" w:rsidR="00F257E0" w:rsidRPr="007918F1" w:rsidRDefault="00F257E0" w:rsidP="00F257E0">
            <w:pPr>
              <w:pStyle w:val="TableText"/>
              <w:tabs>
                <w:tab w:val="left" w:pos="3306"/>
              </w:tabs>
              <w:jc w:val="right"/>
              <w:rPr>
                <w:rFonts w:cs="Calibri"/>
                <w:bCs/>
              </w:rPr>
            </w:pPr>
          </w:p>
        </w:tc>
        <w:tc>
          <w:tcPr>
            <w:tcW w:w="850" w:type="dxa"/>
            <w:gridSpan w:val="2"/>
          </w:tcPr>
          <w:p w14:paraId="7E9FF86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7748764" w14:textId="14A4500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C7AC61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D0F4EFB" w14:textId="77777777" w:rsidR="00F257E0" w:rsidRPr="007918F1" w:rsidRDefault="00F257E0" w:rsidP="00F257E0">
            <w:pPr>
              <w:pStyle w:val="TableText"/>
              <w:tabs>
                <w:tab w:val="left" w:pos="3306"/>
              </w:tabs>
              <w:jc w:val="right"/>
              <w:rPr>
                <w:rFonts w:cs="Calibri"/>
                <w:bCs/>
              </w:rPr>
            </w:pPr>
          </w:p>
        </w:tc>
      </w:tr>
      <w:tr w:rsidR="00F257E0" w:rsidRPr="0020314C" w14:paraId="4B8387CB" w14:textId="77777777" w:rsidTr="004D1EC6">
        <w:tc>
          <w:tcPr>
            <w:tcW w:w="1557" w:type="dxa"/>
            <w:tcBorders>
              <w:left w:val="single" w:sz="2" w:space="0" w:color="auto"/>
              <w:right w:val="single" w:sz="2" w:space="0" w:color="auto"/>
            </w:tcBorders>
          </w:tcPr>
          <w:p w14:paraId="6854001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995257C" w14:textId="20FE3DE3" w:rsidR="00F257E0" w:rsidRPr="007918F1" w:rsidRDefault="007001C1" w:rsidP="00F257E0">
            <w:pPr>
              <w:pStyle w:val="TableText"/>
              <w:tabs>
                <w:tab w:val="left" w:pos="3306"/>
              </w:tabs>
              <w:rPr>
                <w:rFonts w:cs="Calibri"/>
                <w:szCs w:val="16"/>
              </w:rPr>
            </w:pPr>
            <w:r w:rsidRPr="007918F1">
              <w:rPr>
                <w:rFonts w:cs="Calibri"/>
                <w:szCs w:val="16"/>
              </w:rPr>
              <w:t>Borrowings</w:t>
            </w:r>
          </w:p>
        </w:tc>
        <w:tc>
          <w:tcPr>
            <w:tcW w:w="850" w:type="dxa"/>
            <w:gridSpan w:val="2"/>
            <w:shd w:val="clear" w:color="auto" w:fill="auto"/>
          </w:tcPr>
          <w:p w14:paraId="69CBF4C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07AD534" w14:textId="77777777" w:rsidR="00F257E0" w:rsidRPr="007918F1" w:rsidRDefault="00F257E0" w:rsidP="00F257E0">
            <w:pPr>
              <w:pStyle w:val="TableText"/>
              <w:tabs>
                <w:tab w:val="left" w:pos="3306"/>
              </w:tabs>
              <w:jc w:val="right"/>
              <w:rPr>
                <w:rFonts w:cs="Calibri"/>
                <w:bCs/>
              </w:rPr>
            </w:pPr>
          </w:p>
        </w:tc>
        <w:tc>
          <w:tcPr>
            <w:tcW w:w="850" w:type="dxa"/>
            <w:gridSpan w:val="2"/>
          </w:tcPr>
          <w:p w14:paraId="64F0E96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3521458" w14:textId="5A0AA1E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EE32F63"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C9DC460" w14:textId="77777777" w:rsidR="00F257E0" w:rsidRPr="007918F1" w:rsidRDefault="00F257E0" w:rsidP="00F257E0">
            <w:pPr>
              <w:pStyle w:val="TableText"/>
              <w:tabs>
                <w:tab w:val="left" w:pos="3306"/>
              </w:tabs>
              <w:jc w:val="right"/>
              <w:rPr>
                <w:rFonts w:cs="Calibri"/>
                <w:bCs/>
              </w:rPr>
            </w:pPr>
          </w:p>
        </w:tc>
      </w:tr>
      <w:tr w:rsidR="00F257E0" w:rsidRPr="0020314C" w14:paraId="3AC67B6C" w14:textId="77777777" w:rsidTr="004D1EC6">
        <w:tc>
          <w:tcPr>
            <w:tcW w:w="1557" w:type="dxa"/>
            <w:tcBorders>
              <w:left w:val="single" w:sz="2" w:space="0" w:color="auto"/>
              <w:right w:val="single" w:sz="2" w:space="0" w:color="auto"/>
            </w:tcBorders>
          </w:tcPr>
          <w:p w14:paraId="0FFD466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2826DC2" w14:textId="46FD7AFB" w:rsidR="00F257E0" w:rsidRPr="007918F1" w:rsidRDefault="00F257E0" w:rsidP="00F257E0">
            <w:pPr>
              <w:pStyle w:val="TableText"/>
              <w:tabs>
                <w:tab w:val="left" w:pos="3306"/>
              </w:tabs>
              <w:rPr>
                <w:rFonts w:cs="Calibri"/>
                <w:szCs w:val="16"/>
              </w:rPr>
            </w:pPr>
            <w:r w:rsidRPr="007918F1">
              <w:rPr>
                <w:rFonts w:cs="Calibri"/>
                <w:szCs w:val="16"/>
              </w:rPr>
              <w:t>Lease Liabilities</w:t>
            </w:r>
          </w:p>
        </w:tc>
        <w:tc>
          <w:tcPr>
            <w:tcW w:w="850" w:type="dxa"/>
            <w:gridSpan w:val="2"/>
            <w:shd w:val="clear" w:color="auto" w:fill="auto"/>
          </w:tcPr>
          <w:p w14:paraId="60B94F84"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02C62F5" w14:textId="77777777" w:rsidR="00F257E0" w:rsidRPr="007918F1" w:rsidRDefault="00F257E0" w:rsidP="00F257E0">
            <w:pPr>
              <w:pStyle w:val="TableText"/>
              <w:tabs>
                <w:tab w:val="left" w:pos="3306"/>
              </w:tabs>
              <w:jc w:val="right"/>
              <w:rPr>
                <w:rFonts w:cs="Calibri"/>
                <w:bCs/>
              </w:rPr>
            </w:pPr>
          </w:p>
        </w:tc>
        <w:tc>
          <w:tcPr>
            <w:tcW w:w="850" w:type="dxa"/>
            <w:gridSpan w:val="2"/>
          </w:tcPr>
          <w:p w14:paraId="2ADB194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1DD1FFC" w14:textId="0937559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1B20A4E5"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E62AE53" w14:textId="77777777" w:rsidR="00F257E0" w:rsidRPr="007918F1" w:rsidRDefault="00F257E0" w:rsidP="00F257E0">
            <w:pPr>
              <w:pStyle w:val="TableText"/>
              <w:tabs>
                <w:tab w:val="left" w:pos="3306"/>
              </w:tabs>
              <w:jc w:val="right"/>
              <w:rPr>
                <w:rFonts w:cs="Calibri"/>
                <w:bCs/>
              </w:rPr>
            </w:pPr>
          </w:p>
        </w:tc>
      </w:tr>
      <w:tr w:rsidR="00F257E0" w:rsidRPr="0020314C" w14:paraId="540AD17F" w14:textId="77777777" w:rsidTr="004D1EC6">
        <w:tc>
          <w:tcPr>
            <w:tcW w:w="1557" w:type="dxa"/>
            <w:tcBorders>
              <w:left w:val="single" w:sz="2" w:space="0" w:color="auto"/>
              <w:right w:val="single" w:sz="2" w:space="0" w:color="auto"/>
            </w:tcBorders>
          </w:tcPr>
          <w:p w14:paraId="6B79ACD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5E855F9" w14:textId="77777777" w:rsidR="00F257E0" w:rsidRPr="007918F1" w:rsidRDefault="00F257E0" w:rsidP="00F257E0">
            <w:pPr>
              <w:pStyle w:val="TableText"/>
              <w:tabs>
                <w:tab w:val="left" w:pos="3306"/>
              </w:tabs>
              <w:rPr>
                <w:rFonts w:cs="Calibri"/>
                <w:szCs w:val="16"/>
              </w:rPr>
            </w:pPr>
            <w:r w:rsidRPr="007918F1">
              <w:rPr>
                <w:rFonts w:cs="Calibri"/>
                <w:szCs w:val="16"/>
              </w:rPr>
              <w:t>Employee Benefits</w:t>
            </w:r>
          </w:p>
        </w:tc>
        <w:tc>
          <w:tcPr>
            <w:tcW w:w="850" w:type="dxa"/>
            <w:gridSpan w:val="2"/>
            <w:shd w:val="clear" w:color="auto" w:fill="auto"/>
          </w:tcPr>
          <w:p w14:paraId="2D370F32"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44EAD8F" w14:textId="77777777" w:rsidR="00F257E0" w:rsidRPr="007918F1" w:rsidRDefault="00F257E0" w:rsidP="00F257E0">
            <w:pPr>
              <w:pStyle w:val="TableText"/>
              <w:tabs>
                <w:tab w:val="left" w:pos="3306"/>
              </w:tabs>
              <w:jc w:val="right"/>
              <w:rPr>
                <w:rFonts w:cs="Calibri"/>
                <w:bCs/>
              </w:rPr>
            </w:pPr>
          </w:p>
        </w:tc>
        <w:tc>
          <w:tcPr>
            <w:tcW w:w="850" w:type="dxa"/>
            <w:gridSpan w:val="2"/>
          </w:tcPr>
          <w:p w14:paraId="2ADD7A8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96509DC" w14:textId="3266BFEB"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4381EA1"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7FBDAEF" w14:textId="77777777" w:rsidR="00F257E0" w:rsidRPr="007918F1" w:rsidRDefault="00F257E0" w:rsidP="00F257E0">
            <w:pPr>
              <w:pStyle w:val="TableText"/>
              <w:tabs>
                <w:tab w:val="left" w:pos="3306"/>
              </w:tabs>
              <w:jc w:val="right"/>
              <w:rPr>
                <w:rFonts w:cs="Calibri"/>
                <w:bCs/>
              </w:rPr>
            </w:pPr>
          </w:p>
        </w:tc>
      </w:tr>
      <w:tr w:rsidR="00F257E0" w:rsidRPr="0020314C" w14:paraId="12173B77" w14:textId="77777777" w:rsidTr="004D1EC6">
        <w:tc>
          <w:tcPr>
            <w:tcW w:w="1557" w:type="dxa"/>
            <w:tcBorders>
              <w:left w:val="single" w:sz="2" w:space="0" w:color="auto"/>
              <w:right w:val="single" w:sz="2" w:space="0" w:color="auto"/>
            </w:tcBorders>
          </w:tcPr>
          <w:p w14:paraId="3E13EAB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D1FAEA5" w14:textId="77777777" w:rsidR="00F257E0" w:rsidRPr="007918F1" w:rsidRDefault="00F257E0" w:rsidP="00F257E0">
            <w:pPr>
              <w:pStyle w:val="TableText"/>
              <w:tabs>
                <w:tab w:val="left" w:pos="3306"/>
              </w:tabs>
              <w:rPr>
                <w:rFonts w:cs="Calibri"/>
                <w:szCs w:val="16"/>
              </w:rPr>
            </w:pPr>
            <w:r w:rsidRPr="007918F1">
              <w:rPr>
                <w:rFonts w:cs="Calibri"/>
                <w:szCs w:val="16"/>
              </w:rPr>
              <w:t>Other Provisions</w:t>
            </w:r>
          </w:p>
        </w:tc>
        <w:tc>
          <w:tcPr>
            <w:tcW w:w="850" w:type="dxa"/>
            <w:gridSpan w:val="2"/>
            <w:shd w:val="clear" w:color="auto" w:fill="auto"/>
          </w:tcPr>
          <w:p w14:paraId="637BACB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1A9D8182" w14:textId="77777777" w:rsidR="00F257E0" w:rsidRPr="007918F1" w:rsidRDefault="00F257E0" w:rsidP="00F257E0">
            <w:pPr>
              <w:pStyle w:val="TableText"/>
              <w:tabs>
                <w:tab w:val="left" w:pos="3306"/>
              </w:tabs>
              <w:jc w:val="right"/>
              <w:rPr>
                <w:rFonts w:cs="Calibri"/>
                <w:bCs/>
              </w:rPr>
            </w:pPr>
          </w:p>
        </w:tc>
        <w:tc>
          <w:tcPr>
            <w:tcW w:w="850" w:type="dxa"/>
            <w:gridSpan w:val="2"/>
          </w:tcPr>
          <w:p w14:paraId="6DE5681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77E2554" w14:textId="0DB1826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D6ADDD6"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7CD17CE" w14:textId="77777777" w:rsidR="00F257E0" w:rsidRPr="007918F1" w:rsidRDefault="00F257E0" w:rsidP="00F257E0">
            <w:pPr>
              <w:pStyle w:val="TableText"/>
              <w:tabs>
                <w:tab w:val="left" w:pos="3306"/>
              </w:tabs>
              <w:jc w:val="right"/>
              <w:rPr>
                <w:rFonts w:cs="Calibri"/>
                <w:bCs/>
              </w:rPr>
            </w:pPr>
          </w:p>
        </w:tc>
      </w:tr>
      <w:tr w:rsidR="00F257E0" w:rsidRPr="0020314C" w14:paraId="1E63869D" w14:textId="77777777" w:rsidTr="004D1EC6">
        <w:tc>
          <w:tcPr>
            <w:tcW w:w="1557" w:type="dxa"/>
            <w:tcBorders>
              <w:left w:val="single" w:sz="2" w:space="0" w:color="auto"/>
              <w:right w:val="single" w:sz="2" w:space="0" w:color="auto"/>
            </w:tcBorders>
          </w:tcPr>
          <w:p w14:paraId="2051010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EA01C63" w14:textId="77777777" w:rsidR="00F257E0" w:rsidRPr="007918F1" w:rsidRDefault="00F257E0" w:rsidP="00F257E0">
            <w:pPr>
              <w:pStyle w:val="TableText"/>
              <w:tabs>
                <w:tab w:val="left" w:pos="3306"/>
              </w:tabs>
              <w:rPr>
                <w:rFonts w:cs="Calibri"/>
                <w:szCs w:val="16"/>
              </w:rPr>
            </w:pPr>
            <w:r w:rsidRPr="007918F1">
              <w:rPr>
                <w:rFonts w:cs="Calibri"/>
                <w:szCs w:val="16"/>
              </w:rPr>
              <w:t>Other Liabilities</w:t>
            </w:r>
          </w:p>
        </w:tc>
        <w:tc>
          <w:tcPr>
            <w:tcW w:w="850" w:type="dxa"/>
            <w:gridSpan w:val="2"/>
            <w:tcBorders>
              <w:bottom w:val="single" w:sz="2" w:space="0" w:color="auto"/>
            </w:tcBorders>
            <w:shd w:val="clear" w:color="auto" w:fill="auto"/>
          </w:tcPr>
          <w:p w14:paraId="3F6DF56E"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786D5346"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176893C8"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520AE3A" w14:textId="14D701B1"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1C89C0C"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28173BF2" w14:textId="77777777" w:rsidR="00F257E0" w:rsidRPr="007918F1" w:rsidRDefault="00F257E0" w:rsidP="00F257E0">
            <w:pPr>
              <w:pStyle w:val="TableText"/>
              <w:tabs>
                <w:tab w:val="left" w:pos="3306"/>
              </w:tabs>
              <w:jc w:val="right"/>
              <w:rPr>
                <w:rFonts w:cs="Calibri"/>
                <w:bCs/>
              </w:rPr>
            </w:pPr>
          </w:p>
        </w:tc>
      </w:tr>
      <w:tr w:rsidR="00F257E0" w:rsidRPr="0020314C" w14:paraId="406D332E" w14:textId="77777777" w:rsidTr="004D1EC6">
        <w:tc>
          <w:tcPr>
            <w:tcW w:w="1557" w:type="dxa"/>
            <w:tcBorders>
              <w:left w:val="single" w:sz="2" w:space="0" w:color="auto"/>
              <w:right w:val="single" w:sz="2" w:space="0" w:color="auto"/>
            </w:tcBorders>
          </w:tcPr>
          <w:p w14:paraId="6B2FE46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759A260" w14:textId="77777777" w:rsidR="00F257E0" w:rsidRPr="007918F1" w:rsidRDefault="00F257E0" w:rsidP="00F257E0">
            <w:pPr>
              <w:pStyle w:val="TableText"/>
              <w:tabs>
                <w:tab w:val="left" w:pos="3306"/>
              </w:tabs>
              <w:rPr>
                <w:rFonts w:cs="Calibri"/>
                <w:b/>
                <w:szCs w:val="16"/>
              </w:rPr>
            </w:pPr>
            <w:r w:rsidRPr="007918F1">
              <w:rPr>
                <w:rFonts w:cs="Calibri"/>
                <w:b/>
                <w:szCs w:val="16"/>
              </w:rPr>
              <w:t>Total Current Liabilities</w:t>
            </w:r>
          </w:p>
        </w:tc>
        <w:tc>
          <w:tcPr>
            <w:tcW w:w="850" w:type="dxa"/>
            <w:gridSpan w:val="2"/>
            <w:tcBorders>
              <w:top w:val="single" w:sz="2" w:space="0" w:color="auto"/>
            </w:tcBorders>
            <w:shd w:val="clear" w:color="auto" w:fill="auto"/>
          </w:tcPr>
          <w:p w14:paraId="34B712D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6E59C2E0"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14BC4E7F"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0495FB3F" w14:textId="21FA2724"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08D45AB6"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55A89BC8" w14:textId="77777777" w:rsidR="00F257E0" w:rsidRPr="007918F1" w:rsidRDefault="00F257E0" w:rsidP="00F257E0">
            <w:pPr>
              <w:pStyle w:val="TableText"/>
              <w:tabs>
                <w:tab w:val="left" w:pos="3306"/>
              </w:tabs>
              <w:jc w:val="right"/>
              <w:rPr>
                <w:rFonts w:cs="Calibri"/>
                <w:b/>
                <w:bCs/>
              </w:rPr>
            </w:pPr>
          </w:p>
        </w:tc>
      </w:tr>
      <w:tr w:rsidR="00F257E0" w:rsidRPr="0020314C" w14:paraId="060725CA" w14:textId="77777777" w:rsidTr="004D1EC6">
        <w:trPr>
          <w:trHeight w:hRule="exact" w:val="170"/>
        </w:trPr>
        <w:tc>
          <w:tcPr>
            <w:tcW w:w="1557" w:type="dxa"/>
            <w:tcBorders>
              <w:left w:val="single" w:sz="2" w:space="0" w:color="auto"/>
              <w:right w:val="single" w:sz="2" w:space="0" w:color="auto"/>
            </w:tcBorders>
          </w:tcPr>
          <w:p w14:paraId="3851384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EE93ACA" w14:textId="77777777" w:rsidR="00F257E0" w:rsidRPr="007918F1" w:rsidRDefault="00F257E0" w:rsidP="00F257E0">
            <w:pPr>
              <w:pStyle w:val="TableText"/>
              <w:tabs>
                <w:tab w:val="left" w:pos="3306"/>
              </w:tabs>
              <w:rPr>
                <w:rFonts w:cs="Calibri"/>
                <w:szCs w:val="16"/>
              </w:rPr>
            </w:pPr>
          </w:p>
        </w:tc>
        <w:tc>
          <w:tcPr>
            <w:tcW w:w="850" w:type="dxa"/>
            <w:gridSpan w:val="2"/>
            <w:shd w:val="clear" w:color="auto" w:fill="auto"/>
          </w:tcPr>
          <w:p w14:paraId="74810AE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158D4B78" w14:textId="77777777" w:rsidR="00F257E0" w:rsidRPr="007918F1" w:rsidRDefault="00F257E0" w:rsidP="00F257E0">
            <w:pPr>
              <w:pStyle w:val="TableText"/>
              <w:tabs>
                <w:tab w:val="left" w:pos="3306"/>
              </w:tabs>
              <w:jc w:val="right"/>
              <w:rPr>
                <w:rFonts w:cs="Calibri"/>
                <w:b/>
                <w:bCs/>
              </w:rPr>
            </w:pPr>
          </w:p>
        </w:tc>
        <w:tc>
          <w:tcPr>
            <w:tcW w:w="850" w:type="dxa"/>
            <w:gridSpan w:val="2"/>
          </w:tcPr>
          <w:p w14:paraId="2C9FD168"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6894E992" w14:textId="171C1D61"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33D181F9"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0773F192" w14:textId="77777777" w:rsidR="00F257E0" w:rsidRPr="007918F1" w:rsidRDefault="00F257E0" w:rsidP="00F257E0">
            <w:pPr>
              <w:pStyle w:val="TableText"/>
              <w:tabs>
                <w:tab w:val="left" w:pos="3306"/>
              </w:tabs>
              <w:jc w:val="right"/>
              <w:rPr>
                <w:rFonts w:cs="Calibri"/>
                <w:b/>
                <w:bCs/>
              </w:rPr>
            </w:pPr>
          </w:p>
        </w:tc>
      </w:tr>
      <w:tr w:rsidR="00F257E0" w:rsidRPr="0020314C" w14:paraId="53023A6F" w14:textId="77777777" w:rsidTr="004D1EC6">
        <w:tc>
          <w:tcPr>
            <w:tcW w:w="1557" w:type="dxa"/>
            <w:tcBorders>
              <w:left w:val="single" w:sz="2" w:space="0" w:color="auto"/>
              <w:right w:val="single" w:sz="2" w:space="0" w:color="auto"/>
            </w:tcBorders>
          </w:tcPr>
          <w:p w14:paraId="5B416F4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855E547" w14:textId="77777777" w:rsidR="00F257E0" w:rsidRPr="007918F1" w:rsidRDefault="00F257E0" w:rsidP="00F257E0">
            <w:pPr>
              <w:pStyle w:val="TableText"/>
              <w:tabs>
                <w:tab w:val="left" w:pos="3306"/>
              </w:tabs>
              <w:rPr>
                <w:rFonts w:cs="Calibri"/>
                <w:b/>
                <w:szCs w:val="16"/>
              </w:rPr>
            </w:pPr>
            <w:r w:rsidRPr="007918F1">
              <w:rPr>
                <w:rFonts w:cs="Calibri"/>
                <w:b/>
                <w:szCs w:val="16"/>
              </w:rPr>
              <w:t>Non-Current Liabilities</w:t>
            </w:r>
          </w:p>
        </w:tc>
        <w:tc>
          <w:tcPr>
            <w:tcW w:w="850" w:type="dxa"/>
            <w:gridSpan w:val="2"/>
            <w:shd w:val="clear" w:color="auto" w:fill="auto"/>
          </w:tcPr>
          <w:p w14:paraId="1249DEBD"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36F2BB92" w14:textId="77777777" w:rsidR="00F257E0" w:rsidRPr="007918F1" w:rsidRDefault="00F257E0" w:rsidP="00F257E0">
            <w:pPr>
              <w:pStyle w:val="TableText"/>
              <w:tabs>
                <w:tab w:val="left" w:pos="3306"/>
              </w:tabs>
              <w:jc w:val="right"/>
              <w:rPr>
                <w:rFonts w:cs="Calibri"/>
                <w:b/>
                <w:bCs/>
              </w:rPr>
            </w:pPr>
          </w:p>
        </w:tc>
        <w:tc>
          <w:tcPr>
            <w:tcW w:w="850" w:type="dxa"/>
            <w:gridSpan w:val="2"/>
          </w:tcPr>
          <w:p w14:paraId="1DB06B81"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1912B1C0" w14:textId="0A313AFB"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7D39C0D4"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2BA77A0E" w14:textId="77777777" w:rsidR="00F257E0" w:rsidRPr="007918F1" w:rsidRDefault="00F257E0" w:rsidP="00F257E0">
            <w:pPr>
              <w:pStyle w:val="TableText"/>
              <w:tabs>
                <w:tab w:val="left" w:pos="3306"/>
              </w:tabs>
              <w:jc w:val="right"/>
              <w:rPr>
                <w:rFonts w:cs="Calibri"/>
                <w:b/>
                <w:bCs/>
              </w:rPr>
            </w:pPr>
          </w:p>
        </w:tc>
      </w:tr>
      <w:tr w:rsidR="00F257E0" w:rsidRPr="0020314C" w14:paraId="3FC43DB6" w14:textId="77777777" w:rsidTr="004D1EC6">
        <w:tc>
          <w:tcPr>
            <w:tcW w:w="1557" w:type="dxa"/>
            <w:tcBorders>
              <w:left w:val="single" w:sz="2" w:space="0" w:color="auto"/>
              <w:right w:val="single" w:sz="2" w:space="0" w:color="auto"/>
            </w:tcBorders>
          </w:tcPr>
          <w:p w14:paraId="17889BE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ED0BB43" w14:textId="564A0E10" w:rsidR="00F257E0" w:rsidRPr="00B73007" w:rsidRDefault="00F257E0" w:rsidP="00F257E0">
            <w:pPr>
              <w:pStyle w:val="TableText"/>
              <w:tabs>
                <w:tab w:val="left" w:pos="3306"/>
              </w:tabs>
              <w:rPr>
                <w:rFonts w:cs="Calibri"/>
                <w:szCs w:val="16"/>
              </w:rPr>
            </w:pPr>
            <w:r w:rsidRPr="00B73007">
              <w:rPr>
                <w:rFonts w:cs="Calibri"/>
                <w:szCs w:val="16"/>
              </w:rPr>
              <w:t>Payables</w:t>
            </w:r>
          </w:p>
        </w:tc>
        <w:tc>
          <w:tcPr>
            <w:tcW w:w="850" w:type="dxa"/>
            <w:gridSpan w:val="2"/>
            <w:shd w:val="clear" w:color="auto" w:fill="auto"/>
          </w:tcPr>
          <w:p w14:paraId="58ACDFD7"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B142786" w14:textId="77777777" w:rsidR="00F257E0" w:rsidRPr="007918F1" w:rsidRDefault="00F257E0" w:rsidP="00F257E0">
            <w:pPr>
              <w:pStyle w:val="TableText"/>
              <w:tabs>
                <w:tab w:val="left" w:pos="3306"/>
              </w:tabs>
              <w:jc w:val="right"/>
              <w:rPr>
                <w:rFonts w:cs="Calibri"/>
                <w:bCs/>
              </w:rPr>
            </w:pPr>
          </w:p>
        </w:tc>
        <w:tc>
          <w:tcPr>
            <w:tcW w:w="850" w:type="dxa"/>
            <w:gridSpan w:val="2"/>
          </w:tcPr>
          <w:p w14:paraId="1BB497AB"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F3D3983" w14:textId="1418EFC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AD43DEA"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B58265B" w14:textId="77777777" w:rsidR="00F257E0" w:rsidRPr="007918F1" w:rsidRDefault="00F257E0" w:rsidP="00F257E0">
            <w:pPr>
              <w:pStyle w:val="TableText"/>
              <w:tabs>
                <w:tab w:val="left" w:pos="3306"/>
              </w:tabs>
              <w:jc w:val="right"/>
              <w:rPr>
                <w:rFonts w:cs="Calibri"/>
                <w:bCs/>
              </w:rPr>
            </w:pPr>
          </w:p>
        </w:tc>
      </w:tr>
      <w:tr w:rsidR="00F257E0" w:rsidRPr="0020314C" w14:paraId="2854C696" w14:textId="77777777" w:rsidTr="004D1EC6">
        <w:tc>
          <w:tcPr>
            <w:tcW w:w="1557" w:type="dxa"/>
            <w:tcBorders>
              <w:left w:val="single" w:sz="2" w:space="0" w:color="auto"/>
              <w:right w:val="single" w:sz="2" w:space="0" w:color="auto"/>
            </w:tcBorders>
          </w:tcPr>
          <w:p w14:paraId="668041F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705CB4" w14:textId="77777777" w:rsidR="00F257E0" w:rsidRPr="00676AA9" w:rsidRDefault="00F257E0" w:rsidP="00F257E0">
            <w:pPr>
              <w:pStyle w:val="TableText"/>
              <w:tabs>
                <w:tab w:val="left" w:pos="3306"/>
              </w:tabs>
              <w:rPr>
                <w:rFonts w:cs="Calibri"/>
                <w:strike/>
                <w:szCs w:val="16"/>
              </w:rPr>
            </w:pPr>
            <w:r w:rsidRPr="00676AA9">
              <w:rPr>
                <w:rFonts w:cs="Calibri"/>
                <w:strike/>
                <w:color w:val="FF0000"/>
                <w:szCs w:val="16"/>
              </w:rPr>
              <w:t>Contract Liabilities</w:t>
            </w:r>
          </w:p>
        </w:tc>
        <w:tc>
          <w:tcPr>
            <w:tcW w:w="850" w:type="dxa"/>
            <w:gridSpan w:val="2"/>
            <w:shd w:val="clear" w:color="auto" w:fill="auto"/>
          </w:tcPr>
          <w:p w14:paraId="2EA13E6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AE3ED86" w14:textId="77777777" w:rsidR="00F257E0" w:rsidRPr="007918F1" w:rsidRDefault="00F257E0" w:rsidP="00F257E0">
            <w:pPr>
              <w:pStyle w:val="TableText"/>
              <w:tabs>
                <w:tab w:val="left" w:pos="3306"/>
              </w:tabs>
              <w:jc w:val="right"/>
              <w:rPr>
                <w:rFonts w:cs="Calibri"/>
                <w:bCs/>
              </w:rPr>
            </w:pPr>
          </w:p>
        </w:tc>
        <w:tc>
          <w:tcPr>
            <w:tcW w:w="850" w:type="dxa"/>
            <w:gridSpan w:val="2"/>
          </w:tcPr>
          <w:p w14:paraId="64CA1F3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51C3467" w14:textId="7A2B28D3"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6131DA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5666298C" w14:textId="77777777" w:rsidR="00F257E0" w:rsidRPr="007918F1" w:rsidRDefault="00F257E0" w:rsidP="00F257E0">
            <w:pPr>
              <w:pStyle w:val="TableText"/>
              <w:tabs>
                <w:tab w:val="left" w:pos="3306"/>
              </w:tabs>
              <w:jc w:val="right"/>
              <w:rPr>
                <w:rFonts w:cs="Calibri"/>
                <w:bCs/>
              </w:rPr>
            </w:pPr>
          </w:p>
        </w:tc>
      </w:tr>
      <w:tr w:rsidR="00F257E0" w:rsidRPr="0020314C" w14:paraId="543AB551" w14:textId="77777777" w:rsidTr="004D1EC6">
        <w:tc>
          <w:tcPr>
            <w:tcW w:w="1557" w:type="dxa"/>
            <w:tcBorders>
              <w:left w:val="single" w:sz="2" w:space="0" w:color="auto"/>
              <w:right w:val="single" w:sz="2" w:space="0" w:color="auto"/>
            </w:tcBorders>
          </w:tcPr>
          <w:p w14:paraId="575343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4FA69D" w14:textId="4A6F9D30" w:rsidR="00F257E0" w:rsidRPr="007918F1" w:rsidRDefault="007001C1" w:rsidP="00F257E0">
            <w:pPr>
              <w:pStyle w:val="TableText"/>
              <w:tabs>
                <w:tab w:val="left" w:pos="3306"/>
              </w:tabs>
              <w:rPr>
                <w:rFonts w:cs="Calibri"/>
                <w:szCs w:val="16"/>
              </w:rPr>
            </w:pPr>
            <w:r w:rsidRPr="007918F1">
              <w:rPr>
                <w:rFonts w:cs="Calibri"/>
                <w:szCs w:val="16"/>
              </w:rPr>
              <w:t>Borrowings</w:t>
            </w:r>
          </w:p>
        </w:tc>
        <w:tc>
          <w:tcPr>
            <w:tcW w:w="850" w:type="dxa"/>
            <w:gridSpan w:val="2"/>
            <w:shd w:val="clear" w:color="auto" w:fill="auto"/>
          </w:tcPr>
          <w:p w14:paraId="7AB796F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027A24D" w14:textId="77777777" w:rsidR="00F257E0" w:rsidRPr="007918F1" w:rsidRDefault="00F257E0" w:rsidP="00F257E0">
            <w:pPr>
              <w:pStyle w:val="TableText"/>
              <w:tabs>
                <w:tab w:val="left" w:pos="3306"/>
              </w:tabs>
              <w:jc w:val="right"/>
              <w:rPr>
                <w:rFonts w:cs="Calibri"/>
                <w:bCs/>
              </w:rPr>
            </w:pPr>
          </w:p>
        </w:tc>
        <w:tc>
          <w:tcPr>
            <w:tcW w:w="850" w:type="dxa"/>
            <w:gridSpan w:val="2"/>
          </w:tcPr>
          <w:p w14:paraId="0B966CD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3B8A47B4" w14:textId="391C3E7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2ED953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F831EA0" w14:textId="77777777" w:rsidR="00F257E0" w:rsidRPr="007918F1" w:rsidRDefault="00F257E0" w:rsidP="00F257E0">
            <w:pPr>
              <w:pStyle w:val="TableText"/>
              <w:tabs>
                <w:tab w:val="left" w:pos="3306"/>
              </w:tabs>
              <w:jc w:val="right"/>
              <w:rPr>
                <w:rFonts w:cs="Calibri"/>
                <w:bCs/>
              </w:rPr>
            </w:pPr>
          </w:p>
        </w:tc>
      </w:tr>
      <w:tr w:rsidR="00F257E0" w:rsidRPr="0020314C" w14:paraId="65A7BC34" w14:textId="77777777" w:rsidTr="004D1EC6">
        <w:tc>
          <w:tcPr>
            <w:tcW w:w="1557" w:type="dxa"/>
            <w:tcBorders>
              <w:left w:val="single" w:sz="2" w:space="0" w:color="auto"/>
              <w:right w:val="single" w:sz="2" w:space="0" w:color="auto"/>
            </w:tcBorders>
          </w:tcPr>
          <w:p w14:paraId="6B4AD26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774596" w14:textId="34BB85C3" w:rsidR="00F257E0" w:rsidRPr="007918F1" w:rsidRDefault="00F257E0" w:rsidP="00F257E0">
            <w:pPr>
              <w:pStyle w:val="TableText"/>
              <w:tabs>
                <w:tab w:val="left" w:pos="3306"/>
              </w:tabs>
              <w:rPr>
                <w:rFonts w:cs="Calibri"/>
                <w:szCs w:val="16"/>
              </w:rPr>
            </w:pPr>
            <w:r w:rsidRPr="007918F1">
              <w:rPr>
                <w:rFonts w:cs="Calibri"/>
                <w:szCs w:val="16"/>
              </w:rPr>
              <w:t>Lease Liabilities</w:t>
            </w:r>
          </w:p>
        </w:tc>
        <w:tc>
          <w:tcPr>
            <w:tcW w:w="850" w:type="dxa"/>
            <w:gridSpan w:val="2"/>
            <w:shd w:val="clear" w:color="auto" w:fill="auto"/>
          </w:tcPr>
          <w:p w14:paraId="6AB568ED"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C873958" w14:textId="77777777" w:rsidR="00F257E0" w:rsidRPr="007918F1" w:rsidRDefault="00F257E0" w:rsidP="00F257E0">
            <w:pPr>
              <w:pStyle w:val="TableText"/>
              <w:tabs>
                <w:tab w:val="left" w:pos="3306"/>
              </w:tabs>
              <w:jc w:val="right"/>
              <w:rPr>
                <w:rFonts w:cs="Calibri"/>
                <w:bCs/>
              </w:rPr>
            </w:pPr>
          </w:p>
        </w:tc>
        <w:tc>
          <w:tcPr>
            <w:tcW w:w="850" w:type="dxa"/>
            <w:gridSpan w:val="2"/>
          </w:tcPr>
          <w:p w14:paraId="6F16A50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7AAFB85C" w14:textId="24DA8B17"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240A7F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5799DCE" w14:textId="77777777" w:rsidR="00F257E0" w:rsidRPr="007918F1" w:rsidRDefault="00F257E0" w:rsidP="00F257E0">
            <w:pPr>
              <w:pStyle w:val="TableText"/>
              <w:tabs>
                <w:tab w:val="left" w:pos="3306"/>
              </w:tabs>
              <w:jc w:val="right"/>
              <w:rPr>
                <w:rFonts w:cs="Calibri"/>
                <w:bCs/>
              </w:rPr>
            </w:pPr>
          </w:p>
        </w:tc>
      </w:tr>
      <w:tr w:rsidR="00F257E0" w:rsidRPr="0020314C" w14:paraId="20CAAE23" w14:textId="77777777" w:rsidTr="004D1EC6">
        <w:tc>
          <w:tcPr>
            <w:tcW w:w="1557" w:type="dxa"/>
            <w:tcBorders>
              <w:left w:val="single" w:sz="2" w:space="0" w:color="auto"/>
              <w:right w:val="single" w:sz="2" w:space="0" w:color="auto"/>
            </w:tcBorders>
          </w:tcPr>
          <w:p w14:paraId="6EEC04F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F8724AF" w14:textId="77777777" w:rsidR="00F257E0" w:rsidRPr="007918F1" w:rsidRDefault="00F257E0" w:rsidP="00F257E0">
            <w:pPr>
              <w:pStyle w:val="TableText"/>
              <w:tabs>
                <w:tab w:val="left" w:pos="3306"/>
              </w:tabs>
              <w:rPr>
                <w:rFonts w:cs="Calibri"/>
                <w:szCs w:val="16"/>
              </w:rPr>
            </w:pPr>
            <w:r w:rsidRPr="007918F1">
              <w:rPr>
                <w:rFonts w:cs="Calibri"/>
                <w:szCs w:val="16"/>
              </w:rPr>
              <w:t>Employee Benefits</w:t>
            </w:r>
          </w:p>
        </w:tc>
        <w:tc>
          <w:tcPr>
            <w:tcW w:w="850" w:type="dxa"/>
            <w:gridSpan w:val="2"/>
            <w:shd w:val="clear" w:color="auto" w:fill="auto"/>
          </w:tcPr>
          <w:p w14:paraId="2E974D2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D789E12" w14:textId="77777777" w:rsidR="00F257E0" w:rsidRPr="007918F1" w:rsidRDefault="00F257E0" w:rsidP="00F257E0">
            <w:pPr>
              <w:pStyle w:val="TableText"/>
              <w:tabs>
                <w:tab w:val="left" w:pos="3306"/>
              </w:tabs>
              <w:jc w:val="right"/>
              <w:rPr>
                <w:rFonts w:cs="Calibri"/>
                <w:bCs/>
              </w:rPr>
            </w:pPr>
          </w:p>
        </w:tc>
        <w:tc>
          <w:tcPr>
            <w:tcW w:w="850" w:type="dxa"/>
            <w:gridSpan w:val="2"/>
          </w:tcPr>
          <w:p w14:paraId="350B76D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75519DE" w14:textId="52C6F0A9"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6CE20E8"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CD13428" w14:textId="77777777" w:rsidR="00F257E0" w:rsidRPr="007918F1" w:rsidRDefault="00F257E0" w:rsidP="00F257E0">
            <w:pPr>
              <w:pStyle w:val="TableText"/>
              <w:tabs>
                <w:tab w:val="left" w:pos="3306"/>
              </w:tabs>
              <w:jc w:val="right"/>
              <w:rPr>
                <w:rFonts w:cs="Calibri"/>
                <w:bCs/>
              </w:rPr>
            </w:pPr>
          </w:p>
        </w:tc>
      </w:tr>
      <w:tr w:rsidR="00F257E0" w:rsidRPr="0020314C" w14:paraId="058FD696" w14:textId="77777777" w:rsidTr="004D1EC6">
        <w:tc>
          <w:tcPr>
            <w:tcW w:w="1557" w:type="dxa"/>
            <w:tcBorders>
              <w:left w:val="single" w:sz="2" w:space="0" w:color="auto"/>
              <w:right w:val="single" w:sz="2" w:space="0" w:color="auto"/>
            </w:tcBorders>
          </w:tcPr>
          <w:p w14:paraId="1A8732C2"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FB2FF3D" w14:textId="77777777" w:rsidR="00F257E0" w:rsidRPr="007918F1" w:rsidRDefault="00F257E0" w:rsidP="00F257E0">
            <w:pPr>
              <w:pStyle w:val="TableText"/>
              <w:tabs>
                <w:tab w:val="left" w:pos="3306"/>
              </w:tabs>
              <w:rPr>
                <w:rFonts w:cs="Calibri"/>
                <w:szCs w:val="16"/>
              </w:rPr>
            </w:pPr>
            <w:r w:rsidRPr="007918F1">
              <w:rPr>
                <w:rFonts w:cs="Calibri"/>
                <w:szCs w:val="16"/>
              </w:rPr>
              <w:t>Other Provisions</w:t>
            </w:r>
          </w:p>
        </w:tc>
        <w:tc>
          <w:tcPr>
            <w:tcW w:w="850" w:type="dxa"/>
            <w:gridSpan w:val="2"/>
            <w:shd w:val="clear" w:color="auto" w:fill="auto"/>
          </w:tcPr>
          <w:p w14:paraId="20F69AE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FA27926" w14:textId="77777777" w:rsidR="00F257E0" w:rsidRPr="007918F1" w:rsidRDefault="00F257E0" w:rsidP="00F257E0">
            <w:pPr>
              <w:pStyle w:val="TableText"/>
              <w:tabs>
                <w:tab w:val="left" w:pos="3306"/>
              </w:tabs>
              <w:jc w:val="right"/>
              <w:rPr>
                <w:rFonts w:cs="Calibri"/>
                <w:bCs/>
              </w:rPr>
            </w:pPr>
          </w:p>
        </w:tc>
        <w:tc>
          <w:tcPr>
            <w:tcW w:w="850" w:type="dxa"/>
            <w:gridSpan w:val="2"/>
          </w:tcPr>
          <w:p w14:paraId="6D6B839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70E74BC" w14:textId="13DBAC3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0A1002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B909ACF" w14:textId="77777777" w:rsidR="00F257E0" w:rsidRPr="007918F1" w:rsidRDefault="00F257E0" w:rsidP="00F257E0">
            <w:pPr>
              <w:pStyle w:val="TableText"/>
              <w:tabs>
                <w:tab w:val="left" w:pos="3306"/>
              </w:tabs>
              <w:jc w:val="right"/>
              <w:rPr>
                <w:rFonts w:cs="Calibri"/>
                <w:bCs/>
              </w:rPr>
            </w:pPr>
          </w:p>
        </w:tc>
      </w:tr>
      <w:tr w:rsidR="00F257E0" w:rsidRPr="0020314C" w14:paraId="7B985BA8" w14:textId="77777777" w:rsidTr="004D1EC6">
        <w:tc>
          <w:tcPr>
            <w:tcW w:w="1557" w:type="dxa"/>
            <w:tcBorders>
              <w:left w:val="single" w:sz="2" w:space="0" w:color="auto"/>
              <w:right w:val="single" w:sz="2" w:space="0" w:color="auto"/>
            </w:tcBorders>
          </w:tcPr>
          <w:p w14:paraId="7A27F4B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9E4ABA2" w14:textId="77777777" w:rsidR="00F257E0" w:rsidRPr="007918F1" w:rsidRDefault="00F257E0" w:rsidP="00F257E0">
            <w:pPr>
              <w:pStyle w:val="TableText"/>
              <w:tabs>
                <w:tab w:val="left" w:pos="3306"/>
              </w:tabs>
              <w:rPr>
                <w:rFonts w:cs="Calibri"/>
                <w:szCs w:val="16"/>
              </w:rPr>
            </w:pPr>
            <w:r w:rsidRPr="007918F1">
              <w:rPr>
                <w:rFonts w:cs="Calibri"/>
                <w:szCs w:val="16"/>
              </w:rPr>
              <w:t>Other Liabilities</w:t>
            </w:r>
          </w:p>
        </w:tc>
        <w:tc>
          <w:tcPr>
            <w:tcW w:w="850" w:type="dxa"/>
            <w:gridSpan w:val="2"/>
            <w:tcBorders>
              <w:bottom w:val="single" w:sz="2" w:space="0" w:color="auto"/>
            </w:tcBorders>
            <w:shd w:val="clear" w:color="auto" w:fill="auto"/>
          </w:tcPr>
          <w:p w14:paraId="04994FE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89A1F0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417E4907"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BA5943B" w14:textId="50A4131E"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A346DDB"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08673CE9" w14:textId="77777777" w:rsidR="00F257E0" w:rsidRPr="007918F1" w:rsidRDefault="00F257E0" w:rsidP="00F257E0">
            <w:pPr>
              <w:pStyle w:val="TableText"/>
              <w:tabs>
                <w:tab w:val="left" w:pos="3306"/>
              </w:tabs>
              <w:jc w:val="right"/>
              <w:rPr>
                <w:rFonts w:cs="Calibri"/>
                <w:bCs/>
              </w:rPr>
            </w:pPr>
          </w:p>
        </w:tc>
      </w:tr>
      <w:tr w:rsidR="00F257E0" w:rsidRPr="0020314C" w14:paraId="05422B19" w14:textId="77777777" w:rsidTr="004D1EC6">
        <w:tc>
          <w:tcPr>
            <w:tcW w:w="1557" w:type="dxa"/>
            <w:tcBorders>
              <w:left w:val="single" w:sz="2" w:space="0" w:color="auto"/>
              <w:right w:val="single" w:sz="2" w:space="0" w:color="auto"/>
            </w:tcBorders>
          </w:tcPr>
          <w:p w14:paraId="1F0131E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BE3ED65" w14:textId="77777777" w:rsidR="00F257E0" w:rsidRPr="007918F1" w:rsidRDefault="00F257E0" w:rsidP="00F257E0">
            <w:pPr>
              <w:pStyle w:val="TableText"/>
              <w:tabs>
                <w:tab w:val="left" w:pos="3306"/>
              </w:tabs>
              <w:rPr>
                <w:rFonts w:cs="Calibri"/>
                <w:b/>
                <w:szCs w:val="16"/>
              </w:rPr>
            </w:pPr>
            <w:r w:rsidRPr="007918F1">
              <w:rPr>
                <w:rFonts w:cs="Calibri"/>
                <w:b/>
                <w:szCs w:val="16"/>
              </w:rPr>
              <w:t>Total Non-Current Liabilities</w:t>
            </w:r>
          </w:p>
        </w:tc>
        <w:tc>
          <w:tcPr>
            <w:tcW w:w="850" w:type="dxa"/>
            <w:gridSpan w:val="2"/>
            <w:tcBorders>
              <w:top w:val="single" w:sz="2" w:space="0" w:color="auto"/>
            </w:tcBorders>
            <w:shd w:val="clear" w:color="auto" w:fill="auto"/>
          </w:tcPr>
          <w:p w14:paraId="4216EEF1"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04D976AF"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20216BB6"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5AAD6F7" w14:textId="24C4774C"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26058ED5"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tcPr>
          <w:p w14:paraId="3E4557B2" w14:textId="77777777" w:rsidR="00F257E0" w:rsidRPr="007918F1" w:rsidRDefault="00F257E0" w:rsidP="00F257E0">
            <w:pPr>
              <w:pStyle w:val="TableText"/>
              <w:tabs>
                <w:tab w:val="left" w:pos="3306"/>
              </w:tabs>
              <w:jc w:val="right"/>
              <w:rPr>
                <w:rFonts w:cs="Calibri"/>
                <w:b/>
                <w:bCs/>
              </w:rPr>
            </w:pPr>
          </w:p>
        </w:tc>
      </w:tr>
      <w:tr w:rsidR="00F257E0" w:rsidRPr="0020314C" w14:paraId="7C3294AC" w14:textId="77777777" w:rsidTr="004D1EC6">
        <w:trPr>
          <w:trHeight w:hRule="exact" w:val="170"/>
        </w:trPr>
        <w:tc>
          <w:tcPr>
            <w:tcW w:w="1557" w:type="dxa"/>
            <w:tcBorders>
              <w:left w:val="single" w:sz="2" w:space="0" w:color="auto"/>
              <w:right w:val="single" w:sz="2" w:space="0" w:color="auto"/>
            </w:tcBorders>
          </w:tcPr>
          <w:p w14:paraId="567C12F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0F10A29" w14:textId="77777777" w:rsidR="00F257E0" w:rsidRPr="007918F1" w:rsidRDefault="00F257E0" w:rsidP="00F257E0">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6A1FC512"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D83F3E"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2813B4C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05FF2975" w14:textId="3D2DFB6F"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8E6319E"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220A3226" w14:textId="77777777" w:rsidR="00F257E0" w:rsidRPr="007918F1" w:rsidRDefault="00F257E0" w:rsidP="00F257E0">
            <w:pPr>
              <w:pStyle w:val="TableText"/>
              <w:tabs>
                <w:tab w:val="left" w:pos="3306"/>
              </w:tabs>
              <w:jc w:val="right"/>
              <w:rPr>
                <w:rFonts w:cs="Calibri"/>
                <w:bCs/>
              </w:rPr>
            </w:pPr>
          </w:p>
        </w:tc>
      </w:tr>
      <w:tr w:rsidR="00F257E0" w:rsidRPr="0020314C" w14:paraId="184F7133" w14:textId="77777777" w:rsidTr="004D1EC6">
        <w:tc>
          <w:tcPr>
            <w:tcW w:w="1557" w:type="dxa"/>
            <w:tcBorders>
              <w:left w:val="single" w:sz="2" w:space="0" w:color="auto"/>
              <w:right w:val="single" w:sz="2" w:space="0" w:color="auto"/>
            </w:tcBorders>
          </w:tcPr>
          <w:p w14:paraId="3B7E858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FD4FCAE" w14:textId="77777777" w:rsidR="00F257E0" w:rsidRPr="007918F1" w:rsidRDefault="00F257E0" w:rsidP="00F257E0">
            <w:pPr>
              <w:pStyle w:val="TableText"/>
              <w:tabs>
                <w:tab w:val="left" w:pos="3306"/>
              </w:tabs>
              <w:rPr>
                <w:rFonts w:cs="Calibri"/>
                <w:b/>
                <w:szCs w:val="16"/>
              </w:rPr>
            </w:pPr>
            <w:r w:rsidRPr="007918F1">
              <w:rPr>
                <w:rFonts w:cs="Calibri"/>
                <w:b/>
                <w:szCs w:val="16"/>
              </w:rPr>
              <w:t>Total Liabilities</w:t>
            </w:r>
          </w:p>
        </w:tc>
        <w:tc>
          <w:tcPr>
            <w:tcW w:w="850" w:type="dxa"/>
            <w:gridSpan w:val="2"/>
            <w:tcBorders>
              <w:top w:val="single" w:sz="2" w:space="0" w:color="auto"/>
              <w:bottom w:val="single" w:sz="2" w:space="0" w:color="auto"/>
            </w:tcBorders>
            <w:shd w:val="clear" w:color="auto" w:fill="auto"/>
          </w:tcPr>
          <w:p w14:paraId="28EE9659"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640AA6FA"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7C2EE4DA"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07B4AC13" w14:textId="170A2B61"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393A13EB"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041AEEFF" w14:textId="77777777" w:rsidR="00F257E0" w:rsidRPr="007918F1" w:rsidRDefault="00F257E0" w:rsidP="00F257E0">
            <w:pPr>
              <w:pStyle w:val="TableText"/>
              <w:tabs>
                <w:tab w:val="left" w:pos="3306"/>
              </w:tabs>
              <w:jc w:val="right"/>
              <w:rPr>
                <w:rFonts w:cs="Calibri"/>
                <w:b/>
                <w:bCs/>
              </w:rPr>
            </w:pPr>
          </w:p>
        </w:tc>
      </w:tr>
      <w:tr w:rsidR="00F257E0" w:rsidRPr="0020314C" w14:paraId="50E05891" w14:textId="77777777" w:rsidTr="004D1EC6">
        <w:trPr>
          <w:trHeight w:hRule="exact" w:val="170"/>
        </w:trPr>
        <w:tc>
          <w:tcPr>
            <w:tcW w:w="1557" w:type="dxa"/>
            <w:tcBorders>
              <w:left w:val="single" w:sz="2" w:space="0" w:color="auto"/>
              <w:right w:val="single" w:sz="2" w:space="0" w:color="auto"/>
            </w:tcBorders>
          </w:tcPr>
          <w:p w14:paraId="3AB66CB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375BBB8" w14:textId="77777777" w:rsidR="00F257E0" w:rsidRPr="007918F1" w:rsidRDefault="00F257E0" w:rsidP="00F257E0">
            <w:pPr>
              <w:pStyle w:val="TableText"/>
              <w:tabs>
                <w:tab w:val="left" w:pos="3306"/>
              </w:tabs>
              <w:rPr>
                <w:rFonts w:cs="Calibri"/>
                <w:szCs w:val="16"/>
              </w:rPr>
            </w:pPr>
          </w:p>
        </w:tc>
        <w:tc>
          <w:tcPr>
            <w:tcW w:w="850" w:type="dxa"/>
            <w:gridSpan w:val="2"/>
            <w:tcBorders>
              <w:top w:val="single" w:sz="2" w:space="0" w:color="auto"/>
              <w:bottom w:val="single" w:sz="4" w:space="0" w:color="auto"/>
            </w:tcBorders>
            <w:shd w:val="clear" w:color="auto" w:fill="auto"/>
          </w:tcPr>
          <w:p w14:paraId="56AF3265" w14:textId="77777777" w:rsidR="00F257E0" w:rsidRPr="007918F1" w:rsidRDefault="00F257E0" w:rsidP="00F257E0">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1A2D4182" w14:textId="77777777" w:rsidR="00F257E0" w:rsidRPr="007918F1" w:rsidRDefault="00F257E0" w:rsidP="00F257E0">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7CECA137" w14:textId="77777777" w:rsidR="00F257E0" w:rsidRPr="007918F1" w:rsidRDefault="00F257E0" w:rsidP="00F257E0">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5536D285" w14:textId="2E0E7D60" w:rsidR="00F257E0" w:rsidRPr="007918F1" w:rsidRDefault="00F257E0" w:rsidP="00F257E0">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33371E4B" w14:textId="77777777" w:rsidR="00F257E0" w:rsidRPr="007918F1" w:rsidRDefault="00F257E0" w:rsidP="00F257E0">
            <w:pPr>
              <w:pStyle w:val="TableText"/>
              <w:tabs>
                <w:tab w:val="left" w:pos="3306"/>
              </w:tabs>
              <w:jc w:val="right"/>
              <w:rPr>
                <w:rFonts w:cs="Calibri"/>
                <w:bCs/>
              </w:rPr>
            </w:pPr>
          </w:p>
        </w:tc>
        <w:tc>
          <w:tcPr>
            <w:tcW w:w="709" w:type="dxa"/>
            <w:gridSpan w:val="3"/>
            <w:tcBorders>
              <w:top w:val="single" w:sz="2" w:space="0" w:color="auto"/>
              <w:bottom w:val="single" w:sz="4" w:space="0" w:color="auto"/>
            </w:tcBorders>
            <w:shd w:val="clear" w:color="auto" w:fill="auto"/>
            <w:vAlign w:val="bottom"/>
          </w:tcPr>
          <w:p w14:paraId="64920540" w14:textId="77777777" w:rsidR="00F257E0" w:rsidRPr="007918F1" w:rsidRDefault="00F257E0" w:rsidP="00F257E0">
            <w:pPr>
              <w:pStyle w:val="TableText"/>
              <w:tabs>
                <w:tab w:val="left" w:pos="3306"/>
              </w:tabs>
              <w:jc w:val="right"/>
              <w:rPr>
                <w:rFonts w:cs="Calibri"/>
                <w:bCs/>
              </w:rPr>
            </w:pPr>
          </w:p>
        </w:tc>
      </w:tr>
      <w:tr w:rsidR="00F257E0" w:rsidRPr="00546697" w14:paraId="52B4083D" w14:textId="77777777" w:rsidTr="004D1EC6">
        <w:tc>
          <w:tcPr>
            <w:tcW w:w="1557" w:type="dxa"/>
            <w:tcBorders>
              <w:left w:val="single" w:sz="2" w:space="0" w:color="auto"/>
              <w:right w:val="single" w:sz="2" w:space="0" w:color="auto"/>
            </w:tcBorders>
          </w:tcPr>
          <w:p w14:paraId="49B2973B" w14:textId="77777777" w:rsidR="00F257E0" w:rsidRPr="0020314C" w:rsidRDefault="00F257E0" w:rsidP="00F257E0">
            <w:pPr>
              <w:pStyle w:val="Reference"/>
              <w:rPr>
                <w:rFonts w:cs="Calibri"/>
                <w:b w:val="0"/>
                <w:bCs w:val="0"/>
                <w:sz w:val="16"/>
                <w:szCs w:val="16"/>
              </w:rPr>
            </w:pPr>
          </w:p>
        </w:tc>
        <w:tc>
          <w:tcPr>
            <w:tcW w:w="3827" w:type="dxa"/>
            <w:gridSpan w:val="2"/>
            <w:tcBorders>
              <w:left w:val="single" w:sz="2" w:space="0" w:color="auto"/>
            </w:tcBorders>
            <w:shd w:val="clear" w:color="auto" w:fill="auto"/>
            <w:vAlign w:val="bottom"/>
          </w:tcPr>
          <w:p w14:paraId="63608321" w14:textId="77777777" w:rsidR="00F257E0" w:rsidRPr="007918F1" w:rsidRDefault="00F257E0" w:rsidP="00F257E0">
            <w:pPr>
              <w:pStyle w:val="TableText"/>
              <w:tabs>
                <w:tab w:val="left" w:pos="3306"/>
              </w:tabs>
              <w:rPr>
                <w:rFonts w:cs="Calibri"/>
                <w:b/>
                <w:szCs w:val="16"/>
              </w:rPr>
            </w:pPr>
            <w:r w:rsidRPr="007918F1">
              <w:rPr>
                <w:rFonts w:cs="Calibri"/>
                <w:b/>
                <w:szCs w:val="16"/>
              </w:rPr>
              <w:t>Net Assets</w:t>
            </w:r>
          </w:p>
        </w:tc>
        <w:tc>
          <w:tcPr>
            <w:tcW w:w="850" w:type="dxa"/>
            <w:gridSpan w:val="2"/>
            <w:tcBorders>
              <w:top w:val="single" w:sz="4" w:space="0" w:color="auto"/>
              <w:bottom w:val="double" w:sz="4" w:space="0" w:color="auto"/>
            </w:tcBorders>
            <w:shd w:val="clear" w:color="auto" w:fill="auto"/>
          </w:tcPr>
          <w:p w14:paraId="08937AE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1CDDE72D"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0002F346"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07FA703C" w14:textId="1CF1B6EA" w:rsidR="00F257E0" w:rsidRPr="007918F1" w:rsidRDefault="00F257E0" w:rsidP="00F257E0">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2DB05AD5"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4" w:space="0" w:color="auto"/>
              <w:bottom w:val="double" w:sz="4" w:space="0" w:color="auto"/>
            </w:tcBorders>
            <w:shd w:val="clear" w:color="auto" w:fill="auto"/>
            <w:vAlign w:val="bottom"/>
          </w:tcPr>
          <w:p w14:paraId="61995739" w14:textId="77777777" w:rsidR="00F257E0" w:rsidRPr="007918F1" w:rsidRDefault="00F257E0" w:rsidP="00F257E0">
            <w:pPr>
              <w:pStyle w:val="TableText"/>
              <w:tabs>
                <w:tab w:val="left" w:pos="3306"/>
              </w:tabs>
              <w:jc w:val="right"/>
              <w:rPr>
                <w:rFonts w:cs="Calibri"/>
                <w:b/>
                <w:bCs/>
              </w:rPr>
            </w:pPr>
          </w:p>
        </w:tc>
      </w:tr>
      <w:tr w:rsidR="00F257E0" w:rsidRPr="0020314C" w14:paraId="2928AAC3" w14:textId="77777777" w:rsidTr="00F22D61">
        <w:trPr>
          <w:gridAfter w:val="2"/>
          <w:wAfter w:w="284" w:type="dxa"/>
          <w:trHeight w:val="314"/>
        </w:trPr>
        <w:tc>
          <w:tcPr>
            <w:tcW w:w="1557" w:type="dxa"/>
            <w:tcBorders>
              <w:left w:val="single" w:sz="2" w:space="0" w:color="003366"/>
              <w:right w:val="single" w:sz="2" w:space="0" w:color="003366"/>
            </w:tcBorders>
          </w:tcPr>
          <w:p w14:paraId="424EF0DB" w14:textId="1E496100" w:rsidR="00F257E0" w:rsidRPr="004F3F15" w:rsidRDefault="00F257E0" w:rsidP="00F22D61">
            <w:pPr>
              <w:spacing w:before="240"/>
              <w:rPr>
                <w:rFonts w:cs="Calibri"/>
                <w:b/>
                <w:color w:val="7030A0"/>
                <w:szCs w:val="22"/>
              </w:rPr>
            </w:pPr>
            <w:r w:rsidRPr="004F3F15">
              <w:rPr>
                <w:color w:val="7030A0"/>
              </w:rPr>
              <w:br w:type="page"/>
            </w:r>
            <w:r w:rsidRPr="004F3F15">
              <w:rPr>
                <w:rFonts w:cs="Calibri"/>
                <w:b/>
                <w:color w:val="7030A0"/>
                <w:szCs w:val="22"/>
              </w:rPr>
              <w:t>Reference</w:t>
            </w:r>
          </w:p>
        </w:tc>
        <w:tc>
          <w:tcPr>
            <w:tcW w:w="8788" w:type="dxa"/>
            <w:gridSpan w:val="13"/>
            <w:tcBorders>
              <w:left w:val="single" w:sz="2" w:space="0" w:color="003366"/>
            </w:tcBorders>
          </w:tcPr>
          <w:p w14:paraId="697ADACC" w14:textId="5FAB4441" w:rsidR="00F257E0" w:rsidRPr="00786CB8" w:rsidRDefault="00F257E0" w:rsidP="00F22D61">
            <w:pPr>
              <w:spacing w:before="240" w:after="240"/>
              <w:rPr>
                <w:b/>
                <w:sz w:val="36"/>
                <w:szCs w:val="36"/>
              </w:rPr>
            </w:pPr>
            <w:r w:rsidRPr="00786CB8">
              <w:rPr>
                <w:rFonts w:asciiTheme="minorHAnsi" w:hAnsiTheme="minorHAnsi" w:cstheme="minorHAnsi"/>
                <w:b/>
                <w:bCs/>
                <w:caps/>
                <w:sz w:val="36"/>
                <w:szCs w:val="36"/>
              </w:rPr>
              <w:t>Disaggregated Disclosure of Assets and Liabilities [Directorates Only] – Continued</w:t>
            </w:r>
            <w:r w:rsidRPr="00786CB8">
              <w:rPr>
                <w:b/>
                <w:sz w:val="36"/>
                <w:szCs w:val="36"/>
              </w:rPr>
              <w:t xml:space="preserve"> </w:t>
            </w:r>
          </w:p>
        </w:tc>
      </w:tr>
      <w:tr w:rsidR="001B6B99" w:rsidRPr="001B6B99" w14:paraId="26A0BC05" w14:textId="77777777" w:rsidTr="00F22D61">
        <w:trPr>
          <w:gridAfter w:val="2"/>
          <w:wAfter w:w="284" w:type="dxa"/>
          <w:trHeight w:hRule="exact" w:val="199"/>
        </w:trPr>
        <w:tc>
          <w:tcPr>
            <w:tcW w:w="1557" w:type="dxa"/>
            <w:tcBorders>
              <w:left w:val="single" w:sz="2" w:space="0" w:color="003366"/>
              <w:right w:val="single" w:sz="2" w:space="0" w:color="003366"/>
            </w:tcBorders>
            <w:vAlign w:val="center"/>
          </w:tcPr>
          <w:p w14:paraId="182BCED6" w14:textId="123888C8" w:rsidR="00F257E0" w:rsidRPr="004F3F15" w:rsidRDefault="004F3F15" w:rsidP="004F3F15">
            <w:pPr>
              <w:rPr>
                <w:rFonts w:cs="Calibri"/>
                <w:color w:val="7030A0"/>
                <w:sz w:val="14"/>
                <w:szCs w:val="14"/>
              </w:rPr>
            </w:pPr>
            <w:r w:rsidRPr="004F3F15">
              <w:rPr>
                <w:rFonts w:cs="Calibri"/>
                <w:color w:val="7030A0"/>
                <w:sz w:val="14"/>
                <w:szCs w:val="14"/>
              </w:rPr>
              <w:t>AASB 1052.16</w:t>
            </w:r>
          </w:p>
        </w:tc>
        <w:tc>
          <w:tcPr>
            <w:tcW w:w="8788" w:type="dxa"/>
            <w:gridSpan w:val="13"/>
            <w:tcBorders>
              <w:left w:val="single" w:sz="2" w:space="0" w:color="003366"/>
            </w:tcBorders>
            <w:vAlign w:val="center"/>
          </w:tcPr>
          <w:p w14:paraId="4313A0B0" w14:textId="4136BBAD" w:rsidR="00F257E0" w:rsidRPr="001B6B99" w:rsidRDefault="00F257E0" w:rsidP="007918F1">
            <w:pPr>
              <w:pStyle w:val="TableTitle"/>
              <w:tabs>
                <w:tab w:val="left" w:pos="3306"/>
              </w:tabs>
              <w:jc w:val="left"/>
              <w:rPr>
                <w:rFonts w:cs="Calibri"/>
                <w:bCs w:val="0"/>
              </w:rPr>
            </w:pPr>
            <w:r w:rsidRPr="001B6B99">
              <w:rPr>
                <w:rFonts w:cs="Calibri"/>
                <w:bCs w:val="0"/>
              </w:rPr>
              <w:t>Year Ended 30 June 202</w:t>
            </w:r>
            <w:r w:rsidR="00826627">
              <w:rPr>
                <w:rFonts w:cs="Calibri"/>
                <w:bCs w:val="0"/>
              </w:rPr>
              <w:t>2</w:t>
            </w:r>
          </w:p>
          <w:p w14:paraId="63AAB2F8" w14:textId="6308665D" w:rsidR="00F257E0" w:rsidRPr="001B6B99" w:rsidRDefault="00F257E0" w:rsidP="007918F1">
            <w:pPr>
              <w:rPr>
                <w:rFonts w:cs="Calibri"/>
                <w:b/>
                <w:sz w:val="18"/>
                <w:szCs w:val="18"/>
              </w:rPr>
            </w:pPr>
          </w:p>
        </w:tc>
      </w:tr>
      <w:tr w:rsidR="00F257E0" w:rsidRPr="0020314C" w14:paraId="618FD4A1" w14:textId="77777777" w:rsidTr="00F22D61">
        <w:trPr>
          <w:gridAfter w:val="2"/>
          <w:wAfter w:w="284" w:type="dxa"/>
        </w:trPr>
        <w:tc>
          <w:tcPr>
            <w:tcW w:w="1557" w:type="dxa"/>
            <w:tcBorders>
              <w:left w:val="single" w:sz="2" w:space="0" w:color="003366"/>
              <w:right w:val="single" w:sz="2" w:space="0" w:color="003366"/>
            </w:tcBorders>
          </w:tcPr>
          <w:p w14:paraId="7F59E32E" w14:textId="5C144F71" w:rsidR="00F257E0" w:rsidRPr="004F3F15" w:rsidRDefault="00F257E0" w:rsidP="00F257E0">
            <w:pPr>
              <w:pStyle w:val="Reference"/>
              <w:rPr>
                <w:rFonts w:cs="Calibri"/>
                <w:b w:val="0"/>
                <w:bCs w:val="0"/>
                <w:color w:val="7030A0"/>
                <w:sz w:val="14"/>
                <w:szCs w:val="14"/>
              </w:rPr>
            </w:pPr>
          </w:p>
        </w:tc>
        <w:tc>
          <w:tcPr>
            <w:tcW w:w="3402" w:type="dxa"/>
            <w:tcBorders>
              <w:left w:val="single" w:sz="2" w:space="0" w:color="003366"/>
            </w:tcBorders>
            <w:shd w:val="clear" w:color="auto" w:fill="auto"/>
            <w:vAlign w:val="bottom"/>
          </w:tcPr>
          <w:p w14:paraId="366D53F9" w14:textId="77777777" w:rsidR="00F257E0" w:rsidRPr="001B6B99" w:rsidRDefault="00F257E0" w:rsidP="00F257E0">
            <w:pPr>
              <w:pStyle w:val="TableText"/>
              <w:tabs>
                <w:tab w:val="left" w:pos="3306"/>
              </w:tabs>
              <w:rPr>
                <w:rFonts w:cs="Calibri"/>
                <w:b/>
                <w:bCs/>
              </w:rPr>
            </w:pPr>
          </w:p>
        </w:tc>
        <w:tc>
          <w:tcPr>
            <w:tcW w:w="850" w:type="dxa"/>
            <w:gridSpan w:val="2"/>
            <w:shd w:val="clear" w:color="auto" w:fill="auto"/>
          </w:tcPr>
          <w:p w14:paraId="1B3B3F77" w14:textId="77777777" w:rsidR="00F257E0" w:rsidRPr="001B6B99" w:rsidRDefault="00F257E0" w:rsidP="00F257E0">
            <w:pPr>
              <w:spacing w:before="60"/>
              <w:jc w:val="right"/>
              <w:rPr>
                <w:rFonts w:cs="Calibri"/>
                <w:b/>
                <w:bCs/>
                <w:sz w:val="18"/>
                <w:szCs w:val="18"/>
              </w:rPr>
            </w:pPr>
            <w:r w:rsidRPr="001B6B99">
              <w:rPr>
                <w:rFonts w:cs="Calibri"/>
                <w:b/>
                <w:bCs/>
                <w:sz w:val="18"/>
                <w:szCs w:val="18"/>
              </w:rPr>
              <w:t>Output Class 1</w:t>
            </w:r>
          </w:p>
        </w:tc>
        <w:tc>
          <w:tcPr>
            <w:tcW w:w="851" w:type="dxa"/>
            <w:gridSpan w:val="2"/>
            <w:shd w:val="clear" w:color="auto" w:fill="auto"/>
          </w:tcPr>
          <w:p w14:paraId="4AFE810F" w14:textId="77777777" w:rsidR="00F257E0" w:rsidRPr="001B6B99" w:rsidRDefault="00F257E0" w:rsidP="00F257E0">
            <w:pPr>
              <w:spacing w:before="60"/>
              <w:jc w:val="right"/>
              <w:rPr>
                <w:rFonts w:cs="Calibri"/>
                <w:b/>
                <w:bCs/>
                <w:sz w:val="18"/>
                <w:szCs w:val="18"/>
              </w:rPr>
            </w:pPr>
            <w:r w:rsidRPr="001B6B99">
              <w:rPr>
                <w:rFonts w:cs="Calibri"/>
                <w:b/>
                <w:bCs/>
                <w:sz w:val="18"/>
                <w:szCs w:val="18"/>
              </w:rPr>
              <w:t>Output Class 2</w:t>
            </w:r>
          </w:p>
        </w:tc>
        <w:tc>
          <w:tcPr>
            <w:tcW w:w="850" w:type="dxa"/>
            <w:gridSpan w:val="2"/>
          </w:tcPr>
          <w:p w14:paraId="406204E5" w14:textId="08798794" w:rsidR="00F257E0" w:rsidRPr="001B6B99" w:rsidRDefault="00F257E0" w:rsidP="00F257E0">
            <w:pPr>
              <w:spacing w:before="60"/>
              <w:jc w:val="right"/>
              <w:rPr>
                <w:rFonts w:cs="Calibri"/>
                <w:b/>
                <w:bCs/>
                <w:sz w:val="18"/>
                <w:szCs w:val="18"/>
              </w:rPr>
            </w:pPr>
            <w:r w:rsidRPr="001B6B99">
              <w:rPr>
                <w:rFonts w:cs="Calibri"/>
                <w:b/>
                <w:bCs/>
                <w:sz w:val="18"/>
                <w:szCs w:val="18"/>
              </w:rPr>
              <w:t>Output Class 3</w:t>
            </w:r>
          </w:p>
        </w:tc>
        <w:tc>
          <w:tcPr>
            <w:tcW w:w="851" w:type="dxa"/>
            <w:gridSpan w:val="2"/>
            <w:shd w:val="clear" w:color="auto" w:fill="auto"/>
          </w:tcPr>
          <w:p w14:paraId="20AA0B92" w14:textId="55B3489C" w:rsidR="00F257E0" w:rsidRPr="001B6B99" w:rsidRDefault="00F257E0" w:rsidP="00F257E0">
            <w:pPr>
              <w:spacing w:before="60"/>
              <w:jc w:val="right"/>
              <w:rPr>
                <w:rFonts w:cs="Calibri"/>
                <w:b/>
                <w:bCs/>
                <w:sz w:val="18"/>
                <w:szCs w:val="18"/>
              </w:rPr>
            </w:pPr>
            <w:r w:rsidRPr="001B6B99">
              <w:rPr>
                <w:rFonts w:cs="Calibri"/>
                <w:b/>
                <w:bCs/>
                <w:sz w:val="18"/>
                <w:szCs w:val="18"/>
              </w:rPr>
              <w:t>Output Class 4</w:t>
            </w:r>
          </w:p>
        </w:tc>
        <w:tc>
          <w:tcPr>
            <w:tcW w:w="1134" w:type="dxa"/>
            <w:gridSpan w:val="2"/>
            <w:shd w:val="clear" w:color="auto" w:fill="auto"/>
            <w:vAlign w:val="bottom"/>
          </w:tcPr>
          <w:p w14:paraId="368AA1D4" w14:textId="77777777" w:rsidR="00F257E0" w:rsidRPr="001B6B99" w:rsidRDefault="00F257E0" w:rsidP="007918F1">
            <w:pPr>
              <w:pStyle w:val="TableText"/>
              <w:tabs>
                <w:tab w:val="left" w:pos="3306"/>
              </w:tabs>
              <w:jc w:val="right"/>
              <w:rPr>
                <w:rFonts w:cs="Calibri"/>
                <w:b/>
                <w:bCs/>
              </w:rPr>
            </w:pPr>
            <w:r w:rsidRPr="001B6B99">
              <w:rPr>
                <w:rFonts w:cs="Calibri"/>
                <w:b/>
                <w:bCs/>
              </w:rPr>
              <w:t>Unallocated</w:t>
            </w:r>
          </w:p>
        </w:tc>
        <w:tc>
          <w:tcPr>
            <w:tcW w:w="850" w:type="dxa"/>
            <w:gridSpan w:val="2"/>
            <w:shd w:val="clear" w:color="auto" w:fill="auto"/>
            <w:vAlign w:val="bottom"/>
          </w:tcPr>
          <w:p w14:paraId="7F6F07EC" w14:textId="77777777" w:rsidR="00F257E0" w:rsidRPr="001B6B99" w:rsidRDefault="00F257E0" w:rsidP="007918F1">
            <w:pPr>
              <w:pStyle w:val="TableText"/>
              <w:tabs>
                <w:tab w:val="left" w:pos="3306"/>
              </w:tabs>
              <w:jc w:val="right"/>
              <w:rPr>
                <w:rFonts w:cs="Calibri"/>
                <w:b/>
                <w:bCs/>
              </w:rPr>
            </w:pPr>
            <w:r w:rsidRPr="001B6B99">
              <w:rPr>
                <w:rFonts w:cs="Calibri"/>
                <w:b/>
                <w:bCs/>
              </w:rPr>
              <w:t>Total</w:t>
            </w:r>
          </w:p>
        </w:tc>
      </w:tr>
      <w:tr w:rsidR="00F257E0" w:rsidRPr="00AA76A0" w14:paraId="011CA7BA" w14:textId="77777777" w:rsidTr="00F22D61">
        <w:trPr>
          <w:gridAfter w:val="2"/>
          <w:wAfter w:w="284" w:type="dxa"/>
        </w:trPr>
        <w:tc>
          <w:tcPr>
            <w:tcW w:w="1557" w:type="dxa"/>
            <w:tcBorders>
              <w:left w:val="single" w:sz="2" w:space="0" w:color="003366"/>
              <w:right w:val="single" w:sz="2" w:space="0" w:color="003366"/>
            </w:tcBorders>
          </w:tcPr>
          <w:p w14:paraId="65DD13E8"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D5188F0" w14:textId="77777777" w:rsidR="00F257E0" w:rsidRPr="001B6B99" w:rsidRDefault="00F257E0" w:rsidP="00F257E0">
            <w:pPr>
              <w:pStyle w:val="TableText"/>
              <w:tabs>
                <w:tab w:val="left" w:pos="3306"/>
              </w:tabs>
              <w:rPr>
                <w:rFonts w:cs="Calibri"/>
                <w:b/>
                <w:bCs/>
              </w:rPr>
            </w:pPr>
          </w:p>
        </w:tc>
        <w:tc>
          <w:tcPr>
            <w:tcW w:w="850" w:type="dxa"/>
            <w:gridSpan w:val="2"/>
            <w:shd w:val="clear" w:color="auto" w:fill="auto"/>
            <w:vAlign w:val="center"/>
          </w:tcPr>
          <w:p w14:paraId="6BFF6156" w14:textId="77777777" w:rsidR="00F257E0" w:rsidRPr="001B6B99" w:rsidRDefault="00F257E0" w:rsidP="00F257E0">
            <w:pPr>
              <w:spacing w:before="60"/>
              <w:jc w:val="right"/>
              <w:rPr>
                <w:rFonts w:cs="Calibri"/>
                <w:b/>
                <w:bCs/>
                <w:sz w:val="18"/>
                <w:szCs w:val="18"/>
              </w:rPr>
            </w:pPr>
            <w:r w:rsidRPr="001B6B99">
              <w:rPr>
                <w:rFonts w:cs="Calibri"/>
                <w:b/>
                <w:bCs/>
                <w:sz w:val="18"/>
                <w:szCs w:val="18"/>
              </w:rPr>
              <w:t>$’000</w:t>
            </w:r>
          </w:p>
        </w:tc>
        <w:tc>
          <w:tcPr>
            <w:tcW w:w="851" w:type="dxa"/>
            <w:gridSpan w:val="2"/>
            <w:shd w:val="clear" w:color="auto" w:fill="auto"/>
            <w:vAlign w:val="center"/>
          </w:tcPr>
          <w:p w14:paraId="3F460DB6" w14:textId="77777777" w:rsidR="00F257E0" w:rsidRPr="001B6B99" w:rsidRDefault="00F257E0" w:rsidP="00F257E0">
            <w:pPr>
              <w:spacing w:before="60"/>
              <w:jc w:val="right"/>
              <w:rPr>
                <w:rFonts w:cs="Calibri"/>
                <w:b/>
                <w:bCs/>
                <w:sz w:val="18"/>
                <w:szCs w:val="18"/>
              </w:rPr>
            </w:pPr>
            <w:r w:rsidRPr="001B6B99">
              <w:rPr>
                <w:rFonts w:cs="Calibri"/>
                <w:b/>
                <w:bCs/>
                <w:sz w:val="18"/>
                <w:szCs w:val="18"/>
              </w:rPr>
              <w:t>$’000</w:t>
            </w:r>
          </w:p>
        </w:tc>
        <w:tc>
          <w:tcPr>
            <w:tcW w:w="850" w:type="dxa"/>
            <w:gridSpan w:val="2"/>
            <w:vAlign w:val="bottom"/>
          </w:tcPr>
          <w:p w14:paraId="6045558B" w14:textId="3952E08E" w:rsidR="00F257E0" w:rsidRPr="001B6B99" w:rsidRDefault="00F257E0" w:rsidP="00F257E0">
            <w:pPr>
              <w:jc w:val="right"/>
              <w:rPr>
                <w:rFonts w:cs="Calibri"/>
                <w:b/>
                <w:bCs/>
                <w:sz w:val="18"/>
                <w:szCs w:val="18"/>
              </w:rPr>
            </w:pPr>
            <w:r w:rsidRPr="001B6B99">
              <w:rPr>
                <w:rFonts w:cs="Calibri"/>
                <w:b/>
                <w:bCs/>
                <w:sz w:val="18"/>
                <w:szCs w:val="18"/>
              </w:rPr>
              <w:t>$’000</w:t>
            </w:r>
          </w:p>
        </w:tc>
        <w:tc>
          <w:tcPr>
            <w:tcW w:w="851" w:type="dxa"/>
            <w:gridSpan w:val="2"/>
            <w:shd w:val="clear" w:color="auto" w:fill="auto"/>
            <w:vAlign w:val="bottom"/>
          </w:tcPr>
          <w:p w14:paraId="7D88E77D" w14:textId="0B6296F1" w:rsidR="00F257E0" w:rsidRPr="001B6B99" w:rsidRDefault="00F257E0" w:rsidP="00F257E0">
            <w:pPr>
              <w:jc w:val="right"/>
              <w:rPr>
                <w:rFonts w:cs="Calibri"/>
                <w:b/>
                <w:bCs/>
                <w:sz w:val="18"/>
                <w:szCs w:val="18"/>
              </w:rPr>
            </w:pPr>
            <w:r w:rsidRPr="001B6B99">
              <w:rPr>
                <w:rFonts w:cs="Calibri"/>
                <w:b/>
                <w:bCs/>
                <w:sz w:val="18"/>
                <w:szCs w:val="18"/>
              </w:rPr>
              <w:t>$’000</w:t>
            </w:r>
          </w:p>
        </w:tc>
        <w:tc>
          <w:tcPr>
            <w:tcW w:w="1134" w:type="dxa"/>
            <w:gridSpan w:val="2"/>
            <w:shd w:val="clear" w:color="auto" w:fill="auto"/>
            <w:vAlign w:val="bottom"/>
          </w:tcPr>
          <w:p w14:paraId="0825A797" w14:textId="77777777" w:rsidR="00F257E0" w:rsidRPr="001B6B99" w:rsidRDefault="00F257E0" w:rsidP="00F257E0">
            <w:pPr>
              <w:jc w:val="right"/>
              <w:rPr>
                <w:rFonts w:cs="Calibri"/>
                <w:b/>
                <w:bCs/>
                <w:sz w:val="18"/>
                <w:szCs w:val="18"/>
              </w:rPr>
            </w:pPr>
            <w:r w:rsidRPr="001B6B99">
              <w:rPr>
                <w:rFonts w:cs="Calibri"/>
                <w:b/>
                <w:bCs/>
                <w:sz w:val="18"/>
                <w:szCs w:val="18"/>
              </w:rPr>
              <w:t>$’000</w:t>
            </w:r>
          </w:p>
        </w:tc>
        <w:tc>
          <w:tcPr>
            <w:tcW w:w="850" w:type="dxa"/>
            <w:gridSpan w:val="2"/>
            <w:shd w:val="clear" w:color="auto" w:fill="auto"/>
            <w:vAlign w:val="bottom"/>
          </w:tcPr>
          <w:p w14:paraId="279B0507" w14:textId="77777777" w:rsidR="00F257E0" w:rsidRPr="001B6B99" w:rsidRDefault="00F257E0" w:rsidP="00F257E0">
            <w:pPr>
              <w:pStyle w:val="TableText"/>
              <w:tabs>
                <w:tab w:val="left" w:pos="3306"/>
              </w:tabs>
              <w:jc w:val="right"/>
              <w:rPr>
                <w:rFonts w:cs="Calibri"/>
                <w:b/>
                <w:bCs/>
              </w:rPr>
            </w:pPr>
            <w:r w:rsidRPr="001B6B99">
              <w:rPr>
                <w:rFonts w:cs="Calibri"/>
                <w:b/>
                <w:bCs/>
              </w:rPr>
              <w:t>$’000</w:t>
            </w:r>
          </w:p>
        </w:tc>
      </w:tr>
      <w:tr w:rsidR="00F257E0" w:rsidRPr="00AA76A0" w14:paraId="38B9FDEE" w14:textId="77777777" w:rsidTr="00F22D61">
        <w:trPr>
          <w:gridAfter w:val="2"/>
          <w:wAfter w:w="284" w:type="dxa"/>
        </w:trPr>
        <w:tc>
          <w:tcPr>
            <w:tcW w:w="1557" w:type="dxa"/>
            <w:tcBorders>
              <w:left w:val="single" w:sz="2" w:space="0" w:color="003366"/>
              <w:right w:val="single" w:sz="2" w:space="0" w:color="003366"/>
            </w:tcBorders>
          </w:tcPr>
          <w:p w14:paraId="435B374D"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D656FAD" w14:textId="77777777" w:rsidR="00F257E0" w:rsidRPr="001B6B99" w:rsidRDefault="00F257E0" w:rsidP="00F257E0">
            <w:pPr>
              <w:pStyle w:val="TableText"/>
              <w:tabs>
                <w:tab w:val="left" w:pos="3306"/>
              </w:tabs>
              <w:rPr>
                <w:rFonts w:cs="Calibri"/>
                <w:b/>
                <w:szCs w:val="16"/>
              </w:rPr>
            </w:pPr>
            <w:r w:rsidRPr="001B6B99">
              <w:rPr>
                <w:rFonts w:cs="Calibri"/>
                <w:b/>
                <w:szCs w:val="16"/>
              </w:rPr>
              <w:t>Current Assets</w:t>
            </w:r>
          </w:p>
        </w:tc>
        <w:tc>
          <w:tcPr>
            <w:tcW w:w="850" w:type="dxa"/>
            <w:gridSpan w:val="2"/>
            <w:shd w:val="clear" w:color="auto" w:fill="auto"/>
          </w:tcPr>
          <w:p w14:paraId="5779F199"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7C366BCC" w14:textId="77777777" w:rsidR="00F257E0" w:rsidRPr="001B6B99" w:rsidRDefault="00F257E0" w:rsidP="00F257E0">
            <w:pPr>
              <w:pStyle w:val="TableText"/>
              <w:tabs>
                <w:tab w:val="left" w:pos="3306"/>
              </w:tabs>
              <w:jc w:val="right"/>
              <w:rPr>
                <w:rFonts w:cs="Calibri"/>
                <w:b/>
                <w:bCs/>
              </w:rPr>
            </w:pPr>
          </w:p>
        </w:tc>
        <w:tc>
          <w:tcPr>
            <w:tcW w:w="850" w:type="dxa"/>
            <w:gridSpan w:val="2"/>
          </w:tcPr>
          <w:p w14:paraId="2ABEC0DC"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4ED25C8E" w14:textId="5EEFA5F6"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77359FB4" w14:textId="77777777" w:rsidR="00F257E0" w:rsidRPr="001B6B99" w:rsidRDefault="00F257E0" w:rsidP="00F257E0">
            <w:pPr>
              <w:pStyle w:val="TableText"/>
              <w:tabs>
                <w:tab w:val="left" w:pos="3306"/>
              </w:tabs>
              <w:jc w:val="right"/>
              <w:rPr>
                <w:rFonts w:cs="Calibri"/>
                <w:b/>
                <w:bCs/>
              </w:rPr>
            </w:pPr>
          </w:p>
        </w:tc>
        <w:tc>
          <w:tcPr>
            <w:tcW w:w="850" w:type="dxa"/>
            <w:gridSpan w:val="2"/>
            <w:shd w:val="clear" w:color="auto" w:fill="auto"/>
            <w:vAlign w:val="bottom"/>
          </w:tcPr>
          <w:p w14:paraId="5F3CC0B6" w14:textId="77777777" w:rsidR="00F257E0" w:rsidRPr="001B6B99" w:rsidRDefault="00F257E0" w:rsidP="00F257E0">
            <w:pPr>
              <w:pStyle w:val="TableText"/>
              <w:tabs>
                <w:tab w:val="left" w:pos="3306"/>
              </w:tabs>
              <w:jc w:val="right"/>
              <w:rPr>
                <w:rFonts w:cs="Calibri"/>
                <w:b/>
                <w:bCs/>
              </w:rPr>
            </w:pPr>
          </w:p>
        </w:tc>
      </w:tr>
      <w:tr w:rsidR="00F257E0" w:rsidRPr="00AA76A0" w14:paraId="083E4483" w14:textId="77777777" w:rsidTr="00F22D61">
        <w:trPr>
          <w:gridAfter w:val="2"/>
          <w:wAfter w:w="284" w:type="dxa"/>
        </w:trPr>
        <w:tc>
          <w:tcPr>
            <w:tcW w:w="1557" w:type="dxa"/>
            <w:tcBorders>
              <w:left w:val="single" w:sz="2" w:space="0" w:color="003366"/>
              <w:right w:val="single" w:sz="2" w:space="0" w:color="003366"/>
            </w:tcBorders>
          </w:tcPr>
          <w:p w14:paraId="524F57F2"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8EDB981" w14:textId="6D450D14" w:rsidR="00F257E0" w:rsidRPr="00A742FB" w:rsidRDefault="00F257E0" w:rsidP="00F257E0">
            <w:pPr>
              <w:pStyle w:val="TableText"/>
              <w:tabs>
                <w:tab w:val="left" w:pos="3306"/>
              </w:tabs>
              <w:rPr>
                <w:rFonts w:cs="Calibri"/>
                <w:strike/>
                <w:szCs w:val="16"/>
              </w:rPr>
            </w:pPr>
            <w:r w:rsidRPr="00A742FB">
              <w:rPr>
                <w:rFonts w:cs="Calibri"/>
                <w:strike/>
                <w:color w:val="FF0000"/>
                <w:szCs w:val="16"/>
              </w:rPr>
              <w:t>Cash and Cash Equivalents</w:t>
            </w:r>
            <w:r w:rsidR="001A12A3" w:rsidRPr="00A742FB">
              <w:rPr>
                <w:rFonts w:cs="Calibri"/>
                <w:strike/>
                <w:color w:val="FF0000"/>
                <w:szCs w:val="16"/>
                <w:vertAlign w:val="superscript"/>
              </w:rPr>
              <w:t>a</w:t>
            </w:r>
          </w:p>
        </w:tc>
        <w:tc>
          <w:tcPr>
            <w:tcW w:w="850" w:type="dxa"/>
            <w:gridSpan w:val="2"/>
            <w:shd w:val="clear" w:color="auto" w:fill="auto"/>
          </w:tcPr>
          <w:p w14:paraId="62F2547D"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05A03C52" w14:textId="77777777" w:rsidR="00F257E0" w:rsidRPr="001B6B99" w:rsidRDefault="00F257E0" w:rsidP="00F257E0">
            <w:pPr>
              <w:pStyle w:val="TableText"/>
              <w:tabs>
                <w:tab w:val="left" w:pos="3306"/>
              </w:tabs>
              <w:jc w:val="right"/>
              <w:rPr>
                <w:rFonts w:cs="Calibri"/>
                <w:b/>
                <w:bCs/>
              </w:rPr>
            </w:pPr>
          </w:p>
        </w:tc>
        <w:tc>
          <w:tcPr>
            <w:tcW w:w="850" w:type="dxa"/>
            <w:gridSpan w:val="2"/>
          </w:tcPr>
          <w:p w14:paraId="68BED583"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6F36C165" w14:textId="72F98060"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2A634F5" w14:textId="77777777" w:rsidR="00F257E0" w:rsidRPr="001B6B99" w:rsidRDefault="00F257E0" w:rsidP="00F257E0">
            <w:pPr>
              <w:pStyle w:val="TableText"/>
              <w:tabs>
                <w:tab w:val="left" w:pos="3306"/>
              </w:tabs>
              <w:jc w:val="right"/>
              <w:rPr>
                <w:rFonts w:cs="Calibri"/>
                <w:bCs/>
                <w:strike/>
              </w:rPr>
            </w:pPr>
          </w:p>
        </w:tc>
        <w:tc>
          <w:tcPr>
            <w:tcW w:w="850" w:type="dxa"/>
            <w:gridSpan w:val="2"/>
            <w:shd w:val="clear" w:color="auto" w:fill="auto"/>
            <w:vAlign w:val="bottom"/>
          </w:tcPr>
          <w:p w14:paraId="5D4A58D1" w14:textId="77777777" w:rsidR="00F257E0" w:rsidRPr="001B6B99" w:rsidRDefault="00F257E0" w:rsidP="00F257E0">
            <w:pPr>
              <w:pStyle w:val="TableText"/>
              <w:tabs>
                <w:tab w:val="left" w:pos="3306"/>
              </w:tabs>
              <w:jc w:val="right"/>
              <w:rPr>
                <w:rFonts w:cs="Calibri"/>
                <w:bCs/>
                <w:strike/>
              </w:rPr>
            </w:pPr>
          </w:p>
        </w:tc>
      </w:tr>
      <w:tr w:rsidR="00F257E0" w:rsidRPr="00AA76A0" w14:paraId="53A5BFB6" w14:textId="77777777" w:rsidTr="00F22D61">
        <w:trPr>
          <w:gridAfter w:val="2"/>
          <w:wAfter w:w="284" w:type="dxa"/>
        </w:trPr>
        <w:tc>
          <w:tcPr>
            <w:tcW w:w="1557" w:type="dxa"/>
            <w:tcBorders>
              <w:left w:val="single" w:sz="2" w:space="0" w:color="003366"/>
              <w:right w:val="single" w:sz="2" w:space="0" w:color="003366"/>
            </w:tcBorders>
          </w:tcPr>
          <w:p w14:paraId="57D70F5C"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07517FB" w14:textId="52C62274" w:rsidR="00F257E0" w:rsidRPr="001B6B99" w:rsidRDefault="00A742FB" w:rsidP="00F257E0">
            <w:pPr>
              <w:pStyle w:val="TableText"/>
              <w:tabs>
                <w:tab w:val="left" w:pos="3306"/>
              </w:tabs>
              <w:rPr>
                <w:rFonts w:cs="Calibri"/>
                <w:szCs w:val="16"/>
              </w:rPr>
            </w:pPr>
            <w:r w:rsidRPr="00A742FB">
              <w:rPr>
                <w:rFonts w:cs="Calibri"/>
                <w:color w:val="FF0000"/>
                <w:szCs w:val="16"/>
              </w:rPr>
              <w:t>Cash and</w:t>
            </w:r>
            <w:r w:rsidRPr="00A742FB">
              <w:rPr>
                <w:rFonts w:cs="Calibri"/>
                <w:szCs w:val="16"/>
              </w:rPr>
              <w:t xml:space="preserve"> </w:t>
            </w:r>
            <w:r w:rsidR="00F257E0" w:rsidRPr="001B6B99">
              <w:rPr>
                <w:rFonts w:cs="Calibri"/>
                <w:szCs w:val="16"/>
              </w:rPr>
              <w:t>Investments</w:t>
            </w:r>
            <w:r w:rsidRPr="00A742FB">
              <w:rPr>
                <w:rFonts w:cs="Calibri"/>
                <w:color w:val="FF0000"/>
                <w:szCs w:val="16"/>
                <w:vertAlign w:val="superscript"/>
              </w:rPr>
              <w:t>a</w:t>
            </w:r>
            <w:r w:rsidR="00FC54D8">
              <w:rPr>
                <w:rFonts w:cs="Calibri"/>
                <w:color w:val="FF0000"/>
                <w:szCs w:val="16"/>
                <w:vertAlign w:val="superscript"/>
              </w:rPr>
              <w:t>,</w:t>
            </w:r>
            <w:r w:rsidR="001A12A3" w:rsidRPr="001A12A3">
              <w:rPr>
                <w:rFonts w:cs="Calibri"/>
                <w:szCs w:val="16"/>
                <w:vertAlign w:val="superscript"/>
              </w:rPr>
              <w:t>b</w:t>
            </w:r>
          </w:p>
        </w:tc>
        <w:tc>
          <w:tcPr>
            <w:tcW w:w="850" w:type="dxa"/>
            <w:gridSpan w:val="2"/>
            <w:shd w:val="clear" w:color="auto" w:fill="auto"/>
          </w:tcPr>
          <w:p w14:paraId="5725F709"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6683020A" w14:textId="77777777" w:rsidR="00F257E0" w:rsidRPr="001B6B99" w:rsidRDefault="00F257E0" w:rsidP="00F257E0">
            <w:pPr>
              <w:pStyle w:val="TableText"/>
              <w:tabs>
                <w:tab w:val="left" w:pos="3306"/>
              </w:tabs>
              <w:jc w:val="right"/>
              <w:rPr>
                <w:rFonts w:cs="Calibri"/>
                <w:b/>
                <w:bCs/>
              </w:rPr>
            </w:pPr>
          </w:p>
        </w:tc>
        <w:tc>
          <w:tcPr>
            <w:tcW w:w="850" w:type="dxa"/>
            <w:gridSpan w:val="2"/>
          </w:tcPr>
          <w:p w14:paraId="59837D1B"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4AF21771" w14:textId="7C11FF7E"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447A33C6"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F211816" w14:textId="77777777" w:rsidR="00F257E0" w:rsidRPr="001B6B99" w:rsidRDefault="00F257E0" w:rsidP="00F257E0">
            <w:pPr>
              <w:pStyle w:val="TableText"/>
              <w:tabs>
                <w:tab w:val="left" w:pos="3306"/>
              </w:tabs>
              <w:jc w:val="right"/>
              <w:rPr>
                <w:rFonts w:cs="Calibri"/>
                <w:bCs/>
              </w:rPr>
            </w:pPr>
          </w:p>
        </w:tc>
      </w:tr>
      <w:tr w:rsidR="00F257E0" w:rsidRPr="00AA76A0" w14:paraId="31F4D365" w14:textId="77777777" w:rsidTr="00F22D61">
        <w:trPr>
          <w:gridAfter w:val="2"/>
          <w:wAfter w:w="284" w:type="dxa"/>
        </w:trPr>
        <w:tc>
          <w:tcPr>
            <w:tcW w:w="1557" w:type="dxa"/>
            <w:tcBorders>
              <w:left w:val="single" w:sz="2" w:space="0" w:color="003366"/>
              <w:right w:val="single" w:sz="2" w:space="0" w:color="003366"/>
            </w:tcBorders>
          </w:tcPr>
          <w:p w14:paraId="18B87A0B"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82EB210" w14:textId="77777777" w:rsidR="00F257E0" w:rsidRPr="001B6B99" w:rsidRDefault="00F257E0" w:rsidP="00F257E0">
            <w:pPr>
              <w:pStyle w:val="TableText"/>
              <w:tabs>
                <w:tab w:val="left" w:pos="3306"/>
              </w:tabs>
              <w:rPr>
                <w:rFonts w:cs="Calibri"/>
                <w:szCs w:val="16"/>
              </w:rPr>
            </w:pPr>
            <w:r w:rsidRPr="001B6B99">
              <w:rPr>
                <w:rFonts w:cs="Calibri"/>
                <w:szCs w:val="16"/>
              </w:rPr>
              <w:t>Receivables</w:t>
            </w:r>
          </w:p>
        </w:tc>
        <w:tc>
          <w:tcPr>
            <w:tcW w:w="850" w:type="dxa"/>
            <w:gridSpan w:val="2"/>
            <w:shd w:val="clear" w:color="auto" w:fill="auto"/>
          </w:tcPr>
          <w:p w14:paraId="32720740"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5B8CEA68" w14:textId="77777777" w:rsidR="00F257E0" w:rsidRPr="001B6B99" w:rsidRDefault="00F257E0" w:rsidP="00F257E0">
            <w:pPr>
              <w:pStyle w:val="TableText"/>
              <w:tabs>
                <w:tab w:val="left" w:pos="3306"/>
              </w:tabs>
              <w:jc w:val="right"/>
              <w:rPr>
                <w:rFonts w:cs="Calibri"/>
                <w:bCs/>
              </w:rPr>
            </w:pPr>
          </w:p>
        </w:tc>
        <w:tc>
          <w:tcPr>
            <w:tcW w:w="850" w:type="dxa"/>
            <w:gridSpan w:val="2"/>
          </w:tcPr>
          <w:p w14:paraId="14EED863"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8096E8C" w14:textId="24636A39"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CE2D7BD"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57B3033" w14:textId="77777777" w:rsidR="00F257E0" w:rsidRPr="001B6B99" w:rsidRDefault="00F257E0" w:rsidP="00F257E0">
            <w:pPr>
              <w:pStyle w:val="TableText"/>
              <w:tabs>
                <w:tab w:val="left" w:pos="3306"/>
              </w:tabs>
              <w:jc w:val="right"/>
              <w:rPr>
                <w:rFonts w:cs="Calibri"/>
                <w:bCs/>
              </w:rPr>
            </w:pPr>
          </w:p>
        </w:tc>
      </w:tr>
      <w:tr w:rsidR="00BC2A04" w:rsidRPr="00AA76A0" w14:paraId="048CFD75" w14:textId="77777777" w:rsidTr="00F22D61">
        <w:trPr>
          <w:gridAfter w:val="2"/>
          <w:wAfter w:w="284" w:type="dxa"/>
        </w:trPr>
        <w:tc>
          <w:tcPr>
            <w:tcW w:w="1557" w:type="dxa"/>
            <w:tcBorders>
              <w:left w:val="single" w:sz="2" w:space="0" w:color="003366"/>
              <w:right w:val="single" w:sz="2" w:space="0" w:color="003366"/>
            </w:tcBorders>
          </w:tcPr>
          <w:p w14:paraId="0F0C29E4" w14:textId="77777777" w:rsidR="00BC2A04" w:rsidRPr="004C6029" w:rsidRDefault="00BC2A04"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0AFBD3C" w14:textId="09515011" w:rsidR="00BC2A04" w:rsidRPr="00A742FB" w:rsidRDefault="00BC2A04" w:rsidP="00F257E0">
            <w:pPr>
              <w:pStyle w:val="TableText"/>
              <w:tabs>
                <w:tab w:val="left" w:pos="3306"/>
              </w:tabs>
              <w:rPr>
                <w:rFonts w:cs="Calibri"/>
                <w:strike/>
                <w:szCs w:val="16"/>
              </w:rPr>
            </w:pPr>
            <w:r w:rsidRPr="00A742FB">
              <w:rPr>
                <w:rFonts w:cs="Calibri"/>
                <w:strike/>
                <w:color w:val="FF0000"/>
              </w:rPr>
              <w:t>Contract Assets</w:t>
            </w:r>
          </w:p>
        </w:tc>
        <w:tc>
          <w:tcPr>
            <w:tcW w:w="850" w:type="dxa"/>
            <w:gridSpan w:val="2"/>
            <w:shd w:val="clear" w:color="auto" w:fill="auto"/>
          </w:tcPr>
          <w:p w14:paraId="50FB9A7C" w14:textId="77777777" w:rsidR="00BC2A04" w:rsidRPr="001B6B99" w:rsidRDefault="00BC2A04" w:rsidP="00F257E0">
            <w:pPr>
              <w:pStyle w:val="TableText"/>
              <w:tabs>
                <w:tab w:val="left" w:pos="3306"/>
              </w:tabs>
              <w:jc w:val="right"/>
              <w:rPr>
                <w:rFonts w:cs="Calibri"/>
                <w:bCs/>
              </w:rPr>
            </w:pPr>
          </w:p>
        </w:tc>
        <w:tc>
          <w:tcPr>
            <w:tcW w:w="851" w:type="dxa"/>
            <w:gridSpan w:val="2"/>
            <w:shd w:val="clear" w:color="auto" w:fill="auto"/>
          </w:tcPr>
          <w:p w14:paraId="5F627245" w14:textId="77777777" w:rsidR="00BC2A04" w:rsidRPr="001B6B99" w:rsidRDefault="00BC2A04" w:rsidP="00F257E0">
            <w:pPr>
              <w:pStyle w:val="TableText"/>
              <w:tabs>
                <w:tab w:val="left" w:pos="3306"/>
              </w:tabs>
              <w:jc w:val="right"/>
              <w:rPr>
                <w:rFonts w:cs="Calibri"/>
                <w:bCs/>
              </w:rPr>
            </w:pPr>
          </w:p>
        </w:tc>
        <w:tc>
          <w:tcPr>
            <w:tcW w:w="850" w:type="dxa"/>
            <w:gridSpan w:val="2"/>
          </w:tcPr>
          <w:p w14:paraId="5EC69822" w14:textId="77777777" w:rsidR="00BC2A04" w:rsidRPr="001B6B99" w:rsidRDefault="00BC2A04" w:rsidP="00F257E0">
            <w:pPr>
              <w:pStyle w:val="TableText"/>
              <w:tabs>
                <w:tab w:val="left" w:pos="3306"/>
              </w:tabs>
              <w:jc w:val="right"/>
              <w:rPr>
                <w:rFonts w:cs="Calibri"/>
                <w:bCs/>
              </w:rPr>
            </w:pPr>
          </w:p>
        </w:tc>
        <w:tc>
          <w:tcPr>
            <w:tcW w:w="851" w:type="dxa"/>
            <w:gridSpan w:val="2"/>
            <w:shd w:val="clear" w:color="auto" w:fill="auto"/>
            <w:vAlign w:val="bottom"/>
          </w:tcPr>
          <w:p w14:paraId="03C72CBE" w14:textId="77777777" w:rsidR="00BC2A04" w:rsidRPr="001B6B99" w:rsidRDefault="00BC2A04" w:rsidP="00F257E0">
            <w:pPr>
              <w:pStyle w:val="TableText"/>
              <w:tabs>
                <w:tab w:val="left" w:pos="3306"/>
              </w:tabs>
              <w:jc w:val="right"/>
              <w:rPr>
                <w:rFonts w:cs="Calibri"/>
                <w:bCs/>
              </w:rPr>
            </w:pPr>
          </w:p>
        </w:tc>
        <w:tc>
          <w:tcPr>
            <w:tcW w:w="1134" w:type="dxa"/>
            <w:gridSpan w:val="2"/>
            <w:shd w:val="clear" w:color="auto" w:fill="auto"/>
            <w:vAlign w:val="bottom"/>
          </w:tcPr>
          <w:p w14:paraId="0B0C2714" w14:textId="77777777" w:rsidR="00BC2A04" w:rsidRPr="001B6B99" w:rsidRDefault="00BC2A04" w:rsidP="00F257E0">
            <w:pPr>
              <w:pStyle w:val="TableText"/>
              <w:tabs>
                <w:tab w:val="left" w:pos="3306"/>
              </w:tabs>
              <w:jc w:val="right"/>
              <w:rPr>
                <w:rFonts w:cs="Calibri"/>
                <w:bCs/>
              </w:rPr>
            </w:pPr>
          </w:p>
        </w:tc>
        <w:tc>
          <w:tcPr>
            <w:tcW w:w="850" w:type="dxa"/>
            <w:gridSpan w:val="2"/>
            <w:shd w:val="clear" w:color="auto" w:fill="auto"/>
            <w:vAlign w:val="bottom"/>
          </w:tcPr>
          <w:p w14:paraId="6C43EAA0" w14:textId="77777777" w:rsidR="00BC2A04" w:rsidRPr="001B6B99" w:rsidRDefault="00BC2A04" w:rsidP="00F257E0">
            <w:pPr>
              <w:pStyle w:val="TableText"/>
              <w:tabs>
                <w:tab w:val="left" w:pos="3306"/>
              </w:tabs>
              <w:jc w:val="right"/>
              <w:rPr>
                <w:rFonts w:cs="Calibri"/>
                <w:bCs/>
              </w:rPr>
            </w:pPr>
          </w:p>
        </w:tc>
      </w:tr>
      <w:tr w:rsidR="00F257E0" w:rsidRPr="00AA76A0" w14:paraId="5CCBAA1A" w14:textId="77777777" w:rsidTr="00F22D61">
        <w:trPr>
          <w:gridAfter w:val="2"/>
          <w:wAfter w:w="284" w:type="dxa"/>
        </w:trPr>
        <w:tc>
          <w:tcPr>
            <w:tcW w:w="1557" w:type="dxa"/>
            <w:tcBorders>
              <w:left w:val="single" w:sz="2" w:space="0" w:color="003366"/>
              <w:right w:val="single" w:sz="2" w:space="0" w:color="003366"/>
            </w:tcBorders>
          </w:tcPr>
          <w:p w14:paraId="185E8C61"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E3C3209" w14:textId="77777777" w:rsidR="00F257E0" w:rsidRPr="001B6B99" w:rsidRDefault="00F257E0" w:rsidP="00F257E0">
            <w:pPr>
              <w:pStyle w:val="TableText"/>
              <w:tabs>
                <w:tab w:val="left" w:pos="3306"/>
              </w:tabs>
              <w:rPr>
                <w:rFonts w:cs="Calibri"/>
                <w:szCs w:val="16"/>
              </w:rPr>
            </w:pPr>
            <w:r w:rsidRPr="001B6B99">
              <w:rPr>
                <w:rFonts w:cs="Calibri"/>
                <w:szCs w:val="16"/>
              </w:rPr>
              <w:t>Inventories</w:t>
            </w:r>
          </w:p>
        </w:tc>
        <w:tc>
          <w:tcPr>
            <w:tcW w:w="850" w:type="dxa"/>
            <w:gridSpan w:val="2"/>
            <w:shd w:val="clear" w:color="auto" w:fill="auto"/>
          </w:tcPr>
          <w:p w14:paraId="66588A70"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6DC3DE99" w14:textId="77777777" w:rsidR="00F257E0" w:rsidRPr="001B6B99" w:rsidRDefault="00F257E0" w:rsidP="00F257E0">
            <w:pPr>
              <w:pStyle w:val="TableText"/>
              <w:tabs>
                <w:tab w:val="left" w:pos="3306"/>
              </w:tabs>
              <w:jc w:val="right"/>
              <w:rPr>
                <w:rFonts w:cs="Calibri"/>
                <w:bCs/>
              </w:rPr>
            </w:pPr>
          </w:p>
        </w:tc>
        <w:tc>
          <w:tcPr>
            <w:tcW w:w="850" w:type="dxa"/>
            <w:gridSpan w:val="2"/>
          </w:tcPr>
          <w:p w14:paraId="7A14BF7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E3F93B6" w14:textId="29F012FA"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81277F9"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3791508B" w14:textId="77777777" w:rsidR="00F257E0" w:rsidRPr="001B6B99" w:rsidRDefault="00F257E0" w:rsidP="00F257E0">
            <w:pPr>
              <w:pStyle w:val="TableText"/>
              <w:tabs>
                <w:tab w:val="left" w:pos="3306"/>
              </w:tabs>
              <w:jc w:val="right"/>
              <w:rPr>
                <w:rFonts w:cs="Calibri"/>
                <w:bCs/>
              </w:rPr>
            </w:pPr>
          </w:p>
        </w:tc>
      </w:tr>
      <w:tr w:rsidR="00F257E0" w:rsidRPr="00AA76A0" w14:paraId="23F359D6" w14:textId="77777777" w:rsidTr="00F22D61">
        <w:trPr>
          <w:gridAfter w:val="2"/>
          <w:wAfter w:w="284" w:type="dxa"/>
        </w:trPr>
        <w:tc>
          <w:tcPr>
            <w:tcW w:w="1557" w:type="dxa"/>
            <w:tcBorders>
              <w:left w:val="single" w:sz="2" w:space="0" w:color="003366"/>
              <w:right w:val="single" w:sz="2" w:space="0" w:color="003366"/>
            </w:tcBorders>
          </w:tcPr>
          <w:p w14:paraId="0C499DD6"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F38CDEA" w14:textId="069D4610" w:rsidR="00F257E0" w:rsidRPr="001B6B99" w:rsidRDefault="00A742FB" w:rsidP="00F257E0">
            <w:pPr>
              <w:pStyle w:val="TableText"/>
              <w:tabs>
                <w:tab w:val="left" w:pos="3306"/>
              </w:tabs>
              <w:rPr>
                <w:rFonts w:cs="Calibri"/>
                <w:szCs w:val="16"/>
              </w:rPr>
            </w:pPr>
            <w:r w:rsidRPr="00A742FB">
              <w:rPr>
                <w:rFonts w:cs="Calibri"/>
                <w:color w:val="FF0000"/>
              </w:rPr>
              <w:t xml:space="preserve">Non-Current </w:t>
            </w:r>
            <w:r w:rsidR="00F257E0" w:rsidRPr="001B6B99">
              <w:rPr>
                <w:rFonts w:cs="Calibri"/>
                <w:szCs w:val="16"/>
              </w:rPr>
              <w:t>Assets Held for Sale</w:t>
            </w:r>
          </w:p>
        </w:tc>
        <w:tc>
          <w:tcPr>
            <w:tcW w:w="850" w:type="dxa"/>
            <w:gridSpan w:val="2"/>
            <w:shd w:val="clear" w:color="auto" w:fill="auto"/>
          </w:tcPr>
          <w:p w14:paraId="41408C88"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645C276E" w14:textId="77777777" w:rsidR="00F257E0" w:rsidRPr="001B6B99" w:rsidRDefault="00F257E0" w:rsidP="00F257E0">
            <w:pPr>
              <w:pStyle w:val="TableText"/>
              <w:tabs>
                <w:tab w:val="left" w:pos="3306"/>
              </w:tabs>
              <w:jc w:val="right"/>
              <w:rPr>
                <w:rFonts w:cs="Calibri"/>
                <w:bCs/>
              </w:rPr>
            </w:pPr>
          </w:p>
        </w:tc>
        <w:tc>
          <w:tcPr>
            <w:tcW w:w="850" w:type="dxa"/>
            <w:gridSpan w:val="2"/>
          </w:tcPr>
          <w:p w14:paraId="28E1DA5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3E6181A0" w14:textId="0901E604"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DB6A8B9"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237393A1" w14:textId="77777777" w:rsidR="00F257E0" w:rsidRPr="001B6B99" w:rsidRDefault="00F257E0" w:rsidP="00F257E0">
            <w:pPr>
              <w:pStyle w:val="TableText"/>
              <w:tabs>
                <w:tab w:val="left" w:pos="3306"/>
              </w:tabs>
              <w:jc w:val="right"/>
              <w:rPr>
                <w:rFonts w:cs="Calibri"/>
                <w:bCs/>
              </w:rPr>
            </w:pPr>
          </w:p>
        </w:tc>
      </w:tr>
      <w:tr w:rsidR="00F257E0" w:rsidRPr="00AA76A0" w14:paraId="62241678" w14:textId="77777777" w:rsidTr="00F22D61">
        <w:trPr>
          <w:gridAfter w:val="2"/>
          <w:wAfter w:w="284" w:type="dxa"/>
        </w:trPr>
        <w:tc>
          <w:tcPr>
            <w:tcW w:w="1557" w:type="dxa"/>
            <w:tcBorders>
              <w:left w:val="single" w:sz="2" w:space="0" w:color="003366"/>
              <w:right w:val="single" w:sz="2" w:space="0" w:color="003366"/>
            </w:tcBorders>
          </w:tcPr>
          <w:p w14:paraId="49CA321F"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CF19EC2" w14:textId="77777777" w:rsidR="00F257E0" w:rsidRPr="001B6B99" w:rsidRDefault="00F257E0" w:rsidP="00F257E0">
            <w:pPr>
              <w:pStyle w:val="TableText"/>
              <w:tabs>
                <w:tab w:val="left" w:pos="3306"/>
              </w:tabs>
              <w:rPr>
                <w:rFonts w:cs="Calibri"/>
                <w:szCs w:val="16"/>
              </w:rPr>
            </w:pPr>
            <w:r w:rsidRPr="001B6B99">
              <w:rPr>
                <w:rFonts w:cs="Calibri"/>
                <w:szCs w:val="16"/>
              </w:rPr>
              <w:t>Other Assets</w:t>
            </w:r>
          </w:p>
        </w:tc>
        <w:tc>
          <w:tcPr>
            <w:tcW w:w="850" w:type="dxa"/>
            <w:gridSpan w:val="2"/>
            <w:tcBorders>
              <w:bottom w:val="single" w:sz="2" w:space="0" w:color="auto"/>
            </w:tcBorders>
            <w:shd w:val="clear" w:color="auto" w:fill="auto"/>
          </w:tcPr>
          <w:p w14:paraId="0C646DF8" w14:textId="77777777" w:rsidR="00F257E0" w:rsidRPr="001B6B99"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3DB6F61" w14:textId="77777777" w:rsidR="00F257E0" w:rsidRPr="001B6B99"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929D89E" w14:textId="77777777" w:rsidR="00F257E0" w:rsidRPr="001B6B99"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44C9D21" w14:textId="7B81AF2A" w:rsidR="00F257E0" w:rsidRPr="001B6B99"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A34BA00" w14:textId="77777777" w:rsidR="00F257E0" w:rsidRPr="001B6B99" w:rsidRDefault="00F257E0" w:rsidP="00F257E0">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33D088FD" w14:textId="77777777" w:rsidR="00F257E0" w:rsidRPr="001B6B99" w:rsidRDefault="00F257E0" w:rsidP="00F257E0">
            <w:pPr>
              <w:pStyle w:val="TableText"/>
              <w:tabs>
                <w:tab w:val="left" w:pos="3306"/>
              </w:tabs>
              <w:jc w:val="right"/>
              <w:rPr>
                <w:rFonts w:cs="Calibri"/>
                <w:bCs/>
              </w:rPr>
            </w:pPr>
          </w:p>
        </w:tc>
      </w:tr>
      <w:tr w:rsidR="00F257E0" w:rsidRPr="00AA76A0" w14:paraId="1A683977" w14:textId="77777777" w:rsidTr="00F22D61">
        <w:trPr>
          <w:gridAfter w:val="2"/>
          <w:wAfter w:w="284" w:type="dxa"/>
        </w:trPr>
        <w:tc>
          <w:tcPr>
            <w:tcW w:w="1557" w:type="dxa"/>
            <w:tcBorders>
              <w:left w:val="single" w:sz="2" w:space="0" w:color="003366"/>
              <w:right w:val="single" w:sz="2" w:space="0" w:color="003366"/>
            </w:tcBorders>
          </w:tcPr>
          <w:p w14:paraId="1D7EDB27"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6AA2DAD" w14:textId="77777777" w:rsidR="00F257E0" w:rsidRPr="001B6B99" w:rsidRDefault="00F257E0" w:rsidP="00F257E0">
            <w:pPr>
              <w:pStyle w:val="TableText"/>
              <w:tabs>
                <w:tab w:val="left" w:pos="3306"/>
              </w:tabs>
              <w:rPr>
                <w:rFonts w:cs="Calibri"/>
                <w:b/>
                <w:szCs w:val="16"/>
              </w:rPr>
            </w:pPr>
            <w:r w:rsidRPr="001B6B99">
              <w:rPr>
                <w:rFonts w:cs="Calibri"/>
                <w:b/>
                <w:szCs w:val="16"/>
              </w:rPr>
              <w:t>Total Current Assets</w:t>
            </w:r>
          </w:p>
        </w:tc>
        <w:tc>
          <w:tcPr>
            <w:tcW w:w="850" w:type="dxa"/>
            <w:gridSpan w:val="2"/>
            <w:tcBorders>
              <w:top w:val="single" w:sz="2" w:space="0" w:color="auto"/>
            </w:tcBorders>
            <w:shd w:val="clear" w:color="auto" w:fill="auto"/>
          </w:tcPr>
          <w:p w14:paraId="69A71CC3" w14:textId="77777777" w:rsidR="00F257E0" w:rsidRPr="001B6B99"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4B0759A7" w14:textId="77777777" w:rsidR="00F257E0" w:rsidRPr="001B6B99" w:rsidRDefault="00F257E0" w:rsidP="00F257E0">
            <w:pPr>
              <w:pStyle w:val="TableText"/>
              <w:tabs>
                <w:tab w:val="left" w:pos="3306"/>
              </w:tabs>
              <w:jc w:val="right"/>
              <w:rPr>
                <w:rFonts w:cs="Calibri"/>
                <w:b/>
                <w:bCs/>
                <w:strike/>
              </w:rPr>
            </w:pPr>
          </w:p>
        </w:tc>
        <w:tc>
          <w:tcPr>
            <w:tcW w:w="850" w:type="dxa"/>
            <w:gridSpan w:val="2"/>
            <w:tcBorders>
              <w:top w:val="single" w:sz="2" w:space="0" w:color="auto"/>
            </w:tcBorders>
          </w:tcPr>
          <w:p w14:paraId="4F89F1EC" w14:textId="77777777" w:rsidR="00F257E0" w:rsidRPr="001B6B99"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vAlign w:val="bottom"/>
          </w:tcPr>
          <w:p w14:paraId="74073C53" w14:textId="1567F0B4" w:rsidR="00F257E0" w:rsidRPr="001B6B99" w:rsidRDefault="00F257E0" w:rsidP="00F257E0">
            <w:pPr>
              <w:pStyle w:val="TableText"/>
              <w:tabs>
                <w:tab w:val="left" w:pos="3306"/>
              </w:tabs>
              <w:jc w:val="right"/>
              <w:rPr>
                <w:rFonts w:cs="Calibri"/>
                <w:b/>
                <w:bCs/>
                <w:strike/>
              </w:rPr>
            </w:pPr>
          </w:p>
        </w:tc>
        <w:tc>
          <w:tcPr>
            <w:tcW w:w="1134" w:type="dxa"/>
            <w:gridSpan w:val="2"/>
            <w:tcBorders>
              <w:top w:val="single" w:sz="2" w:space="0" w:color="auto"/>
            </w:tcBorders>
            <w:shd w:val="clear" w:color="auto" w:fill="auto"/>
            <w:vAlign w:val="bottom"/>
          </w:tcPr>
          <w:p w14:paraId="54A22221" w14:textId="77777777" w:rsidR="00F257E0" w:rsidRPr="001B6B99" w:rsidRDefault="00F257E0" w:rsidP="00F257E0">
            <w:pPr>
              <w:pStyle w:val="TableText"/>
              <w:tabs>
                <w:tab w:val="left" w:pos="3306"/>
              </w:tabs>
              <w:jc w:val="right"/>
              <w:rPr>
                <w:rFonts w:cs="Calibri"/>
                <w:b/>
                <w:bCs/>
                <w:strike/>
              </w:rPr>
            </w:pPr>
          </w:p>
        </w:tc>
        <w:tc>
          <w:tcPr>
            <w:tcW w:w="850" w:type="dxa"/>
            <w:gridSpan w:val="2"/>
            <w:tcBorders>
              <w:top w:val="single" w:sz="2" w:space="0" w:color="auto"/>
            </w:tcBorders>
            <w:shd w:val="clear" w:color="auto" w:fill="auto"/>
            <w:vAlign w:val="bottom"/>
          </w:tcPr>
          <w:p w14:paraId="6B042E11" w14:textId="77777777" w:rsidR="00F257E0" w:rsidRPr="001B6B99" w:rsidRDefault="00F257E0" w:rsidP="00F257E0">
            <w:pPr>
              <w:pStyle w:val="TableText"/>
              <w:tabs>
                <w:tab w:val="left" w:pos="3306"/>
              </w:tabs>
              <w:jc w:val="right"/>
              <w:rPr>
                <w:rFonts w:cs="Calibri"/>
                <w:b/>
                <w:bCs/>
              </w:rPr>
            </w:pPr>
          </w:p>
        </w:tc>
      </w:tr>
      <w:tr w:rsidR="00F257E0" w:rsidRPr="00AA76A0" w14:paraId="012E493B" w14:textId="77777777" w:rsidTr="00F22D61">
        <w:trPr>
          <w:gridAfter w:val="2"/>
          <w:wAfter w:w="284" w:type="dxa"/>
          <w:trHeight w:hRule="exact" w:val="170"/>
        </w:trPr>
        <w:tc>
          <w:tcPr>
            <w:tcW w:w="1557" w:type="dxa"/>
            <w:tcBorders>
              <w:left w:val="single" w:sz="2" w:space="0" w:color="003366"/>
              <w:right w:val="single" w:sz="2" w:space="0" w:color="003366"/>
            </w:tcBorders>
          </w:tcPr>
          <w:p w14:paraId="2B71444D"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3560F0C" w14:textId="77777777" w:rsidR="00F257E0" w:rsidRPr="001B6B99" w:rsidRDefault="00F257E0" w:rsidP="00F257E0">
            <w:pPr>
              <w:pStyle w:val="TableText"/>
              <w:tabs>
                <w:tab w:val="left" w:pos="3306"/>
              </w:tabs>
              <w:rPr>
                <w:rFonts w:cs="Calibri"/>
                <w:szCs w:val="16"/>
              </w:rPr>
            </w:pPr>
          </w:p>
        </w:tc>
        <w:tc>
          <w:tcPr>
            <w:tcW w:w="850" w:type="dxa"/>
            <w:gridSpan w:val="2"/>
            <w:shd w:val="clear" w:color="auto" w:fill="auto"/>
          </w:tcPr>
          <w:p w14:paraId="078C075F"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220369FB" w14:textId="77777777" w:rsidR="00F257E0" w:rsidRPr="001B6B99" w:rsidRDefault="00F257E0" w:rsidP="00F257E0">
            <w:pPr>
              <w:pStyle w:val="TableText"/>
              <w:tabs>
                <w:tab w:val="left" w:pos="3306"/>
              </w:tabs>
              <w:jc w:val="right"/>
              <w:rPr>
                <w:rFonts w:cs="Calibri"/>
                <w:bCs/>
              </w:rPr>
            </w:pPr>
          </w:p>
        </w:tc>
        <w:tc>
          <w:tcPr>
            <w:tcW w:w="850" w:type="dxa"/>
            <w:gridSpan w:val="2"/>
          </w:tcPr>
          <w:p w14:paraId="3C0F187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78058AF0" w14:textId="7A12BDFA"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7B00157"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06302CAB" w14:textId="77777777" w:rsidR="00F257E0" w:rsidRPr="001B6B99" w:rsidRDefault="00F257E0" w:rsidP="00F257E0">
            <w:pPr>
              <w:pStyle w:val="TableText"/>
              <w:tabs>
                <w:tab w:val="left" w:pos="3306"/>
              </w:tabs>
              <w:jc w:val="right"/>
              <w:rPr>
                <w:rFonts w:cs="Calibri"/>
                <w:bCs/>
              </w:rPr>
            </w:pPr>
          </w:p>
        </w:tc>
      </w:tr>
      <w:tr w:rsidR="00F257E0" w:rsidRPr="00AA76A0" w14:paraId="20CA9B85" w14:textId="77777777" w:rsidTr="00F22D61">
        <w:trPr>
          <w:gridAfter w:val="2"/>
          <w:wAfter w:w="284" w:type="dxa"/>
        </w:trPr>
        <w:tc>
          <w:tcPr>
            <w:tcW w:w="1557" w:type="dxa"/>
            <w:tcBorders>
              <w:left w:val="single" w:sz="2" w:space="0" w:color="003366"/>
              <w:right w:val="single" w:sz="2" w:space="0" w:color="003366"/>
            </w:tcBorders>
          </w:tcPr>
          <w:p w14:paraId="67BC1D3F"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6BAD84C" w14:textId="77777777" w:rsidR="00F257E0" w:rsidRPr="001B6B99" w:rsidRDefault="00F257E0" w:rsidP="00F257E0">
            <w:pPr>
              <w:pStyle w:val="TableText"/>
              <w:tabs>
                <w:tab w:val="left" w:pos="3306"/>
              </w:tabs>
              <w:rPr>
                <w:rFonts w:cs="Calibri"/>
                <w:b/>
                <w:szCs w:val="16"/>
              </w:rPr>
            </w:pPr>
            <w:r w:rsidRPr="001B6B99">
              <w:rPr>
                <w:rFonts w:cs="Calibri"/>
                <w:b/>
                <w:szCs w:val="16"/>
              </w:rPr>
              <w:t>Non-Current Assets</w:t>
            </w:r>
          </w:p>
        </w:tc>
        <w:tc>
          <w:tcPr>
            <w:tcW w:w="850" w:type="dxa"/>
            <w:gridSpan w:val="2"/>
            <w:shd w:val="clear" w:color="auto" w:fill="auto"/>
          </w:tcPr>
          <w:p w14:paraId="3908BBD1"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1F1A2375" w14:textId="77777777" w:rsidR="00F257E0" w:rsidRPr="001B6B99" w:rsidRDefault="00F257E0" w:rsidP="00F257E0">
            <w:pPr>
              <w:pStyle w:val="TableText"/>
              <w:tabs>
                <w:tab w:val="left" w:pos="3306"/>
              </w:tabs>
              <w:jc w:val="right"/>
              <w:rPr>
                <w:rFonts w:cs="Calibri"/>
                <w:bCs/>
              </w:rPr>
            </w:pPr>
          </w:p>
        </w:tc>
        <w:tc>
          <w:tcPr>
            <w:tcW w:w="850" w:type="dxa"/>
            <w:gridSpan w:val="2"/>
          </w:tcPr>
          <w:p w14:paraId="2911185F"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8CF13DF" w14:textId="2A2A0511"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B3A4015"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4B938F4" w14:textId="77777777" w:rsidR="00F257E0" w:rsidRPr="001B6B99" w:rsidRDefault="00F257E0" w:rsidP="00F257E0">
            <w:pPr>
              <w:pStyle w:val="TableText"/>
              <w:tabs>
                <w:tab w:val="left" w:pos="3306"/>
              </w:tabs>
              <w:jc w:val="right"/>
              <w:rPr>
                <w:rFonts w:cs="Calibri"/>
                <w:bCs/>
              </w:rPr>
            </w:pPr>
          </w:p>
        </w:tc>
      </w:tr>
      <w:tr w:rsidR="00BC2A04" w:rsidRPr="00AA76A0" w14:paraId="741B182B" w14:textId="77777777" w:rsidTr="00F22D61">
        <w:trPr>
          <w:gridAfter w:val="2"/>
          <w:wAfter w:w="284" w:type="dxa"/>
        </w:trPr>
        <w:tc>
          <w:tcPr>
            <w:tcW w:w="1557" w:type="dxa"/>
            <w:tcBorders>
              <w:left w:val="single" w:sz="2" w:space="0" w:color="003366"/>
              <w:right w:val="single" w:sz="2" w:space="0" w:color="003366"/>
            </w:tcBorders>
          </w:tcPr>
          <w:p w14:paraId="46203698" w14:textId="77777777" w:rsidR="00BC2A04" w:rsidRPr="00BF5701" w:rsidRDefault="00BC2A04" w:rsidP="00BC2A04">
            <w:pPr>
              <w:pStyle w:val="Reference"/>
              <w:rPr>
                <w:rFonts w:cs="Calibri"/>
                <w:b w:val="0"/>
                <w:bCs w:val="0"/>
                <w:strike/>
                <w:color w:val="FF0000"/>
                <w:sz w:val="14"/>
                <w:szCs w:val="14"/>
              </w:rPr>
            </w:pPr>
          </w:p>
        </w:tc>
        <w:tc>
          <w:tcPr>
            <w:tcW w:w="3402" w:type="dxa"/>
            <w:tcBorders>
              <w:left w:val="single" w:sz="2" w:space="0" w:color="003366"/>
            </w:tcBorders>
            <w:shd w:val="clear" w:color="auto" w:fill="auto"/>
            <w:vAlign w:val="bottom"/>
          </w:tcPr>
          <w:p w14:paraId="5CDB31DE" w14:textId="1BAC9D85" w:rsidR="00BC2A04" w:rsidRPr="001B6B99" w:rsidRDefault="00BC2A04" w:rsidP="00BC2A04">
            <w:pPr>
              <w:pStyle w:val="TableText"/>
              <w:tabs>
                <w:tab w:val="left" w:pos="3306"/>
              </w:tabs>
              <w:rPr>
                <w:rFonts w:cs="Calibri"/>
                <w:b/>
                <w:szCs w:val="16"/>
              </w:rPr>
            </w:pPr>
            <w:r w:rsidRPr="00B73007">
              <w:rPr>
                <w:rFonts w:cs="Calibri"/>
                <w:szCs w:val="16"/>
              </w:rPr>
              <w:t>Investments</w:t>
            </w:r>
            <w:r w:rsidRPr="001B6B99">
              <w:rPr>
                <w:rFonts w:cs="Calibri"/>
                <w:szCs w:val="16"/>
              </w:rPr>
              <w:t xml:space="preserve"> </w:t>
            </w:r>
          </w:p>
        </w:tc>
        <w:tc>
          <w:tcPr>
            <w:tcW w:w="850" w:type="dxa"/>
            <w:gridSpan w:val="2"/>
            <w:shd w:val="clear" w:color="auto" w:fill="auto"/>
          </w:tcPr>
          <w:p w14:paraId="60150AE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24F55E6" w14:textId="77777777" w:rsidR="00BC2A04" w:rsidRPr="001B6B99" w:rsidRDefault="00BC2A04" w:rsidP="00BC2A04">
            <w:pPr>
              <w:pStyle w:val="TableText"/>
              <w:tabs>
                <w:tab w:val="left" w:pos="3306"/>
              </w:tabs>
              <w:jc w:val="right"/>
              <w:rPr>
                <w:rFonts w:cs="Calibri"/>
                <w:bCs/>
              </w:rPr>
            </w:pPr>
          </w:p>
        </w:tc>
        <w:tc>
          <w:tcPr>
            <w:tcW w:w="850" w:type="dxa"/>
            <w:gridSpan w:val="2"/>
          </w:tcPr>
          <w:p w14:paraId="589F0B34"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87DC200"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3B885A5C"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8FF4586" w14:textId="77777777" w:rsidR="00BC2A04" w:rsidRPr="001B6B99" w:rsidRDefault="00BC2A04" w:rsidP="00BC2A04">
            <w:pPr>
              <w:pStyle w:val="TableText"/>
              <w:tabs>
                <w:tab w:val="left" w:pos="3306"/>
              </w:tabs>
              <w:jc w:val="right"/>
              <w:rPr>
                <w:rFonts w:cs="Calibri"/>
                <w:bCs/>
              </w:rPr>
            </w:pPr>
          </w:p>
        </w:tc>
      </w:tr>
      <w:tr w:rsidR="00BC2A04" w:rsidRPr="00AA76A0" w14:paraId="26B9F4C8" w14:textId="77777777" w:rsidTr="00F22D61">
        <w:trPr>
          <w:gridAfter w:val="2"/>
          <w:wAfter w:w="284" w:type="dxa"/>
        </w:trPr>
        <w:tc>
          <w:tcPr>
            <w:tcW w:w="1557" w:type="dxa"/>
            <w:tcBorders>
              <w:left w:val="single" w:sz="2" w:space="0" w:color="003366"/>
              <w:right w:val="single" w:sz="2" w:space="0" w:color="003366"/>
            </w:tcBorders>
          </w:tcPr>
          <w:p w14:paraId="17BCFD9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859F74E" w14:textId="77777777" w:rsidR="00BC2A04" w:rsidRPr="00676AA9" w:rsidRDefault="00BC2A04" w:rsidP="00BC2A04">
            <w:pPr>
              <w:pStyle w:val="TableText"/>
              <w:tabs>
                <w:tab w:val="left" w:pos="3306"/>
              </w:tabs>
              <w:rPr>
                <w:rFonts w:cs="Calibri"/>
                <w:szCs w:val="16"/>
              </w:rPr>
            </w:pPr>
            <w:r w:rsidRPr="00676AA9">
              <w:rPr>
                <w:rFonts w:cs="Calibri"/>
                <w:szCs w:val="16"/>
              </w:rPr>
              <w:t>Receivables</w:t>
            </w:r>
          </w:p>
        </w:tc>
        <w:tc>
          <w:tcPr>
            <w:tcW w:w="850" w:type="dxa"/>
            <w:gridSpan w:val="2"/>
            <w:shd w:val="clear" w:color="auto" w:fill="auto"/>
          </w:tcPr>
          <w:p w14:paraId="3E71369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18471A3E" w14:textId="77777777" w:rsidR="00BC2A04" w:rsidRPr="001B6B99" w:rsidRDefault="00BC2A04" w:rsidP="00BC2A04">
            <w:pPr>
              <w:pStyle w:val="TableText"/>
              <w:tabs>
                <w:tab w:val="left" w:pos="3306"/>
              </w:tabs>
              <w:jc w:val="right"/>
              <w:rPr>
                <w:rFonts w:cs="Calibri"/>
                <w:bCs/>
              </w:rPr>
            </w:pPr>
          </w:p>
        </w:tc>
        <w:tc>
          <w:tcPr>
            <w:tcW w:w="850" w:type="dxa"/>
            <w:gridSpan w:val="2"/>
          </w:tcPr>
          <w:p w14:paraId="3B7385BC"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AC66D86" w14:textId="0FE0BB06"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2964A5F1"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53ED68F" w14:textId="77777777" w:rsidR="00BC2A04" w:rsidRPr="001B6B99" w:rsidRDefault="00BC2A04" w:rsidP="00BC2A04">
            <w:pPr>
              <w:pStyle w:val="TableText"/>
              <w:tabs>
                <w:tab w:val="left" w:pos="3306"/>
              </w:tabs>
              <w:jc w:val="right"/>
              <w:rPr>
                <w:rFonts w:cs="Calibri"/>
                <w:bCs/>
              </w:rPr>
            </w:pPr>
          </w:p>
        </w:tc>
      </w:tr>
      <w:tr w:rsidR="00BC2A04" w:rsidRPr="00AA76A0" w14:paraId="1CC5146F" w14:textId="77777777" w:rsidTr="00F22D61">
        <w:trPr>
          <w:gridAfter w:val="2"/>
          <w:wAfter w:w="284" w:type="dxa"/>
        </w:trPr>
        <w:tc>
          <w:tcPr>
            <w:tcW w:w="1557" w:type="dxa"/>
            <w:tcBorders>
              <w:left w:val="single" w:sz="2" w:space="0" w:color="003366"/>
              <w:right w:val="single" w:sz="2" w:space="0" w:color="003366"/>
            </w:tcBorders>
          </w:tcPr>
          <w:p w14:paraId="46F0656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F6F554C" w14:textId="50CA08BA" w:rsidR="00BC2A04" w:rsidRPr="00676AA9" w:rsidRDefault="00BC2A04" w:rsidP="00BC2A04">
            <w:pPr>
              <w:pStyle w:val="TableText"/>
              <w:tabs>
                <w:tab w:val="left" w:pos="3306"/>
              </w:tabs>
              <w:rPr>
                <w:rFonts w:cs="Calibri"/>
                <w:strike/>
                <w:szCs w:val="16"/>
              </w:rPr>
            </w:pPr>
            <w:r w:rsidRPr="00676AA9">
              <w:rPr>
                <w:rFonts w:cs="Calibri"/>
                <w:strike/>
                <w:color w:val="FF0000"/>
              </w:rPr>
              <w:t>Contract Assets</w:t>
            </w:r>
          </w:p>
        </w:tc>
        <w:tc>
          <w:tcPr>
            <w:tcW w:w="850" w:type="dxa"/>
            <w:gridSpan w:val="2"/>
            <w:shd w:val="clear" w:color="auto" w:fill="auto"/>
          </w:tcPr>
          <w:p w14:paraId="3D280A85"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42855DA" w14:textId="77777777" w:rsidR="00BC2A04" w:rsidRPr="001B6B99" w:rsidRDefault="00BC2A04" w:rsidP="00BC2A04">
            <w:pPr>
              <w:pStyle w:val="TableText"/>
              <w:tabs>
                <w:tab w:val="left" w:pos="3306"/>
              </w:tabs>
              <w:jc w:val="right"/>
              <w:rPr>
                <w:rFonts w:cs="Calibri"/>
                <w:bCs/>
              </w:rPr>
            </w:pPr>
          </w:p>
        </w:tc>
        <w:tc>
          <w:tcPr>
            <w:tcW w:w="850" w:type="dxa"/>
            <w:gridSpan w:val="2"/>
          </w:tcPr>
          <w:p w14:paraId="400CBF0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A725540" w14:textId="59DE4BBF"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F3D55E8"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F15A76F" w14:textId="77777777" w:rsidR="00BC2A04" w:rsidRPr="001B6B99" w:rsidRDefault="00BC2A04" w:rsidP="00BC2A04">
            <w:pPr>
              <w:pStyle w:val="TableText"/>
              <w:tabs>
                <w:tab w:val="left" w:pos="3306"/>
              </w:tabs>
              <w:jc w:val="right"/>
              <w:rPr>
                <w:rFonts w:cs="Calibri"/>
                <w:bCs/>
              </w:rPr>
            </w:pPr>
          </w:p>
        </w:tc>
      </w:tr>
      <w:tr w:rsidR="006B5DF1" w:rsidRPr="00AA76A0" w14:paraId="7710B4AF" w14:textId="77777777" w:rsidTr="00F22D61">
        <w:trPr>
          <w:gridAfter w:val="2"/>
          <w:wAfter w:w="284" w:type="dxa"/>
        </w:trPr>
        <w:tc>
          <w:tcPr>
            <w:tcW w:w="1557" w:type="dxa"/>
            <w:tcBorders>
              <w:left w:val="single" w:sz="2" w:space="0" w:color="003366"/>
              <w:right w:val="single" w:sz="2" w:space="0" w:color="003366"/>
            </w:tcBorders>
          </w:tcPr>
          <w:p w14:paraId="0F4B4A09" w14:textId="77777777" w:rsidR="006B5DF1" w:rsidRPr="004C6029" w:rsidRDefault="006B5DF1"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663E36E" w14:textId="56F08726" w:rsidR="006B5DF1" w:rsidRPr="001B6B99" w:rsidRDefault="006B5DF1" w:rsidP="00BC2A04">
            <w:pPr>
              <w:pStyle w:val="TableText"/>
              <w:tabs>
                <w:tab w:val="left" w:pos="3306"/>
              </w:tabs>
              <w:rPr>
                <w:rFonts w:cs="Calibri"/>
              </w:rPr>
            </w:pPr>
            <w:r w:rsidRPr="001B6B99">
              <w:rPr>
                <w:rFonts w:cs="Calibri"/>
                <w:szCs w:val="16"/>
              </w:rPr>
              <w:t>Inventories</w:t>
            </w:r>
          </w:p>
        </w:tc>
        <w:tc>
          <w:tcPr>
            <w:tcW w:w="850" w:type="dxa"/>
            <w:gridSpan w:val="2"/>
            <w:shd w:val="clear" w:color="auto" w:fill="auto"/>
          </w:tcPr>
          <w:p w14:paraId="5118DA96" w14:textId="77777777" w:rsidR="006B5DF1" w:rsidRPr="001B6B99" w:rsidRDefault="006B5DF1" w:rsidP="00BC2A04">
            <w:pPr>
              <w:pStyle w:val="TableText"/>
              <w:tabs>
                <w:tab w:val="left" w:pos="3306"/>
              </w:tabs>
              <w:jc w:val="right"/>
              <w:rPr>
                <w:rFonts w:cs="Calibri"/>
                <w:bCs/>
              </w:rPr>
            </w:pPr>
          </w:p>
        </w:tc>
        <w:tc>
          <w:tcPr>
            <w:tcW w:w="851" w:type="dxa"/>
            <w:gridSpan w:val="2"/>
            <w:shd w:val="clear" w:color="auto" w:fill="auto"/>
          </w:tcPr>
          <w:p w14:paraId="41868E59" w14:textId="77777777" w:rsidR="006B5DF1" w:rsidRPr="001B6B99" w:rsidRDefault="006B5DF1" w:rsidP="00BC2A04">
            <w:pPr>
              <w:pStyle w:val="TableText"/>
              <w:tabs>
                <w:tab w:val="left" w:pos="3306"/>
              </w:tabs>
              <w:jc w:val="right"/>
              <w:rPr>
                <w:rFonts w:cs="Calibri"/>
                <w:bCs/>
              </w:rPr>
            </w:pPr>
          </w:p>
        </w:tc>
        <w:tc>
          <w:tcPr>
            <w:tcW w:w="850" w:type="dxa"/>
            <w:gridSpan w:val="2"/>
          </w:tcPr>
          <w:p w14:paraId="620FCEB6" w14:textId="77777777" w:rsidR="006B5DF1" w:rsidRPr="001B6B99" w:rsidRDefault="006B5DF1" w:rsidP="00BC2A04">
            <w:pPr>
              <w:pStyle w:val="TableText"/>
              <w:tabs>
                <w:tab w:val="left" w:pos="3306"/>
              </w:tabs>
              <w:jc w:val="right"/>
              <w:rPr>
                <w:rFonts w:cs="Calibri"/>
                <w:bCs/>
              </w:rPr>
            </w:pPr>
          </w:p>
        </w:tc>
        <w:tc>
          <w:tcPr>
            <w:tcW w:w="851" w:type="dxa"/>
            <w:gridSpan w:val="2"/>
            <w:shd w:val="clear" w:color="auto" w:fill="auto"/>
            <w:vAlign w:val="bottom"/>
          </w:tcPr>
          <w:p w14:paraId="137A08EB" w14:textId="77777777" w:rsidR="006B5DF1" w:rsidRPr="001B6B99" w:rsidRDefault="006B5DF1" w:rsidP="00BC2A04">
            <w:pPr>
              <w:pStyle w:val="TableText"/>
              <w:tabs>
                <w:tab w:val="left" w:pos="3306"/>
              </w:tabs>
              <w:jc w:val="right"/>
              <w:rPr>
                <w:rFonts w:cs="Calibri"/>
                <w:bCs/>
              </w:rPr>
            </w:pPr>
          </w:p>
        </w:tc>
        <w:tc>
          <w:tcPr>
            <w:tcW w:w="1134" w:type="dxa"/>
            <w:gridSpan w:val="2"/>
            <w:shd w:val="clear" w:color="auto" w:fill="auto"/>
            <w:vAlign w:val="bottom"/>
          </w:tcPr>
          <w:p w14:paraId="4BB4C8F5" w14:textId="77777777" w:rsidR="006B5DF1" w:rsidRPr="001B6B99" w:rsidRDefault="006B5DF1" w:rsidP="00BC2A04">
            <w:pPr>
              <w:pStyle w:val="TableText"/>
              <w:tabs>
                <w:tab w:val="left" w:pos="3306"/>
              </w:tabs>
              <w:jc w:val="right"/>
              <w:rPr>
                <w:rFonts w:cs="Calibri"/>
                <w:bCs/>
              </w:rPr>
            </w:pPr>
          </w:p>
        </w:tc>
        <w:tc>
          <w:tcPr>
            <w:tcW w:w="850" w:type="dxa"/>
            <w:gridSpan w:val="2"/>
            <w:shd w:val="clear" w:color="auto" w:fill="auto"/>
            <w:vAlign w:val="bottom"/>
          </w:tcPr>
          <w:p w14:paraId="718E3192" w14:textId="77777777" w:rsidR="006B5DF1" w:rsidRPr="001B6B99" w:rsidRDefault="006B5DF1" w:rsidP="00BC2A04">
            <w:pPr>
              <w:pStyle w:val="TableText"/>
              <w:tabs>
                <w:tab w:val="left" w:pos="3306"/>
              </w:tabs>
              <w:jc w:val="right"/>
              <w:rPr>
                <w:rFonts w:cs="Calibri"/>
                <w:bCs/>
              </w:rPr>
            </w:pPr>
          </w:p>
        </w:tc>
      </w:tr>
      <w:tr w:rsidR="00BC2A04" w:rsidRPr="00AA76A0" w14:paraId="4B41BC95" w14:textId="77777777" w:rsidTr="00F22D61">
        <w:trPr>
          <w:gridAfter w:val="2"/>
          <w:wAfter w:w="284" w:type="dxa"/>
        </w:trPr>
        <w:tc>
          <w:tcPr>
            <w:tcW w:w="1557" w:type="dxa"/>
            <w:tcBorders>
              <w:left w:val="single" w:sz="2" w:space="0" w:color="003366"/>
              <w:right w:val="single" w:sz="2" w:space="0" w:color="003366"/>
            </w:tcBorders>
          </w:tcPr>
          <w:p w14:paraId="4FADA84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41CE62F" w14:textId="77777777" w:rsidR="00BC2A04" w:rsidRPr="001B6B99" w:rsidRDefault="00BC2A04" w:rsidP="00BC2A04">
            <w:pPr>
              <w:pStyle w:val="TableText"/>
              <w:tabs>
                <w:tab w:val="left" w:pos="3306"/>
              </w:tabs>
              <w:rPr>
                <w:rFonts w:cs="Calibri"/>
                <w:szCs w:val="16"/>
              </w:rPr>
            </w:pPr>
            <w:r w:rsidRPr="001B6B99">
              <w:rPr>
                <w:rFonts w:cs="Calibri"/>
                <w:szCs w:val="16"/>
              </w:rPr>
              <w:t>Investment – Joint Venture</w:t>
            </w:r>
          </w:p>
        </w:tc>
        <w:tc>
          <w:tcPr>
            <w:tcW w:w="850" w:type="dxa"/>
            <w:gridSpan w:val="2"/>
            <w:shd w:val="clear" w:color="auto" w:fill="auto"/>
          </w:tcPr>
          <w:p w14:paraId="73B77CB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138DBBC" w14:textId="77777777" w:rsidR="00BC2A04" w:rsidRPr="001B6B99" w:rsidRDefault="00BC2A04" w:rsidP="00BC2A04">
            <w:pPr>
              <w:pStyle w:val="TableText"/>
              <w:tabs>
                <w:tab w:val="left" w:pos="3306"/>
              </w:tabs>
              <w:jc w:val="right"/>
              <w:rPr>
                <w:rFonts w:cs="Calibri"/>
                <w:bCs/>
              </w:rPr>
            </w:pPr>
          </w:p>
        </w:tc>
        <w:tc>
          <w:tcPr>
            <w:tcW w:w="850" w:type="dxa"/>
            <w:gridSpan w:val="2"/>
          </w:tcPr>
          <w:p w14:paraId="4C21A87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D52B85A" w14:textId="4409EEF9"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977349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D29E4F6" w14:textId="77777777" w:rsidR="00BC2A04" w:rsidRPr="001B6B99" w:rsidRDefault="00BC2A04" w:rsidP="00BC2A04">
            <w:pPr>
              <w:pStyle w:val="TableText"/>
              <w:tabs>
                <w:tab w:val="left" w:pos="3306"/>
              </w:tabs>
              <w:jc w:val="right"/>
              <w:rPr>
                <w:rFonts w:cs="Calibri"/>
                <w:bCs/>
              </w:rPr>
            </w:pPr>
          </w:p>
        </w:tc>
      </w:tr>
      <w:tr w:rsidR="00BC2A04" w:rsidRPr="00AA76A0" w14:paraId="1BAE5944" w14:textId="77777777" w:rsidTr="00F22D61">
        <w:trPr>
          <w:gridAfter w:val="2"/>
          <w:wAfter w:w="284" w:type="dxa"/>
        </w:trPr>
        <w:tc>
          <w:tcPr>
            <w:tcW w:w="1557" w:type="dxa"/>
            <w:tcBorders>
              <w:left w:val="single" w:sz="2" w:space="0" w:color="003366"/>
              <w:right w:val="single" w:sz="2" w:space="0" w:color="003366"/>
            </w:tcBorders>
          </w:tcPr>
          <w:p w14:paraId="33EC8CDA"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4E4502E" w14:textId="77777777" w:rsidR="00BC2A04" w:rsidRPr="001B6B99" w:rsidRDefault="00BC2A04" w:rsidP="00BC2A04">
            <w:pPr>
              <w:pStyle w:val="TableText"/>
              <w:tabs>
                <w:tab w:val="left" w:pos="3306"/>
              </w:tabs>
              <w:rPr>
                <w:rFonts w:cs="Calibri"/>
                <w:szCs w:val="16"/>
              </w:rPr>
            </w:pPr>
            <w:r w:rsidRPr="001B6B99">
              <w:rPr>
                <w:rFonts w:cs="Calibri"/>
                <w:szCs w:val="16"/>
              </w:rPr>
              <w:t>Property, Plant and Equipment</w:t>
            </w:r>
          </w:p>
        </w:tc>
        <w:tc>
          <w:tcPr>
            <w:tcW w:w="850" w:type="dxa"/>
            <w:gridSpan w:val="2"/>
            <w:shd w:val="clear" w:color="auto" w:fill="auto"/>
          </w:tcPr>
          <w:p w14:paraId="15E4A50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F9C508A" w14:textId="77777777" w:rsidR="00BC2A04" w:rsidRPr="001B6B99" w:rsidRDefault="00BC2A04" w:rsidP="00BC2A04">
            <w:pPr>
              <w:pStyle w:val="TableText"/>
              <w:tabs>
                <w:tab w:val="left" w:pos="3306"/>
              </w:tabs>
              <w:jc w:val="right"/>
              <w:rPr>
                <w:rFonts w:cs="Calibri"/>
                <w:bCs/>
              </w:rPr>
            </w:pPr>
          </w:p>
        </w:tc>
        <w:tc>
          <w:tcPr>
            <w:tcW w:w="850" w:type="dxa"/>
            <w:gridSpan w:val="2"/>
          </w:tcPr>
          <w:p w14:paraId="78429AA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ACAAB28" w14:textId="4248A72F" w:rsidR="00BC2A04" w:rsidRPr="001B6B99" w:rsidRDefault="00BC2A04" w:rsidP="00BC2A04">
            <w:pPr>
              <w:pStyle w:val="TableText"/>
              <w:tabs>
                <w:tab w:val="left" w:pos="3306"/>
              </w:tabs>
              <w:jc w:val="right"/>
              <w:rPr>
                <w:rFonts w:cs="Calibri"/>
                <w:bCs/>
              </w:rPr>
            </w:pPr>
          </w:p>
        </w:tc>
        <w:tc>
          <w:tcPr>
            <w:tcW w:w="1134" w:type="dxa"/>
            <w:gridSpan w:val="2"/>
            <w:shd w:val="clear" w:color="auto" w:fill="auto"/>
          </w:tcPr>
          <w:p w14:paraId="3C14DC1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tcPr>
          <w:p w14:paraId="074C7843" w14:textId="77777777" w:rsidR="00BC2A04" w:rsidRPr="001B6B99" w:rsidRDefault="00BC2A04" w:rsidP="00BC2A04">
            <w:pPr>
              <w:pStyle w:val="TableText"/>
              <w:tabs>
                <w:tab w:val="left" w:pos="3306"/>
              </w:tabs>
              <w:jc w:val="right"/>
              <w:rPr>
                <w:rFonts w:cs="Calibri"/>
                <w:bCs/>
              </w:rPr>
            </w:pPr>
          </w:p>
        </w:tc>
      </w:tr>
      <w:tr w:rsidR="00BC2A04" w:rsidRPr="00AA76A0" w14:paraId="74743F6F" w14:textId="77777777" w:rsidTr="00F22D61">
        <w:trPr>
          <w:gridAfter w:val="2"/>
          <w:wAfter w:w="284" w:type="dxa"/>
        </w:trPr>
        <w:tc>
          <w:tcPr>
            <w:tcW w:w="1557" w:type="dxa"/>
            <w:tcBorders>
              <w:left w:val="single" w:sz="2" w:space="0" w:color="003366"/>
              <w:right w:val="single" w:sz="2" w:space="0" w:color="003366"/>
            </w:tcBorders>
          </w:tcPr>
          <w:p w14:paraId="0AA33EA7"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3A741F1" w14:textId="77777777" w:rsidR="00BC2A04" w:rsidRPr="001B6B99" w:rsidRDefault="00BC2A04" w:rsidP="00BC2A04">
            <w:pPr>
              <w:pStyle w:val="TableText"/>
              <w:tabs>
                <w:tab w:val="left" w:pos="3306"/>
              </w:tabs>
              <w:rPr>
                <w:rFonts w:cs="Calibri"/>
                <w:szCs w:val="16"/>
              </w:rPr>
            </w:pPr>
            <w:r w:rsidRPr="001B6B99">
              <w:rPr>
                <w:rFonts w:cs="Calibri"/>
                <w:szCs w:val="16"/>
              </w:rPr>
              <w:t>Investment Properties</w:t>
            </w:r>
          </w:p>
        </w:tc>
        <w:tc>
          <w:tcPr>
            <w:tcW w:w="850" w:type="dxa"/>
            <w:gridSpan w:val="2"/>
            <w:shd w:val="clear" w:color="auto" w:fill="auto"/>
          </w:tcPr>
          <w:p w14:paraId="32999A0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9B6284D" w14:textId="77777777" w:rsidR="00BC2A04" w:rsidRPr="001B6B99" w:rsidRDefault="00BC2A04" w:rsidP="00BC2A04">
            <w:pPr>
              <w:pStyle w:val="TableText"/>
              <w:tabs>
                <w:tab w:val="left" w:pos="3306"/>
              </w:tabs>
              <w:jc w:val="right"/>
              <w:rPr>
                <w:rFonts w:cs="Calibri"/>
                <w:bCs/>
              </w:rPr>
            </w:pPr>
          </w:p>
        </w:tc>
        <w:tc>
          <w:tcPr>
            <w:tcW w:w="850" w:type="dxa"/>
            <w:gridSpan w:val="2"/>
          </w:tcPr>
          <w:p w14:paraId="7142740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C34E930" w14:textId="2E32E330"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4E2C0C3"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4A09C916" w14:textId="77777777" w:rsidR="00BC2A04" w:rsidRPr="001B6B99" w:rsidRDefault="00BC2A04" w:rsidP="00BC2A04">
            <w:pPr>
              <w:pStyle w:val="TableText"/>
              <w:tabs>
                <w:tab w:val="left" w:pos="3306"/>
              </w:tabs>
              <w:jc w:val="right"/>
              <w:rPr>
                <w:rFonts w:cs="Calibri"/>
                <w:bCs/>
              </w:rPr>
            </w:pPr>
          </w:p>
        </w:tc>
      </w:tr>
      <w:tr w:rsidR="00BC2A04" w:rsidRPr="00AA76A0" w14:paraId="052CE6D0" w14:textId="77777777" w:rsidTr="00F22D61">
        <w:trPr>
          <w:gridAfter w:val="2"/>
          <w:wAfter w:w="284" w:type="dxa"/>
        </w:trPr>
        <w:tc>
          <w:tcPr>
            <w:tcW w:w="1557" w:type="dxa"/>
            <w:tcBorders>
              <w:left w:val="single" w:sz="2" w:space="0" w:color="003366"/>
              <w:right w:val="single" w:sz="2" w:space="0" w:color="003366"/>
            </w:tcBorders>
          </w:tcPr>
          <w:p w14:paraId="2AB27B7D"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C382F1F" w14:textId="77777777" w:rsidR="00BC2A04" w:rsidRPr="001B6B99" w:rsidRDefault="00BC2A04" w:rsidP="00BC2A04">
            <w:pPr>
              <w:pStyle w:val="TableText"/>
              <w:tabs>
                <w:tab w:val="left" w:pos="3306"/>
              </w:tabs>
              <w:rPr>
                <w:rFonts w:cs="Calibri"/>
                <w:szCs w:val="16"/>
              </w:rPr>
            </w:pPr>
            <w:r w:rsidRPr="001B6B99">
              <w:rPr>
                <w:rFonts w:cs="Calibri"/>
                <w:szCs w:val="16"/>
              </w:rPr>
              <w:t>Intangible Assets</w:t>
            </w:r>
          </w:p>
        </w:tc>
        <w:tc>
          <w:tcPr>
            <w:tcW w:w="850" w:type="dxa"/>
            <w:gridSpan w:val="2"/>
            <w:shd w:val="clear" w:color="auto" w:fill="auto"/>
          </w:tcPr>
          <w:p w14:paraId="32748165"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A94BDF5" w14:textId="77777777" w:rsidR="00BC2A04" w:rsidRPr="001B6B99" w:rsidRDefault="00BC2A04" w:rsidP="00BC2A04">
            <w:pPr>
              <w:pStyle w:val="TableText"/>
              <w:tabs>
                <w:tab w:val="left" w:pos="3306"/>
              </w:tabs>
              <w:jc w:val="right"/>
              <w:rPr>
                <w:rFonts w:cs="Calibri"/>
                <w:bCs/>
              </w:rPr>
            </w:pPr>
          </w:p>
        </w:tc>
        <w:tc>
          <w:tcPr>
            <w:tcW w:w="850" w:type="dxa"/>
            <w:gridSpan w:val="2"/>
          </w:tcPr>
          <w:p w14:paraId="1AF1AA6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74837AB" w14:textId="1D6A880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288C88E5"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26C70B7" w14:textId="77777777" w:rsidR="00BC2A04" w:rsidRPr="001B6B99" w:rsidRDefault="00BC2A04" w:rsidP="00BC2A04">
            <w:pPr>
              <w:pStyle w:val="TableText"/>
              <w:tabs>
                <w:tab w:val="left" w:pos="3306"/>
              </w:tabs>
              <w:jc w:val="right"/>
              <w:rPr>
                <w:rFonts w:cs="Calibri"/>
                <w:bCs/>
              </w:rPr>
            </w:pPr>
          </w:p>
        </w:tc>
      </w:tr>
      <w:tr w:rsidR="00BC2A04" w:rsidRPr="00AA76A0" w14:paraId="7C8B0DD8" w14:textId="77777777" w:rsidTr="00F22D61">
        <w:trPr>
          <w:gridAfter w:val="2"/>
          <w:wAfter w:w="284" w:type="dxa"/>
        </w:trPr>
        <w:tc>
          <w:tcPr>
            <w:tcW w:w="1557" w:type="dxa"/>
            <w:tcBorders>
              <w:left w:val="single" w:sz="2" w:space="0" w:color="003366"/>
              <w:right w:val="single" w:sz="2" w:space="0" w:color="003366"/>
            </w:tcBorders>
          </w:tcPr>
          <w:p w14:paraId="269F743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E3ADDE4" w14:textId="77777777" w:rsidR="00BC2A04" w:rsidRPr="001B6B99" w:rsidRDefault="00BC2A04" w:rsidP="00BC2A04">
            <w:pPr>
              <w:pStyle w:val="TableText"/>
              <w:tabs>
                <w:tab w:val="left" w:pos="3306"/>
              </w:tabs>
              <w:rPr>
                <w:rFonts w:cs="Calibri"/>
                <w:szCs w:val="16"/>
              </w:rPr>
            </w:pPr>
            <w:r w:rsidRPr="001B6B99">
              <w:rPr>
                <w:rFonts w:cs="Calibri"/>
                <w:szCs w:val="16"/>
              </w:rPr>
              <w:t>Capital Works in Progress</w:t>
            </w:r>
          </w:p>
        </w:tc>
        <w:tc>
          <w:tcPr>
            <w:tcW w:w="850" w:type="dxa"/>
            <w:gridSpan w:val="2"/>
            <w:shd w:val="clear" w:color="auto" w:fill="auto"/>
          </w:tcPr>
          <w:p w14:paraId="435F413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8564043" w14:textId="77777777" w:rsidR="00BC2A04" w:rsidRPr="001B6B99" w:rsidRDefault="00BC2A04" w:rsidP="00BC2A04">
            <w:pPr>
              <w:pStyle w:val="TableText"/>
              <w:tabs>
                <w:tab w:val="left" w:pos="3306"/>
              </w:tabs>
              <w:jc w:val="right"/>
              <w:rPr>
                <w:rFonts w:cs="Calibri"/>
                <w:bCs/>
              </w:rPr>
            </w:pPr>
          </w:p>
        </w:tc>
        <w:tc>
          <w:tcPr>
            <w:tcW w:w="850" w:type="dxa"/>
            <w:gridSpan w:val="2"/>
          </w:tcPr>
          <w:p w14:paraId="030B638F"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FEC1D49" w14:textId="4422B876"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02C564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FF6DD0D" w14:textId="77777777" w:rsidR="00BC2A04" w:rsidRPr="001B6B99" w:rsidRDefault="00BC2A04" w:rsidP="00BC2A04">
            <w:pPr>
              <w:pStyle w:val="TableText"/>
              <w:tabs>
                <w:tab w:val="left" w:pos="3306"/>
              </w:tabs>
              <w:jc w:val="right"/>
              <w:rPr>
                <w:rFonts w:cs="Calibri"/>
                <w:bCs/>
              </w:rPr>
            </w:pPr>
          </w:p>
        </w:tc>
      </w:tr>
      <w:tr w:rsidR="00BC2A04" w:rsidRPr="00AA76A0" w14:paraId="3AE77D00" w14:textId="77777777" w:rsidTr="00F22D61">
        <w:trPr>
          <w:gridAfter w:val="2"/>
          <w:wAfter w:w="284" w:type="dxa"/>
        </w:trPr>
        <w:tc>
          <w:tcPr>
            <w:tcW w:w="1557" w:type="dxa"/>
            <w:tcBorders>
              <w:left w:val="single" w:sz="2" w:space="0" w:color="003366"/>
              <w:right w:val="single" w:sz="2" w:space="0" w:color="003366"/>
            </w:tcBorders>
          </w:tcPr>
          <w:p w14:paraId="7D9F02B0"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8371771" w14:textId="77777777" w:rsidR="00BC2A04" w:rsidRPr="001B6B99" w:rsidRDefault="00BC2A04" w:rsidP="00BC2A04">
            <w:pPr>
              <w:pStyle w:val="TableText"/>
              <w:tabs>
                <w:tab w:val="left" w:pos="3306"/>
              </w:tabs>
              <w:rPr>
                <w:rFonts w:cs="Calibri"/>
                <w:szCs w:val="16"/>
              </w:rPr>
            </w:pPr>
            <w:r w:rsidRPr="001B6B99">
              <w:rPr>
                <w:rFonts w:cs="Calibri"/>
                <w:szCs w:val="16"/>
              </w:rPr>
              <w:t>Other Assets</w:t>
            </w:r>
          </w:p>
        </w:tc>
        <w:tc>
          <w:tcPr>
            <w:tcW w:w="850" w:type="dxa"/>
            <w:gridSpan w:val="2"/>
            <w:tcBorders>
              <w:bottom w:val="single" w:sz="2" w:space="0" w:color="auto"/>
            </w:tcBorders>
            <w:shd w:val="clear" w:color="auto" w:fill="auto"/>
          </w:tcPr>
          <w:p w14:paraId="548B2D7B"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7A5CA2F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2EA7D3D6"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EE400E5" w14:textId="66F70C82"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1C032916"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404BE6F1" w14:textId="77777777" w:rsidR="00BC2A04" w:rsidRPr="001B6B99" w:rsidRDefault="00BC2A04" w:rsidP="00BC2A04">
            <w:pPr>
              <w:pStyle w:val="TableText"/>
              <w:tabs>
                <w:tab w:val="left" w:pos="3306"/>
              </w:tabs>
              <w:jc w:val="right"/>
              <w:rPr>
                <w:rFonts w:cs="Calibri"/>
                <w:bCs/>
              </w:rPr>
            </w:pPr>
          </w:p>
        </w:tc>
      </w:tr>
      <w:tr w:rsidR="00BC2A04" w:rsidRPr="00AA76A0" w14:paraId="25517EF6" w14:textId="77777777" w:rsidTr="00F22D61">
        <w:trPr>
          <w:gridAfter w:val="2"/>
          <w:wAfter w:w="284" w:type="dxa"/>
        </w:trPr>
        <w:tc>
          <w:tcPr>
            <w:tcW w:w="1557" w:type="dxa"/>
            <w:tcBorders>
              <w:left w:val="single" w:sz="2" w:space="0" w:color="003366"/>
              <w:right w:val="single" w:sz="2" w:space="0" w:color="003366"/>
            </w:tcBorders>
          </w:tcPr>
          <w:p w14:paraId="5DB32D7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DE4C8A3" w14:textId="77777777" w:rsidR="00BC2A04" w:rsidRPr="001B6B99" w:rsidRDefault="00BC2A04" w:rsidP="00BC2A04">
            <w:pPr>
              <w:pStyle w:val="TableText"/>
              <w:tabs>
                <w:tab w:val="left" w:pos="3306"/>
              </w:tabs>
              <w:rPr>
                <w:rFonts w:cs="Calibri"/>
                <w:b/>
                <w:szCs w:val="16"/>
              </w:rPr>
            </w:pPr>
            <w:r w:rsidRPr="001B6B99">
              <w:rPr>
                <w:rFonts w:cs="Calibri"/>
                <w:b/>
                <w:szCs w:val="16"/>
              </w:rPr>
              <w:t>Total Non-Current Assets</w:t>
            </w:r>
          </w:p>
        </w:tc>
        <w:tc>
          <w:tcPr>
            <w:tcW w:w="850" w:type="dxa"/>
            <w:gridSpan w:val="2"/>
            <w:tcBorders>
              <w:top w:val="single" w:sz="2" w:space="0" w:color="auto"/>
            </w:tcBorders>
            <w:shd w:val="clear" w:color="auto" w:fill="auto"/>
          </w:tcPr>
          <w:p w14:paraId="0CF1DFD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625380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18F985CA"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CE29D10" w14:textId="777685D7"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2CB03DB7"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003C533A" w14:textId="77777777" w:rsidR="00BC2A04" w:rsidRPr="001B6B99" w:rsidRDefault="00BC2A04" w:rsidP="00BC2A04">
            <w:pPr>
              <w:pStyle w:val="TableText"/>
              <w:tabs>
                <w:tab w:val="left" w:pos="3306"/>
              </w:tabs>
              <w:jc w:val="right"/>
              <w:rPr>
                <w:rFonts w:cs="Calibri"/>
                <w:b/>
                <w:bCs/>
              </w:rPr>
            </w:pPr>
          </w:p>
        </w:tc>
      </w:tr>
      <w:tr w:rsidR="00BC2A04" w:rsidRPr="00AA76A0" w14:paraId="7E56F717" w14:textId="77777777" w:rsidTr="00F22D61">
        <w:trPr>
          <w:gridAfter w:val="2"/>
          <w:wAfter w:w="284" w:type="dxa"/>
          <w:trHeight w:hRule="exact" w:val="170"/>
        </w:trPr>
        <w:tc>
          <w:tcPr>
            <w:tcW w:w="1557" w:type="dxa"/>
            <w:tcBorders>
              <w:left w:val="single" w:sz="2" w:space="0" w:color="003366"/>
              <w:right w:val="single" w:sz="2" w:space="0" w:color="003366"/>
            </w:tcBorders>
          </w:tcPr>
          <w:p w14:paraId="42806142"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2200A8D" w14:textId="77777777" w:rsidR="00BC2A04" w:rsidRPr="001B6B99" w:rsidRDefault="00BC2A04" w:rsidP="00BC2A04">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32419A71"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9CEA503"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6A243E0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279D3444" w14:textId="378E5373"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4EAD5D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501986D8" w14:textId="77777777" w:rsidR="00BC2A04" w:rsidRPr="001B6B99" w:rsidRDefault="00BC2A04" w:rsidP="00BC2A04">
            <w:pPr>
              <w:pStyle w:val="TableText"/>
              <w:tabs>
                <w:tab w:val="left" w:pos="3306"/>
              </w:tabs>
              <w:jc w:val="right"/>
              <w:rPr>
                <w:rFonts w:cs="Calibri"/>
                <w:bCs/>
              </w:rPr>
            </w:pPr>
          </w:p>
        </w:tc>
      </w:tr>
      <w:tr w:rsidR="00BC2A04" w:rsidRPr="00AA76A0" w14:paraId="1EEDD748" w14:textId="77777777" w:rsidTr="00F22D61">
        <w:trPr>
          <w:gridAfter w:val="2"/>
          <w:wAfter w:w="284" w:type="dxa"/>
        </w:trPr>
        <w:tc>
          <w:tcPr>
            <w:tcW w:w="1557" w:type="dxa"/>
            <w:tcBorders>
              <w:left w:val="single" w:sz="2" w:space="0" w:color="003366"/>
              <w:right w:val="single" w:sz="2" w:space="0" w:color="003366"/>
            </w:tcBorders>
          </w:tcPr>
          <w:p w14:paraId="6952196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DA55B90" w14:textId="77777777" w:rsidR="00BC2A04" w:rsidRPr="001B6B99" w:rsidRDefault="00BC2A04" w:rsidP="00BC2A04">
            <w:pPr>
              <w:pStyle w:val="TableText"/>
              <w:tabs>
                <w:tab w:val="left" w:pos="3306"/>
              </w:tabs>
              <w:rPr>
                <w:rFonts w:cs="Calibri"/>
                <w:b/>
                <w:szCs w:val="16"/>
              </w:rPr>
            </w:pPr>
            <w:r w:rsidRPr="001B6B99">
              <w:rPr>
                <w:rFonts w:cs="Calibri"/>
                <w:b/>
                <w:szCs w:val="16"/>
              </w:rPr>
              <w:t>Total Assets</w:t>
            </w:r>
          </w:p>
        </w:tc>
        <w:tc>
          <w:tcPr>
            <w:tcW w:w="850" w:type="dxa"/>
            <w:gridSpan w:val="2"/>
            <w:tcBorders>
              <w:top w:val="single" w:sz="2" w:space="0" w:color="auto"/>
              <w:bottom w:val="single" w:sz="2" w:space="0" w:color="auto"/>
            </w:tcBorders>
            <w:shd w:val="clear" w:color="auto" w:fill="auto"/>
          </w:tcPr>
          <w:p w14:paraId="1BB6604F" w14:textId="77777777" w:rsidR="00BC2A04" w:rsidRPr="001B6B99" w:rsidRDefault="00BC2A04" w:rsidP="00BC2A04">
            <w:pPr>
              <w:pStyle w:val="TableText"/>
              <w:tabs>
                <w:tab w:val="left" w:pos="3306"/>
              </w:tabs>
              <w:jc w:val="right"/>
              <w:rPr>
                <w:rFonts w:cs="Calibri"/>
                <w:b/>
                <w:bCs/>
                <w:strike/>
              </w:rPr>
            </w:pPr>
          </w:p>
        </w:tc>
        <w:tc>
          <w:tcPr>
            <w:tcW w:w="851" w:type="dxa"/>
            <w:gridSpan w:val="2"/>
            <w:tcBorders>
              <w:top w:val="single" w:sz="2" w:space="0" w:color="auto"/>
              <w:bottom w:val="single" w:sz="2" w:space="0" w:color="auto"/>
            </w:tcBorders>
            <w:shd w:val="clear" w:color="auto" w:fill="auto"/>
          </w:tcPr>
          <w:p w14:paraId="3E9964A1" w14:textId="77777777" w:rsidR="00BC2A04" w:rsidRPr="001B6B99" w:rsidRDefault="00BC2A04" w:rsidP="00BC2A04">
            <w:pPr>
              <w:pStyle w:val="TableText"/>
              <w:tabs>
                <w:tab w:val="left" w:pos="3306"/>
              </w:tabs>
              <w:jc w:val="right"/>
              <w:rPr>
                <w:rFonts w:cs="Calibri"/>
                <w:b/>
                <w:bCs/>
                <w:strike/>
              </w:rPr>
            </w:pPr>
          </w:p>
        </w:tc>
        <w:tc>
          <w:tcPr>
            <w:tcW w:w="850" w:type="dxa"/>
            <w:gridSpan w:val="2"/>
            <w:tcBorders>
              <w:top w:val="single" w:sz="2" w:space="0" w:color="auto"/>
              <w:bottom w:val="single" w:sz="2" w:space="0" w:color="auto"/>
            </w:tcBorders>
          </w:tcPr>
          <w:p w14:paraId="6C24A6D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1DB65B98" w14:textId="0B6CE89E"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77E4874B"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1527477A" w14:textId="77777777" w:rsidR="00BC2A04" w:rsidRPr="001B6B99" w:rsidRDefault="00BC2A04" w:rsidP="00BC2A04">
            <w:pPr>
              <w:pStyle w:val="TableText"/>
              <w:tabs>
                <w:tab w:val="left" w:pos="3306"/>
              </w:tabs>
              <w:jc w:val="right"/>
              <w:rPr>
                <w:rFonts w:cs="Calibri"/>
                <w:b/>
                <w:bCs/>
              </w:rPr>
            </w:pPr>
          </w:p>
        </w:tc>
      </w:tr>
      <w:tr w:rsidR="00BC2A04" w:rsidRPr="00AA76A0" w14:paraId="455EB673" w14:textId="77777777" w:rsidTr="00F22D61">
        <w:trPr>
          <w:gridAfter w:val="2"/>
          <w:wAfter w:w="284" w:type="dxa"/>
          <w:trHeight w:hRule="exact" w:val="170"/>
        </w:trPr>
        <w:tc>
          <w:tcPr>
            <w:tcW w:w="1557" w:type="dxa"/>
            <w:tcBorders>
              <w:left w:val="single" w:sz="2" w:space="0" w:color="003366"/>
              <w:right w:val="single" w:sz="2" w:space="0" w:color="003366"/>
            </w:tcBorders>
          </w:tcPr>
          <w:p w14:paraId="2568B555"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D013EFE" w14:textId="77777777" w:rsidR="00BC2A04" w:rsidRPr="001B6B99" w:rsidRDefault="00BC2A04" w:rsidP="00BC2A04">
            <w:pPr>
              <w:pStyle w:val="TableText"/>
              <w:tabs>
                <w:tab w:val="left" w:pos="3306"/>
              </w:tabs>
              <w:rPr>
                <w:rFonts w:cs="Calibri"/>
                <w:szCs w:val="16"/>
              </w:rPr>
            </w:pPr>
          </w:p>
        </w:tc>
        <w:tc>
          <w:tcPr>
            <w:tcW w:w="850" w:type="dxa"/>
            <w:gridSpan w:val="2"/>
            <w:tcBorders>
              <w:top w:val="single" w:sz="2" w:space="0" w:color="auto"/>
            </w:tcBorders>
            <w:shd w:val="clear" w:color="auto" w:fill="auto"/>
          </w:tcPr>
          <w:p w14:paraId="73DA6A31"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D28C46D"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0CFD59C7"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0044F5B" w14:textId="5521CE8A"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00653406"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4589751D" w14:textId="77777777" w:rsidR="00BC2A04" w:rsidRPr="001B6B99" w:rsidRDefault="00BC2A04" w:rsidP="00BC2A04">
            <w:pPr>
              <w:pStyle w:val="TableText"/>
              <w:tabs>
                <w:tab w:val="left" w:pos="3306"/>
              </w:tabs>
              <w:jc w:val="right"/>
              <w:rPr>
                <w:rFonts w:cs="Calibri"/>
                <w:b/>
                <w:bCs/>
              </w:rPr>
            </w:pPr>
          </w:p>
        </w:tc>
      </w:tr>
      <w:tr w:rsidR="00BC2A04" w:rsidRPr="00AA76A0" w14:paraId="286A6AEA" w14:textId="77777777" w:rsidTr="00F22D61">
        <w:trPr>
          <w:gridAfter w:val="2"/>
          <w:wAfter w:w="284" w:type="dxa"/>
        </w:trPr>
        <w:tc>
          <w:tcPr>
            <w:tcW w:w="1557" w:type="dxa"/>
            <w:tcBorders>
              <w:left w:val="single" w:sz="2" w:space="0" w:color="003366"/>
              <w:right w:val="single" w:sz="2" w:space="0" w:color="003366"/>
            </w:tcBorders>
          </w:tcPr>
          <w:p w14:paraId="5D8A24A1"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7AC1FF0" w14:textId="77777777" w:rsidR="00BC2A04" w:rsidRPr="001B6B99" w:rsidRDefault="00BC2A04" w:rsidP="00BC2A04">
            <w:pPr>
              <w:pStyle w:val="TableText"/>
              <w:tabs>
                <w:tab w:val="left" w:pos="3306"/>
              </w:tabs>
              <w:rPr>
                <w:rFonts w:cs="Calibri"/>
                <w:b/>
                <w:szCs w:val="16"/>
              </w:rPr>
            </w:pPr>
            <w:r w:rsidRPr="001B6B99">
              <w:rPr>
                <w:rFonts w:cs="Calibri"/>
                <w:b/>
                <w:szCs w:val="16"/>
              </w:rPr>
              <w:t>Current Liabilities</w:t>
            </w:r>
          </w:p>
        </w:tc>
        <w:tc>
          <w:tcPr>
            <w:tcW w:w="850" w:type="dxa"/>
            <w:gridSpan w:val="2"/>
            <w:shd w:val="clear" w:color="auto" w:fill="auto"/>
          </w:tcPr>
          <w:p w14:paraId="4151FFCC"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01CF0523" w14:textId="77777777" w:rsidR="00BC2A04" w:rsidRPr="001B6B99" w:rsidRDefault="00BC2A04" w:rsidP="00BC2A04">
            <w:pPr>
              <w:pStyle w:val="TableText"/>
              <w:tabs>
                <w:tab w:val="left" w:pos="3306"/>
              </w:tabs>
              <w:jc w:val="right"/>
              <w:rPr>
                <w:rFonts w:cs="Calibri"/>
                <w:b/>
                <w:bCs/>
              </w:rPr>
            </w:pPr>
          </w:p>
        </w:tc>
        <w:tc>
          <w:tcPr>
            <w:tcW w:w="850" w:type="dxa"/>
            <w:gridSpan w:val="2"/>
          </w:tcPr>
          <w:p w14:paraId="7184007F"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7E04C2E3" w14:textId="6E69F25E"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17B580FF"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29226ADD" w14:textId="77777777" w:rsidR="00BC2A04" w:rsidRPr="001B6B99" w:rsidRDefault="00BC2A04" w:rsidP="00BC2A04">
            <w:pPr>
              <w:pStyle w:val="TableText"/>
              <w:tabs>
                <w:tab w:val="left" w:pos="3306"/>
              </w:tabs>
              <w:jc w:val="right"/>
              <w:rPr>
                <w:rFonts w:cs="Calibri"/>
                <w:b/>
                <w:bCs/>
              </w:rPr>
            </w:pPr>
          </w:p>
        </w:tc>
      </w:tr>
      <w:tr w:rsidR="00BC2A04" w:rsidRPr="00AA76A0" w14:paraId="3A2330F6" w14:textId="77777777" w:rsidTr="00F22D61">
        <w:trPr>
          <w:gridAfter w:val="2"/>
          <w:wAfter w:w="284" w:type="dxa"/>
        </w:trPr>
        <w:tc>
          <w:tcPr>
            <w:tcW w:w="1557" w:type="dxa"/>
            <w:tcBorders>
              <w:left w:val="single" w:sz="2" w:space="0" w:color="003366"/>
              <w:right w:val="single" w:sz="2" w:space="0" w:color="003366"/>
            </w:tcBorders>
          </w:tcPr>
          <w:p w14:paraId="1594698E"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9A21831" w14:textId="720A4D7B" w:rsidR="00BC2A04" w:rsidRPr="001B6B99" w:rsidRDefault="00BC2A04" w:rsidP="00BC2A04">
            <w:pPr>
              <w:pStyle w:val="TableText"/>
              <w:tabs>
                <w:tab w:val="left" w:pos="3306"/>
              </w:tabs>
              <w:rPr>
                <w:rFonts w:cs="Calibri"/>
                <w:szCs w:val="16"/>
              </w:rPr>
            </w:pPr>
            <w:r w:rsidRPr="00B73007">
              <w:rPr>
                <w:rFonts w:cs="Calibri"/>
                <w:szCs w:val="16"/>
              </w:rPr>
              <w:t>Payables</w:t>
            </w:r>
            <w:r w:rsidR="00676AA9" w:rsidRPr="00676AA9">
              <w:rPr>
                <w:rFonts w:cs="Calibri"/>
                <w:color w:val="FF0000"/>
              </w:rPr>
              <w:t xml:space="preserve"> </w:t>
            </w:r>
          </w:p>
        </w:tc>
        <w:tc>
          <w:tcPr>
            <w:tcW w:w="850" w:type="dxa"/>
            <w:gridSpan w:val="2"/>
            <w:shd w:val="clear" w:color="auto" w:fill="auto"/>
          </w:tcPr>
          <w:p w14:paraId="5A87051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08DA1AFF" w14:textId="77777777" w:rsidR="00BC2A04" w:rsidRPr="001B6B99" w:rsidRDefault="00BC2A04" w:rsidP="00BC2A04">
            <w:pPr>
              <w:pStyle w:val="TableText"/>
              <w:tabs>
                <w:tab w:val="left" w:pos="3306"/>
              </w:tabs>
              <w:jc w:val="right"/>
              <w:rPr>
                <w:rFonts w:cs="Calibri"/>
                <w:bCs/>
              </w:rPr>
            </w:pPr>
          </w:p>
        </w:tc>
        <w:tc>
          <w:tcPr>
            <w:tcW w:w="850" w:type="dxa"/>
            <w:gridSpan w:val="2"/>
          </w:tcPr>
          <w:p w14:paraId="4C70F944"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24A567E" w14:textId="70140E2E"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8E4FFE7"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43A42D8" w14:textId="77777777" w:rsidR="00BC2A04" w:rsidRPr="001B6B99" w:rsidRDefault="00BC2A04" w:rsidP="00BC2A04">
            <w:pPr>
              <w:pStyle w:val="TableText"/>
              <w:tabs>
                <w:tab w:val="left" w:pos="3306"/>
              </w:tabs>
              <w:jc w:val="right"/>
              <w:rPr>
                <w:rFonts w:cs="Calibri"/>
                <w:bCs/>
              </w:rPr>
            </w:pPr>
          </w:p>
        </w:tc>
      </w:tr>
      <w:tr w:rsidR="00BC2A04" w:rsidRPr="00AA76A0" w14:paraId="32D79DAF" w14:textId="77777777" w:rsidTr="00F22D61">
        <w:trPr>
          <w:gridAfter w:val="2"/>
          <w:wAfter w:w="284" w:type="dxa"/>
        </w:trPr>
        <w:tc>
          <w:tcPr>
            <w:tcW w:w="1557" w:type="dxa"/>
            <w:tcBorders>
              <w:left w:val="single" w:sz="2" w:space="0" w:color="003366"/>
              <w:right w:val="single" w:sz="2" w:space="0" w:color="003366"/>
            </w:tcBorders>
          </w:tcPr>
          <w:p w14:paraId="60652D7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48E02FA" w14:textId="05CAB813" w:rsidR="00BC2A04" w:rsidRPr="00676AA9" w:rsidRDefault="00BC2A04" w:rsidP="00BC2A04">
            <w:pPr>
              <w:pStyle w:val="TableText"/>
              <w:tabs>
                <w:tab w:val="left" w:pos="3306"/>
              </w:tabs>
              <w:rPr>
                <w:rFonts w:cs="Calibri"/>
                <w:strike/>
                <w:szCs w:val="16"/>
              </w:rPr>
            </w:pPr>
            <w:r w:rsidRPr="00676AA9">
              <w:rPr>
                <w:rFonts w:cs="Calibri"/>
                <w:strike/>
                <w:color w:val="FF0000"/>
              </w:rPr>
              <w:t>Contract Liabilities</w:t>
            </w:r>
          </w:p>
        </w:tc>
        <w:tc>
          <w:tcPr>
            <w:tcW w:w="850" w:type="dxa"/>
            <w:gridSpan w:val="2"/>
            <w:shd w:val="clear" w:color="auto" w:fill="auto"/>
          </w:tcPr>
          <w:p w14:paraId="7714F50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A080C70" w14:textId="77777777" w:rsidR="00BC2A04" w:rsidRPr="001B6B99" w:rsidRDefault="00BC2A04" w:rsidP="00BC2A04">
            <w:pPr>
              <w:pStyle w:val="TableText"/>
              <w:tabs>
                <w:tab w:val="left" w:pos="3306"/>
              </w:tabs>
              <w:jc w:val="right"/>
              <w:rPr>
                <w:rFonts w:cs="Calibri"/>
                <w:bCs/>
              </w:rPr>
            </w:pPr>
          </w:p>
        </w:tc>
        <w:tc>
          <w:tcPr>
            <w:tcW w:w="850" w:type="dxa"/>
            <w:gridSpan w:val="2"/>
          </w:tcPr>
          <w:p w14:paraId="21D2263E"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1611CE40"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42229CB"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6DAA2197" w14:textId="77777777" w:rsidR="00BC2A04" w:rsidRPr="001B6B99" w:rsidRDefault="00BC2A04" w:rsidP="00BC2A04">
            <w:pPr>
              <w:pStyle w:val="TableText"/>
              <w:tabs>
                <w:tab w:val="left" w:pos="3306"/>
              </w:tabs>
              <w:jc w:val="right"/>
              <w:rPr>
                <w:rFonts w:cs="Calibri"/>
                <w:bCs/>
              </w:rPr>
            </w:pPr>
          </w:p>
        </w:tc>
      </w:tr>
      <w:tr w:rsidR="00BC2A04" w:rsidRPr="00AA76A0" w14:paraId="50F52AA7" w14:textId="77777777" w:rsidTr="00F22D61">
        <w:trPr>
          <w:gridAfter w:val="2"/>
          <w:wAfter w:w="284" w:type="dxa"/>
        </w:trPr>
        <w:tc>
          <w:tcPr>
            <w:tcW w:w="1557" w:type="dxa"/>
            <w:tcBorders>
              <w:left w:val="single" w:sz="2" w:space="0" w:color="003366"/>
              <w:right w:val="single" w:sz="2" w:space="0" w:color="003366"/>
            </w:tcBorders>
          </w:tcPr>
          <w:p w14:paraId="731A14B2"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A98EDDE" w14:textId="152ED200" w:rsidR="00BC2A04" w:rsidRPr="001B6B99" w:rsidRDefault="007001C1" w:rsidP="00BC2A04">
            <w:pPr>
              <w:pStyle w:val="TableText"/>
              <w:tabs>
                <w:tab w:val="left" w:pos="3306"/>
              </w:tabs>
              <w:rPr>
                <w:rFonts w:cs="Calibri"/>
                <w:szCs w:val="16"/>
              </w:rPr>
            </w:pPr>
            <w:r w:rsidRPr="001B6B99">
              <w:rPr>
                <w:rFonts w:cs="Calibri"/>
                <w:szCs w:val="16"/>
              </w:rPr>
              <w:t>Borrowings</w:t>
            </w:r>
            <w:r w:rsidRPr="001B6B99">
              <w:rPr>
                <w:rFonts w:cs="Calibri"/>
                <w:b/>
                <w:bCs/>
                <w:szCs w:val="16"/>
              </w:rPr>
              <w:t xml:space="preserve"> </w:t>
            </w:r>
          </w:p>
        </w:tc>
        <w:tc>
          <w:tcPr>
            <w:tcW w:w="850" w:type="dxa"/>
            <w:gridSpan w:val="2"/>
            <w:shd w:val="clear" w:color="auto" w:fill="auto"/>
          </w:tcPr>
          <w:p w14:paraId="67EA4B9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261E56D" w14:textId="77777777" w:rsidR="00BC2A04" w:rsidRPr="001B6B99" w:rsidRDefault="00BC2A04" w:rsidP="00BC2A04">
            <w:pPr>
              <w:pStyle w:val="TableText"/>
              <w:tabs>
                <w:tab w:val="left" w:pos="3306"/>
              </w:tabs>
              <w:jc w:val="right"/>
              <w:rPr>
                <w:rFonts w:cs="Calibri"/>
                <w:bCs/>
              </w:rPr>
            </w:pPr>
          </w:p>
        </w:tc>
        <w:tc>
          <w:tcPr>
            <w:tcW w:w="850" w:type="dxa"/>
            <w:gridSpan w:val="2"/>
          </w:tcPr>
          <w:p w14:paraId="105416E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0AB41B8" w14:textId="2517779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504EF62"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09605DA5" w14:textId="77777777" w:rsidR="00BC2A04" w:rsidRPr="001B6B99" w:rsidRDefault="00BC2A04" w:rsidP="00BC2A04">
            <w:pPr>
              <w:pStyle w:val="TableText"/>
              <w:tabs>
                <w:tab w:val="left" w:pos="3306"/>
              </w:tabs>
              <w:jc w:val="right"/>
              <w:rPr>
                <w:rFonts w:cs="Calibri"/>
                <w:bCs/>
              </w:rPr>
            </w:pPr>
          </w:p>
        </w:tc>
      </w:tr>
      <w:tr w:rsidR="00BC2A04" w:rsidRPr="00AA76A0" w14:paraId="34072ED4" w14:textId="77777777" w:rsidTr="00F22D61">
        <w:trPr>
          <w:gridAfter w:val="2"/>
          <w:wAfter w:w="284" w:type="dxa"/>
        </w:trPr>
        <w:tc>
          <w:tcPr>
            <w:tcW w:w="1557" w:type="dxa"/>
            <w:tcBorders>
              <w:left w:val="single" w:sz="2" w:space="0" w:color="003366"/>
              <w:right w:val="single" w:sz="2" w:space="0" w:color="003366"/>
            </w:tcBorders>
          </w:tcPr>
          <w:p w14:paraId="68722CD8"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F2F550C" w14:textId="24F54FC4" w:rsidR="00BC2A04" w:rsidRPr="001B6B99" w:rsidRDefault="00BC2A04" w:rsidP="00BC2A04">
            <w:pPr>
              <w:pStyle w:val="TableText"/>
              <w:tabs>
                <w:tab w:val="left" w:pos="3306"/>
              </w:tabs>
              <w:rPr>
                <w:rFonts w:cs="Calibri"/>
                <w:strike/>
                <w:szCs w:val="16"/>
              </w:rPr>
            </w:pPr>
            <w:r w:rsidRPr="001B6B99">
              <w:rPr>
                <w:rFonts w:cs="Calibri"/>
                <w:szCs w:val="16"/>
              </w:rPr>
              <w:t>Lease Liabilities</w:t>
            </w:r>
          </w:p>
        </w:tc>
        <w:tc>
          <w:tcPr>
            <w:tcW w:w="850" w:type="dxa"/>
            <w:gridSpan w:val="2"/>
            <w:shd w:val="clear" w:color="auto" w:fill="auto"/>
          </w:tcPr>
          <w:p w14:paraId="55DEB3D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5BA6B432" w14:textId="77777777" w:rsidR="00BC2A04" w:rsidRPr="001B6B99" w:rsidRDefault="00BC2A04" w:rsidP="00BC2A04">
            <w:pPr>
              <w:pStyle w:val="TableText"/>
              <w:tabs>
                <w:tab w:val="left" w:pos="3306"/>
              </w:tabs>
              <w:jc w:val="right"/>
              <w:rPr>
                <w:rFonts w:cs="Calibri"/>
                <w:bCs/>
              </w:rPr>
            </w:pPr>
          </w:p>
        </w:tc>
        <w:tc>
          <w:tcPr>
            <w:tcW w:w="850" w:type="dxa"/>
            <w:gridSpan w:val="2"/>
          </w:tcPr>
          <w:p w14:paraId="313F1BD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55BC1A0" w14:textId="04FE779B"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C1FDA56"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D07EC75" w14:textId="77777777" w:rsidR="00BC2A04" w:rsidRPr="001B6B99" w:rsidRDefault="00BC2A04" w:rsidP="00BC2A04">
            <w:pPr>
              <w:pStyle w:val="TableText"/>
              <w:tabs>
                <w:tab w:val="left" w:pos="3306"/>
              </w:tabs>
              <w:jc w:val="right"/>
              <w:rPr>
                <w:rFonts w:cs="Calibri"/>
                <w:bCs/>
              </w:rPr>
            </w:pPr>
          </w:p>
        </w:tc>
      </w:tr>
      <w:tr w:rsidR="00BC2A04" w:rsidRPr="00AA76A0" w14:paraId="17A20208" w14:textId="77777777" w:rsidTr="00F22D61">
        <w:trPr>
          <w:gridAfter w:val="2"/>
          <w:wAfter w:w="284" w:type="dxa"/>
        </w:trPr>
        <w:tc>
          <w:tcPr>
            <w:tcW w:w="1557" w:type="dxa"/>
            <w:tcBorders>
              <w:left w:val="single" w:sz="2" w:space="0" w:color="003366"/>
              <w:right w:val="single" w:sz="2" w:space="0" w:color="003366"/>
            </w:tcBorders>
          </w:tcPr>
          <w:p w14:paraId="129C4B4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10037CA" w14:textId="77777777" w:rsidR="00BC2A04" w:rsidRPr="001B6B99" w:rsidRDefault="00BC2A04" w:rsidP="00BC2A04">
            <w:pPr>
              <w:pStyle w:val="TableText"/>
              <w:tabs>
                <w:tab w:val="left" w:pos="3306"/>
              </w:tabs>
              <w:rPr>
                <w:rFonts w:cs="Calibri"/>
                <w:szCs w:val="16"/>
              </w:rPr>
            </w:pPr>
            <w:r w:rsidRPr="001B6B99">
              <w:rPr>
                <w:rFonts w:cs="Calibri"/>
                <w:szCs w:val="16"/>
              </w:rPr>
              <w:t>Employee Benefits</w:t>
            </w:r>
          </w:p>
        </w:tc>
        <w:tc>
          <w:tcPr>
            <w:tcW w:w="850" w:type="dxa"/>
            <w:gridSpan w:val="2"/>
            <w:shd w:val="clear" w:color="auto" w:fill="auto"/>
          </w:tcPr>
          <w:p w14:paraId="5068E9D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3DEE1EC" w14:textId="77777777" w:rsidR="00BC2A04" w:rsidRPr="001B6B99" w:rsidRDefault="00BC2A04" w:rsidP="00BC2A04">
            <w:pPr>
              <w:pStyle w:val="TableText"/>
              <w:tabs>
                <w:tab w:val="left" w:pos="3306"/>
              </w:tabs>
              <w:jc w:val="right"/>
              <w:rPr>
                <w:rFonts w:cs="Calibri"/>
                <w:bCs/>
              </w:rPr>
            </w:pPr>
          </w:p>
        </w:tc>
        <w:tc>
          <w:tcPr>
            <w:tcW w:w="850" w:type="dxa"/>
            <w:gridSpan w:val="2"/>
          </w:tcPr>
          <w:p w14:paraId="76E9689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88E0342" w14:textId="5D1B2F10"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7B1FE3B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1702E04" w14:textId="77777777" w:rsidR="00BC2A04" w:rsidRPr="001B6B99" w:rsidRDefault="00BC2A04" w:rsidP="00BC2A04">
            <w:pPr>
              <w:pStyle w:val="TableText"/>
              <w:tabs>
                <w:tab w:val="left" w:pos="3306"/>
              </w:tabs>
              <w:jc w:val="right"/>
              <w:rPr>
                <w:rFonts w:cs="Calibri"/>
                <w:bCs/>
              </w:rPr>
            </w:pPr>
          </w:p>
        </w:tc>
      </w:tr>
      <w:tr w:rsidR="00BC2A04" w:rsidRPr="00AA76A0" w14:paraId="0C577A51" w14:textId="77777777" w:rsidTr="00F22D61">
        <w:trPr>
          <w:gridAfter w:val="2"/>
          <w:wAfter w:w="284" w:type="dxa"/>
        </w:trPr>
        <w:tc>
          <w:tcPr>
            <w:tcW w:w="1557" w:type="dxa"/>
            <w:tcBorders>
              <w:left w:val="single" w:sz="2" w:space="0" w:color="003366"/>
              <w:right w:val="single" w:sz="2" w:space="0" w:color="003366"/>
            </w:tcBorders>
          </w:tcPr>
          <w:p w14:paraId="3D34B7AF"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A77990E" w14:textId="77777777" w:rsidR="00BC2A04" w:rsidRPr="001B6B99" w:rsidRDefault="00BC2A04" w:rsidP="00BC2A04">
            <w:pPr>
              <w:pStyle w:val="TableText"/>
              <w:tabs>
                <w:tab w:val="left" w:pos="3306"/>
              </w:tabs>
              <w:rPr>
                <w:rFonts w:cs="Calibri"/>
                <w:szCs w:val="16"/>
              </w:rPr>
            </w:pPr>
            <w:r w:rsidRPr="001B6B99">
              <w:rPr>
                <w:rFonts w:cs="Calibri"/>
                <w:szCs w:val="16"/>
              </w:rPr>
              <w:t>Other Provisions</w:t>
            </w:r>
          </w:p>
        </w:tc>
        <w:tc>
          <w:tcPr>
            <w:tcW w:w="850" w:type="dxa"/>
            <w:gridSpan w:val="2"/>
            <w:shd w:val="clear" w:color="auto" w:fill="auto"/>
          </w:tcPr>
          <w:p w14:paraId="493777D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FFC5C92" w14:textId="77777777" w:rsidR="00BC2A04" w:rsidRPr="001B6B99" w:rsidRDefault="00BC2A04" w:rsidP="00BC2A04">
            <w:pPr>
              <w:pStyle w:val="TableText"/>
              <w:tabs>
                <w:tab w:val="left" w:pos="3306"/>
              </w:tabs>
              <w:jc w:val="right"/>
              <w:rPr>
                <w:rFonts w:cs="Calibri"/>
                <w:bCs/>
              </w:rPr>
            </w:pPr>
          </w:p>
        </w:tc>
        <w:tc>
          <w:tcPr>
            <w:tcW w:w="850" w:type="dxa"/>
            <w:gridSpan w:val="2"/>
          </w:tcPr>
          <w:p w14:paraId="193BEF0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F785077" w14:textId="735EDC72"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5B3AFC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596B8198" w14:textId="77777777" w:rsidR="00BC2A04" w:rsidRPr="001B6B99" w:rsidRDefault="00BC2A04" w:rsidP="00BC2A04">
            <w:pPr>
              <w:pStyle w:val="TableText"/>
              <w:tabs>
                <w:tab w:val="left" w:pos="3306"/>
              </w:tabs>
              <w:jc w:val="right"/>
              <w:rPr>
                <w:rFonts w:cs="Calibri"/>
                <w:bCs/>
              </w:rPr>
            </w:pPr>
          </w:p>
        </w:tc>
      </w:tr>
      <w:tr w:rsidR="00BC2A04" w:rsidRPr="00AA76A0" w14:paraId="72C180B4" w14:textId="77777777" w:rsidTr="00F22D61">
        <w:trPr>
          <w:gridAfter w:val="2"/>
          <w:wAfter w:w="284" w:type="dxa"/>
        </w:trPr>
        <w:tc>
          <w:tcPr>
            <w:tcW w:w="1557" w:type="dxa"/>
            <w:tcBorders>
              <w:left w:val="single" w:sz="2" w:space="0" w:color="003366"/>
              <w:right w:val="single" w:sz="2" w:space="0" w:color="003366"/>
            </w:tcBorders>
          </w:tcPr>
          <w:p w14:paraId="12FC1D97"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D07EB1E" w14:textId="77777777" w:rsidR="00BC2A04" w:rsidRPr="001B6B99" w:rsidRDefault="00BC2A04" w:rsidP="00BC2A04">
            <w:pPr>
              <w:pStyle w:val="TableText"/>
              <w:tabs>
                <w:tab w:val="left" w:pos="3306"/>
              </w:tabs>
              <w:rPr>
                <w:rFonts w:cs="Calibri"/>
                <w:szCs w:val="16"/>
              </w:rPr>
            </w:pPr>
            <w:r w:rsidRPr="001B6B99">
              <w:rPr>
                <w:rFonts w:cs="Calibri"/>
                <w:szCs w:val="16"/>
              </w:rPr>
              <w:t>Other Liabilities</w:t>
            </w:r>
          </w:p>
        </w:tc>
        <w:tc>
          <w:tcPr>
            <w:tcW w:w="850" w:type="dxa"/>
            <w:gridSpan w:val="2"/>
            <w:tcBorders>
              <w:bottom w:val="single" w:sz="2" w:space="0" w:color="auto"/>
            </w:tcBorders>
            <w:shd w:val="clear" w:color="auto" w:fill="auto"/>
          </w:tcPr>
          <w:p w14:paraId="63D3BFC1"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D7031A5"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69D1C2E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642D5B4F" w14:textId="2B4DFC38"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B14D3C5"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290CFFE3" w14:textId="77777777" w:rsidR="00BC2A04" w:rsidRPr="001B6B99" w:rsidRDefault="00BC2A04" w:rsidP="00BC2A04">
            <w:pPr>
              <w:pStyle w:val="TableText"/>
              <w:tabs>
                <w:tab w:val="left" w:pos="3306"/>
              </w:tabs>
              <w:jc w:val="right"/>
              <w:rPr>
                <w:rFonts w:cs="Calibri"/>
                <w:bCs/>
              </w:rPr>
            </w:pPr>
          </w:p>
        </w:tc>
      </w:tr>
      <w:tr w:rsidR="00BC2A04" w:rsidRPr="00AA76A0" w14:paraId="78373867" w14:textId="77777777" w:rsidTr="00F22D61">
        <w:trPr>
          <w:gridAfter w:val="2"/>
          <w:wAfter w:w="284" w:type="dxa"/>
        </w:trPr>
        <w:tc>
          <w:tcPr>
            <w:tcW w:w="1557" w:type="dxa"/>
            <w:tcBorders>
              <w:left w:val="single" w:sz="2" w:space="0" w:color="003366"/>
              <w:right w:val="single" w:sz="2" w:space="0" w:color="003366"/>
            </w:tcBorders>
          </w:tcPr>
          <w:p w14:paraId="0473600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9385A24" w14:textId="77777777" w:rsidR="00BC2A04" w:rsidRPr="001B6B99" w:rsidRDefault="00BC2A04" w:rsidP="00BC2A04">
            <w:pPr>
              <w:pStyle w:val="TableText"/>
              <w:tabs>
                <w:tab w:val="left" w:pos="3306"/>
              </w:tabs>
              <w:rPr>
                <w:rFonts w:cs="Calibri"/>
                <w:b/>
                <w:szCs w:val="16"/>
              </w:rPr>
            </w:pPr>
            <w:r w:rsidRPr="001B6B99">
              <w:rPr>
                <w:rFonts w:cs="Calibri"/>
                <w:b/>
                <w:szCs w:val="16"/>
              </w:rPr>
              <w:t>Total Current Liabilities</w:t>
            </w:r>
          </w:p>
        </w:tc>
        <w:tc>
          <w:tcPr>
            <w:tcW w:w="850" w:type="dxa"/>
            <w:gridSpan w:val="2"/>
            <w:tcBorders>
              <w:top w:val="single" w:sz="2" w:space="0" w:color="auto"/>
            </w:tcBorders>
            <w:shd w:val="clear" w:color="auto" w:fill="auto"/>
          </w:tcPr>
          <w:p w14:paraId="61E6F03E"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739B5A34"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4933DF62"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29E07B5F" w14:textId="2F2F6B4B"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23E9B65E"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5805F93B" w14:textId="77777777" w:rsidR="00BC2A04" w:rsidRPr="001B6B99" w:rsidRDefault="00BC2A04" w:rsidP="00BC2A04">
            <w:pPr>
              <w:pStyle w:val="TableText"/>
              <w:tabs>
                <w:tab w:val="left" w:pos="3306"/>
              </w:tabs>
              <w:jc w:val="right"/>
              <w:rPr>
                <w:rFonts w:cs="Calibri"/>
                <w:b/>
                <w:bCs/>
              </w:rPr>
            </w:pPr>
          </w:p>
        </w:tc>
      </w:tr>
      <w:tr w:rsidR="00BC2A04" w:rsidRPr="00AA76A0" w14:paraId="2992646E" w14:textId="77777777" w:rsidTr="00F22D61">
        <w:trPr>
          <w:gridAfter w:val="2"/>
          <w:wAfter w:w="284" w:type="dxa"/>
          <w:trHeight w:hRule="exact" w:val="170"/>
        </w:trPr>
        <w:tc>
          <w:tcPr>
            <w:tcW w:w="1557" w:type="dxa"/>
            <w:tcBorders>
              <w:left w:val="single" w:sz="2" w:space="0" w:color="003366"/>
              <w:right w:val="single" w:sz="2" w:space="0" w:color="003366"/>
            </w:tcBorders>
          </w:tcPr>
          <w:p w14:paraId="797BBDCD"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B2D6161" w14:textId="77777777" w:rsidR="00BC2A04" w:rsidRPr="001B6B99" w:rsidRDefault="00BC2A04" w:rsidP="00BC2A04">
            <w:pPr>
              <w:pStyle w:val="TableText"/>
              <w:tabs>
                <w:tab w:val="left" w:pos="3306"/>
              </w:tabs>
              <w:rPr>
                <w:rFonts w:cs="Calibri"/>
                <w:szCs w:val="16"/>
              </w:rPr>
            </w:pPr>
          </w:p>
        </w:tc>
        <w:tc>
          <w:tcPr>
            <w:tcW w:w="850" w:type="dxa"/>
            <w:gridSpan w:val="2"/>
            <w:shd w:val="clear" w:color="auto" w:fill="auto"/>
          </w:tcPr>
          <w:p w14:paraId="36FD7C1D"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358F2F04" w14:textId="77777777" w:rsidR="00BC2A04" w:rsidRPr="001B6B99" w:rsidRDefault="00BC2A04" w:rsidP="00BC2A04">
            <w:pPr>
              <w:pStyle w:val="TableText"/>
              <w:tabs>
                <w:tab w:val="left" w:pos="3306"/>
              </w:tabs>
              <w:jc w:val="right"/>
              <w:rPr>
                <w:rFonts w:cs="Calibri"/>
                <w:b/>
                <w:bCs/>
              </w:rPr>
            </w:pPr>
          </w:p>
        </w:tc>
        <w:tc>
          <w:tcPr>
            <w:tcW w:w="850" w:type="dxa"/>
            <w:gridSpan w:val="2"/>
          </w:tcPr>
          <w:p w14:paraId="2F61AD47"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510B750F" w14:textId="660D82D9"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3F969AAA"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0FB839E9" w14:textId="77777777" w:rsidR="00BC2A04" w:rsidRPr="001B6B99" w:rsidRDefault="00BC2A04" w:rsidP="00BC2A04">
            <w:pPr>
              <w:pStyle w:val="TableText"/>
              <w:tabs>
                <w:tab w:val="left" w:pos="3306"/>
              </w:tabs>
              <w:jc w:val="right"/>
              <w:rPr>
                <w:rFonts w:cs="Calibri"/>
                <w:b/>
                <w:bCs/>
              </w:rPr>
            </w:pPr>
          </w:p>
        </w:tc>
      </w:tr>
      <w:tr w:rsidR="00BC2A04" w:rsidRPr="00AA76A0" w14:paraId="2BCD99B9" w14:textId="77777777" w:rsidTr="00F22D61">
        <w:trPr>
          <w:gridAfter w:val="2"/>
          <w:wAfter w:w="284" w:type="dxa"/>
        </w:trPr>
        <w:tc>
          <w:tcPr>
            <w:tcW w:w="1557" w:type="dxa"/>
            <w:tcBorders>
              <w:left w:val="single" w:sz="2" w:space="0" w:color="003366"/>
              <w:right w:val="single" w:sz="2" w:space="0" w:color="003366"/>
            </w:tcBorders>
          </w:tcPr>
          <w:p w14:paraId="7023A00F"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1C03FF6" w14:textId="77777777" w:rsidR="00BC2A04" w:rsidRPr="001B6B99" w:rsidRDefault="00BC2A04" w:rsidP="00BC2A04">
            <w:pPr>
              <w:pStyle w:val="TableText"/>
              <w:tabs>
                <w:tab w:val="left" w:pos="3306"/>
              </w:tabs>
              <w:rPr>
                <w:rFonts w:cs="Calibri"/>
                <w:b/>
                <w:szCs w:val="16"/>
              </w:rPr>
            </w:pPr>
            <w:r w:rsidRPr="001B6B99">
              <w:rPr>
                <w:rFonts w:cs="Calibri"/>
                <w:b/>
                <w:szCs w:val="16"/>
              </w:rPr>
              <w:t>Non-Current Liabilities</w:t>
            </w:r>
          </w:p>
        </w:tc>
        <w:tc>
          <w:tcPr>
            <w:tcW w:w="850" w:type="dxa"/>
            <w:gridSpan w:val="2"/>
            <w:shd w:val="clear" w:color="auto" w:fill="auto"/>
          </w:tcPr>
          <w:p w14:paraId="6762720B"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46BDFA3F" w14:textId="77777777" w:rsidR="00BC2A04" w:rsidRPr="001B6B99" w:rsidRDefault="00BC2A04" w:rsidP="00BC2A04">
            <w:pPr>
              <w:pStyle w:val="TableText"/>
              <w:tabs>
                <w:tab w:val="left" w:pos="3306"/>
              </w:tabs>
              <w:jc w:val="right"/>
              <w:rPr>
                <w:rFonts w:cs="Calibri"/>
                <w:b/>
                <w:bCs/>
              </w:rPr>
            </w:pPr>
          </w:p>
        </w:tc>
        <w:tc>
          <w:tcPr>
            <w:tcW w:w="850" w:type="dxa"/>
            <w:gridSpan w:val="2"/>
          </w:tcPr>
          <w:p w14:paraId="512427DA"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01360C19" w14:textId="51414C97"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117AB9F5"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2C3C9930" w14:textId="77777777" w:rsidR="00BC2A04" w:rsidRPr="001B6B99" w:rsidRDefault="00BC2A04" w:rsidP="00BC2A04">
            <w:pPr>
              <w:pStyle w:val="TableText"/>
              <w:tabs>
                <w:tab w:val="left" w:pos="3306"/>
              </w:tabs>
              <w:jc w:val="right"/>
              <w:rPr>
                <w:rFonts w:cs="Calibri"/>
                <w:b/>
                <w:bCs/>
              </w:rPr>
            </w:pPr>
          </w:p>
        </w:tc>
      </w:tr>
      <w:tr w:rsidR="00BC2A04" w:rsidRPr="00AA76A0" w14:paraId="7AD75973" w14:textId="77777777" w:rsidTr="00F22D61">
        <w:trPr>
          <w:gridAfter w:val="2"/>
          <w:wAfter w:w="284" w:type="dxa"/>
        </w:trPr>
        <w:tc>
          <w:tcPr>
            <w:tcW w:w="1557" w:type="dxa"/>
            <w:tcBorders>
              <w:left w:val="single" w:sz="2" w:space="0" w:color="003366"/>
              <w:right w:val="single" w:sz="2" w:space="0" w:color="003366"/>
            </w:tcBorders>
          </w:tcPr>
          <w:p w14:paraId="098F10C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0839E30" w14:textId="37CC01FD" w:rsidR="00BC2A04" w:rsidRPr="00B73007" w:rsidRDefault="00BC2A04" w:rsidP="00BC2A04">
            <w:pPr>
              <w:pStyle w:val="TableText"/>
              <w:tabs>
                <w:tab w:val="left" w:pos="3306"/>
              </w:tabs>
              <w:rPr>
                <w:rFonts w:cs="Calibri"/>
                <w:szCs w:val="16"/>
              </w:rPr>
            </w:pPr>
            <w:r w:rsidRPr="00B73007">
              <w:rPr>
                <w:rFonts w:cs="Calibri"/>
                <w:szCs w:val="16"/>
              </w:rPr>
              <w:t>Payables</w:t>
            </w:r>
          </w:p>
        </w:tc>
        <w:tc>
          <w:tcPr>
            <w:tcW w:w="850" w:type="dxa"/>
            <w:gridSpan w:val="2"/>
            <w:shd w:val="clear" w:color="auto" w:fill="auto"/>
          </w:tcPr>
          <w:p w14:paraId="64586B3E"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F171CEA" w14:textId="77777777" w:rsidR="00BC2A04" w:rsidRPr="001B6B99" w:rsidRDefault="00BC2A04" w:rsidP="00BC2A04">
            <w:pPr>
              <w:pStyle w:val="TableText"/>
              <w:tabs>
                <w:tab w:val="left" w:pos="3306"/>
              </w:tabs>
              <w:jc w:val="right"/>
              <w:rPr>
                <w:rFonts w:cs="Calibri"/>
                <w:bCs/>
              </w:rPr>
            </w:pPr>
          </w:p>
        </w:tc>
        <w:tc>
          <w:tcPr>
            <w:tcW w:w="850" w:type="dxa"/>
            <w:gridSpan w:val="2"/>
          </w:tcPr>
          <w:p w14:paraId="3DB6819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4BD0C5C" w14:textId="7319BEB8"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38FE69D"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428EC98F" w14:textId="77777777" w:rsidR="00BC2A04" w:rsidRPr="001B6B99" w:rsidRDefault="00BC2A04" w:rsidP="00BC2A04">
            <w:pPr>
              <w:pStyle w:val="TableText"/>
              <w:tabs>
                <w:tab w:val="left" w:pos="3306"/>
              </w:tabs>
              <w:jc w:val="right"/>
              <w:rPr>
                <w:rFonts w:cs="Calibri"/>
                <w:bCs/>
              </w:rPr>
            </w:pPr>
          </w:p>
        </w:tc>
      </w:tr>
      <w:tr w:rsidR="00BC2A04" w:rsidRPr="00AA76A0" w14:paraId="18AD1D4D" w14:textId="77777777" w:rsidTr="00F22D61">
        <w:trPr>
          <w:gridAfter w:val="2"/>
          <w:wAfter w:w="284" w:type="dxa"/>
        </w:trPr>
        <w:tc>
          <w:tcPr>
            <w:tcW w:w="1557" w:type="dxa"/>
            <w:tcBorders>
              <w:left w:val="single" w:sz="2" w:space="0" w:color="003366"/>
              <w:right w:val="single" w:sz="2" w:space="0" w:color="003366"/>
            </w:tcBorders>
          </w:tcPr>
          <w:p w14:paraId="6FF6D2A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AFC9919" w14:textId="43D1F2B3" w:rsidR="00BC2A04" w:rsidRPr="00676AA9" w:rsidRDefault="00BC2A04" w:rsidP="00BC2A04">
            <w:pPr>
              <w:pStyle w:val="TableText"/>
              <w:tabs>
                <w:tab w:val="left" w:pos="3306"/>
              </w:tabs>
              <w:rPr>
                <w:rFonts w:cs="Calibri"/>
                <w:strike/>
                <w:szCs w:val="16"/>
              </w:rPr>
            </w:pPr>
            <w:r w:rsidRPr="00676AA9">
              <w:rPr>
                <w:rFonts w:cs="Calibri"/>
                <w:strike/>
                <w:color w:val="FF0000"/>
              </w:rPr>
              <w:t>Contract Liabilities</w:t>
            </w:r>
          </w:p>
        </w:tc>
        <w:tc>
          <w:tcPr>
            <w:tcW w:w="850" w:type="dxa"/>
            <w:gridSpan w:val="2"/>
            <w:shd w:val="clear" w:color="auto" w:fill="auto"/>
          </w:tcPr>
          <w:p w14:paraId="778A501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102F4D83" w14:textId="77777777" w:rsidR="00BC2A04" w:rsidRPr="001B6B99" w:rsidRDefault="00BC2A04" w:rsidP="00BC2A04">
            <w:pPr>
              <w:pStyle w:val="TableText"/>
              <w:tabs>
                <w:tab w:val="left" w:pos="3306"/>
              </w:tabs>
              <w:jc w:val="right"/>
              <w:rPr>
                <w:rFonts w:cs="Calibri"/>
                <w:bCs/>
              </w:rPr>
            </w:pPr>
          </w:p>
        </w:tc>
        <w:tc>
          <w:tcPr>
            <w:tcW w:w="850" w:type="dxa"/>
            <w:gridSpan w:val="2"/>
          </w:tcPr>
          <w:p w14:paraId="01BD554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77CA76E"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4301AB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247E3467" w14:textId="77777777" w:rsidR="00BC2A04" w:rsidRPr="001B6B99" w:rsidRDefault="00BC2A04" w:rsidP="00BC2A04">
            <w:pPr>
              <w:pStyle w:val="TableText"/>
              <w:tabs>
                <w:tab w:val="left" w:pos="3306"/>
              </w:tabs>
              <w:jc w:val="right"/>
              <w:rPr>
                <w:rFonts w:cs="Calibri"/>
                <w:bCs/>
              </w:rPr>
            </w:pPr>
          </w:p>
        </w:tc>
      </w:tr>
      <w:tr w:rsidR="00BC2A04" w:rsidRPr="00AA76A0" w14:paraId="10E1D353" w14:textId="77777777" w:rsidTr="00F22D61">
        <w:trPr>
          <w:gridAfter w:val="2"/>
          <w:wAfter w:w="284" w:type="dxa"/>
        </w:trPr>
        <w:tc>
          <w:tcPr>
            <w:tcW w:w="1557" w:type="dxa"/>
            <w:tcBorders>
              <w:left w:val="single" w:sz="2" w:space="0" w:color="003366"/>
              <w:right w:val="single" w:sz="2" w:space="0" w:color="003366"/>
            </w:tcBorders>
          </w:tcPr>
          <w:p w14:paraId="328F7D3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5C2E113" w14:textId="24968DAB" w:rsidR="00BC2A04" w:rsidRPr="001B6B99" w:rsidRDefault="007001C1" w:rsidP="00BC2A04">
            <w:pPr>
              <w:pStyle w:val="TableText"/>
              <w:tabs>
                <w:tab w:val="left" w:pos="3306"/>
              </w:tabs>
              <w:rPr>
                <w:rFonts w:cs="Calibri"/>
                <w:szCs w:val="16"/>
              </w:rPr>
            </w:pPr>
            <w:r w:rsidRPr="001B6B99">
              <w:rPr>
                <w:rFonts w:cs="Calibri"/>
                <w:szCs w:val="16"/>
              </w:rPr>
              <w:t>Borrowings</w:t>
            </w:r>
            <w:r w:rsidRPr="001B6B99">
              <w:rPr>
                <w:rFonts w:cs="Calibri"/>
                <w:b/>
                <w:bCs/>
                <w:szCs w:val="16"/>
              </w:rPr>
              <w:t xml:space="preserve"> </w:t>
            </w:r>
          </w:p>
        </w:tc>
        <w:tc>
          <w:tcPr>
            <w:tcW w:w="850" w:type="dxa"/>
            <w:gridSpan w:val="2"/>
            <w:shd w:val="clear" w:color="auto" w:fill="auto"/>
          </w:tcPr>
          <w:p w14:paraId="60415DAF"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6B3DCDD" w14:textId="77777777" w:rsidR="00BC2A04" w:rsidRPr="001B6B99" w:rsidRDefault="00BC2A04" w:rsidP="00BC2A04">
            <w:pPr>
              <w:pStyle w:val="TableText"/>
              <w:tabs>
                <w:tab w:val="left" w:pos="3306"/>
              </w:tabs>
              <w:jc w:val="right"/>
              <w:rPr>
                <w:rFonts w:cs="Calibri"/>
                <w:bCs/>
              </w:rPr>
            </w:pPr>
          </w:p>
        </w:tc>
        <w:tc>
          <w:tcPr>
            <w:tcW w:w="850" w:type="dxa"/>
            <w:gridSpan w:val="2"/>
          </w:tcPr>
          <w:p w14:paraId="3112DB4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D2CDF66" w14:textId="1D967BA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3D835972"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30B3AF6" w14:textId="77777777" w:rsidR="00BC2A04" w:rsidRPr="001B6B99" w:rsidRDefault="00BC2A04" w:rsidP="00BC2A04">
            <w:pPr>
              <w:pStyle w:val="TableText"/>
              <w:tabs>
                <w:tab w:val="left" w:pos="3306"/>
              </w:tabs>
              <w:jc w:val="right"/>
              <w:rPr>
                <w:rFonts w:cs="Calibri"/>
                <w:bCs/>
              </w:rPr>
            </w:pPr>
          </w:p>
        </w:tc>
      </w:tr>
      <w:tr w:rsidR="00BC2A04" w:rsidRPr="00AA76A0" w14:paraId="499EF934" w14:textId="77777777" w:rsidTr="00F22D61">
        <w:trPr>
          <w:gridAfter w:val="2"/>
          <w:wAfter w:w="284" w:type="dxa"/>
        </w:trPr>
        <w:tc>
          <w:tcPr>
            <w:tcW w:w="1557" w:type="dxa"/>
            <w:tcBorders>
              <w:left w:val="single" w:sz="2" w:space="0" w:color="003366"/>
              <w:right w:val="single" w:sz="2" w:space="0" w:color="003366"/>
            </w:tcBorders>
          </w:tcPr>
          <w:p w14:paraId="4274D69E"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75A3F79" w14:textId="127D9AF0" w:rsidR="00BC2A04" w:rsidRPr="001B6B99" w:rsidRDefault="00BC2A04" w:rsidP="00BC2A04">
            <w:pPr>
              <w:pStyle w:val="TableText"/>
              <w:tabs>
                <w:tab w:val="left" w:pos="3306"/>
              </w:tabs>
              <w:rPr>
                <w:rFonts w:cs="Calibri"/>
                <w:strike/>
                <w:szCs w:val="16"/>
              </w:rPr>
            </w:pPr>
            <w:r w:rsidRPr="001B6B99">
              <w:rPr>
                <w:rFonts w:cs="Calibri"/>
                <w:szCs w:val="16"/>
              </w:rPr>
              <w:t>Lease Liabilities</w:t>
            </w:r>
          </w:p>
        </w:tc>
        <w:tc>
          <w:tcPr>
            <w:tcW w:w="850" w:type="dxa"/>
            <w:gridSpan w:val="2"/>
            <w:shd w:val="clear" w:color="auto" w:fill="auto"/>
          </w:tcPr>
          <w:p w14:paraId="7C41B0C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F28192F" w14:textId="77777777" w:rsidR="00BC2A04" w:rsidRPr="001B6B99" w:rsidRDefault="00BC2A04" w:rsidP="00BC2A04">
            <w:pPr>
              <w:pStyle w:val="TableText"/>
              <w:tabs>
                <w:tab w:val="left" w:pos="3306"/>
              </w:tabs>
              <w:jc w:val="right"/>
              <w:rPr>
                <w:rFonts w:cs="Calibri"/>
                <w:bCs/>
              </w:rPr>
            </w:pPr>
          </w:p>
        </w:tc>
        <w:tc>
          <w:tcPr>
            <w:tcW w:w="850" w:type="dxa"/>
            <w:gridSpan w:val="2"/>
          </w:tcPr>
          <w:p w14:paraId="2D6C636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405B1E2E" w14:textId="3B725D2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2A1992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0C7D9A8E" w14:textId="77777777" w:rsidR="00BC2A04" w:rsidRPr="001B6B99" w:rsidRDefault="00BC2A04" w:rsidP="00BC2A04">
            <w:pPr>
              <w:pStyle w:val="TableText"/>
              <w:tabs>
                <w:tab w:val="left" w:pos="3306"/>
              </w:tabs>
              <w:jc w:val="right"/>
              <w:rPr>
                <w:rFonts w:cs="Calibri"/>
                <w:bCs/>
              </w:rPr>
            </w:pPr>
          </w:p>
        </w:tc>
      </w:tr>
      <w:tr w:rsidR="00BC2A04" w:rsidRPr="00AA76A0" w14:paraId="4F7F3DEF" w14:textId="77777777" w:rsidTr="00F22D61">
        <w:trPr>
          <w:gridAfter w:val="2"/>
          <w:wAfter w:w="284" w:type="dxa"/>
        </w:trPr>
        <w:tc>
          <w:tcPr>
            <w:tcW w:w="1557" w:type="dxa"/>
            <w:tcBorders>
              <w:left w:val="single" w:sz="2" w:space="0" w:color="003366"/>
              <w:right w:val="single" w:sz="2" w:space="0" w:color="003366"/>
            </w:tcBorders>
          </w:tcPr>
          <w:p w14:paraId="72CB128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3929D02" w14:textId="77777777" w:rsidR="00BC2A04" w:rsidRPr="001B6B99" w:rsidRDefault="00BC2A04" w:rsidP="00BC2A04">
            <w:pPr>
              <w:pStyle w:val="TableText"/>
              <w:tabs>
                <w:tab w:val="left" w:pos="3306"/>
              </w:tabs>
              <w:rPr>
                <w:rFonts w:cs="Calibri"/>
                <w:szCs w:val="16"/>
              </w:rPr>
            </w:pPr>
            <w:r w:rsidRPr="001B6B99">
              <w:rPr>
                <w:rFonts w:cs="Calibri"/>
                <w:szCs w:val="16"/>
              </w:rPr>
              <w:t>Employee Benefits</w:t>
            </w:r>
          </w:p>
        </w:tc>
        <w:tc>
          <w:tcPr>
            <w:tcW w:w="850" w:type="dxa"/>
            <w:gridSpan w:val="2"/>
            <w:shd w:val="clear" w:color="auto" w:fill="auto"/>
          </w:tcPr>
          <w:p w14:paraId="5A9E392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03038EDF" w14:textId="77777777" w:rsidR="00BC2A04" w:rsidRPr="001B6B99" w:rsidRDefault="00BC2A04" w:rsidP="00BC2A04">
            <w:pPr>
              <w:pStyle w:val="TableText"/>
              <w:tabs>
                <w:tab w:val="left" w:pos="3306"/>
              </w:tabs>
              <w:jc w:val="right"/>
              <w:rPr>
                <w:rFonts w:cs="Calibri"/>
                <w:bCs/>
              </w:rPr>
            </w:pPr>
          </w:p>
        </w:tc>
        <w:tc>
          <w:tcPr>
            <w:tcW w:w="850" w:type="dxa"/>
            <w:gridSpan w:val="2"/>
          </w:tcPr>
          <w:p w14:paraId="36AB4FE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A8CC499" w14:textId="322E5623"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55EF547"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66F49183" w14:textId="77777777" w:rsidR="00BC2A04" w:rsidRPr="001B6B99" w:rsidRDefault="00BC2A04" w:rsidP="00BC2A04">
            <w:pPr>
              <w:pStyle w:val="TableText"/>
              <w:tabs>
                <w:tab w:val="left" w:pos="3306"/>
              </w:tabs>
              <w:jc w:val="right"/>
              <w:rPr>
                <w:rFonts w:cs="Calibri"/>
                <w:bCs/>
              </w:rPr>
            </w:pPr>
          </w:p>
        </w:tc>
      </w:tr>
      <w:tr w:rsidR="00BC2A04" w:rsidRPr="00AA76A0" w14:paraId="6783A194" w14:textId="77777777" w:rsidTr="00F22D61">
        <w:trPr>
          <w:gridAfter w:val="2"/>
          <w:wAfter w:w="284" w:type="dxa"/>
        </w:trPr>
        <w:tc>
          <w:tcPr>
            <w:tcW w:w="1557" w:type="dxa"/>
            <w:tcBorders>
              <w:left w:val="single" w:sz="2" w:space="0" w:color="003366"/>
              <w:right w:val="single" w:sz="2" w:space="0" w:color="003366"/>
            </w:tcBorders>
          </w:tcPr>
          <w:p w14:paraId="5F77D08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28737DD" w14:textId="77777777" w:rsidR="00BC2A04" w:rsidRPr="001B6B99" w:rsidRDefault="00BC2A04" w:rsidP="00BC2A04">
            <w:pPr>
              <w:pStyle w:val="TableText"/>
              <w:tabs>
                <w:tab w:val="left" w:pos="3306"/>
              </w:tabs>
              <w:rPr>
                <w:rFonts w:cs="Calibri"/>
                <w:szCs w:val="16"/>
              </w:rPr>
            </w:pPr>
            <w:r w:rsidRPr="001B6B99">
              <w:rPr>
                <w:rFonts w:cs="Calibri"/>
                <w:szCs w:val="16"/>
              </w:rPr>
              <w:t>Other Provisions</w:t>
            </w:r>
          </w:p>
        </w:tc>
        <w:tc>
          <w:tcPr>
            <w:tcW w:w="850" w:type="dxa"/>
            <w:gridSpan w:val="2"/>
            <w:shd w:val="clear" w:color="auto" w:fill="auto"/>
          </w:tcPr>
          <w:p w14:paraId="6876DFF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37A0568" w14:textId="77777777" w:rsidR="00BC2A04" w:rsidRPr="001B6B99" w:rsidRDefault="00BC2A04" w:rsidP="00BC2A04">
            <w:pPr>
              <w:pStyle w:val="TableText"/>
              <w:tabs>
                <w:tab w:val="left" w:pos="3306"/>
              </w:tabs>
              <w:jc w:val="right"/>
              <w:rPr>
                <w:rFonts w:cs="Calibri"/>
                <w:bCs/>
              </w:rPr>
            </w:pPr>
          </w:p>
        </w:tc>
        <w:tc>
          <w:tcPr>
            <w:tcW w:w="850" w:type="dxa"/>
            <w:gridSpan w:val="2"/>
          </w:tcPr>
          <w:p w14:paraId="44B9881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B2E2CFD" w14:textId="652482C4"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580C751"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86B4D5D" w14:textId="77777777" w:rsidR="00BC2A04" w:rsidRPr="001B6B99" w:rsidRDefault="00BC2A04" w:rsidP="00BC2A04">
            <w:pPr>
              <w:pStyle w:val="TableText"/>
              <w:tabs>
                <w:tab w:val="left" w:pos="3306"/>
              </w:tabs>
              <w:jc w:val="right"/>
              <w:rPr>
                <w:rFonts w:cs="Calibri"/>
                <w:bCs/>
              </w:rPr>
            </w:pPr>
          </w:p>
        </w:tc>
      </w:tr>
      <w:tr w:rsidR="00BC2A04" w:rsidRPr="00AA76A0" w14:paraId="45B74E48" w14:textId="77777777" w:rsidTr="00F22D61">
        <w:trPr>
          <w:gridAfter w:val="2"/>
          <w:wAfter w:w="284" w:type="dxa"/>
        </w:trPr>
        <w:tc>
          <w:tcPr>
            <w:tcW w:w="1557" w:type="dxa"/>
            <w:tcBorders>
              <w:left w:val="single" w:sz="2" w:space="0" w:color="003366"/>
              <w:right w:val="single" w:sz="2" w:space="0" w:color="003366"/>
            </w:tcBorders>
          </w:tcPr>
          <w:p w14:paraId="3FDA9ED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10C12B7" w14:textId="77777777" w:rsidR="00BC2A04" w:rsidRPr="001B6B99" w:rsidRDefault="00BC2A04" w:rsidP="00BC2A04">
            <w:pPr>
              <w:pStyle w:val="TableText"/>
              <w:tabs>
                <w:tab w:val="left" w:pos="3306"/>
              </w:tabs>
              <w:rPr>
                <w:rFonts w:cs="Calibri"/>
                <w:szCs w:val="16"/>
              </w:rPr>
            </w:pPr>
            <w:r w:rsidRPr="001B6B99">
              <w:rPr>
                <w:rFonts w:cs="Calibri"/>
                <w:szCs w:val="16"/>
              </w:rPr>
              <w:t>Other Liabilities</w:t>
            </w:r>
          </w:p>
        </w:tc>
        <w:tc>
          <w:tcPr>
            <w:tcW w:w="850" w:type="dxa"/>
            <w:gridSpan w:val="2"/>
            <w:tcBorders>
              <w:bottom w:val="single" w:sz="2" w:space="0" w:color="auto"/>
            </w:tcBorders>
            <w:shd w:val="clear" w:color="auto" w:fill="auto"/>
          </w:tcPr>
          <w:p w14:paraId="0736DF4F"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219198"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4CDE3AC9"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25DB6164" w14:textId="1CA6FA54"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6C3405C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22CDA172" w14:textId="77777777" w:rsidR="00BC2A04" w:rsidRPr="001B6B99" w:rsidRDefault="00BC2A04" w:rsidP="00BC2A04">
            <w:pPr>
              <w:pStyle w:val="TableText"/>
              <w:tabs>
                <w:tab w:val="left" w:pos="3306"/>
              </w:tabs>
              <w:jc w:val="right"/>
              <w:rPr>
                <w:rFonts w:cs="Calibri"/>
                <w:bCs/>
              </w:rPr>
            </w:pPr>
          </w:p>
        </w:tc>
      </w:tr>
      <w:tr w:rsidR="00BC2A04" w:rsidRPr="00AA76A0" w14:paraId="7A2EA22B" w14:textId="77777777" w:rsidTr="00F22D61">
        <w:trPr>
          <w:gridAfter w:val="2"/>
          <w:wAfter w:w="284" w:type="dxa"/>
        </w:trPr>
        <w:tc>
          <w:tcPr>
            <w:tcW w:w="1557" w:type="dxa"/>
            <w:tcBorders>
              <w:left w:val="single" w:sz="2" w:space="0" w:color="003366"/>
              <w:right w:val="single" w:sz="2" w:space="0" w:color="003366"/>
            </w:tcBorders>
          </w:tcPr>
          <w:p w14:paraId="2442FF0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93E14A5" w14:textId="77777777" w:rsidR="00BC2A04" w:rsidRPr="001B6B99" w:rsidRDefault="00BC2A04" w:rsidP="00BC2A04">
            <w:pPr>
              <w:pStyle w:val="TableText"/>
              <w:tabs>
                <w:tab w:val="left" w:pos="3306"/>
              </w:tabs>
              <w:rPr>
                <w:rFonts w:cs="Calibri"/>
                <w:b/>
                <w:szCs w:val="16"/>
              </w:rPr>
            </w:pPr>
            <w:r w:rsidRPr="001B6B99">
              <w:rPr>
                <w:rFonts w:cs="Calibri"/>
                <w:b/>
                <w:szCs w:val="16"/>
              </w:rPr>
              <w:t>Total Non-Current Liabilities</w:t>
            </w:r>
          </w:p>
        </w:tc>
        <w:tc>
          <w:tcPr>
            <w:tcW w:w="850" w:type="dxa"/>
            <w:gridSpan w:val="2"/>
            <w:tcBorders>
              <w:top w:val="single" w:sz="2" w:space="0" w:color="auto"/>
            </w:tcBorders>
            <w:shd w:val="clear" w:color="auto" w:fill="auto"/>
          </w:tcPr>
          <w:p w14:paraId="1DAACFC4"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CF1532B"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0E710E5F"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1105E9B" w14:textId="04821BCC"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3C0A2CD0"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tcPr>
          <w:p w14:paraId="6D65EC7E" w14:textId="77777777" w:rsidR="00BC2A04" w:rsidRPr="001B6B99" w:rsidRDefault="00BC2A04" w:rsidP="00BC2A04">
            <w:pPr>
              <w:pStyle w:val="TableText"/>
              <w:tabs>
                <w:tab w:val="left" w:pos="3306"/>
              </w:tabs>
              <w:jc w:val="right"/>
              <w:rPr>
                <w:rFonts w:cs="Calibri"/>
                <w:b/>
                <w:bCs/>
              </w:rPr>
            </w:pPr>
          </w:p>
        </w:tc>
      </w:tr>
      <w:tr w:rsidR="00BC2A04" w:rsidRPr="00AA76A0" w14:paraId="670AA047" w14:textId="77777777" w:rsidTr="00F22D61">
        <w:trPr>
          <w:gridAfter w:val="2"/>
          <w:wAfter w:w="284" w:type="dxa"/>
          <w:trHeight w:hRule="exact" w:val="170"/>
        </w:trPr>
        <w:tc>
          <w:tcPr>
            <w:tcW w:w="1557" w:type="dxa"/>
            <w:tcBorders>
              <w:left w:val="single" w:sz="2" w:space="0" w:color="003366"/>
              <w:right w:val="single" w:sz="2" w:space="0" w:color="003366"/>
            </w:tcBorders>
          </w:tcPr>
          <w:p w14:paraId="6A104A5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E0031FD" w14:textId="77777777" w:rsidR="00BC2A04" w:rsidRPr="001B6B99" w:rsidRDefault="00BC2A04" w:rsidP="00BC2A04">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388A769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32F4B48F"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31E61FB9"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70BF97C8" w14:textId="2240FAE6"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012EB897"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786C1FBD" w14:textId="77777777" w:rsidR="00BC2A04" w:rsidRPr="001B6B99" w:rsidRDefault="00BC2A04" w:rsidP="00BC2A04">
            <w:pPr>
              <w:pStyle w:val="TableText"/>
              <w:tabs>
                <w:tab w:val="left" w:pos="3306"/>
              </w:tabs>
              <w:jc w:val="right"/>
              <w:rPr>
                <w:rFonts w:cs="Calibri"/>
                <w:bCs/>
              </w:rPr>
            </w:pPr>
          </w:p>
        </w:tc>
      </w:tr>
      <w:tr w:rsidR="00BC2A04" w:rsidRPr="00AA76A0" w14:paraId="571FB25C" w14:textId="77777777" w:rsidTr="00F22D61">
        <w:trPr>
          <w:gridAfter w:val="2"/>
          <w:wAfter w:w="284" w:type="dxa"/>
        </w:trPr>
        <w:tc>
          <w:tcPr>
            <w:tcW w:w="1557" w:type="dxa"/>
            <w:tcBorders>
              <w:left w:val="single" w:sz="2" w:space="0" w:color="003366"/>
              <w:right w:val="single" w:sz="2" w:space="0" w:color="003366"/>
            </w:tcBorders>
          </w:tcPr>
          <w:p w14:paraId="1DB3AA8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0A18B48" w14:textId="77777777" w:rsidR="00BC2A04" w:rsidRPr="001B6B99" w:rsidRDefault="00BC2A04" w:rsidP="00BC2A04">
            <w:pPr>
              <w:pStyle w:val="TableText"/>
              <w:tabs>
                <w:tab w:val="left" w:pos="3306"/>
              </w:tabs>
              <w:rPr>
                <w:rFonts w:cs="Calibri"/>
                <w:b/>
                <w:szCs w:val="16"/>
              </w:rPr>
            </w:pPr>
            <w:r w:rsidRPr="001B6B99">
              <w:rPr>
                <w:rFonts w:cs="Calibri"/>
                <w:b/>
                <w:szCs w:val="16"/>
              </w:rPr>
              <w:t>Total Liabilities</w:t>
            </w:r>
          </w:p>
        </w:tc>
        <w:tc>
          <w:tcPr>
            <w:tcW w:w="850" w:type="dxa"/>
            <w:gridSpan w:val="2"/>
            <w:tcBorders>
              <w:top w:val="single" w:sz="2" w:space="0" w:color="auto"/>
              <w:bottom w:val="single" w:sz="2" w:space="0" w:color="auto"/>
            </w:tcBorders>
            <w:shd w:val="clear" w:color="auto" w:fill="auto"/>
          </w:tcPr>
          <w:p w14:paraId="20691044"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79A1C2A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3188A38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4DB4E16C" w14:textId="645BD1B3"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2F38CFF7"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318F0781" w14:textId="77777777" w:rsidR="00BC2A04" w:rsidRPr="001B6B99" w:rsidRDefault="00BC2A04" w:rsidP="00BC2A04">
            <w:pPr>
              <w:pStyle w:val="TableText"/>
              <w:tabs>
                <w:tab w:val="left" w:pos="3306"/>
              </w:tabs>
              <w:jc w:val="right"/>
              <w:rPr>
                <w:rFonts w:cs="Calibri"/>
                <w:b/>
                <w:bCs/>
              </w:rPr>
            </w:pPr>
          </w:p>
        </w:tc>
      </w:tr>
      <w:tr w:rsidR="00BC2A04" w:rsidRPr="00AA76A0" w14:paraId="3C62031C" w14:textId="77777777" w:rsidTr="00F22D61">
        <w:trPr>
          <w:gridAfter w:val="2"/>
          <w:wAfter w:w="284" w:type="dxa"/>
          <w:trHeight w:hRule="exact" w:val="170"/>
        </w:trPr>
        <w:tc>
          <w:tcPr>
            <w:tcW w:w="1557" w:type="dxa"/>
            <w:tcBorders>
              <w:left w:val="single" w:sz="2" w:space="0" w:color="003366"/>
              <w:right w:val="single" w:sz="2" w:space="0" w:color="003366"/>
            </w:tcBorders>
          </w:tcPr>
          <w:p w14:paraId="760A4CB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42EB5EC" w14:textId="77777777" w:rsidR="00BC2A04" w:rsidRPr="001B6B99" w:rsidRDefault="00BC2A04" w:rsidP="00BC2A04">
            <w:pPr>
              <w:pStyle w:val="TableText"/>
              <w:tabs>
                <w:tab w:val="left" w:pos="3306"/>
              </w:tabs>
              <w:rPr>
                <w:rFonts w:cs="Calibri"/>
                <w:szCs w:val="16"/>
              </w:rPr>
            </w:pPr>
          </w:p>
        </w:tc>
        <w:tc>
          <w:tcPr>
            <w:tcW w:w="850" w:type="dxa"/>
            <w:gridSpan w:val="2"/>
            <w:tcBorders>
              <w:top w:val="single" w:sz="2" w:space="0" w:color="auto"/>
              <w:bottom w:val="single" w:sz="4" w:space="0" w:color="auto"/>
            </w:tcBorders>
            <w:shd w:val="clear" w:color="auto" w:fill="auto"/>
          </w:tcPr>
          <w:p w14:paraId="0F05C853" w14:textId="77777777" w:rsidR="00BC2A04" w:rsidRPr="001B6B99" w:rsidRDefault="00BC2A04" w:rsidP="00BC2A04">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6BE2C45C" w14:textId="77777777" w:rsidR="00BC2A04" w:rsidRPr="001B6B99" w:rsidRDefault="00BC2A04" w:rsidP="00BC2A04">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47CB9E13" w14:textId="77777777" w:rsidR="00BC2A04" w:rsidRPr="001B6B99" w:rsidRDefault="00BC2A04" w:rsidP="00BC2A04">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7593DDB4" w14:textId="61F67AA3" w:rsidR="00BC2A04" w:rsidRPr="001B6B99" w:rsidRDefault="00BC2A04" w:rsidP="00BC2A04">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44AD2BF7" w14:textId="77777777" w:rsidR="00BC2A04" w:rsidRPr="001B6B99" w:rsidRDefault="00BC2A04" w:rsidP="00BC2A04">
            <w:pPr>
              <w:pStyle w:val="TableText"/>
              <w:tabs>
                <w:tab w:val="left" w:pos="3306"/>
              </w:tabs>
              <w:jc w:val="right"/>
              <w:rPr>
                <w:rFonts w:cs="Calibri"/>
                <w:bCs/>
              </w:rPr>
            </w:pPr>
          </w:p>
        </w:tc>
        <w:tc>
          <w:tcPr>
            <w:tcW w:w="850" w:type="dxa"/>
            <w:gridSpan w:val="2"/>
            <w:tcBorders>
              <w:top w:val="single" w:sz="2" w:space="0" w:color="auto"/>
              <w:bottom w:val="single" w:sz="4" w:space="0" w:color="auto"/>
            </w:tcBorders>
            <w:shd w:val="clear" w:color="auto" w:fill="auto"/>
            <w:vAlign w:val="bottom"/>
          </w:tcPr>
          <w:p w14:paraId="427C7A06" w14:textId="77777777" w:rsidR="00BC2A04" w:rsidRPr="001B6B99" w:rsidRDefault="00BC2A04" w:rsidP="00BC2A04">
            <w:pPr>
              <w:pStyle w:val="TableText"/>
              <w:tabs>
                <w:tab w:val="left" w:pos="3306"/>
              </w:tabs>
              <w:jc w:val="right"/>
              <w:rPr>
                <w:rFonts w:cs="Calibri"/>
                <w:bCs/>
              </w:rPr>
            </w:pPr>
          </w:p>
        </w:tc>
      </w:tr>
      <w:tr w:rsidR="00BC2A04" w:rsidRPr="00AA76A0" w14:paraId="1C13872C" w14:textId="77777777" w:rsidTr="00B513E5">
        <w:trPr>
          <w:gridAfter w:val="2"/>
          <w:wAfter w:w="284" w:type="dxa"/>
        </w:trPr>
        <w:tc>
          <w:tcPr>
            <w:tcW w:w="1557" w:type="dxa"/>
            <w:tcBorders>
              <w:left w:val="single" w:sz="2" w:space="0" w:color="003366"/>
              <w:right w:val="single" w:sz="2" w:space="0" w:color="003366"/>
            </w:tcBorders>
          </w:tcPr>
          <w:p w14:paraId="171E153A"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821138E" w14:textId="77777777" w:rsidR="00BC2A04" w:rsidRPr="001B6B99" w:rsidRDefault="00BC2A04" w:rsidP="00BC2A04">
            <w:pPr>
              <w:pStyle w:val="TableText"/>
              <w:tabs>
                <w:tab w:val="left" w:pos="3306"/>
              </w:tabs>
              <w:rPr>
                <w:rFonts w:cs="Calibri"/>
                <w:b/>
                <w:szCs w:val="16"/>
              </w:rPr>
            </w:pPr>
            <w:r w:rsidRPr="001B6B99">
              <w:rPr>
                <w:rFonts w:cs="Calibri"/>
                <w:b/>
                <w:szCs w:val="16"/>
              </w:rPr>
              <w:t>Net Assets</w:t>
            </w:r>
          </w:p>
        </w:tc>
        <w:tc>
          <w:tcPr>
            <w:tcW w:w="850" w:type="dxa"/>
            <w:gridSpan w:val="2"/>
            <w:tcBorders>
              <w:top w:val="single" w:sz="4" w:space="0" w:color="auto"/>
              <w:bottom w:val="double" w:sz="4" w:space="0" w:color="auto"/>
            </w:tcBorders>
            <w:shd w:val="clear" w:color="auto" w:fill="auto"/>
          </w:tcPr>
          <w:p w14:paraId="27F8255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75BD9D6C"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588EC58A"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064D2D20" w14:textId="697C1717" w:rsidR="00BC2A04" w:rsidRPr="001B6B99" w:rsidRDefault="00BC2A04" w:rsidP="00BC2A04">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59C8E5E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4" w:space="0" w:color="auto"/>
              <w:bottom w:val="double" w:sz="4" w:space="0" w:color="auto"/>
            </w:tcBorders>
            <w:shd w:val="clear" w:color="auto" w:fill="auto"/>
            <w:vAlign w:val="bottom"/>
          </w:tcPr>
          <w:p w14:paraId="0B281753" w14:textId="77777777" w:rsidR="00BC2A04" w:rsidRPr="001B6B99" w:rsidRDefault="00BC2A04" w:rsidP="00BC2A04">
            <w:pPr>
              <w:pStyle w:val="TableText"/>
              <w:tabs>
                <w:tab w:val="left" w:pos="3306"/>
              </w:tabs>
              <w:jc w:val="right"/>
              <w:rPr>
                <w:rFonts w:cs="Calibri"/>
                <w:b/>
                <w:bCs/>
              </w:rPr>
            </w:pPr>
          </w:p>
        </w:tc>
      </w:tr>
      <w:tr w:rsidR="00EF0DF0" w:rsidRPr="005474CC" w14:paraId="5C5E45C3" w14:textId="77777777" w:rsidTr="00B513E5">
        <w:trPr>
          <w:gridAfter w:val="1"/>
          <w:wAfter w:w="85" w:type="dxa"/>
          <w:trHeight w:val="454"/>
        </w:trPr>
        <w:tc>
          <w:tcPr>
            <w:tcW w:w="1557" w:type="dxa"/>
            <w:tcBorders>
              <w:left w:val="single" w:sz="2" w:space="0" w:color="auto"/>
              <w:right w:val="single" w:sz="2" w:space="0" w:color="auto"/>
            </w:tcBorders>
            <w:shd w:val="clear" w:color="auto" w:fill="auto"/>
          </w:tcPr>
          <w:p w14:paraId="002B33DD" w14:textId="4613C4BF" w:rsidR="00EF0DF0" w:rsidRPr="00407B89" w:rsidRDefault="00EF0DF0" w:rsidP="00F22D61">
            <w:pPr>
              <w:pStyle w:val="TableReference"/>
              <w:tabs>
                <w:tab w:val="left" w:pos="3306"/>
              </w:tabs>
              <w:spacing w:before="240"/>
              <w:rPr>
                <w:rFonts w:cs="Calibri"/>
                <w:b/>
                <w:color w:val="auto"/>
                <w:sz w:val="22"/>
                <w:szCs w:val="22"/>
              </w:rPr>
            </w:pPr>
            <w:r w:rsidRPr="001B6B99">
              <w:rPr>
                <w:rFonts w:cs="Calibri"/>
                <w:b/>
                <w:color w:val="7030A0"/>
                <w:sz w:val="22"/>
                <w:szCs w:val="22"/>
              </w:rPr>
              <w:t>Reference</w:t>
            </w:r>
          </w:p>
        </w:tc>
        <w:tc>
          <w:tcPr>
            <w:tcW w:w="8987" w:type="dxa"/>
            <w:gridSpan w:val="14"/>
            <w:tcBorders>
              <w:left w:val="single" w:sz="2" w:space="0" w:color="auto"/>
            </w:tcBorders>
            <w:shd w:val="clear" w:color="auto" w:fill="auto"/>
          </w:tcPr>
          <w:p w14:paraId="14715F36" w14:textId="7AF094C1" w:rsidR="00EF0DF0" w:rsidRPr="005474CC" w:rsidRDefault="00EF0DF0" w:rsidP="00F22D61">
            <w:pPr>
              <w:spacing w:before="240"/>
              <w:rPr>
                <w:b/>
              </w:rPr>
            </w:pPr>
            <w:r w:rsidRPr="00DD2353">
              <w:rPr>
                <w:rFonts w:asciiTheme="minorHAnsi" w:hAnsiTheme="minorHAnsi" w:cstheme="minorHAnsi"/>
                <w:b/>
                <w:bCs/>
                <w:caps/>
                <w:sz w:val="36"/>
                <w:szCs w:val="36"/>
              </w:rPr>
              <w:t>Disaggregated Disclosure of Assets and Liabilities [Directorates Only] – Continued</w:t>
            </w:r>
            <w:r>
              <w:rPr>
                <w:b/>
              </w:rPr>
              <w:t xml:space="preserve"> </w:t>
            </w:r>
          </w:p>
        </w:tc>
      </w:tr>
      <w:tr w:rsidR="00A30ED6" w:rsidRPr="005474CC" w14:paraId="500B7B33" w14:textId="77777777" w:rsidTr="00B513E5">
        <w:trPr>
          <w:gridAfter w:val="1"/>
          <w:wAfter w:w="85" w:type="dxa"/>
          <w:trHeight w:val="264"/>
        </w:trPr>
        <w:tc>
          <w:tcPr>
            <w:tcW w:w="1557" w:type="dxa"/>
            <w:tcBorders>
              <w:left w:val="single" w:sz="2" w:space="0" w:color="auto"/>
              <w:right w:val="single" w:sz="2" w:space="0" w:color="auto"/>
            </w:tcBorders>
            <w:shd w:val="clear" w:color="auto" w:fill="auto"/>
          </w:tcPr>
          <w:p w14:paraId="27A73605"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54D02440" w14:textId="55601CA4" w:rsidR="00A30ED6" w:rsidRPr="001A12A3" w:rsidRDefault="00A30ED6" w:rsidP="00CB31DE">
            <w:pPr>
              <w:pStyle w:val="TableText"/>
              <w:numPr>
                <w:ilvl w:val="0"/>
                <w:numId w:val="51"/>
              </w:numPr>
              <w:tabs>
                <w:tab w:val="left" w:pos="3306"/>
              </w:tabs>
              <w:spacing w:before="0" w:after="120"/>
              <w:ind w:left="321"/>
              <w:jc w:val="both"/>
              <w:rPr>
                <w:rFonts w:cs="Calibri"/>
              </w:rPr>
            </w:pPr>
            <w:r w:rsidRPr="001A12A3">
              <w:rPr>
                <w:rFonts w:cs="Calibri"/>
              </w:rPr>
              <w:t>Unallocated Cash and Cash Equivalents</w:t>
            </w:r>
          </w:p>
        </w:tc>
      </w:tr>
      <w:tr w:rsidR="00A30ED6" w:rsidRPr="005474CC" w14:paraId="6DA57155" w14:textId="77777777" w:rsidTr="00B513E5">
        <w:trPr>
          <w:gridAfter w:val="1"/>
          <w:wAfter w:w="85" w:type="dxa"/>
          <w:trHeight w:val="454"/>
        </w:trPr>
        <w:tc>
          <w:tcPr>
            <w:tcW w:w="1557" w:type="dxa"/>
            <w:tcBorders>
              <w:left w:val="single" w:sz="2" w:space="0" w:color="auto"/>
              <w:right w:val="single" w:sz="2" w:space="0" w:color="auto"/>
            </w:tcBorders>
            <w:shd w:val="clear" w:color="auto" w:fill="auto"/>
          </w:tcPr>
          <w:p w14:paraId="63822619"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12FC6D5E" w14:textId="2FBE28B5" w:rsidR="00A30ED6" w:rsidRPr="001E61A0" w:rsidRDefault="00A30ED6" w:rsidP="0068630B">
            <w:pPr>
              <w:pStyle w:val="TableText"/>
              <w:tabs>
                <w:tab w:val="left" w:pos="3306"/>
              </w:tabs>
              <w:spacing w:before="60" w:after="60"/>
              <w:jc w:val="both"/>
              <w:rPr>
                <w:rFonts w:cs="Calibri"/>
              </w:rPr>
            </w:pPr>
            <w:r w:rsidRPr="001E61A0">
              <w:rPr>
                <w:rFonts w:cs="Calibri"/>
              </w:rPr>
              <w:t xml:space="preserve">Cash and cash equivalents have been included in the ‘Unallocated’ column above, as this class cannot be ‘reliably attributed’ to the </w:t>
            </w:r>
            <w:r w:rsidR="00086FDD">
              <w:rPr>
                <w:rFonts w:cs="Calibri"/>
              </w:rPr>
              <w:t>d</w:t>
            </w:r>
            <w:r w:rsidRPr="001E61A0">
              <w:rPr>
                <w:rFonts w:cs="Calibri"/>
              </w:rPr>
              <w:t>irectorate’s output classes.</w:t>
            </w:r>
            <w:r w:rsidR="00FA7C77">
              <w:rPr>
                <w:rFonts w:cs="Calibri"/>
              </w:rPr>
              <w:t xml:space="preserve"> </w:t>
            </w:r>
            <w:r w:rsidRPr="001E61A0">
              <w:rPr>
                <w:rFonts w:cs="Calibri"/>
              </w:rPr>
              <w:t xml:space="preserve">As the amount of cash and cash equivalents held by the </w:t>
            </w:r>
            <w:r w:rsidR="00086FDD">
              <w:rPr>
                <w:rFonts w:cs="Calibri"/>
              </w:rPr>
              <w:t>d</w:t>
            </w:r>
            <w:r w:rsidRPr="001E61A0">
              <w:rPr>
                <w:rFonts w:cs="Calibri"/>
              </w:rPr>
              <w:t>irectorate is comprised of a number of disparate components, no single allocation driver can be used to ‘reliably attribute’ this asset class.</w:t>
            </w:r>
            <w:r w:rsidR="00FA7C77">
              <w:rPr>
                <w:rFonts w:cs="Calibri"/>
              </w:rPr>
              <w:t xml:space="preserve"> </w:t>
            </w:r>
            <w:r w:rsidRPr="001E61A0">
              <w:rPr>
                <w:rFonts w:cs="Calibri"/>
              </w:rPr>
              <w:t>The components are as follows:</w:t>
            </w:r>
          </w:p>
          <w:p w14:paraId="78FC7248" w14:textId="5A8DDF35" w:rsidR="00A30ED6" w:rsidRPr="001E61A0" w:rsidRDefault="00A30ED6" w:rsidP="008E62D1">
            <w:pPr>
              <w:numPr>
                <w:ilvl w:val="0"/>
                <w:numId w:val="23"/>
              </w:numPr>
              <w:tabs>
                <w:tab w:val="clear" w:pos="360"/>
              </w:tabs>
              <w:ind w:left="604"/>
              <w:jc w:val="both"/>
              <w:rPr>
                <w:rFonts w:cs="Calibri"/>
                <w:sz w:val="18"/>
                <w:szCs w:val="18"/>
              </w:rPr>
            </w:pPr>
            <w:r w:rsidRPr="001E61A0">
              <w:rPr>
                <w:rFonts w:cs="Calibri"/>
                <w:sz w:val="18"/>
                <w:szCs w:val="18"/>
              </w:rPr>
              <w:t>working capital which is not held for any specific output class but is instead held for unfor</w:t>
            </w:r>
            <w:r w:rsidR="00BB48D2" w:rsidRPr="001E61A0">
              <w:rPr>
                <w:rFonts w:cs="Calibri"/>
                <w:sz w:val="18"/>
                <w:szCs w:val="18"/>
              </w:rPr>
              <w:t>e</w:t>
            </w:r>
            <w:r w:rsidRPr="001E61A0">
              <w:rPr>
                <w:rFonts w:cs="Calibri"/>
                <w:sz w:val="18"/>
                <w:szCs w:val="18"/>
              </w:rPr>
              <w:t>seen operational expenditures;</w:t>
            </w:r>
          </w:p>
          <w:p w14:paraId="07B92AC6" w14:textId="53B3A3B1" w:rsidR="00A30ED6" w:rsidRPr="001E61A0" w:rsidRDefault="00A30ED6" w:rsidP="008E62D1">
            <w:pPr>
              <w:numPr>
                <w:ilvl w:val="0"/>
                <w:numId w:val="23"/>
              </w:numPr>
              <w:tabs>
                <w:tab w:val="clear" w:pos="360"/>
              </w:tabs>
              <w:ind w:left="604"/>
              <w:jc w:val="both"/>
              <w:rPr>
                <w:rFonts w:cs="Calibri"/>
                <w:sz w:val="18"/>
                <w:szCs w:val="18"/>
              </w:rPr>
            </w:pPr>
            <w:r w:rsidRPr="001E61A0">
              <w:rPr>
                <w:rFonts w:cs="Calibri"/>
                <w:sz w:val="18"/>
                <w:szCs w:val="18"/>
              </w:rPr>
              <w:t>cash held for unpresented cheques.</w:t>
            </w:r>
            <w:r w:rsidR="00FA7C77">
              <w:rPr>
                <w:rFonts w:cs="Calibri"/>
                <w:sz w:val="18"/>
                <w:szCs w:val="18"/>
              </w:rPr>
              <w:t xml:space="preserve"> </w:t>
            </w:r>
            <w:r w:rsidRPr="001E61A0">
              <w:rPr>
                <w:rFonts w:cs="Calibri"/>
                <w:sz w:val="18"/>
                <w:szCs w:val="18"/>
              </w:rPr>
              <w:t>There is no correlation between output class expenditure and actual cheques which are unpresented at any given point in time.</w:t>
            </w:r>
            <w:r w:rsidR="00FA7C77">
              <w:rPr>
                <w:rFonts w:cs="Calibri"/>
                <w:sz w:val="18"/>
                <w:szCs w:val="18"/>
              </w:rPr>
              <w:t xml:space="preserve"> </w:t>
            </w:r>
            <w:r w:rsidRPr="001E61A0">
              <w:rPr>
                <w:rFonts w:cs="Calibri"/>
                <w:sz w:val="18"/>
                <w:szCs w:val="18"/>
              </w:rPr>
              <w:t>Also, a single unpresented cheque could relate to multiple output classes;</w:t>
            </w:r>
          </w:p>
          <w:p w14:paraId="65AA8FB8" w14:textId="77777777" w:rsidR="00A30ED6" w:rsidRPr="001E61A0" w:rsidRDefault="00A30ED6" w:rsidP="008E62D1">
            <w:pPr>
              <w:numPr>
                <w:ilvl w:val="0"/>
                <w:numId w:val="23"/>
              </w:numPr>
              <w:tabs>
                <w:tab w:val="clear" w:pos="360"/>
              </w:tabs>
              <w:ind w:left="604"/>
              <w:jc w:val="both"/>
              <w:rPr>
                <w:rFonts w:cs="Calibri"/>
                <w:sz w:val="18"/>
                <w:szCs w:val="18"/>
              </w:rPr>
            </w:pPr>
            <w:r w:rsidRPr="001E61A0">
              <w:rPr>
                <w:rFonts w:cs="Calibri"/>
                <w:sz w:val="18"/>
                <w:szCs w:val="18"/>
              </w:rPr>
              <w:t>cash held for a specific purpose; and</w:t>
            </w:r>
          </w:p>
          <w:p w14:paraId="5B5882F9" w14:textId="77777777" w:rsidR="00A30ED6" w:rsidRPr="001E61A0" w:rsidRDefault="00A30ED6" w:rsidP="008E62D1">
            <w:pPr>
              <w:numPr>
                <w:ilvl w:val="0"/>
                <w:numId w:val="23"/>
              </w:numPr>
              <w:tabs>
                <w:tab w:val="clear" w:pos="360"/>
              </w:tabs>
              <w:ind w:left="604"/>
              <w:jc w:val="both"/>
              <w:rPr>
                <w:rFonts w:cs="Calibri"/>
                <w:sz w:val="18"/>
                <w:szCs w:val="18"/>
              </w:rPr>
            </w:pPr>
            <w:r w:rsidRPr="001E61A0">
              <w:rPr>
                <w:rFonts w:cs="Calibri"/>
                <w:sz w:val="18"/>
                <w:szCs w:val="18"/>
              </w:rPr>
              <w:t>cash held in anticipation of an imminent payment.</w:t>
            </w:r>
          </w:p>
        </w:tc>
      </w:tr>
      <w:tr w:rsidR="00A30ED6" w:rsidRPr="005474CC" w14:paraId="709182F9"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7EF9B2C6"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4C4C6185" w14:textId="77777777" w:rsidR="00A30ED6" w:rsidRPr="001A12A3" w:rsidRDefault="00A30ED6" w:rsidP="004F3F15">
            <w:pPr>
              <w:pStyle w:val="TableText"/>
              <w:tabs>
                <w:tab w:val="left" w:pos="3306"/>
              </w:tabs>
              <w:spacing w:before="0"/>
              <w:ind w:left="323"/>
              <w:jc w:val="both"/>
              <w:rPr>
                <w:rFonts w:cs="Calibri"/>
              </w:rPr>
            </w:pPr>
          </w:p>
          <w:p w14:paraId="008B06D3" w14:textId="28FEB7F2" w:rsidR="00A30ED6" w:rsidRPr="001E61A0" w:rsidRDefault="00A30ED6" w:rsidP="00CB31DE">
            <w:pPr>
              <w:pStyle w:val="TableText"/>
              <w:numPr>
                <w:ilvl w:val="0"/>
                <w:numId w:val="51"/>
              </w:numPr>
              <w:tabs>
                <w:tab w:val="left" w:pos="3306"/>
              </w:tabs>
              <w:spacing w:before="0" w:after="120"/>
              <w:ind w:left="321"/>
              <w:jc w:val="both"/>
              <w:rPr>
                <w:rFonts w:cs="Calibri"/>
              </w:rPr>
            </w:pPr>
            <w:r w:rsidRPr="001E61A0">
              <w:rPr>
                <w:rFonts w:cs="Calibri"/>
              </w:rPr>
              <w:t xml:space="preserve">Unallocated Investments </w:t>
            </w:r>
          </w:p>
        </w:tc>
      </w:tr>
      <w:tr w:rsidR="001E61A0" w:rsidRPr="005474CC" w14:paraId="26FC8418"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7C7B5068" w14:textId="77777777" w:rsidR="001E61A0" w:rsidRPr="001E61A0" w:rsidRDefault="001E61A0"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21C894AD" w14:textId="3F46C155" w:rsidR="001E61A0" w:rsidRPr="001E61A0" w:rsidRDefault="001E61A0" w:rsidP="0068630B">
            <w:pPr>
              <w:pStyle w:val="CommentaryTitle"/>
              <w:pageBreakBefore w:val="0"/>
              <w:tabs>
                <w:tab w:val="left" w:pos="3306"/>
              </w:tabs>
              <w:spacing w:before="0" w:after="0"/>
              <w:rPr>
                <w:rFonts w:cs="Calibri"/>
                <w:sz w:val="18"/>
                <w:szCs w:val="18"/>
                <w:vertAlign w:val="superscript"/>
              </w:rPr>
            </w:pPr>
            <w:r w:rsidRPr="001E61A0">
              <w:rPr>
                <w:rFonts w:cs="Calibri"/>
                <w:b w:val="0"/>
                <w:sz w:val="18"/>
                <w:szCs w:val="18"/>
              </w:rPr>
              <w:t xml:space="preserve">Investments with the Territory Banking Account cannot be ‘reliably attributed’ to the </w:t>
            </w:r>
            <w:r w:rsidR="00086FDD">
              <w:rPr>
                <w:rFonts w:cs="Calibri"/>
                <w:b w:val="0"/>
                <w:sz w:val="18"/>
                <w:szCs w:val="18"/>
              </w:rPr>
              <w:t>d</w:t>
            </w:r>
            <w:r w:rsidRPr="001E61A0">
              <w:rPr>
                <w:rFonts w:cs="Calibri"/>
                <w:b w:val="0"/>
                <w:sz w:val="18"/>
                <w:szCs w:val="18"/>
              </w:rPr>
              <w:t>irectorate’s output classes.</w:t>
            </w:r>
          </w:p>
        </w:tc>
      </w:tr>
      <w:tr w:rsidR="00A30ED6" w:rsidRPr="005474CC" w14:paraId="5B601808"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195A7EC0"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3FBD472B" w14:textId="77777777" w:rsidR="00A30ED6" w:rsidRPr="001E61A0" w:rsidRDefault="00A30ED6" w:rsidP="0068630B">
            <w:pPr>
              <w:pStyle w:val="CommentaryTitle"/>
              <w:pageBreakBefore w:val="0"/>
              <w:tabs>
                <w:tab w:val="left" w:pos="3306"/>
              </w:tabs>
              <w:spacing w:before="0" w:after="0"/>
              <w:rPr>
                <w:rFonts w:cs="Calibri"/>
                <w:sz w:val="18"/>
                <w:szCs w:val="18"/>
              </w:rPr>
            </w:pPr>
          </w:p>
        </w:tc>
      </w:tr>
      <w:tr w:rsidR="00A30ED6" w:rsidRPr="005474CC" w14:paraId="07C1C9C9" w14:textId="77777777" w:rsidTr="00B513E5">
        <w:trPr>
          <w:gridAfter w:val="1"/>
          <w:wAfter w:w="85" w:type="dxa"/>
          <w:trHeight w:val="454"/>
        </w:trPr>
        <w:tc>
          <w:tcPr>
            <w:tcW w:w="1557" w:type="dxa"/>
            <w:tcBorders>
              <w:left w:val="single" w:sz="2" w:space="0" w:color="auto"/>
              <w:right w:val="single" w:sz="2" w:space="0" w:color="auto"/>
            </w:tcBorders>
          </w:tcPr>
          <w:p w14:paraId="1086DBD4" w14:textId="77777777" w:rsidR="00A30ED6" w:rsidRPr="001E61A0" w:rsidRDefault="00A30ED6" w:rsidP="00C9212B">
            <w:pPr>
              <w:pStyle w:val="TableReference"/>
              <w:tabs>
                <w:tab w:val="left" w:pos="3306"/>
              </w:tabs>
              <w:spacing w:before="240" w:after="240"/>
              <w:rPr>
                <w:rFonts w:cs="Calibri"/>
                <w:color w:val="auto"/>
                <w:sz w:val="14"/>
              </w:rPr>
            </w:pPr>
          </w:p>
        </w:tc>
        <w:tc>
          <w:tcPr>
            <w:tcW w:w="8987" w:type="dxa"/>
            <w:gridSpan w:val="14"/>
            <w:tcBorders>
              <w:left w:val="single" w:sz="2" w:space="0" w:color="auto"/>
            </w:tcBorders>
            <w:shd w:val="clear" w:color="auto" w:fill="7030A0"/>
          </w:tcPr>
          <w:p w14:paraId="011E702B" w14:textId="4DA147B4" w:rsidR="00ED5CD9" w:rsidRPr="001B6B99" w:rsidRDefault="00A30ED6" w:rsidP="00C9212B">
            <w:pPr>
              <w:pStyle w:val="TableReference"/>
              <w:tabs>
                <w:tab w:val="left" w:pos="3306"/>
              </w:tabs>
              <w:spacing w:before="240" w:after="240"/>
              <w:rPr>
                <w:rFonts w:cs="Calibri"/>
                <w:b/>
                <w:color w:val="FFFFFF" w:themeColor="background1"/>
                <w:sz w:val="28"/>
                <w:szCs w:val="28"/>
              </w:rPr>
            </w:pPr>
            <w:r w:rsidRPr="001B6B99">
              <w:rPr>
                <w:rFonts w:cs="Calibri"/>
                <w:b/>
                <w:color w:val="FFFFFF" w:themeColor="background1"/>
                <w:sz w:val="28"/>
                <w:szCs w:val="28"/>
              </w:rPr>
              <w:t xml:space="preserve">Commentary </w:t>
            </w:r>
            <w:r w:rsidRPr="001B6B99">
              <w:rPr>
                <w:rFonts w:cs="Calibri"/>
                <w:b/>
                <w:color w:val="FFFFFF" w:themeColor="background1"/>
                <w:sz w:val="28"/>
                <w:szCs w:val="28"/>
              </w:rPr>
              <w:sym w:font="Symbol" w:char="F02D"/>
            </w:r>
            <w:r w:rsidRPr="001B6B99">
              <w:rPr>
                <w:rFonts w:cs="Calibri"/>
                <w:b/>
                <w:color w:val="FFFFFF" w:themeColor="background1"/>
                <w:sz w:val="28"/>
                <w:szCs w:val="28"/>
              </w:rPr>
              <w:t xml:space="preserve"> Disaggregated Disclosure of Assets and Liabilities [Directorates Only]</w:t>
            </w:r>
          </w:p>
        </w:tc>
      </w:tr>
      <w:tr w:rsidR="00A30ED6" w:rsidRPr="005474CC" w14:paraId="4AC2DA9E" w14:textId="77777777" w:rsidTr="00B513E5">
        <w:trPr>
          <w:gridAfter w:val="1"/>
          <w:wAfter w:w="85" w:type="dxa"/>
          <w:trHeight w:val="119"/>
        </w:trPr>
        <w:tc>
          <w:tcPr>
            <w:tcW w:w="1557" w:type="dxa"/>
            <w:tcBorders>
              <w:left w:val="single" w:sz="2" w:space="0" w:color="auto"/>
              <w:right w:val="single" w:sz="2" w:space="0" w:color="auto"/>
            </w:tcBorders>
          </w:tcPr>
          <w:p w14:paraId="3066E549" w14:textId="77777777" w:rsidR="00A30ED6" w:rsidRPr="001E61A0" w:rsidRDefault="00A30ED6"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7676E883" w14:textId="77777777" w:rsidR="00A30ED6" w:rsidRPr="004F3F15" w:rsidRDefault="00A30ED6" w:rsidP="00CC1E25">
            <w:pPr>
              <w:pStyle w:val="CommentaryText"/>
              <w:tabs>
                <w:tab w:val="left" w:pos="3306"/>
              </w:tabs>
              <w:spacing w:after="40"/>
              <w:rPr>
                <w:rFonts w:cs="Calibri"/>
                <w:b/>
                <w:color w:val="FFFFFF" w:themeColor="background1"/>
                <w:szCs w:val="20"/>
              </w:rPr>
            </w:pPr>
            <w:r w:rsidRPr="004F3F15">
              <w:rPr>
                <w:rFonts w:cs="Calibri"/>
                <w:b/>
                <w:color w:val="FFFFFF" w:themeColor="background1"/>
                <w:szCs w:val="20"/>
              </w:rPr>
              <w:t>One Output Class</w:t>
            </w:r>
          </w:p>
        </w:tc>
      </w:tr>
      <w:tr w:rsidR="00A30ED6" w:rsidRPr="005474CC" w14:paraId="6F86D06F" w14:textId="77777777" w:rsidTr="00B513E5">
        <w:trPr>
          <w:gridAfter w:val="1"/>
          <w:wAfter w:w="85" w:type="dxa"/>
          <w:trHeight w:val="425"/>
        </w:trPr>
        <w:tc>
          <w:tcPr>
            <w:tcW w:w="1557" w:type="dxa"/>
            <w:tcBorders>
              <w:left w:val="single" w:sz="2" w:space="0" w:color="auto"/>
              <w:right w:val="single" w:sz="2" w:space="0" w:color="auto"/>
            </w:tcBorders>
          </w:tcPr>
          <w:p w14:paraId="3049CCB8" w14:textId="77777777" w:rsidR="00A30ED6" w:rsidRPr="001E61A0" w:rsidRDefault="00A30ED6"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431DF683" w14:textId="4452B9A4" w:rsidR="00A30ED6" w:rsidRPr="001B6B99" w:rsidRDefault="00A30ED6" w:rsidP="001E61A0">
            <w:pPr>
              <w:pStyle w:val="CommentaryText"/>
              <w:rPr>
                <w:rFonts w:cs="Calibri"/>
                <w:color w:val="FFFFFF" w:themeColor="background1"/>
                <w:sz w:val="18"/>
                <w:szCs w:val="18"/>
              </w:rPr>
            </w:pPr>
            <w:r w:rsidRPr="001B6B99">
              <w:rPr>
                <w:rFonts w:cs="Calibri"/>
                <w:color w:val="FFFFFF" w:themeColor="background1"/>
                <w:sz w:val="18"/>
                <w:szCs w:val="18"/>
              </w:rPr>
              <w:t>Where a directorate only has one output class, this disaggregated disclosure note is not required to be included in the directorate’s financial statements.</w:t>
            </w:r>
            <w:r w:rsidR="00FA7C77">
              <w:rPr>
                <w:rFonts w:cs="Calibri"/>
                <w:color w:val="FFFFFF" w:themeColor="background1"/>
                <w:sz w:val="18"/>
                <w:szCs w:val="18"/>
              </w:rPr>
              <w:t xml:space="preserve"> </w:t>
            </w:r>
            <w:r w:rsidRPr="001B6B99">
              <w:rPr>
                <w:rFonts w:cs="Calibri"/>
                <w:color w:val="FFFFFF" w:themeColor="background1"/>
                <w:sz w:val="18"/>
                <w:szCs w:val="18"/>
              </w:rPr>
              <w:t>However, where this is the case, the directorate must disclose this fact at the bottom of its balance sheet.</w:t>
            </w:r>
          </w:p>
        </w:tc>
      </w:tr>
      <w:tr w:rsidR="001E61A0" w:rsidRPr="005474CC" w14:paraId="084BC495" w14:textId="77777777" w:rsidTr="00B513E5">
        <w:trPr>
          <w:gridAfter w:val="1"/>
          <w:wAfter w:w="85" w:type="dxa"/>
          <w:trHeight w:val="425"/>
        </w:trPr>
        <w:tc>
          <w:tcPr>
            <w:tcW w:w="1557" w:type="dxa"/>
            <w:tcBorders>
              <w:left w:val="single" w:sz="2" w:space="0" w:color="auto"/>
              <w:right w:val="single" w:sz="2" w:space="0" w:color="auto"/>
            </w:tcBorders>
          </w:tcPr>
          <w:p w14:paraId="53411D5E" w14:textId="77777777" w:rsidR="001E61A0" w:rsidRPr="001E61A0" w:rsidRDefault="001E61A0"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7C43FB8D" w14:textId="2D86CAA3" w:rsidR="001E61A0" w:rsidRPr="001B6B99" w:rsidRDefault="001E61A0" w:rsidP="001E61A0">
            <w:pPr>
              <w:pStyle w:val="CommentaryText"/>
              <w:ind w:left="45"/>
              <w:rPr>
                <w:rFonts w:cs="Calibri"/>
                <w:color w:val="FFFFFF" w:themeColor="background1"/>
                <w:sz w:val="18"/>
                <w:szCs w:val="18"/>
              </w:rPr>
            </w:pPr>
            <w:r w:rsidRPr="001B6B99">
              <w:rPr>
                <w:rFonts w:cs="Calibri"/>
                <w:color w:val="FFFFFF" w:themeColor="background1"/>
                <w:sz w:val="18"/>
                <w:szCs w:val="18"/>
              </w:rPr>
              <w:t xml:space="preserve">Example wording a </w:t>
            </w:r>
            <w:r w:rsidR="008E62D1">
              <w:rPr>
                <w:rFonts w:cs="Calibri"/>
                <w:color w:val="FFFFFF" w:themeColor="background1"/>
                <w:sz w:val="18"/>
                <w:szCs w:val="18"/>
              </w:rPr>
              <w:t>d</w:t>
            </w:r>
            <w:r w:rsidRPr="001B6B99">
              <w:rPr>
                <w:rFonts w:cs="Calibri"/>
                <w:color w:val="FFFFFF" w:themeColor="background1"/>
                <w:sz w:val="18"/>
                <w:szCs w:val="18"/>
              </w:rPr>
              <w:t xml:space="preserve">irectorate may use at the bottom of its balance sheet, is as follows: </w:t>
            </w:r>
          </w:p>
          <w:p w14:paraId="041081AF" w14:textId="6DB21C64" w:rsidR="001E61A0" w:rsidRPr="001B6B99" w:rsidRDefault="001E61A0" w:rsidP="00E8595B">
            <w:pPr>
              <w:pStyle w:val="CommentaryText"/>
              <w:rPr>
                <w:rFonts w:cs="Calibri"/>
                <w:color w:val="FFFFFF" w:themeColor="background1"/>
                <w:sz w:val="18"/>
                <w:szCs w:val="18"/>
              </w:rPr>
            </w:pPr>
            <w:r w:rsidRPr="001B6B99">
              <w:rPr>
                <w:rFonts w:cs="Calibri"/>
                <w:i/>
                <w:color w:val="FFFFFF" w:themeColor="background1"/>
                <w:sz w:val="18"/>
                <w:szCs w:val="18"/>
              </w:rPr>
              <w:t>‘</w:t>
            </w:r>
            <w:r w:rsidRPr="001B6B99">
              <w:rPr>
                <w:i/>
                <w:iCs/>
                <w:color w:val="FFFFFF" w:themeColor="background1"/>
                <w:sz w:val="18"/>
                <w:szCs w:val="18"/>
              </w:rPr>
              <w:t xml:space="preserve">Burley Griffin </w:t>
            </w:r>
            <w:r w:rsidRPr="001B6B99">
              <w:rPr>
                <w:rFonts w:cs="Calibri"/>
                <w:i/>
                <w:color w:val="FFFFFF" w:themeColor="background1"/>
                <w:sz w:val="18"/>
                <w:szCs w:val="18"/>
              </w:rPr>
              <w:t xml:space="preserve">Agency’ only has one output class and as such the above Balance Sheet is also the </w:t>
            </w:r>
            <w:r w:rsidR="008E62D1">
              <w:rPr>
                <w:rFonts w:cs="Calibri"/>
                <w:i/>
                <w:color w:val="FFFFFF" w:themeColor="background1"/>
                <w:sz w:val="18"/>
                <w:szCs w:val="18"/>
              </w:rPr>
              <w:t>d</w:t>
            </w:r>
            <w:r w:rsidRPr="001B6B99">
              <w:rPr>
                <w:rFonts w:cs="Calibri"/>
                <w:i/>
                <w:color w:val="FFFFFF" w:themeColor="background1"/>
                <w:sz w:val="18"/>
                <w:szCs w:val="18"/>
              </w:rPr>
              <w:t>irectorate’s Balance Sheet for the [Name of Output Class] Output Class.</w:t>
            </w:r>
            <w:r w:rsidR="00FA7C77">
              <w:rPr>
                <w:rFonts w:cs="Calibri"/>
                <w:i/>
                <w:color w:val="FFFFFF" w:themeColor="background1"/>
                <w:sz w:val="18"/>
                <w:szCs w:val="18"/>
              </w:rPr>
              <w:t xml:space="preserve"> </w:t>
            </w:r>
            <w:r w:rsidRPr="001B6B99">
              <w:rPr>
                <w:rFonts w:cs="Calibri"/>
                <w:i/>
                <w:color w:val="FFFFFF" w:themeColor="background1"/>
                <w:sz w:val="18"/>
                <w:szCs w:val="18"/>
              </w:rPr>
              <w:t xml:space="preserve">A separate disaggregated disclosure </w:t>
            </w:r>
            <w:r w:rsidR="00341236" w:rsidRPr="00341236">
              <w:rPr>
                <w:rFonts w:cs="Calibri"/>
                <w:i/>
                <w:color w:val="FF0000"/>
                <w:sz w:val="18"/>
                <w:szCs w:val="18"/>
              </w:rPr>
              <w:t xml:space="preserve">statement </w:t>
            </w:r>
            <w:r w:rsidRPr="00341236">
              <w:rPr>
                <w:rFonts w:cs="Calibri"/>
                <w:i/>
                <w:strike/>
                <w:color w:val="FF0000"/>
                <w:sz w:val="18"/>
                <w:szCs w:val="18"/>
              </w:rPr>
              <w:t>note</w:t>
            </w:r>
            <w:r w:rsidRPr="00341236">
              <w:rPr>
                <w:rFonts w:cs="Calibri"/>
                <w:i/>
                <w:color w:val="FF0000"/>
                <w:sz w:val="18"/>
                <w:szCs w:val="18"/>
              </w:rPr>
              <w:t xml:space="preserve"> </w:t>
            </w:r>
            <w:r w:rsidRPr="001B6B99">
              <w:rPr>
                <w:rFonts w:cs="Calibri"/>
                <w:i/>
                <w:color w:val="FFFFFF" w:themeColor="background1"/>
                <w:sz w:val="18"/>
                <w:szCs w:val="18"/>
              </w:rPr>
              <w:t>has not been included in these financial statements.</w:t>
            </w:r>
          </w:p>
        </w:tc>
      </w:tr>
      <w:tr w:rsidR="00A30ED6" w:rsidRPr="005474CC" w14:paraId="1A554032" w14:textId="77777777" w:rsidTr="00B513E5">
        <w:trPr>
          <w:gridAfter w:val="1"/>
          <w:wAfter w:w="85" w:type="dxa"/>
          <w:trHeight w:val="119"/>
        </w:trPr>
        <w:tc>
          <w:tcPr>
            <w:tcW w:w="1557" w:type="dxa"/>
            <w:tcBorders>
              <w:left w:val="single" w:sz="2" w:space="0" w:color="auto"/>
              <w:right w:val="single" w:sz="2" w:space="0" w:color="auto"/>
            </w:tcBorders>
          </w:tcPr>
          <w:p w14:paraId="64CEF301" w14:textId="77777777" w:rsidR="00A30ED6" w:rsidRPr="001E61A0" w:rsidRDefault="00A30ED6" w:rsidP="0068630B">
            <w:pPr>
              <w:pStyle w:val="TableReference"/>
              <w:tabs>
                <w:tab w:val="left" w:pos="3306"/>
              </w:tabs>
              <w:spacing w:after="120"/>
              <w:rPr>
                <w:rFonts w:cs="Calibri"/>
                <w:color w:val="auto"/>
                <w:sz w:val="14"/>
              </w:rPr>
            </w:pPr>
          </w:p>
        </w:tc>
        <w:tc>
          <w:tcPr>
            <w:tcW w:w="8987" w:type="dxa"/>
            <w:gridSpan w:val="14"/>
            <w:tcBorders>
              <w:left w:val="single" w:sz="2" w:space="0" w:color="auto"/>
            </w:tcBorders>
            <w:shd w:val="clear" w:color="auto" w:fill="7030A0"/>
          </w:tcPr>
          <w:p w14:paraId="724D4B78" w14:textId="77777777" w:rsidR="00A30ED6" w:rsidRPr="004F3F15" w:rsidRDefault="00A30ED6" w:rsidP="00CC1E25">
            <w:pPr>
              <w:pStyle w:val="CommentaryText"/>
              <w:tabs>
                <w:tab w:val="left" w:pos="3306"/>
              </w:tabs>
              <w:spacing w:after="40"/>
              <w:rPr>
                <w:rFonts w:cs="Calibri"/>
                <w:b/>
                <w:color w:val="FFFFFF" w:themeColor="background1"/>
                <w:szCs w:val="20"/>
              </w:rPr>
            </w:pPr>
            <w:r w:rsidRPr="004F3F15">
              <w:rPr>
                <w:rFonts w:cs="Calibri"/>
                <w:b/>
                <w:color w:val="FFFFFF" w:themeColor="background1"/>
                <w:szCs w:val="20"/>
              </w:rPr>
              <w:t xml:space="preserve">Reliably Attributable </w:t>
            </w:r>
          </w:p>
        </w:tc>
      </w:tr>
      <w:tr w:rsidR="00A30ED6" w:rsidRPr="005474CC" w14:paraId="2A9A4604" w14:textId="77777777" w:rsidTr="00B513E5">
        <w:trPr>
          <w:gridAfter w:val="1"/>
          <w:wAfter w:w="85" w:type="dxa"/>
          <w:trHeight w:val="990"/>
        </w:trPr>
        <w:tc>
          <w:tcPr>
            <w:tcW w:w="1557" w:type="dxa"/>
            <w:tcBorders>
              <w:left w:val="single" w:sz="2" w:space="0" w:color="auto"/>
              <w:right w:val="single" w:sz="2" w:space="0" w:color="auto"/>
            </w:tcBorders>
          </w:tcPr>
          <w:p w14:paraId="538C6C8B" w14:textId="77777777" w:rsidR="00A30ED6" w:rsidRPr="001B6B99" w:rsidRDefault="00A30ED6" w:rsidP="0068630B">
            <w:pPr>
              <w:pStyle w:val="TableReference"/>
              <w:tabs>
                <w:tab w:val="left" w:pos="3306"/>
              </w:tabs>
              <w:spacing w:before="120"/>
              <w:rPr>
                <w:rFonts w:cs="Calibri"/>
                <w:color w:val="7030A0"/>
                <w:sz w:val="14"/>
              </w:rPr>
            </w:pPr>
            <w:r w:rsidRPr="001B6B99">
              <w:rPr>
                <w:rFonts w:cs="Calibri"/>
                <w:color w:val="7030A0"/>
                <w:sz w:val="14"/>
              </w:rPr>
              <w:t>AASB 1052.16</w:t>
            </w:r>
          </w:p>
          <w:p w14:paraId="4D2CFB0B" w14:textId="77777777" w:rsidR="00A30ED6" w:rsidRPr="001B6B99" w:rsidRDefault="00A30ED6" w:rsidP="0068630B">
            <w:pPr>
              <w:pStyle w:val="TableReference"/>
              <w:tabs>
                <w:tab w:val="left" w:pos="3306"/>
              </w:tabs>
              <w:spacing w:before="120"/>
              <w:rPr>
                <w:rFonts w:cs="Calibri"/>
                <w:color w:val="7030A0"/>
                <w:sz w:val="14"/>
              </w:rPr>
            </w:pPr>
            <w:r w:rsidRPr="001B6B99">
              <w:rPr>
                <w:rFonts w:cs="Calibri"/>
                <w:color w:val="7030A0"/>
                <w:sz w:val="14"/>
              </w:rPr>
              <w:t>AASB 1052.19</w:t>
            </w:r>
          </w:p>
        </w:tc>
        <w:tc>
          <w:tcPr>
            <w:tcW w:w="8987" w:type="dxa"/>
            <w:gridSpan w:val="14"/>
            <w:tcBorders>
              <w:left w:val="single" w:sz="2" w:space="0" w:color="auto"/>
            </w:tcBorders>
            <w:shd w:val="clear" w:color="auto" w:fill="7030A0"/>
          </w:tcPr>
          <w:p w14:paraId="51A7BA13" w14:textId="0E9B7B0E" w:rsidR="00A30ED6" w:rsidRPr="001B6B99" w:rsidRDefault="00A30ED6" w:rsidP="00850B5B">
            <w:pPr>
              <w:autoSpaceDE w:val="0"/>
              <w:autoSpaceDN w:val="0"/>
              <w:adjustRightInd w:val="0"/>
              <w:spacing w:after="120"/>
              <w:jc w:val="both"/>
              <w:rPr>
                <w:rFonts w:cs="Calibri"/>
                <w:color w:val="FFFFFF" w:themeColor="background1"/>
                <w:sz w:val="18"/>
                <w:szCs w:val="18"/>
              </w:rPr>
            </w:pPr>
            <w:r w:rsidRPr="001B6B99">
              <w:rPr>
                <w:rFonts w:cs="Calibri"/>
                <w:color w:val="FFFFFF" w:themeColor="background1"/>
                <w:sz w:val="18"/>
                <w:szCs w:val="18"/>
              </w:rPr>
              <w:t xml:space="preserve">AASB 1052 </w:t>
            </w:r>
            <w:r w:rsidRPr="001B6B99">
              <w:rPr>
                <w:rFonts w:cs="Calibri"/>
                <w:i/>
                <w:color w:val="FFFFFF" w:themeColor="background1"/>
                <w:sz w:val="18"/>
                <w:szCs w:val="18"/>
              </w:rPr>
              <w:t xml:space="preserve">Disaggregated Disclosures </w:t>
            </w:r>
            <w:r w:rsidRPr="001B6B99">
              <w:rPr>
                <w:rFonts w:cs="Calibri"/>
                <w:color w:val="FFFFFF" w:themeColor="background1"/>
                <w:sz w:val="18"/>
                <w:szCs w:val="18"/>
              </w:rPr>
              <w:t>states that the financial statements of a government Department shall disclose the assets deployed and liabilities incurred that are ‘reliably attributable’ to each Department’s output class.</w:t>
            </w:r>
            <w:r w:rsidR="00FA7C77">
              <w:rPr>
                <w:rFonts w:cs="Calibri"/>
                <w:color w:val="FFFFFF" w:themeColor="background1"/>
                <w:sz w:val="18"/>
                <w:szCs w:val="18"/>
              </w:rPr>
              <w:t xml:space="preserve"> </w:t>
            </w:r>
            <w:r w:rsidRPr="001B6B99">
              <w:rPr>
                <w:rFonts w:cs="Calibri"/>
                <w:color w:val="FFFFFF" w:themeColor="background1"/>
                <w:sz w:val="18"/>
                <w:szCs w:val="18"/>
              </w:rPr>
              <w:t>However, AASB 1052 does not provide guidance on what assets or liabilities it generally considers to be ‘reliably attributable’ to a particular output class.</w:t>
            </w:r>
            <w:r w:rsidR="00FA7C77">
              <w:rPr>
                <w:rFonts w:cs="Calibri"/>
                <w:color w:val="FFFFFF" w:themeColor="background1"/>
                <w:sz w:val="18"/>
                <w:szCs w:val="18"/>
              </w:rPr>
              <w:t xml:space="preserve"> </w:t>
            </w:r>
            <w:r w:rsidRPr="001B6B99">
              <w:rPr>
                <w:rFonts w:cs="Calibri"/>
                <w:color w:val="FFFFFF" w:themeColor="background1"/>
                <w:sz w:val="18"/>
                <w:szCs w:val="18"/>
              </w:rPr>
              <w:t>It does state that it may not be possible to reliably attribute all assets and liabilities.</w:t>
            </w:r>
          </w:p>
        </w:tc>
      </w:tr>
      <w:tr w:rsidR="00850B5B" w:rsidRPr="005474CC" w14:paraId="08DFE6F7" w14:textId="77777777" w:rsidTr="008E62D1">
        <w:trPr>
          <w:gridAfter w:val="1"/>
          <w:wAfter w:w="85" w:type="dxa"/>
          <w:trHeight w:val="2247"/>
        </w:trPr>
        <w:tc>
          <w:tcPr>
            <w:tcW w:w="1557" w:type="dxa"/>
            <w:tcBorders>
              <w:left w:val="single" w:sz="2" w:space="0" w:color="auto"/>
              <w:right w:val="single" w:sz="2" w:space="0" w:color="auto"/>
            </w:tcBorders>
          </w:tcPr>
          <w:p w14:paraId="776F3D4A" w14:textId="146C5DC9" w:rsidR="00850B5B" w:rsidRPr="001B6B99" w:rsidRDefault="00850B5B" w:rsidP="009A0F2F">
            <w:pPr>
              <w:pStyle w:val="TableReference"/>
              <w:tabs>
                <w:tab w:val="left" w:pos="3306"/>
              </w:tabs>
              <w:spacing w:before="120"/>
              <w:rPr>
                <w:rFonts w:cs="Calibri"/>
                <w:color w:val="7030A0"/>
                <w:sz w:val="14"/>
              </w:rPr>
            </w:pPr>
            <w:r w:rsidRPr="001B6B99">
              <w:rPr>
                <w:rFonts w:cs="Calibri"/>
                <w:color w:val="7030A0"/>
                <w:sz w:val="14"/>
              </w:rPr>
              <w:t xml:space="preserve">ACT </w:t>
            </w:r>
            <w:r w:rsidR="00A274A8" w:rsidRPr="001B6B99">
              <w:rPr>
                <w:rFonts w:cs="Calibri"/>
                <w:color w:val="7030A0"/>
                <w:sz w:val="14"/>
              </w:rPr>
              <w:t>Disclosure</w:t>
            </w:r>
            <w:r w:rsidRPr="001B6B99">
              <w:rPr>
                <w:rFonts w:cs="Calibri"/>
                <w:color w:val="7030A0"/>
                <w:sz w:val="14"/>
              </w:rPr>
              <w:t xml:space="preserve"> Policy</w:t>
            </w:r>
          </w:p>
        </w:tc>
        <w:tc>
          <w:tcPr>
            <w:tcW w:w="8987" w:type="dxa"/>
            <w:gridSpan w:val="14"/>
            <w:tcBorders>
              <w:left w:val="single" w:sz="2" w:space="0" w:color="auto"/>
            </w:tcBorders>
            <w:shd w:val="clear" w:color="auto" w:fill="7030A0"/>
          </w:tcPr>
          <w:p w14:paraId="018F433C" w14:textId="71C71E33" w:rsidR="00850B5B" w:rsidRPr="001B6B99" w:rsidRDefault="00850B5B" w:rsidP="008E62D1">
            <w:pPr>
              <w:autoSpaceDE w:val="0"/>
              <w:autoSpaceDN w:val="0"/>
              <w:adjustRightInd w:val="0"/>
              <w:spacing w:after="40"/>
              <w:jc w:val="both"/>
              <w:rPr>
                <w:rFonts w:cs="Calibri"/>
                <w:color w:val="FFFFFF" w:themeColor="background1"/>
                <w:sz w:val="18"/>
                <w:szCs w:val="18"/>
              </w:rPr>
            </w:pPr>
            <w:r w:rsidRPr="001B6B99">
              <w:rPr>
                <w:rFonts w:cs="Calibri"/>
                <w:color w:val="FFFFFF" w:themeColor="background1"/>
                <w:sz w:val="18"/>
                <w:szCs w:val="18"/>
              </w:rPr>
              <w:t xml:space="preserve">ACT </w:t>
            </w:r>
            <w:r w:rsidR="00A274A8" w:rsidRPr="001B6B99">
              <w:rPr>
                <w:rFonts w:cs="Calibri"/>
                <w:color w:val="FFFFFF" w:themeColor="background1"/>
                <w:sz w:val="18"/>
                <w:szCs w:val="18"/>
              </w:rPr>
              <w:t>Disclosure</w:t>
            </w:r>
            <w:r w:rsidRPr="001B6B99">
              <w:rPr>
                <w:rFonts w:cs="Calibri"/>
                <w:color w:val="FFFFFF" w:themeColor="background1"/>
                <w:sz w:val="18"/>
                <w:szCs w:val="18"/>
              </w:rPr>
              <w:t xml:space="preserve"> Policy on Disaggregated Disclosures</w:t>
            </w:r>
            <w:r w:rsidR="00A274A8" w:rsidRPr="001B6B99">
              <w:rPr>
                <w:rFonts w:cs="Calibri"/>
                <w:color w:val="FFFFFF" w:themeColor="background1"/>
                <w:sz w:val="18"/>
                <w:szCs w:val="18"/>
              </w:rPr>
              <w:t xml:space="preserve"> is</w:t>
            </w:r>
            <w:r w:rsidRPr="001B6B99">
              <w:rPr>
                <w:rFonts w:cs="Calibri"/>
                <w:color w:val="FFFFFF" w:themeColor="background1"/>
                <w:sz w:val="18"/>
                <w:szCs w:val="18"/>
              </w:rPr>
              <w:t xml:space="preserve"> that, in most cases, cash and cash equivalents cannot be reliably attributed to a </w:t>
            </w:r>
            <w:r w:rsidR="008E62D1">
              <w:rPr>
                <w:rFonts w:cs="Calibri"/>
                <w:color w:val="FFFFFF" w:themeColor="background1"/>
                <w:sz w:val="18"/>
                <w:szCs w:val="18"/>
              </w:rPr>
              <w:t>d</w:t>
            </w:r>
            <w:r w:rsidRPr="001B6B99">
              <w:rPr>
                <w:rFonts w:cs="Calibri"/>
                <w:color w:val="FFFFFF" w:themeColor="background1"/>
                <w:sz w:val="18"/>
                <w:szCs w:val="18"/>
              </w:rPr>
              <w:t>irectorate’s output classes.</w:t>
            </w:r>
            <w:r w:rsidR="00FA7C77">
              <w:rPr>
                <w:rFonts w:cs="Calibri"/>
                <w:color w:val="FFFFFF" w:themeColor="background1"/>
                <w:sz w:val="18"/>
                <w:szCs w:val="18"/>
              </w:rPr>
              <w:t xml:space="preserve"> </w:t>
            </w:r>
            <w:r w:rsidRPr="001B6B99">
              <w:rPr>
                <w:rFonts w:cs="Calibri"/>
                <w:color w:val="FFFFFF" w:themeColor="background1"/>
                <w:sz w:val="18"/>
                <w:szCs w:val="18"/>
              </w:rPr>
              <w:t>Where this is the case, directorates do not have to allocate this to output classes.</w:t>
            </w:r>
            <w:r w:rsidR="00FA7C77">
              <w:rPr>
                <w:rFonts w:cs="Calibri"/>
                <w:color w:val="FFFFFF" w:themeColor="background1"/>
                <w:sz w:val="18"/>
                <w:szCs w:val="18"/>
              </w:rPr>
              <w:t xml:space="preserve"> </w:t>
            </w:r>
          </w:p>
          <w:p w14:paraId="7013184E" w14:textId="68C397E0" w:rsidR="00850B5B" w:rsidRPr="001B6B99" w:rsidRDefault="00E265B0" w:rsidP="008E62D1">
            <w:pPr>
              <w:autoSpaceDE w:val="0"/>
              <w:autoSpaceDN w:val="0"/>
              <w:adjustRightInd w:val="0"/>
              <w:spacing w:after="40"/>
              <w:jc w:val="both"/>
              <w:rPr>
                <w:rFonts w:cs="Calibri"/>
                <w:color w:val="FFFFFF" w:themeColor="background1"/>
                <w:sz w:val="18"/>
                <w:szCs w:val="18"/>
              </w:rPr>
            </w:pPr>
            <w:r w:rsidRPr="001B6B99">
              <w:rPr>
                <w:rFonts w:cs="Calibri"/>
                <w:color w:val="FFFFFF" w:themeColor="background1"/>
                <w:sz w:val="18"/>
                <w:szCs w:val="18"/>
              </w:rPr>
              <w:t>T</w:t>
            </w:r>
            <w:r w:rsidR="00850B5B" w:rsidRPr="001B6B99">
              <w:rPr>
                <w:rFonts w:cs="Calibri"/>
                <w:color w:val="FFFFFF" w:themeColor="background1"/>
                <w:sz w:val="18"/>
                <w:szCs w:val="18"/>
              </w:rPr>
              <w:t xml:space="preserve">he following asset and liability classes can be allocated: </w:t>
            </w:r>
          </w:p>
          <w:p w14:paraId="27985B6E" w14:textId="77777777" w:rsidR="00850B5B" w:rsidRPr="001B6B99" w:rsidRDefault="00850B5B"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Property, Plant and Equipment;</w:t>
            </w:r>
          </w:p>
          <w:p w14:paraId="1AF849FA" w14:textId="77777777" w:rsidR="00850B5B" w:rsidRPr="001B6B99" w:rsidRDefault="00850B5B"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Intangibles;</w:t>
            </w:r>
          </w:p>
          <w:p w14:paraId="423ACC71" w14:textId="77777777" w:rsidR="00850B5B" w:rsidRPr="001B6B99" w:rsidRDefault="00850B5B"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Capital Works in Progress;</w:t>
            </w:r>
          </w:p>
          <w:p w14:paraId="64C1F5F9" w14:textId="77777777" w:rsidR="00850B5B" w:rsidRPr="001B6B99" w:rsidRDefault="00850B5B"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Employee Benefits; and</w:t>
            </w:r>
          </w:p>
          <w:p w14:paraId="00063305" w14:textId="77777777" w:rsidR="00850B5B" w:rsidRPr="001B6B99" w:rsidRDefault="00850B5B"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Lease Liabilities</w:t>
            </w:r>
            <w:r w:rsidRPr="008E62D1">
              <w:rPr>
                <w:color w:val="F2F2F2" w:themeColor="background1" w:themeShade="F2"/>
                <w:sz w:val="18"/>
                <w:szCs w:val="18"/>
              </w:rPr>
              <w:t>.</w:t>
            </w:r>
            <w:r w:rsidRPr="001B6B99">
              <w:rPr>
                <w:rStyle w:val="PageNumber"/>
                <w:rFonts w:cs="Calibri"/>
                <w:color w:val="FFFFFF" w:themeColor="background1"/>
                <w:sz w:val="18"/>
                <w:szCs w:val="18"/>
              </w:rPr>
              <w:t xml:space="preserve"> </w:t>
            </w:r>
          </w:p>
        </w:tc>
      </w:tr>
      <w:tr w:rsidR="00850B5B" w:rsidRPr="005474CC" w14:paraId="4C60D175" w14:textId="77777777" w:rsidTr="00B513E5">
        <w:trPr>
          <w:gridAfter w:val="1"/>
          <w:wAfter w:w="85" w:type="dxa"/>
          <w:trHeight w:val="227"/>
        </w:trPr>
        <w:tc>
          <w:tcPr>
            <w:tcW w:w="1557" w:type="dxa"/>
            <w:tcBorders>
              <w:left w:val="single" w:sz="2" w:space="0" w:color="auto"/>
              <w:right w:val="single" w:sz="2" w:space="0" w:color="auto"/>
            </w:tcBorders>
          </w:tcPr>
          <w:p w14:paraId="05CB6736" w14:textId="2FE5F1C2" w:rsidR="00850B5B" w:rsidRPr="005474CC" w:rsidRDefault="00850B5B" w:rsidP="009A0F2F">
            <w:pPr>
              <w:rPr>
                <w:rFonts w:cs="Calibri"/>
                <w:sz w:val="16"/>
              </w:rPr>
            </w:pPr>
            <w:r w:rsidRPr="005474CC">
              <w:rPr>
                <w:rFonts w:cs="Calibri"/>
                <w:b/>
                <w:bCs/>
              </w:rPr>
              <w:t xml:space="preserve"> </w:t>
            </w:r>
          </w:p>
        </w:tc>
        <w:tc>
          <w:tcPr>
            <w:tcW w:w="8987" w:type="dxa"/>
            <w:gridSpan w:val="14"/>
            <w:tcBorders>
              <w:left w:val="single" w:sz="2" w:space="0" w:color="auto"/>
            </w:tcBorders>
            <w:shd w:val="clear" w:color="auto" w:fill="7030A0"/>
          </w:tcPr>
          <w:p w14:paraId="1A5F12CC" w14:textId="35C20B92" w:rsidR="00850B5B" w:rsidRPr="001B6B99" w:rsidRDefault="00850B5B" w:rsidP="00850B5B">
            <w:pPr>
              <w:spacing w:after="120"/>
              <w:jc w:val="both"/>
              <w:rPr>
                <w:rFonts w:cs="Calibri"/>
                <w:color w:val="FFFFFF" w:themeColor="background1"/>
                <w:sz w:val="18"/>
                <w:szCs w:val="18"/>
              </w:rPr>
            </w:pPr>
            <w:r w:rsidRPr="001B6B99">
              <w:rPr>
                <w:rFonts w:cs="Calibri"/>
                <w:color w:val="FFFFFF" w:themeColor="background1"/>
                <w:sz w:val="18"/>
                <w:szCs w:val="18"/>
              </w:rPr>
              <w:t>As such, directorates must allocate these asset classes to each of their output classes.</w:t>
            </w:r>
            <w:r w:rsidR="00FA7C77">
              <w:rPr>
                <w:rFonts w:cs="Calibri"/>
                <w:color w:val="FFFFFF" w:themeColor="background1"/>
                <w:sz w:val="18"/>
                <w:szCs w:val="18"/>
              </w:rPr>
              <w:t xml:space="preserve"> </w:t>
            </w:r>
          </w:p>
        </w:tc>
      </w:tr>
      <w:tr w:rsidR="00850B5B" w:rsidRPr="005474CC" w14:paraId="651875B3" w14:textId="77777777" w:rsidTr="00B513E5">
        <w:trPr>
          <w:gridAfter w:val="1"/>
          <w:wAfter w:w="85" w:type="dxa"/>
          <w:trHeight w:val="1206"/>
        </w:trPr>
        <w:tc>
          <w:tcPr>
            <w:tcW w:w="1557" w:type="dxa"/>
            <w:tcBorders>
              <w:left w:val="single" w:sz="2" w:space="0" w:color="auto"/>
              <w:right w:val="single" w:sz="2" w:space="0" w:color="auto"/>
            </w:tcBorders>
          </w:tcPr>
          <w:p w14:paraId="539A8C95" w14:textId="77777777" w:rsidR="00850B5B" w:rsidRPr="005474CC" w:rsidRDefault="00850B5B" w:rsidP="009A0F2F">
            <w:pPr>
              <w:rPr>
                <w:rFonts w:cs="Calibri"/>
                <w:b/>
                <w:bCs/>
              </w:rPr>
            </w:pPr>
          </w:p>
        </w:tc>
        <w:tc>
          <w:tcPr>
            <w:tcW w:w="8987" w:type="dxa"/>
            <w:gridSpan w:val="14"/>
            <w:tcBorders>
              <w:left w:val="single" w:sz="2" w:space="0" w:color="auto"/>
            </w:tcBorders>
            <w:shd w:val="clear" w:color="auto" w:fill="7030A0"/>
          </w:tcPr>
          <w:p w14:paraId="6B1022EB" w14:textId="18DC083A" w:rsidR="00850B5B" w:rsidRPr="001B6B99" w:rsidRDefault="00850B5B" w:rsidP="001B6B99">
            <w:pPr>
              <w:jc w:val="both"/>
              <w:rPr>
                <w:rFonts w:cs="Calibri"/>
                <w:color w:val="FFFFFF" w:themeColor="background1"/>
                <w:sz w:val="18"/>
                <w:szCs w:val="18"/>
              </w:rPr>
            </w:pPr>
            <w:r w:rsidRPr="001B6B99">
              <w:rPr>
                <w:rFonts w:cs="Calibri"/>
                <w:color w:val="FFFFFF" w:themeColor="background1"/>
                <w:sz w:val="18"/>
                <w:szCs w:val="18"/>
              </w:rPr>
              <w:t xml:space="preserve">For all other asset and liability classes, the ultimate decision regarding whether or not these classes can be reliably attributed to an appropriate output class rests with the directorate, and as such directorates will need to analyse their assets and liabilities to determine which classes can be reliably attributed. </w:t>
            </w:r>
            <w:r w:rsidRPr="00B73007">
              <w:rPr>
                <w:rFonts w:cs="Calibri"/>
                <w:strike/>
                <w:color w:val="FF0000"/>
                <w:sz w:val="18"/>
                <w:szCs w:val="18"/>
              </w:rPr>
              <w:t>As directorates are to determine if an asset or liability class is ‘reliably attributable’, directorates should not base their allocations on the note above, as the allocation is an example only.</w:t>
            </w:r>
            <w:r w:rsidRPr="00EA2C2A">
              <w:rPr>
                <w:rFonts w:cs="Calibri"/>
                <w:color w:val="FF0000"/>
                <w:sz w:val="18"/>
                <w:szCs w:val="18"/>
              </w:rPr>
              <w:t xml:space="preserve"> </w:t>
            </w:r>
          </w:p>
        </w:tc>
      </w:tr>
    </w:tbl>
    <w:p w14:paraId="4F8ED49C" w14:textId="77777777" w:rsidR="00E35CD2" w:rsidRDefault="00E35CD2">
      <w:r>
        <w:br w:type="page"/>
      </w:r>
    </w:p>
    <w:tbl>
      <w:tblPr>
        <w:tblW w:w="0" w:type="auto"/>
        <w:tblLook w:val="00A0" w:firstRow="1" w:lastRow="0" w:firstColumn="1" w:lastColumn="0" w:noHBand="0" w:noVBand="0"/>
      </w:tblPr>
      <w:tblGrid>
        <w:gridCol w:w="1557"/>
        <w:gridCol w:w="8987"/>
      </w:tblGrid>
      <w:tr w:rsidR="00E35CD2" w:rsidRPr="00EF0DF0" w14:paraId="3ACE3E4E" w14:textId="77777777" w:rsidTr="00B513E5">
        <w:trPr>
          <w:trHeight w:val="634"/>
        </w:trPr>
        <w:tc>
          <w:tcPr>
            <w:tcW w:w="1557" w:type="dxa"/>
            <w:tcBorders>
              <w:left w:val="single" w:sz="2" w:space="0" w:color="auto"/>
              <w:right w:val="single" w:sz="2" w:space="0" w:color="auto"/>
            </w:tcBorders>
          </w:tcPr>
          <w:p w14:paraId="1442ABA5" w14:textId="77777777" w:rsidR="00E35CD2" w:rsidRPr="001B6B99" w:rsidRDefault="00E35CD2" w:rsidP="00C9212B">
            <w:pPr>
              <w:pStyle w:val="TableReference"/>
              <w:tabs>
                <w:tab w:val="left" w:pos="3306"/>
              </w:tabs>
              <w:spacing w:before="240" w:after="240"/>
              <w:rPr>
                <w:rFonts w:cs="Calibri"/>
                <w:b/>
                <w:color w:val="7030A0"/>
                <w:sz w:val="22"/>
                <w:szCs w:val="22"/>
              </w:rPr>
            </w:pPr>
            <w:r w:rsidRPr="001B6B99">
              <w:rPr>
                <w:rFonts w:cs="Calibri"/>
                <w:b/>
                <w:bCs/>
                <w:color w:val="7030A0"/>
              </w:rPr>
              <w:t xml:space="preserve"> </w:t>
            </w:r>
            <w:r w:rsidRPr="001B6B99">
              <w:rPr>
                <w:rFonts w:cs="Calibri"/>
                <w:b/>
                <w:bCs/>
                <w:color w:val="7030A0"/>
              </w:rPr>
              <w:br w:type="page"/>
            </w:r>
            <w:r w:rsidRPr="001B6B99">
              <w:rPr>
                <w:rFonts w:cs="Calibri"/>
                <w:b/>
                <w:color w:val="7030A0"/>
                <w:sz w:val="22"/>
                <w:szCs w:val="22"/>
              </w:rPr>
              <w:t>Reference</w:t>
            </w:r>
          </w:p>
        </w:tc>
        <w:tc>
          <w:tcPr>
            <w:tcW w:w="8987" w:type="dxa"/>
            <w:tcBorders>
              <w:left w:val="single" w:sz="2" w:space="0" w:color="auto"/>
            </w:tcBorders>
            <w:shd w:val="clear" w:color="auto" w:fill="7030A0"/>
          </w:tcPr>
          <w:p w14:paraId="5CBF87EC" w14:textId="77777777" w:rsidR="00E35CD2" w:rsidRPr="001B6B99" w:rsidRDefault="00E35CD2" w:rsidP="00C9212B">
            <w:pPr>
              <w:pStyle w:val="TableReference"/>
              <w:tabs>
                <w:tab w:val="left" w:pos="3306"/>
              </w:tabs>
              <w:spacing w:before="240" w:after="240"/>
              <w:rPr>
                <w:rFonts w:cs="Calibri"/>
                <w:b/>
                <w:color w:val="FFFFFF" w:themeColor="background1"/>
                <w:sz w:val="28"/>
                <w:szCs w:val="28"/>
              </w:rPr>
            </w:pPr>
            <w:r w:rsidRPr="001B6B99">
              <w:rPr>
                <w:rFonts w:cs="Calibri"/>
                <w:b/>
                <w:color w:val="FFFFFF" w:themeColor="background1"/>
                <w:sz w:val="28"/>
                <w:szCs w:val="28"/>
              </w:rPr>
              <w:t xml:space="preserve">Commentary </w:t>
            </w:r>
            <w:r w:rsidRPr="001B6B99">
              <w:rPr>
                <w:rFonts w:cs="Calibri"/>
                <w:b/>
                <w:color w:val="FFFFFF" w:themeColor="background1"/>
                <w:sz w:val="28"/>
                <w:szCs w:val="28"/>
              </w:rPr>
              <w:sym w:font="Symbol" w:char="F02D"/>
            </w:r>
            <w:r w:rsidRPr="001B6B99">
              <w:rPr>
                <w:rFonts w:cs="Calibri"/>
                <w:b/>
                <w:color w:val="FFFFFF" w:themeColor="background1"/>
                <w:sz w:val="28"/>
                <w:szCs w:val="28"/>
              </w:rPr>
              <w:t xml:space="preserve"> Disaggregated Disclosure of Assets and Liabilities [Directorates Only] </w:t>
            </w:r>
            <w:r>
              <w:rPr>
                <w:rFonts w:cs="Calibri"/>
                <w:b/>
                <w:color w:val="FFFFFF" w:themeColor="background1"/>
                <w:sz w:val="28"/>
                <w:szCs w:val="28"/>
              </w:rPr>
              <w:t>–</w:t>
            </w:r>
            <w:r w:rsidRPr="001B6B99">
              <w:rPr>
                <w:rFonts w:cs="Calibri"/>
                <w:b/>
                <w:color w:val="FFFFFF" w:themeColor="background1"/>
                <w:sz w:val="28"/>
                <w:szCs w:val="28"/>
              </w:rPr>
              <w:t xml:space="preserve"> Continued</w:t>
            </w:r>
            <w:r>
              <w:rPr>
                <w:rFonts w:cs="Calibri"/>
                <w:b/>
                <w:color w:val="FFFFFF" w:themeColor="background1"/>
                <w:sz w:val="28"/>
                <w:szCs w:val="28"/>
              </w:rPr>
              <w:t xml:space="preserve"> </w:t>
            </w:r>
          </w:p>
        </w:tc>
      </w:tr>
      <w:tr w:rsidR="00E8595B" w:rsidRPr="005474CC" w14:paraId="702EDD4C" w14:textId="77777777" w:rsidTr="00B513E5">
        <w:trPr>
          <w:trHeight w:val="119"/>
        </w:trPr>
        <w:tc>
          <w:tcPr>
            <w:tcW w:w="1557" w:type="dxa"/>
            <w:tcBorders>
              <w:left w:val="single" w:sz="2" w:space="0" w:color="auto"/>
              <w:right w:val="single" w:sz="2" w:space="0" w:color="auto"/>
            </w:tcBorders>
          </w:tcPr>
          <w:p w14:paraId="5565E21F" w14:textId="1B7AC2C6" w:rsidR="00E8595B" w:rsidRPr="005474CC" w:rsidRDefault="00E8595B" w:rsidP="009A0F2F">
            <w:pPr>
              <w:pStyle w:val="TableReference"/>
              <w:tabs>
                <w:tab w:val="left" w:pos="3306"/>
              </w:tabs>
              <w:spacing w:before="60"/>
              <w:rPr>
                <w:rFonts w:cs="Calibri"/>
                <w:color w:val="auto"/>
                <w:sz w:val="16"/>
                <w:szCs w:val="16"/>
              </w:rPr>
            </w:pPr>
          </w:p>
        </w:tc>
        <w:tc>
          <w:tcPr>
            <w:tcW w:w="8987" w:type="dxa"/>
            <w:tcBorders>
              <w:left w:val="single" w:sz="2" w:space="0" w:color="auto"/>
            </w:tcBorders>
            <w:shd w:val="clear" w:color="auto" w:fill="7030A0"/>
          </w:tcPr>
          <w:p w14:paraId="40A0B43A" w14:textId="77777777" w:rsidR="00E8595B" w:rsidRPr="00E35CD2" w:rsidRDefault="00E8595B" w:rsidP="00CC1E25">
            <w:pPr>
              <w:pStyle w:val="CommentaryText"/>
              <w:tabs>
                <w:tab w:val="left" w:pos="3306"/>
              </w:tabs>
              <w:spacing w:after="40"/>
              <w:rPr>
                <w:rFonts w:cs="Calibri"/>
                <w:b/>
                <w:color w:val="FFFFFF" w:themeColor="background1"/>
                <w:szCs w:val="20"/>
                <w:highlight w:val="cyan"/>
              </w:rPr>
            </w:pPr>
            <w:r w:rsidRPr="00E35CD2">
              <w:rPr>
                <w:rFonts w:cs="Calibri"/>
                <w:b/>
                <w:color w:val="FFFFFF" w:themeColor="background1"/>
                <w:szCs w:val="20"/>
              </w:rPr>
              <w:t>Explanation of Unallocated Amount</w:t>
            </w:r>
          </w:p>
        </w:tc>
      </w:tr>
      <w:tr w:rsidR="00E8595B" w:rsidRPr="005474CC" w14:paraId="00BE2E60" w14:textId="77777777" w:rsidTr="00B513E5">
        <w:trPr>
          <w:trHeight w:val="119"/>
        </w:trPr>
        <w:tc>
          <w:tcPr>
            <w:tcW w:w="1557" w:type="dxa"/>
            <w:tcBorders>
              <w:left w:val="single" w:sz="2" w:space="0" w:color="auto"/>
              <w:right w:val="single" w:sz="2" w:space="0" w:color="auto"/>
            </w:tcBorders>
          </w:tcPr>
          <w:p w14:paraId="50ECB0B5" w14:textId="77777777" w:rsidR="00E8595B" w:rsidRPr="005474CC" w:rsidRDefault="00E8595B" w:rsidP="009A0F2F">
            <w:pPr>
              <w:pStyle w:val="TableReference"/>
              <w:tabs>
                <w:tab w:val="left" w:pos="3306"/>
              </w:tabs>
              <w:spacing w:before="60"/>
              <w:rPr>
                <w:rFonts w:cs="Calibri"/>
                <w:color w:val="auto"/>
                <w:sz w:val="16"/>
                <w:szCs w:val="16"/>
              </w:rPr>
            </w:pPr>
          </w:p>
        </w:tc>
        <w:tc>
          <w:tcPr>
            <w:tcW w:w="8987" w:type="dxa"/>
            <w:tcBorders>
              <w:left w:val="single" w:sz="2" w:space="0" w:color="auto"/>
            </w:tcBorders>
            <w:shd w:val="clear" w:color="auto" w:fill="7030A0"/>
          </w:tcPr>
          <w:p w14:paraId="2343F296" w14:textId="4750A365" w:rsidR="00E8595B" w:rsidRPr="001B6B99" w:rsidRDefault="00E8595B" w:rsidP="00E35CD2">
            <w:pPr>
              <w:pStyle w:val="Default"/>
              <w:spacing w:after="120"/>
              <w:jc w:val="both"/>
              <w:rPr>
                <w:rFonts w:cs="Calibri"/>
                <w:color w:val="FFFFFF" w:themeColor="background1"/>
                <w:sz w:val="18"/>
                <w:szCs w:val="18"/>
                <w:highlight w:val="cyan"/>
              </w:rPr>
            </w:pPr>
            <w:r w:rsidRPr="00E35CD2">
              <w:rPr>
                <w:rFonts w:ascii="Calibri" w:hAnsi="Calibri" w:cs="Calibri"/>
                <w:color w:val="FFFFFF" w:themeColor="background1"/>
                <w:sz w:val="18"/>
                <w:szCs w:val="18"/>
                <w:lang w:eastAsia="en-US"/>
              </w:rPr>
              <w:t>Directorates should disclose the reason why cash and cash equivalents cannot be ‘reliably attributed’ and as such cannot be allocated to an output class. An example disclosure has been included in this</w:t>
            </w:r>
            <w:r w:rsidR="00643DB7">
              <w:rPr>
                <w:rFonts w:ascii="Calibri" w:hAnsi="Calibri" w:cs="Calibri"/>
                <w:color w:val="FFFFFF" w:themeColor="background1"/>
                <w:sz w:val="18"/>
                <w:szCs w:val="18"/>
                <w:lang w:eastAsia="en-US"/>
              </w:rPr>
              <w:t xml:space="preserve"> </w:t>
            </w:r>
            <w:r w:rsidR="00643DB7" w:rsidRPr="00B73007">
              <w:rPr>
                <w:rFonts w:ascii="Calibri" w:hAnsi="Calibri" w:cs="Calibri"/>
                <w:color w:val="FF0000"/>
                <w:sz w:val="18"/>
                <w:szCs w:val="18"/>
                <w:lang w:eastAsia="en-US"/>
              </w:rPr>
              <w:t>statement</w:t>
            </w:r>
            <w:r w:rsidRPr="00B73007">
              <w:rPr>
                <w:rFonts w:ascii="Calibri" w:hAnsi="Calibri" w:cs="Calibri"/>
                <w:color w:val="FFFFFF" w:themeColor="background1"/>
                <w:sz w:val="18"/>
                <w:szCs w:val="18"/>
                <w:lang w:eastAsia="en-US"/>
              </w:rPr>
              <w:t xml:space="preserve"> </w:t>
            </w:r>
            <w:r w:rsidRPr="00B73007">
              <w:rPr>
                <w:rFonts w:ascii="Calibri" w:hAnsi="Calibri" w:cs="Calibri"/>
                <w:strike/>
                <w:color w:val="FF0000"/>
                <w:sz w:val="18"/>
                <w:szCs w:val="18"/>
                <w:lang w:eastAsia="en-US"/>
              </w:rPr>
              <w:t>note</w:t>
            </w:r>
            <w:r w:rsidRPr="00B73007">
              <w:rPr>
                <w:rFonts w:ascii="Calibri" w:hAnsi="Calibri" w:cs="Calibri"/>
                <w:color w:val="FFFFFF" w:themeColor="background1"/>
                <w:sz w:val="18"/>
                <w:szCs w:val="18"/>
                <w:lang w:eastAsia="en-US"/>
              </w:rPr>
              <w:t>.</w:t>
            </w:r>
            <w:r w:rsidRPr="00E35CD2">
              <w:rPr>
                <w:rFonts w:ascii="Calibri" w:hAnsi="Calibri" w:cs="Calibri"/>
                <w:color w:val="FFFFFF" w:themeColor="background1"/>
                <w:sz w:val="18"/>
                <w:szCs w:val="18"/>
                <w:lang w:eastAsia="en-US"/>
              </w:rPr>
              <w:t xml:space="preserve"> A similar </w:t>
            </w:r>
            <w:r w:rsidR="00E265B0" w:rsidRPr="00E35CD2">
              <w:rPr>
                <w:rFonts w:ascii="Calibri" w:hAnsi="Calibri" w:cs="Calibri"/>
                <w:color w:val="FFFFFF" w:themeColor="background1"/>
                <w:sz w:val="18"/>
                <w:szCs w:val="18"/>
                <w:lang w:eastAsia="en-US"/>
              </w:rPr>
              <w:t xml:space="preserve">explanation </w:t>
            </w:r>
            <w:r w:rsidRPr="00E35CD2">
              <w:rPr>
                <w:rFonts w:ascii="Calibri" w:hAnsi="Calibri" w:cs="Calibri"/>
                <w:color w:val="FFFFFF" w:themeColor="background1"/>
                <w:sz w:val="18"/>
                <w:szCs w:val="18"/>
                <w:lang w:eastAsia="en-US"/>
              </w:rPr>
              <w:t>will need to be included for a material asset or liability class that cannot be ‘reliably attributed’. However, a similar disclosure is not required for immaterial asset and liability classes which cannot be ‘reliably attributed’ to an output class.</w:t>
            </w:r>
            <w:r w:rsidRPr="001B6B99">
              <w:rPr>
                <w:rFonts w:cs="Calibri"/>
                <w:color w:val="FFFFFF" w:themeColor="background1"/>
                <w:sz w:val="18"/>
                <w:szCs w:val="18"/>
              </w:rPr>
              <w:t xml:space="preserve"> </w:t>
            </w:r>
          </w:p>
        </w:tc>
      </w:tr>
      <w:tr w:rsidR="00A30ED6" w:rsidRPr="005474CC" w14:paraId="4A85401F" w14:textId="77777777" w:rsidTr="00B513E5">
        <w:trPr>
          <w:trHeight w:val="119"/>
        </w:trPr>
        <w:tc>
          <w:tcPr>
            <w:tcW w:w="1557" w:type="dxa"/>
            <w:tcBorders>
              <w:left w:val="single" w:sz="2" w:space="0" w:color="auto"/>
              <w:right w:val="single" w:sz="2" w:space="0" w:color="auto"/>
            </w:tcBorders>
          </w:tcPr>
          <w:p w14:paraId="418BDF0F" w14:textId="77777777" w:rsidR="00A30ED6" w:rsidRPr="001B6B99" w:rsidRDefault="00A30ED6" w:rsidP="0068630B">
            <w:pPr>
              <w:pStyle w:val="TableReference"/>
              <w:tabs>
                <w:tab w:val="left" w:pos="3306"/>
              </w:tabs>
              <w:spacing w:before="60"/>
              <w:rPr>
                <w:rFonts w:cs="Calibri"/>
                <w:color w:val="7030A0"/>
                <w:sz w:val="16"/>
                <w:szCs w:val="16"/>
              </w:rPr>
            </w:pPr>
          </w:p>
        </w:tc>
        <w:tc>
          <w:tcPr>
            <w:tcW w:w="8987" w:type="dxa"/>
            <w:tcBorders>
              <w:left w:val="single" w:sz="2" w:space="0" w:color="auto"/>
            </w:tcBorders>
            <w:shd w:val="clear" w:color="auto" w:fill="7030A0"/>
          </w:tcPr>
          <w:p w14:paraId="2DF92821" w14:textId="77777777" w:rsidR="00A30ED6" w:rsidRPr="00E35CD2" w:rsidRDefault="00A30ED6" w:rsidP="00CC1E25">
            <w:pPr>
              <w:pStyle w:val="CommentaryText"/>
              <w:tabs>
                <w:tab w:val="left" w:pos="3306"/>
              </w:tabs>
              <w:spacing w:after="40"/>
              <w:rPr>
                <w:rFonts w:cs="Calibri"/>
                <w:b/>
                <w:color w:val="FFFFFF" w:themeColor="background1"/>
                <w:szCs w:val="20"/>
              </w:rPr>
            </w:pPr>
            <w:r w:rsidRPr="00E35CD2">
              <w:rPr>
                <w:rFonts w:cs="Calibri"/>
                <w:b/>
                <w:color w:val="FFFFFF" w:themeColor="background1"/>
                <w:szCs w:val="20"/>
              </w:rPr>
              <w:t xml:space="preserve">Disclosure of Comparative Information </w:t>
            </w:r>
          </w:p>
        </w:tc>
      </w:tr>
      <w:tr w:rsidR="00A30ED6" w:rsidRPr="005474CC" w14:paraId="3F88E399" w14:textId="77777777" w:rsidTr="00B513E5">
        <w:trPr>
          <w:trHeight w:val="119"/>
        </w:trPr>
        <w:tc>
          <w:tcPr>
            <w:tcW w:w="1557" w:type="dxa"/>
            <w:tcBorders>
              <w:left w:val="single" w:sz="2" w:space="0" w:color="auto"/>
              <w:right w:val="single" w:sz="2" w:space="0" w:color="auto"/>
            </w:tcBorders>
          </w:tcPr>
          <w:p w14:paraId="74F9BFB2" w14:textId="77777777" w:rsidR="00A30ED6" w:rsidRPr="001B6B99" w:rsidRDefault="00A30ED6" w:rsidP="0068630B">
            <w:pPr>
              <w:pStyle w:val="TableReference"/>
              <w:tabs>
                <w:tab w:val="left" w:pos="3306"/>
              </w:tabs>
              <w:spacing w:before="60"/>
              <w:rPr>
                <w:rFonts w:cs="Calibri"/>
                <w:color w:val="7030A0"/>
                <w:sz w:val="14"/>
              </w:rPr>
            </w:pPr>
            <w:r w:rsidRPr="001B6B99">
              <w:rPr>
                <w:rFonts w:cs="Calibri"/>
                <w:color w:val="7030A0"/>
                <w:sz w:val="14"/>
              </w:rPr>
              <w:t>AASB 101.38</w:t>
            </w:r>
          </w:p>
          <w:p w14:paraId="2C3C1916" w14:textId="77777777" w:rsidR="00A30ED6" w:rsidRPr="001B6B99" w:rsidRDefault="00A30ED6" w:rsidP="0068630B">
            <w:pPr>
              <w:pStyle w:val="TableReference"/>
              <w:tabs>
                <w:tab w:val="left" w:pos="3306"/>
              </w:tabs>
              <w:spacing w:before="60"/>
              <w:rPr>
                <w:rFonts w:cs="Calibri"/>
                <w:color w:val="7030A0"/>
                <w:sz w:val="14"/>
              </w:rPr>
            </w:pPr>
          </w:p>
          <w:p w14:paraId="189B1991" w14:textId="77777777" w:rsidR="00A30ED6" w:rsidRPr="001B6B99" w:rsidRDefault="00A30ED6" w:rsidP="0068630B">
            <w:pPr>
              <w:pStyle w:val="TableReference"/>
              <w:tabs>
                <w:tab w:val="left" w:pos="3306"/>
              </w:tabs>
              <w:spacing w:before="60"/>
              <w:rPr>
                <w:rFonts w:cs="Calibri"/>
                <w:color w:val="7030A0"/>
                <w:sz w:val="14"/>
              </w:rPr>
            </w:pPr>
            <w:r w:rsidRPr="001B6B99">
              <w:rPr>
                <w:rFonts w:cs="Calibri"/>
                <w:color w:val="7030A0"/>
                <w:sz w:val="14"/>
              </w:rPr>
              <w:t>AASB 1052.15</w:t>
            </w:r>
          </w:p>
          <w:p w14:paraId="07749279" w14:textId="4425D3CC" w:rsidR="00A30ED6" w:rsidRPr="001B6B99" w:rsidRDefault="00A30ED6" w:rsidP="0068630B">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5F3CEE25" w14:textId="49944D69" w:rsidR="00A30ED6" w:rsidRPr="001B6B99" w:rsidRDefault="00E265B0" w:rsidP="0068630B">
            <w:pPr>
              <w:pStyle w:val="Default"/>
              <w:spacing w:after="120"/>
              <w:jc w:val="both"/>
              <w:rPr>
                <w:rFonts w:ascii="Calibri" w:hAnsi="Calibri" w:cs="Calibri"/>
                <w:color w:val="FFFFFF" w:themeColor="background1"/>
                <w:sz w:val="18"/>
                <w:szCs w:val="18"/>
                <w:lang w:eastAsia="en-US"/>
              </w:rPr>
            </w:pPr>
            <w:r w:rsidRPr="001B6B99">
              <w:rPr>
                <w:rFonts w:ascii="Calibri" w:hAnsi="Calibri" w:cs="Calibri"/>
                <w:color w:val="FFFFFF" w:themeColor="background1"/>
                <w:sz w:val="18"/>
                <w:szCs w:val="18"/>
                <w:lang w:eastAsia="en-US"/>
              </w:rPr>
              <w:t>C</w:t>
            </w:r>
            <w:r w:rsidR="00A30ED6" w:rsidRPr="001B6B99">
              <w:rPr>
                <w:rFonts w:ascii="Calibri" w:hAnsi="Calibri" w:cs="Calibri"/>
                <w:color w:val="FFFFFF" w:themeColor="background1"/>
                <w:sz w:val="18"/>
                <w:szCs w:val="18"/>
                <w:lang w:eastAsia="en-US"/>
              </w:rPr>
              <w:t xml:space="preserve">omparative information </w:t>
            </w:r>
            <w:r w:rsidRPr="001B6B99">
              <w:rPr>
                <w:rFonts w:ascii="Calibri" w:hAnsi="Calibri" w:cs="Calibri"/>
                <w:color w:val="FFFFFF" w:themeColor="background1"/>
                <w:sz w:val="18"/>
                <w:szCs w:val="18"/>
                <w:lang w:eastAsia="en-US"/>
              </w:rPr>
              <w:t xml:space="preserve">must </w:t>
            </w:r>
            <w:r w:rsidR="00A30ED6" w:rsidRPr="001B6B99">
              <w:rPr>
                <w:rFonts w:ascii="Calibri" w:hAnsi="Calibri" w:cs="Calibri"/>
                <w:color w:val="FFFFFF" w:themeColor="background1"/>
                <w:sz w:val="18"/>
                <w:szCs w:val="18"/>
                <w:lang w:eastAsia="en-US"/>
              </w:rPr>
              <w:t>be disclosed in respect of the prior reporting period for all amounts reported in the financial statements, except where another Australian Accounting Standard permits or requires otherwise. AASB 1052 does not specifically address comparative figures for disaggregated disclosures but, as stated above, it only requires the allocation of asset and liability classes where they can be ‘reliably attributable’ to an output class. As such, directorates must include comparative figures for this disaggregated disclosure unless not ‘reliably attributable’.</w:t>
            </w:r>
            <w:r w:rsidR="00FA7C77">
              <w:rPr>
                <w:rFonts w:ascii="Calibri" w:hAnsi="Calibri" w:cs="Calibri"/>
                <w:color w:val="FFFFFF" w:themeColor="background1"/>
                <w:sz w:val="18"/>
                <w:szCs w:val="18"/>
                <w:lang w:eastAsia="en-US"/>
              </w:rPr>
              <w:t xml:space="preserve"> </w:t>
            </w:r>
          </w:p>
        </w:tc>
      </w:tr>
      <w:tr w:rsidR="00A30ED6" w:rsidRPr="005474CC" w14:paraId="6918156C" w14:textId="77777777" w:rsidTr="00B513E5">
        <w:trPr>
          <w:trHeight w:val="119"/>
        </w:trPr>
        <w:tc>
          <w:tcPr>
            <w:tcW w:w="1557" w:type="dxa"/>
            <w:tcBorders>
              <w:left w:val="single" w:sz="2" w:space="0" w:color="auto"/>
              <w:right w:val="single" w:sz="2" w:space="0" w:color="auto"/>
            </w:tcBorders>
          </w:tcPr>
          <w:p w14:paraId="01903C7A" w14:textId="77777777" w:rsidR="00A30ED6" w:rsidRPr="001B6B99" w:rsidRDefault="00A30ED6" w:rsidP="0068630B">
            <w:pPr>
              <w:pStyle w:val="TableReference"/>
              <w:tabs>
                <w:tab w:val="left" w:pos="3306"/>
              </w:tabs>
              <w:spacing w:before="60"/>
              <w:rPr>
                <w:rFonts w:cs="Calibri"/>
                <w:color w:val="7030A0"/>
                <w:sz w:val="14"/>
                <w:highlight w:val="cyan"/>
              </w:rPr>
            </w:pPr>
            <w:r w:rsidRPr="001B6B99">
              <w:rPr>
                <w:rFonts w:cs="Calibri"/>
                <w:color w:val="7030A0"/>
                <w:sz w:val="14"/>
              </w:rPr>
              <w:t>AASB 101.42</w:t>
            </w:r>
          </w:p>
        </w:tc>
        <w:tc>
          <w:tcPr>
            <w:tcW w:w="8987" w:type="dxa"/>
            <w:tcBorders>
              <w:left w:val="single" w:sz="2" w:space="0" w:color="auto"/>
            </w:tcBorders>
            <w:shd w:val="clear" w:color="auto" w:fill="7030A0"/>
          </w:tcPr>
          <w:p w14:paraId="156CCA46" w14:textId="77777777" w:rsidR="00A30ED6" w:rsidRPr="001B6B99" w:rsidRDefault="00A30ED6" w:rsidP="008E62D1">
            <w:pPr>
              <w:pStyle w:val="Default"/>
              <w:spacing w:after="40"/>
              <w:ind w:left="499" w:hanging="499"/>
              <w:rPr>
                <w:rFonts w:ascii="Calibri" w:hAnsi="Calibri" w:cs="Calibri"/>
                <w:color w:val="FFFFFF" w:themeColor="background1"/>
                <w:sz w:val="18"/>
                <w:szCs w:val="18"/>
                <w:lang w:eastAsia="en-US"/>
              </w:rPr>
            </w:pPr>
            <w:r w:rsidRPr="001B6B99">
              <w:rPr>
                <w:rFonts w:ascii="Calibri" w:hAnsi="Calibri" w:cs="Calibri"/>
                <w:color w:val="FFFFFF" w:themeColor="background1"/>
                <w:sz w:val="18"/>
                <w:szCs w:val="18"/>
                <w:lang w:eastAsia="en-US"/>
              </w:rPr>
              <w:t xml:space="preserve">When it is impracticable to reclassify comparative amounts, a directorate shall disclose: </w:t>
            </w:r>
          </w:p>
          <w:p w14:paraId="09988A85" w14:textId="6E8B4D2F" w:rsidR="00A30ED6" w:rsidRDefault="00A30ED6" w:rsidP="008E62D1">
            <w:pPr>
              <w:pStyle w:val="Commentary-Bullet"/>
              <w:tabs>
                <w:tab w:val="clear" w:pos="502"/>
              </w:tabs>
              <w:spacing w:after="40"/>
              <w:ind w:left="604" w:hanging="501"/>
              <w:rPr>
                <w:rFonts w:cs="Calibri"/>
                <w:color w:val="FFFFFF" w:themeColor="background1"/>
                <w:sz w:val="18"/>
                <w:szCs w:val="18"/>
              </w:rPr>
            </w:pPr>
            <w:r w:rsidRPr="001B6B99">
              <w:rPr>
                <w:rFonts w:cs="Calibri"/>
                <w:color w:val="FFFFFF" w:themeColor="background1"/>
                <w:sz w:val="18"/>
                <w:szCs w:val="18"/>
              </w:rPr>
              <w:t>the reason for not reclassifying the amounts; and</w:t>
            </w:r>
            <w:r w:rsidR="008E62D1">
              <w:rPr>
                <w:rFonts w:cs="Calibri"/>
                <w:color w:val="FFFFFF" w:themeColor="background1"/>
                <w:sz w:val="18"/>
                <w:szCs w:val="18"/>
              </w:rPr>
              <w:t xml:space="preserve"> </w:t>
            </w:r>
          </w:p>
          <w:p w14:paraId="3C06B9F1" w14:textId="2E01F5C5" w:rsidR="00A30ED6" w:rsidRPr="001B6B99" w:rsidRDefault="00A30ED6" w:rsidP="008E62D1">
            <w:pPr>
              <w:pStyle w:val="Commentary-Bullet"/>
              <w:tabs>
                <w:tab w:val="clear" w:pos="502"/>
              </w:tabs>
              <w:spacing w:after="40"/>
              <w:ind w:left="604" w:hanging="462"/>
              <w:rPr>
                <w:rFonts w:cs="Calibri"/>
                <w:color w:val="FFFFFF" w:themeColor="background1"/>
                <w:sz w:val="18"/>
                <w:szCs w:val="18"/>
              </w:rPr>
            </w:pPr>
            <w:r w:rsidRPr="001B6B99">
              <w:rPr>
                <w:rFonts w:cs="Calibri"/>
                <w:color w:val="FFFFFF" w:themeColor="background1"/>
                <w:sz w:val="18"/>
                <w:szCs w:val="18"/>
              </w:rPr>
              <w:t xml:space="preserve">the nature of the adjustments that would have been made if the amounts had been reclassified. </w:t>
            </w:r>
          </w:p>
        </w:tc>
      </w:tr>
    </w:tbl>
    <w:p w14:paraId="5BFAC1AD" w14:textId="77777777" w:rsidR="00A30ED6" w:rsidRPr="0007188C" w:rsidRDefault="00A30ED6" w:rsidP="0007188C">
      <w:pPr>
        <w:rPr>
          <w:rFonts w:cs="Calibri"/>
        </w:rPr>
      </w:pPr>
    </w:p>
    <w:bookmarkEnd w:id="315"/>
    <w:p w14:paraId="3DE4E3D6" w14:textId="77777777" w:rsidR="006128E8" w:rsidRDefault="006128E8">
      <w:pPr>
        <w:sectPr w:rsidR="006128E8" w:rsidSect="00DC7A9B">
          <w:headerReference w:type="default" r:id="rId34"/>
          <w:footnotePr>
            <w:numRestart w:val="eachPage"/>
          </w:footnotePr>
          <w:pgSz w:w="11907" w:h="16840" w:code="9"/>
          <w:pgMar w:top="737" w:right="680" w:bottom="993" w:left="680" w:header="624" w:footer="624" w:gutter="0"/>
          <w:cols w:space="720"/>
        </w:sectPr>
      </w:pP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8930"/>
      </w:tblGrid>
      <w:tr w:rsidR="000144FF" w:rsidRPr="00CF7E1B" w14:paraId="517CAB59" w14:textId="77777777" w:rsidTr="00B513E5">
        <w:tc>
          <w:tcPr>
            <w:tcW w:w="745" w:type="pct"/>
            <w:tcBorders>
              <w:top w:val="nil"/>
              <w:left w:val="single" w:sz="2" w:space="0" w:color="auto"/>
              <w:bottom w:val="nil"/>
              <w:right w:val="single" w:sz="2" w:space="0" w:color="auto"/>
            </w:tcBorders>
          </w:tcPr>
          <w:p w14:paraId="61AC46C2" w14:textId="77777777" w:rsidR="000144FF" w:rsidRPr="009223E0" w:rsidRDefault="006C3782" w:rsidP="002120BB">
            <w:pPr>
              <w:pStyle w:val="TableReference"/>
              <w:tabs>
                <w:tab w:val="left" w:pos="3306"/>
              </w:tabs>
              <w:spacing w:before="240"/>
              <w:rPr>
                <w:rFonts w:cs="Calibri"/>
                <w:b/>
                <w:color w:val="7030A0"/>
                <w:sz w:val="22"/>
                <w:szCs w:val="22"/>
              </w:rPr>
            </w:pPr>
            <w:r w:rsidRPr="009223E0">
              <w:rPr>
                <w:rFonts w:cs="Calibri"/>
                <w:b/>
                <w:color w:val="7030A0"/>
                <w:sz w:val="22"/>
                <w:szCs w:val="22"/>
              </w:rPr>
              <w:t>Reference</w:t>
            </w:r>
          </w:p>
        </w:tc>
        <w:tc>
          <w:tcPr>
            <w:tcW w:w="4255" w:type="pct"/>
            <w:tcBorders>
              <w:top w:val="nil"/>
              <w:left w:val="single" w:sz="2" w:space="0" w:color="auto"/>
              <w:bottom w:val="nil"/>
              <w:right w:val="nil"/>
            </w:tcBorders>
          </w:tcPr>
          <w:p w14:paraId="29237CEF" w14:textId="652AFF97" w:rsidR="000144FF" w:rsidRPr="009223E0" w:rsidRDefault="007D50BC" w:rsidP="002120BB">
            <w:pPr>
              <w:pStyle w:val="Heading1"/>
              <w:numPr>
                <w:ilvl w:val="0"/>
                <w:numId w:val="0"/>
              </w:numPr>
              <w:rPr>
                <w:rFonts w:asciiTheme="minorHAnsi" w:hAnsiTheme="minorHAnsi" w:cstheme="minorHAnsi"/>
                <w:sz w:val="36"/>
                <w:szCs w:val="36"/>
              </w:rPr>
            </w:pPr>
            <w:bookmarkStart w:id="317" w:name="_Toc49223953"/>
            <w:bookmarkStart w:id="318" w:name="_Ref50190270"/>
            <w:bookmarkStart w:id="319" w:name="_Toc50440332"/>
            <w:bookmarkStart w:id="320" w:name="_Ref50523783"/>
            <w:bookmarkStart w:id="321" w:name="_Toc400627318"/>
            <w:bookmarkStart w:id="322" w:name="ObjectivesExampleAgency"/>
            <w:bookmarkStart w:id="323" w:name="_Toc132743774"/>
            <w:r w:rsidRPr="009223E0">
              <w:rPr>
                <w:rFonts w:asciiTheme="minorHAnsi" w:hAnsiTheme="minorHAnsi" w:cstheme="minorHAnsi"/>
                <w:sz w:val="36"/>
                <w:szCs w:val="36"/>
              </w:rPr>
              <w:t>N</w:t>
            </w:r>
            <w:r w:rsidR="00960982" w:rsidRPr="009223E0">
              <w:rPr>
                <w:rFonts w:asciiTheme="minorHAnsi" w:hAnsiTheme="minorHAnsi" w:cstheme="minorHAnsi"/>
                <w:sz w:val="36"/>
                <w:szCs w:val="36"/>
              </w:rPr>
              <w:t>ote</w:t>
            </w:r>
            <w:r w:rsidRPr="009223E0">
              <w:rPr>
                <w:rFonts w:asciiTheme="minorHAnsi" w:hAnsiTheme="minorHAnsi" w:cstheme="minorHAnsi"/>
                <w:sz w:val="36"/>
                <w:szCs w:val="36"/>
              </w:rPr>
              <w:t xml:space="preserve"> 1.</w:t>
            </w:r>
            <w:r w:rsidR="00FA7C77">
              <w:rPr>
                <w:rFonts w:asciiTheme="minorHAnsi" w:hAnsiTheme="minorHAnsi" w:cstheme="minorHAnsi"/>
                <w:sz w:val="36"/>
                <w:szCs w:val="36"/>
              </w:rPr>
              <w:t xml:space="preserve"> </w:t>
            </w:r>
            <w:r w:rsidRPr="009223E0">
              <w:rPr>
                <w:rFonts w:asciiTheme="minorHAnsi" w:hAnsiTheme="minorHAnsi" w:cstheme="minorHAnsi"/>
                <w:sz w:val="36"/>
                <w:szCs w:val="36"/>
              </w:rPr>
              <w:t xml:space="preserve"> </w:t>
            </w:r>
            <w:r w:rsidR="000144FF" w:rsidRPr="009223E0">
              <w:rPr>
                <w:rFonts w:asciiTheme="minorHAnsi" w:hAnsiTheme="minorHAnsi" w:cstheme="minorHAnsi"/>
                <w:sz w:val="36"/>
                <w:szCs w:val="36"/>
              </w:rPr>
              <w:t>Objectives of ‘</w:t>
            </w:r>
            <w:r w:rsidR="001A6C09" w:rsidRPr="009223E0">
              <w:t xml:space="preserve">Burley Griffin </w:t>
            </w:r>
            <w:r w:rsidR="00347B17" w:rsidRPr="009223E0">
              <w:rPr>
                <w:rFonts w:asciiTheme="minorHAnsi" w:hAnsiTheme="minorHAnsi" w:cstheme="minorHAnsi"/>
                <w:sz w:val="36"/>
                <w:szCs w:val="36"/>
              </w:rPr>
              <w:t>Agency</w:t>
            </w:r>
            <w:r w:rsidR="000144FF" w:rsidRPr="009223E0">
              <w:rPr>
                <w:rFonts w:asciiTheme="minorHAnsi" w:hAnsiTheme="minorHAnsi" w:cstheme="minorHAnsi"/>
                <w:sz w:val="36"/>
                <w:szCs w:val="36"/>
              </w:rPr>
              <w:t>’</w:t>
            </w:r>
            <w:bookmarkEnd w:id="317"/>
            <w:bookmarkEnd w:id="318"/>
            <w:bookmarkEnd w:id="319"/>
            <w:bookmarkEnd w:id="320"/>
            <w:bookmarkEnd w:id="321"/>
            <w:bookmarkEnd w:id="322"/>
            <w:bookmarkEnd w:id="323"/>
          </w:p>
        </w:tc>
      </w:tr>
      <w:tr w:rsidR="000144FF" w:rsidRPr="00CF7E1B" w14:paraId="61613048" w14:textId="77777777" w:rsidTr="00B513E5">
        <w:tc>
          <w:tcPr>
            <w:tcW w:w="745" w:type="pct"/>
            <w:tcBorders>
              <w:top w:val="nil"/>
              <w:left w:val="single" w:sz="2" w:space="0" w:color="auto"/>
              <w:bottom w:val="nil"/>
              <w:right w:val="single" w:sz="2" w:space="0" w:color="auto"/>
            </w:tcBorders>
          </w:tcPr>
          <w:p w14:paraId="0604CCD9" w14:textId="77777777" w:rsidR="009C3DB5" w:rsidRPr="009223E0" w:rsidRDefault="009C3DB5">
            <w:pPr>
              <w:pStyle w:val="TableReference"/>
              <w:tabs>
                <w:tab w:val="left" w:pos="3306"/>
              </w:tabs>
              <w:spacing w:before="60"/>
              <w:rPr>
                <w:rFonts w:cs="Calibri"/>
                <w:color w:val="7030A0"/>
                <w:sz w:val="14"/>
              </w:rPr>
            </w:pPr>
            <w:r w:rsidRPr="009223E0">
              <w:rPr>
                <w:rFonts w:cs="Calibri"/>
                <w:color w:val="7030A0"/>
                <w:sz w:val="14"/>
              </w:rPr>
              <w:t>AASB 1054.8(b)</w:t>
            </w:r>
          </w:p>
          <w:p w14:paraId="01335177" w14:textId="77777777" w:rsidR="000144FF" w:rsidRPr="009223E0" w:rsidRDefault="000144FF">
            <w:pPr>
              <w:pStyle w:val="TableReference"/>
              <w:tabs>
                <w:tab w:val="left" w:pos="3306"/>
              </w:tabs>
              <w:spacing w:before="60"/>
              <w:rPr>
                <w:rFonts w:cs="Calibri"/>
                <w:color w:val="7030A0"/>
                <w:sz w:val="14"/>
              </w:rPr>
            </w:pPr>
            <w:r w:rsidRPr="009223E0">
              <w:rPr>
                <w:rFonts w:cs="Calibri"/>
                <w:color w:val="7030A0"/>
                <w:sz w:val="14"/>
              </w:rPr>
              <w:t>AASB 101</w:t>
            </w:r>
            <w:r w:rsidR="00D65811" w:rsidRPr="009223E0">
              <w:rPr>
                <w:rFonts w:cs="Calibri"/>
                <w:color w:val="7030A0"/>
                <w:sz w:val="14"/>
              </w:rPr>
              <w:t>.</w:t>
            </w:r>
            <w:r w:rsidR="00B06495" w:rsidRPr="009223E0">
              <w:rPr>
                <w:rFonts w:cs="Calibri"/>
                <w:color w:val="7030A0"/>
                <w:sz w:val="14"/>
              </w:rPr>
              <w:t>138</w:t>
            </w:r>
            <w:r w:rsidR="00D001B7" w:rsidRPr="009223E0">
              <w:rPr>
                <w:rFonts w:cs="Calibri"/>
                <w:color w:val="7030A0"/>
                <w:sz w:val="14"/>
              </w:rPr>
              <w:t>(</w:t>
            </w:r>
            <w:r w:rsidRPr="009223E0">
              <w:rPr>
                <w:rFonts w:cs="Calibri"/>
                <w:color w:val="7030A0"/>
                <w:sz w:val="14"/>
              </w:rPr>
              <w:t>b)</w:t>
            </w:r>
          </w:p>
          <w:p w14:paraId="28C8F14A" w14:textId="77777777" w:rsidR="000144FF" w:rsidRPr="009223E0" w:rsidRDefault="009D5779">
            <w:pPr>
              <w:pStyle w:val="TableReference"/>
              <w:tabs>
                <w:tab w:val="left" w:pos="3306"/>
              </w:tabs>
              <w:spacing w:before="60"/>
              <w:rPr>
                <w:rFonts w:cs="Calibri"/>
                <w:color w:val="7030A0"/>
                <w:sz w:val="16"/>
                <w:szCs w:val="16"/>
              </w:rPr>
            </w:pPr>
            <w:r w:rsidRPr="009223E0">
              <w:rPr>
                <w:rFonts w:cs="Calibri"/>
                <w:color w:val="7030A0"/>
                <w:sz w:val="14"/>
              </w:rPr>
              <w:t>AASB 1052</w:t>
            </w:r>
            <w:r w:rsidR="00D65811" w:rsidRPr="009223E0">
              <w:rPr>
                <w:rFonts w:cs="Calibri"/>
                <w:color w:val="7030A0"/>
                <w:sz w:val="14"/>
              </w:rPr>
              <w:t>.</w:t>
            </w:r>
            <w:r w:rsidRPr="009223E0">
              <w:rPr>
                <w:rFonts w:cs="Calibri"/>
                <w:color w:val="7030A0"/>
                <w:sz w:val="14"/>
              </w:rPr>
              <w:t>15(b</w:t>
            </w:r>
            <w:r w:rsidRPr="009223E0">
              <w:rPr>
                <w:rFonts w:cs="Calibri"/>
                <w:color w:val="7030A0"/>
                <w:sz w:val="16"/>
                <w:szCs w:val="16"/>
              </w:rPr>
              <w:t>)</w:t>
            </w:r>
          </w:p>
        </w:tc>
        <w:tc>
          <w:tcPr>
            <w:tcW w:w="4255" w:type="pct"/>
            <w:tcBorders>
              <w:top w:val="nil"/>
              <w:left w:val="single" w:sz="2" w:space="0" w:color="auto"/>
              <w:bottom w:val="nil"/>
              <w:right w:val="nil"/>
            </w:tcBorders>
          </w:tcPr>
          <w:p w14:paraId="29D4BCF1" w14:textId="0E4305CC" w:rsidR="000144FF" w:rsidRPr="009223E0" w:rsidRDefault="000144FF">
            <w:pPr>
              <w:pStyle w:val="CommentaryText"/>
              <w:tabs>
                <w:tab w:val="left" w:pos="3306"/>
              </w:tabs>
              <w:rPr>
                <w:rFonts w:cs="Calibri"/>
                <w:sz w:val="18"/>
                <w:szCs w:val="18"/>
              </w:rPr>
            </w:pPr>
            <w:r w:rsidRPr="009223E0">
              <w:rPr>
                <w:rFonts w:cs="Calibri"/>
                <w:sz w:val="18"/>
                <w:szCs w:val="18"/>
              </w:rPr>
              <w:t xml:space="preserve">The </w:t>
            </w:r>
            <w:r w:rsidR="00347B17" w:rsidRPr="009223E0">
              <w:rPr>
                <w:rFonts w:cs="Calibri"/>
                <w:sz w:val="18"/>
                <w:szCs w:val="18"/>
              </w:rPr>
              <w:t>Agency</w:t>
            </w:r>
            <w:r w:rsidRPr="009223E0">
              <w:rPr>
                <w:rFonts w:cs="Calibri"/>
                <w:sz w:val="18"/>
                <w:szCs w:val="18"/>
              </w:rPr>
              <w:t xml:space="preserve"> </w:t>
            </w:r>
            <w:r w:rsidR="009C3DB5" w:rsidRPr="009223E0">
              <w:rPr>
                <w:rFonts w:cs="Calibri"/>
                <w:sz w:val="18"/>
                <w:szCs w:val="18"/>
              </w:rPr>
              <w:t xml:space="preserve">is a not-for-profit ACT Government entity that </w:t>
            </w:r>
            <w:r w:rsidR="00AE507E" w:rsidRPr="009223E0">
              <w:rPr>
                <w:rFonts w:cs="Calibri"/>
                <w:sz w:val="18"/>
                <w:szCs w:val="18"/>
              </w:rPr>
              <w:t>aims to be</w:t>
            </w:r>
            <w:r w:rsidR="00F637F8" w:rsidRPr="009223E0">
              <w:rPr>
                <w:sz w:val="18"/>
                <w:szCs w:val="18"/>
              </w:rPr>
              <w:t xml:space="preserve"> innovative and </w:t>
            </w:r>
            <w:r w:rsidR="00AE507E" w:rsidRPr="009223E0">
              <w:rPr>
                <w:sz w:val="18"/>
                <w:szCs w:val="18"/>
              </w:rPr>
              <w:t xml:space="preserve">that </w:t>
            </w:r>
            <w:r w:rsidR="00F637F8" w:rsidRPr="009223E0">
              <w:rPr>
                <w:sz w:val="18"/>
                <w:szCs w:val="18"/>
              </w:rPr>
              <w:t>contributes to the</w:t>
            </w:r>
            <w:r w:rsidR="00B152B9" w:rsidRPr="009223E0">
              <w:rPr>
                <w:sz w:val="18"/>
                <w:szCs w:val="18"/>
              </w:rPr>
              <w:t xml:space="preserve"> long-term growth and</w:t>
            </w:r>
            <w:r w:rsidR="00F637F8" w:rsidRPr="009223E0">
              <w:rPr>
                <w:sz w:val="18"/>
                <w:szCs w:val="18"/>
              </w:rPr>
              <w:t xml:space="preserve"> liveability of Canberra.</w:t>
            </w:r>
            <w:r w:rsidR="00FA7C77">
              <w:rPr>
                <w:rFonts w:cs="Calibri"/>
                <w:sz w:val="18"/>
                <w:szCs w:val="18"/>
              </w:rPr>
              <w:t xml:space="preserve"> </w:t>
            </w:r>
            <w:r w:rsidR="002F35DF" w:rsidRPr="009223E0">
              <w:rPr>
                <w:rFonts w:cs="Calibri"/>
                <w:sz w:val="18"/>
                <w:szCs w:val="18"/>
              </w:rPr>
              <w:t xml:space="preserve">The </w:t>
            </w:r>
            <w:r w:rsidR="00294AB5">
              <w:rPr>
                <w:rFonts w:cs="Calibri"/>
                <w:sz w:val="18"/>
                <w:szCs w:val="18"/>
              </w:rPr>
              <w:t>A</w:t>
            </w:r>
            <w:r w:rsidR="002F35DF" w:rsidRPr="009223E0">
              <w:rPr>
                <w:rFonts w:cs="Calibri"/>
                <w:sz w:val="18"/>
                <w:szCs w:val="18"/>
              </w:rPr>
              <w:t xml:space="preserve">gency </w:t>
            </w:r>
            <w:r w:rsidR="00AE507E" w:rsidRPr="009223E0">
              <w:rPr>
                <w:rFonts w:cs="Calibri"/>
                <w:sz w:val="18"/>
                <w:szCs w:val="18"/>
              </w:rPr>
              <w:t>provid</w:t>
            </w:r>
            <w:r w:rsidR="00DE7DDC" w:rsidRPr="009223E0">
              <w:rPr>
                <w:rFonts w:cs="Calibri"/>
                <w:sz w:val="18"/>
                <w:szCs w:val="18"/>
              </w:rPr>
              <w:t>es</w:t>
            </w:r>
            <w:r w:rsidRPr="009223E0">
              <w:rPr>
                <w:rFonts w:cs="Calibri"/>
                <w:sz w:val="18"/>
                <w:szCs w:val="18"/>
              </w:rPr>
              <w:t xml:space="preserve"> </w:t>
            </w:r>
            <w:r w:rsidR="00F637F8" w:rsidRPr="009223E0">
              <w:rPr>
                <w:rFonts w:cs="Calibri"/>
                <w:sz w:val="18"/>
                <w:szCs w:val="18"/>
              </w:rPr>
              <w:t xml:space="preserve">a </w:t>
            </w:r>
            <w:r w:rsidR="00FD0E66" w:rsidRPr="009223E0">
              <w:rPr>
                <w:rFonts w:cs="Calibri"/>
                <w:sz w:val="18"/>
                <w:szCs w:val="18"/>
              </w:rPr>
              <w:t xml:space="preserve">wide </w:t>
            </w:r>
            <w:r w:rsidR="00F637F8" w:rsidRPr="009223E0">
              <w:rPr>
                <w:rFonts w:cs="Calibri"/>
                <w:sz w:val="18"/>
                <w:szCs w:val="18"/>
              </w:rPr>
              <w:t xml:space="preserve">range of </w:t>
            </w:r>
            <w:r w:rsidRPr="009223E0">
              <w:rPr>
                <w:rFonts w:cs="Calibri"/>
                <w:sz w:val="18"/>
                <w:szCs w:val="18"/>
              </w:rPr>
              <w:t xml:space="preserve">services to the ACT community </w:t>
            </w:r>
            <w:r w:rsidR="00AE507E" w:rsidRPr="009223E0">
              <w:rPr>
                <w:rFonts w:cs="Calibri"/>
                <w:sz w:val="18"/>
                <w:szCs w:val="18"/>
              </w:rPr>
              <w:t>as well as exploring ways in which its service delivery can be improved.</w:t>
            </w:r>
            <w:r w:rsidR="00FA7C77">
              <w:rPr>
                <w:rFonts w:cs="Calibri"/>
                <w:sz w:val="18"/>
                <w:szCs w:val="18"/>
              </w:rPr>
              <w:t xml:space="preserve"> </w:t>
            </w:r>
            <w:r w:rsidR="00AE507E" w:rsidRPr="009223E0">
              <w:rPr>
                <w:rFonts w:cs="Calibri"/>
                <w:sz w:val="18"/>
                <w:szCs w:val="18"/>
              </w:rPr>
              <w:t xml:space="preserve">The </w:t>
            </w:r>
            <w:r w:rsidR="00E84C97" w:rsidRPr="009223E0">
              <w:rPr>
                <w:rFonts w:cs="Calibri"/>
                <w:sz w:val="18"/>
                <w:szCs w:val="18"/>
              </w:rPr>
              <w:t>services provided</w:t>
            </w:r>
            <w:r w:rsidR="00AE507E" w:rsidRPr="009223E0">
              <w:rPr>
                <w:rFonts w:cs="Calibri"/>
                <w:sz w:val="18"/>
                <w:szCs w:val="18"/>
              </w:rPr>
              <w:t xml:space="preserve"> </w:t>
            </w:r>
            <w:r w:rsidRPr="009223E0">
              <w:rPr>
                <w:rFonts w:cs="Calibri"/>
                <w:sz w:val="18"/>
                <w:szCs w:val="18"/>
              </w:rPr>
              <w:t>includ</w:t>
            </w:r>
            <w:r w:rsidR="00E84C97" w:rsidRPr="009223E0">
              <w:rPr>
                <w:rFonts w:cs="Calibri"/>
                <w:sz w:val="18"/>
                <w:szCs w:val="18"/>
              </w:rPr>
              <w:t>e</w:t>
            </w:r>
            <w:r w:rsidRPr="009223E0">
              <w:rPr>
                <w:rFonts w:cs="Calibri"/>
                <w:sz w:val="18"/>
                <w:szCs w:val="18"/>
              </w:rPr>
              <w:t xml:space="preserve"> municipal services,</w:t>
            </w:r>
            <w:r w:rsidR="00595110" w:rsidRPr="009223E0">
              <w:rPr>
                <w:rFonts w:cs="Calibri"/>
                <w:sz w:val="18"/>
                <w:szCs w:val="18"/>
              </w:rPr>
              <w:t xml:space="preserve"> public transport,</w:t>
            </w:r>
            <w:r w:rsidR="00406899" w:rsidRPr="009223E0">
              <w:rPr>
                <w:rFonts w:cs="Calibri"/>
                <w:sz w:val="18"/>
                <w:szCs w:val="18"/>
              </w:rPr>
              <w:t xml:space="preserve"> court and tribunal services</w:t>
            </w:r>
            <w:r w:rsidR="004E7AC3" w:rsidRPr="009223E0">
              <w:rPr>
                <w:rFonts w:cs="Calibri"/>
                <w:sz w:val="18"/>
                <w:szCs w:val="18"/>
              </w:rPr>
              <w:t>,</w:t>
            </w:r>
            <w:r w:rsidRPr="009223E0">
              <w:rPr>
                <w:rFonts w:cs="Calibri"/>
                <w:sz w:val="18"/>
                <w:szCs w:val="18"/>
              </w:rPr>
              <w:t xml:space="preserve"> </w:t>
            </w:r>
            <w:r w:rsidR="004E7AC3" w:rsidRPr="009223E0">
              <w:rPr>
                <w:rFonts w:cs="Calibri"/>
                <w:sz w:val="18"/>
                <w:szCs w:val="18"/>
              </w:rPr>
              <w:t xml:space="preserve">land sales, </w:t>
            </w:r>
            <w:r w:rsidRPr="009223E0">
              <w:rPr>
                <w:rFonts w:cs="Calibri"/>
                <w:sz w:val="18"/>
                <w:szCs w:val="18"/>
              </w:rPr>
              <w:t xml:space="preserve">land information, procurement and property services, undertaking, promoting and coordinating the development and management of land and the provision and maintenance of major infrastructure such as </w:t>
            </w:r>
            <w:r w:rsidR="00406899" w:rsidRPr="009223E0">
              <w:rPr>
                <w:rFonts w:cs="Calibri"/>
                <w:sz w:val="18"/>
                <w:szCs w:val="18"/>
              </w:rPr>
              <w:t xml:space="preserve">roads, </w:t>
            </w:r>
            <w:r w:rsidR="00206B5F" w:rsidRPr="009223E0">
              <w:rPr>
                <w:rFonts w:cs="Calibri"/>
                <w:sz w:val="18"/>
                <w:szCs w:val="18"/>
              </w:rPr>
              <w:t>bridges</w:t>
            </w:r>
            <w:r w:rsidRPr="009223E0">
              <w:rPr>
                <w:rFonts w:cs="Calibri"/>
                <w:sz w:val="18"/>
                <w:szCs w:val="18"/>
              </w:rPr>
              <w:t>, streetlights and stormwater drains.</w:t>
            </w:r>
            <w:r w:rsidR="00FA7C77">
              <w:rPr>
                <w:rFonts w:cs="Calibri"/>
                <w:sz w:val="18"/>
                <w:szCs w:val="18"/>
              </w:rPr>
              <w:t xml:space="preserve"> </w:t>
            </w:r>
          </w:p>
        </w:tc>
      </w:tr>
      <w:tr w:rsidR="00572938" w:rsidRPr="00CF7E1B" w14:paraId="28DD422D" w14:textId="77777777" w:rsidTr="00B513E5">
        <w:tc>
          <w:tcPr>
            <w:tcW w:w="745" w:type="pct"/>
            <w:tcBorders>
              <w:top w:val="nil"/>
              <w:left w:val="single" w:sz="2" w:space="0" w:color="auto"/>
              <w:bottom w:val="nil"/>
              <w:right w:val="single" w:sz="2" w:space="0" w:color="auto"/>
            </w:tcBorders>
          </w:tcPr>
          <w:p w14:paraId="23A0D58F" w14:textId="77777777" w:rsidR="00572938" w:rsidRPr="009223E0" w:rsidRDefault="00572938">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6C2D81E6" w14:textId="191AF0D4" w:rsidR="009A44B1" w:rsidRPr="009223E0" w:rsidRDefault="00572938">
            <w:pPr>
              <w:pStyle w:val="CommentaryText"/>
              <w:tabs>
                <w:tab w:val="left" w:pos="3306"/>
              </w:tabs>
              <w:rPr>
                <w:rFonts w:cs="Calibri"/>
                <w:sz w:val="18"/>
                <w:szCs w:val="18"/>
              </w:rPr>
            </w:pPr>
            <w:r w:rsidRPr="009223E0">
              <w:rPr>
                <w:rFonts w:cs="Calibri"/>
                <w:sz w:val="18"/>
                <w:szCs w:val="18"/>
              </w:rPr>
              <w:t>The Agency provides policy advice to Government on land use planning and environmental impacts, urban infrastructure, strategic management of ACT land and property and municipal services.</w:t>
            </w:r>
            <w:r w:rsidR="00FA7C77">
              <w:rPr>
                <w:rFonts w:cs="Calibri"/>
                <w:sz w:val="18"/>
                <w:szCs w:val="18"/>
              </w:rPr>
              <w:t xml:space="preserve"> </w:t>
            </w:r>
            <w:r w:rsidRPr="009223E0">
              <w:rPr>
                <w:rFonts w:cs="Calibri"/>
                <w:sz w:val="18"/>
                <w:szCs w:val="18"/>
              </w:rPr>
              <w:t>The Agency also collects a number of different taxes,</w:t>
            </w:r>
            <w:r w:rsidR="004E7AC3" w:rsidRPr="009223E0">
              <w:rPr>
                <w:rFonts w:cs="Calibri"/>
                <w:sz w:val="18"/>
                <w:szCs w:val="18"/>
              </w:rPr>
              <w:t xml:space="preserve"> licences,</w:t>
            </w:r>
            <w:r w:rsidRPr="009223E0">
              <w:rPr>
                <w:rFonts w:cs="Calibri"/>
                <w:sz w:val="18"/>
                <w:szCs w:val="18"/>
              </w:rPr>
              <w:t xml:space="preserve"> fees and fines for the ACT Government.</w:t>
            </w:r>
            <w:r w:rsidR="00FA7C77">
              <w:rPr>
                <w:rFonts w:cs="Calibri"/>
                <w:sz w:val="18"/>
                <w:szCs w:val="18"/>
              </w:rPr>
              <w:t xml:space="preserve"> </w:t>
            </w:r>
          </w:p>
        </w:tc>
      </w:tr>
      <w:tr w:rsidR="00953876" w:rsidRPr="00CF7E1B" w14:paraId="6C0B8C9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2547805B" w14:textId="77777777" w:rsidR="00953876" w:rsidRPr="009223E0" w:rsidRDefault="00953876" w:rsidP="00C9212B">
            <w:pPr>
              <w:pStyle w:val="TableReference"/>
              <w:tabs>
                <w:tab w:val="left" w:pos="3306"/>
              </w:tabs>
              <w:spacing w:before="240" w:after="240"/>
              <w:rPr>
                <w:rFonts w:cs="Calibri"/>
                <w:color w:val="7030A0"/>
                <w:sz w:val="16"/>
                <w:szCs w:val="16"/>
              </w:rPr>
            </w:pPr>
          </w:p>
        </w:tc>
        <w:tc>
          <w:tcPr>
            <w:tcW w:w="4255" w:type="pct"/>
            <w:tcBorders>
              <w:left w:val="single" w:sz="2" w:space="0" w:color="auto"/>
            </w:tcBorders>
            <w:shd w:val="clear" w:color="auto" w:fill="7030A0"/>
          </w:tcPr>
          <w:p w14:paraId="4313DCD4" w14:textId="7A573D09" w:rsidR="00953876" w:rsidRPr="009223E0" w:rsidRDefault="00953876" w:rsidP="00C9212B">
            <w:pPr>
              <w:pStyle w:val="CommentaryTitle"/>
              <w:spacing w:before="240" w:after="240"/>
              <w:rPr>
                <w:rFonts w:cs="Calibri"/>
                <w:color w:val="FFFFFF" w:themeColor="background1"/>
                <w:sz w:val="28"/>
                <w:szCs w:val="28"/>
              </w:rPr>
            </w:pPr>
            <w:bookmarkStart w:id="324" w:name="_Toc50440333"/>
            <w:bookmarkStart w:id="325" w:name="_Toc163106304"/>
            <w:r w:rsidRPr="009223E0">
              <w:rPr>
                <w:rFonts w:cs="Calibri"/>
                <w:color w:val="FFFFFF" w:themeColor="background1"/>
                <w:sz w:val="28"/>
                <w:szCs w:val="28"/>
              </w:rPr>
              <w:t xml:space="preserve">Commentary </w:t>
            </w:r>
            <w:r w:rsidRPr="009223E0">
              <w:rPr>
                <w:rFonts w:cs="Calibri"/>
                <w:color w:val="FFFFFF" w:themeColor="background1"/>
                <w:sz w:val="28"/>
                <w:szCs w:val="28"/>
              </w:rPr>
              <w:sym w:font="Symbol" w:char="F02D"/>
            </w:r>
            <w:r w:rsidRPr="009223E0">
              <w:rPr>
                <w:rFonts w:cs="Calibri"/>
                <w:color w:val="FFFFFF" w:themeColor="background1"/>
                <w:sz w:val="28"/>
                <w:szCs w:val="28"/>
              </w:rPr>
              <w:t xml:space="preserve"> Note 1: Objectives</w:t>
            </w:r>
            <w:bookmarkEnd w:id="324"/>
            <w:r w:rsidRPr="009223E0">
              <w:rPr>
                <w:rFonts w:cs="Calibri"/>
                <w:color w:val="FFFFFF" w:themeColor="background1"/>
                <w:sz w:val="28"/>
                <w:szCs w:val="28"/>
              </w:rPr>
              <w:t xml:space="preserve"> of ‘</w:t>
            </w:r>
            <w:r w:rsidR="001A6C09" w:rsidRPr="009223E0">
              <w:rPr>
                <w:rFonts w:cs="Calibri"/>
                <w:color w:val="FFFFFF" w:themeColor="background1"/>
                <w:sz w:val="28"/>
                <w:szCs w:val="28"/>
              </w:rPr>
              <w:t xml:space="preserve">Burley Griffin </w:t>
            </w:r>
            <w:r w:rsidRPr="009223E0">
              <w:rPr>
                <w:rFonts w:cs="Calibri"/>
                <w:color w:val="FFFFFF" w:themeColor="background1"/>
                <w:sz w:val="28"/>
                <w:szCs w:val="28"/>
              </w:rPr>
              <w:t>Agency’</w:t>
            </w:r>
            <w:bookmarkEnd w:id="325"/>
          </w:p>
        </w:tc>
      </w:tr>
      <w:tr w:rsidR="00953876" w:rsidRPr="00CF7E1B" w14:paraId="3C515C66"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52388BDE" w14:textId="77777777" w:rsidR="00953876" w:rsidRPr="009223E0" w:rsidRDefault="00953876" w:rsidP="005F2842">
            <w:pPr>
              <w:pStyle w:val="TableReference"/>
              <w:tabs>
                <w:tab w:val="left" w:pos="3306"/>
              </w:tabs>
              <w:rPr>
                <w:rFonts w:cs="Calibri"/>
                <w:color w:val="7030A0"/>
                <w:sz w:val="14"/>
              </w:rPr>
            </w:pPr>
          </w:p>
          <w:p w14:paraId="5E5AA8E0" w14:textId="77777777" w:rsidR="00953876" w:rsidRPr="009223E0" w:rsidRDefault="00953876" w:rsidP="005F2842">
            <w:pPr>
              <w:pStyle w:val="TableReference"/>
              <w:tabs>
                <w:tab w:val="left" w:pos="3306"/>
              </w:tabs>
              <w:rPr>
                <w:rFonts w:cs="Calibri"/>
                <w:color w:val="7030A0"/>
                <w:sz w:val="14"/>
              </w:rPr>
            </w:pPr>
            <w:r w:rsidRPr="009223E0">
              <w:rPr>
                <w:rFonts w:cs="Calibri"/>
                <w:color w:val="7030A0"/>
                <w:sz w:val="14"/>
              </w:rPr>
              <w:t>AASB 1054.8(b)</w:t>
            </w:r>
          </w:p>
        </w:tc>
        <w:tc>
          <w:tcPr>
            <w:tcW w:w="4255" w:type="pct"/>
            <w:tcBorders>
              <w:left w:val="single" w:sz="2" w:space="0" w:color="auto"/>
            </w:tcBorders>
            <w:shd w:val="clear" w:color="auto" w:fill="7030A0"/>
          </w:tcPr>
          <w:p w14:paraId="570D826C" w14:textId="6731F20D" w:rsidR="00953876" w:rsidRPr="009223E0" w:rsidRDefault="00953876" w:rsidP="00C9212B">
            <w:pPr>
              <w:pStyle w:val="CommentaryTitle"/>
              <w:spacing w:before="0" w:after="120"/>
              <w:rPr>
                <w:rFonts w:cs="Calibri"/>
                <w:color w:val="FFFFFF" w:themeColor="background1"/>
                <w:sz w:val="18"/>
                <w:szCs w:val="18"/>
              </w:rPr>
            </w:pPr>
            <w:r w:rsidRPr="009223E0">
              <w:rPr>
                <w:rFonts w:cs="Calibri"/>
                <w:b w:val="0"/>
                <w:bCs w:val="0"/>
                <w:color w:val="FFFFFF" w:themeColor="background1"/>
                <w:sz w:val="18"/>
                <w:szCs w:val="18"/>
              </w:rPr>
              <w:t>An agency shall disclose in the notes</w:t>
            </w:r>
            <w:r w:rsidR="002F35DF" w:rsidRPr="009223E0">
              <w:rPr>
                <w:rFonts w:cs="Calibri"/>
                <w:b w:val="0"/>
                <w:bCs w:val="0"/>
                <w:color w:val="FFFFFF" w:themeColor="background1"/>
                <w:sz w:val="18"/>
                <w:szCs w:val="18"/>
              </w:rPr>
              <w:t xml:space="preserve"> to its financial statements</w:t>
            </w:r>
            <w:r w:rsidRPr="009223E0">
              <w:rPr>
                <w:rFonts w:cs="Calibri"/>
                <w:b w:val="0"/>
                <w:bCs w:val="0"/>
                <w:color w:val="FFFFFF" w:themeColor="background1"/>
                <w:sz w:val="18"/>
                <w:szCs w:val="18"/>
              </w:rPr>
              <w:t xml:space="preserve"> whether, it is a for</w:t>
            </w:r>
            <w:r w:rsidRPr="009223E0">
              <w:rPr>
                <w:rFonts w:cs="Calibri"/>
                <w:b w:val="0"/>
                <w:bCs w:val="0"/>
                <w:color w:val="FFFFFF" w:themeColor="background1"/>
                <w:sz w:val="18"/>
                <w:szCs w:val="18"/>
              </w:rPr>
              <w:noBreakHyphen/>
              <w:t>profit or not-for-profit entity.</w:t>
            </w:r>
          </w:p>
        </w:tc>
      </w:tr>
      <w:tr w:rsidR="00953876" w:rsidRPr="00CF7E1B" w14:paraId="66B65AB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62C757F8" w14:textId="3B2A09F6" w:rsidR="00953876" w:rsidRPr="009223E0" w:rsidRDefault="00953876" w:rsidP="005F2842">
            <w:pPr>
              <w:pStyle w:val="TableReference"/>
              <w:tabs>
                <w:tab w:val="left" w:pos="3306"/>
              </w:tabs>
              <w:spacing w:before="60"/>
              <w:rPr>
                <w:rFonts w:cs="Calibri"/>
                <w:color w:val="7030A0"/>
                <w:sz w:val="14"/>
              </w:rPr>
            </w:pPr>
            <w:r w:rsidRPr="009223E0">
              <w:rPr>
                <w:rFonts w:cs="Calibri"/>
                <w:color w:val="7030A0"/>
                <w:sz w:val="14"/>
              </w:rPr>
              <w:t>AASB 1052.15(b)</w:t>
            </w:r>
          </w:p>
          <w:p w14:paraId="1486B94F" w14:textId="15A18711" w:rsidR="00953876" w:rsidRPr="009223E0" w:rsidRDefault="00953876" w:rsidP="005F2842">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24E455A5" w14:textId="3E95CE20" w:rsidR="00953876" w:rsidRPr="009223E0" w:rsidRDefault="002F35DF" w:rsidP="00572938">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D</w:t>
            </w:r>
            <w:r w:rsidR="00953876" w:rsidRPr="009223E0">
              <w:rPr>
                <w:rFonts w:cs="Calibri"/>
                <w:color w:val="FFFFFF" w:themeColor="background1"/>
                <w:sz w:val="18"/>
                <w:szCs w:val="18"/>
              </w:rPr>
              <w:t xml:space="preserve">irectorates </w:t>
            </w:r>
            <w:r w:rsidRPr="009223E0">
              <w:rPr>
                <w:rFonts w:cs="Calibri"/>
                <w:color w:val="FFFFFF" w:themeColor="background1"/>
                <w:sz w:val="18"/>
                <w:szCs w:val="18"/>
              </w:rPr>
              <w:t xml:space="preserve">are required </w:t>
            </w:r>
            <w:r w:rsidR="00953876" w:rsidRPr="009223E0">
              <w:rPr>
                <w:rFonts w:cs="Calibri"/>
                <w:color w:val="FFFFFF" w:themeColor="background1"/>
                <w:sz w:val="18"/>
                <w:szCs w:val="18"/>
              </w:rPr>
              <w:t>to disclose their objectives if this information has not been disclosed elsewhere in the Annual Report.</w:t>
            </w:r>
            <w:r w:rsidR="00FA7C77">
              <w:rPr>
                <w:rFonts w:cs="Calibri"/>
                <w:color w:val="FFFFFF" w:themeColor="background1"/>
                <w:sz w:val="18"/>
                <w:szCs w:val="18"/>
              </w:rPr>
              <w:t xml:space="preserve"> </w:t>
            </w:r>
            <w:r w:rsidR="00953876" w:rsidRPr="009223E0">
              <w:rPr>
                <w:rFonts w:cs="Calibri"/>
                <w:color w:val="FFFFFF" w:themeColor="background1"/>
                <w:sz w:val="18"/>
                <w:szCs w:val="18"/>
              </w:rPr>
              <w:t>Territory authorities should also provide a note disclosing their objectives.</w:t>
            </w:r>
          </w:p>
        </w:tc>
      </w:tr>
      <w:tr w:rsidR="00953876" w:rsidRPr="00CF7E1B" w14:paraId="4A72DF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08C87457" w14:textId="77777777" w:rsidR="001D66DB" w:rsidRPr="009223E0" w:rsidRDefault="001D66DB" w:rsidP="001D66DB">
            <w:pPr>
              <w:pStyle w:val="TableReference"/>
              <w:tabs>
                <w:tab w:val="left" w:pos="3306"/>
              </w:tabs>
              <w:rPr>
                <w:rFonts w:cs="Calibri"/>
                <w:color w:val="7030A0"/>
                <w:sz w:val="14"/>
              </w:rPr>
            </w:pPr>
            <w:r w:rsidRPr="009223E0">
              <w:rPr>
                <w:rFonts w:cs="Calibri"/>
                <w:color w:val="7030A0"/>
                <w:sz w:val="14"/>
              </w:rPr>
              <w:t>AASB 101.138(b)</w:t>
            </w:r>
          </w:p>
          <w:p w14:paraId="6E6E5C11" w14:textId="77777777" w:rsidR="001D66DB" w:rsidRDefault="001D66DB" w:rsidP="005F2842">
            <w:pPr>
              <w:pStyle w:val="TableReference"/>
              <w:tabs>
                <w:tab w:val="left" w:pos="3306"/>
              </w:tabs>
              <w:spacing w:before="60"/>
              <w:rPr>
                <w:rFonts w:cs="Calibri"/>
                <w:color w:val="7030A0"/>
                <w:sz w:val="14"/>
              </w:rPr>
            </w:pPr>
          </w:p>
          <w:p w14:paraId="7FAE99B8" w14:textId="67D4EBFE" w:rsidR="00953876" w:rsidRPr="009223E0" w:rsidRDefault="00572938" w:rsidP="005F2842">
            <w:pPr>
              <w:pStyle w:val="TableReference"/>
              <w:tabs>
                <w:tab w:val="left" w:pos="3306"/>
              </w:tabs>
              <w:spacing w:before="60"/>
              <w:rPr>
                <w:rFonts w:cs="Calibri"/>
                <w:color w:val="7030A0"/>
                <w:sz w:val="14"/>
              </w:rPr>
            </w:pPr>
            <w:r w:rsidRPr="009223E0">
              <w:rPr>
                <w:rFonts w:cs="Calibri"/>
                <w:color w:val="7030A0"/>
                <w:sz w:val="14"/>
              </w:rPr>
              <w:t>Chief Minister’s Annual Report Directions</w:t>
            </w:r>
          </w:p>
        </w:tc>
        <w:tc>
          <w:tcPr>
            <w:tcW w:w="4255" w:type="pct"/>
            <w:tcBorders>
              <w:left w:val="single" w:sz="2" w:space="0" w:color="auto"/>
            </w:tcBorders>
            <w:shd w:val="clear" w:color="auto" w:fill="7030A0"/>
          </w:tcPr>
          <w:p w14:paraId="3392119E" w14:textId="05BABC42" w:rsidR="001D66DB" w:rsidRDefault="001D66DB"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Agencies need to provide a description of the nature of the agency’s operations and its principal activities.</w:t>
            </w:r>
          </w:p>
          <w:p w14:paraId="684C1948" w14:textId="2EEF7617" w:rsidR="00953876" w:rsidRPr="009223E0" w:rsidRDefault="00572938"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As the Chief Minister’s Annual Report Directions require details of the organisation and its major achievements to appear elsewhere within the Annual Report, Note 1 can be simplified and be more concise.</w:t>
            </w:r>
            <w:r w:rsidR="00FA7C77">
              <w:rPr>
                <w:rFonts w:cs="Calibri"/>
                <w:color w:val="FFFFFF" w:themeColor="background1"/>
                <w:sz w:val="18"/>
                <w:szCs w:val="18"/>
              </w:rPr>
              <w:t xml:space="preserve"> </w:t>
            </w:r>
            <w:r w:rsidRPr="009223E0">
              <w:rPr>
                <w:rFonts w:cs="Calibri"/>
                <w:color w:val="FFFFFF" w:themeColor="background1"/>
                <w:sz w:val="18"/>
                <w:szCs w:val="18"/>
              </w:rPr>
              <w:t>The information required by the Directions includes details of the reporting entity and its organisational profile.</w:t>
            </w:r>
          </w:p>
        </w:tc>
      </w:tr>
      <w:tr w:rsidR="00E21512" w:rsidRPr="00CF7E1B" w14:paraId="7AC7A86B" w14:textId="77777777" w:rsidTr="00B513E5">
        <w:tc>
          <w:tcPr>
            <w:tcW w:w="745" w:type="pct"/>
            <w:tcBorders>
              <w:top w:val="nil"/>
              <w:left w:val="single" w:sz="2" w:space="0" w:color="auto"/>
              <w:bottom w:val="nil"/>
              <w:right w:val="single" w:sz="2" w:space="0" w:color="auto"/>
            </w:tcBorders>
          </w:tcPr>
          <w:p w14:paraId="7BA28246" w14:textId="47616E32" w:rsidR="00E21512" w:rsidRPr="009223E0" w:rsidRDefault="00E21512">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46CBE27" w14:textId="0A1F06C8" w:rsidR="00E21512" w:rsidRPr="002D37D5" w:rsidRDefault="001B17A3" w:rsidP="00E41488">
            <w:pPr>
              <w:pStyle w:val="Heading1"/>
              <w:numPr>
                <w:ilvl w:val="0"/>
                <w:numId w:val="0"/>
              </w:numPr>
              <w:jc w:val="both"/>
            </w:pPr>
            <w:bookmarkStart w:id="326" w:name="_Toc132743775"/>
            <w:r w:rsidRPr="002D37D5">
              <w:t xml:space="preserve">Note 2. </w:t>
            </w:r>
            <w:r w:rsidR="00837B44" w:rsidRPr="002D37D5">
              <w:t>Basis of Preparation of the Financial</w:t>
            </w:r>
            <w:r w:rsidR="00E35CD2" w:rsidRPr="002D37D5">
              <w:t xml:space="preserve"> </w:t>
            </w:r>
            <w:r w:rsidR="00837B44" w:rsidRPr="002D37D5">
              <w:t>Statements</w:t>
            </w:r>
            <w:bookmarkEnd w:id="326"/>
          </w:p>
        </w:tc>
      </w:tr>
      <w:tr w:rsidR="00E21512" w:rsidRPr="00CF7E1B" w14:paraId="2DC05FBD" w14:textId="77777777" w:rsidTr="00B513E5">
        <w:tc>
          <w:tcPr>
            <w:tcW w:w="745" w:type="pct"/>
            <w:tcBorders>
              <w:top w:val="nil"/>
              <w:left w:val="single" w:sz="2" w:space="0" w:color="auto"/>
              <w:bottom w:val="nil"/>
              <w:right w:val="single" w:sz="2" w:space="0" w:color="auto"/>
            </w:tcBorders>
          </w:tcPr>
          <w:p w14:paraId="4993361B" w14:textId="77777777" w:rsidR="00E21512" w:rsidRPr="009223E0" w:rsidRDefault="00E21512">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F8F7676" w14:textId="036DA3B1" w:rsidR="00E21512" w:rsidRPr="009223E0" w:rsidRDefault="00837B44">
            <w:pPr>
              <w:pStyle w:val="CommentaryText"/>
              <w:tabs>
                <w:tab w:val="left" w:pos="3306"/>
              </w:tabs>
              <w:rPr>
                <w:rFonts w:cs="Calibri"/>
                <w:b/>
                <w:bCs/>
                <w:szCs w:val="20"/>
              </w:rPr>
            </w:pPr>
            <w:r w:rsidRPr="009223E0">
              <w:rPr>
                <w:rFonts w:cs="Calibri"/>
                <w:b/>
                <w:bCs/>
                <w:szCs w:val="20"/>
              </w:rPr>
              <w:t>Legislative Requirements</w:t>
            </w:r>
          </w:p>
        </w:tc>
      </w:tr>
      <w:tr w:rsidR="00E21512" w:rsidRPr="00CF7E1B" w14:paraId="2D479387" w14:textId="77777777" w:rsidTr="00B513E5">
        <w:tc>
          <w:tcPr>
            <w:tcW w:w="745" w:type="pct"/>
            <w:tcBorders>
              <w:top w:val="nil"/>
              <w:left w:val="single" w:sz="2" w:space="0" w:color="auto"/>
              <w:bottom w:val="nil"/>
              <w:right w:val="single" w:sz="2" w:space="0" w:color="auto"/>
            </w:tcBorders>
          </w:tcPr>
          <w:p w14:paraId="12A1658F" w14:textId="522DE4E1" w:rsidR="00E21512" w:rsidRPr="009223E0" w:rsidRDefault="004D22C6" w:rsidP="00A229DC">
            <w:pPr>
              <w:pStyle w:val="TableReference"/>
              <w:tabs>
                <w:tab w:val="left" w:pos="3306"/>
              </w:tabs>
              <w:spacing w:before="60"/>
              <w:rPr>
                <w:color w:val="7030A0"/>
                <w:sz w:val="14"/>
              </w:rPr>
            </w:pPr>
            <w:r w:rsidRPr="009223E0">
              <w:rPr>
                <w:color w:val="7030A0"/>
                <w:sz w:val="14"/>
              </w:rPr>
              <w:t xml:space="preserve">AASB 101.10(e), FMA 27(1) &amp; (3), FMA 63(1) &amp; (3), Financial Management (Periodic &amp; Annual Financial Statements) Guidelines </w:t>
            </w:r>
            <w:r w:rsidR="002712C9" w:rsidRPr="009223E0">
              <w:rPr>
                <w:color w:val="7030A0"/>
                <w:sz w:val="14"/>
              </w:rPr>
              <w:t>2016</w:t>
            </w:r>
          </w:p>
        </w:tc>
        <w:tc>
          <w:tcPr>
            <w:tcW w:w="4255" w:type="pct"/>
            <w:tcBorders>
              <w:top w:val="nil"/>
              <w:left w:val="single" w:sz="2" w:space="0" w:color="auto"/>
              <w:bottom w:val="nil"/>
              <w:right w:val="nil"/>
            </w:tcBorders>
          </w:tcPr>
          <w:p w14:paraId="3604859E" w14:textId="77777777" w:rsidR="008E62D1" w:rsidRDefault="00727200" w:rsidP="00837B44">
            <w:pPr>
              <w:jc w:val="both"/>
              <w:rPr>
                <w:sz w:val="18"/>
                <w:szCs w:val="18"/>
              </w:rPr>
            </w:pPr>
            <w:r w:rsidRPr="009223E0">
              <w:rPr>
                <w:sz w:val="18"/>
                <w:szCs w:val="18"/>
              </w:rPr>
              <w:t>WORDING FOR DIRECTO</w:t>
            </w:r>
            <w:r w:rsidR="00E35CD2">
              <w:rPr>
                <w:sz w:val="18"/>
                <w:szCs w:val="18"/>
              </w:rPr>
              <w:t>R</w:t>
            </w:r>
            <w:r w:rsidRPr="009223E0">
              <w:rPr>
                <w:sz w:val="18"/>
                <w:szCs w:val="18"/>
              </w:rPr>
              <w:t xml:space="preserve">ATES </w:t>
            </w:r>
          </w:p>
          <w:p w14:paraId="064D151A" w14:textId="4758D587" w:rsidR="00837B44" w:rsidRPr="009223E0" w:rsidRDefault="00727200" w:rsidP="00837B44">
            <w:pPr>
              <w:jc w:val="both"/>
              <w:rPr>
                <w:sz w:val="18"/>
                <w:szCs w:val="18"/>
              </w:rPr>
            </w:pPr>
            <w:r w:rsidRPr="009223E0">
              <w:rPr>
                <w:sz w:val="18"/>
                <w:szCs w:val="18"/>
              </w:rPr>
              <w:t>[</w:t>
            </w:r>
            <w:r w:rsidR="00837B44" w:rsidRPr="009223E0">
              <w:rPr>
                <w:sz w:val="18"/>
                <w:szCs w:val="18"/>
              </w:rPr>
              <w:t xml:space="preserve">The </w:t>
            </w:r>
            <w:r w:rsidR="00837B44" w:rsidRPr="009223E0">
              <w:rPr>
                <w:i/>
                <w:iCs/>
                <w:sz w:val="18"/>
                <w:szCs w:val="18"/>
              </w:rPr>
              <w:t>Financial Management Act 1996</w:t>
            </w:r>
            <w:r w:rsidR="00837B44" w:rsidRPr="009223E0">
              <w:rPr>
                <w:sz w:val="18"/>
                <w:szCs w:val="18"/>
              </w:rPr>
              <w:t xml:space="preserve"> (FMA) requires the preparation of annual financial statements for ACT Government </w:t>
            </w:r>
            <w:r w:rsidR="00923913" w:rsidRPr="009223E0">
              <w:rPr>
                <w:sz w:val="18"/>
                <w:szCs w:val="18"/>
              </w:rPr>
              <w:t>directorates</w:t>
            </w:r>
            <w:r w:rsidR="00837B44" w:rsidRPr="009223E0">
              <w:rPr>
                <w:sz w:val="18"/>
                <w:szCs w:val="18"/>
              </w:rPr>
              <w:t>.</w:t>
            </w:r>
            <w:r w:rsidR="00FA7C77">
              <w:rPr>
                <w:sz w:val="18"/>
                <w:szCs w:val="18"/>
              </w:rPr>
              <w:t xml:space="preserve"> </w:t>
            </w:r>
            <w:r w:rsidR="00837B44" w:rsidRPr="009223E0">
              <w:rPr>
                <w:rFonts w:cs="Calibri"/>
                <w:sz w:val="18"/>
                <w:szCs w:val="18"/>
              </w:rPr>
              <w:t xml:space="preserve">The FMA and the </w:t>
            </w:r>
            <w:r w:rsidR="00837B44" w:rsidRPr="009223E0">
              <w:rPr>
                <w:rFonts w:cs="Calibri"/>
                <w:i/>
                <w:iCs/>
                <w:sz w:val="18"/>
                <w:szCs w:val="18"/>
              </w:rPr>
              <w:t>Financial Management Guidelines</w:t>
            </w:r>
            <w:r w:rsidR="00837B44" w:rsidRPr="009223E0">
              <w:rPr>
                <w:rFonts w:cs="Calibri"/>
                <w:sz w:val="18"/>
                <w:szCs w:val="18"/>
              </w:rPr>
              <w:t xml:space="preserve"> issued under the Act, requires a </w:t>
            </w:r>
            <w:r w:rsidR="00923913" w:rsidRPr="009223E0">
              <w:rPr>
                <w:sz w:val="18"/>
                <w:szCs w:val="18"/>
              </w:rPr>
              <w:t>directorate’s</w:t>
            </w:r>
            <w:r w:rsidR="00923913" w:rsidRPr="009223E0">
              <w:rPr>
                <w:rFonts w:cs="Calibri"/>
                <w:sz w:val="18"/>
                <w:szCs w:val="18"/>
              </w:rPr>
              <w:t xml:space="preserve"> </w:t>
            </w:r>
            <w:r w:rsidR="00837B44" w:rsidRPr="009223E0">
              <w:rPr>
                <w:rFonts w:cs="Calibri"/>
                <w:sz w:val="18"/>
                <w:szCs w:val="18"/>
              </w:rPr>
              <w:t>financial statements to include:</w:t>
            </w:r>
          </w:p>
          <w:p w14:paraId="562F4981" w14:textId="77777777" w:rsidR="00837B44" w:rsidRPr="009223E0" w:rsidRDefault="00837B44" w:rsidP="00CB31DE">
            <w:pPr>
              <w:pStyle w:val="NotesNumber"/>
              <w:numPr>
                <w:ilvl w:val="0"/>
                <w:numId w:val="37"/>
              </w:numPr>
              <w:tabs>
                <w:tab w:val="num" w:pos="567"/>
                <w:tab w:val="left" w:pos="3306"/>
              </w:tabs>
              <w:jc w:val="both"/>
              <w:rPr>
                <w:rFonts w:cs="Calibri"/>
                <w:sz w:val="18"/>
                <w:szCs w:val="18"/>
              </w:rPr>
            </w:pPr>
            <w:r w:rsidRPr="009223E0">
              <w:rPr>
                <w:rFonts w:cs="Calibri"/>
                <w:sz w:val="18"/>
                <w:szCs w:val="18"/>
              </w:rPr>
              <w:t>an Operating Statement for the year;</w:t>
            </w:r>
          </w:p>
          <w:p w14:paraId="6F23C981"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Balance Sheet at the end of the year;</w:t>
            </w:r>
          </w:p>
          <w:p w14:paraId="4AF64C6E"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Statement of Changes in Equity for the year;</w:t>
            </w:r>
          </w:p>
          <w:p w14:paraId="65DEE775"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 xml:space="preserve">a </w:t>
            </w:r>
            <w:r w:rsidRPr="009223E0">
              <w:rPr>
                <w:rFonts w:cs="Calibri"/>
                <w:sz w:val="18"/>
                <w:szCs w:val="18"/>
              </w:rPr>
              <w:t xml:space="preserve">Statement of Cash Flows </w:t>
            </w:r>
            <w:r w:rsidRPr="009223E0">
              <w:rPr>
                <w:sz w:val="18"/>
                <w:szCs w:val="18"/>
              </w:rPr>
              <w:t>for the year;</w:t>
            </w:r>
          </w:p>
          <w:p w14:paraId="336268FE"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Statement of Appropriation for the year;</w:t>
            </w:r>
          </w:p>
          <w:p w14:paraId="6162AAEB" w14:textId="29E4F8D6"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an Operating Statement for each class of output for the year</w:t>
            </w:r>
            <w:r w:rsidR="009A6FC9" w:rsidRPr="009223E0">
              <w:rPr>
                <w:sz w:val="18"/>
                <w:szCs w:val="18"/>
              </w:rPr>
              <w:t xml:space="preserve"> (excluding Other Comprehensive Income)</w:t>
            </w:r>
            <w:r w:rsidRPr="009223E0">
              <w:rPr>
                <w:sz w:val="18"/>
                <w:szCs w:val="18"/>
              </w:rPr>
              <w:t>;</w:t>
            </w:r>
          </w:p>
          <w:p w14:paraId="2143E0A0" w14:textId="6D20EEFF" w:rsidR="00837B44" w:rsidRDefault="00837B44" w:rsidP="00CB31DE">
            <w:pPr>
              <w:pStyle w:val="NotesNumber"/>
              <w:numPr>
                <w:ilvl w:val="0"/>
                <w:numId w:val="37"/>
              </w:numPr>
              <w:tabs>
                <w:tab w:val="left" w:pos="531"/>
              </w:tabs>
              <w:jc w:val="both"/>
              <w:rPr>
                <w:sz w:val="18"/>
                <w:szCs w:val="18"/>
              </w:rPr>
            </w:pPr>
            <w:r w:rsidRPr="009223E0">
              <w:rPr>
                <w:sz w:val="18"/>
                <w:szCs w:val="18"/>
              </w:rPr>
              <w:t xml:space="preserve">the </w:t>
            </w:r>
            <w:r w:rsidR="003401FB" w:rsidRPr="009223E0">
              <w:rPr>
                <w:sz w:val="18"/>
                <w:szCs w:val="18"/>
              </w:rPr>
              <w:t xml:space="preserve">material </w:t>
            </w:r>
            <w:r w:rsidRPr="009223E0">
              <w:rPr>
                <w:sz w:val="18"/>
                <w:szCs w:val="18"/>
              </w:rPr>
              <w:t>accounting policies adopted for the year; and</w:t>
            </w:r>
          </w:p>
          <w:p w14:paraId="54C1E3A8" w14:textId="38DDBD42" w:rsidR="004D22C6" w:rsidRPr="009223E0" w:rsidRDefault="00837B44" w:rsidP="00CB31DE">
            <w:pPr>
              <w:pStyle w:val="NotesNumber"/>
              <w:numPr>
                <w:ilvl w:val="0"/>
                <w:numId w:val="37"/>
              </w:numPr>
              <w:tabs>
                <w:tab w:val="left" w:pos="531"/>
              </w:tabs>
              <w:jc w:val="both"/>
              <w:rPr>
                <w:sz w:val="18"/>
                <w:szCs w:val="18"/>
              </w:rPr>
            </w:pPr>
            <w:r w:rsidRPr="009223E0">
              <w:rPr>
                <w:rFonts w:cs="Calibri"/>
                <w:sz w:val="18"/>
                <w:szCs w:val="18"/>
              </w:rPr>
              <w:t>other statements as necessary to fairly reflect the financial operations of the agency during the year and its financial position at the end of the year.</w:t>
            </w:r>
            <w:r w:rsidR="008E62D1">
              <w:rPr>
                <w:rFonts w:cs="Calibri"/>
                <w:sz w:val="18"/>
                <w:szCs w:val="18"/>
              </w:rPr>
              <w:t>]</w:t>
            </w:r>
            <w:r w:rsidRPr="009223E0">
              <w:rPr>
                <w:rFonts w:cs="Calibri"/>
                <w:sz w:val="18"/>
                <w:szCs w:val="18"/>
              </w:rPr>
              <w:t xml:space="preserve"> </w:t>
            </w:r>
          </w:p>
        </w:tc>
      </w:tr>
      <w:tr w:rsidR="00727200" w:rsidRPr="00CF7E1B" w14:paraId="77AF9225" w14:textId="77777777" w:rsidTr="00B513E5">
        <w:tc>
          <w:tcPr>
            <w:tcW w:w="745" w:type="pct"/>
            <w:tcBorders>
              <w:top w:val="nil"/>
              <w:left w:val="single" w:sz="2" w:space="0" w:color="auto"/>
              <w:bottom w:val="nil"/>
              <w:right w:val="single" w:sz="2" w:space="0" w:color="auto"/>
            </w:tcBorders>
          </w:tcPr>
          <w:p w14:paraId="42F03DBB" w14:textId="77777777" w:rsidR="00727200" w:rsidRPr="009223E0" w:rsidRDefault="00727200" w:rsidP="00A229DC">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36B3FD3B" w14:textId="77777777" w:rsidR="008E62D1" w:rsidRDefault="00727200" w:rsidP="00727200">
            <w:pPr>
              <w:jc w:val="both"/>
              <w:rPr>
                <w:color w:val="2E74B5" w:themeColor="accent1" w:themeShade="BF"/>
                <w:sz w:val="18"/>
                <w:szCs w:val="18"/>
              </w:rPr>
            </w:pPr>
            <w:r w:rsidRPr="009223E0">
              <w:rPr>
                <w:color w:val="2E74B5" w:themeColor="accent1" w:themeShade="BF"/>
                <w:sz w:val="18"/>
                <w:szCs w:val="18"/>
              </w:rPr>
              <w:t xml:space="preserve">WORDING FOR TERRITORY AUTHORITIES </w:t>
            </w:r>
          </w:p>
          <w:p w14:paraId="4ECC2303" w14:textId="00FAF5CA" w:rsidR="00727200" w:rsidRPr="009223E0" w:rsidRDefault="00727200" w:rsidP="00727200">
            <w:pPr>
              <w:jc w:val="both"/>
              <w:rPr>
                <w:color w:val="2E74B5" w:themeColor="accent1" w:themeShade="BF"/>
                <w:sz w:val="18"/>
                <w:szCs w:val="18"/>
              </w:rPr>
            </w:pPr>
            <w:r w:rsidRPr="009223E0">
              <w:rPr>
                <w:color w:val="2E74B5" w:themeColor="accent1" w:themeShade="BF"/>
                <w:sz w:val="18"/>
                <w:szCs w:val="18"/>
              </w:rPr>
              <w:t xml:space="preserve">[The </w:t>
            </w:r>
            <w:r w:rsidRPr="009223E0">
              <w:rPr>
                <w:i/>
                <w:iCs/>
                <w:color w:val="2E74B5" w:themeColor="accent1" w:themeShade="BF"/>
                <w:sz w:val="18"/>
                <w:szCs w:val="18"/>
              </w:rPr>
              <w:t>Financial Management Act 1996</w:t>
            </w:r>
            <w:r w:rsidRPr="009223E0">
              <w:rPr>
                <w:color w:val="2E74B5" w:themeColor="accent1" w:themeShade="BF"/>
                <w:sz w:val="18"/>
                <w:szCs w:val="18"/>
              </w:rPr>
              <w:t xml:space="preserve"> (FMA) requires the preparation of annual financial statements for ACT Government territory authorities.</w:t>
            </w:r>
            <w:r w:rsidR="00FA7C77">
              <w:rPr>
                <w:color w:val="2E74B5" w:themeColor="accent1" w:themeShade="BF"/>
                <w:sz w:val="18"/>
                <w:szCs w:val="18"/>
              </w:rPr>
              <w:t xml:space="preserve"> </w:t>
            </w:r>
            <w:r w:rsidRPr="009223E0">
              <w:rPr>
                <w:rFonts w:cs="Calibri"/>
                <w:color w:val="2E74B5" w:themeColor="accent1" w:themeShade="BF"/>
                <w:sz w:val="18"/>
                <w:szCs w:val="18"/>
              </w:rPr>
              <w:t xml:space="preserve">The FMA and the </w:t>
            </w:r>
            <w:r w:rsidRPr="009223E0">
              <w:rPr>
                <w:rFonts w:cs="Calibri"/>
                <w:i/>
                <w:iCs/>
                <w:color w:val="2E74B5" w:themeColor="accent1" w:themeShade="BF"/>
                <w:sz w:val="18"/>
                <w:szCs w:val="18"/>
              </w:rPr>
              <w:t>Financial Management Guidelines</w:t>
            </w:r>
            <w:r w:rsidRPr="009223E0">
              <w:rPr>
                <w:rFonts w:cs="Calibri"/>
                <w:color w:val="2E74B5" w:themeColor="accent1" w:themeShade="BF"/>
                <w:sz w:val="18"/>
                <w:szCs w:val="18"/>
              </w:rPr>
              <w:t xml:space="preserve"> issued under the Act, requires a territory authority</w:t>
            </w:r>
            <w:r w:rsidRPr="009223E0">
              <w:rPr>
                <w:color w:val="2E74B5" w:themeColor="accent1" w:themeShade="BF"/>
                <w:sz w:val="18"/>
                <w:szCs w:val="18"/>
              </w:rPr>
              <w:t>’s</w:t>
            </w:r>
            <w:r w:rsidRPr="009223E0">
              <w:rPr>
                <w:rFonts w:cs="Calibri"/>
                <w:color w:val="2E74B5" w:themeColor="accent1" w:themeShade="BF"/>
                <w:sz w:val="18"/>
                <w:szCs w:val="18"/>
              </w:rPr>
              <w:t xml:space="preserve"> financial statements to include:</w:t>
            </w:r>
          </w:p>
          <w:p w14:paraId="086817B7" w14:textId="77777777" w:rsidR="00727200" w:rsidRPr="009223E0" w:rsidRDefault="00727200" w:rsidP="00CB31DE">
            <w:pPr>
              <w:pStyle w:val="NotesNumber"/>
              <w:numPr>
                <w:ilvl w:val="0"/>
                <w:numId w:val="73"/>
              </w:numPr>
              <w:tabs>
                <w:tab w:val="left" w:pos="3306"/>
              </w:tabs>
              <w:jc w:val="both"/>
              <w:rPr>
                <w:rFonts w:cs="Calibri"/>
                <w:color w:val="2E74B5" w:themeColor="accent1" w:themeShade="BF"/>
                <w:sz w:val="18"/>
                <w:szCs w:val="18"/>
              </w:rPr>
            </w:pPr>
            <w:r w:rsidRPr="009223E0">
              <w:rPr>
                <w:rFonts w:cs="Calibri"/>
                <w:color w:val="2E74B5" w:themeColor="accent1" w:themeShade="BF"/>
                <w:sz w:val="18"/>
                <w:szCs w:val="18"/>
              </w:rPr>
              <w:t>an Operating Statement for the year;</w:t>
            </w:r>
          </w:p>
          <w:p w14:paraId="1C6270FE"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a Balance Sheet at the end of the year;</w:t>
            </w:r>
          </w:p>
          <w:p w14:paraId="07958BE1"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a Statement of Changes in Equity for the year;</w:t>
            </w:r>
          </w:p>
          <w:p w14:paraId="0F23F4C8"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 </w:t>
            </w:r>
            <w:r w:rsidRPr="009223E0">
              <w:rPr>
                <w:rFonts w:cs="Calibri"/>
                <w:color w:val="2E74B5" w:themeColor="accent1" w:themeShade="BF"/>
                <w:sz w:val="18"/>
                <w:szCs w:val="18"/>
              </w:rPr>
              <w:t xml:space="preserve">Statement of Cash Flows </w:t>
            </w:r>
            <w:r w:rsidRPr="009223E0">
              <w:rPr>
                <w:color w:val="2E74B5" w:themeColor="accent1" w:themeShade="BF"/>
                <w:sz w:val="18"/>
                <w:szCs w:val="18"/>
              </w:rPr>
              <w:t>for the year;</w:t>
            </w:r>
          </w:p>
          <w:p w14:paraId="71725F6A" w14:textId="64DACFA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 Statement of Appropriation for the year </w:t>
            </w:r>
            <w:r w:rsidR="0083392E" w:rsidRPr="009223E0">
              <w:rPr>
                <w:color w:val="2E74B5" w:themeColor="accent1" w:themeShade="BF"/>
                <w:sz w:val="18"/>
                <w:szCs w:val="18"/>
              </w:rPr>
              <w:t>[</w:t>
            </w:r>
            <w:r w:rsidRPr="009223E0">
              <w:rPr>
                <w:color w:val="2E74B5" w:themeColor="accent1" w:themeShade="BF"/>
                <w:sz w:val="18"/>
                <w:szCs w:val="18"/>
              </w:rPr>
              <w:t>where relevant];</w:t>
            </w:r>
          </w:p>
          <w:p w14:paraId="4BC35FA4" w14:textId="51799516" w:rsidR="0072720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an Operating Statement for each class of output for the year (excluding Other Comprehensive Income) [where the </w:t>
            </w:r>
            <w:r w:rsidR="00995417">
              <w:rPr>
                <w:color w:val="2E74B5" w:themeColor="accent1" w:themeShade="BF"/>
                <w:sz w:val="18"/>
                <w:szCs w:val="18"/>
              </w:rPr>
              <w:t>a</w:t>
            </w:r>
            <w:r w:rsidRPr="009223E0">
              <w:rPr>
                <w:color w:val="2E74B5" w:themeColor="accent1" w:themeShade="BF"/>
                <w:sz w:val="18"/>
                <w:szCs w:val="18"/>
              </w:rPr>
              <w:t xml:space="preserve">uthority is a prescribed </w:t>
            </w:r>
            <w:r w:rsidR="00995417">
              <w:rPr>
                <w:color w:val="2E74B5" w:themeColor="accent1" w:themeShade="BF"/>
                <w:sz w:val="18"/>
                <w:szCs w:val="18"/>
              </w:rPr>
              <w:t>t</w:t>
            </w:r>
            <w:r w:rsidRPr="009223E0">
              <w:rPr>
                <w:color w:val="2E74B5" w:themeColor="accent1" w:themeShade="BF"/>
                <w:sz w:val="18"/>
                <w:szCs w:val="18"/>
              </w:rPr>
              <w:t xml:space="preserve">erritory </w:t>
            </w:r>
            <w:r w:rsidR="00995417">
              <w:rPr>
                <w:color w:val="2E74B5" w:themeColor="accent1" w:themeShade="BF"/>
                <w:sz w:val="18"/>
                <w:szCs w:val="18"/>
              </w:rPr>
              <w:t>a</w:t>
            </w:r>
            <w:r w:rsidRPr="009223E0">
              <w:rPr>
                <w:color w:val="2E74B5" w:themeColor="accent1" w:themeShade="BF"/>
                <w:sz w:val="18"/>
                <w:szCs w:val="18"/>
              </w:rPr>
              <w:t>uthority]; and</w:t>
            </w:r>
          </w:p>
          <w:p w14:paraId="157D0182" w14:textId="4E17AB2A" w:rsidR="00727200" w:rsidRPr="009223E0" w:rsidRDefault="00727200" w:rsidP="00FC54D8">
            <w:pPr>
              <w:pStyle w:val="NotesNumber"/>
              <w:numPr>
                <w:ilvl w:val="0"/>
                <w:numId w:val="73"/>
              </w:numPr>
              <w:tabs>
                <w:tab w:val="left" w:pos="531"/>
              </w:tabs>
              <w:spacing w:after="120"/>
              <w:ind w:left="357" w:hanging="357"/>
              <w:jc w:val="both"/>
              <w:rPr>
                <w:color w:val="2E74B5" w:themeColor="accent1" w:themeShade="BF"/>
                <w:sz w:val="18"/>
                <w:szCs w:val="18"/>
              </w:rPr>
            </w:pPr>
            <w:r w:rsidRPr="009223E0">
              <w:rPr>
                <w:rFonts w:cs="Calibri"/>
                <w:color w:val="2E74B5" w:themeColor="accent1" w:themeShade="BF"/>
                <w:sz w:val="18"/>
                <w:szCs w:val="18"/>
              </w:rPr>
              <w:t>other statements as necessary to fairly reflect the financial operations of the agency during the year and its financial position at the end of the year.]</w:t>
            </w:r>
          </w:p>
        </w:tc>
      </w:tr>
      <w:tr w:rsidR="00572938" w:rsidRPr="00CF7E1B" w14:paraId="488A5230" w14:textId="77777777" w:rsidTr="00B513E5">
        <w:tc>
          <w:tcPr>
            <w:tcW w:w="745" w:type="pct"/>
            <w:tcBorders>
              <w:top w:val="nil"/>
              <w:left w:val="single" w:sz="2" w:space="0" w:color="auto"/>
              <w:bottom w:val="nil"/>
              <w:right w:val="single" w:sz="2" w:space="0" w:color="auto"/>
            </w:tcBorders>
          </w:tcPr>
          <w:p w14:paraId="79A96F6F" w14:textId="63A82C7C" w:rsidR="00572938" w:rsidRPr="009223E0" w:rsidRDefault="00572938">
            <w:pPr>
              <w:pStyle w:val="TableReference"/>
              <w:tabs>
                <w:tab w:val="left" w:pos="3306"/>
              </w:tabs>
              <w:spacing w:before="60"/>
              <w:rPr>
                <w:color w:val="7030A0"/>
                <w:sz w:val="14"/>
              </w:rPr>
            </w:pPr>
            <w:r w:rsidRPr="009223E0">
              <w:rPr>
                <w:color w:val="7030A0"/>
                <w:sz w:val="14"/>
              </w:rPr>
              <w:t>AASB 101.10(e), AASB 1054.7 &amp; 9, FMA 27(2) &amp; 63(2)</w:t>
            </w:r>
          </w:p>
        </w:tc>
        <w:tc>
          <w:tcPr>
            <w:tcW w:w="4255" w:type="pct"/>
            <w:tcBorders>
              <w:top w:val="nil"/>
              <w:left w:val="single" w:sz="2" w:space="0" w:color="auto"/>
              <w:bottom w:val="nil"/>
              <w:right w:val="nil"/>
            </w:tcBorders>
          </w:tcPr>
          <w:p w14:paraId="063E01B8" w14:textId="77777777" w:rsidR="00572938" w:rsidRPr="009223E0" w:rsidRDefault="00572938" w:rsidP="00572938">
            <w:pPr>
              <w:jc w:val="both"/>
              <w:rPr>
                <w:sz w:val="18"/>
                <w:szCs w:val="18"/>
              </w:rPr>
            </w:pPr>
            <w:r w:rsidRPr="009223E0">
              <w:rPr>
                <w:sz w:val="18"/>
                <w:szCs w:val="18"/>
              </w:rPr>
              <w:t xml:space="preserve">These general purpose financial statements have been prepared in accordance with: </w:t>
            </w:r>
          </w:p>
          <w:p w14:paraId="13D491F0" w14:textId="1BEC1102" w:rsidR="00572938" w:rsidRPr="009223E0" w:rsidRDefault="00572938" w:rsidP="00CB31DE">
            <w:pPr>
              <w:pStyle w:val="NotesNumber"/>
              <w:numPr>
                <w:ilvl w:val="0"/>
                <w:numId w:val="38"/>
              </w:numPr>
              <w:tabs>
                <w:tab w:val="left" w:pos="457"/>
                <w:tab w:val="left" w:pos="1026"/>
              </w:tabs>
              <w:jc w:val="both"/>
              <w:rPr>
                <w:rFonts w:cs="Calibri"/>
                <w:sz w:val="18"/>
                <w:szCs w:val="18"/>
              </w:rPr>
            </w:pPr>
            <w:r w:rsidRPr="009223E0">
              <w:rPr>
                <w:rFonts w:cs="Calibri"/>
                <w:sz w:val="18"/>
                <w:szCs w:val="18"/>
              </w:rPr>
              <w:t xml:space="preserve">Australian Accounting Standards (as required by the FMA); </w:t>
            </w:r>
          </w:p>
          <w:p w14:paraId="5CEF7077" w14:textId="145B32D8" w:rsidR="00572938" w:rsidRPr="002712C9" w:rsidRDefault="00572938" w:rsidP="00CB31DE">
            <w:pPr>
              <w:pStyle w:val="NotesNumber"/>
              <w:numPr>
                <w:ilvl w:val="0"/>
                <w:numId w:val="38"/>
              </w:numPr>
              <w:tabs>
                <w:tab w:val="left" w:pos="457"/>
                <w:tab w:val="left" w:pos="1026"/>
              </w:tabs>
              <w:ind w:left="357" w:hanging="357"/>
              <w:jc w:val="both"/>
              <w:rPr>
                <w:rFonts w:cs="Calibri"/>
                <w:color w:val="538135" w:themeColor="accent6" w:themeShade="BF"/>
                <w:sz w:val="18"/>
                <w:szCs w:val="18"/>
              </w:rPr>
            </w:pPr>
            <w:r w:rsidRPr="009223E0">
              <w:rPr>
                <w:color w:val="2E74B5" w:themeColor="accent1" w:themeShade="BF"/>
                <w:sz w:val="18"/>
                <w:szCs w:val="18"/>
              </w:rPr>
              <w:t xml:space="preserve">International Financial Reporting Standards [Only relates to </w:t>
            </w:r>
            <w:r w:rsidR="00875394" w:rsidRPr="009223E0">
              <w:rPr>
                <w:color w:val="2E74B5" w:themeColor="accent1" w:themeShade="BF"/>
                <w:sz w:val="18"/>
                <w:szCs w:val="18"/>
              </w:rPr>
              <w:t>For-Profit Entities</w:t>
            </w:r>
            <w:r w:rsidRPr="009223E0">
              <w:rPr>
                <w:color w:val="2E74B5" w:themeColor="accent1" w:themeShade="BF"/>
                <w:sz w:val="18"/>
                <w:szCs w:val="18"/>
              </w:rPr>
              <w:t>]</w:t>
            </w:r>
            <w:r w:rsidRPr="009223E0">
              <w:rPr>
                <w:sz w:val="18"/>
                <w:szCs w:val="18"/>
              </w:rPr>
              <w:t>;</w:t>
            </w:r>
            <w:r w:rsidR="00A229DC" w:rsidRPr="009223E0">
              <w:rPr>
                <w:rFonts w:cs="Calibri"/>
                <w:sz w:val="18"/>
                <w:szCs w:val="18"/>
              </w:rPr>
              <w:t xml:space="preserve"> and</w:t>
            </w:r>
          </w:p>
          <w:p w14:paraId="7424F2FA" w14:textId="7C943081" w:rsidR="00572938" w:rsidRPr="002712C9" w:rsidRDefault="00572938" w:rsidP="00CB31DE">
            <w:pPr>
              <w:pStyle w:val="NotesNumber"/>
              <w:numPr>
                <w:ilvl w:val="0"/>
                <w:numId w:val="38"/>
              </w:numPr>
              <w:tabs>
                <w:tab w:val="left" w:pos="457"/>
                <w:tab w:val="left" w:pos="1026"/>
              </w:tabs>
              <w:ind w:left="357" w:hanging="357"/>
              <w:jc w:val="both"/>
              <w:rPr>
                <w:rFonts w:cs="Calibri"/>
                <w:color w:val="538135" w:themeColor="accent6" w:themeShade="BF"/>
                <w:sz w:val="18"/>
                <w:szCs w:val="18"/>
              </w:rPr>
            </w:pPr>
            <w:r w:rsidRPr="009223E0">
              <w:rPr>
                <w:rFonts w:cs="Calibri"/>
                <w:sz w:val="18"/>
                <w:szCs w:val="18"/>
              </w:rPr>
              <w:t>ACT Accounting and Disclosure Policies.</w:t>
            </w:r>
          </w:p>
        </w:tc>
      </w:tr>
      <w:tr w:rsidR="00020D40" w:rsidRPr="00CF7E1B" w14:paraId="1AA33C60" w14:textId="77777777" w:rsidTr="00B513E5">
        <w:tc>
          <w:tcPr>
            <w:tcW w:w="745" w:type="pct"/>
            <w:tcBorders>
              <w:top w:val="nil"/>
              <w:left w:val="single" w:sz="2" w:space="0" w:color="auto"/>
              <w:bottom w:val="nil"/>
              <w:right w:val="single" w:sz="2" w:space="0" w:color="auto"/>
            </w:tcBorders>
          </w:tcPr>
          <w:p w14:paraId="1C350C86" w14:textId="2B5AD29B" w:rsidR="00020D40" w:rsidRPr="007D393C" w:rsidRDefault="00020D40" w:rsidP="00C9212B">
            <w:pPr>
              <w:pStyle w:val="TableReference"/>
              <w:tabs>
                <w:tab w:val="left" w:pos="3306"/>
              </w:tabs>
              <w:spacing w:before="240" w:after="240"/>
              <w:rPr>
                <w:rFonts w:cs="Calibri"/>
                <w:color w:val="auto"/>
                <w:sz w:val="14"/>
              </w:rPr>
            </w:pPr>
            <w:r w:rsidRPr="009223E0">
              <w:rPr>
                <w:rFonts w:cs="Calibri"/>
                <w:b/>
                <w:color w:val="7030A0"/>
                <w:sz w:val="22"/>
                <w:szCs w:val="22"/>
              </w:rPr>
              <w:t>Reference</w:t>
            </w:r>
          </w:p>
        </w:tc>
        <w:tc>
          <w:tcPr>
            <w:tcW w:w="4255" w:type="pct"/>
            <w:tcBorders>
              <w:top w:val="nil"/>
              <w:left w:val="single" w:sz="2" w:space="0" w:color="auto"/>
              <w:bottom w:val="nil"/>
              <w:right w:val="nil"/>
            </w:tcBorders>
          </w:tcPr>
          <w:p w14:paraId="3A2E3B3C" w14:textId="6EEA8FC0" w:rsidR="00020D40" w:rsidRPr="002D37D5" w:rsidRDefault="00020D40" w:rsidP="002D37D5">
            <w:pPr>
              <w:pStyle w:val="Heading2"/>
              <w:numPr>
                <w:ilvl w:val="0"/>
                <w:numId w:val="0"/>
              </w:numPr>
            </w:pPr>
            <w:bookmarkStart w:id="327" w:name="_Toc98763038"/>
            <w:bookmarkStart w:id="328" w:name="_Toc127733823"/>
            <w:bookmarkStart w:id="329" w:name="_Toc131164476"/>
            <w:bookmarkStart w:id="330" w:name="_Toc131591741"/>
            <w:bookmarkStart w:id="331" w:name="_Toc132743776"/>
            <w:r w:rsidRPr="002D37D5">
              <w:t>Note 2. Basis of Preparation of the Financial Statements</w:t>
            </w:r>
            <w:r w:rsidR="003E4058" w:rsidRPr="002D37D5">
              <w:t xml:space="preserve"> –</w:t>
            </w:r>
            <w:r w:rsidRPr="002D37D5">
              <w:t xml:space="preserve"> Continued</w:t>
            </w:r>
            <w:bookmarkEnd w:id="327"/>
            <w:bookmarkEnd w:id="328"/>
            <w:bookmarkEnd w:id="329"/>
            <w:bookmarkEnd w:id="330"/>
            <w:bookmarkEnd w:id="331"/>
            <w:r w:rsidR="003E4058" w:rsidRPr="002D37D5">
              <w:t xml:space="preserve"> </w:t>
            </w:r>
          </w:p>
        </w:tc>
      </w:tr>
      <w:tr w:rsidR="00837B44" w:rsidRPr="00CF7E1B" w14:paraId="41632920" w14:textId="77777777" w:rsidTr="00B513E5">
        <w:tc>
          <w:tcPr>
            <w:tcW w:w="745" w:type="pct"/>
            <w:tcBorders>
              <w:top w:val="nil"/>
              <w:left w:val="single" w:sz="2" w:space="0" w:color="auto"/>
              <w:bottom w:val="nil"/>
              <w:right w:val="single" w:sz="2" w:space="0" w:color="auto"/>
            </w:tcBorders>
          </w:tcPr>
          <w:p w14:paraId="722C1171" w14:textId="77777777" w:rsidR="00837B44" w:rsidRPr="007D393C" w:rsidRDefault="00837B44">
            <w:pPr>
              <w:pStyle w:val="TableReference"/>
              <w:tabs>
                <w:tab w:val="left" w:pos="3306"/>
              </w:tabs>
              <w:spacing w:before="60"/>
              <w:rPr>
                <w:rFonts w:cs="Calibri"/>
                <w:color w:val="auto"/>
                <w:sz w:val="14"/>
              </w:rPr>
            </w:pPr>
          </w:p>
        </w:tc>
        <w:tc>
          <w:tcPr>
            <w:tcW w:w="4255" w:type="pct"/>
            <w:tcBorders>
              <w:top w:val="nil"/>
              <w:left w:val="single" w:sz="2" w:space="0" w:color="auto"/>
              <w:bottom w:val="nil"/>
              <w:right w:val="nil"/>
            </w:tcBorders>
          </w:tcPr>
          <w:p w14:paraId="1FA6143D" w14:textId="25890458" w:rsidR="00837B44" w:rsidRPr="00020D40" w:rsidRDefault="004D22C6" w:rsidP="006B6955">
            <w:pPr>
              <w:jc w:val="both"/>
              <w:rPr>
                <w:sz w:val="18"/>
                <w:szCs w:val="18"/>
              </w:rPr>
            </w:pPr>
            <w:r w:rsidRPr="00020D40">
              <w:rPr>
                <w:rFonts w:cs="Calibri"/>
                <w:b/>
                <w:bCs/>
                <w:sz w:val="18"/>
                <w:szCs w:val="18"/>
              </w:rPr>
              <w:t>Accrual Accounting</w:t>
            </w:r>
          </w:p>
        </w:tc>
      </w:tr>
      <w:tr w:rsidR="004D22C6" w:rsidRPr="00CF7E1B" w14:paraId="6CA79737" w14:textId="77777777" w:rsidTr="00B513E5">
        <w:tc>
          <w:tcPr>
            <w:tcW w:w="745" w:type="pct"/>
            <w:tcBorders>
              <w:top w:val="nil"/>
              <w:left w:val="single" w:sz="2" w:space="0" w:color="auto"/>
              <w:bottom w:val="nil"/>
              <w:right w:val="single" w:sz="2" w:space="0" w:color="auto"/>
            </w:tcBorders>
          </w:tcPr>
          <w:p w14:paraId="398E7D6D" w14:textId="368CD5B2" w:rsidR="004D22C6" w:rsidRPr="00020D40" w:rsidRDefault="004D22C6">
            <w:pPr>
              <w:pStyle w:val="TableReference"/>
              <w:tabs>
                <w:tab w:val="left" w:pos="3306"/>
              </w:tabs>
              <w:spacing w:before="60"/>
              <w:rPr>
                <w:rFonts w:cs="Calibri"/>
                <w:color w:val="7030A0"/>
                <w:sz w:val="14"/>
              </w:rPr>
            </w:pPr>
            <w:r w:rsidRPr="00020D40">
              <w:rPr>
                <w:color w:val="7030A0"/>
                <w:sz w:val="14"/>
              </w:rPr>
              <w:t>AASB 101.27, AASB 101.17(a)</w:t>
            </w:r>
          </w:p>
        </w:tc>
        <w:tc>
          <w:tcPr>
            <w:tcW w:w="4255" w:type="pct"/>
            <w:tcBorders>
              <w:top w:val="nil"/>
              <w:left w:val="single" w:sz="2" w:space="0" w:color="auto"/>
              <w:bottom w:val="nil"/>
              <w:right w:val="nil"/>
            </w:tcBorders>
          </w:tcPr>
          <w:p w14:paraId="2A6E8315" w14:textId="4CD75DE7" w:rsidR="004D22C6" w:rsidRPr="00020D40" w:rsidRDefault="004D22C6" w:rsidP="004D22C6">
            <w:pPr>
              <w:spacing w:after="120"/>
              <w:jc w:val="both"/>
              <w:rPr>
                <w:iCs/>
                <w:sz w:val="18"/>
                <w:szCs w:val="18"/>
              </w:rPr>
            </w:pPr>
            <w:r w:rsidRPr="00020D40">
              <w:rPr>
                <w:iCs/>
                <w:sz w:val="18"/>
                <w:szCs w:val="18"/>
              </w:rPr>
              <w:t>The financial statements have been prepared using the accrual basis of accounting.</w:t>
            </w:r>
            <w:r w:rsidR="00FA7C77">
              <w:rPr>
                <w:iCs/>
                <w:sz w:val="18"/>
                <w:szCs w:val="18"/>
              </w:rPr>
              <w:t xml:space="preserve"> </w:t>
            </w:r>
            <w:r w:rsidRPr="00020D40">
              <w:rPr>
                <w:iCs/>
                <w:sz w:val="18"/>
                <w:szCs w:val="18"/>
              </w:rPr>
              <w:t>The financial statements are prepared according to historical cost convention, except for non-current assets held for sale, property, plant and equipment and financial instruments which are valued at fair value in accordance with (re)valuation policies applicable to the Agency during the reporting period</w:t>
            </w:r>
            <w:r w:rsidR="003F3191" w:rsidRPr="00020D40">
              <w:rPr>
                <w:iCs/>
                <w:sz w:val="18"/>
                <w:szCs w:val="18"/>
              </w:rPr>
              <w:t>.</w:t>
            </w:r>
          </w:p>
        </w:tc>
      </w:tr>
      <w:tr w:rsidR="003F3191" w:rsidRPr="00CF7E1B" w14:paraId="157CD552" w14:textId="77777777" w:rsidTr="00B513E5">
        <w:tc>
          <w:tcPr>
            <w:tcW w:w="745" w:type="pct"/>
            <w:tcBorders>
              <w:top w:val="nil"/>
              <w:left w:val="single" w:sz="2" w:space="0" w:color="auto"/>
              <w:bottom w:val="nil"/>
              <w:right w:val="single" w:sz="2" w:space="0" w:color="auto"/>
            </w:tcBorders>
          </w:tcPr>
          <w:p w14:paraId="5CF5C951" w14:textId="77777777" w:rsidR="003F3191" w:rsidRPr="00020D40" w:rsidRDefault="003F319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5C3918E4" w14:textId="178FAF23" w:rsidR="003F3191" w:rsidRPr="00020D40" w:rsidRDefault="003F3191" w:rsidP="006B6955">
            <w:pPr>
              <w:jc w:val="both"/>
              <w:rPr>
                <w:iCs/>
                <w:sz w:val="18"/>
                <w:szCs w:val="18"/>
              </w:rPr>
            </w:pPr>
            <w:r w:rsidRPr="00020D40">
              <w:rPr>
                <w:rFonts w:cs="Calibri"/>
                <w:b/>
                <w:bCs/>
                <w:sz w:val="18"/>
                <w:szCs w:val="18"/>
              </w:rPr>
              <w:t>Currency</w:t>
            </w:r>
          </w:p>
        </w:tc>
      </w:tr>
      <w:tr w:rsidR="004D22C6" w:rsidRPr="00CF7E1B" w14:paraId="5E9FCC2E" w14:textId="77777777" w:rsidTr="00B513E5">
        <w:tc>
          <w:tcPr>
            <w:tcW w:w="745" w:type="pct"/>
            <w:tcBorders>
              <w:top w:val="nil"/>
              <w:left w:val="single" w:sz="2" w:space="0" w:color="auto"/>
              <w:bottom w:val="nil"/>
              <w:right w:val="single" w:sz="2" w:space="0" w:color="auto"/>
            </w:tcBorders>
          </w:tcPr>
          <w:p w14:paraId="60831C72" w14:textId="536D73ED" w:rsidR="004D22C6" w:rsidRPr="00020D40" w:rsidRDefault="003F3191">
            <w:pPr>
              <w:pStyle w:val="TableReference"/>
              <w:tabs>
                <w:tab w:val="left" w:pos="3306"/>
              </w:tabs>
              <w:spacing w:before="60"/>
              <w:rPr>
                <w:rFonts w:cs="Calibri"/>
                <w:color w:val="7030A0"/>
                <w:sz w:val="14"/>
              </w:rPr>
            </w:pPr>
            <w:r w:rsidRPr="00020D40">
              <w:rPr>
                <w:color w:val="7030A0"/>
                <w:sz w:val="14"/>
              </w:rPr>
              <w:t>AASB 101.51(d)</w:t>
            </w:r>
          </w:p>
        </w:tc>
        <w:tc>
          <w:tcPr>
            <w:tcW w:w="4255" w:type="pct"/>
            <w:tcBorders>
              <w:top w:val="nil"/>
              <w:left w:val="single" w:sz="2" w:space="0" w:color="auto"/>
              <w:bottom w:val="nil"/>
              <w:right w:val="nil"/>
            </w:tcBorders>
          </w:tcPr>
          <w:p w14:paraId="20E725BF" w14:textId="23BA4DB1" w:rsidR="004D22C6" w:rsidRPr="00020D40" w:rsidRDefault="004D22C6" w:rsidP="003F3191">
            <w:pPr>
              <w:spacing w:after="120"/>
              <w:jc w:val="both"/>
              <w:rPr>
                <w:iCs/>
                <w:sz w:val="18"/>
                <w:szCs w:val="18"/>
              </w:rPr>
            </w:pPr>
            <w:r w:rsidRPr="00020D40">
              <w:rPr>
                <w:iCs/>
                <w:sz w:val="18"/>
                <w:szCs w:val="18"/>
              </w:rPr>
              <w:t>These financial statements are presented in Australian dollars, which is the Agency’s functional currency</w:t>
            </w:r>
            <w:r w:rsidR="003F3191" w:rsidRPr="00020D40">
              <w:rPr>
                <w:iCs/>
                <w:sz w:val="18"/>
                <w:szCs w:val="18"/>
              </w:rPr>
              <w:t>.</w:t>
            </w:r>
          </w:p>
        </w:tc>
      </w:tr>
      <w:tr w:rsidR="003F3191" w:rsidRPr="00CF7E1B" w14:paraId="5F7423F8" w14:textId="77777777" w:rsidTr="00B513E5">
        <w:tc>
          <w:tcPr>
            <w:tcW w:w="745" w:type="pct"/>
            <w:tcBorders>
              <w:top w:val="nil"/>
              <w:left w:val="single" w:sz="2" w:space="0" w:color="auto"/>
              <w:bottom w:val="nil"/>
              <w:right w:val="single" w:sz="2" w:space="0" w:color="auto"/>
            </w:tcBorders>
          </w:tcPr>
          <w:p w14:paraId="35604251" w14:textId="77777777" w:rsidR="003F3191" w:rsidRPr="00020D40" w:rsidRDefault="003F319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48DCF371" w14:textId="31C312F0" w:rsidR="003F3191" w:rsidRPr="00020D40" w:rsidRDefault="003F3191" w:rsidP="006B6955">
            <w:pPr>
              <w:jc w:val="both"/>
              <w:rPr>
                <w:iCs/>
                <w:sz w:val="18"/>
                <w:szCs w:val="18"/>
              </w:rPr>
            </w:pPr>
            <w:r w:rsidRPr="00020D40">
              <w:rPr>
                <w:rFonts w:cs="Calibri"/>
                <w:b/>
                <w:bCs/>
                <w:sz w:val="18"/>
                <w:szCs w:val="18"/>
              </w:rPr>
              <w:t>Individual Not-for-Profit Reporting Entity</w:t>
            </w:r>
          </w:p>
        </w:tc>
      </w:tr>
      <w:tr w:rsidR="004D22C6" w:rsidRPr="00CF7E1B" w14:paraId="18EE6E29" w14:textId="77777777" w:rsidTr="00B513E5">
        <w:tc>
          <w:tcPr>
            <w:tcW w:w="745" w:type="pct"/>
            <w:tcBorders>
              <w:top w:val="nil"/>
              <w:left w:val="single" w:sz="2" w:space="0" w:color="auto"/>
              <w:bottom w:val="nil"/>
              <w:right w:val="single" w:sz="2" w:space="0" w:color="auto"/>
            </w:tcBorders>
          </w:tcPr>
          <w:p w14:paraId="0ED4C0AA" w14:textId="36E61AFA" w:rsidR="004D22C6" w:rsidRPr="00020D40" w:rsidRDefault="003F3191">
            <w:pPr>
              <w:pStyle w:val="TableReference"/>
              <w:tabs>
                <w:tab w:val="left" w:pos="3306"/>
              </w:tabs>
              <w:spacing w:before="60"/>
              <w:rPr>
                <w:rFonts w:cs="Calibri"/>
                <w:color w:val="7030A0"/>
                <w:sz w:val="14"/>
              </w:rPr>
            </w:pPr>
            <w:r w:rsidRPr="00020D40">
              <w:rPr>
                <w:color w:val="7030A0"/>
                <w:sz w:val="14"/>
              </w:rPr>
              <w:t>AASB 101.51(b), AASB 1054.8(b)</w:t>
            </w:r>
          </w:p>
        </w:tc>
        <w:tc>
          <w:tcPr>
            <w:tcW w:w="4255" w:type="pct"/>
            <w:tcBorders>
              <w:top w:val="nil"/>
              <w:left w:val="single" w:sz="2" w:space="0" w:color="auto"/>
              <w:bottom w:val="nil"/>
              <w:right w:val="nil"/>
            </w:tcBorders>
            <w:vAlign w:val="center"/>
          </w:tcPr>
          <w:p w14:paraId="12EFE9F1" w14:textId="7A189E39" w:rsidR="004D22C6" w:rsidRPr="00020D40" w:rsidRDefault="004D22C6" w:rsidP="006A4081">
            <w:pPr>
              <w:spacing w:after="120"/>
              <w:rPr>
                <w:iCs/>
                <w:sz w:val="18"/>
                <w:szCs w:val="18"/>
              </w:rPr>
            </w:pPr>
            <w:r w:rsidRPr="00A02D04">
              <w:rPr>
                <w:iCs/>
                <w:strike/>
                <w:color w:val="FF0000"/>
                <w:sz w:val="18"/>
                <w:szCs w:val="18"/>
              </w:rPr>
              <w:t>Example Agency</w:t>
            </w:r>
            <w:r w:rsidRPr="00A02D04">
              <w:rPr>
                <w:iCs/>
                <w:color w:val="FF0000"/>
                <w:sz w:val="18"/>
                <w:szCs w:val="18"/>
              </w:rPr>
              <w:t xml:space="preserve"> </w:t>
            </w:r>
            <w:r w:rsidR="00A02D04" w:rsidRPr="00A02D04">
              <w:rPr>
                <w:iCs/>
                <w:color w:val="FF0000"/>
                <w:sz w:val="18"/>
                <w:szCs w:val="18"/>
              </w:rPr>
              <w:t>‘Burley Griffin Agency’</w:t>
            </w:r>
            <w:r w:rsidR="00A02D04">
              <w:rPr>
                <w:iCs/>
                <w:sz w:val="18"/>
                <w:szCs w:val="18"/>
              </w:rPr>
              <w:t xml:space="preserve"> </w:t>
            </w:r>
            <w:r w:rsidRPr="00020D40">
              <w:rPr>
                <w:iCs/>
                <w:sz w:val="18"/>
                <w:szCs w:val="18"/>
              </w:rPr>
              <w:t>is an individual not-for-profit reporting entity.</w:t>
            </w:r>
          </w:p>
        </w:tc>
      </w:tr>
      <w:tr w:rsidR="00837B44" w:rsidRPr="00CF7E1B" w14:paraId="5894E2CE" w14:textId="77777777" w:rsidTr="00B513E5">
        <w:tc>
          <w:tcPr>
            <w:tcW w:w="745" w:type="pct"/>
            <w:tcBorders>
              <w:top w:val="nil"/>
              <w:left w:val="single" w:sz="2" w:space="0" w:color="auto"/>
              <w:bottom w:val="nil"/>
              <w:right w:val="single" w:sz="2" w:space="0" w:color="auto"/>
            </w:tcBorders>
          </w:tcPr>
          <w:p w14:paraId="4D2F2C4E" w14:textId="77777777" w:rsidR="00837B44" w:rsidRPr="00020D40" w:rsidRDefault="00837B44">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5C38368" w14:textId="3DCC2D3E" w:rsidR="00837B44" w:rsidRPr="00020D40" w:rsidRDefault="003F3191" w:rsidP="006B6955">
            <w:pPr>
              <w:jc w:val="both"/>
              <w:rPr>
                <w:sz w:val="18"/>
                <w:szCs w:val="18"/>
              </w:rPr>
            </w:pPr>
            <w:r w:rsidRPr="00020D40">
              <w:rPr>
                <w:rFonts w:cs="Calibri"/>
                <w:b/>
                <w:bCs/>
                <w:sz w:val="18"/>
                <w:szCs w:val="18"/>
              </w:rPr>
              <w:t>Controlled and Territorial Items</w:t>
            </w:r>
          </w:p>
        </w:tc>
      </w:tr>
      <w:tr w:rsidR="003F3191" w:rsidRPr="00CF7E1B" w14:paraId="5D622639" w14:textId="77777777" w:rsidTr="00B513E5">
        <w:tc>
          <w:tcPr>
            <w:tcW w:w="745" w:type="pct"/>
            <w:tcBorders>
              <w:top w:val="nil"/>
              <w:left w:val="single" w:sz="2" w:space="0" w:color="auto"/>
              <w:bottom w:val="nil"/>
              <w:right w:val="single" w:sz="2" w:space="0" w:color="auto"/>
            </w:tcBorders>
          </w:tcPr>
          <w:p w14:paraId="4870AA49" w14:textId="77777777" w:rsidR="003F3191" w:rsidRPr="00020D40" w:rsidRDefault="003F3191">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5418398" w14:textId="682D98A4" w:rsidR="003F3191" w:rsidRPr="00020D40" w:rsidRDefault="003F3191" w:rsidP="00E16D69">
            <w:pPr>
              <w:spacing w:after="120"/>
              <w:jc w:val="both"/>
              <w:rPr>
                <w:sz w:val="18"/>
                <w:szCs w:val="18"/>
              </w:rPr>
            </w:pPr>
            <w:r w:rsidRPr="00020D40">
              <w:rPr>
                <w:iCs/>
                <w:sz w:val="18"/>
                <w:szCs w:val="18"/>
              </w:rPr>
              <w:t>The Agency produces Controlled and Territorial financial statements.</w:t>
            </w:r>
            <w:r w:rsidR="00FA7C77">
              <w:rPr>
                <w:iCs/>
                <w:sz w:val="18"/>
                <w:szCs w:val="18"/>
              </w:rPr>
              <w:t xml:space="preserve"> </w:t>
            </w:r>
            <w:r w:rsidRPr="00020D40">
              <w:rPr>
                <w:iCs/>
                <w:sz w:val="18"/>
                <w:szCs w:val="18"/>
              </w:rPr>
              <w:t>The Controlled financial statements include income, expenses, assets and liabilities over which the Agency has control.</w:t>
            </w:r>
            <w:r w:rsidR="00FA7C77">
              <w:rPr>
                <w:iCs/>
                <w:sz w:val="18"/>
                <w:szCs w:val="18"/>
              </w:rPr>
              <w:t xml:space="preserve"> </w:t>
            </w:r>
            <w:r w:rsidRPr="00020D40">
              <w:rPr>
                <w:iCs/>
                <w:sz w:val="18"/>
                <w:szCs w:val="18"/>
              </w:rPr>
              <w:t>The Territorial financial statements include income, expenses, assets and liabilities that the Agency administers on behalf of the ACT Government, but does not control.</w:t>
            </w:r>
          </w:p>
        </w:tc>
      </w:tr>
      <w:tr w:rsidR="00E16D69" w:rsidRPr="00CF7E1B" w14:paraId="799F37C7" w14:textId="77777777" w:rsidTr="00B513E5">
        <w:tc>
          <w:tcPr>
            <w:tcW w:w="745" w:type="pct"/>
            <w:tcBorders>
              <w:top w:val="nil"/>
              <w:left w:val="single" w:sz="2" w:space="0" w:color="auto"/>
              <w:bottom w:val="nil"/>
              <w:right w:val="single" w:sz="2" w:space="0" w:color="auto"/>
            </w:tcBorders>
          </w:tcPr>
          <w:p w14:paraId="3021D12A" w14:textId="77777777" w:rsidR="00E16D69" w:rsidRPr="00020D40" w:rsidRDefault="00E16D69">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1C6213D3" w14:textId="24F2810E" w:rsidR="00E16D69" w:rsidRPr="00020D40" w:rsidRDefault="00E16D69" w:rsidP="00E16D69">
            <w:pPr>
              <w:spacing w:after="120"/>
              <w:jc w:val="both"/>
              <w:rPr>
                <w:iCs/>
                <w:sz w:val="18"/>
                <w:szCs w:val="18"/>
              </w:rPr>
            </w:pPr>
            <w:r w:rsidRPr="00020D40">
              <w:rPr>
                <w:iCs/>
                <w:sz w:val="18"/>
                <w:szCs w:val="18"/>
              </w:rPr>
              <w:t xml:space="preserve">The purpose of the distinction between Controlled and Territorial is to enable an assessment of the Agency’s performance against the decisions it has made in relation to the resources it controls, while maintaining accountability for all resources under its responsibility. </w:t>
            </w:r>
          </w:p>
        </w:tc>
      </w:tr>
      <w:tr w:rsidR="00E16D69" w:rsidRPr="00CF7E1B" w14:paraId="50331EEA" w14:textId="77777777" w:rsidTr="00B513E5">
        <w:tc>
          <w:tcPr>
            <w:tcW w:w="745" w:type="pct"/>
            <w:tcBorders>
              <w:top w:val="nil"/>
              <w:left w:val="single" w:sz="2" w:space="0" w:color="auto"/>
              <w:bottom w:val="nil"/>
              <w:right w:val="single" w:sz="2" w:space="0" w:color="auto"/>
            </w:tcBorders>
          </w:tcPr>
          <w:p w14:paraId="0A49270E" w14:textId="77777777" w:rsidR="00E16D69" w:rsidRPr="00020D40" w:rsidRDefault="00E16D69">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336BF8C3" w14:textId="0677B2AA" w:rsidR="00E16D69" w:rsidRPr="00020D40" w:rsidRDefault="00E16D69" w:rsidP="006E5FFB">
            <w:pPr>
              <w:spacing w:after="120"/>
              <w:jc w:val="both"/>
              <w:rPr>
                <w:iCs/>
                <w:sz w:val="18"/>
                <w:szCs w:val="18"/>
              </w:rPr>
            </w:pPr>
            <w:r w:rsidRPr="00020D40">
              <w:rPr>
                <w:iCs/>
                <w:sz w:val="18"/>
                <w:szCs w:val="18"/>
              </w:rPr>
              <w:t>The basis of preparation described applies to both Controlled and Territorial financial statements except where specified otherwise</w:t>
            </w:r>
            <w:r w:rsidR="00A230E9" w:rsidRPr="00020D40">
              <w:rPr>
                <w:iCs/>
                <w:sz w:val="18"/>
                <w:szCs w:val="18"/>
              </w:rPr>
              <w:t>.</w:t>
            </w:r>
          </w:p>
        </w:tc>
      </w:tr>
      <w:tr w:rsidR="003F3191" w:rsidRPr="00CF7E1B" w14:paraId="6EADE92E" w14:textId="77777777" w:rsidTr="00B513E5">
        <w:tc>
          <w:tcPr>
            <w:tcW w:w="745" w:type="pct"/>
            <w:tcBorders>
              <w:top w:val="nil"/>
              <w:left w:val="single" w:sz="2" w:space="0" w:color="auto"/>
              <w:bottom w:val="nil"/>
              <w:right w:val="single" w:sz="2" w:space="0" w:color="auto"/>
            </w:tcBorders>
          </w:tcPr>
          <w:p w14:paraId="2D221BEE" w14:textId="77777777" w:rsidR="003F3191" w:rsidRPr="00020D40" w:rsidRDefault="003F3191">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10963CF9" w14:textId="3C44E327" w:rsidR="003F3191" w:rsidRPr="00020D40" w:rsidRDefault="006F09CF" w:rsidP="00837B44">
            <w:pPr>
              <w:jc w:val="both"/>
              <w:rPr>
                <w:sz w:val="18"/>
                <w:szCs w:val="18"/>
              </w:rPr>
            </w:pPr>
            <w:r w:rsidRPr="00020D40">
              <w:rPr>
                <w:rFonts w:cs="Calibri"/>
                <w:b/>
                <w:bCs/>
                <w:sz w:val="18"/>
                <w:szCs w:val="18"/>
              </w:rPr>
              <w:t>Reporting Period</w:t>
            </w:r>
          </w:p>
        </w:tc>
      </w:tr>
      <w:tr w:rsidR="003F3191" w:rsidRPr="00CF7E1B" w14:paraId="26D9D1FC" w14:textId="77777777" w:rsidTr="00B513E5">
        <w:tc>
          <w:tcPr>
            <w:tcW w:w="745" w:type="pct"/>
            <w:tcBorders>
              <w:top w:val="nil"/>
              <w:left w:val="single" w:sz="2" w:space="0" w:color="auto"/>
              <w:bottom w:val="nil"/>
              <w:right w:val="single" w:sz="2" w:space="0" w:color="auto"/>
            </w:tcBorders>
          </w:tcPr>
          <w:p w14:paraId="3960BD52" w14:textId="77E5368A" w:rsidR="003F3191" w:rsidRPr="00020D40" w:rsidRDefault="006F09CF">
            <w:pPr>
              <w:pStyle w:val="TableReference"/>
              <w:tabs>
                <w:tab w:val="left" w:pos="3306"/>
              </w:tabs>
              <w:spacing w:before="60"/>
              <w:rPr>
                <w:rFonts w:cs="Calibri"/>
                <w:color w:val="7030A0"/>
                <w:sz w:val="14"/>
              </w:rPr>
            </w:pPr>
            <w:r w:rsidRPr="00020D40">
              <w:rPr>
                <w:color w:val="7030A0"/>
                <w:sz w:val="14"/>
              </w:rPr>
              <w:t>AASB 101.51(c)</w:t>
            </w:r>
          </w:p>
        </w:tc>
        <w:tc>
          <w:tcPr>
            <w:tcW w:w="4255" w:type="pct"/>
            <w:tcBorders>
              <w:top w:val="nil"/>
              <w:left w:val="single" w:sz="2" w:space="0" w:color="auto"/>
              <w:bottom w:val="nil"/>
              <w:right w:val="nil"/>
            </w:tcBorders>
          </w:tcPr>
          <w:p w14:paraId="4F4BB7DF" w14:textId="19EBC4EB" w:rsidR="003F3191" w:rsidRPr="00020D40" w:rsidRDefault="006F09CF" w:rsidP="006E5FFB">
            <w:pPr>
              <w:spacing w:after="120"/>
              <w:jc w:val="both"/>
              <w:rPr>
                <w:iCs/>
                <w:sz w:val="18"/>
                <w:szCs w:val="18"/>
              </w:rPr>
            </w:pPr>
            <w:r w:rsidRPr="00020D40">
              <w:rPr>
                <w:iCs/>
                <w:sz w:val="18"/>
                <w:szCs w:val="18"/>
              </w:rPr>
              <w:t xml:space="preserve">These financial statements state the financial performance, changes in equity and cash flows of the Agency for the year ended 30 June </w:t>
            </w:r>
            <w:r w:rsidR="007D393C" w:rsidRPr="00020D40">
              <w:rPr>
                <w:iCs/>
                <w:sz w:val="18"/>
                <w:szCs w:val="18"/>
              </w:rPr>
              <w:t>202</w:t>
            </w:r>
            <w:r w:rsidR="00826627">
              <w:rPr>
                <w:iCs/>
                <w:sz w:val="18"/>
                <w:szCs w:val="18"/>
              </w:rPr>
              <w:t>3</w:t>
            </w:r>
            <w:r w:rsidRPr="00020D40">
              <w:rPr>
                <w:iCs/>
                <w:sz w:val="18"/>
                <w:szCs w:val="18"/>
              </w:rPr>
              <w:t xml:space="preserve"> together with the financial position of the Agency as at 30 June </w:t>
            </w:r>
            <w:r w:rsidR="007D393C" w:rsidRPr="00020D40">
              <w:rPr>
                <w:iCs/>
                <w:sz w:val="18"/>
                <w:szCs w:val="18"/>
              </w:rPr>
              <w:t>202</w:t>
            </w:r>
            <w:r w:rsidR="00826627">
              <w:rPr>
                <w:iCs/>
                <w:sz w:val="18"/>
                <w:szCs w:val="18"/>
              </w:rPr>
              <w:t>3</w:t>
            </w:r>
            <w:r w:rsidRPr="00020D40">
              <w:rPr>
                <w:iCs/>
                <w:sz w:val="18"/>
                <w:szCs w:val="18"/>
              </w:rPr>
              <w:t>.</w:t>
            </w:r>
          </w:p>
        </w:tc>
      </w:tr>
      <w:tr w:rsidR="003F3191" w:rsidRPr="00CF7E1B" w14:paraId="7A65430E" w14:textId="77777777" w:rsidTr="00B513E5">
        <w:tc>
          <w:tcPr>
            <w:tcW w:w="745" w:type="pct"/>
            <w:tcBorders>
              <w:top w:val="nil"/>
              <w:left w:val="single" w:sz="2" w:space="0" w:color="auto"/>
              <w:bottom w:val="nil"/>
              <w:right w:val="single" w:sz="2" w:space="0" w:color="auto"/>
            </w:tcBorders>
          </w:tcPr>
          <w:p w14:paraId="5DE1CC01" w14:textId="77777777" w:rsidR="003F3191" w:rsidRPr="00020D40" w:rsidRDefault="003F3191">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3A5C1A2F" w14:textId="007F8412" w:rsidR="003F3191" w:rsidRPr="00020D40" w:rsidRDefault="006F09CF" w:rsidP="00837B44">
            <w:pPr>
              <w:jc w:val="both"/>
              <w:rPr>
                <w:sz w:val="18"/>
                <w:szCs w:val="18"/>
              </w:rPr>
            </w:pPr>
            <w:r w:rsidRPr="00020D40">
              <w:rPr>
                <w:rFonts w:cs="Calibri"/>
                <w:b/>
                <w:bCs/>
                <w:sz w:val="18"/>
                <w:szCs w:val="18"/>
              </w:rPr>
              <w:t>Comparative Figures</w:t>
            </w:r>
          </w:p>
        </w:tc>
      </w:tr>
      <w:tr w:rsidR="006F09CF" w:rsidRPr="00CF7E1B" w14:paraId="5239E979" w14:textId="77777777" w:rsidTr="00B513E5">
        <w:tc>
          <w:tcPr>
            <w:tcW w:w="745" w:type="pct"/>
            <w:tcBorders>
              <w:top w:val="nil"/>
              <w:left w:val="single" w:sz="2" w:space="0" w:color="auto"/>
              <w:bottom w:val="nil"/>
              <w:right w:val="single" w:sz="2" w:space="0" w:color="auto"/>
            </w:tcBorders>
          </w:tcPr>
          <w:p w14:paraId="23EACA7A" w14:textId="77777777" w:rsidR="006F09CF" w:rsidRPr="00020D40" w:rsidRDefault="006F09CF">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01667241" w14:textId="1E5B781E" w:rsidR="006F09CF" w:rsidRPr="00020D40" w:rsidRDefault="006F09CF" w:rsidP="00837B44">
            <w:pPr>
              <w:jc w:val="both"/>
              <w:rPr>
                <w:i/>
                <w:iCs/>
                <w:sz w:val="18"/>
                <w:szCs w:val="18"/>
              </w:rPr>
            </w:pPr>
            <w:r w:rsidRPr="00020D40">
              <w:rPr>
                <w:i/>
                <w:iCs/>
                <w:sz w:val="18"/>
                <w:szCs w:val="18"/>
              </w:rPr>
              <w:t>Budget Figures</w:t>
            </w:r>
          </w:p>
        </w:tc>
      </w:tr>
      <w:tr w:rsidR="006F09CF" w:rsidRPr="00CF7E1B" w14:paraId="129E5C46" w14:textId="77777777" w:rsidTr="00B513E5">
        <w:tc>
          <w:tcPr>
            <w:tcW w:w="745" w:type="pct"/>
            <w:tcBorders>
              <w:top w:val="nil"/>
              <w:left w:val="single" w:sz="2" w:space="0" w:color="auto"/>
              <w:bottom w:val="nil"/>
              <w:right w:val="single" w:sz="2" w:space="0" w:color="auto"/>
            </w:tcBorders>
          </w:tcPr>
          <w:p w14:paraId="0738AC29" w14:textId="0020ECAB" w:rsidR="006F09CF" w:rsidRPr="00020D40" w:rsidRDefault="006F09CF">
            <w:pPr>
              <w:pStyle w:val="TableReference"/>
              <w:tabs>
                <w:tab w:val="left" w:pos="3306"/>
              </w:tabs>
              <w:spacing w:before="60"/>
              <w:rPr>
                <w:rFonts w:cs="Calibri"/>
                <w:color w:val="7030A0"/>
                <w:sz w:val="14"/>
              </w:rPr>
            </w:pPr>
            <w:r w:rsidRPr="00020D40">
              <w:rPr>
                <w:color w:val="7030A0"/>
                <w:sz w:val="14"/>
              </w:rPr>
              <w:t>FMA 27(2) &amp; 63(2)</w:t>
            </w:r>
          </w:p>
        </w:tc>
        <w:tc>
          <w:tcPr>
            <w:tcW w:w="4255" w:type="pct"/>
            <w:tcBorders>
              <w:top w:val="nil"/>
              <w:left w:val="single" w:sz="2" w:space="0" w:color="auto"/>
              <w:bottom w:val="nil"/>
              <w:right w:val="nil"/>
            </w:tcBorders>
          </w:tcPr>
          <w:p w14:paraId="0D714CD8" w14:textId="1A919ACE" w:rsidR="00A230E9" w:rsidRPr="00020D40" w:rsidRDefault="00A230E9" w:rsidP="007E174D">
            <w:pPr>
              <w:spacing w:after="60"/>
              <w:jc w:val="both"/>
              <w:rPr>
                <w:sz w:val="18"/>
                <w:szCs w:val="18"/>
              </w:rPr>
            </w:pPr>
            <w:r w:rsidRPr="00020D40">
              <w:rPr>
                <w:sz w:val="18"/>
                <w:szCs w:val="18"/>
              </w:rPr>
              <w:t>WORDING FOR DIRECTO</w:t>
            </w:r>
            <w:r w:rsidR="008E62D1">
              <w:rPr>
                <w:sz w:val="18"/>
                <w:szCs w:val="18"/>
              </w:rPr>
              <w:t>R</w:t>
            </w:r>
            <w:r w:rsidRPr="00020D40">
              <w:rPr>
                <w:sz w:val="18"/>
                <w:szCs w:val="18"/>
              </w:rPr>
              <w:t>ATES [</w:t>
            </w:r>
            <w:r w:rsidR="006F09CF" w:rsidRPr="00020D40">
              <w:rPr>
                <w:sz w:val="18"/>
                <w:szCs w:val="18"/>
              </w:rPr>
              <w:t xml:space="preserve">To facilitate a comparison with the Budget Papers, as required by the FMA, budget information for </w:t>
            </w:r>
            <w:r w:rsidR="007D393C" w:rsidRPr="00020D40">
              <w:rPr>
                <w:sz w:val="18"/>
                <w:szCs w:val="18"/>
              </w:rPr>
              <w:t>202</w:t>
            </w:r>
            <w:r w:rsidR="00826627">
              <w:rPr>
                <w:sz w:val="18"/>
                <w:szCs w:val="18"/>
              </w:rPr>
              <w:t>2</w:t>
            </w:r>
            <w:r w:rsidR="007D393C" w:rsidRPr="00020D40">
              <w:rPr>
                <w:sz w:val="18"/>
                <w:szCs w:val="18"/>
              </w:rPr>
              <w:t>-2</w:t>
            </w:r>
            <w:r w:rsidR="00826627">
              <w:rPr>
                <w:sz w:val="18"/>
                <w:szCs w:val="18"/>
              </w:rPr>
              <w:t>3</w:t>
            </w:r>
            <w:r w:rsidR="007D393C" w:rsidRPr="00020D40">
              <w:rPr>
                <w:sz w:val="18"/>
                <w:szCs w:val="18"/>
              </w:rPr>
              <w:t xml:space="preserve"> </w:t>
            </w:r>
            <w:r w:rsidR="006F09CF" w:rsidRPr="00020D40">
              <w:rPr>
                <w:sz w:val="18"/>
                <w:szCs w:val="18"/>
              </w:rPr>
              <w:t>has been presented in the financial statements.</w:t>
            </w:r>
            <w:r w:rsidR="00FA7C77">
              <w:rPr>
                <w:sz w:val="18"/>
                <w:szCs w:val="18"/>
              </w:rPr>
              <w:t xml:space="preserve"> </w:t>
            </w:r>
            <w:r w:rsidR="006F09CF" w:rsidRPr="00020D40">
              <w:rPr>
                <w:sz w:val="18"/>
                <w:szCs w:val="18"/>
              </w:rPr>
              <w:t>Budget numbers in the financial statements are the original budget numbers that appear in the Budget Papers.</w:t>
            </w:r>
            <w:r w:rsidRPr="00020D40">
              <w:rPr>
                <w:sz w:val="18"/>
                <w:szCs w:val="18"/>
              </w:rPr>
              <w:t>]</w:t>
            </w:r>
            <w:r w:rsidR="00FA7C77">
              <w:rPr>
                <w:sz w:val="18"/>
                <w:szCs w:val="18"/>
              </w:rPr>
              <w:t xml:space="preserve"> </w:t>
            </w:r>
          </w:p>
          <w:p w14:paraId="24314E87" w14:textId="481D6AF5" w:rsidR="006F09CF" w:rsidRPr="008E62D1" w:rsidRDefault="00A230E9" w:rsidP="007E174D">
            <w:pPr>
              <w:spacing w:after="60"/>
              <w:jc w:val="both"/>
              <w:rPr>
                <w:color w:val="2E74B5" w:themeColor="accent1" w:themeShade="BF"/>
                <w:sz w:val="18"/>
                <w:szCs w:val="18"/>
              </w:rPr>
            </w:pPr>
            <w:r w:rsidRPr="00020D40">
              <w:rPr>
                <w:color w:val="2E74B5" w:themeColor="accent1" w:themeShade="BF"/>
                <w:sz w:val="18"/>
                <w:szCs w:val="18"/>
              </w:rPr>
              <w:t>WORDING FOR TERRITORY AUTHORITIES [To facilitate a comparison with the Budget Papers, as required by the FMA, budget information for 202</w:t>
            </w:r>
            <w:r w:rsidR="00826627">
              <w:rPr>
                <w:color w:val="2E74B5" w:themeColor="accent1" w:themeShade="BF"/>
                <w:sz w:val="18"/>
                <w:szCs w:val="18"/>
              </w:rPr>
              <w:t>2</w:t>
            </w:r>
            <w:r w:rsidRPr="00020D40">
              <w:rPr>
                <w:color w:val="2E74B5" w:themeColor="accent1" w:themeShade="BF"/>
                <w:sz w:val="18"/>
                <w:szCs w:val="18"/>
              </w:rPr>
              <w:t>-2</w:t>
            </w:r>
            <w:r w:rsidR="00826627">
              <w:rPr>
                <w:color w:val="2E74B5" w:themeColor="accent1" w:themeShade="BF"/>
                <w:sz w:val="18"/>
                <w:szCs w:val="18"/>
              </w:rPr>
              <w:t>3</w:t>
            </w:r>
            <w:r w:rsidRPr="00020D40">
              <w:rPr>
                <w:color w:val="2E74B5" w:themeColor="accent1" w:themeShade="BF"/>
                <w:sz w:val="18"/>
                <w:szCs w:val="18"/>
              </w:rPr>
              <w:t xml:space="preserve"> has been presented in the financial statements.</w:t>
            </w:r>
            <w:r w:rsidR="00FA7C77">
              <w:rPr>
                <w:color w:val="2E74B5" w:themeColor="accent1" w:themeShade="BF"/>
                <w:sz w:val="18"/>
                <w:szCs w:val="18"/>
              </w:rPr>
              <w:t xml:space="preserve"> </w:t>
            </w:r>
            <w:r w:rsidRPr="00020D40">
              <w:rPr>
                <w:color w:val="2E74B5" w:themeColor="accent1" w:themeShade="BF"/>
                <w:sz w:val="18"/>
                <w:szCs w:val="18"/>
              </w:rPr>
              <w:t>Budget numbers in the financial statements are the original budget numbers that appear in the Statement of Intent.]</w:t>
            </w:r>
          </w:p>
        </w:tc>
      </w:tr>
      <w:tr w:rsidR="006F09CF" w:rsidRPr="00CF7E1B" w14:paraId="5698DA34" w14:textId="77777777" w:rsidTr="00B513E5">
        <w:tc>
          <w:tcPr>
            <w:tcW w:w="745" w:type="pct"/>
            <w:tcBorders>
              <w:top w:val="nil"/>
              <w:left w:val="single" w:sz="2" w:space="0" w:color="auto"/>
              <w:bottom w:val="nil"/>
              <w:right w:val="single" w:sz="2" w:space="0" w:color="auto"/>
            </w:tcBorders>
          </w:tcPr>
          <w:p w14:paraId="28FC2651" w14:textId="77777777" w:rsidR="006F09CF" w:rsidRPr="00020D40" w:rsidRDefault="006F09CF">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6C56BCE0" w14:textId="4022CD07" w:rsidR="006F09CF" w:rsidRPr="00020D40" w:rsidRDefault="006F09CF" w:rsidP="006F09CF">
            <w:pPr>
              <w:jc w:val="both"/>
              <w:rPr>
                <w:i/>
                <w:iCs/>
                <w:sz w:val="18"/>
                <w:szCs w:val="18"/>
              </w:rPr>
            </w:pPr>
            <w:r w:rsidRPr="00020D40">
              <w:rPr>
                <w:i/>
                <w:iCs/>
                <w:sz w:val="18"/>
                <w:szCs w:val="18"/>
              </w:rPr>
              <w:t>Prior Year Comparatives</w:t>
            </w:r>
          </w:p>
        </w:tc>
      </w:tr>
      <w:tr w:rsidR="006F09CF" w:rsidRPr="00CF7E1B" w14:paraId="7A62191F" w14:textId="77777777" w:rsidTr="00B513E5">
        <w:tc>
          <w:tcPr>
            <w:tcW w:w="745" w:type="pct"/>
            <w:tcBorders>
              <w:top w:val="nil"/>
              <w:left w:val="single" w:sz="2" w:space="0" w:color="auto"/>
              <w:bottom w:val="nil"/>
              <w:right w:val="single" w:sz="2" w:space="0" w:color="auto"/>
            </w:tcBorders>
          </w:tcPr>
          <w:p w14:paraId="4CF7EBA3" w14:textId="77777777" w:rsidR="006F09CF" w:rsidRPr="00020D40" w:rsidRDefault="006F09CF" w:rsidP="006F09CF">
            <w:pPr>
              <w:pStyle w:val="TableReference"/>
              <w:tabs>
                <w:tab w:val="left" w:pos="3306"/>
              </w:tabs>
              <w:rPr>
                <w:color w:val="7030A0"/>
                <w:sz w:val="14"/>
              </w:rPr>
            </w:pPr>
            <w:r w:rsidRPr="00020D40">
              <w:rPr>
                <w:color w:val="7030A0"/>
                <w:sz w:val="14"/>
              </w:rPr>
              <w:t xml:space="preserve">AASB 101.38 </w:t>
            </w:r>
          </w:p>
          <w:p w14:paraId="273FAF54" w14:textId="77777777" w:rsidR="00AE0B56" w:rsidRPr="00020D40" w:rsidRDefault="00AE0B56" w:rsidP="006F09CF">
            <w:pPr>
              <w:pStyle w:val="TableReference"/>
              <w:tabs>
                <w:tab w:val="left" w:pos="3306"/>
              </w:tabs>
              <w:rPr>
                <w:color w:val="7030A0"/>
                <w:sz w:val="14"/>
              </w:rPr>
            </w:pPr>
          </w:p>
          <w:p w14:paraId="55B205D1" w14:textId="63D7FCC2" w:rsidR="006F09CF" w:rsidRPr="00020D40" w:rsidRDefault="006F09CF" w:rsidP="006F09CF">
            <w:pPr>
              <w:pStyle w:val="TableReference"/>
              <w:tabs>
                <w:tab w:val="left" w:pos="3306"/>
              </w:tabs>
              <w:rPr>
                <w:rFonts w:cs="Calibri"/>
                <w:color w:val="7030A0"/>
                <w:sz w:val="14"/>
              </w:rPr>
            </w:pPr>
          </w:p>
        </w:tc>
        <w:tc>
          <w:tcPr>
            <w:tcW w:w="4255" w:type="pct"/>
            <w:tcBorders>
              <w:top w:val="nil"/>
              <w:left w:val="single" w:sz="2" w:space="0" w:color="auto"/>
              <w:bottom w:val="nil"/>
              <w:right w:val="nil"/>
            </w:tcBorders>
          </w:tcPr>
          <w:p w14:paraId="2995FEF0" w14:textId="088ED253" w:rsidR="006F09CF" w:rsidRPr="00020D40" w:rsidRDefault="006F09CF" w:rsidP="007E174D">
            <w:pPr>
              <w:spacing w:after="60"/>
              <w:jc w:val="both"/>
              <w:rPr>
                <w:sz w:val="18"/>
                <w:szCs w:val="18"/>
              </w:rPr>
            </w:pPr>
            <w:r w:rsidRPr="00020D40">
              <w:rPr>
                <w:sz w:val="18"/>
                <w:szCs w:val="18"/>
              </w:rPr>
              <w:t xml:space="preserve">Comparative information has been disclosed in respect of the previous period for amounts reported in the financial statements, except where an Australian Accounting Standard does not require comparative information to be disclosed. </w:t>
            </w:r>
          </w:p>
        </w:tc>
      </w:tr>
      <w:tr w:rsidR="00E16D69" w:rsidRPr="00CF7E1B" w14:paraId="1548E1E6" w14:textId="77777777" w:rsidTr="00B513E5">
        <w:tc>
          <w:tcPr>
            <w:tcW w:w="745" w:type="pct"/>
            <w:tcBorders>
              <w:top w:val="nil"/>
              <w:left w:val="single" w:sz="2" w:space="0" w:color="auto"/>
              <w:bottom w:val="nil"/>
              <w:right w:val="single" w:sz="2" w:space="0" w:color="auto"/>
            </w:tcBorders>
          </w:tcPr>
          <w:p w14:paraId="2AB797BE" w14:textId="77777777" w:rsidR="00E16D69" w:rsidRPr="00020D40" w:rsidRDefault="00E16D69" w:rsidP="00E16D69">
            <w:pPr>
              <w:pStyle w:val="TableReference"/>
              <w:tabs>
                <w:tab w:val="left" w:pos="3306"/>
              </w:tabs>
              <w:rPr>
                <w:color w:val="7030A0"/>
                <w:sz w:val="14"/>
              </w:rPr>
            </w:pPr>
            <w:r w:rsidRPr="00020D40">
              <w:rPr>
                <w:color w:val="7030A0"/>
                <w:sz w:val="14"/>
              </w:rPr>
              <w:t xml:space="preserve">AASB 101.41 </w:t>
            </w:r>
          </w:p>
          <w:p w14:paraId="1241EB56" w14:textId="77777777" w:rsidR="00E16D69" w:rsidRPr="00020D40" w:rsidRDefault="00E16D69" w:rsidP="006F09CF">
            <w:pPr>
              <w:pStyle w:val="TableReference"/>
              <w:tabs>
                <w:tab w:val="left" w:pos="3306"/>
              </w:tabs>
              <w:rPr>
                <w:color w:val="7030A0"/>
                <w:sz w:val="14"/>
              </w:rPr>
            </w:pPr>
          </w:p>
        </w:tc>
        <w:tc>
          <w:tcPr>
            <w:tcW w:w="4255" w:type="pct"/>
            <w:tcBorders>
              <w:top w:val="nil"/>
              <w:left w:val="single" w:sz="2" w:space="0" w:color="auto"/>
              <w:bottom w:val="nil"/>
              <w:right w:val="nil"/>
            </w:tcBorders>
          </w:tcPr>
          <w:p w14:paraId="05EDF7D2" w14:textId="6757E6A6" w:rsidR="00E16D69" w:rsidRPr="00020D40" w:rsidRDefault="00E16D69" w:rsidP="007E174D">
            <w:pPr>
              <w:spacing w:after="60"/>
              <w:jc w:val="both"/>
              <w:rPr>
                <w:rFonts w:cs="Calibri"/>
                <w:sz w:val="18"/>
                <w:szCs w:val="18"/>
              </w:rPr>
            </w:pPr>
            <w:r w:rsidRPr="00020D40">
              <w:rPr>
                <w:rFonts w:cs="Calibri"/>
                <w:sz w:val="18"/>
                <w:szCs w:val="18"/>
              </w:rPr>
              <w:t>Where the presentation or classification of items in the financial statements is amended, the comparative amounts have been reclassified where practical.</w:t>
            </w:r>
            <w:r w:rsidR="00FA7C77">
              <w:rPr>
                <w:rFonts w:cs="Calibri"/>
                <w:sz w:val="18"/>
                <w:szCs w:val="18"/>
              </w:rPr>
              <w:t xml:space="preserve"> </w:t>
            </w:r>
            <w:r w:rsidRPr="00020D40">
              <w:rPr>
                <w:rFonts w:cs="Calibri"/>
                <w:sz w:val="18"/>
                <w:szCs w:val="18"/>
              </w:rPr>
              <w:t>Where a reclassification has occurred, the nature, amount and reason for the reclassification is provided.</w:t>
            </w:r>
          </w:p>
        </w:tc>
      </w:tr>
      <w:tr w:rsidR="006F09CF" w:rsidRPr="00CF7E1B" w14:paraId="7B3D8983" w14:textId="77777777" w:rsidTr="00B513E5">
        <w:tc>
          <w:tcPr>
            <w:tcW w:w="745" w:type="pct"/>
            <w:tcBorders>
              <w:top w:val="nil"/>
              <w:left w:val="single" w:sz="2" w:space="0" w:color="auto"/>
              <w:bottom w:val="nil"/>
              <w:right w:val="single" w:sz="2" w:space="0" w:color="auto"/>
            </w:tcBorders>
          </w:tcPr>
          <w:p w14:paraId="1CD2F246" w14:textId="77777777" w:rsidR="00AE0B56" w:rsidRPr="00020D40" w:rsidRDefault="00AE0B56">
            <w:pPr>
              <w:pStyle w:val="TableReference"/>
              <w:tabs>
                <w:tab w:val="left" w:pos="3306"/>
              </w:tabs>
              <w:spacing w:before="60"/>
              <w:rPr>
                <w:color w:val="7030A0"/>
                <w:sz w:val="14"/>
              </w:rPr>
            </w:pPr>
          </w:p>
          <w:p w14:paraId="74A1B732" w14:textId="5135ED06" w:rsidR="006F09CF" w:rsidRPr="00020D40" w:rsidRDefault="006F09CF">
            <w:pPr>
              <w:pStyle w:val="TableReference"/>
              <w:tabs>
                <w:tab w:val="left" w:pos="3306"/>
              </w:tabs>
              <w:spacing w:before="60"/>
              <w:rPr>
                <w:rFonts w:cs="Calibri"/>
                <w:color w:val="7030A0"/>
                <w:sz w:val="14"/>
              </w:rPr>
            </w:pPr>
            <w:r w:rsidRPr="00020D40">
              <w:rPr>
                <w:color w:val="7030A0"/>
                <w:sz w:val="14"/>
              </w:rPr>
              <w:t>AASB 101.51(e) &amp; 53</w:t>
            </w:r>
          </w:p>
        </w:tc>
        <w:tc>
          <w:tcPr>
            <w:tcW w:w="4255" w:type="pct"/>
            <w:tcBorders>
              <w:top w:val="nil"/>
              <w:left w:val="single" w:sz="2" w:space="0" w:color="auto"/>
              <w:bottom w:val="nil"/>
              <w:right w:val="nil"/>
            </w:tcBorders>
          </w:tcPr>
          <w:p w14:paraId="51AD7C44" w14:textId="77777777" w:rsidR="006F09CF" w:rsidRPr="00020D40" w:rsidRDefault="006F09CF" w:rsidP="006F09CF">
            <w:pPr>
              <w:jc w:val="both"/>
              <w:rPr>
                <w:rFonts w:cs="Calibri"/>
                <w:sz w:val="18"/>
                <w:szCs w:val="18"/>
              </w:rPr>
            </w:pPr>
            <w:r w:rsidRPr="00020D40">
              <w:rPr>
                <w:i/>
                <w:iCs/>
                <w:sz w:val="18"/>
                <w:szCs w:val="18"/>
              </w:rPr>
              <w:t>Rounding</w:t>
            </w:r>
            <w:r w:rsidRPr="00020D40">
              <w:rPr>
                <w:rFonts w:cs="Calibri"/>
                <w:sz w:val="18"/>
                <w:szCs w:val="18"/>
              </w:rPr>
              <w:t xml:space="preserve"> </w:t>
            </w:r>
          </w:p>
          <w:p w14:paraId="7AFDF218" w14:textId="3998470A" w:rsidR="006F09CF" w:rsidRPr="00020D40" w:rsidRDefault="006F09CF" w:rsidP="00E46026">
            <w:pPr>
              <w:spacing w:after="120"/>
              <w:jc w:val="both"/>
              <w:rPr>
                <w:rFonts w:cs="Calibri"/>
                <w:sz w:val="18"/>
                <w:szCs w:val="18"/>
              </w:rPr>
            </w:pPr>
            <w:r w:rsidRPr="00020D40">
              <w:rPr>
                <w:rFonts w:cs="Calibri"/>
                <w:sz w:val="18"/>
                <w:szCs w:val="18"/>
              </w:rPr>
              <w:t>All amounts in the financial statements have been rounded to the nearest thousand dollars ($’000).</w:t>
            </w:r>
            <w:r w:rsidR="00FA7C77">
              <w:rPr>
                <w:rFonts w:cs="Calibri"/>
                <w:sz w:val="18"/>
                <w:szCs w:val="18"/>
              </w:rPr>
              <w:t xml:space="preserve"> </w:t>
            </w:r>
            <w:r w:rsidRPr="00020D40">
              <w:rPr>
                <w:rFonts w:cs="Calibri"/>
                <w:sz w:val="18"/>
                <w:szCs w:val="18"/>
              </w:rPr>
              <w:t>Use of “</w:t>
            </w:r>
            <w:r w:rsidRPr="00020D40">
              <w:rPr>
                <w:rFonts w:cs="Calibri"/>
                <w:sz w:val="18"/>
                <w:szCs w:val="18"/>
              </w:rPr>
              <w:noBreakHyphen/>
              <w:t>” represents zero amounts or amounts rounded down to zero.</w:t>
            </w:r>
          </w:p>
        </w:tc>
      </w:tr>
      <w:tr w:rsidR="006F09CF" w:rsidRPr="00CF7E1B" w14:paraId="3A2F4F83" w14:textId="77777777" w:rsidTr="00B513E5">
        <w:tc>
          <w:tcPr>
            <w:tcW w:w="745" w:type="pct"/>
            <w:tcBorders>
              <w:top w:val="nil"/>
              <w:left w:val="single" w:sz="2" w:space="0" w:color="auto"/>
              <w:bottom w:val="nil"/>
              <w:right w:val="single" w:sz="2" w:space="0" w:color="auto"/>
            </w:tcBorders>
          </w:tcPr>
          <w:p w14:paraId="3A0C54E0" w14:textId="77777777" w:rsidR="006F09CF" w:rsidRPr="00020D40" w:rsidRDefault="006F09CF">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0620FA4F" w14:textId="154365C0" w:rsidR="006F09CF" w:rsidRPr="00020D40" w:rsidRDefault="006F09CF" w:rsidP="00837B44">
            <w:pPr>
              <w:jc w:val="both"/>
              <w:rPr>
                <w:sz w:val="18"/>
                <w:szCs w:val="18"/>
              </w:rPr>
            </w:pPr>
            <w:r w:rsidRPr="00020D40">
              <w:rPr>
                <w:rFonts w:cs="Calibri"/>
                <w:b/>
                <w:bCs/>
                <w:sz w:val="18"/>
                <w:szCs w:val="18"/>
              </w:rPr>
              <w:t>Going Concern</w:t>
            </w:r>
          </w:p>
        </w:tc>
      </w:tr>
      <w:tr w:rsidR="006F09CF" w:rsidRPr="00CF7E1B" w14:paraId="2663DD52" w14:textId="77777777" w:rsidTr="00B513E5">
        <w:tc>
          <w:tcPr>
            <w:tcW w:w="745" w:type="pct"/>
            <w:tcBorders>
              <w:top w:val="nil"/>
              <w:left w:val="single" w:sz="2" w:space="0" w:color="auto"/>
              <w:bottom w:val="nil"/>
              <w:right w:val="single" w:sz="2" w:space="0" w:color="auto"/>
            </w:tcBorders>
          </w:tcPr>
          <w:p w14:paraId="6E51CED2" w14:textId="77777777" w:rsidR="00DD7CBD" w:rsidRPr="00020D40" w:rsidRDefault="00DD7CBD">
            <w:pPr>
              <w:pStyle w:val="TableReference"/>
              <w:tabs>
                <w:tab w:val="left" w:pos="3306"/>
              </w:tabs>
              <w:spacing w:before="60"/>
              <w:rPr>
                <w:color w:val="7030A0"/>
                <w:sz w:val="14"/>
                <w:lang w:bidi="en-US"/>
              </w:rPr>
            </w:pPr>
            <w:r w:rsidRPr="00020D40">
              <w:rPr>
                <w:color w:val="7030A0"/>
                <w:sz w:val="14"/>
              </w:rPr>
              <w:t>ACT Treasury Directorate Finance Memorandum 2006/11</w:t>
            </w:r>
            <w:r w:rsidRPr="00020D40">
              <w:rPr>
                <w:color w:val="7030A0"/>
                <w:sz w:val="14"/>
                <w:lang w:bidi="en-US"/>
              </w:rPr>
              <w:t xml:space="preserve"> </w:t>
            </w:r>
          </w:p>
          <w:p w14:paraId="3F6B8F13" w14:textId="517E1E00" w:rsidR="006F09CF" w:rsidRPr="00020D40" w:rsidRDefault="00DD7CBD">
            <w:pPr>
              <w:pStyle w:val="TableReference"/>
              <w:tabs>
                <w:tab w:val="left" w:pos="3306"/>
              </w:tabs>
              <w:spacing w:before="60"/>
              <w:rPr>
                <w:rFonts w:cs="Calibri"/>
                <w:color w:val="7030A0"/>
                <w:sz w:val="14"/>
              </w:rPr>
            </w:pPr>
            <w:r w:rsidRPr="00020D40">
              <w:rPr>
                <w:color w:val="7030A0"/>
                <w:sz w:val="14"/>
                <w:lang w:bidi="en-US"/>
              </w:rPr>
              <w:t>AASB 101.25-26</w:t>
            </w:r>
          </w:p>
        </w:tc>
        <w:tc>
          <w:tcPr>
            <w:tcW w:w="4255" w:type="pct"/>
            <w:tcBorders>
              <w:top w:val="nil"/>
              <w:left w:val="single" w:sz="2" w:space="0" w:color="auto"/>
              <w:bottom w:val="nil"/>
              <w:right w:val="nil"/>
            </w:tcBorders>
          </w:tcPr>
          <w:p w14:paraId="1C5C9243" w14:textId="7BF43BC8" w:rsidR="003B085C" w:rsidRPr="00020D40" w:rsidRDefault="00020D40" w:rsidP="00E16D69">
            <w:pPr>
              <w:spacing w:after="120"/>
              <w:jc w:val="both"/>
              <w:rPr>
                <w:rFonts w:cs="Calibri"/>
                <w:strike/>
                <w:sz w:val="18"/>
                <w:szCs w:val="18"/>
              </w:rPr>
            </w:pPr>
            <w:r w:rsidRPr="00020D40">
              <w:rPr>
                <w:rFonts w:cs="Calibri"/>
                <w:sz w:val="18"/>
                <w:szCs w:val="18"/>
              </w:rPr>
              <w:t>The 202</w:t>
            </w:r>
            <w:r w:rsidR="00E46026">
              <w:rPr>
                <w:rFonts w:cs="Calibri"/>
                <w:sz w:val="18"/>
                <w:szCs w:val="18"/>
              </w:rPr>
              <w:t>2</w:t>
            </w:r>
            <w:r w:rsidRPr="00020D40">
              <w:rPr>
                <w:rFonts w:cs="Calibri"/>
                <w:sz w:val="18"/>
                <w:szCs w:val="18"/>
              </w:rPr>
              <w:t>-2</w:t>
            </w:r>
            <w:r w:rsidR="00E46026">
              <w:rPr>
                <w:rFonts w:cs="Calibri"/>
                <w:sz w:val="18"/>
                <w:szCs w:val="18"/>
              </w:rPr>
              <w:t>3</w:t>
            </w:r>
            <w:r w:rsidRPr="00020D40">
              <w:rPr>
                <w:rFonts w:cs="Calibri"/>
                <w:sz w:val="18"/>
                <w:szCs w:val="18"/>
              </w:rPr>
              <w:t xml:space="preserve"> financial statements have been prepared on a going concern basis as ‘Burley Griffin Agency’ has been funded in </w:t>
            </w:r>
            <w:r w:rsidR="00687AD5">
              <w:rPr>
                <w:rFonts w:cs="Calibri"/>
                <w:sz w:val="18"/>
                <w:szCs w:val="18"/>
              </w:rPr>
              <w:t xml:space="preserve">the </w:t>
            </w:r>
            <w:r w:rsidRPr="00020D40">
              <w:rPr>
                <w:rFonts w:cs="Calibri"/>
                <w:sz w:val="18"/>
                <w:szCs w:val="18"/>
              </w:rPr>
              <w:t>ACT Government 202</w:t>
            </w:r>
            <w:r w:rsidR="00E46026">
              <w:rPr>
                <w:rFonts w:cs="Calibri"/>
                <w:sz w:val="18"/>
                <w:szCs w:val="18"/>
              </w:rPr>
              <w:t>3</w:t>
            </w:r>
            <w:r w:rsidRPr="00020D40">
              <w:rPr>
                <w:rFonts w:cs="Calibri"/>
                <w:sz w:val="18"/>
                <w:szCs w:val="18"/>
              </w:rPr>
              <w:t>-2</w:t>
            </w:r>
            <w:r w:rsidR="00E46026">
              <w:rPr>
                <w:rFonts w:cs="Calibri"/>
                <w:sz w:val="18"/>
                <w:szCs w:val="18"/>
              </w:rPr>
              <w:t>4</w:t>
            </w:r>
            <w:r w:rsidRPr="00020D40">
              <w:rPr>
                <w:rFonts w:cs="Calibri"/>
                <w:sz w:val="18"/>
                <w:szCs w:val="18"/>
              </w:rPr>
              <w:t xml:space="preserve"> Budget and the Budget Papers include forward estimates for ‘Burley Griffin Agency’.</w:t>
            </w:r>
          </w:p>
        </w:tc>
      </w:tr>
      <w:tr w:rsidR="00574DE1" w:rsidRPr="00CF7E1B" w14:paraId="2D6E32D8" w14:textId="77777777" w:rsidTr="00B513E5">
        <w:tc>
          <w:tcPr>
            <w:tcW w:w="745" w:type="pct"/>
            <w:tcBorders>
              <w:top w:val="nil"/>
              <w:left w:val="single" w:sz="2" w:space="0" w:color="auto"/>
              <w:bottom w:val="nil"/>
              <w:right w:val="single" w:sz="2" w:space="0" w:color="auto"/>
            </w:tcBorders>
          </w:tcPr>
          <w:p w14:paraId="176C84C2" w14:textId="77777777" w:rsidR="00574DE1" w:rsidRPr="00020D40" w:rsidRDefault="00574DE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392DCF15" w14:textId="7FCA390A" w:rsidR="00574DE1" w:rsidRPr="00020D40" w:rsidRDefault="00574DE1" w:rsidP="006E5FFB">
            <w:pPr>
              <w:spacing w:after="40"/>
              <w:jc w:val="both"/>
              <w:rPr>
                <w:rFonts w:cs="Calibri"/>
                <w:sz w:val="18"/>
                <w:szCs w:val="18"/>
              </w:rPr>
            </w:pPr>
            <w:r w:rsidRPr="00020D40">
              <w:rPr>
                <w:rFonts w:cs="Calibri"/>
                <w:b/>
                <w:bCs/>
                <w:sz w:val="18"/>
                <w:szCs w:val="18"/>
              </w:rPr>
              <w:t>COVID-19</w:t>
            </w:r>
            <w:r w:rsidR="00F777FA" w:rsidRPr="00020D40">
              <w:rPr>
                <w:rFonts w:cs="Calibri"/>
                <w:b/>
                <w:bCs/>
                <w:sz w:val="18"/>
                <w:szCs w:val="18"/>
              </w:rPr>
              <w:t xml:space="preserve"> Impact</w:t>
            </w:r>
          </w:p>
        </w:tc>
      </w:tr>
      <w:tr w:rsidR="00574DE1" w:rsidRPr="00CF7E1B" w14:paraId="2C4FEE6A" w14:textId="77777777" w:rsidTr="00B513E5">
        <w:tc>
          <w:tcPr>
            <w:tcW w:w="745" w:type="pct"/>
            <w:tcBorders>
              <w:top w:val="nil"/>
              <w:left w:val="single" w:sz="2" w:space="0" w:color="auto"/>
              <w:bottom w:val="nil"/>
              <w:right w:val="single" w:sz="2" w:space="0" w:color="auto"/>
            </w:tcBorders>
          </w:tcPr>
          <w:p w14:paraId="23317EFC" w14:textId="77777777" w:rsidR="00574DE1" w:rsidRPr="00020D40" w:rsidRDefault="00574DE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7FA0620A" w14:textId="34904B2C" w:rsidR="00574DE1" w:rsidRPr="00020D40" w:rsidRDefault="00574DE1" w:rsidP="003F270D">
            <w:pPr>
              <w:pStyle w:val="Bullet1"/>
              <w:numPr>
                <w:ilvl w:val="0"/>
                <w:numId w:val="0"/>
              </w:numPr>
              <w:jc w:val="both"/>
              <w:rPr>
                <w:sz w:val="18"/>
                <w:szCs w:val="18"/>
              </w:rPr>
            </w:pPr>
            <w:r w:rsidRPr="00020D40">
              <w:rPr>
                <w:sz w:val="18"/>
                <w:szCs w:val="18"/>
              </w:rPr>
              <w:t>‘</w:t>
            </w:r>
            <w:r w:rsidR="001A6C09" w:rsidRPr="00020D40">
              <w:rPr>
                <w:sz w:val="18"/>
                <w:szCs w:val="18"/>
              </w:rPr>
              <w:t xml:space="preserve">Burley Griffin </w:t>
            </w:r>
            <w:r w:rsidRPr="00020D40">
              <w:rPr>
                <w:sz w:val="18"/>
                <w:szCs w:val="18"/>
              </w:rPr>
              <w:t xml:space="preserve">Agency’ has assessed the impact of the COVID-19 pandemic on its financial statements. From this assessment </w:t>
            </w:r>
            <w:r w:rsidR="00407B89" w:rsidRPr="00020D40">
              <w:rPr>
                <w:sz w:val="18"/>
                <w:szCs w:val="18"/>
              </w:rPr>
              <w:t xml:space="preserve">the </w:t>
            </w:r>
            <w:r w:rsidRPr="00020D40">
              <w:rPr>
                <w:sz w:val="18"/>
                <w:szCs w:val="18"/>
              </w:rPr>
              <w:t>Agency has concluded that COVID-19 has had a material impact on certain aspects of its operations</w:t>
            </w:r>
            <w:r w:rsidRPr="00C9508B">
              <w:rPr>
                <w:sz w:val="18"/>
                <w:szCs w:val="18"/>
              </w:rPr>
              <w:t>.</w:t>
            </w:r>
            <w:r w:rsidR="00FA7C77" w:rsidRPr="00C9508B">
              <w:rPr>
                <w:sz w:val="18"/>
                <w:szCs w:val="18"/>
              </w:rPr>
              <w:t xml:space="preserve"> </w:t>
            </w:r>
            <w:bookmarkStart w:id="332" w:name="_Hlk123756198"/>
            <w:r w:rsidR="00407B89" w:rsidRPr="00C9508B">
              <w:rPr>
                <w:sz w:val="18"/>
                <w:szCs w:val="18"/>
              </w:rPr>
              <w:t xml:space="preserve">The </w:t>
            </w:r>
            <w:r w:rsidRPr="00C9508B">
              <w:rPr>
                <w:sz w:val="18"/>
                <w:szCs w:val="18"/>
              </w:rPr>
              <w:t>Agency has received more funding for additional employees and capital projects</w:t>
            </w:r>
            <w:bookmarkEnd w:id="332"/>
            <w:r w:rsidRPr="00C9508B">
              <w:rPr>
                <w:sz w:val="18"/>
                <w:szCs w:val="18"/>
              </w:rPr>
              <w:t>.</w:t>
            </w:r>
            <w:r w:rsidR="00FA7C77">
              <w:rPr>
                <w:sz w:val="18"/>
                <w:szCs w:val="18"/>
              </w:rPr>
              <w:t xml:space="preserve"> </w:t>
            </w:r>
            <w:r w:rsidRPr="00020D40">
              <w:rPr>
                <w:sz w:val="18"/>
                <w:szCs w:val="18"/>
              </w:rPr>
              <w:t>‘</w:t>
            </w:r>
            <w:r w:rsidR="001A6C09" w:rsidRPr="00020D40">
              <w:rPr>
                <w:sz w:val="18"/>
                <w:szCs w:val="18"/>
              </w:rPr>
              <w:t>Burley Griffin</w:t>
            </w:r>
            <w:r w:rsidRPr="00020D40">
              <w:rPr>
                <w:sz w:val="18"/>
                <w:szCs w:val="18"/>
              </w:rPr>
              <w:t xml:space="preserve"> Agency’s’ own source revenue has been negatively impacted with the amount of public transport fare revenue </w:t>
            </w:r>
            <w:r w:rsidR="00D16308" w:rsidRPr="00D16308">
              <w:rPr>
                <w:color w:val="FF0000"/>
                <w:sz w:val="18"/>
                <w:szCs w:val="18"/>
              </w:rPr>
              <w:t xml:space="preserve">still </w:t>
            </w:r>
            <w:r w:rsidRPr="00D16308">
              <w:rPr>
                <w:strike/>
                <w:color w:val="FF0000"/>
                <w:sz w:val="18"/>
                <w:szCs w:val="18"/>
              </w:rPr>
              <w:t>much</w:t>
            </w:r>
            <w:r w:rsidRPr="00020D40">
              <w:rPr>
                <w:sz w:val="18"/>
                <w:szCs w:val="18"/>
              </w:rPr>
              <w:t xml:space="preserve"> lower than pre pandemic levels.</w:t>
            </w:r>
            <w:r w:rsidR="00FA7C77">
              <w:rPr>
                <w:sz w:val="18"/>
                <w:szCs w:val="18"/>
              </w:rPr>
              <w:t xml:space="preserve"> </w:t>
            </w:r>
            <w:r w:rsidRPr="00020D40">
              <w:rPr>
                <w:sz w:val="18"/>
                <w:szCs w:val="18"/>
              </w:rPr>
              <w:t>‘</w:t>
            </w:r>
            <w:r w:rsidR="001A6C09" w:rsidRPr="00020D40">
              <w:rPr>
                <w:sz w:val="18"/>
                <w:szCs w:val="18"/>
              </w:rPr>
              <w:t>Burley Griffin</w:t>
            </w:r>
            <w:r w:rsidRPr="00020D40">
              <w:rPr>
                <w:sz w:val="18"/>
                <w:szCs w:val="18"/>
              </w:rPr>
              <w:t xml:space="preserve"> Agency’ has also waived amounts owing to it</w:t>
            </w:r>
            <w:r w:rsidR="007E174D" w:rsidRPr="007E174D">
              <w:rPr>
                <w:color w:val="FF0000"/>
                <w:sz w:val="18"/>
                <w:szCs w:val="18"/>
              </w:rPr>
              <w:t>, although in smaller amount</w:t>
            </w:r>
            <w:r w:rsidR="00947CD5">
              <w:rPr>
                <w:color w:val="FF0000"/>
                <w:sz w:val="18"/>
                <w:szCs w:val="18"/>
              </w:rPr>
              <w:t>s</w:t>
            </w:r>
            <w:r w:rsidR="007E174D" w:rsidRPr="007E174D">
              <w:rPr>
                <w:color w:val="FF0000"/>
                <w:sz w:val="18"/>
                <w:szCs w:val="18"/>
              </w:rPr>
              <w:t xml:space="preserve"> than in previous years of the pandemic</w:t>
            </w:r>
            <w:r w:rsidRPr="007E174D">
              <w:rPr>
                <w:color w:val="FF0000"/>
                <w:sz w:val="18"/>
                <w:szCs w:val="18"/>
              </w:rPr>
              <w:t xml:space="preserve"> </w:t>
            </w:r>
            <w:r w:rsidRPr="007E174D">
              <w:rPr>
                <w:strike/>
                <w:color w:val="FF0000"/>
                <w:sz w:val="18"/>
                <w:szCs w:val="18"/>
              </w:rPr>
              <w:t>and has had an event which has occurred after balance date</w:t>
            </w:r>
            <w:r w:rsidRPr="00020D40">
              <w:rPr>
                <w:sz w:val="18"/>
                <w:szCs w:val="18"/>
              </w:rPr>
              <w:t>.</w:t>
            </w:r>
            <w:r w:rsidR="00FA7C77">
              <w:rPr>
                <w:sz w:val="18"/>
                <w:szCs w:val="18"/>
              </w:rPr>
              <w:t xml:space="preserve"> </w:t>
            </w:r>
            <w:r w:rsidRPr="00020D40">
              <w:rPr>
                <w:sz w:val="18"/>
                <w:szCs w:val="18"/>
              </w:rPr>
              <w:t>All material COVID-19 disclosures are included in the note to which they relate.</w:t>
            </w:r>
            <w:r w:rsidR="00FA7C77">
              <w:rPr>
                <w:sz w:val="18"/>
                <w:szCs w:val="18"/>
              </w:rPr>
              <w:t xml:space="preserve"> </w:t>
            </w:r>
          </w:p>
          <w:p w14:paraId="3CE15A3F" w14:textId="00E82DF4" w:rsidR="001A6017" w:rsidRPr="00020D40" w:rsidRDefault="001A6017" w:rsidP="003F270D">
            <w:pPr>
              <w:pStyle w:val="Bullet1"/>
              <w:numPr>
                <w:ilvl w:val="0"/>
                <w:numId w:val="0"/>
              </w:numPr>
              <w:jc w:val="both"/>
              <w:rPr>
                <w:sz w:val="18"/>
                <w:szCs w:val="18"/>
              </w:rPr>
            </w:pPr>
            <w:r w:rsidRPr="00020D40">
              <w:rPr>
                <w:sz w:val="18"/>
                <w:szCs w:val="18"/>
              </w:rPr>
              <w:t>The COVID-19 pandemic has also resulted in ‘Burley Griffin Agency’ not being able to collect as much traffic fine and parking fine territorial revenue when compared to pre pandemic levels.</w:t>
            </w:r>
          </w:p>
        </w:tc>
      </w:tr>
      <w:tr w:rsidR="00BF34A3" w:rsidRPr="00CF7E1B" w14:paraId="5BA3D02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35105327" w14:textId="7C32FB83" w:rsidR="00BF34A3" w:rsidRPr="00550735" w:rsidRDefault="00E16D69" w:rsidP="00C9212B">
            <w:pPr>
              <w:pStyle w:val="TableReference"/>
              <w:tabs>
                <w:tab w:val="left" w:pos="3306"/>
              </w:tabs>
              <w:spacing w:before="240" w:after="240"/>
              <w:rPr>
                <w:rFonts w:cs="Calibri"/>
                <w:color w:val="7030A0"/>
                <w:sz w:val="22"/>
                <w:szCs w:val="22"/>
              </w:rPr>
            </w:pPr>
            <w:r w:rsidRPr="00550735">
              <w:rPr>
                <w:rFonts w:cs="Calibri"/>
                <w:b/>
                <w:color w:val="7030A0"/>
                <w:sz w:val="22"/>
                <w:szCs w:val="22"/>
              </w:rPr>
              <w:t>Reference</w:t>
            </w:r>
          </w:p>
        </w:tc>
        <w:tc>
          <w:tcPr>
            <w:tcW w:w="4255" w:type="pct"/>
            <w:tcBorders>
              <w:left w:val="single" w:sz="2" w:space="0" w:color="auto"/>
            </w:tcBorders>
            <w:shd w:val="clear" w:color="auto" w:fill="7030A0"/>
          </w:tcPr>
          <w:p w14:paraId="4E52DAE1" w14:textId="651B420A" w:rsidR="00BF34A3" w:rsidRPr="00550735" w:rsidRDefault="00953876" w:rsidP="00C9212B">
            <w:pPr>
              <w:pStyle w:val="CommentaryTitle"/>
              <w:spacing w:before="240" w:after="240"/>
              <w:rPr>
                <w:rFonts w:cs="Calibri"/>
                <w:color w:val="E7E6E6" w:themeColor="background2"/>
              </w:rPr>
            </w:pPr>
            <w:r w:rsidRPr="00E35CD2">
              <w:rPr>
                <w:rFonts w:cs="Calibri"/>
                <w:color w:val="FFFFFF" w:themeColor="background1"/>
                <w:sz w:val="28"/>
                <w:szCs w:val="28"/>
              </w:rPr>
              <w:t xml:space="preserve">Commentary </w:t>
            </w:r>
            <w:r w:rsidRPr="00E35CD2">
              <w:rPr>
                <w:rFonts w:cs="Calibri"/>
                <w:color w:val="FFFFFF" w:themeColor="background1"/>
                <w:sz w:val="28"/>
                <w:szCs w:val="28"/>
              </w:rPr>
              <w:sym w:font="Symbol" w:char="F02D"/>
            </w:r>
            <w:r w:rsidRPr="00E35CD2">
              <w:rPr>
                <w:rFonts w:cs="Calibri"/>
                <w:color w:val="FFFFFF" w:themeColor="background1"/>
                <w:sz w:val="28"/>
                <w:szCs w:val="28"/>
              </w:rPr>
              <w:t xml:space="preserve"> Note 2: Basis of Preparation of the Financial Statements</w:t>
            </w:r>
          </w:p>
        </w:tc>
      </w:tr>
      <w:tr w:rsidR="00136C28" w:rsidRPr="00CF7E1B" w14:paraId="1184FE0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FB0ACB6"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7DE9849" w14:textId="263C8F62" w:rsidR="00136C28" w:rsidRPr="00FC54D8" w:rsidRDefault="00136C28" w:rsidP="00E35CD2">
            <w:pPr>
              <w:pStyle w:val="CommentaryTitle"/>
              <w:spacing w:after="120"/>
              <w:rPr>
                <w:rFonts w:cs="Calibri"/>
                <w:b w:val="0"/>
                <w:bCs w:val="0"/>
                <w:color w:val="FFFFFF" w:themeColor="background1"/>
                <w:sz w:val="18"/>
                <w:szCs w:val="18"/>
              </w:rPr>
            </w:pPr>
            <w:r w:rsidRPr="00FC54D8">
              <w:rPr>
                <w:rFonts w:cs="Calibri"/>
                <w:b w:val="0"/>
                <w:bCs w:val="0"/>
                <w:color w:val="FFFFFF" w:themeColor="background1"/>
                <w:sz w:val="18"/>
                <w:szCs w:val="18"/>
              </w:rPr>
              <w:t>There are a number of general requirements in relation to the presentation and disclosure of financial statements.</w:t>
            </w:r>
          </w:p>
        </w:tc>
      </w:tr>
      <w:tr w:rsidR="00136C28" w:rsidRPr="00CF7E1B" w14:paraId="2942DE5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3B39729"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BBAD323" w14:textId="5110A8BD" w:rsidR="00136C28" w:rsidRPr="00FC54D8" w:rsidRDefault="00136C28" w:rsidP="00BF34A3">
            <w:pPr>
              <w:pStyle w:val="CommentaryText"/>
              <w:tabs>
                <w:tab w:val="left" w:pos="3306"/>
              </w:tabs>
              <w:rPr>
                <w:rFonts w:cs="Calibri"/>
                <w:color w:val="FFFFFF" w:themeColor="background1"/>
                <w:sz w:val="18"/>
                <w:szCs w:val="18"/>
              </w:rPr>
            </w:pPr>
            <w:r w:rsidRPr="00FC54D8">
              <w:rPr>
                <w:color w:val="FFFFFF" w:themeColor="background1"/>
                <w:sz w:val="18"/>
                <w:szCs w:val="18"/>
              </w:rPr>
              <w:t xml:space="preserve">AASB 101 </w:t>
            </w:r>
            <w:r w:rsidRPr="00FC54D8">
              <w:rPr>
                <w:i/>
                <w:iCs/>
                <w:color w:val="FFFFFF" w:themeColor="background1"/>
                <w:sz w:val="18"/>
                <w:szCs w:val="18"/>
              </w:rPr>
              <w:t>Presentation of Financial Statements</w:t>
            </w:r>
            <w:r w:rsidRPr="00FC54D8">
              <w:rPr>
                <w:color w:val="FFFFFF" w:themeColor="background1"/>
                <w:sz w:val="18"/>
                <w:szCs w:val="18"/>
              </w:rPr>
              <w:t xml:space="preserve"> requires the following:</w:t>
            </w:r>
          </w:p>
        </w:tc>
      </w:tr>
      <w:tr w:rsidR="00136C28" w:rsidRPr="00CF7E1B" w14:paraId="6704A5F2"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171D677"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73D5577" w14:textId="32A67D81" w:rsidR="00136C28" w:rsidRPr="00FC54D8" w:rsidRDefault="00136C28" w:rsidP="00CB31DE">
            <w:pPr>
              <w:pStyle w:val="CommentaryText"/>
              <w:numPr>
                <w:ilvl w:val="0"/>
                <w:numId w:val="71"/>
              </w:numPr>
              <w:tabs>
                <w:tab w:val="left" w:pos="3306"/>
              </w:tabs>
              <w:ind w:left="452"/>
              <w:rPr>
                <w:rFonts w:cs="Calibri"/>
                <w:color w:val="FFFFFF" w:themeColor="background1"/>
                <w:sz w:val="18"/>
                <w:szCs w:val="18"/>
              </w:rPr>
            </w:pPr>
            <w:r w:rsidRPr="00FC54D8">
              <w:rPr>
                <w:rFonts w:cs="Calibri"/>
                <w:color w:val="FFFFFF" w:themeColor="background1"/>
                <w:sz w:val="18"/>
                <w:szCs w:val="18"/>
              </w:rPr>
              <w:t>financial statements should be presented on an annual basis. However, where an agency’s reporting period changes and where the financial period for the current or prior year covered in the financial statements is less, or more, than 12 months, the agency must disclose the reason for a period other than 12 months being used and that comparative amounts are not entirely comparable (AASB 101.36); and</w:t>
            </w:r>
          </w:p>
        </w:tc>
      </w:tr>
      <w:tr w:rsidR="00136C28" w:rsidRPr="00CF7E1B" w14:paraId="417BE6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63BAC6A"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2A92E639" w14:textId="624E94EE" w:rsidR="00136C28" w:rsidRPr="00FC54D8" w:rsidRDefault="00FC54D8" w:rsidP="008E62D1">
            <w:pPr>
              <w:pStyle w:val="BodyText"/>
              <w:numPr>
                <w:ilvl w:val="0"/>
                <w:numId w:val="71"/>
              </w:numPr>
              <w:spacing w:after="40"/>
              <w:ind w:left="453" w:hanging="357"/>
              <w:rPr>
                <w:rFonts w:cs="Calibri"/>
                <w:color w:val="FFFFFF" w:themeColor="background1"/>
                <w:sz w:val="18"/>
                <w:szCs w:val="18"/>
              </w:rPr>
            </w:pPr>
            <w:r w:rsidRPr="00FC54D8">
              <w:rPr>
                <w:rFonts w:cs="Calibri"/>
                <w:color w:val="FFFFFF" w:themeColor="background1"/>
                <w:sz w:val="18"/>
                <w:szCs w:val="18"/>
              </w:rPr>
              <w:t>p</w:t>
            </w:r>
            <w:r w:rsidR="00136C28" w:rsidRPr="00FC54D8">
              <w:rPr>
                <w:rFonts w:cs="Calibri"/>
                <w:color w:val="FFFFFF" w:themeColor="background1"/>
                <w:sz w:val="18"/>
                <w:szCs w:val="18"/>
              </w:rPr>
              <w:t>resentation and classification of items is retained from one period to the next unless:</w:t>
            </w:r>
          </w:p>
          <w:p w14:paraId="6096D82B" w14:textId="33DA2B0D" w:rsidR="00136C28" w:rsidRPr="00FC54D8" w:rsidRDefault="00136C28" w:rsidP="008E62D1">
            <w:pPr>
              <w:pStyle w:val="BodyText"/>
              <w:numPr>
                <w:ilvl w:val="2"/>
                <w:numId w:val="72"/>
              </w:numPr>
              <w:spacing w:after="40"/>
              <w:ind w:left="877" w:hanging="357"/>
              <w:rPr>
                <w:rFonts w:cs="Calibri"/>
                <w:color w:val="FFFFFF" w:themeColor="background1"/>
                <w:sz w:val="18"/>
                <w:szCs w:val="18"/>
              </w:rPr>
            </w:pPr>
            <w:r w:rsidRPr="00FC54D8">
              <w:rPr>
                <w:rFonts w:cs="Calibri"/>
                <w:color w:val="FFFFFF" w:themeColor="background1"/>
                <w:sz w:val="18"/>
                <w:szCs w:val="18"/>
              </w:rPr>
              <w:t>it is apparent, following a significant change in the nature of the operations of the agency, that another presentation or classification would be more appropriate (having regard to the requirement in AASB 108) (AASB 101.45 (a)); or</w:t>
            </w:r>
          </w:p>
          <w:p w14:paraId="7A524708" w14:textId="15EFE40F" w:rsidR="00136C28" w:rsidRPr="00FC54D8" w:rsidRDefault="00136C28" w:rsidP="008E62D1">
            <w:pPr>
              <w:pStyle w:val="BodyText"/>
              <w:numPr>
                <w:ilvl w:val="2"/>
                <w:numId w:val="72"/>
              </w:numPr>
              <w:spacing w:after="40"/>
              <w:ind w:left="877" w:hanging="357"/>
              <w:rPr>
                <w:rFonts w:cs="Calibri"/>
                <w:color w:val="FFFFFF" w:themeColor="background1"/>
                <w:sz w:val="18"/>
                <w:szCs w:val="18"/>
              </w:rPr>
            </w:pPr>
            <w:r w:rsidRPr="00FC54D8">
              <w:rPr>
                <w:rFonts w:cs="Calibri"/>
                <w:color w:val="FFFFFF" w:themeColor="background1"/>
                <w:sz w:val="18"/>
                <w:szCs w:val="18"/>
              </w:rPr>
              <w:t>a change in presentation or classification is required by Australian Accounting Standards (AASB 101.45 (b)).</w:t>
            </w:r>
          </w:p>
        </w:tc>
      </w:tr>
      <w:tr w:rsidR="00136C28" w:rsidRPr="00CF7E1B" w14:paraId="68A4FB9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2C77909A"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01F32A28" w14:textId="69412363"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ACT Disclosure Policy requires all agencies to use the English language and Australian currency in the presentation of their financial statements.</w:t>
            </w:r>
          </w:p>
        </w:tc>
      </w:tr>
      <w:tr w:rsidR="00136C28" w:rsidRPr="00CF7E1B" w14:paraId="32D66EAC"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6D446C57"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40F2FED0" w14:textId="77777777" w:rsidR="00136C28" w:rsidRPr="00FC54D8" w:rsidRDefault="00136C28" w:rsidP="008E62D1">
            <w:pPr>
              <w:spacing w:after="40"/>
              <w:rPr>
                <w:color w:val="FFFFFF" w:themeColor="background1"/>
                <w:sz w:val="18"/>
                <w:szCs w:val="18"/>
              </w:rPr>
            </w:pPr>
            <w:r w:rsidRPr="00FC54D8">
              <w:rPr>
                <w:color w:val="FFFFFF" w:themeColor="background1"/>
                <w:sz w:val="18"/>
                <w:szCs w:val="18"/>
              </w:rPr>
              <w:t>Amounts may be rounded to the nearest $1,000 in the financial statements, provided:</w:t>
            </w:r>
          </w:p>
          <w:p w14:paraId="4526507F" w14:textId="3602945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rounding is applied consistently; and</w:t>
            </w:r>
          </w:p>
          <w:p w14:paraId="74FD41E9" w14:textId="69EAF74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the level of rounding is clearly indicated.</w:t>
            </w:r>
          </w:p>
        </w:tc>
      </w:tr>
      <w:tr w:rsidR="00136C28" w:rsidRPr="00CF7E1B" w14:paraId="3662251D"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6FDB4CAF"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4B19C332" w14:textId="4F11E031"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Rounding of amounts for financial statement purposes should not alter actual amounts in agencies’ financial systems.</w:t>
            </w:r>
          </w:p>
        </w:tc>
      </w:tr>
      <w:tr w:rsidR="00136C28" w:rsidRPr="00CF7E1B" w14:paraId="103ED18F"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29939F80" w14:textId="11448008" w:rsidR="00136C28" w:rsidRPr="00C9508B" w:rsidRDefault="00FC54D8" w:rsidP="00136C28">
            <w:pPr>
              <w:pStyle w:val="TableReference"/>
              <w:tabs>
                <w:tab w:val="left" w:pos="3306"/>
              </w:tabs>
              <w:rPr>
                <w:rFonts w:cs="Calibri"/>
                <w:color w:val="FF0000"/>
                <w:sz w:val="14"/>
              </w:rPr>
            </w:pPr>
            <w:r w:rsidRPr="00C9508B">
              <w:rPr>
                <w:rFonts w:cs="Calibri"/>
                <w:color w:val="FF0000"/>
                <w:sz w:val="14"/>
              </w:rPr>
              <w:t>FMA sec 27(2)</w:t>
            </w:r>
          </w:p>
          <w:p w14:paraId="0C6FA7F3" w14:textId="021C465F" w:rsidR="00FC54D8" w:rsidRPr="00550735" w:rsidRDefault="00FC54D8" w:rsidP="00136C28">
            <w:pPr>
              <w:pStyle w:val="TableReference"/>
              <w:tabs>
                <w:tab w:val="left" w:pos="3306"/>
              </w:tabs>
              <w:rPr>
                <w:rFonts w:cs="Calibri"/>
                <w:b/>
                <w:color w:val="7030A0"/>
                <w:sz w:val="14"/>
              </w:rPr>
            </w:pPr>
            <w:r w:rsidRPr="00C9508B">
              <w:rPr>
                <w:rFonts w:cs="Calibri"/>
                <w:color w:val="FF0000"/>
                <w:sz w:val="14"/>
              </w:rPr>
              <w:t>FMA sec 63 (2)</w:t>
            </w:r>
          </w:p>
        </w:tc>
        <w:tc>
          <w:tcPr>
            <w:tcW w:w="4255" w:type="pct"/>
            <w:tcBorders>
              <w:left w:val="single" w:sz="2" w:space="0" w:color="auto"/>
            </w:tcBorders>
            <w:shd w:val="clear" w:color="auto" w:fill="7030A0"/>
          </w:tcPr>
          <w:p w14:paraId="328AC1F0" w14:textId="7C745E03"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 xml:space="preserve">Directorates and territory authorities must also prepare financial statements in a form that facilitates a comparison with the budget contained in the Budget Papers for directorates </w:t>
            </w:r>
            <w:r w:rsidRPr="00C9508B">
              <w:rPr>
                <w:rFonts w:cs="Calibri"/>
                <w:strike/>
                <w:color w:val="FF0000"/>
                <w:sz w:val="18"/>
                <w:szCs w:val="18"/>
              </w:rPr>
              <w:t>(section 27(2) of the FMA)</w:t>
            </w:r>
            <w:r w:rsidRPr="00C9508B">
              <w:rPr>
                <w:rFonts w:cs="Calibri"/>
                <w:color w:val="FF0000"/>
                <w:sz w:val="18"/>
                <w:szCs w:val="18"/>
              </w:rPr>
              <w:t xml:space="preserve"> </w:t>
            </w:r>
            <w:r w:rsidRPr="00C9508B">
              <w:rPr>
                <w:rFonts w:cs="Calibri"/>
                <w:color w:val="FFFFFF" w:themeColor="background1"/>
                <w:sz w:val="18"/>
                <w:szCs w:val="18"/>
              </w:rPr>
              <w:t xml:space="preserve">and with the budget information contained in a </w:t>
            </w:r>
            <w:r w:rsidR="00995417" w:rsidRPr="00C9508B">
              <w:rPr>
                <w:rFonts w:cs="Calibri"/>
                <w:color w:val="FFFFFF" w:themeColor="background1"/>
                <w:sz w:val="18"/>
                <w:szCs w:val="18"/>
              </w:rPr>
              <w:t>t</w:t>
            </w:r>
            <w:r w:rsidRPr="00C9508B">
              <w:rPr>
                <w:rFonts w:cs="Calibri"/>
                <w:color w:val="FFFFFF" w:themeColor="background1"/>
                <w:sz w:val="18"/>
                <w:szCs w:val="18"/>
              </w:rPr>
              <w:t xml:space="preserve">erritory </w:t>
            </w:r>
            <w:r w:rsidR="00995417" w:rsidRPr="00C9508B">
              <w:rPr>
                <w:rFonts w:cs="Calibri"/>
                <w:color w:val="FFFFFF" w:themeColor="background1"/>
                <w:sz w:val="18"/>
                <w:szCs w:val="18"/>
              </w:rPr>
              <w:t>a</w:t>
            </w:r>
            <w:r w:rsidRPr="00C9508B">
              <w:rPr>
                <w:rFonts w:cs="Calibri"/>
                <w:color w:val="FFFFFF" w:themeColor="background1"/>
                <w:sz w:val="18"/>
                <w:szCs w:val="18"/>
              </w:rPr>
              <w:t xml:space="preserve">uthority’s Statement of Intent </w:t>
            </w:r>
            <w:r w:rsidRPr="00C9508B">
              <w:rPr>
                <w:rFonts w:cs="Calibri"/>
                <w:strike/>
                <w:color w:val="FF0000"/>
                <w:sz w:val="18"/>
                <w:szCs w:val="18"/>
              </w:rPr>
              <w:t>(section 63 (2) of the FMA)</w:t>
            </w:r>
            <w:r w:rsidRPr="00C9508B">
              <w:rPr>
                <w:rFonts w:cs="Calibri"/>
                <w:color w:val="FF0000"/>
                <w:sz w:val="18"/>
                <w:szCs w:val="18"/>
              </w:rPr>
              <w:t xml:space="preserve"> </w:t>
            </w:r>
            <w:r w:rsidRPr="00C9508B">
              <w:rPr>
                <w:rFonts w:cs="Calibri"/>
                <w:color w:val="FFFFFF" w:themeColor="background1"/>
                <w:sz w:val="18"/>
                <w:szCs w:val="18"/>
              </w:rPr>
              <w:t>for</w:t>
            </w:r>
            <w:r w:rsidRPr="00FC54D8">
              <w:rPr>
                <w:rFonts w:cs="Calibri"/>
                <w:color w:val="FFFFFF" w:themeColor="background1"/>
                <w:sz w:val="18"/>
                <w:szCs w:val="18"/>
              </w:rPr>
              <w:t xml:space="preserve"> authorities.</w:t>
            </w:r>
          </w:p>
        </w:tc>
      </w:tr>
      <w:tr w:rsidR="00545E95" w:rsidRPr="00CF7E1B" w14:paraId="532D7225"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3A1034C0" w14:textId="4E6459B0" w:rsidR="00545E95" w:rsidRPr="00550735" w:rsidRDefault="00545E95" w:rsidP="00545E95">
            <w:pPr>
              <w:pStyle w:val="TableReference"/>
              <w:tabs>
                <w:tab w:val="left" w:pos="3306"/>
              </w:tabs>
              <w:spacing w:before="60"/>
              <w:rPr>
                <w:color w:val="7030A0"/>
                <w:sz w:val="14"/>
              </w:rPr>
            </w:pPr>
            <w:r w:rsidRPr="00550735">
              <w:rPr>
                <w:color w:val="7030A0"/>
                <w:sz w:val="14"/>
              </w:rPr>
              <w:t xml:space="preserve">FMA </w:t>
            </w:r>
            <w:r w:rsidR="00FC54D8" w:rsidRPr="00C9508B">
              <w:rPr>
                <w:color w:val="FF0000"/>
                <w:sz w:val="14"/>
              </w:rPr>
              <w:t>sec</w:t>
            </w:r>
            <w:r w:rsidR="00FC54D8" w:rsidRPr="00C9508B">
              <w:rPr>
                <w:color w:val="7030A0"/>
                <w:sz w:val="14"/>
              </w:rPr>
              <w:t xml:space="preserve"> </w:t>
            </w:r>
            <w:r w:rsidRPr="00C9508B">
              <w:rPr>
                <w:color w:val="7030A0"/>
                <w:sz w:val="14"/>
              </w:rPr>
              <w:t xml:space="preserve">27(3)(c) &amp; (d), FMA </w:t>
            </w:r>
            <w:r w:rsidR="00FC54D8" w:rsidRPr="00C9508B">
              <w:rPr>
                <w:color w:val="FF0000"/>
                <w:sz w:val="14"/>
              </w:rPr>
              <w:t>sec</w:t>
            </w:r>
            <w:r w:rsidR="00FC54D8">
              <w:rPr>
                <w:color w:val="7030A0"/>
                <w:sz w:val="14"/>
              </w:rPr>
              <w:t xml:space="preserve"> </w:t>
            </w:r>
            <w:r w:rsidRPr="00550735">
              <w:rPr>
                <w:color w:val="7030A0"/>
                <w:sz w:val="14"/>
              </w:rPr>
              <w:t>63(3)(c)</w:t>
            </w:r>
          </w:p>
          <w:p w14:paraId="6A0BB27B" w14:textId="77777777" w:rsidR="00545E95" w:rsidRPr="00550735" w:rsidRDefault="00545E95"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DCB1690" w14:textId="4C5D8BA2" w:rsidR="00545E95" w:rsidRPr="00FC54D8" w:rsidRDefault="00545E95" w:rsidP="00BF34A3">
            <w:pPr>
              <w:pStyle w:val="CommentaryText"/>
              <w:tabs>
                <w:tab w:val="left" w:pos="3306"/>
              </w:tabs>
              <w:rPr>
                <w:rFonts w:cs="Calibri"/>
                <w:color w:val="FFFFFF" w:themeColor="background1"/>
                <w:sz w:val="18"/>
                <w:szCs w:val="18"/>
              </w:rPr>
            </w:pPr>
            <w:r w:rsidRPr="00FC54D8">
              <w:rPr>
                <w:color w:val="FFFFFF" w:themeColor="background1"/>
                <w:sz w:val="18"/>
                <w:szCs w:val="18"/>
              </w:rPr>
              <w:t>The annual financial statements must include a statement of the accounting policies adopted by the agency and such other statements as are necessary to fairly reflect the financial operations of the agency during the year and its financial position at the end of the year.</w:t>
            </w:r>
          </w:p>
        </w:tc>
      </w:tr>
      <w:tr w:rsidR="00545E95" w:rsidRPr="00CF7E1B" w14:paraId="251AF5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70725C9" w14:textId="77777777" w:rsidR="00545E95" w:rsidRPr="00550735" w:rsidRDefault="00545E95" w:rsidP="00545E95">
            <w:pPr>
              <w:pStyle w:val="TableReference"/>
              <w:tabs>
                <w:tab w:val="left" w:pos="3306"/>
              </w:tabs>
              <w:spacing w:before="60"/>
              <w:rPr>
                <w:color w:val="7030A0"/>
                <w:sz w:val="14"/>
              </w:rPr>
            </w:pPr>
            <w:r w:rsidRPr="00550735">
              <w:rPr>
                <w:color w:val="7030A0"/>
                <w:sz w:val="14"/>
              </w:rPr>
              <w:t xml:space="preserve">AASB 101.10(e), AASB 101.17 </w:t>
            </w:r>
          </w:p>
          <w:p w14:paraId="094C5FEA"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20857BE" w14:textId="106CA0A4" w:rsidR="00545E95" w:rsidRPr="00FC54D8" w:rsidRDefault="00545E95" w:rsidP="00545E95">
            <w:pPr>
              <w:pStyle w:val="CommentaryText"/>
              <w:tabs>
                <w:tab w:val="left" w:pos="3306"/>
              </w:tabs>
              <w:rPr>
                <w:color w:val="FFFFFF" w:themeColor="background1"/>
                <w:sz w:val="18"/>
                <w:szCs w:val="18"/>
              </w:rPr>
            </w:pPr>
            <w:r w:rsidRPr="00FC54D8">
              <w:rPr>
                <w:rFonts w:cs="Calibri"/>
                <w:color w:val="FFFFFF" w:themeColor="background1"/>
                <w:sz w:val="18"/>
              </w:rPr>
              <w:t>Material accounting policies must be presented in the notes to the financial statements.</w:t>
            </w:r>
            <w:r w:rsidR="00FA7C77" w:rsidRPr="00FC54D8">
              <w:rPr>
                <w:rFonts w:cs="Calibri"/>
                <w:color w:val="FFFFFF" w:themeColor="background1"/>
                <w:sz w:val="18"/>
              </w:rPr>
              <w:t xml:space="preserve"> </w:t>
            </w:r>
            <w:r w:rsidRPr="00FC54D8">
              <w:rPr>
                <w:rFonts w:cs="Calibri"/>
                <w:color w:val="FFFFFF" w:themeColor="background1"/>
                <w:sz w:val="18"/>
              </w:rPr>
              <w:t>The material accounting policies must include the measurement basis used in preparing the financial statements and the other accounting policies used that are relevant to an understanding of the financial statements.</w:t>
            </w:r>
          </w:p>
        </w:tc>
      </w:tr>
      <w:tr w:rsidR="00545E95" w:rsidRPr="00CF7E1B" w14:paraId="1D859570"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8F054C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1054.7 &amp; 9 </w:t>
            </w:r>
          </w:p>
          <w:p w14:paraId="377A0D3F"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605AFC15" w14:textId="30B2FC24"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The notes must also include a statement that the financial statements are general-purpose financial statements and a statement as to whether the financial statements have been prepared in accordance with Australian Accounting Standards.</w:t>
            </w:r>
          </w:p>
        </w:tc>
      </w:tr>
      <w:tr w:rsidR="00545E95" w:rsidRPr="00CF7E1B" w14:paraId="6CC05040"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88177DB"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1054.8(a) &amp; (b) </w:t>
            </w:r>
          </w:p>
          <w:p w14:paraId="39CB043C"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3C6E40FF" w14:textId="499DF90F"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In addition to the above mandatory disclosure requirements, the commentary in the standards indicate that it may also be appropriate to indicate the relevant statutory and other requirements adopted in the preparation of the financial statements, such as compliance with the FMA. The notes should also disclose whether, for the purpose of preparing the financial statements, the agency is a for-profit or not-for-profit entity.</w:t>
            </w:r>
          </w:p>
        </w:tc>
      </w:tr>
      <w:tr w:rsidR="00545E95" w:rsidRPr="00CF7E1B" w14:paraId="5EF37985"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41CE19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AASB 108.10</w:t>
            </w:r>
          </w:p>
          <w:p w14:paraId="220646DD"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65D95DE1" w14:textId="0ADEDA81"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Where there is no accounting standard or accounting interpretation, the disclosures should focus on explaining why the policy applied ensures that relevant and reliable information is presented in the financial statements.</w:t>
            </w:r>
          </w:p>
        </w:tc>
      </w:tr>
      <w:tr w:rsidR="009E2F17" w:rsidRPr="00CF7E1B" w14:paraId="3FF0477B"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vMerge w:val="restart"/>
            <w:tcBorders>
              <w:left w:val="single" w:sz="2" w:space="0" w:color="auto"/>
              <w:right w:val="single" w:sz="2" w:space="0" w:color="auto"/>
            </w:tcBorders>
          </w:tcPr>
          <w:p w14:paraId="54C2D095" w14:textId="1DD929AC" w:rsidR="009E2F17" w:rsidRPr="00550735" w:rsidRDefault="009E2F17" w:rsidP="00AF59A3">
            <w:pPr>
              <w:pStyle w:val="TableReference"/>
              <w:tabs>
                <w:tab w:val="left" w:pos="3306"/>
              </w:tabs>
              <w:spacing w:before="60"/>
              <w:rPr>
                <w:color w:val="7030A0"/>
                <w:sz w:val="14"/>
              </w:rPr>
            </w:pPr>
            <w:r w:rsidRPr="00550735">
              <w:rPr>
                <w:color w:val="7030A0"/>
                <w:sz w:val="14"/>
              </w:rPr>
              <w:t>Model Financial Statement 1.6 Application –ACT Disclosure Policy</w:t>
            </w:r>
          </w:p>
        </w:tc>
        <w:tc>
          <w:tcPr>
            <w:tcW w:w="4255" w:type="pct"/>
            <w:tcBorders>
              <w:left w:val="single" w:sz="2" w:space="0" w:color="auto"/>
            </w:tcBorders>
            <w:shd w:val="clear" w:color="auto" w:fill="7030A0"/>
          </w:tcPr>
          <w:p w14:paraId="50C8BC65" w14:textId="50AFD038" w:rsidR="009E2F17" w:rsidRPr="00FC54D8" w:rsidRDefault="009E2F17" w:rsidP="00AF59A3">
            <w:pPr>
              <w:pStyle w:val="CommentaryText"/>
              <w:tabs>
                <w:tab w:val="left" w:pos="3306"/>
              </w:tabs>
              <w:rPr>
                <w:rFonts w:cs="Calibri"/>
                <w:bCs/>
                <w:color w:val="FFFFFF" w:themeColor="background1"/>
                <w:sz w:val="18"/>
                <w:szCs w:val="18"/>
              </w:rPr>
            </w:pPr>
            <w:r w:rsidRPr="00FC54D8">
              <w:rPr>
                <w:rFonts w:cs="Calibri"/>
                <w:bCs/>
                <w:color w:val="FFFFFF" w:themeColor="background1"/>
                <w:sz w:val="18"/>
                <w:szCs w:val="18"/>
              </w:rPr>
              <w:t>Disclosures should only be included where the item is materially relevant to the Agency.</w:t>
            </w:r>
          </w:p>
        </w:tc>
      </w:tr>
      <w:tr w:rsidR="009E2F17" w:rsidRPr="00CF7E1B" w14:paraId="11EAECB0" w14:textId="77777777" w:rsidTr="00DF0C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60"/>
        </w:trPr>
        <w:tc>
          <w:tcPr>
            <w:tcW w:w="745" w:type="pct"/>
            <w:vMerge/>
            <w:tcBorders>
              <w:left w:val="single" w:sz="2" w:space="0" w:color="auto"/>
              <w:right w:val="single" w:sz="2" w:space="0" w:color="auto"/>
            </w:tcBorders>
          </w:tcPr>
          <w:p w14:paraId="01B2AEE7" w14:textId="77777777" w:rsidR="009E2F17" w:rsidRPr="00550735"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vAlign w:val="center"/>
          </w:tcPr>
          <w:p w14:paraId="3EEC7FAD" w14:textId="018A915E" w:rsidR="009E2F17" w:rsidRPr="00FC54D8" w:rsidRDefault="009E2F17" w:rsidP="00DF0C8B">
            <w:pPr>
              <w:pStyle w:val="CommentaryText"/>
              <w:tabs>
                <w:tab w:val="left" w:pos="3306"/>
              </w:tabs>
              <w:spacing w:after="0"/>
              <w:jc w:val="left"/>
              <w:rPr>
                <w:rFonts w:cs="Calibri"/>
                <w:bCs/>
                <w:color w:val="FFFFFF" w:themeColor="background1"/>
                <w:szCs w:val="20"/>
              </w:rPr>
            </w:pPr>
            <w:r w:rsidRPr="00FC54D8">
              <w:rPr>
                <w:rFonts w:cs="Calibri"/>
                <w:b/>
                <w:bCs/>
                <w:color w:val="FFFFFF" w:themeColor="background1"/>
                <w:szCs w:val="20"/>
              </w:rPr>
              <w:t>Assets and Liabilities</w:t>
            </w:r>
          </w:p>
        </w:tc>
      </w:tr>
      <w:tr w:rsidR="00AF59A3" w:rsidRPr="00CF7E1B" w14:paraId="4C5705F2"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E711497" w14:textId="5133EBB8" w:rsidR="00AF59A3" w:rsidRPr="00550735" w:rsidRDefault="00AF59A3" w:rsidP="00AF59A3">
            <w:pPr>
              <w:pStyle w:val="TableReference"/>
              <w:tabs>
                <w:tab w:val="left" w:pos="3306"/>
              </w:tabs>
              <w:spacing w:before="60"/>
              <w:rPr>
                <w:rFonts w:cs="Calibri"/>
                <w:color w:val="7030A0"/>
                <w:sz w:val="14"/>
              </w:rPr>
            </w:pPr>
            <w:r w:rsidRPr="00550735">
              <w:rPr>
                <w:color w:val="7030A0"/>
                <w:sz w:val="14"/>
              </w:rPr>
              <w:t>AASB 101.125, AASB 101.127</w:t>
            </w:r>
          </w:p>
        </w:tc>
        <w:tc>
          <w:tcPr>
            <w:tcW w:w="4255" w:type="pct"/>
            <w:tcBorders>
              <w:left w:val="single" w:sz="2" w:space="0" w:color="auto"/>
            </w:tcBorders>
            <w:shd w:val="clear" w:color="auto" w:fill="7030A0"/>
          </w:tcPr>
          <w:p w14:paraId="332FD04E" w14:textId="77F1F13A" w:rsidR="00AF59A3" w:rsidRPr="00FC54D8" w:rsidRDefault="00AF59A3" w:rsidP="00CC1E25">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All key assumptions concerning the future, that have a significant risk of causing material adjustments to carrying amounts of assets and liabilities within the next reporting period, must be disclosed.</w:t>
            </w:r>
            <w:r w:rsidR="00FA7C77" w:rsidRPr="00FC54D8">
              <w:rPr>
                <w:rFonts w:cs="Calibri"/>
                <w:color w:val="FFFFFF" w:themeColor="background1"/>
                <w:sz w:val="18"/>
                <w:szCs w:val="18"/>
              </w:rPr>
              <w:t xml:space="preserve"> </w:t>
            </w:r>
            <w:r w:rsidRPr="00FC54D8">
              <w:rPr>
                <w:rFonts w:cs="Calibri"/>
                <w:color w:val="FFFFFF" w:themeColor="background1"/>
                <w:sz w:val="18"/>
                <w:szCs w:val="18"/>
              </w:rPr>
              <w:t>This disclosure will contain details of their nature and their carrying amounts as at the reporting date. The assumptions and other sources of estimation uncertainty disclosed in accordance with AASB 101.125 relate to the estimates that require management’s most difficult, subjective or complex judgements.</w:t>
            </w:r>
          </w:p>
        </w:tc>
      </w:tr>
      <w:tr w:rsidR="00AF59A3" w:rsidRPr="00CF7E1B" w14:paraId="6E3A569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41BEF77"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7EBE867D" w14:textId="095B9889" w:rsidR="00AF59A3" w:rsidRPr="00FC54D8" w:rsidRDefault="00AF59A3" w:rsidP="00CC1E25">
            <w:pPr>
              <w:pStyle w:val="CommentaryText"/>
              <w:tabs>
                <w:tab w:val="left" w:pos="3306"/>
              </w:tabs>
              <w:spacing w:after="40"/>
              <w:rPr>
                <w:rFonts w:cs="Calibri"/>
                <w:color w:val="FFFFFF" w:themeColor="background1"/>
                <w:szCs w:val="20"/>
              </w:rPr>
            </w:pPr>
            <w:r w:rsidRPr="00FC54D8">
              <w:rPr>
                <w:rFonts w:cs="Calibri"/>
                <w:b/>
                <w:bCs/>
                <w:color w:val="FFFFFF" w:themeColor="background1"/>
                <w:szCs w:val="20"/>
              </w:rPr>
              <w:t>Other Judgements and Estimates</w:t>
            </w:r>
          </w:p>
        </w:tc>
      </w:tr>
      <w:tr w:rsidR="00AF59A3" w:rsidRPr="00CF7E1B" w14:paraId="6F99CA76"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B1BD455"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05AD9780" w14:textId="467225F8" w:rsidR="00AF59A3" w:rsidRPr="00FC54D8" w:rsidRDefault="00AF59A3" w:rsidP="008E62D1">
            <w:pPr>
              <w:pStyle w:val="CommentaryText"/>
              <w:tabs>
                <w:tab w:val="left" w:pos="3306"/>
              </w:tabs>
              <w:spacing w:after="40"/>
              <w:rPr>
                <w:rFonts w:cs="Calibri"/>
                <w:b/>
                <w:bCs/>
                <w:color w:val="FFFFFF" w:themeColor="background1"/>
                <w:sz w:val="18"/>
                <w:szCs w:val="18"/>
              </w:rPr>
            </w:pPr>
            <w:r w:rsidRPr="00FC54D8">
              <w:rPr>
                <w:rFonts w:cs="Calibri"/>
                <w:color w:val="FFFFFF" w:themeColor="background1"/>
                <w:sz w:val="18"/>
                <w:szCs w:val="18"/>
              </w:rPr>
              <w:t>For other significant accounting judgements and estimates they will be specific to each agency.</w:t>
            </w:r>
            <w:r w:rsidR="00FA7C77" w:rsidRPr="00FC54D8">
              <w:rPr>
                <w:rFonts w:cs="Calibri"/>
                <w:color w:val="FFFFFF" w:themeColor="background1"/>
                <w:sz w:val="18"/>
                <w:szCs w:val="18"/>
              </w:rPr>
              <w:t xml:space="preserve"> </w:t>
            </w:r>
            <w:r w:rsidRPr="00FC54D8">
              <w:rPr>
                <w:color w:val="FFFFFF" w:themeColor="background1"/>
                <w:sz w:val="18"/>
                <w:szCs w:val="18"/>
              </w:rPr>
              <w:t>Where an agency has made a specific significant accounting judgement or estimate this must be disclosed. For example, the Superannuation Provision Account makes significant accounting estimates in relation to the superannuation liability</w:t>
            </w:r>
            <w:r w:rsidRPr="008E62D1">
              <w:rPr>
                <w:rFonts w:cs="Calibri"/>
                <w:bCs/>
                <w:color w:val="FFFFFF" w:themeColor="background1"/>
                <w:sz w:val="18"/>
                <w:szCs w:val="18"/>
              </w:rPr>
              <w:t>.</w:t>
            </w:r>
          </w:p>
        </w:tc>
      </w:tr>
      <w:tr w:rsidR="00AF59A3" w:rsidRPr="00CF7E1B" w14:paraId="1F5B19FB"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1960767"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3A6C187" w14:textId="1C7F202D" w:rsidR="00AF59A3" w:rsidRPr="00FC54D8" w:rsidRDefault="00AF59A3" w:rsidP="00CC1E25">
            <w:pPr>
              <w:pStyle w:val="CommentaryText"/>
              <w:tabs>
                <w:tab w:val="left" w:pos="3306"/>
              </w:tabs>
              <w:spacing w:before="120" w:after="40"/>
              <w:rPr>
                <w:rFonts w:cs="Calibri"/>
                <w:b/>
                <w:bCs/>
                <w:color w:val="FFFFFF" w:themeColor="background1"/>
                <w:szCs w:val="20"/>
              </w:rPr>
            </w:pPr>
            <w:r w:rsidRPr="00FC54D8">
              <w:rPr>
                <w:rFonts w:cs="Calibri"/>
                <w:b/>
                <w:bCs/>
                <w:color w:val="FFFFFF" w:themeColor="background1"/>
                <w:szCs w:val="20"/>
              </w:rPr>
              <w:t>Going Concern</w:t>
            </w:r>
          </w:p>
        </w:tc>
      </w:tr>
      <w:tr w:rsidR="00AF59A3" w:rsidRPr="00CF7E1B" w14:paraId="6D9C19D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29CAE011" w14:textId="2582BFCF" w:rsidR="00AF59A3" w:rsidRPr="00550735" w:rsidRDefault="00AF59A3" w:rsidP="00E35CD2">
            <w:pPr>
              <w:pStyle w:val="TableReference"/>
              <w:tabs>
                <w:tab w:val="left" w:pos="3306"/>
              </w:tabs>
              <w:spacing w:before="60" w:after="40"/>
              <w:rPr>
                <w:rFonts w:cs="Calibri"/>
                <w:color w:val="7030A0"/>
                <w:sz w:val="14"/>
              </w:rPr>
            </w:pPr>
            <w:r w:rsidRPr="00550735">
              <w:rPr>
                <w:color w:val="7030A0"/>
                <w:sz w:val="14"/>
              </w:rPr>
              <w:t>AASB 101. 25-26</w:t>
            </w:r>
          </w:p>
        </w:tc>
        <w:tc>
          <w:tcPr>
            <w:tcW w:w="4255" w:type="pct"/>
            <w:tcBorders>
              <w:left w:val="single" w:sz="2" w:space="0" w:color="auto"/>
            </w:tcBorders>
            <w:shd w:val="clear" w:color="auto" w:fill="7030A0"/>
          </w:tcPr>
          <w:p w14:paraId="6702B30E" w14:textId="386197DD" w:rsidR="00AF59A3" w:rsidRPr="00FC54D8" w:rsidRDefault="00AF59A3" w:rsidP="00CC1E25">
            <w:pPr>
              <w:pStyle w:val="CommentaryText"/>
              <w:tabs>
                <w:tab w:val="left" w:pos="3306"/>
              </w:tabs>
              <w:rPr>
                <w:rFonts w:cs="Calibri"/>
                <w:b/>
                <w:bCs/>
                <w:color w:val="FFFFFF" w:themeColor="background1"/>
                <w:sz w:val="18"/>
                <w:szCs w:val="18"/>
              </w:rPr>
            </w:pPr>
            <w:r w:rsidRPr="00FC54D8">
              <w:rPr>
                <w:color w:val="FFFFFF" w:themeColor="background1"/>
                <w:sz w:val="18"/>
                <w:szCs w:val="18"/>
              </w:rPr>
              <w:t>When preparing financial statements, management shall make an assessment of the agency’s ability to continue as a going concern.</w:t>
            </w:r>
            <w:r w:rsidR="00FA7C77" w:rsidRPr="00FC54D8">
              <w:rPr>
                <w:color w:val="FFFFFF" w:themeColor="background1"/>
                <w:sz w:val="18"/>
                <w:szCs w:val="18"/>
              </w:rPr>
              <w:t xml:space="preserve"> </w:t>
            </w:r>
            <w:r w:rsidRPr="00FC54D8">
              <w:rPr>
                <w:color w:val="FFFFFF" w:themeColor="background1"/>
                <w:sz w:val="18"/>
                <w:szCs w:val="18"/>
              </w:rPr>
              <w:t>The general presumption for government agencies is that they will continue to perform their current functions and activities.</w:t>
            </w:r>
            <w:r w:rsidR="00FA7C77" w:rsidRPr="00FC54D8">
              <w:rPr>
                <w:color w:val="FFFFFF" w:themeColor="background1"/>
                <w:sz w:val="18"/>
                <w:szCs w:val="18"/>
              </w:rPr>
              <w:t xml:space="preserve"> </w:t>
            </w:r>
            <w:r w:rsidRPr="00FC54D8">
              <w:rPr>
                <w:color w:val="FFFFFF" w:themeColor="background1"/>
                <w:sz w:val="18"/>
                <w:szCs w:val="18"/>
              </w:rPr>
              <w:t xml:space="preserve"> </w:t>
            </w:r>
          </w:p>
        </w:tc>
      </w:tr>
      <w:tr w:rsidR="009E2F17" w:rsidRPr="00CF7E1B" w14:paraId="4F00291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7E778F62" w14:textId="77777777" w:rsidR="009E2F17" w:rsidRPr="00550735" w:rsidRDefault="009E2F17" w:rsidP="00C9212B">
            <w:pPr>
              <w:pStyle w:val="TableReference"/>
              <w:tabs>
                <w:tab w:val="left" w:pos="3306"/>
              </w:tabs>
              <w:spacing w:before="240" w:after="240"/>
              <w:rPr>
                <w:rFonts w:cs="Calibri"/>
                <w:color w:val="7030A0"/>
                <w:sz w:val="22"/>
                <w:szCs w:val="22"/>
              </w:rPr>
            </w:pPr>
            <w:r w:rsidRPr="00550735">
              <w:rPr>
                <w:rFonts w:cs="Calibri"/>
                <w:b/>
                <w:color w:val="7030A0"/>
                <w:sz w:val="22"/>
                <w:szCs w:val="22"/>
              </w:rPr>
              <w:t>Reference</w:t>
            </w:r>
          </w:p>
        </w:tc>
        <w:tc>
          <w:tcPr>
            <w:tcW w:w="4255" w:type="pct"/>
            <w:tcBorders>
              <w:left w:val="single" w:sz="2" w:space="0" w:color="auto"/>
            </w:tcBorders>
            <w:shd w:val="clear" w:color="auto" w:fill="7030A0"/>
          </w:tcPr>
          <w:p w14:paraId="4BC4911F" w14:textId="4EF53CEC" w:rsidR="009E2F17" w:rsidRPr="00550735" w:rsidRDefault="009E2F17" w:rsidP="00C9212B">
            <w:pPr>
              <w:pStyle w:val="CommentaryTitle"/>
              <w:spacing w:before="240" w:after="240"/>
              <w:rPr>
                <w:rFonts w:cs="Calibri"/>
                <w:color w:val="E7E6E6" w:themeColor="background2"/>
              </w:rPr>
            </w:pPr>
            <w:r w:rsidRPr="00AC471F">
              <w:rPr>
                <w:rFonts w:cs="Calibri"/>
                <w:color w:val="FFFFFF" w:themeColor="background1"/>
                <w:sz w:val="28"/>
                <w:szCs w:val="28"/>
              </w:rPr>
              <w:t xml:space="preserve">Commentary </w:t>
            </w:r>
            <w:r w:rsidRPr="00AC471F">
              <w:rPr>
                <w:rFonts w:cs="Calibri"/>
                <w:color w:val="FFFFFF" w:themeColor="background1"/>
                <w:sz w:val="28"/>
                <w:szCs w:val="28"/>
              </w:rPr>
              <w:sym w:font="Symbol" w:char="F02D"/>
            </w:r>
            <w:r w:rsidRPr="00AC471F">
              <w:rPr>
                <w:rFonts w:cs="Calibri"/>
                <w:color w:val="FFFFFF" w:themeColor="background1"/>
                <w:sz w:val="28"/>
                <w:szCs w:val="28"/>
              </w:rPr>
              <w:t xml:space="preserve"> Note 2: Basis of Preparation of the Financial Statements </w:t>
            </w:r>
            <w:r w:rsidR="00AC471F" w:rsidRPr="00AC471F">
              <w:rPr>
                <w:rFonts w:cs="Calibri"/>
                <w:color w:val="FFFFFF" w:themeColor="background1"/>
                <w:sz w:val="28"/>
                <w:szCs w:val="28"/>
              </w:rPr>
              <w:t>–</w:t>
            </w:r>
            <w:r w:rsidRPr="00AC471F">
              <w:rPr>
                <w:rFonts w:cs="Calibri"/>
                <w:color w:val="FFFFFF" w:themeColor="background1"/>
                <w:sz w:val="28"/>
                <w:szCs w:val="28"/>
              </w:rPr>
              <w:t xml:space="preserve"> Continued</w:t>
            </w:r>
            <w:r w:rsidR="00AC471F">
              <w:rPr>
                <w:rFonts w:cs="Calibri"/>
                <w:b w:val="0"/>
                <w:bCs w:val="0"/>
                <w:color w:val="E7E6E6" w:themeColor="background2"/>
                <w:sz w:val="28"/>
                <w:szCs w:val="28"/>
              </w:rPr>
              <w:t xml:space="preserve"> </w:t>
            </w:r>
          </w:p>
        </w:tc>
      </w:tr>
      <w:tr w:rsidR="007C3EDD" w:rsidRPr="00CF7E1B" w14:paraId="504DC3B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7A76012A" w14:textId="77777777" w:rsidR="007C3EDD" w:rsidRPr="00550735" w:rsidRDefault="007C3EDD" w:rsidP="009A0F2F">
            <w:pPr>
              <w:pStyle w:val="TableReference"/>
              <w:tabs>
                <w:tab w:val="left" w:pos="3306"/>
              </w:tabs>
              <w:spacing w:before="60"/>
              <w:rPr>
                <w:rFonts w:cs="Calibri"/>
                <w:b/>
                <w:color w:val="7030A0"/>
                <w:sz w:val="22"/>
                <w:szCs w:val="22"/>
              </w:rPr>
            </w:pPr>
          </w:p>
        </w:tc>
        <w:tc>
          <w:tcPr>
            <w:tcW w:w="4255" w:type="pct"/>
            <w:tcBorders>
              <w:left w:val="single" w:sz="2" w:space="0" w:color="auto"/>
            </w:tcBorders>
            <w:shd w:val="clear" w:color="auto" w:fill="7030A0"/>
          </w:tcPr>
          <w:p w14:paraId="1C1798CD" w14:textId="26126BBE" w:rsidR="007C3EDD" w:rsidRPr="00AC471F" w:rsidRDefault="007C3EDD" w:rsidP="00AC471F">
            <w:pPr>
              <w:pStyle w:val="CommentaryTitle"/>
              <w:spacing w:after="120"/>
              <w:rPr>
                <w:rFonts w:cs="Calibri"/>
                <w:b w:val="0"/>
                <w:bCs w:val="0"/>
                <w:color w:val="FFFFFF" w:themeColor="background1"/>
                <w:sz w:val="18"/>
                <w:szCs w:val="18"/>
              </w:rPr>
            </w:pPr>
            <w:r w:rsidRPr="00AC471F">
              <w:rPr>
                <w:rFonts w:cs="Calibri"/>
                <w:b w:val="0"/>
                <w:bCs w:val="0"/>
                <w:color w:val="FFFFFF" w:themeColor="background1"/>
                <w:sz w:val="18"/>
                <w:szCs w:val="18"/>
              </w:rPr>
              <w:t xml:space="preserve">Where current assets and current liabilities are assessed by </w:t>
            </w:r>
            <w:r w:rsidRPr="00C9508B">
              <w:rPr>
                <w:rFonts w:cs="Calibri"/>
                <w:b w:val="0"/>
                <w:bCs w:val="0"/>
                <w:strike/>
                <w:color w:val="FF0000"/>
                <w:sz w:val="18"/>
                <w:szCs w:val="18"/>
              </w:rPr>
              <w:t>territorial</w:t>
            </w:r>
            <w:r w:rsidRPr="00C9508B">
              <w:rPr>
                <w:rFonts w:cs="Calibri"/>
                <w:b w:val="0"/>
                <w:bCs w:val="0"/>
                <w:color w:val="FFFFFF" w:themeColor="background1"/>
                <w:sz w:val="18"/>
                <w:szCs w:val="18"/>
              </w:rPr>
              <w:t xml:space="preserve"> </w:t>
            </w:r>
            <w:r w:rsidR="008A46C8" w:rsidRPr="00C9508B">
              <w:rPr>
                <w:rFonts w:cs="Calibri"/>
                <w:b w:val="0"/>
                <w:bCs w:val="0"/>
                <w:color w:val="FF0000"/>
                <w:sz w:val="18"/>
                <w:szCs w:val="18"/>
              </w:rPr>
              <w:t>territory</w:t>
            </w:r>
            <w:r w:rsidR="008A46C8">
              <w:rPr>
                <w:rFonts w:cs="Calibri"/>
                <w:b w:val="0"/>
                <w:bCs w:val="0"/>
                <w:color w:val="FFFFFF" w:themeColor="background1"/>
                <w:sz w:val="18"/>
                <w:szCs w:val="18"/>
              </w:rPr>
              <w:t xml:space="preserve"> </w:t>
            </w:r>
            <w:r w:rsidRPr="00AC471F">
              <w:rPr>
                <w:rFonts w:cs="Calibri"/>
                <w:b w:val="0"/>
                <w:bCs w:val="0"/>
                <w:color w:val="FFFFFF" w:themeColor="background1"/>
                <w:sz w:val="18"/>
                <w:szCs w:val="18"/>
              </w:rPr>
              <w:t>authorities and territory</w:t>
            </w:r>
            <w:r w:rsidR="008A46C8" w:rsidRPr="00C9508B">
              <w:rPr>
                <w:rFonts w:cs="Calibri"/>
                <w:b w:val="0"/>
                <w:bCs w:val="0"/>
                <w:color w:val="FF0000"/>
                <w:sz w:val="18"/>
                <w:szCs w:val="18"/>
              </w:rPr>
              <w:t>-</w:t>
            </w:r>
            <w:r w:rsidRPr="00AC471F">
              <w:rPr>
                <w:rFonts w:cs="Calibri"/>
                <w:b w:val="0"/>
                <w:bCs w:val="0"/>
                <w:color w:val="FFFFFF" w:themeColor="background1"/>
                <w:sz w:val="18"/>
                <w:szCs w:val="18"/>
              </w:rPr>
              <w:t xml:space="preserve">owned corporations as part of a going concern analysis, </w:t>
            </w:r>
            <w:r w:rsidR="006034B1" w:rsidRPr="00AC471F">
              <w:rPr>
                <w:rFonts w:cs="Calibri"/>
                <w:b w:val="0"/>
                <w:bCs w:val="0"/>
                <w:color w:val="FFFFFF" w:themeColor="background1"/>
                <w:sz w:val="18"/>
                <w:szCs w:val="18"/>
              </w:rPr>
              <w:t>disclosure</w:t>
            </w:r>
            <w:r w:rsidRPr="00AC471F">
              <w:rPr>
                <w:rFonts w:cs="Calibri"/>
                <w:b w:val="0"/>
                <w:bCs w:val="0"/>
                <w:color w:val="FFFFFF" w:themeColor="background1"/>
                <w:sz w:val="18"/>
                <w:szCs w:val="18"/>
              </w:rPr>
              <w:t xml:space="preserve"> of the of the analysis</w:t>
            </w:r>
            <w:r w:rsidR="00483CC4" w:rsidRPr="00AC471F">
              <w:rPr>
                <w:rFonts w:cs="Calibri"/>
                <w:b w:val="0"/>
                <w:bCs w:val="0"/>
                <w:color w:val="FFFFFF" w:themeColor="background1"/>
                <w:sz w:val="18"/>
                <w:szCs w:val="18"/>
              </w:rPr>
              <w:t xml:space="preserve"> should be </w:t>
            </w:r>
            <w:r w:rsidR="00687AD5" w:rsidRPr="00AC471F">
              <w:rPr>
                <w:rFonts w:cs="Calibri"/>
                <w:b w:val="0"/>
                <w:bCs w:val="0"/>
                <w:color w:val="FFFFFF" w:themeColor="background1"/>
                <w:sz w:val="18"/>
                <w:szCs w:val="18"/>
              </w:rPr>
              <w:t>included</w:t>
            </w:r>
            <w:r w:rsidR="00483CC4" w:rsidRPr="00AC471F">
              <w:rPr>
                <w:rFonts w:cs="Calibri"/>
                <w:b w:val="0"/>
                <w:bCs w:val="0"/>
                <w:color w:val="FFFFFF" w:themeColor="background1"/>
                <w:sz w:val="18"/>
                <w:szCs w:val="18"/>
              </w:rPr>
              <w:t>.</w:t>
            </w:r>
          </w:p>
        </w:tc>
      </w:tr>
      <w:tr w:rsidR="009E2F17" w:rsidRPr="00CF7E1B" w14:paraId="1725923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4F144D8F" w14:textId="77777777" w:rsidR="009E2F17" w:rsidRPr="00550735"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8F05624" w14:textId="50EE0F96" w:rsidR="009E2F17" w:rsidRPr="008A46C8" w:rsidRDefault="009E2F17" w:rsidP="007B013F">
            <w:pPr>
              <w:pStyle w:val="CommentaryText"/>
              <w:tabs>
                <w:tab w:val="left" w:pos="3306"/>
              </w:tabs>
              <w:spacing w:after="0"/>
              <w:rPr>
                <w:color w:val="FFFFFF" w:themeColor="background1"/>
                <w:sz w:val="18"/>
                <w:szCs w:val="18"/>
              </w:rPr>
            </w:pPr>
            <w:r w:rsidRPr="008A46C8">
              <w:rPr>
                <w:color w:val="FFFFFF" w:themeColor="background1"/>
                <w:sz w:val="18"/>
                <w:szCs w:val="18"/>
              </w:rPr>
              <w:t>From time to time, the government may decide through an administrative arrangement change, or similar event, to move functions across agencies and/or create new agencies (or more rarely cease an agency’s activities or sell off an agency).</w:t>
            </w:r>
            <w:r w:rsidR="00FA7C77" w:rsidRPr="008A46C8">
              <w:rPr>
                <w:color w:val="FFFFFF" w:themeColor="background1"/>
                <w:sz w:val="18"/>
                <w:szCs w:val="18"/>
              </w:rPr>
              <w:t xml:space="preserve"> </w:t>
            </w:r>
            <w:r w:rsidRPr="008A46C8">
              <w:rPr>
                <w:color w:val="FFFFFF" w:themeColor="background1"/>
                <w:sz w:val="18"/>
                <w:szCs w:val="18"/>
              </w:rPr>
              <w:t>Agencies should disclose where it is known they will cease to be a separate reporting entity, due to an administrative arrangement change, or similar event.</w:t>
            </w:r>
            <w:r w:rsidR="00FA7C77" w:rsidRPr="008A46C8">
              <w:rPr>
                <w:color w:val="FFFFFF" w:themeColor="background1"/>
                <w:sz w:val="18"/>
                <w:szCs w:val="18"/>
              </w:rPr>
              <w:t xml:space="preserve"> </w:t>
            </w:r>
            <w:r w:rsidRPr="008A46C8">
              <w:rPr>
                <w:color w:val="FFFFFF" w:themeColor="background1"/>
                <w:sz w:val="18"/>
                <w:szCs w:val="18"/>
              </w:rPr>
              <w:t xml:space="preserve"> An example disclosure would read</w:t>
            </w:r>
            <w:r w:rsidR="00FA7C77" w:rsidRPr="008A46C8">
              <w:rPr>
                <w:color w:val="FFFFFF" w:themeColor="background1"/>
                <w:sz w:val="18"/>
                <w:szCs w:val="18"/>
              </w:rPr>
              <w:t xml:space="preserve"> </w:t>
            </w:r>
            <w:r w:rsidRPr="008A46C8">
              <w:rPr>
                <w:color w:val="FFFFFF" w:themeColor="background1"/>
                <w:sz w:val="18"/>
                <w:szCs w:val="18"/>
              </w:rPr>
              <w:t>“As a result of Administrative Arrangement 20X0 (No.1), notifiable instrument NI 20X0-XXX, announced on 30 May 20X0 ‘Burley Griffin Agency’ ceases as a separate reporting entity on 1 July 20XX”. ‘Burley Griffin Agency’s’ functions were transferred to ‘New Agency’.</w:t>
            </w:r>
          </w:p>
        </w:tc>
      </w:tr>
      <w:tr w:rsidR="009E2F17" w:rsidRPr="00CF7E1B" w14:paraId="470AAFB1"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0B04F5EE" w14:textId="77777777" w:rsidR="009E2F17" w:rsidRPr="009E2F17"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85B70FE" w14:textId="77897EDA" w:rsidR="009E2F17" w:rsidRPr="008A46C8" w:rsidRDefault="009E2F17" w:rsidP="00CC1E25">
            <w:pPr>
              <w:pStyle w:val="CommentaryText"/>
              <w:tabs>
                <w:tab w:val="left" w:pos="3306"/>
              </w:tabs>
              <w:spacing w:before="120" w:after="40"/>
              <w:rPr>
                <w:color w:val="FFFFFF" w:themeColor="background1"/>
                <w:szCs w:val="20"/>
              </w:rPr>
            </w:pPr>
            <w:r w:rsidRPr="008E62D1">
              <w:rPr>
                <w:b/>
                <w:bCs/>
                <w:color w:val="FFFFFF" w:themeColor="background1"/>
                <w:szCs w:val="20"/>
              </w:rPr>
              <w:t>Statement of Compliance with International Financial Reporting Standards (IFRSs)</w:t>
            </w:r>
          </w:p>
        </w:tc>
      </w:tr>
      <w:tr w:rsidR="009E2F17" w:rsidRPr="00CF7E1B" w14:paraId="1A8002D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5822F7EC" w14:textId="77777777" w:rsidR="009E2F17" w:rsidRPr="009E2F17" w:rsidRDefault="009E2F17" w:rsidP="009E2F17">
            <w:pPr>
              <w:pStyle w:val="TableReference"/>
              <w:tabs>
                <w:tab w:val="left" w:pos="3306"/>
              </w:tabs>
              <w:spacing w:before="60"/>
              <w:rPr>
                <w:color w:val="7030A0"/>
                <w:sz w:val="14"/>
              </w:rPr>
            </w:pPr>
            <w:r w:rsidRPr="009E2F17">
              <w:rPr>
                <w:color w:val="7030A0"/>
                <w:sz w:val="14"/>
              </w:rPr>
              <w:t xml:space="preserve">AASB 101.16 </w:t>
            </w:r>
          </w:p>
          <w:p w14:paraId="70EADE88" w14:textId="508E06A7" w:rsidR="009E2F17" w:rsidRPr="009E2F17" w:rsidRDefault="009E2F17" w:rsidP="009E2F17">
            <w:pPr>
              <w:pStyle w:val="TableReference"/>
              <w:tabs>
                <w:tab w:val="left" w:pos="3306"/>
              </w:tabs>
              <w:spacing w:before="60"/>
              <w:rPr>
                <w:color w:val="7030A0"/>
                <w:sz w:val="14"/>
              </w:rPr>
            </w:pPr>
            <w:r w:rsidRPr="009E2F17">
              <w:rPr>
                <w:color w:val="7030A0"/>
                <w:sz w:val="14"/>
              </w:rPr>
              <w:t>AASB 101.Aus16.3</w:t>
            </w:r>
          </w:p>
        </w:tc>
        <w:tc>
          <w:tcPr>
            <w:tcW w:w="4255" w:type="pct"/>
            <w:tcBorders>
              <w:left w:val="single" w:sz="2" w:space="0" w:color="auto"/>
            </w:tcBorders>
            <w:shd w:val="clear" w:color="auto" w:fill="7030A0"/>
          </w:tcPr>
          <w:p w14:paraId="7D680475" w14:textId="6CC0A13F" w:rsidR="009E2F17" w:rsidRPr="008A46C8" w:rsidRDefault="009E2F17" w:rsidP="001D66DB">
            <w:pPr>
              <w:pStyle w:val="CommentaryText"/>
              <w:tabs>
                <w:tab w:val="left" w:pos="3306"/>
              </w:tabs>
              <w:spacing w:before="40"/>
              <w:rPr>
                <w:color w:val="FFFFFF" w:themeColor="background1"/>
                <w:sz w:val="18"/>
                <w:szCs w:val="18"/>
              </w:rPr>
            </w:pPr>
            <w:r w:rsidRPr="008A46C8">
              <w:rPr>
                <w:color w:val="FFFFFF" w:themeColor="background1"/>
                <w:sz w:val="18"/>
                <w:szCs w:val="18"/>
              </w:rPr>
              <w:t>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p>
        </w:tc>
      </w:tr>
      <w:tr w:rsidR="000144FF" w:rsidRPr="00CF7E1B" w14:paraId="3562C08E" w14:textId="77777777" w:rsidTr="00B513E5">
        <w:tc>
          <w:tcPr>
            <w:tcW w:w="745" w:type="pct"/>
            <w:tcBorders>
              <w:top w:val="nil"/>
              <w:left w:val="single" w:sz="2" w:space="0" w:color="auto"/>
              <w:bottom w:val="nil"/>
              <w:right w:val="single" w:sz="2" w:space="0" w:color="auto"/>
            </w:tcBorders>
          </w:tcPr>
          <w:p w14:paraId="5177F450" w14:textId="5E1C2DFD" w:rsidR="000144FF" w:rsidRPr="009E2F17" w:rsidRDefault="000144FF">
            <w:pPr>
              <w:pStyle w:val="TableReference"/>
              <w:tabs>
                <w:tab w:val="left" w:pos="3306"/>
              </w:tabs>
              <w:spacing w:before="80"/>
              <w:rPr>
                <w:rFonts w:cs="Calibri"/>
                <w:color w:val="7030A0"/>
                <w:sz w:val="22"/>
                <w:szCs w:val="22"/>
                <w:highlight w:val="yellow"/>
              </w:rPr>
            </w:pPr>
          </w:p>
        </w:tc>
        <w:tc>
          <w:tcPr>
            <w:tcW w:w="4255" w:type="pct"/>
            <w:tcBorders>
              <w:top w:val="nil"/>
              <w:left w:val="single" w:sz="2" w:space="0" w:color="auto"/>
              <w:bottom w:val="nil"/>
              <w:right w:val="nil"/>
            </w:tcBorders>
          </w:tcPr>
          <w:p w14:paraId="01E47B81" w14:textId="35D0921B" w:rsidR="000144FF" w:rsidRPr="009E2F17" w:rsidRDefault="007D50BC" w:rsidP="00635FDB">
            <w:pPr>
              <w:pStyle w:val="Heading1"/>
              <w:numPr>
                <w:ilvl w:val="0"/>
                <w:numId w:val="0"/>
              </w:numPr>
              <w:rPr>
                <w:rFonts w:asciiTheme="minorHAnsi" w:hAnsiTheme="minorHAnsi" w:cstheme="minorHAnsi"/>
                <w:sz w:val="36"/>
                <w:szCs w:val="36"/>
                <w:highlight w:val="yellow"/>
              </w:rPr>
            </w:pPr>
            <w:bookmarkStart w:id="333" w:name="_Toc48468325"/>
            <w:bookmarkStart w:id="334" w:name="_Toc49155492"/>
            <w:bookmarkStart w:id="335" w:name="_Toc49223954"/>
            <w:bookmarkStart w:id="336" w:name="_Ref50257711"/>
            <w:bookmarkStart w:id="337" w:name="_Toc50440334"/>
            <w:bookmarkStart w:id="338" w:name="_Ref50523801"/>
            <w:bookmarkStart w:id="339" w:name="_Toc123096415"/>
            <w:bookmarkStart w:id="340" w:name="_Toc400627319"/>
            <w:bookmarkStart w:id="341" w:name="SummarySignificantAccPolicies"/>
            <w:bookmarkStart w:id="342" w:name="_Toc132743777"/>
            <w:r w:rsidRPr="009E2F17">
              <w:rPr>
                <w:rFonts w:asciiTheme="minorHAnsi" w:hAnsiTheme="minorHAnsi" w:cstheme="minorHAnsi"/>
                <w:sz w:val="36"/>
                <w:szCs w:val="36"/>
              </w:rPr>
              <w:t>N</w:t>
            </w:r>
            <w:r w:rsidR="00960982" w:rsidRPr="009E2F17">
              <w:rPr>
                <w:rFonts w:asciiTheme="minorHAnsi" w:hAnsiTheme="minorHAnsi" w:cstheme="minorHAnsi"/>
                <w:sz w:val="36"/>
                <w:szCs w:val="36"/>
              </w:rPr>
              <w:t>ote</w:t>
            </w:r>
            <w:r w:rsidRPr="009E2F17">
              <w:rPr>
                <w:rFonts w:asciiTheme="minorHAnsi" w:hAnsiTheme="minorHAnsi" w:cstheme="minorHAnsi"/>
                <w:sz w:val="36"/>
                <w:szCs w:val="36"/>
              </w:rPr>
              <w:t xml:space="preserve"> </w:t>
            </w:r>
            <w:r w:rsidR="00DD2353" w:rsidRPr="009E2F17">
              <w:rPr>
                <w:rFonts w:asciiTheme="minorHAnsi" w:hAnsiTheme="minorHAnsi" w:cstheme="minorHAnsi"/>
                <w:sz w:val="36"/>
                <w:szCs w:val="36"/>
              </w:rPr>
              <w:t>3</w:t>
            </w:r>
            <w:r w:rsidRPr="009E2F17">
              <w:rPr>
                <w:rFonts w:asciiTheme="minorHAnsi" w:hAnsiTheme="minorHAnsi" w:cstheme="minorHAnsi"/>
                <w:sz w:val="36"/>
                <w:szCs w:val="36"/>
              </w:rPr>
              <w:t>.</w:t>
            </w:r>
            <w:r w:rsidR="00FA7C77">
              <w:rPr>
                <w:rFonts w:asciiTheme="minorHAnsi" w:hAnsiTheme="minorHAnsi" w:cstheme="minorHAnsi"/>
                <w:sz w:val="36"/>
                <w:szCs w:val="36"/>
              </w:rPr>
              <w:t xml:space="preserve"> </w:t>
            </w:r>
            <w:r w:rsidRPr="009E2F17">
              <w:rPr>
                <w:rFonts w:asciiTheme="minorHAnsi" w:hAnsiTheme="minorHAnsi" w:cstheme="minorHAnsi"/>
                <w:sz w:val="36"/>
                <w:szCs w:val="36"/>
              </w:rPr>
              <w:t xml:space="preserve"> </w:t>
            </w:r>
            <w:r w:rsidR="00E21512" w:rsidRPr="009E2F17">
              <w:rPr>
                <w:rFonts w:asciiTheme="minorHAnsi" w:hAnsiTheme="minorHAnsi" w:cstheme="minorHAnsi"/>
                <w:sz w:val="36"/>
                <w:szCs w:val="36"/>
              </w:rPr>
              <w:t>Impact of Accounting Standards Issued But Yet to Be Applied</w:t>
            </w:r>
            <w:bookmarkEnd w:id="333"/>
            <w:bookmarkEnd w:id="334"/>
            <w:bookmarkEnd w:id="335"/>
            <w:bookmarkEnd w:id="336"/>
            <w:bookmarkEnd w:id="337"/>
            <w:bookmarkEnd w:id="338"/>
            <w:bookmarkEnd w:id="339"/>
            <w:bookmarkEnd w:id="340"/>
            <w:bookmarkEnd w:id="341"/>
            <w:bookmarkEnd w:id="342"/>
          </w:p>
        </w:tc>
      </w:tr>
      <w:tr w:rsidR="00E16D69" w:rsidRPr="00725106" w14:paraId="59B97866" w14:textId="77777777" w:rsidTr="00B513E5">
        <w:tc>
          <w:tcPr>
            <w:tcW w:w="745" w:type="pct"/>
            <w:tcBorders>
              <w:top w:val="nil"/>
              <w:left w:val="single" w:sz="2" w:space="0" w:color="auto"/>
              <w:bottom w:val="nil"/>
              <w:right w:val="single" w:sz="2" w:space="0" w:color="auto"/>
            </w:tcBorders>
          </w:tcPr>
          <w:p w14:paraId="12264DE1" w14:textId="7580CF07" w:rsidR="00E16D69" w:rsidRPr="009E2F17" w:rsidRDefault="00D9726C" w:rsidP="001604D1">
            <w:pPr>
              <w:pStyle w:val="TableReference"/>
              <w:tabs>
                <w:tab w:val="left" w:pos="3306"/>
              </w:tabs>
              <w:spacing w:before="80"/>
              <w:rPr>
                <w:color w:val="7030A0"/>
                <w:sz w:val="14"/>
              </w:rPr>
            </w:pPr>
            <w:r w:rsidRPr="009E2F17">
              <w:rPr>
                <w:rFonts w:cs="Calibri"/>
                <w:color w:val="7030A0"/>
                <w:sz w:val="14"/>
              </w:rPr>
              <w:t>AASB 101.10(e)</w:t>
            </w:r>
            <w:r w:rsidR="00735CA8" w:rsidRPr="009E2F17">
              <w:rPr>
                <w:color w:val="7030A0"/>
                <w:sz w:val="14"/>
              </w:rPr>
              <w:t xml:space="preserve"> </w:t>
            </w:r>
          </w:p>
        </w:tc>
        <w:tc>
          <w:tcPr>
            <w:tcW w:w="4255" w:type="pct"/>
            <w:tcBorders>
              <w:top w:val="nil"/>
              <w:left w:val="single" w:sz="2" w:space="0" w:color="auto"/>
              <w:bottom w:val="nil"/>
              <w:right w:val="nil"/>
            </w:tcBorders>
          </w:tcPr>
          <w:p w14:paraId="62866ABB" w14:textId="69933F25" w:rsidR="00E16D69" w:rsidRPr="009E2F17" w:rsidRDefault="00D9726C" w:rsidP="00875394">
            <w:pPr>
              <w:pStyle w:val="CommentText"/>
              <w:spacing w:after="120" w:line="276" w:lineRule="auto"/>
              <w:jc w:val="both"/>
              <w:rPr>
                <w:rFonts w:cs="Calibri"/>
                <w:sz w:val="18"/>
                <w:szCs w:val="18"/>
              </w:rPr>
            </w:pPr>
            <w:r w:rsidRPr="009E2F17">
              <w:rPr>
                <w:rFonts w:cs="Calibri"/>
                <w:sz w:val="18"/>
                <w:szCs w:val="18"/>
              </w:rPr>
              <w:t>The information below applies to both the Controlled and Territorial financial statements.</w:t>
            </w:r>
          </w:p>
        </w:tc>
      </w:tr>
      <w:tr w:rsidR="006E5FFB" w:rsidRPr="00725106" w14:paraId="212E600B" w14:textId="77777777" w:rsidTr="00B513E5">
        <w:tc>
          <w:tcPr>
            <w:tcW w:w="745" w:type="pct"/>
            <w:tcBorders>
              <w:top w:val="nil"/>
              <w:left w:val="single" w:sz="2" w:space="0" w:color="auto"/>
              <w:bottom w:val="nil"/>
              <w:right w:val="single" w:sz="2" w:space="0" w:color="auto"/>
            </w:tcBorders>
          </w:tcPr>
          <w:p w14:paraId="12A9DB53" w14:textId="77777777" w:rsidR="006E5FFB" w:rsidRPr="009E2F17" w:rsidRDefault="006E5FFB" w:rsidP="001604D1">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tcPr>
          <w:p w14:paraId="194FB062" w14:textId="6E3A10B9" w:rsidR="006E5FFB" w:rsidRPr="009E2F17" w:rsidRDefault="006E5FFB" w:rsidP="00875394">
            <w:pPr>
              <w:spacing w:after="120" w:line="276" w:lineRule="auto"/>
              <w:jc w:val="both"/>
              <w:rPr>
                <w:sz w:val="18"/>
                <w:szCs w:val="18"/>
              </w:rPr>
            </w:pPr>
            <w:r w:rsidRPr="009E2F17">
              <w:rPr>
                <w:sz w:val="18"/>
                <w:szCs w:val="18"/>
              </w:rPr>
              <w:t>All Australian Accounting Standards and Interpretations issued but yet to be applied are either not relevant to ‘Burley Griffin Agency’ or have been assessed as having an immaterial financial impact on ‘Burley Griffin Agency’.</w:t>
            </w:r>
            <w:r w:rsidR="00FA7C77">
              <w:rPr>
                <w:sz w:val="18"/>
                <w:szCs w:val="18"/>
              </w:rPr>
              <w:t xml:space="preserve"> </w:t>
            </w:r>
          </w:p>
        </w:tc>
      </w:tr>
      <w:tr w:rsidR="00994BEA" w:rsidRPr="00725106" w14:paraId="6E007987" w14:textId="77777777" w:rsidTr="00B513E5">
        <w:tc>
          <w:tcPr>
            <w:tcW w:w="745" w:type="pct"/>
            <w:tcBorders>
              <w:top w:val="nil"/>
              <w:left w:val="single" w:sz="2" w:space="0" w:color="auto"/>
              <w:bottom w:val="nil"/>
              <w:right w:val="single" w:sz="2" w:space="0" w:color="auto"/>
            </w:tcBorders>
          </w:tcPr>
          <w:p w14:paraId="4E9A5701" w14:textId="490F6EFD" w:rsidR="00994BEA" w:rsidRPr="009E2F17" w:rsidRDefault="006E5FFB" w:rsidP="001604D1">
            <w:pPr>
              <w:pStyle w:val="TableReference"/>
              <w:tabs>
                <w:tab w:val="left" w:pos="3306"/>
              </w:tabs>
              <w:spacing w:before="80"/>
              <w:rPr>
                <w:rFonts w:cs="Calibri"/>
                <w:color w:val="7030A0"/>
                <w:sz w:val="14"/>
              </w:rPr>
            </w:pPr>
            <w:r w:rsidRPr="009E2F17">
              <w:rPr>
                <w:color w:val="7030A0"/>
                <w:sz w:val="14"/>
              </w:rPr>
              <w:t>AASB 108.30 &amp; 31</w:t>
            </w:r>
          </w:p>
        </w:tc>
        <w:tc>
          <w:tcPr>
            <w:tcW w:w="4255" w:type="pct"/>
            <w:tcBorders>
              <w:top w:val="nil"/>
              <w:left w:val="single" w:sz="2" w:space="0" w:color="auto"/>
              <w:bottom w:val="nil"/>
              <w:right w:val="nil"/>
            </w:tcBorders>
          </w:tcPr>
          <w:p w14:paraId="1208931D" w14:textId="5D4BA1EC" w:rsidR="00994BEA" w:rsidRPr="009E2F17" w:rsidRDefault="006E5FFB" w:rsidP="00875394">
            <w:pPr>
              <w:jc w:val="both"/>
              <w:rPr>
                <w:strike/>
                <w:sz w:val="20"/>
                <w:szCs w:val="20"/>
              </w:rPr>
            </w:pPr>
            <w:r w:rsidRPr="009E2F17">
              <w:rPr>
                <w:sz w:val="18"/>
                <w:szCs w:val="18"/>
              </w:rPr>
              <w:t>These standards and interpretations are applicable to future reporting periods.</w:t>
            </w:r>
            <w:r w:rsidR="00FA7C77">
              <w:rPr>
                <w:sz w:val="18"/>
                <w:szCs w:val="18"/>
              </w:rPr>
              <w:t xml:space="preserve"> </w:t>
            </w:r>
            <w:r w:rsidRPr="009E2F17">
              <w:rPr>
                <w:sz w:val="18"/>
                <w:szCs w:val="18"/>
              </w:rPr>
              <w:t>‘Burley Griffin Agency’ does not intend to adopt these standards and interpretations early</w:t>
            </w:r>
            <w:r w:rsidR="00FB191A">
              <w:rPr>
                <w:sz w:val="18"/>
                <w:szCs w:val="18"/>
              </w:rPr>
              <w:t xml:space="preserve"> </w:t>
            </w:r>
            <w:r w:rsidR="00FB191A" w:rsidRPr="009415D8">
              <w:rPr>
                <w:color w:val="FF0000"/>
                <w:sz w:val="18"/>
                <w:szCs w:val="18"/>
              </w:rPr>
              <w:t>and as such they</w:t>
            </w:r>
            <w:r w:rsidR="00FB191A" w:rsidRPr="009415D8">
              <w:rPr>
                <w:color w:val="538135" w:themeColor="accent6" w:themeShade="BF"/>
                <w:sz w:val="18"/>
                <w:szCs w:val="18"/>
              </w:rPr>
              <w:t xml:space="preserve"> will be adopted from their application date</w:t>
            </w:r>
            <w:r w:rsidR="00E46026" w:rsidRPr="009415D8">
              <w:rPr>
                <w:color w:val="FF0000"/>
                <w:sz w:val="18"/>
                <w:szCs w:val="18"/>
              </w:rPr>
              <w:t>.</w:t>
            </w:r>
            <w:r w:rsidRPr="009415D8">
              <w:rPr>
                <w:strike/>
                <w:color w:val="FF0000"/>
                <w:sz w:val="18"/>
                <w:szCs w:val="18"/>
              </w:rPr>
              <w:t xml:space="preserve">, with the exception of the change to AASB 101 resulting from AASB 2021/2 </w:t>
            </w:r>
            <w:r w:rsidRPr="009415D8">
              <w:rPr>
                <w:i/>
                <w:iCs/>
                <w:strike/>
                <w:color w:val="FF0000"/>
                <w:sz w:val="18"/>
                <w:szCs w:val="18"/>
              </w:rPr>
              <w:t>Amendments to Australian Accounting Standards – Disclosure to Accounting Policies and Definitions of Accounting Policies and Definition of Accounting Estimates</w:t>
            </w:r>
            <w:r w:rsidRPr="009415D8">
              <w:rPr>
                <w:strike/>
                <w:color w:val="FF0000"/>
                <w:sz w:val="18"/>
                <w:szCs w:val="18"/>
              </w:rPr>
              <w:t>.</w:t>
            </w:r>
            <w:r w:rsidR="00FA7C77" w:rsidRPr="009415D8">
              <w:rPr>
                <w:strike/>
                <w:color w:val="FF0000"/>
                <w:sz w:val="18"/>
                <w:szCs w:val="18"/>
              </w:rPr>
              <w:t xml:space="preserve"> </w:t>
            </w:r>
            <w:r w:rsidRPr="009415D8">
              <w:rPr>
                <w:strike/>
                <w:color w:val="FF0000"/>
                <w:sz w:val="18"/>
                <w:szCs w:val="18"/>
              </w:rPr>
              <w:t>This change requires the Agency to disclose its material accounting policy information rather than its significant accounting policies.</w:t>
            </w:r>
            <w:r w:rsidR="00FA7C77" w:rsidRPr="009415D8">
              <w:rPr>
                <w:color w:val="FF0000"/>
                <w:sz w:val="18"/>
                <w:szCs w:val="18"/>
              </w:rPr>
              <w:t xml:space="preserve"> </w:t>
            </w:r>
            <w:r w:rsidRPr="009415D8">
              <w:rPr>
                <w:strike/>
                <w:color w:val="FF0000"/>
                <w:sz w:val="18"/>
                <w:szCs w:val="18"/>
              </w:rPr>
              <w:t>For all</w:t>
            </w:r>
            <w:r w:rsidRPr="009415D8">
              <w:rPr>
                <w:color w:val="FF0000"/>
                <w:sz w:val="18"/>
                <w:szCs w:val="18"/>
              </w:rPr>
              <w:t xml:space="preserve"> </w:t>
            </w:r>
            <w:r w:rsidRPr="009415D8">
              <w:rPr>
                <w:strike/>
                <w:color w:val="FF0000"/>
                <w:sz w:val="18"/>
                <w:szCs w:val="18"/>
              </w:rPr>
              <w:t>other</w:t>
            </w:r>
            <w:r w:rsidRPr="009415D8">
              <w:rPr>
                <w:sz w:val="18"/>
                <w:szCs w:val="18"/>
              </w:rPr>
              <w:t xml:space="preserve"> </w:t>
            </w:r>
            <w:r w:rsidRPr="009415D8">
              <w:rPr>
                <w:strike/>
                <w:color w:val="FF0000"/>
                <w:sz w:val="18"/>
                <w:szCs w:val="18"/>
              </w:rPr>
              <w:t>Australian Accounting Standards issued by yet to be applied, they</w:t>
            </w:r>
            <w:r w:rsidRPr="009415D8">
              <w:rPr>
                <w:color w:val="FF0000"/>
                <w:sz w:val="18"/>
                <w:szCs w:val="18"/>
              </w:rPr>
              <w:t xml:space="preserve"> </w:t>
            </w:r>
            <w:r w:rsidRPr="009415D8">
              <w:rPr>
                <w:strike/>
                <w:color w:val="538135" w:themeColor="accent6" w:themeShade="BF"/>
                <w:sz w:val="18"/>
                <w:szCs w:val="18"/>
              </w:rPr>
              <w:t>will be adopted from their application date</w:t>
            </w:r>
            <w:r w:rsidRPr="009415D8">
              <w:rPr>
                <w:sz w:val="18"/>
                <w:szCs w:val="18"/>
              </w:rPr>
              <w:t>.</w:t>
            </w:r>
          </w:p>
        </w:tc>
      </w:tr>
      <w:tr w:rsidR="00AC471F" w:rsidRPr="00725106" w14:paraId="4082236B" w14:textId="77777777" w:rsidTr="00B513E5">
        <w:tc>
          <w:tcPr>
            <w:tcW w:w="745" w:type="pct"/>
            <w:tcBorders>
              <w:top w:val="nil"/>
              <w:left w:val="single" w:sz="2" w:space="0" w:color="auto"/>
              <w:bottom w:val="nil"/>
              <w:right w:val="single" w:sz="2" w:space="0" w:color="auto"/>
            </w:tcBorders>
          </w:tcPr>
          <w:p w14:paraId="131CF416" w14:textId="77777777" w:rsidR="00AC471F" w:rsidRPr="009E2F17" w:rsidRDefault="00AC471F" w:rsidP="001604D1">
            <w:pPr>
              <w:pStyle w:val="TableReference"/>
              <w:tabs>
                <w:tab w:val="left" w:pos="3306"/>
              </w:tabs>
              <w:spacing w:before="80"/>
              <w:rPr>
                <w:color w:val="7030A0"/>
                <w:sz w:val="14"/>
              </w:rPr>
            </w:pPr>
          </w:p>
        </w:tc>
        <w:tc>
          <w:tcPr>
            <w:tcW w:w="4255" w:type="pct"/>
            <w:tcBorders>
              <w:top w:val="nil"/>
              <w:left w:val="single" w:sz="2" w:space="0" w:color="auto"/>
              <w:bottom w:val="nil"/>
              <w:right w:val="nil"/>
            </w:tcBorders>
          </w:tcPr>
          <w:p w14:paraId="58CCB680" w14:textId="77777777" w:rsidR="00AC471F" w:rsidRPr="009E2F17" w:rsidRDefault="00AC471F" w:rsidP="00875394">
            <w:pPr>
              <w:jc w:val="both"/>
              <w:rPr>
                <w:sz w:val="18"/>
                <w:szCs w:val="18"/>
              </w:rPr>
            </w:pPr>
          </w:p>
        </w:tc>
      </w:tr>
      <w:tr w:rsidR="00355BA5" w:rsidRPr="007E0503" w14:paraId="61A16F13" w14:textId="77777777" w:rsidTr="00B513E5">
        <w:tc>
          <w:tcPr>
            <w:tcW w:w="745" w:type="pct"/>
            <w:tcBorders>
              <w:top w:val="nil"/>
              <w:left w:val="single" w:sz="2" w:space="0" w:color="auto"/>
              <w:bottom w:val="nil"/>
              <w:right w:val="single" w:sz="2" w:space="0" w:color="auto"/>
            </w:tcBorders>
          </w:tcPr>
          <w:p w14:paraId="1CC34646" w14:textId="06D25836" w:rsidR="00355BA5" w:rsidRPr="009E2F17" w:rsidRDefault="00355BA5" w:rsidP="00C9212B">
            <w:pPr>
              <w:pStyle w:val="TableReference"/>
              <w:tabs>
                <w:tab w:val="left" w:pos="3306"/>
              </w:tabs>
              <w:spacing w:before="240" w:after="240"/>
              <w:rPr>
                <w:rFonts w:cs="Calibri"/>
                <w:color w:val="7030A0"/>
                <w:sz w:val="14"/>
              </w:rPr>
            </w:pPr>
            <w:r w:rsidRPr="009E2F17">
              <w:rPr>
                <w:rFonts w:cs="Calibri"/>
                <w:color w:val="7030A0"/>
                <w:sz w:val="14"/>
              </w:rPr>
              <w:br w:type="page"/>
            </w:r>
            <w:r w:rsidRPr="009E2F17">
              <w:rPr>
                <w:rFonts w:cs="Calibri"/>
                <w:color w:val="7030A0"/>
                <w:sz w:val="14"/>
              </w:rPr>
              <w:br w:type="page"/>
            </w:r>
          </w:p>
        </w:tc>
        <w:tc>
          <w:tcPr>
            <w:tcW w:w="4255" w:type="pct"/>
            <w:tcBorders>
              <w:top w:val="nil"/>
              <w:left w:val="single" w:sz="2" w:space="0" w:color="auto"/>
              <w:bottom w:val="nil"/>
              <w:right w:val="nil"/>
            </w:tcBorders>
            <w:shd w:val="clear" w:color="auto" w:fill="7030A0"/>
          </w:tcPr>
          <w:p w14:paraId="0A6BB8E9" w14:textId="10EBF8FC" w:rsidR="00355BA5" w:rsidRPr="009E2F17" w:rsidRDefault="00355BA5" w:rsidP="00C9212B">
            <w:pPr>
              <w:pStyle w:val="CommentaryTitle"/>
              <w:spacing w:before="240" w:after="240"/>
              <w:rPr>
                <w:bCs w:val="0"/>
                <w:color w:val="FFFFFF" w:themeColor="background1"/>
                <w:sz w:val="28"/>
                <w:szCs w:val="28"/>
              </w:rPr>
            </w:pPr>
            <w:r w:rsidRPr="009E2F17">
              <w:rPr>
                <w:rFonts w:cs="Calibri"/>
                <w:bCs w:val="0"/>
                <w:color w:val="FFFFFF" w:themeColor="background1"/>
                <w:sz w:val="28"/>
                <w:szCs w:val="28"/>
              </w:rPr>
              <w:t>Commentary – Note 3: Impact of Accounting Standards Issued but yet to be Applied</w:t>
            </w:r>
          </w:p>
        </w:tc>
      </w:tr>
      <w:tr w:rsidR="00355BA5" w:rsidRPr="0003539E" w14:paraId="7C244F24" w14:textId="77777777" w:rsidTr="00B513E5">
        <w:tc>
          <w:tcPr>
            <w:tcW w:w="745" w:type="pct"/>
            <w:tcBorders>
              <w:top w:val="nil"/>
              <w:left w:val="single" w:sz="2" w:space="0" w:color="auto"/>
              <w:bottom w:val="nil"/>
              <w:right w:val="single" w:sz="2" w:space="0" w:color="auto"/>
            </w:tcBorders>
          </w:tcPr>
          <w:p w14:paraId="092F2118" w14:textId="77777777" w:rsidR="00355BA5" w:rsidRPr="009E2F17" w:rsidRDefault="00355BA5"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70154C7D" w14:textId="6D80B257" w:rsidR="00355BA5" w:rsidRPr="00B73007" w:rsidRDefault="00355BA5" w:rsidP="00355BA5">
            <w:pPr>
              <w:spacing w:after="120"/>
              <w:jc w:val="both"/>
              <w:rPr>
                <w:b/>
                <w:bCs/>
                <w:color w:val="FFFFFF" w:themeColor="background1"/>
                <w:sz w:val="18"/>
                <w:szCs w:val="18"/>
              </w:rPr>
            </w:pPr>
            <w:r w:rsidRPr="00B73007">
              <w:rPr>
                <w:color w:val="FFFFFF" w:themeColor="background1"/>
                <w:sz w:val="18"/>
                <w:szCs w:val="18"/>
              </w:rPr>
              <w:t>The above example disclosure and this associated commentary is to assist agencies to make the necessary disclosures in their financial statements.</w:t>
            </w:r>
            <w:r w:rsidR="00FA7C77" w:rsidRPr="00B73007">
              <w:rPr>
                <w:color w:val="FFFFFF" w:themeColor="background1"/>
                <w:sz w:val="18"/>
                <w:szCs w:val="18"/>
              </w:rPr>
              <w:t xml:space="preserve"> </w:t>
            </w:r>
            <w:r w:rsidRPr="00B73007">
              <w:rPr>
                <w:color w:val="FFFFFF" w:themeColor="background1"/>
                <w:sz w:val="18"/>
                <w:szCs w:val="18"/>
              </w:rPr>
              <w:t>Agencies should make their own assessment on the impact and relevance of the standards, bearing in mind that they should only disclose those standards and amending standards that are expected to have a material impact on them or where they have not yet assessed their impact.</w:t>
            </w:r>
            <w:r w:rsidR="00FA7C77" w:rsidRPr="00B73007">
              <w:rPr>
                <w:color w:val="FFFFFF" w:themeColor="background1"/>
                <w:sz w:val="18"/>
                <w:szCs w:val="18"/>
              </w:rPr>
              <w:t xml:space="preserve"> </w:t>
            </w:r>
          </w:p>
        </w:tc>
      </w:tr>
      <w:tr w:rsidR="006E5FFB" w:rsidRPr="0003539E" w14:paraId="53BEFCF2" w14:textId="77777777" w:rsidTr="00B513E5">
        <w:tc>
          <w:tcPr>
            <w:tcW w:w="745" w:type="pct"/>
            <w:tcBorders>
              <w:top w:val="nil"/>
              <w:left w:val="single" w:sz="2" w:space="0" w:color="auto"/>
              <w:bottom w:val="nil"/>
              <w:right w:val="single" w:sz="2" w:space="0" w:color="auto"/>
            </w:tcBorders>
          </w:tcPr>
          <w:p w14:paraId="422B9A99" w14:textId="77777777" w:rsidR="006E5FFB" w:rsidRPr="009E2F17" w:rsidRDefault="006E5FFB"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1DD6C7E2" w14:textId="738FB1FF" w:rsidR="006E5FFB" w:rsidRPr="00B73007" w:rsidRDefault="006E5FFB" w:rsidP="00355BA5">
            <w:pPr>
              <w:spacing w:after="120"/>
              <w:jc w:val="both"/>
              <w:rPr>
                <w:color w:val="FFFFFF" w:themeColor="background1"/>
                <w:sz w:val="18"/>
                <w:szCs w:val="18"/>
              </w:rPr>
            </w:pPr>
            <w:r w:rsidRPr="00B73007">
              <w:rPr>
                <w:strike/>
                <w:color w:val="FF0000"/>
                <w:sz w:val="18"/>
                <w:szCs w:val="18"/>
              </w:rPr>
              <w:t>There are no</w:t>
            </w:r>
            <w:r w:rsidRPr="00B73007">
              <w:rPr>
                <w:color w:val="FFFFFF" w:themeColor="background1"/>
                <w:sz w:val="18"/>
                <w:szCs w:val="18"/>
              </w:rPr>
              <w:t xml:space="preserve"> </w:t>
            </w:r>
            <w:r w:rsidR="00593AD5" w:rsidRPr="00B73007">
              <w:rPr>
                <w:color w:val="FF0000"/>
                <w:sz w:val="18"/>
                <w:szCs w:val="18"/>
              </w:rPr>
              <w:t>Where</w:t>
            </w:r>
            <w:r w:rsidR="00593AD5" w:rsidRPr="00B73007">
              <w:rPr>
                <w:color w:val="FFFFFF" w:themeColor="background1"/>
                <w:sz w:val="18"/>
                <w:szCs w:val="18"/>
              </w:rPr>
              <w:t xml:space="preserve"> </w:t>
            </w:r>
            <w:r w:rsidRPr="00B73007">
              <w:rPr>
                <w:color w:val="FFFFFF" w:themeColor="background1"/>
                <w:sz w:val="18"/>
                <w:szCs w:val="18"/>
              </w:rPr>
              <w:t xml:space="preserve">‘Standards Issued but Yet to be Applied’ </w:t>
            </w:r>
            <w:r w:rsidRPr="00B73007">
              <w:rPr>
                <w:strike/>
                <w:color w:val="FF0000"/>
                <w:sz w:val="18"/>
                <w:szCs w:val="18"/>
              </w:rPr>
              <w:t>listed in the disclosure above, as it is considered that none of these standards will be</w:t>
            </w:r>
            <w:r w:rsidRPr="00B73007">
              <w:rPr>
                <w:color w:val="FFFFFF" w:themeColor="background1"/>
                <w:sz w:val="18"/>
                <w:szCs w:val="18"/>
              </w:rPr>
              <w:t xml:space="preserve"> </w:t>
            </w:r>
            <w:r w:rsidR="00593AD5" w:rsidRPr="00B73007">
              <w:rPr>
                <w:color w:val="FF0000"/>
                <w:sz w:val="18"/>
                <w:szCs w:val="18"/>
              </w:rPr>
              <w:t xml:space="preserve">are not </w:t>
            </w:r>
            <w:r w:rsidRPr="00B73007">
              <w:rPr>
                <w:color w:val="FFFFFF" w:themeColor="background1"/>
                <w:sz w:val="18"/>
                <w:szCs w:val="18"/>
              </w:rPr>
              <w:t xml:space="preserve">applicable to </w:t>
            </w:r>
            <w:r w:rsidRPr="00B73007">
              <w:rPr>
                <w:strike/>
                <w:color w:val="FF0000"/>
                <w:sz w:val="18"/>
                <w:szCs w:val="18"/>
              </w:rPr>
              <w:t>most</w:t>
            </w:r>
            <w:r w:rsidRPr="00B73007">
              <w:rPr>
                <w:color w:val="FFFFFF" w:themeColor="background1"/>
                <w:sz w:val="18"/>
                <w:szCs w:val="18"/>
              </w:rPr>
              <w:t xml:space="preserve"> agencies</w:t>
            </w:r>
            <w:r w:rsidR="00593AD5" w:rsidRPr="00B73007">
              <w:rPr>
                <w:color w:val="FFFFFF" w:themeColor="background1"/>
                <w:sz w:val="18"/>
                <w:szCs w:val="18"/>
              </w:rPr>
              <w:t xml:space="preserve"> </w:t>
            </w:r>
            <w:r w:rsidR="00593AD5" w:rsidRPr="00B73007">
              <w:rPr>
                <w:color w:val="538135" w:themeColor="accent6" w:themeShade="BF"/>
                <w:sz w:val="18"/>
                <w:szCs w:val="18"/>
              </w:rPr>
              <w:t xml:space="preserve">(e.g. AASB 129 </w:t>
            </w:r>
            <w:r w:rsidR="00593AD5" w:rsidRPr="00B73007">
              <w:rPr>
                <w:i/>
                <w:iCs/>
                <w:color w:val="538135" w:themeColor="accent6" w:themeShade="BF"/>
                <w:sz w:val="18"/>
                <w:szCs w:val="18"/>
              </w:rPr>
              <w:t>Financial Reporting in Hyperinflationary Economies</w:t>
            </w:r>
            <w:r w:rsidR="00593AD5" w:rsidRPr="00B73007">
              <w:rPr>
                <w:color w:val="538135" w:themeColor="accent6" w:themeShade="BF"/>
                <w:sz w:val="18"/>
                <w:szCs w:val="18"/>
              </w:rPr>
              <w:t>)</w:t>
            </w:r>
            <w:r w:rsidRPr="00B73007">
              <w:rPr>
                <w:color w:val="FFFFFF" w:themeColor="background1"/>
                <w:sz w:val="18"/>
                <w:szCs w:val="18"/>
              </w:rPr>
              <w:t>, or if applicable, will not have a material financial effect</w:t>
            </w:r>
            <w:r w:rsidR="00593AD5" w:rsidRPr="00B73007">
              <w:rPr>
                <w:color w:val="FF0000"/>
                <w:sz w:val="18"/>
                <w:szCs w:val="18"/>
              </w:rPr>
              <w:t>,</w:t>
            </w:r>
            <w:r w:rsidR="00593AD5" w:rsidRPr="00B73007">
              <w:rPr>
                <w:color w:val="FFFFFF" w:themeColor="background1"/>
                <w:sz w:val="18"/>
                <w:szCs w:val="18"/>
              </w:rPr>
              <w:t xml:space="preserve"> </w:t>
            </w:r>
            <w:r w:rsidR="00593AD5" w:rsidRPr="00B73007">
              <w:rPr>
                <w:color w:val="FF0000"/>
                <w:sz w:val="18"/>
                <w:szCs w:val="18"/>
              </w:rPr>
              <w:t>these standards do not have to be individually listed in this note</w:t>
            </w:r>
            <w:r w:rsidRPr="00B73007">
              <w:rPr>
                <w:color w:val="FFFFFF" w:themeColor="background1"/>
                <w:sz w:val="18"/>
                <w:szCs w:val="18"/>
              </w:rPr>
              <w:t>.</w:t>
            </w:r>
            <w:r w:rsidR="00FA7C77" w:rsidRPr="00B73007">
              <w:rPr>
                <w:color w:val="FFFFFF" w:themeColor="background1"/>
                <w:sz w:val="18"/>
                <w:szCs w:val="18"/>
              </w:rPr>
              <w:t xml:space="preserve"> </w:t>
            </w:r>
            <w:r w:rsidRPr="00B73007">
              <w:rPr>
                <w:strike/>
                <w:color w:val="FF0000"/>
                <w:sz w:val="18"/>
                <w:szCs w:val="18"/>
              </w:rPr>
              <w:t>These standards have not been disclosed because agencies do not have to include standards that would never apply to them</w:t>
            </w:r>
            <w:r w:rsidRPr="00B73007">
              <w:rPr>
                <w:color w:val="FF0000"/>
                <w:sz w:val="18"/>
                <w:szCs w:val="18"/>
              </w:rPr>
              <w:t xml:space="preserve"> </w:t>
            </w:r>
            <w:r w:rsidRPr="00B73007">
              <w:rPr>
                <w:strike/>
                <w:color w:val="538135" w:themeColor="accent6" w:themeShade="BF"/>
                <w:sz w:val="18"/>
                <w:szCs w:val="18"/>
              </w:rPr>
              <w:t xml:space="preserve">(e.g. AASB 129 </w:t>
            </w:r>
            <w:r w:rsidRPr="00B73007">
              <w:rPr>
                <w:i/>
                <w:iCs/>
                <w:strike/>
                <w:color w:val="538135" w:themeColor="accent6" w:themeShade="BF"/>
                <w:sz w:val="18"/>
                <w:szCs w:val="18"/>
              </w:rPr>
              <w:t>Financial Reporting in Hyperinflationary Economies</w:t>
            </w:r>
            <w:r w:rsidRPr="00B73007">
              <w:rPr>
                <w:strike/>
                <w:color w:val="538135" w:themeColor="accent6" w:themeShade="BF"/>
                <w:sz w:val="18"/>
                <w:szCs w:val="18"/>
              </w:rPr>
              <w:t>)</w:t>
            </w:r>
            <w:r w:rsidRPr="00B73007">
              <w:rPr>
                <w:color w:val="FFFFFF" w:themeColor="background1"/>
                <w:sz w:val="18"/>
                <w:szCs w:val="18"/>
              </w:rPr>
              <w:t xml:space="preserve"> </w:t>
            </w:r>
            <w:r w:rsidRPr="00B73007">
              <w:rPr>
                <w:strike/>
                <w:color w:val="FF0000"/>
                <w:sz w:val="18"/>
                <w:szCs w:val="18"/>
              </w:rPr>
              <w:t>or that do not have a material financial impact on them.</w:t>
            </w:r>
            <w:r w:rsidR="00FA7C77" w:rsidRPr="00B73007">
              <w:rPr>
                <w:strike/>
                <w:color w:val="FF0000"/>
                <w:sz w:val="18"/>
                <w:szCs w:val="18"/>
              </w:rPr>
              <w:t xml:space="preserve"> </w:t>
            </w:r>
            <w:r w:rsidRPr="00B73007">
              <w:rPr>
                <w:strike/>
                <w:color w:val="FF0000"/>
                <w:sz w:val="18"/>
                <w:szCs w:val="18"/>
              </w:rPr>
              <w:t>As such, most agencies will be able to simply use</w:t>
            </w:r>
            <w:r w:rsidRPr="00B73007">
              <w:rPr>
                <w:color w:val="FF0000"/>
                <w:sz w:val="18"/>
                <w:szCs w:val="18"/>
              </w:rPr>
              <w:t xml:space="preserve"> </w:t>
            </w:r>
          </w:p>
        </w:tc>
      </w:tr>
      <w:tr w:rsidR="00311E55" w:rsidRPr="0003539E" w14:paraId="519750D6" w14:textId="77777777" w:rsidTr="00B513E5">
        <w:trPr>
          <w:trHeight w:val="195"/>
        </w:trPr>
        <w:tc>
          <w:tcPr>
            <w:tcW w:w="745" w:type="pct"/>
            <w:tcBorders>
              <w:top w:val="nil"/>
              <w:left w:val="single" w:sz="2" w:space="0" w:color="auto"/>
              <w:bottom w:val="nil"/>
              <w:right w:val="single" w:sz="2" w:space="0" w:color="auto"/>
            </w:tcBorders>
          </w:tcPr>
          <w:p w14:paraId="7886FB28" w14:textId="77777777" w:rsidR="00311E55" w:rsidRPr="009E2F17" w:rsidRDefault="00311E55"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6D5E3154" w14:textId="26513AC4" w:rsidR="00311E55" w:rsidRPr="00B73007" w:rsidRDefault="00311E55" w:rsidP="001D66DB">
            <w:pPr>
              <w:spacing w:after="120"/>
              <w:jc w:val="both"/>
              <w:rPr>
                <w:color w:val="FFFFFF" w:themeColor="background1"/>
                <w:sz w:val="18"/>
                <w:szCs w:val="18"/>
              </w:rPr>
            </w:pPr>
            <w:r w:rsidRPr="00B73007">
              <w:rPr>
                <w:color w:val="FFFFFF" w:themeColor="background1"/>
                <w:sz w:val="18"/>
                <w:szCs w:val="18"/>
              </w:rPr>
              <w:t xml:space="preserve">The disclosure wording included in this note </w:t>
            </w:r>
            <w:r w:rsidRPr="00B73007">
              <w:rPr>
                <w:strike/>
                <w:color w:val="FF0000"/>
                <w:sz w:val="18"/>
                <w:szCs w:val="18"/>
              </w:rPr>
              <w:t>for their own financial statements.</w:t>
            </w:r>
            <w:r w:rsidRPr="00B73007">
              <w:rPr>
                <w:color w:val="FFFFFF" w:themeColor="background1"/>
                <w:sz w:val="18"/>
                <w:szCs w:val="18"/>
              </w:rPr>
              <w:t xml:space="preserve"> </w:t>
            </w:r>
            <w:r w:rsidRPr="00B73007">
              <w:rPr>
                <w:color w:val="FF0000"/>
                <w:sz w:val="18"/>
                <w:szCs w:val="18"/>
              </w:rPr>
              <w:t xml:space="preserve">is currently being reviewed by the Financial Reporting and Framework Branch, and updated wording to be included in this note will be provided to agencies in AADP 307 </w:t>
            </w:r>
            <w:r w:rsidRPr="00B73007">
              <w:rPr>
                <w:i/>
                <w:iCs/>
                <w:color w:val="FF0000"/>
                <w:sz w:val="18"/>
                <w:szCs w:val="18"/>
              </w:rPr>
              <w:t>ACT Accounting Disclosure Paper on the AASB Standards Issued but yet to be Applied</w:t>
            </w:r>
            <w:r w:rsidRPr="00B73007">
              <w:rPr>
                <w:color w:val="FF0000"/>
                <w:sz w:val="18"/>
                <w:szCs w:val="18"/>
              </w:rPr>
              <w:t xml:space="preserve"> which will be released in June this year.  This updated wording should be adopted, where appropriate, rather than the wording included above in the Model.</w:t>
            </w:r>
          </w:p>
        </w:tc>
      </w:tr>
      <w:tr w:rsidR="00355BA5" w:rsidRPr="0003539E" w14:paraId="77DD5758" w14:textId="77777777" w:rsidTr="00B513E5">
        <w:trPr>
          <w:trHeight w:val="195"/>
        </w:trPr>
        <w:tc>
          <w:tcPr>
            <w:tcW w:w="745" w:type="pct"/>
            <w:tcBorders>
              <w:top w:val="nil"/>
              <w:left w:val="single" w:sz="2" w:space="0" w:color="auto"/>
              <w:bottom w:val="nil"/>
              <w:right w:val="single" w:sz="2" w:space="0" w:color="auto"/>
            </w:tcBorders>
          </w:tcPr>
          <w:p w14:paraId="50193F31" w14:textId="77777777" w:rsidR="00355BA5" w:rsidRPr="009E2F17" w:rsidRDefault="00355BA5"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739A0C78" w14:textId="455A54E0" w:rsidR="00355BA5" w:rsidRPr="008A46C8" w:rsidRDefault="00355BA5" w:rsidP="001D66DB">
            <w:pPr>
              <w:spacing w:after="120"/>
              <w:jc w:val="both"/>
              <w:rPr>
                <w:strike/>
                <w:color w:val="FFFFFF" w:themeColor="background1"/>
                <w:sz w:val="18"/>
                <w:szCs w:val="18"/>
              </w:rPr>
            </w:pPr>
            <w:r w:rsidRPr="008A46C8">
              <w:rPr>
                <w:color w:val="FFFFFF" w:themeColor="background1"/>
                <w:sz w:val="18"/>
                <w:szCs w:val="18"/>
              </w:rPr>
              <w:t>It is recommended that agencies review all the standards issued but yet to be applied to ensure these standards do not apply to them or they do not have a material financial impact.</w:t>
            </w:r>
          </w:p>
        </w:tc>
      </w:tr>
    </w:tbl>
    <w:p w14:paraId="2E60E29B" w14:textId="6F88A6E0" w:rsidR="00422628" w:rsidRDefault="00422628"/>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8931"/>
        <w:gridCol w:w="177"/>
      </w:tblGrid>
      <w:tr w:rsidR="00E547E3" w:rsidRPr="00CF7E1B" w14:paraId="226E5FE7" w14:textId="77777777" w:rsidTr="000E27EA">
        <w:trPr>
          <w:gridAfter w:val="1"/>
          <w:wAfter w:w="83" w:type="pct"/>
        </w:trPr>
        <w:tc>
          <w:tcPr>
            <w:tcW w:w="732" w:type="pct"/>
            <w:tcBorders>
              <w:top w:val="nil"/>
              <w:left w:val="single" w:sz="2" w:space="0" w:color="auto"/>
              <w:bottom w:val="nil"/>
              <w:right w:val="single" w:sz="2" w:space="0" w:color="auto"/>
            </w:tcBorders>
          </w:tcPr>
          <w:p w14:paraId="5B922006" w14:textId="209B574B" w:rsidR="00E547E3" w:rsidRPr="000A1595" w:rsidRDefault="00422628" w:rsidP="000A1595">
            <w:pPr>
              <w:pStyle w:val="Reference"/>
              <w:tabs>
                <w:tab w:val="left" w:pos="3306"/>
              </w:tabs>
              <w:spacing w:before="120"/>
              <w:rPr>
                <w:rFonts w:cs="Calibri"/>
                <w:color w:val="7030A0"/>
                <w:sz w:val="22"/>
                <w:szCs w:val="22"/>
              </w:rPr>
            </w:pPr>
            <w:r>
              <w:br w:type="page"/>
            </w:r>
            <w:r w:rsidR="00F43361" w:rsidRPr="000A1595">
              <w:rPr>
                <w:rFonts w:cs="Calibri"/>
                <w:color w:val="7030A0"/>
                <w:sz w:val="22"/>
                <w:szCs w:val="22"/>
              </w:rPr>
              <w:t>Reference</w:t>
            </w:r>
          </w:p>
        </w:tc>
        <w:tc>
          <w:tcPr>
            <w:tcW w:w="4185" w:type="pct"/>
            <w:tcBorders>
              <w:top w:val="nil"/>
              <w:left w:val="single" w:sz="2" w:space="0" w:color="auto"/>
              <w:bottom w:val="nil"/>
              <w:right w:val="nil"/>
            </w:tcBorders>
          </w:tcPr>
          <w:p w14:paraId="0FE36A36" w14:textId="78F85C89" w:rsidR="00E547E3" w:rsidRPr="000A1595" w:rsidRDefault="00E547E3" w:rsidP="000A1595">
            <w:pPr>
              <w:pStyle w:val="Heading1"/>
              <w:numPr>
                <w:ilvl w:val="0"/>
                <w:numId w:val="0"/>
              </w:numPr>
              <w:spacing w:before="120"/>
              <w:ind w:left="34"/>
              <w:rPr>
                <w:rFonts w:asciiTheme="minorHAnsi" w:hAnsiTheme="minorHAnsi" w:cstheme="minorHAnsi"/>
                <w:sz w:val="36"/>
                <w:szCs w:val="36"/>
              </w:rPr>
            </w:pPr>
            <w:bookmarkStart w:id="343" w:name="changeaccpolicyesterror"/>
            <w:bookmarkStart w:id="344" w:name="_Toc132743778"/>
            <w:r w:rsidRPr="000A1595">
              <w:rPr>
                <w:rFonts w:asciiTheme="minorHAnsi" w:hAnsiTheme="minorHAnsi" w:cstheme="minorHAnsi"/>
                <w:sz w:val="36"/>
                <w:szCs w:val="36"/>
              </w:rPr>
              <w:t xml:space="preserve">Note </w:t>
            </w:r>
            <w:r w:rsidR="00DD2353" w:rsidRPr="000A1595">
              <w:rPr>
                <w:rFonts w:asciiTheme="minorHAnsi" w:hAnsiTheme="minorHAnsi" w:cstheme="minorHAnsi"/>
                <w:sz w:val="36"/>
                <w:szCs w:val="36"/>
              </w:rPr>
              <w:t>4</w:t>
            </w:r>
            <w:r w:rsidRPr="000A1595">
              <w:rPr>
                <w:rFonts w:asciiTheme="minorHAnsi" w:hAnsiTheme="minorHAnsi" w:cstheme="minorHAnsi"/>
                <w:sz w:val="36"/>
                <w:szCs w:val="36"/>
              </w:rPr>
              <w:t>.</w:t>
            </w:r>
            <w:r w:rsidR="00FA7C77">
              <w:rPr>
                <w:rFonts w:asciiTheme="minorHAnsi" w:hAnsiTheme="minorHAnsi" w:cstheme="minorHAnsi"/>
                <w:sz w:val="36"/>
                <w:szCs w:val="36"/>
              </w:rPr>
              <w:t xml:space="preserve"> </w:t>
            </w:r>
            <w:r w:rsidRPr="000A1595">
              <w:rPr>
                <w:rFonts w:asciiTheme="minorHAnsi" w:hAnsiTheme="minorHAnsi" w:cstheme="minorHAnsi"/>
                <w:sz w:val="36"/>
                <w:szCs w:val="36"/>
              </w:rPr>
              <w:t xml:space="preserve">Change </w:t>
            </w:r>
            <w:r w:rsidR="00EB05FD" w:rsidRPr="000A1595">
              <w:rPr>
                <w:rFonts w:asciiTheme="minorHAnsi" w:hAnsiTheme="minorHAnsi" w:cstheme="minorHAnsi"/>
                <w:sz w:val="36"/>
                <w:szCs w:val="36"/>
              </w:rPr>
              <w:t>in</w:t>
            </w:r>
            <w:r w:rsidRPr="000A1595">
              <w:rPr>
                <w:rFonts w:asciiTheme="minorHAnsi" w:hAnsiTheme="minorHAnsi" w:cstheme="minorHAnsi"/>
                <w:sz w:val="36"/>
                <w:szCs w:val="36"/>
              </w:rPr>
              <w:t xml:space="preserve"> Accounting Policy </w:t>
            </w:r>
            <w:r w:rsidR="00EB05FD" w:rsidRPr="000A1595">
              <w:rPr>
                <w:rFonts w:asciiTheme="minorHAnsi" w:hAnsiTheme="minorHAnsi" w:cstheme="minorHAnsi"/>
                <w:sz w:val="36"/>
                <w:szCs w:val="36"/>
              </w:rPr>
              <w:t>and</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Accounting Estimates</w:t>
            </w:r>
            <w:r w:rsidR="00233708" w:rsidRPr="000A1595">
              <w:rPr>
                <w:rFonts w:asciiTheme="minorHAnsi" w:hAnsiTheme="minorHAnsi" w:cstheme="minorHAnsi"/>
                <w:sz w:val="36"/>
                <w:szCs w:val="36"/>
              </w:rPr>
              <w:t>,</w:t>
            </w:r>
            <w:r w:rsidRPr="000A1595">
              <w:rPr>
                <w:rFonts w:asciiTheme="minorHAnsi" w:hAnsiTheme="minorHAnsi" w:cstheme="minorHAnsi"/>
                <w:sz w:val="36"/>
                <w:szCs w:val="36"/>
              </w:rPr>
              <w:t xml:space="preserve"> </w:t>
            </w:r>
            <w:r w:rsidR="00EB05FD" w:rsidRPr="000A1595">
              <w:rPr>
                <w:rFonts w:asciiTheme="minorHAnsi" w:hAnsiTheme="minorHAnsi" w:cstheme="minorHAnsi"/>
                <w:sz w:val="36"/>
                <w:szCs w:val="36"/>
              </w:rPr>
              <w:t>and</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 xml:space="preserve">Correction </w:t>
            </w:r>
            <w:r w:rsidR="00EB05FD" w:rsidRPr="000A1595">
              <w:rPr>
                <w:rFonts w:asciiTheme="minorHAnsi" w:hAnsiTheme="minorHAnsi" w:cstheme="minorHAnsi"/>
                <w:sz w:val="36"/>
                <w:szCs w:val="36"/>
              </w:rPr>
              <w:t>of a</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Prior Period Error</w:t>
            </w:r>
            <w:bookmarkEnd w:id="343"/>
            <w:bookmarkEnd w:id="344"/>
            <w:r w:rsidR="00FA7C77">
              <w:rPr>
                <w:rFonts w:asciiTheme="minorHAnsi" w:hAnsiTheme="minorHAnsi" w:cstheme="minorHAnsi"/>
                <w:sz w:val="36"/>
                <w:szCs w:val="36"/>
              </w:rPr>
              <w:t xml:space="preserve">                             </w:t>
            </w:r>
          </w:p>
        </w:tc>
      </w:tr>
      <w:tr w:rsidR="003B1E1B" w:rsidRPr="00CF7E1B" w14:paraId="2DCDF4FD" w14:textId="77777777" w:rsidTr="000E27EA">
        <w:trPr>
          <w:gridAfter w:val="1"/>
          <w:wAfter w:w="83" w:type="pct"/>
        </w:trPr>
        <w:tc>
          <w:tcPr>
            <w:tcW w:w="732" w:type="pct"/>
            <w:tcBorders>
              <w:top w:val="nil"/>
              <w:left w:val="single" w:sz="2" w:space="0" w:color="auto"/>
              <w:bottom w:val="nil"/>
              <w:right w:val="single" w:sz="2" w:space="0" w:color="auto"/>
            </w:tcBorders>
          </w:tcPr>
          <w:p w14:paraId="2EFA6764" w14:textId="76F0F8B2" w:rsidR="003B1E1B" w:rsidRPr="000A1595" w:rsidRDefault="00DA5048" w:rsidP="003B1E1B">
            <w:pPr>
              <w:pStyle w:val="TableReference"/>
              <w:tabs>
                <w:tab w:val="left" w:pos="3306"/>
              </w:tabs>
              <w:spacing w:before="60"/>
              <w:rPr>
                <w:rFonts w:cs="Calibri"/>
                <w:color w:val="7030A0"/>
                <w:sz w:val="14"/>
              </w:rPr>
            </w:pPr>
            <w:r w:rsidRPr="000A1595">
              <w:rPr>
                <w:rFonts w:cs="Calibri"/>
                <w:color w:val="7030A0"/>
                <w:sz w:val="14"/>
              </w:rPr>
              <w:t>AASB 101.10(e)</w:t>
            </w:r>
          </w:p>
        </w:tc>
        <w:tc>
          <w:tcPr>
            <w:tcW w:w="4185" w:type="pct"/>
            <w:tcBorders>
              <w:top w:val="nil"/>
              <w:left w:val="single" w:sz="2" w:space="0" w:color="auto"/>
              <w:bottom w:val="nil"/>
              <w:right w:val="nil"/>
            </w:tcBorders>
          </w:tcPr>
          <w:p w14:paraId="575D352D" w14:textId="7663BA8F" w:rsidR="003B1E1B" w:rsidRPr="000A1595" w:rsidRDefault="003B1E1B" w:rsidP="003B1E1B">
            <w:pPr>
              <w:pStyle w:val="TableText"/>
              <w:rPr>
                <w:rFonts w:cs="Calibri"/>
                <w:bCs/>
                <w:strike/>
                <w:sz w:val="20"/>
                <w:szCs w:val="20"/>
              </w:rPr>
            </w:pPr>
            <w:r w:rsidRPr="000A1595">
              <w:rPr>
                <w:b/>
                <w:bCs/>
              </w:rPr>
              <w:t>Change in Accounting Policy</w:t>
            </w:r>
          </w:p>
        </w:tc>
      </w:tr>
      <w:tr w:rsidR="003B1E1B" w:rsidRPr="00CF7E1B" w14:paraId="029C2AEA" w14:textId="77777777" w:rsidTr="000E27EA">
        <w:trPr>
          <w:gridAfter w:val="1"/>
          <w:wAfter w:w="83" w:type="pct"/>
        </w:trPr>
        <w:tc>
          <w:tcPr>
            <w:tcW w:w="732" w:type="pct"/>
            <w:tcBorders>
              <w:top w:val="nil"/>
              <w:left w:val="single" w:sz="2" w:space="0" w:color="auto"/>
              <w:bottom w:val="nil"/>
              <w:right w:val="single" w:sz="2" w:space="0" w:color="auto"/>
            </w:tcBorders>
          </w:tcPr>
          <w:p w14:paraId="0A57DDD6"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52259D10" w14:textId="77777777" w:rsidR="009415D8" w:rsidRPr="009F2F6B" w:rsidRDefault="009415D8" w:rsidP="009415D8">
            <w:pPr>
              <w:spacing w:before="120" w:after="120"/>
              <w:rPr>
                <w:sz w:val="18"/>
                <w:szCs w:val="18"/>
              </w:rPr>
            </w:pPr>
            <w:r w:rsidRPr="009F2F6B">
              <w:rPr>
                <w:color w:val="FF0000"/>
                <w:sz w:val="18"/>
                <w:szCs w:val="18"/>
              </w:rPr>
              <w:t>[</w:t>
            </w:r>
            <w:r>
              <w:rPr>
                <w:color w:val="FF0000"/>
                <w:sz w:val="18"/>
                <w:szCs w:val="18"/>
              </w:rPr>
              <w:t>Agencies are to i</w:t>
            </w:r>
            <w:r w:rsidRPr="009F2F6B">
              <w:rPr>
                <w:color w:val="FF0000"/>
                <w:sz w:val="18"/>
                <w:szCs w:val="18"/>
              </w:rPr>
              <w:t xml:space="preserve">nsert any </w:t>
            </w:r>
            <w:r>
              <w:rPr>
                <w:color w:val="FF0000"/>
                <w:sz w:val="18"/>
                <w:szCs w:val="18"/>
              </w:rPr>
              <w:t>c</w:t>
            </w:r>
            <w:r w:rsidRPr="009F2F6B">
              <w:rPr>
                <w:color w:val="FF0000"/>
                <w:sz w:val="18"/>
                <w:szCs w:val="18"/>
              </w:rPr>
              <w:t xml:space="preserve">hanges in </w:t>
            </w:r>
            <w:r>
              <w:rPr>
                <w:color w:val="FF0000"/>
                <w:sz w:val="18"/>
                <w:szCs w:val="18"/>
              </w:rPr>
              <w:t>a</w:t>
            </w:r>
            <w:r w:rsidRPr="009F2F6B">
              <w:rPr>
                <w:color w:val="FF0000"/>
                <w:sz w:val="18"/>
                <w:szCs w:val="18"/>
              </w:rPr>
              <w:t xml:space="preserve">ccounting </w:t>
            </w:r>
            <w:r>
              <w:rPr>
                <w:color w:val="FF0000"/>
                <w:sz w:val="18"/>
                <w:szCs w:val="18"/>
              </w:rPr>
              <w:t>p</w:t>
            </w:r>
            <w:r w:rsidRPr="009F2F6B">
              <w:rPr>
                <w:color w:val="FF0000"/>
                <w:sz w:val="18"/>
                <w:szCs w:val="18"/>
              </w:rPr>
              <w:t>olicy where relevant.]</w:t>
            </w:r>
          </w:p>
          <w:p w14:paraId="67E62166" w14:textId="57167EA8" w:rsidR="003E4058" w:rsidRPr="003E4058" w:rsidRDefault="003E4058" w:rsidP="00275474">
            <w:pPr>
              <w:pStyle w:val="TableText"/>
              <w:spacing w:after="240"/>
              <w:jc w:val="both"/>
            </w:pPr>
            <w:r w:rsidRPr="00E46026">
              <w:rPr>
                <w:rFonts w:cs="Calibri"/>
                <w:bCs/>
                <w:strike/>
                <w:color w:val="FF0000"/>
              </w:rPr>
              <w:t xml:space="preserve">‘Burley Griffin Agency’ has early adopted changes to AASB 101 </w:t>
            </w:r>
            <w:r w:rsidRPr="00E46026">
              <w:rPr>
                <w:strike/>
                <w:color w:val="FF0000"/>
              </w:rPr>
              <w:t xml:space="preserve">resulting from AASB 2021/2 </w:t>
            </w:r>
            <w:r w:rsidRPr="00E46026">
              <w:rPr>
                <w:i/>
                <w:iCs/>
                <w:strike/>
                <w:color w:val="FF0000"/>
              </w:rPr>
              <w:t xml:space="preserve">Amendments to Australian Accounting Standards – Disclosure to Accounting Policies and Definitions of Accounting Policies and Definition of Accounting Estimates. </w:t>
            </w:r>
            <w:r w:rsidRPr="00E46026">
              <w:rPr>
                <w:strike/>
                <w:color w:val="FF0000"/>
              </w:rPr>
              <w:t xml:space="preserve">References are now to ‘material’ accounting policies rather than ‘significant’ accounting policies in these financial </w:t>
            </w:r>
            <w:r w:rsidRPr="009F2F6B">
              <w:rPr>
                <w:strike/>
                <w:color w:val="FF0000"/>
              </w:rPr>
              <w:t>statements.</w:t>
            </w:r>
            <w:r w:rsidRPr="009F2F6B">
              <w:rPr>
                <w:color w:val="FF0000"/>
              </w:rPr>
              <w:t xml:space="preserve">  </w:t>
            </w:r>
          </w:p>
        </w:tc>
      </w:tr>
      <w:tr w:rsidR="000A1595" w:rsidRPr="000A1595" w14:paraId="2A06EBC6" w14:textId="77777777" w:rsidTr="000E27EA">
        <w:trPr>
          <w:gridAfter w:val="1"/>
          <w:wAfter w:w="83" w:type="pct"/>
        </w:trPr>
        <w:tc>
          <w:tcPr>
            <w:tcW w:w="732" w:type="pct"/>
            <w:tcBorders>
              <w:top w:val="nil"/>
              <w:left w:val="single" w:sz="2" w:space="0" w:color="auto"/>
              <w:bottom w:val="nil"/>
              <w:right w:val="single" w:sz="2" w:space="0" w:color="auto"/>
            </w:tcBorders>
          </w:tcPr>
          <w:p w14:paraId="798C5369"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1768C980" w14:textId="67BA20EB" w:rsidR="003B1E1B" w:rsidRPr="000A1595" w:rsidRDefault="003B1E1B" w:rsidP="003B1E1B">
            <w:pPr>
              <w:rPr>
                <w:b/>
                <w:bCs/>
                <w:sz w:val="18"/>
                <w:szCs w:val="18"/>
              </w:rPr>
            </w:pPr>
            <w:r w:rsidRPr="000A1595">
              <w:rPr>
                <w:b/>
                <w:bCs/>
                <w:sz w:val="18"/>
                <w:szCs w:val="18"/>
              </w:rPr>
              <w:t>Change in Accounting Estimates</w:t>
            </w:r>
          </w:p>
        </w:tc>
      </w:tr>
      <w:tr w:rsidR="000A1595" w:rsidRPr="000A1595" w14:paraId="7699A851" w14:textId="77777777" w:rsidTr="000E27EA">
        <w:trPr>
          <w:gridAfter w:val="1"/>
          <w:wAfter w:w="83" w:type="pct"/>
        </w:trPr>
        <w:tc>
          <w:tcPr>
            <w:tcW w:w="732" w:type="pct"/>
            <w:tcBorders>
              <w:top w:val="nil"/>
              <w:left w:val="single" w:sz="2" w:space="0" w:color="auto"/>
              <w:bottom w:val="nil"/>
              <w:right w:val="single" w:sz="2" w:space="0" w:color="auto"/>
            </w:tcBorders>
          </w:tcPr>
          <w:p w14:paraId="44C3EF1D"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2BB9164F" w14:textId="4CEC6929" w:rsidR="003B1E1B" w:rsidRPr="000A1595" w:rsidRDefault="003B1E1B" w:rsidP="003B1E1B">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had the following changes in accounting estimates during the reporting period.</w:t>
            </w:r>
          </w:p>
        </w:tc>
      </w:tr>
      <w:tr w:rsidR="000A1595" w:rsidRPr="000A1595" w14:paraId="0574668B" w14:textId="77777777" w:rsidTr="000E27EA">
        <w:trPr>
          <w:gridAfter w:val="1"/>
          <w:wAfter w:w="83" w:type="pct"/>
        </w:trPr>
        <w:tc>
          <w:tcPr>
            <w:tcW w:w="732" w:type="pct"/>
            <w:tcBorders>
              <w:top w:val="nil"/>
              <w:left w:val="single" w:sz="2" w:space="0" w:color="auto"/>
              <w:bottom w:val="nil"/>
              <w:right w:val="single" w:sz="2" w:space="0" w:color="auto"/>
            </w:tcBorders>
          </w:tcPr>
          <w:p w14:paraId="4140D94A"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6FDCD215" w14:textId="3CE1BCD1" w:rsidR="003B1E1B" w:rsidRPr="000A1595" w:rsidRDefault="003B1E1B" w:rsidP="003B1E1B">
            <w:pPr>
              <w:jc w:val="both"/>
              <w:rPr>
                <w:rFonts w:asciiTheme="minorHAnsi" w:hAnsiTheme="minorHAnsi" w:cstheme="minorHAnsi"/>
                <w:i/>
                <w:iCs/>
                <w:strike/>
                <w:sz w:val="18"/>
                <w:szCs w:val="18"/>
              </w:rPr>
            </w:pPr>
            <w:r w:rsidRPr="000A1595">
              <w:rPr>
                <w:rFonts w:asciiTheme="minorHAnsi" w:hAnsiTheme="minorHAnsi" w:cstheme="minorHAnsi"/>
                <w:i/>
                <w:iCs/>
                <w:sz w:val="18"/>
                <w:szCs w:val="18"/>
              </w:rPr>
              <w:t>Revisions of Useful Lives and Residual Values</w:t>
            </w:r>
          </w:p>
        </w:tc>
      </w:tr>
      <w:tr w:rsidR="000A1595" w:rsidRPr="000A1595" w14:paraId="2DE9EE9F" w14:textId="77777777" w:rsidTr="000E27EA">
        <w:trPr>
          <w:gridAfter w:val="1"/>
          <w:wAfter w:w="83" w:type="pct"/>
        </w:trPr>
        <w:tc>
          <w:tcPr>
            <w:tcW w:w="732" w:type="pct"/>
            <w:tcBorders>
              <w:top w:val="nil"/>
              <w:left w:val="single" w:sz="2" w:space="0" w:color="auto"/>
              <w:bottom w:val="nil"/>
              <w:right w:val="single" w:sz="2" w:space="0" w:color="auto"/>
            </w:tcBorders>
          </w:tcPr>
          <w:p w14:paraId="3C9E06E3" w14:textId="06E93C8F" w:rsidR="003B1E1B" w:rsidRPr="000A1595" w:rsidRDefault="003B1E1B" w:rsidP="003B1E1B">
            <w:pPr>
              <w:pStyle w:val="TableReference"/>
              <w:tabs>
                <w:tab w:val="left" w:pos="3306"/>
              </w:tabs>
              <w:spacing w:before="60"/>
              <w:rPr>
                <w:rFonts w:cs="Calibri"/>
                <w:color w:val="7030A0"/>
                <w:sz w:val="14"/>
              </w:rPr>
            </w:pPr>
            <w:r w:rsidRPr="000A1595">
              <w:rPr>
                <w:color w:val="7030A0"/>
                <w:sz w:val="14"/>
              </w:rPr>
              <w:t>AASB 108.34 &amp; 39</w:t>
            </w:r>
          </w:p>
        </w:tc>
        <w:tc>
          <w:tcPr>
            <w:tcW w:w="4185" w:type="pct"/>
            <w:tcBorders>
              <w:top w:val="nil"/>
              <w:left w:val="single" w:sz="2" w:space="0" w:color="auto"/>
              <w:bottom w:val="nil"/>
              <w:right w:val="nil"/>
            </w:tcBorders>
          </w:tcPr>
          <w:p w14:paraId="157B1539" w14:textId="15177CF8" w:rsidR="003B1E1B" w:rsidRPr="000A1595" w:rsidRDefault="003B1E1B" w:rsidP="003B1E1B">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reviewed the useful lives and residual values of its property, plant and equipment at the end of the reporting period.</w:t>
            </w:r>
            <w:r w:rsidR="00FA7C77">
              <w:rPr>
                <w:rFonts w:asciiTheme="minorHAnsi" w:hAnsiTheme="minorHAnsi" w:cstheme="minorHAnsi"/>
                <w:sz w:val="18"/>
                <w:szCs w:val="18"/>
              </w:rPr>
              <w:t xml:space="preserve"> </w:t>
            </w:r>
            <w:r w:rsidRPr="000A1595">
              <w:rPr>
                <w:rFonts w:asciiTheme="minorHAnsi" w:hAnsiTheme="minorHAnsi" w:cstheme="minorHAnsi"/>
                <w:sz w:val="18"/>
                <w:szCs w:val="18"/>
              </w:rPr>
              <w:t xml:space="preserve">This review resulted in the adjustment to the useful lives of some </w:t>
            </w:r>
            <w:r w:rsidRPr="00104F61">
              <w:rPr>
                <w:rFonts w:asciiTheme="minorHAnsi" w:hAnsiTheme="minorHAnsi" w:cstheme="minorHAnsi"/>
                <w:strike/>
                <w:color w:val="FF0000"/>
                <w:sz w:val="18"/>
                <w:szCs w:val="18"/>
              </w:rPr>
              <w:t>community and</w:t>
            </w:r>
            <w:r w:rsidRPr="00104F61">
              <w:rPr>
                <w:rFonts w:asciiTheme="minorHAnsi" w:hAnsiTheme="minorHAnsi" w:cstheme="minorHAnsi"/>
                <w:color w:val="FF0000"/>
                <w:sz w:val="18"/>
                <w:szCs w:val="18"/>
              </w:rPr>
              <w:t xml:space="preserve"> </w:t>
            </w:r>
            <w:r w:rsidRPr="000A1595">
              <w:rPr>
                <w:rFonts w:asciiTheme="minorHAnsi" w:hAnsiTheme="minorHAnsi" w:cstheme="minorHAnsi"/>
                <w:sz w:val="18"/>
                <w:szCs w:val="18"/>
              </w:rPr>
              <w:t xml:space="preserve">heritage </w:t>
            </w:r>
            <w:r w:rsidR="00104F61" w:rsidRPr="005408A6">
              <w:rPr>
                <w:rFonts w:cs="Calibri"/>
                <w:color w:val="FF0000"/>
                <w:sz w:val="18"/>
                <w:szCs w:val="18"/>
              </w:rPr>
              <w:t xml:space="preserve">and community </w:t>
            </w:r>
            <w:r w:rsidRPr="000A1595">
              <w:rPr>
                <w:rFonts w:asciiTheme="minorHAnsi" w:hAnsiTheme="minorHAnsi" w:cstheme="minorHAnsi"/>
                <w:sz w:val="18"/>
                <w:szCs w:val="18"/>
              </w:rPr>
              <w:t xml:space="preserve">assets and the increase of the residual value of some plant and equipment, for details see Note 19 </w:t>
            </w:r>
            <w:r w:rsidRPr="00AB1649">
              <w:rPr>
                <w:rFonts w:asciiTheme="minorHAnsi" w:hAnsiTheme="minorHAnsi" w:cstheme="minorHAnsi"/>
                <w:i/>
                <w:iCs/>
                <w:sz w:val="18"/>
                <w:szCs w:val="18"/>
              </w:rPr>
              <w:t>Property, Plant and Equipment.</w:t>
            </w:r>
            <w:r w:rsidR="00FA7C77">
              <w:rPr>
                <w:rFonts w:asciiTheme="minorHAnsi" w:hAnsiTheme="minorHAnsi" w:cstheme="minorHAnsi"/>
                <w:sz w:val="18"/>
                <w:szCs w:val="18"/>
              </w:rPr>
              <w:t xml:space="preserve"> </w:t>
            </w:r>
          </w:p>
        </w:tc>
      </w:tr>
      <w:tr w:rsidR="000A1595" w:rsidRPr="000A1595" w14:paraId="06224995" w14:textId="77777777" w:rsidTr="000E27EA">
        <w:trPr>
          <w:gridAfter w:val="1"/>
          <w:wAfter w:w="83" w:type="pct"/>
        </w:trPr>
        <w:tc>
          <w:tcPr>
            <w:tcW w:w="732" w:type="pct"/>
            <w:tcBorders>
              <w:top w:val="nil"/>
              <w:left w:val="single" w:sz="2" w:space="0" w:color="auto"/>
              <w:bottom w:val="nil"/>
              <w:right w:val="single" w:sz="2" w:space="0" w:color="auto"/>
            </w:tcBorders>
          </w:tcPr>
          <w:p w14:paraId="545EC5DE"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52D9BC86" w14:textId="3B4CA223" w:rsidR="003B1E1B" w:rsidRPr="000A1595" w:rsidRDefault="003B1E1B" w:rsidP="003B1E1B">
            <w:pPr>
              <w:pStyle w:val="TableText"/>
              <w:rPr>
                <w:rFonts w:asciiTheme="minorHAnsi" w:hAnsiTheme="minorHAnsi" w:cstheme="minorHAnsi"/>
                <w:i/>
                <w:iCs/>
                <w:strike/>
              </w:rPr>
            </w:pPr>
            <w:r w:rsidRPr="000A1595">
              <w:rPr>
                <w:rFonts w:asciiTheme="minorHAnsi" w:hAnsiTheme="minorHAnsi" w:cstheme="minorHAnsi"/>
                <w:i/>
                <w:iCs/>
              </w:rPr>
              <w:t>Revision of Restructuring Provision</w:t>
            </w:r>
          </w:p>
        </w:tc>
      </w:tr>
      <w:tr w:rsidR="000A1595" w:rsidRPr="000A1595" w14:paraId="47A8D70B" w14:textId="77777777" w:rsidTr="000E27EA">
        <w:trPr>
          <w:gridAfter w:val="1"/>
          <w:wAfter w:w="83" w:type="pct"/>
        </w:trPr>
        <w:tc>
          <w:tcPr>
            <w:tcW w:w="732" w:type="pct"/>
            <w:tcBorders>
              <w:top w:val="nil"/>
              <w:left w:val="single" w:sz="2" w:space="0" w:color="auto"/>
              <w:bottom w:val="nil"/>
              <w:right w:val="single" w:sz="2" w:space="0" w:color="auto"/>
            </w:tcBorders>
          </w:tcPr>
          <w:p w14:paraId="5A225876"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72A88FFD" w14:textId="69B73174" w:rsidR="003B1E1B" w:rsidRPr="000A1595" w:rsidRDefault="003B1E1B" w:rsidP="00275474">
            <w:pPr>
              <w:spacing w:after="24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 xml:space="preserve">Burley Griffin </w:t>
            </w:r>
            <w:r w:rsidRPr="000A1595">
              <w:rPr>
                <w:rFonts w:asciiTheme="minorHAnsi" w:hAnsiTheme="minorHAnsi" w:cstheme="minorHAnsi"/>
                <w:sz w:val="18"/>
                <w:szCs w:val="18"/>
              </w:rPr>
              <w:t>Agency’ reviewed its provision for the restructuring of a maintenance division at the end of the reporting period.</w:t>
            </w:r>
            <w:r w:rsidR="00FA7C77">
              <w:rPr>
                <w:rFonts w:asciiTheme="minorHAnsi" w:hAnsiTheme="minorHAnsi" w:cstheme="minorHAnsi"/>
                <w:sz w:val="18"/>
                <w:szCs w:val="18"/>
              </w:rPr>
              <w:t xml:space="preserve"> </w:t>
            </w:r>
            <w:r w:rsidRPr="000A1595">
              <w:rPr>
                <w:rFonts w:asciiTheme="minorHAnsi" w:hAnsiTheme="minorHAnsi" w:cstheme="minorHAnsi"/>
                <w:sz w:val="18"/>
                <w:szCs w:val="18"/>
              </w:rPr>
              <w:t xml:space="preserve">It was determined that the initial amount estimated for the dismantling and disposing of plant and equipment was overstated and as such has been reduced, for details see Note 28 </w:t>
            </w:r>
            <w:r w:rsidRPr="00AB1649">
              <w:rPr>
                <w:rFonts w:asciiTheme="minorHAnsi" w:hAnsiTheme="minorHAnsi" w:cstheme="minorHAnsi"/>
                <w:i/>
                <w:iCs/>
                <w:sz w:val="18"/>
                <w:szCs w:val="18"/>
              </w:rPr>
              <w:t>Other Provisions.</w:t>
            </w:r>
            <w:r w:rsidRPr="000A1595">
              <w:rPr>
                <w:rFonts w:asciiTheme="minorHAnsi" w:hAnsiTheme="minorHAnsi" w:cstheme="minorHAnsi"/>
                <w:sz w:val="18"/>
                <w:szCs w:val="18"/>
              </w:rPr>
              <w:t xml:space="preserve"> </w:t>
            </w:r>
          </w:p>
        </w:tc>
      </w:tr>
      <w:tr w:rsidR="000A1595" w:rsidRPr="000A1595" w14:paraId="22077DAB" w14:textId="77777777" w:rsidTr="000E27EA">
        <w:trPr>
          <w:gridAfter w:val="1"/>
          <w:wAfter w:w="83" w:type="pct"/>
          <w:trHeight w:val="93"/>
        </w:trPr>
        <w:tc>
          <w:tcPr>
            <w:tcW w:w="732" w:type="pct"/>
            <w:tcBorders>
              <w:top w:val="nil"/>
              <w:left w:val="single" w:sz="2" w:space="0" w:color="auto"/>
              <w:bottom w:val="nil"/>
              <w:right w:val="single" w:sz="2" w:space="0" w:color="auto"/>
            </w:tcBorders>
          </w:tcPr>
          <w:p w14:paraId="60026017"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562D46F1" w14:textId="56C4A6D1" w:rsidR="003B1E1B" w:rsidRPr="000A1595" w:rsidRDefault="003B1E1B" w:rsidP="000E27EA">
            <w:pPr>
              <w:rPr>
                <w:b/>
                <w:bCs/>
                <w:strike/>
                <w:sz w:val="18"/>
                <w:szCs w:val="18"/>
              </w:rPr>
            </w:pPr>
            <w:r w:rsidRPr="000A1595">
              <w:rPr>
                <w:b/>
                <w:bCs/>
                <w:sz w:val="18"/>
                <w:szCs w:val="18"/>
              </w:rPr>
              <w:t>Correction of Prior Period Errors</w:t>
            </w:r>
          </w:p>
        </w:tc>
      </w:tr>
      <w:tr w:rsidR="000E27EA" w:rsidRPr="00E02536" w14:paraId="1C47328F" w14:textId="77777777" w:rsidTr="000E27E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7CE01547" w14:textId="77777777" w:rsidR="000E27EA" w:rsidRPr="000A1595" w:rsidRDefault="000E27EA" w:rsidP="000E27EA">
            <w:pPr>
              <w:pStyle w:val="TableText"/>
              <w:tabs>
                <w:tab w:val="left" w:pos="3306"/>
              </w:tabs>
              <w:spacing w:before="0"/>
              <w:rPr>
                <w:rFonts w:cs="Calibri"/>
                <w:color w:val="7030A0"/>
              </w:rPr>
            </w:pPr>
          </w:p>
        </w:tc>
        <w:tc>
          <w:tcPr>
            <w:tcW w:w="4268" w:type="pct"/>
            <w:gridSpan w:val="2"/>
            <w:tcBorders>
              <w:left w:val="single" w:sz="2" w:space="0" w:color="auto"/>
            </w:tcBorders>
            <w:vAlign w:val="bottom"/>
          </w:tcPr>
          <w:p w14:paraId="3B9D4AB1" w14:textId="0E94DDA3" w:rsidR="000E27EA" w:rsidRPr="009415D8" w:rsidRDefault="000E27EA" w:rsidP="009415D8">
            <w:pPr>
              <w:pStyle w:val="TableText"/>
              <w:tabs>
                <w:tab w:val="left" w:pos="3306"/>
              </w:tabs>
              <w:spacing w:before="120" w:after="120"/>
              <w:jc w:val="both"/>
              <w:rPr>
                <w:rFonts w:cs="Calibri"/>
              </w:rPr>
            </w:pPr>
            <w:r w:rsidRPr="009415D8">
              <w:rPr>
                <w:color w:val="FF0000"/>
              </w:rPr>
              <w:t xml:space="preserve">[Agencies </w:t>
            </w:r>
            <w:r w:rsidR="00D96A68" w:rsidRPr="009415D8">
              <w:rPr>
                <w:color w:val="FF0000"/>
              </w:rPr>
              <w:t xml:space="preserve">are </w:t>
            </w:r>
            <w:r w:rsidRPr="009415D8">
              <w:rPr>
                <w:color w:val="FF0000"/>
              </w:rPr>
              <w:t xml:space="preserve">to insert any </w:t>
            </w:r>
            <w:r w:rsidR="00D96A68" w:rsidRPr="009415D8">
              <w:rPr>
                <w:color w:val="FF0000"/>
              </w:rPr>
              <w:t xml:space="preserve">prior period errors </w:t>
            </w:r>
            <w:r w:rsidRPr="009415D8">
              <w:rPr>
                <w:color w:val="FF0000"/>
              </w:rPr>
              <w:t>where relevant.]</w:t>
            </w:r>
          </w:p>
        </w:tc>
      </w:tr>
      <w:tr w:rsidR="003B1E1B" w:rsidRPr="00E02536" w14:paraId="4B6412BF" w14:textId="77777777" w:rsidTr="000E27E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60B2F0F4" w14:textId="77777777" w:rsidR="003B1E1B" w:rsidRPr="000A1595" w:rsidRDefault="003B1E1B" w:rsidP="003B1E1B">
            <w:pPr>
              <w:pStyle w:val="TableText"/>
              <w:tabs>
                <w:tab w:val="left" w:pos="3306"/>
              </w:tabs>
              <w:rPr>
                <w:rFonts w:cs="Calibri"/>
                <w:color w:val="7030A0"/>
              </w:rPr>
            </w:pPr>
          </w:p>
        </w:tc>
        <w:tc>
          <w:tcPr>
            <w:tcW w:w="4268" w:type="pct"/>
            <w:gridSpan w:val="2"/>
            <w:tcBorders>
              <w:left w:val="single" w:sz="2" w:space="0" w:color="auto"/>
            </w:tcBorders>
            <w:vAlign w:val="bottom"/>
          </w:tcPr>
          <w:p w14:paraId="53BB16BC" w14:textId="571DD6B9" w:rsidR="003B1E1B" w:rsidRPr="009415D8" w:rsidRDefault="003B1E1B" w:rsidP="003B1E1B">
            <w:pPr>
              <w:pStyle w:val="TableText"/>
              <w:tabs>
                <w:tab w:val="left" w:pos="3306"/>
              </w:tabs>
              <w:spacing w:before="0"/>
              <w:jc w:val="both"/>
              <w:rPr>
                <w:rFonts w:cs="Calibri"/>
                <w:bCs/>
                <w:iCs/>
              </w:rPr>
            </w:pPr>
            <w:r w:rsidRPr="009415D8">
              <w:rPr>
                <w:rFonts w:cs="Calibri"/>
                <w:strike/>
                <w:color w:val="FF0000"/>
              </w:rPr>
              <w:t xml:space="preserve">An example disclosure for a correction of a prior period error is contained in the </w:t>
            </w:r>
            <w:r w:rsidRPr="009415D8">
              <w:rPr>
                <w:i/>
                <w:iCs/>
                <w:strike/>
                <w:color w:val="FF0000"/>
              </w:rPr>
              <w:t>Accounting Disclosure Paper –</w:t>
            </w:r>
            <w:r w:rsidRPr="009415D8">
              <w:rPr>
                <w:strike/>
                <w:color w:val="FF0000"/>
              </w:rPr>
              <w:t xml:space="preserve"> </w:t>
            </w:r>
            <w:r w:rsidRPr="009415D8">
              <w:rPr>
                <w:rFonts w:cs="Calibri"/>
                <w:i/>
                <w:strike/>
                <w:color w:val="FF0000"/>
              </w:rPr>
              <w:t>Presenting Restatements of Comparatives</w:t>
            </w:r>
            <w:r w:rsidR="00294AB5" w:rsidRPr="009415D8">
              <w:rPr>
                <w:rFonts w:cs="Calibri"/>
                <w:iCs/>
                <w:strike/>
                <w:color w:val="FF0000"/>
              </w:rPr>
              <w:t>.</w:t>
            </w:r>
            <w:r w:rsidR="00294AB5" w:rsidRPr="009415D8">
              <w:rPr>
                <w:rFonts w:cs="Calibri"/>
                <w:iCs/>
                <w:color w:val="FF0000"/>
              </w:rPr>
              <w:t xml:space="preserve"> </w:t>
            </w:r>
            <w:r w:rsidR="00294AB5" w:rsidRPr="009415D8">
              <w:rPr>
                <w:rFonts w:cs="Calibri"/>
                <w:iCs/>
                <w:strike/>
                <w:color w:val="538135" w:themeColor="accent6" w:themeShade="BF"/>
              </w:rPr>
              <w:t>This a separate supplementary paper to this Model.</w:t>
            </w:r>
          </w:p>
        </w:tc>
      </w:tr>
      <w:tr w:rsidR="003E4058" w:rsidRPr="00E02536" w14:paraId="634A8C92" w14:textId="77777777" w:rsidTr="000E27E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jc w:val="center"/>
        </w:trPr>
        <w:tc>
          <w:tcPr>
            <w:tcW w:w="732" w:type="pct"/>
            <w:tcBorders>
              <w:left w:val="single" w:sz="2" w:space="0" w:color="auto"/>
              <w:right w:val="single" w:sz="2" w:space="0" w:color="auto"/>
            </w:tcBorders>
          </w:tcPr>
          <w:p w14:paraId="4EC8F92E" w14:textId="77777777" w:rsidR="003E4058" w:rsidRPr="000A1595" w:rsidRDefault="003E4058" w:rsidP="003B1E1B">
            <w:pPr>
              <w:pStyle w:val="TableText"/>
              <w:tabs>
                <w:tab w:val="left" w:pos="3306"/>
              </w:tabs>
              <w:rPr>
                <w:rFonts w:cs="Calibri"/>
                <w:color w:val="7030A0"/>
              </w:rPr>
            </w:pPr>
          </w:p>
        </w:tc>
        <w:tc>
          <w:tcPr>
            <w:tcW w:w="4268" w:type="pct"/>
            <w:gridSpan w:val="2"/>
            <w:tcBorders>
              <w:left w:val="single" w:sz="2" w:space="0" w:color="auto"/>
              <w:bottom w:val="single" w:sz="2" w:space="0" w:color="7030A0"/>
            </w:tcBorders>
            <w:vAlign w:val="bottom"/>
          </w:tcPr>
          <w:p w14:paraId="0F0C3B45" w14:textId="77777777" w:rsidR="003E4058" w:rsidRPr="000A1595" w:rsidRDefault="003E4058" w:rsidP="003B1E1B">
            <w:pPr>
              <w:pStyle w:val="TableText"/>
              <w:tabs>
                <w:tab w:val="left" w:pos="3306"/>
              </w:tabs>
              <w:spacing w:before="0"/>
              <w:jc w:val="both"/>
              <w:rPr>
                <w:rFonts w:cs="Calibri"/>
              </w:rPr>
            </w:pPr>
          </w:p>
        </w:tc>
      </w:tr>
      <w:tr w:rsidR="003B1E1B" w:rsidRPr="00355BA5" w14:paraId="6558C2FD" w14:textId="77777777" w:rsidTr="000E27EA">
        <w:tc>
          <w:tcPr>
            <w:tcW w:w="732" w:type="pct"/>
            <w:tcBorders>
              <w:top w:val="nil"/>
              <w:left w:val="single" w:sz="2" w:space="0" w:color="auto"/>
              <w:bottom w:val="nil"/>
              <w:right w:val="single" w:sz="2" w:space="0" w:color="auto"/>
            </w:tcBorders>
          </w:tcPr>
          <w:p w14:paraId="437C2ACB" w14:textId="179D3217" w:rsidR="003B1E1B" w:rsidRPr="000A1595" w:rsidRDefault="003B1E1B" w:rsidP="00C9212B">
            <w:pPr>
              <w:pStyle w:val="TableReference"/>
              <w:tabs>
                <w:tab w:val="left" w:pos="3306"/>
              </w:tabs>
              <w:spacing w:before="240" w:after="240"/>
              <w:rPr>
                <w:rFonts w:cs="Calibri"/>
                <w:color w:val="7030A0"/>
                <w:sz w:val="14"/>
              </w:rPr>
            </w:pPr>
            <w:r w:rsidRPr="000A1595">
              <w:rPr>
                <w:rFonts w:cs="Calibri"/>
                <w:color w:val="7030A0"/>
                <w:sz w:val="14"/>
              </w:rPr>
              <w:br w:type="page"/>
            </w:r>
            <w:r w:rsidRPr="000A1595">
              <w:rPr>
                <w:rFonts w:cs="Calibri"/>
                <w:color w:val="7030A0"/>
                <w:sz w:val="14"/>
              </w:rPr>
              <w:br w:type="page"/>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0D829347" w14:textId="36A6F826" w:rsidR="003B1E1B" w:rsidRPr="000A1595" w:rsidRDefault="003B1E1B" w:rsidP="00C9212B">
            <w:pPr>
              <w:pStyle w:val="CommentaryTitle"/>
              <w:spacing w:before="240"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p>
        </w:tc>
      </w:tr>
      <w:tr w:rsidR="003B1E1B" w:rsidRPr="00355BA5" w14:paraId="050F7828" w14:textId="77777777" w:rsidTr="000E27EA">
        <w:tc>
          <w:tcPr>
            <w:tcW w:w="732" w:type="pct"/>
            <w:tcBorders>
              <w:top w:val="nil"/>
              <w:left w:val="single" w:sz="2" w:space="0" w:color="auto"/>
              <w:bottom w:val="nil"/>
              <w:right w:val="single" w:sz="2" w:space="0" w:color="auto"/>
            </w:tcBorders>
          </w:tcPr>
          <w:p w14:paraId="0120108F"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4627EF2D" w14:textId="1B2E9E25" w:rsidR="003B1E1B" w:rsidRPr="00E17229" w:rsidRDefault="003B1E1B" w:rsidP="00CC1E25">
            <w:pPr>
              <w:spacing w:after="40"/>
              <w:jc w:val="both"/>
              <w:rPr>
                <w:color w:val="FFFFFF" w:themeColor="background1"/>
                <w:sz w:val="20"/>
                <w:szCs w:val="20"/>
              </w:rPr>
            </w:pPr>
            <w:r w:rsidRPr="00E17229">
              <w:rPr>
                <w:rFonts w:cs="Calibri"/>
                <w:b/>
                <w:bCs/>
                <w:color w:val="FFFFFF" w:themeColor="background1"/>
                <w:sz w:val="20"/>
                <w:szCs w:val="20"/>
              </w:rPr>
              <w:t xml:space="preserve">Change in </w:t>
            </w:r>
            <w:r w:rsidR="00203716" w:rsidRPr="00E17229">
              <w:rPr>
                <w:rFonts w:cs="Calibri"/>
                <w:b/>
                <w:bCs/>
                <w:color w:val="FFFFFF" w:themeColor="background1"/>
                <w:sz w:val="20"/>
                <w:szCs w:val="20"/>
              </w:rPr>
              <w:t>Accounting</w:t>
            </w:r>
            <w:r w:rsidRPr="00E17229">
              <w:rPr>
                <w:rFonts w:cs="Calibri"/>
                <w:b/>
                <w:bCs/>
                <w:color w:val="FFFFFF" w:themeColor="background1"/>
                <w:sz w:val="20"/>
                <w:szCs w:val="20"/>
              </w:rPr>
              <w:t xml:space="preserve"> Policy</w:t>
            </w:r>
          </w:p>
        </w:tc>
      </w:tr>
      <w:tr w:rsidR="003B1E1B" w:rsidRPr="00735CA8" w14:paraId="4A6BA31F" w14:textId="77777777" w:rsidTr="000E27EA">
        <w:tc>
          <w:tcPr>
            <w:tcW w:w="732" w:type="pct"/>
            <w:tcBorders>
              <w:top w:val="nil"/>
              <w:left w:val="single" w:sz="2" w:space="0" w:color="auto"/>
              <w:bottom w:val="nil"/>
              <w:right w:val="single" w:sz="2" w:space="0" w:color="auto"/>
            </w:tcBorders>
          </w:tcPr>
          <w:p w14:paraId="45510EE9"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1B5E6FF" w14:textId="389202AE" w:rsidR="003B1E1B" w:rsidRPr="000A1595" w:rsidRDefault="003B1E1B" w:rsidP="003B1E1B">
            <w:pPr>
              <w:spacing w:after="120"/>
              <w:jc w:val="both"/>
              <w:rPr>
                <w:color w:val="FFFFFF" w:themeColor="background1"/>
                <w:sz w:val="18"/>
                <w:szCs w:val="18"/>
              </w:rPr>
            </w:pPr>
            <w:r w:rsidRPr="000A1595">
              <w:rPr>
                <w:rFonts w:cs="Calibri"/>
                <w:color w:val="FFFFFF" w:themeColor="background1"/>
                <w:sz w:val="18"/>
                <w:szCs w:val="18"/>
              </w:rPr>
              <w:t xml:space="preserve">For information concerning the treatment and disclosure of a Change in Accounting Policy </w:t>
            </w:r>
            <w:r w:rsidRPr="009415D8">
              <w:rPr>
                <w:rFonts w:cs="Calibri"/>
                <w:strike/>
                <w:color w:val="FF0000"/>
                <w:sz w:val="18"/>
                <w:szCs w:val="18"/>
              </w:rPr>
              <w:t>please</w:t>
            </w:r>
            <w:r w:rsidRPr="000A1595">
              <w:rPr>
                <w:rFonts w:cs="Calibri"/>
                <w:color w:val="FFFFFF" w:themeColor="background1"/>
                <w:sz w:val="18"/>
                <w:szCs w:val="18"/>
              </w:rPr>
              <w:t xml:space="preserve"> refer to the </w:t>
            </w:r>
            <w:r w:rsidRPr="000A1595">
              <w:rPr>
                <w:i/>
                <w:iCs/>
                <w:color w:val="FFFFFF" w:themeColor="background1"/>
                <w:sz w:val="18"/>
                <w:szCs w:val="18"/>
              </w:rPr>
              <w:t>Accounting Disclosure Paper –</w:t>
            </w:r>
            <w:r w:rsidRPr="000A1595">
              <w:rPr>
                <w:color w:val="FFFFFF" w:themeColor="background1"/>
                <w:sz w:val="18"/>
                <w:szCs w:val="18"/>
              </w:rPr>
              <w:t xml:space="preserve"> </w:t>
            </w:r>
            <w:r w:rsidRPr="000A1595">
              <w:rPr>
                <w:rFonts w:cs="Calibri"/>
                <w:i/>
                <w:color w:val="FFFFFF" w:themeColor="background1"/>
                <w:sz w:val="18"/>
                <w:szCs w:val="18"/>
              </w:rPr>
              <w:t>Presenting Restatements of Comparatives</w:t>
            </w:r>
            <w:r w:rsidR="00D96A68">
              <w:rPr>
                <w:rFonts w:cs="Calibri"/>
                <w:i/>
                <w:color w:val="FFFFFF" w:themeColor="background1"/>
                <w:sz w:val="18"/>
                <w:szCs w:val="18"/>
              </w:rPr>
              <w:t xml:space="preserve"> </w:t>
            </w:r>
            <w:r w:rsidR="00D96A68" w:rsidRPr="009415D8">
              <w:rPr>
                <w:rFonts w:cs="Calibri"/>
                <w:iCs/>
                <w:color w:val="FF0000"/>
                <w:sz w:val="18"/>
                <w:szCs w:val="18"/>
              </w:rPr>
              <w:t xml:space="preserve">on the ACT Accounting website at </w:t>
            </w:r>
            <w:hyperlink r:id="rId35" w:history="1">
              <w:r w:rsidR="00D96A68" w:rsidRPr="009415D8">
                <w:rPr>
                  <w:rStyle w:val="Hyperlink"/>
                  <w:rFonts w:cs="Calibri"/>
                  <w:color w:val="FF0000"/>
                  <w:sz w:val="18"/>
                  <w:szCs w:val="18"/>
                  <w:u w:val="none"/>
                </w:rPr>
                <w:t>h</w:t>
              </w:r>
              <w:r w:rsidR="00D96A68" w:rsidRPr="009415D8">
                <w:rPr>
                  <w:iCs/>
                  <w:color w:val="FF0000"/>
                  <w:sz w:val="18"/>
                  <w:szCs w:val="18"/>
                </w:rPr>
                <w:t>ttps://treasury.act.gov.au/accounting</w:t>
              </w:r>
            </w:hyperlink>
            <w:r w:rsidRPr="009415D8">
              <w:rPr>
                <w:rFonts w:cs="Calibri"/>
                <w:color w:val="FFFFFF" w:themeColor="background1"/>
                <w:sz w:val="18"/>
                <w:szCs w:val="18"/>
              </w:rPr>
              <w:t>.</w:t>
            </w:r>
            <w:r w:rsidR="009415D8" w:rsidRPr="009415D8">
              <w:rPr>
                <w:rFonts w:cs="Calibri"/>
                <w:iCs/>
                <w:color w:val="FF0000"/>
                <w:sz w:val="18"/>
                <w:szCs w:val="18"/>
              </w:rPr>
              <w:t xml:space="preserve"> This is a separate supplementary paper to this Model.</w:t>
            </w:r>
          </w:p>
        </w:tc>
      </w:tr>
      <w:tr w:rsidR="003B1E1B" w:rsidRPr="00735CA8" w14:paraId="37EE0346" w14:textId="77777777" w:rsidTr="000E27EA">
        <w:tc>
          <w:tcPr>
            <w:tcW w:w="732" w:type="pct"/>
            <w:tcBorders>
              <w:top w:val="nil"/>
              <w:left w:val="single" w:sz="2" w:space="0" w:color="auto"/>
              <w:bottom w:val="nil"/>
              <w:right w:val="single" w:sz="2" w:space="0" w:color="auto"/>
            </w:tcBorders>
          </w:tcPr>
          <w:p w14:paraId="26E0936A" w14:textId="77777777" w:rsidR="003B1E1B" w:rsidRPr="000A1595" w:rsidRDefault="003B1E1B" w:rsidP="003B1E1B">
            <w:pPr>
              <w:pStyle w:val="TableReference"/>
              <w:tabs>
                <w:tab w:val="left" w:pos="3306"/>
              </w:tabs>
              <w:spacing w:before="80"/>
              <w:rPr>
                <w:rFonts w:cs="Calibri"/>
                <w:color w:val="7030A0"/>
                <w:sz w:val="14"/>
                <w:highlight w:val="yellow"/>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108420E1" w14:textId="36A27CBE"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Only affected line items are included in the Operating Statement and Balance Sheet table.</w:t>
            </w:r>
          </w:p>
        </w:tc>
      </w:tr>
      <w:tr w:rsidR="003B1E1B" w:rsidRPr="00355BA5" w14:paraId="39D67AA4" w14:textId="77777777" w:rsidTr="000E27EA">
        <w:tc>
          <w:tcPr>
            <w:tcW w:w="732" w:type="pct"/>
            <w:tcBorders>
              <w:top w:val="nil"/>
              <w:left w:val="single" w:sz="2" w:space="0" w:color="auto"/>
              <w:bottom w:val="nil"/>
              <w:right w:val="single" w:sz="2" w:space="0" w:color="auto"/>
            </w:tcBorders>
          </w:tcPr>
          <w:p w14:paraId="63F39E34" w14:textId="77777777" w:rsidR="003B1E1B" w:rsidRPr="000A1595" w:rsidRDefault="003B1E1B" w:rsidP="003B1E1B">
            <w:pPr>
              <w:pStyle w:val="TableReference"/>
              <w:tabs>
                <w:tab w:val="left" w:pos="3306"/>
              </w:tabs>
              <w:spacing w:before="80"/>
              <w:rPr>
                <w:rFonts w:cs="Calibri"/>
                <w:color w:val="7030A0"/>
                <w:sz w:val="14"/>
                <w:highlight w:val="yellow"/>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14090A22" w14:textId="4362A452"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 xml:space="preserve">If the impact on the Statement of Cash Flows is </w:t>
            </w:r>
            <w:r w:rsidR="00203716" w:rsidRPr="000A1595">
              <w:rPr>
                <w:rFonts w:cs="Calibri"/>
                <w:color w:val="FFFFFF" w:themeColor="background1"/>
                <w:sz w:val="18"/>
                <w:szCs w:val="18"/>
              </w:rPr>
              <w:t>material,</w:t>
            </w:r>
            <w:r w:rsidRPr="000A1595">
              <w:rPr>
                <w:rFonts w:cs="Calibri"/>
                <w:color w:val="FFFFFF" w:themeColor="background1"/>
                <w:sz w:val="18"/>
                <w:szCs w:val="18"/>
              </w:rPr>
              <w:t xml:space="preserve"> then a table showing the changes (similar to the operating statement and the balance sheet) should be included.</w:t>
            </w:r>
          </w:p>
        </w:tc>
      </w:tr>
      <w:tr w:rsidR="003B1E1B" w:rsidRPr="00355BA5" w14:paraId="3E84A227" w14:textId="77777777" w:rsidTr="000E27EA">
        <w:tc>
          <w:tcPr>
            <w:tcW w:w="732" w:type="pct"/>
            <w:tcBorders>
              <w:top w:val="nil"/>
              <w:left w:val="single" w:sz="2" w:space="0" w:color="auto"/>
              <w:bottom w:val="nil"/>
              <w:right w:val="single" w:sz="2" w:space="0" w:color="auto"/>
            </w:tcBorders>
          </w:tcPr>
          <w:p w14:paraId="4F989209" w14:textId="77777777" w:rsidR="001D66DB" w:rsidRDefault="001D66DB" w:rsidP="003B1E1B">
            <w:pPr>
              <w:rPr>
                <w:color w:val="7030A0"/>
                <w:sz w:val="14"/>
                <w:szCs w:val="14"/>
              </w:rPr>
            </w:pPr>
          </w:p>
          <w:p w14:paraId="1F0F026D" w14:textId="77777777" w:rsidR="001D66DB" w:rsidRDefault="001D66DB" w:rsidP="003B1E1B">
            <w:pPr>
              <w:rPr>
                <w:color w:val="7030A0"/>
                <w:sz w:val="14"/>
                <w:szCs w:val="14"/>
              </w:rPr>
            </w:pPr>
          </w:p>
          <w:p w14:paraId="0A1BE850" w14:textId="2B2755B0" w:rsidR="003B1E1B" w:rsidRPr="000A1595" w:rsidRDefault="003B1E1B" w:rsidP="003B1E1B">
            <w:pPr>
              <w:rPr>
                <w:rFonts w:cs="Calibri"/>
                <w:color w:val="7030A0"/>
                <w:sz w:val="14"/>
                <w:szCs w:val="14"/>
              </w:rPr>
            </w:pPr>
            <w:r w:rsidRPr="000A1595">
              <w:rPr>
                <w:color w:val="7030A0"/>
                <w:sz w:val="14"/>
                <w:szCs w:val="14"/>
              </w:rPr>
              <w:t>AASB 108.36</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2B662275" w14:textId="2FD38E49" w:rsidR="001D66DB" w:rsidRPr="001D66DB" w:rsidRDefault="001D66DB" w:rsidP="00CC1E25">
            <w:pPr>
              <w:spacing w:after="40"/>
              <w:jc w:val="both"/>
              <w:rPr>
                <w:rFonts w:cs="Calibri"/>
                <w:b/>
                <w:bCs/>
                <w:color w:val="FFFFFF" w:themeColor="background1"/>
                <w:sz w:val="20"/>
                <w:szCs w:val="20"/>
              </w:rPr>
            </w:pPr>
            <w:r>
              <w:rPr>
                <w:rFonts w:cs="Calibri"/>
                <w:b/>
                <w:bCs/>
                <w:color w:val="FFFFFF" w:themeColor="background1"/>
                <w:sz w:val="20"/>
                <w:szCs w:val="20"/>
              </w:rPr>
              <w:t>Change in Accounting Estimate</w:t>
            </w:r>
          </w:p>
          <w:p w14:paraId="03F3097B" w14:textId="70208A4A" w:rsidR="003B1E1B" w:rsidRPr="000A1595" w:rsidRDefault="003B1E1B" w:rsidP="007B013F">
            <w:pPr>
              <w:spacing w:after="40"/>
              <w:jc w:val="both"/>
              <w:rPr>
                <w:rFonts w:cs="Calibri"/>
                <w:color w:val="FFFFFF" w:themeColor="background1"/>
                <w:sz w:val="18"/>
                <w:szCs w:val="18"/>
              </w:rPr>
            </w:pPr>
            <w:r w:rsidRPr="000A1595">
              <w:rPr>
                <w:rFonts w:cs="Calibri"/>
                <w:color w:val="FFFFFF" w:themeColor="background1"/>
                <w:sz w:val="18"/>
                <w:szCs w:val="18"/>
              </w:rPr>
              <w:t>The effect of a change in an accounting estimate shall be recognised prospectively in the Operating Statement in:</w:t>
            </w:r>
          </w:p>
          <w:p w14:paraId="1DBF5FD2" w14:textId="77777777" w:rsidR="003B1E1B" w:rsidRPr="000A1595" w:rsidRDefault="003B1E1B" w:rsidP="007B013F">
            <w:pPr>
              <w:numPr>
                <w:ilvl w:val="0"/>
                <w:numId w:val="43"/>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if the change affects that period only; or</w:t>
            </w:r>
          </w:p>
          <w:p w14:paraId="6BABF28B" w14:textId="3625D8BA" w:rsidR="003B1E1B" w:rsidRPr="000A1595" w:rsidRDefault="003B1E1B" w:rsidP="007B013F">
            <w:pPr>
              <w:numPr>
                <w:ilvl w:val="0"/>
                <w:numId w:val="43"/>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and future periods, if the change affects both.</w:t>
            </w:r>
          </w:p>
        </w:tc>
      </w:tr>
      <w:tr w:rsidR="003B1E1B" w:rsidRPr="00355BA5" w14:paraId="58C5C074" w14:textId="77777777" w:rsidTr="000E27EA">
        <w:tc>
          <w:tcPr>
            <w:tcW w:w="732" w:type="pct"/>
            <w:tcBorders>
              <w:top w:val="nil"/>
              <w:left w:val="single" w:sz="2" w:space="0" w:color="auto"/>
              <w:bottom w:val="nil"/>
              <w:right w:val="single" w:sz="2" w:space="0" w:color="auto"/>
            </w:tcBorders>
          </w:tcPr>
          <w:p w14:paraId="3AB1C178" w14:textId="40FC520F" w:rsidR="003B1E1B" w:rsidRPr="000A1595" w:rsidRDefault="003B1E1B" w:rsidP="003B1E1B">
            <w:pPr>
              <w:rPr>
                <w:rFonts w:cs="Calibri"/>
                <w:color w:val="7030A0"/>
                <w:sz w:val="14"/>
                <w:szCs w:val="14"/>
              </w:rPr>
            </w:pPr>
            <w:r w:rsidRPr="000A1595">
              <w:rPr>
                <w:rFonts w:cs="Calibri"/>
                <w:color w:val="7030A0"/>
                <w:sz w:val="14"/>
                <w:szCs w:val="14"/>
              </w:rPr>
              <w:t>AASB 108.37</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057F102" w14:textId="27BF4235"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Except to the extent that a change in an accounting estimate gives rise to changes in assets and liabilities, or relates to an item of equity, it shall be recognised by adjusting the carrying amount of the related asset, liability or equity item in the reporting period of the change.</w:t>
            </w:r>
          </w:p>
        </w:tc>
      </w:tr>
      <w:tr w:rsidR="003B1E1B" w:rsidRPr="00355BA5" w14:paraId="5C2EE03B" w14:textId="77777777" w:rsidTr="000E27EA">
        <w:tc>
          <w:tcPr>
            <w:tcW w:w="732" w:type="pct"/>
            <w:tcBorders>
              <w:top w:val="nil"/>
              <w:left w:val="single" w:sz="2" w:space="0" w:color="auto"/>
              <w:bottom w:val="nil"/>
              <w:right w:val="single" w:sz="2" w:space="0" w:color="auto"/>
            </w:tcBorders>
          </w:tcPr>
          <w:p w14:paraId="3FE2964A" w14:textId="3197A871" w:rsidR="003B1E1B" w:rsidRPr="000A1595" w:rsidRDefault="003B1E1B" w:rsidP="003B1E1B">
            <w:pPr>
              <w:rPr>
                <w:rFonts w:cs="Calibri"/>
                <w:color w:val="7030A0"/>
                <w:sz w:val="14"/>
                <w:szCs w:val="14"/>
              </w:rPr>
            </w:pPr>
            <w:r w:rsidRPr="000A1595">
              <w:rPr>
                <w:color w:val="7030A0"/>
                <w:sz w:val="14"/>
                <w:szCs w:val="14"/>
              </w:rPr>
              <w:t>AASB 108.39, AASB 108.40</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72AC6F18" w14:textId="440E9308"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Agencies are required to disclose the nature and amount of a change in an accounting estimate that has an effect in the current reporting period or is expected to have an effect in future reporting periods, except for the disclosure of the effect on future reporting periods when it is impracticable to estimate that effect.</w:t>
            </w:r>
            <w:r w:rsidR="00FA7C77">
              <w:rPr>
                <w:rFonts w:cs="Calibri"/>
                <w:color w:val="FFFFFF" w:themeColor="background1"/>
                <w:sz w:val="18"/>
                <w:szCs w:val="18"/>
              </w:rPr>
              <w:t xml:space="preserve"> </w:t>
            </w:r>
            <w:r w:rsidRPr="000A1595">
              <w:rPr>
                <w:rFonts w:cs="Calibri"/>
                <w:color w:val="FFFFFF" w:themeColor="background1"/>
                <w:sz w:val="18"/>
                <w:szCs w:val="18"/>
              </w:rPr>
              <w:t>If the amount of the effect in future periods is not disclosed because estimating it is impracticable, that fact shall be disclosed.</w:t>
            </w:r>
          </w:p>
        </w:tc>
      </w:tr>
    </w:tbl>
    <w:p w14:paraId="161CF653" w14:textId="77777777" w:rsidR="00E17229" w:rsidRDefault="00E17229">
      <w:r>
        <w:br w:type="page"/>
      </w:r>
    </w:p>
    <w:tbl>
      <w:tblPr>
        <w:tblW w:w="521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gridCol w:w="36"/>
      </w:tblGrid>
      <w:tr w:rsidR="00E17229" w:rsidRPr="00355BA5" w14:paraId="36902E60" w14:textId="77777777" w:rsidTr="002F4A89">
        <w:tc>
          <w:tcPr>
            <w:tcW w:w="732" w:type="pct"/>
            <w:tcBorders>
              <w:top w:val="nil"/>
              <w:left w:val="single" w:sz="2" w:space="0" w:color="auto"/>
              <w:bottom w:val="nil"/>
              <w:right w:val="single" w:sz="2" w:space="0" w:color="auto"/>
            </w:tcBorders>
          </w:tcPr>
          <w:p w14:paraId="5A03B634" w14:textId="381BBFC9" w:rsidR="00E17229" w:rsidRPr="000A1595" w:rsidRDefault="00E17229" w:rsidP="00C9212B">
            <w:pPr>
              <w:pStyle w:val="Reference"/>
              <w:tabs>
                <w:tab w:val="left" w:pos="3306"/>
              </w:tabs>
              <w:spacing w:before="240" w:after="240"/>
              <w:rPr>
                <w:rFonts w:cs="Calibri"/>
                <w:color w:val="7030A0"/>
                <w:sz w:val="14"/>
              </w:rPr>
            </w:pPr>
            <w:r w:rsidRPr="000A1595">
              <w:rPr>
                <w:rFonts w:cs="Calibri"/>
                <w:color w:val="7030A0"/>
                <w:sz w:val="14"/>
              </w:rPr>
              <w:br w:type="page"/>
            </w:r>
            <w:r w:rsidRPr="000A1595">
              <w:rPr>
                <w:rFonts w:cs="Calibri"/>
                <w:color w:val="7030A0"/>
                <w:sz w:val="14"/>
              </w:rPr>
              <w:br w:type="page"/>
            </w:r>
            <w:r w:rsidR="00BB62BB" w:rsidRPr="000A1595">
              <w:rPr>
                <w:rFonts w:cs="Calibri"/>
                <w:color w:val="7030A0"/>
                <w:sz w:val="22"/>
                <w:szCs w:val="22"/>
              </w:rPr>
              <w:t>Reference</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B71C49A" w14:textId="7A4E08F1" w:rsidR="00E17229" w:rsidRPr="000A1595" w:rsidRDefault="00E17229" w:rsidP="00C9212B">
            <w:pPr>
              <w:pStyle w:val="CommentaryTitle"/>
              <w:spacing w:before="240"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r>
              <w:rPr>
                <w:rFonts w:cs="Calibri"/>
                <w:bCs w:val="0"/>
                <w:color w:val="FFFFFF" w:themeColor="background1"/>
                <w:sz w:val="28"/>
                <w:szCs w:val="28"/>
              </w:rPr>
              <w:t xml:space="preserve"> – Continued </w:t>
            </w:r>
          </w:p>
        </w:tc>
      </w:tr>
      <w:tr w:rsidR="003B1E1B" w:rsidRPr="00355BA5" w14:paraId="170A6848" w14:textId="77777777" w:rsidTr="002F4A89">
        <w:tc>
          <w:tcPr>
            <w:tcW w:w="732" w:type="pct"/>
            <w:tcBorders>
              <w:top w:val="nil"/>
              <w:left w:val="single" w:sz="2" w:space="0" w:color="auto"/>
              <w:bottom w:val="nil"/>
              <w:right w:val="single" w:sz="2" w:space="0" w:color="auto"/>
            </w:tcBorders>
          </w:tcPr>
          <w:p w14:paraId="193D469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0A512257" w14:textId="77777777" w:rsidR="003B1E1B" w:rsidRPr="000A1595" w:rsidRDefault="003B1E1B" w:rsidP="007B013F">
            <w:pPr>
              <w:spacing w:after="40"/>
              <w:jc w:val="both"/>
              <w:rPr>
                <w:rFonts w:cs="Calibri"/>
                <w:color w:val="FFFFFF" w:themeColor="background1"/>
                <w:sz w:val="18"/>
                <w:szCs w:val="18"/>
              </w:rPr>
            </w:pPr>
            <w:r w:rsidRPr="000A1595">
              <w:rPr>
                <w:rFonts w:cs="Calibri"/>
                <w:color w:val="FFFFFF" w:themeColor="background1"/>
                <w:sz w:val="18"/>
                <w:szCs w:val="18"/>
              </w:rPr>
              <w:t>For property, plant and equipment, disclosure of a change in an accounting estimate may arise from changes in estimates with respect to:</w:t>
            </w:r>
          </w:p>
          <w:p w14:paraId="659F0BD7" w14:textId="77777777"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residual values;</w:t>
            </w:r>
          </w:p>
          <w:p w14:paraId="219625B4" w14:textId="77777777"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the estimated costs of dismantling, removing or restoring items of property, plant and equipment;</w:t>
            </w:r>
          </w:p>
          <w:p w14:paraId="183121C4" w14:textId="1C61687F"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useful lives; and</w:t>
            </w:r>
          </w:p>
          <w:p w14:paraId="043597BA" w14:textId="2FE91899"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depreciation methods.</w:t>
            </w:r>
          </w:p>
        </w:tc>
      </w:tr>
      <w:tr w:rsidR="009A1F66" w:rsidRPr="00355BA5" w14:paraId="61BFDA0F" w14:textId="77777777" w:rsidTr="002F4A89">
        <w:tc>
          <w:tcPr>
            <w:tcW w:w="732" w:type="pct"/>
            <w:tcBorders>
              <w:top w:val="nil"/>
              <w:left w:val="single" w:sz="2" w:space="0" w:color="auto"/>
              <w:bottom w:val="nil"/>
              <w:right w:val="single" w:sz="2" w:space="0" w:color="auto"/>
            </w:tcBorders>
          </w:tcPr>
          <w:p w14:paraId="20959553" w14:textId="77777777" w:rsidR="009A1F66" w:rsidRPr="000A1595" w:rsidRDefault="009A1F66"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nil"/>
              <w:right w:val="nil"/>
            </w:tcBorders>
            <w:shd w:val="clear" w:color="auto" w:fill="7030A0"/>
          </w:tcPr>
          <w:p w14:paraId="258E5E2E" w14:textId="44B241A6" w:rsidR="009A1F66" w:rsidRPr="000A1595" w:rsidRDefault="009A1F66" w:rsidP="007B013F">
            <w:pPr>
              <w:spacing w:after="40"/>
              <w:jc w:val="both"/>
              <w:rPr>
                <w:rFonts w:cs="Calibri"/>
                <w:color w:val="FFFFFF" w:themeColor="background1"/>
                <w:sz w:val="18"/>
                <w:szCs w:val="18"/>
              </w:rPr>
            </w:pPr>
            <w:r w:rsidRPr="000A1595">
              <w:rPr>
                <w:rFonts w:cs="Calibri"/>
                <w:color w:val="FFFFFF" w:themeColor="background1"/>
                <w:sz w:val="18"/>
                <w:szCs w:val="18"/>
              </w:rPr>
              <w:t xml:space="preserve">For further information concerning the treatment and disclosure of a Change in Accounting Estimate </w:t>
            </w:r>
            <w:r w:rsidRPr="009415D8">
              <w:rPr>
                <w:rFonts w:cs="Calibri"/>
                <w:strike/>
                <w:color w:val="FF0000"/>
                <w:sz w:val="18"/>
                <w:szCs w:val="18"/>
              </w:rPr>
              <w:t>please</w:t>
            </w:r>
            <w:r w:rsidRPr="000A1595">
              <w:rPr>
                <w:rFonts w:cs="Calibri"/>
                <w:color w:val="FFFFFF" w:themeColor="background1"/>
                <w:sz w:val="18"/>
                <w:szCs w:val="18"/>
              </w:rPr>
              <w:t xml:space="preserve"> refer to the </w:t>
            </w:r>
            <w:r w:rsidRPr="000A1595">
              <w:rPr>
                <w:i/>
                <w:iCs/>
                <w:color w:val="FFFFFF" w:themeColor="background1"/>
                <w:sz w:val="18"/>
                <w:szCs w:val="18"/>
              </w:rPr>
              <w:t>Accounting Disclosure Paper –</w:t>
            </w:r>
            <w:r w:rsidRPr="000A1595">
              <w:rPr>
                <w:color w:val="FFFFFF" w:themeColor="background1"/>
                <w:sz w:val="18"/>
                <w:szCs w:val="18"/>
              </w:rPr>
              <w:t xml:space="preserve"> </w:t>
            </w:r>
            <w:r w:rsidRPr="000A1595">
              <w:rPr>
                <w:rFonts w:cs="Calibri"/>
                <w:i/>
                <w:color w:val="FFFFFF" w:themeColor="background1"/>
                <w:sz w:val="18"/>
                <w:szCs w:val="18"/>
              </w:rPr>
              <w:t xml:space="preserve">Presenting Restatements of </w:t>
            </w:r>
            <w:r w:rsidRPr="009415D8">
              <w:rPr>
                <w:rFonts w:cs="Calibri"/>
                <w:i/>
                <w:color w:val="FFFFFF" w:themeColor="background1"/>
                <w:sz w:val="18"/>
                <w:szCs w:val="18"/>
              </w:rPr>
              <w:t>Comparatives</w:t>
            </w:r>
            <w:r w:rsidR="00C5083D" w:rsidRPr="009415D8">
              <w:rPr>
                <w:rFonts w:cs="Calibri"/>
                <w:iCs/>
                <w:color w:val="FF0000"/>
                <w:sz w:val="18"/>
                <w:szCs w:val="18"/>
              </w:rPr>
              <w:t xml:space="preserve"> on the ACT Accounting website at </w:t>
            </w:r>
            <w:hyperlink r:id="rId36" w:history="1">
              <w:r w:rsidR="00C5083D" w:rsidRPr="009415D8">
                <w:rPr>
                  <w:rStyle w:val="Hyperlink"/>
                  <w:rFonts w:cs="Calibri"/>
                  <w:color w:val="FF0000"/>
                  <w:sz w:val="18"/>
                  <w:szCs w:val="18"/>
                  <w:u w:val="none"/>
                </w:rPr>
                <w:t>h</w:t>
              </w:r>
              <w:r w:rsidR="00C5083D" w:rsidRPr="009415D8">
                <w:rPr>
                  <w:iCs/>
                  <w:color w:val="FF0000"/>
                  <w:sz w:val="18"/>
                  <w:szCs w:val="18"/>
                </w:rPr>
                <w:t>ttps://treasury.act.gov.au/accounting</w:t>
              </w:r>
            </w:hyperlink>
            <w:r w:rsidR="00C5083D" w:rsidRPr="009415D8">
              <w:rPr>
                <w:rFonts w:cs="Calibri"/>
                <w:color w:val="FFFFFF" w:themeColor="background1"/>
                <w:sz w:val="18"/>
                <w:szCs w:val="18"/>
              </w:rPr>
              <w:t>.</w:t>
            </w:r>
            <w:r w:rsidR="009415D8" w:rsidRPr="009415D8">
              <w:rPr>
                <w:rFonts w:cs="Calibri"/>
                <w:iCs/>
                <w:color w:val="538135" w:themeColor="accent6" w:themeShade="BF"/>
                <w:sz w:val="18"/>
                <w:szCs w:val="18"/>
              </w:rPr>
              <w:t xml:space="preserve"> </w:t>
            </w:r>
            <w:r w:rsidR="009415D8" w:rsidRPr="009415D8">
              <w:rPr>
                <w:rFonts w:cs="Calibri"/>
                <w:iCs/>
                <w:color w:val="FF0000"/>
                <w:sz w:val="18"/>
                <w:szCs w:val="18"/>
              </w:rPr>
              <w:t>This is a separate supplementary paper to this Model.</w:t>
            </w:r>
          </w:p>
        </w:tc>
      </w:tr>
      <w:tr w:rsidR="003B1E1B" w:rsidRPr="00355BA5" w14:paraId="383E798C" w14:textId="77777777" w:rsidTr="002F4A89">
        <w:tc>
          <w:tcPr>
            <w:tcW w:w="732" w:type="pct"/>
            <w:tcBorders>
              <w:top w:val="nil"/>
              <w:left w:val="single" w:sz="2" w:space="0" w:color="auto"/>
              <w:bottom w:val="nil"/>
              <w:right w:val="single" w:sz="2" w:space="0" w:color="auto"/>
            </w:tcBorders>
          </w:tcPr>
          <w:p w14:paraId="38C4F810"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76D540D" w14:textId="3770C6B0" w:rsidR="003B1E1B" w:rsidRPr="00E17229" w:rsidRDefault="003B1E1B" w:rsidP="00CC1E25">
            <w:pPr>
              <w:spacing w:before="120" w:after="40"/>
              <w:jc w:val="both"/>
              <w:rPr>
                <w:rFonts w:cs="Calibri"/>
                <w:b/>
                <w:bCs/>
                <w:color w:val="FFFFFF" w:themeColor="background1"/>
                <w:sz w:val="20"/>
                <w:szCs w:val="20"/>
              </w:rPr>
            </w:pPr>
            <w:r w:rsidRPr="00E17229">
              <w:rPr>
                <w:rFonts w:cs="Calibri"/>
                <w:b/>
                <w:bCs/>
                <w:color w:val="FFFFFF" w:themeColor="background1"/>
                <w:sz w:val="20"/>
                <w:szCs w:val="20"/>
              </w:rPr>
              <w:t>Correction of Prior Period Errors</w:t>
            </w:r>
          </w:p>
        </w:tc>
      </w:tr>
      <w:tr w:rsidR="003B1E1B" w:rsidRPr="00355BA5" w14:paraId="3FFC3E4E" w14:textId="77777777" w:rsidTr="002F4A89">
        <w:tc>
          <w:tcPr>
            <w:tcW w:w="732" w:type="pct"/>
            <w:tcBorders>
              <w:top w:val="nil"/>
              <w:left w:val="single" w:sz="2" w:space="0" w:color="auto"/>
              <w:bottom w:val="nil"/>
              <w:right w:val="single" w:sz="2" w:space="0" w:color="auto"/>
            </w:tcBorders>
          </w:tcPr>
          <w:p w14:paraId="5847292B"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D033B07" w14:textId="27114453" w:rsidR="003B1E1B" w:rsidRPr="000A1595" w:rsidRDefault="003B1E1B" w:rsidP="007B013F">
            <w:pPr>
              <w:spacing w:after="40"/>
              <w:jc w:val="both"/>
              <w:rPr>
                <w:rFonts w:cs="Calibri"/>
                <w:color w:val="FFFFFF" w:themeColor="background1"/>
                <w:sz w:val="18"/>
                <w:szCs w:val="18"/>
              </w:rPr>
            </w:pPr>
            <w:r w:rsidRPr="000A1595">
              <w:rPr>
                <w:rFonts w:cs="Calibri"/>
                <w:color w:val="FFFFFF" w:themeColor="background1"/>
                <w:sz w:val="18"/>
                <w:szCs w:val="18"/>
              </w:rPr>
              <w:t xml:space="preserve">For information concerning the treatment and disclosure of a correction of a prior period error, </w:t>
            </w:r>
            <w:r w:rsidRPr="009415D8">
              <w:rPr>
                <w:rFonts w:cs="Calibri"/>
                <w:strike/>
                <w:color w:val="FF0000"/>
                <w:sz w:val="18"/>
                <w:szCs w:val="18"/>
              </w:rPr>
              <w:t>please</w:t>
            </w:r>
            <w:r w:rsidRPr="009415D8">
              <w:rPr>
                <w:rFonts w:cs="Calibri"/>
                <w:color w:val="FFFFFF" w:themeColor="background1"/>
                <w:sz w:val="18"/>
                <w:szCs w:val="18"/>
              </w:rPr>
              <w:t xml:space="preserve"> refer to the </w:t>
            </w:r>
            <w:r w:rsidRPr="009415D8">
              <w:rPr>
                <w:rFonts w:cs="Calibri"/>
                <w:i/>
                <w:iCs/>
                <w:color w:val="FFFFFF" w:themeColor="background1"/>
                <w:sz w:val="18"/>
                <w:szCs w:val="18"/>
              </w:rPr>
              <w:t>A</w:t>
            </w:r>
            <w:r w:rsidR="00294AB5" w:rsidRPr="009415D8">
              <w:rPr>
                <w:rFonts w:cs="Calibri"/>
                <w:i/>
                <w:iCs/>
                <w:color w:val="FFFFFF" w:themeColor="background1"/>
                <w:sz w:val="18"/>
                <w:szCs w:val="18"/>
              </w:rPr>
              <w:t>ccounting</w:t>
            </w:r>
            <w:r w:rsidRPr="009415D8">
              <w:rPr>
                <w:rFonts w:cs="Calibri"/>
                <w:i/>
                <w:iCs/>
                <w:color w:val="FFFFFF" w:themeColor="background1"/>
                <w:sz w:val="18"/>
                <w:szCs w:val="18"/>
              </w:rPr>
              <w:t xml:space="preserve"> </w:t>
            </w:r>
            <w:r w:rsidR="009A1F66" w:rsidRPr="009415D8">
              <w:rPr>
                <w:i/>
                <w:iCs/>
                <w:color w:val="FFFFFF" w:themeColor="background1"/>
                <w:sz w:val="18"/>
                <w:szCs w:val="18"/>
              </w:rPr>
              <w:t>Disclosure</w:t>
            </w:r>
            <w:r w:rsidR="009A1F66" w:rsidRPr="009415D8">
              <w:rPr>
                <w:rFonts w:cs="Calibri"/>
                <w:i/>
                <w:iCs/>
                <w:color w:val="FFFFFF" w:themeColor="background1"/>
                <w:sz w:val="18"/>
                <w:szCs w:val="18"/>
              </w:rPr>
              <w:t xml:space="preserve"> </w:t>
            </w:r>
            <w:r w:rsidRPr="009415D8">
              <w:rPr>
                <w:rFonts w:cs="Calibri"/>
                <w:i/>
                <w:iCs/>
                <w:color w:val="FFFFFF" w:themeColor="background1"/>
                <w:sz w:val="18"/>
                <w:szCs w:val="18"/>
              </w:rPr>
              <w:t>Paper - Presenting Restatements of Comparatives</w:t>
            </w:r>
            <w:r w:rsidR="00C5083D" w:rsidRPr="009415D8">
              <w:rPr>
                <w:rFonts w:cs="Calibri"/>
                <w:iCs/>
                <w:color w:val="FF0000"/>
                <w:sz w:val="18"/>
                <w:szCs w:val="18"/>
              </w:rPr>
              <w:t xml:space="preserve"> on the ACT Accounting website at </w:t>
            </w:r>
            <w:hyperlink r:id="rId37" w:history="1">
              <w:r w:rsidR="00C5083D" w:rsidRPr="009415D8">
                <w:rPr>
                  <w:rStyle w:val="Hyperlink"/>
                  <w:rFonts w:cs="Calibri"/>
                  <w:color w:val="FF0000"/>
                  <w:sz w:val="18"/>
                  <w:szCs w:val="18"/>
                  <w:u w:val="none"/>
                </w:rPr>
                <w:t>h</w:t>
              </w:r>
              <w:r w:rsidR="00C5083D" w:rsidRPr="009415D8">
                <w:rPr>
                  <w:iCs/>
                  <w:color w:val="FF0000"/>
                  <w:sz w:val="18"/>
                  <w:szCs w:val="18"/>
                </w:rPr>
                <w:t>ttps://treasury.act.gov.au/accounting</w:t>
              </w:r>
            </w:hyperlink>
            <w:r w:rsidR="00C5083D" w:rsidRPr="009415D8">
              <w:rPr>
                <w:rFonts w:cs="Calibri"/>
                <w:color w:val="FFFFFF" w:themeColor="background1"/>
                <w:sz w:val="18"/>
                <w:szCs w:val="18"/>
              </w:rPr>
              <w:t>.</w:t>
            </w:r>
            <w:r w:rsidR="00CD488A" w:rsidRPr="009415D8">
              <w:rPr>
                <w:rFonts w:cs="Calibri"/>
                <w:i/>
                <w:iCs/>
                <w:color w:val="FFFFFF" w:themeColor="background1"/>
                <w:sz w:val="18"/>
                <w:szCs w:val="18"/>
              </w:rPr>
              <w:t xml:space="preserve"> </w:t>
            </w:r>
            <w:r w:rsidR="00CD488A" w:rsidRPr="009415D8">
              <w:rPr>
                <w:rFonts w:cs="Calibri"/>
                <w:iCs/>
                <w:color w:val="538135" w:themeColor="accent6" w:themeShade="BF"/>
                <w:sz w:val="18"/>
                <w:szCs w:val="18"/>
              </w:rPr>
              <w:t xml:space="preserve">This </w:t>
            </w:r>
            <w:r w:rsidR="00CD488A" w:rsidRPr="009415D8">
              <w:rPr>
                <w:rFonts w:cs="Calibri"/>
                <w:iCs/>
                <w:color w:val="FF0000"/>
                <w:sz w:val="18"/>
                <w:szCs w:val="18"/>
              </w:rPr>
              <w:t>is</w:t>
            </w:r>
            <w:r w:rsidR="00CD488A" w:rsidRPr="009415D8">
              <w:rPr>
                <w:rFonts w:cs="Calibri"/>
                <w:iCs/>
                <w:color w:val="538135" w:themeColor="accent6" w:themeShade="BF"/>
                <w:sz w:val="18"/>
                <w:szCs w:val="18"/>
              </w:rPr>
              <w:t xml:space="preserve"> a separate supplementary paper to this Model.</w:t>
            </w:r>
          </w:p>
        </w:tc>
      </w:tr>
      <w:tr w:rsidR="003B1E1B" w:rsidRPr="00355BA5" w14:paraId="70D07B85" w14:textId="77777777" w:rsidTr="002F4A89">
        <w:tc>
          <w:tcPr>
            <w:tcW w:w="732" w:type="pct"/>
            <w:tcBorders>
              <w:top w:val="nil"/>
              <w:left w:val="single" w:sz="2" w:space="0" w:color="auto"/>
              <w:bottom w:val="nil"/>
              <w:right w:val="single" w:sz="2" w:space="0" w:color="auto"/>
            </w:tcBorders>
          </w:tcPr>
          <w:p w14:paraId="09389A7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5B8AA45D" w14:textId="0B73E7CD" w:rsidR="003B1E1B" w:rsidRPr="00E17229" w:rsidRDefault="003B1E1B" w:rsidP="00CC1E25">
            <w:pPr>
              <w:spacing w:before="120" w:after="40"/>
              <w:jc w:val="both"/>
              <w:rPr>
                <w:rFonts w:cs="Calibri"/>
                <w:color w:val="FFFFFF" w:themeColor="background1"/>
                <w:sz w:val="20"/>
                <w:szCs w:val="20"/>
              </w:rPr>
            </w:pPr>
            <w:r w:rsidRPr="00E17229">
              <w:rPr>
                <w:rFonts w:cs="Calibri"/>
                <w:b/>
                <w:bCs/>
                <w:color w:val="FFFFFF" w:themeColor="background1"/>
                <w:sz w:val="20"/>
                <w:szCs w:val="20"/>
              </w:rPr>
              <w:t>Modification</w:t>
            </w:r>
          </w:p>
        </w:tc>
      </w:tr>
      <w:tr w:rsidR="003B1E1B" w:rsidRPr="00355BA5" w14:paraId="4D7F8412" w14:textId="77777777" w:rsidTr="002F4A89">
        <w:tc>
          <w:tcPr>
            <w:tcW w:w="732" w:type="pct"/>
            <w:tcBorders>
              <w:top w:val="nil"/>
              <w:left w:val="single" w:sz="2" w:space="0" w:color="auto"/>
              <w:bottom w:val="nil"/>
              <w:right w:val="single" w:sz="2" w:space="0" w:color="auto"/>
            </w:tcBorders>
          </w:tcPr>
          <w:p w14:paraId="5EEE5C3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95503CB" w14:textId="6A3DCAE5"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Agencies should modify this note to their particular requirements.</w:t>
            </w:r>
            <w:r w:rsidR="00FA7C77">
              <w:rPr>
                <w:rFonts w:cs="Calibri"/>
                <w:color w:val="FFFFFF" w:themeColor="background1"/>
                <w:sz w:val="18"/>
                <w:szCs w:val="18"/>
              </w:rPr>
              <w:t xml:space="preserve"> </w:t>
            </w:r>
            <w:r w:rsidRPr="000A1595">
              <w:rPr>
                <w:rFonts w:cs="Calibri"/>
                <w:color w:val="FFFFFF" w:themeColor="background1"/>
                <w:sz w:val="18"/>
                <w:szCs w:val="18"/>
              </w:rPr>
              <w:t>For example, if an agency only has a change in accounting policy and no corrections of errors or change in accounting estimates, then only the section on changes in accounting policy is required.</w:t>
            </w:r>
            <w:r w:rsidR="00FA7C77">
              <w:rPr>
                <w:rFonts w:cs="Calibri"/>
                <w:color w:val="FFFFFF" w:themeColor="background1"/>
                <w:sz w:val="18"/>
                <w:szCs w:val="18"/>
              </w:rPr>
              <w:t xml:space="preserve"> </w:t>
            </w:r>
            <w:r w:rsidRPr="000A1595">
              <w:rPr>
                <w:rFonts w:cs="Calibri"/>
                <w:color w:val="FFFFFF" w:themeColor="background1"/>
                <w:sz w:val="18"/>
                <w:szCs w:val="18"/>
              </w:rPr>
              <w:t>The note title should only reflect what the note contains.</w:t>
            </w:r>
            <w:r w:rsidR="00FA7C77">
              <w:rPr>
                <w:rFonts w:cs="Calibri"/>
                <w:color w:val="FFFFFF" w:themeColor="background1"/>
                <w:sz w:val="18"/>
                <w:szCs w:val="18"/>
              </w:rPr>
              <w:t xml:space="preserve"> </w:t>
            </w:r>
            <w:r w:rsidRPr="000A1595">
              <w:rPr>
                <w:rFonts w:cs="Calibri"/>
                <w:color w:val="FFFFFF" w:themeColor="background1"/>
                <w:sz w:val="18"/>
                <w:szCs w:val="18"/>
              </w:rPr>
              <w:t xml:space="preserve"> </w:t>
            </w:r>
          </w:p>
        </w:tc>
      </w:tr>
      <w:tr w:rsidR="003B1E1B" w:rsidRPr="00355BA5" w14:paraId="4E60285D" w14:textId="77777777" w:rsidTr="002F4A89">
        <w:tc>
          <w:tcPr>
            <w:tcW w:w="732" w:type="pct"/>
            <w:tcBorders>
              <w:top w:val="nil"/>
              <w:left w:val="single" w:sz="2" w:space="0" w:color="auto"/>
              <w:bottom w:val="nil"/>
              <w:right w:val="single" w:sz="2" w:space="0" w:color="auto"/>
            </w:tcBorders>
          </w:tcPr>
          <w:p w14:paraId="44F634E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458D13F" w14:textId="7DAFEBFB" w:rsidR="003B1E1B" w:rsidRPr="000A1595" w:rsidRDefault="003B1E1B" w:rsidP="00E17229">
            <w:pPr>
              <w:spacing w:after="120"/>
              <w:jc w:val="both"/>
              <w:rPr>
                <w:rFonts w:cs="Calibri"/>
                <w:color w:val="FFFFFF" w:themeColor="background1"/>
                <w:sz w:val="18"/>
                <w:szCs w:val="18"/>
              </w:rPr>
            </w:pPr>
            <w:r w:rsidRPr="000A1595">
              <w:rPr>
                <w:rFonts w:cs="Calibri"/>
                <w:color w:val="FFFFFF" w:themeColor="background1"/>
                <w:sz w:val="18"/>
                <w:szCs w:val="18"/>
              </w:rPr>
              <w:t>In the event that an agency has none of the</w:t>
            </w:r>
            <w:r w:rsidR="00294AB5">
              <w:rPr>
                <w:rFonts w:cs="Calibri"/>
                <w:color w:val="FFFFFF" w:themeColor="background1"/>
                <w:sz w:val="18"/>
                <w:szCs w:val="18"/>
              </w:rPr>
              <w:t>se</w:t>
            </w:r>
            <w:r w:rsidRPr="000A1595">
              <w:rPr>
                <w:rFonts w:cs="Calibri"/>
                <w:color w:val="FFFFFF" w:themeColor="background1"/>
                <w:sz w:val="18"/>
                <w:szCs w:val="18"/>
              </w:rPr>
              <w:t xml:space="preserve"> items to report, then the note should be omitted in its entirety.</w:t>
            </w:r>
          </w:p>
        </w:tc>
      </w:tr>
      <w:tr w:rsidR="00FD6C68" w:rsidRPr="00CF7E1B" w14:paraId="56E935FB" w14:textId="77777777" w:rsidTr="002F4A89">
        <w:trPr>
          <w:gridAfter w:val="1"/>
          <w:wAfter w:w="17" w:type="pct"/>
        </w:trPr>
        <w:tc>
          <w:tcPr>
            <w:tcW w:w="732" w:type="pct"/>
            <w:tcBorders>
              <w:top w:val="nil"/>
              <w:left w:val="single" w:sz="2" w:space="0" w:color="auto"/>
              <w:bottom w:val="nil"/>
              <w:right w:val="single" w:sz="2" w:space="0" w:color="auto"/>
            </w:tcBorders>
            <w:vAlign w:val="center"/>
          </w:tcPr>
          <w:p w14:paraId="60BABEAE" w14:textId="4C5D7343" w:rsidR="00FD6C68" w:rsidRPr="000A1595" w:rsidRDefault="00FD6C68" w:rsidP="00C1324A">
            <w:pPr>
              <w:pStyle w:val="Reference"/>
              <w:tabs>
                <w:tab w:val="left" w:pos="3306"/>
              </w:tabs>
              <w:rPr>
                <w:rFonts w:cs="Calibri"/>
                <w:color w:val="7030A0"/>
                <w:sz w:val="22"/>
                <w:szCs w:val="22"/>
              </w:rPr>
            </w:pPr>
          </w:p>
        </w:tc>
        <w:tc>
          <w:tcPr>
            <w:tcW w:w="4251" w:type="pct"/>
            <w:tcBorders>
              <w:top w:val="nil"/>
              <w:left w:val="single" w:sz="2" w:space="0" w:color="auto"/>
              <w:bottom w:val="nil"/>
              <w:right w:val="nil"/>
            </w:tcBorders>
          </w:tcPr>
          <w:p w14:paraId="773211FE" w14:textId="12247AEE" w:rsidR="00FD6C68" w:rsidRPr="000A1595" w:rsidRDefault="00FD6C68" w:rsidP="00BD1DCB">
            <w:pPr>
              <w:pStyle w:val="Heading1"/>
              <w:numPr>
                <w:ilvl w:val="0"/>
                <w:numId w:val="0"/>
              </w:numPr>
              <w:ind w:left="1134" w:hanging="1134"/>
              <w:rPr>
                <w:rFonts w:asciiTheme="minorHAnsi" w:hAnsiTheme="minorHAnsi" w:cstheme="minorHAnsi"/>
                <w:sz w:val="36"/>
                <w:szCs w:val="36"/>
              </w:rPr>
            </w:pPr>
            <w:bookmarkStart w:id="345" w:name="_Toc132743779"/>
            <w:r w:rsidRPr="000A1595">
              <w:rPr>
                <w:rFonts w:asciiTheme="minorHAnsi" w:hAnsiTheme="minorHAnsi" w:cstheme="minorHAnsi"/>
                <w:sz w:val="36"/>
                <w:szCs w:val="36"/>
              </w:rPr>
              <w:t>Income Notes</w:t>
            </w:r>
            <w:bookmarkEnd w:id="345"/>
            <w:r w:rsidR="00FA7C77">
              <w:rPr>
                <w:rFonts w:asciiTheme="minorHAnsi" w:hAnsiTheme="minorHAnsi" w:cstheme="minorHAnsi"/>
                <w:sz w:val="36"/>
                <w:szCs w:val="36"/>
              </w:rPr>
              <w:t xml:space="preserve">                             </w:t>
            </w:r>
          </w:p>
        </w:tc>
      </w:tr>
      <w:tr w:rsidR="00382EF2" w:rsidRPr="00CF7E1B" w14:paraId="2DFDDC06" w14:textId="77777777" w:rsidTr="002F4A89">
        <w:trPr>
          <w:gridAfter w:val="1"/>
          <w:wAfter w:w="17" w:type="pct"/>
        </w:trPr>
        <w:tc>
          <w:tcPr>
            <w:tcW w:w="732" w:type="pct"/>
            <w:tcBorders>
              <w:top w:val="nil"/>
              <w:left w:val="single" w:sz="2" w:space="0" w:color="auto"/>
              <w:bottom w:val="nil"/>
              <w:right w:val="single" w:sz="2" w:space="0" w:color="auto"/>
            </w:tcBorders>
          </w:tcPr>
          <w:p w14:paraId="3413011E"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581EBB22" w14:textId="4EE7D768" w:rsidR="00382EF2" w:rsidRPr="000A1595" w:rsidRDefault="00382EF2" w:rsidP="00EC2F33">
            <w:pPr>
              <w:pStyle w:val="Heading1"/>
              <w:numPr>
                <w:ilvl w:val="0"/>
                <w:numId w:val="0"/>
              </w:numPr>
              <w:spacing w:before="0" w:after="0"/>
              <w:ind w:left="1134" w:hanging="1134"/>
              <w:rPr>
                <w:rFonts w:asciiTheme="minorHAnsi" w:hAnsiTheme="minorHAnsi" w:cstheme="minorHAnsi"/>
                <w:sz w:val="36"/>
                <w:szCs w:val="36"/>
              </w:rPr>
            </w:pPr>
            <w:bookmarkStart w:id="346" w:name="_Toc131164480"/>
            <w:bookmarkStart w:id="347" w:name="_Toc131591745"/>
            <w:bookmarkStart w:id="348" w:name="_Toc132743780"/>
            <w:r w:rsidRPr="000A1595">
              <w:rPr>
                <w:rFonts w:ascii="Calibri" w:hAnsi="Calibri" w:cs="Calibri"/>
                <w:caps w:val="0"/>
                <w:sz w:val="18"/>
                <w:szCs w:val="18"/>
              </w:rPr>
              <w:t xml:space="preserve">Material Accounting Policies </w:t>
            </w:r>
            <w:r w:rsidR="00E17229">
              <w:rPr>
                <w:rFonts w:ascii="Calibri" w:hAnsi="Calibri" w:cs="Calibri"/>
                <w:caps w:val="0"/>
                <w:sz w:val="18"/>
                <w:szCs w:val="18"/>
              </w:rPr>
              <w:t>–</w:t>
            </w:r>
            <w:r w:rsidRPr="000A1595">
              <w:rPr>
                <w:rFonts w:ascii="Calibri" w:hAnsi="Calibri" w:cs="Calibri"/>
                <w:caps w:val="0"/>
                <w:sz w:val="18"/>
                <w:szCs w:val="18"/>
              </w:rPr>
              <w:t xml:space="preserve"> Income</w:t>
            </w:r>
            <w:bookmarkEnd w:id="346"/>
            <w:bookmarkEnd w:id="347"/>
            <w:bookmarkEnd w:id="348"/>
            <w:r w:rsidR="00E17229">
              <w:rPr>
                <w:rFonts w:ascii="Calibri" w:hAnsi="Calibri" w:cs="Calibri"/>
                <w:caps w:val="0"/>
                <w:sz w:val="18"/>
                <w:szCs w:val="18"/>
              </w:rPr>
              <w:t xml:space="preserve"> </w:t>
            </w:r>
          </w:p>
        </w:tc>
      </w:tr>
      <w:tr w:rsidR="00382EF2" w:rsidRPr="00CF7E1B" w14:paraId="1AB2C7EA" w14:textId="77777777" w:rsidTr="002F4A89">
        <w:trPr>
          <w:gridAfter w:val="1"/>
          <w:wAfter w:w="17" w:type="pct"/>
        </w:trPr>
        <w:tc>
          <w:tcPr>
            <w:tcW w:w="732" w:type="pct"/>
            <w:tcBorders>
              <w:top w:val="nil"/>
              <w:left w:val="single" w:sz="2" w:space="0" w:color="auto"/>
              <w:bottom w:val="nil"/>
              <w:right w:val="single" w:sz="2" w:space="0" w:color="auto"/>
            </w:tcBorders>
          </w:tcPr>
          <w:p w14:paraId="7098AAD6"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2BDEBAD8" w14:textId="4243400D" w:rsidR="00382EF2" w:rsidRPr="000A1595" w:rsidRDefault="00382EF2" w:rsidP="00E17229">
            <w:pPr>
              <w:pStyle w:val="Heading1"/>
              <w:numPr>
                <w:ilvl w:val="0"/>
                <w:numId w:val="0"/>
              </w:numPr>
              <w:spacing w:before="80" w:after="0"/>
              <w:ind w:left="1134" w:hanging="1134"/>
              <w:rPr>
                <w:rFonts w:ascii="Calibri" w:hAnsi="Calibri" w:cs="Calibri"/>
                <w:caps w:val="0"/>
                <w:sz w:val="18"/>
                <w:szCs w:val="18"/>
              </w:rPr>
            </w:pPr>
            <w:bookmarkStart w:id="349" w:name="_Toc131164481"/>
            <w:bookmarkStart w:id="350" w:name="_Toc131591746"/>
            <w:bookmarkStart w:id="351" w:name="_Toc132743781"/>
            <w:r w:rsidRPr="000A1595">
              <w:rPr>
                <w:rFonts w:ascii="Calibri" w:hAnsi="Calibri" w:cs="Calibri"/>
                <w:caps w:val="0"/>
                <w:sz w:val="18"/>
                <w:szCs w:val="18"/>
              </w:rPr>
              <w:t>Income Recognition</w:t>
            </w:r>
            <w:bookmarkEnd w:id="349"/>
            <w:bookmarkEnd w:id="350"/>
            <w:bookmarkEnd w:id="351"/>
          </w:p>
        </w:tc>
      </w:tr>
      <w:tr w:rsidR="00FD6C68" w:rsidRPr="00CF7E1B" w14:paraId="48C7D499" w14:textId="77777777" w:rsidTr="002F4A89">
        <w:trPr>
          <w:gridAfter w:val="1"/>
          <w:wAfter w:w="17" w:type="pct"/>
        </w:trPr>
        <w:tc>
          <w:tcPr>
            <w:tcW w:w="732" w:type="pct"/>
            <w:tcBorders>
              <w:top w:val="nil"/>
              <w:left w:val="single" w:sz="2" w:space="0" w:color="auto"/>
              <w:bottom w:val="nil"/>
              <w:right w:val="single" w:sz="2" w:space="0" w:color="auto"/>
            </w:tcBorders>
          </w:tcPr>
          <w:p w14:paraId="4BC8D000" w14:textId="27761AB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71E06677" w14:textId="6C80E3C0" w:rsidR="00FD6C68" w:rsidRPr="000A1595" w:rsidRDefault="00FD6C68" w:rsidP="009A0F2F">
            <w:pPr>
              <w:pStyle w:val="TableText"/>
              <w:rPr>
                <w:strike/>
              </w:rPr>
            </w:pPr>
            <w:r w:rsidRPr="000A1595">
              <w:rPr>
                <w:rFonts w:cs="Calibri"/>
              </w:rPr>
              <w:t xml:space="preserve">The following </w:t>
            </w:r>
            <w:r w:rsidR="006520B9" w:rsidRPr="000A1595">
              <w:rPr>
                <w:rFonts w:cs="Calibri"/>
              </w:rPr>
              <w:t>m</w:t>
            </w:r>
            <w:r w:rsidRPr="000A1595">
              <w:rPr>
                <w:rFonts w:cs="Calibri"/>
              </w:rPr>
              <w:t xml:space="preserve">aterial </w:t>
            </w:r>
            <w:r w:rsidR="006520B9" w:rsidRPr="000A1595">
              <w:rPr>
                <w:rFonts w:cs="Calibri"/>
              </w:rPr>
              <w:t>a</w:t>
            </w:r>
            <w:r w:rsidRPr="000A1595">
              <w:rPr>
                <w:rFonts w:cs="Calibri"/>
              </w:rPr>
              <w:t xml:space="preserve">ccounting </w:t>
            </w:r>
            <w:r w:rsidR="006520B9" w:rsidRPr="000A1595">
              <w:rPr>
                <w:rFonts w:cs="Calibri"/>
              </w:rPr>
              <w:t>p</w:t>
            </w:r>
            <w:r w:rsidRPr="000A1595">
              <w:rPr>
                <w:rFonts w:cs="Calibri"/>
              </w:rPr>
              <w:t xml:space="preserve">olicies relate to </w:t>
            </w:r>
            <w:r w:rsidR="003B397A" w:rsidRPr="000A1595">
              <w:rPr>
                <w:rFonts w:cs="Calibri"/>
              </w:rPr>
              <w:t xml:space="preserve">each </w:t>
            </w:r>
            <w:r w:rsidRPr="000A1595">
              <w:rPr>
                <w:rFonts w:cs="Calibri"/>
              </w:rPr>
              <w:t xml:space="preserve">income </w:t>
            </w:r>
            <w:r w:rsidR="003B397A" w:rsidRPr="000A1595">
              <w:rPr>
                <w:rFonts w:cs="Calibri"/>
              </w:rPr>
              <w:t>note unless stated otherwise in the individual note.</w:t>
            </w:r>
          </w:p>
        </w:tc>
      </w:tr>
      <w:tr w:rsidR="00FD6C68" w:rsidRPr="00CF7E1B" w14:paraId="7580C682" w14:textId="77777777" w:rsidTr="002F4A89">
        <w:trPr>
          <w:gridAfter w:val="1"/>
          <w:wAfter w:w="17" w:type="pct"/>
        </w:trPr>
        <w:tc>
          <w:tcPr>
            <w:tcW w:w="732" w:type="pct"/>
            <w:tcBorders>
              <w:top w:val="nil"/>
              <w:left w:val="single" w:sz="2" w:space="0" w:color="auto"/>
              <w:bottom w:val="nil"/>
              <w:right w:val="single" w:sz="2" w:space="0" w:color="auto"/>
            </w:tcBorders>
          </w:tcPr>
          <w:p w14:paraId="3533C4AE" w14:textId="7777777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17A36914" w14:textId="4E92CAA7" w:rsidR="003B397A" w:rsidRPr="000A1595" w:rsidRDefault="003B397A" w:rsidP="003B397A">
            <w:pPr>
              <w:jc w:val="both"/>
              <w:rPr>
                <w:sz w:val="18"/>
                <w:szCs w:val="18"/>
              </w:rPr>
            </w:pPr>
            <w:r w:rsidRPr="000A1595">
              <w:rPr>
                <w:sz w:val="18"/>
                <w:szCs w:val="18"/>
              </w:rPr>
              <w:t xml:space="preserve">Revenue is recognised in accordance with AASB 15 </w:t>
            </w:r>
            <w:r w:rsidRPr="000A1595">
              <w:rPr>
                <w:i/>
                <w:iCs/>
                <w:sz w:val="18"/>
                <w:szCs w:val="18"/>
              </w:rPr>
              <w:t>Revenue from Contracts with Customers</w:t>
            </w:r>
            <w:r w:rsidRPr="000A1595">
              <w:rPr>
                <w:sz w:val="18"/>
                <w:szCs w:val="18"/>
              </w:rPr>
              <w:t xml:space="preserve"> where the contract is enforceable and contains sufficiently specific performance obligations, otherwise revenue is in the scope of AASB 1058 </w:t>
            </w:r>
            <w:r w:rsidRPr="00E17229">
              <w:rPr>
                <w:i/>
                <w:iCs/>
                <w:sz w:val="18"/>
                <w:szCs w:val="18"/>
              </w:rPr>
              <w:t xml:space="preserve">Income of </w:t>
            </w:r>
            <w:r w:rsidR="00294AB5" w:rsidRPr="00E17229">
              <w:rPr>
                <w:i/>
                <w:iCs/>
                <w:sz w:val="18"/>
                <w:szCs w:val="18"/>
              </w:rPr>
              <w:t>N</w:t>
            </w:r>
            <w:r w:rsidRPr="00E17229">
              <w:rPr>
                <w:i/>
                <w:iCs/>
                <w:sz w:val="18"/>
                <w:szCs w:val="18"/>
              </w:rPr>
              <w:t>ot-for-Profit Entities</w:t>
            </w:r>
            <w:r w:rsidRPr="000A1595">
              <w:rPr>
                <w:sz w:val="18"/>
                <w:szCs w:val="18"/>
              </w:rPr>
              <w:t>.</w:t>
            </w:r>
          </w:p>
          <w:p w14:paraId="7302E0CE" w14:textId="77777777" w:rsidR="003B397A" w:rsidRPr="000A1595" w:rsidRDefault="003B397A" w:rsidP="003B397A">
            <w:pPr>
              <w:jc w:val="both"/>
              <w:rPr>
                <w:sz w:val="18"/>
                <w:szCs w:val="18"/>
              </w:rPr>
            </w:pPr>
          </w:p>
          <w:p w14:paraId="5077360C" w14:textId="77777777" w:rsidR="003B397A" w:rsidRPr="000A1595" w:rsidRDefault="003B397A" w:rsidP="003B397A">
            <w:pPr>
              <w:jc w:val="both"/>
              <w:rPr>
                <w:b/>
                <w:sz w:val="18"/>
                <w:szCs w:val="18"/>
              </w:rPr>
            </w:pPr>
            <w:r w:rsidRPr="000A1595">
              <w:rPr>
                <w:b/>
                <w:sz w:val="18"/>
                <w:szCs w:val="18"/>
              </w:rPr>
              <w:t>AASB 15</w:t>
            </w:r>
          </w:p>
          <w:p w14:paraId="086143E7" w14:textId="5ACDCCCD" w:rsidR="003B397A" w:rsidRPr="000A1595" w:rsidRDefault="003B397A" w:rsidP="003B397A">
            <w:pPr>
              <w:jc w:val="both"/>
              <w:rPr>
                <w:sz w:val="18"/>
                <w:szCs w:val="18"/>
              </w:rPr>
            </w:pPr>
            <w:r w:rsidRPr="000A1595">
              <w:rPr>
                <w:sz w:val="18"/>
                <w:szCs w:val="18"/>
              </w:rPr>
              <w:t>The core principle of AASB 15 is that revenue is recognised on a basis that reflects the transfer of promised goods or services to customers at an amount that reflects the consideration the entity expects to receive in exchange for those goods or services.</w:t>
            </w:r>
            <w:r w:rsidR="00FA7C77">
              <w:rPr>
                <w:sz w:val="18"/>
                <w:szCs w:val="18"/>
              </w:rPr>
              <w:t xml:space="preserve"> </w:t>
            </w:r>
            <w:r w:rsidRPr="000A1595">
              <w:rPr>
                <w:sz w:val="18"/>
                <w:szCs w:val="18"/>
              </w:rPr>
              <w:t>Revenue is recognised by applying a five step model as follows:</w:t>
            </w:r>
          </w:p>
          <w:p w14:paraId="1676AAB8" w14:textId="1B322451" w:rsidR="003B397A" w:rsidRPr="000A1595" w:rsidRDefault="003B397A" w:rsidP="00CB31DE">
            <w:pPr>
              <w:pStyle w:val="ListParagraph"/>
              <w:numPr>
                <w:ilvl w:val="1"/>
                <w:numId w:val="36"/>
              </w:numPr>
              <w:ind w:left="583" w:hanging="284"/>
              <w:jc w:val="both"/>
              <w:rPr>
                <w:sz w:val="18"/>
                <w:szCs w:val="18"/>
              </w:rPr>
            </w:pPr>
            <w:r w:rsidRPr="000A1595">
              <w:rPr>
                <w:sz w:val="18"/>
                <w:szCs w:val="18"/>
              </w:rPr>
              <w:t>identify the contract with the customer;</w:t>
            </w:r>
          </w:p>
          <w:p w14:paraId="6180185A" w14:textId="5167BAFE" w:rsidR="003B397A" w:rsidRPr="000A1595" w:rsidRDefault="003B397A" w:rsidP="00CB31DE">
            <w:pPr>
              <w:pStyle w:val="ListParagraph"/>
              <w:numPr>
                <w:ilvl w:val="1"/>
                <w:numId w:val="36"/>
              </w:numPr>
              <w:ind w:left="583" w:hanging="284"/>
              <w:jc w:val="both"/>
              <w:rPr>
                <w:sz w:val="18"/>
                <w:szCs w:val="18"/>
              </w:rPr>
            </w:pPr>
            <w:r w:rsidRPr="000A1595">
              <w:rPr>
                <w:sz w:val="18"/>
                <w:szCs w:val="18"/>
              </w:rPr>
              <w:t>identify the performance obligations;</w:t>
            </w:r>
          </w:p>
          <w:p w14:paraId="0A3327CA" w14:textId="1460F960" w:rsidR="003B397A" w:rsidRPr="000A1595" w:rsidRDefault="003B397A" w:rsidP="00CB31DE">
            <w:pPr>
              <w:pStyle w:val="ListParagraph"/>
              <w:numPr>
                <w:ilvl w:val="1"/>
                <w:numId w:val="36"/>
              </w:numPr>
              <w:ind w:left="583" w:hanging="284"/>
              <w:jc w:val="both"/>
              <w:rPr>
                <w:sz w:val="18"/>
                <w:szCs w:val="18"/>
              </w:rPr>
            </w:pPr>
            <w:r w:rsidRPr="000A1595">
              <w:rPr>
                <w:sz w:val="18"/>
                <w:szCs w:val="18"/>
              </w:rPr>
              <w:t>determine the transaction price;</w:t>
            </w:r>
          </w:p>
          <w:p w14:paraId="678A23DB" w14:textId="24090F2A" w:rsidR="003B397A" w:rsidRPr="000A1595" w:rsidRDefault="003B397A" w:rsidP="00CB31DE">
            <w:pPr>
              <w:pStyle w:val="ListParagraph"/>
              <w:numPr>
                <w:ilvl w:val="1"/>
                <w:numId w:val="36"/>
              </w:numPr>
              <w:ind w:left="583" w:hanging="284"/>
              <w:jc w:val="both"/>
              <w:rPr>
                <w:sz w:val="18"/>
                <w:szCs w:val="18"/>
              </w:rPr>
            </w:pPr>
            <w:r w:rsidRPr="000A1595">
              <w:rPr>
                <w:sz w:val="18"/>
                <w:szCs w:val="18"/>
              </w:rPr>
              <w:t>allocate the transaction price; and</w:t>
            </w:r>
          </w:p>
          <w:p w14:paraId="398E8098" w14:textId="77777777" w:rsidR="003B397A" w:rsidRPr="000A1595" w:rsidRDefault="003B397A" w:rsidP="00CB31DE">
            <w:pPr>
              <w:pStyle w:val="ListParagraph"/>
              <w:numPr>
                <w:ilvl w:val="1"/>
                <w:numId w:val="36"/>
              </w:numPr>
              <w:ind w:left="583" w:hanging="284"/>
              <w:jc w:val="both"/>
              <w:rPr>
                <w:sz w:val="18"/>
                <w:szCs w:val="18"/>
              </w:rPr>
            </w:pPr>
            <w:r w:rsidRPr="000A1595">
              <w:rPr>
                <w:sz w:val="18"/>
                <w:szCs w:val="18"/>
              </w:rPr>
              <w:t>recognise revenue as or when control of the performance obligation is transferred to the customer.</w:t>
            </w:r>
          </w:p>
          <w:p w14:paraId="2AE8209C" w14:textId="77777777" w:rsidR="003B397A" w:rsidRPr="000A1595" w:rsidRDefault="003B397A" w:rsidP="003B397A">
            <w:pPr>
              <w:jc w:val="both"/>
              <w:rPr>
                <w:sz w:val="18"/>
                <w:szCs w:val="18"/>
              </w:rPr>
            </w:pPr>
          </w:p>
          <w:p w14:paraId="2637CEE6" w14:textId="77777777" w:rsidR="003B397A" w:rsidRPr="000A1595" w:rsidRDefault="003B397A" w:rsidP="003B397A">
            <w:pPr>
              <w:jc w:val="both"/>
              <w:rPr>
                <w:sz w:val="18"/>
                <w:szCs w:val="18"/>
              </w:rPr>
            </w:pPr>
            <w:r w:rsidRPr="000A1595">
              <w:rPr>
                <w:sz w:val="18"/>
                <w:szCs w:val="18"/>
              </w:rPr>
              <w:t>Generally, the timing of the payment for sale of goods and rendering of services corresponds closely to the timing of satisfaction of the performance obligations, however where there is a difference, it will result in the recognition of a receivable, contract asset or contract liability.</w:t>
            </w:r>
          </w:p>
          <w:p w14:paraId="4609194F" w14:textId="77777777" w:rsidR="003B397A" w:rsidRPr="000A1595" w:rsidRDefault="003B397A" w:rsidP="003B397A">
            <w:pPr>
              <w:jc w:val="both"/>
              <w:rPr>
                <w:sz w:val="18"/>
                <w:szCs w:val="18"/>
              </w:rPr>
            </w:pPr>
          </w:p>
          <w:p w14:paraId="661CB7AD" w14:textId="47C119BE" w:rsidR="003B397A" w:rsidRPr="000A1595" w:rsidRDefault="003B397A" w:rsidP="003B397A">
            <w:pPr>
              <w:jc w:val="both"/>
              <w:rPr>
                <w:sz w:val="18"/>
                <w:szCs w:val="18"/>
              </w:rPr>
            </w:pPr>
            <w:r w:rsidRPr="000A1595">
              <w:rPr>
                <w:sz w:val="18"/>
                <w:szCs w:val="18"/>
              </w:rPr>
              <w:t>None of the revenue streams of the Agency have any significant financing terms as there is less than 12 months between receipt of funds and satisfaction of performance obligations</w:t>
            </w:r>
            <w:r w:rsidR="00BF37AB" w:rsidRPr="000A1595">
              <w:rPr>
                <w:sz w:val="18"/>
                <w:szCs w:val="18"/>
              </w:rPr>
              <w:t>.</w:t>
            </w:r>
          </w:p>
          <w:p w14:paraId="76BF48BA" w14:textId="77777777" w:rsidR="003B397A" w:rsidRPr="000A1595" w:rsidRDefault="003B397A" w:rsidP="003B397A">
            <w:pPr>
              <w:jc w:val="both"/>
              <w:rPr>
                <w:sz w:val="18"/>
                <w:szCs w:val="18"/>
              </w:rPr>
            </w:pPr>
          </w:p>
          <w:p w14:paraId="23560274" w14:textId="77777777" w:rsidR="003B397A" w:rsidRPr="000A1595" w:rsidRDefault="003B397A" w:rsidP="003B397A">
            <w:pPr>
              <w:jc w:val="both"/>
              <w:rPr>
                <w:b/>
                <w:sz w:val="18"/>
                <w:szCs w:val="18"/>
              </w:rPr>
            </w:pPr>
            <w:r w:rsidRPr="000A1595">
              <w:rPr>
                <w:b/>
                <w:sz w:val="18"/>
                <w:szCs w:val="18"/>
              </w:rPr>
              <w:t>AASB 1058</w:t>
            </w:r>
          </w:p>
          <w:p w14:paraId="35A8F1C9" w14:textId="77777777" w:rsidR="003B397A" w:rsidRPr="000A1595" w:rsidRDefault="003B397A" w:rsidP="003B397A">
            <w:pPr>
              <w:spacing w:after="120"/>
              <w:jc w:val="both"/>
              <w:rPr>
                <w:sz w:val="18"/>
                <w:szCs w:val="18"/>
              </w:rPr>
            </w:pPr>
            <w:r w:rsidRPr="000A1595">
              <w:rPr>
                <w:sz w:val="18"/>
                <w:szCs w:val="18"/>
              </w:rPr>
              <w:t>Where revenue streams are in the scope of AASB 1058, the Agency recognises the asset received (generally cash or other financial asset) at fair value, recognises any related amount (e.g. liability or equity) in accordance with an accounting standard and recognises revenue as the residual between the fair value of the asset and the related amount on receipt of the asset.</w:t>
            </w:r>
          </w:p>
          <w:p w14:paraId="1E0D0B8C" w14:textId="235944B8" w:rsidR="00FD6C68" w:rsidRPr="000A1595" w:rsidRDefault="003B397A" w:rsidP="00382EF2">
            <w:pPr>
              <w:jc w:val="both"/>
              <w:rPr>
                <w:sz w:val="18"/>
                <w:szCs w:val="18"/>
              </w:rPr>
            </w:pPr>
            <w:r w:rsidRPr="000A1595">
              <w:rPr>
                <w:sz w:val="18"/>
                <w:szCs w:val="18"/>
              </w:rPr>
              <w:t xml:space="preserve">Where a service concession unearned revenue liability is recognised, revenue will be recognised as the liability unwinds. </w:t>
            </w:r>
          </w:p>
        </w:tc>
      </w:tr>
    </w:tbl>
    <w:p w14:paraId="7FB14EC9" w14:textId="77777777" w:rsidR="00E17229" w:rsidRDefault="00E17229">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tblGrid>
      <w:tr w:rsidR="00FD6C68" w:rsidRPr="00CF7E1B" w14:paraId="34ABC141" w14:textId="77777777" w:rsidTr="002F4A89">
        <w:tc>
          <w:tcPr>
            <w:tcW w:w="735" w:type="pct"/>
            <w:tcBorders>
              <w:top w:val="nil"/>
              <w:left w:val="single" w:sz="2" w:space="0" w:color="auto"/>
              <w:bottom w:val="nil"/>
              <w:right w:val="single" w:sz="2" w:space="0" w:color="auto"/>
            </w:tcBorders>
            <w:shd w:val="clear" w:color="auto" w:fill="auto"/>
          </w:tcPr>
          <w:p w14:paraId="395B6B70" w14:textId="00EA7133" w:rsidR="00FD6C68" w:rsidRPr="00C9212B" w:rsidRDefault="00E17229" w:rsidP="00C9212B">
            <w:pPr>
              <w:pStyle w:val="TableText"/>
              <w:tabs>
                <w:tab w:val="left" w:pos="3306"/>
              </w:tabs>
              <w:spacing w:before="240" w:after="240"/>
              <w:rPr>
                <w:rFonts w:cs="Calibri"/>
                <w:b/>
                <w:bCs/>
                <w:color w:val="7030A0"/>
                <w:sz w:val="22"/>
                <w:szCs w:val="22"/>
              </w:rPr>
            </w:pPr>
            <w:r w:rsidRPr="000A1595">
              <w:rPr>
                <w:rFonts w:cs="Calibri"/>
                <w:b/>
                <w:bCs/>
                <w:color w:val="7030A0"/>
                <w:sz w:val="22"/>
                <w:szCs w:val="22"/>
              </w:rPr>
              <w:t>Reference</w:t>
            </w:r>
          </w:p>
        </w:tc>
        <w:tc>
          <w:tcPr>
            <w:tcW w:w="4265" w:type="pct"/>
            <w:tcBorders>
              <w:top w:val="nil"/>
              <w:left w:val="single" w:sz="2" w:space="0" w:color="auto"/>
              <w:bottom w:val="nil"/>
              <w:right w:val="nil"/>
            </w:tcBorders>
            <w:shd w:val="clear" w:color="auto" w:fill="7030A0"/>
          </w:tcPr>
          <w:p w14:paraId="033573E5" w14:textId="5645CBA0" w:rsidR="00FD6C68" w:rsidRPr="000A1595" w:rsidRDefault="00082883" w:rsidP="00C9212B">
            <w:pPr>
              <w:spacing w:before="240" w:after="240"/>
              <w:jc w:val="both"/>
              <w:rPr>
                <w:rFonts w:cs="Calibri"/>
                <w:bCs/>
                <w:color w:val="FFFFFF" w:themeColor="background1"/>
                <w:sz w:val="28"/>
                <w:szCs w:val="28"/>
              </w:rPr>
            </w:pPr>
            <w:r w:rsidRPr="000A1595">
              <w:rPr>
                <w:rFonts w:cs="Calibri"/>
                <w:b/>
                <w:color w:val="FFFFFF" w:themeColor="background1"/>
                <w:sz w:val="28"/>
                <w:szCs w:val="28"/>
              </w:rPr>
              <w:t>Commentary – Income Notes</w:t>
            </w:r>
          </w:p>
        </w:tc>
      </w:tr>
      <w:tr w:rsidR="00082883" w:rsidRPr="00CF7E1B" w14:paraId="2F99BA0E" w14:textId="77777777" w:rsidTr="002F4A89">
        <w:tc>
          <w:tcPr>
            <w:tcW w:w="735" w:type="pct"/>
            <w:tcBorders>
              <w:top w:val="nil"/>
              <w:left w:val="single" w:sz="2" w:space="0" w:color="auto"/>
              <w:bottom w:val="nil"/>
              <w:right w:val="single" w:sz="2" w:space="0" w:color="auto"/>
            </w:tcBorders>
            <w:shd w:val="clear" w:color="auto" w:fill="auto"/>
          </w:tcPr>
          <w:p w14:paraId="3C21A2C6" w14:textId="45F1B0FE" w:rsidR="00082883" w:rsidRPr="009415D8" w:rsidRDefault="00C5083D" w:rsidP="00082883">
            <w:pPr>
              <w:pStyle w:val="TableReference"/>
              <w:tabs>
                <w:tab w:val="left" w:pos="3306"/>
              </w:tabs>
              <w:spacing w:before="60"/>
              <w:rPr>
                <w:rFonts w:cs="Calibri"/>
                <w:color w:val="FF0000"/>
                <w:sz w:val="14"/>
              </w:rPr>
            </w:pPr>
            <w:r w:rsidRPr="009415D8">
              <w:rPr>
                <w:rFonts w:cs="Calibri"/>
                <w:color w:val="FF0000"/>
                <w:sz w:val="14"/>
              </w:rPr>
              <w:t>AASB 15.114</w:t>
            </w:r>
          </w:p>
        </w:tc>
        <w:tc>
          <w:tcPr>
            <w:tcW w:w="4265" w:type="pct"/>
            <w:tcBorders>
              <w:top w:val="nil"/>
              <w:left w:val="single" w:sz="2" w:space="0" w:color="auto"/>
              <w:bottom w:val="nil"/>
              <w:right w:val="nil"/>
            </w:tcBorders>
            <w:shd w:val="clear" w:color="auto" w:fill="7030A0"/>
          </w:tcPr>
          <w:p w14:paraId="716E4D55" w14:textId="0FA59FF4" w:rsidR="00082883" w:rsidRPr="000A1595" w:rsidRDefault="00082883" w:rsidP="00082883">
            <w:pPr>
              <w:spacing w:after="120"/>
              <w:jc w:val="both"/>
              <w:rPr>
                <w:color w:val="FFFFFF" w:themeColor="background1"/>
                <w:sz w:val="20"/>
                <w:szCs w:val="20"/>
              </w:rPr>
            </w:pPr>
            <w:r w:rsidRPr="000A1595">
              <w:rPr>
                <w:color w:val="FFFFFF" w:themeColor="background1"/>
                <w:sz w:val="18"/>
                <w:szCs w:val="18"/>
              </w:rPr>
              <w:t>An agency shall disaggregate revenue recognised under AASB 15 and AASB 1058 into categories that depict how the nature, amount, timing and uncertainty of revenue and cash flows are affected by economic factors.</w:t>
            </w:r>
          </w:p>
        </w:tc>
      </w:tr>
      <w:tr w:rsidR="00082883" w:rsidRPr="006572B8" w14:paraId="3A54207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5" w:type="pct"/>
            <w:tcBorders>
              <w:left w:val="single" w:sz="2" w:space="0" w:color="auto"/>
              <w:right w:val="single" w:sz="2" w:space="0" w:color="auto"/>
            </w:tcBorders>
            <w:shd w:val="clear" w:color="auto" w:fill="auto"/>
          </w:tcPr>
          <w:p w14:paraId="3FEB8C1B" w14:textId="77777777" w:rsidR="00082883" w:rsidRPr="000A1595" w:rsidRDefault="00082883" w:rsidP="00082883">
            <w:pPr>
              <w:pStyle w:val="TableReference"/>
              <w:tabs>
                <w:tab w:val="left" w:pos="3306"/>
              </w:tabs>
              <w:spacing w:after="120"/>
              <w:rPr>
                <w:rFonts w:cs="Calibri"/>
                <w:color w:val="7030A0"/>
                <w:sz w:val="16"/>
                <w:szCs w:val="16"/>
              </w:rPr>
            </w:pPr>
          </w:p>
        </w:tc>
        <w:tc>
          <w:tcPr>
            <w:tcW w:w="4265" w:type="pct"/>
            <w:tcBorders>
              <w:left w:val="single" w:sz="2" w:space="0" w:color="auto"/>
            </w:tcBorders>
            <w:shd w:val="clear" w:color="auto" w:fill="7030A0"/>
          </w:tcPr>
          <w:p w14:paraId="7943D520" w14:textId="5FB82B51" w:rsidR="00082883" w:rsidRPr="000A1595" w:rsidRDefault="00082883" w:rsidP="00082883">
            <w:pPr>
              <w:pStyle w:val="CommentaryText"/>
              <w:tabs>
                <w:tab w:val="left" w:pos="3306"/>
              </w:tabs>
              <w:rPr>
                <w:rFonts w:cs="Calibri"/>
                <w:color w:val="FFFFFF" w:themeColor="background1"/>
                <w:sz w:val="18"/>
                <w:szCs w:val="18"/>
              </w:rPr>
            </w:pPr>
            <w:r w:rsidRPr="000A1595">
              <w:rPr>
                <w:color w:val="FFFFFF" w:themeColor="background1"/>
                <w:sz w:val="18"/>
                <w:szCs w:val="18"/>
              </w:rPr>
              <w:t>A not-for-profit agency shall assess which revenue standard is applicable to its income streams. For a not</w:t>
            </w:r>
            <w:r w:rsidRPr="000A1595">
              <w:rPr>
                <w:color w:val="FFFFFF" w:themeColor="background1"/>
                <w:sz w:val="18"/>
                <w:szCs w:val="18"/>
              </w:rPr>
              <w:noBreakHyphen/>
              <w:t>for</w:t>
            </w:r>
            <w:r w:rsidRPr="000A1595">
              <w:rPr>
                <w:color w:val="FFFFFF" w:themeColor="background1"/>
                <w:sz w:val="18"/>
                <w:szCs w:val="18"/>
              </w:rPr>
              <w:noBreakHyphen/>
              <w:t>profit agency, the majority of income streams are likely to be under either AASB 15 or AASB 1058. Because AASB 1058 undertakes a residual approach, an agency should assess the applicability of AASB 15 before it considers the application of AASB 1058.</w:t>
            </w:r>
          </w:p>
        </w:tc>
      </w:tr>
      <w:tr w:rsidR="00082883" w:rsidRPr="006572B8" w14:paraId="3908554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5" w:type="pct"/>
            <w:tcBorders>
              <w:left w:val="single" w:sz="2" w:space="0" w:color="auto"/>
              <w:right w:val="single" w:sz="2" w:space="0" w:color="auto"/>
            </w:tcBorders>
            <w:shd w:val="clear" w:color="auto" w:fill="auto"/>
          </w:tcPr>
          <w:p w14:paraId="486E482D" w14:textId="77777777" w:rsidR="00082883" w:rsidRPr="000A1595" w:rsidRDefault="00082883" w:rsidP="00082883">
            <w:pPr>
              <w:pStyle w:val="TableReference"/>
              <w:tabs>
                <w:tab w:val="left" w:pos="3306"/>
              </w:tabs>
              <w:spacing w:after="120"/>
              <w:rPr>
                <w:color w:val="7030A0"/>
                <w:sz w:val="14"/>
              </w:rPr>
            </w:pPr>
            <w:r w:rsidRPr="000A1595">
              <w:rPr>
                <w:color w:val="7030A0"/>
                <w:sz w:val="14"/>
              </w:rPr>
              <w:t>AASB 15.9</w:t>
            </w:r>
          </w:p>
          <w:p w14:paraId="5BF0DE10" w14:textId="12161FA1" w:rsidR="00082883" w:rsidRPr="000A1595" w:rsidRDefault="00082883" w:rsidP="00082883">
            <w:pPr>
              <w:pStyle w:val="TableReference"/>
              <w:tabs>
                <w:tab w:val="left" w:pos="3306"/>
              </w:tabs>
              <w:spacing w:after="120"/>
              <w:rPr>
                <w:color w:val="7030A0"/>
                <w:sz w:val="14"/>
              </w:rPr>
            </w:pPr>
            <w:r w:rsidRPr="000A1595">
              <w:rPr>
                <w:color w:val="7030A0"/>
                <w:sz w:val="14"/>
              </w:rPr>
              <w:t>AASB 15.9Aus1</w:t>
            </w:r>
          </w:p>
        </w:tc>
        <w:tc>
          <w:tcPr>
            <w:tcW w:w="4265" w:type="pct"/>
            <w:tcBorders>
              <w:left w:val="single" w:sz="2" w:space="0" w:color="auto"/>
            </w:tcBorders>
            <w:shd w:val="clear" w:color="auto" w:fill="7030A0"/>
          </w:tcPr>
          <w:p w14:paraId="5DA5B472" w14:textId="5DF4C428" w:rsidR="00082883" w:rsidRPr="000A1595" w:rsidRDefault="00082883" w:rsidP="00082883">
            <w:pPr>
              <w:spacing w:after="120"/>
              <w:jc w:val="both"/>
              <w:rPr>
                <w:rFonts w:cs="Calibri"/>
                <w:color w:val="FFFFFF" w:themeColor="background1"/>
                <w:sz w:val="18"/>
                <w:szCs w:val="18"/>
              </w:rPr>
            </w:pPr>
            <w:r w:rsidRPr="000A1595">
              <w:rPr>
                <w:color w:val="FFFFFF" w:themeColor="background1"/>
                <w:sz w:val="18"/>
                <w:szCs w:val="18"/>
              </w:rPr>
              <w:t>AASB 15 applies to contracts with customers that are enforceable and sufficiently specific. If the contract does not meet these criteria, an agency shall consider the requirements of AASB 1058 in accounting for such contracts.</w:t>
            </w:r>
          </w:p>
        </w:tc>
      </w:tr>
      <w:tr w:rsidR="007E0503" w:rsidRPr="007E0503" w14:paraId="4835D4B8" w14:textId="77777777" w:rsidTr="002F4A89">
        <w:tc>
          <w:tcPr>
            <w:tcW w:w="735" w:type="pct"/>
            <w:tcBorders>
              <w:top w:val="nil"/>
              <w:left w:val="single" w:sz="2" w:space="0" w:color="auto"/>
              <w:bottom w:val="nil"/>
              <w:right w:val="single" w:sz="2" w:space="0" w:color="auto"/>
            </w:tcBorders>
          </w:tcPr>
          <w:p w14:paraId="00BB61FD" w14:textId="77777777" w:rsidR="00AA0676" w:rsidRPr="000A1595" w:rsidRDefault="00AA0676" w:rsidP="00AA0676">
            <w:pPr>
              <w:rPr>
                <w:color w:val="7030A0"/>
              </w:rPr>
            </w:pPr>
            <w:bookmarkStart w:id="352" w:name="UserChg" w:colFirst="1" w:colLast="1"/>
          </w:p>
          <w:p w14:paraId="1F08CE6B" w14:textId="29F460BC" w:rsidR="00AA0676" w:rsidRPr="000A1595" w:rsidRDefault="00AA0676" w:rsidP="00AA0676">
            <w:pPr>
              <w:rPr>
                <w:color w:val="7030A0"/>
                <w:sz w:val="14"/>
                <w:szCs w:val="14"/>
              </w:rPr>
            </w:pPr>
            <w:r w:rsidRPr="000A1595">
              <w:rPr>
                <w:color w:val="7030A0"/>
                <w:sz w:val="14"/>
                <w:szCs w:val="14"/>
              </w:rPr>
              <w:t>AASB 15.113(a)</w:t>
            </w:r>
          </w:p>
        </w:tc>
        <w:tc>
          <w:tcPr>
            <w:tcW w:w="4265" w:type="pct"/>
            <w:tcBorders>
              <w:top w:val="nil"/>
              <w:left w:val="single" w:sz="2" w:space="0" w:color="auto"/>
              <w:bottom w:val="nil"/>
              <w:right w:val="nil"/>
            </w:tcBorders>
          </w:tcPr>
          <w:p w14:paraId="2FE390C6" w14:textId="195F81F9" w:rsidR="000144FF" w:rsidRPr="00F63CF3" w:rsidRDefault="00BF027A" w:rsidP="00EC1A8A">
            <w:pPr>
              <w:pStyle w:val="Heading1"/>
              <w:numPr>
                <w:ilvl w:val="0"/>
                <w:numId w:val="0"/>
              </w:numPr>
              <w:jc w:val="both"/>
              <w:rPr>
                <w:rFonts w:asciiTheme="minorHAnsi" w:hAnsiTheme="minorHAnsi" w:cstheme="minorHAnsi"/>
                <w:sz w:val="36"/>
                <w:szCs w:val="36"/>
              </w:rPr>
            </w:pPr>
            <w:bookmarkStart w:id="353" w:name="_Toc48468421"/>
            <w:bookmarkStart w:id="354" w:name="_Toc49155540"/>
            <w:bookmarkStart w:id="355" w:name="_Toc49223996"/>
            <w:bookmarkStart w:id="356" w:name="_Ref50257799"/>
            <w:bookmarkStart w:id="357" w:name="_Toc50440340"/>
            <w:bookmarkStart w:id="358" w:name="_Ref50523876"/>
            <w:bookmarkStart w:id="359" w:name="_Toc400627322"/>
            <w:bookmarkStart w:id="360" w:name="_Toc132743782"/>
            <w:r w:rsidRPr="00F63CF3">
              <w:rPr>
                <w:rFonts w:asciiTheme="minorHAnsi" w:hAnsiTheme="minorHAnsi" w:cstheme="minorHAnsi"/>
                <w:sz w:val="36"/>
                <w:szCs w:val="36"/>
              </w:rPr>
              <w:t>N</w:t>
            </w:r>
            <w:r w:rsidR="00960982" w:rsidRPr="00F63CF3">
              <w:rPr>
                <w:rFonts w:asciiTheme="minorHAnsi" w:hAnsiTheme="minorHAnsi" w:cstheme="minorHAnsi"/>
                <w:sz w:val="36"/>
                <w:szCs w:val="36"/>
              </w:rPr>
              <w:t>ote</w:t>
            </w:r>
            <w:r w:rsidRPr="00F63CF3">
              <w:rPr>
                <w:rFonts w:asciiTheme="minorHAnsi" w:hAnsiTheme="minorHAnsi" w:cstheme="minorHAnsi"/>
                <w:sz w:val="36"/>
                <w:szCs w:val="36"/>
              </w:rPr>
              <w:t xml:space="preserve"> </w:t>
            </w:r>
            <w:r w:rsidRPr="00AD6903">
              <w:rPr>
                <w:rFonts w:asciiTheme="minorHAnsi" w:hAnsiTheme="minorHAnsi" w:cstheme="minorHAnsi"/>
                <w:sz w:val="36"/>
                <w:szCs w:val="36"/>
              </w:rPr>
              <w:t>5.</w:t>
            </w:r>
            <w:r w:rsidR="00FA7C77">
              <w:rPr>
                <w:rFonts w:asciiTheme="minorHAnsi" w:hAnsiTheme="minorHAnsi" w:cstheme="minorHAnsi"/>
                <w:sz w:val="36"/>
                <w:szCs w:val="36"/>
              </w:rPr>
              <w:t xml:space="preserve"> </w:t>
            </w:r>
            <w:bookmarkEnd w:id="353"/>
            <w:bookmarkEnd w:id="354"/>
            <w:bookmarkEnd w:id="355"/>
            <w:bookmarkEnd w:id="356"/>
            <w:bookmarkEnd w:id="357"/>
            <w:bookmarkEnd w:id="358"/>
            <w:bookmarkEnd w:id="359"/>
            <w:r w:rsidR="00E265C7" w:rsidRPr="00F63CF3">
              <w:rPr>
                <w:rFonts w:asciiTheme="minorHAnsi" w:hAnsiTheme="minorHAnsi" w:cstheme="minorHAnsi"/>
                <w:sz w:val="36"/>
                <w:szCs w:val="36"/>
              </w:rPr>
              <w:t>Sale</w:t>
            </w:r>
            <w:r w:rsidR="00EC1A8A">
              <w:rPr>
                <w:rFonts w:asciiTheme="minorHAnsi" w:hAnsiTheme="minorHAnsi" w:cstheme="minorHAnsi"/>
                <w:sz w:val="36"/>
                <w:szCs w:val="36"/>
              </w:rPr>
              <w:t>s</w:t>
            </w:r>
            <w:r w:rsidR="00E265C7" w:rsidRPr="00F63CF3">
              <w:rPr>
                <w:rFonts w:asciiTheme="minorHAnsi" w:hAnsiTheme="minorHAnsi" w:cstheme="minorHAnsi"/>
                <w:sz w:val="36"/>
                <w:szCs w:val="36"/>
              </w:rPr>
              <w:t xml:space="preserve"> of Goods and Services from Contracts with Customers</w:t>
            </w:r>
            <w:bookmarkEnd w:id="360"/>
          </w:p>
        </w:tc>
      </w:tr>
      <w:tr w:rsidR="00D7560C" w:rsidRPr="007E0503" w14:paraId="11B17732" w14:textId="77777777" w:rsidTr="00947CD5">
        <w:trPr>
          <w:trHeight w:val="200"/>
        </w:trPr>
        <w:tc>
          <w:tcPr>
            <w:tcW w:w="735" w:type="pct"/>
            <w:tcBorders>
              <w:top w:val="nil"/>
              <w:left w:val="single" w:sz="2" w:space="0" w:color="auto"/>
              <w:bottom w:val="nil"/>
              <w:right w:val="single" w:sz="2" w:space="0" w:color="auto"/>
            </w:tcBorders>
          </w:tcPr>
          <w:p w14:paraId="679921E8"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8B6A3A9" w14:textId="64C1D757" w:rsidR="00D7560C" w:rsidRPr="002D37D5" w:rsidRDefault="00D7560C" w:rsidP="002D37D5">
            <w:pPr>
              <w:rPr>
                <w:b/>
                <w:bCs/>
                <w:sz w:val="18"/>
                <w:szCs w:val="18"/>
              </w:rPr>
            </w:pPr>
            <w:bookmarkStart w:id="361" w:name="_Toc98763045"/>
            <w:r w:rsidRPr="002D37D5">
              <w:rPr>
                <w:b/>
                <w:bCs/>
                <w:sz w:val="18"/>
                <w:szCs w:val="18"/>
              </w:rPr>
              <w:t>Description</w:t>
            </w:r>
            <w:r w:rsidR="00987352" w:rsidRPr="002D37D5">
              <w:rPr>
                <w:b/>
                <w:bCs/>
                <w:sz w:val="18"/>
                <w:szCs w:val="18"/>
              </w:rPr>
              <w:t xml:space="preserve"> and Material Accounting Policies</w:t>
            </w:r>
            <w:r w:rsidRPr="002D37D5">
              <w:rPr>
                <w:b/>
                <w:bCs/>
                <w:sz w:val="18"/>
                <w:szCs w:val="18"/>
              </w:rPr>
              <w:t xml:space="preserve"> </w:t>
            </w:r>
            <w:r w:rsidR="00987352" w:rsidRPr="002D37D5">
              <w:rPr>
                <w:b/>
                <w:bCs/>
                <w:sz w:val="18"/>
                <w:szCs w:val="18"/>
              </w:rPr>
              <w:t xml:space="preserve">relating to the </w:t>
            </w:r>
            <w:r w:rsidRPr="002D37D5">
              <w:rPr>
                <w:b/>
                <w:bCs/>
                <w:sz w:val="18"/>
                <w:szCs w:val="18"/>
              </w:rPr>
              <w:t>Sale of Goods and Services</w:t>
            </w:r>
            <w:bookmarkEnd w:id="361"/>
          </w:p>
        </w:tc>
      </w:tr>
      <w:tr w:rsidR="00D7560C" w:rsidRPr="007E0503" w14:paraId="47759BF5" w14:textId="77777777" w:rsidTr="002F4A89">
        <w:tc>
          <w:tcPr>
            <w:tcW w:w="735" w:type="pct"/>
            <w:tcBorders>
              <w:top w:val="nil"/>
              <w:left w:val="single" w:sz="2" w:space="0" w:color="auto"/>
              <w:bottom w:val="nil"/>
              <w:right w:val="single" w:sz="2" w:space="0" w:color="auto"/>
            </w:tcBorders>
          </w:tcPr>
          <w:p w14:paraId="7B7AD114" w14:textId="77777777" w:rsidR="00C15213" w:rsidRPr="000A1595" w:rsidRDefault="00C15213" w:rsidP="00C15213">
            <w:pPr>
              <w:rPr>
                <w:color w:val="7030A0"/>
              </w:rPr>
            </w:pPr>
            <w:bookmarkStart w:id="362" w:name="_Hlk83757828"/>
          </w:p>
          <w:p w14:paraId="348D25C3" w14:textId="4EB7C7DA" w:rsidR="00C15213" w:rsidRPr="000A1595" w:rsidRDefault="00C15213" w:rsidP="000155C0">
            <w:pPr>
              <w:pStyle w:val="TableReference"/>
              <w:tabs>
                <w:tab w:val="left" w:pos="3306"/>
              </w:tabs>
              <w:spacing w:before="60"/>
              <w:rPr>
                <w:color w:val="7030A0"/>
              </w:rPr>
            </w:pPr>
          </w:p>
        </w:tc>
        <w:tc>
          <w:tcPr>
            <w:tcW w:w="4265" w:type="pct"/>
            <w:tcBorders>
              <w:top w:val="nil"/>
              <w:left w:val="single" w:sz="2" w:space="0" w:color="auto"/>
              <w:bottom w:val="nil"/>
              <w:right w:val="nil"/>
            </w:tcBorders>
          </w:tcPr>
          <w:p w14:paraId="25EE7119" w14:textId="411FFA75" w:rsidR="00C15213" w:rsidRPr="002D37D5" w:rsidRDefault="00D7560C" w:rsidP="002D37D5">
            <w:pPr>
              <w:spacing w:after="120"/>
              <w:jc w:val="both"/>
              <w:rPr>
                <w:sz w:val="18"/>
                <w:szCs w:val="18"/>
              </w:rPr>
            </w:pPr>
            <w:bookmarkStart w:id="363" w:name="_Toc98763046"/>
            <w:r w:rsidRPr="002D37D5">
              <w:rPr>
                <w:sz w:val="18"/>
                <w:szCs w:val="18"/>
              </w:rPr>
              <w:t>‘</w:t>
            </w:r>
            <w:r w:rsidR="001A6C09" w:rsidRPr="002D37D5">
              <w:rPr>
                <w:sz w:val="18"/>
                <w:szCs w:val="18"/>
              </w:rPr>
              <w:t xml:space="preserve">Burley Griffin </w:t>
            </w:r>
            <w:r w:rsidRPr="002D37D5">
              <w:rPr>
                <w:sz w:val="18"/>
                <w:szCs w:val="18"/>
              </w:rPr>
              <w:t>Agency’ earns revenue from providing goods and services to other ACT Government agencies</w:t>
            </w:r>
            <w:r w:rsidR="007978D2" w:rsidRPr="002D37D5">
              <w:rPr>
                <w:sz w:val="18"/>
                <w:szCs w:val="18"/>
              </w:rPr>
              <w:t xml:space="preserve">, private sector consumers </w:t>
            </w:r>
            <w:r w:rsidRPr="002D37D5">
              <w:rPr>
                <w:sz w:val="18"/>
                <w:szCs w:val="18"/>
              </w:rPr>
              <w:t>and to the public.</w:t>
            </w:r>
            <w:r w:rsidR="00FA7C77" w:rsidRPr="002D37D5">
              <w:rPr>
                <w:sz w:val="18"/>
                <w:szCs w:val="18"/>
              </w:rPr>
              <w:t xml:space="preserve"> </w:t>
            </w:r>
            <w:r w:rsidR="008E1728" w:rsidRPr="002D37D5">
              <w:rPr>
                <w:sz w:val="18"/>
                <w:szCs w:val="18"/>
              </w:rPr>
              <w:t xml:space="preserve">This revenue is legally retained by the </w:t>
            </w:r>
            <w:r w:rsidR="00294AB5" w:rsidRPr="002D37D5">
              <w:rPr>
                <w:sz w:val="18"/>
                <w:szCs w:val="18"/>
              </w:rPr>
              <w:t>A</w:t>
            </w:r>
            <w:r w:rsidR="008E1728" w:rsidRPr="002D37D5">
              <w:rPr>
                <w:sz w:val="18"/>
                <w:szCs w:val="18"/>
              </w:rPr>
              <w:t>gency and driven by consumer demand.</w:t>
            </w:r>
            <w:r w:rsidR="00FA7C77" w:rsidRPr="002D37D5">
              <w:rPr>
                <w:sz w:val="18"/>
                <w:szCs w:val="18"/>
              </w:rPr>
              <w:t xml:space="preserve"> </w:t>
            </w:r>
            <w:r w:rsidR="008E1728" w:rsidRPr="002D37D5">
              <w:rPr>
                <w:sz w:val="18"/>
                <w:szCs w:val="18"/>
              </w:rPr>
              <w:t>All revenue recognised in this note is user charge revenue.</w:t>
            </w:r>
            <w:bookmarkEnd w:id="363"/>
            <w:r w:rsidR="00FA7C77" w:rsidRPr="002D37D5">
              <w:rPr>
                <w:sz w:val="18"/>
                <w:szCs w:val="18"/>
              </w:rPr>
              <w:t xml:space="preserve"> </w:t>
            </w:r>
            <w:r w:rsidR="00C15213" w:rsidRPr="002D37D5">
              <w:rPr>
                <w:sz w:val="18"/>
                <w:szCs w:val="18"/>
              </w:rPr>
              <w:t xml:space="preserve"> </w:t>
            </w:r>
          </w:p>
        </w:tc>
      </w:tr>
      <w:tr w:rsidR="00C15213" w:rsidRPr="007E0503" w14:paraId="3FD9F86A" w14:textId="77777777" w:rsidTr="002F4A89">
        <w:tc>
          <w:tcPr>
            <w:tcW w:w="735" w:type="pct"/>
            <w:tcBorders>
              <w:top w:val="nil"/>
              <w:left w:val="single" w:sz="2" w:space="0" w:color="auto"/>
              <w:bottom w:val="nil"/>
              <w:right w:val="single" w:sz="2" w:space="0" w:color="auto"/>
            </w:tcBorders>
          </w:tcPr>
          <w:p w14:paraId="2176B61D" w14:textId="77777777" w:rsidR="000155C0" w:rsidRPr="000A1595" w:rsidRDefault="000155C0" w:rsidP="000155C0">
            <w:pPr>
              <w:pStyle w:val="TableReference"/>
              <w:tabs>
                <w:tab w:val="left" w:pos="3306"/>
              </w:tabs>
              <w:spacing w:before="60"/>
              <w:rPr>
                <w:rFonts w:cs="Calibri"/>
                <w:color w:val="7030A0"/>
                <w:sz w:val="14"/>
              </w:rPr>
            </w:pPr>
            <w:r w:rsidRPr="000A1595">
              <w:rPr>
                <w:rFonts w:cs="Calibri"/>
                <w:color w:val="7030A0"/>
                <w:sz w:val="14"/>
              </w:rPr>
              <w:t>AASB 15.9-90</w:t>
            </w:r>
          </w:p>
          <w:p w14:paraId="28376531" w14:textId="77777777" w:rsidR="00C15213" w:rsidRPr="000A1595" w:rsidRDefault="00C15213"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031C185" w14:textId="7A47E7A8" w:rsidR="00C15213" w:rsidRPr="002D37D5" w:rsidRDefault="000155C0" w:rsidP="002D37D5">
            <w:pPr>
              <w:spacing w:after="120"/>
              <w:jc w:val="both"/>
              <w:rPr>
                <w:b/>
                <w:bCs/>
                <w:caps/>
                <w:color w:val="FF0000"/>
                <w:sz w:val="18"/>
                <w:szCs w:val="18"/>
              </w:rPr>
            </w:pPr>
            <w:r w:rsidRPr="002D37D5">
              <w:rPr>
                <w:sz w:val="18"/>
                <w:szCs w:val="18"/>
              </w:rPr>
              <w:t>Revenue is recognised either over time or at a point in time. Any distinct goods or services are separately identified and any discounts or rebates in the contract price are allocated to the separate elements.</w:t>
            </w:r>
            <w:r w:rsidR="00FA7C77" w:rsidRPr="002D37D5">
              <w:rPr>
                <w:sz w:val="18"/>
                <w:szCs w:val="18"/>
              </w:rPr>
              <w:t xml:space="preserve"> </w:t>
            </w:r>
            <w:r w:rsidR="00C15213" w:rsidRPr="002D37D5">
              <w:rPr>
                <w:sz w:val="18"/>
                <w:szCs w:val="18"/>
              </w:rPr>
              <w:t>Revenue is based on the transfer of promised goods or services to customers at an amount that reflects the consideration in exchange for those goods or services. The timing of the payment for sale of goods and rendering of services largely corresponds with the timing of satisfaction of the performance obligations, however where there is a difference, it will result in the recognition of a receivable, contract asset or contract liability.</w:t>
            </w:r>
            <w:r w:rsidR="00FA7C77" w:rsidRPr="002D37D5">
              <w:rPr>
                <w:sz w:val="18"/>
                <w:szCs w:val="18"/>
              </w:rPr>
              <w:t xml:space="preserve"> </w:t>
            </w:r>
            <w:r w:rsidR="00C15213" w:rsidRPr="002D37D5">
              <w:rPr>
                <w:sz w:val="18"/>
                <w:szCs w:val="18"/>
              </w:rPr>
              <w:t xml:space="preserve">Where payment is not received at the time of purchase, payments from customers are generally required within </w:t>
            </w:r>
            <w:r w:rsidR="000C4C28" w:rsidRPr="002D37D5">
              <w:rPr>
                <w:color w:val="C45911" w:themeColor="accent2" w:themeShade="BF"/>
                <w:sz w:val="18"/>
                <w:szCs w:val="18"/>
              </w:rPr>
              <w:t>&lt;</w:t>
            </w:r>
            <w:r w:rsidR="00C15213" w:rsidRPr="002D37D5">
              <w:rPr>
                <w:color w:val="C45911" w:themeColor="accent2" w:themeShade="BF"/>
                <w:sz w:val="18"/>
                <w:szCs w:val="18"/>
              </w:rPr>
              <w:t>xx</w:t>
            </w:r>
            <w:r w:rsidR="000C4C28" w:rsidRPr="002D37D5">
              <w:rPr>
                <w:color w:val="C45911" w:themeColor="accent2" w:themeShade="BF"/>
                <w:sz w:val="18"/>
                <w:szCs w:val="18"/>
              </w:rPr>
              <w:t>&gt;</w:t>
            </w:r>
            <w:r w:rsidR="00C15213" w:rsidRPr="002D37D5">
              <w:rPr>
                <w:color w:val="FF0000"/>
                <w:sz w:val="18"/>
                <w:szCs w:val="18"/>
              </w:rPr>
              <w:t xml:space="preserve"> </w:t>
            </w:r>
            <w:r w:rsidR="00C15213" w:rsidRPr="002D37D5">
              <w:rPr>
                <w:sz w:val="18"/>
                <w:szCs w:val="18"/>
              </w:rPr>
              <w:t>days of the provision of services.</w:t>
            </w:r>
          </w:p>
        </w:tc>
      </w:tr>
      <w:tr w:rsidR="00C15213" w:rsidRPr="007E0503" w14:paraId="5B0D4949" w14:textId="77777777" w:rsidTr="002F4A89">
        <w:tc>
          <w:tcPr>
            <w:tcW w:w="735" w:type="pct"/>
            <w:tcBorders>
              <w:top w:val="nil"/>
              <w:left w:val="single" w:sz="2" w:space="0" w:color="auto"/>
              <w:bottom w:val="nil"/>
              <w:right w:val="single" w:sz="2" w:space="0" w:color="auto"/>
            </w:tcBorders>
          </w:tcPr>
          <w:p w14:paraId="5A2CCE7D" w14:textId="77777777" w:rsidR="00C15213" w:rsidRPr="000A1595" w:rsidRDefault="00C15213" w:rsidP="00A04CF4">
            <w:pPr>
              <w:pStyle w:val="TableText"/>
              <w:tabs>
                <w:tab w:val="left" w:pos="3306"/>
              </w:tabs>
              <w:spacing w:before="120"/>
              <w:rPr>
                <w:rFonts w:cs="Calibri"/>
                <w:b/>
                <w:bCs/>
                <w:color w:val="7030A0"/>
                <w:sz w:val="14"/>
                <w:szCs w:val="14"/>
              </w:rPr>
            </w:pPr>
          </w:p>
          <w:p w14:paraId="39E2BD0F" w14:textId="77777777" w:rsidR="006E5F44" w:rsidRPr="000A1595" w:rsidRDefault="006E5F44" w:rsidP="006E5F44">
            <w:pPr>
              <w:rPr>
                <w:color w:val="7030A0"/>
              </w:rPr>
            </w:pPr>
          </w:p>
          <w:p w14:paraId="08A5A4E3" w14:textId="77777777" w:rsidR="006E5F44" w:rsidRPr="000A1595" w:rsidRDefault="006E5F44" w:rsidP="006E5F44">
            <w:pPr>
              <w:rPr>
                <w:color w:val="7030A0"/>
              </w:rPr>
            </w:pPr>
          </w:p>
          <w:p w14:paraId="5A023365" w14:textId="77777777" w:rsidR="006E5F44" w:rsidRPr="000A1595" w:rsidRDefault="006E5F44" w:rsidP="006E5F44">
            <w:pPr>
              <w:rPr>
                <w:color w:val="7030A0"/>
              </w:rPr>
            </w:pPr>
          </w:p>
          <w:p w14:paraId="75B87732" w14:textId="77777777" w:rsidR="006E5F44" w:rsidRPr="000A1595" w:rsidRDefault="006E5F44" w:rsidP="006E5F44">
            <w:pPr>
              <w:rPr>
                <w:color w:val="7030A0"/>
              </w:rPr>
            </w:pPr>
          </w:p>
          <w:p w14:paraId="71C86D10" w14:textId="40C19EB1" w:rsidR="006E5F44" w:rsidRPr="000A1595" w:rsidRDefault="006E5F44" w:rsidP="006E5F44">
            <w:pPr>
              <w:rPr>
                <w:color w:val="7030A0"/>
              </w:rPr>
            </w:pPr>
            <w:r w:rsidRPr="000A1595">
              <w:rPr>
                <w:rFonts w:cs="Calibri"/>
                <w:color w:val="7030A0"/>
                <w:sz w:val="14"/>
                <w:szCs w:val="14"/>
              </w:rPr>
              <w:t>AASB 15.123</w:t>
            </w:r>
          </w:p>
        </w:tc>
        <w:tc>
          <w:tcPr>
            <w:tcW w:w="4265" w:type="pct"/>
            <w:tcBorders>
              <w:top w:val="nil"/>
              <w:left w:val="single" w:sz="2" w:space="0" w:color="auto"/>
              <w:bottom w:val="nil"/>
              <w:right w:val="nil"/>
            </w:tcBorders>
          </w:tcPr>
          <w:p w14:paraId="310D01DD" w14:textId="5F97D7C2" w:rsidR="00C15213" w:rsidRPr="002D37D5" w:rsidRDefault="00C15213" w:rsidP="002D37D5">
            <w:pPr>
              <w:spacing w:after="120"/>
              <w:jc w:val="both"/>
              <w:rPr>
                <w:b/>
                <w:bCs/>
                <w:caps/>
                <w:sz w:val="18"/>
                <w:szCs w:val="18"/>
              </w:rPr>
            </w:pPr>
            <w:bookmarkStart w:id="364" w:name="_Hlk83757845"/>
            <w:bookmarkStart w:id="365" w:name="_Toc98763047"/>
            <w:r w:rsidRPr="002D37D5">
              <w:rPr>
                <w:sz w:val="18"/>
                <w:szCs w:val="18"/>
              </w:rPr>
              <w:t>‘</w:t>
            </w:r>
            <w:r w:rsidR="001A6C09" w:rsidRPr="002D37D5">
              <w:rPr>
                <w:sz w:val="18"/>
                <w:szCs w:val="18"/>
              </w:rPr>
              <w:t>Burley Griffin</w:t>
            </w:r>
            <w:r w:rsidRPr="002D37D5">
              <w:rPr>
                <w:sz w:val="18"/>
                <w:szCs w:val="18"/>
              </w:rPr>
              <w:t xml:space="preserve"> Agency’ undertake</w:t>
            </w:r>
            <w:r w:rsidR="006C23AF" w:rsidRPr="002D37D5">
              <w:rPr>
                <w:sz w:val="18"/>
                <w:szCs w:val="18"/>
              </w:rPr>
              <w:t>s</w:t>
            </w:r>
            <w:r w:rsidRPr="002D37D5">
              <w:rPr>
                <w:sz w:val="18"/>
                <w:szCs w:val="18"/>
              </w:rPr>
              <w:t xml:space="preserve"> </w:t>
            </w:r>
            <w:r w:rsidR="006C23AF" w:rsidRPr="002D37D5">
              <w:rPr>
                <w:sz w:val="18"/>
                <w:szCs w:val="18"/>
              </w:rPr>
              <w:t xml:space="preserve">an annual </w:t>
            </w:r>
            <w:r w:rsidRPr="002D37D5">
              <w:rPr>
                <w:sz w:val="18"/>
                <w:szCs w:val="18"/>
              </w:rPr>
              <w:t>review to determine whether the goods and services it provides need to be classified as revenue from contracts with customers in accordance with AASB 15.</w:t>
            </w:r>
            <w:r w:rsidR="00FA7C77" w:rsidRPr="002D37D5">
              <w:rPr>
                <w:sz w:val="18"/>
                <w:szCs w:val="18"/>
              </w:rPr>
              <w:t xml:space="preserve"> </w:t>
            </w:r>
            <w:r w:rsidRPr="002D37D5">
              <w:rPr>
                <w:sz w:val="18"/>
                <w:szCs w:val="18"/>
              </w:rPr>
              <w:t>Th</w:t>
            </w:r>
            <w:r w:rsidR="00A53790" w:rsidRPr="002D37D5">
              <w:rPr>
                <w:sz w:val="18"/>
                <w:szCs w:val="18"/>
              </w:rPr>
              <w:t>e</w:t>
            </w:r>
            <w:r w:rsidRPr="002D37D5">
              <w:rPr>
                <w:sz w:val="18"/>
                <w:szCs w:val="18"/>
              </w:rPr>
              <w:t>s</w:t>
            </w:r>
            <w:r w:rsidR="00A53790" w:rsidRPr="002D37D5">
              <w:rPr>
                <w:sz w:val="18"/>
                <w:szCs w:val="18"/>
              </w:rPr>
              <w:t>e</w:t>
            </w:r>
            <w:r w:rsidRPr="002D37D5">
              <w:rPr>
                <w:sz w:val="18"/>
                <w:szCs w:val="18"/>
              </w:rPr>
              <w:t xml:space="preserve"> review</w:t>
            </w:r>
            <w:r w:rsidR="00A53790" w:rsidRPr="002D37D5">
              <w:rPr>
                <w:sz w:val="18"/>
                <w:szCs w:val="18"/>
              </w:rPr>
              <w:t>s</w:t>
            </w:r>
            <w:r w:rsidRPr="002D37D5">
              <w:rPr>
                <w:sz w:val="18"/>
                <w:szCs w:val="18"/>
              </w:rPr>
              <w:t xml:space="preserve"> involve contacting business units across ‘</w:t>
            </w:r>
            <w:r w:rsidR="001A6C09" w:rsidRPr="002D37D5">
              <w:rPr>
                <w:sz w:val="18"/>
                <w:szCs w:val="18"/>
              </w:rPr>
              <w:t>Burley Griffin</w:t>
            </w:r>
            <w:r w:rsidRPr="002D37D5">
              <w:rPr>
                <w:sz w:val="18"/>
                <w:szCs w:val="18"/>
              </w:rPr>
              <w:t xml:space="preserve"> Agency’ to obtain information </w:t>
            </w:r>
            <w:r w:rsidR="00A53790" w:rsidRPr="002D37D5">
              <w:rPr>
                <w:sz w:val="18"/>
                <w:szCs w:val="18"/>
              </w:rPr>
              <w:t xml:space="preserve">primarily regarding any new </w:t>
            </w:r>
            <w:r w:rsidRPr="002D37D5">
              <w:rPr>
                <w:sz w:val="18"/>
                <w:szCs w:val="18"/>
              </w:rPr>
              <w:t xml:space="preserve">contracts and other arrangements in order to make an assessment about whether </w:t>
            </w:r>
            <w:r w:rsidR="00A53790" w:rsidRPr="002D37D5">
              <w:rPr>
                <w:sz w:val="18"/>
                <w:szCs w:val="18"/>
              </w:rPr>
              <w:t>they</w:t>
            </w:r>
            <w:r w:rsidRPr="002D37D5">
              <w:rPr>
                <w:sz w:val="18"/>
                <w:szCs w:val="18"/>
              </w:rPr>
              <w:t xml:space="preserve"> fall within the scope of AASB 15.</w:t>
            </w:r>
            <w:r w:rsidR="00FA7C77" w:rsidRPr="002D37D5">
              <w:rPr>
                <w:sz w:val="18"/>
                <w:szCs w:val="18"/>
              </w:rPr>
              <w:t xml:space="preserve"> </w:t>
            </w:r>
            <w:r w:rsidR="00A53790" w:rsidRPr="002D37D5">
              <w:rPr>
                <w:sz w:val="18"/>
                <w:szCs w:val="18"/>
              </w:rPr>
              <w:t>The annual reviews also involve</w:t>
            </w:r>
            <w:r w:rsidR="006E4E03" w:rsidRPr="002D37D5">
              <w:rPr>
                <w:sz w:val="18"/>
                <w:szCs w:val="18"/>
              </w:rPr>
              <w:t>s an assessment of any changes to existing contracts and other arrangements.</w:t>
            </w:r>
            <w:r w:rsidR="00FA7C77" w:rsidRPr="002D37D5">
              <w:rPr>
                <w:sz w:val="18"/>
                <w:szCs w:val="18"/>
              </w:rPr>
              <w:t xml:space="preserve"> </w:t>
            </w:r>
            <w:r w:rsidRPr="002D37D5">
              <w:rPr>
                <w:sz w:val="18"/>
                <w:szCs w:val="18"/>
              </w:rPr>
              <w:t>‘</w:t>
            </w:r>
            <w:r w:rsidR="001A6C09" w:rsidRPr="002D37D5">
              <w:rPr>
                <w:sz w:val="18"/>
                <w:szCs w:val="18"/>
              </w:rPr>
              <w:t>Burley Griffin</w:t>
            </w:r>
            <w:r w:rsidRPr="002D37D5">
              <w:rPr>
                <w:sz w:val="18"/>
                <w:szCs w:val="18"/>
              </w:rPr>
              <w:t xml:space="preserve"> Agency’ then assesse</w:t>
            </w:r>
            <w:r w:rsidR="006E4E03" w:rsidRPr="002D37D5">
              <w:rPr>
                <w:sz w:val="18"/>
                <w:szCs w:val="18"/>
              </w:rPr>
              <w:t>s</w:t>
            </w:r>
            <w:r w:rsidRPr="002D37D5">
              <w:rPr>
                <w:sz w:val="18"/>
                <w:szCs w:val="18"/>
              </w:rPr>
              <w:t xml:space="preserve"> its revenue from contracts with customers </w:t>
            </w:r>
            <w:r w:rsidR="00372E03" w:rsidRPr="002D37D5">
              <w:rPr>
                <w:sz w:val="18"/>
                <w:szCs w:val="18"/>
              </w:rPr>
              <w:t>and uses k</w:t>
            </w:r>
            <w:r w:rsidR="006E4E03" w:rsidRPr="002D37D5">
              <w:rPr>
                <w:sz w:val="18"/>
                <w:szCs w:val="18"/>
              </w:rPr>
              <w:t xml:space="preserve">ey judgements </w:t>
            </w:r>
            <w:r w:rsidR="00294AB5" w:rsidRPr="002D37D5">
              <w:rPr>
                <w:sz w:val="18"/>
                <w:szCs w:val="18"/>
              </w:rPr>
              <w:t>in</w:t>
            </w:r>
            <w:r w:rsidR="006E4E03" w:rsidRPr="002D37D5">
              <w:rPr>
                <w:sz w:val="18"/>
                <w:szCs w:val="18"/>
              </w:rPr>
              <w:t xml:space="preserve"> determining the satisfaction of performance obligations</w:t>
            </w:r>
            <w:r w:rsidR="000C4C28" w:rsidRPr="002D37D5">
              <w:rPr>
                <w:sz w:val="18"/>
                <w:szCs w:val="18"/>
              </w:rPr>
              <w:t>.</w:t>
            </w:r>
            <w:r w:rsidR="00FA7C77" w:rsidRPr="002D37D5">
              <w:rPr>
                <w:sz w:val="18"/>
                <w:szCs w:val="18"/>
              </w:rPr>
              <w:t xml:space="preserve"> </w:t>
            </w:r>
            <w:r w:rsidR="000C4C28" w:rsidRPr="002D37D5">
              <w:rPr>
                <w:sz w:val="18"/>
                <w:szCs w:val="18"/>
              </w:rPr>
              <w:t xml:space="preserve">Key judgements are also used in </w:t>
            </w:r>
            <w:r w:rsidR="006E4E03" w:rsidRPr="002D37D5">
              <w:rPr>
                <w:sz w:val="18"/>
                <w:szCs w:val="18"/>
              </w:rPr>
              <w:t>determining the transaction price and the amounts allocated to performance obligations.</w:t>
            </w:r>
            <w:r w:rsidR="00FA7C77" w:rsidRPr="002D37D5">
              <w:rPr>
                <w:sz w:val="18"/>
                <w:szCs w:val="18"/>
              </w:rPr>
              <w:t xml:space="preserve"> </w:t>
            </w:r>
            <w:r w:rsidRPr="002D37D5">
              <w:rPr>
                <w:sz w:val="18"/>
                <w:szCs w:val="18"/>
              </w:rPr>
              <w:t>As a result, ‘</w:t>
            </w:r>
            <w:r w:rsidR="001A6C09" w:rsidRPr="002D37D5">
              <w:rPr>
                <w:sz w:val="18"/>
                <w:szCs w:val="18"/>
              </w:rPr>
              <w:t>Burley Griffin</w:t>
            </w:r>
            <w:r w:rsidRPr="002D37D5">
              <w:rPr>
                <w:sz w:val="18"/>
                <w:szCs w:val="18"/>
              </w:rPr>
              <w:t xml:space="preserve"> Agency’ determined the goods and services to be classified as revenue from contracts with customers which have been included in this note as outlined below</w:t>
            </w:r>
            <w:bookmarkEnd w:id="364"/>
            <w:r w:rsidRPr="002D37D5">
              <w:rPr>
                <w:sz w:val="18"/>
                <w:szCs w:val="18"/>
              </w:rPr>
              <w:t>:</w:t>
            </w:r>
            <w:bookmarkEnd w:id="365"/>
          </w:p>
        </w:tc>
      </w:tr>
      <w:bookmarkEnd w:id="362"/>
      <w:tr w:rsidR="00D7560C" w:rsidRPr="007E0503" w14:paraId="3438EBB3" w14:textId="77777777" w:rsidTr="002F4A89">
        <w:tc>
          <w:tcPr>
            <w:tcW w:w="735" w:type="pct"/>
            <w:tcBorders>
              <w:top w:val="nil"/>
              <w:left w:val="single" w:sz="2" w:space="0" w:color="auto"/>
              <w:bottom w:val="nil"/>
              <w:right w:val="single" w:sz="2" w:space="0" w:color="auto"/>
            </w:tcBorders>
          </w:tcPr>
          <w:p w14:paraId="62AD42FF"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2BF013EB" w14:textId="27305CBF" w:rsidR="00D7560C" w:rsidRPr="002D37D5" w:rsidRDefault="00D7560C" w:rsidP="002D37D5">
            <w:pPr>
              <w:jc w:val="both"/>
              <w:rPr>
                <w:b/>
                <w:bCs/>
                <w:i/>
                <w:iCs/>
                <w:caps/>
                <w:sz w:val="18"/>
                <w:szCs w:val="18"/>
              </w:rPr>
            </w:pPr>
            <w:bookmarkStart w:id="366" w:name="_Toc98763048"/>
            <w:r w:rsidRPr="002D37D5">
              <w:rPr>
                <w:i/>
                <w:iCs/>
                <w:sz w:val="18"/>
                <w:szCs w:val="18"/>
              </w:rPr>
              <w:t>Sale of Goods</w:t>
            </w:r>
            <w:bookmarkEnd w:id="366"/>
          </w:p>
        </w:tc>
      </w:tr>
      <w:tr w:rsidR="00D7560C" w:rsidRPr="007E0503" w14:paraId="6B70CC6D" w14:textId="77777777" w:rsidTr="002F4A89">
        <w:tc>
          <w:tcPr>
            <w:tcW w:w="735" w:type="pct"/>
            <w:tcBorders>
              <w:top w:val="nil"/>
              <w:left w:val="single" w:sz="2" w:space="0" w:color="auto"/>
              <w:bottom w:val="nil"/>
              <w:right w:val="single" w:sz="2" w:space="0" w:color="auto"/>
            </w:tcBorders>
          </w:tcPr>
          <w:p w14:paraId="01D94DD0" w14:textId="77777777" w:rsidR="000155C0" w:rsidRPr="000A1595" w:rsidRDefault="000155C0" w:rsidP="000155C0">
            <w:pPr>
              <w:pStyle w:val="TableReference"/>
              <w:tabs>
                <w:tab w:val="left" w:pos="3306"/>
              </w:tabs>
              <w:spacing w:before="60"/>
              <w:rPr>
                <w:rFonts w:cs="Calibri"/>
                <w:color w:val="7030A0"/>
                <w:sz w:val="14"/>
                <w:szCs w:val="18"/>
              </w:rPr>
            </w:pPr>
            <w:r w:rsidRPr="000A1595">
              <w:rPr>
                <w:rFonts w:cs="Calibri"/>
                <w:color w:val="7030A0"/>
                <w:sz w:val="14"/>
              </w:rPr>
              <w:t>AASB 15.119</w:t>
            </w:r>
            <w:r w:rsidRPr="000A1595">
              <w:rPr>
                <w:rFonts w:cs="Calibri"/>
                <w:color w:val="7030A0"/>
                <w:sz w:val="14"/>
                <w:szCs w:val="18"/>
              </w:rPr>
              <w:t xml:space="preserve"> </w:t>
            </w:r>
          </w:p>
          <w:p w14:paraId="74DC5B90" w14:textId="088ACEC0" w:rsidR="00D7560C" w:rsidRPr="000A1595" w:rsidRDefault="000155C0" w:rsidP="000155C0">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5" w:type="pct"/>
            <w:tcBorders>
              <w:top w:val="nil"/>
              <w:left w:val="single" w:sz="2" w:space="0" w:color="auto"/>
              <w:bottom w:val="nil"/>
              <w:right w:val="nil"/>
            </w:tcBorders>
          </w:tcPr>
          <w:p w14:paraId="44B19368" w14:textId="51D88E12" w:rsidR="00D7560C" w:rsidRPr="002D37D5" w:rsidRDefault="00D7560C" w:rsidP="002D37D5">
            <w:pPr>
              <w:spacing w:after="120"/>
              <w:jc w:val="both"/>
              <w:rPr>
                <w:b/>
                <w:bCs/>
                <w:caps/>
                <w:sz w:val="18"/>
                <w:szCs w:val="18"/>
              </w:rPr>
            </w:pPr>
            <w:bookmarkStart w:id="367" w:name="_Toc98763049"/>
            <w:r w:rsidRPr="002D37D5">
              <w:rPr>
                <w:sz w:val="18"/>
                <w:szCs w:val="18"/>
              </w:rPr>
              <w:t>This revenue stream relates to ‘</w:t>
            </w:r>
            <w:r w:rsidR="001A6C09" w:rsidRPr="002D37D5">
              <w:rPr>
                <w:sz w:val="18"/>
                <w:szCs w:val="18"/>
              </w:rPr>
              <w:t>Burley Griffin</w:t>
            </w:r>
            <w:r w:rsidRPr="002D37D5">
              <w:rPr>
                <w:sz w:val="18"/>
                <w:szCs w:val="18"/>
              </w:rPr>
              <w:t xml:space="preserve"> Agency’ selling various ACT </w:t>
            </w:r>
            <w:r w:rsidR="0067087D" w:rsidRPr="002D37D5">
              <w:rPr>
                <w:sz w:val="18"/>
                <w:szCs w:val="18"/>
              </w:rPr>
              <w:t xml:space="preserve">environmental </w:t>
            </w:r>
            <w:r w:rsidRPr="002D37D5">
              <w:rPr>
                <w:sz w:val="18"/>
                <w:szCs w:val="18"/>
              </w:rPr>
              <w:t>merchandising to tourists visiting Canberra and to the ACT community.</w:t>
            </w:r>
            <w:r w:rsidR="000155C0" w:rsidRPr="002D37D5">
              <w:rPr>
                <w:sz w:val="18"/>
                <w:szCs w:val="18"/>
              </w:rPr>
              <w:t xml:space="preserve"> Revenue is recognised at the transaction price when ‘</w:t>
            </w:r>
            <w:r w:rsidR="001A6C09" w:rsidRPr="002D37D5">
              <w:rPr>
                <w:sz w:val="18"/>
                <w:szCs w:val="18"/>
              </w:rPr>
              <w:t>Burley Griffin</w:t>
            </w:r>
            <w:r w:rsidR="000155C0" w:rsidRPr="002D37D5">
              <w:rPr>
                <w:sz w:val="18"/>
                <w:szCs w:val="18"/>
              </w:rPr>
              <w:t xml:space="preserve"> Agency’ transfers control of the goods to customers.</w:t>
            </w:r>
            <w:r w:rsidR="00FA7C77" w:rsidRPr="002D37D5">
              <w:rPr>
                <w:sz w:val="18"/>
                <w:szCs w:val="18"/>
              </w:rPr>
              <w:t xml:space="preserve"> </w:t>
            </w:r>
            <w:r w:rsidR="000155C0" w:rsidRPr="002D37D5">
              <w:rPr>
                <w:sz w:val="18"/>
                <w:szCs w:val="18"/>
              </w:rPr>
              <w:t xml:space="preserve">This occurs when the </w:t>
            </w:r>
            <w:r w:rsidR="0067087D" w:rsidRPr="002D37D5">
              <w:rPr>
                <w:sz w:val="18"/>
                <w:szCs w:val="18"/>
              </w:rPr>
              <w:t xml:space="preserve">environmental </w:t>
            </w:r>
            <w:r w:rsidR="000155C0" w:rsidRPr="002D37D5">
              <w:rPr>
                <w:sz w:val="18"/>
                <w:szCs w:val="18"/>
              </w:rPr>
              <w:t>merchandising is sold to the customer and the transfer of physical possession to the customer occurs.</w:t>
            </w:r>
            <w:r w:rsidR="00FA7C77" w:rsidRPr="002D37D5">
              <w:rPr>
                <w:sz w:val="18"/>
                <w:szCs w:val="18"/>
              </w:rPr>
              <w:t xml:space="preserve"> </w:t>
            </w:r>
            <w:r w:rsidR="000155C0" w:rsidRPr="002D37D5">
              <w:rPr>
                <w:sz w:val="18"/>
                <w:szCs w:val="18"/>
              </w:rPr>
              <w:t xml:space="preserve">No volume discount </w:t>
            </w:r>
            <w:r w:rsidR="001F624C" w:rsidRPr="002D37D5">
              <w:rPr>
                <w:sz w:val="18"/>
                <w:szCs w:val="18"/>
              </w:rPr>
              <w:t>is</w:t>
            </w:r>
            <w:r w:rsidR="000155C0" w:rsidRPr="002D37D5">
              <w:rPr>
                <w:sz w:val="18"/>
                <w:szCs w:val="18"/>
              </w:rPr>
              <w:t xml:space="preserve"> provided.</w:t>
            </w:r>
            <w:r w:rsidR="00FA7C77" w:rsidRPr="002D37D5">
              <w:rPr>
                <w:sz w:val="18"/>
                <w:szCs w:val="18"/>
              </w:rPr>
              <w:t xml:space="preserve"> </w:t>
            </w:r>
            <w:r w:rsidR="000155C0" w:rsidRPr="002D37D5">
              <w:rPr>
                <w:sz w:val="18"/>
                <w:szCs w:val="18"/>
              </w:rPr>
              <w:t xml:space="preserve">Merchandising sold comes with the ability to return it within a 7-day period. </w:t>
            </w:r>
            <w:r w:rsidR="001F624C" w:rsidRPr="002D37D5">
              <w:rPr>
                <w:sz w:val="18"/>
                <w:szCs w:val="18"/>
              </w:rPr>
              <w:t>G</w:t>
            </w:r>
            <w:r w:rsidR="000155C0" w:rsidRPr="002D37D5">
              <w:rPr>
                <w:sz w:val="18"/>
                <w:szCs w:val="18"/>
              </w:rPr>
              <w:t>iven historical data shows that there is an immaterial amount of refunds for returned goods, the full selling price is recognised as revenue.</w:t>
            </w:r>
            <w:bookmarkEnd w:id="367"/>
          </w:p>
        </w:tc>
      </w:tr>
      <w:tr w:rsidR="00A23F18" w:rsidRPr="007E0503" w14:paraId="2AAFB98A" w14:textId="77777777" w:rsidTr="002F4A89">
        <w:tc>
          <w:tcPr>
            <w:tcW w:w="735" w:type="pct"/>
            <w:tcBorders>
              <w:top w:val="nil"/>
              <w:left w:val="single" w:sz="2" w:space="0" w:color="auto"/>
              <w:bottom w:val="nil"/>
              <w:right w:val="single" w:sz="2" w:space="0" w:color="auto"/>
            </w:tcBorders>
          </w:tcPr>
          <w:p w14:paraId="4C41905E"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0A4C42EA" w14:textId="2F559959" w:rsidR="00A23F18" w:rsidRPr="002D37D5" w:rsidRDefault="00A23F18" w:rsidP="002D37D5">
            <w:pPr>
              <w:jc w:val="both"/>
              <w:rPr>
                <w:b/>
                <w:bCs/>
                <w:i/>
                <w:iCs/>
                <w:caps/>
                <w:sz w:val="18"/>
                <w:szCs w:val="18"/>
              </w:rPr>
            </w:pPr>
            <w:bookmarkStart w:id="368" w:name="_Toc98763050"/>
            <w:r w:rsidRPr="002D37D5">
              <w:rPr>
                <w:i/>
                <w:iCs/>
                <w:sz w:val="18"/>
                <w:szCs w:val="18"/>
              </w:rPr>
              <w:t>Sale of Land</w:t>
            </w:r>
            <w:bookmarkEnd w:id="368"/>
          </w:p>
        </w:tc>
      </w:tr>
      <w:tr w:rsidR="00A23F18" w:rsidRPr="007E0503" w14:paraId="47062AA2" w14:textId="77777777" w:rsidTr="002F4A89">
        <w:tc>
          <w:tcPr>
            <w:tcW w:w="735" w:type="pct"/>
            <w:tcBorders>
              <w:top w:val="nil"/>
              <w:left w:val="single" w:sz="2" w:space="0" w:color="auto"/>
              <w:bottom w:val="nil"/>
              <w:right w:val="single" w:sz="2" w:space="0" w:color="auto"/>
            </w:tcBorders>
          </w:tcPr>
          <w:p w14:paraId="2515F45C"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564C4529" w14:textId="1F0CDA27" w:rsidR="00A23F18" w:rsidRPr="002D37D5" w:rsidRDefault="00A23F18" w:rsidP="002D37D5">
            <w:pPr>
              <w:spacing w:after="120"/>
              <w:jc w:val="both"/>
              <w:rPr>
                <w:b/>
                <w:bCs/>
                <w:caps/>
                <w:sz w:val="18"/>
                <w:szCs w:val="18"/>
              </w:rPr>
            </w:pPr>
            <w:bookmarkStart w:id="369" w:name="_Toc98763051"/>
            <w:r w:rsidRPr="002D37D5">
              <w:rPr>
                <w:sz w:val="18"/>
                <w:szCs w:val="18"/>
              </w:rPr>
              <w:t>This revenue stream relates to ‘</w:t>
            </w:r>
            <w:r w:rsidR="001A6C09" w:rsidRPr="002D37D5">
              <w:rPr>
                <w:sz w:val="18"/>
                <w:szCs w:val="18"/>
              </w:rPr>
              <w:t>Burley Griffin</w:t>
            </w:r>
            <w:r w:rsidRPr="002D37D5">
              <w:rPr>
                <w:sz w:val="18"/>
                <w:szCs w:val="18"/>
              </w:rPr>
              <w:t xml:space="preserve"> Agency’ selling residential land to the public, selling commercial and industrial land to businesses and selling community land to community groups operating in the ACT.</w:t>
            </w:r>
            <w:r w:rsidR="00FA7C77" w:rsidRPr="002D37D5">
              <w:rPr>
                <w:sz w:val="18"/>
                <w:szCs w:val="18"/>
              </w:rPr>
              <w:t xml:space="preserve"> </w:t>
            </w:r>
            <w:r w:rsidR="00514B94" w:rsidRPr="002D37D5">
              <w:rPr>
                <w:sz w:val="18"/>
                <w:szCs w:val="18"/>
              </w:rPr>
              <w:t>Revenue is recognised by ‘</w:t>
            </w:r>
            <w:r w:rsidR="001A6C09" w:rsidRPr="002D37D5">
              <w:rPr>
                <w:sz w:val="18"/>
                <w:szCs w:val="18"/>
              </w:rPr>
              <w:t>Burley Griffin</w:t>
            </w:r>
            <w:r w:rsidR="00514B94" w:rsidRPr="002D37D5">
              <w:rPr>
                <w:sz w:val="18"/>
                <w:szCs w:val="18"/>
              </w:rPr>
              <w:t xml:space="preserve"> Agency’ when settlement occurs, because the purchaser has control of the land at this point in time.</w:t>
            </w:r>
            <w:r w:rsidR="00FA7C77" w:rsidRPr="002D37D5">
              <w:rPr>
                <w:sz w:val="18"/>
                <w:szCs w:val="18"/>
              </w:rPr>
              <w:t xml:space="preserve"> </w:t>
            </w:r>
            <w:r w:rsidR="00514B94" w:rsidRPr="002D37D5">
              <w:rPr>
                <w:sz w:val="18"/>
                <w:szCs w:val="18"/>
              </w:rPr>
              <w:t>That is, at settlement, the purchaser has legal title to the land, they obtain all the risks and rewards of ownership of the land and the purchaser can prevent others from accessing and directing the use of the land.</w:t>
            </w:r>
            <w:bookmarkEnd w:id="369"/>
          </w:p>
        </w:tc>
      </w:tr>
    </w:tbl>
    <w:p w14:paraId="4C4DB160" w14:textId="77777777" w:rsidR="00EC2F33" w:rsidRDefault="00EC2F33">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6664"/>
        <w:gridCol w:w="1276"/>
        <w:gridCol w:w="993"/>
        <w:gridCol w:w="138"/>
      </w:tblGrid>
      <w:tr w:rsidR="00EC2F33" w:rsidRPr="007E0503" w14:paraId="56BC4A3B" w14:textId="77777777" w:rsidTr="000159C3">
        <w:trPr>
          <w:cantSplit/>
        </w:trPr>
        <w:tc>
          <w:tcPr>
            <w:tcW w:w="735" w:type="pct"/>
            <w:tcBorders>
              <w:top w:val="nil"/>
              <w:left w:val="single" w:sz="2" w:space="0" w:color="auto"/>
              <w:bottom w:val="nil"/>
              <w:right w:val="single" w:sz="2" w:space="0" w:color="auto"/>
            </w:tcBorders>
          </w:tcPr>
          <w:p w14:paraId="3A725487" w14:textId="40A9C740"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t>Reference</w:t>
            </w:r>
          </w:p>
        </w:tc>
        <w:tc>
          <w:tcPr>
            <w:tcW w:w="4265" w:type="pct"/>
            <w:gridSpan w:val="4"/>
            <w:tcBorders>
              <w:top w:val="nil"/>
              <w:left w:val="single" w:sz="2" w:space="0" w:color="auto"/>
              <w:bottom w:val="nil"/>
              <w:right w:val="nil"/>
            </w:tcBorders>
          </w:tcPr>
          <w:p w14:paraId="4F219775" w14:textId="5D8F7652" w:rsidR="00EC2F33" w:rsidRPr="00A35C64" w:rsidRDefault="00EC2F33" w:rsidP="00EC1A8A">
            <w:pPr>
              <w:pStyle w:val="Heading2"/>
              <w:numPr>
                <w:ilvl w:val="0"/>
                <w:numId w:val="0"/>
              </w:numPr>
              <w:spacing w:after="0"/>
              <w:jc w:val="both"/>
              <w:rPr>
                <w:rFonts w:ascii="Calibri" w:hAnsi="Calibri" w:cs="Calibri"/>
                <w:b w:val="0"/>
                <w:bCs w:val="0"/>
                <w:i/>
                <w:iCs/>
                <w:caps w:val="0"/>
                <w:sz w:val="18"/>
                <w:szCs w:val="18"/>
              </w:rPr>
            </w:pPr>
            <w:bookmarkStart w:id="370" w:name="_Toc98763052"/>
            <w:bookmarkStart w:id="371" w:name="_Toc127733830"/>
            <w:bookmarkStart w:id="372" w:name="_Toc131164483"/>
            <w:bookmarkStart w:id="373" w:name="_Toc131591748"/>
            <w:bookmarkStart w:id="374" w:name="_Toc132743783"/>
            <w:r w:rsidRPr="00A35C64">
              <w:rPr>
                <w:rFonts w:asciiTheme="minorHAnsi" w:hAnsiTheme="minorHAnsi" w:cstheme="minorHAnsi"/>
                <w:sz w:val="36"/>
                <w:szCs w:val="36"/>
              </w:rPr>
              <w:t>Note 5.</w:t>
            </w:r>
            <w:r>
              <w:rPr>
                <w:rFonts w:asciiTheme="minorHAnsi" w:hAnsiTheme="minorHAnsi" w:cstheme="minorHAnsi"/>
                <w:sz w:val="36"/>
                <w:szCs w:val="36"/>
              </w:rPr>
              <w:t xml:space="preserve"> </w:t>
            </w:r>
            <w:r w:rsidRPr="00A35C64">
              <w:rPr>
                <w:rFonts w:asciiTheme="minorHAnsi" w:hAnsiTheme="minorHAnsi" w:cstheme="minorHAnsi"/>
                <w:sz w:val="36"/>
                <w:szCs w:val="36"/>
              </w:rPr>
              <w:t>Sale</w:t>
            </w:r>
            <w:r w:rsidR="00EC1A8A">
              <w:rPr>
                <w:rFonts w:asciiTheme="minorHAnsi" w:hAnsiTheme="minorHAnsi" w:cstheme="minorHAnsi"/>
                <w:sz w:val="36"/>
                <w:szCs w:val="36"/>
              </w:rPr>
              <w:t>s</w:t>
            </w:r>
            <w:r w:rsidRPr="00A35C64">
              <w:rPr>
                <w:rFonts w:asciiTheme="minorHAnsi" w:hAnsiTheme="minorHAnsi" w:cstheme="minorHAnsi"/>
                <w:sz w:val="36"/>
                <w:szCs w:val="36"/>
              </w:rPr>
              <w:t xml:space="preserve"> of Goods and Services from Contracts with Customers – Continued</w:t>
            </w:r>
            <w:bookmarkEnd w:id="370"/>
            <w:bookmarkEnd w:id="371"/>
            <w:bookmarkEnd w:id="372"/>
            <w:bookmarkEnd w:id="373"/>
            <w:bookmarkEnd w:id="374"/>
          </w:p>
        </w:tc>
      </w:tr>
      <w:tr w:rsidR="00EC2F33" w:rsidRPr="007E0503" w14:paraId="0A0964DF" w14:textId="77777777" w:rsidTr="000159C3">
        <w:trPr>
          <w:cantSplit/>
        </w:trPr>
        <w:tc>
          <w:tcPr>
            <w:tcW w:w="735" w:type="pct"/>
            <w:tcBorders>
              <w:top w:val="nil"/>
              <w:left w:val="single" w:sz="2" w:space="0" w:color="auto"/>
              <w:bottom w:val="nil"/>
              <w:right w:val="single" w:sz="2" w:space="0" w:color="auto"/>
            </w:tcBorders>
          </w:tcPr>
          <w:p w14:paraId="75D98466" w14:textId="77777777" w:rsidR="00EC2F33" w:rsidRPr="000A1595" w:rsidRDefault="00EC2F33" w:rsidP="002D37D5">
            <w:pPr>
              <w:pStyle w:val="TableText"/>
              <w:tabs>
                <w:tab w:val="left" w:pos="3306"/>
              </w:tabs>
              <w:spacing w:before="0"/>
              <w:rPr>
                <w:rFonts w:cs="Calibri"/>
                <w:color w:val="7030A0"/>
                <w:sz w:val="14"/>
              </w:rPr>
            </w:pPr>
            <w:r w:rsidRPr="000A1595">
              <w:rPr>
                <w:rFonts w:cs="Calibri"/>
                <w:color w:val="7030A0"/>
                <w:sz w:val="14"/>
              </w:rPr>
              <w:t>AASB 15.119</w:t>
            </w:r>
          </w:p>
          <w:p w14:paraId="34B9292D" w14:textId="77777777" w:rsidR="00EC2F33" w:rsidRPr="000A1595" w:rsidRDefault="00EC2F33" w:rsidP="002D37D5">
            <w:pPr>
              <w:pStyle w:val="TableText"/>
              <w:tabs>
                <w:tab w:val="left" w:pos="3306"/>
              </w:tabs>
              <w:spacing w:before="0"/>
              <w:rPr>
                <w:rFonts w:cs="Calibri"/>
                <w:b/>
                <w:bCs/>
                <w:color w:val="7030A0"/>
                <w:sz w:val="14"/>
                <w:szCs w:val="14"/>
              </w:rPr>
            </w:pPr>
            <w:r w:rsidRPr="000A1595">
              <w:rPr>
                <w:rFonts w:cs="Calibri"/>
                <w:color w:val="7030A0"/>
                <w:sz w:val="14"/>
              </w:rPr>
              <w:t>AASB 15.124</w:t>
            </w:r>
          </w:p>
        </w:tc>
        <w:tc>
          <w:tcPr>
            <w:tcW w:w="4265" w:type="pct"/>
            <w:gridSpan w:val="4"/>
            <w:tcBorders>
              <w:top w:val="nil"/>
              <w:left w:val="single" w:sz="2" w:space="0" w:color="auto"/>
              <w:bottom w:val="nil"/>
              <w:right w:val="nil"/>
            </w:tcBorders>
          </w:tcPr>
          <w:p w14:paraId="3E6D8162" w14:textId="77777777" w:rsidR="00EC2F33" w:rsidRPr="002D37D5" w:rsidRDefault="00EC2F33" w:rsidP="002D37D5">
            <w:pPr>
              <w:jc w:val="both"/>
              <w:rPr>
                <w:b/>
                <w:bCs/>
                <w:i/>
                <w:iCs/>
                <w:caps/>
                <w:sz w:val="18"/>
                <w:szCs w:val="18"/>
              </w:rPr>
            </w:pPr>
            <w:bookmarkStart w:id="375" w:name="_Toc98763053"/>
            <w:r w:rsidRPr="002D37D5">
              <w:rPr>
                <w:i/>
                <w:iCs/>
                <w:sz w:val="18"/>
                <w:szCs w:val="18"/>
              </w:rPr>
              <w:t>Services Revenue</w:t>
            </w:r>
            <w:bookmarkEnd w:id="375"/>
          </w:p>
        </w:tc>
      </w:tr>
      <w:tr w:rsidR="00EC2F33" w:rsidRPr="007E0503" w14:paraId="5644EF8C" w14:textId="77777777" w:rsidTr="000159C3">
        <w:trPr>
          <w:cantSplit/>
        </w:trPr>
        <w:tc>
          <w:tcPr>
            <w:tcW w:w="735" w:type="pct"/>
            <w:tcBorders>
              <w:top w:val="nil"/>
              <w:left w:val="single" w:sz="2" w:space="0" w:color="auto"/>
              <w:bottom w:val="nil"/>
              <w:right w:val="single" w:sz="2" w:space="0" w:color="auto"/>
            </w:tcBorders>
          </w:tcPr>
          <w:p w14:paraId="256F7171" w14:textId="77777777" w:rsidR="00EC2F33" w:rsidRPr="000A1595" w:rsidRDefault="00EC2F33" w:rsidP="002D37D5">
            <w:pPr>
              <w:pStyle w:val="TableText"/>
              <w:tabs>
                <w:tab w:val="left" w:pos="3306"/>
              </w:tabs>
              <w:spacing w:before="0"/>
              <w:rPr>
                <w:rFonts w:cs="Calibri"/>
                <w:b/>
                <w:bCs/>
                <w:color w:val="7030A0"/>
                <w:sz w:val="14"/>
                <w:szCs w:val="14"/>
              </w:rPr>
            </w:pPr>
          </w:p>
        </w:tc>
        <w:tc>
          <w:tcPr>
            <w:tcW w:w="4265" w:type="pct"/>
            <w:gridSpan w:val="4"/>
            <w:tcBorders>
              <w:top w:val="nil"/>
              <w:left w:val="single" w:sz="2" w:space="0" w:color="auto"/>
              <w:bottom w:val="nil"/>
              <w:right w:val="nil"/>
            </w:tcBorders>
          </w:tcPr>
          <w:p w14:paraId="3F5FB8E5" w14:textId="77777777" w:rsidR="00EC2F33" w:rsidRPr="002D37D5" w:rsidRDefault="00EC2F33" w:rsidP="002D37D5">
            <w:pPr>
              <w:jc w:val="both"/>
              <w:rPr>
                <w:b/>
                <w:bCs/>
                <w:i/>
                <w:iCs/>
                <w:caps/>
                <w:sz w:val="18"/>
                <w:szCs w:val="18"/>
              </w:rPr>
            </w:pPr>
            <w:bookmarkStart w:id="376" w:name="_Toc98763054"/>
            <w:r w:rsidRPr="002D37D5">
              <w:rPr>
                <w:i/>
                <w:iCs/>
                <w:sz w:val="18"/>
                <w:szCs w:val="18"/>
              </w:rPr>
              <w:t>Property Management Services</w:t>
            </w:r>
            <w:bookmarkEnd w:id="376"/>
          </w:p>
        </w:tc>
      </w:tr>
      <w:tr w:rsidR="00842B5D" w:rsidRPr="007E0503" w14:paraId="5E37D28C" w14:textId="77777777" w:rsidTr="000159C3">
        <w:trPr>
          <w:cantSplit/>
        </w:trPr>
        <w:tc>
          <w:tcPr>
            <w:tcW w:w="735" w:type="pct"/>
            <w:tcBorders>
              <w:top w:val="nil"/>
              <w:left w:val="single" w:sz="2" w:space="0" w:color="auto"/>
              <w:bottom w:val="nil"/>
              <w:right w:val="single" w:sz="2" w:space="0" w:color="auto"/>
            </w:tcBorders>
          </w:tcPr>
          <w:p w14:paraId="206114FE" w14:textId="77777777" w:rsidR="00842B5D" w:rsidRPr="000A1595" w:rsidRDefault="00842B5D" w:rsidP="00842B5D">
            <w:pPr>
              <w:pStyle w:val="TableReference"/>
              <w:tabs>
                <w:tab w:val="left" w:pos="3306"/>
              </w:tabs>
              <w:spacing w:before="60"/>
              <w:rPr>
                <w:rFonts w:cs="Calibri"/>
                <w:color w:val="7030A0"/>
                <w:sz w:val="14"/>
              </w:rPr>
            </w:pPr>
            <w:r w:rsidRPr="000A1595">
              <w:rPr>
                <w:rFonts w:cs="Calibri"/>
                <w:color w:val="7030A0"/>
                <w:sz w:val="14"/>
              </w:rPr>
              <w:t>AASB 15.119</w:t>
            </w:r>
          </w:p>
          <w:p w14:paraId="010182E6" w14:textId="476F26B2" w:rsidR="00842B5D" w:rsidRPr="000A1595" w:rsidRDefault="00842B5D" w:rsidP="00842B5D">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5" w:type="pct"/>
            <w:gridSpan w:val="4"/>
            <w:tcBorders>
              <w:top w:val="nil"/>
              <w:left w:val="single" w:sz="2" w:space="0" w:color="auto"/>
              <w:bottom w:val="nil"/>
              <w:right w:val="nil"/>
            </w:tcBorders>
          </w:tcPr>
          <w:p w14:paraId="3207543F" w14:textId="3808CC58" w:rsidR="00842B5D" w:rsidRPr="002D37D5" w:rsidRDefault="00842B5D" w:rsidP="002D37D5">
            <w:pPr>
              <w:spacing w:after="120"/>
              <w:jc w:val="both"/>
              <w:rPr>
                <w:b/>
                <w:bCs/>
                <w:caps/>
                <w:sz w:val="18"/>
                <w:szCs w:val="18"/>
              </w:rPr>
            </w:pPr>
            <w:bookmarkStart w:id="377" w:name="_Toc98763055"/>
            <w:r w:rsidRPr="002D37D5">
              <w:rPr>
                <w:sz w:val="18"/>
                <w:szCs w:val="18"/>
              </w:rPr>
              <w:t xml:space="preserve">This revenue stream relates to </w:t>
            </w:r>
            <w:bookmarkStart w:id="378" w:name="_Hlk90623795"/>
            <w:r w:rsidRPr="002D37D5">
              <w:rPr>
                <w:sz w:val="18"/>
                <w:szCs w:val="18"/>
              </w:rPr>
              <w:t>property management services and includes the management of government owned commercial buildings, government office accommodation, multi-purpose buildings and leases of commercial buildings on behalf of the Territory.</w:t>
            </w:r>
            <w:bookmarkEnd w:id="378"/>
            <w:r w:rsidR="00FA7C77" w:rsidRPr="002D37D5">
              <w:rPr>
                <w:sz w:val="18"/>
                <w:szCs w:val="18"/>
              </w:rPr>
              <w:t xml:space="preserve"> </w:t>
            </w:r>
            <w:r w:rsidRPr="002D37D5">
              <w:rPr>
                <w:sz w:val="18"/>
                <w:szCs w:val="18"/>
              </w:rPr>
              <w:t xml:space="preserve">The property management services contracts are generally for </w:t>
            </w:r>
            <w:r w:rsidR="00EC2F33" w:rsidRPr="002D37D5">
              <w:rPr>
                <w:sz w:val="18"/>
                <w:szCs w:val="18"/>
              </w:rPr>
              <w:t>three</w:t>
            </w:r>
            <w:r w:rsidRPr="002D37D5">
              <w:rPr>
                <w:sz w:val="18"/>
                <w:szCs w:val="18"/>
              </w:rPr>
              <w:t xml:space="preserve"> years, are with other ACT Government Agencies, and the total charge for these services is based on a percentage of the rent.</w:t>
            </w:r>
            <w:r w:rsidR="00FA7C77" w:rsidRPr="002D37D5">
              <w:rPr>
                <w:sz w:val="18"/>
                <w:szCs w:val="18"/>
              </w:rPr>
              <w:t xml:space="preserve"> </w:t>
            </w:r>
            <w:r w:rsidRPr="002D37D5">
              <w:rPr>
                <w:sz w:val="18"/>
                <w:szCs w:val="18"/>
              </w:rPr>
              <w:t>All these contracts have the same or similar terms and conditions.</w:t>
            </w:r>
            <w:r w:rsidR="00FA7C77" w:rsidRPr="002D37D5">
              <w:rPr>
                <w:sz w:val="18"/>
                <w:szCs w:val="18"/>
              </w:rPr>
              <w:t xml:space="preserve"> </w:t>
            </w:r>
            <w:r w:rsidRPr="002D37D5">
              <w:rPr>
                <w:sz w:val="18"/>
                <w:szCs w:val="18"/>
              </w:rPr>
              <w:t>The contracts outline that the property management service revenue stream is made up of a number of activities comprising maintenance, cleaning, security and landscaping.</w:t>
            </w:r>
            <w:r w:rsidR="00FA7C77" w:rsidRPr="002D37D5">
              <w:rPr>
                <w:sz w:val="18"/>
                <w:szCs w:val="18"/>
              </w:rPr>
              <w:t xml:space="preserve"> </w:t>
            </w:r>
            <w:r w:rsidRPr="002D37D5">
              <w:rPr>
                <w:sz w:val="18"/>
                <w:szCs w:val="18"/>
              </w:rPr>
              <w:t>‘Burley Griffin Agency’ concluded that these activities are not distinct within the context of the contract because the performance obligation is to ensure the property is open and operating as intended each month over the term of the contract.</w:t>
            </w:r>
            <w:r w:rsidR="00FA7C77" w:rsidRPr="002D37D5">
              <w:rPr>
                <w:sz w:val="18"/>
                <w:szCs w:val="18"/>
              </w:rPr>
              <w:t xml:space="preserve"> </w:t>
            </w:r>
            <w:r w:rsidRPr="002D37D5">
              <w:rPr>
                <w:sz w:val="18"/>
                <w:szCs w:val="18"/>
              </w:rPr>
              <w:t>The other ACT Government agencies that are obtaining these property management services receive and consume the benefits of each activity when they are provided on a monthly basis, and as such, revenue is recognised on a monthly basis.</w:t>
            </w:r>
            <w:bookmarkEnd w:id="377"/>
          </w:p>
        </w:tc>
      </w:tr>
      <w:tr w:rsidR="00D7560C" w:rsidRPr="007E0503" w14:paraId="543585F3" w14:textId="77777777" w:rsidTr="000159C3">
        <w:trPr>
          <w:cantSplit/>
        </w:trPr>
        <w:tc>
          <w:tcPr>
            <w:tcW w:w="735" w:type="pct"/>
            <w:tcBorders>
              <w:top w:val="nil"/>
              <w:left w:val="single" w:sz="2" w:space="0" w:color="auto"/>
              <w:bottom w:val="nil"/>
              <w:right w:val="single" w:sz="2" w:space="0" w:color="auto"/>
            </w:tcBorders>
          </w:tcPr>
          <w:p w14:paraId="368A5975" w14:textId="77777777" w:rsidR="00D7560C" w:rsidRPr="00DB02DF" w:rsidRDefault="00D7560C" w:rsidP="002D37D5">
            <w:pPr>
              <w:pStyle w:val="TableText"/>
              <w:tabs>
                <w:tab w:val="left" w:pos="3306"/>
              </w:tabs>
              <w:spacing w:before="0"/>
              <w:rPr>
                <w:rFonts w:cs="Calibri"/>
                <w:b/>
                <w:bCs/>
                <w:sz w:val="14"/>
                <w:szCs w:val="14"/>
              </w:rPr>
            </w:pPr>
          </w:p>
        </w:tc>
        <w:tc>
          <w:tcPr>
            <w:tcW w:w="4265" w:type="pct"/>
            <w:gridSpan w:val="4"/>
            <w:tcBorders>
              <w:top w:val="nil"/>
              <w:left w:val="single" w:sz="2" w:space="0" w:color="auto"/>
              <w:bottom w:val="nil"/>
              <w:right w:val="nil"/>
            </w:tcBorders>
          </w:tcPr>
          <w:p w14:paraId="7496B1F2" w14:textId="38E535A8" w:rsidR="00D7560C" w:rsidRPr="002D37D5" w:rsidRDefault="004871BD" w:rsidP="002D37D5">
            <w:pPr>
              <w:jc w:val="both"/>
              <w:rPr>
                <w:b/>
                <w:bCs/>
                <w:i/>
                <w:iCs/>
                <w:caps/>
                <w:sz w:val="18"/>
                <w:szCs w:val="18"/>
              </w:rPr>
            </w:pPr>
            <w:bookmarkStart w:id="379" w:name="_Toc98763056"/>
            <w:r w:rsidRPr="002D37D5">
              <w:rPr>
                <w:i/>
                <w:iCs/>
                <w:sz w:val="18"/>
                <w:szCs w:val="18"/>
              </w:rPr>
              <w:t>Facilities Management Services Revenue</w:t>
            </w:r>
            <w:bookmarkEnd w:id="379"/>
          </w:p>
        </w:tc>
      </w:tr>
      <w:tr w:rsidR="004871BD" w:rsidRPr="007E0503" w14:paraId="567D8E67" w14:textId="77777777" w:rsidTr="000159C3">
        <w:trPr>
          <w:cantSplit/>
        </w:trPr>
        <w:tc>
          <w:tcPr>
            <w:tcW w:w="735" w:type="pct"/>
            <w:tcBorders>
              <w:top w:val="nil"/>
              <w:left w:val="single" w:sz="2" w:space="0" w:color="auto"/>
              <w:bottom w:val="nil"/>
              <w:right w:val="single" w:sz="2" w:space="0" w:color="auto"/>
            </w:tcBorders>
          </w:tcPr>
          <w:p w14:paraId="4EE38A5E" w14:textId="77777777" w:rsidR="004871BD" w:rsidRPr="00DB02DF" w:rsidRDefault="004871BD" w:rsidP="00A04CF4">
            <w:pPr>
              <w:pStyle w:val="TableText"/>
              <w:tabs>
                <w:tab w:val="left" w:pos="3306"/>
              </w:tabs>
              <w:spacing w:before="120"/>
              <w:rPr>
                <w:rFonts w:cs="Calibri"/>
                <w:b/>
                <w:bCs/>
                <w:sz w:val="14"/>
                <w:szCs w:val="14"/>
              </w:rPr>
            </w:pPr>
          </w:p>
        </w:tc>
        <w:tc>
          <w:tcPr>
            <w:tcW w:w="4265" w:type="pct"/>
            <w:gridSpan w:val="4"/>
            <w:tcBorders>
              <w:top w:val="nil"/>
              <w:left w:val="single" w:sz="2" w:space="0" w:color="auto"/>
              <w:bottom w:val="nil"/>
              <w:right w:val="nil"/>
            </w:tcBorders>
          </w:tcPr>
          <w:p w14:paraId="0A400E9F" w14:textId="36DD9102" w:rsidR="004871BD" w:rsidRPr="002D37D5" w:rsidRDefault="0049065D" w:rsidP="002D37D5">
            <w:pPr>
              <w:spacing w:after="120"/>
              <w:jc w:val="both"/>
              <w:rPr>
                <w:b/>
                <w:bCs/>
                <w:caps/>
                <w:sz w:val="18"/>
                <w:szCs w:val="18"/>
              </w:rPr>
            </w:pPr>
            <w:bookmarkStart w:id="380" w:name="_Toc98763057"/>
            <w:r w:rsidRPr="002D37D5">
              <w:rPr>
                <w:sz w:val="18"/>
                <w:szCs w:val="18"/>
              </w:rPr>
              <w:t xml:space="preserve">This revenue stream relates to </w:t>
            </w:r>
            <w:r w:rsidR="004871BD" w:rsidRPr="002D37D5">
              <w:rPr>
                <w:sz w:val="18"/>
                <w:szCs w:val="18"/>
              </w:rPr>
              <w:t>facilities management services</w:t>
            </w:r>
            <w:r w:rsidRPr="002D37D5">
              <w:rPr>
                <w:sz w:val="18"/>
                <w:szCs w:val="18"/>
              </w:rPr>
              <w:t xml:space="preserve"> provided</w:t>
            </w:r>
            <w:r w:rsidR="004871BD" w:rsidRPr="002D37D5">
              <w:rPr>
                <w:sz w:val="18"/>
                <w:szCs w:val="18"/>
              </w:rPr>
              <w:t xml:space="preserve"> to private sector clients.</w:t>
            </w:r>
            <w:r w:rsidR="00FA7C77" w:rsidRPr="002D37D5">
              <w:rPr>
                <w:sz w:val="18"/>
                <w:szCs w:val="18"/>
              </w:rPr>
              <w:t xml:space="preserve"> </w:t>
            </w:r>
            <w:r w:rsidR="004871BD" w:rsidRPr="002D37D5">
              <w:rPr>
                <w:sz w:val="18"/>
                <w:szCs w:val="18"/>
              </w:rPr>
              <w:t>Facilities management services involve building and equipment maintenance.</w:t>
            </w:r>
            <w:r w:rsidR="00FA7C77" w:rsidRPr="002D37D5">
              <w:rPr>
                <w:sz w:val="18"/>
                <w:szCs w:val="18"/>
              </w:rPr>
              <w:t xml:space="preserve"> </w:t>
            </w:r>
            <w:r w:rsidR="00514B94" w:rsidRPr="002D37D5">
              <w:rPr>
                <w:sz w:val="18"/>
                <w:szCs w:val="18"/>
              </w:rPr>
              <w:t>Control of the performance obligation is transferred at a point in time when the work is complete.</w:t>
            </w:r>
            <w:bookmarkEnd w:id="380"/>
          </w:p>
        </w:tc>
      </w:tr>
      <w:bookmarkEnd w:id="352"/>
      <w:tr w:rsidR="00483BA4" w:rsidRPr="007E0503" w14:paraId="554C667E" w14:textId="77777777" w:rsidTr="000159C3">
        <w:trPr>
          <w:cantSplit/>
        </w:trPr>
        <w:tc>
          <w:tcPr>
            <w:tcW w:w="735" w:type="pct"/>
            <w:tcBorders>
              <w:top w:val="nil"/>
              <w:left w:val="single" w:sz="2" w:space="0" w:color="auto"/>
              <w:bottom w:val="nil"/>
              <w:right w:val="single" w:sz="2" w:space="0" w:color="auto"/>
            </w:tcBorders>
          </w:tcPr>
          <w:p w14:paraId="3E238522" w14:textId="340C295B" w:rsidR="00483BA4" w:rsidRPr="00A35C64" w:rsidRDefault="00DA5048" w:rsidP="009B2E93">
            <w:pPr>
              <w:pStyle w:val="TableText"/>
              <w:tabs>
                <w:tab w:val="left" w:pos="3306"/>
              </w:tabs>
              <w:rPr>
                <w:rFonts w:cs="Calibri"/>
                <w:b/>
                <w:bCs/>
                <w:color w:val="7030A0"/>
                <w:sz w:val="14"/>
                <w:szCs w:val="14"/>
              </w:rPr>
            </w:pPr>
            <w:r w:rsidRPr="00A35C64">
              <w:rPr>
                <w:color w:val="7030A0"/>
                <w:sz w:val="14"/>
                <w:szCs w:val="14"/>
              </w:rPr>
              <w:t>AASB 15.113(a)</w:t>
            </w:r>
          </w:p>
        </w:tc>
        <w:tc>
          <w:tcPr>
            <w:tcW w:w="4265" w:type="pct"/>
            <w:gridSpan w:val="4"/>
            <w:tcBorders>
              <w:top w:val="nil"/>
              <w:left w:val="single" w:sz="2" w:space="0" w:color="auto"/>
              <w:bottom w:val="nil"/>
              <w:right w:val="nil"/>
            </w:tcBorders>
          </w:tcPr>
          <w:p w14:paraId="73B72D29" w14:textId="7F744018" w:rsidR="00483BA4" w:rsidRPr="009B2E93" w:rsidRDefault="00483BA4" w:rsidP="009B2E93">
            <w:pPr>
              <w:jc w:val="both"/>
              <w:rPr>
                <w:b/>
                <w:bCs/>
                <w:i/>
                <w:iCs/>
                <w:caps/>
                <w:sz w:val="18"/>
                <w:szCs w:val="18"/>
              </w:rPr>
            </w:pPr>
            <w:bookmarkStart w:id="381" w:name="_Toc98763058"/>
            <w:r w:rsidRPr="009B2E93">
              <w:rPr>
                <w:i/>
                <w:iCs/>
                <w:sz w:val="18"/>
                <w:szCs w:val="18"/>
              </w:rPr>
              <w:t>Event Revenue</w:t>
            </w:r>
            <w:bookmarkEnd w:id="381"/>
          </w:p>
        </w:tc>
      </w:tr>
      <w:tr w:rsidR="00483BA4" w:rsidRPr="007E0503" w14:paraId="39854347" w14:textId="77777777" w:rsidTr="000159C3">
        <w:trPr>
          <w:cantSplit/>
        </w:trPr>
        <w:tc>
          <w:tcPr>
            <w:tcW w:w="735" w:type="pct"/>
            <w:tcBorders>
              <w:top w:val="nil"/>
              <w:left w:val="single" w:sz="2" w:space="0" w:color="auto"/>
              <w:bottom w:val="nil"/>
              <w:right w:val="single" w:sz="2" w:space="0" w:color="auto"/>
            </w:tcBorders>
          </w:tcPr>
          <w:p w14:paraId="37865857"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gridSpan w:val="4"/>
            <w:tcBorders>
              <w:top w:val="nil"/>
              <w:left w:val="single" w:sz="2" w:space="0" w:color="auto"/>
              <w:bottom w:val="nil"/>
              <w:right w:val="nil"/>
            </w:tcBorders>
          </w:tcPr>
          <w:p w14:paraId="37F7D3CD" w14:textId="4BCC4593" w:rsidR="00EC2F33" w:rsidRPr="002D37D5" w:rsidRDefault="00483BA4" w:rsidP="002D37D5">
            <w:pPr>
              <w:spacing w:after="120"/>
              <w:jc w:val="both"/>
              <w:rPr>
                <w:b/>
                <w:bCs/>
                <w:caps/>
                <w:sz w:val="18"/>
                <w:szCs w:val="18"/>
              </w:rPr>
            </w:pPr>
            <w:bookmarkStart w:id="382" w:name="_Toc98763059"/>
            <w:r w:rsidRPr="002D37D5">
              <w:rPr>
                <w:sz w:val="18"/>
                <w:szCs w:val="18"/>
              </w:rPr>
              <w:t>This revenue stream relates to the promotion and management of major sporting events at venues including ‘Example Stadium’ and ‘Example Oval’.</w:t>
            </w:r>
            <w:r w:rsidR="00FA7C77" w:rsidRPr="002D37D5">
              <w:rPr>
                <w:sz w:val="18"/>
                <w:szCs w:val="18"/>
              </w:rPr>
              <w:t xml:space="preserve"> </w:t>
            </w:r>
            <w:r w:rsidRPr="002D37D5">
              <w:rPr>
                <w:sz w:val="18"/>
                <w:szCs w:val="18"/>
              </w:rPr>
              <w:t>A major event is considered to be a match or feature that is a national or international fixture.</w:t>
            </w:r>
            <w:r w:rsidR="00FA7C77" w:rsidRPr="002D37D5">
              <w:rPr>
                <w:sz w:val="18"/>
                <w:szCs w:val="18"/>
              </w:rPr>
              <w:t xml:space="preserve"> </w:t>
            </w:r>
            <w:r w:rsidRPr="002D37D5">
              <w:rPr>
                <w:sz w:val="18"/>
                <w:szCs w:val="18"/>
              </w:rPr>
              <w:t>Major sporting events promoted and managed by ‘Burley Griffin Agency’ include rugby, cricket and soccer matches.</w:t>
            </w:r>
            <w:r w:rsidR="00FA7C77" w:rsidRPr="002D37D5">
              <w:rPr>
                <w:sz w:val="18"/>
                <w:szCs w:val="18"/>
              </w:rPr>
              <w:t xml:space="preserve"> </w:t>
            </w:r>
            <w:r w:rsidRPr="002D37D5">
              <w:rPr>
                <w:sz w:val="18"/>
                <w:szCs w:val="18"/>
              </w:rPr>
              <w:t>All contracts for these three sporting events have similar terms and conditions and involve ‘Burley Griffin Agency’ providing ticketing services, negotiating advertising signage at the ground, advertising the event through various types of media, and providing game day logistics, catering and cleaning.</w:t>
            </w:r>
            <w:bookmarkEnd w:id="382"/>
            <w:r w:rsidR="00FA7C77" w:rsidRPr="002D37D5">
              <w:rPr>
                <w:sz w:val="18"/>
                <w:szCs w:val="18"/>
              </w:rPr>
              <w:t xml:space="preserve"> </w:t>
            </w:r>
          </w:p>
        </w:tc>
      </w:tr>
      <w:tr w:rsidR="00483BA4" w:rsidRPr="007E0503" w14:paraId="5AD0CF4F" w14:textId="77777777" w:rsidTr="000159C3">
        <w:trPr>
          <w:cantSplit/>
        </w:trPr>
        <w:tc>
          <w:tcPr>
            <w:tcW w:w="735" w:type="pct"/>
            <w:tcBorders>
              <w:top w:val="nil"/>
              <w:left w:val="single" w:sz="2" w:space="0" w:color="auto"/>
              <w:bottom w:val="nil"/>
              <w:right w:val="single" w:sz="2" w:space="0" w:color="auto"/>
            </w:tcBorders>
          </w:tcPr>
          <w:p w14:paraId="3A94CDA6"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gridSpan w:val="4"/>
            <w:tcBorders>
              <w:top w:val="nil"/>
              <w:left w:val="single" w:sz="2" w:space="0" w:color="auto"/>
              <w:bottom w:val="nil"/>
              <w:right w:val="nil"/>
            </w:tcBorders>
          </w:tcPr>
          <w:p w14:paraId="79A21A1D" w14:textId="4667D9F7" w:rsidR="00483BA4" w:rsidRPr="002D37D5" w:rsidRDefault="00483BA4" w:rsidP="002D37D5">
            <w:pPr>
              <w:spacing w:after="120"/>
              <w:jc w:val="both"/>
              <w:rPr>
                <w:b/>
                <w:bCs/>
                <w:caps/>
                <w:sz w:val="18"/>
                <w:szCs w:val="18"/>
              </w:rPr>
            </w:pPr>
            <w:bookmarkStart w:id="383" w:name="_Toc98763060"/>
            <w:r w:rsidRPr="002D37D5">
              <w:rPr>
                <w:sz w:val="18"/>
                <w:szCs w:val="18"/>
              </w:rPr>
              <w:t>Event revenue contracts contain four performance obligations, each of which are satisfied at a point in time upon completion.</w:t>
            </w:r>
            <w:r w:rsidR="00FA7C77" w:rsidRPr="002D37D5">
              <w:rPr>
                <w:sz w:val="18"/>
                <w:szCs w:val="18"/>
              </w:rPr>
              <w:t xml:space="preserve"> </w:t>
            </w:r>
            <w:r w:rsidRPr="002D37D5">
              <w:rPr>
                <w:sz w:val="18"/>
                <w:szCs w:val="18"/>
              </w:rPr>
              <w:t>The first performance obligation is upon signing the contract to run a major event and at this point 10% of the contract revenue is payable to ‘Burley Griffin Agency’ so this revenue is recognised at this point.</w:t>
            </w:r>
            <w:r w:rsidR="00FA7C77" w:rsidRPr="002D37D5">
              <w:rPr>
                <w:sz w:val="18"/>
                <w:szCs w:val="18"/>
              </w:rPr>
              <w:t xml:space="preserve"> </w:t>
            </w:r>
            <w:r w:rsidRPr="002D37D5">
              <w:rPr>
                <w:sz w:val="18"/>
                <w:szCs w:val="18"/>
              </w:rPr>
              <w:t>The second performance obligation is upon the completion of signage negotiations which is required to be completed two weeks before the event.</w:t>
            </w:r>
            <w:r w:rsidR="00FA7C77" w:rsidRPr="002D37D5">
              <w:rPr>
                <w:sz w:val="18"/>
                <w:szCs w:val="18"/>
              </w:rPr>
              <w:t xml:space="preserve"> </w:t>
            </w:r>
            <w:r w:rsidRPr="002D37D5">
              <w:rPr>
                <w:sz w:val="18"/>
                <w:szCs w:val="18"/>
              </w:rPr>
              <w:t>At this point a further 20% of contract revenue is recognised.</w:t>
            </w:r>
            <w:r w:rsidR="00FA7C77" w:rsidRPr="002D37D5">
              <w:rPr>
                <w:sz w:val="18"/>
                <w:szCs w:val="18"/>
              </w:rPr>
              <w:t xml:space="preserve"> </w:t>
            </w:r>
            <w:r w:rsidRPr="002D37D5">
              <w:rPr>
                <w:sz w:val="18"/>
                <w:szCs w:val="18"/>
              </w:rPr>
              <w:t>The third performance obligation relates to ticketing and advertising and is required to commence one month from the event and finish the day before the event.</w:t>
            </w:r>
            <w:r w:rsidR="00FA7C77" w:rsidRPr="002D37D5">
              <w:rPr>
                <w:sz w:val="18"/>
                <w:szCs w:val="18"/>
              </w:rPr>
              <w:t xml:space="preserve"> </w:t>
            </w:r>
            <w:r w:rsidRPr="002D37D5">
              <w:rPr>
                <w:sz w:val="18"/>
                <w:szCs w:val="18"/>
              </w:rPr>
              <w:t>At this point a further 30% of contract revenue is recognised evenly over this one-month period.</w:t>
            </w:r>
            <w:r w:rsidR="00FA7C77" w:rsidRPr="002D37D5">
              <w:rPr>
                <w:sz w:val="18"/>
                <w:szCs w:val="18"/>
              </w:rPr>
              <w:t xml:space="preserve"> </w:t>
            </w:r>
            <w:r w:rsidRPr="002D37D5">
              <w:rPr>
                <w:sz w:val="18"/>
                <w:szCs w:val="18"/>
              </w:rPr>
              <w:t>The fourth performance obligation relates to the game day logistics, catering and cleaning.</w:t>
            </w:r>
            <w:r w:rsidR="00FA7C77" w:rsidRPr="002D37D5">
              <w:rPr>
                <w:sz w:val="18"/>
                <w:szCs w:val="18"/>
              </w:rPr>
              <w:t xml:space="preserve"> </w:t>
            </w:r>
            <w:r w:rsidRPr="002D37D5">
              <w:rPr>
                <w:sz w:val="18"/>
                <w:szCs w:val="18"/>
              </w:rPr>
              <w:t>The final 40% of the contract revenue is recognised on the day of the event.</w:t>
            </w:r>
            <w:bookmarkEnd w:id="383"/>
          </w:p>
        </w:tc>
      </w:tr>
      <w:tr w:rsidR="00483BA4" w:rsidRPr="007E0503" w14:paraId="3458C367" w14:textId="77777777" w:rsidTr="000159C3">
        <w:trPr>
          <w:cantSplit/>
        </w:trPr>
        <w:tc>
          <w:tcPr>
            <w:tcW w:w="735" w:type="pct"/>
            <w:tcBorders>
              <w:top w:val="nil"/>
              <w:left w:val="single" w:sz="2" w:space="0" w:color="auto"/>
              <w:bottom w:val="nil"/>
              <w:right w:val="single" w:sz="2" w:space="0" w:color="auto"/>
            </w:tcBorders>
          </w:tcPr>
          <w:p w14:paraId="6E8660A7" w14:textId="77777777" w:rsidR="00483BA4" w:rsidRPr="00A35C64" w:rsidRDefault="00483BA4" w:rsidP="009B2E93">
            <w:pPr>
              <w:pStyle w:val="TableText"/>
              <w:tabs>
                <w:tab w:val="left" w:pos="3306"/>
              </w:tabs>
              <w:spacing w:before="0"/>
              <w:rPr>
                <w:rFonts w:cs="Calibri"/>
                <w:b/>
                <w:bCs/>
                <w:color w:val="7030A0"/>
                <w:sz w:val="14"/>
                <w:szCs w:val="14"/>
              </w:rPr>
            </w:pPr>
          </w:p>
        </w:tc>
        <w:tc>
          <w:tcPr>
            <w:tcW w:w="4265" w:type="pct"/>
            <w:gridSpan w:val="4"/>
            <w:tcBorders>
              <w:top w:val="nil"/>
              <w:left w:val="single" w:sz="2" w:space="0" w:color="auto"/>
              <w:bottom w:val="nil"/>
              <w:right w:val="nil"/>
            </w:tcBorders>
          </w:tcPr>
          <w:p w14:paraId="3436C60E" w14:textId="09179182" w:rsidR="00483BA4" w:rsidRPr="009B2E93" w:rsidRDefault="00483BA4" w:rsidP="009B2E93">
            <w:pPr>
              <w:jc w:val="both"/>
              <w:rPr>
                <w:b/>
                <w:bCs/>
                <w:i/>
                <w:iCs/>
                <w:caps/>
                <w:sz w:val="18"/>
                <w:szCs w:val="18"/>
              </w:rPr>
            </w:pPr>
            <w:bookmarkStart w:id="384" w:name="_Toc98763061"/>
            <w:r w:rsidRPr="009B2E93">
              <w:rPr>
                <w:i/>
                <w:iCs/>
                <w:sz w:val="18"/>
                <w:szCs w:val="18"/>
              </w:rPr>
              <w:t>Fare Revenue</w:t>
            </w:r>
            <w:bookmarkEnd w:id="384"/>
          </w:p>
        </w:tc>
      </w:tr>
      <w:tr w:rsidR="00483BA4" w:rsidRPr="007E0503" w14:paraId="35C3471E" w14:textId="77777777" w:rsidTr="000159C3">
        <w:trPr>
          <w:cantSplit/>
        </w:trPr>
        <w:tc>
          <w:tcPr>
            <w:tcW w:w="735" w:type="pct"/>
            <w:tcBorders>
              <w:top w:val="nil"/>
              <w:left w:val="single" w:sz="2" w:space="0" w:color="auto"/>
              <w:bottom w:val="nil"/>
              <w:right w:val="single" w:sz="2" w:space="0" w:color="auto"/>
            </w:tcBorders>
          </w:tcPr>
          <w:p w14:paraId="2644F975"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gridSpan w:val="4"/>
            <w:tcBorders>
              <w:top w:val="nil"/>
              <w:left w:val="single" w:sz="2" w:space="0" w:color="auto"/>
              <w:bottom w:val="nil"/>
              <w:right w:val="nil"/>
            </w:tcBorders>
          </w:tcPr>
          <w:p w14:paraId="3F22D146" w14:textId="3A11DC23" w:rsidR="00483BA4" w:rsidRPr="002D37D5" w:rsidRDefault="00483BA4" w:rsidP="002D37D5">
            <w:pPr>
              <w:spacing w:after="120"/>
              <w:jc w:val="both"/>
              <w:rPr>
                <w:sz w:val="18"/>
                <w:szCs w:val="18"/>
              </w:rPr>
            </w:pPr>
            <w:r w:rsidRPr="002D37D5">
              <w:rPr>
                <w:sz w:val="18"/>
                <w:szCs w:val="18"/>
              </w:rPr>
              <w:t>This revenue stream relates to fare revenue from the provision of public transport services. ‘Burley Griffin Agency’ recognises fare revenue from buses but has provided ‘Example Metro’ with a right to charge third-party users of the light rail and as such ‘Burley Griffin Agency’ does not recognise revenue from light rail services.</w:t>
            </w:r>
            <w:r w:rsidR="00FA7C77" w:rsidRPr="002D37D5">
              <w:rPr>
                <w:sz w:val="18"/>
                <w:szCs w:val="18"/>
              </w:rPr>
              <w:t xml:space="preserve"> </w:t>
            </w:r>
            <w:r w:rsidRPr="002D37D5">
              <w:rPr>
                <w:sz w:val="18"/>
                <w:szCs w:val="18"/>
              </w:rPr>
              <w:t>The performance obligation is the provision of public transport services to the customer. Fares revenue is recognised when customers board the bus.</w:t>
            </w:r>
          </w:p>
        </w:tc>
      </w:tr>
      <w:tr w:rsidR="00483BA4" w:rsidRPr="007E0503" w14:paraId="493B0701" w14:textId="77777777" w:rsidTr="000159C3">
        <w:trPr>
          <w:cantSplit/>
        </w:trPr>
        <w:tc>
          <w:tcPr>
            <w:tcW w:w="735" w:type="pct"/>
            <w:tcBorders>
              <w:top w:val="nil"/>
              <w:left w:val="single" w:sz="2" w:space="0" w:color="auto"/>
              <w:bottom w:val="nil"/>
              <w:right w:val="single" w:sz="2" w:space="0" w:color="auto"/>
            </w:tcBorders>
          </w:tcPr>
          <w:p w14:paraId="1843C797" w14:textId="77777777" w:rsidR="00483BA4" w:rsidRPr="00A35C64" w:rsidRDefault="00483BA4" w:rsidP="009B2E93">
            <w:pPr>
              <w:pStyle w:val="TableText"/>
              <w:tabs>
                <w:tab w:val="left" w:pos="3306"/>
              </w:tabs>
              <w:spacing w:before="0"/>
              <w:rPr>
                <w:rFonts w:cs="Calibri"/>
                <w:b/>
                <w:bCs/>
                <w:color w:val="7030A0"/>
                <w:sz w:val="14"/>
                <w:szCs w:val="14"/>
              </w:rPr>
            </w:pPr>
          </w:p>
        </w:tc>
        <w:tc>
          <w:tcPr>
            <w:tcW w:w="4265" w:type="pct"/>
            <w:gridSpan w:val="4"/>
            <w:tcBorders>
              <w:top w:val="nil"/>
              <w:left w:val="single" w:sz="2" w:space="0" w:color="auto"/>
              <w:bottom w:val="nil"/>
              <w:right w:val="nil"/>
            </w:tcBorders>
          </w:tcPr>
          <w:p w14:paraId="7B4CB7FB" w14:textId="02EDF9CA" w:rsidR="00483BA4" w:rsidRPr="009B2E93" w:rsidRDefault="00483BA4" w:rsidP="009B2E93">
            <w:pPr>
              <w:jc w:val="both"/>
              <w:rPr>
                <w:i/>
                <w:iCs/>
                <w:sz w:val="18"/>
                <w:szCs w:val="18"/>
              </w:rPr>
            </w:pPr>
            <w:r w:rsidRPr="009B2E93">
              <w:rPr>
                <w:i/>
                <w:iCs/>
                <w:sz w:val="18"/>
                <w:szCs w:val="18"/>
              </w:rPr>
              <w:t>Waste Fees</w:t>
            </w:r>
          </w:p>
        </w:tc>
      </w:tr>
      <w:tr w:rsidR="00483BA4" w:rsidRPr="007E0503" w14:paraId="431DE589" w14:textId="77777777" w:rsidTr="000159C3">
        <w:trPr>
          <w:cantSplit/>
        </w:trPr>
        <w:tc>
          <w:tcPr>
            <w:tcW w:w="735" w:type="pct"/>
            <w:tcBorders>
              <w:top w:val="nil"/>
              <w:left w:val="single" w:sz="2" w:space="0" w:color="auto"/>
              <w:bottom w:val="nil"/>
              <w:right w:val="single" w:sz="2" w:space="0" w:color="auto"/>
            </w:tcBorders>
          </w:tcPr>
          <w:p w14:paraId="10016C4E" w14:textId="36145BF0" w:rsidR="00483BA4" w:rsidRPr="00A35C64" w:rsidRDefault="00483BA4" w:rsidP="00483BA4">
            <w:pPr>
              <w:pStyle w:val="TableText"/>
              <w:tabs>
                <w:tab w:val="left" w:pos="3306"/>
              </w:tabs>
              <w:spacing w:before="120"/>
              <w:rPr>
                <w:rFonts w:cs="Calibri"/>
                <w:b/>
                <w:bCs/>
                <w:color w:val="7030A0"/>
                <w:sz w:val="14"/>
                <w:szCs w:val="14"/>
              </w:rPr>
            </w:pPr>
            <w:r w:rsidRPr="00A35C64">
              <w:rPr>
                <w:rFonts w:cs="Calibri"/>
                <w:color w:val="7030A0"/>
                <w:sz w:val="14"/>
              </w:rPr>
              <w:t>AASB 15.119</w:t>
            </w:r>
          </w:p>
        </w:tc>
        <w:tc>
          <w:tcPr>
            <w:tcW w:w="4265" w:type="pct"/>
            <w:gridSpan w:val="4"/>
            <w:tcBorders>
              <w:top w:val="nil"/>
              <w:left w:val="single" w:sz="2" w:space="0" w:color="auto"/>
              <w:bottom w:val="nil"/>
              <w:right w:val="nil"/>
            </w:tcBorders>
          </w:tcPr>
          <w:p w14:paraId="21A49CBE" w14:textId="0C3DA72F" w:rsidR="00483BA4" w:rsidRPr="002D37D5" w:rsidRDefault="00483BA4" w:rsidP="002D37D5">
            <w:pPr>
              <w:spacing w:after="120"/>
              <w:jc w:val="both"/>
              <w:rPr>
                <w:b/>
                <w:bCs/>
                <w:caps/>
                <w:sz w:val="18"/>
                <w:szCs w:val="18"/>
              </w:rPr>
            </w:pPr>
            <w:bookmarkStart w:id="385" w:name="_Toc98763062"/>
            <w:r w:rsidRPr="002D37D5">
              <w:rPr>
                <w:sz w:val="18"/>
                <w:szCs w:val="18"/>
              </w:rPr>
              <w:t>This revenue stream relates to fees being charged where certain types of waste require special burial arrangements.</w:t>
            </w:r>
            <w:r w:rsidR="00FA7C77" w:rsidRPr="002D37D5">
              <w:rPr>
                <w:sz w:val="18"/>
                <w:szCs w:val="18"/>
              </w:rPr>
              <w:t xml:space="preserve"> </w:t>
            </w:r>
            <w:r w:rsidRPr="002D37D5">
              <w:rPr>
                <w:sz w:val="18"/>
                <w:szCs w:val="18"/>
              </w:rPr>
              <w:t>This waste includes oil, batteries, paint and asbestos. The performance obligation is the provision of landfill site access to a customer. Revenue is recognised at the time of disposal of contaminated waste at the landfill sites.</w:t>
            </w:r>
            <w:bookmarkEnd w:id="385"/>
          </w:p>
        </w:tc>
      </w:tr>
      <w:tr w:rsidR="00483BA4" w:rsidRPr="007E0503" w14:paraId="1EF42F59" w14:textId="77777777" w:rsidTr="000159C3">
        <w:trPr>
          <w:cantSplit/>
        </w:trPr>
        <w:tc>
          <w:tcPr>
            <w:tcW w:w="735" w:type="pct"/>
            <w:tcBorders>
              <w:top w:val="nil"/>
              <w:left w:val="single" w:sz="2" w:space="0" w:color="auto"/>
              <w:bottom w:val="nil"/>
              <w:right w:val="single" w:sz="2" w:space="0" w:color="auto"/>
            </w:tcBorders>
          </w:tcPr>
          <w:p w14:paraId="176936C6" w14:textId="77777777" w:rsidR="00483BA4" w:rsidRPr="00A35C64" w:rsidRDefault="00483BA4" w:rsidP="00483BA4">
            <w:pPr>
              <w:pStyle w:val="TableText"/>
              <w:tabs>
                <w:tab w:val="left" w:pos="3306"/>
              </w:tabs>
              <w:spacing w:before="120"/>
              <w:rPr>
                <w:rFonts w:cs="Calibri"/>
                <w:color w:val="7030A0"/>
              </w:rPr>
            </w:pPr>
            <w:bookmarkStart w:id="386" w:name="_Hlk79155686"/>
          </w:p>
        </w:tc>
        <w:tc>
          <w:tcPr>
            <w:tcW w:w="4265" w:type="pct"/>
            <w:gridSpan w:val="4"/>
            <w:tcBorders>
              <w:top w:val="nil"/>
              <w:left w:val="single" w:sz="2" w:space="0" w:color="auto"/>
              <w:bottom w:val="nil"/>
              <w:right w:val="nil"/>
            </w:tcBorders>
            <w:vAlign w:val="bottom"/>
          </w:tcPr>
          <w:p w14:paraId="3A671096" w14:textId="07E38F8E" w:rsidR="00483BA4" w:rsidRPr="00A35C64" w:rsidRDefault="00483BA4" w:rsidP="00483BA4">
            <w:pPr>
              <w:pStyle w:val="Normal1"/>
              <w:spacing w:before="120"/>
              <w:rPr>
                <w:rFonts w:eastAsia="Times New Roman" w:cs="Calibri"/>
                <w:b/>
                <w:bCs/>
                <w:noProof w:val="0"/>
                <w:kern w:val="0"/>
                <w:sz w:val="18"/>
                <w:szCs w:val="18"/>
                <w:lang w:eastAsia="en-US"/>
              </w:rPr>
            </w:pPr>
            <w:r w:rsidRPr="00A35C64">
              <w:rPr>
                <w:rFonts w:eastAsia="Times New Roman" w:cs="Calibri"/>
                <w:b/>
                <w:bCs/>
                <w:noProof w:val="0"/>
                <w:kern w:val="0"/>
                <w:sz w:val="18"/>
                <w:szCs w:val="18"/>
                <w:lang w:eastAsia="en-US"/>
              </w:rPr>
              <w:t>COVID-19 Impact</w:t>
            </w:r>
          </w:p>
        </w:tc>
      </w:tr>
      <w:tr w:rsidR="00E234E6" w:rsidRPr="007E0503" w14:paraId="2E8B4782" w14:textId="77777777" w:rsidTr="000159C3">
        <w:trPr>
          <w:cantSplit/>
        </w:trPr>
        <w:tc>
          <w:tcPr>
            <w:tcW w:w="735" w:type="pct"/>
            <w:tcBorders>
              <w:top w:val="nil"/>
              <w:left w:val="single" w:sz="2" w:space="0" w:color="auto"/>
              <w:bottom w:val="nil"/>
              <w:right w:val="single" w:sz="2" w:space="0" w:color="auto"/>
            </w:tcBorders>
          </w:tcPr>
          <w:p w14:paraId="678AEFB9" w14:textId="77777777" w:rsidR="00E234E6" w:rsidRPr="00A35C64" w:rsidRDefault="00E234E6" w:rsidP="00483BA4">
            <w:pPr>
              <w:pStyle w:val="TableText"/>
              <w:tabs>
                <w:tab w:val="left" w:pos="3306"/>
              </w:tabs>
              <w:spacing w:before="120"/>
              <w:rPr>
                <w:rFonts w:cs="Calibri"/>
                <w:color w:val="7030A0"/>
              </w:rPr>
            </w:pPr>
          </w:p>
        </w:tc>
        <w:tc>
          <w:tcPr>
            <w:tcW w:w="4265" w:type="pct"/>
            <w:gridSpan w:val="4"/>
            <w:tcBorders>
              <w:top w:val="nil"/>
              <w:left w:val="single" w:sz="2" w:space="0" w:color="auto"/>
              <w:bottom w:val="nil"/>
              <w:right w:val="nil"/>
            </w:tcBorders>
            <w:vAlign w:val="bottom"/>
          </w:tcPr>
          <w:p w14:paraId="581B68AB" w14:textId="00245C03" w:rsidR="00E234E6" w:rsidRPr="00E234E6" w:rsidRDefault="00E234E6" w:rsidP="00483BA4">
            <w:pPr>
              <w:spacing w:after="120"/>
              <w:jc w:val="both"/>
              <w:rPr>
                <w:rFonts w:cs="Calibri"/>
                <w:sz w:val="18"/>
                <w:szCs w:val="18"/>
              </w:rPr>
            </w:pPr>
            <w:r w:rsidRPr="00E234E6">
              <w:rPr>
                <w:rFonts w:cs="Calibri"/>
                <w:sz w:val="18"/>
                <w:szCs w:val="18"/>
              </w:rPr>
              <w:t>Since the commencement of the COVID-19 pandemic ‘</w:t>
            </w:r>
            <w:r w:rsidRPr="00E234E6">
              <w:rPr>
                <w:sz w:val="18"/>
                <w:szCs w:val="18"/>
              </w:rPr>
              <w:t>Burley Griffin</w:t>
            </w:r>
            <w:r w:rsidRPr="00E234E6">
              <w:rPr>
                <w:rFonts w:cs="Calibri"/>
                <w:sz w:val="18"/>
                <w:szCs w:val="18"/>
              </w:rPr>
              <w:t xml:space="preserve"> Agency’ has lost a material amount of public transport fare revenue. </w:t>
            </w:r>
            <w:r w:rsidRPr="00E234E6">
              <w:rPr>
                <w:rFonts w:cs="Calibri"/>
                <w:strike/>
                <w:color w:val="FF0000"/>
                <w:sz w:val="18"/>
                <w:szCs w:val="18"/>
              </w:rPr>
              <w:t>Bus patronage decreased to an estimated 25% of pre COVID</w:t>
            </w:r>
            <w:r w:rsidRPr="00E234E6">
              <w:rPr>
                <w:rFonts w:cs="Calibri"/>
                <w:strike/>
                <w:color w:val="FF0000"/>
                <w:sz w:val="18"/>
                <w:szCs w:val="18"/>
              </w:rPr>
              <w:noBreakHyphen/>
              <w:t>19 levels in August 2021 due to a restricted service operating and lock down introduced by the ACT Government is response to the Delta outbreak. Since the lockdown ended in November 2021 and public transport services reverting to a normal timetable, patronage has since slowly recovered and is now estimated to be at 90% of pre COVID-19 levels. The reduction in patronage over the current financial year has resulted in lower fare revenue of approximately $xxx million when compared to pre-pandemic levels</w:t>
            </w:r>
            <w:r w:rsidRPr="00E234E6">
              <w:rPr>
                <w:rFonts w:cs="Calibri"/>
                <w:color w:val="FF0000"/>
                <w:sz w:val="18"/>
                <w:szCs w:val="18"/>
              </w:rPr>
              <w:t>.</w:t>
            </w:r>
            <w:r w:rsidR="006839E2">
              <w:rPr>
                <w:rFonts w:cs="Calibri"/>
                <w:color w:val="FF0000"/>
                <w:sz w:val="18"/>
                <w:szCs w:val="18"/>
              </w:rPr>
              <w:t xml:space="preserve"> However after</w:t>
            </w:r>
            <w:r w:rsidRPr="00E234E6">
              <w:rPr>
                <w:color w:val="FF0000"/>
                <w:sz w:val="18"/>
                <w:szCs w:val="18"/>
              </w:rPr>
              <w:t xml:space="preserve"> the lockdown was lifted in November 2021 and people have returned to school and work, the amount of public transport patronage has slowly recovered and is now estimated to be at 90% of pre COVID-19 levels. </w:t>
            </w:r>
            <w:r w:rsidR="00C5083D">
              <w:rPr>
                <w:color w:val="FF0000"/>
                <w:sz w:val="18"/>
                <w:szCs w:val="18"/>
              </w:rPr>
              <w:t>G</w:t>
            </w:r>
            <w:r w:rsidRPr="00E234E6">
              <w:rPr>
                <w:color w:val="FF0000"/>
                <w:sz w:val="18"/>
                <w:szCs w:val="18"/>
              </w:rPr>
              <w:t xml:space="preserve">iven the continuation of flexible working arrangements post the pandemic, there is still a </w:t>
            </w:r>
            <w:r w:rsidR="006839E2">
              <w:rPr>
                <w:color w:val="FF0000"/>
                <w:sz w:val="18"/>
                <w:szCs w:val="18"/>
              </w:rPr>
              <w:t>large</w:t>
            </w:r>
            <w:r w:rsidRPr="00E234E6">
              <w:rPr>
                <w:color w:val="FF0000"/>
                <w:sz w:val="18"/>
                <w:szCs w:val="18"/>
              </w:rPr>
              <w:t xml:space="preserve"> number of people working partly or fully from home which has resulted in </w:t>
            </w:r>
            <w:r w:rsidRPr="009415D8">
              <w:rPr>
                <w:color w:val="FF0000"/>
                <w:sz w:val="18"/>
                <w:szCs w:val="18"/>
              </w:rPr>
              <w:t xml:space="preserve">lower </w:t>
            </w:r>
            <w:r w:rsidR="00C5083D" w:rsidRPr="009415D8">
              <w:rPr>
                <w:color w:val="FF0000"/>
                <w:sz w:val="18"/>
                <w:szCs w:val="18"/>
              </w:rPr>
              <w:t>numbers</w:t>
            </w:r>
            <w:r w:rsidRPr="00E234E6">
              <w:rPr>
                <w:color w:val="FF0000"/>
                <w:sz w:val="18"/>
                <w:szCs w:val="18"/>
              </w:rPr>
              <w:t xml:space="preserve"> of the public accessing public transport over the current financial year. This has resulted in lower public transport revenue when compared to pre-pandemic levels.</w:t>
            </w:r>
          </w:p>
        </w:tc>
      </w:tr>
      <w:tr w:rsidR="00EC2F33" w:rsidRPr="007E0503" w14:paraId="156E472F" w14:textId="77777777" w:rsidTr="000159C3">
        <w:tc>
          <w:tcPr>
            <w:tcW w:w="735" w:type="pct"/>
            <w:tcBorders>
              <w:top w:val="nil"/>
              <w:left w:val="single" w:sz="2" w:space="0" w:color="auto"/>
              <w:bottom w:val="nil"/>
              <w:right w:val="single" w:sz="2" w:space="0" w:color="auto"/>
            </w:tcBorders>
          </w:tcPr>
          <w:p w14:paraId="4B37BDE0" w14:textId="42AD9191"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t>Reference</w:t>
            </w:r>
          </w:p>
        </w:tc>
        <w:tc>
          <w:tcPr>
            <w:tcW w:w="4265" w:type="pct"/>
            <w:gridSpan w:val="4"/>
            <w:tcBorders>
              <w:top w:val="nil"/>
              <w:left w:val="single" w:sz="2" w:space="0" w:color="auto"/>
              <w:bottom w:val="nil"/>
              <w:right w:val="nil"/>
            </w:tcBorders>
          </w:tcPr>
          <w:p w14:paraId="347C08E7" w14:textId="210B18B0" w:rsidR="00EC2F33" w:rsidRPr="00A35C64" w:rsidRDefault="00EC2F33" w:rsidP="00EC1A8A">
            <w:pPr>
              <w:pStyle w:val="Heading2"/>
              <w:numPr>
                <w:ilvl w:val="0"/>
                <w:numId w:val="0"/>
              </w:numPr>
              <w:spacing w:after="0"/>
              <w:ind w:left="174"/>
              <w:jc w:val="both"/>
              <w:rPr>
                <w:rFonts w:ascii="Calibri" w:hAnsi="Calibri" w:cs="Calibri"/>
                <w:b w:val="0"/>
                <w:bCs w:val="0"/>
                <w:i/>
                <w:iCs/>
                <w:caps w:val="0"/>
                <w:sz w:val="18"/>
                <w:szCs w:val="18"/>
              </w:rPr>
            </w:pPr>
            <w:bookmarkStart w:id="387" w:name="_Toc98763063"/>
            <w:bookmarkStart w:id="388" w:name="_Toc127733831"/>
            <w:bookmarkStart w:id="389" w:name="_Toc131164484"/>
            <w:bookmarkStart w:id="390" w:name="_Toc131591749"/>
            <w:bookmarkStart w:id="391" w:name="_Toc132743784"/>
            <w:r w:rsidRPr="00A35C64">
              <w:rPr>
                <w:rFonts w:asciiTheme="minorHAnsi" w:hAnsiTheme="minorHAnsi" w:cstheme="minorHAnsi"/>
                <w:sz w:val="36"/>
                <w:szCs w:val="36"/>
              </w:rPr>
              <w:t>Note 5.</w:t>
            </w:r>
            <w:r>
              <w:rPr>
                <w:rFonts w:asciiTheme="minorHAnsi" w:hAnsiTheme="minorHAnsi" w:cstheme="minorHAnsi"/>
                <w:sz w:val="36"/>
                <w:szCs w:val="36"/>
              </w:rPr>
              <w:t xml:space="preserve"> </w:t>
            </w:r>
            <w:r w:rsidRPr="00A35C64">
              <w:rPr>
                <w:rFonts w:asciiTheme="minorHAnsi" w:hAnsiTheme="minorHAnsi" w:cstheme="minorHAnsi"/>
                <w:sz w:val="36"/>
                <w:szCs w:val="36"/>
              </w:rPr>
              <w:t>Sale</w:t>
            </w:r>
            <w:r w:rsidR="00EC1A8A">
              <w:rPr>
                <w:rFonts w:asciiTheme="minorHAnsi" w:hAnsiTheme="minorHAnsi" w:cstheme="minorHAnsi"/>
                <w:sz w:val="36"/>
                <w:szCs w:val="36"/>
              </w:rPr>
              <w:t>s</w:t>
            </w:r>
            <w:r w:rsidRPr="00A35C64">
              <w:rPr>
                <w:rFonts w:asciiTheme="minorHAnsi" w:hAnsiTheme="minorHAnsi" w:cstheme="minorHAnsi"/>
                <w:sz w:val="36"/>
                <w:szCs w:val="36"/>
              </w:rPr>
              <w:t xml:space="preserve"> </w:t>
            </w:r>
            <w:r w:rsidR="00EC1A8A">
              <w:rPr>
                <w:rFonts w:asciiTheme="minorHAnsi" w:hAnsiTheme="minorHAnsi" w:cstheme="minorHAnsi"/>
                <w:sz w:val="36"/>
                <w:szCs w:val="36"/>
              </w:rPr>
              <w:t>of</w:t>
            </w:r>
            <w:r w:rsidRPr="00A35C64">
              <w:rPr>
                <w:rFonts w:asciiTheme="minorHAnsi" w:hAnsiTheme="minorHAnsi" w:cstheme="minorHAnsi"/>
                <w:sz w:val="36"/>
                <w:szCs w:val="36"/>
              </w:rPr>
              <w:t xml:space="preserve"> G</w:t>
            </w:r>
            <w:r w:rsidR="00EC1A8A">
              <w:rPr>
                <w:rFonts w:asciiTheme="minorHAnsi" w:hAnsiTheme="minorHAnsi" w:cstheme="minorHAnsi"/>
                <w:sz w:val="36"/>
                <w:szCs w:val="36"/>
              </w:rPr>
              <w:t>oods</w:t>
            </w:r>
            <w:r w:rsidRPr="00A35C64">
              <w:rPr>
                <w:rFonts w:asciiTheme="minorHAnsi" w:hAnsiTheme="minorHAnsi" w:cstheme="minorHAnsi"/>
                <w:sz w:val="36"/>
                <w:szCs w:val="36"/>
              </w:rPr>
              <w:t xml:space="preserve"> </w:t>
            </w:r>
            <w:r w:rsidR="00EC1A8A">
              <w:rPr>
                <w:rFonts w:asciiTheme="minorHAnsi" w:hAnsiTheme="minorHAnsi" w:cstheme="minorHAnsi"/>
                <w:sz w:val="36"/>
                <w:szCs w:val="36"/>
              </w:rPr>
              <w:t>and</w:t>
            </w:r>
            <w:r w:rsidRPr="00A35C64">
              <w:rPr>
                <w:rFonts w:asciiTheme="minorHAnsi" w:hAnsiTheme="minorHAnsi" w:cstheme="minorHAnsi"/>
                <w:sz w:val="36"/>
                <w:szCs w:val="36"/>
              </w:rPr>
              <w:t xml:space="preserve"> S</w:t>
            </w:r>
            <w:r w:rsidR="00EC1A8A">
              <w:rPr>
                <w:rFonts w:asciiTheme="minorHAnsi" w:hAnsiTheme="minorHAnsi" w:cstheme="minorHAnsi"/>
                <w:sz w:val="36"/>
                <w:szCs w:val="36"/>
              </w:rPr>
              <w:t>ervices</w:t>
            </w:r>
            <w:r w:rsidRPr="00A35C64">
              <w:rPr>
                <w:rFonts w:asciiTheme="minorHAnsi" w:hAnsiTheme="minorHAnsi" w:cstheme="minorHAnsi"/>
                <w:sz w:val="36"/>
                <w:szCs w:val="36"/>
              </w:rPr>
              <w:t xml:space="preserve"> </w:t>
            </w:r>
            <w:r w:rsidR="00EC1A8A">
              <w:rPr>
                <w:rFonts w:asciiTheme="minorHAnsi" w:hAnsiTheme="minorHAnsi" w:cstheme="minorHAnsi"/>
                <w:sz w:val="36"/>
                <w:szCs w:val="36"/>
              </w:rPr>
              <w:t xml:space="preserve">from </w:t>
            </w:r>
            <w:r w:rsidRPr="00A35C64">
              <w:rPr>
                <w:rFonts w:asciiTheme="minorHAnsi" w:hAnsiTheme="minorHAnsi" w:cstheme="minorHAnsi"/>
                <w:sz w:val="36"/>
                <w:szCs w:val="36"/>
              </w:rPr>
              <w:t>Contracts with Customers – Continued</w:t>
            </w:r>
            <w:bookmarkEnd w:id="387"/>
            <w:bookmarkEnd w:id="388"/>
            <w:bookmarkEnd w:id="389"/>
            <w:bookmarkEnd w:id="390"/>
            <w:bookmarkEnd w:id="391"/>
          </w:p>
        </w:tc>
      </w:tr>
      <w:tr w:rsidR="00483BA4" w:rsidRPr="007E0503" w14:paraId="37F70CA5" w14:textId="77777777" w:rsidTr="000159C3">
        <w:tc>
          <w:tcPr>
            <w:tcW w:w="735" w:type="pct"/>
            <w:tcBorders>
              <w:top w:val="nil"/>
              <w:left w:val="single" w:sz="2" w:space="0" w:color="auto"/>
              <w:bottom w:val="nil"/>
              <w:right w:val="single" w:sz="2" w:space="0" w:color="auto"/>
            </w:tcBorders>
          </w:tcPr>
          <w:p w14:paraId="542E7A0C" w14:textId="77777777" w:rsidR="00483BA4" w:rsidRPr="00A35C64" w:rsidRDefault="00483BA4" w:rsidP="00483BA4">
            <w:pPr>
              <w:pStyle w:val="TableReference"/>
              <w:tabs>
                <w:tab w:val="left" w:pos="3306"/>
              </w:tabs>
              <w:rPr>
                <w:rFonts w:cs="Calibri"/>
                <w:color w:val="7030A0"/>
                <w:sz w:val="16"/>
                <w:szCs w:val="16"/>
              </w:rPr>
            </w:pPr>
          </w:p>
        </w:tc>
        <w:tc>
          <w:tcPr>
            <w:tcW w:w="3133" w:type="pct"/>
            <w:tcBorders>
              <w:top w:val="nil"/>
              <w:left w:val="single" w:sz="2" w:space="0" w:color="auto"/>
              <w:bottom w:val="nil"/>
              <w:right w:val="nil"/>
            </w:tcBorders>
            <w:vAlign w:val="bottom"/>
          </w:tcPr>
          <w:p w14:paraId="160D0B15" w14:textId="77777777" w:rsidR="00483BA4" w:rsidRPr="00A35C64" w:rsidRDefault="00483BA4" w:rsidP="00483BA4">
            <w:pPr>
              <w:pStyle w:val="TableTitle"/>
              <w:tabs>
                <w:tab w:val="left" w:pos="3306"/>
              </w:tabs>
              <w:rPr>
                <w:rFonts w:cs="Calibri"/>
              </w:rPr>
            </w:pPr>
          </w:p>
        </w:tc>
        <w:tc>
          <w:tcPr>
            <w:tcW w:w="600" w:type="pct"/>
            <w:tcBorders>
              <w:top w:val="nil"/>
              <w:left w:val="nil"/>
              <w:bottom w:val="nil"/>
              <w:right w:val="nil"/>
            </w:tcBorders>
            <w:vAlign w:val="bottom"/>
          </w:tcPr>
          <w:p w14:paraId="0D6EED9D" w14:textId="2C2B1350" w:rsidR="00483BA4" w:rsidRPr="00A35C64" w:rsidRDefault="00483BA4" w:rsidP="00483BA4">
            <w:pPr>
              <w:pStyle w:val="TableTitle"/>
              <w:tabs>
                <w:tab w:val="left" w:pos="3306"/>
              </w:tabs>
              <w:rPr>
                <w:rFonts w:cs="Calibri"/>
              </w:rPr>
            </w:pPr>
            <w:r w:rsidRPr="00A35C64">
              <w:rPr>
                <w:rFonts w:cs="Calibri"/>
              </w:rPr>
              <w:t>202</w:t>
            </w:r>
            <w:r w:rsidR="00BA49B4">
              <w:rPr>
                <w:rFonts w:cs="Calibri"/>
              </w:rPr>
              <w:t>3</w:t>
            </w:r>
          </w:p>
          <w:p w14:paraId="739E505C" w14:textId="77777777" w:rsidR="00483BA4" w:rsidRPr="00A35C64" w:rsidRDefault="00483BA4" w:rsidP="00483BA4">
            <w:pPr>
              <w:pStyle w:val="TableTitle"/>
              <w:tabs>
                <w:tab w:val="left" w:pos="3306"/>
              </w:tabs>
              <w:rPr>
                <w:rFonts w:cs="Calibri"/>
              </w:rPr>
            </w:pPr>
            <w:r w:rsidRPr="00A35C64">
              <w:rPr>
                <w:rFonts w:cs="Calibri"/>
              </w:rPr>
              <w:t>$’000</w:t>
            </w:r>
          </w:p>
        </w:tc>
        <w:tc>
          <w:tcPr>
            <w:tcW w:w="532" w:type="pct"/>
            <w:gridSpan w:val="2"/>
            <w:tcBorders>
              <w:top w:val="nil"/>
              <w:left w:val="nil"/>
              <w:bottom w:val="nil"/>
              <w:right w:val="nil"/>
            </w:tcBorders>
            <w:vAlign w:val="bottom"/>
          </w:tcPr>
          <w:p w14:paraId="1B7DDFB2" w14:textId="485F74C8" w:rsidR="00483BA4" w:rsidRPr="00A35C64" w:rsidRDefault="00483BA4" w:rsidP="00483BA4">
            <w:pPr>
              <w:pStyle w:val="TableTitle"/>
              <w:tabs>
                <w:tab w:val="left" w:pos="3306"/>
              </w:tabs>
              <w:rPr>
                <w:rFonts w:cs="Calibri"/>
              </w:rPr>
            </w:pPr>
            <w:r w:rsidRPr="00A35C64">
              <w:rPr>
                <w:rFonts w:cs="Calibri"/>
              </w:rPr>
              <w:t>202</w:t>
            </w:r>
            <w:r w:rsidR="00BA49B4">
              <w:rPr>
                <w:rFonts w:cs="Calibri"/>
              </w:rPr>
              <w:t>2</w:t>
            </w:r>
          </w:p>
          <w:p w14:paraId="46FB7652" w14:textId="77777777" w:rsidR="00483BA4" w:rsidRPr="00A35C64" w:rsidRDefault="00483BA4" w:rsidP="00483BA4">
            <w:pPr>
              <w:pStyle w:val="TableTitle"/>
              <w:tabs>
                <w:tab w:val="left" w:pos="3306"/>
              </w:tabs>
              <w:rPr>
                <w:rFonts w:cs="Calibri"/>
              </w:rPr>
            </w:pPr>
            <w:r w:rsidRPr="00A35C64">
              <w:rPr>
                <w:rFonts w:cs="Calibri"/>
              </w:rPr>
              <w:t>$’000</w:t>
            </w:r>
          </w:p>
        </w:tc>
      </w:tr>
      <w:tr w:rsidR="00483BA4" w:rsidRPr="007E0503" w14:paraId="21611E4E" w14:textId="77777777" w:rsidTr="000159C3">
        <w:tc>
          <w:tcPr>
            <w:tcW w:w="735" w:type="pct"/>
            <w:tcBorders>
              <w:top w:val="nil"/>
              <w:left w:val="single" w:sz="2" w:space="0" w:color="auto"/>
              <w:bottom w:val="nil"/>
              <w:right w:val="single" w:sz="2" w:space="0" w:color="auto"/>
            </w:tcBorders>
          </w:tcPr>
          <w:p w14:paraId="1BACDC27" w14:textId="1324A73D" w:rsidR="00483BA4" w:rsidRPr="00A35C64" w:rsidRDefault="00483BA4" w:rsidP="00483BA4">
            <w:pPr>
              <w:pStyle w:val="TableReference"/>
              <w:tabs>
                <w:tab w:val="left" w:pos="3306"/>
              </w:tabs>
              <w:spacing w:before="60"/>
              <w:rPr>
                <w:rFonts w:cs="Calibri"/>
                <w:strike/>
                <w:color w:val="7030A0"/>
                <w:sz w:val="16"/>
                <w:szCs w:val="16"/>
              </w:rPr>
            </w:pPr>
          </w:p>
        </w:tc>
        <w:tc>
          <w:tcPr>
            <w:tcW w:w="3133" w:type="pct"/>
            <w:tcBorders>
              <w:top w:val="nil"/>
              <w:left w:val="single" w:sz="2" w:space="0" w:color="auto"/>
              <w:bottom w:val="nil"/>
              <w:right w:val="nil"/>
            </w:tcBorders>
            <w:vAlign w:val="bottom"/>
          </w:tcPr>
          <w:p w14:paraId="51867F36" w14:textId="286C392B" w:rsidR="00483BA4" w:rsidRPr="009415D8" w:rsidRDefault="003502EC" w:rsidP="00483BA4">
            <w:pPr>
              <w:pStyle w:val="TableText"/>
              <w:tabs>
                <w:tab w:val="left" w:pos="3306"/>
              </w:tabs>
              <w:rPr>
                <w:rFonts w:cs="Calibri"/>
                <w:b/>
                <w:bCs/>
                <w:strike/>
              </w:rPr>
            </w:pPr>
            <w:r w:rsidRPr="009415D8">
              <w:rPr>
                <w:rFonts w:cs="Calibri"/>
                <w:b/>
                <w:bCs/>
                <w:strike/>
                <w:color w:val="FF0000"/>
              </w:rPr>
              <w:t>Sales of Goods and Services from Cont</w:t>
            </w:r>
            <w:r w:rsidR="00C5083D" w:rsidRPr="009415D8">
              <w:rPr>
                <w:rFonts w:cs="Calibri"/>
                <w:b/>
                <w:bCs/>
                <w:strike/>
                <w:color w:val="FF0000"/>
              </w:rPr>
              <w:t>r</w:t>
            </w:r>
            <w:r w:rsidRPr="009415D8">
              <w:rPr>
                <w:rFonts w:cs="Calibri"/>
                <w:b/>
                <w:bCs/>
                <w:strike/>
                <w:color w:val="FF0000"/>
              </w:rPr>
              <w:t>acts with Customers</w:t>
            </w:r>
          </w:p>
        </w:tc>
        <w:tc>
          <w:tcPr>
            <w:tcW w:w="600" w:type="pct"/>
            <w:tcBorders>
              <w:top w:val="nil"/>
              <w:left w:val="nil"/>
              <w:bottom w:val="nil"/>
              <w:right w:val="nil"/>
            </w:tcBorders>
            <w:vAlign w:val="bottom"/>
          </w:tcPr>
          <w:p w14:paraId="2FCB198D"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1DA01562" w14:textId="77777777" w:rsidR="00483BA4" w:rsidRPr="009415D8" w:rsidRDefault="00483BA4" w:rsidP="00483BA4">
            <w:pPr>
              <w:pStyle w:val="TableText"/>
              <w:tabs>
                <w:tab w:val="left" w:pos="3306"/>
              </w:tabs>
              <w:jc w:val="right"/>
              <w:rPr>
                <w:rFonts w:cs="Calibri"/>
              </w:rPr>
            </w:pPr>
          </w:p>
        </w:tc>
      </w:tr>
      <w:bookmarkEnd w:id="386"/>
      <w:tr w:rsidR="00483BA4" w:rsidRPr="007E0503" w14:paraId="2B36C778" w14:textId="77777777" w:rsidTr="000159C3">
        <w:tc>
          <w:tcPr>
            <w:tcW w:w="735" w:type="pct"/>
            <w:tcBorders>
              <w:top w:val="nil"/>
              <w:left w:val="single" w:sz="2" w:space="0" w:color="auto"/>
              <w:bottom w:val="nil"/>
              <w:right w:val="single" w:sz="2" w:space="0" w:color="auto"/>
            </w:tcBorders>
          </w:tcPr>
          <w:p w14:paraId="3C7A4DEE" w14:textId="2AC7CC51" w:rsidR="00483BA4" w:rsidRPr="00A35C64" w:rsidRDefault="00483BA4" w:rsidP="00483BA4">
            <w:pPr>
              <w:pStyle w:val="TableReference"/>
              <w:tabs>
                <w:tab w:val="left" w:pos="3306"/>
              </w:tabs>
              <w:spacing w:before="60"/>
              <w:rPr>
                <w:rFonts w:cs="Calibri"/>
                <w:strike/>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3B0C6C11" w14:textId="4C151A63" w:rsidR="00483BA4" w:rsidRPr="009415D8" w:rsidRDefault="00483BA4" w:rsidP="00483BA4">
            <w:pPr>
              <w:pStyle w:val="TableText"/>
              <w:tabs>
                <w:tab w:val="left" w:pos="3306"/>
              </w:tabs>
              <w:rPr>
                <w:rFonts w:cs="Calibri"/>
                <w:b/>
                <w:bCs/>
              </w:rPr>
            </w:pPr>
            <w:r w:rsidRPr="009415D8">
              <w:rPr>
                <w:rFonts w:cs="Calibri"/>
              </w:rPr>
              <w:t>Sale of Goods</w:t>
            </w:r>
            <w:r w:rsidR="00FA7C77" w:rsidRPr="009415D8">
              <w:rPr>
                <w:rFonts w:cs="Calibri"/>
              </w:rPr>
              <w:t xml:space="preserve"> </w:t>
            </w:r>
            <w:r w:rsidRPr="009415D8">
              <w:rPr>
                <w:rFonts w:cs="Calibri"/>
              </w:rPr>
              <w:t xml:space="preserve"> </w:t>
            </w:r>
          </w:p>
        </w:tc>
        <w:tc>
          <w:tcPr>
            <w:tcW w:w="600" w:type="pct"/>
            <w:tcBorders>
              <w:top w:val="nil"/>
              <w:left w:val="nil"/>
              <w:bottom w:val="nil"/>
              <w:right w:val="nil"/>
            </w:tcBorders>
            <w:vAlign w:val="bottom"/>
          </w:tcPr>
          <w:p w14:paraId="669AA263"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5554A47A" w14:textId="77777777" w:rsidR="00483BA4" w:rsidRPr="009415D8" w:rsidRDefault="00483BA4" w:rsidP="00483BA4">
            <w:pPr>
              <w:pStyle w:val="TableText"/>
              <w:tabs>
                <w:tab w:val="left" w:pos="3306"/>
              </w:tabs>
              <w:jc w:val="right"/>
              <w:rPr>
                <w:rFonts w:cs="Calibri"/>
              </w:rPr>
            </w:pPr>
          </w:p>
        </w:tc>
      </w:tr>
      <w:tr w:rsidR="00483BA4" w:rsidRPr="007E0503" w14:paraId="234666F9" w14:textId="77777777" w:rsidTr="000159C3">
        <w:tc>
          <w:tcPr>
            <w:tcW w:w="735" w:type="pct"/>
            <w:tcBorders>
              <w:top w:val="nil"/>
              <w:left w:val="single" w:sz="2" w:space="0" w:color="auto"/>
              <w:bottom w:val="nil"/>
              <w:right w:val="single" w:sz="2" w:space="0" w:color="auto"/>
            </w:tcBorders>
          </w:tcPr>
          <w:p w14:paraId="66F4D251" w14:textId="20F76D8E"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5935617D" w14:textId="553BC750" w:rsidR="00483BA4" w:rsidRPr="009415D8" w:rsidRDefault="00483BA4" w:rsidP="00483BA4">
            <w:pPr>
              <w:pStyle w:val="TableText"/>
              <w:tabs>
                <w:tab w:val="left" w:pos="3306"/>
              </w:tabs>
              <w:rPr>
                <w:rFonts w:cs="Calibri"/>
              </w:rPr>
            </w:pPr>
            <w:r w:rsidRPr="009415D8">
              <w:rPr>
                <w:rFonts w:cs="Calibri"/>
              </w:rPr>
              <w:t>Sale of Land</w:t>
            </w:r>
          </w:p>
        </w:tc>
        <w:tc>
          <w:tcPr>
            <w:tcW w:w="600" w:type="pct"/>
            <w:tcBorders>
              <w:top w:val="nil"/>
              <w:left w:val="nil"/>
              <w:bottom w:val="nil"/>
              <w:right w:val="nil"/>
            </w:tcBorders>
            <w:vAlign w:val="bottom"/>
          </w:tcPr>
          <w:p w14:paraId="6FE9E01C"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7A477AFE" w14:textId="77777777" w:rsidR="00483BA4" w:rsidRPr="009415D8" w:rsidRDefault="00483BA4" w:rsidP="00483BA4">
            <w:pPr>
              <w:pStyle w:val="TableText"/>
              <w:tabs>
                <w:tab w:val="left" w:pos="3306"/>
              </w:tabs>
              <w:jc w:val="right"/>
              <w:rPr>
                <w:rFonts w:cs="Calibri"/>
              </w:rPr>
            </w:pPr>
          </w:p>
        </w:tc>
      </w:tr>
      <w:tr w:rsidR="00483BA4" w:rsidRPr="007E0503" w14:paraId="323D8080" w14:textId="77777777" w:rsidTr="000159C3">
        <w:tc>
          <w:tcPr>
            <w:tcW w:w="735" w:type="pct"/>
            <w:tcBorders>
              <w:top w:val="nil"/>
              <w:left w:val="single" w:sz="2" w:space="0" w:color="auto"/>
              <w:bottom w:val="nil"/>
              <w:right w:val="single" w:sz="2" w:space="0" w:color="auto"/>
            </w:tcBorders>
          </w:tcPr>
          <w:p w14:paraId="407F9012" w14:textId="3292A814"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78C6E1EB" w14:textId="3A590A7E" w:rsidR="00483BA4" w:rsidRPr="009415D8" w:rsidRDefault="00483BA4" w:rsidP="00483BA4">
            <w:pPr>
              <w:pStyle w:val="TableText"/>
              <w:tabs>
                <w:tab w:val="left" w:pos="3306"/>
              </w:tabs>
              <w:rPr>
                <w:rFonts w:cs="Calibri"/>
              </w:rPr>
            </w:pPr>
            <w:r w:rsidRPr="009415D8">
              <w:rPr>
                <w:rFonts w:cs="Calibri"/>
              </w:rPr>
              <w:t>Service Revenue</w:t>
            </w:r>
          </w:p>
        </w:tc>
        <w:tc>
          <w:tcPr>
            <w:tcW w:w="600" w:type="pct"/>
            <w:tcBorders>
              <w:top w:val="nil"/>
              <w:left w:val="nil"/>
              <w:bottom w:val="nil"/>
              <w:right w:val="nil"/>
            </w:tcBorders>
            <w:vAlign w:val="bottom"/>
          </w:tcPr>
          <w:p w14:paraId="00D5FD58"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2C64CDF2" w14:textId="77777777" w:rsidR="00483BA4" w:rsidRPr="009415D8" w:rsidRDefault="00483BA4" w:rsidP="00483BA4">
            <w:pPr>
              <w:pStyle w:val="TableText"/>
              <w:tabs>
                <w:tab w:val="left" w:pos="3306"/>
              </w:tabs>
              <w:jc w:val="right"/>
              <w:rPr>
                <w:rFonts w:cs="Calibri"/>
              </w:rPr>
            </w:pPr>
          </w:p>
        </w:tc>
      </w:tr>
      <w:tr w:rsidR="00842B5D" w:rsidRPr="007E0503" w14:paraId="7D647250" w14:textId="77777777" w:rsidTr="000159C3">
        <w:tc>
          <w:tcPr>
            <w:tcW w:w="735" w:type="pct"/>
            <w:tcBorders>
              <w:top w:val="nil"/>
              <w:left w:val="single" w:sz="2" w:space="0" w:color="auto"/>
              <w:bottom w:val="nil"/>
              <w:right w:val="single" w:sz="2" w:space="0" w:color="auto"/>
            </w:tcBorders>
          </w:tcPr>
          <w:p w14:paraId="29924C0A" w14:textId="3E078638" w:rsidR="00842B5D" w:rsidRPr="00A35C64" w:rsidRDefault="00842B5D" w:rsidP="00483BA4">
            <w:pPr>
              <w:pStyle w:val="TableReference"/>
              <w:tabs>
                <w:tab w:val="left" w:pos="3306"/>
              </w:tabs>
              <w:spacing w:before="40"/>
              <w:rPr>
                <w:color w:val="7030A0"/>
                <w:sz w:val="14"/>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6C7BEAFB" w14:textId="0226E001" w:rsidR="00842B5D" w:rsidRPr="009415D8" w:rsidRDefault="00FA7C77" w:rsidP="00842B5D">
            <w:pPr>
              <w:pStyle w:val="TableText"/>
              <w:tabs>
                <w:tab w:val="left" w:pos="3306"/>
              </w:tabs>
              <w:rPr>
                <w:rFonts w:cs="Calibri"/>
              </w:rPr>
            </w:pPr>
            <w:r w:rsidRPr="009415D8">
              <w:rPr>
                <w:rFonts w:cs="Calibri"/>
              </w:rPr>
              <w:t xml:space="preserve">  </w:t>
            </w:r>
            <w:r w:rsidR="00842B5D" w:rsidRPr="009415D8">
              <w:rPr>
                <w:rFonts w:cs="Calibri"/>
              </w:rPr>
              <w:t xml:space="preserve"> - Property Management Services</w:t>
            </w:r>
            <w:r w:rsidR="00C5083D" w:rsidRPr="009415D8">
              <w:rPr>
                <w:rFonts w:cs="Calibri"/>
              </w:rPr>
              <w:t xml:space="preserve"> </w:t>
            </w:r>
            <w:r w:rsidR="00C5083D" w:rsidRPr="009415D8">
              <w:rPr>
                <w:rFonts w:cs="Calibri"/>
                <w:color w:val="FF0000"/>
              </w:rPr>
              <w:t>Revenue</w:t>
            </w:r>
            <w:r w:rsidR="00842B5D" w:rsidRPr="009415D8">
              <w:rPr>
                <w:rFonts w:cs="Calibri"/>
                <w:vertAlign w:val="superscript"/>
              </w:rPr>
              <w:t>a</w:t>
            </w:r>
          </w:p>
        </w:tc>
        <w:tc>
          <w:tcPr>
            <w:tcW w:w="600" w:type="pct"/>
            <w:tcBorders>
              <w:top w:val="nil"/>
              <w:left w:val="nil"/>
              <w:bottom w:val="nil"/>
              <w:right w:val="nil"/>
            </w:tcBorders>
            <w:vAlign w:val="bottom"/>
          </w:tcPr>
          <w:p w14:paraId="68F286BB" w14:textId="77777777" w:rsidR="00842B5D" w:rsidRPr="009415D8" w:rsidRDefault="00842B5D"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3B27B556" w14:textId="77777777" w:rsidR="00842B5D" w:rsidRPr="009415D8" w:rsidRDefault="00842B5D" w:rsidP="00483BA4">
            <w:pPr>
              <w:pStyle w:val="TableText"/>
              <w:tabs>
                <w:tab w:val="left" w:pos="3306"/>
              </w:tabs>
              <w:jc w:val="right"/>
              <w:rPr>
                <w:rFonts w:cs="Calibri"/>
              </w:rPr>
            </w:pPr>
          </w:p>
        </w:tc>
      </w:tr>
      <w:tr w:rsidR="00483BA4" w:rsidRPr="007E0503" w14:paraId="43C464BB" w14:textId="77777777" w:rsidTr="000159C3">
        <w:tc>
          <w:tcPr>
            <w:tcW w:w="735" w:type="pct"/>
            <w:tcBorders>
              <w:top w:val="nil"/>
              <w:left w:val="single" w:sz="2" w:space="0" w:color="auto"/>
              <w:bottom w:val="nil"/>
              <w:right w:val="single" w:sz="2" w:space="0" w:color="auto"/>
            </w:tcBorders>
          </w:tcPr>
          <w:p w14:paraId="34B48ED5" w14:textId="41B4F6F9"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0DD86231" w14:textId="5E7CA675" w:rsidR="007B013F" w:rsidRPr="009415D8" w:rsidRDefault="00FA7C77" w:rsidP="007B013F">
            <w:pPr>
              <w:pStyle w:val="TableText"/>
              <w:tabs>
                <w:tab w:val="left" w:pos="3306"/>
              </w:tabs>
              <w:rPr>
                <w:rFonts w:cs="Calibri"/>
              </w:rPr>
            </w:pPr>
            <w:r w:rsidRPr="009415D8">
              <w:rPr>
                <w:rFonts w:cs="Calibri"/>
              </w:rPr>
              <w:t xml:space="preserve">  </w:t>
            </w:r>
            <w:r w:rsidR="00483BA4" w:rsidRPr="009415D8">
              <w:rPr>
                <w:rFonts w:cs="Calibri"/>
              </w:rPr>
              <w:t xml:space="preserve"> - Facilities Management Services Revenue</w:t>
            </w:r>
          </w:p>
        </w:tc>
        <w:tc>
          <w:tcPr>
            <w:tcW w:w="600" w:type="pct"/>
            <w:tcBorders>
              <w:top w:val="nil"/>
              <w:left w:val="nil"/>
              <w:bottom w:val="nil"/>
              <w:right w:val="nil"/>
            </w:tcBorders>
            <w:vAlign w:val="bottom"/>
          </w:tcPr>
          <w:p w14:paraId="413BA47D"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282237D3" w14:textId="77777777" w:rsidR="00483BA4" w:rsidRPr="009415D8" w:rsidRDefault="00483BA4" w:rsidP="00483BA4">
            <w:pPr>
              <w:pStyle w:val="TableText"/>
              <w:tabs>
                <w:tab w:val="left" w:pos="3306"/>
              </w:tabs>
              <w:jc w:val="right"/>
              <w:rPr>
                <w:rFonts w:cs="Calibri"/>
              </w:rPr>
            </w:pPr>
          </w:p>
        </w:tc>
      </w:tr>
      <w:tr w:rsidR="00483BA4" w:rsidRPr="007E0503" w14:paraId="409AEE7B" w14:textId="77777777" w:rsidTr="000159C3">
        <w:tc>
          <w:tcPr>
            <w:tcW w:w="735" w:type="pct"/>
            <w:tcBorders>
              <w:top w:val="nil"/>
              <w:left w:val="single" w:sz="2" w:space="0" w:color="auto"/>
              <w:bottom w:val="nil"/>
              <w:right w:val="single" w:sz="2" w:space="0" w:color="auto"/>
            </w:tcBorders>
          </w:tcPr>
          <w:p w14:paraId="6D5C45E8" w14:textId="5673861F"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07F2D497" w14:textId="1D9E0BA5" w:rsidR="00483BA4" w:rsidRPr="009415D8" w:rsidRDefault="007B013F" w:rsidP="007B013F">
            <w:pPr>
              <w:pStyle w:val="TableText"/>
              <w:tabs>
                <w:tab w:val="left" w:pos="3306"/>
              </w:tabs>
              <w:rPr>
                <w:rFonts w:cs="Calibri"/>
              </w:rPr>
            </w:pPr>
            <w:r w:rsidRPr="009415D8">
              <w:rPr>
                <w:rFonts w:cs="Calibri"/>
              </w:rPr>
              <w:t xml:space="preserve">   - </w:t>
            </w:r>
            <w:r w:rsidR="00483BA4" w:rsidRPr="009415D8">
              <w:rPr>
                <w:rFonts w:cs="Calibri"/>
              </w:rPr>
              <w:t>Event Revenue</w:t>
            </w:r>
          </w:p>
        </w:tc>
        <w:tc>
          <w:tcPr>
            <w:tcW w:w="600" w:type="pct"/>
            <w:tcBorders>
              <w:top w:val="nil"/>
              <w:left w:val="nil"/>
              <w:bottom w:val="nil"/>
              <w:right w:val="nil"/>
            </w:tcBorders>
            <w:vAlign w:val="bottom"/>
          </w:tcPr>
          <w:p w14:paraId="09D24959"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6354A06A" w14:textId="77777777" w:rsidR="00483BA4" w:rsidRPr="009415D8" w:rsidRDefault="00483BA4" w:rsidP="00483BA4">
            <w:pPr>
              <w:pStyle w:val="TableText"/>
              <w:tabs>
                <w:tab w:val="left" w:pos="3306"/>
              </w:tabs>
              <w:jc w:val="right"/>
              <w:rPr>
                <w:rFonts w:cs="Calibri"/>
              </w:rPr>
            </w:pPr>
          </w:p>
        </w:tc>
      </w:tr>
      <w:tr w:rsidR="00483BA4" w:rsidRPr="007E0503" w14:paraId="429EFFE9" w14:textId="77777777" w:rsidTr="000159C3">
        <w:tc>
          <w:tcPr>
            <w:tcW w:w="735" w:type="pct"/>
            <w:tcBorders>
              <w:top w:val="nil"/>
              <w:left w:val="single" w:sz="2" w:space="0" w:color="auto"/>
              <w:bottom w:val="nil"/>
              <w:right w:val="single" w:sz="2" w:space="0" w:color="auto"/>
            </w:tcBorders>
          </w:tcPr>
          <w:p w14:paraId="69B759BD" w14:textId="28ED4109" w:rsidR="00483BA4" w:rsidRPr="00A35C64" w:rsidRDefault="00483BA4" w:rsidP="00483BA4">
            <w:pPr>
              <w:pStyle w:val="TableReference"/>
              <w:tabs>
                <w:tab w:val="left" w:pos="3306"/>
              </w:tabs>
              <w:spacing w:before="40"/>
              <w:rPr>
                <w:color w:val="7030A0"/>
                <w:sz w:val="14"/>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39FA920F" w14:textId="75DD94B7" w:rsidR="00483BA4" w:rsidRPr="009415D8" w:rsidRDefault="00FA7C77" w:rsidP="00483BA4">
            <w:pPr>
              <w:pStyle w:val="TableText"/>
              <w:tabs>
                <w:tab w:val="left" w:pos="3306"/>
              </w:tabs>
              <w:rPr>
                <w:rFonts w:cs="Calibri"/>
              </w:rPr>
            </w:pPr>
            <w:r w:rsidRPr="009415D8">
              <w:rPr>
                <w:rFonts w:cs="Calibri"/>
              </w:rPr>
              <w:t xml:space="preserve">  </w:t>
            </w:r>
            <w:r w:rsidR="00483BA4" w:rsidRPr="009415D8">
              <w:rPr>
                <w:rFonts w:cs="Calibri"/>
              </w:rPr>
              <w:t xml:space="preserve"> - Fare Revenue</w:t>
            </w:r>
          </w:p>
        </w:tc>
        <w:tc>
          <w:tcPr>
            <w:tcW w:w="600" w:type="pct"/>
            <w:tcBorders>
              <w:top w:val="nil"/>
              <w:left w:val="nil"/>
              <w:bottom w:val="nil"/>
              <w:right w:val="nil"/>
            </w:tcBorders>
            <w:vAlign w:val="bottom"/>
          </w:tcPr>
          <w:p w14:paraId="5CC22097"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1E692436" w14:textId="77777777" w:rsidR="00483BA4" w:rsidRPr="009415D8" w:rsidRDefault="00483BA4" w:rsidP="00483BA4">
            <w:pPr>
              <w:pStyle w:val="TableText"/>
              <w:tabs>
                <w:tab w:val="left" w:pos="3306"/>
              </w:tabs>
              <w:jc w:val="right"/>
              <w:rPr>
                <w:rFonts w:cs="Calibri"/>
              </w:rPr>
            </w:pPr>
          </w:p>
        </w:tc>
      </w:tr>
      <w:tr w:rsidR="00483BA4" w:rsidRPr="007E0503" w14:paraId="4DE49282" w14:textId="77777777" w:rsidTr="000159C3">
        <w:tc>
          <w:tcPr>
            <w:tcW w:w="735" w:type="pct"/>
            <w:tcBorders>
              <w:top w:val="nil"/>
              <w:left w:val="single" w:sz="2" w:space="0" w:color="auto"/>
              <w:bottom w:val="nil"/>
              <w:right w:val="single" w:sz="2" w:space="0" w:color="auto"/>
            </w:tcBorders>
          </w:tcPr>
          <w:p w14:paraId="4EC561D2" w14:textId="2201289A"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05469640" w14:textId="620085B7" w:rsidR="00483BA4" w:rsidRPr="009415D8" w:rsidRDefault="00483BA4" w:rsidP="00483BA4">
            <w:pPr>
              <w:pStyle w:val="TableText"/>
              <w:tabs>
                <w:tab w:val="left" w:pos="3306"/>
              </w:tabs>
              <w:rPr>
                <w:rFonts w:cs="Calibri"/>
              </w:rPr>
            </w:pPr>
            <w:r w:rsidRPr="009415D8">
              <w:rPr>
                <w:rFonts w:cs="Calibri"/>
              </w:rPr>
              <w:t>Waste Fees</w:t>
            </w:r>
          </w:p>
        </w:tc>
        <w:tc>
          <w:tcPr>
            <w:tcW w:w="600" w:type="pct"/>
            <w:tcBorders>
              <w:top w:val="nil"/>
              <w:left w:val="nil"/>
              <w:bottom w:val="nil"/>
              <w:right w:val="nil"/>
            </w:tcBorders>
            <w:vAlign w:val="bottom"/>
          </w:tcPr>
          <w:p w14:paraId="7FFECA5F"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6CA69665" w14:textId="77777777" w:rsidR="00483BA4" w:rsidRPr="009415D8" w:rsidRDefault="00483BA4" w:rsidP="00483BA4">
            <w:pPr>
              <w:pStyle w:val="TableText"/>
              <w:tabs>
                <w:tab w:val="left" w:pos="3306"/>
              </w:tabs>
              <w:jc w:val="right"/>
              <w:rPr>
                <w:rFonts w:cs="Calibri"/>
              </w:rPr>
            </w:pPr>
          </w:p>
        </w:tc>
      </w:tr>
      <w:tr w:rsidR="00483BA4" w:rsidRPr="007E0503" w14:paraId="4534FA8E" w14:textId="77777777" w:rsidTr="000159C3">
        <w:tc>
          <w:tcPr>
            <w:tcW w:w="735" w:type="pct"/>
            <w:tcBorders>
              <w:top w:val="nil"/>
              <w:left w:val="single" w:sz="2" w:space="0" w:color="auto"/>
              <w:bottom w:val="nil"/>
              <w:right w:val="single" w:sz="2" w:space="0" w:color="auto"/>
            </w:tcBorders>
          </w:tcPr>
          <w:p w14:paraId="7C778DB1"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1183CA09" w14:textId="77777777" w:rsidR="00483BA4" w:rsidRPr="009415D8" w:rsidRDefault="00483BA4" w:rsidP="00483BA4">
            <w:pPr>
              <w:pStyle w:val="TableText"/>
              <w:tabs>
                <w:tab w:val="left" w:pos="3306"/>
              </w:tabs>
              <w:rPr>
                <w:rFonts w:cs="Calibri"/>
              </w:rPr>
            </w:pPr>
            <w:r w:rsidRPr="009415D8">
              <w:rPr>
                <w:rFonts w:cs="Calibri"/>
              </w:rPr>
              <w:t>Other</w:t>
            </w:r>
          </w:p>
        </w:tc>
        <w:tc>
          <w:tcPr>
            <w:tcW w:w="600" w:type="pct"/>
            <w:tcBorders>
              <w:top w:val="nil"/>
              <w:left w:val="nil"/>
              <w:bottom w:val="single" w:sz="2" w:space="0" w:color="auto"/>
              <w:right w:val="nil"/>
            </w:tcBorders>
            <w:vAlign w:val="bottom"/>
          </w:tcPr>
          <w:p w14:paraId="07EA6768"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single" w:sz="2" w:space="0" w:color="auto"/>
              <w:right w:val="nil"/>
            </w:tcBorders>
            <w:vAlign w:val="bottom"/>
          </w:tcPr>
          <w:p w14:paraId="468DB3BB" w14:textId="77777777" w:rsidR="00483BA4" w:rsidRPr="009415D8" w:rsidRDefault="00483BA4" w:rsidP="00483BA4">
            <w:pPr>
              <w:pStyle w:val="TableText"/>
              <w:tabs>
                <w:tab w:val="left" w:pos="3306"/>
              </w:tabs>
              <w:jc w:val="right"/>
              <w:rPr>
                <w:rFonts w:cs="Calibri"/>
              </w:rPr>
            </w:pPr>
          </w:p>
        </w:tc>
      </w:tr>
      <w:tr w:rsidR="00483BA4" w:rsidRPr="007E0503" w14:paraId="72E7ADD1" w14:textId="77777777" w:rsidTr="000159C3">
        <w:tc>
          <w:tcPr>
            <w:tcW w:w="735" w:type="pct"/>
            <w:tcBorders>
              <w:top w:val="nil"/>
              <w:left w:val="single" w:sz="2" w:space="0" w:color="auto"/>
              <w:bottom w:val="nil"/>
              <w:right w:val="single" w:sz="2" w:space="0" w:color="auto"/>
            </w:tcBorders>
          </w:tcPr>
          <w:p w14:paraId="03C29A5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5BA88959" w14:textId="5AD9DFF1" w:rsidR="00483BA4" w:rsidRPr="009415D8" w:rsidRDefault="00483BA4" w:rsidP="00483BA4">
            <w:pPr>
              <w:pStyle w:val="TableText"/>
              <w:tabs>
                <w:tab w:val="left" w:pos="3306"/>
              </w:tabs>
              <w:rPr>
                <w:rFonts w:cs="Calibri"/>
                <w:b/>
                <w:bCs/>
              </w:rPr>
            </w:pPr>
            <w:bookmarkStart w:id="392" w:name="_Toc48468427"/>
            <w:bookmarkStart w:id="393" w:name="_Toc49155546"/>
            <w:bookmarkStart w:id="394" w:name="_Toc49224002"/>
            <w:r w:rsidRPr="009415D8">
              <w:rPr>
                <w:rFonts w:cs="Calibri"/>
                <w:b/>
                <w:bCs/>
              </w:rPr>
              <w:t>Total Sales of Goods and Services</w:t>
            </w:r>
            <w:bookmarkEnd w:id="392"/>
            <w:bookmarkEnd w:id="393"/>
            <w:bookmarkEnd w:id="394"/>
            <w:r w:rsidRPr="009415D8">
              <w:rPr>
                <w:rFonts w:cs="Calibri"/>
                <w:b/>
                <w:bCs/>
              </w:rPr>
              <w:t xml:space="preserve"> from Cont</w:t>
            </w:r>
            <w:r w:rsidR="00C5083D" w:rsidRPr="009415D8">
              <w:rPr>
                <w:rFonts w:cs="Calibri"/>
                <w:b/>
                <w:bCs/>
              </w:rPr>
              <w:t>r</w:t>
            </w:r>
            <w:r w:rsidRPr="009415D8">
              <w:rPr>
                <w:rFonts w:cs="Calibri"/>
                <w:b/>
                <w:bCs/>
              </w:rPr>
              <w:t>acts with Customers</w:t>
            </w:r>
          </w:p>
        </w:tc>
        <w:tc>
          <w:tcPr>
            <w:tcW w:w="600" w:type="pct"/>
            <w:tcBorders>
              <w:top w:val="single" w:sz="2" w:space="0" w:color="auto"/>
              <w:left w:val="nil"/>
              <w:bottom w:val="double" w:sz="4" w:space="0" w:color="auto"/>
              <w:right w:val="nil"/>
            </w:tcBorders>
            <w:vAlign w:val="bottom"/>
          </w:tcPr>
          <w:p w14:paraId="6BA9F192" w14:textId="77777777" w:rsidR="00483BA4" w:rsidRPr="009415D8" w:rsidRDefault="00483BA4" w:rsidP="00483BA4">
            <w:pPr>
              <w:pStyle w:val="TableText"/>
              <w:tabs>
                <w:tab w:val="left" w:pos="3306"/>
              </w:tabs>
              <w:jc w:val="right"/>
              <w:rPr>
                <w:rFonts w:cs="Calibri"/>
                <w:b/>
                <w:bCs/>
              </w:rPr>
            </w:pPr>
          </w:p>
        </w:tc>
        <w:tc>
          <w:tcPr>
            <w:tcW w:w="532" w:type="pct"/>
            <w:gridSpan w:val="2"/>
            <w:tcBorders>
              <w:top w:val="single" w:sz="2" w:space="0" w:color="auto"/>
              <w:left w:val="nil"/>
              <w:bottom w:val="double" w:sz="4" w:space="0" w:color="auto"/>
              <w:right w:val="nil"/>
            </w:tcBorders>
            <w:vAlign w:val="bottom"/>
          </w:tcPr>
          <w:p w14:paraId="71A570DC" w14:textId="77777777" w:rsidR="00483BA4" w:rsidRPr="009415D8" w:rsidRDefault="00483BA4" w:rsidP="00483BA4">
            <w:pPr>
              <w:pStyle w:val="TableText"/>
              <w:tabs>
                <w:tab w:val="left" w:pos="3306"/>
              </w:tabs>
              <w:jc w:val="right"/>
              <w:rPr>
                <w:rFonts w:cs="Calibri"/>
                <w:b/>
                <w:bCs/>
              </w:rPr>
            </w:pPr>
          </w:p>
        </w:tc>
      </w:tr>
      <w:tr w:rsidR="00483BA4" w:rsidRPr="007E0503" w14:paraId="3818444F" w14:textId="77777777" w:rsidTr="000159C3">
        <w:tc>
          <w:tcPr>
            <w:tcW w:w="735" w:type="pct"/>
            <w:tcBorders>
              <w:top w:val="nil"/>
              <w:left w:val="single" w:sz="2" w:space="0" w:color="auto"/>
              <w:bottom w:val="nil"/>
              <w:right w:val="single" w:sz="2" w:space="0" w:color="auto"/>
            </w:tcBorders>
          </w:tcPr>
          <w:p w14:paraId="0785C94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32884419" w14:textId="77777777" w:rsidR="00483BA4" w:rsidRPr="009415D8" w:rsidRDefault="00483BA4" w:rsidP="00483BA4">
            <w:pPr>
              <w:pStyle w:val="TableText"/>
              <w:tabs>
                <w:tab w:val="left" w:pos="3306"/>
              </w:tabs>
              <w:rPr>
                <w:rFonts w:cs="Calibri"/>
                <w:b/>
                <w:bCs/>
              </w:rPr>
            </w:pPr>
          </w:p>
        </w:tc>
        <w:tc>
          <w:tcPr>
            <w:tcW w:w="600" w:type="pct"/>
            <w:tcBorders>
              <w:top w:val="double" w:sz="4" w:space="0" w:color="auto"/>
              <w:left w:val="nil"/>
              <w:bottom w:val="nil"/>
              <w:right w:val="nil"/>
            </w:tcBorders>
            <w:vAlign w:val="bottom"/>
          </w:tcPr>
          <w:p w14:paraId="30A9449B" w14:textId="77777777" w:rsidR="00483BA4" w:rsidRPr="009415D8" w:rsidRDefault="00483BA4" w:rsidP="00483BA4">
            <w:pPr>
              <w:pStyle w:val="TableText"/>
              <w:tabs>
                <w:tab w:val="left" w:pos="3306"/>
              </w:tabs>
              <w:jc w:val="right"/>
              <w:rPr>
                <w:rFonts w:cs="Calibri"/>
                <w:b/>
                <w:bCs/>
              </w:rPr>
            </w:pPr>
          </w:p>
        </w:tc>
        <w:tc>
          <w:tcPr>
            <w:tcW w:w="532" w:type="pct"/>
            <w:gridSpan w:val="2"/>
            <w:tcBorders>
              <w:top w:val="double" w:sz="4" w:space="0" w:color="auto"/>
              <w:left w:val="nil"/>
              <w:bottom w:val="nil"/>
              <w:right w:val="nil"/>
            </w:tcBorders>
            <w:vAlign w:val="bottom"/>
          </w:tcPr>
          <w:p w14:paraId="68B9B9C2" w14:textId="77777777" w:rsidR="00483BA4" w:rsidRPr="009415D8" w:rsidRDefault="00483BA4" w:rsidP="00483BA4">
            <w:pPr>
              <w:pStyle w:val="TableText"/>
              <w:tabs>
                <w:tab w:val="left" w:pos="3306"/>
              </w:tabs>
              <w:jc w:val="right"/>
              <w:rPr>
                <w:rFonts w:cs="Calibri"/>
                <w:b/>
                <w:bCs/>
              </w:rPr>
            </w:pPr>
          </w:p>
        </w:tc>
      </w:tr>
      <w:tr w:rsidR="008E1728" w:rsidRPr="007E0503" w14:paraId="440DFF5A" w14:textId="77777777" w:rsidTr="000159C3">
        <w:tc>
          <w:tcPr>
            <w:tcW w:w="735" w:type="pct"/>
            <w:tcBorders>
              <w:top w:val="nil"/>
              <w:left w:val="single" w:sz="2" w:space="0" w:color="auto"/>
              <w:bottom w:val="nil"/>
              <w:right w:val="single" w:sz="2" w:space="0" w:color="auto"/>
            </w:tcBorders>
          </w:tcPr>
          <w:p w14:paraId="6BA969BB" w14:textId="77777777" w:rsidR="008E1728" w:rsidRPr="00A35C64" w:rsidRDefault="008E1728" w:rsidP="008E1728">
            <w:pPr>
              <w:pStyle w:val="TableReference"/>
              <w:tabs>
                <w:tab w:val="left" w:pos="3306"/>
              </w:tabs>
              <w:spacing w:before="40"/>
              <w:rPr>
                <w:rFonts w:cs="Calibri"/>
                <w:color w:val="7030A0"/>
                <w:sz w:val="16"/>
                <w:szCs w:val="16"/>
              </w:rPr>
            </w:pPr>
          </w:p>
        </w:tc>
        <w:tc>
          <w:tcPr>
            <w:tcW w:w="4265" w:type="pct"/>
            <w:gridSpan w:val="4"/>
            <w:tcBorders>
              <w:top w:val="nil"/>
              <w:left w:val="single" w:sz="2" w:space="0" w:color="auto"/>
              <w:bottom w:val="nil"/>
              <w:right w:val="nil"/>
            </w:tcBorders>
            <w:vAlign w:val="bottom"/>
          </w:tcPr>
          <w:p w14:paraId="1069C096" w14:textId="420C9CA7" w:rsidR="008E1728" w:rsidRPr="009415D8" w:rsidRDefault="008E1728" w:rsidP="008E1728">
            <w:pPr>
              <w:pStyle w:val="TableText"/>
              <w:spacing w:before="0" w:after="120"/>
              <w:ind w:left="321" w:hanging="321"/>
              <w:jc w:val="both"/>
              <w:rPr>
                <w:rFonts w:cs="Calibri"/>
                <w:b/>
                <w:bCs/>
              </w:rPr>
            </w:pPr>
            <w:r w:rsidRPr="009415D8">
              <w:rPr>
                <w:rFonts w:cs="Calibri"/>
              </w:rPr>
              <w:t>a)</w:t>
            </w:r>
            <w:r w:rsidRPr="009415D8">
              <w:rPr>
                <w:rFonts w:cs="Calibri"/>
              </w:rPr>
              <w:tab/>
              <w:t xml:space="preserve">The increase </w:t>
            </w:r>
            <w:r w:rsidR="007A1C58" w:rsidRPr="009415D8">
              <w:rPr>
                <w:rFonts w:cs="Calibri"/>
              </w:rPr>
              <w:t xml:space="preserve">in Property Management </w:t>
            </w:r>
            <w:r w:rsidR="00C5083D" w:rsidRPr="009415D8">
              <w:rPr>
                <w:rFonts w:cs="Calibri"/>
                <w:color w:val="FF0000"/>
              </w:rPr>
              <w:t xml:space="preserve">Service Revenue </w:t>
            </w:r>
            <w:r w:rsidR="007A1C58" w:rsidRPr="009415D8">
              <w:rPr>
                <w:rFonts w:cs="Calibri"/>
                <w:strike/>
                <w:color w:val="FF0000"/>
              </w:rPr>
              <w:t>Fees</w:t>
            </w:r>
            <w:r w:rsidR="007A1C58" w:rsidRPr="009415D8">
              <w:rPr>
                <w:rFonts w:cs="Calibri"/>
                <w:color w:val="FF0000"/>
              </w:rPr>
              <w:t xml:space="preserve"> </w:t>
            </w:r>
            <w:r w:rsidR="007A1C58" w:rsidRPr="009415D8">
              <w:rPr>
                <w:rFonts w:cs="Calibri"/>
              </w:rPr>
              <w:t xml:space="preserve">of $xxx is mainly due to </w:t>
            </w:r>
            <w:r w:rsidRPr="009415D8">
              <w:rPr>
                <w:rFonts w:cs="Calibri"/>
              </w:rPr>
              <w:t>the rise in rental prices in the ACT</w:t>
            </w:r>
            <w:r w:rsidR="00882962" w:rsidRPr="009415D8">
              <w:rPr>
                <w:rFonts w:cs="Calibri"/>
              </w:rPr>
              <w:t>,</w:t>
            </w:r>
            <w:r w:rsidRPr="009415D8">
              <w:rPr>
                <w:rFonts w:cs="Calibri"/>
              </w:rPr>
              <w:t xml:space="preserve"> </w:t>
            </w:r>
            <w:r w:rsidR="007A1C58" w:rsidRPr="009415D8">
              <w:rPr>
                <w:rFonts w:cs="Calibri"/>
              </w:rPr>
              <w:t xml:space="preserve">with </w:t>
            </w:r>
            <w:r w:rsidRPr="009415D8">
              <w:rPr>
                <w:rFonts w:cs="Calibri"/>
              </w:rPr>
              <w:t xml:space="preserve">the property management fees charged as a percentage of the rent. </w:t>
            </w:r>
          </w:p>
        </w:tc>
      </w:tr>
      <w:tr w:rsidR="000144FF" w:rsidRPr="00CF7E1B" w14:paraId="3DFF345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57"/>
        </w:trPr>
        <w:tc>
          <w:tcPr>
            <w:tcW w:w="735" w:type="pct"/>
            <w:tcBorders>
              <w:left w:val="single" w:sz="2" w:space="0" w:color="auto"/>
              <w:right w:val="single" w:sz="2" w:space="0" w:color="auto"/>
            </w:tcBorders>
          </w:tcPr>
          <w:p w14:paraId="0075C55F" w14:textId="6591BAD3" w:rsidR="000144FF" w:rsidRPr="00985A9F" w:rsidRDefault="00E95471" w:rsidP="000159C3">
            <w:pPr>
              <w:pStyle w:val="TableReference"/>
              <w:tabs>
                <w:tab w:val="left" w:pos="3306"/>
              </w:tabs>
              <w:spacing w:before="240" w:after="240"/>
              <w:rPr>
                <w:rFonts w:cs="Calibri"/>
                <w:b/>
                <w:color w:val="7030A0"/>
                <w:sz w:val="22"/>
                <w:szCs w:val="22"/>
              </w:rPr>
            </w:pPr>
            <w:r w:rsidRPr="00985A9F">
              <w:rPr>
                <w:color w:val="7030A0"/>
              </w:rPr>
              <w:br w:type="page"/>
            </w:r>
            <w:r w:rsidR="000144FF" w:rsidRPr="00985A9F">
              <w:rPr>
                <w:rFonts w:cs="Calibri"/>
                <w:b/>
                <w:color w:val="7030A0"/>
                <w:sz w:val="22"/>
                <w:szCs w:val="22"/>
              </w:rPr>
              <w:br w:type="page"/>
            </w:r>
          </w:p>
        </w:tc>
        <w:tc>
          <w:tcPr>
            <w:tcW w:w="4200" w:type="pct"/>
            <w:gridSpan w:val="3"/>
            <w:tcBorders>
              <w:left w:val="single" w:sz="2" w:space="0" w:color="auto"/>
            </w:tcBorders>
            <w:shd w:val="clear" w:color="auto" w:fill="7030A0"/>
          </w:tcPr>
          <w:p w14:paraId="4121852F" w14:textId="29168CC7" w:rsidR="005C7A5C" w:rsidRPr="00985A9F" w:rsidRDefault="000144FF" w:rsidP="000159C3">
            <w:pPr>
              <w:pStyle w:val="CommentaryTitle"/>
              <w:spacing w:before="240" w:after="240"/>
              <w:rPr>
                <w:rFonts w:cs="Calibri"/>
                <w:bCs w:val="0"/>
                <w:color w:val="FFFFFF" w:themeColor="background1"/>
                <w:sz w:val="28"/>
                <w:szCs w:val="28"/>
              </w:rPr>
            </w:pPr>
            <w:bookmarkStart w:id="395" w:name="_Toc50440341"/>
            <w:bookmarkStart w:id="396" w:name="_Toc163106313"/>
            <w:bookmarkStart w:id="397" w:name="_Toc194977568"/>
            <w:r w:rsidRPr="00985A9F">
              <w:rPr>
                <w:rFonts w:cs="Calibri"/>
                <w:bCs w:val="0"/>
                <w:color w:val="FFFFFF" w:themeColor="background1"/>
                <w:sz w:val="28"/>
                <w:szCs w:val="28"/>
              </w:rPr>
              <w:t xml:space="preserve">Commentary – Note 5: </w:t>
            </w:r>
            <w:bookmarkEnd w:id="395"/>
            <w:bookmarkEnd w:id="396"/>
            <w:bookmarkEnd w:id="397"/>
            <w:r w:rsidR="00E95471" w:rsidRPr="00985A9F">
              <w:rPr>
                <w:rFonts w:cs="Calibri"/>
                <w:bCs w:val="0"/>
                <w:color w:val="FFFFFF" w:themeColor="background1"/>
                <w:sz w:val="28"/>
                <w:szCs w:val="28"/>
              </w:rPr>
              <w:t>Sales of Goods and Services from Contracts with Customers</w:t>
            </w:r>
          </w:p>
        </w:tc>
      </w:tr>
      <w:tr w:rsidR="0032435F" w:rsidRPr="00CF7E1B" w14:paraId="78F8CE2F"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287D1DD" w14:textId="77777777" w:rsidR="0032435F" w:rsidRPr="00985A9F" w:rsidRDefault="0032435F">
            <w:pPr>
              <w:pStyle w:val="TableReference"/>
              <w:tabs>
                <w:tab w:val="left" w:pos="3306"/>
              </w:tabs>
              <w:spacing w:before="60"/>
              <w:rPr>
                <w:rFonts w:cs="Calibri"/>
                <w:color w:val="7030A0"/>
                <w:sz w:val="16"/>
                <w:szCs w:val="16"/>
              </w:rPr>
            </w:pPr>
          </w:p>
        </w:tc>
        <w:tc>
          <w:tcPr>
            <w:tcW w:w="4200" w:type="pct"/>
            <w:gridSpan w:val="3"/>
            <w:tcBorders>
              <w:left w:val="single" w:sz="2" w:space="0" w:color="auto"/>
            </w:tcBorders>
            <w:shd w:val="clear" w:color="auto" w:fill="7030A0"/>
          </w:tcPr>
          <w:p w14:paraId="2F8AC01C" w14:textId="07E84C6F" w:rsidR="0032435F" w:rsidRPr="00985A9F" w:rsidRDefault="0032435F" w:rsidP="00645854">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Revenue recorded in this note is within the scope of AASB 15 </w:t>
            </w:r>
            <w:r w:rsidR="00AC1F6F" w:rsidRPr="00985A9F">
              <w:rPr>
                <w:rFonts w:cs="Calibri"/>
                <w:i/>
                <w:iCs/>
                <w:color w:val="FFFFFF" w:themeColor="background1"/>
                <w:sz w:val="18"/>
                <w:szCs w:val="18"/>
              </w:rPr>
              <w:t>Revenue from C</w:t>
            </w:r>
            <w:r w:rsidRPr="00985A9F">
              <w:rPr>
                <w:rFonts w:cs="Calibri"/>
                <w:i/>
                <w:iCs/>
                <w:color w:val="FFFFFF" w:themeColor="background1"/>
                <w:sz w:val="18"/>
                <w:szCs w:val="18"/>
              </w:rPr>
              <w:t>ontracts with Customers</w:t>
            </w:r>
            <w:r w:rsidRPr="00985A9F">
              <w:rPr>
                <w:rFonts w:cs="Calibri"/>
                <w:color w:val="FFFFFF" w:themeColor="background1"/>
                <w:sz w:val="18"/>
                <w:szCs w:val="18"/>
              </w:rPr>
              <w:t>, i.e. exists within an enforceable contract with sufficiently specific performance obligations.</w:t>
            </w:r>
          </w:p>
        </w:tc>
      </w:tr>
      <w:tr w:rsidR="004D4D37" w:rsidRPr="00CF7E1B" w14:paraId="45C12C44"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F38B070"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AASB 15.114,B87-89</w:t>
            </w:r>
          </w:p>
          <w:p w14:paraId="0CD57C6D"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ACT Disclosure Policy</w:t>
            </w:r>
          </w:p>
          <w:p w14:paraId="3A60C78E"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DD454AD" w14:textId="2EEC9E6F" w:rsidR="004D4D37" w:rsidRPr="00985A9F" w:rsidRDefault="00A35910"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The disaggregation shown in this note is by type of revenue </w:t>
            </w:r>
            <w:r w:rsidR="00A35C64" w:rsidRPr="00985A9F">
              <w:rPr>
                <w:rFonts w:cs="Calibri"/>
                <w:color w:val="FFFFFF" w:themeColor="background1"/>
                <w:sz w:val="18"/>
                <w:szCs w:val="18"/>
              </w:rPr>
              <w:t xml:space="preserve">but this </w:t>
            </w:r>
            <w:r w:rsidR="004D4D37" w:rsidRPr="00985A9F">
              <w:rPr>
                <w:rFonts w:cs="Calibri"/>
                <w:color w:val="FFFFFF" w:themeColor="background1"/>
                <w:sz w:val="18"/>
                <w:szCs w:val="18"/>
              </w:rPr>
              <w:t>breakdown is an example only.</w:t>
            </w:r>
            <w:r w:rsidR="00FA7C77">
              <w:rPr>
                <w:rFonts w:cs="Calibri"/>
                <w:color w:val="FFFFFF" w:themeColor="background1"/>
                <w:sz w:val="18"/>
                <w:szCs w:val="18"/>
              </w:rPr>
              <w:t xml:space="preserve"> </w:t>
            </w:r>
            <w:r w:rsidR="004D4D37" w:rsidRPr="00985A9F">
              <w:rPr>
                <w:rFonts w:cs="Calibri"/>
                <w:color w:val="FFFFFF" w:themeColor="background1"/>
                <w:sz w:val="18"/>
                <w:szCs w:val="18"/>
              </w:rPr>
              <w:t xml:space="preserve">Agencies </w:t>
            </w:r>
            <w:r w:rsidR="006E6744" w:rsidRPr="00985A9F">
              <w:rPr>
                <w:rFonts w:cs="Calibri"/>
                <w:color w:val="FFFFFF" w:themeColor="background1"/>
                <w:sz w:val="18"/>
                <w:szCs w:val="18"/>
              </w:rPr>
              <w:t xml:space="preserve">need to include a breakdown of all material </w:t>
            </w:r>
            <w:r w:rsidR="004D4D37" w:rsidRPr="00985A9F">
              <w:rPr>
                <w:rFonts w:cs="Calibri"/>
                <w:color w:val="FFFFFF" w:themeColor="background1"/>
                <w:sz w:val="18"/>
                <w:szCs w:val="18"/>
              </w:rPr>
              <w:t xml:space="preserve">revenue </w:t>
            </w:r>
            <w:r w:rsidR="006E6744" w:rsidRPr="00985A9F">
              <w:rPr>
                <w:rFonts w:cs="Calibri"/>
                <w:color w:val="FFFFFF" w:themeColor="background1"/>
                <w:sz w:val="18"/>
                <w:szCs w:val="18"/>
              </w:rPr>
              <w:t xml:space="preserve">line items </w:t>
            </w:r>
            <w:r w:rsidR="004D4D37" w:rsidRPr="00985A9F">
              <w:rPr>
                <w:rFonts w:cs="Calibri"/>
                <w:color w:val="FFFFFF" w:themeColor="background1"/>
                <w:sz w:val="18"/>
                <w:szCs w:val="18"/>
              </w:rPr>
              <w:t>from contracts with customers into categories that depict how the nature, amount, timing, and uncertainty of revenue and cash flows are affected by economic factors.</w:t>
            </w:r>
            <w:r w:rsidR="00FA7C77">
              <w:rPr>
                <w:rFonts w:cs="Calibri"/>
                <w:color w:val="FFFFFF" w:themeColor="background1"/>
                <w:sz w:val="18"/>
                <w:szCs w:val="18"/>
              </w:rPr>
              <w:t xml:space="preserve"> </w:t>
            </w:r>
          </w:p>
        </w:tc>
      </w:tr>
      <w:tr w:rsidR="00F777FA" w:rsidRPr="00CF7E1B" w14:paraId="41969C6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840F789"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63A076F"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B3BD63B" w14:textId="61CE6DB1" w:rsidR="00F777FA" w:rsidRPr="00985A9F" w:rsidRDefault="00F777FA"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In addition, agencies should modify the length of the description and material </w:t>
            </w:r>
            <w:r w:rsidR="00A35910" w:rsidRPr="00985A9F">
              <w:rPr>
                <w:rFonts w:cs="Calibri"/>
                <w:color w:val="FFFFFF" w:themeColor="background1"/>
                <w:sz w:val="18"/>
                <w:szCs w:val="18"/>
              </w:rPr>
              <w:t>a</w:t>
            </w:r>
            <w:r w:rsidRPr="00985A9F">
              <w:rPr>
                <w:rFonts w:cs="Calibri"/>
                <w:color w:val="FFFFFF" w:themeColor="background1"/>
                <w:sz w:val="18"/>
                <w:szCs w:val="18"/>
              </w:rPr>
              <w:t xml:space="preserve">ccounting </w:t>
            </w:r>
            <w:r w:rsidR="00A35910" w:rsidRPr="00985A9F">
              <w:rPr>
                <w:rFonts w:cs="Calibri"/>
                <w:color w:val="FFFFFF" w:themeColor="background1"/>
                <w:sz w:val="18"/>
                <w:szCs w:val="18"/>
              </w:rPr>
              <w:t>p</w:t>
            </w:r>
            <w:r w:rsidRPr="00985A9F">
              <w:rPr>
                <w:rFonts w:cs="Calibri"/>
                <w:color w:val="FFFFFF" w:themeColor="background1"/>
                <w:sz w:val="18"/>
                <w:szCs w:val="18"/>
              </w:rPr>
              <w:t>olicies provided for each revenue type based on the materiality and complexity of that revenue type.</w:t>
            </w:r>
            <w:r w:rsidR="00FA7C77">
              <w:rPr>
                <w:rFonts w:cs="Calibri"/>
                <w:color w:val="FFFFFF" w:themeColor="background1"/>
                <w:sz w:val="18"/>
                <w:szCs w:val="18"/>
              </w:rPr>
              <w:t xml:space="preserve"> </w:t>
            </w:r>
            <w:r w:rsidRPr="00985A9F">
              <w:rPr>
                <w:rFonts w:cs="Calibri"/>
                <w:color w:val="FFFFFF" w:themeColor="background1"/>
                <w:sz w:val="18"/>
                <w:szCs w:val="18"/>
              </w:rPr>
              <w:t xml:space="preserve">That is, the more material and complex the revenue type, the </w:t>
            </w:r>
            <w:r w:rsidR="00882962" w:rsidRPr="009415D8">
              <w:rPr>
                <w:rFonts w:cs="Calibri"/>
                <w:color w:val="FF0000"/>
                <w:sz w:val="18"/>
                <w:szCs w:val="18"/>
              </w:rPr>
              <w:t>more detailed</w:t>
            </w:r>
            <w:r w:rsidR="00882962" w:rsidRPr="009415D8">
              <w:rPr>
                <w:rFonts w:cs="Calibri"/>
                <w:strike/>
                <w:color w:val="FF0000"/>
                <w:sz w:val="18"/>
                <w:szCs w:val="18"/>
              </w:rPr>
              <w:t xml:space="preserve"> </w:t>
            </w:r>
            <w:r w:rsidRPr="009415D8">
              <w:rPr>
                <w:rFonts w:cs="Calibri"/>
                <w:strike/>
                <w:color w:val="FF0000"/>
                <w:sz w:val="18"/>
                <w:szCs w:val="18"/>
              </w:rPr>
              <w:t>longer</w:t>
            </w:r>
            <w:r w:rsidRPr="009415D8">
              <w:rPr>
                <w:rFonts w:cs="Calibri"/>
                <w:color w:val="FF0000"/>
                <w:sz w:val="18"/>
                <w:szCs w:val="18"/>
              </w:rPr>
              <w:t xml:space="preserve"> </w:t>
            </w:r>
            <w:r w:rsidRPr="009415D8">
              <w:rPr>
                <w:rFonts w:cs="Calibri"/>
                <w:color w:val="FFFFFF" w:themeColor="background1"/>
                <w:sz w:val="18"/>
                <w:szCs w:val="18"/>
              </w:rPr>
              <w:t>the description and accounting policy should be for that revenue type.</w:t>
            </w:r>
            <w:r w:rsidR="00FA7C77" w:rsidRPr="009415D8">
              <w:rPr>
                <w:rFonts w:cs="Calibri"/>
                <w:color w:val="FFFFFF" w:themeColor="background1"/>
                <w:sz w:val="18"/>
                <w:szCs w:val="18"/>
              </w:rPr>
              <w:t xml:space="preserve"> </w:t>
            </w:r>
            <w:r w:rsidRPr="009415D8">
              <w:rPr>
                <w:rFonts w:cs="Calibri"/>
                <w:color w:val="FFFFFF" w:themeColor="background1"/>
                <w:sz w:val="18"/>
                <w:szCs w:val="18"/>
              </w:rPr>
              <w:t xml:space="preserve">The less material and complex the revenue type, the </w:t>
            </w:r>
            <w:r w:rsidR="00882962" w:rsidRPr="009415D8">
              <w:rPr>
                <w:rFonts w:cs="Calibri"/>
                <w:color w:val="FF0000"/>
                <w:sz w:val="18"/>
                <w:szCs w:val="18"/>
              </w:rPr>
              <w:t xml:space="preserve">less detailed </w:t>
            </w:r>
            <w:r w:rsidRPr="009415D8">
              <w:rPr>
                <w:rFonts w:cs="Calibri"/>
                <w:strike/>
                <w:color w:val="FF0000"/>
                <w:sz w:val="18"/>
                <w:szCs w:val="18"/>
              </w:rPr>
              <w:t>shorter</w:t>
            </w:r>
            <w:r w:rsidRPr="009415D8">
              <w:rPr>
                <w:rFonts w:cs="Calibri"/>
                <w:color w:val="FFFFFF" w:themeColor="background1"/>
                <w:sz w:val="18"/>
                <w:szCs w:val="18"/>
              </w:rPr>
              <w:t xml:space="preserve"> the</w:t>
            </w:r>
            <w:r w:rsidRPr="00985A9F">
              <w:rPr>
                <w:rFonts w:cs="Calibri"/>
                <w:color w:val="FFFFFF" w:themeColor="background1"/>
                <w:sz w:val="18"/>
                <w:szCs w:val="18"/>
              </w:rPr>
              <w:t xml:space="preserve"> description and accounting policy should be for that revenue type.</w:t>
            </w:r>
          </w:p>
        </w:tc>
      </w:tr>
      <w:tr w:rsidR="00F777FA" w:rsidRPr="00CF7E1B" w14:paraId="7722230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698A1004"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2430F61"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61B1A55F" w14:textId="5EA3EDAC" w:rsidR="00F777FA" w:rsidRPr="00985A9F" w:rsidRDefault="00F777FA" w:rsidP="00CC1E25">
            <w:pPr>
              <w:pStyle w:val="CommentaryText"/>
              <w:tabs>
                <w:tab w:val="left" w:pos="3306"/>
              </w:tabs>
              <w:spacing w:after="0"/>
              <w:rPr>
                <w:rFonts w:cs="Calibri"/>
                <w:color w:val="FFFFFF" w:themeColor="background1"/>
                <w:sz w:val="18"/>
                <w:szCs w:val="18"/>
              </w:rPr>
            </w:pPr>
            <w:r w:rsidRPr="00985A9F">
              <w:rPr>
                <w:rFonts w:cs="Calibri"/>
                <w:color w:val="FFFFFF" w:themeColor="background1"/>
                <w:sz w:val="18"/>
                <w:szCs w:val="18"/>
              </w:rPr>
              <w:t>For example, in the Model Financial Statements, a detailed description and accounting policy has been included for Events Revenue 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material and complex.</w:t>
            </w:r>
            <w:r w:rsidR="00FA7C77">
              <w:rPr>
                <w:rFonts w:cs="Calibri"/>
                <w:color w:val="FFFFFF" w:themeColor="background1"/>
                <w:sz w:val="18"/>
                <w:szCs w:val="18"/>
              </w:rPr>
              <w:t xml:space="preserve"> </w:t>
            </w:r>
            <w:r w:rsidRPr="00985A9F">
              <w:rPr>
                <w:rFonts w:cs="Calibri"/>
                <w:color w:val="FFFFFF" w:themeColor="background1"/>
                <w:sz w:val="18"/>
                <w:szCs w:val="18"/>
              </w:rPr>
              <w:t>However, for agencies that have ‘Events Revenue’ that is less material and complex, it is expected that agencies would shorten the wording to be less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On the other hand, in the Model Financial Statements, a less detailed description and accounting policy has been included for </w:t>
            </w:r>
            <w:r w:rsidR="0076487A" w:rsidRPr="00947CD5">
              <w:rPr>
                <w:rFonts w:cs="Calibri"/>
                <w:color w:val="FF0000"/>
                <w:sz w:val="18"/>
                <w:szCs w:val="18"/>
              </w:rPr>
              <w:t>‘</w:t>
            </w:r>
            <w:r w:rsidRPr="00985A9F">
              <w:rPr>
                <w:rFonts w:cs="Calibri"/>
                <w:color w:val="FFFFFF" w:themeColor="background1"/>
                <w:sz w:val="18"/>
                <w:szCs w:val="18"/>
              </w:rPr>
              <w:t>Waste</w:t>
            </w:r>
            <w:r w:rsidR="00A35910" w:rsidRPr="00985A9F">
              <w:rPr>
                <w:rFonts w:cs="Calibri"/>
                <w:color w:val="FFFFFF" w:themeColor="background1"/>
                <w:sz w:val="18"/>
                <w:szCs w:val="18"/>
              </w:rPr>
              <w:t xml:space="preserve"> Fee</w:t>
            </w:r>
            <w:r w:rsidRPr="00985A9F">
              <w:rPr>
                <w:rFonts w:cs="Calibri"/>
                <w:color w:val="FFFFFF" w:themeColor="background1"/>
                <w:sz w:val="18"/>
                <w:szCs w:val="18"/>
              </w:rPr>
              <w:t xml:space="preserve"> Revenue</w:t>
            </w:r>
            <w:r w:rsidR="0076487A" w:rsidRPr="00947CD5">
              <w:rPr>
                <w:rFonts w:cs="Calibri"/>
                <w:color w:val="FF0000"/>
                <w:sz w:val="18"/>
                <w:szCs w:val="18"/>
              </w:rPr>
              <w:t>’</w:t>
            </w:r>
            <w:r w:rsidRPr="0076487A">
              <w:rPr>
                <w:rFonts w:cs="Calibri"/>
                <w:color w:val="FFFFFF" w:themeColor="background1"/>
                <w:sz w:val="18"/>
                <w:szCs w:val="18"/>
              </w:rPr>
              <w:t xml:space="preserve"> </w:t>
            </w:r>
            <w:r w:rsidRPr="00985A9F">
              <w:rPr>
                <w:rFonts w:cs="Calibri"/>
                <w:color w:val="FFFFFF" w:themeColor="background1"/>
                <w:sz w:val="18"/>
                <w:szCs w:val="18"/>
              </w:rPr>
              <w:t>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less material and less complex.</w:t>
            </w:r>
            <w:r w:rsidR="00FA7C77">
              <w:rPr>
                <w:rFonts w:cs="Calibri"/>
                <w:color w:val="FFFFFF" w:themeColor="background1"/>
                <w:sz w:val="18"/>
                <w:szCs w:val="18"/>
              </w:rPr>
              <w:t xml:space="preserve"> </w:t>
            </w:r>
            <w:r w:rsidRPr="00985A9F">
              <w:rPr>
                <w:rFonts w:cs="Calibri"/>
                <w:color w:val="FFFFFF" w:themeColor="background1"/>
                <w:sz w:val="18"/>
                <w:szCs w:val="18"/>
              </w:rPr>
              <w:t xml:space="preserve">However, for agencies that have ‘Waste Revenue’ that is more material and complex, it is expected that agencies would lengthen the wording to be </w:t>
            </w:r>
            <w:r w:rsidR="00A35910" w:rsidRPr="00985A9F">
              <w:rPr>
                <w:rFonts w:cs="Calibri"/>
                <w:color w:val="FFFFFF" w:themeColor="background1"/>
                <w:sz w:val="18"/>
                <w:szCs w:val="18"/>
              </w:rPr>
              <w:t>more</w:t>
            </w:r>
            <w:r w:rsidRPr="00985A9F">
              <w:rPr>
                <w:rFonts w:cs="Calibri"/>
                <w:color w:val="FFFFFF" w:themeColor="background1"/>
                <w:sz w:val="18"/>
                <w:szCs w:val="18"/>
              </w:rPr>
              <w:t xml:space="preserve">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 </w:t>
            </w:r>
          </w:p>
        </w:tc>
      </w:tr>
      <w:tr w:rsidR="004D4D37" w:rsidRPr="00CF7E1B" w14:paraId="24ACE21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D5A97BC"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377BD526" w14:textId="39F221C7" w:rsidR="004D4D37" w:rsidRPr="00CC1E25" w:rsidRDefault="004D4D37" w:rsidP="00CC1E25">
            <w:pPr>
              <w:pStyle w:val="CommentaryText"/>
              <w:tabs>
                <w:tab w:val="left" w:pos="3306"/>
              </w:tabs>
              <w:spacing w:before="120" w:after="40"/>
              <w:rPr>
                <w:rFonts w:cs="Calibri"/>
                <w:b/>
                <w:bCs/>
                <w:color w:val="FFFFFF" w:themeColor="background1"/>
                <w:szCs w:val="20"/>
              </w:rPr>
            </w:pPr>
            <w:r w:rsidRPr="00CC1E25">
              <w:rPr>
                <w:rFonts w:cs="Calibri"/>
                <w:b/>
                <w:bCs/>
                <w:color w:val="FFFFFF" w:themeColor="background1"/>
                <w:szCs w:val="20"/>
              </w:rPr>
              <w:t>Revenue Recognition</w:t>
            </w:r>
          </w:p>
        </w:tc>
      </w:tr>
      <w:tr w:rsidR="000144FF" w:rsidRPr="00CF7E1B" w14:paraId="43AF2AAD"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561"/>
        </w:trPr>
        <w:tc>
          <w:tcPr>
            <w:tcW w:w="735" w:type="pct"/>
            <w:tcBorders>
              <w:left w:val="single" w:sz="2" w:space="0" w:color="auto"/>
              <w:right w:val="single" w:sz="2" w:space="0" w:color="auto"/>
            </w:tcBorders>
          </w:tcPr>
          <w:p w14:paraId="1A19C949" w14:textId="77777777" w:rsidR="00E23704" w:rsidRPr="00985A9F" w:rsidRDefault="00E23704">
            <w:pPr>
              <w:pStyle w:val="TableReference"/>
              <w:tabs>
                <w:tab w:val="left" w:pos="3306"/>
              </w:tabs>
              <w:spacing w:before="60"/>
              <w:rPr>
                <w:rFonts w:cs="Calibri"/>
                <w:color w:val="7030A0"/>
                <w:sz w:val="14"/>
              </w:rPr>
            </w:pPr>
            <w:r w:rsidRPr="00985A9F">
              <w:rPr>
                <w:rFonts w:cs="Calibri"/>
                <w:color w:val="7030A0"/>
                <w:sz w:val="14"/>
              </w:rPr>
              <w:t>AASB 15.9-90</w:t>
            </w:r>
          </w:p>
          <w:p w14:paraId="6A4BA8EB" w14:textId="77777777" w:rsidR="00860738" w:rsidRPr="00985A9F" w:rsidRDefault="00860738">
            <w:pPr>
              <w:pStyle w:val="TableReference"/>
              <w:tabs>
                <w:tab w:val="left" w:pos="3306"/>
              </w:tabs>
              <w:spacing w:before="60"/>
              <w:rPr>
                <w:rFonts w:cs="Calibri"/>
                <w:color w:val="7030A0"/>
                <w:sz w:val="14"/>
              </w:rPr>
            </w:pPr>
          </w:p>
          <w:p w14:paraId="739C306F" w14:textId="77777777" w:rsidR="00860738" w:rsidRPr="00985A9F" w:rsidRDefault="00860738">
            <w:pPr>
              <w:pStyle w:val="TableReference"/>
              <w:tabs>
                <w:tab w:val="left" w:pos="3306"/>
              </w:tabs>
              <w:spacing w:before="60"/>
              <w:rPr>
                <w:rFonts w:cs="Calibri"/>
                <w:color w:val="7030A0"/>
                <w:sz w:val="14"/>
              </w:rPr>
            </w:pPr>
          </w:p>
          <w:p w14:paraId="49FB1633" w14:textId="77777777" w:rsidR="00860738" w:rsidRPr="00985A9F" w:rsidRDefault="00860738">
            <w:pPr>
              <w:pStyle w:val="TableReference"/>
              <w:tabs>
                <w:tab w:val="left" w:pos="3306"/>
              </w:tabs>
              <w:spacing w:before="60"/>
              <w:rPr>
                <w:rFonts w:cs="Calibri"/>
                <w:color w:val="7030A0"/>
                <w:sz w:val="14"/>
              </w:rPr>
            </w:pPr>
          </w:p>
          <w:p w14:paraId="408F7061" w14:textId="77777777" w:rsidR="00860738" w:rsidRPr="00985A9F" w:rsidRDefault="00860738">
            <w:pPr>
              <w:pStyle w:val="TableReference"/>
              <w:tabs>
                <w:tab w:val="left" w:pos="3306"/>
              </w:tabs>
              <w:spacing w:before="60"/>
              <w:rPr>
                <w:rFonts w:cs="Calibri"/>
                <w:color w:val="7030A0"/>
                <w:sz w:val="14"/>
              </w:rPr>
            </w:pPr>
          </w:p>
          <w:p w14:paraId="26C074DD" w14:textId="77777777" w:rsidR="009D712F" w:rsidRPr="00985A9F" w:rsidRDefault="009D712F">
            <w:pPr>
              <w:pStyle w:val="TableReference"/>
              <w:tabs>
                <w:tab w:val="left" w:pos="3306"/>
              </w:tabs>
              <w:spacing w:before="60"/>
              <w:rPr>
                <w:rFonts w:cs="Calibri"/>
                <w:color w:val="7030A0"/>
                <w:sz w:val="14"/>
              </w:rPr>
            </w:pPr>
          </w:p>
          <w:p w14:paraId="5A627FAB" w14:textId="583A5774" w:rsidR="00860738" w:rsidRPr="00985A9F" w:rsidRDefault="00860738">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F9B6034" w14:textId="77777777" w:rsidR="005F7356" w:rsidRPr="00985A9F" w:rsidRDefault="005F7356" w:rsidP="007B013F">
            <w:pPr>
              <w:pStyle w:val="CommentaryText"/>
              <w:tabs>
                <w:tab w:val="left" w:pos="3306"/>
              </w:tabs>
              <w:spacing w:after="40"/>
              <w:rPr>
                <w:rFonts w:cs="Calibri"/>
                <w:color w:val="FFFFFF" w:themeColor="background1"/>
                <w:sz w:val="18"/>
                <w:szCs w:val="18"/>
              </w:rPr>
            </w:pPr>
            <w:r w:rsidRPr="00985A9F">
              <w:rPr>
                <w:rFonts w:cs="Calibri"/>
                <w:color w:val="FFFFFF" w:themeColor="background1"/>
                <w:sz w:val="18"/>
                <w:szCs w:val="18"/>
              </w:rPr>
              <w:t>To determine whether to recognise revenue under AASB 15, agencies must follow a five-step process:</w:t>
            </w:r>
          </w:p>
          <w:p w14:paraId="16C6936B"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 the contract with a customer;</w:t>
            </w:r>
          </w:p>
          <w:p w14:paraId="5B123242" w14:textId="1D7A6B7D"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w:t>
            </w:r>
            <w:r w:rsidR="00FA7C77" w:rsidRPr="00EC2F33">
              <w:rPr>
                <w:rFonts w:cs="Calibri"/>
                <w:color w:val="FFFFFF" w:themeColor="background1"/>
                <w:sz w:val="18"/>
                <w:szCs w:val="18"/>
              </w:rPr>
              <w:t xml:space="preserve"> </w:t>
            </w:r>
            <w:r w:rsidR="005F7356" w:rsidRPr="00EC2F33">
              <w:rPr>
                <w:rFonts w:cs="Calibri"/>
                <w:color w:val="FFFFFF" w:themeColor="background1"/>
                <w:sz w:val="18"/>
                <w:szCs w:val="18"/>
              </w:rPr>
              <w:t>the performance obligations;</w:t>
            </w:r>
          </w:p>
          <w:p w14:paraId="641EE544"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d</w:t>
            </w:r>
            <w:r w:rsidR="005F7356" w:rsidRPr="00EC2F33">
              <w:rPr>
                <w:rFonts w:cs="Calibri"/>
                <w:color w:val="FFFFFF" w:themeColor="background1"/>
                <w:sz w:val="18"/>
                <w:szCs w:val="18"/>
              </w:rPr>
              <w:t>etermining the transaction price;</w:t>
            </w:r>
          </w:p>
          <w:p w14:paraId="104E52FF"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a</w:t>
            </w:r>
            <w:r w:rsidR="005F7356" w:rsidRPr="00EC2F33">
              <w:rPr>
                <w:rFonts w:cs="Calibri"/>
                <w:color w:val="FFFFFF" w:themeColor="background1"/>
                <w:sz w:val="18"/>
                <w:szCs w:val="18"/>
              </w:rPr>
              <w:t>llocating the transaction price to the performance obligations; and</w:t>
            </w:r>
          </w:p>
          <w:p w14:paraId="66180CC7" w14:textId="606D0E98" w:rsidR="005F7356" w:rsidRPr="00985A9F" w:rsidRDefault="003C5217" w:rsidP="00CC1E25">
            <w:pPr>
              <w:numPr>
                <w:ilvl w:val="0"/>
                <w:numId w:val="43"/>
              </w:numPr>
              <w:spacing w:after="60"/>
              <w:ind w:left="601" w:hanging="420"/>
              <w:jc w:val="both"/>
              <w:rPr>
                <w:color w:val="FFFFFF" w:themeColor="background1"/>
                <w:sz w:val="18"/>
                <w:szCs w:val="18"/>
              </w:rPr>
            </w:pPr>
            <w:r w:rsidRPr="00EC2F33">
              <w:rPr>
                <w:rFonts w:cs="Calibri"/>
                <w:color w:val="FFFFFF" w:themeColor="background1"/>
                <w:sz w:val="18"/>
                <w:szCs w:val="18"/>
              </w:rPr>
              <w:t>r</w:t>
            </w:r>
            <w:r w:rsidR="005F7356" w:rsidRPr="00EC2F33">
              <w:rPr>
                <w:rFonts w:cs="Calibri"/>
                <w:color w:val="FFFFFF" w:themeColor="background1"/>
                <w:sz w:val="18"/>
                <w:szCs w:val="18"/>
              </w:rPr>
              <w:t>ecognising revenue when/as performance obligations are satisfied</w:t>
            </w:r>
            <w:r w:rsidR="000723F4" w:rsidRPr="00EC2F33">
              <w:rPr>
                <w:rFonts w:cs="Calibri"/>
                <w:color w:val="FFFFFF" w:themeColor="background1"/>
                <w:sz w:val="18"/>
                <w:szCs w:val="18"/>
              </w:rPr>
              <w:t>.</w:t>
            </w:r>
          </w:p>
        </w:tc>
      </w:tr>
      <w:tr w:rsidR="004D4D37" w:rsidRPr="00CF7E1B" w14:paraId="2610B85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66C7B0C4" w14:textId="77777777" w:rsidR="00F33EF9" w:rsidRPr="00985A9F" w:rsidRDefault="00F33EF9" w:rsidP="00F33EF9">
            <w:pPr>
              <w:pStyle w:val="TableReference"/>
              <w:tabs>
                <w:tab w:val="left" w:pos="3306"/>
              </w:tabs>
              <w:spacing w:before="60"/>
              <w:rPr>
                <w:rFonts w:cs="Calibri"/>
                <w:color w:val="7030A0"/>
                <w:sz w:val="14"/>
              </w:rPr>
            </w:pPr>
            <w:r w:rsidRPr="00985A9F">
              <w:rPr>
                <w:rFonts w:cs="Calibri"/>
                <w:color w:val="7030A0"/>
                <w:sz w:val="14"/>
              </w:rPr>
              <w:t>AASB 15.31-32</w:t>
            </w:r>
          </w:p>
          <w:p w14:paraId="38FFB3D3"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4A26BDC" w14:textId="7AFF4FA7" w:rsidR="004D4D37" w:rsidRPr="00985A9F" w:rsidRDefault="004D4D37" w:rsidP="00CC1E25">
            <w:pPr>
              <w:pStyle w:val="CommentaryText"/>
              <w:tabs>
                <w:tab w:val="left" w:pos="3306"/>
              </w:tabs>
              <w:spacing w:before="40"/>
              <w:rPr>
                <w:rFonts w:cs="Calibri"/>
                <w:color w:val="FFFFFF" w:themeColor="background1"/>
                <w:sz w:val="18"/>
                <w:szCs w:val="18"/>
              </w:rPr>
            </w:pPr>
            <w:r w:rsidRPr="00985A9F">
              <w:rPr>
                <w:rFonts w:cs="Calibri"/>
                <w:color w:val="FFFFFF" w:themeColor="background1"/>
                <w:sz w:val="18"/>
                <w:szCs w:val="18"/>
              </w:rPr>
              <w:t>Revenue is recognised when (or as) an agency satisfies performance obligations by transferring a promised good or service to a customer.</w:t>
            </w:r>
            <w:r w:rsidR="00FA7C77">
              <w:rPr>
                <w:rFonts w:cs="Calibri"/>
                <w:color w:val="FFFFFF" w:themeColor="background1"/>
                <w:sz w:val="18"/>
                <w:szCs w:val="18"/>
              </w:rPr>
              <w:t xml:space="preserve"> </w:t>
            </w:r>
            <w:r w:rsidR="006E6744" w:rsidRPr="00985A9F">
              <w:rPr>
                <w:rFonts w:cs="Calibri"/>
                <w:color w:val="FFFFFF" w:themeColor="background1"/>
                <w:sz w:val="18"/>
                <w:szCs w:val="18"/>
              </w:rPr>
              <w:t>Agencies need to consider the pattern of revenue recognition for each revenue type and f</w:t>
            </w:r>
            <w:r w:rsidRPr="00985A9F">
              <w:rPr>
                <w:rFonts w:cs="Calibri"/>
                <w:color w:val="FFFFFF" w:themeColor="background1"/>
                <w:sz w:val="18"/>
                <w:szCs w:val="18"/>
              </w:rPr>
              <w:t xml:space="preserve">or each performance obligation, </w:t>
            </w:r>
            <w:r w:rsidR="00817034" w:rsidRPr="00985A9F">
              <w:rPr>
                <w:rFonts w:cs="Calibri"/>
                <w:color w:val="FFFFFF" w:themeColor="background1"/>
                <w:sz w:val="18"/>
                <w:szCs w:val="18"/>
              </w:rPr>
              <w:t xml:space="preserve">to determine whether </w:t>
            </w:r>
            <w:r w:rsidRPr="00985A9F">
              <w:rPr>
                <w:rFonts w:cs="Calibri"/>
                <w:color w:val="FFFFFF" w:themeColor="background1"/>
                <w:sz w:val="18"/>
                <w:szCs w:val="18"/>
              </w:rPr>
              <w:t>contract</w:t>
            </w:r>
            <w:r w:rsidR="00817034" w:rsidRPr="00985A9F">
              <w:rPr>
                <w:rFonts w:cs="Calibri"/>
                <w:color w:val="FFFFFF" w:themeColor="background1"/>
                <w:sz w:val="18"/>
                <w:szCs w:val="18"/>
              </w:rPr>
              <w:t xml:space="preserve"> revenue</w:t>
            </w:r>
            <w:r w:rsidRPr="00985A9F">
              <w:rPr>
                <w:rFonts w:cs="Calibri"/>
                <w:color w:val="FFFFFF" w:themeColor="background1"/>
                <w:sz w:val="18"/>
                <w:szCs w:val="18"/>
              </w:rPr>
              <w:t xml:space="preserve"> </w:t>
            </w:r>
            <w:r w:rsidR="00817034" w:rsidRPr="00985A9F">
              <w:rPr>
                <w:rFonts w:cs="Calibri"/>
                <w:color w:val="FFFFFF" w:themeColor="background1"/>
                <w:sz w:val="18"/>
                <w:szCs w:val="18"/>
              </w:rPr>
              <w:t xml:space="preserve">is recognised </w:t>
            </w:r>
            <w:r w:rsidRPr="00985A9F">
              <w:rPr>
                <w:rFonts w:cs="Calibri"/>
                <w:color w:val="FFFFFF" w:themeColor="background1"/>
                <w:sz w:val="18"/>
                <w:szCs w:val="18"/>
              </w:rPr>
              <w:t>over time or at a point in time.</w:t>
            </w:r>
          </w:p>
        </w:tc>
      </w:tr>
      <w:tr w:rsidR="00691ECA" w:rsidRPr="00CF7E1B" w14:paraId="3E46C918"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2C7D4F0" w14:textId="77777777" w:rsidR="00691ECA" w:rsidRPr="00985A9F" w:rsidRDefault="00691ECA" w:rsidP="00691ECA">
            <w:pPr>
              <w:pStyle w:val="TableReference"/>
              <w:tabs>
                <w:tab w:val="left" w:pos="3306"/>
              </w:tabs>
              <w:spacing w:before="60"/>
              <w:rPr>
                <w:color w:val="7030A0"/>
                <w:sz w:val="14"/>
              </w:rPr>
            </w:pPr>
            <w:r w:rsidRPr="00985A9F">
              <w:rPr>
                <w:color w:val="7030A0"/>
                <w:sz w:val="14"/>
              </w:rPr>
              <w:t>AASB 15.31</w:t>
            </w:r>
          </w:p>
          <w:p w14:paraId="5ABFC373" w14:textId="77777777" w:rsidR="00691ECA" w:rsidRPr="00985A9F" w:rsidRDefault="00691ECA" w:rsidP="00691ECA">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09B9F709" w14:textId="1740B915" w:rsidR="00691ECA" w:rsidRPr="00985A9F" w:rsidRDefault="00691ECA" w:rsidP="007B316A">
            <w:pPr>
              <w:pStyle w:val="CommentaryText"/>
              <w:tabs>
                <w:tab w:val="left" w:pos="3306"/>
              </w:tabs>
              <w:rPr>
                <w:rFonts w:cs="Calibri"/>
                <w:color w:val="FFFFFF" w:themeColor="background1"/>
                <w:sz w:val="18"/>
                <w:szCs w:val="18"/>
              </w:rPr>
            </w:pPr>
            <w:r w:rsidRPr="00985A9F">
              <w:rPr>
                <w:color w:val="FFFFFF" w:themeColor="background1"/>
                <w:sz w:val="18"/>
                <w:szCs w:val="18"/>
              </w:rPr>
              <w:t xml:space="preserve">According to AASB 15, revenue shall be recognised when the agency satisfies a performance obligation by transferring a promised good or service (i.e. an asset) to a customer. An asset is transferred when (or as) the customer obtains control of that asset: </w:t>
            </w:r>
          </w:p>
        </w:tc>
      </w:tr>
      <w:tr w:rsidR="00EC2F33" w:rsidRPr="00CF7E1B" w14:paraId="445650A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21BA1112" w14:textId="43D46F4E" w:rsidR="00EC2F33" w:rsidRPr="00985A9F" w:rsidRDefault="00EC2F33" w:rsidP="000159C3">
            <w:pPr>
              <w:pStyle w:val="TableReference"/>
              <w:tabs>
                <w:tab w:val="left" w:pos="3306"/>
              </w:tabs>
              <w:spacing w:before="240" w:after="240"/>
              <w:rPr>
                <w:color w:val="7030A0"/>
              </w:rPr>
            </w:pPr>
            <w:r w:rsidRPr="00985A9F">
              <w:rPr>
                <w:color w:val="7030A0"/>
              </w:rPr>
              <w:br w:type="page"/>
            </w:r>
            <w:r w:rsidRPr="00985A9F">
              <w:rPr>
                <w:rFonts w:cs="Calibri"/>
                <w:b/>
                <w:color w:val="7030A0"/>
                <w:sz w:val="22"/>
                <w:szCs w:val="22"/>
              </w:rPr>
              <w:t>Reference</w:t>
            </w:r>
          </w:p>
        </w:tc>
        <w:tc>
          <w:tcPr>
            <w:tcW w:w="4200" w:type="pct"/>
            <w:gridSpan w:val="3"/>
            <w:tcBorders>
              <w:left w:val="single" w:sz="2" w:space="0" w:color="auto"/>
            </w:tcBorders>
            <w:shd w:val="clear" w:color="auto" w:fill="7030A0"/>
            <w:vAlign w:val="center"/>
          </w:tcPr>
          <w:p w14:paraId="7A2DA66B" w14:textId="6C1A49B9" w:rsidR="00EC2F33" w:rsidRPr="00985A9F" w:rsidRDefault="00EC2F33" w:rsidP="000159C3">
            <w:pPr>
              <w:pStyle w:val="CommentaryTitle"/>
              <w:spacing w:before="240" w:after="24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F22D61" w:rsidRPr="00CF7E1B" w14:paraId="29B4C0FF"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7AD26E7B" w14:textId="77777777" w:rsidR="00F22D61" w:rsidRPr="00985A9F" w:rsidRDefault="00F22D61" w:rsidP="00DA5473">
            <w:pPr>
              <w:pStyle w:val="TableReference"/>
              <w:tabs>
                <w:tab w:val="left" w:pos="3306"/>
              </w:tabs>
              <w:spacing w:before="60"/>
              <w:rPr>
                <w:color w:val="7030A0"/>
                <w:sz w:val="14"/>
              </w:rPr>
            </w:pPr>
            <w:r w:rsidRPr="00985A9F">
              <w:rPr>
                <w:color w:val="7030A0"/>
                <w:sz w:val="14"/>
              </w:rPr>
              <w:t>AASB 15.32</w:t>
            </w:r>
          </w:p>
          <w:p w14:paraId="75E57092" w14:textId="77777777" w:rsidR="00F22D61" w:rsidRPr="00985A9F" w:rsidRDefault="00F22D61" w:rsidP="00DA547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E1C9609" w14:textId="77777777" w:rsidR="00F22D61" w:rsidRPr="00985A9F" w:rsidRDefault="00F22D61" w:rsidP="00795261">
            <w:pPr>
              <w:pStyle w:val="CommentaryText"/>
              <w:numPr>
                <w:ilvl w:val="0"/>
                <w:numId w:val="65"/>
              </w:numPr>
              <w:tabs>
                <w:tab w:val="left" w:pos="3306"/>
              </w:tabs>
              <w:spacing w:after="40"/>
              <w:ind w:left="601" w:hanging="471"/>
              <w:rPr>
                <w:rFonts w:cs="Calibri"/>
                <w:color w:val="FFFFFF" w:themeColor="background1"/>
                <w:sz w:val="18"/>
                <w:szCs w:val="18"/>
              </w:rPr>
            </w:pPr>
            <w:r w:rsidRPr="00985A9F">
              <w:rPr>
                <w:color w:val="FFFFFF" w:themeColor="background1"/>
                <w:sz w:val="18"/>
                <w:szCs w:val="18"/>
              </w:rPr>
              <w:t>for each performance obligation identified in a contract, an agency shall determine at contract inception whether it satisfies the performance obligation over time or satisfies the performance obligation at a point in time;</w:t>
            </w:r>
          </w:p>
        </w:tc>
      </w:tr>
      <w:tr w:rsidR="00691ECA" w:rsidRPr="00CF7E1B" w14:paraId="3283955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B73011C"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15.35</w:t>
            </w:r>
          </w:p>
          <w:p w14:paraId="3199E062"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741CDDD" w14:textId="55FE3DC7"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transfers control of a good or service over time and, therefore, satisfies a performance obligation and recognises revenue over time, if one of the following criteria is met: (a) the customer simultaneously receives and consumes the benefits provided by the agency’s performance as the agency performs; (b) the agency’s performance creates or enhances an asset (for example, work in progress) that the customer controls as the asset is created or enhanced; or (c) the agency’s performance does not create an asset with an alternative use to the agency and the agency has an enforceable right to payment for performance completed to date;</w:t>
            </w:r>
          </w:p>
        </w:tc>
      </w:tr>
      <w:tr w:rsidR="00691ECA" w:rsidRPr="00CF7E1B" w14:paraId="3511CF6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594D463"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15.39</w:t>
            </w:r>
          </w:p>
          <w:p w14:paraId="7817E703"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8064F02" w14:textId="09A48C52"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for each performance obligation satisfied over time, an agency shall recognise revenue over time by measuring the progress towards complete satisfaction of that performance obligation. The objective when measuring progress is to depict an agency’s performance in transferring control of goods or services promised to a customer (i.e. the satisfaction of an agency’s performance obligation);</w:t>
            </w:r>
          </w:p>
        </w:tc>
      </w:tr>
      <w:tr w:rsidR="00691ECA" w:rsidRPr="00CF7E1B" w14:paraId="742A2B0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1E3E87D" w14:textId="08A7DBAB"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15.40</w:t>
            </w:r>
          </w:p>
        </w:tc>
        <w:tc>
          <w:tcPr>
            <w:tcW w:w="4200" w:type="pct"/>
            <w:gridSpan w:val="3"/>
            <w:tcBorders>
              <w:left w:val="single" w:sz="2" w:space="0" w:color="auto"/>
            </w:tcBorders>
            <w:shd w:val="clear" w:color="auto" w:fill="7030A0"/>
          </w:tcPr>
          <w:p w14:paraId="1F5AA9A0" w14:textId="2C039614"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shall apply a single method of measuring progress for each performance obligation satisfied over time and the agency shall apply that method consistently to similar performance obligations and in similar circumstances. At the end of each reporting period, an agency shall remeasure its progress towards complete satisfaction of a performance obligation satisfied over time;</w:t>
            </w:r>
            <w:r w:rsidR="00294AB5" w:rsidRPr="00EC2F33">
              <w:rPr>
                <w:rFonts w:cs="Calibri"/>
                <w:color w:val="FFFFFF" w:themeColor="background1"/>
                <w:sz w:val="18"/>
                <w:szCs w:val="18"/>
              </w:rPr>
              <w:t xml:space="preserve"> and</w:t>
            </w:r>
          </w:p>
        </w:tc>
      </w:tr>
      <w:tr w:rsidR="00691ECA" w:rsidRPr="00CF7E1B" w14:paraId="6442E2B4"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ECD4198" w14:textId="438E93C4"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15.38</w:t>
            </w:r>
          </w:p>
        </w:tc>
        <w:tc>
          <w:tcPr>
            <w:tcW w:w="4200" w:type="pct"/>
            <w:gridSpan w:val="3"/>
            <w:tcBorders>
              <w:left w:val="single" w:sz="2" w:space="0" w:color="auto"/>
            </w:tcBorders>
            <w:shd w:val="clear" w:color="auto" w:fill="7030A0"/>
          </w:tcPr>
          <w:p w14:paraId="735A24CE" w14:textId="390522CF" w:rsidR="001E378C"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if a performance obligation is not satisfied over time, an agency satisfies the performance obligation at a point in time. Revenue should be recognised at the point in time at which a customer obtains control of a promised asset and the agency satisfies a performance obligation.</w:t>
            </w:r>
          </w:p>
        </w:tc>
      </w:tr>
      <w:tr w:rsidR="00985A9F" w:rsidRPr="00CF7E1B" w14:paraId="54EC29B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1E10CB6" w14:textId="77777777" w:rsidR="00985A9F" w:rsidRPr="00985A9F" w:rsidRDefault="00985A9F" w:rsidP="00EC2F33">
            <w:pPr>
              <w:pStyle w:val="TableReference"/>
              <w:tabs>
                <w:tab w:val="left" w:pos="3306"/>
              </w:tabs>
              <w:spacing w:before="60"/>
              <w:rPr>
                <w:rFonts w:cs="Calibri"/>
                <w:color w:val="7030A0"/>
                <w:sz w:val="14"/>
              </w:rPr>
            </w:pPr>
            <w:r w:rsidRPr="00985A9F">
              <w:rPr>
                <w:rFonts w:cs="Calibri"/>
                <w:color w:val="7030A0"/>
                <w:sz w:val="14"/>
              </w:rPr>
              <w:t xml:space="preserve">AASB 15.124(a)&amp;(b) </w:t>
            </w:r>
          </w:p>
          <w:p w14:paraId="774B1F8F" w14:textId="31B1421D" w:rsidR="00985A9F" w:rsidRPr="00EC2F33" w:rsidRDefault="00985A9F" w:rsidP="00EC2F33">
            <w:pPr>
              <w:pStyle w:val="TableReference"/>
              <w:tabs>
                <w:tab w:val="left" w:pos="3306"/>
              </w:tabs>
              <w:spacing w:before="60"/>
              <w:rPr>
                <w:rFonts w:cs="Calibri"/>
                <w:color w:val="7030A0"/>
                <w:sz w:val="14"/>
              </w:rPr>
            </w:pPr>
            <w:r w:rsidRPr="00985A9F">
              <w:rPr>
                <w:rFonts w:cs="Calibri"/>
                <w:color w:val="7030A0"/>
                <w:sz w:val="14"/>
              </w:rPr>
              <w:t>AASB 15.125</w:t>
            </w:r>
          </w:p>
        </w:tc>
        <w:tc>
          <w:tcPr>
            <w:tcW w:w="4200" w:type="pct"/>
            <w:gridSpan w:val="3"/>
            <w:tcBorders>
              <w:left w:val="single" w:sz="2" w:space="0" w:color="auto"/>
            </w:tcBorders>
            <w:shd w:val="clear" w:color="auto" w:fill="7030A0"/>
          </w:tcPr>
          <w:p w14:paraId="1806B8CC" w14:textId="1A57980B" w:rsidR="00985A9F" w:rsidRPr="00985A9F" w:rsidRDefault="00985A9F" w:rsidP="00985A9F">
            <w:pPr>
              <w:pStyle w:val="CommentaryText"/>
              <w:tabs>
                <w:tab w:val="left" w:pos="3306"/>
              </w:tabs>
              <w:rPr>
                <w:color w:val="FFFFFF" w:themeColor="background1"/>
                <w:sz w:val="18"/>
                <w:szCs w:val="18"/>
              </w:rPr>
            </w:pPr>
            <w:r w:rsidRPr="00985A9F">
              <w:rPr>
                <w:rFonts w:cs="Calibri"/>
                <w:color w:val="FFFFFF" w:themeColor="background1"/>
                <w:sz w:val="18"/>
                <w:szCs w:val="18"/>
              </w:rPr>
              <w:t>For performance obligations that the agency satisfies over time it shall disclose the methods used to recognise revenue, for example a description of the output methods or input methods used and how they are applied and an explanation of why the methods used provide a faithful depiction of the transfer of goods or services.</w:t>
            </w:r>
            <w:r w:rsidR="00FA7C77">
              <w:rPr>
                <w:rFonts w:cs="Calibri"/>
                <w:color w:val="FFFFFF" w:themeColor="background1"/>
                <w:sz w:val="18"/>
                <w:szCs w:val="18"/>
              </w:rPr>
              <w:t xml:space="preserve"> </w:t>
            </w:r>
            <w:r w:rsidRPr="00985A9F">
              <w:rPr>
                <w:rFonts w:cs="Calibri"/>
                <w:color w:val="FFFFFF" w:themeColor="background1"/>
                <w:sz w:val="18"/>
                <w:szCs w:val="18"/>
              </w:rPr>
              <w:t>For performance obligations that are satisfied at a point in time, agencies shall disclose the significant judgements made in evaluating when a customer obtains control of the goods or services.</w:t>
            </w:r>
          </w:p>
        </w:tc>
      </w:tr>
      <w:tr w:rsidR="004D4054" w:rsidRPr="006572B8" w14:paraId="485321EA"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5D12E5F7" w14:textId="77777777" w:rsidR="004D4054" w:rsidRPr="00985A9F" w:rsidRDefault="004D4054" w:rsidP="004D4054">
            <w:pPr>
              <w:pStyle w:val="TableReference"/>
              <w:tabs>
                <w:tab w:val="left" w:pos="3306"/>
              </w:tabs>
              <w:spacing w:before="60"/>
              <w:rPr>
                <w:rFonts w:cs="Calibri"/>
                <w:color w:val="7030A0"/>
                <w:sz w:val="14"/>
              </w:rPr>
            </w:pPr>
            <w:bookmarkStart w:id="398" w:name="Interest" w:colFirst="1" w:colLast="1"/>
          </w:p>
        </w:tc>
        <w:tc>
          <w:tcPr>
            <w:tcW w:w="4200" w:type="pct"/>
            <w:gridSpan w:val="3"/>
            <w:tcBorders>
              <w:left w:val="single" w:sz="2" w:space="0" w:color="auto"/>
            </w:tcBorders>
            <w:shd w:val="clear" w:color="auto" w:fill="7030A0"/>
          </w:tcPr>
          <w:p w14:paraId="390D250C" w14:textId="7029F2A2" w:rsidR="004D4054" w:rsidRPr="00795261" w:rsidRDefault="004D4054" w:rsidP="00CC1E25">
            <w:pPr>
              <w:spacing w:after="40"/>
              <w:rPr>
                <w:b/>
                <w:bCs/>
                <w:strike/>
                <w:color w:val="FFFFFF" w:themeColor="background1"/>
                <w:sz w:val="20"/>
                <w:szCs w:val="20"/>
              </w:rPr>
            </w:pPr>
            <w:r w:rsidRPr="00795261">
              <w:rPr>
                <w:rFonts w:cs="Calibri"/>
                <w:b/>
                <w:bCs/>
                <w:color w:val="FFFFFF" w:themeColor="background1"/>
                <w:sz w:val="20"/>
                <w:szCs w:val="20"/>
              </w:rPr>
              <w:t>Significant Accounting Judgement and Estimates – Revenue from Contracts</w:t>
            </w:r>
          </w:p>
        </w:tc>
      </w:tr>
      <w:tr w:rsidR="004D4054" w:rsidRPr="006572B8" w14:paraId="19F62F2A"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EF794EA"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1B189AC5" w14:textId="686F8602" w:rsidR="004D4054" w:rsidRPr="009415D8" w:rsidRDefault="004D4054" w:rsidP="00D2233F">
            <w:pPr>
              <w:spacing w:after="120"/>
              <w:jc w:val="both"/>
              <w:rPr>
                <w:b/>
                <w:bCs/>
                <w:strike/>
                <w:color w:val="FFFFFF" w:themeColor="background1"/>
                <w:sz w:val="18"/>
                <w:szCs w:val="18"/>
              </w:rPr>
            </w:pPr>
            <w:r w:rsidRPr="009415D8">
              <w:rPr>
                <w:rFonts w:cs="Calibri"/>
                <w:color w:val="FFFFFF" w:themeColor="background1"/>
                <w:sz w:val="18"/>
                <w:szCs w:val="18"/>
              </w:rPr>
              <w:t xml:space="preserve">Agencies should ensure that they refer to all </w:t>
            </w:r>
            <w:r w:rsidR="00294AB5" w:rsidRPr="009415D8">
              <w:rPr>
                <w:rFonts w:cs="Calibri"/>
                <w:strike/>
                <w:color w:val="FF0000"/>
                <w:sz w:val="18"/>
                <w:szCs w:val="18"/>
              </w:rPr>
              <w:t>material</w:t>
            </w:r>
            <w:r w:rsidRPr="009415D8">
              <w:rPr>
                <w:rFonts w:cs="Calibri"/>
                <w:color w:val="FFFFFF" w:themeColor="background1"/>
                <w:sz w:val="18"/>
                <w:szCs w:val="18"/>
              </w:rPr>
              <w:t xml:space="preserve"> </w:t>
            </w:r>
            <w:r w:rsidR="00FD2917" w:rsidRPr="009415D8">
              <w:rPr>
                <w:rFonts w:cs="Calibri"/>
                <w:color w:val="FF0000"/>
                <w:sz w:val="18"/>
                <w:szCs w:val="18"/>
              </w:rPr>
              <w:t>significant</w:t>
            </w:r>
            <w:r w:rsidR="00FD2917" w:rsidRPr="009415D8">
              <w:rPr>
                <w:rFonts w:cs="Calibri"/>
                <w:color w:val="FFFFFF" w:themeColor="background1"/>
                <w:sz w:val="18"/>
                <w:szCs w:val="18"/>
              </w:rPr>
              <w:t xml:space="preserve"> </w:t>
            </w:r>
            <w:r w:rsidRPr="009415D8">
              <w:rPr>
                <w:rFonts w:cs="Calibri"/>
                <w:color w:val="FFFFFF" w:themeColor="background1"/>
                <w:sz w:val="18"/>
                <w:szCs w:val="18"/>
              </w:rPr>
              <w:t xml:space="preserve">judgements and estimates made in applying AASB 15 and AASB 1058, including determining the appropriate accounting standard, performance obligations and the pattern of </w:t>
            </w:r>
            <w:r w:rsidR="00882962" w:rsidRPr="009415D8">
              <w:rPr>
                <w:rFonts w:cs="Calibri"/>
                <w:color w:val="FF0000"/>
                <w:sz w:val="18"/>
                <w:szCs w:val="18"/>
              </w:rPr>
              <w:t>when</w:t>
            </w:r>
            <w:r w:rsidR="00882962" w:rsidRPr="009415D8">
              <w:rPr>
                <w:rFonts w:cs="Calibri"/>
                <w:color w:val="FFFFFF" w:themeColor="background1"/>
                <w:sz w:val="18"/>
                <w:szCs w:val="18"/>
              </w:rPr>
              <w:t xml:space="preserve"> </w:t>
            </w:r>
            <w:r w:rsidRPr="009415D8">
              <w:rPr>
                <w:rFonts w:cs="Calibri"/>
                <w:color w:val="FFFFFF" w:themeColor="background1"/>
                <w:sz w:val="18"/>
                <w:szCs w:val="18"/>
              </w:rPr>
              <w:t xml:space="preserve">control </w:t>
            </w:r>
            <w:r w:rsidR="00882962" w:rsidRPr="009415D8">
              <w:rPr>
                <w:rFonts w:cs="Calibri"/>
                <w:color w:val="FF0000"/>
                <w:sz w:val="18"/>
                <w:szCs w:val="18"/>
              </w:rPr>
              <w:t>of goods and services is transferred</w:t>
            </w:r>
            <w:r w:rsidR="00882962" w:rsidRPr="009415D8">
              <w:rPr>
                <w:rFonts w:cs="Calibri"/>
                <w:color w:val="FFFFFF" w:themeColor="background1"/>
                <w:sz w:val="18"/>
                <w:szCs w:val="18"/>
              </w:rPr>
              <w:t xml:space="preserve"> </w:t>
            </w:r>
            <w:r w:rsidRPr="009415D8">
              <w:rPr>
                <w:rFonts w:cs="Calibri"/>
                <w:strike/>
                <w:color w:val="FF0000"/>
                <w:sz w:val="18"/>
                <w:szCs w:val="18"/>
              </w:rPr>
              <w:t>transfer of goods and services</w:t>
            </w:r>
            <w:r w:rsidRPr="009415D8">
              <w:rPr>
                <w:rFonts w:cs="Calibri"/>
                <w:color w:val="FFFFFF" w:themeColor="background1"/>
                <w:sz w:val="18"/>
                <w:szCs w:val="18"/>
              </w:rPr>
              <w:t>.</w:t>
            </w:r>
            <w:r w:rsidR="00FA7C77" w:rsidRPr="009415D8">
              <w:rPr>
                <w:rFonts w:cs="Calibri"/>
                <w:color w:val="FFFFFF" w:themeColor="background1"/>
                <w:sz w:val="18"/>
                <w:szCs w:val="18"/>
              </w:rPr>
              <w:t xml:space="preserve"> </w:t>
            </w:r>
            <w:r w:rsidRPr="009415D8">
              <w:rPr>
                <w:rFonts w:cs="Calibri"/>
                <w:color w:val="FFFFFF" w:themeColor="background1"/>
                <w:sz w:val="18"/>
                <w:szCs w:val="18"/>
              </w:rPr>
              <w:t>These disclosures should be specific to the agency.</w:t>
            </w:r>
          </w:p>
        </w:tc>
      </w:tr>
      <w:tr w:rsidR="004D4054" w:rsidRPr="006572B8" w14:paraId="32FECFF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442845A2" w14:textId="153B892A"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15.123</w:t>
            </w:r>
          </w:p>
        </w:tc>
        <w:tc>
          <w:tcPr>
            <w:tcW w:w="4200" w:type="pct"/>
            <w:gridSpan w:val="3"/>
            <w:tcBorders>
              <w:left w:val="single" w:sz="2" w:space="0" w:color="auto"/>
            </w:tcBorders>
            <w:shd w:val="clear" w:color="auto" w:fill="7030A0"/>
          </w:tcPr>
          <w:p w14:paraId="58042B52" w14:textId="4200AD17" w:rsidR="004D4054" w:rsidRPr="009415D8" w:rsidRDefault="004D4054" w:rsidP="00D2233F">
            <w:pPr>
              <w:spacing w:after="120"/>
              <w:jc w:val="both"/>
              <w:rPr>
                <w:b/>
                <w:bCs/>
                <w:strike/>
                <w:color w:val="FFFFFF" w:themeColor="background1"/>
                <w:sz w:val="18"/>
                <w:szCs w:val="18"/>
              </w:rPr>
            </w:pPr>
            <w:r w:rsidRPr="009415D8">
              <w:rPr>
                <w:rFonts w:cs="Calibri"/>
                <w:strike/>
                <w:color w:val="FF0000"/>
                <w:sz w:val="18"/>
                <w:szCs w:val="18"/>
              </w:rPr>
              <w:t>Key</w:t>
            </w:r>
            <w:r w:rsidRPr="009415D8">
              <w:rPr>
                <w:rFonts w:cs="Calibri"/>
                <w:color w:val="FFFFFF" w:themeColor="background1"/>
                <w:sz w:val="18"/>
                <w:szCs w:val="18"/>
              </w:rPr>
              <w:t xml:space="preserve"> </w:t>
            </w:r>
            <w:r w:rsidR="00FD2917" w:rsidRPr="009415D8">
              <w:rPr>
                <w:rFonts w:cs="Calibri"/>
                <w:color w:val="FF0000"/>
                <w:sz w:val="18"/>
                <w:szCs w:val="18"/>
              </w:rPr>
              <w:t>Significant</w:t>
            </w:r>
            <w:r w:rsidR="00FD2917" w:rsidRPr="009415D8">
              <w:rPr>
                <w:rFonts w:cs="Calibri"/>
                <w:color w:val="FFFFFF" w:themeColor="background1"/>
                <w:sz w:val="18"/>
                <w:szCs w:val="18"/>
              </w:rPr>
              <w:t xml:space="preserve"> </w:t>
            </w:r>
            <w:r w:rsidRPr="009415D8">
              <w:rPr>
                <w:rFonts w:cs="Calibri"/>
                <w:color w:val="FFFFFF" w:themeColor="background1"/>
                <w:sz w:val="18"/>
                <w:szCs w:val="18"/>
              </w:rPr>
              <w:t>judgements include determining the timing of revenue from contracts with customers in terms of timing of satisfaction of performance obligations</w:t>
            </w:r>
            <w:r w:rsidR="00FD2917" w:rsidRPr="009415D8">
              <w:rPr>
                <w:rFonts w:cs="Calibri"/>
                <w:color w:val="FF0000"/>
                <w:sz w:val="18"/>
                <w:szCs w:val="18"/>
              </w:rPr>
              <w:t>,</w:t>
            </w:r>
            <w:r w:rsidRPr="009415D8">
              <w:rPr>
                <w:rFonts w:cs="Calibri"/>
                <w:color w:val="FF0000"/>
                <w:sz w:val="18"/>
                <w:szCs w:val="18"/>
              </w:rPr>
              <w:t xml:space="preserve"> </w:t>
            </w:r>
            <w:r w:rsidRPr="009415D8">
              <w:rPr>
                <w:rFonts w:cs="Calibri"/>
                <w:strike/>
                <w:color w:val="FF0000"/>
                <w:sz w:val="18"/>
                <w:szCs w:val="18"/>
              </w:rPr>
              <w:t>and</w:t>
            </w:r>
            <w:r w:rsidRPr="009415D8">
              <w:rPr>
                <w:rFonts w:cs="Calibri"/>
                <w:color w:val="FF0000"/>
                <w:sz w:val="18"/>
                <w:szCs w:val="18"/>
              </w:rPr>
              <w:t xml:space="preserve"> </w:t>
            </w:r>
            <w:r w:rsidRPr="009415D8">
              <w:rPr>
                <w:rFonts w:cs="Calibri"/>
                <w:color w:val="FFFFFF" w:themeColor="background1"/>
                <w:sz w:val="18"/>
                <w:szCs w:val="18"/>
              </w:rPr>
              <w:t>determining the transaction price and the amounts allocated to performance obligations.</w:t>
            </w:r>
          </w:p>
        </w:tc>
      </w:tr>
      <w:tr w:rsidR="004D4054" w:rsidRPr="006572B8" w14:paraId="4428D60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722"/>
        </w:trPr>
        <w:tc>
          <w:tcPr>
            <w:tcW w:w="735" w:type="pct"/>
            <w:tcBorders>
              <w:left w:val="single" w:sz="2" w:space="0" w:color="auto"/>
              <w:right w:val="single" w:sz="2" w:space="0" w:color="auto"/>
            </w:tcBorders>
          </w:tcPr>
          <w:p w14:paraId="1CE58F99" w14:textId="77777777" w:rsidR="004D4054" w:rsidRPr="00985A9F" w:rsidRDefault="004D4054" w:rsidP="004D4054">
            <w:pPr>
              <w:pStyle w:val="TableReference"/>
              <w:tabs>
                <w:tab w:val="left" w:pos="3306"/>
              </w:tabs>
              <w:spacing w:before="60"/>
              <w:rPr>
                <w:rFonts w:cs="Calibri"/>
                <w:color w:val="7030A0"/>
                <w:sz w:val="14"/>
              </w:rPr>
            </w:pPr>
          </w:p>
          <w:p w14:paraId="2DC291E3" w14:textId="77777777" w:rsidR="004D4054" w:rsidRPr="00985A9F" w:rsidRDefault="004D4054" w:rsidP="004D4054">
            <w:pPr>
              <w:pStyle w:val="TableReference"/>
              <w:tabs>
                <w:tab w:val="left" w:pos="3306"/>
              </w:tabs>
              <w:spacing w:before="60"/>
              <w:rPr>
                <w:rFonts w:cs="Calibri"/>
                <w:color w:val="7030A0"/>
                <w:sz w:val="14"/>
              </w:rPr>
            </w:pPr>
          </w:p>
          <w:p w14:paraId="391CE68C"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4C567B8" w14:textId="36BA40F8" w:rsidR="004D4054" w:rsidRPr="00985A9F" w:rsidRDefault="004D4054" w:rsidP="00CC1E25">
            <w:pPr>
              <w:jc w:val="both"/>
              <w:rPr>
                <w:b/>
                <w:bCs/>
                <w:strike/>
                <w:color w:val="FFFFFF" w:themeColor="background1"/>
                <w:sz w:val="18"/>
                <w:szCs w:val="18"/>
              </w:rPr>
            </w:pPr>
            <w:r w:rsidRPr="00985A9F">
              <w:rPr>
                <w:rFonts w:cs="Calibri"/>
                <w:color w:val="FFFFFF" w:themeColor="background1"/>
                <w:sz w:val="18"/>
                <w:szCs w:val="18"/>
              </w:rPr>
              <w:t xml:space="preserve">Estimation uncertainty includes determining the transaction price (estimating variable consideration, adjusting the consideration for the time value of money and measuring non-cash considerations), allocating the transaction price, including estimating </w:t>
            </w:r>
            <w:r w:rsidR="003850B2" w:rsidRPr="00985A9F">
              <w:rPr>
                <w:rFonts w:cs="Calibri"/>
                <w:color w:val="FFFFFF" w:themeColor="background1"/>
                <w:sz w:val="18"/>
                <w:szCs w:val="18"/>
              </w:rPr>
              <w:t>standalone</w:t>
            </w:r>
            <w:r w:rsidRPr="00985A9F">
              <w:rPr>
                <w:rFonts w:cs="Calibri"/>
                <w:color w:val="FFFFFF" w:themeColor="background1"/>
                <w:sz w:val="18"/>
                <w:szCs w:val="18"/>
              </w:rPr>
              <w:t xml:space="preserve"> selling prices and allocating discounts and variable consideration.</w:t>
            </w:r>
          </w:p>
        </w:tc>
      </w:tr>
      <w:tr w:rsidR="004D4054" w:rsidRPr="006572B8" w14:paraId="46CD3F62"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90B16EA" w14:textId="77777777" w:rsidR="004D4054" w:rsidRPr="00985A9F" w:rsidRDefault="004D4054" w:rsidP="00CC1E25">
            <w:pPr>
              <w:pStyle w:val="TableReference"/>
              <w:tabs>
                <w:tab w:val="left" w:pos="3306"/>
              </w:tabs>
              <w:rPr>
                <w:rFonts w:cs="Calibri"/>
                <w:color w:val="7030A0"/>
                <w:sz w:val="14"/>
              </w:rPr>
            </w:pPr>
            <w:r w:rsidRPr="00985A9F">
              <w:rPr>
                <w:rFonts w:cs="Calibri"/>
                <w:color w:val="7030A0"/>
                <w:sz w:val="14"/>
              </w:rPr>
              <w:t>AASB 15.114</w:t>
            </w:r>
          </w:p>
          <w:p w14:paraId="597AD224" w14:textId="77777777" w:rsidR="004D4054" w:rsidRPr="00985A9F" w:rsidRDefault="004D4054" w:rsidP="00CC1E25">
            <w:pPr>
              <w:pStyle w:val="TableReference"/>
              <w:tabs>
                <w:tab w:val="left" w:pos="3306"/>
              </w:tabs>
              <w:rPr>
                <w:rFonts w:cs="Calibri"/>
                <w:color w:val="7030A0"/>
                <w:sz w:val="14"/>
              </w:rPr>
            </w:pPr>
            <w:r w:rsidRPr="00985A9F">
              <w:rPr>
                <w:rFonts w:cs="Calibri"/>
                <w:color w:val="7030A0"/>
                <w:sz w:val="14"/>
              </w:rPr>
              <w:t xml:space="preserve">AASB 1058.24 </w:t>
            </w:r>
          </w:p>
        </w:tc>
        <w:tc>
          <w:tcPr>
            <w:tcW w:w="4200" w:type="pct"/>
            <w:gridSpan w:val="3"/>
            <w:tcBorders>
              <w:left w:val="single" w:sz="2" w:space="0" w:color="auto"/>
            </w:tcBorders>
            <w:shd w:val="clear" w:color="auto" w:fill="7030A0"/>
            <w:vAlign w:val="bottom"/>
          </w:tcPr>
          <w:p w14:paraId="57DCA5B0" w14:textId="3D416608" w:rsidR="004D4054" w:rsidRPr="00795261" w:rsidRDefault="004D4054" w:rsidP="00CC1E25">
            <w:pPr>
              <w:spacing w:after="40"/>
              <w:rPr>
                <w:b/>
                <w:bCs/>
                <w:color w:val="FFFFFF" w:themeColor="background1"/>
                <w:sz w:val="20"/>
                <w:szCs w:val="20"/>
              </w:rPr>
            </w:pPr>
            <w:r w:rsidRPr="00795261">
              <w:rPr>
                <w:b/>
                <w:bCs/>
                <w:color w:val="FFFFFF" w:themeColor="background1"/>
                <w:sz w:val="20"/>
                <w:szCs w:val="20"/>
              </w:rPr>
              <w:t>Revenue Categories</w:t>
            </w:r>
          </w:p>
        </w:tc>
      </w:tr>
      <w:tr w:rsidR="004D4054" w:rsidRPr="006572B8" w14:paraId="2299B14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66"/>
        </w:trPr>
        <w:tc>
          <w:tcPr>
            <w:tcW w:w="735" w:type="pct"/>
            <w:tcBorders>
              <w:left w:val="single" w:sz="2" w:space="0" w:color="auto"/>
              <w:right w:val="single" w:sz="2" w:space="0" w:color="auto"/>
            </w:tcBorders>
          </w:tcPr>
          <w:p w14:paraId="4B056266"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89CCE0E" w14:textId="77777777" w:rsidR="004D4054" w:rsidRPr="00985A9F" w:rsidRDefault="004D4054" w:rsidP="00795261">
            <w:pPr>
              <w:spacing w:after="40"/>
              <w:jc w:val="both"/>
              <w:rPr>
                <w:color w:val="FFFFFF" w:themeColor="background1"/>
                <w:sz w:val="18"/>
                <w:szCs w:val="18"/>
              </w:rPr>
            </w:pPr>
            <w:r w:rsidRPr="00985A9F">
              <w:rPr>
                <w:color w:val="FFFFFF" w:themeColor="background1"/>
                <w:sz w:val="18"/>
                <w:szCs w:val="18"/>
              </w:rPr>
              <w:t>Revenue from contracts with customers under AASB 15 must be disclosed separately from other sources of revenue.</w:t>
            </w:r>
          </w:p>
        </w:tc>
      </w:tr>
      <w:tr w:rsidR="004D4054" w:rsidRPr="006572B8" w14:paraId="0989FAE8"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7D31A6A2"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15.113(a)</w:t>
            </w:r>
          </w:p>
          <w:p w14:paraId="74D29281" w14:textId="77777777" w:rsidR="004D4054" w:rsidRPr="00985A9F" w:rsidRDefault="004D4054" w:rsidP="004D4054">
            <w:pPr>
              <w:pStyle w:val="TableReference"/>
              <w:tabs>
                <w:tab w:val="left" w:pos="3306"/>
              </w:tabs>
              <w:spacing w:before="60"/>
              <w:rPr>
                <w:rFonts w:cs="Calibri"/>
                <w:color w:val="7030A0"/>
                <w:sz w:val="14"/>
              </w:rPr>
            </w:pPr>
          </w:p>
          <w:p w14:paraId="4D4B503B"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15.B89</w:t>
            </w:r>
          </w:p>
          <w:p w14:paraId="5D51BA87"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36DB7BE" w14:textId="77777777" w:rsidR="004D4054" w:rsidRPr="00985A9F" w:rsidRDefault="004D4054" w:rsidP="00795261">
            <w:pPr>
              <w:spacing w:after="40"/>
              <w:jc w:val="both"/>
              <w:rPr>
                <w:color w:val="FFFFFF" w:themeColor="background1"/>
                <w:sz w:val="18"/>
                <w:szCs w:val="18"/>
              </w:rPr>
            </w:pPr>
            <w:r w:rsidRPr="00985A9F">
              <w:rPr>
                <w:color w:val="FFFFFF" w:themeColor="background1"/>
                <w:sz w:val="18"/>
                <w:szCs w:val="18"/>
              </w:rPr>
              <w:t xml:space="preserve">Examples of categories of revenue within the scope of AASB 15 that might be appropriate include, but are not limited to, all of the following: </w:t>
            </w:r>
          </w:p>
          <w:p w14:paraId="432EC0AD"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type of good or service (for example, major product lines); </w:t>
            </w:r>
          </w:p>
          <w:p w14:paraId="73A27FB7"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geographical region (for example, country or region);</w:t>
            </w:r>
          </w:p>
          <w:p w14:paraId="3C0A8BA3"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market or type of customer (for example, government and non-government customers); </w:t>
            </w:r>
          </w:p>
          <w:p w14:paraId="7B9BC54D"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type of contract (for example, fixed-price and time-and-materials contracts); </w:t>
            </w:r>
          </w:p>
          <w:p w14:paraId="21ED1A0E"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contract duration (for example, short-term and long-term contracts);</w:t>
            </w:r>
          </w:p>
          <w:p w14:paraId="200D40F6"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timing of transfer of goods or services (for example, revenue from goods or services transferred to customers at a point in time and revenue from goods or services transferred over time); and</w:t>
            </w:r>
          </w:p>
          <w:p w14:paraId="0DA83871" w14:textId="5B56C8C7" w:rsidR="004D4054" w:rsidRPr="00985A9F" w:rsidRDefault="004D4054" w:rsidP="00795261">
            <w:pPr>
              <w:numPr>
                <w:ilvl w:val="0"/>
                <w:numId w:val="43"/>
              </w:numPr>
              <w:spacing w:after="40"/>
              <w:ind w:left="604" w:hanging="421"/>
              <w:jc w:val="both"/>
              <w:rPr>
                <w:color w:val="FFFFFF" w:themeColor="background1"/>
                <w:sz w:val="18"/>
                <w:szCs w:val="18"/>
              </w:rPr>
            </w:pPr>
            <w:r w:rsidRPr="00EC2F33">
              <w:rPr>
                <w:rFonts w:cs="Calibri"/>
                <w:color w:val="FFFFFF" w:themeColor="background1"/>
                <w:sz w:val="18"/>
                <w:szCs w:val="18"/>
              </w:rPr>
              <w:t>sales channels (for example, goods sold directly to consumers and goods sold through intermediaries).</w:t>
            </w:r>
          </w:p>
        </w:tc>
      </w:tr>
      <w:tr w:rsidR="004D4054" w:rsidRPr="006572B8" w14:paraId="4ACA8EA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0D6B3E12" w14:textId="77777777" w:rsidR="004D4054" w:rsidRPr="00985A9F" w:rsidRDefault="004D4054" w:rsidP="004D4054">
            <w:pPr>
              <w:pStyle w:val="TableReference"/>
              <w:tabs>
                <w:tab w:val="left" w:pos="3306"/>
              </w:tabs>
              <w:spacing w:before="60"/>
              <w:rPr>
                <w:rFonts w:cs="Calibri"/>
                <w:color w:val="7030A0"/>
                <w:sz w:val="14"/>
              </w:rPr>
            </w:pPr>
          </w:p>
          <w:p w14:paraId="6638FD52" w14:textId="77777777" w:rsidR="004D4054" w:rsidRPr="00985A9F" w:rsidRDefault="004D4054" w:rsidP="004D4054">
            <w:pPr>
              <w:pStyle w:val="TableReference"/>
              <w:tabs>
                <w:tab w:val="left" w:pos="3306"/>
              </w:tabs>
              <w:spacing w:before="60"/>
              <w:rPr>
                <w:rFonts w:cs="Calibri"/>
                <w:color w:val="7030A0"/>
                <w:sz w:val="14"/>
              </w:rPr>
            </w:pPr>
          </w:p>
          <w:p w14:paraId="335B2940" w14:textId="77777777" w:rsidR="004D4054" w:rsidRPr="00985A9F" w:rsidRDefault="004D4054" w:rsidP="004D4054">
            <w:pPr>
              <w:pStyle w:val="TableReference"/>
              <w:tabs>
                <w:tab w:val="left" w:pos="3306"/>
              </w:tabs>
              <w:spacing w:before="60"/>
              <w:rPr>
                <w:rFonts w:cs="Calibri"/>
                <w:color w:val="7030A0"/>
                <w:sz w:val="14"/>
              </w:rPr>
            </w:pPr>
          </w:p>
          <w:p w14:paraId="4B4A5CC2" w14:textId="77777777" w:rsidR="004D4054" w:rsidRPr="00985A9F" w:rsidRDefault="004D4054" w:rsidP="004D4054">
            <w:pPr>
              <w:pStyle w:val="TableReference"/>
              <w:tabs>
                <w:tab w:val="left" w:pos="3306"/>
              </w:tabs>
              <w:spacing w:before="60"/>
              <w:rPr>
                <w:rFonts w:cs="Calibri"/>
                <w:color w:val="7030A0"/>
                <w:sz w:val="14"/>
              </w:rPr>
            </w:pPr>
          </w:p>
          <w:p w14:paraId="7ED55684"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1058.26</w:t>
            </w:r>
          </w:p>
        </w:tc>
        <w:tc>
          <w:tcPr>
            <w:tcW w:w="4200" w:type="pct"/>
            <w:gridSpan w:val="3"/>
            <w:tcBorders>
              <w:left w:val="single" w:sz="2" w:space="0" w:color="auto"/>
            </w:tcBorders>
            <w:shd w:val="clear" w:color="auto" w:fill="7030A0"/>
          </w:tcPr>
          <w:p w14:paraId="5964F033" w14:textId="77777777" w:rsidR="004D4054" w:rsidRPr="00985A9F" w:rsidRDefault="004D4054" w:rsidP="00795261">
            <w:pPr>
              <w:spacing w:after="40"/>
              <w:jc w:val="both"/>
              <w:rPr>
                <w:color w:val="FFFFFF" w:themeColor="background1"/>
                <w:sz w:val="18"/>
                <w:szCs w:val="18"/>
              </w:rPr>
            </w:pPr>
            <w:r w:rsidRPr="00985A9F">
              <w:rPr>
                <w:color w:val="FFFFFF" w:themeColor="background1"/>
                <w:sz w:val="18"/>
                <w:szCs w:val="18"/>
              </w:rPr>
              <w:t xml:space="preserve">Examples of categories of income within the scope of AASB 1058 that might be appropriate include, but are not limited to, all of the following: </w:t>
            </w:r>
          </w:p>
          <w:p w14:paraId="105FC440"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grants, bequests and donations of cash, other financial assets and goods; </w:t>
            </w:r>
          </w:p>
          <w:p w14:paraId="44F8780F"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recognised volunteer services; and</w:t>
            </w:r>
          </w:p>
          <w:p w14:paraId="0B22A2C1" w14:textId="05B04785" w:rsidR="004D4054" w:rsidRPr="00985A9F" w:rsidRDefault="004D4054" w:rsidP="00795261">
            <w:pPr>
              <w:numPr>
                <w:ilvl w:val="0"/>
                <w:numId w:val="43"/>
              </w:numPr>
              <w:spacing w:after="40"/>
              <w:ind w:left="604" w:hanging="421"/>
              <w:jc w:val="both"/>
              <w:rPr>
                <w:color w:val="FFFFFF" w:themeColor="background1"/>
                <w:sz w:val="18"/>
                <w:szCs w:val="18"/>
              </w:rPr>
            </w:pPr>
            <w:r w:rsidRPr="00EC2F33">
              <w:rPr>
                <w:rFonts w:cs="Calibri"/>
                <w:color w:val="FFFFFF" w:themeColor="background1"/>
                <w:sz w:val="18"/>
                <w:szCs w:val="18"/>
              </w:rPr>
              <w:t>appropriation income.</w:t>
            </w:r>
            <w:r w:rsidR="00FA7C77">
              <w:rPr>
                <w:color w:val="FFFFFF" w:themeColor="background1"/>
                <w:sz w:val="18"/>
                <w:szCs w:val="18"/>
              </w:rPr>
              <w:t xml:space="preserve"> </w:t>
            </w:r>
          </w:p>
        </w:tc>
      </w:tr>
      <w:tr w:rsidR="00EC2F33" w:rsidRPr="00CF7E1B" w14:paraId="633C54E6"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25E2CFDB" w14:textId="77777777" w:rsidR="00EC2F33" w:rsidRPr="00985A9F" w:rsidRDefault="00EC2F33" w:rsidP="000159C3">
            <w:pPr>
              <w:pStyle w:val="TableReference"/>
              <w:tabs>
                <w:tab w:val="left" w:pos="3306"/>
              </w:tabs>
              <w:spacing w:before="240" w:after="240"/>
              <w:rPr>
                <w:color w:val="7030A0"/>
              </w:rPr>
            </w:pPr>
            <w:r w:rsidRPr="00985A9F">
              <w:rPr>
                <w:color w:val="7030A0"/>
              </w:rPr>
              <w:br w:type="page"/>
            </w:r>
            <w:r w:rsidRPr="00985A9F">
              <w:rPr>
                <w:rFonts w:cs="Calibri"/>
                <w:b/>
                <w:color w:val="7030A0"/>
                <w:sz w:val="22"/>
                <w:szCs w:val="22"/>
              </w:rPr>
              <w:t>Reference</w:t>
            </w:r>
          </w:p>
        </w:tc>
        <w:tc>
          <w:tcPr>
            <w:tcW w:w="4200" w:type="pct"/>
            <w:gridSpan w:val="3"/>
            <w:tcBorders>
              <w:left w:val="single" w:sz="2" w:space="0" w:color="auto"/>
            </w:tcBorders>
            <w:shd w:val="clear" w:color="auto" w:fill="7030A0"/>
            <w:vAlign w:val="center"/>
          </w:tcPr>
          <w:p w14:paraId="094CD2B6" w14:textId="77777777" w:rsidR="00EC2F33" w:rsidRPr="00985A9F" w:rsidRDefault="00EC2F33" w:rsidP="000159C3">
            <w:pPr>
              <w:pStyle w:val="CommentaryTitle"/>
              <w:spacing w:before="240" w:after="24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5B43FE" w:rsidRPr="006572B8" w14:paraId="597ACAF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698931A9" w14:textId="7051FA38" w:rsidR="005B43FE" w:rsidRPr="00985A9F" w:rsidRDefault="005B43FE"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F430745" w14:textId="3F9F8986" w:rsidR="005B43FE" w:rsidRPr="00795261" w:rsidRDefault="005B43FE" w:rsidP="00CC1E25">
            <w:pPr>
              <w:spacing w:after="40"/>
              <w:rPr>
                <w:b/>
                <w:bCs/>
                <w:color w:val="FFFFFF" w:themeColor="background1"/>
                <w:sz w:val="20"/>
                <w:szCs w:val="20"/>
              </w:rPr>
            </w:pPr>
            <w:r w:rsidRPr="00795261">
              <w:rPr>
                <w:b/>
                <w:bCs/>
                <w:color w:val="FFFFFF" w:themeColor="background1"/>
                <w:sz w:val="20"/>
                <w:szCs w:val="20"/>
              </w:rPr>
              <w:t>User Charge Revenue</w:t>
            </w:r>
          </w:p>
        </w:tc>
      </w:tr>
      <w:tr w:rsidR="005B43FE" w:rsidRPr="006572B8" w14:paraId="7CC6194C"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727"/>
        </w:trPr>
        <w:tc>
          <w:tcPr>
            <w:tcW w:w="735" w:type="pct"/>
            <w:tcBorders>
              <w:left w:val="single" w:sz="2" w:space="0" w:color="auto"/>
              <w:right w:val="single" w:sz="2" w:space="0" w:color="auto"/>
            </w:tcBorders>
          </w:tcPr>
          <w:p w14:paraId="2B6AFE30" w14:textId="77777777" w:rsidR="005B43FE" w:rsidRPr="00985A9F" w:rsidRDefault="005B43FE"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vAlign w:val="bottom"/>
          </w:tcPr>
          <w:p w14:paraId="42A63182" w14:textId="1EA3C388" w:rsidR="005B43FE" w:rsidRPr="00985A9F" w:rsidRDefault="005B43FE" w:rsidP="00D46129">
            <w:pPr>
              <w:spacing w:after="40"/>
              <w:rPr>
                <w:color w:val="FFFFFF" w:themeColor="background1"/>
                <w:sz w:val="18"/>
                <w:szCs w:val="18"/>
              </w:rPr>
            </w:pPr>
            <w:r w:rsidRPr="00985A9F">
              <w:rPr>
                <w:color w:val="FFFFFF" w:themeColor="background1"/>
                <w:sz w:val="18"/>
                <w:szCs w:val="18"/>
              </w:rPr>
              <w:t xml:space="preserve">User charge revenue relates to the sale of goods or provision of services to other entities (including ACT Government </w:t>
            </w:r>
            <w:r w:rsidR="003850B2" w:rsidRPr="00985A9F">
              <w:rPr>
                <w:color w:val="FFFFFF" w:themeColor="background1"/>
                <w:sz w:val="18"/>
                <w:szCs w:val="18"/>
              </w:rPr>
              <w:t>Entities</w:t>
            </w:r>
            <w:r w:rsidRPr="00985A9F">
              <w:rPr>
                <w:color w:val="FFFFFF" w:themeColor="background1"/>
                <w:sz w:val="18"/>
                <w:szCs w:val="18"/>
              </w:rPr>
              <w:t>). User charges are generated by consumer demand, are market related and have a commercial nature</w:t>
            </w:r>
            <w:r w:rsidR="00CF7634" w:rsidRPr="00985A9F">
              <w:rPr>
                <w:color w:val="FFFFFF" w:themeColor="background1"/>
                <w:sz w:val="18"/>
                <w:szCs w:val="18"/>
              </w:rPr>
              <w:t>.</w:t>
            </w:r>
            <w:r w:rsidRPr="00985A9F">
              <w:rPr>
                <w:color w:val="FFFFFF" w:themeColor="background1"/>
                <w:sz w:val="18"/>
                <w:szCs w:val="18"/>
              </w:rPr>
              <w:t xml:space="preserve"> </w:t>
            </w:r>
            <w:r w:rsidR="00CF7634" w:rsidRPr="00985A9F">
              <w:rPr>
                <w:color w:val="FFFFFF" w:themeColor="background1"/>
                <w:sz w:val="18"/>
                <w:szCs w:val="18"/>
              </w:rPr>
              <w:t>T</w:t>
            </w:r>
            <w:r w:rsidRPr="00985A9F">
              <w:rPr>
                <w:color w:val="FFFFFF" w:themeColor="background1"/>
                <w:sz w:val="18"/>
                <w:szCs w:val="18"/>
              </w:rPr>
              <w:t>hey are non</w:t>
            </w:r>
            <w:r w:rsidR="00CF7634" w:rsidRPr="00985A9F">
              <w:rPr>
                <w:color w:val="FFFFFF" w:themeColor="background1"/>
                <w:sz w:val="18"/>
                <w:szCs w:val="18"/>
              </w:rPr>
              <w:t>-</w:t>
            </w:r>
            <w:r w:rsidRPr="00985A9F">
              <w:rPr>
                <w:color w:val="FFFFFF" w:themeColor="background1"/>
                <w:sz w:val="18"/>
                <w:szCs w:val="18"/>
              </w:rPr>
              <w:t xml:space="preserve">regulatory in nature, in that they are not a policy instrument that government uses to regulate </w:t>
            </w:r>
            <w:r w:rsidR="00CF7634" w:rsidRPr="00985A9F">
              <w:rPr>
                <w:color w:val="FFFFFF" w:themeColor="background1"/>
                <w:sz w:val="18"/>
                <w:szCs w:val="18"/>
              </w:rPr>
              <w:t xml:space="preserve">an </w:t>
            </w:r>
            <w:r w:rsidRPr="00985A9F">
              <w:rPr>
                <w:color w:val="FFFFFF" w:themeColor="background1"/>
                <w:sz w:val="18"/>
                <w:szCs w:val="18"/>
              </w:rPr>
              <w:t>activity</w:t>
            </w:r>
            <w:r w:rsidR="00CF7634" w:rsidRPr="00985A9F">
              <w:rPr>
                <w:color w:val="FFFFFF" w:themeColor="background1"/>
                <w:sz w:val="18"/>
                <w:szCs w:val="18"/>
              </w:rPr>
              <w:t>.</w:t>
            </w:r>
          </w:p>
        </w:tc>
      </w:tr>
      <w:tr w:rsidR="004D4054" w:rsidRPr="006572B8" w14:paraId="00A78322"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40C464A"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35F12F12" w14:textId="4648BC93" w:rsidR="004D4054" w:rsidRPr="00795261" w:rsidRDefault="004D4054" w:rsidP="00CC1E25">
            <w:pPr>
              <w:spacing w:before="120" w:after="40"/>
              <w:rPr>
                <w:b/>
                <w:bCs/>
                <w:color w:val="FFFFFF" w:themeColor="background1"/>
                <w:sz w:val="20"/>
                <w:szCs w:val="20"/>
              </w:rPr>
            </w:pPr>
            <w:r w:rsidRPr="00795261">
              <w:rPr>
                <w:b/>
                <w:bCs/>
                <w:color w:val="FFFFFF" w:themeColor="background1"/>
                <w:sz w:val="20"/>
                <w:szCs w:val="20"/>
              </w:rPr>
              <w:t>Transaction Price</w:t>
            </w:r>
          </w:p>
        </w:tc>
      </w:tr>
      <w:tr w:rsidR="004D4054" w:rsidRPr="006572B8" w14:paraId="41E11F1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36"/>
        </w:trPr>
        <w:tc>
          <w:tcPr>
            <w:tcW w:w="735" w:type="pct"/>
            <w:tcBorders>
              <w:left w:val="single" w:sz="2" w:space="0" w:color="auto"/>
              <w:right w:val="single" w:sz="2" w:space="0" w:color="auto"/>
            </w:tcBorders>
          </w:tcPr>
          <w:p w14:paraId="21260202"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15.46</w:t>
            </w:r>
          </w:p>
          <w:p w14:paraId="4A27BA5A"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15.48</w:t>
            </w:r>
          </w:p>
          <w:p w14:paraId="7124EE4D" w14:textId="77777777" w:rsidR="004D4054" w:rsidRPr="00985A9F" w:rsidRDefault="004D4054" w:rsidP="004D4054">
            <w:pPr>
              <w:pStyle w:val="TableReference"/>
              <w:tabs>
                <w:tab w:val="left" w:pos="3306"/>
              </w:tabs>
              <w:spacing w:before="60"/>
              <w:rPr>
                <w:color w:val="7030A0"/>
                <w:sz w:val="14"/>
              </w:rPr>
            </w:pPr>
          </w:p>
        </w:tc>
        <w:tc>
          <w:tcPr>
            <w:tcW w:w="4200" w:type="pct"/>
            <w:gridSpan w:val="3"/>
            <w:tcBorders>
              <w:left w:val="single" w:sz="2" w:space="0" w:color="auto"/>
            </w:tcBorders>
            <w:shd w:val="clear" w:color="auto" w:fill="7030A0"/>
          </w:tcPr>
          <w:p w14:paraId="30D6F77C" w14:textId="0C69EA3F" w:rsidR="004D4054" w:rsidRPr="00985A9F" w:rsidRDefault="004D4054" w:rsidP="004D4054">
            <w:pPr>
              <w:pStyle w:val="CommentaryText"/>
              <w:tabs>
                <w:tab w:val="left" w:pos="3306"/>
              </w:tabs>
              <w:rPr>
                <w:rFonts w:cs="Calibri"/>
                <w:color w:val="FFFFFF" w:themeColor="background1"/>
                <w:sz w:val="18"/>
                <w:szCs w:val="18"/>
              </w:rPr>
            </w:pPr>
            <w:r w:rsidRPr="00985A9F">
              <w:rPr>
                <w:color w:val="FFFFFF" w:themeColor="background1"/>
                <w:sz w:val="18"/>
                <w:szCs w:val="18"/>
              </w:rPr>
              <w:t>AASB 15 requires recognition of revenue at the amount of the transaction price that is allocated to the performance obligation(s). When determining the transaction price, an agency shall consider the effects of variable consideration, constraining estimates of variable consideration, the existence of a significant financing component in the contract, non</w:t>
            </w:r>
            <w:r w:rsidR="00795261">
              <w:rPr>
                <w:color w:val="FFFFFF" w:themeColor="background1"/>
                <w:sz w:val="18"/>
                <w:szCs w:val="18"/>
              </w:rPr>
              <w:noBreakHyphen/>
            </w:r>
            <w:r w:rsidRPr="00985A9F">
              <w:rPr>
                <w:color w:val="FFFFFF" w:themeColor="background1"/>
                <w:sz w:val="18"/>
                <w:szCs w:val="18"/>
              </w:rPr>
              <w:t>cash consideration, and consideration payable to a customer.</w:t>
            </w:r>
          </w:p>
        </w:tc>
      </w:tr>
      <w:tr w:rsidR="001E378C" w:rsidRPr="006572B8" w14:paraId="19EB29AE"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36"/>
        </w:trPr>
        <w:tc>
          <w:tcPr>
            <w:tcW w:w="735" w:type="pct"/>
            <w:tcBorders>
              <w:left w:val="single" w:sz="2" w:space="0" w:color="auto"/>
              <w:right w:val="single" w:sz="2" w:space="0" w:color="auto"/>
            </w:tcBorders>
          </w:tcPr>
          <w:p w14:paraId="2C391D0B" w14:textId="77777777" w:rsidR="001E378C" w:rsidRPr="00985A9F" w:rsidRDefault="001E378C" w:rsidP="004D4054">
            <w:pPr>
              <w:pStyle w:val="TableReference"/>
              <w:tabs>
                <w:tab w:val="left" w:pos="3306"/>
              </w:tabs>
              <w:spacing w:before="60"/>
              <w:rPr>
                <w:color w:val="7030A0"/>
                <w:sz w:val="14"/>
              </w:rPr>
            </w:pPr>
          </w:p>
        </w:tc>
        <w:tc>
          <w:tcPr>
            <w:tcW w:w="4200" w:type="pct"/>
            <w:gridSpan w:val="3"/>
            <w:tcBorders>
              <w:left w:val="single" w:sz="2" w:space="0" w:color="auto"/>
            </w:tcBorders>
            <w:shd w:val="clear" w:color="auto" w:fill="7030A0"/>
          </w:tcPr>
          <w:p w14:paraId="261BF74E" w14:textId="188364A7" w:rsidR="001E378C" w:rsidRPr="00985A9F" w:rsidRDefault="001E378C" w:rsidP="004D4054">
            <w:pPr>
              <w:pStyle w:val="CommentaryText"/>
              <w:tabs>
                <w:tab w:val="left" w:pos="3306"/>
              </w:tabs>
              <w:rPr>
                <w:color w:val="FFFFFF" w:themeColor="background1"/>
                <w:sz w:val="18"/>
                <w:szCs w:val="18"/>
              </w:rPr>
            </w:pPr>
            <w:r w:rsidRPr="00985A9F">
              <w:rPr>
                <w:color w:val="FFFFFF" w:themeColor="background1"/>
                <w:sz w:val="18"/>
                <w:szCs w:val="18"/>
              </w:rPr>
              <w:t xml:space="preserve">For further information </w:t>
            </w:r>
            <w:r w:rsidRPr="009415D8">
              <w:rPr>
                <w:strike/>
                <w:color w:val="FF0000"/>
                <w:sz w:val="18"/>
                <w:szCs w:val="18"/>
              </w:rPr>
              <w:t>please</w:t>
            </w:r>
            <w:r w:rsidRPr="009415D8">
              <w:rPr>
                <w:color w:val="FFFFFF" w:themeColor="background1"/>
                <w:sz w:val="18"/>
                <w:szCs w:val="18"/>
              </w:rPr>
              <w:t xml:space="preserve"> see ACT Guidance Paper: Revenue Disclosures </w:t>
            </w:r>
            <w:r w:rsidR="003850B2" w:rsidRPr="009415D8">
              <w:rPr>
                <w:color w:val="FFFFFF" w:themeColor="background1"/>
                <w:sz w:val="18"/>
                <w:szCs w:val="18"/>
              </w:rPr>
              <w:t>and</w:t>
            </w:r>
            <w:r w:rsidRPr="009415D8">
              <w:rPr>
                <w:color w:val="FFFFFF" w:themeColor="background1"/>
                <w:sz w:val="18"/>
                <w:szCs w:val="18"/>
              </w:rPr>
              <w:t xml:space="preserve"> Workpapers</w:t>
            </w:r>
            <w:r w:rsidR="00D46129" w:rsidRPr="009415D8">
              <w:rPr>
                <w:color w:val="FFFFFF" w:themeColor="background1"/>
                <w:sz w:val="18"/>
                <w:szCs w:val="18"/>
              </w:rPr>
              <w:t xml:space="preserve"> </w:t>
            </w:r>
            <w:r w:rsidR="00D46129" w:rsidRPr="009415D8">
              <w:rPr>
                <w:color w:val="FF0000"/>
                <w:sz w:val="18"/>
                <w:szCs w:val="18"/>
              </w:rPr>
              <w:t xml:space="preserve">on the ACT Accounting website at </w:t>
            </w:r>
            <w:hyperlink r:id="rId38" w:history="1">
              <w:r w:rsidR="00D46129" w:rsidRPr="009415D8">
                <w:rPr>
                  <w:rStyle w:val="Hyperlink"/>
                  <w:rFonts w:cs="Calibri"/>
                  <w:color w:val="FF0000"/>
                  <w:sz w:val="18"/>
                  <w:szCs w:val="18"/>
                  <w:u w:val="none"/>
                </w:rPr>
                <w:t>https://treasury.act.gov.au/accounting</w:t>
              </w:r>
            </w:hyperlink>
            <w:r w:rsidRPr="00985A9F">
              <w:rPr>
                <w:color w:val="FFFFFF" w:themeColor="background1"/>
                <w:sz w:val="18"/>
                <w:szCs w:val="18"/>
              </w:rPr>
              <w:t>.</w:t>
            </w:r>
          </w:p>
        </w:tc>
      </w:tr>
      <w:tr w:rsidR="00FD30EB" w:rsidRPr="00CF7E1B" w14:paraId="03637591" w14:textId="77777777" w:rsidTr="004E4105">
        <w:trPr>
          <w:gridAfter w:val="1"/>
          <w:wAfter w:w="65" w:type="pct"/>
        </w:trPr>
        <w:tc>
          <w:tcPr>
            <w:tcW w:w="735" w:type="pct"/>
            <w:tcBorders>
              <w:top w:val="nil"/>
              <w:left w:val="single" w:sz="2" w:space="0" w:color="auto"/>
              <w:bottom w:val="nil"/>
              <w:right w:val="single" w:sz="2" w:space="0" w:color="auto"/>
            </w:tcBorders>
          </w:tcPr>
          <w:p w14:paraId="036DB92B" w14:textId="44265464" w:rsidR="00FD30EB" w:rsidRPr="00AC0200" w:rsidRDefault="00FD30EB" w:rsidP="00DA5048">
            <w:pPr>
              <w:pStyle w:val="TableReference"/>
              <w:tabs>
                <w:tab w:val="left" w:pos="3306"/>
              </w:tabs>
              <w:spacing w:before="240" w:after="240"/>
              <w:rPr>
                <w:rFonts w:cs="Calibri"/>
                <w:b/>
                <w:color w:val="7030A0"/>
                <w:sz w:val="22"/>
                <w:szCs w:val="22"/>
              </w:rPr>
            </w:pPr>
            <w:r w:rsidRPr="00AC0200">
              <w:rPr>
                <w:rFonts w:cs="Calibri"/>
                <w:b/>
                <w:color w:val="7030A0"/>
                <w:sz w:val="20"/>
                <w:szCs w:val="20"/>
              </w:rPr>
              <w:br w:type="page"/>
            </w:r>
          </w:p>
        </w:tc>
        <w:tc>
          <w:tcPr>
            <w:tcW w:w="4200" w:type="pct"/>
            <w:gridSpan w:val="3"/>
            <w:tcBorders>
              <w:top w:val="nil"/>
              <w:left w:val="single" w:sz="2" w:space="0" w:color="auto"/>
              <w:bottom w:val="nil"/>
              <w:right w:val="nil"/>
            </w:tcBorders>
          </w:tcPr>
          <w:p w14:paraId="236561BE" w14:textId="63DB0C9D" w:rsidR="00FD30EB" w:rsidRPr="00D9571B" w:rsidRDefault="00FD30EB" w:rsidP="009315BB">
            <w:pPr>
              <w:pStyle w:val="Heading1"/>
              <w:numPr>
                <w:ilvl w:val="0"/>
                <w:numId w:val="0"/>
              </w:numPr>
              <w:ind w:left="1134" w:hanging="1134"/>
            </w:pPr>
            <w:bookmarkStart w:id="399" w:name="_Toc132743785"/>
            <w:r w:rsidRPr="00AC0200">
              <w:t>Note 6.</w:t>
            </w:r>
            <w:r w:rsidR="00FA7C77">
              <w:t xml:space="preserve"> </w:t>
            </w:r>
            <w:r w:rsidRPr="00AC0200">
              <w:t xml:space="preserve"> Grants and contributions</w:t>
            </w:r>
            <w:r w:rsidR="000E31C1" w:rsidRPr="00AC0200">
              <w:rPr>
                <w:rFonts w:cs="Calibri"/>
              </w:rPr>
              <w:t xml:space="preserve"> Revenue</w:t>
            </w:r>
            <w:bookmarkEnd w:id="399"/>
          </w:p>
        </w:tc>
      </w:tr>
      <w:tr w:rsidR="0029443E" w:rsidRPr="00CF7E1B" w14:paraId="38467109" w14:textId="77777777" w:rsidTr="004E4105">
        <w:trPr>
          <w:gridAfter w:val="1"/>
          <w:wAfter w:w="65" w:type="pct"/>
        </w:trPr>
        <w:tc>
          <w:tcPr>
            <w:tcW w:w="735" w:type="pct"/>
            <w:tcBorders>
              <w:top w:val="nil"/>
              <w:left w:val="single" w:sz="2" w:space="0" w:color="auto"/>
              <w:bottom w:val="nil"/>
              <w:right w:val="single" w:sz="2" w:space="0" w:color="auto"/>
            </w:tcBorders>
          </w:tcPr>
          <w:p w14:paraId="5FE31DA8"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6F5A1A1" w14:textId="58C45BD3" w:rsidR="0029443E" w:rsidRPr="00AC0200" w:rsidRDefault="00325221" w:rsidP="00407912">
            <w:pPr>
              <w:jc w:val="both"/>
              <w:rPr>
                <w:rFonts w:cs="Calibri"/>
                <w:b/>
                <w:bCs/>
                <w:sz w:val="18"/>
                <w:szCs w:val="18"/>
              </w:rPr>
            </w:pPr>
            <w:r w:rsidRPr="00AC0200">
              <w:rPr>
                <w:rFonts w:cs="Calibri"/>
                <w:b/>
                <w:bCs/>
                <w:sz w:val="18"/>
                <w:szCs w:val="18"/>
              </w:rPr>
              <w:t xml:space="preserve">Description and Material Accounting Policies relating to </w:t>
            </w:r>
            <w:bookmarkStart w:id="400" w:name="_Hlk96499529"/>
            <w:r w:rsidRPr="00AC0200">
              <w:rPr>
                <w:rFonts w:cs="Calibri"/>
                <w:b/>
                <w:bCs/>
                <w:sz w:val="18"/>
                <w:szCs w:val="18"/>
              </w:rPr>
              <w:t>Grants and Contributions</w:t>
            </w:r>
            <w:r w:rsidRPr="00AC0200">
              <w:rPr>
                <w:rFonts w:cs="Calibri"/>
              </w:rPr>
              <w:t xml:space="preserve"> </w:t>
            </w:r>
            <w:r w:rsidRPr="00AC0200">
              <w:rPr>
                <w:rFonts w:cs="Calibri"/>
                <w:b/>
                <w:bCs/>
                <w:sz w:val="18"/>
                <w:szCs w:val="18"/>
              </w:rPr>
              <w:t>Revenue</w:t>
            </w:r>
            <w:bookmarkEnd w:id="400"/>
          </w:p>
        </w:tc>
      </w:tr>
      <w:tr w:rsidR="00325221" w:rsidRPr="00CF7E1B" w14:paraId="69FBC7CD" w14:textId="77777777" w:rsidTr="004E4105">
        <w:trPr>
          <w:gridAfter w:val="1"/>
          <w:wAfter w:w="65" w:type="pct"/>
        </w:trPr>
        <w:tc>
          <w:tcPr>
            <w:tcW w:w="735" w:type="pct"/>
            <w:tcBorders>
              <w:top w:val="nil"/>
              <w:left w:val="single" w:sz="2" w:space="0" w:color="auto"/>
              <w:bottom w:val="nil"/>
              <w:right w:val="single" w:sz="2" w:space="0" w:color="auto"/>
            </w:tcBorders>
          </w:tcPr>
          <w:p w14:paraId="67346FB2" w14:textId="77777777" w:rsidR="00325221" w:rsidRPr="00AC0200" w:rsidRDefault="003252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61ADF779" w14:textId="345CC965" w:rsidR="00325221" w:rsidRPr="00AC0200" w:rsidRDefault="00325221" w:rsidP="00797D9C">
            <w:pPr>
              <w:spacing w:before="60"/>
              <w:jc w:val="both"/>
              <w:rPr>
                <w:rFonts w:cs="Calibri"/>
                <w:b/>
                <w:bCs/>
                <w:sz w:val="18"/>
                <w:szCs w:val="18"/>
              </w:rPr>
            </w:pPr>
            <w:r w:rsidRPr="00B73007">
              <w:rPr>
                <w:rFonts w:cs="Calibri"/>
                <w:i/>
                <w:iCs/>
                <w:sz w:val="18"/>
                <w:szCs w:val="18"/>
              </w:rPr>
              <w:t>General Grant</w:t>
            </w:r>
            <w:r w:rsidR="00275474" w:rsidRPr="00B73007">
              <w:rPr>
                <w:rFonts w:cs="Calibri"/>
                <w:i/>
                <w:iCs/>
                <w:color w:val="FF0000"/>
                <w:sz w:val="18"/>
                <w:szCs w:val="18"/>
              </w:rPr>
              <w:t>s</w:t>
            </w:r>
            <w:r w:rsidRPr="00B73007">
              <w:rPr>
                <w:rFonts w:cs="Calibri"/>
                <w:i/>
                <w:iCs/>
                <w:sz w:val="18"/>
                <w:szCs w:val="18"/>
              </w:rPr>
              <w:t xml:space="preserve"> and</w:t>
            </w:r>
            <w:r w:rsidRPr="00AC0200">
              <w:rPr>
                <w:rFonts w:cs="Calibri"/>
                <w:i/>
                <w:iCs/>
                <w:sz w:val="18"/>
                <w:szCs w:val="18"/>
              </w:rPr>
              <w:t xml:space="preserve"> Contributions Accounting Policy</w:t>
            </w:r>
          </w:p>
        </w:tc>
      </w:tr>
      <w:tr w:rsidR="00325221" w:rsidRPr="00CF7E1B" w14:paraId="165AEA64" w14:textId="77777777" w:rsidTr="004E4105">
        <w:trPr>
          <w:gridAfter w:val="1"/>
          <w:wAfter w:w="65" w:type="pct"/>
        </w:trPr>
        <w:tc>
          <w:tcPr>
            <w:tcW w:w="735" w:type="pct"/>
            <w:tcBorders>
              <w:top w:val="nil"/>
              <w:left w:val="single" w:sz="2" w:space="0" w:color="auto"/>
              <w:bottom w:val="nil"/>
              <w:right w:val="single" w:sz="2" w:space="0" w:color="auto"/>
            </w:tcBorders>
          </w:tcPr>
          <w:p w14:paraId="5496E288" w14:textId="7285F7A3" w:rsidR="00325221" w:rsidRPr="00AC0200" w:rsidRDefault="00325221" w:rsidP="009A0F2F">
            <w:pPr>
              <w:pStyle w:val="TableReference"/>
              <w:tabs>
                <w:tab w:val="left" w:pos="3306"/>
              </w:tabs>
              <w:rPr>
                <w:color w:val="7030A0"/>
                <w:sz w:val="14"/>
              </w:rPr>
            </w:pPr>
            <w:r w:rsidRPr="00AC0200">
              <w:rPr>
                <w:color w:val="7030A0"/>
                <w:sz w:val="14"/>
              </w:rPr>
              <w:t>AASB 1058.9</w:t>
            </w:r>
            <w:r w:rsidR="00FA7C77">
              <w:rPr>
                <w:color w:val="7030A0"/>
                <w:sz w:val="14"/>
              </w:rPr>
              <w:t xml:space="preserve"> </w:t>
            </w:r>
          </w:p>
          <w:p w14:paraId="3B7D4D61" w14:textId="77777777" w:rsidR="00325221" w:rsidRPr="00AC0200" w:rsidRDefault="00325221" w:rsidP="009A0F2F">
            <w:pPr>
              <w:pStyle w:val="TableReference"/>
              <w:tabs>
                <w:tab w:val="left" w:pos="3306"/>
              </w:tabs>
              <w:rPr>
                <w:color w:val="7030A0"/>
                <w:sz w:val="14"/>
              </w:rPr>
            </w:pPr>
            <w:r w:rsidRPr="00AC0200">
              <w:rPr>
                <w:color w:val="7030A0"/>
                <w:sz w:val="14"/>
              </w:rPr>
              <w:t xml:space="preserve">AASB 1058.18 </w:t>
            </w:r>
          </w:p>
          <w:p w14:paraId="510E5123" w14:textId="77777777" w:rsidR="00325221" w:rsidRPr="00AC0200" w:rsidRDefault="00325221" w:rsidP="009A0F2F">
            <w:pPr>
              <w:pStyle w:val="TableReference"/>
              <w:tabs>
                <w:tab w:val="left" w:pos="3306"/>
              </w:tabs>
              <w:rPr>
                <w:rFonts w:cs="Calibri"/>
                <w:b/>
                <w:color w:val="7030A0"/>
                <w:sz w:val="14"/>
              </w:rPr>
            </w:pPr>
            <w:r w:rsidRPr="00AC0200">
              <w:rPr>
                <w:color w:val="7030A0"/>
                <w:sz w:val="14"/>
              </w:rPr>
              <w:t>AASB 1058.15</w:t>
            </w:r>
          </w:p>
        </w:tc>
        <w:tc>
          <w:tcPr>
            <w:tcW w:w="4200" w:type="pct"/>
            <w:gridSpan w:val="3"/>
            <w:tcBorders>
              <w:top w:val="nil"/>
              <w:left w:val="single" w:sz="2" w:space="0" w:color="auto"/>
              <w:bottom w:val="nil"/>
              <w:right w:val="nil"/>
            </w:tcBorders>
          </w:tcPr>
          <w:p w14:paraId="46D9388A" w14:textId="50B9A2FD" w:rsidR="00325221" w:rsidRPr="00AC0200" w:rsidRDefault="00325221" w:rsidP="00797D9C">
            <w:pPr>
              <w:spacing w:after="80"/>
              <w:jc w:val="both"/>
              <w:rPr>
                <w:sz w:val="18"/>
                <w:szCs w:val="18"/>
              </w:rPr>
            </w:pPr>
            <w:r w:rsidRPr="00AC0200">
              <w:rPr>
                <w:sz w:val="18"/>
                <w:szCs w:val="18"/>
              </w:rPr>
              <w:t>Where ‘</w:t>
            </w:r>
            <w:r w:rsidR="00AA0B6B" w:rsidRPr="00AC0200">
              <w:rPr>
                <w:sz w:val="18"/>
                <w:szCs w:val="18"/>
              </w:rPr>
              <w:t>Burley Griffin</w:t>
            </w:r>
            <w:r w:rsidRPr="00AC0200">
              <w:rPr>
                <w:sz w:val="18"/>
                <w:szCs w:val="18"/>
              </w:rPr>
              <w:t xml:space="preserve"> Agency’ receives an asset or services for significantly less than fair value then the transaction is in the scope of AASB 1058 and revenue is recognised on receipt of the asset/services.</w:t>
            </w:r>
            <w:r w:rsidR="004D4054" w:rsidRPr="00AC0200">
              <w:rPr>
                <w:sz w:val="18"/>
                <w:szCs w:val="18"/>
              </w:rPr>
              <w:t xml:space="preserve"> The related expense </w:t>
            </w:r>
            <w:r w:rsidR="00D15C54">
              <w:rPr>
                <w:sz w:val="18"/>
                <w:szCs w:val="18"/>
              </w:rPr>
              <w:t xml:space="preserve">and/or asset </w:t>
            </w:r>
            <w:r w:rsidR="004D4054" w:rsidRPr="00AC0200">
              <w:rPr>
                <w:sz w:val="18"/>
                <w:szCs w:val="18"/>
              </w:rPr>
              <w:t>is recognised in the line item to which it relates, when the services are received.</w:t>
            </w:r>
          </w:p>
        </w:tc>
      </w:tr>
      <w:tr w:rsidR="00325221" w:rsidRPr="00CF7E1B" w14:paraId="12F753A1" w14:textId="77777777" w:rsidTr="004E4105">
        <w:trPr>
          <w:gridAfter w:val="1"/>
          <w:wAfter w:w="65" w:type="pct"/>
        </w:trPr>
        <w:tc>
          <w:tcPr>
            <w:tcW w:w="735" w:type="pct"/>
            <w:tcBorders>
              <w:top w:val="nil"/>
              <w:left w:val="single" w:sz="2" w:space="0" w:color="auto"/>
              <w:bottom w:val="nil"/>
              <w:right w:val="single" w:sz="2" w:space="0" w:color="auto"/>
            </w:tcBorders>
          </w:tcPr>
          <w:p w14:paraId="35B64B9D" w14:textId="77777777" w:rsidR="00325221" w:rsidRPr="00AC0200" w:rsidRDefault="003252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340F4F1C" w14:textId="18A656D2" w:rsidR="00325221" w:rsidRPr="00AC0200" w:rsidRDefault="00325221" w:rsidP="00797D9C">
            <w:pPr>
              <w:spacing w:after="80"/>
              <w:jc w:val="both"/>
              <w:rPr>
                <w:sz w:val="18"/>
                <w:szCs w:val="18"/>
              </w:rPr>
            </w:pPr>
            <w:r w:rsidRPr="00AC0200">
              <w:rPr>
                <w:sz w:val="18"/>
                <w:szCs w:val="18"/>
              </w:rPr>
              <w:t xml:space="preserve">Goods and services received free of charge from ACT Government agencies are recognised as resources received free of charge, whereas goods and services received free of charge from entities external to the ACT Government are recognised as </w:t>
            </w:r>
            <w:r w:rsidR="00B22759" w:rsidRPr="00AC0200">
              <w:rPr>
                <w:sz w:val="18"/>
                <w:szCs w:val="18"/>
              </w:rPr>
              <w:t xml:space="preserve">grants, </w:t>
            </w:r>
            <w:r w:rsidRPr="00AC0200">
              <w:rPr>
                <w:sz w:val="18"/>
                <w:szCs w:val="18"/>
              </w:rPr>
              <w:t xml:space="preserve">donations or contributions. </w:t>
            </w:r>
          </w:p>
          <w:p w14:paraId="2D7F9802" w14:textId="61F3F643" w:rsidR="00325221" w:rsidRPr="00AC0200" w:rsidRDefault="009D2B65" w:rsidP="00325221">
            <w:pPr>
              <w:jc w:val="both"/>
              <w:rPr>
                <w:rFonts w:cs="Calibri"/>
                <w:b/>
                <w:bCs/>
                <w:sz w:val="18"/>
                <w:szCs w:val="18"/>
              </w:rPr>
            </w:pPr>
            <w:r>
              <w:rPr>
                <w:sz w:val="18"/>
                <w:szCs w:val="18"/>
              </w:rPr>
              <w:t>All t</w:t>
            </w:r>
            <w:r w:rsidR="00DA5048">
              <w:rPr>
                <w:sz w:val="18"/>
                <w:szCs w:val="18"/>
              </w:rPr>
              <w:t>he s</w:t>
            </w:r>
            <w:r w:rsidR="00325221" w:rsidRPr="00AC0200">
              <w:rPr>
                <w:sz w:val="18"/>
                <w:szCs w:val="18"/>
              </w:rPr>
              <w:t xml:space="preserve">ervices </w:t>
            </w:r>
            <w:r w:rsidR="00DA5048">
              <w:rPr>
                <w:sz w:val="18"/>
                <w:szCs w:val="18"/>
              </w:rPr>
              <w:t xml:space="preserve">listed below are recognised </w:t>
            </w:r>
            <w:r w:rsidR="00DA5048" w:rsidRPr="00AC0200">
              <w:rPr>
                <w:sz w:val="18"/>
                <w:szCs w:val="18"/>
              </w:rPr>
              <w:t>in the Operating Statement</w:t>
            </w:r>
            <w:r w:rsidR="00DA5048">
              <w:rPr>
                <w:sz w:val="18"/>
                <w:szCs w:val="18"/>
              </w:rPr>
              <w:t xml:space="preserve"> </w:t>
            </w:r>
            <w:r w:rsidR="00D15C54">
              <w:rPr>
                <w:sz w:val="18"/>
                <w:szCs w:val="18"/>
              </w:rPr>
              <w:t xml:space="preserve">or Balance Sheet as appropriate </w:t>
            </w:r>
            <w:r w:rsidR="00DA5048">
              <w:rPr>
                <w:sz w:val="18"/>
                <w:szCs w:val="18"/>
              </w:rPr>
              <w:t xml:space="preserve">as services </w:t>
            </w:r>
            <w:r w:rsidR="00325221" w:rsidRPr="00AC0200">
              <w:rPr>
                <w:sz w:val="18"/>
                <w:szCs w:val="18"/>
              </w:rPr>
              <w:t xml:space="preserve">received free of charge </w:t>
            </w:r>
            <w:r w:rsidR="00DA5048">
              <w:rPr>
                <w:sz w:val="18"/>
                <w:szCs w:val="18"/>
              </w:rPr>
              <w:t xml:space="preserve">given they are </w:t>
            </w:r>
            <w:r w:rsidR="00325221" w:rsidRPr="00AC0200">
              <w:rPr>
                <w:sz w:val="18"/>
                <w:szCs w:val="18"/>
              </w:rPr>
              <w:t>reliably measur</w:t>
            </w:r>
            <w:r w:rsidR="00C71650">
              <w:rPr>
                <w:sz w:val="18"/>
                <w:szCs w:val="18"/>
              </w:rPr>
              <w:t>able</w:t>
            </w:r>
            <w:r w:rsidR="00325221" w:rsidRPr="00AC0200">
              <w:rPr>
                <w:sz w:val="18"/>
                <w:szCs w:val="18"/>
              </w:rPr>
              <w:t xml:space="preserve"> and would have been purchased if not provided to the Agency free of charge.</w:t>
            </w:r>
          </w:p>
        </w:tc>
      </w:tr>
      <w:tr w:rsidR="0029443E" w:rsidRPr="00CF7E1B" w14:paraId="69761C13" w14:textId="77777777" w:rsidTr="004E4105">
        <w:trPr>
          <w:gridAfter w:val="1"/>
          <w:wAfter w:w="65" w:type="pct"/>
        </w:trPr>
        <w:tc>
          <w:tcPr>
            <w:tcW w:w="735" w:type="pct"/>
            <w:tcBorders>
              <w:top w:val="nil"/>
              <w:left w:val="single" w:sz="2" w:space="0" w:color="auto"/>
              <w:bottom w:val="nil"/>
              <w:right w:val="single" w:sz="2" w:space="0" w:color="auto"/>
            </w:tcBorders>
          </w:tcPr>
          <w:p w14:paraId="45B75772"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5A2968B" w14:textId="1AE7B4E8" w:rsidR="0029443E" w:rsidRPr="00AC0200" w:rsidRDefault="0029443E" w:rsidP="00407912">
            <w:pPr>
              <w:spacing w:before="120"/>
              <w:jc w:val="both"/>
              <w:rPr>
                <w:rFonts w:cs="Calibri"/>
                <w:i/>
                <w:iCs/>
                <w:sz w:val="18"/>
                <w:szCs w:val="18"/>
              </w:rPr>
            </w:pPr>
            <w:r w:rsidRPr="00AC0200">
              <w:rPr>
                <w:rFonts w:cs="Calibri"/>
                <w:i/>
                <w:iCs/>
                <w:sz w:val="18"/>
                <w:szCs w:val="18"/>
              </w:rPr>
              <w:t>Legal Services</w:t>
            </w:r>
          </w:p>
        </w:tc>
      </w:tr>
      <w:tr w:rsidR="0029443E" w:rsidRPr="00CF7E1B" w14:paraId="059B5513" w14:textId="77777777" w:rsidTr="004E4105">
        <w:trPr>
          <w:gridAfter w:val="1"/>
          <w:wAfter w:w="65" w:type="pct"/>
        </w:trPr>
        <w:tc>
          <w:tcPr>
            <w:tcW w:w="735" w:type="pct"/>
            <w:tcBorders>
              <w:top w:val="nil"/>
              <w:left w:val="single" w:sz="2" w:space="0" w:color="auto"/>
              <w:bottom w:val="nil"/>
              <w:right w:val="single" w:sz="2" w:space="0" w:color="auto"/>
            </w:tcBorders>
          </w:tcPr>
          <w:p w14:paraId="6B248DAC" w14:textId="131FE576" w:rsidR="0029443E" w:rsidRPr="00AC0200" w:rsidRDefault="003D0DB3" w:rsidP="000C06DA">
            <w:pPr>
              <w:pStyle w:val="TableReference"/>
              <w:tabs>
                <w:tab w:val="left" w:pos="3306"/>
              </w:tabs>
              <w:rPr>
                <w:rFonts w:cs="Calibri"/>
                <w:b/>
                <w:color w:val="7030A0"/>
                <w:sz w:val="14"/>
              </w:rPr>
            </w:pPr>
            <w:r w:rsidRPr="00AC0200">
              <w:rPr>
                <w:color w:val="7030A0"/>
                <w:sz w:val="14"/>
              </w:rPr>
              <w:t>AASB 1058.18</w:t>
            </w:r>
          </w:p>
        </w:tc>
        <w:tc>
          <w:tcPr>
            <w:tcW w:w="4200" w:type="pct"/>
            <w:gridSpan w:val="3"/>
            <w:tcBorders>
              <w:top w:val="nil"/>
              <w:left w:val="single" w:sz="2" w:space="0" w:color="auto"/>
              <w:bottom w:val="nil"/>
              <w:right w:val="nil"/>
            </w:tcBorders>
          </w:tcPr>
          <w:p w14:paraId="745BECE0" w14:textId="3565AE9A" w:rsidR="0029443E" w:rsidRPr="00AC0200" w:rsidRDefault="0029443E" w:rsidP="00953876">
            <w:pPr>
              <w:jc w:val="both"/>
              <w:rPr>
                <w:sz w:val="18"/>
                <w:szCs w:val="18"/>
              </w:rPr>
            </w:pPr>
            <w:r w:rsidRPr="00AC0200">
              <w:rPr>
                <w:rFonts w:cs="Calibri"/>
                <w:sz w:val="18"/>
                <w:szCs w:val="18"/>
              </w:rPr>
              <w:t>Legal Services were received free of charge from the ACT Government Solicitor’s Office (GSO) due to legal action resulting from ‘</w:t>
            </w:r>
            <w:r w:rsidR="00AA0B6B" w:rsidRPr="00AC0200">
              <w:rPr>
                <w:sz w:val="18"/>
                <w:szCs w:val="18"/>
              </w:rPr>
              <w:t>Burley Griffin</w:t>
            </w:r>
            <w:r w:rsidRPr="00AC0200">
              <w:rPr>
                <w:rFonts w:cs="Calibri"/>
                <w:sz w:val="18"/>
                <w:szCs w:val="18"/>
              </w:rPr>
              <w:t xml:space="preserve"> Agency’ burying waste material in landfill which then leaked and </w:t>
            </w:r>
            <w:bookmarkStart w:id="401" w:name="_Hlk72697464"/>
            <w:r w:rsidRPr="00AC0200">
              <w:rPr>
                <w:rFonts w:cs="Calibri"/>
                <w:sz w:val="18"/>
                <w:szCs w:val="18"/>
              </w:rPr>
              <w:t>contaminated</w:t>
            </w:r>
            <w:bookmarkEnd w:id="401"/>
            <w:r w:rsidRPr="00AC0200">
              <w:rPr>
                <w:rFonts w:cs="Calibri"/>
                <w:sz w:val="18"/>
                <w:szCs w:val="18"/>
              </w:rPr>
              <w:t xml:space="preserve"> the area and nearby farmland.</w:t>
            </w:r>
            <w:r w:rsidR="00FA7C77">
              <w:rPr>
                <w:rFonts w:cs="Calibri"/>
                <w:sz w:val="18"/>
                <w:szCs w:val="18"/>
              </w:rPr>
              <w:t xml:space="preserve"> </w:t>
            </w:r>
            <w:r w:rsidR="0027586A" w:rsidRPr="0027586A">
              <w:rPr>
                <w:rFonts w:cs="Calibri"/>
                <w:color w:val="FF0000"/>
                <w:sz w:val="18"/>
                <w:szCs w:val="18"/>
              </w:rPr>
              <w:t xml:space="preserve">The GSO provided the </w:t>
            </w:r>
            <w:r w:rsidR="00E74D1B">
              <w:rPr>
                <w:rFonts w:cs="Calibri"/>
                <w:color w:val="FF0000"/>
                <w:sz w:val="18"/>
                <w:szCs w:val="18"/>
              </w:rPr>
              <w:t>d</w:t>
            </w:r>
            <w:r w:rsidR="0027586A" w:rsidRPr="0027586A">
              <w:rPr>
                <w:rFonts w:cs="Calibri"/>
                <w:color w:val="FF0000"/>
                <w:sz w:val="18"/>
                <w:szCs w:val="18"/>
              </w:rPr>
              <w:t>irectorate with the fair value of the services provided.</w:t>
            </w:r>
          </w:p>
        </w:tc>
      </w:tr>
      <w:tr w:rsidR="00D1530C" w:rsidRPr="00CF7E1B" w14:paraId="1D8AA99F" w14:textId="77777777" w:rsidTr="004E4105">
        <w:trPr>
          <w:gridAfter w:val="1"/>
          <w:wAfter w:w="65" w:type="pct"/>
        </w:trPr>
        <w:tc>
          <w:tcPr>
            <w:tcW w:w="735" w:type="pct"/>
            <w:tcBorders>
              <w:top w:val="nil"/>
              <w:left w:val="single" w:sz="2" w:space="0" w:color="auto"/>
              <w:bottom w:val="nil"/>
              <w:right w:val="single" w:sz="2" w:space="0" w:color="auto"/>
            </w:tcBorders>
          </w:tcPr>
          <w:p w14:paraId="42B32CBF" w14:textId="77777777" w:rsidR="00D1530C" w:rsidRPr="00AC0200" w:rsidRDefault="00D1530C" w:rsidP="000C06DA">
            <w:pPr>
              <w:pStyle w:val="TableReference"/>
              <w:tabs>
                <w:tab w:val="left" w:pos="3306"/>
              </w:tabs>
              <w:rPr>
                <w:color w:val="7030A0"/>
                <w:sz w:val="14"/>
              </w:rPr>
            </w:pPr>
          </w:p>
        </w:tc>
        <w:tc>
          <w:tcPr>
            <w:tcW w:w="4200" w:type="pct"/>
            <w:gridSpan w:val="3"/>
            <w:tcBorders>
              <w:top w:val="nil"/>
              <w:left w:val="single" w:sz="2" w:space="0" w:color="auto"/>
              <w:bottom w:val="nil"/>
              <w:right w:val="nil"/>
            </w:tcBorders>
          </w:tcPr>
          <w:p w14:paraId="6EC8845C" w14:textId="706C7239" w:rsidR="00D1530C" w:rsidRPr="00AC0200" w:rsidRDefault="00D1530C" w:rsidP="00324B6C">
            <w:pPr>
              <w:spacing w:before="120"/>
              <w:jc w:val="both"/>
              <w:rPr>
                <w:rFonts w:cs="Calibri"/>
                <w:sz w:val="18"/>
                <w:szCs w:val="18"/>
              </w:rPr>
            </w:pPr>
            <w:r w:rsidRPr="00AC0200">
              <w:rPr>
                <w:i/>
                <w:iCs/>
                <w:sz w:val="18"/>
                <w:szCs w:val="18"/>
              </w:rPr>
              <w:t xml:space="preserve">Chief Minister, Treasury and Economic Development Directorate (CMTEDD) </w:t>
            </w:r>
            <w:r w:rsidRPr="00AC0200">
              <w:rPr>
                <w:rFonts w:cs="Calibri"/>
                <w:i/>
                <w:iCs/>
                <w:sz w:val="18"/>
                <w:szCs w:val="18"/>
              </w:rPr>
              <w:t>Resource Received Free of Charge</w:t>
            </w:r>
            <w:r w:rsidR="00FA7C77">
              <w:rPr>
                <w:i/>
                <w:iCs/>
                <w:sz w:val="20"/>
              </w:rPr>
              <w:t xml:space="preserve"> </w:t>
            </w:r>
          </w:p>
        </w:tc>
      </w:tr>
      <w:tr w:rsidR="0029443E" w:rsidRPr="00CF7E1B" w14:paraId="5519AB25" w14:textId="77777777" w:rsidTr="004E4105">
        <w:trPr>
          <w:gridAfter w:val="1"/>
          <w:wAfter w:w="65" w:type="pct"/>
        </w:trPr>
        <w:tc>
          <w:tcPr>
            <w:tcW w:w="735" w:type="pct"/>
            <w:tcBorders>
              <w:top w:val="nil"/>
              <w:left w:val="single" w:sz="2" w:space="0" w:color="auto"/>
              <w:bottom w:val="nil"/>
              <w:right w:val="single" w:sz="2" w:space="0" w:color="auto"/>
            </w:tcBorders>
          </w:tcPr>
          <w:p w14:paraId="1C4D921A"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66EAB474" w14:textId="0E0653AE" w:rsidR="0029443E" w:rsidRPr="00AC0200" w:rsidRDefault="00324B6C" w:rsidP="00324B6C">
            <w:pPr>
              <w:spacing w:before="40" w:after="40"/>
              <w:ind w:left="321"/>
              <w:jc w:val="both"/>
              <w:rPr>
                <w:rFonts w:cs="Calibri"/>
                <w:i/>
                <w:iCs/>
                <w:sz w:val="18"/>
                <w:szCs w:val="18"/>
              </w:rPr>
            </w:pPr>
            <w:r w:rsidRPr="00AC0200">
              <w:rPr>
                <w:rFonts w:cs="Calibri"/>
                <w:i/>
                <w:iCs/>
                <w:sz w:val="18"/>
                <w:szCs w:val="18"/>
              </w:rPr>
              <w:t xml:space="preserve"> </w:t>
            </w:r>
            <w:r w:rsidR="0029443E" w:rsidRPr="00AC0200">
              <w:rPr>
                <w:rFonts w:cs="Calibri"/>
                <w:i/>
                <w:iCs/>
                <w:sz w:val="18"/>
                <w:szCs w:val="18"/>
              </w:rPr>
              <w:t>Shared Services Resource Received Free of Charge</w:t>
            </w:r>
          </w:p>
        </w:tc>
      </w:tr>
      <w:tr w:rsidR="0029443E" w:rsidRPr="00CF7E1B" w14:paraId="521C2D7F" w14:textId="77777777" w:rsidTr="004E4105">
        <w:trPr>
          <w:gridAfter w:val="1"/>
          <w:wAfter w:w="65" w:type="pct"/>
        </w:trPr>
        <w:tc>
          <w:tcPr>
            <w:tcW w:w="735" w:type="pct"/>
            <w:tcBorders>
              <w:top w:val="nil"/>
              <w:left w:val="single" w:sz="2" w:space="0" w:color="auto"/>
              <w:bottom w:val="nil"/>
              <w:right w:val="single" w:sz="2" w:space="0" w:color="auto"/>
            </w:tcBorders>
          </w:tcPr>
          <w:p w14:paraId="63594AC1"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7395BA62" w14:textId="174949C0" w:rsidR="0029443E" w:rsidRPr="00AC0200" w:rsidRDefault="0029443E" w:rsidP="00554556">
            <w:pPr>
              <w:spacing w:after="120"/>
              <w:ind w:left="323"/>
              <w:jc w:val="both"/>
              <w:rPr>
                <w:sz w:val="18"/>
                <w:szCs w:val="18"/>
              </w:rPr>
            </w:pPr>
            <w:r w:rsidRPr="00AC0200">
              <w:rPr>
                <w:rFonts w:cs="Calibri"/>
                <w:sz w:val="18"/>
                <w:szCs w:val="18"/>
              </w:rPr>
              <w:t>‘</w:t>
            </w:r>
            <w:r w:rsidR="00AA0B6B" w:rsidRPr="00AC0200">
              <w:rPr>
                <w:sz w:val="18"/>
                <w:szCs w:val="18"/>
              </w:rPr>
              <w:t>Burley Griffin</w:t>
            </w:r>
            <w:r w:rsidRPr="00AC0200">
              <w:rPr>
                <w:rFonts w:cs="Calibri"/>
                <w:sz w:val="18"/>
                <w:szCs w:val="18"/>
              </w:rPr>
              <w:t xml:space="preserve"> Agency’ is required by the ACT Government to use Shared Services for its financial and HR processing.</w:t>
            </w:r>
            <w:r w:rsidR="00FA7C77">
              <w:rPr>
                <w:rFonts w:cs="Calibri"/>
                <w:sz w:val="18"/>
                <w:szCs w:val="18"/>
              </w:rPr>
              <w:t xml:space="preserve"> </w:t>
            </w:r>
            <w:bookmarkStart w:id="402" w:name="_Hlk107524302"/>
            <w:r w:rsidR="00324B6C" w:rsidRPr="00AC0200">
              <w:rPr>
                <w:rFonts w:cs="Calibri"/>
                <w:sz w:val="18"/>
                <w:szCs w:val="18"/>
              </w:rPr>
              <w:t>Shared Services is part of CMTEDD.</w:t>
            </w:r>
            <w:r w:rsidR="00FA7C77">
              <w:rPr>
                <w:rFonts w:cs="Calibri"/>
                <w:sz w:val="18"/>
                <w:szCs w:val="18"/>
              </w:rPr>
              <w:t xml:space="preserve"> </w:t>
            </w:r>
            <w:bookmarkEnd w:id="402"/>
            <w:r w:rsidRPr="00AC0200">
              <w:rPr>
                <w:rFonts w:cs="Calibri"/>
                <w:sz w:val="18"/>
                <w:szCs w:val="18"/>
              </w:rPr>
              <w:t>Given Shared Services is directly appropriated by the ACT Government to provide certain services at a fixed cost to ‘</w:t>
            </w:r>
            <w:r w:rsidR="00AA0B6B" w:rsidRPr="00AC0200">
              <w:rPr>
                <w:sz w:val="18"/>
                <w:szCs w:val="18"/>
              </w:rPr>
              <w:t>Burley Griffin</w:t>
            </w:r>
            <w:r w:rsidRPr="00AC0200">
              <w:rPr>
                <w:rFonts w:cs="Calibri"/>
                <w:sz w:val="18"/>
                <w:szCs w:val="18"/>
              </w:rPr>
              <w:t xml:space="preserve"> Agency’, it means that </w:t>
            </w:r>
            <w:r w:rsidR="00C222C6" w:rsidRPr="00AC0200">
              <w:rPr>
                <w:rFonts w:cs="Calibri"/>
                <w:sz w:val="18"/>
                <w:szCs w:val="18"/>
              </w:rPr>
              <w:t xml:space="preserve">the </w:t>
            </w:r>
            <w:r w:rsidRPr="00AC0200">
              <w:rPr>
                <w:rFonts w:cs="Calibri"/>
                <w:sz w:val="18"/>
                <w:szCs w:val="18"/>
              </w:rPr>
              <w:t>Agency does not have to pay for these services.</w:t>
            </w:r>
            <w:r w:rsidR="00FA7C77">
              <w:rPr>
                <w:rFonts w:cs="Calibri"/>
                <w:sz w:val="18"/>
                <w:szCs w:val="18"/>
              </w:rPr>
              <w:t xml:space="preserve"> </w:t>
            </w:r>
          </w:p>
        </w:tc>
      </w:tr>
      <w:tr w:rsidR="0055481A" w:rsidRPr="00CF7E1B" w14:paraId="2E33DBE0" w14:textId="77777777" w:rsidTr="004E4105">
        <w:trPr>
          <w:gridAfter w:val="1"/>
          <w:wAfter w:w="65" w:type="pct"/>
        </w:trPr>
        <w:tc>
          <w:tcPr>
            <w:tcW w:w="735" w:type="pct"/>
            <w:tcBorders>
              <w:top w:val="nil"/>
              <w:left w:val="single" w:sz="2" w:space="0" w:color="auto"/>
              <w:bottom w:val="nil"/>
              <w:right w:val="single" w:sz="2" w:space="0" w:color="auto"/>
            </w:tcBorders>
          </w:tcPr>
          <w:p w14:paraId="4D356356" w14:textId="77777777" w:rsidR="0055481A" w:rsidRPr="00AC0200" w:rsidRDefault="0055481A"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430C64B" w14:textId="00868E69" w:rsidR="0055481A" w:rsidRPr="00AC0200" w:rsidRDefault="00D1530C" w:rsidP="00324B6C">
            <w:pPr>
              <w:ind w:left="321"/>
              <w:jc w:val="both"/>
              <w:rPr>
                <w:rFonts w:cs="Calibri"/>
                <w:i/>
                <w:iCs/>
                <w:sz w:val="18"/>
                <w:szCs w:val="18"/>
              </w:rPr>
            </w:pPr>
            <w:r w:rsidRPr="00AC0200">
              <w:rPr>
                <w:i/>
                <w:iCs/>
                <w:sz w:val="18"/>
                <w:szCs w:val="18"/>
              </w:rPr>
              <w:t xml:space="preserve">Professional Standards Unit (PSU) </w:t>
            </w:r>
          </w:p>
        </w:tc>
      </w:tr>
      <w:tr w:rsidR="00DC3C21" w:rsidRPr="00CF7E1B" w14:paraId="4A2F5240" w14:textId="77777777" w:rsidTr="004E4105">
        <w:trPr>
          <w:gridAfter w:val="1"/>
          <w:wAfter w:w="65" w:type="pct"/>
        </w:trPr>
        <w:tc>
          <w:tcPr>
            <w:tcW w:w="735" w:type="pct"/>
            <w:tcBorders>
              <w:top w:val="nil"/>
              <w:left w:val="single" w:sz="2" w:space="0" w:color="auto"/>
              <w:bottom w:val="nil"/>
              <w:right w:val="single" w:sz="2" w:space="0" w:color="auto"/>
            </w:tcBorders>
          </w:tcPr>
          <w:p w14:paraId="4D7EF130" w14:textId="77777777" w:rsidR="00DC3C21" w:rsidRPr="00AC0200" w:rsidRDefault="00DC3C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9F79582" w14:textId="707714AD" w:rsidR="00CD2764" w:rsidRPr="00554556" w:rsidRDefault="00CD2764" w:rsidP="00554556">
            <w:pPr>
              <w:spacing w:after="60"/>
              <w:ind w:left="323"/>
              <w:jc w:val="both"/>
              <w:rPr>
                <w:rFonts w:cs="Calibri"/>
                <w:sz w:val="18"/>
                <w:szCs w:val="18"/>
              </w:rPr>
            </w:pPr>
            <w:r w:rsidRPr="00CD2764">
              <w:rPr>
                <w:rFonts w:cs="Calibri"/>
                <w:sz w:val="18"/>
                <w:szCs w:val="18"/>
              </w:rPr>
              <w:t>Professional Standards Unit (PSU) is part of CMTEDD and provides investigation services regarding misconduct and other complaints relating to employees across the ACT Public Service. In addition to investigating complaints, PSU, through the office of the Public Sector Standards Commissioner also advises the Chief Minister on matters arising from investigations conducted.</w:t>
            </w:r>
          </w:p>
        </w:tc>
      </w:tr>
      <w:tr w:rsidR="0055481A" w:rsidRPr="00CF7E1B" w14:paraId="758A66D8" w14:textId="77777777" w:rsidTr="004E4105">
        <w:trPr>
          <w:gridAfter w:val="1"/>
          <w:wAfter w:w="65" w:type="pct"/>
        </w:trPr>
        <w:tc>
          <w:tcPr>
            <w:tcW w:w="735" w:type="pct"/>
            <w:tcBorders>
              <w:top w:val="nil"/>
              <w:left w:val="single" w:sz="2" w:space="0" w:color="auto"/>
              <w:bottom w:val="nil"/>
              <w:right w:val="single" w:sz="2" w:space="0" w:color="auto"/>
            </w:tcBorders>
          </w:tcPr>
          <w:p w14:paraId="6C3F2B12" w14:textId="77777777" w:rsidR="0055481A" w:rsidRPr="00AC0200" w:rsidRDefault="0055481A"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4E643678" w14:textId="0D8974C7" w:rsidR="00DC3C21" w:rsidRPr="00AC0200" w:rsidRDefault="00F13C6C" w:rsidP="00CD2764">
            <w:pPr>
              <w:ind w:left="327"/>
              <w:jc w:val="both"/>
              <w:rPr>
                <w:sz w:val="18"/>
                <w:szCs w:val="18"/>
              </w:rPr>
            </w:pPr>
            <w:r w:rsidRPr="00AC0200">
              <w:rPr>
                <w:rFonts w:cs="Calibri"/>
                <w:sz w:val="18"/>
                <w:szCs w:val="18"/>
              </w:rPr>
              <w:t>Given PSU</w:t>
            </w:r>
            <w:r w:rsidR="00A948F8" w:rsidRPr="00AC0200">
              <w:rPr>
                <w:rFonts w:cs="Calibri"/>
                <w:sz w:val="18"/>
                <w:szCs w:val="18"/>
              </w:rPr>
              <w:t xml:space="preserve"> </w:t>
            </w:r>
            <w:r w:rsidR="00C8769B" w:rsidRPr="00AC0200">
              <w:rPr>
                <w:rFonts w:cs="Calibri"/>
                <w:sz w:val="18"/>
                <w:szCs w:val="18"/>
              </w:rPr>
              <w:t>is</w:t>
            </w:r>
            <w:r w:rsidR="00A948F8" w:rsidRPr="00AC0200">
              <w:rPr>
                <w:rFonts w:cs="Calibri"/>
                <w:sz w:val="18"/>
                <w:szCs w:val="18"/>
              </w:rPr>
              <w:t xml:space="preserve"> </w:t>
            </w:r>
            <w:r w:rsidRPr="00AC0200">
              <w:rPr>
                <w:rFonts w:cs="Calibri"/>
                <w:sz w:val="18"/>
                <w:szCs w:val="18"/>
              </w:rPr>
              <w:t>directly appropriated by the ACT Government, ‘Burley Griffin Agency’ does not have to pay for these services.</w:t>
            </w:r>
            <w:r w:rsidR="00FA7C77">
              <w:rPr>
                <w:sz w:val="18"/>
                <w:szCs w:val="18"/>
              </w:rPr>
              <w:t xml:space="preserve"> </w:t>
            </w:r>
            <w:r w:rsidR="003A4B88" w:rsidRPr="00AC0200">
              <w:rPr>
                <w:rFonts w:cs="Calibri"/>
                <w:sz w:val="18"/>
                <w:szCs w:val="18"/>
              </w:rPr>
              <w:t>CMTEDD provided ‘Burley Griffin Agency’ with the fair value of the services provided.</w:t>
            </w:r>
          </w:p>
        </w:tc>
      </w:tr>
      <w:tr w:rsidR="00324B6C" w:rsidRPr="00CF7E1B" w14:paraId="58710F89" w14:textId="77777777" w:rsidTr="004E4105">
        <w:trPr>
          <w:gridAfter w:val="1"/>
          <w:wAfter w:w="65" w:type="pct"/>
        </w:trPr>
        <w:tc>
          <w:tcPr>
            <w:tcW w:w="735" w:type="pct"/>
            <w:tcBorders>
              <w:top w:val="nil"/>
              <w:left w:val="single" w:sz="2" w:space="0" w:color="auto"/>
              <w:bottom w:val="nil"/>
              <w:right w:val="single" w:sz="2" w:space="0" w:color="auto"/>
            </w:tcBorders>
          </w:tcPr>
          <w:p w14:paraId="69F9730E" w14:textId="77777777" w:rsidR="00324B6C" w:rsidRPr="00AC0200" w:rsidRDefault="00324B6C"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1BFDC3F" w14:textId="588B423A" w:rsidR="00324B6C" w:rsidRPr="00AC0200" w:rsidRDefault="00324B6C" w:rsidP="00A313AA">
            <w:pPr>
              <w:spacing w:before="120"/>
              <w:ind w:left="323"/>
              <w:jc w:val="both"/>
              <w:rPr>
                <w:rFonts w:cs="Calibri"/>
                <w:sz w:val="18"/>
                <w:szCs w:val="18"/>
              </w:rPr>
            </w:pPr>
            <w:r w:rsidRPr="00AC0200">
              <w:rPr>
                <w:i/>
                <w:iCs/>
                <w:sz w:val="18"/>
                <w:szCs w:val="18"/>
              </w:rPr>
              <w:t>Territory Records Office (TRO)</w:t>
            </w:r>
          </w:p>
        </w:tc>
      </w:tr>
      <w:tr w:rsidR="00324B6C" w:rsidRPr="00CF7E1B" w14:paraId="6CE70F3C" w14:textId="77777777" w:rsidTr="004E4105">
        <w:trPr>
          <w:gridAfter w:val="1"/>
          <w:wAfter w:w="65" w:type="pct"/>
        </w:trPr>
        <w:tc>
          <w:tcPr>
            <w:tcW w:w="735" w:type="pct"/>
            <w:tcBorders>
              <w:top w:val="nil"/>
              <w:left w:val="single" w:sz="2" w:space="0" w:color="auto"/>
              <w:bottom w:val="nil"/>
              <w:right w:val="single" w:sz="2" w:space="0" w:color="auto"/>
            </w:tcBorders>
          </w:tcPr>
          <w:p w14:paraId="0642FBF4" w14:textId="77777777" w:rsidR="00324B6C" w:rsidRPr="00AC0200" w:rsidRDefault="00324B6C"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4603800B" w14:textId="49F45D6D" w:rsidR="00CD2764" w:rsidRPr="00CD2764" w:rsidRDefault="00E95F6B" w:rsidP="009B2E93">
            <w:pPr>
              <w:spacing w:after="120"/>
              <w:ind w:left="323"/>
              <w:jc w:val="both"/>
              <w:rPr>
                <w:sz w:val="18"/>
                <w:szCs w:val="18"/>
              </w:rPr>
            </w:pPr>
            <w:r w:rsidRPr="00CD2764">
              <w:rPr>
                <w:sz w:val="18"/>
                <w:szCs w:val="18"/>
              </w:rPr>
              <w:t>TRO provides record management services to ‘Burley Griffin Agency’ free of charge.</w:t>
            </w:r>
            <w:r w:rsidR="00FA7C77">
              <w:rPr>
                <w:rFonts w:cs="Calibri"/>
                <w:sz w:val="18"/>
                <w:szCs w:val="18"/>
              </w:rPr>
              <w:t xml:space="preserve"> </w:t>
            </w:r>
            <w:r w:rsidRPr="00CD2764">
              <w:rPr>
                <w:rFonts w:cs="Calibri"/>
                <w:sz w:val="18"/>
                <w:szCs w:val="18"/>
              </w:rPr>
              <w:t>TRO is directly appropriated to provide these services across the ACT Government and as such, ‘Burley Griffin Agency’ is required to use these services.</w:t>
            </w:r>
            <w:r w:rsidR="00FA7C77">
              <w:rPr>
                <w:rFonts w:cs="Calibri"/>
                <w:sz w:val="18"/>
                <w:szCs w:val="18"/>
              </w:rPr>
              <w:t xml:space="preserve"> </w:t>
            </w:r>
            <w:r w:rsidR="00C8769B" w:rsidRPr="00CD2764">
              <w:rPr>
                <w:rFonts w:cs="Calibri"/>
                <w:sz w:val="18"/>
                <w:szCs w:val="18"/>
              </w:rPr>
              <w:t>CMTEDD provided ‘Burley Griffin Agency’ with the fair value of the services provided</w:t>
            </w:r>
            <w:r w:rsidR="00202DDD" w:rsidRPr="00CD2764">
              <w:rPr>
                <w:rFonts w:cs="Calibri"/>
                <w:sz w:val="18"/>
                <w:szCs w:val="18"/>
              </w:rPr>
              <w:t>.</w:t>
            </w:r>
            <w:r w:rsidR="00FA7C77">
              <w:rPr>
                <w:rFonts w:cs="Calibri"/>
                <w:sz w:val="18"/>
                <w:szCs w:val="18"/>
              </w:rPr>
              <w:t xml:space="preserve"> </w:t>
            </w:r>
            <w:r w:rsidR="00C8769B" w:rsidRPr="00CD2764">
              <w:rPr>
                <w:rFonts w:cs="Calibri"/>
                <w:sz w:val="18"/>
                <w:szCs w:val="18"/>
              </w:rPr>
              <w:t>TRO</w:t>
            </w:r>
            <w:r w:rsidR="00C8769B" w:rsidRPr="00CD2764">
              <w:rPr>
                <w:sz w:val="18"/>
                <w:szCs w:val="18"/>
              </w:rPr>
              <w:t xml:space="preserve"> is part of CMTEDD</w:t>
            </w:r>
            <w:r w:rsidR="00202DDD" w:rsidRPr="00CD2764">
              <w:rPr>
                <w:sz w:val="18"/>
                <w:szCs w:val="18"/>
              </w:rPr>
              <w:t>.</w:t>
            </w:r>
          </w:p>
          <w:p w14:paraId="1E1D6AF1" w14:textId="77777777" w:rsidR="00CD2764" w:rsidRDefault="00CD2764" w:rsidP="00EA5E45">
            <w:pPr>
              <w:ind w:left="323"/>
              <w:jc w:val="both"/>
              <w:rPr>
                <w:rFonts w:cs="Calibri"/>
                <w:i/>
                <w:iCs/>
                <w:sz w:val="18"/>
                <w:szCs w:val="18"/>
              </w:rPr>
            </w:pPr>
            <w:r w:rsidRPr="00CD2764">
              <w:rPr>
                <w:rFonts w:cs="Calibri"/>
                <w:i/>
                <w:iCs/>
                <w:sz w:val="18"/>
                <w:szCs w:val="18"/>
              </w:rPr>
              <w:t>Project Management Services provided by Major Projects Canberra (MPC)</w:t>
            </w:r>
          </w:p>
          <w:p w14:paraId="52C86567" w14:textId="54B3CAF1" w:rsidR="00CD2764" w:rsidRPr="00CD2764" w:rsidRDefault="00CD2764" w:rsidP="00EA5E45">
            <w:pPr>
              <w:ind w:left="323"/>
              <w:jc w:val="both"/>
              <w:rPr>
                <w:sz w:val="18"/>
                <w:szCs w:val="18"/>
              </w:rPr>
            </w:pPr>
            <w:r>
              <w:rPr>
                <w:rFonts w:cs="Calibri"/>
                <w:sz w:val="18"/>
                <w:szCs w:val="18"/>
              </w:rPr>
              <w:t>MPC provides procurement and infrastructure delivery services to ‘Burley Griffin Agency’ free of charge. MPC is directly appropriated to deliver these services and as such, ‘Burley Griffin Agency’ is required to use these services.</w:t>
            </w:r>
            <w:r w:rsidR="00FA7C77">
              <w:rPr>
                <w:rFonts w:cs="Calibri"/>
                <w:sz w:val="18"/>
                <w:szCs w:val="18"/>
              </w:rPr>
              <w:t xml:space="preserve"> </w:t>
            </w:r>
            <w:r>
              <w:rPr>
                <w:rFonts w:cs="Calibri"/>
                <w:sz w:val="18"/>
                <w:szCs w:val="18"/>
              </w:rPr>
              <w:t>The fair value of these services provided are capitalised</w:t>
            </w:r>
            <w:r w:rsidR="006902C4">
              <w:rPr>
                <w:rFonts w:cs="Calibri"/>
                <w:sz w:val="18"/>
                <w:szCs w:val="18"/>
              </w:rPr>
              <w:t xml:space="preserve"> </w:t>
            </w:r>
            <w:r>
              <w:rPr>
                <w:rFonts w:cs="Calibri"/>
                <w:sz w:val="18"/>
                <w:szCs w:val="18"/>
              </w:rPr>
              <w:t xml:space="preserve">on the Balance Sheet as they are directly attributable to the creation of the assets for which the service is provided. </w:t>
            </w:r>
          </w:p>
        </w:tc>
      </w:tr>
      <w:tr w:rsidR="006B168B" w:rsidRPr="00CF7E1B" w14:paraId="0043F9EB" w14:textId="77777777" w:rsidTr="004E4105">
        <w:trPr>
          <w:gridAfter w:val="1"/>
          <w:wAfter w:w="65" w:type="pct"/>
          <w:cantSplit/>
        </w:trPr>
        <w:tc>
          <w:tcPr>
            <w:tcW w:w="735" w:type="pct"/>
            <w:tcBorders>
              <w:top w:val="nil"/>
              <w:left w:val="single" w:sz="2" w:space="0" w:color="auto"/>
              <w:bottom w:val="nil"/>
              <w:right w:val="single" w:sz="2" w:space="0" w:color="auto"/>
            </w:tcBorders>
          </w:tcPr>
          <w:p w14:paraId="3388B2B1" w14:textId="497502AA" w:rsidR="006B168B" w:rsidRPr="00AC0200" w:rsidRDefault="006B168B" w:rsidP="00F22D61">
            <w:pPr>
              <w:pStyle w:val="TableReference"/>
              <w:tabs>
                <w:tab w:val="left" w:pos="3306"/>
              </w:tabs>
              <w:spacing w:before="240"/>
              <w:rPr>
                <w:rFonts w:cs="Calibri"/>
                <w:b/>
                <w:color w:val="7030A0"/>
                <w:sz w:val="22"/>
                <w:szCs w:val="22"/>
              </w:rPr>
            </w:pPr>
            <w:r>
              <w:br w:type="page"/>
            </w:r>
            <w:r w:rsidRPr="00AC0200">
              <w:rPr>
                <w:rFonts w:cs="Calibri"/>
                <w:b/>
                <w:color w:val="7030A0"/>
                <w:sz w:val="20"/>
                <w:szCs w:val="20"/>
              </w:rPr>
              <w:br w:type="page"/>
            </w:r>
            <w:r w:rsidRPr="00985A9F">
              <w:rPr>
                <w:rFonts w:cs="Calibri"/>
                <w:b/>
                <w:color w:val="7030A0"/>
                <w:sz w:val="22"/>
                <w:szCs w:val="22"/>
              </w:rPr>
              <w:t>Reference</w:t>
            </w:r>
          </w:p>
        </w:tc>
        <w:tc>
          <w:tcPr>
            <w:tcW w:w="4200" w:type="pct"/>
            <w:gridSpan w:val="3"/>
            <w:tcBorders>
              <w:top w:val="nil"/>
              <w:left w:val="single" w:sz="2" w:space="0" w:color="auto"/>
              <w:bottom w:val="nil"/>
              <w:right w:val="nil"/>
            </w:tcBorders>
          </w:tcPr>
          <w:p w14:paraId="1E3C0978" w14:textId="573E1BC4" w:rsidR="006B168B" w:rsidRPr="00D9571B" w:rsidRDefault="006B168B" w:rsidP="00F22D61">
            <w:pPr>
              <w:pStyle w:val="Heading1"/>
              <w:numPr>
                <w:ilvl w:val="0"/>
                <w:numId w:val="0"/>
              </w:numPr>
            </w:pPr>
            <w:bookmarkStart w:id="403" w:name="_Toc98763065"/>
            <w:bookmarkStart w:id="404" w:name="_Toc127733833"/>
            <w:bookmarkStart w:id="405" w:name="_Toc131164486"/>
            <w:bookmarkStart w:id="406" w:name="_Toc131591751"/>
            <w:bookmarkStart w:id="407" w:name="_Toc132743786"/>
            <w:r w:rsidRPr="00AC0200">
              <w:t>Note 6.</w:t>
            </w:r>
            <w:r>
              <w:t xml:space="preserve"> </w:t>
            </w:r>
            <w:r w:rsidRPr="00AC0200">
              <w:t xml:space="preserve"> Grants and contributions</w:t>
            </w:r>
            <w:r w:rsidRPr="00AC0200">
              <w:rPr>
                <w:rFonts w:cs="Calibri"/>
              </w:rPr>
              <w:t xml:space="preserve"> Revenue</w:t>
            </w:r>
            <w:r>
              <w:rPr>
                <w:rFonts w:cs="Calibri"/>
              </w:rPr>
              <w:t xml:space="preserve"> – Continued</w:t>
            </w:r>
            <w:bookmarkEnd w:id="403"/>
            <w:bookmarkEnd w:id="404"/>
            <w:bookmarkEnd w:id="405"/>
            <w:bookmarkEnd w:id="406"/>
            <w:bookmarkEnd w:id="407"/>
            <w:r>
              <w:rPr>
                <w:rFonts w:cs="Calibri"/>
              </w:rPr>
              <w:t xml:space="preserve"> </w:t>
            </w:r>
          </w:p>
        </w:tc>
      </w:tr>
      <w:tr w:rsidR="006B168B" w:rsidRPr="00CF7E1B" w14:paraId="72458E27" w14:textId="77777777" w:rsidTr="004E4105">
        <w:trPr>
          <w:gridAfter w:val="1"/>
          <w:wAfter w:w="65" w:type="pct"/>
          <w:cantSplit/>
        </w:trPr>
        <w:tc>
          <w:tcPr>
            <w:tcW w:w="735" w:type="pct"/>
            <w:tcBorders>
              <w:top w:val="nil"/>
              <w:left w:val="single" w:sz="2" w:space="0" w:color="auto"/>
              <w:bottom w:val="nil"/>
              <w:right w:val="single" w:sz="2" w:space="0" w:color="auto"/>
            </w:tcBorders>
          </w:tcPr>
          <w:p w14:paraId="4AD75E20" w14:textId="77777777" w:rsidR="006B168B" w:rsidRPr="00AC0200" w:rsidRDefault="006B168B" w:rsidP="00DA5473">
            <w:pPr>
              <w:pStyle w:val="TableReference"/>
              <w:tabs>
                <w:tab w:val="left" w:pos="3306"/>
              </w:tabs>
              <w:rPr>
                <w:rFonts w:cs="Calibri"/>
                <w:b/>
                <w:color w:val="7030A0"/>
                <w:sz w:val="14"/>
              </w:rPr>
            </w:pPr>
            <w:bookmarkStart w:id="408" w:name="_Hlk103330243"/>
          </w:p>
        </w:tc>
        <w:tc>
          <w:tcPr>
            <w:tcW w:w="4200" w:type="pct"/>
            <w:gridSpan w:val="3"/>
            <w:tcBorders>
              <w:top w:val="nil"/>
              <w:left w:val="single" w:sz="2" w:space="0" w:color="auto"/>
              <w:bottom w:val="nil"/>
              <w:right w:val="nil"/>
            </w:tcBorders>
          </w:tcPr>
          <w:p w14:paraId="4342BC7B" w14:textId="19DF2C75" w:rsidR="006B168B" w:rsidRPr="00AC0200" w:rsidRDefault="006B168B" w:rsidP="00DA5473">
            <w:pPr>
              <w:jc w:val="both"/>
              <w:rPr>
                <w:rFonts w:cs="Calibri"/>
                <w:b/>
                <w:bCs/>
                <w:sz w:val="18"/>
                <w:szCs w:val="18"/>
              </w:rPr>
            </w:pPr>
            <w:r w:rsidRPr="00AC0200">
              <w:rPr>
                <w:rFonts w:cs="Calibri"/>
                <w:b/>
                <w:bCs/>
                <w:sz w:val="18"/>
                <w:szCs w:val="18"/>
              </w:rPr>
              <w:t xml:space="preserve">Description and Material Accounting Policies relating to </w:t>
            </w:r>
            <w:bookmarkStart w:id="409" w:name="_Hlk101514247"/>
            <w:r w:rsidRPr="00AC0200">
              <w:rPr>
                <w:rFonts w:cs="Calibri"/>
                <w:b/>
                <w:bCs/>
                <w:sz w:val="18"/>
                <w:szCs w:val="18"/>
              </w:rPr>
              <w:t>Grants and Contributions</w:t>
            </w:r>
            <w:r w:rsidRPr="00AC0200">
              <w:rPr>
                <w:rFonts w:cs="Calibri"/>
              </w:rPr>
              <w:t xml:space="preserve"> </w:t>
            </w:r>
            <w:r w:rsidRPr="00AC0200">
              <w:rPr>
                <w:rFonts w:cs="Calibri"/>
                <w:b/>
                <w:bCs/>
                <w:sz w:val="18"/>
                <w:szCs w:val="18"/>
              </w:rPr>
              <w:t>Revenue</w:t>
            </w:r>
            <w:r>
              <w:rPr>
                <w:rFonts w:cs="Calibri"/>
                <w:b/>
                <w:bCs/>
                <w:sz w:val="18"/>
                <w:szCs w:val="18"/>
              </w:rPr>
              <w:t xml:space="preserve"> </w:t>
            </w:r>
            <w:bookmarkEnd w:id="409"/>
            <w:r>
              <w:rPr>
                <w:rFonts w:cs="Calibri"/>
                <w:b/>
                <w:bCs/>
                <w:sz w:val="18"/>
                <w:szCs w:val="18"/>
              </w:rPr>
              <w:t xml:space="preserve">– Continued </w:t>
            </w:r>
          </w:p>
        </w:tc>
      </w:tr>
      <w:tr w:rsidR="0029443E" w:rsidRPr="00CF7E1B" w14:paraId="0279AED5"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53D71AB" w14:textId="6D51A665"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713E6A1C" w14:textId="797DF0AF" w:rsidR="0029443E" w:rsidRPr="00AC0200" w:rsidRDefault="0029443E" w:rsidP="00407912">
            <w:pPr>
              <w:spacing w:before="120"/>
              <w:jc w:val="both"/>
              <w:rPr>
                <w:rFonts w:cs="Calibri"/>
                <w:sz w:val="18"/>
                <w:szCs w:val="18"/>
              </w:rPr>
            </w:pPr>
            <w:r w:rsidRPr="00AC0200">
              <w:rPr>
                <w:rFonts w:cs="Calibri"/>
                <w:i/>
                <w:iCs/>
                <w:sz w:val="18"/>
                <w:szCs w:val="18"/>
              </w:rPr>
              <w:t>Volunteer Services Received Free of Charge</w:t>
            </w:r>
          </w:p>
        </w:tc>
      </w:tr>
      <w:tr w:rsidR="0029443E" w:rsidRPr="00CF7E1B" w14:paraId="227CBE0D" w14:textId="77777777" w:rsidTr="004E4105">
        <w:trPr>
          <w:gridAfter w:val="1"/>
          <w:wAfter w:w="65" w:type="pct"/>
          <w:cantSplit/>
        </w:trPr>
        <w:tc>
          <w:tcPr>
            <w:tcW w:w="735" w:type="pct"/>
            <w:tcBorders>
              <w:top w:val="nil"/>
              <w:left w:val="single" w:sz="2" w:space="0" w:color="auto"/>
              <w:bottom w:val="nil"/>
              <w:right w:val="single" w:sz="2" w:space="0" w:color="auto"/>
            </w:tcBorders>
          </w:tcPr>
          <w:p w14:paraId="6666F103"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638F787" w14:textId="3B8434A0" w:rsidR="0029443E" w:rsidRPr="00AC0200" w:rsidRDefault="0029443E" w:rsidP="00F56C8D">
            <w:pPr>
              <w:spacing w:after="120"/>
              <w:jc w:val="both"/>
              <w:rPr>
                <w:sz w:val="18"/>
                <w:szCs w:val="18"/>
              </w:rPr>
            </w:pPr>
            <w:r w:rsidRPr="00AC0200">
              <w:rPr>
                <w:rFonts w:cs="Calibri"/>
                <w:sz w:val="18"/>
                <w:szCs w:val="18"/>
              </w:rPr>
              <w:t>Each financial year ‘</w:t>
            </w:r>
            <w:r w:rsidR="00AA0B6B" w:rsidRPr="00AC0200">
              <w:rPr>
                <w:sz w:val="18"/>
                <w:szCs w:val="18"/>
              </w:rPr>
              <w:t>Burley Griffin</w:t>
            </w:r>
            <w:r w:rsidRPr="00AC0200">
              <w:rPr>
                <w:rFonts w:cs="Calibri"/>
                <w:sz w:val="18"/>
                <w:szCs w:val="18"/>
              </w:rPr>
              <w:t xml:space="preserve"> Agency’ runs ‘Example Multicultural Festival’.</w:t>
            </w:r>
            <w:r w:rsidR="00FA7C77">
              <w:rPr>
                <w:rFonts w:cs="Calibri"/>
                <w:sz w:val="18"/>
                <w:szCs w:val="18"/>
              </w:rPr>
              <w:t xml:space="preserve"> </w:t>
            </w:r>
            <w:r w:rsidRPr="00AC0200">
              <w:rPr>
                <w:rFonts w:cs="Calibri"/>
                <w:sz w:val="18"/>
                <w:szCs w:val="18"/>
              </w:rPr>
              <w:t>As part of the festival approximately 130 staff from within the ACT Government volunteered to help out and undertake tasks such as Area Wardens, Reception</w:t>
            </w:r>
            <w:r w:rsidR="00554556">
              <w:rPr>
                <w:rFonts w:cs="Calibri"/>
                <w:sz w:val="18"/>
                <w:szCs w:val="18"/>
              </w:rPr>
              <w:t xml:space="preserve"> </w:t>
            </w:r>
            <w:r w:rsidR="00554556" w:rsidRPr="009415D8">
              <w:rPr>
                <w:rFonts w:cs="Calibri"/>
                <w:color w:val="FF0000"/>
                <w:sz w:val="18"/>
                <w:szCs w:val="18"/>
              </w:rPr>
              <w:t>Assistants</w:t>
            </w:r>
            <w:r w:rsidRPr="009415D8">
              <w:rPr>
                <w:rFonts w:cs="Calibri"/>
                <w:sz w:val="18"/>
                <w:szCs w:val="18"/>
              </w:rPr>
              <w:t xml:space="preserve"> </w:t>
            </w:r>
            <w:r w:rsidRPr="009415D8">
              <w:rPr>
                <w:rFonts w:cs="Calibri"/>
                <w:strike/>
                <w:color w:val="FF0000"/>
                <w:sz w:val="18"/>
                <w:szCs w:val="18"/>
              </w:rPr>
              <w:t>Assistances</w:t>
            </w:r>
            <w:r w:rsidRPr="00AC0200">
              <w:rPr>
                <w:rFonts w:cs="Calibri"/>
                <w:sz w:val="18"/>
                <w:szCs w:val="18"/>
              </w:rPr>
              <w:t>, Festival Information Tent Officers, VIP Welcome Assistants and Logistics Radio Officers. In addition, approximately 40 volunteers external to the ACT Government also assisted in the running of the festival.</w:t>
            </w:r>
            <w:r w:rsidR="00FA7C77">
              <w:rPr>
                <w:rFonts w:cs="Calibri"/>
                <w:sz w:val="18"/>
                <w:szCs w:val="18"/>
              </w:rPr>
              <w:t xml:space="preserve"> </w:t>
            </w:r>
          </w:p>
        </w:tc>
      </w:tr>
      <w:tr w:rsidR="00F95AFF" w:rsidRPr="00CF7E1B" w14:paraId="73F352F0" w14:textId="77777777" w:rsidTr="004E4105">
        <w:trPr>
          <w:gridAfter w:val="1"/>
          <w:wAfter w:w="65" w:type="pct"/>
          <w:cantSplit/>
        </w:trPr>
        <w:tc>
          <w:tcPr>
            <w:tcW w:w="735" w:type="pct"/>
            <w:tcBorders>
              <w:top w:val="nil"/>
              <w:left w:val="single" w:sz="2" w:space="0" w:color="auto"/>
              <w:bottom w:val="nil"/>
              <w:right w:val="single" w:sz="2" w:space="0" w:color="auto"/>
            </w:tcBorders>
          </w:tcPr>
          <w:p w14:paraId="46F9117E" w14:textId="77777777" w:rsidR="00F95AFF" w:rsidRPr="00AC0200" w:rsidRDefault="00F95AFF" w:rsidP="00A23E0E">
            <w:pPr>
              <w:pStyle w:val="TableReference"/>
              <w:tabs>
                <w:tab w:val="left" w:pos="3306"/>
              </w:tabs>
              <w:spacing w:before="240"/>
              <w:rPr>
                <w:rFonts w:cs="Calibri"/>
                <w:b/>
                <w:color w:val="7030A0"/>
                <w:sz w:val="20"/>
                <w:szCs w:val="20"/>
              </w:rPr>
            </w:pPr>
          </w:p>
        </w:tc>
        <w:tc>
          <w:tcPr>
            <w:tcW w:w="4200" w:type="pct"/>
            <w:gridSpan w:val="3"/>
            <w:tcBorders>
              <w:top w:val="nil"/>
              <w:left w:val="single" w:sz="2" w:space="0" w:color="auto"/>
              <w:bottom w:val="nil"/>
              <w:right w:val="nil"/>
            </w:tcBorders>
          </w:tcPr>
          <w:p w14:paraId="5C20DE0C" w14:textId="2AEFA93C" w:rsidR="00F95AFF" w:rsidRPr="00AC0200" w:rsidRDefault="00F95AFF" w:rsidP="00F95AFF">
            <w:pPr>
              <w:pStyle w:val="Normal1"/>
              <w:jc w:val="both"/>
              <w:rPr>
                <w:rFonts w:eastAsia="Times New Roman" w:cs="Calibri"/>
                <w:noProof w:val="0"/>
                <w:kern w:val="0"/>
                <w:sz w:val="18"/>
                <w:szCs w:val="18"/>
                <w:lang w:eastAsia="en-US"/>
              </w:rPr>
            </w:pPr>
            <w:r w:rsidRPr="00AC0200">
              <w:rPr>
                <w:rFonts w:eastAsia="Times New Roman" w:cs="Calibri"/>
                <w:noProof w:val="0"/>
                <w:kern w:val="0"/>
                <w:sz w:val="18"/>
                <w:szCs w:val="18"/>
                <w:lang w:eastAsia="en-US"/>
              </w:rPr>
              <w:t xml:space="preserve">The value of these volunteers’ time can be reliably measured by </w:t>
            </w:r>
            <w:r w:rsidR="00AA0B6B" w:rsidRPr="00AC0200">
              <w:rPr>
                <w:rFonts w:eastAsia="Times New Roman" w:cs="Calibri"/>
                <w:noProof w:val="0"/>
                <w:kern w:val="0"/>
                <w:sz w:val="18"/>
                <w:szCs w:val="18"/>
                <w:lang w:eastAsia="en-US"/>
              </w:rPr>
              <w:t>‘</w:t>
            </w:r>
            <w:r w:rsidR="00AA0B6B" w:rsidRPr="00AC0200">
              <w:rPr>
                <w:sz w:val="18"/>
                <w:szCs w:val="18"/>
              </w:rPr>
              <w:t xml:space="preserve">Burley Griffin </w:t>
            </w:r>
            <w:r w:rsidRPr="00AC0200">
              <w:rPr>
                <w:rFonts w:eastAsia="Times New Roman" w:cs="Calibri"/>
                <w:noProof w:val="0"/>
                <w:kern w:val="0"/>
                <w:sz w:val="18"/>
                <w:szCs w:val="18"/>
                <w:lang w:eastAsia="en-US"/>
              </w:rPr>
              <w:t>Agency’ as a number of quotes were obtained from the private sector to provide services for the festival, however these services were ultimately undertaken by volunteers.</w:t>
            </w:r>
            <w:r w:rsidR="00FA7C77">
              <w:rPr>
                <w:rFonts w:eastAsia="Times New Roman" w:cs="Calibri"/>
                <w:noProof w:val="0"/>
                <w:kern w:val="0"/>
                <w:sz w:val="18"/>
                <w:szCs w:val="18"/>
                <w:lang w:eastAsia="en-US"/>
              </w:rPr>
              <w:t xml:space="preserve"> </w:t>
            </w:r>
          </w:p>
        </w:tc>
      </w:tr>
      <w:tr w:rsidR="000A4241" w:rsidRPr="00CF7E1B" w14:paraId="7AC1E0AE" w14:textId="77777777" w:rsidTr="004E4105">
        <w:trPr>
          <w:gridAfter w:val="1"/>
          <w:wAfter w:w="65" w:type="pct"/>
          <w:cantSplit/>
        </w:trPr>
        <w:tc>
          <w:tcPr>
            <w:tcW w:w="735" w:type="pct"/>
            <w:tcBorders>
              <w:top w:val="nil"/>
              <w:left w:val="single" w:sz="2" w:space="0" w:color="auto"/>
              <w:bottom w:val="nil"/>
              <w:right w:val="single" w:sz="2" w:space="0" w:color="auto"/>
            </w:tcBorders>
          </w:tcPr>
          <w:p w14:paraId="5C91018C" w14:textId="77777777" w:rsidR="000A4241" w:rsidRPr="00AC0200" w:rsidRDefault="000A4241" w:rsidP="00A07F3D">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41F54E19" w14:textId="3EF8BAC7" w:rsidR="000A4241" w:rsidRPr="00AC0200" w:rsidRDefault="000A4241" w:rsidP="00A07F3D">
            <w:pPr>
              <w:pStyle w:val="Normal1"/>
              <w:spacing w:before="120"/>
              <w:jc w:val="both"/>
              <w:rPr>
                <w:rFonts w:eastAsia="Times New Roman" w:cs="Calibri"/>
                <w:noProof w:val="0"/>
                <w:kern w:val="0"/>
                <w:sz w:val="18"/>
                <w:szCs w:val="18"/>
                <w:lang w:eastAsia="en-US"/>
              </w:rPr>
            </w:pPr>
            <w:r w:rsidRPr="00AC0200">
              <w:rPr>
                <w:rFonts w:eastAsia="Times New Roman"/>
                <w:i/>
                <w:iCs/>
                <w:noProof w:val="0"/>
                <w:kern w:val="0"/>
                <w:sz w:val="18"/>
                <w:szCs w:val="18"/>
                <w:lang w:eastAsia="en-US"/>
              </w:rPr>
              <w:t xml:space="preserve">COVID-19 Administration and </w:t>
            </w:r>
            <w:r w:rsidR="00A07F3D" w:rsidRPr="00AC0200">
              <w:rPr>
                <w:rFonts w:eastAsia="Times New Roman"/>
                <w:i/>
                <w:iCs/>
                <w:noProof w:val="0"/>
                <w:kern w:val="0"/>
                <w:sz w:val="18"/>
                <w:szCs w:val="18"/>
                <w:lang w:eastAsia="en-US"/>
              </w:rPr>
              <w:t>L</w:t>
            </w:r>
            <w:r w:rsidRPr="00AC0200">
              <w:rPr>
                <w:rFonts w:eastAsia="Times New Roman"/>
                <w:i/>
                <w:iCs/>
                <w:noProof w:val="0"/>
                <w:kern w:val="0"/>
                <w:sz w:val="18"/>
                <w:szCs w:val="18"/>
                <w:lang w:eastAsia="en-US"/>
              </w:rPr>
              <w:t xml:space="preserve">ogistical </w:t>
            </w:r>
            <w:r w:rsidR="00A07F3D" w:rsidRPr="00AC0200">
              <w:rPr>
                <w:rFonts w:eastAsia="Times New Roman"/>
                <w:i/>
                <w:iCs/>
                <w:noProof w:val="0"/>
                <w:kern w:val="0"/>
                <w:sz w:val="18"/>
                <w:szCs w:val="18"/>
                <w:lang w:eastAsia="en-US"/>
              </w:rPr>
              <w:t>S</w:t>
            </w:r>
            <w:r w:rsidRPr="00AC0200">
              <w:rPr>
                <w:rFonts w:eastAsia="Times New Roman"/>
                <w:i/>
                <w:iCs/>
                <w:noProof w:val="0"/>
                <w:kern w:val="0"/>
                <w:sz w:val="18"/>
                <w:szCs w:val="18"/>
                <w:lang w:eastAsia="en-US"/>
              </w:rPr>
              <w:t>upport</w:t>
            </w:r>
          </w:p>
        </w:tc>
      </w:tr>
      <w:tr w:rsidR="00A07F3D" w:rsidRPr="00CF7E1B" w14:paraId="6A81FB80" w14:textId="77777777" w:rsidTr="004E4105">
        <w:trPr>
          <w:gridAfter w:val="1"/>
          <w:wAfter w:w="65" w:type="pct"/>
          <w:cantSplit/>
        </w:trPr>
        <w:tc>
          <w:tcPr>
            <w:tcW w:w="735" w:type="pct"/>
            <w:tcBorders>
              <w:top w:val="nil"/>
              <w:left w:val="single" w:sz="2" w:space="0" w:color="auto"/>
              <w:bottom w:val="nil"/>
              <w:right w:val="single" w:sz="2" w:space="0" w:color="auto"/>
            </w:tcBorders>
          </w:tcPr>
          <w:p w14:paraId="2AC12072" w14:textId="77777777" w:rsidR="00A07F3D" w:rsidRPr="00AC0200" w:rsidRDefault="00A07F3D" w:rsidP="00A23E0E">
            <w:pPr>
              <w:pStyle w:val="TableReference"/>
              <w:tabs>
                <w:tab w:val="left" w:pos="3306"/>
              </w:tabs>
              <w:spacing w:before="240"/>
              <w:rPr>
                <w:rFonts w:cs="Calibri"/>
                <w:b/>
                <w:color w:val="7030A0"/>
                <w:sz w:val="20"/>
                <w:szCs w:val="20"/>
              </w:rPr>
            </w:pPr>
          </w:p>
        </w:tc>
        <w:tc>
          <w:tcPr>
            <w:tcW w:w="4200" w:type="pct"/>
            <w:gridSpan w:val="3"/>
            <w:tcBorders>
              <w:top w:val="nil"/>
              <w:left w:val="single" w:sz="2" w:space="0" w:color="auto"/>
              <w:bottom w:val="nil"/>
              <w:right w:val="nil"/>
            </w:tcBorders>
          </w:tcPr>
          <w:p w14:paraId="4E0680A4" w14:textId="2A5C1E8F" w:rsidR="00A07F3D" w:rsidRPr="00AC0200" w:rsidRDefault="00A07F3D" w:rsidP="009B2E93">
            <w:pPr>
              <w:pStyle w:val="Normal1"/>
              <w:spacing w:after="120"/>
              <w:jc w:val="both"/>
              <w:rPr>
                <w:rFonts w:eastAsia="Times New Roman"/>
                <w:noProof w:val="0"/>
                <w:kern w:val="0"/>
                <w:sz w:val="18"/>
                <w:szCs w:val="18"/>
                <w:lang w:eastAsia="en-US"/>
              </w:rPr>
            </w:pPr>
            <w:bookmarkStart w:id="410" w:name="_Hlk107524395"/>
            <w:r w:rsidRPr="00AC0200">
              <w:rPr>
                <w:rFonts w:eastAsia="Times New Roman"/>
                <w:noProof w:val="0"/>
                <w:kern w:val="0"/>
                <w:sz w:val="18"/>
                <w:szCs w:val="18"/>
                <w:lang w:eastAsia="en-US"/>
              </w:rPr>
              <w:t>During the COVID-19 pandemic ‘Burley Griffin Agency’ received support</w:t>
            </w:r>
            <w:r w:rsidR="007B5795">
              <w:rPr>
                <w:rFonts w:eastAsia="Times New Roman"/>
                <w:noProof w:val="0"/>
                <w:kern w:val="0"/>
                <w:sz w:val="18"/>
                <w:szCs w:val="18"/>
                <w:lang w:eastAsia="en-US"/>
              </w:rPr>
              <w:t xml:space="preserve"> free of charge</w:t>
            </w:r>
            <w:r w:rsidRPr="00AC0200">
              <w:rPr>
                <w:rFonts w:eastAsia="Times New Roman"/>
                <w:noProof w:val="0"/>
                <w:kern w:val="0"/>
                <w:sz w:val="18"/>
                <w:szCs w:val="18"/>
                <w:lang w:eastAsia="en-US"/>
              </w:rPr>
              <w:t xml:space="preserve"> from other ACT Government Agencies with</w:t>
            </w:r>
            <w:r w:rsidR="00C8769B" w:rsidRPr="00AC0200">
              <w:rPr>
                <w:rFonts w:eastAsia="Times New Roman"/>
                <w:noProof w:val="0"/>
                <w:kern w:val="0"/>
                <w:sz w:val="18"/>
                <w:szCs w:val="18"/>
                <w:lang w:eastAsia="en-US"/>
              </w:rPr>
              <w:t xml:space="preserve"> the</w:t>
            </w:r>
            <w:r w:rsidR="00FA7C77">
              <w:rPr>
                <w:rFonts w:eastAsia="Times New Roman"/>
                <w:noProof w:val="0"/>
                <w:kern w:val="0"/>
                <w:sz w:val="18"/>
                <w:szCs w:val="18"/>
                <w:lang w:eastAsia="en-US"/>
              </w:rPr>
              <w:t xml:space="preserve"> </w:t>
            </w:r>
            <w:r w:rsidRPr="00AC0200">
              <w:rPr>
                <w:rFonts w:eastAsia="Times New Roman"/>
                <w:noProof w:val="0"/>
                <w:kern w:val="0"/>
                <w:sz w:val="18"/>
                <w:szCs w:val="18"/>
                <w:lang w:eastAsia="en-US"/>
              </w:rPr>
              <w:t xml:space="preserve"> administration of </w:t>
            </w:r>
            <w:r w:rsidR="00E213C9" w:rsidRPr="00AC0200">
              <w:rPr>
                <w:rFonts w:eastAsia="Times New Roman"/>
                <w:noProof w:val="0"/>
                <w:kern w:val="0"/>
                <w:sz w:val="18"/>
                <w:szCs w:val="18"/>
                <w:lang w:eastAsia="en-US"/>
              </w:rPr>
              <w:t>a</w:t>
            </w:r>
            <w:r w:rsidRPr="00AC0200">
              <w:rPr>
                <w:rFonts w:eastAsia="Times New Roman"/>
                <w:noProof w:val="0"/>
                <w:kern w:val="0"/>
                <w:sz w:val="18"/>
                <w:szCs w:val="18"/>
                <w:lang w:eastAsia="en-US"/>
              </w:rPr>
              <w:t xml:space="preserve"> new public transport timetable</w:t>
            </w:r>
            <w:r w:rsidR="00C8769B" w:rsidRPr="00AC0200">
              <w:rPr>
                <w:rFonts w:eastAsia="Times New Roman"/>
                <w:noProof w:val="0"/>
                <w:kern w:val="0"/>
                <w:sz w:val="18"/>
                <w:szCs w:val="18"/>
                <w:lang w:eastAsia="en-US"/>
              </w:rPr>
              <w:t>.</w:t>
            </w:r>
            <w:r w:rsidR="00FA7C77">
              <w:rPr>
                <w:rFonts w:eastAsia="Times New Roman"/>
                <w:noProof w:val="0"/>
                <w:kern w:val="0"/>
                <w:sz w:val="18"/>
                <w:szCs w:val="18"/>
                <w:lang w:eastAsia="en-US"/>
              </w:rPr>
              <w:t xml:space="preserve"> </w:t>
            </w:r>
            <w:r w:rsidR="00C8769B" w:rsidRPr="00AC0200">
              <w:rPr>
                <w:rFonts w:eastAsia="Times New Roman"/>
                <w:noProof w:val="0"/>
                <w:kern w:val="0"/>
                <w:sz w:val="18"/>
                <w:szCs w:val="18"/>
                <w:lang w:eastAsia="en-US"/>
              </w:rPr>
              <w:t xml:space="preserve">The timetable had to be altered </w:t>
            </w:r>
            <w:r w:rsidR="00BA03B6" w:rsidRPr="00BA03B6">
              <w:rPr>
                <w:rFonts w:eastAsia="Times New Roman"/>
                <w:noProof w:val="0"/>
                <w:color w:val="FF0000"/>
                <w:kern w:val="0"/>
                <w:sz w:val="18"/>
                <w:szCs w:val="18"/>
                <w:lang w:eastAsia="en-US"/>
              </w:rPr>
              <w:t xml:space="preserve">in 2021-22 </w:t>
            </w:r>
            <w:r w:rsidR="00C8769B" w:rsidRPr="00AC0200">
              <w:rPr>
                <w:rFonts w:eastAsia="Times New Roman"/>
                <w:noProof w:val="0"/>
                <w:kern w:val="0"/>
                <w:sz w:val="18"/>
                <w:szCs w:val="18"/>
                <w:lang w:eastAsia="en-US"/>
              </w:rPr>
              <w:t xml:space="preserve">due to the lockdown that occurred in Canberra </w:t>
            </w:r>
            <w:r w:rsidR="00C8769B" w:rsidRPr="00BA03B6">
              <w:rPr>
                <w:rFonts w:eastAsia="Times New Roman"/>
                <w:noProof w:val="0"/>
                <w:kern w:val="0"/>
                <w:sz w:val="18"/>
                <w:szCs w:val="18"/>
                <w:lang w:eastAsia="en-US"/>
              </w:rPr>
              <w:t xml:space="preserve">in August through to November 2021 </w:t>
            </w:r>
            <w:r w:rsidR="00EA5E45" w:rsidRPr="00BA03B6">
              <w:rPr>
                <w:rFonts w:eastAsia="Times New Roman"/>
                <w:noProof w:val="0"/>
                <w:kern w:val="0"/>
                <w:sz w:val="18"/>
                <w:szCs w:val="18"/>
                <w:lang w:eastAsia="en-US"/>
              </w:rPr>
              <w:t>resulting</w:t>
            </w:r>
            <w:r w:rsidR="00C8769B" w:rsidRPr="00BA03B6">
              <w:rPr>
                <w:rFonts w:eastAsia="Times New Roman"/>
                <w:noProof w:val="0"/>
                <w:kern w:val="0"/>
                <w:sz w:val="18"/>
                <w:szCs w:val="18"/>
                <w:lang w:eastAsia="en-US"/>
              </w:rPr>
              <w:t xml:space="preserve"> </w:t>
            </w:r>
            <w:r w:rsidR="00E213C9" w:rsidRPr="00BA03B6">
              <w:rPr>
                <w:rFonts w:eastAsia="Times New Roman"/>
                <w:noProof w:val="0"/>
                <w:kern w:val="0"/>
                <w:sz w:val="18"/>
                <w:szCs w:val="18"/>
                <w:lang w:eastAsia="en-US"/>
              </w:rPr>
              <w:t xml:space="preserve">from </w:t>
            </w:r>
            <w:r w:rsidR="00C8769B" w:rsidRPr="00BA03B6">
              <w:rPr>
                <w:rFonts w:eastAsia="Times New Roman"/>
                <w:noProof w:val="0"/>
                <w:kern w:val="0"/>
                <w:sz w:val="18"/>
                <w:szCs w:val="18"/>
                <w:lang w:eastAsia="en-US"/>
              </w:rPr>
              <w:t>a COVID outbreak</w:t>
            </w:r>
            <w:r w:rsidR="00C8769B" w:rsidRPr="00AC0200">
              <w:rPr>
                <w:rFonts w:eastAsia="Times New Roman"/>
                <w:noProof w:val="0"/>
                <w:kern w:val="0"/>
                <w:sz w:val="18"/>
                <w:szCs w:val="18"/>
                <w:lang w:eastAsia="en-US"/>
              </w:rPr>
              <w:t>.</w:t>
            </w:r>
            <w:bookmarkEnd w:id="410"/>
            <w:r w:rsidR="00FA7C77">
              <w:rPr>
                <w:rFonts w:eastAsia="Times New Roman"/>
                <w:noProof w:val="0"/>
                <w:kern w:val="0"/>
                <w:sz w:val="18"/>
                <w:szCs w:val="18"/>
                <w:lang w:eastAsia="en-US"/>
              </w:rPr>
              <w:t xml:space="preserve"> </w:t>
            </w:r>
            <w:r w:rsidRPr="00AC0200">
              <w:rPr>
                <w:rFonts w:eastAsia="Times New Roman"/>
                <w:noProof w:val="0"/>
                <w:kern w:val="0"/>
                <w:sz w:val="18"/>
                <w:szCs w:val="18"/>
                <w:lang w:eastAsia="en-US"/>
              </w:rPr>
              <w:t xml:space="preserve"> </w:t>
            </w:r>
            <w:r w:rsidR="00BA03B6" w:rsidRPr="00BA03B6">
              <w:rPr>
                <w:rFonts w:eastAsia="Times New Roman"/>
                <w:noProof w:val="0"/>
                <w:color w:val="FF0000"/>
                <w:kern w:val="0"/>
                <w:sz w:val="18"/>
                <w:szCs w:val="18"/>
                <w:lang w:eastAsia="en-US"/>
              </w:rPr>
              <w:t xml:space="preserve">The timetable has had to be altered again in 2022-23 </w:t>
            </w:r>
            <w:r w:rsidR="006137DD">
              <w:rPr>
                <w:rFonts w:eastAsia="Times New Roman"/>
                <w:noProof w:val="0"/>
                <w:color w:val="FF0000"/>
                <w:kern w:val="0"/>
                <w:sz w:val="18"/>
                <w:szCs w:val="18"/>
                <w:lang w:eastAsia="en-US"/>
              </w:rPr>
              <w:t xml:space="preserve">due to the </w:t>
            </w:r>
            <w:r w:rsidR="00BA03B6" w:rsidRPr="00BA03B6">
              <w:rPr>
                <w:rFonts w:eastAsia="Times New Roman"/>
                <w:noProof w:val="0"/>
                <w:color w:val="FF0000"/>
                <w:kern w:val="0"/>
                <w:sz w:val="18"/>
                <w:szCs w:val="18"/>
                <w:lang w:eastAsia="en-US"/>
              </w:rPr>
              <w:t>steady</w:t>
            </w:r>
            <w:r w:rsidR="00BA03B6">
              <w:rPr>
                <w:rFonts w:eastAsia="Times New Roman"/>
                <w:noProof w:val="0"/>
                <w:kern w:val="0"/>
                <w:sz w:val="18"/>
                <w:szCs w:val="18"/>
                <w:lang w:eastAsia="en-US"/>
              </w:rPr>
              <w:t xml:space="preserve"> </w:t>
            </w:r>
            <w:r w:rsidR="00BA03B6" w:rsidRPr="00BA03B6">
              <w:rPr>
                <w:rFonts w:eastAsia="Times New Roman"/>
                <w:noProof w:val="0"/>
                <w:color w:val="FF0000"/>
                <w:kern w:val="0"/>
                <w:sz w:val="18"/>
                <w:szCs w:val="18"/>
                <w:lang w:eastAsia="en-US"/>
              </w:rPr>
              <w:t>increase in the</w:t>
            </w:r>
            <w:r w:rsidR="00BA03B6">
              <w:rPr>
                <w:rFonts w:eastAsia="Times New Roman"/>
                <w:noProof w:val="0"/>
                <w:color w:val="FF0000"/>
                <w:kern w:val="0"/>
                <w:sz w:val="18"/>
                <w:szCs w:val="18"/>
                <w:lang w:eastAsia="en-US"/>
              </w:rPr>
              <w:t xml:space="preserve"> volume of public transport services being offered </w:t>
            </w:r>
            <w:r w:rsidR="006137DD">
              <w:rPr>
                <w:rFonts w:eastAsia="Times New Roman"/>
                <w:noProof w:val="0"/>
                <w:color w:val="FF0000"/>
                <w:kern w:val="0"/>
                <w:sz w:val="18"/>
                <w:szCs w:val="18"/>
                <w:lang w:eastAsia="en-US"/>
              </w:rPr>
              <w:t xml:space="preserve">to the public </w:t>
            </w:r>
            <w:r w:rsidR="00BA03B6">
              <w:rPr>
                <w:rFonts w:eastAsia="Times New Roman"/>
                <w:noProof w:val="0"/>
                <w:color w:val="FF0000"/>
                <w:kern w:val="0"/>
                <w:sz w:val="18"/>
                <w:szCs w:val="18"/>
                <w:lang w:eastAsia="en-US"/>
              </w:rPr>
              <w:t>after the</w:t>
            </w:r>
            <w:r w:rsidR="006137DD">
              <w:rPr>
                <w:rFonts w:eastAsia="Times New Roman"/>
                <w:noProof w:val="0"/>
                <w:color w:val="FF0000"/>
                <w:kern w:val="0"/>
                <w:sz w:val="18"/>
                <w:szCs w:val="18"/>
                <w:lang w:eastAsia="en-US"/>
              </w:rPr>
              <w:t xml:space="preserve"> lockdown was lifted.</w:t>
            </w:r>
          </w:p>
        </w:tc>
      </w:tr>
      <w:bookmarkEnd w:id="398"/>
      <w:tr w:rsidR="004E4105" w:rsidRPr="00CF7E1B" w14:paraId="6D405B62"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FDD049C" w14:textId="77777777"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2D067EEF" w14:textId="47738170" w:rsidR="004E4105" w:rsidRPr="00B73007" w:rsidRDefault="004E4105" w:rsidP="004E4105">
            <w:pPr>
              <w:jc w:val="both"/>
              <w:rPr>
                <w:i/>
                <w:iCs/>
                <w:sz w:val="18"/>
                <w:szCs w:val="18"/>
              </w:rPr>
            </w:pPr>
            <w:r w:rsidRPr="00B73007">
              <w:rPr>
                <w:i/>
                <w:iCs/>
                <w:color w:val="FF0000"/>
                <w:sz w:val="18"/>
                <w:szCs w:val="18"/>
              </w:rPr>
              <w:t>Concessional Loan Discount Income</w:t>
            </w:r>
          </w:p>
        </w:tc>
      </w:tr>
      <w:tr w:rsidR="004E4105" w:rsidRPr="00CF7E1B" w14:paraId="26601349"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676EDE1" w14:textId="77777777"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5398B97" w14:textId="5B049657" w:rsidR="004E4105" w:rsidRPr="00B73007" w:rsidRDefault="004E4105" w:rsidP="004E4105">
            <w:pPr>
              <w:spacing w:after="120"/>
              <w:jc w:val="both"/>
              <w:rPr>
                <w:color w:val="FF0000"/>
                <w:sz w:val="18"/>
                <w:szCs w:val="18"/>
              </w:rPr>
            </w:pPr>
            <w:r w:rsidRPr="00B73007">
              <w:rPr>
                <w:color w:val="FF0000"/>
                <w:sz w:val="18"/>
                <w:szCs w:val="18"/>
              </w:rPr>
              <w:t>In July 2022 ‘Burley Griffin Agency’ received a concessional loan from the Environment, Planning and Sustainable Development Directorate under the ‘Zero Emissions Government Fund’. Under this scheme</w:t>
            </w:r>
            <w:r w:rsidR="00144DAB" w:rsidRPr="00B73007">
              <w:rPr>
                <w:color w:val="FF0000"/>
                <w:sz w:val="18"/>
                <w:szCs w:val="18"/>
              </w:rPr>
              <w:t>,</w:t>
            </w:r>
            <w:r w:rsidRPr="00B73007">
              <w:rPr>
                <w:color w:val="FF0000"/>
                <w:sz w:val="18"/>
                <w:szCs w:val="18"/>
              </w:rPr>
              <w:t xml:space="preserve"> loans are provided to other ACT Government agencies to undertake larger scale energy and resource efficien</w:t>
            </w:r>
            <w:r w:rsidR="00793DF2" w:rsidRPr="00B73007">
              <w:rPr>
                <w:color w:val="FF0000"/>
                <w:sz w:val="18"/>
                <w:szCs w:val="18"/>
              </w:rPr>
              <w:t>t</w:t>
            </w:r>
            <w:r w:rsidRPr="00B73007">
              <w:rPr>
                <w:color w:val="FF0000"/>
                <w:sz w:val="18"/>
                <w:szCs w:val="18"/>
              </w:rPr>
              <w:t xml:space="preserve"> projects to reduce greenhouse gas emissions and to reduce the impacts of rising utility costs. For further details in relation to this concessional loan scheme refer to Note 25 </w:t>
            </w:r>
            <w:r w:rsidRPr="00B73007">
              <w:rPr>
                <w:i/>
                <w:iCs/>
                <w:color w:val="FF0000"/>
                <w:sz w:val="18"/>
                <w:szCs w:val="18"/>
              </w:rPr>
              <w:t>Borrowings</w:t>
            </w:r>
            <w:r w:rsidRPr="00B73007">
              <w:rPr>
                <w:color w:val="FF0000"/>
                <w:sz w:val="18"/>
                <w:szCs w:val="18"/>
              </w:rPr>
              <w:t>.</w:t>
            </w:r>
          </w:p>
          <w:p w14:paraId="6B90A03C" w14:textId="7BACFAE4" w:rsidR="004E4105" w:rsidRPr="00B73007" w:rsidRDefault="004E4105" w:rsidP="004E4105">
            <w:pPr>
              <w:spacing w:after="120"/>
              <w:jc w:val="both"/>
              <w:rPr>
                <w:i/>
                <w:iCs/>
                <w:sz w:val="18"/>
                <w:szCs w:val="18"/>
              </w:rPr>
            </w:pPr>
            <w:r w:rsidRPr="00B73007">
              <w:rPr>
                <w:color w:val="FF0000"/>
                <w:sz w:val="18"/>
                <w:szCs w:val="18"/>
              </w:rPr>
              <w:t>Concessional Loan Discount Income is recognised at the commencement of the concessional loan and is measured as the difference between the present value of the loan calculated using the concessional rate (face value) and the present value of the loan calculated using the market rate (fair value).</w:t>
            </w:r>
          </w:p>
        </w:tc>
      </w:tr>
      <w:tr w:rsidR="004E4105" w:rsidRPr="00CF7E1B" w14:paraId="100DAFFA"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C9136AD" w14:textId="77777777"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9EB399B" w14:textId="4931C686" w:rsidR="004E4105" w:rsidRPr="00B73007" w:rsidRDefault="00165BDF" w:rsidP="004E4105">
            <w:pPr>
              <w:jc w:val="both"/>
              <w:rPr>
                <w:b/>
                <w:bCs/>
                <w:i/>
                <w:iCs/>
                <w:caps/>
                <w:color w:val="538135" w:themeColor="accent6" w:themeShade="BF"/>
                <w:sz w:val="18"/>
                <w:szCs w:val="18"/>
              </w:rPr>
            </w:pPr>
            <w:bookmarkStart w:id="411" w:name="_Toc98763066"/>
            <w:r w:rsidRPr="00B73007">
              <w:rPr>
                <w:i/>
                <w:iCs/>
                <w:color w:val="FF0000"/>
                <w:sz w:val="18"/>
                <w:szCs w:val="18"/>
              </w:rPr>
              <w:t xml:space="preserve">Grants with Sufficiently Specific Performance Obligations </w:t>
            </w:r>
            <w:r w:rsidR="004E4105" w:rsidRPr="00B73007">
              <w:rPr>
                <w:i/>
                <w:iCs/>
                <w:strike/>
                <w:color w:val="538135" w:themeColor="accent6" w:themeShade="BF"/>
                <w:sz w:val="18"/>
                <w:szCs w:val="18"/>
              </w:rPr>
              <w:t>Other Grants and Contributions</w:t>
            </w:r>
            <w:bookmarkEnd w:id="411"/>
          </w:p>
        </w:tc>
      </w:tr>
      <w:tr w:rsidR="004E4105" w:rsidRPr="00CF7E1B" w14:paraId="74BFE3A4"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191F3EE" w14:textId="77777777"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5747B38C" w14:textId="096D5FAB" w:rsidR="004E4105" w:rsidRPr="00B73007" w:rsidRDefault="004E4105" w:rsidP="004E4105">
            <w:pPr>
              <w:spacing w:after="120"/>
              <w:jc w:val="both"/>
              <w:rPr>
                <w:b/>
                <w:bCs/>
                <w:caps/>
                <w:sz w:val="18"/>
                <w:szCs w:val="18"/>
              </w:rPr>
            </w:pPr>
            <w:bookmarkStart w:id="412" w:name="_Toc98763067"/>
            <w:r w:rsidRPr="00B73007">
              <w:rPr>
                <w:sz w:val="18"/>
                <w:szCs w:val="18"/>
              </w:rPr>
              <w:t>‘Grants with Sufficiently Specific Performance Obligations’ are recognised as revenue over time in accordance with AASB 15 when ‘Burley Griffin Agency’ satisfies the milestones contained in the funding agreement relating to the conduct of relevant ecological surveys for ‘Example Commonwealth Department’. The funding payments are normally received in advance however are not recognised as revenue until after the relevant obligation is satisfied.</w:t>
            </w:r>
            <w:bookmarkEnd w:id="412"/>
          </w:p>
        </w:tc>
      </w:tr>
      <w:tr w:rsidR="00165BDF" w:rsidRPr="00CF7E1B" w14:paraId="207BE08A"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F8A08E9" w14:textId="77777777" w:rsidR="00165BDF" w:rsidRPr="00AC0200" w:rsidRDefault="00165BDF"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D8488AB" w14:textId="33305F78" w:rsidR="00165BDF" w:rsidRPr="00B73007" w:rsidRDefault="00165BDF" w:rsidP="00165BDF">
            <w:pPr>
              <w:jc w:val="both"/>
              <w:rPr>
                <w:sz w:val="18"/>
                <w:szCs w:val="18"/>
              </w:rPr>
            </w:pPr>
            <w:r w:rsidRPr="00B73007">
              <w:rPr>
                <w:i/>
                <w:iCs/>
                <w:color w:val="538135" w:themeColor="accent6" w:themeShade="BF"/>
                <w:sz w:val="18"/>
                <w:szCs w:val="18"/>
              </w:rPr>
              <w:t>Other Grants and Contributions</w:t>
            </w:r>
          </w:p>
        </w:tc>
      </w:tr>
      <w:tr w:rsidR="004E4105" w:rsidRPr="00CF7E1B" w14:paraId="629C4097" w14:textId="77777777" w:rsidTr="004E4105">
        <w:trPr>
          <w:gridAfter w:val="1"/>
          <w:wAfter w:w="65" w:type="pct"/>
          <w:cantSplit/>
          <w:trHeight w:val="1619"/>
        </w:trPr>
        <w:tc>
          <w:tcPr>
            <w:tcW w:w="735" w:type="pct"/>
            <w:tcBorders>
              <w:top w:val="nil"/>
              <w:left w:val="single" w:sz="2" w:space="0" w:color="auto"/>
              <w:bottom w:val="nil"/>
              <w:right w:val="single" w:sz="2" w:space="0" w:color="auto"/>
            </w:tcBorders>
          </w:tcPr>
          <w:p w14:paraId="7D54EC6F" w14:textId="77777777" w:rsidR="004E4105" w:rsidRDefault="004E4105" w:rsidP="004E4105">
            <w:pPr>
              <w:pStyle w:val="TableReference"/>
              <w:tabs>
                <w:tab w:val="left" w:pos="3306"/>
              </w:tabs>
              <w:rPr>
                <w:color w:val="7030A0"/>
                <w:sz w:val="14"/>
              </w:rPr>
            </w:pPr>
          </w:p>
          <w:p w14:paraId="04FA438D" w14:textId="228C5992" w:rsidR="004E4105" w:rsidRPr="00AC0200" w:rsidRDefault="004E4105" w:rsidP="004E4105">
            <w:pPr>
              <w:pStyle w:val="TableReference"/>
              <w:tabs>
                <w:tab w:val="left" w:pos="3306"/>
              </w:tabs>
              <w:rPr>
                <w:color w:val="7030A0"/>
                <w:sz w:val="14"/>
              </w:rPr>
            </w:pPr>
            <w:r w:rsidRPr="00AC0200">
              <w:rPr>
                <w:color w:val="7030A0"/>
                <w:sz w:val="14"/>
              </w:rPr>
              <w:t xml:space="preserve">AASB 15.31 </w:t>
            </w:r>
          </w:p>
          <w:p w14:paraId="0FFE1F43" w14:textId="77777777" w:rsidR="004E4105" w:rsidRPr="00AC0200" w:rsidRDefault="004E4105" w:rsidP="004E4105">
            <w:pPr>
              <w:pStyle w:val="TableReference"/>
              <w:tabs>
                <w:tab w:val="left" w:pos="3306"/>
              </w:tabs>
              <w:rPr>
                <w:color w:val="7030A0"/>
                <w:sz w:val="14"/>
              </w:rPr>
            </w:pPr>
            <w:r w:rsidRPr="00AC0200">
              <w:rPr>
                <w:color w:val="7030A0"/>
                <w:sz w:val="14"/>
              </w:rPr>
              <w:t>AASB 1058.16</w:t>
            </w:r>
          </w:p>
          <w:p w14:paraId="5408CF1B" w14:textId="2302192B" w:rsidR="004E4105" w:rsidRPr="00AC0200" w:rsidRDefault="004E4105" w:rsidP="004E4105">
            <w:pPr>
              <w:pStyle w:val="TableReference"/>
              <w:tabs>
                <w:tab w:val="left" w:pos="3306"/>
              </w:tabs>
              <w:rPr>
                <w:rFonts w:cs="Calibri"/>
                <w:b/>
                <w:color w:val="7030A0"/>
                <w:sz w:val="14"/>
              </w:rPr>
            </w:pPr>
            <w:r w:rsidRPr="00AC0200">
              <w:rPr>
                <w:color w:val="7030A0"/>
                <w:sz w:val="14"/>
              </w:rPr>
              <w:t>AASB 1058.35</w:t>
            </w:r>
          </w:p>
        </w:tc>
        <w:tc>
          <w:tcPr>
            <w:tcW w:w="4200" w:type="pct"/>
            <w:gridSpan w:val="3"/>
            <w:tcBorders>
              <w:top w:val="nil"/>
              <w:left w:val="single" w:sz="2" w:space="0" w:color="auto"/>
              <w:bottom w:val="nil"/>
              <w:right w:val="nil"/>
            </w:tcBorders>
          </w:tcPr>
          <w:p w14:paraId="70FE309F" w14:textId="4EDD69F5" w:rsidR="004E4105" w:rsidRPr="00B73007" w:rsidRDefault="004E4105" w:rsidP="004E4105">
            <w:pPr>
              <w:spacing w:after="60"/>
              <w:jc w:val="both"/>
              <w:rPr>
                <w:rFonts w:cs="Calibri"/>
                <w:sz w:val="18"/>
                <w:szCs w:val="18"/>
              </w:rPr>
            </w:pPr>
            <w:r w:rsidRPr="00B73007">
              <w:rPr>
                <w:rFonts w:cs="Calibri"/>
                <w:sz w:val="18"/>
                <w:szCs w:val="18"/>
              </w:rPr>
              <w:t xml:space="preserve">With the exception of the </w:t>
            </w:r>
            <w:r w:rsidR="00165BDF" w:rsidRPr="00B73007">
              <w:rPr>
                <w:rFonts w:cs="Calibri"/>
                <w:color w:val="FF0000"/>
                <w:sz w:val="18"/>
                <w:szCs w:val="18"/>
              </w:rPr>
              <w:t>‘</w:t>
            </w:r>
            <w:r w:rsidR="00165BDF" w:rsidRPr="00B73007">
              <w:rPr>
                <w:color w:val="FF0000"/>
                <w:sz w:val="18"/>
                <w:szCs w:val="18"/>
              </w:rPr>
              <w:t>Concessional Loan Discount Income’ and the</w:t>
            </w:r>
            <w:r w:rsidR="00165BDF" w:rsidRPr="00B73007">
              <w:rPr>
                <w:rFonts w:cs="Calibri"/>
                <w:color w:val="FF0000"/>
                <w:sz w:val="18"/>
                <w:szCs w:val="18"/>
              </w:rPr>
              <w:t xml:space="preserve"> </w:t>
            </w:r>
            <w:r w:rsidRPr="00B73007">
              <w:rPr>
                <w:rFonts w:cs="Calibri"/>
                <w:sz w:val="18"/>
                <w:szCs w:val="18"/>
              </w:rPr>
              <w:t>‘Grants with Sufficiently Specific Performance Obligations’ line item</w:t>
            </w:r>
            <w:r w:rsidR="00765778" w:rsidRPr="00B73007">
              <w:rPr>
                <w:rFonts w:cs="Calibri"/>
                <w:color w:val="FF0000"/>
                <w:sz w:val="18"/>
                <w:szCs w:val="18"/>
              </w:rPr>
              <w:t>s</w:t>
            </w:r>
            <w:r w:rsidRPr="00B73007">
              <w:rPr>
                <w:rFonts w:cs="Calibri"/>
                <w:sz w:val="18"/>
                <w:szCs w:val="18"/>
              </w:rPr>
              <w:t>, ‘</w:t>
            </w:r>
            <w:r w:rsidRPr="00B73007">
              <w:rPr>
                <w:sz w:val="18"/>
                <w:szCs w:val="18"/>
              </w:rPr>
              <w:t>Burley Griffin</w:t>
            </w:r>
            <w:r w:rsidRPr="00B73007">
              <w:rPr>
                <w:rFonts w:cs="Calibri"/>
                <w:sz w:val="18"/>
                <w:szCs w:val="18"/>
              </w:rPr>
              <w:t xml:space="preserve"> Agency’ has determined that the agreements/arrangements relating to ‘Other Grants and Contributions’ line items included in this note are not enforceable and they do not contain sufficiently specific performance obligations for recognising revenue from contracts with customers under AASB 15. </w:t>
            </w:r>
            <w:bookmarkStart w:id="413" w:name="_Hlk107524637"/>
            <w:r w:rsidRPr="00B73007">
              <w:rPr>
                <w:rFonts w:cs="Calibri"/>
                <w:sz w:val="18"/>
                <w:szCs w:val="18"/>
              </w:rPr>
              <w:t xml:space="preserve">This is because </w:t>
            </w:r>
            <w:bookmarkEnd w:id="413"/>
            <w:r w:rsidRPr="00B73007">
              <w:rPr>
                <w:rFonts w:cs="Calibri"/>
                <w:sz w:val="18"/>
                <w:szCs w:val="18"/>
              </w:rPr>
              <w:t xml:space="preserve">none of the arrangements require ‘Burley Griffin Agency’ to provide an equal amount in return for the consideration received. As such, AASB 1058 has been applied for recognising this revenue. This revenue is recognised upon receipt of the donation, the grant funding or restructure fund receipts, with the exception of the ‘Grants to Acquire or Construct Assets to be Controlled by the Agency’ line item. </w:t>
            </w:r>
          </w:p>
        </w:tc>
      </w:tr>
      <w:tr w:rsidR="004E4105" w:rsidRPr="00CF7E1B" w14:paraId="4F21E3F6"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278C867" w14:textId="77777777" w:rsidR="004E4105" w:rsidRPr="00AC0200" w:rsidRDefault="004E4105" w:rsidP="004E4105">
            <w:pPr>
              <w:pStyle w:val="TableReference"/>
              <w:tabs>
                <w:tab w:val="left" w:pos="3306"/>
              </w:tabs>
              <w:rPr>
                <w:rFonts w:cs="Calibri"/>
                <w:b/>
                <w:color w:val="7030A0"/>
                <w:sz w:val="20"/>
                <w:szCs w:val="20"/>
              </w:rPr>
            </w:pPr>
          </w:p>
          <w:p w14:paraId="0560CB55" w14:textId="77777777" w:rsidR="004E4105" w:rsidRPr="00AC0200" w:rsidRDefault="004E4105" w:rsidP="004E4105">
            <w:pPr>
              <w:pStyle w:val="TableReference"/>
              <w:tabs>
                <w:tab w:val="left" w:pos="3306"/>
              </w:tabs>
              <w:rPr>
                <w:rFonts w:cs="Calibri"/>
                <w:b/>
                <w:color w:val="7030A0"/>
                <w:sz w:val="20"/>
                <w:szCs w:val="20"/>
              </w:rPr>
            </w:pPr>
          </w:p>
          <w:p w14:paraId="57AEAD30" w14:textId="3EACC726"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216783F9" w14:textId="0861D5DA" w:rsidR="004E4105" w:rsidRPr="00EC1A8A" w:rsidRDefault="004E4105" w:rsidP="004E4105">
            <w:pPr>
              <w:jc w:val="both"/>
              <w:rPr>
                <w:rFonts w:asciiTheme="minorHAnsi" w:hAnsiTheme="minorHAnsi" w:cstheme="minorHAnsi"/>
                <w:b/>
                <w:bCs/>
                <w:caps/>
                <w:sz w:val="18"/>
                <w:szCs w:val="18"/>
              </w:rPr>
            </w:pPr>
            <w:bookmarkStart w:id="414" w:name="_Toc98763068"/>
            <w:r w:rsidRPr="00EC1A8A">
              <w:rPr>
                <w:sz w:val="18"/>
                <w:szCs w:val="18"/>
              </w:rPr>
              <w:t>Where</w:t>
            </w:r>
            <w:r w:rsidRPr="00EC1A8A">
              <w:rPr>
                <w:rFonts w:asciiTheme="minorHAnsi" w:hAnsiTheme="minorHAnsi" w:cstheme="minorHAnsi"/>
                <w:sz w:val="18"/>
                <w:szCs w:val="18"/>
              </w:rPr>
              <w:t xml:space="preserve"> </w:t>
            </w:r>
            <w:r w:rsidRPr="00EC1A8A">
              <w:rPr>
                <w:sz w:val="18"/>
                <w:szCs w:val="18"/>
              </w:rPr>
              <w:t>‘Burley Griffin Agency’</w:t>
            </w:r>
            <w:r w:rsidRPr="00EC1A8A">
              <w:rPr>
                <w:rFonts w:asciiTheme="minorHAnsi" w:hAnsiTheme="minorHAnsi" w:cstheme="minorHAnsi"/>
                <w:sz w:val="18"/>
                <w:szCs w:val="18"/>
              </w:rPr>
              <w:t xml:space="preserve"> </w:t>
            </w:r>
            <w:r w:rsidRPr="00EC1A8A">
              <w:rPr>
                <w:sz w:val="18"/>
                <w:szCs w:val="18"/>
              </w:rPr>
              <w:t>receives</w:t>
            </w:r>
            <w:r w:rsidRPr="00EC1A8A">
              <w:rPr>
                <w:rFonts w:asciiTheme="minorHAnsi" w:hAnsiTheme="minorHAnsi" w:cstheme="minorHAnsi"/>
                <w:sz w:val="18"/>
                <w:szCs w:val="18"/>
              </w:rPr>
              <w:t xml:space="preserve"> </w:t>
            </w:r>
            <w:r w:rsidRPr="00EC1A8A">
              <w:rPr>
                <w:sz w:val="18"/>
                <w:szCs w:val="18"/>
              </w:rPr>
              <w:t>‘Grants to Acquire or Construct Assets to be Controlled by the Agency’</w:t>
            </w:r>
            <w:r w:rsidRPr="00EC1A8A">
              <w:rPr>
                <w:rFonts w:asciiTheme="minorHAnsi" w:hAnsiTheme="minorHAnsi" w:cstheme="minorHAnsi"/>
                <w:sz w:val="18"/>
                <w:szCs w:val="18"/>
              </w:rPr>
              <w:t xml:space="preserve"> </w:t>
            </w:r>
            <w:r w:rsidRPr="00EC1A8A">
              <w:rPr>
                <w:sz w:val="18"/>
                <w:szCs w:val="18"/>
              </w:rPr>
              <w:t xml:space="preserve">that meet the following </w:t>
            </w:r>
            <w:r w:rsidRPr="00EC1A8A">
              <w:rPr>
                <w:color w:val="FF0000"/>
                <w:sz w:val="18"/>
                <w:szCs w:val="18"/>
              </w:rPr>
              <w:t>criteria</w:t>
            </w:r>
            <w:r w:rsidRPr="00EC1A8A">
              <w:rPr>
                <w:rFonts w:asciiTheme="minorHAnsi" w:hAnsiTheme="minorHAnsi" w:cstheme="minorHAnsi"/>
                <w:sz w:val="18"/>
                <w:szCs w:val="18"/>
              </w:rPr>
              <w:t>:</w:t>
            </w:r>
            <w:bookmarkEnd w:id="414"/>
          </w:p>
          <w:p w14:paraId="1B3EACEB" w14:textId="77777777" w:rsidR="004E4105" w:rsidRPr="00EC1A8A" w:rsidRDefault="004E4105" w:rsidP="00B340DF">
            <w:pPr>
              <w:pStyle w:val="ListParagraph"/>
              <w:numPr>
                <w:ilvl w:val="0"/>
                <w:numId w:val="87"/>
              </w:numPr>
              <w:contextualSpacing w:val="0"/>
              <w:jc w:val="both"/>
              <w:rPr>
                <w:sz w:val="18"/>
                <w:szCs w:val="18"/>
              </w:rPr>
            </w:pPr>
            <w:r w:rsidRPr="00EC1A8A">
              <w:rPr>
                <w:sz w:val="18"/>
                <w:szCs w:val="18"/>
              </w:rPr>
              <w:t>the contract is enforceable;</w:t>
            </w:r>
          </w:p>
          <w:p w14:paraId="4E7C7575" w14:textId="1095B4BB" w:rsidR="004E4105" w:rsidRPr="00EC1A8A" w:rsidRDefault="004E4105" w:rsidP="00B340DF">
            <w:pPr>
              <w:pStyle w:val="ListParagraph"/>
              <w:numPr>
                <w:ilvl w:val="0"/>
                <w:numId w:val="87"/>
              </w:numPr>
              <w:contextualSpacing w:val="0"/>
              <w:jc w:val="both"/>
              <w:rPr>
                <w:sz w:val="18"/>
                <w:szCs w:val="18"/>
              </w:rPr>
            </w:pPr>
            <w:r w:rsidRPr="00EC1A8A">
              <w:rPr>
                <w:sz w:val="18"/>
                <w:szCs w:val="18"/>
              </w:rPr>
              <w:t>the financial asset is to be used to acquire or construct a non-financial asset which will be recognised by the agency; and</w:t>
            </w:r>
          </w:p>
          <w:p w14:paraId="6336FA01" w14:textId="17B2EB4A" w:rsidR="004E4105" w:rsidRPr="00EC1A8A" w:rsidRDefault="004E4105" w:rsidP="00B340DF">
            <w:pPr>
              <w:pStyle w:val="ListParagraph"/>
              <w:numPr>
                <w:ilvl w:val="0"/>
                <w:numId w:val="87"/>
              </w:numPr>
              <w:contextualSpacing w:val="0"/>
              <w:jc w:val="both"/>
              <w:rPr>
                <w:sz w:val="18"/>
                <w:szCs w:val="18"/>
              </w:rPr>
            </w:pPr>
            <w:r w:rsidRPr="00EC1A8A">
              <w:rPr>
                <w:sz w:val="18"/>
                <w:szCs w:val="18"/>
              </w:rPr>
              <w:t>the asset is not required to be transferred to any other party;</w:t>
            </w:r>
          </w:p>
        </w:tc>
      </w:tr>
      <w:tr w:rsidR="004E4105" w:rsidRPr="00CF7E1B" w14:paraId="490580F9"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2CFB819" w14:textId="6D66D761" w:rsidR="004E4105" w:rsidRPr="00AC0200" w:rsidRDefault="004E4105" w:rsidP="004E4105">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45D64AEF" w14:textId="7A3264D5" w:rsidR="004E4105" w:rsidRPr="00EC1A8A" w:rsidRDefault="004E4105" w:rsidP="004E4105">
            <w:pPr>
              <w:spacing w:after="120"/>
              <w:jc w:val="both"/>
              <w:rPr>
                <w:rFonts w:cs="Calibri"/>
                <w:sz w:val="18"/>
                <w:szCs w:val="18"/>
              </w:rPr>
            </w:pPr>
            <w:r w:rsidRPr="00EC1A8A">
              <w:rPr>
                <w:sz w:val="18"/>
                <w:szCs w:val="18"/>
              </w:rPr>
              <w:t xml:space="preserve">then a liability is recognised on receipt of funds and revenue is recognised as the acquisition or construction occurs, </w:t>
            </w:r>
            <w:r w:rsidRPr="00EC1A8A">
              <w:rPr>
                <w:rFonts w:cs="Calibri"/>
                <w:sz w:val="18"/>
                <w:szCs w:val="18"/>
              </w:rPr>
              <w:t>using a progressive percentage of costs incurred because this most closely reflects the progress to completion</w:t>
            </w:r>
            <w:r w:rsidRPr="00EC1A8A">
              <w:rPr>
                <w:sz w:val="18"/>
                <w:szCs w:val="18"/>
              </w:rPr>
              <w:t xml:space="preserve">. </w:t>
            </w:r>
          </w:p>
        </w:tc>
      </w:tr>
      <w:bookmarkEnd w:id="408"/>
    </w:tbl>
    <w:p w14:paraId="291B38C6" w14:textId="77777777" w:rsidR="006B168B" w:rsidRDefault="006B168B">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6652"/>
        <w:gridCol w:w="13"/>
        <w:gridCol w:w="1134"/>
        <w:gridCol w:w="17"/>
        <w:gridCol w:w="1119"/>
      </w:tblGrid>
      <w:tr w:rsidR="006B168B" w:rsidRPr="00CF7E1B" w14:paraId="08DD49A8" w14:textId="77777777" w:rsidTr="000477B1">
        <w:tc>
          <w:tcPr>
            <w:tcW w:w="745" w:type="pct"/>
            <w:tcBorders>
              <w:top w:val="nil"/>
              <w:left w:val="single" w:sz="2" w:space="0" w:color="auto"/>
              <w:bottom w:val="nil"/>
              <w:right w:val="single" w:sz="2" w:space="0" w:color="auto"/>
            </w:tcBorders>
          </w:tcPr>
          <w:p w14:paraId="0B0918DC" w14:textId="321C134B" w:rsidR="006B168B" w:rsidRPr="00AC0200" w:rsidRDefault="006B168B" w:rsidP="006B168B">
            <w:pPr>
              <w:pStyle w:val="TableReference"/>
              <w:tabs>
                <w:tab w:val="left" w:pos="3306"/>
              </w:tabs>
              <w:spacing w:after="240"/>
              <w:rPr>
                <w:rFonts w:cs="Calibri"/>
                <w:b/>
                <w:color w:val="7030A0"/>
                <w:sz w:val="22"/>
                <w:szCs w:val="22"/>
              </w:rPr>
            </w:pPr>
            <w:r w:rsidRPr="00AC0200">
              <w:rPr>
                <w:rFonts w:cs="Calibri"/>
                <w:b/>
                <w:color w:val="7030A0"/>
                <w:sz w:val="20"/>
                <w:szCs w:val="20"/>
              </w:rPr>
              <w:br w:type="page"/>
            </w:r>
            <w:r w:rsidRPr="00985A9F">
              <w:rPr>
                <w:rFonts w:cs="Calibri"/>
                <w:b/>
                <w:color w:val="7030A0"/>
                <w:sz w:val="22"/>
                <w:szCs w:val="22"/>
              </w:rPr>
              <w:t>Reference</w:t>
            </w:r>
          </w:p>
        </w:tc>
        <w:tc>
          <w:tcPr>
            <w:tcW w:w="4255" w:type="pct"/>
            <w:gridSpan w:val="5"/>
            <w:tcBorders>
              <w:top w:val="nil"/>
              <w:left w:val="single" w:sz="2" w:space="0" w:color="auto"/>
              <w:bottom w:val="nil"/>
              <w:right w:val="nil"/>
            </w:tcBorders>
          </w:tcPr>
          <w:p w14:paraId="770B5588" w14:textId="77777777" w:rsidR="006B168B" w:rsidRPr="00D9571B" w:rsidRDefault="006B168B" w:rsidP="00DA5473">
            <w:pPr>
              <w:pStyle w:val="Heading1"/>
              <w:numPr>
                <w:ilvl w:val="0"/>
                <w:numId w:val="0"/>
              </w:numPr>
              <w:spacing w:before="0"/>
            </w:pPr>
            <w:bookmarkStart w:id="415" w:name="_Toc98763069"/>
            <w:bookmarkStart w:id="416" w:name="_Toc127733834"/>
            <w:bookmarkStart w:id="417" w:name="_Toc131164487"/>
            <w:bookmarkStart w:id="418" w:name="_Toc131591752"/>
            <w:bookmarkStart w:id="419" w:name="_Toc132743787"/>
            <w:r w:rsidRPr="00AC0200">
              <w:t>Note 6.</w:t>
            </w:r>
            <w:r>
              <w:t xml:space="preserve"> </w:t>
            </w:r>
            <w:r w:rsidRPr="00AC0200">
              <w:t xml:space="preserve"> Grants and contributions</w:t>
            </w:r>
            <w:r w:rsidRPr="00AC0200">
              <w:rPr>
                <w:rFonts w:cs="Calibri"/>
              </w:rPr>
              <w:t xml:space="preserve"> Revenue</w:t>
            </w:r>
            <w:r>
              <w:rPr>
                <w:rFonts w:cs="Calibri"/>
              </w:rPr>
              <w:t xml:space="preserve"> – Continued</w:t>
            </w:r>
            <w:bookmarkEnd w:id="415"/>
            <w:bookmarkEnd w:id="416"/>
            <w:bookmarkEnd w:id="417"/>
            <w:bookmarkEnd w:id="418"/>
            <w:bookmarkEnd w:id="419"/>
            <w:r>
              <w:rPr>
                <w:rFonts w:cs="Calibri"/>
              </w:rPr>
              <w:t xml:space="preserve"> </w:t>
            </w:r>
          </w:p>
        </w:tc>
      </w:tr>
      <w:tr w:rsidR="00765778" w:rsidRPr="00F14B06" w14:paraId="20E69E27" w14:textId="77777777" w:rsidTr="000477B1">
        <w:tc>
          <w:tcPr>
            <w:tcW w:w="745" w:type="pct"/>
            <w:tcBorders>
              <w:top w:val="nil"/>
              <w:left w:val="single" w:sz="2" w:space="0" w:color="auto"/>
              <w:bottom w:val="nil"/>
              <w:right w:val="single" w:sz="2" w:space="0" w:color="auto"/>
            </w:tcBorders>
          </w:tcPr>
          <w:p w14:paraId="68776EC1" w14:textId="5EAD18C5" w:rsidR="00765778" w:rsidRPr="00B73007" w:rsidRDefault="00765778" w:rsidP="00765778">
            <w:pPr>
              <w:pStyle w:val="TableReference"/>
              <w:tabs>
                <w:tab w:val="left" w:pos="3306"/>
              </w:tabs>
              <w:spacing w:before="40"/>
              <w:rPr>
                <w:rFonts w:cs="Calibri"/>
                <w:strike/>
                <w:color w:val="7030A0"/>
                <w:sz w:val="14"/>
              </w:rPr>
            </w:pPr>
            <w:r w:rsidRPr="00B73007">
              <w:rPr>
                <w:rFonts w:cs="Calibri"/>
                <w:strike/>
                <w:color w:val="FF0000"/>
                <w:sz w:val="14"/>
              </w:rPr>
              <w:t>ACT Disclosure Policy</w:t>
            </w:r>
          </w:p>
        </w:tc>
        <w:tc>
          <w:tcPr>
            <w:tcW w:w="3168" w:type="pct"/>
            <w:tcBorders>
              <w:top w:val="nil"/>
              <w:left w:val="single" w:sz="2" w:space="0" w:color="auto"/>
              <w:bottom w:val="nil"/>
              <w:right w:val="nil"/>
            </w:tcBorders>
            <w:vAlign w:val="bottom"/>
          </w:tcPr>
          <w:p w14:paraId="48E0C458" w14:textId="77777777" w:rsidR="00765778" w:rsidRPr="00B73007" w:rsidRDefault="00765778" w:rsidP="00765778">
            <w:pPr>
              <w:pStyle w:val="TableText"/>
              <w:tabs>
                <w:tab w:val="left" w:pos="3306"/>
              </w:tabs>
              <w:rPr>
                <w:rFonts w:cs="Calibri"/>
                <w:b/>
                <w:bCs/>
              </w:rPr>
            </w:pPr>
          </w:p>
        </w:tc>
        <w:tc>
          <w:tcPr>
            <w:tcW w:w="554" w:type="pct"/>
            <w:gridSpan w:val="3"/>
            <w:tcBorders>
              <w:top w:val="nil"/>
              <w:left w:val="nil"/>
              <w:bottom w:val="nil"/>
              <w:right w:val="nil"/>
            </w:tcBorders>
            <w:vAlign w:val="bottom"/>
          </w:tcPr>
          <w:p w14:paraId="71D942D3" w14:textId="319C372D" w:rsidR="00765778" w:rsidRPr="00AC0200" w:rsidRDefault="00765778" w:rsidP="00765778">
            <w:pPr>
              <w:pStyle w:val="TableTitle"/>
              <w:tabs>
                <w:tab w:val="left" w:pos="3306"/>
              </w:tabs>
              <w:rPr>
                <w:rFonts w:cs="Calibri"/>
              </w:rPr>
            </w:pPr>
            <w:r w:rsidRPr="00AC0200">
              <w:rPr>
                <w:rFonts w:cs="Calibri"/>
              </w:rPr>
              <w:t>202</w:t>
            </w:r>
            <w:r>
              <w:rPr>
                <w:rFonts w:cs="Calibri"/>
              </w:rPr>
              <w:t>3</w:t>
            </w:r>
          </w:p>
        </w:tc>
        <w:tc>
          <w:tcPr>
            <w:tcW w:w="533" w:type="pct"/>
            <w:tcBorders>
              <w:top w:val="nil"/>
              <w:left w:val="nil"/>
              <w:bottom w:val="nil"/>
              <w:right w:val="nil"/>
            </w:tcBorders>
            <w:vAlign w:val="bottom"/>
          </w:tcPr>
          <w:p w14:paraId="36E59735" w14:textId="50FD8B9E" w:rsidR="00765778" w:rsidRPr="00AC0200" w:rsidRDefault="00765778" w:rsidP="00765778">
            <w:pPr>
              <w:pStyle w:val="TableTitle"/>
              <w:tabs>
                <w:tab w:val="left" w:pos="3306"/>
              </w:tabs>
              <w:ind w:left="-3516" w:right="60"/>
              <w:rPr>
                <w:rFonts w:cs="Calibri"/>
              </w:rPr>
            </w:pPr>
            <w:r w:rsidRPr="00AC0200">
              <w:rPr>
                <w:rFonts w:cs="Calibri"/>
              </w:rPr>
              <w:t>202</w:t>
            </w:r>
            <w:r>
              <w:rPr>
                <w:rFonts w:cs="Calibri"/>
              </w:rPr>
              <w:t>2</w:t>
            </w:r>
          </w:p>
        </w:tc>
      </w:tr>
      <w:tr w:rsidR="00765778" w:rsidRPr="00F14B06" w14:paraId="5B067E64" w14:textId="77777777" w:rsidTr="000477B1">
        <w:tc>
          <w:tcPr>
            <w:tcW w:w="745" w:type="pct"/>
            <w:tcBorders>
              <w:top w:val="nil"/>
              <w:left w:val="single" w:sz="2" w:space="0" w:color="auto"/>
              <w:bottom w:val="nil"/>
              <w:right w:val="single" w:sz="2" w:space="0" w:color="auto"/>
            </w:tcBorders>
          </w:tcPr>
          <w:p w14:paraId="2DE44E4B"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A9C5BDA" w14:textId="77777777" w:rsidR="00765778" w:rsidRPr="00B73007" w:rsidRDefault="00765778" w:rsidP="00765778">
            <w:pPr>
              <w:pStyle w:val="TableText"/>
              <w:tabs>
                <w:tab w:val="left" w:pos="3306"/>
              </w:tabs>
              <w:rPr>
                <w:rFonts w:cs="Calibri"/>
                <w:b/>
                <w:bCs/>
              </w:rPr>
            </w:pPr>
          </w:p>
        </w:tc>
        <w:tc>
          <w:tcPr>
            <w:tcW w:w="554" w:type="pct"/>
            <w:gridSpan w:val="3"/>
            <w:tcBorders>
              <w:top w:val="nil"/>
              <w:left w:val="nil"/>
              <w:bottom w:val="nil"/>
              <w:right w:val="nil"/>
            </w:tcBorders>
            <w:vAlign w:val="bottom"/>
          </w:tcPr>
          <w:p w14:paraId="4B7C9469" w14:textId="29E2172C" w:rsidR="00765778" w:rsidRPr="00AC0200" w:rsidRDefault="00765778" w:rsidP="00765778">
            <w:pPr>
              <w:pStyle w:val="TableTitle"/>
              <w:tabs>
                <w:tab w:val="left" w:pos="3306"/>
              </w:tabs>
              <w:rPr>
                <w:rFonts w:cs="Calibri"/>
              </w:rPr>
            </w:pPr>
            <w:r w:rsidRPr="00AC0200">
              <w:rPr>
                <w:rFonts w:cs="Calibri"/>
              </w:rPr>
              <w:t>$’000</w:t>
            </w:r>
          </w:p>
        </w:tc>
        <w:tc>
          <w:tcPr>
            <w:tcW w:w="533" w:type="pct"/>
            <w:tcBorders>
              <w:top w:val="nil"/>
              <w:left w:val="nil"/>
              <w:bottom w:val="nil"/>
              <w:right w:val="nil"/>
            </w:tcBorders>
            <w:vAlign w:val="bottom"/>
          </w:tcPr>
          <w:p w14:paraId="05564E4C" w14:textId="619FC69A" w:rsidR="00765778" w:rsidRPr="00AC0200" w:rsidRDefault="00765778" w:rsidP="00765778">
            <w:pPr>
              <w:pStyle w:val="TableTitle"/>
              <w:tabs>
                <w:tab w:val="left" w:pos="3306"/>
              </w:tabs>
              <w:ind w:left="-3516" w:right="60"/>
              <w:rPr>
                <w:rFonts w:cs="Calibri"/>
              </w:rPr>
            </w:pPr>
            <w:r w:rsidRPr="00AC0200">
              <w:rPr>
                <w:rFonts w:cs="Calibri"/>
              </w:rPr>
              <w:t>$’000</w:t>
            </w:r>
          </w:p>
        </w:tc>
      </w:tr>
      <w:tr w:rsidR="00765778" w:rsidRPr="00F14B06" w14:paraId="525A6648" w14:textId="77777777" w:rsidTr="000477B1">
        <w:tc>
          <w:tcPr>
            <w:tcW w:w="745" w:type="pct"/>
            <w:tcBorders>
              <w:top w:val="nil"/>
              <w:left w:val="single" w:sz="2" w:space="0" w:color="auto"/>
              <w:bottom w:val="nil"/>
              <w:right w:val="single" w:sz="2" w:space="0" w:color="auto"/>
            </w:tcBorders>
          </w:tcPr>
          <w:p w14:paraId="1D73D95C"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00667079" w14:textId="4992F70F" w:rsidR="00765778" w:rsidRPr="00B73007" w:rsidRDefault="00765778" w:rsidP="00765778">
            <w:pPr>
              <w:pStyle w:val="TableText"/>
              <w:tabs>
                <w:tab w:val="left" w:pos="3306"/>
              </w:tabs>
              <w:rPr>
                <w:rFonts w:cs="Calibri"/>
                <w:b/>
                <w:bCs/>
              </w:rPr>
            </w:pPr>
            <w:r w:rsidRPr="00B73007">
              <w:rPr>
                <w:rFonts w:cs="Calibri"/>
                <w:b/>
                <w:bCs/>
              </w:rPr>
              <w:t>Resources Received Free of Charge</w:t>
            </w:r>
          </w:p>
        </w:tc>
        <w:tc>
          <w:tcPr>
            <w:tcW w:w="554" w:type="pct"/>
            <w:gridSpan w:val="3"/>
            <w:tcBorders>
              <w:top w:val="nil"/>
              <w:left w:val="nil"/>
              <w:bottom w:val="nil"/>
              <w:right w:val="nil"/>
            </w:tcBorders>
            <w:vAlign w:val="bottom"/>
          </w:tcPr>
          <w:p w14:paraId="74F58175"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09746BDB" w14:textId="77777777" w:rsidR="00765778" w:rsidRPr="00AC0200" w:rsidRDefault="00765778" w:rsidP="00765778">
            <w:pPr>
              <w:pStyle w:val="TableTitle"/>
              <w:tabs>
                <w:tab w:val="left" w:pos="3306"/>
              </w:tabs>
              <w:ind w:left="-3516" w:right="60"/>
              <w:rPr>
                <w:rFonts w:cs="Calibri"/>
              </w:rPr>
            </w:pPr>
          </w:p>
        </w:tc>
      </w:tr>
      <w:tr w:rsidR="00765778" w:rsidRPr="00F14B06" w14:paraId="74A1BD28" w14:textId="77777777" w:rsidTr="000477B1">
        <w:tc>
          <w:tcPr>
            <w:tcW w:w="745" w:type="pct"/>
            <w:tcBorders>
              <w:top w:val="nil"/>
              <w:left w:val="single" w:sz="2" w:space="0" w:color="auto"/>
              <w:bottom w:val="nil"/>
              <w:right w:val="single" w:sz="2" w:space="0" w:color="auto"/>
            </w:tcBorders>
          </w:tcPr>
          <w:p w14:paraId="49143B8F"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83DBC8F" w14:textId="261CD09E" w:rsidR="00765778" w:rsidRPr="00B73007" w:rsidRDefault="00765778" w:rsidP="00765778">
            <w:pPr>
              <w:pStyle w:val="TableText"/>
              <w:tabs>
                <w:tab w:val="left" w:pos="3306"/>
              </w:tabs>
              <w:rPr>
                <w:rFonts w:cs="Calibri"/>
                <w:b/>
                <w:bCs/>
              </w:rPr>
            </w:pPr>
            <w:r w:rsidRPr="00B73007">
              <w:rPr>
                <w:rFonts w:cs="Calibri"/>
              </w:rPr>
              <w:t>Legal Services</w:t>
            </w:r>
            <w:r w:rsidRPr="00B73007">
              <w:rPr>
                <w:rFonts w:cs="Calibri"/>
                <w:vertAlign w:val="superscript"/>
              </w:rPr>
              <w:t xml:space="preserve">a </w:t>
            </w:r>
          </w:p>
        </w:tc>
        <w:tc>
          <w:tcPr>
            <w:tcW w:w="554" w:type="pct"/>
            <w:gridSpan w:val="3"/>
            <w:tcBorders>
              <w:top w:val="nil"/>
              <w:left w:val="nil"/>
              <w:bottom w:val="nil"/>
              <w:right w:val="nil"/>
            </w:tcBorders>
            <w:vAlign w:val="bottom"/>
          </w:tcPr>
          <w:p w14:paraId="63778B18"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7C200D0E" w14:textId="77777777" w:rsidR="00765778" w:rsidRPr="00AC0200" w:rsidRDefault="00765778" w:rsidP="00765778">
            <w:pPr>
              <w:pStyle w:val="TableTitle"/>
              <w:tabs>
                <w:tab w:val="left" w:pos="3306"/>
              </w:tabs>
              <w:ind w:left="-3516" w:right="60"/>
              <w:rPr>
                <w:rFonts w:cs="Calibri"/>
              </w:rPr>
            </w:pPr>
          </w:p>
        </w:tc>
      </w:tr>
      <w:tr w:rsidR="00765778" w:rsidRPr="00F14B06" w14:paraId="0F092F93" w14:textId="77777777" w:rsidTr="000477B1">
        <w:tc>
          <w:tcPr>
            <w:tcW w:w="745" w:type="pct"/>
            <w:tcBorders>
              <w:top w:val="nil"/>
              <w:left w:val="single" w:sz="2" w:space="0" w:color="auto"/>
              <w:bottom w:val="nil"/>
              <w:right w:val="single" w:sz="2" w:space="0" w:color="auto"/>
            </w:tcBorders>
          </w:tcPr>
          <w:p w14:paraId="1BF5570D"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E1960F8" w14:textId="3A7C12E4" w:rsidR="00765778" w:rsidRPr="00B73007" w:rsidRDefault="00765778" w:rsidP="00765778">
            <w:pPr>
              <w:pStyle w:val="TableText"/>
              <w:tabs>
                <w:tab w:val="left" w:pos="3306"/>
              </w:tabs>
              <w:rPr>
                <w:rFonts w:cs="Calibri"/>
                <w:b/>
                <w:bCs/>
              </w:rPr>
            </w:pPr>
            <w:r w:rsidRPr="00B73007">
              <w:rPr>
                <w:rFonts w:cs="Calibri"/>
              </w:rPr>
              <w:t xml:space="preserve">Financial Services provided by Shared Services </w:t>
            </w:r>
          </w:p>
        </w:tc>
        <w:tc>
          <w:tcPr>
            <w:tcW w:w="554" w:type="pct"/>
            <w:gridSpan w:val="3"/>
            <w:tcBorders>
              <w:top w:val="nil"/>
              <w:left w:val="nil"/>
              <w:bottom w:val="nil"/>
              <w:right w:val="nil"/>
            </w:tcBorders>
            <w:vAlign w:val="bottom"/>
          </w:tcPr>
          <w:p w14:paraId="1EA9DC5E"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7577C68E" w14:textId="77777777" w:rsidR="00765778" w:rsidRPr="00AC0200" w:rsidRDefault="00765778" w:rsidP="00765778">
            <w:pPr>
              <w:pStyle w:val="TableTitle"/>
              <w:tabs>
                <w:tab w:val="left" w:pos="3306"/>
              </w:tabs>
              <w:ind w:left="-3516" w:right="60"/>
              <w:rPr>
                <w:rFonts w:cs="Calibri"/>
              </w:rPr>
            </w:pPr>
          </w:p>
        </w:tc>
      </w:tr>
      <w:tr w:rsidR="00765778" w:rsidRPr="00F14B06" w14:paraId="0AF67D6B" w14:textId="77777777" w:rsidTr="000477B1">
        <w:tc>
          <w:tcPr>
            <w:tcW w:w="745" w:type="pct"/>
            <w:tcBorders>
              <w:top w:val="nil"/>
              <w:left w:val="single" w:sz="2" w:space="0" w:color="auto"/>
              <w:bottom w:val="nil"/>
              <w:right w:val="single" w:sz="2" w:space="0" w:color="auto"/>
            </w:tcBorders>
          </w:tcPr>
          <w:p w14:paraId="64B9519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47C680C" w14:textId="44ED9855" w:rsidR="00765778" w:rsidRPr="00B73007" w:rsidRDefault="00765778" w:rsidP="00765778">
            <w:pPr>
              <w:pStyle w:val="TableText"/>
              <w:tabs>
                <w:tab w:val="left" w:pos="3306"/>
              </w:tabs>
              <w:rPr>
                <w:rFonts w:cs="Calibri"/>
                <w:b/>
                <w:bCs/>
              </w:rPr>
            </w:pPr>
            <w:r w:rsidRPr="00B73007">
              <w:rPr>
                <w:rFonts w:cs="Calibri"/>
              </w:rPr>
              <w:t xml:space="preserve">Human Resources Services provided by Shared Services </w:t>
            </w:r>
          </w:p>
        </w:tc>
        <w:tc>
          <w:tcPr>
            <w:tcW w:w="554" w:type="pct"/>
            <w:gridSpan w:val="3"/>
            <w:tcBorders>
              <w:top w:val="nil"/>
              <w:left w:val="nil"/>
              <w:bottom w:val="nil"/>
              <w:right w:val="nil"/>
            </w:tcBorders>
            <w:vAlign w:val="bottom"/>
          </w:tcPr>
          <w:p w14:paraId="23B06BCE"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2247056" w14:textId="77777777" w:rsidR="00765778" w:rsidRPr="00AC0200" w:rsidRDefault="00765778" w:rsidP="00765778">
            <w:pPr>
              <w:pStyle w:val="TableTitle"/>
              <w:tabs>
                <w:tab w:val="left" w:pos="3306"/>
              </w:tabs>
              <w:ind w:left="-3516" w:right="60"/>
              <w:rPr>
                <w:rFonts w:cs="Calibri"/>
              </w:rPr>
            </w:pPr>
          </w:p>
        </w:tc>
      </w:tr>
      <w:tr w:rsidR="00765778" w:rsidRPr="00F14B06" w14:paraId="3E1C9C82" w14:textId="77777777" w:rsidTr="000477B1">
        <w:tc>
          <w:tcPr>
            <w:tcW w:w="745" w:type="pct"/>
            <w:tcBorders>
              <w:top w:val="nil"/>
              <w:left w:val="single" w:sz="2" w:space="0" w:color="auto"/>
              <w:bottom w:val="nil"/>
              <w:right w:val="single" w:sz="2" w:space="0" w:color="auto"/>
            </w:tcBorders>
          </w:tcPr>
          <w:p w14:paraId="3628CA2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55E0775C" w14:textId="69F9D71C" w:rsidR="00765778" w:rsidRPr="00B73007" w:rsidRDefault="00765778" w:rsidP="00765778">
            <w:pPr>
              <w:pStyle w:val="TableText"/>
              <w:tabs>
                <w:tab w:val="left" w:pos="3306"/>
              </w:tabs>
              <w:rPr>
                <w:rFonts w:cs="Calibri"/>
                <w:b/>
                <w:bCs/>
              </w:rPr>
            </w:pPr>
            <w:r w:rsidRPr="00B73007">
              <w:rPr>
                <w:rFonts w:cs="Calibri"/>
              </w:rPr>
              <w:t xml:space="preserve">Record Management Services provided by </w:t>
            </w:r>
            <w:r w:rsidRPr="00B73007">
              <w:rPr>
                <w:rFonts w:cs="Calibri"/>
                <w:color w:val="FF0000"/>
              </w:rPr>
              <w:t>the</w:t>
            </w:r>
            <w:r w:rsidRPr="00B73007">
              <w:rPr>
                <w:rFonts w:cs="Calibri"/>
              </w:rPr>
              <w:t xml:space="preserve"> Territory Records Office</w:t>
            </w:r>
          </w:p>
        </w:tc>
        <w:tc>
          <w:tcPr>
            <w:tcW w:w="554" w:type="pct"/>
            <w:gridSpan w:val="3"/>
            <w:tcBorders>
              <w:top w:val="nil"/>
              <w:left w:val="nil"/>
              <w:bottom w:val="nil"/>
              <w:right w:val="nil"/>
            </w:tcBorders>
            <w:vAlign w:val="bottom"/>
          </w:tcPr>
          <w:p w14:paraId="1F4FF6EA"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59C03776" w14:textId="77777777" w:rsidR="00765778" w:rsidRPr="00AC0200" w:rsidRDefault="00765778" w:rsidP="00765778">
            <w:pPr>
              <w:pStyle w:val="TableTitle"/>
              <w:tabs>
                <w:tab w:val="left" w:pos="3306"/>
              </w:tabs>
              <w:ind w:left="-3516" w:right="60"/>
              <w:rPr>
                <w:rFonts w:cs="Calibri"/>
              </w:rPr>
            </w:pPr>
          </w:p>
        </w:tc>
      </w:tr>
      <w:tr w:rsidR="00765778" w:rsidRPr="00F14B06" w14:paraId="45C53525" w14:textId="77777777" w:rsidTr="000477B1">
        <w:tc>
          <w:tcPr>
            <w:tcW w:w="745" w:type="pct"/>
            <w:tcBorders>
              <w:top w:val="nil"/>
              <w:left w:val="single" w:sz="2" w:space="0" w:color="auto"/>
              <w:bottom w:val="nil"/>
              <w:right w:val="single" w:sz="2" w:space="0" w:color="auto"/>
            </w:tcBorders>
          </w:tcPr>
          <w:p w14:paraId="070AC66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436A7453" w14:textId="30BE2C08" w:rsidR="00765778" w:rsidRPr="00B73007" w:rsidRDefault="00765778" w:rsidP="00765778">
            <w:pPr>
              <w:pStyle w:val="TableText"/>
              <w:tabs>
                <w:tab w:val="left" w:pos="3306"/>
              </w:tabs>
              <w:rPr>
                <w:rFonts w:cs="Calibri"/>
                <w:b/>
                <w:bCs/>
              </w:rPr>
            </w:pPr>
            <w:r w:rsidRPr="00B73007">
              <w:rPr>
                <w:rFonts w:cs="Calibri"/>
              </w:rPr>
              <w:t xml:space="preserve">Investigation Services </w:t>
            </w:r>
            <w:r w:rsidRPr="00B73007">
              <w:rPr>
                <w:rFonts w:cs="Calibri"/>
                <w:color w:val="FF0000"/>
              </w:rPr>
              <w:t xml:space="preserve">provided by the </w:t>
            </w:r>
            <w:r w:rsidRPr="00B73007">
              <w:rPr>
                <w:rFonts w:cs="Calibri"/>
              </w:rPr>
              <w:t>Professional Standards Unit</w:t>
            </w:r>
          </w:p>
        </w:tc>
        <w:tc>
          <w:tcPr>
            <w:tcW w:w="554" w:type="pct"/>
            <w:gridSpan w:val="3"/>
            <w:tcBorders>
              <w:top w:val="nil"/>
              <w:left w:val="nil"/>
              <w:bottom w:val="nil"/>
              <w:right w:val="nil"/>
            </w:tcBorders>
            <w:vAlign w:val="bottom"/>
          </w:tcPr>
          <w:p w14:paraId="65FD673F"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56EC696" w14:textId="77777777" w:rsidR="00765778" w:rsidRPr="00AC0200" w:rsidRDefault="00765778" w:rsidP="00765778">
            <w:pPr>
              <w:pStyle w:val="TableTitle"/>
              <w:tabs>
                <w:tab w:val="left" w:pos="3306"/>
              </w:tabs>
              <w:ind w:left="-3516" w:right="60"/>
              <w:rPr>
                <w:rFonts w:cs="Calibri"/>
              </w:rPr>
            </w:pPr>
          </w:p>
        </w:tc>
      </w:tr>
      <w:tr w:rsidR="00765778" w:rsidRPr="00F14B06" w14:paraId="65610400" w14:textId="77777777" w:rsidTr="000477B1">
        <w:tc>
          <w:tcPr>
            <w:tcW w:w="745" w:type="pct"/>
            <w:tcBorders>
              <w:top w:val="nil"/>
              <w:left w:val="single" w:sz="2" w:space="0" w:color="auto"/>
              <w:bottom w:val="nil"/>
              <w:right w:val="single" w:sz="2" w:space="0" w:color="auto"/>
            </w:tcBorders>
          </w:tcPr>
          <w:p w14:paraId="36D5A524"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D2D3038" w14:textId="0AAC071A" w:rsidR="00765778" w:rsidRPr="00B73007" w:rsidRDefault="00765778" w:rsidP="00765778">
            <w:pPr>
              <w:pStyle w:val="TableText"/>
              <w:tabs>
                <w:tab w:val="left" w:pos="3306"/>
              </w:tabs>
              <w:rPr>
                <w:rFonts w:cs="Calibri"/>
                <w:b/>
                <w:bCs/>
              </w:rPr>
            </w:pPr>
            <w:r w:rsidRPr="00B73007">
              <w:rPr>
                <w:rFonts w:cs="Calibri"/>
              </w:rPr>
              <w:t>COVID-19 Administration and Logistical Support</w:t>
            </w:r>
          </w:p>
        </w:tc>
        <w:tc>
          <w:tcPr>
            <w:tcW w:w="554" w:type="pct"/>
            <w:gridSpan w:val="3"/>
            <w:tcBorders>
              <w:top w:val="nil"/>
              <w:left w:val="nil"/>
              <w:bottom w:val="nil"/>
              <w:right w:val="nil"/>
            </w:tcBorders>
            <w:vAlign w:val="bottom"/>
          </w:tcPr>
          <w:p w14:paraId="099F9B87"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B1E52F3" w14:textId="77777777" w:rsidR="00765778" w:rsidRPr="00AC0200" w:rsidRDefault="00765778" w:rsidP="00765778">
            <w:pPr>
              <w:pStyle w:val="TableTitle"/>
              <w:tabs>
                <w:tab w:val="left" w:pos="3306"/>
              </w:tabs>
              <w:ind w:left="-3516" w:right="60"/>
              <w:rPr>
                <w:rFonts w:cs="Calibri"/>
              </w:rPr>
            </w:pPr>
          </w:p>
        </w:tc>
      </w:tr>
      <w:tr w:rsidR="00765778" w:rsidRPr="00F14B06" w14:paraId="160AE5C9" w14:textId="77777777" w:rsidTr="00765778">
        <w:tc>
          <w:tcPr>
            <w:tcW w:w="745" w:type="pct"/>
            <w:tcBorders>
              <w:top w:val="nil"/>
              <w:left w:val="single" w:sz="2" w:space="0" w:color="auto"/>
              <w:bottom w:val="nil"/>
              <w:right w:val="single" w:sz="2" w:space="0" w:color="auto"/>
            </w:tcBorders>
          </w:tcPr>
          <w:p w14:paraId="63333931"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F25FBB2" w14:textId="04991BE8" w:rsidR="00765778" w:rsidRPr="00B73007" w:rsidRDefault="00765778" w:rsidP="00765778">
            <w:pPr>
              <w:pStyle w:val="TableText"/>
              <w:tabs>
                <w:tab w:val="left" w:pos="3306"/>
              </w:tabs>
              <w:rPr>
                <w:rFonts w:cs="Calibri"/>
                <w:b/>
                <w:bCs/>
              </w:rPr>
            </w:pPr>
            <w:r w:rsidRPr="00B73007">
              <w:rPr>
                <w:rFonts w:cs="Calibri"/>
              </w:rPr>
              <w:t>Project Management Services provided by Major Projects Canberra</w:t>
            </w:r>
          </w:p>
        </w:tc>
        <w:tc>
          <w:tcPr>
            <w:tcW w:w="554" w:type="pct"/>
            <w:gridSpan w:val="3"/>
            <w:tcBorders>
              <w:top w:val="nil"/>
              <w:left w:val="nil"/>
              <w:bottom w:val="single" w:sz="4" w:space="0" w:color="auto"/>
              <w:right w:val="nil"/>
            </w:tcBorders>
            <w:vAlign w:val="bottom"/>
          </w:tcPr>
          <w:p w14:paraId="2F35AEE9" w14:textId="77777777" w:rsidR="00765778" w:rsidRPr="00AC0200" w:rsidRDefault="00765778" w:rsidP="00765778">
            <w:pPr>
              <w:pStyle w:val="TableTitle"/>
              <w:tabs>
                <w:tab w:val="left" w:pos="3306"/>
              </w:tabs>
              <w:rPr>
                <w:rFonts w:cs="Calibri"/>
              </w:rPr>
            </w:pPr>
          </w:p>
        </w:tc>
        <w:tc>
          <w:tcPr>
            <w:tcW w:w="533" w:type="pct"/>
            <w:tcBorders>
              <w:top w:val="nil"/>
              <w:left w:val="nil"/>
              <w:bottom w:val="single" w:sz="4" w:space="0" w:color="auto"/>
              <w:right w:val="nil"/>
            </w:tcBorders>
            <w:vAlign w:val="bottom"/>
          </w:tcPr>
          <w:p w14:paraId="3983F2EB" w14:textId="77777777" w:rsidR="00765778" w:rsidRPr="00AC0200" w:rsidRDefault="00765778" w:rsidP="00765778">
            <w:pPr>
              <w:pStyle w:val="TableTitle"/>
              <w:tabs>
                <w:tab w:val="left" w:pos="3306"/>
              </w:tabs>
              <w:ind w:left="-3516" w:right="60"/>
              <w:rPr>
                <w:rFonts w:cs="Calibri"/>
              </w:rPr>
            </w:pPr>
          </w:p>
        </w:tc>
      </w:tr>
      <w:tr w:rsidR="00765778" w:rsidRPr="00F14B06" w14:paraId="0A6D0AC4" w14:textId="77777777" w:rsidTr="00765778">
        <w:tc>
          <w:tcPr>
            <w:tcW w:w="745" w:type="pct"/>
            <w:tcBorders>
              <w:top w:val="nil"/>
              <w:left w:val="single" w:sz="2" w:space="0" w:color="auto"/>
              <w:bottom w:val="nil"/>
              <w:right w:val="single" w:sz="2" w:space="0" w:color="auto"/>
            </w:tcBorders>
          </w:tcPr>
          <w:p w14:paraId="34B92B78" w14:textId="00D05440" w:rsidR="00765778" w:rsidRPr="00B73007" w:rsidRDefault="00765778" w:rsidP="00765778">
            <w:pPr>
              <w:pStyle w:val="TableReference"/>
              <w:tabs>
                <w:tab w:val="left" w:pos="3306"/>
              </w:tabs>
              <w:spacing w:before="40"/>
              <w:rPr>
                <w:rFonts w:cs="Calibri"/>
                <w:color w:val="7030A0"/>
                <w:sz w:val="14"/>
              </w:rPr>
            </w:pPr>
            <w:r w:rsidRPr="00B73007">
              <w:rPr>
                <w:rFonts w:cs="Calibri"/>
                <w:color w:val="7030A0"/>
                <w:sz w:val="14"/>
              </w:rPr>
              <w:t>AASB 1058.22</w:t>
            </w:r>
          </w:p>
        </w:tc>
        <w:tc>
          <w:tcPr>
            <w:tcW w:w="3168" w:type="pct"/>
            <w:tcBorders>
              <w:top w:val="nil"/>
              <w:left w:val="single" w:sz="2" w:space="0" w:color="auto"/>
              <w:bottom w:val="nil"/>
              <w:right w:val="nil"/>
            </w:tcBorders>
            <w:vAlign w:val="bottom"/>
          </w:tcPr>
          <w:p w14:paraId="3EC56EE3" w14:textId="533CBADE" w:rsidR="00765778" w:rsidRPr="00B73007" w:rsidRDefault="00765778" w:rsidP="00765778">
            <w:pPr>
              <w:pStyle w:val="TableText"/>
              <w:tabs>
                <w:tab w:val="left" w:pos="3306"/>
              </w:tabs>
              <w:rPr>
                <w:rFonts w:cs="Calibri"/>
                <w:b/>
                <w:bCs/>
              </w:rPr>
            </w:pPr>
            <w:r w:rsidRPr="00B73007">
              <w:rPr>
                <w:rFonts w:cs="Calibri"/>
                <w:b/>
                <w:bCs/>
              </w:rPr>
              <w:t>Total Resources Received Free of Charge</w:t>
            </w:r>
          </w:p>
        </w:tc>
        <w:tc>
          <w:tcPr>
            <w:tcW w:w="554" w:type="pct"/>
            <w:gridSpan w:val="3"/>
            <w:tcBorders>
              <w:top w:val="single" w:sz="4" w:space="0" w:color="auto"/>
              <w:left w:val="nil"/>
              <w:bottom w:val="single" w:sz="4" w:space="0" w:color="auto"/>
              <w:right w:val="nil"/>
            </w:tcBorders>
            <w:vAlign w:val="bottom"/>
          </w:tcPr>
          <w:p w14:paraId="373BE191" w14:textId="77777777" w:rsidR="00765778" w:rsidRPr="00AC0200" w:rsidRDefault="00765778" w:rsidP="00765778">
            <w:pPr>
              <w:pStyle w:val="TableTitle"/>
              <w:tabs>
                <w:tab w:val="left" w:pos="3306"/>
              </w:tabs>
              <w:rPr>
                <w:rFonts w:cs="Calibri"/>
              </w:rPr>
            </w:pPr>
          </w:p>
        </w:tc>
        <w:tc>
          <w:tcPr>
            <w:tcW w:w="533" w:type="pct"/>
            <w:tcBorders>
              <w:top w:val="single" w:sz="4" w:space="0" w:color="auto"/>
              <w:left w:val="nil"/>
              <w:bottom w:val="single" w:sz="4" w:space="0" w:color="auto"/>
              <w:right w:val="nil"/>
            </w:tcBorders>
            <w:vAlign w:val="bottom"/>
          </w:tcPr>
          <w:p w14:paraId="0F494F1F" w14:textId="77777777" w:rsidR="00765778" w:rsidRPr="00AC0200" w:rsidRDefault="00765778" w:rsidP="00765778">
            <w:pPr>
              <w:pStyle w:val="TableTitle"/>
              <w:tabs>
                <w:tab w:val="left" w:pos="3306"/>
              </w:tabs>
              <w:ind w:left="-3516" w:right="60"/>
              <w:rPr>
                <w:rFonts w:cs="Calibri"/>
              </w:rPr>
            </w:pPr>
          </w:p>
        </w:tc>
      </w:tr>
      <w:tr w:rsidR="00765778" w:rsidRPr="00F14B06" w14:paraId="56E725CF" w14:textId="77777777" w:rsidTr="00765778">
        <w:tc>
          <w:tcPr>
            <w:tcW w:w="745" w:type="pct"/>
            <w:tcBorders>
              <w:top w:val="nil"/>
              <w:left w:val="single" w:sz="2" w:space="0" w:color="auto"/>
              <w:bottom w:val="nil"/>
              <w:right w:val="single" w:sz="2" w:space="0" w:color="auto"/>
            </w:tcBorders>
          </w:tcPr>
          <w:p w14:paraId="6DB5528D"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602CEB20" w14:textId="77777777" w:rsidR="00765778" w:rsidRPr="00B73007" w:rsidRDefault="00765778" w:rsidP="00765778">
            <w:pPr>
              <w:pStyle w:val="TableText"/>
              <w:tabs>
                <w:tab w:val="left" w:pos="3306"/>
              </w:tabs>
              <w:rPr>
                <w:rFonts w:cs="Calibri"/>
                <w:b/>
                <w:bCs/>
              </w:rPr>
            </w:pPr>
          </w:p>
        </w:tc>
        <w:tc>
          <w:tcPr>
            <w:tcW w:w="554" w:type="pct"/>
            <w:gridSpan w:val="3"/>
            <w:tcBorders>
              <w:top w:val="single" w:sz="4" w:space="0" w:color="auto"/>
              <w:left w:val="nil"/>
              <w:bottom w:val="nil"/>
              <w:right w:val="nil"/>
            </w:tcBorders>
            <w:vAlign w:val="bottom"/>
          </w:tcPr>
          <w:p w14:paraId="364506DD" w14:textId="77777777" w:rsidR="00765778" w:rsidRPr="00AC0200" w:rsidRDefault="00765778" w:rsidP="00765778">
            <w:pPr>
              <w:pStyle w:val="TableTitle"/>
              <w:tabs>
                <w:tab w:val="left" w:pos="3306"/>
              </w:tabs>
              <w:rPr>
                <w:rFonts w:cs="Calibri"/>
              </w:rPr>
            </w:pPr>
          </w:p>
        </w:tc>
        <w:tc>
          <w:tcPr>
            <w:tcW w:w="533" w:type="pct"/>
            <w:tcBorders>
              <w:top w:val="single" w:sz="4" w:space="0" w:color="auto"/>
              <w:left w:val="nil"/>
              <w:bottom w:val="nil"/>
              <w:right w:val="nil"/>
            </w:tcBorders>
            <w:vAlign w:val="bottom"/>
          </w:tcPr>
          <w:p w14:paraId="112516C4" w14:textId="77777777" w:rsidR="00765778" w:rsidRPr="00AC0200" w:rsidRDefault="00765778" w:rsidP="00765778">
            <w:pPr>
              <w:pStyle w:val="TableTitle"/>
              <w:tabs>
                <w:tab w:val="left" w:pos="3306"/>
              </w:tabs>
              <w:ind w:left="-3516" w:right="60"/>
              <w:rPr>
                <w:rFonts w:cs="Calibri"/>
              </w:rPr>
            </w:pPr>
          </w:p>
        </w:tc>
      </w:tr>
      <w:tr w:rsidR="00765778" w:rsidRPr="00F14B06" w14:paraId="7D484237" w14:textId="77777777" w:rsidTr="000477B1">
        <w:tc>
          <w:tcPr>
            <w:tcW w:w="745" w:type="pct"/>
            <w:tcBorders>
              <w:top w:val="nil"/>
              <w:left w:val="single" w:sz="2" w:space="0" w:color="auto"/>
              <w:bottom w:val="nil"/>
              <w:right w:val="single" w:sz="2" w:space="0" w:color="auto"/>
            </w:tcBorders>
          </w:tcPr>
          <w:p w14:paraId="31B0D2EB" w14:textId="202E3E5D" w:rsidR="00765778" w:rsidRPr="00B73007" w:rsidRDefault="00765778" w:rsidP="00765778">
            <w:pPr>
              <w:pStyle w:val="TableReference"/>
              <w:tabs>
                <w:tab w:val="left" w:pos="3306"/>
              </w:tabs>
              <w:spacing w:before="40"/>
              <w:rPr>
                <w:rFonts w:cs="Calibri"/>
                <w:color w:val="7030A0"/>
                <w:sz w:val="14"/>
              </w:rPr>
            </w:pPr>
            <w:bookmarkStart w:id="420" w:name="_Hlk103330664"/>
          </w:p>
        </w:tc>
        <w:tc>
          <w:tcPr>
            <w:tcW w:w="3168" w:type="pct"/>
            <w:tcBorders>
              <w:top w:val="nil"/>
              <w:left w:val="single" w:sz="2" w:space="0" w:color="auto"/>
              <w:bottom w:val="nil"/>
              <w:right w:val="nil"/>
            </w:tcBorders>
            <w:vAlign w:val="bottom"/>
          </w:tcPr>
          <w:p w14:paraId="679854C4" w14:textId="652460AF" w:rsidR="00765778" w:rsidRPr="00B73007" w:rsidRDefault="00765778" w:rsidP="00765778">
            <w:pPr>
              <w:pStyle w:val="TableText"/>
              <w:tabs>
                <w:tab w:val="left" w:pos="3306"/>
              </w:tabs>
              <w:rPr>
                <w:rFonts w:cs="Calibri"/>
              </w:rPr>
            </w:pPr>
            <w:r w:rsidRPr="00B73007">
              <w:rPr>
                <w:rFonts w:cs="Calibri"/>
                <w:b/>
                <w:bCs/>
              </w:rPr>
              <w:t xml:space="preserve">Other Grants and Contributions </w:t>
            </w:r>
          </w:p>
        </w:tc>
        <w:tc>
          <w:tcPr>
            <w:tcW w:w="554" w:type="pct"/>
            <w:gridSpan w:val="3"/>
            <w:tcBorders>
              <w:top w:val="nil"/>
              <w:left w:val="nil"/>
              <w:bottom w:val="nil"/>
              <w:right w:val="nil"/>
            </w:tcBorders>
            <w:vAlign w:val="bottom"/>
          </w:tcPr>
          <w:p w14:paraId="59F8C369" w14:textId="6A10CF41"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376D75AD" w14:textId="57866588" w:rsidR="00765778" w:rsidRPr="00AC0200" w:rsidRDefault="00765778" w:rsidP="00765778">
            <w:pPr>
              <w:pStyle w:val="TableTitle"/>
              <w:tabs>
                <w:tab w:val="left" w:pos="3306"/>
              </w:tabs>
              <w:ind w:left="-3516" w:right="60"/>
              <w:rPr>
                <w:rFonts w:cs="Calibri"/>
              </w:rPr>
            </w:pPr>
          </w:p>
        </w:tc>
      </w:tr>
      <w:bookmarkEnd w:id="420"/>
      <w:tr w:rsidR="00765778" w:rsidRPr="00F14B06" w14:paraId="4E65794B" w14:textId="77777777" w:rsidTr="00090A8D">
        <w:tc>
          <w:tcPr>
            <w:tcW w:w="745" w:type="pct"/>
            <w:tcBorders>
              <w:top w:val="nil"/>
              <w:left w:val="single" w:sz="2" w:space="0" w:color="auto"/>
              <w:bottom w:val="nil"/>
              <w:right w:val="single" w:sz="2" w:space="0" w:color="auto"/>
            </w:tcBorders>
          </w:tcPr>
          <w:p w14:paraId="79E55BBB"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tcPr>
          <w:p w14:paraId="6EFD0433" w14:textId="0CB678D0" w:rsidR="00765778" w:rsidRPr="00B73007" w:rsidRDefault="00765778" w:rsidP="00765778">
            <w:pPr>
              <w:pStyle w:val="TableText"/>
              <w:tabs>
                <w:tab w:val="left" w:pos="3306"/>
              </w:tabs>
              <w:rPr>
                <w:rFonts w:cs="Calibri"/>
                <w:b/>
                <w:bCs/>
              </w:rPr>
            </w:pPr>
            <w:r w:rsidRPr="00B73007">
              <w:rPr>
                <w:rFonts w:cs="Calibri"/>
                <w:color w:val="FF0000"/>
              </w:rPr>
              <w:t>Concessional Loan Discount Income</w:t>
            </w:r>
          </w:p>
        </w:tc>
        <w:tc>
          <w:tcPr>
            <w:tcW w:w="554" w:type="pct"/>
            <w:gridSpan w:val="3"/>
            <w:tcBorders>
              <w:top w:val="nil"/>
              <w:left w:val="nil"/>
              <w:bottom w:val="nil"/>
              <w:right w:val="nil"/>
            </w:tcBorders>
            <w:vAlign w:val="bottom"/>
          </w:tcPr>
          <w:p w14:paraId="7B970EB0"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6D1B6102" w14:textId="77777777" w:rsidR="00765778" w:rsidRPr="00AC0200" w:rsidRDefault="00765778" w:rsidP="00765778">
            <w:pPr>
              <w:pStyle w:val="TableTitle"/>
              <w:tabs>
                <w:tab w:val="left" w:pos="3306"/>
              </w:tabs>
              <w:ind w:left="-3516" w:right="60"/>
              <w:rPr>
                <w:rFonts w:cs="Calibri"/>
              </w:rPr>
            </w:pPr>
          </w:p>
        </w:tc>
      </w:tr>
      <w:tr w:rsidR="00765778" w:rsidRPr="00F14B06" w14:paraId="637125AB" w14:textId="77777777" w:rsidTr="000477B1">
        <w:tc>
          <w:tcPr>
            <w:tcW w:w="745" w:type="pct"/>
            <w:tcBorders>
              <w:top w:val="nil"/>
              <w:left w:val="single" w:sz="2" w:space="0" w:color="auto"/>
              <w:bottom w:val="nil"/>
              <w:right w:val="single" w:sz="2" w:space="0" w:color="auto"/>
            </w:tcBorders>
          </w:tcPr>
          <w:p w14:paraId="1613B037" w14:textId="1990B3D2" w:rsidR="00765778" w:rsidRPr="00AC0200" w:rsidRDefault="00765778" w:rsidP="00765778">
            <w:pPr>
              <w:pStyle w:val="TableReference"/>
              <w:tabs>
                <w:tab w:val="left" w:pos="3306"/>
              </w:tabs>
              <w:spacing w:before="40"/>
              <w:rPr>
                <w:rFonts w:cs="Calibri"/>
                <w:color w:val="7030A0"/>
                <w:sz w:val="14"/>
              </w:rPr>
            </w:pPr>
            <w:r w:rsidRPr="00AC0200">
              <w:rPr>
                <w:rFonts w:cs="Calibri"/>
                <w:color w:val="7030A0"/>
                <w:sz w:val="14"/>
              </w:rPr>
              <w:t>AASB 15.113(a) AASB 15.114</w:t>
            </w:r>
          </w:p>
        </w:tc>
        <w:tc>
          <w:tcPr>
            <w:tcW w:w="3168" w:type="pct"/>
            <w:tcBorders>
              <w:top w:val="nil"/>
              <w:left w:val="single" w:sz="2" w:space="0" w:color="auto"/>
              <w:bottom w:val="nil"/>
              <w:right w:val="nil"/>
            </w:tcBorders>
            <w:vAlign w:val="center"/>
          </w:tcPr>
          <w:p w14:paraId="0C5BF145" w14:textId="6B587BC6" w:rsidR="00765778" w:rsidRPr="00AC0200" w:rsidRDefault="00765778" w:rsidP="00765778">
            <w:pPr>
              <w:pStyle w:val="TableText"/>
              <w:tabs>
                <w:tab w:val="left" w:pos="3306"/>
              </w:tabs>
              <w:rPr>
                <w:rFonts w:cs="Calibri"/>
                <w:b/>
                <w:bCs/>
              </w:rPr>
            </w:pPr>
            <w:r w:rsidRPr="00AC0200">
              <w:t>Grants with Sufficiently Specific Performance Obligations</w:t>
            </w:r>
          </w:p>
        </w:tc>
        <w:tc>
          <w:tcPr>
            <w:tcW w:w="554" w:type="pct"/>
            <w:gridSpan w:val="3"/>
            <w:tcBorders>
              <w:top w:val="nil"/>
              <w:left w:val="nil"/>
              <w:bottom w:val="nil"/>
              <w:right w:val="nil"/>
            </w:tcBorders>
            <w:vAlign w:val="bottom"/>
          </w:tcPr>
          <w:p w14:paraId="3E439BE3"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2C039AB" w14:textId="77777777" w:rsidR="00765778" w:rsidRPr="00AC0200" w:rsidRDefault="00765778" w:rsidP="00765778">
            <w:pPr>
              <w:pStyle w:val="TableTitle"/>
              <w:tabs>
                <w:tab w:val="left" w:pos="3306"/>
              </w:tabs>
              <w:ind w:left="-3516" w:right="60"/>
              <w:rPr>
                <w:rFonts w:cs="Calibri"/>
              </w:rPr>
            </w:pPr>
          </w:p>
        </w:tc>
      </w:tr>
      <w:tr w:rsidR="00765778" w:rsidRPr="00F14B06" w14:paraId="35AECEFA" w14:textId="77777777" w:rsidTr="000477B1">
        <w:tc>
          <w:tcPr>
            <w:tcW w:w="745" w:type="pct"/>
            <w:tcBorders>
              <w:top w:val="nil"/>
              <w:left w:val="single" w:sz="2" w:space="0" w:color="auto"/>
              <w:bottom w:val="nil"/>
              <w:right w:val="single" w:sz="2" w:space="0" w:color="auto"/>
            </w:tcBorders>
          </w:tcPr>
          <w:p w14:paraId="5821260D" w14:textId="00EEF938"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1058.10</w:t>
            </w:r>
          </w:p>
        </w:tc>
        <w:tc>
          <w:tcPr>
            <w:tcW w:w="3168" w:type="pct"/>
            <w:tcBorders>
              <w:top w:val="nil"/>
              <w:left w:val="single" w:sz="2" w:space="0" w:color="auto"/>
              <w:bottom w:val="nil"/>
              <w:right w:val="nil"/>
            </w:tcBorders>
            <w:vAlign w:val="bottom"/>
          </w:tcPr>
          <w:p w14:paraId="0ABD941F" w14:textId="103C1B04" w:rsidR="00765778" w:rsidRPr="00AC0200" w:rsidRDefault="00765778" w:rsidP="00765778">
            <w:pPr>
              <w:pStyle w:val="TableText"/>
              <w:tabs>
                <w:tab w:val="left" w:pos="3306"/>
              </w:tabs>
              <w:rPr>
                <w:rFonts w:cs="Calibri"/>
                <w:strike/>
              </w:rPr>
            </w:pPr>
            <w:r w:rsidRPr="00AC0200">
              <w:rPr>
                <w:rFonts w:cs="Calibri"/>
              </w:rPr>
              <w:t>Grants without Sufficient Performance Obligations</w:t>
            </w:r>
            <w:r w:rsidRPr="0009580B">
              <w:rPr>
                <w:rFonts w:cs="Calibri"/>
              </w:rPr>
              <w:t xml:space="preserve"> </w:t>
            </w:r>
          </w:p>
        </w:tc>
        <w:tc>
          <w:tcPr>
            <w:tcW w:w="554" w:type="pct"/>
            <w:gridSpan w:val="3"/>
            <w:tcBorders>
              <w:top w:val="nil"/>
              <w:left w:val="nil"/>
              <w:bottom w:val="nil"/>
              <w:right w:val="nil"/>
            </w:tcBorders>
            <w:vAlign w:val="bottom"/>
          </w:tcPr>
          <w:p w14:paraId="25E8231C"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597A557" w14:textId="77777777" w:rsidR="00765778" w:rsidRPr="00AC0200" w:rsidRDefault="00765778" w:rsidP="00765778">
            <w:pPr>
              <w:pStyle w:val="TableText"/>
              <w:tabs>
                <w:tab w:val="left" w:pos="3306"/>
              </w:tabs>
              <w:jc w:val="right"/>
              <w:rPr>
                <w:rFonts w:cs="Calibri"/>
              </w:rPr>
            </w:pPr>
          </w:p>
        </w:tc>
      </w:tr>
      <w:tr w:rsidR="00765778" w:rsidRPr="00F14B06" w14:paraId="268D4686" w14:textId="77777777" w:rsidTr="000477B1">
        <w:tc>
          <w:tcPr>
            <w:tcW w:w="745" w:type="pct"/>
            <w:tcBorders>
              <w:top w:val="nil"/>
              <w:left w:val="single" w:sz="2" w:space="0" w:color="auto"/>
              <w:bottom w:val="nil"/>
              <w:right w:val="single" w:sz="2" w:space="0" w:color="auto"/>
            </w:tcBorders>
          </w:tcPr>
          <w:p w14:paraId="0E471488" w14:textId="6343C1E9"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1058.31</w:t>
            </w:r>
          </w:p>
        </w:tc>
        <w:tc>
          <w:tcPr>
            <w:tcW w:w="3168" w:type="pct"/>
            <w:tcBorders>
              <w:top w:val="nil"/>
              <w:left w:val="single" w:sz="2" w:space="0" w:color="auto"/>
              <w:bottom w:val="nil"/>
              <w:right w:val="nil"/>
            </w:tcBorders>
            <w:vAlign w:val="bottom"/>
          </w:tcPr>
          <w:p w14:paraId="57EB525D" w14:textId="36EAEA00" w:rsidR="00765778" w:rsidRPr="00AC0200" w:rsidRDefault="00765778" w:rsidP="00765778">
            <w:pPr>
              <w:pStyle w:val="TableText"/>
              <w:tabs>
                <w:tab w:val="left" w:pos="3306"/>
              </w:tabs>
              <w:rPr>
                <w:rFonts w:cs="Calibri"/>
              </w:rPr>
            </w:pPr>
            <w:r w:rsidRPr="00AC0200">
              <w:rPr>
                <w:rFonts w:cs="Calibri"/>
              </w:rPr>
              <w:t>Grants to Acquire or Construct Assets to be Controlled by the Agency</w:t>
            </w:r>
          </w:p>
        </w:tc>
        <w:tc>
          <w:tcPr>
            <w:tcW w:w="554" w:type="pct"/>
            <w:gridSpan w:val="3"/>
            <w:tcBorders>
              <w:top w:val="nil"/>
              <w:left w:val="nil"/>
              <w:bottom w:val="nil"/>
              <w:right w:val="nil"/>
            </w:tcBorders>
            <w:vAlign w:val="bottom"/>
          </w:tcPr>
          <w:p w14:paraId="79C39306"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EEC33D4" w14:textId="77777777" w:rsidR="00765778" w:rsidRPr="00AC0200" w:rsidRDefault="00765778" w:rsidP="00765778">
            <w:pPr>
              <w:pStyle w:val="TableText"/>
              <w:tabs>
                <w:tab w:val="left" w:pos="3306"/>
              </w:tabs>
              <w:jc w:val="right"/>
              <w:rPr>
                <w:rFonts w:cs="Calibri"/>
              </w:rPr>
            </w:pPr>
          </w:p>
        </w:tc>
      </w:tr>
      <w:tr w:rsidR="00765778" w:rsidRPr="00F14B06" w14:paraId="59D8C808" w14:textId="77777777" w:rsidTr="000477B1">
        <w:tc>
          <w:tcPr>
            <w:tcW w:w="745" w:type="pct"/>
            <w:tcBorders>
              <w:top w:val="nil"/>
              <w:left w:val="single" w:sz="2" w:space="0" w:color="auto"/>
              <w:bottom w:val="nil"/>
              <w:right w:val="single" w:sz="2" w:space="0" w:color="auto"/>
            </w:tcBorders>
          </w:tcPr>
          <w:p w14:paraId="14D75BD9" w14:textId="397DDEA4"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1058.26(a)</w:t>
            </w:r>
          </w:p>
        </w:tc>
        <w:tc>
          <w:tcPr>
            <w:tcW w:w="3168" w:type="pct"/>
            <w:tcBorders>
              <w:top w:val="nil"/>
              <w:left w:val="single" w:sz="2" w:space="0" w:color="auto"/>
              <w:bottom w:val="nil"/>
              <w:right w:val="nil"/>
            </w:tcBorders>
            <w:vAlign w:val="bottom"/>
          </w:tcPr>
          <w:p w14:paraId="24EB4D27" w14:textId="5B7FF527" w:rsidR="00765778" w:rsidRPr="00AC0200" w:rsidRDefault="00765778" w:rsidP="00765778">
            <w:pPr>
              <w:pStyle w:val="TableText"/>
              <w:tabs>
                <w:tab w:val="left" w:pos="3306"/>
              </w:tabs>
              <w:rPr>
                <w:rFonts w:cs="Calibri"/>
              </w:rPr>
            </w:pPr>
            <w:r w:rsidRPr="00AC0200">
              <w:rPr>
                <w:rFonts w:cs="Calibri"/>
              </w:rPr>
              <w:t>Donations</w:t>
            </w:r>
            <w:r>
              <w:rPr>
                <w:rFonts w:cs="Calibri"/>
              </w:rPr>
              <w:t xml:space="preserve"> </w:t>
            </w:r>
          </w:p>
        </w:tc>
        <w:tc>
          <w:tcPr>
            <w:tcW w:w="554" w:type="pct"/>
            <w:gridSpan w:val="3"/>
            <w:tcBorders>
              <w:top w:val="nil"/>
              <w:left w:val="nil"/>
              <w:bottom w:val="nil"/>
              <w:right w:val="nil"/>
            </w:tcBorders>
            <w:vAlign w:val="bottom"/>
          </w:tcPr>
          <w:p w14:paraId="71FBA948"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E9A205F" w14:textId="77777777" w:rsidR="00765778" w:rsidRPr="00AC0200" w:rsidRDefault="00765778" w:rsidP="00765778">
            <w:pPr>
              <w:pStyle w:val="TableText"/>
              <w:tabs>
                <w:tab w:val="left" w:pos="3306"/>
              </w:tabs>
              <w:jc w:val="right"/>
              <w:rPr>
                <w:rFonts w:cs="Calibri"/>
              </w:rPr>
            </w:pPr>
          </w:p>
        </w:tc>
      </w:tr>
      <w:tr w:rsidR="00765778" w:rsidRPr="00F14B06" w14:paraId="1CF34DEF" w14:textId="77777777" w:rsidTr="000477B1">
        <w:tc>
          <w:tcPr>
            <w:tcW w:w="745" w:type="pct"/>
            <w:tcBorders>
              <w:top w:val="nil"/>
              <w:left w:val="single" w:sz="2" w:space="0" w:color="auto"/>
              <w:bottom w:val="nil"/>
              <w:right w:val="single" w:sz="2" w:space="0" w:color="auto"/>
            </w:tcBorders>
          </w:tcPr>
          <w:p w14:paraId="2A37C2DF"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383BB603" w14:textId="53EC4AC2" w:rsidR="00765778" w:rsidRPr="00AC0200" w:rsidRDefault="00765778" w:rsidP="00765778">
            <w:pPr>
              <w:pStyle w:val="TableText"/>
              <w:tabs>
                <w:tab w:val="left" w:pos="3306"/>
              </w:tabs>
              <w:rPr>
                <w:rFonts w:cs="Calibri"/>
              </w:rPr>
            </w:pPr>
            <w:bookmarkStart w:id="421" w:name="_Hlk95075481"/>
            <w:r w:rsidRPr="00AC0200">
              <w:rPr>
                <w:rFonts w:cs="Calibri"/>
              </w:rPr>
              <w:t>Gain Arising from the Contribution of Assets</w:t>
            </w:r>
            <w:r>
              <w:rPr>
                <w:rFonts w:cs="Calibri"/>
              </w:rPr>
              <w:t xml:space="preserve"> </w:t>
            </w:r>
            <w:bookmarkEnd w:id="421"/>
          </w:p>
        </w:tc>
        <w:tc>
          <w:tcPr>
            <w:tcW w:w="554" w:type="pct"/>
            <w:gridSpan w:val="3"/>
            <w:tcBorders>
              <w:top w:val="nil"/>
              <w:left w:val="nil"/>
              <w:bottom w:val="nil"/>
              <w:right w:val="nil"/>
            </w:tcBorders>
            <w:vAlign w:val="bottom"/>
          </w:tcPr>
          <w:p w14:paraId="65C25220"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6AD588F0" w14:textId="77777777" w:rsidR="00765778" w:rsidRPr="00AC0200" w:rsidRDefault="00765778" w:rsidP="00765778">
            <w:pPr>
              <w:pStyle w:val="TableText"/>
              <w:tabs>
                <w:tab w:val="left" w:pos="3306"/>
              </w:tabs>
              <w:jc w:val="right"/>
              <w:rPr>
                <w:rFonts w:cs="Calibri"/>
              </w:rPr>
            </w:pPr>
          </w:p>
        </w:tc>
      </w:tr>
      <w:tr w:rsidR="00765778" w:rsidRPr="00F14B06" w14:paraId="289EF623" w14:textId="77777777" w:rsidTr="000477B1">
        <w:tc>
          <w:tcPr>
            <w:tcW w:w="745" w:type="pct"/>
            <w:tcBorders>
              <w:top w:val="nil"/>
              <w:left w:val="single" w:sz="2" w:space="0" w:color="auto"/>
              <w:bottom w:val="nil"/>
              <w:right w:val="single" w:sz="2" w:space="0" w:color="auto"/>
            </w:tcBorders>
          </w:tcPr>
          <w:p w14:paraId="6C7ECDD8"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57ABC9BC" w14:textId="60C9630D" w:rsidR="00765778" w:rsidRPr="00AC0200" w:rsidRDefault="00765778" w:rsidP="00765778">
            <w:pPr>
              <w:pStyle w:val="TableText"/>
              <w:tabs>
                <w:tab w:val="left" w:pos="3306"/>
              </w:tabs>
              <w:rPr>
                <w:rFonts w:cs="Calibri"/>
              </w:rPr>
            </w:pPr>
            <w:r w:rsidRPr="00AC0200">
              <w:rPr>
                <w:rFonts w:cs="Calibri"/>
              </w:rPr>
              <w:t>Donations of Property, Plant and Equipment</w:t>
            </w:r>
            <w:r>
              <w:rPr>
                <w:rFonts w:cs="Calibri"/>
              </w:rPr>
              <w:t xml:space="preserve"> </w:t>
            </w:r>
          </w:p>
        </w:tc>
        <w:tc>
          <w:tcPr>
            <w:tcW w:w="554" w:type="pct"/>
            <w:gridSpan w:val="3"/>
            <w:tcBorders>
              <w:top w:val="nil"/>
              <w:left w:val="nil"/>
              <w:bottom w:val="nil"/>
              <w:right w:val="nil"/>
            </w:tcBorders>
            <w:vAlign w:val="bottom"/>
          </w:tcPr>
          <w:p w14:paraId="74670B48"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3028CF21" w14:textId="77777777" w:rsidR="00765778" w:rsidRPr="00AC0200" w:rsidRDefault="00765778" w:rsidP="00765778">
            <w:pPr>
              <w:pStyle w:val="TableText"/>
              <w:tabs>
                <w:tab w:val="left" w:pos="3306"/>
              </w:tabs>
              <w:jc w:val="right"/>
              <w:rPr>
                <w:rFonts w:cs="Calibri"/>
              </w:rPr>
            </w:pPr>
          </w:p>
        </w:tc>
      </w:tr>
      <w:tr w:rsidR="00765778" w:rsidRPr="00F14B06" w14:paraId="63B9A803" w14:textId="77777777" w:rsidTr="000477B1">
        <w:tc>
          <w:tcPr>
            <w:tcW w:w="745" w:type="pct"/>
            <w:tcBorders>
              <w:top w:val="nil"/>
              <w:left w:val="single" w:sz="2" w:space="0" w:color="auto"/>
              <w:bottom w:val="nil"/>
              <w:right w:val="single" w:sz="2" w:space="0" w:color="auto"/>
            </w:tcBorders>
          </w:tcPr>
          <w:p w14:paraId="75556BB0"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69112A02" w14:textId="38FBA393" w:rsidR="00765778" w:rsidRPr="00AC0200" w:rsidRDefault="00765778" w:rsidP="00765778">
            <w:pPr>
              <w:pStyle w:val="TableText"/>
              <w:tabs>
                <w:tab w:val="left" w:pos="3306"/>
              </w:tabs>
              <w:rPr>
                <w:rFonts w:cs="Calibri"/>
              </w:rPr>
            </w:pPr>
            <w:r w:rsidRPr="00AC0200">
              <w:rPr>
                <w:rFonts w:cs="Calibri"/>
              </w:rPr>
              <w:t xml:space="preserve">Restructure Fund Receipts </w:t>
            </w:r>
          </w:p>
        </w:tc>
        <w:tc>
          <w:tcPr>
            <w:tcW w:w="554" w:type="pct"/>
            <w:gridSpan w:val="3"/>
            <w:tcBorders>
              <w:top w:val="nil"/>
              <w:left w:val="nil"/>
              <w:bottom w:val="nil"/>
              <w:right w:val="nil"/>
            </w:tcBorders>
            <w:vAlign w:val="bottom"/>
          </w:tcPr>
          <w:p w14:paraId="52857E4B"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664AEED7" w14:textId="77777777" w:rsidR="00765778" w:rsidRPr="00AC0200" w:rsidRDefault="00765778" w:rsidP="00765778">
            <w:pPr>
              <w:pStyle w:val="TableText"/>
              <w:tabs>
                <w:tab w:val="left" w:pos="3306"/>
              </w:tabs>
              <w:jc w:val="right"/>
              <w:rPr>
                <w:rFonts w:cs="Calibri"/>
              </w:rPr>
            </w:pPr>
          </w:p>
        </w:tc>
      </w:tr>
      <w:tr w:rsidR="00765778" w:rsidRPr="00F14B06" w14:paraId="593DDEDB" w14:textId="77777777" w:rsidTr="000477B1">
        <w:tc>
          <w:tcPr>
            <w:tcW w:w="745" w:type="pct"/>
            <w:tcBorders>
              <w:top w:val="nil"/>
              <w:left w:val="single" w:sz="2" w:space="0" w:color="auto"/>
              <w:bottom w:val="nil"/>
              <w:right w:val="single" w:sz="2" w:space="0" w:color="auto"/>
            </w:tcBorders>
          </w:tcPr>
          <w:p w14:paraId="4299EAFD" w14:textId="531F3C2E"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1058.26(b)</w:t>
            </w:r>
          </w:p>
        </w:tc>
        <w:tc>
          <w:tcPr>
            <w:tcW w:w="3168" w:type="pct"/>
            <w:tcBorders>
              <w:top w:val="nil"/>
              <w:left w:val="single" w:sz="2" w:space="0" w:color="auto"/>
              <w:bottom w:val="nil"/>
              <w:right w:val="nil"/>
            </w:tcBorders>
            <w:vAlign w:val="bottom"/>
          </w:tcPr>
          <w:p w14:paraId="25D8CE11" w14:textId="5A174259" w:rsidR="00765778" w:rsidRPr="00AC0200" w:rsidRDefault="00765778" w:rsidP="00765778">
            <w:pPr>
              <w:pStyle w:val="TableText"/>
              <w:tabs>
                <w:tab w:val="left" w:pos="3306"/>
              </w:tabs>
              <w:rPr>
                <w:rFonts w:cs="Calibri"/>
              </w:rPr>
            </w:pPr>
            <w:r w:rsidRPr="00AC0200">
              <w:rPr>
                <w:rFonts w:cs="Calibri"/>
              </w:rPr>
              <w:t>Volunteer Services – External Volunteers</w:t>
            </w:r>
          </w:p>
        </w:tc>
        <w:tc>
          <w:tcPr>
            <w:tcW w:w="554" w:type="pct"/>
            <w:gridSpan w:val="3"/>
            <w:tcBorders>
              <w:top w:val="nil"/>
              <w:left w:val="nil"/>
              <w:bottom w:val="single" w:sz="2" w:space="0" w:color="auto"/>
              <w:right w:val="nil"/>
            </w:tcBorders>
            <w:vAlign w:val="bottom"/>
          </w:tcPr>
          <w:p w14:paraId="09663A12"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single" w:sz="2" w:space="0" w:color="auto"/>
              <w:right w:val="nil"/>
            </w:tcBorders>
            <w:vAlign w:val="bottom"/>
          </w:tcPr>
          <w:p w14:paraId="31CE7A7D" w14:textId="77777777" w:rsidR="00765778" w:rsidRPr="00AC0200" w:rsidRDefault="00765778" w:rsidP="00765778">
            <w:pPr>
              <w:pStyle w:val="TableText"/>
              <w:tabs>
                <w:tab w:val="left" w:pos="3306"/>
              </w:tabs>
              <w:jc w:val="right"/>
              <w:rPr>
                <w:rFonts w:cs="Calibri"/>
              </w:rPr>
            </w:pPr>
          </w:p>
        </w:tc>
      </w:tr>
      <w:tr w:rsidR="00765778" w:rsidRPr="00F14B06" w14:paraId="53686400" w14:textId="77777777" w:rsidTr="000477B1">
        <w:tc>
          <w:tcPr>
            <w:tcW w:w="745" w:type="pct"/>
            <w:tcBorders>
              <w:top w:val="nil"/>
              <w:left w:val="single" w:sz="2" w:space="0" w:color="auto"/>
              <w:bottom w:val="nil"/>
              <w:right w:val="single" w:sz="2" w:space="0" w:color="auto"/>
            </w:tcBorders>
          </w:tcPr>
          <w:p w14:paraId="646F693C"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2124FD16" w14:textId="088246F2" w:rsidR="00765778" w:rsidRPr="00AC0200" w:rsidRDefault="00765778" w:rsidP="00765778">
            <w:pPr>
              <w:pStyle w:val="TableText"/>
              <w:tabs>
                <w:tab w:val="left" w:pos="3306"/>
              </w:tabs>
              <w:rPr>
                <w:rFonts w:cs="Calibri"/>
                <w:b/>
                <w:bCs/>
              </w:rPr>
            </w:pPr>
            <w:r w:rsidRPr="00AC0200">
              <w:rPr>
                <w:rFonts w:cs="Calibri"/>
                <w:b/>
                <w:bCs/>
              </w:rPr>
              <w:t xml:space="preserve">Total Other Grants and Contributions </w:t>
            </w:r>
          </w:p>
        </w:tc>
        <w:tc>
          <w:tcPr>
            <w:tcW w:w="554" w:type="pct"/>
            <w:gridSpan w:val="3"/>
            <w:tcBorders>
              <w:top w:val="single" w:sz="2" w:space="0" w:color="auto"/>
              <w:left w:val="nil"/>
              <w:bottom w:val="single" w:sz="4" w:space="0" w:color="auto"/>
              <w:right w:val="nil"/>
            </w:tcBorders>
            <w:vAlign w:val="bottom"/>
          </w:tcPr>
          <w:p w14:paraId="230E0A1D" w14:textId="77777777" w:rsidR="00765778" w:rsidRPr="00AC0200" w:rsidRDefault="00765778" w:rsidP="00765778">
            <w:pPr>
              <w:pStyle w:val="TableText"/>
              <w:tabs>
                <w:tab w:val="left" w:pos="3306"/>
              </w:tabs>
              <w:jc w:val="right"/>
              <w:rPr>
                <w:rFonts w:cs="Calibri"/>
                <w:b/>
                <w:bCs/>
              </w:rPr>
            </w:pPr>
          </w:p>
        </w:tc>
        <w:tc>
          <w:tcPr>
            <w:tcW w:w="533" w:type="pct"/>
            <w:tcBorders>
              <w:top w:val="single" w:sz="2" w:space="0" w:color="auto"/>
              <w:left w:val="nil"/>
              <w:bottom w:val="single" w:sz="4" w:space="0" w:color="auto"/>
              <w:right w:val="nil"/>
            </w:tcBorders>
            <w:vAlign w:val="bottom"/>
          </w:tcPr>
          <w:p w14:paraId="6CA6BB32" w14:textId="77777777" w:rsidR="00765778" w:rsidRPr="00AC0200" w:rsidRDefault="00765778" w:rsidP="00765778">
            <w:pPr>
              <w:pStyle w:val="TableText"/>
              <w:tabs>
                <w:tab w:val="left" w:pos="3306"/>
              </w:tabs>
              <w:jc w:val="right"/>
              <w:rPr>
                <w:rFonts w:cs="Calibri"/>
              </w:rPr>
            </w:pPr>
          </w:p>
        </w:tc>
      </w:tr>
      <w:tr w:rsidR="00765778" w:rsidRPr="00F14B06" w14:paraId="2C915777" w14:textId="77777777" w:rsidTr="000477B1">
        <w:tc>
          <w:tcPr>
            <w:tcW w:w="745" w:type="pct"/>
            <w:tcBorders>
              <w:top w:val="nil"/>
              <w:left w:val="single" w:sz="2" w:space="0" w:color="auto"/>
              <w:bottom w:val="nil"/>
              <w:right w:val="single" w:sz="2" w:space="0" w:color="auto"/>
            </w:tcBorders>
          </w:tcPr>
          <w:p w14:paraId="66D13122" w14:textId="4B14C3EE" w:rsidR="00765778" w:rsidRPr="00AC0200" w:rsidRDefault="00765778" w:rsidP="00765778">
            <w:pPr>
              <w:pStyle w:val="TableReference"/>
              <w:tabs>
                <w:tab w:val="left" w:pos="3306"/>
              </w:tabs>
              <w:spacing w:before="40"/>
              <w:rPr>
                <w:rFonts w:cs="Calibri"/>
                <w:color w:val="7030A0"/>
                <w:sz w:val="14"/>
              </w:rPr>
            </w:pPr>
            <w:r w:rsidRPr="00AC0200">
              <w:rPr>
                <w:rFonts w:cs="Calibri"/>
                <w:color w:val="7030A0"/>
                <w:sz w:val="14"/>
              </w:rPr>
              <w:t>AASB 1058.22</w:t>
            </w:r>
          </w:p>
        </w:tc>
        <w:tc>
          <w:tcPr>
            <w:tcW w:w="3174" w:type="pct"/>
            <w:gridSpan w:val="2"/>
            <w:tcBorders>
              <w:top w:val="nil"/>
              <w:left w:val="single" w:sz="2" w:space="0" w:color="auto"/>
              <w:bottom w:val="nil"/>
              <w:right w:val="nil"/>
            </w:tcBorders>
            <w:vAlign w:val="bottom"/>
          </w:tcPr>
          <w:p w14:paraId="0256DD17" w14:textId="673557F1" w:rsidR="00765778" w:rsidRPr="00AC0200" w:rsidRDefault="00765778" w:rsidP="00765778">
            <w:pPr>
              <w:pStyle w:val="TableText"/>
              <w:tabs>
                <w:tab w:val="left" w:pos="3306"/>
              </w:tabs>
              <w:rPr>
                <w:rFonts w:cs="Calibri"/>
                <w:b/>
                <w:bCs/>
              </w:rPr>
            </w:pPr>
            <w:r w:rsidRPr="00AC0200">
              <w:rPr>
                <w:rFonts w:cs="Calibri"/>
                <w:b/>
                <w:bCs/>
              </w:rPr>
              <w:t>Total Grants and Contributions</w:t>
            </w:r>
          </w:p>
        </w:tc>
        <w:tc>
          <w:tcPr>
            <w:tcW w:w="548" w:type="pct"/>
            <w:gridSpan w:val="2"/>
            <w:tcBorders>
              <w:top w:val="single" w:sz="4" w:space="0" w:color="auto"/>
              <w:left w:val="nil"/>
              <w:bottom w:val="double" w:sz="4" w:space="0" w:color="auto"/>
              <w:right w:val="nil"/>
            </w:tcBorders>
            <w:vAlign w:val="bottom"/>
          </w:tcPr>
          <w:p w14:paraId="596C78DF" w14:textId="77777777" w:rsidR="00765778" w:rsidRPr="00AC0200" w:rsidRDefault="00765778" w:rsidP="00765778">
            <w:pPr>
              <w:pStyle w:val="TableText"/>
              <w:tabs>
                <w:tab w:val="left" w:pos="3306"/>
              </w:tabs>
              <w:jc w:val="right"/>
              <w:rPr>
                <w:rFonts w:cs="Calibri"/>
                <w:b/>
                <w:bCs/>
              </w:rPr>
            </w:pPr>
          </w:p>
        </w:tc>
        <w:tc>
          <w:tcPr>
            <w:tcW w:w="533" w:type="pct"/>
            <w:tcBorders>
              <w:top w:val="single" w:sz="4" w:space="0" w:color="auto"/>
              <w:left w:val="nil"/>
              <w:bottom w:val="double" w:sz="4" w:space="0" w:color="auto"/>
              <w:right w:val="nil"/>
            </w:tcBorders>
            <w:vAlign w:val="bottom"/>
          </w:tcPr>
          <w:p w14:paraId="3165E1BA" w14:textId="77777777" w:rsidR="00765778" w:rsidRPr="00AC0200" w:rsidRDefault="00765778" w:rsidP="00765778">
            <w:pPr>
              <w:pStyle w:val="TableText"/>
              <w:tabs>
                <w:tab w:val="left" w:pos="3306"/>
              </w:tabs>
              <w:jc w:val="right"/>
              <w:rPr>
                <w:rFonts w:cs="Calibri"/>
                <w:b/>
                <w:bCs/>
              </w:rPr>
            </w:pPr>
          </w:p>
        </w:tc>
      </w:tr>
      <w:tr w:rsidR="00765778" w:rsidRPr="0080666E" w14:paraId="0BF42FE9" w14:textId="77777777" w:rsidTr="000477B1">
        <w:trPr>
          <w:trHeight w:val="150"/>
        </w:trPr>
        <w:tc>
          <w:tcPr>
            <w:tcW w:w="745" w:type="pct"/>
            <w:tcBorders>
              <w:top w:val="nil"/>
              <w:left w:val="single" w:sz="2" w:space="0" w:color="auto"/>
              <w:bottom w:val="nil"/>
              <w:right w:val="single" w:sz="2" w:space="0" w:color="auto"/>
            </w:tcBorders>
          </w:tcPr>
          <w:p w14:paraId="47358004"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58CBB082" w14:textId="2A96D9DA" w:rsidR="00765778" w:rsidRPr="00FD5156" w:rsidRDefault="00765778" w:rsidP="00765778"/>
        </w:tc>
        <w:tc>
          <w:tcPr>
            <w:tcW w:w="1081" w:type="pct"/>
            <w:gridSpan w:val="3"/>
            <w:tcBorders>
              <w:top w:val="double" w:sz="4" w:space="0" w:color="auto"/>
              <w:left w:val="nil"/>
              <w:bottom w:val="nil"/>
              <w:right w:val="nil"/>
            </w:tcBorders>
          </w:tcPr>
          <w:p w14:paraId="36343579" w14:textId="42CD4B39" w:rsidR="00765778" w:rsidRPr="00AC0200" w:rsidRDefault="00765778" w:rsidP="00765778">
            <w:pPr>
              <w:pStyle w:val="TableText"/>
              <w:tabs>
                <w:tab w:val="left" w:pos="3306"/>
              </w:tabs>
              <w:spacing w:before="0"/>
              <w:jc w:val="both"/>
              <w:rPr>
                <w:rFonts w:cs="Calibri"/>
                <w:sz w:val="20"/>
                <w:szCs w:val="20"/>
              </w:rPr>
            </w:pPr>
          </w:p>
        </w:tc>
      </w:tr>
      <w:tr w:rsidR="00765778" w:rsidRPr="0080666E" w14:paraId="6278511E" w14:textId="77777777" w:rsidTr="000477B1">
        <w:trPr>
          <w:trHeight w:val="150"/>
        </w:trPr>
        <w:tc>
          <w:tcPr>
            <w:tcW w:w="745" w:type="pct"/>
            <w:tcBorders>
              <w:top w:val="nil"/>
              <w:left w:val="single" w:sz="2" w:space="0" w:color="auto"/>
              <w:bottom w:val="nil"/>
              <w:right w:val="single" w:sz="2" w:space="0" w:color="auto"/>
            </w:tcBorders>
          </w:tcPr>
          <w:p w14:paraId="61939D26" w14:textId="77777777" w:rsidR="00765778" w:rsidRPr="00AC0200" w:rsidRDefault="00765778" w:rsidP="00765778">
            <w:pPr>
              <w:pStyle w:val="TableText"/>
              <w:tabs>
                <w:tab w:val="left" w:pos="3306"/>
              </w:tabs>
              <w:spacing w:before="0"/>
              <w:jc w:val="both"/>
              <w:rPr>
                <w:rFonts w:cs="Calibri"/>
                <w:sz w:val="20"/>
                <w:szCs w:val="20"/>
              </w:rPr>
            </w:pPr>
          </w:p>
        </w:tc>
        <w:tc>
          <w:tcPr>
            <w:tcW w:w="4255" w:type="pct"/>
            <w:gridSpan w:val="5"/>
            <w:tcBorders>
              <w:top w:val="nil"/>
              <w:left w:val="single" w:sz="2" w:space="0" w:color="auto"/>
              <w:bottom w:val="nil"/>
              <w:right w:val="nil"/>
            </w:tcBorders>
          </w:tcPr>
          <w:p w14:paraId="6ED452C5" w14:textId="3C0302D5" w:rsidR="00765778" w:rsidRPr="00AC0200" w:rsidRDefault="00765778" w:rsidP="00765778">
            <w:pPr>
              <w:pStyle w:val="TableText"/>
              <w:tabs>
                <w:tab w:val="left" w:pos="3306"/>
              </w:tabs>
              <w:spacing w:before="0"/>
              <w:jc w:val="both"/>
              <w:rPr>
                <w:rFonts w:cs="Calibri"/>
                <w:sz w:val="20"/>
                <w:szCs w:val="20"/>
              </w:rPr>
            </w:pPr>
            <w:r w:rsidRPr="00947CD5">
              <w:rPr>
                <w:rFonts w:cs="Calibri"/>
                <w:strike/>
                <w:color w:val="FF0000"/>
              </w:rPr>
              <w:t>c)</w:t>
            </w:r>
            <w:r w:rsidRPr="00947CD5">
              <w:rPr>
                <w:rFonts w:cs="Calibri"/>
                <w:color w:val="FF0000"/>
              </w:rPr>
              <w:t xml:space="preserve"> a) </w:t>
            </w:r>
            <w:r w:rsidRPr="00AC0200">
              <w:rPr>
                <w:rFonts w:cs="Calibri"/>
              </w:rPr>
              <w:t>The increase in legal services of $</w:t>
            </w:r>
            <w:r>
              <w:rPr>
                <w:rFonts w:cs="Calibri"/>
              </w:rPr>
              <w:t>xxx</w:t>
            </w:r>
            <w:r w:rsidRPr="00AC0200">
              <w:rPr>
                <w:rFonts w:cs="Calibri"/>
              </w:rPr>
              <w:t xml:space="preserve"> was due to the litigation arising from </w:t>
            </w:r>
            <w:r w:rsidRPr="00AC0200">
              <w:rPr>
                <w:rFonts w:asciiTheme="minorHAnsi" w:hAnsiTheme="minorHAnsi" w:cs="Calibri"/>
              </w:rPr>
              <w:t>contamination caused by ‘</w:t>
            </w:r>
            <w:r w:rsidRPr="00AC0200">
              <w:t>Burley Griffin</w:t>
            </w:r>
            <w:r w:rsidRPr="00AC0200">
              <w:rPr>
                <w:rFonts w:asciiTheme="minorHAnsi" w:hAnsiTheme="minorHAnsi" w:cs="Calibri"/>
              </w:rPr>
              <w:t xml:space="preserve"> Agency’.</w:t>
            </w:r>
            <w:r>
              <w:rPr>
                <w:rFonts w:asciiTheme="minorHAnsi" w:hAnsiTheme="minorHAnsi" w:cs="Calibri"/>
              </w:rPr>
              <w:t xml:space="preserve"> </w:t>
            </w:r>
            <w:r>
              <w:rPr>
                <w:rFonts w:cs="Calibri"/>
              </w:rPr>
              <w:t xml:space="preserve"> </w:t>
            </w:r>
          </w:p>
        </w:tc>
      </w:tr>
      <w:tr w:rsidR="00765778" w:rsidRPr="0080666E" w14:paraId="0A2BCDB9" w14:textId="77777777" w:rsidTr="000477B1">
        <w:trPr>
          <w:trHeight w:val="150"/>
        </w:trPr>
        <w:tc>
          <w:tcPr>
            <w:tcW w:w="745" w:type="pct"/>
            <w:tcBorders>
              <w:top w:val="nil"/>
              <w:left w:val="single" w:sz="2" w:space="0" w:color="auto"/>
              <w:bottom w:val="nil"/>
              <w:right w:val="single" w:sz="2" w:space="0" w:color="auto"/>
            </w:tcBorders>
          </w:tcPr>
          <w:p w14:paraId="4B302975"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11B35236" w14:textId="77777777" w:rsidR="00765778" w:rsidRPr="00201CCE" w:rsidRDefault="00765778" w:rsidP="00765778">
            <w:pPr>
              <w:pStyle w:val="TableText"/>
              <w:tabs>
                <w:tab w:val="left" w:pos="3306"/>
              </w:tabs>
              <w:spacing w:before="0"/>
              <w:jc w:val="both"/>
              <w:rPr>
                <w:rFonts w:cs="Calibri"/>
                <w:b/>
                <w:bCs/>
                <w:color w:val="FF0000"/>
              </w:rPr>
            </w:pPr>
          </w:p>
        </w:tc>
        <w:tc>
          <w:tcPr>
            <w:tcW w:w="540" w:type="pct"/>
            <w:tcBorders>
              <w:top w:val="nil"/>
              <w:left w:val="nil"/>
              <w:bottom w:val="nil"/>
              <w:right w:val="nil"/>
            </w:tcBorders>
          </w:tcPr>
          <w:p w14:paraId="276599E4"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7FCD831C"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7B82D200" w14:textId="77777777" w:rsidTr="000477B1">
        <w:trPr>
          <w:trHeight w:val="150"/>
        </w:trPr>
        <w:tc>
          <w:tcPr>
            <w:tcW w:w="745" w:type="pct"/>
            <w:tcBorders>
              <w:top w:val="nil"/>
              <w:left w:val="single" w:sz="2" w:space="0" w:color="auto"/>
              <w:bottom w:val="nil"/>
              <w:right w:val="single" w:sz="2" w:space="0" w:color="auto"/>
            </w:tcBorders>
          </w:tcPr>
          <w:p w14:paraId="1B00C5B1"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07ACCDED" w14:textId="30837F26" w:rsidR="00765778" w:rsidRPr="00201CCE" w:rsidRDefault="00765778" w:rsidP="00765778">
            <w:pPr>
              <w:pStyle w:val="TableText"/>
              <w:tabs>
                <w:tab w:val="left" w:pos="3306"/>
              </w:tabs>
              <w:spacing w:before="0"/>
              <w:jc w:val="both"/>
              <w:rPr>
                <w:rFonts w:cs="Calibri"/>
                <w:b/>
                <w:bCs/>
                <w:color w:val="FF0000"/>
              </w:rPr>
            </w:pPr>
            <w:r w:rsidRPr="009F2F6B">
              <w:rPr>
                <w:b/>
                <w:bCs/>
                <w:color w:val="FF0000"/>
              </w:rPr>
              <w:t>Resource Provided Free of Charge</w:t>
            </w:r>
          </w:p>
        </w:tc>
        <w:tc>
          <w:tcPr>
            <w:tcW w:w="540" w:type="pct"/>
            <w:tcBorders>
              <w:top w:val="nil"/>
              <w:left w:val="nil"/>
              <w:bottom w:val="nil"/>
              <w:right w:val="nil"/>
            </w:tcBorders>
          </w:tcPr>
          <w:p w14:paraId="0B64C089"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333B0D87"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1E790A74" w14:textId="77777777" w:rsidTr="000477B1">
        <w:trPr>
          <w:trHeight w:val="150"/>
        </w:trPr>
        <w:tc>
          <w:tcPr>
            <w:tcW w:w="745" w:type="pct"/>
            <w:tcBorders>
              <w:top w:val="nil"/>
              <w:left w:val="single" w:sz="2" w:space="0" w:color="auto"/>
              <w:bottom w:val="nil"/>
              <w:right w:val="single" w:sz="2" w:space="0" w:color="auto"/>
            </w:tcBorders>
          </w:tcPr>
          <w:p w14:paraId="6644F5B6" w14:textId="77777777" w:rsidR="00765778" w:rsidRPr="00AC0200" w:rsidRDefault="00765778" w:rsidP="00765778">
            <w:pPr>
              <w:pStyle w:val="TableText"/>
              <w:tabs>
                <w:tab w:val="left" w:pos="3306"/>
              </w:tabs>
              <w:spacing w:before="0"/>
              <w:jc w:val="both"/>
              <w:rPr>
                <w:rFonts w:cs="Calibri"/>
                <w:sz w:val="20"/>
                <w:szCs w:val="20"/>
              </w:rPr>
            </w:pPr>
          </w:p>
        </w:tc>
        <w:tc>
          <w:tcPr>
            <w:tcW w:w="4255" w:type="pct"/>
            <w:gridSpan w:val="5"/>
            <w:tcBorders>
              <w:top w:val="nil"/>
              <w:left w:val="single" w:sz="2" w:space="0" w:color="auto"/>
              <w:bottom w:val="nil"/>
              <w:right w:val="nil"/>
            </w:tcBorders>
          </w:tcPr>
          <w:p w14:paraId="2BDED408" w14:textId="4E0535CA" w:rsidR="00765778" w:rsidRPr="00AC0200" w:rsidRDefault="00765778" w:rsidP="00765778">
            <w:pPr>
              <w:pStyle w:val="TableText"/>
              <w:tabs>
                <w:tab w:val="left" w:pos="3306"/>
              </w:tabs>
              <w:spacing w:before="0"/>
              <w:jc w:val="both"/>
              <w:rPr>
                <w:rFonts w:cs="Calibri"/>
                <w:sz w:val="20"/>
                <w:szCs w:val="20"/>
              </w:rPr>
            </w:pPr>
            <w:r w:rsidRPr="00201CCE">
              <w:rPr>
                <w:color w:val="FF0000"/>
              </w:rPr>
              <w:t>‘Burley Griffin Agency’ provided various services free of charge to other ACT Government agencies throughout the financial year.  These services have been recognised in ‘Burley Griffin Agency’s’ Operating Statemen</w:t>
            </w:r>
            <w:r>
              <w:rPr>
                <w:color w:val="FF0000"/>
              </w:rPr>
              <w:t>t</w:t>
            </w:r>
            <w:r w:rsidRPr="00201CCE">
              <w:rPr>
                <w:color w:val="FF0000"/>
              </w:rPr>
              <w:t xml:space="preserve"> as expenses in the relevant expense line items. The</w:t>
            </w:r>
            <w:r>
              <w:rPr>
                <w:color w:val="FF0000"/>
              </w:rPr>
              <w:t>r</w:t>
            </w:r>
            <w:r w:rsidRPr="00201CCE">
              <w:rPr>
                <w:color w:val="FF0000"/>
              </w:rPr>
              <w:t>e</w:t>
            </w:r>
            <w:r>
              <w:rPr>
                <w:color w:val="FF0000"/>
              </w:rPr>
              <w:t xml:space="preserve">fore the figures included in this note are disclosures only and the total </w:t>
            </w:r>
            <w:r w:rsidRPr="00AD34F4">
              <w:rPr>
                <w:color w:val="FF0000"/>
              </w:rPr>
              <w:t>Resources Provided Free of Charge</w:t>
            </w:r>
            <w:r>
              <w:rPr>
                <w:color w:val="FF0000"/>
              </w:rPr>
              <w:t xml:space="preserve"> does not appear as a separate line item in the Operating Statement.  </w:t>
            </w:r>
          </w:p>
        </w:tc>
      </w:tr>
      <w:tr w:rsidR="00765778" w:rsidRPr="0080666E" w14:paraId="12B6554A" w14:textId="77777777" w:rsidTr="000477B1">
        <w:trPr>
          <w:trHeight w:val="150"/>
        </w:trPr>
        <w:tc>
          <w:tcPr>
            <w:tcW w:w="745" w:type="pct"/>
            <w:tcBorders>
              <w:top w:val="nil"/>
              <w:left w:val="single" w:sz="2" w:space="0" w:color="auto"/>
              <w:bottom w:val="nil"/>
              <w:right w:val="single" w:sz="2" w:space="0" w:color="auto"/>
            </w:tcBorders>
          </w:tcPr>
          <w:p w14:paraId="360575B2" w14:textId="77777777" w:rsidR="00765778" w:rsidRPr="00AC0200" w:rsidRDefault="00765778" w:rsidP="00765778">
            <w:pPr>
              <w:pStyle w:val="TableText"/>
              <w:tabs>
                <w:tab w:val="left" w:pos="3306"/>
              </w:tabs>
              <w:spacing w:before="0"/>
              <w:jc w:val="both"/>
              <w:rPr>
                <w:rFonts w:cs="Calibri"/>
                <w:sz w:val="20"/>
                <w:szCs w:val="20"/>
              </w:rPr>
            </w:pPr>
          </w:p>
        </w:tc>
        <w:tc>
          <w:tcPr>
            <w:tcW w:w="4255" w:type="pct"/>
            <w:gridSpan w:val="5"/>
            <w:tcBorders>
              <w:top w:val="nil"/>
              <w:left w:val="single" w:sz="2" w:space="0" w:color="auto"/>
              <w:bottom w:val="nil"/>
              <w:right w:val="nil"/>
            </w:tcBorders>
          </w:tcPr>
          <w:p w14:paraId="0A810555" w14:textId="77777777" w:rsidR="00765778" w:rsidRPr="00201CCE" w:rsidRDefault="00765778" w:rsidP="00765778">
            <w:pPr>
              <w:pStyle w:val="TableText"/>
              <w:tabs>
                <w:tab w:val="left" w:pos="3306"/>
              </w:tabs>
              <w:spacing w:before="0" w:after="120"/>
              <w:jc w:val="both"/>
              <w:rPr>
                <w:color w:val="FF0000"/>
              </w:rPr>
            </w:pPr>
          </w:p>
        </w:tc>
      </w:tr>
      <w:tr w:rsidR="00765778" w:rsidRPr="0080666E" w14:paraId="5581A3D7" w14:textId="77777777" w:rsidTr="000477B1">
        <w:trPr>
          <w:trHeight w:val="150"/>
        </w:trPr>
        <w:tc>
          <w:tcPr>
            <w:tcW w:w="745" w:type="pct"/>
            <w:tcBorders>
              <w:top w:val="nil"/>
              <w:left w:val="single" w:sz="2" w:space="0" w:color="auto"/>
              <w:bottom w:val="nil"/>
              <w:right w:val="single" w:sz="2" w:space="0" w:color="auto"/>
            </w:tcBorders>
          </w:tcPr>
          <w:p w14:paraId="62E43582"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67E5AB91" w14:textId="7830389D" w:rsidR="00765778" w:rsidRPr="009F2F6B" w:rsidRDefault="00765778" w:rsidP="00765778">
            <w:pPr>
              <w:pStyle w:val="TableText"/>
              <w:tabs>
                <w:tab w:val="left" w:pos="3306"/>
              </w:tabs>
              <w:spacing w:before="0"/>
              <w:jc w:val="both"/>
              <w:rPr>
                <w:rFonts w:cs="Calibri"/>
                <w:color w:val="FF0000"/>
              </w:rPr>
            </w:pPr>
            <w:r w:rsidRPr="009F2F6B">
              <w:rPr>
                <w:rFonts w:cs="Calibri"/>
                <w:b/>
                <w:bCs/>
                <w:color w:val="FF0000"/>
              </w:rPr>
              <w:t>Resources Provided Free of Charge</w:t>
            </w:r>
          </w:p>
        </w:tc>
        <w:tc>
          <w:tcPr>
            <w:tcW w:w="540" w:type="pct"/>
            <w:tcBorders>
              <w:top w:val="nil"/>
              <w:left w:val="nil"/>
              <w:bottom w:val="nil"/>
              <w:right w:val="nil"/>
            </w:tcBorders>
          </w:tcPr>
          <w:p w14:paraId="5117AC46"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70F3D6BA" w14:textId="46A207F2" w:rsidR="00765778" w:rsidRPr="00AC0200" w:rsidRDefault="00765778" w:rsidP="00765778">
            <w:pPr>
              <w:pStyle w:val="TableText"/>
              <w:tabs>
                <w:tab w:val="left" w:pos="3306"/>
              </w:tabs>
              <w:spacing w:before="0"/>
              <w:jc w:val="both"/>
              <w:rPr>
                <w:rFonts w:cs="Calibri"/>
                <w:sz w:val="20"/>
                <w:szCs w:val="20"/>
              </w:rPr>
            </w:pPr>
          </w:p>
        </w:tc>
      </w:tr>
      <w:tr w:rsidR="00765778" w:rsidRPr="0080666E" w14:paraId="6DC1AE93" w14:textId="77777777" w:rsidTr="000477B1">
        <w:trPr>
          <w:trHeight w:val="150"/>
        </w:trPr>
        <w:tc>
          <w:tcPr>
            <w:tcW w:w="745" w:type="pct"/>
            <w:tcBorders>
              <w:top w:val="nil"/>
              <w:left w:val="single" w:sz="2" w:space="0" w:color="auto"/>
              <w:bottom w:val="nil"/>
              <w:right w:val="single" w:sz="2" w:space="0" w:color="auto"/>
            </w:tcBorders>
          </w:tcPr>
          <w:p w14:paraId="14B40232"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58C5009E" w14:textId="7B85F024" w:rsidR="00765778" w:rsidRPr="009F2F6B" w:rsidRDefault="00765778" w:rsidP="00765778">
            <w:pPr>
              <w:pStyle w:val="TableText"/>
              <w:tabs>
                <w:tab w:val="left" w:pos="3306"/>
              </w:tabs>
              <w:spacing w:before="0"/>
              <w:jc w:val="both"/>
              <w:rPr>
                <w:rFonts w:cs="Calibri"/>
                <w:color w:val="FF0000"/>
              </w:rPr>
            </w:pPr>
            <w:r w:rsidRPr="009F2F6B">
              <w:rPr>
                <w:rFonts w:cs="Calibri"/>
                <w:color w:val="FF0000"/>
              </w:rPr>
              <w:t>Publication Services</w:t>
            </w:r>
          </w:p>
        </w:tc>
        <w:tc>
          <w:tcPr>
            <w:tcW w:w="540" w:type="pct"/>
            <w:tcBorders>
              <w:top w:val="nil"/>
              <w:left w:val="nil"/>
              <w:bottom w:val="nil"/>
              <w:right w:val="nil"/>
            </w:tcBorders>
          </w:tcPr>
          <w:p w14:paraId="18B5A00B"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0AC97607"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7716AD42" w14:textId="77777777" w:rsidTr="000477B1">
        <w:trPr>
          <w:trHeight w:val="150"/>
        </w:trPr>
        <w:tc>
          <w:tcPr>
            <w:tcW w:w="745" w:type="pct"/>
            <w:tcBorders>
              <w:top w:val="nil"/>
              <w:left w:val="single" w:sz="2" w:space="0" w:color="auto"/>
              <w:bottom w:val="nil"/>
              <w:right w:val="single" w:sz="2" w:space="0" w:color="auto"/>
            </w:tcBorders>
          </w:tcPr>
          <w:p w14:paraId="0627CA28"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3F8324DE" w14:textId="0AA20272" w:rsidR="00765778" w:rsidRPr="009F2F6B" w:rsidRDefault="00765778" w:rsidP="00765778">
            <w:pPr>
              <w:pStyle w:val="TableText"/>
              <w:tabs>
                <w:tab w:val="left" w:pos="3306"/>
              </w:tabs>
              <w:spacing w:before="0"/>
              <w:jc w:val="both"/>
              <w:rPr>
                <w:rFonts w:cs="Calibri"/>
                <w:color w:val="FF0000"/>
              </w:rPr>
            </w:pPr>
            <w:r w:rsidRPr="009F2F6B">
              <w:rPr>
                <w:rFonts w:cs="Calibri"/>
                <w:color w:val="FF0000"/>
              </w:rPr>
              <w:t>COVID-19 Support Services</w:t>
            </w:r>
          </w:p>
        </w:tc>
        <w:tc>
          <w:tcPr>
            <w:tcW w:w="540" w:type="pct"/>
            <w:tcBorders>
              <w:top w:val="nil"/>
              <w:left w:val="nil"/>
              <w:bottom w:val="single" w:sz="4" w:space="0" w:color="auto"/>
              <w:right w:val="nil"/>
            </w:tcBorders>
          </w:tcPr>
          <w:p w14:paraId="252A254D"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single" w:sz="4" w:space="0" w:color="auto"/>
              <w:right w:val="nil"/>
            </w:tcBorders>
          </w:tcPr>
          <w:p w14:paraId="5CE5CDD8"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50979BD2" w14:textId="77777777" w:rsidTr="000477B1">
        <w:trPr>
          <w:trHeight w:val="150"/>
        </w:trPr>
        <w:tc>
          <w:tcPr>
            <w:tcW w:w="745" w:type="pct"/>
            <w:tcBorders>
              <w:top w:val="nil"/>
              <w:left w:val="single" w:sz="2" w:space="0" w:color="auto"/>
              <w:bottom w:val="nil"/>
              <w:right w:val="single" w:sz="2" w:space="0" w:color="auto"/>
            </w:tcBorders>
          </w:tcPr>
          <w:p w14:paraId="67730FB1"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442DF6CE" w14:textId="1B990A00" w:rsidR="00765778" w:rsidRPr="009F2F6B" w:rsidRDefault="00765778" w:rsidP="00765778">
            <w:pPr>
              <w:pStyle w:val="TableText"/>
              <w:tabs>
                <w:tab w:val="left" w:pos="3306"/>
              </w:tabs>
              <w:spacing w:before="0"/>
              <w:jc w:val="both"/>
              <w:rPr>
                <w:rFonts w:cs="Calibri"/>
                <w:b/>
                <w:bCs/>
              </w:rPr>
            </w:pPr>
            <w:r w:rsidRPr="009F2F6B">
              <w:rPr>
                <w:rFonts w:cs="Calibri"/>
                <w:b/>
                <w:bCs/>
                <w:color w:val="FF0000"/>
              </w:rPr>
              <w:t>Total Resources Provided Free of Charge</w:t>
            </w:r>
          </w:p>
        </w:tc>
        <w:tc>
          <w:tcPr>
            <w:tcW w:w="540" w:type="pct"/>
            <w:tcBorders>
              <w:top w:val="single" w:sz="4" w:space="0" w:color="auto"/>
              <w:left w:val="nil"/>
              <w:bottom w:val="double" w:sz="4" w:space="0" w:color="auto"/>
              <w:right w:val="nil"/>
            </w:tcBorders>
          </w:tcPr>
          <w:p w14:paraId="32622031"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single" w:sz="4" w:space="0" w:color="auto"/>
              <w:left w:val="nil"/>
              <w:bottom w:val="double" w:sz="4" w:space="0" w:color="auto"/>
              <w:right w:val="nil"/>
            </w:tcBorders>
          </w:tcPr>
          <w:p w14:paraId="7979CC18"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01E3A651" w14:textId="77777777" w:rsidTr="000477B1">
        <w:trPr>
          <w:trHeight w:val="150"/>
        </w:trPr>
        <w:tc>
          <w:tcPr>
            <w:tcW w:w="745" w:type="pct"/>
            <w:tcBorders>
              <w:top w:val="nil"/>
              <w:left w:val="single" w:sz="2" w:space="0" w:color="auto"/>
              <w:bottom w:val="nil"/>
              <w:right w:val="single" w:sz="2" w:space="0" w:color="auto"/>
            </w:tcBorders>
          </w:tcPr>
          <w:p w14:paraId="12F4712F"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46A6DAAF" w14:textId="77777777" w:rsidR="00765778" w:rsidRDefault="00765778" w:rsidP="00765778">
            <w:pPr>
              <w:pStyle w:val="TableText"/>
              <w:tabs>
                <w:tab w:val="left" w:pos="3306"/>
              </w:tabs>
              <w:spacing w:before="0"/>
              <w:jc w:val="both"/>
              <w:rPr>
                <w:rFonts w:cs="Calibri"/>
                <w:sz w:val="20"/>
                <w:szCs w:val="20"/>
              </w:rPr>
            </w:pPr>
          </w:p>
        </w:tc>
        <w:tc>
          <w:tcPr>
            <w:tcW w:w="540" w:type="pct"/>
            <w:tcBorders>
              <w:top w:val="double" w:sz="4" w:space="0" w:color="auto"/>
              <w:left w:val="nil"/>
              <w:bottom w:val="nil"/>
              <w:right w:val="nil"/>
            </w:tcBorders>
          </w:tcPr>
          <w:p w14:paraId="0A2057C6"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double" w:sz="4" w:space="0" w:color="auto"/>
              <w:left w:val="nil"/>
              <w:bottom w:val="nil"/>
              <w:right w:val="nil"/>
            </w:tcBorders>
          </w:tcPr>
          <w:p w14:paraId="15D4057F" w14:textId="77777777" w:rsidR="00765778" w:rsidRPr="00AC0200" w:rsidRDefault="00765778" w:rsidP="00765778">
            <w:pPr>
              <w:pStyle w:val="TableText"/>
              <w:tabs>
                <w:tab w:val="left" w:pos="3306"/>
              </w:tabs>
              <w:spacing w:before="0"/>
              <w:jc w:val="both"/>
              <w:rPr>
                <w:rFonts w:cs="Calibri"/>
                <w:sz w:val="20"/>
                <w:szCs w:val="20"/>
              </w:rPr>
            </w:pPr>
          </w:p>
        </w:tc>
      </w:tr>
      <w:tr w:rsidR="00765778" w:rsidRPr="00CF7E1B" w14:paraId="3C1D9D9A"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57"/>
          <w:tblHeader/>
        </w:trPr>
        <w:tc>
          <w:tcPr>
            <w:tcW w:w="745" w:type="pct"/>
            <w:tcBorders>
              <w:left w:val="single" w:sz="2" w:space="0" w:color="auto"/>
              <w:right w:val="single" w:sz="2" w:space="0" w:color="auto"/>
            </w:tcBorders>
          </w:tcPr>
          <w:p w14:paraId="529F51C7" w14:textId="09955E80" w:rsidR="00765778" w:rsidRPr="00AC0200" w:rsidRDefault="00765778" w:rsidP="00765778">
            <w:pPr>
              <w:pStyle w:val="TableReference"/>
              <w:tabs>
                <w:tab w:val="left" w:pos="3306"/>
              </w:tabs>
              <w:spacing w:before="240" w:after="240"/>
              <w:rPr>
                <w:rFonts w:cs="Calibri"/>
                <w:b/>
                <w:color w:val="7030A0"/>
                <w:sz w:val="14"/>
              </w:rPr>
            </w:pPr>
          </w:p>
        </w:tc>
        <w:tc>
          <w:tcPr>
            <w:tcW w:w="4255" w:type="pct"/>
            <w:gridSpan w:val="5"/>
            <w:tcBorders>
              <w:left w:val="single" w:sz="2" w:space="0" w:color="auto"/>
            </w:tcBorders>
            <w:shd w:val="clear" w:color="auto" w:fill="7030A0"/>
          </w:tcPr>
          <w:p w14:paraId="451119F5" w14:textId="3AEE910D" w:rsidR="00765778" w:rsidRPr="00AC0200" w:rsidRDefault="00765778" w:rsidP="00765778">
            <w:pPr>
              <w:pStyle w:val="CommentaryTitle"/>
              <w:spacing w:before="240" w:after="240"/>
              <w:rPr>
                <w:rFonts w:cs="Calibri"/>
                <w:bCs w:val="0"/>
                <w:color w:val="FFFFFF" w:themeColor="background1"/>
                <w:sz w:val="28"/>
                <w:szCs w:val="28"/>
              </w:rPr>
            </w:pPr>
            <w:r w:rsidRPr="00AC0200">
              <w:rPr>
                <w:rFonts w:cs="Calibri"/>
                <w:bCs w:val="0"/>
                <w:color w:val="FFFFFF" w:themeColor="background1"/>
                <w:sz w:val="28"/>
                <w:szCs w:val="28"/>
              </w:rPr>
              <w:t xml:space="preserve">Commentary – Note 6: Grants and Contributions </w:t>
            </w:r>
            <w:r w:rsidRPr="00AC0200">
              <w:rPr>
                <w:rFonts w:cs="Calibri"/>
                <w:color w:val="FFFFFF" w:themeColor="background1"/>
                <w:sz w:val="28"/>
                <w:szCs w:val="28"/>
              </w:rPr>
              <w:t>Revenue</w:t>
            </w:r>
          </w:p>
        </w:tc>
      </w:tr>
      <w:tr w:rsidR="00765778" w:rsidRPr="00AB2101" w14:paraId="626AED28"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9973EB1"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2A4CE145" w14:textId="58762F5C" w:rsidR="00765778" w:rsidRPr="006B168B" w:rsidRDefault="00765778" w:rsidP="00765778">
            <w:pPr>
              <w:pStyle w:val="CommentaryText"/>
              <w:tabs>
                <w:tab w:val="left" w:pos="3306"/>
              </w:tabs>
              <w:spacing w:after="40"/>
              <w:rPr>
                <w:rFonts w:cs="Calibri"/>
                <w:strike/>
                <w:color w:val="FFFFFF" w:themeColor="background1"/>
                <w:szCs w:val="20"/>
              </w:rPr>
            </w:pPr>
            <w:r w:rsidRPr="006B168B">
              <w:rPr>
                <w:rFonts w:cs="Calibri"/>
                <w:b/>
                <w:bCs/>
                <w:color w:val="FFFFFF" w:themeColor="background1"/>
                <w:szCs w:val="20"/>
              </w:rPr>
              <w:t>AASB 1058 Income of Not-for-Profit Entities</w:t>
            </w:r>
          </w:p>
        </w:tc>
      </w:tr>
      <w:tr w:rsidR="00765778" w:rsidRPr="00AB2101" w14:paraId="0482E233"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4903CE16" w14:textId="77777777" w:rsidR="00765778" w:rsidRPr="00AC0200" w:rsidRDefault="00765778" w:rsidP="00765778">
            <w:pPr>
              <w:pStyle w:val="TableReference"/>
              <w:tabs>
                <w:tab w:val="left" w:pos="3306"/>
              </w:tabs>
              <w:spacing w:before="60"/>
              <w:rPr>
                <w:color w:val="7030A0"/>
                <w:sz w:val="14"/>
              </w:rPr>
            </w:pPr>
            <w:r w:rsidRPr="00AC0200">
              <w:rPr>
                <w:color w:val="7030A0"/>
                <w:sz w:val="14"/>
              </w:rPr>
              <w:t>AASB 1058.1</w:t>
            </w:r>
          </w:p>
          <w:p w14:paraId="6F1B0643"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7ACC23B5" w14:textId="320610E3" w:rsidR="00765778" w:rsidRPr="00AC0200" w:rsidRDefault="00765778" w:rsidP="00765778">
            <w:pPr>
              <w:pStyle w:val="CommentaryText"/>
              <w:tabs>
                <w:tab w:val="left" w:pos="3306"/>
              </w:tabs>
              <w:rPr>
                <w:rFonts w:cs="Calibri"/>
                <w:strike/>
                <w:color w:val="FFFFFF" w:themeColor="background1"/>
                <w:sz w:val="18"/>
                <w:szCs w:val="18"/>
              </w:rPr>
            </w:pPr>
            <w:r w:rsidRPr="00AC0200">
              <w:rPr>
                <w:color w:val="FFFFFF" w:themeColor="background1"/>
                <w:sz w:val="18"/>
                <w:szCs w:val="18"/>
              </w:rPr>
              <w:t>AASB 1058 applies to transactions where the consideration to acquire an asset is significantly less than fair value principally to enable a not-for-profit agency to further its objectives (i.e. transactions with a donation nature) and the receipt of volunteer services.</w:t>
            </w:r>
          </w:p>
        </w:tc>
      </w:tr>
      <w:tr w:rsidR="00765778" w:rsidRPr="00AB2101" w14:paraId="1E7D67AA"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DC2A7B6" w14:textId="77777777" w:rsidR="00765778" w:rsidRPr="00AC0200" w:rsidRDefault="00765778" w:rsidP="00765778">
            <w:pPr>
              <w:pStyle w:val="TableReference"/>
              <w:tabs>
                <w:tab w:val="left" w:pos="3306"/>
              </w:tabs>
              <w:spacing w:before="60"/>
              <w:rPr>
                <w:color w:val="7030A0"/>
                <w:sz w:val="14"/>
              </w:rPr>
            </w:pPr>
            <w:r w:rsidRPr="00AC0200">
              <w:rPr>
                <w:color w:val="7030A0"/>
                <w:sz w:val="14"/>
              </w:rPr>
              <w:t>AASB 1058.8</w:t>
            </w:r>
          </w:p>
          <w:p w14:paraId="1FA8C364" w14:textId="77777777" w:rsidR="00765778" w:rsidRPr="00AC0200" w:rsidRDefault="00765778" w:rsidP="00765778">
            <w:pPr>
              <w:pStyle w:val="TableReference"/>
              <w:tabs>
                <w:tab w:val="left" w:pos="3306"/>
              </w:tabs>
              <w:spacing w:before="60"/>
              <w:rPr>
                <w:color w:val="7030A0"/>
                <w:sz w:val="14"/>
              </w:rPr>
            </w:pPr>
            <w:r w:rsidRPr="00AC0200">
              <w:rPr>
                <w:color w:val="7030A0"/>
                <w:sz w:val="14"/>
              </w:rPr>
              <w:t>AASB 1058.9</w:t>
            </w:r>
          </w:p>
          <w:p w14:paraId="03A1DD46"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73B26945" w14:textId="36C4D35C" w:rsidR="00765778" w:rsidRPr="00AC0200" w:rsidRDefault="00765778" w:rsidP="00765778">
            <w:pPr>
              <w:pStyle w:val="CommentaryText"/>
              <w:tabs>
                <w:tab w:val="left" w:pos="3306"/>
              </w:tabs>
              <w:rPr>
                <w:rFonts w:cs="Calibri"/>
                <w:strike/>
                <w:color w:val="FFFFFF" w:themeColor="background1"/>
                <w:sz w:val="18"/>
                <w:szCs w:val="18"/>
              </w:rPr>
            </w:pPr>
            <w:r w:rsidRPr="00AC0200">
              <w:rPr>
                <w:color w:val="FFFFFF" w:themeColor="background1"/>
                <w:sz w:val="18"/>
                <w:szCs w:val="18"/>
              </w:rPr>
              <w:t xml:space="preserve">According to AASB 1058, an agency shall apply the requirements of other Australian Accounting Standards (as relevant) to an asset arising from a transaction (e.g. AASB 9 </w:t>
            </w:r>
            <w:r w:rsidRPr="00AC0200">
              <w:rPr>
                <w:i/>
                <w:iCs/>
                <w:color w:val="FFFFFF" w:themeColor="background1"/>
                <w:sz w:val="18"/>
                <w:szCs w:val="18"/>
              </w:rPr>
              <w:t>Financial Instruments</w:t>
            </w:r>
            <w:r w:rsidRPr="00AC0200">
              <w:rPr>
                <w:color w:val="FFFFFF" w:themeColor="background1"/>
                <w:sz w:val="18"/>
                <w:szCs w:val="18"/>
              </w:rPr>
              <w:t xml:space="preserve"> for cash received). On initial recognition of the asset, an agency shall recognise any related contributions by owners, increases in liabilities, decreases in assets (‘related amounts</w:t>
            </w:r>
            <w:r>
              <w:rPr>
                <w:color w:val="FFFFFF" w:themeColor="background1"/>
                <w:sz w:val="18"/>
                <w:szCs w:val="18"/>
              </w:rPr>
              <w:t>’</w:t>
            </w:r>
            <w:r w:rsidRPr="00AC0200">
              <w:rPr>
                <w:color w:val="FFFFFF" w:themeColor="background1"/>
                <w:sz w:val="18"/>
                <w:szCs w:val="18"/>
              </w:rPr>
              <w:t>), and revenue in accordance with other Australian Accounting Standards.</w:t>
            </w:r>
            <w:r>
              <w:rPr>
                <w:color w:val="FFFFFF" w:themeColor="background1"/>
                <w:sz w:val="18"/>
                <w:szCs w:val="18"/>
              </w:rPr>
              <w:t xml:space="preserve"> </w:t>
            </w:r>
          </w:p>
        </w:tc>
      </w:tr>
      <w:tr w:rsidR="004B1C2F" w:rsidRPr="00AB2101" w14:paraId="78CD5E2B" w14:textId="77777777" w:rsidTr="00AF3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3A36009F" w14:textId="77777777" w:rsidR="004B1C2F" w:rsidRPr="00AC0200" w:rsidRDefault="004B1C2F" w:rsidP="00AF300B">
            <w:pPr>
              <w:pStyle w:val="TableReference"/>
              <w:tabs>
                <w:tab w:val="left" w:pos="3306"/>
              </w:tabs>
              <w:spacing w:before="240" w:after="240"/>
              <w:rPr>
                <w:rFonts w:cs="Calibri"/>
                <w:color w:val="7030A0"/>
                <w:sz w:val="14"/>
              </w:rPr>
            </w:pPr>
            <w:r w:rsidRPr="00985A9F">
              <w:rPr>
                <w:rFonts w:cs="Calibri"/>
                <w:b/>
                <w:color w:val="7030A0"/>
                <w:sz w:val="22"/>
                <w:szCs w:val="22"/>
              </w:rPr>
              <w:t>Reference</w:t>
            </w:r>
          </w:p>
        </w:tc>
        <w:tc>
          <w:tcPr>
            <w:tcW w:w="4255" w:type="pct"/>
            <w:gridSpan w:val="5"/>
            <w:tcBorders>
              <w:left w:val="single" w:sz="2" w:space="0" w:color="auto"/>
            </w:tcBorders>
            <w:shd w:val="clear" w:color="auto" w:fill="7030A0"/>
          </w:tcPr>
          <w:p w14:paraId="44C29B51" w14:textId="77777777" w:rsidR="004B1C2F" w:rsidRPr="00AC0200" w:rsidRDefault="004B1C2F" w:rsidP="00AF300B">
            <w:pPr>
              <w:pStyle w:val="CommentaryText"/>
              <w:tabs>
                <w:tab w:val="left" w:pos="3306"/>
              </w:tabs>
              <w:spacing w:before="240" w:after="240"/>
              <w:rPr>
                <w:rFonts w:cs="Calibri"/>
                <w:strike/>
                <w:color w:val="FFFFFF" w:themeColor="background1"/>
                <w:sz w:val="18"/>
                <w:szCs w:val="18"/>
              </w:rPr>
            </w:pPr>
            <w:r w:rsidRPr="00C4456A">
              <w:rPr>
                <w:rFonts w:cs="Calibri"/>
                <w:b/>
                <w:color w:val="FFFFFF" w:themeColor="background1"/>
                <w:sz w:val="28"/>
                <w:szCs w:val="28"/>
              </w:rPr>
              <w:t>Commentary – Note 6: Grants and Contributions Revenue</w:t>
            </w:r>
            <w:r>
              <w:rPr>
                <w:rFonts w:cs="Calibri"/>
                <w:b/>
                <w:color w:val="FFFFFF" w:themeColor="background1"/>
                <w:sz w:val="28"/>
                <w:szCs w:val="28"/>
              </w:rPr>
              <w:t xml:space="preserve"> - Continued</w:t>
            </w:r>
          </w:p>
        </w:tc>
      </w:tr>
      <w:tr w:rsidR="00765778" w:rsidRPr="00AB2101" w14:paraId="78F703DC"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3360149" w14:textId="77777777" w:rsidR="00765778" w:rsidRPr="00AC0200" w:rsidRDefault="00765778" w:rsidP="00765778">
            <w:pPr>
              <w:pStyle w:val="TableReference"/>
              <w:tabs>
                <w:tab w:val="left" w:pos="3306"/>
              </w:tabs>
              <w:spacing w:before="60"/>
              <w:rPr>
                <w:color w:val="7030A0"/>
                <w:sz w:val="14"/>
              </w:rPr>
            </w:pPr>
            <w:r w:rsidRPr="00AC0200">
              <w:rPr>
                <w:color w:val="7030A0"/>
                <w:sz w:val="14"/>
              </w:rPr>
              <w:t>AASB 1058.10</w:t>
            </w:r>
          </w:p>
          <w:p w14:paraId="49DBF5E8" w14:textId="77777777" w:rsidR="00765778" w:rsidRPr="00AC0200" w:rsidRDefault="00765778" w:rsidP="00765778">
            <w:pPr>
              <w:pStyle w:val="TableReference"/>
              <w:tabs>
                <w:tab w:val="left" w:pos="3306"/>
              </w:tabs>
              <w:spacing w:before="60"/>
              <w:rPr>
                <w:color w:val="7030A0"/>
                <w:sz w:val="14"/>
              </w:rPr>
            </w:pPr>
          </w:p>
          <w:p w14:paraId="60904E46" w14:textId="16759B74" w:rsidR="00765778" w:rsidRPr="00AC0200" w:rsidRDefault="00765778" w:rsidP="00765778">
            <w:pPr>
              <w:pStyle w:val="TableReference"/>
              <w:tabs>
                <w:tab w:val="left" w:pos="3306"/>
              </w:tabs>
              <w:spacing w:before="60"/>
              <w:rPr>
                <w:rFonts w:cs="Calibri"/>
                <w:color w:val="7030A0"/>
                <w:sz w:val="14"/>
              </w:rPr>
            </w:pPr>
            <w:r w:rsidRPr="00AC0200">
              <w:rPr>
                <w:color w:val="7030A0"/>
                <w:sz w:val="14"/>
              </w:rPr>
              <w:t>AASB 1058.15</w:t>
            </w:r>
          </w:p>
        </w:tc>
        <w:tc>
          <w:tcPr>
            <w:tcW w:w="4255" w:type="pct"/>
            <w:gridSpan w:val="5"/>
            <w:tcBorders>
              <w:left w:val="single" w:sz="2" w:space="0" w:color="auto"/>
            </w:tcBorders>
            <w:shd w:val="clear" w:color="auto" w:fill="7030A0"/>
          </w:tcPr>
          <w:p w14:paraId="1B17BE94" w14:textId="38D97746" w:rsidR="00765778" w:rsidRPr="00AC0200" w:rsidRDefault="00765778" w:rsidP="00765778">
            <w:pPr>
              <w:pStyle w:val="CommentaryText"/>
              <w:tabs>
                <w:tab w:val="left" w:pos="3306"/>
              </w:tabs>
              <w:rPr>
                <w:rFonts w:cs="Calibri"/>
                <w:strike/>
                <w:color w:val="FFFFFF" w:themeColor="background1"/>
                <w:sz w:val="18"/>
                <w:szCs w:val="18"/>
              </w:rPr>
            </w:pPr>
            <w:r w:rsidRPr="00AC0200">
              <w:rPr>
                <w:color w:val="FFFFFF" w:themeColor="background1"/>
                <w:sz w:val="18"/>
                <w:szCs w:val="18"/>
              </w:rPr>
              <w:t>For transactions within the scope of AASB 1058, an agency shall recognise income immediately in profit or loss for the excess of the initial carrying amount of an asset over the related amounts recognised in accordance with the other standards (referred to above).</w:t>
            </w:r>
          </w:p>
        </w:tc>
      </w:tr>
      <w:tr w:rsidR="00765778" w:rsidRPr="00AB2101" w14:paraId="560D7649"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7AD9977" w14:textId="09C192DF"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1058.16</w:t>
            </w:r>
          </w:p>
        </w:tc>
        <w:tc>
          <w:tcPr>
            <w:tcW w:w="4255" w:type="pct"/>
            <w:gridSpan w:val="5"/>
            <w:tcBorders>
              <w:left w:val="single" w:sz="2" w:space="0" w:color="auto"/>
            </w:tcBorders>
            <w:shd w:val="clear" w:color="auto" w:fill="7030A0"/>
          </w:tcPr>
          <w:p w14:paraId="622C31B4" w14:textId="0F781DA1" w:rsidR="00765778" w:rsidRPr="00AC0200" w:rsidRDefault="00765778" w:rsidP="00765778">
            <w:pPr>
              <w:spacing w:after="40"/>
              <w:jc w:val="both"/>
              <w:rPr>
                <w:color w:val="FFFFFF" w:themeColor="background1"/>
                <w:sz w:val="18"/>
                <w:szCs w:val="18"/>
              </w:rPr>
            </w:pPr>
            <w:r w:rsidRPr="00AC0200">
              <w:rPr>
                <w:color w:val="FFFFFF" w:themeColor="background1"/>
                <w:sz w:val="18"/>
                <w:szCs w:val="18"/>
              </w:rPr>
              <w:t>There is an exception where a transfer of a financial asset is to enable an agency to acquire or construct a recognisable non-financial asset that will be controlled by the agency.</w:t>
            </w:r>
            <w:r>
              <w:rPr>
                <w:color w:val="FFFFFF" w:themeColor="background1"/>
                <w:sz w:val="18"/>
                <w:szCs w:val="18"/>
              </w:rPr>
              <w:t xml:space="preserve"> </w:t>
            </w:r>
            <w:r w:rsidRPr="00AC0200">
              <w:rPr>
                <w:color w:val="FFFFFF" w:themeColor="background1"/>
                <w:sz w:val="18"/>
                <w:szCs w:val="18"/>
              </w:rPr>
              <w:t xml:space="preserve">This exception applies to a transfer that: </w:t>
            </w:r>
          </w:p>
          <w:p w14:paraId="547BA52D" w14:textId="77777777" w:rsidR="00765778" w:rsidRPr="006B168B" w:rsidRDefault="00765778" w:rsidP="00765778">
            <w:pPr>
              <w:numPr>
                <w:ilvl w:val="0"/>
                <w:numId w:val="43"/>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requires the agency to use that financial asset to acquire or construct a recognisable non-financial asset to identified specifications; </w:t>
            </w:r>
          </w:p>
          <w:p w14:paraId="267C8092" w14:textId="77777777" w:rsidR="00765778" w:rsidRPr="006B168B" w:rsidRDefault="00765778" w:rsidP="00765778">
            <w:pPr>
              <w:numPr>
                <w:ilvl w:val="0"/>
                <w:numId w:val="43"/>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does not require the agency to transfer the non-financial asset to the transferor or other parties; and </w:t>
            </w:r>
          </w:p>
          <w:p w14:paraId="29E5201B" w14:textId="2C138D39" w:rsidR="00765778" w:rsidRPr="00AC0200" w:rsidRDefault="00765778" w:rsidP="00765778">
            <w:pPr>
              <w:numPr>
                <w:ilvl w:val="0"/>
                <w:numId w:val="43"/>
              </w:numPr>
              <w:spacing w:after="40"/>
              <w:ind w:left="604" w:hanging="421"/>
              <w:jc w:val="both"/>
              <w:rPr>
                <w:color w:val="FFFFFF" w:themeColor="background1"/>
                <w:sz w:val="18"/>
                <w:szCs w:val="18"/>
              </w:rPr>
            </w:pPr>
            <w:r w:rsidRPr="006B168B">
              <w:rPr>
                <w:rFonts w:cs="Calibri"/>
                <w:color w:val="FFFFFF" w:themeColor="background1"/>
                <w:sz w:val="18"/>
                <w:szCs w:val="18"/>
              </w:rPr>
              <w:t>occurs under an enforceable agreement.</w:t>
            </w:r>
          </w:p>
        </w:tc>
      </w:tr>
      <w:tr w:rsidR="00765778" w:rsidRPr="00AB2101" w14:paraId="0927DBBD"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86AD18E"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24F5EA3D" w14:textId="28C6EAA6" w:rsidR="00765778" w:rsidRPr="00AC0200" w:rsidRDefault="00765778" w:rsidP="00765778">
            <w:pPr>
              <w:pStyle w:val="CommentaryText"/>
              <w:tabs>
                <w:tab w:val="left" w:pos="3306"/>
              </w:tabs>
              <w:rPr>
                <w:rFonts w:cs="Calibri"/>
                <w:strike/>
                <w:color w:val="FFFFFF" w:themeColor="background1"/>
                <w:sz w:val="18"/>
                <w:szCs w:val="18"/>
              </w:rPr>
            </w:pPr>
            <w:r w:rsidRPr="00AC0200">
              <w:rPr>
                <w:color w:val="FFFFFF" w:themeColor="background1"/>
                <w:sz w:val="18"/>
                <w:szCs w:val="18"/>
              </w:rPr>
              <w:t>An agency shall recognise a liability for the excess of the initial carrying amount of a financial asset received in such a transfer over any related amounts recognised. The agency shall recognise income in profit or loss when the agency satisfies its obligations under the transfer.</w:t>
            </w:r>
          </w:p>
        </w:tc>
      </w:tr>
      <w:tr w:rsidR="00765778" w:rsidRPr="00AB2101" w14:paraId="04A7A956"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7C75868E"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43B7FE68" w14:textId="046D037A" w:rsidR="00765778" w:rsidRPr="00CC1E25" w:rsidRDefault="00765778" w:rsidP="00765778">
            <w:pPr>
              <w:pStyle w:val="CommentaryText"/>
              <w:tabs>
                <w:tab w:val="left" w:pos="3306"/>
              </w:tabs>
              <w:spacing w:after="40"/>
              <w:rPr>
                <w:rFonts w:cs="Calibri"/>
                <w:b/>
                <w:bCs/>
                <w:strike/>
                <w:color w:val="FFFFFF" w:themeColor="background1"/>
                <w:szCs w:val="20"/>
              </w:rPr>
            </w:pPr>
            <w:r w:rsidRPr="00CC1E25">
              <w:rPr>
                <w:rFonts w:cs="Calibri"/>
                <w:b/>
                <w:bCs/>
                <w:color w:val="FFFFFF" w:themeColor="background1"/>
                <w:szCs w:val="20"/>
              </w:rPr>
              <w:t>Contribution of Services</w:t>
            </w:r>
          </w:p>
        </w:tc>
      </w:tr>
      <w:tr w:rsidR="00765778" w:rsidRPr="00AB2101" w14:paraId="720A8EF5"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733EF5E" w14:textId="36CC9B73" w:rsidR="00765778" w:rsidRPr="0009580B" w:rsidRDefault="00765778" w:rsidP="00765778">
            <w:pPr>
              <w:pStyle w:val="TableReference"/>
              <w:tabs>
                <w:tab w:val="left" w:pos="3306"/>
              </w:tabs>
              <w:spacing w:before="60"/>
              <w:rPr>
                <w:rFonts w:cs="Calibri"/>
                <w:color w:val="7030A0"/>
                <w:sz w:val="14"/>
              </w:rPr>
            </w:pPr>
            <w:r w:rsidRPr="00AC0200">
              <w:rPr>
                <w:rFonts w:cs="Calibri"/>
                <w:color w:val="7030A0"/>
                <w:sz w:val="14"/>
              </w:rPr>
              <w:t>AASB 1058.18 &amp;22</w:t>
            </w:r>
          </w:p>
          <w:p w14:paraId="7E72BB7E" w14:textId="77777777"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ACT Disclosure Policy</w:t>
            </w:r>
          </w:p>
          <w:p w14:paraId="46C1058B" w14:textId="5492A88D" w:rsidR="00765778" w:rsidRPr="00AC0200" w:rsidRDefault="00765778" w:rsidP="00765778">
            <w:pPr>
              <w:pStyle w:val="TableReference"/>
              <w:tabs>
                <w:tab w:val="left" w:pos="3306"/>
              </w:tabs>
              <w:rPr>
                <w:rFonts w:cs="Calibri"/>
                <w:color w:val="7030A0"/>
                <w:sz w:val="14"/>
              </w:rPr>
            </w:pPr>
          </w:p>
        </w:tc>
        <w:tc>
          <w:tcPr>
            <w:tcW w:w="4255" w:type="pct"/>
            <w:gridSpan w:val="5"/>
            <w:tcBorders>
              <w:left w:val="single" w:sz="2" w:space="0" w:color="auto"/>
            </w:tcBorders>
            <w:shd w:val="clear" w:color="auto" w:fill="7030A0"/>
          </w:tcPr>
          <w:p w14:paraId="75FE818B" w14:textId="0DAEB4C7" w:rsidR="00765778" w:rsidRPr="00AC0200" w:rsidRDefault="00765778" w:rsidP="00765778">
            <w:pPr>
              <w:pStyle w:val="CommentaryText"/>
              <w:tabs>
                <w:tab w:val="left" w:pos="3306"/>
              </w:tabs>
              <w:spacing w:after="40"/>
              <w:rPr>
                <w:rFonts w:cs="Calibri"/>
                <w:color w:val="FFFFFF" w:themeColor="background1"/>
                <w:sz w:val="18"/>
                <w:szCs w:val="18"/>
              </w:rPr>
            </w:pPr>
            <w:r w:rsidRPr="00AC0200">
              <w:rPr>
                <w:rFonts w:cs="Calibri"/>
                <w:color w:val="FFFFFF" w:themeColor="background1"/>
                <w:sz w:val="18"/>
                <w:szCs w:val="18"/>
              </w:rPr>
              <w:t>Contribution of services (resources received free of charge) must be recognised at their fair value if:</w:t>
            </w:r>
          </w:p>
          <w:p w14:paraId="3FBCA423" w14:textId="350BC084" w:rsidR="00765778" w:rsidRPr="00AC0200" w:rsidRDefault="00765778" w:rsidP="00765778">
            <w:pPr>
              <w:numPr>
                <w:ilvl w:val="0"/>
                <w:numId w:val="43"/>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fair value can be reliably measured</w:t>
            </w:r>
            <w:r>
              <w:rPr>
                <w:rFonts w:cs="Calibri"/>
                <w:color w:val="FFFFFF" w:themeColor="background1"/>
                <w:sz w:val="18"/>
                <w:szCs w:val="18"/>
              </w:rPr>
              <w:t>;</w:t>
            </w:r>
            <w:r w:rsidRPr="00AC0200">
              <w:rPr>
                <w:rFonts w:cs="Calibri"/>
                <w:color w:val="FFFFFF" w:themeColor="background1"/>
                <w:sz w:val="18"/>
                <w:szCs w:val="18"/>
              </w:rPr>
              <w:t xml:space="preserve"> and</w:t>
            </w:r>
          </w:p>
          <w:p w14:paraId="2566C118" w14:textId="42708BBE" w:rsidR="00765778" w:rsidRPr="009F2F6B" w:rsidRDefault="00765778" w:rsidP="00765778">
            <w:pPr>
              <w:numPr>
                <w:ilvl w:val="0"/>
                <w:numId w:val="43"/>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services would have been purchased if not received free of charge.</w:t>
            </w:r>
          </w:p>
        </w:tc>
      </w:tr>
      <w:tr w:rsidR="00765778" w:rsidRPr="00AB2101" w14:paraId="0CB6875F"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636B21DB"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1FFECACB" w14:textId="2DD8CA1E" w:rsidR="00765778" w:rsidRPr="00AC0200" w:rsidRDefault="00765778" w:rsidP="00765778">
            <w:pPr>
              <w:pStyle w:val="CommentaryText"/>
              <w:tabs>
                <w:tab w:val="left" w:pos="3306"/>
              </w:tabs>
              <w:rPr>
                <w:rFonts w:cs="Calibri"/>
                <w:color w:val="FFFFFF" w:themeColor="background1"/>
                <w:sz w:val="18"/>
                <w:szCs w:val="18"/>
              </w:rPr>
            </w:pPr>
            <w:bookmarkStart w:id="422" w:name="_Hlk103333616"/>
            <w:r w:rsidRPr="00AC0200">
              <w:rPr>
                <w:rFonts w:cs="Calibri"/>
                <w:color w:val="FFFFFF" w:themeColor="background1"/>
                <w:sz w:val="18"/>
                <w:szCs w:val="18"/>
              </w:rPr>
              <w:t>Resources received free of charge comprise resources received from other ACT Government agencies.</w:t>
            </w:r>
            <w:r>
              <w:rPr>
                <w:rFonts w:cs="Calibri"/>
                <w:color w:val="FFFFFF" w:themeColor="background1"/>
                <w:sz w:val="18"/>
                <w:szCs w:val="18"/>
              </w:rPr>
              <w:t xml:space="preserve"> </w:t>
            </w:r>
            <w:r w:rsidRPr="00AC0200">
              <w:rPr>
                <w:rFonts w:cs="Calibri"/>
                <w:color w:val="FFFFFF" w:themeColor="background1"/>
                <w:sz w:val="18"/>
                <w:szCs w:val="18"/>
              </w:rPr>
              <w:t>It does not include resources received from external parties.</w:t>
            </w:r>
            <w:bookmarkEnd w:id="422"/>
          </w:p>
        </w:tc>
      </w:tr>
      <w:tr w:rsidR="00765778" w:rsidRPr="00AB2101" w14:paraId="4883AB19"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65CAF95" w14:textId="25BF147A"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1058.27</w:t>
            </w:r>
          </w:p>
        </w:tc>
        <w:tc>
          <w:tcPr>
            <w:tcW w:w="4255" w:type="pct"/>
            <w:gridSpan w:val="5"/>
            <w:tcBorders>
              <w:left w:val="single" w:sz="2" w:space="0" w:color="auto"/>
            </w:tcBorders>
            <w:shd w:val="clear" w:color="auto" w:fill="7030A0"/>
          </w:tcPr>
          <w:p w14:paraId="4CC8A58B" w14:textId="008B75DA" w:rsidR="00765778" w:rsidRPr="00AC0200" w:rsidRDefault="00765778" w:rsidP="00765778">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Where revenue is recognised through a contract which is not enforceable or does not contain sufficiently specific performance obligations then it is within the scope of AASB 1058 and should be included within this note.</w:t>
            </w:r>
          </w:p>
        </w:tc>
      </w:tr>
      <w:tr w:rsidR="00765778" w:rsidRPr="00AB2101" w14:paraId="21F42E94"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38868796"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1C0C610F" w14:textId="2AC82854" w:rsidR="00765778" w:rsidRPr="00AC0200" w:rsidRDefault="00765778" w:rsidP="00765778">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Disclosure should be included regarding the extent of volunteer services used regardless of whether the value of the services has been recognised.</w:t>
            </w:r>
          </w:p>
        </w:tc>
      </w:tr>
      <w:tr w:rsidR="00765778" w:rsidRPr="00AB2101" w14:paraId="45EFE366"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E3C55AA"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657EEAD7" w14:textId="77777777" w:rsidR="00765778" w:rsidRPr="00AC0200" w:rsidRDefault="00765778" w:rsidP="00765778">
            <w:pPr>
              <w:pStyle w:val="CommentaryText"/>
              <w:keepNext/>
              <w:keepLines/>
              <w:tabs>
                <w:tab w:val="left" w:pos="3306"/>
              </w:tabs>
              <w:spacing w:after="40"/>
              <w:rPr>
                <w:rFonts w:cs="Calibri"/>
                <w:color w:val="FFFFFF" w:themeColor="background1"/>
                <w:sz w:val="18"/>
                <w:szCs w:val="18"/>
              </w:rPr>
            </w:pPr>
            <w:r w:rsidRPr="00AC0200">
              <w:rPr>
                <w:rFonts w:cs="Calibri"/>
                <w:color w:val="FFFFFF" w:themeColor="background1"/>
                <w:sz w:val="18"/>
                <w:szCs w:val="18"/>
              </w:rPr>
              <w:t>Where Agencies receive capital grants that meet the following:</w:t>
            </w:r>
          </w:p>
          <w:p w14:paraId="510430DE" w14:textId="725CBD62" w:rsidR="00765778" w:rsidRPr="00AC0200" w:rsidRDefault="00765778" w:rsidP="00765778">
            <w:pPr>
              <w:pStyle w:val="CommentaryText"/>
              <w:keepNext/>
              <w:keepLines/>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contract is enforceable;</w:t>
            </w:r>
          </w:p>
          <w:p w14:paraId="28D38AAB" w14:textId="77F0D538" w:rsidR="00765778" w:rsidRPr="00AC0200" w:rsidRDefault="00765778" w:rsidP="00765778">
            <w:pPr>
              <w:pStyle w:val="CommentaryText"/>
              <w:keepNext/>
              <w:keepLines/>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financial assets are to be used to acquire or construct a non-financial asset which will be recognised on the agency’s books; and</w:t>
            </w:r>
          </w:p>
          <w:p w14:paraId="567B89AD" w14:textId="22F454FE" w:rsidR="00765778" w:rsidRPr="00AC0200" w:rsidRDefault="00765778" w:rsidP="00765778">
            <w:pPr>
              <w:pStyle w:val="CommentaryText"/>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asset is not required to be transferred to any other party</w:t>
            </w:r>
            <w:r>
              <w:rPr>
                <w:rFonts w:cs="Calibri"/>
                <w:color w:val="FFFFFF" w:themeColor="background1"/>
                <w:sz w:val="18"/>
                <w:szCs w:val="18"/>
              </w:rPr>
              <w:t>.</w:t>
            </w:r>
          </w:p>
          <w:p w14:paraId="3BAF0F6F" w14:textId="22558629" w:rsidR="00765778" w:rsidRPr="00AC0200" w:rsidRDefault="00765778" w:rsidP="00765778">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then this transaction is separately identified as the revenue is recognised as the asset is constructed or acquired rather than on receipt of the funds. </w:t>
            </w:r>
          </w:p>
        </w:tc>
      </w:tr>
      <w:tr w:rsidR="00765778" w:rsidRPr="00AB2101" w14:paraId="4F9C8E6C"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76658324"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2F64F876" w14:textId="11428FA4" w:rsidR="00765778" w:rsidRPr="00AC0200" w:rsidRDefault="00765778" w:rsidP="00765778">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Restructure Fund Receipts should be classified as Contributions and should be shown gross rather than netted off against the related termination expense.</w:t>
            </w:r>
          </w:p>
        </w:tc>
      </w:tr>
      <w:tr w:rsidR="00765778" w:rsidRPr="00AB2101" w14:paraId="567EACDD"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6890C29"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62A45C88" w14:textId="3A315E91" w:rsidR="00765778" w:rsidRPr="00AC0200" w:rsidRDefault="00765778" w:rsidP="00765778">
            <w:pPr>
              <w:pStyle w:val="CommentaryText"/>
              <w:tabs>
                <w:tab w:val="left" w:pos="3306"/>
              </w:tabs>
              <w:spacing w:after="40"/>
              <w:rPr>
                <w:rFonts w:cs="Calibri"/>
                <w:b/>
                <w:bCs/>
                <w:color w:val="FFFFFF" w:themeColor="background1"/>
                <w:sz w:val="18"/>
                <w:szCs w:val="18"/>
              </w:rPr>
            </w:pPr>
            <w:r w:rsidRPr="00AC0200">
              <w:rPr>
                <w:rFonts w:cs="Calibri"/>
                <w:b/>
                <w:bCs/>
                <w:color w:val="FFFFFF" w:themeColor="background1"/>
              </w:rPr>
              <w:t>Legal Services</w:t>
            </w:r>
          </w:p>
        </w:tc>
      </w:tr>
      <w:tr w:rsidR="00765778" w:rsidRPr="00AB2101" w14:paraId="7485965C"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2E580E3"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46D047E3" w14:textId="77777777" w:rsidR="00765778" w:rsidRPr="00AC0200" w:rsidRDefault="00765778" w:rsidP="00765778">
            <w:pPr>
              <w:pStyle w:val="CommentaryText"/>
              <w:tabs>
                <w:tab w:val="left" w:pos="3306"/>
              </w:tabs>
              <w:spacing w:after="0"/>
              <w:rPr>
                <w:rFonts w:cs="Calibri"/>
                <w:color w:val="FFFFFF" w:themeColor="background1"/>
                <w:sz w:val="18"/>
                <w:szCs w:val="18"/>
              </w:rPr>
            </w:pPr>
            <w:r w:rsidRPr="00AC0200">
              <w:rPr>
                <w:rFonts w:cs="Calibri"/>
                <w:color w:val="FFFFFF" w:themeColor="background1"/>
                <w:sz w:val="18"/>
                <w:szCs w:val="18"/>
              </w:rPr>
              <w:t>The Government Solicitors Office will provide agencies with the amount of resources that they have provided free of charge in the financial year.</w:t>
            </w:r>
          </w:p>
          <w:p w14:paraId="45D81496" w14:textId="77777777" w:rsidR="00765778" w:rsidRPr="00AC0200" w:rsidRDefault="00765778" w:rsidP="00765778">
            <w:pPr>
              <w:pStyle w:val="CommentaryText"/>
              <w:tabs>
                <w:tab w:val="left" w:pos="3306"/>
              </w:tabs>
              <w:spacing w:after="0"/>
              <w:rPr>
                <w:rFonts w:cs="Calibri"/>
                <w:color w:val="FFFFFF" w:themeColor="background1"/>
                <w:sz w:val="18"/>
                <w:szCs w:val="18"/>
              </w:rPr>
            </w:pPr>
          </w:p>
          <w:p w14:paraId="498E55FD" w14:textId="48917850" w:rsidR="00765778" w:rsidRPr="00AC0200" w:rsidRDefault="00765778" w:rsidP="0066598D">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Agencies need to ensure they do not disclose legally sensitive information.</w:t>
            </w:r>
            <w:r>
              <w:rPr>
                <w:rFonts w:cs="Calibri"/>
                <w:color w:val="FFFFFF" w:themeColor="background1"/>
                <w:sz w:val="18"/>
                <w:szCs w:val="18"/>
              </w:rPr>
              <w:t xml:space="preserve"> </w:t>
            </w:r>
          </w:p>
        </w:tc>
      </w:tr>
      <w:tr w:rsidR="00765778" w:rsidRPr="00AB2101" w14:paraId="6DE84990"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C165379"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4F8CF6E3" w14:textId="7562D193" w:rsidR="00765778" w:rsidRPr="00B73007" w:rsidRDefault="00765778" w:rsidP="00765778">
            <w:pPr>
              <w:pStyle w:val="CommentaryText"/>
              <w:tabs>
                <w:tab w:val="left" w:pos="3306"/>
              </w:tabs>
              <w:spacing w:after="0"/>
              <w:rPr>
                <w:rFonts w:cs="Calibri"/>
                <w:b/>
                <w:bCs/>
                <w:color w:val="FF0000"/>
                <w:szCs w:val="20"/>
              </w:rPr>
            </w:pPr>
            <w:r w:rsidRPr="00B73007">
              <w:rPr>
                <w:rFonts w:cs="Calibri"/>
                <w:b/>
                <w:bCs/>
                <w:color w:val="FF0000"/>
                <w:szCs w:val="20"/>
              </w:rPr>
              <w:t>Resources Provided Free of Charge</w:t>
            </w:r>
          </w:p>
        </w:tc>
      </w:tr>
      <w:tr w:rsidR="00765778" w:rsidRPr="00AB2101" w14:paraId="150AF4FA"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767EDE3E"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7C20E555" w14:textId="744B9C92" w:rsidR="00765778" w:rsidRPr="00B73007" w:rsidRDefault="00765778" w:rsidP="00765778">
            <w:pPr>
              <w:pStyle w:val="CommentaryText"/>
              <w:tabs>
                <w:tab w:val="left" w:pos="3306"/>
              </w:tabs>
              <w:rPr>
                <w:rFonts w:cs="Calibri"/>
                <w:b/>
                <w:bCs/>
                <w:color w:val="FF0000"/>
                <w:sz w:val="18"/>
                <w:szCs w:val="18"/>
              </w:rPr>
            </w:pPr>
            <w:r w:rsidRPr="00B73007">
              <w:rPr>
                <w:color w:val="FF0000"/>
                <w:sz w:val="18"/>
                <w:szCs w:val="18"/>
              </w:rPr>
              <w:t>The Resources Provided Free of Charge</w:t>
            </w:r>
            <w:r w:rsidR="004B1C2F" w:rsidRPr="00B73007">
              <w:rPr>
                <w:color w:val="FF0000"/>
                <w:sz w:val="18"/>
                <w:szCs w:val="18"/>
              </w:rPr>
              <w:t xml:space="preserve"> information included in th</w:t>
            </w:r>
            <w:r w:rsidR="00785D41" w:rsidRPr="00B73007">
              <w:rPr>
                <w:color w:val="FF0000"/>
                <w:sz w:val="18"/>
                <w:szCs w:val="18"/>
              </w:rPr>
              <w:t>is</w:t>
            </w:r>
            <w:r w:rsidR="004B1C2F" w:rsidRPr="00B73007">
              <w:rPr>
                <w:color w:val="FF0000"/>
                <w:sz w:val="18"/>
                <w:szCs w:val="18"/>
              </w:rPr>
              <w:t xml:space="preserve"> note is a </w:t>
            </w:r>
            <w:r w:rsidRPr="00B73007">
              <w:rPr>
                <w:color w:val="FF0000"/>
                <w:sz w:val="18"/>
                <w:szCs w:val="18"/>
              </w:rPr>
              <w:t>disclosure only</w:t>
            </w:r>
            <w:r w:rsidR="00785D41" w:rsidRPr="00B73007">
              <w:rPr>
                <w:color w:val="FF0000"/>
                <w:sz w:val="18"/>
                <w:szCs w:val="18"/>
              </w:rPr>
              <w:t>.  That is</w:t>
            </w:r>
            <w:r w:rsidR="004B1C2F" w:rsidRPr="00B73007">
              <w:rPr>
                <w:color w:val="FF0000"/>
                <w:sz w:val="18"/>
                <w:szCs w:val="18"/>
              </w:rPr>
              <w:t>,</w:t>
            </w:r>
            <w:r w:rsidRPr="00B73007">
              <w:rPr>
                <w:color w:val="FF0000"/>
                <w:sz w:val="18"/>
                <w:szCs w:val="18"/>
              </w:rPr>
              <w:t xml:space="preserve"> </w:t>
            </w:r>
            <w:r w:rsidR="00785D41" w:rsidRPr="00B73007">
              <w:rPr>
                <w:color w:val="FF0000"/>
                <w:sz w:val="18"/>
                <w:szCs w:val="18"/>
              </w:rPr>
              <w:t>all the expenses which are incurred in providing the resources free of cha</w:t>
            </w:r>
            <w:r w:rsidR="00960E74" w:rsidRPr="00B73007">
              <w:rPr>
                <w:color w:val="FF0000"/>
                <w:sz w:val="18"/>
                <w:szCs w:val="18"/>
              </w:rPr>
              <w:t>r</w:t>
            </w:r>
            <w:r w:rsidR="00785D41" w:rsidRPr="00B73007">
              <w:rPr>
                <w:color w:val="FF0000"/>
                <w:sz w:val="18"/>
                <w:szCs w:val="18"/>
              </w:rPr>
              <w:t xml:space="preserve">ge to other ACT Agencies are included </w:t>
            </w:r>
            <w:r w:rsidRPr="00B73007">
              <w:rPr>
                <w:color w:val="FF0000"/>
                <w:sz w:val="18"/>
                <w:szCs w:val="18"/>
              </w:rPr>
              <w:t>as expenses in the expense line items</w:t>
            </w:r>
            <w:r w:rsidR="00785D41" w:rsidRPr="00B73007">
              <w:rPr>
                <w:color w:val="FF0000"/>
                <w:sz w:val="18"/>
                <w:szCs w:val="18"/>
              </w:rPr>
              <w:t xml:space="preserve"> to which they relate on the face of the Operating Statement</w:t>
            </w:r>
            <w:r w:rsidRPr="00B73007">
              <w:rPr>
                <w:color w:val="FF0000"/>
                <w:sz w:val="18"/>
                <w:szCs w:val="18"/>
              </w:rPr>
              <w:t>. Therefore</w:t>
            </w:r>
            <w:r w:rsidR="00785D41" w:rsidRPr="00B73007">
              <w:rPr>
                <w:color w:val="FF0000"/>
                <w:sz w:val="18"/>
                <w:szCs w:val="18"/>
              </w:rPr>
              <w:t>,</w:t>
            </w:r>
            <w:r w:rsidRPr="00B73007">
              <w:rPr>
                <w:color w:val="FF0000"/>
                <w:sz w:val="18"/>
                <w:szCs w:val="18"/>
              </w:rPr>
              <w:t xml:space="preserve"> the total Resources Provided Free of Charge </w:t>
            </w:r>
            <w:r w:rsidR="004B1C2F" w:rsidRPr="00B73007">
              <w:rPr>
                <w:color w:val="FF0000"/>
                <w:sz w:val="18"/>
                <w:szCs w:val="18"/>
              </w:rPr>
              <w:t xml:space="preserve">figure </w:t>
            </w:r>
            <w:r w:rsidRPr="00B73007">
              <w:rPr>
                <w:color w:val="FF0000"/>
                <w:sz w:val="18"/>
                <w:szCs w:val="18"/>
              </w:rPr>
              <w:t xml:space="preserve">does not appear as a separate line item </w:t>
            </w:r>
            <w:r w:rsidR="004B1C2F" w:rsidRPr="00B73007">
              <w:rPr>
                <w:color w:val="FF0000"/>
                <w:sz w:val="18"/>
                <w:szCs w:val="18"/>
              </w:rPr>
              <w:t xml:space="preserve">on the face of the </w:t>
            </w:r>
            <w:r w:rsidRPr="00B73007">
              <w:rPr>
                <w:color w:val="FF0000"/>
                <w:sz w:val="18"/>
                <w:szCs w:val="18"/>
              </w:rPr>
              <w:t>Operating Statement</w:t>
            </w:r>
            <w:r w:rsidR="00785D41" w:rsidRPr="00B73007">
              <w:rPr>
                <w:color w:val="FF0000"/>
                <w:sz w:val="18"/>
                <w:szCs w:val="18"/>
              </w:rPr>
              <w:t xml:space="preserve"> (ie the total Resources Provided Free of Charge figure cannot be matched back to </w:t>
            </w:r>
            <w:r w:rsidR="00793DF2" w:rsidRPr="00B73007">
              <w:rPr>
                <w:color w:val="FF0000"/>
                <w:sz w:val="18"/>
                <w:szCs w:val="18"/>
              </w:rPr>
              <w:t>one</w:t>
            </w:r>
            <w:r w:rsidR="00785D41" w:rsidRPr="00B73007">
              <w:rPr>
                <w:color w:val="FF0000"/>
                <w:sz w:val="18"/>
                <w:szCs w:val="18"/>
              </w:rPr>
              <w:t xml:space="preserve"> single figure on the </w:t>
            </w:r>
            <w:r w:rsidR="00AB1893" w:rsidRPr="00B73007">
              <w:rPr>
                <w:color w:val="FF0000"/>
                <w:sz w:val="18"/>
                <w:szCs w:val="18"/>
              </w:rPr>
              <w:t>O</w:t>
            </w:r>
            <w:r w:rsidR="00785D41" w:rsidRPr="00B73007">
              <w:rPr>
                <w:color w:val="FF0000"/>
                <w:sz w:val="18"/>
                <w:szCs w:val="18"/>
              </w:rPr>
              <w:t xml:space="preserve">perating </w:t>
            </w:r>
            <w:r w:rsidR="00AB1893" w:rsidRPr="00B73007">
              <w:rPr>
                <w:color w:val="FF0000"/>
                <w:sz w:val="18"/>
                <w:szCs w:val="18"/>
              </w:rPr>
              <w:t>S</w:t>
            </w:r>
            <w:r w:rsidR="00785D41" w:rsidRPr="00B73007">
              <w:rPr>
                <w:color w:val="FF0000"/>
                <w:sz w:val="18"/>
                <w:szCs w:val="18"/>
              </w:rPr>
              <w:t>tatement)</w:t>
            </w:r>
            <w:r w:rsidRPr="00B73007">
              <w:rPr>
                <w:color w:val="FF0000"/>
                <w:sz w:val="18"/>
                <w:szCs w:val="18"/>
              </w:rPr>
              <w:t xml:space="preserve">.  </w:t>
            </w:r>
          </w:p>
        </w:tc>
      </w:tr>
      <w:tr w:rsidR="00765778" w:rsidRPr="00AB2101" w14:paraId="652FB433" w14:textId="77777777" w:rsidTr="00047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337B6B8E" w14:textId="77777777" w:rsidR="00765778" w:rsidRPr="00AC0200" w:rsidRDefault="00765778" w:rsidP="00765778">
            <w:pPr>
              <w:pStyle w:val="TableReference"/>
              <w:tabs>
                <w:tab w:val="left" w:pos="3306"/>
              </w:tabs>
              <w:spacing w:before="60"/>
              <w:rPr>
                <w:rFonts w:cs="Calibri"/>
                <w:color w:val="7030A0"/>
                <w:sz w:val="14"/>
              </w:rPr>
            </w:pPr>
          </w:p>
        </w:tc>
        <w:tc>
          <w:tcPr>
            <w:tcW w:w="4255" w:type="pct"/>
            <w:gridSpan w:val="5"/>
            <w:tcBorders>
              <w:left w:val="single" w:sz="2" w:space="0" w:color="auto"/>
            </w:tcBorders>
            <w:shd w:val="clear" w:color="auto" w:fill="7030A0"/>
          </w:tcPr>
          <w:p w14:paraId="20D9F8EF" w14:textId="08655166" w:rsidR="00765778" w:rsidRPr="00B73007" w:rsidRDefault="004B1C2F" w:rsidP="00765778">
            <w:pPr>
              <w:pStyle w:val="CommentaryText"/>
              <w:tabs>
                <w:tab w:val="left" w:pos="3306"/>
              </w:tabs>
              <w:rPr>
                <w:rFonts w:cs="Calibri"/>
                <w:color w:val="FF0000"/>
                <w:sz w:val="18"/>
                <w:szCs w:val="18"/>
              </w:rPr>
            </w:pPr>
            <w:r w:rsidRPr="00B73007">
              <w:rPr>
                <w:rFonts w:cs="Calibri"/>
                <w:color w:val="FF0000"/>
                <w:sz w:val="18"/>
                <w:szCs w:val="18"/>
              </w:rPr>
              <w:t xml:space="preserve">In the situation where an agency has an immaterial amount of Grants and Contributions Revenue and therefore does not include a ‘Grants and Contributions Revenue’ note in their financial statements but has a material amount of </w:t>
            </w:r>
            <w:r w:rsidRPr="00B73007">
              <w:rPr>
                <w:color w:val="FF0000"/>
                <w:sz w:val="18"/>
                <w:szCs w:val="18"/>
              </w:rPr>
              <w:t>Resource Provided Free of Charge, it is suggested that the agency include a separate note after the ‘Other Expenses’ note titled ‘Resource Provided Free of Charge’.</w:t>
            </w:r>
          </w:p>
        </w:tc>
      </w:tr>
    </w:tbl>
    <w:p w14:paraId="79A29F77" w14:textId="4DE4E010" w:rsidR="004B1C2F" w:rsidRDefault="004B1C2F">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6181"/>
        <w:gridCol w:w="1247"/>
        <w:gridCol w:w="1505"/>
      </w:tblGrid>
      <w:tr w:rsidR="00765778" w:rsidRPr="00CF7E1B" w14:paraId="6B8307C4" w14:textId="77777777" w:rsidTr="000477B1">
        <w:trPr>
          <w:trHeight w:val="119"/>
        </w:trPr>
        <w:tc>
          <w:tcPr>
            <w:tcW w:w="745" w:type="pct"/>
            <w:tcBorders>
              <w:top w:val="nil"/>
              <w:left w:val="single" w:sz="2" w:space="0" w:color="auto"/>
              <w:bottom w:val="nil"/>
              <w:right w:val="single" w:sz="2" w:space="0" w:color="auto"/>
            </w:tcBorders>
          </w:tcPr>
          <w:p w14:paraId="09BE7DF7" w14:textId="657616F3" w:rsidR="00765778" w:rsidRPr="00EB525E" w:rsidRDefault="00765778" w:rsidP="00765778">
            <w:pPr>
              <w:pStyle w:val="TableReference"/>
              <w:tabs>
                <w:tab w:val="left" w:pos="3306"/>
              </w:tabs>
              <w:spacing w:before="240" w:after="240"/>
              <w:rPr>
                <w:rFonts w:cs="Calibri"/>
                <w:b/>
                <w:color w:val="7030A0"/>
                <w:sz w:val="22"/>
                <w:szCs w:val="22"/>
              </w:rPr>
            </w:pPr>
            <w:r w:rsidRPr="00EB525E">
              <w:rPr>
                <w:color w:val="7030A0"/>
              </w:rPr>
              <w:br w:type="page"/>
            </w:r>
            <w:r w:rsidR="00F81231" w:rsidRPr="00985A9F">
              <w:rPr>
                <w:rFonts w:cs="Calibri"/>
                <w:b/>
                <w:color w:val="7030A0"/>
                <w:sz w:val="22"/>
                <w:szCs w:val="22"/>
              </w:rPr>
              <w:t>Reference</w:t>
            </w:r>
          </w:p>
        </w:tc>
        <w:tc>
          <w:tcPr>
            <w:tcW w:w="4255" w:type="pct"/>
            <w:gridSpan w:val="3"/>
            <w:tcBorders>
              <w:top w:val="nil"/>
              <w:left w:val="single" w:sz="2" w:space="0" w:color="auto"/>
              <w:bottom w:val="nil"/>
              <w:right w:val="nil"/>
            </w:tcBorders>
            <w:vAlign w:val="bottom"/>
          </w:tcPr>
          <w:p w14:paraId="6BF32FF0" w14:textId="0CFEAC1E" w:rsidR="00765778" w:rsidRPr="00EB525E" w:rsidRDefault="00765778" w:rsidP="00765778">
            <w:pPr>
              <w:pStyle w:val="Heading1"/>
              <w:numPr>
                <w:ilvl w:val="0"/>
                <w:numId w:val="0"/>
              </w:numPr>
              <w:ind w:left="1134" w:hanging="1134"/>
            </w:pPr>
            <w:bookmarkStart w:id="423" w:name="_Toc132743788"/>
            <w:bookmarkStart w:id="424" w:name="_Toc400627324"/>
            <w:bookmarkStart w:id="425" w:name="DistInvwithTBA"/>
            <w:r w:rsidRPr="00EB525E">
              <w:t>Note 7.</w:t>
            </w:r>
            <w:r>
              <w:t xml:space="preserve"> </w:t>
            </w:r>
            <w:r w:rsidRPr="00EB525E">
              <w:t xml:space="preserve"> Investment </w:t>
            </w:r>
            <w:r>
              <w:t xml:space="preserve">and Interest </w:t>
            </w:r>
            <w:r w:rsidRPr="00EB525E">
              <w:t>Revenue</w:t>
            </w:r>
            <w:bookmarkEnd w:id="423"/>
            <w:r w:rsidRPr="00EB525E">
              <w:t xml:space="preserve"> </w:t>
            </w:r>
            <w:bookmarkEnd w:id="424"/>
            <w:bookmarkEnd w:id="425"/>
          </w:p>
        </w:tc>
      </w:tr>
      <w:tr w:rsidR="00765778" w:rsidRPr="00CF7E1B" w14:paraId="1F09267F" w14:textId="77777777" w:rsidTr="000477B1">
        <w:trPr>
          <w:trHeight w:val="119"/>
        </w:trPr>
        <w:tc>
          <w:tcPr>
            <w:tcW w:w="745" w:type="pct"/>
            <w:tcBorders>
              <w:top w:val="nil"/>
              <w:left w:val="single" w:sz="2" w:space="0" w:color="auto"/>
              <w:bottom w:val="nil"/>
              <w:right w:val="single" w:sz="2" w:space="0" w:color="auto"/>
            </w:tcBorders>
          </w:tcPr>
          <w:p w14:paraId="4B4B9AF3" w14:textId="77777777" w:rsidR="00765778" w:rsidRPr="00EB525E" w:rsidRDefault="00765778" w:rsidP="00765778">
            <w:pPr>
              <w:pStyle w:val="TableReference"/>
              <w:tabs>
                <w:tab w:val="left" w:pos="3306"/>
              </w:tabs>
              <w:spacing w:after="120"/>
              <w:rPr>
                <w:rFonts w:cs="Calibri"/>
                <w:b/>
                <w:color w:val="7030A0"/>
                <w:sz w:val="14"/>
              </w:rPr>
            </w:pPr>
          </w:p>
        </w:tc>
        <w:tc>
          <w:tcPr>
            <w:tcW w:w="4255" w:type="pct"/>
            <w:gridSpan w:val="3"/>
            <w:tcBorders>
              <w:top w:val="nil"/>
              <w:left w:val="single" w:sz="2" w:space="0" w:color="auto"/>
              <w:bottom w:val="nil"/>
              <w:right w:val="nil"/>
            </w:tcBorders>
            <w:vAlign w:val="bottom"/>
          </w:tcPr>
          <w:p w14:paraId="2E842842" w14:textId="1F04A602" w:rsidR="00765778" w:rsidRPr="009B2E93" w:rsidRDefault="00765778" w:rsidP="00765778">
            <w:pPr>
              <w:jc w:val="both"/>
              <w:rPr>
                <w:b/>
                <w:bCs/>
                <w:caps/>
                <w:sz w:val="18"/>
                <w:szCs w:val="18"/>
              </w:rPr>
            </w:pPr>
            <w:bookmarkStart w:id="426" w:name="_Toc98763071"/>
            <w:r w:rsidRPr="009B2E93">
              <w:rPr>
                <w:b/>
                <w:bCs/>
                <w:sz w:val="18"/>
                <w:szCs w:val="18"/>
              </w:rPr>
              <w:t>Description and Material Accounting Policies relating to Investment and Interest Revenue</w:t>
            </w:r>
            <w:bookmarkEnd w:id="426"/>
          </w:p>
        </w:tc>
      </w:tr>
      <w:tr w:rsidR="00765778" w:rsidRPr="00CF7E1B" w14:paraId="7BF9D915" w14:textId="77777777" w:rsidTr="000477B1">
        <w:trPr>
          <w:trHeight w:val="119"/>
        </w:trPr>
        <w:tc>
          <w:tcPr>
            <w:tcW w:w="745" w:type="pct"/>
            <w:tcBorders>
              <w:top w:val="nil"/>
              <w:left w:val="single" w:sz="2" w:space="0" w:color="auto"/>
              <w:bottom w:val="nil"/>
              <w:right w:val="single" w:sz="2" w:space="0" w:color="auto"/>
            </w:tcBorders>
          </w:tcPr>
          <w:p w14:paraId="26ED3A1E"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75DB5FDF" w14:textId="701B47A6" w:rsidR="00765778" w:rsidRPr="008A6781" w:rsidRDefault="00765778" w:rsidP="0046558E">
            <w:pPr>
              <w:spacing w:before="60"/>
              <w:rPr>
                <w:i/>
                <w:iCs/>
                <w:color w:val="FF0000"/>
                <w:sz w:val="18"/>
                <w:szCs w:val="18"/>
              </w:rPr>
            </w:pPr>
            <w:r w:rsidRPr="001F52A0">
              <w:rPr>
                <w:i/>
                <w:iCs/>
                <w:strike/>
                <w:color w:val="FF0000"/>
                <w:sz w:val="18"/>
                <w:szCs w:val="18"/>
              </w:rPr>
              <w:t xml:space="preserve">Interest </w:t>
            </w:r>
            <w:r w:rsidR="00FA76CF" w:rsidRPr="008A6781">
              <w:rPr>
                <w:i/>
                <w:iCs/>
                <w:strike/>
                <w:color w:val="FF0000"/>
                <w:sz w:val="18"/>
                <w:szCs w:val="18"/>
              </w:rPr>
              <w:t>Revenue</w:t>
            </w:r>
          </w:p>
        </w:tc>
      </w:tr>
      <w:tr w:rsidR="00765778" w:rsidRPr="00CF7E1B" w14:paraId="0B7AC3CF" w14:textId="77777777" w:rsidTr="000477B1">
        <w:trPr>
          <w:trHeight w:val="119"/>
        </w:trPr>
        <w:tc>
          <w:tcPr>
            <w:tcW w:w="745" w:type="pct"/>
            <w:tcBorders>
              <w:top w:val="nil"/>
              <w:left w:val="single" w:sz="2" w:space="0" w:color="auto"/>
              <w:bottom w:val="nil"/>
              <w:right w:val="single" w:sz="2" w:space="0" w:color="auto"/>
            </w:tcBorders>
          </w:tcPr>
          <w:p w14:paraId="44985141" w14:textId="00C73399" w:rsidR="00765778" w:rsidRPr="008A6781" w:rsidRDefault="00765778" w:rsidP="00765778">
            <w:pPr>
              <w:pStyle w:val="TableReference"/>
              <w:tabs>
                <w:tab w:val="left" w:pos="3306"/>
              </w:tabs>
              <w:rPr>
                <w:strike/>
                <w:color w:val="FF0000"/>
                <w:sz w:val="14"/>
              </w:rPr>
            </w:pPr>
            <w:r w:rsidRPr="008A6781">
              <w:rPr>
                <w:strike/>
                <w:color w:val="FF0000"/>
                <w:sz w:val="14"/>
              </w:rPr>
              <w:t xml:space="preserve">AASB 9.5.4.1 </w:t>
            </w:r>
          </w:p>
        </w:tc>
        <w:tc>
          <w:tcPr>
            <w:tcW w:w="4255" w:type="pct"/>
            <w:gridSpan w:val="3"/>
            <w:tcBorders>
              <w:top w:val="nil"/>
              <w:left w:val="single" w:sz="2" w:space="0" w:color="auto"/>
              <w:bottom w:val="nil"/>
              <w:right w:val="nil"/>
            </w:tcBorders>
          </w:tcPr>
          <w:p w14:paraId="227206C7" w14:textId="5E011186" w:rsidR="00765778" w:rsidRPr="008A6781" w:rsidRDefault="00765778" w:rsidP="00765778">
            <w:pPr>
              <w:jc w:val="both"/>
              <w:rPr>
                <w:strike/>
                <w:color w:val="FF0000"/>
                <w:sz w:val="18"/>
                <w:szCs w:val="18"/>
              </w:rPr>
            </w:pPr>
            <w:r w:rsidRPr="008A6781">
              <w:rPr>
                <w:strike/>
                <w:color w:val="FF0000"/>
                <w:sz w:val="18"/>
                <w:szCs w:val="18"/>
              </w:rPr>
              <w:t xml:space="preserve">The Agency receives interest revenue from the ‘Example Home Loan Scheme’, where loans are offered at a concessional interest rate to assist low income households. For further information in relation to the ‘Example Home Loan Scheme’ see the ‘Unwinding of Concessional Loan Discount Revenue’ description below. The Agency recognises interest on these loans using the effective interest method. </w:t>
            </w:r>
          </w:p>
        </w:tc>
      </w:tr>
      <w:tr w:rsidR="00765778" w:rsidRPr="00CF7E1B" w14:paraId="585755E0" w14:textId="77777777" w:rsidTr="000477B1">
        <w:trPr>
          <w:trHeight w:val="119"/>
        </w:trPr>
        <w:tc>
          <w:tcPr>
            <w:tcW w:w="745" w:type="pct"/>
            <w:tcBorders>
              <w:top w:val="nil"/>
              <w:left w:val="single" w:sz="2" w:space="0" w:color="auto"/>
              <w:bottom w:val="nil"/>
              <w:right w:val="single" w:sz="2" w:space="0" w:color="auto"/>
            </w:tcBorders>
          </w:tcPr>
          <w:p w14:paraId="3BB7CB42"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14FD66A4" w14:textId="4D7FECC4" w:rsidR="00765778" w:rsidRPr="00EB525E" w:rsidRDefault="00765778" w:rsidP="0046558E">
            <w:pPr>
              <w:spacing w:before="60"/>
              <w:rPr>
                <w:i/>
                <w:iCs/>
                <w:sz w:val="18"/>
                <w:szCs w:val="18"/>
              </w:rPr>
            </w:pPr>
            <w:r w:rsidRPr="00EB525E">
              <w:rPr>
                <w:i/>
                <w:iCs/>
                <w:sz w:val="18"/>
                <w:szCs w:val="18"/>
              </w:rPr>
              <w:t xml:space="preserve">Distribution </w:t>
            </w:r>
            <w:r>
              <w:rPr>
                <w:i/>
                <w:iCs/>
                <w:sz w:val="18"/>
                <w:szCs w:val="18"/>
              </w:rPr>
              <w:t>R</w:t>
            </w:r>
            <w:r w:rsidRPr="00EB525E">
              <w:rPr>
                <w:i/>
                <w:iCs/>
                <w:sz w:val="18"/>
                <w:szCs w:val="18"/>
              </w:rPr>
              <w:t>evenue</w:t>
            </w:r>
          </w:p>
        </w:tc>
      </w:tr>
      <w:tr w:rsidR="00765778" w:rsidRPr="00CF7E1B" w14:paraId="3AAFAA1B" w14:textId="77777777" w:rsidTr="000477B1">
        <w:trPr>
          <w:trHeight w:val="119"/>
        </w:trPr>
        <w:tc>
          <w:tcPr>
            <w:tcW w:w="745" w:type="pct"/>
            <w:tcBorders>
              <w:top w:val="nil"/>
              <w:left w:val="single" w:sz="2" w:space="0" w:color="auto"/>
              <w:bottom w:val="nil"/>
              <w:right w:val="single" w:sz="2" w:space="0" w:color="auto"/>
            </w:tcBorders>
          </w:tcPr>
          <w:p w14:paraId="4FD11499"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231012D8" w14:textId="640FD5F8" w:rsidR="00765778" w:rsidRPr="00EB525E" w:rsidRDefault="00765778" w:rsidP="00765778">
            <w:pPr>
              <w:jc w:val="both"/>
              <w:rPr>
                <w:sz w:val="18"/>
                <w:szCs w:val="18"/>
              </w:rPr>
            </w:pPr>
            <w:r w:rsidRPr="00EB525E">
              <w:rPr>
                <w:sz w:val="18"/>
                <w:szCs w:val="18"/>
              </w:rPr>
              <w:t>‘</w:t>
            </w:r>
            <w:bookmarkStart w:id="427" w:name="_Hlk90623924"/>
            <w:r w:rsidRPr="00EB525E">
              <w:rPr>
                <w:sz w:val="18"/>
                <w:szCs w:val="18"/>
              </w:rPr>
              <w:t>Burley Griffin Agency’ has ‘Investment Unit Holdings’ with the Territory Banking Account for which it receives a distribution</w:t>
            </w:r>
            <w:bookmarkEnd w:id="427"/>
            <w:r w:rsidRPr="00EB525E">
              <w:rPr>
                <w:sz w:val="18"/>
                <w:szCs w:val="18"/>
              </w:rPr>
              <w:t>.</w:t>
            </w:r>
            <w:r>
              <w:rPr>
                <w:sz w:val="18"/>
                <w:szCs w:val="18"/>
              </w:rPr>
              <w:t xml:space="preserve"> </w:t>
            </w:r>
            <w:r w:rsidRPr="00EB525E">
              <w:rPr>
                <w:sz w:val="18"/>
                <w:szCs w:val="18"/>
              </w:rPr>
              <w:t>This is recognised when the Agency’s right to receive payment is established.</w:t>
            </w:r>
          </w:p>
        </w:tc>
      </w:tr>
      <w:tr w:rsidR="00765778" w:rsidRPr="00CF7E1B" w14:paraId="37EE9039" w14:textId="77777777" w:rsidTr="000477B1">
        <w:trPr>
          <w:trHeight w:val="119"/>
        </w:trPr>
        <w:tc>
          <w:tcPr>
            <w:tcW w:w="745" w:type="pct"/>
            <w:tcBorders>
              <w:top w:val="nil"/>
              <w:left w:val="single" w:sz="2" w:space="0" w:color="auto"/>
              <w:bottom w:val="nil"/>
              <w:right w:val="single" w:sz="2" w:space="0" w:color="auto"/>
            </w:tcBorders>
          </w:tcPr>
          <w:p w14:paraId="03C10D37"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20249ED8" w14:textId="50374AD1" w:rsidR="00765778" w:rsidRPr="00EB525E" w:rsidRDefault="00765778" w:rsidP="00765778">
            <w:pPr>
              <w:spacing w:before="120"/>
              <w:jc w:val="both"/>
              <w:rPr>
                <w:i/>
                <w:iCs/>
                <w:sz w:val="18"/>
                <w:szCs w:val="18"/>
              </w:rPr>
            </w:pPr>
            <w:r w:rsidRPr="00EB525E">
              <w:rPr>
                <w:i/>
                <w:iCs/>
                <w:sz w:val="18"/>
                <w:szCs w:val="18"/>
              </w:rPr>
              <w:t xml:space="preserve">Dividend </w:t>
            </w:r>
            <w:r>
              <w:rPr>
                <w:i/>
                <w:iCs/>
                <w:sz w:val="18"/>
                <w:szCs w:val="18"/>
              </w:rPr>
              <w:t>R</w:t>
            </w:r>
            <w:r w:rsidRPr="00EB525E">
              <w:rPr>
                <w:i/>
                <w:iCs/>
                <w:sz w:val="18"/>
                <w:szCs w:val="18"/>
              </w:rPr>
              <w:t>evenue</w:t>
            </w:r>
          </w:p>
        </w:tc>
      </w:tr>
      <w:tr w:rsidR="00765778" w:rsidRPr="00CF7E1B" w14:paraId="450DDE04" w14:textId="77777777" w:rsidTr="000477B1">
        <w:trPr>
          <w:trHeight w:val="119"/>
        </w:trPr>
        <w:tc>
          <w:tcPr>
            <w:tcW w:w="745" w:type="pct"/>
            <w:tcBorders>
              <w:top w:val="nil"/>
              <w:left w:val="single" w:sz="2" w:space="0" w:color="auto"/>
              <w:bottom w:val="nil"/>
              <w:right w:val="single" w:sz="2" w:space="0" w:color="auto"/>
            </w:tcBorders>
          </w:tcPr>
          <w:p w14:paraId="3AF0177A" w14:textId="46E9AD73" w:rsidR="00765778" w:rsidRPr="00EB525E" w:rsidRDefault="00765778" w:rsidP="00765778">
            <w:pPr>
              <w:pStyle w:val="TableReference"/>
              <w:tabs>
                <w:tab w:val="left" w:pos="3306"/>
              </w:tabs>
              <w:rPr>
                <w:color w:val="7030A0"/>
                <w:sz w:val="14"/>
              </w:rPr>
            </w:pPr>
            <w:r w:rsidRPr="00EB525E">
              <w:rPr>
                <w:color w:val="7030A0"/>
                <w:sz w:val="14"/>
              </w:rPr>
              <w:t>AASB 9.5.7.1A (a)(b)&amp;(c)</w:t>
            </w:r>
          </w:p>
        </w:tc>
        <w:tc>
          <w:tcPr>
            <w:tcW w:w="4255" w:type="pct"/>
            <w:gridSpan w:val="3"/>
            <w:tcBorders>
              <w:top w:val="nil"/>
              <w:left w:val="single" w:sz="2" w:space="0" w:color="auto"/>
              <w:bottom w:val="nil"/>
              <w:right w:val="nil"/>
            </w:tcBorders>
          </w:tcPr>
          <w:p w14:paraId="27C17E0F" w14:textId="359A4C8B" w:rsidR="00765778" w:rsidRPr="00EB525E" w:rsidRDefault="00765778" w:rsidP="00765778">
            <w:pPr>
              <w:spacing w:after="120"/>
              <w:jc w:val="both"/>
              <w:rPr>
                <w:sz w:val="18"/>
                <w:szCs w:val="18"/>
              </w:rPr>
            </w:pPr>
            <w:r w:rsidRPr="00EB525E">
              <w:rPr>
                <w:sz w:val="18"/>
                <w:szCs w:val="18"/>
              </w:rPr>
              <w:t>‘Burley Griffin Agency’ recognises dividend revenue when the Agency’s right to receive payment is established.</w:t>
            </w:r>
          </w:p>
        </w:tc>
      </w:tr>
      <w:tr w:rsidR="00765778" w:rsidRPr="00CF7E1B" w14:paraId="538375F5" w14:textId="77777777" w:rsidTr="000477B1">
        <w:trPr>
          <w:trHeight w:val="119"/>
        </w:trPr>
        <w:tc>
          <w:tcPr>
            <w:tcW w:w="745" w:type="pct"/>
            <w:tcBorders>
              <w:top w:val="nil"/>
              <w:left w:val="single" w:sz="2" w:space="0" w:color="auto"/>
              <w:bottom w:val="nil"/>
              <w:right w:val="single" w:sz="2" w:space="0" w:color="auto"/>
            </w:tcBorders>
          </w:tcPr>
          <w:p w14:paraId="481DD1DB"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3B089686" w14:textId="110F13A9" w:rsidR="00765778" w:rsidRPr="00EB525E" w:rsidRDefault="00765778" w:rsidP="00765778">
            <w:pPr>
              <w:jc w:val="both"/>
              <w:rPr>
                <w:i/>
                <w:iCs/>
                <w:sz w:val="18"/>
                <w:szCs w:val="18"/>
              </w:rPr>
            </w:pPr>
            <w:r w:rsidRPr="00EB525E">
              <w:rPr>
                <w:i/>
                <w:iCs/>
                <w:sz w:val="18"/>
                <w:szCs w:val="18"/>
              </w:rPr>
              <w:t xml:space="preserve">Rental </w:t>
            </w:r>
            <w:r>
              <w:rPr>
                <w:i/>
                <w:iCs/>
                <w:sz w:val="18"/>
                <w:szCs w:val="18"/>
              </w:rPr>
              <w:t>I</w:t>
            </w:r>
            <w:r w:rsidRPr="00EB525E">
              <w:rPr>
                <w:i/>
                <w:iCs/>
                <w:sz w:val="18"/>
                <w:szCs w:val="18"/>
              </w:rPr>
              <w:t>ncome</w:t>
            </w:r>
          </w:p>
        </w:tc>
      </w:tr>
      <w:tr w:rsidR="00765778" w:rsidRPr="00CF7E1B" w14:paraId="18FBCE18" w14:textId="77777777" w:rsidTr="000477B1">
        <w:trPr>
          <w:trHeight w:val="119"/>
        </w:trPr>
        <w:tc>
          <w:tcPr>
            <w:tcW w:w="745" w:type="pct"/>
            <w:tcBorders>
              <w:top w:val="nil"/>
              <w:left w:val="single" w:sz="2" w:space="0" w:color="auto"/>
              <w:bottom w:val="nil"/>
              <w:right w:val="single" w:sz="2" w:space="0" w:color="auto"/>
            </w:tcBorders>
          </w:tcPr>
          <w:p w14:paraId="7409688A"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7FC66AD" w14:textId="3F64BF3A" w:rsidR="00765778" w:rsidRPr="00EB525E" w:rsidRDefault="00765778" w:rsidP="00765778">
            <w:pPr>
              <w:ind w:left="172"/>
              <w:jc w:val="both"/>
              <w:rPr>
                <w:i/>
                <w:iCs/>
                <w:sz w:val="18"/>
                <w:szCs w:val="18"/>
              </w:rPr>
            </w:pPr>
            <w:r w:rsidRPr="00EB525E">
              <w:rPr>
                <w:i/>
                <w:iCs/>
                <w:sz w:val="18"/>
                <w:szCs w:val="18"/>
              </w:rPr>
              <w:t xml:space="preserve">Rental </w:t>
            </w:r>
            <w:r>
              <w:rPr>
                <w:i/>
                <w:iCs/>
                <w:sz w:val="18"/>
                <w:szCs w:val="18"/>
              </w:rPr>
              <w:t>I</w:t>
            </w:r>
            <w:r w:rsidRPr="00EB525E">
              <w:rPr>
                <w:i/>
                <w:iCs/>
                <w:sz w:val="18"/>
                <w:szCs w:val="18"/>
              </w:rPr>
              <w:t>ncome from Operating Leases</w:t>
            </w:r>
          </w:p>
        </w:tc>
      </w:tr>
      <w:tr w:rsidR="00765778" w:rsidRPr="00CF7E1B" w14:paraId="49BA7063" w14:textId="77777777" w:rsidTr="000477B1">
        <w:trPr>
          <w:trHeight w:val="119"/>
        </w:trPr>
        <w:tc>
          <w:tcPr>
            <w:tcW w:w="745" w:type="pct"/>
            <w:tcBorders>
              <w:top w:val="nil"/>
              <w:left w:val="single" w:sz="2" w:space="0" w:color="auto"/>
              <w:bottom w:val="nil"/>
              <w:right w:val="single" w:sz="2" w:space="0" w:color="auto"/>
            </w:tcBorders>
          </w:tcPr>
          <w:p w14:paraId="71B4BBD2" w14:textId="5855B198" w:rsidR="00765778" w:rsidRPr="00EB525E" w:rsidRDefault="00765778" w:rsidP="00765778">
            <w:pPr>
              <w:pStyle w:val="TableReference"/>
              <w:tabs>
                <w:tab w:val="left" w:pos="3306"/>
              </w:tabs>
              <w:rPr>
                <w:color w:val="7030A0"/>
                <w:sz w:val="14"/>
              </w:rPr>
            </w:pPr>
            <w:r w:rsidRPr="00EB525E">
              <w:rPr>
                <w:color w:val="7030A0"/>
                <w:sz w:val="14"/>
              </w:rPr>
              <w:t>AASB 16.81</w:t>
            </w:r>
          </w:p>
        </w:tc>
        <w:tc>
          <w:tcPr>
            <w:tcW w:w="4255" w:type="pct"/>
            <w:gridSpan w:val="3"/>
            <w:tcBorders>
              <w:top w:val="nil"/>
              <w:left w:val="single" w:sz="2" w:space="0" w:color="auto"/>
              <w:bottom w:val="nil"/>
              <w:right w:val="nil"/>
            </w:tcBorders>
          </w:tcPr>
          <w:p w14:paraId="3D964AA5" w14:textId="7D27568E" w:rsidR="00765778" w:rsidRPr="00EB525E" w:rsidRDefault="00765778" w:rsidP="0046558E">
            <w:pPr>
              <w:spacing w:after="60"/>
              <w:ind w:left="170"/>
              <w:jc w:val="both"/>
              <w:rPr>
                <w:i/>
                <w:iCs/>
                <w:sz w:val="18"/>
                <w:szCs w:val="18"/>
              </w:rPr>
            </w:pPr>
            <w:r w:rsidRPr="00EB525E">
              <w:rPr>
                <w:sz w:val="18"/>
                <w:szCs w:val="18"/>
              </w:rPr>
              <w:t>‘Burley Griffin Agency’ holds buildings as investment properties for which it collects a commercial market rent.</w:t>
            </w:r>
            <w:r>
              <w:rPr>
                <w:sz w:val="18"/>
                <w:szCs w:val="18"/>
              </w:rPr>
              <w:t xml:space="preserve"> </w:t>
            </w:r>
            <w:r w:rsidRPr="00EB525E">
              <w:rPr>
                <w:sz w:val="18"/>
                <w:szCs w:val="18"/>
              </w:rPr>
              <w:t>As a lessor of investment properties, the Agency leases to commercial and community tenants under an operating lease.</w:t>
            </w:r>
            <w:r>
              <w:rPr>
                <w:sz w:val="18"/>
                <w:szCs w:val="18"/>
              </w:rPr>
              <w:t xml:space="preserve"> </w:t>
            </w:r>
            <w:r w:rsidRPr="00EB525E">
              <w:rPr>
                <w:bCs/>
                <w:sz w:val="18"/>
                <w:szCs w:val="18"/>
              </w:rPr>
              <w:t>The lease income from operating leases is recognised on a straight</w:t>
            </w:r>
            <w:r w:rsidRPr="0089568E">
              <w:rPr>
                <w:bCs/>
                <w:color w:val="FF0000"/>
                <w:sz w:val="18"/>
                <w:szCs w:val="18"/>
              </w:rPr>
              <w:t>-</w:t>
            </w:r>
            <w:r w:rsidRPr="00EB525E">
              <w:rPr>
                <w:bCs/>
                <w:sz w:val="18"/>
                <w:szCs w:val="18"/>
              </w:rPr>
              <w:t>line basis over the lease term</w:t>
            </w:r>
            <w:r w:rsidRPr="00EB525E">
              <w:rPr>
                <w:sz w:val="18"/>
                <w:szCs w:val="18"/>
              </w:rPr>
              <w:t>.</w:t>
            </w:r>
            <w:r>
              <w:rPr>
                <w:sz w:val="18"/>
                <w:szCs w:val="18"/>
              </w:rPr>
              <w:t xml:space="preserve"> </w:t>
            </w:r>
          </w:p>
        </w:tc>
      </w:tr>
      <w:tr w:rsidR="00765778" w:rsidRPr="00CF7E1B" w14:paraId="40374A6A" w14:textId="77777777" w:rsidTr="000477B1">
        <w:trPr>
          <w:trHeight w:val="119"/>
        </w:trPr>
        <w:tc>
          <w:tcPr>
            <w:tcW w:w="745" w:type="pct"/>
            <w:tcBorders>
              <w:top w:val="nil"/>
              <w:left w:val="single" w:sz="2" w:space="0" w:color="auto"/>
              <w:bottom w:val="nil"/>
              <w:right w:val="single" w:sz="2" w:space="0" w:color="auto"/>
            </w:tcBorders>
          </w:tcPr>
          <w:p w14:paraId="23F94882"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D5F6876" w14:textId="33055623" w:rsidR="00765778" w:rsidRPr="00EB525E" w:rsidRDefault="00765778" w:rsidP="00765778">
            <w:pPr>
              <w:ind w:left="172"/>
              <w:jc w:val="both"/>
              <w:rPr>
                <w:sz w:val="18"/>
                <w:szCs w:val="18"/>
              </w:rPr>
            </w:pPr>
            <w:r w:rsidRPr="00EB525E">
              <w:rPr>
                <w:rFonts w:cs="Calibri"/>
                <w:sz w:val="18"/>
                <w:szCs w:val="18"/>
              </w:rPr>
              <w:t>Contingent rents are recognised as revenue in the period in which they are earned.</w:t>
            </w:r>
          </w:p>
        </w:tc>
      </w:tr>
      <w:tr w:rsidR="00765778" w:rsidRPr="00CF7E1B" w14:paraId="6324C37D" w14:textId="77777777" w:rsidTr="000477B1">
        <w:trPr>
          <w:trHeight w:val="119"/>
        </w:trPr>
        <w:tc>
          <w:tcPr>
            <w:tcW w:w="745" w:type="pct"/>
            <w:tcBorders>
              <w:top w:val="nil"/>
              <w:left w:val="single" w:sz="2" w:space="0" w:color="auto"/>
              <w:bottom w:val="nil"/>
              <w:right w:val="single" w:sz="2" w:space="0" w:color="auto"/>
            </w:tcBorders>
          </w:tcPr>
          <w:p w14:paraId="1B4F78AE"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52D57CE2" w14:textId="23EF8E3E" w:rsidR="00765778" w:rsidRPr="00EB525E" w:rsidRDefault="00765778" w:rsidP="00765778">
            <w:pPr>
              <w:spacing w:before="120"/>
              <w:ind w:left="172"/>
              <w:jc w:val="both"/>
              <w:rPr>
                <w:sz w:val="18"/>
                <w:szCs w:val="18"/>
              </w:rPr>
            </w:pPr>
            <w:r w:rsidRPr="00EB525E">
              <w:rPr>
                <w:i/>
                <w:iCs/>
                <w:sz w:val="18"/>
                <w:szCs w:val="18"/>
              </w:rPr>
              <w:t xml:space="preserve">Rental </w:t>
            </w:r>
            <w:r>
              <w:rPr>
                <w:i/>
                <w:iCs/>
                <w:sz w:val="18"/>
                <w:szCs w:val="18"/>
              </w:rPr>
              <w:t>I</w:t>
            </w:r>
            <w:r w:rsidRPr="00EB525E">
              <w:rPr>
                <w:i/>
                <w:iCs/>
                <w:sz w:val="18"/>
                <w:szCs w:val="18"/>
              </w:rPr>
              <w:t>ncome from Financing Leases</w:t>
            </w:r>
          </w:p>
        </w:tc>
      </w:tr>
      <w:tr w:rsidR="00765778" w:rsidRPr="00CF7E1B" w14:paraId="4B2A1C40" w14:textId="77777777" w:rsidTr="000477B1">
        <w:trPr>
          <w:trHeight w:val="119"/>
        </w:trPr>
        <w:tc>
          <w:tcPr>
            <w:tcW w:w="745" w:type="pct"/>
            <w:tcBorders>
              <w:top w:val="nil"/>
              <w:left w:val="single" w:sz="2" w:space="0" w:color="auto"/>
              <w:bottom w:val="nil"/>
              <w:right w:val="single" w:sz="2" w:space="0" w:color="auto"/>
            </w:tcBorders>
          </w:tcPr>
          <w:p w14:paraId="7C165131"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7F35B9E9" w14:textId="6D10B73B" w:rsidR="00765778" w:rsidRPr="00EB525E" w:rsidRDefault="00765778" w:rsidP="00765778">
            <w:pPr>
              <w:spacing w:after="120"/>
              <w:ind w:left="172"/>
              <w:jc w:val="both"/>
              <w:rPr>
                <w:sz w:val="18"/>
                <w:szCs w:val="18"/>
              </w:rPr>
            </w:pPr>
            <w:r w:rsidRPr="00EB525E">
              <w:rPr>
                <w:sz w:val="18"/>
                <w:szCs w:val="18"/>
              </w:rPr>
              <w:t>The Agency has excess capacity in leased storage facility properties under a head lease.</w:t>
            </w:r>
            <w:r>
              <w:rPr>
                <w:sz w:val="18"/>
                <w:szCs w:val="18"/>
              </w:rPr>
              <w:t xml:space="preserve"> </w:t>
            </w:r>
            <w:r w:rsidRPr="00EB525E">
              <w:rPr>
                <w:sz w:val="18"/>
                <w:szCs w:val="18"/>
              </w:rPr>
              <w:t>As such, ‘Burley Griffin Agency’ has sub-leased this excess capacity.</w:t>
            </w:r>
            <w:r>
              <w:rPr>
                <w:sz w:val="18"/>
                <w:szCs w:val="18"/>
              </w:rPr>
              <w:t xml:space="preserve"> </w:t>
            </w:r>
            <w:r w:rsidRPr="00EB525E">
              <w:rPr>
                <w:sz w:val="18"/>
                <w:szCs w:val="18"/>
              </w:rPr>
              <w:t>As a lessor, ‘Burley Griffin Agency’ has accounted for these leases as a finance lease.</w:t>
            </w:r>
            <w:r>
              <w:rPr>
                <w:sz w:val="18"/>
                <w:szCs w:val="18"/>
              </w:rPr>
              <w:t xml:space="preserve"> </w:t>
            </w:r>
            <w:r w:rsidRPr="00EB525E">
              <w:rPr>
                <w:bCs/>
                <w:sz w:val="18"/>
                <w:szCs w:val="18"/>
              </w:rPr>
              <w:t>Income under a finance lease is recognised based on a constant periodic rate of return on the Agency’s net investment in the lease.</w:t>
            </w:r>
            <w:r>
              <w:rPr>
                <w:rFonts w:cs="Calibri"/>
                <w:sz w:val="18"/>
                <w:szCs w:val="18"/>
              </w:rPr>
              <w:t xml:space="preserve"> </w:t>
            </w:r>
          </w:p>
        </w:tc>
      </w:tr>
      <w:tr w:rsidR="00765778" w:rsidRPr="00CF7E1B" w14:paraId="47E64E27" w14:textId="77777777" w:rsidTr="000477B1">
        <w:trPr>
          <w:trHeight w:val="119"/>
        </w:trPr>
        <w:tc>
          <w:tcPr>
            <w:tcW w:w="745" w:type="pct"/>
            <w:tcBorders>
              <w:top w:val="nil"/>
              <w:left w:val="single" w:sz="2" w:space="0" w:color="auto"/>
              <w:bottom w:val="nil"/>
              <w:right w:val="single" w:sz="2" w:space="0" w:color="auto"/>
            </w:tcBorders>
          </w:tcPr>
          <w:p w14:paraId="160E6776"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41A3E71E" w14:textId="320DF405" w:rsidR="00765778" w:rsidRPr="00EB525E" w:rsidRDefault="00765778" w:rsidP="00765778">
            <w:pPr>
              <w:jc w:val="both"/>
              <w:rPr>
                <w:sz w:val="18"/>
                <w:szCs w:val="18"/>
              </w:rPr>
            </w:pPr>
            <w:r w:rsidRPr="00EB525E">
              <w:rPr>
                <w:bCs/>
                <w:sz w:val="18"/>
                <w:szCs w:val="18"/>
              </w:rPr>
              <w:t xml:space="preserve">If any lease contains lease and non-lease components, then the non-lease components are accounted for in accordance with AASB 15 </w:t>
            </w:r>
            <w:r w:rsidRPr="00EB525E">
              <w:rPr>
                <w:bCs/>
                <w:i/>
                <w:iCs/>
                <w:sz w:val="18"/>
                <w:szCs w:val="18"/>
              </w:rPr>
              <w:t>Revenue from Contracts with Customers</w:t>
            </w:r>
            <w:r w:rsidRPr="00EB525E">
              <w:rPr>
                <w:bCs/>
                <w:sz w:val="18"/>
                <w:szCs w:val="18"/>
              </w:rPr>
              <w:t>.</w:t>
            </w:r>
          </w:p>
        </w:tc>
      </w:tr>
      <w:tr w:rsidR="00765778" w:rsidRPr="00CF7E1B" w14:paraId="50342EE2" w14:textId="77777777" w:rsidTr="000477B1">
        <w:trPr>
          <w:trHeight w:val="119"/>
        </w:trPr>
        <w:tc>
          <w:tcPr>
            <w:tcW w:w="745" w:type="pct"/>
            <w:tcBorders>
              <w:top w:val="nil"/>
              <w:left w:val="single" w:sz="2" w:space="0" w:color="auto"/>
              <w:bottom w:val="nil"/>
              <w:right w:val="single" w:sz="2" w:space="0" w:color="auto"/>
            </w:tcBorders>
          </w:tcPr>
          <w:p w14:paraId="026C358D" w14:textId="77777777" w:rsidR="00765778" w:rsidRPr="00EB525E" w:rsidRDefault="00765778" w:rsidP="00765778">
            <w:pPr>
              <w:pStyle w:val="TableReference"/>
              <w:tabs>
                <w:tab w:val="left" w:pos="3306"/>
              </w:tabs>
              <w:rPr>
                <w:color w:val="7030A0"/>
                <w:sz w:val="14"/>
              </w:rPr>
            </w:pPr>
            <w:bookmarkStart w:id="428" w:name="_Hlk125376810"/>
          </w:p>
        </w:tc>
        <w:tc>
          <w:tcPr>
            <w:tcW w:w="4255" w:type="pct"/>
            <w:gridSpan w:val="3"/>
            <w:tcBorders>
              <w:top w:val="nil"/>
              <w:left w:val="single" w:sz="2" w:space="0" w:color="auto"/>
              <w:bottom w:val="nil"/>
              <w:right w:val="nil"/>
            </w:tcBorders>
          </w:tcPr>
          <w:p w14:paraId="0C4F1062" w14:textId="0D8B98D9" w:rsidR="00765778" w:rsidRPr="008A6781" w:rsidRDefault="00765778" w:rsidP="00765778">
            <w:pPr>
              <w:spacing w:before="120"/>
              <w:rPr>
                <w:i/>
                <w:iCs/>
                <w:sz w:val="18"/>
                <w:szCs w:val="18"/>
              </w:rPr>
            </w:pPr>
            <w:r w:rsidRPr="008A6781">
              <w:rPr>
                <w:i/>
                <w:iCs/>
                <w:color w:val="FF0000"/>
                <w:sz w:val="18"/>
                <w:szCs w:val="18"/>
              </w:rPr>
              <w:t xml:space="preserve">Interest </w:t>
            </w:r>
            <w:r w:rsidR="008D4A5F" w:rsidRPr="008A6781">
              <w:rPr>
                <w:i/>
                <w:iCs/>
                <w:color w:val="FF0000"/>
                <w:sz w:val="18"/>
                <w:szCs w:val="18"/>
              </w:rPr>
              <w:t>Revenue</w:t>
            </w:r>
            <w:r w:rsidRPr="008A6781">
              <w:rPr>
                <w:i/>
                <w:iCs/>
                <w:color w:val="FF0000"/>
                <w:sz w:val="18"/>
                <w:szCs w:val="18"/>
              </w:rPr>
              <w:t xml:space="preserve"> from </w:t>
            </w:r>
            <w:r w:rsidRPr="008A6781">
              <w:rPr>
                <w:rFonts w:cs="Calibri"/>
                <w:i/>
                <w:iCs/>
                <w:strike/>
                <w:color w:val="FF0000"/>
                <w:sz w:val="18"/>
                <w:szCs w:val="18"/>
              </w:rPr>
              <w:t>Unwinding of</w:t>
            </w:r>
            <w:r w:rsidRPr="008A6781">
              <w:rPr>
                <w:rFonts w:cs="Calibri"/>
                <w:color w:val="FF0000"/>
              </w:rPr>
              <w:t xml:space="preserve"> </w:t>
            </w:r>
            <w:r w:rsidRPr="008A6781">
              <w:rPr>
                <w:i/>
                <w:iCs/>
                <w:sz w:val="18"/>
                <w:szCs w:val="18"/>
              </w:rPr>
              <w:t>Concessional Loan</w:t>
            </w:r>
            <w:r w:rsidRPr="008A6781">
              <w:rPr>
                <w:rFonts w:cs="Calibri"/>
                <w:color w:val="FF0000"/>
                <w:sz w:val="18"/>
                <w:szCs w:val="18"/>
              </w:rPr>
              <w:t>s</w:t>
            </w:r>
            <w:r w:rsidRPr="008A6781">
              <w:rPr>
                <w:rFonts w:cs="Calibri"/>
                <w:sz w:val="18"/>
                <w:szCs w:val="18"/>
              </w:rPr>
              <w:t xml:space="preserve"> </w:t>
            </w:r>
            <w:r w:rsidRPr="008A6781">
              <w:rPr>
                <w:rFonts w:cs="Calibri"/>
                <w:strike/>
                <w:color w:val="FF0000"/>
                <w:sz w:val="18"/>
                <w:szCs w:val="18"/>
              </w:rPr>
              <w:t>discount</w:t>
            </w:r>
            <w:r w:rsidRPr="008A6781">
              <w:rPr>
                <w:strike/>
                <w:color w:val="FF0000"/>
                <w:sz w:val="18"/>
                <w:szCs w:val="18"/>
              </w:rPr>
              <w:t xml:space="preserve"> Revenue</w:t>
            </w:r>
          </w:p>
        </w:tc>
      </w:tr>
      <w:tr w:rsidR="00765778" w:rsidRPr="00CF7E1B" w14:paraId="11F3680F" w14:textId="77777777" w:rsidTr="000477B1">
        <w:trPr>
          <w:trHeight w:val="119"/>
        </w:trPr>
        <w:tc>
          <w:tcPr>
            <w:tcW w:w="745" w:type="pct"/>
            <w:tcBorders>
              <w:top w:val="nil"/>
              <w:left w:val="single" w:sz="2" w:space="0" w:color="auto"/>
              <w:bottom w:val="nil"/>
              <w:right w:val="single" w:sz="2" w:space="0" w:color="auto"/>
            </w:tcBorders>
          </w:tcPr>
          <w:p w14:paraId="445DA6E1" w14:textId="77777777" w:rsidR="00765778" w:rsidRPr="008A6781"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4FA58A89" w14:textId="77777777" w:rsidR="00765778" w:rsidRPr="008A6781" w:rsidRDefault="00765778" w:rsidP="0042345C">
            <w:pPr>
              <w:jc w:val="both"/>
              <w:rPr>
                <w:color w:val="FF0000"/>
                <w:sz w:val="18"/>
                <w:szCs w:val="18"/>
              </w:rPr>
            </w:pPr>
            <w:r w:rsidRPr="008A6781">
              <w:rPr>
                <w:sz w:val="18"/>
                <w:szCs w:val="18"/>
              </w:rPr>
              <w:t xml:space="preserve">‘Burley Griffin Agency’ provides concessional loans under the ‘Example Home Loan Scheme’ to ACT residents. </w:t>
            </w:r>
            <w:r w:rsidRPr="008A6781">
              <w:rPr>
                <w:color w:val="FF0000"/>
                <w:sz w:val="18"/>
                <w:szCs w:val="18"/>
              </w:rPr>
              <w:t xml:space="preserve">For further details in relation to this concessional loan scheme refer to Note 16 </w:t>
            </w:r>
            <w:r w:rsidRPr="008A6781">
              <w:rPr>
                <w:i/>
                <w:iCs/>
                <w:color w:val="FF0000"/>
                <w:sz w:val="18"/>
                <w:szCs w:val="18"/>
              </w:rPr>
              <w:t>Receivables</w:t>
            </w:r>
            <w:r w:rsidRPr="008A6781">
              <w:rPr>
                <w:color w:val="FF0000"/>
                <w:sz w:val="18"/>
                <w:szCs w:val="18"/>
              </w:rPr>
              <w:t xml:space="preserve">. </w:t>
            </w:r>
          </w:p>
          <w:p w14:paraId="71F29190" w14:textId="7CAE3DAC" w:rsidR="00765778" w:rsidRPr="008A6781" w:rsidRDefault="00765778" w:rsidP="00765778">
            <w:pPr>
              <w:spacing w:before="60" w:after="60"/>
              <w:jc w:val="both"/>
              <w:rPr>
                <w:rFonts w:cs="Calibri"/>
                <w:color w:val="FF0000"/>
                <w:sz w:val="18"/>
                <w:szCs w:val="18"/>
              </w:rPr>
            </w:pPr>
            <w:r w:rsidRPr="008A6781">
              <w:rPr>
                <w:color w:val="FF0000"/>
                <w:sz w:val="18"/>
                <w:szCs w:val="18"/>
              </w:rPr>
              <w:t xml:space="preserve">‘Interest </w:t>
            </w:r>
            <w:r w:rsidR="009D08B2" w:rsidRPr="008A6781">
              <w:rPr>
                <w:color w:val="FF0000"/>
                <w:sz w:val="18"/>
                <w:szCs w:val="18"/>
              </w:rPr>
              <w:t>Revenue</w:t>
            </w:r>
            <w:r w:rsidRPr="008A6781">
              <w:rPr>
                <w:color w:val="FF0000"/>
                <w:sz w:val="18"/>
                <w:szCs w:val="18"/>
              </w:rPr>
              <w:t xml:space="preserve"> from Concessional Loan</w:t>
            </w:r>
            <w:r w:rsidRPr="008A6781">
              <w:rPr>
                <w:rFonts w:cs="Calibri"/>
                <w:color w:val="FF0000"/>
                <w:sz w:val="18"/>
                <w:szCs w:val="18"/>
              </w:rPr>
              <w:t>s’ is made up of both the interest received from borrowers and</w:t>
            </w:r>
            <w:r w:rsidRPr="008A6781">
              <w:rPr>
                <w:color w:val="FF0000"/>
                <w:sz w:val="18"/>
                <w:szCs w:val="18"/>
              </w:rPr>
              <w:t xml:space="preserve"> the ‘Revenue from the Unwinding of Concessional Loan Discount Expense’. These elements are outlined below:</w:t>
            </w:r>
            <w:r w:rsidRPr="008A6781">
              <w:rPr>
                <w:rFonts w:cs="Calibri"/>
                <w:color w:val="FF0000"/>
                <w:sz w:val="18"/>
                <w:szCs w:val="18"/>
              </w:rPr>
              <w:t xml:space="preserve"> </w:t>
            </w:r>
          </w:p>
          <w:p w14:paraId="1984EF61" w14:textId="7E9062A8" w:rsidR="00765778" w:rsidRPr="008A6781" w:rsidRDefault="00765778" w:rsidP="00B340DF">
            <w:pPr>
              <w:pStyle w:val="ListParagraph"/>
              <w:numPr>
                <w:ilvl w:val="0"/>
                <w:numId w:val="86"/>
              </w:numPr>
              <w:spacing w:after="60"/>
              <w:ind w:left="714" w:hanging="357"/>
              <w:contextualSpacing w:val="0"/>
              <w:jc w:val="both"/>
              <w:rPr>
                <w:i/>
                <w:iCs/>
                <w:color w:val="FF0000"/>
                <w:sz w:val="18"/>
                <w:szCs w:val="18"/>
              </w:rPr>
            </w:pPr>
            <w:r w:rsidRPr="008A6781">
              <w:rPr>
                <w:color w:val="FF0000"/>
                <w:sz w:val="18"/>
                <w:szCs w:val="18"/>
              </w:rPr>
              <w:t>Interest received from borrowers is the interest portion of their total loan repayments which is calculated based on the concessional interest rate; and</w:t>
            </w:r>
          </w:p>
          <w:p w14:paraId="57D7EEDD" w14:textId="1ABA2EA8" w:rsidR="00765778" w:rsidRPr="008A6781" w:rsidRDefault="00765778" w:rsidP="00B340DF">
            <w:pPr>
              <w:pStyle w:val="ListParagraph"/>
              <w:numPr>
                <w:ilvl w:val="0"/>
                <w:numId w:val="82"/>
              </w:numPr>
              <w:spacing w:before="60"/>
              <w:ind w:left="714" w:hanging="357"/>
              <w:contextualSpacing w:val="0"/>
              <w:jc w:val="both"/>
              <w:rPr>
                <w:sz w:val="18"/>
                <w:szCs w:val="18"/>
              </w:rPr>
            </w:pPr>
            <w:r w:rsidRPr="008A6781">
              <w:rPr>
                <w:color w:val="FF0000"/>
                <w:sz w:val="18"/>
                <w:szCs w:val="18"/>
              </w:rPr>
              <w:t>The ‘Concessional Loan Discount Expense’ is recognised at the commencement of the concessional loan and is initially calculated as</w:t>
            </w:r>
            <w:r w:rsidRPr="008A6781">
              <w:rPr>
                <w:rFonts w:cs="Calibri"/>
                <w:color w:val="FF0000"/>
                <w:sz w:val="18"/>
                <w:szCs w:val="18"/>
              </w:rPr>
              <w:t xml:space="preserve"> </w:t>
            </w:r>
            <w:r w:rsidRPr="008A6781">
              <w:rPr>
                <w:strike/>
                <w:color w:val="FF0000"/>
                <w:sz w:val="18"/>
                <w:szCs w:val="18"/>
              </w:rPr>
              <w:t>The concessional loans are at a low interest rate so</w:t>
            </w:r>
            <w:r w:rsidRPr="008A6781">
              <w:rPr>
                <w:color w:val="FF0000"/>
                <w:sz w:val="18"/>
                <w:szCs w:val="18"/>
              </w:rPr>
              <w:t xml:space="preserve"> </w:t>
            </w:r>
            <w:r w:rsidRPr="008A6781">
              <w:rPr>
                <w:sz w:val="18"/>
                <w:szCs w:val="18"/>
              </w:rPr>
              <w:t xml:space="preserve">the difference between the loan’s nominal value at the concessional rate and fair value at the market rate. </w:t>
            </w:r>
            <w:r w:rsidRPr="008A6781">
              <w:rPr>
                <w:strike/>
                <w:color w:val="FF0000"/>
                <w:sz w:val="18"/>
                <w:szCs w:val="18"/>
              </w:rPr>
              <w:t>is initially recognised as a Concessional Loan Discount Expense. Subsequent to initial recognition ‘Burley Griffin Agency’ then recognises revenue for the unwinding of the concessional loan discount.</w:t>
            </w:r>
            <w:r w:rsidRPr="008A6781">
              <w:rPr>
                <w:color w:val="FF0000"/>
                <w:sz w:val="18"/>
                <w:szCs w:val="18"/>
              </w:rPr>
              <w:t xml:space="preserve"> Then ‘Burley Griffin Agency’ unwinds this expense over the term of the loan on a straight-line basis which is recognised each year as the ‘Revenue from the Unwinding of Concessional Loan Discount Expense’.</w:t>
            </w:r>
          </w:p>
        </w:tc>
      </w:tr>
      <w:bookmarkEnd w:id="428"/>
      <w:tr w:rsidR="00765778" w:rsidRPr="00CF7E1B" w14:paraId="57268235" w14:textId="77777777" w:rsidTr="000477B1">
        <w:trPr>
          <w:cantSplit/>
        </w:trPr>
        <w:tc>
          <w:tcPr>
            <w:tcW w:w="745" w:type="pct"/>
            <w:tcBorders>
              <w:top w:val="nil"/>
              <w:left w:val="single" w:sz="2" w:space="0" w:color="auto"/>
              <w:bottom w:val="nil"/>
              <w:right w:val="single" w:sz="2" w:space="0" w:color="auto"/>
            </w:tcBorders>
          </w:tcPr>
          <w:p w14:paraId="1CCDD487" w14:textId="125D234E" w:rsidR="00765778" w:rsidRPr="008A6781" w:rsidRDefault="00765778" w:rsidP="00765778">
            <w:pPr>
              <w:pStyle w:val="TableReference"/>
              <w:tabs>
                <w:tab w:val="left" w:pos="3306"/>
              </w:tabs>
              <w:spacing w:before="120"/>
              <w:rPr>
                <w:rFonts w:cs="Calibri"/>
                <w:strike/>
                <w:color w:val="7030A0"/>
                <w:sz w:val="14"/>
              </w:rPr>
            </w:pPr>
            <w:r w:rsidRPr="008A6781">
              <w:rPr>
                <w:rFonts w:cs="Calibri"/>
                <w:strike/>
                <w:color w:val="FF0000"/>
                <w:sz w:val="14"/>
              </w:rPr>
              <w:t>AASB 7.20</w:t>
            </w:r>
          </w:p>
        </w:tc>
        <w:tc>
          <w:tcPr>
            <w:tcW w:w="2944" w:type="pct"/>
            <w:tcBorders>
              <w:top w:val="nil"/>
              <w:left w:val="single" w:sz="2" w:space="0" w:color="auto"/>
              <w:bottom w:val="nil"/>
              <w:right w:val="nil"/>
            </w:tcBorders>
            <w:vAlign w:val="center"/>
          </w:tcPr>
          <w:p w14:paraId="1F5F0F4B" w14:textId="28D0AB18" w:rsidR="00765778" w:rsidRPr="008A6781" w:rsidRDefault="00765778" w:rsidP="00765778">
            <w:pPr>
              <w:pStyle w:val="TableText"/>
              <w:tabs>
                <w:tab w:val="left" w:pos="3306"/>
              </w:tabs>
              <w:rPr>
                <w:rFonts w:cs="Calibri"/>
                <w:strike/>
              </w:rPr>
            </w:pPr>
            <w:r w:rsidRPr="008A6781">
              <w:rPr>
                <w:rFonts w:cs="Calibri"/>
                <w:b/>
                <w:bCs/>
                <w:strike/>
                <w:color w:val="FF0000"/>
              </w:rPr>
              <w:t>Investment and Interest Revenue</w:t>
            </w:r>
          </w:p>
        </w:tc>
        <w:tc>
          <w:tcPr>
            <w:tcW w:w="594" w:type="pct"/>
            <w:tcBorders>
              <w:top w:val="nil"/>
              <w:left w:val="nil"/>
              <w:bottom w:val="nil"/>
              <w:right w:val="nil"/>
            </w:tcBorders>
          </w:tcPr>
          <w:p w14:paraId="115D6B38" w14:textId="13BE482E" w:rsidR="00765778" w:rsidRPr="00EB525E" w:rsidRDefault="00765778" w:rsidP="00765778">
            <w:pPr>
              <w:pStyle w:val="TableTitle"/>
              <w:tabs>
                <w:tab w:val="left" w:pos="3306"/>
              </w:tabs>
              <w:rPr>
                <w:rFonts w:cs="Calibri"/>
              </w:rPr>
            </w:pPr>
            <w:r w:rsidRPr="00EB525E">
              <w:rPr>
                <w:rFonts w:cs="Calibri"/>
              </w:rPr>
              <w:t>202</w:t>
            </w:r>
            <w:r>
              <w:rPr>
                <w:rFonts w:cs="Calibri"/>
              </w:rPr>
              <w:t>3</w:t>
            </w:r>
          </w:p>
          <w:p w14:paraId="0446FE51" w14:textId="77777777" w:rsidR="00765778" w:rsidRPr="00EB525E" w:rsidRDefault="00765778" w:rsidP="00765778">
            <w:pPr>
              <w:pStyle w:val="TableTitle"/>
              <w:tabs>
                <w:tab w:val="left" w:pos="2904"/>
              </w:tabs>
              <w:rPr>
                <w:rFonts w:cs="Calibri"/>
              </w:rPr>
            </w:pPr>
            <w:r w:rsidRPr="00EB525E">
              <w:rPr>
                <w:rFonts w:cs="Calibri"/>
              </w:rPr>
              <w:t>$’000</w:t>
            </w:r>
          </w:p>
        </w:tc>
        <w:tc>
          <w:tcPr>
            <w:tcW w:w="717" w:type="pct"/>
            <w:tcBorders>
              <w:top w:val="nil"/>
              <w:left w:val="nil"/>
              <w:bottom w:val="nil"/>
              <w:right w:val="nil"/>
            </w:tcBorders>
          </w:tcPr>
          <w:p w14:paraId="32972E10" w14:textId="1086DE20" w:rsidR="00765778" w:rsidRPr="00EB525E" w:rsidRDefault="00765778" w:rsidP="00765778">
            <w:pPr>
              <w:pStyle w:val="TableTitle"/>
              <w:tabs>
                <w:tab w:val="left" w:pos="2904"/>
              </w:tabs>
              <w:rPr>
                <w:rFonts w:cs="Calibri"/>
              </w:rPr>
            </w:pPr>
            <w:r w:rsidRPr="00EB525E">
              <w:rPr>
                <w:rFonts w:cs="Calibri"/>
              </w:rPr>
              <w:t>202</w:t>
            </w:r>
            <w:r>
              <w:rPr>
                <w:rFonts w:cs="Calibri"/>
              </w:rPr>
              <w:t>2</w:t>
            </w:r>
          </w:p>
          <w:p w14:paraId="6CCEDDF9" w14:textId="77777777" w:rsidR="00765778" w:rsidRPr="00EB525E" w:rsidRDefault="00765778" w:rsidP="00765778">
            <w:pPr>
              <w:pStyle w:val="TableTitle"/>
              <w:tabs>
                <w:tab w:val="left" w:pos="2904"/>
              </w:tabs>
              <w:rPr>
                <w:rFonts w:cs="Calibri"/>
              </w:rPr>
            </w:pPr>
            <w:r w:rsidRPr="00EB525E">
              <w:rPr>
                <w:rFonts w:cs="Calibri"/>
              </w:rPr>
              <w:t>$’000</w:t>
            </w:r>
          </w:p>
        </w:tc>
      </w:tr>
      <w:tr w:rsidR="00765778" w:rsidRPr="00CF7E1B" w14:paraId="0C78FC1F" w14:textId="77777777" w:rsidTr="000477B1">
        <w:trPr>
          <w:cantSplit/>
        </w:trPr>
        <w:tc>
          <w:tcPr>
            <w:tcW w:w="745" w:type="pct"/>
            <w:tcBorders>
              <w:top w:val="nil"/>
              <w:left w:val="single" w:sz="2" w:space="0" w:color="auto"/>
              <w:bottom w:val="nil"/>
              <w:right w:val="single" w:sz="2" w:space="0" w:color="auto"/>
            </w:tcBorders>
          </w:tcPr>
          <w:p w14:paraId="0B3F0623" w14:textId="6315BC34" w:rsidR="00765778" w:rsidRPr="001F52A0" w:rsidRDefault="00765778" w:rsidP="00765778">
            <w:pPr>
              <w:pStyle w:val="TableReference"/>
              <w:tabs>
                <w:tab w:val="left" w:pos="3306"/>
              </w:tabs>
              <w:spacing w:before="60"/>
              <w:rPr>
                <w:rFonts w:cs="Calibri"/>
                <w:strike/>
                <w:color w:val="FF0000"/>
                <w:sz w:val="14"/>
              </w:rPr>
            </w:pPr>
            <w:r w:rsidRPr="001F52A0">
              <w:rPr>
                <w:rFonts w:cs="Calibri"/>
                <w:strike/>
                <w:color w:val="FF0000"/>
                <w:sz w:val="14"/>
              </w:rPr>
              <w:t>AASB 7.20(b)</w:t>
            </w:r>
          </w:p>
        </w:tc>
        <w:tc>
          <w:tcPr>
            <w:tcW w:w="2944" w:type="pct"/>
            <w:tcBorders>
              <w:top w:val="nil"/>
              <w:left w:val="single" w:sz="2" w:space="0" w:color="auto"/>
              <w:bottom w:val="nil"/>
              <w:right w:val="nil"/>
            </w:tcBorders>
            <w:vAlign w:val="bottom"/>
          </w:tcPr>
          <w:p w14:paraId="0BDB1D0C" w14:textId="1F91490C" w:rsidR="00765778" w:rsidRPr="001F52A0" w:rsidRDefault="00765778" w:rsidP="00765778">
            <w:pPr>
              <w:pStyle w:val="TableText"/>
              <w:tabs>
                <w:tab w:val="left" w:pos="3306"/>
              </w:tabs>
              <w:rPr>
                <w:rFonts w:cs="Calibri"/>
                <w:strike/>
                <w:color w:val="FF0000"/>
              </w:rPr>
            </w:pPr>
            <w:r w:rsidRPr="001F52A0">
              <w:rPr>
                <w:rFonts w:cs="Calibri"/>
                <w:strike/>
                <w:color w:val="FF0000"/>
              </w:rPr>
              <w:t>Interest from Loans Receivable</w:t>
            </w:r>
            <w:r w:rsidRPr="001F52A0">
              <w:rPr>
                <w:rFonts w:cs="Calibri"/>
                <w:b/>
                <w:strike/>
                <w:color w:val="FF0000"/>
                <w:vertAlign w:val="superscript"/>
              </w:rPr>
              <w:t xml:space="preserve">a </w:t>
            </w:r>
            <w:r w:rsidRPr="001F52A0">
              <w:rPr>
                <w:strike/>
                <w:color w:val="FF0000"/>
              </w:rPr>
              <w:t xml:space="preserve">   </w:t>
            </w:r>
          </w:p>
        </w:tc>
        <w:tc>
          <w:tcPr>
            <w:tcW w:w="594" w:type="pct"/>
            <w:tcBorders>
              <w:top w:val="nil"/>
              <w:left w:val="nil"/>
              <w:bottom w:val="nil"/>
              <w:right w:val="nil"/>
            </w:tcBorders>
            <w:vAlign w:val="bottom"/>
          </w:tcPr>
          <w:p w14:paraId="6FF60EE7"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4DA6A0F0" w14:textId="77777777" w:rsidR="00765778" w:rsidRPr="00EB525E" w:rsidRDefault="00765778" w:rsidP="00765778">
            <w:pPr>
              <w:pStyle w:val="TableText"/>
              <w:tabs>
                <w:tab w:val="left" w:pos="2904"/>
              </w:tabs>
              <w:jc w:val="right"/>
              <w:rPr>
                <w:rFonts w:cs="Calibri"/>
              </w:rPr>
            </w:pPr>
          </w:p>
        </w:tc>
      </w:tr>
      <w:tr w:rsidR="00765778" w:rsidRPr="00CF7E1B" w14:paraId="44FB5D9B" w14:textId="77777777" w:rsidTr="000477B1">
        <w:trPr>
          <w:cantSplit/>
        </w:trPr>
        <w:tc>
          <w:tcPr>
            <w:tcW w:w="745" w:type="pct"/>
            <w:tcBorders>
              <w:top w:val="nil"/>
              <w:left w:val="single" w:sz="2" w:space="0" w:color="auto"/>
              <w:bottom w:val="nil"/>
              <w:right w:val="single" w:sz="2" w:space="0" w:color="auto"/>
            </w:tcBorders>
          </w:tcPr>
          <w:p w14:paraId="120316FF"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1B95EE8F" w14:textId="37DAA522" w:rsidR="00765778" w:rsidRPr="008A6781" w:rsidRDefault="00765778" w:rsidP="00765778">
            <w:pPr>
              <w:pStyle w:val="TableText"/>
              <w:tabs>
                <w:tab w:val="left" w:pos="3306"/>
              </w:tabs>
              <w:rPr>
                <w:rFonts w:cs="Calibri"/>
              </w:rPr>
            </w:pPr>
            <w:r w:rsidRPr="008A6781">
              <w:rPr>
                <w:rFonts w:cs="Calibri"/>
              </w:rPr>
              <w:t>Distribution from Investments with the Territory Banking Account</w:t>
            </w:r>
          </w:p>
        </w:tc>
        <w:tc>
          <w:tcPr>
            <w:tcW w:w="594" w:type="pct"/>
            <w:tcBorders>
              <w:top w:val="nil"/>
              <w:left w:val="nil"/>
              <w:bottom w:val="nil"/>
              <w:right w:val="nil"/>
            </w:tcBorders>
            <w:vAlign w:val="bottom"/>
          </w:tcPr>
          <w:p w14:paraId="61EDA715"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752FC73D" w14:textId="77777777" w:rsidR="00765778" w:rsidRPr="00EB525E" w:rsidRDefault="00765778" w:rsidP="00765778">
            <w:pPr>
              <w:pStyle w:val="TableText"/>
              <w:tabs>
                <w:tab w:val="left" w:pos="2904"/>
              </w:tabs>
              <w:jc w:val="right"/>
              <w:rPr>
                <w:rFonts w:cs="Calibri"/>
              </w:rPr>
            </w:pPr>
          </w:p>
        </w:tc>
      </w:tr>
      <w:tr w:rsidR="00765778" w:rsidRPr="00CF7E1B" w14:paraId="6231134D" w14:textId="77777777" w:rsidTr="000477B1">
        <w:trPr>
          <w:cantSplit/>
        </w:trPr>
        <w:tc>
          <w:tcPr>
            <w:tcW w:w="745" w:type="pct"/>
            <w:tcBorders>
              <w:top w:val="nil"/>
              <w:left w:val="single" w:sz="2" w:space="0" w:color="auto"/>
              <w:bottom w:val="nil"/>
              <w:right w:val="single" w:sz="2" w:space="0" w:color="auto"/>
            </w:tcBorders>
          </w:tcPr>
          <w:p w14:paraId="1FD83FC8"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4613AB3B" w14:textId="4F2B6168" w:rsidR="00765778" w:rsidRPr="008A6781" w:rsidRDefault="00765778" w:rsidP="00765778">
            <w:pPr>
              <w:pStyle w:val="TableText"/>
              <w:tabs>
                <w:tab w:val="left" w:pos="3306"/>
              </w:tabs>
              <w:rPr>
                <w:rFonts w:cs="Calibri"/>
              </w:rPr>
            </w:pPr>
            <w:r w:rsidRPr="008A6781">
              <w:rPr>
                <w:rFonts w:cs="Calibri"/>
              </w:rPr>
              <w:t>Dividends</w:t>
            </w:r>
          </w:p>
        </w:tc>
        <w:tc>
          <w:tcPr>
            <w:tcW w:w="594" w:type="pct"/>
            <w:tcBorders>
              <w:top w:val="nil"/>
              <w:left w:val="nil"/>
              <w:bottom w:val="nil"/>
              <w:right w:val="nil"/>
            </w:tcBorders>
            <w:vAlign w:val="bottom"/>
          </w:tcPr>
          <w:p w14:paraId="7B9CCC86"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495F2591" w14:textId="77777777" w:rsidR="00765778" w:rsidRPr="00EB525E" w:rsidRDefault="00765778" w:rsidP="00765778">
            <w:pPr>
              <w:pStyle w:val="TableText"/>
              <w:tabs>
                <w:tab w:val="left" w:pos="2904"/>
              </w:tabs>
              <w:jc w:val="right"/>
              <w:rPr>
                <w:rFonts w:cs="Calibri"/>
              </w:rPr>
            </w:pPr>
          </w:p>
        </w:tc>
      </w:tr>
      <w:tr w:rsidR="00765778" w:rsidRPr="00CF7E1B" w14:paraId="34958A1C" w14:textId="77777777" w:rsidTr="000477B1">
        <w:trPr>
          <w:cantSplit/>
        </w:trPr>
        <w:tc>
          <w:tcPr>
            <w:tcW w:w="745" w:type="pct"/>
            <w:tcBorders>
              <w:top w:val="nil"/>
              <w:left w:val="single" w:sz="2" w:space="0" w:color="auto"/>
              <w:bottom w:val="nil"/>
              <w:right w:val="single" w:sz="2" w:space="0" w:color="auto"/>
            </w:tcBorders>
          </w:tcPr>
          <w:p w14:paraId="77D0293D" w14:textId="7777777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 xml:space="preserve">AASB 16.90(b) </w:t>
            </w:r>
          </w:p>
          <w:p w14:paraId="3FD787CD" w14:textId="07CAFF6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AASB 140.75(f)(i)</w:t>
            </w:r>
          </w:p>
        </w:tc>
        <w:tc>
          <w:tcPr>
            <w:tcW w:w="2944" w:type="pct"/>
            <w:tcBorders>
              <w:top w:val="nil"/>
              <w:left w:val="single" w:sz="2" w:space="0" w:color="auto"/>
              <w:bottom w:val="nil"/>
              <w:right w:val="nil"/>
            </w:tcBorders>
            <w:vAlign w:val="center"/>
          </w:tcPr>
          <w:p w14:paraId="4A819BD0" w14:textId="11B4B7CF" w:rsidR="00765778" w:rsidRPr="008A6781" w:rsidRDefault="00765778" w:rsidP="00765778">
            <w:pPr>
              <w:pStyle w:val="TableText"/>
              <w:tabs>
                <w:tab w:val="left" w:pos="3306"/>
              </w:tabs>
              <w:rPr>
                <w:rFonts w:cs="Calibri"/>
              </w:rPr>
            </w:pPr>
            <w:r w:rsidRPr="008A6781">
              <w:rPr>
                <w:rFonts w:cs="Calibri"/>
                <w:bCs/>
              </w:rPr>
              <w:t xml:space="preserve">Operating Lease Rental Income from Investment Property </w:t>
            </w:r>
          </w:p>
        </w:tc>
        <w:tc>
          <w:tcPr>
            <w:tcW w:w="594" w:type="pct"/>
            <w:tcBorders>
              <w:top w:val="nil"/>
              <w:left w:val="nil"/>
              <w:bottom w:val="nil"/>
              <w:right w:val="nil"/>
            </w:tcBorders>
            <w:vAlign w:val="bottom"/>
          </w:tcPr>
          <w:p w14:paraId="69435A52"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57ECDADF" w14:textId="77777777" w:rsidR="00765778" w:rsidRPr="00EB525E" w:rsidRDefault="00765778" w:rsidP="00765778">
            <w:pPr>
              <w:pStyle w:val="TableText"/>
              <w:tabs>
                <w:tab w:val="left" w:pos="2904"/>
              </w:tabs>
              <w:jc w:val="right"/>
              <w:rPr>
                <w:rFonts w:cs="Calibri"/>
              </w:rPr>
            </w:pPr>
          </w:p>
        </w:tc>
      </w:tr>
      <w:tr w:rsidR="00765778" w:rsidRPr="00CF7E1B" w14:paraId="23950744" w14:textId="77777777" w:rsidTr="000477B1">
        <w:trPr>
          <w:cantSplit/>
        </w:trPr>
        <w:tc>
          <w:tcPr>
            <w:tcW w:w="745" w:type="pct"/>
            <w:tcBorders>
              <w:top w:val="nil"/>
              <w:left w:val="single" w:sz="2" w:space="0" w:color="auto"/>
              <w:bottom w:val="nil"/>
              <w:right w:val="single" w:sz="2" w:space="0" w:color="auto"/>
            </w:tcBorders>
          </w:tcPr>
          <w:p w14:paraId="5CFC4C2D" w14:textId="7777777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 xml:space="preserve">AASB 16.53(f) </w:t>
            </w:r>
          </w:p>
          <w:p w14:paraId="7B5E02B1" w14:textId="56033B3B"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AASB 16.90(a)(ii)</w:t>
            </w:r>
          </w:p>
        </w:tc>
        <w:tc>
          <w:tcPr>
            <w:tcW w:w="2944" w:type="pct"/>
            <w:tcBorders>
              <w:top w:val="nil"/>
              <w:left w:val="single" w:sz="2" w:space="0" w:color="auto"/>
              <w:bottom w:val="nil"/>
              <w:right w:val="nil"/>
            </w:tcBorders>
            <w:vAlign w:val="center"/>
          </w:tcPr>
          <w:p w14:paraId="609A3F87" w14:textId="513E9A06" w:rsidR="00765778" w:rsidRPr="008A6781" w:rsidRDefault="00765778" w:rsidP="00765778">
            <w:pPr>
              <w:pStyle w:val="TableText"/>
              <w:tabs>
                <w:tab w:val="left" w:pos="3306"/>
              </w:tabs>
              <w:rPr>
                <w:rFonts w:cs="Calibri"/>
              </w:rPr>
            </w:pPr>
            <w:r w:rsidRPr="008A6781">
              <w:rPr>
                <w:rFonts w:cs="Calibri"/>
                <w:bCs/>
              </w:rPr>
              <w:t xml:space="preserve">Finance Lease </w:t>
            </w:r>
            <w:r w:rsidRPr="008A6781">
              <w:rPr>
                <w:rFonts w:cstheme="minorHAnsi"/>
              </w:rPr>
              <w:t>Rental Income from Sub-leasing Right-of-Use Assets</w:t>
            </w:r>
          </w:p>
        </w:tc>
        <w:tc>
          <w:tcPr>
            <w:tcW w:w="594" w:type="pct"/>
            <w:tcBorders>
              <w:top w:val="nil"/>
              <w:left w:val="nil"/>
              <w:bottom w:val="nil"/>
              <w:right w:val="nil"/>
            </w:tcBorders>
            <w:vAlign w:val="bottom"/>
          </w:tcPr>
          <w:p w14:paraId="1884085E" w14:textId="61312B84"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1C41CE53" w14:textId="7A246485" w:rsidR="00765778" w:rsidRPr="00EB525E" w:rsidRDefault="00765778" w:rsidP="00765778">
            <w:pPr>
              <w:pStyle w:val="TableText"/>
              <w:tabs>
                <w:tab w:val="left" w:pos="2904"/>
              </w:tabs>
              <w:jc w:val="right"/>
              <w:rPr>
                <w:rFonts w:cs="Calibri"/>
              </w:rPr>
            </w:pPr>
          </w:p>
        </w:tc>
      </w:tr>
      <w:tr w:rsidR="00765778" w:rsidRPr="00CF7E1B" w14:paraId="34B190C7" w14:textId="77777777" w:rsidTr="000477B1">
        <w:trPr>
          <w:cantSplit/>
        </w:trPr>
        <w:tc>
          <w:tcPr>
            <w:tcW w:w="745" w:type="pct"/>
            <w:tcBorders>
              <w:top w:val="nil"/>
              <w:left w:val="single" w:sz="2" w:space="0" w:color="auto"/>
              <w:bottom w:val="nil"/>
              <w:right w:val="single" w:sz="2" w:space="0" w:color="auto"/>
            </w:tcBorders>
          </w:tcPr>
          <w:p w14:paraId="013B6F9D"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60359860" w14:textId="3AC9DC8B" w:rsidR="00765778" w:rsidRPr="008A6781" w:rsidRDefault="00765778" w:rsidP="0046558E">
            <w:pPr>
              <w:pStyle w:val="TableText"/>
              <w:tabs>
                <w:tab w:val="left" w:pos="3306"/>
              </w:tabs>
              <w:spacing w:before="0"/>
              <w:rPr>
                <w:rFonts w:cs="Calibri"/>
                <w:b/>
                <w:strike/>
              </w:rPr>
            </w:pPr>
            <w:r w:rsidRPr="008A6781">
              <w:rPr>
                <w:color w:val="FF0000"/>
              </w:rPr>
              <w:t xml:space="preserve">Interest </w:t>
            </w:r>
            <w:r w:rsidR="009D08B2" w:rsidRPr="008A6781">
              <w:rPr>
                <w:color w:val="FF0000"/>
              </w:rPr>
              <w:t>Revenue</w:t>
            </w:r>
            <w:r w:rsidRPr="008A6781">
              <w:rPr>
                <w:color w:val="FF0000"/>
              </w:rPr>
              <w:t xml:space="preserve"> from </w:t>
            </w:r>
            <w:r w:rsidRPr="008A6781">
              <w:rPr>
                <w:rFonts w:cs="Calibri"/>
                <w:strike/>
                <w:color w:val="FF0000"/>
              </w:rPr>
              <w:t>Unwinding of</w:t>
            </w:r>
            <w:r w:rsidRPr="008A6781">
              <w:rPr>
                <w:rFonts w:cs="Calibri"/>
                <w:color w:val="FF0000"/>
              </w:rPr>
              <w:t xml:space="preserve"> </w:t>
            </w:r>
            <w:r w:rsidRPr="008A6781">
              <w:rPr>
                <w:rFonts w:cs="Calibri"/>
              </w:rPr>
              <w:t>Concessional Loan</w:t>
            </w:r>
            <w:r w:rsidRPr="008A6781">
              <w:rPr>
                <w:rFonts w:cs="Calibri"/>
                <w:color w:val="FF0000"/>
              </w:rPr>
              <w:t>s</w:t>
            </w:r>
            <w:r w:rsidRPr="008A6781">
              <w:rPr>
                <w:rFonts w:cs="Calibri"/>
              </w:rPr>
              <w:t xml:space="preserve"> </w:t>
            </w:r>
            <w:r w:rsidRPr="008A6781">
              <w:rPr>
                <w:rFonts w:cs="Calibri"/>
                <w:strike/>
                <w:color w:val="FF0000"/>
              </w:rPr>
              <w:t>Discount</w:t>
            </w:r>
            <w:r w:rsidRPr="008A6781">
              <w:rPr>
                <w:strike/>
                <w:color w:val="FF0000"/>
              </w:rPr>
              <w:t xml:space="preserve"> Revenue</w:t>
            </w:r>
          </w:p>
        </w:tc>
        <w:tc>
          <w:tcPr>
            <w:tcW w:w="594" w:type="pct"/>
            <w:tcBorders>
              <w:top w:val="nil"/>
              <w:left w:val="nil"/>
              <w:bottom w:val="nil"/>
              <w:right w:val="nil"/>
            </w:tcBorders>
            <w:vAlign w:val="bottom"/>
          </w:tcPr>
          <w:p w14:paraId="03237984"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02F96558" w14:textId="77777777" w:rsidR="00765778" w:rsidRPr="00EB525E" w:rsidRDefault="00765778" w:rsidP="00765778">
            <w:pPr>
              <w:pStyle w:val="TableText"/>
              <w:tabs>
                <w:tab w:val="left" w:pos="2904"/>
              </w:tabs>
              <w:jc w:val="right"/>
              <w:rPr>
                <w:rFonts w:cs="Calibri"/>
              </w:rPr>
            </w:pPr>
          </w:p>
        </w:tc>
      </w:tr>
      <w:tr w:rsidR="00765778" w:rsidRPr="00CF7E1B" w14:paraId="02E4E2CE" w14:textId="77777777" w:rsidTr="000477B1">
        <w:trPr>
          <w:cantSplit/>
        </w:trPr>
        <w:tc>
          <w:tcPr>
            <w:tcW w:w="745" w:type="pct"/>
            <w:tcBorders>
              <w:top w:val="nil"/>
              <w:left w:val="single" w:sz="2" w:space="0" w:color="auto"/>
              <w:bottom w:val="nil"/>
              <w:right w:val="single" w:sz="2" w:space="0" w:color="auto"/>
            </w:tcBorders>
          </w:tcPr>
          <w:p w14:paraId="79B52582" w14:textId="451991F1"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15.58</w:t>
            </w:r>
          </w:p>
        </w:tc>
        <w:tc>
          <w:tcPr>
            <w:tcW w:w="2944" w:type="pct"/>
            <w:tcBorders>
              <w:top w:val="nil"/>
              <w:left w:val="single" w:sz="2" w:space="0" w:color="auto"/>
              <w:bottom w:val="nil"/>
              <w:right w:val="nil"/>
            </w:tcBorders>
            <w:vAlign w:val="center"/>
          </w:tcPr>
          <w:p w14:paraId="356CD820" w14:textId="0938B753" w:rsidR="00765778" w:rsidRPr="008A6781" w:rsidRDefault="00765778" w:rsidP="00765778">
            <w:pPr>
              <w:pStyle w:val="TableText"/>
              <w:tabs>
                <w:tab w:val="left" w:pos="3306"/>
              </w:tabs>
              <w:rPr>
                <w:rFonts w:cs="Calibri"/>
                <w:b/>
                <w:strike/>
              </w:rPr>
            </w:pPr>
            <w:r w:rsidRPr="008A6781">
              <w:rPr>
                <w:rFonts w:cs="Calibri"/>
                <w:bCs/>
              </w:rPr>
              <w:t>Royalties</w:t>
            </w:r>
          </w:p>
        </w:tc>
        <w:tc>
          <w:tcPr>
            <w:tcW w:w="594" w:type="pct"/>
            <w:tcBorders>
              <w:top w:val="nil"/>
              <w:left w:val="nil"/>
              <w:bottom w:val="nil"/>
              <w:right w:val="nil"/>
            </w:tcBorders>
            <w:vAlign w:val="bottom"/>
          </w:tcPr>
          <w:p w14:paraId="2BAC0CAF"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026F4CE0" w14:textId="77777777" w:rsidR="00765778" w:rsidRPr="00EB525E" w:rsidRDefault="00765778" w:rsidP="00765778">
            <w:pPr>
              <w:pStyle w:val="TableText"/>
              <w:tabs>
                <w:tab w:val="left" w:pos="2904"/>
              </w:tabs>
              <w:jc w:val="right"/>
              <w:rPr>
                <w:rFonts w:cs="Calibri"/>
              </w:rPr>
            </w:pPr>
          </w:p>
        </w:tc>
      </w:tr>
      <w:tr w:rsidR="00765778" w:rsidRPr="00CF7E1B" w14:paraId="21F3CB27" w14:textId="77777777" w:rsidTr="000477B1">
        <w:trPr>
          <w:cantSplit/>
        </w:trPr>
        <w:tc>
          <w:tcPr>
            <w:tcW w:w="745" w:type="pct"/>
            <w:tcBorders>
              <w:top w:val="nil"/>
              <w:left w:val="single" w:sz="2" w:space="0" w:color="auto"/>
              <w:bottom w:val="nil"/>
              <w:right w:val="single" w:sz="2" w:space="0" w:color="auto"/>
            </w:tcBorders>
          </w:tcPr>
          <w:p w14:paraId="07E19361" w14:textId="71E066E1" w:rsidR="00765778" w:rsidRPr="008A6781" w:rsidRDefault="00765778" w:rsidP="00765778">
            <w:pPr>
              <w:pStyle w:val="TableReference"/>
              <w:tabs>
                <w:tab w:val="left" w:pos="3306"/>
              </w:tabs>
              <w:spacing w:before="60"/>
              <w:rPr>
                <w:rFonts w:cs="Calibri"/>
                <w:strike/>
                <w:color w:val="7030A0"/>
                <w:sz w:val="14"/>
              </w:rPr>
            </w:pPr>
            <w:r w:rsidRPr="008A6781">
              <w:rPr>
                <w:rFonts w:cs="Calibri"/>
                <w:strike/>
                <w:color w:val="FF0000"/>
                <w:sz w:val="14"/>
              </w:rPr>
              <w:t>AASB 7.20(b)</w:t>
            </w:r>
          </w:p>
        </w:tc>
        <w:tc>
          <w:tcPr>
            <w:tcW w:w="2944" w:type="pct"/>
            <w:tcBorders>
              <w:top w:val="nil"/>
              <w:left w:val="single" w:sz="2" w:space="0" w:color="auto"/>
              <w:bottom w:val="nil"/>
              <w:right w:val="nil"/>
            </w:tcBorders>
            <w:vAlign w:val="bottom"/>
          </w:tcPr>
          <w:p w14:paraId="73DF99D2" w14:textId="48D7BCF3" w:rsidR="00765778" w:rsidRPr="008A6781" w:rsidRDefault="00765778" w:rsidP="00765778">
            <w:pPr>
              <w:pStyle w:val="TableText"/>
              <w:tabs>
                <w:tab w:val="left" w:pos="3306"/>
              </w:tabs>
              <w:rPr>
                <w:rFonts w:cs="Calibri"/>
                <w:b/>
                <w:strike/>
              </w:rPr>
            </w:pPr>
            <w:r w:rsidRPr="008A6781">
              <w:rPr>
                <w:rFonts w:cs="Calibri"/>
                <w:bCs/>
              </w:rPr>
              <w:t xml:space="preserve">Other Interest Revenue </w:t>
            </w:r>
          </w:p>
        </w:tc>
        <w:tc>
          <w:tcPr>
            <w:tcW w:w="594" w:type="pct"/>
            <w:tcBorders>
              <w:top w:val="nil"/>
              <w:left w:val="nil"/>
              <w:bottom w:val="single" w:sz="4" w:space="0" w:color="auto"/>
              <w:right w:val="nil"/>
            </w:tcBorders>
            <w:vAlign w:val="bottom"/>
          </w:tcPr>
          <w:p w14:paraId="641D0639"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single" w:sz="4" w:space="0" w:color="auto"/>
              <w:right w:val="nil"/>
            </w:tcBorders>
            <w:vAlign w:val="bottom"/>
          </w:tcPr>
          <w:p w14:paraId="48849924" w14:textId="77777777" w:rsidR="00765778" w:rsidRPr="00EB525E" w:rsidRDefault="00765778" w:rsidP="00765778">
            <w:pPr>
              <w:pStyle w:val="TableText"/>
              <w:tabs>
                <w:tab w:val="left" w:pos="2904"/>
              </w:tabs>
              <w:jc w:val="right"/>
              <w:rPr>
                <w:rFonts w:cs="Calibri"/>
              </w:rPr>
            </w:pPr>
          </w:p>
        </w:tc>
      </w:tr>
      <w:tr w:rsidR="00765778" w:rsidRPr="00CF7E1B" w14:paraId="37154E67" w14:textId="77777777" w:rsidTr="000477B1">
        <w:trPr>
          <w:cantSplit/>
        </w:trPr>
        <w:tc>
          <w:tcPr>
            <w:tcW w:w="745" w:type="pct"/>
            <w:tcBorders>
              <w:top w:val="nil"/>
              <w:left w:val="single" w:sz="2" w:space="0" w:color="auto"/>
              <w:bottom w:val="nil"/>
              <w:right w:val="single" w:sz="2" w:space="0" w:color="auto"/>
            </w:tcBorders>
          </w:tcPr>
          <w:p w14:paraId="38C1E336" w14:textId="784BE435" w:rsidR="00765778" w:rsidRPr="00EB525E" w:rsidRDefault="00765778" w:rsidP="0046558E">
            <w:pPr>
              <w:pStyle w:val="TableReference"/>
              <w:tabs>
                <w:tab w:val="left" w:pos="3306"/>
              </w:tabs>
              <w:spacing w:before="60"/>
              <w:rPr>
                <w:rFonts w:cs="Calibri"/>
                <w:color w:val="7030A0"/>
                <w:sz w:val="14"/>
              </w:rPr>
            </w:pPr>
            <w:r w:rsidRPr="00EB525E">
              <w:rPr>
                <w:rFonts w:cs="Calibri"/>
                <w:color w:val="7030A0"/>
                <w:sz w:val="14"/>
              </w:rPr>
              <w:t>AASB 101.82(a)</w:t>
            </w:r>
          </w:p>
        </w:tc>
        <w:tc>
          <w:tcPr>
            <w:tcW w:w="2944" w:type="pct"/>
            <w:tcBorders>
              <w:top w:val="nil"/>
              <w:left w:val="single" w:sz="2" w:space="0" w:color="auto"/>
              <w:bottom w:val="nil"/>
              <w:right w:val="nil"/>
            </w:tcBorders>
          </w:tcPr>
          <w:p w14:paraId="01365893" w14:textId="0D8AD2BC" w:rsidR="00765778" w:rsidRPr="00EB525E" w:rsidRDefault="00765778" w:rsidP="0046558E">
            <w:pPr>
              <w:pStyle w:val="TableText"/>
              <w:tabs>
                <w:tab w:val="left" w:pos="3306"/>
              </w:tabs>
              <w:rPr>
                <w:rFonts w:cs="Calibri"/>
                <w:b/>
              </w:rPr>
            </w:pPr>
            <w:r w:rsidRPr="00EB525E">
              <w:rPr>
                <w:rFonts w:cs="Calibri"/>
                <w:b/>
              </w:rPr>
              <w:t>Total Investment and Interest Revenue</w:t>
            </w:r>
          </w:p>
        </w:tc>
        <w:tc>
          <w:tcPr>
            <w:tcW w:w="594" w:type="pct"/>
            <w:tcBorders>
              <w:top w:val="single" w:sz="4" w:space="0" w:color="auto"/>
              <w:left w:val="nil"/>
              <w:bottom w:val="double" w:sz="4" w:space="0" w:color="auto"/>
              <w:right w:val="nil"/>
            </w:tcBorders>
            <w:vAlign w:val="bottom"/>
          </w:tcPr>
          <w:p w14:paraId="1CF0BD98" w14:textId="77777777" w:rsidR="00765778" w:rsidRPr="00EB525E" w:rsidRDefault="00765778" w:rsidP="00765778">
            <w:pPr>
              <w:pStyle w:val="TableText"/>
              <w:tabs>
                <w:tab w:val="left" w:pos="2904"/>
              </w:tabs>
              <w:jc w:val="right"/>
              <w:rPr>
                <w:rFonts w:cs="Calibri"/>
              </w:rPr>
            </w:pPr>
          </w:p>
        </w:tc>
        <w:tc>
          <w:tcPr>
            <w:tcW w:w="717" w:type="pct"/>
            <w:tcBorders>
              <w:top w:val="single" w:sz="4" w:space="0" w:color="auto"/>
              <w:left w:val="nil"/>
              <w:bottom w:val="double" w:sz="4" w:space="0" w:color="auto"/>
              <w:right w:val="nil"/>
            </w:tcBorders>
            <w:vAlign w:val="bottom"/>
          </w:tcPr>
          <w:p w14:paraId="5AA640EB" w14:textId="77777777" w:rsidR="00765778" w:rsidRPr="00EB525E" w:rsidRDefault="00765778" w:rsidP="00765778">
            <w:pPr>
              <w:pStyle w:val="TableText"/>
              <w:tabs>
                <w:tab w:val="left" w:pos="2904"/>
              </w:tabs>
              <w:jc w:val="right"/>
              <w:rPr>
                <w:rFonts w:cs="Calibri"/>
              </w:rPr>
            </w:pPr>
          </w:p>
        </w:tc>
      </w:tr>
      <w:tr w:rsidR="008D4A5F" w:rsidRPr="00CF7E1B" w14:paraId="7A519250" w14:textId="77777777" w:rsidTr="00AF300B">
        <w:trPr>
          <w:trHeight w:val="119"/>
        </w:trPr>
        <w:tc>
          <w:tcPr>
            <w:tcW w:w="745" w:type="pct"/>
            <w:tcBorders>
              <w:top w:val="nil"/>
              <w:left w:val="single" w:sz="2" w:space="0" w:color="auto"/>
              <w:bottom w:val="nil"/>
              <w:right w:val="single" w:sz="2" w:space="0" w:color="auto"/>
            </w:tcBorders>
          </w:tcPr>
          <w:p w14:paraId="28DC6500" w14:textId="77777777" w:rsidR="008D4A5F" w:rsidRPr="00EB525E" w:rsidRDefault="008D4A5F" w:rsidP="008D4A5F">
            <w:pPr>
              <w:pStyle w:val="TableReference"/>
              <w:tabs>
                <w:tab w:val="left" w:pos="3306"/>
              </w:tabs>
              <w:spacing w:before="240" w:after="240"/>
              <w:rPr>
                <w:color w:val="7030A0"/>
                <w:sz w:val="14"/>
              </w:rPr>
            </w:pPr>
            <w:r w:rsidRPr="00EB525E">
              <w:rPr>
                <w:color w:val="7030A0"/>
              </w:rPr>
              <w:br w:type="page"/>
            </w:r>
            <w:r w:rsidRPr="00985A9F">
              <w:rPr>
                <w:rFonts w:cs="Calibri"/>
                <w:b/>
                <w:color w:val="7030A0"/>
                <w:sz w:val="22"/>
                <w:szCs w:val="22"/>
              </w:rPr>
              <w:t>Reference</w:t>
            </w:r>
          </w:p>
        </w:tc>
        <w:tc>
          <w:tcPr>
            <w:tcW w:w="4255" w:type="pct"/>
            <w:gridSpan w:val="3"/>
            <w:tcBorders>
              <w:top w:val="nil"/>
              <w:left w:val="single" w:sz="2" w:space="0" w:color="auto"/>
              <w:bottom w:val="nil"/>
              <w:right w:val="nil"/>
            </w:tcBorders>
            <w:vAlign w:val="bottom"/>
          </w:tcPr>
          <w:p w14:paraId="2A1B7483" w14:textId="77777777" w:rsidR="008D4A5F" w:rsidRPr="00EB525E" w:rsidRDefault="008D4A5F" w:rsidP="008D4A5F">
            <w:pPr>
              <w:spacing w:before="240" w:after="240"/>
              <w:ind w:left="170"/>
              <w:jc w:val="both"/>
              <w:rPr>
                <w:bCs/>
                <w:sz w:val="18"/>
                <w:szCs w:val="18"/>
              </w:rPr>
            </w:pPr>
            <w:r w:rsidRPr="004A181A">
              <w:rPr>
                <w:rFonts w:ascii="Arial" w:hAnsi="Arial"/>
                <w:b/>
                <w:bCs/>
                <w:caps/>
                <w:sz w:val="32"/>
                <w:szCs w:val="24"/>
              </w:rPr>
              <w:t>Note 7.  Investment and Interest Revenue – Continued</w:t>
            </w:r>
            <w:r>
              <w:t xml:space="preserve"> </w:t>
            </w:r>
          </w:p>
        </w:tc>
      </w:tr>
      <w:tr w:rsidR="008D4A5F" w:rsidRPr="00407912" w14:paraId="06D4B2CF" w14:textId="77777777" w:rsidTr="008D4A5F">
        <w:trPr>
          <w:cantSplit/>
        </w:trPr>
        <w:tc>
          <w:tcPr>
            <w:tcW w:w="745" w:type="pct"/>
            <w:tcBorders>
              <w:top w:val="nil"/>
              <w:left w:val="single" w:sz="2" w:space="0" w:color="auto"/>
              <w:bottom w:val="nil"/>
              <w:right w:val="single" w:sz="2" w:space="0" w:color="auto"/>
            </w:tcBorders>
          </w:tcPr>
          <w:p w14:paraId="11FE1A6C" w14:textId="77777777" w:rsidR="008D4A5F" w:rsidRPr="00EB525E" w:rsidRDefault="008D4A5F"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5C486651" w14:textId="77777777" w:rsidR="008D4A5F" w:rsidRPr="00EB525E" w:rsidRDefault="008D4A5F" w:rsidP="00765778">
            <w:pPr>
              <w:pStyle w:val="TableText"/>
              <w:tabs>
                <w:tab w:val="left" w:pos="3306"/>
              </w:tabs>
              <w:spacing w:before="0"/>
              <w:rPr>
                <w:rFonts w:cs="Calibri"/>
                <w:b/>
                <w:sz w:val="14"/>
                <w:szCs w:val="14"/>
              </w:rPr>
            </w:pPr>
          </w:p>
        </w:tc>
        <w:tc>
          <w:tcPr>
            <w:tcW w:w="594" w:type="pct"/>
            <w:tcBorders>
              <w:top w:val="nil"/>
              <w:left w:val="nil"/>
              <w:bottom w:val="nil"/>
              <w:right w:val="nil"/>
            </w:tcBorders>
            <w:vAlign w:val="bottom"/>
          </w:tcPr>
          <w:p w14:paraId="608A1D65" w14:textId="77777777" w:rsidR="008D4A5F" w:rsidRPr="00EB525E" w:rsidRDefault="008D4A5F" w:rsidP="00765778">
            <w:pPr>
              <w:pStyle w:val="TableText"/>
              <w:tabs>
                <w:tab w:val="left" w:pos="2904"/>
              </w:tabs>
              <w:spacing w:before="0"/>
              <w:jc w:val="right"/>
              <w:rPr>
                <w:rFonts w:cs="Calibri"/>
                <w:sz w:val="14"/>
                <w:szCs w:val="14"/>
              </w:rPr>
            </w:pPr>
          </w:p>
        </w:tc>
        <w:tc>
          <w:tcPr>
            <w:tcW w:w="717" w:type="pct"/>
            <w:tcBorders>
              <w:top w:val="nil"/>
              <w:left w:val="nil"/>
              <w:bottom w:val="nil"/>
              <w:right w:val="nil"/>
            </w:tcBorders>
            <w:vAlign w:val="bottom"/>
          </w:tcPr>
          <w:p w14:paraId="2D96A214" w14:textId="77777777" w:rsidR="008D4A5F" w:rsidRPr="00EB525E" w:rsidRDefault="008D4A5F" w:rsidP="00765778">
            <w:pPr>
              <w:pStyle w:val="TableText"/>
              <w:tabs>
                <w:tab w:val="left" w:pos="2904"/>
              </w:tabs>
              <w:spacing w:before="0"/>
              <w:jc w:val="right"/>
              <w:rPr>
                <w:rFonts w:cs="Calibri"/>
                <w:sz w:val="14"/>
                <w:szCs w:val="14"/>
              </w:rPr>
            </w:pPr>
          </w:p>
        </w:tc>
      </w:tr>
      <w:tr w:rsidR="00765778" w:rsidRPr="00407912" w14:paraId="797FAC5F" w14:textId="77777777" w:rsidTr="000477B1">
        <w:trPr>
          <w:cantSplit/>
        </w:trPr>
        <w:tc>
          <w:tcPr>
            <w:tcW w:w="745" w:type="pct"/>
            <w:tcBorders>
              <w:top w:val="nil"/>
              <w:left w:val="single" w:sz="2" w:space="0" w:color="auto"/>
              <w:bottom w:val="nil"/>
              <w:right w:val="single" w:sz="2" w:space="0" w:color="auto"/>
            </w:tcBorders>
          </w:tcPr>
          <w:p w14:paraId="19294DA8" w14:textId="77777777" w:rsidR="00765778" w:rsidRPr="00EB525E"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6094DFE0" w14:textId="2AB7F3DC" w:rsidR="00765778" w:rsidRPr="00EB525E" w:rsidRDefault="00765778" w:rsidP="00765778">
            <w:pPr>
              <w:pStyle w:val="TableText"/>
              <w:tabs>
                <w:tab w:val="left" w:pos="3306"/>
              </w:tabs>
              <w:spacing w:before="0"/>
              <w:rPr>
                <w:rFonts w:cs="Calibri"/>
                <w:b/>
              </w:rPr>
            </w:pPr>
            <w:r w:rsidRPr="00EB525E">
              <w:rPr>
                <w:rFonts w:cs="Calibri"/>
                <w:b/>
                <w:bCs/>
              </w:rPr>
              <w:t>Split of Investment and Interest Revenue</w:t>
            </w:r>
          </w:p>
        </w:tc>
        <w:tc>
          <w:tcPr>
            <w:tcW w:w="594" w:type="pct"/>
            <w:tcBorders>
              <w:top w:val="nil"/>
              <w:left w:val="nil"/>
              <w:bottom w:val="nil"/>
              <w:right w:val="nil"/>
            </w:tcBorders>
            <w:vAlign w:val="bottom"/>
          </w:tcPr>
          <w:p w14:paraId="4A5D76E8" w14:textId="77777777" w:rsidR="00765778" w:rsidRPr="00EB525E" w:rsidRDefault="00765778" w:rsidP="00765778">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7EA776A6" w14:textId="77777777" w:rsidR="00765778" w:rsidRPr="00EB525E" w:rsidRDefault="00765778" w:rsidP="00765778">
            <w:pPr>
              <w:pStyle w:val="TableText"/>
              <w:tabs>
                <w:tab w:val="left" w:pos="2904"/>
              </w:tabs>
              <w:spacing w:before="0"/>
              <w:jc w:val="right"/>
              <w:rPr>
                <w:rFonts w:cs="Calibri"/>
              </w:rPr>
            </w:pPr>
          </w:p>
        </w:tc>
      </w:tr>
      <w:tr w:rsidR="00765778" w:rsidRPr="00407912" w14:paraId="1A36AA79" w14:textId="77777777" w:rsidTr="000477B1">
        <w:trPr>
          <w:cantSplit/>
        </w:trPr>
        <w:tc>
          <w:tcPr>
            <w:tcW w:w="745" w:type="pct"/>
            <w:tcBorders>
              <w:top w:val="nil"/>
              <w:left w:val="single" w:sz="2" w:space="0" w:color="auto"/>
              <w:bottom w:val="nil"/>
              <w:right w:val="single" w:sz="2" w:space="0" w:color="auto"/>
            </w:tcBorders>
          </w:tcPr>
          <w:p w14:paraId="042573C5" w14:textId="77777777" w:rsidR="00765778" w:rsidRPr="00EB525E"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2BD6F6AD" w14:textId="1BCCB067" w:rsidR="00765778" w:rsidRPr="00EB525E" w:rsidRDefault="00765778" w:rsidP="00765778">
            <w:pPr>
              <w:pStyle w:val="TableText"/>
              <w:tabs>
                <w:tab w:val="left" w:pos="3306"/>
              </w:tabs>
              <w:spacing w:before="0"/>
              <w:rPr>
                <w:rFonts w:cs="Calibri"/>
                <w:bCs/>
              </w:rPr>
            </w:pPr>
            <w:r w:rsidRPr="00EB525E">
              <w:rPr>
                <w:rFonts w:cs="Calibri"/>
                <w:bCs/>
              </w:rPr>
              <w:t>Investment Revenue</w:t>
            </w:r>
          </w:p>
        </w:tc>
        <w:tc>
          <w:tcPr>
            <w:tcW w:w="594" w:type="pct"/>
            <w:tcBorders>
              <w:top w:val="nil"/>
              <w:left w:val="nil"/>
              <w:bottom w:val="nil"/>
              <w:right w:val="nil"/>
            </w:tcBorders>
            <w:vAlign w:val="bottom"/>
          </w:tcPr>
          <w:p w14:paraId="70C227D5" w14:textId="77777777" w:rsidR="00765778" w:rsidRPr="00EB525E" w:rsidRDefault="00765778" w:rsidP="00765778">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637F002D" w14:textId="77777777" w:rsidR="00765778" w:rsidRPr="00EB525E" w:rsidRDefault="00765778" w:rsidP="00765778">
            <w:pPr>
              <w:pStyle w:val="TableText"/>
              <w:tabs>
                <w:tab w:val="left" w:pos="2904"/>
              </w:tabs>
              <w:spacing w:before="0"/>
              <w:jc w:val="right"/>
              <w:rPr>
                <w:rFonts w:cs="Calibri"/>
              </w:rPr>
            </w:pPr>
          </w:p>
        </w:tc>
      </w:tr>
      <w:tr w:rsidR="00765778" w:rsidRPr="00407912" w14:paraId="6161FEDF" w14:textId="77777777" w:rsidTr="000477B1">
        <w:trPr>
          <w:cantSplit/>
        </w:trPr>
        <w:tc>
          <w:tcPr>
            <w:tcW w:w="745" w:type="pct"/>
            <w:tcBorders>
              <w:top w:val="nil"/>
              <w:left w:val="single" w:sz="2" w:space="0" w:color="auto"/>
              <w:bottom w:val="nil"/>
              <w:right w:val="single" w:sz="2" w:space="0" w:color="auto"/>
            </w:tcBorders>
          </w:tcPr>
          <w:p w14:paraId="6932D4BA" w14:textId="27E4DD0D" w:rsidR="00765778" w:rsidRPr="008A6781" w:rsidRDefault="005A6CCA" w:rsidP="00765778">
            <w:pPr>
              <w:pStyle w:val="TableReference"/>
              <w:tabs>
                <w:tab w:val="left" w:pos="3306"/>
              </w:tabs>
              <w:rPr>
                <w:rFonts w:cs="Calibri"/>
                <w:color w:val="7030A0"/>
                <w:sz w:val="14"/>
              </w:rPr>
            </w:pPr>
            <w:r w:rsidRPr="008A6781">
              <w:rPr>
                <w:rFonts w:cs="Calibri"/>
                <w:color w:val="FF0000"/>
                <w:sz w:val="14"/>
              </w:rPr>
              <w:t>AASB 7.20(b)</w:t>
            </w:r>
          </w:p>
        </w:tc>
        <w:tc>
          <w:tcPr>
            <w:tcW w:w="2944" w:type="pct"/>
            <w:tcBorders>
              <w:top w:val="nil"/>
              <w:left w:val="single" w:sz="2" w:space="0" w:color="auto"/>
              <w:bottom w:val="nil"/>
              <w:right w:val="nil"/>
            </w:tcBorders>
          </w:tcPr>
          <w:p w14:paraId="5E17E3EC" w14:textId="3DF02AA3" w:rsidR="00765778" w:rsidRPr="008A6781" w:rsidRDefault="00765778" w:rsidP="00765778">
            <w:pPr>
              <w:pStyle w:val="TableText"/>
              <w:tabs>
                <w:tab w:val="left" w:pos="3306"/>
              </w:tabs>
              <w:spacing w:before="0"/>
              <w:rPr>
                <w:rFonts w:cs="Calibri"/>
                <w:bCs/>
              </w:rPr>
            </w:pPr>
            <w:r w:rsidRPr="008A6781">
              <w:rPr>
                <w:rFonts w:cs="Calibri"/>
                <w:bCs/>
              </w:rPr>
              <w:t>Interest Revenue</w:t>
            </w:r>
          </w:p>
        </w:tc>
        <w:tc>
          <w:tcPr>
            <w:tcW w:w="594" w:type="pct"/>
            <w:tcBorders>
              <w:top w:val="nil"/>
              <w:left w:val="nil"/>
              <w:bottom w:val="single" w:sz="2" w:space="0" w:color="auto"/>
              <w:right w:val="nil"/>
            </w:tcBorders>
            <w:vAlign w:val="bottom"/>
          </w:tcPr>
          <w:p w14:paraId="558FB458" w14:textId="77777777" w:rsidR="00765778" w:rsidRPr="008A6781" w:rsidRDefault="00765778" w:rsidP="00765778">
            <w:pPr>
              <w:pStyle w:val="TableText"/>
              <w:tabs>
                <w:tab w:val="left" w:pos="2904"/>
              </w:tabs>
              <w:spacing w:before="0"/>
              <w:jc w:val="right"/>
              <w:rPr>
                <w:rFonts w:cs="Calibri"/>
              </w:rPr>
            </w:pPr>
          </w:p>
        </w:tc>
        <w:tc>
          <w:tcPr>
            <w:tcW w:w="717" w:type="pct"/>
            <w:tcBorders>
              <w:top w:val="nil"/>
              <w:left w:val="nil"/>
              <w:bottom w:val="single" w:sz="2" w:space="0" w:color="auto"/>
              <w:right w:val="nil"/>
            </w:tcBorders>
            <w:vAlign w:val="bottom"/>
          </w:tcPr>
          <w:p w14:paraId="0506651F" w14:textId="77777777" w:rsidR="00765778" w:rsidRPr="008A6781" w:rsidRDefault="00765778" w:rsidP="00765778">
            <w:pPr>
              <w:pStyle w:val="TableText"/>
              <w:tabs>
                <w:tab w:val="left" w:pos="2904"/>
              </w:tabs>
              <w:spacing w:before="0"/>
              <w:jc w:val="right"/>
              <w:rPr>
                <w:rFonts w:cs="Calibri"/>
              </w:rPr>
            </w:pPr>
          </w:p>
        </w:tc>
      </w:tr>
      <w:tr w:rsidR="00765778" w:rsidRPr="00407912" w14:paraId="774AA884" w14:textId="77777777" w:rsidTr="000477B1">
        <w:trPr>
          <w:cantSplit/>
        </w:trPr>
        <w:tc>
          <w:tcPr>
            <w:tcW w:w="745" w:type="pct"/>
            <w:tcBorders>
              <w:top w:val="nil"/>
              <w:left w:val="single" w:sz="2" w:space="0" w:color="auto"/>
              <w:bottom w:val="nil"/>
              <w:right w:val="single" w:sz="2" w:space="0" w:color="auto"/>
            </w:tcBorders>
          </w:tcPr>
          <w:p w14:paraId="5BC1DE9D" w14:textId="77777777" w:rsidR="00765778" w:rsidRPr="008A6781"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37860AC5" w14:textId="538D2BF6" w:rsidR="00765778" w:rsidRPr="008A6781" w:rsidRDefault="00765778" w:rsidP="00765778">
            <w:pPr>
              <w:pStyle w:val="TableText"/>
              <w:tabs>
                <w:tab w:val="left" w:pos="3306"/>
              </w:tabs>
              <w:spacing w:before="0"/>
              <w:rPr>
                <w:rFonts w:cs="Calibri"/>
                <w:b/>
              </w:rPr>
            </w:pPr>
            <w:r w:rsidRPr="008A6781">
              <w:rPr>
                <w:rFonts w:cs="Calibri"/>
                <w:b/>
              </w:rPr>
              <w:t>Total Investment and Interest Revenue</w:t>
            </w:r>
          </w:p>
        </w:tc>
        <w:tc>
          <w:tcPr>
            <w:tcW w:w="594" w:type="pct"/>
            <w:tcBorders>
              <w:top w:val="single" w:sz="2" w:space="0" w:color="auto"/>
              <w:left w:val="nil"/>
              <w:bottom w:val="double" w:sz="4" w:space="0" w:color="auto"/>
              <w:right w:val="nil"/>
            </w:tcBorders>
            <w:vAlign w:val="bottom"/>
          </w:tcPr>
          <w:p w14:paraId="2C580A53" w14:textId="77777777" w:rsidR="00765778" w:rsidRPr="008A6781" w:rsidRDefault="00765778" w:rsidP="00765778">
            <w:pPr>
              <w:pStyle w:val="TableText"/>
              <w:tabs>
                <w:tab w:val="left" w:pos="2904"/>
              </w:tabs>
              <w:spacing w:before="0"/>
              <w:jc w:val="right"/>
              <w:rPr>
                <w:rFonts w:cs="Calibri"/>
              </w:rPr>
            </w:pPr>
          </w:p>
        </w:tc>
        <w:tc>
          <w:tcPr>
            <w:tcW w:w="717" w:type="pct"/>
            <w:tcBorders>
              <w:top w:val="single" w:sz="2" w:space="0" w:color="auto"/>
              <w:left w:val="nil"/>
              <w:bottom w:val="double" w:sz="4" w:space="0" w:color="auto"/>
              <w:right w:val="nil"/>
            </w:tcBorders>
            <w:vAlign w:val="bottom"/>
          </w:tcPr>
          <w:p w14:paraId="4890D510" w14:textId="77777777" w:rsidR="00765778" w:rsidRPr="008A6781" w:rsidRDefault="00765778" w:rsidP="00765778">
            <w:pPr>
              <w:pStyle w:val="TableText"/>
              <w:tabs>
                <w:tab w:val="left" w:pos="2904"/>
              </w:tabs>
              <w:spacing w:before="0"/>
              <w:jc w:val="right"/>
              <w:rPr>
                <w:rFonts w:cs="Calibri"/>
              </w:rPr>
            </w:pPr>
          </w:p>
        </w:tc>
      </w:tr>
      <w:tr w:rsidR="00765778" w:rsidRPr="00407912" w14:paraId="06CB088E" w14:textId="77777777" w:rsidTr="000477B1">
        <w:trPr>
          <w:cantSplit/>
        </w:trPr>
        <w:tc>
          <w:tcPr>
            <w:tcW w:w="745" w:type="pct"/>
            <w:tcBorders>
              <w:top w:val="nil"/>
              <w:left w:val="single" w:sz="2" w:space="0" w:color="auto"/>
              <w:bottom w:val="nil"/>
              <w:right w:val="single" w:sz="2" w:space="0" w:color="auto"/>
            </w:tcBorders>
          </w:tcPr>
          <w:p w14:paraId="03C8B43F" w14:textId="77777777" w:rsidR="00765778" w:rsidRPr="008A6781"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45B78690" w14:textId="77777777" w:rsidR="00765778" w:rsidRPr="008A6781" w:rsidRDefault="00765778" w:rsidP="00765778">
            <w:pPr>
              <w:pStyle w:val="TableText"/>
              <w:tabs>
                <w:tab w:val="left" w:pos="3306"/>
              </w:tabs>
              <w:spacing w:before="0"/>
              <w:rPr>
                <w:rFonts w:cs="Calibri"/>
                <w:b/>
              </w:rPr>
            </w:pPr>
          </w:p>
        </w:tc>
        <w:tc>
          <w:tcPr>
            <w:tcW w:w="594" w:type="pct"/>
            <w:tcBorders>
              <w:top w:val="double" w:sz="4" w:space="0" w:color="auto"/>
              <w:left w:val="nil"/>
              <w:bottom w:val="nil"/>
              <w:right w:val="nil"/>
            </w:tcBorders>
            <w:vAlign w:val="bottom"/>
          </w:tcPr>
          <w:p w14:paraId="2CB22C90" w14:textId="77777777" w:rsidR="00765778" w:rsidRPr="008A6781" w:rsidRDefault="00765778" w:rsidP="00765778">
            <w:pPr>
              <w:pStyle w:val="TableText"/>
              <w:tabs>
                <w:tab w:val="left" w:pos="2904"/>
              </w:tabs>
              <w:spacing w:before="0"/>
              <w:jc w:val="right"/>
              <w:rPr>
                <w:rFonts w:cs="Calibri"/>
              </w:rPr>
            </w:pPr>
          </w:p>
        </w:tc>
        <w:tc>
          <w:tcPr>
            <w:tcW w:w="717" w:type="pct"/>
            <w:tcBorders>
              <w:top w:val="double" w:sz="4" w:space="0" w:color="auto"/>
              <w:left w:val="nil"/>
              <w:bottom w:val="nil"/>
              <w:right w:val="nil"/>
            </w:tcBorders>
            <w:vAlign w:val="bottom"/>
          </w:tcPr>
          <w:p w14:paraId="4A645984" w14:textId="77777777" w:rsidR="00765778" w:rsidRPr="008A6781" w:rsidRDefault="00765778" w:rsidP="00765778">
            <w:pPr>
              <w:pStyle w:val="TableText"/>
              <w:tabs>
                <w:tab w:val="left" w:pos="2904"/>
              </w:tabs>
              <w:spacing w:before="0"/>
              <w:jc w:val="right"/>
              <w:rPr>
                <w:rFonts w:cs="Calibri"/>
              </w:rPr>
            </w:pPr>
          </w:p>
        </w:tc>
      </w:tr>
      <w:tr w:rsidR="00765778" w:rsidRPr="00CF7E1B" w14:paraId="55369814" w14:textId="77777777" w:rsidTr="000477B1">
        <w:trPr>
          <w:cantSplit/>
        </w:trPr>
        <w:tc>
          <w:tcPr>
            <w:tcW w:w="745" w:type="pct"/>
            <w:tcBorders>
              <w:top w:val="nil"/>
              <w:left w:val="single" w:sz="2" w:space="0" w:color="auto"/>
              <w:bottom w:val="nil"/>
              <w:right w:val="single" w:sz="2" w:space="0" w:color="auto"/>
            </w:tcBorders>
          </w:tcPr>
          <w:p w14:paraId="233974AD" w14:textId="1169FE1D" w:rsidR="00765778" w:rsidRPr="008A6781" w:rsidRDefault="00765778" w:rsidP="00765778">
            <w:pPr>
              <w:pStyle w:val="TableReference"/>
              <w:tabs>
                <w:tab w:val="left" w:pos="3306"/>
              </w:tabs>
              <w:spacing w:before="60"/>
              <w:rPr>
                <w:rFonts w:cs="Calibri"/>
                <w:strike/>
                <w:color w:val="FF0000"/>
                <w:sz w:val="14"/>
              </w:rPr>
            </w:pPr>
            <w:r w:rsidRPr="008A6781">
              <w:rPr>
                <w:rFonts w:cs="Calibri"/>
                <w:strike/>
                <w:color w:val="FF0000"/>
                <w:sz w:val="14"/>
              </w:rPr>
              <w:t>AASB 7.20(b)</w:t>
            </w:r>
          </w:p>
        </w:tc>
        <w:tc>
          <w:tcPr>
            <w:tcW w:w="2944" w:type="pct"/>
            <w:tcBorders>
              <w:top w:val="nil"/>
              <w:left w:val="single" w:sz="2" w:space="0" w:color="auto"/>
              <w:bottom w:val="nil"/>
              <w:right w:val="nil"/>
            </w:tcBorders>
            <w:vAlign w:val="bottom"/>
          </w:tcPr>
          <w:p w14:paraId="2C93E804" w14:textId="41DFE477" w:rsidR="00765778" w:rsidRPr="008A6781" w:rsidRDefault="00765778" w:rsidP="00765778">
            <w:pPr>
              <w:pStyle w:val="TableText"/>
              <w:tabs>
                <w:tab w:val="left" w:pos="2904"/>
              </w:tabs>
              <w:spacing w:after="120"/>
              <w:rPr>
                <w:rFonts w:cs="Calibri"/>
                <w:bCs/>
                <w:strike/>
                <w:color w:val="FF0000"/>
              </w:rPr>
            </w:pPr>
            <w:r w:rsidRPr="008A6781">
              <w:rPr>
                <w:rFonts w:cs="Calibri"/>
                <w:bCs/>
                <w:strike/>
                <w:color w:val="FF0000"/>
              </w:rPr>
              <w:t>Total interest revenue from financial assets at amortised cost</w:t>
            </w:r>
          </w:p>
        </w:tc>
        <w:tc>
          <w:tcPr>
            <w:tcW w:w="594" w:type="pct"/>
            <w:tcBorders>
              <w:top w:val="nil"/>
              <w:left w:val="nil"/>
              <w:bottom w:val="nil"/>
              <w:right w:val="nil"/>
            </w:tcBorders>
            <w:vAlign w:val="bottom"/>
          </w:tcPr>
          <w:p w14:paraId="4138B4B3" w14:textId="77777777" w:rsidR="00765778" w:rsidRPr="008A6781" w:rsidRDefault="00765778" w:rsidP="00765778">
            <w:pPr>
              <w:pStyle w:val="TableText"/>
              <w:tabs>
                <w:tab w:val="left" w:pos="2904"/>
              </w:tabs>
              <w:spacing w:after="120"/>
              <w:rPr>
                <w:rFonts w:cs="Calibri"/>
                <w:bCs/>
              </w:rPr>
            </w:pPr>
          </w:p>
        </w:tc>
        <w:tc>
          <w:tcPr>
            <w:tcW w:w="717" w:type="pct"/>
            <w:tcBorders>
              <w:top w:val="nil"/>
              <w:left w:val="nil"/>
              <w:bottom w:val="nil"/>
              <w:right w:val="nil"/>
            </w:tcBorders>
            <w:vAlign w:val="bottom"/>
          </w:tcPr>
          <w:p w14:paraId="6E3DD58E" w14:textId="4C7B2DAB" w:rsidR="00765778" w:rsidRPr="008A6781" w:rsidRDefault="00765778" w:rsidP="00765778">
            <w:pPr>
              <w:pStyle w:val="TableText"/>
              <w:tabs>
                <w:tab w:val="left" w:pos="2904"/>
              </w:tabs>
              <w:spacing w:after="120"/>
              <w:rPr>
                <w:rFonts w:cs="Calibri"/>
                <w:bCs/>
              </w:rPr>
            </w:pPr>
          </w:p>
        </w:tc>
      </w:tr>
      <w:tr w:rsidR="00765778" w:rsidRPr="00CF7E1B" w14:paraId="4BDBA295" w14:textId="77777777" w:rsidTr="000477B1">
        <w:trPr>
          <w:cantSplit/>
        </w:trPr>
        <w:tc>
          <w:tcPr>
            <w:tcW w:w="745" w:type="pct"/>
            <w:tcBorders>
              <w:top w:val="nil"/>
              <w:left w:val="single" w:sz="2" w:space="0" w:color="auto"/>
              <w:bottom w:val="nil"/>
              <w:right w:val="single" w:sz="2" w:space="0" w:color="auto"/>
            </w:tcBorders>
          </w:tcPr>
          <w:p w14:paraId="6B3A327F" w14:textId="6B6CBCD3"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16.90(b)</w:t>
            </w:r>
          </w:p>
        </w:tc>
        <w:tc>
          <w:tcPr>
            <w:tcW w:w="2944" w:type="pct"/>
            <w:tcBorders>
              <w:top w:val="nil"/>
              <w:left w:val="single" w:sz="2" w:space="0" w:color="auto"/>
              <w:bottom w:val="nil"/>
              <w:right w:val="nil"/>
            </w:tcBorders>
            <w:vAlign w:val="bottom"/>
          </w:tcPr>
          <w:p w14:paraId="32B01498" w14:textId="63C12DE2" w:rsidR="00765778" w:rsidRPr="008A6781" w:rsidRDefault="00765778" w:rsidP="00765778">
            <w:pPr>
              <w:pStyle w:val="TableText"/>
              <w:tabs>
                <w:tab w:val="left" w:pos="2904"/>
              </w:tabs>
              <w:spacing w:after="120"/>
              <w:rPr>
                <w:rFonts w:cs="Calibri"/>
                <w:bCs/>
              </w:rPr>
            </w:pPr>
            <w:r w:rsidRPr="008A6781">
              <w:rPr>
                <w:rFonts w:cstheme="minorHAnsi"/>
              </w:rPr>
              <w:t>Operating Lease income relating to variable lease payments not dependent on an index or a rate</w:t>
            </w:r>
          </w:p>
        </w:tc>
        <w:tc>
          <w:tcPr>
            <w:tcW w:w="594" w:type="pct"/>
            <w:tcBorders>
              <w:top w:val="nil"/>
              <w:left w:val="nil"/>
              <w:bottom w:val="nil"/>
              <w:right w:val="nil"/>
            </w:tcBorders>
            <w:vAlign w:val="bottom"/>
          </w:tcPr>
          <w:p w14:paraId="2812D8C5" w14:textId="77777777" w:rsidR="00765778" w:rsidRPr="008A6781" w:rsidRDefault="00765778" w:rsidP="00765778">
            <w:pPr>
              <w:pStyle w:val="TableText"/>
              <w:tabs>
                <w:tab w:val="left" w:pos="2904"/>
              </w:tabs>
              <w:spacing w:after="120"/>
              <w:rPr>
                <w:rFonts w:cs="Calibri"/>
                <w:bCs/>
              </w:rPr>
            </w:pPr>
          </w:p>
        </w:tc>
        <w:tc>
          <w:tcPr>
            <w:tcW w:w="717" w:type="pct"/>
            <w:tcBorders>
              <w:top w:val="nil"/>
              <w:left w:val="nil"/>
              <w:bottom w:val="nil"/>
              <w:right w:val="nil"/>
            </w:tcBorders>
            <w:vAlign w:val="bottom"/>
          </w:tcPr>
          <w:p w14:paraId="7612D754" w14:textId="77777777" w:rsidR="00765778" w:rsidRPr="008A6781" w:rsidRDefault="00765778" w:rsidP="00765778">
            <w:pPr>
              <w:pStyle w:val="TableText"/>
              <w:tabs>
                <w:tab w:val="left" w:pos="2904"/>
              </w:tabs>
              <w:spacing w:after="120"/>
              <w:rPr>
                <w:rFonts w:cs="Calibri"/>
                <w:bCs/>
              </w:rPr>
            </w:pPr>
          </w:p>
        </w:tc>
      </w:tr>
      <w:tr w:rsidR="00765778" w:rsidRPr="00CF7E1B" w14:paraId="5F22C268" w14:textId="77777777" w:rsidTr="000477B1">
        <w:trPr>
          <w:cantSplit/>
        </w:trPr>
        <w:tc>
          <w:tcPr>
            <w:tcW w:w="745" w:type="pct"/>
            <w:tcBorders>
              <w:top w:val="nil"/>
              <w:left w:val="single" w:sz="2" w:space="0" w:color="auto"/>
              <w:bottom w:val="nil"/>
              <w:right w:val="single" w:sz="2" w:space="0" w:color="auto"/>
            </w:tcBorders>
          </w:tcPr>
          <w:p w14:paraId="502A0039" w14:textId="77777777" w:rsidR="00765778" w:rsidRPr="008A6781" w:rsidRDefault="00765778" w:rsidP="00765778">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vAlign w:val="bottom"/>
          </w:tcPr>
          <w:p w14:paraId="1B619EF9" w14:textId="26330871" w:rsidR="00765778" w:rsidRPr="008A6781" w:rsidRDefault="00765778" w:rsidP="00765778">
            <w:pPr>
              <w:pStyle w:val="TableText"/>
              <w:numPr>
                <w:ilvl w:val="2"/>
                <w:numId w:val="22"/>
              </w:numPr>
              <w:tabs>
                <w:tab w:val="clear" w:pos="2082"/>
                <w:tab w:val="num" w:pos="1738"/>
                <w:tab w:val="left" w:pos="2904"/>
              </w:tabs>
              <w:ind w:left="462"/>
              <w:jc w:val="both"/>
              <w:rPr>
                <w:rFonts w:cs="Calibri"/>
                <w:bCs/>
              </w:rPr>
            </w:pPr>
            <w:r w:rsidRPr="001F52A0">
              <w:rPr>
                <w:rFonts w:cs="Calibri"/>
                <w:bCs/>
                <w:strike/>
                <w:color w:val="FF0000"/>
              </w:rPr>
              <w:t>The increase in interest</w:t>
            </w:r>
            <w:r w:rsidRPr="001F52A0">
              <w:rPr>
                <w:rFonts w:cs="Calibri"/>
                <w:strike/>
                <w:color w:val="FF0000"/>
              </w:rPr>
              <w:t xml:space="preserve"> </w:t>
            </w:r>
            <w:r w:rsidRPr="001F52A0">
              <w:rPr>
                <w:rFonts w:cs="Calibri"/>
                <w:bCs/>
                <w:strike/>
                <w:color w:val="FF0000"/>
              </w:rPr>
              <w:t>received from loan receivable of $xxx reflects the issuing of more loan</w:t>
            </w:r>
            <w:r w:rsidR="00112A11" w:rsidRPr="001F52A0">
              <w:rPr>
                <w:rFonts w:cs="Calibri"/>
                <w:bCs/>
                <w:strike/>
                <w:color w:val="FF0000"/>
              </w:rPr>
              <w:t>s</w:t>
            </w:r>
            <w:r w:rsidR="001F52A0" w:rsidRPr="001F52A0">
              <w:rPr>
                <w:rFonts w:cs="Calibri"/>
                <w:bCs/>
                <w:strike/>
                <w:color w:val="FF0000"/>
              </w:rPr>
              <w:t xml:space="preserve"> </w:t>
            </w:r>
            <w:r w:rsidRPr="001F52A0">
              <w:rPr>
                <w:rFonts w:cs="Calibri"/>
                <w:bCs/>
                <w:strike/>
                <w:color w:val="FF0000"/>
              </w:rPr>
              <w:t xml:space="preserve">under the </w:t>
            </w:r>
            <w:r w:rsidRPr="001F52A0">
              <w:rPr>
                <w:strike/>
                <w:color w:val="FF0000"/>
              </w:rPr>
              <w:t>‘Example Home Loan Scheme’</w:t>
            </w:r>
            <w:r w:rsidRPr="001F52A0">
              <w:rPr>
                <w:rFonts w:cs="Calibri"/>
                <w:bCs/>
                <w:strike/>
                <w:color w:val="FF0000"/>
              </w:rPr>
              <w:t xml:space="preserve"> due to an increased demand for the scheme throughout the reporting period</w:t>
            </w:r>
            <w:r w:rsidRPr="008A6781">
              <w:rPr>
                <w:rFonts w:cs="Calibri"/>
                <w:bCs/>
              </w:rPr>
              <w:t>.</w:t>
            </w:r>
          </w:p>
          <w:p w14:paraId="746844C2" w14:textId="23AC1300" w:rsidR="00765778" w:rsidRPr="008A6781" w:rsidRDefault="00765778" w:rsidP="00765778">
            <w:pPr>
              <w:rPr>
                <w:sz w:val="20"/>
                <w:szCs w:val="20"/>
              </w:rPr>
            </w:pPr>
          </w:p>
        </w:tc>
      </w:tr>
      <w:tr w:rsidR="00765778" w:rsidRPr="00CF7E1B" w14:paraId="0E6BFB2F" w14:textId="77777777" w:rsidTr="000477B1">
        <w:trPr>
          <w:cantSplit/>
          <w:trHeight w:val="566"/>
        </w:trPr>
        <w:tc>
          <w:tcPr>
            <w:tcW w:w="745" w:type="pct"/>
            <w:tcBorders>
              <w:top w:val="nil"/>
              <w:left w:val="single" w:sz="2" w:space="0" w:color="auto"/>
              <w:bottom w:val="nil"/>
              <w:right w:val="single" w:sz="2" w:space="0" w:color="auto"/>
            </w:tcBorders>
          </w:tcPr>
          <w:p w14:paraId="2960CE13" w14:textId="00A49F4C" w:rsidR="00765778" w:rsidRPr="008A6781" w:rsidRDefault="00765778" w:rsidP="00765778">
            <w:pPr>
              <w:pStyle w:val="TableReference"/>
              <w:tabs>
                <w:tab w:val="left" w:pos="3306"/>
              </w:tabs>
              <w:spacing w:before="240" w:after="240"/>
              <w:rPr>
                <w:strike/>
                <w:color w:val="7030A0"/>
                <w:sz w:val="20"/>
                <w:szCs w:val="20"/>
              </w:rPr>
            </w:pPr>
          </w:p>
        </w:tc>
        <w:tc>
          <w:tcPr>
            <w:tcW w:w="4255" w:type="pct"/>
            <w:gridSpan w:val="3"/>
            <w:tcBorders>
              <w:top w:val="nil"/>
              <w:left w:val="single" w:sz="2" w:space="0" w:color="auto"/>
              <w:bottom w:val="nil"/>
              <w:right w:val="nil"/>
            </w:tcBorders>
            <w:shd w:val="clear" w:color="auto" w:fill="7030A0"/>
          </w:tcPr>
          <w:p w14:paraId="5AEE98E2" w14:textId="1B4E01BC" w:rsidR="00765778" w:rsidRPr="008A6781" w:rsidRDefault="00765778" w:rsidP="00765778">
            <w:pPr>
              <w:pStyle w:val="TableText"/>
              <w:tabs>
                <w:tab w:val="left" w:pos="2904"/>
              </w:tabs>
              <w:spacing w:before="240" w:after="240"/>
              <w:rPr>
                <w:rFonts w:cs="Calibri"/>
                <w:b/>
                <w:bCs/>
                <w:color w:val="FFFFFF" w:themeColor="background1"/>
                <w:sz w:val="28"/>
                <w:szCs w:val="28"/>
              </w:rPr>
            </w:pPr>
            <w:r w:rsidRPr="008A6781">
              <w:rPr>
                <w:rFonts w:cs="Calibri"/>
                <w:b/>
                <w:bCs/>
                <w:color w:val="FFFFFF" w:themeColor="background1"/>
                <w:sz w:val="28"/>
                <w:szCs w:val="28"/>
              </w:rPr>
              <w:t>Commentary – Note 7: Investment and Interest Revenue</w:t>
            </w:r>
          </w:p>
        </w:tc>
      </w:tr>
      <w:tr w:rsidR="00765778" w:rsidRPr="00CF7E1B" w14:paraId="02BFBD22" w14:textId="77777777" w:rsidTr="000477B1">
        <w:trPr>
          <w:cantSplit/>
        </w:trPr>
        <w:tc>
          <w:tcPr>
            <w:tcW w:w="745" w:type="pct"/>
            <w:tcBorders>
              <w:top w:val="nil"/>
              <w:left w:val="single" w:sz="2" w:space="0" w:color="auto"/>
              <w:bottom w:val="nil"/>
              <w:right w:val="single" w:sz="2" w:space="0" w:color="auto"/>
            </w:tcBorders>
          </w:tcPr>
          <w:p w14:paraId="254D6E8D" w14:textId="77777777" w:rsidR="00765778" w:rsidRPr="008A6781" w:rsidRDefault="00765778" w:rsidP="00765778">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2696D03F" w14:textId="62F48567" w:rsidR="00765778" w:rsidRPr="008A6781" w:rsidRDefault="00765778" w:rsidP="00765778">
            <w:pPr>
              <w:spacing w:after="40"/>
              <w:jc w:val="both"/>
              <w:rPr>
                <w:b/>
                <w:bCs/>
                <w:strike/>
                <w:color w:val="FFFFFF" w:themeColor="background1"/>
                <w:sz w:val="20"/>
                <w:szCs w:val="20"/>
              </w:rPr>
            </w:pPr>
            <w:r w:rsidRPr="008A6781">
              <w:rPr>
                <w:b/>
                <w:bCs/>
                <w:color w:val="FFFFFF" w:themeColor="background1"/>
                <w:sz w:val="20"/>
                <w:szCs w:val="20"/>
              </w:rPr>
              <w:t>Whole-of-Government Banking Arrangements</w:t>
            </w:r>
          </w:p>
        </w:tc>
      </w:tr>
      <w:tr w:rsidR="00765778" w:rsidRPr="00CF7E1B" w14:paraId="4F039A9C" w14:textId="77777777" w:rsidTr="000477B1">
        <w:trPr>
          <w:cantSplit/>
        </w:trPr>
        <w:tc>
          <w:tcPr>
            <w:tcW w:w="745" w:type="pct"/>
            <w:tcBorders>
              <w:top w:val="nil"/>
              <w:left w:val="single" w:sz="2" w:space="0" w:color="auto"/>
              <w:bottom w:val="nil"/>
              <w:right w:val="single" w:sz="2" w:space="0" w:color="auto"/>
            </w:tcBorders>
          </w:tcPr>
          <w:p w14:paraId="0ED33CCE" w14:textId="31E4EEDF"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9.5.4.1</w:t>
            </w:r>
          </w:p>
        </w:tc>
        <w:tc>
          <w:tcPr>
            <w:tcW w:w="4255" w:type="pct"/>
            <w:gridSpan w:val="3"/>
            <w:tcBorders>
              <w:top w:val="nil"/>
              <w:left w:val="single" w:sz="2" w:space="0" w:color="auto"/>
              <w:bottom w:val="nil"/>
              <w:right w:val="nil"/>
            </w:tcBorders>
            <w:shd w:val="clear" w:color="auto" w:fill="7030A0"/>
            <w:vAlign w:val="bottom"/>
          </w:tcPr>
          <w:p w14:paraId="58D06D72" w14:textId="626B04D6" w:rsidR="00765778" w:rsidRPr="008A6781" w:rsidRDefault="00765778" w:rsidP="00765778">
            <w:pPr>
              <w:spacing w:after="120"/>
              <w:jc w:val="both"/>
              <w:rPr>
                <w:strike/>
                <w:color w:val="FFFFFF" w:themeColor="background1"/>
                <w:sz w:val="18"/>
                <w:szCs w:val="18"/>
              </w:rPr>
            </w:pPr>
            <w:r w:rsidRPr="008A6781">
              <w:rPr>
                <w:color w:val="FFFFFF" w:themeColor="background1"/>
                <w:sz w:val="18"/>
                <w:szCs w:val="18"/>
              </w:rPr>
              <w:t xml:space="preserve">Agencies can have either set-off or non set-off bank accounts through the Territory Banking Account with Westpac as part of the Whole-of-Government Banking Arrangement. Agencies that have set-off bank accounts will not earn interest on the funds in those accounts. However, agencies that have set-off bank accounts will earn interest on the funds in those accounts which should be recorded in this note.  Where this is the case agencies should measure interest revenue using the effective interest method and should disclose this fact under the ‘Description and Material Accounting Policies relating to Investment and Interest Revenue’ heading in the Investment </w:t>
            </w:r>
            <w:r w:rsidRPr="008A6781">
              <w:rPr>
                <w:color w:val="FF0000"/>
                <w:sz w:val="18"/>
                <w:szCs w:val="18"/>
              </w:rPr>
              <w:t xml:space="preserve">and Interest </w:t>
            </w:r>
            <w:r w:rsidRPr="008A6781">
              <w:rPr>
                <w:color w:val="FFFFFF" w:themeColor="background1"/>
                <w:sz w:val="18"/>
                <w:szCs w:val="18"/>
              </w:rPr>
              <w:t>Revenue Note.</w:t>
            </w:r>
          </w:p>
        </w:tc>
      </w:tr>
      <w:tr w:rsidR="005A6CCA" w:rsidRPr="00CF7E1B" w14:paraId="11C6A0AC" w14:textId="77777777" w:rsidTr="000477B1">
        <w:trPr>
          <w:cantSplit/>
        </w:trPr>
        <w:tc>
          <w:tcPr>
            <w:tcW w:w="745" w:type="pct"/>
            <w:tcBorders>
              <w:top w:val="nil"/>
              <w:left w:val="single" w:sz="2" w:space="0" w:color="auto"/>
              <w:bottom w:val="nil"/>
              <w:right w:val="single" w:sz="2" w:space="0" w:color="auto"/>
            </w:tcBorders>
          </w:tcPr>
          <w:p w14:paraId="7D2AD876" w14:textId="77777777" w:rsidR="005A6CCA" w:rsidRPr="008A6781" w:rsidRDefault="005A6CCA" w:rsidP="005A6CCA">
            <w:pPr>
              <w:pStyle w:val="TableReference"/>
              <w:tabs>
                <w:tab w:val="left" w:pos="3306"/>
              </w:tabs>
              <w:spacing w:before="60"/>
              <w:jc w:val="both"/>
              <w:rPr>
                <w:rFonts w:cs="Calibri"/>
                <w:color w:val="FF0000"/>
                <w:sz w:val="14"/>
              </w:rPr>
            </w:pPr>
          </w:p>
        </w:tc>
        <w:tc>
          <w:tcPr>
            <w:tcW w:w="4255" w:type="pct"/>
            <w:gridSpan w:val="3"/>
            <w:tcBorders>
              <w:top w:val="nil"/>
              <w:left w:val="single" w:sz="2" w:space="0" w:color="auto"/>
              <w:bottom w:val="nil"/>
              <w:right w:val="nil"/>
            </w:tcBorders>
            <w:shd w:val="clear" w:color="auto" w:fill="7030A0"/>
            <w:vAlign w:val="bottom"/>
          </w:tcPr>
          <w:p w14:paraId="6FBF1CF4" w14:textId="6F28BD8F" w:rsidR="005A6CCA" w:rsidRPr="008A6781" w:rsidRDefault="005A6CCA" w:rsidP="00F04DCA">
            <w:pPr>
              <w:jc w:val="both"/>
              <w:rPr>
                <w:color w:val="FF0000"/>
                <w:sz w:val="18"/>
                <w:szCs w:val="18"/>
              </w:rPr>
            </w:pPr>
            <w:r w:rsidRPr="008A6781">
              <w:rPr>
                <w:b/>
                <w:bCs/>
                <w:color w:val="FF0000"/>
                <w:sz w:val="20"/>
                <w:szCs w:val="20"/>
              </w:rPr>
              <w:t>Split of Investment and Interest Revenue</w:t>
            </w:r>
          </w:p>
        </w:tc>
      </w:tr>
      <w:tr w:rsidR="005A6CCA" w:rsidRPr="00CF7E1B" w14:paraId="225475C6" w14:textId="77777777" w:rsidTr="000477B1">
        <w:trPr>
          <w:cantSplit/>
        </w:trPr>
        <w:tc>
          <w:tcPr>
            <w:tcW w:w="745" w:type="pct"/>
            <w:tcBorders>
              <w:top w:val="nil"/>
              <w:left w:val="single" w:sz="2" w:space="0" w:color="auto"/>
              <w:bottom w:val="nil"/>
              <w:right w:val="single" w:sz="2" w:space="0" w:color="auto"/>
            </w:tcBorders>
          </w:tcPr>
          <w:p w14:paraId="14DB2D18" w14:textId="08FD17E8" w:rsidR="005A6CCA" w:rsidRPr="008A6781" w:rsidRDefault="005A6CCA" w:rsidP="005A6CCA">
            <w:pPr>
              <w:pStyle w:val="TableReference"/>
              <w:tabs>
                <w:tab w:val="left" w:pos="3306"/>
              </w:tabs>
              <w:spacing w:before="60"/>
              <w:jc w:val="both"/>
              <w:rPr>
                <w:rFonts w:cs="Calibri"/>
                <w:color w:val="FF0000"/>
                <w:sz w:val="14"/>
              </w:rPr>
            </w:pPr>
            <w:r w:rsidRPr="008A6781">
              <w:rPr>
                <w:rFonts w:cs="Calibri"/>
                <w:color w:val="FF0000"/>
                <w:sz w:val="14"/>
              </w:rPr>
              <w:t>AASB 101 para 82(a)</w:t>
            </w:r>
          </w:p>
        </w:tc>
        <w:tc>
          <w:tcPr>
            <w:tcW w:w="4255" w:type="pct"/>
            <w:gridSpan w:val="3"/>
            <w:tcBorders>
              <w:top w:val="nil"/>
              <w:left w:val="single" w:sz="2" w:space="0" w:color="auto"/>
              <w:bottom w:val="nil"/>
              <w:right w:val="nil"/>
            </w:tcBorders>
            <w:shd w:val="clear" w:color="auto" w:fill="7030A0"/>
            <w:vAlign w:val="bottom"/>
          </w:tcPr>
          <w:p w14:paraId="375DBE25" w14:textId="165C6D48" w:rsidR="005A6CCA" w:rsidRPr="008A6781" w:rsidRDefault="005A6CCA" w:rsidP="005A6CCA">
            <w:pPr>
              <w:spacing w:after="120"/>
              <w:jc w:val="both"/>
              <w:rPr>
                <w:color w:val="FF0000"/>
                <w:sz w:val="18"/>
                <w:szCs w:val="18"/>
              </w:rPr>
            </w:pPr>
            <w:r w:rsidRPr="008A6781">
              <w:rPr>
                <w:color w:val="FF0000"/>
                <w:sz w:val="18"/>
                <w:szCs w:val="18"/>
              </w:rPr>
              <w:t xml:space="preserve">The amount included in the ‘Interest Revenue’ sub-total under the ‘Split of Investment and Interest Revenue’ heading in this note should only include interest revenue which has been calculated using the effective interest rate method.  All other </w:t>
            </w:r>
            <w:r w:rsidR="009D1513" w:rsidRPr="008A6781">
              <w:rPr>
                <w:color w:val="FF0000"/>
                <w:sz w:val="18"/>
                <w:szCs w:val="18"/>
              </w:rPr>
              <w:t xml:space="preserve">revenue </w:t>
            </w:r>
            <w:r w:rsidRPr="008A6781">
              <w:rPr>
                <w:color w:val="FF0000"/>
                <w:sz w:val="18"/>
                <w:szCs w:val="18"/>
              </w:rPr>
              <w:t xml:space="preserve">amounts should be included in the ‘Investment Revenue’ </w:t>
            </w:r>
            <w:r w:rsidR="00A90BE8" w:rsidRPr="008A6781">
              <w:rPr>
                <w:color w:val="FF0000"/>
                <w:sz w:val="18"/>
                <w:szCs w:val="18"/>
              </w:rPr>
              <w:t>sub-total under the ‘Split of Investment and Interest Revenue’ heading</w:t>
            </w:r>
            <w:r w:rsidRPr="008A6781">
              <w:rPr>
                <w:color w:val="FF0000"/>
                <w:sz w:val="18"/>
                <w:szCs w:val="18"/>
              </w:rPr>
              <w:t>.</w:t>
            </w:r>
          </w:p>
        </w:tc>
      </w:tr>
      <w:tr w:rsidR="005A6CCA" w:rsidRPr="00CF7E1B" w14:paraId="00B87BA5" w14:textId="77777777" w:rsidTr="000477B1">
        <w:trPr>
          <w:cantSplit/>
        </w:trPr>
        <w:tc>
          <w:tcPr>
            <w:tcW w:w="745" w:type="pct"/>
            <w:tcBorders>
              <w:top w:val="nil"/>
              <w:left w:val="single" w:sz="2" w:space="0" w:color="auto"/>
              <w:bottom w:val="nil"/>
              <w:right w:val="single" w:sz="2" w:space="0" w:color="auto"/>
            </w:tcBorders>
          </w:tcPr>
          <w:p w14:paraId="59B15797" w14:textId="77777777" w:rsidR="005A6CCA" w:rsidRPr="00685DB3" w:rsidRDefault="005A6CCA" w:rsidP="005A6CCA">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037A2A61" w14:textId="6EA4C99E" w:rsidR="005A6CCA" w:rsidRPr="00C34A6F" w:rsidRDefault="005A6CCA" w:rsidP="005A6CCA">
            <w:pPr>
              <w:spacing w:after="40"/>
              <w:jc w:val="both"/>
              <w:rPr>
                <w:b/>
                <w:bCs/>
                <w:color w:val="FFFFFF" w:themeColor="background1"/>
                <w:sz w:val="20"/>
                <w:szCs w:val="20"/>
              </w:rPr>
            </w:pPr>
            <w:r w:rsidRPr="00C34A6F">
              <w:rPr>
                <w:rFonts w:cs="Calibri"/>
                <w:b/>
                <w:bCs/>
                <w:color w:val="FFFFFF" w:themeColor="background1"/>
                <w:sz w:val="20"/>
                <w:szCs w:val="20"/>
              </w:rPr>
              <w:t>Income from Investment Property</w:t>
            </w:r>
          </w:p>
        </w:tc>
      </w:tr>
      <w:tr w:rsidR="005A6CCA" w:rsidRPr="00CF7E1B" w14:paraId="05686A7C" w14:textId="77777777" w:rsidTr="000477B1">
        <w:trPr>
          <w:cantSplit/>
        </w:trPr>
        <w:tc>
          <w:tcPr>
            <w:tcW w:w="745" w:type="pct"/>
            <w:tcBorders>
              <w:top w:val="nil"/>
              <w:left w:val="single" w:sz="2" w:space="0" w:color="auto"/>
              <w:bottom w:val="nil"/>
              <w:right w:val="single" w:sz="2" w:space="0" w:color="auto"/>
            </w:tcBorders>
          </w:tcPr>
          <w:p w14:paraId="6D0A983B" w14:textId="64E1D6C4" w:rsidR="005A6CCA" w:rsidRPr="00685DB3" w:rsidRDefault="005A6CCA" w:rsidP="005A6CCA">
            <w:pPr>
              <w:pStyle w:val="TableReference"/>
              <w:tabs>
                <w:tab w:val="left" w:pos="3306"/>
              </w:tabs>
              <w:spacing w:before="60"/>
              <w:rPr>
                <w:rFonts w:cs="Calibri"/>
                <w:color w:val="7030A0"/>
                <w:sz w:val="14"/>
              </w:rPr>
            </w:pPr>
            <w:r w:rsidRPr="00685DB3">
              <w:rPr>
                <w:rFonts w:cs="Calibri"/>
                <w:color w:val="7030A0"/>
                <w:sz w:val="14"/>
              </w:rPr>
              <w:t>ACT Disclosure Policy</w:t>
            </w:r>
          </w:p>
        </w:tc>
        <w:tc>
          <w:tcPr>
            <w:tcW w:w="4255" w:type="pct"/>
            <w:gridSpan w:val="3"/>
            <w:tcBorders>
              <w:top w:val="nil"/>
              <w:left w:val="single" w:sz="2" w:space="0" w:color="auto"/>
              <w:bottom w:val="nil"/>
              <w:right w:val="nil"/>
            </w:tcBorders>
            <w:shd w:val="clear" w:color="auto" w:fill="7030A0"/>
          </w:tcPr>
          <w:p w14:paraId="4A7F0179" w14:textId="41CEEB8C" w:rsidR="005A6CCA" w:rsidRPr="00685DB3" w:rsidRDefault="005A6CCA" w:rsidP="005A6CCA">
            <w:pPr>
              <w:spacing w:after="120"/>
              <w:jc w:val="both"/>
              <w:rPr>
                <w:strike/>
                <w:color w:val="FFFFFF" w:themeColor="background1"/>
                <w:sz w:val="18"/>
                <w:szCs w:val="18"/>
              </w:rPr>
            </w:pPr>
            <w:r w:rsidRPr="00685DB3">
              <w:rPr>
                <w:rFonts w:cs="Calibri"/>
                <w:color w:val="FFFFFF" w:themeColor="background1"/>
                <w:sz w:val="18"/>
                <w:szCs w:val="18"/>
              </w:rPr>
              <w:t>This note includes income earned from both owned investment property through head leases and income earned through sub-lease arrangements.</w:t>
            </w:r>
          </w:p>
        </w:tc>
      </w:tr>
    </w:tbl>
    <w:p w14:paraId="7B602C87" w14:textId="33993A8B" w:rsidR="008D4A5F" w:rsidRDefault="008D4A5F"/>
    <w:p w14:paraId="1867B7F2" w14:textId="2ACCB595" w:rsidR="008D4A5F" w:rsidRDefault="008D4A5F">
      <w:r>
        <w:br w:type="page"/>
      </w:r>
    </w:p>
    <w:tbl>
      <w:tblPr>
        <w:tblW w:w="5130" w:type="pct"/>
        <w:tblInd w:w="-8" w:type="dxa"/>
        <w:tblLook w:val="00A0" w:firstRow="1" w:lastRow="0" w:firstColumn="1" w:lastColumn="0" w:noHBand="0" w:noVBand="0"/>
      </w:tblPr>
      <w:tblGrid>
        <w:gridCol w:w="1565"/>
        <w:gridCol w:w="6376"/>
        <w:gridCol w:w="134"/>
        <w:gridCol w:w="1140"/>
        <w:gridCol w:w="1283"/>
      </w:tblGrid>
      <w:tr w:rsidR="00765778" w:rsidRPr="00CF7E1B" w14:paraId="715FD196" w14:textId="77777777" w:rsidTr="00947CD5">
        <w:trPr>
          <w:cantSplit/>
        </w:trPr>
        <w:tc>
          <w:tcPr>
            <w:tcW w:w="745" w:type="pct"/>
            <w:tcBorders>
              <w:left w:val="single" w:sz="2" w:space="0" w:color="auto"/>
              <w:right w:val="single" w:sz="2" w:space="0" w:color="auto"/>
            </w:tcBorders>
          </w:tcPr>
          <w:p w14:paraId="01D1B3AB" w14:textId="4690B7CF" w:rsidR="00765778" w:rsidRPr="00685DB3" w:rsidRDefault="00765778" w:rsidP="00765778">
            <w:pPr>
              <w:pStyle w:val="TableReference"/>
              <w:tabs>
                <w:tab w:val="left" w:pos="3306"/>
              </w:tabs>
              <w:spacing w:before="240" w:after="240"/>
              <w:rPr>
                <w:rFonts w:cs="Calibri"/>
                <w:b/>
                <w:color w:val="7030A0"/>
                <w:sz w:val="22"/>
                <w:szCs w:val="22"/>
              </w:rPr>
            </w:pPr>
            <w:bookmarkStart w:id="429" w:name="InvGains" w:colFirst="1" w:colLast="1"/>
            <w:r w:rsidRPr="00685DB3">
              <w:rPr>
                <w:rFonts w:cs="Calibri"/>
                <w:b/>
                <w:color w:val="7030A0"/>
                <w:sz w:val="22"/>
                <w:szCs w:val="22"/>
              </w:rPr>
              <w:t>Reference</w:t>
            </w:r>
          </w:p>
        </w:tc>
        <w:tc>
          <w:tcPr>
            <w:tcW w:w="4255" w:type="pct"/>
            <w:gridSpan w:val="4"/>
            <w:tcBorders>
              <w:left w:val="single" w:sz="2" w:space="0" w:color="auto"/>
            </w:tcBorders>
          </w:tcPr>
          <w:p w14:paraId="64E647DD" w14:textId="4784C1B0" w:rsidR="00765778" w:rsidRPr="00685DB3" w:rsidRDefault="00765778" w:rsidP="00765778">
            <w:pPr>
              <w:pStyle w:val="Heading1"/>
              <w:numPr>
                <w:ilvl w:val="0"/>
                <w:numId w:val="0"/>
              </w:numPr>
            </w:pPr>
            <w:bookmarkStart w:id="430" w:name="OLE_LINK13"/>
            <w:bookmarkStart w:id="431" w:name="_Toc400627327"/>
            <w:bookmarkStart w:id="432" w:name="_Toc132743789"/>
            <w:r w:rsidRPr="00685DB3">
              <w:t>Note 8.</w:t>
            </w:r>
            <w:r>
              <w:t xml:space="preserve"> </w:t>
            </w:r>
            <w:r w:rsidRPr="00685DB3">
              <w:t xml:space="preserve"> Gains</w:t>
            </w:r>
            <w:bookmarkEnd w:id="430"/>
            <w:bookmarkEnd w:id="431"/>
            <w:r w:rsidRPr="00685DB3">
              <w:t xml:space="preserve"> from Disposals, DeRecognition and ReMeasurement of Assets</w:t>
            </w:r>
            <w:bookmarkEnd w:id="432"/>
          </w:p>
        </w:tc>
      </w:tr>
      <w:tr w:rsidR="00765778" w:rsidRPr="00F95AFF" w14:paraId="1BDC9C5C" w14:textId="77777777" w:rsidTr="00947CD5">
        <w:trPr>
          <w:cantSplit/>
        </w:trPr>
        <w:tc>
          <w:tcPr>
            <w:tcW w:w="745" w:type="pct"/>
            <w:tcBorders>
              <w:left w:val="single" w:sz="2" w:space="0" w:color="auto"/>
              <w:right w:val="single" w:sz="2" w:space="0" w:color="auto"/>
            </w:tcBorders>
          </w:tcPr>
          <w:p w14:paraId="63A068F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1BE784C1" w14:textId="5008B5B0" w:rsidR="00765778" w:rsidRPr="009B2E93" w:rsidRDefault="00765778" w:rsidP="00765778">
            <w:pPr>
              <w:jc w:val="both"/>
              <w:rPr>
                <w:rFonts w:cs="Calibri"/>
                <w:b/>
                <w:bCs/>
                <w:i/>
                <w:iCs/>
                <w:caps/>
                <w:sz w:val="18"/>
                <w:szCs w:val="18"/>
              </w:rPr>
            </w:pPr>
            <w:bookmarkStart w:id="433" w:name="_Toc98763074"/>
            <w:r w:rsidRPr="009B2E93">
              <w:rPr>
                <w:b/>
                <w:bCs/>
                <w:sz w:val="18"/>
                <w:szCs w:val="18"/>
              </w:rPr>
              <w:t xml:space="preserve">Description and Material Accounting Policies Relating to </w:t>
            </w:r>
            <w:bookmarkStart w:id="434" w:name="_Hlk90635608"/>
            <w:r w:rsidRPr="009B2E93">
              <w:rPr>
                <w:b/>
                <w:bCs/>
                <w:sz w:val="18"/>
                <w:szCs w:val="18"/>
              </w:rPr>
              <w:t>Gains from Disposals, Derecognition and Remeasurement of Assets</w:t>
            </w:r>
            <w:bookmarkEnd w:id="433"/>
            <w:bookmarkEnd w:id="434"/>
          </w:p>
        </w:tc>
      </w:tr>
      <w:tr w:rsidR="00765778" w:rsidRPr="00F95AFF" w14:paraId="0B048C21" w14:textId="77777777" w:rsidTr="00947CD5">
        <w:trPr>
          <w:cantSplit/>
        </w:trPr>
        <w:tc>
          <w:tcPr>
            <w:tcW w:w="745" w:type="pct"/>
            <w:tcBorders>
              <w:left w:val="single" w:sz="2" w:space="0" w:color="auto"/>
              <w:right w:val="single" w:sz="2" w:space="0" w:color="auto"/>
            </w:tcBorders>
          </w:tcPr>
          <w:p w14:paraId="127D85D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74841AC9" w14:textId="1A757F83" w:rsidR="00765778" w:rsidRPr="00136827" w:rsidRDefault="00765778" w:rsidP="00765778">
            <w:pPr>
              <w:jc w:val="both"/>
              <w:rPr>
                <w:b/>
                <w:bCs/>
                <w:i/>
                <w:iCs/>
                <w:caps/>
                <w:sz w:val="18"/>
                <w:szCs w:val="18"/>
              </w:rPr>
            </w:pPr>
            <w:bookmarkStart w:id="435" w:name="_Toc98763075"/>
            <w:r w:rsidRPr="00136827">
              <w:rPr>
                <w:i/>
                <w:iCs/>
                <w:sz w:val="18"/>
                <w:szCs w:val="18"/>
              </w:rPr>
              <w:t>Gains from the Forgiveness of Liabilities</w:t>
            </w:r>
            <w:bookmarkEnd w:id="435"/>
          </w:p>
        </w:tc>
      </w:tr>
      <w:tr w:rsidR="00765778" w:rsidRPr="00F95AFF" w14:paraId="4A2829F3" w14:textId="77777777" w:rsidTr="00947CD5">
        <w:trPr>
          <w:cantSplit/>
        </w:trPr>
        <w:tc>
          <w:tcPr>
            <w:tcW w:w="745" w:type="pct"/>
            <w:tcBorders>
              <w:left w:val="single" w:sz="2" w:space="0" w:color="auto"/>
              <w:right w:val="single" w:sz="2" w:space="0" w:color="auto"/>
            </w:tcBorders>
          </w:tcPr>
          <w:p w14:paraId="15EA1B0C" w14:textId="210BDF5C" w:rsidR="00765778" w:rsidRPr="00685DB3" w:rsidRDefault="00765778" w:rsidP="00765778">
            <w:pPr>
              <w:pStyle w:val="TableReference"/>
              <w:tabs>
                <w:tab w:val="left" w:pos="3306"/>
              </w:tabs>
              <w:rPr>
                <w:rFonts w:cs="Calibri"/>
                <w:color w:val="7030A0"/>
                <w:sz w:val="14"/>
              </w:rPr>
            </w:pPr>
            <w:r w:rsidRPr="00685DB3">
              <w:rPr>
                <w:rFonts w:cs="Calibri"/>
                <w:color w:val="7030A0"/>
                <w:sz w:val="14"/>
              </w:rPr>
              <w:t>AASB 1004.39</w:t>
            </w:r>
          </w:p>
        </w:tc>
        <w:tc>
          <w:tcPr>
            <w:tcW w:w="4255" w:type="pct"/>
            <w:gridSpan w:val="4"/>
            <w:tcBorders>
              <w:left w:val="single" w:sz="2" w:space="0" w:color="auto"/>
            </w:tcBorders>
          </w:tcPr>
          <w:p w14:paraId="511C6A55" w14:textId="37F49BEC" w:rsidR="00765778" w:rsidRPr="00136827" w:rsidRDefault="00765778" w:rsidP="00765778">
            <w:pPr>
              <w:jc w:val="both"/>
              <w:rPr>
                <w:b/>
                <w:bCs/>
                <w:caps/>
                <w:sz w:val="18"/>
                <w:szCs w:val="18"/>
              </w:rPr>
            </w:pPr>
            <w:bookmarkStart w:id="436" w:name="_Toc98763076"/>
            <w:r w:rsidRPr="00136827">
              <w:rPr>
                <w:sz w:val="18"/>
                <w:szCs w:val="18"/>
              </w:rPr>
              <w:t>Gains from the Forgiveness of Liabilities are recognised as income and recorded at the carrying amount.</w:t>
            </w:r>
            <w:bookmarkEnd w:id="436"/>
          </w:p>
        </w:tc>
      </w:tr>
      <w:tr w:rsidR="00765778" w:rsidRPr="00CF7E1B" w14:paraId="74A2715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3F85258" w14:textId="77777777" w:rsidR="00765778" w:rsidRPr="00685DB3" w:rsidRDefault="00765778" w:rsidP="00765778">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687BAE57" w14:textId="77777777" w:rsidR="00765778" w:rsidRPr="00685DB3" w:rsidRDefault="00765778" w:rsidP="00765778"/>
        </w:tc>
        <w:tc>
          <w:tcPr>
            <w:tcW w:w="543" w:type="pct"/>
            <w:tcBorders>
              <w:top w:val="nil"/>
              <w:left w:val="nil"/>
              <w:bottom w:val="nil"/>
              <w:right w:val="nil"/>
            </w:tcBorders>
            <w:vAlign w:val="bottom"/>
          </w:tcPr>
          <w:p w14:paraId="6BDC3E88" w14:textId="38971688" w:rsidR="00765778" w:rsidRPr="00685DB3" w:rsidRDefault="00765778" w:rsidP="00765778">
            <w:pPr>
              <w:pStyle w:val="TableTitle"/>
              <w:tabs>
                <w:tab w:val="left" w:pos="3306"/>
              </w:tabs>
              <w:rPr>
                <w:rFonts w:cs="Calibri"/>
              </w:rPr>
            </w:pPr>
            <w:r w:rsidRPr="00685DB3">
              <w:rPr>
                <w:rFonts w:cs="Calibri"/>
              </w:rPr>
              <w:t>202</w:t>
            </w:r>
            <w:r>
              <w:rPr>
                <w:rFonts w:cs="Calibri"/>
              </w:rPr>
              <w:t>3</w:t>
            </w:r>
          </w:p>
        </w:tc>
        <w:tc>
          <w:tcPr>
            <w:tcW w:w="611" w:type="pct"/>
            <w:tcBorders>
              <w:top w:val="nil"/>
              <w:left w:val="nil"/>
              <w:bottom w:val="nil"/>
              <w:right w:val="nil"/>
            </w:tcBorders>
            <w:vAlign w:val="bottom"/>
          </w:tcPr>
          <w:p w14:paraId="7B57DC11" w14:textId="4536E0AF" w:rsidR="00765778" w:rsidRPr="00685DB3" w:rsidRDefault="00765778" w:rsidP="00765778">
            <w:pPr>
              <w:pStyle w:val="TableTitle"/>
              <w:tabs>
                <w:tab w:val="left" w:pos="3306"/>
              </w:tabs>
              <w:rPr>
                <w:rFonts w:cs="Calibri"/>
              </w:rPr>
            </w:pPr>
            <w:r w:rsidRPr="00685DB3">
              <w:rPr>
                <w:rFonts w:cs="Calibri"/>
              </w:rPr>
              <w:t>202</w:t>
            </w:r>
            <w:r>
              <w:rPr>
                <w:rFonts w:cs="Calibri"/>
              </w:rPr>
              <w:t>2</w:t>
            </w:r>
          </w:p>
        </w:tc>
      </w:tr>
      <w:bookmarkEnd w:id="429"/>
      <w:tr w:rsidR="00765778" w:rsidRPr="00CF7E1B" w14:paraId="0F7B392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6E2BF25" w14:textId="77777777" w:rsidR="00765778" w:rsidRPr="00685DB3" w:rsidRDefault="00765778" w:rsidP="00765778">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13CBAC43" w14:textId="77777777" w:rsidR="00765778" w:rsidRPr="00685DB3" w:rsidRDefault="00765778" w:rsidP="00765778"/>
        </w:tc>
        <w:tc>
          <w:tcPr>
            <w:tcW w:w="543" w:type="pct"/>
            <w:tcBorders>
              <w:top w:val="nil"/>
              <w:left w:val="nil"/>
              <w:bottom w:val="nil"/>
              <w:right w:val="nil"/>
            </w:tcBorders>
            <w:vAlign w:val="bottom"/>
          </w:tcPr>
          <w:p w14:paraId="079C3433" w14:textId="77777777" w:rsidR="00765778" w:rsidRPr="00685DB3" w:rsidRDefault="00765778" w:rsidP="00765778">
            <w:pPr>
              <w:pStyle w:val="TableTitle"/>
              <w:tabs>
                <w:tab w:val="left" w:pos="3306"/>
              </w:tabs>
              <w:rPr>
                <w:rFonts w:cs="Calibri"/>
              </w:rPr>
            </w:pPr>
            <w:r w:rsidRPr="00685DB3">
              <w:rPr>
                <w:rFonts w:cs="Calibri"/>
              </w:rPr>
              <w:t>$’000</w:t>
            </w:r>
          </w:p>
        </w:tc>
        <w:tc>
          <w:tcPr>
            <w:tcW w:w="611" w:type="pct"/>
            <w:tcBorders>
              <w:top w:val="nil"/>
              <w:left w:val="nil"/>
              <w:bottom w:val="nil"/>
              <w:right w:val="nil"/>
            </w:tcBorders>
            <w:vAlign w:val="bottom"/>
          </w:tcPr>
          <w:p w14:paraId="0E8B424D" w14:textId="77777777" w:rsidR="00765778" w:rsidRPr="00685DB3" w:rsidRDefault="00765778" w:rsidP="00765778">
            <w:pPr>
              <w:pStyle w:val="TableTitle"/>
              <w:tabs>
                <w:tab w:val="left" w:pos="3306"/>
              </w:tabs>
              <w:rPr>
                <w:rFonts w:cs="Calibri"/>
              </w:rPr>
            </w:pPr>
            <w:r w:rsidRPr="00685DB3">
              <w:rPr>
                <w:rFonts w:cs="Calibri"/>
              </w:rPr>
              <w:t>$’000</w:t>
            </w:r>
          </w:p>
        </w:tc>
      </w:tr>
      <w:tr w:rsidR="00765778" w:rsidRPr="00C64581" w14:paraId="48F7A35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0F1E35" w14:textId="77777777" w:rsidR="00765778" w:rsidRPr="00685DB3" w:rsidRDefault="00765778" w:rsidP="00765778">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2D664F29" w14:textId="1EB5C74B" w:rsidR="00765778" w:rsidRPr="009B2E93" w:rsidRDefault="00765778" w:rsidP="00765778">
            <w:pPr>
              <w:jc w:val="both"/>
              <w:rPr>
                <w:b/>
                <w:bCs/>
                <w:sz w:val="18"/>
                <w:szCs w:val="18"/>
              </w:rPr>
            </w:pPr>
            <w:r w:rsidRPr="009B2E93">
              <w:rPr>
                <w:b/>
                <w:bCs/>
                <w:sz w:val="18"/>
                <w:szCs w:val="18"/>
              </w:rPr>
              <w:t>Gains on Disposal and Derecognition of Assets</w:t>
            </w:r>
          </w:p>
        </w:tc>
      </w:tr>
      <w:tr w:rsidR="00765778" w:rsidRPr="00CF7E1B" w14:paraId="1383A13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54D257B" w14:textId="77777777" w:rsidR="00765778" w:rsidRPr="00685DB3" w:rsidRDefault="00765778" w:rsidP="00765778">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7BA380A6" w14:textId="3EA34ACC" w:rsidR="00765778" w:rsidRPr="00685DB3" w:rsidRDefault="00765778" w:rsidP="00765778">
            <w:pPr>
              <w:pStyle w:val="TableText"/>
              <w:tabs>
                <w:tab w:val="left" w:pos="3306"/>
              </w:tabs>
              <w:rPr>
                <w:rFonts w:cs="Calibri"/>
              </w:rPr>
            </w:pPr>
            <w:r w:rsidRPr="00685DB3">
              <w:rPr>
                <w:rFonts w:cs="Calibri"/>
              </w:rPr>
              <w:t>Gains on Disposal of Investments</w:t>
            </w:r>
            <w:r w:rsidRPr="00685DB3">
              <w:rPr>
                <w:rFonts w:cs="Calibri"/>
                <w:vertAlign w:val="superscript"/>
              </w:rPr>
              <w:t>a</w:t>
            </w:r>
          </w:p>
        </w:tc>
        <w:tc>
          <w:tcPr>
            <w:tcW w:w="543" w:type="pct"/>
            <w:tcBorders>
              <w:top w:val="nil"/>
              <w:left w:val="nil"/>
              <w:bottom w:val="nil"/>
              <w:right w:val="nil"/>
            </w:tcBorders>
            <w:vAlign w:val="bottom"/>
          </w:tcPr>
          <w:p w14:paraId="4A8B5D82" w14:textId="2D173DB0" w:rsidR="00765778" w:rsidRPr="00685DB3" w:rsidRDefault="00765778" w:rsidP="00765778">
            <w:pPr>
              <w:pStyle w:val="TableText"/>
              <w:tabs>
                <w:tab w:val="left" w:pos="3306"/>
              </w:tabs>
              <w:jc w:val="right"/>
              <w:rPr>
                <w:rFonts w:cs="Calibri"/>
                <w:strike/>
              </w:rPr>
            </w:pPr>
          </w:p>
        </w:tc>
        <w:tc>
          <w:tcPr>
            <w:tcW w:w="611" w:type="pct"/>
            <w:tcBorders>
              <w:top w:val="nil"/>
              <w:left w:val="nil"/>
              <w:bottom w:val="nil"/>
              <w:right w:val="nil"/>
            </w:tcBorders>
            <w:vAlign w:val="bottom"/>
          </w:tcPr>
          <w:p w14:paraId="5F8F3225" w14:textId="332BA9A0" w:rsidR="00765778" w:rsidRPr="00685DB3" w:rsidRDefault="00765778" w:rsidP="00765778">
            <w:pPr>
              <w:pStyle w:val="TableText"/>
              <w:tabs>
                <w:tab w:val="left" w:pos="3306"/>
              </w:tabs>
              <w:jc w:val="right"/>
              <w:rPr>
                <w:rFonts w:cs="Calibri"/>
                <w:strike/>
              </w:rPr>
            </w:pPr>
          </w:p>
        </w:tc>
      </w:tr>
      <w:tr w:rsidR="00765778" w:rsidRPr="00CF7E1B" w14:paraId="77721CE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1DC768A" w14:textId="4D063B5C" w:rsidR="00765778" w:rsidRPr="00685DB3" w:rsidRDefault="00765778" w:rsidP="00765778">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51BC46BA" w14:textId="63241C9D" w:rsidR="00765778" w:rsidRPr="00685DB3" w:rsidRDefault="00765778" w:rsidP="00765778">
            <w:pPr>
              <w:pStyle w:val="TableText"/>
              <w:tabs>
                <w:tab w:val="left" w:pos="3306"/>
              </w:tabs>
              <w:rPr>
                <w:rFonts w:cs="Calibri"/>
              </w:rPr>
            </w:pPr>
            <w:r w:rsidRPr="00685DB3">
              <w:rPr>
                <w:rFonts w:cs="Calibri"/>
              </w:rPr>
              <w:t>Gains from the Forgiveness of Liabilities</w:t>
            </w:r>
          </w:p>
        </w:tc>
        <w:tc>
          <w:tcPr>
            <w:tcW w:w="543" w:type="pct"/>
            <w:tcBorders>
              <w:top w:val="nil"/>
              <w:left w:val="nil"/>
              <w:bottom w:val="nil"/>
              <w:right w:val="nil"/>
            </w:tcBorders>
            <w:vAlign w:val="bottom"/>
          </w:tcPr>
          <w:p w14:paraId="3EF2290F"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nil"/>
              <w:right w:val="nil"/>
            </w:tcBorders>
            <w:vAlign w:val="bottom"/>
          </w:tcPr>
          <w:p w14:paraId="6B1DF5F8" w14:textId="77777777" w:rsidR="00765778" w:rsidRPr="00685DB3" w:rsidRDefault="00765778" w:rsidP="00765778">
            <w:pPr>
              <w:pStyle w:val="TableText"/>
              <w:tabs>
                <w:tab w:val="left" w:pos="3306"/>
              </w:tabs>
              <w:jc w:val="right"/>
              <w:rPr>
                <w:rFonts w:cs="Calibri"/>
              </w:rPr>
            </w:pPr>
          </w:p>
        </w:tc>
      </w:tr>
      <w:tr w:rsidR="00765778" w:rsidRPr="00CF7E1B" w14:paraId="6E97BF3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3C2D8FB"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250AF22C" w14:textId="7AF4A2FC" w:rsidR="00765778" w:rsidRPr="00685DB3" w:rsidRDefault="00765778" w:rsidP="00765778">
            <w:pPr>
              <w:pStyle w:val="TableText"/>
              <w:tabs>
                <w:tab w:val="left" w:pos="3306"/>
              </w:tabs>
              <w:rPr>
                <w:rFonts w:cs="Calibri"/>
              </w:rPr>
            </w:pPr>
            <w:r w:rsidRPr="00685DB3">
              <w:rPr>
                <w:rFonts w:cs="Calibri"/>
              </w:rPr>
              <w:t>Gains from the Sale of Assets</w:t>
            </w:r>
            <w:r>
              <w:rPr>
                <w:rFonts w:cs="Calibri"/>
              </w:rPr>
              <w:t xml:space="preserve"> </w:t>
            </w:r>
          </w:p>
        </w:tc>
        <w:tc>
          <w:tcPr>
            <w:tcW w:w="543" w:type="pct"/>
            <w:tcBorders>
              <w:top w:val="nil"/>
              <w:left w:val="nil"/>
              <w:bottom w:val="nil"/>
              <w:right w:val="nil"/>
            </w:tcBorders>
            <w:vAlign w:val="bottom"/>
          </w:tcPr>
          <w:p w14:paraId="2FF9456C"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nil"/>
              <w:right w:val="nil"/>
            </w:tcBorders>
            <w:vAlign w:val="bottom"/>
          </w:tcPr>
          <w:p w14:paraId="08E905FF" w14:textId="77777777" w:rsidR="00765778" w:rsidRPr="00685DB3" w:rsidRDefault="00765778" w:rsidP="00765778">
            <w:pPr>
              <w:pStyle w:val="TableText"/>
              <w:tabs>
                <w:tab w:val="left" w:pos="3306"/>
              </w:tabs>
              <w:jc w:val="right"/>
              <w:rPr>
                <w:rFonts w:cs="Calibri"/>
              </w:rPr>
            </w:pPr>
          </w:p>
        </w:tc>
      </w:tr>
      <w:tr w:rsidR="00765778" w:rsidRPr="00CF7E1B" w14:paraId="6A66258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22554B9" w14:textId="778B1D6D" w:rsidR="00765778" w:rsidRPr="00685DB3" w:rsidRDefault="00765778" w:rsidP="00765778">
            <w:pPr>
              <w:pStyle w:val="TableReference"/>
              <w:tabs>
                <w:tab w:val="left" w:pos="3306"/>
              </w:tabs>
              <w:spacing w:before="40"/>
              <w:rPr>
                <w:rFonts w:cs="Calibri"/>
                <w:color w:val="7030A0"/>
                <w:sz w:val="14"/>
              </w:rPr>
            </w:pPr>
            <w:r w:rsidRPr="00685DB3">
              <w:rPr>
                <w:color w:val="7030A0"/>
                <w:sz w:val="14"/>
              </w:rPr>
              <w:t>AASB 16.53(i)</w:t>
            </w:r>
          </w:p>
        </w:tc>
        <w:tc>
          <w:tcPr>
            <w:tcW w:w="3101" w:type="pct"/>
            <w:gridSpan w:val="2"/>
            <w:tcBorders>
              <w:top w:val="nil"/>
              <w:left w:val="single" w:sz="2" w:space="0" w:color="auto"/>
              <w:bottom w:val="nil"/>
              <w:right w:val="nil"/>
            </w:tcBorders>
          </w:tcPr>
          <w:p w14:paraId="4D301F70" w14:textId="68CA625B" w:rsidR="00765778" w:rsidRPr="00685DB3" w:rsidRDefault="00765778" w:rsidP="00765778">
            <w:pPr>
              <w:pStyle w:val="TableText"/>
              <w:tabs>
                <w:tab w:val="left" w:pos="3306"/>
              </w:tabs>
              <w:rPr>
                <w:rFonts w:cs="Calibri"/>
              </w:rPr>
            </w:pPr>
            <w:r w:rsidRPr="00685DB3">
              <w:t>Gains arising from Sale and Leaseback Arrangements</w:t>
            </w:r>
          </w:p>
        </w:tc>
        <w:tc>
          <w:tcPr>
            <w:tcW w:w="543" w:type="pct"/>
            <w:tcBorders>
              <w:top w:val="nil"/>
              <w:left w:val="nil"/>
              <w:bottom w:val="single" w:sz="4" w:space="0" w:color="auto"/>
              <w:right w:val="nil"/>
            </w:tcBorders>
            <w:vAlign w:val="bottom"/>
          </w:tcPr>
          <w:p w14:paraId="4A32EA8C"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1E5CD50D" w14:textId="77777777" w:rsidR="00765778" w:rsidRPr="00685DB3" w:rsidRDefault="00765778" w:rsidP="00765778">
            <w:pPr>
              <w:pStyle w:val="TableText"/>
              <w:tabs>
                <w:tab w:val="left" w:pos="3306"/>
              </w:tabs>
              <w:jc w:val="right"/>
              <w:rPr>
                <w:rFonts w:cs="Calibri"/>
              </w:rPr>
            </w:pPr>
          </w:p>
        </w:tc>
      </w:tr>
      <w:tr w:rsidR="00765778" w:rsidRPr="00CF7E1B" w14:paraId="5C1F0AC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A04EEE"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A00E191" w14:textId="07A0A638" w:rsidR="00765778" w:rsidRPr="009B2E93" w:rsidRDefault="00765778" w:rsidP="00765778">
            <w:pPr>
              <w:jc w:val="both"/>
              <w:rPr>
                <w:b/>
                <w:bCs/>
                <w:sz w:val="18"/>
                <w:szCs w:val="18"/>
              </w:rPr>
            </w:pPr>
            <w:r w:rsidRPr="009B2E93">
              <w:rPr>
                <w:b/>
                <w:bCs/>
                <w:sz w:val="18"/>
                <w:szCs w:val="18"/>
              </w:rPr>
              <w:t>Total Gains on Disposal and Derecognition of Assets</w:t>
            </w:r>
          </w:p>
        </w:tc>
        <w:tc>
          <w:tcPr>
            <w:tcW w:w="543" w:type="pct"/>
            <w:tcBorders>
              <w:top w:val="single" w:sz="4" w:space="0" w:color="auto"/>
              <w:left w:val="nil"/>
              <w:bottom w:val="single" w:sz="4" w:space="0" w:color="auto"/>
              <w:right w:val="nil"/>
            </w:tcBorders>
            <w:vAlign w:val="bottom"/>
          </w:tcPr>
          <w:p w14:paraId="3EDA611A" w14:textId="346C1FF1" w:rsidR="00765778" w:rsidRPr="00685DB3" w:rsidRDefault="00765778" w:rsidP="00765778">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ACBEBB9" w14:textId="54B810DF" w:rsidR="00765778" w:rsidRPr="00685DB3" w:rsidRDefault="00765778" w:rsidP="00765778">
            <w:pPr>
              <w:pStyle w:val="TableText"/>
              <w:tabs>
                <w:tab w:val="left" w:pos="3306"/>
              </w:tabs>
              <w:jc w:val="right"/>
              <w:rPr>
                <w:rFonts w:cs="Calibri"/>
              </w:rPr>
            </w:pPr>
          </w:p>
        </w:tc>
      </w:tr>
      <w:tr w:rsidR="00765778" w:rsidRPr="00CF7E1B" w14:paraId="0C84378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2602F5"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64C4CF2" w14:textId="77777777" w:rsidR="00765778" w:rsidRPr="00685DB3" w:rsidRDefault="00765778" w:rsidP="00765778">
            <w:pPr>
              <w:pStyle w:val="TableText"/>
              <w:tabs>
                <w:tab w:val="left" w:pos="3306"/>
              </w:tabs>
              <w:rPr>
                <w:rFonts w:cs="Calibri"/>
                <w:b/>
                <w:bCs/>
              </w:rPr>
            </w:pPr>
          </w:p>
        </w:tc>
        <w:tc>
          <w:tcPr>
            <w:tcW w:w="543" w:type="pct"/>
            <w:tcBorders>
              <w:top w:val="single" w:sz="4" w:space="0" w:color="auto"/>
              <w:left w:val="nil"/>
              <w:bottom w:val="nil"/>
              <w:right w:val="nil"/>
            </w:tcBorders>
            <w:vAlign w:val="bottom"/>
          </w:tcPr>
          <w:p w14:paraId="08308E86" w14:textId="77777777" w:rsidR="00765778" w:rsidRPr="00685DB3" w:rsidRDefault="00765778" w:rsidP="00765778">
            <w:pPr>
              <w:pStyle w:val="TableText"/>
              <w:tabs>
                <w:tab w:val="left" w:pos="3306"/>
              </w:tabs>
              <w:jc w:val="right"/>
              <w:rPr>
                <w:rFonts w:cs="Calibri"/>
              </w:rPr>
            </w:pPr>
          </w:p>
        </w:tc>
        <w:tc>
          <w:tcPr>
            <w:tcW w:w="611" w:type="pct"/>
            <w:tcBorders>
              <w:top w:val="single" w:sz="4" w:space="0" w:color="auto"/>
              <w:left w:val="nil"/>
              <w:bottom w:val="nil"/>
              <w:right w:val="nil"/>
            </w:tcBorders>
            <w:vAlign w:val="bottom"/>
          </w:tcPr>
          <w:p w14:paraId="49D85D68" w14:textId="77777777" w:rsidR="00765778" w:rsidRPr="00685DB3" w:rsidRDefault="00765778" w:rsidP="00765778">
            <w:pPr>
              <w:pStyle w:val="TableText"/>
              <w:tabs>
                <w:tab w:val="left" w:pos="3306"/>
              </w:tabs>
              <w:jc w:val="right"/>
              <w:rPr>
                <w:rFonts w:cs="Calibri"/>
              </w:rPr>
            </w:pPr>
          </w:p>
        </w:tc>
      </w:tr>
      <w:tr w:rsidR="00765778" w:rsidRPr="00CF7E1B" w14:paraId="6673F08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4AC97ED"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C4D1E69" w14:textId="598B6CAD" w:rsidR="00765778" w:rsidRPr="009B2E93" w:rsidRDefault="00765778" w:rsidP="00765778">
            <w:pPr>
              <w:jc w:val="both"/>
              <w:rPr>
                <w:b/>
                <w:bCs/>
                <w:sz w:val="18"/>
                <w:szCs w:val="18"/>
              </w:rPr>
            </w:pPr>
            <w:r w:rsidRPr="009B2E93">
              <w:rPr>
                <w:b/>
                <w:bCs/>
                <w:sz w:val="18"/>
                <w:szCs w:val="18"/>
              </w:rPr>
              <w:t>Gains on Remeasurement of Assets</w:t>
            </w:r>
          </w:p>
        </w:tc>
        <w:tc>
          <w:tcPr>
            <w:tcW w:w="543" w:type="pct"/>
            <w:tcBorders>
              <w:top w:val="nil"/>
              <w:left w:val="nil"/>
              <w:bottom w:val="nil"/>
              <w:right w:val="nil"/>
            </w:tcBorders>
            <w:vAlign w:val="bottom"/>
          </w:tcPr>
          <w:p w14:paraId="65948EA4"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nil"/>
              <w:right w:val="nil"/>
            </w:tcBorders>
            <w:vAlign w:val="bottom"/>
          </w:tcPr>
          <w:p w14:paraId="0F310405" w14:textId="77777777" w:rsidR="00765778" w:rsidRPr="00685DB3" w:rsidRDefault="00765778" w:rsidP="00765778">
            <w:pPr>
              <w:pStyle w:val="TableText"/>
              <w:tabs>
                <w:tab w:val="left" w:pos="3306"/>
              </w:tabs>
              <w:jc w:val="right"/>
              <w:rPr>
                <w:rFonts w:cs="Calibri"/>
              </w:rPr>
            </w:pPr>
          </w:p>
        </w:tc>
      </w:tr>
      <w:tr w:rsidR="00765778" w:rsidRPr="00CF7E1B" w14:paraId="630467D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D4D21E9" w14:textId="04EB956C" w:rsidR="00765778" w:rsidRPr="00685DB3" w:rsidRDefault="00765778" w:rsidP="00765778">
            <w:pPr>
              <w:pStyle w:val="TableReference"/>
              <w:tabs>
                <w:tab w:val="left" w:pos="3306"/>
              </w:tabs>
              <w:spacing w:before="40"/>
              <w:rPr>
                <w:rFonts w:cs="Calibri"/>
                <w:color w:val="7030A0"/>
                <w:sz w:val="14"/>
              </w:rPr>
            </w:pPr>
            <w:r w:rsidRPr="00685DB3">
              <w:rPr>
                <w:rFonts w:cs="Calibri"/>
                <w:color w:val="7030A0"/>
                <w:sz w:val="14"/>
              </w:rPr>
              <w:t>AASB 102.36(f)</w:t>
            </w:r>
          </w:p>
        </w:tc>
        <w:tc>
          <w:tcPr>
            <w:tcW w:w="3101" w:type="pct"/>
            <w:gridSpan w:val="2"/>
            <w:tcBorders>
              <w:top w:val="nil"/>
              <w:left w:val="single" w:sz="2" w:space="0" w:color="auto"/>
              <w:bottom w:val="nil"/>
              <w:right w:val="nil"/>
            </w:tcBorders>
            <w:vAlign w:val="bottom"/>
          </w:tcPr>
          <w:p w14:paraId="531AAB9B" w14:textId="08A1476E" w:rsidR="00765778" w:rsidRPr="00685DB3" w:rsidRDefault="00765778" w:rsidP="00765778">
            <w:pPr>
              <w:pStyle w:val="TableText"/>
              <w:tabs>
                <w:tab w:val="left" w:pos="3306"/>
              </w:tabs>
              <w:rPr>
                <w:rFonts w:cs="Calibri"/>
              </w:rPr>
            </w:pPr>
            <w:r w:rsidRPr="00685DB3">
              <w:rPr>
                <w:rFonts w:cs="Calibri"/>
              </w:rPr>
              <w:t>Reversal of the Write-down in Inventory</w:t>
            </w:r>
            <w:r w:rsidRPr="00685DB3">
              <w:rPr>
                <w:rFonts w:cs="Calibri"/>
                <w:vertAlign w:val="superscript"/>
              </w:rPr>
              <w:t>b</w:t>
            </w:r>
            <w:r>
              <w:rPr>
                <w:rFonts w:cs="Calibri"/>
              </w:rPr>
              <w:t xml:space="preserve"> </w:t>
            </w:r>
          </w:p>
        </w:tc>
        <w:tc>
          <w:tcPr>
            <w:tcW w:w="543" w:type="pct"/>
            <w:tcBorders>
              <w:top w:val="nil"/>
              <w:left w:val="nil"/>
              <w:bottom w:val="nil"/>
              <w:right w:val="nil"/>
            </w:tcBorders>
            <w:vAlign w:val="bottom"/>
          </w:tcPr>
          <w:p w14:paraId="4136297B"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nil"/>
              <w:right w:val="nil"/>
            </w:tcBorders>
            <w:vAlign w:val="bottom"/>
          </w:tcPr>
          <w:p w14:paraId="55E23B29" w14:textId="77777777" w:rsidR="00765778" w:rsidRPr="00685DB3" w:rsidRDefault="00765778" w:rsidP="00765778">
            <w:pPr>
              <w:pStyle w:val="TableText"/>
              <w:tabs>
                <w:tab w:val="left" w:pos="3306"/>
              </w:tabs>
              <w:jc w:val="right"/>
              <w:rPr>
                <w:rFonts w:cs="Calibri"/>
              </w:rPr>
            </w:pPr>
          </w:p>
        </w:tc>
      </w:tr>
      <w:tr w:rsidR="00765778" w:rsidRPr="00CF7E1B" w14:paraId="1EEB055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30E2029"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FF47B4B" w14:textId="342B102E" w:rsidR="00765778" w:rsidRPr="00685DB3" w:rsidRDefault="00765778" w:rsidP="00765778">
            <w:pPr>
              <w:pStyle w:val="TableText"/>
              <w:tabs>
                <w:tab w:val="left" w:pos="3306"/>
              </w:tabs>
              <w:rPr>
                <w:rFonts w:cs="Calibri"/>
              </w:rPr>
            </w:pPr>
            <w:r w:rsidRPr="00685DB3">
              <w:t>Gains on Remeasurement of Investments</w:t>
            </w:r>
          </w:p>
        </w:tc>
        <w:tc>
          <w:tcPr>
            <w:tcW w:w="543" w:type="pct"/>
            <w:tcBorders>
              <w:top w:val="nil"/>
              <w:left w:val="nil"/>
              <w:bottom w:val="nil"/>
              <w:right w:val="nil"/>
            </w:tcBorders>
            <w:vAlign w:val="bottom"/>
          </w:tcPr>
          <w:p w14:paraId="012AC125"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nil"/>
              <w:right w:val="nil"/>
            </w:tcBorders>
            <w:vAlign w:val="bottom"/>
          </w:tcPr>
          <w:p w14:paraId="60405433" w14:textId="77777777" w:rsidR="00765778" w:rsidRPr="00685DB3" w:rsidRDefault="00765778" w:rsidP="00765778">
            <w:pPr>
              <w:pStyle w:val="TableText"/>
              <w:tabs>
                <w:tab w:val="left" w:pos="3306"/>
              </w:tabs>
              <w:jc w:val="right"/>
              <w:rPr>
                <w:rFonts w:cs="Calibri"/>
              </w:rPr>
            </w:pPr>
          </w:p>
        </w:tc>
      </w:tr>
      <w:tr w:rsidR="00765778" w:rsidRPr="00CF7E1B" w14:paraId="50E4BE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7C76268" w14:textId="70F1311E" w:rsidR="00765778" w:rsidRPr="00685DB3" w:rsidRDefault="00765778" w:rsidP="00765778">
            <w:pPr>
              <w:pStyle w:val="TableReference"/>
              <w:tabs>
                <w:tab w:val="left" w:pos="3306"/>
              </w:tabs>
              <w:spacing w:before="40"/>
              <w:rPr>
                <w:rFonts w:cs="Calibri"/>
                <w:color w:val="7030A0"/>
                <w:sz w:val="14"/>
              </w:rPr>
            </w:pPr>
            <w:r w:rsidRPr="00685DB3">
              <w:rPr>
                <w:rFonts w:cs="Calibri"/>
                <w:color w:val="7030A0"/>
                <w:sz w:val="14"/>
              </w:rPr>
              <w:t>AASB140.76(d)</w:t>
            </w:r>
          </w:p>
        </w:tc>
        <w:tc>
          <w:tcPr>
            <w:tcW w:w="3101" w:type="pct"/>
            <w:gridSpan w:val="2"/>
            <w:tcBorders>
              <w:top w:val="nil"/>
              <w:left w:val="single" w:sz="2" w:space="0" w:color="auto"/>
              <w:bottom w:val="nil"/>
              <w:right w:val="nil"/>
            </w:tcBorders>
            <w:vAlign w:val="bottom"/>
          </w:tcPr>
          <w:p w14:paraId="171701C1" w14:textId="1AFF8963" w:rsidR="00765778" w:rsidRPr="00685DB3" w:rsidRDefault="00765778" w:rsidP="00765778">
            <w:pPr>
              <w:pStyle w:val="TableText"/>
              <w:tabs>
                <w:tab w:val="left" w:pos="3306"/>
              </w:tabs>
              <w:rPr>
                <w:rFonts w:cs="Calibri"/>
              </w:rPr>
            </w:pPr>
            <w:r w:rsidRPr="00685DB3">
              <w:rPr>
                <w:rFonts w:cs="Calibri"/>
              </w:rPr>
              <w:t>Gains from the Revaluation of Investment Properties</w:t>
            </w:r>
            <w:r>
              <w:rPr>
                <w:rFonts w:cs="Calibri"/>
              </w:rPr>
              <w:t xml:space="preserve"> </w:t>
            </w:r>
          </w:p>
        </w:tc>
        <w:tc>
          <w:tcPr>
            <w:tcW w:w="543" w:type="pct"/>
            <w:tcBorders>
              <w:top w:val="nil"/>
              <w:left w:val="nil"/>
              <w:bottom w:val="single" w:sz="4" w:space="0" w:color="auto"/>
              <w:right w:val="nil"/>
            </w:tcBorders>
            <w:vAlign w:val="bottom"/>
          </w:tcPr>
          <w:p w14:paraId="68AB1803" w14:textId="77777777" w:rsidR="00765778" w:rsidRPr="00685DB3" w:rsidRDefault="00765778" w:rsidP="00765778">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06C50F33" w14:textId="77777777" w:rsidR="00765778" w:rsidRPr="00685DB3" w:rsidRDefault="00765778" w:rsidP="00765778">
            <w:pPr>
              <w:pStyle w:val="TableText"/>
              <w:tabs>
                <w:tab w:val="left" w:pos="3306"/>
              </w:tabs>
              <w:jc w:val="right"/>
              <w:rPr>
                <w:rFonts w:cs="Calibri"/>
              </w:rPr>
            </w:pPr>
          </w:p>
        </w:tc>
      </w:tr>
      <w:tr w:rsidR="00765778" w:rsidRPr="00CF7E1B" w14:paraId="4DE4D34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2F061DA9"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8ACB962" w14:textId="4EABF653" w:rsidR="00765778" w:rsidRPr="009B2E93" w:rsidRDefault="00765778" w:rsidP="00765778">
            <w:pPr>
              <w:jc w:val="both"/>
              <w:rPr>
                <w:b/>
                <w:bCs/>
                <w:sz w:val="18"/>
                <w:szCs w:val="18"/>
              </w:rPr>
            </w:pPr>
            <w:r w:rsidRPr="009B2E93">
              <w:rPr>
                <w:b/>
                <w:bCs/>
                <w:sz w:val="18"/>
                <w:szCs w:val="18"/>
              </w:rPr>
              <w:t>Total Gains on Remeasurement of Assets</w:t>
            </w:r>
          </w:p>
        </w:tc>
        <w:tc>
          <w:tcPr>
            <w:tcW w:w="543" w:type="pct"/>
            <w:tcBorders>
              <w:top w:val="single" w:sz="4" w:space="0" w:color="auto"/>
              <w:left w:val="nil"/>
              <w:bottom w:val="single" w:sz="4" w:space="0" w:color="auto"/>
              <w:right w:val="nil"/>
            </w:tcBorders>
            <w:vAlign w:val="bottom"/>
          </w:tcPr>
          <w:p w14:paraId="3550A80A" w14:textId="77777777" w:rsidR="00765778" w:rsidRPr="00685DB3" w:rsidRDefault="00765778" w:rsidP="00765778">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724B4D63" w14:textId="77777777" w:rsidR="00765778" w:rsidRPr="00685DB3" w:rsidRDefault="00765778" w:rsidP="00765778">
            <w:pPr>
              <w:pStyle w:val="TableText"/>
              <w:tabs>
                <w:tab w:val="left" w:pos="3306"/>
              </w:tabs>
              <w:jc w:val="right"/>
              <w:rPr>
                <w:rFonts w:cs="Calibri"/>
              </w:rPr>
            </w:pPr>
          </w:p>
        </w:tc>
      </w:tr>
      <w:tr w:rsidR="00765778" w:rsidRPr="00CF7E1B" w14:paraId="088F501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D192289"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784EE198" w14:textId="77777777" w:rsidR="00765778" w:rsidRPr="00685DB3" w:rsidRDefault="00765778" w:rsidP="00765778">
            <w:pPr>
              <w:pStyle w:val="TableText"/>
              <w:tabs>
                <w:tab w:val="left" w:pos="3306"/>
              </w:tabs>
              <w:rPr>
                <w:rFonts w:cs="Calibri"/>
              </w:rPr>
            </w:pPr>
          </w:p>
        </w:tc>
        <w:tc>
          <w:tcPr>
            <w:tcW w:w="543" w:type="pct"/>
            <w:tcBorders>
              <w:top w:val="single" w:sz="4" w:space="0" w:color="auto"/>
              <w:left w:val="nil"/>
              <w:bottom w:val="single" w:sz="4" w:space="0" w:color="auto"/>
              <w:right w:val="nil"/>
            </w:tcBorders>
            <w:vAlign w:val="bottom"/>
          </w:tcPr>
          <w:p w14:paraId="05317FEE" w14:textId="77777777" w:rsidR="00765778" w:rsidRPr="00685DB3" w:rsidRDefault="00765778" w:rsidP="00765778">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7057CBD" w14:textId="77777777" w:rsidR="00765778" w:rsidRPr="00685DB3" w:rsidRDefault="00765778" w:rsidP="00765778">
            <w:pPr>
              <w:pStyle w:val="TableText"/>
              <w:tabs>
                <w:tab w:val="left" w:pos="3306"/>
              </w:tabs>
              <w:jc w:val="right"/>
              <w:rPr>
                <w:rFonts w:cs="Calibri"/>
              </w:rPr>
            </w:pPr>
          </w:p>
        </w:tc>
      </w:tr>
      <w:tr w:rsidR="00765778" w:rsidRPr="00CF7E1B" w14:paraId="4DC8F14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BCB8FEB"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0B5D1047" w14:textId="21D49C21" w:rsidR="00765778" w:rsidRPr="009B2E93" w:rsidRDefault="00765778" w:rsidP="00765778">
            <w:pPr>
              <w:jc w:val="both"/>
              <w:rPr>
                <w:b/>
                <w:bCs/>
                <w:sz w:val="18"/>
                <w:szCs w:val="18"/>
              </w:rPr>
            </w:pPr>
            <w:r w:rsidRPr="009B2E93">
              <w:rPr>
                <w:b/>
                <w:bCs/>
                <w:sz w:val="18"/>
                <w:szCs w:val="18"/>
              </w:rPr>
              <w:t>Total Gains from Disposal, Derecognition and Remeasurement of Assets</w:t>
            </w:r>
          </w:p>
        </w:tc>
        <w:tc>
          <w:tcPr>
            <w:tcW w:w="543" w:type="pct"/>
            <w:tcBorders>
              <w:top w:val="single" w:sz="4" w:space="0" w:color="auto"/>
              <w:left w:val="nil"/>
              <w:bottom w:val="double" w:sz="4" w:space="0" w:color="auto"/>
              <w:right w:val="nil"/>
            </w:tcBorders>
            <w:vAlign w:val="bottom"/>
          </w:tcPr>
          <w:p w14:paraId="0C462879" w14:textId="5B7115DB" w:rsidR="00765778" w:rsidRPr="00685DB3" w:rsidRDefault="00765778" w:rsidP="00765778">
            <w:pPr>
              <w:pStyle w:val="TableText"/>
              <w:tabs>
                <w:tab w:val="left" w:pos="3306"/>
              </w:tabs>
              <w:jc w:val="right"/>
              <w:rPr>
                <w:rFonts w:cs="Calibri"/>
                <w:b/>
                <w:bCs/>
              </w:rPr>
            </w:pPr>
          </w:p>
        </w:tc>
        <w:tc>
          <w:tcPr>
            <w:tcW w:w="611" w:type="pct"/>
            <w:tcBorders>
              <w:top w:val="single" w:sz="4" w:space="0" w:color="auto"/>
              <w:left w:val="nil"/>
              <w:bottom w:val="double" w:sz="4" w:space="0" w:color="auto"/>
              <w:right w:val="nil"/>
            </w:tcBorders>
            <w:vAlign w:val="bottom"/>
          </w:tcPr>
          <w:p w14:paraId="7A8B51AA" w14:textId="33122DBA" w:rsidR="00765778" w:rsidRPr="00685DB3" w:rsidRDefault="00765778" w:rsidP="00765778">
            <w:pPr>
              <w:pStyle w:val="TableText"/>
              <w:tabs>
                <w:tab w:val="left" w:pos="3306"/>
              </w:tabs>
              <w:jc w:val="right"/>
              <w:rPr>
                <w:rFonts w:cs="Calibri"/>
                <w:b/>
                <w:bCs/>
              </w:rPr>
            </w:pPr>
          </w:p>
        </w:tc>
      </w:tr>
      <w:tr w:rsidR="00765778" w:rsidRPr="00CF7E1B" w14:paraId="68EB5734"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DDEB45" w14:textId="77777777" w:rsidR="00765778" w:rsidRPr="00685DB3" w:rsidRDefault="00765778" w:rsidP="00765778">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4C9776CE" w14:textId="77777777" w:rsidR="00765778" w:rsidRPr="00685DB3" w:rsidRDefault="00765778" w:rsidP="00765778">
            <w:pPr>
              <w:pStyle w:val="TableText"/>
              <w:tabs>
                <w:tab w:val="left" w:pos="3306"/>
              </w:tabs>
              <w:rPr>
                <w:rFonts w:cs="Calibri"/>
              </w:rPr>
            </w:pPr>
          </w:p>
        </w:tc>
        <w:tc>
          <w:tcPr>
            <w:tcW w:w="543" w:type="pct"/>
            <w:tcBorders>
              <w:top w:val="double" w:sz="4" w:space="0" w:color="auto"/>
              <w:left w:val="nil"/>
              <w:bottom w:val="nil"/>
              <w:right w:val="nil"/>
            </w:tcBorders>
            <w:vAlign w:val="bottom"/>
          </w:tcPr>
          <w:p w14:paraId="69B59446" w14:textId="77777777" w:rsidR="00765778" w:rsidRPr="00685DB3" w:rsidRDefault="00765778" w:rsidP="00765778">
            <w:pPr>
              <w:pStyle w:val="TableText"/>
              <w:tabs>
                <w:tab w:val="left" w:pos="3306"/>
              </w:tabs>
              <w:jc w:val="right"/>
              <w:rPr>
                <w:rFonts w:cs="Calibri"/>
              </w:rPr>
            </w:pPr>
          </w:p>
        </w:tc>
        <w:tc>
          <w:tcPr>
            <w:tcW w:w="611" w:type="pct"/>
            <w:tcBorders>
              <w:top w:val="double" w:sz="4" w:space="0" w:color="auto"/>
              <w:left w:val="nil"/>
              <w:bottom w:val="nil"/>
              <w:right w:val="nil"/>
            </w:tcBorders>
            <w:vAlign w:val="bottom"/>
          </w:tcPr>
          <w:p w14:paraId="760640A8" w14:textId="77777777" w:rsidR="00765778" w:rsidRPr="00685DB3" w:rsidRDefault="00765778" w:rsidP="00765778">
            <w:pPr>
              <w:pStyle w:val="TableText"/>
              <w:tabs>
                <w:tab w:val="left" w:pos="3306"/>
              </w:tabs>
              <w:jc w:val="right"/>
              <w:rPr>
                <w:rFonts w:cs="Calibri"/>
              </w:rPr>
            </w:pPr>
          </w:p>
        </w:tc>
      </w:tr>
      <w:tr w:rsidR="00765778" w:rsidRPr="00CF7E1B" w14:paraId="4D338C0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247CA3" w14:textId="362081AB" w:rsidR="00765778" w:rsidRPr="00685DB3" w:rsidRDefault="00765778" w:rsidP="00765778">
            <w:pPr>
              <w:pStyle w:val="TableReference"/>
              <w:tabs>
                <w:tab w:val="left" w:pos="3306"/>
              </w:tabs>
              <w:spacing w:before="40"/>
              <w:rPr>
                <w:rFonts w:cs="Calibri"/>
                <w:color w:val="7030A0"/>
                <w:sz w:val="14"/>
              </w:rPr>
            </w:pPr>
            <w:r w:rsidRPr="00685DB3">
              <w:rPr>
                <w:rFonts w:cs="Calibri"/>
                <w:color w:val="7030A0"/>
                <w:sz w:val="14"/>
              </w:rPr>
              <w:t>AASB 102.36(g)</w:t>
            </w:r>
          </w:p>
          <w:p w14:paraId="277D4E91" w14:textId="2E10088B" w:rsidR="00765778" w:rsidRPr="00685DB3" w:rsidRDefault="00765778" w:rsidP="00765778">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59333141" w14:textId="6E0E1C14" w:rsidR="00765778" w:rsidRPr="00685DB3" w:rsidRDefault="00765778" w:rsidP="00765778">
            <w:pPr>
              <w:pStyle w:val="TableText"/>
              <w:numPr>
                <w:ilvl w:val="0"/>
                <w:numId w:val="54"/>
              </w:numPr>
              <w:tabs>
                <w:tab w:val="clear" w:pos="2082"/>
                <w:tab w:val="left" w:pos="3306"/>
              </w:tabs>
              <w:spacing w:before="0" w:after="120"/>
              <w:ind w:left="351"/>
              <w:jc w:val="both"/>
              <w:rPr>
                <w:rFonts w:cs="Calibri"/>
              </w:rPr>
            </w:pPr>
            <w:r w:rsidRPr="00685DB3">
              <w:rPr>
                <w:rFonts w:cs="Calibri"/>
              </w:rPr>
              <w:t>The decrease in Gains on Disposal of Investments of $</w:t>
            </w:r>
            <w:r>
              <w:rPr>
                <w:rFonts w:cs="Calibri"/>
              </w:rPr>
              <w:t>xxx</w:t>
            </w:r>
            <w:r w:rsidRPr="00685DB3">
              <w:rPr>
                <w:rFonts w:cs="Calibri"/>
              </w:rPr>
              <w:t xml:space="preserve"> is due to ‘</w:t>
            </w:r>
            <w:r w:rsidRPr="00685DB3">
              <w:t xml:space="preserve">Burley Griffin </w:t>
            </w:r>
            <w:r w:rsidRPr="00685DB3">
              <w:rPr>
                <w:rFonts w:cs="Calibri"/>
              </w:rPr>
              <w:t>Agency’ having fewer investments in 202</w:t>
            </w:r>
            <w:r>
              <w:rPr>
                <w:rFonts w:cs="Calibri"/>
              </w:rPr>
              <w:t>2</w:t>
            </w:r>
            <w:r w:rsidRPr="00685DB3">
              <w:rPr>
                <w:rFonts w:cs="Calibri"/>
              </w:rPr>
              <w:t>-2</w:t>
            </w:r>
            <w:r>
              <w:rPr>
                <w:rFonts w:cs="Calibri"/>
              </w:rPr>
              <w:t>3</w:t>
            </w:r>
            <w:r w:rsidRPr="00685DB3">
              <w:rPr>
                <w:rFonts w:cs="Calibri"/>
                <w:lang w:val="en-US"/>
              </w:rPr>
              <w:t>.</w:t>
            </w:r>
            <w:r w:rsidRPr="00685DB3">
              <w:rPr>
                <w:rFonts w:cs="Calibri"/>
              </w:rPr>
              <w:t xml:space="preserve"> </w:t>
            </w:r>
          </w:p>
          <w:p w14:paraId="0D3BE101" w14:textId="2B839F3B" w:rsidR="00765778" w:rsidRPr="00685DB3" w:rsidRDefault="00765778" w:rsidP="00765778">
            <w:pPr>
              <w:pStyle w:val="ListParagraph"/>
              <w:numPr>
                <w:ilvl w:val="0"/>
                <w:numId w:val="54"/>
              </w:numPr>
              <w:tabs>
                <w:tab w:val="clear" w:pos="2082"/>
              </w:tabs>
              <w:ind w:left="351"/>
              <w:rPr>
                <w:sz w:val="20"/>
                <w:szCs w:val="20"/>
              </w:rPr>
            </w:pPr>
            <w:r w:rsidRPr="00685DB3">
              <w:rPr>
                <w:sz w:val="18"/>
                <w:szCs w:val="18"/>
              </w:rPr>
              <w:t xml:space="preserve">The reversal of the write-down of inventory </w:t>
            </w:r>
            <w:r w:rsidRPr="00685DB3">
              <w:rPr>
                <w:rFonts w:cs="Calibri"/>
                <w:sz w:val="18"/>
                <w:szCs w:val="18"/>
              </w:rPr>
              <w:t>of $</w:t>
            </w:r>
            <w:r>
              <w:rPr>
                <w:rFonts w:cs="Calibri"/>
                <w:sz w:val="18"/>
                <w:szCs w:val="18"/>
              </w:rPr>
              <w:t>xxx</w:t>
            </w:r>
            <w:r w:rsidRPr="00685DB3">
              <w:rPr>
                <w:sz w:val="18"/>
                <w:szCs w:val="18"/>
              </w:rPr>
              <w:t xml:space="preserve"> was due to a reassessment of the net realisable value of that inventory.</w:t>
            </w:r>
          </w:p>
        </w:tc>
      </w:tr>
      <w:tr w:rsidR="00765778" w:rsidRPr="00CF7E1B" w14:paraId="5C0DE7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709EDD" w14:textId="77777777" w:rsidR="00765778" w:rsidRPr="00685DB3" w:rsidRDefault="00765778" w:rsidP="00765778">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0C8B6E2A" w14:textId="77777777" w:rsidR="00765778" w:rsidRPr="00F14B06" w:rsidRDefault="00765778" w:rsidP="00765778">
            <w:pPr>
              <w:pStyle w:val="TableText"/>
              <w:tabs>
                <w:tab w:val="left" w:pos="3306"/>
              </w:tabs>
              <w:spacing w:before="0" w:after="120"/>
              <w:jc w:val="both"/>
              <w:rPr>
                <w:rFonts w:cs="Calibri"/>
              </w:rPr>
            </w:pPr>
          </w:p>
        </w:tc>
      </w:tr>
      <w:tr w:rsidR="00765778" w:rsidRPr="00CF7E1B" w14:paraId="324F089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D909A66" w14:textId="01A24610" w:rsidR="00765778" w:rsidRPr="00685DB3" w:rsidRDefault="00765778" w:rsidP="00765778">
            <w:pPr>
              <w:pStyle w:val="TableReference"/>
              <w:tabs>
                <w:tab w:val="left" w:pos="3306"/>
              </w:tabs>
              <w:spacing w:before="240" w:after="240"/>
              <w:rPr>
                <w:rFonts w:cs="Calibri"/>
                <w:b/>
                <w:color w:val="7030A0"/>
                <w:sz w:val="14"/>
              </w:rPr>
            </w:pPr>
            <w:r w:rsidRPr="00685DB3">
              <w:rPr>
                <w:color w:val="7030A0"/>
                <w:sz w:val="14"/>
              </w:rPr>
              <w:br w:type="page"/>
            </w:r>
            <w:r w:rsidRPr="00685DB3">
              <w:rPr>
                <w:color w:val="7030A0"/>
                <w:sz w:val="14"/>
              </w:rPr>
              <w:br w:type="page"/>
            </w:r>
            <w:r w:rsidRPr="00685DB3">
              <w:rPr>
                <w:rFonts w:cs="Calibri"/>
                <w:b/>
                <w:color w:val="7030A0"/>
                <w:sz w:val="14"/>
              </w:rPr>
              <w:br w:type="page"/>
            </w:r>
          </w:p>
        </w:tc>
        <w:tc>
          <w:tcPr>
            <w:tcW w:w="4255" w:type="pct"/>
            <w:gridSpan w:val="4"/>
            <w:tcBorders>
              <w:top w:val="nil"/>
              <w:left w:val="single" w:sz="2" w:space="0" w:color="auto"/>
              <w:bottom w:val="nil"/>
              <w:right w:val="nil"/>
            </w:tcBorders>
            <w:shd w:val="clear" w:color="auto" w:fill="7030A0"/>
          </w:tcPr>
          <w:p w14:paraId="3F80266D" w14:textId="38E86C2C" w:rsidR="00765778" w:rsidRPr="00685DB3" w:rsidRDefault="00765778" w:rsidP="00765778">
            <w:pPr>
              <w:pStyle w:val="CommentaryTitle"/>
              <w:spacing w:before="240" w:after="240"/>
              <w:rPr>
                <w:rFonts w:cs="Calibri"/>
                <w:bCs w:val="0"/>
                <w:color w:val="FFFFFF" w:themeColor="background1"/>
                <w:sz w:val="28"/>
                <w:szCs w:val="28"/>
              </w:rPr>
            </w:pPr>
            <w:bookmarkStart w:id="437" w:name="_Toc163106320"/>
            <w:bookmarkStart w:id="438" w:name="_Toc194977575"/>
            <w:r w:rsidRPr="00685DB3">
              <w:rPr>
                <w:rFonts w:cs="Calibri"/>
                <w:bCs w:val="0"/>
                <w:color w:val="FFFFFF" w:themeColor="background1"/>
                <w:sz w:val="28"/>
                <w:szCs w:val="28"/>
              </w:rPr>
              <w:t xml:space="preserve">Commentary – Note 8: Gains </w:t>
            </w:r>
            <w:bookmarkEnd w:id="437"/>
            <w:bookmarkEnd w:id="438"/>
            <w:r w:rsidRPr="00685DB3">
              <w:rPr>
                <w:rFonts w:cs="Calibri"/>
                <w:bCs w:val="0"/>
                <w:color w:val="FFFFFF" w:themeColor="background1"/>
                <w:sz w:val="28"/>
                <w:szCs w:val="28"/>
              </w:rPr>
              <w:t xml:space="preserve">from Disposal, Derecognition and Remeasurement of Assets </w:t>
            </w:r>
          </w:p>
        </w:tc>
      </w:tr>
      <w:tr w:rsidR="00765778" w:rsidRPr="00CF7E1B" w14:paraId="6503CA9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7490A59" w14:textId="77777777" w:rsidR="00765778" w:rsidRPr="00685DB3" w:rsidRDefault="00765778" w:rsidP="00765778">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1EEA00" w14:textId="59F7118A" w:rsidR="00765778" w:rsidRPr="00685DB3" w:rsidRDefault="00765778" w:rsidP="00765778">
            <w:pPr>
              <w:pStyle w:val="CommentaryText"/>
              <w:rPr>
                <w:rFonts w:cs="Calibri"/>
                <w:strike/>
                <w:color w:val="FFFFFF" w:themeColor="background1"/>
                <w:sz w:val="18"/>
                <w:szCs w:val="18"/>
              </w:rPr>
            </w:pPr>
            <w:r w:rsidRPr="00685DB3">
              <w:rPr>
                <w:rFonts w:cs="Calibri"/>
                <w:color w:val="FFFFFF" w:themeColor="background1"/>
                <w:sz w:val="18"/>
                <w:szCs w:val="18"/>
              </w:rPr>
              <w:t>The breakdown shown in this note disclosure is an example only.</w:t>
            </w:r>
            <w:r>
              <w:rPr>
                <w:rFonts w:cs="Calibri"/>
                <w:color w:val="FFFFFF" w:themeColor="background1"/>
                <w:sz w:val="18"/>
                <w:szCs w:val="18"/>
              </w:rPr>
              <w:t xml:space="preserve"> </w:t>
            </w:r>
            <w:r w:rsidRPr="00685DB3">
              <w:rPr>
                <w:rFonts w:cs="Calibri"/>
                <w:color w:val="FFFFFF" w:themeColor="background1"/>
                <w:sz w:val="18"/>
                <w:szCs w:val="18"/>
              </w:rPr>
              <w:t>Agencies should only include line items that are applicable to them where material.</w:t>
            </w:r>
            <w:r>
              <w:rPr>
                <w:rFonts w:cs="Calibri"/>
                <w:color w:val="FFFFFF" w:themeColor="background1"/>
                <w:sz w:val="18"/>
                <w:szCs w:val="18"/>
              </w:rPr>
              <w:t xml:space="preserve"> </w:t>
            </w:r>
          </w:p>
        </w:tc>
      </w:tr>
      <w:tr w:rsidR="00765778" w:rsidRPr="00CF7E1B" w14:paraId="0A75AAC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E16F8C3" w14:textId="4597EDB4" w:rsidR="00765778" w:rsidRPr="00685DB3" w:rsidRDefault="00765778" w:rsidP="00765778">
            <w:pPr>
              <w:pStyle w:val="TableReference"/>
              <w:tabs>
                <w:tab w:val="left" w:pos="3306"/>
              </w:tabs>
              <w:spacing w:before="120"/>
              <w:rPr>
                <w:rFonts w:cs="Calibri"/>
                <w:color w:val="7030A0"/>
                <w:sz w:val="14"/>
              </w:rPr>
            </w:pPr>
            <w:r w:rsidRPr="00685DB3">
              <w:rPr>
                <w:rFonts w:cs="Calibri"/>
                <w:color w:val="7030A0"/>
                <w:sz w:val="14"/>
              </w:rPr>
              <w:t>AASB 101.35</w:t>
            </w:r>
          </w:p>
          <w:p w14:paraId="3B57E396" w14:textId="77777777" w:rsidR="00765778" w:rsidRPr="00685DB3" w:rsidRDefault="00765778" w:rsidP="00765778">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5C2BA66" w14:textId="2BB9B1B2" w:rsidR="00765778" w:rsidRPr="00685DB3" w:rsidRDefault="00765778" w:rsidP="00765778">
            <w:pPr>
              <w:pStyle w:val="CommentaryText"/>
              <w:rPr>
                <w:rFonts w:cs="Calibri"/>
                <w:color w:val="FFFFFF" w:themeColor="background1"/>
                <w:sz w:val="18"/>
                <w:szCs w:val="18"/>
              </w:rPr>
            </w:pPr>
            <w:r w:rsidRPr="00685DB3">
              <w:rPr>
                <w:rFonts w:cs="Calibri"/>
                <w:color w:val="FFFFFF" w:themeColor="background1"/>
                <w:sz w:val="18"/>
                <w:szCs w:val="18"/>
              </w:rPr>
              <w:t>Gains and losses arising from a group of similar transactions should be reported on a net basis.</w:t>
            </w:r>
            <w:r>
              <w:rPr>
                <w:rFonts w:cs="Calibri"/>
                <w:color w:val="FFFFFF" w:themeColor="background1"/>
                <w:sz w:val="18"/>
                <w:szCs w:val="18"/>
              </w:rPr>
              <w:t xml:space="preserve"> </w:t>
            </w:r>
            <w:r w:rsidRPr="00685DB3">
              <w:rPr>
                <w:rFonts w:cs="Calibri"/>
                <w:color w:val="FFFFFF" w:themeColor="background1"/>
                <w:sz w:val="18"/>
                <w:szCs w:val="18"/>
              </w:rPr>
              <w:t xml:space="preserve">However, if the gains and losses are material they should be reported separately, except for the </w:t>
            </w:r>
            <w:bookmarkStart w:id="439" w:name="_Hlk91001179"/>
            <w:r w:rsidRPr="00685DB3">
              <w:rPr>
                <w:rFonts w:cs="Calibri"/>
                <w:color w:val="FFFFFF" w:themeColor="background1"/>
                <w:sz w:val="18"/>
                <w:szCs w:val="18"/>
              </w:rPr>
              <w:t>Territory Banking Account who will show all gains and losses resulting from financial assets on a net basis.</w:t>
            </w:r>
            <w:bookmarkEnd w:id="439"/>
          </w:p>
        </w:tc>
      </w:tr>
      <w:tr w:rsidR="00765778" w:rsidRPr="00CF7E1B" w14:paraId="48249D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6201EF" w14:textId="77777777" w:rsidR="00765778" w:rsidRPr="00685DB3" w:rsidRDefault="00765778" w:rsidP="00765778">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5BF1039E" w14:textId="0251F579" w:rsidR="00765778" w:rsidRPr="00685DB3" w:rsidRDefault="00765778" w:rsidP="00765778">
            <w:pPr>
              <w:pStyle w:val="CommentaryText"/>
              <w:rPr>
                <w:rFonts w:cs="Calibri"/>
                <w:color w:val="FFFFFF" w:themeColor="background1"/>
                <w:sz w:val="18"/>
                <w:szCs w:val="18"/>
              </w:rPr>
            </w:pPr>
            <w:r w:rsidRPr="00685DB3">
              <w:rPr>
                <w:rFonts w:cs="Calibri"/>
                <w:color w:val="FFFFFF" w:themeColor="background1"/>
                <w:sz w:val="18"/>
                <w:szCs w:val="18"/>
              </w:rPr>
              <w:t xml:space="preserve">If an agency has made a net gain on investments held with the Territory Banking Account or on the Sale of Assets this is presented in </w:t>
            </w:r>
            <w:r w:rsidRPr="00685DB3">
              <w:rPr>
                <w:rFonts w:cs="Calibri"/>
                <w:i/>
                <w:iCs/>
                <w:color w:val="FFFFFF" w:themeColor="background1"/>
                <w:sz w:val="18"/>
                <w:szCs w:val="18"/>
              </w:rPr>
              <w:t>Gains from Disposal, Derecognition and Remeasurement of Assets</w:t>
            </w:r>
            <w:r w:rsidRPr="00685DB3">
              <w:rPr>
                <w:rFonts w:cs="Calibri"/>
                <w:color w:val="FFFFFF" w:themeColor="background1"/>
                <w:sz w:val="18"/>
                <w:szCs w:val="18"/>
              </w:rPr>
              <w:t xml:space="preserve">. If an agency makes a net loss on investments with the Territory Banking Account or on the Sale of Assets, this amount will appear in Note 14 </w:t>
            </w:r>
            <w:r w:rsidRPr="00685DB3">
              <w:rPr>
                <w:rFonts w:cs="Calibri"/>
                <w:i/>
                <w:iCs/>
                <w:color w:val="FFFFFF" w:themeColor="background1"/>
                <w:sz w:val="18"/>
                <w:szCs w:val="18"/>
              </w:rPr>
              <w:t>Other Expenses</w:t>
            </w:r>
            <w:r w:rsidRPr="00685DB3">
              <w:rPr>
                <w:rFonts w:cs="Calibri"/>
                <w:color w:val="FFFFFF" w:themeColor="background1"/>
                <w:sz w:val="18"/>
                <w:szCs w:val="18"/>
              </w:rPr>
              <w:t>.</w:t>
            </w:r>
          </w:p>
        </w:tc>
      </w:tr>
      <w:tr w:rsidR="00765778" w:rsidRPr="00CF7E1B" w14:paraId="27F6529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436864D" w14:textId="77777777" w:rsidR="00765778" w:rsidRPr="00685DB3" w:rsidRDefault="00765778" w:rsidP="00765778">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7E6955E" w14:textId="1A3487B2" w:rsidR="00765778" w:rsidRPr="00685DB3" w:rsidRDefault="00765778" w:rsidP="00765778">
            <w:pPr>
              <w:pStyle w:val="CommentaryText"/>
              <w:spacing w:after="40"/>
              <w:rPr>
                <w:rFonts w:cs="Calibri"/>
                <w:color w:val="FFFFFF" w:themeColor="background1"/>
                <w:sz w:val="18"/>
                <w:szCs w:val="18"/>
              </w:rPr>
            </w:pPr>
            <w:r w:rsidRPr="00685DB3">
              <w:rPr>
                <w:rFonts w:cs="Calibri"/>
                <w:color w:val="FFFFFF" w:themeColor="background1"/>
                <w:sz w:val="18"/>
                <w:szCs w:val="18"/>
              </w:rPr>
              <w:t xml:space="preserve">Agencies should be aware that if they have material amounts against the line items listed below, they should be included in </w:t>
            </w:r>
            <w:r w:rsidRPr="00E37048">
              <w:rPr>
                <w:rFonts w:cs="Calibri"/>
                <w:strike/>
                <w:color w:val="FF0000"/>
                <w:sz w:val="18"/>
                <w:szCs w:val="18"/>
              </w:rPr>
              <w:t>the</w:t>
            </w:r>
            <w:r w:rsidRPr="00E37048">
              <w:rPr>
                <w:rFonts w:cs="Calibri"/>
                <w:color w:val="FFFFFF" w:themeColor="background1"/>
                <w:sz w:val="18"/>
                <w:szCs w:val="18"/>
              </w:rPr>
              <w:t xml:space="preserve"> </w:t>
            </w:r>
            <w:r w:rsidRPr="00E37048">
              <w:rPr>
                <w:rFonts w:cs="Calibri"/>
                <w:color w:val="FF0000"/>
                <w:sz w:val="18"/>
                <w:szCs w:val="18"/>
              </w:rPr>
              <w:t>Note 9</w:t>
            </w:r>
            <w:r w:rsidRPr="00E37048">
              <w:rPr>
                <w:rFonts w:cs="Calibri"/>
                <w:color w:val="FFFFFF" w:themeColor="background1"/>
                <w:sz w:val="18"/>
                <w:szCs w:val="18"/>
              </w:rPr>
              <w:t xml:space="preserve"> </w:t>
            </w:r>
            <w:r w:rsidRPr="00E37048">
              <w:rPr>
                <w:rFonts w:cs="Calibri"/>
                <w:i/>
                <w:iCs/>
                <w:color w:val="FFFFFF" w:themeColor="background1"/>
                <w:sz w:val="18"/>
                <w:szCs w:val="18"/>
              </w:rPr>
              <w:t>Other Income</w:t>
            </w:r>
            <w:r w:rsidRPr="00E37048">
              <w:rPr>
                <w:rFonts w:cs="Calibri"/>
                <w:color w:val="FFFFFF" w:themeColor="background1"/>
                <w:sz w:val="18"/>
                <w:szCs w:val="18"/>
              </w:rPr>
              <w:t xml:space="preserve"> </w:t>
            </w:r>
            <w:r w:rsidRPr="00E37048">
              <w:rPr>
                <w:rFonts w:cs="Calibri"/>
                <w:strike/>
                <w:color w:val="FF0000"/>
                <w:sz w:val="18"/>
                <w:szCs w:val="18"/>
              </w:rPr>
              <w:t>note</w:t>
            </w:r>
            <w:r w:rsidRPr="00E37048">
              <w:rPr>
                <w:rFonts w:cs="Calibri"/>
                <w:color w:val="FFFFFF" w:themeColor="background1"/>
                <w:sz w:val="18"/>
                <w:szCs w:val="18"/>
              </w:rPr>
              <w:t>:</w:t>
            </w:r>
          </w:p>
          <w:p w14:paraId="27F416CD" w14:textId="37DA4B39" w:rsidR="00765778" w:rsidRPr="00685DB3" w:rsidRDefault="00765778" w:rsidP="00765778">
            <w:pPr>
              <w:pStyle w:val="CommentaryText"/>
              <w:keepNext/>
              <w:keepLines/>
              <w:numPr>
                <w:ilvl w:val="0"/>
                <w:numId w:val="52"/>
              </w:numPr>
              <w:tabs>
                <w:tab w:val="left" w:pos="3306"/>
              </w:tabs>
              <w:spacing w:after="0"/>
              <w:ind w:left="463"/>
              <w:rPr>
                <w:rFonts w:cs="Calibri"/>
                <w:color w:val="FFFFFF" w:themeColor="background1"/>
                <w:sz w:val="18"/>
                <w:szCs w:val="18"/>
              </w:rPr>
            </w:pPr>
            <w:r w:rsidRPr="00685DB3">
              <w:rPr>
                <w:rFonts w:cs="Calibri"/>
                <w:color w:val="FFFFFF" w:themeColor="background1"/>
                <w:sz w:val="18"/>
                <w:szCs w:val="18"/>
              </w:rPr>
              <w:t>reversal of asset revaluation decrements previously expensed, or</w:t>
            </w:r>
          </w:p>
          <w:p w14:paraId="0ACAFA70" w14:textId="3E955CD0" w:rsidR="00765778" w:rsidRPr="00685DB3" w:rsidRDefault="00765778" w:rsidP="00765778">
            <w:pPr>
              <w:pStyle w:val="CommentaryText"/>
              <w:keepNext/>
              <w:keepLines/>
              <w:numPr>
                <w:ilvl w:val="0"/>
                <w:numId w:val="52"/>
              </w:numPr>
              <w:tabs>
                <w:tab w:val="left" w:pos="3306"/>
              </w:tabs>
              <w:spacing w:after="0"/>
              <w:ind w:left="463"/>
              <w:rPr>
                <w:rFonts w:cs="Calibri"/>
                <w:color w:val="FFFFFF" w:themeColor="background1"/>
                <w:sz w:val="18"/>
                <w:szCs w:val="18"/>
              </w:rPr>
            </w:pPr>
            <w:r w:rsidRPr="00685DB3">
              <w:rPr>
                <w:rFonts w:cs="Calibri"/>
                <w:color w:val="FFFFFF" w:themeColor="background1"/>
                <w:sz w:val="18"/>
                <w:szCs w:val="18"/>
              </w:rPr>
              <w:t>re-recognition of assets previously written</w:t>
            </w:r>
            <w:r>
              <w:rPr>
                <w:rFonts w:cs="Calibri"/>
                <w:color w:val="FFFFFF" w:themeColor="background1"/>
                <w:sz w:val="18"/>
                <w:szCs w:val="18"/>
              </w:rPr>
              <w:t xml:space="preserve"> </w:t>
            </w:r>
            <w:r w:rsidRPr="00685DB3">
              <w:rPr>
                <w:rFonts w:cs="Calibri"/>
                <w:color w:val="FFFFFF" w:themeColor="background1"/>
                <w:sz w:val="18"/>
                <w:szCs w:val="18"/>
              </w:rPr>
              <w:t>off.</w:t>
            </w:r>
          </w:p>
        </w:tc>
      </w:tr>
      <w:tr w:rsidR="00765778" w:rsidRPr="00CF7E1B" w14:paraId="47561C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08EFEA4" w14:textId="77777777" w:rsidR="00765778" w:rsidRPr="00685DB3" w:rsidRDefault="00765778" w:rsidP="00765778">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CBA3C2" w14:textId="46D78F57" w:rsidR="00765778" w:rsidRPr="00C34A6F" w:rsidRDefault="00765778" w:rsidP="00765778">
            <w:pPr>
              <w:pStyle w:val="CommentaryText"/>
              <w:spacing w:before="120" w:after="40"/>
              <w:rPr>
                <w:rFonts w:cs="Calibri"/>
                <w:strike/>
                <w:color w:val="FFFFFF" w:themeColor="background1"/>
                <w:szCs w:val="20"/>
              </w:rPr>
            </w:pPr>
            <w:r w:rsidRPr="00C34A6F">
              <w:rPr>
                <w:rFonts w:cs="Calibri"/>
                <w:b/>
                <w:bCs/>
                <w:color w:val="FFFFFF" w:themeColor="background1"/>
                <w:szCs w:val="20"/>
              </w:rPr>
              <w:t>Reversal of Impairment Loss</w:t>
            </w:r>
          </w:p>
        </w:tc>
      </w:tr>
      <w:tr w:rsidR="00765778" w:rsidRPr="00CF7E1B" w14:paraId="3A3A96F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2A5F0A" w14:textId="77777777" w:rsidR="00765778" w:rsidRPr="00685DB3" w:rsidRDefault="00765778" w:rsidP="00765778">
            <w:pPr>
              <w:pStyle w:val="TableReference"/>
              <w:tabs>
                <w:tab w:val="left" w:pos="3306"/>
              </w:tabs>
              <w:spacing w:before="120"/>
              <w:rPr>
                <w:rFonts w:cs="Calibri"/>
                <w:color w:val="7030A0"/>
                <w:sz w:val="14"/>
              </w:rPr>
            </w:pPr>
            <w:r w:rsidRPr="00685DB3">
              <w:rPr>
                <w:rFonts w:cs="Calibri"/>
                <w:color w:val="7030A0"/>
                <w:sz w:val="14"/>
              </w:rPr>
              <w:t>AASB 136.126(b)</w:t>
            </w:r>
          </w:p>
          <w:p w14:paraId="33BDCF1F" w14:textId="77777777" w:rsidR="00765778" w:rsidRPr="00685DB3" w:rsidRDefault="00765778" w:rsidP="00765778">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13BFA571" w14:textId="7DAD394B" w:rsidR="00765778" w:rsidRPr="00685DB3" w:rsidRDefault="00765778" w:rsidP="00765778">
            <w:pPr>
              <w:pStyle w:val="CommentaryText"/>
              <w:rPr>
                <w:rFonts w:cs="Calibri"/>
                <w:strike/>
                <w:color w:val="FFFFFF" w:themeColor="background1"/>
                <w:sz w:val="18"/>
                <w:szCs w:val="18"/>
              </w:rPr>
            </w:pPr>
            <w:r w:rsidRPr="00685DB3">
              <w:rPr>
                <w:rFonts w:cs="Calibri"/>
                <w:color w:val="FFFFFF" w:themeColor="background1"/>
                <w:sz w:val="18"/>
                <w:szCs w:val="18"/>
              </w:rPr>
              <w:t xml:space="preserve">An agency shall disclose, for each </w:t>
            </w:r>
            <w:r w:rsidRPr="00E37048">
              <w:rPr>
                <w:rFonts w:cs="Calibri"/>
                <w:strike/>
                <w:color w:val="FF0000"/>
                <w:sz w:val="18"/>
                <w:szCs w:val="18"/>
              </w:rPr>
              <w:t>class of</w:t>
            </w:r>
            <w:r w:rsidRPr="00E37048">
              <w:rPr>
                <w:rFonts w:cs="Calibri"/>
                <w:color w:val="FF0000"/>
                <w:sz w:val="18"/>
                <w:szCs w:val="18"/>
              </w:rPr>
              <w:t xml:space="preserve"> </w:t>
            </w:r>
            <w:r w:rsidRPr="00E37048">
              <w:rPr>
                <w:rFonts w:cs="Calibri"/>
                <w:color w:val="FFFFFF" w:themeColor="background1"/>
                <w:sz w:val="18"/>
                <w:szCs w:val="18"/>
              </w:rPr>
              <w:t xml:space="preserve">asset </w:t>
            </w:r>
            <w:r w:rsidRPr="00E37048">
              <w:rPr>
                <w:rFonts w:cs="Calibri"/>
                <w:color w:val="FF0000"/>
                <w:sz w:val="18"/>
                <w:szCs w:val="18"/>
              </w:rPr>
              <w:t>class</w:t>
            </w:r>
            <w:r w:rsidRPr="00E37048">
              <w:rPr>
                <w:rFonts w:cs="Calibri"/>
                <w:color w:val="FFFFFF" w:themeColor="background1"/>
                <w:sz w:val="18"/>
                <w:szCs w:val="18"/>
              </w:rPr>
              <w:t>,</w:t>
            </w:r>
            <w:r w:rsidRPr="00685DB3">
              <w:rPr>
                <w:rFonts w:cs="Calibri"/>
                <w:color w:val="FFFFFF" w:themeColor="background1"/>
                <w:sz w:val="18"/>
                <w:szCs w:val="18"/>
              </w:rPr>
              <w:t xml:space="preserve"> the amount of reversals of impairment losses recognised in the Operating Statement during the reporting period and the line item(s) of the Operating Statement in which those impairment losses are reversed.</w:t>
            </w:r>
            <w:r>
              <w:rPr>
                <w:rFonts w:cs="Calibri"/>
                <w:color w:val="FFFFFF" w:themeColor="background1"/>
                <w:sz w:val="18"/>
                <w:szCs w:val="18"/>
              </w:rPr>
              <w:t xml:space="preserve"> </w:t>
            </w:r>
            <w:r w:rsidRPr="00685DB3">
              <w:rPr>
                <w:rFonts w:cs="Calibri"/>
                <w:color w:val="FFFFFF" w:themeColor="background1"/>
                <w:sz w:val="18"/>
                <w:szCs w:val="18"/>
              </w:rPr>
              <w:t>However, given that agencies are required to measure most Property, Plant and Equipment at fair value, most reversals of impairment losses will go through the Asset Revaluation Surplus.</w:t>
            </w:r>
            <w:r>
              <w:rPr>
                <w:rFonts w:cs="Calibri"/>
                <w:color w:val="FFFFFF" w:themeColor="background1"/>
                <w:sz w:val="18"/>
                <w:szCs w:val="18"/>
              </w:rPr>
              <w:t xml:space="preserve"> </w:t>
            </w:r>
            <w:r w:rsidRPr="00685DB3">
              <w:rPr>
                <w:rFonts w:cs="Calibri"/>
                <w:color w:val="FFFFFF" w:themeColor="background1"/>
                <w:sz w:val="18"/>
                <w:szCs w:val="18"/>
              </w:rPr>
              <w:t>Any balance not able to be met by the Asset Revaluation Surplus would be recognised in the Operating Statement.</w:t>
            </w:r>
          </w:p>
        </w:tc>
      </w:tr>
      <w:tr w:rsidR="00765778" w:rsidRPr="00732D84" w14:paraId="6BE8973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32C02D23" w14:textId="0534F6CC" w:rsidR="00765778" w:rsidRPr="0046400A" w:rsidRDefault="00765778" w:rsidP="00765778">
            <w:pPr>
              <w:pStyle w:val="TableReference"/>
              <w:tabs>
                <w:tab w:val="left" w:pos="3306"/>
              </w:tabs>
              <w:spacing w:before="240" w:after="240"/>
              <w:rPr>
                <w:rFonts w:cs="Calibri"/>
                <w:b/>
                <w:color w:val="7030A0"/>
                <w:sz w:val="22"/>
                <w:szCs w:val="22"/>
              </w:rPr>
            </w:pPr>
            <w:bookmarkStart w:id="440" w:name="GainsOther" w:colFirst="1" w:colLast="1"/>
            <w:r w:rsidRPr="0046400A">
              <w:rPr>
                <w:color w:val="7030A0"/>
              </w:rPr>
              <w:br w:type="page"/>
            </w:r>
            <w:r w:rsidRPr="0046400A">
              <w:rPr>
                <w:rFonts w:cs="Calibri"/>
                <w:b/>
                <w:color w:val="7030A0"/>
                <w:sz w:val="22"/>
                <w:szCs w:val="22"/>
              </w:rPr>
              <w:t>Reference</w:t>
            </w:r>
          </w:p>
        </w:tc>
        <w:tc>
          <w:tcPr>
            <w:tcW w:w="4255" w:type="pct"/>
            <w:gridSpan w:val="4"/>
            <w:tcBorders>
              <w:top w:val="nil"/>
              <w:left w:val="single" w:sz="2" w:space="0" w:color="auto"/>
              <w:bottom w:val="nil"/>
              <w:right w:val="nil"/>
            </w:tcBorders>
          </w:tcPr>
          <w:p w14:paraId="119067BE" w14:textId="118C96AF" w:rsidR="00765778" w:rsidRPr="0046400A" w:rsidRDefault="00765778" w:rsidP="00765778">
            <w:pPr>
              <w:pStyle w:val="Heading1"/>
              <w:numPr>
                <w:ilvl w:val="0"/>
                <w:numId w:val="0"/>
              </w:numPr>
            </w:pPr>
            <w:bookmarkStart w:id="441" w:name="OLE_LINK14"/>
            <w:bookmarkStart w:id="442" w:name="_Toc400627328"/>
            <w:bookmarkStart w:id="443" w:name="_Toc132743790"/>
            <w:r w:rsidRPr="0046400A">
              <w:t>Note 9.</w:t>
            </w:r>
            <w:r>
              <w:t xml:space="preserve"> </w:t>
            </w:r>
            <w:r w:rsidRPr="0046400A">
              <w:t xml:space="preserve"> Other Income</w:t>
            </w:r>
            <w:bookmarkEnd w:id="441"/>
            <w:bookmarkEnd w:id="442"/>
            <w:bookmarkEnd w:id="443"/>
            <w:r w:rsidRPr="0046400A">
              <w:t xml:space="preserve"> </w:t>
            </w:r>
          </w:p>
        </w:tc>
      </w:tr>
      <w:tr w:rsidR="00765778" w:rsidRPr="00732D84" w14:paraId="327612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30EBE26" w14:textId="77777777" w:rsidR="00765778" w:rsidRPr="0046400A" w:rsidRDefault="00765778" w:rsidP="00765778">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17A1BA55" w14:textId="3AB621B7" w:rsidR="00765778" w:rsidRPr="009B2E93" w:rsidRDefault="00765778" w:rsidP="00765778">
            <w:pPr>
              <w:spacing w:after="40"/>
              <w:jc w:val="both"/>
              <w:rPr>
                <w:rFonts w:cs="Calibri"/>
                <w:b/>
                <w:bCs/>
                <w:caps/>
                <w:sz w:val="18"/>
                <w:szCs w:val="18"/>
              </w:rPr>
            </w:pPr>
            <w:bookmarkStart w:id="444" w:name="_Toc98763078"/>
            <w:r w:rsidRPr="009B2E93">
              <w:rPr>
                <w:rFonts w:cs="Calibri"/>
                <w:b/>
                <w:bCs/>
                <w:sz w:val="18"/>
                <w:szCs w:val="18"/>
              </w:rPr>
              <w:t>Description</w:t>
            </w:r>
            <w:r w:rsidRPr="009B2E93">
              <w:rPr>
                <w:b/>
                <w:bCs/>
                <w:sz w:val="18"/>
                <w:szCs w:val="18"/>
              </w:rPr>
              <w:t xml:space="preserve"> and Material Accounting Policies Relating to Other Income</w:t>
            </w:r>
            <w:bookmarkEnd w:id="444"/>
          </w:p>
        </w:tc>
      </w:tr>
      <w:tr w:rsidR="00765778" w:rsidRPr="00732D84" w14:paraId="638B6B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1484D60A" w14:textId="77777777" w:rsidR="00765778" w:rsidRPr="0046400A" w:rsidRDefault="00765778" w:rsidP="00765778">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713F42E" w14:textId="0BF226C2" w:rsidR="00765778" w:rsidRPr="009B2E93" w:rsidRDefault="00765778" w:rsidP="00765778">
            <w:pPr>
              <w:jc w:val="both"/>
              <w:rPr>
                <w:i/>
                <w:iCs/>
                <w:caps/>
                <w:sz w:val="18"/>
                <w:szCs w:val="18"/>
              </w:rPr>
            </w:pPr>
            <w:bookmarkStart w:id="445" w:name="_Toc98763079"/>
            <w:r w:rsidRPr="009B2E93">
              <w:rPr>
                <w:i/>
                <w:iCs/>
                <w:sz w:val="18"/>
                <w:szCs w:val="18"/>
              </w:rPr>
              <w:t>Revenue from Service Concession Arrangements</w:t>
            </w:r>
            <w:bookmarkEnd w:id="445"/>
          </w:p>
        </w:tc>
      </w:tr>
      <w:tr w:rsidR="00765778" w:rsidRPr="009B2E93" w14:paraId="263283F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2E1DFDE8" w14:textId="77777777" w:rsidR="00765778" w:rsidRPr="0046400A" w:rsidRDefault="00765778" w:rsidP="00765778">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FA2736A" w14:textId="3FA93430" w:rsidR="00765778" w:rsidRPr="009B2E93" w:rsidRDefault="00765778" w:rsidP="00765778">
            <w:pPr>
              <w:spacing w:after="120"/>
              <w:jc w:val="both"/>
              <w:rPr>
                <w:caps/>
                <w:sz w:val="18"/>
                <w:szCs w:val="18"/>
              </w:rPr>
            </w:pPr>
            <w:bookmarkStart w:id="446" w:name="_Toc98763080"/>
            <w:r w:rsidRPr="009B2E93">
              <w:rPr>
                <w:sz w:val="18"/>
                <w:szCs w:val="18"/>
              </w:rPr>
              <w:t xml:space="preserve">Revenue from Service Concession Arrangements is revenue that is recognised over time as the corresponding ‘Grant of a Right to Operate’ liability reduces over the remaining period of the Service Concession Arrangement. For more information in relation to service concession arrangements refer to Note 39 </w:t>
            </w:r>
            <w:r w:rsidRPr="009B2E93">
              <w:rPr>
                <w:i/>
                <w:iCs/>
                <w:sz w:val="18"/>
                <w:szCs w:val="18"/>
              </w:rPr>
              <w:t>Service Concession Arrangements</w:t>
            </w:r>
            <w:r w:rsidRPr="009B2E93">
              <w:rPr>
                <w:sz w:val="18"/>
                <w:szCs w:val="18"/>
              </w:rPr>
              <w:t>.</w:t>
            </w:r>
            <w:bookmarkEnd w:id="446"/>
          </w:p>
        </w:tc>
      </w:tr>
      <w:tr w:rsidR="00765778" w:rsidRPr="00732D84" w14:paraId="6993868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6B99D63" w14:textId="77777777" w:rsidR="00765778" w:rsidRPr="0046400A" w:rsidRDefault="00765778" w:rsidP="00765778">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9D7DF04" w14:textId="3F80E21F" w:rsidR="00765778" w:rsidRPr="009B2E93" w:rsidRDefault="00765778" w:rsidP="00765778">
            <w:pPr>
              <w:jc w:val="both"/>
              <w:rPr>
                <w:b/>
                <w:bCs/>
                <w:i/>
                <w:iCs/>
                <w:caps/>
                <w:sz w:val="18"/>
                <w:szCs w:val="18"/>
              </w:rPr>
            </w:pPr>
            <w:bookmarkStart w:id="447" w:name="_Toc98763081"/>
            <w:r w:rsidRPr="009B2E93">
              <w:rPr>
                <w:i/>
                <w:iCs/>
                <w:sz w:val="18"/>
                <w:szCs w:val="18"/>
              </w:rPr>
              <w:t>Other Revenue and Other Gains</w:t>
            </w:r>
            <w:bookmarkEnd w:id="447"/>
          </w:p>
        </w:tc>
      </w:tr>
      <w:tr w:rsidR="00765778" w:rsidRPr="00732D84" w14:paraId="2696DB4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D6B064" w14:textId="77777777" w:rsidR="00765778" w:rsidRPr="0046400A" w:rsidRDefault="00765778" w:rsidP="00765778">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3439C066" w14:textId="329D9678" w:rsidR="00765778" w:rsidRPr="009B2E93" w:rsidRDefault="00765778" w:rsidP="00765778">
            <w:pPr>
              <w:rPr>
                <w:b/>
                <w:bCs/>
                <w:caps/>
                <w:sz w:val="18"/>
                <w:szCs w:val="18"/>
              </w:rPr>
            </w:pPr>
            <w:bookmarkStart w:id="448" w:name="_Toc98763082"/>
            <w:r w:rsidRPr="009B2E93">
              <w:rPr>
                <w:sz w:val="18"/>
                <w:szCs w:val="18"/>
              </w:rPr>
              <w:t>Other Revenue arises from the core activities of ‘Burley Griffin Agency’, whereas Other Gains are transactions that are not part of the Agency’s core activities and tend to be one off.</w:t>
            </w:r>
            <w:bookmarkEnd w:id="448"/>
            <w:r w:rsidRPr="009B2E93">
              <w:rPr>
                <w:sz w:val="18"/>
                <w:szCs w:val="18"/>
              </w:rPr>
              <w:t xml:space="preserve"> </w:t>
            </w:r>
          </w:p>
        </w:tc>
      </w:tr>
      <w:bookmarkEnd w:id="440"/>
      <w:tr w:rsidR="00765778" w:rsidRPr="00CF7E1B" w14:paraId="372A98D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35F481"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70F1CB5B" w14:textId="77777777" w:rsidR="00765778" w:rsidRPr="0046400A" w:rsidRDefault="00765778" w:rsidP="00765778">
            <w:pPr>
              <w:pStyle w:val="TableTitle"/>
              <w:tabs>
                <w:tab w:val="left" w:pos="3306"/>
              </w:tabs>
              <w:jc w:val="left"/>
              <w:rPr>
                <w:rFonts w:cs="Calibri"/>
              </w:rPr>
            </w:pPr>
          </w:p>
        </w:tc>
        <w:tc>
          <w:tcPr>
            <w:tcW w:w="607" w:type="pct"/>
            <w:gridSpan w:val="2"/>
            <w:tcBorders>
              <w:top w:val="nil"/>
              <w:left w:val="nil"/>
              <w:bottom w:val="nil"/>
              <w:right w:val="nil"/>
            </w:tcBorders>
            <w:vAlign w:val="bottom"/>
          </w:tcPr>
          <w:p w14:paraId="071361BD" w14:textId="058E831B" w:rsidR="00765778" w:rsidRPr="0009580B" w:rsidRDefault="00765778" w:rsidP="00765778">
            <w:pPr>
              <w:pStyle w:val="TableTitle"/>
              <w:tabs>
                <w:tab w:val="left" w:pos="3306"/>
              </w:tabs>
              <w:rPr>
                <w:rFonts w:cs="Calibri"/>
              </w:rPr>
            </w:pPr>
            <w:r w:rsidRPr="0046400A">
              <w:rPr>
                <w:rFonts w:cs="Calibri"/>
              </w:rPr>
              <w:t>202</w:t>
            </w:r>
            <w:r>
              <w:rPr>
                <w:rFonts w:cs="Calibri"/>
              </w:rPr>
              <w:t>3</w:t>
            </w:r>
          </w:p>
          <w:p w14:paraId="0D9956EC" w14:textId="77777777" w:rsidR="00765778" w:rsidRPr="0046400A" w:rsidRDefault="00765778" w:rsidP="00765778">
            <w:pPr>
              <w:pStyle w:val="TableTitle"/>
              <w:tabs>
                <w:tab w:val="left" w:pos="3306"/>
              </w:tabs>
              <w:rPr>
                <w:rFonts w:cs="Calibri"/>
              </w:rPr>
            </w:pPr>
            <w:r w:rsidRPr="0046400A">
              <w:rPr>
                <w:rFonts w:cs="Calibri"/>
              </w:rPr>
              <w:t>$’000</w:t>
            </w:r>
          </w:p>
        </w:tc>
        <w:tc>
          <w:tcPr>
            <w:tcW w:w="611" w:type="pct"/>
            <w:tcBorders>
              <w:top w:val="nil"/>
              <w:left w:val="nil"/>
              <w:bottom w:val="nil"/>
              <w:right w:val="nil"/>
            </w:tcBorders>
            <w:vAlign w:val="bottom"/>
          </w:tcPr>
          <w:p w14:paraId="33C16CD3" w14:textId="3D931B26" w:rsidR="00765778" w:rsidRDefault="00765778" w:rsidP="00765778">
            <w:pPr>
              <w:pStyle w:val="TableTitle"/>
              <w:tabs>
                <w:tab w:val="left" w:pos="3306"/>
              </w:tabs>
              <w:rPr>
                <w:rFonts w:cs="Calibri"/>
              </w:rPr>
            </w:pPr>
            <w:r w:rsidRPr="0046400A">
              <w:rPr>
                <w:rFonts w:cs="Calibri"/>
              </w:rPr>
              <w:t>202</w:t>
            </w:r>
            <w:r>
              <w:rPr>
                <w:rFonts w:cs="Calibri"/>
              </w:rPr>
              <w:t xml:space="preserve">2    </w:t>
            </w:r>
          </w:p>
          <w:p w14:paraId="28754D7E" w14:textId="6B764852" w:rsidR="00765778" w:rsidRPr="0046400A" w:rsidRDefault="00765778" w:rsidP="00765778">
            <w:pPr>
              <w:pStyle w:val="TableTitle"/>
              <w:tabs>
                <w:tab w:val="left" w:pos="3306"/>
              </w:tabs>
              <w:rPr>
                <w:rFonts w:cs="Calibri"/>
                <w:strike/>
              </w:rPr>
            </w:pPr>
            <w:r w:rsidRPr="0046400A">
              <w:rPr>
                <w:rFonts w:cs="Calibri"/>
              </w:rPr>
              <w:t>$’000</w:t>
            </w:r>
          </w:p>
        </w:tc>
      </w:tr>
      <w:tr w:rsidR="00765778" w:rsidRPr="00CF7E1B" w14:paraId="43EB0B2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BB33A9B"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25DC5954" w14:textId="67257C0B" w:rsidR="00765778" w:rsidRPr="00AA1FD9" w:rsidRDefault="00765778" w:rsidP="00765778">
            <w:pPr>
              <w:pStyle w:val="TableTitle"/>
              <w:tabs>
                <w:tab w:val="left" w:pos="3306"/>
              </w:tabs>
              <w:jc w:val="left"/>
              <w:rPr>
                <w:rFonts w:cs="Calibri"/>
                <w:strike/>
              </w:rPr>
            </w:pPr>
            <w:r w:rsidRPr="00E37048">
              <w:rPr>
                <w:rFonts w:cs="Calibri"/>
                <w:strike/>
                <w:color w:val="FF0000"/>
              </w:rPr>
              <w:t>Other Income</w:t>
            </w:r>
          </w:p>
        </w:tc>
        <w:tc>
          <w:tcPr>
            <w:tcW w:w="607" w:type="pct"/>
            <w:gridSpan w:val="2"/>
            <w:tcBorders>
              <w:top w:val="nil"/>
              <w:left w:val="nil"/>
              <w:bottom w:val="nil"/>
              <w:right w:val="nil"/>
            </w:tcBorders>
            <w:vAlign w:val="bottom"/>
          </w:tcPr>
          <w:p w14:paraId="115BB03A" w14:textId="77777777" w:rsidR="00765778" w:rsidRPr="0046400A" w:rsidRDefault="00765778" w:rsidP="00765778">
            <w:pPr>
              <w:pStyle w:val="TableTitle"/>
              <w:tabs>
                <w:tab w:val="left" w:pos="3306"/>
              </w:tabs>
              <w:rPr>
                <w:rFonts w:cs="Calibri"/>
              </w:rPr>
            </w:pPr>
          </w:p>
        </w:tc>
        <w:tc>
          <w:tcPr>
            <w:tcW w:w="611" w:type="pct"/>
            <w:tcBorders>
              <w:top w:val="nil"/>
              <w:left w:val="nil"/>
              <w:bottom w:val="nil"/>
              <w:right w:val="nil"/>
            </w:tcBorders>
            <w:vAlign w:val="bottom"/>
          </w:tcPr>
          <w:p w14:paraId="05846A34" w14:textId="77777777" w:rsidR="00765778" w:rsidRPr="0046400A" w:rsidRDefault="00765778" w:rsidP="00765778">
            <w:pPr>
              <w:pStyle w:val="TableTitle"/>
              <w:tabs>
                <w:tab w:val="left" w:pos="3306"/>
              </w:tabs>
              <w:rPr>
                <w:rFonts w:cs="Calibri"/>
              </w:rPr>
            </w:pPr>
          </w:p>
        </w:tc>
      </w:tr>
      <w:tr w:rsidR="00765778" w:rsidRPr="00CF7E1B" w14:paraId="25B37ED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D038FBB"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CADFA7D" w14:textId="4C5ACCEF" w:rsidR="00765778" w:rsidRPr="0046400A" w:rsidRDefault="00765778" w:rsidP="00765778">
            <w:pPr>
              <w:pStyle w:val="TableTitle"/>
              <w:tabs>
                <w:tab w:val="left" w:pos="3306"/>
              </w:tabs>
              <w:spacing w:before="60"/>
              <w:jc w:val="left"/>
              <w:rPr>
                <w:rFonts w:cs="Calibri"/>
              </w:rPr>
            </w:pPr>
            <w:r w:rsidRPr="0046400A">
              <w:rPr>
                <w:rFonts w:cs="Calibri"/>
              </w:rPr>
              <w:t>Other Revenue</w:t>
            </w:r>
          </w:p>
        </w:tc>
        <w:tc>
          <w:tcPr>
            <w:tcW w:w="607" w:type="pct"/>
            <w:gridSpan w:val="2"/>
            <w:tcBorders>
              <w:top w:val="nil"/>
              <w:left w:val="nil"/>
              <w:bottom w:val="nil"/>
              <w:right w:val="nil"/>
            </w:tcBorders>
            <w:vAlign w:val="bottom"/>
          </w:tcPr>
          <w:p w14:paraId="096F4323" w14:textId="77777777" w:rsidR="00765778" w:rsidRPr="0046400A" w:rsidRDefault="00765778" w:rsidP="00765778">
            <w:pPr>
              <w:pStyle w:val="TableTitle"/>
              <w:tabs>
                <w:tab w:val="left" w:pos="3306"/>
              </w:tabs>
              <w:rPr>
                <w:rFonts w:cs="Calibri"/>
              </w:rPr>
            </w:pPr>
          </w:p>
        </w:tc>
        <w:tc>
          <w:tcPr>
            <w:tcW w:w="611" w:type="pct"/>
            <w:tcBorders>
              <w:top w:val="nil"/>
              <w:left w:val="nil"/>
              <w:bottom w:val="nil"/>
              <w:right w:val="nil"/>
            </w:tcBorders>
            <w:vAlign w:val="bottom"/>
          </w:tcPr>
          <w:p w14:paraId="0C6F5243" w14:textId="77777777" w:rsidR="00765778" w:rsidRPr="0046400A" w:rsidRDefault="00765778" w:rsidP="00765778">
            <w:pPr>
              <w:pStyle w:val="TableTitle"/>
              <w:tabs>
                <w:tab w:val="left" w:pos="3306"/>
              </w:tabs>
              <w:rPr>
                <w:rFonts w:cs="Calibri"/>
              </w:rPr>
            </w:pPr>
          </w:p>
        </w:tc>
      </w:tr>
      <w:tr w:rsidR="00765778" w:rsidRPr="00CF7E1B" w14:paraId="63B09F6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62778D5" w14:textId="62E0E9B7" w:rsidR="00765778" w:rsidRPr="0046400A" w:rsidRDefault="00765778" w:rsidP="00765778">
            <w:pPr>
              <w:pStyle w:val="TableReference"/>
              <w:tabs>
                <w:tab w:val="left" w:pos="3306"/>
              </w:tabs>
              <w:spacing w:before="40"/>
              <w:rPr>
                <w:rFonts w:cs="Calibri"/>
                <w:strike/>
                <w:color w:val="7030A0"/>
                <w:sz w:val="14"/>
              </w:rPr>
            </w:pPr>
            <w:r w:rsidRPr="0046400A">
              <w:rPr>
                <w:color w:val="7030A0"/>
                <w:sz w:val="14"/>
              </w:rPr>
              <w:t>AASB 1059.21-23</w:t>
            </w:r>
          </w:p>
        </w:tc>
        <w:tc>
          <w:tcPr>
            <w:tcW w:w="3037" w:type="pct"/>
            <w:tcBorders>
              <w:top w:val="nil"/>
              <w:left w:val="single" w:sz="2" w:space="0" w:color="auto"/>
              <w:bottom w:val="nil"/>
              <w:right w:val="nil"/>
            </w:tcBorders>
          </w:tcPr>
          <w:p w14:paraId="63538394" w14:textId="6972ED0A" w:rsidR="00765778" w:rsidRPr="004504B0" w:rsidRDefault="00765778" w:rsidP="00765778">
            <w:pPr>
              <w:pStyle w:val="TableTitle"/>
              <w:tabs>
                <w:tab w:val="left" w:pos="3306"/>
              </w:tabs>
              <w:spacing w:before="40"/>
              <w:jc w:val="left"/>
              <w:rPr>
                <w:rFonts w:cs="Calibri"/>
                <w:b w:val="0"/>
                <w:bCs w:val="0"/>
              </w:rPr>
            </w:pPr>
            <w:r w:rsidRPr="0046400A">
              <w:rPr>
                <w:rFonts w:cs="Calibri"/>
                <w:b w:val="0"/>
                <w:bCs w:val="0"/>
              </w:rPr>
              <w:t>Revenue from Service Concession Arrangements</w:t>
            </w:r>
          </w:p>
        </w:tc>
        <w:tc>
          <w:tcPr>
            <w:tcW w:w="607" w:type="pct"/>
            <w:gridSpan w:val="2"/>
            <w:tcBorders>
              <w:top w:val="nil"/>
              <w:left w:val="nil"/>
              <w:bottom w:val="nil"/>
              <w:right w:val="nil"/>
            </w:tcBorders>
            <w:vAlign w:val="bottom"/>
          </w:tcPr>
          <w:p w14:paraId="15EBBCE1" w14:textId="77777777" w:rsidR="00765778" w:rsidRPr="0046400A" w:rsidRDefault="00765778" w:rsidP="00765778">
            <w:pPr>
              <w:pStyle w:val="TableTitle"/>
              <w:tabs>
                <w:tab w:val="left" w:pos="3306"/>
              </w:tabs>
              <w:rPr>
                <w:rFonts w:cs="Calibri"/>
              </w:rPr>
            </w:pPr>
          </w:p>
        </w:tc>
        <w:tc>
          <w:tcPr>
            <w:tcW w:w="611" w:type="pct"/>
            <w:tcBorders>
              <w:top w:val="nil"/>
              <w:left w:val="nil"/>
              <w:bottom w:val="nil"/>
              <w:right w:val="nil"/>
            </w:tcBorders>
            <w:vAlign w:val="bottom"/>
          </w:tcPr>
          <w:p w14:paraId="0FB9BDBC" w14:textId="77777777" w:rsidR="00765778" w:rsidRPr="0046400A" w:rsidRDefault="00765778" w:rsidP="00765778">
            <w:pPr>
              <w:pStyle w:val="TableTitle"/>
              <w:tabs>
                <w:tab w:val="left" w:pos="3306"/>
              </w:tabs>
              <w:rPr>
                <w:rFonts w:cs="Calibri"/>
              </w:rPr>
            </w:pPr>
          </w:p>
        </w:tc>
      </w:tr>
      <w:tr w:rsidR="00765778" w:rsidRPr="00CF7E1B" w14:paraId="53CFF5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B94579" w14:textId="779D88D9" w:rsidR="00765778" w:rsidRPr="003A0BDF" w:rsidRDefault="00765778" w:rsidP="00765778">
            <w:pPr>
              <w:pStyle w:val="TableReference"/>
              <w:tabs>
                <w:tab w:val="left" w:pos="3306"/>
              </w:tabs>
              <w:spacing w:before="40"/>
              <w:rPr>
                <w:rFonts w:cs="Calibri"/>
                <w:color w:val="7030A0"/>
                <w:sz w:val="14"/>
              </w:rPr>
            </w:pPr>
            <w:r w:rsidRPr="003A0BDF">
              <w:rPr>
                <w:rFonts w:cs="Calibri"/>
                <w:color w:val="FF0000"/>
                <w:sz w:val="14"/>
              </w:rPr>
              <w:t>ACT Disclosure Policy</w:t>
            </w:r>
          </w:p>
        </w:tc>
        <w:tc>
          <w:tcPr>
            <w:tcW w:w="3037" w:type="pct"/>
            <w:tcBorders>
              <w:top w:val="nil"/>
              <w:left w:val="single" w:sz="2" w:space="0" w:color="auto"/>
              <w:bottom w:val="nil"/>
              <w:right w:val="nil"/>
            </w:tcBorders>
            <w:vAlign w:val="bottom"/>
          </w:tcPr>
          <w:p w14:paraId="1EAB1664" w14:textId="23119026" w:rsidR="00765778" w:rsidRPr="004504B0" w:rsidRDefault="00765778" w:rsidP="00765778">
            <w:pPr>
              <w:pStyle w:val="TableTitle"/>
              <w:tabs>
                <w:tab w:val="left" w:pos="3306"/>
              </w:tabs>
              <w:spacing w:before="40"/>
              <w:jc w:val="left"/>
              <w:rPr>
                <w:rFonts w:cs="Calibri"/>
                <w:b w:val="0"/>
                <w:bCs w:val="0"/>
              </w:rPr>
            </w:pPr>
            <w:r w:rsidRPr="0046400A">
              <w:rPr>
                <w:rFonts w:cs="Calibri"/>
                <w:b w:val="0"/>
                <w:bCs w:val="0"/>
              </w:rPr>
              <w:t>Insurance Recoveries from the ACT Insurance Authority</w:t>
            </w:r>
          </w:p>
        </w:tc>
        <w:tc>
          <w:tcPr>
            <w:tcW w:w="607" w:type="pct"/>
            <w:gridSpan w:val="2"/>
            <w:tcBorders>
              <w:top w:val="nil"/>
              <w:left w:val="nil"/>
              <w:bottom w:val="nil"/>
              <w:right w:val="nil"/>
            </w:tcBorders>
            <w:vAlign w:val="bottom"/>
          </w:tcPr>
          <w:p w14:paraId="2486AF3B" w14:textId="77777777" w:rsidR="00765778" w:rsidRPr="0046400A" w:rsidRDefault="00765778" w:rsidP="00765778">
            <w:pPr>
              <w:pStyle w:val="TableTitle"/>
              <w:tabs>
                <w:tab w:val="left" w:pos="3306"/>
              </w:tabs>
              <w:rPr>
                <w:rFonts w:cs="Calibri"/>
              </w:rPr>
            </w:pPr>
          </w:p>
        </w:tc>
        <w:tc>
          <w:tcPr>
            <w:tcW w:w="611" w:type="pct"/>
            <w:tcBorders>
              <w:top w:val="nil"/>
              <w:left w:val="nil"/>
              <w:bottom w:val="nil"/>
              <w:right w:val="nil"/>
            </w:tcBorders>
            <w:vAlign w:val="bottom"/>
          </w:tcPr>
          <w:p w14:paraId="5DFD270D" w14:textId="77777777" w:rsidR="00765778" w:rsidRPr="0046400A" w:rsidRDefault="00765778" w:rsidP="00765778">
            <w:pPr>
              <w:pStyle w:val="TableTitle"/>
              <w:tabs>
                <w:tab w:val="left" w:pos="3306"/>
              </w:tabs>
              <w:rPr>
                <w:rFonts w:cs="Calibri"/>
              </w:rPr>
            </w:pPr>
          </w:p>
        </w:tc>
      </w:tr>
      <w:tr w:rsidR="00765778" w:rsidRPr="00CF7E1B" w14:paraId="33F47D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EB1A223"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FA5FA5A" w14:textId="5D9E989B" w:rsidR="00765778" w:rsidRPr="0046400A" w:rsidRDefault="00765778" w:rsidP="00765778">
            <w:pPr>
              <w:pStyle w:val="TableTitle"/>
              <w:tabs>
                <w:tab w:val="left" w:pos="3306"/>
              </w:tabs>
              <w:spacing w:before="40"/>
              <w:jc w:val="left"/>
              <w:rPr>
                <w:rFonts w:cs="Calibri"/>
                <w:b w:val="0"/>
                <w:bCs w:val="0"/>
              </w:rPr>
            </w:pPr>
            <w:r w:rsidRPr="0046400A">
              <w:rPr>
                <w:rFonts w:cs="Calibri"/>
                <w:b w:val="0"/>
                <w:bCs w:val="0"/>
              </w:rPr>
              <w:t>Other Revenue</w:t>
            </w:r>
          </w:p>
        </w:tc>
        <w:tc>
          <w:tcPr>
            <w:tcW w:w="607" w:type="pct"/>
            <w:gridSpan w:val="2"/>
            <w:tcBorders>
              <w:top w:val="nil"/>
              <w:left w:val="nil"/>
              <w:bottom w:val="single" w:sz="4" w:space="0" w:color="auto"/>
              <w:right w:val="nil"/>
            </w:tcBorders>
            <w:vAlign w:val="bottom"/>
          </w:tcPr>
          <w:p w14:paraId="6D81F5CE" w14:textId="77777777" w:rsidR="00765778" w:rsidRPr="0046400A" w:rsidRDefault="00765778" w:rsidP="00765778">
            <w:pPr>
              <w:pStyle w:val="TableTitle"/>
              <w:tabs>
                <w:tab w:val="left" w:pos="3306"/>
              </w:tabs>
              <w:rPr>
                <w:rFonts w:cs="Calibri"/>
              </w:rPr>
            </w:pPr>
          </w:p>
        </w:tc>
        <w:tc>
          <w:tcPr>
            <w:tcW w:w="611" w:type="pct"/>
            <w:tcBorders>
              <w:top w:val="nil"/>
              <w:left w:val="nil"/>
              <w:bottom w:val="single" w:sz="4" w:space="0" w:color="auto"/>
              <w:right w:val="nil"/>
            </w:tcBorders>
            <w:vAlign w:val="bottom"/>
          </w:tcPr>
          <w:p w14:paraId="2DBFD8FF" w14:textId="77777777" w:rsidR="00765778" w:rsidRPr="0046400A" w:rsidRDefault="00765778" w:rsidP="00765778">
            <w:pPr>
              <w:pStyle w:val="TableTitle"/>
              <w:tabs>
                <w:tab w:val="left" w:pos="3306"/>
              </w:tabs>
              <w:rPr>
                <w:rFonts w:cs="Calibri"/>
              </w:rPr>
            </w:pPr>
          </w:p>
        </w:tc>
      </w:tr>
      <w:tr w:rsidR="00765778" w:rsidRPr="00CF7E1B" w14:paraId="0ACD27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CD42E3F"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52FF09B7" w14:textId="58C510FE" w:rsidR="00765778" w:rsidRPr="0046400A" w:rsidRDefault="00765778" w:rsidP="00765778">
            <w:pPr>
              <w:pStyle w:val="TableTitle"/>
              <w:tabs>
                <w:tab w:val="left" w:pos="3306"/>
              </w:tabs>
              <w:spacing w:before="120"/>
              <w:jc w:val="left"/>
              <w:rPr>
                <w:rFonts w:cs="Calibri"/>
              </w:rPr>
            </w:pPr>
            <w:r w:rsidRPr="0046400A">
              <w:rPr>
                <w:rFonts w:cs="Calibri"/>
              </w:rPr>
              <w:t>Total Other Revenue</w:t>
            </w:r>
          </w:p>
        </w:tc>
        <w:tc>
          <w:tcPr>
            <w:tcW w:w="607" w:type="pct"/>
            <w:gridSpan w:val="2"/>
            <w:tcBorders>
              <w:top w:val="single" w:sz="4" w:space="0" w:color="auto"/>
              <w:left w:val="nil"/>
              <w:bottom w:val="single" w:sz="4" w:space="0" w:color="auto"/>
              <w:right w:val="nil"/>
            </w:tcBorders>
            <w:vAlign w:val="bottom"/>
          </w:tcPr>
          <w:p w14:paraId="1D24A1BA" w14:textId="77777777" w:rsidR="00765778" w:rsidRPr="0046400A" w:rsidRDefault="00765778" w:rsidP="00765778">
            <w:pPr>
              <w:pStyle w:val="TableTitle"/>
              <w:tabs>
                <w:tab w:val="left" w:pos="3306"/>
              </w:tabs>
              <w:rPr>
                <w:rFonts w:cs="Calibri"/>
              </w:rPr>
            </w:pPr>
          </w:p>
        </w:tc>
        <w:tc>
          <w:tcPr>
            <w:tcW w:w="611" w:type="pct"/>
            <w:tcBorders>
              <w:top w:val="single" w:sz="4" w:space="0" w:color="auto"/>
              <w:left w:val="nil"/>
              <w:bottom w:val="single" w:sz="4" w:space="0" w:color="auto"/>
              <w:right w:val="nil"/>
            </w:tcBorders>
            <w:vAlign w:val="bottom"/>
          </w:tcPr>
          <w:p w14:paraId="215D13CB" w14:textId="77777777" w:rsidR="00765778" w:rsidRPr="0046400A" w:rsidRDefault="00765778" w:rsidP="00765778">
            <w:pPr>
              <w:pStyle w:val="TableTitle"/>
              <w:tabs>
                <w:tab w:val="left" w:pos="3306"/>
              </w:tabs>
              <w:rPr>
                <w:rFonts w:cs="Calibri"/>
              </w:rPr>
            </w:pPr>
          </w:p>
        </w:tc>
      </w:tr>
      <w:tr w:rsidR="00765778" w:rsidRPr="00CF7E1B" w14:paraId="603B64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3D09E47"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554DA58" w14:textId="77777777" w:rsidR="00765778" w:rsidRPr="0046400A" w:rsidRDefault="00765778" w:rsidP="00765778">
            <w:pPr>
              <w:pStyle w:val="TableTitle"/>
              <w:tabs>
                <w:tab w:val="left" w:pos="3306"/>
              </w:tabs>
              <w:jc w:val="left"/>
              <w:rPr>
                <w:rFonts w:cs="Calibri"/>
              </w:rPr>
            </w:pPr>
          </w:p>
        </w:tc>
        <w:tc>
          <w:tcPr>
            <w:tcW w:w="607" w:type="pct"/>
            <w:gridSpan w:val="2"/>
            <w:tcBorders>
              <w:top w:val="single" w:sz="4" w:space="0" w:color="auto"/>
              <w:left w:val="nil"/>
              <w:bottom w:val="nil"/>
              <w:right w:val="nil"/>
            </w:tcBorders>
            <w:vAlign w:val="bottom"/>
          </w:tcPr>
          <w:p w14:paraId="23491F90" w14:textId="77777777" w:rsidR="00765778" w:rsidRPr="0046400A" w:rsidRDefault="00765778" w:rsidP="00765778">
            <w:pPr>
              <w:pStyle w:val="TableTitle"/>
              <w:tabs>
                <w:tab w:val="left" w:pos="3306"/>
              </w:tabs>
              <w:jc w:val="left"/>
              <w:rPr>
                <w:rFonts w:cs="Calibri"/>
              </w:rPr>
            </w:pPr>
          </w:p>
        </w:tc>
        <w:tc>
          <w:tcPr>
            <w:tcW w:w="611" w:type="pct"/>
            <w:tcBorders>
              <w:top w:val="single" w:sz="4" w:space="0" w:color="auto"/>
              <w:left w:val="nil"/>
              <w:bottom w:val="nil"/>
              <w:right w:val="nil"/>
            </w:tcBorders>
            <w:vAlign w:val="bottom"/>
          </w:tcPr>
          <w:p w14:paraId="474C96A0" w14:textId="77777777" w:rsidR="00765778" w:rsidRPr="0046400A" w:rsidRDefault="00765778" w:rsidP="00765778">
            <w:pPr>
              <w:pStyle w:val="TableTitle"/>
              <w:tabs>
                <w:tab w:val="left" w:pos="3306"/>
              </w:tabs>
              <w:rPr>
                <w:rFonts w:cs="Calibri"/>
              </w:rPr>
            </w:pPr>
          </w:p>
        </w:tc>
      </w:tr>
      <w:tr w:rsidR="00765778" w:rsidRPr="00CF7E1B" w14:paraId="219BD4F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9666902"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18D76019" w14:textId="41A2C2DE" w:rsidR="00765778" w:rsidRPr="0046400A" w:rsidRDefault="00765778" w:rsidP="00765778">
            <w:pPr>
              <w:pStyle w:val="TableTitle"/>
              <w:tabs>
                <w:tab w:val="left" w:pos="3306"/>
              </w:tabs>
              <w:jc w:val="left"/>
              <w:rPr>
                <w:rFonts w:cs="Calibri"/>
              </w:rPr>
            </w:pPr>
            <w:r w:rsidRPr="0046400A">
              <w:rPr>
                <w:rFonts w:cs="Calibri"/>
              </w:rPr>
              <w:t>Other Gains</w:t>
            </w:r>
          </w:p>
        </w:tc>
        <w:tc>
          <w:tcPr>
            <w:tcW w:w="607" w:type="pct"/>
            <w:gridSpan w:val="2"/>
            <w:tcBorders>
              <w:top w:val="nil"/>
              <w:left w:val="nil"/>
              <w:bottom w:val="nil"/>
              <w:right w:val="nil"/>
            </w:tcBorders>
            <w:vAlign w:val="bottom"/>
          </w:tcPr>
          <w:p w14:paraId="198E67EA" w14:textId="77777777" w:rsidR="00765778" w:rsidRPr="0046400A" w:rsidRDefault="00765778" w:rsidP="00765778">
            <w:pPr>
              <w:pStyle w:val="TableTitle"/>
              <w:tabs>
                <w:tab w:val="left" w:pos="3306"/>
              </w:tabs>
              <w:rPr>
                <w:rFonts w:cs="Calibri"/>
              </w:rPr>
            </w:pPr>
          </w:p>
        </w:tc>
        <w:tc>
          <w:tcPr>
            <w:tcW w:w="611" w:type="pct"/>
            <w:tcBorders>
              <w:top w:val="nil"/>
              <w:left w:val="nil"/>
              <w:bottom w:val="nil"/>
              <w:right w:val="nil"/>
            </w:tcBorders>
            <w:vAlign w:val="bottom"/>
          </w:tcPr>
          <w:p w14:paraId="073544C4" w14:textId="77777777" w:rsidR="00765778" w:rsidRPr="0046400A" w:rsidRDefault="00765778" w:rsidP="00765778">
            <w:pPr>
              <w:pStyle w:val="TableTitle"/>
              <w:tabs>
                <w:tab w:val="left" w:pos="3306"/>
              </w:tabs>
              <w:rPr>
                <w:rFonts w:cs="Calibri"/>
              </w:rPr>
            </w:pPr>
          </w:p>
        </w:tc>
      </w:tr>
      <w:tr w:rsidR="00765778" w:rsidRPr="00F14B06" w14:paraId="101A1D1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7A71ED9" w14:textId="1A196659" w:rsidR="00765778" w:rsidRPr="0046400A" w:rsidRDefault="00765778" w:rsidP="00765778">
            <w:pPr>
              <w:pStyle w:val="TableReference"/>
              <w:tabs>
                <w:tab w:val="left" w:pos="3306"/>
              </w:tabs>
              <w:spacing w:before="60"/>
              <w:rPr>
                <w:rFonts w:cs="Calibri"/>
                <w:color w:val="7030A0"/>
                <w:sz w:val="14"/>
              </w:rPr>
            </w:pPr>
            <w:r w:rsidRPr="0046400A">
              <w:rPr>
                <w:rFonts w:cs="Calibri"/>
                <w:color w:val="7030A0"/>
                <w:sz w:val="14"/>
              </w:rPr>
              <w:t>AASB 101.97,98</w:t>
            </w:r>
          </w:p>
        </w:tc>
        <w:tc>
          <w:tcPr>
            <w:tcW w:w="3037" w:type="pct"/>
            <w:tcBorders>
              <w:top w:val="nil"/>
              <w:left w:val="single" w:sz="2" w:space="0" w:color="auto"/>
              <w:bottom w:val="nil"/>
              <w:right w:val="nil"/>
            </w:tcBorders>
          </w:tcPr>
          <w:p w14:paraId="41573C94" w14:textId="1479226F" w:rsidR="00765778" w:rsidRPr="0046400A" w:rsidRDefault="00765778" w:rsidP="00765778">
            <w:pPr>
              <w:pStyle w:val="TableText"/>
              <w:tabs>
                <w:tab w:val="left" w:pos="3306"/>
              </w:tabs>
              <w:rPr>
                <w:rFonts w:cs="Calibri"/>
              </w:rPr>
            </w:pPr>
            <w:r w:rsidRPr="0046400A">
              <w:rPr>
                <w:rFonts w:cs="Calibri"/>
              </w:rPr>
              <w:t>Reversal of Asset Revaluation Decrements Previously Expensed</w:t>
            </w:r>
          </w:p>
        </w:tc>
        <w:tc>
          <w:tcPr>
            <w:tcW w:w="607" w:type="pct"/>
            <w:gridSpan w:val="2"/>
            <w:tcBorders>
              <w:top w:val="nil"/>
              <w:left w:val="nil"/>
              <w:bottom w:val="nil"/>
              <w:right w:val="nil"/>
            </w:tcBorders>
            <w:vAlign w:val="bottom"/>
          </w:tcPr>
          <w:p w14:paraId="4ABBDA20" w14:textId="77777777" w:rsidR="00765778" w:rsidRPr="0046400A" w:rsidRDefault="00765778" w:rsidP="00765778">
            <w:pPr>
              <w:pStyle w:val="TableText"/>
              <w:tabs>
                <w:tab w:val="left" w:pos="3306"/>
              </w:tabs>
              <w:jc w:val="right"/>
              <w:rPr>
                <w:rFonts w:cs="Calibri"/>
                <w:strike/>
              </w:rPr>
            </w:pPr>
          </w:p>
        </w:tc>
        <w:tc>
          <w:tcPr>
            <w:tcW w:w="611" w:type="pct"/>
            <w:tcBorders>
              <w:top w:val="nil"/>
              <w:left w:val="nil"/>
              <w:bottom w:val="nil"/>
              <w:right w:val="nil"/>
            </w:tcBorders>
            <w:vAlign w:val="bottom"/>
          </w:tcPr>
          <w:p w14:paraId="23ABC7BB" w14:textId="77777777" w:rsidR="00765778" w:rsidRPr="0046400A" w:rsidRDefault="00765778" w:rsidP="00765778">
            <w:pPr>
              <w:pStyle w:val="TableText"/>
              <w:tabs>
                <w:tab w:val="left" w:pos="3306"/>
              </w:tabs>
              <w:jc w:val="right"/>
              <w:rPr>
                <w:rFonts w:cs="Calibri"/>
                <w:strike/>
              </w:rPr>
            </w:pPr>
          </w:p>
        </w:tc>
      </w:tr>
      <w:tr w:rsidR="00765778" w:rsidRPr="00F14B06" w14:paraId="78D73BF7"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CE1A0A" w14:textId="210AF578" w:rsidR="00765778" w:rsidRPr="0046400A" w:rsidRDefault="00765778" w:rsidP="00765778">
            <w:pPr>
              <w:pStyle w:val="TableReference"/>
              <w:tabs>
                <w:tab w:val="left" w:pos="3306"/>
              </w:tabs>
              <w:spacing w:before="60"/>
              <w:rPr>
                <w:rFonts w:cs="Calibri"/>
                <w:color w:val="7030A0"/>
                <w:sz w:val="14"/>
              </w:rPr>
            </w:pPr>
            <w:r w:rsidRPr="0046400A">
              <w:rPr>
                <w:rFonts w:cs="Calibri"/>
                <w:color w:val="7030A0"/>
                <w:sz w:val="14"/>
              </w:rPr>
              <w:t>AASB 101.97,98</w:t>
            </w:r>
          </w:p>
        </w:tc>
        <w:tc>
          <w:tcPr>
            <w:tcW w:w="3037" w:type="pct"/>
            <w:tcBorders>
              <w:top w:val="nil"/>
              <w:left w:val="single" w:sz="2" w:space="0" w:color="auto"/>
              <w:bottom w:val="nil"/>
              <w:right w:val="nil"/>
            </w:tcBorders>
          </w:tcPr>
          <w:p w14:paraId="6AC9E2D9" w14:textId="06E80204" w:rsidR="00765778" w:rsidRPr="0046400A" w:rsidRDefault="00765778" w:rsidP="00765778">
            <w:pPr>
              <w:pStyle w:val="TableText"/>
              <w:tabs>
                <w:tab w:val="left" w:pos="3306"/>
              </w:tabs>
              <w:rPr>
                <w:rFonts w:cs="Calibri"/>
              </w:rPr>
            </w:pPr>
            <w:r w:rsidRPr="0046400A">
              <w:rPr>
                <w:rFonts w:cs="Calibri"/>
              </w:rPr>
              <w:t>Recognition of Assets Previously Written Off</w:t>
            </w:r>
          </w:p>
        </w:tc>
        <w:tc>
          <w:tcPr>
            <w:tcW w:w="607" w:type="pct"/>
            <w:gridSpan w:val="2"/>
            <w:tcBorders>
              <w:top w:val="nil"/>
              <w:left w:val="nil"/>
              <w:bottom w:val="nil"/>
              <w:right w:val="nil"/>
            </w:tcBorders>
            <w:vAlign w:val="bottom"/>
          </w:tcPr>
          <w:p w14:paraId="5E108A47" w14:textId="77777777" w:rsidR="00765778" w:rsidRPr="0046400A" w:rsidRDefault="00765778" w:rsidP="00765778">
            <w:pPr>
              <w:pStyle w:val="TableText"/>
              <w:tabs>
                <w:tab w:val="left" w:pos="3306"/>
              </w:tabs>
              <w:jc w:val="right"/>
              <w:rPr>
                <w:rFonts w:cs="Calibri"/>
                <w:strike/>
              </w:rPr>
            </w:pPr>
          </w:p>
        </w:tc>
        <w:tc>
          <w:tcPr>
            <w:tcW w:w="611" w:type="pct"/>
            <w:tcBorders>
              <w:top w:val="nil"/>
              <w:left w:val="nil"/>
              <w:bottom w:val="nil"/>
              <w:right w:val="nil"/>
            </w:tcBorders>
            <w:vAlign w:val="bottom"/>
          </w:tcPr>
          <w:p w14:paraId="3B95B1EA" w14:textId="77777777" w:rsidR="00765778" w:rsidRPr="0046400A" w:rsidRDefault="00765778" w:rsidP="00765778">
            <w:pPr>
              <w:pStyle w:val="TableText"/>
              <w:tabs>
                <w:tab w:val="left" w:pos="3306"/>
              </w:tabs>
              <w:jc w:val="right"/>
              <w:rPr>
                <w:rFonts w:cs="Calibri"/>
                <w:strike/>
              </w:rPr>
            </w:pPr>
          </w:p>
        </w:tc>
      </w:tr>
      <w:tr w:rsidR="00765778" w:rsidRPr="00CF7E1B" w14:paraId="0C5A8832" w14:textId="77777777" w:rsidTr="00947CD5">
        <w:tc>
          <w:tcPr>
            <w:tcW w:w="745" w:type="pct"/>
            <w:tcBorders>
              <w:top w:val="nil"/>
              <w:left w:val="single" w:sz="2" w:space="0" w:color="auto"/>
              <w:bottom w:val="nil"/>
              <w:right w:val="single" w:sz="2" w:space="0" w:color="auto"/>
            </w:tcBorders>
          </w:tcPr>
          <w:p w14:paraId="49E6004A"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17A5E543" w14:textId="4ED839AD" w:rsidR="00765778" w:rsidRPr="0046400A" w:rsidRDefault="00765778" w:rsidP="00765778">
            <w:pPr>
              <w:pStyle w:val="TableText"/>
              <w:rPr>
                <w:rFonts w:cs="Calibri"/>
              </w:rPr>
            </w:pPr>
            <w:r w:rsidRPr="0046400A">
              <w:rPr>
                <w:rFonts w:cs="Calibri"/>
              </w:rPr>
              <w:t xml:space="preserve">Other </w:t>
            </w:r>
          </w:p>
        </w:tc>
        <w:tc>
          <w:tcPr>
            <w:tcW w:w="607" w:type="pct"/>
            <w:gridSpan w:val="2"/>
            <w:tcBorders>
              <w:left w:val="nil"/>
              <w:bottom w:val="single" w:sz="4" w:space="0" w:color="auto"/>
              <w:right w:val="nil"/>
            </w:tcBorders>
            <w:vAlign w:val="bottom"/>
          </w:tcPr>
          <w:p w14:paraId="5258EEAA" w14:textId="77777777" w:rsidR="00765778" w:rsidRPr="0046400A" w:rsidRDefault="00765778" w:rsidP="00765778">
            <w:pPr>
              <w:pStyle w:val="TableText"/>
              <w:tabs>
                <w:tab w:val="left" w:pos="3306"/>
              </w:tabs>
              <w:jc w:val="right"/>
              <w:rPr>
                <w:rFonts w:cs="Calibri"/>
                <w:strike/>
              </w:rPr>
            </w:pPr>
          </w:p>
        </w:tc>
        <w:tc>
          <w:tcPr>
            <w:tcW w:w="611" w:type="pct"/>
            <w:tcBorders>
              <w:left w:val="nil"/>
              <w:bottom w:val="single" w:sz="4" w:space="0" w:color="auto"/>
            </w:tcBorders>
            <w:vAlign w:val="bottom"/>
          </w:tcPr>
          <w:p w14:paraId="38C8D9DB" w14:textId="77777777" w:rsidR="00765778" w:rsidRPr="0046400A" w:rsidRDefault="00765778" w:rsidP="00765778">
            <w:pPr>
              <w:pStyle w:val="TableText"/>
              <w:tabs>
                <w:tab w:val="left" w:pos="3306"/>
              </w:tabs>
              <w:jc w:val="right"/>
              <w:rPr>
                <w:rFonts w:cs="Calibri"/>
                <w:strike/>
              </w:rPr>
            </w:pPr>
          </w:p>
        </w:tc>
      </w:tr>
      <w:tr w:rsidR="00765778" w:rsidRPr="00CF7E1B" w14:paraId="584EE9B4" w14:textId="77777777" w:rsidTr="00947CD5">
        <w:tc>
          <w:tcPr>
            <w:tcW w:w="745" w:type="pct"/>
            <w:tcBorders>
              <w:top w:val="nil"/>
              <w:left w:val="single" w:sz="2" w:space="0" w:color="auto"/>
              <w:right w:val="single" w:sz="2" w:space="0" w:color="auto"/>
            </w:tcBorders>
          </w:tcPr>
          <w:p w14:paraId="08278D48"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063AF96" w14:textId="77777777" w:rsidR="00765778" w:rsidRPr="0046400A" w:rsidRDefault="00765778" w:rsidP="00765778">
            <w:pPr>
              <w:pStyle w:val="TableText"/>
              <w:tabs>
                <w:tab w:val="left" w:pos="3306"/>
              </w:tabs>
              <w:spacing w:before="120"/>
              <w:rPr>
                <w:rFonts w:cs="Calibri"/>
                <w:b/>
                <w:bCs/>
              </w:rPr>
            </w:pPr>
            <w:r w:rsidRPr="0046400A">
              <w:rPr>
                <w:rFonts w:cs="Calibri"/>
                <w:b/>
                <w:bCs/>
              </w:rPr>
              <w:t>Total Other Gains</w:t>
            </w:r>
          </w:p>
        </w:tc>
        <w:tc>
          <w:tcPr>
            <w:tcW w:w="607" w:type="pct"/>
            <w:gridSpan w:val="2"/>
            <w:tcBorders>
              <w:top w:val="single" w:sz="4" w:space="0" w:color="auto"/>
              <w:left w:val="nil"/>
              <w:bottom w:val="single" w:sz="4" w:space="0" w:color="auto"/>
              <w:right w:val="nil"/>
            </w:tcBorders>
            <w:vAlign w:val="bottom"/>
          </w:tcPr>
          <w:p w14:paraId="3B5402AE" w14:textId="77777777" w:rsidR="00765778" w:rsidRPr="0046400A" w:rsidRDefault="00765778" w:rsidP="00765778">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20F7AA59" w14:textId="77777777" w:rsidR="00765778" w:rsidRPr="0046400A" w:rsidRDefault="00765778" w:rsidP="00765778">
            <w:pPr>
              <w:pStyle w:val="TableText"/>
              <w:tabs>
                <w:tab w:val="left" w:pos="3306"/>
              </w:tabs>
              <w:jc w:val="right"/>
              <w:rPr>
                <w:rFonts w:cs="Calibri"/>
                <w:b/>
                <w:bCs/>
                <w:strike/>
              </w:rPr>
            </w:pPr>
          </w:p>
        </w:tc>
      </w:tr>
      <w:tr w:rsidR="00765778" w:rsidRPr="00CF7E1B" w14:paraId="615BB915" w14:textId="77777777" w:rsidTr="00947CD5">
        <w:tc>
          <w:tcPr>
            <w:tcW w:w="745" w:type="pct"/>
            <w:tcBorders>
              <w:top w:val="nil"/>
              <w:left w:val="single" w:sz="2" w:space="0" w:color="auto"/>
              <w:right w:val="single" w:sz="2" w:space="0" w:color="auto"/>
            </w:tcBorders>
          </w:tcPr>
          <w:p w14:paraId="75D44C60"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6C82F064" w14:textId="77777777" w:rsidR="00765778" w:rsidRPr="0046400A" w:rsidRDefault="00765778" w:rsidP="00765778">
            <w:pPr>
              <w:pStyle w:val="TableText"/>
              <w:tabs>
                <w:tab w:val="left" w:pos="3306"/>
              </w:tabs>
              <w:rPr>
                <w:rFonts w:cs="Calibri"/>
                <w:b/>
                <w:bCs/>
              </w:rPr>
            </w:pPr>
          </w:p>
        </w:tc>
        <w:tc>
          <w:tcPr>
            <w:tcW w:w="607" w:type="pct"/>
            <w:gridSpan w:val="2"/>
            <w:tcBorders>
              <w:top w:val="single" w:sz="4" w:space="0" w:color="auto"/>
              <w:left w:val="nil"/>
              <w:bottom w:val="single" w:sz="4" w:space="0" w:color="auto"/>
              <w:right w:val="nil"/>
            </w:tcBorders>
            <w:vAlign w:val="bottom"/>
          </w:tcPr>
          <w:p w14:paraId="764D0D5B" w14:textId="77777777" w:rsidR="00765778" w:rsidRPr="0046400A" w:rsidRDefault="00765778" w:rsidP="00765778">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050664F5" w14:textId="77777777" w:rsidR="00765778" w:rsidRPr="0046400A" w:rsidRDefault="00765778" w:rsidP="00765778">
            <w:pPr>
              <w:pStyle w:val="TableText"/>
              <w:tabs>
                <w:tab w:val="left" w:pos="3306"/>
              </w:tabs>
              <w:jc w:val="right"/>
              <w:rPr>
                <w:rFonts w:cs="Calibri"/>
                <w:b/>
                <w:bCs/>
                <w:strike/>
              </w:rPr>
            </w:pPr>
          </w:p>
        </w:tc>
      </w:tr>
      <w:tr w:rsidR="00765778" w:rsidRPr="00CF7E1B" w14:paraId="76D8126E" w14:textId="77777777" w:rsidTr="00947CD5">
        <w:tc>
          <w:tcPr>
            <w:tcW w:w="745" w:type="pct"/>
            <w:tcBorders>
              <w:top w:val="nil"/>
              <w:left w:val="single" w:sz="2" w:space="0" w:color="auto"/>
              <w:right w:val="single" w:sz="2" w:space="0" w:color="auto"/>
            </w:tcBorders>
          </w:tcPr>
          <w:p w14:paraId="21EF6E9B" w14:textId="77777777" w:rsidR="00765778" w:rsidRPr="0046400A" w:rsidRDefault="00765778" w:rsidP="00765778">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972FFE1" w14:textId="02892955" w:rsidR="00765778" w:rsidRPr="0046400A" w:rsidRDefault="00765778" w:rsidP="00765778">
            <w:pPr>
              <w:pStyle w:val="TableText"/>
              <w:tabs>
                <w:tab w:val="left" w:pos="3306"/>
              </w:tabs>
              <w:rPr>
                <w:rFonts w:cs="Calibri"/>
                <w:b/>
                <w:bCs/>
              </w:rPr>
            </w:pPr>
            <w:r w:rsidRPr="0046400A">
              <w:rPr>
                <w:rFonts w:cs="Calibri"/>
                <w:b/>
                <w:bCs/>
              </w:rPr>
              <w:t>Total Other Income</w:t>
            </w:r>
          </w:p>
        </w:tc>
        <w:tc>
          <w:tcPr>
            <w:tcW w:w="607" w:type="pct"/>
            <w:gridSpan w:val="2"/>
            <w:tcBorders>
              <w:top w:val="single" w:sz="4" w:space="0" w:color="auto"/>
              <w:left w:val="nil"/>
              <w:bottom w:val="double" w:sz="4" w:space="0" w:color="auto"/>
              <w:right w:val="nil"/>
            </w:tcBorders>
            <w:vAlign w:val="bottom"/>
          </w:tcPr>
          <w:p w14:paraId="4BCF5732" w14:textId="77777777" w:rsidR="00765778" w:rsidRPr="0046400A" w:rsidRDefault="00765778" w:rsidP="00765778">
            <w:pPr>
              <w:pStyle w:val="TableText"/>
              <w:tabs>
                <w:tab w:val="left" w:pos="3306"/>
              </w:tabs>
              <w:jc w:val="right"/>
              <w:rPr>
                <w:rFonts w:cs="Calibri"/>
                <w:b/>
                <w:bCs/>
                <w:strike/>
              </w:rPr>
            </w:pPr>
          </w:p>
        </w:tc>
        <w:tc>
          <w:tcPr>
            <w:tcW w:w="611" w:type="pct"/>
            <w:tcBorders>
              <w:top w:val="single" w:sz="4" w:space="0" w:color="auto"/>
              <w:left w:val="nil"/>
              <w:bottom w:val="double" w:sz="4" w:space="0" w:color="auto"/>
            </w:tcBorders>
            <w:vAlign w:val="bottom"/>
          </w:tcPr>
          <w:p w14:paraId="6C50E7C3" w14:textId="77777777" w:rsidR="00765778" w:rsidRPr="0046400A" w:rsidRDefault="00765778" w:rsidP="00765778">
            <w:pPr>
              <w:pStyle w:val="TableText"/>
              <w:tabs>
                <w:tab w:val="left" w:pos="3306"/>
              </w:tabs>
              <w:jc w:val="right"/>
              <w:rPr>
                <w:rFonts w:cs="Calibri"/>
                <w:b/>
                <w:bCs/>
                <w:strike/>
              </w:rPr>
            </w:pPr>
          </w:p>
        </w:tc>
      </w:tr>
      <w:tr w:rsidR="00765778" w:rsidRPr="00CF7E1B" w14:paraId="03EF31BB" w14:textId="77777777" w:rsidTr="00947CD5">
        <w:trPr>
          <w:trHeight w:val="119"/>
        </w:trPr>
        <w:tc>
          <w:tcPr>
            <w:tcW w:w="745" w:type="pct"/>
            <w:tcBorders>
              <w:top w:val="nil"/>
              <w:left w:val="single" w:sz="2" w:space="0" w:color="auto"/>
              <w:bottom w:val="nil"/>
              <w:right w:val="single" w:sz="2" w:space="0" w:color="auto"/>
            </w:tcBorders>
          </w:tcPr>
          <w:p w14:paraId="1AA6C1B9" w14:textId="77777777" w:rsidR="00765778" w:rsidRPr="0046400A" w:rsidRDefault="00765778" w:rsidP="00765778">
            <w:pPr>
              <w:pStyle w:val="TableReference"/>
              <w:tabs>
                <w:tab w:val="left" w:pos="3306"/>
              </w:tabs>
              <w:rPr>
                <w:rFonts w:cs="Calibri"/>
                <w:color w:val="7030A0"/>
                <w:sz w:val="14"/>
              </w:rPr>
            </w:pPr>
          </w:p>
        </w:tc>
        <w:tc>
          <w:tcPr>
            <w:tcW w:w="4255" w:type="pct"/>
            <w:gridSpan w:val="4"/>
            <w:tcBorders>
              <w:left w:val="single" w:sz="2" w:space="0" w:color="auto"/>
            </w:tcBorders>
            <w:vAlign w:val="bottom"/>
          </w:tcPr>
          <w:p w14:paraId="0A629B5F" w14:textId="77777777" w:rsidR="00765778" w:rsidRPr="00CF7E1B" w:rsidRDefault="00765778" w:rsidP="00765778">
            <w:pPr>
              <w:pStyle w:val="TableText"/>
              <w:tabs>
                <w:tab w:val="left" w:pos="3306"/>
              </w:tabs>
              <w:spacing w:before="0"/>
              <w:rPr>
                <w:rFonts w:cs="Calibri"/>
              </w:rPr>
            </w:pPr>
          </w:p>
        </w:tc>
      </w:tr>
      <w:tr w:rsidR="00765778" w:rsidRPr="00CF7E1B" w14:paraId="51D2AAA7"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0A53787A" w14:textId="77777777" w:rsidR="00765778" w:rsidRPr="0046400A" w:rsidRDefault="00765778" w:rsidP="00765778">
            <w:pPr>
              <w:pStyle w:val="TableReference"/>
              <w:tabs>
                <w:tab w:val="left" w:pos="3306"/>
              </w:tabs>
              <w:spacing w:before="240" w:after="240"/>
              <w:rPr>
                <w:rFonts w:cs="Calibri"/>
                <w:b/>
                <w:color w:val="7030A0"/>
                <w:sz w:val="14"/>
              </w:rPr>
            </w:pPr>
            <w:r w:rsidRPr="0046400A">
              <w:rPr>
                <w:rFonts w:cs="Calibri"/>
                <w:b/>
                <w:color w:val="7030A0"/>
                <w:sz w:val="14"/>
              </w:rPr>
              <w:br w:type="page"/>
            </w:r>
          </w:p>
        </w:tc>
        <w:tc>
          <w:tcPr>
            <w:tcW w:w="4255" w:type="pct"/>
            <w:gridSpan w:val="4"/>
            <w:tcBorders>
              <w:left w:val="single" w:sz="2" w:space="0" w:color="auto"/>
            </w:tcBorders>
            <w:shd w:val="clear" w:color="auto" w:fill="7030A0"/>
          </w:tcPr>
          <w:p w14:paraId="3F4193DF" w14:textId="776F7122" w:rsidR="00765778" w:rsidRPr="00685DB3" w:rsidRDefault="00765778" w:rsidP="00765778">
            <w:pPr>
              <w:pStyle w:val="CommentaryTitle"/>
              <w:spacing w:before="240" w:after="240"/>
              <w:rPr>
                <w:rFonts w:cs="Calibri"/>
                <w:bCs w:val="0"/>
                <w:color w:val="FFFFFF" w:themeColor="background1"/>
                <w:sz w:val="28"/>
                <w:szCs w:val="28"/>
              </w:rPr>
            </w:pPr>
            <w:bookmarkStart w:id="449" w:name="_Toc163106322"/>
            <w:bookmarkStart w:id="450" w:name="_Toc194977577"/>
            <w:r w:rsidRPr="00685DB3">
              <w:rPr>
                <w:rFonts w:cs="Calibri"/>
                <w:bCs w:val="0"/>
                <w:color w:val="FFFFFF" w:themeColor="background1"/>
                <w:sz w:val="28"/>
                <w:szCs w:val="28"/>
              </w:rPr>
              <w:t>Commentary – Note 9: Other Income</w:t>
            </w:r>
            <w:bookmarkEnd w:id="449"/>
            <w:bookmarkEnd w:id="450"/>
            <w:r w:rsidRPr="00685DB3">
              <w:rPr>
                <w:rFonts w:cs="Calibri"/>
                <w:bCs w:val="0"/>
                <w:color w:val="FFFFFF" w:themeColor="background1"/>
                <w:sz w:val="28"/>
                <w:szCs w:val="28"/>
              </w:rPr>
              <w:t xml:space="preserve"> </w:t>
            </w:r>
          </w:p>
        </w:tc>
      </w:tr>
      <w:tr w:rsidR="00765778" w:rsidRPr="00CF7E1B" w14:paraId="161D79C9"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18429AB9" w14:textId="77777777" w:rsidR="00765778" w:rsidRPr="0046400A" w:rsidRDefault="00765778" w:rsidP="0076577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E3659BD" w14:textId="54B15731" w:rsidR="00765778" w:rsidRPr="00685DB3" w:rsidRDefault="00765778" w:rsidP="00765778">
            <w:pPr>
              <w:spacing w:after="120"/>
              <w:jc w:val="both"/>
              <w:rPr>
                <w:color w:val="FFFFFF" w:themeColor="background1"/>
                <w:sz w:val="18"/>
                <w:szCs w:val="18"/>
              </w:rPr>
            </w:pPr>
            <w:r w:rsidRPr="00685DB3">
              <w:rPr>
                <w:color w:val="FFFFFF" w:themeColor="background1"/>
                <w:sz w:val="18"/>
                <w:szCs w:val="18"/>
              </w:rPr>
              <w:t>The breakdown shown in this note disclosure is an example only.</w:t>
            </w:r>
            <w:r>
              <w:rPr>
                <w:color w:val="FFFFFF" w:themeColor="background1"/>
                <w:sz w:val="18"/>
                <w:szCs w:val="18"/>
              </w:rPr>
              <w:t xml:space="preserve"> </w:t>
            </w:r>
            <w:r w:rsidRPr="00685DB3">
              <w:rPr>
                <w:color w:val="FFFFFF" w:themeColor="background1"/>
                <w:sz w:val="18"/>
                <w:szCs w:val="18"/>
              </w:rPr>
              <w:t>Agencies should only include line items that are applicable to them where material.</w:t>
            </w:r>
          </w:p>
        </w:tc>
      </w:tr>
      <w:tr w:rsidR="00765778" w:rsidRPr="00CF7E1B" w14:paraId="3A09CEEB"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2BBAAC6C" w14:textId="381101F7" w:rsidR="00765778" w:rsidRPr="0046400A" w:rsidRDefault="00765778" w:rsidP="00765778">
            <w:pPr>
              <w:pStyle w:val="TableReference"/>
              <w:tabs>
                <w:tab w:val="left" w:pos="3306"/>
              </w:tabs>
              <w:spacing w:before="60"/>
              <w:rPr>
                <w:rFonts w:cs="Calibri"/>
                <w:color w:val="7030A0"/>
                <w:sz w:val="14"/>
              </w:rPr>
            </w:pPr>
            <w:r w:rsidRPr="0046400A">
              <w:rPr>
                <w:rFonts w:cs="Calibri"/>
                <w:color w:val="7030A0"/>
                <w:sz w:val="14"/>
              </w:rPr>
              <w:t>AASB 101.35</w:t>
            </w:r>
          </w:p>
        </w:tc>
        <w:tc>
          <w:tcPr>
            <w:tcW w:w="4255" w:type="pct"/>
            <w:gridSpan w:val="4"/>
            <w:tcBorders>
              <w:left w:val="single" w:sz="2" w:space="0" w:color="auto"/>
            </w:tcBorders>
            <w:shd w:val="clear" w:color="auto" w:fill="7030A0"/>
          </w:tcPr>
          <w:p w14:paraId="33756754" w14:textId="48EE4215" w:rsidR="00765778" w:rsidRPr="00685DB3" w:rsidRDefault="00765778" w:rsidP="00765778">
            <w:pPr>
              <w:spacing w:after="120"/>
              <w:jc w:val="both"/>
              <w:rPr>
                <w:color w:val="FFFFFF" w:themeColor="background1"/>
                <w:sz w:val="18"/>
                <w:szCs w:val="18"/>
              </w:rPr>
            </w:pPr>
            <w:r w:rsidRPr="00685DB3">
              <w:rPr>
                <w:color w:val="FFFFFF" w:themeColor="background1"/>
                <w:sz w:val="18"/>
                <w:szCs w:val="18"/>
              </w:rPr>
              <w:t>Gains and losses arising from a group of similar transactions should be reported on a net basis.</w:t>
            </w:r>
            <w:r>
              <w:rPr>
                <w:color w:val="FFFFFF" w:themeColor="background1"/>
                <w:sz w:val="18"/>
                <w:szCs w:val="18"/>
              </w:rPr>
              <w:t xml:space="preserve"> </w:t>
            </w:r>
            <w:r w:rsidRPr="00685DB3">
              <w:rPr>
                <w:color w:val="FFFFFF" w:themeColor="background1"/>
                <w:sz w:val="18"/>
                <w:szCs w:val="18"/>
              </w:rPr>
              <w:t>However, if the gains and losses are material they should be reported separately.</w:t>
            </w:r>
          </w:p>
        </w:tc>
      </w:tr>
      <w:tr w:rsidR="00765778" w:rsidRPr="00CF7E1B" w14:paraId="348590AC" w14:textId="77777777" w:rsidTr="00947CD5">
        <w:tblPrEx>
          <w:shd w:val="clear" w:color="auto" w:fill="CCFFCC"/>
        </w:tblPrEx>
        <w:trPr>
          <w:trHeight w:val="541"/>
          <w:tblHeader/>
        </w:trPr>
        <w:tc>
          <w:tcPr>
            <w:tcW w:w="745" w:type="pct"/>
            <w:vMerge w:val="restart"/>
            <w:tcBorders>
              <w:left w:val="single" w:sz="2" w:space="0" w:color="auto"/>
              <w:right w:val="single" w:sz="2" w:space="0" w:color="auto"/>
            </w:tcBorders>
          </w:tcPr>
          <w:p w14:paraId="392DBCE9" w14:textId="77777777" w:rsidR="00765778" w:rsidRPr="0046400A" w:rsidRDefault="00765778" w:rsidP="00765778">
            <w:pPr>
              <w:pStyle w:val="TableReference"/>
              <w:tabs>
                <w:tab w:val="left" w:pos="3306"/>
              </w:tabs>
              <w:rPr>
                <w:rFonts w:cs="Calibri"/>
                <w:color w:val="7030A0"/>
                <w:sz w:val="14"/>
              </w:rPr>
            </w:pPr>
            <w:r w:rsidRPr="0046400A">
              <w:rPr>
                <w:rFonts w:cs="Calibri"/>
                <w:color w:val="7030A0"/>
                <w:sz w:val="14"/>
              </w:rPr>
              <w:t>AASB 101.7</w:t>
            </w:r>
          </w:p>
          <w:p w14:paraId="2AB51847" w14:textId="77777777" w:rsidR="00765778" w:rsidRPr="0046400A" w:rsidRDefault="00765778" w:rsidP="00765778">
            <w:pPr>
              <w:pStyle w:val="TableReference"/>
              <w:tabs>
                <w:tab w:val="left" w:pos="3306"/>
              </w:tabs>
              <w:rPr>
                <w:rFonts w:cs="Calibri"/>
                <w:color w:val="7030A0"/>
                <w:sz w:val="14"/>
              </w:rPr>
            </w:pPr>
            <w:r w:rsidRPr="0046400A">
              <w:rPr>
                <w:rFonts w:cs="Calibri"/>
                <w:color w:val="7030A0"/>
                <w:sz w:val="14"/>
              </w:rPr>
              <w:t>AASB 108.5</w:t>
            </w:r>
          </w:p>
          <w:p w14:paraId="077EE079" w14:textId="617CCA21" w:rsidR="00765778" w:rsidRPr="0046400A" w:rsidRDefault="00765778" w:rsidP="00765778">
            <w:pPr>
              <w:pStyle w:val="TableReference"/>
              <w:tabs>
                <w:tab w:val="left" w:pos="3306"/>
              </w:tabs>
              <w:rPr>
                <w:rFonts w:cs="Calibri"/>
                <w:color w:val="7030A0"/>
                <w:sz w:val="14"/>
              </w:rPr>
            </w:pPr>
            <w:r w:rsidRPr="0046400A">
              <w:rPr>
                <w:rFonts w:cs="Calibri"/>
                <w:color w:val="7030A0"/>
                <w:sz w:val="14"/>
              </w:rPr>
              <w:t>ACT Disclosure Policy</w:t>
            </w:r>
          </w:p>
        </w:tc>
        <w:tc>
          <w:tcPr>
            <w:tcW w:w="4255" w:type="pct"/>
            <w:gridSpan w:val="4"/>
            <w:tcBorders>
              <w:left w:val="single" w:sz="2" w:space="0" w:color="auto"/>
            </w:tcBorders>
            <w:shd w:val="clear" w:color="auto" w:fill="7030A0"/>
          </w:tcPr>
          <w:p w14:paraId="29762566" w14:textId="5C43B527" w:rsidR="00765778" w:rsidRPr="00685DB3" w:rsidRDefault="00765778" w:rsidP="00765778">
            <w:pPr>
              <w:spacing w:after="120"/>
              <w:jc w:val="both"/>
              <w:rPr>
                <w:color w:val="FFFFFF" w:themeColor="background1"/>
                <w:sz w:val="18"/>
                <w:szCs w:val="18"/>
              </w:rPr>
            </w:pPr>
            <w:r w:rsidRPr="00685DB3">
              <w:rPr>
                <w:color w:val="FFFFFF" w:themeColor="background1"/>
                <w:sz w:val="18"/>
                <w:szCs w:val="18"/>
              </w:rPr>
              <w:t>The notion of materiality applies to the classification of other income.</w:t>
            </w:r>
            <w:r>
              <w:rPr>
                <w:color w:val="FFFFFF" w:themeColor="background1"/>
                <w:sz w:val="18"/>
                <w:szCs w:val="18"/>
              </w:rPr>
              <w:t xml:space="preserve"> </w:t>
            </w:r>
            <w:r w:rsidRPr="00685DB3">
              <w:rPr>
                <w:color w:val="FFFFFF" w:themeColor="background1"/>
                <w:sz w:val="18"/>
                <w:szCs w:val="18"/>
              </w:rPr>
              <w:t>Each material class of gains must be disclosed separately and the total of unclassified gains must not exceed 10% of total gains disclosed in the note.</w:t>
            </w:r>
            <w:r>
              <w:rPr>
                <w:color w:val="FFFFFF" w:themeColor="background1"/>
                <w:sz w:val="18"/>
                <w:szCs w:val="18"/>
              </w:rPr>
              <w:t xml:space="preserve"> </w:t>
            </w:r>
          </w:p>
        </w:tc>
      </w:tr>
      <w:tr w:rsidR="00765778" w:rsidRPr="00CF7E1B" w14:paraId="5AC9A6C7" w14:textId="77777777" w:rsidTr="00947CD5">
        <w:tblPrEx>
          <w:shd w:val="clear" w:color="auto" w:fill="CCFFCC"/>
        </w:tblPrEx>
        <w:trPr>
          <w:trHeight w:val="20"/>
          <w:tblHeader/>
        </w:trPr>
        <w:tc>
          <w:tcPr>
            <w:tcW w:w="745" w:type="pct"/>
            <w:vMerge/>
            <w:tcBorders>
              <w:left w:val="single" w:sz="2" w:space="0" w:color="auto"/>
              <w:right w:val="single" w:sz="2" w:space="0" w:color="auto"/>
            </w:tcBorders>
          </w:tcPr>
          <w:p w14:paraId="7A389052" w14:textId="77777777" w:rsidR="00765778" w:rsidRPr="0046400A" w:rsidRDefault="00765778" w:rsidP="0076577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7058B9B" w14:textId="561F32A1" w:rsidR="00765778" w:rsidRPr="00E0586C" w:rsidRDefault="00765778" w:rsidP="00765778">
            <w:pPr>
              <w:spacing w:after="40"/>
              <w:jc w:val="both"/>
              <w:rPr>
                <w:strike/>
                <w:color w:val="FFFFFF" w:themeColor="background1"/>
                <w:sz w:val="20"/>
                <w:szCs w:val="20"/>
              </w:rPr>
            </w:pPr>
            <w:r w:rsidRPr="00E0586C">
              <w:rPr>
                <w:b/>
                <w:bCs/>
                <w:color w:val="FFFFFF" w:themeColor="background1"/>
                <w:sz w:val="20"/>
                <w:szCs w:val="20"/>
              </w:rPr>
              <w:t>Service Concession Arrangements</w:t>
            </w:r>
          </w:p>
        </w:tc>
      </w:tr>
      <w:tr w:rsidR="00765778" w:rsidRPr="00CF7E1B" w14:paraId="6E0707AC"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634753F7" w14:textId="77777777" w:rsidR="00765778" w:rsidRPr="0046400A" w:rsidRDefault="00765778" w:rsidP="0076577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26D168D" w14:textId="34E7AD88" w:rsidR="00765778" w:rsidRPr="00685DB3" w:rsidRDefault="00765778" w:rsidP="00765778">
            <w:pPr>
              <w:spacing w:after="120"/>
              <w:jc w:val="both"/>
              <w:rPr>
                <w:color w:val="FFFFFF" w:themeColor="background1"/>
                <w:sz w:val="18"/>
                <w:szCs w:val="18"/>
              </w:rPr>
            </w:pPr>
            <w:r w:rsidRPr="00685DB3">
              <w:rPr>
                <w:color w:val="FFFFFF" w:themeColor="background1"/>
                <w:sz w:val="18"/>
                <w:szCs w:val="18"/>
              </w:rPr>
              <w:t>Where Service Concession Arrangement revenue is material when compared to total revenue of an agency then it will warrant its own line item on the face of the financial statements.</w:t>
            </w:r>
            <w:r>
              <w:rPr>
                <w:color w:val="FFFFFF" w:themeColor="background1"/>
                <w:sz w:val="18"/>
                <w:szCs w:val="18"/>
              </w:rPr>
              <w:t xml:space="preserve"> </w:t>
            </w:r>
            <w:r w:rsidRPr="00685DB3">
              <w:rPr>
                <w:color w:val="FFFFFF" w:themeColor="background1"/>
                <w:sz w:val="18"/>
                <w:szCs w:val="18"/>
              </w:rPr>
              <w:t>Where it is immaterial in the context of this note then agencies should consider its inclusion in the ‘Other Revenue’ line item.</w:t>
            </w:r>
          </w:p>
        </w:tc>
      </w:tr>
    </w:tbl>
    <w:p w14:paraId="7B3B62B2" w14:textId="1C1417AE" w:rsidR="007635EB" w:rsidRDefault="007635EB"/>
    <w:p w14:paraId="10C87A38" w14:textId="76057295" w:rsidR="00685DB3" w:rsidRDefault="00685DB3"/>
    <w:p w14:paraId="4A09BFD4" w14:textId="73111209" w:rsidR="00685DB3" w:rsidRDefault="00685DB3"/>
    <w:p w14:paraId="70EDE44B" w14:textId="53DEFF93" w:rsidR="00685DB3" w:rsidRDefault="00685DB3">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519"/>
        <w:gridCol w:w="1276"/>
        <w:gridCol w:w="1135"/>
      </w:tblGrid>
      <w:tr w:rsidR="00CE67CE" w:rsidRPr="00CF7E1B" w14:paraId="055037E9" w14:textId="77777777" w:rsidTr="002F4A89">
        <w:trPr>
          <w:cantSplit/>
          <w:trHeight w:hRule="exact" w:val="953"/>
        </w:trPr>
        <w:tc>
          <w:tcPr>
            <w:tcW w:w="745" w:type="pct"/>
            <w:tcBorders>
              <w:top w:val="nil"/>
              <w:left w:val="single" w:sz="2" w:space="0" w:color="auto"/>
              <w:bottom w:val="nil"/>
              <w:right w:val="single" w:sz="2" w:space="0" w:color="auto"/>
            </w:tcBorders>
          </w:tcPr>
          <w:p w14:paraId="7AC4A19B" w14:textId="26F439A0" w:rsidR="00CE67CE" w:rsidRPr="0046400A" w:rsidRDefault="00551F51" w:rsidP="00927E75">
            <w:pPr>
              <w:pStyle w:val="TableReference"/>
              <w:tabs>
                <w:tab w:val="left" w:pos="3306"/>
              </w:tabs>
              <w:spacing w:before="240" w:after="240"/>
              <w:rPr>
                <w:color w:val="7030A0"/>
                <w:sz w:val="22"/>
                <w:szCs w:val="22"/>
              </w:rPr>
            </w:pPr>
            <w:r w:rsidRPr="0046400A">
              <w:rPr>
                <w:color w:val="7030A0"/>
              </w:rPr>
              <w:br w:type="page"/>
            </w:r>
            <w:bookmarkStart w:id="451" w:name="EmplExp" w:colFirst="1" w:colLast="1"/>
            <w:r w:rsidR="003A4053" w:rsidRPr="0046400A">
              <w:rPr>
                <w:rFonts w:cs="Calibri"/>
                <w:b/>
                <w:color w:val="7030A0"/>
                <w:sz w:val="22"/>
                <w:szCs w:val="22"/>
              </w:rPr>
              <w:t>Reference</w:t>
            </w:r>
          </w:p>
        </w:tc>
        <w:tc>
          <w:tcPr>
            <w:tcW w:w="4255" w:type="pct"/>
            <w:gridSpan w:val="3"/>
            <w:tcBorders>
              <w:top w:val="nil"/>
              <w:left w:val="single" w:sz="2" w:space="0" w:color="auto"/>
              <w:bottom w:val="nil"/>
              <w:right w:val="nil"/>
            </w:tcBorders>
          </w:tcPr>
          <w:p w14:paraId="6478B1F7" w14:textId="0A23623D" w:rsidR="00CE67CE" w:rsidRPr="00136827" w:rsidRDefault="00CE67CE" w:rsidP="00136827">
            <w:pPr>
              <w:pStyle w:val="Heading1"/>
              <w:numPr>
                <w:ilvl w:val="0"/>
                <w:numId w:val="0"/>
              </w:numPr>
              <w:rPr>
                <w:rFonts w:cs="Arial"/>
                <w:bCs w:val="0"/>
                <w:szCs w:val="32"/>
              </w:rPr>
            </w:pPr>
            <w:bookmarkStart w:id="452" w:name="_Toc132743791"/>
            <w:r w:rsidRPr="00136827">
              <w:rPr>
                <w:rFonts w:cs="Arial"/>
                <w:bCs w:val="0"/>
                <w:szCs w:val="32"/>
              </w:rPr>
              <w:t xml:space="preserve">Note </w:t>
            </w:r>
            <w:r w:rsidR="00012822" w:rsidRPr="00136827">
              <w:rPr>
                <w:rFonts w:cs="Arial"/>
                <w:bCs w:val="0"/>
                <w:szCs w:val="32"/>
              </w:rPr>
              <w:t>10</w:t>
            </w:r>
            <w:r w:rsidRPr="00136827">
              <w:rPr>
                <w:rFonts w:cs="Arial"/>
                <w:bCs w:val="0"/>
                <w:szCs w:val="32"/>
              </w:rPr>
              <w:t>.</w:t>
            </w:r>
            <w:r w:rsidR="00FA7C77" w:rsidRPr="00136827">
              <w:rPr>
                <w:rFonts w:cs="Arial"/>
                <w:bCs w:val="0"/>
                <w:szCs w:val="32"/>
              </w:rPr>
              <w:t xml:space="preserve"> </w:t>
            </w:r>
            <w:r w:rsidRPr="00136827">
              <w:rPr>
                <w:rFonts w:cs="Arial"/>
                <w:bCs w:val="0"/>
                <w:szCs w:val="32"/>
              </w:rPr>
              <w:t xml:space="preserve"> Employee </w:t>
            </w:r>
            <w:r w:rsidR="00EB2186" w:rsidRPr="00136827">
              <w:rPr>
                <w:rFonts w:cs="Arial"/>
                <w:bCs w:val="0"/>
                <w:strike/>
                <w:color w:val="FF0000"/>
                <w:szCs w:val="32"/>
              </w:rPr>
              <w:t>and Superannution</w:t>
            </w:r>
            <w:r w:rsidR="00EB2186" w:rsidRPr="00136827">
              <w:rPr>
                <w:rFonts w:cs="Arial"/>
                <w:bCs w:val="0"/>
                <w:color w:val="FF0000"/>
                <w:szCs w:val="32"/>
              </w:rPr>
              <w:t xml:space="preserve"> </w:t>
            </w:r>
            <w:r w:rsidRPr="00136827">
              <w:rPr>
                <w:rFonts w:cs="Arial"/>
                <w:bCs w:val="0"/>
                <w:szCs w:val="32"/>
              </w:rPr>
              <w:t>Expenses</w:t>
            </w:r>
            <w:bookmarkEnd w:id="452"/>
          </w:p>
        </w:tc>
      </w:tr>
      <w:tr w:rsidR="00FA71D0" w:rsidRPr="00CF7E1B" w14:paraId="7920280A" w14:textId="77777777" w:rsidTr="002F4A89">
        <w:trPr>
          <w:cantSplit/>
          <w:trHeight w:hRule="exact" w:val="455"/>
        </w:trPr>
        <w:tc>
          <w:tcPr>
            <w:tcW w:w="745" w:type="pct"/>
            <w:tcBorders>
              <w:top w:val="nil"/>
              <w:left w:val="single" w:sz="2" w:space="0" w:color="auto"/>
              <w:bottom w:val="nil"/>
              <w:right w:val="single" w:sz="2" w:space="0" w:color="auto"/>
            </w:tcBorders>
          </w:tcPr>
          <w:p w14:paraId="11D0661F" w14:textId="77777777" w:rsidR="00FA71D0" w:rsidRPr="0046400A" w:rsidRDefault="00FA71D0" w:rsidP="00FA71D0">
            <w:pPr>
              <w:pStyle w:val="TableReference"/>
              <w:tabs>
                <w:tab w:val="left" w:pos="3306"/>
              </w:tabs>
              <w:spacing w:before="120"/>
              <w:rPr>
                <w:color w:val="7030A0"/>
                <w:sz w:val="14"/>
              </w:rPr>
            </w:pPr>
          </w:p>
        </w:tc>
        <w:tc>
          <w:tcPr>
            <w:tcW w:w="4255" w:type="pct"/>
            <w:gridSpan w:val="3"/>
            <w:tcBorders>
              <w:top w:val="nil"/>
              <w:left w:val="single" w:sz="2" w:space="0" w:color="auto"/>
              <w:bottom w:val="nil"/>
              <w:right w:val="nil"/>
            </w:tcBorders>
          </w:tcPr>
          <w:p w14:paraId="02EA7F3E" w14:textId="3565D0BE" w:rsidR="00FA71D0" w:rsidRPr="0046400A" w:rsidRDefault="006C49B2" w:rsidP="00FA71D0">
            <w:pPr>
              <w:spacing w:before="120"/>
              <w:jc w:val="both"/>
              <w:rPr>
                <w:rFonts w:cs="Calibri"/>
                <w:b/>
                <w:bCs/>
                <w:sz w:val="18"/>
                <w:szCs w:val="18"/>
              </w:rPr>
            </w:pPr>
            <w:r w:rsidRPr="0046400A">
              <w:rPr>
                <w:rFonts w:cs="Calibri"/>
                <w:b/>
                <w:bCs/>
                <w:sz w:val="18"/>
                <w:szCs w:val="18"/>
              </w:rPr>
              <w:t xml:space="preserve">Description and </w:t>
            </w:r>
            <w:r w:rsidR="00217963" w:rsidRPr="0046400A">
              <w:rPr>
                <w:rFonts w:cs="Calibri"/>
                <w:b/>
                <w:bCs/>
                <w:sz w:val="18"/>
                <w:szCs w:val="18"/>
              </w:rPr>
              <w:t xml:space="preserve">Material Accounting Policies Relating to Employee </w:t>
            </w:r>
            <w:r w:rsidR="00EB2186" w:rsidRPr="00676AA9">
              <w:rPr>
                <w:rFonts w:cs="Calibri"/>
                <w:b/>
                <w:bCs/>
                <w:strike/>
                <w:color w:val="FF0000"/>
                <w:sz w:val="18"/>
                <w:szCs w:val="18"/>
              </w:rPr>
              <w:t>and Superannuation</w:t>
            </w:r>
            <w:r w:rsidR="00EB2186" w:rsidRPr="00676AA9">
              <w:rPr>
                <w:rFonts w:cs="Calibri"/>
                <w:b/>
                <w:bCs/>
                <w:color w:val="FF0000"/>
                <w:sz w:val="18"/>
                <w:szCs w:val="18"/>
              </w:rPr>
              <w:t xml:space="preserve"> </w:t>
            </w:r>
            <w:r w:rsidR="00217963" w:rsidRPr="0046400A">
              <w:rPr>
                <w:rFonts w:cs="Calibri"/>
                <w:b/>
                <w:bCs/>
                <w:sz w:val="18"/>
                <w:szCs w:val="18"/>
              </w:rPr>
              <w:t>Expenses</w:t>
            </w:r>
          </w:p>
        </w:tc>
      </w:tr>
      <w:tr w:rsidR="00DD4524" w:rsidRPr="00CF7E1B" w14:paraId="5AB4CB79" w14:textId="77777777" w:rsidTr="00795261">
        <w:trPr>
          <w:cantSplit/>
          <w:trHeight w:hRule="exact" w:val="1512"/>
        </w:trPr>
        <w:tc>
          <w:tcPr>
            <w:tcW w:w="745" w:type="pct"/>
            <w:tcBorders>
              <w:top w:val="nil"/>
              <w:left w:val="single" w:sz="2" w:space="0" w:color="auto"/>
              <w:bottom w:val="nil"/>
              <w:right w:val="single" w:sz="2" w:space="0" w:color="auto"/>
            </w:tcBorders>
          </w:tcPr>
          <w:p w14:paraId="3574E328" w14:textId="5D9E27F5" w:rsidR="00DD4524" w:rsidRPr="0046400A" w:rsidRDefault="00FA71D0" w:rsidP="0056464A">
            <w:pPr>
              <w:pStyle w:val="TableReference"/>
              <w:tabs>
                <w:tab w:val="left" w:pos="3306"/>
              </w:tabs>
              <w:rPr>
                <w:color w:val="7030A0"/>
                <w:sz w:val="14"/>
              </w:rPr>
            </w:pPr>
            <w:r w:rsidRPr="0046400A">
              <w:rPr>
                <w:color w:val="7030A0"/>
                <w:sz w:val="14"/>
              </w:rPr>
              <w:t>AASB 119.5 &amp; 9</w:t>
            </w:r>
          </w:p>
        </w:tc>
        <w:tc>
          <w:tcPr>
            <w:tcW w:w="4255" w:type="pct"/>
            <w:gridSpan w:val="3"/>
            <w:tcBorders>
              <w:top w:val="nil"/>
              <w:left w:val="single" w:sz="2" w:space="0" w:color="auto"/>
              <w:bottom w:val="nil"/>
              <w:right w:val="nil"/>
            </w:tcBorders>
          </w:tcPr>
          <w:p w14:paraId="0FF44F1F" w14:textId="77777777" w:rsidR="00FA71D0" w:rsidRPr="0046400A" w:rsidRDefault="00FA71D0" w:rsidP="00795261">
            <w:pPr>
              <w:spacing w:after="40"/>
              <w:jc w:val="both"/>
              <w:rPr>
                <w:rFonts w:cs="Calibri"/>
                <w:sz w:val="18"/>
                <w:szCs w:val="18"/>
              </w:rPr>
            </w:pPr>
            <w:r w:rsidRPr="0046400A">
              <w:rPr>
                <w:rFonts w:cs="Calibri"/>
                <w:sz w:val="18"/>
                <w:szCs w:val="18"/>
              </w:rPr>
              <w:t>Employee benefits include:</w:t>
            </w:r>
          </w:p>
          <w:p w14:paraId="2A8C0D9D" w14:textId="3A67484A" w:rsidR="00FA71D0" w:rsidRPr="0046400A" w:rsidRDefault="00FA71D0" w:rsidP="00795261">
            <w:pPr>
              <w:numPr>
                <w:ilvl w:val="0"/>
                <w:numId w:val="39"/>
              </w:numPr>
              <w:spacing w:after="40"/>
              <w:ind w:left="604" w:hanging="454"/>
              <w:jc w:val="both"/>
              <w:rPr>
                <w:rFonts w:cs="Calibri"/>
                <w:sz w:val="18"/>
                <w:szCs w:val="18"/>
              </w:rPr>
            </w:pPr>
            <w:r w:rsidRPr="0046400A">
              <w:rPr>
                <w:rFonts w:cs="Calibri"/>
                <w:sz w:val="18"/>
                <w:szCs w:val="18"/>
              </w:rPr>
              <w:t xml:space="preserve">short-term employee benefits such as wages and salaries, annual leave loading, </w:t>
            </w:r>
            <w:r w:rsidR="00B228FF" w:rsidRPr="0046400A">
              <w:rPr>
                <w:rFonts w:cs="Calibri"/>
                <w:sz w:val="18"/>
                <w:szCs w:val="18"/>
              </w:rPr>
              <w:t xml:space="preserve">non-monetary benefits (e.g. vehicles) </w:t>
            </w:r>
            <w:r w:rsidRPr="0046400A">
              <w:rPr>
                <w:rFonts w:cs="Calibri"/>
                <w:sz w:val="18"/>
                <w:szCs w:val="18"/>
              </w:rPr>
              <w:t>and applicable on-costs, if expected to be settled wholly before twelve months after the end of the annual reporting period in which the employees render the related services;</w:t>
            </w:r>
          </w:p>
          <w:p w14:paraId="59F30019" w14:textId="77777777" w:rsidR="00FA71D0" w:rsidRPr="0046400A" w:rsidRDefault="00FA71D0" w:rsidP="00795261">
            <w:pPr>
              <w:pStyle w:val="CommentaryText"/>
              <w:numPr>
                <w:ilvl w:val="0"/>
                <w:numId w:val="29"/>
              </w:numPr>
              <w:spacing w:after="40"/>
              <w:ind w:left="604" w:hanging="454"/>
              <w:rPr>
                <w:rFonts w:cs="Calibri"/>
                <w:sz w:val="18"/>
                <w:szCs w:val="18"/>
              </w:rPr>
            </w:pPr>
            <w:r w:rsidRPr="0046400A">
              <w:rPr>
                <w:rFonts w:cs="Calibri"/>
                <w:sz w:val="18"/>
                <w:szCs w:val="18"/>
              </w:rPr>
              <w:t>other long-term benefits such as long service leave and annual leave; and</w:t>
            </w:r>
          </w:p>
          <w:p w14:paraId="603B36DE" w14:textId="62C77E82" w:rsidR="00DD4524" w:rsidRPr="0046400A" w:rsidRDefault="00FA71D0" w:rsidP="00795261">
            <w:pPr>
              <w:pStyle w:val="CommentaryText"/>
              <w:numPr>
                <w:ilvl w:val="0"/>
                <w:numId w:val="29"/>
              </w:numPr>
              <w:spacing w:after="40"/>
              <w:ind w:left="604" w:hanging="454"/>
              <w:rPr>
                <w:rFonts w:cs="Calibri"/>
                <w:sz w:val="18"/>
                <w:szCs w:val="18"/>
              </w:rPr>
            </w:pPr>
            <w:r w:rsidRPr="0046400A">
              <w:rPr>
                <w:rFonts w:cs="Calibri"/>
                <w:sz w:val="18"/>
                <w:szCs w:val="18"/>
              </w:rPr>
              <w:t xml:space="preserve">termination benefits. </w:t>
            </w:r>
          </w:p>
        </w:tc>
      </w:tr>
      <w:tr w:rsidR="00B96250" w:rsidRPr="00CF7E1B" w14:paraId="72508704" w14:textId="77777777" w:rsidTr="002F4A89">
        <w:trPr>
          <w:cantSplit/>
          <w:trHeight w:hRule="exact" w:val="581"/>
        </w:trPr>
        <w:tc>
          <w:tcPr>
            <w:tcW w:w="745" w:type="pct"/>
            <w:vMerge w:val="restart"/>
            <w:tcBorders>
              <w:top w:val="nil"/>
              <w:left w:val="single" w:sz="2" w:space="0" w:color="auto"/>
              <w:right w:val="single" w:sz="2" w:space="0" w:color="auto"/>
            </w:tcBorders>
          </w:tcPr>
          <w:p w14:paraId="5219F942" w14:textId="497C3596" w:rsidR="00B96250" w:rsidRPr="0046400A" w:rsidRDefault="00B96250" w:rsidP="00B228FF">
            <w:pPr>
              <w:pStyle w:val="TableReference"/>
              <w:tabs>
                <w:tab w:val="left" w:pos="3306"/>
              </w:tabs>
              <w:spacing w:before="160"/>
              <w:rPr>
                <w:color w:val="7030A0"/>
                <w:sz w:val="14"/>
              </w:rPr>
            </w:pPr>
            <w:r w:rsidRPr="0046400A">
              <w:rPr>
                <w:color w:val="7030A0"/>
                <w:sz w:val="14"/>
              </w:rPr>
              <w:t xml:space="preserve">ACT Disclosure Policy </w:t>
            </w:r>
          </w:p>
          <w:p w14:paraId="793D4C14" w14:textId="5FA4D8B1" w:rsidR="00B96250" w:rsidRPr="0046400A" w:rsidRDefault="00B96250" w:rsidP="00B228FF">
            <w:pPr>
              <w:pStyle w:val="TableReference"/>
              <w:tabs>
                <w:tab w:val="left" w:pos="3306"/>
              </w:tabs>
              <w:rPr>
                <w:color w:val="7030A0"/>
                <w:sz w:val="14"/>
              </w:rPr>
            </w:pPr>
            <w:r w:rsidRPr="0046400A">
              <w:rPr>
                <w:color w:val="7030A0"/>
                <w:sz w:val="14"/>
              </w:rPr>
              <w:t>AASB 119.5(b) &amp; 53</w:t>
            </w:r>
          </w:p>
        </w:tc>
        <w:tc>
          <w:tcPr>
            <w:tcW w:w="4255" w:type="pct"/>
            <w:gridSpan w:val="3"/>
            <w:tcBorders>
              <w:top w:val="nil"/>
              <w:left w:val="single" w:sz="2" w:space="0" w:color="auto"/>
              <w:bottom w:val="nil"/>
              <w:right w:val="nil"/>
            </w:tcBorders>
          </w:tcPr>
          <w:p w14:paraId="3F9C82BE" w14:textId="45EB3418" w:rsidR="00B96250" w:rsidRPr="0046400A" w:rsidRDefault="00B96250" w:rsidP="00795261">
            <w:pPr>
              <w:spacing w:before="60" w:after="120"/>
              <w:jc w:val="both"/>
              <w:rPr>
                <w:rFonts w:cs="Calibri"/>
                <w:sz w:val="18"/>
                <w:szCs w:val="18"/>
              </w:rPr>
            </w:pPr>
            <w:r w:rsidRPr="0046400A">
              <w:rPr>
                <w:rFonts w:cs="Calibri"/>
                <w:sz w:val="18"/>
                <w:szCs w:val="18"/>
              </w:rPr>
              <w:t>On-costs include annual leave, long service leave, superannuation and other costs that are incurred when employees take annual leave and long service leave.</w:t>
            </w:r>
          </w:p>
        </w:tc>
      </w:tr>
      <w:tr w:rsidR="00B96250" w:rsidRPr="00CF7E1B" w14:paraId="6FF61172" w14:textId="77777777" w:rsidTr="00795261">
        <w:trPr>
          <w:cantSplit/>
          <w:trHeight w:hRule="exact" w:val="700"/>
        </w:trPr>
        <w:tc>
          <w:tcPr>
            <w:tcW w:w="745" w:type="pct"/>
            <w:vMerge/>
            <w:tcBorders>
              <w:left w:val="single" w:sz="2" w:space="0" w:color="auto"/>
              <w:bottom w:val="nil"/>
              <w:right w:val="single" w:sz="2" w:space="0" w:color="auto"/>
            </w:tcBorders>
          </w:tcPr>
          <w:p w14:paraId="3F19992D"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541620D3" w14:textId="7C61BDDA" w:rsidR="00B96250" w:rsidRPr="0046400A" w:rsidRDefault="00B96250" w:rsidP="00795261">
            <w:pPr>
              <w:jc w:val="both"/>
              <w:rPr>
                <w:rFonts w:cs="Calibri"/>
                <w:sz w:val="18"/>
                <w:szCs w:val="18"/>
              </w:rPr>
            </w:pPr>
            <w:r w:rsidRPr="0046400A">
              <w:rPr>
                <w:sz w:val="18"/>
                <w:szCs w:val="18"/>
              </w:rPr>
              <w:t>Employees of ‘</w:t>
            </w:r>
            <w:r w:rsidR="00920EA7" w:rsidRPr="0046400A">
              <w:rPr>
                <w:sz w:val="18"/>
                <w:szCs w:val="18"/>
              </w:rPr>
              <w:t xml:space="preserve">Burley Griffin </w:t>
            </w:r>
            <w:r w:rsidRPr="0046400A">
              <w:rPr>
                <w:sz w:val="18"/>
                <w:szCs w:val="18"/>
              </w:rPr>
              <w:t>Agency’ will have different superannuation arrangements due to the type of superannuation schemes available at the time of commencing employment, including both defined benefit and defined contribution superannuation scheme arrangements.</w:t>
            </w:r>
          </w:p>
        </w:tc>
      </w:tr>
      <w:tr w:rsidR="00B96250" w:rsidRPr="00CF7E1B" w14:paraId="4B3FE198" w14:textId="77777777" w:rsidTr="002F4A89">
        <w:trPr>
          <w:cantSplit/>
          <w:trHeight w:hRule="exact" w:val="1158"/>
        </w:trPr>
        <w:tc>
          <w:tcPr>
            <w:tcW w:w="745" w:type="pct"/>
            <w:tcBorders>
              <w:top w:val="nil"/>
              <w:left w:val="single" w:sz="2" w:space="0" w:color="auto"/>
              <w:bottom w:val="nil"/>
              <w:right w:val="single" w:sz="2" w:space="0" w:color="auto"/>
            </w:tcBorders>
          </w:tcPr>
          <w:p w14:paraId="7DCC68CF"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5DDDBA4" w14:textId="62FDCD70" w:rsidR="00B96250" w:rsidRPr="0046400A" w:rsidRDefault="00B96250" w:rsidP="00B96250">
            <w:pPr>
              <w:spacing w:before="60"/>
              <w:jc w:val="both"/>
              <w:rPr>
                <w:rFonts w:cs="Calibri"/>
                <w:sz w:val="18"/>
                <w:szCs w:val="18"/>
              </w:rPr>
            </w:pPr>
            <w:r w:rsidRPr="0046400A">
              <w:rPr>
                <w:sz w:val="18"/>
                <w:szCs w:val="18"/>
              </w:rPr>
              <w:t>For employees who are members of the defined benefit Commonwealth Superannuation Scheme (CSS) and Public Sector Superannuation Scheme (PSS) ‘</w:t>
            </w:r>
            <w:r w:rsidR="00920EA7" w:rsidRPr="0046400A">
              <w:rPr>
                <w:sz w:val="18"/>
                <w:szCs w:val="18"/>
              </w:rPr>
              <w:t>Burley Griffin</w:t>
            </w:r>
            <w:r w:rsidRPr="0046400A">
              <w:rPr>
                <w:sz w:val="18"/>
                <w:szCs w:val="18"/>
              </w:rPr>
              <w:t xml:space="preserve"> Agency’ makes employer superannuation contribution payments to the Territory Banking Account at a rate determined by the Chief Minister, Treasury and Economic Development Directorate.</w:t>
            </w:r>
            <w:r w:rsidR="00FA7C77">
              <w:rPr>
                <w:sz w:val="18"/>
                <w:szCs w:val="18"/>
              </w:rPr>
              <w:t xml:space="preserve"> </w:t>
            </w:r>
            <w:r w:rsidRPr="0046400A">
              <w:rPr>
                <w:sz w:val="18"/>
                <w:szCs w:val="18"/>
              </w:rPr>
              <w:t xml:space="preserve">The </w:t>
            </w:r>
            <w:r w:rsidR="001E2DA2" w:rsidRPr="0046400A">
              <w:rPr>
                <w:sz w:val="18"/>
                <w:szCs w:val="18"/>
              </w:rPr>
              <w:t xml:space="preserve">‘Burley Griffin </w:t>
            </w:r>
            <w:r w:rsidRPr="0046400A">
              <w:rPr>
                <w:sz w:val="18"/>
                <w:szCs w:val="18"/>
              </w:rPr>
              <w:t>Agency</w:t>
            </w:r>
            <w:r w:rsidR="001E2DA2" w:rsidRPr="0046400A">
              <w:rPr>
                <w:sz w:val="18"/>
                <w:szCs w:val="18"/>
              </w:rPr>
              <w:t>’</w:t>
            </w:r>
            <w:r w:rsidRPr="0046400A">
              <w:rPr>
                <w:sz w:val="18"/>
                <w:szCs w:val="18"/>
              </w:rPr>
              <w:t xml:space="preserve"> also makes productivity superannuation contribution payments on behalf of these employees to the Commonwealth Superannuation Corporation, which is responsible for administration of the schemes.</w:t>
            </w:r>
          </w:p>
        </w:tc>
      </w:tr>
      <w:tr w:rsidR="00B96250" w:rsidRPr="00CF7E1B" w14:paraId="6D671A89" w14:textId="77777777" w:rsidTr="002F4A89">
        <w:trPr>
          <w:cantSplit/>
          <w:trHeight w:hRule="exact" w:val="863"/>
        </w:trPr>
        <w:tc>
          <w:tcPr>
            <w:tcW w:w="745" w:type="pct"/>
            <w:tcBorders>
              <w:top w:val="nil"/>
              <w:left w:val="single" w:sz="2" w:space="0" w:color="auto"/>
              <w:bottom w:val="nil"/>
              <w:right w:val="single" w:sz="2" w:space="0" w:color="auto"/>
            </w:tcBorders>
          </w:tcPr>
          <w:p w14:paraId="58228855"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3FD51A84" w14:textId="6F2FF7B4" w:rsidR="00B96250" w:rsidRPr="0046400A" w:rsidRDefault="00B96250" w:rsidP="0046400A">
            <w:pPr>
              <w:spacing w:before="120"/>
              <w:jc w:val="both"/>
              <w:rPr>
                <w:rFonts w:cs="Calibri"/>
                <w:sz w:val="18"/>
                <w:szCs w:val="18"/>
              </w:rPr>
            </w:pPr>
            <w:r w:rsidRPr="0046400A">
              <w:rPr>
                <w:sz w:val="18"/>
                <w:szCs w:val="18"/>
              </w:rPr>
              <w:t xml:space="preserve">For employees who are members of defined contribution superannuation schemes (the Public Sector Superannuation Scheme Accumulation Plan (PSSAP) and schemes of employee choice) </w:t>
            </w:r>
            <w:r w:rsidR="00920EA7" w:rsidRPr="0046400A">
              <w:rPr>
                <w:sz w:val="18"/>
                <w:szCs w:val="18"/>
              </w:rPr>
              <w:t xml:space="preserve">‘Burley Griffin </w:t>
            </w:r>
            <w:r w:rsidRPr="0046400A">
              <w:rPr>
                <w:sz w:val="18"/>
                <w:szCs w:val="18"/>
              </w:rPr>
              <w:t>Agency</w:t>
            </w:r>
            <w:r w:rsidR="00920EA7" w:rsidRPr="0046400A">
              <w:rPr>
                <w:sz w:val="18"/>
                <w:szCs w:val="18"/>
              </w:rPr>
              <w:t>’</w:t>
            </w:r>
            <w:r w:rsidRPr="0046400A">
              <w:rPr>
                <w:sz w:val="18"/>
                <w:szCs w:val="18"/>
              </w:rPr>
              <w:t xml:space="preserve"> makes employer superannuation contribution payments directly to the employees’ relevant superannuation fund.</w:t>
            </w:r>
          </w:p>
        </w:tc>
      </w:tr>
      <w:tr w:rsidR="00B96250" w:rsidRPr="00CF7E1B" w14:paraId="4750C4CD" w14:textId="77777777" w:rsidTr="002F4A89">
        <w:trPr>
          <w:cantSplit/>
          <w:trHeight w:hRule="exact" w:val="839"/>
        </w:trPr>
        <w:tc>
          <w:tcPr>
            <w:tcW w:w="745" w:type="pct"/>
            <w:tcBorders>
              <w:top w:val="nil"/>
              <w:left w:val="single" w:sz="2" w:space="0" w:color="auto"/>
              <w:bottom w:val="nil"/>
              <w:right w:val="single" w:sz="2" w:space="0" w:color="auto"/>
            </w:tcBorders>
          </w:tcPr>
          <w:p w14:paraId="3172605C"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0BE7666B" w14:textId="365A98D1" w:rsidR="00B96250" w:rsidRPr="0046400A" w:rsidRDefault="00B96250" w:rsidP="0046400A">
            <w:pPr>
              <w:spacing w:before="60"/>
              <w:jc w:val="both"/>
              <w:rPr>
                <w:rFonts w:cs="Calibri"/>
                <w:sz w:val="18"/>
                <w:szCs w:val="18"/>
              </w:rPr>
            </w:pPr>
            <w:r w:rsidRPr="0046400A">
              <w:rPr>
                <w:sz w:val="18"/>
                <w:szCs w:val="18"/>
              </w:rPr>
              <w:t>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w:t>
            </w:r>
          </w:p>
        </w:tc>
      </w:tr>
      <w:tr w:rsidR="0046400A" w:rsidRPr="00CF7E1B" w14:paraId="3FE77409" w14:textId="77777777" w:rsidTr="002F4A89">
        <w:trPr>
          <w:cantSplit/>
          <w:trHeight w:hRule="exact" w:val="165"/>
        </w:trPr>
        <w:tc>
          <w:tcPr>
            <w:tcW w:w="745" w:type="pct"/>
            <w:tcBorders>
              <w:top w:val="nil"/>
              <w:left w:val="single" w:sz="2" w:space="0" w:color="auto"/>
              <w:bottom w:val="nil"/>
              <w:right w:val="single" w:sz="2" w:space="0" w:color="auto"/>
            </w:tcBorders>
          </w:tcPr>
          <w:p w14:paraId="59323365" w14:textId="77777777" w:rsidR="0046400A" w:rsidRPr="0046400A" w:rsidRDefault="0046400A"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75EA7DC2" w14:textId="77777777" w:rsidR="0046400A" w:rsidRPr="0046400A" w:rsidRDefault="0046400A" w:rsidP="00B228FF">
            <w:pPr>
              <w:spacing w:before="120"/>
              <w:jc w:val="both"/>
              <w:rPr>
                <w:sz w:val="18"/>
                <w:szCs w:val="18"/>
              </w:rPr>
            </w:pPr>
          </w:p>
        </w:tc>
      </w:tr>
      <w:bookmarkEnd w:id="451"/>
      <w:tr w:rsidR="00A7058E" w:rsidRPr="00CF7E1B" w14:paraId="641BC198" w14:textId="77777777" w:rsidTr="002F4A89">
        <w:trPr>
          <w:cantSplit/>
          <w:trHeight w:val="23"/>
        </w:trPr>
        <w:tc>
          <w:tcPr>
            <w:tcW w:w="745" w:type="pct"/>
            <w:tcBorders>
              <w:top w:val="nil"/>
              <w:left w:val="single" w:sz="2" w:space="0" w:color="auto"/>
              <w:bottom w:val="nil"/>
              <w:right w:val="single" w:sz="2" w:space="0" w:color="auto"/>
            </w:tcBorders>
          </w:tcPr>
          <w:p w14:paraId="1E1AAB3A" w14:textId="77777777" w:rsidR="00A7058E" w:rsidRPr="0046400A" w:rsidRDefault="00A7058E" w:rsidP="00927E75">
            <w:pPr>
              <w:pStyle w:val="TableReference"/>
              <w:tabs>
                <w:tab w:val="left" w:pos="3306"/>
              </w:tabs>
              <w:spacing w:before="40" w:after="240"/>
              <w:rPr>
                <w:rFonts w:cs="Calibri"/>
                <w:color w:val="7030A0"/>
                <w:sz w:val="14"/>
              </w:rPr>
            </w:pPr>
          </w:p>
        </w:tc>
        <w:tc>
          <w:tcPr>
            <w:tcW w:w="3106" w:type="pct"/>
            <w:tcBorders>
              <w:top w:val="nil"/>
              <w:left w:val="single" w:sz="2" w:space="0" w:color="auto"/>
              <w:bottom w:val="nil"/>
              <w:right w:val="nil"/>
            </w:tcBorders>
            <w:vAlign w:val="bottom"/>
          </w:tcPr>
          <w:p w14:paraId="0027A1D2" w14:textId="77777777" w:rsidR="00A7058E" w:rsidRPr="0046400A" w:rsidRDefault="00A7058E">
            <w:pPr>
              <w:tabs>
                <w:tab w:val="left" w:pos="3306"/>
              </w:tabs>
              <w:rPr>
                <w:rFonts w:cs="Calibri"/>
                <w:sz w:val="20"/>
                <w:szCs w:val="20"/>
              </w:rPr>
            </w:pPr>
          </w:p>
        </w:tc>
        <w:tc>
          <w:tcPr>
            <w:tcW w:w="608" w:type="pct"/>
            <w:tcBorders>
              <w:top w:val="nil"/>
              <w:left w:val="nil"/>
              <w:bottom w:val="nil"/>
              <w:right w:val="nil"/>
            </w:tcBorders>
            <w:vAlign w:val="bottom"/>
          </w:tcPr>
          <w:p w14:paraId="46229D91" w14:textId="48CB2AEF" w:rsidR="001E7E5D" w:rsidRPr="00F305E9" w:rsidRDefault="001E7E5D" w:rsidP="001E7E5D">
            <w:pPr>
              <w:pStyle w:val="TableTitle"/>
              <w:tabs>
                <w:tab w:val="left" w:pos="3306"/>
              </w:tabs>
              <w:rPr>
                <w:rFonts w:cs="Calibri"/>
              </w:rPr>
            </w:pPr>
            <w:r w:rsidRPr="00F305E9">
              <w:rPr>
                <w:rFonts w:cs="Calibri"/>
              </w:rPr>
              <w:t>202</w:t>
            </w:r>
            <w:r w:rsidR="00341E93" w:rsidRPr="00F305E9">
              <w:rPr>
                <w:rFonts w:cs="Calibri"/>
              </w:rPr>
              <w:t>3</w:t>
            </w:r>
          </w:p>
          <w:p w14:paraId="098C4DA1" w14:textId="77777777" w:rsidR="00A7058E" w:rsidRPr="00F305E9" w:rsidRDefault="00A7058E" w:rsidP="00A7058E">
            <w:pPr>
              <w:pStyle w:val="TableTitle"/>
              <w:tabs>
                <w:tab w:val="left" w:pos="3306"/>
              </w:tabs>
              <w:rPr>
                <w:rFonts w:cs="Calibri"/>
              </w:rPr>
            </w:pPr>
            <w:r w:rsidRPr="00F305E9">
              <w:rPr>
                <w:rFonts w:cs="Calibri"/>
              </w:rPr>
              <w:t>$’000</w:t>
            </w:r>
          </w:p>
        </w:tc>
        <w:tc>
          <w:tcPr>
            <w:tcW w:w="541" w:type="pct"/>
            <w:tcBorders>
              <w:top w:val="nil"/>
              <w:left w:val="nil"/>
              <w:bottom w:val="nil"/>
              <w:right w:val="nil"/>
            </w:tcBorders>
            <w:vAlign w:val="bottom"/>
          </w:tcPr>
          <w:p w14:paraId="693A923F" w14:textId="30E3A3F0" w:rsidR="00003325" w:rsidRPr="00F305E9" w:rsidRDefault="00AB4981" w:rsidP="00A7058E">
            <w:pPr>
              <w:pStyle w:val="TableTitle"/>
              <w:tabs>
                <w:tab w:val="left" w:pos="3306"/>
              </w:tabs>
              <w:rPr>
                <w:rFonts w:cs="Calibri"/>
              </w:rPr>
            </w:pPr>
            <w:r w:rsidRPr="00F305E9">
              <w:rPr>
                <w:rFonts w:cs="Calibri"/>
              </w:rPr>
              <w:t>202</w:t>
            </w:r>
            <w:r w:rsidR="00341E93" w:rsidRPr="00F305E9">
              <w:rPr>
                <w:rFonts w:cs="Calibri"/>
              </w:rPr>
              <w:t>2</w:t>
            </w:r>
            <w:r w:rsidR="00FA7C77" w:rsidRPr="00F305E9">
              <w:rPr>
                <w:rFonts w:cs="Calibri"/>
              </w:rPr>
              <w:t xml:space="preserve">    </w:t>
            </w:r>
          </w:p>
          <w:p w14:paraId="75FF7440" w14:textId="515FF4AE" w:rsidR="00A7058E" w:rsidRPr="00F305E9" w:rsidRDefault="00A7058E" w:rsidP="00A7058E">
            <w:pPr>
              <w:pStyle w:val="TableTitle"/>
              <w:tabs>
                <w:tab w:val="left" w:pos="3306"/>
              </w:tabs>
              <w:rPr>
                <w:rFonts w:cs="Calibri"/>
              </w:rPr>
            </w:pPr>
            <w:r w:rsidRPr="00F305E9">
              <w:rPr>
                <w:rFonts w:cs="Calibri"/>
              </w:rPr>
              <w:t>$’000</w:t>
            </w:r>
          </w:p>
        </w:tc>
      </w:tr>
      <w:tr w:rsidR="00A7058E" w:rsidRPr="00CF7E1B" w14:paraId="7CEBF517" w14:textId="77777777" w:rsidTr="002F4A89">
        <w:trPr>
          <w:cantSplit/>
          <w:trHeight w:val="23"/>
        </w:trPr>
        <w:tc>
          <w:tcPr>
            <w:tcW w:w="745" w:type="pct"/>
            <w:tcBorders>
              <w:top w:val="nil"/>
              <w:left w:val="single" w:sz="2" w:space="0" w:color="auto"/>
              <w:bottom w:val="nil"/>
              <w:right w:val="single" w:sz="2" w:space="0" w:color="auto"/>
            </w:tcBorders>
          </w:tcPr>
          <w:p w14:paraId="17DED849" w14:textId="77777777" w:rsidR="00A7058E" w:rsidRPr="0046400A" w:rsidRDefault="00A7058E">
            <w:pPr>
              <w:pStyle w:val="TableReference"/>
              <w:tabs>
                <w:tab w:val="left" w:pos="3306"/>
              </w:tabs>
              <w:spacing w:before="40"/>
              <w:rPr>
                <w:rFonts w:cs="Calibri"/>
                <w:color w:val="7030A0"/>
                <w:sz w:val="14"/>
              </w:rPr>
            </w:pPr>
            <w:r w:rsidRPr="0046400A">
              <w:rPr>
                <w:rFonts w:cs="Calibri"/>
                <w:color w:val="7030A0"/>
                <w:sz w:val="14"/>
              </w:rPr>
              <w:t xml:space="preserve"> </w:t>
            </w:r>
          </w:p>
        </w:tc>
        <w:tc>
          <w:tcPr>
            <w:tcW w:w="3106" w:type="pct"/>
            <w:tcBorders>
              <w:top w:val="nil"/>
              <w:left w:val="single" w:sz="2" w:space="0" w:color="auto"/>
              <w:bottom w:val="nil"/>
              <w:right w:val="nil"/>
            </w:tcBorders>
            <w:vAlign w:val="bottom"/>
          </w:tcPr>
          <w:p w14:paraId="5B1C29DB" w14:textId="77777777" w:rsidR="00A7058E" w:rsidRPr="0046400A" w:rsidRDefault="00A7058E">
            <w:pPr>
              <w:pStyle w:val="TableText"/>
              <w:tabs>
                <w:tab w:val="left" w:pos="3306"/>
              </w:tabs>
              <w:rPr>
                <w:rFonts w:cs="Calibri"/>
              </w:rPr>
            </w:pPr>
            <w:r w:rsidRPr="0046400A">
              <w:rPr>
                <w:rFonts w:cs="Calibri"/>
              </w:rPr>
              <w:t xml:space="preserve">Wages and Salaries </w:t>
            </w:r>
          </w:p>
        </w:tc>
        <w:tc>
          <w:tcPr>
            <w:tcW w:w="608" w:type="pct"/>
            <w:tcBorders>
              <w:top w:val="nil"/>
              <w:left w:val="nil"/>
              <w:bottom w:val="nil"/>
              <w:right w:val="nil"/>
            </w:tcBorders>
            <w:vAlign w:val="bottom"/>
          </w:tcPr>
          <w:p w14:paraId="627E9F62" w14:textId="1F19CB89"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2EB550DD" w14:textId="065C5447" w:rsidR="00A7058E" w:rsidRPr="0046400A" w:rsidRDefault="00A7058E">
            <w:pPr>
              <w:pStyle w:val="TableText"/>
              <w:tabs>
                <w:tab w:val="left" w:pos="3306"/>
              </w:tabs>
              <w:jc w:val="right"/>
              <w:rPr>
                <w:rFonts w:cs="Calibri"/>
              </w:rPr>
            </w:pPr>
          </w:p>
        </w:tc>
      </w:tr>
      <w:tr w:rsidR="00A7058E" w:rsidRPr="00CF7E1B" w14:paraId="2D95F090" w14:textId="77777777" w:rsidTr="002F4A89">
        <w:trPr>
          <w:cantSplit/>
          <w:trHeight w:val="23"/>
        </w:trPr>
        <w:tc>
          <w:tcPr>
            <w:tcW w:w="745" w:type="pct"/>
            <w:tcBorders>
              <w:top w:val="nil"/>
              <w:left w:val="single" w:sz="2" w:space="0" w:color="auto"/>
              <w:bottom w:val="nil"/>
              <w:right w:val="single" w:sz="2" w:space="0" w:color="auto"/>
            </w:tcBorders>
          </w:tcPr>
          <w:p w14:paraId="0326662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297DC5" w14:textId="77777777" w:rsidR="00A7058E" w:rsidRPr="0046400A" w:rsidRDefault="00A7058E">
            <w:pPr>
              <w:pStyle w:val="TableText"/>
              <w:tabs>
                <w:tab w:val="left" w:pos="3306"/>
              </w:tabs>
              <w:rPr>
                <w:rFonts w:cs="Calibri"/>
              </w:rPr>
            </w:pPr>
            <w:r w:rsidRPr="0046400A">
              <w:rPr>
                <w:rFonts w:cs="Calibri"/>
              </w:rPr>
              <w:t>Annual Leave Expense</w:t>
            </w:r>
          </w:p>
        </w:tc>
        <w:tc>
          <w:tcPr>
            <w:tcW w:w="608" w:type="pct"/>
            <w:tcBorders>
              <w:top w:val="nil"/>
              <w:left w:val="nil"/>
              <w:bottom w:val="nil"/>
              <w:right w:val="nil"/>
            </w:tcBorders>
            <w:vAlign w:val="bottom"/>
          </w:tcPr>
          <w:p w14:paraId="19CAD0BA" w14:textId="53BBCA02"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14B6382E" w14:textId="3BA212E6" w:rsidR="00A7058E" w:rsidRPr="0046400A" w:rsidRDefault="00A7058E">
            <w:pPr>
              <w:pStyle w:val="TableText"/>
              <w:tabs>
                <w:tab w:val="left" w:pos="3306"/>
              </w:tabs>
              <w:jc w:val="right"/>
              <w:rPr>
                <w:rFonts w:cs="Calibri"/>
              </w:rPr>
            </w:pPr>
          </w:p>
        </w:tc>
      </w:tr>
      <w:tr w:rsidR="00A7058E" w:rsidRPr="00CF7E1B" w14:paraId="64BAB3C1" w14:textId="77777777" w:rsidTr="002F4A89">
        <w:trPr>
          <w:cantSplit/>
          <w:trHeight w:val="23"/>
        </w:trPr>
        <w:tc>
          <w:tcPr>
            <w:tcW w:w="745" w:type="pct"/>
            <w:tcBorders>
              <w:top w:val="nil"/>
              <w:left w:val="single" w:sz="2" w:space="0" w:color="auto"/>
              <w:bottom w:val="nil"/>
              <w:right w:val="single" w:sz="2" w:space="0" w:color="auto"/>
            </w:tcBorders>
          </w:tcPr>
          <w:p w14:paraId="6C3A927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1E11A404" w14:textId="77777777" w:rsidR="00A7058E" w:rsidRPr="0046400A" w:rsidRDefault="00A7058E">
            <w:pPr>
              <w:pStyle w:val="TableText"/>
              <w:tabs>
                <w:tab w:val="left" w:pos="3306"/>
              </w:tabs>
              <w:rPr>
                <w:rFonts w:cs="Calibri"/>
              </w:rPr>
            </w:pPr>
            <w:r w:rsidRPr="0046400A">
              <w:rPr>
                <w:rFonts w:cs="Calibri"/>
              </w:rPr>
              <w:t>Long Service Leave Expense</w:t>
            </w:r>
          </w:p>
        </w:tc>
        <w:tc>
          <w:tcPr>
            <w:tcW w:w="608" w:type="pct"/>
            <w:tcBorders>
              <w:top w:val="nil"/>
              <w:left w:val="nil"/>
              <w:bottom w:val="nil"/>
              <w:right w:val="nil"/>
            </w:tcBorders>
            <w:vAlign w:val="bottom"/>
          </w:tcPr>
          <w:p w14:paraId="25CDFDB4" w14:textId="7ED8698A"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6A8AAA78" w14:textId="6641A15D" w:rsidR="00A7058E" w:rsidRPr="0046400A" w:rsidRDefault="00A7058E">
            <w:pPr>
              <w:pStyle w:val="TableText"/>
              <w:tabs>
                <w:tab w:val="left" w:pos="3306"/>
              </w:tabs>
              <w:jc w:val="right"/>
              <w:rPr>
                <w:rFonts w:cs="Calibri"/>
              </w:rPr>
            </w:pPr>
          </w:p>
        </w:tc>
      </w:tr>
      <w:tr w:rsidR="00A7058E" w:rsidRPr="00CF7E1B" w14:paraId="28C0757A" w14:textId="77777777" w:rsidTr="002F4A89">
        <w:trPr>
          <w:cantSplit/>
          <w:trHeight w:val="23"/>
        </w:trPr>
        <w:tc>
          <w:tcPr>
            <w:tcW w:w="745" w:type="pct"/>
            <w:tcBorders>
              <w:top w:val="nil"/>
              <w:left w:val="single" w:sz="2" w:space="0" w:color="auto"/>
              <w:bottom w:val="nil"/>
              <w:right w:val="single" w:sz="2" w:space="0" w:color="auto"/>
            </w:tcBorders>
          </w:tcPr>
          <w:p w14:paraId="698EDE1C"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28EBC0B3" w14:textId="77777777" w:rsidR="00A7058E" w:rsidRPr="0046400A" w:rsidRDefault="00A7058E">
            <w:pPr>
              <w:pStyle w:val="TableText"/>
              <w:tabs>
                <w:tab w:val="left" w:pos="3306"/>
              </w:tabs>
              <w:rPr>
                <w:rFonts w:cs="Calibri"/>
              </w:rPr>
            </w:pPr>
            <w:r w:rsidRPr="0046400A">
              <w:rPr>
                <w:rFonts w:cs="Calibri"/>
              </w:rPr>
              <w:t>Workers’ Compensation</w:t>
            </w:r>
            <w:r w:rsidR="00AF709F" w:rsidRPr="0046400A">
              <w:rPr>
                <w:rFonts w:cs="Calibri"/>
              </w:rPr>
              <w:t xml:space="preserve"> Insurance</w:t>
            </w:r>
            <w:r w:rsidRPr="0046400A">
              <w:rPr>
                <w:rFonts w:cs="Calibri"/>
              </w:rPr>
              <w:t xml:space="preserve"> Premium </w:t>
            </w:r>
          </w:p>
        </w:tc>
        <w:tc>
          <w:tcPr>
            <w:tcW w:w="608" w:type="pct"/>
            <w:tcBorders>
              <w:top w:val="nil"/>
              <w:left w:val="nil"/>
              <w:bottom w:val="nil"/>
              <w:right w:val="nil"/>
            </w:tcBorders>
            <w:vAlign w:val="bottom"/>
          </w:tcPr>
          <w:p w14:paraId="774C5569" w14:textId="2754E18D"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46759ACD" w14:textId="4F55BD88" w:rsidR="00A7058E" w:rsidRPr="0046400A" w:rsidRDefault="00A7058E">
            <w:pPr>
              <w:pStyle w:val="TableText"/>
              <w:tabs>
                <w:tab w:val="left" w:pos="3306"/>
              </w:tabs>
              <w:jc w:val="right"/>
              <w:rPr>
                <w:rFonts w:cs="Calibri"/>
              </w:rPr>
            </w:pPr>
          </w:p>
        </w:tc>
      </w:tr>
      <w:tr w:rsidR="00A7058E" w:rsidRPr="00CF7E1B" w14:paraId="2652BD5B" w14:textId="77777777" w:rsidTr="002F4A89">
        <w:trPr>
          <w:cantSplit/>
          <w:trHeight w:val="23"/>
        </w:trPr>
        <w:tc>
          <w:tcPr>
            <w:tcW w:w="745" w:type="pct"/>
            <w:tcBorders>
              <w:top w:val="nil"/>
              <w:left w:val="single" w:sz="2" w:space="0" w:color="auto"/>
              <w:bottom w:val="nil"/>
              <w:right w:val="single" w:sz="2" w:space="0" w:color="auto"/>
            </w:tcBorders>
          </w:tcPr>
          <w:p w14:paraId="7A679C5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E59955" w14:textId="77777777" w:rsidR="00A7058E" w:rsidRPr="0046400A" w:rsidRDefault="00A7058E">
            <w:pPr>
              <w:pStyle w:val="TableText"/>
              <w:tabs>
                <w:tab w:val="left" w:pos="3306"/>
              </w:tabs>
              <w:rPr>
                <w:rFonts w:cs="Calibri"/>
              </w:rPr>
            </w:pPr>
            <w:r w:rsidRPr="0046400A">
              <w:rPr>
                <w:rFonts w:cs="Calibri"/>
              </w:rPr>
              <w:t>Termination Expense</w:t>
            </w:r>
          </w:p>
        </w:tc>
        <w:tc>
          <w:tcPr>
            <w:tcW w:w="608" w:type="pct"/>
            <w:tcBorders>
              <w:top w:val="nil"/>
              <w:left w:val="nil"/>
              <w:bottom w:val="nil"/>
              <w:right w:val="nil"/>
            </w:tcBorders>
            <w:vAlign w:val="bottom"/>
          </w:tcPr>
          <w:p w14:paraId="4A384917" w14:textId="68186146"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6C58D0E4" w14:textId="7E5D9B36" w:rsidR="00A7058E" w:rsidRPr="0046400A" w:rsidRDefault="00A7058E">
            <w:pPr>
              <w:pStyle w:val="TableText"/>
              <w:tabs>
                <w:tab w:val="left" w:pos="3306"/>
              </w:tabs>
              <w:jc w:val="right"/>
              <w:rPr>
                <w:rFonts w:cs="Calibri"/>
              </w:rPr>
            </w:pPr>
          </w:p>
        </w:tc>
      </w:tr>
      <w:tr w:rsidR="00B96250" w:rsidRPr="00CF7E1B" w14:paraId="613C89B9" w14:textId="77777777" w:rsidTr="002F4A89">
        <w:trPr>
          <w:cantSplit/>
          <w:trHeight w:val="23"/>
        </w:trPr>
        <w:tc>
          <w:tcPr>
            <w:tcW w:w="745" w:type="pct"/>
            <w:tcBorders>
              <w:top w:val="nil"/>
              <w:left w:val="single" w:sz="2" w:space="0" w:color="auto"/>
              <w:bottom w:val="nil"/>
              <w:right w:val="single" w:sz="2" w:space="0" w:color="auto"/>
            </w:tcBorders>
          </w:tcPr>
          <w:p w14:paraId="336A2FD5" w14:textId="6A74B684" w:rsidR="00B96250" w:rsidRPr="0046400A" w:rsidRDefault="00B96250" w:rsidP="00B96250">
            <w:pPr>
              <w:pStyle w:val="TableReference"/>
              <w:tabs>
                <w:tab w:val="left" w:pos="3306"/>
              </w:tabs>
              <w:spacing w:before="40"/>
              <w:rPr>
                <w:rFonts w:cs="Calibri"/>
                <w:color w:val="7030A0"/>
                <w:sz w:val="14"/>
              </w:rPr>
            </w:pPr>
            <w:r w:rsidRPr="0046400A">
              <w:rPr>
                <w:rFonts w:cs="Calibri"/>
                <w:color w:val="7030A0"/>
                <w:sz w:val="14"/>
              </w:rPr>
              <w:t>AASB 119.53</w:t>
            </w:r>
          </w:p>
        </w:tc>
        <w:tc>
          <w:tcPr>
            <w:tcW w:w="3106" w:type="pct"/>
            <w:tcBorders>
              <w:top w:val="nil"/>
              <w:left w:val="single" w:sz="2" w:space="0" w:color="auto"/>
              <w:bottom w:val="nil"/>
              <w:right w:val="nil"/>
            </w:tcBorders>
            <w:vAlign w:val="bottom"/>
          </w:tcPr>
          <w:p w14:paraId="0BB9CE42" w14:textId="1A8AD67F" w:rsidR="00B96250" w:rsidRPr="0046400A" w:rsidRDefault="00B96250" w:rsidP="00B96250">
            <w:pPr>
              <w:pStyle w:val="TableText"/>
              <w:tabs>
                <w:tab w:val="left" w:pos="3306"/>
              </w:tabs>
              <w:rPr>
                <w:rFonts w:cs="Calibri"/>
              </w:rPr>
            </w:pPr>
            <w:r w:rsidRPr="0046400A">
              <w:rPr>
                <w:rFonts w:cs="Calibri"/>
              </w:rPr>
              <w:t>Superannuation Contributions to the Territory Banking Account</w:t>
            </w:r>
          </w:p>
        </w:tc>
        <w:tc>
          <w:tcPr>
            <w:tcW w:w="608" w:type="pct"/>
            <w:tcBorders>
              <w:top w:val="nil"/>
              <w:left w:val="nil"/>
              <w:bottom w:val="nil"/>
              <w:right w:val="nil"/>
            </w:tcBorders>
            <w:vAlign w:val="bottom"/>
          </w:tcPr>
          <w:p w14:paraId="722A5F37"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5E93A562" w14:textId="77777777" w:rsidR="00B96250" w:rsidRPr="0046400A" w:rsidRDefault="00B96250" w:rsidP="00B96250">
            <w:pPr>
              <w:pStyle w:val="TableText"/>
              <w:tabs>
                <w:tab w:val="left" w:pos="3306"/>
              </w:tabs>
              <w:jc w:val="right"/>
              <w:rPr>
                <w:rFonts w:cs="Calibri"/>
              </w:rPr>
            </w:pPr>
          </w:p>
        </w:tc>
      </w:tr>
      <w:tr w:rsidR="00B96250" w:rsidRPr="00CF7E1B" w14:paraId="509AEFBE" w14:textId="77777777" w:rsidTr="002F4A89">
        <w:trPr>
          <w:cantSplit/>
          <w:trHeight w:val="23"/>
        </w:trPr>
        <w:tc>
          <w:tcPr>
            <w:tcW w:w="745" w:type="pct"/>
            <w:tcBorders>
              <w:top w:val="nil"/>
              <w:left w:val="single" w:sz="2" w:space="0" w:color="auto"/>
              <w:bottom w:val="nil"/>
              <w:right w:val="single" w:sz="2" w:space="0" w:color="auto"/>
            </w:tcBorders>
          </w:tcPr>
          <w:p w14:paraId="47574E69"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B67FAE4" w14:textId="5B53993B" w:rsidR="00B96250" w:rsidRPr="0046400A" w:rsidRDefault="00B96250" w:rsidP="00B96250">
            <w:pPr>
              <w:pStyle w:val="TableText"/>
              <w:tabs>
                <w:tab w:val="left" w:pos="3306"/>
              </w:tabs>
              <w:rPr>
                <w:rFonts w:cs="Calibri"/>
              </w:rPr>
            </w:pPr>
            <w:r w:rsidRPr="0046400A">
              <w:rPr>
                <w:rFonts w:cs="Calibri"/>
              </w:rPr>
              <w:t>Productivity Benefit</w:t>
            </w:r>
          </w:p>
        </w:tc>
        <w:tc>
          <w:tcPr>
            <w:tcW w:w="608" w:type="pct"/>
            <w:tcBorders>
              <w:top w:val="nil"/>
              <w:left w:val="nil"/>
              <w:bottom w:val="nil"/>
              <w:right w:val="nil"/>
            </w:tcBorders>
            <w:vAlign w:val="bottom"/>
          </w:tcPr>
          <w:p w14:paraId="5F10FA7B"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2966320D" w14:textId="77777777" w:rsidR="00B96250" w:rsidRPr="0046400A" w:rsidRDefault="00B96250" w:rsidP="00B96250">
            <w:pPr>
              <w:pStyle w:val="TableText"/>
              <w:tabs>
                <w:tab w:val="left" w:pos="3306"/>
              </w:tabs>
              <w:jc w:val="right"/>
              <w:rPr>
                <w:rFonts w:cs="Calibri"/>
              </w:rPr>
            </w:pPr>
          </w:p>
        </w:tc>
      </w:tr>
      <w:tr w:rsidR="00B96250" w:rsidRPr="00CF7E1B" w14:paraId="02274245" w14:textId="77777777" w:rsidTr="002F4A89">
        <w:trPr>
          <w:cantSplit/>
          <w:trHeight w:val="23"/>
        </w:trPr>
        <w:tc>
          <w:tcPr>
            <w:tcW w:w="745" w:type="pct"/>
            <w:tcBorders>
              <w:top w:val="nil"/>
              <w:left w:val="single" w:sz="2" w:space="0" w:color="auto"/>
              <w:bottom w:val="nil"/>
              <w:right w:val="single" w:sz="2" w:space="0" w:color="auto"/>
            </w:tcBorders>
          </w:tcPr>
          <w:p w14:paraId="3E3752C7"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6B6F7F0C" w14:textId="312A5722" w:rsidR="00B96250" w:rsidRPr="0046400A" w:rsidRDefault="00B96250" w:rsidP="00B96250">
            <w:pPr>
              <w:pStyle w:val="TableText"/>
              <w:tabs>
                <w:tab w:val="left" w:pos="3306"/>
              </w:tabs>
              <w:rPr>
                <w:rFonts w:cs="Calibri"/>
              </w:rPr>
            </w:pPr>
            <w:r w:rsidRPr="0046400A">
              <w:rPr>
                <w:rFonts w:cs="Calibri"/>
              </w:rPr>
              <w:t>Superannuation to External Providers</w:t>
            </w:r>
          </w:p>
        </w:tc>
        <w:tc>
          <w:tcPr>
            <w:tcW w:w="608" w:type="pct"/>
            <w:tcBorders>
              <w:top w:val="nil"/>
              <w:left w:val="nil"/>
              <w:bottom w:val="nil"/>
              <w:right w:val="nil"/>
            </w:tcBorders>
            <w:vAlign w:val="bottom"/>
          </w:tcPr>
          <w:p w14:paraId="2F69D8A3"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0AA8A0A3" w14:textId="77777777" w:rsidR="00B96250" w:rsidRPr="0046400A" w:rsidRDefault="00B96250" w:rsidP="00B96250">
            <w:pPr>
              <w:pStyle w:val="TableText"/>
              <w:tabs>
                <w:tab w:val="left" w:pos="3306"/>
              </w:tabs>
              <w:jc w:val="right"/>
              <w:rPr>
                <w:rFonts w:cs="Calibri"/>
              </w:rPr>
            </w:pPr>
          </w:p>
        </w:tc>
      </w:tr>
      <w:tr w:rsidR="00B96250" w:rsidRPr="00CF7E1B" w14:paraId="1260C441" w14:textId="77777777" w:rsidTr="002F4A89">
        <w:trPr>
          <w:cantSplit/>
          <w:trHeight w:val="23"/>
        </w:trPr>
        <w:tc>
          <w:tcPr>
            <w:tcW w:w="745" w:type="pct"/>
            <w:tcBorders>
              <w:top w:val="nil"/>
              <w:left w:val="single" w:sz="2" w:space="0" w:color="auto"/>
              <w:bottom w:val="nil"/>
              <w:right w:val="single" w:sz="2" w:space="0" w:color="auto"/>
            </w:tcBorders>
          </w:tcPr>
          <w:p w14:paraId="4F370FB8"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0E62E083" w14:textId="77777777" w:rsidR="00B96250" w:rsidRPr="0046400A" w:rsidRDefault="00B96250" w:rsidP="00B96250">
            <w:pPr>
              <w:pStyle w:val="TableText"/>
              <w:tabs>
                <w:tab w:val="left" w:pos="3306"/>
              </w:tabs>
              <w:rPr>
                <w:rFonts w:cs="Calibri"/>
              </w:rPr>
            </w:pPr>
            <w:r w:rsidRPr="0046400A">
              <w:rPr>
                <w:rFonts w:cs="Calibri"/>
              </w:rPr>
              <w:t>Other Employee Benefits and On-Costs</w:t>
            </w:r>
          </w:p>
        </w:tc>
        <w:tc>
          <w:tcPr>
            <w:tcW w:w="608" w:type="pct"/>
            <w:tcBorders>
              <w:top w:val="nil"/>
              <w:left w:val="nil"/>
              <w:bottom w:val="single" w:sz="2" w:space="0" w:color="auto"/>
              <w:right w:val="nil"/>
            </w:tcBorders>
            <w:vAlign w:val="bottom"/>
          </w:tcPr>
          <w:p w14:paraId="024BACD4" w14:textId="053C95B9" w:rsidR="00B96250" w:rsidRPr="0046400A" w:rsidRDefault="00B96250" w:rsidP="00B96250">
            <w:pPr>
              <w:pStyle w:val="TableText"/>
              <w:tabs>
                <w:tab w:val="left" w:pos="3306"/>
              </w:tabs>
              <w:jc w:val="right"/>
              <w:rPr>
                <w:rFonts w:cs="Calibri"/>
              </w:rPr>
            </w:pPr>
          </w:p>
        </w:tc>
        <w:tc>
          <w:tcPr>
            <w:tcW w:w="541" w:type="pct"/>
            <w:tcBorders>
              <w:top w:val="nil"/>
              <w:left w:val="nil"/>
              <w:bottom w:val="single" w:sz="2" w:space="0" w:color="auto"/>
              <w:right w:val="nil"/>
            </w:tcBorders>
            <w:vAlign w:val="bottom"/>
          </w:tcPr>
          <w:p w14:paraId="2C31ED13" w14:textId="0A58A19C" w:rsidR="00B96250" w:rsidRPr="0046400A" w:rsidRDefault="00B96250" w:rsidP="00B96250">
            <w:pPr>
              <w:pStyle w:val="TableText"/>
              <w:tabs>
                <w:tab w:val="left" w:pos="3306"/>
              </w:tabs>
              <w:jc w:val="right"/>
              <w:rPr>
                <w:rFonts w:cs="Calibri"/>
              </w:rPr>
            </w:pPr>
          </w:p>
        </w:tc>
      </w:tr>
      <w:tr w:rsidR="00B96250" w:rsidRPr="00CF7E1B" w14:paraId="5AAC3F8A" w14:textId="77777777" w:rsidTr="002F4A89">
        <w:trPr>
          <w:cantSplit/>
          <w:trHeight w:val="23"/>
        </w:trPr>
        <w:tc>
          <w:tcPr>
            <w:tcW w:w="745" w:type="pct"/>
            <w:tcBorders>
              <w:top w:val="nil"/>
              <w:left w:val="single" w:sz="2" w:space="0" w:color="auto"/>
              <w:bottom w:val="nil"/>
              <w:right w:val="single" w:sz="2" w:space="0" w:color="auto"/>
            </w:tcBorders>
          </w:tcPr>
          <w:p w14:paraId="2555ADA2"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62F2E648" w14:textId="266A1012" w:rsidR="00B96250" w:rsidRPr="0046400A" w:rsidRDefault="00B96250" w:rsidP="00B96250">
            <w:pPr>
              <w:pStyle w:val="TableText"/>
              <w:tabs>
                <w:tab w:val="left" w:pos="3306"/>
              </w:tabs>
              <w:rPr>
                <w:rFonts w:cs="Calibri"/>
                <w:b/>
                <w:bCs/>
              </w:rPr>
            </w:pPr>
            <w:bookmarkStart w:id="453" w:name="_Toc48468447"/>
            <w:bookmarkStart w:id="454" w:name="_Toc49155565"/>
            <w:bookmarkStart w:id="455" w:name="_Toc49224019"/>
            <w:r w:rsidRPr="0046400A">
              <w:rPr>
                <w:rFonts w:cs="Calibri"/>
                <w:b/>
                <w:bCs/>
              </w:rPr>
              <w:t xml:space="preserve">Total Employee </w:t>
            </w:r>
            <w:r w:rsidR="00B076DD" w:rsidRPr="00676AA9">
              <w:rPr>
                <w:rFonts w:cs="Calibri"/>
                <w:b/>
                <w:bCs/>
                <w:strike/>
                <w:color w:val="FF0000"/>
              </w:rPr>
              <w:t>and Superannuation</w:t>
            </w:r>
            <w:r w:rsidRPr="00676AA9">
              <w:rPr>
                <w:rFonts w:cs="Calibri"/>
                <w:b/>
                <w:bCs/>
                <w:color w:val="FF0000"/>
              </w:rPr>
              <w:t xml:space="preserve"> </w:t>
            </w:r>
            <w:r w:rsidRPr="0046400A">
              <w:rPr>
                <w:rFonts w:cs="Calibri"/>
                <w:b/>
                <w:bCs/>
              </w:rPr>
              <w:t>Expenses</w:t>
            </w:r>
            <w:bookmarkEnd w:id="453"/>
            <w:bookmarkEnd w:id="454"/>
            <w:bookmarkEnd w:id="455"/>
          </w:p>
        </w:tc>
        <w:tc>
          <w:tcPr>
            <w:tcW w:w="608" w:type="pct"/>
            <w:tcBorders>
              <w:top w:val="single" w:sz="2" w:space="0" w:color="auto"/>
              <w:left w:val="nil"/>
              <w:bottom w:val="double" w:sz="4" w:space="0" w:color="auto"/>
              <w:right w:val="nil"/>
            </w:tcBorders>
            <w:vAlign w:val="bottom"/>
          </w:tcPr>
          <w:p w14:paraId="1B794E78" w14:textId="79ACCD09" w:rsidR="00B96250" w:rsidRPr="0046400A" w:rsidRDefault="00B96250" w:rsidP="00B96250">
            <w:pPr>
              <w:pStyle w:val="TableText"/>
              <w:tabs>
                <w:tab w:val="left" w:pos="3306"/>
              </w:tabs>
              <w:jc w:val="right"/>
              <w:rPr>
                <w:rFonts w:cs="Calibri"/>
                <w:b/>
                <w:bCs/>
              </w:rPr>
            </w:pPr>
          </w:p>
        </w:tc>
        <w:tc>
          <w:tcPr>
            <w:tcW w:w="541" w:type="pct"/>
            <w:tcBorders>
              <w:top w:val="single" w:sz="2" w:space="0" w:color="auto"/>
              <w:left w:val="nil"/>
              <w:bottom w:val="double" w:sz="4" w:space="0" w:color="auto"/>
              <w:right w:val="nil"/>
            </w:tcBorders>
            <w:vAlign w:val="bottom"/>
          </w:tcPr>
          <w:p w14:paraId="17C4242B" w14:textId="00488898" w:rsidR="00B96250" w:rsidRPr="0046400A" w:rsidRDefault="00B96250" w:rsidP="00B96250">
            <w:pPr>
              <w:pStyle w:val="TableText"/>
              <w:tabs>
                <w:tab w:val="left" w:pos="3306"/>
              </w:tabs>
              <w:jc w:val="right"/>
              <w:rPr>
                <w:rFonts w:cs="Calibri"/>
                <w:b/>
                <w:bCs/>
              </w:rPr>
            </w:pPr>
          </w:p>
        </w:tc>
      </w:tr>
      <w:tr w:rsidR="00B96250" w:rsidRPr="00CF7E1B" w14:paraId="17BD32F7" w14:textId="77777777" w:rsidTr="002F4A89">
        <w:trPr>
          <w:cantSplit/>
          <w:trHeight w:val="23"/>
        </w:trPr>
        <w:tc>
          <w:tcPr>
            <w:tcW w:w="745" w:type="pct"/>
            <w:tcBorders>
              <w:top w:val="nil"/>
              <w:left w:val="single" w:sz="2" w:space="0" w:color="auto"/>
              <w:bottom w:val="nil"/>
              <w:right w:val="single" w:sz="2" w:space="0" w:color="auto"/>
            </w:tcBorders>
          </w:tcPr>
          <w:p w14:paraId="39AE6CB7"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8D6F0F" w14:textId="77777777" w:rsidR="00B96250" w:rsidRPr="0046400A" w:rsidRDefault="00B96250" w:rsidP="00B96250">
            <w:pPr>
              <w:pStyle w:val="TableText"/>
              <w:tabs>
                <w:tab w:val="left" w:pos="3306"/>
              </w:tabs>
              <w:rPr>
                <w:rFonts w:cs="Calibri"/>
                <w:b/>
                <w:bCs/>
              </w:rPr>
            </w:pPr>
          </w:p>
        </w:tc>
        <w:tc>
          <w:tcPr>
            <w:tcW w:w="608" w:type="pct"/>
            <w:tcBorders>
              <w:top w:val="double" w:sz="4" w:space="0" w:color="auto"/>
              <w:left w:val="nil"/>
              <w:bottom w:val="nil"/>
              <w:right w:val="nil"/>
            </w:tcBorders>
            <w:vAlign w:val="bottom"/>
          </w:tcPr>
          <w:p w14:paraId="13EA96B3" w14:textId="77777777" w:rsidR="00B96250" w:rsidRPr="0046400A" w:rsidRDefault="00B96250" w:rsidP="00B96250">
            <w:pPr>
              <w:pStyle w:val="TableText"/>
              <w:tabs>
                <w:tab w:val="left" w:pos="3306"/>
              </w:tabs>
              <w:jc w:val="right"/>
              <w:rPr>
                <w:rFonts w:cs="Calibri"/>
                <w:b/>
                <w:bCs/>
              </w:rPr>
            </w:pPr>
          </w:p>
        </w:tc>
        <w:tc>
          <w:tcPr>
            <w:tcW w:w="541" w:type="pct"/>
            <w:tcBorders>
              <w:top w:val="double" w:sz="4" w:space="0" w:color="auto"/>
              <w:left w:val="nil"/>
              <w:bottom w:val="nil"/>
              <w:right w:val="nil"/>
            </w:tcBorders>
            <w:vAlign w:val="bottom"/>
          </w:tcPr>
          <w:p w14:paraId="29A41B6F" w14:textId="77777777" w:rsidR="00B96250" w:rsidRPr="0046400A" w:rsidRDefault="00B96250" w:rsidP="00B96250">
            <w:pPr>
              <w:pStyle w:val="TableText"/>
              <w:tabs>
                <w:tab w:val="left" w:pos="3306"/>
              </w:tabs>
              <w:jc w:val="right"/>
              <w:rPr>
                <w:rFonts w:cs="Calibri"/>
                <w:b/>
                <w:bCs/>
              </w:rPr>
            </w:pPr>
          </w:p>
        </w:tc>
      </w:tr>
      <w:tr w:rsidR="00B96250" w:rsidRPr="00CF7E1B" w14:paraId="4313A72E" w14:textId="77777777" w:rsidTr="002F4A89">
        <w:trPr>
          <w:cantSplit/>
          <w:trHeight w:val="23"/>
        </w:trPr>
        <w:tc>
          <w:tcPr>
            <w:tcW w:w="745" w:type="pct"/>
            <w:tcBorders>
              <w:top w:val="nil"/>
              <w:left w:val="single" w:sz="2" w:space="0" w:color="auto"/>
              <w:bottom w:val="nil"/>
              <w:right w:val="single" w:sz="2" w:space="0" w:color="auto"/>
            </w:tcBorders>
          </w:tcPr>
          <w:p w14:paraId="1D0E7AA2"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4F836919" w14:textId="0665CDC4" w:rsidR="00B96250" w:rsidRPr="00676AA9" w:rsidRDefault="00B96250" w:rsidP="00B96250">
            <w:pPr>
              <w:pStyle w:val="TableText"/>
              <w:tabs>
                <w:tab w:val="left" w:pos="3306"/>
              </w:tabs>
              <w:rPr>
                <w:rFonts w:cs="Calibri"/>
                <w:strike/>
                <w:color w:val="FF0000"/>
              </w:rPr>
            </w:pPr>
            <w:r w:rsidRPr="00676AA9">
              <w:rPr>
                <w:rFonts w:cs="Calibri"/>
                <w:b/>
                <w:bCs/>
                <w:strike/>
                <w:color w:val="FF0000"/>
              </w:rPr>
              <w:t xml:space="preserve">Split of Employee </w:t>
            </w:r>
            <w:r w:rsidR="00EB2186" w:rsidRPr="00676AA9">
              <w:rPr>
                <w:rFonts w:cs="Calibri"/>
                <w:b/>
                <w:bCs/>
                <w:strike/>
                <w:color w:val="FF0000"/>
              </w:rPr>
              <w:t>and Superannuation</w:t>
            </w:r>
            <w:r w:rsidRPr="00676AA9">
              <w:rPr>
                <w:rFonts w:cs="Calibri"/>
                <w:b/>
                <w:bCs/>
                <w:strike/>
                <w:color w:val="FF0000"/>
              </w:rPr>
              <w:t xml:space="preserve"> Expenses</w:t>
            </w:r>
          </w:p>
        </w:tc>
        <w:tc>
          <w:tcPr>
            <w:tcW w:w="608" w:type="pct"/>
            <w:tcBorders>
              <w:top w:val="nil"/>
              <w:left w:val="nil"/>
              <w:bottom w:val="nil"/>
              <w:right w:val="nil"/>
            </w:tcBorders>
            <w:vAlign w:val="bottom"/>
          </w:tcPr>
          <w:p w14:paraId="7F63D286" w14:textId="77777777" w:rsidR="00B96250" w:rsidRPr="00676AA9" w:rsidRDefault="00B96250" w:rsidP="00B96250">
            <w:pPr>
              <w:pStyle w:val="TableText"/>
              <w:tabs>
                <w:tab w:val="left" w:pos="3306"/>
              </w:tabs>
              <w:jc w:val="right"/>
              <w:rPr>
                <w:rFonts w:cs="Calibri"/>
                <w:strike/>
                <w:color w:val="FF0000"/>
              </w:rPr>
            </w:pPr>
          </w:p>
        </w:tc>
        <w:tc>
          <w:tcPr>
            <w:tcW w:w="541" w:type="pct"/>
            <w:tcBorders>
              <w:top w:val="nil"/>
              <w:left w:val="nil"/>
              <w:bottom w:val="nil"/>
              <w:right w:val="nil"/>
            </w:tcBorders>
            <w:vAlign w:val="bottom"/>
          </w:tcPr>
          <w:p w14:paraId="339054D8" w14:textId="77777777" w:rsidR="00B96250" w:rsidRPr="00676AA9" w:rsidRDefault="00B96250" w:rsidP="00B96250">
            <w:pPr>
              <w:pStyle w:val="TableText"/>
              <w:tabs>
                <w:tab w:val="left" w:pos="3306"/>
              </w:tabs>
              <w:jc w:val="right"/>
              <w:rPr>
                <w:rFonts w:cs="Calibri"/>
                <w:strike/>
                <w:color w:val="FF0000"/>
              </w:rPr>
            </w:pPr>
          </w:p>
        </w:tc>
      </w:tr>
      <w:tr w:rsidR="00B96250" w:rsidRPr="00CF7E1B" w14:paraId="780C459C" w14:textId="77777777" w:rsidTr="002F4A89">
        <w:trPr>
          <w:cantSplit/>
          <w:trHeight w:val="23"/>
        </w:trPr>
        <w:tc>
          <w:tcPr>
            <w:tcW w:w="745" w:type="pct"/>
            <w:tcBorders>
              <w:top w:val="nil"/>
              <w:left w:val="single" w:sz="2" w:space="0" w:color="auto"/>
              <w:bottom w:val="nil"/>
              <w:right w:val="single" w:sz="2" w:space="0" w:color="auto"/>
            </w:tcBorders>
          </w:tcPr>
          <w:p w14:paraId="1E649CFA"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14E6E5F6" w14:textId="15F456A8" w:rsidR="00B96250" w:rsidRPr="00676AA9" w:rsidRDefault="00B96250" w:rsidP="00B96250">
            <w:pPr>
              <w:pStyle w:val="TableText"/>
              <w:tabs>
                <w:tab w:val="left" w:pos="3306"/>
              </w:tabs>
              <w:rPr>
                <w:rFonts w:cs="Calibri"/>
                <w:strike/>
                <w:color w:val="FF0000"/>
              </w:rPr>
            </w:pPr>
            <w:r w:rsidRPr="00676AA9">
              <w:rPr>
                <w:rFonts w:cs="Calibri"/>
                <w:strike/>
                <w:color w:val="FF0000"/>
              </w:rPr>
              <w:t>Total Employee Expenses</w:t>
            </w:r>
          </w:p>
        </w:tc>
        <w:tc>
          <w:tcPr>
            <w:tcW w:w="608" w:type="pct"/>
            <w:tcBorders>
              <w:top w:val="nil"/>
              <w:left w:val="nil"/>
              <w:bottom w:val="nil"/>
              <w:right w:val="nil"/>
            </w:tcBorders>
            <w:vAlign w:val="bottom"/>
          </w:tcPr>
          <w:p w14:paraId="7910B840" w14:textId="77777777" w:rsidR="00B96250" w:rsidRPr="00676AA9" w:rsidRDefault="00B96250" w:rsidP="00B96250">
            <w:pPr>
              <w:pStyle w:val="TableText"/>
              <w:tabs>
                <w:tab w:val="left" w:pos="3306"/>
              </w:tabs>
              <w:jc w:val="right"/>
              <w:rPr>
                <w:rFonts w:cs="Calibri"/>
                <w:strike/>
                <w:color w:val="FF0000"/>
              </w:rPr>
            </w:pPr>
          </w:p>
        </w:tc>
        <w:tc>
          <w:tcPr>
            <w:tcW w:w="541" w:type="pct"/>
            <w:tcBorders>
              <w:top w:val="nil"/>
              <w:left w:val="nil"/>
              <w:bottom w:val="nil"/>
              <w:right w:val="nil"/>
            </w:tcBorders>
            <w:vAlign w:val="bottom"/>
          </w:tcPr>
          <w:p w14:paraId="11795DB3" w14:textId="77777777" w:rsidR="00B96250" w:rsidRPr="00676AA9" w:rsidRDefault="00B96250" w:rsidP="00B96250">
            <w:pPr>
              <w:pStyle w:val="TableText"/>
              <w:tabs>
                <w:tab w:val="left" w:pos="3306"/>
              </w:tabs>
              <w:jc w:val="right"/>
              <w:rPr>
                <w:rFonts w:cs="Calibri"/>
                <w:strike/>
                <w:color w:val="FF0000"/>
              </w:rPr>
            </w:pPr>
          </w:p>
        </w:tc>
      </w:tr>
      <w:tr w:rsidR="00B96250" w:rsidRPr="00CF7E1B" w14:paraId="13124900" w14:textId="77777777" w:rsidTr="002F4A89">
        <w:trPr>
          <w:cantSplit/>
          <w:trHeight w:val="23"/>
        </w:trPr>
        <w:tc>
          <w:tcPr>
            <w:tcW w:w="745" w:type="pct"/>
            <w:tcBorders>
              <w:top w:val="nil"/>
              <w:left w:val="single" w:sz="2" w:space="0" w:color="auto"/>
              <w:bottom w:val="nil"/>
              <w:right w:val="single" w:sz="2" w:space="0" w:color="auto"/>
            </w:tcBorders>
          </w:tcPr>
          <w:p w14:paraId="1ECB6414"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BCB053D" w14:textId="4304212E" w:rsidR="00B96250" w:rsidRPr="00676AA9" w:rsidRDefault="00B96250" w:rsidP="00B96250">
            <w:pPr>
              <w:pStyle w:val="TableText"/>
              <w:tabs>
                <w:tab w:val="left" w:pos="3306"/>
              </w:tabs>
              <w:rPr>
                <w:rFonts w:cs="Calibri"/>
                <w:strike/>
                <w:color w:val="FF0000"/>
              </w:rPr>
            </w:pPr>
            <w:r w:rsidRPr="00676AA9">
              <w:rPr>
                <w:rFonts w:cs="Calibri"/>
                <w:strike/>
                <w:color w:val="FF0000"/>
              </w:rPr>
              <w:t>Total Superannuation Expenses</w:t>
            </w:r>
          </w:p>
        </w:tc>
        <w:tc>
          <w:tcPr>
            <w:tcW w:w="608" w:type="pct"/>
            <w:tcBorders>
              <w:top w:val="nil"/>
              <w:left w:val="nil"/>
              <w:bottom w:val="single" w:sz="4" w:space="0" w:color="auto"/>
              <w:right w:val="nil"/>
            </w:tcBorders>
            <w:vAlign w:val="bottom"/>
          </w:tcPr>
          <w:p w14:paraId="3694FB48" w14:textId="77777777" w:rsidR="00B96250" w:rsidRPr="00676AA9" w:rsidRDefault="00B96250" w:rsidP="00B96250">
            <w:pPr>
              <w:pStyle w:val="TableText"/>
              <w:tabs>
                <w:tab w:val="left" w:pos="3306"/>
              </w:tabs>
              <w:jc w:val="right"/>
              <w:rPr>
                <w:rFonts w:cs="Calibri"/>
                <w:strike/>
                <w:color w:val="FF0000"/>
              </w:rPr>
            </w:pPr>
          </w:p>
        </w:tc>
        <w:tc>
          <w:tcPr>
            <w:tcW w:w="541" w:type="pct"/>
            <w:tcBorders>
              <w:top w:val="nil"/>
              <w:left w:val="nil"/>
              <w:bottom w:val="single" w:sz="4" w:space="0" w:color="auto"/>
              <w:right w:val="nil"/>
            </w:tcBorders>
            <w:vAlign w:val="bottom"/>
          </w:tcPr>
          <w:p w14:paraId="0C78D865" w14:textId="77777777" w:rsidR="00B96250" w:rsidRPr="00676AA9" w:rsidRDefault="00B96250" w:rsidP="00B96250">
            <w:pPr>
              <w:pStyle w:val="TableText"/>
              <w:tabs>
                <w:tab w:val="left" w:pos="3306"/>
              </w:tabs>
              <w:jc w:val="right"/>
              <w:rPr>
                <w:rFonts w:cs="Calibri"/>
                <w:strike/>
                <w:color w:val="FF0000"/>
              </w:rPr>
            </w:pPr>
          </w:p>
        </w:tc>
      </w:tr>
      <w:tr w:rsidR="00B96250" w:rsidRPr="00CF7E1B" w14:paraId="330D18E6" w14:textId="77777777" w:rsidTr="002F4A89">
        <w:trPr>
          <w:cantSplit/>
          <w:trHeight w:val="23"/>
        </w:trPr>
        <w:tc>
          <w:tcPr>
            <w:tcW w:w="745" w:type="pct"/>
            <w:tcBorders>
              <w:top w:val="nil"/>
              <w:left w:val="single" w:sz="2" w:space="0" w:color="auto"/>
              <w:bottom w:val="nil"/>
              <w:right w:val="single" w:sz="2" w:space="0" w:color="auto"/>
            </w:tcBorders>
          </w:tcPr>
          <w:p w14:paraId="4336B854"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254A40CA" w14:textId="4EC991B9" w:rsidR="00B96250" w:rsidRPr="00676AA9" w:rsidRDefault="00B228FF" w:rsidP="00B96250">
            <w:pPr>
              <w:pStyle w:val="TableText"/>
              <w:tabs>
                <w:tab w:val="left" w:pos="3306"/>
              </w:tabs>
              <w:rPr>
                <w:rFonts w:cs="Calibri"/>
                <w:strike/>
                <w:color w:val="FF0000"/>
              </w:rPr>
            </w:pPr>
            <w:r w:rsidRPr="00676AA9">
              <w:rPr>
                <w:rFonts w:cs="Calibri"/>
                <w:b/>
                <w:bCs/>
                <w:strike/>
                <w:color w:val="FF0000"/>
              </w:rPr>
              <w:t xml:space="preserve">Total Employee </w:t>
            </w:r>
            <w:r w:rsidR="00EB2186" w:rsidRPr="00676AA9">
              <w:rPr>
                <w:rFonts w:cs="Calibri"/>
                <w:b/>
                <w:bCs/>
                <w:strike/>
                <w:color w:val="FF0000"/>
              </w:rPr>
              <w:t>and Superannuation</w:t>
            </w:r>
            <w:r w:rsidRPr="00676AA9">
              <w:rPr>
                <w:rFonts w:cs="Calibri"/>
                <w:b/>
                <w:bCs/>
                <w:strike/>
                <w:color w:val="FF0000"/>
              </w:rPr>
              <w:t xml:space="preserve"> Expenses</w:t>
            </w:r>
          </w:p>
        </w:tc>
        <w:tc>
          <w:tcPr>
            <w:tcW w:w="608" w:type="pct"/>
            <w:tcBorders>
              <w:top w:val="single" w:sz="4" w:space="0" w:color="auto"/>
              <w:left w:val="nil"/>
              <w:bottom w:val="double" w:sz="4" w:space="0" w:color="auto"/>
              <w:right w:val="nil"/>
            </w:tcBorders>
            <w:vAlign w:val="bottom"/>
          </w:tcPr>
          <w:p w14:paraId="2CA449CB" w14:textId="77777777" w:rsidR="00B96250" w:rsidRPr="00676AA9" w:rsidRDefault="00B96250" w:rsidP="00B96250">
            <w:pPr>
              <w:pStyle w:val="TableText"/>
              <w:tabs>
                <w:tab w:val="left" w:pos="3306"/>
              </w:tabs>
              <w:jc w:val="right"/>
              <w:rPr>
                <w:rFonts w:cs="Calibri"/>
                <w:strike/>
                <w:color w:val="FF0000"/>
              </w:rPr>
            </w:pPr>
          </w:p>
        </w:tc>
        <w:tc>
          <w:tcPr>
            <w:tcW w:w="541" w:type="pct"/>
            <w:tcBorders>
              <w:top w:val="single" w:sz="4" w:space="0" w:color="auto"/>
              <w:left w:val="nil"/>
              <w:bottom w:val="double" w:sz="4" w:space="0" w:color="auto"/>
              <w:right w:val="nil"/>
            </w:tcBorders>
            <w:vAlign w:val="bottom"/>
          </w:tcPr>
          <w:p w14:paraId="35AFC45E" w14:textId="77777777" w:rsidR="00B96250" w:rsidRPr="00676AA9" w:rsidRDefault="00B96250" w:rsidP="00B96250">
            <w:pPr>
              <w:pStyle w:val="TableText"/>
              <w:tabs>
                <w:tab w:val="left" w:pos="3306"/>
              </w:tabs>
              <w:jc w:val="right"/>
              <w:rPr>
                <w:rFonts w:cs="Calibri"/>
                <w:strike/>
                <w:color w:val="FF0000"/>
              </w:rPr>
            </w:pPr>
          </w:p>
        </w:tc>
      </w:tr>
    </w:tbl>
    <w:p w14:paraId="7ADED0D2" w14:textId="50FE0412" w:rsidR="0046400A" w:rsidRDefault="0046400A"/>
    <w:p w14:paraId="7AD8EE2B" w14:textId="03C8E76F" w:rsidR="0046400A" w:rsidRDefault="0046400A">
      <w:r>
        <w:br w:type="page"/>
      </w:r>
    </w:p>
    <w:tbl>
      <w:tblPr>
        <w:tblW w:w="5128" w:type="pct"/>
        <w:tblInd w:w="-6" w:type="dxa"/>
        <w:shd w:val="clear" w:color="auto" w:fill="CCFFCC"/>
        <w:tblLayout w:type="fixed"/>
        <w:tblLook w:val="00A0" w:firstRow="1" w:lastRow="0" w:firstColumn="1" w:lastColumn="0" w:noHBand="0" w:noVBand="0"/>
      </w:tblPr>
      <w:tblGrid>
        <w:gridCol w:w="1564"/>
        <w:gridCol w:w="8930"/>
      </w:tblGrid>
      <w:tr w:rsidR="00B96250" w:rsidRPr="00CF7E1B" w14:paraId="75EFF067" w14:textId="77777777" w:rsidTr="000159C3">
        <w:trPr>
          <w:trHeight w:hRule="exact" w:val="797"/>
        </w:trPr>
        <w:tc>
          <w:tcPr>
            <w:tcW w:w="745" w:type="pct"/>
            <w:tcBorders>
              <w:left w:val="single" w:sz="2" w:space="0" w:color="auto"/>
              <w:right w:val="single" w:sz="2" w:space="0" w:color="auto"/>
            </w:tcBorders>
          </w:tcPr>
          <w:p w14:paraId="20679624" w14:textId="218F6055" w:rsidR="00B96250" w:rsidRPr="00A94766" w:rsidRDefault="00B96250" w:rsidP="000159C3">
            <w:pPr>
              <w:pStyle w:val="TableReference"/>
              <w:tabs>
                <w:tab w:val="left" w:pos="3306"/>
              </w:tabs>
              <w:spacing w:before="240" w:after="240"/>
              <w:rPr>
                <w:rFonts w:cs="Calibri"/>
                <w:b/>
                <w:color w:val="7030A0"/>
                <w:sz w:val="22"/>
                <w:szCs w:val="22"/>
              </w:rPr>
            </w:pPr>
            <w:r w:rsidRPr="00A94766">
              <w:rPr>
                <w:rFonts w:cs="Calibri"/>
                <w:b/>
                <w:color w:val="7030A0"/>
                <w:sz w:val="22"/>
                <w:szCs w:val="22"/>
              </w:rPr>
              <w:br w:type="page"/>
              <w:t>Reference</w:t>
            </w:r>
          </w:p>
        </w:tc>
        <w:tc>
          <w:tcPr>
            <w:tcW w:w="4255" w:type="pct"/>
            <w:tcBorders>
              <w:left w:val="single" w:sz="2" w:space="0" w:color="auto"/>
            </w:tcBorders>
            <w:shd w:val="clear" w:color="auto" w:fill="7030A0"/>
          </w:tcPr>
          <w:p w14:paraId="40F79A86" w14:textId="45091985" w:rsidR="00B96250" w:rsidRPr="00A94766" w:rsidRDefault="00B96250" w:rsidP="000159C3">
            <w:pPr>
              <w:pStyle w:val="CommentaryTitle"/>
              <w:spacing w:before="240" w:after="240"/>
              <w:rPr>
                <w:rFonts w:cs="Calibri"/>
                <w:bCs w:val="0"/>
                <w:color w:val="FFFFFF" w:themeColor="background1"/>
                <w:sz w:val="28"/>
                <w:szCs w:val="28"/>
              </w:rPr>
            </w:pPr>
            <w:bookmarkStart w:id="456" w:name="_Toc50440348"/>
            <w:bookmarkStart w:id="457" w:name="_Toc163106324"/>
            <w:bookmarkStart w:id="458" w:name="_Toc194977579"/>
            <w:r w:rsidRPr="00A94766">
              <w:rPr>
                <w:rFonts w:cs="Calibri"/>
                <w:bCs w:val="0"/>
                <w:color w:val="FFFFFF" w:themeColor="background1"/>
                <w:sz w:val="28"/>
                <w:szCs w:val="28"/>
              </w:rPr>
              <w:t xml:space="preserve">Commentary – Note 10: Employee </w:t>
            </w:r>
            <w:r w:rsidR="00EB2186" w:rsidRPr="005559F1">
              <w:rPr>
                <w:rFonts w:cs="Calibri"/>
                <w:bCs w:val="0"/>
                <w:strike/>
                <w:color w:val="FF0000"/>
                <w:sz w:val="28"/>
                <w:szCs w:val="28"/>
              </w:rPr>
              <w:t>and Superannuation</w:t>
            </w:r>
            <w:r w:rsidR="00B228FF" w:rsidRPr="005559F1">
              <w:rPr>
                <w:rFonts w:cs="Calibri"/>
                <w:bCs w:val="0"/>
                <w:color w:val="FF0000"/>
                <w:sz w:val="28"/>
                <w:szCs w:val="28"/>
              </w:rPr>
              <w:t xml:space="preserve"> </w:t>
            </w:r>
            <w:r w:rsidRPr="00A94766">
              <w:rPr>
                <w:rFonts w:cs="Calibri"/>
                <w:bCs w:val="0"/>
                <w:color w:val="FFFFFF" w:themeColor="background1"/>
                <w:sz w:val="28"/>
                <w:szCs w:val="28"/>
              </w:rPr>
              <w:t>Expenses</w:t>
            </w:r>
            <w:bookmarkEnd w:id="456"/>
            <w:bookmarkEnd w:id="457"/>
            <w:bookmarkEnd w:id="458"/>
          </w:p>
        </w:tc>
      </w:tr>
      <w:tr w:rsidR="00B96250" w:rsidRPr="00CF7E1B" w14:paraId="05EB5469" w14:textId="77777777" w:rsidTr="002F4A89">
        <w:trPr>
          <w:trHeight w:val="20"/>
        </w:trPr>
        <w:tc>
          <w:tcPr>
            <w:tcW w:w="745" w:type="pct"/>
            <w:tcBorders>
              <w:left w:val="single" w:sz="2" w:space="0" w:color="auto"/>
              <w:right w:val="single" w:sz="2" w:space="0" w:color="auto"/>
            </w:tcBorders>
          </w:tcPr>
          <w:p w14:paraId="58EDAC41" w14:textId="77777777" w:rsidR="00B96250" w:rsidRPr="00A94766" w:rsidRDefault="00B96250" w:rsidP="00B96250">
            <w:pPr>
              <w:pStyle w:val="TableReference"/>
              <w:tabs>
                <w:tab w:val="left" w:pos="3306"/>
              </w:tabs>
              <w:spacing w:before="80"/>
              <w:rPr>
                <w:rFonts w:cs="Calibri"/>
                <w:color w:val="7030A0"/>
                <w:sz w:val="14"/>
              </w:rPr>
            </w:pPr>
            <w:r w:rsidRPr="00A94766">
              <w:rPr>
                <w:rFonts w:cs="Calibri"/>
                <w:color w:val="7030A0"/>
                <w:sz w:val="14"/>
              </w:rPr>
              <w:t>AASB 119.11</w:t>
            </w:r>
          </w:p>
          <w:p w14:paraId="30F62211" w14:textId="77777777" w:rsidR="00B96250" w:rsidRPr="00A94766" w:rsidRDefault="00B96250" w:rsidP="00B96250">
            <w:pPr>
              <w:pStyle w:val="TableReference"/>
              <w:tabs>
                <w:tab w:val="left" w:pos="3306"/>
              </w:tabs>
              <w:rPr>
                <w:rFonts w:cs="Calibri"/>
                <w:color w:val="7030A0"/>
                <w:sz w:val="14"/>
              </w:rPr>
            </w:pPr>
          </w:p>
          <w:p w14:paraId="6D85A197" w14:textId="77777777" w:rsidR="00B96250" w:rsidRPr="00A94766" w:rsidRDefault="00B96250" w:rsidP="00B96250">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A951FA2" w14:textId="521CDF33"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Where an employee has rendered services to the agency during a reporting period, the agency must recognise as an expense (and a liability) the undiscounted amount of short-term employee benefits, including non-monetary benefits, expected to be settled in exchange for that service.</w:t>
            </w:r>
            <w:r w:rsidR="00FA7C77">
              <w:rPr>
                <w:rFonts w:cs="Calibri"/>
                <w:color w:val="FFFFFF" w:themeColor="background1"/>
                <w:sz w:val="18"/>
                <w:szCs w:val="18"/>
              </w:rPr>
              <w:t xml:space="preserve"> </w:t>
            </w:r>
            <w:r w:rsidRPr="00A94766">
              <w:rPr>
                <w:rFonts w:cs="Calibri"/>
                <w:color w:val="FFFFFF" w:themeColor="background1"/>
                <w:sz w:val="18"/>
                <w:szCs w:val="18"/>
              </w:rPr>
              <w:t>Wages and salaries include the cost of any components of a wage or salary package and related Fringe Benefits Tax.</w:t>
            </w:r>
          </w:p>
        </w:tc>
      </w:tr>
      <w:tr w:rsidR="00B96250" w:rsidRPr="00CF7E1B" w14:paraId="2FBB8CB2" w14:textId="77777777" w:rsidTr="002F4A89">
        <w:trPr>
          <w:trHeight w:val="20"/>
        </w:trPr>
        <w:tc>
          <w:tcPr>
            <w:tcW w:w="745" w:type="pct"/>
            <w:tcBorders>
              <w:left w:val="single" w:sz="2" w:space="0" w:color="auto"/>
              <w:right w:val="single" w:sz="2" w:space="0" w:color="auto"/>
            </w:tcBorders>
          </w:tcPr>
          <w:p w14:paraId="3011E95B" w14:textId="77777777" w:rsidR="00B96250" w:rsidRPr="00A94766" w:rsidRDefault="00B96250" w:rsidP="00B96250">
            <w:pPr>
              <w:pStyle w:val="TableReference"/>
              <w:tabs>
                <w:tab w:val="left" w:pos="3306"/>
              </w:tabs>
              <w:spacing w:before="60"/>
              <w:rPr>
                <w:rFonts w:cs="Calibri"/>
                <w:color w:val="7030A0"/>
                <w:sz w:val="16"/>
                <w:szCs w:val="16"/>
              </w:rPr>
            </w:pPr>
            <w:r w:rsidRPr="00A94766">
              <w:rPr>
                <w:rFonts w:cs="Calibri"/>
                <w:color w:val="7030A0"/>
                <w:sz w:val="16"/>
                <w:szCs w:val="16"/>
              </w:rPr>
              <w:t xml:space="preserve"> </w:t>
            </w:r>
          </w:p>
        </w:tc>
        <w:tc>
          <w:tcPr>
            <w:tcW w:w="4255" w:type="pct"/>
            <w:tcBorders>
              <w:left w:val="single" w:sz="2" w:space="0" w:color="auto"/>
            </w:tcBorders>
            <w:shd w:val="clear" w:color="auto" w:fill="7030A0"/>
          </w:tcPr>
          <w:p w14:paraId="3A321E27" w14:textId="24F9770F"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 xml:space="preserve">Termination expense represents the movement in the provision for termination benefits outlined in Note </w:t>
            </w:r>
            <w:r w:rsidR="00790BA7" w:rsidRPr="00A94766">
              <w:rPr>
                <w:rFonts w:cs="Calibri"/>
                <w:color w:val="FFFFFF" w:themeColor="background1"/>
                <w:sz w:val="18"/>
                <w:szCs w:val="18"/>
              </w:rPr>
              <w:t xml:space="preserve">27 </w:t>
            </w:r>
            <w:r w:rsidRPr="00A94766">
              <w:rPr>
                <w:rFonts w:cs="Calibri"/>
                <w:i/>
                <w:iCs/>
                <w:color w:val="FFFFFF" w:themeColor="background1"/>
                <w:sz w:val="18"/>
                <w:szCs w:val="18"/>
              </w:rPr>
              <w:t>Employee Benefits</w:t>
            </w:r>
            <w:r w:rsidRPr="00A94766">
              <w:rPr>
                <w:rFonts w:cs="Calibri"/>
                <w:color w:val="FFFFFF" w:themeColor="background1"/>
                <w:sz w:val="18"/>
                <w:szCs w:val="18"/>
              </w:rPr>
              <w:t>.</w:t>
            </w:r>
            <w:r w:rsidR="00FA7C77">
              <w:rPr>
                <w:rFonts w:cs="Calibri"/>
                <w:color w:val="FFFFFF" w:themeColor="background1"/>
                <w:sz w:val="18"/>
                <w:szCs w:val="18"/>
              </w:rPr>
              <w:t xml:space="preserve"> </w:t>
            </w:r>
            <w:r w:rsidRPr="00A94766">
              <w:rPr>
                <w:rFonts w:cs="Calibri"/>
                <w:color w:val="FFFFFF" w:themeColor="background1"/>
                <w:sz w:val="18"/>
                <w:szCs w:val="18"/>
              </w:rPr>
              <w:t>This provision relates solely to redundancies paid to employees as a result of positions being abolished due to a restructuring of the agency.</w:t>
            </w:r>
          </w:p>
        </w:tc>
      </w:tr>
      <w:tr w:rsidR="00B96250" w:rsidRPr="00CF7E1B" w14:paraId="1AA4D8F8" w14:textId="77777777" w:rsidTr="002F4A89">
        <w:trPr>
          <w:trHeight w:val="20"/>
        </w:trPr>
        <w:tc>
          <w:tcPr>
            <w:tcW w:w="745" w:type="pct"/>
            <w:tcBorders>
              <w:left w:val="single" w:sz="2" w:space="0" w:color="auto"/>
              <w:right w:val="single" w:sz="2" w:space="0" w:color="auto"/>
            </w:tcBorders>
          </w:tcPr>
          <w:p w14:paraId="302742A6" w14:textId="77777777" w:rsidR="00B96250" w:rsidRPr="00A94766" w:rsidRDefault="00B96250" w:rsidP="00B96250">
            <w:pPr>
              <w:pStyle w:val="TableReference"/>
              <w:tabs>
                <w:tab w:val="left" w:pos="3306"/>
              </w:tabs>
              <w:spacing w:before="60"/>
              <w:rPr>
                <w:rFonts w:cs="Calibri"/>
                <w:color w:val="7030A0"/>
                <w:sz w:val="16"/>
                <w:szCs w:val="16"/>
              </w:rPr>
            </w:pPr>
          </w:p>
        </w:tc>
        <w:tc>
          <w:tcPr>
            <w:tcW w:w="4255" w:type="pct"/>
            <w:tcBorders>
              <w:left w:val="single" w:sz="2" w:space="0" w:color="auto"/>
            </w:tcBorders>
            <w:shd w:val="clear" w:color="auto" w:fill="7030A0"/>
          </w:tcPr>
          <w:p w14:paraId="6D34B8DD" w14:textId="41245E1D" w:rsidR="00B96250" w:rsidRPr="00003325" w:rsidRDefault="00B96250" w:rsidP="00CC1E25">
            <w:pPr>
              <w:pStyle w:val="CommentaryText"/>
              <w:tabs>
                <w:tab w:val="left" w:pos="3306"/>
              </w:tabs>
              <w:spacing w:after="0"/>
              <w:rPr>
                <w:rFonts w:cs="Calibri"/>
                <w:color w:val="FFFFFF" w:themeColor="background1"/>
                <w:szCs w:val="20"/>
              </w:rPr>
            </w:pPr>
            <w:r w:rsidRPr="00003325">
              <w:rPr>
                <w:rFonts w:cs="Calibri"/>
                <w:b/>
                <w:bCs/>
                <w:color w:val="FFFFFF" w:themeColor="background1"/>
                <w:szCs w:val="20"/>
              </w:rPr>
              <w:t>Territory Authority Commentary</w:t>
            </w:r>
          </w:p>
        </w:tc>
      </w:tr>
      <w:tr w:rsidR="00B96250" w:rsidRPr="00CF7E1B" w14:paraId="41653519" w14:textId="77777777" w:rsidTr="002F4A89">
        <w:trPr>
          <w:trHeight w:val="20"/>
        </w:trPr>
        <w:tc>
          <w:tcPr>
            <w:tcW w:w="745" w:type="pct"/>
            <w:vMerge w:val="restart"/>
            <w:tcBorders>
              <w:left w:val="single" w:sz="2" w:space="0" w:color="auto"/>
              <w:right w:val="single" w:sz="2" w:space="0" w:color="auto"/>
            </w:tcBorders>
          </w:tcPr>
          <w:p w14:paraId="11262BF5" w14:textId="77777777" w:rsidR="00B96250" w:rsidRPr="00A94766" w:rsidRDefault="00B96250" w:rsidP="00B96250">
            <w:pPr>
              <w:pStyle w:val="TableReference"/>
              <w:tabs>
                <w:tab w:val="left" w:pos="3306"/>
              </w:tabs>
              <w:spacing w:before="60"/>
              <w:rPr>
                <w:color w:val="7030A0"/>
                <w:sz w:val="14"/>
              </w:rPr>
            </w:pPr>
            <w:r w:rsidRPr="00A94766">
              <w:rPr>
                <w:color w:val="7030A0"/>
                <w:sz w:val="14"/>
              </w:rPr>
              <w:t xml:space="preserve">AASB 119.83 </w:t>
            </w:r>
          </w:p>
          <w:p w14:paraId="0D20D5F4" w14:textId="02E23859" w:rsidR="00B96250" w:rsidRPr="00A94766" w:rsidRDefault="00B96250" w:rsidP="00B96250">
            <w:pPr>
              <w:pStyle w:val="TableReference"/>
              <w:tabs>
                <w:tab w:val="left" w:pos="3306"/>
              </w:tabs>
              <w:rPr>
                <w:rFonts w:cs="Calibri"/>
                <w:color w:val="7030A0"/>
                <w:sz w:val="16"/>
                <w:szCs w:val="16"/>
              </w:rPr>
            </w:pPr>
            <w:r w:rsidRPr="00A94766">
              <w:rPr>
                <w:color w:val="7030A0"/>
                <w:sz w:val="14"/>
              </w:rPr>
              <w:t>FFM Memo 2015/12</w:t>
            </w:r>
            <w:r w:rsidR="00744FD7" w:rsidRPr="00A94766">
              <w:rPr>
                <w:color w:val="7030A0"/>
                <w:sz w:val="14"/>
              </w:rPr>
              <w:t xml:space="preserve"> </w:t>
            </w:r>
            <w:r w:rsidRPr="00A94766">
              <w:rPr>
                <w:color w:val="7030A0"/>
                <w:sz w:val="14"/>
              </w:rPr>
              <w:t>ACT Accounting Policy Employee Benefits</w:t>
            </w:r>
          </w:p>
        </w:tc>
        <w:tc>
          <w:tcPr>
            <w:tcW w:w="4255" w:type="pct"/>
            <w:tcBorders>
              <w:left w:val="single" w:sz="2" w:space="0" w:color="auto"/>
            </w:tcBorders>
            <w:shd w:val="clear" w:color="auto" w:fill="7030A0"/>
          </w:tcPr>
          <w:p w14:paraId="3FBC99CD" w14:textId="59A260D1" w:rsidR="00B96250" w:rsidRPr="00CC1E25" w:rsidRDefault="00B96250" w:rsidP="00B96250">
            <w:pPr>
              <w:pStyle w:val="CommentaryText"/>
              <w:tabs>
                <w:tab w:val="left" w:pos="3306"/>
              </w:tabs>
              <w:spacing w:after="0"/>
              <w:rPr>
                <w:rFonts w:cs="Calibri"/>
                <w:b/>
                <w:bCs/>
                <w:i/>
                <w:iCs/>
                <w:color w:val="FFFFFF" w:themeColor="background1"/>
                <w:sz w:val="18"/>
                <w:szCs w:val="18"/>
              </w:rPr>
            </w:pPr>
            <w:r w:rsidRPr="00CC1E25">
              <w:rPr>
                <w:i/>
                <w:iCs/>
                <w:color w:val="FFFFFF" w:themeColor="background1"/>
                <w:sz w:val="18"/>
                <w:szCs w:val="18"/>
              </w:rPr>
              <w:t>Corporate Bond Rate</w:t>
            </w:r>
          </w:p>
        </w:tc>
      </w:tr>
      <w:tr w:rsidR="00B96250" w:rsidRPr="00CF7E1B" w14:paraId="0D231297" w14:textId="77777777" w:rsidTr="002F4A89">
        <w:trPr>
          <w:trHeight w:val="763"/>
        </w:trPr>
        <w:tc>
          <w:tcPr>
            <w:tcW w:w="745" w:type="pct"/>
            <w:vMerge/>
            <w:tcBorders>
              <w:left w:val="single" w:sz="2" w:space="0" w:color="auto"/>
              <w:right w:val="single" w:sz="2" w:space="0" w:color="auto"/>
            </w:tcBorders>
          </w:tcPr>
          <w:p w14:paraId="42EA4F0B" w14:textId="582150D0" w:rsidR="00B96250" w:rsidRPr="00316160" w:rsidRDefault="00B96250" w:rsidP="00B96250">
            <w:pPr>
              <w:pStyle w:val="TableReference"/>
              <w:tabs>
                <w:tab w:val="left" w:pos="3306"/>
              </w:tabs>
              <w:rPr>
                <w:rFonts w:cs="Calibri"/>
                <w:color w:val="000000"/>
                <w:sz w:val="14"/>
              </w:rPr>
            </w:pPr>
          </w:p>
        </w:tc>
        <w:tc>
          <w:tcPr>
            <w:tcW w:w="4255" w:type="pct"/>
            <w:tcBorders>
              <w:left w:val="single" w:sz="2" w:space="0" w:color="auto"/>
            </w:tcBorders>
            <w:shd w:val="clear" w:color="auto" w:fill="7030A0"/>
          </w:tcPr>
          <w:p w14:paraId="31E72FD7" w14:textId="7011DB88" w:rsidR="00B96250" w:rsidRPr="00A94766" w:rsidRDefault="00B96250" w:rsidP="00B96250">
            <w:pPr>
              <w:pStyle w:val="CommentaryText"/>
              <w:tabs>
                <w:tab w:val="left" w:pos="3306"/>
              </w:tabs>
              <w:rPr>
                <w:rFonts w:cs="Calibri"/>
                <w:color w:val="FFFFFF" w:themeColor="background1"/>
                <w:sz w:val="18"/>
                <w:szCs w:val="18"/>
              </w:rPr>
            </w:pPr>
            <w:r w:rsidRPr="00A94766">
              <w:rPr>
                <w:color w:val="FFFFFF" w:themeColor="background1"/>
                <w:sz w:val="18"/>
                <w:szCs w:val="18"/>
              </w:rPr>
              <w:t>The rate used by for-profit authorities to discount employment benefit obligations (both funded and unfunded) is determined by reference to market yields at the end of the reporting period on high quality corporate bonds.</w:t>
            </w:r>
          </w:p>
        </w:tc>
      </w:tr>
      <w:tr w:rsidR="000477B1" w:rsidRPr="00CF7E1B" w14:paraId="2BF9E14C"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78D4D754" w14:textId="77777777" w:rsidR="000477B1" w:rsidRPr="001E6A24" w:rsidRDefault="000477B1" w:rsidP="000477B1">
            <w:pPr>
              <w:pStyle w:val="TableReference"/>
              <w:tabs>
                <w:tab w:val="left" w:pos="3306"/>
              </w:tabs>
              <w:rPr>
                <w:rFonts w:cs="Calibri"/>
                <w:b/>
                <w:color w:val="7030A0"/>
                <w:sz w:val="22"/>
                <w:szCs w:val="22"/>
              </w:rPr>
            </w:pPr>
          </w:p>
        </w:tc>
        <w:tc>
          <w:tcPr>
            <w:tcW w:w="4255" w:type="pct"/>
            <w:tcBorders>
              <w:top w:val="nil"/>
              <w:left w:val="single" w:sz="2" w:space="0" w:color="auto"/>
              <w:bottom w:val="nil"/>
              <w:right w:val="nil"/>
            </w:tcBorders>
          </w:tcPr>
          <w:p w14:paraId="1855BB29" w14:textId="77777777" w:rsidR="000477B1" w:rsidRPr="001E6A24" w:rsidRDefault="000477B1" w:rsidP="000477B1">
            <w:pPr>
              <w:pStyle w:val="Heading1"/>
              <w:numPr>
                <w:ilvl w:val="0"/>
                <w:numId w:val="0"/>
              </w:numPr>
              <w:spacing w:before="0" w:after="0"/>
            </w:pPr>
          </w:p>
        </w:tc>
      </w:tr>
      <w:tr w:rsidR="000144FF" w:rsidRPr="00CF7E1B" w14:paraId="4EBE9DF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57FA243C" w14:textId="30679108" w:rsidR="000144FF" w:rsidRPr="001E6A24" w:rsidRDefault="000144FF" w:rsidP="00B13E02">
            <w:pPr>
              <w:pStyle w:val="TableReference"/>
              <w:tabs>
                <w:tab w:val="left" w:pos="3306"/>
              </w:tabs>
              <w:spacing w:before="240" w:after="240"/>
              <w:rPr>
                <w:rFonts w:cs="Calibri"/>
                <w:b/>
                <w:color w:val="7030A0"/>
                <w:sz w:val="22"/>
                <w:szCs w:val="22"/>
              </w:rPr>
            </w:pPr>
            <w:bookmarkStart w:id="459" w:name="SuppAndServ" w:colFirst="1" w:colLast="1"/>
            <w:bookmarkStart w:id="460" w:name="_Hlk88566313"/>
            <w:bookmarkStart w:id="461" w:name="_Hlk88566526"/>
          </w:p>
        </w:tc>
        <w:tc>
          <w:tcPr>
            <w:tcW w:w="4255" w:type="pct"/>
            <w:tcBorders>
              <w:top w:val="nil"/>
              <w:left w:val="single" w:sz="2" w:space="0" w:color="auto"/>
              <w:bottom w:val="nil"/>
              <w:right w:val="nil"/>
            </w:tcBorders>
          </w:tcPr>
          <w:p w14:paraId="324CFE25" w14:textId="260A05D9" w:rsidR="000144FF" w:rsidRPr="00CF7E1B" w:rsidRDefault="00DE4F6D" w:rsidP="00B13E02">
            <w:pPr>
              <w:pStyle w:val="Heading1"/>
              <w:numPr>
                <w:ilvl w:val="0"/>
                <w:numId w:val="0"/>
              </w:numPr>
            </w:pPr>
            <w:bookmarkStart w:id="462" w:name="_Toc49155570"/>
            <w:bookmarkStart w:id="463" w:name="_Toc49224022"/>
            <w:bookmarkStart w:id="464" w:name="_Ref50365336"/>
            <w:bookmarkStart w:id="465" w:name="_Toc50440350"/>
            <w:bookmarkStart w:id="466" w:name="_Ref50523951"/>
            <w:bookmarkStart w:id="467" w:name="_Toc400627331"/>
            <w:bookmarkStart w:id="468" w:name="_Toc132743792"/>
            <w:bookmarkStart w:id="469" w:name="_Toc48468452"/>
            <w:r w:rsidRPr="001E6A24">
              <w:t xml:space="preserve">Note </w:t>
            </w:r>
            <w:r w:rsidR="003A4053" w:rsidRPr="001E6A24">
              <w:t>1</w:t>
            </w:r>
            <w:r w:rsidR="005C197A" w:rsidRPr="001E6A24">
              <w:t>1</w:t>
            </w:r>
            <w:r>
              <w:t>.</w:t>
            </w:r>
            <w:r w:rsidR="00FA7C77">
              <w:t xml:space="preserve"> </w:t>
            </w:r>
            <w:r w:rsidR="00C129D8">
              <w:t xml:space="preserve"> </w:t>
            </w:r>
            <w:r w:rsidR="000144FF" w:rsidRPr="00CF7E1B">
              <w:t>Supplies and Services</w:t>
            </w:r>
            <w:bookmarkEnd w:id="462"/>
            <w:bookmarkEnd w:id="463"/>
            <w:bookmarkEnd w:id="464"/>
            <w:bookmarkEnd w:id="465"/>
            <w:bookmarkEnd w:id="466"/>
            <w:bookmarkEnd w:id="467"/>
            <w:bookmarkEnd w:id="468"/>
            <w:r w:rsidR="000144FF" w:rsidRPr="00CF7E1B">
              <w:t xml:space="preserve"> </w:t>
            </w:r>
            <w:bookmarkEnd w:id="469"/>
          </w:p>
        </w:tc>
      </w:tr>
      <w:tr w:rsidR="00E22C9D" w:rsidRPr="00CF7E1B" w14:paraId="747748F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45" w:type="pct"/>
            <w:tcBorders>
              <w:top w:val="nil"/>
              <w:left w:val="single" w:sz="2" w:space="0" w:color="auto"/>
              <w:bottom w:val="nil"/>
              <w:right w:val="single" w:sz="2" w:space="0" w:color="auto"/>
            </w:tcBorders>
          </w:tcPr>
          <w:p w14:paraId="618EDEC4" w14:textId="77777777" w:rsidR="00E22C9D" w:rsidRPr="001E6A24" w:rsidRDefault="00E22C9D" w:rsidP="001E6A24">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104E94F" w14:textId="71C01B2E" w:rsidR="00E22C9D" w:rsidRPr="009B2E93" w:rsidRDefault="006C49B2" w:rsidP="009B2E93">
            <w:pPr>
              <w:jc w:val="both"/>
              <w:rPr>
                <w:b/>
                <w:bCs/>
                <w:sz w:val="18"/>
                <w:szCs w:val="18"/>
              </w:rPr>
            </w:pPr>
            <w:bookmarkStart w:id="470" w:name="_Toc98763085"/>
            <w:r w:rsidRPr="009B2E93">
              <w:rPr>
                <w:rFonts w:cs="Calibri"/>
                <w:b/>
                <w:bCs/>
                <w:sz w:val="18"/>
                <w:szCs w:val="18"/>
              </w:rPr>
              <w:t xml:space="preserve">Description and </w:t>
            </w:r>
            <w:r w:rsidRPr="009B2E93">
              <w:rPr>
                <w:b/>
                <w:bCs/>
                <w:sz w:val="18"/>
                <w:szCs w:val="18"/>
              </w:rPr>
              <w:t>Material Accounting Policies Relating to Supplies and Services</w:t>
            </w:r>
            <w:bookmarkEnd w:id="470"/>
          </w:p>
        </w:tc>
      </w:tr>
      <w:tr w:rsidR="001A7B3D" w:rsidRPr="00CF7E1B" w14:paraId="33456BB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45" w:type="pct"/>
            <w:tcBorders>
              <w:top w:val="nil"/>
              <w:left w:val="single" w:sz="2" w:space="0" w:color="auto"/>
              <w:bottom w:val="nil"/>
              <w:right w:val="single" w:sz="2" w:space="0" w:color="auto"/>
            </w:tcBorders>
          </w:tcPr>
          <w:p w14:paraId="07D3C060" w14:textId="77777777" w:rsidR="001A7B3D" w:rsidRPr="001E6A24" w:rsidRDefault="001A7B3D" w:rsidP="001E6A24">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6187D6B9" w14:textId="3667E646" w:rsidR="001A7B3D" w:rsidRPr="009B2E93" w:rsidRDefault="001A7B3D" w:rsidP="009B2E93">
            <w:pPr>
              <w:jc w:val="both"/>
              <w:rPr>
                <w:b/>
                <w:bCs/>
                <w:i/>
                <w:iCs/>
                <w:caps/>
                <w:sz w:val="18"/>
                <w:szCs w:val="18"/>
              </w:rPr>
            </w:pPr>
            <w:bookmarkStart w:id="471" w:name="_Toc98763086"/>
            <w:r w:rsidRPr="009B2E93">
              <w:rPr>
                <w:i/>
                <w:iCs/>
                <w:sz w:val="18"/>
                <w:szCs w:val="18"/>
              </w:rPr>
              <w:t>General - Supplies and Services</w:t>
            </w:r>
            <w:bookmarkEnd w:id="471"/>
          </w:p>
        </w:tc>
      </w:tr>
      <w:tr w:rsidR="001A7B3D" w:rsidRPr="00CF7E1B" w14:paraId="4969D544"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0D735995" w14:textId="77777777" w:rsidR="001A7B3D" w:rsidRPr="001E6A24" w:rsidRDefault="001A7B3D" w:rsidP="00702832">
            <w:pPr>
              <w:pStyle w:val="TableReference"/>
              <w:tabs>
                <w:tab w:val="left" w:pos="3306"/>
              </w:tabs>
              <w:spacing w:after="120"/>
              <w:rPr>
                <w:rFonts w:cs="Calibri"/>
                <w:b/>
                <w:color w:val="7030A0"/>
                <w:sz w:val="20"/>
                <w:szCs w:val="20"/>
              </w:rPr>
            </w:pPr>
          </w:p>
        </w:tc>
        <w:tc>
          <w:tcPr>
            <w:tcW w:w="4255" w:type="pct"/>
            <w:tcBorders>
              <w:top w:val="nil"/>
              <w:left w:val="single" w:sz="2" w:space="0" w:color="auto"/>
              <w:bottom w:val="nil"/>
              <w:right w:val="nil"/>
            </w:tcBorders>
          </w:tcPr>
          <w:p w14:paraId="1D405E2E" w14:textId="358A8F4E" w:rsidR="001A7B3D" w:rsidRPr="009B2E93" w:rsidRDefault="001A7B3D" w:rsidP="009B2E93">
            <w:pPr>
              <w:spacing w:after="120"/>
              <w:jc w:val="both"/>
              <w:rPr>
                <w:b/>
                <w:bCs/>
                <w:caps/>
                <w:sz w:val="18"/>
                <w:szCs w:val="18"/>
              </w:rPr>
            </w:pPr>
            <w:bookmarkStart w:id="472" w:name="_Toc98763087"/>
            <w:r w:rsidRPr="009B2E93">
              <w:rPr>
                <w:sz w:val="18"/>
                <w:szCs w:val="18"/>
              </w:rPr>
              <w:t xml:space="preserve">Purchases of Supplies and Services generally represent the day-to-day running costs incurred in normal operations, recognised in the reporting period in which </w:t>
            </w:r>
            <w:r w:rsidR="006F33CC" w:rsidRPr="009B2E93">
              <w:rPr>
                <w:sz w:val="18"/>
                <w:szCs w:val="18"/>
              </w:rPr>
              <w:t>these expenses are</w:t>
            </w:r>
            <w:r w:rsidRPr="009B2E93">
              <w:rPr>
                <w:sz w:val="18"/>
                <w:szCs w:val="18"/>
              </w:rPr>
              <w:t xml:space="preserve"> incurred</w:t>
            </w:r>
            <w:r w:rsidR="006F33CC" w:rsidRPr="009B2E93">
              <w:rPr>
                <w:sz w:val="18"/>
                <w:szCs w:val="18"/>
              </w:rPr>
              <w:t>.</w:t>
            </w:r>
            <w:bookmarkEnd w:id="472"/>
          </w:p>
        </w:tc>
      </w:tr>
      <w:tr w:rsidR="00797FAC" w:rsidRPr="00CF7E1B" w14:paraId="12C7140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
        </w:trPr>
        <w:tc>
          <w:tcPr>
            <w:tcW w:w="745" w:type="pct"/>
            <w:tcBorders>
              <w:top w:val="nil"/>
              <w:left w:val="single" w:sz="2" w:space="0" w:color="auto"/>
              <w:bottom w:val="nil"/>
              <w:right w:val="single" w:sz="2" w:space="0" w:color="auto"/>
            </w:tcBorders>
          </w:tcPr>
          <w:p w14:paraId="2482912D" w14:textId="77777777" w:rsidR="00797FAC" w:rsidRPr="001E6A24" w:rsidRDefault="00797FAC" w:rsidP="00837740">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008202C" w14:textId="20B853EB" w:rsidR="00797FAC" w:rsidRPr="009B2E93" w:rsidRDefault="00797FAC" w:rsidP="009B2E93">
            <w:pPr>
              <w:jc w:val="both"/>
              <w:rPr>
                <w:b/>
                <w:bCs/>
                <w:i/>
                <w:iCs/>
                <w:caps/>
                <w:sz w:val="18"/>
                <w:szCs w:val="18"/>
              </w:rPr>
            </w:pPr>
            <w:bookmarkStart w:id="473" w:name="_Toc98763088"/>
            <w:r w:rsidRPr="009B2E93">
              <w:rPr>
                <w:i/>
                <w:iCs/>
                <w:sz w:val="18"/>
                <w:szCs w:val="18"/>
              </w:rPr>
              <w:t>Legal Expenses</w:t>
            </w:r>
            <w:bookmarkEnd w:id="473"/>
          </w:p>
        </w:tc>
      </w:tr>
      <w:tr w:rsidR="00E22C9D" w:rsidRPr="00CF7E1B" w14:paraId="380A3BCC"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22C318A3" w14:textId="77777777" w:rsidR="00E22C9D" w:rsidRPr="001E6A24" w:rsidRDefault="00E22C9D" w:rsidP="0008124A">
            <w:pPr>
              <w:pStyle w:val="TableReference"/>
              <w:tabs>
                <w:tab w:val="left" w:pos="3306"/>
              </w:tabs>
              <w:spacing w:before="240" w:after="240"/>
              <w:rPr>
                <w:rFonts w:cs="Calibri"/>
                <w:b/>
                <w:color w:val="7030A0"/>
                <w:sz w:val="20"/>
                <w:szCs w:val="20"/>
              </w:rPr>
            </w:pPr>
          </w:p>
        </w:tc>
        <w:tc>
          <w:tcPr>
            <w:tcW w:w="4255" w:type="pct"/>
            <w:tcBorders>
              <w:top w:val="nil"/>
              <w:left w:val="single" w:sz="2" w:space="0" w:color="auto"/>
              <w:bottom w:val="nil"/>
              <w:right w:val="nil"/>
            </w:tcBorders>
          </w:tcPr>
          <w:p w14:paraId="3194E461" w14:textId="741B9633" w:rsidR="00E22C9D" w:rsidRPr="009B2E93" w:rsidRDefault="0052210F" w:rsidP="006D1C79">
            <w:pPr>
              <w:spacing w:after="120"/>
              <w:jc w:val="both"/>
              <w:rPr>
                <w:sz w:val="18"/>
                <w:szCs w:val="18"/>
              </w:rPr>
            </w:pPr>
            <w:bookmarkStart w:id="474" w:name="_Toc98763089"/>
            <w:r w:rsidRPr="009B2E93">
              <w:rPr>
                <w:sz w:val="18"/>
                <w:szCs w:val="18"/>
              </w:rPr>
              <w:t>‘</w:t>
            </w:r>
            <w:r w:rsidR="00920EA7" w:rsidRPr="009B2E93">
              <w:rPr>
                <w:sz w:val="18"/>
                <w:szCs w:val="18"/>
              </w:rPr>
              <w:t xml:space="preserve">Burley Griffin </w:t>
            </w:r>
            <w:r w:rsidRPr="009B2E93">
              <w:rPr>
                <w:sz w:val="18"/>
                <w:szCs w:val="18"/>
              </w:rPr>
              <w:t xml:space="preserve">Agency’ has recognised legal expenses related to legal services received free of charge from the ACT Government </w:t>
            </w:r>
            <w:r w:rsidR="00744FD7" w:rsidRPr="009B2E93">
              <w:rPr>
                <w:sz w:val="18"/>
                <w:szCs w:val="18"/>
              </w:rPr>
              <w:t>Solicitor’s</w:t>
            </w:r>
            <w:r w:rsidRPr="009B2E93">
              <w:rPr>
                <w:sz w:val="18"/>
                <w:szCs w:val="18"/>
              </w:rPr>
              <w:t xml:space="preserve"> Office (GSO).</w:t>
            </w:r>
            <w:r w:rsidR="00FA7C77" w:rsidRPr="009B2E93">
              <w:rPr>
                <w:sz w:val="18"/>
                <w:szCs w:val="18"/>
              </w:rPr>
              <w:t xml:space="preserve"> </w:t>
            </w:r>
            <w:r w:rsidRPr="009B2E93">
              <w:rPr>
                <w:sz w:val="18"/>
                <w:szCs w:val="18"/>
              </w:rPr>
              <w:t xml:space="preserve">The legal services were provided due to legal action </w:t>
            </w:r>
            <w:r w:rsidR="00702832" w:rsidRPr="009B2E93">
              <w:rPr>
                <w:sz w:val="18"/>
                <w:szCs w:val="18"/>
              </w:rPr>
              <w:t>being taken against ‘</w:t>
            </w:r>
            <w:r w:rsidR="00920EA7" w:rsidRPr="009B2E93">
              <w:rPr>
                <w:sz w:val="18"/>
                <w:szCs w:val="18"/>
              </w:rPr>
              <w:t xml:space="preserve">Burley Griffin </w:t>
            </w:r>
            <w:r w:rsidRPr="009B2E93">
              <w:rPr>
                <w:sz w:val="18"/>
                <w:szCs w:val="18"/>
              </w:rPr>
              <w:t xml:space="preserve">Agency’ </w:t>
            </w:r>
            <w:r w:rsidR="00702832" w:rsidRPr="009B2E93">
              <w:rPr>
                <w:sz w:val="18"/>
                <w:szCs w:val="18"/>
              </w:rPr>
              <w:t xml:space="preserve">for </w:t>
            </w:r>
            <w:r w:rsidRPr="009B2E93">
              <w:rPr>
                <w:sz w:val="18"/>
                <w:szCs w:val="18"/>
              </w:rPr>
              <w:t>burying waste material in landfill which then leaked and contaminated the area and nearby farmland.</w:t>
            </w:r>
            <w:r w:rsidR="00FA7C77" w:rsidRPr="009B2E93">
              <w:rPr>
                <w:sz w:val="18"/>
                <w:szCs w:val="18"/>
              </w:rPr>
              <w:t xml:space="preserve"> </w:t>
            </w:r>
            <w:r w:rsidRPr="009B2E93">
              <w:rPr>
                <w:sz w:val="18"/>
                <w:szCs w:val="18"/>
              </w:rPr>
              <w:t>The GSO provided ‘</w:t>
            </w:r>
            <w:r w:rsidR="00920EA7" w:rsidRPr="009B2E93">
              <w:rPr>
                <w:sz w:val="18"/>
                <w:szCs w:val="18"/>
              </w:rPr>
              <w:t xml:space="preserve">Burley Griffin </w:t>
            </w:r>
            <w:r w:rsidRPr="009B2E93">
              <w:rPr>
                <w:sz w:val="18"/>
                <w:szCs w:val="18"/>
              </w:rPr>
              <w:t>Agency’ with the fair value of the services provided.</w:t>
            </w:r>
            <w:bookmarkEnd w:id="474"/>
            <w:r w:rsidR="00FA7C77" w:rsidRPr="009B2E93">
              <w:rPr>
                <w:sz w:val="18"/>
                <w:szCs w:val="18"/>
              </w:rPr>
              <w:t xml:space="preserve">  </w:t>
            </w:r>
          </w:p>
        </w:tc>
      </w:tr>
      <w:tr w:rsidR="00797FAC" w:rsidRPr="00CF7E1B" w14:paraId="2476711A" w14:textId="77777777" w:rsidTr="006D1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32"/>
        </w:trPr>
        <w:tc>
          <w:tcPr>
            <w:tcW w:w="745" w:type="pct"/>
            <w:tcBorders>
              <w:top w:val="nil"/>
              <w:left w:val="single" w:sz="2" w:space="0" w:color="auto"/>
              <w:bottom w:val="nil"/>
              <w:right w:val="single" w:sz="2" w:space="0" w:color="auto"/>
            </w:tcBorders>
          </w:tcPr>
          <w:p w14:paraId="4940E12D" w14:textId="77777777" w:rsidR="00797FAC" w:rsidRPr="001E6A24" w:rsidRDefault="00797FAC" w:rsidP="00797FAC">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590B6033" w14:textId="4E4C366E" w:rsidR="00797FAC" w:rsidRPr="006D1C79" w:rsidRDefault="00797FAC" w:rsidP="009B2E93">
            <w:pPr>
              <w:jc w:val="both"/>
              <w:rPr>
                <w:b/>
                <w:bCs/>
                <w:i/>
                <w:iCs/>
                <w:caps/>
                <w:sz w:val="18"/>
                <w:szCs w:val="18"/>
              </w:rPr>
            </w:pPr>
            <w:bookmarkStart w:id="475" w:name="_Toc98763090"/>
            <w:r w:rsidRPr="006D1C79">
              <w:rPr>
                <w:i/>
                <w:iCs/>
                <w:sz w:val="18"/>
                <w:szCs w:val="18"/>
              </w:rPr>
              <w:t>Lease Rental Payments</w:t>
            </w:r>
            <w:bookmarkEnd w:id="475"/>
          </w:p>
        </w:tc>
      </w:tr>
      <w:tr w:rsidR="00E22C9D" w:rsidRPr="00CF7E1B" w14:paraId="48404FA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6F2E2A20" w14:textId="44DA5E5B" w:rsidR="00E22C9D" w:rsidRPr="001E6A24" w:rsidRDefault="00013591" w:rsidP="00797FAC">
            <w:pPr>
              <w:pStyle w:val="TableReference"/>
              <w:tabs>
                <w:tab w:val="left" w:pos="3306"/>
              </w:tabs>
              <w:rPr>
                <w:rFonts w:cs="Calibri"/>
                <w:b/>
                <w:color w:val="7030A0"/>
                <w:sz w:val="14"/>
              </w:rPr>
            </w:pPr>
            <w:r w:rsidRPr="001E6A24">
              <w:rPr>
                <w:rFonts w:cs="Calibri"/>
                <w:color w:val="7030A0"/>
                <w:sz w:val="14"/>
              </w:rPr>
              <w:t>AASB 16.5(a)&amp;(b)</w:t>
            </w:r>
            <w:r w:rsidR="00702832" w:rsidRPr="001E6A24">
              <w:rPr>
                <w:rFonts w:cs="Calibri"/>
                <w:color w:val="7030A0"/>
                <w:sz w:val="14"/>
              </w:rPr>
              <w:t xml:space="preserve">, </w:t>
            </w:r>
            <w:r w:rsidRPr="001E6A24">
              <w:rPr>
                <w:rFonts w:cs="Calibri"/>
                <w:color w:val="7030A0"/>
                <w:sz w:val="14"/>
              </w:rPr>
              <w:t>B3-B8,B14</w:t>
            </w:r>
          </w:p>
        </w:tc>
        <w:tc>
          <w:tcPr>
            <w:tcW w:w="4255" w:type="pct"/>
            <w:tcBorders>
              <w:top w:val="nil"/>
              <w:left w:val="single" w:sz="2" w:space="0" w:color="auto"/>
              <w:bottom w:val="nil"/>
              <w:right w:val="nil"/>
            </w:tcBorders>
          </w:tcPr>
          <w:p w14:paraId="5912FB52" w14:textId="369B9E4D" w:rsidR="00E22C9D" w:rsidRPr="009B2E93" w:rsidRDefault="00013591" w:rsidP="006D1C79">
            <w:pPr>
              <w:spacing w:after="120"/>
              <w:jc w:val="both"/>
              <w:rPr>
                <w:b/>
                <w:bCs/>
                <w:caps/>
                <w:sz w:val="18"/>
                <w:szCs w:val="18"/>
              </w:rPr>
            </w:pPr>
            <w:bookmarkStart w:id="476" w:name="_Toc98763091"/>
            <w:r w:rsidRPr="009B2E93">
              <w:rPr>
                <w:sz w:val="18"/>
                <w:szCs w:val="18"/>
              </w:rPr>
              <w:t>Lease Rental Payments includes short-term leases of 12 months or less and low value leases up to $10,000 as well as non-specialised accommodation leases with Property Group.</w:t>
            </w:r>
            <w:bookmarkEnd w:id="476"/>
          </w:p>
        </w:tc>
      </w:tr>
      <w:tr w:rsidR="00797FAC" w:rsidRPr="00CF7E1B" w14:paraId="3C792476" w14:textId="77777777" w:rsidTr="006D1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8"/>
        </w:trPr>
        <w:tc>
          <w:tcPr>
            <w:tcW w:w="745" w:type="pct"/>
            <w:tcBorders>
              <w:top w:val="nil"/>
              <w:left w:val="single" w:sz="2" w:space="0" w:color="auto"/>
              <w:bottom w:val="nil"/>
              <w:right w:val="single" w:sz="2" w:space="0" w:color="auto"/>
            </w:tcBorders>
          </w:tcPr>
          <w:p w14:paraId="280C6B6E" w14:textId="77777777" w:rsidR="00797FAC" w:rsidRPr="001E6A24" w:rsidRDefault="00797FAC" w:rsidP="00797FAC">
            <w:pPr>
              <w:pStyle w:val="TableReference"/>
              <w:tabs>
                <w:tab w:val="left" w:pos="3306"/>
              </w:tabs>
              <w:rPr>
                <w:rFonts w:cs="Calibri"/>
                <w:color w:val="7030A0"/>
                <w:sz w:val="14"/>
              </w:rPr>
            </w:pPr>
          </w:p>
        </w:tc>
        <w:tc>
          <w:tcPr>
            <w:tcW w:w="4255" w:type="pct"/>
            <w:tcBorders>
              <w:top w:val="nil"/>
              <w:left w:val="single" w:sz="2" w:space="0" w:color="auto"/>
              <w:bottom w:val="nil"/>
              <w:right w:val="nil"/>
            </w:tcBorders>
          </w:tcPr>
          <w:p w14:paraId="7F821554" w14:textId="1FF314B8" w:rsidR="00797FAC" w:rsidRPr="006D1C79" w:rsidRDefault="00797FAC" w:rsidP="009B2E93">
            <w:pPr>
              <w:jc w:val="both"/>
              <w:rPr>
                <w:b/>
                <w:bCs/>
                <w:i/>
                <w:iCs/>
                <w:caps/>
                <w:sz w:val="18"/>
                <w:szCs w:val="18"/>
              </w:rPr>
            </w:pPr>
            <w:bookmarkStart w:id="477" w:name="_Toc98763092"/>
            <w:r w:rsidRPr="006D1C79">
              <w:rPr>
                <w:i/>
                <w:iCs/>
                <w:sz w:val="18"/>
                <w:szCs w:val="18"/>
              </w:rPr>
              <w:t>Auditor</w:t>
            </w:r>
            <w:r w:rsidR="00CD62BC" w:rsidRPr="006D1C79">
              <w:rPr>
                <w:i/>
                <w:iCs/>
                <w:sz w:val="18"/>
                <w:szCs w:val="18"/>
              </w:rPr>
              <w:t xml:space="preserve"> Service Fees</w:t>
            </w:r>
            <w:bookmarkEnd w:id="477"/>
          </w:p>
        </w:tc>
      </w:tr>
      <w:tr w:rsidR="00E22C9D" w:rsidRPr="00CF7E1B" w14:paraId="4AC3C9E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33D7CD9B" w14:textId="0D714483" w:rsidR="00E22C9D" w:rsidRPr="001E6A24" w:rsidRDefault="00B95D82" w:rsidP="001172AB">
            <w:pPr>
              <w:pStyle w:val="TableReference"/>
              <w:tabs>
                <w:tab w:val="left" w:pos="3306"/>
              </w:tabs>
              <w:spacing w:before="120"/>
              <w:rPr>
                <w:rFonts w:cs="Calibri"/>
                <w:b/>
                <w:color w:val="7030A0"/>
                <w:sz w:val="14"/>
              </w:rPr>
            </w:pPr>
            <w:r w:rsidRPr="001E6A24">
              <w:rPr>
                <w:rFonts w:cs="Calibri"/>
                <w:color w:val="7030A0"/>
                <w:sz w:val="14"/>
              </w:rPr>
              <w:t>AASB 1054.10</w:t>
            </w:r>
            <w:r w:rsidR="005C197A" w:rsidRPr="001E6A24">
              <w:rPr>
                <w:rFonts w:cs="Calibri"/>
                <w:color w:val="7030A0"/>
                <w:sz w:val="14"/>
              </w:rPr>
              <w:t xml:space="preserve"> (a) &amp;</w:t>
            </w:r>
            <w:r w:rsidRPr="001E6A24">
              <w:rPr>
                <w:rFonts w:cs="Calibri"/>
                <w:color w:val="7030A0"/>
                <w:sz w:val="14"/>
              </w:rPr>
              <w:t>(b)</w:t>
            </w:r>
          </w:p>
        </w:tc>
        <w:tc>
          <w:tcPr>
            <w:tcW w:w="4255" w:type="pct"/>
            <w:tcBorders>
              <w:top w:val="nil"/>
              <w:left w:val="single" w:sz="2" w:space="0" w:color="auto"/>
              <w:bottom w:val="nil"/>
              <w:right w:val="nil"/>
            </w:tcBorders>
          </w:tcPr>
          <w:p w14:paraId="78F7855A" w14:textId="244A5268" w:rsidR="00B95D82" w:rsidRPr="009B2E93" w:rsidRDefault="00BF1186" w:rsidP="006D1C79">
            <w:pPr>
              <w:spacing w:after="120"/>
              <w:jc w:val="both"/>
              <w:rPr>
                <w:sz w:val="18"/>
                <w:szCs w:val="18"/>
              </w:rPr>
            </w:pPr>
            <w:r w:rsidRPr="009B2E93">
              <w:rPr>
                <w:sz w:val="18"/>
                <w:szCs w:val="18"/>
              </w:rPr>
              <w:t xml:space="preserve">Audit Fees are included in the Contractors and Consultants line item below. </w:t>
            </w:r>
            <w:r w:rsidR="009F1BEA" w:rsidRPr="009B2E93">
              <w:rPr>
                <w:sz w:val="18"/>
                <w:szCs w:val="18"/>
              </w:rPr>
              <w:t>Auditor’s remuneration consists of financial audit services provided to the Agency by the ACT Audit Office and any other services provided by a contract auditor engaged by the ACT Audit Office to conduct the financial audit.</w:t>
            </w:r>
            <w:r w:rsidR="00FA7C77" w:rsidRPr="009B2E93">
              <w:rPr>
                <w:sz w:val="18"/>
                <w:szCs w:val="18"/>
              </w:rPr>
              <w:t xml:space="preserve"> </w:t>
            </w:r>
            <w:r w:rsidR="004F2D2D" w:rsidRPr="009B2E93">
              <w:rPr>
                <w:sz w:val="18"/>
                <w:szCs w:val="18"/>
              </w:rPr>
              <w:t>‘</w:t>
            </w:r>
            <w:r w:rsidRPr="009B2E93">
              <w:rPr>
                <w:sz w:val="18"/>
                <w:szCs w:val="18"/>
              </w:rPr>
              <w:t>Burley Griffin Agency’s</w:t>
            </w:r>
            <w:r w:rsidR="004F2D2D" w:rsidRPr="009B2E93">
              <w:rPr>
                <w:sz w:val="18"/>
                <w:szCs w:val="18"/>
              </w:rPr>
              <w:t>’</w:t>
            </w:r>
            <w:r w:rsidRPr="009B2E93">
              <w:rPr>
                <w:sz w:val="18"/>
                <w:szCs w:val="18"/>
              </w:rPr>
              <w:t xml:space="preserve"> audit fees for the audit of its 202</w:t>
            </w:r>
            <w:r w:rsidR="00F305E9" w:rsidRPr="009B2E93">
              <w:rPr>
                <w:sz w:val="18"/>
                <w:szCs w:val="18"/>
              </w:rPr>
              <w:t>2</w:t>
            </w:r>
            <w:r w:rsidRPr="009B2E93">
              <w:rPr>
                <w:sz w:val="18"/>
                <w:szCs w:val="18"/>
              </w:rPr>
              <w:t>-2</w:t>
            </w:r>
            <w:r w:rsidR="00F305E9" w:rsidRPr="009B2E93">
              <w:rPr>
                <w:sz w:val="18"/>
                <w:szCs w:val="18"/>
              </w:rPr>
              <w:t>3</w:t>
            </w:r>
            <w:r w:rsidRPr="009B2E93">
              <w:rPr>
                <w:sz w:val="18"/>
                <w:szCs w:val="18"/>
              </w:rPr>
              <w:t xml:space="preserve"> financial statements was $xxx ($</w:t>
            </w:r>
            <w:r w:rsidR="00436BDE" w:rsidRPr="009B2E93">
              <w:rPr>
                <w:sz w:val="18"/>
                <w:szCs w:val="18"/>
              </w:rPr>
              <w:t>xxx</w:t>
            </w:r>
            <w:r w:rsidRPr="009B2E93">
              <w:rPr>
                <w:sz w:val="18"/>
                <w:szCs w:val="18"/>
              </w:rPr>
              <w:t xml:space="preserve"> 202</w:t>
            </w:r>
            <w:r w:rsidR="00F305E9" w:rsidRPr="009B2E93">
              <w:rPr>
                <w:sz w:val="18"/>
                <w:szCs w:val="18"/>
              </w:rPr>
              <w:t>1</w:t>
            </w:r>
            <w:r w:rsidRPr="009B2E93">
              <w:rPr>
                <w:sz w:val="18"/>
                <w:szCs w:val="18"/>
              </w:rPr>
              <w:t>-2</w:t>
            </w:r>
            <w:r w:rsidR="00F305E9" w:rsidRPr="009B2E93">
              <w:rPr>
                <w:sz w:val="18"/>
                <w:szCs w:val="18"/>
              </w:rPr>
              <w:t>2</w:t>
            </w:r>
            <w:r w:rsidRPr="009B2E93">
              <w:rPr>
                <w:sz w:val="18"/>
                <w:szCs w:val="18"/>
              </w:rPr>
              <w:t xml:space="preserve">). </w:t>
            </w:r>
            <w:r w:rsidR="00B95D82" w:rsidRPr="009B2E93">
              <w:rPr>
                <w:sz w:val="18"/>
                <w:szCs w:val="18"/>
              </w:rPr>
              <w:t xml:space="preserve">No other services were provided by the ACT </w:t>
            </w:r>
            <w:r w:rsidR="00173796" w:rsidRPr="009B2E93">
              <w:rPr>
                <w:sz w:val="18"/>
                <w:szCs w:val="18"/>
              </w:rPr>
              <w:t>Audit Office</w:t>
            </w:r>
            <w:r w:rsidR="00B95D82" w:rsidRPr="009B2E93">
              <w:rPr>
                <w:sz w:val="18"/>
                <w:szCs w:val="18"/>
              </w:rPr>
              <w:t>.</w:t>
            </w:r>
          </w:p>
        </w:tc>
      </w:tr>
      <w:tr w:rsidR="00E22C9D" w:rsidRPr="00CF7E1B" w14:paraId="08880EA0" w14:textId="77777777" w:rsidTr="006D1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2"/>
        </w:trPr>
        <w:tc>
          <w:tcPr>
            <w:tcW w:w="745" w:type="pct"/>
            <w:tcBorders>
              <w:top w:val="nil"/>
              <w:left w:val="single" w:sz="2" w:space="0" w:color="auto"/>
              <w:bottom w:val="nil"/>
              <w:right w:val="single" w:sz="2" w:space="0" w:color="auto"/>
            </w:tcBorders>
          </w:tcPr>
          <w:p w14:paraId="2C04BD8B" w14:textId="77777777" w:rsidR="00E22C9D" w:rsidRPr="001E6A24" w:rsidRDefault="00E22C9D" w:rsidP="006D1C79">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CE85815" w14:textId="4616D299" w:rsidR="00E22C9D" w:rsidRPr="006D1C79" w:rsidRDefault="00E22C9D" w:rsidP="006D1C79">
            <w:pPr>
              <w:jc w:val="both"/>
              <w:rPr>
                <w:rFonts w:cs="Arial"/>
                <w:bCs/>
                <w:i/>
                <w:iCs/>
                <w:caps/>
                <w:smallCaps/>
                <w:sz w:val="18"/>
                <w:szCs w:val="18"/>
              </w:rPr>
            </w:pPr>
            <w:bookmarkStart w:id="478" w:name="_Toc98763093"/>
            <w:r w:rsidRPr="006D1C79">
              <w:rPr>
                <w:i/>
                <w:iCs/>
                <w:sz w:val="18"/>
                <w:szCs w:val="18"/>
              </w:rPr>
              <w:t>Insurance</w:t>
            </w:r>
            <w:bookmarkEnd w:id="478"/>
          </w:p>
        </w:tc>
      </w:tr>
      <w:tr w:rsidR="00E22C9D" w:rsidRPr="00CF7E1B" w14:paraId="4315900E"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3A7F3F02" w14:textId="1E8A2981" w:rsidR="00E22C9D" w:rsidRPr="001E6A24" w:rsidRDefault="00702832" w:rsidP="00702832">
            <w:pPr>
              <w:pStyle w:val="TableReference"/>
              <w:tabs>
                <w:tab w:val="left" w:pos="3306"/>
              </w:tabs>
              <w:rPr>
                <w:rFonts w:cs="Calibri"/>
                <w:b/>
                <w:color w:val="7030A0"/>
                <w:sz w:val="14"/>
              </w:rPr>
            </w:pPr>
            <w:r w:rsidRPr="001E6A24">
              <w:rPr>
                <w:color w:val="7030A0"/>
                <w:sz w:val="14"/>
              </w:rPr>
              <w:t>AASB 16.5(a)&amp;(b) &amp;B3-B8;</w:t>
            </w:r>
          </w:p>
        </w:tc>
        <w:tc>
          <w:tcPr>
            <w:tcW w:w="4255" w:type="pct"/>
            <w:tcBorders>
              <w:top w:val="nil"/>
              <w:left w:val="single" w:sz="2" w:space="0" w:color="auto"/>
              <w:bottom w:val="nil"/>
              <w:right w:val="nil"/>
            </w:tcBorders>
          </w:tcPr>
          <w:p w14:paraId="3EA10A51" w14:textId="4110614B" w:rsidR="00E22C9D" w:rsidRPr="009B2E93" w:rsidRDefault="00E22C9D" w:rsidP="006D1C79">
            <w:pPr>
              <w:spacing w:after="120"/>
              <w:jc w:val="both"/>
              <w:rPr>
                <w:sz w:val="18"/>
                <w:szCs w:val="18"/>
              </w:rPr>
            </w:pPr>
            <w:r w:rsidRPr="009B2E93">
              <w:rPr>
                <w:sz w:val="18"/>
                <w:szCs w:val="18"/>
              </w:rPr>
              <w:t>Major risks are insured through the ACT Insurance Authority.</w:t>
            </w:r>
            <w:r w:rsidR="00FA7C77" w:rsidRPr="009B2E93">
              <w:rPr>
                <w:sz w:val="18"/>
                <w:szCs w:val="18"/>
              </w:rPr>
              <w:t xml:space="preserve"> </w:t>
            </w:r>
            <w:r w:rsidRPr="009B2E93">
              <w:rPr>
                <w:sz w:val="18"/>
                <w:szCs w:val="18"/>
              </w:rPr>
              <w:t>The excess payable, under this arrangement, varies depending on each class of insurance held.</w:t>
            </w:r>
          </w:p>
        </w:tc>
      </w:tr>
      <w:tr w:rsidR="00E22C9D" w:rsidRPr="00CF7E1B" w14:paraId="61985719" w14:textId="77777777" w:rsidTr="006D1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44"/>
        </w:trPr>
        <w:tc>
          <w:tcPr>
            <w:tcW w:w="745" w:type="pct"/>
            <w:tcBorders>
              <w:top w:val="nil"/>
              <w:left w:val="single" w:sz="2" w:space="0" w:color="auto"/>
              <w:bottom w:val="nil"/>
              <w:right w:val="single" w:sz="2" w:space="0" w:color="auto"/>
            </w:tcBorders>
          </w:tcPr>
          <w:p w14:paraId="49A42C61" w14:textId="77777777" w:rsidR="00E22C9D" w:rsidRPr="001E6A24" w:rsidRDefault="00E22C9D" w:rsidP="006D1C79">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3A476FC9" w14:textId="743D3BDF" w:rsidR="00E22C9D" w:rsidRPr="006D1C79" w:rsidRDefault="00E22C9D" w:rsidP="006D1C79">
            <w:pPr>
              <w:jc w:val="both"/>
              <w:rPr>
                <w:i/>
                <w:iCs/>
                <w:sz w:val="18"/>
                <w:szCs w:val="18"/>
              </w:rPr>
            </w:pPr>
            <w:r w:rsidRPr="006D1C79">
              <w:rPr>
                <w:i/>
                <w:iCs/>
                <w:sz w:val="18"/>
                <w:szCs w:val="18"/>
              </w:rPr>
              <w:t>Repairs and Maintenance</w:t>
            </w:r>
          </w:p>
        </w:tc>
      </w:tr>
      <w:tr w:rsidR="00E22C9D" w:rsidRPr="00CF7E1B" w14:paraId="61E1768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9"/>
        </w:trPr>
        <w:tc>
          <w:tcPr>
            <w:tcW w:w="745" w:type="pct"/>
            <w:tcBorders>
              <w:top w:val="nil"/>
              <w:left w:val="single" w:sz="2" w:space="0" w:color="auto"/>
              <w:bottom w:val="nil"/>
              <w:right w:val="single" w:sz="2" w:space="0" w:color="auto"/>
            </w:tcBorders>
          </w:tcPr>
          <w:p w14:paraId="6BF03E1D" w14:textId="77777777" w:rsidR="00E22C9D" w:rsidRPr="001E6A24" w:rsidRDefault="00E22C9D" w:rsidP="00E22C9D">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7A8BD7C4" w14:textId="47E8DB99" w:rsidR="00E7007E" w:rsidRPr="009B2E93" w:rsidRDefault="00E22C9D" w:rsidP="009B2E93">
            <w:pPr>
              <w:jc w:val="both"/>
              <w:rPr>
                <w:sz w:val="18"/>
                <w:szCs w:val="18"/>
              </w:rPr>
            </w:pPr>
            <w:r w:rsidRPr="009B2E93">
              <w:rPr>
                <w:sz w:val="18"/>
                <w:szCs w:val="18"/>
              </w:rPr>
              <w:t>Maintenance expenses, which do not increase the service potential of an asset, are expensed.</w:t>
            </w:r>
          </w:p>
        </w:tc>
      </w:tr>
      <w:bookmarkEnd w:id="459"/>
    </w:tbl>
    <w:p w14:paraId="7B07577E" w14:textId="77777777" w:rsidR="006C7C66" w:rsidRDefault="006C7C66">
      <w:r>
        <w:rPr>
          <w:b/>
          <w:bCs/>
        </w:rPr>
        <w:br w:type="page"/>
      </w:r>
    </w:p>
    <w:tbl>
      <w:tblPr>
        <w:tblW w:w="516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7"/>
        <w:gridCol w:w="4678"/>
        <w:gridCol w:w="709"/>
        <w:gridCol w:w="288"/>
        <w:gridCol w:w="110"/>
        <w:gridCol w:w="146"/>
        <w:gridCol w:w="313"/>
        <w:gridCol w:w="419"/>
        <w:gridCol w:w="531"/>
        <w:gridCol w:w="319"/>
        <w:gridCol w:w="292"/>
        <w:gridCol w:w="1128"/>
        <w:gridCol w:w="36"/>
        <w:gridCol w:w="42"/>
      </w:tblGrid>
      <w:tr w:rsidR="006C7C66" w:rsidRPr="00CF7E1B" w14:paraId="1A8EDBBD" w14:textId="77777777" w:rsidTr="005F5F76">
        <w:trPr>
          <w:gridAfter w:val="2"/>
          <w:wAfter w:w="37" w:type="pct"/>
          <w:trHeight w:val="377"/>
        </w:trPr>
        <w:tc>
          <w:tcPr>
            <w:tcW w:w="741" w:type="pct"/>
            <w:tcBorders>
              <w:top w:val="nil"/>
              <w:left w:val="single" w:sz="2" w:space="0" w:color="auto"/>
              <w:bottom w:val="nil"/>
              <w:right w:val="single" w:sz="2" w:space="0" w:color="auto"/>
            </w:tcBorders>
          </w:tcPr>
          <w:p w14:paraId="0A8A37DC" w14:textId="77777777" w:rsidR="006C7C66" w:rsidRPr="001E6A24" w:rsidRDefault="006C7C66" w:rsidP="00DA5473">
            <w:pPr>
              <w:pStyle w:val="TableReference"/>
              <w:tabs>
                <w:tab w:val="left" w:pos="3306"/>
              </w:tabs>
              <w:spacing w:before="240" w:after="240"/>
              <w:rPr>
                <w:rFonts w:cs="Calibri"/>
                <w:b/>
                <w:color w:val="7030A0"/>
                <w:sz w:val="22"/>
                <w:szCs w:val="22"/>
              </w:rPr>
            </w:pPr>
            <w:r w:rsidRPr="001E6A24">
              <w:rPr>
                <w:rFonts w:cs="Calibri"/>
                <w:b/>
                <w:color w:val="7030A0"/>
                <w:sz w:val="22"/>
                <w:szCs w:val="22"/>
              </w:rPr>
              <w:t>Reference</w:t>
            </w:r>
          </w:p>
        </w:tc>
        <w:tc>
          <w:tcPr>
            <w:tcW w:w="4222" w:type="pct"/>
            <w:gridSpan w:val="11"/>
            <w:tcBorders>
              <w:top w:val="nil"/>
              <w:left w:val="single" w:sz="2" w:space="0" w:color="auto"/>
              <w:bottom w:val="nil"/>
              <w:right w:val="nil"/>
            </w:tcBorders>
          </w:tcPr>
          <w:p w14:paraId="738D9B61" w14:textId="44FBAA93" w:rsidR="006C7C66" w:rsidRPr="00CF7E1B" w:rsidRDefault="006C7C66" w:rsidP="00DA5473">
            <w:pPr>
              <w:pStyle w:val="Heading1"/>
              <w:numPr>
                <w:ilvl w:val="0"/>
                <w:numId w:val="0"/>
              </w:numPr>
            </w:pPr>
            <w:bookmarkStart w:id="479" w:name="_Toc98763094"/>
            <w:bookmarkStart w:id="480" w:name="_Toc127733840"/>
            <w:bookmarkStart w:id="481" w:name="_Toc131164493"/>
            <w:bookmarkStart w:id="482" w:name="_Toc131591758"/>
            <w:bookmarkStart w:id="483" w:name="_Toc132743793"/>
            <w:r w:rsidRPr="001E6A24">
              <w:t>Note 11</w:t>
            </w:r>
            <w:r>
              <w:t xml:space="preserve">.  </w:t>
            </w:r>
            <w:r w:rsidRPr="00CF7E1B">
              <w:t xml:space="preserve">Supplies and Services </w:t>
            </w:r>
            <w:r>
              <w:t>– Continued</w:t>
            </w:r>
            <w:bookmarkEnd w:id="479"/>
            <w:bookmarkEnd w:id="480"/>
            <w:bookmarkEnd w:id="481"/>
            <w:bookmarkEnd w:id="482"/>
            <w:bookmarkEnd w:id="483"/>
            <w:r>
              <w:t xml:space="preserve"> </w:t>
            </w:r>
          </w:p>
        </w:tc>
      </w:tr>
      <w:tr w:rsidR="000144FF" w:rsidRPr="00CF7E1B" w14:paraId="1959B474"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1BE11DA" w14:textId="52394B37" w:rsidR="000144FF" w:rsidRPr="001E6A24" w:rsidRDefault="000144FF">
            <w:pPr>
              <w:pStyle w:val="TableTitle"/>
              <w:tabs>
                <w:tab w:val="left" w:pos="3306"/>
              </w:tabs>
              <w:spacing w:before="40"/>
              <w:jc w:val="left"/>
              <w:rPr>
                <w:rFonts w:cs="Calibri"/>
                <w:color w:val="7030A0"/>
                <w:sz w:val="16"/>
                <w:szCs w:val="16"/>
              </w:rPr>
            </w:pPr>
          </w:p>
        </w:tc>
        <w:tc>
          <w:tcPr>
            <w:tcW w:w="2803" w:type="pct"/>
            <w:gridSpan w:val="5"/>
            <w:tcBorders>
              <w:top w:val="nil"/>
              <w:left w:val="single" w:sz="2" w:space="0" w:color="auto"/>
              <w:bottom w:val="nil"/>
              <w:right w:val="nil"/>
            </w:tcBorders>
            <w:vAlign w:val="bottom"/>
          </w:tcPr>
          <w:p w14:paraId="73BF8FDD" w14:textId="77777777" w:rsidR="000144FF" w:rsidRPr="001E6A24" w:rsidRDefault="000144FF">
            <w:pPr>
              <w:pStyle w:val="TableTitle"/>
              <w:tabs>
                <w:tab w:val="left" w:pos="3306"/>
              </w:tabs>
              <w:rPr>
                <w:rFonts w:cs="Calibri"/>
              </w:rPr>
            </w:pPr>
          </w:p>
        </w:tc>
        <w:tc>
          <w:tcPr>
            <w:tcW w:w="748" w:type="pct"/>
            <w:gridSpan w:val="4"/>
            <w:tcBorders>
              <w:top w:val="nil"/>
              <w:left w:val="nil"/>
              <w:bottom w:val="nil"/>
              <w:right w:val="nil"/>
            </w:tcBorders>
            <w:vAlign w:val="bottom"/>
          </w:tcPr>
          <w:p w14:paraId="16FF0FEB" w14:textId="35F6F40F" w:rsidR="000144FF" w:rsidRPr="001E6A24" w:rsidRDefault="00661AF6">
            <w:pPr>
              <w:pStyle w:val="TableTitle"/>
              <w:tabs>
                <w:tab w:val="left" w:pos="3306"/>
              </w:tabs>
              <w:rPr>
                <w:rFonts w:cs="Calibri"/>
              </w:rPr>
            </w:pPr>
            <w:r w:rsidRPr="001E6A24">
              <w:rPr>
                <w:rFonts w:cs="Calibri"/>
              </w:rPr>
              <w:t>202</w:t>
            </w:r>
            <w:r w:rsidR="00F305E9">
              <w:rPr>
                <w:rFonts w:cs="Calibri"/>
              </w:rPr>
              <w:t>3</w:t>
            </w:r>
          </w:p>
          <w:p w14:paraId="521273E0" w14:textId="77777777" w:rsidR="000144FF" w:rsidRPr="001E6A24" w:rsidRDefault="000144FF">
            <w:pPr>
              <w:pStyle w:val="TableTitle"/>
              <w:tabs>
                <w:tab w:val="left" w:pos="3306"/>
              </w:tabs>
              <w:rPr>
                <w:rFonts w:cs="Calibri"/>
              </w:rPr>
            </w:pPr>
            <w:r w:rsidRPr="001E6A24">
              <w:rPr>
                <w:rFonts w:cs="Calibri"/>
              </w:rPr>
              <w:t>$’000</w:t>
            </w:r>
          </w:p>
        </w:tc>
        <w:tc>
          <w:tcPr>
            <w:tcW w:w="671" w:type="pct"/>
            <w:gridSpan w:val="2"/>
            <w:tcBorders>
              <w:top w:val="nil"/>
              <w:left w:val="nil"/>
              <w:bottom w:val="nil"/>
              <w:right w:val="nil"/>
            </w:tcBorders>
            <w:vAlign w:val="bottom"/>
          </w:tcPr>
          <w:p w14:paraId="28F4397C" w14:textId="673D151E" w:rsidR="000144FF" w:rsidRPr="001E6A24" w:rsidRDefault="00AB4981">
            <w:pPr>
              <w:pStyle w:val="TableTitle"/>
              <w:tabs>
                <w:tab w:val="left" w:pos="3306"/>
              </w:tabs>
              <w:rPr>
                <w:rFonts w:cs="Calibri"/>
              </w:rPr>
            </w:pPr>
            <w:r w:rsidRPr="001E6A24">
              <w:rPr>
                <w:rFonts w:cs="Calibri"/>
              </w:rPr>
              <w:t>202</w:t>
            </w:r>
            <w:r w:rsidR="00F305E9">
              <w:rPr>
                <w:rFonts w:cs="Calibri"/>
              </w:rPr>
              <w:t>2</w:t>
            </w:r>
          </w:p>
          <w:p w14:paraId="3C4E0D1C" w14:textId="77777777" w:rsidR="000144FF" w:rsidRPr="001E6A24" w:rsidRDefault="000144FF">
            <w:pPr>
              <w:pStyle w:val="TableTitle"/>
              <w:tabs>
                <w:tab w:val="left" w:pos="3306"/>
              </w:tabs>
              <w:rPr>
                <w:rFonts w:cs="Calibri"/>
              </w:rPr>
            </w:pPr>
            <w:r w:rsidRPr="001E6A24">
              <w:rPr>
                <w:rFonts w:cs="Calibri"/>
              </w:rPr>
              <w:t>$’000</w:t>
            </w:r>
          </w:p>
        </w:tc>
      </w:tr>
      <w:tr w:rsidR="000144FF" w:rsidRPr="00CF7E1B" w14:paraId="3FEB1BC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34ED368" w14:textId="210D6343" w:rsidR="000144FF" w:rsidRPr="001E6A24" w:rsidRDefault="0008124A">
            <w:pPr>
              <w:pStyle w:val="TableReference"/>
              <w:tabs>
                <w:tab w:val="left" w:pos="3306"/>
              </w:tabs>
              <w:spacing w:before="40"/>
              <w:rPr>
                <w:rFonts w:cs="Calibri"/>
                <w:color w:val="7030A0"/>
                <w:sz w:val="14"/>
              </w:rPr>
            </w:pPr>
            <w:r w:rsidRPr="001E6A24">
              <w:rPr>
                <w:rFonts w:cs="Calibri"/>
                <w:color w:val="7030A0"/>
                <w:sz w:val="14"/>
              </w:rPr>
              <w:t>AASB 16.53(c)&amp;(d)</w:t>
            </w:r>
          </w:p>
        </w:tc>
        <w:tc>
          <w:tcPr>
            <w:tcW w:w="2803" w:type="pct"/>
            <w:gridSpan w:val="5"/>
            <w:tcBorders>
              <w:top w:val="nil"/>
              <w:left w:val="single" w:sz="2" w:space="0" w:color="auto"/>
              <w:bottom w:val="nil"/>
              <w:right w:val="nil"/>
            </w:tcBorders>
            <w:vAlign w:val="bottom"/>
          </w:tcPr>
          <w:p w14:paraId="5210FBA5" w14:textId="301DF4A8" w:rsidR="000144FF" w:rsidRPr="001E6A24" w:rsidRDefault="000144FF">
            <w:pPr>
              <w:pStyle w:val="TableText"/>
              <w:tabs>
                <w:tab w:val="left" w:pos="3306"/>
              </w:tabs>
              <w:rPr>
                <w:rFonts w:cs="Calibri"/>
              </w:rPr>
            </w:pPr>
            <w:r w:rsidRPr="001E6A24">
              <w:rPr>
                <w:rFonts w:cs="Calibri"/>
              </w:rPr>
              <w:t>Legal Expenses</w:t>
            </w:r>
            <w:r w:rsidRPr="001E6A24">
              <w:rPr>
                <w:rFonts w:cs="Calibri"/>
                <w:vertAlign w:val="superscript"/>
              </w:rPr>
              <w:t>a</w:t>
            </w:r>
          </w:p>
        </w:tc>
        <w:tc>
          <w:tcPr>
            <w:tcW w:w="748" w:type="pct"/>
            <w:gridSpan w:val="4"/>
            <w:tcBorders>
              <w:top w:val="nil"/>
              <w:left w:val="nil"/>
              <w:bottom w:val="nil"/>
              <w:right w:val="nil"/>
            </w:tcBorders>
            <w:vAlign w:val="bottom"/>
          </w:tcPr>
          <w:p w14:paraId="7092D1FD" w14:textId="7D6F5C1B"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4B8ECA13" w14:textId="3A80E21E" w:rsidR="000144FF" w:rsidRPr="001E6A24" w:rsidRDefault="000144FF">
            <w:pPr>
              <w:pStyle w:val="TableText"/>
              <w:tabs>
                <w:tab w:val="left" w:pos="3306"/>
              </w:tabs>
              <w:jc w:val="right"/>
              <w:rPr>
                <w:rFonts w:cs="Calibri"/>
              </w:rPr>
            </w:pPr>
          </w:p>
        </w:tc>
      </w:tr>
      <w:tr w:rsidR="000144FF" w:rsidRPr="00CF7E1B" w14:paraId="19EA4230"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995C28A"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4154FDC7" w14:textId="083FAE65" w:rsidR="000144FF" w:rsidRPr="001E6A24" w:rsidRDefault="000144FF">
            <w:pPr>
              <w:pStyle w:val="TableText"/>
              <w:tabs>
                <w:tab w:val="left" w:pos="3306"/>
              </w:tabs>
              <w:rPr>
                <w:rFonts w:cs="Calibri"/>
              </w:rPr>
            </w:pPr>
            <w:r w:rsidRPr="001E6A24">
              <w:rPr>
                <w:rFonts w:cs="Calibri"/>
              </w:rPr>
              <w:t>Contractors and Consultants</w:t>
            </w:r>
            <w:r w:rsidRPr="001E6A24">
              <w:rPr>
                <w:rFonts w:cs="Calibri"/>
                <w:vertAlign w:val="superscript"/>
              </w:rPr>
              <w:t>b</w:t>
            </w:r>
            <w:r w:rsidRPr="001E6A24">
              <w:rPr>
                <w:rFonts w:cs="Calibri"/>
              </w:rPr>
              <w:t xml:space="preserve"> </w:t>
            </w:r>
          </w:p>
        </w:tc>
        <w:tc>
          <w:tcPr>
            <w:tcW w:w="748" w:type="pct"/>
            <w:gridSpan w:val="4"/>
            <w:tcBorders>
              <w:top w:val="nil"/>
              <w:left w:val="nil"/>
              <w:bottom w:val="nil"/>
              <w:right w:val="nil"/>
            </w:tcBorders>
            <w:vAlign w:val="bottom"/>
          </w:tcPr>
          <w:p w14:paraId="7498865E" w14:textId="4EFD414A"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1A67C481" w14:textId="342D7564" w:rsidR="000144FF" w:rsidRPr="001E6A24" w:rsidRDefault="000144FF">
            <w:pPr>
              <w:pStyle w:val="TableText"/>
              <w:tabs>
                <w:tab w:val="left" w:pos="3306"/>
              </w:tabs>
              <w:jc w:val="right"/>
              <w:rPr>
                <w:rFonts w:cs="Calibri"/>
              </w:rPr>
            </w:pPr>
          </w:p>
        </w:tc>
      </w:tr>
      <w:tr w:rsidR="000144FF" w:rsidRPr="00CF7E1B" w14:paraId="08D5D7FF"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AF9DD31"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6EA76BA7" w14:textId="0E12189C" w:rsidR="000144FF" w:rsidRPr="001E6A24" w:rsidRDefault="000144FF">
            <w:pPr>
              <w:pStyle w:val="TableText"/>
              <w:tabs>
                <w:tab w:val="left" w:pos="3306"/>
              </w:tabs>
              <w:rPr>
                <w:rFonts w:cs="Calibri"/>
              </w:rPr>
            </w:pPr>
            <w:r w:rsidRPr="001E6A24">
              <w:rPr>
                <w:rFonts w:cs="Calibri"/>
              </w:rPr>
              <w:t>Consumable Stores and Supplies</w:t>
            </w:r>
            <w:r w:rsidRPr="001E6A24">
              <w:rPr>
                <w:rFonts w:cs="Calibri"/>
                <w:vertAlign w:val="superscript"/>
              </w:rPr>
              <w:t>c</w:t>
            </w:r>
          </w:p>
        </w:tc>
        <w:tc>
          <w:tcPr>
            <w:tcW w:w="748" w:type="pct"/>
            <w:gridSpan w:val="4"/>
            <w:tcBorders>
              <w:top w:val="nil"/>
              <w:left w:val="nil"/>
              <w:bottom w:val="nil"/>
              <w:right w:val="nil"/>
            </w:tcBorders>
            <w:vAlign w:val="bottom"/>
          </w:tcPr>
          <w:p w14:paraId="27D9D11E" w14:textId="7BDCF48F"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6A3831A8" w14:textId="64BE840E" w:rsidR="000144FF" w:rsidRPr="001E6A24" w:rsidRDefault="000144FF">
            <w:pPr>
              <w:pStyle w:val="TableText"/>
              <w:tabs>
                <w:tab w:val="left" w:pos="3306"/>
              </w:tabs>
              <w:jc w:val="right"/>
              <w:rPr>
                <w:rFonts w:cs="Calibri"/>
              </w:rPr>
            </w:pPr>
          </w:p>
        </w:tc>
      </w:tr>
      <w:tr w:rsidR="000144FF" w:rsidRPr="00CF7E1B" w14:paraId="41733E4F"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ECBFC93"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42A549F3" w14:textId="77777777" w:rsidR="000144FF" w:rsidRPr="001E6A24" w:rsidRDefault="000144FF">
            <w:pPr>
              <w:pStyle w:val="TableText"/>
              <w:tabs>
                <w:tab w:val="left" w:pos="3306"/>
              </w:tabs>
              <w:rPr>
                <w:rFonts w:cs="Calibri"/>
              </w:rPr>
            </w:pPr>
            <w:r w:rsidRPr="001E6A24">
              <w:rPr>
                <w:rFonts w:cs="Calibri"/>
              </w:rPr>
              <w:t>Valuation Services</w:t>
            </w:r>
          </w:p>
        </w:tc>
        <w:tc>
          <w:tcPr>
            <w:tcW w:w="748" w:type="pct"/>
            <w:gridSpan w:val="4"/>
            <w:tcBorders>
              <w:top w:val="nil"/>
              <w:left w:val="nil"/>
              <w:bottom w:val="nil"/>
              <w:right w:val="nil"/>
            </w:tcBorders>
            <w:vAlign w:val="bottom"/>
          </w:tcPr>
          <w:p w14:paraId="5A12D21B" w14:textId="7EA51E0E"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1F13460E" w14:textId="669F0C3B" w:rsidR="000144FF" w:rsidRPr="001E6A24" w:rsidRDefault="000144FF">
            <w:pPr>
              <w:pStyle w:val="TableText"/>
              <w:tabs>
                <w:tab w:val="left" w:pos="3306"/>
              </w:tabs>
              <w:jc w:val="right"/>
              <w:rPr>
                <w:rFonts w:cs="Calibri"/>
              </w:rPr>
            </w:pPr>
          </w:p>
        </w:tc>
      </w:tr>
      <w:tr w:rsidR="000144FF" w:rsidRPr="00CF7E1B" w14:paraId="042A678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D2A3184"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56BA8678" w14:textId="77777777" w:rsidR="000144FF" w:rsidRPr="001E6A24" w:rsidRDefault="000144FF">
            <w:pPr>
              <w:pStyle w:val="TableText"/>
              <w:tabs>
                <w:tab w:val="left" w:pos="3306"/>
              </w:tabs>
              <w:rPr>
                <w:rFonts w:cs="Calibri"/>
              </w:rPr>
            </w:pPr>
            <w:r w:rsidRPr="001E6A24">
              <w:rPr>
                <w:rFonts w:cs="Calibri"/>
              </w:rPr>
              <w:t>Hire Charges</w:t>
            </w:r>
          </w:p>
        </w:tc>
        <w:tc>
          <w:tcPr>
            <w:tcW w:w="748" w:type="pct"/>
            <w:gridSpan w:val="4"/>
            <w:tcBorders>
              <w:top w:val="nil"/>
              <w:left w:val="nil"/>
              <w:bottom w:val="nil"/>
              <w:right w:val="nil"/>
            </w:tcBorders>
            <w:vAlign w:val="bottom"/>
          </w:tcPr>
          <w:p w14:paraId="4CC58AA0" w14:textId="630F4E7E"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5163FE94" w14:textId="1F7EEB23" w:rsidR="000144FF" w:rsidRPr="001E6A24" w:rsidRDefault="000144FF">
            <w:pPr>
              <w:pStyle w:val="TableText"/>
              <w:tabs>
                <w:tab w:val="left" w:pos="3306"/>
              </w:tabs>
              <w:jc w:val="right"/>
              <w:rPr>
                <w:rFonts w:cs="Calibri"/>
              </w:rPr>
            </w:pPr>
          </w:p>
        </w:tc>
      </w:tr>
      <w:tr w:rsidR="000144FF" w:rsidRPr="00CF7E1B" w14:paraId="3E140F21"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9D2983B"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4F2708BE" w14:textId="77777777" w:rsidR="000144FF" w:rsidRPr="001E6A24" w:rsidRDefault="000144FF">
            <w:pPr>
              <w:pStyle w:val="TableText"/>
              <w:tabs>
                <w:tab w:val="left" w:pos="3306"/>
              </w:tabs>
              <w:rPr>
                <w:rFonts w:cs="Calibri"/>
              </w:rPr>
            </w:pPr>
            <w:r w:rsidRPr="001E6A24">
              <w:rPr>
                <w:rFonts w:cs="Calibri"/>
              </w:rPr>
              <w:t>Utilities</w:t>
            </w:r>
          </w:p>
        </w:tc>
        <w:tc>
          <w:tcPr>
            <w:tcW w:w="748" w:type="pct"/>
            <w:gridSpan w:val="4"/>
            <w:tcBorders>
              <w:top w:val="nil"/>
              <w:left w:val="nil"/>
              <w:bottom w:val="nil"/>
              <w:right w:val="nil"/>
            </w:tcBorders>
            <w:vAlign w:val="bottom"/>
          </w:tcPr>
          <w:p w14:paraId="27873DC9" w14:textId="72749548"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0A5A1CEB" w14:textId="5D431B20" w:rsidR="000144FF" w:rsidRPr="001E6A24" w:rsidRDefault="000144FF">
            <w:pPr>
              <w:pStyle w:val="TableText"/>
              <w:tabs>
                <w:tab w:val="left" w:pos="3306"/>
              </w:tabs>
              <w:jc w:val="right"/>
              <w:rPr>
                <w:rFonts w:cs="Calibri"/>
              </w:rPr>
            </w:pPr>
          </w:p>
        </w:tc>
      </w:tr>
      <w:tr w:rsidR="000144FF" w:rsidRPr="00CF7E1B" w14:paraId="16158C8A"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229541D4"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530B1783" w14:textId="6746C9D3" w:rsidR="000144FF" w:rsidRPr="001E6A24" w:rsidRDefault="000144FF">
            <w:pPr>
              <w:pStyle w:val="TableText"/>
              <w:tabs>
                <w:tab w:val="left" w:pos="3306"/>
              </w:tabs>
              <w:rPr>
                <w:rFonts w:cs="Calibri"/>
              </w:rPr>
            </w:pPr>
            <w:r w:rsidRPr="001E6A24">
              <w:rPr>
                <w:rFonts w:cs="Calibri"/>
              </w:rPr>
              <w:t>Insurance</w:t>
            </w:r>
            <w:r w:rsidRPr="001E6A24">
              <w:rPr>
                <w:rFonts w:cs="Calibri"/>
                <w:vertAlign w:val="superscript"/>
              </w:rPr>
              <w:t>d</w:t>
            </w:r>
          </w:p>
        </w:tc>
        <w:tc>
          <w:tcPr>
            <w:tcW w:w="748" w:type="pct"/>
            <w:gridSpan w:val="4"/>
            <w:tcBorders>
              <w:top w:val="nil"/>
              <w:left w:val="nil"/>
              <w:bottom w:val="nil"/>
              <w:right w:val="nil"/>
            </w:tcBorders>
            <w:vAlign w:val="bottom"/>
          </w:tcPr>
          <w:p w14:paraId="6B91F0F3" w14:textId="1182056C"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58D59DDA" w14:textId="7D8FD241" w:rsidR="000144FF" w:rsidRPr="001E6A24" w:rsidRDefault="000144FF">
            <w:pPr>
              <w:pStyle w:val="TableText"/>
              <w:tabs>
                <w:tab w:val="left" w:pos="3306"/>
              </w:tabs>
              <w:jc w:val="right"/>
              <w:rPr>
                <w:rFonts w:cs="Calibri"/>
              </w:rPr>
            </w:pPr>
          </w:p>
        </w:tc>
      </w:tr>
      <w:tr w:rsidR="000144FF" w:rsidRPr="00CF7E1B" w14:paraId="4EBFD535"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53BD4387"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1ED47121" w14:textId="77777777" w:rsidR="000144FF" w:rsidRPr="001E6A24" w:rsidRDefault="000144FF">
            <w:pPr>
              <w:pStyle w:val="TableText"/>
              <w:tabs>
                <w:tab w:val="left" w:pos="3306"/>
              </w:tabs>
              <w:rPr>
                <w:rFonts w:cs="Calibri"/>
              </w:rPr>
            </w:pPr>
            <w:r w:rsidRPr="001E6A24">
              <w:rPr>
                <w:rFonts w:cs="Calibri"/>
              </w:rPr>
              <w:t>Computing Costs</w:t>
            </w:r>
          </w:p>
        </w:tc>
        <w:tc>
          <w:tcPr>
            <w:tcW w:w="748" w:type="pct"/>
            <w:gridSpan w:val="4"/>
            <w:tcBorders>
              <w:top w:val="nil"/>
              <w:left w:val="nil"/>
              <w:bottom w:val="nil"/>
              <w:right w:val="nil"/>
            </w:tcBorders>
            <w:vAlign w:val="bottom"/>
          </w:tcPr>
          <w:p w14:paraId="5704C5B8" w14:textId="35D6A058"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6D220FAA" w14:textId="4416B2D0" w:rsidR="000144FF" w:rsidRPr="001E6A24" w:rsidRDefault="000144FF">
            <w:pPr>
              <w:pStyle w:val="TableText"/>
              <w:tabs>
                <w:tab w:val="left" w:pos="3306"/>
              </w:tabs>
              <w:jc w:val="right"/>
              <w:rPr>
                <w:rFonts w:cs="Calibri"/>
              </w:rPr>
            </w:pPr>
          </w:p>
        </w:tc>
      </w:tr>
      <w:tr w:rsidR="000144FF" w:rsidRPr="00CF7E1B" w14:paraId="22E3D225"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0633430"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68D5D86C" w14:textId="21B9837D" w:rsidR="000144FF" w:rsidRPr="001E6A24" w:rsidRDefault="000144FF">
            <w:pPr>
              <w:pStyle w:val="TableText"/>
              <w:tabs>
                <w:tab w:val="left" w:pos="3306"/>
              </w:tabs>
              <w:rPr>
                <w:rFonts w:cs="Calibri"/>
              </w:rPr>
            </w:pPr>
            <w:r w:rsidRPr="001E6A24">
              <w:rPr>
                <w:rFonts w:cs="Calibri"/>
              </w:rPr>
              <w:t>Repairs and Maintenance</w:t>
            </w:r>
            <w:r w:rsidRPr="001E6A24">
              <w:rPr>
                <w:rFonts w:cs="Calibri"/>
                <w:vertAlign w:val="superscript"/>
              </w:rPr>
              <w:t>e</w:t>
            </w:r>
          </w:p>
        </w:tc>
        <w:tc>
          <w:tcPr>
            <w:tcW w:w="748" w:type="pct"/>
            <w:gridSpan w:val="4"/>
            <w:tcBorders>
              <w:top w:val="nil"/>
              <w:left w:val="nil"/>
              <w:bottom w:val="nil"/>
              <w:right w:val="nil"/>
            </w:tcBorders>
            <w:vAlign w:val="bottom"/>
          </w:tcPr>
          <w:p w14:paraId="6EDC8FE8" w14:textId="66732BB8"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1E89ADF8" w14:textId="05D20E17" w:rsidR="000144FF" w:rsidRPr="001E6A24" w:rsidRDefault="000144FF">
            <w:pPr>
              <w:pStyle w:val="TableText"/>
              <w:tabs>
                <w:tab w:val="left" w:pos="3306"/>
              </w:tabs>
              <w:jc w:val="right"/>
              <w:rPr>
                <w:rFonts w:cs="Calibri"/>
              </w:rPr>
            </w:pPr>
          </w:p>
        </w:tc>
      </w:tr>
      <w:tr w:rsidR="000144FF" w:rsidRPr="00CF7E1B" w14:paraId="207B5FD1"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901A11F"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6E8EE745" w14:textId="77777777" w:rsidR="000144FF" w:rsidRPr="001E6A24" w:rsidRDefault="000144FF">
            <w:pPr>
              <w:pStyle w:val="TableText"/>
              <w:tabs>
                <w:tab w:val="left" w:pos="3306"/>
              </w:tabs>
              <w:rPr>
                <w:rFonts w:cs="Calibri"/>
              </w:rPr>
            </w:pPr>
            <w:r w:rsidRPr="001E6A24">
              <w:rPr>
                <w:rFonts w:cs="Calibri"/>
              </w:rPr>
              <w:t xml:space="preserve">Printing </w:t>
            </w:r>
          </w:p>
        </w:tc>
        <w:tc>
          <w:tcPr>
            <w:tcW w:w="748" w:type="pct"/>
            <w:gridSpan w:val="4"/>
            <w:tcBorders>
              <w:top w:val="nil"/>
              <w:left w:val="nil"/>
              <w:bottom w:val="nil"/>
              <w:right w:val="nil"/>
            </w:tcBorders>
            <w:vAlign w:val="bottom"/>
          </w:tcPr>
          <w:p w14:paraId="7B4B2711" w14:textId="0942D9A0"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0D26B1B0" w14:textId="6B6127DA" w:rsidR="000144FF" w:rsidRPr="001E6A24" w:rsidRDefault="000144FF">
            <w:pPr>
              <w:pStyle w:val="TableText"/>
              <w:tabs>
                <w:tab w:val="left" w:pos="3306"/>
              </w:tabs>
              <w:jc w:val="right"/>
              <w:rPr>
                <w:rFonts w:cs="Calibri"/>
              </w:rPr>
            </w:pPr>
          </w:p>
        </w:tc>
      </w:tr>
      <w:tr w:rsidR="000144FF" w:rsidRPr="00CF7E1B" w14:paraId="393BF7E3"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8179537"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7BC432F9" w14:textId="77777777" w:rsidR="000144FF" w:rsidRPr="001E6A24" w:rsidRDefault="000144FF">
            <w:pPr>
              <w:pStyle w:val="TableText"/>
              <w:tabs>
                <w:tab w:val="left" w:pos="3306"/>
              </w:tabs>
              <w:rPr>
                <w:rFonts w:cs="Calibri"/>
              </w:rPr>
            </w:pPr>
            <w:r w:rsidRPr="001E6A24">
              <w:rPr>
                <w:rFonts w:cs="Calibri"/>
              </w:rPr>
              <w:t>Communications</w:t>
            </w:r>
          </w:p>
        </w:tc>
        <w:tc>
          <w:tcPr>
            <w:tcW w:w="748" w:type="pct"/>
            <w:gridSpan w:val="4"/>
            <w:tcBorders>
              <w:top w:val="nil"/>
              <w:left w:val="nil"/>
              <w:bottom w:val="nil"/>
              <w:right w:val="nil"/>
            </w:tcBorders>
            <w:vAlign w:val="bottom"/>
          </w:tcPr>
          <w:p w14:paraId="30E46C0D" w14:textId="6D8BB9FF"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4611F049" w14:textId="64A37350" w:rsidR="000144FF" w:rsidRPr="001E6A24" w:rsidRDefault="000144FF">
            <w:pPr>
              <w:pStyle w:val="TableText"/>
              <w:tabs>
                <w:tab w:val="left" w:pos="3306"/>
              </w:tabs>
              <w:jc w:val="right"/>
              <w:rPr>
                <w:rFonts w:cs="Calibri"/>
              </w:rPr>
            </w:pPr>
          </w:p>
        </w:tc>
      </w:tr>
      <w:tr w:rsidR="000144FF" w:rsidRPr="00CF7E1B" w14:paraId="171A8C23"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CA1915C"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6D5264B7" w14:textId="77777777" w:rsidR="000144FF" w:rsidRPr="001E6A24" w:rsidRDefault="000144FF">
            <w:pPr>
              <w:pStyle w:val="TableText"/>
              <w:tabs>
                <w:tab w:val="left" w:pos="3306"/>
              </w:tabs>
              <w:rPr>
                <w:rFonts w:cs="Calibri"/>
              </w:rPr>
            </w:pPr>
            <w:r w:rsidRPr="001E6A24">
              <w:rPr>
                <w:rFonts w:cs="Calibri"/>
              </w:rPr>
              <w:t>Publications</w:t>
            </w:r>
          </w:p>
        </w:tc>
        <w:tc>
          <w:tcPr>
            <w:tcW w:w="748" w:type="pct"/>
            <w:gridSpan w:val="4"/>
            <w:tcBorders>
              <w:top w:val="nil"/>
              <w:left w:val="nil"/>
              <w:bottom w:val="nil"/>
              <w:right w:val="nil"/>
            </w:tcBorders>
            <w:vAlign w:val="bottom"/>
          </w:tcPr>
          <w:p w14:paraId="0CEEA8B6" w14:textId="47852F52"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3ACAF4B5" w14:textId="246B6818" w:rsidR="000144FF" w:rsidRPr="001E6A24" w:rsidRDefault="000144FF">
            <w:pPr>
              <w:pStyle w:val="TableText"/>
              <w:tabs>
                <w:tab w:val="left" w:pos="3306"/>
              </w:tabs>
              <w:jc w:val="right"/>
              <w:rPr>
                <w:rFonts w:cs="Calibri"/>
              </w:rPr>
            </w:pPr>
          </w:p>
        </w:tc>
      </w:tr>
      <w:tr w:rsidR="000144FF" w:rsidRPr="00CF7E1B" w14:paraId="1CF89586"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07EE005"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4E6520B1" w14:textId="77777777" w:rsidR="000144FF" w:rsidRPr="001E6A24" w:rsidRDefault="000144FF">
            <w:pPr>
              <w:pStyle w:val="TableText"/>
              <w:tabs>
                <w:tab w:val="left" w:pos="3306"/>
              </w:tabs>
              <w:rPr>
                <w:rFonts w:cs="Calibri"/>
              </w:rPr>
            </w:pPr>
            <w:r w:rsidRPr="001E6A24">
              <w:rPr>
                <w:rFonts w:cs="Calibri"/>
              </w:rPr>
              <w:t>Postage and Courier</w:t>
            </w:r>
          </w:p>
        </w:tc>
        <w:tc>
          <w:tcPr>
            <w:tcW w:w="748" w:type="pct"/>
            <w:gridSpan w:val="4"/>
            <w:tcBorders>
              <w:top w:val="nil"/>
              <w:left w:val="nil"/>
              <w:bottom w:val="nil"/>
              <w:right w:val="nil"/>
            </w:tcBorders>
            <w:vAlign w:val="bottom"/>
          </w:tcPr>
          <w:p w14:paraId="18A41054" w14:textId="381A0E8D"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69131AD0" w14:textId="5B752505" w:rsidR="000144FF" w:rsidRPr="001E6A24" w:rsidRDefault="000144FF">
            <w:pPr>
              <w:pStyle w:val="TableText"/>
              <w:tabs>
                <w:tab w:val="left" w:pos="3306"/>
              </w:tabs>
              <w:jc w:val="right"/>
              <w:rPr>
                <w:rFonts w:cs="Calibri"/>
              </w:rPr>
            </w:pPr>
          </w:p>
        </w:tc>
      </w:tr>
      <w:tr w:rsidR="000144FF" w:rsidRPr="00CF7E1B" w14:paraId="26A933D3"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78D081B"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487C9FCB" w14:textId="77777777" w:rsidR="000144FF" w:rsidRPr="001E6A24" w:rsidRDefault="000144FF">
            <w:pPr>
              <w:pStyle w:val="TableText"/>
              <w:tabs>
                <w:tab w:val="left" w:pos="3306"/>
              </w:tabs>
              <w:rPr>
                <w:rFonts w:cs="Calibri"/>
              </w:rPr>
            </w:pPr>
            <w:r w:rsidRPr="001E6A24">
              <w:rPr>
                <w:rFonts w:cs="Calibri"/>
              </w:rPr>
              <w:t>Staff Development</w:t>
            </w:r>
          </w:p>
        </w:tc>
        <w:tc>
          <w:tcPr>
            <w:tcW w:w="748" w:type="pct"/>
            <w:gridSpan w:val="4"/>
            <w:tcBorders>
              <w:top w:val="nil"/>
              <w:left w:val="nil"/>
              <w:bottom w:val="nil"/>
              <w:right w:val="nil"/>
            </w:tcBorders>
            <w:vAlign w:val="bottom"/>
          </w:tcPr>
          <w:p w14:paraId="700AFA1F" w14:textId="3DCA7518"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702A6D1F" w14:textId="5AAD19FA" w:rsidR="000144FF" w:rsidRPr="001E6A24" w:rsidRDefault="000144FF">
            <w:pPr>
              <w:pStyle w:val="TableText"/>
              <w:tabs>
                <w:tab w:val="left" w:pos="3306"/>
              </w:tabs>
              <w:jc w:val="right"/>
              <w:rPr>
                <w:rFonts w:cs="Calibri"/>
              </w:rPr>
            </w:pPr>
          </w:p>
        </w:tc>
      </w:tr>
      <w:tr w:rsidR="000144FF" w:rsidRPr="00CF7E1B" w14:paraId="7BB3E7F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435FF57"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669196B4" w14:textId="77777777" w:rsidR="000144FF" w:rsidRPr="001E6A24" w:rsidRDefault="000144FF">
            <w:pPr>
              <w:pStyle w:val="TableText"/>
              <w:tabs>
                <w:tab w:val="left" w:pos="3306"/>
              </w:tabs>
              <w:rPr>
                <w:rFonts w:cs="Calibri"/>
              </w:rPr>
            </w:pPr>
            <w:r w:rsidRPr="001E6A24">
              <w:rPr>
                <w:rFonts w:cs="Calibri"/>
              </w:rPr>
              <w:t>Stationery</w:t>
            </w:r>
          </w:p>
        </w:tc>
        <w:tc>
          <w:tcPr>
            <w:tcW w:w="748" w:type="pct"/>
            <w:gridSpan w:val="4"/>
            <w:tcBorders>
              <w:top w:val="nil"/>
              <w:left w:val="nil"/>
              <w:bottom w:val="nil"/>
              <w:right w:val="nil"/>
            </w:tcBorders>
            <w:vAlign w:val="bottom"/>
          </w:tcPr>
          <w:p w14:paraId="7A4F5905" w14:textId="298C590B"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511708A8" w14:textId="1AFAFB6E" w:rsidR="000144FF" w:rsidRPr="001E6A24" w:rsidRDefault="000144FF">
            <w:pPr>
              <w:pStyle w:val="TableText"/>
              <w:tabs>
                <w:tab w:val="left" w:pos="3306"/>
              </w:tabs>
              <w:jc w:val="right"/>
              <w:rPr>
                <w:rFonts w:cs="Calibri"/>
              </w:rPr>
            </w:pPr>
          </w:p>
        </w:tc>
      </w:tr>
      <w:tr w:rsidR="000144FF" w:rsidRPr="00CF7E1B" w14:paraId="02C6728C"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FD73E95"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3F88AF2C" w14:textId="77777777" w:rsidR="000144FF" w:rsidRPr="001E6A24" w:rsidRDefault="000144FF">
            <w:pPr>
              <w:pStyle w:val="TableText"/>
              <w:tabs>
                <w:tab w:val="left" w:pos="3306"/>
              </w:tabs>
              <w:rPr>
                <w:rFonts w:cs="Calibri"/>
              </w:rPr>
            </w:pPr>
            <w:r w:rsidRPr="001E6A24">
              <w:rPr>
                <w:rFonts w:cs="Calibri"/>
              </w:rPr>
              <w:t>IT Services</w:t>
            </w:r>
          </w:p>
        </w:tc>
        <w:tc>
          <w:tcPr>
            <w:tcW w:w="748" w:type="pct"/>
            <w:gridSpan w:val="4"/>
            <w:tcBorders>
              <w:top w:val="nil"/>
              <w:left w:val="nil"/>
              <w:bottom w:val="nil"/>
              <w:right w:val="nil"/>
            </w:tcBorders>
            <w:vAlign w:val="bottom"/>
          </w:tcPr>
          <w:p w14:paraId="79B50B0A" w14:textId="38859AAF"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31757997" w14:textId="0840C9AD" w:rsidR="000144FF" w:rsidRPr="001E6A24" w:rsidRDefault="000144FF">
            <w:pPr>
              <w:pStyle w:val="TableText"/>
              <w:tabs>
                <w:tab w:val="left" w:pos="3306"/>
              </w:tabs>
              <w:jc w:val="right"/>
              <w:rPr>
                <w:rFonts w:cs="Calibri"/>
              </w:rPr>
            </w:pPr>
          </w:p>
        </w:tc>
      </w:tr>
      <w:tr w:rsidR="000144FF" w:rsidRPr="00CF7E1B" w14:paraId="43B2FFAC"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2250C6D" w14:textId="77777777" w:rsidR="000144FF" w:rsidRPr="001E6A24" w:rsidRDefault="000144FF">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325A617B" w14:textId="77777777" w:rsidR="000144FF" w:rsidRPr="001E6A24" w:rsidRDefault="000144FF">
            <w:pPr>
              <w:pStyle w:val="TableText"/>
              <w:tabs>
                <w:tab w:val="left" w:pos="3306"/>
              </w:tabs>
              <w:rPr>
                <w:rFonts w:cs="Calibri"/>
              </w:rPr>
            </w:pPr>
            <w:r w:rsidRPr="001E6A24">
              <w:rPr>
                <w:rFonts w:cs="Calibri"/>
              </w:rPr>
              <w:t>Travel</w:t>
            </w:r>
          </w:p>
        </w:tc>
        <w:tc>
          <w:tcPr>
            <w:tcW w:w="748" w:type="pct"/>
            <w:gridSpan w:val="4"/>
            <w:tcBorders>
              <w:top w:val="nil"/>
              <w:left w:val="nil"/>
              <w:bottom w:val="nil"/>
              <w:right w:val="nil"/>
            </w:tcBorders>
            <w:vAlign w:val="bottom"/>
          </w:tcPr>
          <w:p w14:paraId="505A78C9" w14:textId="2EAFE592"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39D88D56" w14:textId="788C052F" w:rsidR="000144FF" w:rsidRPr="001E6A24" w:rsidRDefault="000144FF">
            <w:pPr>
              <w:pStyle w:val="TableText"/>
              <w:tabs>
                <w:tab w:val="left" w:pos="3306"/>
              </w:tabs>
              <w:jc w:val="right"/>
              <w:rPr>
                <w:rFonts w:cs="Calibri"/>
              </w:rPr>
            </w:pPr>
          </w:p>
        </w:tc>
      </w:tr>
      <w:tr w:rsidR="00C34B84" w:rsidRPr="00CF7E1B" w14:paraId="6367AE8E"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7265D5BB" w14:textId="77777777" w:rsidR="00C34B84" w:rsidRPr="001E6A24" w:rsidRDefault="00C34B84" w:rsidP="0085213D">
            <w:pPr>
              <w:pStyle w:val="TableReference"/>
              <w:tabs>
                <w:tab w:val="left" w:pos="3306"/>
              </w:tabs>
              <w:spacing w:before="40"/>
              <w:rPr>
                <w:rFonts w:cs="Calibri"/>
                <w:strike/>
                <w:color w:val="7030A0"/>
                <w:sz w:val="16"/>
                <w:szCs w:val="16"/>
              </w:rPr>
            </w:pPr>
          </w:p>
        </w:tc>
        <w:tc>
          <w:tcPr>
            <w:tcW w:w="2803" w:type="pct"/>
            <w:gridSpan w:val="5"/>
            <w:tcBorders>
              <w:top w:val="nil"/>
              <w:left w:val="single" w:sz="2" w:space="0" w:color="auto"/>
              <w:bottom w:val="nil"/>
              <w:right w:val="nil"/>
            </w:tcBorders>
            <w:vAlign w:val="bottom"/>
          </w:tcPr>
          <w:p w14:paraId="47C56C15" w14:textId="5656BDB8" w:rsidR="00C34B84" w:rsidRPr="001E6A24" w:rsidRDefault="00C34B84">
            <w:pPr>
              <w:pStyle w:val="TableText"/>
              <w:tabs>
                <w:tab w:val="left" w:pos="3306"/>
              </w:tabs>
            </w:pPr>
            <w:r w:rsidRPr="001E6A24">
              <w:t>Non-</w:t>
            </w:r>
            <w:r w:rsidR="00B076DD" w:rsidRPr="001E6A24">
              <w:t>S</w:t>
            </w:r>
            <w:r w:rsidRPr="001E6A24">
              <w:t>pecialised Accommodation Lease Payment Expense</w:t>
            </w:r>
          </w:p>
        </w:tc>
        <w:tc>
          <w:tcPr>
            <w:tcW w:w="748" w:type="pct"/>
            <w:gridSpan w:val="4"/>
            <w:tcBorders>
              <w:top w:val="nil"/>
              <w:left w:val="nil"/>
              <w:bottom w:val="nil"/>
              <w:right w:val="nil"/>
            </w:tcBorders>
            <w:vAlign w:val="bottom"/>
          </w:tcPr>
          <w:p w14:paraId="7BD032EC" w14:textId="77777777" w:rsidR="00C34B84" w:rsidRPr="001E6A24" w:rsidRDefault="00C34B84">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7D3E8B01" w14:textId="77777777" w:rsidR="00C34B84" w:rsidRPr="001E6A24" w:rsidRDefault="00C34B84">
            <w:pPr>
              <w:pStyle w:val="TableText"/>
              <w:tabs>
                <w:tab w:val="left" w:pos="3306"/>
              </w:tabs>
              <w:jc w:val="right"/>
              <w:rPr>
                <w:rFonts w:cs="Calibri"/>
              </w:rPr>
            </w:pPr>
          </w:p>
        </w:tc>
      </w:tr>
      <w:tr w:rsidR="0039689F" w:rsidRPr="00CF7E1B" w14:paraId="2D0E294A"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77E53620" w14:textId="54811AA3"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16.53(c)</w:t>
            </w:r>
          </w:p>
        </w:tc>
        <w:tc>
          <w:tcPr>
            <w:tcW w:w="2803" w:type="pct"/>
            <w:gridSpan w:val="5"/>
            <w:tcBorders>
              <w:top w:val="nil"/>
              <w:left w:val="single" w:sz="2" w:space="0" w:color="auto"/>
              <w:bottom w:val="nil"/>
              <w:right w:val="nil"/>
            </w:tcBorders>
            <w:vAlign w:val="bottom"/>
          </w:tcPr>
          <w:p w14:paraId="2F5A70B9" w14:textId="6A554946" w:rsidR="0039689F" w:rsidRPr="001E6A24" w:rsidRDefault="00C34B84">
            <w:pPr>
              <w:pStyle w:val="TableText"/>
              <w:tabs>
                <w:tab w:val="left" w:pos="3306"/>
              </w:tabs>
              <w:rPr>
                <w:rFonts w:cs="Calibri"/>
              </w:rPr>
            </w:pPr>
            <w:r w:rsidRPr="001E6A24">
              <w:t xml:space="preserve">Expense </w:t>
            </w:r>
            <w:r w:rsidR="00B076DD" w:rsidRPr="001E6A24">
              <w:t>R</w:t>
            </w:r>
            <w:r w:rsidRPr="001E6A24">
              <w:t xml:space="preserve">elating to </w:t>
            </w:r>
            <w:r w:rsidR="00B076DD" w:rsidRPr="001E6A24">
              <w:t>S</w:t>
            </w:r>
            <w:r w:rsidRPr="001E6A24">
              <w:t>hort-</w:t>
            </w:r>
            <w:r w:rsidR="00B076DD" w:rsidRPr="001E6A24">
              <w:t>T</w:t>
            </w:r>
            <w:r w:rsidRPr="001E6A24">
              <w:t xml:space="preserve">erm </w:t>
            </w:r>
            <w:r w:rsidR="00B076DD" w:rsidRPr="001E6A24">
              <w:t>L</w:t>
            </w:r>
            <w:r w:rsidRPr="001E6A24">
              <w:t>eases</w:t>
            </w:r>
          </w:p>
        </w:tc>
        <w:tc>
          <w:tcPr>
            <w:tcW w:w="748" w:type="pct"/>
            <w:gridSpan w:val="4"/>
            <w:tcBorders>
              <w:top w:val="nil"/>
              <w:left w:val="nil"/>
              <w:bottom w:val="nil"/>
              <w:right w:val="nil"/>
            </w:tcBorders>
            <w:vAlign w:val="bottom"/>
          </w:tcPr>
          <w:p w14:paraId="3BA32FDD" w14:textId="77777777" w:rsidR="0039689F" w:rsidRPr="001E6A24" w:rsidRDefault="0039689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7E701623" w14:textId="77777777" w:rsidR="0039689F" w:rsidRPr="001E6A24" w:rsidRDefault="0039689F">
            <w:pPr>
              <w:pStyle w:val="TableText"/>
              <w:tabs>
                <w:tab w:val="left" w:pos="3306"/>
              </w:tabs>
              <w:jc w:val="right"/>
              <w:rPr>
                <w:rFonts w:cs="Calibri"/>
              </w:rPr>
            </w:pPr>
          </w:p>
        </w:tc>
      </w:tr>
      <w:tr w:rsidR="0039689F" w:rsidRPr="00CF7E1B" w14:paraId="2B52EC9F"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0BCB9CE8" w14:textId="34D35596"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16.53(d)</w:t>
            </w:r>
          </w:p>
        </w:tc>
        <w:tc>
          <w:tcPr>
            <w:tcW w:w="2803" w:type="pct"/>
            <w:gridSpan w:val="5"/>
            <w:tcBorders>
              <w:top w:val="nil"/>
              <w:left w:val="single" w:sz="2" w:space="0" w:color="auto"/>
              <w:bottom w:val="nil"/>
              <w:right w:val="nil"/>
            </w:tcBorders>
            <w:vAlign w:val="bottom"/>
          </w:tcPr>
          <w:p w14:paraId="1D4F1D2A" w14:textId="07C082CD" w:rsidR="0039689F" w:rsidRPr="001E6A24" w:rsidRDefault="00C34B84">
            <w:pPr>
              <w:pStyle w:val="TableText"/>
              <w:tabs>
                <w:tab w:val="left" w:pos="3306"/>
              </w:tabs>
              <w:rPr>
                <w:rFonts w:cs="Calibri"/>
              </w:rPr>
            </w:pPr>
            <w:r w:rsidRPr="001E6A24">
              <w:t xml:space="preserve">Expense </w:t>
            </w:r>
            <w:r w:rsidR="00B076DD" w:rsidRPr="001E6A24">
              <w:t>R</w:t>
            </w:r>
            <w:r w:rsidRPr="001E6A24">
              <w:t xml:space="preserve">elating to </w:t>
            </w:r>
            <w:r w:rsidR="00B076DD" w:rsidRPr="001E6A24">
              <w:t>L</w:t>
            </w:r>
            <w:r w:rsidRPr="001E6A24">
              <w:t xml:space="preserve">eases of </w:t>
            </w:r>
            <w:r w:rsidR="00B076DD" w:rsidRPr="001E6A24">
              <w:t>L</w:t>
            </w:r>
            <w:r w:rsidRPr="001E6A24">
              <w:t>ow-</w:t>
            </w:r>
            <w:r w:rsidR="00B076DD" w:rsidRPr="001E6A24">
              <w:t>V</w:t>
            </w:r>
            <w:r w:rsidRPr="001E6A24">
              <w:t xml:space="preserve">alue </w:t>
            </w:r>
            <w:r w:rsidR="00B076DD" w:rsidRPr="001E6A24">
              <w:t>A</w:t>
            </w:r>
            <w:r w:rsidRPr="001E6A24">
              <w:t>ssets</w:t>
            </w:r>
          </w:p>
        </w:tc>
        <w:tc>
          <w:tcPr>
            <w:tcW w:w="748" w:type="pct"/>
            <w:gridSpan w:val="4"/>
            <w:tcBorders>
              <w:top w:val="nil"/>
              <w:left w:val="nil"/>
              <w:bottom w:val="nil"/>
              <w:right w:val="nil"/>
            </w:tcBorders>
            <w:vAlign w:val="bottom"/>
          </w:tcPr>
          <w:p w14:paraId="7F1EA687" w14:textId="77777777" w:rsidR="0039689F" w:rsidRPr="001E6A24" w:rsidRDefault="0039689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55E773D1" w14:textId="77777777" w:rsidR="0039689F" w:rsidRPr="001E6A24" w:rsidRDefault="0039689F">
            <w:pPr>
              <w:pStyle w:val="TableText"/>
              <w:tabs>
                <w:tab w:val="left" w:pos="3306"/>
              </w:tabs>
              <w:jc w:val="right"/>
              <w:rPr>
                <w:rFonts w:cs="Calibri"/>
              </w:rPr>
            </w:pPr>
          </w:p>
        </w:tc>
      </w:tr>
      <w:tr w:rsidR="000144FF" w:rsidRPr="00CF7E1B" w14:paraId="08CEA363"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4F8A1403" w14:textId="0BD4D8F9" w:rsidR="000144FF" w:rsidRPr="001E6A24" w:rsidRDefault="000144FF" w:rsidP="0085213D">
            <w:pPr>
              <w:pStyle w:val="TableReference"/>
              <w:tabs>
                <w:tab w:val="left" w:pos="3306"/>
              </w:tabs>
              <w:spacing w:before="40"/>
              <w:rPr>
                <w:rFonts w:cs="Calibri"/>
                <w:strike/>
                <w:color w:val="7030A0"/>
                <w:sz w:val="16"/>
                <w:szCs w:val="16"/>
              </w:rPr>
            </w:pPr>
          </w:p>
        </w:tc>
        <w:tc>
          <w:tcPr>
            <w:tcW w:w="2803" w:type="pct"/>
            <w:gridSpan w:val="5"/>
            <w:tcBorders>
              <w:top w:val="nil"/>
              <w:left w:val="single" w:sz="2" w:space="0" w:color="auto"/>
              <w:bottom w:val="nil"/>
              <w:right w:val="nil"/>
            </w:tcBorders>
            <w:vAlign w:val="bottom"/>
          </w:tcPr>
          <w:p w14:paraId="7F2E980B" w14:textId="25BD9FB2" w:rsidR="000144FF" w:rsidRPr="001E6A24" w:rsidRDefault="000144FF">
            <w:pPr>
              <w:pStyle w:val="TableText"/>
              <w:tabs>
                <w:tab w:val="left" w:pos="3306"/>
              </w:tabs>
              <w:rPr>
                <w:rFonts w:cs="Calibri"/>
              </w:rPr>
            </w:pPr>
            <w:r w:rsidRPr="001E6A24">
              <w:rPr>
                <w:rFonts w:cs="Calibri"/>
              </w:rPr>
              <w:t>Rent</w:t>
            </w:r>
            <w:r w:rsidR="0008124A" w:rsidRPr="001E6A24">
              <w:rPr>
                <w:rFonts w:cs="Calibri"/>
              </w:rPr>
              <w:t>al Expense Arising from Sub-L</w:t>
            </w:r>
            <w:r w:rsidRPr="001E6A24">
              <w:rPr>
                <w:rFonts w:cs="Calibri"/>
              </w:rPr>
              <w:t>eases</w:t>
            </w:r>
          </w:p>
        </w:tc>
        <w:tc>
          <w:tcPr>
            <w:tcW w:w="748" w:type="pct"/>
            <w:gridSpan w:val="4"/>
            <w:tcBorders>
              <w:top w:val="nil"/>
              <w:left w:val="nil"/>
              <w:bottom w:val="nil"/>
              <w:right w:val="nil"/>
            </w:tcBorders>
            <w:vAlign w:val="bottom"/>
          </w:tcPr>
          <w:p w14:paraId="398BDFD9" w14:textId="0D1C57B3" w:rsidR="000144FF" w:rsidRPr="001E6A24" w:rsidRDefault="000144FF">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4617596E" w14:textId="0D764406" w:rsidR="000144FF" w:rsidRPr="001E6A24" w:rsidRDefault="000144FF">
            <w:pPr>
              <w:pStyle w:val="TableText"/>
              <w:tabs>
                <w:tab w:val="left" w:pos="3306"/>
              </w:tabs>
              <w:jc w:val="right"/>
              <w:rPr>
                <w:rFonts w:cs="Calibri"/>
              </w:rPr>
            </w:pPr>
          </w:p>
        </w:tc>
      </w:tr>
      <w:tr w:rsidR="00E659C7" w:rsidRPr="00CF7E1B" w14:paraId="03F30372"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279F6EF8" w14:textId="01ACB2C0" w:rsidR="00E659C7" w:rsidRPr="001E6A24" w:rsidRDefault="00C25808" w:rsidP="0085213D">
            <w:pPr>
              <w:pStyle w:val="TableReference"/>
              <w:tabs>
                <w:tab w:val="left" w:pos="3306"/>
              </w:tabs>
              <w:spacing w:before="40"/>
              <w:rPr>
                <w:rFonts w:cs="Calibri"/>
                <w:strike/>
                <w:color w:val="7030A0"/>
                <w:sz w:val="14"/>
              </w:rPr>
            </w:pPr>
            <w:r w:rsidRPr="001E6A24">
              <w:rPr>
                <w:color w:val="7030A0"/>
                <w:sz w:val="14"/>
              </w:rPr>
              <w:t>AASB 16.53(e)</w:t>
            </w:r>
          </w:p>
        </w:tc>
        <w:tc>
          <w:tcPr>
            <w:tcW w:w="2803" w:type="pct"/>
            <w:gridSpan w:val="5"/>
            <w:tcBorders>
              <w:top w:val="nil"/>
              <w:left w:val="single" w:sz="2" w:space="0" w:color="auto"/>
              <w:bottom w:val="nil"/>
              <w:right w:val="nil"/>
            </w:tcBorders>
            <w:vAlign w:val="bottom"/>
          </w:tcPr>
          <w:p w14:paraId="2A70F943" w14:textId="3C389A97" w:rsidR="00E659C7" w:rsidRPr="001E6A24" w:rsidRDefault="00E659C7">
            <w:pPr>
              <w:pStyle w:val="TableText"/>
              <w:tabs>
                <w:tab w:val="left" w:pos="3306"/>
              </w:tabs>
              <w:rPr>
                <w:rFonts w:cs="Calibri"/>
              </w:rPr>
            </w:pPr>
            <w:r w:rsidRPr="001E6A24">
              <w:rPr>
                <w:rFonts w:cstheme="minorHAnsi"/>
              </w:rPr>
              <w:t xml:space="preserve">Variable </w:t>
            </w:r>
            <w:r w:rsidR="00B076DD" w:rsidRPr="001E6A24">
              <w:rPr>
                <w:rFonts w:cstheme="minorHAnsi"/>
              </w:rPr>
              <w:t>L</w:t>
            </w:r>
            <w:r w:rsidRPr="001E6A24">
              <w:rPr>
                <w:rFonts w:cstheme="minorHAnsi"/>
              </w:rPr>
              <w:t xml:space="preserve">ease </w:t>
            </w:r>
            <w:r w:rsidR="00B076DD" w:rsidRPr="001E6A24">
              <w:rPr>
                <w:rFonts w:cstheme="minorHAnsi"/>
              </w:rPr>
              <w:t>P</w:t>
            </w:r>
            <w:r w:rsidRPr="001E6A24">
              <w:rPr>
                <w:rFonts w:cstheme="minorHAnsi"/>
              </w:rPr>
              <w:t xml:space="preserve">ayments based on </w:t>
            </w:r>
            <w:r w:rsidR="00B076DD" w:rsidRPr="001E6A24">
              <w:rPr>
                <w:rFonts w:cstheme="minorHAnsi"/>
              </w:rPr>
              <w:t>U</w:t>
            </w:r>
            <w:r w:rsidRPr="001E6A24">
              <w:rPr>
                <w:rFonts w:cstheme="minorHAnsi"/>
              </w:rPr>
              <w:t xml:space="preserve">sage not included in the </w:t>
            </w:r>
            <w:r w:rsidR="00B076DD" w:rsidRPr="001E6A24">
              <w:rPr>
                <w:rFonts w:cstheme="minorHAnsi"/>
              </w:rPr>
              <w:t>L</w:t>
            </w:r>
            <w:r w:rsidRPr="001E6A24">
              <w:rPr>
                <w:rFonts w:cstheme="minorHAnsi"/>
              </w:rPr>
              <w:t xml:space="preserve">ease </w:t>
            </w:r>
            <w:r w:rsidR="00B076DD" w:rsidRPr="001E6A24">
              <w:rPr>
                <w:rFonts w:cstheme="minorHAnsi"/>
              </w:rPr>
              <w:t>L</w:t>
            </w:r>
            <w:r w:rsidRPr="001E6A24">
              <w:rPr>
                <w:rFonts w:cstheme="minorHAnsi"/>
              </w:rPr>
              <w:t>iability</w:t>
            </w:r>
          </w:p>
        </w:tc>
        <w:tc>
          <w:tcPr>
            <w:tcW w:w="748" w:type="pct"/>
            <w:gridSpan w:val="4"/>
            <w:tcBorders>
              <w:top w:val="nil"/>
              <w:left w:val="nil"/>
              <w:bottom w:val="nil"/>
              <w:right w:val="nil"/>
            </w:tcBorders>
            <w:vAlign w:val="bottom"/>
          </w:tcPr>
          <w:p w14:paraId="4B1738A9" w14:textId="77777777" w:rsidR="00E659C7" w:rsidRPr="001E6A24" w:rsidRDefault="00E659C7">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54E58382" w14:textId="77777777" w:rsidR="00E659C7" w:rsidRPr="001E6A24" w:rsidRDefault="00E659C7">
            <w:pPr>
              <w:pStyle w:val="TableText"/>
              <w:tabs>
                <w:tab w:val="left" w:pos="3306"/>
              </w:tabs>
              <w:jc w:val="right"/>
              <w:rPr>
                <w:rFonts w:cs="Calibri"/>
              </w:rPr>
            </w:pPr>
          </w:p>
        </w:tc>
      </w:tr>
      <w:tr w:rsidR="00661AF6" w:rsidRPr="00CF7E1B" w14:paraId="3FD9ECAF"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4FF23F2F" w14:textId="77777777" w:rsidR="00661AF6" w:rsidRPr="001E6A24" w:rsidRDefault="00661AF6" w:rsidP="0085213D">
            <w:pPr>
              <w:pStyle w:val="TableReference"/>
              <w:tabs>
                <w:tab w:val="left" w:pos="3306"/>
              </w:tabs>
              <w:spacing w:before="40"/>
              <w:rPr>
                <w:rFonts w:cs="Calibri"/>
                <w:strike/>
                <w:color w:val="7030A0"/>
                <w:sz w:val="16"/>
                <w:szCs w:val="16"/>
              </w:rPr>
            </w:pPr>
          </w:p>
        </w:tc>
        <w:tc>
          <w:tcPr>
            <w:tcW w:w="2803" w:type="pct"/>
            <w:gridSpan w:val="5"/>
            <w:tcBorders>
              <w:top w:val="nil"/>
              <w:left w:val="single" w:sz="2" w:space="0" w:color="auto"/>
              <w:bottom w:val="nil"/>
              <w:right w:val="nil"/>
            </w:tcBorders>
            <w:vAlign w:val="bottom"/>
          </w:tcPr>
          <w:p w14:paraId="1B6EC585" w14:textId="56C22C10" w:rsidR="00661AF6" w:rsidRPr="001E6A24" w:rsidRDefault="00661AF6">
            <w:pPr>
              <w:pStyle w:val="TableText"/>
              <w:tabs>
                <w:tab w:val="left" w:pos="3306"/>
              </w:tabs>
              <w:rPr>
                <w:rFonts w:cs="Calibri"/>
              </w:rPr>
            </w:pPr>
            <w:r w:rsidRPr="001E6A24">
              <w:rPr>
                <w:rFonts w:cs="Calibri"/>
              </w:rPr>
              <w:t>Service Concession Arrangement – Service Expenses</w:t>
            </w:r>
          </w:p>
        </w:tc>
        <w:tc>
          <w:tcPr>
            <w:tcW w:w="748" w:type="pct"/>
            <w:gridSpan w:val="4"/>
            <w:tcBorders>
              <w:top w:val="nil"/>
              <w:left w:val="nil"/>
              <w:bottom w:val="nil"/>
              <w:right w:val="nil"/>
            </w:tcBorders>
            <w:vAlign w:val="bottom"/>
          </w:tcPr>
          <w:p w14:paraId="039C31D2" w14:textId="77777777" w:rsidR="00661AF6" w:rsidRPr="001E6A24" w:rsidRDefault="00661AF6">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1A30091A" w14:textId="77777777" w:rsidR="00661AF6" w:rsidRPr="001E6A24" w:rsidRDefault="00661AF6">
            <w:pPr>
              <w:pStyle w:val="TableText"/>
              <w:tabs>
                <w:tab w:val="left" w:pos="3306"/>
              </w:tabs>
              <w:jc w:val="right"/>
              <w:rPr>
                <w:rFonts w:cs="Calibri"/>
              </w:rPr>
            </w:pPr>
          </w:p>
        </w:tc>
      </w:tr>
      <w:tr w:rsidR="00E22C9D" w:rsidRPr="00CF7E1B" w14:paraId="4B7594D5"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A5EB8F2" w14:textId="77777777" w:rsidR="00E22C9D" w:rsidRPr="001E6A24" w:rsidRDefault="00E22C9D" w:rsidP="00E22C9D">
            <w:pPr>
              <w:pStyle w:val="TableReference"/>
              <w:tabs>
                <w:tab w:val="left" w:pos="3306"/>
              </w:tabs>
              <w:spacing w:before="40"/>
              <w:rPr>
                <w:rFonts w:cs="Calibri"/>
                <w:color w:val="7030A0"/>
                <w:sz w:val="16"/>
                <w:szCs w:val="16"/>
              </w:rPr>
            </w:pPr>
          </w:p>
        </w:tc>
        <w:tc>
          <w:tcPr>
            <w:tcW w:w="2803" w:type="pct"/>
            <w:gridSpan w:val="5"/>
            <w:tcBorders>
              <w:top w:val="nil"/>
              <w:left w:val="single" w:sz="2" w:space="0" w:color="auto"/>
              <w:bottom w:val="nil"/>
              <w:right w:val="nil"/>
            </w:tcBorders>
            <w:vAlign w:val="bottom"/>
          </w:tcPr>
          <w:p w14:paraId="1EEA0DA8" w14:textId="77777777" w:rsidR="00E22C9D" w:rsidRPr="001E6A24" w:rsidRDefault="00E22C9D" w:rsidP="00E22C9D">
            <w:pPr>
              <w:pStyle w:val="TableText"/>
              <w:tabs>
                <w:tab w:val="left" w:pos="3306"/>
              </w:tabs>
              <w:rPr>
                <w:rFonts w:cs="Calibri"/>
              </w:rPr>
            </w:pPr>
            <w:r w:rsidRPr="001E6A24">
              <w:rPr>
                <w:rFonts w:cs="Calibri"/>
              </w:rPr>
              <w:t>Other</w:t>
            </w:r>
          </w:p>
        </w:tc>
        <w:tc>
          <w:tcPr>
            <w:tcW w:w="748" w:type="pct"/>
            <w:gridSpan w:val="4"/>
            <w:tcBorders>
              <w:top w:val="nil"/>
              <w:left w:val="nil"/>
              <w:bottom w:val="single" w:sz="2" w:space="0" w:color="auto"/>
              <w:right w:val="nil"/>
            </w:tcBorders>
            <w:vAlign w:val="bottom"/>
          </w:tcPr>
          <w:p w14:paraId="141AB5AF" w14:textId="7795FB20" w:rsidR="00E22C9D" w:rsidRPr="001E6A24" w:rsidRDefault="00E22C9D" w:rsidP="00E22C9D">
            <w:pPr>
              <w:pStyle w:val="TableText"/>
              <w:tabs>
                <w:tab w:val="left" w:pos="3306"/>
              </w:tabs>
              <w:jc w:val="right"/>
              <w:rPr>
                <w:rFonts w:cs="Calibri"/>
              </w:rPr>
            </w:pPr>
          </w:p>
        </w:tc>
        <w:tc>
          <w:tcPr>
            <w:tcW w:w="671" w:type="pct"/>
            <w:gridSpan w:val="2"/>
            <w:tcBorders>
              <w:top w:val="nil"/>
              <w:left w:val="nil"/>
              <w:bottom w:val="single" w:sz="2" w:space="0" w:color="auto"/>
              <w:right w:val="nil"/>
            </w:tcBorders>
            <w:vAlign w:val="bottom"/>
          </w:tcPr>
          <w:p w14:paraId="5FB8B145" w14:textId="135D2660" w:rsidR="00E22C9D" w:rsidRPr="001E6A24" w:rsidRDefault="00E22C9D" w:rsidP="00E22C9D">
            <w:pPr>
              <w:pStyle w:val="TableText"/>
              <w:tabs>
                <w:tab w:val="left" w:pos="3306"/>
              </w:tabs>
              <w:jc w:val="right"/>
              <w:rPr>
                <w:rFonts w:cs="Calibri"/>
              </w:rPr>
            </w:pPr>
          </w:p>
        </w:tc>
      </w:tr>
      <w:tr w:rsidR="00E22C9D" w:rsidRPr="00CF7E1B" w14:paraId="75CA480B"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8DB9760" w14:textId="77777777" w:rsidR="00E22C9D" w:rsidRPr="00A7058E" w:rsidRDefault="00E22C9D" w:rsidP="00E22C9D">
            <w:pPr>
              <w:pStyle w:val="TableReference"/>
              <w:tabs>
                <w:tab w:val="left" w:pos="3306"/>
              </w:tabs>
              <w:spacing w:before="40"/>
              <w:rPr>
                <w:rFonts w:cs="Calibri"/>
                <w:color w:val="000000"/>
                <w:sz w:val="16"/>
                <w:szCs w:val="16"/>
              </w:rPr>
            </w:pPr>
          </w:p>
        </w:tc>
        <w:tc>
          <w:tcPr>
            <w:tcW w:w="2803" w:type="pct"/>
            <w:gridSpan w:val="5"/>
            <w:tcBorders>
              <w:top w:val="nil"/>
              <w:left w:val="single" w:sz="2" w:space="0" w:color="auto"/>
              <w:bottom w:val="nil"/>
              <w:right w:val="nil"/>
            </w:tcBorders>
            <w:vAlign w:val="bottom"/>
          </w:tcPr>
          <w:p w14:paraId="1B4B4293" w14:textId="77777777" w:rsidR="00E22C9D" w:rsidRPr="00CF7E1B" w:rsidRDefault="00E22C9D" w:rsidP="00E22C9D">
            <w:pPr>
              <w:pStyle w:val="TableText"/>
              <w:tabs>
                <w:tab w:val="left" w:pos="3306"/>
              </w:tabs>
              <w:rPr>
                <w:rFonts w:cs="Calibri"/>
                <w:b/>
                <w:bCs/>
              </w:rPr>
            </w:pPr>
            <w:bookmarkStart w:id="484" w:name="_Toc48468455"/>
            <w:bookmarkStart w:id="485" w:name="_Toc49155573"/>
            <w:bookmarkStart w:id="486" w:name="_Toc49224025"/>
            <w:r w:rsidRPr="00CF7E1B">
              <w:rPr>
                <w:rFonts w:cs="Calibri"/>
                <w:b/>
                <w:bCs/>
              </w:rPr>
              <w:t>Total Supplies and Services</w:t>
            </w:r>
            <w:bookmarkEnd w:id="484"/>
            <w:bookmarkEnd w:id="485"/>
            <w:bookmarkEnd w:id="486"/>
          </w:p>
        </w:tc>
        <w:tc>
          <w:tcPr>
            <w:tcW w:w="748" w:type="pct"/>
            <w:gridSpan w:val="4"/>
            <w:tcBorders>
              <w:top w:val="single" w:sz="2" w:space="0" w:color="auto"/>
              <w:left w:val="nil"/>
              <w:bottom w:val="double" w:sz="4" w:space="0" w:color="auto"/>
              <w:right w:val="nil"/>
            </w:tcBorders>
            <w:vAlign w:val="bottom"/>
          </w:tcPr>
          <w:p w14:paraId="3145CF41" w14:textId="78DF0872" w:rsidR="00E22C9D" w:rsidRPr="00CF7E1B" w:rsidRDefault="00E22C9D" w:rsidP="00E22C9D">
            <w:pPr>
              <w:pStyle w:val="TableText"/>
              <w:tabs>
                <w:tab w:val="left" w:pos="3306"/>
              </w:tabs>
              <w:jc w:val="right"/>
              <w:rPr>
                <w:rFonts w:cs="Calibri"/>
                <w:b/>
                <w:bCs/>
              </w:rPr>
            </w:pPr>
          </w:p>
        </w:tc>
        <w:tc>
          <w:tcPr>
            <w:tcW w:w="671" w:type="pct"/>
            <w:gridSpan w:val="2"/>
            <w:tcBorders>
              <w:top w:val="single" w:sz="2" w:space="0" w:color="auto"/>
              <w:left w:val="nil"/>
              <w:bottom w:val="double" w:sz="4" w:space="0" w:color="auto"/>
              <w:right w:val="nil"/>
            </w:tcBorders>
            <w:vAlign w:val="bottom"/>
          </w:tcPr>
          <w:p w14:paraId="5E2CBFE3" w14:textId="4FCFFB0D" w:rsidR="00E22C9D" w:rsidRPr="00CF7E1B" w:rsidRDefault="00E22C9D" w:rsidP="00E22C9D">
            <w:pPr>
              <w:pStyle w:val="TableText"/>
              <w:tabs>
                <w:tab w:val="left" w:pos="3306"/>
              </w:tabs>
              <w:jc w:val="right"/>
              <w:rPr>
                <w:rFonts w:cs="Calibri"/>
                <w:b/>
                <w:bCs/>
              </w:rPr>
            </w:pPr>
          </w:p>
        </w:tc>
      </w:tr>
      <w:bookmarkEnd w:id="460"/>
      <w:bookmarkEnd w:id="461"/>
      <w:tr w:rsidR="00B13E02" w:rsidRPr="00CF7E1B" w14:paraId="4A43A472"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C3AD35E" w14:textId="77777777" w:rsidR="00B13E02" w:rsidRPr="00A7058E" w:rsidRDefault="00B13E02" w:rsidP="00B13E02">
            <w:pPr>
              <w:pStyle w:val="TableReference"/>
              <w:tabs>
                <w:tab w:val="left" w:pos="3306"/>
              </w:tabs>
              <w:spacing w:before="40"/>
              <w:rPr>
                <w:rFonts w:cs="Calibri"/>
                <w:color w:val="000000"/>
                <w:sz w:val="16"/>
                <w:szCs w:val="16"/>
              </w:rPr>
            </w:pPr>
          </w:p>
        </w:tc>
        <w:tc>
          <w:tcPr>
            <w:tcW w:w="4222" w:type="pct"/>
            <w:gridSpan w:val="11"/>
            <w:tcBorders>
              <w:top w:val="nil"/>
              <w:left w:val="single" w:sz="2" w:space="0" w:color="auto"/>
              <w:bottom w:val="nil"/>
              <w:right w:val="nil"/>
            </w:tcBorders>
            <w:vAlign w:val="bottom"/>
          </w:tcPr>
          <w:p w14:paraId="27CBA347" w14:textId="5C4925C1" w:rsidR="00B13E02" w:rsidRPr="001E6A24" w:rsidRDefault="00B13E02" w:rsidP="006C7C66">
            <w:pPr>
              <w:pStyle w:val="TableText"/>
              <w:tabs>
                <w:tab w:val="left" w:pos="3306"/>
              </w:tabs>
              <w:spacing w:before="120" w:after="60"/>
              <w:ind w:left="193" w:hanging="193"/>
              <w:jc w:val="both"/>
              <w:rPr>
                <w:rFonts w:cs="Calibri"/>
              </w:rPr>
            </w:pPr>
            <w:r w:rsidRPr="001E6A24">
              <w:rPr>
                <w:rFonts w:cs="Calibri"/>
              </w:rPr>
              <w:t>a)</w:t>
            </w:r>
            <w:r w:rsidRPr="001E6A24">
              <w:rPr>
                <w:rFonts w:cs="Calibri"/>
              </w:rPr>
              <w:tab/>
              <w:t>The increase in legal expenses of $xxx was due to the litigation arising from related claims.</w:t>
            </w:r>
            <w:r w:rsidR="00FA7C77">
              <w:rPr>
                <w:rFonts w:cs="Calibri"/>
              </w:rPr>
              <w:t xml:space="preserve"> </w:t>
            </w:r>
            <w:r w:rsidRPr="001E6A24">
              <w:rPr>
                <w:rFonts w:cs="Calibri"/>
              </w:rPr>
              <w:t>These legal expenses related to court costs, such as engaging the services of barristers.</w:t>
            </w:r>
            <w:r w:rsidR="00FA7C77">
              <w:rPr>
                <w:rFonts w:cs="Calibri"/>
              </w:rPr>
              <w:t xml:space="preserve"> </w:t>
            </w:r>
          </w:p>
        </w:tc>
      </w:tr>
      <w:tr w:rsidR="00B13E02" w:rsidRPr="00CF7E1B" w14:paraId="5FC0A6F7"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20089876" w14:textId="77777777" w:rsidR="00B13E02" w:rsidRPr="00A7058E" w:rsidRDefault="00B13E02" w:rsidP="00B13E02">
            <w:pPr>
              <w:pStyle w:val="TableReference"/>
              <w:tabs>
                <w:tab w:val="left" w:pos="3306"/>
              </w:tabs>
              <w:spacing w:before="40"/>
              <w:rPr>
                <w:rFonts w:cs="Calibri"/>
                <w:color w:val="000000"/>
                <w:sz w:val="16"/>
                <w:szCs w:val="16"/>
              </w:rPr>
            </w:pPr>
          </w:p>
        </w:tc>
        <w:tc>
          <w:tcPr>
            <w:tcW w:w="4222" w:type="pct"/>
            <w:gridSpan w:val="11"/>
            <w:tcBorders>
              <w:top w:val="nil"/>
              <w:left w:val="single" w:sz="2" w:space="0" w:color="auto"/>
              <w:bottom w:val="nil"/>
              <w:right w:val="nil"/>
            </w:tcBorders>
            <w:vAlign w:val="bottom"/>
          </w:tcPr>
          <w:p w14:paraId="04CDA1B1" w14:textId="639A2ADD"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b)</w:t>
            </w:r>
            <w:r w:rsidRPr="001E6A24">
              <w:rPr>
                <w:rFonts w:cs="Calibri"/>
              </w:rPr>
              <w:tab/>
              <w:t>The decrease in contractors and consultants of $xxx is due to an increase in the number of staff employed resulting in a decreased demand for contracting and consulting services.</w:t>
            </w:r>
          </w:p>
        </w:tc>
      </w:tr>
      <w:tr w:rsidR="00B13E02" w:rsidRPr="00CF7E1B" w14:paraId="05DB2ADB"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CD23D40" w14:textId="77777777" w:rsidR="00B13E02" w:rsidRPr="00A7058E" w:rsidRDefault="00B13E02" w:rsidP="00B13E02">
            <w:pPr>
              <w:pStyle w:val="TableReference"/>
              <w:tabs>
                <w:tab w:val="left" w:pos="3306"/>
              </w:tabs>
              <w:spacing w:before="40"/>
              <w:rPr>
                <w:rFonts w:cs="Calibri"/>
                <w:color w:val="000000"/>
                <w:sz w:val="16"/>
                <w:szCs w:val="16"/>
              </w:rPr>
            </w:pPr>
          </w:p>
        </w:tc>
        <w:tc>
          <w:tcPr>
            <w:tcW w:w="4222" w:type="pct"/>
            <w:gridSpan w:val="11"/>
            <w:tcBorders>
              <w:top w:val="nil"/>
              <w:left w:val="single" w:sz="2" w:space="0" w:color="auto"/>
              <w:bottom w:val="nil"/>
              <w:right w:val="nil"/>
            </w:tcBorders>
            <w:vAlign w:val="bottom"/>
          </w:tcPr>
          <w:p w14:paraId="2884B331" w14:textId="6C98E15F"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c)</w:t>
            </w:r>
            <w:r w:rsidRPr="001E6A24">
              <w:rPr>
                <w:rFonts w:cs="Calibri"/>
              </w:rPr>
              <w:tab/>
              <w:t>The decrease in consumable stores and supplies of $xxx is due to the increase in the repairs and maintenance of infrastructure assets.</w:t>
            </w:r>
          </w:p>
        </w:tc>
      </w:tr>
      <w:tr w:rsidR="00B13E02" w:rsidRPr="00CF7E1B" w14:paraId="3807D17F"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407D50C" w14:textId="77777777" w:rsidR="00B13E02" w:rsidRPr="00A7058E" w:rsidRDefault="00B13E02" w:rsidP="00B13E02">
            <w:pPr>
              <w:pStyle w:val="TableReference"/>
              <w:tabs>
                <w:tab w:val="left" w:pos="3306"/>
              </w:tabs>
              <w:spacing w:before="40"/>
              <w:rPr>
                <w:rFonts w:cs="Calibri"/>
                <w:color w:val="000000"/>
                <w:sz w:val="16"/>
                <w:szCs w:val="16"/>
              </w:rPr>
            </w:pPr>
          </w:p>
        </w:tc>
        <w:tc>
          <w:tcPr>
            <w:tcW w:w="4222" w:type="pct"/>
            <w:gridSpan w:val="11"/>
            <w:tcBorders>
              <w:top w:val="nil"/>
              <w:left w:val="single" w:sz="2" w:space="0" w:color="auto"/>
              <w:bottom w:val="nil"/>
              <w:right w:val="nil"/>
            </w:tcBorders>
            <w:vAlign w:val="bottom"/>
          </w:tcPr>
          <w:p w14:paraId="7B84FDC1" w14:textId="4121E91F"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d)</w:t>
            </w:r>
            <w:r w:rsidRPr="001E6A24">
              <w:rPr>
                <w:rFonts w:cs="Calibri"/>
              </w:rPr>
              <w:tab/>
              <w:t>The increase in insurance expense of $xxx is due to the rise in the number and value of assets being insured.</w:t>
            </w:r>
            <w:r w:rsidR="00FA7C77">
              <w:rPr>
                <w:rFonts w:cs="Calibri"/>
              </w:rPr>
              <w:t xml:space="preserve"> </w:t>
            </w:r>
            <w:r w:rsidRPr="001E6A24">
              <w:rPr>
                <w:rFonts w:cs="Calibri"/>
              </w:rPr>
              <w:t xml:space="preserve">In addition, the revaluation of land, buildings, and </w:t>
            </w:r>
            <w:r w:rsidRPr="00104F61">
              <w:rPr>
                <w:rFonts w:cs="Calibri"/>
                <w:strike/>
                <w:color w:val="FF0000"/>
              </w:rPr>
              <w:t>community and</w:t>
            </w:r>
            <w:r w:rsidRPr="00104F61">
              <w:rPr>
                <w:rFonts w:cs="Calibri"/>
                <w:color w:val="FF0000"/>
              </w:rPr>
              <w:t xml:space="preserve"> </w:t>
            </w:r>
            <w:r w:rsidRPr="001E6A24">
              <w:rPr>
                <w:rFonts w:cs="Calibri"/>
              </w:rPr>
              <w:t xml:space="preserve">heritage </w:t>
            </w:r>
            <w:r w:rsidR="00104F61" w:rsidRPr="005408A6">
              <w:rPr>
                <w:rFonts w:cs="Calibri"/>
                <w:color w:val="FF0000"/>
              </w:rPr>
              <w:t xml:space="preserve">and community </w:t>
            </w:r>
            <w:r w:rsidRPr="001E6A24">
              <w:rPr>
                <w:rFonts w:cs="Calibri"/>
              </w:rPr>
              <w:t>assets resulted in the value of insured assets increasing.</w:t>
            </w:r>
          </w:p>
        </w:tc>
      </w:tr>
      <w:tr w:rsidR="00B13E02" w:rsidRPr="00CF7E1B" w14:paraId="5BDB7C48"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EFCBCB2" w14:textId="77777777" w:rsidR="00B13E02" w:rsidRDefault="00B13E02" w:rsidP="00B13E02">
            <w:pPr>
              <w:pStyle w:val="TableReference"/>
              <w:tabs>
                <w:tab w:val="left" w:pos="3306"/>
              </w:tabs>
              <w:spacing w:before="40"/>
              <w:rPr>
                <w:rFonts w:cs="Calibri"/>
                <w:color w:val="000000"/>
                <w:sz w:val="16"/>
                <w:szCs w:val="16"/>
              </w:rPr>
            </w:pPr>
          </w:p>
          <w:p w14:paraId="60DFBE0C" w14:textId="77777777" w:rsidR="00B13E02" w:rsidRDefault="00B13E02" w:rsidP="00B13E02">
            <w:pPr>
              <w:pStyle w:val="TableReference"/>
              <w:tabs>
                <w:tab w:val="left" w:pos="3306"/>
              </w:tabs>
              <w:spacing w:before="40"/>
              <w:rPr>
                <w:rFonts w:cs="Calibri"/>
                <w:color w:val="000000"/>
                <w:sz w:val="16"/>
                <w:szCs w:val="16"/>
              </w:rPr>
            </w:pPr>
          </w:p>
          <w:p w14:paraId="028AB3D8" w14:textId="0B0AE0A5" w:rsidR="00B13E02" w:rsidRPr="00A7058E" w:rsidRDefault="00B13E02" w:rsidP="00B13E02">
            <w:pPr>
              <w:pStyle w:val="TableReference"/>
              <w:tabs>
                <w:tab w:val="left" w:pos="3306"/>
              </w:tabs>
              <w:spacing w:before="40"/>
              <w:rPr>
                <w:rFonts w:cs="Calibri"/>
                <w:color w:val="000000"/>
                <w:sz w:val="16"/>
                <w:szCs w:val="16"/>
              </w:rPr>
            </w:pPr>
          </w:p>
        </w:tc>
        <w:tc>
          <w:tcPr>
            <w:tcW w:w="4222" w:type="pct"/>
            <w:gridSpan w:val="11"/>
            <w:tcBorders>
              <w:top w:val="nil"/>
              <w:left w:val="single" w:sz="2" w:space="0" w:color="auto"/>
              <w:bottom w:val="nil"/>
              <w:right w:val="nil"/>
            </w:tcBorders>
            <w:vAlign w:val="bottom"/>
          </w:tcPr>
          <w:p w14:paraId="1EF298C5" w14:textId="37123977" w:rsidR="00B13E02" w:rsidRPr="001E6A24" w:rsidRDefault="00B13E02" w:rsidP="00B13E02">
            <w:pPr>
              <w:pStyle w:val="TableText"/>
              <w:tabs>
                <w:tab w:val="left" w:pos="3306"/>
              </w:tabs>
              <w:spacing w:before="0" w:after="60"/>
              <w:ind w:left="170" w:hanging="170"/>
              <w:jc w:val="both"/>
              <w:rPr>
                <w:rFonts w:cs="Calibri"/>
              </w:rPr>
            </w:pPr>
            <w:r w:rsidRPr="001E6A24">
              <w:rPr>
                <w:rFonts w:cs="Calibri"/>
              </w:rPr>
              <w:t>e) Major maintenance on infrastructure assets of $xxx is carried out on a rolling basis over a period of 3 years.</w:t>
            </w:r>
            <w:r w:rsidR="00FA7C77">
              <w:rPr>
                <w:rFonts w:cs="Calibri"/>
              </w:rPr>
              <w:t xml:space="preserve"> </w:t>
            </w:r>
            <w:r w:rsidRPr="001E6A24">
              <w:rPr>
                <w:rFonts w:cs="Calibri"/>
              </w:rPr>
              <w:t>The increase in repairs and maintenance is due to this major cyclical maintenance being performed on larger sub-classes of infrastructure assets than last reporting period.</w:t>
            </w:r>
          </w:p>
        </w:tc>
      </w:tr>
      <w:tr w:rsidR="00B13E02" w:rsidRPr="00CF7E1B" w14:paraId="3278D242"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52C1EB9" w14:textId="77777777" w:rsidR="00B13E02" w:rsidRPr="00976DE1" w:rsidRDefault="00B13E02" w:rsidP="00B13E02">
            <w:pPr>
              <w:pStyle w:val="TableReference"/>
              <w:tabs>
                <w:tab w:val="left" w:pos="3306"/>
              </w:tabs>
              <w:spacing w:before="40"/>
              <w:rPr>
                <w:rFonts w:cs="Calibri"/>
                <w:color w:val="auto"/>
                <w:sz w:val="14"/>
              </w:rPr>
            </w:pPr>
          </w:p>
        </w:tc>
        <w:tc>
          <w:tcPr>
            <w:tcW w:w="4222" w:type="pct"/>
            <w:gridSpan w:val="11"/>
            <w:tcBorders>
              <w:top w:val="nil"/>
              <w:left w:val="single" w:sz="2" w:space="0" w:color="auto"/>
              <w:bottom w:val="nil"/>
              <w:right w:val="nil"/>
            </w:tcBorders>
            <w:vAlign w:val="bottom"/>
          </w:tcPr>
          <w:p w14:paraId="78A3797E" w14:textId="10C55C71" w:rsidR="00B13E02" w:rsidRPr="001E6A24" w:rsidRDefault="00B13E02" w:rsidP="00B13E02">
            <w:pPr>
              <w:pStyle w:val="TableText"/>
              <w:tabs>
                <w:tab w:val="left" w:pos="3306"/>
              </w:tabs>
              <w:spacing w:before="0" w:after="60"/>
              <w:jc w:val="both"/>
              <w:rPr>
                <w:rFonts w:cs="Calibri"/>
              </w:rPr>
            </w:pPr>
            <w:r w:rsidRPr="001E6A24">
              <w:rPr>
                <w:rFonts w:cs="Calibri"/>
              </w:rPr>
              <w:t xml:space="preserve">For more information in relation to service concession arrangements refer to Note </w:t>
            </w:r>
            <w:r w:rsidR="00E7007E">
              <w:rPr>
                <w:rFonts w:cs="Calibri"/>
              </w:rPr>
              <w:t>39</w:t>
            </w:r>
            <w:r w:rsidRPr="001E6A24">
              <w:rPr>
                <w:rFonts w:cs="Calibri"/>
              </w:rPr>
              <w:t xml:space="preserve"> </w:t>
            </w:r>
            <w:r w:rsidRPr="00E7007E">
              <w:rPr>
                <w:rFonts w:cs="Calibri"/>
                <w:i/>
                <w:iCs/>
              </w:rPr>
              <w:t>Service Concession Arrangements.</w:t>
            </w:r>
          </w:p>
        </w:tc>
      </w:tr>
      <w:tr w:rsidR="00B25CA7" w:rsidRPr="00B25CA7" w14:paraId="2C439355"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67B514D" w14:textId="77777777" w:rsidR="00B25CA7" w:rsidRPr="00B25CA7" w:rsidRDefault="00B25CA7" w:rsidP="00B25CA7">
            <w:pPr>
              <w:pStyle w:val="TableReference"/>
              <w:tabs>
                <w:tab w:val="left" w:pos="3306"/>
              </w:tabs>
              <w:rPr>
                <w:rFonts w:cs="Calibri"/>
                <w:color w:val="auto"/>
                <w:szCs w:val="12"/>
              </w:rPr>
            </w:pPr>
          </w:p>
        </w:tc>
        <w:tc>
          <w:tcPr>
            <w:tcW w:w="4222" w:type="pct"/>
            <w:gridSpan w:val="11"/>
            <w:tcBorders>
              <w:top w:val="nil"/>
              <w:left w:val="single" w:sz="2" w:space="0" w:color="auto"/>
              <w:bottom w:val="nil"/>
              <w:right w:val="nil"/>
            </w:tcBorders>
            <w:vAlign w:val="bottom"/>
          </w:tcPr>
          <w:p w14:paraId="13EAA834" w14:textId="77777777" w:rsidR="00B25CA7" w:rsidRPr="00B25CA7" w:rsidRDefault="00B25CA7" w:rsidP="00B25CA7">
            <w:pPr>
              <w:pStyle w:val="TableText"/>
              <w:tabs>
                <w:tab w:val="left" w:pos="3306"/>
              </w:tabs>
              <w:spacing w:before="0"/>
              <w:jc w:val="both"/>
              <w:rPr>
                <w:rFonts w:cs="Calibri"/>
                <w:sz w:val="12"/>
                <w:szCs w:val="12"/>
              </w:rPr>
            </w:pPr>
          </w:p>
        </w:tc>
      </w:tr>
      <w:tr w:rsidR="00B13E02" w:rsidRPr="00CF7E1B" w14:paraId="308F073B"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4"/>
        </w:trPr>
        <w:tc>
          <w:tcPr>
            <w:tcW w:w="741" w:type="pct"/>
            <w:tcBorders>
              <w:left w:val="single" w:sz="2" w:space="0" w:color="auto"/>
              <w:right w:val="single" w:sz="2" w:space="0" w:color="auto"/>
            </w:tcBorders>
          </w:tcPr>
          <w:p w14:paraId="0E3BB146" w14:textId="77777777" w:rsidR="00B13E02" w:rsidRPr="00976DE1" w:rsidRDefault="00B13E02" w:rsidP="000159C3">
            <w:pPr>
              <w:pStyle w:val="TableReference"/>
              <w:tabs>
                <w:tab w:val="left" w:pos="3306"/>
              </w:tabs>
              <w:spacing w:before="240" w:after="240"/>
              <w:rPr>
                <w:rFonts w:cs="Calibri"/>
                <w:b/>
                <w:color w:val="auto"/>
                <w:sz w:val="14"/>
              </w:rPr>
            </w:pPr>
            <w:r w:rsidRPr="00976DE1">
              <w:rPr>
                <w:rFonts w:cs="Calibri"/>
                <w:b/>
                <w:color w:val="auto"/>
                <w:sz w:val="14"/>
              </w:rPr>
              <w:br w:type="page"/>
            </w:r>
          </w:p>
        </w:tc>
        <w:tc>
          <w:tcPr>
            <w:tcW w:w="4222" w:type="pct"/>
            <w:gridSpan w:val="11"/>
            <w:tcBorders>
              <w:left w:val="single" w:sz="2" w:space="0" w:color="auto"/>
            </w:tcBorders>
            <w:shd w:val="clear" w:color="auto" w:fill="7030A0"/>
          </w:tcPr>
          <w:p w14:paraId="230C791D" w14:textId="1D1E7F15" w:rsidR="00B13E02" w:rsidRPr="001E6A24" w:rsidRDefault="00B13E02" w:rsidP="00B25CA7">
            <w:pPr>
              <w:pStyle w:val="CommentaryTitle"/>
              <w:spacing w:after="120"/>
              <w:rPr>
                <w:rFonts w:cs="Calibri"/>
                <w:bCs w:val="0"/>
                <w:color w:val="FFFFFF" w:themeColor="background1"/>
                <w:sz w:val="28"/>
                <w:szCs w:val="28"/>
              </w:rPr>
            </w:pPr>
            <w:bookmarkStart w:id="487" w:name="_Toc50440351"/>
            <w:bookmarkStart w:id="488" w:name="_Toc163106327"/>
            <w:bookmarkStart w:id="489" w:name="_Toc194977582"/>
            <w:r w:rsidRPr="001E6A24">
              <w:rPr>
                <w:rFonts w:cs="Calibri"/>
                <w:bCs w:val="0"/>
                <w:color w:val="FFFFFF" w:themeColor="background1"/>
                <w:sz w:val="28"/>
                <w:szCs w:val="28"/>
              </w:rPr>
              <w:t>Commentary – Note 11: Supplies and Services</w:t>
            </w:r>
            <w:bookmarkEnd w:id="487"/>
            <w:bookmarkEnd w:id="488"/>
            <w:bookmarkEnd w:id="489"/>
          </w:p>
        </w:tc>
      </w:tr>
      <w:tr w:rsidR="00B13E02" w:rsidRPr="00CF7E1B" w14:paraId="20EBD02A"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4"/>
        </w:trPr>
        <w:tc>
          <w:tcPr>
            <w:tcW w:w="741" w:type="pct"/>
            <w:tcBorders>
              <w:left w:val="single" w:sz="2" w:space="0" w:color="auto"/>
              <w:right w:val="single" w:sz="2" w:space="0" w:color="auto"/>
            </w:tcBorders>
          </w:tcPr>
          <w:p w14:paraId="3DFE709B" w14:textId="7F46920D" w:rsidR="00B13E02" w:rsidRPr="00976DE1" w:rsidRDefault="00B13E02" w:rsidP="00B13E02">
            <w:pPr>
              <w:pStyle w:val="TableReference"/>
              <w:tabs>
                <w:tab w:val="left" w:pos="3306"/>
              </w:tabs>
              <w:spacing w:before="60"/>
              <w:rPr>
                <w:rFonts w:cs="Calibri"/>
                <w:color w:val="auto"/>
                <w:sz w:val="14"/>
              </w:rPr>
            </w:pPr>
          </w:p>
        </w:tc>
        <w:tc>
          <w:tcPr>
            <w:tcW w:w="4222" w:type="pct"/>
            <w:gridSpan w:val="11"/>
            <w:tcBorders>
              <w:left w:val="single" w:sz="2" w:space="0" w:color="auto"/>
            </w:tcBorders>
            <w:shd w:val="clear" w:color="auto" w:fill="7030A0"/>
          </w:tcPr>
          <w:p w14:paraId="52F876A1" w14:textId="376B4810" w:rsidR="00B13E02" w:rsidRPr="001E6A24" w:rsidRDefault="00B13E02" w:rsidP="00B13E02">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The breakdown of Supplies and Services shown above is an example only.</w:t>
            </w:r>
            <w:r w:rsidR="00FA7C77">
              <w:rPr>
                <w:rFonts w:cs="Calibri"/>
                <w:color w:val="FFFFFF" w:themeColor="background1"/>
                <w:sz w:val="18"/>
                <w:szCs w:val="18"/>
              </w:rPr>
              <w:t xml:space="preserve"> </w:t>
            </w:r>
            <w:r w:rsidRPr="001E6A24">
              <w:rPr>
                <w:rFonts w:cs="Calibri"/>
                <w:color w:val="FFFFFF" w:themeColor="background1"/>
                <w:sz w:val="18"/>
                <w:szCs w:val="18"/>
              </w:rPr>
              <w:t>Agencies will need to include their own breakdown of all material line items in the Supplies and Services expenses note disclosure.</w:t>
            </w:r>
          </w:p>
        </w:tc>
      </w:tr>
      <w:tr w:rsidR="00B13E02" w:rsidRPr="00CF7E1B" w14:paraId="48C868A2"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4"/>
        </w:trPr>
        <w:tc>
          <w:tcPr>
            <w:tcW w:w="741" w:type="pct"/>
            <w:tcBorders>
              <w:left w:val="single" w:sz="2" w:space="0" w:color="auto"/>
              <w:right w:val="single" w:sz="2" w:space="0" w:color="auto"/>
            </w:tcBorders>
          </w:tcPr>
          <w:p w14:paraId="7DB8649B" w14:textId="77777777" w:rsidR="00B13E02" w:rsidRPr="00976DE1" w:rsidRDefault="00B13E02" w:rsidP="00B13E02">
            <w:pPr>
              <w:pStyle w:val="TableReference"/>
              <w:tabs>
                <w:tab w:val="left" w:pos="3306"/>
              </w:tabs>
              <w:spacing w:before="60"/>
              <w:rPr>
                <w:rFonts w:cs="Calibri"/>
                <w:color w:val="auto"/>
                <w:sz w:val="14"/>
              </w:rPr>
            </w:pPr>
          </w:p>
        </w:tc>
        <w:tc>
          <w:tcPr>
            <w:tcW w:w="4222" w:type="pct"/>
            <w:gridSpan w:val="11"/>
            <w:tcBorders>
              <w:left w:val="single" w:sz="2" w:space="0" w:color="auto"/>
            </w:tcBorders>
            <w:shd w:val="clear" w:color="auto" w:fill="7030A0"/>
          </w:tcPr>
          <w:p w14:paraId="25F87C61" w14:textId="74E7E210" w:rsidR="00B13E02" w:rsidRPr="006C7C66" w:rsidRDefault="00B13E02" w:rsidP="00CC1E25">
            <w:pPr>
              <w:pStyle w:val="CommentaryText"/>
              <w:tabs>
                <w:tab w:val="left" w:pos="3306"/>
              </w:tabs>
              <w:spacing w:after="40"/>
              <w:rPr>
                <w:rFonts w:cs="Calibri"/>
                <w:b/>
                <w:color w:val="FFFFFF" w:themeColor="background1"/>
                <w:szCs w:val="20"/>
              </w:rPr>
            </w:pPr>
            <w:r w:rsidRPr="006C7C66">
              <w:rPr>
                <w:rFonts w:cs="Calibri"/>
                <w:b/>
                <w:color w:val="FFFFFF" w:themeColor="background1"/>
                <w:szCs w:val="20"/>
              </w:rPr>
              <w:t>Auditor’s Remuneration</w:t>
            </w:r>
          </w:p>
        </w:tc>
      </w:tr>
      <w:tr w:rsidR="00B13E02" w:rsidRPr="00CF7E1B" w14:paraId="492E4DF6"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4"/>
        </w:trPr>
        <w:tc>
          <w:tcPr>
            <w:tcW w:w="741" w:type="pct"/>
            <w:tcBorders>
              <w:left w:val="single" w:sz="2" w:space="0" w:color="auto"/>
              <w:right w:val="single" w:sz="2" w:space="0" w:color="auto"/>
            </w:tcBorders>
          </w:tcPr>
          <w:p w14:paraId="708D733B" w14:textId="7947A5CC" w:rsidR="00B13E02" w:rsidRPr="00DC6A20" w:rsidRDefault="00B13E02" w:rsidP="00B13E02">
            <w:pPr>
              <w:pStyle w:val="TableReference"/>
              <w:tabs>
                <w:tab w:val="left" w:pos="3306"/>
              </w:tabs>
              <w:spacing w:before="60"/>
              <w:rPr>
                <w:rFonts w:cs="Calibri"/>
                <w:color w:val="auto"/>
                <w:sz w:val="14"/>
              </w:rPr>
            </w:pPr>
            <w:r w:rsidRPr="001E6A24">
              <w:rPr>
                <w:rFonts w:cs="Calibri"/>
                <w:color w:val="7030A0"/>
                <w:sz w:val="14"/>
              </w:rPr>
              <w:t>AASB 1054 10 &amp; 11</w:t>
            </w:r>
          </w:p>
        </w:tc>
        <w:tc>
          <w:tcPr>
            <w:tcW w:w="4222" w:type="pct"/>
            <w:gridSpan w:val="11"/>
            <w:tcBorders>
              <w:left w:val="single" w:sz="2" w:space="0" w:color="auto"/>
            </w:tcBorders>
            <w:shd w:val="clear" w:color="auto" w:fill="7030A0"/>
          </w:tcPr>
          <w:p w14:paraId="5E8A0641" w14:textId="49A95AAF" w:rsidR="00B13E02" w:rsidRPr="001E6A24" w:rsidRDefault="00B13E02" w:rsidP="006C7C66">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 xml:space="preserve">AASB 1054 </w:t>
            </w:r>
            <w:r w:rsidRPr="00EC47A0">
              <w:rPr>
                <w:rFonts w:cs="Calibri"/>
                <w:i/>
                <w:iCs/>
                <w:color w:val="FFFFFF" w:themeColor="background1"/>
                <w:sz w:val="18"/>
                <w:szCs w:val="18"/>
              </w:rPr>
              <w:t>Australian Additional Disclosures</w:t>
            </w:r>
            <w:r w:rsidRPr="001E6A24">
              <w:rPr>
                <w:rFonts w:cs="Calibri"/>
                <w:color w:val="FFFFFF" w:themeColor="background1"/>
                <w:sz w:val="18"/>
                <w:szCs w:val="18"/>
              </w:rPr>
              <w:t xml:space="preserve"> requires agencies to disclose the fees to:</w:t>
            </w:r>
          </w:p>
          <w:p w14:paraId="701ED230" w14:textId="77777777" w:rsidR="00B13E02" w:rsidRPr="001E6A24" w:rsidRDefault="00B13E0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an audit or a review of its financial statements; and</w:t>
            </w:r>
          </w:p>
          <w:p w14:paraId="7D8A9976" w14:textId="20E654EE" w:rsidR="00B13E02" w:rsidRPr="001E6A24" w:rsidRDefault="00B13E0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non-audit services in relation to the agency, disclosing separately the nature and amount of each of the non-audit services provided by the auditor.</w:t>
            </w:r>
            <w:r w:rsidR="00FA7C77">
              <w:rPr>
                <w:rFonts w:cs="Calibri"/>
                <w:color w:val="FFFFFF" w:themeColor="background1"/>
                <w:sz w:val="18"/>
                <w:szCs w:val="18"/>
              </w:rPr>
              <w:t xml:space="preserve"> </w:t>
            </w:r>
          </w:p>
        </w:tc>
      </w:tr>
      <w:tr w:rsidR="00B13E02" w:rsidRPr="00CF7E1B" w14:paraId="2B77DDF8"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4"/>
        </w:trPr>
        <w:tc>
          <w:tcPr>
            <w:tcW w:w="741" w:type="pct"/>
            <w:tcBorders>
              <w:left w:val="single" w:sz="2" w:space="0" w:color="auto"/>
              <w:right w:val="single" w:sz="2" w:space="0" w:color="auto"/>
            </w:tcBorders>
          </w:tcPr>
          <w:p w14:paraId="10E3DAFF" w14:textId="77777777" w:rsidR="00B13E02" w:rsidRPr="00976DE1" w:rsidRDefault="00B13E02" w:rsidP="00B13E02">
            <w:pPr>
              <w:pStyle w:val="TableReference"/>
              <w:tabs>
                <w:tab w:val="left" w:pos="3306"/>
              </w:tabs>
              <w:spacing w:before="60"/>
              <w:rPr>
                <w:rFonts w:cs="Calibri"/>
                <w:color w:val="auto"/>
                <w:sz w:val="14"/>
              </w:rPr>
            </w:pPr>
          </w:p>
        </w:tc>
        <w:tc>
          <w:tcPr>
            <w:tcW w:w="4222" w:type="pct"/>
            <w:gridSpan w:val="11"/>
            <w:tcBorders>
              <w:left w:val="single" w:sz="2" w:space="0" w:color="auto"/>
            </w:tcBorders>
            <w:shd w:val="clear" w:color="auto" w:fill="7030A0"/>
          </w:tcPr>
          <w:p w14:paraId="1055179F" w14:textId="65A9380C" w:rsidR="00B13E02" w:rsidRPr="001E6A24" w:rsidRDefault="00B13E02" w:rsidP="006000BC">
            <w:pPr>
              <w:pStyle w:val="CommentaryText"/>
              <w:keepNext/>
              <w:keepLines/>
              <w:tabs>
                <w:tab w:val="left" w:pos="3306"/>
              </w:tabs>
              <w:rPr>
                <w:rFonts w:cs="Calibri"/>
                <w:color w:val="FFFFFF" w:themeColor="background1"/>
                <w:sz w:val="18"/>
                <w:szCs w:val="18"/>
              </w:rPr>
            </w:pPr>
            <w:r w:rsidRPr="001E6A24">
              <w:rPr>
                <w:rFonts w:cs="Calibri"/>
                <w:color w:val="FFFFFF" w:themeColor="background1"/>
                <w:sz w:val="18"/>
                <w:szCs w:val="18"/>
              </w:rPr>
              <w:t>If auditor remuneration amounts are immaterial (when compared to total Supplies and Services) then agencies can include the amount in the ‘Other’ line item within the Supplies and Services note disclosure.</w:t>
            </w:r>
          </w:p>
        </w:tc>
      </w:tr>
      <w:tr w:rsidR="009D77F8" w:rsidRPr="00CF7E1B" w14:paraId="32243DA1" w14:textId="77777777" w:rsidTr="005F5F76">
        <w:trPr>
          <w:gridAfter w:val="2"/>
          <w:wAfter w:w="37" w:type="pct"/>
          <w:trHeight w:hRule="exact" w:val="798"/>
        </w:trPr>
        <w:tc>
          <w:tcPr>
            <w:tcW w:w="741" w:type="pct"/>
            <w:tcBorders>
              <w:top w:val="nil"/>
              <w:left w:val="single" w:sz="2" w:space="0" w:color="auto"/>
              <w:bottom w:val="nil"/>
              <w:right w:val="single" w:sz="2" w:space="0" w:color="auto"/>
            </w:tcBorders>
          </w:tcPr>
          <w:p w14:paraId="191A1937" w14:textId="77777777" w:rsidR="009D77F8" w:rsidRPr="00627844" w:rsidRDefault="001C480E" w:rsidP="00DC42B3">
            <w:pPr>
              <w:pStyle w:val="TableText"/>
              <w:tabs>
                <w:tab w:val="left" w:pos="3306"/>
              </w:tabs>
              <w:spacing w:before="240" w:after="240"/>
              <w:rPr>
                <w:rFonts w:cs="Calibri"/>
                <w:b/>
                <w:color w:val="7030A0"/>
                <w:sz w:val="22"/>
                <w:szCs w:val="22"/>
              </w:rPr>
            </w:pPr>
            <w:bookmarkStart w:id="490" w:name="GrantsandPurch" w:colFirst="1" w:colLast="1"/>
            <w:r w:rsidRPr="00627844">
              <w:rPr>
                <w:rFonts w:cs="Calibri"/>
                <w:b/>
                <w:color w:val="7030A0"/>
                <w:sz w:val="22"/>
                <w:szCs w:val="22"/>
              </w:rPr>
              <w:t>Reference</w:t>
            </w:r>
          </w:p>
        </w:tc>
        <w:tc>
          <w:tcPr>
            <w:tcW w:w="4222" w:type="pct"/>
            <w:gridSpan w:val="11"/>
            <w:tcBorders>
              <w:top w:val="nil"/>
              <w:left w:val="single" w:sz="2" w:space="0" w:color="auto"/>
              <w:bottom w:val="nil"/>
              <w:right w:val="nil"/>
            </w:tcBorders>
          </w:tcPr>
          <w:p w14:paraId="19461F1C" w14:textId="39DC1E49" w:rsidR="009D77F8" w:rsidRPr="00627844" w:rsidRDefault="00DE4F6D" w:rsidP="00DC42B3">
            <w:pPr>
              <w:pStyle w:val="Heading1"/>
              <w:numPr>
                <w:ilvl w:val="0"/>
                <w:numId w:val="0"/>
              </w:numPr>
            </w:pPr>
            <w:bookmarkStart w:id="491" w:name="_Toc49224036"/>
            <w:bookmarkStart w:id="492" w:name="_Ref50365415"/>
            <w:bookmarkStart w:id="493" w:name="_Toc50440353"/>
            <w:bookmarkStart w:id="494" w:name="_Ref50523972"/>
            <w:bookmarkStart w:id="495" w:name="_Toc400627333"/>
            <w:bookmarkStart w:id="496" w:name="_Toc132743794"/>
            <w:r w:rsidRPr="00627844">
              <w:t xml:space="preserve">Note </w:t>
            </w:r>
            <w:r w:rsidR="003A4053" w:rsidRPr="00627844">
              <w:t>1</w:t>
            </w:r>
            <w:r w:rsidR="00837523" w:rsidRPr="00627844">
              <w:t>2</w:t>
            </w:r>
            <w:r w:rsidRPr="00627844">
              <w:t>.</w:t>
            </w:r>
            <w:r w:rsidR="00FA7C77">
              <w:t xml:space="preserve"> </w:t>
            </w:r>
            <w:r w:rsidR="00C129D8" w:rsidRPr="00627844">
              <w:t xml:space="preserve"> </w:t>
            </w:r>
            <w:r w:rsidR="009D77F8" w:rsidRPr="00627844">
              <w:t>Grants and Purchased Services</w:t>
            </w:r>
            <w:bookmarkEnd w:id="491"/>
            <w:bookmarkEnd w:id="492"/>
            <w:bookmarkEnd w:id="493"/>
            <w:bookmarkEnd w:id="494"/>
            <w:bookmarkEnd w:id="495"/>
            <w:bookmarkEnd w:id="496"/>
          </w:p>
        </w:tc>
      </w:tr>
      <w:tr w:rsidR="00797480" w:rsidRPr="00CF7E1B" w14:paraId="5C62C4AC" w14:textId="77777777" w:rsidTr="005F5F76">
        <w:trPr>
          <w:gridAfter w:val="2"/>
          <w:wAfter w:w="37" w:type="pct"/>
          <w:trHeight w:hRule="exact" w:val="305"/>
        </w:trPr>
        <w:tc>
          <w:tcPr>
            <w:tcW w:w="741" w:type="pct"/>
            <w:tcBorders>
              <w:top w:val="nil"/>
              <w:left w:val="single" w:sz="2" w:space="0" w:color="auto"/>
              <w:bottom w:val="nil"/>
              <w:right w:val="single" w:sz="2" w:space="0" w:color="auto"/>
            </w:tcBorders>
          </w:tcPr>
          <w:p w14:paraId="758B8AD3" w14:textId="77777777" w:rsidR="00797480" w:rsidRPr="00627844" w:rsidRDefault="00797480" w:rsidP="00797480">
            <w:pPr>
              <w:pStyle w:val="TableText"/>
              <w:tabs>
                <w:tab w:val="left" w:pos="3306"/>
              </w:tabs>
              <w:spacing w:before="0"/>
              <w:rPr>
                <w:rFonts w:cs="Calibri"/>
                <w:b/>
                <w:color w:val="7030A0"/>
                <w:sz w:val="20"/>
                <w:szCs w:val="20"/>
              </w:rPr>
            </w:pPr>
          </w:p>
        </w:tc>
        <w:tc>
          <w:tcPr>
            <w:tcW w:w="4222" w:type="pct"/>
            <w:gridSpan w:val="11"/>
            <w:tcBorders>
              <w:top w:val="nil"/>
              <w:left w:val="single" w:sz="2" w:space="0" w:color="auto"/>
              <w:bottom w:val="nil"/>
              <w:right w:val="nil"/>
            </w:tcBorders>
          </w:tcPr>
          <w:p w14:paraId="0559AD87" w14:textId="6F434A1E" w:rsidR="00797480" w:rsidRPr="006D1C79" w:rsidRDefault="00FC3E9D" w:rsidP="006D1C79">
            <w:pPr>
              <w:rPr>
                <w:b/>
                <w:bCs/>
                <w:caps/>
                <w:sz w:val="18"/>
                <w:szCs w:val="18"/>
              </w:rPr>
            </w:pPr>
            <w:bookmarkStart w:id="497" w:name="_Toc98763096"/>
            <w:r w:rsidRPr="006D1C79">
              <w:rPr>
                <w:b/>
                <w:bCs/>
                <w:sz w:val="18"/>
                <w:szCs w:val="18"/>
              </w:rPr>
              <w:t xml:space="preserve">Description and Material Accounting Policies relating to </w:t>
            </w:r>
            <w:bookmarkStart w:id="498" w:name="_Hlk101448502"/>
            <w:r w:rsidR="00797480" w:rsidRPr="006D1C79">
              <w:rPr>
                <w:b/>
                <w:bCs/>
                <w:sz w:val="18"/>
                <w:szCs w:val="18"/>
              </w:rPr>
              <w:t>Grants and Purchased Services</w:t>
            </w:r>
            <w:bookmarkEnd w:id="497"/>
            <w:bookmarkEnd w:id="498"/>
          </w:p>
        </w:tc>
      </w:tr>
      <w:bookmarkEnd w:id="490"/>
      <w:tr w:rsidR="009D77F8" w:rsidRPr="00CF7E1B" w14:paraId="53DFD78A"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35D15C4" w14:textId="77777777" w:rsidR="009D77F8" w:rsidRPr="00627844" w:rsidRDefault="009D77F8">
            <w:pPr>
              <w:pStyle w:val="TableReference"/>
              <w:tabs>
                <w:tab w:val="left" w:pos="3306"/>
              </w:tabs>
              <w:spacing w:before="40"/>
              <w:rPr>
                <w:rFonts w:cs="Calibri"/>
                <w:color w:val="7030A0"/>
                <w:sz w:val="14"/>
              </w:rPr>
            </w:pPr>
            <w:r w:rsidRPr="00627844">
              <w:rPr>
                <w:rFonts w:cs="Calibri"/>
                <w:color w:val="7030A0"/>
                <w:sz w:val="14"/>
              </w:rPr>
              <w:t>ACT Disclosure Policy</w:t>
            </w:r>
          </w:p>
        </w:tc>
        <w:tc>
          <w:tcPr>
            <w:tcW w:w="4222" w:type="pct"/>
            <w:gridSpan w:val="11"/>
            <w:tcBorders>
              <w:top w:val="nil"/>
              <w:left w:val="single" w:sz="2" w:space="0" w:color="auto"/>
              <w:bottom w:val="nil"/>
              <w:right w:val="nil"/>
            </w:tcBorders>
            <w:vAlign w:val="bottom"/>
          </w:tcPr>
          <w:p w14:paraId="5808E36D" w14:textId="2F3B0CCC" w:rsidR="009D77F8" w:rsidRPr="006D1C79" w:rsidRDefault="009D77F8" w:rsidP="006D1C79">
            <w:pPr>
              <w:spacing w:after="120"/>
              <w:jc w:val="both"/>
              <w:rPr>
                <w:sz w:val="18"/>
                <w:szCs w:val="18"/>
              </w:rPr>
            </w:pPr>
            <w:bookmarkStart w:id="499" w:name="_Hlk90635734"/>
            <w:r w:rsidRPr="006D1C79">
              <w:rPr>
                <w:sz w:val="18"/>
                <w:szCs w:val="18"/>
              </w:rPr>
              <w:t>Grants are amounts provided to ACT Government agencies and non</w:t>
            </w:r>
            <w:r w:rsidRPr="006D1C79">
              <w:rPr>
                <w:sz w:val="18"/>
                <w:szCs w:val="18"/>
              </w:rPr>
              <w:noBreakHyphen/>
              <w:t>ACT Government agencies for general assistance or for a particular purpose</w:t>
            </w:r>
            <w:bookmarkEnd w:id="499"/>
            <w:r w:rsidRPr="006D1C79">
              <w:rPr>
                <w:sz w:val="18"/>
                <w:szCs w:val="18"/>
              </w:rPr>
              <w:t>.</w:t>
            </w:r>
            <w:r w:rsidR="00FA7C77" w:rsidRPr="006D1C79">
              <w:rPr>
                <w:sz w:val="18"/>
                <w:szCs w:val="18"/>
              </w:rPr>
              <w:t xml:space="preserve"> </w:t>
            </w:r>
            <w:r w:rsidRPr="006D1C79">
              <w:rPr>
                <w:sz w:val="18"/>
                <w:szCs w:val="18"/>
              </w:rPr>
              <w:t>Grants may be for capital, current or recurrent purposes and the name or category reflects the use of the grant.</w:t>
            </w:r>
            <w:r w:rsidR="00FA7C77" w:rsidRPr="006D1C79">
              <w:rPr>
                <w:sz w:val="18"/>
                <w:szCs w:val="18"/>
              </w:rPr>
              <w:t xml:space="preserve"> </w:t>
            </w:r>
            <w:r w:rsidRPr="006D1C79">
              <w:rPr>
                <w:sz w:val="18"/>
                <w:szCs w:val="18"/>
              </w:rPr>
              <w:t>The grants given are usually subject to terms and conditions set out in the contract, correspondence, or by legislation.</w:t>
            </w:r>
            <w:r w:rsidR="00FA7C77" w:rsidRPr="006D1C79">
              <w:rPr>
                <w:sz w:val="18"/>
                <w:szCs w:val="18"/>
              </w:rPr>
              <w:t xml:space="preserve">  </w:t>
            </w:r>
          </w:p>
          <w:p w14:paraId="74ED6F9D" w14:textId="0B62A56A" w:rsidR="001053C0" w:rsidRPr="006D1C79" w:rsidRDefault="00C91C6F" w:rsidP="006D1C79">
            <w:pPr>
              <w:spacing w:after="120"/>
              <w:jc w:val="both"/>
              <w:rPr>
                <w:sz w:val="18"/>
                <w:szCs w:val="18"/>
              </w:rPr>
            </w:pPr>
            <w:r w:rsidRPr="006D1C79">
              <w:rPr>
                <w:sz w:val="18"/>
                <w:szCs w:val="18"/>
              </w:rPr>
              <w:t xml:space="preserve">Grants </w:t>
            </w:r>
            <w:r w:rsidR="001053C0" w:rsidRPr="006D1C79">
              <w:rPr>
                <w:sz w:val="18"/>
                <w:szCs w:val="18"/>
              </w:rPr>
              <w:t>are goods, services</w:t>
            </w:r>
            <w:r w:rsidRPr="006D1C79">
              <w:rPr>
                <w:sz w:val="18"/>
                <w:szCs w:val="18"/>
              </w:rPr>
              <w:t xml:space="preserve"> or</w:t>
            </w:r>
            <w:r w:rsidR="001053C0" w:rsidRPr="006D1C79">
              <w:rPr>
                <w:sz w:val="18"/>
                <w:szCs w:val="18"/>
              </w:rPr>
              <w:t xml:space="preserve"> assets </w:t>
            </w:r>
            <w:r w:rsidRPr="006D1C79">
              <w:rPr>
                <w:sz w:val="18"/>
                <w:szCs w:val="18"/>
              </w:rPr>
              <w:t>th</w:t>
            </w:r>
            <w:r w:rsidR="003A4B88" w:rsidRPr="006D1C79">
              <w:rPr>
                <w:sz w:val="18"/>
                <w:szCs w:val="18"/>
              </w:rPr>
              <w:t>at</w:t>
            </w:r>
            <w:r w:rsidRPr="006D1C79">
              <w:rPr>
                <w:sz w:val="18"/>
                <w:szCs w:val="18"/>
              </w:rPr>
              <w:t xml:space="preserve"> are provided to </w:t>
            </w:r>
            <w:r w:rsidR="001053C0" w:rsidRPr="006D1C79">
              <w:rPr>
                <w:sz w:val="18"/>
                <w:szCs w:val="18"/>
              </w:rPr>
              <w:t xml:space="preserve">another </w:t>
            </w:r>
            <w:r w:rsidRPr="006D1C79">
              <w:rPr>
                <w:sz w:val="18"/>
                <w:szCs w:val="18"/>
              </w:rPr>
              <w:t xml:space="preserve">entity </w:t>
            </w:r>
            <w:r w:rsidR="001053C0" w:rsidRPr="006D1C79">
              <w:rPr>
                <w:sz w:val="18"/>
                <w:szCs w:val="18"/>
              </w:rPr>
              <w:t>without receiving approximately equal value in return.</w:t>
            </w:r>
            <w:r w:rsidR="00FA7C77" w:rsidRPr="006D1C79">
              <w:rPr>
                <w:sz w:val="18"/>
                <w:szCs w:val="18"/>
              </w:rPr>
              <w:t xml:space="preserve"> </w:t>
            </w:r>
            <w:r w:rsidRPr="006D1C79">
              <w:rPr>
                <w:sz w:val="18"/>
                <w:szCs w:val="18"/>
              </w:rPr>
              <w:t xml:space="preserve">‘Burley Griffin Agency’ provides recurrent grants to various community organisations under four different grant programs. </w:t>
            </w:r>
            <w:r w:rsidR="00732BBD" w:rsidRPr="006D1C79">
              <w:rPr>
                <w:sz w:val="18"/>
                <w:szCs w:val="18"/>
              </w:rPr>
              <w:t xml:space="preserve">Capital Grants are payments from ‘Burley Griffin Agency’ that are provided to Non-Government Organisations for the construction of new buildings or to upgrade existing buildings. </w:t>
            </w:r>
            <w:r w:rsidRPr="006D1C79">
              <w:rPr>
                <w:sz w:val="18"/>
                <w:szCs w:val="18"/>
              </w:rPr>
              <w:t>Recurrent Grants expenditure is generally recognised when the services have been performed by the grantee or the grant eligibility criteria has been satisfied.</w:t>
            </w:r>
            <w:r w:rsidR="00FA7C77" w:rsidRPr="006D1C79">
              <w:rPr>
                <w:sz w:val="18"/>
                <w:szCs w:val="18"/>
              </w:rPr>
              <w:t xml:space="preserve"> </w:t>
            </w:r>
            <w:r w:rsidR="00683745" w:rsidRPr="006D1C79">
              <w:rPr>
                <w:sz w:val="18"/>
                <w:szCs w:val="18"/>
              </w:rPr>
              <w:t>Capital Grant expenses are recognised in the reporting period in which they are paid or payable.</w:t>
            </w:r>
          </w:p>
        </w:tc>
      </w:tr>
      <w:tr w:rsidR="001D1137" w:rsidRPr="00CF7E1B" w14:paraId="7F54C341"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BE8241A" w14:textId="77777777" w:rsidR="001D1137" w:rsidRPr="00627844" w:rsidRDefault="001D1137">
            <w:pPr>
              <w:pStyle w:val="TableReference"/>
              <w:tabs>
                <w:tab w:val="left" w:pos="3306"/>
              </w:tabs>
              <w:spacing w:before="40"/>
              <w:rPr>
                <w:rFonts w:cs="Calibri"/>
                <w:color w:val="7030A0"/>
                <w:sz w:val="16"/>
                <w:szCs w:val="16"/>
              </w:rPr>
            </w:pPr>
          </w:p>
        </w:tc>
        <w:tc>
          <w:tcPr>
            <w:tcW w:w="4222" w:type="pct"/>
            <w:gridSpan w:val="11"/>
            <w:tcBorders>
              <w:top w:val="nil"/>
              <w:left w:val="single" w:sz="2" w:space="0" w:color="auto"/>
              <w:bottom w:val="nil"/>
              <w:right w:val="nil"/>
            </w:tcBorders>
            <w:vAlign w:val="bottom"/>
          </w:tcPr>
          <w:p w14:paraId="63BDB1A4" w14:textId="1241FFDC" w:rsidR="001D1137" w:rsidRPr="006D1C79" w:rsidRDefault="001D1137" w:rsidP="006D1C79">
            <w:pPr>
              <w:spacing w:after="120"/>
              <w:jc w:val="both"/>
              <w:rPr>
                <w:sz w:val="18"/>
                <w:szCs w:val="18"/>
              </w:rPr>
            </w:pPr>
            <w:r w:rsidRPr="006D1C79">
              <w:rPr>
                <w:sz w:val="18"/>
                <w:szCs w:val="18"/>
              </w:rPr>
              <w:t>Purchased services are amounts paid to obtain services from other ACT Government agencies and external parties.</w:t>
            </w:r>
            <w:r w:rsidR="00FA7C77" w:rsidRPr="006D1C79">
              <w:rPr>
                <w:sz w:val="18"/>
                <w:szCs w:val="18"/>
              </w:rPr>
              <w:t xml:space="preserve"> </w:t>
            </w:r>
            <w:r w:rsidR="00055C59" w:rsidRPr="006D1C79">
              <w:rPr>
                <w:sz w:val="18"/>
                <w:szCs w:val="18"/>
              </w:rPr>
              <w:t>These transaction are reciprocal in nature.</w:t>
            </w:r>
          </w:p>
        </w:tc>
      </w:tr>
      <w:tr w:rsidR="009D77F8" w:rsidRPr="00CF7E1B" w14:paraId="2352A68A" w14:textId="77777777" w:rsidTr="005F5F76">
        <w:trPr>
          <w:gridAfter w:val="2"/>
          <w:wAfter w:w="37" w:type="pct"/>
          <w:trHeight w:val="23"/>
        </w:trPr>
        <w:tc>
          <w:tcPr>
            <w:tcW w:w="741" w:type="pct"/>
            <w:tcBorders>
              <w:top w:val="nil"/>
              <w:left w:val="single" w:sz="2" w:space="0" w:color="auto"/>
              <w:bottom w:val="nil"/>
              <w:right w:val="single" w:sz="2" w:space="0" w:color="auto"/>
            </w:tcBorders>
            <w:vAlign w:val="bottom"/>
          </w:tcPr>
          <w:p w14:paraId="4D5CAC90" w14:textId="77777777" w:rsidR="009D77F8" w:rsidRPr="00627844" w:rsidRDefault="009D77F8">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7754EB92" w14:textId="77777777" w:rsidR="009D77F8" w:rsidRPr="00627844" w:rsidRDefault="009D77F8">
            <w:pPr>
              <w:pStyle w:val="TableTitle"/>
              <w:tabs>
                <w:tab w:val="left" w:pos="3306"/>
              </w:tabs>
              <w:rPr>
                <w:rFonts w:cs="Calibri"/>
              </w:rPr>
            </w:pPr>
          </w:p>
        </w:tc>
        <w:tc>
          <w:tcPr>
            <w:tcW w:w="718" w:type="pct"/>
            <w:gridSpan w:val="5"/>
            <w:tcBorders>
              <w:top w:val="nil"/>
              <w:left w:val="nil"/>
              <w:bottom w:val="nil"/>
              <w:right w:val="nil"/>
            </w:tcBorders>
            <w:vAlign w:val="bottom"/>
          </w:tcPr>
          <w:p w14:paraId="0FDE4963" w14:textId="59079649" w:rsidR="009D77F8" w:rsidRPr="00627844" w:rsidRDefault="001E7E5D" w:rsidP="001E7E5D">
            <w:pPr>
              <w:pStyle w:val="TableTitle"/>
              <w:tabs>
                <w:tab w:val="left" w:pos="3306"/>
              </w:tabs>
              <w:rPr>
                <w:rFonts w:cs="Calibri"/>
              </w:rPr>
            </w:pPr>
            <w:bookmarkStart w:id="500" w:name="_Toc48468470"/>
            <w:bookmarkStart w:id="501" w:name="_Toc49155587"/>
            <w:bookmarkStart w:id="502" w:name="_Toc49224037"/>
            <w:r w:rsidRPr="00627844">
              <w:rPr>
                <w:rFonts w:cs="Calibri"/>
              </w:rPr>
              <w:t>202</w:t>
            </w:r>
            <w:r w:rsidR="00F305E9">
              <w:rPr>
                <w:rFonts w:cs="Calibri"/>
              </w:rPr>
              <w:t>3</w:t>
            </w:r>
          </w:p>
          <w:bookmarkEnd w:id="500"/>
          <w:bookmarkEnd w:id="501"/>
          <w:bookmarkEnd w:id="502"/>
          <w:p w14:paraId="5DB20C7E" w14:textId="77777777" w:rsidR="009D77F8" w:rsidRPr="00627844" w:rsidRDefault="009D77F8">
            <w:pPr>
              <w:pStyle w:val="TableTitle"/>
              <w:tabs>
                <w:tab w:val="left" w:pos="3306"/>
              </w:tabs>
              <w:rPr>
                <w:rFonts w:cs="Calibri"/>
              </w:rPr>
            </w:pPr>
            <w:r w:rsidRPr="00627844">
              <w:rPr>
                <w:rFonts w:cs="Calibri"/>
              </w:rPr>
              <w:t>$’000</w:t>
            </w:r>
          </w:p>
        </w:tc>
        <w:tc>
          <w:tcPr>
            <w:tcW w:w="822" w:type="pct"/>
            <w:gridSpan w:val="3"/>
            <w:tcBorders>
              <w:top w:val="nil"/>
              <w:left w:val="nil"/>
              <w:bottom w:val="nil"/>
              <w:right w:val="nil"/>
            </w:tcBorders>
            <w:vAlign w:val="bottom"/>
          </w:tcPr>
          <w:p w14:paraId="12961A17" w14:textId="64B8AB3D" w:rsidR="009D77F8" w:rsidRPr="00627844" w:rsidRDefault="00AB4981">
            <w:pPr>
              <w:pStyle w:val="TableTitle"/>
              <w:tabs>
                <w:tab w:val="left" w:pos="3306"/>
              </w:tabs>
              <w:rPr>
                <w:rFonts w:cs="Calibri"/>
              </w:rPr>
            </w:pPr>
            <w:bookmarkStart w:id="503" w:name="_Toc48468471"/>
            <w:bookmarkStart w:id="504" w:name="_Toc49155588"/>
            <w:bookmarkStart w:id="505" w:name="_Toc49224038"/>
            <w:r w:rsidRPr="00627844">
              <w:rPr>
                <w:rFonts w:cs="Calibri"/>
              </w:rPr>
              <w:t>202</w:t>
            </w:r>
            <w:r w:rsidR="00F305E9">
              <w:rPr>
                <w:rFonts w:cs="Calibri"/>
              </w:rPr>
              <w:t>2</w:t>
            </w:r>
          </w:p>
          <w:bookmarkEnd w:id="503"/>
          <w:bookmarkEnd w:id="504"/>
          <w:bookmarkEnd w:id="505"/>
          <w:p w14:paraId="23738F71" w14:textId="77777777" w:rsidR="009D77F8" w:rsidRPr="00627844" w:rsidRDefault="009D77F8">
            <w:pPr>
              <w:pStyle w:val="TableTitle"/>
              <w:tabs>
                <w:tab w:val="left" w:pos="3306"/>
              </w:tabs>
              <w:rPr>
                <w:rFonts w:cs="Calibri"/>
              </w:rPr>
            </w:pPr>
            <w:r w:rsidRPr="00627844">
              <w:rPr>
                <w:rFonts w:cs="Calibri"/>
              </w:rPr>
              <w:t>$’000</w:t>
            </w:r>
          </w:p>
        </w:tc>
      </w:tr>
      <w:tr w:rsidR="009D77F8" w:rsidRPr="00CF7E1B" w14:paraId="7DFCCD20"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2C80DFE2" w14:textId="3F2DDE6B" w:rsidR="009D77F8" w:rsidRPr="00627844" w:rsidRDefault="003E2554" w:rsidP="00956A70">
            <w:pPr>
              <w:pStyle w:val="TableReference"/>
              <w:tabs>
                <w:tab w:val="left" w:pos="3306"/>
              </w:tabs>
              <w:rPr>
                <w:rFonts w:cs="Calibri"/>
                <w:color w:val="7030A0"/>
                <w:sz w:val="16"/>
                <w:szCs w:val="16"/>
              </w:rPr>
            </w:pPr>
            <w:r w:rsidRPr="00627844">
              <w:rPr>
                <w:rFonts w:cs="Calibri"/>
                <w:color w:val="7030A0"/>
                <w:sz w:val="14"/>
              </w:rPr>
              <w:t>ACT Disclosure Policy</w:t>
            </w:r>
          </w:p>
        </w:tc>
        <w:tc>
          <w:tcPr>
            <w:tcW w:w="2682" w:type="pct"/>
            <w:gridSpan w:val="3"/>
            <w:tcBorders>
              <w:top w:val="nil"/>
              <w:left w:val="single" w:sz="2" w:space="0" w:color="auto"/>
              <w:bottom w:val="nil"/>
              <w:right w:val="nil"/>
            </w:tcBorders>
            <w:vAlign w:val="bottom"/>
          </w:tcPr>
          <w:p w14:paraId="6719B611" w14:textId="77777777" w:rsidR="009D77F8" w:rsidRPr="00627844" w:rsidRDefault="009D77F8" w:rsidP="00956A70">
            <w:pPr>
              <w:pStyle w:val="TableText"/>
              <w:tabs>
                <w:tab w:val="left" w:pos="3306"/>
              </w:tabs>
              <w:spacing w:before="0"/>
              <w:rPr>
                <w:rFonts w:cs="Calibri"/>
                <w:b/>
                <w:bCs/>
              </w:rPr>
            </w:pPr>
            <w:r w:rsidRPr="00627844">
              <w:rPr>
                <w:rFonts w:cs="Calibri"/>
                <w:b/>
                <w:bCs/>
              </w:rPr>
              <w:t>Recurrent Grants</w:t>
            </w:r>
          </w:p>
        </w:tc>
        <w:tc>
          <w:tcPr>
            <w:tcW w:w="718" w:type="pct"/>
            <w:gridSpan w:val="5"/>
            <w:tcBorders>
              <w:top w:val="nil"/>
              <w:left w:val="nil"/>
              <w:bottom w:val="nil"/>
              <w:right w:val="nil"/>
            </w:tcBorders>
            <w:vAlign w:val="bottom"/>
          </w:tcPr>
          <w:p w14:paraId="606AA9A1" w14:textId="025FE470" w:rsidR="009D77F8" w:rsidRPr="00627844" w:rsidRDefault="009D77F8" w:rsidP="00956A70">
            <w:pPr>
              <w:pStyle w:val="TableText"/>
              <w:tabs>
                <w:tab w:val="left" w:pos="3306"/>
              </w:tabs>
              <w:spacing w:before="0"/>
              <w:jc w:val="right"/>
              <w:rPr>
                <w:rFonts w:cs="Calibri"/>
              </w:rPr>
            </w:pPr>
          </w:p>
        </w:tc>
        <w:tc>
          <w:tcPr>
            <w:tcW w:w="822" w:type="pct"/>
            <w:gridSpan w:val="3"/>
            <w:tcBorders>
              <w:top w:val="nil"/>
              <w:left w:val="nil"/>
              <w:bottom w:val="nil"/>
              <w:right w:val="nil"/>
            </w:tcBorders>
            <w:vAlign w:val="bottom"/>
          </w:tcPr>
          <w:p w14:paraId="76FA5E33" w14:textId="6F4698C6" w:rsidR="009D77F8" w:rsidRPr="00627844" w:rsidRDefault="009D77F8" w:rsidP="00956A70">
            <w:pPr>
              <w:pStyle w:val="TableText"/>
              <w:tabs>
                <w:tab w:val="left" w:pos="3306"/>
              </w:tabs>
              <w:spacing w:before="0"/>
              <w:jc w:val="right"/>
              <w:rPr>
                <w:rFonts w:cs="Calibri"/>
              </w:rPr>
            </w:pPr>
          </w:p>
        </w:tc>
      </w:tr>
      <w:tr w:rsidR="00F94364" w:rsidRPr="00CF7E1B" w14:paraId="358F0B9C"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ACC0CB8" w14:textId="77777777" w:rsidR="00F94364" w:rsidRPr="00627844" w:rsidRDefault="00F94364">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1110D340" w14:textId="1EEFE5F6" w:rsidR="00F94364" w:rsidRPr="006F6F51" w:rsidRDefault="00F94364">
            <w:pPr>
              <w:pStyle w:val="TableText"/>
              <w:tabs>
                <w:tab w:val="left" w:pos="3306"/>
              </w:tabs>
              <w:rPr>
                <w:rFonts w:cs="Calibri"/>
                <w:strike/>
              </w:rPr>
            </w:pPr>
            <w:bookmarkStart w:id="506" w:name="_Hlk101448441"/>
            <w:r w:rsidRPr="006F6F51">
              <w:rPr>
                <w:rFonts w:cs="Calibri"/>
                <w:strike/>
                <w:color w:val="FF0000"/>
              </w:rPr>
              <w:t>Jobs for Canberrans</w:t>
            </w:r>
            <w:bookmarkEnd w:id="506"/>
          </w:p>
        </w:tc>
        <w:tc>
          <w:tcPr>
            <w:tcW w:w="718" w:type="pct"/>
            <w:gridSpan w:val="5"/>
            <w:tcBorders>
              <w:top w:val="nil"/>
              <w:left w:val="nil"/>
              <w:bottom w:val="nil"/>
              <w:right w:val="nil"/>
            </w:tcBorders>
            <w:vAlign w:val="bottom"/>
          </w:tcPr>
          <w:p w14:paraId="4D850103" w14:textId="77777777" w:rsidR="00F94364" w:rsidRPr="00627844" w:rsidRDefault="00F94364">
            <w:pPr>
              <w:pStyle w:val="TableText"/>
              <w:tabs>
                <w:tab w:val="left" w:pos="3306"/>
              </w:tabs>
              <w:jc w:val="right"/>
              <w:rPr>
                <w:rFonts w:cs="Calibri"/>
              </w:rPr>
            </w:pPr>
          </w:p>
        </w:tc>
        <w:tc>
          <w:tcPr>
            <w:tcW w:w="822" w:type="pct"/>
            <w:gridSpan w:val="3"/>
            <w:tcBorders>
              <w:top w:val="nil"/>
              <w:left w:val="nil"/>
              <w:bottom w:val="nil"/>
              <w:right w:val="nil"/>
            </w:tcBorders>
            <w:vAlign w:val="bottom"/>
          </w:tcPr>
          <w:p w14:paraId="0284A3DD" w14:textId="77777777" w:rsidR="00F94364" w:rsidRPr="00627844" w:rsidRDefault="00F94364">
            <w:pPr>
              <w:pStyle w:val="TableText"/>
              <w:tabs>
                <w:tab w:val="left" w:pos="3306"/>
              </w:tabs>
              <w:jc w:val="right"/>
              <w:rPr>
                <w:rFonts w:cs="Calibri"/>
              </w:rPr>
            </w:pPr>
          </w:p>
        </w:tc>
      </w:tr>
      <w:tr w:rsidR="00F94364" w:rsidRPr="00CF7E1B" w14:paraId="1266044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542F6D2" w14:textId="77777777" w:rsidR="00F94364" w:rsidRPr="00627844" w:rsidRDefault="00F94364">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75037AED" w14:textId="270DEB1A" w:rsidR="00F94364" w:rsidRPr="00627844" w:rsidRDefault="00F94364">
            <w:pPr>
              <w:pStyle w:val="TableText"/>
              <w:tabs>
                <w:tab w:val="left" w:pos="3306"/>
              </w:tabs>
              <w:rPr>
                <w:rFonts w:cs="Calibri"/>
              </w:rPr>
            </w:pPr>
            <w:r w:rsidRPr="00627844">
              <w:rPr>
                <w:rFonts w:cs="Calibri"/>
              </w:rPr>
              <w:t>Example Sport Grants Program</w:t>
            </w:r>
          </w:p>
        </w:tc>
        <w:tc>
          <w:tcPr>
            <w:tcW w:w="718" w:type="pct"/>
            <w:gridSpan w:val="5"/>
            <w:tcBorders>
              <w:top w:val="nil"/>
              <w:left w:val="nil"/>
              <w:bottom w:val="nil"/>
              <w:right w:val="nil"/>
            </w:tcBorders>
            <w:vAlign w:val="bottom"/>
          </w:tcPr>
          <w:p w14:paraId="218FCF7C" w14:textId="77777777" w:rsidR="00F94364" w:rsidRPr="00627844" w:rsidRDefault="00F94364">
            <w:pPr>
              <w:pStyle w:val="TableText"/>
              <w:tabs>
                <w:tab w:val="left" w:pos="3306"/>
              </w:tabs>
              <w:jc w:val="right"/>
              <w:rPr>
                <w:rFonts w:cs="Calibri"/>
              </w:rPr>
            </w:pPr>
          </w:p>
        </w:tc>
        <w:tc>
          <w:tcPr>
            <w:tcW w:w="822" w:type="pct"/>
            <w:gridSpan w:val="3"/>
            <w:tcBorders>
              <w:top w:val="nil"/>
              <w:left w:val="nil"/>
              <w:bottom w:val="nil"/>
              <w:right w:val="nil"/>
            </w:tcBorders>
            <w:vAlign w:val="bottom"/>
          </w:tcPr>
          <w:p w14:paraId="2517856A" w14:textId="77777777" w:rsidR="00F94364" w:rsidRPr="00627844" w:rsidRDefault="00F94364">
            <w:pPr>
              <w:pStyle w:val="TableText"/>
              <w:tabs>
                <w:tab w:val="left" w:pos="3306"/>
              </w:tabs>
              <w:jc w:val="right"/>
              <w:rPr>
                <w:rFonts w:cs="Calibri"/>
              </w:rPr>
            </w:pPr>
          </w:p>
        </w:tc>
      </w:tr>
      <w:tr w:rsidR="00F94364" w:rsidRPr="00CF7E1B" w14:paraId="123FE2C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7B8671F" w14:textId="77777777" w:rsidR="00F94364" w:rsidRPr="00627844" w:rsidRDefault="00F94364">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2858FEDC" w14:textId="5EA485F9" w:rsidR="00F94364" w:rsidRPr="00627844" w:rsidRDefault="00593E6F">
            <w:pPr>
              <w:pStyle w:val="TableText"/>
              <w:tabs>
                <w:tab w:val="left" w:pos="3306"/>
              </w:tabs>
              <w:rPr>
                <w:rFonts w:cs="Calibri"/>
              </w:rPr>
            </w:pPr>
            <w:r w:rsidRPr="00627844">
              <w:rPr>
                <w:rFonts w:cs="Calibri"/>
              </w:rPr>
              <w:t>Example Community Grants Program</w:t>
            </w:r>
          </w:p>
        </w:tc>
        <w:tc>
          <w:tcPr>
            <w:tcW w:w="718" w:type="pct"/>
            <w:gridSpan w:val="5"/>
            <w:tcBorders>
              <w:top w:val="nil"/>
              <w:left w:val="nil"/>
              <w:bottom w:val="nil"/>
              <w:right w:val="nil"/>
            </w:tcBorders>
            <w:vAlign w:val="bottom"/>
          </w:tcPr>
          <w:p w14:paraId="79360C4B" w14:textId="77777777" w:rsidR="00F94364" w:rsidRPr="00627844" w:rsidRDefault="00F94364">
            <w:pPr>
              <w:pStyle w:val="TableText"/>
              <w:tabs>
                <w:tab w:val="left" w:pos="3306"/>
              </w:tabs>
              <w:jc w:val="right"/>
              <w:rPr>
                <w:rFonts w:cs="Calibri"/>
              </w:rPr>
            </w:pPr>
          </w:p>
        </w:tc>
        <w:tc>
          <w:tcPr>
            <w:tcW w:w="822" w:type="pct"/>
            <w:gridSpan w:val="3"/>
            <w:tcBorders>
              <w:top w:val="nil"/>
              <w:left w:val="nil"/>
              <w:bottom w:val="nil"/>
              <w:right w:val="nil"/>
            </w:tcBorders>
            <w:vAlign w:val="bottom"/>
          </w:tcPr>
          <w:p w14:paraId="2982994D" w14:textId="77777777" w:rsidR="00F94364" w:rsidRPr="00627844" w:rsidRDefault="00F94364">
            <w:pPr>
              <w:pStyle w:val="TableText"/>
              <w:tabs>
                <w:tab w:val="left" w:pos="3306"/>
              </w:tabs>
              <w:jc w:val="right"/>
              <w:rPr>
                <w:rFonts w:cs="Calibri"/>
              </w:rPr>
            </w:pPr>
          </w:p>
        </w:tc>
      </w:tr>
      <w:tr w:rsidR="00593E6F" w:rsidRPr="00CF7E1B" w14:paraId="6BFC6E01"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482160A2" w14:textId="77777777" w:rsidR="00593E6F" w:rsidRPr="00627844" w:rsidRDefault="00593E6F">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438514FF" w14:textId="1F95542D" w:rsidR="00593E6F" w:rsidRPr="00627844" w:rsidRDefault="00593E6F">
            <w:pPr>
              <w:pStyle w:val="TableText"/>
              <w:tabs>
                <w:tab w:val="left" w:pos="3306"/>
              </w:tabs>
              <w:rPr>
                <w:rFonts w:cs="Calibri"/>
              </w:rPr>
            </w:pPr>
            <w:r w:rsidRPr="00627844">
              <w:rPr>
                <w:rFonts w:cs="Calibri"/>
              </w:rPr>
              <w:t>Example Environment Program</w:t>
            </w:r>
          </w:p>
        </w:tc>
        <w:tc>
          <w:tcPr>
            <w:tcW w:w="718" w:type="pct"/>
            <w:gridSpan w:val="5"/>
            <w:tcBorders>
              <w:top w:val="nil"/>
              <w:left w:val="nil"/>
              <w:bottom w:val="single" w:sz="4" w:space="0" w:color="auto"/>
              <w:right w:val="nil"/>
            </w:tcBorders>
            <w:vAlign w:val="bottom"/>
          </w:tcPr>
          <w:p w14:paraId="638354EC" w14:textId="77777777" w:rsidR="00593E6F" w:rsidRPr="00627844" w:rsidRDefault="00593E6F">
            <w:pPr>
              <w:pStyle w:val="TableText"/>
              <w:tabs>
                <w:tab w:val="left" w:pos="3306"/>
              </w:tabs>
              <w:jc w:val="right"/>
              <w:rPr>
                <w:rFonts w:cs="Calibri"/>
              </w:rPr>
            </w:pPr>
          </w:p>
        </w:tc>
        <w:tc>
          <w:tcPr>
            <w:tcW w:w="822" w:type="pct"/>
            <w:gridSpan w:val="3"/>
            <w:tcBorders>
              <w:top w:val="nil"/>
              <w:left w:val="nil"/>
              <w:bottom w:val="single" w:sz="4" w:space="0" w:color="auto"/>
              <w:right w:val="nil"/>
            </w:tcBorders>
            <w:vAlign w:val="bottom"/>
          </w:tcPr>
          <w:p w14:paraId="405DDD37" w14:textId="77777777" w:rsidR="00593E6F" w:rsidRPr="00627844" w:rsidRDefault="00593E6F">
            <w:pPr>
              <w:pStyle w:val="TableText"/>
              <w:tabs>
                <w:tab w:val="left" w:pos="3306"/>
              </w:tabs>
              <w:jc w:val="right"/>
              <w:rPr>
                <w:rFonts w:cs="Calibri"/>
              </w:rPr>
            </w:pPr>
          </w:p>
        </w:tc>
      </w:tr>
      <w:tr w:rsidR="00956A70" w:rsidRPr="00CF7E1B" w14:paraId="6DE06407"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D566EE4" w14:textId="77777777" w:rsidR="00956A70" w:rsidRPr="00627844" w:rsidRDefault="00956A70">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77E91EA1" w14:textId="71B67416" w:rsidR="00956A70" w:rsidRPr="00627844" w:rsidRDefault="00956A70" w:rsidP="00956A70">
            <w:pPr>
              <w:pStyle w:val="TableText"/>
              <w:tabs>
                <w:tab w:val="left" w:pos="3306"/>
              </w:tabs>
              <w:spacing w:before="0"/>
              <w:rPr>
                <w:rFonts w:cs="Calibri"/>
                <w:b/>
                <w:bCs/>
              </w:rPr>
            </w:pPr>
            <w:r w:rsidRPr="00627844">
              <w:rPr>
                <w:rFonts w:cs="Calibri"/>
                <w:b/>
                <w:bCs/>
              </w:rPr>
              <w:t>Total Recurrent Grants</w:t>
            </w:r>
          </w:p>
        </w:tc>
        <w:tc>
          <w:tcPr>
            <w:tcW w:w="718" w:type="pct"/>
            <w:gridSpan w:val="5"/>
            <w:tcBorders>
              <w:top w:val="single" w:sz="4" w:space="0" w:color="auto"/>
              <w:left w:val="nil"/>
              <w:bottom w:val="single" w:sz="4" w:space="0" w:color="auto"/>
              <w:right w:val="nil"/>
            </w:tcBorders>
            <w:vAlign w:val="bottom"/>
          </w:tcPr>
          <w:p w14:paraId="454905CB"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single" w:sz="4" w:space="0" w:color="auto"/>
              <w:left w:val="nil"/>
              <w:bottom w:val="single" w:sz="4" w:space="0" w:color="auto"/>
              <w:right w:val="nil"/>
            </w:tcBorders>
            <w:vAlign w:val="bottom"/>
          </w:tcPr>
          <w:p w14:paraId="1D70079A" w14:textId="77777777" w:rsidR="00956A70" w:rsidRPr="00627844" w:rsidRDefault="00956A70" w:rsidP="00956A70">
            <w:pPr>
              <w:pStyle w:val="TableText"/>
              <w:tabs>
                <w:tab w:val="left" w:pos="3306"/>
              </w:tabs>
              <w:spacing w:before="0"/>
              <w:jc w:val="right"/>
              <w:rPr>
                <w:rFonts w:cs="Calibri"/>
              </w:rPr>
            </w:pPr>
          </w:p>
        </w:tc>
      </w:tr>
      <w:tr w:rsidR="00956A70" w:rsidRPr="00CF7E1B" w14:paraId="500241AF"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55E9CF07" w14:textId="77777777" w:rsidR="00956A70" w:rsidRPr="00627844" w:rsidRDefault="00956A70">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05B833B0" w14:textId="77777777" w:rsidR="00956A70" w:rsidRPr="00627844" w:rsidRDefault="00956A70" w:rsidP="00956A70">
            <w:pPr>
              <w:pStyle w:val="TableText"/>
              <w:tabs>
                <w:tab w:val="left" w:pos="3306"/>
              </w:tabs>
              <w:spacing w:before="0"/>
              <w:rPr>
                <w:rFonts w:cs="Calibri"/>
                <w:b/>
                <w:bCs/>
              </w:rPr>
            </w:pPr>
          </w:p>
        </w:tc>
        <w:tc>
          <w:tcPr>
            <w:tcW w:w="718" w:type="pct"/>
            <w:gridSpan w:val="5"/>
            <w:tcBorders>
              <w:top w:val="single" w:sz="4" w:space="0" w:color="auto"/>
              <w:left w:val="nil"/>
              <w:bottom w:val="nil"/>
              <w:right w:val="nil"/>
            </w:tcBorders>
            <w:vAlign w:val="bottom"/>
          </w:tcPr>
          <w:p w14:paraId="06A388E2"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single" w:sz="4" w:space="0" w:color="auto"/>
              <w:left w:val="nil"/>
              <w:bottom w:val="nil"/>
              <w:right w:val="nil"/>
            </w:tcBorders>
            <w:vAlign w:val="bottom"/>
          </w:tcPr>
          <w:p w14:paraId="4AC70471" w14:textId="77777777" w:rsidR="00956A70" w:rsidRPr="00627844" w:rsidRDefault="00956A70" w:rsidP="00956A70">
            <w:pPr>
              <w:pStyle w:val="TableText"/>
              <w:tabs>
                <w:tab w:val="left" w:pos="3306"/>
              </w:tabs>
              <w:spacing w:before="0"/>
              <w:jc w:val="right"/>
              <w:rPr>
                <w:rFonts w:cs="Calibri"/>
              </w:rPr>
            </w:pPr>
          </w:p>
        </w:tc>
      </w:tr>
      <w:tr w:rsidR="009D77F8" w:rsidRPr="00CF7E1B" w14:paraId="02147CC8"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656358A" w14:textId="5DBA7381" w:rsidR="009D77F8" w:rsidRPr="00627844" w:rsidRDefault="003E2554">
            <w:pPr>
              <w:pStyle w:val="TableReference"/>
              <w:tabs>
                <w:tab w:val="left" w:pos="3306"/>
              </w:tabs>
              <w:spacing w:before="40"/>
              <w:rPr>
                <w:rFonts w:cs="Calibri"/>
                <w:color w:val="7030A0"/>
                <w:sz w:val="16"/>
                <w:szCs w:val="16"/>
              </w:rPr>
            </w:pPr>
            <w:r w:rsidRPr="00627844">
              <w:rPr>
                <w:rFonts w:cs="Calibri"/>
                <w:color w:val="7030A0"/>
                <w:sz w:val="14"/>
              </w:rPr>
              <w:t>ACT Disclosure Policy</w:t>
            </w:r>
          </w:p>
        </w:tc>
        <w:tc>
          <w:tcPr>
            <w:tcW w:w="2682" w:type="pct"/>
            <w:gridSpan w:val="3"/>
            <w:tcBorders>
              <w:top w:val="nil"/>
              <w:left w:val="single" w:sz="2" w:space="0" w:color="auto"/>
              <w:bottom w:val="nil"/>
              <w:right w:val="nil"/>
            </w:tcBorders>
            <w:vAlign w:val="bottom"/>
          </w:tcPr>
          <w:p w14:paraId="1450E526" w14:textId="1C8A756F" w:rsidR="009D77F8" w:rsidRPr="00627844" w:rsidRDefault="009D77F8" w:rsidP="00D936CD">
            <w:pPr>
              <w:pStyle w:val="TableText"/>
              <w:tabs>
                <w:tab w:val="left" w:pos="3306"/>
              </w:tabs>
              <w:spacing w:before="120"/>
              <w:rPr>
                <w:rFonts w:cs="Calibri"/>
              </w:rPr>
            </w:pPr>
            <w:r w:rsidRPr="00627844">
              <w:rPr>
                <w:rFonts w:cs="Calibri"/>
                <w:b/>
                <w:bCs/>
              </w:rPr>
              <w:t>Capital Grants</w:t>
            </w:r>
            <w:r w:rsidRPr="00627844">
              <w:rPr>
                <w:rFonts w:cs="Calibri"/>
              </w:rPr>
              <w:t xml:space="preserve"> </w:t>
            </w:r>
            <w:r w:rsidR="00E7007E" w:rsidRPr="00E7007E">
              <w:rPr>
                <w:rFonts w:cs="Calibri"/>
                <w:vertAlign w:val="superscript"/>
              </w:rPr>
              <w:t>a</w:t>
            </w:r>
          </w:p>
        </w:tc>
        <w:tc>
          <w:tcPr>
            <w:tcW w:w="718" w:type="pct"/>
            <w:gridSpan w:val="5"/>
            <w:tcBorders>
              <w:top w:val="nil"/>
              <w:left w:val="nil"/>
              <w:bottom w:val="nil"/>
              <w:right w:val="nil"/>
            </w:tcBorders>
            <w:vAlign w:val="bottom"/>
          </w:tcPr>
          <w:p w14:paraId="7E739980" w14:textId="17064D02" w:rsidR="009D77F8" w:rsidRPr="00627844" w:rsidRDefault="009D77F8">
            <w:pPr>
              <w:pStyle w:val="TableText"/>
              <w:tabs>
                <w:tab w:val="left" w:pos="3306"/>
              </w:tabs>
              <w:jc w:val="right"/>
              <w:rPr>
                <w:rFonts w:cs="Calibri"/>
              </w:rPr>
            </w:pPr>
          </w:p>
        </w:tc>
        <w:tc>
          <w:tcPr>
            <w:tcW w:w="822" w:type="pct"/>
            <w:gridSpan w:val="3"/>
            <w:tcBorders>
              <w:top w:val="nil"/>
              <w:left w:val="nil"/>
              <w:bottom w:val="nil"/>
              <w:right w:val="nil"/>
            </w:tcBorders>
            <w:vAlign w:val="bottom"/>
          </w:tcPr>
          <w:p w14:paraId="33D4B445" w14:textId="33CB3D95" w:rsidR="009D77F8" w:rsidRPr="00627844" w:rsidRDefault="009D77F8">
            <w:pPr>
              <w:pStyle w:val="TableText"/>
              <w:tabs>
                <w:tab w:val="left" w:pos="3306"/>
              </w:tabs>
              <w:jc w:val="right"/>
              <w:rPr>
                <w:rFonts w:cs="Calibri"/>
              </w:rPr>
            </w:pPr>
          </w:p>
        </w:tc>
      </w:tr>
      <w:tr w:rsidR="00D936CD" w:rsidRPr="00CF7E1B" w14:paraId="14ADA34B"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3A869E57" w14:textId="77777777" w:rsidR="00D936CD" w:rsidRPr="00627844" w:rsidRDefault="00D936CD">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59753AD5" w14:textId="39743A39" w:rsidR="00D936CD" w:rsidRPr="00627844" w:rsidRDefault="00D936CD" w:rsidP="00906E7B">
            <w:pPr>
              <w:pStyle w:val="TableText"/>
              <w:tabs>
                <w:tab w:val="left" w:pos="3306"/>
              </w:tabs>
              <w:spacing w:before="0" w:after="40"/>
              <w:ind w:left="187" w:hanging="187"/>
              <w:rPr>
                <w:rFonts w:cs="Calibri"/>
              </w:rPr>
            </w:pPr>
            <w:r w:rsidRPr="00627844">
              <w:rPr>
                <w:rFonts w:cs="Calibri"/>
              </w:rPr>
              <w:t xml:space="preserve">Grant for the Construction of </w:t>
            </w:r>
            <w:r w:rsidRPr="00627844">
              <w:t>short</w:t>
            </w:r>
            <w:r w:rsidR="00DC779A" w:rsidRPr="00627844">
              <w:t>-</w:t>
            </w:r>
            <w:r w:rsidRPr="00627844">
              <w:t>term accommodation for people with disability</w:t>
            </w:r>
          </w:p>
        </w:tc>
        <w:tc>
          <w:tcPr>
            <w:tcW w:w="718" w:type="pct"/>
            <w:gridSpan w:val="5"/>
            <w:tcBorders>
              <w:top w:val="nil"/>
              <w:left w:val="nil"/>
              <w:bottom w:val="single" w:sz="4" w:space="0" w:color="auto"/>
              <w:right w:val="nil"/>
            </w:tcBorders>
            <w:vAlign w:val="bottom"/>
          </w:tcPr>
          <w:p w14:paraId="015EE54F" w14:textId="77777777" w:rsidR="00D936CD" w:rsidRPr="00627844" w:rsidRDefault="00D936CD">
            <w:pPr>
              <w:pStyle w:val="TableText"/>
              <w:tabs>
                <w:tab w:val="left" w:pos="3306"/>
              </w:tabs>
              <w:jc w:val="right"/>
              <w:rPr>
                <w:rFonts w:cs="Calibri"/>
              </w:rPr>
            </w:pPr>
          </w:p>
        </w:tc>
        <w:tc>
          <w:tcPr>
            <w:tcW w:w="822" w:type="pct"/>
            <w:gridSpan w:val="3"/>
            <w:tcBorders>
              <w:top w:val="nil"/>
              <w:left w:val="nil"/>
              <w:bottom w:val="single" w:sz="4" w:space="0" w:color="auto"/>
              <w:right w:val="nil"/>
            </w:tcBorders>
            <w:vAlign w:val="bottom"/>
          </w:tcPr>
          <w:p w14:paraId="308FB8B4" w14:textId="77777777" w:rsidR="00D936CD" w:rsidRPr="00627844" w:rsidRDefault="00D936CD">
            <w:pPr>
              <w:pStyle w:val="TableText"/>
              <w:tabs>
                <w:tab w:val="left" w:pos="3306"/>
              </w:tabs>
              <w:jc w:val="right"/>
              <w:rPr>
                <w:rFonts w:cs="Calibri"/>
              </w:rPr>
            </w:pPr>
          </w:p>
        </w:tc>
      </w:tr>
      <w:tr w:rsidR="00956A70" w:rsidRPr="00CF7E1B" w14:paraId="66EF3DDB"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DB500EC" w14:textId="77777777" w:rsidR="00956A70" w:rsidRPr="00627844" w:rsidRDefault="00956A70" w:rsidP="00956A70">
            <w:pPr>
              <w:pStyle w:val="TableReference"/>
              <w:tabs>
                <w:tab w:val="left" w:pos="3306"/>
              </w:tabs>
              <w:rPr>
                <w:rFonts w:cs="Calibri"/>
                <w:color w:val="7030A0"/>
                <w:sz w:val="16"/>
                <w:szCs w:val="16"/>
              </w:rPr>
            </w:pPr>
          </w:p>
        </w:tc>
        <w:tc>
          <w:tcPr>
            <w:tcW w:w="2682" w:type="pct"/>
            <w:gridSpan w:val="3"/>
            <w:tcBorders>
              <w:top w:val="nil"/>
              <w:left w:val="single" w:sz="2" w:space="0" w:color="auto"/>
              <w:bottom w:val="nil"/>
              <w:right w:val="nil"/>
            </w:tcBorders>
            <w:vAlign w:val="bottom"/>
          </w:tcPr>
          <w:p w14:paraId="73F109F0" w14:textId="6BBBA25C" w:rsidR="00956A70" w:rsidRPr="00627844" w:rsidRDefault="00956A70" w:rsidP="00956A70">
            <w:pPr>
              <w:pStyle w:val="TableText"/>
              <w:tabs>
                <w:tab w:val="left" w:pos="3306"/>
              </w:tabs>
              <w:spacing w:before="0"/>
              <w:ind w:left="312" w:hanging="312"/>
              <w:rPr>
                <w:rFonts w:cs="Calibri"/>
                <w:b/>
                <w:bCs/>
              </w:rPr>
            </w:pPr>
            <w:r w:rsidRPr="00627844">
              <w:rPr>
                <w:rFonts w:cs="Calibri"/>
                <w:b/>
                <w:bCs/>
              </w:rPr>
              <w:t>Total Capital Grants</w:t>
            </w:r>
          </w:p>
        </w:tc>
        <w:tc>
          <w:tcPr>
            <w:tcW w:w="718" w:type="pct"/>
            <w:gridSpan w:val="5"/>
            <w:tcBorders>
              <w:top w:val="single" w:sz="4" w:space="0" w:color="auto"/>
              <w:left w:val="nil"/>
              <w:bottom w:val="single" w:sz="4" w:space="0" w:color="auto"/>
              <w:right w:val="nil"/>
            </w:tcBorders>
            <w:vAlign w:val="bottom"/>
          </w:tcPr>
          <w:p w14:paraId="011742D6"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single" w:sz="4" w:space="0" w:color="auto"/>
              <w:left w:val="nil"/>
              <w:bottom w:val="single" w:sz="4" w:space="0" w:color="auto"/>
              <w:right w:val="nil"/>
            </w:tcBorders>
            <w:vAlign w:val="bottom"/>
          </w:tcPr>
          <w:p w14:paraId="746BCEF3" w14:textId="77777777" w:rsidR="00956A70" w:rsidRPr="00627844" w:rsidRDefault="00956A70" w:rsidP="00956A70">
            <w:pPr>
              <w:pStyle w:val="TableText"/>
              <w:tabs>
                <w:tab w:val="left" w:pos="3306"/>
              </w:tabs>
              <w:spacing w:before="0"/>
              <w:jc w:val="right"/>
              <w:rPr>
                <w:rFonts w:cs="Calibri"/>
              </w:rPr>
            </w:pPr>
          </w:p>
        </w:tc>
      </w:tr>
      <w:tr w:rsidR="00956A70" w:rsidRPr="00CF7E1B" w14:paraId="72DD938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89CEC64" w14:textId="77777777" w:rsidR="00956A70" w:rsidRPr="00627844" w:rsidRDefault="00956A70" w:rsidP="00956A70">
            <w:pPr>
              <w:pStyle w:val="TableReference"/>
              <w:tabs>
                <w:tab w:val="left" w:pos="3306"/>
              </w:tabs>
              <w:rPr>
                <w:rFonts w:cs="Calibri"/>
                <w:color w:val="7030A0"/>
                <w:sz w:val="16"/>
                <w:szCs w:val="16"/>
              </w:rPr>
            </w:pPr>
          </w:p>
        </w:tc>
        <w:tc>
          <w:tcPr>
            <w:tcW w:w="2682" w:type="pct"/>
            <w:gridSpan w:val="3"/>
            <w:tcBorders>
              <w:top w:val="nil"/>
              <w:left w:val="single" w:sz="2" w:space="0" w:color="auto"/>
              <w:bottom w:val="nil"/>
              <w:right w:val="nil"/>
            </w:tcBorders>
            <w:vAlign w:val="bottom"/>
          </w:tcPr>
          <w:p w14:paraId="3725A80C" w14:textId="77777777" w:rsidR="00956A70" w:rsidRPr="00627844" w:rsidRDefault="00956A70" w:rsidP="00956A70">
            <w:pPr>
              <w:pStyle w:val="TableText"/>
              <w:tabs>
                <w:tab w:val="left" w:pos="3306"/>
              </w:tabs>
              <w:spacing w:before="0"/>
              <w:rPr>
                <w:rFonts w:cs="Calibri"/>
              </w:rPr>
            </w:pPr>
          </w:p>
        </w:tc>
        <w:tc>
          <w:tcPr>
            <w:tcW w:w="718" w:type="pct"/>
            <w:gridSpan w:val="5"/>
            <w:tcBorders>
              <w:top w:val="single" w:sz="4" w:space="0" w:color="auto"/>
              <w:left w:val="nil"/>
              <w:bottom w:val="nil"/>
              <w:right w:val="nil"/>
            </w:tcBorders>
            <w:vAlign w:val="bottom"/>
          </w:tcPr>
          <w:p w14:paraId="3AACA79B"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single" w:sz="4" w:space="0" w:color="auto"/>
              <w:left w:val="nil"/>
              <w:bottom w:val="nil"/>
              <w:right w:val="nil"/>
            </w:tcBorders>
            <w:vAlign w:val="bottom"/>
          </w:tcPr>
          <w:p w14:paraId="0CA6B795" w14:textId="77777777" w:rsidR="00956A70" w:rsidRPr="00627844" w:rsidRDefault="00956A70" w:rsidP="00956A70">
            <w:pPr>
              <w:pStyle w:val="TableText"/>
              <w:tabs>
                <w:tab w:val="left" w:pos="3306"/>
              </w:tabs>
              <w:spacing w:before="0"/>
              <w:jc w:val="right"/>
              <w:rPr>
                <w:rFonts w:cs="Calibri"/>
              </w:rPr>
            </w:pPr>
          </w:p>
        </w:tc>
      </w:tr>
      <w:tr w:rsidR="00956A70" w:rsidRPr="00CF7E1B" w14:paraId="2D0F2542"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6AA6DA6" w14:textId="54EE0463" w:rsidR="00956A70" w:rsidRPr="00627844" w:rsidRDefault="003E2554" w:rsidP="00956A70">
            <w:pPr>
              <w:pStyle w:val="TableReference"/>
              <w:tabs>
                <w:tab w:val="left" w:pos="3306"/>
              </w:tabs>
              <w:rPr>
                <w:rFonts w:cs="Calibri"/>
                <w:color w:val="7030A0"/>
                <w:sz w:val="16"/>
                <w:szCs w:val="16"/>
              </w:rPr>
            </w:pPr>
            <w:r w:rsidRPr="00627844">
              <w:rPr>
                <w:rFonts w:cs="Calibri"/>
                <w:color w:val="7030A0"/>
                <w:sz w:val="14"/>
              </w:rPr>
              <w:t>ACT Disclosure Policy</w:t>
            </w:r>
          </w:p>
        </w:tc>
        <w:tc>
          <w:tcPr>
            <w:tcW w:w="2682" w:type="pct"/>
            <w:gridSpan w:val="3"/>
            <w:tcBorders>
              <w:top w:val="nil"/>
              <w:left w:val="single" w:sz="2" w:space="0" w:color="auto"/>
              <w:bottom w:val="nil"/>
              <w:right w:val="nil"/>
            </w:tcBorders>
            <w:vAlign w:val="bottom"/>
          </w:tcPr>
          <w:p w14:paraId="533D364C" w14:textId="3D96507A" w:rsidR="00956A70" w:rsidRPr="00627844" w:rsidRDefault="00956A70" w:rsidP="00956A70">
            <w:pPr>
              <w:pStyle w:val="TableText"/>
              <w:tabs>
                <w:tab w:val="left" w:pos="3306"/>
              </w:tabs>
              <w:spacing w:before="0"/>
              <w:rPr>
                <w:rFonts w:cs="Calibri"/>
              </w:rPr>
            </w:pPr>
            <w:r w:rsidRPr="00627844">
              <w:rPr>
                <w:rFonts w:cs="Calibri"/>
                <w:b/>
                <w:bCs/>
              </w:rPr>
              <w:t>Purchased Services</w:t>
            </w:r>
            <w:r w:rsidRPr="00627844">
              <w:rPr>
                <w:rFonts w:cs="Calibri"/>
              </w:rPr>
              <w:t xml:space="preserve"> </w:t>
            </w:r>
            <w:r w:rsidR="00E7007E" w:rsidRPr="00E7007E">
              <w:rPr>
                <w:rFonts w:cs="Calibri"/>
                <w:vertAlign w:val="superscript"/>
              </w:rPr>
              <w:t>b</w:t>
            </w:r>
            <w:r w:rsidRPr="00627844">
              <w:rPr>
                <w:rFonts w:cs="Calibri"/>
              </w:rPr>
              <w:t xml:space="preserve"> </w:t>
            </w:r>
          </w:p>
        </w:tc>
        <w:tc>
          <w:tcPr>
            <w:tcW w:w="718" w:type="pct"/>
            <w:gridSpan w:val="5"/>
            <w:tcBorders>
              <w:top w:val="nil"/>
              <w:left w:val="nil"/>
              <w:bottom w:val="nil"/>
              <w:right w:val="nil"/>
            </w:tcBorders>
            <w:vAlign w:val="bottom"/>
          </w:tcPr>
          <w:p w14:paraId="6E58D5E7"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nil"/>
              <w:left w:val="nil"/>
              <w:bottom w:val="nil"/>
              <w:right w:val="nil"/>
            </w:tcBorders>
            <w:vAlign w:val="bottom"/>
          </w:tcPr>
          <w:p w14:paraId="6112E605" w14:textId="77777777" w:rsidR="00956A70" w:rsidRPr="00627844" w:rsidRDefault="00956A70" w:rsidP="00956A70">
            <w:pPr>
              <w:pStyle w:val="TableText"/>
              <w:tabs>
                <w:tab w:val="left" w:pos="3306"/>
              </w:tabs>
              <w:spacing w:before="0"/>
              <w:jc w:val="right"/>
              <w:rPr>
                <w:rFonts w:cs="Calibri"/>
              </w:rPr>
            </w:pPr>
          </w:p>
        </w:tc>
      </w:tr>
      <w:tr w:rsidR="00956A70" w:rsidRPr="00CF7E1B" w14:paraId="6FEEB0E6"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2442338E" w14:textId="77777777" w:rsidR="00956A70" w:rsidRPr="00627844" w:rsidRDefault="00956A70" w:rsidP="00956A70">
            <w:pPr>
              <w:pStyle w:val="TableReference"/>
              <w:tabs>
                <w:tab w:val="left" w:pos="3306"/>
              </w:tabs>
              <w:rPr>
                <w:rFonts w:cs="Calibri"/>
                <w:color w:val="7030A0"/>
                <w:sz w:val="16"/>
                <w:szCs w:val="16"/>
              </w:rPr>
            </w:pPr>
          </w:p>
        </w:tc>
        <w:tc>
          <w:tcPr>
            <w:tcW w:w="2682" w:type="pct"/>
            <w:gridSpan w:val="3"/>
            <w:tcBorders>
              <w:top w:val="nil"/>
              <w:left w:val="single" w:sz="2" w:space="0" w:color="auto"/>
              <w:bottom w:val="nil"/>
              <w:right w:val="nil"/>
            </w:tcBorders>
            <w:vAlign w:val="bottom"/>
          </w:tcPr>
          <w:p w14:paraId="1AC091F3" w14:textId="3854C7DF" w:rsidR="00956A70" w:rsidRPr="00627844" w:rsidRDefault="00956A70" w:rsidP="00956A70">
            <w:pPr>
              <w:pStyle w:val="TableText"/>
              <w:tabs>
                <w:tab w:val="left" w:pos="3306"/>
              </w:tabs>
              <w:rPr>
                <w:rFonts w:cs="Calibri"/>
              </w:rPr>
            </w:pPr>
            <w:r w:rsidRPr="00627844">
              <w:rPr>
                <w:rFonts w:cs="Calibri"/>
              </w:rPr>
              <w:t>Services Purchased from Community Legal Centres</w:t>
            </w:r>
            <w:r w:rsidR="00FA7C77">
              <w:rPr>
                <w:rFonts w:cs="Calibri"/>
              </w:rPr>
              <w:t xml:space="preserve">  </w:t>
            </w:r>
            <w:r w:rsidRPr="00627844">
              <w:rPr>
                <w:rFonts w:cs="Calibri"/>
              </w:rPr>
              <w:t xml:space="preserve"> </w:t>
            </w:r>
          </w:p>
        </w:tc>
        <w:tc>
          <w:tcPr>
            <w:tcW w:w="718" w:type="pct"/>
            <w:gridSpan w:val="5"/>
            <w:tcBorders>
              <w:top w:val="nil"/>
              <w:left w:val="nil"/>
              <w:bottom w:val="nil"/>
              <w:right w:val="nil"/>
            </w:tcBorders>
            <w:vAlign w:val="bottom"/>
          </w:tcPr>
          <w:p w14:paraId="68ABD611"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nil"/>
              <w:left w:val="nil"/>
              <w:bottom w:val="nil"/>
              <w:right w:val="nil"/>
            </w:tcBorders>
            <w:vAlign w:val="bottom"/>
          </w:tcPr>
          <w:p w14:paraId="23402C42" w14:textId="77777777" w:rsidR="00956A70" w:rsidRPr="00627844" w:rsidRDefault="00956A70" w:rsidP="00956A70">
            <w:pPr>
              <w:pStyle w:val="TableText"/>
              <w:tabs>
                <w:tab w:val="left" w:pos="3306"/>
              </w:tabs>
              <w:spacing w:before="0"/>
              <w:jc w:val="right"/>
              <w:rPr>
                <w:rFonts w:cs="Calibri"/>
              </w:rPr>
            </w:pPr>
          </w:p>
        </w:tc>
      </w:tr>
      <w:tr w:rsidR="00956A70" w:rsidRPr="00CF7E1B" w14:paraId="70218A70"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0C564E58" w14:textId="77777777" w:rsidR="00956A70" w:rsidRPr="00627844" w:rsidRDefault="00956A70" w:rsidP="00956A70">
            <w:pPr>
              <w:pStyle w:val="TableReference"/>
              <w:tabs>
                <w:tab w:val="left" w:pos="3306"/>
              </w:tabs>
              <w:rPr>
                <w:rFonts w:cs="Calibri"/>
                <w:color w:val="7030A0"/>
                <w:sz w:val="16"/>
                <w:szCs w:val="16"/>
              </w:rPr>
            </w:pPr>
          </w:p>
        </w:tc>
        <w:tc>
          <w:tcPr>
            <w:tcW w:w="2682" w:type="pct"/>
            <w:gridSpan w:val="3"/>
            <w:tcBorders>
              <w:top w:val="nil"/>
              <w:left w:val="single" w:sz="2" w:space="0" w:color="auto"/>
              <w:bottom w:val="nil"/>
              <w:right w:val="nil"/>
            </w:tcBorders>
            <w:vAlign w:val="bottom"/>
          </w:tcPr>
          <w:p w14:paraId="66083F36" w14:textId="75E24036" w:rsidR="00956A70" w:rsidRPr="00627844" w:rsidRDefault="00956A70" w:rsidP="00956A70">
            <w:pPr>
              <w:pStyle w:val="TableText"/>
              <w:tabs>
                <w:tab w:val="left" w:pos="3306"/>
              </w:tabs>
              <w:rPr>
                <w:rFonts w:cs="Calibri"/>
              </w:rPr>
            </w:pPr>
            <w:r w:rsidRPr="00627844">
              <w:rPr>
                <w:rFonts w:cs="Calibri"/>
              </w:rPr>
              <w:t>Services Purchased from Non-Government Organisations</w:t>
            </w:r>
          </w:p>
        </w:tc>
        <w:tc>
          <w:tcPr>
            <w:tcW w:w="718" w:type="pct"/>
            <w:gridSpan w:val="5"/>
            <w:tcBorders>
              <w:top w:val="nil"/>
              <w:left w:val="nil"/>
              <w:bottom w:val="single" w:sz="4" w:space="0" w:color="auto"/>
              <w:right w:val="nil"/>
            </w:tcBorders>
            <w:vAlign w:val="bottom"/>
          </w:tcPr>
          <w:p w14:paraId="656DF220"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nil"/>
              <w:left w:val="nil"/>
              <w:bottom w:val="single" w:sz="4" w:space="0" w:color="auto"/>
              <w:right w:val="nil"/>
            </w:tcBorders>
            <w:vAlign w:val="bottom"/>
          </w:tcPr>
          <w:p w14:paraId="45EEAAF6" w14:textId="77777777" w:rsidR="00956A70" w:rsidRPr="00627844" w:rsidRDefault="00956A70" w:rsidP="00956A70">
            <w:pPr>
              <w:pStyle w:val="TableText"/>
              <w:tabs>
                <w:tab w:val="left" w:pos="3306"/>
              </w:tabs>
              <w:spacing w:before="0"/>
              <w:jc w:val="right"/>
              <w:rPr>
                <w:rFonts w:cs="Calibri"/>
              </w:rPr>
            </w:pPr>
          </w:p>
        </w:tc>
      </w:tr>
      <w:tr w:rsidR="00956A70" w:rsidRPr="00CF7E1B" w14:paraId="46531766"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74DDDD9B" w14:textId="77777777" w:rsidR="00956A70" w:rsidRPr="00627844" w:rsidRDefault="00956A70" w:rsidP="00956A70">
            <w:pPr>
              <w:pStyle w:val="TableReference"/>
              <w:tabs>
                <w:tab w:val="left" w:pos="3306"/>
              </w:tabs>
              <w:rPr>
                <w:rFonts w:cs="Calibri"/>
                <w:color w:val="7030A0"/>
                <w:sz w:val="16"/>
                <w:szCs w:val="16"/>
              </w:rPr>
            </w:pPr>
          </w:p>
        </w:tc>
        <w:tc>
          <w:tcPr>
            <w:tcW w:w="2682" w:type="pct"/>
            <w:gridSpan w:val="3"/>
            <w:tcBorders>
              <w:top w:val="nil"/>
              <w:left w:val="single" w:sz="2" w:space="0" w:color="auto"/>
              <w:bottom w:val="nil"/>
              <w:right w:val="nil"/>
            </w:tcBorders>
            <w:vAlign w:val="bottom"/>
          </w:tcPr>
          <w:p w14:paraId="7E8B7AD1" w14:textId="03C64D55" w:rsidR="00956A70" w:rsidRPr="00627844" w:rsidRDefault="00956A70" w:rsidP="00956A70">
            <w:pPr>
              <w:pStyle w:val="TableText"/>
              <w:tabs>
                <w:tab w:val="left" w:pos="3306"/>
              </w:tabs>
              <w:rPr>
                <w:rFonts w:cs="Calibri"/>
              </w:rPr>
            </w:pPr>
            <w:r w:rsidRPr="00627844">
              <w:rPr>
                <w:rFonts w:cs="Calibri"/>
                <w:b/>
                <w:bCs/>
              </w:rPr>
              <w:t>Total Purchased Services</w:t>
            </w:r>
          </w:p>
        </w:tc>
        <w:tc>
          <w:tcPr>
            <w:tcW w:w="718" w:type="pct"/>
            <w:gridSpan w:val="5"/>
            <w:tcBorders>
              <w:top w:val="single" w:sz="4" w:space="0" w:color="auto"/>
              <w:left w:val="nil"/>
              <w:bottom w:val="single" w:sz="4" w:space="0" w:color="auto"/>
              <w:right w:val="nil"/>
            </w:tcBorders>
            <w:vAlign w:val="bottom"/>
          </w:tcPr>
          <w:p w14:paraId="47F39957" w14:textId="77777777" w:rsidR="00956A70" w:rsidRPr="00627844" w:rsidRDefault="00956A70" w:rsidP="00956A70">
            <w:pPr>
              <w:pStyle w:val="TableText"/>
              <w:tabs>
                <w:tab w:val="left" w:pos="3306"/>
              </w:tabs>
              <w:spacing w:before="0"/>
              <w:jc w:val="right"/>
              <w:rPr>
                <w:rFonts w:cs="Calibri"/>
              </w:rPr>
            </w:pPr>
          </w:p>
        </w:tc>
        <w:tc>
          <w:tcPr>
            <w:tcW w:w="822" w:type="pct"/>
            <w:gridSpan w:val="3"/>
            <w:tcBorders>
              <w:top w:val="single" w:sz="4" w:space="0" w:color="auto"/>
              <w:left w:val="nil"/>
              <w:bottom w:val="single" w:sz="4" w:space="0" w:color="auto"/>
              <w:right w:val="nil"/>
            </w:tcBorders>
            <w:vAlign w:val="bottom"/>
          </w:tcPr>
          <w:p w14:paraId="674E6A5B" w14:textId="77777777" w:rsidR="00956A70" w:rsidRPr="00627844" w:rsidRDefault="00956A70" w:rsidP="00956A70">
            <w:pPr>
              <w:pStyle w:val="TableText"/>
              <w:tabs>
                <w:tab w:val="left" w:pos="3306"/>
              </w:tabs>
              <w:spacing w:before="0"/>
              <w:jc w:val="right"/>
              <w:rPr>
                <w:rFonts w:cs="Calibri"/>
              </w:rPr>
            </w:pPr>
          </w:p>
        </w:tc>
      </w:tr>
      <w:tr w:rsidR="00956A70" w:rsidRPr="00CF7E1B" w14:paraId="3345045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703C398" w14:textId="77777777" w:rsidR="00956A70" w:rsidRPr="00627844" w:rsidRDefault="00956A70" w:rsidP="00956A70">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16738E3E" w14:textId="77777777" w:rsidR="00956A70" w:rsidRPr="00627844" w:rsidRDefault="00956A70" w:rsidP="00956A70">
            <w:pPr>
              <w:pStyle w:val="TableText"/>
              <w:tabs>
                <w:tab w:val="left" w:pos="3306"/>
              </w:tabs>
              <w:spacing w:before="120" w:after="120"/>
              <w:rPr>
                <w:rFonts w:cs="Calibri"/>
              </w:rPr>
            </w:pPr>
            <w:r w:rsidRPr="00627844">
              <w:rPr>
                <w:rFonts w:cs="Calibri"/>
              </w:rPr>
              <w:t>Community Service Obligation Payments to Agencies</w:t>
            </w:r>
          </w:p>
        </w:tc>
        <w:tc>
          <w:tcPr>
            <w:tcW w:w="718" w:type="pct"/>
            <w:gridSpan w:val="5"/>
            <w:tcBorders>
              <w:top w:val="single" w:sz="4" w:space="0" w:color="auto"/>
              <w:left w:val="nil"/>
              <w:bottom w:val="single" w:sz="2" w:space="0" w:color="auto"/>
              <w:right w:val="nil"/>
            </w:tcBorders>
            <w:vAlign w:val="center"/>
          </w:tcPr>
          <w:p w14:paraId="6A2499D7" w14:textId="0BE9626F" w:rsidR="00956A70" w:rsidRPr="00627844" w:rsidRDefault="00956A70" w:rsidP="00956A70">
            <w:pPr>
              <w:pStyle w:val="TableText"/>
              <w:tabs>
                <w:tab w:val="left" w:pos="3306"/>
              </w:tabs>
              <w:jc w:val="right"/>
              <w:rPr>
                <w:rFonts w:cs="Calibri"/>
              </w:rPr>
            </w:pPr>
          </w:p>
        </w:tc>
        <w:tc>
          <w:tcPr>
            <w:tcW w:w="822" w:type="pct"/>
            <w:gridSpan w:val="3"/>
            <w:tcBorders>
              <w:top w:val="single" w:sz="4" w:space="0" w:color="auto"/>
              <w:left w:val="nil"/>
              <w:bottom w:val="single" w:sz="2" w:space="0" w:color="auto"/>
              <w:right w:val="nil"/>
            </w:tcBorders>
            <w:vAlign w:val="center"/>
          </w:tcPr>
          <w:p w14:paraId="192ECB96" w14:textId="67C501F8" w:rsidR="00956A70" w:rsidRPr="00627844" w:rsidRDefault="00956A70" w:rsidP="00956A70">
            <w:pPr>
              <w:pStyle w:val="TableText"/>
              <w:tabs>
                <w:tab w:val="left" w:pos="3306"/>
              </w:tabs>
              <w:jc w:val="right"/>
              <w:rPr>
                <w:rFonts w:cs="Calibri"/>
              </w:rPr>
            </w:pPr>
          </w:p>
        </w:tc>
      </w:tr>
      <w:tr w:rsidR="00956A70" w:rsidRPr="00CF7E1B" w14:paraId="4C027549"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6F862CDB" w14:textId="77777777" w:rsidR="00956A70" w:rsidRPr="00627844" w:rsidRDefault="00956A70" w:rsidP="00956A70">
            <w:pPr>
              <w:pStyle w:val="TableReference"/>
              <w:tabs>
                <w:tab w:val="left" w:pos="3306"/>
              </w:tabs>
              <w:spacing w:before="40"/>
              <w:rPr>
                <w:rFonts w:cs="Calibri"/>
                <w:color w:val="7030A0"/>
                <w:sz w:val="16"/>
                <w:szCs w:val="16"/>
              </w:rPr>
            </w:pPr>
          </w:p>
        </w:tc>
        <w:tc>
          <w:tcPr>
            <w:tcW w:w="2682" w:type="pct"/>
            <w:gridSpan w:val="3"/>
            <w:tcBorders>
              <w:top w:val="nil"/>
              <w:left w:val="single" w:sz="2" w:space="0" w:color="auto"/>
              <w:bottom w:val="nil"/>
              <w:right w:val="nil"/>
            </w:tcBorders>
            <w:vAlign w:val="bottom"/>
          </w:tcPr>
          <w:p w14:paraId="0973BD21" w14:textId="77777777" w:rsidR="00956A70" w:rsidRPr="00627844" w:rsidRDefault="00956A70" w:rsidP="00956A70">
            <w:pPr>
              <w:pStyle w:val="TableText"/>
              <w:tabs>
                <w:tab w:val="left" w:pos="3306"/>
              </w:tabs>
              <w:rPr>
                <w:rFonts w:cs="Calibri"/>
                <w:b/>
                <w:bCs/>
              </w:rPr>
            </w:pPr>
            <w:bookmarkStart w:id="507" w:name="_Toc48468472"/>
            <w:bookmarkStart w:id="508" w:name="_Toc49155589"/>
            <w:bookmarkStart w:id="509" w:name="_Toc49224039"/>
            <w:r w:rsidRPr="00627844">
              <w:rPr>
                <w:rFonts w:cs="Calibri"/>
                <w:b/>
                <w:bCs/>
              </w:rPr>
              <w:t>Total Grants and Purchased Services</w:t>
            </w:r>
            <w:bookmarkEnd w:id="507"/>
            <w:bookmarkEnd w:id="508"/>
            <w:bookmarkEnd w:id="509"/>
          </w:p>
        </w:tc>
        <w:tc>
          <w:tcPr>
            <w:tcW w:w="718" w:type="pct"/>
            <w:gridSpan w:val="5"/>
            <w:tcBorders>
              <w:top w:val="single" w:sz="2" w:space="0" w:color="auto"/>
              <w:left w:val="nil"/>
              <w:bottom w:val="double" w:sz="4" w:space="0" w:color="auto"/>
              <w:right w:val="nil"/>
            </w:tcBorders>
            <w:vAlign w:val="bottom"/>
          </w:tcPr>
          <w:p w14:paraId="382B604C" w14:textId="17736158" w:rsidR="00956A70" w:rsidRPr="00627844" w:rsidRDefault="00956A70" w:rsidP="00956A70">
            <w:pPr>
              <w:pStyle w:val="TableText"/>
              <w:tabs>
                <w:tab w:val="left" w:pos="3306"/>
              </w:tabs>
              <w:jc w:val="right"/>
              <w:rPr>
                <w:rFonts w:cs="Calibri"/>
                <w:b/>
                <w:bCs/>
              </w:rPr>
            </w:pPr>
          </w:p>
        </w:tc>
        <w:tc>
          <w:tcPr>
            <w:tcW w:w="822" w:type="pct"/>
            <w:gridSpan w:val="3"/>
            <w:tcBorders>
              <w:top w:val="single" w:sz="2" w:space="0" w:color="auto"/>
              <w:left w:val="nil"/>
              <w:bottom w:val="double" w:sz="4" w:space="0" w:color="auto"/>
              <w:right w:val="nil"/>
            </w:tcBorders>
            <w:vAlign w:val="bottom"/>
          </w:tcPr>
          <w:p w14:paraId="731A1E1F" w14:textId="1371FFEA" w:rsidR="00956A70" w:rsidRPr="00627844" w:rsidRDefault="00956A70" w:rsidP="00956A70">
            <w:pPr>
              <w:pStyle w:val="TableText"/>
              <w:tabs>
                <w:tab w:val="left" w:pos="3306"/>
              </w:tabs>
              <w:jc w:val="right"/>
              <w:rPr>
                <w:rFonts w:cs="Calibri"/>
                <w:b/>
                <w:bCs/>
              </w:rPr>
            </w:pPr>
          </w:p>
        </w:tc>
      </w:tr>
      <w:tr w:rsidR="00956A70" w:rsidRPr="00CF7E1B" w14:paraId="744D9ACB"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155A4C43" w14:textId="77777777" w:rsidR="00956A70" w:rsidRPr="00627844" w:rsidRDefault="00956A70" w:rsidP="00956A70">
            <w:pPr>
              <w:pStyle w:val="TableReference"/>
              <w:tabs>
                <w:tab w:val="left" w:pos="3306"/>
              </w:tabs>
              <w:spacing w:before="40"/>
              <w:rPr>
                <w:rFonts w:cs="Calibri"/>
                <w:color w:val="7030A0"/>
                <w:sz w:val="16"/>
                <w:szCs w:val="16"/>
              </w:rPr>
            </w:pPr>
          </w:p>
        </w:tc>
        <w:tc>
          <w:tcPr>
            <w:tcW w:w="4222" w:type="pct"/>
            <w:gridSpan w:val="11"/>
            <w:tcBorders>
              <w:top w:val="nil"/>
              <w:left w:val="single" w:sz="2" w:space="0" w:color="auto"/>
              <w:bottom w:val="nil"/>
              <w:right w:val="nil"/>
            </w:tcBorders>
            <w:vAlign w:val="bottom"/>
          </w:tcPr>
          <w:p w14:paraId="442C588B" w14:textId="77777777" w:rsidR="00956A70" w:rsidRPr="00627844" w:rsidRDefault="00956A70" w:rsidP="00956A70">
            <w:pPr>
              <w:pStyle w:val="TableText"/>
              <w:tabs>
                <w:tab w:val="left" w:pos="3306"/>
              </w:tabs>
              <w:rPr>
                <w:rFonts w:cs="Calibri"/>
              </w:rPr>
            </w:pPr>
          </w:p>
        </w:tc>
      </w:tr>
      <w:tr w:rsidR="00956A70" w:rsidRPr="00CF7E1B" w14:paraId="634D62A3"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5AA4263B" w14:textId="77777777" w:rsidR="00956A70" w:rsidRPr="00627844" w:rsidRDefault="00956A70" w:rsidP="00956A70">
            <w:pPr>
              <w:pStyle w:val="TableReference"/>
              <w:tabs>
                <w:tab w:val="left" w:pos="3306"/>
              </w:tabs>
              <w:spacing w:before="40"/>
              <w:rPr>
                <w:rFonts w:cs="Calibri"/>
                <w:color w:val="7030A0"/>
                <w:sz w:val="16"/>
                <w:szCs w:val="16"/>
              </w:rPr>
            </w:pPr>
          </w:p>
        </w:tc>
        <w:tc>
          <w:tcPr>
            <w:tcW w:w="4222" w:type="pct"/>
            <w:gridSpan w:val="11"/>
            <w:tcBorders>
              <w:top w:val="nil"/>
              <w:left w:val="single" w:sz="2" w:space="0" w:color="auto"/>
              <w:bottom w:val="nil"/>
              <w:right w:val="nil"/>
            </w:tcBorders>
            <w:vAlign w:val="bottom"/>
          </w:tcPr>
          <w:p w14:paraId="7752AC26" w14:textId="61F60C0B" w:rsidR="00956A70" w:rsidRPr="00E7007E" w:rsidRDefault="00956A70" w:rsidP="00CB31DE">
            <w:pPr>
              <w:pStyle w:val="TableText"/>
              <w:numPr>
                <w:ilvl w:val="0"/>
                <w:numId w:val="76"/>
              </w:numPr>
              <w:tabs>
                <w:tab w:val="clear" w:pos="2340"/>
                <w:tab w:val="left" w:pos="2904"/>
              </w:tabs>
              <w:ind w:left="325"/>
              <w:jc w:val="both"/>
              <w:rPr>
                <w:rFonts w:cs="Calibri"/>
                <w:bCs/>
              </w:rPr>
            </w:pPr>
            <w:r w:rsidRPr="00E7007E">
              <w:rPr>
                <w:rFonts w:cs="Calibri"/>
                <w:bCs/>
              </w:rPr>
              <w:t>The increase in capital grants of $</w:t>
            </w:r>
            <w:r w:rsidR="00627844" w:rsidRPr="00E7007E">
              <w:rPr>
                <w:rFonts w:cs="Calibri"/>
                <w:bCs/>
              </w:rPr>
              <w:t>xxx</w:t>
            </w:r>
            <w:r w:rsidRPr="00E7007E">
              <w:rPr>
                <w:rFonts w:cs="Calibri"/>
                <w:bCs/>
              </w:rPr>
              <w:t xml:space="preserve"> is due to the Agency receiving an increase in Controlled Recurrent Payments to fund a new capital grant program being managed by the Agency.</w:t>
            </w:r>
          </w:p>
          <w:p w14:paraId="665B9AC5" w14:textId="5E9CBDFE" w:rsidR="00E7007E" w:rsidRPr="00E7007E" w:rsidRDefault="00E7007E" w:rsidP="00CB31DE">
            <w:pPr>
              <w:pStyle w:val="TableText"/>
              <w:numPr>
                <w:ilvl w:val="0"/>
                <w:numId w:val="76"/>
              </w:numPr>
              <w:tabs>
                <w:tab w:val="clear" w:pos="2340"/>
                <w:tab w:val="num" w:pos="1738"/>
                <w:tab w:val="left" w:pos="2904"/>
              </w:tabs>
              <w:ind w:left="325"/>
              <w:jc w:val="both"/>
            </w:pPr>
            <w:r w:rsidRPr="00E7007E">
              <w:rPr>
                <w:rFonts w:cs="Calibri"/>
                <w:bCs/>
              </w:rPr>
              <w:t>The increase in payments to service providers of $xxx is due to the Agency now being responsible for providing services involving the waste management and environmental function. These services were being provided by another agency in prior years.</w:t>
            </w:r>
          </w:p>
        </w:tc>
      </w:tr>
      <w:tr w:rsidR="00956A70" w:rsidRPr="00CF7E1B" w14:paraId="1D912145" w14:textId="77777777" w:rsidTr="005F5F76">
        <w:trPr>
          <w:gridAfter w:val="2"/>
          <w:wAfter w:w="37" w:type="pct"/>
          <w:trHeight w:val="23"/>
        </w:trPr>
        <w:tc>
          <w:tcPr>
            <w:tcW w:w="741" w:type="pct"/>
            <w:tcBorders>
              <w:top w:val="nil"/>
              <w:left w:val="single" w:sz="2" w:space="0" w:color="auto"/>
              <w:bottom w:val="nil"/>
              <w:right w:val="single" w:sz="2" w:space="0" w:color="auto"/>
            </w:tcBorders>
          </w:tcPr>
          <w:p w14:paraId="2ACDF6B6" w14:textId="77777777" w:rsidR="00956A70" w:rsidRPr="00627844" w:rsidRDefault="00956A70" w:rsidP="00956A70">
            <w:pPr>
              <w:pStyle w:val="TableReference"/>
              <w:tabs>
                <w:tab w:val="left" w:pos="3306"/>
              </w:tabs>
              <w:spacing w:before="40"/>
              <w:rPr>
                <w:rFonts w:cs="Calibri"/>
                <w:color w:val="7030A0"/>
                <w:sz w:val="16"/>
                <w:szCs w:val="16"/>
              </w:rPr>
            </w:pPr>
          </w:p>
        </w:tc>
        <w:tc>
          <w:tcPr>
            <w:tcW w:w="4222" w:type="pct"/>
            <w:gridSpan w:val="11"/>
            <w:tcBorders>
              <w:top w:val="nil"/>
              <w:left w:val="single" w:sz="2" w:space="0" w:color="auto"/>
              <w:bottom w:val="nil"/>
              <w:right w:val="nil"/>
            </w:tcBorders>
            <w:vAlign w:val="bottom"/>
          </w:tcPr>
          <w:p w14:paraId="3A7E6262" w14:textId="77777777" w:rsidR="00956A70" w:rsidRPr="00CF7E1B" w:rsidRDefault="00956A70" w:rsidP="00956A70">
            <w:pPr>
              <w:pStyle w:val="TableText"/>
              <w:tabs>
                <w:tab w:val="left" w:pos="3306"/>
              </w:tabs>
              <w:jc w:val="right"/>
              <w:rPr>
                <w:rFonts w:cs="Calibri"/>
              </w:rPr>
            </w:pPr>
          </w:p>
        </w:tc>
      </w:tr>
      <w:tr w:rsidR="00956A70" w:rsidRPr="00CF7E1B" w14:paraId="70311EED"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hRule="exact" w:val="813"/>
          <w:tblHeader/>
        </w:trPr>
        <w:tc>
          <w:tcPr>
            <w:tcW w:w="741" w:type="pct"/>
            <w:tcBorders>
              <w:left w:val="single" w:sz="2" w:space="0" w:color="auto"/>
              <w:right w:val="single" w:sz="2" w:space="0" w:color="auto"/>
            </w:tcBorders>
          </w:tcPr>
          <w:p w14:paraId="63B61B79" w14:textId="77777777" w:rsidR="00956A70" w:rsidRPr="00627844" w:rsidRDefault="00956A70" w:rsidP="000159C3">
            <w:pPr>
              <w:pStyle w:val="TableReference"/>
              <w:tabs>
                <w:tab w:val="left" w:pos="3306"/>
              </w:tabs>
              <w:spacing w:before="240" w:after="240"/>
              <w:rPr>
                <w:rFonts w:cs="Calibri"/>
                <w:color w:val="7030A0"/>
                <w:sz w:val="16"/>
                <w:szCs w:val="16"/>
              </w:rPr>
            </w:pPr>
            <w:r w:rsidRPr="00627844">
              <w:rPr>
                <w:rFonts w:cs="Calibri"/>
                <w:color w:val="7030A0"/>
                <w:sz w:val="16"/>
                <w:szCs w:val="16"/>
              </w:rPr>
              <w:br w:type="page"/>
            </w:r>
          </w:p>
        </w:tc>
        <w:tc>
          <w:tcPr>
            <w:tcW w:w="4222" w:type="pct"/>
            <w:gridSpan w:val="11"/>
            <w:tcBorders>
              <w:left w:val="single" w:sz="2" w:space="0" w:color="auto"/>
            </w:tcBorders>
            <w:shd w:val="clear" w:color="auto" w:fill="7030A0"/>
          </w:tcPr>
          <w:p w14:paraId="5C48CEC4" w14:textId="2D5BA91B" w:rsidR="00956A70" w:rsidRPr="00627844" w:rsidRDefault="00956A70" w:rsidP="000159C3">
            <w:pPr>
              <w:pStyle w:val="CommentaryTitle"/>
              <w:spacing w:before="240" w:after="240"/>
              <w:rPr>
                <w:rFonts w:cs="Calibri"/>
                <w:color w:val="F2F2F2" w:themeColor="background1" w:themeShade="F2"/>
                <w:sz w:val="28"/>
                <w:szCs w:val="28"/>
              </w:rPr>
            </w:pPr>
            <w:bookmarkStart w:id="510" w:name="_Toc50440354"/>
            <w:bookmarkStart w:id="511" w:name="_Toc163106331"/>
            <w:r w:rsidRPr="00627844">
              <w:rPr>
                <w:rFonts w:cs="Calibri"/>
                <w:color w:val="F2F2F2" w:themeColor="background1" w:themeShade="F2"/>
                <w:sz w:val="28"/>
                <w:szCs w:val="28"/>
              </w:rPr>
              <w:t>Commentary – Note 1</w:t>
            </w:r>
            <w:r w:rsidR="00837523" w:rsidRPr="00627844">
              <w:rPr>
                <w:rFonts w:cs="Calibri"/>
                <w:color w:val="F2F2F2" w:themeColor="background1" w:themeShade="F2"/>
                <w:sz w:val="28"/>
                <w:szCs w:val="28"/>
              </w:rPr>
              <w:t>2</w:t>
            </w:r>
            <w:r w:rsidRPr="00627844">
              <w:rPr>
                <w:rFonts w:cs="Calibri"/>
                <w:color w:val="F2F2F2" w:themeColor="background1" w:themeShade="F2"/>
                <w:sz w:val="28"/>
                <w:szCs w:val="28"/>
              </w:rPr>
              <w:t>: Grants and Purchased Services</w:t>
            </w:r>
            <w:bookmarkEnd w:id="510"/>
            <w:bookmarkEnd w:id="511"/>
          </w:p>
        </w:tc>
      </w:tr>
      <w:tr w:rsidR="00956A70" w:rsidRPr="00CF7E1B" w14:paraId="0BFE4E31"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3E0E31B0" w14:textId="77777777" w:rsidR="00956A70" w:rsidRPr="00627844" w:rsidRDefault="00956A70" w:rsidP="00956A70">
            <w:pPr>
              <w:pStyle w:val="TableReference"/>
              <w:tabs>
                <w:tab w:val="left" w:pos="3306"/>
              </w:tabs>
              <w:spacing w:before="60"/>
              <w:rPr>
                <w:rFonts w:cs="Calibri"/>
                <w:color w:val="7030A0"/>
                <w:sz w:val="16"/>
                <w:szCs w:val="16"/>
              </w:rPr>
            </w:pPr>
          </w:p>
        </w:tc>
        <w:tc>
          <w:tcPr>
            <w:tcW w:w="4222" w:type="pct"/>
            <w:gridSpan w:val="11"/>
            <w:tcBorders>
              <w:left w:val="single" w:sz="2" w:space="0" w:color="auto"/>
            </w:tcBorders>
            <w:shd w:val="clear" w:color="auto" w:fill="7030A0"/>
          </w:tcPr>
          <w:p w14:paraId="4194FEC3" w14:textId="4F21320E" w:rsidR="00956A70" w:rsidRPr="00627844" w:rsidRDefault="00956A70" w:rsidP="00956A70">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 xml:space="preserve">Agencies should tailor the information in this note to their own circumstances setting out appropriate details of the service providers and grant recipients and the nature of the government objectives being achieved. That is, agencies should list specific </w:t>
            </w:r>
            <w:r w:rsidR="00C83ACF" w:rsidRPr="00627844">
              <w:rPr>
                <w:rFonts w:cs="Calibri"/>
                <w:color w:val="F2F2F2" w:themeColor="background1" w:themeShade="F2"/>
                <w:sz w:val="18"/>
                <w:szCs w:val="18"/>
              </w:rPr>
              <w:t xml:space="preserve">groups of </w:t>
            </w:r>
            <w:r w:rsidRPr="00627844">
              <w:rPr>
                <w:rFonts w:cs="Calibri"/>
                <w:color w:val="F2F2F2" w:themeColor="background1" w:themeShade="F2"/>
                <w:sz w:val="18"/>
                <w:szCs w:val="18"/>
              </w:rPr>
              <w:t xml:space="preserve">‘Payments to Service Providers’ and specific grant </w:t>
            </w:r>
            <w:r w:rsidR="00C83ACF" w:rsidRPr="00627844">
              <w:rPr>
                <w:rFonts w:cs="Calibri"/>
                <w:color w:val="F2F2F2" w:themeColor="background1" w:themeShade="F2"/>
                <w:sz w:val="18"/>
                <w:szCs w:val="18"/>
              </w:rPr>
              <w:t>programs</w:t>
            </w:r>
            <w:r w:rsidRPr="00627844">
              <w:rPr>
                <w:rFonts w:cs="Calibri"/>
                <w:color w:val="F2F2F2" w:themeColor="background1" w:themeShade="F2"/>
                <w:sz w:val="18"/>
                <w:szCs w:val="18"/>
              </w:rPr>
              <w:t xml:space="preserve">, instead of putting them all in one line item </w:t>
            </w:r>
            <w:r w:rsidR="00C83ACF" w:rsidRPr="00627844">
              <w:rPr>
                <w:rFonts w:cs="Calibri"/>
                <w:color w:val="F2F2F2" w:themeColor="background1" w:themeShade="F2"/>
                <w:sz w:val="18"/>
                <w:szCs w:val="18"/>
              </w:rPr>
              <w:t>(e</w:t>
            </w:r>
            <w:r w:rsidR="00112FC4">
              <w:rPr>
                <w:rFonts w:cs="Calibri"/>
                <w:color w:val="F2F2F2" w:themeColor="background1" w:themeShade="F2"/>
                <w:sz w:val="18"/>
                <w:szCs w:val="18"/>
              </w:rPr>
              <w:t>.</w:t>
            </w:r>
            <w:r w:rsidR="00C83ACF" w:rsidRPr="00627844">
              <w:rPr>
                <w:rFonts w:cs="Calibri"/>
                <w:color w:val="F2F2F2" w:themeColor="background1" w:themeShade="F2"/>
                <w:sz w:val="18"/>
                <w:szCs w:val="18"/>
              </w:rPr>
              <w:t>g</w:t>
            </w:r>
            <w:r w:rsidR="00112FC4">
              <w:rPr>
                <w:rFonts w:cs="Calibri"/>
                <w:color w:val="F2F2F2" w:themeColor="background1" w:themeShade="F2"/>
                <w:sz w:val="18"/>
                <w:szCs w:val="18"/>
              </w:rPr>
              <w:t>.</w:t>
            </w:r>
            <w:r w:rsidR="00C83ACF" w:rsidRPr="00627844">
              <w:rPr>
                <w:rFonts w:cs="Calibri"/>
                <w:color w:val="F2F2F2" w:themeColor="background1" w:themeShade="F2"/>
                <w:sz w:val="18"/>
                <w:szCs w:val="18"/>
              </w:rPr>
              <w:t xml:space="preserve"> instead of putting all recurrent grants in one recurrent grants line item)</w:t>
            </w:r>
            <w:r w:rsidRPr="00627844">
              <w:rPr>
                <w:rFonts w:cs="Calibri"/>
                <w:color w:val="F2F2F2" w:themeColor="background1" w:themeShade="F2"/>
                <w:sz w:val="18"/>
                <w:szCs w:val="18"/>
              </w:rPr>
              <w:t>.</w:t>
            </w:r>
          </w:p>
        </w:tc>
      </w:tr>
      <w:tr w:rsidR="00956A70" w:rsidRPr="00CF7E1B" w14:paraId="391B0A9D"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360A6EFD" w14:textId="77777777" w:rsidR="00956A70" w:rsidRPr="00627844" w:rsidRDefault="00956A70" w:rsidP="00956A70">
            <w:pPr>
              <w:pStyle w:val="TableReference"/>
              <w:tabs>
                <w:tab w:val="left" w:pos="3306"/>
              </w:tabs>
              <w:spacing w:before="60"/>
              <w:rPr>
                <w:rFonts w:cs="Calibri"/>
                <w:color w:val="7030A0"/>
                <w:sz w:val="14"/>
              </w:rPr>
            </w:pPr>
            <w:r w:rsidRPr="00627844">
              <w:rPr>
                <w:rFonts w:cs="Calibri"/>
                <w:color w:val="7030A0"/>
                <w:sz w:val="14"/>
              </w:rPr>
              <w:t>Chief Minister’s Annual Report Directions</w:t>
            </w:r>
          </w:p>
        </w:tc>
        <w:tc>
          <w:tcPr>
            <w:tcW w:w="4222" w:type="pct"/>
            <w:gridSpan w:val="11"/>
            <w:tcBorders>
              <w:left w:val="single" w:sz="2" w:space="0" w:color="auto"/>
            </w:tcBorders>
            <w:shd w:val="clear" w:color="auto" w:fill="7030A0"/>
          </w:tcPr>
          <w:p w14:paraId="4950BACC" w14:textId="206A9415" w:rsidR="00956A70" w:rsidRPr="00627844" w:rsidRDefault="00956A70" w:rsidP="00956A70">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This note requires the disclosure of grants and payments to service providers. In addition, the Chief Minister’s Annual Report Directions requires details of service purchasing agreements, community grants, sponsorships and assistance provided by the agency to be reported in the agency’s Annual Report.</w:t>
            </w:r>
            <w:r w:rsidR="00FA7C77">
              <w:rPr>
                <w:rFonts w:cs="Calibri"/>
                <w:color w:val="F2F2F2" w:themeColor="background1" w:themeShade="F2"/>
                <w:sz w:val="18"/>
                <w:szCs w:val="18"/>
              </w:rPr>
              <w:t xml:space="preserve"> </w:t>
            </w:r>
          </w:p>
        </w:tc>
      </w:tr>
      <w:tr w:rsidR="007A04CB" w:rsidRPr="00CF7E1B" w14:paraId="0FA77A18"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0EA1226C" w14:textId="77777777" w:rsidR="007A04CB" w:rsidRPr="00627844" w:rsidRDefault="007A04CB" w:rsidP="00956A70">
            <w:pPr>
              <w:pStyle w:val="TableReference"/>
              <w:tabs>
                <w:tab w:val="left" w:pos="3306"/>
              </w:tabs>
              <w:spacing w:before="60"/>
              <w:rPr>
                <w:rFonts w:cs="Calibri"/>
                <w:color w:val="7030A0"/>
                <w:sz w:val="14"/>
              </w:rPr>
            </w:pPr>
          </w:p>
        </w:tc>
        <w:tc>
          <w:tcPr>
            <w:tcW w:w="4222" w:type="pct"/>
            <w:gridSpan w:val="11"/>
            <w:tcBorders>
              <w:left w:val="single" w:sz="2" w:space="0" w:color="auto"/>
            </w:tcBorders>
            <w:shd w:val="clear" w:color="auto" w:fill="7030A0"/>
          </w:tcPr>
          <w:p w14:paraId="56B24254" w14:textId="77088F81" w:rsidR="007A04CB" w:rsidRPr="00627844" w:rsidRDefault="007A04CB" w:rsidP="00956A70">
            <w:pPr>
              <w:pStyle w:val="CommentaryText"/>
              <w:tabs>
                <w:tab w:val="left" w:pos="3306"/>
              </w:tabs>
              <w:rPr>
                <w:rFonts w:cs="Calibri"/>
                <w:color w:val="F2F2F2" w:themeColor="background1" w:themeShade="F2"/>
                <w:sz w:val="18"/>
                <w:szCs w:val="18"/>
              </w:rPr>
            </w:pPr>
            <w:r w:rsidRPr="00627844">
              <w:rPr>
                <w:rFonts w:cs="Calibri"/>
                <w:iCs/>
                <w:color w:val="F2F2F2" w:themeColor="background1" w:themeShade="F2"/>
                <w:sz w:val="18"/>
              </w:rPr>
              <w:t>Grants and Purchased Services are generally not applicable to territory authorities.</w:t>
            </w:r>
          </w:p>
        </w:tc>
      </w:tr>
      <w:tr w:rsidR="002B4698" w:rsidRPr="00CF7E1B" w14:paraId="4764A29C"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13E5335C" w14:textId="2C8EFE07" w:rsidR="002B4698" w:rsidRPr="00627844" w:rsidRDefault="002B4698" w:rsidP="002B4698">
            <w:pPr>
              <w:pStyle w:val="TableReference"/>
              <w:tabs>
                <w:tab w:val="left" w:pos="3306"/>
              </w:tabs>
              <w:spacing w:before="120" w:after="120"/>
              <w:rPr>
                <w:rFonts w:cs="Calibri"/>
                <w:color w:val="7030A0"/>
                <w:sz w:val="14"/>
              </w:rPr>
            </w:pPr>
            <w:r w:rsidRPr="00627844">
              <w:rPr>
                <w:rFonts w:cs="Calibri"/>
                <w:b/>
                <w:color w:val="7030A0"/>
                <w:sz w:val="22"/>
                <w:szCs w:val="22"/>
              </w:rPr>
              <w:t>Reference</w:t>
            </w:r>
          </w:p>
        </w:tc>
        <w:tc>
          <w:tcPr>
            <w:tcW w:w="4222" w:type="pct"/>
            <w:gridSpan w:val="11"/>
            <w:tcBorders>
              <w:left w:val="single" w:sz="2" w:space="0" w:color="auto"/>
            </w:tcBorders>
            <w:shd w:val="clear" w:color="auto" w:fill="7030A0"/>
          </w:tcPr>
          <w:p w14:paraId="5AF0150E" w14:textId="03731077" w:rsidR="002B4698" w:rsidRPr="00627844" w:rsidRDefault="002B4698" w:rsidP="005F5F76">
            <w:pPr>
              <w:pStyle w:val="CommentaryText"/>
              <w:tabs>
                <w:tab w:val="left" w:pos="3306"/>
              </w:tabs>
              <w:spacing w:before="240"/>
              <w:rPr>
                <w:rFonts w:cs="Calibri"/>
                <w:iCs/>
                <w:color w:val="F2F2F2" w:themeColor="background1" w:themeShade="F2"/>
                <w:sz w:val="18"/>
              </w:rPr>
            </w:pPr>
            <w:r w:rsidRPr="002B4698">
              <w:rPr>
                <w:rFonts w:cs="Calibri"/>
                <w:b/>
                <w:bCs/>
                <w:color w:val="F2F2F2" w:themeColor="background1" w:themeShade="F2"/>
                <w:sz w:val="28"/>
                <w:szCs w:val="28"/>
              </w:rPr>
              <w:t>Commentary – Note 12: Grants and Purchased Services</w:t>
            </w:r>
            <w:r>
              <w:rPr>
                <w:rFonts w:cs="Calibri"/>
                <w:b/>
                <w:bCs/>
                <w:color w:val="F2F2F2" w:themeColor="background1" w:themeShade="F2"/>
                <w:sz w:val="28"/>
                <w:szCs w:val="28"/>
              </w:rPr>
              <w:t xml:space="preserve"> - Continued</w:t>
            </w:r>
          </w:p>
        </w:tc>
      </w:tr>
      <w:tr w:rsidR="002B4698" w:rsidRPr="00CF7E1B" w14:paraId="483945A7"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15196044" w14:textId="77777777" w:rsidR="002B4698" w:rsidRPr="00627844" w:rsidRDefault="002B4698" w:rsidP="002B4698">
            <w:pPr>
              <w:pStyle w:val="TableReference"/>
              <w:tabs>
                <w:tab w:val="left" w:pos="3306"/>
              </w:tabs>
              <w:spacing w:before="60"/>
              <w:rPr>
                <w:rFonts w:cs="Calibri"/>
                <w:color w:val="7030A0"/>
                <w:sz w:val="14"/>
              </w:rPr>
            </w:pPr>
          </w:p>
        </w:tc>
        <w:tc>
          <w:tcPr>
            <w:tcW w:w="4222" w:type="pct"/>
            <w:gridSpan w:val="11"/>
            <w:tcBorders>
              <w:left w:val="single" w:sz="2" w:space="0" w:color="auto"/>
            </w:tcBorders>
            <w:shd w:val="clear" w:color="auto" w:fill="7030A0"/>
          </w:tcPr>
          <w:p w14:paraId="098ED976" w14:textId="53AD4C92" w:rsidR="002B4698" w:rsidRPr="008A6781" w:rsidRDefault="002B4698" w:rsidP="00F04DCA">
            <w:pPr>
              <w:pStyle w:val="CommentaryText"/>
              <w:tabs>
                <w:tab w:val="left" w:pos="3306"/>
              </w:tabs>
              <w:spacing w:after="0"/>
              <w:rPr>
                <w:rFonts w:cs="Calibri"/>
                <w:iCs/>
                <w:color w:val="C45911" w:themeColor="accent2" w:themeShade="BF"/>
                <w:sz w:val="18"/>
              </w:rPr>
            </w:pPr>
            <w:r w:rsidRPr="008A6781">
              <w:rPr>
                <w:b/>
                <w:bCs/>
                <w:color w:val="FF0000"/>
              </w:rPr>
              <w:t>Concessional Loan Discount Expense</w:t>
            </w:r>
          </w:p>
        </w:tc>
      </w:tr>
      <w:tr w:rsidR="002B4698" w:rsidRPr="00CF7E1B" w14:paraId="627EFA68"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37" w:type="pct"/>
          <w:trHeight w:val="283"/>
          <w:tblHeader/>
        </w:trPr>
        <w:tc>
          <w:tcPr>
            <w:tcW w:w="741" w:type="pct"/>
            <w:tcBorders>
              <w:left w:val="single" w:sz="2" w:space="0" w:color="auto"/>
              <w:right w:val="single" w:sz="2" w:space="0" w:color="auto"/>
            </w:tcBorders>
          </w:tcPr>
          <w:p w14:paraId="48F2BCD6" w14:textId="77777777" w:rsidR="002B4698" w:rsidRPr="00627844" w:rsidRDefault="002B4698" w:rsidP="002B4698">
            <w:pPr>
              <w:pStyle w:val="TableReference"/>
              <w:tabs>
                <w:tab w:val="left" w:pos="3306"/>
              </w:tabs>
              <w:spacing w:before="60"/>
              <w:rPr>
                <w:rFonts w:cs="Calibri"/>
                <w:color w:val="7030A0"/>
                <w:sz w:val="14"/>
              </w:rPr>
            </w:pPr>
          </w:p>
        </w:tc>
        <w:tc>
          <w:tcPr>
            <w:tcW w:w="4222" w:type="pct"/>
            <w:gridSpan w:val="11"/>
            <w:tcBorders>
              <w:left w:val="single" w:sz="2" w:space="0" w:color="auto"/>
            </w:tcBorders>
            <w:shd w:val="clear" w:color="auto" w:fill="7030A0"/>
          </w:tcPr>
          <w:p w14:paraId="234328BF" w14:textId="5543AE10" w:rsidR="002B4698" w:rsidRPr="008A6781" w:rsidRDefault="002B4698" w:rsidP="002B4698">
            <w:pPr>
              <w:pStyle w:val="CommentaryText"/>
              <w:tabs>
                <w:tab w:val="left" w:pos="3306"/>
              </w:tabs>
              <w:rPr>
                <w:rFonts w:cs="Calibri"/>
                <w:iCs/>
                <w:color w:val="F2F2F2" w:themeColor="background1" w:themeShade="F2"/>
                <w:sz w:val="18"/>
              </w:rPr>
            </w:pPr>
            <w:r w:rsidRPr="008A6781">
              <w:rPr>
                <w:color w:val="FF0000"/>
                <w:sz w:val="18"/>
                <w:szCs w:val="18"/>
              </w:rPr>
              <w:t xml:space="preserve">When a concessional loan is </w:t>
            </w:r>
            <w:r w:rsidR="00E77DF6" w:rsidRPr="008A6781">
              <w:rPr>
                <w:color w:val="FF0000"/>
                <w:sz w:val="18"/>
                <w:szCs w:val="18"/>
              </w:rPr>
              <w:t>provided</w:t>
            </w:r>
            <w:r w:rsidRPr="008A6781">
              <w:rPr>
                <w:color w:val="FF0000"/>
                <w:sz w:val="18"/>
                <w:szCs w:val="18"/>
              </w:rPr>
              <w:t xml:space="preserve"> by an agency, the difference between the present value calculated using the concessional rate (face value) and the present value calculated using the market rate (fair value) is recognised as a ‘Concessional Loan Discount Expense’.  Given ‘Burley Griffin Agency’ did not issue any concessional loans in the current financial year, there is no 'Concessional Loan Discount Expense’ disclosed in these Model Financial Statements.  Where an agency has issued concessional loans in the current financial year then a ‘Concessional Loan Discount Expense’ should be disclosed in their Grants and </w:t>
            </w:r>
            <w:r w:rsidR="00F04DCA" w:rsidRPr="008A6781">
              <w:rPr>
                <w:color w:val="FF0000"/>
                <w:sz w:val="18"/>
                <w:szCs w:val="18"/>
              </w:rPr>
              <w:t xml:space="preserve">Purchased Services </w:t>
            </w:r>
            <w:r w:rsidRPr="008A6781">
              <w:rPr>
                <w:color w:val="FF0000"/>
                <w:sz w:val="18"/>
                <w:szCs w:val="18"/>
              </w:rPr>
              <w:t>note where material.</w:t>
            </w:r>
          </w:p>
        </w:tc>
      </w:tr>
      <w:tr w:rsidR="002B4698" w:rsidRPr="00CF7E1B" w14:paraId="2783AE29" w14:textId="77777777" w:rsidTr="005F5F76">
        <w:trPr>
          <w:gridAfter w:val="2"/>
          <w:wAfter w:w="37" w:type="pct"/>
          <w:cantSplit/>
          <w:trHeight w:hRule="exact" w:val="921"/>
        </w:trPr>
        <w:tc>
          <w:tcPr>
            <w:tcW w:w="741" w:type="pct"/>
            <w:tcBorders>
              <w:top w:val="nil"/>
              <w:left w:val="single" w:sz="2" w:space="0" w:color="auto"/>
              <w:bottom w:val="nil"/>
              <w:right w:val="single" w:sz="2" w:space="0" w:color="auto"/>
            </w:tcBorders>
          </w:tcPr>
          <w:p w14:paraId="6AC3FB9D" w14:textId="150C4DA0" w:rsidR="002B4698" w:rsidRPr="00627844" w:rsidRDefault="002B4698" w:rsidP="002B4698">
            <w:pPr>
              <w:pStyle w:val="TableReference"/>
              <w:tabs>
                <w:tab w:val="left" w:pos="3306"/>
              </w:tabs>
              <w:spacing w:before="240" w:after="240"/>
              <w:rPr>
                <w:rFonts w:cs="Calibri"/>
                <w:b/>
                <w:color w:val="7030A0"/>
                <w:sz w:val="22"/>
                <w:szCs w:val="22"/>
              </w:rPr>
            </w:pPr>
            <w:r w:rsidRPr="00627844">
              <w:rPr>
                <w:b/>
                <w:bCs/>
                <w:color w:val="7030A0"/>
              </w:rPr>
              <w:br w:type="page"/>
            </w:r>
            <w:bookmarkStart w:id="512" w:name="BorrowCosts" w:colFirst="1" w:colLast="1"/>
          </w:p>
        </w:tc>
        <w:tc>
          <w:tcPr>
            <w:tcW w:w="4222" w:type="pct"/>
            <w:gridSpan w:val="11"/>
            <w:tcBorders>
              <w:top w:val="nil"/>
              <w:left w:val="single" w:sz="2" w:space="0" w:color="auto"/>
              <w:bottom w:val="nil"/>
              <w:right w:val="nil"/>
            </w:tcBorders>
          </w:tcPr>
          <w:p w14:paraId="7B989471" w14:textId="595CA215" w:rsidR="002B4698" w:rsidRPr="00627844" w:rsidRDefault="002B4698" w:rsidP="002B4698">
            <w:pPr>
              <w:pStyle w:val="Heading1"/>
              <w:numPr>
                <w:ilvl w:val="0"/>
                <w:numId w:val="0"/>
              </w:numPr>
            </w:pPr>
            <w:bookmarkStart w:id="513" w:name="_Toc49224040"/>
            <w:bookmarkStart w:id="514" w:name="_Ref50365433"/>
            <w:bookmarkStart w:id="515" w:name="_Toc50440355"/>
            <w:bookmarkStart w:id="516" w:name="_Ref50523980"/>
            <w:bookmarkStart w:id="517" w:name="_Toc400627334"/>
            <w:bookmarkStart w:id="518" w:name="_Toc132743795"/>
            <w:r w:rsidRPr="00627844">
              <w:t>Note 13.</w:t>
            </w:r>
            <w:r>
              <w:t xml:space="preserve"> </w:t>
            </w:r>
            <w:r w:rsidRPr="00627844">
              <w:t xml:space="preserve"> Borrowing Costs</w:t>
            </w:r>
            <w:bookmarkEnd w:id="513"/>
            <w:bookmarkEnd w:id="514"/>
            <w:bookmarkEnd w:id="515"/>
            <w:bookmarkEnd w:id="516"/>
            <w:bookmarkEnd w:id="517"/>
            <w:bookmarkEnd w:id="518"/>
          </w:p>
        </w:tc>
      </w:tr>
      <w:tr w:rsidR="002B4698" w:rsidRPr="00CF7E1B" w14:paraId="361FA316" w14:textId="77777777" w:rsidTr="005F5F76">
        <w:trPr>
          <w:gridAfter w:val="2"/>
          <w:wAfter w:w="37" w:type="pct"/>
          <w:cantSplit/>
          <w:trHeight w:hRule="exact" w:val="264"/>
        </w:trPr>
        <w:tc>
          <w:tcPr>
            <w:tcW w:w="741" w:type="pct"/>
            <w:vMerge w:val="restart"/>
            <w:tcBorders>
              <w:top w:val="nil"/>
              <w:left w:val="single" w:sz="2" w:space="0" w:color="auto"/>
              <w:right w:val="single" w:sz="2" w:space="0" w:color="auto"/>
            </w:tcBorders>
          </w:tcPr>
          <w:p w14:paraId="3990ACE4" w14:textId="77777777" w:rsidR="002B4698" w:rsidRDefault="002B4698" w:rsidP="002B4698">
            <w:pPr>
              <w:pStyle w:val="TableReference"/>
              <w:tabs>
                <w:tab w:val="left" w:pos="3306"/>
              </w:tabs>
              <w:spacing w:before="40"/>
              <w:rPr>
                <w:color w:val="7030A0"/>
                <w:sz w:val="14"/>
              </w:rPr>
            </w:pPr>
            <w:r w:rsidRPr="00627844">
              <w:rPr>
                <w:color w:val="7030A0"/>
                <w:sz w:val="14"/>
              </w:rPr>
              <w:t xml:space="preserve">AASB 123.Aus8.1 &amp; Aus26.1, </w:t>
            </w:r>
          </w:p>
          <w:p w14:paraId="2C9E9426" w14:textId="23136183" w:rsidR="002B4698" w:rsidRPr="00627844" w:rsidRDefault="002B4698" w:rsidP="002B4698">
            <w:pPr>
              <w:pStyle w:val="TableReference"/>
              <w:tabs>
                <w:tab w:val="left" w:pos="3306"/>
              </w:tabs>
              <w:spacing w:before="40"/>
              <w:rPr>
                <w:rFonts w:cs="Calibri"/>
                <w:b/>
                <w:color w:val="7030A0"/>
                <w:sz w:val="20"/>
                <w:szCs w:val="20"/>
              </w:rPr>
            </w:pPr>
            <w:r w:rsidRPr="00E37048">
              <w:rPr>
                <w:color w:val="7030A0"/>
                <w:sz w:val="14"/>
              </w:rPr>
              <w:t>ACT Accounting Policy</w:t>
            </w:r>
          </w:p>
        </w:tc>
        <w:tc>
          <w:tcPr>
            <w:tcW w:w="4222" w:type="pct"/>
            <w:gridSpan w:val="11"/>
            <w:tcBorders>
              <w:top w:val="nil"/>
              <w:left w:val="single" w:sz="2" w:space="0" w:color="auto"/>
              <w:bottom w:val="nil"/>
              <w:right w:val="nil"/>
            </w:tcBorders>
          </w:tcPr>
          <w:p w14:paraId="5AA63A83" w14:textId="522A3553" w:rsidR="002B4698" w:rsidRPr="006D1C79" w:rsidRDefault="002B4698" w:rsidP="002B4698">
            <w:pPr>
              <w:jc w:val="both"/>
              <w:rPr>
                <w:b/>
                <w:bCs/>
                <w:sz w:val="18"/>
                <w:szCs w:val="18"/>
              </w:rPr>
            </w:pPr>
            <w:bookmarkStart w:id="519" w:name="_Toc98763098"/>
            <w:r w:rsidRPr="006D1C79">
              <w:rPr>
                <w:rFonts w:cs="Calibri"/>
                <w:b/>
                <w:bCs/>
                <w:sz w:val="18"/>
                <w:szCs w:val="18"/>
              </w:rPr>
              <w:t xml:space="preserve">Description and </w:t>
            </w:r>
            <w:r w:rsidRPr="006D1C79">
              <w:rPr>
                <w:b/>
                <w:bCs/>
                <w:sz w:val="18"/>
                <w:szCs w:val="18"/>
              </w:rPr>
              <w:t>Material Accounting Policies Relating to Borrowing Costs</w:t>
            </w:r>
            <w:bookmarkEnd w:id="519"/>
          </w:p>
        </w:tc>
      </w:tr>
      <w:tr w:rsidR="002B4698" w:rsidRPr="00CF7E1B" w14:paraId="6B81140B" w14:textId="77777777" w:rsidTr="005F5F76">
        <w:trPr>
          <w:gridAfter w:val="2"/>
          <w:wAfter w:w="37" w:type="pct"/>
          <w:cantSplit/>
          <w:trHeight w:hRule="exact" w:val="611"/>
        </w:trPr>
        <w:tc>
          <w:tcPr>
            <w:tcW w:w="741" w:type="pct"/>
            <w:vMerge/>
            <w:tcBorders>
              <w:left w:val="single" w:sz="2" w:space="0" w:color="auto"/>
              <w:bottom w:val="nil"/>
              <w:right w:val="single" w:sz="2" w:space="0" w:color="auto"/>
            </w:tcBorders>
          </w:tcPr>
          <w:p w14:paraId="1904CE8F" w14:textId="6A447459" w:rsidR="002B4698" w:rsidRPr="00627844" w:rsidRDefault="002B4698" w:rsidP="002B4698">
            <w:pPr>
              <w:pStyle w:val="TableReference"/>
              <w:tabs>
                <w:tab w:val="left" w:pos="3306"/>
              </w:tabs>
              <w:spacing w:before="40"/>
              <w:rPr>
                <w:rFonts w:cs="Calibri"/>
                <w:b/>
                <w:color w:val="7030A0"/>
                <w:sz w:val="14"/>
              </w:rPr>
            </w:pPr>
          </w:p>
        </w:tc>
        <w:tc>
          <w:tcPr>
            <w:tcW w:w="4222" w:type="pct"/>
            <w:gridSpan w:val="11"/>
            <w:tcBorders>
              <w:top w:val="nil"/>
              <w:left w:val="single" w:sz="2" w:space="0" w:color="auto"/>
              <w:bottom w:val="nil"/>
              <w:right w:val="nil"/>
            </w:tcBorders>
          </w:tcPr>
          <w:p w14:paraId="6874FFAA" w14:textId="311BEE8A" w:rsidR="002B4698" w:rsidRPr="00627844" w:rsidRDefault="002B4698" w:rsidP="002B4698">
            <w:pPr>
              <w:jc w:val="both"/>
              <w:rPr>
                <w:sz w:val="18"/>
                <w:szCs w:val="18"/>
              </w:rPr>
            </w:pPr>
            <w:r w:rsidRPr="00627844">
              <w:rPr>
                <w:rFonts w:cs="Calibri"/>
                <w:sz w:val="18"/>
                <w:szCs w:val="18"/>
              </w:rPr>
              <w:t>All borrowing costs, including</w:t>
            </w:r>
            <w:r w:rsidRPr="00627844">
              <w:rPr>
                <w:sz w:val="18"/>
                <w:szCs w:val="18"/>
              </w:rPr>
              <w:t xml:space="preserve"> those that are directly attributable to the acquisition, construction or production of a qualifying asset, </w:t>
            </w:r>
            <w:r w:rsidRPr="00627844">
              <w:rPr>
                <w:rFonts w:cs="Calibri"/>
                <w:sz w:val="18"/>
                <w:szCs w:val="18"/>
              </w:rPr>
              <w:t>are expensed in the period in which they are incurred.</w:t>
            </w:r>
          </w:p>
        </w:tc>
      </w:tr>
      <w:bookmarkEnd w:id="512"/>
      <w:tr w:rsidR="002B4698" w:rsidRPr="00CF7E1B" w14:paraId="094EAD24" w14:textId="77777777" w:rsidTr="005F5F76">
        <w:trPr>
          <w:gridAfter w:val="2"/>
          <w:wAfter w:w="37" w:type="pct"/>
          <w:cantSplit/>
          <w:trHeight w:hRule="exact" w:val="276"/>
        </w:trPr>
        <w:tc>
          <w:tcPr>
            <w:tcW w:w="741" w:type="pct"/>
            <w:tcBorders>
              <w:top w:val="nil"/>
              <w:left w:val="single" w:sz="2" w:space="0" w:color="auto"/>
              <w:bottom w:val="nil"/>
              <w:right w:val="single" w:sz="2" w:space="0" w:color="auto"/>
            </w:tcBorders>
          </w:tcPr>
          <w:p w14:paraId="1C612AEF" w14:textId="77777777" w:rsidR="002B4698" w:rsidRPr="00627844" w:rsidRDefault="002B4698" w:rsidP="002B4698">
            <w:pPr>
              <w:pStyle w:val="TableReference"/>
              <w:tabs>
                <w:tab w:val="left" w:pos="3306"/>
              </w:tabs>
              <w:spacing w:before="40"/>
              <w:rPr>
                <w:color w:val="7030A0"/>
                <w:sz w:val="14"/>
              </w:rPr>
            </w:pPr>
          </w:p>
        </w:tc>
        <w:tc>
          <w:tcPr>
            <w:tcW w:w="4222" w:type="pct"/>
            <w:gridSpan w:val="11"/>
            <w:tcBorders>
              <w:top w:val="nil"/>
              <w:left w:val="single" w:sz="2" w:space="0" w:color="auto"/>
              <w:bottom w:val="nil"/>
              <w:right w:val="nil"/>
            </w:tcBorders>
          </w:tcPr>
          <w:p w14:paraId="56B8C447" w14:textId="3DD978AC" w:rsidR="002B4698" w:rsidRPr="00813BC1" w:rsidRDefault="002B4698" w:rsidP="002B4698">
            <w:pPr>
              <w:jc w:val="both"/>
              <w:rPr>
                <w:rFonts w:cs="Calibri"/>
                <w:color w:val="FF0000"/>
                <w:sz w:val="18"/>
                <w:szCs w:val="18"/>
                <w:highlight w:val="green"/>
              </w:rPr>
            </w:pPr>
            <w:r w:rsidRPr="004D4E4F">
              <w:rPr>
                <w:i/>
                <w:iCs/>
                <w:color w:val="FF0000"/>
                <w:sz w:val="18"/>
                <w:szCs w:val="18"/>
              </w:rPr>
              <w:t>Expense from the Unwinding of Concessional Loan Discount Income</w:t>
            </w:r>
          </w:p>
        </w:tc>
      </w:tr>
      <w:tr w:rsidR="002B4698" w:rsidRPr="00CF7E1B" w14:paraId="136439EC"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777C911F" w14:textId="77777777" w:rsidR="002B4698" w:rsidRPr="00627844" w:rsidRDefault="002B4698" w:rsidP="002B4698">
            <w:pPr>
              <w:pStyle w:val="TableReference"/>
              <w:tabs>
                <w:tab w:val="left" w:pos="3306"/>
              </w:tabs>
              <w:spacing w:before="40"/>
              <w:rPr>
                <w:rFonts w:cs="Calibri"/>
                <w:color w:val="7030A0"/>
                <w:sz w:val="14"/>
              </w:rPr>
            </w:pPr>
          </w:p>
        </w:tc>
        <w:tc>
          <w:tcPr>
            <w:tcW w:w="4222" w:type="pct"/>
            <w:gridSpan w:val="11"/>
            <w:tcBorders>
              <w:top w:val="nil"/>
              <w:left w:val="single" w:sz="2" w:space="0" w:color="auto"/>
              <w:bottom w:val="nil"/>
              <w:right w:val="nil"/>
            </w:tcBorders>
          </w:tcPr>
          <w:p w14:paraId="5F7E8293" w14:textId="73D665E6" w:rsidR="002B4698" w:rsidRPr="00E37048" w:rsidRDefault="002B4698" w:rsidP="002B4698">
            <w:pPr>
              <w:spacing w:after="120"/>
              <w:jc w:val="both"/>
              <w:rPr>
                <w:color w:val="FF0000"/>
                <w:sz w:val="18"/>
                <w:szCs w:val="18"/>
                <w:highlight w:val="green"/>
              </w:rPr>
            </w:pPr>
            <w:r>
              <w:rPr>
                <w:color w:val="FF0000"/>
                <w:sz w:val="18"/>
                <w:szCs w:val="18"/>
              </w:rPr>
              <w:t>T</w:t>
            </w:r>
            <w:r w:rsidRPr="004D4E4F">
              <w:rPr>
                <w:color w:val="FF0000"/>
                <w:sz w:val="18"/>
                <w:szCs w:val="18"/>
              </w:rPr>
              <w:t>he Concessional Loan Discount Income is recognised at the commencement of the concessional loan and is initially calculated as the difference between the loan’s nominal value at the concessional rate and fair value at the market rate. ‘Burley Griffin Agency’</w:t>
            </w:r>
            <w:r>
              <w:rPr>
                <w:color w:val="FF0000"/>
                <w:sz w:val="18"/>
                <w:szCs w:val="18"/>
              </w:rPr>
              <w:t xml:space="preserve"> then</w:t>
            </w:r>
            <w:r w:rsidRPr="004D4E4F">
              <w:rPr>
                <w:color w:val="FF0000"/>
                <w:sz w:val="18"/>
                <w:szCs w:val="18"/>
              </w:rPr>
              <w:t xml:space="preserve"> unwinds this income over the term of the loan on a straight-line basis which is recognised each year as the </w:t>
            </w:r>
            <w:r>
              <w:rPr>
                <w:color w:val="FF0000"/>
                <w:sz w:val="18"/>
                <w:szCs w:val="18"/>
              </w:rPr>
              <w:t>‘</w:t>
            </w:r>
            <w:r w:rsidRPr="004D4E4F">
              <w:rPr>
                <w:color w:val="FF0000"/>
                <w:sz w:val="18"/>
                <w:szCs w:val="18"/>
              </w:rPr>
              <w:t>Expense from the Unwinding of Concessional Loan Discount Income</w:t>
            </w:r>
            <w:r>
              <w:rPr>
                <w:color w:val="FF0000"/>
                <w:sz w:val="18"/>
                <w:szCs w:val="18"/>
              </w:rPr>
              <w:t>’</w:t>
            </w:r>
            <w:r w:rsidRPr="004D4E4F">
              <w:rPr>
                <w:color w:val="FF0000"/>
                <w:sz w:val="18"/>
                <w:szCs w:val="18"/>
              </w:rPr>
              <w:t>. In addition,</w:t>
            </w:r>
            <w:r>
              <w:rPr>
                <w:color w:val="FF0000"/>
                <w:sz w:val="18"/>
                <w:szCs w:val="18"/>
              </w:rPr>
              <w:t xml:space="preserve"> </w:t>
            </w:r>
            <w:r w:rsidRPr="004D4E4F">
              <w:rPr>
                <w:color w:val="FF0000"/>
                <w:sz w:val="18"/>
                <w:szCs w:val="18"/>
              </w:rPr>
              <w:t>the concessional loans provided to ‘Burley Griffin Agency’ are interest free meaning that the concessional rate paid by ‘Burley Griffin Agency’ is zero percent.</w:t>
            </w:r>
          </w:p>
        </w:tc>
      </w:tr>
      <w:tr w:rsidR="002B4698" w:rsidRPr="00CF7E1B" w14:paraId="351C35A3"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49A0B8A1" w14:textId="77777777" w:rsidR="002B4698" w:rsidRPr="00627844" w:rsidRDefault="002B4698" w:rsidP="002B4698">
            <w:pPr>
              <w:pStyle w:val="TableReference"/>
              <w:tabs>
                <w:tab w:val="left" w:pos="3306"/>
              </w:tabs>
              <w:spacing w:before="40"/>
              <w:rPr>
                <w:rFonts w:cs="Calibri"/>
                <w:color w:val="7030A0"/>
                <w:sz w:val="14"/>
              </w:rPr>
            </w:pPr>
          </w:p>
        </w:tc>
        <w:tc>
          <w:tcPr>
            <w:tcW w:w="4222" w:type="pct"/>
            <w:gridSpan w:val="11"/>
            <w:tcBorders>
              <w:top w:val="nil"/>
              <w:left w:val="single" w:sz="2" w:space="0" w:color="auto"/>
              <w:bottom w:val="nil"/>
              <w:right w:val="nil"/>
            </w:tcBorders>
          </w:tcPr>
          <w:p w14:paraId="18C41311" w14:textId="1203B4D0" w:rsidR="002B4698" w:rsidRPr="006D1C79" w:rsidRDefault="002B4698" w:rsidP="002B4698">
            <w:pPr>
              <w:jc w:val="both"/>
              <w:rPr>
                <w:rFonts w:cs="Calibri"/>
                <w:b/>
                <w:bCs/>
                <w:sz w:val="18"/>
                <w:szCs w:val="18"/>
              </w:rPr>
            </w:pPr>
            <w:r w:rsidRPr="006D1C79">
              <w:rPr>
                <w:color w:val="FF0000"/>
                <w:sz w:val="18"/>
                <w:szCs w:val="18"/>
              </w:rPr>
              <w:t xml:space="preserve">‘Burley Griffin Agency’ received a concessional loan from the Environment, Planning and Sustainable Development Directorate under the ‘Zero Emissions Government Fund’. Under this scheme loans are provided to other ACT Government agencies to undertake larger scale energy and resource efficiency projects to reduce greenhouse gas emissions and to reduce the impacts of rising utility costs. For further details in relation to this concessional loan scheme refer to Note 25 </w:t>
            </w:r>
            <w:r w:rsidRPr="006D1C79">
              <w:rPr>
                <w:i/>
                <w:iCs/>
                <w:color w:val="FF0000"/>
                <w:sz w:val="18"/>
                <w:szCs w:val="18"/>
              </w:rPr>
              <w:t>Borrowings</w:t>
            </w:r>
            <w:r w:rsidRPr="006D1C79">
              <w:rPr>
                <w:color w:val="FF0000"/>
                <w:sz w:val="18"/>
                <w:szCs w:val="18"/>
              </w:rPr>
              <w:t>.</w:t>
            </w:r>
          </w:p>
        </w:tc>
      </w:tr>
      <w:tr w:rsidR="002B4698" w:rsidRPr="00CF7E1B" w14:paraId="4A76DD16"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447FCF8F" w14:textId="77777777" w:rsidR="002B4698" w:rsidRPr="00627844" w:rsidRDefault="002B4698" w:rsidP="002B4698">
            <w:pPr>
              <w:pStyle w:val="TableReference"/>
              <w:tabs>
                <w:tab w:val="left" w:pos="3306"/>
              </w:tabs>
              <w:spacing w:before="40"/>
              <w:rPr>
                <w:rFonts w:cs="Calibri"/>
                <w:color w:val="7030A0"/>
                <w:sz w:val="14"/>
              </w:rPr>
            </w:pPr>
          </w:p>
        </w:tc>
        <w:tc>
          <w:tcPr>
            <w:tcW w:w="2803" w:type="pct"/>
            <w:gridSpan w:val="5"/>
            <w:tcBorders>
              <w:top w:val="nil"/>
              <w:left w:val="single" w:sz="2" w:space="0" w:color="auto"/>
              <w:bottom w:val="nil"/>
              <w:right w:val="nil"/>
            </w:tcBorders>
            <w:vAlign w:val="bottom"/>
          </w:tcPr>
          <w:p w14:paraId="764A8AF8" w14:textId="77777777" w:rsidR="002B4698" w:rsidRPr="00627844" w:rsidRDefault="002B4698" w:rsidP="002B4698">
            <w:pPr>
              <w:pStyle w:val="TableText"/>
              <w:tabs>
                <w:tab w:val="left" w:pos="3306"/>
              </w:tabs>
              <w:rPr>
                <w:rFonts w:cs="Calibri"/>
              </w:rPr>
            </w:pPr>
          </w:p>
        </w:tc>
        <w:tc>
          <w:tcPr>
            <w:tcW w:w="748" w:type="pct"/>
            <w:gridSpan w:val="4"/>
            <w:tcBorders>
              <w:top w:val="nil"/>
              <w:left w:val="nil"/>
              <w:bottom w:val="nil"/>
              <w:right w:val="nil"/>
            </w:tcBorders>
            <w:vAlign w:val="bottom"/>
          </w:tcPr>
          <w:p w14:paraId="6B3DFDB2" w14:textId="77777777" w:rsidR="002B4698" w:rsidRPr="00627844" w:rsidRDefault="002B4698" w:rsidP="002B4698">
            <w:pPr>
              <w:pStyle w:val="TableTitle"/>
              <w:tabs>
                <w:tab w:val="left" w:pos="3306"/>
              </w:tabs>
              <w:rPr>
                <w:rFonts w:cs="Calibri"/>
              </w:rPr>
            </w:pPr>
            <w:r w:rsidRPr="00627844">
              <w:rPr>
                <w:rFonts w:cs="Calibri"/>
              </w:rPr>
              <w:t>202</w:t>
            </w:r>
            <w:r>
              <w:rPr>
                <w:rFonts w:cs="Calibri"/>
              </w:rPr>
              <w:t>3</w:t>
            </w:r>
          </w:p>
          <w:p w14:paraId="24C24D1F" w14:textId="443A7AE4" w:rsidR="002B4698" w:rsidRPr="00627844" w:rsidRDefault="002B4698" w:rsidP="002B4698">
            <w:pPr>
              <w:pStyle w:val="TableTitle"/>
              <w:tabs>
                <w:tab w:val="left" w:pos="3306"/>
              </w:tabs>
              <w:rPr>
                <w:rFonts w:cs="Calibri"/>
              </w:rPr>
            </w:pPr>
            <w:r w:rsidRPr="00627844">
              <w:rPr>
                <w:rFonts w:cs="Calibri"/>
              </w:rPr>
              <w:t>$’000</w:t>
            </w:r>
          </w:p>
        </w:tc>
        <w:tc>
          <w:tcPr>
            <w:tcW w:w="671" w:type="pct"/>
            <w:gridSpan w:val="2"/>
            <w:tcBorders>
              <w:top w:val="nil"/>
              <w:left w:val="nil"/>
              <w:bottom w:val="nil"/>
              <w:right w:val="nil"/>
            </w:tcBorders>
            <w:vAlign w:val="bottom"/>
          </w:tcPr>
          <w:p w14:paraId="128965F5" w14:textId="77777777" w:rsidR="002B4698" w:rsidRPr="00627844" w:rsidRDefault="002B4698" w:rsidP="002B4698">
            <w:pPr>
              <w:pStyle w:val="TableText"/>
              <w:tabs>
                <w:tab w:val="left" w:pos="3306"/>
              </w:tabs>
              <w:jc w:val="right"/>
              <w:rPr>
                <w:rFonts w:cs="Calibri"/>
                <w:b/>
                <w:bCs/>
              </w:rPr>
            </w:pPr>
            <w:r w:rsidRPr="00627844">
              <w:rPr>
                <w:rFonts w:cs="Calibri"/>
                <w:b/>
                <w:bCs/>
              </w:rPr>
              <w:t>202</w:t>
            </w:r>
            <w:r>
              <w:rPr>
                <w:rFonts w:cs="Calibri"/>
                <w:b/>
                <w:bCs/>
              </w:rPr>
              <w:t>2</w:t>
            </w:r>
            <w:r w:rsidRPr="00627844">
              <w:rPr>
                <w:rFonts w:cs="Calibri"/>
                <w:b/>
                <w:bCs/>
              </w:rPr>
              <w:t xml:space="preserve"> </w:t>
            </w:r>
          </w:p>
          <w:p w14:paraId="4D157002" w14:textId="3C191569" w:rsidR="002B4698" w:rsidRPr="00627844" w:rsidRDefault="002B4698" w:rsidP="002B4698">
            <w:pPr>
              <w:pStyle w:val="TableText"/>
              <w:tabs>
                <w:tab w:val="left" w:pos="3306"/>
              </w:tabs>
              <w:jc w:val="right"/>
              <w:rPr>
                <w:rFonts w:cs="Calibri"/>
                <w:b/>
                <w:bCs/>
              </w:rPr>
            </w:pPr>
            <w:r w:rsidRPr="00627844">
              <w:rPr>
                <w:rFonts w:cs="Calibri"/>
                <w:b/>
                <w:bCs/>
              </w:rPr>
              <w:t>$’000</w:t>
            </w:r>
          </w:p>
        </w:tc>
      </w:tr>
      <w:tr w:rsidR="002B4698" w:rsidRPr="00CF7E1B" w14:paraId="484DBF15"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5CFB4141" w14:textId="77777777" w:rsidR="002B4698" w:rsidRPr="00627844" w:rsidRDefault="002B4698" w:rsidP="002B4698">
            <w:pPr>
              <w:pStyle w:val="TableReference"/>
              <w:tabs>
                <w:tab w:val="left" w:pos="3306"/>
              </w:tabs>
              <w:spacing w:before="60"/>
              <w:rPr>
                <w:rFonts w:cs="Calibri"/>
                <w:color w:val="7030A0"/>
                <w:sz w:val="14"/>
              </w:rPr>
            </w:pPr>
            <w:r w:rsidRPr="00627844">
              <w:rPr>
                <w:rFonts w:cs="Calibri"/>
                <w:color w:val="7030A0"/>
                <w:sz w:val="14"/>
              </w:rPr>
              <w:t>AASB 7.20(b)</w:t>
            </w:r>
          </w:p>
        </w:tc>
        <w:tc>
          <w:tcPr>
            <w:tcW w:w="2803" w:type="pct"/>
            <w:gridSpan w:val="5"/>
            <w:tcBorders>
              <w:top w:val="nil"/>
              <w:left w:val="single" w:sz="2" w:space="0" w:color="auto"/>
              <w:bottom w:val="nil"/>
              <w:right w:val="nil"/>
            </w:tcBorders>
            <w:vAlign w:val="bottom"/>
          </w:tcPr>
          <w:p w14:paraId="2E03452A" w14:textId="77777777" w:rsidR="002B4698" w:rsidRPr="00627844" w:rsidRDefault="002B4698" w:rsidP="002B4698">
            <w:pPr>
              <w:pStyle w:val="TableText"/>
              <w:tabs>
                <w:tab w:val="left" w:pos="3306"/>
              </w:tabs>
              <w:rPr>
                <w:rFonts w:cs="Calibri"/>
              </w:rPr>
            </w:pPr>
            <w:r w:rsidRPr="00627844">
              <w:rPr>
                <w:rFonts w:cs="Calibri"/>
              </w:rPr>
              <w:t>Interest Expense on Bank Overdraft / Borrowings</w:t>
            </w:r>
          </w:p>
        </w:tc>
        <w:tc>
          <w:tcPr>
            <w:tcW w:w="748" w:type="pct"/>
            <w:gridSpan w:val="4"/>
            <w:tcBorders>
              <w:top w:val="nil"/>
              <w:left w:val="nil"/>
              <w:bottom w:val="nil"/>
              <w:right w:val="nil"/>
            </w:tcBorders>
            <w:vAlign w:val="bottom"/>
          </w:tcPr>
          <w:p w14:paraId="4E811AF9" w14:textId="41CD6E33"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49F49D92" w14:textId="406A1C53" w:rsidR="002B4698" w:rsidRPr="00627844" w:rsidRDefault="002B4698" w:rsidP="002B4698">
            <w:pPr>
              <w:pStyle w:val="TableText"/>
              <w:tabs>
                <w:tab w:val="left" w:pos="3306"/>
              </w:tabs>
              <w:jc w:val="right"/>
              <w:rPr>
                <w:rFonts w:cs="Calibri"/>
              </w:rPr>
            </w:pPr>
          </w:p>
        </w:tc>
      </w:tr>
      <w:tr w:rsidR="002B4698" w:rsidRPr="002C7AEF" w14:paraId="2D3BD49A"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3546EF55" w14:textId="1A34238C" w:rsidR="002B4698" w:rsidRPr="00627844" w:rsidRDefault="002B4698" w:rsidP="002B4698">
            <w:pPr>
              <w:pStyle w:val="TableReference"/>
              <w:tabs>
                <w:tab w:val="left" w:pos="3306"/>
              </w:tabs>
              <w:spacing w:before="60"/>
              <w:rPr>
                <w:rFonts w:cs="Calibri"/>
                <w:strike/>
                <w:color w:val="7030A0"/>
                <w:sz w:val="14"/>
              </w:rPr>
            </w:pPr>
            <w:r w:rsidRPr="00627844">
              <w:rPr>
                <w:rFonts w:cs="Calibri"/>
                <w:color w:val="7030A0"/>
                <w:sz w:val="14"/>
              </w:rPr>
              <w:t>AASB 16.53(b)</w:t>
            </w:r>
          </w:p>
        </w:tc>
        <w:tc>
          <w:tcPr>
            <w:tcW w:w="2803" w:type="pct"/>
            <w:gridSpan w:val="5"/>
            <w:tcBorders>
              <w:top w:val="nil"/>
              <w:left w:val="single" w:sz="2" w:space="0" w:color="auto"/>
              <w:bottom w:val="nil"/>
              <w:right w:val="nil"/>
            </w:tcBorders>
          </w:tcPr>
          <w:p w14:paraId="7D5872C8" w14:textId="2EEBBA22" w:rsidR="002B4698" w:rsidRPr="00627844" w:rsidRDefault="002B4698" w:rsidP="002B4698">
            <w:pPr>
              <w:pStyle w:val="TableText"/>
              <w:tabs>
                <w:tab w:val="left" w:pos="3306"/>
              </w:tabs>
              <w:rPr>
                <w:rFonts w:cs="Calibri"/>
              </w:rPr>
            </w:pPr>
            <w:r w:rsidRPr="00627844">
              <w:rPr>
                <w:rFonts w:cstheme="minorHAnsi"/>
              </w:rPr>
              <w:t>Interest on lease liabilities</w:t>
            </w:r>
          </w:p>
        </w:tc>
        <w:tc>
          <w:tcPr>
            <w:tcW w:w="748" w:type="pct"/>
            <w:gridSpan w:val="4"/>
            <w:tcBorders>
              <w:top w:val="nil"/>
              <w:left w:val="nil"/>
              <w:bottom w:val="nil"/>
              <w:right w:val="nil"/>
            </w:tcBorders>
            <w:shd w:val="clear" w:color="auto" w:fill="auto"/>
            <w:vAlign w:val="bottom"/>
          </w:tcPr>
          <w:p w14:paraId="453859DE" w14:textId="6229B2AC"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shd w:val="clear" w:color="auto" w:fill="auto"/>
            <w:vAlign w:val="bottom"/>
          </w:tcPr>
          <w:p w14:paraId="1DDC7331" w14:textId="77777777" w:rsidR="002B4698" w:rsidRPr="00627844" w:rsidRDefault="002B4698" w:rsidP="002B4698">
            <w:pPr>
              <w:pStyle w:val="TableText"/>
              <w:tabs>
                <w:tab w:val="left" w:pos="3306"/>
              </w:tabs>
              <w:jc w:val="right"/>
              <w:rPr>
                <w:rFonts w:cs="Calibri"/>
              </w:rPr>
            </w:pPr>
          </w:p>
        </w:tc>
      </w:tr>
      <w:tr w:rsidR="002B4698" w:rsidRPr="002C7AEF" w14:paraId="7CFB9177"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06E05F58" w14:textId="77777777" w:rsidR="002B4698" w:rsidRPr="00627844" w:rsidRDefault="002B4698" w:rsidP="002B4698">
            <w:pPr>
              <w:pStyle w:val="TableReference"/>
              <w:tabs>
                <w:tab w:val="left" w:pos="3306"/>
              </w:tabs>
              <w:spacing w:before="60"/>
              <w:rPr>
                <w:rFonts w:cs="Calibri"/>
                <w:color w:val="7030A0"/>
                <w:sz w:val="14"/>
              </w:rPr>
            </w:pPr>
          </w:p>
        </w:tc>
        <w:tc>
          <w:tcPr>
            <w:tcW w:w="2803" w:type="pct"/>
            <w:gridSpan w:val="5"/>
            <w:tcBorders>
              <w:top w:val="nil"/>
              <w:left w:val="single" w:sz="2" w:space="0" w:color="auto"/>
              <w:bottom w:val="nil"/>
              <w:right w:val="nil"/>
            </w:tcBorders>
            <w:vAlign w:val="bottom"/>
          </w:tcPr>
          <w:p w14:paraId="68B65CB4" w14:textId="2151E229" w:rsidR="002B4698" w:rsidRPr="00627844" w:rsidRDefault="002B4698" w:rsidP="002B4698">
            <w:pPr>
              <w:pStyle w:val="TableText"/>
              <w:tabs>
                <w:tab w:val="left" w:pos="3306"/>
              </w:tabs>
              <w:rPr>
                <w:rFonts w:cs="Calibri"/>
              </w:rPr>
            </w:pPr>
            <w:r w:rsidRPr="00627844">
              <w:rPr>
                <w:rFonts w:cs="Calibri"/>
              </w:rPr>
              <w:t xml:space="preserve">Interest </w:t>
            </w:r>
            <w:r w:rsidRPr="00627844">
              <w:t>attributable to the construction of a qualifying asset</w:t>
            </w:r>
          </w:p>
        </w:tc>
        <w:tc>
          <w:tcPr>
            <w:tcW w:w="748" w:type="pct"/>
            <w:gridSpan w:val="4"/>
            <w:tcBorders>
              <w:top w:val="nil"/>
              <w:left w:val="nil"/>
              <w:bottom w:val="nil"/>
              <w:right w:val="nil"/>
            </w:tcBorders>
            <w:shd w:val="clear" w:color="auto" w:fill="auto"/>
            <w:vAlign w:val="bottom"/>
          </w:tcPr>
          <w:p w14:paraId="370F45E6" w14:textId="77777777"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shd w:val="clear" w:color="auto" w:fill="auto"/>
            <w:vAlign w:val="bottom"/>
          </w:tcPr>
          <w:p w14:paraId="5FF96098" w14:textId="77777777" w:rsidR="002B4698" w:rsidRPr="00627844" w:rsidRDefault="002B4698" w:rsidP="002B4698">
            <w:pPr>
              <w:pStyle w:val="TableText"/>
              <w:tabs>
                <w:tab w:val="left" w:pos="3306"/>
              </w:tabs>
              <w:jc w:val="right"/>
              <w:rPr>
                <w:rFonts w:cs="Calibri"/>
              </w:rPr>
            </w:pPr>
          </w:p>
        </w:tc>
      </w:tr>
      <w:tr w:rsidR="002B4698" w:rsidRPr="002C7AEF" w14:paraId="61664A39"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66EAF485" w14:textId="77777777" w:rsidR="002B4698" w:rsidRPr="00627844" w:rsidRDefault="002B4698" w:rsidP="002B4698">
            <w:pPr>
              <w:pStyle w:val="TableReference"/>
              <w:tabs>
                <w:tab w:val="left" w:pos="3306"/>
              </w:tabs>
              <w:spacing w:before="60"/>
              <w:rPr>
                <w:rFonts w:cs="Calibri"/>
                <w:color w:val="7030A0"/>
                <w:sz w:val="14"/>
              </w:rPr>
            </w:pPr>
          </w:p>
        </w:tc>
        <w:tc>
          <w:tcPr>
            <w:tcW w:w="2803" w:type="pct"/>
            <w:gridSpan w:val="5"/>
            <w:tcBorders>
              <w:top w:val="nil"/>
              <w:left w:val="single" w:sz="2" w:space="0" w:color="auto"/>
              <w:bottom w:val="nil"/>
              <w:right w:val="nil"/>
            </w:tcBorders>
            <w:vAlign w:val="bottom"/>
          </w:tcPr>
          <w:p w14:paraId="5EB3810F" w14:textId="2CBC7FEF" w:rsidR="002B4698" w:rsidRPr="00627844" w:rsidRDefault="002B4698" w:rsidP="002B4698">
            <w:pPr>
              <w:pStyle w:val="TableText"/>
              <w:tabs>
                <w:tab w:val="left" w:pos="3306"/>
              </w:tabs>
              <w:rPr>
                <w:rFonts w:cs="Calibri"/>
              </w:rPr>
            </w:pPr>
            <w:r w:rsidRPr="00627844">
              <w:rPr>
                <w:rFonts w:cs="Calibri"/>
              </w:rPr>
              <w:t>Finance Costs from Service Concession Arrangements</w:t>
            </w:r>
          </w:p>
        </w:tc>
        <w:tc>
          <w:tcPr>
            <w:tcW w:w="748" w:type="pct"/>
            <w:gridSpan w:val="4"/>
            <w:tcBorders>
              <w:top w:val="nil"/>
              <w:left w:val="nil"/>
              <w:bottom w:val="nil"/>
              <w:right w:val="nil"/>
            </w:tcBorders>
            <w:shd w:val="clear" w:color="auto" w:fill="auto"/>
            <w:vAlign w:val="bottom"/>
          </w:tcPr>
          <w:p w14:paraId="276B1396" w14:textId="77777777"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shd w:val="clear" w:color="auto" w:fill="auto"/>
            <w:vAlign w:val="bottom"/>
          </w:tcPr>
          <w:p w14:paraId="51DB33FD" w14:textId="77777777" w:rsidR="002B4698" w:rsidRPr="00627844" w:rsidRDefault="002B4698" w:rsidP="002B4698">
            <w:pPr>
              <w:pStyle w:val="TableText"/>
              <w:tabs>
                <w:tab w:val="left" w:pos="3306"/>
              </w:tabs>
              <w:jc w:val="right"/>
              <w:rPr>
                <w:rFonts w:cs="Calibri"/>
              </w:rPr>
            </w:pPr>
          </w:p>
        </w:tc>
      </w:tr>
      <w:tr w:rsidR="002B4698" w:rsidRPr="002C7AEF" w14:paraId="676CF20B"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79B37308" w14:textId="77777777" w:rsidR="002B4698" w:rsidRPr="00627844" w:rsidRDefault="002B4698" w:rsidP="002B4698">
            <w:pPr>
              <w:pStyle w:val="TableReference"/>
              <w:tabs>
                <w:tab w:val="left" w:pos="3306"/>
              </w:tabs>
              <w:spacing w:before="60"/>
              <w:rPr>
                <w:rFonts w:cs="Calibri"/>
                <w:color w:val="7030A0"/>
                <w:sz w:val="14"/>
              </w:rPr>
            </w:pPr>
          </w:p>
        </w:tc>
        <w:tc>
          <w:tcPr>
            <w:tcW w:w="2803" w:type="pct"/>
            <w:gridSpan w:val="5"/>
            <w:tcBorders>
              <w:top w:val="nil"/>
              <w:left w:val="single" w:sz="2" w:space="0" w:color="auto"/>
              <w:bottom w:val="nil"/>
              <w:right w:val="nil"/>
            </w:tcBorders>
            <w:vAlign w:val="bottom"/>
          </w:tcPr>
          <w:p w14:paraId="7450FDDA" w14:textId="6ED86F4F" w:rsidR="002B4698" w:rsidRPr="00627844" w:rsidRDefault="002B4698" w:rsidP="002B4698">
            <w:pPr>
              <w:pStyle w:val="TableText"/>
              <w:tabs>
                <w:tab w:val="left" w:pos="3306"/>
              </w:tabs>
              <w:rPr>
                <w:rFonts w:cs="Calibri"/>
              </w:rPr>
            </w:pPr>
            <w:r w:rsidRPr="00627844">
              <w:rPr>
                <w:rFonts w:cs="Calibri"/>
              </w:rPr>
              <w:t>Finance Cost on Make Good</w:t>
            </w:r>
          </w:p>
        </w:tc>
        <w:tc>
          <w:tcPr>
            <w:tcW w:w="748" w:type="pct"/>
            <w:gridSpan w:val="4"/>
            <w:tcBorders>
              <w:top w:val="nil"/>
              <w:left w:val="nil"/>
              <w:bottom w:val="nil"/>
              <w:right w:val="nil"/>
            </w:tcBorders>
            <w:shd w:val="clear" w:color="auto" w:fill="auto"/>
            <w:vAlign w:val="bottom"/>
          </w:tcPr>
          <w:p w14:paraId="62278F73" w14:textId="77777777"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shd w:val="clear" w:color="auto" w:fill="auto"/>
            <w:vAlign w:val="bottom"/>
          </w:tcPr>
          <w:p w14:paraId="22B72757" w14:textId="77777777" w:rsidR="002B4698" w:rsidRPr="00627844" w:rsidRDefault="002B4698" w:rsidP="002B4698">
            <w:pPr>
              <w:pStyle w:val="TableText"/>
              <w:tabs>
                <w:tab w:val="left" w:pos="3306"/>
              </w:tabs>
              <w:jc w:val="right"/>
              <w:rPr>
                <w:rFonts w:cs="Calibri"/>
              </w:rPr>
            </w:pPr>
          </w:p>
        </w:tc>
      </w:tr>
      <w:tr w:rsidR="002B4698" w:rsidRPr="00CF7E1B" w14:paraId="63CDDEFC"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6B57DB74" w14:textId="7D8F298B" w:rsidR="002B4698" w:rsidRPr="00627844" w:rsidRDefault="002B4698" w:rsidP="002B4698">
            <w:pPr>
              <w:pStyle w:val="TableReference"/>
              <w:tabs>
                <w:tab w:val="left" w:pos="3306"/>
              </w:tabs>
              <w:spacing w:before="60"/>
              <w:rPr>
                <w:rFonts w:cs="Calibri"/>
                <w:color w:val="7030A0"/>
                <w:sz w:val="14"/>
              </w:rPr>
            </w:pPr>
          </w:p>
        </w:tc>
        <w:tc>
          <w:tcPr>
            <w:tcW w:w="2803" w:type="pct"/>
            <w:gridSpan w:val="5"/>
            <w:tcBorders>
              <w:top w:val="nil"/>
              <w:left w:val="single" w:sz="2" w:space="0" w:color="auto"/>
              <w:bottom w:val="nil"/>
              <w:right w:val="nil"/>
            </w:tcBorders>
            <w:vAlign w:val="bottom"/>
          </w:tcPr>
          <w:p w14:paraId="248AE43C" w14:textId="432693E8" w:rsidR="002B4698" w:rsidRPr="00813BC1" w:rsidRDefault="002B4698" w:rsidP="002B4698">
            <w:pPr>
              <w:pStyle w:val="TableText"/>
              <w:tabs>
                <w:tab w:val="left" w:pos="3306"/>
              </w:tabs>
              <w:rPr>
                <w:rFonts w:cs="Calibri"/>
                <w:color w:val="FF0000"/>
              </w:rPr>
            </w:pPr>
            <w:r w:rsidRPr="004D4E4F">
              <w:rPr>
                <w:rFonts w:cs="Calibri"/>
                <w:color w:val="FF0000"/>
              </w:rPr>
              <w:t>Expense from the Unwinding of Concessional Loan Discount Income</w:t>
            </w:r>
          </w:p>
        </w:tc>
        <w:tc>
          <w:tcPr>
            <w:tcW w:w="748" w:type="pct"/>
            <w:gridSpan w:val="4"/>
            <w:tcBorders>
              <w:top w:val="nil"/>
              <w:left w:val="nil"/>
              <w:bottom w:val="single" w:sz="2" w:space="0" w:color="auto"/>
              <w:right w:val="nil"/>
            </w:tcBorders>
            <w:vAlign w:val="bottom"/>
          </w:tcPr>
          <w:p w14:paraId="7F628545" w14:textId="60F36227" w:rsidR="002B4698" w:rsidRPr="00627844" w:rsidRDefault="002B4698" w:rsidP="002B4698">
            <w:pPr>
              <w:pStyle w:val="TableText"/>
              <w:tabs>
                <w:tab w:val="left" w:pos="3306"/>
              </w:tabs>
              <w:jc w:val="right"/>
              <w:rPr>
                <w:rFonts w:cs="Calibri"/>
              </w:rPr>
            </w:pPr>
          </w:p>
        </w:tc>
        <w:tc>
          <w:tcPr>
            <w:tcW w:w="671" w:type="pct"/>
            <w:gridSpan w:val="2"/>
            <w:tcBorders>
              <w:top w:val="nil"/>
              <w:left w:val="nil"/>
              <w:bottom w:val="single" w:sz="2" w:space="0" w:color="auto"/>
              <w:right w:val="nil"/>
            </w:tcBorders>
            <w:vAlign w:val="bottom"/>
          </w:tcPr>
          <w:p w14:paraId="019FA01B" w14:textId="74B86479" w:rsidR="002B4698" w:rsidRPr="00627844" w:rsidRDefault="002B4698" w:rsidP="002B4698">
            <w:pPr>
              <w:pStyle w:val="TableText"/>
              <w:tabs>
                <w:tab w:val="left" w:pos="3306"/>
              </w:tabs>
              <w:jc w:val="right"/>
              <w:rPr>
                <w:rFonts w:cs="Calibri"/>
              </w:rPr>
            </w:pPr>
          </w:p>
        </w:tc>
      </w:tr>
      <w:tr w:rsidR="002B4698" w:rsidRPr="00CF7E1B" w14:paraId="731DDEA2"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6BF045B5" w14:textId="77777777" w:rsidR="002B4698" w:rsidRPr="00627844" w:rsidRDefault="002B4698" w:rsidP="002B4698">
            <w:pPr>
              <w:pStyle w:val="TableReference"/>
              <w:tabs>
                <w:tab w:val="left" w:pos="3306"/>
              </w:tabs>
              <w:spacing w:before="120"/>
              <w:rPr>
                <w:rFonts w:cs="Calibri"/>
                <w:color w:val="7030A0"/>
                <w:sz w:val="14"/>
              </w:rPr>
            </w:pPr>
            <w:r w:rsidRPr="00627844">
              <w:rPr>
                <w:rFonts w:cs="Calibri"/>
                <w:color w:val="7030A0"/>
                <w:sz w:val="14"/>
              </w:rPr>
              <w:t>137.60</w:t>
            </w:r>
          </w:p>
        </w:tc>
        <w:tc>
          <w:tcPr>
            <w:tcW w:w="2803" w:type="pct"/>
            <w:gridSpan w:val="5"/>
            <w:tcBorders>
              <w:top w:val="nil"/>
              <w:left w:val="single" w:sz="2" w:space="0" w:color="auto"/>
              <w:bottom w:val="nil"/>
              <w:right w:val="nil"/>
            </w:tcBorders>
            <w:vAlign w:val="bottom"/>
          </w:tcPr>
          <w:p w14:paraId="7BAF2617" w14:textId="77777777" w:rsidR="002B4698" w:rsidRPr="00627844" w:rsidRDefault="002B4698" w:rsidP="002B4698">
            <w:pPr>
              <w:pStyle w:val="TableText"/>
              <w:tabs>
                <w:tab w:val="left" w:pos="3306"/>
              </w:tabs>
              <w:rPr>
                <w:rFonts w:cs="Calibri"/>
                <w:b/>
                <w:bCs/>
              </w:rPr>
            </w:pPr>
            <w:bookmarkStart w:id="520" w:name="_Toc48468473"/>
            <w:bookmarkStart w:id="521" w:name="_Toc49155592"/>
            <w:bookmarkStart w:id="522" w:name="_Toc49224041"/>
            <w:r w:rsidRPr="00627844">
              <w:rPr>
                <w:rFonts w:cs="Calibri"/>
                <w:b/>
                <w:bCs/>
              </w:rPr>
              <w:t>Total Borrowing Cost</w:t>
            </w:r>
            <w:bookmarkEnd w:id="520"/>
            <w:bookmarkEnd w:id="521"/>
            <w:bookmarkEnd w:id="522"/>
            <w:r w:rsidRPr="00627844">
              <w:rPr>
                <w:rFonts w:cs="Calibri"/>
                <w:b/>
                <w:bCs/>
              </w:rPr>
              <w:t>s</w:t>
            </w:r>
          </w:p>
        </w:tc>
        <w:tc>
          <w:tcPr>
            <w:tcW w:w="748" w:type="pct"/>
            <w:gridSpan w:val="4"/>
            <w:tcBorders>
              <w:top w:val="single" w:sz="2" w:space="0" w:color="auto"/>
              <w:left w:val="nil"/>
              <w:bottom w:val="double" w:sz="4" w:space="0" w:color="auto"/>
              <w:right w:val="nil"/>
            </w:tcBorders>
            <w:vAlign w:val="bottom"/>
          </w:tcPr>
          <w:p w14:paraId="09552B95" w14:textId="255F2743" w:rsidR="002B4698" w:rsidRPr="00627844" w:rsidRDefault="002B4698" w:rsidP="002B4698">
            <w:pPr>
              <w:pStyle w:val="TableText"/>
              <w:tabs>
                <w:tab w:val="left" w:pos="3306"/>
              </w:tabs>
              <w:jc w:val="right"/>
              <w:rPr>
                <w:rFonts w:cs="Calibri"/>
                <w:b/>
                <w:bCs/>
              </w:rPr>
            </w:pPr>
          </w:p>
        </w:tc>
        <w:tc>
          <w:tcPr>
            <w:tcW w:w="671" w:type="pct"/>
            <w:gridSpan w:val="2"/>
            <w:tcBorders>
              <w:top w:val="single" w:sz="2" w:space="0" w:color="auto"/>
              <w:left w:val="nil"/>
              <w:bottom w:val="double" w:sz="4" w:space="0" w:color="auto"/>
              <w:right w:val="nil"/>
            </w:tcBorders>
            <w:vAlign w:val="bottom"/>
          </w:tcPr>
          <w:p w14:paraId="2375A3E9" w14:textId="74095718" w:rsidR="002B4698" w:rsidRPr="00627844" w:rsidRDefault="002B4698" w:rsidP="002B4698">
            <w:pPr>
              <w:pStyle w:val="TableText"/>
              <w:tabs>
                <w:tab w:val="left" w:pos="3306"/>
              </w:tabs>
              <w:jc w:val="right"/>
              <w:rPr>
                <w:rFonts w:cs="Calibri"/>
                <w:b/>
                <w:bCs/>
              </w:rPr>
            </w:pPr>
          </w:p>
        </w:tc>
      </w:tr>
      <w:tr w:rsidR="002B4698" w:rsidRPr="00CF7E1B" w14:paraId="00968807"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5BF2E782" w14:textId="77777777" w:rsidR="002B4698" w:rsidRPr="00627844" w:rsidRDefault="002B4698" w:rsidP="002B4698">
            <w:pPr>
              <w:pStyle w:val="TableReference"/>
              <w:tabs>
                <w:tab w:val="left" w:pos="3306"/>
              </w:tabs>
              <w:spacing w:before="40"/>
              <w:rPr>
                <w:rFonts w:cs="Calibri"/>
                <w:color w:val="7030A0"/>
                <w:sz w:val="14"/>
              </w:rPr>
            </w:pPr>
          </w:p>
        </w:tc>
        <w:tc>
          <w:tcPr>
            <w:tcW w:w="4222" w:type="pct"/>
            <w:gridSpan w:val="11"/>
            <w:tcBorders>
              <w:top w:val="nil"/>
              <w:left w:val="single" w:sz="2" w:space="0" w:color="auto"/>
              <w:bottom w:val="nil"/>
              <w:right w:val="nil"/>
            </w:tcBorders>
          </w:tcPr>
          <w:p w14:paraId="6FE007C2" w14:textId="5DEC2D0F" w:rsidR="002B4698" w:rsidRPr="00627844" w:rsidRDefault="002B4698" w:rsidP="002B4698">
            <w:pPr>
              <w:pStyle w:val="TableText"/>
              <w:tabs>
                <w:tab w:val="left" w:pos="3306"/>
              </w:tabs>
              <w:spacing w:before="240"/>
              <w:jc w:val="both"/>
              <w:rPr>
                <w:rFonts w:cs="Calibri"/>
              </w:rPr>
            </w:pPr>
            <w:r w:rsidRPr="00627844">
              <w:rPr>
                <w:rFonts w:cs="Calibri"/>
              </w:rPr>
              <w:t xml:space="preserve">For more information in relation to service concession arrangements refer to Note </w:t>
            </w:r>
            <w:r>
              <w:rPr>
                <w:rFonts w:cs="Calibri"/>
              </w:rPr>
              <w:t>39</w:t>
            </w:r>
            <w:r w:rsidRPr="00627844">
              <w:rPr>
                <w:rFonts w:cs="Calibri"/>
              </w:rPr>
              <w:t xml:space="preserve"> </w:t>
            </w:r>
            <w:r w:rsidRPr="00995F9D">
              <w:rPr>
                <w:rFonts w:cs="Calibri"/>
                <w:i/>
                <w:iCs/>
              </w:rPr>
              <w:t>Service Concession Arrangements</w:t>
            </w:r>
            <w:r w:rsidRPr="00627844">
              <w:rPr>
                <w:rFonts w:cs="Calibri"/>
              </w:rPr>
              <w:t>.</w:t>
            </w:r>
          </w:p>
        </w:tc>
      </w:tr>
      <w:tr w:rsidR="002B4698" w:rsidRPr="00CF7E1B" w14:paraId="491C95B2" w14:textId="77777777" w:rsidTr="005F5F76">
        <w:trPr>
          <w:gridAfter w:val="2"/>
          <w:wAfter w:w="37" w:type="pct"/>
          <w:cantSplit/>
          <w:trHeight w:val="23"/>
        </w:trPr>
        <w:tc>
          <w:tcPr>
            <w:tcW w:w="741" w:type="pct"/>
            <w:tcBorders>
              <w:top w:val="nil"/>
              <w:left w:val="single" w:sz="2" w:space="0" w:color="auto"/>
              <w:bottom w:val="nil"/>
              <w:right w:val="single" w:sz="2" w:space="0" w:color="auto"/>
            </w:tcBorders>
          </w:tcPr>
          <w:p w14:paraId="52B83109" w14:textId="77777777" w:rsidR="002B4698" w:rsidRPr="00627844" w:rsidRDefault="002B4698" w:rsidP="002B4698">
            <w:pPr>
              <w:pStyle w:val="TableReference"/>
              <w:tabs>
                <w:tab w:val="left" w:pos="3306"/>
              </w:tabs>
              <w:spacing w:before="40"/>
              <w:rPr>
                <w:rFonts w:cs="Calibri"/>
                <w:color w:val="7030A0"/>
                <w:sz w:val="14"/>
              </w:rPr>
            </w:pPr>
          </w:p>
        </w:tc>
        <w:tc>
          <w:tcPr>
            <w:tcW w:w="2803" w:type="pct"/>
            <w:gridSpan w:val="5"/>
            <w:tcBorders>
              <w:top w:val="nil"/>
              <w:left w:val="single" w:sz="2" w:space="0" w:color="auto"/>
              <w:bottom w:val="nil"/>
              <w:right w:val="nil"/>
            </w:tcBorders>
            <w:vAlign w:val="bottom"/>
          </w:tcPr>
          <w:p w14:paraId="7F3E098C" w14:textId="77777777" w:rsidR="002B4698" w:rsidRPr="00B91A27" w:rsidRDefault="002B4698" w:rsidP="002B4698">
            <w:pPr>
              <w:pStyle w:val="TableText"/>
              <w:tabs>
                <w:tab w:val="left" w:pos="3306"/>
              </w:tabs>
              <w:rPr>
                <w:rFonts w:cs="Calibri"/>
              </w:rPr>
            </w:pPr>
          </w:p>
        </w:tc>
        <w:tc>
          <w:tcPr>
            <w:tcW w:w="748" w:type="pct"/>
            <w:gridSpan w:val="4"/>
            <w:tcBorders>
              <w:top w:val="nil"/>
              <w:left w:val="nil"/>
              <w:bottom w:val="nil"/>
              <w:right w:val="nil"/>
            </w:tcBorders>
            <w:vAlign w:val="bottom"/>
          </w:tcPr>
          <w:p w14:paraId="0A01338D" w14:textId="77777777" w:rsidR="002B4698" w:rsidRPr="00B91A27" w:rsidRDefault="002B4698" w:rsidP="002B4698">
            <w:pPr>
              <w:pStyle w:val="TableText"/>
              <w:tabs>
                <w:tab w:val="left" w:pos="3306"/>
              </w:tabs>
              <w:jc w:val="right"/>
              <w:rPr>
                <w:rFonts w:cs="Calibri"/>
              </w:rPr>
            </w:pPr>
          </w:p>
        </w:tc>
        <w:tc>
          <w:tcPr>
            <w:tcW w:w="671" w:type="pct"/>
            <w:gridSpan w:val="2"/>
            <w:tcBorders>
              <w:top w:val="nil"/>
              <w:left w:val="nil"/>
              <w:bottom w:val="nil"/>
              <w:right w:val="nil"/>
            </w:tcBorders>
            <w:vAlign w:val="bottom"/>
          </w:tcPr>
          <w:p w14:paraId="6B236D14" w14:textId="77777777" w:rsidR="002B4698" w:rsidRPr="00B91A27" w:rsidRDefault="002B4698" w:rsidP="002B4698">
            <w:pPr>
              <w:pStyle w:val="TableText"/>
              <w:tabs>
                <w:tab w:val="left" w:pos="3306"/>
              </w:tabs>
              <w:jc w:val="right"/>
              <w:rPr>
                <w:rFonts w:cs="Calibri"/>
              </w:rPr>
            </w:pPr>
          </w:p>
        </w:tc>
      </w:tr>
      <w:tr w:rsidR="002B4698" w:rsidRPr="00CF7E1B" w14:paraId="461E94AF" w14:textId="77777777" w:rsidTr="005F5F76">
        <w:trPr>
          <w:gridAfter w:val="2"/>
          <w:wAfter w:w="37" w:type="pct"/>
          <w:cantSplit/>
          <w:trHeight w:hRule="exact" w:val="899"/>
        </w:trPr>
        <w:tc>
          <w:tcPr>
            <w:tcW w:w="741" w:type="pct"/>
            <w:tcBorders>
              <w:top w:val="nil"/>
              <w:left w:val="single" w:sz="2" w:space="0" w:color="auto"/>
              <w:bottom w:val="nil"/>
              <w:right w:val="single" w:sz="2" w:space="0" w:color="auto"/>
            </w:tcBorders>
          </w:tcPr>
          <w:p w14:paraId="29ED3369" w14:textId="77777777" w:rsidR="002B4698" w:rsidRPr="00627844" w:rsidRDefault="002B4698" w:rsidP="002B4698">
            <w:pPr>
              <w:pStyle w:val="CommentaryReference"/>
              <w:spacing w:before="120" w:after="120"/>
              <w:rPr>
                <w:rFonts w:cs="Calibri"/>
                <w:color w:val="7030A0"/>
                <w:szCs w:val="14"/>
              </w:rPr>
            </w:pPr>
          </w:p>
        </w:tc>
        <w:tc>
          <w:tcPr>
            <w:tcW w:w="4222" w:type="pct"/>
            <w:gridSpan w:val="11"/>
            <w:tcBorders>
              <w:top w:val="nil"/>
              <w:left w:val="single" w:sz="2" w:space="0" w:color="auto"/>
              <w:bottom w:val="nil"/>
              <w:right w:val="nil"/>
            </w:tcBorders>
            <w:shd w:val="clear" w:color="auto" w:fill="7030A0"/>
          </w:tcPr>
          <w:p w14:paraId="0BDA05D6" w14:textId="26042DFE" w:rsidR="002B4698" w:rsidRPr="00627844" w:rsidRDefault="002B4698" w:rsidP="005F5F76">
            <w:pPr>
              <w:pStyle w:val="CommentaryTitle"/>
              <w:spacing w:before="240" w:after="240"/>
              <w:rPr>
                <w:rFonts w:cs="Calibri"/>
                <w:color w:val="FFFFFF" w:themeColor="background1"/>
                <w:sz w:val="28"/>
                <w:szCs w:val="28"/>
              </w:rPr>
            </w:pPr>
            <w:bookmarkStart w:id="523" w:name="_Toc163106333"/>
            <w:r w:rsidRPr="00627844">
              <w:rPr>
                <w:rFonts w:cs="Calibri"/>
                <w:color w:val="FFFFFF" w:themeColor="background1"/>
                <w:sz w:val="28"/>
                <w:szCs w:val="28"/>
              </w:rPr>
              <w:t>Commentary – Note 13: Borrowing Costs</w:t>
            </w:r>
            <w:bookmarkEnd w:id="523"/>
          </w:p>
        </w:tc>
      </w:tr>
      <w:tr w:rsidR="002B4698" w:rsidRPr="00CF7E1B" w14:paraId="2ACC767B" w14:textId="77777777" w:rsidTr="005F5F76">
        <w:trPr>
          <w:gridAfter w:val="2"/>
          <w:wAfter w:w="37" w:type="pct"/>
          <w:cantSplit/>
        </w:trPr>
        <w:tc>
          <w:tcPr>
            <w:tcW w:w="741" w:type="pct"/>
            <w:tcBorders>
              <w:top w:val="nil"/>
              <w:left w:val="single" w:sz="2" w:space="0" w:color="auto"/>
              <w:bottom w:val="nil"/>
              <w:right w:val="single" w:sz="2" w:space="0" w:color="auto"/>
            </w:tcBorders>
          </w:tcPr>
          <w:p w14:paraId="1E3AC6AB" w14:textId="77777777" w:rsidR="002B4698" w:rsidRPr="00627844" w:rsidRDefault="002B4698" w:rsidP="002B4698">
            <w:pPr>
              <w:pStyle w:val="CommentaryReference"/>
              <w:spacing w:before="60"/>
              <w:rPr>
                <w:rFonts w:cs="Calibri"/>
                <w:color w:val="7030A0"/>
                <w:szCs w:val="14"/>
              </w:rPr>
            </w:pPr>
            <w:r w:rsidRPr="00627844">
              <w:rPr>
                <w:rFonts w:cs="Calibri"/>
                <w:color w:val="7030A0"/>
                <w:szCs w:val="14"/>
              </w:rPr>
              <w:t>AASB 123.6</w:t>
            </w:r>
          </w:p>
          <w:p w14:paraId="4FE45C0C" w14:textId="77777777" w:rsidR="002B4698" w:rsidRPr="00627844" w:rsidRDefault="002B4698" w:rsidP="002B4698">
            <w:pPr>
              <w:pStyle w:val="CommentaryReference"/>
              <w:spacing w:before="60"/>
              <w:rPr>
                <w:rFonts w:cs="Calibri"/>
                <w:color w:val="7030A0"/>
                <w:szCs w:val="14"/>
              </w:rPr>
            </w:pPr>
          </w:p>
          <w:p w14:paraId="06AC0E9B" w14:textId="77777777" w:rsidR="002B4698" w:rsidRPr="00627844" w:rsidRDefault="002B4698" w:rsidP="002B4698">
            <w:pPr>
              <w:pStyle w:val="CommentaryReference"/>
              <w:spacing w:before="60"/>
              <w:rPr>
                <w:rFonts w:cs="Calibri"/>
                <w:color w:val="7030A0"/>
                <w:szCs w:val="14"/>
              </w:rPr>
            </w:pPr>
          </w:p>
          <w:p w14:paraId="74ED3198" w14:textId="77777777" w:rsidR="002B4698" w:rsidRDefault="002B4698" w:rsidP="002B4698">
            <w:pPr>
              <w:pStyle w:val="CommentaryReference"/>
              <w:spacing w:before="60"/>
              <w:rPr>
                <w:rFonts w:cs="Calibri"/>
                <w:color w:val="7030A0"/>
                <w:szCs w:val="14"/>
              </w:rPr>
            </w:pPr>
          </w:p>
          <w:p w14:paraId="2B7B64DD" w14:textId="4EECFE86" w:rsidR="002B4698" w:rsidRPr="00627844" w:rsidRDefault="002B4698" w:rsidP="002B4698">
            <w:pPr>
              <w:pStyle w:val="CommentaryReference"/>
              <w:spacing w:before="60"/>
              <w:rPr>
                <w:rFonts w:cs="Calibri"/>
                <w:color w:val="7030A0"/>
                <w:szCs w:val="14"/>
              </w:rPr>
            </w:pPr>
            <w:r w:rsidRPr="00627844">
              <w:rPr>
                <w:rFonts w:cs="Calibri"/>
                <w:color w:val="7030A0"/>
                <w:szCs w:val="14"/>
              </w:rPr>
              <w:t>AASB 16.49</w:t>
            </w:r>
          </w:p>
          <w:p w14:paraId="37D94DA0" w14:textId="77777777" w:rsidR="002B4698" w:rsidRPr="00627844" w:rsidRDefault="002B4698" w:rsidP="002B4698">
            <w:pPr>
              <w:pStyle w:val="CommentaryReference"/>
              <w:spacing w:before="60"/>
              <w:rPr>
                <w:rFonts w:cs="Calibri"/>
                <w:color w:val="7030A0"/>
                <w:szCs w:val="14"/>
              </w:rPr>
            </w:pPr>
            <w:r w:rsidRPr="00627844">
              <w:rPr>
                <w:rFonts w:cs="Calibri"/>
                <w:color w:val="7030A0"/>
                <w:szCs w:val="14"/>
              </w:rPr>
              <w:t>AASB137.60</w:t>
            </w:r>
          </w:p>
        </w:tc>
        <w:tc>
          <w:tcPr>
            <w:tcW w:w="4222" w:type="pct"/>
            <w:gridSpan w:val="11"/>
            <w:tcBorders>
              <w:top w:val="nil"/>
              <w:left w:val="single" w:sz="2" w:space="0" w:color="auto"/>
              <w:bottom w:val="nil"/>
              <w:right w:val="nil"/>
            </w:tcBorders>
            <w:shd w:val="clear" w:color="auto" w:fill="7030A0"/>
          </w:tcPr>
          <w:p w14:paraId="2683CDB7" w14:textId="77777777" w:rsidR="002B4698" w:rsidRPr="00627844" w:rsidRDefault="002B4698" w:rsidP="002B4698">
            <w:pPr>
              <w:pStyle w:val="CommentaryText"/>
              <w:rPr>
                <w:rFonts w:cs="Calibri"/>
                <w:color w:val="FFFFFF" w:themeColor="background1"/>
                <w:sz w:val="18"/>
                <w:szCs w:val="18"/>
              </w:rPr>
            </w:pPr>
            <w:r w:rsidRPr="00627844">
              <w:rPr>
                <w:rFonts w:cs="Calibri"/>
                <w:color w:val="FFFFFF" w:themeColor="background1"/>
                <w:sz w:val="18"/>
                <w:szCs w:val="18"/>
              </w:rPr>
              <w:t>Borrowing costs may include:</w:t>
            </w:r>
          </w:p>
          <w:p w14:paraId="6FABF8B6" w14:textId="056C2A61" w:rsidR="002B4698" w:rsidRPr="00627844" w:rsidRDefault="002B4698" w:rsidP="002B4698">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interest on bank overdrafts and short-term and long-term borrowings;</w:t>
            </w:r>
          </w:p>
          <w:p w14:paraId="33715674" w14:textId="222A6356" w:rsidR="002B4698" w:rsidRPr="00627844" w:rsidRDefault="002B4698" w:rsidP="002B4698">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 xml:space="preserve">interest in respect of lease liabilities recognised in accordance with AASB 16 </w:t>
            </w:r>
            <w:r w:rsidRPr="00627844">
              <w:rPr>
                <w:rFonts w:cs="Calibri"/>
                <w:i/>
                <w:iCs/>
                <w:color w:val="FFFFFF" w:themeColor="background1"/>
                <w:sz w:val="18"/>
                <w:szCs w:val="18"/>
              </w:rPr>
              <w:t>Leases</w:t>
            </w:r>
            <w:r w:rsidRPr="00627844">
              <w:rPr>
                <w:rFonts w:cs="Calibri"/>
                <w:color w:val="FFFFFF" w:themeColor="background1"/>
                <w:sz w:val="18"/>
                <w:szCs w:val="18"/>
              </w:rPr>
              <w:t>; and</w:t>
            </w:r>
          </w:p>
          <w:p w14:paraId="1E0E6F31" w14:textId="75F0FD92" w:rsidR="002B4698" w:rsidRPr="00627844" w:rsidRDefault="002B4698" w:rsidP="002B4698">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the finance cost for the unwinding of the discount on make good provisions (recognised in accordance with AASB Interpretation 1.8).</w:t>
            </w:r>
          </w:p>
        </w:tc>
      </w:tr>
      <w:tr w:rsidR="002B4698" w:rsidRPr="00CF7E1B" w14:paraId="07A0BC7C" w14:textId="77777777" w:rsidTr="005F5F76">
        <w:trPr>
          <w:gridAfter w:val="2"/>
          <w:wAfter w:w="37" w:type="pct"/>
          <w:cantSplit/>
        </w:trPr>
        <w:tc>
          <w:tcPr>
            <w:tcW w:w="741" w:type="pct"/>
            <w:tcBorders>
              <w:top w:val="nil"/>
              <w:left w:val="single" w:sz="2" w:space="0" w:color="auto"/>
              <w:bottom w:val="nil"/>
              <w:right w:val="single" w:sz="2" w:space="0" w:color="auto"/>
            </w:tcBorders>
          </w:tcPr>
          <w:p w14:paraId="00EA11B2" w14:textId="77777777" w:rsidR="002B4698" w:rsidRPr="00627844" w:rsidRDefault="002B4698" w:rsidP="002B4698">
            <w:pPr>
              <w:pStyle w:val="CommentaryReference"/>
              <w:spacing w:before="60"/>
              <w:rPr>
                <w:rFonts w:cs="Calibri"/>
                <w:color w:val="7030A0"/>
                <w:szCs w:val="14"/>
              </w:rPr>
            </w:pPr>
            <w:r w:rsidRPr="00627844">
              <w:rPr>
                <w:rFonts w:cs="Calibri"/>
                <w:color w:val="7030A0"/>
                <w:szCs w:val="14"/>
              </w:rPr>
              <w:t>AASB 123.Aus 26.1</w:t>
            </w:r>
          </w:p>
        </w:tc>
        <w:tc>
          <w:tcPr>
            <w:tcW w:w="4222" w:type="pct"/>
            <w:gridSpan w:val="11"/>
            <w:tcBorders>
              <w:top w:val="nil"/>
              <w:left w:val="single" w:sz="2" w:space="0" w:color="auto"/>
              <w:bottom w:val="nil"/>
              <w:right w:val="nil"/>
            </w:tcBorders>
            <w:shd w:val="clear" w:color="auto" w:fill="7030A0"/>
          </w:tcPr>
          <w:p w14:paraId="2EB5984E" w14:textId="33594B9C" w:rsidR="002B4698" w:rsidRPr="00627844" w:rsidRDefault="002B4698" w:rsidP="002B4698">
            <w:pPr>
              <w:pStyle w:val="CommentaryText"/>
              <w:rPr>
                <w:rFonts w:cs="Calibri"/>
                <w:color w:val="FFFFFF" w:themeColor="background1"/>
                <w:sz w:val="18"/>
                <w:szCs w:val="18"/>
              </w:rPr>
            </w:pPr>
            <w:r w:rsidRPr="00627844">
              <w:rPr>
                <w:rFonts w:cs="Calibri"/>
                <w:color w:val="FFFFFF" w:themeColor="background1"/>
                <w:sz w:val="18"/>
                <w:szCs w:val="18"/>
              </w:rPr>
              <w:t>The financial statements shall disclose the accounting policy adopted for borrowing costs.</w:t>
            </w:r>
            <w:r>
              <w:rPr>
                <w:rFonts w:cs="Calibri"/>
                <w:color w:val="FFFFFF" w:themeColor="background1"/>
                <w:sz w:val="18"/>
                <w:szCs w:val="18"/>
              </w:rPr>
              <w:t xml:space="preserve"> </w:t>
            </w:r>
            <w:r w:rsidRPr="00627844">
              <w:rPr>
                <w:rFonts w:cs="Calibri"/>
                <w:color w:val="FFFFFF" w:themeColor="background1"/>
                <w:sz w:val="18"/>
                <w:szCs w:val="18"/>
              </w:rPr>
              <w:t>This policy should be included in this note.</w:t>
            </w:r>
          </w:p>
        </w:tc>
      </w:tr>
      <w:tr w:rsidR="002B4698" w:rsidRPr="00CF7E1B" w14:paraId="23EF494E" w14:textId="77777777" w:rsidTr="005F5F76">
        <w:trPr>
          <w:gridAfter w:val="2"/>
          <w:wAfter w:w="37" w:type="pct"/>
          <w:cantSplit/>
          <w:trHeight w:val="627"/>
        </w:trPr>
        <w:tc>
          <w:tcPr>
            <w:tcW w:w="741" w:type="pct"/>
            <w:tcBorders>
              <w:top w:val="nil"/>
              <w:left w:val="single" w:sz="2" w:space="0" w:color="auto"/>
              <w:bottom w:val="nil"/>
              <w:right w:val="single" w:sz="2" w:space="0" w:color="auto"/>
            </w:tcBorders>
          </w:tcPr>
          <w:p w14:paraId="3C6B9F5A" w14:textId="77777777" w:rsidR="002B4698" w:rsidRPr="00627844" w:rsidRDefault="002B4698" w:rsidP="002B4698">
            <w:pPr>
              <w:pStyle w:val="CommentaryReference"/>
              <w:spacing w:before="60"/>
              <w:rPr>
                <w:rFonts w:cs="Calibri"/>
                <w:color w:val="7030A0"/>
                <w:szCs w:val="14"/>
              </w:rPr>
            </w:pPr>
            <w:r w:rsidRPr="00627844">
              <w:rPr>
                <w:rFonts w:cs="Calibri"/>
                <w:color w:val="7030A0"/>
                <w:szCs w:val="14"/>
              </w:rPr>
              <w:t>AASB 123.Aus 8</w:t>
            </w:r>
          </w:p>
          <w:p w14:paraId="111429C4" w14:textId="77777777" w:rsidR="002B4698" w:rsidRPr="00627844" w:rsidRDefault="002B4698" w:rsidP="002B4698">
            <w:pPr>
              <w:pStyle w:val="CommentaryReference"/>
              <w:spacing w:before="60"/>
              <w:rPr>
                <w:rFonts w:cs="Calibri"/>
                <w:color w:val="7030A0"/>
                <w:szCs w:val="14"/>
              </w:rPr>
            </w:pPr>
            <w:r w:rsidRPr="00627844">
              <w:rPr>
                <w:rFonts w:cs="Calibri"/>
                <w:color w:val="7030A0"/>
                <w:szCs w:val="14"/>
              </w:rPr>
              <w:t>AASB 123.Aus 8.1</w:t>
            </w:r>
          </w:p>
          <w:p w14:paraId="7D24F33C" w14:textId="04185572" w:rsidR="002B4698" w:rsidRPr="00627844" w:rsidRDefault="002B4698" w:rsidP="002B4698">
            <w:pPr>
              <w:pStyle w:val="CommentaryReference"/>
              <w:spacing w:before="60"/>
              <w:rPr>
                <w:rFonts w:cs="Calibri"/>
                <w:color w:val="7030A0"/>
                <w:szCs w:val="14"/>
              </w:rPr>
            </w:pPr>
            <w:r w:rsidRPr="00627844">
              <w:rPr>
                <w:rFonts w:cs="Calibri"/>
                <w:color w:val="7030A0"/>
                <w:szCs w:val="14"/>
              </w:rPr>
              <w:t>ACT Accounting Policy</w:t>
            </w:r>
          </w:p>
        </w:tc>
        <w:tc>
          <w:tcPr>
            <w:tcW w:w="4222" w:type="pct"/>
            <w:gridSpan w:val="11"/>
            <w:tcBorders>
              <w:top w:val="nil"/>
              <w:left w:val="single" w:sz="2" w:space="0" w:color="auto"/>
              <w:bottom w:val="nil"/>
              <w:right w:val="nil"/>
            </w:tcBorders>
            <w:shd w:val="clear" w:color="auto" w:fill="7030A0"/>
          </w:tcPr>
          <w:p w14:paraId="68F89815" w14:textId="7C478205" w:rsidR="002B4698" w:rsidRPr="00627844" w:rsidRDefault="002B4698" w:rsidP="002B4698">
            <w:pPr>
              <w:pStyle w:val="CommentaryText"/>
              <w:rPr>
                <w:rFonts w:cs="Calibri"/>
                <w:color w:val="FFFFFF" w:themeColor="background1"/>
                <w:sz w:val="18"/>
                <w:szCs w:val="18"/>
              </w:rPr>
            </w:pPr>
            <w:r w:rsidRPr="00627844">
              <w:rPr>
                <w:rFonts w:cs="Calibri"/>
                <w:color w:val="FFFFFF" w:themeColor="background1"/>
                <w:sz w:val="18"/>
                <w:szCs w:val="18"/>
              </w:rPr>
              <w:t>An entity must capitalise borrowing costs that are directly attributable to the acquisition, construction or production of a qualifying asset as part of the cost of that asset, unless the entity is a not-for-profit public sector entity.</w:t>
            </w:r>
            <w:r>
              <w:rPr>
                <w:rFonts w:cs="Calibri"/>
                <w:color w:val="FFFFFF" w:themeColor="background1"/>
                <w:sz w:val="18"/>
                <w:szCs w:val="18"/>
              </w:rPr>
              <w:t xml:space="preserve"> </w:t>
            </w:r>
            <w:r w:rsidRPr="00627844">
              <w:rPr>
                <w:rFonts w:cs="Calibri"/>
                <w:color w:val="FFFFFF" w:themeColor="background1"/>
                <w:sz w:val="18"/>
                <w:szCs w:val="18"/>
              </w:rPr>
              <w:t>A not-for-profit public sector entity may elect to recognise borrowing costs as an expense, regardless of how the borrowings are applied.</w:t>
            </w:r>
            <w:r>
              <w:rPr>
                <w:rFonts w:cs="Calibri"/>
                <w:color w:val="FFFFFF" w:themeColor="background1"/>
                <w:sz w:val="18"/>
                <w:szCs w:val="18"/>
              </w:rPr>
              <w:t xml:space="preserve"> </w:t>
            </w:r>
            <w:r w:rsidRPr="00627844">
              <w:rPr>
                <w:rFonts w:cs="Calibri"/>
                <w:color w:val="FFFFFF" w:themeColor="background1"/>
                <w:sz w:val="18"/>
                <w:szCs w:val="18"/>
              </w:rPr>
              <w:t>ACT Accounting Policy requires all borrowing costs to be expensed in the period in which they occur.</w:t>
            </w:r>
            <w:r>
              <w:rPr>
                <w:rFonts w:cs="Calibri"/>
                <w:color w:val="FFFFFF" w:themeColor="background1"/>
                <w:sz w:val="18"/>
                <w:szCs w:val="18"/>
              </w:rPr>
              <w:t xml:space="preserve"> </w:t>
            </w:r>
            <w:r w:rsidRPr="00627844">
              <w:rPr>
                <w:rFonts w:cs="Calibri"/>
                <w:color w:val="FFFFFF" w:themeColor="background1"/>
                <w:sz w:val="18"/>
                <w:szCs w:val="18"/>
              </w:rPr>
              <w:t xml:space="preserve">As such, all borrowing costs are expensed as incurred. </w:t>
            </w:r>
          </w:p>
        </w:tc>
      </w:tr>
      <w:tr w:rsidR="002B4698" w:rsidRPr="00CF7E1B" w14:paraId="6B60A645" w14:textId="77777777" w:rsidTr="005F5F76">
        <w:trPr>
          <w:gridAfter w:val="2"/>
          <w:wAfter w:w="37" w:type="pct"/>
          <w:cantSplit/>
          <w:trHeight w:val="978"/>
        </w:trPr>
        <w:tc>
          <w:tcPr>
            <w:tcW w:w="741" w:type="pct"/>
            <w:tcBorders>
              <w:top w:val="nil"/>
              <w:left w:val="single" w:sz="2" w:space="0" w:color="auto"/>
              <w:bottom w:val="nil"/>
              <w:right w:val="single" w:sz="2" w:space="0" w:color="auto"/>
            </w:tcBorders>
          </w:tcPr>
          <w:p w14:paraId="6A53F088" w14:textId="3E34380F" w:rsidR="002B4698" w:rsidRPr="00627844" w:rsidRDefault="002B4698" w:rsidP="002B4698">
            <w:pPr>
              <w:pStyle w:val="CommentaryReference"/>
              <w:spacing w:before="240" w:after="240"/>
              <w:rPr>
                <w:color w:val="7030A0"/>
              </w:rPr>
            </w:pPr>
            <w:r w:rsidRPr="00374599">
              <w:rPr>
                <w:rFonts w:cs="Calibri"/>
                <w:b/>
                <w:color w:val="7030A0"/>
                <w:sz w:val="22"/>
                <w:szCs w:val="22"/>
              </w:rPr>
              <w:t>Reference</w:t>
            </w:r>
          </w:p>
        </w:tc>
        <w:tc>
          <w:tcPr>
            <w:tcW w:w="4222" w:type="pct"/>
            <w:gridSpan w:val="11"/>
            <w:tcBorders>
              <w:top w:val="nil"/>
              <w:left w:val="single" w:sz="2" w:space="0" w:color="auto"/>
              <w:bottom w:val="nil"/>
              <w:right w:val="nil"/>
            </w:tcBorders>
            <w:shd w:val="clear" w:color="auto" w:fill="7030A0"/>
          </w:tcPr>
          <w:p w14:paraId="313F7B0E" w14:textId="5D2550F7" w:rsidR="002B4698" w:rsidRPr="00DC42B3" w:rsidRDefault="002B4698" w:rsidP="002B4698">
            <w:pPr>
              <w:pStyle w:val="CommentaryText"/>
              <w:spacing w:before="240" w:after="240"/>
              <w:rPr>
                <w:rFonts w:cs="Calibri"/>
                <w:b/>
                <w:bCs/>
                <w:color w:val="FFFFFF" w:themeColor="background1"/>
                <w:szCs w:val="20"/>
              </w:rPr>
            </w:pPr>
            <w:r w:rsidRPr="002B4698">
              <w:rPr>
                <w:rFonts w:cs="Calibri"/>
                <w:b/>
                <w:bCs/>
                <w:color w:val="FFFFFF" w:themeColor="background1"/>
                <w:sz w:val="28"/>
                <w:szCs w:val="28"/>
              </w:rPr>
              <w:t>Commentary – Note 13: Borrowing Costs</w:t>
            </w:r>
            <w:r w:rsidR="00F81231">
              <w:rPr>
                <w:rFonts w:cs="Calibri"/>
                <w:b/>
                <w:bCs/>
                <w:color w:val="FFFFFF" w:themeColor="background1"/>
                <w:sz w:val="28"/>
                <w:szCs w:val="28"/>
              </w:rPr>
              <w:t xml:space="preserve"> - Continued</w:t>
            </w:r>
          </w:p>
        </w:tc>
      </w:tr>
      <w:tr w:rsidR="002B4698" w:rsidRPr="00CF7E1B" w14:paraId="198CD56E" w14:textId="77777777" w:rsidTr="005F5F76">
        <w:trPr>
          <w:gridAfter w:val="2"/>
          <w:wAfter w:w="37" w:type="pct"/>
          <w:cantSplit/>
          <w:trHeight w:val="978"/>
        </w:trPr>
        <w:tc>
          <w:tcPr>
            <w:tcW w:w="741" w:type="pct"/>
            <w:tcBorders>
              <w:top w:val="nil"/>
              <w:left w:val="single" w:sz="2" w:space="0" w:color="auto"/>
              <w:bottom w:val="nil"/>
              <w:right w:val="single" w:sz="2" w:space="0" w:color="auto"/>
            </w:tcBorders>
          </w:tcPr>
          <w:p w14:paraId="52A08F54" w14:textId="77777777" w:rsidR="002B4698" w:rsidRPr="00627844" w:rsidRDefault="002B4698" w:rsidP="002B4698">
            <w:pPr>
              <w:pStyle w:val="CommentaryReference"/>
              <w:spacing w:before="60"/>
              <w:rPr>
                <w:color w:val="7030A0"/>
              </w:rPr>
            </w:pPr>
            <w:r w:rsidRPr="00627844">
              <w:rPr>
                <w:color w:val="7030A0"/>
              </w:rPr>
              <w:t xml:space="preserve">AASB 123. 8 &amp; Aus 8.1 </w:t>
            </w:r>
          </w:p>
          <w:p w14:paraId="1DB0EB70" w14:textId="4A8E5D5D" w:rsidR="002B4698" w:rsidRPr="00627844" w:rsidRDefault="002B4698" w:rsidP="002B4698">
            <w:pPr>
              <w:pStyle w:val="CommentaryReference"/>
              <w:spacing w:before="60"/>
              <w:rPr>
                <w:rFonts w:cs="Calibri"/>
                <w:color w:val="7030A0"/>
                <w:sz w:val="16"/>
              </w:rPr>
            </w:pPr>
            <w:r w:rsidRPr="00627844">
              <w:rPr>
                <w:color w:val="7030A0"/>
              </w:rPr>
              <w:t>ACT Disclosure Policy</w:t>
            </w:r>
          </w:p>
        </w:tc>
        <w:tc>
          <w:tcPr>
            <w:tcW w:w="4222" w:type="pct"/>
            <w:gridSpan w:val="11"/>
            <w:tcBorders>
              <w:top w:val="nil"/>
              <w:left w:val="single" w:sz="2" w:space="0" w:color="auto"/>
              <w:bottom w:val="nil"/>
              <w:right w:val="nil"/>
            </w:tcBorders>
            <w:shd w:val="clear" w:color="auto" w:fill="7030A0"/>
          </w:tcPr>
          <w:p w14:paraId="293E03D4" w14:textId="4B25A2E6" w:rsidR="002B4698" w:rsidRPr="00DC42B3" w:rsidRDefault="002B4698" w:rsidP="002B4698">
            <w:pPr>
              <w:pStyle w:val="CommentaryText"/>
              <w:spacing w:after="40"/>
              <w:rPr>
                <w:color w:val="FFFFFF" w:themeColor="background1"/>
                <w:szCs w:val="20"/>
              </w:rPr>
            </w:pPr>
            <w:r w:rsidRPr="00DC42B3">
              <w:rPr>
                <w:rFonts w:cs="Calibri"/>
                <w:b/>
                <w:bCs/>
                <w:color w:val="FFFFFF" w:themeColor="background1"/>
                <w:szCs w:val="20"/>
              </w:rPr>
              <w:t>Territory Authority Commentary</w:t>
            </w:r>
          </w:p>
          <w:p w14:paraId="2744E834" w14:textId="2D1211B4" w:rsidR="002B4698" w:rsidRPr="00627844" w:rsidRDefault="002B4698" w:rsidP="002B4698">
            <w:pPr>
              <w:pStyle w:val="CommentaryText"/>
              <w:rPr>
                <w:rFonts w:cs="Calibri"/>
                <w:color w:val="FFFFFF" w:themeColor="background1"/>
                <w:sz w:val="18"/>
                <w:szCs w:val="18"/>
              </w:rPr>
            </w:pPr>
            <w:r w:rsidRPr="00627844">
              <w:rPr>
                <w:color w:val="FFFFFF" w:themeColor="background1"/>
                <w:sz w:val="18"/>
                <w:szCs w:val="18"/>
              </w:rPr>
              <w:t>Territory authorities that are either for-profit, or not considered a public sector entity, will have to capitalise borrowing costs that are directly attributable to the acquisition, construction or production of a qualifying asset as part of the cost of that asset. These entities may still recognise other borrowing costs as an expense in the period in which they are incurred.</w:t>
            </w:r>
          </w:p>
        </w:tc>
      </w:tr>
      <w:tr w:rsidR="002B4698" w:rsidRPr="005F5F76" w14:paraId="18A8769C" w14:textId="77777777" w:rsidTr="005F5F76">
        <w:trPr>
          <w:gridAfter w:val="2"/>
          <w:wAfter w:w="37" w:type="pct"/>
          <w:cantSplit/>
          <w:trHeight w:val="92"/>
        </w:trPr>
        <w:tc>
          <w:tcPr>
            <w:tcW w:w="741" w:type="pct"/>
            <w:tcBorders>
              <w:top w:val="nil"/>
              <w:left w:val="single" w:sz="2" w:space="0" w:color="auto"/>
              <w:bottom w:val="nil"/>
              <w:right w:val="single" w:sz="2" w:space="0" w:color="auto"/>
            </w:tcBorders>
            <w:shd w:val="clear" w:color="auto" w:fill="auto"/>
          </w:tcPr>
          <w:p w14:paraId="3857FC02" w14:textId="7AEEF9AD" w:rsidR="005F5F76" w:rsidRPr="005F5F76" w:rsidRDefault="005F5F76" w:rsidP="002B4698">
            <w:pPr>
              <w:pStyle w:val="CommentaryReference"/>
              <w:spacing w:before="60"/>
              <w:rPr>
                <w:color w:val="7030A0"/>
                <w:sz w:val="20"/>
                <w:szCs w:val="20"/>
              </w:rPr>
            </w:pPr>
          </w:p>
        </w:tc>
        <w:tc>
          <w:tcPr>
            <w:tcW w:w="4222" w:type="pct"/>
            <w:gridSpan w:val="11"/>
            <w:tcBorders>
              <w:top w:val="nil"/>
              <w:left w:val="single" w:sz="2" w:space="0" w:color="auto"/>
              <w:bottom w:val="nil"/>
              <w:right w:val="nil"/>
            </w:tcBorders>
            <w:shd w:val="clear" w:color="auto" w:fill="auto"/>
          </w:tcPr>
          <w:p w14:paraId="226BB26B" w14:textId="77777777" w:rsidR="002B4698" w:rsidRPr="005F5F76" w:rsidRDefault="002B4698" w:rsidP="002B4698">
            <w:pPr>
              <w:pStyle w:val="CommentaryText"/>
              <w:spacing w:after="40"/>
              <w:rPr>
                <w:rFonts w:cs="Calibri"/>
                <w:b/>
                <w:bCs/>
                <w:color w:val="FFFFFF" w:themeColor="background1"/>
                <w:szCs w:val="20"/>
              </w:rPr>
            </w:pPr>
          </w:p>
        </w:tc>
      </w:tr>
      <w:tr w:rsidR="000144FF" w:rsidRPr="00CF7E1B" w14:paraId="4930A2D5" w14:textId="77777777" w:rsidTr="005F5F76">
        <w:trPr>
          <w:gridAfter w:val="1"/>
          <w:wAfter w:w="20" w:type="pct"/>
          <w:cantSplit/>
          <w:trHeight w:val="289"/>
        </w:trPr>
        <w:tc>
          <w:tcPr>
            <w:tcW w:w="741" w:type="pct"/>
            <w:tcBorders>
              <w:top w:val="nil"/>
              <w:left w:val="single" w:sz="2" w:space="0" w:color="auto"/>
              <w:bottom w:val="nil"/>
              <w:right w:val="single" w:sz="2" w:space="0" w:color="auto"/>
            </w:tcBorders>
          </w:tcPr>
          <w:p w14:paraId="5609A134" w14:textId="5929EB63" w:rsidR="000144FF" w:rsidRPr="00374599" w:rsidRDefault="000144FF" w:rsidP="00003FBD">
            <w:pPr>
              <w:pStyle w:val="TableReference"/>
              <w:tabs>
                <w:tab w:val="left" w:pos="3306"/>
              </w:tabs>
              <w:spacing w:before="240"/>
              <w:rPr>
                <w:rFonts w:cs="Calibri"/>
                <w:b/>
                <w:color w:val="7030A0"/>
                <w:sz w:val="22"/>
                <w:szCs w:val="22"/>
              </w:rPr>
            </w:pPr>
            <w:bookmarkStart w:id="524" w:name="ExpOther" w:colFirst="1" w:colLast="1"/>
            <w:bookmarkStart w:id="525" w:name="_Hlk88140503"/>
          </w:p>
        </w:tc>
        <w:tc>
          <w:tcPr>
            <w:tcW w:w="4239" w:type="pct"/>
            <w:gridSpan w:val="12"/>
            <w:tcBorders>
              <w:top w:val="nil"/>
              <w:left w:val="single" w:sz="2" w:space="0" w:color="auto"/>
              <w:bottom w:val="nil"/>
              <w:right w:val="nil"/>
            </w:tcBorders>
          </w:tcPr>
          <w:p w14:paraId="4A7A197D" w14:textId="55FC0B87" w:rsidR="000144FF" w:rsidRPr="00374599" w:rsidRDefault="00F73636" w:rsidP="00B0704B">
            <w:pPr>
              <w:pStyle w:val="Heading1"/>
              <w:numPr>
                <w:ilvl w:val="0"/>
                <w:numId w:val="0"/>
              </w:numPr>
            </w:pPr>
            <w:bookmarkStart w:id="526" w:name="_Toc49224042"/>
            <w:bookmarkStart w:id="527" w:name="_Ref50365465"/>
            <w:bookmarkStart w:id="528" w:name="_Toc50440356"/>
            <w:bookmarkStart w:id="529" w:name="_Ref50523995"/>
            <w:bookmarkStart w:id="530" w:name="_Toc400627335"/>
            <w:bookmarkStart w:id="531" w:name="_Toc132743796"/>
            <w:r w:rsidRPr="00374599">
              <w:t xml:space="preserve">Note </w:t>
            </w:r>
            <w:r w:rsidR="003A4053" w:rsidRPr="00374599">
              <w:t>1</w:t>
            </w:r>
            <w:r w:rsidR="00D36357" w:rsidRPr="00374599">
              <w:t>4</w:t>
            </w:r>
            <w:r w:rsidR="0000488C" w:rsidRPr="00374599">
              <w:t>.</w:t>
            </w:r>
            <w:r w:rsidR="00FA7C77">
              <w:t xml:space="preserve"> </w:t>
            </w:r>
            <w:r w:rsidR="00C129D8" w:rsidRPr="00374599">
              <w:t xml:space="preserve"> </w:t>
            </w:r>
            <w:r w:rsidR="000144FF" w:rsidRPr="00374599">
              <w:t>Other Expenses</w:t>
            </w:r>
            <w:bookmarkEnd w:id="526"/>
            <w:bookmarkEnd w:id="527"/>
            <w:bookmarkEnd w:id="528"/>
            <w:bookmarkEnd w:id="529"/>
            <w:bookmarkEnd w:id="530"/>
            <w:bookmarkEnd w:id="531"/>
          </w:p>
        </w:tc>
      </w:tr>
      <w:tr w:rsidR="003A2704" w:rsidRPr="00CF7E1B" w14:paraId="33A22561"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561B43B" w14:textId="77777777" w:rsidR="003A2704" w:rsidRPr="00374599" w:rsidRDefault="003A2704" w:rsidP="00A04F8C">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vAlign w:val="bottom"/>
          </w:tcPr>
          <w:p w14:paraId="57675E86" w14:textId="05D49463" w:rsidR="003A2704" w:rsidRPr="006D1C79" w:rsidRDefault="003A2704" w:rsidP="006D1C79">
            <w:pPr>
              <w:jc w:val="both"/>
              <w:rPr>
                <w:b/>
                <w:bCs/>
                <w:sz w:val="18"/>
                <w:szCs w:val="18"/>
              </w:rPr>
            </w:pPr>
            <w:r w:rsidRPr="006D1C79">
              <w:rPr>
                <w:b/>
                <w:bCs/>
                <w:sz w:val="18"/>
                <w:szCs w:val="18"/>
              </w:rPr>
              <w:t>Description and Material Accounting Policies Relating to Other Expenses</w:t>
            </w:r>
          </w:p>
        </w:tc>
      </w:tr>
      <w:tr w:rsidR="003A2704" w:rsidRPr="00CF7E1B" w14:paraId="27E299DC"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6DFB43AF" w14:textId="77777777" w:rsidR="003A2704" w:rsidRPr="00374599" w:rsidRDefault="003A2704" w:rsidP="00A04F8C">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vAlign w:val="bottom"/>
          </w:tcPr>
          <w:p w14:paraId="4F1D08AC" w14:textId="2C11DE55" w:rsidR="003A2704" w:rsidRPr="00374599" w:rsidRDefault="003A2704" w:rsidP="003A2704">
            <w:pPr>
              <w:pStyle w:val="TableText"/>
              <w:tabs>
                <w:tab w:val="left" w:pos="3306"/>
              </w:tabs>
              <w:rPr>
                <w:rFonts w:cs="Calibri"/>
                <w:b/>
                <w:bCs/>
              </w:rPr>
            </w:pPr>
            <w:r w:rsidRPr="00374599">
              <w:rPr>
                <w:rFonts w:cs="Calibri"/>
                <w:i/>
                <w:iCs/>
              </w:rPr>
              <w:t>Restoration of Contaminated Sites Expense</w:t>
            </w:r>
          </w:p>
        </w:tc>
      </w:tr>
      <w:tr w:rsidR="002C02DA" w:rsidRPr="00CF7E1B" w14:paraId="0945852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70FC46D" w14:textId="77777777" w:rsidR="002C02DA" w:rsidRPr="00374599" w:rsidRDefault="002C02DA" w:rsidP="00A04F8C">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18F4FAC8" w14:textId="63E886D0" w:rsidR="002C02DA" w:rsidRPr="00374599" w:rsidRDefault="00B44674" w:rsidP="006D1C79">
            <w:pPr>
              <w:pStyle w:val="TableText"/>
              <w:tabs>
                <w:tab w:val="left" w:pos="3306"/>
              </w:tabs>
              <w:spacing w:after="180"/>
              <w:rPr>
                <w:rFonts w:cs="Calibri"/>
                <w:b/>
                <w:bCs/>
              </w:rPr>
            </w:pPr>
            <w:r w:rsidRPr="00374599">
              <w:rPr>
                <w:rFonts w:cs="Calibri"/>
              </w:rPr>
              <w:t>‘Burley Griffin</w:t>
            </w:r>
            <w:r w:rsidR="002C02DA" w:rsidRPr="00374599">
              <w:rPr>
                <w:rFonts w:cs="Calibri"/>
              </w:rPr>
              <w:t xml:space="preserve"> Agency</w:t>
            </w:r>
            <w:r w:rsidRPr="00374599">
              <w:rPr>
                <w:rFonts w:cs="Calibri"/>
              </w:rPr>
              <w:t>’</w:t>
            </w:r>
            <w:r w:rsidR="002C02DA" w:rsidRPr="00374599">
              <w:rPr>
                <w:rFonts w:cs="Calibri"/>
              </w:rPr>
              <w:t xml:space="preserve"> disposed of waste material by burying it in landfill, however, it was discovered that the waste had leaked and contaminated the area, including nearby farmland.</w:t>
            </w:r>
            <w:r w:rsidR="00FA7C77">
              <w:rPr>
                <w:rFonts w:cs="Calibri"/>
              </w:rPr>
              <w:t xml:space="preserve"> </w:t>
            </w:r>
            <w:r w:rsidR="002C02DA" w:rsidRPr="00374599">
              <w:rPr>
                <w:rFonts w:cs="Calibri"/>
              </w:rPr>
              <w:t xml:space="preserve">As such, the Agency has recognised the estimated cost of clearing up the </w:t>
            </w:r>
            <w:r w:rsidRPr="00374599">
              <w:rPr>
                <w:rFonts w:cs="Calibri"/>
              </w:rPr>
              <w:t>site as an expense.</w:t>
            </w:r>
            <w:r w:rsidR="00FA7C77">
              <w:rPr>
                <w:rFonts w:cs="Calibri"/>
              </w:rPr>
              <w:t xml:space="preserve">  </w:t>
            </w:r>
          </w:p>
        </w:tc>
      </w:tr>
      <w:bookmarkEnd w:id="524"/>
      <w:tr w:rsidR="00CF551F" w:rsidRPr="00CF7E1B" w14:paraId="01B4E0BB"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302237E6" w14:textId="77777777" w:rsidR="00CF551F" w:rsidRPr="00374599" w:rsidRDefault="00CF551F"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088216E4" w14:textId="12850CCE" w:rsidR="00CF551F" w:rsidRPr="00374599" w:rsidRDefault="00CF551F" w:rsidP="00CF551F">
            <w:pPr>
              <w:pStyle w:val="TableText"/>
              <w:tabs>
                <w:tab w:val="left" w:pos="3306"/>
              </w:tabs>
              <w:rPr>
                <w:rFonts w:cs="Calibri"/>
                <w:b/>
                <w:bCs/>
              </w:rPr>
            </w:pPr>
            <w:r w:rsidRPr="00374599">
              <w:rPr>
                <w:rFonts w:cs="Calibri"/>
                <w:i/>
                <w:iCs/>
              </w:rPr>
              <w:t>Waivers</w:t>
            </w:r>
          </w:p>
        </w:tc>
      </w:tr>
      <w:tr w:rsidR="00CF551F" w:rsidRPr="00CF7E1B" w14:paraId="55D3FD8D"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548EDA4" w14:textId="1CCBBF8D" w:rsidR="00CF551F" w:rsidRPr="00374599" w:rsidRDefault="00CF551F" w:rsidP="00CF551F">
            <w:pPr>
              <w:pStyle w:val="TableReference"/>
              <w:tabs>
                <w:tab w:val="left" w:pos="3306"/>
              </w:tabs>
              <w:spacing w:before="60"/>
              <w:rPr>
                <w:color w:val="7030A0"/>
                <w:sz w:val="14"/>
              </w:rPr>
            </w:pPr>
            <w:r w:rsidRPr="00374599">
              <w:rPr>
                <w:rFonts w:cs="Calibri"/>
                <w:color w:val="7030A0"/>
                <w:sz w:val="14"/>
              </w:rPr>
              <w:t>FMA sec 131</w:t>
            </w:r>
            <w:r w:rsidR="00E1439A" w:rsidRPr="00374599">
              <w:rPr>
                <w:rFonts w:cs="Calibri"/>
                <w:color w:val="7030A0"/>
                <w:sz w:val="14"/>
              </w:rPr>
              <w:t xml:space="preserve"> </w:t>
            </w:r>
            <w:r w:rsidRPr="00374599">
              <w:rPr>
                <w:rFonts w:cs="Calibri"/>
                <w:color w:val="7030A0"/>
                <w:sz w:val="14"/>
              </w:rPr>
              <w:t>(1)(a)</w:t>
            </w:r>
            <w:r w:rsidRPr="00374599">
              <w:rPr>
                <w:color w:val="7030A0"/>
                <w:sz w:val="14"/>
              </w:rPr>
              <w:t xml:space="preserve"> </w:t>
            </w:r>
          </w:p>
          <w:p w14:paraId="5757DD4A" w14:textId="29D165E6" w:rsidR="00CF551F" w:rsidRPr="00374599" w:rsidRDefault="00CF551F" w:rsidP="00CF551F">
            <w:pPr>
              <w:pStyle w:val="TableReference"/>
              <w:tabs>
                <w:tab w:val="left" w:pos="3306"/>
              </w:tabs>
              <w:rPr>
                <w:rFonts w:cs="Calibri"/>
                <w:color w:val="7030A0"/>
                <w:sz w:val="16"/>
                <w:szCs w:val="16"/>
              </w:rPr>
            </w:pPr>
            <w:r w:rsidRPr="00374599">
              <w:rPr>
                <w:color w:val="7030A0"/>
                <w:sz w:val="14"/>
              </w:rPr>
              <w:t>FMA sec 131 (3)</w:t>
            </w:r>
          </w:p>
        </w:tc>
        <w:tc>
          <w:tcPr>
            <w:tcW w:w="4239" w:type="pct"/>
            <w:gridSpan w:val="12"/>
            <w:tcBorders>
              <w:top w:val="nil"/>
              <w:left w:val="single" w:sz="2" w:space="0" w:color="auto"/>
              <w:bottom w:val="nil"/>
              <w:right w:val="nil"/>
            </w:tcBorders>
          </w:tcPr>
          <w:p w14:paraId="60D13B12" w14:textId="02738879" w:rsidR="00CF551F" w:rsidRPr="00374599" w:rsidRDefault="00442D58" w:rsidP="007139C1">
            <w:pPr>
              <w:pStyle w:val="TableText"/>
              <w:tabs>
                <w:tab w:val="left" w:pos="3306"/>
              </w:tabs>
              <w:jc w:val="both"/>
              <w:rPr>
                <w:rFonts w:cs="Calibri"/>
                <w:b/>
                <w:bCs/>
              </w:rPr>
            </w:pPr>
            <w:r w:rsidRPr="00374599">
              <w:rPr>
                <w:rFonts w:cs="Calibri"/>
              </w:rPr>
              <w:t>A waiver is the relinquishment of a legal claim to a debt.</w:t>
            </w:r>
            <w:r w:rsidR="00FA7C77">
              <w:rPr>
                <w:rFonts w:cs="Calibri"/>
              </w:rPr>
              <w:t xml:space="preserve"> </w:t>
            </w:r>
            <w:r w:rsidR="00526C30" w:rsidRPr="00374599">
              <w:rPr>
                <w:rFonts w:cs="Calibri"/>
                <w:szCs w:val="20"/>
              </w:rPr>
              <w:t>T</w:t>
            </w:r>
            <w:r w:rsidR="00E1439A" w:rsidRPr="00374599">
              <w:rPr>
                <w:rFonts w:cs="Calibri"/>
                <w:szCs w:val="20"/>
              </w:rPr>
              <w:t xml:space="preserve">he Treasurer may in writing, waive the right to payment of an amount </w:t>
            </w:r>
            <w:r w:rsidR="00526C30" w:rsidRPr="00374599">
              <w:rPr>
                <w:rFonts w:cs="Calibri"/>
                <w:szCs w:val="20"/>
              </w:rPr>
              <w:t xml:space="preserve">owing </w:t>
            </w:r>
            <w:r w:rsidR="00E1439A" w:rsidRPr="00374599">
              <w:rPr>
                <w:rFonts w:cs="Calibri"/>
                <w:szCs w:val="20"/>
              </w:rPr>
              <w:t>to the Territory.</w:t>
            </w:r>
            <w:r w:rsidR="00FA7C77">
              <w:rPr>
                <w:rFonts w:cs="Calibri"/>
                <w:szCs w:val="20"/>
              </w:rPr>
              <w:t xml:space="preserve"> </w:t>
            </w:r>
            <w:r w:rsidR="00526C30" w:rsidRPr="00374599">
              <w:rPr>
                <w:rFonts w:cs="Calibri"/>
                <w:szCs w:val="20"/>
              </w:rPr>
              <w:t>In the current financial year t</w:t>
            </w:r>
            <w:r w:rsidR="00E1439A" w:rsidRPr="00374599">
              <w:rPr>
                <w:rFonts w:cs="Calibri"/>
                <w:szCs w:val="20"/>
              </w:rPr>
              <w:t xml:space="preserve">he Treasurer has waived </w:t>
            </w:r>
            <w:r w:rsidR="008E4BBA" w:rsidRPr="00374599">
              <w:t xml:space="preserve">sports ground hire fees, </w:t>
            </w:r>
            <w:r w:rsidR="00E1439A" w:rsidRPr="00374599">
              <w:rPr>
                <w:rFonts w:cs="Calibri"/>
                <w:szCs w:val="20"/>
              </w:rPr>
              <w:t>loans owing to the Agency from third parties</w:t>
            </w:r>
            <w:r w:rsidR="008E4BBA" w:rsidRPr="00374599">
              <w:rPr>
                <w:rFonts w:cs="Calibri"/>
                <w:szCs w:val="20"/>
              </w:rPr>
              <w:t>, and made other wa</w:t>
            </w:r>
            <w:r w:rsidR="00C94AC5" w:rsidRPr="00374599">
              <w:rPr>
                <w:rFonts w:cs="Calibri"/>
                <w:szCs w:val="20"/>
              </w:rPr>
              <w:t>i</w:t>
            </w:r>
            <w:r w:rsidR="008E4BBA" w:rsidRPr="00374599">
              <w:rPr>
                <w:rFonts w:cs="Calibri"/>
                <w:szCs w:val="20"/>
              </w:rPr>
              <w:t>vers</w:t>
            </w:r>
            <w:r w:rsidR="00E1439A" w:rsidRPr="00374599">
              <w:rPr>
                <w:rFonts w:cs="Calibri"/>
                <w:szCs w:val="20"/>
              </w:rPr>
              <w:t>.</w:t>
            </w:r>
            <w:r w:rsidR="00FA7C77">
              <w:rPr>
                <w:rFonts w:cs="Calibri"/>
              </w:rPr>
              <w:t xml:space="preserve"> </w:t>
            </w:r>
            <w:r w:rsidR="00E1439A" w:rsidRPr="00374599">
              <w:rPr>
                <w:rFonts w:cs="Calibri"/>
              </w:rPr>
              <w:t>Waivers are expensed during the year in which the right to payment was waived.</w:t>
            </w:r>
          </w:p>
        </w:tc>
      </w:tr>
      <w:tr w:rsidR="00CF551F" w:rsidRPr="00CF7E1B" w14:paraId="31974419"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E0291AA" w14:textId="77777777" w:rsidR="00CF551F" w:rsidRPr="00374599" w:rsidRDefault="00CF551F"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439B22EA" w14:textId="007BD3A6" w:rsidR="00CF551F" w:rsidRPr="00374599" w:rsidRDefault="00CF551F" w:rsidP="00B53B78">
            <w:pPr>
              <w:pStyle w:val="TableText"/>
              <w:tabs>
                <w:tab w:val="left" w:pos="3306"/>
              </w:tabs>
              <w:spacing w:before="180"/>
              <w:jc w:val="both"/>
              <w:rPr>
                <w:rFonts w:cs="Calibri"/>
                <w:b/>
                <w:bCs/>
              </w:rPr>
            </w:pPr>
            <w:r w:rsidRPr="00374599">
              <w:rPr>
                <w:rFonts w:cs="Calibri"/>
                <w:i/>
                <w:iCs/>
              </w:rPr>
              <w:t xml:space="preserve">Impairment Losses – </w:t>
            </w:r>
            <w:r w:rsidR="00AC43FB" w:rsidRPr="00374599">
              <w:rPr>
                <w:rFonts w:cs="Calibri"/>
                <w:i/>
                <w:iCs/>
              </w:rPr>
              <w:t xml:space="preserve">Non-Financial </w:t>
            </w:r>
            <w:r w:rsidRPr="00374599">
              <w:rPr>
                <w:rFonts w:cs="Calibri"/>
                <w:i/>
                <w:iCs/>
              </w:rPr>
              <w:t>Assets</w:t>
            </w:r>
          </w:p>
        </w:tc>
      </w:tr>
      <w:tr w:rsidR="00951B21" w:rsidRPr="00CF7E1B" w14:paraId="33AD1B1F"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C1CCB67" w14:textId="77777777" w:rsidR="00951B21" w:rsidRPr="00374599" w:rsidRDefault="00951B21"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57B41C43" w14:textId="16FE6FD9" w:rsidR="00951B21" w:rsidRPr="007711CF" w:rsidRDefault="00951B21" w:rsidP="007139C1">
            <w:pPr>
              <w:pStyle w:val="TableText"/>
              <w:tabs>
                <w:tab w:val="left" w:pos="3306"/>
              </w:tabs>
              <w:spacing w:before="0"/>
              <w:jc w:val="both"/>
              <w:rPr>
                <w:rFonts w:cs="Calibri"/>
                <w:i/>
                <w:iCs/>
              </w:rPr>
            </w:pPr>
            <w:r w:rsidRPr="007711CF">
              <w:t xml:space="preserve">Impairment loss expenses are recognised for </w:t>
            </w:r>
            <w:r w:rsidR="00546643" w:rsidRPr="007711CF">
              <w:t xml:space="preserve">both property, </w:t>
            </w:r>
            <w:r w:rsidRPr="007711CF">
              <w:t>plant and equipment</w:t>
            </w:r>
            <w:r w:rsidR="0036774D" w:rsidRPr="007711CF">
              <w:t>,</w:t>
            </w:r>
            <w:r w:rsidRPr="007711CF">
              <w:t xml:space="preserve"> </w:t>
            </w:r>
            <w:r w:rsidR="00546643" w:rsidRPr="007711CF">
              <w:t xml:space="preserve">and </w:t>
            </w:r>
            <w:r w:rsidRPr="007711CF">
              <w:t xml:space="preserve">intangible assets </w:t>
            </w:r>
            <w:r w:rsidR="00CD3AD8" w:rsidRPr="007711CF">
              <w:t xml:space="preserve">when their carrying amount is higher than </w:t>
            </w:r>
            <w:r w:rsidR="00546643" w:rsidRPr="007711CF">
              <w:t>their</w:t>
            </w:r>
            <w:r w:rsidR="00CD3AD8" w:rsidRPr="007711CF">
              <w:t xml:space="preserve"> recoverable </w:t>
            </w:r>
            <w:r w:rsidR="00546643" w:rsidRPr="007711CF">
              <w:t>amount, with the difference between the two being the amount of the impairment loss.</w:t>
            </w:r>
            <w:r w:rsidR="00FA7C77" w:rsidRPr="007711CF">
              <w:t xml:space="preserve"> </w:t>
            </w:r>
            <w:r w:rsidR="00546643" w:rsidRPr="007711CF">
              <w:t xml:space="preserve">Impairment losses for plant and equipment, lease hold improvements and intangibles are </w:t>
            </w:r>
            <w:r w:rsidRPr="007711CF">
              <w:t>recognised</w:t>
            </w:r>
            <w:r w:rsidR="00AC43FB" w:rsidRPr="007711CF">
              <w:t xml:space="preserve"> as an expense</w:t>
            </w:r>
            <w:r w:rsidRPr="007711CF">
              <w:t xml:space="preserve"> in the Operating Statement</w:t>
            </w:r>
            <w:r w:rsidR="00AC43FB" w:rsidRPr="007711CF">
              <w:t>.</w:t>
            </w:r>
            <w:r w:rsidR="00FA7C77" w:rsidRPr="007711CF">
              <w:t xml:space="preserve"> </w:t>
            </w:r>
            <w:r w:rsidR="00AC43FB" w:rsidRPr="007711CF">
              <w:t>Impairment losses for land, buildings</w:t>
            </w:r>
            <w:r w:rsidR="0014421E" w:rsidRPr="007711CF">
              <w:t>,</w:t>
            </w:r>
            <w:r w:rsidR="00AC43FB" w:rsidRPr="007711CF">
              <w:t xml:space="preserve"> infrastructure, and </w:t>
            </w:r>
            <w:r w:rsidR="00AC43FB" w:rsidRPr="007046D8">
              <w:rPr>
                <w:strike/>
                <w:color w:val="FF0000"/>
              </w:rPr>
              <w:t>community and</w:t>
            </w:r>
            <w:r w:rsidR="00AC43FB" w:rsidRPr="007046D8">
              <w:rPr>
                <w:color w:val="FF0000"/>
              </w:rPr>
              <w:t xml:space="preserve"> </w:t>
            </w:r>
            <w:r w:rsidR="00AC43FB" w:rsidRPr="007711CF">
              <w:t xml:space="preserve">heritage </w:t>
            </w:r>
            <w:r w:rsidR="007046D8" w:rsidRPr="005408A6">
              <w:rPr>
                <w:rFonts w:cs="Calibri"/>
                <w:color w:val="FF0000"/>
              </w:rPr>
              <w:t xml:space="preserve">and community </w:t>
            </w:r>
            <w:r w:rsidR="00AC43FB" w:rsidRPr="007711CF">
              <w:t>assets, are only recognised as an expense when the amount of the impairment is greater than the balance in the Asset Revaluation Surplus for the relevant class of asset.</w:t>
            </w:r>
          </w:p>
        </w:tc>
      </w:tr>
      <w:tr w:rsidR="00CF551F" w:rsidRPr="00CF7E1B" w14:paraId="3699FC66"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4E68841D" w14:textId="77777777" w:rsidR="00CF551F" w:rsidRPr="00374599" w:rsidRDefault="00CF551F"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1AA13C7B" w14:textId="5A95F3C0" w:rsidR="00CF551F" w:rsidRPr="00374599" w:rsidRDefault="00CF551F" w:rsidP="00B53B78">
            <w:pPr>
              <w:pStyle w:val="TableText"/>
              <w:tabs>
                <w:tab w:val="left" w:pos="3306"/>
              </w:tabs>
              <w:spacing w:before="180"/>
              <w:jc w:val="both"/>
              <w:rPr>
                <w:rFonts w:cs="Calibri"/>
                <w:b/>
                <w:bCs/>
              </w:rPr>
            </w:pPr>
            <w:r w:rsidRPr="00374599">
              <w:rPr>
                <w:rFonts w:cs="Calibri"/>
                <w:i/>
                <w:iCs/>
              </w:rPr>
              <w:t xml:space="preserve">Impairment Losses and Write-Offs – </w:t>
            </w:r>
            <w:r w:rsidR="007139C1" w:rsidRPr="00374599">
              <w:rPr>
                <w:rFonts w:cs="Calibri"/>
                <w:i/>
                <w:iCs/>
              </w:rPr>
              <w:t>Accounts</w:t>
            </w:r>
            <w:r w:rsidR="002B797C" w:rsidRPr="00374599">
              <w:rPr>
                <w:rFonts w:cs="Calibri"/>
                <w:i/>
                <w:iCs/>
              </w:rPr>
              <w:t xml:space="preserve"> and Loans</w:t>
            </w:r>
            <w:r w:rsidR="007139C1" w:rsidRPr="00374599">
              <w:rPr>
                <w:rFonts w:cs="Calibri"/>
                <w:i/>
                <w:iCs/>
              </w:rPr>
              <w:t xml:space="preserve"> </w:t>
            </w:r>
            <w:r w:rsidRPr="00374599">
              <w:rPr>
                <w:rFonts w:cs="Calibri"/>
                <w:i/>
                <w:iCs/>
              </w:rPr>
              <w:t>Receivables</w:t>
            </w:r>
          </w:p>
        </w:tc>
      </w:tr>
      <w:tr w:rsidR="00CF551F" w:rsidRPr="00CF7E1B" w14:paraId="5B130F29"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CF2E7E7" w14:textId="77777777" w:rsidR="00CF551F" w:rsidRPr="00374599" w:rsidRDefault="00CF551F"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5DB7465C" w14:textId="04FC9EAB" w:rsidR="007B346B" w:rsidRPr="00374599" w:rsidRDefault="004D0899" w:rsidP="00B53B78">
            <w:pPr>
              <w:pStyle w:val="TableText"/>
              <w:tabs>
                <w:tab w:val="left" w:pos="3306"/>
              </w:tabs>
              <w:spacing w:after="180"/>
              <w:jc w:val="both"/>
            </w:pPr>
            <w:r w:rsidRPr="00374599">
              <w:t xml:space="preserve">A matrix is used to calculate the amount of lifetime expected credit loss which factors practical and justifiable forward-looking information, including forecast economic changes expected to impact ‘Burley Griffin Agency’s’ receivables (See Note 16 </w:t>
            </w:r>
            <w:r w:rsidRPr="00AB1649">
              <w:rPr>
                <w:i/>
                <w:iCs/>
              </w:rPr>
              <w:t>Receivables</w:t>
            </w:r>
            <w:r w:rsidR="0035272C" w:rsidRPr="00AB1649">
              <w:rPr>
                <w:i/>
                <w:iCs/>
              </w:rPr>
              <w:t xml:space="preserve"> </w:t>
            </w:r>
            <w:r w:rsidR="0035272C" w:rsidRPr="00007324">
              <w:rPr>
                <w:i/>
                <w:iCs/>
                <w:strike/>
                <w:color w:val="FF0000"/>
              </w:rPr>
              <w:t>and Contract Assets</w:t>
            </w:r>
            <w:r w:rsidRPr="00374599">
              <w:t>).</w:t>
            </w:r>
            <w:r w:rsidR="002B797C" w:rsidRPr="00374599">
              <w:t xml:space="preserve"> This method is based on the possibility of default events occurring over the lifetime of the loans.</w:t>
            </w:r>
          </w:p>
        </w:tc>
      </w:tr>
      <w:tr w:rsidR="005A41DF" w:rsidRPr="00CF7E1B" w14:paraId="333518CA"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861E74A" w14:textId="77777777" w:rsidR="005A41DF" w:rsidRPr="00374599" w:rsidRDefault="005A41DF" w:rsidP="00CF551F">
            <w:pPr>
              <w:pStyle w:val="TableReference"/>
              <w:tabs>
                <w:tab w:val="left" w:pos="3306"/>
              </w:tabs>
              <w:rPr>
                <w:rFonts w:cs="Calibri"/>
                <w:color w:val="7030A0"/>
                <w:sz w:val="16"/>
                <w:szCs w:val="16"/>
              </w:rPr>
            </w:pPr>
          </w:p>
        </w:tc>
        <w:tc>
          <w:tcPr>
            <w:tcW w:w="4239" w:type="pct"/>
            <w:gridSpan w:val="12"/>
            <w:tcBorders>
              <w:top w:val="nil"/>
              <w:left w:val="single" w:sz="2" w:space="0" w:color="auto"/>
              <w:bottom w:val="nil"/>
              <w:right w:val="nil"/>
            </w:tcBorders>
          </w:tcPr>
          <w:p w14:paraId="2EF2C9D1" w14:textId="7DC9C4E2" w:rsidR="005A41DF" w:rsidRPr="00374599" w:rsidRDefault="005A41DF" w:rsidP="00F37E6F">
            <w:pPr>
              <w:pStyle w:val="TableText"/>
              <w:tabs>
                <w:tab w:val="left" w:pos="3306"/>
              </w:tabs>
              <w:jc w:val="both"/>
              <w:rPr>
                <w:i/>
                <w:iCs/>
              </w:rPr>
            </w:pPr>
            <w:r w:rsidRPr="00374599">
              <w:rPr>
                <w:rFonts w:cs="Calibri"/>
                <w:i/>
                <w:iCs/>
              </w:rPr>
              <w:t>Losses or Deficiencies in Public Monies</w:t>
            </w:r>
          </w:p>
        </w:tc>
      </w:tr>
      <w:tr w:rsidR="005A41DF" w:rsidRPr="00CF7E1B" w14:paraId="48DFAED5"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60E574C" w14:textId="36E05D13" w:rsidR="005A41DF" w:rsidRPr="00374599" w:rsidRDefault="005A41DF" w:rsidP="005A41DF">
            <w:pPr>
              <w:pStyle w:val="TableReference"/>
              <w:tabs>
                <w:tab w:val="left" w:pos="3306"/>
              </w:tabs>
              <w:rPr>
                <w:rFonts w:cs="Calibri"/>
                <w:color w:val="7030A0"/>
                <w:sz w:val="16"/>
                <w:szCs w:val="16"/>
              </w:rPr>
            </w:pPr>
            <w:r w:rsidRPr="00374599">
              <w:rPr>
                <w:rFonts w:cs="Calibri"/>
                <w:color w:val="7030A0"/>
                <w:sz w:val="14"/>
              </w:rPr>
              <w:t>ACT Disclosure Policy</w:t>
            </w:r>
          </w:p>
        </w:tc>
        <w:tc>
          <w:tcPr>
            <w:tcW w:w="4239" w:type="pct"/>
            <w:gridSpan w:val="12"/>
            <w:tcBorders>
              <w:top w:val="nil"/>
              <w:left w:val="single" w:sz="2" w:space="0" w:color="auto"/>
              <w:bottom w:val="nil"/>
              <w:right w:val="nil"/>
            </w:tcBorders>
          </w:tcPr>
          <w:p w14:paraId="6F37C078" w14:textId="3CCFE478" w:rsidR="005A41DF" w:rsidRPr="00374599" w:rsidRDefault="005A41DF" w:rsidP="005A41DF">
            <w:pPr>
              <w:pStyle w:val="TableText"/>
              <w:tabs>
                <w:tab w:val="left" w:pos="3306"/>
              </w:tabs>
              <w:jc w:val="both"/>
            </w:pPr>
            <w:r w:rsidRPr="00374599">
              <w:rPr>
                <w:rFonts w:cs="Calibri"/>
              </w:rPr>
              <w:t>Th</w:t>
            </w:r>
            <w:r w:rsidR="000B1E08" w:rsidRPr="00374599">
              <w:rPr>
                <w:rFonts w:cs="Calibri"/>
              </w:rPr>
              <w:t xml:space="preserve">is </w:t>
            </w:r>
            <w:r w:rsidRPr="00374599">
              <w:rPr>
                <w:rFonts w:cs="Calibri"/>
              </w:rPr>
              <w:t>line item includes a number of different items including:</w:t>
            </w:r>
          </w:p>
        </w:tc>
      </w:tr>
      <w:tr w:rsidR="005A41DF" w:rsidRPr="00CF7E1B" w14:paraId="60DFFA2C"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28A044C" w14:textId="77777777" w:rsidR="005A41DF" w:rsidRPr="00374599" w:rsidRDefault="005A41DF" w:rsidP="005A41DF">
            <w:pPr>
              <w:pStyle w:val="TableReference"/>
              <w:tabs>
                <w:tab w:val="left" w:pos="3306"/>
              </w:tabs>
              <w:rPr>
                <w:rFonts w:cs="Calibri"/>
                <w:color w:val="7030A0"/>
                <w:sz w:val="14"/>
              </w:rPr>
            </w:pPr>
          </w:p>
        </w:tc>
        <w:tc>
          <w:tcPr>
            <w:tcW w:w="4239" w:type="pct"/>
            <w:gridSpan w:val="12"/>
            <w:tcBorders>
              <w:top w:val="nil"/>
              <w:left w:val="single" w:sz="2" w:space="0" w:color="auto"/>
              <w:bottom w:val="nil"/>
              <w:right w:val="nil"/>
            </w:tcBorders>
          </w:tcPr>
          <w:p w14:paraId="2FD502AC" w14:textId="77777777" w:rsidR="005A41DF" w:rsidRPr="00374599" w:rsidRDefault="005A41DF" w:rsidP="00CB31DE">
            <w:pPr>
              <w:pStyle w:val="CommentaryText"/>
              <w:numPr>
                <w:ilvl w:val="0"/>
                <w:numId w:val="13"/>
              </w:numPr>
              <w:tabs>
                <w:tab w:val="clear" w:pos="720"/>
              </w:tabs>
              <w:spacing w:after="0"/>
              <w:ind w:left="604" w:hanging="283"/>
              <w:rPr>
                <w:rFonts w:cs="Calibri"/>
                <w:sz w:val="18"/>
                <w:szCs w:val="18"/>
              </w:rPr>
            </w:pPr>
            <w:r w:rsidRPr="00374599">
              <w:rPr>
                <w:rFonts w:cs="Calibri"/>
                <w:sz w:val="18"/>
                <w:szCs w:val="18"/>
              </w:rPr>
              <w:t>decrease in monies due to fraud;</w:t>
            </w:r>
          </w:p>
          <w:p w14:paraId="19D44DD0" w14:textId="77777777" w:rsidR="005A41DF" w:rsidRPr="00374599" w:rsidRDefault="005A41DF" w:rsidP="00CB31DE">
            <w:pPr>
              <w:pStyle w:val="CommentaryText"/>
              <w:numPr>
                <w:ilvl w:val="0"/>
                <w:numId w:val="14"/>
              </w:numPr>
              <w:tabs>
                <w:tab w:val="clear" w:pos="720"/>
              </w:tabs>
              <w:spacing w:after="0"/>
              <w:ind w:left="604" w:hanging="283"/>
              <w:rPr>
                <w:rFonts w:cs="Calibri"/>
                <w:sz w:val="18"/>
                <w:szCs w:val="18"/>
              </w:rPr>
            </w:pPr>
            <w:r w:rsidRPr="00374599">
              <w:rPr>
                <w:rFonts w:cs="Calibri"/>
                <w:sz w:val="18"/>
                <w:szCs w:val="18"/>
              </w:rPr>
              <w:t>monies which cannot be accounted for; and</w:t>
            </w:r>
          </w:p>
          <w:p w14:paraId="00B9E96D" w14:textId="77777777" w:rsidR="005A41DF" w:rsidRPr="00374599" w:rsidRDefault="005A41DF" w:rsidP="00CB31DE">
            <w:pPr>
              <w:pStyle w:val="CommentaryText"/>
              <w:numPr>
                <w:ilvl w:val="0"/>
                <w:numId w:val="20"/>
              </w:numPr>
              <w:tabs>
                <w:tab w:val="clear" w:pos="360"/>
                <w:tab w:val="left" w:pos="3306"/>
              </w:tabs>
              <w:spacing w:after="60"/>
              <w:ind w:left="604" w:hanging="283"/>
              <w:rPr>
                <w:rFonts w:cs="Calibri"/>
                <w:sz w:val="18"/>
                <w:szCs w:val="18"/>
              </w:rPr>
            </w:pPr>
            <w:r w:rsidRPr="00374599">
              <w:rPr>
                <w:rFonts w:cs="Calibri"/>
                <w:sz w:val="18"/>
                <w:szCs w:val="18"/>
              </w:rPr>
              <w:t>monies which have been lost.</w:t>
            </w:r>
          </w:p>
          <w:p w14:paraId="33D3D6B0" w14:textId="5C962418" w:rsidR="005A41DF" w:rsidRPr="00374599" w:rsidRDefault="000B1E08" w:rsidP="005A41DF">
            <w:pPr>
              <w:pStyle w:val="TableText"/>
              <w:tabs>
                <w:tab w:val="left" w:pos="3306"/>
              </w:tabs>
              <w:jc w:val="both"/>
              <w:rPr>
                <w:rFonts w:cs="Calibri"/>
              </w:rPr>
            </w:pPr>
            <w:r w:rsidRPr="00374599">
              <w:rPr>
                <w:rFonts w:cs="Calibri"/>
              </w:rPr>
              <w:t xml:space="preserve">Losses or Deficiencies in Public Monies are expensed during the year in which </w:t>
            </w:r>
            <w:r w:rsidR="00BE16A7" w:rsidRPr="00374599">
              <w:rPr>
                <w:rFonts w:cs="Calibri"/>
              </w:rPr>
              <w:t>these deficiencies were discovered</w:t>
            </w:r>
            <w:r w:rsidRPr="00374599">
              <w:rPr>
                <w:rFonts w:cs="Calibri"/>
              </w:rPr>
              <w:t>.</w:t>
            </w:r>
          </w:p>
        </w:tc>
      </w:tr>
      <w:tr w:rsidR="005A41DF" w:rsidRPr="00CF7E1B" w14:paraId="26CAD02B"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90C17AE" w14:textId="77777777" w:rsidR="005A41DF" w:rsidRPr="00374599" w:rsidRDefault="005A41DF" w:rsidP="005A41DF">
            <w:pPr>
              <w:pStyle w:val="TableReference"/>
              <w:tabs>
                <w:tab w:val="left" w:pos="3306"/>
              </w:tabs>
              <w:rPr>
                <w:rFonts w:cs="Calibri"/>
                <w:color w:val="7030A0"/>
                <w:sz w:val="16"/>
                <w:szCs w:val="16"/>
              </w:rPr>
            </w:pPr>
          </w:p>
        </w:tc>
        <w:tc>
          <w:tcPr>
            <w:tcW w:w="2734" w:type="pct"/>
            <w:gridSpan w:val="4"/>
            <w:tcBorders>
              <w:top w:val="nil"/>
              <w:left w:val="single" w:sz="2" w:space="0" w:color="auto"/>
              <w:bottom w:val="nil"/>
              <w:right w:val="nil"/>
            </w:tcBorders>
            <w:vAlign w:val="bottom"/>
          </w:tcPr>
          <w:p w14:paraId="7FF52C19" w14:textId="3CA2E72B" w:rsidR="005A41DF" w:rsidRPr="00374599" w:rsidRDefault="005A41DF" w:rsidP="00B53B78">
            <w:pPr>
              <w:pStyle w:val="TableText"/>
              <w:tabs>
                <w:tab w:val="left" w:pos="3306"/>
              </w:tabs>
              <w:spacing w:before="180"/>
              <w:rPr>
                <w:rFonts w:cs="Calibri"/>
                <w:i/>
                <w:iCs/>
              </w:rPr>
            </w:pPr>
            <w:r w:rsidRPr="00374599">
              <w:rPr>
                <w:rFonts w:cs="Calibri"/>
                <w:i/>
                <w:iCs/>
              </w:rPr>
              <w:t>Act of Grace Payments</w:t>
            </w:r>
          </w:p>
        </w:tc>
        <w:tc>
          <w:tcPr>
            <w:tcW w:w="955" w:type="pct"/>
            <w:gridSpan w:val="6"/>
            <w:tcBorders>
              <w:top w:val="nil"/>
              <w:left w:val="nil"/>
              <w:bottom w:val="nil"/>
              <w:right w:val="nil"/>
            </w:tcBorders>
            <w:vAlign w:val="bottom"/>
          </w:tcPr>
          <w:p w14:paraId="7BA9BCA1" w14:textId="77777777" w:rsidR="005A41DF" w:rsidRPr="00374599" w:rsidRDefault="005A41DF" w:rsidP="005A41DF">
            <w:pPr>
              <w:pStyle w:val="TableText"/>
              <w:tabs>
                <w:tab w:val="left" w:pos="3306"/>
              </w:tabs>
              <w:jc w:val="right"/>
              <w:rPr>
                <w:rFonts w:cs="Calibri"/>
                <w:b/>
                <w:bCs/>
              </w:rPr>
            </w:pPr>
          </w:p>
        </w:tc>
        <w:tc>
          <w:tcPr>
            <w:tcW w:w="550" w:type="pct"/>
            <w:gridSpan w:val="2"/>
            <w:tcBorders>
              <w:top w:val="nil"/>
              <w:left w:val="nil"/>
              <w:bottom w:val="nil"/>
              <w:right w:val="nil"/>
            </w:tcBorders>
            <w:vAlign w:val="bottom"/>
          </w:tcPr>
          <w:p w14:paraId="39B66EF0" w14:textId="77777777" w:rsidR="005A41DF" w:rsidRPr="00374599" w:rsidRDefault="005A41DF" w:rsidP="005A41DF">
            <w:pPr>
              <w:pStyle w:val="TableText"/>
              <w:tabs>
                <w:tab w:val="left" w:pos="3306"/>
              </w:tabs>
              <w:jc w:val="right"/>
              <w:rPr>
                <w:rFonts w:cs="Calibri"/>
                <w:b/>
                <w:bCs/>
              </w:rPr>
            </w:pPr>
          </w:p>
        </w:tc>
      </w:tr>
      <w:tr w:rsidR="005A41DF" w:rsidRPr="00CF7E1B" w14:paraId="7038E74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80D25DD" w14:textId="4670BCAC" w:rsidR="005A41DF" w:rsidRPr="00374599" w:rsidRDefault="005A41DF" w:rsidP="005A41DF">
            <w:pPr>
              <w:pStyle w:val="TableReference"/>
              <w:tabs>
                <w:tab w:val="left" w:pos="3306"/>
              </w:tabs>
              <w:spacing w:before="60"/>
              <w:rPr>
                <w:rFonts w:cs="Calibri"/>
                <w:color w:val="7030A0"/>
                <w:sz w:val="14"/>
              </w:rPr>
            </w:pPr>
            <w:r w:rsidRPr="00374599">
              <w:rPr>
                <w:rFonts w:cs="Calibri"/>
                <w:color w:val="7030A0"/>
                <w:sz w:val="14"/>
              </w:rPr>
              <w:t>FMA Sec 130</w:t>
            </w:r>
          </w:p>
          <w:p w14:paraId="45BC7F6B" w14:textId="72A3EC60" w:rsidR="005A41DF" w:rsidRPr="00374599" w:rsidRDefault="005A41DF" w:rsidP="005A41DF">
            <w:pPr>
              <w:pStyle w:val="TableReference"/>
              <w:tabs>
                <w:tab w:val="left" w:pos="3306"/>
              </w:tabs>
              <w:spacing w:before="60"/>
              <w:rPr>
                <w:rFonts w:cs="Calibri"/>
                <w:color w:val="7030A0"/>
                <w:sz w:val="16"/>
                <w:szCs w:val="16"/>
              </w:rPr>
            </w:pPr>
            <w:r w:rsidRPr="00374599">
              <w:rPr>
                <w:rFonts w:cs="Calibri"/>
                <w:color w:val="7030A0"/>
                <w:sz w:val="14"/>
              </w:rPr>
              <w:t>ACT Disclosure Policy</w:t>
            </w:r>
          </w:p>
        </w:tc>
        <w:tc>
          <w:tcPr>
            <w:tcW w:w="4239" w:type="pct"/>
            <w:gridSpan w:val="12"/>
            <w:tcBorders>
              <w:top w:val="nil"/>
              <w:left w:val="single" w:sz="2" w:space="0" w:color="auto"/>
              <w:bottom w:val="nil"/>
              <w:right w:val="nil"/>
            </w:tcBorders>
          </w:tcPr>
          <w:p w14:paraId="42346CA6" w14:textId="0C164BAF" w:rsidR="005A41DF" w:rsidRPr="00374599" w:rsidRDefault="005A41DF" w:rsidP="00B53B78">
            <w:pPr>
              <w:pStyle w:val="TableText"/>
              <w:tabs>
                <w:tab w:val="left" w:pos="3306"/>
              </w:tabs>
              <w:spacing w:after="180"/>
              <w:jc w:val="both"/>
              <w:rPr>
                <w:rFonts w:cs="Calibri"/>
                <w:b/>
                <w:bCs/>
              </w:rPr>
            </w:pPr>
            <w:r w:rsidRPr="00374599">
              <w:rPr>
                <w:rFonts w:cs="Calibri"/>
              </w:rPr>
              <w:t>The Treasurer authorised five Act of Grace Payments.</w:t>
            </w:r>
            <w:r w:rsidR="00FA7C77">
              <w:rPr>
                <w:rFonts w:cs="Calibri"/>
              </w:rPr>
              <w:t xml:space="preserve"> </w:t>
            </w:r>
            <w:r w:rsidRPr="00374599">
              <w:rPr>
                <w:rFonts w:cs="Calibri"/>
              </w:rPr>
              <w:t>Four of these payments related to an oversight made by ‘</w:t>
            </w:r>
            <w:r w:rsidRPr="00374599">
              <w:t xml:space="preserve">Burley Griffin </w:t>
            </w:r>
            <w:r w:rsidRPr="00374599">
              <w:rPr>
                <w:rFonts w:cs="Calibri"/>
              </w:rPr>
              <w:t>Agency’ regarding land development applications.</w:t>
            </w:r>
            <w:r w:rsidR="00FA7C77">
              <w:rPr>
                <w:rFonts w:cs="Calibri"/>
              </w:rPr>
              <w:t xml:space="preserve"> </w:t>
            </w:r>
            <w:r w:rsidRPr="00374599">
              <w:rPr>
                <w:rFonts w:cs="Calibri"/>
              </w:rPr>
              <w:t>The fifth payment related to a delayed heritage grant payment which resulted in the recipient incurring a penalty for late payment to a third party supplier due to not receiving the grant payment on time.</w:t>
            </w:r>
            <w:r w:rsidR="00FA7C77">
              <w:rPr>
                <w:rFonts w:cs="Calibri"/>
              </w:rPr>
              <w:t xml:space="preserve"> </w:t>
            </w:r>
            <w:r w:rsidRPr="00374599">
              <w:rPr>
                <w:rFonts w:cs="Calibri"/>
              </w:rPr>
              <w:t>The land development application oversights and the delayed grant payment did not legally entitle the applicant(s)/recipient(s) to compensation, however as all were unfairly disadvantaged by ‘</w:t>
            </w:r>
            <w:r w:rsidRPr="00374599">
              <w:t xml:space="preserve">Burley Griffin </w:t>
            </w:r>
            <w:r w:rsidRPr="00374599">
              <w:rPr>
                <w:rFonts w:cs="Calibri"/>
              </w:rPr>
              <w:t>Agency’, the Treasurer approved the Act of Grace Payments.</w:t>
            </w:r>
            <w:r w:rsidR="00FA7C77">
              <w:rPr>
                <w:rFonts w:cs="Calibri"/>
                <w:szCs w:val="20"/>
              </w:rPr>
              <w:t xml:space="preserve"> </w:t>
            </w:r>
          </w:p>
        </w:tc>
      </w:tr>
      <w:tr w:rsidR="005A41DF" w:rsidRPr="00CF7E1B" w14:paraId="2434F5E1"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0CE596D" w14:textId="77777777" w:rsidR="005A41DF" w:rsidRPr="00374599" w:rsidRDefault="005A41DF" w:rsidP="005A41DF">
            <w:pPr>
              <w:pStyle w:val="TableReference"/>
              <w:tabs>
                <w:tab w:val="left" w:pos="3306"/>
              </w:tabs>
              <w:spacing w:before="60"/>
              <w:rPr>
                <w:rFonts w:cs="Calibri"/>
                <w:color w:val="7030A0"/>
                <w:sz w:val="14"/>
              </w:rPr>
            </w:pPr>
          </w:p>
        </w:tc>
        <w:tc>
          <w:tcPr>
            <w:tcW w:w="4239" w:type="pct"/>
            <w:gridSpan w:val="12"/>
            <w:tcBorders>
              <w:top w:val="nil"/>
              <w:left w:val="single" w:sz="2" w:space="0" w:color="auto"/>
              <w:bottom w:val="nil"/>
              <w:right w:val="nil"/>
            </w:tcBorders>
          </w:tcPr>
          <w:p w14:paraId="07495B01" w14:textId="6A9DAED4" w:rsidR="005A41DF" w:rsidRPr="00374599" w:rsidRDefault="005A41DF" w:rsidP="005A41DF">
            <w:pPr>
              <w:pStyle w:val="TableText"/>
              <w:tabs>
                <w:tab w:val="left" w:pos="3306"/>
              </w:tabs>
              <w:spacing w:before="0"/>
              <w:jc w:val="both"/>
              <w:rPr>
                <w:rFonts w:cs="Calibri"/>
                <w:i/>
                <w:iCs/>
              </w:rPr>
            </w:pPr>
            <w:r w:rsidRPr="00374599">
              <w:rPr>
                <w:rFonts w:cs="Calibri"/>
                <w:i/>
                <w:iCs/>
              </w:rPr>
              <w:t>Restructuring Expenses</w:t>
            </w:r>
          </w:p>
        </w:tc>
      </w:tr>
      <w:tr w:rsidR="005A41DF" w:rsidRPr="00CF7E1B" w14:paraId="3B9AC90B"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CEC824B" w14:textId="77777777" w:rsidR="005A41DF" w:rsidRPr="00374599" w:rsidRDefault="005A41DF" w:rsidP="005A41DF">
            <w:pPr>
              <w:pStyle w:val="TableReference"/>
              <w:tabs>
                <w:tab w:val="left" w:pos="3306"/>
              </w:tabs>
              <w:spacing w:before="60"/>
              <w:rPr>
                <w:rFonts w:cs="Calibri"/>
                <w:color w:val="7030A0"/>
                <w:sz w:val="14"/>
              </w:rPr>
            </w:pPr>
          </w:p>
        </w:tc>
        <w:tc>
          <w:tcPr>
            <w:tcW w:w="4239" w:type="pct"/>
            <w:gridSpan w:val="12"/>
            <w:tcBorders>
              <w:top w:val="nil"/>
              <w:left w:val="single" w:sz="2" w:space="0" w:color="auto"/>
              <w:bottom w:val="nil"/>
              <w:right w:val="nil"/>
            </w:tcBorders>
            <w:vAlign w:val="bottom"/>
          </w:tcPr>
          <w:p w14:paraId="184F7727" w14:textId="2AB058D3" w:rsidR="005A41DF" w:rsidRPr="00374599" w:rsidRDefault="005A41DF" w:rsidP="005A41DF">
            <w:pPr>
              <w:pStyle w:val="TableText"/>
              <w:tabs>
                <w:tab w:val="left" w:pos="3306"/>
              </w:tabs>
              <w:spacing w:before="0"/>
              <w:jc w:val="both"/>
              <w:rPr>
                <w:b/>
                <w:bCs/>
              </w:rPr>
            </w:pPr>
            <w:r w:rsidRPr="00374599">
              <w:rPr>
                <w:rFonts w:cs="Calibri"/>
              </w:rPr>
              <w:t>The Agency is undertaking a restructuring of a maintenance division that will result in the closure of the division and in 60 employees being made redundant.</w:t>
            </w:r>
            <w:r w:rsidR="00FA7C77">
              <w:rPr>
                <w:rFonts w:cs="Calibri"/>
              </w:rPr>
              <w:t xml:space="preserve"> </w:t>
            </w:r>
            <w:r w:rsidRPr="00374599">
              <w:rPr>
                <w:rFonts w:cs="Calibri"/>
              </w:rPr>
              <w:t>Restructuring is expected to be completed towards the end of the next reporting period.</w:t>
            </w:r>
          </w:p>
        </w:tc>
      </w:tr>
      <w:tr w:rsidR="005A41DF" w:rsidRPr="00CF7E1B" w14:paraId="2B7564C4"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4AED0B50" w14:textId="77777777" w:rsidR="005A41DF" w:rsidRPr="00374599" w:rsidRDefault="005A41DF" w:rsidP="005A41DF">
            <w:pPr>
              <w:pStyle w:val="TableReference"/>
              <w:tabs>
                <w:tab w:val="left" w:pos="3306"/>
              </w:tabs>
              <w:spacing w:before="60"/>
              <w:rPr>
                <w:rFonts w:cs="Calibri"/>
                <w:color w:val="7030A0"/>
                <w:sz w:val="14"/>
              </w:rPr>
            </w:pPr>
          </w:p>
        </w:tc>
        <w:tc>
          <w:tcPr>
            <w:tcW w:w="4239" w:type="pct"/>
            <w:gridSpan w:val="12"/>
            <w:tcBorders>
              <w:top w:val="nil"/>
              <w:left w:val="single" w:sz="2" w:space="0" w:color="auto"/>
              <w:bottom w:val="nil"/>
              <w:right w:val="nil"/>
            </w:tcBorders>
            <w:vAlign w:val="bottom"/>
          </w:tcPr>
          <w:p w14:paraId="02D7CA37" w14:textId="6C711DE6" w:rsidR="005A41DF" w:rsidRPr="00374599" w:rsidRDefault="005A41DF" w:rsidP="005A41DF">
            <w:pPr>
              <w:pStyle w:val="TableText"/>
              <w:tabs>
                <w:tab w:val="left" w:pos="3306"/>
              </w:tabs>
              <w:spacing w:before="120"/>
              <w:jc w:val="both"/>
              <w:rPr>
                <w:b/>
                <w:bCs/>
              </w:rPr>
            </w:pPr>
            <w:r w:rsidRPr="00374599">
              <w:rPr>
                <w:rFonts w:cs="Calibri"/>
              </w:rPr>
              <w:t>The restructuring expense is recognised at the point in time when a formal detailed plan has been completed by ‘Burley Griffin Agency’ and a valid expectation has been raised, in those affected, that the restructuring will occur.</w:t>
            </w:r>
            <w:r w:rsidR="00FA7C77">
              <w:rPr>
                <w:rFonts w:cs="Calibri"/>
              </w:rPr>
              <w:t xml:space="preserve"> </w:t>
            </w:r>
          </w:p>
        </w:tc>
      </w:tr>
      <w:tr w:rsidR="005F5F76" w:rsidRPr="00374599" w14:paraId="176731DF"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38A1EA9" w14:textId="77777777" w:rsidR="005F5F76" w:rsidRPr="00374599" w:rsidRDefault="005F5F76" w:rsidP="00AF300B">
            <w:pPr>
              <w:pStyle w:val="TableReference"/>
              <w:tabs>
                <w:tab w:val="left" w:pos="3306"/>
              </w:tabs>
              <w:spacing w:before="240"/>
              <w:rPr>
                <w:rFonts w:cs="Calibri"/>
                <w:color w:val="7030A0"/>
                <w:sz w:val="14"/>
              </w:rPr>
            </w:pPr>
            <w:r w:rsidRPr="00374599">
              <w:rPr>
                <w:rFonts w:cs="Calibri"/>
                <w:b/>
                <w:color w:val="7030A0"/>
                <w:sz w:val="22"/>
                <w:szCs w:val="22"/>
              </w:rPr>
              <w:t>Reference</w:t>
            </w:r>
          </w:p>
        </w:tc>
        <w:tc>
          <w:tcPr>
            <w:tcW w:w="4239" w:type="pct"/>
            <w:gridSpan w:val="12"/>
            <w:tcBorders>
              <w:top w:val="nil"/>
              <w:left w:val="single" w:sz="2" w:space="0" w:color="auto"/>
              <w:bottom w:val="nil"/>
              <w:right w:val="nil"/>
            </w:tcBorders>
          </w:tcPr>
          <w:p w14:paraId="74C7286F" w14:textId="77777777" w:rsidR="005F5F76" w:rsidRPr="00374599" w:rsidRDefault="005F5F76" w:rsidP="00AF300B">
            <w:pPr>
              <w:pStyle w:val="Heading1"/>
              <w:numPr>
                <w:ilvl w:val="0"/>
                <w:numId w:val="0"/>
              </w:numPr>
            </w:pPr>
            <w:bookmarkStart w:id="532" w:name="_Toc131164497"/>
            <w:bookmarkStart w:id="533" w:name="_Toc131591762"/>
            <w:bookmarkStart w:id="534" w:name="_Toc132743797"/>
            <w:r w:rsidRPr="00374599">
              <w:t>Note 14.</w:t>
            </w:r>
            <w:r>
              <w:t xml:space="preserve"> </w:t>
            </w:r>
            <w:r w:rsidRPr="00374599">
              <w:t xml:space="preserve"> Other Expenses </w:t>
            </w:r>
            <w:r>
              <w:t>–</w:t>
            </w:r>
            <w:r w:rsidRPr="00374599">
              <w:t xml:space="preserve"> Continued</w:t>
            </w:r>
            <w:bookmarkEnd w:id="532"/>
            <w:bookmarkEnd w:id="533"/>
            <w:bookmarkEnd w:id="534"/>
            <w:r>
              <w:t xml:space="preserve"> </w:t>
            </w:r>
          </w:p>
        </w:tc>
      </w:tr>
      <w:tr w:rsidR="005A41DF" w:rsidRPr="00CF7E1B" w14:paraId="7EE0DE2B"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4FA6AA21" w14:textId="77777777" w:rsidR="005A41DF" w:rsidRPr="00374599" w:rsidRDefault="005A41DF" w:rsidP="005A41DF">
            <w:pPr>
              <w:pStyle w:val="TableReference"/>
              <w:tabs>
                <w:tab w:val="left" w:pos="3306"/>
              </w:tabs>
              <w:spacing w:before="60"/>
              <w:rPr>
                <w:rFonts w:cs="Calibri"/>
                <w:color w:val="7030A0"/>
                <w:sz w:val="14"/>
              </w:rPr>
            </w:pPr>
          </w:p>
        </w:tc>
        <w:tc>
          <w:tcPr>
            <w:tcW w:w="4239" w:type="pct"/>
            <w:gridSpan w:val="12"/>
            <w:tcBorders>
              <w:top w:val="nil"/>
              <w:left w:val="single" w:sz="2" w:space="0" w:color="auto"/>
              <w:bottom w:val="nil"/>
              <w:right w:val="nil"/>
            </w:tcBorders>
          </w:tcPr>
          <w:p w14:paraId="47D9856F" w14:textId="0C433853" w:rsidR="005A41DF" w:rsidRPr="00374599" w:rsidRDefault="005A41DF" w:rsidP="005F5F76">
            <w:pPr>
              <w:pStyle w:val="TableText"/>
              <w:tabs>
                <w:tab w:val="left" w:pos="3306"/>
              </w:tabs>
              <w:spacing w:before="0"/>
              <w:jc w:val="both"/>
              <w:rPr>
                <w:rFonts w:cs="Calibri"/>
              </w:rPr>
            </w:pPr>
            <w:r w:rsidRPr="00374599">
              <w:rPr>
                <w:b/>
                <w:bCs/>
              </w:rPr>
              <w:t>COVID-19 Impact</w:t>
            </w:r>
          </w:p>
        </w:tc>
      </w:tr>
      <w:tr w:rsidR="005A41DF" w:rsidRPr="00CF7E1B" w14:paraId="3CAA60ED"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6F260B51" w14:textId="77777777" w:rsidR="005A41DF" w:rsidRPr="00374599" w:rsidRDefault="005A41DF" w:rsidP="005A41DF">
            <w:pPr>
              <w:pStyle w:val="TableReference"/>
              <w:tabs>
                <w:tab w:val="left" w:pos="3306"/>
              </w:tabs>
              <w:spacing w:before="60"/>
              <w:rPr>
                <w:rFonts w:cs="Calibri"/>
                <w:color w:val="7030A0"/>
                <w:sz w:val="14"/>
              </w:rPr>
            </w:pPr>
          </w:p>
        </w:tc>
        <w:tc>
          <w:tcPr>
            <w:tcW w:w="4239" w:type="pct"/>
            <w:gridSpan w:val="12"/>
            <w:tcBorders>
              <w:top w:val="nil"/>
              <w:left w:val="single" w:sz="2" w:space="0" w:color="auto"/>
              <w:bottom w:val="nil"/>
              <w:right w:val="nil"/>
            </w:tcBorders>
            <w:shd w:val="clear" w:color="auto" w:fill="auto"/>
          </w:tcPr>
          <w:p w14:paraId="218D16A4" w14:textId="0BCE4254" w:rsidR="005A41DF" w:rsidRPr="00FD445C" w:rsidRDefault="005A41DF" w:rsidP="005A41DF">
            <w:pPr>
              <w:pStyle w:val="TableText"/>
              <w:tabs>
                <w:tab w:val="left" w:pos="3306"/>
              </w:tabs>
              <w:spacing w:before="0" w:after="120"/>
              <w:jc w:val="both"/>
              <w:rPr>
                <w:rFonts w:cs="Calibri"/>
              </w:rPr>
            </w:pPr>
            <w:r w:rsidRPr="00FD445C">
              <w:t>The ‘Stimulus Waivers’ relate to the waiver of sports ground hire fees as part of the ACT Government’s economic survival package to support the Territory’s economy during the COVID-19 pandemic.</w:t>
            </w:r>
            <w:r w:rsidR="00FA7C77" w:rsidRPr="00FD445C">
              <w:t xml:space="preserve"> </w:t>
            </w:r>
            <w:r w:rsidRPr="00D76B14">
              <w:rPr>
                <w:color w:val="FF0000"/>
              </w:rPr>
              <w:t>The amount of these Waivers</w:t>
            </w:r>
            <w:r w:rsidR="00D76B14" w:rsidRPr="00D76B14">
              <w:rPr>
                <w:color w:val="FF0000"/>
              </w:rPr>
              <w:t xml:space="preserve"> </w:t>
            </w:r>
            <w:r w:rsidR="00E262F2">
              <w:rPr>
                <w:color w:val="FF0000"/>
              </w:rPr>
              <w:t xml:space="preserve">of $xxx </w:t>
            </w:r>
            <w:r w:rsidR="00D76B14" w:rsidRPr="00D76B14">
              <w:rPr>
                <w:color w:val="FF0000"/>
              </w:rPr>
              <w:t>ha</w:t>
            </w:r>
            <w:r w:rsidR="00E262F2">
              <w:rPr>
                <w:color w:val="FF0000"/>
              </w:rPr>
              <w:t>v</w:t>
            </w:r>
            <w:r w:rsidR="00D76B14" w:rsidRPr="00D76B14">
              <w:rPr>
                <w:color w:val="FF0000"/>
              </w:rPr>
              <w:t>e been wound back in 2022-23</w:t>
            </w:r>
            <w:r w:rsidR="00E262F2">
              <w:rPr>
                <w:color w:val="FF0000"/>
              </w:rPr>
              <w:t xml:space="preserve"> when compared to 2021-22 due to improving COVID-19 situation in the ACT community</w:t>
            </w:r>
            <w:r w:rsidR="00D76B14" w:rsidRPr="00D76B14">
              <w:rPr>
                <w:color w:val="FF0000"/>
              </w:rPr>
              <w:t>.</w:t>
            </w:r>
            <w:r w:rsidRPr="00FD445C">
              <w:t xml:space="preserve"> </w:t>
            </w:r>
            <w:r w:rsidRPr="00D76B14">
              <w:rPr>
                <w:strike/>
                <w:color w:val="FF0000"/>
              </w:rPr>
              <w:t>was $xxx in 202</w:t>
            </w:r>
            <w:r w:rsidR="00F305E9" w:rsidRPr="00D76B14">
              <w:rPr>
                <w:strike/>
                <w:color w:val="FF0000"/>
              </w:rPr>
              <w:t>2</w:t>
            </w:r>
            <w:r w:rsidRPr="00D76B14">
              <w:rPr>
                <w:strike/>
                <w:color w:val="FF0000"/>
              </w:rPr>
              <w:t>-2</w:t>
            </w:r>
            <w:r w:rsidR="00F305E9" w:rsidRPr="00D76B14">
              <w:rPr>
                <w:strike/>
                <w:color w:val="FF0000"/>
              </w:rPr>
              <w:t>3</w:t>
            </w:r>
            <w:r w:rsidRPr="00D76B14">
              <w:rPr>
                <w:strike/>
                <w:color w:val="FF0000"/>
              </w:rPr>
              <w:t xml:space="preserve"> making it material in comparison to total waivers provided by ‘Burley Griffin Agency’ of $xxx.</w:t>
            </w:r>
          </w:p>
        </w:tc>
      </w:tr>
      <w:tr w:rsidR="00374599" w:rsidRPr="00374599" w14:paraId="38680545"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69E397B9" w14:textId="77777777" w:rsidR="00374599" w:rsidRPr="00374599" w:rsidRDefault="00374599" w:rsidP="00374599">
            <w:pPr>
              <w:pStyle w:val="TableReference"/>
              <w:tabs>
                <w:tab w:val="left" w:pos="3306"/>
              </w:tabs>
              <w:spacing w:before="240"/>
              <w:rPr>
                <w:rFonts w:cs="Calibri"/>
                <w:color w:val="7030A0"/>
                <w:sz w:val="16"/>
                <w:szCs w:val="16"/>
              </w:rPr>
            </w:pPr>
          </w:p>
        </w:tc>
        <w:tc>
          <w:tcPr>
            <w:tcW w:w="2951" w:type="pct"/>
            <w:gridSpan w:val="6"/>
            <w:tcBorders>
              <w:top w:val="nil"/>
              <w:left w:val="single" w:sz="2" w:space="0" w:color="auto"/>
              <w:bottom w:val="nil"/>
              <w:right w:val="nil"/>
            </w:tcBorders>
            <w:vAlign w:val="bottom"/>
          </w:tcPr>
          <w:p w14:paraId="5B4085F2" w14:textId="77777777" w:rsidR="00374599" w:rsidRPr="00374599" w:rsidRDefault="00374599" w:rsidP="00374599">
            <w:pPr>
              <w:pStyle w:val="TableText"/>
              <w:tabs>
                <w:tab w:val="left" w:pos="3306"/>
              </w:tabs>
              <w:rPr>
                <w:rFonts w:cs="Calibri"/>
              </w:rPr>
            </w:pPr>
          </w:p>
        </w:tc>
        <w:tc>
          <w:tcPr>
            <w:tcW w:w="738" w:type="pct"/>
            <w:gridSpan w:val="4"/>
            <w:tcBorders>
              <w:top w:val="nil"/>
              <w:left w:val="nil"/>
              <w:bottom w:val="nil"/>
              <w:right w:val="nil"/>
            </w:tcBorders>
            <w:vAlign w:val="bottom"/>
          </w:tcPr>
          <w:p w14:paraId="555F8AC6" w14:textId="6A824503" w:rsidR="00374599" w:rsidRPr="00374599" w:rsidRDefault="00374599" w:rsidP="00374599">
            <w:pPr>
              <w:pStyle w:val="TableText"/>
              <w:tabs>
                <w:tab w:val="left" w:pos="3306"/>
              </w:tabs>
              <w:jc w:val="right"/>
              <w:rPr>
                <w:rFonts w:cs="Calibri"/>
                <w:b/>
                <w:bCs/>
              </w:rPr>
            </w:pPr>
            <w:r w:rsidRPr="00374599">
              <w:rPr>
                <w:rFonts w:cs="Calibri"/>
                <w:b/>
                <w:bCs/>
              </w:rPr>
              <w:t>202</w:t>
            </w:r>
            <w:r w:rsidR="00F305E9">
              <w:rPr>
                <w:rFonts w:cs="Calibri"/>
                <w:b/>
                <w:bCs/>
              </w:rPr>
              <w:t>3</w:t>
            </w:r>
          </w:p>
          <w:p w14:paraId="4D5BC36B" w14:textId="77777777" w:rsidR="00374599" w:rsidRPr="00374599" w:rsidRDefault="00374599" w:rsidP="00374599">
            <w:pPr>
              <w:pStyle w:val="TableText"/>
              <w:tabs>
                <w:tab w:val="left" w:pos="3306"/>
              </w:tabs>
              <w:jc w:val="right"/>
              <w:rPr>
                <w:rFonts w:cs="Calibri"/>
                <w:b/>
                <w:bCs/>
              </w:rPr>
            </w:pPr>
            <w:r w:rsidRPr="00374599">
              <w:rPr>
                <w:rFonts w:cs="Calibri"/>
                <w:b/>
                <w:bCs/>
              </w:rPr>
              <w:t xml:space="preserve"> $’000</w:t>
            </w:r>
          </w:p>
        </w:tc>
        <w:tc>
          <w:tcPr>
            <w:tcW w:w="550" w:type="pct"/>
            <w:gridSpan w:val="2"/>
            <w:tcBorders>
              <w:top w:val="nil"/>
              <w:left w:val="nil"/>
              <w:bottom w:val="nil"/>
              <w:right w:val="nil"/>
            </w:tcBorders>
            <w:vAlign w:val="bottom"/>
          </w:tcPr>
          <w:p w14:paraId="5464B284" w14:textId="32B9ABC9" w:rsidR="00374599" w:rsidRPr="00374599" w:rsidRDefault="00374599" w:rsidP="00374599">
            <w:pPr>
              <w:pStyle w:val="TableText"/>
              <w:tabs>
                <w:tab w:val="left" w:pos="3306"/>
              </w:tabs>
              <w:jc w:val="right"/>
              <w:rPr>
                <w:rFonts w:cs="Calibri"/>
                <w:b/>
                <w:bCs/>
              </w:rPr>
            </w:pPr>
            <w:r w:rsidRPr="00374599">
              <w:rPr>
                <w:rFonts w:cs="Calibri"/>
                <w:b/>
                <w:bCs/>
              </w:rPr>
              <w:t>202</w:t>
            </w:r>
            <w:r w:rsidR="00F305E9">
              <w:rPr>
                <w:rFonts w:cs="Calibri"/>
                <w:b/>
                <w:bCs/>
              </w:rPr>
              <w:t>2</w:t>
            </w:r>
            <w:r w:rsidRPr="00374599">
              <w:rPr>
                <w:rFonts w:cs="Calibri"/>
                <w:b/>
                <w:bCs/>
              </w:rPr>
              <w:t xml:space="preserve"> </w:t>
            </w:r>
          </w:p>
          <w:p w14:paraId="36215935" w14:textId="77777777" w:rsidR="00374599" w:rsidRPr="00374599" w:rsidRDefault="00374599" w:rsidP="00374599">
            <w:pPr>
              <w:pStyle w:val="TableText"/>
              <w:tabs>
                <w:tab w:val="left" w:pos="3306"/>
              </w:tabs>
              <w:jc w:val="right"/>
              <w:rPr>
                <w:rFonts w:cs="Calibri"/>
                <w:b/>
                <w:bCs/>
              </w:rPr>
            </w:pPr>
            <w:r w:rsidRPr="00374599">
              <w:rPr>
                <w:rFonts w:cs="Calibri"/>
                <w:b/>
                <w:bCs/>
              </w:rPr>
              <w:t>$’000</w:t>
            </w:r>
          </w:p>
        </w:tc>
      </w:tr>
      <w:tr w:rsidR="00374599" w:rsidRPr="00374599" w14:paraId="36A1BAB8"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99EF8B1"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32B762DC" w14:textId="77777777" w:rsidR="00374599" w:rsidRPr="00374599" w:rsidRDefault="00374599" w:rsidP="00374599">
            <w:pPr>
              <w:pStyle w:val="TableText"/>
              <w:tabs>
                <w:tab w:val="left" w:pos="3306"/>
              </w:tabs>
              <w:rPr>
                <w:rFonts w:cs="Calibri"/>
              </w:rPr>
            </w:pPr>
            <w:r w:rsidRPr="00374599">
              <w:rPr>
                <w:rFonts w:cs="Calibri"/>
              </w:rPr>
              <w:t xml:space="preserve">Losses from the </w:t>
            </w:r>
            <w:smartTag w:uri="urn:schemas-microsoft-com:office:smarttags" w:element="place">
              <w:smartTag w:uri="urn:schemas-microsoft-com:office:smarttags" w:element="City">
                <w:r w:rsidRPr="00374599">
                  <w:rPr>
                    <w:rFonts w:cs="Calibri"/>
                  </w:rPr>
                  <w:t>Sale</w:t>
                </w:r>
              </w:smartTag>
            </w:smartTag>
            <w:r w:rsidRPr="00374599">
              <w:rPr>
                <w:rFonts w:cs="Calibri"/>
              </w:rPr>
              <w:t xml:space="preserve"> of Assets</w:t>
            </w:r>
          </w:p>
        </w:tc>
        <w:tc>
          <w:tcPr>
            <w:tcW w:w="738" w:type="pct"/>
            <w:gridSpan w:val="4"/>
            <w:tcBorders>
              <w:top w:val="nil"/>
              <w:left w:val="nil"/>
              <w:bottom w:val="nil"/>
              <w:right w:val="nil"/>
            </w:tcBorders>
            <w:vAlign w:val="bottom"/>
          </w:tcPr>
          <w:p w14:paraId="4058737B" w14:textId="3FF6929B"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1C52FC32" w14:textId="017D5370" w:rsidR="00374599" w:rsidRPr="00374599" w:rsidRDefault="00374599" w:rsidP="00374599">
            <w:pPr>
              <w:pStyle w:val="TableText"/>
              <w:tabs>
                <w:tab w:val="left" w:pos="3306"/>
              </w:tabs>
              <w:jc w:val="right"/>
              <w:rPr>
                <w:rFonts w:cs="Calibri"/>
              </w:rPr>
            </w:pPr>
          </w:p>
        </w:tc>
      </w:tr>
      <w:tr w:rsidR="00374599" w:rsidRPr="00374599" w14:paraId="16CD9844"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584F34A"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087664E8" w14:textId="465ED36D" w:rsidR="00374599" w:rsidRPr="00374599" w:rsidRDefault="00374599" w:rsidP="00374599">
            <w:pPr>
              <w:pStyle w:val="TableText"/>
              <w:tabs>
                <w:tab w:val="left" w:pos="3306"/>
              </w:tabs>
              <w:rPr>
                <w:rFonts w:cs="Calibri"/>
              </w:rPr>
            </w:pPr>
            <w:bookmarkStart w:id="535" w:name="_Hlk90625288"/>
            <w:r w:rsidRPr="00374599">
              <w:rPr>
                <w:rFonts w:cs="Calibri"/>
              </w:rPr>
              <w:t>Losses from Donated Assets</w:t>
            </w:r>
            <w:r w:rsidRPr="00374599">
              <w:rPr>
                <w:rFonts w:cs="Calibri"/>
                <w:vertAlign w:val="superscript"/>
              </w:rPr>
              <w:t>a</w:t>
            </w:r>
            <w:bookmarkEnd w:id="535"/>
          </w:p>
        </w:tc>
        <w:tc>
          <w:tcPr>
            <w:tcW w:w="738" w:type="pct"/>
            <w:gridSpan w:val="4"/>
            <w:tcBorders>
              <w:top w:val="nil"/>
              <w:left w:val="nil"/>
              <w:bottom w:val="nil"/>
              <w:right w:val="nil"/>
            </w:tcBorders>
            <w:vAlign w:val="bottom"/>
          </w:tcPr>
          <w:p w14:paraId="4109D80C" w14:textId="007D4C7B"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31B20DF1" w14:textId="71631082" w:rsidR="00374599" w:rsidRPr="00374599" w:rsidRDefault="00374599" w:rsidP="00374599">
            <w:pPr>
              <w:pStyle w:val="TableText"/>
              <w:tabs>
                <w:tab w:val="left" w:pos="3306"/>
              </w:tabs>
              <w:jc w:val="right"/>
              <w:rPr>
                <w:rFonts w:cs="Calibri"/>
              </w:rPr>
            </w:pPr>
          </w:p>
        </w:tc>
      </w:tr>
      <w:tr w:rsidR="00377F90" w:rsidRPr="00374599" w14:paraId="44728082"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5D22745" w14:textId="77777777" w:rsidR="00377F90" w:rsidRPr="00374599" w:rsidRDefault="00377F90" w:rsidP="00995F9D">
            <w:pPr>
              <w:pStyle w:val="TableReference"/>
              <w:tabs>
                <w:tab w:val="left" w:pos="3306"/>
              </w:tabs>
              <w:rPr>
                <w:rFonts w:cs="Calibri"/>
                <w:color w:val="7030A0"/>
                <w:sz w:val="14"/>
              </w:rPr>
            </w:pPr>
          </w:p>
        </w:tc>
        <w:tc>
          <w:tcPr>
            <w:tcW w:w="2951" w:type="pct"/>
            <w:gridSpan w:val="6"/>
            <w:tcBorders>
              <w:top w:val="nil"/>
              <w:left w:val="single" w:sz="2" w:space="0" w:color="auto"/>
              <w:bottom w:val="nil"/>
              <w:right w:val="nil"/>
            </w:tcBorders>
            <w:vAlign w:val="center"/>
          </w:tcPr>
          <w:p w14:paraId="1A397948" w14:textId="671DB626" w:rsidR="00377F90" w:rsidRPr="00374599" w:rsidRDefault="00377F90" w:rsidP="00374599">
            <w:pPr>
              <w:pStyle w:val="TableText"/>
              <w:tabs>
                <w:tab w:val="left" w:pos="3306"/>
              </w:tabs>
              <w:rPr>
                <w:rFonts w:cs="Calibri"/>
              </w:rPr>
            </w:pPr>
            <w:r w:rsidRPr="00E37048">
              <w:rPr>
                <w:rFonts w:cs="Calibri"/>
                <w:color w:val="FF0000"/>
              </w:rPr>
              <w:t xml:space="preserve">Losses </w:t>
            </w:r>
            <w:r w:rsidR="000735FC" w:rsidRPr="00E37048">
              <w:rPr>
                <w:rFonts w:cs="Calibri"/>
                <w:color w:val="FF0000"/>
              </w:rPr>
              <w:t>a</w:t>
            </w:r>
            <w:r w:rsidRPr="00E37048">
              <w:rPr>
                <w:rFonts w:cs="Calibri"/>
                <w:color w:val="FF0000"/>
              </w:rPr>
              <w:t>rising from the Contribution of Assets</w:t>
            </w:r>
          </w:p>
        </w:tc>
        <w:tc>
          <w:tcPr>
            <w:tcW w:w="738" w:type="pct"/>
            <w:gridSpan w:val="4"/>
            <w:tcBorders>
              <w:top w:val="nil"/>
              <w:left w:val="nil"/>
              <w:bottom w:val="nil"/>
              <w:right w:val="nil"/>
            </w:tcBorders>
            <w:vAlign w:val="bottom"/>
          </w:tcPr>
          <w:p w14:paraId="29EE7255" w14:textId="77777777" w:rsidR="00377F90" w:rsidRPr="00374599" w:rsidRDefault="00377F90"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3BA5030B" w14:textId="77777777" w:rsidR="00377F90" w:rsidRPr="00374599" w:rsidRDefault="00377F90" w:rsidP="00374599">
            <w:pPr>
              <w:pStyle w:val="TableText"/>
              <w:tabs>
                <w:tab w:val="left" w:pos="3306"/>
              </w:tabs>
              <w:jc w:val="right"/>
              <w:rPr>
                <w:rFonts w:cs="Calibri"/>
              </w:rPr>
            </w:pPr>
          </w:p>
        </w:tc>
      </w:tr>
      <w:tr w:rsidR="00374599" w:rsidRPr="00374599" w14:paraId="1F93B19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DBF4172" w14:textId="77777777" w:rsidR="00995F9D" w:rsidRDefault="00374599" w:rsidP="00995F9D">
            <w:pPr>
              <w:pStyle w:val="TableReference"/>
              <w:tabs>
                <w:tab w:val="left" w:pos="3306"/>
              </w:tabs>
              <w:rPr>
                <w:rFonts w:cs="Calibri"/>
                <w:color w:val="7030A0"/>
                <w:sz w:val="14"/>
              </w:rPr>
            </w:pPr>
            <w:r w:rsidRPr="00374599">
              <w:rPr>
                <w:rFonts w:cs="Calibri"/>
                <w:color w:val="7030A0"/>
                <w:sz w:val="14"/>
              </w:rPr>
              <w:t xml:space="preserve">AASB 102.36(e) &amp; </w:t>
            </w:r>
          </w:p>
          <w:p w14:paraId="793D0F7D" w14:textId="663EAEA8" w:rsidR="00374599" w:rsidRPr="00374599" w:rsidRDefault="00374599" w:rsidP="00995F9D">
            <w:pPr>
              <w:pStyle w:val="TableReference"/>
              <w:tabs>
                <w:tab w:val="left" w:pos="3306"/>
              </w:tabs>
              <w:rPr>
                <w:rFonts w:cs="Calibri"/>
                <w:color w:val="7030A0"/>
                <w:sz w:val="14"/>
              </w:rPr>
            </w:pPr>
            <w:r w:rsidRPr="00374599">
              <w:rPr>
                <w:rFonts w:cs="Calibri"/>
                <w:color w:val="7030A0"/>
                <w:sz w:val="14"/>
              </w:rPr>
              <w:t>AASB 101.98(a)</w:t>
            </w:r>
          </w:p>
        </w:tc>
        <w:tc>
          <w:tcPr>
            <w:tcW w:w="2951" w:type="pct"/>
            <w:gridSpan w:val="6"/>
            <w:tcBorders>
              <w:top w:val="nil"/>
              <w:left w:val="single" w:sz="2" w:space="0" w:color="auto"/>
              <w:bottom w:val="nil"/>
              <w:right w:val="nil"/>
            </w:tcBorders>
            <w:vAlign w:val="center"/>
          </w:tcPr>
          <w:p w14:paraId="36881523" w14:textId="77777777" w:rsidR="00374599" w:rsidRPr="00374599" w:rsidRDefault="00374599" w:rsidP="00374599">
            <w:pPr>
              <w:pStyle w:val="TableText"/>
              <w:tabs>
                <w:tab w:val="left" w:pos="3306"/>
              </w:tabs>
              <w:rPr>
                <w:rFonts w:cs="Calibri"/>
              </w:rPr>
            </w:pPr>
            <w:r w:rsidRPr="00374599">
              <w:rPr>
                <w:rFonts w:cs="Calibri"/>
              </w:rPr>
              <w:t>Write-down in Inventory</w:t>
            </w:r>
          </w:p>
        </w:tc>
        <w:tc>
          <w:tcPr>
            <w:tcW w:w="738" w:type="pct"/>
            <w:gridSpan w:val="4"/>
            <w:tcBorders>
              <w:top w:val="nil"/>
              <w:left w:val="nil"/>
              <w:bottom w:val="nil"/>
              <w:right w:val="nil"/>
            </w:tcBorders>
            <w:vAlign w:val="bottom"/>
          </w:tcPr>
          <w:p w14:paraId="1D9FBAC1" w14:textId="59A37A14"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13CC4C31" w14:textId="6BD15B2B" w:rsidR="00374599" w:rsidRPr="00374599" w:rsidRDefault="00374599" w:rsidP="00374599">
            <w:pPr>
              <w:pStyle w:val="TableText"/>
              <w:tabs>
                <w:tab w:val="left" w:pos="3306"/>
              </w:tabs>
              <w:jc w:val="right"/>
              <w:rPr>
                <w:rFonts w:cs="Calibri"/>
              </w:rPr>
            </w:pPr>
          </w:p>
        </w:tc>
      </w:tr>
      <w:tr w:rsidR="00374599" w:rsidRPr="00374599" w14:paraId="4A532F49"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011CE9F"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46306388" w14:textId="1A17CFB9" w:rsidR="00374599" w:rsidRPr="00374599" w:rsidRDefault="00374599" w:rsidP="00374599">
            <w:pPr>
              <w:pStyle w:val="TableText"/>
              <w:tabs>
                <w:tab w:val="left" w:pos="3306"/>
              </w:tabs>
              <w:rPr>
                <w:rFonts w:cs="Calibri"/>
              </w:rPr>
            </w:pPr>
            <w:r w:rsidRPr="00374599">
              <w:rPr>
                <w:rFonts w:cs="Calibri"/>
              </w:rPr>
              <w:t>Restoration of Contaminated Sites Expense</w:t>
            </w:r>
            <w:r w:rsidRPr="00374599">
              <w:rPr>
                <w:rFonts w:cs="Calibri"/>
                <w:vertAlign w:val="superscript"/>
              </w:rPr>
              <w:t>b</w:t>
            </w:r>
          </w:p>
        </w:tc>
        <w:tc>
          <w:tcPr>
            <w:tcW w:w="738" w:type="pct"/>
            <w:gridSpan w:val="4"/>
            <w:tcBorders>
              <w:top w:val="nil"/>
              <w:left w:val="nil"/>
              <w:bottom w:val="nil"/>
              <w:right w:val="nil"/>
            </w:tcBorders>
            <w:vAlign w:val="bottom"/>
          </w:tcPr>
          <w:p w14:paraId="496733F8" w14:textId="64FF1F40"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17419739" w14:textId="6F8F3C09" w:rsidR="00374599" w:rsidRPr="00374599" w:rsidRDefault="00374599" w:rsidP="00374599">
            <w:pPr>
              <w:pStyle w:val="TableText"/>
              <w:tabs>
                <w:tab w:val="left" w:pos="3306"/>
              </w:tabs>
              <w:jc w:val="right"/>
              <w:rPr>
                <w:rFonts w:cs="Calibri"/>
              </w:rPr>
            </w:pPr>
          </w:p>
        </w:tc>
      </w:tr>
      <w:tr w:rsidR="00374599" w:rsidRPr="00374599" w14:paraId="2D91E311"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449EB98"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52E00B85" w14:textId="5FFB18B4" w:rsidR="00374599" w:rsidRPr="00374599" w:rsidRDefault="00374599" w:rsidP="00374599">
            <w:pPr>
              <w:pStyle w:val="TableText"/>
              <w:tabs>
                <w:tab w:val="left" w:pos="3306"/>
              </w:tabs>
              <w:rPr>
                <w:rFonts w:cs="Calibri"/>
              </w:rPr>
            </w:pPr>
            <w:r w:rsidRPr="00374599">
              <w:rPr>
                <w:rFonts w:cs="Calibri"/>
              </w:rPr>
              <w:t>Waivers (see below for further information about Waivers)</w:t>
            </w:r>
          </w:p>
        </w:tc>
        <w:tc>
          <w:tcPr>
            <w:tcW w:w="738" w:type="pct"/>
            <w:gridSpan w:val="4"/>
            <w:tcBorders>
              <w:top w:val="nil"/>
              <w:left w:val="nil"/>
              <w:bottom w:val="nil"/>
              <w:right w:val="nil"/>
            </w:tcBorders>
            <w:vAlign w:val="bottom"/>
          </w:tcPr>
          <w:p w14:paraId="7826DD55" w14:textId="1245F8F5"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0605F4ED" w14:textId="2A5ECF5D" w:rsidR="00374599" w:rsidRPr="00374599" w:rsidRDefault="00374599" w:rsidP="00374599">
            <w:pPr>
              <w:pStyle w:val="TableText"/>
              <w:tabs>
                <w:tab w:val="left" w:pos="3306"/>
              </w:tabs>
              <w:jc w:val="right"/>
              <w:rPr>
                <w:rFonts w:cs="Calibri"/>
              </w:rPr>
            </w:pPr>
          </w:p>
        </w:tc>
      </w:tr>
      <w:tr w:rsidR="00374599" w:rsidRPr="00374599" w14:paraId="6E6C0434"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E4C8C48"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79AE56EE" w14:textId="21ED3C93" w:rsidR="00374599" w:rsidRPr="00374599" w:rsidRDefault="00374599" w:rsidP="00374599">
            <w:pPr>
              <w:pStyle w:val="TableText"/>
              <w:tabs>
                <w:tab w:val="left" w:pos="3306"/>
              </w:tabs>
              <w:rPr>
                <w:rFonts w:cs="Calibri"/>
              </w:rPr>
            </w:pPr>
            <w:r w:rsidRPr="00374599">
              <w:rPr>
                <w:rFonts w:cs="Calibri"/>
              </w:rPr>
              <w:t>Impairment Losses</w:t>
            </w:r>
          </w:p>
        </w:tc>
        <w:tc>
          <w:tcPr>
            <w:tcW w:w="738" w:type="pct"/>
            <w:gridSpan w:val="4"/>
            <w:tcBorders>
              <w:top w:val="nil"/>
              <w:left w:val="nil"/>
              <w:bottom w:val="nil"/>
              <w:right w:val="nil"/>
            </w:tcBorders>
            <w:vAlign w:val="bottom"/>
          </w:tcPr>
          <w:p w14:paraId="3049F22E"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1FDCA328" w14:textId="77777777" w:rsidR="00374599" w:rsidRPr="00374599" w:rsidRDefault="00374599" w:rsidP="00374599">
            <w:pPr>
              <w:pStyle w:val="TableText"/>
              <w:tabs>
                <w:tab w:val="left" w:pos="3306"/>
              </w:tabs>
              <w:jc w:val="right"/>
              <w:rPr>
                <w:rFonts w:cs="Calibri"/>
              </w:rPr>
            </w:pPr>
          </w:p>
        </w:tc>
      </w:tr>
      <w:tr w:rsidR="00374599" w:rsidRPr="00374599" w14:paraId="2BE1D2F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B0DD573" w14:textId="19B6B1E6"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7.20(a)(vi)</w:t>
            </w:r>
          </w:p>
        </w:tc>
        <w:tc>
          <w:tcPr>
            <w:tcW w:w="2951" w:type="pct"/>
            <w:gridSpan w:val="6"/>
            <w:tcBorders>
              <w:top w:val="nil"/>
              <w:left w:val="single" w:sz="2" w:space="0" w:color="auto"/>
              <w:bottom w:val="nil"/>
              <w:right w:val="nil"/>
            </w:tcBorders>
            <w:vAlign w:val="bottom"/>
          </w:tcPr>
          <w:p w14:paraId="7CC24FA6" w14:textId="48721BBF"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Accounts Receivables (also see Note 16)</w:t>
            </w:r>
          </w:p>
        </w:tc>
        <w:tc>
          <w:tcPr>
            <w:tcW w:w="738" w:type="pct"/>
            <w:gridSpan w:val="4"/>
            <w:tcBorders>
              <w:top w:val="nil"/>
              <w:left w:val="nil"/>
              <w:bottom w:val="nil"/>
              <w:right w:val="nil"/>
            </w:tcBorders>
            <w:vAlign w:val="bottom"/>
          </w:tcPr>
          <w:p w14:paraId="4576A052"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72F13DEE" w14:textId="77777777" w:rsidR="00374599" w:rsidRPr="00374599" w:rsidRDefault="00374599" w:rsidP="00374599">
            <w:pPr>
              <w:pStyle w:val="TableText"/>
              <w:tabs>
                <w:tab w:val="left" w:pos="3306"/>
              </w:tabs>
              <w:jc w:val="right"/>
              <w:rPr>
                <w:rFonts w:cs="Calibri"/>
              </w:rPr>
            </w:pPr>
          </w:p>
        </w:tc>
      </w:tr>
      <w:tr w:rsidR="00374599" w:rsidRPr="00374599" w14:paraId="5AC66CD2"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09320E5" w14:textId="3A257931"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7.20(a)(vi)</w:t>
            </w:r>
          </w:p>
        </w:tc>
        <w:tc>
          <w:tcPr>
            <w:tcW w:w="2951" w:type="pct"/>
            <w:gridSpan w:val="6"/>
            <w:tcBorders>
              <w:top w:val="nil"/>
              <w:left w:val="single" w:sz="2" w:space="0" w:color="auto"/>
              <w:bottom w:val="nil"/>
              <w:right w:val="nil"/>
            </w:tcBorders>
            <w:vAlign w:val="bottom"/>
          </w:tcPr>
          <w:p w14:paraId="7761B141" w14:textId="6F473E72"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Loans Receivables (also see Note 16)</w:t>
            </w:r>
          </w:p>
        </w:tc>
        <w:tc>
          <w:tcPr>
            <w:tcW w:w="738" w:type="pct"/>
            <w:gridSpan w:val="4"/>
            <w:tcBorders>
              <w:top w:val="nil"/>
              <w:left w:val="nil"/>
              <w:bottom w:val="nil"/>
              <w:right w:val="nil"/>
            </w:tcBorders>
            <w:vAlign w:val="bottom"/>
          </w:tcPr>
          <w:p w14:paraId="79D9F010"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38DB93EB" w14:textId="77777777" w:rsidR="00374599" w:rsidRPr="00374599" w:rsidRDefault="00374599" w:rsidP="00374599">
            <w:pPr>
              <w:pStyle w:val="TableText"/>
              <w:tabs>
                <w:tab w:val="left" w:pos="3306"/>
              </w:tabs>
              <w:jc w:val="right"/>
              <w:rPr>
                <w:rFonts w:cs="Calibri"/>
              </w:rPr>
            </w:pPr>
          </w:p>
        </w:tc>
      </w:tr>
      <w:tr w:rsidR="00864202" w:rsidRPr="00374599" w14:paraId="500C07B8"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8F137A2" w14:textId="453E02D4" w:rsidR="00864202" w:rsidRPr="00864202" w:rsidRDefault="00864202" w:rsidP="00374599">
            <w:pPr>
              <w:pStyle w:val="TableReference"/>
              <w:tabs>
                <w:tab w:val="left" w:pos="3306"/>
              </w:tabs>
              <w:spacing w:before="40"/>
              <w:rPr>
                <w:rFonts w:cs="Calibri"/>
                <w:color w:val="FF0000"/>
                <w:sz w:val="14"/>
              </w:rPr>
            </w:pPr>
            <w:r w:rsidRPr="00864202">
              <w:rPr>
                <w:rFonts w:cs="Calibri"/>
                <w:color w:val="FF0000"/>
                <w:sz w:val="14"/>
              </w:rPr>
              <w:t>AASB 7.20(a)(vi)</w:t>
            </w:r>
          </w:p>
        </w:tc>
        <w:tc>
          <w:tcPr>
            <w:tcW w:w="2951" w:type="pct"/>
            <w:gridSpan w:val="6"/>
            <w:tcBorders>
              <w:top w:val="nil"/>
              <w:left w:val="single" w:sz="2" w:space="0" w:color="auto"/>
              <w:bottom w:val="nil"/>
              <w:right w:val="nil"/>
            </w:tcBorders>
            <w:vAlign w:val="bottom"/>
          </w:tcPr>
          <w:p w14:paraId="38F030F9" w14:textId="404CDC41" w:rsidR="00864202" w:rsidRDefault="00864202" w:rsidP="00374599">
            <w:pPr>
              <w:pStyle w:val="TableText"/>
              <w:tabs>
                <w:tab w:val="left" w:pos="3306"/>
              </w:tabs>
              <w:ind w:left="314" w:hanging="314"/>
              <w:rPr>
                <w:rFonts w:cs="Calibri"/>
              </w:rPr>
            </w:pPr>
            <w:r>
              <w:rPr>
                <w:rFonts w:cs="Calibri"/>
              </w:rPr>
              <w:t xml:space="preserve">   </w:t>
            </w:r>
            <w:r w:rsidRPr="00864202">
              <w:rPr>
                <w:rFonts w:cs="Calibri"/>
                <w:color w:val="FF0000"/>
              </w:rPr>
              <w:t>- Expected Credit Loss Expense – Contract Assets (also see Note 16)</w:t>
            </w:r>
          </w:p>
        </w:tc>
        <w:tc>
          <w:tcPr>
            <w:tcW w:w="738" w:type="pct"/>
            <w:gridSpan w:val="4"/>
            <w:tcBorders>
              <w:top w:val="nil"/>
              <w:left w:val="nil"/>
              <w:bottom w:val="nil"/>
              <w:right w:val="nil"/>
            </w:tcBorders>
            <w:vAlign w:val="bottom"/>
          </w:tcPr>
          <w:p w14:paraId="7193823E" w14:textId="77777777" w:rsidR="00864202" w:rsidRPr="00374599" w:rsidRDefault="00864202"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42F870CC" w14:textId="77777777" w:rsidR="00864202" w:rsidRPr="00374599" w:rsidRDefault="00864202" w:rsidP="00374599">
            <w:pPr>
              <w:pStyle w:val="TableText"/>
              <w:tabs>
                <w:tab w:val="left" w:pos="3306"/>
              </w:tabs>
              <w:jc w:val="right"/>
              <w:rPr>
                <w:rFonts w:cs="Calibri"/>
              </w:rPr>
            </w:pPr>
          </w:p>
        </w:tc>
      </w:tr>
      <w:tr w:rsidR="00374599" w:rsidRPr="00374599" w14:paraId="7C41F408"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262BFC4" w14:textId="6B1CD311"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136.126(a)</w:t>
            </w:r>
          </w:p>
        </w:tc>
        <w:tc>
          <w:tcPr>
            <w:tcW w:w="2951" w:type="pct"/>
            <w:gridSpan w:val="6"/>
            <w:tcBorders>
              <w:top w:val="nil"/>
              <w:left w:val="single" w:sz="2" w:space="0" w:color="auto"/>
              <w:bottom w:val="nil"/>
              <w:right w:val="nil"/>
            </w:tcBorders>
            <w:vAlign w:val="bottom"/>
          </w:tcPr>
          <w:p w14:paraId="316391C7" w14:textId="6A650F8C"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Plant and Equipment (also see Note 19)</w:t>
            </w:r>
          </w:p>
        </w:tc>
        <w:tc>
          <w:tcPr>
            <w:tcW w:w="738" w:type="pct"/>
            <w:gridSpan w:val="4"/>
            <w:tcBorders>
              <w:top w:val="nil"/>
              <w:left w:val="nil"/>
              <w:bottom w:val="nil"/>
              <w:right w:val="nil"/>
            </w:tcBorders>
            <w:vAlign w:val="bottom"/>
          </w:tcPr>
          <w:p w14:paraId="53DC5562"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46C4857D" w14:textId="77777777" w:rsidR="00374599" w:rsidRPr="00374599" w:rsidRDefault="00374599" w:rsidP="00374599">
            <w:pPr>
              <w:pStyle w:val="TableText"/>
              <w:tabs>
                <w:tab w:val="left" w:pos="3306"/>
              </w:tabs>
              <w:jc w:val="right"/>
              <w:rPr>
                <w:rFonts w:cs="Calibri"/>
              </w:rPr>
            </w:pPr>
          </w:p>
        </w:tc>
      </w:tr>
      <w:tr w:rsidR="00374599" w:rsidRPr="00374599" w14:paraId="2CA584DF"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38701173" w14:textId="21E492C4"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138.118(e)(iv)</w:t>
            </w:r>
          </w:p>
        </w:tc>
        <w:tc>
          <w:tcPr>
            <w:tcW w:w="2951" w:type="pct"/>
            <w:gridSpan w:val="6"/>
            <w:tcBorders>
              <w:top w:val="nil"/>
              <w:left w:val="single" w:sz="2" w:space="0" w:color="auto"/>
              <w:bottom w:val="nil"/>
              <w:right w:val="nil"/>
            </w:tcBorders>
            <w:vAlign w:val="bottom"/>
          </w:tcPr>
          <w:p w14:paraId="3E5A4D08" w14:textId="5924A91A"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Expected Credit Loss Expense – Intangibles (also see Note 21)</w:t>
            </w:r>
          </w:p>
        </w:tc>
        <w:tc>
          <w:tcPr>
            <w:tcW w:w="738" w:type="pct"/>
            <w:gridSpan w:val="4"/>
            <w:tcBorders>
              <w:top w:val="nil"/>
              <w:left w:val="nil"/>
              <w:bottom w:val="nil"/>
              <w:right w:val="nil"/>
            </w:tcBorders>
            <w:vAlign w:val="bottom"/>
          </w:tcPr>
          <w:p w14:paraId="294A0718"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17FEFFBC" w14:textId="77777777" w:rsidR="00374599" w:rsidRPr="00374599" w:rsidRDefault="00374599" w:rsidP="00374599">
            <w:pPr>
              <w:pStyle w:val="TableText"/>
              <w:tabs>
                <w:tab w:val="left" w:pos="3306"/>
              </w:tabs>
              <w:jc w:val="right"/>
              <w:rPr>
                <w:rFonts w:cs="Calibri"/>
              </w:rPr>
            </w:pPr>
          </w:p>
        </w:tc>
      </w:tr>
      <w:tr w:rsidR="00374599" w:rsidRPr="00374599" w14:paraId="4DEAE29D"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BD67BD8" w14:textId="77777777" w:rsidR="00374599" w:rsidRPr="00374599" w:rsidRDefault="00374599" w:rsidP="00374599">
            <w:pPr>
              <w:pStyle w:val="TableReference"/>
              <w:tabs>
                <w:tab w:val="left" w:pos="3306"/>
              </w:tabs>
              <w:spacing w:before="40"/>
              <w:rPr>
                <w:rFonts w:cs="Calibri"/>
                <w:color w:val="7030A0"/>
                <w:sz w:val="16"/>
                <w:szCs w:val="16"/>
              </w:rPr>
            </w:pPr>
          </w:p>
        </w:tc>
        <w:tc>
          <w:tcPr>
            <w:tcW w:w="2951" w:type="pct"/>
            <w:gridSpan w:val="6"/>
            <w:tcBorders>
              <w:top w:val="nil"/>
              <w:left w:val="single" w:sz="2" w:space="0" w:color="auto"/>
              <w:bottom w:val="nil"/>
              <w:right w:val="nil"/>
            </w:tcBorders>
            <w:vAlign w:val="bottom"/>
          </w:tcPr>
          <w:p w14:paraId="6E59FCF6" w14:textId="743066BF" w:rsidR="00374599" w:rsidRPr="00374599" w:rsidRDefault="00374599" w:rsidP="00374599">
            <w:pPr>
              <w:pStyle w:val="TableText"/>
              <w:tabs>
                <w:tab w:val="left" w:pos="3306"/>
              </w:tabs>
              <w:rPr>
                <w:rFonts w:cs="Calibri"/>
              </w:rPr>
            </w:pPr>
            <w:r w:rsidRPr="00374599">
              <w:rPr>
                <w:rFonts w:cs="Calibri"/>
              </w:rPr>
              <w:t>Write-offs</w:t>
            </w:r>
          </w:p>
        </w:tc>
        <w:tc>
          <w:tcPr>
            <w:tcW w:w="738" w:type="pct"/>
            <w:gridSpan w:val="4"/>
            <w:tcBorders>
              <w:top w:val="nil"/>
              <w:left w:val="nil"/>
              <w:bottom w:val="nil"/>
              <w:right w:val="nil"/>
            </w:tcBorders>
            <w:vAlign w:val="bottom"/>
          </w:tcPr>
          <w:p w14:paraId="0D4A4E00"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769F0760" w14:textId="77777777" w:rsidR="00374599" w:rsidRPr="00374599" w:rsidRDefault="00374599" w:rsidP="00374599">
            <w:pPr>
              <w:pStyle w:val="TableText"/>
              <w:tabs>
                <w:tab w:val="left" w:pos="3306"/>
              </w:tabs>
              <w:jc w:val="right"/>
              <w:rPr>
                <w:rFonts w:cs="Calibri"/>
              </w:rPr>
            </w:pPr>
          </w:p>
        </w:tc>
      </w:tr>
      <w:tr w:rsidR="00374599" w:rsidRPr="00374599" w14:paraId="19BB7C82"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11B9E0A" w14:textId="3C9BE883"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6"/>
            <w:tcBorders>
              <w:top w:val="nil"/>
              <w:left w:val="single" w:sz="2" w:space="0" w:color="auto"/>
              <w:bottom w:val="nil"/>
              <w:right w:val="nil"/>
            </w:tcBorders>
          </w:tcPr>
          <w:p w14:paraId="4B8AD414" w14:textId="20984867"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Losses or Deficiencies in Public Monies</w:t>
            </w:r>
          </w:p>
        </w:tc>
        <w:tc>
          <w:tcPr>
            <w:tcW w:w="738" w:type="pct"/>
            <w:gridSpan w:val="4"/>
            <w:tcBorders>
              <w:top w:val="nil"/>
              <w:left w:val="nil"/>
              <w:bottom w:val="nil"/>
              <w:right w:val="nil"/>
            </w:tcBorders>
            <w:vAlign w:val="bottom"/>
          </w:tcPr>
          <w:p w14:paraId="27F6D337"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4311B78D" w14:textId="77777777" w:rsidR="00374599" w:rsidRPr="00374599" w:rsidRDefault="00374599" w:rsidP="00374599">
            <w:pPr>
              <w:pStyle w:val="TableText"/>
              <w:tabs>
                <w:tab w:val="left" w:pos="3306"/>
              </w:tabs>
              <w:jc w:val="right"/>
              <w:rPr>
                <w:rFonts w:cs="Calibri"/>
              </w:rPr>
            </w:pPr>
          </w:p>
        </w:tc>
      </w:tr>
      <w:tr w:rsidR="00374599" w:rsidRPr="00374599" w14:paraId="581F41DD"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13C9B4D" w14:textId="1534EFE6"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6"/>
            <w:tcBorders>
              <w:top w:val="nil"/>
              <w:left w:val="single" w:sz="2" w:space="0" w:color="auto"/>
              <w:bottom w:val="nil"/>
              <w:right w:val="nil"/>
            </w:tcBorders>
          </w:tcPr>
          <w:p w14:paraId="0D1E87F5" w14:textId="4E10EB1B"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Irrecoverable Debts</w:t>
            </w:r>
          </w:p>
        </w:tc>
        <w:tc>
          <w:tcPr>
            <w:tcW w:w="738" w:type="pct"/>
            <w:gridSpan w:val="4"/>
            <w:tcBorders>
              <w:top w:val="nil"/>
              <w:left w:val="nil"/>
              <w:bottom w:val="nil"/>
              <w:right w:val="nil"/>
            </w:tcBorders>
            <w:vAlign w:val="bottom"/>
          </w:tcPr>
          <w:p w14:paraId="67527135"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60CDF43A" w14:textId="77777777" w:rsidR="00374599" w:rsidRPr="00374599" w:rsidRDefault="00374599" w:rsidP="00374599">
            <w:pPr>
              <w:pStyle w:val="TableText"/>
              <w:tabs>
                <w:tab w:val="left" w:pos="3306"/>
              </w:tabs>
              <w:jc w:val="right"/>
              <w:rPr>
                <w:rFonts w:cs="Calibri"/>
              </w:rPr>
            </w:pPr>
          </w:p>
        </w:tc>
      </w:tr>
      <w:tr w:rsidR="00374599" w:rsidRPr="00374599" w14:paraId="36A9DAD1"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07D7E464" w14:textId="3A497145"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6"/>
            <w:tcBorders>
              <w:top w:val="nil"/>
              <w:left w:val="single" w:sz="2" w:space="0" w:color="auto"/>
              <w:bottom w:val="nil"/>
              <w:right w:val="nil"/>
            </w:tcBorders>
          </w:tcPr>
          <w:p w14:paraId="00618ED3" w14:textId="07337A7A"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Obsolete Stock</w:t>
            </w:r>
          </w:p>
        </w:tc>
        <w:tc>
          <w:tcPr>
            <w:tcW w:w="738" w:type="pct"/>
            <w:gridSpan w:val="4"/>
            <w:tcBorders>
              <w:top w:val="nil"/>
              <w:left w:val="nil"/>
              <w:bottom w:val="nil"/>
              <w:right w:val="nil"/>
            </w:tcBorders>
            <w:vAlign w:val="bottom"/>
          </w:tcPr>
          <w:p w14:paraId="39B0D47F" w14:textId="77777777" w:rsidR="00374599" w:rsidRPr="00374599" w:rsidRDefault="00374599" w:rsidP="00374599">
            <w:pPr>
              <w:pStyle w:val="TableText"/>
              <w:tabs>
                <w:tab w:val="left" w:pos="3306"/>
              </w:tabs>
              <w:jc w:val="right"/>
              <w:rPr>
                <w:rFonts w:cs="Calibri"/>
                <w:strike/>
              </w:rPr>
            </w:pPr>
          </w:p>
        </w:tc>
        <w:tc>
          <w:tcPr>
            <w:tcW w:w="550" w:type="pct"/>
            <w:gridSpan w:val="2"/>
            <w:tcBorders>
              <w:top w:val="nil"/>
              <w:left w:val="nil"/>
              <w:bottom w:val="nil"/>
              <w:right w:val="nil"/>
            </w:tcBorders>
            <w:vAlign w:val="bottom"/>
          </w:tcPr>
          <w:p w14:paraId="4FD4ED8B" w14:textId="77777777" w:rsidR="00374599" w:rsidRPr="00374599" w:rsidRDefault="00374599" w:rsidP="00374599">
            <w:pPr>
              <w:pStyle w:val="TableText"/>
              <w:tabs>
                <w:tab w:val="left" w:pos="3306"/>
              </w:tabs>
              <w:jc w:val="right"/>
              <w:rPr>
                <w:rFonts w:cs="Calibri"/>
              </w:rPr>
            </w:pPr>
          </w:p>
        </w:tc>
      </w:tr>
      <w:tr w:rsidR="00374599" w:rsidRPr="00374599" w14:paraId="038052B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50C0DB24" w14:textId="191DEE47" w:rsidR="00374599" w:rsidRPr="00374599" w:rsidRDefault="00374599" w:rsidP="00374599">
            <w:pPr>
              <w:pStyle w:val="TableReference"/>
              <w:tabs>
                <w:tab w:val="left" w:pos="3306"/>
              </w:tabs>
              <w:spacing w:before="40"/>
              <w:rPr>
                <w:rFonts w:cs="Calibri"/>
                <w:color w:val="7030A0"/>
                <w:sz w:val="14"/>
              </w:rPr>
            </w:pPr>
          </w:p>
        </w:tc>
        <w:tc>
          <w:tcPr>
            <w:tcW w:w="2951" w:type="pct"/>
            <w:gridSpan w:val="6"/>
            <w:tcBorders>
              <w:top w:val="nil"/>
              <w:left w:val="single" w:sz="2" w:space="0" w:color="auto"/>
              <w:bottom w:val="nil"/>
              <w:right w:val="nil"/>
            </w:tcBorders>
            <w:vAlign w:val="bottom"/>
          </w:tcPr>
          <w:p w14:paraId="11A3D75C" w14:textId="110172E9" w:rsidR="00374599" w:rsidRPr="00374599" w:rsidRDefault="00374599" w:rsidP="00374599">
            <w:pPr>
              <w:pStyle w:val="TableText"/>
              <w:tabs>
                <w:tab w:val="left" w:pos="3306"/>
              </w:tabs>
              <w:rPr>
                <w:rFonts w:cs="Calibri"/>
                <w:highlight w:val="cyan"/>
              </w:rPr>
            </w:pPr>
            <w:r w:rsidRPr="00374599">
              <w:rPr>
                <w:rFonts w:cs="Calibri"/>
              </w:rPr>
              <w:t>Act of Grace Payments (see below for further information about Act of Grace Payments)</w:t>
            </w:r>
          </w:p>
        </w:tc>
        <w:tc>
          <w:tcPr>
            <w:tcW w:w="738" w:type="pct"/>
            <w:gridSpan w:val="4"/>
            <w:tcBorders>
              <w:top w:val="nil"/>
              <w:left w:val="nil"/>
              <w:bottom w:val="nil"/>
              <w:right w:val="nil"/>
            </w:tcBorders>
            <w:vAlign w:val="bottom"/>
          </w:tcPr>
          <w:p w14:paraId="5589B1BF" w14:textId="5A2FC1DB"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1E74D79D" w14:textId="216C7E23" w:rsidR="00374599" w:rsidRPr="00374599" w:rsidRDefault="00374599" w:rsidP="00374599">
            <w:pPr>
              <w:pStyle w:val="TableText"/>
              <w:tabs>
                <w:tab w:val="left" w:pos="3306"/>
              </w:tabs>
              <w:jc w:val="right"/>
              <w:rPr>
                <w:rFonts w:cs="Calibri"/>
              </w:rPr>
            </w:pPr>
          </w:p>
        </w:tc>
      </w:tr>
      <w:tr w:rsidR="00374599" w:rsidRPr="00374599" w14:paraId="4539A7BE"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6CF2F90B"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101.98(b)</w:t>
            </w:r>
          </w:p>
        </w:tc>
        <w:tc>
          <w:tcPr>
            <w:tcW w:w="2951" w:type="pct"/>
            <w:gridSpan w:val="6"/>
            <w:tcBorders>
              <w:top w:val="nil"/>
              <w:left w:val="single" w:sz="2" w:space="0" w:color="auto"/>
              <w:bottom w:val="nil"/>
              <w:right w:val="nil"/>
            </w:tcBorders>
            <w:vAlign w:val="bottom"/>
          </w:tcPr>
          <w:p w14:paraId="404919C6" w14:textId="77777777" w:rsidR="00374599" w:rsidRPr="00374599" w:rsidRDefault="00374599" w:rsidP="00374599">
            <w:pPr>
              <w:pStyle w:val="TableText"/>
              <w:tabs>
                <w:tab w:val="left" w:pos="3306"/>
              </w:tabs>
              <w:rPr>
                <w:rFonts w:cs="Calibri"/>
              </w:rPr>
            </w:pPr>
            <w:r w:rsidRPr="00374599">
              <w:rPr>
                <w:rFonts w:cs="Calibri"/>
              </w:rPr>
              <w:t xml:space="preserve">Restructuring Expenses </w:t>
            </w:r>
            <w:r w:rsidRPr="00374599">
              <w:rPr>
                <w:rFonts w:cs="Calibri"/>
                <w:vertAlign w:val="superscript"/>
              </w:rPr>
              <w:t>c</w:t>
            </w:r>
          </w:p>
        </w:tc>
        <w:tc>
          <w:tcPr>
            <w:tcW w:w="738" w:type="pct"/>
            <w:gridSpan w:val="4"/>
            <w:tcBorders>
              <w:top w:val="nil"/>
              <w:left w:val="nil"/>
              <w:bottom w:val="nil"/>
              <w:right w:val="nil"/>
            </w:tcBorders>
            <w:vAlign w:val="bottom"/>
          </w:tcPr>
          <w:p w14:paraId="4F6EA7A8" w14:textId="5352B43E"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6322B2FE" w14:textId="752CD0C9" w:rsidR="00374599" w:rsidRPr="00374599" w:rsidRDefault="00374599" w:rsidP="00374599">
            <w:pPr>
              <w:pStyle w:val="TableText"/>
              <w:tabs>
                <w:tab w:val="left" w:pos="3306"/>
              </w:tabs>
              <w:jc w:val="right"/>
              <w:rPr>
                <w:rFonts w:cs="Calibri"/>
              </w:rPr>
            </w:pPr>
          </w:p>
        </w:tc>
      </w:tr>
      <w:tr w:rsidR="00374599" w:rsidRPr="00374599" w14:paraId="5DCDD96A"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4FE50C53"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138.126</w:t>
            </w:r>
          </w:p>
        </w:tc>
        <w:tc>
          <w:tcPr>
            <w:tcW w:w="2951" w:type="pct"/>
            <w:gridSpan w:val="6"/>
            <w:tcBorders>
              <w:top w:val="nil"/>
              <w:left w:val="single" w:sz="2" w:space="0" w:color="auto"/>
              <w:bottom w:val="nil"/>
              <w:right w:val="nil"/>
            </w:tcBorders>
            <w:vAlign w:val="bottom"/>
          </w:tcPr>
          <w:p w14:paraId="2116A000" w14:textId="77777777" w:rsidR="00374599" w:rsidRPr="00374599" w:rsidRDefault="00374599" w:rsidP="00374599">
            <w:pPr>
              <w:pStyle w:val="TableText"/>
              <w:tabs>
                <w:tab w:val="left" w:pos="3306"/>
              </w:tabs>
              <w:rPr>
                <w:rFonts w:cs="Calibri"/>
              </w:rPr>
            </w:pPr>
            <w:r w:rsidRPr="00374599">
              <w:rPr>
                <w:rFonts w:cs="Calibri"/>
              </w:rPr>
              <w:t>Research and Development Expense – Software</w:t>
            </w:r>
          </w:p>
        </w:tc>
        <w:tc>
          <w:tcPr>
            <w:tcW w:w="738" w:type="pct"/>
            <w:gridSpan w:val="4"/>
            <w:tcBorders>
              <w:top w:val="nil"/>
              <w:left w:val="nil"/>
              <w:bottom w:val="nil"/>
              <w:right w:val="nil"/>
            </w:tcBorders>
            <w:vAlign w:val="bottom"/>
          </w:tcPr>
          <w:p w14:paraId="7C04DD4A" w14:textId="0217AC0C"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61AA500C" w14:textId="26D986DE" w:rsidR="00374599" w:rsidRPr="00374599" w:rsidRDefault="00374599" w:rsidP="00374599">
            <w:pPr>
              <w:pStyle w:val="TableText"/>
              <w:tabs>
                <w:tab w:val="left" w:pos="3306"/>
              </w:tabs>
              <w:jc w:val="right"/>
              <w:rPr>
                <w:rFonts w:cs="Calibri"/>
              </w:rPr>
            </w:pPr>
          </w:p>
        </w:tc>
      </w:tr>
      <w:tr w:rsidR="00374599" w:rsidRPr="00374599" w14:paraId="45E9DA45"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19E5145C" w14:textId="77777777" w:rsidR="00374599" w:rsidRPr="00374599" w:rsidRDefault="00374599" w:rsidP="00374599">
            <w:pPr>
              <w:pStyle w:val="TableReference"/>
              <w:tabs>
                <w:tab w:val="left" w:pos="3306"/>
              </w:tabs>
              <w:spacing w:before="40"/>
              <w:rPr>
                <w:rFonts w:cs="Calibri"/>
                <w:color w:val="7030A0"/>
                <w:sz w:val="14"/>
              </w:rPr>
            </w:pPr>
          </w:p>
        </w:tc>
        <w:tc>
          <w:tcPr>
            <w:tcW w:w="2951" w:type="pct"/>
            <w:gridSpan w:val="6"/>
            <w:tcBorders>
              <w:top w:val="nil"/>
              <w:left w:val="single" w:sz="2" w:space="0" w:color="auto"/>
              <w:bottom w:val="nil"/>
              <w:right w:val="nil"/>
            </w:tcBorders>
            <w:vAlign w:val="bottom"/>
          </w:tcPr>
          <w:p w14:paraId="044AD07D" w14:textId="60AF0C73" w:rsidR="00374599" w:rsidRPr="00374599" w:rsidRDefault="00374599" w:rsidP="00374599">
            <w:pPr>
              <w:pStyle w:val="TableText"/>
              <w:tabs>
                <w:tab w:val="left" w:pos="3306"/>
              </w:tabs>
              <w:rPr>
                <w:rFonts w:cs="Calibri"/>
              </w:rPr>
            </w:pPr>
            <w:r w:rsidRPr="00374599">
              <w:rPr>
                <w:rFonts w:cs="Calibri"/>
              </w:rPr>
              <w:t>Losses from the Forgiveness of Liabilities</w:t>
            </w:r>
          </w:p>
        </w:tc>
        <w:tc>
          <w:tcPr>
            <w:tcW w:w="738" w:type="pct"/>
            <w:gridSpan w:val="4"/>
            <w:tcBorders>
              <w:top w:val="nil"/>
              <w:left w:val="nil"/>
              <w:bottom w:val="nil"/>
              <w:right w:val="nil"/>
            </w:tcBorders>
            <w:vAlign w:val="bottom"/>
          </w:tcPr>
          <w:p w14:paraId="452CEE54" w14:textId="77777777"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67BFD8B7" w14:textId="77777777" w:rsidR="00374599" w:rsidRPr="00374599" w:rsidRDefault="00374599" w:rsidP="00374599">
            <w:pPr>
              <w:pStyle w:val="TableText"/>
              <w:tabs>
                <w:tab w:val="left" w:pos="3306"/>
              </w:tabs>
              <w:jc w:val="right"/>
              <w:rPr>
                <w:rFonts w:cs="Calibri"/>
              </w:rPr>
            </w:pPr>
          </w:p>
        </w:tc>
      </w:tr>
      <w:tr w:rsidR="00374599" w:rsidRPr="00374599" w14:paraId="7998983F"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64A4AD61" w14:textId="6C87BDE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16.53.(i)</w:t>
            </w:r>
          </w:p>
        </w:tc>
        <w:tc>
          <w:tcPr>
            <w:tcW w:w="2951" w:type="pct"/>
            <w:gridSpan w:val="6"/>
            <w:tcBorders>
              <w:top w:val="nil"/>
              <w:left w:val="single" w:sz="2" w:space="0" w:color="auto"/>
              <w:bottom w:val="nil"/>
              <w:right w:val="nil"/>
            </w:tcBorders>
            <w:vAlign w:val="bottom"/>
          </w:tcPr>
          <w:p w14:paraId="1C9C4DEA" w14:textId="6E98693F" w:rsidR="00374599" w:rsidRPr="00374599" w:rsidRDefault="00374599" w:rsidP="00374599">
            <w:pPr>
              <w:pStyle w:val="TableText"/>
              <w:tabs>
                <w:tab w:val="left" w:pos="3306"/>
              </w:tabs>
              <w:rPr>
                <w:rFonts w:cs="Calibri"/>
              </w:rPr>
            </w:pPr>
            <w:r w:rsidRPr="00374599">
              <w:t>Losses arising from sale and leaseback of leases</w:t>
            </w:r>
          </w:p>
        </w:tc>
        <w:tc>
          <w:tcPr>
            <w:tcW w:w="738" w:type="pct"/>
            <w:gridSpan w:val="4"/>
            <w:tcBorders>
              <w:top w:val="nil"/>
              <w:left w:val="nil"/>
              <w:bottom w:val="nil"/>
              <w:right w:val="nil"/>
            </w:tcBorders>
            <w:vAlign w:val="bottom"/>
          </w:tcPr>
          <w:p w14:paraId="3365BE29" w14:textId="77777777"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nil"/>
              <w:right w:val="nil"/>
            </w:tcBorders>
            <w:vAlign w:val="bottom"/>
          </w:tcPr>
          <w:p w14:paraId="613CEE8E" w14:textId="77777777" w:rsidR="00374599" w:rsidRPr="00374599" w:rsidRDefault="00374599" w:rsidP="00374599">
            <w:pPr>
              <w:pStyle w:val="TableText"/>
              <w:tabs>
                <w:tab w:val="left" w:pos="3306"/>
              </w:tabs>
              <w:jc w:val="right"/>
              <w:rPr>
                <w:rFonts w:cs="Calibri"/>
              </w:rPr>
            </w:pPr>
          </w:p>
        </w:tc>
      </w:tr>
      <w:tr w:rsidR="00374599" w:rsidRPr="00374599" w14:paraId="7C03EC51"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3D1A976B" w14:textId="77777777" w:rsidR="00374599" w:rsidRPr="00374599" w:rsidRDefault="00374599" w:rsidP="00374599">
            <w:pPr>
              <w:pStyle w:val="TableReference"/>
              <w:tabs>
                <w:tab w:val="left" w:pos="3306"/>
              </w:tabs>
              <w:spacing w:before="40"/>
              <w:rPr>
                <w:rFonts w:cs="Calibri"/>
                <w:color w:val="7030A0"/>
                <w:sz w:val="14"/>
              </w:rPr>
            </w:pPr>
          </w:p>
        </w:tc>
        <w:tc>
          <w:tcPr>
            <w:tcW w:w="2951" w:type="pct"/>
            <w:gridSpan w:val="6"/>
            <w:tcBorders>
              <w:top w:val="nil"/>
              <w:left w:val="single" w:sz="2" w:space="0" w:color="auto"/>
              <w:bottom w:val="nil"/>
              <w:right w:val="nil"/>
            </w:tcBorders>
            <w:vAlign w:val="bottom"/>
          </w:tcPr>
          <w:p w14:paraId="402FAA87" w14:textId="77777777" w:rsidR="00374599" w:rsidRPr="00374599" w:rsidRDefault="00374599" w:rsidP="00374599">
            <w:pPr>
              <w:pStyle w:val="TableText"/>
              <w:tabs>
                <w:tab w:val="left" w:pos="3306"/>
              </w:tabs>
              <w:rPr>
                <w:rFonts w:cs="Calibri"/>
              </w:rPr>
            </w:pPr>
            <w:r w:rsidRPr="00374599">
              <w:rPr>
                <w:rFonts w:cs="Calibri"/>
              </w:rPr>
              <w:t xml:space="preserve">Other Expenses </w:t>
            </w:r>
          </w:p>
        </w:tc>
        <w:tc>
          <w:tcPr>
            <w:tcW w:w="738" w:type="pct"/>
            <w:gridSpan w:val="4"/>
            <w:tcBorders>
              <w:top w:val="nil"/>
              <w:left w:val="nil"/>
              <w:bottom w:val="single" w:sz="2" w:space="0" w:color="auto"/>
              <w:right w:val="nil"/>
            </w:tcBorders>
            <w:vAlign w:val="bottom"/>
          </w:tcPr>
          <w:p w14:paraId="7FADE1E5" w14:textId="09A6495E" w:rsidR="00374599" w:rsidRPr="00374599" w:rsidRDefault="00374599" w:rsidP="00374599">
            <w:pPr>
              <w:pStyle w:val="TableText"/>
              <w:tabs>
                <w:tab w:val="left" w:pos="3306"/>
              </w:tabs>
              <w:jc w:val="right"/>
              <w:rPr>
                <w:rFonts w:cs="Calibri"/>
              </w:rPr>
            </w:pPr>
          </w:p>
        </w:tc>
        <w:tc>
          <w:tcPr>
            <w:tcW w:w="550" w:type="pct"/>
            <w:gridSpan w:val="2"/>
            <w:tcBorders>
              <w:top w:val="nil"/>
              <w:left w:val="nil"/>
              <w:bottom w:val="single" w:sz="2" w:space="0" w:color="auto"/>
              <w:right w:val="nil"/>
            </w:tcBorders>
            <w:vAlign w:val="bottom"/>
          </w:tcPr>
          <w:p w14:paraId="4CBFFAC3" w14:textId="61300114" w:rsidR="00374599" w:rsidRPr="00374599" w:rsidRDefault="00374599" w:rsidP="00374599">
            <w:pPr>
              <w:pStyle w:val="TableText"/>
              <w:tabs>
                <w:tab w:val="left" w:pos="3306"/>
              </w:tabs>
              <w:jc w:val="right"/>
              <w:rPr>
                <w:rFonts w:cs="Calibri"/>
              </w:rPr>
            </w:pPr>
          </w:p>
        </w:tc>
      </w:tr>
      <w:tr w:rsidR="00374599" w:rsidRPr="00374599" w14:paraId="25A57113" w14:textId="77777777" w:rsidTr="005F5F76">
        <w:trPr>
          <w:gridAfter w:val="1"/>
          <w:wAfter w:w="20" w:type="pct"/>
          <w:cantSplit/>
          <w:trHeight w:val="23"/>
        </w:trPr>
        <w:tc>
          <w:tcPr>
            <w:tcW w:w="741" w:type="pct"/>
            <w:tcBorders>
              <w:top w:val="nil"/>
              <w:left w:val="single" w:sz="2" w:space="0" w:color="auto"/>
              <w:bottom w:val="nil"/>
              <w:right w:val="single" w:sz="2" w:space="0" w:color="auto"/>
            </w:tcBorders>
          </w:tcPr>
          <w:p w14:paraId="72AC4CFD" w14:textId="77777777" w:rsidR="00374599" w:rsidRPr="00374599" w:rsidRDefault="00374599" w:rsidP="00374599">
            <w:pPr>
              <w:pStyle w:val="TableReference"/>
              <w:tabs>
                <w:tab w:val="left" w:pos="3306"/>
              </w:tabs>
              <w:spacing w:before="40"/>
              <w:rPr>
                <w:rFonts w:cs="Calibri"/>
                <w:color w:val="7030A0"/>
                <w:sz w:val="14"/>
              </w:rPr>
            </w:pPr>
          </w:p>
        </w:tc>
        <w:tc>
          <w:tcPr>
            <w:tcW w:w="2951" w:type="pct"/>
            <w:gridSpan w:val="6"/>
            <w:tcBorders>
              <w:top w:val="nil"/>
              <w:left w:val="single" w:sz="2" w:space="0" w:color="auto"/>
              <w:bottom w:val="nil"/>
              <w:right w:val="nil"/>
            </w:tcBorders>
            <w:vAlign w:val="bottom"/>
          </w:tcPr>
          <w:p w14:paraId="571287E9" w14:textId="77777777" w:rsidR="00374599" w:rsidRPr="00374599" w:rsidRDefault="00374599" w:rsidP="00374599">
            <w:pPr>
              <w:pStyle w:val="TableText"/>
              <w:tabs>
                <w:tab w:val="left" w:pos="3306"/>
              </w:tabs>
              <w:rPr>
                <w:rFonts w:cs="Calibri"/>
                <w:b/>
                <w:bCs/>
              </w:rPr>
            </w:pPr>
            <w:bookmarkStart w:id="536" w:name="_Toc48468476"/>
            <w:bookmarkStart w:id="537" w:name="_Toc49155593"/>
            <w:bookmarkStart w:id="538" w:name="_Toc49224043"/>
            <w:r w:rsidRPr="00374599">
              <w:rPr>
                <w:rFonts w:cs="Calibri"/>
                <w:b/>
                <w:bCs/>
              </w:rPr>
              <w:t>Total Other Expenses</w:t>
            </w:r>
            <w:bookmarkEnd w:id="536"/>
            <w:bookmarkEnd w:id="537"/>
            <w:bookmarkEnd w:id="538"/>
            <w:r w:rsidRPr="00374599">
              <w:rPr>
                <w:rFonts w:cs="Calibri"/>
                <w:b/>
                <w:bCs/>
              </w:rPr>
              <w:t xml:space="preserve"> </w:t>
            </w:r>
          </w:p>
        </w:tc>
        <w:tc>
          <w:tcPr>
            <w:tcW w:w="738" w:type="pct"/>
            <w:gridSpan w:val="4"/>
            <w:tcBorders>
              <w:top w:val="single" w:sz="2" w:space="0" w:color="auto"/>
              <w:left w:val="nil"/>
              <w:bottom w:val="double" w:sz="4" w:space="0" w:color="auto"/>
              <w:right w:val="nil"/>
            </w:tcBorders>
            <w:vAlign w:val="bottom"/>
          </w:tcPr>
          <w:p w14:paraId="7CF4D52D" w14:textId="3C8EBD45" w:rsidR="00374599" w:rsidRPr="00374599" w:rsidRDefault="00374599" w:rsidP="00374599">
            <w:pPr>
              <w:pStyle w:val="TableText"/>
              <w:tabs>
                <w:tab w:val="left" w:pos="3306"/>
              </w:tabs>
              <w:jc w:val="right"/>
              <w:rPr>
                <w:rFonts w:cs="Calibri"/>
                <w:b/>
                <w:bCs/>
                <w:strike/>
              </w:rPr>
            </w:pPr>
          </w:p>
        </w:tc>
        <w:tc>
          <w:tcPr>
            <w:tcW w:w="550" w:type="pct"/>
            <w:gridSpan w:val="2"/>
            <w:tcBorders>
              <w:top w:val="single" w:sz="2" w:space="0" w:color="auto"/>
              <w:left w:val="nil"/>
              <w:bottom w:val="double" w:sz="4" w:space="0" w:color="auto"/>
              <w:right w:val="nil"/>
            </w:tcBorders>
            <w:vAlign w:val="bottom"/>
          </w:tcPr>
          <w:p w14:paraId="57A30FE4" w14:textId="4B59513F" w:rsidR="00374599" w:rsidRPr="00374599" w:rsidRDefault="00374599" w:rsidP="00374599">
            <w:pPr>
              <w:pStyle w:val="TableText"/>
              <w:tabs>
                <w:tab w:val="left" w:pos="3306"/>
              </w:tabs>
              <w:jc w:val="right"/>
              <w:rPr>
                <w:rFonts w:cs="Calibri"/>
                <w:b/>
                <w:bCs/>
              </w:rPr>
            </w:pPr>
          </w:p>
        </w:tc>
      </w:tr>
      <w:tr w:rsidR="00374599" w:rsidRPr="00374599" w14:paraId="5B9B9818" w14:textId="77777777" w:rsidTr="005F5F76">
        <w:trPr>
          <w:gridAfter w:val="1"/>
          <w:wAfter w:w="20" w:type="pct"/>
          <w:cantSplit/>
          <w:trHeight w:val="166"/>
        </w:trPr>
        <w:tc>
          <w:tcPr>
            <w:tcW w:w="741" w:type="pct"/>
            <w:tcBorders>
              <w:top w:val="nil"/>
              <w:left w:val="single" w:sz="2" w:space="0" w:color="auto"/>
              <w:bottom w:val="nil"/>
              <w:right w:val="single" w:sz="2" w:space="0" w:color="auto"/>
            </w:tcBorders>
          </w:tcPr>
          <w:p w14:paraId="56EFB82C" w14:textId="77777777" w:rsidR="00374599" w:rsidRPr="00374599" w:rsidRDefault="00374599" w:rsidP="00374599">
            <w:pPr>
              <w:pStyle w:val="TableReference"/>
              <w:tabs>
                <w:tab w:val="left" w:pos="3306"/>
              </w:tabs>
              <w:spacing w:before="40"/>
              <w:rPr>
                <w:rFonts w:cs="Calibri"/>
                <w:color w:val="7030A0"/>
                <w:sz w:val="14"/>
              </w:rPr>
            </w:pPr>
          </w:p>
        </w:tc>
        <w:tc>
          <w:tcPr>
            <w:tcW w:w="4239" w:type="pct"/>
            <w:gridSpan w:val="12"/>
            <w:tcBorders>
              <w:top w:val="nil"/>
              <w:left w:val="single" w:sz="2" w:space="0" w:color="auto"/>
              <w:bottom w:val="nil"/>
              <w:right w:val="nil"/>
            </w:tcBorders>
            <w:vAlign w:val="bottom"/>
          </w:tcPr>
          <w:p w14:paraId="45795AC2" w14:textId="77777777" w:rsidR="00374599" w:rsidRPr="00374599" w:rsidRDefault="00374599" w:rsidP="00374599">
            <w:pPr>
              <w:pStyle w:val="TableText"/>
              <w:tabs>
                <w:tab w:val="left" w:pos="3306"/>
              </w:tabs>
              <w:jc w:val="right"/>
              <w:rPr>
                <w:rFonts w:cs="Calibri"/>
              </w:rPr>
            </w:pPr>
          </w:p>
        </w:tc>
      </w:tr>
      <w:tr w:rsidR="00374599" w:rsidRPr="00CF7E1B" w14:paraId="5133BC67" w14:textId="77777777" w:rsidTr="005F5F76">
        <w:trPr>
          <w:cantSplit/>
          <w:trHeight w:val="23"/>
        </w:trPr>
        <w:tc>
          <w:tcPr>
            <w:tcW w:w="741" w:type="pct"/>
            <w:tcBorders>
              <w:top w:val="nil"/>
              <w:left w:val="single" w:sz="2" w:space="0" w:color="auto"/>
              <w:bottom w:val="nil"/>
              <w:right w:val="single" w:sz="2" w:space="0" w:color="auto"/>
            </w:tcBorders>
          </w:tcPr>
          <w:p w14:paraId="79A0618E" w14:textId="77777777" w:rsidR="00374599" w:rsidRPr="00374599" w:rsidRDefault="00374599" w:rsidP="00374599">
            <w:pPr>
              <w:pStyle w:val="TableReference"/>
              <w:tabs>
                <w:tab w:val="left" w:pos="3306"/>
              </w:tabs>
              <w:spacing w:before="40"/>
              <w:rPr>
                <w:rFonts w:cs="Calibri"/>
                <w:color w:val="7030A0"/>
                <w:sz w:val="14"/>
              </w:rPr>
            </w:pPr>
          </w:p>
        </w:tc>
        <w:tc>
          <w:tcPr>
            <w:tcW w:w="4259" w:type="pct"/>
            <w:gridSpan w:val="13"/>
            <w:tcBorders>
              <w:top w:val="nil"/>
              <w:left w:val="single" w:sz="2" w:space="0" w:color="auto"/>
              <w:bottom w:val="nil"/>
              <w:right w:val="nil"/>
            </w:tcBorders>
            <w:vAlign w:val="bottom"/>
          </w:tcPr>
          <w:p w14:paraId="18CB7AD3" w14:textId="3A159679" w:rsidR="00374599" w:rsidRPr="00374599" w:rsidRDefault="00374599" w:rsidP="00374599">
            <w:pPr>
              <w:pStyle w:val="TableText"/>
              <w:tabs>
                <w:tab w:val="left" w:pos="3306"/>
              </w:tabs>
              <w:spacing w:before="0" w:after="120"/>
              <w:ind w:left="179" w:hanging="179"/>
              <w:jc w:val="both"/>
              <w:rPr>
                <w:rFonts w:cs="Calibri"/>
              </w:rPr>
            </w:pPr>
            <w:r w:rsidRPr="00374599">
              <w:rPr>
                <w:rFonts w:cs="Calibri"/>
              </w:rPr>
              <w:t xml:space="preserve">a) The increase in Losses from Donated Assets of $xxx is due to three </w:t>
            </w:r>
            <w:r w:rsidRPr="007046D8">
              <w:rPr>
                <w:rFonts w:cs="Calibri"/>
                <w:strike/>
                <w:color w:val="FF0000"/>
              </w:rPr>
              <w:t>community and</w:t>
            </w:r>
            <w:r w:rsidRPr="007046D8">
              <w:rPr>
                <w:rFonts w:cs="Calibri"/>
                <w:color w:val="FF0000"/>
              </w:rPr>
              <w:t xml:space="preserve"> </w:t>
            </w:r>
            <w:r w:rsidRPr="00374599">
              <w:rPr>
                <w:rFonts w:cs="Calibri"/>
              </w:rPr>
              <w:t xml:space="preserve">heritage </w:t>
            </w:r>
            <w:r w:rsidR="007046D8" w:rsidRPr="005408A6">
              <w:rPr>
                <w:rFonts w:cs="Calibri"/>
                <w:color w:val="FF0000"/>
              </w:rPr>
              <w:t xml:space="preserve">and community </w:t>
            </w:r>
            <w:r w:rsidRPr="00374599">
              <w:rPr>
                <w:rFonts w:cs="Calibri"/>
              </w:rPr>
              <w:t xml:space="preserve">assets being donated to a Community Organisation. </w:t>
            </w:r>
          </w:p>
        </w:tc>
      </w:tr>
      <w:tr w:rsidR="00374599" w:rsidRPr="00CF7E1B" w14:paraId="4431B9F1" w14:textId="77777777" w:rsidTr="005F5F76">
        <w:trPr>
          <w:cantSplit/>
          <w:trHeight w:val="23"/>
        </w:trPr>
        <w:tc>
          <w:tcPr>
            <w:tcW w:w="741" w:type="pct"/>
            <w:tcBorders>
              <w:top w:val="nil"/>
              <w:left w:val="single" w:sz="2" w:space="0" w:color="auto"/>
              <w:bottom w:val="nil"/>
              <w:right w:val="single" w:sz="2" w:space="0" w:color="auto"/>
            </w:tcBorders>
          </w:tcPr>
          <w:p w14:paraId="48CFADC2" w14:textId="77777777" w:rsidR="00374599" w:rsidRPr="00374599" w:rsidRDefault="00374599" w:rsidP="00374599">
            <w:pPr>
              <w:pStyle w:val="TableReference"/>
              <w:tabs>
                <w:tab w:val="left" w:pos="3306"/>
              </w:tabs>
              <w:spacing w:before="40"/>
              <w:rPr>
                <w:rFonts w:cs="Calibri"/>
                <w:color w:val="7030A0"/>
                <w:sz w:val="14"/>
              </w:rPr>
            </w:pPr>
          </w:p>
        </w:tc>
        <w:tc>
          <w:tcPr>
            <w:tcW w:w="4259" w:type="pct"/>
            <w:gridSpan w:val="13"/>
            <w:tcBorders>
              <w:top w:val="nil"/>
              <w:left w:val="single" w:sz="2" w:space="0" w:color="auto"/>
              <w:bottom w:val="nil"/>
              <w:right w:val="nil"/>
            </w:tcBorders>
            <w:vAlign w:val="bottom"/>
          </w:tcPr>
          <w:p w14:paraId="6249CC5B" w14:textId="3DAF96D5" w:rsidR="00374599" w:rsidRPr="00374599" w:rsidRDefault="00374599" w:rsidP="00374599">
            <w:pPr>
              <w:pStyle w:val="TableText"/>
              <w:tabs>
                <w:tab w:val="left" w:pos="3306"/>
              </w:tabs>
              <w:spacing w:before="0" w:after="120"/>
              <w:ind w:left="179" w:hanging="179"/>
              <w:jc w:val="both"/>
              <w:rPr>
                <w:rFonts w:cs="Calibri"/>
              </w:rPr>
            </w:pPr>
            <w:r w:rsidRPr="00374599">
              <w:rPr>
                <w:rFonts w:cs="Calibri"/>
              </w:rPr>
              <w:t>b) The increase in the Restoration of Contaminated Sites Expense of $xxx is due to the costs associated in cleaning up the Landfill site resulting from the leakage of waste material.</w:t>
            </w:r>
            <w:r w:rsidR="00FA7C77">
              <w:rPr>
                <w:rFonts w:cs="Calibri"/>
              </w:rPr>
              <w:t xml:space="preserve"> </w:t>
            </w:r>
          </w:p>
        </w:tc>
      </w:tr>
      <w:tr w:rsidR="00374599" w:rsidRPr="00CF7E1B" w14:paraId="66A11183" w14:textId="77777777" w:rsidTr="005F5F76">
        <w:trPr>
          <w:cantSplit/>
          <w:trHeight w:val="23"/>
        </w:trPr>
        <w:tc>
          <w:tcPr>
            <w:tcW w:w="741" w:type="pct"/>
            <w:tcBorders>
              <w:top w:val="nil"/>
              <w:left w:val="single" w:sz="2" w:space="0" w:color="auto"/>
              <w:bottom w:val="nil"/>
              <w:right w:val="single" w:sz="2" w:space="0" w:color="auto"/>
            </w:tcBorders>
          </w:tcPr>
          <w:p w14:paraId="42B72832" w14:textId="77777777" w:rsidR="00374599" w:rsidRPr="00374599" w:rsidRDefault="00374599" w:rsidP="00374599">
            <w:pPr>
              <w:pStyle w:val="TableReference"/>
              <w:tabs>
                <w:tab w:val="left" w:pos="3306"/>
              </w:tabs>
              <w:spacing w:before="40"/>
              <w:rPr>
                <w:rFonts w:cs="Calibri"/>
                <w:color w:val="7030A0"/>
                <w:sz w:val="14"/>
              </w:rPr>
            </w:pPr>
          </w:p>
        </w:tc>
        <w:tc>
          <w:tcPr>
            <w:tcW w:w="4259" w:type="pct"/>
            <w:gridSpan w:val="13"/>
            <w:tcBorders>
              <w:top w:val="nil"/>
              <w:left w:val="single" w:sz="2" w:space="0" w:color="auto"/>
              <w:bottom w:val="nil"/>
              <w:right w:val="nil"/>
            </w:tcBorders>
            <w:vAlign w:val="bottom"/>
          </w:tcPr>
          <w:p w14:paraId="078DD13F" w14:textId="1A7689EA" w:rsidR="00374599" w:rsidRPr="00374599" w:rsidRDefault="00374599" w:rsidP="00374599">
            <w:pPr>
              <w:pStyle w:val="TableText"/>
              <w:tabs>
                <w:tab w:val="left" w:pos="3306"/>
              </w:tabs>
              <w:spacing w:before="0" w:after="120"/>
              <w:ind w:left="193" w:hanging="193"/>
              <w:jc w:val="both"/>
              <w:rPr>
                <w:rFonts w:cs="Calibri"/>
              </w:rPr>
            </w:pPr>
            <w:r w:rsidRPr="00374599">
              <w:rPr>
                <w:rFonts w:cs="Calibri"/>
              </w:rPr>
              <w:t>c) The increase in Restructure Expenses of $xxx relates to consultants reports and the cost of dismantling and disposing of plant and equipment.</w:t>
            </w:r>
            <w:r w:rsidR="00FA7C77">
              <w:rPr>
                <w:rFonts w:cs="Calibri"/>
              </w:rPr>
              <w:t xml:space="preserve"> </w:t>
            </w:r>
            <w:r w:rsidRPr="00374599">
              <w:rPr>
                <w:rFonts w:cs="Calibri"/>
              </w:rPr>
              <w:t>This expense was not incurred in the previous reporting period.</w:t>
            </w:r>
          </w:p>
        </w:tc>
      </w:tr>
      <w:tr w:rsidR="00374599" w:rsidRPr="00CF7E1B" w14:paraId="17E52B78" w14:textId="77777777" w:rsidTr="005F5F76">
        <w:trPr>
          <w:cantSplit/>
          <w:trHeight w:val="75"/>
        </w:trPr>
        <w:tc>
          <w:tcPr>
            <w:tcW w:w="741" w:type="pct"/>
            <w:tcBorders>
              <w:top w:val="nil"/>
              <w:left w:val="single" w:sz="2" w:space="0" w:color="auto"/>
              <w:bottom w:val="nil"/>
              <w:right w:val="single" w:sz="2" w:space="0" w:color="auto"/>
            </w:tcBorders>
          </w:tcPr>
          <w:p w14:paraId="17AA1E09" w14:textId="77777777" w:rsidR="00374599" w:rsidRPr="00374599" w:rsidRDefault="00374599" w:rsidP="00374599">
            <w:pPr>
              <w:pStyle w:val="TableReference"/>
              <w:tabs>
                <w:tab w:val="left" w:pos="3306"/>
              </w:tabs>
              <w:spacing w:before="60"/>
              <w:rPr>
                <w:rFonts w:cs="Calibri"/>
                <w:color w:val="7030A0"/>
                <w:sz w:val="14"/>
              </w:rPr>
            </w:pPr>
          </w:p>
        </w:tc>
        <w:tc>
          <w:tcPr>
            <w:tcW w:w="4259" w:type="pct"/>
            <w:gridSpan w:val="13"/>
            <w:tcBorders>
              <w:top w:val="nil"/>
              <w:left w:val="single" w:sz="2" w:space="0" w:color="auto"/>
              <w:bottom w:val="nil"/>
              <w:right w:val="nil"/>
            </w:tcBorders>
          </w:tcPr>
          <w:p w14:paraId="744F0E51" w14:textId="3D64D7DC" w:rsidR="00374599" w:rsidRPr="00374599" w:rsidRDefault="00374599" w:rsidP="00374599">
            <w:pPr>
              <w:pStyle w:val="TableText"/>
              <w:tabs>
                <w:tab w:val="left" w:pos="3306"/>
              </w:tabs>
              <w:spacing w:before="0"/>
              <w:jc w:val="both"/>
              <w:rPr>
                <w:rFonts w:cs="Calibri"/>
                <w:b/>
                <w:bCs/>
                <w:szCs w:val="20"/>
              </w:rPr>
            </w:pPr>
          </w:p>
        </w:tc>
      </w:tr>
      <w:tr w:rsidR="00374599" w:rsidRPr="00CF7E1B" w14:paraId="271149F1" w14:textId="77777777" w:rsidTr="005F5F76">
        <w:trPr>
          <w:cantSplit/>
          <w:trHeight w:val="75"/>
        </w:trPr>
        <w:tc>
          <w:tcPr>
            <w:tcW w:w="741" w:type="pct"/>
            <w:tcBorders>
              <w:top w:val="nil"/>
              <w:left w:val="single" w:sz="2" w:space="0" w:color="auto"/>
              <w:bottom w:val="nil"/>
              <w:right w:val="single" w:sz="2" w:space="0" w:color="auto"/>
            </w:tcBorders>
          </w:tcPr>
          <w:p w14:paraId="210A5049"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23B6C754" w14:textId="77777777" w:rsidR="00374599" w:rsidRPr="00374599" w:rsidRDefault="00374599" w:rsidP="00374599">
            <w:pPr>
              <w:pStyle w:val="TableText"/>
              <w:tabs>
                <w:tab w:val="left" w:pos="3306"/>
              </w:tabs>
              <w:spacing w:before="0"/>
              <w:ind w:left="193" w:hanging="193"/>
              <w:jc w:val="both"/>
              <w:rPr>
                <w:rFonts w:cs="Calibri"/>
                <w:b/>
                <w:bCs/>
              </w:rPr>
            </w:pPr>
          </w:p>
        </w:tc>
        <w:tc>
          <w:tcPr>
            <w:tcW w:w="335" w:type="pct"/>
            <w:tcBorders>
              <w:top w:val="nil"/>
              <w:left w:val="nil"/>
              <w:bottom w:val="nil"/>
              <w:right w:val="nil"/>
            </w:tcBorders>
            <w:vAlign w:val="bottom"/>
          </w:tcPr>
          <w:p w14:paraId="3609ADF2" w14:textId="01C83ECD"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No.</w:t>
            </w:r>
          </w:p>
        </w:tc>
        <w:tc>
          <w:tcPr>
            <w:tcW w:w="603" w:type="pct"/>
            <w:gridSpan w:val="5"/>
            <w:tcBorders>
              <w:top w:val="nil"/>
              <w:left w:val="nil"/>
              <w:bottom w:val="nil"/>
              <w:right w:val="nil"/>
            </w:tcBorders>
            <w:vAlign w:val="bottom"/>
          </w:tcPr>
          <w:p w14:paraId="2C62DAE2" w14:textId="563E68FD"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202</w:t>
            </w:r>
            <w:r w:rsidR="00F305E9">
              <w:rPr>
                <w:rFonts w:cs="Calibri"/>
                <w:b/>
                <w:bCs/>
              </w:rPr>
              <w:t>3</w:t>
            </w:r>
            <w:r w:rsidR="00FA7C77">
              <w:rPr>
                <w:rFonts w:cs="Calibri"/>
                <w:b/>
                <w:bCs/>
              </w:rPr>
              <w:t xml:space="preserve"> </w:t>
            </w:r>
            <w:r w:rsidR="00676AA9">
              <w:rPr>
                <w:rFonts w:cs="Calibri"/>
                <w:b/>
                <w:bCs/>
              </w:rPr>
              <w:t xml:space="preserve">   </w:t>
            </w:r>
            <w:r w:rsidR="00FA7C77">
              <w:rPr>
                <w:rFonts w:cs="Calibri"/>
                <w:b/>
                <w:bCs/>
              </w:rPr>
              <w:t xml:space="preserve">  </w:t>
            </w:r>
            <w:r w:rsidRPr="00374599">
              <w:rPr>
                <w:rFonts w:cs="Calibri"/>
                <w:b/>
                <w:bCs/>
              </w:rPr>
              <w:t xml:space="preserve"> $’000</w:t>
            </w:r>
          </w:p>
        </w:tc>
        <w:tc>
          <w:tcPr>
            <w:tcW w:w="540" w:type="pct"/>
            <w:gridSpan w:val="3"/>
            <w:tcBorders>
              <w:top w:val="nil"/>
              <w:left w:val="nil"/>
              <w:bottom w:val="nil"/>
              <w:right w:val="nil"/>
            </w:tcBorders>
            <w:vAlign w:val="bottom"/>
          </w:tcPr>
          <w:p w14:paraId="6773CBE4" w14:textId="6B6756F9"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No.</w:t>
            </w:r>
          </w:p>
        </w:tc>
        <w:tc>
          <w:tcPr>
            <w:tcW w:w="570" w:type="pct"/>
            <w:gridSpan w:val="3"/>
            <w:tcBorders>
              <w:top w:val="nil"/>
              <w:left w:val="nil"/>
              <w:bottom w:val="nil"/>
              <w:right w:val="nil"/>
            </w:tcBorders>
            <w:vAlign w:val="bottom"/>
          </w:tcPr>
          <w:p w14:paraId="76808178" w14:textId="6B02EC00" w:rsidR="00374599" w:rsidRPr="00374599" w:rsidRDefault="00374599" w:rsidP="00374599">
            <w:pPr>
              <w:pStyle w:val="TableTitle"/>
              <w:tabs>
                <w:tab w:val="left" w:pos="3306"/>
              </w:tabs>
              <w:rPr>
                <w:rFonts w:cs="Calibri"/>
              </w:rPr>
            </w:pPr>
            <w:r w:rsidRPr="00374599">
              <w:rPr>
                <w:rFonts w:cs="Calibri"/>
              </w:rPr>
              <w:t>202</w:t>
            </w:r>
            <w:r w:rsidR="00F305E9">
              <w:rPr>
                <w:rFonts w:cs="Calibri"/>
              </w:rPr>
              <w:t>2</w:t>
            </w:r>
          </w:p>
          <w:p w14:paraId="6061E815" w14:textId="3AF3D1E7"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$’000</w:t>
            </w:r>
          </w:p>
        </w:tc>
      </w:tr>
      <w:tr w:rsidR="00374599" w:rsidRPr="00CF7E1B" w14:paraId="7E511CEC" w14:textId="77777777" w:rsidTr="005F5F76">
        <w:trPr>
          <w:cantSplit/>
          <w:trHeight w:val="75"/>
        </w:trPr>
        <w:tc>
          <w:tcPr>
            <w:tcW w:w="741" w:type="pct"/>
            <w:tcBorders>
              <w:top w:val="nil"/>
              <w:left w:val="single" w:sz="2" w:space="0" w:color="auto"/>
              <w:bottom w:val="nil"/>
              <w:right w:val="single" w:sz="2" w:space="0" w:color="auto"/>
            </w:tcBorders>
          </w:tcPr>
          <w:p w14:paraId="5C843EF3"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86FDF9F" w14:textId="7A8127B9" w:rsidR="00374599" w:rsidRPr="00374599" w:rsidRDefault="00374599" w:rsidP="00374599">
            <w:pPr>
              <w:pStyle w:val="TableText"/>
              <w:tabs>
                <w:tab w:val="left" w:pos="3306"/>
              </w:tabs>
              <w:spacing w:before="0"/>
              <w:ind w:left="193" w:hanging="193"/>
              <w:jc w:val="both"/>
              <w:rPr>
                <w:rFonts w:cs="Calibri"/>
                <w:b/>
                <w:bCs/>
              </w:rPr>
            </w:pPr>
            <w:r w:rsidRPr="00374599">
              <w:rPr>
                <w:rFonts w:cs="Calibri"/>
                <w:b/>
                <w:bCs/>
                <w:szCs w:val="20"/>
              </w:rPr>
              <w:t xml:space="preserve">Breakdown of </w:t>
            </w:r>
            <w:r w:rsidRPr="00374599">
              <w:rPr>
                <w:rFonts w:cs="Calibri"/>
                <w:b/>
                <w:bCs/>
              </w:rPr>
              <w:t>Waivers</w:t>
            </w:r>
          </w:p>
        </w:tc>
        <w:tc>
          <w:tcPr>
            <w:tcW w:w="335" w:type="pct"/>
            <w:tcBorders>
              <w:top w:val="nil"/>
              <w:left w:val="nil"/>
              <w:bottom w:val="nil"/>
              <w:right w:val="nil"/>
            </w:tcBorders>
            <w:vAlign w:val="bottom"/>
          </w:tcPr>
          <w:p w14:paraId="56E2AD74"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51251B0C"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178B8862"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5EFBD617"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8A65C32" w14:textId="77777777" w:rsidTr="005F5F76">
        <w:trPr>
          <w:cantSplit/>
          <w:trHeight w:val="75"/>
        </w:trPr>
        <w:tc>
          <w:tcPr>
            <w:tcW w:w="741" w:type="pct"/>
            <w:tcBorders>
              <w:top w:val="nil"/>
              <w:left w:val="single" w:sz="2" w:space="0" w:color="auto"/>
              <w:bottom w:val="nil"/>
              <w:right w:val="single" w:sz="2" w:space="0" w:color="auto"/>
            </w:tcBorders>
          </w:tcPr>
          <w:p w14:paraId="23813663" w14:textId="23E34F0B"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2F1047D0" w14:textId="3B0918AF" w:rsidR="00374599" w:rsidRPr="00374599" w:rsidRDefault="00374599" w:rsidP="00374599">
            <w:pPr>
              <w:pStyle w:val="TableText"/>
              <w:tabs>
                <w:tab w:val="left" w:pos="3306"/>
              </w:tabs>
              <w:spacing w:before="0"/>
              <w:ind w:left="193" w:hanging="193"/>
              <w:jc w:val="both"/>
              <w:rPr>
                <w:rFonts w:cs="Calibri"/>
              </w:rPr>
            </w:pPr>
            <w:r w:rsidRPr="00374599">
              <w:rPr>
                <w:rFonts w:cs="Calibri"/>
              </w:rPr>
              <w:t>Stimulus Waivers</w:t>
            </w:r>
          </w:p>
        </w:tc>
        <w:tc>
          <w:tcPr>
            <w:tcW w:w="335" w:type="pct"/>
            <w:tcBorders>
              <w:top w:val="nil"/>
              <w:left w:val="nil"/>
              <w:bottom w:val="nil"/>
              <w:right w:val="nil"/>
            </w:tcBorders>
            <w:vAlign w:val="bottom"/>
          </w:tcPr>
          <w:p w14:paraId="1E9FB3DB"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6FC3A25C"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3F38A067"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7A6E685B"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460240BF" w14:textId="77777777" w:rsidTr="005F5F76">
        <w:trPr>
          <w:cantSplit/>
          <w:trHeight w:val="75"/>
        </w:trPr>
        <w:tc>
          <w:tcPr>
            <w:tcW w:w="741" w:type="pct"/>
            <w:tcBorders>
              <w:top w:val="nil"/>
              <w:left w:val="single" w:sz="2" w:space="0" w:color="auto"/>
              <w:bottom w:val="nil"/>
              <w:right w:val="single" w:sz="2" w:space="0" w:color="auto"/>
            </w:tcBorders>
          </w:tcPr>
          <w:p w14:paraId="5513539E" w14:textId="5E74EBC9"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 xml:space="preserve">FMA sec 131(3) </w:t>
            </w:r>
          </w:p>
        </w:tc>
        <w:tc>
          <w:tcPr>
            <w:tcW w:w="2211" w:type="pct"/>
            <w:tcBorders>
              <w:top w:val="nil"/>
              <w:left w:val="single" w:sz="2" w:space="0" w:color="auto"/>
              <w:bottom w:val="nil"/>
              <w:right w:val="nil"/>
            </w:tcBorders>
            <w:vAlign w:val="bottom"/>
          </w:tcPr>
          <w:p w14:paraId="617BB7C0" w14:textId="183208BB" w:rsidR="00374599" w:rsidRPr="00374599" w:rsidRDefault="00374599" w:rsidP="00374599">
            <w:pPr>
              <w:pStyle w:val="TableText"/>
              <w:tabs>
                <w:tab w:val="left" w:pos="3306"/>
              </w:tabs>
              <w:spacing w:before="0"/>
              <w:ind w:left="193" w:hanging="193"/>
              <w:jc w:val="both"/>
              <w:rPr>
                <w:rFonts w:cs="Calibri"/>
              </w:rPr>
            </w:pPr>
            <w:r w:rsidRPr="00374599">
              <w:rPr>
                <w:rFonts w:cs="Calibri"/>
              </w:rPr>
              <w:t>Loan Waivers</w:t>
            </w:r>
          </w:p>
        </w:tc>
        <w:tc>
          <w:tcPr>
            <w:tcW w:w="335" w:type="pct"/>
            <w:tcBorders>
              <w:top w:val="nil"/>
              <w:left w:val="nil"/>
              <w:bottom w:val="nil"/>
              <w:right w:val="nil"/>
            </w:tcBorders>
            <w:vAlign w:val="bottom"/>
          </w:tcPr>
          <w:p w14:paraId="62453B68"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1504EBE3"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78DA148A"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6152F15C"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2DAF9011" w14:textId="77777777" w:rsidTr="005F5F76">
        <w:trPr>
          <w:cantSplit/>
          <w:trHeight w:val="75"/>
        </w:trPr>
        <w:tc>
          <w:tcPr>
            <w:tcW w:w="741" w:type="pct"/>
            <w:tcBorders>
              <w:top w:val="nil"/>
              <w:left w:val="single" w:sz="2" w:space="0" w:color="auto"/>
              <w:bottom w:val="nil"/>
              <w:right w:val="single" w:sz="2" w:space="0" w:color="auto"/>
            </w:tcBorders>
          </w:tcPr>
          <w:p w14:paraId="61CF1CFC" w14:textId="46866160"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6197E1E3" w14:textId="76AA7A47" w:rsidR="00374599" w:rsidRPr="00374599" w:rsidRDefault="00374599" w:rsidP="00374599">
            <w:pPr>
              <w:pStyle w:val="TableText"/>
              <w:tabs>
                <w:tab w:val="left" w:pos="3306"/>
              </w:tabs>
              <w:spacing w:before="0"/>
              <w:ind w:left="193" w:hanging="193"/>
              <w:jc w:val="both"/>
              <w:rPr>
                <w:rFonts w:cs="Calibri"/>
              </w:rPr>
            </w:pPr>
            <w:r w:rsidRPr="00374599">
              <w:rPr>
                <w:rFonts w:cs="Calibri"/>
              </w:rPr>
              <w:t>Other Waivers</w:t>
            </w:r>
          </w:p>
        </w:tc>
        <w:tc>
          <w:tcPr>
            <w:tcW w:w="335" w:type="pct"/>
            <w:tcBorders>
              <w:top w:val="nil"/>
              <w:left w:val="nil"/>
              <w:bottom w:val="single" w:sz="4" w:space="0" w:color="auto"/>
              <w:right w:val="nil"/>
            </w:tcBorders>
            <w:vAlign w:val="bottom"/>
          </w:tcPr>
          <w:p w14:paraId="1AC1A25A"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single" w:sz="4" w:space="0" w:color="auto"/>
              <w:right w:val="nil"/>
            </w:tcBorders>
            <w:vAlign w:val="bottom"/>
          </w:tcPr>
          <w:p w14:paraId="117E04DB"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single" w:sz="4" w:space="0" w:color="auto"/>
              <w:right w:val="nil"/>
            </w:tcBorders>
            <w:vAlign w:val="bottom"/>
          </w:tcPr>
          <w:p w14:paraId="2A8CF4D7"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single" w:sz="4" w:space="0" w:color="auto"/>
              <w:right w:val="nil"/>
            </w:tcBorders>
            <w:vAlign w:val="bottom"/>
          </w:tcPr>
          <w:p w14:paraId="7C99A72E"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56F57985" w14:textId="77777777" w:rsidTr="005F5F76">
        <w:trPr>
          <w:cantSplit/>
          <w:trHeight w:val="75"/>
        </w:trPr>
        <w:tc>
          <w:tcPr>
            <w:tcW w:w="741" w:type="pct"/>
            <w:tcBorders>
              <w:top w:val="nil"/>
              <w:left w:val="single" w:sz="2" w:space="0" w:color="auto"/>
              <w:bottom w:val="nil"/>
              <w:right w:val="single" w:sz="2" w:space="0" w:color="auto"/>
            </w:tcBorders>
          </w:tcPr>
          <w:p w14:paraId="13265DDB"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1EB45CB" w14:textId="546B2D38" w:rsidR="00374599" w:rsidRPr="00374599" w:rsidRDefault="00374599" w:rsidP="00374599">
            <w:pPr>
              <w:pStyle w:val="TableText"/>
              <w:tabs>
                <w:tab w:val="left" w:pos="3306"/>
              </w:tabs>
              <w:spacing w:before="0"/>
              <w:ind w:left="193" w:hanging="193"/>
              <w:jc w:val="both"/>
              <w:rPr>
                <w:rFonts w:cs="Calibri"/>
              </w:rPr>
            </w:pPr>
            <w:r w:rsidRPr="00374599">
              <w:rPr>
                <w:rFonts w:cs="Calibri"/>
                <w:b/>
                <w:bCs/>
              </w:rPr>
              <w:t>Total Waivers</w:t>
            </w:r>
          </w:p>
        </w:tc>
        <w:tc>
          <w:tcPr>
            <w:tcW w:w="335" w:type="pct"/>
            <w:tcBorders>
              <w:top w:val="single" w:sz="4" w:space="0" w:color="auto"/>
              <w:left w:val="nil"/>
              <w:bottom w:val="double" w:sz="4" w:space="0" w:color="auto"/>
              <w:right w:val="nil"/>
            </w:tcBorders>
            <w:vAlign w:val="bottom"/>
          </w:tcPr>
          <w:p w14:paraId="79E14F2A"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single" w:sz="4" w:space="0" w:color="auto"/>
              <w:left w:val="nil"/>
              <w:bottom w:val="double" w:sz="4" w:space="0" w:color="auto"/>
              <w:right w:val="nil"/>
            </w:tcBorders>
            <w:vAlign w:val="bottom"/>
          </w:tcPr>
          <w:p w14:paraId="53A6F6F7"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single" w:sz="4" w:space="0" w:color="auto"/>
              <w:left w:val="nil"/>
              <w:bottom w:val="double" w:sz="4" w:space="0" w:color="auto"/>
              <w:right w:val="nil"/>
            </w:tcBorders>
            <w:vAlign w:val="bottom"/>
          </w:tcPr>
          <w:p w14:paraId="475D538C"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single" w:sz="4" w:space="0" w:color="auto"/>
              <w:left w:val="nil"/>
              <w:bottom w:val="double" w:sz="4" w:space="0" w:color="auto"/>
              <w:right w:val="nil"/>
            </w:tcBorders>
            <w:vAlign w:val="bottom"/>
          </w:tcPr>
          <w:p w14:paraId="625AF853"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5E1CB88A" w14:textId="77777777" w:rsidTr="005F5F76">
        <w:trPr>
          <w:cantSplit/>
          <w:trHeight w:val="75"/>
        </w:trPr>
        <w:tc>
          <w:tcPr>
            <w:tcW w:w="741" w:type="pct"/>
            <w:tcBorders>
              <w:top w:val="nil"/>
              <w:left w:val="single" w:sz="2" w:space="0" w:color="auto"/>
              <w:bottom w:val="nil"/>
              <w:right w:val="single" w:sz="2" w:space="0" w:color="auto"/>
            </w:tcBorders>
          </w:tcPr>
          <w:p w14:paraId="37B8AEC5"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3157EC7" w14:textId="77777777" w:rsidR="00374599" w:rsidRPr="00374599" w:rsidRDefault="00374599" w:rsidP="00374599">
            <w:pPr>
              <w:pStyle w:val="TableText"/>
              <w:tabs>
                <w:tab w:val="left" w:pos="3306"/>
              </w:tabs>
              <w:spacing w:before="0"/>
              <w:ind w:left="193" w:hanging="193"/>
              <w:jc w:val="both"/>
              <w:rPr>
                <w:rFonts w:cs="Calibri"/>
              </w:rPr>
            </w:pPr>
          </w:p>
        </w:tc>
        <w:tc>
          <w:tcPr>
            <w:tcW w:w="335" w:type="pct"/>
            <w:tcBorders>
              <w:top w:val="double" w:sz="4" w:space="0" w:color="auto"/>
              <w:left w:val="nil"/>
              <w:bottom w:val="nil"/>
              <w:right w:val="nil"/>
            </w:tcBorders>
            <w:vAlign w:val="bottom"/>
          </w:tcPr>
          <w:p w14:paraId="2AAD6F83"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double" w:sz="4" w:space="0" w:color="auto"/>
              <w:left w:val="nil"/>
              <w:bottom w:val="nil"/>
              <w:right w:val="nil"/>
            </w:tcBorders>
            <w:vAlign w:val="bottom"/>
          </w:tcPr>
          <w:p w14:paraId="5A9BB88C"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double" w:sz="4" w:space="0" w:color="auto"/>
              <w:left w:val="nil"/>
              <w:bottom w:val="nil"/>
              <w:right w:val="nil"/>
            </w:tcBorders>
            <w:vAlign w:val="bottom"/>
          </w:tcPr>
          <w:p w14:paraId="2303C966"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double" w:sz="4" w:space="0" w:color="auto"/>
              <w:left w:val="nil"/>
              <w:bottom w:val="nil"/>
              <w:right w:val="nil"/>
            </w:tcBorders>
            <w:vAlign w:val="bottom"/>
          </w:tcPr>
          <w:p w14:paraId="63520F2A"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8FFD1CC" w14:textId="77777777" w:rsidTr="005F5F76">
        <w:trPr>
          <w:cantSplit/>
          <w:trHeight w:val="75"/>
        </w:trPr>
        <w:tc>
          <w:tcPr>
            <w:tcW w:w="741" w:type="pct"/>
            <w:tcBorders>
              <w:top w:val="nil"/>
              <w:left w:val="single" w:sz="2" w:space="0" w:color="auto"/>
              <w:bottom w:val="nil"/>
              <w:right w:val="single" w:sz="2" w:space="0" w:color="auto"/>
            </w:tcBorders>
          </w:tcPr>
          <w:p w14:paraId="582C539E"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3790BECC" w14:textId="77777777" w:rsidR="00374599" w:rsidRPr="00374599" w:rsidRDefault="00374599" w:rsidP="00374599">
            <w:pPr>
              <w:pStyle w:val="TableText"/>
              <w:tabs>
                <w:tab w:val="left" w:pos="3306"/>
              </w:tabs>
              <w:spacing w:before="0"/>
              <w:ind w:left="193" w:hanging="193"/>
              <w:jc w:val="both"/>
              <w:rPr>
                <w:rFonts w:cs="Calibri"/>
              </w:rPr>
            </w:pPr>
          </w:p>
        </w:tc>
        <w:tc>
          <w:tcPr>
            <w:tcW w:w="335" w:type="pct"/>
            <w:tcBorders>
              <w:top w:val="nil"/>
              <w:left w:val="nil"/>
              <w:bottom w:val="nil"/>
              <w:right w:val="nil"/>
            </w:tcBorders>
            <w:vAlign w:val="bottom"/>
          </w:tcPr>
          <w:p w14:paraId="46F46F40"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2A5CCD9B"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4548879A"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0A87060D"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B0F52C4" w14:textId="77777777" w:rsidTr="005F5F76">
        <w:trPr>
          <w:cantSplit/>
          <w:trHeight w:val="75"/>
        </w:trPr>
        <w:tc>
          <w:tcPr>
            <w:tcW w:w="741" w:type="pct"/>
            <w:tcBorders>
              <w:top w:val="nil"/>
              <w:left w:val="single" w:sz="2" w:space="0" w:color="auto"/>
              <w:bottom w:val="nil"/>
              <w:right w:val="single" w:sz="2" w:space="0" w:color="auto"/>
            </w:tcBorders>
          </w:tcPr>
          <w:p w14:paraId="098962D2"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76A0C4B6" w14:textId="6ACF44F4" w:rsidR="00374599" w:rsidRPr="00374599" w:rsidRDefault="00374599" w:rsidP="00374599">
            <w:pPr>
              <w:pStyle w:val="TableText"/>
              <w:tabs>
                <w:tab w:val="left" w:pos="3306"/>
              </w:tabs>
              <w:spacing w:before="0"/>
              <w:ind w:left="193" w:hanging="193"/>
              <w:jc w:val="both"/>
              <w:rPr>
                <w:rFonts w:cs="Calibri"/>
                <w:b/>
                <w:bCs/>
              </w:rPr>
            </w:pPr>
            <w:r w:rsidRPr="00374599">
              <w:rPr>
                <w:rFonts w:cs="Calibri"/>
                <w:b/>
                <w:bCs/>
                <w:szCs w:val="20"/>
              </w:rPr>
              <w:t xml:space="preserve">Breakdown of </w:t>
            </w:r>
            <w:r w:rsidRPr="00374599">
              <w:rPr>
                <w:rFonts w:cs="Calibri"/>
                <w:b/>
                <w:bCs/>
              </w:rPr>
              <w:t>Act of Grace Payments</w:t>
            </w:r>
          </w:p>
        </w:tc>
        <w:tc>
          <w:tcPr>
            <w:tcW w:w="335" w:type="pct"/>
            <w:tcBorders>
              <w:top w:val="nil"/>
              <w:left w:val="nil"/>
              <w:bottom w:val="nil"/>
              <w:right w:val="nil"/>
            </w:tcBorders>
            <w:vAlign w:val="bottom"/>
          </w:tcPr>
          <w:p w14:paraId="10A783B0"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0573BD4D"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4431D597"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46DBD88C"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37D602E8" w14:textId="77777777" w:rsidTr="005F5F76">
        <w:trPr>
          <w:cantSplit/>
          <w:trHeight w:val="75"/>
        </w:trPr>
        <w:tc>
          <w:tcPr>
            <w:tcW w:w="741" w:type="pct"/>
            <w:tcBorders>
              <w:top w:val="nil"/>
              <w:left w:val="single" w:sz="2" w:space="0" w:color="auto"/>
              <w:bottom w:val="nil"/>
              <w:right w:val="single" w:sz="2" w:space="0" w:color="auto"/>
            </w:tcBorders>
          </w:tcPr>
          <w:p w14:paraId="6F4681DB" w14:textId="55F3850F"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130(9)</w:t>
            </w:r>
          </w:p>
        </w:tc>
        <w:tc>
          <w:tcPr>
            <w:tcW w:w="2211" w:type="pct"/>
            <w:tcBorders>
              <w:top w:val="nil"/>
              <w:left w:val="single" w:sz="2" w:space="0" w:color="auto"/>
              <w:bottom w:val="nil"/>
              <w:right w:val="nil"/>
            </w:tcBorders>
            <w:vAlign w:val="bottom"/>
          </w:tcPr>
          <w:p w14:paraId="7EF09A4D" w14:textId="6B8A7E15" w:rsidR="00374599" w:rsidRPr="00374599" w:rsidRDefault="00374599" w:rsidP="00374599">
            <w:pPr>
              <w:pStyle w:val="TableText"/>
              <w:tabs>
                <w:tab w:val="left" w:pos="3306"/>
              </w:tabs>
              <w:spacing w:before="0"/>
              <w:rPr>
                <w:rFonts w:cs="Calibri"/>
              </w:rPr>
            </w:pPr>
            <w:r w:rsidRPr="00374599">
              <w:rPr>
                <w:rFonts w:cs="Calibri"/>
              </w:rPr>
              <w:t>Payments relating to the oversight regarding land development applications</w:t>
            </w:r>
          </w:p>
        </w:tc>
        <w:tc>
          <w:tcPr>
            <w:tcW w:w="335" w:type="pct"/>
            <w:tcBorders>
              <w:top w:val="nil"/>
              <w:left w:val="nil"/>
              <w:bottom w:val="nil"/>
              <w:right w:val="nil"/>
            </w:tcBorders>
            <w:vAlign w:val="bottom"/>
          </w:tcPr>
          <w:p w14:paraId="6F5C83F7"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nil"/>
              <w:right w:val="nil"/>
            </w:tcBorders>
            <w:vAlign w:val="bottom"/>
          </w:tcPr>
          <w:p w14:paraId="4B3F8EA5"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nil"/>
              <w:right w:val="nil"/>
            </w:tcBorders>
            <w:vAlign w:val="bottom"/>
          </w:tcPr>
          <w:p w14:paraId="605029C7"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nil"/>
              <w:right w:val="nil"/>
            </w:tcBorders>
            <w:vAlign w:val="bottom"/>
          </w:tcPr>
          <w:p w14:paraId="7E5FAF53"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452D0A3F" w14:textId="77777777" w:rsidTr="005F5F76">
        <w:trPr>
          <w:cantSplit/>
          <w:trHeight w:val="75"/>
        </w:trPr>
        <w:tc>
          <w:tcPr>
            <w:tcW w:w="741" w:type="pct"/>
            <w:tcBorders>
              <w:top w:val="nil"/>
              <w:left w:val="single" w:sz="2" w:space="0" w:color="auto"/>
              <w:bottom w:val="nil"/>
              <w:right w:val="single" w:sz="2" w:space="0" w:color="auto"/>
            </w:tcBorders>
          </w:tcPr>
          <w:p w14:paraId="6409A33C" w14:textId="2FB99305"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130(9)</w:t>
            </w:r>
          </w:p>
        </w:tc>
        <w:tc>
          <w:tcPr>
            <w:tcW w:w="2211" w:type="pct"/>
            <w:tcBorders>
              <w:top w:val="nil"/>
              <w:left w:val="single" w:sz="2" w:space="0" w:color="auto"/>
              <w:bottom w:val="nil"/>
              <w:right w:val="nil"/>
            </w:tcBorders>
            <w:vAlign w:val="bottom"/>
          </w:tcPr>
          <w:p w14:paraId="60C82C9B" w14:textId="28BD6819" w:rsidR="00374599" w:rsidRPr="00374599" w:rsidRDefault="00374599" w:rsidP="00374599">
            <w:pPr>
              <w:pStyle w:val="TableText"/>
              <w:tabs>
                <w:tab w:val="left" w:pos="3306"/>
              </w:tabs>
              <w:spacing w:before="0"/>
              <w:rPr>
                <w:rFonts w:cs="Calibri"/>
              </w:rPr>
            </w:pPr>
            <w:r w:rsidRPr="00374599">
              <w:rPr>
                <w:rFonts w:cs="Calibri"/>
              </w:rPr>
              <w:t xml:space="preserve">Payment relating to a </w:t>
            </w:r>
            <w:r w:rsidRPr="00374599">
              <w:rPr>
                <w:rFonts w:cs="Calibri"/>
                <w:szCs w:val="20"/>
              </w:rPr>
              <w:t>delayed heritage grant payment</w:t>
            </w:r>
          </w:p>
        </w:tc>
        <w:tc>
          <w:tcPr>
            <w:tcW w:w="335" w:type="pct"/>
            <w:tcBorders>
              <w:top w:val="nil"/>
              <w:left w:val="nil"/>
              <w:bottom w:val="single" w:sz="4" w:space="0" w:color="auto"/>
              <w:right w:val="nil"/>
            </w:tcBorders>
            <w:vAlign w:val="bottom"/>
          </w:tcPr>
          <w:p w14:paraId="7A642127"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nil"/>
              <w:left w:val="nil"/>
              <w:bottom w:val="single" w:sz="4" w:space="0" w:color="auto"/>
              <w:right w:val="nil"/>
            </w:tcBorders>
            <w:vAlign w:val="bottom"/>
          </w:tcPr>
          <w:p w14:paraId="6E58D61E"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nil"/>
              <w:left w:val="nil"/>
              <w:bottom w:val="single" w:sz="4" w:space="0" w:color="auto"/>
              <w:right w:val="nil"/>
            </w:tcBorders>
            <w:vAlign w:val="bottom"/>
          </w:tcPr>
          <w:p w14:paraId="611B2DF7"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nil"/>
              <w:left w:val="nil"/>
              <w:bottom w:val="single" w:sz="4" w:space="0" w:color="auto"/>
              <w:right w:val="nil"/>
            </w:tcBorders>
            <w:vAlign w:val="bottom"/>
          </w:tcPr>
          <w:p w14:paraId="6ABF3A50"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37EECA5A" w14:textId="77777777" w:rsidTr="005F5F76">
        <w:trPr>
          <w:cantSplit/>
          <w:trHeight w:val="75"/>
        </w:trPr>
        <w:tc>
          <w:tcPr>
            <w:tcW w:w="741" w:type="pct"/>
            <w:tcBorders>
              <w:top w:val="nil"/>
              <w:left w:val="single" w:sz="2" w:space="0" w:color="auto"/>
              <w:bottom w:val="nil"/>
              <w:right w:val="single" w:sz="2" w:space="0" w:color="auto"/>
            </w:tcBorders>
          </w:tcPr>
          <w:p w14:paraId="1E1625CC"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2B4C858" w14:textId="79A01587" w:rsidR="00374599" w:rsidRPr="00374599" w:rsidRDefault="00374599" w:rsidP="00374599">
            <w:pPr>
              <w:pStyle w:val="TableText"/>
              <w:tabs>
                <w:tab w:val="left" w:pos="3306"/>
              </w:tabs>
              <w:spacing w:before="0"/>
              <w:ind w:left="193" w:hanging="193"/>
              <w:jc w:val="both"/>
              <w:rPr>
                <w:rFonts w:cs="Calibri"/>
              </w:rPr>
            </w:pPr>
            <w:r w:rsidRPr="00374599">
              <w:rPr>
                <w:rFonts w:cs="Calibri"/>
                <w:b/>
                <w:bCs/>
              </w:rPr>
              <w:t>Total Act of Grace Payments</w:t>
            </w:r>
          </w:p>
        </w:tc>
        <w:tc>
          <w:tcPr>
            <w:tcW w:w="335" w:type="pct"/>
            <w:tcBorders>
              <w:top w:val="single" w:sz="4" w:space="0" w:color="auto"/>
              <w:left w:val="nil"/>
              <w:bottom w:val="double" w:sz="4" w:space="0" w:color="auto"/>
              <w:right w:val="nil"/>
            </w:tcBorders>
            <w:vAlign w:val="bottom"/>
          </w:tcPr>
          <w:p w14:paraId="7C76AB83"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5"/>
            <w:tcBorders>
              <w:top w:val="single" w:sz="4" w:space="0" w:color="auto"/>
              <w:left w:val="nil"/>
              <w:bottom w:val="double" w:sz="4" w:space="0" w:color="auto"/>
              <w:right w:val="nil"/>
            </w:tcBorders>
            <w:vAlign w:val="bottom"/>
          </w:tcPr>
          <w:p w14:paraId="6F9EAEBB" w14:textId="77777777" w:rsidR="00374599" w:rsidRPr="00374599" w:rsidRDefault="00374599" w:rsidP="00374599">
            <w:pPr>
              <w:pStyle w:val="TableText"/>
              <w:tabs>
                <w:tab w:val="left" w:pos="3306"/>
              </w:tabs>
              <w:spacing w:before="0"/>
              <w:ind w:left="193" w:hanging="193"/>
              <w:jc w:val="both"/>
              <w:rPr>
                <w:rFonts w:cs="Calibri"/>
              </w:rPr>
            </w:pPr>
          </w:p>
        </w:tc>
        <w:tc>
          <w:tcPr>
            <w:tcW w:w="540" w:type="pct"/>
            <w:gridSpan w:val="3"/>
            <w:tcBorders>
              <w:top w:val="single" w:sz="4" w:space="0" w:color="auto"/>
              <w:left w:val="nil"/>
              <w:bottom w:val="double" w:sz="4" w:space="0" w:color="auto"/>
              <w:right w:val="nil"/>
            </w:tcBorders>
            <w:vAlign w:val="bottom"/>
          </w:tcPr>
          <w:p w14:paraId="35A23CBC" w14:textId="77777777" w:rsidR="00374599" w:rsidRPr="00374599" w:rsidRDefault="00374599" w:rsidP="00374599">
            <w:pPr>
              <w:pStyle w:val="TableText"/>
              <w:tabs>
                <w:tab w:val="left" w:pos="3306"/>
              </w:tabs>
              <w:spacing w:before="0"/>
              <w:ind w:left="193" w:hanging="193"/>
              <w:jc w:val="both"/>
              <w:rPr>
                <w:rFonts w:cs="Calibri"/>
              </w:rPr>
            </w:pPr>
          </w:p>
        </w:tc>
        <w:tc>
          <w:tcPr>
            <w:tcW w:w="570" w:type="pct"/>
            <w:gridSpan w:val="3"/>
            <w:tcBorders>
              <w:top w:val="single" w:sz="4" w:space="0" w:color="auto"/>
              <w:left w:val="nil"/>
              <w:bottom w:val="double" w:sz="4" w:space="0" w:color="auto"/>
              <w:right w:val="nil"/>
            </w:tcBorders>
            <w:vAlign w:val="bottom"/>
          </w:tcPr>
          <w:p w14:paraId="2C00DB6E"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2651FC82" w14:textId="77777777" w:rsidTr="005F5F76">
        <w:trPr>
          <w:trHeight w:val="23"/>
        </w:trPr>
        <w:tc>
          <w:tcPr>
            <w:tcW w:w="738" w:type="pct"/>
            <w:tcBorders>
              <w:top w:val="nil"/>
              <w:left w:val="single" w:sz="2" w:space="0" w:color="auto"/>
              <w:bottom w:val="nil"/>
              <w:right w:val="single" w:sz="2" w:space="0" w:color="auto"/>
            </w:tcBorders>
          </w:tcPr>
          <w:p w14:paraId="41B565F2" w14:textId="467AADC4" w:rsidR="00374599" w:rsidRPr="00374599" w:rsidRDefault="00374599" w:rsidP="000159C3">
            <w:pPr>
              <w:pStyle w:val="TableReference"/>
              <w:tabs>
                <w:tab w:val="left" w:pos="3306"/>
              </w:tabs>
              <w:spacing w:before="240" w:after="240"/>
              <w:rPr>
                <w:rFonts w:cs="Calibri"/>
                <w:color w:val="7030A0"/>
                <w:sz w:val="14"/>
              </w:rPr>
            </w:pPr>
            <w:r w:rsidRPr="00374599">
              <w:rPr>
                <w:rFonts w:cs="Calibri"/>
                <w:b/>
                <w:color w:val="7030A0"/>
                <w:sz w:val="22"/>
                <w:szCs w:val="22"/>
              </w:rPr>
              <w:t>Reference</w:t>
            </w:r>
          </w:p>
        </w:tc>
        <w:tc>
          <w:tcPr>
            <w:tcW w:w="4261" w:type="pct"/>
            <w:gridSpan w:val="13"/>
            <w:tcBorders>
              <w:top w:val="nil"/>
              <w:left w:val="single" w:sz="2" w:space="0" w:color="auto"/>
              <w:bottom w:val="nil"/>
              <w:right w:val="nil"/>
            </w:tcBorders>
            <w:shd w:val="clear" w:color="auto" w:fill="7030A0"/>
          </w:tcPr>
          <w:p w14:paraId="6714DC3D" w14:textId="4D523CEE" w:rsidR="00374599" w:rsidRPr="00374599" w:rsidRDefault="00374599" w:rsidP="000159C3">
            <w:pPr>
              <w:pStyle w:val="TableText"/>
              <w:tabs>
                <w:tab w:val="left" w:pos="3306"/>
              </w:tabs>
              <w:spacing w:before="240" w:after="240"/>
              <w:ind w:left="193" w:hanging="193"/>
              <w:jc w:val="both"/>
              <w:rPr>
                <w:rFonts w:cs="Calibri"/>
                <w:color w:val="FFFFFF" w:themeColor="background1"/>
              </w:rPr>
            </w:pPr>
            <w:bookmarkStart w:id="539" w:name="_Toc50440357"/>
            <w:bookmarkStart w:id="540" w:name="_Toc163106336"/>
            <w:r w:rsidRPr="00374599">
              <w:rPr>
                <w:rFonts w:cs="Calibri"/>
                <w:b/>
                <w:bCs/>
                <w:color w:val="FFFFFF" w:themeColor="background1"/>
                <w:sz w:val="28"/>
                <w:szCs w:val="28"/>
              </w:rPr>
              <w:t>Commentary – Note 14: Other Expenses</w:t>
            </w:r>
            <w:bookmarkEnd w:id="539"/>
            <w:bookmarkEnd w:id="540"/>
          </w:p>
        </w:tc>
      </w:tr>
      <w:tr w:rsidR="00374599" w:rsidRPr="00CF7E1B" w14:paraId="03B09E6C"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655"/>
          <w:tblHeader/>
        </w:trPr>
        <w:tc>
          <w:tcPr>
            <w:tcW w:w="738" w:type="pct"/>
            <w:tcBorders>
              <w:left w:val="single" w:sz="2" w:space="0" w:color="auto"/>
              <w:right w:val="single" w:sz="2" w:space="0" w:color="auto"/>
            </w:tcBorders>
          </w:tcPr>
          <w:p w14:paraId="57319583"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br w:type="page"/>
            </w:r>
          </w:p>
        </w:tc>
        <w:tc>
          <w:tcPr>
            <w:tcW w:w="4261" w:type="pct"/>
            <w:gridSpan w:val="13"/>
            <w:tcBorders>
              <w:left w:val="single" w:sz="2" w:space="0" w:color="auto"/>
            </w:tcBorders>
            <w:shd w:val="clear" w:color="auto" w:fill="7030A0"/>
          </w:tcPr>
          <w:p w14:paraId="244199A9" w14:textId="4F1632D6" w:rsidR="00374599" w:rsidRPr="00374599" w:rsidRDefault="00374599" w:rsidP="00374599">
            <w:pPr>
              <w:pStyle w:val="CommentaryTitle"/>
              <w:spacing w:after="240"/>
              <w:jc w:val="both"/>
              <w:rPr>
                <w:rFonts w:cs="Calibri"/>
                <w:b w:val="0"/>
                <w:bCs w:val="0"/>
                <w:color w:val="FFFFFF" w:themeColor="background1"/>
              </w:rPr>
            </w:pPr>
            <w:r w:rsidRPr="00374599">
              <w:rPr>
                <w:rFonts w:cs="Calibri"/>
                <w:b w:val="0"/>
                <w:bCs w:val="0"/>
                <w:color w:val="FFFFFF" w:themeColor="background1"/>
                <w:sz w:val="18"/>
                <w:szCs w:val="18"/>
              </w:rPr>
              <w:t>The breakdown shown in this note disclosure is an example only.</w:t>
            </w:r>
            <w:r w:rsidR="00FA7C77">
              <w:rPr>
                <w:rFonts w:cs="Calibri"/>
                <w:b w:val="0"/>
                <w:bCs w:val="0"/>
                <w:color w:val="FFFFFF" w:themeColor="background1"/>
                <w:sz w:val="18"/>
                <w:szCs w:val="18"/>
              </w:rPr>
              <w:t xml:space="preserve"> </w:t>
            </w:r>
            <w:r w:rsidRPr="00374599">
              <w:rPr>
                <w:rFonts w:cs="Calibri"/>
                <w:b w:val="0"/>
                <w:bCs w:val="0"/>
                <w:color w:val="FFFFFF" w:themeColor="background1"/>
                <w:sz w:val="18"/>
                <w:szCs w:val="18"/>
              </w:rPr>
              <w:t>Agencies should only include line items that are applicable to them where material.</w:t>
            </w:r>
          </w:p>
        </w:tc>
      </w:tr>
      <w:tr w:rsidR="00374599" w:rsidRPr="00CF7E1B" w14:paraId="3F5625DA"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29BA474A" w14:textId="77777777" w:rsidR="00374599" w:rsidRPr="00374599" w:rsidRDefault="00374599" w:rsidP="00374599">
            <w:pPr>
              <w:pStyle w:val="CommentaryReference"/>
              <w:spacing w:before="40"/>
              <w:rPr>
                <w:rFonts w:cs="Calibri"/>
                <w:color w:val="7030A0"/>
                <w:szCs w:val="14"/>
              </w:rPr>
            </w:pPr>
          </w:p>
        </w:tc>
        <w:tc>
          <w:tcPr>
            <w:tcW w:w="4261" w:type="pct"/>
            <w:gridSpan w:val="13"/>
            <w:tcBorders>
              <w:left w:val="single" w:sz="2" w:space="0" w:color="auto"/>
            </w:tcBorders>
            <w:shd w:val="clear" w:color="auto" w:fill="7030A0"/>
          </w:tcPr>
          <w:p w14:paraId="25FB2BA4" w14:textId="6D3257DF"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Gains and losses arising from a group of similar transactions should be reported on a net basis.</w:t>
            </w:r>
            <w:r w:rsidR="00FA7C77">
              <w:rPr>
                <w:rFonts w:cs="Calibri"/>
                <w:color w:val="FFFFFF" w:themeColor="background1"/>
                <w:sz w:val="18"/>
                <w:szCs w:val="18"/>
              </w:rPr>
              <w:t xml:space="preserve"> </w:t>
            </w:r>
            <w:r w:rsidRPr="00374599">
              <w:rPr>
                <w:rFonts w:cs="Calibri"/>
                <w:color w:val="FFFFFF" w:themeColor="background1"/>
                <w:sz w:val="18"/>
                <w:szCs w:val="18"/>
              </w:rPr>
              <w:t>However, if the gains and losses are material they should be reported separately.</w:t>
            </w:r>
          </w:p>
          <w:p w14:paraId="6A4DA23E" w14:textId="29CCB4D2" w:rsidR="00374599" w:rsidRPr="00374599" w:rsidRDefault="00374599" w:rsidP="00374599">
            <w:pPr>
              <w:pStyle w:val="CommentaryHeading"/>
              <w:keepNext w:val="0"/>
              <w:spacing w:before="60"/>
              <w:jc w:val="both"/>
              <w:rPr>
                <w:rFonts w:cs="Calibri"/>
                <w:b w:val="0"/>
                <w:bCs w:val="0"/>
                <w:strike/>
                <w:color w:val="FFFFFF" w:themeColor="background1"/>
                <w:sz w:val="18"/>
              </w:rPr>
            </w:pPr>
            <w:r w:rsidRPr="00374599">
              <w:rPr>
                <w:rFonts w:cs="Calibri"/>
                <w:b w:val="0"/>
                <w:bCs w:val="0"/>
                <w:color w:val="FFFFFF" w:themeColor="background1"/>
                <w:sz w:val="18"/>
              </w:rPr>
              <w:t xml:space="preserve">If an agency has made a net gain on investments held with the Territory Banking Account it will appear as </w:t>
            </w:r>
            <w:r w:rsidRPr="00374599">
              <w:rPr>
                <w:b w:val="0"/>
                <w:bCs w:val="0"/>
                <w:color w:val="FFFFFF" w:themeColor="background1"/>
                <w:sz w:val="18"/>
              </w:rPr>
              <w:t>Gains from Disposals, Derecognition and Remeasurement of Assets</w:t>
            </w:r>
            <w:r w:rsidRPr="00374599">
              <w:rPr>
                <w:rFonts w:cs="Calibri"/>
                <w:b w:val="0"/>
                <w:bCs w:val="0"/>
                <w:color w:val="FFFFFF" w:themeColor="background1"/>
                <w:sz w:val="18"/>
              </w:rPr>
              <w:t xml:space="preserve"> in Note 8.</w:t>
            </w:r>
            <w:r w:rsidR="00FA7C77">
              <w:rPr>
                <w:rFonts w:cs="Calibri"/>
                <w:b w:val="0"/>
                <w:bCs w:val="0"/>
                <w:color w:val="FFFFFF" w:themeColor="background1"/>
                <w:sz w:val="18"/>
              </w:rPr>
              <w:t xml:space="preserve"> </w:t>
            </w:r>
            <w:r w:rsidRPr="00374599">
              <w:rPr>
                <w:rFonts w:cs="Calibri"/>
                <w:b w:val="0"/>
                <w:bCs w:val="0"/>
                <w:color w:val="FFFFFF" w:themeColor="background1"/>
                <w:sz w:val="18"/>
              </w:rPr>
              <w:t xml:space="preserve">If a net loss has been made, then it should be included in this </w:t>
            </w:r>
            <w:r w:rsidRPr="00374599">
              <w:rPr>
                <w:rFonts w:cs="Calibri"/>
                <w:b w:val="0"/>
                <w:bCs w:val="0"/>
                <w:i/>
                <w:color w:val="FFFFFF" w:themeColor="background1"/>
                <w:sz w:val="18"/>
              </w:rPr>
              <w:t>Other Expenses</w:t>
            </w:r>
            <w:r w:rsidRPr="00374599">
              <w:rPr>
                <w:rFonts w:cs="Calibri"/>
                <w:b w:val="0"/>
                <w:bCs w:val="0"/>
                <w:color w:val="FFFFFF" w:themeColor="background1"/>
                <w:sz w:val="18"/>
              </w:rPr>
              <w:t xml:space="preserve"> note.</w:t>
            </w:r>
          </w:p>
        </w:tc>
      </w:tr>
      <w:tr w:rsidR="00374599" w:rsidRPr="00CF7E1B" w14:paraId="2E41B883"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461BBF16" w14:textId="77777777" w:rsidR="00374599" w:rsidRPr="00374599" w:rsidRDefault="00374599" w:rsidP="00374599">
            <w:pPr>
              <w:pStyle w:val="CommentaryReference"/>
              <w:spacing w:before="40"/>
              <w:rPr>
                <w:rFonts w:cs="Calibri"/>
                <w:color w:val="7030A0"/>
                <w:szCs w:val="14"/>
              </w:rPr>
            </w:pPr>
            <w:r w:rsidRPr="00374599">
              <w:rPr>
                <w:rFonts w:cs="Calibri"/>
                <w:color w:val="7030A0"/>
                <w:szCs w:val="14"/>
              </w:rPr>
              <w:t>AASB 101.35</w:t>
            </w:r>
          </w:p>
        </w:tc>
        <w:tc>
          <w:tcPr>
            <w:tcW w:w="4261" w:type="pct"/>
            <w:gridSpan w:val="13"/>
            <w:tcBorders>
              <w:left w:val="single" w:sz="2" w:space="0" w:color="auto"/>
            </w:tcBorders>
            <w:shd w:val="clear" w:color="auto" w:fill="7030A0"/>
          </w:tcPr>
          <w:p w14:paraId="5BED00BA" w14:textId="3415B28E"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 xml:space="preserve">Revaluation decrements are expensed when a </w:t>
            </w:r>
            <w:r w:rsidRPr="00374599">
              <w:rPr>
                <w:color w:val="FFFFFF" w:themeColor="background1"/>
                <w:sz w:val="18"/>
                <w:szCs w:val="18"/>
              </w:rPr>
              <w:t>particular asset (of for-profit territory authorities), or</w:t>
            </w:r>
            <w:r w:rsidRPr="00374599">
              <w:rPr>
                <w:rFonts w:cs="Calibri"/>
                <w:color w:val="FFFFFF" w:themeColor="background1"/>
                <w:sz w:val="18"/>
                <w:szCs w:val="18"/>
              </w:rPr>
              <w:t xml:space="preserve"> class of assets</w:t>
            </w:r>
            <w:r w:rsidRPr="00374599">
              <w:rPr>
                <w:color w:val="FFFFFF" w:themeColor="background1"/>
                <w:sz w:val="18"/>
                <w:szCs w:val="18"/>
              </w:rPr>
              <w:t xml:space="preserve"> (of not-for-profit agencies)</w:t>
            </w:r>
            <w:r w:rsidRPr="00374599">
              <w:rPr>
                <w:rFonts w:cs="Calibri"/>
                <w:color w:val="FFFFFF" w:themeColor="background1"/>
                <w:sz w:val="18"/>
                <w:szCs w:val="18"/>
              </w:rPr>
              <w:t>, as a whole, has been revalued downwards and there is no amount in the Asset Revaluation Surplus for that asset class for the revaluation to be offset against.</w:t>
            </w:r>
          </w:p>
        </w:tc>
      </w:tr>
      <w:tr w:rsidR="00374599" w:rsidRPr="00CF7E1B" w14:paraId="2C472038"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2A50445F" w14:textId="77777777" w:rsidR="00374599" w:rsidRPr="00374599" w:rsidRDefault="00374599" w:rsidP="00374599">
            <w:pPr>
              <w:pStyle w:val="CommentaryReference"/>
              <w:spacing w:before="40"/>
              <w:rPr>
                <w:rFonts w:cs="Calibri"/>
                <w:color w:val="7030A0"/>
                <w:szCs w:val="14"/>
              </w:rPr>
            </w:pPr>
          </w:p>
        </w:tc>
        <w:tc>
          <w:tcPr>
            <w:tcW w:w="4261" w:type="pct"/>
            <w:gridSpan w:val="13"/>
            <w:tcBorders>
              <w:left w:val="single" w:sz="2" w:space="0" w:color="auto"/>
            </w:tcBorders>
            <w:shd w:val="clear" w:color="auto" w:fill="7030A0"/>
          </w:tcPr>
          <w:p w14:paraId="645BAEA0" w14:textId="44839B26" w:rsidR="00374599" w:rsidRPr="00374599" w:rsidRDefault="00374599" w:rsidP="00374599">
            <w:pPr>
              <w:pStyle w:val="CommentaryText"/>
              <w:spacing w:after="0"/>
              <w:rPr>
                <w:rFonts w:cs="Calibri"/>
                <w:strike/>
                <w:color w:val="FFFFFF" w:themeColor="background1"/>
                <w:sz w:val="18"/>
                <w:szCs w:val="18"/>
              </w:rPr>
            </w:pPr>
            <w:r w:rsidRPr="00374599">
              <w:rPr>
                <w:rFonts w:cs="Calibri"/>
                <w:color w:val="FFFFFF" w:themeColor="background1"/>
                <w:sz w:val="18"/>
                <w:szCs w:val="18"/>
              </w:rPr>
              <w:t>Agencies are required to assess at each reporting date whether there is an indication that non-current assets may be impaired and if so, to assess assets for impairment.</w:t>
            </w:r>
            <w:r w:rsidR="00FA7C77">
              <w:rPr>
                <w:rFonts w:cs="Calibri"/>
                <w:color w:val="FFFFFF" w:themeColor="background1"/>
                <w:sz w:val="18"/>
                <w:szCs w:val="18"/>
              </w:rPr>
              <w:t xml:space="preserve"> </w:t>
            </w:r>
            <w:r w:rsidRPr="00374599">
              <w:rPr>
                <w:rFonts w:cs="Calibri"/>
                <w:color w:val="FFFFFF" w:themeColor="background1"/>
                <w:sz w:val="18"/>
                <w:szCs w:val="18"/>
              </w:rPr>
              <w:t>Where a not-for-profit agency has an impairment loss against an asset, which has no Asset Revaluation Surplus against the class it is in, the impairment loss is recognised in the Operating Statement.</w:t>
            </w:r>
            <w:r w:rsidR="00FA7C77">
              <w:rPr>
                <w:rFonts w:cs="Calibri"/>
                <w:color w:val="FFFFFF" w:themeColor="background1"/>
                <w:sz w:val="18"/>
                <w:szCs w:val="18"/>
              </w:rPr>
              <w:t xml:space="preserve"> </w:t>
            </w:r>
            <w:r w:rsidRPr="00374599">
              <w:rPr>
                <w:rFonts w:cs="Calibri"/>
                <w:color w:val="FFFFFF" w:themeColor="background1"/>
                <w:sz w:val="18"/>
                <w:szCs w:val="18"/>
              </w:rPr>
              <w:t>However, an impairment loss, on an asset, which has an Asset Revaluation Surplus against the asset class it is in, is recognised directly against that Asset Revaluation Surplus to the extent that the impairment loss does not exceed the amount in the Asset Revaluation Surplus for that asset class.</w:t>
            </w:r>
          </w:p>
        </w:tc>
      </w:tr>
      <w:tr w:rsidR="00374599" w:rsidRPr="00CF7E1B" w14:paraId="517771A5"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57"/>
          <w:tblHeader/>
        </w:trPr>
        <w:tc>
          <w:tcPr>
            <w:tcW w:w="738" w:type="pct"/>
            <w:tcBorders>
              <w:left w:val="single" w:sz="2" w:space="0" w:color="auto"/>
              <w:right w:val="single" w:sz="2" w:space="0" w:color="auto"/>
            </w:tcBorders>
          </w:tcPr>
          <w:p w14:paraId="3FABD3FE" w14:textId="77777777" w:rsidR="00374599" w:rsidRPr="00374599" w:rsidRDefault="00374599" w:rsidP="00374599">
            <w:pPr>
              <w:pStyle w:val="CommentaryReference"/>
              <w:spacing w:before="120"/>
              <w:rPr>
                <w:rFonts w:cs="Calibri"/>
                <w:color w:val="7030A0"/>
                <w:szCs w:val="14"/>
              </w:rPr>
            </w:pPr>
            <w:r w:rsidRPr="00374599">
              <w:rPr>
                <w:rFonts w:cs="Calibri"/>
                <w:color w:val="7030A0"/>
                <w:szCs w:val="14"/>
              </w:rPr>
              <w:t>AASB 116.Aus 40.1</w:t>
            </w:r>
          </w:p>
        </w:tc>
        <w:tc>
          <w:tcPr>
            <w:tcW w:w="4261" w:type="pct"/>
            <w:gridSpan w:val="13"/>
            <w:tcBorders>
              <w:left w:val="single" w:sz="2" w:space="0" w:color="auto"/>
            </w:tcBorders>
            <w:shd w:val="clear" w:color="auto" w:fill="7030A0"/>
          </w:tcPr>
          <w:p w14:paraId="3DF09456" w14:textId="5C2B9B05" w:rsidR="00374599" w:rsidRPr="00B81B19" w:rsidRDefault="00374599" w:rsidP="00CC1E25">
            <w:pPr>
              <w:pStyle w:val="CommentaryText"/>
              <w:spacing w:before="120" w:after="40"/>
              <w:rPr>
                <w:rFonts w:cs="Calibri"/>
                <w:color w:val="FFFFFF" w:themeColor="background1"/>
                <w:szCs w:val="20"/>
              </w:rPr>
            </w:pPr>
            <w:r w:rsidRPr="00B81B19">
              <w:rPr>
                <w:rFonts w:cs="Calibri"/>
                <w:b/>
                <w:bCs/>
                <w:color w:val="FFFFFF" w:themeColor="background1"/>
                <w:szCs w:val="20"/>
              </w:rPr>
              <w:t>Materiality</w:t>
            </w:r>
          </w:p>
        </w:tc>
      </w:tr>
      <w:tr w:rsidR="00374599" w:rsidRPr="00CF7E1B" w14:paraId="03419F52"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6E4FAEF0"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136.9, 10 &amp; 61</w:t>
            </w:r>
          </w:p>
        </w:tc>
        <w:tc>
          <w:tcPr>
            <w:tcW w:w="4261" w:type="pct"/>
            <w:gridSpan w:val="13"/>
            <w:tcBorders>
              <w:left w:val="single" w:sz="2" w:space="0" w:color="auto"/>
            </w:tcBorders>
            <w:shd w:val="clear" w:color="auto" w:fill="7030A0"/>
          </w:tcPr>
          <w:p w14:paraId="01F731E4" w14:textId="5B2E01BB" w:rsidR="00374599" w:rsidRPr="00374599" w:rsidRDefault="00374599" w:rsidP="00374599">
            <w:pPr>
              <w:pStyle w:val="CommentaryText"/>
              <w:rPr>
                <w:rFonts w:cs="Calibri"/>
                <w:bCs/>
                <w:color w:val="FFFFFF" w:themeColor="background1"/>
                <w:sz w:val="18"/>
                <w:szCs w:val="18"/>
              </w:rPr>
            </w:pPr>
            <w:r w:rsidRPr="00374599">
              <w:rPr>
                <w:rFonts w:cs="Calibri"/>
                <w:color w:val="FFFFFF" w:themeColor="background1"/>
                <w:sz w:val="18"/>
                <w:szCs w:val="18"/>
              </w:rPr>
              <w:t xml:space="preserve">The notion of materiality applies to the classification of other expenses. The line item </w:t>
            </w:r>
            <w:r w:rsidR="00995F9D">
              <w:rPr>
                <w:rFonts w:cs="Calibri"/>
                <w:color w:val="FFFFFF" w:themeColor="background1"/>
                <w:sz w:val="18"/>
                <w:szCs w:val="18"/>
              </w:rPr>
              <w:t>‘O</w:t>
            </w:r>
            <w:r w:rsidRPr="00374599">
              <w:rPr>
                <w:rFonts w:cs="Calibri"/>
                <w:color w:val="FFFFFF" w:themeColor="background1"/>
                <w:sz w:val="18"/>
                <w:szCs w:val="18"/>
              </w:rPr>
              <w:t xml:space="preserve">ther </w:t>
            </w:r>
            <w:r w:rsidR="00995F9D">
              <w:rPr>
                <w:rFonts w:cs="Calibri"/>
                <w:color w:val="FFFFFF" w:themeColor="background1"/>
                <w:sz w:val="18"/>
                <w:szCs w:val="18"/>
              </w:rPr>
              <w:t>E</w:t>
            </w:r>
            <w:r w:rsidRPr="00374599">
              <w:rPr>
                <w:rFonts w:cs="Calibri"/>
                <w:color w:val="FFFFFF" w:themeColor="background1"/>
                <w:sz w:val="18"/>
                <w:szCs w:val="18"/>
              </w:rPr>
              <w:t>xpenses</w:t>
            </w:r>
            <w:r w:rsidR="00995F9D">
              <w:rPr>
                <w:rFonts w:cs="Calibri"/>
                <w:color w:val="FFFFFF" w:themeColor="background1"/>
                <w:sz w:val="18"/>
                <w:szCs w:val="18"/>
              </w:rPr>
              <w:t>’</w:t>
            </w:r>
            <w:r w:rsidRPr="00374599">
              <w:rPr>
                <w:rFonts w:cs="Calibri"/>
                <w:color w:val="FFFFFF" w:themeColor="background1"/>
                <w:sz w:val="18"/>
                <w:szCs w:val="18"/>
              </w:rPr>
              <w:t xml:space="preserve"> should not be disproportionately large compared to total expenses.</w:t>
            </w:r>
            <w:r w:rsidR="00FA7C77">
              <w:rPr>
                <w:rFonts w:cs="Calibri"/>
                <w:color w:val="FFFFFF" w:themeColor="background1"/>
                <w:sz w:val="18"/>
                <w:szCs w:val="18"/>
              </w:rPr>
              <w:t xml:space="preserve"> </w:t>
            </w:r>
            <w:r w:rsidRPr="00374599">
              <w:rPr>
                <w:rFonts w:cs="Calibri"/>
                <w:color w:val="FFFFFF" w:themeColor="background1"/>
                <w:sz w:val="18"/>
                <w:szCs w:val="18"/>
              </w:rPr>
              <w:t xml:space="preserve">Within the </w:t>
            </w:r>
            <w:r w:rsidR="00995F9D" w:rsidRPr="002578C7">
              <w:rPr>
                <w:rFonts w:cs="Calibri"/>
                <w:i/>
                <w:iCs/>
                <w:color w:val="FFFFFF" w:themeColor="background1"/>
                <w:sz w:val="18"/>
                <w:szCs w:val="18"/>
              </w:rPr>
              <w:t>O</w:t>
            </w:r>
            <w:r w:rsidRPr="002578C7">
              <w:rPr>
                <w:rFonts w:cs="Calibri"/>
                <w:i/>
                <w:iCs/>
                <w:color w:val="FFFFFF" w:themeColor="background1"/>
                <w:sz w:val="18"/>
                <w:szCs w:val="18"/>
              </w:rPr>
              <w:t xml:space="preserve">ther </w:t>
            </w:r>
            <w:r w:rsidR="00995F9D" w:rsidRPr="002578C7">
              <w:rPr>
                <w:rFonts w:cs="Calibri"/>
                <w:i/>
                <w:iCs/>
                <w:color w:val="FFFFFF" w:themeColor="background1"/>
                <w:sz w:val="18"/>
                <w:szCs w:val="18"/>
              </w:rPr>
              <w:t>E</w:t>
            </w:r>
            <w:r w:rsidRPr="002578C7">
              <w:rPr>
                <w:rFonts w:cs="Calibri"/>
                <w:i/>
                <w:iCs/>
                <w:color w:val="FFFFFF" w:themeColor="background1"/>
                <w:sz w:val="18"/>
                <w:szCs w:val="18"/>
              </w:rPr>
              <w:t>xpenses</w:t>
            </w:r>
            <w:r w:rsidRPr="00374599">
              <w:rPr>
                <w:rFonts w:cs="Calibri"/>
                <w:color w:val="FFFFFF" w:themeColor="background1"/>
                <w:sz w:val="18"/>
                <w:szCs w:val="18"/>
              </w:rPr>
              <w:t xml:space="preserve"> note each material class of other expenses must be disclosed separately and the total of unclassified other expenses must not exceed 10% of Total ‘Other Expenses</w:t>
            </w:r>
            <w:r w:rsidR="00F305E9">
              <w:rPr>
                <w:rFonts w:cs="Calibri"/>
                <w:color w:val="FFFFFF" w:themeColor="background1"/>
                <w:sz w:val="18"/>
                <w:szCs w:val="18"/>
              </w:rPr>
              <w:t>’</w:t>
            </w:r>
            <w:r w:rsidRPr="00374599">
              <w:rPr>
                <w:rFonts w:cs="Calibri"/>
                <w:color w:val="FFFFFF" w:themeColor="background1"/>
                <w:sz w:val="18"/>
                <w:szCs w:val="18"/>
              </w:rPr>
              <w:t>.</w:t>
            </w:r>
            <w:r w:rsidR="00FA7C77">
              <w:rPr>
                <w:rFonts w:cs="Calibri"/>
                <w:color w:val="FFFFFF" w:themeColor="background1"/>
                <w:sz w:val="18"/>
                <w:szCs w:val="18"/>
              </w:rPr>
              <w:t xml:space="preserve"> </w:t>
            </w:r>
          </w:p>
        </w:tc>
      </w:tr>
      <w:tr w:rsidR="00374599" w:rsidRPr="00CF7E1B" w14:paraId="1F873A95"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504F2FFE" w14:textId="7890412F"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61" w:type="pct"/>
            <w:gridSpan w:val="13"/>
            <w:tcBorders>
              <w:left w:val="single" w:sz="2" w:space="0" w:color="auto"/>
            </w:tcBorders>
            <w:shd w:val="clear" w:color="auto" w:fill="7030A0"/>
          </w:tcPr>
          <w:p w14:paraId="08F0F8D8" w14:textId="65C3AB04"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 xml:space="preserve">Disclosures for waivers, write-offs, and act of grace payments are considered material by nature so disclosure of these line items in the </w:t>
            </w:r>
            <w:r w:rsidRPr="00374599">
              <w:rPr>
                <w:rFonts w:cs="Calibri"/>
                <w:i/>
                <w:iCs/>
                <w:color w:val="FFFFFF" w:themeColor="background1"/>
                <w:sz w:val="18"/>
                <w:szCs w:val="18"/>
              </w:rPr>
              <w:t>Other Expenses</w:t>
            </w:r>
            <w:r w:rsidRPr="00374599">
              <w:rPr>
                <w:rFonts w:cs="Calibri"/>
                <w:color w:val="FFFFFF" w:themeColor="background1"/>
                <w:sz w:val="18"/>
                <w:szCs w:val="18"/>
              </w:rPr>
              <w:t xml:space="preserve"> note are required regardless of their amount.</w:t>
            </w:r>
            <w:r w:rsidR="00FA7C77">
              <w:rPr>
                <w:rFonts w:cs="Calibri"/>
                <w:color w:val="FFFFFF" w:themeColor="background1"/>
                <w:sz w:val="18"/>
                <w:szCs w:val="18"/>
              </w:rPr>
              <w:t xml:space="preserve"> </w:t>
            </w:r>
            <w:r w:rsidRPr="00374599">
              <w:rPr>
                <w:rFonts w:cs="Calibri"/>
                <w:color w:val="FFFFFF" w:themeColor="background1"/>
                <w:sz w:val="18"/>
                <w:szCs w:val="18"/>
              </w:rPr>
              <w:t>However, where a prior period error is discovered in relation to a wavier, write-off or act of grace payment, then the error would have to be material by amount for a correction of a prior period error disclosure to be included in the ‘Change in Accounting Policy and Accounting Estimates, and Correction of a Prior Period Error’ Note.</w:t>
            </w:r>
            <w:r w:rsidR="00FA7C77">
              <w:rPr>
                <w:rFonts w:cs="Calibri"/>
                <w:color w:val="FFFFFF" w:themeColor="background1"/>
                <w:sz w:val="18"/>
                <w:szCs w:val="18"/>
              </w:rPr>
              <w:t xml:space="preserve"> </w:t>
            </w:r>
          </w:p>
        </w:tc>
      </w:tr>
      <w:tr w:rsidR="00374599" w:rsidRPr="00CF7E1B" w14:paraId="14F0AA87"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20"/>
          <w:tblHeader/>
        </w:trPr>
        <w:tc>
          <w:tcPr>
            <w:tcW w:w="738" w:type="pct"/>
            <w:tcBorders>
              <w:left w:val="single" w:sz="2" w:space="0" w:color="auto"/>
              <w:right w:val="single" w:sz="2" w:space="0" w:color="auto"/>
            </w:tcBorders>
          </w:tcPr>
          <w:p w14:paraId="54335324" w14:textId="77777777" w:rsidR="00374599" w:rsidRPr="00374599" w:rsidRDefault="00374599" w:rsidP="00374599">
            <w:pPr>
              <w:pStyle w:val="TableReference"/>
              <w:tabs>
                <w:tab w:val="left" w:pos="3306"/>
              </w:tabs>
              <w:spacing w:before="40"/>
              <w:rPr>
                <w:rFonts w:cs="Calibri"/>
                <w:color w:val="7030A0"/>
                <w:sz w:val="14"/>
              </w:rPr>
            </w:pPr>
          </w:p>
        </w:tc>
        <w:tc>
          <w:tcPr>
            <w:tcW w:w="4261" w:type="pct"/>
            <w:gridSpan w:val="13"/>
            <w:tcBorders>
              <w:left w:val="single" w:sz="2" w:space="0" w:color="auto"/>
            </w:tcBorders>
            <w:shd w:val="clear" w:color="auto" w:fill="7030A0"/>
          </w:tcPr>
          <w:p w14:paraId="50096EE8" w14:textId="02ADD421" w:rsidR="00374599" w:rsidRPr="00CC1E25" w:rsidRDefault="00374599" w:rsidP="00CC1E25">
            <w:pPr>
              <w:pStyle w:val="CommentaryText"/>
              <w:spacing w:after="40"/>
              <w:rPr>
                <w:rFonts w:cs="Calibri"/>
                <w:strike/>
                <w:color w:val="FFFFFF" w:themeColor="background1"/>
                <w:szCs w:val="20"/>
              </w:rPr>
            </w:pPr>
            <w:r w:rsidRPr="00CC1E25">
              <w:rPr>
                <w:rFonts w:cs="Calibri"/>
                <w:b/>
                <w:bCs/>
                <w:color w:val="FFFFFF" w:themeColor="background1"/>
                <w:szCs w:val="20"/>
              </w:rPr>
              <w:t>Decrease in Monies due to Fraud</w:t>
            </w:r>
          </w:p>
        </w:tc>
      </w:tr>
      <w:tr w:rsidR="00374599" w:rsidRPr="00CF7E1B" w14:paraId="085DFEBC"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164704D6" w14:textId="5F8655AA"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Chief Minister’s Annual Report Directions</w:t>
            </w:r>
          </w:p>
        </w:tc>
        <w:tc>
          <w:tcPr>
            <w:tcW w:w="4261" w:type="pct"/>
            <w:gridSpan w:val="13"/>
            <w:tcBorders>
              <w:left w:val="single" w:sz="2" w:space="0" w:color="auto"/>
            </w:tcBorders>
            <w:shd w:val="clear" w:color="auto" w:fill="7030A0"/>
          </w:tcPr>
          <w:p w14:paraId="3D914056" w14:textId="61AF9F46" w:rsidR="00374599" w:rsidRPr="00374599" w:rsidRDefault="00374599" w:rsidP="00374599">
            <w:pPr>
              <w:pStyle w:val="CommentaryText"/>
              <w:rPr>
                <w:rFonts w:cs="Calibri"/>
                <w:strike/>
                <w:color w:val="FFFFFF" w:themeColor="background1"/>
                <w:sz w:val="18"/>
                <w:szCs w:val="18"/>
              </w:rPr>
            </w:pPr>
            <w:r w:rsidRPr="00374599">
              <w:rPr>
                <w:rFonts w:cs="Calibri"/>
                <w:color w:val="FFFFFF" w:themeColor="background1"/>
                <w:sz w:val="18"/>
                <w:szCs w:val="18"/>
              </w:rPr>
              <w:t xml:space="preserve">The Chief Minister’s Annual Report Directions requires further disclosure of fraud in the Annual Report. </w:t>
            </w:r>
          </w:p>
        </w:tc>
      </w:tr>
      <w:tr w:rsidR="00374599" w:rsidRPr="00CF7E1B" w14:paraId="0154ADFF"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1"/>
          <w:tblHeader/>
        </w:trPr>
        <w:tc>
          <w:tcPr>
            <w:tcW w:w="738" w:type="pct"/>
            <w:tcBorders>
              <w:left w:val="single" w:sz="2" w:space="0" w:color="auto"/>
              <w:right w:val="single" w:sz="2" w:space="0" w:color="auto"/>
            </w:tcBorders>
          </w:tcPr>
          <w:p w14:paraId="0789B5B5" w14:textId="77777777" w:rsidR="00374599" w:rsidRPr="00374599" w:rsidRDefault="00374599" w:rsidP="00374599">
            <w:pPr>
              <w:pStyle w:val="TableReference"/>
              <w:tabs>
                <w:tab w:val="left" w:pos="3306"/>
              </w:tabs>
              <w:rPr>
                <w:rFonts w:cs="Calibri"/>
                <w:color w:val="7030A0"/>
                <w:sz w:val="16"/>
                <w:szCs w:val="16"/>
              </w:rPr>
            </w:pPr>
          </w:p>
        </w:tc>
        <w:tc>
          <w:tcPr>
            <w:tcW w:w="4261" w:type="pct"/>
            <w:gridSpan w:val="13"/>
            <w:tcBorders>
              <w:left w:val="single" w:sz="2" w:space="0" w:color="auto"/>
              <w:bottom w:val="nil"/>
            </w:tcBorders>
            <w:shd w:val="clear" w:color="auto" w:fill="7030A0"/>
          </w:tcPr>
          <w:p w14:paraId="490C8B9C" w14:textId="42F557EA" w:rsidR="00374599" w:rsidRPr="00B81B19" w:rsidRDefault="00374599" w:rsidP="00CC1E25">
            <w:pPr>
              <w:pStyle w:val="CommentaryText"/>
              <w:spacing w:after="40"/>
              <w:rPr>
                <w:rFonts w:cs="Calibri"/>
                <w:color w:val="FFFFFF" w:themeColor="background1"/>
                <w:szCs w:val="20"/>
              </w:rPr>
            </w:pPr>
            <w:r w:rsidRPr="00B81B19">
              <w:rPr>
                <w:rFonts w:cs="Calibri"/>
                <w:b/>
                <w:bCs/>
                <w:color w:val="FFFFFF" w:themeColor="background1"/>
                <w:szCs w:val="20"/>
              </w:rPr>
              <w:t>Act of Grace Payments</w:t>
            </w:r>
          </w:p>
        </w:tc>
      </w:tr>
      <w:tr w:rsidR="00374599" w:rsidRPr="00374599" w14:paraId="4D3780CA"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28A3B421" w14:textId="77777777"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AASB 101.7</w:t>
            </w:r>
          </w:p>
          <w:p w14:paraId="543F0DDE" w14:textId="5F34F5AF"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AASB108.5</w:t>
            </w:r>
            <w:r w:rsidR="00FA7C77">
              <w:rPr>
                <w:rFonts w:cs="Calibri"/>
                <w:color w:val="7030A0"/>
                <w:sz w:val="14"/>
              </w:rPr>
              <w:t xml:space="preserve"> </w:t>
            </w:r>
          </w:p>
          <w:p w14:paraId="22157904" w14:textId="672D69C1"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ACT Disclosure Policy</w:t>
            </w:r>
          </w:p>
        </w:tc>
        <w:tc>
          <w:tcPr>
            <w:tcW w:w="4261" w:type="pct"/>
            <w:gridSpan w:val="13"/>
            <w:tcBorders>
              <w:left w:val="single" w:sz="2" w:space="0" w:color="auto"/>
              <w:bottom w:val="nil"/>
            </w:tcBorders>
            <w:shd w:val="clear" w:color="auto" w:fill="7030A0"/>
          </w:tcPr>
          <w:p w14:paraId="2CD046C3" w14:textId="6B538422" w:rsidR="00374599" w:rsidRPr="00374599" w:rsidRDefault="00374599" w:rsidP="00374599">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 xml:space="preserve">The </w:t>
            </w:r>
            <w:r w:rsidRPr="00374599">
              <w:rPr>
                <w:rFonts w:cs="Calibri"/>
                <w:i/>
                <w:iCs/>
                <w:color w:val="FFFFFF" w:themeColor="background1"/>
                <w:sz w:val="18"/>
                <w:szCs w:val="18"/>
              </w:rPr>
              <w:t>Financial Management Act 1996</w:t>
            </w:r>
            <w:r w:rsidRPr="00374599">
              <w:rPr>
                <w:rFonts w:cs="Calibri"/>
                <w:color w:val="FFFFFF" w:themeColor="background1"/>
                <w:sz w:val="18"/>
                <w:szCs w:val="18"/>
              </w:rPr>
              <w:t xml:space="preserve"> (FMA) states that an Act of Grace Payment made by a directorate must be reported in the notes to its financial statements in the reporting period the payments are made.</w:t>
            </w:r>
            <w:r w:rsidR="00FA7C77">
              <w:rPr>
                <w:rFonts w:cs="Calibri"/>
                <w:color w:val="FFFFFF" w:themeColor="background1"/>
                <w:sz w:val="18"/>
                <w:szCs w:val="18"/>
              </w:rPr>
              <w:t xml:space="preserve"> </w:t>
            </w:r>
          </w:p>
        </w:tc>
      </w:tr>
      <w:tr w:rsidR="00374599" w:rsidRPr="00CF7E1B" w14:paraId="2C4A3DB3"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9"/>
        </w:trPr>
        <w:tc>
          <w:tcPr>
            <w:tcW w:w="738" w:type="pct"/>
            <w:tcBorders>
              <w:top w:val="nil"/>
              <w:left w:val="single" w:sz="2" w:space="0" w:color="auto"/>
              <w:bottom w:val="nil"/>
              <w:right w:val="single" w:sz="2" w:space="0" w:color="auto"/>
            </w:tcBorders>
          </w:tcPr>
          <w:p w14:paraId="4B9F7B76" w14:textId="77777777"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FMA sec 130(8)</w:t>
            </w:r>
          </w:p>
          <w:p w14:paraId="1CE45E6B" w14:textId="01DB0F09"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FMA sec 130(9)</w:t>
            </w:r>
          </w:p>
          <w:p w14:paraId="0957A2F3" w14:textId="3D922F0F" w:rsidR="00374599" w:rsidRPr="00374599" w:rsidRDefault="00374599" w:rsidP="00374599">
            <w:pPr>
              <w:pStyle w:val="TableReference"/>
              <w:tabs>
                <w:tab w:val="left" w:pos="3306"/>
              </w:tabs>
              <w:rPr>
                <w:rFonts w:cs="Calibri"/>
                <w:color w:val="7030A0"/>
                <w:sz w:val="16"/>
                <w:szCs w:val="16"/>
              </w:rPr>
            </w:pPr>
          </w:p>
        </w:tc>
        <w:tc>
          <w:tcPr>
            <w:tcW w:w="4261" w:type="pct"/>
            <w:gridSpan w:val="13"/>
            <w:tcBorders>
              <w:left w:val="single" w:sz="2" w:space="0" w:color="auto"/>
              <w:bottom w:val="nil"/>
            </w:tcBorders>
            <w:shd w:val="clear" w:color="auto" w:fill="7030A0"/>
          </w:tcPr>
          <w:p w14:paraId="0212F4E9" w14:textId="6A8A4D07" w:rsidR="00374599" w:rsidRPr="00374599" w:rsidRDefault="00374599" w:rsidP="00374599">
            <w:pPr>
              <w:pStyle w:val="CommentaryText"/>
              <w:tabs>
                <w:tab w:val="left" w:pos="3306"/>
              </w:tabs>
              <w:rPr>
                <w:rFonts w:cs="Calibri"/>
                <w:strike/>
                <w:color w:val="FFFFFF" w:themeColor="background1"/>
                <w:sz w:val="18"/>
                <w:szCs w:val="18"/>
              </w:rPr>
            </w:pPr>
            <w:r w:rsidRPr="00374599">
              <w:rPr>
                <w:rFonts w:cs="Calibri"/>
                <w:color w:val="FFFFFF" w:themeColor="background1"/>
                <w:sz w:val="18"/>
                <w:szCs w:val="18"/>
              </w:rPr>
              <w:t>The FMA states that the notes to the financial statements must indicate the amount and grounds for each Act of Grace payment.</w:t>
            </w:r>
            <w:r w:rsidR="00FA7C77">
              <w:rPr>
                <w:rFonts w:cs="Calibri"/>
                <w:color w:val="FFFFFF" w:themeColor="background1"/>
                <w:sz w:val="18"/>
                <w:szCs w:val="18"/>
              </w:rPr>
              <w:t xml:space="preserve"> </w:t>
            </w:r>
            <w:r w:rsidRPr="00374599">
              <w:rPr>
                <w:rFonts w:cs="Calibri"/>
                <w:color w:val="FFFFFF" w:themeColor="background1"/>
                <w:sz w:val="18"/>
                <w:szCs w:val="18"/>
              </w:rPr>
              <w:t>Where there are Act of Grace Payments which relate to the same event/situation, they can be grouped in one line item in the ‘Breakdown of Act of Grace Payments’ section of the ‘Other Expenses’ Note.</w:t>
            </w:r>
            <w:r w:rsidR="00FA7C77">
              <w:rPr>
                <w:rFonts w:cs="Calibri"/>
                <w:color w:val="FFFFFF" w:themeColor="background1"/>
                <w:sz w:val="18"/>
                <w:szCs w:val="18"/>
              </w:rPr>
              <w:t xml:space="preserve"> </w:t>
            </w:r>
            <w:r w:rsidRPr="00374599">
              <w:rPr>
                <w:rFonts w:cs="Calibri"/>
                <w:color w:val="FFFFFF" w:themeColor="background1"/>
                <w:sz w:val="18"/>
                <w:szCs w:val="18"/>
              </w:rPr>
              <w:t>Then the total number of individual Act of Grace Payments included in that line item are required to be disclosed for that line item.</w:t>
            </w:r>
            <w:r w:rsidR="00FA7C77">
              <w:rPr>
                <w:rFonts w:cs="Calibri"/>
                <w:color w:val="FFFFFF" w:themeColor="background1"/>
                <w:sz w:val="18"/>
                <w:szCs w:val="18"/>
              </w:rPr>
              <w:t xml:space="preserve"> </w:t>
            </w:r>
            <w:r w:rsidRPr="00374599">
              <w:rPr>
                <w:rFonts w:cs="Calibri"/>
                <w:color w:val="FFFFFF" w:themeColor="background1"/>
                <w:sz w:val="18"/>
                <w:szCs w:val="18"/>
              </w:rPr>
              <w:t>For example, in the above note, there are four individual payments relating to an oversight made by ‘</w:t>
            </w:r>
            <w:r w:rsidRPr="00374599">
              <w:rPr>
                <w:color w:val="FFFFFF" w:themeColor="background1"/>
                <w:sz w:val="18"/>
                <w:szCs w:val="18"/>
              </w:rPr>
              <w:t xml:space="preserve">Burley Griffin </w:t>
            </w:r>
            <w:r w:rsidRPr="00374599">
              <w:rPr>
                <w:rFonts w:cs="Calibri"/>
                <w:color w:val="FFFFFF" w:themeColor="background1"/>
                <w:sz w:val="18"/>
                <w:szCs w:val="18"/>
              </w:rPr>
              <w:t>Agency’ regarding land development applications.</w:t>
            </w:r>
            <w:r w:rsidR="00FA7C77">
              <w:rPr>
                <w:rFonts w:cs="Calibri"/>
                <w:color w:val="FFFFFF" w:themeColor="background1"/>
                <w:sz w:val="18"/>
                <w:szCs w:val="18"/>
              </w:rPr>
              <w:t xml:space="preserve"> </w:t>
            </w:r>
            <w:r w:rsidRPr="00374599">
              <w:rPr>
                <w:rFonts w:cs="Calibri"/>
                <w:color w:val="FFFFFF" w:themeColor="background1"/>
                <w:sz w:val="18"/>
                <w:szCs w:val="18"/>
              </w:rPr>
              <w:t>Therefore this is disclosed as a single line item and would include four against the number of Act of Grace Payments for that line item.</w:t>
            </w:r>
          </w:p>
        </w:tc>
      </w:tr>
      <w:tr w:rsidR="00374599" w:rsidRPr="00CF7E1B" w14:paraId="7D06FB1B"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738" w:type="pct"/>
            <w:tcBorders>
              <w:top w:val="nil"/>
              <w:left w:val="single" w:sz="2" w:space="0" w:color="auto"/>
              <w:bottom w:val="nil"/>
              <w:right w:val="single" w:sz="2" w:space="0" w:color="auto"/>
            </w:tcBorders>
          </w:tcPr>
          <w:p w14:paraId="0D956EFB"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FMA sec 130(10)</w:t>
            </w:r>
          </w:p>
          <w:p w14:paraId="629AE770" w14:textId="2C242638"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61" w:type="pct"/>
            <w:gridSpan w:val="13"/>
            <w:tcBorders>
              <w:left w:val="single" w:sz="2" w:space="0" w:color="auto"/>
              <w:bottom w:val="nil"/>
            </w:tcBorders>
            <w:shd w:val="clear" w:color="auto" w:fill="7030A0"/>
          </w:tcPr>
          <w:p w14:paraId="6BAD93AB" w14:textId="35AFADC6" w:rsidR="00374599" w:rsidRPr="00374599" w:rsidRDefault="00374599" w:rsidP="00374599">
            <w:pPr>
              <w:pStyle w:val="CommentaryText"/>
              <w:tabs>
                <w:tab w:val="left" w:pos="3306"/>
              </w:tabs>
              <w:spacing w:after="0"/>
              <w:rPr>
                <w:rFonts w:cs="Calibri"/>
                <w:color w:val="FFFFFF" w:themeColor="background1"/>
                <w:sz w:val="18"/>
                <w:szCs w:val="18"/>
              </w:rPr>
            </w:pPr>
            <w:r w:rsidRPr="00374599">
              <w:rPr>
                <w:rFonts w:cs="Calibri"/>
                <w:color w:val="FFFFFF" w:themeColor="background1"/>
                <w:sz w:val="18"/>
                <w:szCs w:val="18"/>
              </w:rPr>
              <w:t>The FMA also states that the financial statements shall not disclose the identity of an Act of Grace Payment recipient unless disclosure was agreed to by the recipient.</w:t>
            </w:r>
            <w:r w:rsidR="00FA7C77">
              <w:rPr>
                <w:rFonts w:cs="Calibri"/>
                <w:color w:val="FFFFFF" w:themeColor="background1"/>
                <w:sz w:val="18"/>
                <w:szCs w:val="18"/>
              </w:rPr>
              <w:t xml:space="preserve"> </w:t>
            </w:r>
            <w:r w:rsidRPr="00374599">
              <w:rPr>
                <w:rFonts w:cs="Calibri"/>
                <w:color w:val="FFFFFF" w:themeColor="background1"/>
                <w:sz w:val="18"/>
                <w:szCs w:val="18"/>
              </w:rPr>
              <w:t xml:space="preserve">ACT Disclosure Policy also requires that a description of an Act of Grace Payment or group of payments be included in the financial statements of the directorate or territory authority where it makes an Act of Grace Payment. </w:t>
            </w:r>
          </w:p>
        </w:tc>
      </w:tr>
      <w:tr w:rsidR="00374599" w:rsidRPr="00CF7E1B" w14:paraId="5D9D3618"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738" w:type="pct"/>
            <w:tcBorders>
              <w:top w:val="nil"/>
              <w:left w:val="single" w:sz="2" w:space="0" w:color="auto"/>
              <w:bottom w:val="nil"/>
              <w:right w:val="single" w:sz="2" w:space="0" w:color="auto"/>
            </w:tcBorders>
          </w:tcPr>
          <w:p w14:paraId="157831AD" w14:textId="77777777" w:rsidR="00374599" w:rsidRPr="00374599" w:rsidRDefault="00374599" w:rsidP="00374599">
            <w:pPr>
              <w:pStyle w:val="TableReference"/>
              <w:tabs>
                <w:tab w:val="left" w:pos="3306"/>
              </w:tabs>
              <w:spacing w:before="120"/>
              <w:rPr>
                <w:rFonts w:cs="Calibri"/>
                <w:color w:val="7030A0"/>
                <w:sz w:val="14"/>
              </w:rPr>
            </w:pPr>
          </w:p>
        </w:tc>
        <w:tc>
          <w:tcPr>
            <w:tcW w:w="4261" w:type="pct"/>
            <w:gridSpan w:val="13"/>
            <w:tcBorders>
              <w:left w:val="single" w:sz="2" w:space="0" w:color="auto"/>
              <w:bottom w:val="nil"/>
            </w:tcBorders>
            <w:shd w:val="clear" w:color="auto" w:fill="7030A0"/>
          </w:tcPr>
          <w:p w14:paraId="3F16829A" w14:textId="2C679874" w:rsidR="00374599" w:rsidRPr="00B81B19" w:rsidRDefault="00374599" w:rsidP="00CC1E25">
            <w:pPr>
              <w:pStyle w:val="CommentaryText"/>
              <w:spacing w:before="120" w:after="40"/>
              <w:rPr>
                <w:rFonts w:cs="Calibri"/>
                <w:b/>
                <w:bCs/>
                <w:color w:val="FFFFFF" w:themeColor="background1"/>
                <w:szCs w:val="20"/>
              </w:rPr>
            </w:pPr>
            <w:r w:rsidRPr="00B81B19">
              <w:rPr>
                <w:rFonts w:cs="Calibri"/>
                <w:b/>
                <w:bCs/>
                <w:color w:val="FFFFFF" w:themeColor="background1"/>
                <w:szCs w:val="20"/>
              </w:rPr>
              <w:t>Waiver</w:t>
            </w:r>
          </w:p>
        </w:tc>
      </w:tr>
      <w:tr w:rsidR="00374599" w:rsidRPr="00374599" w14:paraId="5ECBA837"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7A7916EF" w14:textId="77777777" w:rsidR="00374599" w:rsidRPr="00374599" w:rsidRDefault="00374599" w:rsidP="00374599">
            <w:pPr>
              <w:pStyle w:val="TableReference"/>
              <w:tabs>
                <w:tab w:val="left" w:pos="3306"/>
              </w:tabs>
              <w:rPr>
                <w:rFonts w:cs="Calibri"/>
                <w:color w:val="7030A0"/>
                <w:sz w:val="14"/>
              </w:rPr>
            </w:pPr>
          </w:p>
          <w:p w14:paraId="1271C55D" w14:textId="77777777" w:rsidR="00374599" w:rsidRPr="00374599" w:rsidRDefault="00374599" w:rsidP="00374599">
            <w:pPr>
              <w:pStyle w:val="TableReference"/>
              <w:tabs>
                <w:tab w:val="left" w:pos="3306"/>
              </w:tabs>
              <w:rPr>
                <w:rFonts w:cs="Calibri"/>
                <w:color w:val="7030A0"/>
                <w:sz w:val="14"/>
              </w:rPr>
            </w:pPr>
          </w:p>
        </w:tc>
        <w:tc>
          <w:tcPr>
            <w:tcW w:w="4261" w:type="pct"/>
            <w:gridSpan w:val="13"/>
            <w:tcBorders>
              <w:left w:val="single" w:sz="2" w:space="0" w:color="auto"/>
            </w:tcBorders>
            <w:shd w:val="clear" w:color="auto" w:fill="7030A0"/>
          </w:tcPr>
          <w:p w14:paraId="31AD420D" w14:textId="13993474" w:rsidR="00374599" w:rsidRPr="00374599" w:rsidRDefault="00374599" w:rsidP="00374599">
            <w:pPr>
              <w:pStyle w:val="TableText"/>
              <w:spacing w:before="0" w:after="120"/>
              <w:jc w:val="both"/>
              <w:rPr>
                <w:rFonts w:cs="Calibri"/>
                <w:color w:val="FFFFFF" w:themeColor="background1"/>
              </w:rPr>
            </w:pPr>
            <w:r w:rsidRPr="00374599">
              <w:rPr>
                <w:rFonts w:cs="Calibri"/>
                <w:color w:val="FFFFFF" w:themeColor="background1"/>
              </w:rPr>
              <w:t>A waiver is the relinquishment of a legal claim to a debt.</w:t>
            </w:r>
            <w:r w:rsidR="00FA7C77">
              <w:rPr>
                <w:rFonts w:cs="Calibri"/>
                <w:color w:val="FFFFFF" w:themeColor="background1"/>
              </w:rPr>
              <w:t xml:space="preserve"> </w:t>
            </w:r>
            <w:r w:rsidRPr="00374599">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374599">
              <w:rPr>
                <w:rFonts w:cs="Calibri"/>
                <w:color w:val="FFFFFF" w:themeColor="background1"/>
              </w:rPr>
              <w:t>A write-off of debts may occur for reasons other than waivers.</w:t>
            </w:r>
          </w:p>
        </w:tc>
      </w:tr>
      <w:tr w:rsidR="00374599" w:rsidRPr="00374599" w14:paraId="1F20A1D2"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4601285C"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FMA sec 131 (3)</w:t>
            </w:r>
          </w:p>
          <w:p w14:paraId="35763E38"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ACT Disclosure Policy</w:t>
            </w:r>
          </w:p>
        </w:tc>
        <w:tc>
          <w:tcPr>
            <w:tcW w:w="4261" w:type="pct"/>
            <w:gridSpan w:val="13"/>
            <w:tcBorders>
              <w:left w:val="single" w:sz="2" w:space="0" w:color="auto"/>
            </w:tcBorders>
            <w:shd w:val="clear" w:color="auto" w:fill="7030A0"/>
          </w:tcPr>
          <w:p w14:paraId="143DBA4C" w14:textId="3B26CD9C" w:rsidR="00374599" w:rsidRPr="00374599" w:rsidRDefault="00374599" w:rsidP="00374599">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The FMA requires that a waiver relating to an amount payable to the Territory shall be reported in the notes to the financial statements of the relevant agency that relate to the year in which the right to payment was waived.</w:t>
            </w:r>
          </w:p>
        </w:tc>
      </w:tr>
      <w:tr w:rsidR="00374599" w:rsidRPr="00374599" w14:paraId="1B21555D" w14:textId="77777777" w:rsidTr="005F5F7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41ECAF35" w14:textId="77777777" w:rsidR="00374599" w:rsidRPr="00374599" w:rsidRDefault="00374599" w:rsidP="00374599">
            <w:pPr>
              <w:pStyle w:val="TableReference"/>
              <w:tabs>
                <w:tab w:val="left" w:pos="3306"/>
              </w:tabs>
              <w:spacing w:before="60"/>
              <w:rPr>
                <w:rFonts w:cs="Calibri"/>
                <w:color w:val="7030A0"/>
                <w:sz w:val="14"/>
              </w:rPr>
            </w:pPr>
          </w:p>
        </w:tc>
        <w:tc>
          <w:tcPr>
            <w:tcW w:w="4261" w:type="pct"/>
            <w:gridSpan w:val="13"/>
            <w:tcBorders>
              <w:left w:val="single" w:sz="2" w:space="0" w:color="auto"/>
            </w:tcBorders>
            <w:shd w:val="clear" w:color="auto" w:fill="7030A0"/>
          </w:tcPr>
          <w:p w14:paraId="300A6DC1" w14:textId="3AC64711" w:rsidR="00374599" w:rsidRPr="00374599" w:rsidRDefault="00374599" w:rsidP="00374599">
            <w:pPr>
              <w:pStyle w:val="TableText"/>
              <w:spacing w:before="0" w:after="120"/>
              <w:jc w:val="both"/>
              <w:rPr>
                <w:rFonts w:cs="Calibri"/>
                <w:color w:val="FFFFFF" w:themeColor="background1"/>
              </w:rPr>
            </w:pPr>
            <w:r w:rsidRPr="00374599">
              <w:rPr>
                <w:rFonts w:cs="Calibri"/>
                <w:color w:val="FFFFFF" w:themeColor="background1"/>
              </w:rPr>
              <w:t>If an agency has waivers associated with a government policy, then the note should provide details of waivers by policy type.</w:t>
            </w:r>
            <w:r w:rsidR="00FA7C77">
              <w:rPr>
                <w:rFonts w:cs="Calibri"/>
                <w:color w:val="FFFFFF" w:themeColor="background1"/>
              </w:rPr>
              <w:t xml:space="preserve"> </w:t>
            </w:r>
            <w:r w:rsidRPr="00374599">
              <w:rPr>
                <w:rFonts w:cs="Calibri"/>
                <w:color w:val="FFFFFF" w:themeColor="background1"/>
              </w:rPr>
              <w:t>Individual recipients of waivers should not be identified unless they have agreed to such disclosure.</w:t>
            </w:r>
          </w:p>
        </w:tc>
      </w:tr>
      <w:bookmarkEnd w:id="525"/>
    </w:tbl>
    <w:p w14:paraId="4364100B" w14:textId="70C85F91" w:rsidR="00F37E6F" w:rsidRDefault="00F37E6F">
      <w:pPr>
        <w:pStyle w:val="Header"/>
        <w:tabs>
          <w:tab w:val="clear" w:pos="4153"/>
          <w:tab w:val="clear" w:pos="8306"/>
        </w:tabs>
        <w:rPr>
          <w:rFonts w:cs="Calibri"/>
          <w:sz w:val="20"/>
          <w:szCs w:val="20"/>
        </w:rPr>
      </w:pP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6185"/>
        <w:gridCol w:w="1211"/>
        <w:gridCol w:w="1551"/>
      </w:tblGrid>
      <w:tr w:rsidR="008D14EE" w:rsidRPr="00737E3B" w14:paraId="0A8337D0" w14:textId="77777777" w:rsidTr="000159C3">
        <w:tc>
          <w:tcPr>
            <w:tcW w:w="737" w:type="pct"/>
            <w:tcBorders>
              <w:top w:val="nil"/>
              <w:left w:val="single" w:sz="2" w:space="0" w:color="auto"/>
              <w:bottom w:val="nil"/>
              <w:right w:val="single" w:sz="2" w:space="0" w:color="auto"/>
            </w:tcBorders>
          </w:tcPr>
          <w:p w14:paraId="2004A8D5" w14:textId="2B675225" w:rsidR="008D14EE" w:rsidRPr="00D6550C" w:rsidRDefault="00975FEC" w:rsidP="000159C3">
            <w:pPr>
              <w:pStyle w:val="Reference"/>
              <w:tabs>
                <w:tab w:val="left" w:pos="3306"/>
              </w:tabs>
              <w:spacing w:before="240" w:after="240"/>
              <w:rPr>
                <w:rFonts w:cs="Calibri"/>
                <w:color w:val="7030A0"/>
                <w:sz w:val="22"/>
                <w:szCs w:val="22"/>
              </w:rPr>
            </w:pPr>
            <w:r w:rsidRPr="00D6550C">
              <w:rPr>
                <w:rFonts w:cs="Calibri"/>
                <w:color w:val="7030A0"/>
                <w:sz w:val="22"/>
                <w:szCs w:val="22"/>
              </w:rPr>
              <w:t>Reference</w:t>
            </w:r>
          </w:p>
        </w:tc>
        <w:tc>
          <w:tcPr>
            <w:tcW w:w="4263" w:type="pct"/>
            <w:gridSpan w:val="3"/>
            <w:tcBorders>
              <w:top w:val="nil"/>
              <w:left w:val="single" w:sz="2" w:space="0" w:color="auto"/>
              <w:bottom w:val="nil"/>
              <w:right w:val="nil"/>
            </w:tcBorders>
          </w:tcPr>
          <w:p w14:paraId="6DCDC81F" w14:textId="0B7C2FD6" w:rsidR="008D14EE" w:rsidRPr="00D6550C" w:rsidRDefault="00400BFD" w:rsidP="000159C3">
            <w:pPr>
              <w:pStyle w:val="Heading1"/>
              <w:numPr>
                <w:ilvl w:val="0"/>
                <w:numId w:val="0"/>
              </w:numPr>
              <w:ind w:left="34"/>
              <w:rPr>
                <w:rFonts w:asciiTheme="minorHAnsi" w:hAnsiTheme="minorHAnsi" w:cstheme="minorHAnsi"/>
                <w:sz w:val="36"/>
                <w:szCs w:val="36"/>
              </w:rPr>
            </w:pPr>
            <w:bookmarkStart w:id="541" w:name="_Toc132743798"/>
            <w:r>
              <w:rPr>
                <w:rFonts w:asciiTheme="minorHAnsi" w:hAnsiTheme="minorHAnsi" w:cstheme="minorHAnsi"/>
                <w:sz w:val="36"/>
                <w:szCs w:val="36"/>
              </w:rPr>
              <w:t>Asset Notes</w:t>
            </w:r>
            <w:bookmarkEnd w:id="541"/>
            <w:r w:rsidR="00FA7C77">
              <w:rPr>
                <w:rFonts w:asciiTheme="minorHAnsi" w:hAnsiTheme="minorHAnsi" w:cstheme="minorHAnsi"/>
                <w:sz w:val="36"/>
                <w:szCs w:val="36"/>
              </w:rPr>
              <w:t xml:space="preserve">                             </w:t>
            </w:r>
          </w:p>
        </w:tc>
      </w:tr>
      <w:tr w:rsidR="008D14EE" w:rsidRPr="00FD6C68" w14:paraId="2FBE001C" w14:textId="77777777" w:rsidTr="005F5B4C">
        <w:tc>
          <w:tcPr>
            <w:tcW w:w="737" w:type="pct"/>
            <w:tcBorders>
              <w:top w:val="nil"/>
              <w:left w:val="single" w:sz="2" w:space="0" w:color="auto"/>
              <w:bottom w:val="nil"/>
              <w:right w:val="single" w:sz="2" w:space="0" w:color="auto"/>
            </w:tcBorders>
          </w:tcPr>
          <w:p w14:paraId="6700E56D" w14:textId="77777777" w:rsidR="008D14EE" w:rsidRPr="00D6550C" w:rsidRDefault="008D14EE" w:rsidP="009A0F2F">
            <w:pPr>
              <w:pStyle w:val="Reference"/>
              <w:tabs>
                <w:tab w:val="left" w:pos="3306"/>
              </w:tabs>
              <w:rPr>
                <w:rFonts w:cs="Calibri"/>
                <w:color w:val="7030A0"/>
                <w:sz w:val="14"/>
                <w:szCs w:val="14"/>
              </w:rPr>
            </w:pPr>
          </w:p>
        </w:tc>
        <w:tc>
          <w:tcPr>
            <w:tcW w:w="4263" w:type="pct"/>
            <w:gridSpan w:val="3"/>
            <w:tcBorders>
              <w:top w:val="nil"/>
              <w:left w:val="single" w:sz="2" w:space="0" w:color="auto"/>
              <w:bottom w:val="nil"/>
              <w:right w:val="nil"/>
            </w:tcBorders>
          </w:tcPr>
          <w:p w14:paraId="286E6FA6" w14:textId="561F4AFE" w:rsidR="008D14EE" w:rsidRPr="006D1C79" w:rsidRDefault="008D14EE" w:rsidP="006D1C79">
            <w:pPr>
              <w:jc w:val="both"/>
              <w:rPr>
                <w:rFonts w:asciiTheme="minorHAnsi" w:hAnsiTheme="minorHAnsi" w:cstheme="minorHAnsi"/>
                <w:b/>
                <w:bCs/>
                <w:sz w:val="18"/>
                <w:szCs w:val="18"/>
              </w:rPr>
            </w:pPr>
            <w:r w:rsidRPr="006D1C79">
              <w:rPr>
                <w:b/>
                <w:bCs/>
                <w:sz w:val="18"/>
                <w:szCs w:val="18"/>
              </w:rPr>
              <w:t xml:space="preserve">Material Accounting Policies – Assets </w:t>
            </w:r>
          </w:p>
        </w:tc>
      </w:tr>
      <w:tr w:rsidR="008D14EE" w14:paraId="12C8E20B" w14:textId="77777777" w:rsidTr="005F5B4C">
        <w:tc>
          <w:tcPr>
            <w:tcW w:w="737" w:type="pct"/>
            <w:tcBorders>
              <w:top w:val="nil"/>
              <w:left w:val="single" w:sz="2" w:space="0" w:color="auto"/>
              <w:bottom w:val="nil"/>
              <w:right w:val="single" w:sz="2" w:space="0" w:color="auto"/>
            </w:tcBorders>
          </w:tcPr>
          <w:p w14:paraId="2716EC9E" w14:textId="77777777" w:rsidR="008D14EE" w:rsidRPr="00D6550C" w:rsidRDefault="008D14EE" w:rsidP="009A0F2F">
            <w:pPr>
              <w:pStyle w:val="Reference"/>
              <w:tabs>
                <w:tab w:val="left" w:pos="3306"/>
              </w:tabs>
              <w:rPr>
                <w:rFonts w:cs="Calibri"/>
                <w:color w:val="7030A0"/>
                <w:sz w:val="14"/>
                <w:szCs w:val="14"/>
              </w:rPr>
            </w:pPr>
          </w:p>
        </w:tc>
        <w:tc>
          <w:tcPr>
            <w:tcW w:w="4263" w:type="pct"/>
            <w:gridSpan w:val="3"/>
            <w:tcBorders>
              <w:top w:val="nil"/>
              <w:left w:val="single" w:sz="2" w:space="0" w:color="auto"/>
              <w:bottom w:val="nil"/>
              <w:right w:val="nil"/>
            </w:tcBorders>
          </w:tcPr>
          <w:p w14:paraId="358036F3" w14:textId="5D92F132" w:rsidR="008D14EE" w:rsidRPr="00D6550C" w:rsidRDefault="008D14EE" w:rsidP="004B6F08">
            <w:pPr>
              <w:spacing w:before="120"/>
              <w:rPr>
                <w:rFonts w:cs="Calibri"/>
                <w:b/>
                <w:bCs/>
                <w:sz w:val="18"/>
                <w:szCs w:val="18"/>
              </w:rPr>
            </w:pPr>
            <w:r w:rsidRPr="00D6550C">
              <w:rPr>
                <w:rFonts w:cs="Calibri"/>
                <w:b/>
                <w:bCs/>
                <w:sz w:val="18"/>
                <w:szCs w:val="18"/>
              </w:rPr>
              <w:t xml:space="preserve">Assets – Current and Non-Current </w:t>
            </w:r>
          </w:p>
        </w:tc>
      </w:tr>
      <w:tr w:rsidR="008D14EE" w14:paraId="682EC5FB" w14:textId="77777777" w:rsidTr="005F5B4C">
        <w:tc>
          <w:tcPr>
            <w:tcW w:w="737" w:type="pct"/>
            <w:tcBorders>
              <w:top w:val="nil"/>
              <w:left w:val="single" w:sz="2" w:space="0" w:color="auto"/>
              <w:bottom w:val="nil"/>
              <w:right w:val="single" w:sz="2" w:space="0" w:color="auto"/>
            </w:tcBorders>
          </w:tcPr>
          <w:p w14:paraId="3F948AB3" w14:textId="2BAFE90C" w:rsidR="008D14EE" w:rsidRPr="00D6550C" w:rsidRDefault="008D14EE" w:rsidP="009A0F2F">
            <w:pPr>
              <w:pStyle w:val="Reference"/>
              <w:tabs>
                <w:tab w:val="left" w:pos="3306"/>
              </w:tabs>
              <w:rPr>
                <w:color w:val="7030A0"/>
                <w:sz w:val="18"/>
              </w:rPr>
            </w:pPr>
            <w:r w:rsidRPr="00D6550C">
              <w:rPr>
                <w:b w:val="0"/>
                <w:bCs w:val="0"/>
                <w:color w:val="7030A0"/>
                <w:sz w:val="14"/>
                <w:szCs w:val="14"/>
              </w:rPr>
              <w:t>AASB 101.60 &amp; 66</w:t>
            </w:r>
          </w:p>
        </w:tc>
        <w:tc>
          <w:tcPr>
            <w:tcW w:w="4263" w:type="pct"/>
            <w:gridSpan w:val="3"/>
            <w:tcBorders>
              <w:top w:val="nil"/>
              <w:left w:val="single" w:sz="2" w:space="0" w:color="auto"/>
              <w:bottom w:val="nil"/>
              <w:right w:val="nil"/>
            </w:tcBorders>
          </w:tcPr>
          <w:p w14:paraId="4099D28A" w14:textId="219BD052" w:rsidR="008D14EE" w:rsidRPr="00D6550C" w:rsidRDefault="008D14EE" w:rsidP="008D14EE">
            <w:pPr>
              <w:jc w:val="both"/>
              <w:rPr>
                <w:sz w:val="18"/>
                <w:szCs w:val="18"/>
              </w:rPr>
            </w:pPr>
            <w:r w:rsidRPr="00D6550C">
              <w:rPr>
                <w:sz w:val="18"/>
                <w:szCs w:val="18"/>
              </w:rPr>
              <w:t>Assets are classified as current where they are expected to be realised within 12 months after the reporting date.</w:t>
            </w:r>
            <w:r w:rsidR="00FA7C77">
              <w:rPr>
                <w:sz w:val="18"/>
                <w:szCs w:val="18"/>
              </w:rPr>
              <w:t xml:space="preserve"> </w:t>
            </w:r>
            <w:r w:rsidRPr="00D6550C">
              <w:rPr>
                <w:sz w:val="18"/>
                <w:szCs w:val="18"/>
              </w:rPr>
              <w:t>Assets, which do not fall within the current classification, are classified as non-current.</w:t>
            </w:r>
          </w:p>
        </w:tc>
      </w:tr>
      <w:tr w:rsidR="008D14EE" w:rsidRPr="00DD296A" w14:paraId="19891CC4" w14:textId="77777777" w:rsidTr="005F5B4C">
        <w:trPr>
          <w:trHeight w:val="224"/>
        </w:trPr>
        <w:tc>
          <w:tcPr>
            <w:tcW w:w="737" w:type="pct"/>
            <w:tcBorders>
              <w:top w:val="nil"/>
              <w:left w:val="single" w:sz="2" w:space="0" w:color="auto"/>
              <w:bottom w:val="nil"/>
              <w:right w:val="single" w:sz="2" w:space="0" w:color="auto"/>
            </w:tcBorders>
          </w:tcPr>
          <w:p w14:paraId="63B57A57" w14:textId="77777777" w:rsidR="008D14EE" w:rsidRPr="00D6550C" w:rsidRDefault="008D14EE" w:rsidP="008D14EE">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44234E8C" w14:textId="77777777" w:rsidR="008D14EE" w:rsidRPr="00D6550C" w:rsidRDefault="008D14EE" w:rsidP="008D14EE">
            <w:pPr>
              <w:pStyle w:val="Heading1"/>
              <w:numPr>
                <w:ilvl w:val="0"/>
                <w:numId w:val="0"/>
              </w:numPr>
              <w:spacing w:before="0" w:after="0"/>
              <w:rPr>
                <w:sz w:val="18"/>
                <w:szCs w:val="18"/>
              </w:rPr>
            </w:pPr>
          </w:p>
        </w:tc>
      </w:tr>
      <w:tr w:rsidR="00CA5AA0" w:rsidRPr="00DD296A" w14:paraId="001872E4" w14:textId="77777777" w:rsidTr="005F5B4C">
        <w:trPr>
          <w:trHeight w:val="454"/>
        </w:trPr>
        <w:tc>
          <w:tcPr>
            <w:tcW w:w="737" w:type="pct"/>
            <w:tcBorders>
              <w:top w:val="nil"/>
              <w:left w:val="single" w:sz="2" w:space="0" w:color="auto"/>
              <w:bottom w:val="nil"/>
              <w:right w:val="single" w:sz="2" w:space="0" w:color="auto"/>
            </w:tcBorders>
          </w:tcPr>
          <w:p w14:paraId="39A877D3" w14:textId="1D0D89AC" w:rsidR="00CA5AA0" w:rsidRPr="00D6550C" w:rsidRDefault="00CA5AA0" w:rsidP="00DA3E2F">
            <w:pPr>
              <w:pStyle w:val="TableReference"/>
              <w:tabs>
                <w:tab w:val="left" w:pos="3306"/>
              </w:tabs>
              <w:spacing w:before="240"/>
              <w:rPr>
                <w:rFonts w:cs="Calibri"/>
                <w:b/>
                <w:color w:val="7030A0"/>
                <w:sz w:val="20"/>
                <w:szCs w:val="20"/>
              </w:rPr>
            </w:pPr>
          </w:p>
        </w:tc>
        <w:tc>
          <w:tcPr>
            <w:tcW w:w="4263" w:type="pct"/>
            <w:gridSpan w:val="3"/>
            <w:tcBorders>
              <w:top w:val="nil"/>
              <w:left w:val="single" w:sz="2" w:space="0" w:color="auto"/>
              <w:bottom w:val="nil"/>
              <w:right w:val="nil"/>
            </w:tcBorders>
          </w:tcPr>
          <w:p w14:paraId="0F09A555" w14:textId="3631504C" w:rsidR="00CA5AA0" w:rsidRPr="00D6550C" w:rsidRDefault="00CA5AA0" w:rsidP="00CA5AA0">
            <w:pPr>
              <w:pStyle w:val="Heading1"/>
              <w:numPr>
                <w:ilvl w:val="0"/>
                <w:numId w:val="0"/>
              </w:numPr>
              <w:rPr>
                <w:rFonts w:cs="Calibri"/>
                <w:sz w:val="16"/>
              </w:rPr>
            </w:pPr>
            <w:bookmarkStart w:id="542" w:name="_Toc49224073"/>
            <w:bookmarkStart w:id="543" w:name="_Ref50365550"/>
            <w:bookmarkStart w:id="544" w:name="_Toc50440369"/>
            <w:bookmarkStart w:id="545" w:name="_Ref50524096"/>
            <w:bookmarkStart w:id="546" w:name="_Toc400627341"/>
            <w:bookmarkStart w:id="547" w:name="_Toc132743799"/>
            <w:bookmarkStart w:id="548" w:name="Investments"/>
            <w:r w:rsidRPr="00D6550C">
              <w:t xml:space="preserve">Note </w:t>
            </w:r>
            <w:r w:rsidR="008B29B3" w:rsidRPr="00D6550C">
              <w:t>15</w:t>
            </w:r>
            <w:r w:rsidRPr="00D6550C">
              <w:t>.</w:t>
            </w:r>
            <w:r w:rsidR="00FA7C77">
              <w:t xml:space="preserve"> </w:t>
            </w:r>
            <w:r w:rsidRPr="00D6550C">
              <w:t xml:space="preserve"> </w:t>
            </w:r>
            <w:r w:rsidR="00136827">
              <w:t>Cash and</w:t>
            </w:r>
            <w:r w:rsidR="008E2A2F" w:rsidRPr="00D6550C">
              <w:t xml:space="preserve"> </w:t>
            </w:r>
            <w:r w:rsidRPr="00D6550C">
              <w:t>Investments</w:t>
            </w:r>
            <w:bookmarkEnd w:id="542"/>
            <w:bookmarkEnd w:id="543"/>
            <w:bookmarkEnd w:id="544"/>
            <w:bookmarkEnd w:id="545"/>
            <w:bookmarkEnd w:id="546"/>
            <w:bookmarkEnd w:id="547"/>
            <w:r w:rsidRPr="00D6550C">
              <w:t xml:space="preserve"> </w:t>
            </w:r>
            <w:bookmarkEnd w:id="548"/>
          </w:p>
        </w:tc>
      </w:tr>
      <w:tr w:rsidR="008E2A2F" w:rsidRPr="008E2A2F" w14:paraId="7AD512DC" w14:textId="77777777" w:rsidTr="005F5B4C">
        <w:trPr>
          <w:trHeight w:val="183"/>
        </w:trPr>
        <w:tc>
          <w:tcPr>
            <w:tcW w:w="737" w:type="pct"/>
            <w:tcBorders>
              <w:top w:val="nil"/>
              <w:left w:val="single" w:sz="2" w:space="0" w:color="auto"/>
              <w:bottom w:val="nil"/>
              <w:right w:val="single" w:sz="2" w:space="0" w:color="auto"/>
            </w:tcBorders>
          </w:tcPr>
          <w:p w14:paraId="1AA15458" w14:textId="77777777" w:rsidR="008E2A2F" w:rsidRPr="00D6550C" w:rsidRDefault="008E2A2F" w:rsidP="008E2A2F">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3A2D66FF" w14:textId="6BCD05BA" w:rsidR="008E2A2F" w:rsidRPr="006D1C79" w:rsidRDefault="008E2A2F" w:rsidP="006D1C79">
            <w:pPr>
              <w:jc w:val="both"/>
              <w:rPr>
                <w:b/>
                <w:bCs/>
                <w:caps/>
                <w:sz w:val="18"/>
                <w:szCs w:val="18"/>
              </w:rPr>
            </w:pPr>
            <w:bookmarkStart w:id="549" w:name="_Toc98763104"/>
            <w:r w:rsidRPr="006D1C79">
              <w:rPr>
                <w:b/>
                <w:bCs/>
                <w:sz w:val="18"/>
                <w:szCs w:val="18"/>
              </w:rPr>
              <w:t xml:space="preserve">Description and Material Accounting Policies Relating to Cash </w:t>
            </w:r>
            <w:r w:rsidR="00975FEC" w:rsidRPr="006D1C79">
              <w:rPr>
                <w:b/>
                <w:bCs/>
                <w:sz w:val="18"/>
                <w:szCs w:val="18"/>
              </w:rPr>
              <w:t>a</w:t>
            </w:r>
            <w:r w:rsidRPr="006D1C79">
              <w:rPr>
                <w:b/>
                <w:bCs/>
                <w:sz w:val="18"/>
                <w:szCs w:val="18"/>
              </w:rPr>
              <w:t>nd Investments</w:t>
            </w:r>
            <w:bookmarkEnd w:id="549"/>
          </w:p>
        </w:tc>
      </w:tr>
      <w:tr w:rsidR="008E2A2F" w:rsidRPr="008E2A2F" w14:paraId="6F30E44D" w14:textId="77777777" w:rsidTr="005F5B4C">
        <w:trPr>
          <w:trHeight w:val="114"/>
        </w:trPr>
        <w:tc>
          <w:tcPr>
            <w:tcW w:w="737" w:type="pct"/>
            <w:tcBorders>
              <w:top w:val="nil"/>
              <w:left w:val="single" w:sz="2" w:space="0" w:color="auto"/>
              <w:bottom w:val="nil"/>
              <w:right w:val="single" w:sz="2" w:space="0" w:color="auto"/>
            </w:tcBorders>
          </w:tcPr>
          <w:p w14:paraId="18A3ADC2" w14:textId="77777777" w:rsidR="008E2A2F" w:rsidRPr="00D6550C" w:rsidRDefault="008E2A2F" w:rsidP="008E2A2F">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5A4DA146" w14:textId="5E9A225B" w:rsidR="008E2A2F" w:rsidRPr="00D6550C" w:rsidRDefault="008E2A2F" w:rsidP="00EB525E">
            <w:pPr>
              <w:spacing w:before="120"/>
            </w:pPr>
            <w:r w:rsidRPr="00D6550C">
              <w:rPr>
                <w:i/>
                <w:iCs/>
                <w:sz w:val="18"/>
                <w:szCs w:val="18"/>
              </w:rPr>
              <w:t>Cash and Cash Equivalents</w:t>
            </w:r>
          </w:p>
        </w:tc>
      </w:tr>
      <w:tr w:rsidR="008E2A2F" w:rsidRPr="008E2A2F" w14:paraId="2CF5F952" w14:textId="77777777" w:rsidTr="005F5B4C">
        <w:trPr>
          <w:trHeight w:val="114"/>
        </w:trPr>
        <w:tc>
          <w:tcPr>
            <w:tcW w:w="737" w:type="pct"/>
            <w:tcBorders>
              <w:top w:val="nil"/>
              <w:left w:val="single" w:sz="2" w:space="0" w:color="auto"/>
              <w:bottom w:val="nil"/>
              <w:right w:val="single" w:sz="2" w:space="0" w:color="auto"/>
            </w:tcBorders>
          </w:tcPr>
          <w:p w14:paraId="6B02B059" w14:textId="2578CE29" w:rsidR="008E2A2F" w:rsidRPr="00D6550C" w:rsidRDefault="008E2A2F" w:rsidP="008E2A2F">
            <w:pPr>
              <w:pStyle w:val="TableReference"/>
              <w:tabs>
                <w:tab w:val="left" w:pos="3306"/>
              </w:tabs>
              <w:rPr>
                <w:rFonts w:cs="Calibri"/>
                <w:b/>
                <w:color w:val="7030A0"/>
                <w:sz w:val="18"/>
                <w:szCs w:val="18"/>
              </w:rPr>
            </w:pPr>
            <w:r w:rsidRPr="00D6550C">
              <w:rPr>
                <w:rFonts w:cs="Calibri"/>
                <w:color w:val="7030A0"/>
                <w:sz w:val="14"/>
              </w:rPr>
              <w:t>ACT Disclosure Policy</w:t>
            </w:r>
          </w:p>
        </w:tc>
        <w:tc>
          <w:tcPr>
            <w:tcW w:w="4263" w:type="pct"/>
            <w:gridSpan w:val="3"/>
            <w:tcBorders>
              <w:top w:val="nil"/>
              <w:left w:val="single" w:sz="2" w:space="0" w:color="auto"/>
              <w:bottom w:val="nil"/>
              <w:right w:val="nil"/>
            </w:tcBorders>
            <w:vAlign w:val="bottom"/>
          </w:tcPr>
          <w:p w14:paraId="613442DD" w14:textId="5351F2A2" w:rsidR="008E2A2F" w:rsidRPr="00D6550C" w:rsidRDefault="008E2A2F" w:rsidP="00975FEC">
            <w:pPr>
              <w:spacing w:after="120"/>
              <w:jc w:val="both"/>
              <w:rPr>
                <w:sz w:val="18"/>
                <w:szCs w:val="18"/>
              </w:rPr>
            </w:pPr>
            <w:r w:rsidRPr="00D6550C">
              <w:rPr>
                <w:rFonts w:cs="Calibri"/>
                <w:sz w:val="18"/>
                <w:szCs w:val="18"/>
              </w:rPr>
              <w:t>The Agency holds a number of bank accounts with the Westpac Bank as part of the whole-of-government banking arrangements.</w:t>
            </w:r>
            <w:r w:rsidR="00FA7C77">
              <w:rPr>
                <w:rFonts w:cs="Calibri"/>
                <w:sz w:val="18"/>
                <w:szCs w:val="18"/>
              </w:rPr>
              <w:t xml:space="preserve"> </w:t>
            </w:r>
            <w:r w:rsidRPr="00D6550C">
              <w:rPr>
                <w:rFonts w:cs="Calibri"/>
                <w:sz w:val="18"/>
                <w:szCs w:val="18"/>
              </w:rPr>
              <w:t>As part of these arrangements, the Agency does not receive any interest on these accounts</w:t>
            </w:r>
            <w:r w:rsidR="006C3643" w:rsidRPr="00D6550C">
              <w:rPr>
                <w:rFonts w:cs="Calibri"/>
                <w:sz w:val="18"/>
                <w:szCs w:val="18"/>
              </w:rPr>
              <w:t>, as all the accounts held are Set-Off Accounts.</w:t>
            </w:r>
            <w:r w:rsidRPr="00D6550C">
              <w:rPr>
                <w:rFonts w:cs="Calibri"/>
                <w:sz w:val="18"/>
                <w:szCs w:val="18"/>
              </w:rPr>
              <w:t xml:space="preserve"> </w:t>
            </w:r>
          </w:p>
        </w:tc>
      </w:tr>
      <w:tr w:rsidR="008E2A2F" w:rsidRPr="008E2A2F" w14:paraId="08F9CB38" w14:textId="77777777" w:rsidTr="005F5B4C">
        <w:trPr>
          <w:trHeight w:val="114"/>
        </w:trPr>
        <w:tc>
          <w:tcPr>
            <w:tcW w:w="737" w:type="pct"/>
            <w:tcBorders>
              <w:top w:val="nil"/>
              <w:left w:val="single" w:sz="2" w:space="0" w:color="auto"/>
              <w:bottom w:val="nil"/>
              <w:right w:val="single" w:sz="2" w:space="0" w:color="auto"/>
            </w:tcBorders>
          </w:tcPr>
          <w:p w14:paraId="3D045734" w14:textId="76D830AB" w:rsidR="008E2A2F" w:rsidRPr="00D6550C" w:rsidRDefault="008E2A2F" w:rsidP="00AD6ADB">
            <w:pPr>
              <w:pStyle w:val="TableReference"/>
              <w:tabs>
                <w:tab w:val="left" w:pos="3306"/>
              </w:tabs>
              <w:spacing w:before="40"/>
              <w:rPr>
                <w:rFonts w:cs="Calibri"/>
                <w:b/>
                <w:color w:val="7030A0"/>
                <w:sz w:val="18"/>
                <w:szCs w:val="18"/>
              </w:rPr>
            </w:pPr>
            <w:r w:rsidRPr="00D6550C">
              <w:rPr>
                <w:color w:val="7030A0"/>
                <w:sz w:val="14"/>
              </w:rPr>
              <w:t>AASB 107.6 &amp; 46, AASB 7.21</w:t>
            </w:r>
          </w:p>
        </w:tc>
        <w:tc>
          <w:tcPr>
            <w:tcW w:w="4263" w:type="pct"/>
            <w:gridSpan w:val="3"/>
            <w:tcBorders>
              <w:top w:val="nil"/>
              <w:left w:val="single" w:sz="2" w:space="0" w:color="auto"/>
              <w:bottom w:val="nil"/>
              <w:right w:val="nil"/>
            </w:tcBorders>
            <w:vAlign w:val="bottom"/>
          </w:tcPr>
          <w:p w14:paraId="6A9248A5" w14:textId="2DE15577" w:rsidR="008E2A2F" w:rsidRPr="00D6550C" w:rsidRDefault="008E2A2F" w:rsidP="00B76E60">
            <w:pPr>
              <w:spacing w:after="120"/>
              <w:jc w:val="both"/>
              <w:rPr>
                <w:sz w:val="18"/>
                <w:szCs w:val="18"/>
              </w:rPr>
            </w:pPr>
            <w:r w:rsidRPr="00D6550C">
              <w:rPr>
                <w:sz w:val="18"/>
                <w:szCs w:val="18"/>
              </w:rPr>
              <w:t>Cash includes cash at bank and cash on hand.</w:t>
            </w:r>
            <w:r w:rsidR="00FA7C77">
              <w:rPr>
                <w:sz w:val="18"/>
                <w:szCs w:val="18"/>
              </w:rPr>
              <w:t xml:space="preserve"> </w:t>
            </w:r>
            <w:r w:rsidRPr="00D6550C">
              <w:rPr>
                <w:sz w:val="18"/>
                <w:szCs w:val="18"/>
              </w:rPr>
              <w:t>Cash equivalents are short-term, highly liquid investments that are readily convertible to known amounts of cash and which are subject to an insignificant risk of changes in value.</w:t>
            </w:r>
            <w:r w:rsidR="00FA7C77">
              <w:rPr>
                <w:sz w:val="18"/>
                <w:szCs w:val="18"/>
              </w:rPr>
              <w:t xml:space="preserve"> </w:t>
            </w:r>
            <w:r w:rsidRPr="00D6550C">
              <w:rPr>
                <w:sz w:val="18"/>
                <w:szCs w:val="18"/>
              </w:rPr>
              <w:t xml:space="preserve">Bank overdrafts are included in cash and cash equivalents in the </w:t>
            </w:r>
            <w:r w:rsidRPr="00D6550C">
              <w:rPr>
                <w:rFonts w:cs="Calibri"/>
                <w:sz w:val="18"/>
                <w:szCs w:val="18"/>
              </w:rPr>
              <w:t xml:space="preserve">Statement of Cash Flows </w:t>
            </w:r>
            <w:r w:rsidRPr="00D6550C">
              <w:rPr>
                <w:sz w:val="18"/>
                <w:szCs w:val="18"/>
              </w:rPr>
              <w:t>but not in the cash and cash equivalents line on the Balance Sheet.</w:t>
            </w:r>
          </w:p>
        </w:tc>
      </w:tr>
      <w:tr w:rsidR="008E2A2F" w:rsidRPr="00DD296A" w14:paraId="196E866B" w14:textId="77777777" w:rsidTr="005F5B4C">
        <w:trPr>
          <w:trHeight w:val="172"/>
        </w:trPr>
        <w:tc>
          <w:tcPr>
            <w:tcW w:w="737" w:type="pct"/>
            <w:tcBorders>
              <w:top w:val="nil"/>
              <w:left w:val="single" w:sz="2" w:space="0" w:color="auto"/>
              <w:bottom w:val="nil"/>
              <w:right w:val="single" w:sz="2" w:space="0" w:color="auto"/>
            </w:tcBorders>
          </w:tcPr>
          <w:p w14:paraId="3EAA029E" w14:textId="77777777" w:rsidR="008E2A2F" w:rsidRPr="00D6550C" w:rsidRDefault="008E2A2F" w:rsidP="008E2A2F">
            <w:pPr>
              <w:pStyle w:val="TableReference"/>
              <w:tabs>
                <w:tab w:val="left" w:pos="3306"/>
              </w:tabs>
              <w:rPr>
                <w:rFonts w:cs="Calibri"/>
                <w:b/>
                <w:color w:val="7030A0"/>
                <w:sz w:val="20"/>
                <w:szCs w:val="20"/>
              </w:rPr>
            </w:pPr>
          </w:p>
        </w:tc>
        <w:tc>
          <w:tcPr>
            <w:tcW w:w="4263" w:type="pct"/>
            <w:gridSpan w:val="3"/>
            <w:tcBorders>
              <w:top w:val="nil"/>
              <w:left w:val="single" w:sz="2" w:space="0" w:color="auto"/>
              <w:bottom w:val="nil"/>
              <w:right w:val="nil"/>
            </w:tcBorders>
          </w:tcPr>
          <w:p w14:paraId="1B33486F" w14:textId="274FC385" w:rsidR="008E2A2F" w:rsidRPr="00B76E60" w:rsidRDefault="008E2A2F" w:rsidP="00B76E60">
            <w:pPr>
              <w:jc w:val="both"/>
              <w:rPr>
                <w:b/>
                <w:bCs/>
                <w:i/>
                <w:iCs/>
                <w:caps/>
                <w:sz w:val="18"/>
                <w:szCs w:val="18"/>
              </w:rPr>
            </w:pPr>
            <w:bookmarkStart w:id="550" w:name="_Toc98763105"/>
            <w:r w:rsidRPr="00B76E60">
              <w:rPr>
                <w:i/>
                <w:iCs/>
                <w:sz w:val="18"/>
                <w:szCs w:val="18"/>
              </w:rPr>
              <w:t>Investments</w:t>
            </w:r>
            <w:bookmarkEnd w:id="550"/>
          </w:p>
        </w:tc>
      </w:tr>
      <w:tr w:rsidR="008E2A2F" w:rsidRPr="0003588E" w14:paraId="6ECE2353" w14:textId="77777777" w:rsidTr="005F5B4C">
        <w:trPr>
          <w:trHeight w:val="454"/>
        </w:trPr>
        <w:tc>
          <w:tcPr>
            <w:tcW w:w="737" w:type="pct"/>
            <w:tcBorders>
              <w:top w:val="nil"/>
              <w:left w:val="single" w:sz="2" w:space="0" w:color="auto"/>
              <w:bottom w:val="nil"/>
              <w:right w:val="single" w:sz="2" w:space="0" w:color="auto"/>
            </w:tcBorders>
          </w:tcPr>
          <w:p w14:paraId="44FC5378"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ACT Disclosure Policy</w:t>
            </w:r>
          </w:p>
          <w:p w14:paraId="1F1AF6BE" w14:textId="77777777" w:rsidR="008E2A2F" w:rsidRPr="00D6550C" w:rsidRDefault="008E2A2F" w:rsidP="008E2A2F">
            <w:pPr>
              <w:pStyle w:val="TableReference"/>
              <w:tabs>
                <w:tab w:val="left" w:pos="3306"/>
              </w:tabs>
              <w:spacing w:before="40"/>
              <w:rPr>
                <w:rFonts w:cs="Calibri"/>
                <w:color w:val="7030A0"/>
                <w:sz w:val="16"/>
                <w:szCs w:val="16"/>
              </w:rPr>
            </w:pPr>
          </w:p>
        </w:tc>
        <w:tc>
          <w:tcPr>
            <w:tcW w:w="4263" w:type="pct"/>
            <w:gridSpan w:val="3"/>
            <w:tcBorders>
              <w:top w:val="nil"/>
              <w:left w:val="single" w:sz="2" w:space="0" w:color="auto"/>
              <w:bottom w:val="nil"/>
              <w:right w:val="nil"/>
            </w:tcBorders>
          </w:tcPr>
          <w:p w14:paraId="35CF5A76" w14:textId="4D271361" w:rsidR="008E2A2F" w:rsidRPr="00D6550C" w:rsidRDefault="0021441D" w:rsidP="008E2A2F">
            <w:pPr>
              <w:pStyle w:val="CommentaryHeading"/>
              <w:tabs>
                <w:tab w:val="left" w:pos="3306"/>
              </w:tabs>
              <w:spacing w:before="0" w:after="120"/>
              <w:jc w:val="both"/>
              <w:rPr>
                <w:rFonts w:cs="Calibri"/>
                <w:b w:val="0"/>
                <w:bCs w:val="0"/>
                <w:sz w:val="18"/>
              </w:rPr>
            </w:pPr>
            <w:r w:rsidRPr="00D6550C">
              <w:rPr>
                <w:rFonts w:cs="Calibri"/>
                <w:b w:val="0"/>
                <w:bCs w:val="0"/>
                <w:sz w:val="18"/>
              </w:rPr>
              <w:t>I</w:t>
            </w:r>
            <w:r w:rsidR="00206FA1" w:rsidRPr="00D6550C">
              <w:rPr>
                <w:rFonts w:cs="Calibri"/>
                <w:b w:val="0"/>
                <w:bCs w:val="0"/>
                <w:sz w:val="18"/>
              </w:rPr>
              <w:t xml:space="preserve">nvestments </w:t>
            </w:r>
            <w:r w:rsidRPr="00D6550C">
              <w:rPr>
                <w:rFonts w:cs="Calibri"/>
                <w:b w:val="0"/>
                <w:bCs w:val="0"/>
                <w:sz w:val="18"/>
              </w:rPr>
              <w:t xml:space="preserve">by the Agency </w:t>
            </w:r>
            <w:r w:rsidR="00206FA1" w:rsidRPr="00D6550C">
              <w:rPr>
                <w:rFonts w:cs="Calibri"/>
                <w:b w:val="0"/>
                <w:bCs w:val="0"/>
                <w:sz w:val="18"/>
              </w:rPr>
              <w:t>are made in accordance with the Treasurer</w:t>
            </w:r>
            <w:r w:rsidR="00341C62" w:rsidRPr="00D6550C">
              <w:rPr>
                <w:rFonts w:cs="Calibri"/>
                <w:b w:val="0"/>
                <w:bCs w:val="0"/>
                <w:sz w:val="18"/>
              </w:rPr>
              <w:t>’s</w:t>
            </w:r>
            <w:r w:rsidR="00206FA1" w:rsidRPr="00D6550C">
              <w:rPr>
                <w:rFonts w:cs="Calibri"/>
                <w:b w:val="0"/>
                <w:bCs w:val="0"/>
                <w:sz w:val="18"/>
              </w:rPr>
              <w:t xml:space="preserve"> approved ‘Burley Griffin Agency’ </w:t>
            </w:r>
            <w:r w:rsidR="00341C62" w:rsidRPr="00D6550C">
              <w:rPr>
                <w:rFonts w:cs="Calibri"/>
                <w:b w:val="0"/>
                <w:bCs w:val="0"/>
                <w:sz w:val="18"/>
              </w:rPr>
              <w:t>I</w:t>
            </w:r>
            <w:r w:rsidR="008E2A2F" w:rsidRPr="00D6550C">
              <w:rPr>
                <w:rFonts w:cs="Calibri"/>
                <w:b w:val="0"/>
                <w:bCs w:val="0"/>
                <w:sz w:val="18"/>
              </w:rPr>
              <w:t xml:space="preserve">nvestment </w:t>
            </w:r>
            <w:r w:rsidR="00341C62" w:rsidRPr="00D6550C">
              <w:rPr>
                <w:rFonts w:cs="Calibri"/>
                <w:b w:val="0"/>
                <w:bCs w:val="0"/>
                <w:sz w:val="18"/>
              </w:rPr>
              <w:t>P</w:t>
            </w:r>
            <w:r w:rsidR="008E2A2F" w:rsidRPr="00D6550C">
              <w:rPr>
                <w:rFonts w:cs="Calibri"/>
                <w:b w:val="0"/>
                <w:bCs w:val="0"/>
                <w:sz w:val="18"/>
              </w:rPr>
              <w:t>lan.</w:t>
            </w:r>
            <w:r w:rsidR="00FA7C77">
              <w:rPr>
                <w:rFonts w:cs="Calibri"/>
                <w:b w:val="0"/>
                <w:bCs w:val="0"/>
                <w:sz w:val="18"/>
              </w:rPr>
              <w:t xml:space="preserve"> </w:t>
            </w:r>
            <w:r w:rsidR="008E2A2F" w:rsidRPr="00D6550C">
              <w:rPr>
                <w:rFonts w:cs="Calibri"/>
                <w:b w:val="0"/>
                <w:bCs w:val="0"/>
                <w:sz w:val="18"/>
              </w:rPr>
              <w:t xml:space="preserve">The </w:t>
            </w:r>
            <w:r w:rsidR="00341C62" w:rsidRPr="00D6550C">
              <w:rPr>
                <w:rFonts w:cs="Calibri"/>
                <w:b w:val="0"/>
                <w:bCs w:val="0"/>
                <w:sz w:val="18"/>
              </w:rPr>
              <w:t xml:space="preserve">investment </w:t>
            </w:r>
            <w:r w:rsidR="008E2A2F" w:rsidRPr="00D6550C">
              <w:rPr>
                <w:rFonts w:cs="Calibri"/>
                <w:b w:val="0"/>
                <w:bCs w:val="0"/>
                <w:sz w:val="18"/>
              </w:rPr>
              <w:t>plan outlines ‘</w:t>
            </w:r>
            <w:r w:rsidR="00920EA7" w:rsidRPr="00D6550C">
              <w:rPr>
                <w:rFonts w:cs="Calibri"/>
                <w:b w:val="0"/>
                <w:bCs w:val="0"/>
                <w:sz w:val="18"/>
              </w:rPr>
              <w:t>Burley Griffin</w:t>
            </w:r>
            <w:r w:rsidR="008E2A2F" w:rsidRPr="00D6550C">
              <w:rPr>
                <w:rFonts w:cs="Calibri"/>
                <w:b w:val="0"/>
                <w:bCs w:val="0"/>
                <w:sz w:val="18"/>
              </w:rPr>
              <w:t xml:space="preserve"> Agency’s’ investment strategy and objectives in relation to investing its funds with the Territory Banking Account.</w:t>
            </w:r>
            <w:r w:rsidR="00341C62" w:rsidRPr="00D6550C">
              <w:rPr>
                <w:rFonts w:cs="Calibri"/>
                <w:b w:val="0"/>
                <w:bCs w:val="0"/>
                <w:sz w:val="18"/>
              </w:rPr>
              <w:t xml:space="preserve"> The investment return objective for the ‘Burley Griffin Agency</w:t>
            </w:r>
            <w:r w:rsidR="00EC3632" w:rsidRPr="00D6550C">
              <w:rPr>
                <w:rFonts w:cs="Calibri"/>
                <w:b w:val="0"/>
                <w:bCs w:val="0"/>
                <w:sz w:val="18"/>
              </w:rPr>
              <w:t>’s</w:t>
            </w:r>
            <w:r w:rsidR="00341C62" w:rsidRPr="00D6550C">
              <w:rPr>
                <w:rFonts w:cs="Calibri"/>
                <w:b w:val="0"/>
                <w:bCs w:val="0"/>
                <w:sz w:val="18"/>
              </w:rPr>
              <w:t xml:space="preserve">’ financial investments is CPI + </w:t>
            </w:r>
            <w:r w:rsidR="00341C62" w:rsidRPr="00D6550C">
              <w:rPr>
                <w:rFonts w:cs="Calibri"/>
                <w:b w:val="0"/>
                <w:bCs w:val="0"/>
                <w:color w:val="C45911" w:themeColor="accent2" w:themeShade="BF"/>
                <w:sz w:val="18"/>
              </w:rPr>
              <w:t>&lt;xx</w:t>
            </w:r>
            <w:r w:rsidR="00E911C4" w:rsidRPr="00D6550C">
              <w:rPr>
                <w:rFonts w:cs="Calibri"/>
                <w:b w:val="0"/>
                <w:bCs w:val="0"/>
                <w:color w:val="C45911" w:themeColor="accent2" w:themeShade="BF"/>
                <w:sz w:val="18"/>
              </w:rPr>
              <w:t>%</w:t>
            </w:r>
            <w:r w:rsidR="00341C62" w:rsidRPr="00D6550C">
              <w:rPr>
                <w:rFonts w:cs="Calibri"/>
                <w:b w:val="0"/>
                <w:bCs w:val="0"/>
                <w:color w:val="C45911" w:themeColor="accent2" w:themeShade="BF"/>
                <w:sz w:val="18"/>
              </w:rPr>
              <w:t xml:space="preserve">&gt; </w:t>
            </w:r>
            <w:r w:rsidR="00341C62" w:rsidRPr="00D6550C">
              <w:rPr>
                <w:rFonts w:cs="Calibri"/>
                <w:b w:val="0"/>
                <w:bCs w:val="0"/>
                <w:sz w:val="18"/>
              </w:rPr>
              <w:t>per annum.</w:t>
            </w:r>
          </w:p>
        </w:tc>
      </w:tr>
      <w:tr w:rsidR="00341C62" w:rsidRPr="0003588E" w14:paraId="36EF8EE2" w14:textId="77777777" w:rsidTr="005F5B4C">
        <w:trPr>
          <w:trHeight w:val="454"/>
        </w:trPr>
        <w:tc>
          <w:tcPr>
            <w:tcW w:w="737" w:type="pct"/>
            <w:tcBorders>
              <w:top w:val="nil"/>
              <w:left w:val="single" w:sz="2" w:space="0" w:color="auto"/>
              <w:bottom w:val="nil"/>
              <w:right w:val="single" w:sz="2" w:space="0" w:color="auto"/>
            </w:tcBorders>
          </w:tcPr>
          <w:p w14:paraId="467BC840" w14:textId="77777777" w:rsidR="00341C62" w:rsidRPr="00D6550C" w:rsidRDefault="00341C62" w:rsidP="008E2A2F">
            <w:pPr>
              <w:pStyle w:val="TableReference"/>
              <w:tabs>
                <w:tab w:val="left" w:pos="3306"/>
              </w:tabs>
              <w:spacing w:before="40"/>
              <w:rPr>
                <w:rFonts w:cs="Calibri"/>
                <w:color w:val="7030A0"/>
                <w:sz w:val="14"/>
              </w:rPr>
            </w:pPr>
          </w:p>
        </w:tc>
        <w:tc>
          <w:tcPr>
            <w:tcW w:w="4263" w:type="pct"/>
            <w:gridSpan w:val="3"/>
            <w:tcBorders>
              <w:top w:val="nil"/>
              <w:left w:val="single" w:sz="2" w:space="0" w:color="auto"/>
              <w:bottom w:val="nil"/>
              <w:right w:val="nil"/>
            </w:tcBorders>
          </w:tcPr>
          <w:p w14:paraId="15BE0C6E" w14:textId="22607117" w:rsidR="00341C62" w:rsidRPr="00D6550C" w:rsidRDefault="00341C62" w:rsidP="00D770AF">
            <w:pPr>
              <w:spacing w:after="120"/>
              <w:jc w:val="both"/>
              <w:rPr>
                <w:rFonts w:cs="Calibri"/>
                <w:sz w:val="18"/>
                <w:szCs w:val="18"/>
              </w:rPr>
            </w:pPr>
            <w:r w:rsidRPr="00D6550C">
              <w:rPr>
                <w:rFonts w:cs="Calibri"/>
                <w:sz w:val="18"/>
                <w:szCs w:val="18"/>
              </w:rPr>
              <w:t>‘Burley Griffin Agency’ makes investments with the Territory Banking Account by acquiring units in the Territory Banking Account's financial investments portfolio.</w:t>
            </w:r>
            <w:r w:rsidR="00FA7C77">
              <w:rPr>
                <w:rFonts w:cs="Calibri"/>
                <w:sz w:val="18"/>
                <w:szCs w:val="18"/>
              </w:rPr>
              <w:t xml:space="preserve"> </w:t>
            </w:r>
            <w:r w:rsidR="00EC3632" w:rsidRPr="00D6550C">
              <w:rPr>
                <w:rFonts w:cs="Calibri"/>
                <w:sz w:val="18"/>
                <w:szCs w:val="18"/>
              </w:rPr>
              <w:t>T</w:t>
            </w:r>
            <w:r w:rsidRPr="00D6550C">
              <w:rPr>
                <w:rFonts w:cs="Calibri"/>
                <w:sz w:val="18"/>
                <w:szCs w:val="18"/>
              </w:rPr>
              <w:t>he unit value changes in response to the underlying market value of the financial investments</w:t>
            </w:r>
            <w:r w:rsidR="00EC3632" w:rsidRPr="00D6550C">
              <w:rPr>
                <w:rFonts w:cs="Calibri"/>
                <w:sz w:val="18"/>
                <w:szCs w:val="18"/>
              </w:rPr>
              <w:t xml:space="preserve"> held by the Territory Banking Account</w:t>
            </w:r>
            <w:r w:rsidRPr="00D6550C">
              <w:rPr>
                <w:rFonts w:cs="Calibri"/>
                <w:sz w:val="18"/>
                <w:szCs w:val="18"/>
              </w:rPr>
              <w:t>.</w:t>
            </w:r>
            <w:r w:rsidR="00FA7C77">
              <w:rPr>
                <w:rFonts w:cs="Calibri"/>
                <w:sz w:val="18"/>
                <w:szCs w:val="18"/>
              </w:rPr>
              <w:t xml:space="preserve"> </w:t>
            </w:r>
            <w:r w:rsidRPr="00D6550C">
              <w:rPr>
                <w:rFonts w:cs="Calibri"/>
                <w:sz w:val="18"/>
                <w:szCs w:val="18"/>
              </w:rPr>
              <w:t>All unitised investments are designated at Fair Value through Profit or Loss with the carrying amount measured at fair value.</w:t>
            </w:r>
          </w:p>
        </w:tc>
      </w:tr>
      <w:tr w:rsidR="00653ECA" w:rsidRPr="0003588E" w14:paraId="0B95B37E" w14:textId="77777777" w:rsidTr="005F5B4C">
        <w:trPr>
          <w:trHeight w:val="454"/>
        </w:trPr>
        <w:tc>
          <w:tcPr>
            <w:tcW w:w="737" w:type="pct"/>
            <w:tcBorders>
              <w:top w:val="nil"/>
              <w:left w:val="single" w:sz="2" w:space="0" w:color="auto"/>
              <w:bottom w:val="nil"/>
              <w:right w:val="single" w:sz="2" w:space="0" w:color="auto"/>
            </w:tcBorders>
          </w:tcPr>
          <w:p w14:paraId="3E8EB161" w14:textId="77777777" w:rsidR="00653ECA" w:rsidRPr="00D6550C" w:rsidRDefault="00653ECA" w:rsidP="008E2A2F">
            <w:pPr>
              <w:pStyle w:val="TableReference"/>
              <w:tabs>
                <w:tab w:val="left" w:pos="3306"/>
              </w:tabs>
              <w:spacing w:before="40"/>
              <w:rPr>
                <w:rFonts w:cs="Calibri"/>
                <w:color w:val="7030A0"/>
                <w:sz w:val="14"/>
              </w:rPr>
            </w:pPr>
          </w:p>
        </w:tc>
        <w:tc>
          <w:tcPr>
            <w:tcW w:w="4263" w:type="pct"/>
            <w:gridSpan w:val="3"/>
            <w:tcBorders>
              <w:top w:val="nil"/>
              <w:left w:val="single" w:sz="2" w:space="0" w:color="auto"/>
              <w:bottom w:val="nil"/>
              <w:right w:val="nil"/>
            </w:tcBorders>
          </w:tcPr>
          <w:p w14:paraId="0337B7E0" w14:textId="31B24D60" w:rsidR="00653ECA" w:rsidRPr="00D6550C" w:rsidRDefault="00653ECA" w:rsidP="000C2491">
            <w:pPr>
              <w:spacing w:after="120"/>
              <w:jc w:val="both"/>
              <w:rPr>
                <w:rFonts w:cs="Calibri"/>
                <w:sz w:val="18"/>
                <w:szCs w:val="18"/>
              </w:rPr>
            </w:pPr>
            <w:r w:rsidRPr="00D6550C">
              <w:rPr>
                <w:rFonts w:cs="Calibri"/>
                <w:sz w:val="18"/>
                <w:szCs w:val="18"/>
              </w:rPr>
              <w:t xml:space="preserve">Fair value is the price that would be received to sell </w:t>
            </w:r>
            <w:r w:rsidR="00EC3632" w:rsidRPr="00D6550C">
              <w:rPr>
                <w:rFonts w:cs="Calibri"/>
                <w:sz w:val="18"/>
                <w:szCs w:val="18"/>
              </w:rPr>
              <w:t>the units</w:t>
            </w:r>
            <w:r w:rsidRPr="00D6550C">
              <w:rPr>
                <w:rFonts w:cs="Calibri"/>
                <w:sz w:val="18"/>
                <w:szCs w:val="18"/>
              </w:rPr>
              <w:t xml:space="preserve"> in an orderly transaction between market participants at the measurement date and reflects the best available prices of the underlying financial investments. Subsequent to initial measurement, investments are re-measured to fair value with changes in their fair value (gains/loss) recognised in the</w:t>
            </w:r>
            <w:r w:rsidRPr="00D6550C">
              <w:rPr>
                <w:rFonts w:cs="Calibri"/>
                <w:sz w:val="18"/>
              </w:rPr>
              <w:t xml:space="preserve"> Operating Statement</w:t>
            </w:r>
            <w:r w:rsidR="004F2BEE" w:rsidRPr="00D6550C">
              <w:rPr>
                <w:rFonts w:cs="Calibri"/>
                <w:sz w:val="18"/>
              </w:rPr>
              <w:t xml:space="preserve"> </w:t>
            </w:r>
            <w:r w:rsidR="004F2BEE" w:rsidRPr="00D6550C">
              <w:rPr>
                <w:rFonts w:cs="Calibri"/>
                <w:sz w:val="18"/>
                <w:szCs w:val="18"/>
              </w:rPr>
              <w:t xml:space="preserve">(see Model Financial Statements - Note 8 </w:t>
            </w:r>
            <w:r w:rsidR="004F2BEE" w:rsidRPr="00D6550C">
              <w:rPr>
                <w:rFonts w:cs="Calibri"/>
                <w:i/>
                <w:iCs/>
                <w:snapToGrid w:val="0"/>
                <w:sz w:val="18"/>
                <w:szCs w:val="18"/>
              </w:rPr>
              <w:t xml:space="preserve">Gains from Disposals, </w:t>
            </w:r>
            <w:r w:rsidR="00FF0A0E" w:rsidRPr="00D6550C">
              <w:rPr>
                <w:rFonts w:cs="Calibri"/>
                <w:i/>
                <w:iCs/>
                <w:snapToGrid w:val="0"/>
                <w:sz w:val="18"/>
                <w:szCs w:val="18"/>
              </w:rPr>
              <w:t>Derecognition</w:t>
            </w:r>
            <w:r w:rsidR="004F2BEE" w:rsidRPr="00D6550C">
              <w:rPr>
                <w:rFonts w:cs="Calibri"/>
                <w:i/>
                <w:iCs/>
                <w:snapToGrid w:val="0"/>
                <w:sz w:val="18"/>
                <w:szCs w:val="18"/>
              </w:rPr>
              <w:t xml:space="preserve"> and Remeasurement of Assets</w:t>
            </w:r>
            <w:r w:rsidR="004F2BEE" w:rsidRPr="00D6550C">
              <w:rPr>
                <w:rFonts w:cs="Calibri"/>
                <w:sz w:val="18"/>
                <w:szCs w:val="18"/>
              </w:rPr>
              <w:t xml:space="preserve"> or and Note 14 </w:t>
            </w:r>
            <w:r w:rsidR="004F2BEE" w:rsidRPr="00D6550C">
              <w:rPr>
                <w:rFonts w:cs="Calibri"/>
                <w:i/>
                <w:iCs/>
                <w:sz w:val="18"/>
                <w:szCs w:val="18"/>
              </w:rPr>
              <w:t>Other Expenses</w:t>
            </w:r>
            <w:r w:rsidR="004F2BEE" w:rsidRPr="00D6550C">
              <w:rPr>
                <w:rFonts w:cs="Calibri"/>
                <w:sz w:val="18"/>
                <w:szCs w:val="18"/>
              </w:rPr>
              <w:t>).</w:t>
            </w:r>
            <w:r w:rsidRPr="00D6550C">
              <w:rPr>
                <w:rFonts w:cs="Calibri"/>
                <w:sz w:val="18"/>
                <w:szCs w:val="18"/>
              </w:rPr>
              <w:t xml:space="preserve"> Distributions earned on these investments are </w:t>
            </w:r>
            <w:r w:rsidRPr="00D6550C">
              <w:rPr>
                <w:rFonts w:cs="Calibri"/>
                <w:sz w:val="18"/>
              </w:rPr>
              <w:t xml:space="preserve">disclosed in Note 7 </w:t>
            </w:r>
            <w:r w:rsidRPr="00D6550C">
              <w:rPr>
                <w:rFonts w:cs="Calibri"/>
                <w:i/>
                <w:iCs/>
                <w:sz w:val="18"/>
              </w:rPr>
              <w:t xml:space="preserve">Investment </w:t>
            </w:r>
            <w:r w:rsidR="003879D7">
              <w:rPr>
                <w:rFonts w:cs="Calibri"/>
                <w:i/>
                <w:iCs/>
                <w:sz w:val="18"/>
              </w:rPr>
              <w:t xml:space="preserve">and Interest </w:t>
            </w:r>
            <w:r w:rsidRPr="00D6550C">
              <w:rPr>
                <w:rFonts w:cs="Calibri"/>
                <w:i/>
                <w:iCs/>
                <w:sz w:val="18"/>
              </w:rPr>
              <w:t>Revenue</w:t>
            </w:r>
            <w:r w:rsidRPr="00D6550C">
              <w:rPr>
                <w:rFonts w:cs="Calibri"/>
                <w:sz w:val="18"/>
                <w:szCs w:val="18"/>
              </w:rPr>
              <w:t>.</w:t>
            </w:r>
          </w:p>
        </w:tc>
      </w:tr>
      <w:tr w:rsidR="008E2A2F" w:rsidRPr="0003588E" w14:paraId="330341D0" w14:textId="77777777" w:rsidTr="005F5B4C">
        <w:trPr>
          <w:trHeight w:val="454"/>
        </w:trPr>
        <w:tc>
          <w:tcPr>
            <w:tcW w:w="737" w:type="pct"/>
            <w:tcBorders>
              <w:top w:val="nil"/>
              <w:left w:val="single" w:sz="2" w:space="0" w:color="auto"/>
              <w:bottom w:val="nil"/>
              <w:right w:val="single" w:sz="2" w:space="0" w:color="auto"/>
            </w:tcBorders>
          </w:tcPr>
          <w:p w14:paraId="50489F5F" w14:textId="77777777" w:rsidR="008E2A2F" w:rsidRPr="00D6550C" w:rsidRDefault="008E2A2F" w:rsidP="008E2A2F">
            <w:pPr>
              <w:pStyle w:val="TableReference"/>
              <w:tabs>
                <w:tab w:val="left" w:pos="3306"/>
              </w:tabs>
              <w:spacing w:before="60"/>
              <w:rPr>
                <w:color w:val="7030A0"/>
                <w:sz w:val="14"/>
              </w:rPr>
            </w:pPr>
            <w:r w:rsidRPr="00D6550C">
              <w:rPr>
                <w:color w:val="7030A0"/>
                <w:sz w:val="14"/>
              </w:rPr>
              <w:t xml:space="preserve">AASB 7.21, </w:t>
            </w:r>
          </w:p>
          <w:p w14:paraId="24A3934A" w14:textId="6A988853" w:rsidR="008E2A2F" w:rsidRPr="00EB525E" w:rsidRDefault="008E2A2F" w:rsidP="00EB525E">
            <w:pPr>
              <w:pStyle w:val="TableReference"/>
              <w:tabs>
                <w:tab w:val="left" w:pos="3306"/>
              </w:tabs>
              <w:spacing w:before="60"/>
              <w:rPr>
                <w:color w:val="7030A0"/>
                <w:sz w:val="14"/>
              </w:rPr>
            </w:pPr>
            <w:r w:rsidRPr="00D6550C">
              <w:rPr>
                <w:color w:val="7030A0"/>
                <w:sz w:val="14"/>
              </w:rPr>
              <w:t>AASB 7.B5(e</w:t>
            </w:r>
          </w:p>
        </w:tc>
        <w:tc>
          <w:tcPr>
            <w:tcW w:w="4263" w:type="pct"/>
            <w:gridSpan w:val="3"/>
            <w:tcBorders>
              <w:top w:val="nil"/>
              <w:left w:val="single" w:sz="2" w:space="0" w:color="auto"/>
              <w:bottom w:val="nil"/>
              <w:right w:val="nil"/>
            </w:tcBorders>
          </w:tcPr>
          <w:p w14:paraId="3256478A" w14:textId="370CDDEE" w:rsidR="008E2A2F" w:rsidRPr="00D6550C" w:rsidRDefault="008E2A2F" w:rsidP="00EB525E">
            <w:pPr>
              <w:pStyle w:val="CommentaryHeading"/>
              <w:tabs>
                <w:tab w:val="left" w:pos="3306"/>
              </w:tabs>
              <w:spacing w:before="0" w:after="120"/>
              <w:jc w:val="both"/>
              <w:rPr>
                <w:rFonts w:cs="Calibri"/>
                <w:b w:val="0"/>
                <w:bCs w:val="0"/>
                <w:sz w:val="18"/>
              </w:rPr>
            </w:pPr>
            <w:bookmarkStart w:id="551" w:name="_Hlk130196280"/>
            <w:r w:rsidRPr="00D6550C">
              <w:rPr>
                <w:rFonts w:cs="Calibri"/>
                <w:b w:val="0"/>
                <w:bCs w:val="0"/>
                <w:sz w:val="18"/>
              </w:rPr>
              <w:t>The investments that are not expected to be realised, sold or consumed in the normal operating cycle are classified as non-current investments with the Territory Banking Account.</w:t>
            </w:r>
            <w:bookmarkEnd w:id="551"/>
          </w:p>
        </w:tc>
      </w:tr>
      <w:tr w:rsidR="00AE70BA" w:rsidRPr="0003588E" w14:paraId="41CF5949" w14:textId="77777777" w:rsidTr="005F5B4C">
        <w:trPr>
          <w:trHeight w:val="272"/>
        </w:trPr>
        <w:tc>
          <w:tcPr>
            <w:tcW w:w="737" w:type="pct"/>
            <w:tcBorders>
              <w:top w:val="nil"/>
              <w:left w:val="single" w:sz="2" w:space="0" w:color="auto"/>
              <w:bottom w:val="nil"/>
              <w:right w:val="single" w:sz="2" w:space="0" w:color="auto"/>
            </w:tcBorders>
          </w:tcPr>
          <w:p w14:paraId="6341A56B" w14:textId="47259515" w:rsidR="00AE70BA" w:rsidRPr="00D6550C" w:rsidRDefault="00EB525E" w:rsidP="00EB525E">
            <w:pPr>
              <w:pStyle w:val="TableReference"/>
              <w:tabs>
                <w:tab w:val="left" w:pos="3306"/>
              </w:tabs>
              <w:rPr>
                <w:color w:val="7030A0"/>
                <w:sz w:val="14"/>
              </w:rPr>
            </w:pPr>
            <w:r w:rsidRPr="00D6550C">
              <w:rPr>
                <w:color w:val="7030A0"/>
                <w:sz w:val="14"/>
              </w:rPr>
              <w:t>AASB 13.91</w:t>
            </w:r>
          </w:p>
        </w:tc>
        <w:tc>
          <w:tcPr>
            <w:tcW w:w="4263" w:type="pct"/>
            <w:gridSpan w:val="3"/>
            <w:tcBorders>
              <w:top w:val="nil"/>
              <w:left w:val="single" w:sz="2" w:space="0" w:color="auto"/>
              <w:bottom w:val="nil"/>
              <w:right w:val="nil"/>
            </w:tcBorders>
          </w:tcPr>
          <w:p w14:paraId="6873E970" w14:textId="74CCB3E7" w:rsidR="00AE70BA" w:rsidRPr="006D1C79" w:rsidRDefault="00AE70BA" w:rsidP="006D1C79">
            <w:pPr>
              <w:spacing w:before="120"/>
              <w:rPr>
                <w:b/>
                <w:bCs/>
                <w:sz w:val="18"/>
                <w:szCs w:val="18"/>
              </w:rPr>
            </w:pPr>
            <w:r w:rsidRPr="006D1C79">
              <w:rPr>
                <w:b/>
                <w:bCs/>
                <w:sz w:val="18"/>
                <w:szCs w:val="18"/>
              </w:rPr>
              <w:t>(a) Cash and Investment Balances</w:t>
            </w:r>
          </w:p>
        </w:tc>
      </w:tr>
      <w:tr w:rsidR="008E2A2F" w:rsidRPr="00DD296A" w14:paraId="65586149" w14:textId="77777777" w:rsidTr="005F5B4C">
        <w:trPr>
          <w:trHeight w:val="23"/>
        </w:trPr>
        <w:tc>
          <w:tcPr>
            <w:tcW w:w="737" w:type="pct"/>
            <w:tcBorders>
              <w:top w:val="nil"/>
              <w:left w:val="single" w:sz="2" w:space="0" w:color="auto"/>
              <w:bottom w:val="nil"/>
              <w:right w:val="single" w:sz="2" w:space="0" w:color="auto"/>
            </w:tcBorders>
          </w:tcPr>
          <w:p w14:paraId="752E2BC6" w14:textId="77777777" w:rsidR="008E2A2F" w:rsidRPr="00D6550C" w:rsidRDefault="008E2A2F" w:rsidP="008E2A2F">
            <w:pPr>
              <w:pStyle w:val="TableReference"/>
              <w:tabs>
                <w:tab w:val="left" w:pos="3306"/>
              </w:tabs>
              <w:spacing w:before="40"/>
              <w:rPr>
                <w:rFonts w:cs="Calibri"/>
                <w:color w:val="7030A0"/>
                <w:sz w:val="16"/>
                <w:szCs w:val="16"/>
              </w:rPr>
            </w:pPr>
          </w:p>
        </w:tc>
        <w:tc>
          <w:tcPr>
            <w:tcW w:w="2947" w:type="pct"/>
            <w:tcBorders>
              <w:top w:val="nil"/>
              <w:left w:val="single" w:sz="2" w:space="0" w:color="auto"/>
              <w:bottom w:val="nil"/>
              <w:right w:val="nil"/>
            </w:tcBorders>
            <w:vAlign w:val="bottom"/>
          </w:tcPr>
          <w:p w14:paraId="07523841" w14:textId="77777777" w:rsidR="008E2A2F" w:rsidRPr="00D6550C" w:rsidRDefault="008E2A2F" w:rsidP="008E2A2F">
            <w:pPr>
              <w:pStyle w:val="TableText"/>
              <w:tabs>
                <w:tab w:val="left" w:pos="3306"/>
              </w:tabs>
              <w:rPr>
                <w:rFonts w:cs="Calibri"/>
                <w:b/>
                <w:bCs/>
              </w:rPr>
            </w:pPr>
          </w:p>
        </w:tc>
        <w:tc>
          <w:tcPr>
            <w:tcW w:w="577" w:type="pct"/>
            <w:tcBorders>
              <w:top w:val="nil"/>
              <w:left w:val="nil"/>
              <w:bottom w:val="nil"/>
              <w:right w:val="nil"/>
            </w:tcBorders>
            <w:vAlign w:val="bottom"/>
          </w:tcPr>
          <w:p w14:paraId="7844C9AF" w14:textId="3BD0A288" w:rsidR="008E2A2F" w:rsidRPr="00D6550C" w:rsidRDefault="008E2A2F" w:rsidP="008E2A2F">
            <w:pPr>
              <w:pStyle w:val="TableText"/>
              <w:tabs>
                <w:tab w:val="left" w:pos="3306"/>
              </w:tabs>
              <w:jc w:val="right"/>
              <w:rPr>
                <w:rFonts w:cs="Calibri"/>
                <w:b/>
                <w:bCs/>
              </w:rPr>
            </w:pPr>
            <w:r w:rsidRPr="00D6550C">
              <w:rPr>
                <w:rFonts w:cs="Calibri"/>
                <w:b/>
                <w:bCs/>
              </w:rPr>
              <w:t>202</w:t>
            </w:r>
            <w:r w:rsidR="00F305E9">
              <w:rPr>
                <w:rFonts w:cs="Calibri"/>
                <w:b/>
                <w:bCs/>
              </w:rPr>
              <w:t>3</w:t>
            </w:r>
          </w:p>
          <w:p w14:paraId="01FA47FF" w14:textId="77777777" w:rsidR="008E2A2F" w:rsidRPr="00D6550C" w:rsidRDefault="008E2A2F" w:rsidP="008E2A2F">
            <w:pPr>
              <w:pStyle w:val="TableText"/>
              <w:tabs>
                <w:tab w:val="left" w:pos="3306"/>
              </w:tabs>
              <w:jc w:val="right"/>
              <w:rPr>
                <w:rFonts w:cs="Calibri"/>
                <w:b/>
                <w:bCs/>
              </w:rPr>
            </w:pPr>
            <w:r w:rsidRPr="00D6550C">
              <w:rPr>
                <w:rFonts w:cs="Calibri"/>
                <w:b/>
                <w:bCs/>
              </w:rPr>
              <w:t>$’000</w:t>
            </w:r>
          </w:p>
        </w:tc>
        <w:tc>
          <w:tcPr>
            <w:tcW w:w="739" w:type="pct"/>
            <w:tcBorders>
              <w:top w:val="nil"/>
              <w:left w:val="nil"/>
              <w:bottom w:val="nil"/>
              <w:right w:val="nil"/>
            </w:tcBorders>
            <w:vAlign w:val="bottom"/>
          </w:tcPr>
          <w:p w14:paraId="79A8BA34" w14:textId="3F48BB19" w:rsidR="008E2A2F" w:rsidRPr="00D6550C" w:rsidRDefault="008E2A2F" w:rsidP="008E2A2F">
            <w:pPr>
              <w:pStyle w:val="TableTitle"/>
              <w:tabs>
                <w:tab w:val="left" w:pos="3306"/>
              </w:tabs>
              <w:rPr>
                <w:rFonts w:cs="Calibri"/>
              </w:rPr>
            </w:pPr>
            <w:r w:rsidRPr="00D6550C">
              <w:rPr>
                <w:rFonts w:cs="Calibri"/>
              </w:rPr>
              <w:t>202</w:t>
            </w:r>
            <w:r w:rsidR="00F305E9">
              <w:rPr>
                <w:rFonts w:cs="Calibri"/>
              </w:rPr>
              <w:t>2</w:t>
            </w:r>
          </w:p>
          <w:p w14:paraId="58FC626A" w14:textId="77777777" w:rsidR="008E2A2F" w:rsidRPr="00D6550C" w:rsidRDefault="008E2A2F" w:rsidP="008E2A2F">
            <w:pPr>
              <w:pStyle w:val="TableText"/>
              <w:tabs>
                <w:tab w:val="left" w:pos="3306"/>
              </w:tabs>
              <w:jc w:val="right"/>
              <w:rPr>
                <w:rFonts w:cs="Calibri"/>
                <w:b/>
                <w:bCs/>
              </w:rPr>
            </w:pPr>
            <w:r w:rsidRPr="00D6550C">
              <w:rPr>
                <w:rFonts w:cs="Calibri"/>
                <w:b/>
                <w:bCs/>
              </w:rPr>
              <w:t>$’000</w:t>
            </w:r>
          </w:p>
        </w:tc>
      </w:tr>
      <w:tr w:rsidR="008E2A2F" w:rsidRPr="00DD296A" w14:paraId="235D69BE" w14:textId="77777777" w:rsidTr="005F5B4C">
        <w:trPr>
          <w:trHeight w:val="23"/>
        </w:trPr>
        <w:tc>
          <w:tcPr>
            <w:tcW w:w="737" w:type="pct"/>
            <w:tcBorders>
              <w:top w:val="nil"/>
              <w:left w:val="single" w:sz="2" w:space="0" w:color="auto"/>
              <w:bottom w:val="nil"/>
              <w:right w:val="single" w:sz="2" w:space="0" w:color="auto"/>
            </w:tcBorders>
          </w:tcPr>
          <w:p w14:paraId="0A991320" w14:textId="77777777" w:rsidR="008E2A2F" w:rsidRPr="00D6550C" w:rsidRDefault="008E2A2F" w:rsidP="008E2A2F">
            <w:pPr>
              <w:pStyle w:val="TableReference"/>
              <w:tabs>
                <w:tab w:val="left" w:pos="3306"/>
              </w:tabs>
              <w:rPr>
                <w:rFonts w:cs="Calibri"/>
                <w:color w:val="7030A0"/>
                <w:sz w:val="16"/>
                <w:szCs w:val="16"/>
              </w:rPr>
            </w:pPr>
          </w:p>
        </w:tc>
        <w:tc>
          <w:tcPr>
            <w:tcW w:w="2947" w:type="pct"/>
            <w:tcBorders>
              <w:top w:val="nil"/>
              <w:left w:val="single" w:sz="2" w:space="0" w:color="auto"/>
              <w:bottom w:val="nil"/>
              <w:right w:val="nil"/>
            </w:tcBorders>
            <w:vAlign w:val="bottom"/>
          </w:tcPr>
          <w:p w14:paraId="2D7F71CA" w14:textId="3888474E" w:rsidR="008E2A2F" w:rsidRPr="00D6550C" w:rsidRDefault="008E2A2F" w:rsidP="008E2A2F">
            <w:pPr>
              <w:pStyle w:val="TableText"/>
              <w:tabs>
                <w:tab w:val="left" w:pos="3306"/>
              </w:tabs>
              <w:spacing w:before="0"/>
              <w:rPr>
                <w:rFonts w:cs="Calibri"/>
              </w:rPr>
            </w:pPr>
            <w:r w:rsidRPr="00D6550C">
              <w:rPr>
                <w:rFonts w:cs="Calibri"/>
                <w:b/>
                <w:bCs/>
              </w:rPr>
              <w:t>Current Cash and Investments</w:t>
            </w:r>
          </w:p>
        </w:tc>
        <w:tc>
          <w:tcPr>
            <w:tcW w:w="577" w:type="pct"/>
            <w:tcBorders>
              <w:top w:val="nil"/>
              <w:left w:val="nil"/>
              <w:bottom w:val="nil"/>
              <w:right w:val="nil"/>
            </w:tcBorders>
            <w:vAlign w:val="bottom"/>
          </w:tcPr>
          <w:p w14:paraId="0D3D30F2"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7F8B703A" w14:textId="77777777" w:rsidR="008E2A2F" w:rsidRPr="00D6550C" w:rsidRDefault="008E2A2F" w:rsidP="008E2A2F">
            <w:pPr>
              <w:pStyle w:val="TableText"/>
              <w:tabs>
                <w:tab w:val="left" w:pos="3306"/>
              </w:tabs>
              <w:spacing w:before="0"/>
              <w:jc w:val="right"/>
              <w:rPr>
                <w:rFonts w:cs="Calibri"/>
              </w:rPr>
            </w:pPr>
          </w:p>
        </w:tc>
      </w:tr>
      <w:tr w:rsidR="008E2A2F" w:rsidRPr="00DD296A" w14:paraId="5DC54ED7" w14:textId="77777777" w:rsidTr="005F5B4C">
        <w:trPr>
          <w:trHeight w:val="23"/>
        </w:trPr>
        <w:tc>
          <w:tcPr>
            <w:tcW w:w="737" w:type="pct"/>
            <w:tcBorders>
              <w:top w:val="nil"/>
              <w:left w:val="single" w:sz="2" w:space="0" w:color="auto"/>
              <w:bottom w:val="nil"/>
              <w:right w:val="single" w:sz="2" w:space="0" w:color="auto"/>
            </w:tcBorders>
          </w:tcPr>
          <w:p w14:paraId="3F55558A" w14:textId="213B4E68" w:rsidR="008E2A2F" w:rsidRPr="00D6550C" w:rsidRDefault="008E2A2F" w:rsidP="008E2A2F">
            <w:pPr>
              <w:pStyle w:val="TableReference"/>
              <w:tabs>
                <w:tab w:val="left" w:pos="3306"/>
              </w:tabs>
              <w:rPr>
                <w:rFonts w:cs="Calibri"/>
                <w:color w:val="7030A0"/>
                <w:sz w:val="16"/>
                <w:szCs w:val="16"/>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47BF685F" w14:textId="071011DF" w:rsidR="008E2A2F" w:rsidRPr="00D6550C" w:rsidRDefault="00A56E8F" w:rsidP="008E2A2F">
            <w:pPr>
              <w:pStyle w:val="TableText"/>
              <w:tabs>
                <w:tab w:val="left" w:pos="3306"/>
              </w:tabs>
              <w:spacing w:before="0"/>
              <w:rPr>
                <w:rFonts w:cs="Calibri"/>
                <w:b/>
                <w:bCs/>
              </w:rPr>
            </w:pPr>
            <w:r w:rsidRPr="00D6550C">
              <w:t>Deposits Held at Call with a Financial Institution</w:t>
            </w:r>
            <w:r w:rsidR="008E2A2F" w:rsidRPr="00D6550C">
              <w:rPr>
                <w:rFonts w:cs="Calibri"/>
              </w:rPr>
              <w:t xml:space="preserve"> </w:t>
            </w:r>
            <w:r w:rsidR="008E2A2F" w:rsidRPr="00D6550C">
              <w:rPr>
                <w:rFonts w:cs="Calibri"/>
                <w:vertAlign w:val="superscript"/>
              </w:rPr>
              <w:t>a</w:t>
            </w:r>
          </w:p>
        </w:tc>
        <w:tc>
          <w:tcPr>
            <w:tcW w:w="577" w:type="pct"/>
            <w:tcBorders>
              <w:top w:val="nil"/>
              <w:left w:val="nil"/>
              <w:bottom w:val="nil"/>
              <w:right w:val="nil"/>
            </w:tcBorders>
            <w:vAlign w:val="bottom"/>
          </w:tcPr>
          <w:p w14:paraId="1513EB2B"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38317E41" w14:textId="77777777" w:rsidR="008E2A2F" w:rsidRPr="00D6550C" w:rsidRDefault="008E2A2F" w:rsidP="008E2A2F">
            <w:pPr>
              <w:pStyle w:val="TableText"/>
              <w:tabs>
                <w:tab w:val="left" w:pos="3306"/>
              </w:tabs>
              <w:spacing w:before="0"/>
              <w:jc w:val="right"/>
              <w:rPr>
                <w:rFonts w:cs="Calibri"/>
              </w:rPr>
            </w:pPr>
          </w:p>
        </w:tc>
      </w:tr>
      <w:tr w:rsidR="008E2A2F" w:rsidRPr="00DD296A" w14:paraId="5287C211" w14:textId="77777777" w:rsidTr="005F5B4C">
        <w:trPr>
          <w:trHeight w:val="23"/>
        </w:trPr>
        <w:tc>
          <w:tcPr>
            <w:tcW w:w="737" w:type="pct"/>
            <w:tcBorders>
              <w:top w:val="nil"/>
              <w:left w:val="single" w:sz="2" w:space="0" w:color="auto"/>
              <w:bottom w:val="nil"/>
              <w:right w:val="single" w:sz="2" w:space="0" w:color="auto"/>
            </w:tcBorders>
          </w:tcPr>
          <w:p w14:paraId="05EF67B0" w14:textId="3E80DD4A" w:rsidR="008E2A2F" w:rsidRPr="00D6550C" w:rsidRDefault="008E2A2F" w:rsidP="008E2A2F">
            <w:pPr>
              <w:pStyle w:val="TableReference"/>
              <w:tabs>
                <w:tab w:val="left" w:pos="3306"/>
              </w:tabs>
              <w:rPr>
                <w:rFonts w:cs="Calibri"/>
                <w:color w:val="7030A0"/>
                <w:sz w:val="16"/>
                <w:szCs w:val="16"/>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4C6983BC" w14:textId="70B62D95" w:rsidR="008E2A2F" w:rsidRPr="00D6550C" w:rsidRDefault="008E2A2F" w:rsidP="008E2A2F">
            <w:pPr>
              <w:pStyle w:val="TableText"/>
              <w:tabs>
                <w:tab w:val="left" w:pos="3306"/>
              </w:tabs>
              <w:spacing w:before="0"/>
              <w:rPr>
                <w:rFonts w:cs="Calibri"/>
                <w:b/>
                <w:bCs/>
              </w:rPr>
            </w:pPr>
            <w:r w:rsidRPr="00D6550C">
              <w:rPr>
                <w:rFonts w:cs="Calibri"/>
              </w:rPr>
              <w:t>Cash on Hand</w:t>
            </w:r>
          </w:p>
        </w:tc>
        <w:tc>
          <w:tcPr>
            <w:tcW w:w="577" w:type="pct"/>
            <w:tcBorders>
              <w:top w:val="nil"/>
              <w:left w:val="nil"/>
              <w:bottom w:val="nil"/>
              <w:right w:val="nil"/>
            </w:tcBorders>
            <w:vAlign w:val="bottom"/>
          </w:tcPr>
          <w:p w14:paraId="06EF9100"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2F9A6E57" w14:textId="77777777" w:rsidR="008E2A2F" w:rsidRPr="00D6550C" w:rsidRDefault="008E2A2F" w:rsidP="008E2A2F">
            <w:pPr>
              <w:pStyle w:val="TableText"/>
              <w:tabs>
                <w:tab w:val="left" w:pos="3306"/>
              </w:tabs>
              <w:spacing w:before="0"/>
              <w:jc w:val="right"/>
              <w:rPr>
                <w:rFonts w:cs="Calibri"/>
              </w:rPr>
            </w:pPr>
          </w:p>
        </w:tc>
      </w:tr>
      <w:tr w:rsidR="00A56E8F" w:rsidRPr="00DD296A" w14:paraId="67EBA9FC" w14:textId="77777777" w:rsidTr="005F5B4C">
        <w:trPr>
          <w:trHeight w:val="23"/>
        </w:trPr>
        <w:tc>
          <w:tcPr>
            <w:tcW w:w="737" w:type="pct"/>
            <w:tcBorders>
              <w:top w:val="nil"/>
              <w:left w:val="single" w:sz="2" w:space="0" w:color="auto"/>
              <w:bottom w:val="nil"/>
              <w:right w:val="single" w:sz="2" w:space="0" w:color="auto"/>
            </w:tcBorders>
          </w:tcPr>
          <w:p w14:paraId="7A9775B2" w14:textId="5CC3CA13" w:rsidR="00A56E8F" w:rsidRPr="00D6550C" w:rsidRDefault="00A56E8F" w:rsidP="008E2A2F">
            <w:pPr>
              <w:pStyle w:val="TableReference"/>
              <w:tabs>
                <w:tab w:val="left" w:pos="3306"/>
              </w:tabs>
              <w:rPr>
                <w:rFonts w:cs="Calibri"/>
                <w:color w:val="7030A0"/>
                <w:sz w:val="14"/>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1F8B1990" w14:textId="7FF7B1FC" w:rsidR="00A56E8F" w:rsidRPr="00D6550C" w:rsidRDefault="00A56E8F" w:rsidP="008E2A2F">
            <w:pPr>
              <w:pStyle w:val="TableText"/>
              <w:tabs>
                <w:tab w:val="left" w:pos="3306"/>
              </w:tabs>
              <w:spacing w:before="0"/>
              <w:rPr>
                <w:rFonts w:cs="Calibri"/>
              </w:rPr>
            </w:pPr>
            <w:r w:rsidRPr="00D6550C">
              <w:rPr>
                <w:rFonts w:cs="Calibri"/>
              </w:rPr>
              <w:t>Short-term Deposits</w:t>
            </w:r>
          </w:p>
        </w:tc>
        <w:tc>
          <w:tcPr>
            <w:tcW w:w="577" w:type="pct"/>
            <w:tcBorders>
              <w:top w:val="nil"/>
              <w:left w:val="nil"/>
              <w:bottom w:val="nil"/>
              <w:right w:val="nil"/>
            </w:tcBorders>
            <w:vAlign w:val="bottom"/>
          </w:tcPr>
          <w:p w14:paraId="3660725E" w14:textId="77777777" w:rsidR="00A56E8F" w:rsidRPr="00D6550C" w:rsidRDefault="00A56E8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2D105DCF" w14:textId="77777777" w:rsidR="00A56E8F" w:rsidRPr="00D6550C" w:rsidRDefault="00A56E8F" w:rsidP="008E2A2F">
            <w:pPr>
              <w:pStyle w:val="TableText"/>
              <w:tabs>
                <w:tab w:val="left" w:pos="3306"/>
              </w:tabs>
              <w:spacing w:before="0"/>
              <w:jc w:val="right"/>
              <w:rPr>
                <w:rFonts w:cs="Calibri"/>
              </w:rPr>
            </w:pPr>
          </w:p>
        </w:tc>
      </w:tr>
      <w:tr w:rsidR="008E2A2F" w:rsidRPr="00DD296A" w14:paraId="06F5F33E" w14:textId="77777777" w:rsidTr="005F5B4C">
        <w:trPr>
          <w:trHeight w:val="23"/>
        </w:trPr>
        <w:tc>
          <w:tcPr>
            <w:tcW w:w="737" w:type="pct"/>
            <w:tcBorders>
              <w:top w:val="nil"/>
              <w:left w:val="single" w:sz="2" w:space="0" w:color="auto"/>
              <w:bottom w:val="nil"/>
              <w:right w:val="single" w:sz="2" w:space="0" w:color="auto"/>
            </w:tcBorders>
          </w:tcPr>
          <w:p w14:paraId="51AE5D7D" w14:textId="77777777" w:rsidR="008E2A2F" w:rsidRPr="00D6550C" w:rsidRDefault="008E2A2F" w:rsidP="008F75D1">
            <w:pPr>
              <w:pStyle w:val="TableReference"/>
              <w:tabs>
                <w:tab w:val="left" w:pos="3306"/>
              </w:tabs>
              <w:rPr>
                <w:rFonts w:cs="Calibri"/>
                <w:color w:val="7030A0"/>
                <w:sz w:val="14"/>
              </w:rPr>
            </w:pPr>
            <w:r w:rsidRPr="00D6550C">
              <w:rPr>
                <w:rFonts w:cs="Calibri"/>
                <w:color w:val="7030A0"/>
                <w:sz w:val="14"/>
              </w:rPr>
              <w:t>AASB 101.66</w:t>
            </w:r>
          </w:p>
        </w:tc>
        <w:tc>
          <w:tcPr>
            <w:tcW w:w="2947" w:type="pct"/>
            <w:tcBorders>
              <w:top w:val="nil"/>
              <w:left w:val="single" w:sz="2" w:space="0" w:color="auto"/>
              <w:bottom w:val="nil"/>
              <w:right w:val="nil"/>
            </w:tcBorders>
            <w:vAlign w:val="bottom"/>
          </w:tcPr>
          <w:p w14:paraId="2945587B" w14:textId="76DFF612" w:rsidR="008E2A2F" w:rsidRPr="00D6550C" w:rsidRDefault="008E2A2F" w:rsidP="008F75D1">
            <w:pPr>
              <w:pStyle w:val="TableText"/>
              <w:tabs>
                <w:tab w:val="left" w:pos="3306"/>
              </w:tabs>
              <w:spacing w:before="0"/>
              <w:rPr>
                <w:rFonts w:cs="Calibri"/>
              </w:rPr>
            </w:pPr>
            <w:r w:rsidRPr="00D6550C">
              <w:rPr>
                <w:rFonts w:cs="Calibri"/>
              </w:rPr>
              <w:t xml:space="preserve">Investments with the Territory Banking Account </w:t>
            </w:r>
          </w:p>
        </w:tc>
        <w:tc>
          <w:tcPr>
            <w:tcW w:w="577" w:type="pct"/>
            <w:tcBorders>
              <w:top w:val="nil"/>
              <w:left w:val="nil"/>
              <w:bottom w:val="nil"/>
              <w:right w:val="nil"/>
            </w:tcBorders>
            <w:vAlign w:val="bottom"/>
          </w:tcPr>
          <w:p w14:paraId="646038E1" w14:textId="77777777" w:rsidR="008E2A2F" w:rsidRPr="00D6550C" w:rsidRDefault="008E2A2F" w:rsidP="008F75D1">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5A72F38B" w14:textId="77777777" w:rsidR="008E2A2F" w:rsidRPr="00D6550C" w:rsidRDefault="008E2A2F" w:rsidP="008F75D1">
            <w:pPr>
              <w:pStyle w:val="TableText"/>
              <w:tabs>
                <w:tab w:val="left" w:pos="3306"/>
              </w:tabs>
              <w:spacing w:before="0"/>
              <w:jc w:val="right"/>
              <w:rPr>
                <w:rFonts w:cs="Calibri"/>
              </w:rPr>
            </w:pPr>
          </w:p>
        </w:tc>
      </w:tr>
      <w:tr w:rsidR="00906E7B" w:rsidRPr="00906E7B" w14:paraId="4EED5120" w14:textId="77777777" w:rsidTr="005F5B4C">
        <w:trPr>
          <w:trHeight w:val="23"/>
        </w:trPr>
        <w:tc>
          <w:tcPr>
            <w:tcW w:w="737" w:type="pct"/>
            <w:tcBorders>
              <w:top w:val="nil"/>
              <w:left w:val="single" w:sz="2" w:space="0" w:color="auto"/>
              <w:bottom w:val="nil"/>
              <w:right w:val="single" w:sz="2" w:space="0" w:color="auto"/>
            </w:tcBorders>
          </w:tcPr>
          <w:p w14:paraId="09950EFA" w14:textId="77777777" w:rsidR="00906E7B" w:rsidRPr="00D6550C" w:rsidRDefault="00906E7B" w:rsidP="00906E7B">
            <w:pPr>
              <w:pStyle w:val="TableReference"/>
              <w:tabs>
                <w:tab w:val="left" w:pos="3306"/>
              </w:tabs>
              <w:rPr>
                <w:rFonts w:cs="Calibri"/>
                <w:color w:val="7030A0"/>
                <w:sz w:val="6"/>
                <w:szCs w:val="6"/>
              </w:rPr>
            </w:pPr>
          </w:p>
        </w:tc>
        <w:tc>
          <w:tcPr>
            <w:tcW w:w="2947" w:type="pct"/>
            <w:tcBorders>
              <w:top w:val="nil"/>
              <w:left w:val="single" w:sz="2" w:space="0" w:color="auto"/>
              <w:bottom w:val="nil"/>
              <w:right w:val="nil"/>
            </w:tcBorders>
            <w:shd w:val="clear" w:color="auto" w:fill="auto"/>
          </w:tcPr>
          <w:p w14:paraId="366C4D8F" w14:textId="77777777" w:rsidR="00906E7B" w:rsidRPr="00D6550C" w:rsidRDefault="00906E7B" w:rsidP="00906E7B">
            <w:pPr>
              <w:pStyle w:val="CommentaryHeading"/>
              <w:tabs>
                <w:tab w:val="left" w:pos="3306"/>
              </w:tabs>
              <w:spacing w:before="0" w:after="0"/>
              <w:rPr>
                <w:rFonts w:cs="Calibri"/>
                <w:sz w:val="6"/>
                <w:szCs w:val="6"/>
              </w:rPr>
            </w:pPr>
          </w:p>
        </w:tc>
        <w:tc>
          <w:tcPr>
            <w:tcW w:w="577" w:type="pct"/>
            <w:tcBorders>
              <w:top w:val="nil"/>
              <w:left w:val="nil"/>
              <w:bottom w:val="single" w:sz="2" w:space="0" w:color="auto"/>
              <w:right w:val="nil"/>
            </w:tcBorders>
            <w:vAlign w:val="bottom"/>
          </w:tcPr>
          <w:p w14:paraId="73E83E63" w14:textId="77777777" w:rsidR="00906E7B" w:rsidRPr="00D6550C" w:rsidRDefault="00906E7B" w:rsidP="00906E7B">
            <w:pPr>
              <w:pStyle w:val="TableText"/>
              <w:tabs>
                <w:tab w:val="left" w:pos="3306"/>
              </w:tabs>
              <w:spacing w:before="0"/>
              <w:jc w:val="right"/>
              <w:rPr>
                <w:rFonts w:cs="Calibri"/>
                <w:b/>
                <w:bCs/>
                <w:sz w:val="6"/>
                <w:szCs w:val="6"/>
              </w:rPr>
            </w:pPr>
          </w:p>
        </w:tc>
        <w:tc>
          <w:tcPr>
            <w:tcW w:w="739" w:type="pct"/>
            <w:tcBorders>
              <w:top w:val="nil"/>
              <w:left w:val="nil"/>
              <w:bottom w:val="single" w:sz="2" w:space="0" w:color="auto"/>
              <w:right w:val="nil"/>
            </w:tcBorders>
            <w:vAlign w:val="bottom"/>
          </w:tcPr>
          <w:p w14:paraId="2FAE5B32" w14:textId="77777777" w:rsidR="00906E7B" w:rsidRPr="00D6550C" w:rsidRDefault="00906E7B" w:rsidP="00906E7B">
            <w:pPr>
              <w:pStyle w:val="TableText"/>
              <w:tabs>
                <w:tab w:val="left" w:pos="3306"/>
              </w:tabs>
              <w:spacing w:before="0"/>
              <w:jc w:val="right"/>
              <w:rPr>
                <w:rFonts w:cs="Calibri"/>
                <w:b/>
                <w:bCs/>
                <w:sz w:val="6"/>
                <w:szCs w:val="6"/>
              </w:rPr>
            </w:pPr>
          </w:p>
        </w:tc>
      </w:tr>
      <w:tr w:rsidR="008E2A2F" w:rsidRPr="00DD296A" w14:paraId="1A7FEC3F" w14:textId="77777777" w:rsidTr="005F5B4C">
        <w:trPr>
          <w:trHeight w:val="23"/>
        </w:trPr>
        <w:tc>
          <w:tcPr>
            <w:tcW w:w="737" w:type="pct"/>
            <w:tcBorders>
              <w:top w:val="nil"/>
              <w:left w:val="single" w:sz="2" w:space="0" w:color="auto"/>
              <w:bottom w:val="nil"/>
              <w:right w:val="single" w:sz="2" w:space="0" w:color="auto"/>
            </w:tcBorders>
          </w:tcPr>
          <w:p w14:paraId="2481398A" w14:textId="77777777" w:rsidR="008E2A2F" w:rsidRPr="00D6550C" w:rsidRDefault="008E2A2F" w:rsidP="00906E7B">
            <w:pPr>
              <w:pStyle w:val="TableReference"/>
              <w:tabs>
                <w:tab w:val="left" w:pos="3306"/>
              </w:tabs>
              <w:rPr>
                <w:rFonts w:cs="Calibri"/>
                <w:color w:val="7030A0"/>
                <w:sz w:val="14"/>
              </w:rPr>
            </w:pPr>
          </w:p>
        </w:tc>
        <w:tc>
          <w:tcPr>
            <w:tcW w:w="2947" w:type="pct"/>
            <w:tcBorders>
              <w:top w:val="nil"/>
              <w:left w:val="single" w:sz="2" w:space="0" w:color="auto"/>
              <w:bottom w:val="nil"/>
              <w:right w:val="nil"/>
            </w:tcBorders>
            <w:shd w:val="clear" w:color="auto" w:fill="auto"/>
          </w:tcPr>
          <w:p w14:paraId="0C891676" w14:textId="782CE929" w:rsidR="008E2A2F" w:rsidRPr="005F5F76" w:rsidRDefault="008E2A2F" w:rsidP="00906E7B">
            <w:pPr>
              <w:pStyle w:val="CommentaryHeading"/>
              <w:tabs>
                <w:tab w:val="left" w:pos="3306"/>
              </w:tabs>
              <w:spacing w:before="0" w:after="0"/>
              <w:rPr>
                <w:rFonts w:cs="Calibri"/>
                <w:sz w:val="18"/>
              </w:rPr>
            </w:pPr>
            <w:r w:rsidRPr="005F5F76">
              <w:rPr>
                <w:rFonts w:cs="Calibri"/>
                <w:sz w:val="18"/>
              </w:rPr>
              <w:t>Total Current</w:t>
            </w:r>
            <w:r w:rsidR="00AD6ADB" w:rsidRPr="005F5F76">
              <w:rPr>
                <w:rFonts w:cs="Calibri"/>
                <w:b w:val="0"/>
                <w:bCs w:val="0"/>
                <w:sz w:val="18"/>
              </w:rPr>
              <w:t xml:space="preserve"> </w:t>
            </w:r>
            <w:r w:rsidR="00AD6ADB" w:rsidRPr="005F5F76">
              <w:rPr>
                <w:rFonts w:cs="Calibri"/>
                <w:sz w:val="18"/>
              </w:rPr>
              <w:t>Cash and</w:t>
            </w:r>
            <w:r w:rsidRPr="005F5F76">
              <w:rPr>
                <w:rFonts w:cs="Calibri"/>
                <w:sz w:val="18"/>
              </w:rPr>
              <w:t xml:space="preserve"> Investments </w:t>
            </w:r>
          </w:p>
        </w:tc>
        <w:tc>
          <w:tcPr>
            <w:tcW w:w="577" w:type="pct"/>
            <w:tcBorders>
              <w:top w:val="single" w:sz="2" w:space="0" w:color="auto"/>
              <w:left w:val="nil"/>
              <w:bottom w:val="single" w:sz="2" w:space="0" w:color="auto"/>
              <w:right w:val="nil"/>
            </w:tcBorders>
            <w:vAlign w:val="bottom"/>
          </w:tcPr>
          <w:p w14:paraId="022F709B" w14:textId="77777777" w:rsidR="008E2A2F" w:rsidRPr="00D6550C" w:rsidRDefault="008E2A2F" w:rsidP="00906E7B">
            <w:pPr>
              <w:pStyle w:val="TableText"/>
              <w:tabs>
                <w:tab w:val="left" w:pos="3306"/>
              </w:tabs>
              <w:spacing w:before="0"/>
              <w:jc w:val="right"/>
              <w:rPr>
                <w:rFonts w:cs="Calibri"/>
                <w:b/>
                <w:bCs/>
              </w:rPr>
            </w:pPr>
          </w:p>
        </w:tc>
        <w:tc>
          <w:tcPr>
            <w:tcW w:w="739" w:type="pct"/>
            <w:tcBorders>
              <w:top w:val="single" w:sz="2" w:space="0" w:color="auto"/>
              <w:left w:val="nil"/>
              <w:bottom w:val="single" w:sz="2" w:space="0" w:color="auto"/>
              <w:right w:val="nil"/>
            </w:tcBorders>
            <w:vAlign w:val="bottom"/>
          </w:tcPr>
          <w:p w14:paraId="70FFA593" w14:textId="77777777" w:rsidR="008E2A2F" w:rsidRPr="00D6550C" w:rsidRDefault="008E2A2F" w:rsidP="00906E7B">
            <w:pPr>
              <w:pStyle w:val="TableText"/>
              <w:tabs>
                <w:tab w:val="left" w:pos="3306"/>
              </w:tabs>
              <w:spacing w:before="0"/>
              <w:jc w:val="right"/>
              <w:rPr>
                <w:rFonts w:cs="Calibri"/>
                <w:b/>
                <w:bCs/>
              </w:rPr>
            </w:pPr>
          </w:p>
        </w:tc>
      </w:tr>
      <w:tr w:rsidR="00906E7B" w:rsidRPr="00906E7B" w14:paraId="78127DD5" w14:textId="77777777" w:rsidTr="005F5B4C">
        <w:trPr>
          <w:trHeight w:val="23"/>
        </w:trPr>
        <w:tc>
          <w:tcPr>
            <w:tcW w:w="737" w:type="pct"/>
            <w:tcBorders>
              <w:top w:val="nil"/>
              <w:left w:val="single" w:sz="2" w:space="0" w:color="auto"/>
              <w:bottom w:val="nil"/>
              <w:right w:val="single" w:sz="2" w:space="0" w:color="auto"/>
            </w:tcBorders>
          </w:tcPr>
          <w:p w14:paraId="6728CC66" w14:textId="77777777" w:rsidR="00906E7B" w:rsidRPr="00D6550C" w:rsidRDefault="00906E7B" w:rsidP="00906E7B">
            <w:pPr>
              <w:pStyle w:val="TableReference"/>
              <w:tabs>
                <w:tab w:val="left" w:pos="3306"/>
              </w:tabs>
              <w:rPr>
                <w:rFonts w:cs="Calibri"/>
                <w:color w:val="7030A0"/>
                <w:sz w:val="14"/>
              </w:rPr>
            </w:pPr>
          </w:p>
        </w:tc>
        <w:tc>
          <w:tcPr>
            <w:tcW w:w="2947" w:type="pct"/>
            <w:tcBorders>
              <w:top w:val="nil"/>
              <w:left w:val="single" w:sz="2" w:space="0" w:color="auto"/>
              <w:bottom w:val="nil"/>
              <w:right w:val="nil"/>
            </w:tcBorders>
            <w:shd w:val="clear" w:color="auto" w:fill="auto"/>
          </w:tcPr>
          <w:p w14:paraId="233644AA" w14:textId="77777777" w:rsidR="00906E7B" w:rsidRPr="00D6550C" w:rsidRDefault="00906E7B" w:rsidP="00906E7B">
            <w:pPr>
              <w:pStyle w:val="CommentaryHeading"/>
              <w:tabs>
                <w:tab w:val="left" w:pos="3306"/>
              </w:tabs>
              <w:spacing w:before="0" w:after="0"/>
              <w:rPr>
                <w:rFonts w:cs="Calibri"/>
                <w:sz w:val="14"/>
                <w:szCs w:val="14"/>
              </w:rPr>
            </w:pPr>
          </w:p>
        </w:tc>
        <w:tc>
          <w:tcPr>
            <w:tcW w:w="577" w:type="pct"/>
            <w:tcBorders>
              <w:top w:val="single" w:sz="2" w:space="0" w:color="auto"/>
              <w:left w:val="nil"/>
              <w:bottom w:val="nil"/>
              <w:right w:val="nil"/>
            </w:tcBorders>
            <w:vAlign w:val="bottom"/>
          </w:tcPr>
          <w:p w14:paraId="73F4FEE7" w14:textId="77777777" w:rsidR="00906E7B" w:rsidRPr="00D6550C" w:rsidRDefault="00906E7B" w:rsidP="00906E7B">
            <w:pPr>
              <w:pStyle w:val="TableText"/>
              <w:tabs>
                <w:tab w:val="left" w:pos="3306"/>
              </w:tabs>
              <w:spacing w:before="0"/>
              <w:jc w:val="right"/>
              <w:rPr>
                <w:rFonts w:cs="Calibri"/>
                <w:b/>
                <w:bCs/>
                <w:sz w:val="14"/>
                <w:szCs w:val="14"/>
              </w:rPr>
            </w:pPr>
          </w:p>
        </w:tc>
        <w:tc>
          <w:tcPr>
            <w:tcW w:w="739" w:type="pct"/>
            <w:tcBorders>
              <w:top w:val="single" w:sz="2" w:space="0" w:color="auto"/>
              <w:left w:val="nil"/>
              <w:bottom w:val="nil"/>
              <w:right w:val="nil"/>
            </w:tcBorders>
            <w:vAlign w:val="bottom"/>
          </w:tcPr>
          <w:p w14:paraId="18E3D942" w14:textId="77777777" w:rsidR="00906E7B" w:rsidRPr="00D6550C" w:rsidRDefault="00906E7B" w:rsidP="00906E7B">
            <w:pPr>
              <w:pStyle w:val="TableText"/>
              <w:tabs>
                <w:tab w:val="left" w:pos="3306"/>
              </w:tabs>
              <w:spacing w:before="0"/>
              <w:jc w:val="right"/>
              <w:rPr>
                <w:rFonts w:cs="Calibri"/>
                <w:b/>
                <w:bCs/>
                <w:sz w:val="14"/>
                <w:szCs w:val="14"/>
              </w:rPr>
            </w:pPr>
          </w:p>
        </w:tc>
      </w:tr>
      <w:tr w:rsidR="008E2A2F" w:rsidRPr="00DD296A" w14:paraId="045AEE98" w14:textId="77777777" w:rsidTr="005F5B4C">
        <w:trPr>
          <w:trHeight w:val="23"/>
        </w:trPr>
        <w:tc>
          <w:tcPr>
            <w:tcW w:w="737" w:type="pct"/>
            <w:tcBorders>
              <w:top w:val="nil"/>
              <w:left w:val="single" w:sz="2" w:space="0" w:color="auto"/>
              <w:bottom w:val="nil"/>
              <w:right w:val="single" w:sz="2" w:space="0" w:color="auto"/>
            </w:tcBorders>
          </w:tcPr>
          <w:p w14:paraId="3896F066"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 xml:space="preserve"> </w:t>
            </w:r>
          </w:p>
        </w:tc>
        <w:tc>
          <w:tcPr>
            <w:tcW w:w="2947" w:type="pct"/>
            <w:tcBorders>
              <w:top w:val="nil"/>
              <w:left w:val="single" w:sz="2" w:space="0" w:color="auto"/>
              <w:bottom w:val="nil"/>
              <w:right w:val="nil"/>
            </w:tcBorders>
            <w:vAlign w:val="bottom"/>
          </w:tcPr>
          <w:p w14:paraId="119145C9" w14:textId="7D01FB34" w:rsidR="008E2A2F" w:rsidRPr="00AA32B2" w:rsidRDefault="008E2A2F" w:rsidP="008E2A2F">
            <w:pPr>
              <w:pStyle w:val="TableText"/>
              <w:tabs>
                <w:tab w:val="left" w:pos="3306"/>
              </w:tabs>
              <w:rPr>
                <w:rFonts w:cs="Calibri"/>
                <w:b/>
                <w:bCs/>
              </w:rPr>
            </w:pPr>
            <w:bookmarkStart w:id="552" w:name="_Toc48468521"/>
            <w:bookmarkStart w:id="553" w:name="_Toc49155632"/>
            <w:bookmarkStart w:id="554" w:name="_Toc49224077"/>
            <w:r w:rsidRPr="00AA32B2">
              <w:rPr>
                <w:rFonts w:cs="Calibri"/>
                <w:b/>
                <w:bCs/>
              </w:rPr>
              <w:t>Non-Current</w:t>
            </w:r>
            <w:r w:rsidR="00232C6D" w:rsidRPr="00AA32B2">
              <w:rPr>
                <w:rFonts w:cs="Calibri"/>
                <w:b/>
                <w:bCs/>
              </w:rPr>
              <w:t xml:space="preserve"> </w:t>
            </w:r>
            <w:r w:rsidR="00232C6D" w:rsidRPr="00545DC8">
              <w:rPr>
                <w:rFonts w:cs="Calibri"/>
                <w:b/>
                <w:bCs/>
                <w:strike/>
                <w:color w:val="FF0000"/>
              </w:rPr>
              <w:t>Cash and</w:t>
            </w:r>
            <w:r w:rsidRPr="00545DC8">
              <w:rPr>
                <w:rFonts w:cs="Calibri"/>
                <w:b/>
                <w:bCs/>
                <w:color w:val="FF0000"/>
              </w:rPr>
              <w:t xml:space="preserve"> </w:t>
            </w:r>
            <w:r w:rsidRPr="00AA32B2">
              <w:rPr>
                <w:rFonts w:cs="Calibri"/>
                <w:b/>
                <w:bCs/>
              </w:rPr>
              <w:t>Investments</w:t>
            </w:r>
            <w:bookmarkEnd w:id="552"/>
            <w:bookmarkEnd w:id="553"/>
            <w:bookmarkEnd w:id="554"/>
            <w:r w:rsidRPr="00AA32B2">
              <w:rPr>
                <w:rFonts w:cs="Calibri"/>
                <w:b/>
                <w:bCs/>
              </w:rPr>
              <w:t xml:space="preserve"> </w:t>
            </w:r>
          </w:p>
        </w:tc>
        <w:tc>
          <w:tcPr>
            <w:tcW w:w="577" w:type="pct"/>
            <w:tcBorders>
              <w:top w:val="nil"/>
              <w:left w:val="nil"/>
              <w:bottom w:val="nil"/>
              <w:right w:val="nil"/>
            </w:tcBorders>
            <w:vAlign w:val="bottom"/>
          </w:tcPr>
          <w:p w14:paraId="0D2EE380" w14:textId="77777777" w:rsidR="008E2A2F" w:rsidRPr="00D6550C" w:rsidRDefault="008E2A2F" w:rsidP="008E2A2F">
            <w:pPr>
              <w:pStyle w:val="TableText"/>
              <w:tabs>
                <w:tab w:val="left" w:pos="3306"/>
              </w:tabs>
              <w:jc w:val="right"/>
              <w:rPr>
                <w:rFonts w:cs="Calibri"/>
                <w:b/>
                <w:bCs/>
              </w:rPr>
            </w:pPr>
          </w:p>
        </w:tc>
        <w:tc>
          <w:tcPr>
            <w:tcW w:w="739" w:type="pct"/>
            <w:tcBorders>
              <w:top w:val="nil"/>
              <w:left w:val="nil"/>
              <w:bottom w:val="nil"/>
              <w:right w:val="nil"/>
            </w:tcBorders>
            <w:vAlign w:val="bottom"/>
          </w:tcPr>
          <w:p w14:paraId="5ADA50CF" w14:textId="77777777" w:rsidR="008E2A2F" w:rsidRPr="00D6550C" w:rsidRDefault="008E2A2F" w:rsidP="008E2A2F">
            <w:pPr>
              <w:pStyle w:val="TableText"/>
              <w:tabs>
                <w:tab w:val="left" w:pos="3306"/>
              </w:tabs>
              <w:jc w:val="right"/>
              <w:rPr>
                <w:rFonts w:cs="Calibri"/>
                <w:b/>
                <w:bCs/>
              </w:rPr>
            </w:pPr>
          </w:p>
        </w:tc>
      </w:tr>
      <w:tr w:rsidR="008E2A2F" w:rsidRPr="00DD296A" w14:paraId="7D7D07D2" w14:textId="77777777" w:rsidTr="005F5B4C">
        <w:trPr>
          <w:trHeight w:val="23"/>
        </w:trPr>
        <w:tc>
          <w:tcPr>
            <w:tcW w:w="737" w:type="pct"/>
            <w:tcBorders>
              <w:top w:val="nil"/>
              <w:left w:val="single" w:sz="2" w:space="0" w:color="auto"/>
              <w:bottom w:val="nil"/>
              <w:right w:val="single" w:sz="2" w:space="0" w:color="auto"/>
            </w:tcBorders>
          </w:tcPr>
          <w:p w14:paraId="2F7FE515"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AASB 101.66</w:t>
            </w:r>
          </w:p>
        </w:tc>
        <w:tc>
          <w:tcPr>
            <w:tcW w:w="2947" w:type="pct"/>
            <w:tcBorders>
              <w:top w:val="nil"/>
              <w:left w:val="single" w:sz="2" w:space="0" w:color="auto"/>
              <w:bottom w:val="nil"/>
              <w:right w:val="nil"/>
            </w:tcBorders>
            <w:vAlign w:val="bottom"/>
          </w:tcPr>
          <w:p w14:paraId="58842261" w14:textId="08F0056E" w:rsidR="008E2A2F" w:rsidRPr="00AA32B2" w:rsidRDefault="008E2A2F" w:rsidP="008E2A2F">
            <w:pPr>
              <w:pStyle w:val="TableText"/>
              <w:tabs>
                <w:tab w:val="left" w:pos="3306"/>
              </w:tabs>
              <w:rPr>
                <w:rFonts w:cs="Calibri"/>
              </w:rPr>
            </w:pPr>
            <w:r w:rsidRPr="00AA32B2">
              <w:rPr>
                <w:rFonts w:cs="Calibri"/>
              </w:rPr>
              <w:t xml:space="preserve">Investments with the Territory Banking Account </w:t>
            </w:r>
          </w:p>
        </w:tc>
        <w:tc>
          <w:tcPr>
            <w:tcW w:w="577" w:type="pct"/>
            <w:tcBorders>
              <w:top w:val="nil"/>
              <w:left w:val="nil"/>
              <w:bottom w:val="single" w:sz="2" w:space="0" w:color="auto"/>
              <w:right w:val="nil"/>
            </w:tcBorders>
            <w:vAlign w:val="bottom"/>
          </w:tcPr>
          <w:p w14:paraId="6027D594" w14:textId="77777777" w:rsidR="008E2A2F" w:rsidRPr="00D6550C" w:rsidRDefault="008E2A2F" w:rsidP="008E2A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73396FA5" w14:textId="77777777" w:rsidR="008E2A2F" w:rsidRPr="00D6550C" w:rsidRDefault="008E2A2F" w:rsidP="008E2A2F">
            <w:pPr>
              <w:pStyle w:val="TableText"/>
              <w:tabs>
                <w:tab w:val="left" w:pos="3306"/>
              </w:tabs>
              <w:jc w:val="right"/>
              <w:rPr>
                <w:rFonts w:cs="Calibri"/>
              </w:rPr>
            </w:pPr>
          </w:p>
        </w:tc>
      </w:tr>
      <w:tr w:rsidR="008E2A2F" w:rsidRPr="00DD296A" w14:paraId="22DE0E1B" w14:textId="77777777" w:rsidTr="005F5B4C">
        <w:trPr>
          <w:trHeight w:val="23"/>
        </w:trPr>
        <w:tc>
          <w:tcPr>
            <w:tcW w:w="737" w:type="pct"/>
            <w:tcBorders>
              <w:top w:val="nil"/>
              <w:left w:val="single" w:sz="2" w:space="0" w:color="auto"/>
              <w:bottom w:val="nil"/>
              <w:right w:val="single" w:sz="2" w:space="0" w:color="auto"/>
            </w:tcBorders>
          </w:tcPr>
          <w:p w14:paraId="40A1FF4C" w14:textId="77777777" w:rsidR="008E2A2F" w:rsidRPr="00D6550C" w:rsidRDefault="008E2A2F" w:rsidP="008E2A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1CBD1C4" w14:textId="71807F7B" w:rsidR="008E2A2F" w:rsidRPr="00AA32B2" w:rsidRDefault="008E2A2F" w:rsidP="008E2A2F">
            <w:pPr>
              <w:pStyle w:val="TableText"/>
              <w:tabs>
                <w:tab w:val="left" w:pos="3306"/>
              </w:tabs>
              <w:rPr>
                <w:rFonts w:cs="Calibri"/>
                <w:b/>
                <w:bCs/>
              </w:rPr>
            </w:pPr>
            <w:r w:rsidRPr="00AA32B2">
              <w:rPr>
                <w:rFonts w:cs="Calibri"/>
                <w:b/>
                <w:bCs/>
              </w:rPr>
              <w:t xml:space="preserve">Total Non-Current </w:t>
            </w:r>
            <w:r w:rsidR="00232C6D" w:rsidRPr="00545DC8">
              <w:rPr>
                <w:rFonts w:cs="Calibri"/>
                <w:b/>
                <w:bCs/>
                <w:strike/>
                <w:color w:val="FF0000"/>
              </w:rPr>
              <w:t>Cash and</w:t>
            </w:r>
            <w:r w:rsidR="00232C6D" w:rsidRPr="00545DC8">
              <w:rPr>
                <w:rFonts w:cs="Calibri"/>
                <w:color w:val="FF0000"/>
              </w:rPr>
              <w:t xml:space="preserve"> </w:t>
            </w:r>
            <w:r w:rsidRPr="00AA32B2">
              <w:rPr>
                <w:rFonts w:cs="Calibri"/>
                <w:b/>
                <w:bCs/>
              </w:rPr>
              <w:t xml:space="preserve">Investments </w:t>
            </w:r>
          </w:p>
        </w:tc>
        <w:tc>
          <w:tcPr>
            <w:tcW w:w="577" w:type="pct"/>
            <w:tcBorders>
              <w:top w:val="single" w:sz="2" w:space="0" w:color="auto"/>
              <w:left w:val="nil"/>
              <w:bottom w:val="single" w:sz="2" w:space="0" w:color="auto"/>
              <w:right w:val="nil"/>
            </w:tcBorders>
            <w:vAlign w:val="bottom"/>
          </w:tcPr>
          <w:p w14:paraId="233B06CD" w14:textId="77777777" w:rsidR="008E2A2F" w:rsidRPr="00D6550C" w:rsidRDefault="008E2A2F" w:rsidP="008E2A2F">
            <w:pPr>
              <w:pStyle w:val="TableText"/>
              <w:tabs>
                <w:tab w:val="left" w:pos="3306"/>
              </w:tabs>
              <w:jc w:val="right"/>
              <w:rPr>
                <w:rFonts w:cs="Calibri"/>
              </w:rPr>
            </w:pPr>
          </w:p>
        </w:tc>
        <w:tc>
          <w:tcPr>
            <w:tcW w:w="739" w:type="pct"/>
            <w:tcBorders>
              <w:top w:val="single" w:sz="2" w:space="0" w:color="auto"/>
              <w:left w:val="nil"/>
              <w:bottom w:val="single" w:sz="2" w:space="0" w:color="auto"/>
              <w:right w:val="nil"/>
            </w:tcBorders>
            <w:vAlign w:val="bottom"/>
          </w:tcPr>
          <w:p w14:paraId="2A809B99" w14:textId="77777777" w:rsidR="008E2A2F" w:rsidRPr="00D6550C" w:rsidRDefault="008E2A2F" w:rsidP="008E2A2F">
            <w:pPr>
              <w:pStyle w:val="TableText"/>
              <w:tabs>
                <w:tab w:val="left" w:pos="3306"/>
              </w:tabs>
              <w:jc w:val="right"/>
              <w:rPr>
                <w:rFonts w:cs="Calibri"/>
              </w:rPr>
            </w:pPr>
          </w:p>
        </w:tc>
      </w:tr>
      <w:tr w:rsidR="00906E7B" w:rsidRPr="00906E7B" w14:paraId="6284A4BB" w14:textId="77777777" w:rsidTr="005F5B4C">
        <w:trPr>
          <w:trHeight w:val="23"/>
        </w:trPr>
        <w:tc>
          <w:tcPr>
            <w:tcW w:w="737" w:type="pct"/>
            <w:tcBorders>
              <w:top w:val="nil"/>
              <w:left w:val="single" w:sz="2" w:space="0" w:color="auto"/>
              <w:bottom w:val="nil"/>
              <w:right w:val="single" w:sz="2" w:space="0" w:color="auto"/>
            </w:tcBorders>
          </w:tcPr>
          <w:p w14:paraId="6D91E128" w14:textId="77777777" w:rsidR="00906E7B" w:rsidRPr="00D6550C" w:rsidRDefault="00906E7B" w:rsidP="008E2A2F">
            <w:pPr>
              <w:pStyle w:val="TableReference"/>
              <w:tabs>
                <w:tab w:val="left" w:pos="3306"/>
              </w:tabs>
              <w:spacing w:before="40"/>
              <w:rPr>
                <w:rFonts w:cs="Calibri"/>
                <w:color w:val="7030A0"/>
                <w:szCs w:val="12"/>
              </w:rPr>
            </w:pPr>
          </w:p>
        </w:tc>
        <w:tc>
          <w:tcPr>
            <w:tcW w:w="2947" w:type="pct"/>
            <w:tcBorders>
              <w:top w:val="nil"/>
              <w:left w:val="single" w:sz="2" w:space="0" w:color="auto"/>
              <w:bottom w:val="nil"/>
              <w:right w:val="nil"/>
            </w:tcBorders>
            <w:vAlign w:val="bottom"/>
          </w:tcPr>
          <w:p w14:paraId="10779FDD" w14:textId="77777777" w:rsidR="00906E7B" w:rsidRPr="00D6550C" w:rsidRDefault="00906E7B" w:rsidP="008E2A2F">
            <w:pPr>
              <w:pStyle w:val="TableText"/>
              <w:tabs>
                <w:tab w:val="left" w:pos="3306"/>
              </w:tabs>
              <w:rPr>
                <w:rFonts w:cs="Calibri"/>
                <w:b/>
                <w:bCs/>
                <w:sz w:val="12"/>
                <w:szCs w:val="12"/>
              </w:rPr>
            </w:pPr>
          </w:p>
        </w:tc>
        <w:tc>
          <w:tcPr>
            <w:tcW w:w="577" w:type="pct"/>
            <w:tcBorders>
              <w:top w:val="single" w:sz="2" w:space="0" w:color="auto"/>
              <w:left w:val="nil"/>
              <w:bottom w:val="single" w:sz="2" w:space="0" w:color="auto"/>
              <w:right w:val="nil"/>
            </w:tcBorders>
            <w:vAlign w:val="bottom"/>
          </w:tcPr>
          <w:p w14:paraId="583C9D27" w14:textId="77777777" w:rsidR="00906E7B" w:rsidRPr="00D6550C" w:rsidRDefault="00906E7B" w:rsidP="008E2A2F">
            <w:pPr>
              <w:pStyle w:val="TableText"/>
              <w:tabs>
                <w:tab w:val="left" w:pos="3306"/>
              </w:tabs>
              <w:jc w:val="right"/>
              <w:rPr>
                <w:rFonts w:cs="Calibri"/>
                <w:sz w:val="12"/>
                <w:szCs w:val="12"/>
              </w:rPr>
            </w:pPr>
          </w:p>
        </w:tc>
        <w:tc>
          <w:tcPr>
            <w:tcW w:w="739" w:type="pct"/>
            <w:tcBorders>
              <w:top w:val="single" w:sz="2" w:space="0" w:color="auto"/>
              <w:left w:val="nil"/>
              <w:bottom w:val="single" w:sz="2" w:space="0" w:color="auto"/>
              <w:right w:val="nil"/>
            </w:tcBorders>
            <w:vAlign w:val="bottom"/>
          </w:tcPr>
          <w:p w14:paraId="2865C007" w14:textId="77777777" w:rsidR="00906E7B" w:rsidRPr="00D6550C" w:rsidRDefault="00906E7B" w:rsidP="008E2A2F">
            <w:pPr>
              <w:pStyle w:val="TableText"/>
              <w:tabs>
                <w:tab w:val="left" w:pos="3306"/>
              </w:tabs>
              <w:jc w:val="right"/>
              <w:rPr>
                <w:rFonts w:cs="Calibri"/>
                <w:sz w:val="12"/>
                <w:szCs w:val="12"/>
              </w:rPr>
            </w:pPr>
          </w:p>
        </w:tc>
      </w:tr>
      <w:tr w:rsidR="008E2A2F" w:rsidRPr="00DD296A" w14:paraId="3C5065E3" w14:textId="77777777" w:rsidTr="005F5B4C">
        <w:trPr>
          <w:trHeight w:val="23"/>
        </w:trPr>
        <w:tc>
          <w:tcPr>
            <w:tcW w:w="737" w:type="pct"/>
            <w:tcBorders>
              <w:top w:val="nil"/>
              <w:left w:val="single" w:sz="2" w:space="0" w:color="auto"/>
              <w:bottom w:val="nil"/>
              <w:right w:val="single" w:sz="2" w:space="0" w:color="auto"/>
            </w:tcBorders>
          </w:tcPr>
          <w:p w14:paraId="5DD7A7A5" w14:textId="77777777" w:rsidR="008E2A2F" w:rsidRPr="00D6550C" w:rsidRDefault="008E2A2F" w:rsidP="008E2A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5475DCE" w14:textId="769D558E" w:rsidR="008E2A2F" w:rsidRPr="00D6550C" w:rsidRDefault="008E2A2F" w:rsidP="008E2A2F">
            <w:pPr>
              <w:pStyle w:val="TableText"/>
              <w:tabs>
                <w:tab w:val="left" w:pos="3306"/>
              </w:tabs>
              <w:rPr>
                <w:rFonts w:cs="Calibri"/>
                <w:b/>
                <w:bCs/>
              </w:rPr>
            </w:pPr>
            <w:r w:rsidRPr="00D6550C">
              <w:rPr>
                <w:rFonts w:cs="Calibri"/>
                <w:b/>
                <w:bCs/>
              </w:rPr>
              <w:t xml:space="preserve">Total </w:t>
            </w:r>
            <w:r w:rsidR="00AD6ADB" w:rsidRPr="00D6550C">
              <w:rPr>
                <w:rFonts w:cs="Calibri"/>
                <w:b/>
                <w:bCs/>
              </w:rPr>
              <w:t xml:space="preserve">Cash and </w:t>
            </w:r>
            <w:r w:rsidRPr="00D6550C">
              <w:rPr>
                <w:rFonts w:cs="Calibri"/>
                <w:b/>
                <w:bCs/>
              </w:rPr>
              <w:t xml:space="preserve">Investments </w:t>
            </w:r>
          </w:p>
        </w:tc>
        <w:tc>
          <w:tcPr>
            <w:tcW w:w="577" w:type="pct"/>
            <w:tcBorders>
              <w:top w:val="single" w:sz="2" w:space="0" w:color="auto"/>
              <w:left w:val="nil"/>
              <w:bottom w:val="double" w:sz="4" w:space="0" w:color="auto"/>
              <w:right w:val="nil"/>
            </w:tcBorders>
            <w:vAlign w:val="bottom"/>
          </w:tcPr>
          <w:p w14:paraId="0DE671CB" w14:textId="77777777" w:rsidR="008E2A2F" w:rsidRPr="00D6550C" w:rsidRDefault="008E2A2F" w:rsidP="008E2A2F">
            <w:pPr>
              <w:pStyle w:val="TableText"/>
              <w:tabs>
                <w:tab w:val="left" w:pos="3306"/>
              </w:tabs>
              <w:jc w:val="right"/>
              <w:rPr>
                <w:rFonts w:cs="Calibri"/>
                <w:b/>
                <w:bCs/>
              </w:rPr>
            </w:pPr>
          </w:p>
        </w:tc>
        <w:tc>
          <w:tcPr>
            <w:tcW w:w="739" w:type="pct"/>
            <w:tcBorders>
              <w:top w:val="single" w:sz="2" w:space="0" w:color="auto"/>
              <w:left w:val="nil"/>
              <w:bottom w:val="double" w:sz="4" w:space="0" w:color="auto"/>
              <w:right w:val="nil"/>
            </w:tcBorders>
            <w:vAlign w:val="bottom"/>
          </w:tcPr>
          <w:p w14:paraId="5CA836EF" w14:textId="77777777" w:rsidR="008E2A2F" w:rsidRPr="00D6550C" w:rsidRDefault="008E2A2F" w:rsidP="008E2A2F">
            <w:pPr>
              <w:pStyle w:val="TableText"/>
              <w:tabs>
                <w:tab w:val="left" w:pos="3306"/>
              </w:tabs>
              <w:jc w:val="right"/>
              <w:rPr>
                <w:rFonts w:cs="Calibri"/>
                <w:b/>
                <w:bCs/>
              </w:rPr>
            </w:pPr>
          </w:p>
        </w:tc>
      </w:tr>
      <w:tr w:rsidR="000477B1" w:rsidRPr="00DD296A" w14:paraId="7DD24F8E" w14:textId="77777777" w:rsidTr="005F5B4C">
        <w:trPr>
          <w:trHeight w:val="23"/>
        </w:trPr>
        <w:tc>
          <w:tcPr>
            <w:tcW w:w="737" w:type="pct"/>
            <w:tcBorders>
              <w:top w:val="nil"/>
              <w:left w:val="single" w:sz="2" w:space="0" w:color="auto"/>
              <w:bottom w:val="nil"/>
              <w:right w:val="single" w:sz="2" w:space="0" w:color="auto"/>
            </w:tcBorders>
          </w:tcPr>
          <w:p w14:paraId="0768F95D" w14:textId="77777777" w:rsidR="000477B1" w:rsidRPr="00A72B7A" w:rsidRDefault="000477B1" w:rsidP="000477B1">
            <w:pPr>
              <w:pStyle w:val="TableReference"/>
              <w:tabs>
                <w:tab w:val="left" w:pos="3306"/>
              </w:tabs>
              <w:rPr>
                <w:rFonts w:cs="Calibri"/>
                <w:color w:val="000000"/>
                <w:sz w:val="14"/>
              </w:rPr>
            </w:pPr>
          </w:p>
        </w:tc>
        <w:tc>
          <w:tcPr>
            <w:tcW w:w="4263" w:type="pct"/>
            <w:gridSpan w:val="3"/>
            <w:tcBorders>
              <w:top w:val="nil"/>
              <w:left w:val="single" w:sz="2" w:space="0" w:color="auto"/>
              <w:bottom w:val="nil"/>
              <w:right w:val="nil"/>
            </w:tcBorders>
            <w:shd w:val="clear" w:color="auto" w:fill="auto"/>
            <w:vAlign w:val="bottom"/>
          </w:tcPr>
          <w:p w14:paraId="6133084D" w14:textId="77777777" w:rsidR="000477B1" w:rsidRPr="00D6550C" w:rsidRDefault="000477B1" w:rsidP="000477B1">
            <w:pPr>
              <w:jc w:val="both"/>
              <w:rPr>
                <w:sz w:val="18"/>
                <w:szCs w:val="18"/>
              </w:rPr>
            </w:pPr>
          </w:p>
        </w:tc>
      </w:tr>
      <w:tr w:rsidR="00C27562" w:rsidRPr="00DD296A" w14:paraId="38ACE45B" w14:textId="77777777" w:rsidTr="005F5B4C">
        <w:trPr>
          <w:trHeight w:val="23"/>
        </w:trPr>
        <w:tc>
          <w:tcPr>
            <w:tcW w:w="737" w:type="pct"/>
            <w:tcBorders>
              <w:top w:val="nil"/>
              <w:left w:val="single" w:sz="2" w:space="0" w:color="auto"/>
              <w:bottom w:val="nil"/>
              <w:right w:val="single" w:sz="2" w:space="0" w:color="auto"/>
            </w:tcBorders>
          </w:tcPr>
          <w:p w14:paraId="1CF2AE8E" w14:textId="77777777" w:rsidR="00C27562" w:rsidRPr="00A72B7A" w:rsidRDefault="00C27562" w:rsidP="009A0F2F">
            <w:pPr>
              <w:pStyle w:val="TableReference"/>
              <w:tabs>
                <w:tab w:val="left" w:pos="3306"/>
              </w:tabs>
              <w:spacing w:before="40"/>
              <w:rPr>
                <w:rFonts w:cs="Calibri"/>
                <w:color w:val="000000"/>
                <w:sz w:val="14"/>
              </w:rPr>
            </w:pPr>
          </w:p>
        </w:tc>
        <w:tc>
          <w:tcPr>
            <w:tcW w:w="4263" w:type="pct"/>
            <w:gridSpan w:val="3"/>
            <w:tcBorders>
              <w:top w:val="nil"/>
              <w:left w:val="single" w:sz="2" w:space="0" w:color="auto"/>
              <w:bottom w:val="nil"/>
              <w:right w:val="nil"/>
            </w:tcBorders>
            <w:shd w:val="clear" w:color="auto" w:fill="auto"/>
            <w:vAlign w:val="bottom"/>
          </w:tcPr>
          <w:p w14:paraId="251F3123" w14:textId="36BA3C7B" w:rsidR="00C27562" w:rsidRPr="00AD6ADB" w:rsidRDefault="00C27562" w:rsidP="00EB525E">
            <w:pPr>
              <w:spacing w:before="120"/>
              <w:jc w:val="both"/>
              <w:rPr>
                <w:sz w:val="18"/>
                <w:szCs w:val="18"/>
              </w:rPr>
            </w:pPr>
            <w:r w:rsidRPr="00D6550C">
              <w:rPr>
                <w:sz w:val="18"/>
                <w:szCs w:val="18"/>
              </w:rPr>
              <w:t xml:space="preserve">a) The increase in </w:t>
            </w:r>
            <w:r w:rsidR="008B4F25" w:rsidRPr="00D6550C">
              <w:rPr>
                <w:sz w:val="18"/>
                <w:szCs w:val="18"/>
              </w:rPr>
              <w:t xml:space="preserve">‘Deposits Held at Call with a Financial Institution’ </w:t>
            </w:r>
            <w:r w:rsidRPr="00D6550C">
              <w:rPr>
                <w:sz w:val="18"/>
                <w:szCs w:val="18"/>
              </w:rPr>
              <w:t>of $</w:t>
            </w:r>
            <w:r w:rsidR="00D6550C" w:rsidRPr="00D6550C">
              <w:rPr>
                <w:sz w:val="18"/>
                <w:szCs w:val="18"/>
              </w:rPr>
              <w:t>xxx</w:t>
            </w:r>
            <w:r w:rsidRPr="00D6550C">
              <w:rPr>
                <w:sz w:val="18"/>
                <w:szCs w:val="18"/>
              </w:rPr>
              <w:t xml:space="preserve"> was due to a combination of factors including, an increase in proceeds from the sale of property, plant and equipment, a decrease in the amount of property, plant and equipment purchased, together with an increase in capital contributions received from the ACT Government.</w:t>
            </w:r>
          </w:p>
        </w:tc>
      </w:tr>
      <w:tr w:rsidR="00EB525E" w:rsidRPr="00DD296A" w14:paraId="4322C483" w14:textId="77777777" w:rsidTr="005F5B4C">
        <w:trPr>
          <w:cantSplit/>
          <w:trHeight w:val="23"/>
        </w:trPr>
        <w:tc>
          <w:tcPr>
            <w:tcW w:w="737" w:type="pct"/>
            <w:tcBorders>
              <w:top w:val="nil"/>
              <w:left w:val="single" w:sz="2" w:space="0" w:color="auto"/>
              <w:bottom w:val="nil"/>
              <w:right w:val="single" w:sz="2" w:space="0" w:color="auto"/>
            </w:tcBorders>
          </w:tcPr>
          <w:p w14:paraId="5D4FC2C6" w14:textId="7FFDCAC2" w:rsidR="00EB525E" w:rsidRPr="00EB525E" w:rsidRDefault="00EB525E" w:rsidP="00EB525E">
            <w:pPr>
              <w:pStyle w:val="TableReference"/>
              <w:tabs>
                <w:tab w:val="left" w:pos="3306"/>
              </w:tabs>
              <w:spacing w:before="240"/>
              <w:rPr>
                <w:rFonts w:cs="Calibri"/>
                <w:b/>
                <w:bCs/>
                <w:color w:val="7030A0"/>
                <w:sz w:val="14"/>
              </w:rPr>
            </w:pPr>
            <w:r w:rsidRPr="00EB525E">
              <w:rPr>
                <w:rFonts w:cs="Calibri"/>
                <w:b/>
                <w:bCs/>
                <w:color w:val="7030A0"/>
                <w:sz w:val="22"/>
                <w:szCs w:val="22"/>
              </w:rPr>
              <w:t>Reference</w:t>
            </w:r>
          </w:p>
        </w:tc>
        <w:tc>
          <w:tcPr>
            <w:tcW w:w="4263" w:type="pct"/>
            <w:gridSpan w:val="3"/>
            <w:tcBorders>
              <w:top w:val="nil"/>
              <w:left w:val="single" w:sz="2" w:space="0" w:color="auto"/>
              <w:bottom w:val="nil"/>
              <w:right w:val="nil"/>
            </w:tcBorders>
            <w:shd w:val="clear" w:color="auto" w:fill="auto"/>
          </w:tcPr>
          <w:p w14:paraId="1C494D2F" w14:textId="7F33C18D" w:rsidR="00EB525E" w:rsidRPr="00DD296A" w:rsidRDefault="00EB525E" w:rsidP="00EB525E">
            <w:pPr>
              <w:pStyle w:val="Heading1"/>
              <w:numPr>
                <w:ilvl w:val="0"/>
                <w:numId w:val="0"/>
              </w:numPr>
              <w:ind w:left="1134" w:hanging="1134"/>
              <w:rPr>
                <w:rFonts w:cs="Calibri"/>
                <w:color w:val="000000"/>
              </w:rPr>
            </w:pPr>
            <w:bookmarkStart w:id="555" w:name="_Toc98763106"/>
            <w:bookmarkStart w:id="556" w:name="_Toc127733847"/>
            <w:bookmarkStart w:id="557" w:name="_Toc131164500"/>
            <w:bookmarkStart w:id="558" w:name="_Toc131591765"/>
            <w:bookmarkStart w:id="559" w:name="_Toc132743800"/>
            <w:r w:rsidRPr="00D6550C">
              <w:t>Note 15.</w:t>
            </w:r>
            <w:r w:rsidR="00FA7C77">
              <w:t xml:space="preserve"> </w:t>
            </w:r>
            <w:r w:rsidRPr="00D6550C">
              <w:t xml:space="preserve"> C</w:t>
            </w:r>
            <w:r>
              <w:t>ash and</w:t>
            </w:r>
            <w:r w:rsidRPr="00D6550C">
              <w:t xml:space="preserve"> Investments</w:t>
            </w:r>
            <w:r>
              <w:t xml:space="preserve"> </w:t>
            </w:r>
            <w:r w:rsidR="00B81B19">
              <w:t>–</w:t>
            </w:r>
            <w:r>
              <w:t xml:space="preserve"> Continued</w:t>
            </w:r>
            <w:bookmarkEnd w:id="555"/>
            <w:bookmarkEnd w:id="556"/>
            <w:bookmarkEnd w:id="557"/>
            <w:bookmarkEnd w:id="558"/>
            <w:bookmarkEnd w:id="559"/>
            <w:r w:rsidR="00B81B19">
              <w:t xml:space="preserve"> </w:t>
            </w:r>
          </w:p>
        </w:tc>
      </w:tr>
      <w:tr w:rsidR="003A2704" w:rsidRPr="00BA0DF6" w14:paraId="7F386585" w14:textId="77777777" w:rsidTr="005F5B4C">
        <w:trPr>
          <w:cantSplit/>
          <w:trHeight w:val="480"/>
        </w:trPr>
        <w:tc>
          <w:tcPr>
            <w:tcW w:w="737" w:type="pct"/>
            <w:tcBorders>
              <w:top w:val="nil"/>
              <w:left w:val="single" w:sz="2" w:space="0" w:color="auto"/>
              <w:bottom w:val="nil"/>
              <w:right w:val="single" w:sz="2" w:space="0" w:color="auto"/>
            </w:tcBorders>
          </w:tcPr>
          <w:p w14:paraId="3039C39F" w14:textId="77777777" w:rsidR="003A2704" w:rsidRPr="00EB525E" w:rsidRDefault="003A2704" w:rsidP="003C4C52">
            <w:pPr>
              <w:pStyle w:val="TableReference"/>
              <w:tabs>
                <w:tab w:val="left" w:pos="3306"/>
              </w:tabs>
              <w:rPr>
                <w:rFonts w:cs="Calibri"/>
                <w:color w:val="7030A0"/>
                <w:sz w:val="14"/>
              </w:rPr>
            </w:pPr>
          </w:p>
        </w:tc>
        <w:tc>
          <w:tcPr>
            <w:tcW w:w="2947" w:type="pct"/>
            <w:tcBorders>
              <w:top w:val="nil"/>
              <w:left w:val="single" w:sz="2" w:space="0" w:color="auto"/>
              <w:bottom w:val="nil"/>
              <w:right w:val="nil"/>
            </w:tcBorders>
            <w:vAlign w:val="bottom"/>
          </w:tcPr>
          <w:p w14:paraId="33127D1C" w14:textId="77777777" w:rsidR="003A2704" w:rsidRPr="00EB525E" w:rsidRDefault="003A2704" w:rsidP="003C4C52">
            <w:pPr>
              <w:pStyle w:val="TableText"/>
              <w:tabs>
                <w:tab w:val="left" w:pos="3306"/>
              </w:tabs>
              <w:spacing w:before="0"/>
              <w:rPr>
                <w:rFonts w:cs="Calibri"/>
              </w:rPr>
            </w:pPr>
          </w:p>
        </w:tc>
        <w:tc>
          <w:tcPr>
            <w:tcW w:w="577" w:type="pct"/>
            <w:tcBorders>
              <w:top w:val="nil"/>
              <w:left w:val="nil"/>
              <w:bottom w:val="nil"/>
              <w:right w:val="nil"/>
            </w:tcBorders>
            <w:vAlign w:val="bottom"/>
          </w:tcPr>
          <w:p w14:paraId="28D198DF" w14:textId="4B4AD8ED" w:rsidR="003A2704" w:rsidRDefault="003A2704" w:rsidP="003C4C52">
            <w:pPr>
              <w:pStyle w:val="TableTitle"/>
              <w:tabs>
                <w:tab w:val="left" w:pos="3306"/>
              </w:tabs>
              <w:rPr>
                <w:rFonts w:cs="Calibri"/>
              </w:rPr>
            </w:pPr>
            <w:r w:rsidRPr="00EB525E">
              <w:rPr>
                <w:rFonts w:cs="Calibri"/>
              </w:rPr>
              <w:t>202</w:t>
            </w:r>
            <w:r w:rsidR="00F305E9">
              <w:rPr>
                <w:rFonts w:cs="Calibri"/>
              </w:rPr>
              <w:t>3</w:t>
            </w:r>
            <w:r>
              <w:rPr>
                <w:rFonts w:cs="Calibri"/>
              </w:rPr>
              <w:t xml:space="preserve">    </w:t>
            </w:r>
          </w:p>
          <w:p w14:paraId="6756668C" w14:textId="7794F6EB" w:rsidR="003A2704" w:rsidRPr="00EB525E" w:rsidRDefault="003A2704" w:rsidP="003C4C52">
            <w:pPr>
              <w:pStyle w:val="TableTitle"/>
              <w:tabs>
                <w:tab w:val="left" w:pos="3306"/>
              </w:tabs>
              <w:rPr>
                <w:rFonts w:cs="Calibri"/>
              </w:rPr>
            </w:pPr>
            <w:r>
              <w:rPr>
                <w:rFonts w:cs="Calibri"/>
              </w:rPr>
              <w:t xml:space="preserve"> </w:t>
            </w:r>
            <w:r w:rsidRPr="00EB525E">
              <w:rPr>
                <w:rFonts w:cs="Calibri"/>
              </w:rPr>
              <w:t>$’000</w:t>
            </w:r>
          </w:p>
        </w:tc>
        <w:tc>
          <w:tcPr>
            <w:tcW w:w="739" w:type="pct"/>
            <w:tcBorders>
              <w:top w:val="nil"/>
              <w:left w:val="nil"/>
              <w:bottom w:val="nil"/>
              <w:right w:val="nil"/>
            </w:tcBorders>
            <w:vAlign w:val="bottom"/>
          </w:tcPr>
          <w:p w14:paraId="78A8FEB8" w14:textId="32C0535C" w:rsidR="003A2704" w:rsidRPr="00EB525E" w:rsidRDefault="003A2704" w:rsidP="003C4C52">
            <w:pPr>
              <w:pStyle w:val="TableTitle"/>
              <w:tabs>
                <w:tab w:val="left" w:pos="3306"/>
              </w:tabs>
              <w:rPr>
                <w:rFonts w:cs="Calibri"/>
              </w:rPr>
            </w:pPr>
            <w:r w:rsidRPr="00EB525E">
              <w:rPr>
                <w:rFonts w:cs="Calibri"/>
              </w:rPr>
              <w:t>202</w:t>
            </w:r>
            <w:r w:rsidR="00F305E9">
              <w:rPr>
                <w:rFonts w:cs="Calibri"/>
              </w:rPr>
              <w:t>2</w:t>
            </w:r>
          </w:p>
          <w:p w14:paraId="0640CE56" w14:textId="77777777" w:rsidR="003A2704" w:rsidRPr="00EB525E" w:rsidRDefault="003A2704" w:rsidP="003C4C52">
            <w:pPr>
              <w:pStyle w:val="TableTitle"/>
              <w:tabs>
                <w:tab w:val="left" w:pos="3306"/>
              </w:tabs>
              <w:rPr>
                <w:rFonts w:cs="Calibri"/>
              </w:rPr>
            </w:pPr>
            <w:r w:rsidRPr="00EB525E">
              <w:rPr>
                <w:rFonts w:cs="Calibri"/>
              </w:rPr>
              <w:t>$’000</w:t>
            </w:r>
          </w:p>
        </w:tc>
      </w:tr>
      <w:tr w:rsidR="00232C6D" w:rsidRPr="00DD296A" w14:paraId="2EA21F21" w14:textId="77777777" w:rsidTr="005F5B4C">
        <w:trPr>
          <w:cantSplit/>
          <w:trHeight w:val="23"/>
        </w:trPr>
        <w:tc>
          <w:tcPr>
            <w:tcW w:w="737" w:type="pct"/>
            <w:tcBorders>
              <w:top w:val="nil"/>
              <w:left w:val="single" w:sz="2" w:space="0" w:color="auto"/>
              <w:bottom w:val="nil"/>
              <w:right w:val="single" w:sz="2" w:space="0" w:color="auto"/>
            </w:tcBorders>
          </w:tcPr>
          <w:p w14:paraId="6BC31FD3" w14:textId="77777777" w:rsidR="00232C6D" w:rsidRPr="008A6781" w:rsidRDefault="00232C6D" w:rsidP="00232C6D">
            <w:pPr>
              <w:pStyle w:val="TableReference"/>
              <w:tabs>
                <w:tab w:val="left" w:pos="3306"/>
              </w:tabs>
              <w:spacing w:before="40"/>
              <w:rPr>
                <w:rFonts w:cs="Calibri"/>
                <w:color w:val="auto"/>
                <w:sz w:val="14"/>
              </w:rPr>
            </w:pPr>
          </w:p>
        </w:tc>
        <w:tc>
          <w:tcPr>
            <w:tcW w:w="2947" w:type="pct"/>
            <w:tcBorders>
              <w:top w:val="nil"/>
              <w:left w:val="single" w:sz="2" w:space="0" w:color="auto"/>
              <w:bottom w:val="nil"/>
              <w:right w:val="nil"/>
            </w:tcBorders>
            <w:shd w:val="clear" w:color="auto" w:fill="auto"/>
            <w:vAlign w:val="bottom"/>
          </w:tcPr>
          <w:p w14:paraId="37A8DA71" w14:textId="49CC0EE7" w:rsidR="00232C6D" w:rsidRPr="008A6781" w:rsidRDefault="00232C6D" w:rsidP="008A0F4A">
            <w:pPr>
              <w:pStyle w:val="CommentaryHeading"/>
              <w:tabs>
                <w:tab w:val="left" w:pos="3306"/>
              </w:tabs>
              <w:spacing w:before="0" w:after="120"/>
              <w:rPr>
                <w:rFonts w:cs="Calibri"/>
                <w:sz w:val="18"/>
              </w:rPr>
            </w:pPr>
            <w:r w:rsidRPr="008A6781">
              <w:rPr>
                <w:rFonts w:cs="Calibri"/>
                <w:sz w:val="18"/>
              </w:rPr>
              <w:t xml:space="preserve">Split of Cash and Investments </w:t>
            </w:r>
          </w:p>
        </w:tc>
        <w:tc>
          <w:tcPr>
            <w:tcW w:w="577" w:type="pct"/>
            <w:tcBorders>
              <w:top w:val="nil"/>
              <w:left w:val="nil"/>
              <w:bottom w:val="nil"/>
              <w:right w:val="nil"/>
            </w:tcBorders>
            <w:vAlign w:val="bottom"/>
          </w:tcPr>
          <w:p w14:paraId="63D0E41C" w14:textId="77777777" w:rsidR="00232C6D" w:rsidRPr="00676AA9" w:rsidRDefault="00232C6D" w:rsidP="00232C6D">
            <w:pPr>
              <w:pStyle w:val="TableText"/>
              <w:tabs>
                <w:tab w:val="left" w:pos="3306"/>
              </w:tabs>
              <w:jc w:val="right"/>
              <w:rPr>
                <w:rFonts w:cs="Calibri"/>
                <w:b/>
                <w:bCs/>
                <w:strike/>
                <w:color w:val="FF0000"/>
              </w:rPr>
            </w:pPr>
          </w:p>
        </w:tc>
        <w:tc>
          <w:tcPr>
            <w:tcW w:w="739" w:type="pct"/>
            <w:tcBorders>
              <w:top w:val="nil"/>
              <w:left w:val="nil"/>
              <w:bottom w:val="nil"/>
              <w:right w:val="nil"/>
            </w:tcBorders>
            <w:vAlign w:val="bottom"/>
          </w:tcPr>
          <w:p w14:paraId="5FCBF5D0" w14:textId="77777777" w:rsidR="00232C6D" w:rsidRPr="00676AA9" w:rsidRDefault="00232C6D" w:rsidP="00232C6D">
            <w:pPr>
              <w:pStyle w:val="TableText"/>
              <w:tabs>
                <w:tab w:val="left" w:pos="3306"/>
              </w:tabs>
              <w:jc w:val="right"/>
              <w:rPr>
                <w:rFonts w:cs="Calibri"/>
                <w:b/>
                <w:bCs/>
                <w:strike/>
                <w:color w:val="FF0000"/>
              </w:rPr>
            </w:pPr>
          </w:p>
        </w:tc>
      </w:tr>
      <w:tr w:rsidR="00232C6D" w:rsidRPr="00DD296A" w14:paraId="162E43E9" w14:textId="77777777" w:rsidTr="005F5B4C">
        <w:trPr>
          <w:cantSplit/>
          <w:trHeight w:val="23"/>
        </w:trPr>
        <w:tc>
          <w:tcPr>
            <w:tcW w:w="737" w:type="pct"/>
            <w:tcBorders>
              <w:top w:val="nil"/>
              <w:left w:val="single" w:sz="2" w:space="0" w:color="auto"/>
              <w:bottom w:val="nil"/>
              <w:right w:val="single" w:sz="2" w:space="0" w:color="auto"/>
            </w:tcBorders>
          </w:tcPr>
          <w:p w14:paraId="6242F1B8" w14:textId="3BDA9A13" w:rsidR="00232C6D" w:rsidRPr="008A6781" w:rsidRDefault="0023781D" w:rsidP="00232C6D">
            <w:pPr>
              <w:pStyle w:val="TableReference"/>
              <w:tabs>
                <w:tab w:val="left" w:pos="3306"/>
              </w:tabs>
              <w:spacing w:before="40"/>
              <w:rPr>
                <w:rFonts w:cs="Calibri"/>
                <w:color w:val="auto"/>
                <w:sz w:val="14"/>
              </w:rPr>
            </w:pPr>
            <w:r w:rsidRPr="008A6781">
              <w:rPr>
                <w:rFonts w:cs="Calibri"/>
                <w:color w:val="auto"/>
                <w:sz w:val="14"/>
              </w:rPr>
              <w:t>ACT Disclosure Policy</w:t>
            </w:r>
          </w:p>
        </w:tc>
        <w:tc>
          <w:tcPr>
            <w:tcW w:w="2947" w:type="pct"/>
            <w:tcBorders>
              <w:top w:val="nil"/>
              <w:left w:val="single" w:sz="2" w:space="0" w:color="auto"/>
              <w:bottom w:val="nil"/>
              <w:right w:val="nil"/>
            </w:tcBorders>
            <w:shd w:val="clear" w:color="auto" w:fill="auto"/>
            <w:vAlign w:val="bottom"/>
          </w:tcPr>
          <w:p w14:paraId="3D401734" w14:textId="4A22BA39" w:rsidR="00232C6D" w:rsidRPr="008A6781" w:rsidRDefault="00232C6D" w:rsidP="00232C6D">
            <w:pPr>
              <w:pStyle w:val="CommentaryHeading"/>
              <w:tabs>
                <w:tab w:val="left" w:pos="3306"/>
              </w:tabs>
              <w:spacing w:before="0" w:after="0"/>
              <w:rPr>
                <w:rFonts w:cs="Calibri"/>
                <w:b w:val="0"/>
                <w:bCs w:val="0"/>
                <w:sz w:val="18"/>
              </w:rPr>
            </w:pPr>
            <w:r w:rsidRPr="008A6781">
              <w:rPr>
                <w:b w:val="0"/>
                <w:bCs w:val="0"/>
                <w:sz w:val="18"/>
              </w:rPr>
              <w:t>Current Cash and Cash Equivalents</w:t>
            </w:r>
          </w:p>
        </w:tc>
        <w:tc>
          <w:tcPr>
            <w:tcW w:w="577" w:type="pct"/>
            <w:tcBorders>
              <w:top w:val="nil"/>
              <w:left w:val="nil"/>
              <w:bottom w:val="single" w:sz="4" w:space="0" w:color="auto"/>
              <w:right w:val="nil"/>
            </w:tcBorders>
            <w:vAlign w:val="bottom"/>
          </w:tcPr>
          <w:p w14:paraId="5EC70D4A" w14:textId="77777777" w:rsidR="00232C6D" w:rsidRPr="00676AA9" w:rsidRDefault="00232C6D" w:rsidP="00232C6D">
            <w:pPr>
              <w:pStyle w:val="TableText"/>
              <w:tabs>
                <w:tab w:val="left" w:pos="3306"/>
              </w:tabs>
              <w:jc w:val="right"/>
              <w:rPr>
                <w:rFonts w:cs="Calibri"/>
                <w:b/>
                <w:bCs/>
                <w:strike/>
                <w:color w:val="FF0000"/>
              </w:rPr>
            </w:pPr>
          </w:p>
        </w:tc>
        <w:tc>
          <w:tcPr>
            <w:tcW w:w="739" w:type="pct"/>
            <w:tcBorders>
              <w:top w:val="nil"/>
              <w:left w:val="nil"/>
              <w:bottom w:val="single" w:sz="4" w:space="0" w:color="auto"/>
              <w:right w:val="nil"/>
            </w:tcBorders>
            <w:vAlign w:val="bottom"/>
          </w:tcPr>
          <w:p w14:paraId="1555C333" w14:textId="77777777" w:rsidR="00232C6D" w:rsidRPr="00676AA9" w:rsidRDefault="00232C6D" w:rsidP="00232C6D">
            <w:pPr>
              <w:pStyle w:val="TableText"/>
              <w:tabs>
                <w:tab w:val="left" w:pos="3306"/>
              </w:tabs>
              <w:jc w:val="right"/>
              <w:rPr>
                <w:rFonts w:cs="Calibri"/>
                <w:b/>
                <w:bCs/>
                <w:strike/>
                <w:color w:val="FF0000"/>
              </w:rPr>
            </w:pPr>
          </w:p>
        </w:tc>
      </w:tr>
      <w:tr w:rsidR="008A0F4A" w:rsidRPr="00DD296A" w14:paraId="40BF39D4" w14:textId="77777777" w:rsidTr="005F5B4C">
        <w:trPr>
          <w:cantSplit/>
          <w:trHeight w:val="23"/>
        </w:trPr>
        <w:tc>
          <w:tcPr>
            <w:tcW w:w="737" w:type="pct"/>
            <w:tcBorders>
              <w:top w:val="nil"/>
              <w:left w:val="single" w:sz="2" w:space="0" w:color="auto"/>
              <w:bottom w:val="nil"/>
              <w:right w:val="single" w:sz="2" w:space="0" w:color="auto"/>
            </w:tcBorders>
          </w:tcPr>
          <w:p w14:paraId="1A711DA5" w14:textId="77777777" w:rsidR="008A0F4A" w:rsidRPr="008A6781" w:rsidRDefault="008A0F4A" w:rsidP="00232C6D">
            <w:pPr>
              <w:pStyle w:val="TableReference"/>
              <w:tabs>
                <w:tab w:val="left" w:pos="3306"/>
              </w:tabs>
              <w:spacing w:before="40"/>
              <w:rPr>
                <w:rFonts w:cs="Calibri"/>
                <w:color w:val="auto"/>
                <w:sz w:val="14"/>
              </w:rPr>
            </w:pPr>
          </w:p>
        </w:tc>
        <w:tc>
          <w:tcPr>
            <w:tcW w:w="2947" w:type="pct"/>
            <w:tcBorders>
              <w:top w:val="nil"/>
              <w:left w:val="single" w:sz="2" w:space="0" w:color="auto"/>
              <w:bottom w:val="nil"/>
              <w:right w:val="nil"/>
            </w:tcBorders>
            <w:shd w:val="clear" w:color="auto" w:fill="auto"/>
            <w:vAlign w:val="bottom"/>
          </w:tcPr>
          <w:p w14:paraId="008B0C13" w14:textId="6DF88094" w:rsidR="008A0F4A" w:rsidRPr="008A6781" w:rsidRDefault="008A0F4A" w:rsidP="008A0F4A">
            <w:pPr>
              <w:pStyle w:val="CommentaryHeading"/>
              <w:tabs>
                <w:tab w:val="left" w:pos="3306"/>
              </w:tabs>
              <w:spacing w:before="0" w:after="0"/>
              <w:rPr>
                <w:sz w:val="18"/>
              </w:rPr>
            </w:pPr>
            <w:r w:rsidRPr="008A6781">
              <w:rPr>
                <w:sz w:val="18"/>
              </w:rPr>
              <w:t xml:space="preserve">Total Cash and Cash </w:t>
            </w:r>
            <w:r w:rsidR="00FF0A0E" w:rsidRPr="008A6781">
              <w:rPr>
                <w:sz w:val="18"/>
              </w:rPr>
              <w:t>Equivalents</w:t>
            </w:r>
            <w:r w:rsidRPr="008A6781">
              <w:rPr>
                <w:sz w:val="18"/>
              </w:rPr>
              <w:t xml:space="preserve"> </w:t>
            </w:r>
          </w:p>
        </w:tc>
        <w:tc>
          <w:tcPr>
            <w:tcW w:w="577" w:type="pct"/>
            <w:tcBorders>
              <w:top w:val="single" w:sz="4" w:space="0" w:color="auto"/>
              <w:left w:val="nil"/>
              <w:bottom w:val="single" w:sz="4" w:space="0" w:color="auto"/>
              <w:right w:val="nil"/>
            </w:tcBorders>
          </w:tcPr>
          <w:p w14:paraId="715AF32A" w14:textId="77777777" w:rsidR="008A0F4A" w:rsidRPr="00676AA9" w:rsidRDefault="008A0F4A" w:rsidP="008A0F4A">
            <w:pPr>
              <w:pStyle w:val="TableText"/>
              <w:tabs>
                <w:tab w:val="left" w:pos="3306"/>
              </w:tabs>
              <w:jc w:val="right"/>
              <w:rPr>
                <w:rFonts w:cs="Calibri"/>
                <w:b/>
                <w:bCs/>
                <w:strike/>
                <w:color w:val="FF0000"/>
              </w:rPr>
            </w:pPr>
          </w:p>
        </w:tc>
        <w:tc>
          <w:tcPr>
            <w:tcW w:w="739" w:type="pct"/>
            <w:tcBorders>
              <w:top w:val="single" w:sz="4" w:space="0" w:color="auto"/>
              <w:left w:val="nil"/>
              <w:bottom w:val="single" w:sz="4" w:space="0" w:color="auto"/>
              <w:right w:val="nil"/>
            </w:tcBorders>
          </w:tcPr>
          <w:p w14:paraId="492F904A" w14:textId="77777777" w:rsidR="008A0F4A" w:rsidRPr="00676AA9" w:rsidRDefault="008A0F4A" w:rsidP="008A0F4A">
            <w:pPr>
              <w:pStyle w:val="TableText"/>
              <w:tabs>
                <w:tab w:val="left" w:pos="3306"/>
              </w:tabs>
              <w:jc w:val="right"/>
              <w:rPr>
                <w:rFonts w:cs="Calibri"/>
                <w:b/>
                <w:bCs/>
                <w:strike/>
                <w:color w:val="FF0000"/>
              </w:rPr>
            </w:pPr>
          </w:p>
        </w:tc>
      </w:tr>
      <w:tr w:rsidR="008A0F4A" w:rsidRPr="008A0F4A" w14:paraId="363726E0" w14:textId="77777777" w:rsidTr="005F5B4C">
        <w:trPr>
          <w:cantSplit/>
          <w:trHeight w:val="23"/>
        </w:trPr>
        <w:tc>
          <w:tcPr>
            <w:tcW w:w="737" w:type="pct"/>
            <w:tcBorders>
              <w:top w:val="nil"/>
              <w:left w:val="single" w:sz="2" w:space="0" w:color="auto"/>
              <w:bottom w:val="nil"/>
              <w:right w:val="single" w:sz="2" w:space="0" w:color="auto"/>
            </w:tcBorders>
          </w:tcPr>
          <w:p w14:paraId="08FC6FC1" w14:textId="77777777" w:rsidR="008A0F4A" w:rsidRPr="008A6781" w:rsidRDefault="008A0F4A" w:rsidP="008A0F4A">
            <w:pPr>
              <w:pStyle w:val="TableReference"/>
              <w:tabs>
                <w:tab w:val="left" w:pos="3306"/>
              </w:tabs>
              <w:rPr>
                <w:rFonts w:cs="Calibri"/>
                <w:color w:val="auto"/>
                <w:szCs w:val="12"/>
              </w:rPr>
            </w:pPr>
          </w:p>
        </w:tc>
        <w:tc>
          <w:tcPr>
            <w:tcW w:w="2947" w:type="pct"/>
            <w:tcBorders>
              <w:top w:val="nil"/>
              <w:left w:val="single" w:sz="2" w:space="0" w:color="auto"/>
              <w:bottom w:val="nil"/>
              <w:right w:val="nil"/>
            </w:tcBorders>
            <w:shd w:val="clear" w:color="auto" w:fill="auto"/>
            <w:vAlign w:val="bottom"/>
          </w:tcPr>
          <w:p w14:paraId="575800C0" w14:textId="77777777" w:rsidR="008A0F4A" w:rsidRPr="008A6781" w:rsidRDefault="008A0F4A" w:rsidP="008A0F4A">
            <w:pPr>
              <w:pStyle w:val="CommentaryHeading"/>
              <w:tabs>
                <w:tab w:val="left" w:pos="3306"/>
              </w:tabs>
              <w:spacing w:before="0" w:after="0"/>
              <w:rPr>
                <w:sz w:val="18"/>
              </w:rPr>
            </w:pPr>
          </w:p>
        </w:tc>
        <w:tc>
          <w:tcPr>
            <w:tcW w:w="577" w:type="pct"/>
            <w:tcBorders>
              <w:top w:val="single" w:sz="4" w:space="0" w:color="auto"/>
              <w:left w:val="nil"/>
              <w:bottom w:val="nil"/>
              <w:right w:val="nil"/>
            </w:tcBorders>
          </w:tcPr>
          <w:p w14:paraId="6621A415" w14:textId="77777777" w:rsidR="008A0F4A" w:rsidRPr="00676AA9" w:rsidRDefault="008A0F4A" w:rsidP="008A0F4A">
            <w:pPr>
              <w:pStyle w:val="TableText"/>
              <w:tabs>
                <w:tab w:val="left" w:pos="3306"/>
              </w:tabs>
              <w:spacing w:before="0"/>
              <w:jc w:val="right"/>
              <w:rPr>
                <w:rFonts w:cs="Calibri"/>
                <w:b/>
                <w:bCs/>
                <w:strike/>
                <w:color w:val="FF0000"/>
                <w:sz w:val="12"/>
                <w:szCs w:val="12"/>
              </w:rPr>
            </w:pPr>
          </w:p>
        </w:tc>
        <w:tc>
          <w:tcPr>
            <w:tcW w:w="739" w:type="pct"/>
            <w:tcBorders>
              <w:top w:val="single" w:sz="4" w:space="0" w:color="auto"/>
              <w:left w:val="nil"/>
              <w:bottom w:val="nil"/>
              <w:right w:val="nil"/>
            </w:tcBorders>
          </w:tcPr>
          <w:p w14:paraId="33A0ADC5" w14:textId="77777777" w:rsidR="008A0F4A" w:rsidRPr="00676AA9" w:rsidRDefault="008A0F4A" w:rsidP="008A0F4A">
            <w:pPr>
              <w:pStyle w:val="TableText"/>
              <w:tabs>
                <w:tab w:val="left" w:pos="3306"/>
              </w:tabs>
              <w:spacing w:before="0"/>
              <w:jc w:val="right"/>
              <w:rPr>
                <w:rFonts w:cs="Calibri"/>
                <w:b/>
                <w:bCs/>
                <w:strike/>
                <w:color w:val="FF0000"/>
                <w:sz w:val="12"/>
                <w:szCs w:val="12"/>
              </w:rPr>
            </w:pPr>
          </w:p>
        </w:tc>
      </w:tr>
      <w:tr w:rsidR="008A0F4A" w:rsidRPr="00DD296A" w14:paraId="5730F354" w14:textId="77777777" w:rsidTr="005F5B4C">
        <w:trPr>
          <w:cantSplit/>
          <w:trHeight w:val="23"/>
        </w:trPr>
        <w:tc>
          <w:tcPr>
            <w:tcW w:w="737" w:type="pct"/>
            <w:tcBorders>
              <w:top w:val="nil"/>
              <w:left w:val="single" w:sz="2" w:space="0" w:color="auto"/>
              <w:bottom w:val="nil"/>
              <w:right w:val="single" w:sz="2" w:space="0" w:color="auto"/>
            </w:tcBorders>
          </w:tcPr>
          <w:p w14:paraId="042F8389" w14:textId="4C559049" w:rsidR="008A0F4A" w:rsidRPr="008A6781" w:rsidRDefault="0023781D" w:rsidP="00232C6D">
            <w:pPr>
              <w:pStyle w:val="TableReference"/>
              <w:tabs>
                <w:tab w:val="left" w:pos="3306"/>
              </w:tabs>
              <w:spacing w:before="40"/>
              <w:rPr>
                <w:rFonts w:cs="Calibri"/>
                <w:color w:val="auto"/>
                <w:sz w:val="14"/>
              </w:rPr>
            </w:pPr>
            <w:r w:rsidRPr="008A6781">
              <w:rPr>
                <w:rFonts w:cs="Calibri"/>
                <w:color w:val="auto"/>
                <w:sz w:val="14"/>
              </w:rPr>
              <w:t>ACT Disclosure Policy</w:t>
            </w:r>
          </w:p>
        </w:tc>
        <w:tc>
          <w:tcPr>
            <w:tcW w:w="2947" w:type="pct"/>
            <w:tcBorders>
              <w:top w:val="nil"/>
              <w:left w:val="single" w:sz="2" w:space="0" w:color="auto"/>
              <w:bottom w:val="nil"/>
              <w:right w:val="nil"/>
            </w:tcBorders>
            <w:shd w:val="clear" w:color="auto" w:fill="auto"/>
            <w:vAlign w:val="bottom"/>
          </w:tcPr>
          <w:p w14:paraId="2DD5DFBC" w14:textId="6D6A4AB7" w:rsidR="008A0F4A" w:rsidRPr="008A6781" w:rsidRDefault="008A0F4A" w:rsidP="00232C6D">
            <w:pPr>
              <w:pStyle w:val="CommentaryHeading"/>
              <w:tabs>
                <w:tab w:val="left" w:pos="3306"/>
              </w:tabs>
              <w:spacing w:before="0" w:after="0"/>
              <w:rPr>
                <w:b w:val="0"/>
                <w:bCs w:val="0"/>
                <w:sz w:val="18"/>
              </w:rPr>
            </w:pPr>
            <w:r w:rsidRPr="008A6781">
              <w:rPr>
                <w:b w:val="0"/>
                <w:bCs w:val="0"/>
                <w:sz w:val="18"/>
              </w:rPr>
              <w:t>Current Investments</w:t>
            </w:r>
          </w:p>
        </w:tc>
        <w:tc>
          <w:tcPr>
            <w:tcW w:w="577" w:type="pct"/>
            <w:tcBorders>
              <w:top w:val="nil"/>
              <w:left w:val="nil"/>
              <w:bottom w:val="nil"/>
              <w:right w:val="nil"/>
            </w:tcBorders>
            <w:vAlign w:val="bottom"/>
          </w:tcPr>
          <w:p w14:paraId="00F4F549" w14:textId="77777777" w:rsidR="008A0F4A" w:rsidRPr="00676AA9" w:rsidRDefault="008A0F4A" w:rsidP="00232C6D">
            <w:pPr>
              <w:pStyle w:val="TableText"/>
              <w:tabs>
                <w:tab w:val="left" w:pos="3306"/>
              </w:tabs>
              <w:jc w:val="right"/>
              <w:rPr>
                <w:rFonts w:cs="Calibri"/>
                <w:b/>
                <w:bCs/>
                <w:strike/>
                <w:color w:val="FF0000"/>
              </w:rPr>
            </w:pPr>
          </w:p>
        </w:tc>
        <w:tc>
          <w:tcPr>
            <w:tcW w:w="739" w:type="pct"/>
            <w:tcBorders>
              <w:top w:val="nil"/>
              <w:left w:val="nil"/>
              <w:bottom w:val="nil"/>
              <w:right w:val="nil"/>
            </w:tcBorders>
            <w:vAlign w:val="bottom"/>
          </w:tcPr>
          <w:p w14:paraId="507297A8" w14:textId="77777777" w:rsidR="008A0F4A" w:rsidRPr="00676AA9" w:rsidRDefault="008A0F4A" w:rsidP="00232C6D">
            <w:pPr>
              <w:pStyle w:val="TableText"/>
              <w:tabs>
                <w:tab w:val="left" w:pos="3306"/>
              </w:tabs>
              <w:jc w:val="right"/>
              <w:rPr>
                <w:rFonts w:cs="Calibri"/>
                <w:b/>
                <w:bCs/>
                <w:strike/>
                <w:color w:val="FF0000"/>
              </w:rPr>
            </w:pPr>
          </w:p>
        </w:tc>
      </w:tr>
      <w:tr w:rsidR="00232C6D" w:rsidRPr="00DD296A" w14:paraId="07B82CA2" w14:textId="77777777" w:rsidTr="005F5B4C">
        <w:trPr>
          <w:cantSplit/>
          <w:trHeight w:val="23"/>
        </w:trPr>
        <w:tc>
          <w:tcPr>
            <w:tcW w:w="737" w:type="pct"/>
            <w:tcBorders>
              <w:top w:val="nil"/>
              <w:left w:val="single" w:sz="2" w:space="0" w:color="auto"/>
              <w:bottom w:val="nil"/>
              <w:right w:val="single" w:sz="2" w:space="0" w:color="auto"/>
            </w:tcBorders>
          </w:tcPr>
          <w:p w14:paraId="79D18E96" w14:textId="098D2201" w:rsidR="00232C6D" w:rsidRPr="008A6781" w:rsidRDefault="0023781D" w:rsidP="00232C6D">
            <w:pPr>
              <w:pStyle w:val="TableReference"/>
              <w:tabs>
                <w:tab w:val="left" w:pos="3306"/>
              </w:tabs>
              <w:spacing w:before="40"/>
              <w:rPr>
                <w:rFonts w:cs="Calibri"/>
                <w:color w:val="auto"/>
                <w:sz w:val="14"/>
              </w:rPr>
            </w:pPr>
            <w:r w:rsidRPr="008A6781">
              <w:rPr>
                <w:rFonts w:cs="Calibri"/>
                <w:color w:val="auto"/>
                <w:sz w:val="14"/>
              </w:rPr>
              <w:t>ACT Disclosure Policy</w:t>
            </w:r>
          </w:p>
        </w:tc>
        <w:tc>
          <w:tcPr>
            <w:tcW w:w="2947" w:type="pct"/>
            <w:tcBorders>
              <w:top w:val="nil"/>
              <w:left w:val="single" w:sz="2" w:space="0" w:color="auto"/>
              <w:bottom w:val="nil"/>
              <w:right w:val="nil"/>
            </w:tcBorders>
            <w:shd w:val="clear" w:color="auto" w:fill="auto"/>
            <w:vAlign w:val="bottom"/>
          </w:tcPr>
          <w:p w14:paraId="77580886" w14:textId="5314CC04" w:rsidR="00232C6D" w:rsidRPr="008A6781" w:rsidRDefault="00232C6D" w:rsidP="00232C6D">
            <w:pPr>
              <w:pStyle w:val="CommentaryHeading"/>
              <w:tabs>
                <w:tab w:val="left" w:pos="3306"/>
              </w:tabs>
              <w:spacing w:before="0" w:after="0"/>
              <w:rPr>
                <w:rFonts w:cs="Calibri"/>
                <w:b w:val="0"/>
                <w:bCs w:val="0"/>
                <w:sz w:val="18"/>
              </w:rPr>
            </w:pPr>
            <w:r w:rsidRPr="008A6781">
              <w:rPr>
                <w:rFonts w:cs="Calibri"/>
                <w:b w:val="0"/>
                <w:bCs w:val="0"/>
                <w:sz w:val="18"/>
              </w:rPr>
              <w:t>Non-Current Investments</w:t>
            </w:r>
          </w:p>
        </w:tc>
        <w:tc>
          <w:tcPr>
            <w:tcW w:w="577" w:type="pct"/>
            <w:tcBorders>
              <w:top w:val="nil"/>
              <w:left w:val="nil"/>
              <w:bottom w:val="single" w:sz="4" w:space="0" w:color="auto"/>
              <w:right w:val="nil"/>
            </w:tcBorders>
            <w:vAlign w:val="bottom"/>
          </w:tcPr>
          <w:p w14:paraId="074BFC96" w14:textId="77777777" w:rsidR="00232C6D" w:rsidRPr="00676AA9" w:rsidRDefault="00232C6D" w:rsidP="00232C6D">
            <w:pPr>
              <w:pStyle w:val="TableText"/>
              <w:tabs>
                <w:tab w:val="left" w:pos="3306"/>
              </w:tabs>
              <w:jc w:val="right"/>
              <w:rPr>
                <w:rFonts w:cs="Calibri"/>
                <w:b/>
                <w:bCs/>
                <w:strike/>
                <w:color w:val="FF0000"/>
              </w:rPr>
            </w:pPr>
          </w:p>
        </w:tc>
        <w:tc>
          <w:tcPr>
            <w:tcW w:w="739" w:type="pct"/>
            <w:tcBorders>
              <w:top w:val="nil"/>
              <w:left w:val="nil"/>
              <w:bottom w:val="single" w:sz="4" w:space="0" w:color="auto"/>
              <w:right w:val="nil"/>
            </w:tcBorders>
            <w:vAlign w:val="bottom"/>
          </w:tcPr>
          <w:p w14:paraId="0925BC5F" w14:textId="77777777" w:rsidR="00232C6D" w:rsidRPr="00676AA9" w:rsidRDefault="00232C6D" w:rsidP="00232C6D">
            <w:pPr>
              <w:pStyle w:val="TableText"/>
              <w:tabs>
                <w:tab w:val="left" w:pos="3306"/>
              </w:tabs>
              <w:jc w:val="right"/>
              <w:rPr>
                <w:rFonts w:cs="Calibri"/>
                <w:b/>
                <w:bCs/>
                <w:strike/>
                <w:color w:val="FF0000"/>
              </w:rPr>
            </w:pPr>
          </w:p>
        </w:tc>
      </w:tr>
      <w:tr w:rsidR="00232C6D" w:rsidRPr="00DD296A" w14:paraId="7AE330ED" w14:textId="77777777" w:rsidTr="005F5B4C">
        <w:trPr>
          <w:cantSplit/>
          <w:trHeight w:val="23"/>
        </w:trPr>
        <w:tc>
          <w:tcPr>
            <w:tcW w:w="737" w:type="pct"/>
            <w:tcBorders>
              <w:top w:val="nil"/>
              <w:left w:val="single" w:sz="2" w:space="0" w:color="auto"/>
              <w:bottom w:val="nil"/>
              <w:right w:val="single" w:sz="2" w:space="0" w:color="auto"/>
            </w:tcBorders>
          </w:tcPr>
          <w:p w14:paraId="384DB929" w14:textId="77777777" w:rsidR="00232C6D" w:rsidRPr="008A6781" w:rsidRDefault="00232C6D" w:rsidP="00232C6D">
            <w:pPr>
              <w:pStyle w:val="TableReference"/>
              <w:tabs>
                <w:tab w:val="left" w:pos="3306"/>
              </w:tabs>
              <w:spacing w:before="40"/>
              <w:rPr>
                <w:rFonts w:cs="Calibri"/>
                <w:color w:val="auto"/>
                <w:sz w:val="14"/>
              </w:rPr>
            </w:pPr>
          </w:p>
        </w:tc>
        <w:tc>
          <w:tcPr>
            <w:tcW w:w="2947" w:type="pct"/>
            <w:tcBorders>
              <w:top w:val="nil"/>
              <w:left w:val="single" w:sz="2" w:space="0" w:color="auto"/>
              <w:bottom w:val="nil"/>
              <w:right w:val="nil"/>
            </w:tcBorders>
            <w:shd w:val="clear" w:color="auto" w:fill="auto"/>
            <w:vAlign w:val="bottom"/>
          </w:tcPr>
          <w:p w14:paraId="18C524D4" w14:textId="655D8040" w:rsidR="00232C6D" w:rsidRPr="008A6781" w:rsidRDefault="00232C6D" w:rsidP="008A0F4A">
            <w:pPr>
              <w:pStyle w:val="CommentaryHeading"/>
              <w:tabs>
                <w:tab w:val="left" w:pos="3306"/>
              </w:tabs>
              <w:spacing w:before="0" w:after="0"/>
              <w:rPr>
                <w:rFonts w:cs="Calibri"/>
                <w:sz w:val="18"/>
              </w:rPr>
            </w:pPr>
            <w:r w:rsidRPr="008A6781">
              <w:rPr>
                <w:rFonts w:cs="Calibri"/>
                <w:sz w:val="18"/>
              </w:rPr>
              <w:t>Total Investments</w:t>
            </w:r>
          </w:p>
        </w:tc>
        <w:tc>
          <w:tcPr>
            <w:tcW w:w="577" w:type="pct"/>
            <w:tcBorders>
              <w:top w:val="single" w:sz="4" w:space="0" w:color="auto"/>
              <w:left w:val="nil"/>
              <w:bottom w:val="single" w:sz="4" w:space="0" w:color="auto"/>
              <w:right w:val="nil"/>
            </w:tcBorders>
            <w:vAlign w:val="bottom"/>
          </w:tcPr>
          <w:p w14:paraId="5E228D17" w14:textId="77777777" w:rsidR="00232C6D" w:rsidRPr="00676AA9" w:rsidRDefault="00232C6D" w:rsidP="008A0F4A">
            <w:pPr>
              <w:pStyle w:val="TableText"/>
              <w:tabs>
                <w:tab w:val="left" w:pos="3306"/>
              </w:tabs>
              <w:spacing w:before="0"/>
              <w:jc w:val="right"/>
              <w:rPr>
                <w:rFonts w:cs="Calibri"/>
                <w:b/>
                <w:bCs/>
                <w:strike/>
                <w:color w:val="FF0000"/>
              </w:rPr>
            </w:pPr>
          </w:p>
        </w:tc>
        <w:tc>
          <w:tcPr>
            <w:tcW w:w="739" w:type="pct"/>
            <w:tcBorders>
              <w:top w:val="single" w:sz="4" w:space="0" w:color="auto"/>
              <w:left w:val="nil"/>
              <w:bottom w:val="single" w:sz="4" w:space="0" w:color="auto"/>
              <w:right w:val="nil"/>
            </w:tcBorders>
            <w:vAlign w:val="bottom"/>
          </w:tcPr>
          <w:p w14:paraId="6E8B8E68" w14:textId="77777777" w:rsidR="00232C6D" w:rsidRPr="00676AA9" w:rsidRDefault="00232C6D" w:rsidP="008A0F4A">
            <w:pPr>
              <w:pStyle w:val="TableText"/>
              <w:tabs>
                <w:tab w:val="left" w:pos="3306"/>
              </w:tabs>
              <w:spacing w:before="0"/>
              <w:jc w:val="right"/>
              <w:rPr>
                <w:rFonts w:cs="Calibri"/>
                <w:b/>
                <w:bCs/>
                <w:strike/>
                <w:color w:val="FF0000"/>
              </w:rPr>
            </w:pPr>
          </w:p>
        </w:tc>
      </w:tr>
      <w:tr w:rsidR="008A0F4A" w:rsidRPr="008A0F4A" w14:paraId="630648B3" w14:textId="77777777" w:rsidTr="005F5B4C">
        <w:trPr>
          <w:cantSplit/>
          <w:trHeight w:val="23"/>
        </w:trPr>
        <w:tc>
          <w:tcPr>
            <w:tcW w:w="737" w:type="pct"/>
            <w:tcBorders>
              <w:top w:val="nil"/>
              <w:left w:val="single" w:sz="2" w:space="0" w:color="auto"/>
              <w:bottom w:val="nil"/>
              <w:right w:val="single" w:sz="2" w:space="0" w:color="auto"/>
            </w:tcBorders>
          </w:tcPr>
          <w:p w14:paraId="5BFBA8F4" w14:textId="77777777" w:rsidR="008A0F4A" w:rsidRPr="008A6781" w:rsidRDefault="008A0F4A" w:rsidP="008A0F4A">
            <w:pPr>
              <w:pStyle w:val="TableReference"/>
              <w:tabs>
                <w:tab w:val="left" w:pos="3306"/>
              </w:tabs>
              <w:rPr>
                <w:rFonts w:cs="Calibri"/>
                <w:color w:val="auto"/>
                <w:szCs w:val="12"/>
              </w:rPr>
            </w:pPr>
          </w:p>
        </w:tc>
        <w:tc>
          <w:tcPr>
            <w:tcW w:w="2947" w:type="pct"/>
            <w:tcBorders>
              <w:top w:val="nil"/>
              <w:left w:val="single" w:sz="2" w:space="0" w:color="auto"/>
              <w:bottom w:val="nil"/>
              <w:right w:val="nil"/>
            </w:tcBorders>
            <w:shd w:val="clear" w:color="auto" w:fill="auto"/>
            <w:vAlign w:val="bottom"/>
          </w:tcPr>
          <w:p w14:paraId="608D6FC8" w14:textId="77777777" w:rsidR="008A0F4A" w:rsidRPr="008A6781" w:rsidRDefault="008A0F4A" w:rsidP="008A0F4A">
            <w:pPr>
              <w:pStyle w:val="CommentaryHeading"/>
              <w:tabs>
                <w:tab w:val="left" w:pos="3306"/>
              </w:tabs>
              <w:spacing w:before="0" w:after="0"/>
              <w:rPr>
                <w:rFonts w:cs="Calibri"/>
                <w:sz w:val="18"/>
              </w:rPr>
            </w:pPr>
          </w:p>
        </w:tc>
        <w:tc>
          <w:tcPr>
            <w:tcW w:w="577" w:type="pct"/>
            <w:tcBorders>
              <w:top w:val="single" w:sz="4" w:space="0" w:color="auto"/>
              <w:left w:val="nil"/>
              <w:bottom w:val="single" w:sz="4" w:space="0" w:color="auto"/>
              <w:right w:val="nil"/>
            </w:tcBorders>
            <w:vAlign w:val="bottom"/>
          </w:tcPr>
          <w:p w14:paraId="2D062F03" w14:textId="77777777" w:rsidR="008A0F4A" w:rsidRPr="00676AA9" w:rsidRDefault="008A0F4A" w:rsidP="008A0F4A">
            <w:pPr>
              <w:pStyle w:val="TableText"/>
              <w:tabs>
                <w:tab w:val="left" w:pos="3306"/>
              </w:tabs>
              <w:spacing w:before="0"/>
              <w:jc w:val="right"/>
              <w:rPr>
                <w:rFonts w:cs="Calibri"/>
                <w:b/>
                <w:bCs/>
                <w:strike/>
                <w:color w:val="FF0000"/>
                <w:sz w:val="12"/>
                <w:szCs w:val="12"/>
              </w:rPr>
            </w:pPr>
          </w:p>
        </w:tc>
        <w:tc>
          <w:tcPr>
            <w:tcW w:w="739" w:type="pct"/>
            <w:tcBorders>
              <w:top w:val="single" w:sz="4" w:space="0" w:color="auto"/>
              <w:left w:val="nil"/>
              <w:bottom w:val="single" w:sz="4" w:space="0" w:color="auto"/>
              <w:right w:val="nil"/>
            </w:tcBorders>
            <w:vAlign w:val="bottom"/>
          </w:tcPr>
          <w:p w14:paraId="61465A62" w14:textId="77777777" w:rsidR="008A0F4A" w:rsidRPr="00676AA9" w:rsidRDefault="008A0F4A" w:rsidP="008A0F4A">
            <w:pPr>
              <w:pStyle w:val="TableText"/>
              <w:tabs>
                <w:tab w:val="left" w:pos="3306"/>
              </w:tabs>
              <w:spacing w:before="0"/>
              <w:jc w:val="right"/>
              <w:rPr>
                <w:rFonts w:cs="Calibri"/>
                <w:b/>
                <w:bCs/>
                <w:strike/>
                <w:color w:val="FF0000"/>
                <w:sz w:val="12"/>
                <w:szCs w:val="12"/>
              </w:rPr>
            </w:pPr>
          </w:p>
        </w:tc>
      </w:tr>
      <w:tr w:rsidR="00232C6D" w:rsidRPr="00DD296A" w14:paraId="2C4ECF15" w14:textId="77777777" w:rsidTr="005F5B4C">
        <w:trPr>
          <w:cantSplit/>
          <w:trHeight w:val="23"/>
        </w:trPr>
        <w:tc>
          <w:tcPr>
            <w:tcW w:w="737" w:type="pct"/>
            <w:tcBorders>
              <w:top w:val="nil"/>
              <w:left w:val="single" w:sz="2" w:space="0" w:color="auto"/>
              <w:bottom w:val="nil"/>
              <w:right w:val="single" w:sz="2" w:space="0" w:color="auto"/>
            </w:tcBorders>
          </w:tcPr>
          <w:p w14:paraId="7AD131D0" w14:textId="77777777" w:rsidR="00232C6D" w:rsidRPr="008A6781" w:rsidRDefault="00232C6D" w:rsidP="00232C6D">
            <w:pPr>
              <w:pStyle w:val="TableReference"/>
              <w:tabs>
                <w:tab w:val="left" w:pos="3306"/>
              </w:tabs>
              <w:spacing w:before="40"/>
              <w:rPr>
                <w:rFonts w:cs="Calibri"/>
                <w:color w:val="auto"/>
                <w:sz w:val="14"/>
              </w:rPr>
            </w:pPr>
          </w:p>
        </w:tc>
        <w:tc>
          <w:tcPr>
            <w:tcW w:w="2947" w:type="pct"/>
            <w:tcBorders>
              <w:top w:val="nil"/>
              <w:left w:val="single" w:sz="2" w:space="0" w:color="auto"/>
              <w:bottom w:val="nil"/>
              <w:right w:val="nil"/>
            </w:tcBorders>
            <w:shd w:val="clear" w:color="auto" w:fill="auto"/>
            <w:vAlign w:val="bottom"/>
          </w:tcPr>
          <w:p w14:paraId="4670FB89" w14:textId="12558435" w:rsidR="00232C6D" w:rsidRPr="008A6781" w:rsidRDefault="00232C6D" w:rsidP="00232C6D">
            <w:pPr>
              <w:pStyle w:val="CommentaryHeading"/>
              <w:tabs>
                <w:tab w:val="left" w:pos="3306"/>
              </w:tabs>
              <w:spacing w:before="0" w:after="0"/>
              <w:rPr>
                <w:rFonts w:cs="Calibri"/>
                <w:sz w:val="18"/>
              </w:rPr>
            </w:pPr>
            <w:r w:rsidRPr="008A6781">
              <w:rPr>
                <w:rFonts w:cs="Calibri"/>
                <w:sz w:val="18"/>
              </w:rPr>
              <w:t>Total Cash and Investments</w:t>
            </w:r>
          </w:p>
        </w:tc>
        <w:tc>
          <w:tcPr>
            <w:tcW w:w="577" w:type="pct"/>
            <w:tcBorders>
              <w:top w:val="single" w:sz="4" w:space="0" w:color="auto"/>
              <w:left w:val="nil"/>
              <w:bottom w:val="double" w:sz="4" w:space="0" w:color="auto"/>
              <w:right w:val="nil"/>
            </w:tcBorders>
            <w:vAlign w:val="bottom"/>
          </w:tcPr>
          <w:p w14:paraId="776EA416" w14:textId="77777777" w:rsidR="00232C6D" w:rsidRPr="00676AA9" w:rsidRDefault="00232C6D" w:rsidP="00232C6D">
            <w:pPr>
              <w:pStyle w:val="TableText"/>
              <w:tabs>
                <w:tab w:val="left" w:pos="3306"/>
              </w:tabs>
              <w:jc w:val="right"/>
              <w:rPr>
                <w:rFonts w:cs="Calibri"/>
                <w:b/>
                <w:bCs/>
                <w:strike/>
                <w:color w:val="FF0000"/>
              </w:rPr>
            </w:pPr>
          </w:p>
        </w:tc>
        <w:tc>
          <w:tcPr>
            <w:tcW w:w="739" w:type="pct"/>
            <w:tcBorders>
              <w:top w:val="single" w:sz="4" w:space="0" w:color="auto"/>
              <w:left w:val="nil"/>
              <w:bottom w:val="double" w:sz="4" w:space="0" w:color="auto"/>
              <w:right w:val="nil"/>
            </w:tcBorders>
            <w:vAlign w:val="bottom"/>
          </w:tcPr>
          <w:p w14:paraId="6A99E0B7" w14:textId="77777777" w:rsidR="00232C6D" w:rsidRPr="00676AA9" w:rsidRDefault="00232C6D" w:rsidP="00232C6D">
            <w:pPr>
              <w:pStyle w:val="TableText"/>
              <w:tabs>
                <w:tab w:val="left" w:pos="3306"/>
              </w:tabs>
              <w:jc w:val="right"/>
              <w:rPr>
                <w:rFonts w:cs="Calibri"/>
                <w:b/>
                <w:bCs/>
                <w:strike/>
                <w:color w:val="FF0000"/>
              </w:rPr>
            </w:pPr>
          </w:p>
        </w:tc>
      </w:tr>
      <w:tr w:rsidR="00232C6D" w:rsidRPr="00DD296A" w14:paraId="2364D48A" w14:textId="77777777" w:rsidTr="005F5B4C">
        <w:trPr>
          <w:cantSplit/>
          <w:trHeight w:val="23"/>
        </w:trPr>
        <w:tc>
          <w:tcPr>
            <w:tcW w:w="737" w:type="pct"/>
            <w:tcBorders>
              <w:top w:val="nil"/>
              <w:left w:val="single" w:sz="2" w:space="0" w:color="auto"/>
              <w:bottom w:val="nil"/>
              <w:right w:val="single" w:sz="2" w:space="0" w:color="auto"/>
            </w:tcBorders>
          </w:tcPr>
          <w:p w14:paraId="23B6BF67" w14:textId="77777777" w:rsidR="00232C6D" w:rsidRPr="00EB525E" w:rsidRDefault="00232C6D"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tcPr>
          <w:p w14:paraId="34D98D16" w14:textId="77777777" w:rsidR="00232C6D" w:rsidRPr="00EB525E" w:rsidRDefault="00232C6D" w:rsidP="00232C6D">
            <w:pPr>
              <w:pStyle w:val="CommentaryHeading"/>
              <w:tabs>
                <w:tab w:val="left" w:pos="3306"/>
              </w:tabs>
              <w:spacing w:before="0" w:after="0"/>
              <w:rPr>
                <w:rFonts w:cs="Calibri"/>
                <w:sz w:val="18"/>
              </w:rPr>
            </w:pPr>
          </w:p>
        </w:tc>
        <w:tc>
          <w:tcPr>
            <w:tcW w:w="577" w:type="pct"/>
            <w:tcBorders>
              <w:top w:val="double" w:sz="4" w:space="0" w:color="auto"/>
              <w:left w:val="nil"/>
              <w:bottom w:val="nil"/>
              <w:right w:val="nil"/>
            </w:tcBorders>
            <w:vAlign w:val="bottom"/>
          </w:tcPr>
          <w:p w14:paraId="19066773" w14:textId="77777777" w:rsidR="00232C6D" w:rsidRPr="00EB525E" w:rsidRDefault="00232C6D" w:rsidP="00232C6D">
            <w:pPr>
              <w:pStyle w:val="TableText"/>
              <w:tabs>
                <w:tab w:val="left" w:pos="3306"/>
              </w:tabs>
              <w:jc w:val="right"/>
              <w:rPr>
                <w:rFonts w:cs="Calibri"/>
                <w:b/>
                <w:bCs/>
              </w:rPr>
            </w:pPr>
          </w:p>
        </w:tc>
        <w:tc>
          <w:tcPr>
            <w:tcW w:w="739" w:type="pct"/>
            <w:tcBorders>
              <w:top w:val="double" w:sz="4" w:space="0" w:color="auto"/>
              <w:left w:val="nil"/>
              <w:bottom w:val="nil"/>
              <w:right w:val="nil"/>
            </w:tcBorders>
            <w:vAlign w:val="bottom"/>
          </w:tcPr>
          <w:p w14:paraId="25BB742E" w14:textId="77777777" w:rsidR="00232C6D" w:rsidRPr="00EB525E" w:rsidRDefault="00232C6D" w:rsidP="00232C6D">
            <w:pPr>
              <w:pStyle w:val="TableText"/>
              <w:tabs>
                <w:tab w:val="left" w:pos="3306"/>
              </w:tabs>
              <w:jc w:val="right"/>
              <w:rPr>
                <w:rFonts w:cs="Calibri"/>
                <w:b/>
                <w:bCs/>
              </w:rPr>
            </w:pPr>
          </w:p>
        </w:tc>
      </w:tr>
      <w:tr w:rsidR="000E78AE" w:rsidRPr="00CF7E1B" w14:paraId="66084F7C" w14:textId="77777777" w:rsidTr="005F5B4C">
        <w:trPr>
          <w:cantSplit/>
          <w:trHeight w:val="23"/>
        </w:trPr>
        <w:tc>
          <w:tcPr>
            <w:tcW w:w="737" w:type="pct"/>
            <w:tcBorders>
              <w:top w:val="nil"/>
              <w:left w:val="single" w:sz="2" w:space="0" w:color="auto"/>
              <w:bottom w:val="nil"/>
              <w:right w:val="single" w:sz="2" w:space="0" w:color="auto"/>
            </w:tcBorders>
          </w:tcPr>
          <w:p w14:paraId="3A6E617E" w14:textId="77777777" w:rsidR="000E78AE" w:rsidRPr="00EB525E" w:rsidRDefault="000E78AE" w:rsidP="009A0F2F">
            <w:pPr>
              <w:pStyle w:val="TableReference"/>
              <w:tabs>
                <w:tab w:val="left" w:pos="3306"/>
              </w:tabs>
              <w:rPr>
                <w:rFonts w:cs="Calibri"/>
                <w:color w:val="7030A0"/>
                <w:sz w:val="14"/>
              </w:rPr>
            </w:pPr>
            <w:r w:rsidRPr="00EB525E">
              <w:rPr>
                <w:rFonts w:cs="Calibri"/>
                <w:color w:val="7030A0"/>
                <w:sz w:val="14"/>
              </w:rPr>
              <w:t>AASB 107.45</w:t>
            </w:r>
          </w:p>
        </w:tc>
        <w:tc>
          <w:tcPr>
            <w:tcW w:w="4263" w:type="pct"/>
            <w:gridSpan w:val="3"/>
            <w:tcBorders>
              <w:top w:val="nil"/>
              <w:left w:val="single" w:sz="2" w:space="0" w:color="auto"/>
              <w:bottom w:val="nil"/>
              <w:right w:val="nil"/>
            </w:tcBorders>
            <w:vAlign w:val="bottom"/>
          </w:tcPr>
          <w:p w14:paraId="379EE6C8" w14:textId="2CE821CD" w:rsidR="000E78AE" w:rsidRPr="00EB525E" w:rsidRDefault="000E78AE" w:rsidP="009A0F2F">
            <w:pPr>
              <w:pStyle w:val="TableText"/>
              <w:spacing w:before="0"/>
              <w:ind w:left="290" w:hanging="284"/>
              <w:jc w:val="both"/>
              <w:rPr>
                <w:rFonts w:cs="Calibri"/>
                <w:b/>
              </w:rPr>
            </w:pPr>
            <w:r w:rsidRPr="00EB525E">
              <w:rPr>
                <w:rFonts w:cs="Calibri"/>
                <w:b/>
              </w:rPr>
              <w:t>(</w:t>
            </w:r>
            <w:r w:rsidR="00AE70BA" w:rsidRPr="00EB525E">
              <w:rPr>
                <w:rFonts w:cs="Calibri"/>
                <w:b/>
              </w:rPr>
              <w:t>b</w:t>
            </w:r>
            <w:r w:rsidRPr="00EB525E">
              <w:rPr>
                <w:rFonts w:cs="Calibri"/>
                <w:b/>
              </w:rPr>
              <w:t>)</w:t>
            </w:r>
            <w:r w:rsidRPr="00EB525E">
              <w:rPr>
                <w:rFonts w:cs="Calibri"/>
                <w:b/>
              </w:rPr>
              <w:tab/>
              <w:t>Reconciliation of Cash and Cash Equivalents at the End of the Reporting Period in the Statement of Cash Flows to the Equivalent Items in the Balance Sheet.</w:t>
            </w:r>
            <w:r w:rsidR="00FA7C77">
              <w:rPr>
                <w:rFonts w:cs="Calibri"/>
                <w:b/>
              </w:rPr>
              <w:t xml:space="preserve"> </w:t>
            </w:r>
          </w:p>
        </w:tc>
      </w:tr>
      <w:tr w:rsidR="000E78AE" w:rsidRPr="00BA0DF6" w14:paraId="31AB47A2" w14:textId="77777777" w:rsidTr="005F5B4C">
        <w:trPr>
          <w:cantSplit/>
          <w:trHeight w:val="23"/>
        </w:trPr>
        <w:tc>
          <w:tcPr>
            <w:tcW w:w="737" w:type="pct"/>
            <w:tcBorders>
              <w:top w:val="nil"/>
              <w:left w:val="single" w:sz="2" w:space="0" w:color="auto"/>
              <w:bottom w:val="nil"/>
              <w:right w:val="single" w:sz="2" w:space="0" w:color="auto"/>
            </w:tcBorders>
          </w:tcPr>
          <w:p w14:paraId="5600F347" w14:textId="77777777" w:rsidR="000E78AE" w:rsidRPr="00EB525E" w:rsidRDefault="000E78AE" w:rsidP="009A0F2F">
            <w:pPr>
              <w:pStyle w:val="TableReference"/>
              <w:tabs>
                <w:tab w:val="left" w:pos="3306"/>
              </w:tabs>
              <w:spacing w:before="40"/>
              <w:rPr>
                <w:rFonts w:cs="Calibri"/>
                <w:color w:val="7030A0"/>
                <w:sz w:val="14"/>
              </w:rPr>
            </w:pPr>
            <w:r w:rsidRPr="00EB525E">
              <w:rPr>
                <w:rFonts w:cs="Calibri"/>
                <w:color w:val="7030A0"/>
                <w:sz w:val="14"/>
              </w:rPr>
              <w:t xml:space="preserve"> </w:t>
            </w:r>
          </w:p>
        </w:tc>
        <w:tc>
          <w:tcPr>
            <w:tcW w:w="2947" w:type="pct"/>
            <w:tcBorders>
              <w:top w:val="nil"/>
              <w:left w:val="single" w:sz="2" w:space="0" w:color="auto"/>
              <w:bottom w:val="nil"/>
              <w:right w:val="nil"/>
            </w:tcBorders>
            <w:vAlign w:val="bottom"/>
          </w:tcPr>
          <w:p w14:paraId="7D81D82F" w14:textId="77777777" w:rsidR="000E78AE" w:rsidRPr="00EB525E" w:rsidRDefault="000E78AE" w:rsidP="009A0F2F">
            <w:pPr>
              <w:pStyle w:val="TableText"/>
              <w:tabs>
                <w:tab w:val="left" w:pos="3306"/>
              </w:tabs>
              <w:rPr>
                <w:rFonts w:cs="Calibri"/>
              </w:rPr>
            </w:pPr>
            <w:r w:rsidRPr="00EB525E">
              <w:rPr>
                <w:rFonts w:cs="Calibri"/>
              </w:rPr>
              <w:t>Total Cash and Cash Equivalents Recorded in the Balance Sheet</w:t>
            </w:r>
          </w:p>
        </w:tc>
        <w:tc>
          <w:tcPr>
            <w:tcW w:w="577" w:type="pct"/>
            <w:tcBorders>
              <w:top w:val="nil"/>
              <w:left w:val="nil"/>
              <w:bottom w:val="nil"/>
              <w:right w:val="nil"/>
            </w:tcBorders>
            <w:vAlign w:val="bottom"/>
          </w:tcPr>
          <w:p w14:paraId="794F8AC4" w14:textId="77777777" w:rsidR="000E78AE" w:rsidRPr="00EB525E" w:rsidRDefault="000E78AE" w:rsidP="009A0F2F">
            <w:pPr>
              <w:pStyle w:val="TableText"/>
              <w:tabs>
                <w:tab w:val="left" w:pos="3306"/>
              </w:tabs>
              <w:jc w:val="right"/>
              <w:rPr>
                <w:rFonts w:cs="Calibri"/>
                <w:strike/>
              </w:rPr>
            </w:pPr>
          </w:p>
        </w:tc>
        <w:tc>
          <w:tcPr>
            <w:tcW w:w="739" w:type="pct"/>
            <w:tcBorders>
              <w:top w:val="nil"/>
              <w:left w:val="nil"/>
              <w:bottom w:val="nil"/>
              <w:right w:val="nil"/>
            </w:tcBorders>
            <w:vAlign w:val="bottom"/>
          </w:tcPr>
          <w:p w14:paraId="7B8B7F9B" w14:textId="77777777" w:rsidR="000E78AE" w:rsidRPr="00EB525E" w:rsidRDefault="000E78AE" w:rsidP="009A0F2F">
            <w:pPr>
              <w:pStyle w:val="TableText"/>
              <w:tabs>
                <w:tab w:val="left" w:pos="3306"/>
              </w:tabs>
              <w:jc w:val="right"/>
              <w:rPr>
                <w:rFonts w:cs="Calibri"/>
                <w:strike/>
              </w:rPr>
            </w:pPr>
          </w:p>
        </w:tc>
      </w:tr>
      <w:tr w:rsidR="000E78AE" w:rsidRPr="00BA0DF6" w14:paraId="75B441F8" w14:textId="77777777" w:rsidTr="005F5B4C">
        <w:trPr>
          <w:cantSplit/>
          <w:trHeight w:val="23"/>
        </w:trPr>
        <w:tc>
          <w:tcPr>
            <w:tcW w:w="737" w:type="pct"/>
            <w:tcBorders>
              <w:top w:val="nil"/>
              <w:left w:val="single" w:sz="2" w:space="0" w:color="auto"/>
              <w:bottom w:val="nil"/>
              <w:right w:val="single" w:sz="2" w:space="0" w:color="auto"/>
            </w:tcBorders>
          </w:tcPr>
          <w:p w14:paraId="12E7E21A"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4D9C786" w14:textId="77777777" w:rsidR="000E78AE" w:rsidRPr="00EB525E" w:rsidRDefault="000E78AE" w:rsidP="009A0F2F">
            <w:pPr>
              <w:pStyle w:val="TableText"/>
              <w:tabs>
                <w:tab w:val="left" w:pos="3306"/>
              </w:tabs>
              <w:rPr>
                <w:rFonts w:cs="Calibri"/>
              </w:rPr>
            </w:pPr>
            <w:r w:rsidRPr="00EB525E">
              <w:rPr>
                <w:rFonts w:cs="Calibri"/>
              </w:rPr>
              <w:t>Bank Overdraft</w:t>
            </w:r>
          </w:p>
        </w:tc>
        <w:tc>
          <w:tcPr>
            <w:tcW w:w="577" w:type="pct"/>
            <w:tcBorders>
              <w:top w:val="nil"/>
              <w:left w:val="nil"/>
              <w:bottom w:val="single" w:sz="2" w:space="0" w:color="auto"/>
              <w:right w:val="nil"/>
            </w:tcBorders>
            <w:vAlign w:val="bottom"/>
          </w:tcPr>
          <w:p w14:paraId="11C855D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D92041A" w14:textId="77777777" w:rsidR="000E78AE" w:rsidRPr="00EB525E" w:rsidRDefault="000E78AE" w:rsidP="009A0F2F">
            <w:pPr>
              <w:pStyle w:val="TableText"/>
              <w:tabs>
                <w:tab w:val="left" w:pos="3306"/>
              </w:tabs>
              <w:jc w:val="right"/>
              <w:rPr>
                <w:rFonts w:cs="Calibri"/>
              </w:rPr>
            </w:pPr>
          </w:p>
        </w:tc>
      </w:tr>
      <w:tr w:rsidR="000E78AE" w:rsidRPr="00BA0DF6" w14:paraId="045AE5A9" w14:textId="77777777" w:rsidTr="005F5B4C">
        <w:trPr>
          <w:cantSplit/>
          <w:trHeight w:val="23"/>
        </w:trPr>
        <w:tc>
          <w:tcPr>
            <w:tcW w:w="737" w:type="pct"/>
            <w:tcBorders>
              <w:top w:val="nil"/>
              <w:left w:val="single" w:sz="2" w:space="0" w:color="auto"/>
              <w:bottom w:val="nil"/>
              <w:right w:val="single" w:sz="2" w:space="0" w:color="auto"/>
            </w:tcBorders>
          </w:tcPr>
          <w:p w14:paraId="1F53AFD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88DC8E8" w14:textId="77777777" w:rsidR="000E78AE" w:rsidRPr="00EB525E" w:rsidRDefault="000E78AE" w:rsidP="00C071E7">
            <w:pPr>
              <w:pStyle w:val="TableText"/>
              <w:tabs>
                <w:tab w:val="left" w:pos="3306"/>
              </w:tabs>
              <w:ind w:left="189" w:hanging="189"/>
              <w:rPr>
                <w:rFonts w:cs="Calibri"/>
                <w:b/>
                <w:bCs/>
              </w:rPr>
            </w:pPr>
            <w:r w:rsidRPr="00EB525E">
              <w:rPr>
                <w:rFonts w:cs="Calibri"/>
                <w:b/>
                <w:bCs/>
              </w:rPr>
              <w:t xml:space="preserve">Cash and Cash Equivalents at the End of the Reporting Period as Recorded in the </w:t>
            </w:r>
            <w:r w:rsidRPr="00EB525E">
              <w:rPr>
                <w:rFonts w:cs="Calibri"/>
                <w:b/>
              </w:rPr>
              <w:t>Statement of Cash Flows</w:t>
            </w:r>
          </w:p>
        </w:tc>
        <w:tc>
          <w:tcPr>
            <w:tcW w:w="577" w:type="pct"/>
            <w:tcBorders>
              <w:top w:val="single" w:sz="2" w:space="0" w:color="auto"/>
              <w:left w:val="nil"/>
              <w:bottom w:val="double" w:sz="4" w:space="0" w:color="auto"/>
              <w:right w:val="nil"/>
            </w:tcBorders>
            <w:vAlign w:val="bottom"/>
          </w:tcPr>
          <w:p w14:paraId="22616B83"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double" w:sz="4" w:space="0" w:color="auto"/>
              <w:right w:val="nil"/>
            </w:tcBorders>
            <w:vAlign w:val="bottom"/>
          </w:tcPr>
          <w:p w14:paraId="0E664467" w14:textId="77777777" w:rsidR="000E78AE" w:rsidRPr="00EB525E" w:rsidRDefault="000E78AE" w:rsidP="009A0F2F">
            <w:pPr>
              <w:pStyle w:val="TableText"/>
              <w:tabs>
                <w:tab w:val="left" w:pos="3306"/>
              </w:tabs>
              <w:jc w:val="right"/>
              <w:rPr>
                <w:rFonts w:cs="Calibri"/>
                <w:b/>
                <w:bCs/>
                <w:strike/>
              </w:rPr>
            </w:pPr>
          </w:p>
        </w:tc>
      </w:tr>
      <w:tr w:rsidR="000E78AE" w:rsidRPr="00CF7E1B" w14:paraId="069F6F74" w14:textId="77777777" w:rsidTr="005F5B4C">
        <w:trPr>
          <w:cantSplit/>
          <w:trHeight w:val="23"/>
        </w:trPr>
        <w:tc>
          <w:tcPr>
            <w:tcW w:w="737" w:type="pct"/>
            <w:tcBorders>
              <w:top w:val="nil"/>
              <w:left w:val="single" w:sz="2" w:space="0" w:color="auto"/>
              <w:bottom w:val="nil"/>
              <w:right w:val="single" w:sz="2" w:space="0" w:color="auto"/>
            </w:tcBorders>
          </w:tcPr>
          <w:p w14:paraId="2E292763" w14:textId="77777777" w:rsidR="000E78AE" w:rsidRPr="00EB525E" w:rsidRDefault="000E78AE" w:rsidP="009A0F2F">
            <w:pPr>
              <w:pStyle w:val="TableReference"/>
              <w:tabs>
                <w:tab w:val="left" w:pos="3306"/>
              </w:tabs>
              <w:spacing w:before="240"/>
              <w:rPr>
                <w:rFonts w:cs="Calibri"/>
                <w:color w:val="7030A0"/>
                <w:sz w:val="14"/>
              </w:rPr>
            </w:pPr>
            <w:r w:rsidRPr="00EB525E">
              <w:rPr>
                <w:rFonts w:cs="Calibri"/>
                <w:color w:val="7030A0"/>
                <w:sz w:val="14"/>
              </w:rPr>
              <w:t>AASB 1054.16</w:t>
            </w:r>
          </w:p>
        </w:tc>
        <w:tc>
          <w:tcPr>
            <w:tcW w:w="2947" w:type="pct"/>
            <w:tcBorders>
              <w:top w:val="nil"/>
              <w:left w:val="single" w:sz="2" w:space="0" w:color="auto"/>
              <w:bottom w:val="nil"/>
              <w:right w:val="nil"/>
            </w:tcBorders>
            <w:vAlign w:val="bottom"/>
          </w:tcPr>
          <w:p w14:paraId="7BD8D422" w14:textId="3345EF28" w:rsidR="000E78AE" w:rsidRPr="00EB525E" w:rsidRDefault="000E78AE" w:rsidP="009A0F2F">
            <w:pPr>
              <w:pStyle w:val="TableText"/>
              <w:tabs>
                <w:tab w:val="left" w:pos="3306"/>
              </w:tabs>
              <w:spacing w:before="240"/>
              <w:ind w:left="290" w:hanging="284"/>
              <w:rPr>
                <w:rFonts w:cs="Calibri"/>
              </w:rPr>
            </w:pPr>
            <w:r w:rsidRPr="00EB525E">
              <w:rPr>
                <w:rFonts w:cs="Calibri"/>
                <w:b/>
                <w:bCs/>
              </w:rPr>
              <w:t>(</w:t>
            </w:r>
            <w:r w:rsidR="00AE70BA" w:rsidRPr="00EB525E">
              <w:rPr>
                <w:rFonts w:cs="Calibri"/>
                <w:b/>
                <w:bCs/>
              </w:rPr>
              <w:t>c</w:t>
            </w:r>
            <w:r w:rsidRPr="00EB525E">
              <w:rPr>
                <w:rFonts w:cs="Calibri"/>
                <w:b/>
                <w:bCs/>
              </w:rPr>
              <w:t>)</w:t>
            </w:r>
            <w:r w:rsidRPr="00EB525E">
              <w:rPr>
                <w:rFonts w:cs="Calibri"/>
                <w:b/>
                <w:bCs/>
              </w:rPr>
              <w:tab/>
              <w:t>Reconciliation of the Operating Result to Net Cash Inflows from Operating Activities.</w:t>
            </w:r>
          </w:p>
        </w:tc>
        <w:tc>
          <w:tcPr>
            <w:tcW w:w="577" w:type="pct"/>
            <w:tcBorders>
              <w:top w:val="double" w:sz="4" w:space="0" w:color="auto"/>
              <w:left w:val="nil"/>
              <w:bottom w:val="nil"/>
              <w:right w:val="nil"/>
            </w:tcBorders>
            <w:vAlign w:val="bottom"/>
          </w:tcPr>
          <w:p w14:paraId="484F0E05" w14:textId="77777777" w:rsidR="000E78AE" w:rsidRPr="00EB525E" w:rsidRDefault="000E78AE" w:rsidP="009A0F2F">
            <w:pPr>
              <w:pStyle w:val="TableText"/>
              <w:tabs>
                <w:tab w:val="left" w:pos="3306"/>
              </w:tabs>
              <w:jc w:val="right"/>
              <w:rPr>
                <w:rFonts w:cs="Calibri"/>
              </w:rPr>
            </w:pPr>
          </w:p>
        </w:tc>
        <w:tc>
          <w:tcPr>
            <w:tcW w:w="739" w:type="pct"/>
            <w:tcBorders>
              <w:top w:val="double" w:sz="4" w:space="0" w:color="auto"/>
              <w:left w:val="nil"/>
              <w:bottom w:val="nil"/>
              <w:right w:val="nil"/>
            </w:tcBorders>
            <w:vAlign w:val="bottom"/>
          </w:tcPr>
          <w:p w14:paraId="1BD99E6D" w14:textId="77777777" w:rsidR="000E78AE" w:rsidRPr="00EB525E" w:rsidRDefault="000E78AE" w:rsidP="009A0F2F">
            <w:pPr>
              <w:pStyle w:val="TableText"/>
              <w:tabs>
                <w:tab w:val="left" w:pos="3306"/>
              </w:tabs>
              <w:jc w:val="right"/>
              <w:rPr>
                <w:rFonts w:cs="Calibri"/>
              </w:rPr>
            </w:pPr>
          </w:p>
        </w:tc>
      </w:tr>
      <w:tr w:rsidR="000E78AE" w:rsidRPr="00CF7E1B" w14:paraId="50710C20" w14:textId="77777777" w:rsidTr="005F5B4C">
        <w:trPr>
          <w:cantSplit/>
          <w:trHeight w:val="23"/>
        </w:trPr>
        <w:tc>
          <w:tcPr>
            <w:tcW w:w="737" w:type="pct"/>
            <w:tcBorders>
              <w:top w:val="nil"/>
              <w:left w:val="single" w:sz="2" w:space="0" w:color="auto"/>
              <w:bottom w:val="nil"/>
              <w:right w:val="single" w:sz="2" w:space="0" w:color="auto"/>
            </w:tcBorders>
          </w:tcPr>
          <w:p w14:paraId="2D835CE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390DB3F" w14:textId="67A4FD98" w:rsidR="000E78AE" w:rsidRPr="00EB525E" w:rsidRDefault="000E78AE" w:rsidP="009A0F2F">
            <w:pPr>
              <w:pStyle w:val="TableText"/>
              <w:tabs>
                <w:tab w:val="left" w:pos="3306"/>
              </w:tabs>
              <w:rPr>
                <w:rFonts w:cs="Calibri"/>
              </w:rPr>
            </w:pPr>
            <w:r w:rsidRPr="00EB525E">
              <w:rPr>
                <w:rFonts w:cs="Calibri"/>
              </w:rPr>
              <w:t xml:space="preserve">Operating Result </w:t>
            </w:r>
          </w:p>
        </w:tc>
        <w:tc>
          <w:tcPr>
            <w:tcW w:w="577" w:type="pct"/>
            <w:tcBorders>
              <w:top w:val="nil"/>
              <w:left w:val="nil"/>
              <w:bottom w:val="nil"/>
              <w:right w:val="nil"/>
            </w:tcBorders>
            <w:vAlign w:val="bottom"/>
          </w:tcPr>
          <w:p w14:paraId="0737CFFD" w14:textId="77777777" w:rsidR="000E78AE" w:rsidRPr="00EB525E" w:rsidRDefault="000E78AE" w:rsidP="009A0F2F">
            <w:pPr>
              <w:pStyle w:val="TableText"/>
              <w:tabs>
                <w:tab w:val="left" w:pos="3306"/>
              </w:tabs>
              <w:ind w:left="-533" w:firstLine="533"/>
              <w:jc w:val="right"/>
              <w:rPr>
                <w:rFonts w:cs="Calibri"/>
                <w:strike/>
              </w:rPr>
            </w:pPr>
          </w:p>
        </w:tc>
        <w:tc>
          <w:tcPr>
            <w:tcW w:w="739" w:type="pct"/>
            <w:tcBorders>
              <w:top w:val="nil"/>
              <w:left w:val="nil"/>
              <w:bottom w:val="nil"/>
              <w:right w:val="nil"/>
            </w:tcBorders>
            <w:vAlign w:val="bottom"/>
          </w:tcPr>
          <w:p w14:paraId="0332D70F" w14:textId="77777777" w:rsidR="000E78AE" w:rsidRPr="00EB525E" w:rsidRDefault="000E78AE" w:rsidP="009A0F2F">
            <w:pPr>
              <w:pStyle w:val="TableText"/>
              <w:tabs>
                <w:tab w:val="left" w:pos="3306"/>
              </w:tabs>
              <w:jc w:val="right"/>
              <w:rPr>
                <w:rFonts w:cs="Calibri"/>
              </w:rPr>
            </w:pPr>
          </w:p>
        </w:tc>
      </w:tr>
      <w:tr w:rsidR="000E78AE" w:rsidRPr="00CF7E1B" w14:paraId="2B43CDE9" w14:textId="77777777" w:rsidTr="005F5B4C">
        <w:trPr>
          <w:cantSplit/>
          <w:trHeight w:val="23"/>
        </w:trPr>
        <w:tc>
          <w:tcPr>
            <w:tcW w:w="737" w:type="pct"/>
            <w:tcBorders>
              <w:top w:val="nil"/>
              <w:left w:val="single" w:sz="2" w:space="0" w:color="auto"/>
              <w:bottom w:val="nil"/>
              <w:right w:val="single" w:sz="2" w:space="0" w:color="auto"/>
            </w:tcBorders>
          </w:tcPr>
          <w:p w14:paraId="1BEB11E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4199E96" w14:textId="77777777" w:rsidR="000E78AE" w:rsidRPr="00EB525E" w:rsidRDefault="000E78AE" w:rsidP="009A0F2F">
            <w:pPr>
              <w:pStyle w:val="TableText"/>
              <w:tabs>
                <w:tab w:val="left" w:pos="3306"/>
              </w:tabs>
              <w:spacing w:before="120"/>
              <w:rPr>
                <w:rFonts w:cs="Calibri"/>
                <w:b/>
                <w:bCs/>
              </w:rPr>
            </w:pPr>
            <w:r w:rsidRPr="00EB525E">
              <w:rPr>
                <w:rFonts w:cs="Calibri"/>
                <w:b/>
                <w:bCs/>
              </w:rPr>
              <w:t>Add/(Less) Non-Cash Items</w:t>
            </w:r>
          </w:p>
        </w:tc>
        <w:tc>
          <w:tcPr>
            <w:tcW w:w="577" w:type="pct"/>
            <w:tcBorders>
              <w:top w:val="nil"/>
              <w:left w:val="nil"/>
              <w:bottom w:val="nil"/>
              <w:right w:val="nil"/>
            </w:tcBorders>
            <w:vAlign w:val="bottom"/>
          </w:tcPr>
          <w:p w14:paraId="05E59CA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4B7D3C3" w14:textId="77777777" w:rsidR="000E78AE" w:rsidRPr="00EB525E" w:rsidRDefault="000E78AE" w:rsidP="009A0F2F">
            <w:pPr>
              <w:pStyle w:val="TableText"/>
              <w:tabs>
                <w:tab w:val="left" w:pos="3306"/>
              </w:tabs>
              <w:jc w:val="right"/>
              <w:rPr>
                <w:rFonts w:cs="Calibri"/>
              </w:rPr>
            </w:pPr>
          </w:p>
        </w:tc>
      </w:tr>
      <w:tr w:rsidR="000E78AE" w:rsidRPr="00CF7E1B" w14:paraId="658933D4" w14:textId="77777777" w:rsidTr="005F5B4C">
        <w:trPr>
          <w:cantSplit/>
          <w:trHeight w:val="23"/>
        </w:trPr>
        <w:tc>
          <w:tcPr>
            <w:tcW w:w="737" w:type="pct"/>
            <w:tcBorders>
              <w:top w:val="nil"/>
              <w:left w:val="single" w:sz="2" w:space="0" w:color="auto"/>
              <w:bottom w:val="nil"/>
              <w:right w:val="single" w:sz="2" w:space="0" w:color="auto"/>
            </w:tcBorders>
          </w:tcPr>
          <w:p w14:paraId="633F36F7"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B2C7AF9" w14:textId="77777777" w:rsidR="000E78AE" w:rsidRPr="00EB525E" w:rsidRDefault="000E78AE" w:rsidP="009A0F2F">
            <w:pPr>
              <w:pStyle w:val="TableText"/>
              <w:tabs>
                <w:tab w:val="left" w:pos="3306"/>
              </w:tabs>
              <w:rPr>
                <w:rFonts w:cs="Calibri"/>
              </w:rPr>
            </w:pPr>
            <w:r w:rsidRPr="00EB525E">
              <w:rPr>
                <w:rFonts w:cs="Calibri"/>
              </w:rPr>
              <w:t>Impairment Loss of Non-Current Assets</w:t>
            </w:r>
          </w:p>
        </w:tc>
        <w:tc>
          <w:tcPr>
            <w:tcW w:w="577" w:type="pct"/>
            <w:tcBorders>
              <w:top w:val="nil"/>
              <w:left w:val="nil"/>
              <w:bottom w:val="nil"/>
              <w:right w:val="nil"/>
            </w:tcBorders>
            <w:vAlign w:val="bottom"/>
          </w:tcPr>
          <w:p w14:paraId="447662B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0CB70D63" w14:textId="77777777" w:rsidR="000E78AE" w:rsidRPr="00EB525E" w:rsidRDefault="000E78AE" w:rsidP="009A0F2F">
            <w:pPr>
              <w:pStyle w:val="TableText"/>
              <w:tabs>
                <w:tab w:val="left" w:pos="3306"/>
              </w:tabs>
              <w:jc w:val="right"/>
              <w:rPr>
                <w:rFonts w:cs="Calibri"/>
              </w:rPr>
            </w:pPr>
          </w:p>
        </w:tc>
      </w:tr>
      <w:tr w:rsidR="000E78AE" w:rsidRPr="00CF7E1B" w14:paraId="5E227CDC" w14:textId="77777777" w:rsidTr="005F5B4C">
        <w:trPr>
          <w:cantSplit/>
          <w:trHeight w:val="23"/>
        </w:trPr>
        <w:tc>
          <w:tcPr>
            <w:tcW w:w="737" w:type="pct"/>
            <w:tcBorders>
              <w:top w:val="nil"/>
              <w:left w:val="single" w:sz="2" w:space="0" w:color="auto"/>
              <w:bottom w:val="nil"/>
              <w:right w:val="single" w:sz="2" w:space="0" w:color="auto"/>
            </w:tcBorders>
          </w:tcPr>
          <w:p w14:paraId="5B9633F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C537BEB" w14:textId="77777777" w:rsidR="000E78AE" w:rsidRPr="00EB525E" w:rsidRDefault="000E78AE" w:rsidP="009A0F2F">
            <w:pPr>
              <w:pStyle w:val="TableText"/>
              <w:tabs>
                <w:tab w:val="left" w:pos="3306"/>
              </w:tabs>
              <w:rPr>
                <w:rFonts w:cs="Calibri"/>
              </w:rPr>
            </w:pPr>
            <w:r w:rsidRPr="00EB525E">
              <w:rPr>
                <w:rFonts w:cs="Calibri"/>
              </w:rPr>
              <w:t>Depreciation of Property, Plant and Equipment</w:t>
            </w:r>
          </w:p>
        </w:tc>
        <w:tc>
          <w:tcPr>
            <w:tcW w:w="577" w:type="pct"/>
            <w:tcBorders>
              <w:top w:val="nil"/>
              <w:left w:val="nil"/>
              <w:bottom w:val="nil"/>
              <w:right w:val="nil"/>
            </w:tcBorders>
            <w:vAlign w:val="bottom"/>
          </w:tcPr>
          <w:p w14:paraId="19C5B845"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13AF6FF" w14:textId="77777777" w:rsidR="000E78AE" w:rsidRPr="00EB525E" w:rsidRDefault="000E78AE" w:rsidP="009A0F2F">
            <w:pPr>
              <w:pStyle w:val="TableText"/>
              <w:tabs>
                <w:tab w:val="left" w:pos="3306"/>
              </w:tabs>
              <w:jc w:val="right"/>
              <w:rPr>
                <w:rFonts w:cs="Calibri"/>
              </w:rPr>
            </w:pPr>
          </w:p>
        </w:tc>
      </w:tr>
      <w:tr w:rsidR="000E78AE" w:rsidRPr="00CF7E1B" w14:paraId="18426BE1" w14:textId="77777777" w:rsidTr="005F5B4C">
        <w:trPr>
          <w:cantSplit/>
          <w:trHeight w:val="23"/>
        </w:trPr>
        <w:tc>
          <w:tcPr>
            <w:tcW w:w="737" w:type="pct"/>
            <w:tcBorders>
              <w:top w:val="nil"/>
              <w:left w:val="single" w:sz="2" w:space="0" w:color="auto"/>
              <w:bottom w:val="nil"/>
              <w:right w:val="single" w:sz="2" w:space="0" w:color="auto"/>
            </w:tcBorders>
          </w:tcPr>
          <w:p w14:paraId="6C1CF72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E42C7AC" w14:textId="77777777" w:rsidR="000E78AE" w:rsidRPr="00EB525E" w:rsidRDefault="000E78AE" w:rsidP="009A0F2F">
            <w:pPr>
              <w:pStyle w:val="TableText"/>
              <w:tabs>
                <w:tab w:val="left" w:pos="3306"/>
              </w:tabs>
              <w:rPr>
                <w:rFonts w:cs="Calibri"/>
              </w:rPr>
            </w:pPr>
            <w:r w:rsidRPr="00EB525E">
              <w:rPr>
                <w:rFonts w:cs="Calibri"/>
              </w:rPr>
              <w:t>Amortisation of Intangibles</w:t>
            </w:r>
          </w:p>
        </w:tc>
        <w:tc>
          <w:tcPr>
            <w:tcW w:w="577" w:type="pct"/>
            <w:tcBorders>
              <w:top w:val="nil"/>
              <w:left w:val="nil"/>
              <w:bottom w:val="nil"/>
              <w:right w:val="nil"/>
            </w:tcBorders>
            <w:vAlign w:val="bottom"/>
          </w:tcPr>
          <w:p w14:paraId="52F2DAF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9C7FD04" w14:textId="77777777" w:rsidR="000E78AE" w:rsidRPr="00EB525E" w:rsidRDefault="000E78AE" w:rsidP="009A0F2F">
            <w:pPr>
              <w:pStyle w:val="TableText"/>
              <w:tabs>
                <w:tab w:val="left" w:pos="3306"/>
              </w:tabs>
              <w:jc w:val="right"/>
              <w:rPr>
                <w:rFonts w:cs="Calibri"/>
              </w:rPr>
            </w:pPr>
          </w:p>
        </w:tc>
      </w:tr>
      <w:tr w:rsidR="000E78AE" w:rsidRPr="00CF7E1B" w14:paraId="27A2D70E" w14:textId="77777777" w:rsidTr="005F5B4C">
        <w:trPr>
          <w:cantSplit/>
          <w:trHeight w:val="23"/>
        </w:trPr>
        <w:tc>
          <w:tcPr>
            <w:tcW w:w="737" w:type="pct"/>
            <w:tcBorders>
              <w:top w:val="nil"/>
              <w:left w:val="single" w:sz="2" w:space="0" w:color="auto"/>
              <w:bottom w:val="nil"/>
              <w:right w:val="single" w:sz="2" w:space="0" w:color="auto"/>
            </w:tcBorders>
          </w:tcPr>
          <w:p w14:paraId="47316005"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C3D6C05" w14:textId="77777777" w:rsidR="000E78AE" w:rsidRPr="00EB525E" w:rsidRDefault="000E78AE" w:rsidP="009A0F2F">
            <w:pPr>
              <w:pStyle w:val="TableText"/>
              <w:tabs>
                <w:tab w:val="left" w:pos="3306"/>
              </w:tabs>
              <w:rPr>
                <w:rFonts w:cs="Calibri"/>
              </w:rPr>
            </w:pPr>
            <w:r w:rsidRPr="00EB525E">
              <w:rPr>
                <w:rFonts w:cs="Calibri"/>
              </w:rPr>
              <w:t>Assets Transferred or Contributed</w:t>
            </w:r>
          </w:p>
        </w:tc>
        <w:tc>
          <w:tcPr>
            <w:tcW w:w="577" w:type="pct"/>
            <w:tcBorders>
              <w:top w:val="nil"/>
              <w:left w:val="nil"/>
              <w:bottom w:val="nil"/>
              <w:right w:val="nil"/>
            </w:tcBorders>
            <w:vAlign w:val="bottom"/>
          </w:tcPr>
          <w:p w14:paraId="6B65CB3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3B32D1AE" w14:textId="77777777" w:rsidR="000E78AE" w:rsidRPr="00EB525E" w:rsidRDefault="000E78AE" w:rsidP="009A0F2F">
            <w:pPr>
              <w:pStyle w:val="TableText"/>
              <w:tabs>
                <w:tab w:val="left" w:pos="3306"/>
              </w:tabs>
              <w:jc w:val="right"/>
              <w:rPr>
                <w:rFonts w:cs="Calibri"/>
              </w:rPr>
            </w:pPr>
          </w:p>
        </w:tc>
      </w:tr>
      <w:tr w:rsidR="000E78AE" w:rsidRPr="00CF7E1B" w14:paraId="591CEAC8" w14:textId="77777777" w:rsidTr="005F5B4C">
        <w:trPr>
          <w:cantSplit/>
          <w:trHeight w:val="23"/>
        </w:trPr>
        <w:tc>
          <w:tcPr>
            <w:tcW w:w="737" w:type="pct"/>
            <w:tcBorders>
              <w:top w:val="nil"/>
              <w:left w:val="single" w:sz="2" w:space="0" w:color="auto"/>
              <w:bottom w:val="nil"/>
              <w:right w:val="single" w:sz="2" w:space="0" w:color="auto"/>
            </w:tcBorders>
          </w:tcPr>
          <w:p w14:paraId="2D20FB9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55FCE74" w14:textId="77777777" w:rsidR="000E78AE" w:rsidRPr="00EB525E" w:rsidRDefault="000E78AE" w:rsidP="009A0F2F">
            <w:pPr>
              <w:pStyle w:val="TableText"/>
              <w:tabs>
                <w:tab w:val="left" w:pos="3306"/>
              </w:tabs>
              <w:rPr>
                <w:rFonts w:cs="Calibri"/>
              </w:rPr>
            </w:pPr>
            <w:r w:rsidRPr="00EB525E">
              <w:rPr>
                <w:rFonts w:cs="Calibri"/>
              </w:rPr>
              <w:t>(Gain)/Loss on the Revaluation of Investment Properties</w:t>
            </w:r>
          </w:p>
        </w:tc>
        <w:tc>
          <w:tcPr>
            <w:tcW w:w="577" w:type="pct"/>
            <w:tcBorders>
              <w:top w:val="nil"/>
              <w:left w:val="nil"/>
              <w:bottom w:val="nil"/>
              <w:right w:val="nil"/>
            </w:tcBorders>
            <w:vAlign w:val="bottom"/>
          </w:tcPr>
          <w:p w14:paraId="27801DB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901E78C" w14:textId="77777777" w:rsidR="000E78AE" w:rsidRPr="00EB525E" w:rsidRDefault="000E78AE" w:rsidP="009A0F2F">
            <w:pPr>
              <w:pStyle w:val="TableText"/>
              <w:tabs>
                <w:tab w:val="left" w:pos="3306"/>
              </w:tabs>
              <w:jc w:val="right"/>
              <w:rPr>
                <w:rFonts w:cs="Calibri"/>
              </w:rPr>
            </w:pPr>
          </w:p>
        </w:tc>
      </w:tr>
      <w:tr w:rsidR="000E78AE" w:rsidRPr="00CF7E1B" w14:paraId="635CD7A9" w14:textId="77777777" w:rsidTr="005F5B4C">
        <w:trPr>
          <w:cantSplit/>
          <w:trHeight w:val="23"/>
        </w:trPr>
        <w:tc>
          <w:tcPr>
            <w:tcW w:w="737" w:type="pct"/>
            <w:tcBorders>
              <w:top w:val="nil"/>
              <w:left w:val="single" w:sz="2" w:space="0" w:color="auto"/>
              <w:bottom w:val="nil"/>
              <w:right w:val="single" w:sz="2" w:space="0" w:color="auto"/>
            </w:tcBorders>
          </w:tcPr>
          <w:p w14:paraId="4567DD7D"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CA8CE4A" w14:textId="77777777" w:rsidR="000E78AE" w:rsidRPr="00EB525E" w:rsidRDefault="000E78AE" w:rsidP="009A0F2F">
            <w:pPr>
              <w:pStyle w:val="TableText"/>
              <w:tabs>
                <w:tab w:val="left" w:pos="3306"/>
              </w:tabs>
              <w:rPr>
                <w:rFonts w:cs="Calibri"/>
              </w:rPr>
            </w:pPr>
            <w:r w:rsidRPr="00EB525E">
              <w:rPr>
                <w:rFonts w:cs="Calibri"/>
              </w:rPr>
              <w:t>Forgiveness of Liabilities</w:t>
            </w:r>
          </w:p>
        </w:tc>
        <w:tc>
          <w:tcPr>
            <w:tcW w:w="577" w:type="pct"/>
            <w:tcBorders>
              <w:top w:val="nil"/>
              <w:left w:val="nil"/>
              <w:bottom w:val="nil"/>
              <w:right w:val="nil"/>
            </w:tcBorders>
            <w:vAlign w:val="bottom"/>
          </w:tcPr>
          <w:p w14:paraId="32FECA7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3AA3269" w14:textId="77777777" w:rsidR="000E78AE" w:rsidRPr="00EB525E" w:rsidRDefault="000E78AE" w:rsidP="009A0F2F">
            <w:pPr>
              <w:pStyle w:val="TableText"/>
              <w:tabs>
                <w:tab w:val="left" w:pos="3306"/>
              </w:tabs>
              <w:jc w:val="right"/>
              <w:rPr>
                <w:rFonts w:cs="Calibri"/>
              </w:rPr>
            </w:pPr>
          </w:p>
        </w:tc>
      </w:tr>
      <w:tr w:rsidR="000E78AE" w:rsidRPr="00CF7E1B" w14:paraId="31E702E3" w14:textId="77777777" w:rsidTr="005F5B4C">
        <w:trPr>
          <w:cantSplit/>
          <w:trHeight w:val="23"/>
        </w:trPr>
        <w:tc>
          <w:tcPr>
            <w:tcW w:w="737" w:type="pct"/>
            <w:tcBorders>
              <w:top w:val="nil"/>
              <w:left w:val="single" w:sz="2" w:space="0" w:color="auto"/>
              <w:bottom w:val="nil"/>
              <w:right w:val="single" w:sz="2" w:space="0" w:color="auto"/>
            </w:tcBorders>
          </w:tcPr>
          <w:p w14:paraId="7BCA4F6C"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1B55EB0E" w14:textId="77777777" w:rsidR="000E78AE" w:rsidRPr="00EB525E" w:rsidRDefault="000E78AE" w:rsidP="009A0F2F">
            <w:pPr>
              <w:pStyle w:val="TableText"/>
              <w:tabs>
                <w:tab w:val="left" w:pos="3306"/>
              </w:tabs>
              <w:rPr>
                <w:rFonts w:cs="Calibri"/>
              </w:rPr>
            </w:pPr>
            <w:r w:rsidRPr="00EB525E">
              <w:rPr>
                <w:rFonts w:cs="Calibri"/>
              </w:rPr>
              <w:t>Donated Assets</w:t>
            </w:r>
          </w:p>
        </w:tc>
        <w:tc>
          <w:tcPr>
            <w:tcW w:w="577" w:type="pct"/>
            <w:tcBorders>
              <w:top w:val="nil"/>
              <w:left w:val="nil"/>
              <w:bottom w:val="nil"/>
              <w:right w:val="nil"/>
            </w:tcBorders>
            <w:vAlign w:val="bottom"/>
          </w:tcPr>
          <w:p w14:paraId="4A2745A3"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FA757FA" w14:textId="77777777" w:rsidR="000E78AE" w:rsidRPr="00EB525E" w:rsidRDefault="000E78AE" w:rsidP="009A0F2F">
            <w:pPr>
              <w:pStyle w:val="TableText"/>
              <w:tabs>
                <w:tab w:val="left" w:pos="3306"/>
              </w:tabs>
              <w:jc w:val="right"/>
              <w:rPr>
                <w:rFonts w:cs="Calibri"/>
              </w:rPr>
            </w:pPr>
          </w:p>
        </w:tc>
      </w:tr>
      <w:tr w:rsidR="000E78AE" w:rsidRPr="00CF7E1B" w14:paraId="66E74175" w14:textId="77777777" w:rsidTr="005F5B4C">
        <w:trPr>
          <w:cantSplit/>
          <w:trHeight w:val="23"/>
        </w:trPr>
        <w:tc>
          <w:tcPr>
            <w:tcW w:w="737" w:type="pct"/>
            <w:tcBorders>
              <w:top w:val="nil"/>
              <w:left w:val="single" w:sz="2" w:space="0" w:color="auto"/>
              <w:bottom w:val="nil"/>
              <w:right w:val="single" w:sz="2" w:space="0" w:color="auto"/>
            </w:tcBorders>
          </w:tcPr>
          <w:p w14:paraId="06669BFB"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97A93AC" w14:textId="77777777" w:rsidR="000E78AE" w:rsidRPr="00EB525E" w:rsidRDefault="000E78AE" w:rsidP="009A0F2F">
            <w:pPr>
              <w:pStyle w:val="TableText"/>
              <w:tabs>
                <w:tab w:val="left" w:pos="3306"/>
              </w:tabs>
              <w:rPr>
                <w:rFonts w:cs="Calibri"/>
              </w:rPr>
            </w:pPr>
            <w:r w:rsidRPr="00EB525E">
              <w:rPr>
                <w:rFonts w:cs="Calibri"/>
              </w:rPr>
              <w:t>Waivers and Irrecoverable Loans Receivable</w:t>
            </w:r>
          </w:p>
        </w:tc>
        <w:tc>
          <w:tcPr>
            <w:tcW w:w="577" w:type="pct"/>
            <w:tcBorders>
              <w:top w:val="nil"/>
              <w:left w:val="nil"/>
              <w:bottom w:val="nil"/>
              <w:right w:val="nil"/>
            </w:tcBorders>
            <w:vAlign w:val="bottom"/>
          </w:tcPr>
          <w:p w14:paraId="5E7FFCC2"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F107F0E" w14:textId="77777777" w:rsidR="000E78AE" w:rsidRPr="00EB525E" w:rsidRDefault="000E78AE" w:rsidP="009A0F2F">
            <w:pPr>
              <w:pStyle w:val="TableText"/>
              <w:tabs>
                <w:tab w:val="left" w:pos="3306"/>
              </w:tabs>
              <w:jc w:val="right"/>
              <w:rPr>
                <w:rFonts w:cs="Calibri"/>
              </w:rPr>
            </w:pPr>
          </w:p>
        </w:tc>
      </w:tr>
      <w:tr w:rsidR="000E78AE" w:rsidRPr="00CF7E1B" w14:paraId="399405EE" w14:textId="77777777" w:rsidTr="005F5B4C">
        <w:trPr>
          <w:cantSplit/>
          <w:trHeight w:val="23"/>
        </w:trPr>
        <w:tc>
          <w:tcPr>
            <w:tcW w:w="737" w:type="pct"/>
            <w:tcBorders>
              <w:top w:val="nil"/>
              <w:left w:val="single" w:sz="2" w:space="0" w:color="auto"/>
              <w:bottom w:val="nil"/>
              <w:right w:val="single" w:sz="2" w:space="0" w:color="auto"/>
            </w:tcBorders>
          </w:tcPr>
          <w:p w14:paraId="50C70BA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7F160F6D" w14:textId="77777777" w:rsidR="000E78AE" w:rsidRPr="00EB525E" w:rsidRDefault="000E78AE" w:rsidP="009A0F2F">
            <w:pPr>
              <w:pStyle w:val="TableText"/>
              <w:tabs>
                <w:tab w:val="left" w:pos="3306"/>
              </w:tabs>
              <w:spacing w:before="120"/>
              <w:rPr>
                <w:rFonts w:cs="Calibri"/>
                <w:b/>
                <w:bCs/>
              </w:rPr>
            </w:pPr>
            <w:r w:rsidRPr="00EB525E">
              <w:rPr>
                <w:rFonts w:cs="Calibri"/>
                <w:b/>
                <w:bCs/>
              </w:rPr>
              <w:t>Add/(Less) Items Classified as Investing or Financing</w:t>
            </w:r>
          </w:p>
        </w:tc>
        <w:tc>
          <w:tcPr>
            <w:tcW w:w="577" w:type="pct"/>
            <w:tcBorders>
              <w:top w:val="nil"/>
              <w:left w:val="nil"/>
              <w:bottom w:val="nil"/>
              <w:right w:val="nil"/>
            </w:tcBorders>
            <w:vAlign w:val="bottom"/>
          </w:tcPr>
          <w:p w14:paraId="0C5AD70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13F859A7" w14:textId="77777777" w:rsidR="000E78AE" w:rsidRPr="00EB525E" w:rsidRDefault="000E78AE" w:rsidP="009A0F2F">
            <w:pPr>
              <w:pStyle w:val="TableText"/>
              <w:tabs>
                <w:tab w:val="left" w:pos="3306"/>
              </w:tabs>
              <w:jc w:val="right"/>
              <w:rPr>
                <w:rFonts w:cs="Calibri"/>
              </w:rPr>
            </w:pPr>
          </w:p>
        </w:tc>
      </w:tr>
      <w:tr w:rsidR="000E78AE" w:rsidRPr="00CF7E1B" w14:paraId="2A1DD48D" w14:textId="77777777" w:rsidTr="005F5B4C">
        <w:trPr>
          <w:cantSplit/>
          <w:trHeight w:val="23"/>
        </w:trPr>
        <w:tc>
          <w:tcPr>
            <w:tcW w:w="737" w:type="pct"/>
            <w:tcBorders>
              <w:top w:val="nil"/>
              <w:left w:val="single" w:sz="2" w:space="0" w:color="auto"/>
              <w:bottom w:val="nil"/>
              <w:right w:val="single" w:sz="2" w:space="0" w:color="auto"/>
            </w:tcBorders>
          </w:tcPr>
          <w:p w14:paraId="7EB44004"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408E15F" w14:textId="77777777" w:rsidR="000E78AE" w:rsidRPr="00EB525E" w:rsidRDefault="000E78AE" w:rsidP="009A0F2F">
            <w:pPr>
              <w:pStyle w:val="TableText"/>
              <w:tabs>
                <w:tab w:val="left" w:pos="3306"/>
              </w:tabs>
              <w:rPr>
                <w:rFonts w:cs="Calibri"/>
              </w:rPr>
            </w:pPr>
            <w:r w:rsidRPr="00EB525E">
              <w:rPr>
                <w:rFonts w:cs="Calibri"/>
              </w:rPr>
              <w:t xml:space="preserve">Net Loss/(Gain) on Disposal of Non-Current Assets </w:t>
            </w:r>
          </w:p>
        </w:tc>
        <w:tc>
          <w:tcPr>
            <w:tcW w:w="577" w:type="pct"/>
            <w:tcBorders>
              <w:top w:val="nil"/>
              <w:left w:val="nil"/>
              <w:bottom w:val="nil"/>
              <w:right w:val="nil"/>
            </w:tcBorders>
            <w:vAlign w:val="bottom"/>
          </w:tcPr>
          <w:p w14:paraId="43BAE68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42AD442" w14:textId="77777777" w:rsidR="000E78AE" w:rsidRPr="00EB525E" w:rsidRDefault="000E78AE" w:rsidP="009A0F2F">
            <w:pPr>
              <w:pStyle w:val="TableText"/>
              <w:tabs>
                <w:tab w:val="left" w:pos="3306"/>
              </w:tabs>
              <w:jc w:val="right"/>
              <w:rPr>
                <w:rFonts w:cs="Calibri"/>
              </w:rPr>
            </w:pPr>
          </w:p>
        </w:tc>
      </w:tr>
      <w:tr w:rsidR="000E78AE" w:rsidRPr="00CF7E1B" w14:paraId="3CCA0D79" w14:textId="77777777" w:rsidTr="005F5B4C">
        <w:trPr>
          <w:cantSplit/>
          <w:trHeight w:val="23"/>
        </w:trPr>
        <w:tc>
          <w:tcPr>
            <w:tcW w:w="737" w:type="pct"/>
            <w:tcBorders>
              <w:top w:val="nil"/>
              <w:left w:val="single" w:sz="2" w:space="0" w:color="auto"/>
              <w:bottom w:val="nil"/>
              <w:right w:val="single" w:sz="2" w:space="0" w:color="auto"/>
            </w:tcBorders>
          </w:tcPr>
          <w:p w14:paraId="556FE057"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FFE4F82" w14:textId="77777777" w:rsidR="000E78AE" w:rsidRPr="00EB525E" w:rsidRDefault="000E78AE" w:rsidP="009A0F2F">
            <w:pPr>
              <w:pStyle w:val="TableText"/>
              <w:tabs>
                <w:tab w:val="left" w:pos="3306"/>
              </w:tabs>
              <w:rPr>
                <w:rFonts w:cs="Calibri"/>
              </w:rPr>
            </w:pPr>
            <w:r w:rsidRPr="00EB525E">
              <w:rPr>
                <w:rFonts w:cs="Calibri"/>
              </w:rPr>
              <w:t>Gain on Investments</w:t>
            </w:r>
          </w:p>
        </w:tc>
        <w:tc>
          <w:tcPr>
            <w:tcW w:w="577" w:type="pct"/>
            <w:tcBorders>
              <w:top w:val="nil"/>
              <w:left w:val="nil"/>
              <w:bottom w:val="nil"/>
              <w:right w:val="nil"/>
            </w:tcBorders>
            <w:vAlign w:val="bottom"/>
          </w:tcPr>
          <w:p w14:paraId="1A3D0944"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329943C8" w14:textId="77777777" w:rsidR="000E78AE" w:rsidRPr="00EB525E" w:rsidRDefault="000E78AE" w:rsidP="009A0F2F">
            <w:pPr>
              <w:pStyle w:val="TableText"/>
              <w:tabs>
                <w:tab w:val="left" w:pos="3306"/>
              </w:tabs>
              <w:jc w:val="right"/>
              <w:rPr>
                <w:rFonts w:cs="Calibri"/>
              </w:rPr>
            </w:pPr>
          </w:p>
        </w:tc>
      </w:tr>
      <w:tr w:rsidR="000E78AE" w:rsidRPr="00CF7E1B" w14:paraId="48E9E492" w14:textId="77777777" w:rsidTr="005F5B4C">
        <w:trPr>
          <w:cantSplit/>
          <w:trHeight w:val="23"/>
        </w:trPr>
        <w:tc>
          <w:tcPr>
            <w:tcW w:w="737" w:type="pct"/>
            <w:tcBorders>
              <w:top w:val="nil"/>
              <w:left w:val="single" w:sz="2" w:space="0" w:color="auto"/>
              <w:bottom w:val="nil"/>
              <w:right w:val="single" w:sz="2" w:space="0" w:color="auto"/>
            </w:tcBorders>
          </w:tcPr>
          <w:p w14:paraId="2E73AF2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714317C" w14:textId="77777777" w:rsidR="000E78AE" w:rsidRPr="00EB525E" w:rsidRDefault="000E78AE" w:rsidP="009A0F2F">
            <w:pPr>
              <w:pStyle w:val="TableText"/>
              <w:tabs>
                <w:tab w:val="left" w:pos="3306"/>
              </w:tabs>
              <w:rPr>
                <w:rFonts w:cs="Calibri"/>
              </w:rPr>
            </w:pPr>
            <w:r w:rsidRPr="00EB525E">
              <w:rPr>
                <w:rFonts w:cs="Calibri"/>
              </w:rPr>
              <w:t>Share of Profit from Joint Venture (Not received as a distribution)</w:t>
            </w:r>
          </w:p>
        </w:tc>
        <w:tc>
          <w:tcPr>
            <w:tcW w:w="577" w:type="pct"/>
            <w:tcBorders>
              <w:top w:val="nil"/>
              <w:left w:val="nil"/>
              <w:bottom w:val="single" w:sz="2" w:space="0" w:color="auto"/>
              <w:right w:val="nil"/>
            </w:tcBorders>
            <w:vAlign w:val="bottom"/>
          </w:tcPr>
          <w:p w14:paraId="4CBB173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077A461" w14:textId="77777777" w:rsidR="000E78AE" w:rsidRPr="00EB525E" w:rsidRDefault="000E78AE" w:rsidP="009A0F2F">
            <w:pPr>
              <w:pStyle w:val="TableText"/>
              <w:tabs>
                <w:tab w:val="left" w:pos="3306"/>
              </w:tabs>
              <w:jc w:val="right"/>
              <w:rPr>
                <w:rFonts w:cs="Calibri"/>
              </w:rPr>
            </w:pPr>
          </w:p>
        </w:tc>
      </w:tr>
      <w:tr w:rsidR="000E78AE" w:rsidRPr="00CF7E1B" w14:paraId="5855D4A1" w14:textId="77777777" w:rsidTr="005F5B4C">
        <w:trPr>
          <w:cantSplit/>
          <w:trHeight w:val="23"/>
        </w:trPr>
        <w:tc>
          <w:tcPr>
            <w:tcW w:w="737" w:type="pct"/>
            <w:tcBorders>
              <w:top w:val="nil"/>
              <w:left w:val="single" w:sz="2" w:space="0" w:color="auto"/>
              <w:bottom w:val="nil"/>
              <w:right w:val="single" w:sz="2" w:space="0" w:color="auto"/>
            </w:tcBorders>
          </w:tcPr>
          <w:p w14:paraId="4FF28BE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6ED2496" w14:textId="77777777" w:rsidR="000E78AE" w:rsidRPr="00EB525E" w:rsidRDefault="000E78AE" w:rsidP="009A0F2F">
            <w:pPr>
              <w:pStyle w:val="TableText"/>
              <w:tabs>
                <w:tab w:val="left" w:pos="3306"/>
              </w:tabs>
              <w:rPr>
                <w:rFonts w:cs="Calibri"/>
                <w:b/>
                <w:bCs/>
              </w:rPr>
            </w:pPr>
            <w:r w:rsidRPr="00EB525E">
              <w:rPr>
                <w:rFonts w:cs="Calibri"/>
                <w:b/>
                <w:bCs/>
              </w:rPr>
              <w:t>Cash Before Changes in Operating Assets and Liabilities</w:t>
            </w:r>
          </w:p>
        </w:tc>
        <w:tc>
          <w:tcPr>
            <w:tcW w:w="577" w:type="pct"/>
            <w:tcBorders>
              <w:top w:val="single" w:sz="2" w:space="0" w:color="auto"/>
              <w:left w:val="nil"/>
              <w:bottom w:val="single" w:sz="2" w:space="0" w:color="auto"/>
              <w:right w:val="nil"/>
            </w:tcBorders>
            <w:vAlign w:val="bottom"/>
          </w:tcPr>
          <w:p w14:paraId="72A14CE8"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311045E3" w14:textId="77777777" w:rsidR="000E78AE" w:rsidRPr="00EB525E" w:rsidRDefault="000E78AE" w:rsidP="009A0F2F">
            <w:pPr>
              <w:pStyle w:val="TableText"/>
              <w:tabs>
                <w:tab w:val="left" w:pos="3306"/>
              </w:tabs>
              <w:jc w:val="right"/>
              <w:rPr>
                <w:rFonts w:cs="Calibri"/>
                <w:b/>
                <w:bCs/>
              </w:rPr>
            </w:pPr>
          </w:p>
        </w:tc>
      </w:tr>
      <w:tr w:rsidR="000E78AE" w:rsidRPr="00CF7E1B" w14:paraId="75BD276A" w14:textId="77777777" w:rsidTr="005F5B4C">
        <w:trPr>
          <w:cantSplit/>
          <w:trHeight w:val="23"/>
        </w:trPr>
        <w:tc>
          <w:tcPr>
            <w:tcW w:w="737" w:type="pct"/>
            <w:tcBorders>
              <w:top w:val="nil"/>
              <w:left w:val="single" w:sz="2" w:space="0" w:color="auto"/>
              <w:bottom w:val="nil"/>
              <w:right w:val="single" w:sz="2" w:space="0" w:color="auto"/>
            </w:tcBorders>
          </w:tcPr>
          <w:p w14:paraId="6FCB030C"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A40C60A" w14:textId="77777777" w:rsidR="000E78AE" w:rsidRPr="00EB525E" w:rsidRDefault="000E78AE" w:rsidP="009A0F2F">
            <w:pPr>
              <w:pStyle w:val="TableText"/>
              <w:tabs>
                <w:tab w:val="left" w:pos="3306"/>
              </w:tabs>
              <w:rPr>
                <w:rFonts w:cs="Calibri"/>
              </w:rPr>
            </w:pPr>
          </w:p>
        </w:tc>
        <w:tc>
          <w:tcPr>
            <w:tcW w:w="577" w:type="pct"/>
            <w:tcBorders>
              <w:top w:val="single" w:sz="2" w:space="0" w:color="auto"/>
              <w:left w:val="nil"/>
              <w:bottom w:val="nil"/>
              <w:right w:val="nil"/>
            </w:tcBorders>
            <w:vAlign w:val="bottom"/>
          </w:tcPr>
          <w:p w14:paraId="01FA5005" w14:textId="77777777" w:rsidR="000E78AE" w:rsidRPr="00EB525E" w:rsidRDefault="000E78AE" w:rsidP="009A0F2F">
            <w:pPr>
              <w:pStyle w:val="TableText"/>
              <w:tabs>
                <w:tab w:val="left" w:pos="3306"/>
              </w:tabs>
              <w:jc w:val="right"/>
              <w:rPr>
                <w:rFonts w:cs="Calibri"/>
              </w:rPr>
            </w:pPr>
          </w:p>
        </w:tc>
        <w:tc>
          <w:tcPr>
            <w:tcW w:w="739" w:type="pct"/>
            <w:tcBorders>
              <w:top w:val="single" w:sz="2" w:space="0" w:color="auto"/>
              <w:left w:val="nil"/>
              <w:bottom w:val="nil"/>
              <w:right w:val="nil"/>
            </w:tcBorders>
            <w:vAlign w:val="bottom"/>
          </w:tcPr>
          <w:p w14:paraId="7ADC6FE2" w14:textId="77777777" w:rsidR="000E78AE" w:rsidRPr="00EB525E" w:rsidRDefault="000E78AE" w:rsidP="009A0F2F">
            <w:pPr>
              <w:pStyle w:val="TableText"/>
              <w:tabs>
                <w:tab w:val="left" w:pos="3306"/>
              </w:tabs>
              <w:jc w:val="right"/>
              <w:rPr>
                <w:rFonts w:cs="Calibri"/>
              </w:rPr>
            </w:pPr>
          </w:p>
        </w:tc>
      </w:tr>
      <w:tr w:rsidR="000E78AE" w:rsidRPr="00CF7E1B" w14:paraId="2E7942D0" w14:textId="77777777" w:rsidTr="005F5B4C">
        <w:trPr>
          <w:cantSplit/>
          <w:trHeight w:val="23"/>
        </w:trPr>
        <w:tc>
          <w:tcPr>
            <w:tcW w:w="737" w:type="pct"/>
            <w:tcBorders>
              <w:top w:val="nil"/>
              <w:left w:val="single" w:sz="2" w:space="0" w:color="auto"/>
              <w:bottom w:val="nil"/>
              <w:right w:val="single" w:sz="2" w:space="0" w:color="auto"/>
            </w:tcBorders>
          </w:tcPr>
          <w:p w14:paraId="749DF714"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B1CB7EB" w14:textId="77777777" w:rsidR="000E78AE" w:rsidRPr="00EB525E" w:rsidRDefault="000E78AE" w:rsidP="009A0F2F">
            <w:pPr>
              <w:pStyle w:val="TableText"/>
              <w:tabs>
                <w:tab w:val="left" w:pos="3306"/>
              </w:tabs>
              <w:rPr>
                <w:rFonts w:cs="Calibri"/>
                <w:b/>
                <w:bCs/>
              </w:rPr>
            </w:pPr>
            <w:r w:rsidRPr="00EB525E">
              <w:rPr>
                <w:rFonts w:cs="Calibri"/>
                <w:b/>
                <w:bCs/>
              </w:rPr>
              <w:t xml:space="preserve">Changes in Operating Assets and Liabilities </w:t>
            </w:r>
          </w:p>
        </w:tc>
        <w:tc>
          <w:tcPr>
            <w:tcW w:w="577" w:type="pct"/>
            <w:tcBorders>
              <w:top w:val="nil"/>
              <w:left w:val="nil"/>
              <w:bottom w:val="nil"/>
              <w:right w:val="nil"/>
            </w:tcBorders>
            <w:vAlign w:val="bottom"/>
          </w:tcPr>
          <w:p w14:paraId="47C8A3B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73E5CC1" w14:textId="77777777" w:rsidR="000E78AE" w:rsidRPr="00EB525E" w:rsidRDefault="000E78AE" w:rsidP="009A0F2F">
            <w:pPr>
              <w:pStyle w:val="TableText"/>
              <w:tabs>
                <w:tab w:val="left" w:pos="3306"/>
              </w:tabs>
              <w:jc w:val="right"/>
              <w:rPr>
                <w:rFonts w:cs="Calibri"/>
              </w:rPr>
            </w:pPr>
          </w:p>
        </w:tc>
      </w:tr>
      <w:tr w:rsidR="000E78AE" w:rsidRPr="00CF7E1B" w14:paraId="4A8405C6" w14:textId="77777777" w:rsidTr="005F5B4C">
        <w:trPr>
          <w:cantSplit/>
          <w:trHeight w:val="23"/>
        </w:trPr>
        <w:tc>
          <w:tcPr>
            <w:tcW w:w="737" w:type="pct"/>
            <w:tcBorders>
              <w:top w:val="nil"/>
              <w:left w:val="single" w:sz="2" w:space="0" w:color="auto"/>
              <w:bottom w:val="nil"/>
              <w:right w:val="single" w:sz="2" w:space="0" w:color="auto"/>
            </w:tcBorders>
          </w:tcPr>
          <w:p w14:paraId="7D04F236"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1CCFADA" w14:textId="77777777" w:rsidR="000E78AE" w:rsidRPr="008A6781" w:rsidRDefault="000E78AE" w:rsidP="009A0F2F">
            <w:pPr>
              <w:pStyle w:val="TableText"/>
              <w:tabs>
                <w:tab w:val="left" w:pos="3306"/>
              </w:tabs>
              <w:rPr>
                <w:rFonts w:cs="Calibri"/>
              </w:rPr>
            </w:pPr>
            <w:r w:rsidRPr="008A6781">
              <w:rPr>
                <w:rFonts w:cs="Calibri"/>
              </w:rPr>
              <w:t xml:space="preserve">(Increase)/Decrease in Receivables </w:t>
            </w:r>
            <w:r w:rsidRPr="008A6781">
              <w:rPr>
                <w:rFonts w:cs="Calibri"/>
                <w:strike/>
                <w:color w:val="FF0000"/>
              </w:rPr>
              <w:t>and Contract Assets</w:t>
            </w:r>
          </w:p>
        </w:tc>
        <w:tc>
          <w:tcPr>
            <w:tcW w:w="577" w:type="pct"/>
            <w:tcBorders>
              <w:top w:val="nil"/>
              <w:left w:val="nil"/>
              <w:bottom w:val="nil"/>
              <w:right w:val="nil"/>
            </w:tcBorders>
            <w:vAlign w:val="bottom"/>
          </w:tcPr>
          <w:p w14:paraId="6FC05323"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0424CAB" w14:textId="77777777" w:rsidR="000E78AE" w:rsidRPr="00EB525E" w:rsidRDefault="000E78AE" w:rsidP="009A0F2F">
            <w:pPr>
              <w:pStyle w:val="TableText"/>
              <w:tabs>
                <w:tab w:val="left" w:pos="3306"/>
              </w:tabs>
              <w:jc w:val="right"/>
              <w:rPr>
                <w:rFonts w:cs="Calibri"/>
              </w:rPr>
            </w:pPr>
          </w:p>
        </w:tc>
      </w:tr>
      <w:tr w:rsidR="000E78AE" w:rsidRPr="00CF7E1B" w14:paraId="26B0896C" w14:textId="77777777" w:rsidTr="005F5B4C">
        <w:trPr>
          <w:cantSplit/>
          <w:trHeight w:val="23"/>
        </w:trPr>
        <w:tc>
          <w:tcPr>
            <w:tcW w:w="737" w:type="pct"/>
            <w:tcBorders>
              <w:top w:val="nil"/>
              <w:left w:val="single" w:sz="2" w:space="0" w:color="auto"/>
              <w:bottom w:val="nil"/>
              <w:right w:val="single" w:sz="2" w:space="0" w:color="auto"/>
            </w:tcBorders>
          </w:tcPr>
          <w:p w14:paraId="45DE6BF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0E110A5" w14:textId="77777777" w:rsidR="000E78AE" w:rsidRPr="008A6781" w:rsidRDefault="000E78AE" w:rsidP="009A0F2F">
            <w:pPr>
              <w:pStyle w:val="TableText"/>
              <w:tabs>
                <w:tab w:val="left" w:pos="3306"/>
              </w:tabs>
              <w:rPr>
                <w:rFonts w:cs="Calibri"/>
              </w:rPr>
            </w:pPr>
            <w:r w:rsidRPr="008A6781">
              <w:rPr>
                <w:rFonts w:cs="Calibri"/>
              </w:rPr>
              <w:t>(Increase)/Decrease in Inventories</w:t>
            </w:r>
          </w:p>
        </w:tc>
        <w:tc>
          <w:tcPr>
            <w:tcW w:w="577" w:type="pct"/>
            <w:tcBorders>
              <w:top w:val="nil"/>
              <w:left w:val="nil"/>
              <w:bottom w:val="nil"/>
              <w:right w:val="nil"/>
            </w:tcBorders>
            <w:vAlign w:val="bottom"/>
          </w:tcPr>
          <w:p w14:paraId="55482D9B"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D0A7ED5" w14:textId="77777777" w:rsidR="000E78AE" w:rsidRPr="00EB525E" w:rsidRDefault="000E78AE" w:rsidP="009A0F2F">
            <w:pPr>
              <w:pStyle w:val="TableText"/>
              <w:tabs>
                <w:tab w:val="left" w:pos="3306"/>
              </w:tabs>
              <w:jc w:val="right"/>
              <w:rPr>
                <w:rFonts w:cs="Calibri"/>
              </w:rPr>
            </w:pPr>
          </w:p>
        </w:tc>
      </w:tr>
      <w:tr w:rsidR="000E78AE" w:rsidRPr="00CF7E1B" w14:paraId="6383B218" w14:textId="77777777" w:rsidTr="005F5B4C">
        <w:trPr>
          <w:cantSplit/>
          <w:trHeight w:val="23"/>
        </w:trPr>
        <w:tc>
          <w:tcPr>
            <w:tcW w:w="737" w:type="pct"/>
            <w:tcBorders>
              <w:top w:val="nil"/>
              <w:left w:val="single" w:sz="2" w:space="0" w:color="auto"/>
              <w:bottom w:val="nil"/>
              <w:right w:val="single" w:sz="2" w:space="0" w:color="auto"/>
            </w:tcBorders>
          </w:tcPr>
          <w:p w14:paraId="5D94B81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D684678" w14:textId="77777777" w:rsidR="000E78AE" w:rsidRPr="008A6781" w:rsidRDefault="000E78AE" w:rsidP="009A0F2F">
            <w:pPr>
              <w:pStyle w:val="TableText"/>
              <w:tabs>
                <w:tab w:val="left" w:pos="3306"/>
              </w:tabs>
              <w:rPr>
                <w:rFonts w:cs="Calibri"/>
                <w:strike/>
              </w:rPr>
            </w:pPr>
            <w:r w:rsidRPr="008A6781">
              <w:rPr>
                <w:rFonts w:cs="Calibri"/>
                <w:strike/>
                <w:color w:val="FF0000"/>
              </w:rPr>
              <w:t>(Increase)/Decrease in Contract Assets</w:t>
            </w:r>
          </w:p>
        </w:tc>
        <w:tc>
          <w:tcPr>
            <w:tcW w:w="577" w:type="pct"/>
            <w:tcBorders>
              <w:top w:val="nil"/>
              <w:left w:val="nil"/>
              <w:bottom w:val="nil"/>
              <w:right w:val="nil"/>
            </w:tcBorders>
            <w:vAlign w:val="bottom"/>
          </w:tcPr>
          <w:p w14:paraId="14642ED5"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2654E8F" w14:textId="77777777" w:rsidR="000E78AE" w:rsidRPr="00EB525E" w:rsidRDefault="000E78AE" w:rsidP="009A0F2F">
            <w:pPr>
              <w:pStyle w:val="TableText"/>
              <w:tabs>
                <w:tab w:val="left" w:pos="3306"/>
              </w:tabs>
              <w:jc w:val="right"/>
              <w:rPr>
                <w:rFonts w:cs="Calibri"/>
              </w:rPr>
            </w:pPr>
          </w:p>
        </w:tc>
      </w:tr>
      <w:tr w:rsidR="000E78AE" w:rsidRPr="00CF7E1B" w14:paraId="53A234A8" w14:textId="77777777" w:rsidTr="005F5B4C">
        <w:trPr>
          <w:cantSplit/>
          <w:trHeight w:val="23"/>
        </w:trPr>
        <w:tc>
          <w:tcPr>
            <w:tcW w:w="737" w:type="pct"/>
            <w:tcBorders>
              <w:top w:val="nil"/>
              <w:left w:val="single" w:sz="2" w:space="0" w:color="auto"/>
              <w:bottom w:val="nil"/>
              <w:right w:val="single" w:sz="2" w:space="0" w:color="auto"/>
            </w:tcBorders>
          </w:tcPr>
          <w:p w14:paraId="4E541D0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BE9AAD9" w14:textId="77777777" w:rsidR="000E78AE" w:rsidRPr="008A6781" w:rsidRDefault="000E78AE" w:rsidP="009A0F2F">
            <w:pPr>
              <w:pStyle w:val="TableText"/>
              <w:tabs>
                <w:tab w:val="left" w:pos="3306"/>
              </w:tabs>
              <w:rPr>
                <w:rFonts w:cs="Calibri"/>
              </w:rPr>
            </w:pPr>
            <w:r w:rsidRPr="008A6781">
              <w:rPr>
                <w:rFonts w:cs="Calibri"/>
              </w:rPr>
              <w:t>(Increase)/Decrease in Other Assets</w:t>
            </w:r>
          </w:p>
        </w:tc>
        <w:tc>
          <w:tcPr>
            <w:tcW w:w="577" w:type="pct"/>
            <w:tcBorders>
              <w:top w:val="nil"/>
              <w:left w:val="nil"/>
              <w:bottom w:val="nil"/>
              <w:right w:val="nil"/>
            </w:tcBorders>
            <w:vAlign w:val="bottom"/>
          </w:tcPr>
          <w:p w14:paraId="1E4C077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5C8639C" w14:textId="77777777" w:rsidR="000E78AE" w:rsidRPr="00EB525E" w:rsidRDefault="000E78AE" w:rsidP="009A0F2F">
            <w:pPr>
              <w:pStyle w:val="TableText"/>
              <w:tabs>
                <w:tab w:val="left" w:pos="3306"/>
              </w:tabs>
              <w:jc w:val="right"/>
              <w:rPr>
                <w:rFonts w:cs="Calibri"/>
              </w:rPr>
            </w:pPr>
          </w:p>
        </w:tc>
      </w:tr>
      <w:tr w:rsidR="000E78AE" w:rsidRPr="00CF7E1B" w14:paraId="31B0F95B" w14:textId="77777777" w:rsidTr="005F5B4C">
        <w:trPr>
          <w:cantSplit/>
          <w:trHeight w:val="23"/>
        </w:trPr>
        <w:tc>
          <w:tcPr>
            <w:tcW w:w="737" w:type="pct"/>
            <w:tcBorders>
              <w:top w:val="nil"/>
              <w:left w:val="single" w:sz="2" w:space="0" w:color="auto"/>
              <w:bottom w:val="nil"/>
              <w:right w:val="single" w:sz="2" w:space="0" w:color="auto"/>
            </w:tcBorders>
          </w:tcPr>
          <w:p w14:paraId="10CAFAD5"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6058323" w14:textId="77777777" w:rsidR="000E78AE" w:rsidRPr="008A6781" w:rsidRDefault="000E78AE" w:rsidP="009A0F2F">
            <w:pPr>
              <w:pStyle w:val="TableText"/>
              <w:tabs>
                <w:tab w:val="left" w:pos="3306"/>
              </w:tabs>
              <w:rPr>
                <w:rFonts w:cs="Calibri"/>
              </w:rPr>
            </w:pPr>
            <w:r w:rsidRPr="008A6781">
              <w:rPr>
                <w:rFonts w:cs="Calibri"/>
              </w:rPr>
              <w:t xml:space="preserve">Increase /(Decrease) in Payables </w:t>
            </w:r>
            <w:r w:rsidRPr="008A6781">
              <w:rPr>
                <w:rFonts w:cs="Calibri"/>
                <w:strike/>
                <w:color w:val="FF0000"/>
              </w:rPr>
              <w:t>and Contract Liabilities</w:t>
            </w:r>
            <w:r w:rsidRPr="008A6781">
              <w:rPr>
                <w:rFonts w:cs="Calibri"/>
                <w:color w:val="FF0000"/>
              </w:rPr>
              <w:t xml:space="preserve"> </w:t>
            </w:r>
          </w:p>
        </w:tc>
        <w:tc>
          <w:tcPr>
            <w:tcW w:w="577" w:type="pct"/>
            <w:tcBorders>
              <w:top w:val="nil"/>
              <w:left w:val="nil"/>
              <w:bottom w:val="nil"/>
              <w:right w:val="nil"/>
            </w:tcBorders>
            <w:vAlign w:val="bottom"/>
          </w:tcPr>
          <w:p w14:paraId="2C84B3A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9EDC524" w14:textId="77777777" w:rsidR="000E78AE" w:rsidRPr="00EB525E" w:rsidRDefault="000E78AE" w:rsidP="009A0F2F">
            <w:pPr>
              <w:pStyle w:val="TableText"/>
              <w:tabs>
                <w:tab w:val="left" w:pos="3306"/>
              </w:tabs>
              <w:jc w:val="right"/>
              <w:rPr>
                <w:rFonts w:cs="Calibri"/>
              </w:rPr>
            </w:pPr>
          </w:p>
        </w:tc>
      </w:tr>
      <w:tr w:rsidR="000E78AE" w:rsidRPr="00CF7E1B" w14:paraId="74EA60C1" w14:textId="77777777" w:rsidTr="005F5B4C">
        <w:trPr>
          <w:cantSplit/>
          <w:trHeight w:val="23"/>
        </w:trPr>
        <w:tc>
          <w:tcPr>
            <w:tcW w:w="737" w:type="pct"/>
            <w:tcBorders>
              <w:top w:val="nil"/>
              <w:left w:val="single" w:sz="2" w:space="0" w:color="auto"/>
              <w:bottom w:val="nil"/>
              <w:right w:val="single" w:sz="2" w:space="0" w:color="auto"/>
            </w:tcBorders>
          </w:tcPr>
          <w:p w14:paraId="6D5AD486"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09808EC" w14:textId="77777777" w:rsidR="000E78AE" w:rsidRPr="008A6781" w:rsidRDefault="000E78AE" w:rsidP="009A0F2F">
            <w:pPr>
              <w:pStyle w:val="TableText"/>
              <w:tabs>
                <w:tab w:val="left" w:pos="3306"/>
              </w:tabs>
              <w:rPr>
                <w:rFonts w:cs="Calibri"/>
                <w:b/>
                <w:strike/>
                <w:color w:val="FF0000"/>
              </w:rPr>
            </w:pPr>
            <w:r w:rsidRPr="008A6781">
              <w:rPr>
                <w:rFonts w:cs="Calibri"/>
                <w:strike/>
                <w:color w:val="FF0000"/>
              </w:rPr>
              <w:t>Increase/(Decrease) in Contract Liabilities</w:t>
            </w:r>
          </w:p>
        </w:tc>
        <w:tc>
          <w:tcPr>
            <w:tcW w:w="577" w:type="pct"/>
            <w:tcBorders>
              <w:top w:val="nil"/>
              <w:left w:val="nil"/>
              <w:bottom w:val="nil"/>
              <w:right w:val="nil"/>
            </w:tcBorders>
            <w:vAlign w:val="bottom"/>
          </w:tcPr>
          <w:p w14:paraId="739B237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21AC955A" w14:textId="77777777" w:rsidR="000E78AE" w:rsidRPr="00EB525E" w:rsidRDefault="000E78AE" w:rsidP="009A0F2F">
            <w:pPr>
              <w:pStyle w:val="TableText"/>
              <w:tabs>
                <w:tab w:val="left" w:pos="3306"/>
              </w:tabs>
              <w:jc w:val="right"/>
              <w:rPr>
                <w:rFonts w:cs="Calibri"/>
              </w:rPr>
            </w:pPr>
          </w:p>
        </w:tc>
      </w:tr>
      <w:tr w:rsidR="000E78AE" w:rsidRPr="00CF7E1B" w14:paraId="5F7C67AF" w14:textId="77777777" w:rsidTr="005F5B4C">
        <w:trPr>
          <w:cantSplit/>
          <w:trHeight w:val="23"/>
        </w:trPr>
        <w:tc>
          <w:tcPr>
            <w:tcW w:w="737" w:type="pct"/>
            <w:tcBorders>
              <w:top w:val="nil"/>
              <w:left w:val="single" w:sz="2" w:space="0" w:color="auto"/>
              <w:bottom w:val="nil"/>
              <w:right w:val="single" w:sz="2" w:space="0" w:color="auto"/>
            </w:tcBorders>
          </w:tcPr>
          <w:p w14:paraId="5E8EBBC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4C5CDD5" w14:textId="77777777" w:rsidR="000E78AE" w:rsidRPr="00EB525E" w:rsidRDefault="000E78AE" w:rsidP="009A0F2F">
            <w:pPr>
              <w:pStyle w:val="TableText"/>
              <w:tabs>
                <w:tab w:val="left" w:pos="3306"/>
              </w:tabs>
              <w:rPr>
                <w:rFonts w:cs="Calibri"/>
              </w:rPr>
            </w:pPr>
            <w:r w:rsidRPr="00EB525E">
              <w:rPr>
                <w:rFonts w:cs="Calibri"/>
              </w:rPr>
              <w:t>Increase/(Decrease) in Provisions</w:t>
            </w:r>
          </w:p>
        </w:tc>
        <w:tc>
          <w:tcPr>
            <w:tcW w:w="577" w:type="pct"/>
            <w:tcBorders>
              <w:top w:val="nil"/>
              <w:left w:val="nil"/>
              <w:bottom w:val="nil"/>
              <w:right w:val="nil"/>
            </w:tcBorders>
            <w:vAlign w:val="bottom"/>
          </w:tcPr>
          <w:p w14:paraId="53761B60"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5051826" w14:textId="77777777" w:rsidR="000E78AE" w:rsidRPr="00EB525E" w:rsidRDefault="000E78AE" w:rsidP="009A0F2F">
            <w:pPr>
              <w:pStyle w:val="TableText"/>
              <w:tabs>
                <w:tab w:val="left" w:pos="3306"/>
              </w:tabs>
              <w:jc w:val="right"/>
              <w:rPr>
                <w:rFonts w:cs="Calibri"/>
              </w:rPr>
            </w:pPr>
          </w:p>
        </w:tc>
      </w:tr>
      <w:tr w:rsidR="000E78AE" w:rsidRPr="00CF7E1B" w14:paraId="6C6056B3" w14:textId="77777777" w:rsidTr="005F5B4C">
        <w:trPr>
          <w:cantSplit/>
          <w:trHeight w:val="23"/>
        </w:trPr>
        <w:tc>
          <w:tcPr>
            <w:tcW w:w="737" w:type="pct"/>
            <w:tcBorders>
              <w:top w:val="nil"/>
              <w:left w:val="single" w:sz="2" w:space="0" w:color="auto"/>
              <w:bottom w:val="nil"/>
              <w:right w:val="single" w:sz="2" w:space="0" w:color="auto"/>
            </w:tcBorders>
          </w:tcPr>
          <w:p w14:paraId="42A28468"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FBE6FD5" w14:textId="77777777" w:rsidR="000E78AE" w:rsidRPr="00EB525E" w:rsidRDefault="000E78AE" w:rsidP="009A0F2F">
            <w:pPr>
              <w:pStyle w:val="TableText"/>
              <w:tabs>
                <w:tab w:val="left" w:pos="3306"/>
              </w:tabs>
              <w:rPr>
                <w:rFonts w:cs="Calibri"/>
              </w:rPr>
            </w:pPr>
            <w:r w:rsidRPr="00EB525E">
              <w:rPr>
                <w:rFonts w:cs="Calibri"/>
              </w:rPr>
              <w:t>Increase/(Decrease) in Other Liabilities</w:t>
            </w:r>
          </w:p>
        </w:tc>
        <w:tc>
          <w:tcPr>
            <w:tcW w:w="577" w:type="pct"/>
            <w:tcBorders>
              <w:top w:val="nil"/>
              <w:left w:val="nil"/>
              <w:bottom w:val="single" w:sz="2" w:space="0" w:color="auto"/>
              <w:right w:val="nil"/>
            </w:tcBorders>
            <w:vAlign w:val="bottom"/>
          </w:tcPr>
          <w:p w14:paraId="77D5275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75393F7" w14:textId="77777777" w:rsidR="000E78AE" w:rsidRPr="00EB525E" w:rsidRDefault="000E78AE" w:rsidP="009A0F2F">
            <w:pPr>
              <w:pStyle w:val="TableText"/>
              <w:tabs>
                <w:tab w:val="left" w:pos="3306"/>
              </w:tabs>
              <w:jc w:val="right"/>
              <w:rPr>
                <w:rFonts w:cs="Calibri"/>
              </w:rPr>
            </w:pPr>
          </w:p>
        </w:tc>
      </w:tr>
      <w:tr w:rsidR="000E78AE" w:rsidRPr="00CF7E1B" w14:paraId="02BDE788" w14:textId="77777777" w:rsidTr="005F5B4C">
        <w:trPr>
          <w:cantSplit/>
          <w:trHeight w:val="23"/>
        </w:trPr>
        <w:tc>
          <w:tcPr>
            <w:tcW w:w="737" w:type="pct"/>
            <w:tcBorders>
              <w:top w:val="nil"/>
              <w:left w:val="single" w:sz="2" w:space="0" w:color="auto"/>
              <w:bottom w:val="nil"/>
              <w:right w:val="single" w:sz="2" w:space="0" w:color="auto"/>
            </w:tcBorders>
          </w:tcPr>
          <w:p w14:paraId="46EB076A"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188470C" w14:textId="77777777" w:rsidR="000E78AE" w:rsidRPr="00EB525E" w:rsidRDefault="000E78AE" w:rsidP="009A0F2F">
            <w:pPr>
              <w:pStyle w:val="TableText"/>
              <w:tabs>
                <w:tab w:val="left" w:pos="3306"/>
              </w:tabs>
              <w:rPr>
                <w:rFonts w:cs="Calibri"/>
                <w:b/>
                <w:bCs/>
              </w:rPr>
            </w:pPr>
            <w:r w:rsidRPr="00EB525E">
              <w:rPr>
                <w:rFonts w:cs="Calibri"/>
                <w:b/>
                <w:bCs/>
              </w:rPr>
              <w:t>Net Changes in Operating Assets and Liabilities</w:t>
            </w:r>
          </w:p>
        </w:tc>
        <w:tc>
          <w:tcPr>
            <w:tcW w:w="577" w:type="pct"/>
            <w:tcBorders>
              <w:top w:val="single" w:sz="2" w:space="0" w:color="auto"/>
              <w:left w:val="nil"/>
              <w:bottom w:val="single" w:sz="2" w:space="0" w:color="auto"/>
              <w:right w:val="nil"/>
            </w:tcBorders>
            <w:vAlign w:val="bottom"/>
          </w:tcPr>
          <w:p w14:paraId="241A7386"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25CE9F31" w14:textId="77777777" w:rsidR="000E78AE" w:rsidRPr="00EB525E" w:rsidRDefault="000E78AE" w:rsidP="009A0F2F">
            <w:pPr>
              <w:pStyle w:val="TableText"/>
              <w:tabs>
                <w:tab w:val="left" w:pos="3306"/>
              </w:tabs>
              <w:jc w:val="right"/>
              <w:rPr>
                <w:rFonts w:cs="Calibri"/>
                <w:b/>
                <w:bCs/>
              </w:rPr>
            </w:pPr>
          </w:p>
        </w:tc>
      </w:tr>
      <w:tr w:rsidR="000E78AE" w:rsidRPr="00CF7E1B" w14:paraId="12E120A4" w14:textId="77777777" w:rsidTr="005F5B4C">
        <w:trPr>
          <w:cantSplit/>
          <w:trHeight w:val="23"/>
        </w:trPr>
        <w:tc>
          <w:tcPr>
            <w:tcW w:w="737" w:type="pct"/>
            <w:tcBorders>
              <w:top w:val="nil"/>
              <w:left w:val="single" w:sz="2" w:space="0" w:color="auto"/>
              <w:bottom w:val="nil"/>
              <w:right w:val="single" w:sz="2" w:space="0" w:color="auto"/>
            </w:tcBorders>
          </w:tcPr>
          <w:p w14:paraId="4A67FFE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12D052C7" w14:textId="77777777" w:rsidR="000E78AE" w:rsidRPr="00EB525E" w:rsidRDefault="000E78AE" w:rsidP="009A0F2F">
            <w:pPr>
              <w:pStyle w:val="TableText"/>
              <w:tabs>
                <w:tab w:val="left" w:pos="3306"/>
              </w:tabs>
              <w:rPr>
                <w:rFonts w:cs="Calibri"/>
                <w:b/>
                <w:bCs/>
              </w:rPr>
            </w:pPr>
            <w:r w:rsidRPr="00EB525E">
              <w:rPr>
                <w:rFonts w:cs="Calibri"/>
                <w:b/>
                <w:bCs/>
              </w:rPr>
              <w:t>Net Cash Inflows from Operating Activities</w:t>
            </w:r>
          </w:p>
        </w:tc>
        <w:tc>
          <w:tcPr>
            <w:tcW w:w="577" w:type="pct"/>
            <w:tcBorders>
              <w:top w:val="single" w:sz="2" w:space="0" w:color="auto"/>
              <w:left w:val="nil"/>
              <w:bottom w:val="double" w:sz="4" w:space="0" w:color="auto"/>
              <w:right w:val="nil"/>
            </w:tcBorders>
            <w:vAlign w:val="bottom"/>
          </w:tcPr>
          <w:p w14:paraId="5D046652" w14:textId="77777777" w:rsidR="000E78AE" w:rsidRPr="00EB525E" w:rsidRDefault="000E78AE" w:rsidP="009A0F2F">
            <w:pPr>
              <w:pStyle w:val="TableText"/>
              <w:tabs>
                <w:tab w:val="left" w:pos="3306"/>
              </w:tabs>
              <w:jc w:val="right"/>
              <w:rPr>
                <w:rFonts w:cs="Calibri"/>
                <w:b/>
                <w:bCs/>
              </w:rPr>
            </w:pPr>
          </w:p>
        </w:tc>
        <w:tc>
          <w:tcPr>
            <w:tcW w:w="739" w:type="pct"/>
            <w:tcBorders>
              <w:top w:val="single" w:sz="2" w:space="0" w:color="auto"/>
              <w:left w:val="nil"/>
              <w:bottom w:val="double" w:sz="4" w:space="0" w:color="auto"/>
              <w:right w:val="nil"/>
            </w:tcBorders>
            <w:vAlign w:val="bottom"/>
          </w:tcPr>
          <w:p w14:paraId="0CD64351" w14:textId="77777777" w:rsidR="000E78AE" w:rsidRPr="00EB525E" w:rsidRDefault="000E78AE" w:rsidP="009A0F2F">
            <w:pPr>
              <w:pStyle w:val="TableText"/>
              <w:tabs>
                <w:tab w:val="left" w:pos="3306"/>
              </w:tabs>
              <w:jc w:val="right"/>
              <w:rPr>
                <w:rFonts w:cs="Calibri"/>
                <w:b/>
                <w:bCs/>
              </w:rPr>
            </w:pPr>
          </w:p>
        </w:tc>
      </w:tr>
    </w:tbl>
    <w:p w14:paraId="5BFE50FF"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362"/>
        <w:gridCol w:w="1361"/>
        <w:gridCol w:w="1524"/>
        <w:gridCol w:w="1501"/>
        <w:gridCol w:w="1220"/>
      </w:tblGrid>
      <w:tr w:rsidR="001A0130" w:rsidRPr="00CF7E1B" w14:paraId="45A2D633" w14:textId="77777777" w:rsidTr="005F5B4C">
        <w:trPr>
          <w:trHeight w:val="23"/>
        </w:trPr>
        <w:tc>
          <w:tcPr>
            <w:tcW w:w="737" w:type="pct"/>
            <w:tcBorders>
              <w:top w:val="nil"/>
              <w:left w:val="single" w:sz="2" w:space="0" w:color="auto"/>
              <w:bottom w:val="nil"/>
              <w:right w:val="single" w:sz="2" w:space="0" w:color="auto"/>
            </w:tcBorders>
          </w:tcPr>
          <w:p w14:paraId="2D2AEFB6" w14:textId="6D4A71D8" w:rsidR="001A0130" w:rsidRPr="001A0130" w:rsidRDefault="001A0130" w:rsidP="001A0130">
            <w:pPr>
              <w:pStyle w:val="TableReference"/>
              <w:tabs>
                <w:tab w:val="left" w:pos="3306"/>
              </w:tabs>
              <w:spacing w:before="240" w:after="240"/>
              <w:rPr>
                <w:rFonts w:cs="Calibri"/>
                <w:color w:val="7030A0"/>
                <w:sz w:val="14"/>
              </w:rPr>
            </w:pPr>
            <w:r w:rsidRPr="001A0130">
              <w:rPr>
                <w:rFonts w:cs="Calibri"/>
                <w:b/>
                <w:bCs/>
                <w:color w:val="7030A0"/>
                <w:sz w:val="22"/>
                <w:szCs w:val="22"/>
              </w:rPr>
              <w:t>Reference</w:t>
            </w:r>
          </w:p>
        </w:tc>
        <w:tc>
          <w:tcPr>
            <w:tcW w:w="4263" w:type="pct"/>
            <w:gridSpan w:val="5"/>
            <w:tcBorders>
              <w:top w:val="nil"/>
              <w:left w:val="single" w:sz="2" w:space="0" w:color="auto"/>
              <w:bottom w:val="nil"/>
              <w:right w:val="nil"/>
            </w:tcBorders>
          </w:tcPr>
          <w:p w14:paraId="720BB16F" w14:textId="2634A222" w:rsidR="001A0130" w:rsidRPr="001A0130" w:rsidRDefault="001A0130" w:rsidP="001A0130">
            <w:pPr>
              <w:pStyle w:val="TableText"/>
              <w:tabs>
                <w:tab w:val="left" w:pos="3306"/>
              </w:tabs>
              <w:spacing w:before="240" w:after="240"/>
              <w:rPr>
                <w:rFonts w:ascii="Arial" w:hAnsi="Arial"/>
                <w:b/>
                <w:bCs/>
                <w:caps/>
                <w:sz w:val="32"/>
                <w:szCs w:val="24"/>
              </w:rPr>
            </w:pPr>
            <w:r w:rsidRPr="001A0130">
              <w:rPr>
                <w:rFonts w:ascii="Arial" w:hAnsi="Arial"/>
                <w:b/>
                <w:bCs/>
                <w:caps/>
                <w:sz w:val="32"/>
                <w:szCs w:val="24"/>
              </w:rPr>
              <w:t>Note 15.</w:t>
            </w:r>
            <w:r w:rsidR="00FA7C77">
              <w:rPr>
                <w:rFonts w:ascii="Arial" w:hAnsi="Arial"/>
                <w:b/>
                <w:bCs/>
                <w:caps/>
                <w:sz w:val="32"/>
                <w:szCs w:val="24"/>
              </w:rPr>
              <w:t xml:space="preserve"> </w:t>
            </w:r>
            <w:r w:rsidRPr="001A0130">
              <w:rPr>
                <w:rFonts w:ascii="Arial" w:hAnsi="Arial"/>
                <w:b/>
                <w:bCs/>
                <w:caps/>
                <w:sz w:val="32"/>
                <w:szCs w:val="24"/>
              </w:rPr>
              <w:t xml:space="preserve"> Cash and Investments </w:t>
            </w:r>
            <w:r w:rsidR="00B81B19">
              <w:rPr>
                <w:rFonts w:ascii="Arial" w:hAnsi="Arial"/>
                <w:b/>
                <w:bCs/>
                <w:caps/>
                <w:sz w:val="32"/>
                <w:szCs w:val="24"/>
              </w:rPr>
              <w:t>–</w:t>
            </w:r>
            <w:r w:rsidRPr="001A0130">
              <w:rPr>
                <w:rFonts w:ascii="Arial" w:hAnsi="Arial"/>
                <w:b/>
                <w:bCs/>
                <w:caps/>
                <w:sz w:val="32"/>
                <w:szCs w:val="24"/>
              </w:rPr>
              <w:t xml:space="preserve"> Continued</w:t>
            </w:r>
            <w:r w:rsidR="00B81B19">
              <w:rPr>
                <w:rFonts w:ascii="Arial" w:hAnsi="Arial"/>
                <w:b/>
                <w:bCs/>
                <w:caps/>
                <w:sz w:val="32"/>
                <w:szCs w:val="24"/>
              </w:rPr>
              <w:t xml:space="preserve"> </w:t>
            </w:r>
          </w:p>
        </w:tc>
      </w:tr>
      <w:tr w:rsidR="003A2704" w:rsidRPr="00BA0DF6" w14:paraId="3FBB565C" w14:textId="77777777" w:rsidTr="005F5B4C">
        <w:trPr>
          <w:trHeight w:val="480"/>
        </w:trPr>
        <w:tc>
          <w:tcPr>
            <w:tcW w:w="737" w:type="pct"/>
            <w:tcBorders>
              <w:top w:val="nil"/>
              <w:left w:val="single" w:sz="2" w:space="0" w:color="auto"/>
              <w:bottom w:val="nil"/>
              <w:right w:val="single" w:sz="2" w:space="0" w:color="auto"/>
            </w:tcBorders>
          </w:tcPr>
          <w:p w14:paraId="2ABFEB62" w14:textId="77777777" w:rsidR="003A2704" w:rsidRPr="00EB525E" w:rsidRDefault="003A2704" w:rsidP="003C4C52">
            <w:pPr>
              <w:pStyle w:val="TableReference"/>
              <w:tabs>
                <w:tab w:val="left" w:pos="3306"/>
              </w:tabs>
              <w:rPr>
                <w:rFonts w:cs="Calibri"/>
                <w:color w:val="7030A0"/>
                <w:sz w:val="14"/>
              </w:rPr>
            </w:pPr>
          </w:p>
        </w:tc>
        <w:tc>
          <w:tcPr>
            <w:tcW w:w="2947" w:type="pct"/>
            <w:gridSpan w:val="3"/>
            <w:tcBorders>
              <w:top w:val="nil"/>
              <w:left w:val="single" w:sz="2" w:space="0" w:color="auto"/>
              <w:bottom w:val="nil"/>
              <w:right w:val="nil"/>
            </w:tcBorders>
            <w:vAlign w:val="bottom"/>
          </w:tcPr>
          <w:p w14:paraId="1FB5DFE7" w14:textId="77777777" w:rsidR="003A2704" w:rsidRPr="00EB525E" w:rsidRDefault="003A2704" w:rsidP="003C4C52">
            <w:pPr>
              <w:pStyle w:val="TableText"/>
              <w:tabs>
                <w:tab w:val="left" w:pos="3306"/>
              </w:tabs>
              <w:spacing w:before="0"/>
              <w:rPr>
                <w:rFonts w:cs="Calibri"/>
              </w:rPr>
            </w:pPr>
          </w:p>
        </w:tc>
        <w:tc>
          <w:tcPr>
            <w:tcW w:w="716" w:type="pct"/>
            <w:tcBorders>
              <w:top w:val="nil"/>
              <w:left w:val="nil"/>
              <w:bottom w:val="nil"/>
              <w:right w:val="nil"/>
            </w:tcBorders>
            <w:vAlign w:val="bottom"/>
          </w:tcPr>
          <w:p w14:paraId="1F5B5778" w14:textId="27336C92" w:rsidR="003A2704" w:rsidRDefault="003A2704" w:rsidP="003C4C52">
            <w:pPr>
              <w:pStyle w:val="TableTitle"/>
              <w:tabs>
                <w:tab w:val="left" w:pos="3306"/>
              </w:tabs>
              <w:rPr>
                <w:rFonts w:cs="Calibri"/>
              </w:rPr>
            </w:pPr>
            <w:r w:rsidRPr="00EB525E">
              <w:rPr>
                <w:rFonts w:cs="Calibri"/>
              </w:rPr>
              <w:t>202</w:t>
            </w:r>
            <w:r w:rsidR="00F305E9">
              <w:rPr>
                <w:rFonts w:cs="Calibri"/>
              </w:rPr>
              <w:t>3</w:t>
            </w:r>
            <w:r>
              <w:rPr>
                <w:rFonts w:cs="Calibri"/>
              </w:rPr>
              <w:t xml:space="preserve">    </w:t>
            </w:r>
          </w:p>
          <w:p w14:paraId="0E375310" w14:textId="77777777" w:rsidR="003A2704" w:rsidRPr="00EB525E" w:rsidRDefault="003A2704" w:rsidP="003C4C52">
            <w:pPr>
              <w:pStyle w:val="TableTitle"/>
              <w:tabs>
                <w:tab w:val="left" w:pos="3306"/>
              </w:tabs>
              <w:rPr>
                <w:rFonts w:cs="Calibri"/>
              </w:rPr>
            </w:pPr>
            <w:r>
              <w:rPr>
                <w:rFonts w:cs="Calibri"/>
              </w:rPr>
              <w:t xml:space="preserve"> </w:t>
            </w:r>
            <w:r w:rsidRPr="00EB525E">
              <w:rPr>
                <w:rFonts w:cs="Calibri"/>
              </w:rPr>
              <w:t>$’000</w:t>
            </w:r>
          </w:p>
        </w:tc>
        <w:tc>
          <w:tcPr>
            <w:tcW w:w="600" w:type="pct"/>
            <w:tcBorders>
              <w:top w:val="nil"/>
              <w:left w:val="nil"/>
              <w:bottom w:val="nil"/>
              <w:right w:val="nil"/>
            </w:tcBorders>
            <w:vAlign w:val="bottom"/>
          </w:tcPr>
          <w:p w14:paraId="7B7A56B0" w14:textId="6E8FBDE9" w:rsidR="003A2704" w:rsidRPr="00EB525E" w:rsidRDefault="003A2704" w:rsidP="003C4C52">
            <w:pPr>
              <w:pStyle w:val="TableTitle"/>
              <w:tabs>
                <w:tab w:val="left" w:pos="3306"/>
              </w:tabs>
              <w:rPr>
                <w:rFonts w:cs="Calibri"/>
              </w:rPr>
            </w:pPr>
            <w:r w:rsidRPr="00EB525E">
              <w:rPr>
                <w:rFonts w:cs="Calibri"/>
              </w:rPr>
              <w:t>202</w:t>
            </w:r>
            <w:r w:rsidR="00F305E9">
              <w:rPr>
                <w:rFonts w:cs="Calibri"/>
              </w:rPr>
              <w:t>2</w:t>
            </w:r>
          </w:p>
          <w:p w14:paraId="1F5CA1E3" w14:textId="77777777" w:rsidR="003A2704" w:rsidRPr="00EB525E" w:rsidRDefault="003A2704" w:rsidP="003C4C52">
            <w:pPr>
              <w:pStyle w:val="TableTitle"/>
              <w:tabs>
                <w:tab w:val="left" w:pos="3306"/>
              </w:tabs>
              <w:rPr>
                <w:rFonts w:cs="Calibri"/>
              </w:rPr>
            </w:pPr>
            <w:r w:rsidRPr="00EB525E">
              <w:rPr>
                <w:rFonts w:cs="Calibri"/>
              </w:rPr>
              <w:t>$’000</w:t>
            </w:r>
          </w:p>
        </w:tc>
      </w:tr>
      <w:tr w:rsidR="001A0130" w:rsidRPr="00CF7E1B" w14:paraId="77480912" w14:textId="77777777" w:rsidTr="005F5B4C">
        <w:trPr>
          <w:trHeight w:val="23"/>
        </w:trPr>
        <w:tc>
          <w:tcPr>
            <w:tcW w:w="737" w:type="pct"/>
            <w:tcBorders>
              <w:top w:val="nil"/>
              <w:left w:val="single" w:sz="2" w:space="0" w:color="auto"/>
              <w:bottom w:val="nil"/>
              <w:right w:val="single" w:sz="2" w:space="0" w:color="auto"/>
            </w:tcBorders>
          </w:tcPr>
          <w:p w14:paraId="3B0CD95C" w14:textId="7777777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107.44(a)</w:t>
            </w:r>
          </w:p>
        </w:tc>
        <w:tc>
          <w:tcPr>
            <w:tcW w:w="2947" w:type="pct"/>
            <w:gridSpan w:val="3"/>
            <w:tcBorders>
              <w:top w:val="nil"/>
              <w:left w:val="single" w:sz="2" w:space="0" w:color="auto"/>
              <w:bottom w:val="nil"/>
              <w:right w:val="nil"/>
            </w:tcBorders>
            <w:vAlign w:val="bottom"/>
          </w:tcPr>
          <w:p w14:paraId="76FB7377" w14:textId="6EA78C7A" w:rsidR="001A0130" w:rsidRPr="00327BF3" w:rsidRDefault="001A0130" w:rsidP="001A0130">
            <w:pPr>
              <w:pStyle w:val="TableText"/>
              <w:tabs>
                <w:tab w:val="left" w:pos="3306"/>
              </w:tabs>
              <w:spacing w:before="0" w:after="120"/>
              <w:rPr>
                <w:rFonts w:cs="Calibri"/>
                <w:b/>
                <w:bCs/>
              </w:rPr>
            </w:pPr>
            <w:r w:rsidRPr="00327BF3">
              <w:rPr>
                <w:rFonts w:cs="Calibri"/>
                <w:b/>
                <w:bCs/>
              </w:rPr>
              <w:t>(d) Non-Cash Financing and Investing Activities</w:t>
            </w:r>
          </w:p>
        </w:tc>
        <w:tc>
          <w:tcPr>
            <w:tcW w:w="716" w:type="pct"/>
            <w:tcBorders>
              <w:top w:val="nil"/>
              <w:left w:val="nil"/>
              <w:bottom w:val="nil"/>
              <w:right w:val="nil"/>
            </w:tcBorders>
            <w:vAlign w:val="bottom"/>
          </w:tcPr>
          <w:p w14:paraId="278987C1" w14:textId="77777777" w:rsidR="001A0130" w:rsidRPr="00327BF3" w:rsidRDefault="001A0130" w:rsidP="001A0130">
            <w:pPr>
              <w:pStyle w:val="TableText"/>
              <w:tabs>
                <w:tab w:val="left" w:pos="3306"/>
              </w:tabs>
              <w:jc w:val="right"/>
              <w:rPr>
                <w:rFonts w:cs="Calibri"/>
              </w:rPr>
            </w:pPr>
          </w:p>
        </w:tc>
        <w:tc>
          <w:tcPr>
            <w:tcW w:w="600" w:type="pct"/>
            <w:tcBorders>
              <w:top w:val="nil"/>
              <w:left w:val="nil"/>
              <w:bottom w:val="nil"/>
              <w:right w:val="nil"/>
            </w:tcBorders>
            <w:vAlign w:val="bottom"/>
          </w:tcPr>
          <w:p w14:paraId="6229C3C3" w14:textId="77777777" w:rsidR="001A0130" w:rsidRPr="00327BF3" w:rsidRDefault="001A0130" w:rsidP="001A0130">
            <w:pPr>
              <w:pStyle w:val="TableText"/>
              <w:tabs>
                <w:tab w:val="left" w:pos="3306"/>
              </w:tabs>
              <w:jc w:val="right"/>
              <w:rPr>
                <w:rFonts w:cs="Calibri"/>
              </w:rPr>
            </w:pPr>
          </w:p>
        </w:tc>
      </w:tr>
      <w:tr w:rsidR="001A0130" w:rsidRPr="00CF7E1B" w14:paraId="1F7AE518" w14:textId="77777777" w:rsidTr="005F5B4C">
        <w:trPr>
          <w:trHeight w:val="23"/>
        </w:trPr>
        <w:tc>
          <w:tcPr>
            <w:tcW w:w="737" w:type="pct"/>
            <w:tcBorders>
              <w:top w:val="nil"/>
              <w:left w:val="single" w:sz="2" w:space="0" w:color="auto"/>
              <w:bottom w:val="nil"/>
              <w:right w:val="single" w:sz="2" w:space="0" w:color="auto"/>
            </w:tcBorders>
          </w:tcPr>
          <w:p w14:paraId="2190F3B3" w14:textId="77777777" w:rsidR="001A0130" w:rsidRPr="001A0130" w:rsidRDefault="001A0130" w:rsidP="001A0130">
            <w:pPr>
              <w:pStyle w:val="TableReference"/>
              <w:tabs>
                <w:tab w:val="left" w:pos="3306"/>
              </w:tabs>
              <w:spacing w:before="40"/>
              <w:rPr>
                <w:rFonts w:cs="Calibri"/>
                <w:color w:val="7030A0"/>
                <w:sz w:val="14"/>
              </w:rPr>
            </w:pPr>
          </w:p>
        </w:tc>
        <w:tc>
          <w:tcPr>
            <w:tcW w:w="2947" w:type="pct"/>
            <w:gridSpan w:val="3"/>
            <w:tcBorders>
              <w:top w:val="nil"/>
              <w:left w:val="single" w:sz="2" w:space="0" w:color="auto"/>
              <w:bottom w:val="nil"/>
              <w:right w:val="nil"/>
            </w:tcBorders>
            <w:vAlign w:val="bottom"/>
          </w:tcPr>
          <w:p w14:paraId="50E1CCC1" w14:textId="77777777" w:rsidR="001A0130" w:rsidRPr="00327BF3" w:rsidRDefault="001A0130" w:rsidP="001A0130">
            <w:pPr>
              <w:pStyle w:val="TableText"/>
              <w:tabs>
                <w:tab w:val="left" w:pos="3306"/>
              </w:tabs>
              <w:spacing w:before="0" w:after="120"/>
              <w:rPr>
                <w:rFonts w:cs="Calibri"/>
              </w:rPr>
            </w:pPr>
            <w:r w:rsidRPr="006A25E9">
              <w:rPr>
                <w:rFonts w:cs="Calibri"/>
              </w:rPr>
              <w:t>Acquisition of Assets by Assuming Liabilities or by Means of a Lease</w:t>
            </w:r>
          </w:p>
        </w:tc>
        <w:tc>
          <w:tcPr>
            <w:tcW w:w="716" w:type="pct"/>
            <w:tcBorders>
              <w:top w:val="nil"/>
              <w:left w:val="nil"/>
              <w:bottom w:val="nil"/>
              <w:right w:val="nil"/>
            </w:tcBorders>
            <w:vAlign w:val="bottom"/>
          </w:tcPr>
          <w:p w14:paraId="0178E0D5" w14:textId="77777777" w:rsidR="001A0130" w:rsidRPr="00327BF3" w:rsidRDefault="001A0130" w:rsidP="001A013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15560141" w14:textId="77777777" w:rsidR="001A0130" w:rsidRPr="00327BF3" w:rsidRDefault="001A0130" w:rsidP="001A0130">
            <w:pPr>
              <w:pStyle w:val="TableText"/>
              <w:tabs>
                <w:tab w:val="left" w:pos="3306"/>
              </w:tabs>
              <w:spacing w:before="0" w:after="120"/>
              <w:jc w:val="right"/>
              <w:rPr>
                <w:rFonts w:cs="Calibri"/>
              </w:rPr>
            </w:pPr>
          </w:p>
        </w:tc>
      </w:tr>
      <w:tr w:rsidR="00676AA9" w:rsidRPr="00CF7E1B" w14:paraId="3699C7A2" w14:textId="77777777" w:rsidTr="005F5B4C">
        <w:trPr>
          <w:trHeight w:val="23"/>
        </w:trPr>
        <w:tc>
          <w:tcPr>
            <w:tcW w:w="737" w:type="pct"/>
            <w:tcBorders>
              <w:top w:val="nil"/>
              <w:left w:val="single" w:sz="2" w:space="0" w:color="auto"/>
              <w:bottom w:val="nil"/>
              <w:right w:val="single" w:sz="2" w:space="0" w:color="auto"/>
            </w:tcBorders>
          </w:tcPr>
          <w:p w14:paraId="4A9F4315" w14:textId="77777777" w:rsidR="00676AA9" w:rsidRPr="001A0130" w:rsidRDefault="00676AA9" w:rsidP="001A0130">
            <w:pPr>
              <w:pStyle w:val="TableReference"/>
              <w:tabs>
                <w:tab w:val="left" w:pos="3306"/>
              </w:tabs>
              <w:spacing w:before="40"/>
              <w:rPr>
                <w:rFonts w:cs="Calibri"/>
                <w:color w:val="7030A0"/>
                <w:sz w:val="14"/>
              </w:rPr>
            </w:pPr>
          </w:p>
        </w:tc>
        <w:tc>
          <w:tcPr>
            <w:tcW w:w="2947" w:type="pct"/>
            <w:gridSpan w:val="3"/>
            <w:tcBorders>
              <w:top w:val="nil"/>
              <w:left w:val="single" w:sz="2" w:space="0" w:color="auto"/>
              <w:bottom w:val="nil"/>
              <w:right w:val="nil"/>
            </w:tcBorders>
            <w:vAlign w:val="bottom"/>
          </w:tcPr>
          <w:p w14:paraId="5ADD6C7F" w14:textId="77777777" w:rsidR="00676AA9" w:rsidRPr="006A25E9" w:rsidRDefault="00676AA9" w:rsidP="001A0130">
            <w:pPr>
              <w:pStyle w:val="TableText"/>
              <w:tabs>
                <w:tab w:val="left" w:pos="3306"/>
              </w:tabs>
              <w:spacing w:before="0" w:after="120"/>
              <w:rPr>
                <w:rFonts w:cs="Calibri"/>
              </w:rPr>
            </w:pPr>
          </w:p>
        </w:tc>
        <w:tc>
          <w:tcPr>
            <w:tcW w:w="716" w:type="pct"/>
            <w:tcBorders>
              <w:top w:val="nil"/>
              <w:left w:val="nil"/>
              <w:bottom w:val="nil"/>
              <w:right w:val="nil"/>
            </w:tcBorders>
            <w:vAlign w:val="bottom"/>
          </w:tcPr>
          <w:p w14:paraId="7B98253E" w14:textId="77777777" w:rsidR="00676AA9" w:rsidRPr="00327BF3" w:rsidRDefault="00676AA9" w:rsidP="001A013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16D9A4F3" w14:textId="77777777" w:rsidR="00676AA9" w:rsidRPr="00327BF3" w:rsidRDefault="00676AA9" w:rsidP="001A0130">
            <w:pPr>
              <w:pStyle w:val="TableText"/>
              <w:tabs>
                <w:tab w:val="left" w:pos="3306"/>
              </w:tabs>
              <w:spacing w:before="0" w:after="120"/>
              <w:jc w:val="right"/>
              <w:rPr>
                <w:rFonts w:cs="Calibri"/>
              </w:rPr>
            </w:pPr>
          </w:p>
        </w:tc>
      </w:tr>
      <w:tr w:rsidR="001A0130" w:rsidRPr="00416D13" w14:paraId="6946E67A" w14:textId="77777777" w:rsidTr="005F5B4C">
        <w:trPr>
          <w:trHeight w:val="23"/>
        </w:trPr>
        <w:tc>
          <w:tcPr>
            <w:tcW w:w="737" w:type="pct"/>
            <w:tcBorders>
              <w:top w:val="nil"/>
              <w:left w:val="single" w:sz="2" w:space="0" w:color="auto"/>
              <w:bottom w:val="nil"/>
              <w:right w:val="single" w:sz="2" w:space="0" w:color="auto"/>
            </w:tcBorders>
          </w:tcPr>
          <w:p w14:paraId="48B39DD3"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107.44-44E</w:t>
            </w:r>
          </w:p>
        </w:tc>
        <w:tc>
          <w:tcPr>
            <w:tcW w:w="4263" w:type="pct"/>
            <w:gridSpan w:val="5"/>
            <w:tcBorders>
              <w:top w:val="nil"/>
              <w:left w:val="single" w:sz="2" w:space="0" w:color="auto"/>
              <w:bottom w:val="nil"/>
              <w:right w:val="nil"/>
            </w:tcBorders>
            <w:vAlign w:val="bottom"/>
          </w:tcPr>
          <w:p w14:paraId="2DBA9084" w14:textId="711E99DC" w:rsidR="001A0130" w:rsidRPr="00327BF3" w:rsidRDefault="001A0130" w:rsidP="001A0130">
            <w:pPr>
              <w:pStyle w:val="TableText"/>
              <w:spacing w:before="0"/>
              <w:ind w:left="290" w:hanging="284"/>
              <w:jc w:val="both"/>
              <w:rPr>
                <w:rFonts w:cs="Calibri"/>
                <w:b/>
              </w:rPr>
            </w:pPr>
            <w:r w:rsidRPr="00327BF3">
              <w:rPr>
                <w:rFonts w:cs="Calibri"/>
                <w:b/>
              </w:rPr>
              <w:t>(e)</w:t>
            </w:r>
            <w:r w:rsidRPr="00327BF3">
              <w:rPr>
                <w:rFonts w:cs="Calibri"/>
                <w:b/>
              </w:rPr>
              <w:tab/>
              <w:t xml:space="preserve">Reconciliation of </w:t>
            </w:r>
            <w:r w:rsidR="009758DC">
              <w:rPr>
                <w:rFonts w:cs="Calibri"/>
                <w:b/>
              </w:rPr>
              <w:t>L</w:t>
            </w:r>
            <w:r w:rsidRPr="00327BF3">
              <w:rPr>
                <w:rFonts w:cs="Calibri"/>
                <w:b/>
              </w:rPr>
              <w:t xml:space="preserve">iabilities </w:t>
            </w:r>
            <w:r w:rsidR="009758DC">
              <w:rPr>
                <w:rFonts w:cs="Calibri"/>
                <w:b/>
              </w:rPr>
              <w:t>A</w:t>
            </w:r>
            <w:r w:rsidRPr="00327BF3">
              <w:rPr>
                <w:rFonts w:cs="Calibri"/>
                <w:b/>
              </w:rPr>
              <w:t xml:space="preserve">rising from </w:t>
            </w:r>
            <w:r w:rsidR="009758DC">
              <w:rPr>
                <w:rFonts w:cs="Calibri"/>
                <w:b/>
              </w:rPr>
              <w:t>F</w:t>
            </w:r>
            <w:r w:rsidRPr="00327BF3">
              <w:rPr>
                <w:rFonts w:cs="Calibri"/>
                <w:b/>
              </w:rPr>
              <w:t xml:space="preserve">inancing </w:t>
            </w:r>
            <w:r w:rsidR="009758DC">
              <w:rPr>
                <w:rFonts w:cs="Calibri"/>
                <w:b/>
              </w:rPr>
              <w:t>A</w:t>
            </w:r>
            <w:r w:rsidRPr="00327BF3">
              <w:rPr>
                <w:rFonts w:cs="Calibri"/>
                <w:b/>
              </w:rPr>
              <w:t>ctivities.</w:t>
            </w:r>
            <w:r w:rsidR="00FA7C77">
              <w:rPr>
                <w:rFonts w:cs="Calibri"/>
                <w:b/>
              </w:rPr>
              <w:t xml:space="preserve"> </w:t>
            </w:r>
          </w:p>
        </w:tc>
      </w:tr>
      <w:tr w:rsidR="001A0130" w:rsidRPr="00AD2D89" w14:paraId="03A0A8AC" w14:textId="77777777" w:rsidTr="005F5B4C">
        <w:trPr>
          <w:trHeight w:val="23"/>
        </w:trPr>
        <w:tc>
          <w:tcPr>
            <w:tcW w:w="737" w:type="pct"/>
            <w:tcBorders>
              <w:top w:val="nil"/>
              <w:left w:val="single" w:sz="2" w:space="0" w:color="auto"/>
              <w:bottom w:val="nil"/>
              <w:right w:val="single" w:sz="2" w:space="0" w:color="auto"/>
            </w:tcBorders>
          </w:tcPr>
          <w:p w14:paraId="6004BDF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0F7CEC6"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2DC43DF3" w14:textId="33D705F5" w:rsidR="001A0130" w:rsidRPr="00CC6D1B" w:rsidRDefault="001A0130" w:rsidP="001A0130">
            <w:pPr>
              <w:pStyle w:val="TableText"/>
              <w:spacing w:before="0"/>
              <w:ind w:left="290" w:hanging="284"/>
              <w:jc w:val="right"/>
              <w:rPr>
                <w:rFonts w:cs="Calibri"/>
                <w:b/>
                <w:strike/>
              </w:rPr>
            </w:pPr>
            <w:r w:rsidRPr="008A6781">
              <w:rPr>
                <w:rFonts w:cs="Calibri"/>
                <w:b/>
                <w:strike/>
                <w:color w:val="FF0000"/>
              </w:rPr>
              <w:t>Interest Bearing Liabilities</w:t>
            </w:r>
            <w:r w:rsidR="00CC6D1B" w:rsidRPr="008A6781">
              <w:rPr>
                <w:rFonts w:cs="Calibri"/>
                <w:b/>
                <w:strike/>
                <w:color w:val="FF0000"/>
              </w:rPr>
              <w:t xml:space="preserve"> </w:t>
            </w:r>
            <w:r w:rsidR="00CC6D1B" w:rsidRPr="008A6781">
              <w:rPr>
                <w:rFonts w:cs="Calibri"/>
                <w:b/>
                <w:color w:val="FF0000"/>
              </w:rPr>
              <w:t>Borrowings</w:t>
            </w:r>
          </w:p>
        </w:tc>
        <w:tc>
          <w:tcPr>
            <w:tcW w:w="736" w:type="pct"/>
            <w:tcBorders>
              <w:top w:val="nil"/>
              <w:left w:val="nil"/>
              <w:bottom w:val="nil"/>
              <w:right w:val="nil"/>
            </w:tcBorders>
            <w:vAlign w:val="bottom"/>
          </w:tcPr>
          <w:p w14:paraId="5C8959B5" w14:textId="25FBE772" w:rsidR="001A0130" w:rsidRPr="00327BF3" w:rsidRDefault="001A0130" w:rsidP="001A0130">
            <w:pPr>
              <w:pStyle w:val="TableText"/>
              <w:spacing w:before="0"/>
              <w:ind w:left="290" w:hanging="284"/>
              <w:jc w:val="right"/>
              <w:rPr>
                <w:rFonts w:cs="Calibri"/>
                <w:b/>
              </w:rPr>
            </w:pPr>
            <w:r w:rsidRPr="00327BF3">
              <w:rPr>
                <w:rFonts w:cs="Calibri"/>
                <w:b/>
              </w:rPr>
              <w:t>Lease Liabilities</w:t>
            </w:r>
            <w:r w:rsidRPr="00327BF3">
              <w:rPr>
                <w:rFonts w:cs="Calibri"/>
                <w:bCs/>
              </w:rPr>
              <w:t xml:space="preserve"> </w:t>
            </w:r>
          </w:p>
        </w:tc>
        <w:tc>
          <w:tcPr>
            <w:tcW w:w="716" w:type="pct"/>
            <w:tcBorders>
              <w:top w:val="nil"/>
              <w:left w:val="nil"/>
              <w:bottom w:val="nil"/>
              <w:right w:val="nil"/>
            </w:tcBorders>
            <w:vAlign w:val="bottom"/>
          </w:tcPr>
          <w:p w14:paraId="1C436B11" w14:textId="77777777" w:rsidR="001A0130" w:rsidRPr="00327BF3" w:rsidRDefault="001A0130" w:rsidP="001A0130">
            <w:pPr>
              <w:pStyle w:val="TableText"/>
              <w:spacing w:before="0"/>
              <w:ind w:left="290" w:hanging="284"/>
              <w:jc w:val="right"/>
              <w:rPr>
                <w:rFonts w:cs="Calibri"/>
                <w:b/>
              </w:rPr>
            </w:pPr>
            <w:r w:rsidRPr="00327BF3">
              <w:rPr>
                <w:rFonts w:cs="Calibri"/>
                <w:b/>
              </w:rPr>
              <w:t>Service Concession Arrangement Financial Liability</w:t>
            </w:r>
          </w:p>
        </w:tc>
        <w:tc>
          <w:tcPr>
            <w:tcW w:w="600" w:type="pct"/>
            <w:tcBorders>
              <w:top w:val="nil"/>
              <w:left w:val="nil"/>
              <w:bottom w:val="nil"/>
              <w:right w:val="nil"/>
            </w:tcBorders>
            <w:vAlign w:val="bottom"/>
          </w:tcPr>
          <w:p w14:paraId="616F3DBF" w14:textId="77777777" w:rsidR="001A0130" w:rsidRPr="00327BF3" w:rsidRDefault="001A0130" w:rsidP="001A0130">
            <w:pPr>
              <w:pStyle w:val="TableText"/>
              <w:spacing w:before="0"/>
              <w:ind w:left="290" w:hanging="284"/>
              <w:jc w:val="right"/>
              <w:rPr>
                <w:rFonts w:cs="Calibri"/>
                <w:b/>
              </w:rPr>
            </w:pPr>
            <w:r w:rsidRPr="00327BF3">
              <w:rPr>
                <w:rFonts w:cs="Calibri"/>
                <w:b/>
              </w:rPr>
              <w:t>Provision for Dividend</w:t>
            </w:r>
          </w:p>
        </w:tc>
      </w:tr>
      <w:tr w:rsidR="001A0130" w:rsidRPr="00303035" w14:paraId="4B5083D9" w14:textId="77777777" w:rsidTr="005F5B4C">
        <w:trPr>
          <w:trHeight w:val="23"/>
        </w:trPr>
        <w:tc>
          <w:tcPr>
            <w:tcW w:w="737" w:type="pct"/>
            <w:tcBorders>
              <w:top w:val="nil"/>
              <w:left w:val="single" w:sz="2" w:space="0" w:color="auto"/>
              <w:bottom w:val="nil"/>
              <w:right w:val="single" w:sz="2" w:space="0" w:color="auto"/>
            </w:tcBorders>
          </w:tcPr>
          <w:p w14:paraId="457391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DA65102"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707EA82B"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736" w:type="pct"/>
            <w:tcBorders>
              <w:top w:val="nil"/>
              <w:left w:val="nil"/>
              <w:bottom w:val="nil"/>
              <w:right w:val="nil"/>
            </w:tcBorders>
            <w:vAlign w:val="bottom"/>
          </w:tcPr>
          <w:p w14:paraId="46066FEF" w14:textId="77777777" w:rsidR="001A0130" w:rsidRPr="00327BF3" w:rsidRDefault="001A0130" w:rsidP="001A0130">
            <w:pPr>
              <w:pStyle w:val="TableText"/>
              <w:spacing w:before="0"/>
              <w:ind w:left="290" w:hanging="284"/>
              <w:jc w:val="right"/>
              <w:rPr>
                <w:rFonts w:cs="Calibri"/>
                <w:bCs/>
                <w:strike/>
              </w:rPr>
            </w:pPr>
            <w:r w:rsidRPr="00327BF3">
              <w:rPr>
                <w:rFonts w:cs="Calibri"/>
                <w:b/>
                <w:bCs/>
              </w:rPr>
              <w:t>$’000</w:t>
            </w:r>
          </w:p>
        </w:tc>
        <w:tc>
          <w:tcPr>
            <w:tcW w:w="716" w:type="pct"/>
            <w:tcBorders>
              <w:top w:val="nil"/>
              <w:left w:val="nil"/>
              <w:bottom w:val="nil"/>
              <w:right w:val="nil"/>
            </w:tcBorders>
            <w:vAlign w:val="bottom"/>
          </w:tcPr>
          <w:p w14:paraId="0000F679"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600" w:type="pct"/>
            <w:tcBorders>
              <w:top w:val="nil"/>
              <w:left w:val="nil"/>
              <w:bottom w:val="nil"/>
              <w:right w:val="nil"/>
            </w:tcBorders>
            <w:vAlign w:val="bottom"/>
          </w:tcPr>
          <w:p w14:paraId="3FFC40D8"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r>
      <w:tr w:rsidR="001A0130" w:rsidRPr="00303035" w14:paraId="502646B4" w14:textId="77777777" w:rsidTr="005F5B4C">
        <w:trPr>
          <w:trHeight w:val="23"/>
        </w:trPr>
        <w:tc>
          <w:tcPr>
            <w:tcW w:w="737" w:type="pct"/>
            <w:tcBorders>
              <w:top w:val="nil"/>
              <w:left w:val="single" w:sz="2" w:space="0" w:color="auto"/>
              <w:bottom w:val="nil"/>
              <w:right w:val="single" w:sz="2" w:space="0" w:color="auto"/>
            </w:tcBorders>
          </w:tcPr>
          <w:p w14:paraId="6ADEFA3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732F145" w14:textId="06DE52CB" w:rsidR="001A0130" w:rsidRPr="00327BF3" w:rsidRDefault="001A0130" w:rsidP="001A0130">
            <w:pPr>
              <w:pStyle w:val="TableText"/>
              <w:spacing w:before="120" w:after="60"/>
              <w:ind w:left="290" w:hanging="284"/>
              <w:jc w:val="both"/>
              <w:rPr>
                <w:rFonts w:cs="Calibri"/>
                <w:b/>
              </w:rPr>
            </w:pPr>
            <w:r w:rsidRPr="00327BF3">
              <w:rPr>
                <w:rFonts w:cs="Calibri"/>
                <w:b/>
              </w:rPr>
              <w:t>202</w:t>
            </w:r>
            <w:r w:rsidR="00F305E9">
              <w:rPr>
                <w:rFonts w:cs="Calibri"/>
                <w:b/>
              </w:rPr>
              <w:t>3</w:t>
            </w:r>
          </w:p>
        </w:tc>
        <w:tc>
          <w:tcPr>
            <w:tcW w:w="599" w:type="pct"/>
            <w:tcBorders>
              <w:top w:val="nil"/>
              <w:left w:val="nil"/>
              <w:bottom w:val="nil"/>
              <w:right w:val="nil"/>
            </w:tcBorders>
            <w:vAlign w:val="bottom"/>
          </w:tcPr>
          <w:p w14:paraId="485EA853" w14:textId="77777777" w:rsidR="001A0130" w:rsidRPr="00327BF3" w:rsidRDefault="001A0130" w:rsidP="001A0130">
            <w:pPr>
              <w:pStyle w:val="TableText"/>
              <w:spacing w:before="0"/>
              <w:ind w:left="290" w:hanging="284"/>
              <w:jc w:val="right"/>
              <w:rPr>
                <w:rFonts w:cs="Calibri"/>
                <w:b/>
                <w:bCs/>
              </w:rPr>
            </w:pPr>
          </w:p>
        </w:tc>
        <w:tc>
          <w:tcPr>
            <w:tcW w:w="736" w:type="pct"/>
            <w:tcBorders>
              <w:top w:val="nil"/>
              <w:left w:val="nil"/>
              <w:bottom w:val="nil"/>
              <w:right w:val="nil"/>
            </w:tcBorders>
            <w:vAlign w:val="bottom"/>
          </w:tcPr>
          <w:p w14:paraId="726C6432" w14:textId="77777777" w:rsidR="001A0130" w:rsidRPr="00327BF3" w:rsidRDefault="001A0130" w:rsidP="001A0130">
            <w:pPr>
              <w:pStyle w:val="TableText"/>
              <w:spacing w:before="0"/>
              <w:ind w:left="290" w:hanging="284"/>
              <w:jc w:val="right"/>
              <w:rPr>
                <w:rFonts w:cs="Calibri"/>
                <w:b/>
                <w:bCs/>
              </w:rPr>
            </w:pPr>
          </w:p>
        </w:tc>
        <w:tc>
          <w:tcPr>
            <w:tcW w:w="716" w:type="pct"/>
            <w:tcBorders>
              <w:top w:val="nil"/>
              <w:left w:val="nil"/>
              <w:bottom w:val="nil"/>
              <w:right w:val="nil"/>
            </w:tcBorders>
            <w:vAlign w:val="bottom"/>
          </w:tcPr>
          <w:p w14:paraId="434CCF85" w14:textId="77777777" w:rsidR="001A0130" w:rsidRPr="00327BF3" w:rsidRDefault="001A0130" w:rsidP="001A0130">
            <w:pPr>
              <w:pStyle w:val="TableText"/>
              <w:spacing w:before="0"/>
              <w:ind w:left="290" w:hanging="284"/>
              <w:jc w:val="right"/>
              <w:rPr>
                <w:rFonts w:cs="Calibri"/>
                <w:b/>
                <w:bCs/>
              </w:rPr>
            </w:pPr>
          </w:p>
        </w:tc>
        <w:tc>
          <w:tcPr>
            <w:tcW w:w="600" w:type="pct"/>
            <w:tcBorders>
              <w:top w:val="nil"/>
              <w:left w:val="nil"/>
              <w:bottom w:val="nil"/>
              <w:right w:val="nil"/>
            </w:tcBorders>
            <w:vAlign w:val="bottom"/>
          </w:tcPr>
          <w:p w14:paraId="74C1F6CF" w14:textId="77777777" w:rsidR="001A0130" w:rsidRPr="00327BF3" w:rsidRDefault="001A0130" w:rsidP="001A0130">
            <w:pPr>
              <w:pStyle w:val="TableText"/>
              <w:spacing w:before="0"/>
              <w:ind w:left="290" w:hanging="284"/>
              <w:jc w:val="right"/>
              <w:rPr>
                <w:rFonts w:cs="Calibri"/>
                <w:b/>
                <w:bCs/>
              </w:rPr>
            </w:pPr>
          </w:p>
        </w:tc>
      </w:tr>
      <w:tr w:rsidR="001A0130" w:rsidRPr="00416D13" w14:paraId="2BCF684F" w14:textId="77777777" w:rsidTr="005F5B4C">
        <w:trPr>
          <w:trHeight w:val="23"/>
        </w:trPr>
        <w:tc>
          <w:tcPr>
            <w:tcW w:w="737" w:type="pct"/>
            <w:tcBorders>
              <w:top w:val="nil"/>
              <w:left w:val="single" w:sz="2" w:space="0" w:color="auto"/>
              <w:bottom w:val="nil"/>
              <w:right w:val="single" w:sz="2" w:space="0" w:color="auto"/>
            </w:tcBorders>
          </w:tcPr>
          <w:p w14:paraId="677349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CDC379F" w14:textId="77777777" w:rsidR="001A0130" w:rsidRPr="00327BF3" w:rsidRDefault="001A0130" w:rsidP="001A0130">
            <w:pPr>
              <w:pStyle w:val="TableText"/>
              <w:spacing w:before="0"/>
              <w:ind w:left="290" w:hanging="284"/>
              <w:rPr>
                <w:rFonts w:cs="Calibri"/>
                <w:bCs/>
              </w:rPr>
            </w:pPr>
            <w:r w:rsidRPr="00327BF3">
              <w:rPr>
                <w:rFonts w:cs="Calibri"/>
                <w:bCs/>
              </w:rPr>
              <w:t>Carrying Amount at the Beginning of the Reporting Period</w:t>
            </w:r>
          </w:p>
        </w:tc>
        <w:tc>
          <w:tcPr>
            <w:tcW w:w="599" w:type="pct"/>
            <w:tcBorders>
              <w:top w:val="nil"/>
              <w:left w:val="nil"/>
              <w:bottom w:val="nil"/>
              <w:right w:val="nil"/>
            </w:tcBorders>
            <w:vAlign w:val="bottom"/>
          </w:tcPr>
          <w:p w14:paraId="374EA6F4"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F67B076"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E98632"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4CDF226" w14:textId="77777777" w:rsidR="001A0130" w:rsidRPr="00327BF3" w:rsidRDefault="001A0130" w:rsidP="001A0130">
            <w:pPr>
              <w:pStyle w:val="TableText"/>
              <w:spacing w:before="0"/>
              <w:ind w:left="290" w:hanging="284"/>
              <w:jc w:val="both"/>
              <w:rPr>
                <w:rFonts w:cs="Calibri"/>
                <w:b/>
              </w:rPr>
            </w:pPr>
          </w:p>
        </w:tc>
      </w:tr>
      <w:tr w:rsidR="001A0130" w:rsidRPr="00416D13" w14:paraId="05DC82A2" w14:textId="77777777" w:rsidTr="005F5B4C">
        <w:trPr>
          <w:trHeight w:val="23"/>
        </w:trPr>
        <w:tc>
          <w:tcPr>
            <w:tcW w:w="737" w:type="pct"/>
            <w:tcBorders>
              <w:top w:val="nil"/>
              <w:left w:val="single" w:sz="2" w:space="0" w:color="auto"/>
              <w:bottom w:val="nil"/>
              <w:right w:val="single" w:sz="2" w:space="0" w:color="auto"/>
            </w:tcBorders>
          </w:tcPr>
          <w:p w14:paraId="4EE163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7B81BE3" w14:textId="77777777" w:rsidR="001A0130" w:rsidRPr="00327BF3" w:rsidRDefault="001A0130" w:rsidP="001A0130">
            <w:pPr>
              <w:pStyle w:val="TableText"/>
              <w:spacing w:before="0"/>
              <w:ind w:left="290" w:hanging="284"/>
              <w:rPr>
                <w:rFonts w:cs="Calibri"/>
                <w:bCs/>
              </w:rPr>
            </w:pPr>
            <w:r w:rsidRPr="00327BF3">
              <w:rPr>
                <w:rFonts w:cs="Calibri"/>
                <w:bCs/>
              </w:rPr>
              <w:t>Cash Flow Changes:</w:t>
            </w:r>
          </w:p>
        </w:tc>
        <w:tc>
          <w:tcPr>
            <w:tcW w:w="599" w:type="pct"/>
            <w:tcBorders>
              <w:top w:val="nil"/>
              <w:left w:val="nil"/>
              <w:bottom w:val="nil"/>
              <w:right w:val="nil"/>
            </w:tcBorders>
            <w:vAlign w:val="bottom"/>
          </w:tcPr>
          <w:p w14:paraId="2D12ABB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052FDB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4ADC856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8F6F9DF" w14:textId="77777777" w:rsidR="001A0130" w:rsidRPr="00327BF3" w:rsidRDefault="001A0130" w:rsidP="001A0130">
            <w:pPr>
              <w:pStyle w:val="TableText"/>
              <w:spacing w:before="0"/>
              <w:ind w:left="290" w:hanging="284"/>
              <w:jc w:val="both"/>
              <w:rPr>
                <w:rFonts w:cs="Calibri"/>
                <w:b/>
              </w:rPr>
            </w:pPr>
          </w:p>
        </w:tc>
      </w:tr>
      <w:tr w:rsidR="001A0130" w:rsidRPr="00416D13" w14:paraId="3144DDF6" w14:textId="77777777" w:rsidTr="005F5B4C">
        <w:trPr>
          <w:trHeight w:val="23"/>
        </w:trPr>
        <w:tc>
          <w:tcPr>
            <w:tcW w:w="737" w:type="pct"/>
            <w:tcBorders>
              <w:top w:val="nil"/>
              <w:left w:val="single" w:sz="2" w:space="0" w:color="auto"/>
              <w:bottom w:val="nil"/>
              <w:right w:val="single" w:sz="2" w:space="0" w:color="auto"/>
            </w:tcBorders>
          </w:tcPr>
          <w:p w14:paraId="778C312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847919E" w14:textId="2263F706"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4CAA476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B82B8BA"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0F57DC8"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4E71CB4" w14:textId="77777777" w:rsidR="001A0130" w:rsidRPr="00327BF3" w:rsidRDefault="001A0130" w:rsidP="001A0130">
            <w:pPr>
              <w:pStyle w:val="TableText"/>
              <w:spacing w:before="0"/>
              <w:ind w:left="290" w:hanging="284"/>
              <w:jc w:val="both"/>
              <w:rPr>
                <w:rFonts w:cs="Calibri"/>
                <w:b/>
              </w:rPr>
            </w:pPr>
          </w:p>
        </w:tc>
      </w:tr>
      <w:tr w:rsidR="001A0130" w:rsidRPr="00416D13" w14:paraId="10AC6864" w14:textId="77777777" w:rsidTr="005F5B4C">
        <w:trPr>
          <w:trHeight w:val="23"/>
        </w:trPr>
        <w:tc>
          <w:tcPr>
            <w:tcW w:w="737" w:type="pct"/>
            <w:tcBorders>
              <w:top w:val="nil"/>
              <w:left w:val="single" w:sz="2" w:space="0" w:color="auto"/>
              <w:bottom w:val="nil"/>
              <w:right w:val="single" w:sz="2" w:space="0" w:color="auto"/>
            </w:tcBorders>
          </w:tcPr>
          <w:p w14:paraId="3A040587"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754D9BE" w14:textId="2AB4E930"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1D3235B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A43E30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0969882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099A06E" w14:textId="77777777" w:rsidR="001A0130" w:rsidRPr="00327BF3" w:rsidRDefault="001A0130" w:rsidP="001A0130">
            <w:pPr>
              <w:pStyle w:val="TableText"/>
              <w:spacing w:before="0"/>
              <w:ind w:left="290" w:hanging="284"/>
              <w:jc w:val="both"/>
              <w:rPr>
                <w:rFonts w:cs="Calibri"/>
                <w:b/>
              </w:rPr>
            </w:pPr>
          </w:p>
        </w:tc>
      </w:tr>
      <w:tr w:rsidR="001A0130" w:rsidRPr="00416D13" w14:paraId="2FFA3123" w14:textId="77777777" w:rsidTr="005F5B4C">
        <w:trPr>
          <w:trHeight w:val="23"/>
        </w:trPr>
        <w:tc>
          <w:tcPr>
            <w:tcW w:w="737" w:type="pct"/>
            <w:tcBorders>
              <w:top w:val="nil"/>
              <w:left w:val="single" w:sz="2" w:space="0" w:color="auto"/>
              <w:bottom w:val="nil"/>
              <w:right w:val="single" w:sz="2" w:space="0" w:color="auto"/>
            </w:tcBorders>
          </w:tcPr>
          <w:p w14:paraId="412D824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9EC5968" w14:textId="77777777" w:rsidR="001A0130" w:rsidRPr="00327BF3" w:rsidRDefault="001A0130" w:rsidP="001A0130">
            <w:pPr>
              <w:pStyle w:val="TableText"/>
              <w:spacing w:before="0"/>
              <w:ind w:left="290" w:hanging="284"/>
              <w:rPr>
                <w:rFonts w:cs="Calibri"/>
                <w:bCs/>
              </w:rPr>
            </w:pPr>
            <w:r w:rsidRPr="00327BF3">
              <w:rPr>
                <w:rFonts w:cs="Calibri"/>
                <w:bCs/>
              </w:rPr>
              <w:t>Non-Cash Changes:</w:t>
            </w:r>
          </w:p>
        </w:tc>
        <w:tc>
          <w:tcPr>
            <w:tcW w:w="599" w:type="pct"/>
            <w:tcBorders>
              <w:top w:val="nil"/>
              <w:left w:val="nil"/>
              <w:bottom w:val="nil"/>
              <w:right w:val="nil"/>
            </w:tcBorders>
            <w:vAlign w:val="bottom"/>
          </w:tcPr>
          <w:p w14:paraId="4B2E9C4F"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2F5F0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25CC78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6C5FBD9D" w14:textId="77777777" w:rsidR="001A0130" w:rsidRPr="00327BF3" w:rsidRDefault="001A0130" w:rsidP="001A0130">
            <w:pPr>
              <w:pStyle w:val="TableText"/>
              <w:spacing w:before="0"/>
              <w:ind w:left="290" w:hanging="284"/>
              <w:jc w:val="both"/>
              <w:rPr>
                <w:rFonts w:cs="Calibri"/>
                <w:b/>
              </w:rPr>
            </w:pPr>
          </w:p>
        </w:tc>
      </w:tr>
      <w:tr w:rsidR="001A0130" w:rsidRPr="00416D13" w14:paraId="61A9D0A4" w14:textId="77777777" w:rsidTr="005F5B4C">
        <w:trPr>
          <w:trHeight w:val="23"/>
        </w:trPr>
        <w:tc>
          <w:tcPr>
            <w:tcW w:w="737" w:type="pct"/>
            <w:tcBorders>
              <w:top w:val="nil"/>
              <w:left w:val="single" w:sz="2" w:space="0" w:color="auto"/>
              <w:bottom w:val="nil"/>
              <w:right w:val="single" w:sz="2" w:space="0" w:color="auto"/>
            </w:tcBorders>
          </w:tcPr>
          <w:p w14:paraId="2C3BE45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B44C55" w14:textId="72DA8E3D"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FE1011D"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5F4A42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354963B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B8392F6" w14:textId="77777777" w:rsidR="001A0130" w:rsidRPr="00327BF3" w:rsidRDefault="001A0130" w:rsidP="001A0130">
            <w:pPr>
              <w:pStyle w:val="TableText"/>
              <w:spacing w:before="0"/>
              <w:ind w:left="290" w:hanging="284"/>
              <w:jc w:val="both"/>
              <w:rPr>
                <w:rFonts w:cs="Calibri"/>
                <w:b/>
              </w:rPr>
            </w:pPr>
          </w:p>
        </w:tc>
      </w:tr>
      <w:tr w:rsidR="001A0130" w:rsidRPr="00416D13" w14:paraId="3D9987FD" w14:textId="77777777" w:rsidTr="005F5B4C">
        <w:trPr>
          <w:trHeight w:val="23"/>
        </w:trPr>
        <w:tc>
          <w:tcPr>
            <w:tcW w:w="737" w:type="pct"/>
            <w:tcBorders>
              <w:top w:val="nil"/>
              <w:left w:val="single" w:sz="2" w:space="0" w:color="auto"/>
              <w:bottom w:val="nil"/>
              <w:right w:val="single" w:sz="2" w:space="0" w:color="auto"/>
            </w:tcBorders>
          </w:tcPr>
          <w:p w14:paraId="4AB60549"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3F595F7" w14:textId="09AC94E3" w:rsidR="001A0130" w:rsidRPr="00327BF3" w:rsidRDefault="00FA7C77" w:rsidP="001A0130">
            <w:pPr>
              <w:pStyle w:val="TableText"/>
              <w:spacing w:before="0"/>
              <w:ind w:left="314" w:hanging="314"/>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3F86F36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734ABFB"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AB695C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9D963D" w14:textId="77777777" w:rsidR="001A0130" w:rsidRPr="00327BF3" w:rsidRDefault="001A0130" w:rsidP="001A0130">
            <w:pPr>
              <w:pStyle w:val="TableText"/>
              <w:spacing w:before="0"/>
              <w:ind w:left="290" w:hanging="284"/>
              <w:jc w:val="both"/>
              <w:rPr>
                <w:rFonts w:cs="Calibri"/>
                <w:b/>
              </w:rPr>
            </w:pPr>
          </w:p>
        </w:tc>
      </w:tr>
      <w:tr w:rsidR="001A0130" w:rsidRPr="00416D13" w14:paraId="2E976D1B" w14:textId="77777777" w:rsidTr="005F5B4C">
        <w:trPr>
          <w:trHeight w:val="23"/>
        </w:trPr>
        <w:tc>
          <w:tcPr>
            <w:tcW w:w="737" w:type="pct"/>
            <w:tcBorders>
              <w:top w:val="nil"/>
              <w:left w:val="single" w:sz="2" w:space="0" w:color="auto"/>
              <w:bottom w:val="nil"/>
              <w:right w:val="single" w:sz="2" w:space="0" w:color="auto"/>
            </w:tcBorders>
          </w:tcPr>
          <w:p w14:paraId="4602C8F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3E51761" w14:textId="17929F1B"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6BEC80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00D25B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36D92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D883CF6" w14:textId="77777777" w:rsidR="001A0130" w:rsidRPr="00327BF3" w:rsidRDefault="001A0130" w:rsidP="001A0130">
            <w:pPr>
              <w:pStyle w:val="TableText"/>
              <w:spacing w:before="0"/>
              <w:ind w:left="290" w:hanging="284"/>
              <w:jc w:val="both"/>
              <w:rPr>
                <w:rFonts w:cs="Calibri"/>
                <w:b/>
              </w:rPr>
            </w:pPr>
          </w:p>
        </w:tc>
      </w:tr>
      <w:tr w:rsidR="001A0130" w:rsidRPr="00416D13" w14:paraId="69187F85" w14:textId="77777777" w:rsidTr="005F5B4C">
        <w:trPr>
          <w:trHeight w:val="23"/>
        </w:trPr>
        <w:tc>
          <w:tcPr>
            <w:tcW w:w="737" w:type="pct"/>
            <w:tcBorders>
              <w:top w:val="nil"/>
              <w:left w:val="single" w:sz="2" w:space="0" w:color="auto"/>
              <w:bottom w:val="nil"/>
              <w:right w:val="single" w:sz="2" w:space="0" w:color="auto"/>
            </w:tcBorders>
          </w:tcPr>
          <w:p w14:paraId="0241601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10FACBE" w14:textId="6C64EA1F"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2" w:space="0" w:color="auto"/>
              <w:right w:val="nil"/>
            </w:tcBorders>
            <w:vAlign w:val="bottom"/>
          </w:tcPr>
          <w:p w14:paraId="7162C7D2"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2" w:space="0" w:color="auto"/>
              <w:right w:val="nil"/>
            </w:tcBorders>
            <w:vAlign w:val="bottom"/>
          </w:tcPr>
          <w:p w14:paraId="7598A91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2" w:space="0" w:color="auto"/>
              <w:right w:val="nil"/>
            </w:tcBorders>
            <w:vAlign w:val="bottom"/>
          </w:tcPr>
          <w:p w14:paraId="7C9CB8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2" w:space="0" w:color="auto"/>
              <w:right w:val="nil"/>
            </w:tcBorders>
            <w:vAlign w:val="bottom"/>
          </w:tcPr>
          <w:p w14:paraId="234D573D" w14:textId="77777777" w:rsidR="001A0130" w:rsidRPr="00327BF3" w:rsidRDefault="001A0130" w:rsidP="001A0130">
            <w:pPr>
              <w:pStyle w:val="TableText"/>
              <w:spacing w:before="0"/>
              <w:ind w:left="290" w:hanging="284"/>
              <w:jc w:val="both"/>
              <w:rPr>
                <w:rFonts w:cs="Calibri"/>
                <w:b/>
              </w:rPr>
            </w:pPr>
          </w:p>
        </w:tc>
      </w:tr>
      <w:tr w:rsidR="001A0130" w:rsidRPr="00416D13" w14:paraId="65FAE811" w14:textId="77777777" w:rsidTr="005F5B4C">
        <w:trPr>
          <w:trHeight w:val="23"/>
        </w:trPr>
        <w:tc>
          <w:tcPr>
            <w:tcW w:w="737" w:type="pct"/>
            <w:tcBorders>
              <w:top w:val="nil"/>
              <w:left w:val="single" w:sz="2" w:space="0" w:color="auto"/>
              <w:bottom w:val="nil"/>
              <w:right w:val="single" w:sz="2" w:space="0" w:color="auto"/>
            </w:tcBorders>
          </w:tcPr>
          <w:p w14:paraId="6BE112A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4950B0D" w14:textId="77777777" w:rsidR="001A0130" w:rsidRPr="00327BF3" w:rsidRDefault="001A0130" w:rsidP="001A0130">
            <w:pPr>
              <w:pStyle w:val="TableText"/>
              <w:spacing w:before="120"/>
              <w:ind w:left="290" w:hanging="284"/>
              <w:jc w:val="both"/>
              <w:rPr>
                <w:rFonts w:cs="Calibri"/>
                <w:b/>
              </w:rPr>
            </w:pPr>
            <w:r w:rsidRPr="00327BF3">
              <w:rPr>
                <w:rFonts w:cs="Calibri"/>
                <w:b/>
              </w:rPr>
              <w:t>Carrying Amount at the End of the Reporting Period</w:t>
            </w:r>
          </w:p>
        </w:tc>
        <w:tc>
          <w:tcPr>
            <w:tcW w:w="599" w:type="pct"/>
            <w:tcBorders>
              <w:top w:val="single" w:sz="2" w:space="0" w:color="auto"/>
              <w:left w:val="nil"/>
              <w:bottom w:val="double" w:sz="4" w:space="0" w:color="auto"/>
              <w:right w:val="nil"/>
            </w:tcBorders>
            <w:vAlign w:val="bottom"/>
          </w:tcPr>
          <w:p w14:paraId="54D5B3BC"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2" w:space="0" w:color="auto"/>
              <w:left w:val="nil"/>
              <w:bottom w:val="double" w:sz="4" w:space="0" w:color="auto"/>
              <w:right w:val="nil"/>
            </w:tcBorders>
            <w:vAlign w:val="bottom"/>
          </w:tcPr>
          <w:p w14:paraId="255D0E1D" w14:textId="77777777" w:rsidR="001A0130" w:rsidRPr="00327BF3" w:rsidRDefault="001A0130" w:rsidP="001A0130">
            <w:pPr>
              <w:pStyle w:val="TableText"/>
              <w:spacing w:before="0"/>
              <w:ind w:left="290" w:hanging="284"/>
              <w:jc w:val="both"/>
              <w:rPr>
                <w:rFonts w:cs="Calibri"/>
                <w:b/>
              </w:rPr>
            </w:pPr>
          </w:p>
        </w:tc>
        <w:tc>
          <w:tcPr>
            <w:tcW w:w="716" w:type="pct"/>
            <w:tcBorders>
              <w:top w:val="single" w:sz="2" w:space="0" w:color="auto"/>
              <w:left w:val="nil"/>
              <w:bottom w:val="double" w:sz="4" w:space="0" w:color="auto"/>
              <w:right w:val="nil"/>
            </w:tcBorders>
            <w:vAlign w:val="bottom"/>
          </w:tcPr>
          <w:p w14:paraId="7DF327B4" w14:textId="77777777" w:rsidR="001A0130" w:rsidRPr="00327BF3" w:rsidRDefault="001A0130" w:rsidP="001A0130">
            <w:pPr>
              <w:pStyle w:val="TableText"/>
              <w:spacing w:before="0"/>
              <w:ind w:left="290" w:hanging="284"/>
              <w:jc w:val="both"/>
              <w:rPr>
                <w:rFonts w:cs="Calibri"/>
                <w:b/>
              </w:rPr>
            </w:pPr>
          </w:p>
        </w:tc>
        <w:tc>
          <w:tcPr>
            <w:tcW w:w="600" w:type="pct"/>
            <w:tcBorders>
              <w:top w:val="single" w:sz="2" w:space="0" w:color="auto"/>
              <w:left w:val="nil"/>
              <w:bottom w:val="double" w:sz="4" w:space="0" w:color="auto"/>
              <w:right w:val="nil"/>
            </w:tcBorders>
            <w:vAlign w:val="bottom"/>
          </w:tcPr>
          <w:p w14:paraId="744714EE" w14:textId="77777777" w:rsidR="001A0130" w:rsidRPr="00327BF3" w:rsidRDefault="001A0130" w:rsidP="001A0130">
            <w:pPr>
              <w:pStyle w:val="TableText"/>
              <w:spacing w:before="0"/>
              <w:ind w:left="290" w:hanging="284"/>
              <w:jc w:val="both"/>
              <w:rPr>
                <w:rFonts w:cs="Calibri"/>
                <w:b/>
              </w:rPr>
            </w:pPr>
          </w:p>
        </w:tc>
      </w:tr>
      <w:tr w:rsidR="001A0130" w:rsidRPr="00416D13" w14:paraId="007E0925" w14:textId="77777777" w:rsidTr="005F5B4C">
        <w:trPr>
          <w:trHeight w:val="23"/>
        </w:trPr>
        <w:tc>
          <w:tcPr>
            <w:tcW w:w="737" w:type="pct"/>
            <w:tcBorders>
              <w:top w:val="nil"/>
              <w:left w:val="single" w:sz="2" w:space="0" w:color="auto"/>
              <w:bottom w:val="nil"/>
              <w:right w:val="single" w:sz="2" w:space="0" w:color="auto"/>
            </w:tcBorders>
          </w:tcPr>
          <w:p w14:paraId="4474FC21"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F94984" w14:textId="77777777" w:rsidR="001A0130" w:rsidRPr="00327BF3" w:rsidRDefault="001A0130" w:rsidP="001A0130">
            <w:pPr>
              <w:pStyle w:val="TableText"/>
              <w:spacing w:before="0"/>
              <w:ind w:left="290" w:hanging="284"/>
              <w:jc w:val="both"/>
              <w:rPr>
                <w:rFonts w:cs="Calibri"/>
                <w:b/>
              </w:rPr>
            </w:pPr>
          </w:p>
        </w:tc>
        <w:tc>
          <w:tcPr>
            <w:tcW w:w="599" w:type="pct"/>
            <w:tcBorders>
              <w:top w:val="double" w:sz="4" w:space="0" w:color="auto"/>
              <w:left w:val="nil"/>
              <w:bottom w:val="nil"/>
              <w:right w:val="nil"/>
            </w:tcBorders>
            <w:vAlign w:val="bottom"/>
          </w:tcPr>
          <w:p w14:paraId="34862A64"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1A150537"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3375BC03"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46BA9F4C" w14:textId="77777777" w:rsidR="001A0130" w:rsidRPr="00327BF3" w:rsidRDefault="001A0130" w:rsidP="001A0130">
            <w:pPr>
              <w:pStyle w:val="TableText"/>
              <w:spacing w:before="0"/>
              <w:ind w:left="290" w:hanging="284"/>
              <w:jc w:val="both"/>
              <w:rPr>
                <w:rFonts w:cs="Calibri"/>
                <w:b/>
              </w:rPr>
            </w:pPr>
          </w:p>
        </w:tc>
      </w:tr>
      <w:tr w:rsidR="001A0130" w:rsidRPr="00416D13" w14:paraId="7166751C" w14:textId="77777777" w:rsidTr="005F5B4C">
        <w:trPr>
          <w:trHeight w:val="23"/>
        </w:trPr>
        <w:tc>
          <w:tcPr>
            <w:tcW w:w="737" w:type="pct"/>
            <w:tcBorders>
              <w:top w:val="nil"/>
              <w:left w:val="single" w:sz="2" w:space="0" w:color="auto"/>
              <w:bottom w:val="nil"/>
              <w:right w:val="single" w:sz="2" w:space="0" w:color="auto"/>
            </w:tcBorders>
          </w:tcPr>
          <w:p w14:paraId="7E317E7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BCCC97C" w14:textId="1438AF7A" w:rsidR="001A0130" w:rsidRPr="00327BF3" w:rsidRDefault="001A0130" w:rsidP="001A0130">
            <w:pPr>
              <w:pStyle w:val="TableText"/>
              <w:spacing w:before="120" w:after="60"/>
              <w:ind w:left="290" w:hanging="284"/>
              <w:jc w:val="both"/>
              <w:rPr>
                <w:rFonts w:cs="Calibri"/>
                <w:b/>
              </w:rPr>
            </w:pPr>
            <w:r w:rsidRPr="00327BF3">
              <w:rPr>
                <w:rFonts w:cs="Calibri"/>
                <w:b/>
              </w:rPr>
              <w:t>202</w:t>
            </w:r>
            <w:r w:rsidR="00F305E9">
              <w:rPr>
                <w:rFonts w:cs="Calibri"/>
                <w:b/>
              </w:rPr>
              <w:t>2</w:t>
            </w:r>
          </w:p>
        </w:tc>
        <w:tc>
          <w:tcPr>
            <w:tcW w:w="599" w:type="pct"/>
            <w:tcBorders>
              <w:top w:val="nil"/>
              <w:left w:val="nil"/>
              <w:bottom w:val="nil"/>
              <w:right w:val="nil"/>
            </w:tcBorders>
            <w:vAlign w:val="bottom"/>
          </w:tcPr>
          <w:p w14:paraId="0A5A78FC"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BE01458"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E7941A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CD924D3" w14:textId="77777777" w:rsidR="001A0130" w:rsidRPr="00327BF3" w:rsidRDefault="001A0130" w:rsidP="001A0130">
            <w:pPr>
              <w:pStyle w:val="TableText"/>
              <w:spacing w:before="0"/>
              <w:ind w:left="290" w:hanging="284"/>
              <w:jc w:val="both"/>
              <w:rPr>
                <w:rFonts w:cs="Calibri"/>
                <w:b/>
              </w:rPr>
            </w:pPr>
          </w:p>
        </w:tc>
      </w:tr>
      <w:tr w:rsidR="001A0130" w:rsidRPr="00416D13" w14:paraId="4736DA13" w14:textId="77777777" w:rsidTr="005F5B4C">
        <w:trPr>
          <w:trHeight w:val="23"/>
        </w:trPr>
        <w:tc>
          <w:tcPr>
            <w:tcW w:w="737" w:type="pct"/>
            <w:tcBorders>
              <w:top w:val="nil"/>
              <w:left w:val="single" w:sz="2" w:space="0" w:color="auto"/>
              <w:bottom w:val="nil"/>
              <w:right w:val="single" w:sz="2" w:space="0" w:color="auto"/>
            </w:tcBorders>
          </w:tcPr>
          <w:p w14:paraId="02A7B7C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742D410" w14:textId="77777777" w:rsidR="001A0130" w:rsidRPr="00327BF3" w:rsidRDefault="001A0130" w:rsidP="001A0130">
            <w:pPr>
              <w:pStyle w:val="TableText"/>
              <w:spacing w:before="0"/>
              <w:ind w:left="290" w:hanging="284"/>
              <w:jc w:val="both"/>
              <w:rPr>
                <w:rFonts w:cs="Calibri"/>
                <w:b/>
              </w:rPr>
            </w:pPr>
            <w:r w:rsidRPr="00327BF3">
              <w:rPr>
                <w:rFonts w:cs="Calibri"/>
                <w:bCs/>
              </w:rPr>
              <w:t>Carrying Amount at the Beginning of Reporting Period</w:t>
            </w:r>
          </w:p>
        </w:tc>
        <w:tc>
          <w:tcPr>
            <w:tcW w:w="599" w:type="pct"/>
            <w:tcBorders>
              <w:top w:val="nil"/>
              <w:left w:val="nil"/>
              <w:bottom w:val="nil"/>
              <w:right w:val="nil"/>
            </w:tcBorders>
            <w:vAlign w:val="bottom"/>
          </w:tcPr>
          <w:p w14:paraId="59CE6A8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EDA234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88FB6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F22056C" w14:textId="77777777" w:rsidR="001A0130" w:rsidRPr="00327BF3" w:rsidRDefault="001A0130" w:rsidP="001A0130">
            <w:pPr>
              <w:pStyle w:val="TableText"/>
              <w:spacing w:before="0"/>
              <w:ind w:left="290" w:hanging="284"/>
              <w:jc w:val="both"/>
              <w:rPr>
                <w:rFonts w:cs="Calibri"/>
                <w:b/>
              </w:rPr>
            </w:pPr>
          </w:p>
        </w:tc>
      </w:tr>
      <w:tr w:rsidR="001A0130" w:rsidRPr="00416D13" w14:paraId="333BEDF7" w14:textId="77777777" w:rsidTr="005F5B4C">
        <w:trPr>
          <w:trHeight w:val="23"/>
        </w:trPr>
        <w:tc>
          <w:tcPr>
            <w:tcW w:w="737" w:type="pct"/>
            <w:tcBorders>
              <w:top w:val="nil"/>
              <w:left w:val="single" w:sz="2" w:space="0" w:color="auto"/>
              <w:bottom w:val="nil"/>
              <w:right w:val="single" w:sz="2" w:space="0" w:color="auto"/>
            </w:tcBorders>
          </w:tcPr>
          <w:p w14:paraId="1E58DC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212CCCB" w14:textId="77777777" w:rsidR="001A0130" w:rsidRPr="00327BF3" w:rsidRDefault="001A0130" w:rsidP="001A0130">
            <w:pPr>
              <w:pStyle w:val="TableText"/>
              <w:spacing w:before="0"/>
              <w:ind w:left="290" w:hanging="284"/>
              <w:jc w:val="both"/>
              <w:rPr>
                <w:rFonts w:cs="Calibri"/>
                <w:bCs/>
              </w:rPr>
            </w:pPr>
            <w:r w:rsidRPr="00327BF3">
              <w:rPr>
                <w:rFonts w:cs="Calibri"/>
                <w:bCs/>
              </w:rPr>
              <w:t>Cash Flow Changes:</w:t>
            </w:r>
          </w:p>
        </w:tc>
        <w:tc>
          <w:tcPr>
            <w:tcW w:w="599" w:type="pct"/>
            <w:tcBorders>
              <w:top w:val="nil"/>
              <w:left w:val="nil"/>
              <w:bottom w:val="nil"/>
              <w:right w:val="nil"/>
            </w:tcBorders>
            <w:vAlign w:val="bottom"/>
          </w:tcPr>
          <w:p w14:paraId="364755F9"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69B9FD35"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1F33CC9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13CC41A" w14:textId="77777777" w:rsidR="001A0130" w:rsidRPr="00327BF3" w:rsidRDefault="001A0130" w:rsidP="001A0130">
            <w:pPr>
              <w:pStyle w:val="TableText"/>
              <w:spacing w:before="0"/>
              <w:ind w:left="290" w:hanging="284"/>
              <w:jc w:val="both"/>
              <w:rPr>
                <w:rFonts w:cs="Calibri"/>
                <w:b/>
              </w:rPr>
            </w:pPr>
          </w:p>
        </w:tc>
      </w:tr>
      <w:tr w:rsidR="001A0130" w:rsidRPr="00416D13" w14:paraId="1215B3DB" w14:textId="77777777" w:rsidTr="005F5B4C">
        <w:trPr>
          <w:trHeight w:val="23"/>
        </w:trPr>
        <w:tc>
          <w:tcPr>
            <w:tcW w:w="737" w:type="pct"/>
            <w:tcBorders>
              <w:top w:val="nil"/>
              <w:left w:val="single" w:sz="2" w:space="0" w:color="auto"/>
              <w:bottom w:val="nil"/>
              <w:right w:val="single" w:sz="2" w:space="0" w:color="auto"/>
            </w:tcBorders>
          </w:tcPr>
          <w:p w14:paraId="1D24F26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D7317F4" w14:textId="619C8B88"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336AC5A1"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22C911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2C73D3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084CF68" w14:textId="77777777" w:rsidR="001A0130" w:rsidRPr="00327BF3" w:rsidRDefault="001A0130" w:rsidP="001A0130">
            <w:pPr>
              <w:pStyle w:val="TableText"/>
              <w:spacing w:before="0"/>
              <w:ind w:left="290" w:hanging="284"/>
              <w:jc w:val="both"/>
              <w:rPr>
                <w:rFonts w:cs="Calibri"/>
                <w:b/>
              </w:rPr>
            </w:pPr>
          </w:p>
        </w:tc>
      </w:tr>
      <w:tr w:rsidR="001A0130" w:rsidRPr="00416D13" w14:paraId="397AF1D7" w14:textId="77777777" w:rsidTr="005F5B4C">
        <w:trPr>
          <w:trHeight w:val="23"/>
        </w:trPr>
        <w:tc>
          <w:tcPr>
            <w:tcW w:w="737" w:type="pct"/>
            <w:tcBorders>
              <w:top w:val="nil"/>
              <w:left w:val="single" w:sz="2" w:space="0" w:color="auto"/>
              <w:bottom w:val="nil"/>
              <w:right w:val="single" w:sz="2" w:space="0" w:color="auto"/>
            </w:tcBorders>
          </w:tcPr>
          <w:p w14:paraId="65A1A1B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4C4C192" w14:textId="7CACEB2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0B42AF5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84D8A61"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C262AF"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50BD4C" w14:textId="77777777" w:rsidR="001A0130" w:rsidRPr="00327BF3" w:rsidRDefault="001A0130" w:rsidP="001A0130">
            <w:pPr>
              <w:pStyle w:val="TableText"/>
              <w:spacing w:before="0"/>
              <w:ind w:left="290" w:hanging="284"/>
              <w:jc w:val="both"/>
              <w:rPr>
                <w:rFonts w:cs="Calibri"/>
                <w:b/>
              </w:rPr>
            </w:pPr>
          </w:p>
        </w:tc>
      </w:tr>
      <w:tr w:rsidR="001A0130" w:rsidRPr="00416D13" w14:paraId="33F13E27" w14:textId="77777777" w:rsidTr="005F5B4C">
        <w:trPr>
          <w:trHeight w:val="23"/>
        </w:trPr>
        <w:tc>
          <w:tcPr>
            <w:tcW w:w="737" w:type="pct"/>
            <w:tcBorders>
              <w:top w:val="nil"/>
              <w:left w:val="single" w:sz="2" w:space="0" w:color="auto"/>
              <w:bottom w:val="nil"/>
              <w:right w:val="single" w:sz="2" w:space="0" w:color="auto"/>
            </w:tcBorders>
          </w:tcPr>
          <w:p w14:paraId="3C9C87C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C12438C" w14:textId="77777777" w:rsidR="001A0130" w:rsidRPr="00327BF3" w:rsidRDefault="001A0130" w:rsidP="001A0130">
            <w:pPr>
              <w:pStyle w:val="TableText"/>
              <w:spacing w:before="0"/>
              <w:ind w:left="290" w:hanging="284"/>
              <w:jc w:val="both"/>
              <w:rPr>
                <w:rFonts w:cs="Calibri"/>
                <w:bCs/>
              </w:rPr>
            </w:pPr>
            <w:r w:rsidRPr="00327BF3">
              <w:rPr>
                <w:rFonts w:cs="Calibri"/>
                <w:bCs/>
              </w:rPr>
              <w:t>Non-Cash Changes:</w:t>
            </w:r>
          </w:p>
        </w:tc>
        <w:tc>
          <w:tcPr>
            <w:tcW w:w="599" w:type="pct"/>
            <w:tcBorders>
              <w:top w:val="nil"/>
              <w:left w:val="nil"/>
              <w:bottom w:val="nil"/>
              <w:right w:val="nil"/>
            </w:tcBorders>
            <w:vAlign w:val="bottom"/>
          </w:tcPr>
          <w:p w14:paraId="43B632A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FC297A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417B4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162210F5" w14:textId="77777777" w:rsidR="001A0130" w:rsidRPr="00327BF3" w:rsidRDefault="001A0130" w:rsidP="001A0130">
            <w:pPr>
              <w:pStyle w:val="TableText"/>
              <w:spacing w:before="0"/>
              <w:ind w:left="290" w:hanging="284"/>
              <w:jc w:val="both"/>
              <w:rPr>
                <w:rFonts w:cs="Calibri"/>
                <w:b/>
              </w:rPr>
            </w:pPr>
          </w:p>
        </w:tc>
      </w:tr>
      <w:tr w:rsidR="001A0130" w:rsidRPr="00416D13" w14:paraId="5C48E7AC" w14:textId="77777777" w:rsidTr="005F5B4C">
        <w:trPr>
          <w:trHeight w:val="23"/>
        </w:trPr>
        <w:tc>
          <w:tcPr>
            <w:tcW w:w="737" w:type="pct"/>
            <w:tcBorders>
              <w:top w:val="nil"/>
              <w:left w:val="single" w:sz="2" w:space="0" w:color="auto"/>
              <w:bottom w:val="nil"/>
              <w:right w:val="single" w:sz="2" w:space="0" w:color="auto"/>
            </w:tcBorders>
          </w:tcPr>
          <w:p w14:paraId="48EA2C0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AA78B17" w14:textId="3B6B282B"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88FD1F0"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7075C33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0CE3B4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C575E7" w14:textId="77777777" w:rsidR="001A0130" w:rsidRPr="00327BF3" w:rsidRDefault="001A0130" w:rsidP="001A0130">
            <w:pPr>
              <w:pStyle w:val="TableText"/>
              <w:spacing w:before="0"/>
              <w:ind w:left="290" w:hanging="284"/>
              <w:jc w:val="both"/>
              <w:rPr>
                <w:rFonts w:cs="Calibri"/>
                <w:b/>
              </w:rPr>
            </w:pPr>
          </w:p>
        </w:tc>
      </w:tr>
      <w:tr w:rsidR="001A0130" w:rsidRPr="00416D13" w14:paraId="105B4839" w14:textId="77777777" w:rsidTr="005F5B4C">
        <w:trPr>
          <w:trHeight w:val="23"/>
        </w:trPr>
        <w:tc>
          <w:tcPr>
            <w:tcW w:w="737" w:type="pct"/>
            <w:tcBorders>
              <w:top w:val="nil"/>
              <w:left w:val="single" w:sz="2" w:space="0" w:color="auto"/>
              <w:bottom w:val="nil"/>
              <w:right w:val="single" w:sz="2" w:space="0" w:color="auto"/>
            </w:tcBorders>
          </w:tcPr>
          <w:p w14:paraId="73EC99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CEC81F" w14:textId="68065EB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55E0393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60082D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CA78BD4"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AC202E" w14:textId="77777777" w:rsidR="001A0130" w:rsidRPr="00327BF3" w:rsidRDefault="001A0130" w:rsidP="001A0130">
            <w:pPr>
              <w:pStyle w:val="TableText"/>
              <w:spacing w:before="0"/>
              <w:ind w:left="290" w:hanging="284"/>
              <w:jc w:val="both"/>
              <w:rPr>
                <w:rFonts w:cs="Calibri"/>
                <w:b/>
              </w:rPr>
            </w:pPr>
          </w:p>
        </w:tc>
      </w:tr>
      <w:tr w:rsidR="001A0130" w:rsidRPr="00416D13" w14:paraId="5EDD26E3" w14:textId="77777777" w:rsidTr="005F5B4C">
        <w:trPr>
          <w:trHeight w:val="23"/>
        </w:trPr>
        <w:tc>
          <w:tcPr>
            <w:tcW w:w="737" w:type="pct"/>
            <w:tcBorders>
              <w:top w:val="nil"/>
              <w:left w:val="single" w:sz="2" w:space="0" w:color="auto"/>
              <w:bottom w:val="nil"/>
              <w:right w:val="single" w:sz="2" w:space="0" w:color="auto"/>
            </w:tcBorders>
          </w:tcPr>
          <w:p w14:paraId="18EE7F7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9B9F2B" w14:textId="7B80046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D35DFEE"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DC86D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52E276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6AB25FD" w14:textId="77777777" w:rsidR="001A0130" w:rsidRPr="00327BF3" w:rsidRDefault="001A0130" w:rsidP="001A0130">
            <w:pPr>
              <w:pStyle w:val="TableText"/>
              <w:spacing w:before="0"/>
              <w:ind w:left="290" w:hanging="284"/>
              <w:jc w:val="both"/>
              <w:rPr>
                <w:rFonts w:cs="Calibri"/>
                <w:b/>
              </w:rPr>
            </w:pPr>
          </w:p>
        </w:tc>
      </w:tr>
      <w:tr w:rsidR="001A0130" w:rsidRPr="00416D13" w14:paraId="4708CA62" w14:textId="77777777" w:rsidTr="005F5B4C">
        <w:trPr>
          <w:trHeight w:val="23"/>
        </w:trPr>
        <w:tc>
          <w:tcPr>
            <w:tcW w:w="737" w:type="pct"/>
            <w:tcBorders>
              <w:top w:val="nil"/>
              <w:left w:val="single" w:sz="2" w:space="0" w:color="auto"/>
              <w:bottom w:val="nil"/>
              <w:right w:val="single" w:sz="2" w:space="0" w:color="auto"/>
            </w:tcBorders>
          </w:tcPr>
          <w:p w14:paraId="6529B358"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BD231DB" w14:textId="2E2F7B3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4" w:space="0" w:color="auto"/>
              <w:right w:val="nil"/>
            </w:tcBorders>
            <w:vAlign w:val="bottom"/>
          </w:tcPr>
          <w:p w14:paraId="19CF4DD7"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4" w:space="0" w:color="auto"/>
              <w:right w:val="nil"/>
            </w:tcBorders>
            <w:vAlign w:val="bottom"/>
          </w:tcPr>
          <w:p w14:paraId="40E9FC2F"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4" w:space="0" w:color="auto"/>
              <w:right w:val="nil"/>
            </w:tcBorders>
            <w:vAlign w:val="bottom"/>
          </w:tcPr>
          <w:p w14:paraId="6B7C711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4" w:space="0" w:color="auto"/>
              <w:right w:val="nil"/>
            </w:tcBorders>
            <w:vAlign w:val="bottom"/>
          </w:tcPr>
          <w:p w14:paraId="200A526C" w14:textId="77777777" w:rsidR="001A0130" w:rsidRPr="00327BF3" w:rsidRDefault="001A0130" w:rsidP="001A0130">
            <w:pPr>
              <w:pStyle w:val="TableText"/>
              <w:spacing w:before="0"/>
              <w:ind w:left="290" w:hanging="284"/>
              <w:jc w:val="both"/>
              <w:rPr>
                <w:rFonts w:cs="Calibri"/>
                <w:b/>
              </w:rPr>
            </w:pPr>
          </w:p>
        </w:tc>
      </w:tr>
      <w:tr w:rsidR="001A0130" w:rsidRPr="00416D13" w14:paraId="36A2FC52" w14:textId="77777777" w:rsidTr="005F5B4C">
        <w:trPr>
          <w:trHeight w:val="23"/>
        </w:trPr>
        <w:tc>
          <w:tcPr>
            <w:tcW w:w="737" w:type="pct"/>
            <w:tcBorders>
              <w:top w:val="nil"/>
              <w:left w:val="single" w:sz="2" w:space="0" w:color="auto"/>
              <w:bottom w:val="nil"/>
              <w:right w:val="single" w:sz="2" w:space="0" w:color="auto"/>
            </w:tcBorders>
          </w:tcPr>
          <w:p w14:paraId="3748E0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1DC527B" w14:textId="77777777" w:rsidR="001A0130" w:rsidRPr="00327BF3" w:rsidRDefault="001A0130" w:rsidP="001A0130">
            <w:pPr>
              <w:pStyle w:val="TableText"/>
              <w:spacing w:before="120"/>
              <w:ind w:left="290" w:hanging="284"/>
              <w:jc w:val="both"/>
              <w:rPr>
                <w:rFonts w:cs="Calibri"/>
                <w:bCs/>
              </w:rPr>
            </w:pPr>
            <w:r w:rsidRPr="00327BF3">
              <w:rPr>
                <w:rFonts w:cs="Calibri"/>
                <w:b/>
              </w:rPr>
              <w:t>Carrying Amount at the End of the Reporting Period</w:t>
            </w:r>
          </w:p>
        </w:tc>
        <w:tc>
          <w:tcPr>
            <w:tcW w:w="599" w:type="pct"/>
            <w:tcBorders>
              <w:top w:val="single" w:sz="4" w:space="0" w:color="auto"/>
              <w:left w:val="nil"/>
              <w:bottom w:val="double" w:sz="4" w:space="0" w:color="auto"/>
              <w:right w:val="nil"/>
            </w:tcBorders>
            <w:vAlign w:val="bottom"/>
          </w:tcPr>
          <w:p w14:paraId="7C54DB72"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4" w:space="0" w:color="auto"/>
              <w:left w:val="nil"/>
              <w:bottom w:val="double" w:sz="4" w:space="0" w:color="auto"/>
              <w:right w:val="nil"/>
            </w:tcBorders>
            <w:vAlign w:val="bottom"/>
          </w:tcPr>
          <w:p w14:paraId="5E73AF68" w14:textId="77777777" w:rsidR="001A0130" w:rsidRPr="00327BF3" w:rsidRDefault="001A0130" w:rsidP="001A0130">
            <w:pPr>
              <w:pStyle w:val="TableText"/>
              <w:spacing w:before="0"/>
              <w:ind w:left="290" w:hanging="284"/>
              <w:jc w:val="both"/>
              <w:rPr>
                <w:rFonts w:cs="Calibri"/>
                <w:b/>
              </w:rPr>
            </w:pPr>
          </w:p>
        </w:tc>
        <w:tc>
          <w:tcPr>
            <w:tcW w:w="716" w:type="pct"/>
            <w:tcBorders>
              <w:top w:val="single" w:sz="4" w:space="0" w:color="auto"/>
              <w:left w:val="nil"/>
              <w:bottom w:val="double" w:sz="4" w:space="0" w:color="auto"/>
              <w:right w:val="nil"/>
            </w:tcBorders>
            <w:vAlign w:val="bottom"/>
          </w:tcPr>
          <w:p w14:paraId="171D1774" w14:textId="77777777" w:rsidR="001A0130" w:rsidRPr="00327BF3" w:rsidRDefault="001A0130" w:rsidP="001A0130">
            <w:pPr>
              <w:pStyle w:val="TableText"/>
              <w:spacing w:before="0"/>
              <w:ind w:left="290" w:hanging="284"/>
              <w:jc w:val="both"/>
              <w:rPr>
                <w:rFonts w:cs="Calibri"/>
                <w:b/>
              </w:rPr>
            </w:pPr>
          </w:p>
        </w:tc>
        <w:tc>
          <w:tcPr>
            <w:tcW w:w="600" w:type="pct"/>
            <w:tcBorders>
              <w:top w:val="single" w:sz="4" w:space="0" w:color="auto"/>
              <w:left w:val="nil"/>
              <w:bottom w:val="double" w:sz="4" w:space="0" w:color="auto"/>
              <w:right w:val="nil"/>
            </w:tcBorders>
            <w:vAlign w:val="bottom"/>
          </w:tcPr>
          <w:p w14:paraId="52197B7B" w14:textId="77777777" w:rsidR="001A0130" w:rsidRPr="00327BF3" w:rsidRDefault="001A0130" w:rsidP="001A0130">
            <w:pPr>
              <w:pStyle w:val="TableText"/>
              <w:spacing w:before="0"/>
              <w:ind w:left="290" w:hanging="284"/>
              <w:jc w:val="both"/>
              <w:rPr>
                <w:rFonts w:cs="Calibri"/>
                <w:b/>
              </w:rPr>
            </w:pPr>
          </w:p>
        </w:tc>
      </w:tr>
      <w:tr w:rsidR="001A0130" w:rsidRPr="00416D13" w14:paraId="1C9C108E" w14:textId="77777777" w:rsidTr="005F5B4C">
        <w:trPr>
          <w:trHeight w:val="23"/>
        </w:trPr>
        <w:tc>
          <w:tcPr>
            <w:tcW w:w="737" w:type="pct"/>
            <w:tcBorders>
              <w:top w:val="nil"/>
              <w:left w:val="single" w:sz="2" w:space="0" w:color="auto"/>
              <w:bottom w:val="nil"/>
              <w:right w:val="single" w:sz="2" w:space="0" w:color="auto"/>
            </w:tcBorders>
          </w:tcPr>
          <w:p w14:paraId="25B6991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691B4C16" w14:textId="77777777" w:rsidR="001A0130" w:rsidRPr="00327BF3" w:rsidRDefault="001A0130" w:rsidP="001A0130">
            <w:pPr>
              <w:pStyle w:val="TableText"/>
              <w:spacing w:before="0"/>
              <w:ind w:left="290" w:hanging="284"/>
              <w:jc w:val="both"/>
              <w:rPr>
                <w:rFonts w:cs="Calibri"/>
                <w:bCs/>
              </w:rPr>
            </w:pPr>
          </w:p>
        </w:tc>
        <w:tc>
          <w:tcPr>
            <w:tcW w:w="599" w:type="pct"/>
            <w:tcBorders>
              <w:top w:val="double" w:sz="4" w:space="0" w:color="auto"/>
              <w:left w:val="nil"/>
              <w:bottom w:val="nil"/>
              <w:right w:val="nil"/>
            </w:tcBorders>
            <w:vAlign w:val="bottom"/>
          </w:tcPr>
          <w:p w14:paraId="5742CE31"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38ED24B6"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7CA63E11"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10A81E38" w14:textId="77777777" w:rsidR="001A0130" w:rsidRPr="00327BF3" w:rsidRDefault="001A0130" w:rsidP="001A0130">
            <w:pPr>
              <w:pStyle w:val="TableText"/>
              <w:spacing w:before="0"/>
              <w:ind w:left="290" w:hanging="284"/>
              <w:jc w:val="both"/>
              <w:rPr>
                <w:rFonts w:cs="Calibri"/>
                <w:b/>
              </w:rPr>
            </w:pPr>
          </w:p>
        </w:tc>
      </w:tr>
      <w:tr w:rsidR="001A0130" w:rsidRPr="00DD296A" w14:paraId="5284B464" w14:textId="77777777" w:rsidTr="005F5B4C">
        <w:trPr>
          <w:trHeight w:val="23"/>
        </w:trPr>
        <w:tc>
          <w:tcPr>
            <w:tcW w:w="737" w:type="pct"/>
            <w:tcBorders>
              <w:top w:val="nil"/>
              <w:left w:val="single" w:sz="2" w:space="0" w:color="auto"/>
              <w:bottom w:val="nil"/>
              <w:right w:val="single" w:sz="2" w:space="0" w:color="auto"/>
            </w:tcBorders>
          </w:tcPr>
          <w:p w14:paraId="317B61FD"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auto"/>
            <w:vAlign w:val="bottom"/>
          </w:tcPr>
          <w:p w14:paraId="656AEFF7" w14:textId="77777777" w:rsidR="001A0130" w:rsidRPr="00327BF3" w:rsidRDefault="001A0130" w:rsidP="001A0130">
            <w:pPr>
              <w:pStyle w:val="CommentaryTitle"/>
              <w:spacing w:before="0" w:after="0"/>
              <w:rPr>
                <w:rFonts w:cs="Calibri"/>
              </w:rPr>
            </w:pPr>
          </w:p>
        </w:tc>
      </w:tr>
      <w:tr w:rsidR="001A0130" w:rsidRPr="00DD296A" w14:paraId="5D2627E4" w14:textId="77777777" w:rsidTr="005F5B4C">
        <w:trPr>
          <w:trHeight w:val="23"/>
        </w:trPr>
        <w:tc>
          <w:tcPr>
            <w:tcW w:w="737" w:type="pct"/>
            <w:tcBorders>
              <w:top w:val="nil"/>
              <w:left w:val="single" w:sz="2" w:space="0" w:color="auto"/>
              <w:bottom w:val="nil"/>
              <w:right w:val="single" w:sz="2" w:space="0" w:color="auto"/>
            </w:tcBorders>
          </w:tcPr>
          <w:p w14:paraId="4B6ED493"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7030A0"/>
            <w:vAlign w:val="bottom"/>
          </w:tcPr>
          <w:p w14:paraId="75DDE84F" w14:textId="3B616CC8" w:rsidR="001A0130" w:rsidRPr="00327BF3" w:rsidRDefault="001A0130" w:rsidP="00B81B19">
            <w:pPr>
              <w:pStyle w:val="CommentaryTitle"/>
              <w:spacing w:before="0" w:after="240"/>
              <w:rPr>
                <w:rFonts w:cs="Calibri"/>
                <w:color w:val="FFFFFF" w:themeColor="background1"/>
                <w:sz w:val="28"/>
                <w:szCs w:val="28"/>
              </w:rPr>
            </w:pPr>
            <w:r w:rsidRPr="00327BF3">
              <w:rPr>
                <w:rFonts w:cs="Calibri"/>
                <w:color w:val="FFFFFF" w:themeColor="background1"/>
                <w:sz w:val="28"/>
                <w:szCs w:val="28"/>
              </w:rPr>
              <w:t xml:space="preserve">Commentary – Note 15: Cash and Investments </w:t>
            </w:r>
          </w:p>
        </w:tc>
      </w:tr>
      <w:tr w:rsidR="001A0130" w:rsidRPr="008124AD" w14:paraId="4C0EEAB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F61DC14"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0844A231" w14:textId="617DA52A" w:rsidR="001A0130" w:rsidRPr="00B81B19" w:rsidRDefault="001A0130" w:rsidP="00CC1E25">
            <w:pPr>
              <w:spacing w:after="40"/>
              <w:rPr>
                <w:b/>
                <w:bCs/>
                <w:color w:val="FFFFFF" w:themeColor="background1"/>
                <w:sz w:val="20"/>
                <w:szCs w:val="20"/>
              </w:rPr>
            </w:pPr>
            <w:r w:rsidRPr="00B81B19">
              <w:rPr>
                <w:b/>
                <w:bCs/>
                <w:color w:val="FFFFFF" w:themeColor="background1"/>
                <w:sz w:val="20"/>
                <w:szCs w:val="20"/>
              </w:rPr>
              <w:t>Definition of Cash</w:t>
            </w:r>
          </w:p>
        </w:tc>
      </w:tr>
      <w:tr w:rsidR="001A0130" w:rsidRPr="008124AD" w14:paraId="406433D7" w14:textId="77777777" w:rsidTr="00CC1E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57"/>
        </w:trPr>
        <w:tc>
          <w:tcPr>
            <w:tcW w:w="737" w:type="pct"/>
            <w:tcBorders>
              <w:left w:val="single" w:sz="2" w:space="0" w:color="auto"/>
              <w:right w:val="single" w:sz="2" w:space="0" w:color="auto"/>
            </w:tcBorders>
          </w:tcPr>
          <w:p w14:paraId="1659BB05" w14:textId="2C362DC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107.6</w:t>
            </w:r>
          </w:p>
        </w:tc>
        <w:tc>
          <w:tcPr>
            <w:tcW w:w="4263" w:type="pct"/>
            <w:gridSpan w:val="5"/>
            <w:tcBorders>
              <w:left w:val="single" w:sz="2" w:space="0" w:color="auto"/>
            </w:tcBorders>
            <w:shd w:val="clear" w:color="auto" w:fill="7030A0"/>
          </w:tcPr>
          <w:p w14:paraId="0B686E82" w14:textId="381D0DC5" w:rsidR="001A0130" w:rsidRPr="00327BF3" w:rsidRDefault="001A0130" w:rsidP="001A0130">
            <w:pPr>
              <w:spacing w:after="120"/>
              <w:jc w:val="both"/>
              <w:rPr>
                <w:b/>
                <w:bCs/>
                <w:color w:val="FFFFFF" w:themeColor="background1"/>
                <w:sz w:val="18"/>
                <w:szCs w:val="18"/>
              </w:rPr>
            </w:pPr>
            <w:r w:rsidRPr="00327BF3">
              <w:rPr>
                <w:color w:val="FFFFFF" w:themeColor="background1"/>
                <w:sz w:val="18"/>
                <w:szCs w:val="18"/>
              </w:rPr>
              <w:t xml:space="preserve">Cash is defined in AASB 107 </w:t>
            </w:r>
            <w:r w:rsidRPr="00327BF3">
              <w:rPr>
                <w:i/>
                <w:iCs/>
                <w:color w:val="FFFFFF" w:themeColor="background1"/>
                <w:sz w:val="18"/>
                <w:szCs w:val="18"/>
              </w:rPr>
              <w:t>Statement of Cash Flows</w:t>
            </w:r>
            <w:r w:rsidRPr="00327BF3">
              <w:rPr>
                <w:color w:val="FFFFFF" w:themeColor="background1"/>
                <w:sz w:val="18"/>
                <w:szCs w:val="18"/>
              </w:rPr>
              <w:t xml:space="preserve"> as cash on hand and demand deposits.</w:t>
            </w:r>
            <w:r w:rsidR="00FA7C77">
              <w:rPr>
                <w:color w:val="FFFFFF" w:themeColor="background1"/>
                <w:sz w:val="18"/>
                <w:szCs w:val="18"/>
              </w:rPr>
              <w:t xml:space="preserve"> </w:t>
            </w:r>
            <w:r w:rsidRPr="00327BF3">
              <w:rPr>
                <w:color w:val="FFFFFF" w:themeColor="background1"/>
                <w:sz w:val="18"/>
                <w:szCs w:val="18"/>
              </w:rPr>
              <w:t>Cash on hand means notes and coins held and demand deposits are deposits held at call with a financial institution.</w:t>
            </w:r>
          </w:p>
        </w:tc>
      </w:tr>
      <w:tr w:rsidR="001A0130" w:rsidRPr="008124AD" w14:paraId="1098464D"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32E10F5"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107.6</w:t>
            </w:r>
          </w:p>
          <w:p w14:paraId="133E954E"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62F29DB0" w14:textId="694D3229" w:rsidR="001A0130" w:rsidRPr="00327BF3" w:rsidRDefault="001A0130" w:rsidP="001A0130">
            <w:pPr>
              <w:spacing w:after="120"/>
              <w:jc w:val="both"/>
              <w:rPr>
                <w:b/>
                <w:bCs/>
                <w:color w:val="FFFFFF" w:themeColor="background1"/>
                <w:sz w:val="18"/>
                <w:szCs w:val="18"/>
              </w:rPr>
            </w:pPr>
            <w:bookmarkStart w:id="560" w:name="_Hlk130196544"/>
            <w:r w:rsidRPr="00327BF3">
              <w:rPr>
                <w:color w:val="FFFFFF" w:themeColor="background1"/>
                <w:sz w:val="18"/>
                <w:szCs w:val="18"/>
              </w:rPr>
              <w:t>Cash equivalent assets are short-term, highly liquid investments that are readily convertible to known amounts of cash and are not subject to significant risk of movements in value.</w:t>
            </w:r>
            <w:bookmarkEnd w:id="560"/>
          </w:p>
        </w:tc>
      </w:tr>
    </w:tbl>
    <w:p w14:paraId="7BFCD9A3" w14:textId="77777777" w:rsidR="00F22D61" w:rsidRDefault="00F22D61">
      <w:r>
        <w:br w:type="page"/>
      </w:r>
    </w:p>
    <w:tbl>
      <w:tblPr>
        <w:tblW w:w="5128" w:type="pct"/>
        <w:tblInd w:w="-6" w:type="dxa"/>
        <w:shd w:val="clear" w:color="auto" w:fill="CCFFCC"/>
        <w:tblLook w:val="00A0" w:firstRow="1" w:lastRow="0" w:firstColumn="1" w:lastColumn="0" w:noHBand="0" w:noVBand="0"/>
      </w:tblPr>
      <w:tblGrid>
        <w:gridCol w:w="1564"/>
        <w:gridCol w:w="8930"/>
      </w:tblGrid>
      <w:tr w:rsidR="00F22D61" w:rsidRPr="008124AD" w14:paraId="1C808329" w14:textId="77777777" w:rsidTr="00252CC9">
        <w:trPr>
          <w:trHeight w:val="119"/>
        </w:trPr>
        <w:tc>
          <w:tcPr>
            <w:tcW w:w="745" w:type="pct"/>
            <w:tcBorders>
              <w:left w:val="single" w:sz="2" w:space="0" w:color="auto"/>
              <w:right w:val="single" w:sz="2" w:space="0" w:color="auto"/>
            </w:tcBorders>
          </w:tcPr>
          <w:p w14:paraId="7ECC9F00" w14:textId="77777777" w:rsidR="00F22D61" w:rsidRPr="001A0130" w:rsidRDefault="00F22D61" w:rsidP="0053546F">
            <w:pPr>
              <w:pStyle w:val="TableReference"/>
              <w:tabs>
                <w:tab w:val="left" w:pos="3306"/>
              </w:tabs>
              <w:spacing w:before="240" w:after="240"/>
              <w:rPr>
                <w:rFonts w:cs="Calibri"/>
                <w:color w:val="7030A0"/>
                <w:sz w:val="14"/>
              </w:rPr>
            </w:pPr>
            <w:r w:rsidRPr="001A0130">
              <w:rPr>
                <w:rFonts w:cs="Calibri"/>
                <w:b/>
                <w:bCs/>
                <w:color w:val="7030A0"/>
                <w:sz w:val="22"/>
                <w:szCs w:val="22"/>
              </w:rPr>
              <w:t>Reference</w:t>
            </w:r>
          </w:p>
        </w:tc>
        <w:tc>
          <w:tcPr>
            <w:tcW w:w="4255" w:type="pct"/>
            <w:tcBorders>
              <w:left w:val="single" w:sz="2" w:space="0" w:color="auto"/>
            </w:tcBorders>
            <w:shd w:val="clear" w:color="auto" w:fill="7030A0"/>
          </w:tcPr>
          <w:p w14:paraId="0AFCBA37" w14:textId="77777777" w:rsidR="00F22D61" w:rsidRPr="001A0130" w:rsidRDefault="00F22D61" w:rsidP="0053546F">
            <w:pPr>
              <w:spacing w:before="240" w:after="240"/>
              <w:jc w:val="both"/>
              <w:rPr>
                <w:i/>
                <w:iCs/>
                <w:color w:val="FFFFFF" w:themeColor="background1"/>
                <w:sz w:val="18"/>
                <w:szCs w:val="18"/>
              </w:rPr>
            </w:pPr>
            <w:r w:rsidRPr="001A0130">
              <w:rPr>
                <w:rFonts w:cs="Calibri"/>
                <w:b/>
                <w:bCs/>
                <w:color w:val="FFFFFF" w:themeColor="background1"/>
                <w:sz w:val="28"/>
                <w:szCs w:val="28"/>
              </w:rPr>
              <w:t xml:space="preserve">Commentary – Note 15: Cash and Investments </w:t>
            </w:r>
            <w:r>
              <w:rPr>
                <w:rFonts w:cs="Calibri"/>
                <w:b/>
                <w:bCs/>
                <w:color w:val="FFFFFF" w:themeColor="background1"/>
                <w:sz w:val="28"/>
                <w:szCs w:val="28"/>
              </w:rPr>
              <w:t>–</w:t>
            </w:r>
            <w:r w:rsidRPr="001A0130">
              <w:rPr>
                <w:rFonts w:cs="Calibri"/>
                <w:b/>
                <w:bCs/>
                <w:color w:val="FFFFFF" w:themeColor="background1"/>
                <w:sz w:val="28"/>
                <w:szCs w:val="28"/>
              </w:rPr>
              <w:t xml:space="preserve"> Continued</w:t>
            </w:r>
            <w:r>
              <w:rPr>
                <w:rFonts w:cs="Calibri"/>
                <w:b/>
                <w:bCs/>
                <w:color w:val="FFFFFF" w:themeColor="background1"/>
                <w:sz w:val="28"/>
                <w:szCs w:val="28"/>
              </w:rPr>
              <w:t xml:space="preserve"> </w:t>
            </w:r>
          </w:p>
        </w:tc>
      </w:tr>
      <w:tr w:rsidR="006D44C3" w:rsidRPr="008124AD" w14:paraId="637B39A4" w14:textId="77777777" w:rsidTr="00252CC9">
        <w:trPr>
          <w:trHeight w:val="119"/>
        </w:trPr>
        <w:tc>
          <w:tcPr>
            <w:tcW w:w="745" w:type="pct"/>
            <w:tcBorders>
              <w:left w:val="single" w:sz="2" w:space="0" w:color="auto"/>
              <w:right w:val="single" w:sz="2" w:space="0" w:color="auto"/>
            </w:tcBorders>
          </w:tcPr>
          <w:p w14:paraId="7B577072" w14:textId="2D3F99D2"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6481D2A7" w14:textId="12D5CC26" w:rsidR="006D44C3" w:rsidRPr="008A6781" w:rsidRDefault="006D44C3" w:rsidP="006D44C3">
            <w:pPr>
              <w:spacing w:after="40"/>
              <w:jc w:val="both"/>
              <w:rPr>
                <w:b/>
                <w:bCs/>
                <w:color w:val="FFFFFF" w:themeColor="background1"/>
                <w:sz w:val="20"/>
                <w:szCs w:val="20"/>
              </w:rPr>
            </w:pPr>
            <w:r w:rsidRPr="008A6781">
              <w:rPr>
                <w:rFonts w:cs="Calibri"/>
                <w:b/>
                <w:bCs/>
                <w:color w:val="FF0000"/>
                <w:sz w:val="20"/>
                <w:szCs w:val="20"/>
              </w:rPr>
              <w:t>Cash and Investments</w:t>
            </w:r>
          </w:p>
        </w:tc>
      </w:tr>
      <w:tr w:rsidR="006D44C3" w:rsidRPr="008124AD" w14:paraId="45A4EFF0" w14:textId="77777777" w:rsidTr="00252CC9">
        <w:trPr>
          <w:trHeight w:val="119"/>
        </w:trPr>
        <w:tc>
          <w:tcPr>
            <w:tcW w:w="745" w:type="pct"/>
            <w:tcBorders>
              <w:left w:val="single" w:sz="2" w:space="0" w:color="auto"/>
              <w:right w:val="single" w:sz="2" w:space="0" w:color="auto"/>
            </w:tcBorders>
          </w:tcPr>
          <w:p w14:paraId="64C5ECF9"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1821040C" w14:textId="1090ACC9" w:rsidR="006D44C3" w:rsidRPr="008A6781" w:rsidRDefault="006D44C3" w:rsidP="006D44C3">
            <w:pPr>
              <w:spacing w:after="120"/>
              <w:jc w:val="both"/>
              <w:rPr>
                <w:b/>
                <w:bCs/>
                <w:color w:val="FFFFFF" w:themeColor="background1"/>
                <w:sz w:val="20"/>
                <w:szCs w:val="20"/>
              </w:rPr>
            </w:pPr>
            <w:r w:rsidRPr="008A6781">
              <w:rPr>
                <w:rFonts w:cs="Calibri"/>
                <w:color w:val="FF0000"/>
                <w:sz w:val="18"/>
                <w:szCs w:val="18"/>
              </w:rPr>
              <w:t>Where an agency does not have any investments (either actual or budget) they should title this note ‘Cash and Cash Equivalents’ rather than ‘Cash and Investment’.</w:t>
            </w:r>
          </w:p>
        </w:tc>
      </w:tr>
      <w:tr w:rsidR="006D44C3" w:rsidRPr="008124AD" w14:paraId="0A5AEA70" w14:textId="77777777" w:rsidTr="00252CC9">
        <w:trPr>
          <w:trHeight w:val="119"/>
        </w:trPr>
        <w:tc>
          <w:tcPr>
            <w:tcW w:w="745" w:type="pct"/>
            <w:tcBorders>
              <w:left w:val="single" w:sz="2" w:space="0" w:color="auto"/>
              <w:right w:val="single" w:sz="2" w:space="0" w:color="auto"/>
            </w:tcBorders>
          </w:tcPr>
          <w:p w14:paraId="62AB1EDF"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59CC36B0" w14:textId="4ECF0D46" w:rsidR="006D44C3" w:rsidRPr="00B81B19" w:rsidRDefault="006D44C3" w:rsidP="006D44C3">
            <w:pPr>
              <w:spacing w:after="40"/>
              <w:jc w:val="both"/>
              <w:rPr>
                <w:b/>
                <w:bCs/>
                <w:color w:val="FFFFFF" w:themeColor="background1"/>
                <w:sz w:val="20"/>
                <w:szCs w:val="20"/>
              </w:rPr>
            </w:pPr>
            <w:r w:rsidRPr="00B81B19">
              <w:rPr>
                <w:b/>
                <w:bCs/>
                <w:color w:val="FFFFFF" w:themeColor="background1"/>
                <w:sz w:val="20"/>
                <w:szCs w:val="20"/>
              </w:rPr>
              <w:t>Whole-of-Government Banking Arrangements</w:t>
            </w:r>
          </w:p>
        </w:tc>
      </w:tr>
      <w:tr w:rsidR="006D44C3" w:rsidRPr="008124AD" w14:paraId="0D15F5EB" w14:textId="77777777" w:rsidTr="00252CC9">
        <w:trPr>
          <w:trHeight w:val="119"/>
        </w:trPr>
        <w:tc>
          <w:tcPr>
            <w:tcW w:w="745" w:type="pct"/>
            <w:tcBorders>
              <w:left w:val="single" w:sz="2" w:space="0" w:color="auto"/>
              <w:right w:val="single" w:sz="2" w:space="0" w:color="auto"/>
            </w:tcBorders>
          </w:tcPr>
          <w:p w14:paraId="61FCB51D"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6BD092E" w14:textId="21F8CEC7" w:rsidR="006D44C3" w:rsidRPr="00327BF3" w:rsidRDefault="006D44C3" w:rsidP="006D44C3">
            <w:pPr>
              <w:spacing w:after="120"/>
              <w:jc w:val="both"/>
              <w:rPr>
                <w:color w:val="FFFFFF" w:themeColor="background1"/>
                <w:sz w:val="18"/>
                <w:szCs w:val="18"/>
              </w:rPr>
            </w:pPr>
            <w:r w:rsidRPr="00327BF3">
              <w:rPr>
                <w:color w:val="FFFFFF" w:themeColor="background1"/>
                <w:sz w:val="18"/>
                <w:szCs w:val="18"/>
              </w:rPr>
              <w:t>Agencies can have either set-off or non set-off bank accounts through the Territory Banking Account with Westpac as part of the Whole-of-Government Banking Arrangement.</w:t>
            </w:r>
            <w:r>
              <w:rPr>
                <w:color w:val="FFFFFF" w:themeColor="background1"/>
                <w:sz w:val="18"/>
                <w:szCs w:val="18"/>
              </w:rPr>
              <w:t xml:space="preserve"> </w:t>
            </w:r>
            <w:r w:rsidRPr="00327BF3">
              <w:rPr>
                <w:color w:val="FFFFFF" w:themeColor="background1"/>
                <w:sz w:val="18"/>
                <w:szCs w:val="18"/>
              </w:rPr>
              <w:t xml:space="preserve">Agencies that have set-off bank accounts will not earn interest on the funds in those accounts. However, agencies that have non set-off bank accounts will earn interest on the funds in those accounts which should be recorded as interest revenue in Note 7 </w:t>
            </w:r>
            <w:r w:rsidRPr="00327BF3">
              <w:rPr>
                <w:i/>
                <w:iCs/>
                <w:color w:val="FFFFFF" w:themeColor="background1"/>
                <w:sz w:val="18"/>
                <w:szCs w:val="18"/>
              </w:rPr>
              <w:t xml:space="preserve">Investment </w:t>
            </w:r>
            <w:r>
              <w:rPr>
                <w:i/>
                <w:iCs/>
                <w:color w:val="FFFFFF" w:themeColor="background1"/>
                <w:sz w:val="18"/>
                <w:szCs w:val="18"/>
              </w:rPr>
              <w:t xml:space="preserve">and Interest </w:t>
            </w:r>
            <w:r w:rsidRPr="00327BF3">
              <w:rPr>
                <w:i/>
                <w:iCs/>
                <w:color w:val="FFFFFF" w:themeColor="background1"/>
                <w:sz w:val="18"/>
                <w:szCs w:val="18"/>
              </w:rPr>
              <w:t>Revenue</w:t>
            </w:r>
            <w:r w:rsidRPr="00327BF3">
              <w:rPr>
                <w:color w:val="FFFFFF" w:themeColor="background1"/>
                <w:sz w:val="18"/>
                <w:szCs w:val="18"/>
              </w:rPr>
              <w:t>.</w:t>
            </w:r>
            <w:r>
              <w:rPr>
                <w:color w:val="FFFFFF" w:themeColor="background1"/>
                <w:sz w:val="18"/>
                <w:szCs w:val="18"/>
              </w:rPr>
              <w:t xml:space="preserve"> </w:t>
            </w:r>
          </w:p>
        </w:tc>
      </w:tr>
      <w:tr w:rsidR="006D44C3" w:rsidRPr="008124AD" w14:paraId="1F33594F" w14:textId="77777777" w:rsidTr="00252CC9">
        <w:trPr>
          <w:trHeight w:val="119"/>
        </w:trPr>
        <w:tc>
          <w:tcPr>
            <w:tcW w:w="745" w:type="pct"/>
            <w:tcBorders>
              <w:left w:val="single" w:sz="2" w:space="0" w:color="auto"/>
              <w:right w:val="single" w:sz="2" w:space="0" w:color="auto"/>
            </w:tcBorders>
          </w:tcPr>
          <w:p w14:paraId="0B0B68CE"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4FC04C13" w14:textId="7E7CA771" w:rsidR="006D44C3" w:rsidRPr="0071520C" w:rsidRDefault="006D44C3" w:rsidP="006D44C3">
            <w:pPr>
              <w:spacing w:after="40"/>
              <w:jc w:val="both"/>
              <w:rPr>
                <w:b/>
                <w:bCs/>
                <w:strike/>
                <w:color w:val="FFFFFF" w:themeColor="background1"/>
                <w:sz w:val="20"/>
                <w:szCs w:val="20"/>
              </w:rPr>
            </w:pPr>
            <w:r w:rsidRPr="00E37048">
              <w:rPr>
                <w:b/>
                <w:bCs/>
                <w:color w:val="FF0000"/>
                <w:sz w:val="20"/>
                <w:szCs w:val="20"/>
              </w:rPr>
              <w:t>Third Party Monies</w:t>
            </w:r>
            <w:r w:rsidRPr="00E37048">
              <w:rPr>
                <w:b/>
                <w:bCs/>
                <w:strike/>
                <w:color w:val="FF0000"/>
                <w:sz w:val="20"/>
                <w:szCs w:val="20"/>
              </w:rPr>
              <w:t xml:space="preserve"> Trust Account Balances</w:t>
            </w:r>
          </w:p>
        </w:tc>
      </w:tr>
      <w:tr w:rsidR="006D44C3" w:rsidRPr="008124AD" w14:paraId="03395748" w14:textId="77777777" w:rsidTr="00252CC9">
        <w:trPr>
          <w:trHeight w:val="119"/>
        </w:trPr>
        <w:tc>
          <w:tcPr>
            <w:tcW w:w="745" w:type="pct"/>
            <w:tcBorders>
              <w:left w:val="single" w:sz="2" w:space="0" w:color="auto"/>
              <w:right w:val="single" w:sz="2" w:space="0" w:color="auto"/>
            </w:tcBorders>
          </w:tcPr>
          <w:p w14:paraId="50E86457" w14:textId="600B2828"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FMA Section 49</w:t>
            </w:r>
          </w:p>
        </w:tc>
        <w:tc>
          <w:tcPr>
            <w:tcW w:w="4255" w:type="pct"/>
            <w:tcBorders>
              <w:left w:val="single" w:sz="2" w:space="0" w:color="auto"/>
            </w:tcBorders>
            <w:shd w:val="clear" w:color="auto" w:fill="7030A0"/>
          </w:tcPr>
          <w:p w14:paraId="7E5E503E" w14:textId="5A540902" w:rsidR="006D44C3" w:rsidRPr="001A0130" w:rsidRDefault="006D44C3" w:rsidP="006D44C3">
            <w:pPr>
              <w:jc w:val="both"/>
              <w:rPr>
                <w:b/>
                <w:bCs/>
                <w:color w:val="FFFFFF" w:themeColor="background1"/>
                <w:sz w:val="18"/>
                <w:szCs w:val="18"/>
              </w:rPr>
            </w:pPr>
            <w:r w:rsidRPr="001A0130">
              <w:rPr>
                <w:color w:val="FFFFFF" w:themeColor="background1"/>
                <w:sz w:val="18"/>
                <w:szCs w:val="18"/>
              </w:rPr>
              <w:t>Any monies held in trust by an agency should not be included in the agency’s cash balance.</w:t>
            </w:r>
            <w:r>
              <w:rPr>
                <w:color w:val="FFFFFF" w:themeColor="background1"/>
                <w:sz w:val="18"/>
                <w:szCs w:val="18"/>
              </w:rPr>
              <w:t xml:space="preserve"> </w:t>
            </w:r>
            <w:r w:rsidRPr="001A0130">
              <w:rPr>
                <w:color w:val="FFFFFF" w:themeColor="background1"/>
                <w:sz w:val="18"/>
                <w:szCs w:val="18"/>
              </w:rPr>
              <w:t>Monies held in trust are disclosed by way of note only (see Note 3</w:t>
            </w:r>
            <w:r>
              <w:rPr>
                <w:color w:val="FFFFFF" w:themeColor="background1"/>
                <w:sz w:val="18"/>
                <w:szCs w:val="18"/>
              </w:rPr>
              <w:t>7</w:t>
            </w:r>
            <w:r w:rsidRPr="001A0130">
              <w:rPr>
                <w:color w:val="FFFFFF" w:themeColor="background1"/>
                <w:sz w:val="18"/>
                <w:szCs w:val="18"/>
              </w:rPr>
              <w:t xml:space="preserve"> </w:t>
            </w:r>
            <w:r w:rsidRPr="001A0130">
              <w:rPr>
                <w:i/>
                <w:color w:val="FFFFFF" w:themeColor="background1"/>
                <w:sz w:val="18"/>
                <w:szCs w:val="18"/>
              </w:rPr>
              <w:t>Third Party Monies</w:t>
            </w:r>
            <w:r w:rsidRPr="001A0130">
              <w:rPr>
                <w:color w:val="FFFFFF" w:themeColor="background1"/>
                <w:sz w:val="18"/>
                <w:szCs w:val="18"/>
              </w:rPr>
              <w:t>).</w:t>
            </w:r>
          </w:p>
        </w:tc>
      </w:tr>
      <w:tr w:rsidR="006D44C3" w:rsidRPr="008124AD" w14:paraId="72AA2DB7" w14:textId="77777777" w:rsidTr="00252CC9">
        <w:trPr>
          <w:trHeight w:val="119"/>
        </w:trPr>
        <w:tc>
          <w:tcPr>
            <w:tcW w:w="745" w:type="pct"/>
            <w:tcBorders>
              <w:left w:val="single" w:sz="2" w:space="0" w:color="auto"/>
              <w:right w:val="single" w:sz="2" w:space="0" w:color="auto"/>
            </w:tcBorders>
          </w:tcPr>
          <w:p w14:paraId="06AFE882"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25777402" w14:textId="2A6D8EA3" w:rsidR="006D44C3" w:rsidRPr="00B81B19" w:rsidRDefault="006D44C3" w:rsidP="006D44C3">
            <w:pPr>
              <w:pStyle w:val="CommentaryHeading"/>
              <w:tabs>
                <w:tab w:val="left" w:pos="3306"/>
              </w:tabs>
              <w:spacing w:after="40"/>
              <w:jc w:val="both"/>
              <w:rPr>
                <w:rFonts w:cs="Calibri"/>
                <w:color w:val="FFFFFF" w:themeColor="background1"/>
                <w:szCs w:val="20"/>
              </w:rPr>
            </w:pPr>
            <w:r w:rsidRPr="00B81B19">
              <w:rPr>
                <w:rFonts w:cs="Calibri"/>
                <w:color w:val="FFFFFF" w:themeColor="background1"/>
                <w:szCs w:val="20"/>
              </w:rPr>
              <w:t>Investments</w:t>
            </w:r>
          </w:p>
        </w:tc>
      </w:tr>
      <w:tr w:rsidR="006D44C3" w:rsidRPr="008124AD" w14:paraId="5E87CE48" w14:textId="77777777" w:rsidTr="00252CC9">
        <w:trPr>
          <w:trHeight w:val="119"/>
        </w:trPr>
        <w:tc>
          <w:tcPr>
            <w:tcW w:w="745" w:type="pct"/>
            <w:tcBorders>
              <w:left w:val="single" w:sz="2" w:space="0" w:color="auto"/>
              <w:right w:val="single" w:sz="2" w:space="0" w:color="auto"/>
            </w:tcBorders>
          </w:tcPr>
          <w:p w14:paraId="36815056" w14:textId="77777777"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ACT Treasury Directorate Finance Memorandum 2006/11</w:t>
            </w:r>
          </w:p>
        </w:tc>
        <w:tc>
          <w:tcPr>
            <w:tcW w:w="4255" w:type="pct"/>
            <w:tcBorders>
              <w:left w:val="single" w:sz="2" w:space="0" w:color="auto"/>
            </w:tcBorders>
            <w:shd w:val="clear" w:color="auto" w:fill="7030A0"/>
          </w:tcPr>
          <w:p w14:paraId="59CB123F" w14:textId="290F14AF" w:rsidR="006D44C3" w:rsidRPr="001A0130" w:rsidRDefault="006D44C3" w:rsidP="006D44C3">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To facilitate an efficient investment management arrangement a centralised and unitised investment administration structure is provided by Treasury, through the Territory Banking Account, that provide</w:t>
            </w:r>
            <w:r>
              <w:rPr>
                <w:rFonts w:cs="Calibri"/>
                <w:b w:val="0"/>
                <w:bCs w:val="0"/>
                <w:color w:val="FFFFFF" w:themeColor="background1"/>
                <w:sz w:val="18"/>
              </w:rPr>
              <w:t>s</w:t>
            </w:r>
            <w:r w:rsidRPr="001A0130">
              <w:rPr>
                <w:rFonts w:cs="Calibri"/>
                <w:b w:val="0"/>
                <w:bCs w:val="0"/>
                <w:color w:val="FFFFFF" w:themeColor="background1"/>
                <w:sz w:val="18"/>
              </w:rPr>
              <w:t xml:space="preserve"> different investment options to meet the specific objectives of those agencies that have the approval to invest their funds.</w:t>
            </w:r>
            <w:r>
              <w:rPr>
                <w:rFonts w:cs="Calibri"/>
                <w:b w:val="0"/>
                <w:bCs w:val="0"/>
                <w:color w:val="FFFFFF" w:themeColor="background1"/>
                <w:sz w:val="18"/>
              </w:rPr>
              <w:t xml:space="preserve"> </w:t>
            </w:r>
            <w:r w:rsidRPr="001A0130">
              <w:rPr>
                <w:rFonts w:cs="Calibri"/>
                <w:b w:val="0"/>
                <w:bCs w:val="0"/>
                <w:color w:val="FFFFFF" w:themeColor="background1"/>
                <w:sz w:val="18"/>
              </w:rPr>
              <w:t xml:space="preserve">Individual Investment Plans for each investing agency, describing their investment strategy and objectives, are required to be approved by the Treasurer. </w:t>
            </w:r>
          </w:p>
        </w:tc>
      </w:tr>
      <w:tr w:rsidR="006D44C3" w:rsidRPr="008124AD" w14:paraId="69D8D40E" w14:textId="77777777" w:rsidTr="00252CC9">
        <w:trPr>
          <w:trHeight w:val="119"/>
        </w:trPr>
        <w:tc>
          <w:tcPr>
            <w:tcW w:w="745" w:type="pct"/>
            <w:tcBorders>
              <w:left w:val="single" w:sz="2" w:space="0" w:color="auto"/>
              <w:right w:val="single" w:sz="2" w:space="0" w:color="auto"/>
            </w:tcBorders>
          </w:tcPr>
          <w:p w14:paraId="31BB2B0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46F3889" w14:textId="6374B0A7" w:rsidR="006D44C3" w:rsidRPr="001A0130" w:rsidRDefault="006D44C3" w:rsidP="006D44C3">
            <w:pPr>
              <w:pStyle w:val="CommentaryHeading"/>
              <w:tabs>
                <w:tab w:val="left" w:pos="3306"/>
              </w:tabs>
              <w:spacing w:before="0" w:after="0"/>
              <w:jc w:val="both"/>
              <w:rPr>
                <w:rFonts w:cs="Calibri"/>
                <w:b w:val="0"/>
                <w:bCs w:val="0"/>
                <w:color w:val="FFFFFF" w:themeColor="background1"/>
                <w:sz w:val="18"/>
              </w:rPr>
            </w:pPr>
            <w:r w:rsidRPr="001A0130">
              <w:rPr>
                <w:rFonts w:cs="Calibri"/>
                <w:b w:val="0"/>
                <w:bCs w:val="0"/>
                <w:color w:val="FFFFFF" w:themeColor="background1"/>
                <w:sz w:val="18"/>
              </w:rPr>
              <w:t>Agency investors have ‘Investment Unit Holdings’ with the Territory Banking Account.</w:t>
            </w:r>
          </w:p>
        </w:tc>
      </w:tr>
      <w:tr w:rsidR="006D44C3" w:rsidRPr="008124AD" w14:paraId="2DABE629" w14:textId="77777777" w:rsidTr="00252CC9">
        <w:trPr>
          <w:trHeight w:val="119"/>
        </w:trPr>
        <w:tc>
          <w:tcPr>
            <w:tcW w:w="745" w:type="pct"/>
            <w:tcBorders>
              <w:left w:val="single" w:sz="2" w:space="0" w:color="auto"/>
              <w:right w:val="single" w:sz="2" w:space="0" w:color="auto"/>
            </w:tcBorders>
          </w:tcPr>
          <w:p w14:paraId="1F9E8B65"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205666A1" w14:textId="17CFA73E" w:rsidR="006D44C3" w:rsidRPr="0071520C" w:rsidRDefault="006D44C3" w:rsidP="006D44C3">
            <w:pPr>
              <w:pStyle w:val="CommentaryHeading"/>
              <w:tabs>
                <w:tab w:val="left" w:pos="3306"/>
              </w:tabs>
              <w:spacing w:before="0" w:after="0"/>
              <w:jc w:val="both"/>
              <w:rPr>
                <w:rFonts w:cs="Calibri"/>
                <w:b w:val="0"/>
                <w:bCs w:val="0"/>
                <w:strike/>
                <w:color w:val="FFFFFF" w:themeColor="background1"/>
                <w:sz w:val="18"/>
              </w:rPr>
            </w:pPr>
            <w:r w:rsidRPr="00E37048">
              <w:rPr>
                <w:rFonts w:cs="Calibri"/>
                <w:b w:val="0"/>
                <w:bCs w:val="0"/>
                <w:strike/>
                <w:color w:val="FF0000"/>
                <w:sz w:val="18"/>
              </w:rPr>
              <w:t>Different investment options are provided by the Territory Banking Account to Agencies in order to meet the specific objectives of those agencies.</w:t>
            </w:r>
            <w:r w:rsidRPr="0071520C">
              <w:rPr>
                <w:rFonts w:cs="Calibri"/>
                <w:b w:val="0"/>
                <w:bCs w:val="0"/>
                <w:strike/>
                <w:color w:val="FF0000"/>
                <w:sz w:val="18"/>
              </w:rPr>
              <w:t xml:space="preserve"> </w:t>
            </w:r>
          </w:p>
        </w:tc>
      </w:tr>
      <w:tr w:rsidR="006D44C3" w:rsidRPr="00DD296A" w14:paraId="1E0776D1" w14:textId="77777777" w:rsidTr="00252CC9">
        <w:trPr>
          <w:trHeight w:val="510"/>
        </w:trPr>
        <w:tc>
          <w:tcPr>
            <w:tcW w:w="745" w:type="pct"/>
            <w:tcBorders>
              <w:left w:val="single" w:sz="2" w:space="0" w:color="auto"/>
              <w:right w:val="single" w:sz="2" w:space="0" w:color="auto"/>
            </w:tcBorders>
          </w:tcPr>
          <w:p w14:paraId="1B01805E"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3EB0C1CC" w14:textId="1651FC34" w:rsidR="006D44C3" w:rsidRPr="001A0130" w:rsidRDefault="006D44C3" w:rsidP="006D44C3">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Note that where an agency does not have any current or non-current investments, the investment part of this note disclosure is not required.</w:t>
            </w:r>
          </w:p>
        </w:tc>
      </w:tr>
      <w:tr w:rsidR="006D44C3" w:rsidRPr="00DD296A" w14:paraId="12B78B78" w14:textId="77777777" w:rsidTr="00252CC9">
        <w:trPr>
          <w:trHeight w:val="108"/>
        </w:trPr>
        <w:tc>
          <w:tcPr>
            <w:tcW w:w="745" w:type="pct"/>
            <w:tcBorders>
              <w:left w:val="single" w:sz="2" w:space="0" w:color="auto"/>
              <w:right w:val="single" w:sz="2" w:space="0" w:color="auto"/>
            </w:tcBorders>
          </w:tcPr>
          <w:p w14:paraId="36A7E3C9"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61DA673D" w14:textId="331EE700" w:rsidR="006D44C3" w:rsidRPr="00B81B19" w:rsidRDefault="006D44C3" w:rsidP="006D44C3">
            <w:pPr>
              <w:pStyle w:val="CommentaryText"/>
              <w:tabs>
                <w:tab w:val="left" w:pos="3306"/>
              </w:tabs>
              <w:spacing w:after="40"/>
              <w:rPr>
                <w:rFonts w:cs="Calibri"/>
                <w:b/>
                <w:bCs/>
                <w:color w:val="FFFFFF" w:themeColor="background1"/>
                <w:szCs w:val="20"/>
              </w:rPr>
            </w:pPr>
            <w:r w:rsidRPr="00B81B19">
              <w:rPr>
                <w:rFonts w:cs="Calibri"/>
                <w:b/>
                <w:bCs/>
                <w:color w:val="FFFFFF" w:themeColor="background1"/>
                <w:szCs w:val="20"/>
              </w:rPr>
              <w:t>Cash Flow Reconciliation</w:t>
            </w:r>
          </w:p>
        </w:tc>
      </w:tr>
      <w:tr w:rsidR="006D44C3" w:rsidRPr="00DD296A" w14:paraId="3C236639" w14:textId="77777777" w:rsidTr="00252CC9">
        <w:trPr>
          <w:trHeight w:val="510"/>
        </w:trPr>
        <w:tc>
          <w:tcPr>
            <w:tcW w:w="745" w:type="pct"/>
            <w:tcBorders>
              <w:left w:val="single" w:sz="2" w:space="0" w:color="auto"/>
              <w:right w:val="single" w:sz="2" w:space="0" w:color="auto"/>
            </w:tcBorders>
          </w:tcPr>
          <w:p w14:paraId="73D4EA74" w14:textId="77777777" w:rsidR="006D44C3" w:rsidRPr="001A0130" w:rsidRDefault="006D44C3" w:rsidP="006D44C3">
            <w:pPr>
              <w:pStyle w:val="TableReference"/>
              <w:tabs>
                <w:tab w:val="left" w:pos="3306"/>
              </w:tabs>
              <w:spacing w:before="60"/>
              <w:rPr>
                <w:rFonts w:cs="Calibri"/>
                <w:color w:val="7030A0"/>
                <w:sz w:val="14"/>
              </w:rPr>
            </w:pPr>
            <w:r w:rsidRPr="001A0130">
              <w:rPr>
                <w:rFonts w:cs="Calibri"/>
                <w:color w:val="7030A0"/>
                <w:sz w:val="14"/>
              </w:rPr>
              <w:t>AASB 107.44A-44E</w:t>
            </w:r>
          </w:p>
          <w:p w14:paraId="5C1DB63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AE4F1F6" w14:textId="50552830" w:rsidR="006D44C3" w:rsidRPr="001A0130" w:rsidRDefault="006D44C3" w:rsidP="0053546F">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Agencies preparing financial statements are required to provide disclosures that enable users of financial statements to evaluate changes in liabilities arising from financing activities, including both changes arising from cash flows and non-cash changes.</w:t>
            </w:r>
            <w:r>
              <w:rPr>
                <w:rFonts w:cs="Calibri"/>
                <w:color w:val="FFFFFF" w:themeColor="background1"/>
                <w:sz w:val="18"/>
                <w:szCs w:val="18"/>
              </w:rPr>
              <w:t xml:space="preserve"> </w:t>
            </w:r>
            <w:r w:rsidRPr="001A0130">
              <w:rPr>
                <w:rFonts w:cs="Calibri"/>
                <w:color w:val="FFFFFF" w:themeColor="background1"/>
                <w:sz w:val="18"/>
                <w:szCs w:val="18"/>
              </w:rPr>
              <w:t>Where relevant, agencies should include these additional disclosures in its financial statements i.e. a reconciliation of the opening and closing balance of liabilities arising from financing activities.</w:t>
            </w:r>
            <w:r w:rsidRPr="0009580B">
              <w:rPr>
                <w:rFonts w:cs="Calibri"/>
                <w:color w:val="FFFFFF" w:themeColor="background1"/>
                <w:sz w:val="18"/>
                <w:szCs w:val="18"/>
              </w:rPr>
              <w:t xml:space="preserve"> </w:t>
            </w:r>
          </w:p>
        </w:tc>
      </w:tr>
    </w:tbl>
    <w:p w14:paraId="1D5B6CE3" w14:textId="0CB9F4FD" w:rsidR="0053546F" w:rsidRDefault="0053546F">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671"/>
        <w:gridCol w:w="1415"/>
        <w:gridCol w:w="285"/>
        <w:gridCol w:w="15"/>
        <w:gridCol w:w="1545"/>
      </w:tblGrid>
      <w:tr w:rsidR="006D44C3" w:rsidRPr="00CF7E1B" w14:paraId="1FE2654F" w14:textId="77777777" w:rsidTr="00252CC9">
        <w:trPr>
          <w:trHeight w:hRule="exact" w:val="762"/>
        </w:trPr>
        <w:tc>
          <w:tcPr>
            <w:tcW w:w="745" w:type="pct"/>
            <w:tcBorders>
              <w:top w:val="nil"/>
              <w:left w:val="single" w:sz="2" w:space="0" w:color="auto"/>
              <w:bottom w:val="nil"/>
              <w:right w:val="single" w:sz="2" w:space="0" w:color="auto"/>
            </w:tcBorders>
          </w:tcPr>
          <w:p w14:paraId="433BF461" w14:textId="16213BBA" w:rsidR="006D44C3" w:rsidRPr="007E70BB" w:rsidRDefault="0053546F" w:rsidP="0053546F">
            <w:pPr>
              <w:pStyle w:val="TableReference"/>
              <w:tabs>
                <w:tab w:val="left" w:pos="3306"/>
              </w:tabs>
              <w:spacing w:before="240" w:after="240"/>
              <w:rPr>
                <w:rFonts w:cs="Calibri"/>
                <w:b/>
                <w:color w:val="7030A0"/>
                <w:sz w:val="22"/>
                <w:szCs w:val="22"/>
              </w:rPr>
            </w:pPr>
            <w:bookmarkStart w:id="561" w:name="Receivables" w:colFirst="1" w:colLast="1"/>
            <w:r w:rsidRPr="003E75E3">
              <w:rPr>
                <w:rFonts w:cs="Calibri"/>
                <w:b/>
                <w:color w:val="7030A0"/>
                <w:sz w:val="22"/>
                <w:szCs w:val="22"/>
              </w:rPr>
              <w:t>Reference</w:t>
            </w:r>
          </w:p>
        </w:tc>
        <w:tc>
          <w:tcPr>
            <w:tcW w:w="4255" w:type="pct"/>
            <w:gridSpan w:val="5"/>
            <w:tcBorders>
              <w:top w:val="nil"/>
              <w:left w:val="single" w:sz="2" w:space="0" w:color="auto"/>
              <w:bottom w:val="nil"/>
              <w:right w:val="nil"/>
            </w:tcBorders>
          </w:tcPr>
          <w:p w14:paraId="6E1B1430" w14:textId="34269F50" w:rsidR="006D44C3" w:rsidRPr="00117BAF" w:rsidRDefault="006D44C3" w:rsidP="0053546F">
            <w:pPr>
              <w:pStyle w:val="Heading1"/>
              <w:numPr>
                <w:ilvl w:val="0"/>
                <w:numId w:val="0"/>
              </w:numPr>
            </w:pPr>
            <w:bookmarkStart w:id="562" w:name="_Toc49224059"/>
            <w:bookmarkStart w:id="563" w:name="_Ref50365542"/>
            <w:bookmarkStart w:id="564" w:name="_Toc50440368"/>
            <w:bookmarkStart w:id="565" w:name="_Ref50524086"/>
            <w:bookmarkStart w:id="566" w:name="_Toc400627340"/>
            <w:bookmarkStart w:id="567" w:name="_Toc132743801"/>
            <w:r w:rsidRPr="00117BAF">
              <w:t>Note 16.</w:t>
            </w:r>
            <w:r>
              <w:t xml:space="preserve"> </w:t>
            </w:r>
            <w:r w:rsidRPr="00117BAF">
              <w:t xml:space="preserve"> Receivables</w:t>
            </w:r>
            <w:bookmarkEnd w:id="562"/>
            <w:bookmarkEnd w:id="563"/>
            <w:bookmarkEnd w:id="564"/>
            <w:bookmarkEnd w:id="565"/>
            <w:bookmarkEnd w:id="566"/>
            <w:r w:rsidRPr="00117BAF">
              <w:t xml:space="preserve"> </w:t>
            </w:r>
            <w:r w:rsidRPr="00676AA9">
              <w:rPr>
                <w:strike/>
                <w:color w:val="FF0000"/>
              </w:rPr>
              <w:t>and Contract Assets</w:t>
            </w:r>
            <w:bookmarkEnd w:id="567"/>
          </w:p>
        </w:tc>
      </w:tr>
      <w:tr w:rsidR="006D44C3" w:rsidRPr="00CF7E1B" w14:paraId="5EDA891B" w14:textId="77777777" w:rsidTr="00252CC9">
        <w:trPr>
          <w:trHeight w:hRule="exact" w:val="281"/>
        </w:trPr>
        <w:tc>
          <w:tcPr>
            <w:tcW w:w="745" w:type="pct"/>
            <w:tcBorders>
              <w:top w:val="nil"/>
              <w:left w:val="single" w:sz="2" w:space="0" w:color="auto"/>
              <w:bottom w:val="nil"/>
              <w:right w:val="single" w:sz="2" w:space="0" w:color="auto"/>
            </w:tcBorders>
          </w:tcPr>
          <w:p w14:paraId="04101646"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7833308D" w14:textId="6B25C5E0" w:rsidR="006D44C3" w:rsidRPr="006D1C79" w:rsidRDefault="006D44C3" w:rsidP="006D44C3">
            <w:pPr>
              <w:jc w:val="both"/>
              <w:rPr>
                <w:b/>
                <w:bCs/>
                <w:caps/>
                <w:sz w:val="18"/>
                <w:szCs w:val="18"/>
              </w:rPr>
            </w:pPr>
            <w:bookmarkStart w:id="568" w:name="_Toc98763108"/>
            <w:r w:rsidRPr="006D1C79">
              <w:rPr>
                <w:b/>
                <w:bCs/>
                <w:sz w:val="18"/>
                <w:szCs w:val="18"/>
              </w:rPr>
              <w:t xml:space="preserve">Description and Material Accounting Policies Relating to Receivables </w:t>
            </w:r>
            <w:r w:rsidRPr="00312DCD">
              <w:rPr>
                <w:b/>
                <w:bCs/>
                <w:strike/>
                <w:color w:val="FF0000"/>
                <w:sz w:val="18"/>
                <w:szCs w:val="18"/>
              </w:rPr>
              <w:t>and Contract Assets</w:t>
            </w:r>
            <w:bookmarkEnd w:id="568"/>
          </w:p>
        </w:tc>
      </w:tr>
      <w:tr w:rsidR="006D44C3" w:rsidRPr="00CF7E1B" w14:paraId="34D600A7" w14:textId="77777777" w:rsidTr="00252CC9">
        <w:trPr>
          <w:trHeight w:hRule="exact" w:val="371"/>
        </w:trPr>
        <w:tc>
          <w:tcPr>
            <w:tcW w:w="745" w:type="pct"/>
            <w:tcBorders>
              <w:top w:val="nil"/>
              <w:left w:val="single" w:sz="2" w:space="0" w:color="auto"/>
              <w:bottom w:val="nil"/>
              <w:right w:val="single" w:sz="2" w:space="0" w:color="auto"/>
            </w:tcBorders>
          </w:tcPr>
          <w:p w14:paraId="70AFDCC4"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25B53C46" w14:textId="1E686A0A" w:rsidR="006D44C3" w:rsidRPr="00117BAF" w:rsidRDefault="006D44C3" w:rsidP="006D44C3">
            <w:pPr>
              <w:pStyle w:val="Appxhead3"/>
              <w:spacing w:before="60"/>
              <w:rPr>
                <w:rFonts w:ascii="Calibri" w:hAnsi="Calibri" w:cs="Calibri"/>
                <w:b w:val="0"/>
                <w:i/>
                <w:iCs/>
                <w:smallCaps w:val="0"/>
                <w:sz w:val="18"/>
                <w:szCs w:val="18"/>
              </w:rPr>
            </w:pPr>
            <w:r w:rsidRPr="00117BAF">
              <w:rPr>
                <w:rFonts w:ascii="Calibri" w:hAnsi="Calibri" w:cs="Calibri"/>
                <w:b w:val="0"/>
                <w:i/>
                <w:iCs/>
                <w:smallCaps w:val="0"/>
                <w:sz w:val="18"/>
                <w:szCs w:val="18"/>
              </w:rPr>
              <w:t>Accounts Receivables</w:t>
            </w:r>
          </w:p>
        </w:tc>
      </w:tr>
      <w:tr w:rsidR="006D44C3" w:rsidRPr="00CF7E1B" w14:paraId="144734CA" w14:textId="77777777" w:rsidTr="00252CC9">
        <w:trPr>
          <w:trHeight w:hRule="exact" w:val="945"/>
        </w:trPr>
        <w:tc>
          <w:tcPr>
            <w:tcW w:w="745" w:type="pct"/>
            <w:tcBorders>
              <w:top w:val="nil"/>
              <w:left w:val="single" w:sz="2" w:space="0" w:color="auto"/>
              <w:bottom w:val="nil"/>
              <w:right w:val="single" w:sz="2" w:space="0" w:color="auto"/>
            </w:tcBorders>
          </w:tcPr>
          <w:p w14:paraId="48DDAA5B" w14:textId="521C960E" w:rsidR="006D44C3" w:rsidRPr="007E70BB" w:rsidRDefault="006D44C3" w:rsidP="006D44C3">
            <w:pPr>
              <w:pStyle w:val="TableReference"/>
              <w:tabs>
                <w:tab w:val="left" w:pos="3306"/>
              </w:tabs>
              <w:spacing w:before="40"/>
              <w:rPr>
                <w:rFonts w:cs="Calibri"/>
                <w:b/>
                <w:color w:val="7030A0"/>
                <w:sz w:val="14"/>
              </w:rPr>
            </w:pPr>
            <w:r w:rsidRPr="007E70BB">
              <w:rPr>
                <w:color w:val="7030A0"/>
                <w:sz w:val="14"/>
              </w:rPr>
              <w:t>AASB 7.21</w:t>
            </w:r>
          </w:p>
        </w:tc>
        <w:tc>
          <w:tcPr>
            <w:tcW w:w="4255" w:type="pct"/>
            <w:gridSpan w:val="5"/>
            <w:tcBorders>
              <w:top w:val="nil"/>
              <w:left w:val="single" w:sz="2" w:space="0" w:color="auto"/>
              <w:bottom w:val="nil"/>
              <w:right w:val="nil"/>
            </w:tcBorders>
          </w:tcPr>
          <w:p w14:paraId="7ADD3BAC" w14:textId="35F4AF87" w:rsidR="006D44C3" w:rsidRPr="00117BAF" w:rsidRDefault="006D44C3" w:rsidP="006D44C3">
            <w:pPr>
              <w:jc w:val="both"/>
              <w:rPr>
                <w:rFonts w:cs="Calibri"/>
                <w:sz w:val="18"/>
                <w:szCs w:val="18"/>
              </w:rPr>
            </w:pPr>
            <w:r w:rsidRPr="00117BAF">
              <w:rPr>
                <w:rFonts w:cs="Calibri"/>
                <w:sz w:val="18"/>
                <w:szCs w:val="18"/>
              </w:rPr>
              <w:t>Accounts receivable (including trade receivables and other trade receivables) are measured at amortised cost, with any adjustments to the carrying amount being recorded in the Operating Statement.</w:t>
            </w:r>
            <w:r>
              <w:rPr>
                <w:rFonts w:cs="Calibri"/>
                <w:sz w:val="18"/>
                <w:szCs w:val="18"/>
              </w:rPr>
              <w:t xml:space="preserve"> </w:t>
            </w:r>
            <w:r w:rsidRPr="00117BAF">
              <w:rPr>
                <w:rFonts w:cs="Calibri"/>
                <w:sz w:val="18"/>
                <w:szCs w:val="18"/>
              </w:rPr>
              <w:t>Receivables relating to the Sale of Goods and Services from Contracts with Customers are recognised when invoiced, as this is the point in time that the consideration is unconditional because only the passage of time is required before the payment.</w:t>
            </w:r>
          </w:p>
        </w:tc>
      </w:tr>
      <w:tr w:rsidR="006D44C3" w:rsidRPr="00CF7E1B" w14:paraId="3AF614C9" w14:textId="77777777" w:rsidTr="00252CC9">
        <w:trPr>
          <w:trHeight w:hRule="exact" w:val="282"/>
        </w:trPr>
        <w:tc>
          <w:tcPr>
            <w:tcW w:w="745" w:type="pct"/>
            <w:tcBorders>
              <w:top w:val="nil"/>
              <w:left w:val="single" w:sz="2" w:space="0" w:color="auto"/>
              <w:bottom w:val="nil"/>
              <w:right w:val="single" w:sz="2" w:space="0" w:color="auto"/>
            </w:tcBorders>
          </w:tcPr>
          <w:p w14:paraId="47F87AC4"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228A9EAD" w14:textId="7615B17F" w:rsidR="006D44C3" w:rsidRPr="00117BAF" w:rsidRDefault="006D44C3" w:rsidP="006D44C3">
            <w:pPr>
              <w:pStyle w:val="Appxhead3"/>
              <w:spacing w:before="60" w:after="0"/>
              <w:jc w:val="both"/>
              <w:rPr>
                <w:rFonts w:ascii="Calibri" w:hAnsi="Calibri" w:cs="Calibri"/>
                <w:b w:val="0"/>
                <w:i/>
                <w:iCs/>
                <w:smallCaps w:val="0"/>
                <w:sz w:val="18"/>
                <w:szCs w:val="18"/>
              </w:rPr>
            </w:pPr>
            <w:r w:rsidRPr="00117BAF">
              <w:rPr>
                <w:rFonts w:ascii="Calibri" w:hAnsi="Calibri" w:cs="Calibri"/>
                <w:b w:val="0"/>
                <w:i/>
                <w:iCs/>
                <w:smallCaps w:val="0"/>
                <w:sz w:val="18"/>
                <w:szCs w:val="18"/>
              </w:rPr>
              <w:t xml:space="preserve">Impairment loss – Accounts Receivables </w:t>
            </w:r>
          </w:p>
        </w:tc>
      </w:tr>
      <w:tr w:rsidR="006D44C3" w:rsidRPr="00CF7E1B" w14:paraId="7409A8BB" w14:textId="77777777" w:rsidTr="00252CC9">
        <w:trPr>
          <w:trHeight w:hRule="exact" w:val="1655"/>
        </w:trPr>
        <w:tc>
          <w:tcPr>
            <w:tcW w:w="745" w:type="pct"/>
            <w:tcBorders>
              <w:top w:val="nil"/>
              <w:left w:val="single" w:sz="2" w:space="0" w:color="auto"/>
              <w:bottom w:val="nil"/>
              <w:right w:val="single" w:sz="2" w:space="0" w:color="auto"/>
            </w:tcBorders>
          </w:tcPr>
          <w:p w14:paraId="36B8191E" w14:textId="10005EB4" w:rsidR="006D44C3" w:rsidRPr="00252CC9" w:rsidRDefault="006D44C3" w:rsidP="006D44C3">
            <w:pPr>
              <w:pStyle w:val="TableReference"/>
              <w:tabs>
                <w:tab w:val="left" w:pos="3306"/>
              </w:tabs>
              <w:spacing w:before="40"/>
              <w:rPr>
                <w:color w:val="7030A0"/>
                <w:sz w:val="14"/>
              </w:rPr>
            </w:pPr>
            <w:r w:rsidRPr="007E70BB">
              <w:rPr>
                <w:color w:val="7030A0"/>
                <w:sz w:val="14"/>
              </w:rPr>
              <w:t>ASB 9.5.5.17</w:t>
            </w:r>
          </w:p>
          <w:p w14:paraId="229249F6" w14:textId="5B3A30C0" w:rsidR="006D44C3" w:rsidRPr="007E70BB" w:rsidRDefault="006D44C3" w:rsidP="006D44C3">
            <w:pPr>
              <w:pStyle w:val="TableReference"/>
              <w:tabs>
                <w:tab w:val="left" w:pos="3306"/>
              </w:tabs>
              <w:spacing w:before="240" w:after="240"/>
              <w:rPr>
                <w:rFonts w:cs="Calibri"/>
                <w:b/>
                <w:color w:val="7030A0"/>
                <w:sz w:val="14"/>
              </w:rPr>
            </w:pPr>
          </w:p>
        </w:tc>
        <w:tc>
          <w:tcPr>
            <w:tcW w:w="4255" w:type="pct"/>
            <w:gridSpan w:val="5"/>
            <w:tcBorders>
              <w:top w:val="nil"/>
              <w:left w:val="single" w:sz="2" w:space="0" w:color="auto"/>
              <w:bottom w:val="nil"/>
              <w:right w:val="nil"/>
            </w:tcBorders>
          </w:tcPr>
          <w:p w14:paraId="2E6DC8AF" w14:textId="707BB1CA" w:rsidR="006D44C3" w:rsidRPr="00117BAF" w:rsidRDefault="006D44C3" w:rsidP="006D44C3">
            <w:pPr>
              <w:spacing w:after="40"/>
              <w:jc w:val="both"/>
              <w:rPr>
                <w:sz w:val="18"/>
                <w:szCs w:val="18"/>
              </w:rPr>
            </w:pPr>
            <w:r w:rsidRPr="00117BAF">
              <w:rPr>
                <w:sz w:val="18"/>
                <w:szCs w:val="18"/>
              </w:rPr>
              <w:t>The allowance for expected credit losses represents the amount of trade receivables and other trade receivables the Agency estimates will not be repaid.</w:t>
            </w:r>
            <w:r>
              <w:rPr>
                <w:sz w:val="18"/>
                <w:szCs w:val="18"/>
              </w:rPr>
              <w:t xml:space="preserve"> </w:t>
            </w:r>
            <w:r w:rsidRPr="00117BAF">
              <w:rPr>
                <w:sz w:val="18"/>
                <w:szCs w:val="18"/>
              </w:rPr>
              <w:t xml:space="preserve">The allowance for impairment losses is based on objective evidence and a review of overdue balances. An entity shall measure expected credit losses of a financial instrument in a way that reflects: </w:t>
            </w:r>
          </w:p>
          <w:p w14:paraId="44B8BDA9" w14:textId="77777777" w:rsidR="006D44C3" w:rsidRPr="00117BAF" w:rsidRDefault="006D44C3" w:rsidP="006D44C3">
            <w:pPr>
              <w:spacing w:after="40"/>
              <w:ind w:left="284" w:hanging="284"/>
              <w:jc w:val="both"/>
              <w:rPr>
                <w:sz w:val="18"/>
                <w:szCs w:val="18"/>
              </w:rPr>
            </w:pPr>
            <w:r w:rsidRPr="00117BAF">
              <w:rPr>
                <w:sz w:val="18"/>
                <w:szCs w:val="18"/>
              </w:rPr>
              <w:t xml:space="preserve">(a) an unbiased and probability-weighted amount that is determined by evaluating a range of possible outcomes; </w:t>
            </w:r>
          </w:p>
          <w:p w14:paraId="7E50DF4C" w14:textId="77777777" w:rsidR="006D44C3" w:rsidRPr="00117BAF" w:rsidRDefault="006D44C3" w:rsidP="006D44C3">
            <w:pPr>
              <w:spacing w:after="40"/>
              <w:jc w:val="both"/>
              <w:rPr>
                <w:sz w:val="18"/>
                <w:szCs w:val="18"/>
              </w:rPr>
            </w:pPr>
            <w:r w:rsidRPr="00117BAF">
              <w:rPr>
                <w:sz w:val="18"/>
                <w:szCs w:val="18"/>
              </w:rPr>
              <w:t xml:space="preserve">(b) the time value of money; and </w:t>
            </w:r>
          </w:p>
          <w:p w14:paraId="612C1AB6" w14:textId="64CC7D1C" w:rsidR="006D44C3" w:rsidRPr="00117BAF" w:rsidRDefault="006D44C3" w:rsidP="006D44C3">
            <w:pPr>
              <w:spacing w:after="120"/>
              <w:ind w:left="284" w:hanging="284"/>
              <w:jc w:val="both"/>
              <w:rPr>
                <w:sz w:val="18"/>
                <w:szCs w:val="18"/>
              </w:rPr>
            </w:pPr>
            <w:r w:rsidRPr="00117BAF">
              <w:rPr>
                <w:sz w:val="18"/>
                <w:szCs w:val="18"/>
              </w:rPr>
              <w:t>(c) reasonable and supportable information that is available without undue cost or effort at the reporting date about past events, current conditions and forecasts of future economic conditions</w:t>
            </w:r>
            <w:r>
              <w:rPr>
                <w:sz w:val="18"/>
                <w:szCs w:val="18"/>
              </w:rPr>
              <w:t>.</w:t>
            </w:r>
          </w:p>
        </w:tc>
      </w:tr>
      <w:tr w:rsidR="006D44C3" w:rsidRPr="00CF7E1B" w14:paraId="345E23F8" w14:textId="77777777" w:rsidTr="00252CC9">
        <w:trPr>
          <w:trHeight w:hRule="exact" w:val="986"/>
        </w:trPr>
        <w:tc>
          <w:tcPr>
            <w:tcW w:w="745" w:type="pct"/>
            <w:tcBorders>
              <w:top w:val="nil"/>
              <w:left w:val="single" w:sz="2" w:space="0" w:color="auto"/>
              <w:bottom w:val="nil"/>
              <w:right w:val="single" w:sz="2" w:space="0" w:color="auto"/>
            </w:tcBorders>
          </w:tcPr>
          <w:p w14:paraId="4F42C7EE" w14:textId="39E68794" w:rsidR="006D44C3" w:rsidRPr="007E70BB" w:rsidRDefault="006D44C3" w:rsidP="006D44C3">
            <w:pPr>
              <w:pStyle w:val="TableReference"/>
              <w:tabs>
                <w:tab w:val="left" w:pos="3306"/>
              </w:tabs>
              <w:spacing w:before="240" w:after="240"/>
              <w:rPr>
                <w:color w:val="7030A0"/>
              </w:rPr>
            </w:pPr>
          </w:p>
        </w:tc>
        <w:tc>
          <w:tcPr>
            <w:tcW w:w="4255" w:type="pct"/>
            <w:gridSpan w:val="5"/>
            <w:tcBorders>
              <w:top w:val="nil"/>
              <w:left w:val="single" w:sz="2" w:space="0" w:color="auto"/>
              <w:bottom w:val="nil"/>
              <w:right w:val="nil"/>
            </w:tcBorders>
          </w:tcPr>
          <w:p w14:paraId="4FFCE807" w14:textId="77172A6D" w:rsidR="006D44C3" w:rsidRPr="00117BAF" w:rsidRDefault="006D44C3" w:rsidP="006D44C3">
            <w:pPr>
              <w:jc w:val="both"/>
              <w:rPr>
                <w:sz w:val="18"/>
                <w:szCs w:val="18"/>
              </w:rPr>
            </w:pPr>
            <w:r w:rsidRPr="00117BAF">
              <w:rPr>
                <w:sz w:val="18"/>
                <w:szCs w:val="18"/>
              </w:rPr>
              <w:t xml:space="preserve">The amount of the expected credit loss is recognised in the Operating Statement (see Note 14 </w:t>
            </w:r>
            <w:r w:rsidRPr="00117BAF">
              <w:rPr>
                <w:i/>
                <w:iCs/>
                <w:sz w:val="18"/>
                <w:szCs w:val="18"/>
              </w:rPr>
              <w:t>Other Expenses</w:t>
            </w:r>
            <w:r w:rsidRPr="00117BAF">
              <w:rPr>
                <w:sz w:val="18"/>
                <w:szCs w:val="18"/>
              </w:rPr>
              <w:t>).</w:t>
            </w:r>
            <w:r>
              <w:rPr>
                <w:sz w:val="18"/>
                <w:szCs w:val="18"/>
              </w:rPr>
              <w:t xml:space="preserve"> </w:t>
            </w:r>
            <w:r w:rsidRPr="00117BAF">
              <w:rPr>
                <w:sz w:val="18"/>
                <w:szCs w:val="18"/>
              </w:rPr>
              <w:t>Where ‘Burley Griffin Agency’ has no reasonable expectation of recovering an amount owed by a debtor and ceases action to collect the debt, as the cost to recover the debt is more than the debt is worth, the debt is written</w:t>
            </w:r>
            <w:r>
              <w:rPr>
                <w:sz w:val="18"/>
                <w:szCs w:val="18"/>
              </w:rPr>
              <w:t xml:space="preserve"> </w:t>
            </w:r>
            <w:r w:rsidRPr="00117BAF">
              <w:rPr>
                <w:sz w:val="18"/>
                <w:szCs w:val="18"/>
              </w:rPr>
              <w:t>off by directly reducing the receivable against the loss allowance.</w:t>
            </w:r>
          </w:p>
        </w:tc>
      </w:tr>
      <w:tr w:rsidR="006D44C3" w:rsidRPr="00CF7E1B" w14:paraId="24A138F0" w14:textId="77777777" w:rsidTr="00AD0262">
        <w:trPr>
          <w:cantSplit/>
          <w:trHeight w:hRule="exact" w:val="887"/>
        </w:trPr>
        <w:tc>
          <w:tcPr>
            <w:tcW w:w="745" w:type="pct"/>
            <w:vMerge w:val="restart"/>
            <w:tcBorders>
              <w:top w:val="nil"/>
              <w:left w:val="single" w:sz="2" w:space="0" w:color="auto"/>
              <w:right w:val="single" w:sz="2" w:space="0" w:color="auto"/>
            </w:tcBorders>
          </w:tcPr>
          <w:p w14:paraId="5D4F63F6" w14:textId="77777777" w:rsidR="006D44C3" w:rsidRPr="007E70BB" w:rsidRDefault="006D44C3" w:rsidP="006D44C3">
            <w:pPr>
              <w:rPr>
                <w:rFonts w:cs="Calibri"/>
                <w:i/>
                <w:color w:val="7030A0"/>
                <w:sz w:val="14"/>
                <w:szCs w:val="14"/>
              </w:rPr>
            </w:pPr>
            <w:r w:rsidRPr="007E70BB">
              <w:rPr>
                <w:rFonts w:cs="Calibri"/>
                <w:color w:val="7030A0"/>
                <w:sz w:val="14"/>
                <w:szCs w:val="14"/>
              </w:rPr>
              <w:t xml:space="preserve">AASB 9.5.5.8, 5.5.15 &amp; B5.35 Financial Framework Memo 2018/23 </w:t>
            </w:r>
            <w:r w:rsidRPr="007E70BB">
              <w:rPr>
                <w:rFonts w:cs="Calibri"/>
                <w:i/>
                <w:color w:val="7030A0"/>
                <w:sz w:val="14"/>
                <w:szCs w:val="14"/>
              </w:rPr>
              <w:t>AASB 9</w:t>
            </w:r>
            <w:r w:rsidRPr="007E70BB">
              <w:rPr>
                <w:rFonts w:cs="Calibri"/>
                <w:color w:val="7030A0"/>
                <w:sz w:val="14"/>
                <w:szCs w:val="14"/>
              </w:rPr>
              <w:t xml:space="preserve"> </w:t>
            </w:r>
            <w:r w:rsidRPr="007E70BB">
              <w:rPr>
                <w:rFonts w:cs="Calibri"/>
                <w:i/>
                <w:color w:val="7030A0"/>
                <w:sz w:val="14"/>
                <w:szCs w:val="14"/>
              </w:rPr>
              <w:t>Financial Instruments - Further Implementation Guidance to Agencies</w:t>
            </w:r>
          </w:p>
          <w:p w14:paraId="49BAB7F2" w14:textId="77777777" w:rsidR="006D44C3" w:rsidRPr="007E70BB" w:rsidRDefault="006D44C3" w:rsidP="006D44C3">
            <w:pPr>
              <w:rPr>
                <w:rFonts w:cs="Calibri"/>
                <w:color w:val="7030A0"/>
                <w:sz w:val="14"/>
                <w:szCs w:val="14"/>
              </w:rPr>
            </w:pPr>
            <w:r w:rsidRPr="007E70BB">
              <w:rPr>
                <w:rFonts w:cs="Calibri"/>
                <w:color w:val="7030A0"/>
                <w:sz w:val="14"/>
                <w:szCs w:val="14"/>
              </w:rPr>
              <w:t>AASB 7.35(c)</w:t>
            </w:r>
          </w:p>
          <w:p w14:paraId="1B2FA81E" w14:textId="77777777" w:rsidR="006D44C3" w:rsidRPr="007E70BB" w:rsidRDefault="006D44C3" w:rsidP="006D44C3">
            <w:pPr>
              <w:pStyle w:val="TableReference"/>
              <w:tabs>
                <w:tab w:val="left" w:pos="3306"/>
              </w:tabs>
              <w:rPr>
                <w:rFonts w:cs="Calibri"/>
                <w:color w:val="7030A0"/>
                <w:sz w:val="14"/>
              </w:rPr>
            </w:pPr>
            <w:r w:rsidRPr="007E70BB">
              <w:rPr>
                <w:color w:val="7030A0"/>
                <w:sz w:val="14"/>
              </w:rPr>
              <w:t>AASB 7.35F</w:t>
            </w:r>
          </w:p>
          <w:p w14:paraId="0E513B47" w14:textId="77777777" w:rsidR="006D44C3" w:rsidRPr="007E70BB" w:rsidRDefault="006D44C3" w:rsidP="006D44C3">
            <w:pPr>
              <w:pStyle w:val="TableReference"/>
              <w:tabs>
                <w:tab w:val="left" w:pos="3306"/>
              </w:tabs>
              <w:rPr>
                <w:color w:val="7030A0"/>
              </w:rPr>
            </w:pPr>
            <w:r w:rsidRPr="007E70BB">
              <w:rPr>
                <w:rFonts w:cs="Calibri"/>
                <w:color w:val="7030A0"/>
                <w:sz w:val="14"/>
              </w:rPr>
              <w:t>AASB 7.35G</w:t>
            </w:r>
          </w:p>
        </w:tc>
        <w:tc>
          <w:tcPr>
            <w:tcW w:w="4255" w:type="pct"/>
            <w:gridSpan w:val="5"/>
            <w:tcBorders>
              <w:top w:val="nil"/>
              <w:left w:val="single" w:sz="2" w:space="0" w:color="auto"/>
              <w:bottom w:val="nil"/>
              <w:right w:val="nil"/>
            </w:tcBorders>
          </w:tcPr>
          <w:p w14:paraId="5D5BC4FE" w14:textId="586B84CB" w:rsidR="006D44C3" w:rsidRPr="008A6781" w:rsidRDefault="006D44C3" w:rsidP="006D44C3">
            <w:pPr>
              <w:jc w:val="both"/>
              <w:rPr>
                <w:sz w:val="18"/>
                <w:szCs w:val="18"/>
              </w:rPr>
            </w:pPr>
            <w:r w:rsidRPr="008A6781">
              <w:rPr>
                <w:color w:val="FF0000"/>
                <w:sz w:val="18"/>
                <w:szCs w:val="18"/>
              </w:rPr>
              <w:t>‘Burley Griffin Agency’ applied the simplified approach under AASB 9, meaning that t</w:t>
            </w:r>
            <w:r w:rsidRPr="008A6781">
              <w:rPr>
                <w:rFonts w:asciiTheme="minorHAnsi" w:hAnsiTheme="minorHAnsi" w:cstheme="minorHAnsi"/>
                <w:sz w:val="18"/>
                <w:szCs w:val="18"/>
              </w:rPr>
              <w:t>he allowance for expected credit losses of accounts receivables is measured at the lifetime expected credit losses at each reporting date. ‘Burley Griffin Agency’ has established a provision matrix based on its historical credit loss experience, adjusted for forward looking factors specific to the debtors and the economic environment.</w:t>
            </w:r>
          </w:p>
        </w:tc>
      </w:tr>
      <w:tr w:rsidR="006D44C3" w:rsidRPr="00CF7E1B" w14:paraId="46CA79B9" w14:textId="77777777" w:rsidTr="00252CC9">
        <w:trPr>
          <w:trHeight w:hRule="exact" w:val="1376"/>
        </w:trPr>
        <w:tc>
          <w:tcPr>
            <w:tcW w:w="745" w:type="pct"/>
            <w:vMerge/>
            <w:tcBorders>
              <w:left w:val="single" w:sz="2" w:space="0" w:color="auto"/>
              <w:bottom w:val="nil"/>
              <w:right w:val="single" w:sz="2" w:space="0" w:color="auto"/>
            </w:tcBorders>
          </w:tcPr>
          <w:p w14:paraId="2C66503D" w14:textId="77777777" w:rsidR="006D44C3" w:rsidRPr="007E70BB" w:rsidRDefault="006D44C3" w:rsidP="006D44C3">
            <w:pPr>
              <w:pStyle w:val="TableReference"/>
              <w:tabs>
                <w:tab w:val="left" w:pos="3306"/>
              </w:tabs>
              <w:spacing w:before="240" w:after="240"/>
              <w:rPr>
                <w:color w:val="7030A0"/>
              </w:rPr>
            </w:pPr>
          </w:p>
        </w:tc>
        <w:tc>
          <w:tcPr>
            <w:tcW w:w="4255" w:type="pct"/>
            <w:gridSpan w:val="5"/>
            <w:tcBorders>
              <w:top w:val="nil"/>
              <w:left w:val="single" w:sz="2" w:space="0" w:color="auto"/>
              <w:bottom w:val="nil"/>
              <w:right w:val="nil"/>
            </w:tcBorders>
          </w:tcPr>
          <w:p w14:paraId="6C20F100" w14:textId="5CB1EF57" w:rsidR="006D44C3" w:rsidRPr="008A6781" w:rsidRDefault="006D44C3" w:rsidP="006D44C3">
            <w:pPr>
              <w:jc w:val="both"/>
              <w:rPr>
                <w:sz w:val="18"/>
                <w:szCs w:val="18"/>
              </w:rPr>
            </w:pPr>
            <w:r w:rsidRPr="008A6781">
              <w:rPr>
                <w:rFonts w:asciiTheme="minorHAnsi" w:hAnsiTheme="minorHAnsi" w:cstheme="minorHAnsi"/>
                <w:sz w:val="18"/>
                <w:szCs w:val="18"/>
              </w:rPr>
              <w:t xml:space="preserve">Loss rates are calculated separately for groupings of customers with similar loss patterns. ‘Burley Griffin Agency’ has determined there is </w:t>
            </w:r>
            <w:r w:rsidRPr="008A6781">
              <w:rPr>
                <w:rFonts w:asciiTheme="minorHAnsi" w:hAnsiTheme="minorHAnsi" w:cstheme="minorHAnsi"/>
                <w:color w:val="C45911" w:themeColor="accent2" w:themeShade="BF"/>
                <w:sz w:val="18"/>
                <w:szCs w:val="18"/>
              </w:rPr>
              <w:t xml:space="preserve">&lt;one&gt; </w:t>
            </w:r>
            <w:r w:rsidRPr="008A6781">
              <w:rPr>
                <w:rFonts w:asciiTheme="minorHAnsi" w:hAnsiTheme="minorHAnsi" w:cstheme="minorHAnsi"/>
                <w:sz w:val="18"/>
                <w:szCs w:val="18"/>
              </w:rPr>
              <w:t xml:space="preserve">material group for measuring expected credit losses based on the sale of services and the sale of goods reflecting customer profiles for revenue streams. The calculations reflect historical observed default rates calculated using credit losses experienced on past sales transactions during the last </w:t>
            </w:r>
            <w:r w:rsidRPr="008A6781">
              <w:rPr>
                <w:rFonts w:asciiTheme="minorHAnsi" w:hAnsiTheme="minorHAnsi" w:cstheme="minorHAnsi"/>
                <w:color w:val="C45911" w:themeColor="accent2" w:themeShade="BF"/>
                <w:sz w:val="18"/>
                <w:szCs w:val="18"/>
              </w:rPr>
              <w:t xml:space="preserve">&lt;3&gt; </w:t>
            </w:r>
            <w:r w:rsidRPr="008A6781">
              <w:rPr>
                <w:rFonts w:asciiTheme="minorHAnsi" w:hAnsiTheme="minorHAnsi" w:cstheme="minorHAnsi"/>
                <w:sz w:val="18"/>
                <w:szCs w:val="18"/>
              </w:rPr>
              <w:t>years preceding 30 June 2023. The historical default rates are then adjusted by reasonable and supportable forward-looking information for expected changes in macroeconomic indicators that affect the future recovery of those receivables.</w:t>
            </w:r>
          </w:p>
        </w:tc>
      </w:tr>
      <w:bookmarkEnd w:id="561"/>
      <w:tr w:rsidR="006D44C3" w:rsidRPr="00CF7E1B" w14:paraId="31364EB7" w14:textId="77777777" w:rsidTr="005F5B4C">
        <w:trPr>
          <w:cantSplit/>
          <w:trHeight w:hRule="exact" w:val="1238"/>
        </w:trPr>
        <w:tc>
          <w:tcPr>
            <w:tcW w:w="745" w:type="pct"/>
            <w:tcBorders>
              <w:top w:val="nil"/>
              <w:left w:val="single" w:sz="2" w:space="0" w:color="auto"/>
              <w:bottom w:val="nil"/>
              <w:right w:val="single" w:sz="2" w:space="0" w:color="auto"/>
            </w:tcBorders>
          </w:tcPr>
          <w:p w14:paraId="31C8720F"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ACT Disclosure Policy</w:t>
            </w:r>
          </w:p>
          <w:p w14:paraId="71CC6EAE"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Financial Framework Memo 2018/23</w:t>
            </w:r>
          </w:p>
          <w:p w14:paraId="2DAE5180" w14:textId="4ABF031E" w:rsidR="006D44C3" w:rsidRPr="007E70BB" w:rsidRDefault="006D44C3" w:rsidP="006D44C3">
            <w:pPr>
              <w:pStyle w:val="TableReference"/>
              <w:tabs>
                <w:tab w:val="left" w:pos="3306"/>
              </w:tabs>
              <w:spacing w:before="40"/>
              <w:rPr>
                <w:rFonts w:cs="Calibri"/>
                <w:bCs/>
                <w:color w:val="7030A0"/>
                <w:sz w:val="14"/>
              </w:rPr>
            </w:pPr>
            <w:r w:rsidRPr="007E70BB">
              <w:rPr>
                <w:rFonts w:cs="Calibri"/>
                <w:color w:val="7030A0"/>
                <w:sz w:val="14"/>
              </w:rPr>
              <w:t>AASB 9 Financial Instruments –Guidance to Agencies.</w:t>
            </w:r>
          </w:p>
        </w:tc>
        <w:tc>
          <w:tcPr>
            <w:tcW w:w="4255" w:type="pct"/>
            <w:gridSpan w:val="5"/>
            <w:tcBorders>
              <w:top w:val="nil"/>
              <w:left w:val="single" w:sz="2" w:space="0" w:color="auto"/>
              <w:bottom w:val="nil"/>
              <w:right w:val="nil"/>
            </w:tcBorders>
          </w:tcPr>
          <w:p w14:paraId="1379581F" w14:textId="3390ABB3" w:rsidR="006D44C3" w:rsidRPr="008A6781" w:rsidRDefault="006D44C3" w:rsidP="006D44C3">
            <w:pPr>
              <w:pStyle w:val="Appxhead3"/>
              <w:spacing w:before="0" w:after="0"/>
              <w:jc w:val="both"/>
              <w:rPr>
                <w:sz w:val="18"/>
                <w:szCs w:val="18"/>
              </w:rPr>
            </w:pPr>
            <w:r w:rsidRPr="008A6781">
              <w:rPr>
                <w:rFonts w:asciiTheme="minorHAnsi" w:hAnsiTheme="minorHAnsi" w:cstheme="minorHAnsi"/>
                <w:b w:val="0"/>
                <w:smallCaps w:val="0"/>
                <w:sz w:val="18"/>
                <w:szCs w:val="18"/>
              </w:rPr>
              <w:t>Inter-agency loans and receivables between ACT Government agencies are expected to have low credit risks. Consequently ACT Government policy is that directorates, territory authorities and territory-owned corporations consolidated into the whole-of-Government financial statements will generally not measure any loss allowance for receivables collectible from other ACT Government agencies consolidated into the whole-of-government financial statements.</w:t>
            </w:r>
          </w:p>
        </w:tc>
      </w:tr>
      <w:tr w:rsidR="006D44C3" w:rsidRPr="00CF7E1B" w14:paraId="5ADD7FE0" w14:textId="77777777" w:rsidTr="005F5B4C">
        <w:trPr>
          <w:cantSplit/>
          <w:trHeight w:hRule="exact" w:val="938"/>
        </w:trPr>
        <w:tc>
          <w:tcPr>
            <w:tcW w:w="745" w:type="pct"/>
            <w:tcBorders>
              <w:top w:val="nil"/>
              <w:left w:val="single" w:sz="2" w:space="0" w:color="auto"/>
              <w:bottom w:val="nil"/>
              <w:right w:val="single" w:sz="2" w:space="0" w:color="auto"/>
            </w:tcBorders>
          </w:tcPr>
          <w:p w14:paraId="05B5609D"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1A48186B" w14:textId="6806111D" w:rsidR="006D44C3" w:rsidRPr="008A6781" w:rsidRDefault="006D44C3" w:rsidP="006D44C3">
            <w:pPr>
              <w:pStyle w:val="Appxhead3"/>
              <w:spacing w:before="0" w:after="0"/>
              <w:jc w:val="both"/>
              <w:rPr>
                <w:rFonts w:ascii="Calibri" w:hAnsi="Calibri" w:cs="Times New Roman"/>
                <w:b w:val="0"/>
                <w:smallCaps w:val="0"/>
                <w:sz w:val="18"/>
                <w:szCs w:val="18"/>
              </w:rPr>
            </w:pPr>
            <w:r w:rsidRPr="008A6781">
              <w:rPr>
                <w:rFonts w:ascii="Calibri" w:hAnsi="Calibri" w:cs="Times New Roman"/>
                <w:b w:val="0"/>
                <w:smallCaps w:val="0"/>
                <w:sz w:val="18"/>
                <w:szCs w:val="18"/>
              </w:rPr>
              <w:t xml:space="preserve">The Agency has made a significant estimate in the calculation of the </w:t>
            </w:r>
            <w:r w:rsidRPr="008A6781">
              <w:rPr>
                <w:rFonts w:ascii="Calibri" w:hAnsi="Calibri" w:cs="Times New Roman"/>
                <w:b w:val="0"/>
                <w:smallCaps w:val="0"/>
                <w:color w:val="FF0000"/>
                <w:sz w:val="18"/>
                <w:szCs w:val="18"/>
              </w:rPr>
              <w:t xml:space="preserve">expected credit loss </w:t>
            </w:r>
            <w:r w:rsidRPr="008A6781">
              <w:rPr>
                <w:rFonts w:ascii="Calibri" w:hAnsi="Calibri" w:cs="Times New Roman"/>
                <w:b w:val="0"/>
                <w:smallCaps w:val="0"/>
                <w:sz w:val="18"/>
                <w:szCs w:val="18"/>
              </w:rPr>
              <w:t xml:space="preserve">allowance </w:t>
            </w:r>
            <w:r w:rsidRPr="008A6781">
              <w:rPr>
                <w:rFonts w:ascii="Calibri" w:hAnsi="Calibri" w:cs="Times New Roman"/>
                <w:b w:val="0"/>
                <w:smallCaps w:val="0"/>
                <w:strike/>
                <w:color w:val="FF0000"/>
                <w:sz w:val="18"/>
                <w:szCs w:val="18"/>
              </w:rPr>
              <w:t>for impairment losses</w:t>
            </w:r>
            <w:r w:rsidRPr="008A6781">
              <w:rPr>
                <w:rFonts w:ascii="Calibri" w:hAnsi="Calibri" w:cs="Times New Roman"/>
                <w:b w:val="0"/>
                <w:smallCaps w:val="0"/>
                <w:color w:val="FF0000"/>
                <w:sz w:val="18"/>
                <w:szCs w:val="18"/>
              </w:rPr>
              <w:t xml:space="preserve"> </w:t>
            </w:r>
            <w:r w:rsidRPr="008A6781">
              <w:rPr>
                <w:rFonts w:ascii="Calibri" w:hAnsi="Calibri" w:cs="Times New Roman"/>
                <w:b w:val="0"/>
                <w:smallCaps w:val="0"/>
                <w:sz w:val="18"/>
                <w:szCs w:val="18"/>
              </w:rPr>
              <w:t xml:space="preserve">for receivables in the Financial Statements. </w:t>
            </w:r>
            <w:bookmarkStart w:id="569" w:name="_Hlk105852794"/>
            <w:r w:rsidRPr="008A6781">
              <w:rPr>
                <w:rFonts w:ascii="Calibri" w:hAnsi="Calibri" w:cs="Times New Roman"/>
                <w:b w:val="0"/>
                <w:smallCaps w:val="0"/>
                <w:sz w:val="18"/>
                <w:szCs w:val="18"/>
              </w:rPr>
              <w:t xml:space="preserve">This estimate is based on a number of categorisations of receivables and the use of an expected credit loss provision matrix. </w:t>
            </w:r>
            <w:bookmarkEnd w:id="569"/>
            <w:r w:rsidRPr="008A6781">
              <w:rPr>
                <w:rFonts w:ascii="Calibri" w:hAnsi="Calibri" w:cs="Times New Roman"/>
                <w:b w:val="0"/>
                <w:smallCaps w:val="0"/>
                <w:sz w:val="18"/>
                <w:szCs w:val="18"/>
              </w:rPr>
              <w:t>These categorisations are considered by management to be appropriate and accurate.</w:t>
            </w:r>
          </w:p>
        </w:tc>
      </w:tr>
      <w:tr w:rsidR="006D44C3" w:rsidRPr="00CF7E1B" w14:paraId="7B87C72A" w14:textId="77777777" w:rsidTr="005F5B4C">
        <w:trPr>
          <w:cantSplit/>
          <w:trHeight w:hRule="exact" w:val="271"/>
        </w:trPr>
        <w:tc>
          <w:tcPr>
            <w:tcW w:w="745" w:type="pct"/>
            <w:tcBorders>
              <w:top w:val="nil"/>
              <w:left w:val="single" w:sz="2" w:space="0" w:color="auto"/>
              <w:bottom w:val="nil"/>
              <w:right w:val="single" w:sz="2" w:space="0" w:color="auto"/>
            </w:tcBorders>
          </w:tcPr>
          <w:p w14:paraId="3EADDF8E"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2F661D88" w14:textId="319C4520" w:rsidR="006D44C3" w:rsidRPr="008A6781" w:rsidRDefault="006D44C3" w:rsidP="006D44C3">
            <w:pPr>
              <w:pStyle w:val="Appxhead3"/>
              <w:spacing w:before="60" w:after="0"/>
              <w:rPr>
                <w:rFonts w:ascii="Calibri" w:hAnsi="Calibri" w:cs="Calibri"/>
                <w:b w:val="0"/>
                <w:i/>
                <w:iCs/>
                <w:smallCaps w:val="0"/>
                <w:sz w:val="18"/>
                <w:szCs w:val="18"/>
              </w:rPr>
            </w:pPr>
            <w:r w:rsidRPr="008A6781">
              <w:rPr>
                <w:rFonts w:ascii="Calibri" w:hAnsi="Calibri" w:cs="Calibri"/>
                <w:b w:val="0"/>
                <w:i/>
                <w:iCs/>
                <w:smallCaps w:val="0"/>
                <w:sz w:val="18"/>
                <w:szCs w:val="18"/>
              </w:rPr>
              <w:t>Loans Receivable</w:t>
            </w:r>
          </w:p>
        </w:tc>
      </w:tr>
      <w:tr w:rsidR="006D44C3" w:rsidRPr="00CF7E1B" w14:paraId="6B8E467C" w14:textId="77777777" w:rsidTr="00A22089">
        <w:trPr>
          <w:cantSplit/>
          <w:trHeight w:hRule="exact" w:val="1190"/>
        </w:trPr>
        <w:tc>
          <w:tcPr>
            <w:tcW w:w="745" w:type="pct"/>
            <w:tcBorders>
              <w:top w:val="nil"/>
              <w:left w:val="single" w:sz="2" w:space="0" w:color="auto"/>
              <w:bottom w:val="nil"/>
              <w:right w:val="single" w:sz="2" w:space="0" w:color="auto"/>
            </w:tcBorders>
          </w:tcPr>
          <w:p w14:paraId="6E35594E"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FAFEFC6" w14:textId="571FB219" w:rsidR="006D44C3" w:rsidRPr="00117BAF" w:rsidRDefault="006D44C3" w:rsidP="006D44C3">
            <w:pPr>
              <w:spacing w:after="120"/>
              <w:jc w:val="both"/>
            </w:pPr>
            <w:r w:rsidRPr="00117BAF">
              <w:rPr>
                <w:sz w:val="18"/>
                <w:szCs w:val="18"/>
              </w:rPr>
              <w:t>‘</w:t>
            </w:r>
            <w:r w:rsidRPr="00117BAF">
              <w:rPr>
                <w:rFonts w:cs="Calibri"/>
                <w:sz w:val="18"/>
                <w:szCs w:val="18"/>
              </w:rPr>
              <w:t>Burley Griffin</w:t>
            </w:r>
            <w:r w:rsidRPr="00117BAF">
              <w:rPr>
                <w:sz w:val="18"/>
                <w:szCs w:val="18"/>
              </w:rPr>
              <w:t xml:space="preserve"> Agency’ </w:t>
            </w:r>
            <w:r w:rsidRPr="00813BC1">
              <w:rPr>
                <w:color w:val="FF0000"/>
                <w:sz w:val="18"/>
                <w:szCs w:val="18"/>
              </w:rPr>
              <w:t xml:space="preserve">provided </w:t>
            </w:r>
            <w:r w:rsidRPr="00813BC1">
              <w:rPr>
                <w:strike/>
                <w:color w:val="FF0000"/>
                <w:sz w:val="18"/>
                <w:szCs w:val="18"/>
              </w:rPr>
              <w:t>provides</w:t>
            </w:r>
            <w:r w:rsidRPr="00117BAF">
              <w:rPr>
                <w:sz w:val="18"/>
                <w:szCs w:val="18"/>
              </w:rPr>
              <w:t xml:space="preserve"> concessional loans under the ‘Example Home Loan Scheme’ to ACT residents that meet certain eligibility criteria.</w:t>
            </w:r>
            <w:r>
              <w:rPr>
                <w:sz w:val="18"/>
                <w:szCs w:val="18"/>
              </w:rPr>
              <w:t xml:space="preserve"> </w:t>
            </w:r>
            <w:r w:rsidRPr="00117BAF">
              <w:rPr>
                <w:sz w:val="18"/>
                <w:szCs w:val="18"/>
              </w:rPr>
              <w:t>The</w:t>
            </w:r>
            <w:r>
              <w:rPr>
                <w:sz w:val="18"/>
                <w:szCs w:val="18"/>
              </w:rPr>
              <w:t xml:space="preserve"> </w:t>
            </w:r>
            <w:r w:rsidRPr="00813BC1">
              <w:rPr>
                <w:color w:val="FF0000"/>
                <w:sz w:val="18"/>
                <w:szCs w:val="18"/>
              </w:rPr>
              <w:t>loans were</w:t>
            </w:r>
            <w:r>
              <w:rPr>
                <w:sz w:val="18"/>
                <w:szCs w:val="18"/>
              </w:rPr>
              <w:t xml:space="preserve"> </w:t>
            </w:r>
            <w:r w:rsidRPr="00813BC1">
              <w:rPr>
                <w:color w:val="FF0000"/>
                <w:sz w:val="18"/>
                <w:szCs w:val="18"/>
              </w:rPr>
              <w:t>provided at the commencement of the</w:t>
            </w:r>
            <w:r w:rsidRPr="00813BC1">
              <w:rPr>
                <w:sz w:val="18"/>
                <w:szCs w:val="18"/>
              </w:rPr>
              <w:t xml:space="preserve"> </w:t>
            </w:r>
            <w:r w:rsidRPr="00117BAF">
              <w:rPr>
                <w:sz w:val="18"/>
                <w:szCs w:val="18"/>
              </w:rPr>
              <w:t xml:space="preserve">Scheme </w:t>
            </w:r>
            <w:r w:rsidRPr="00813BC1">
              <w:rPr>
                <w:strike/>
                <w:color w:val="FF0000"/>
                <w:sz w:val="18"/>
                <w:szCs w:val="18"/>
              </w:rPr>
              <w:t>commenced</w:t>
            </w:r>
            <w:r w:rsidRPr="00117BAF">
              <w:rPr>
                <w:sz w:val="18"/>
                <w:szCs w:val="18"/>
              </w:rPr>
              <w:t xml:space="preserve"> in 20</w:t>
            </w:r>
            <w:r>
              <w:rPr>
                <w:sz w:val="18"/>
                <w:szCs w:val="18"/>
              </w:rPr>
              <w:t>20</w:t>
            </w:r>
            <w:r w:rsidRPr="00117BAF">
              <w:rPr>
                <w:sz w:val="18"/>
                <w:szCs w:val="18"/>
              </w:rPr>
              <w:t xml:space="preserve"> and was set up to </w:t>
            </w:r>
            <w:r w:rsidRPr="00117BAF">
              <w:rPr>
                <w:rFonts w:cs="Calibri"/>
                <w:sz w:val="18"/>
                <w:szCs w:val="18"/>
              </w:rPr>
              <w:t>assist low income households in achieving home ownership.</w:t>
            </w:r>
            <w:r>
              <w:rPr>
                <w:sz w:val="18"/>
                <w:szCs w:val="18"/>
              </w:rPr>
              <w:t xml:space="preserve"> </w:t>
            </w:r>
            <w:r w:rsidRPr="00117BAF">
              <w:rPr>
                <w:sz w:val="18"/>
                <w:szCs w:val="18"/>
              </w:rPr>
              <w:t>The concessional loans have a low interest rate and the repayments are principal and interest.</w:t>
            </w:r>
            <w:r>
              <w:rPr>
                <w:sz w:val="18"/>
                <w:szCs w:val="18"/>
              </w:rPr>
              <w:t xml:space="preserve"> </w:t>
            </w:r>
            <w:r w:rsidRPr="00117BAF">
              <w:rPr>
                <w:sz w:val="18"/>
                <w:szCs w:val="18"/>
              </w:rPr>
              <w:t>The loans have a term of 30 years, and repayments commence at the start of each loan.</w:t>
            </w:r>
            <w:r>
              <w:rPr>
                <w:sz w:val="18"/>
                <w:szCs w:val="18"/>
              </w:rPr>
              <w:t xml:space="preserve"> </w:t>
            </w:r>
          </w:p>
        </w:tc>
      </w:tr>
      <w:tr w:rsidR="0053546F" w:rsidRPr="00CF7E1B" w14:paraId="29A521D4" w14:textId="77777777" w:rsidTr="00C8339F">
        <w:trPr>
          <w:cantSplit/>
          <w:trHeight w:hRule="exact" w:val="1190"/>
        </w:trPr>
        <w:tc>
          <w:tcPr>
            <w:tcW w:w="745" w:type="pct"/>
            <w:tcBorders>
              <w:top w:val="nil"/>
              <w:left w:val="single" w:sz="2" w:space="0" w:color="auto"/>
              <w:bottom w:val="nil"/>
              <w:right w:val="single" w:sz="2" w:space="0" w:color="auto"/>
            </w:tcBorders>
          </w:tcPr>
          <w:p w14:paraId="3ABD3437" w14:textId="77777777" w:rsidR="0053546F" w:rsidRPr="007E70BB" w:rsidRDefault="0053546F" w:rsidP="0053546F">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788E425" w14:textId="43EC3512" w:rsidR="0053546F" w:rsidRPr="00117BAF" w:rsidRDefault="0053546F" w:rsidP="0053546F">
            <w:pPr>
              <w:jc w:val="both"/>
              <w:rPr>
                <w:rFonts w:cs="Calibri"/>
                <w:sz w:val="18"/>
                <w:szCs w:val="18"/>
              </w:rPr>
            </w:pPr>
            <w:r w:rsidRPr="00117BAF">
              <w:rPr>
                <w:sz w:val="18"/>
                <w:szCs w:val="18"/>
              </w:rPr>
              <w:t>‘</w:t>
            </w:r>
            <w:r w:rsidRPr="00117BAF">
              <w:rPr>
                <w:rFonts w:cs="Calibri"/>
                <w:sz w:val="18"/>
                <w:szCs w:val="18"/>
              </w:rPr>
              <w:t>Burley Griffin</w:t>
            </w:r>
            <w:r w:rsidRPr="00117BAF">
              <w:rPr>
                <w:sz w:val="18"/>
                <w:szCs w:val="18"/>
              </w:rPr>
              <w:t xml:space="preserve"> Agency’ does not inten</w:t>
            </w:r>
            <w:r>
              <w:rPr>
                <w:sz w:val="18"/>
                <w:szCs w:val="18"/>
              </w:rPr>
              <w:t>d</w:t>
            </w:r>
            <w:r w:rsidRPr="00117BAF">
              <w:rPr>
                <w:sz w:val="18"/>
                <w:szCs w:val="18"/>
              </w:rPr>
              <w:t xml:space="preserve"> on selling the loans to recover the principal.</w:t>
            </w:r>
            <w:r>
              <w:rPr>
                <w:sz w:val="18"/>
                <w:szCs w:val="18"/>
              </w:rPr>
              <w:t xml:space="preserve"> </w:t>
            </w:r>
            <w:r w:rsidRPr="00117BAF">
              <w:rPr>
                <w:sz w:val="18"/>
                <w:szCs w:val="18"/>
              </w:rPr>
              <w:t>On initial recognition, the Concessional Loans Receivable are measured at their fair value plus any transaction costs. The difference between the loan’s nominal value at the concessional rate and fair value at the market rate is recognised as a Concessional Loan Discount Expense.</w:t>
            </w:r>
            <w:r>
              <w:rPr>
                <w:sz w:val="18"/>
                <w:szCs w:val="18"/>
              </w:rPr>
              <w:t xml:space="preserve"> </w:t>
            </w:r>
            <w:r w:rsidRPr="00117BAF">
              <w:rPr>
                <w:sz w:val="18"/>
                <w:szCs w:val="18"/>
              </w:rPr>
              <w:t>Subsequent to initial recognition Concessional Loans Receivable are measured at amortised cost.</w:t>
            </w:r>
            <w:r>
              <w:rPr>
                <w:sz w:val="18"/>
                <w:szCs w:val="18"/>
              </w:rPr>
              <w:t xml:space="preserve">  </w:t>
            </w:r>
            <w:r w:rsidRPr="00C8339F">
              <w:rPr>
                <w:color w:val="FF0000"/>
                <w:sz w:val="18"/>
                <w:szCs w:val="18"/>
              </w:rPr>
              <w:t>As ACT residents repay loan amounts, ‘Burley Griffin Agency’ is required to return this money back to government.</w:t>
            </w:r>
            <w:r>
              <w:rPr>
                <w:sz w:val="18"/>
                <w:szCs w:val="18"/>
              </w:rPr>
              <w:t xml:space="preserve"> </w:t>
            </w:r>
          </w:p>
        </w:tc>
      </w:tr>
      <w:tr w:rsidR="0053546F" w:rsidRPr="00CF7E1B" w14:paraId="1172E9C0" w14:textId="77777777" w:rsidTr="00E56365">
        <w:trPr>
          <w:cantSplit/>
          <w:trHeight w:hRule="exact" w:val="276"/>
        </w:trPr>
        <w:tc>
          <w:tcPr>
            <w:tcW w:w="745" w:type="pct"/>
            <w:tcBorders>
              <w:top w:val="nil"/>
              <w:left w:val="single" w:sz="2" w:space="0" w:color="auto"/>
              <w:bottom w:val="nil"/>
              <w:right w:val="single" w:sz="2" w:space="0" w:color="auto"/>
            </w:tcBorders>
          </w:tcPr>
          <w:p w14:paraId="38E39048"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0D22F738" w14:textId="1C8FC671" w:rsidR="0053546F" w:rsidRPr="00FD2563" w:rsidRDefault="0053546F" w:rsidP="0053546F">
            <w:pPr>
              <w:jc w:val="both"/>
              <w:rPr>
                <w:rFonts w:cs="Calibri"/>
                <w:sz w:val="18"/>
                <w:szCs w:val="18"/>
              </w:rPr>
            </w:pPr>
            <w:r w:rsidRPr="00FD2563">
              <w:rPr>
                <w:rFonts w:cs="Calibri"/>
                <w:i/>
                <w:iCs/>
                <w:color w:val="FF0000"/>
                <w:sz w:val="18"/>
                <w:szCs w:val="18"/>
              </w:rPr>
              <w:t xml:space="preserve">Expected Credit </w:t>
            </w:r>
            <w:r w:rsidRPr="00FD2563">
              <w:rPr>
                <w:rFonts w:cs="Calibri"/>
                <w:i/>
                <w:iCs/>
                <w:strike/>
                <w:color w:val="FF0000"/>
                <w:sz w:val="18"/>
                <w:szCs w:val="18"/>
              </w:rPr>
              <w:t>Impairment</w:t>
            </w:r>
            <w:r w:rsidRPr="00FD2563">
              <w:rPr>
                <w:rFonts w:cs="Calibri"/>
                <w:i/>
                <w:iCs/>
                <w:sz w:val="18"/>
                <w:szCs w:val="18"/>
              </w:rPr>
              <w:t xml:space="preserve"> Loss</w:t>
            </w:r>
            <w:r w:rsidRPr="00FD2563">
              <w:rPr>
                <w:rFonts w:cs="Calibri"/>
                <w:i/>
                <w:iCs/>
                <w:color w:val="FF0000"/>
                <w:sz w:val="18"/>
                <w:szCs w:val="18"/>
              </w:rPr>
              <w:t>es</w:t>
            </w:r>
            <w:r w:rsidRPr="00FD2563">
              <w:rPr>
                <w:rFonts w:cs="Calibri"/>
                <w:i/>
                <w:iCs/>
                <w:sz w:val="18"/>
                <w:szCs w:val="18"/>
              </w:rPr>
              <w:t xml:space="preserve"> – Loans Receivables</w:t>
            </w:r>
            <w:r w:rsidRPr="00FD2563">
              <w:rPr>
                <w:rFonts w:cs="Calibri"/>
                <w:sz w:val="18"/>
                <w:szCs w:val="18"/>
                <w:highlight w:val="yellow"/>
              </w:rPr>
              <w:t xml:space="preserve"> </w:t>
            </w:r>
          </w:p>
        </w:tc>
      </w:tr>
      <w:tr w:rsidR="0053546F" w:rsidRPr="00CF7E1B" w14:paraId="0755001F" w14:textId="77777777" w:rsidTr="00E56365">
        <w:trPr>
          <w:cantSplit/>
          <w:trHeight w:hRule="exact" w:val="1399"/>
        </w:trPr>
        <w:tc>
          <w:tcPr>
            <w:tcW w:w="745" w:type="pct"/>
            <w:tcBorders>
              <w:top w:val="nil"/>
              <w:left w:val="single" w:sz="2" w:space="0" w:color="auto"/>
              <w:bottom w:val="nil"/>
              <w:right w:val="single" w:sz="2" w:space="0" w:color="auto"/>
            </w:tcBorders>
          </w:tcPr>
          <w:p w14:paraId="4B3E9C43"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3BFD8145" w14:textId="12406D6B" w:rsidR="0053546F" w:rsidRPr="00FD2563" w:rsidRDefault="0053546F" w:rsidP="0053546F">
            <w:pPr>
              <w:spacing w:after="120"/>
              <w:jc w:val="both"/>
              <w:rPr>
                <w:sz w:val="18"/>
                <w:szCs w:val="18"/>
              </w:rPr>
            </w:pPr>
            <w:bookmarkStart w:id="570" w:name="_Hlk105852360"/>
            <w:r w:rsidRPr="00FD2563">
              <w:rPr>
                <w:sz w:val="18"/>
                <w:szCs w:val="18"/>
              </w:rPr>
              <w:t xml:space="preserve">For </w:t>
            </w:r>
            <w:r w:rsidRPr="008A6781">
              <w:rPr>
                <w:sz w:val="18"/>
                <w:szCs w:val="18"/>
              </w:rPr>
              <w:t xml:space="preserve">loans receivable, ‘Burley Griffin Agency’ applied the </w:t>
            </w:r>
            <w:r w:rsidRPr="008A6781">
              <w:rPr>
                <w:color w:val="FF0000"/>
                <w:sz w:val="18"/>
                <w:szCs w:val="18"/>
              </w:rPr>
              <w:t>general</w:t>
            </w:r>
            <w:r w:rsidRPr="008A6781">
              <w:rPr>
                <w:sz w:val="18"/>
                <w:szCs w:val="18"/>
              </w:rPr>
              <w:t xml:space="preserve"> </w:t>
            </w:r>
            <w:r w:rsidRPr="008A6781">
              <w:rPr>
                <w:strike/>
                <w:color w:val="FF0000"/>
                <w:sz w:val="18"/>
                <w:szCs w:val="18"/>
              </w:rPr>
              <w:t>simplified</w:t>
            </w:r>
            <w:r w:rsidRPr="008A6781">
              <w:rPr>
                <w:sz w:val="18"/>
                <w:szCs w:val="18"/>
              </w:rPr>
              <w:t xml:space="preserve"> approach under AASB 9, which uses a </w:t>
            </w:r>
            <w:r w:rsidRPr="008A6781">
              <w:rPr>
                <w:strike/>
                <w:color w:val="FF0000"/>
                <w:sz w:val="18"/>
                <w:szCs w:val="18"/>
              </w:rPr>
              <w:t>lifetime</w:t>
            </w:r>
            <w:r w:rsidRPr="008A6781">
              <w:rPr>
                <w:sz w:val="18"/>
                <w:szCs w:val="18"/>
              </w:rPr>
              <w:t xml:space="preserve"> </w:t>
            </w:r>
            <w:r w:rsidRPr="008A6781">
              <w:rPr>
                <w:rFonts w:cs="Calibri"/>
                <w:color w:val="FF0000"/>
                <w:sz w:val="18"/>
                <w:szCs w:val="18"/>
              </w:rPr>
              <w:t xml:space="preserve">12 months </w:t>
            </w:r>
            <w:r w:rsidRPr="008A6781">
              <w:rPr>
                <w:sz w:val="18"/>
                <w:szCs w:val="18"/>
              </w:rPr>
              <w:t>expected credit loss for all loans receivable</w:t>
            </w:r>
            <w:r w:rsidRPr="008A6781">
              <w:rPr>
                <w:rFonts w:cs="Calibri"/>
                <w:color w:val="FF0000"/>
                <w:sz w:val="18"/>
                <w:szCs w:val="18"/>
              </w:rPr>
              <w:t>, unless there has been a significant increase in credit risk since initial recognition. Where there has been a significant increase in credit risk since initial recognition, an amount equal to the lifetime expected credit losses is used to determine the expected credit loss allowance.</w:t>
            </w:r>
            <w:r w:rsidRPr="008A6781">
              <w:rPr>
                <w:sz w:val="18"/>
                <w:szCs w:val="18"/>
              </w:rPr>
              <w:t xml:space="preserve"> A </w:t>
            </w:r>
            <w:r w:rsidRPr="008A6781">
              <w:rPr>
                <w:color w:val="FF0000"/>
                <w:sz w:val="18"/>
                <w:szCs w:val="18"/>
              </w:rPr>
              <w:t xml:space="preserve">‘Loss Rate’ approach </w:t>
            </w:r>
            <w:r w:rsidRPr="008A6781">
              <w:rPr>
                <w:strike/>
                <w:color w:val="FF0000"/>
                <w:sz w:val="18"/>
                <w:szCs w:val="18"/>
              </w:rPr>
              <w:t>provision matrix</w:t>
            </w:r>
            <w:r w:rsidRPr="008A6781">
              <w:rPr>
                <w:sz w:val="18"/>
                <w:szCs w:val="18"/>
              </w:rPr>
              <w:t>, based on its historical credit loss experience adjusted for forward looking factors, is used to calculate the expected credit loss.</w:t>
            </w:r>
            <w:bookmarkEnd w:id="570"/>
          </w:p>
        </w:tc>
      </w:tr>
      <w:tr w:rsidR="00F510E4" w:rsidRPr="00CF7E1B" w14:paraId="1384BB1B" w14:textId="77777777" w:rsidTr="00095742">
        <w:trPr>
          <w:cantSplit/>
          <w:trHeight w:hRule="exact" w:val="1081"/>
        </w:trPr>
        <w:tc>
          <w:tcPr>
            <w:tcW w:w="745" w:type="pct"/>
            <w:tcBorders>
              <w:top w:val="nil"/>
              <w:left w:val="single" w:sz="2" w:space="0" w:color="auto"/>
              <w:bottom w:val="nil"/>
              <w:right w:val="single" w:sz="2" w:space="0" w:color="auto"/>
            </w:tcBorders>
          </w:tcPr>
          <w:p w14:paraId="3EA9FD0C" w14:textId="0E6122DC" w:rsidR="00F510E4" w:rsidRPr="007E70BB" w:rsidRDefault="00F510E4" w:rsidP="00095742">
            <w:pPr>
              <w:pStyle w:val="TableReference"/>
              <w:tabs>
                <w:tab w:val="left" w:pos="3306"/>
              </w:tabs>
              <w:spacing w:before="240" w:after="240"/>
              <w:rPr>
                <w:rFonts w:cs="Calibri"/>
                <w:b/>
                <w:color w:val="7030A0"/>
                <w:sz w:val="20"/>
                <w:szCs w:val="20"/>
              </w:rPr>
            </w:pPr>
            <w:r w:rsidRPr="003E75E3">
              <w:rPr>
                <w:rFonts w:cs="Calibri"/>
                <w:b/>
                <w:color w:val="7030A0"/>
                <w:sz w:val="22"/>
                <w:szCs w:val="22"/>
              </w:rPr>
              <w:t>Reference</w:t>
            </w:r>
          </w:p>
        </w:tc>
        <w:tc>
          <w:tcPr>
            <w:tcW w:w="4255" w:type="pct"/>
            <w:gridSpan w:val="5"/>
            <w:tcBorders>
              <w:top w:val="nil"/>
              <w:left w:val="single" w:sz="2" w:space="0" w:color="auto"/>
              <w:bottom w:val="nil"/>
              <w:right w:val="nil"/>
            </w:tcBorders>
          </w:tcPr>
          <w:p w14:paraId="1A5D975E" w14:textId="3F830998" w:rsidR="00F510E4" w:rsidRPr="00FD2563" w:rsidRDefault="00F510E4" w:rsidP="00095742">
            <w:pPr>
              <w:spacing w:before="240" w:after="240"/>
              <w:jc w:val="both"/>
              <w:rPr>
                <w:sz w:val="18"/>
                <w:szCs w:val="18"/>
              </w:rPr>
            </w:pPr>
            <w:r w:rsidRPr="003E75E3">
              <w:rPr>
                <w:rFonts w:ascii="Arial" w:hAnsi="Arial"/>
                <w:b/>
                <w:bCs/>
                <w:caps/>
                <w:sz w:val="32"/>
                <w:szCs w:val="24"/>
              </w:rPr>
              <w:t>Note 16.</w:t>
            </w:r>
            <w:r>
              <w:rPr>
                <w:rFonts w:ascii="Arial" w:hAnsi="Arial"/>
                <w:b/>
                <w:bCs/>
                <w:caps/>
                <w:sz w:val="32"/>
                <w:szCs w:val="24"/>
              </w:rPr>
              <w:t xml:space="preserve"> </w:t>
            </w:r>
            <w:r w:rsidRPr="003E75E3">
              <w:rPr>
                <w:rFonts w:ascii="Arial" w:hAnsi="Arial"/>
                <w:b/>
                <w:bCs/>
                <w:caps/>
                <w:sz w:val="32"/>
                <w:szCs w:val="24"/>
              </w:rPr>
              <w:t xml:space="preserve"> Receivables </w:t>
            </w:r>
            <w:r w:rsidRPr="005559F1">
              <w:rPr>
                <w:rFonts w:ascii="Arial" w:hAnsi="Arial"/>
                <w:b/>
                <w:bCs/>
                <w:caps/>
                <w:strike/>
                <w:color w:val="FF0000"/>
                <w:sz w:val="32"/>
                <w:szCs w:val="24"/>
              </w:rPr>
              <w:t>and Contract Assets</w:t>
            </w:r>
            <w:r w:rsidRPr="003E75E3">
              <w:rPr>
                <w:rFonts w:ascii="Arial" w:hAnsi="Arial"/>
                <w:b/>
                <w:bCs/>
                <w:caps/>
                <w:sz w:val="32"/>
                <w:szCs w:val="24"/>
              </w:rPr>
              <w:t xml:space="preserve"> </w:t>
            </w:r>
            <w:r>
              <w:rPr>
                <w:rFonts w:ascii="Arial" w:hAnsi="Arial"/>
                <w:b/>
                <w:bCs/>
                <w:caps/>
                <w:sz w:val="32"/>
                <w:szCs w:val="24"/>
              </w:rPr>
              <w:t>–</w:t>
            </w:r>
            <w:r w:rsidRPr="003E75E3">
              <w:rPr>
                <w:rFonts w:ascii="Arial" w:hAnsi="Arial"/>
                <w:b/>
                <w:bCs/>
                <w:caps/>
                <w:sz w:val="32"/>
                <w:szCs w:val="24"/>
              </w:rPr>
              <w:t xml:space="preserve"> Continued</w:t>
            </w:r>
            <w:r>
              <w:rPr>
                <w:rFonts w:ascii="Arial" w:hAnsi="Arial"/>
                <w:b/>
                <w:bCs/>
                <w:caps/>
                <w:sz w:val="32"/>
                <w:szCs w:val="24"/>
              </w:rPr>
              <w:t xml:space="preserve"> </w:t>
            </w:r>
          </w:p>
        </w:tc>
      </w:tr>
      <w:tr w:rsidR="00F510E4" w:rsidRPr="00CF7E1B" w14:paraId="3EE2A957" w14:textId="77777777" w:rsidTr="00FD2563">
        <w:trPr>
          <w:cantSplit/>
          <w:trHeight w:hRule="exact" w:val="341"/>
        </w:trPr>
        <w:tc>
          <w:tcPr>
            <w:tcW w:w="745" w:type="pct"/>
            <w:tcBorders>
              <w:top w:val="nil"/>
              <w:left w:val="single" w:sz="2" w:space="0" w:color="auto"/>
              <w:bottom w:val="nil"/>
              <w:right w:val="single" w:sz="2" w:space="0" w:color="auto"/>
            </w:tcBorders>
          </w:tcPr>
          <w:p w14:paraId="40F07E10" w14:textId="77777777" w:rsidR="00F510E4" w:rsidRPr="007E70BB" w:rsidRDefault="00F510E4" w:rsidP="00F510E4">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52105A6" w14:textId="70D11455" w:rsidR="00F510E4" w:rsidRPr="007E70BB" w:rsidRDefault="00F510E4" w:rsidP="00F510E4">
            <w:pPr>
              <w:pStyle w:val="Appxhead3"/>
              <w:spacing w:after="120"/>
              <w:rPr>
                <w:rFonts w:ascii="Calibri" w:hAnsi="Calibri" w:cs="Times New Roman"/>
                <w:bCs/>
                <w:smallCaps w:val="0"/>
                <w:sz w:val="18"/>
                <w:szCs w:val="18"/>
              </w:rPr>
            </w:pPr>
            <w:r w:rsidRPr="007E70BB">
              <w:rPr>
                <w:rFonts w:ascii="Calibri" w:hAnsi="Calibri" w:cs="Calibri"/>
                <w:b w:val="0"/>
                <w:i/>
                <w:iCs/>
                <w:smallCaps w:val="0"/>
                <w:sz w:val="18"/>
                <w:szCs w:val="18"/>
              </w:rPr>
              <w:t>Receivables for Finance Leases as Lessor</w:t>
            </w:r>
          </w:p>
        </w:tc>
      </w:tr>
      <w:tr w:rsidR="00F510E4" w:rsidRPr="00CF7E1B" w14:paraId="422695DF" w14:textId="77777777" w:rsidTr="00B76E60">
        <w:trPr>
          <w:cantSplit/>
          <w:trHeight w:hRule="exact" w:val="1675"/>
        </w:trPr>
        <w:tc>
          <w:tcPr>
            <w:tcW w:w="745" w:type="pct"/>
            <w:tcBorders>
              <w:top w:val="nil"/>
              <w:left w:val="single" w:sz="2" w:space="0" w:color="auto"/>
              <w:bottom w:val="nil"/>
              <w:right w:val="single" w:sz="2" w:space="0" w:color="auto"/>
            </w:tcBorders>
          </w:tcPr>
          <w:p w14:paraId="2005F4B8" w14:textId="77777777" w:rsidR="00F510E4" w:rsidRPr="007E70BB" w:rsidRDefault="00F510E4" w:rsidP="00F510E4">
            <w:pPr>
              <w:rPr>
                <w:color w:val="7030A0"/>
                <w:sz w:val="14"/>
                <w:szCs w:val="14"/>
              </w:rPr>
            </w:pPr>
            <w:r w:rsidRPr="007E70BB">
              <w:rPr>
                <w:color w:val="7030A0"/>
                <w:sz w:val="14"/>
                <w:szCs w:val="14"/>
              </w:rPr>
              <w:t>AASB 16.61</w:t>
            </w:r>
          </w:p>
          <w:p w14:paraId="1F8A09CB" w14:textId="77777777" w:rsidR="00F510E4" w:rsidRPr="007E70BB" w:rsidRDefault="00F510E4" w:rsidP="00F510E4">
            <w:pPr>
              <w:rPr>
                <w:color w:val="7030A0"/>
                <w:sz w:val="14"/>
                <w:szCs w:val="14"/>
              </w:rPr>
            </w:pPr>
            <w:r w:rsidRPr="007E70BB">
              <w:rPr>
                <w:color w:val="7030A0"/>
                <w:sz w:val="14"/>
                <w:szCs w:val="14"/>
              </w:rPr>
              <w:t>AASB 16.62</w:t>
            </w:r>
          </w:p>
          <w:p w14:paraId="6B06565A" w14:textId="77777777" w:rsidR="00F510E4" w:rsidRPr="007E70BB" w:rsidRDefault="00F510E4" w:rsidP="00F510E4">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D2BBE0B" w14:textId="45A81B7C" w:rsidR="00F510E4" w:rsidRPr="007E70BB" w:rsidRDefault="00F510E4" w:rsidP="00F510E4">
            <w:pPr>
              <w:spacing w:after="120"/>
              <w:jc w:val="both"/>
              <w:rPr>
                <w:bCs/>
                <w:smallCaps/>
                <w:sz w:val="18"/>
                <w:szCs w:val="18"/>
              </w:rPr>
            </w:pPr>
            <w:r w:rsidRPr="007E70BB">
              <w:rPr>
                <w:sz w:val="18"/>
                <w:szCs w:val="18"/>
              </w:rPr>
              <w:t>‘Burley Griffin Agency’ has excess capacity in leased storage facility properties under a head lease.</w:t>
            </w:r>
            <w:r>
              <w:rPr>
                <w:sz w:val="18"/>
                <w:szCs w:val="18"/>
              </w:rPr>
              <w:t xml:space="preserve"> </w:t>
            </w:r>
            <w:r w:rsidRPr="007E70BB">
              <w:rPr>
                <w:sz w:val="18"/>
                <w:szCs w:val="18"/>
              </w:rPr>
              <w:t>As such, ‘Burley Griffin Agency’ has sub-leased this excess capacity for the remaining life of the head lease at the same rate as the Agency is paying under the head lease.</w:t>
            </w:r>
            <w:r>
              <w:rPr>
                <w:sz w:val="18"/>
                <w:szCs w:val="18"/>
              </w:rPr>
              <w:t xml:space="preserve"> </w:t>
            </w:r>
            <w:r w:rsidRPr="007E70BB">
              <w:rPr>
                <w:sz w:val="18"/>
                <w:szCs w:val="18"/>
              </w:rPr>
              <w:t>‘Burley Griffin Agency’ accounts for the head lease and sub-lease separately.</w:t>
            </w:r>
            <w:r>
              <w:rPr>
                <w:sz w:val="18"/>
                <w:szCs w:val="18"/>
              </w:rPr>
              <w:t xml:space="preserve"> </w:t>
            </w:r>
            <w:r w:rsidRPr="007E70BB">
              <w:rPr>
                <w:sz w:val="18"/>
                <w:szCs w:val="18"/>
              </w:rPr>
              <w:t>The sub</w:t>
            </w:r>
            <w:r w:rsidRPr="007E70BB">
              <w:rPr>
                <w:sz w:val="18"/>
                <w:szCs w:val="18"/>
              </w:rPr>
              <w:noBreakHyphen/>
              <w:t>lease under this arrangement has been classified as a finance lease, as they substantially transfer all the risks and rewards of ownership from ‘</w:t>
            </w:r>
            <w:r w:rsidRPr="007E70BB">
              <w:rPr>
                <w:rFonts w:cs="Calibri"/>
                <w:sz w:val="18"/>
                <w:szCs w:val="18"/>
              </w:rPr>
              <w:t>Burley Griffin</w:t>
            </w:r>
            <w:r w:rsidRPr="007E70BB">
              <w:rPr>
                <w:sz w:val="18"/>
                <w:szCs w:val="18"/>
              </w:rPr>
              <w:t xml:space="preserve"> Agency’ to the lessee.</w:t>
            </w:r>
            <w:r>
              <w:rPr>
                <w:sz w:val="18"/>
                <w:szCs w:val="18"/>
              </w:rPr>
              <w:t xml:space="preserve"> </w:t>
            </w:r>
            <w:r w:rsidRPr="007E70BB">
              <w:rPr>
                <w:bCs/>
                <w:sz w:val="18"/>
                <w:szCs w:val="18"/>
              </w:rPr>
              <w:t>The classification of the sub-lease is based on the right-of-use asset which arises from the head lease rather than the useful life of the underlying asset.</w:t>
            </w:r>
            <w:r>
              <w:rPr>
                <w:bCs/>
                <w:sz w:val="18"/>
                <w:szCs w:val="18"/>
              </w:rPr>
              <w:t xml:space="preserve"> </w:t>
            </w:r>
            <w:r w:rsidRPr="007E70BB">
              <w:rPr>
                <w:sz w:val="18"/>
                <w:szCs w:val="18"/>
              </w:rPr>
              <w:t>As such, the right-of-use asset has been derecognised and a finance lease receivable recognised in its place. This arrangement is due to expire in 203</w:t>
            </w:r>
            <w:r>
              <w:rPr>
                <w:sz w:val="18"/>
                <w:szCs w:val="18"/>
              </w:rPr>
              <w:t>6</w:t>
            </w:r>
            <w:r w:rsidRPr="007E70BB">
              <w:rPr>
                <w:sz w:val="18"/>
                <w:szCs w:val="18"/>
              </w:rPr>
              <w:t>.</w:t>
            </w:r>
          </w:p>
        </w:tc>
      </w:tr>
      <w:tr w:rsidR="00F510E4" w:rsidRPr="0022649D" w14:paraId="3C112C0E" w14:textId="77777777" w:rsidTr="00B76E60">
        <w:trPr>
          <w:cantSplit/>
          <w:trHeight w:val="126"/>
        </w:trPr>
        <w:tc>
          <w:tcPr>
            <w:tcW w:w="745" w:type="pct"/>
            <w:tcBorders>
              <w:top w:val="nil"/>
              <w:left w:val="single" w:sz="2" w:space="0" w:color="auto"/>
              <w:bottom w:val="nil"/>
              <w:right w:val="single" w:sz="2" w:space="0" w:color="auto"/>
            </w:tcBorders>
          </w:tcPr>
          <w:p w14:paraId="0A588214" w14:textId="77777777" w:rsidR="00F510E4" w:rsidRPr="007E70BB" w:rsidRDefault="00F510E4" w:rsidP="00F510E4">
            <w:pPr>
              <w:pStyle w:val="TableReference"/>
              <w:tabs>
                <w:tab w:val="left" w:pos="3306"/>
              </w:tabs>
              <w:jc w:val="both"/>
              <w:rPr>
                <w:rFonts w:cs="Calibri"/>
                <w:b/>
                <w:color w:val="7030A0"/>
                <w:sz w:val="20"/>
                <w:szCs w:val="20"/>
              </w:rPr>
            </w:pPr>
          </w:p>
        </w:tc>
        <w:tc>
          <w:tcPr>
            <w:tcW w:w="4255" w:type="pct"/>
            <w:gridSpan w:val="5"/>
            <w:tcBorders>
              <w:top w:val="nil"/>
              <w:left w:val="single" w:sz="2" w:space="0" w:color="auto"/>
              <w:bottom w:val="nil"/>
              <w:right w:val="nil"/>
            </w:tcBorders>
          </w:tcPr>
          <w:p w14:paraId="0082FC2E" w14:textId="37B84F5A" w:rsidR="00F510E4" w:rsidRPr="00B76E60" w:rsidRDefault="00F510E4" w:rsidP="00F510E4">
            <w:pPr>
              <w:jc w:val="both"/>
              <w:rPr>
                <w:b/>
                <w:bCs/>
                <w:i/>
                <w:iCs/>
                <w:caps/>
                <w:sz w:val="18"/>
                <w:szCs w:val="18"/>
              </w:rPr>
            </w:pPr>
            <w:bookmarkStart w:id="571" w:name="_Toc98763110"/>
            <w:r w:rsidRPr="00B76E60">
              <w:rPr>
                <w:i/>
                <w:iCs/>
                <w:sz w:val="18"/>
                <w:szCs w:val="18"/>
              </w:rPr>
              <w:t>Contract Assets</w:t>
            </w:r>
            <w:bookmarkEnd w:id="571"/>
          </w:p>
        </w:tc>
      </w:tr>
      <w:tr w:rsidR="00F510E4" w:rsidRPr="0022649D" w14:paraId="21265873" w14:textId="77777777" w:rsidTr="005F5B4C">
        <w:trPr>
          <w:cantSplit/>
          <w:trHeight w:val="363"/>
        </w:trPr>
        <w:tc>
          <w:tcPr>
            <w:tcW w:w="745" w:type="pct"/>
            <w:tcBorders>
              <w:top w:val="nil"/>
              <w:left w:val="single" w:sz="2" w:space="0" w:color="auto"/>
              <w:bottom w:val="nil"/>
              <w:right w:val="single" w:sz="2" w:space="0" w:color="auto"/>
            </w:tcBorders>
          </w:tcPr>
          <w:p w14:paraId="51E06E99" w14:textId="77777777" w:rsidR="00F510E4" w:rsidRPr="007E70BB" w:rsidRDefault="00F510E4" w:rsidP="00F510E4">
            <w:pPr>
              <w:pStyle w:val="TableReference"/>
              <w:tabs>
                <w:tab w:val="left" w:pos="3306"/>
              </w:tabs>
              <w:spacing w:before="40"/>
              <w:jc w:val="both"/>
              <w:rPr>
                <w:rFonts w:cs="Calibri"/>
                <w:color w:val="7030A0"/>
                <w:sz w:val="14"/>
              </w:rPr>
            </w:pPr>
            <w:r w:rsidRPr="007E70BB">
              <w:rPr>
                <w:rFonts w:cs="Calibri"/>
                <w:color w:val="7030A0"/>
                <w:sz w:val="14"/>
              </w:rPr>
              <w:t>AASB 15.117</w:t>
            </w:r>
          </w:p>
          <w:p w14:paraId="5FC330D0" w14:textId="77777777" w:rsidR="00F510E4" w:rsidRPr="007E70BB" w:rsidRDefault="00F510E4" w:rsidP="00F510E4">
            <w:pPr>
              <w:pStyle w:val="TableReference"/>
              <w:tabs>
                <w:tab w:val="left" w:pos="3306"/>
              </w:tabs>
              <w:spacing w:before="40"/>
              <w:jc w:val="both"/>
              <w:rPr>
                <w:rFonts w:cs="Calibri"/>
                <w:color w:val="7030A0"/>
                <w:sz w:val="14"/>
              </w:rPr>
            </w:pPr>
          </w:p>
        </w:tc>
        <w:tc>
          <w:tcPr>
            <w:tcW w:w="4255" w:type="pct"/>
            <w:gridSpan w:val="5"/>
            <w:tcBorders>
              <w:top w:val="nil"/>
              <w:left w:val="single" w:sz="2" w:space="0" w:color="auto"/>
              <w:bottom w:val="nil"/>
              <w:right w:val="nil"/>
            </w:tcBorders>
          </w:tcPr>
          <w:p w14:paraId="5E348D87" w14:textId="10F6E95B" w:rsidR="00F510E4" w:rsidRPr="00EC1A8A" w:rsidRDefault="00F510E4" w:rsidP="00F510E4">
            <w:pPr>
              <w:spacing w:after="120"/>
              <w:jc w:val="both"/>
              <w:rPr>
                <w:b/>
                <w:bCs/>
                <w:caps/>
                <w:sz w:val="18"/>
                <w:szCs w:val="18"/>
                <w:lang w:eastAsia="en-AU"/>
              </w:rPr>
            </w:pPr>
            <w:bookmarkStart w:id="572" w:name="_Toc98763111"/>
            <w:r w:rsidRPr="00EC1A8A">
              <w:rPr>
                <w:sz w:val="18"/>
                <w:szCs w:val="18"/>
                <w:lang w:eastAsia="en-AU"/>
              </w:rPr>
              <w:t>Contract assets relate to ‘</w:t>
            </w:r>
            <w:r w:rsidRPr="00EC1A8A">
              <w:rPr>
                <w:rFonts w:cs="Calibri"/>
                <w:sz w:val="18"/>
                <w:szCs w:val="18"/>
              </w:rPr>
              <w:t>Burley Griffin</w:t>
            </w:r>
            <w:r w:rsidRPr="00EC1A8A">
              <w:rPr>
                <w:sz w:val="18"/>
                <w:szCs w:val="18"/>
              </w:rPr>
              <w:t xml:space="preserve"> </w:t>
            </w:r>
            <w:r w:rsidRPr="00EC1A8A">
              <w:rPr>
                <w:sz w:val="18"/>
                <w:szCs w:val="18"/>
                <w:lang w:eastAsia="en-AU"/>
              </w:rPr>
              <w:t xml:space="preserve">Agency’s’ right to consideration in exchange for works completed but not invoiced at the reporting date in respect of </w:t>
            </w:r>
            <w:r w:rsidRPr="00EC1A8A">
              <w:rPr>
                <w:rFonts w:cs="Calibri"/>
                <w:sz w:val="18"/>
                <w:szCs w:val="18"/>
              </w:rPr>
              <w:t>Facilities Management Services and Property Management Services it provides to ACT and non-ACT Government customers</w:t>
            </w:r>
            <w:r w:rsidRPr="00EC1A8A">
              <w:rPr>
                <w:sz w:val="18"/>
                <w:szCs w:val="18"/>
                <w:lang w:eastAsia="en-AU"/>
              </w:rPr>
              <w:t>. T</w:t>
            </w:r>
            <w:r w:rsidRPr="00EC1A8A">
              <w:rPr>
                <w:rFonts w:cs="Calibri"/>
                <w:sz w:val="18"/>
                <w:szCs w:val="18"/>
              </w:rPr>
              <w:t>he benefits of Property Management Services are received and consumed by the customers of ‘Burley Griffin Agency’ on a monthly basis. However the amount is only invoiced to customers at the start of the following month thereby resulting in the Agency recognising a contract asset at year end for services provided in June 2023. Facilities Management Services are invoiced once the maintenance work is completed.</w:t>
            </w:r>
            <w:bookmarkEnd w:id="572"/>
          </w:p>
        </w:tc>
      </w:tr>
      <w:tr w:rsidR="00F510E4" w:rsidRPr="00522585" w14:paraId="565D221D" w14:textId="77777777" w:rsidTr="005F5B4C">
        <w:trPr>
          <w:cantSplit/>
          <w:trHeight w:val="454"/>
        </w:trPr>
        <w:tc>
          <w:tcPr>
            <w:tcW w:w="745" w:type="pct"/>
            <w:tcBorders>
              <w:top w:val="nil"/>
              <w:left w:val="single" w:sz="2" w:space="0" w:color="auto"/>
              <w:bottom w:val="nil"/>
              <w:right w:val="single" w:sz="2" w:space="0" w:color="auto"/>
            </w:tcBorders>
          </w:tcPr>
          <w:p w14:paraId="79D3E987"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15.107</w:t>
            </w:r>
          </w:p>
        </w:tc>
        <w:tc>
          <w:tcPr>
            <w:tcW w:w="4255" w:type="pct"/>
            <w:gridSpan w:val="5"/>
            <w:tcBorders>
              <w:top w:val="nil"/>
              <w:left w:val="single" w:sz="2" w:space="0" w:color="auto"/>
              <w:bottom w:val="nil"/>
              <w:right w:val="nil"/>
            </w:tcBorders>
          </w:tcPr>
          <w:p w14:paraId="51B2E08B" w14:textId="47FE9B3F" w:rsidR="00F510E4" w:rsidRPr="007E70BB" w:rsidRDefault="00F510E4" w:rsidP="00F510E4">
            <w:pPr>
              <w:pStyle w:val="ListParagraph"/>
              <w:spacing w:after="120"/>
              <w:ind w:left="0"/>
              <w:contextualSpacing w:val="0"/>
              <w:jc w:val="both"/>
              <w:rPr>
                <w:rFonts w:cs="Arial"/>
                <w:sz w:val="18"/>
                <w:szCs w:val="18"/>
                <w:lang w:eastAsia="en-AU"/>
              </w:rPr>
            </w:pPr>
            <w:r w:rsidRPr="007E70BB">
              <w:rPr>
                <w:rFonts w:cs="Arial"/>
                <w:sz w:val="18"/>
                <w:szCs w:val="18"/>
                <w:lang w:eastAsia="en-AU"/>
              </w:rPr>
              <w:t>The amounts billed to customers are based on the achievement of various milestones established in the contract, therefore the amounts recognised as revenue in a given period do not necessarily coincide with the amounts billed to or certified by the customer.</w:t>
            </w:r>
            <w:r>
              <w:rPr>
                <w:rFonts w:cs="Arial"/>
                <w:sz w:val="18"/>
                <w:szCs w:val="18"/>
                <w:lang w:eastAsia="en-AU"/>
              </w:rPr>
              <w:t xml:space="preserve"> </w:t>
            </w:r>
          </w:p>
        </w:tc>
      </w:tr>
      <w:tr w:rsidR="00F510E4" w:rsidRPr="001E4E9E" w14:paraId="1A9C460F" w14:textId="77777777" w:rsidTr="0024211D">
        <w:trPr>
          <w:cantSplit/>
          <w:trHeight w:val="454"/>
        </w:trPr>
        <w:tc>
          <w:tcPr>
            <w:tcW w:w="745" w:type="pct"/>
            <w:tcBorders>
              <w:top w:val="nil"/>
              <w:left w:val="single" w:sz="2" w:space="0" w:color="auto"/>
              <w:bottom w:val="nil"/>
              <w:right w:val="single" w:sz="2" w:space="0" w:color="auto"/>
            </w:tcBorders>
          </w:tcPr>
          <w:p w14:paraId="72AD8475" w14:textId="77777777" w:rsidR="00F510E4" w:rsidRPr="007E70BB" w:rsidRDefault="00F510E4" w:rsidP="00F510E4">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05BF6542" w14:textId="77777777" w:rsidR="00F510E4" w:rsidRPr="007E70BB" w:rsidRDefault="00F510E4" w:rsidP="00F510E4">
            <w:pPr>
              <w:pStyle w:val="ListParagraph"/>
              <w:spacing w:after="120"/>
              <w:ind w:left="0"/>
              <w:contextualSpacing w:val="0"/>
              <w:jc w:val="both"/>
              <w:rPr>
                <w:rFonts w:cs="Arial"/>
                <w:sz w:val="18"/>
                <w:szCs w:val="18"/>
                <w:lang w:eastAsia="en-AU"/>
              </w:rPr>
            </w:pPr>
            <w:r w:rsidRPr="007E70BB">
              <w:rPr>
                <w:rFonts w:cs="Calibri"/>
                <w:sz w:val="18"/>
                <w:szCs w:val="18"/>
              </w:rPr>
              <w:t>When a performance obligation is satisfied by transferring a promised good or service to the customer before the customer pays consideration or before payment is due, the Agency presents the contract as a contract asset, unless the Agency’s rights to that amount of consideration are unconditional, in which case a receivable is recognised.</w:t>
            </w:r>
          </w:p>
        </w:tc>
      </w:tr>
      <w:tr w:rsidR="00F510E4" w:rsidRPr="001E4E9E" w14:paraId="22DB69D3" w14:textId="77777777" w:rsidTr="005F5B4C">
        <w:trPr>
          <w:cantSplit/>
          <w:trHeight w:val="454"/>
        </w:trPr>
        <w:tc>
          <w:tcPr>
            <w:tcW w:w="745" w:type="pct"/>
            <w:tcBorders>
              <w:top w:val="nil"/>
              <w:left w:val="single" w:sz="2" w:space="0" w:color="auto"/>
              <w:bottom w:val="nil"/>
              <w:right w:val="single" w:sz="2" w:space="0" w:color="auto"/>
            </w:tcBorders>
          </w:tcPr>
          <w:p w14:paraId="6E7281EB"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15.95</w:t>
            </w:r>
          </w:p>
        </w:tc>
        <w:tc>
          <w:tcPr>
            <w:tcW w:w="4255" w:type="pct"/>
            <w:gridSpan w:val="5"/>
            <w:tcBorders>
              <w:top w:val="nil"/>
              <w:left w:val="single" w:sz="2" w:space="0" w:color="auto"/>
              <w:bottom w:val="nil"/>
              <w:right w:val="nil"/>
            </w:tcBorders>
          </w:tcPr>
          <w:p w14:paraId="39EF0D3B" w14:textId="4A9AE984" w:rsidR="00F510E4" w:rsidRPr="007E70BB" w:rsidRDefault="00F510E4" w:rsidP="00F510E4">
            <w:pPr>
              <w:jc w:val="both"/>
              <w:rPr>
                <w:rFonts w:eastAsia="Calibri"/>
                <w:sz w:val="18"/>
                <w:szCs w:val="18"/>
              </w:rPr>
            </w:pPr>
            <w:r w:rsidRPr="007E70BB">
              <w:rPr>
                <w:rFonts w:eastAsia="Calibri"/>
                <w:sz w:val="18"/>
                <w:szCs w:val="18"/>
              </w:rPr>
              <w:t>Where costs are incurred to fulfil a contract, they are accounted for under the relevant accounting standard, otherwise if the costs relate directly to a contract, the costs generate or enhance resources of the Agency that will be used to satisfy performance obligations in the future and the costs are expected to be recovered, then they are capitalised as contract costs assets and released to operating statement on an systematic basis consistent with the transfer to the customer of the goods or services to which the asset relates.</w:t>
            </w:r>
          </w:p>
        </w:tc>
      </w:tr>
      <w:tr w:rsidR="00F510E4" w:rsidRPr="00B36BAC" w14:paraId="3EC5EFDA" w14:textId="77777777" w:rsidTr="001F7CE2">
        <w:trPr>
          <w:cantSplit/>
          <w:trHeight w:val="454"/>
        </w:trPr>
        <w:tc>
          <w:tcPr>
            <w:tcW w:w="745" w:type="pct"/>
            <w:tcBorders>
              <w:top w:val="nil"/>
              <w:left w:val="single" w:sz="2" w:space="0" w:color="auto"/>
              <w:bottom w:val="nil"/>
              <w:right w:val="single" w:sz="2" w:space="0" w:color="auto"/>
            </w:tcBorders>
          </w:tcPr>
          <w:p w14:paraId="252B4AB5" w14:textId="173E700B" w:rsidR="00F510E4" w:rsidRPr="007E70BB" w:rsidRDefault="00F510E4" w:rsidP="00F510E4">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shd w:val="clear" w:color="auto" w:fill="auto"/>
          </w:tcPr>
          <w:p w14:paraId="3BB885A8" w14:textId="77777777" w:rsidR="00F510E4" w:rsidRPr="00D76B14" w:rsidRDefault="00F510E4" w:rsidP="00F510E4">
            <w:pPr>
              <w:jc w:val="both"/>
              <w:rPr>
                <w:rFonts w:asciiTheme="minorHAnsi" w:hAnsiTheme="minorHAnsi" w:cstheme="minorHAnsi"/>
                <w:b/>
                <w:bCs/>
                <w:strike/>
                <w:color w:val="FF0000"/>
                <w:sz w:val="18"/>
                <w:szCs w:val="18"/>
              </w:rPr>
            </w:pPr>
          </w:p>
          <w:p w14:paraId="08DDC472" w14:textId="30EC4597" w:rsidR="00F510E4" w:rsidRPr="00D76B14" w:rsidRDefault="00F510E4" w:rsidP="00F510E4">
            <w:pPr>
              <w:jc w:val="both"/>
              <w:rPr>
                <w:rFonts w:eastAsia="Calibri"/>
                <w:strike/>
                <w:color w:val="FF0000"/>
                <w:sz w:val="18"/>
                <w:szCs w:val="18"/>
              </w:rPr>
            </w:pPr>
            <w:r w:rsidRPr="00D76B14">
              <w:rPr>
                <w:rFonts w:asciiTheme="minorHAnsi" w:hAnsiTheme="minorHAnsi" w:cstheme="minorHAnsi"/>
                <w:b/>
                <w:bCs/>
                <w:strike/>
                <w:color w:val="FF0000"/>
                <w:sz w:val="18"/>
                <w:szCs w:val="18"/>
              </w:rPr>
              <w:t>Impact of COVID-19</w:t>
            </w:r>
          </w:p>
        </w:tc>
      </w:tr>
      <w:tr w:rsidR="00F510E4" w:rsidRPr="00CF7E1B" w14:paraId="4950399C" w14:textId="77777777" w:rsidTr="001F7CE2">
        <w:trPr>
          <w:cantSplit/>
          <w:trHeight w:hRule="exact" w:val="473"/>
        </w:trPr>
        <w:tc>
          <w:tcPr>
            <w:tcW w:w="745" w:type="pct"/>
            <w:tcBorders>
              <w:top w:val="nil"/>
              <w:left w:val="single" w:sz="2" w:space="0" w:color="auto"/>
              <w:bottom w:val="nil"/>
              <w:right w:val="single" w:sz="2" w:space="0" w:color="auto"/>
            </w:tcBorders>
          </w:tcPr>
          <w:p w14:paraId="1FBAC1D0" w14:textId="77777777" w:rsidR="00F510E4" w:rsidRPr="007E70BB" w:rsidRDefault="00F510E4" w:rsidP="00F510E4">
            <w:pPr>
              <w:rPr>
                <w:color w:val="7030A0"/>
                <w:sz w:val="14"/>
                <w:szCs w:val="14"/>
              </w:rPr>
            </w:pPr>
          </w:p>
        </w:tc>
        <w:tc>
          <w:tcPr>
            <w:tcW w:w="4255" w:type="pct"/>
            <w:gridSpan w:val="5"/>
            <w:tcBorders>
              <w:top w:val="nil"/>
              <w:left w:val="single" w:sz="2" w:space="0" w:color="auto"/>
              <w:bottom w:val="nil"/>
              <w:right w:val="nil"/>
            </w:tcBorders>
            <w:shd w:val="clear" w:color="auto" w:fill="auto"/>
          </w:tcPr>
          <w:p w14:paraId="5AAA10B8" w14:textId="71401EC3" w:rsidR="00F510E4" w:rsidRPr="00D76B14" w:rsidRDefault="00F510E4" w:rsidP="00F510E4">
            <w:pPr>
              <w:spacing w:after="240"/>
              <w:jc w:val="both"/>
              <w:rPr>
                <w:strike/>
                <w:color w:val="FF0000"/>
                <w:sz w:val="18"/>
                <w:szCs w:val="18"/>
              </w:rPr>
            </w:pPr>
            <w:r w:rsidRPr="00D76B14">
              <w:rPr>
                <w:rFonts w:asciiTheme="minorHAnsi" w:hAnsiTheme="minorHAnsi" w:cstheme="minorHAnsi"/>
                <w:strike/>
                <w:color w:val="FF0000"/>
                <w:sz w:val="18"/>
                <w:szCs w:val="18"/>
              </w:rPr>
              <w:t>’</w:t>
            </w:r>
            <w:r w:rsidRPr="00D76B14">
              <w:rPr>
                <w:strike/>
                <w:color w:val="FF0000"/>
                <w:sz w:val="18"/>
                <w:szCs w:val="18"/>
              </w:rPr>
              <w:t xml:space="preserve">Burley Griffin </w:t>
            </w:r>
            <w:r w:rsidRPr="00D76B14">
              <w:rPr>
                <w:rFonts w:asciiTheme="minorHAnsi" w:hAnsiTheme="minorHAnsi" w:cstheme="minorHAnsi"/>
                <w:strike/>
                <w:color w:val="FF0000"/>
                <w:sz w:val="18"/>
                <w:szCs w:val="18"/>
              </w:rPr>
              <w:t>Agency’s’ Expected Credit Losses have increased reflecting changes in the ability of customers to settle their debts.</w:t>
            </w:r>
          </w:p>
        </w:tc>
      </w:tr>
      <w:tr w:rsidR="0053546F" w:rsidRPr="00CF7E1B" w14:paraId="7F8CEEC6" w14:textId="77777777" w:rsidTr="005A41B6">
        <w:trPr>
          <w:cantSplit/>
          <w:trHeight w:val="23"/>
        </w:trPr>
        <w:tc>
          <w:tcPr>
            <w:tcW w:w="745" w:type="pct"/>
            <w:tcBorders>
              <w:top w:val="nil"/>
              <w:left w:val="single" w:sz="2" w:space="0" w:color="auto"/>
              <w:bottom w:val="nil"/>
              <w:right w:val="single" w:sz="2" w:space="0" w:color="auto"/>
            </w:tcBorders>
          </w:tcPr>
          <w:p w14:paraId="4B554284"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shd w:val="clear" w:color="auto" w:fill="auto"/>
            <w:vAlign w:val="bottom"/>
          </w:tcPr>
          <w:p w14:paraId="20E5B259" w14:textId="77777777" w:rsidR="0053546F" w:rsidRPr="007E70BB" w:rsidRDefault="0053546F" w:rsidP="0053546F">
            <w:pPr>
              <w:pStyle w:val="TableTitle"/>
              <w:tabs>
                <w:tab w:val="left" w:pos="3306"/>
              </w:tabs>
              <w:rPr>
                <w:rFonts w:cs="Calibri"/>
              </w:rPr>
            </w:pPr>
          </w:p>
        </w:tc>
        <w:tc>
          <w:tcPr>
            <w:tcW w:w="674" w:type="pct"/>
            <w:tcBorders>
              <w:top w:val="nil"/>
              <w:left w:val="nil"/>
              <w:bottom w:val="nil"/>
              <w:right w:val="nil"/>
            </w:tcBorders>
            <w:shd w:val="clear" w:color="auto" w:fill="auto"/>
            <w:vAlign w:val="bottom"/>
          </w:tcPr>
          <w:p w14:paraId="26F7C57E" w14:textId="52130904" w:rsidR="0053546F" w:rsidRPr="005A41B6" w:rsidRDefault="0053546F" w:rsidP="0053546F">
            <w:pPr>
              <w:pStyle w:val="TableTitle"/>
              <w:tabs>
                <w:tab w:val="left" w:pos="3306"/>
              </w:tabs>
              <w:rPr>
                <w:rFonts w:cs="Calibri"/>
              </w:rPr>
            </w:pPr>
            <w:r w:rsidRPr="005A41B6">
              <w:rPr>
                <w:rFonts w:cs="Calibri"/>
              </w:rPr>
              <w:t>2023</w:t>
            </w:r>
          </w:p>
          <w:p w14:paraId="0A603F5B" w14:textId="77777777" w:rsidR="0053546F" w:rsidRPr="005A41B6" w:rsidRDefault="0053546F" w:rsidP="0053546F">
            <w:pPr>
              <w:pStyle w:val="TableTitle"/>
              <w:tabs>
                <w:tab w:val="left" w:pos="3306"/>
              </w:tabs>
              <w:rPr>
                <w:rFonts w:cs="Calibri"/>
              </w:rPr>
            </w:pPr>
            <w:r w:rsidRPr="005A41B6">
              <w:rPr>
                <w:rFonts w:cs="Calibri"/>
              </w:rPr>
              <w:t>$’000</w:t>
            </w:r>
          </w:p>
        </w:tc>
        <w:tc>
          <w:tcPr>
            <w:tcW w:w="879" w:type="pct"/>
            <w:gridSpan w:val="3"/>
            <w:tcBorders>
              <w:top w:val="nil"/>
              <w:left w:val="nil"/>
              <w:bottom w:val="nil"/>
              <w:right w:val="nil"/>
            </w:tcBorders>
            <w:shd w:val="clear" w:color="auto" w:fill="auto"/>
            <w:vAlign w:val="bottom"/>
          </w:tcPr>
          <w:p w14:paraId="296B2B99" w14:textId="22FD2E6C" w:rsidR="0053546F" w:rsidRPr="005A41B6" w:rsidRDefault="0053546F" w:rsidP="0053546F">
            <w:pPr>
              <w:pStyle w:val="TableTitle"/>
              <w:tabs>
                <w:tab w:val="left" w:pos="3306"/>
              </w:tabs>
              <w:rPr>
                <w:rFonts w:cs="Calibri"/>
              </w:rPr>
            </w:pPr>
            <w:bookmarkStart w:id="573" w:name="_Toc48468502"/>
            <w:r w:rsidRPr="005A41B6">
              <w:rPr>
                <w:rFonts w:cs="Calibri"/>
              </w:rPr>
              <w:t>2022</w:t>
            </w:r>
          </w:p>
          <w:bookmarkEnd w:id="573"/>
          <w:p w14:paraId="0F746680" w14:textId="77777777" w:rsidR="0053546F" w:rsidRPr="005A41B6" w:rsidRDefault="0053546F" w:rsidP="0053546F">
            <w:pPr>
              <w:pStyle w:val="TableTitle"/>
              <w:tabs>
                <w:tab w:val="left" w:pos="3306"/>
              </w:tabs>
              <w:rPr>
                <w:rFonts w:cs="Calibri"/>
              </w:rPr>
            </w:pPr>
            <w:r w:rsidRPr="005A41B6">
              <w:rPr>
                <w:rFonts w:cs="Calibri"/>
              </w:rPr>
              <w:t>$’000</w:t>
            </w:r>
          </w:p>
        </w:tc>
      </w:tr>
      <w:tr w:rsidR="0053546F" w:rsidRPr="00CF7E1B" w14:paraId="0932295B" w14:textId="77777777" w:rsidTr="005F5B4C">
        <w:trPr>
          <w:cantSplit/>
          <w:trHeight w:val="23"/>
        </w:trPr>
        <w:tc>
          <w:tcPr>
            <w:tcW w:w="745" w:type="pct"/>
            <w:tcBorders>
              <w:top w:val="nil"/>
              <w:left w:val="single" w:sz="2" w:space="0" w:color="auto"/>
              <w:bottom w:val="nil"/>
              <w:right w:val="single" w:sz="2" w:space="0" w:color="auto"/>
            </w:tcBorders>
          </w:tcPr>
          <w:p w14:paraId="5CB11D8F"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11C7EC11" w14:textId="0B8206E5" w:rsidR="0053546F" w:rsidRPr="007E70BB" w:rsidRDefault="0053546F" w:rsidP="0053546F">
            <w:pPr>
              <w:pStyle w:val="TableText"/>
              <w:tabs>
                <w:tab w:val="left" w:pos="3306"/>
              </w:tabs>
              <w:rPr>
                <w:rFonts w:cs="Calibri"/>
                <w:b/>
                <w:bCs/>
              </w:rPr>
            </w:pPr>
            <w:bookmarkStart w:id="574" w:name="_Toc48468503"/>
            <w:bookmarkStart w:id="575" w:name="_Toc49155615"/>
            <w:bookmarkStart w:id="576" w:name="_Toc49224061"/>
            <w:r w:rsidRPr="007E70BB">
              <w:rPr>
                <w:rFonts w:cs="Calibri"/>
                <w:b/>
                <w:bCs/>
              </w:rPr>
              <w:t>Current Receivables</w:t>
            </w:r>
            <w:bookmarkEnd w:id="574"/>
            <w:bookmarkEnd w:id="575"/>
            <w:bookmarkEnd w:id="576"/>
            <w:r w:rsidRPr="007E70BB">
              <w:rPr>
                <w:rFonts w:cs="Calibri"/>
                <w:b/>
                <w:bCs/>
              </w:rPr>
              <w:t xml:space="preserve"> </w:t>
            </w:r>
            <w:r w:rsidRPr="005559F1">
              <w:rPr>
                <w:rFonts w:cs="Calibri"/>
                <w:b/>
                <w:bCs/>
                <w:strike/>
                <w:color w:val="FF0000"/>
              </w:rPr>
              <w:t>and Contract Assets</w:t>
            </w:r>
          </w:p>
        </w:tc>
        <w:tc>
          <w:tcPr>
            <w:tcW w:w="674" w:type="pct"/>
            <w:tcBorders>
              <w:top w:val="nil"/>
              <w:left w:val="nil"/>
              <w:bottom w:val="nil"/>
              <w:right w:val="nil"/>
            </w:tcBorders>
            <w:vAlign w:val="bottom"/>
          </w:tcPr>
          <w:p w14:paraId="3DB7F7FB"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5B12DAD" w14:textId="77777777" w:rsidR="0053546F" w:rsidRPr="007E70BB" w:rsidRDefault="0053546F" w:rsidP="0053546F">
            <w:pPr>
              <w:pStyle w:val="TableText"/>
              <w:tabs>
                <w:tab w:val="left" w:pos="3306"/>
              </w:tabs>
              <w:jc w:val="right"/>
              <w:rPr>
                <w:rFonts w:cs="Calibri"/>
              </w:rPr>
            </w:pPr>
          </w:p>
        </w:tc>
      </w:tr>
      <w:tr w:rsidR="0053546F" w:rsidRPr="00CF7E1B" w14:paraId="075BF470" w14:textId="77777777" w:rsidTr="005F5B4C">
        <w:trPr>
          <w:cantSplit/>
          <w:trHeight w:val="23"/>
        </w:trPr>
        <w:tc>
          <w:tcPr>
            <w:tcW w:w="745" w:type="pct"/>
            <w:tcBorders>
              <w:top w:val="nil"/>
              <w:left w:val="single" w:sz="2" w:space="0" w:color="auto"/>
              <w:bottom w:val="nil"/>
              <w:right w:val="single" w:sz="2" w:space="0" w:color="auto"/>
            </w:tcBorders>
          </w:tcPr>
          <w:p w14:paraId="646943ED"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101.78(b)</w:t>
            </w:r>
          </w:p>
          <w:p w14:paraId="355FB9F5"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9.5.1.3 &amp; 5.2.1</w:t>
            </w:r>
          </w:p>
        </w:tc>
        <w:tc>
          <w:tcPr>
            <w:tcW w:w="2702" w:type="pct"/>
            <w:tcBorders>
              <w:top w:val="nil"/>
              <w:left w:val="single" w:sz="2" w:space="0" w:color="auto"/>
              <w:bottom w:val="nil"/>
              <w:right w:val="nil"/>
            </w:tcBorders>
            <w:vAlign w:val="center"/>
          </w:tcPr>
          <w:p w14:paraId="346DC432" w14:textId="6E5D90CD" w:rsidR="0053546F" w:rsidRPr="007E70BB" w:rsidRDefault="0053546F" w:rsidP="0053546F">
            <w:pPr>
              <w:pStyle w:val="TableText"/>
              <w:tabs>
                <w:tab w:val="left" w:pos="3306"/>
              </w:tabs>
              <w:rPr>
                <w:rFonts w:cs="Calibri"/>
              </w:rPr>
            </w:pPr>
            <w:r w:rsidRPr="007E70BB">
              <w:rPr>
                <w:rFonts w:cs="Calibri"/>
              </w:rPr>
              <w:t>Trade Receivables</w:t>
            </w:r>
            <w:r w:rsidRPr="007E70BB">
              <w:rPr>
                <w:rFonts w:cs="Calibri"/>
                <w:vertAlign w:val="superscript"/>
              </w:rPr>
              <w:t>a</w:t>
            </w:r>
          </w:p>
        </w:tc>
        <w:tc>
          <w:tcPr>
            <w:tcW w:w="674" w:type="pct"/>
            <w:tcBorders>
              <w:top w:val="nil"/>
              <w:left w:val="nil"/>
              <w:bottom w:val="nil"/>
              <w:right w:val="nil"/>
            </w:tcBorders>
            <w:vAlign w:val="bottom"/>
          </w:tcPr>
          <w:p w14:paraId="720C83FC" w14:textId="18F44302"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3041DF" w14:textId="44AF6CF8" w:rsidR="0053546F" w:rsidRPr="007E70BB" w:rsidRDefault="0053546F" w:rsidP="0053546F">
            <w:pPr>
              <w:pStyle w:val="TableText"/>
              <w:tabs>
                <w:tab w:val="left" w:pos="3306"/>
              </w:tabs>
              <w:jc w:val="right"/>
              <w:rPr>
                <w:rFonts w:cs="Calibri"/>
              </w:rPr>
            </w:pPr>
          </w:p>
        </w:tc>
      </w:tr>
      <w:tr w:rsidR="0053546F" w:rsidRPr="00CF7E1B" w14:paraId="14CB5E84" w14:textId="77777777" w:rsidTr="005F5B4C">
        <w:trPr>
          <w:cantSplit/>
          <w:trHeight w:val="23"/>
        </w:trPr>
        <w:tc>
          <w:tcPr>
            <w:tcW w:w="745" w:type="pct"/>
            <w:tcBorders>
              <w:top w:val="nil"/>
              <w:left w:val="single" w:sz="2" w:space="0" w:color="auto"/>
              <w:bottom w:val="nil"/>
              <w:right w:val="single" w:sz="2" w:space="0" w:color="auto"/>
            </w:tcBorders>
          </w:tcPr>
          <w:p w14:paraId="6DBD19CB"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 xml:space="preserve">AASB 9.5.5.1 </w:t>
            </w:r>
          </w:p>
        </w:tc>
        <w:tc>
          <w:tcPr>
            <w:tcW w:w="2702" w:type="pct"/>
            <w:tcBorders>
              <w:top w:val="nil"/>
              <w:left w:val="single" w:sz="2" w:space="0" w:color="auto"/>
              <w:bottom w:val="nil"/>
              <w:right w:val="nil"/>
            </w:tcBorders>
            <w:vAlign w:val="bottom"/>
          </w:tcPr>
          <w:p w14:paraId="0A9367ED" w14:textId="7B0D0E38"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5406A738" w14:textId="4866280B"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E49EB0F" w14:textId="6DBB6031" w:rsidR="0053546F" w:rsidRPr="007E70BB" w:rsidRDefault="0053546F" w:rsidP="0053546F">
            <w:pPr>
              <w:pStyle w:val="TableText"/>
              <w:tabs>
                <w:tab w:val="left" w:pos="3306"/>
              </w:tabs>
              <w:jc w:val="right"/>
              <w:rPr>
                <w:rFonts w:cs="Calibri"/>
              </w:rPr>
            </w:pPr>
          </w:p>
        </w:tc>
      </w:tr>
      <w:tr w:rsidR="0053546F" w:rsidRPr="00CF7E1B" w14:paraId="156BA8F4" w14:textId="77777777" w:rsidTr="005F5B4C">
        <w:trPr>
          <w:cantSplit/>
          <w:trHeight w:val="23"/>
        </w:trPr>
        <w:tc>
          <w:tcPr>
            <w:tcW w:w="745" w:type="pct"/>
            <w:tcBorders>
              <w:top w:val="nil"/>
              <w:left w:val="single" w:sz="2" w:space="0" w:color="auto"/>
              <w:bottom w:val="nil"/>
              <w:right w:val="single" w:sz="2" w:space="0" w:color="auto"/>
            </w:tcBorders>
          </w:tcPr>
          <w:p w14:paraId="274B38C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BCEBEA2" w14:textId="77777777" w:rsidR="0053546F" w:rsidRPr="007E70BB" w:rsidRDefault="0053546F" w:rsidP="0053546F">
            <w:pPr>
              <w:pStyle w:val="TableText"/>
              <w:tabs>
                <w:tab w:val="left" w:pos="3306"/>
              </w:tabs>
              <w:rPr>
                <w:rFonts w:cs="Calibri"/>
              </w:rPr>
            </w:pPr>
            <w:r w:rsidRPr="007E70BB">
              <w:rPr>
                <w:rFonts w:cs="Calibri"/>
              </w:rPr>
              <w:t>Other Trade Receivables</w:t>
            </w:r>
          </w:p>
        </w:tc>
        <w:tc>
          <w:tcPr>
            <w:tcW w:w="674" w:type="pct"/>
            <w:tcBorders>
              <w:top w:val="nil"/>
              <w:left w:val="nil"/>
              <w:bottom w:val="nil"/>
              <w:right w:val="nil"/>
            </w:tcBorders>
            <w:vAlign w:val="bottom"/>
          </w:tcPr>
          <w:p w14:paraId="1573FC22" w14:textId="77B5DD52"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D9C6F6F" w14:textId="6ECE3436" w:rsidR="0053546F" w:rsidRPr="007E70BB" w:rsidRDefault="0053546F" w:rsidP="0053546F">
            <w:pPr>
              <w:pStyle w:val="TableText"/>
              <w:tabs>
                <w:tab w:val="left" w:pos="3306"/>
              </w:tabs>
              <w:jc w:val="right"/>
              <w:rPr>
                <w:rFonts w:cs="Calibri"/>
              </w:rPr>
            </w:pPr>
          </w:p>
        </w:tc>
      </w:tr>
      <w:tr w:rsidR="0053546F" w:rsidRPr="00CF7E1B" w14:paraId="1B260C59" w14:textId="77777777" w:rsidTr="005F5B4C">
        <w:trPr>
          <w:cantSplit/>
          <w:trHeight w:val="23"/>
        </w:trPr>
        <w:tc>
          <w:tcPr>
            <w:tcW w:w="745" w:type="pct"/>
            <w:tcBorders>
              <w:top w:val="nil"/>
              <w:left w:val="single" w:sz="2" w:space="0" w:color="auto"/>
              <w:bottom w:val="nil"/>
              <w:right w:val="single" w:sz="2" w:space="0" w:color="auto"/>
            </w:tcBorders>
          </w:tcPr>
          <w:p w14:paraId="5E3D51E2"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9.5.5.1</w:t>
            </w:r>
          </w:p>
        </w:tc>
        <w:tc>
          <w:tcPr>
            <w:tcW w:w="2702" w:type="pct"/>
            <w:tcBorders>
              <w:top w:val="nil"/>
              <w:left w:val="single" w:sz="2" w:space="0" w:color="auto"/>
              <w:bottom w:val="nil"/>
              <w:right w:val="nil"/>
            </w:tcBorders>
            <w:vAlign w:val="bottom"/>
          </w:tcPr>
          <w:p w14:paraId="717B429C" w14:textId="3EE78290"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20B75003" w14:textId="585CF555"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547F3" w14:textId="16F88D99" w:rsidR="0053546F" w:rsidRPr="007E70BB" w:rsidRDefault="0053546F" w:rsidP="0053546F">
            <w:pPr>
              <w:pStyle w:val="TableText"/>
              <w:tabs>
                <w:tab w:val="left" w:pos="3306"/>
              </w:tabs>
              <w:jc w:val="right"/>
              <w:rPr>
                <w:rFonts w:cs="Calibri"/>
              </w:rPr>
            </w:pPr>
          </w:p>
        </w:tc>
      </w:tr>
      <w:tr w:rsidR="0053546F" w:rsidRPr="00CF7E1B" w14:paraId="36CCA6AC" w14:textId="77777777" w:rsidTr="005F5B4C">
        <w:trPr>
          <w:cantSplit/>
          <w:trHeight w:val="23"/>
        </w:trPr>
        <w:tc>
          <w:tcPr>
            <w:tcW w:w="745" w:type="pct"/>
            <w:tcBorders>
              <w:top w:val="nil"/>
              <w:left w:val="single" w:sz="2" w:space="0" w:color="auto"/>
              <w:bottom w:val="nil"/>
              <w:right w:val="single" w:sz="2" w:space="0" w:color="auto"/>
            </w:tcBorders>
          </w:tcPr>
          <w:p w14:paraId="476B8EC9" w14:textId="59BE7A5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15.116(a)</w:t>
            </w:r>
          </w:p>
        </w:tc>
        <w:tc>
          <w:tcPr>
            <w:tcW w:w="2702" w:type="pct"/>
            <w:tcBorders>
              <w:top w:val="nil"/>
              <w:left w:val="single" w:sz="2" w:space="0" w:color="auto"/>
              <w:bottom w:val="nil"/>
              <w:right w:val="nil"/>
            </w:tcBorders>
          </w:tcPr>
          <w:p w14:paraId="04518353" w14:textId="3C5389A7" w:rsidR="0053546F" w:rsidRPr="007E70BB" w:rsidRDefault="0053546F" w:rsidP="0053546F">
            <w:pPr>
              <w:pStyle w:val="TableText"/>
              <w:tabs>
                <w:tab w:val="left" w:pos="3306"/>
              </w:tabs>
              <w:rPr>
                <w:rFonts w:cs="Calibri"/>
              </w:rPr>
            </w:pPr>
            <w:r w:rsidRPr="007E70BB">
              <w:rPr>
                <w:rFonts w:cs="Calibri"/>
              </w:rPr>
              <w:t>Work Performed on Facilities Management Service</w:t>
            </w:r>
            <w:r w:rsidRPr="007E70BB">
              <w:rPr>
                <w:rFonts w:cs="Calibri"/>
                <w:b/>
                <w:bCs/>
                <w:caps/>
              </w:rPr>
              <w:t xml:space="preserve"> </w:t>
            </w:r>
            <w:r w:rsidRPr="007E70BB">
              <w:rPr>
                <w:rFonts w:cs="Calibri"/>
              </w:rPr>
              <w:t xml:space="preserve">Contracts with Customers not yet Invoiced </w:t>
            </w:r>
          </w:p>
        </w:tc>
        <w:tc>
          <w:tcPr>
            <w:tcW w:w="674" w:type="pct"/>
            <w:tcBorders>
              <w:top w:val="nil"/>
              <w:left w:val="nil"/>
              <w:bottom w:val="nil"/>
              <w:right w:val="nil"/>
            </w:tcBorders>
            <w:vAlign w:val="bottom"/>
          </w:tcPr>
          <w:p w14:paraId="4627B383"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C1E7071" w14:textId="77777777" w:rsidR="0053546F" w:rsidRPr="007E70BB" w:rsidRDefault="0053546F" w:rsidP="0053546F">
            <w:pPr>
              <w:pStyle w:val="TableText"/>
              <w:tabs>
                <w:tab w:val="left" w:pos="3306"/>
              </w:tabs>
              <w:jc w:val="right"/>
              <w:rPr>
                <w:rFonts w:cs="Calibri"/>
              </w:rPr>
            </w:pPr>
          </w:p>
        </w:tc>
      </w:tr>
      <w:tr w:rsidR="0053546F" w:rsidRPr="00CF7E1B" w14:paraId="7EC1969D" w14:textId="77777777" w:rsidTr="005F5B4C">
        <w:trPr>
          <w:cantSplit/>
          <w:trHeight w:val="23"/>
        </w:trPr>
        <w:tc>
          <w:tcPr>
            <w:tcW w:w="745" w:type="pct"/>
            <w:tcBorders>
              <w:top w:val="nil"/>
              <w:left w:val="single" w:sz="2" w:space="0" w:color="auto"/>
              <w:bottom w:val="nil"/>
              <w:right w:val="single" w:sz="2" w:space="0" w:color="auto"/>
            </w:tcBorders>
          </w:tcPr>
          <w:p w14:paraId="41DAC078" w14:textId="293087BC"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0016992F" w14:textId="4C4DB7CF" w:rsidR="0053546F" w:rsidRPr="007E70BB" w:rsidRDefault="0053546F" w:rsidP="0053546F">
            <w:pPr>
              <w:pStyle w:val="TableText"/>
              <w:tabs>
                <w:tab w:val="left" w:pos="3306"/>
              </w:tabs>
              <w:rPr>
                <w:rFonts w:cs="Calibri"/>
              </w:rPr>
            </w:pPr>
            <w:r w:rsidRPr="007E70BB">
              <w:rPr>
                <w:rFonts w:cs="Calibri"/>
              </w:rPr>
              <w:t>Less: Expected Credit Loss Allowance</w:t>
            </w:r>
          </w:p>
        </w:tc>
        <w:tc>
          <w:tcPr>
            <w:tcW w:w="674" w:type="pct"/>
            <w:tcBorders>
              <w:top w:val="nil"/>
              <w:left w:val="nil"/>
              <w:bottom w:val="nil"/>
              <w:right w:val="nil"/>
            </w:tcBorders>
            <w:vAlign w:val="bottom"/>
          </w:tcPr>
          <w:p w14:paraId="7DFF4E87"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6748290" w14:textId="77777777" w:rsidR="0053546F" w:rsidRPr="007E70BB" w:rsidRDefault="0053546F" w:rsidP="0053546F">
            <w:pPr>
              <w:pStyle w:val="TableText"/>
              <w:tabs>
                <w:tab w:val="left" w:pos="3306"/>
              </w:tabs>
              <w:jc w:val="right"/>
              <w:rPr>
                <w:rFonts w:cs="Calibri"/>
              </w:rPr>
            </w:pPr>
          </w:p>
        </w:tc>
      </w:tr>
      <w:tr w:rsidR="0053546F" w:rsidRPr="00CF7E1B" w14:paraId="3EDE6DF2" w14:textId="77777777" w:rsidTr="005F5B4C">
        <w:trPr>
          <w:cantSplit/>
          <w:trHeight w:val="23"/>
        </w:trPr>
        <w:tc>
          <w:tcPr>
            <w:tcW w:w="745" w:type="pct"/>
            <w:tcBorders>
              <w:top w:val="nil"/>
              <w:left w:val="single" w:sz="2" w:space="0" w:color="auto"/>
              <w:bottom w:val="nil"/>
              <w:right w:val="single" w:sz="2" w:space="0" w:color="auto"/>
            </w:tcBorders>
          </w:tcPr>
          <w:p w14:paraId="29BAAEA8" w14:textId="17BF3048"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15.116(a)</w:t>
            </w:r>
          </w:p>
        </w:tc>
        <w:tc>
          <w:tcPr>
            <w:tcW w:w="2702" w:type="pct"/>
            <w:tcBorders>
              <w:top w:val="nil"/>
              <w:left w:val="single" w:sz="2" w:space="0" w:color="auto"/>
              <w:bottom w:val="nil"/>
              <w:right w:val="nil"/>
            </w:tcBorders>
          </w:tcPr>
          <w:p w14:paraId="79CB3AB2" w14:textId="0EBD5E10" w:rsidR="0053546F" w:rsidRPr="007E70BB" w:rsidRDefault="0053546F" w:rsidP="0053546F">
            <w:pPr>
              <w:pStyle w:val="TableText"/>
              <w:tabs>
                <w:tab w:val="left" w:pos="3306"/>
              </w:tabs>
              <w:rPr>
                <w:rFonts w:cs="Calibri"/>
              </w:rPr>
            </w:pPr>
            <w:r w:rsidRPr="007E70BB">
              <w:rPr>
                <w:rFonts w:cs="Calibri"/>
              </w:rPr>
              <w:t xml:space="preserve">Work Performed on </w:t>
            </w:r>
            <w:bookmarkStart w:id="577" w:name="_Hlk90626484"/>
            <w:r w:rsidRPr="007E70BB">
              <w:rPr>
                <w:rFonts w:cs="Calibri"/>
              </w:rPr>
              <w:t xml:space="preserve">Property Management Service Contracts </w:t>
            </w:r>
            <w:bookmarkEnd w:id="577"/>
            <w:r w:rsidRPr="007E70BB">
              <w:rPr>
                <w:rFonts w:cs="Calibri"/>
              </w:rPr>
              <w:t>with Customers not yet Invoiced</w:t>
            </w:r>
          </w:p>
        </w:tc>
        <w:tc>
          <w:tcPr>
            <w:tcW w:w="674" w:type="pct"/>
            <w:tcBorders>
              <w:top w:val="nil"/>
              <w:left w:val="nil"/>
              <w:bottom w:val="nil"/>
              <w:right w:val="nil"/>
            </w:tcBorders>
            <w:vAlign w:val="bottom"/>
          </w:tcPr>
          <w:p w14:paraId="0497AC70"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9BEFC36" w14:textId="77777777" w:rsidR="0053546F" w:rsidRPr="007E70BB" w:rsidRDefault="0053546F" w:rsidP="0053546F">
            <w:pPr>
              <w:pStyle w:val="TableText"/>
              <w:tabs>
                <w:tab w:val="left" w:pos="3306"/>
              </w:tabs>
              <w:jc w:val="right"/>
              <w:rPr>
                <w:rFonts w:cs="Calibri"/>
              </w:rPr>
            </w:pPr>
          </w:p>
        </w:tc>
      </w:tr>
      <w:tr w:rsidR="0053546F" w:rsidRPr="00CF7E1B" w14:paraId="00B84ABA" w14:textId="77777777" w:rsidTr="005F5B4C">
        <w:trPr>
          <w:cantSplit/>
          <w:trHeight w:val="23"/>
        </w:trPr>
        <w:tc>
          <w:tcPr>
            <w:tcW w:w="745" w:type="pct"/>
            <w:tcBorders>
              <w:top w:val="nil"/>
              <w:left w:val="single" w:sz="2" w:space="0" w:color="auto"/>
              <w:bottom w:val="nil"/>
              <w:right w:val="single" w:sz="2" w:space="0" w:color="auto"/>
            </w:tcBorders>
          </w:tcPr>
          <w:p w14:paraId="5F27F342"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1AAC1634" w14:textId="77777777" w:rsidR="0053546F" w:rsidRPr="007E70BB" w:rsidRDefault="0053546F" w:rsidP="0053546F">
            <w:pPr>
              <w:pStyle w:val="TableText"/>
              <w:tabs>
                <w:tab w:val="left" w:pos="3306"/>
              </w:tabs>
              <w:rPr>
                <w:rFonts w:cs="Calibri"/>
              </w:rPr>
            </w:pPr>
            <w:r w:rsidRPr="007E70BB">
              <w:rPr>
                <w:rFonts w:cs="Calibri"/>
              </w:rPr>
              <w:t>Accrued Revenue</w:t>
            </w:r>
          </w:p>
        </w:tc>
        <w:tc>
          <w:tcPr>
            <w:tcW w:w="674" w:type="pct"/>
            <w:tcBorders>
              <w:top w:val="nil"/>
              <w:left w:val="nil"/>
              <w:bottom w:val="nil"/>
              <w:right w:val="nil"/>
            </w:tcBorders>
            <w:vAlign w:val="bottom"/>
          </w:tcPr>
          <w:p w14:paraId="56DC7998" w14:textId="3DF0A3C3"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331989A" w14:textId="39383FB4" w:rsidR="0053546F" w:rsidRPr="007E70BB" w:rsidRDefault="0053546F" w:rsidP="0053546F">
            <w:pPr>
              <w:pStyle w:val="TableText"/>
              <w:tabs>
                <w:tab w:val="left" w:pos="3306"/>
              </w:tabs>
              <w:jc w:val="right"/>
              <w:rPr>
                <w:rFonts w:cs="Calibri"/>
              </w:rPr>
            </w:pPr>
          </w:p>
        </w:tc>
      </w:tr>
      <w:tr w:rsidR="0053546F" w:rsidRPr="00CF7E1B" w14:paraId="5038AE3C" w14:textId="77777777" w:rsidTr="005F5B4C">
        <w:trPr>
          <w:cantSplit/>
          <w:trHeight w:val="23"/>
        </w:trPr>
        <w:tc>
          <w:tcPr>
            <w:tcW w:w="745" w:type="pct"/>
            <w:tcBorders>
              <w:top w:val="nil"/>
              <w:left w:val="single" w:sz="2" w:space="0" w:color="auto"/>
              <w:bottom w:val="nil"/>
              <w:right w:val="single" w:sz="2" w:space="0" w:color="auto"/>
            </w:tcBorders>
          </w:tcPr>
          <w:p w14:paraId="391781EF"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55E088CA" w14:textId="1688FE43" w:rsidR="0053546F" w:rsidRPr="007E70BB" w:rsidRDefault="0053546F" w:rsidP="0053546F">
            <w:pPr>
              <w:pStyle w:val="TableText"/>
              <w:tabs>
                <w:tab w:val="left" w:pos="3306"/>
              </w:tabs>
              <w:rPr>
                <w:rFonts w:cs="Calibri"/>
              </w:rPr>
            </w:pPr>
            <w:r w:rsidRPr="007E70BB">
              <w:rPr>
                <w:rFonts w:cs="Calibri"/>
              </w:rPr>
              <w:t>Loans Receivable</w:t>
            </w:r>
            <w:r w:rsidRPr="007E70BB">
              <w:rPr>
                <w:rFonts w:cs="Calibri"/>
                <w:vertAlign w:val="superscript"/>
              </w:rPr>
              <w:t>b</w:t>
            </w:r>
          </w:p>
        </w:tc>
        <w:tc>
          <w:tcPr>
            <w:tcW w:w="674" w:type="pct"/>
            <w:tcBorders>
              <w:top w:val="nil"/>
              <w:left w:val="nil"/>
              <w:bottom w:val="nil"/>
              <w:right w:val="nil"/>
            </w:tcBorders>
            <w:vAlign w:val="bottom"/>
          </w:tcPr>
          <w:p w14:paraId="21EC7FF5" w14:textId="1C96AA16"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08F593ED" w14:textId="53C73705" w:rsidR="0053546F" w:rsidRPr="007E70BB" w:rsidRDefault="0053546F" w:rsidP="0053546F">
            <w:pPr>
              <w:pStyle w:val="TableText"/>
              <w:tabs>
                <w:tab w:val="left" w:pos="3306"/>
              </w:tabs>
              <w:jc w:val="right"/>
              <w:rPr>
                <w:rFonts w:cs="Calibri"/>
              </w:rPr>
            </w:pPr>
          </w:p>
        </w:tc>
      </w:tr>
      <w:tr w:rsidR="0053546F" w:rsidRPr="00CF7E1B" w14:paraId="46B752A0" w14:textId="77777777" w:rsidTr="005F5B4C">
        <w:trPr>
          <w:cantSplit/>
          <w:trHeight w:val="23"/>
        </w:trPr>
        <w:tc>
          <w:tcPr>
            <w:tcW w:w="745" w:type="pct"/>
            <w:tcBorders>
              <w:top w:val="nil"/>
              <w:left w:val="single" w:sz="2" w:space="0" w:color="auto"/>
              <w:bottom w:val="nil"/>
              <w:right w:val="single" w:sz="2" w:space="0" w:color="auto"/>
            </w:tcBorders>
          </w:tcPr>
          <w:p w14:paraId="16EB204C" w14:textId="5EEA905F"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5542B85C" w14:textId="7DF2256C" w:rsidR="0053546F" w:rsidRPr="007E70BB" w:rsidRDefault="0053546F" w:rsidP="0053546F">
            <w:pPr>
              <w:pStyle w:val="TableText"/>
              <w:tabs>
                <w:tab w:val="left" w:pos="3306"/>
              </w:tabs>
              <w:rPr>
                <w:rFonts w:cs="Calibri"/>
              </w:rPr>
            </w:pPr>
            <w:r w:rsidRPr="007E70BB">
              <w:rPr>
                <w:rFonts w:cs="Calibri"/>
              </w:rPr>
              <w:t>Less: Expected Credit Loss Allowance</w:t>
            </w:r>
          </w:p>
        </w:tc>
        <w:tc>
          <w:tcPr>
            <w:tcW w:w="674" w:type="pct"/>
            <w:tcBorders>
              <w:top w:val="nil"/>
              <w:left w:val="nil"/>
              <w:bottom w:val="nil"/>
              <w:right w:val="nil"/>
            </w:tcBorders>
            <w:vAlign w:val="bottom"/>
          </w:tcPr>
          <w:p w14:paraId="7BA77676"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2789349" w14:textId="77777777" w:rsidR="0053546F" w:rsidRPr="007E70BB" w:rsidRDefault="0053546F" w:rsidP="0053546F">
            <w:pPr>
              <w:pStyle w:val="TableText"/>
              <w:tabs>
                <w:tab w:val="left" w:pos="3306"/>
              </w:tabs>
              <w:jc w:val="right"/>
              <w:rPr>
                <w:rFonts w:cs="Calibri"/>
              </w:rPr>
            </w:pPr>
          </w:p>
        </w:tc>
      </w:tr>
      <w:tr w:rsidR="0053546F" w:rsidRPr="00CF7E1B" w14:paraId="6CA1568A" w14:textId="77777777" w:rsidTr="005F5B4C">
        <w:trPr>
          <w:cantSplit/>
          <w:trHeight w:val="23"/>
        </w:trPr>
        <w:tc>
          <w:tcPr>
            <w:tcW w:w="745" w:type="pct"/>
            <w:tcBorders>
              <w:top w:val="nil"/>
              <w:left w:val="single" w:sz="2" w:space="0" w:color="auto"/>
              <w:bottom w:val="nil"/>
              <w:right w:val="single" w:sz="2" w:space="0" w:color="auto"/>
            </w:tcBorders>
          </w:tcPr>
          <w:p w14:paraId="2981040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Interpretation 1031.9</w:t>
            </w:r>
          </w:p>
        </w:tc>
        <w:tc>
          <w:tcPr>
            <w:tcW w:w="2702" w:type="pct"/>
            <w:tcBorders>
              <w:top w:val="nil"/>
              <w:left w:val="single" w:sz="2" w:space="0" w:color="auto"/>
              <w:bottom w:val="nil"/>
              <w:right w:val="nil"/>
            </w:tcBorders>
          </w:tcPr>
          <w:p w14:paraId="55850870" w14:textId="77777777" w:rsidR="0053546F" w:rsidRPr="007E70BB" w:rsidRDefault="0053546F" w:rsidP="0053546F">
            <w:pPr>
              <w:pStyle w:val="TableText"/>
              <w:tabs>
                <w:tab w:val="left" w:pos="3306"/>
              </w:tabs>
              <w:rPr>
                <w:rFonts w:cs="Calibri"/>
              </w:rPr>
            </w:pPr>
            <w:r w:rsidRPr="007E70BB">
              <w:rPr>
                <w:rFonts w:cs="Calibri"/>
              </w:rPr>
              <w:t>Net GST Receivable</w:t>
            </w:r>
          </w:p>
        </w:tc>
        <w:tc>
          <w:tcPr>
            <w:tcW w:w="674" w:type="pct"/>
            <w:tcBorders>
              <w:top w:val="nil"/>
              <w:left w:val="nil"/>
              <w:bottom w:val="nil"/>
              <w:right w:val="nil"/>
            </w:tcBorders>
            <w:vAlign w:val="bottom"/>
          </w:tcPr>
          <w:p w14:paraId="6BA1A6D9" w14:textId="57D19982"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ABDD5" w14:textId="5B07DDB7" w:rsidR="0053546F" w:rsidRPr="007E70BB" w:rsidRDefault="0053546F" w:rsidP="0053546F">
            <w:pPr>
              <w:pStyle w:val="TableText"/>
              <w:tabs>
                <w:tab w:val="left" w:pos="3306"/>
              </w:tabs>
              <w:jc w:val="right"/>
              <w:rPr>
                <w:rFonts w:cs="Calibri"/>
              </w:rPr>
            </w:pPr>
          </w:p>
        </w:tc>
      </w:tr>
      <w:tr w:rsidR="0053546F" w:rsidRPr="00CF7E1B" w14:paraId="2A5A617D" w14:textId="77777777" w:rsidTr="005F5B4C">
        <w:trPr>
          <w:cantSplit/>
          <w:trHeight w:val="23"/>
        </w:trPr>
        <w:tc>
          <w:tcPr>
            <w:tcW w:w="745" w:type="pct"/>
            <w:tcBorders>
              <w:top w:val="nil"/>
              <w:left w:val="single" w:sz="2" w:space="0" w:color="auto"/>
              <w:bottom w:val="nil"/>
              <w:right w:val="single" w:sz="2" w:space="0" w:color="auto"/>
            </w:tcBorders>
          </w:tcPr>
          <w:p w14:paraId="17E8EF8E" w14:textId="7506C0D8"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tcPr>
          <w:p w14:paraId="5E3AC7FE" w14:textId="018B0C08" w:rsidR="0053546F" w:rsidRPr="007E70BB" w:rsidRDefault="0053546F" w:rsidP="0053546F">
            <w:pPr>
              <w:pStyle w:val="TableText"/>
              <w:tabs>
                <w:tab w:val="left" w:pos="3306"/>
              </w:tabs>
              <w:rPr>
                <w:rFonts w:cs="Calibri"/>
              </w:rPr>
            </w:pPr>
            <w:r w:rsidRPr="007E70BB">
              <w:t>Receivables for Finance Leases as Lessor</w:t>
            </w:r>
          </w:p>
        </w:tc>
        <w:tc>
          <w:tcPr>
            <w:tcW w:w="674" w:type="pct"/>
            <w:tcBorders>
              <w:top w:val="nil"/>
              <w:left w:val="nil"/>
              <w:bottom w:val="nil"/>
              <w:right w:val="nil"/>
            </w:tcBorders>
            <w:vAlign w:val="bottom"/>
          </w:tcPr>
          <w:p w14:paraId="101737F7"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CAA64A" w14:textId="77777777" w:rsidR="0053546F" w:rsidRPr="007E70BB" w:rsidRDefault="0053546F" w:rsidP="0053546F">
            <w:pPr>
              <w:pStyle w:val="TableText"/>
              <w:tabs>
                <w:tab w:val="left" w:pos="3306"/>
              </w:tabs>
              <w:jc w:val="right"/>
              <w:rPr>
                <w:rFonts w:cs="Calibri"/>
              </w:rPr>
            </w:pPr>
          </w:p>
        </w:tc>
      </w:tr>
      <w:tr w:rsidR="0053546F" w:rsidRPr="00CF7E1B" w14:paraId="462E28E5" w14:textId="77777777" w:rsidTr="005F5B4C">
        <w:trPr>
          <w:cantSplit/>
          <w:trHeight w:val="23"/>
        </w:trPr>
        <w:tc>
          <w:tcPr>
            <w:tcW w:w="745" w:type="pct"/>
            <w:tcBorders>
              <w:top w:val="nil"/>
              <w:left w:val="single" w:sz="2" w:space="0" w:color="auto"/>
              <w:bottom w:val="nil"/>
              <w:right w:val="single" w:sz="2" w:space="0" w:color="auto"/>
            </w:tcBorders>
          </w:tcPr>
          <w:p w14:paraId="0481D4E3"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3D0B98C" w14:textId="77777777" w:rsidR="0053546F" w:rsidRPr="007E70BB" w:rsidRDefault="0053546F" w:rsidP="0053546F">
            <w:pPr>
              <w:pStyle w:val="TableText"/>
              <w:tabs>
                <w:tab w:val="left" w:pos="3306"/>
              </w:tabs>
              <w:rPr>
                <w:rFonts w:cs="Calibri"/>
              </w:rPr>
            </w:pPr>
            <w:r w:rsidRPr="007E70BB">
              <w:rPr>
                <w:rFonts w:cs="Calibri"/>
              </w:rPr>
              <w:t>Other Current Receivables</w:t>
            </w:r>
          </w:p>
        </w:tc>
        <w:tc>
          <w:tcPr>
            <w:tcW w:w="674" w:type="pct"/>
            <w:tcBorders>
              <w:top w:val="nil"/>
              <w:left w:val="nil"/>
              <w:bottom w:val="single" w:sz="2" w:space="0" w:color="auto"/>
              <w:right w:val="nil"/>
            </w:tcBorders>
            <w:vAlign w:val="bottom"/>
          </w:tcPr>
          <w:p w14:paraId="796AE25C" w14:textId="1DC3DF64"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47ACD99" w14:textId="1EFAFCE0" w:rsidR="0053546F" w:rsidRPr="007E70BB" w:rsidRDefault="0053546F" w:rsidP="0053546F">
            <w:pPr>
              <w:pStyle w:val="TableText"/>
              <w:tabs>
                <w:tab w:val="left" w:pos="3306"/>
              </w:tabs>
              <w:jc w:val="right"/>
              <w:rPr>
                <w:rFonts w:cs="Calibri"/>
              </w:rPr>
            </w:pPr>
          </w:p>
        </w:tc>
      </w:tr>
      <w:tr w:rsidR="0053546F" w:rsidRPr="00CF7E1B" w14:paraId="23C02234" w14:textId="77777777" w:rsidTr="005F5B4C">
        <w:trPr>
          <w:cantSplit/>
          <w:trHeight w:val="23"/>
        </w:trPr>
        <w:tc>
          <w:tcPr>
            <w:tcW w:w="745" w:type="pct"/>
            <w:tcBorders>
              <w:top w:val="nil"/>
              <w:left w:val="single" w:sz="2" w:space="0" w:color="auto"/>
              <w:bottom w:val="nil"/>
              <w:right w:val="single" w:sz="2" w:space="0" w:color="auto"/>
            </w:tcBorders>
          </w:tcPr>
          <w:p w14:paraId="73E3A983" w14:textId="77777777" w:rsidR="0053546F" w:rsidRPr="007E70BB" w:rsidRDefault="0053546F" w:rsidP="0053546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7FEAFC00" w14:textId="5B673263" w:rsidR="0053546F" w:rsidRPr="007E70BB" w:rsidRDefault="0053546F" w:rsidP="0053546F">
            <w:pPr>
              <w:pStyle w:val="TableText"/>
              <w:tabs>
                <w:tab w:val="left" w:pos="3306"/>
              </w:tabs>
              <w:rPr>
                <w:rFonts w:cs="Calibri"/>
                <w:b/>
                <w:bCs/>
              </w:rPr>
            </w:pPr>
            <w:r w:rsidRPr="007E70BB">
              <w:rPr>
                <w:rFonts w:cs="Calibri"/>
                <w:b/>
                <w:bCs/>
              </w:rPr>
              <w:t xml:space="preserve">Total Current Receivables </w:t>
            </w:r>
            <w:r w:rsidRPr="005559F1">
              <w:rPr>
                <w:rFonts w:cs="Calibri"/>
                <w:b/>
                <w:bCs/>
                <w:strike/>
                <w:color w:val="FF0000"/>
              </w:rPr>
              <w:t>and Contract Assets</w:t>
            </w:r>
          </w:p>
        </w:tc>
        <w:tc>
          <w:tcPr>
            <w:tcW w:w="674" w:type="pct"/>
            <w:tcBorders>
              <w:top w:val="single" w:sz="2" w:space="0" w:color="auto"/>
              <w:left w:val="nil"/>
              <w:bottom w:val="single" w:sz="2" w:space="0" w:color="auto"/>
              <w:right w:val="nil"/>
            </w:tcBorders>
            <w:vAlign w:val="bottom"/>
          </w:tcPr>
          <w:p w14:paraId="74D27E1D" w14:textId="6BC6B8D3" w:rsidR="0053546F" w:rsidRPr="007E70BB" w:rsidRDefault="0053546F" w:rsidP="0053546F">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4A3D10F3" w14:textId="7E5DB3C6" w:rsidR="0053546F" w:rsidRPr="007E70BB" w:rsidRDefault="0053546F" w:rsidP="0053546F">
            <w:pPr>
              <w:pStyle w:val="TableText"/>
              <w:tabs>
                <w:tab w:val="left" w:pos="3306"/>
              </w:tabs>
              <w:jc w:val="right"/>
              <w:rPr>
                <w:rFonts w:cs="Calibri"/>
                <w:b/>
                <w:bCs/>
              </w:rPr>
            </w:pPr>
          </w:p>
        </w:tc>
      </w:tr>
      <w:tr w:rsidR="0053546F" w:rsidRPr="00CF7E1B" w14:paraId="7A71BF30" w14:textId="77777777" w:rsidTr="005F5B4C">
        <w:trPr>
          <w:cantSplit/>
          <w:trHeight w:val="23"/>
        </w:trPr>
        <w:tc>
          <w:tcPr>
            <w:tcW w:w="745" w:type="pct"/>
            <w:tcBorders>
              <w:top w:val="nil"/>
              <w:left w:val="single" w:sz="2" w:space="0" w:color="auto"/>
              <w:bottom w:val="nil"/>
              <w:right w:val="single" w:sz="2" w:space="0" w:color="auto"/>
            </w:tcBorders>
          </w:tcPr>
          <w:p w14:paraId="1CECFC42" w14:textId="77777777" w:rsidR="0053546F" w:rsidRPr="007E70BB" w:rsidRDefault="0053546F" w:rsidP="0053546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4A9641DF" w14:textId="77777777" w:rsidR="0053546F" w:rsidRPr="00B91A27" w:rsidRDefault="0053546F" w:rsidP="0053546F">
            <w:pPr>
              <w:pStyle w:val="TableText"/>
              <w:tabs>
                <w:tab w:val="left" w:pos="3306"/>
              </w:tabs>
              <w:rPr>
                <w:rFonts w:cs="Calibri"/>
              </w:rPr>
            </w:pPr>
          </w:p>
        </w:tc>
        <w:tc>
          <w:tcPr>
            <w:tcW w:w="674" w:type="pct"/>
            <w:tcBorders>
              <w:top w:val="single" w:sz="2" w:space="0" w:color="auto"/>
              <w:left w:val="nil"/>
              <w:bottom w:val="nil"/>
              <w:right w:val="nil"/>
            </w:tcBorders>
            <w:vAlign w:val="bottom"/>
          </w:tcPr>
          <w:p w14:paraId="0169F64F" w14:textId="77777777" w:rsidR="0053546F" w:rsidRPr="00B91A27" w:rsidRDefault="0053546F" w:rsidP="0053546F">
            <w:pPr>
              <w:pStyle w:val="TableText"/>
              <w:tabs>
                <w:tab w:val="left" w:pos="3306"/>
              </w:tabs>
              <w:jc w:val="right"/>
              <w:rPr>
                <w:rFonts w:cs="Calibri"/>
              </w:rPr>
            </w:pPr>
          </w:p>
        </w:tc>
        <w:tc>
          <w:tcPr>
            <w:tcW w:w="879" w:type="pct"/>
            <w:gridSpan w:val="3"/>
            <w:tcBorders>
              <w:top w:val="single" w:sz="2" w:space="0" w:color="auto"/>
              <w:left w:val="nil"/>
              <w:bottom w:val="nil"/>
              <w:right w:val="nil"/>
            </w:tcBorders>
            <w:vAlign w:val="bottom"/>
          </w:tcPr>
          <w:p w14:paraId="591AF68F" w14:textId="77777777" w:rsidR="0053546F" w:rsidRPr="00B91A27" w:rsidRDefault="0053546F" w:rsidP="0053546F">
            <w:pPr>
              <w:pStyle w:val="TableText"/>
              <w:tabs>
                <w:tab w:val="left" w:pos="3306"/>
              </w:tabs>
              <w:jc w:val="right"/>
              <w:rPr>
                <w:rFonts w:cs="Calibri"/>
              </w:rPr>
            </w:pPr>
          </w:p>
        </w:tc>
      </w:tr>
      <w:tr w:rsidR="00F510E4" w:rsidRPr="00CF7E1B" w14:paraId="7856E41B" w14:textId="77777777" w:rsidTr="00F510E4">
        <w:trPr>
          <w:cantSplit/>
          <w:trHeight w:val="23"/>
        </w:trPr>
        <w:tc>
          <w:tcPr>
            <w:tcW w:w="745" w:type="pct"/>
            <w:tcBorders>
              <w:top w:val="nil"/>
              <w:left w:val="single" w:sz="2" w:space="0" w:color="auto"/>
              <w:bottom w:val="nil"/>
              <w:right w:val="single" w:sz="2" w:space="0" w:color="auto"/>
            </w:tcBorders>
          </w:tcPr>
          <w:p w14:paraId="1B0A47E0" w14:textId="4213B535" w:rsidR="00F510E4" w:rsidRPr="00095742" w:rsidRDefault="00F510E4" w:rsidP="00F510E4">
            <w:pPr>
              <w:pStyle w:val="TableReference"/>
              <w:tabs>
                <w:tab w:val="left" w:pos="3306"/>
              </w:tabs>
              <w:spacing w:before="40"/>
              <w:rPr>
                <w:rFonts w:cs="Calibri"/>
                <w:color w:val="7030A0"/>
                <w:sz w:val="22"/>
                <w:szCs w:val="22"/>
              </w:rPr>
            </w:pPr>
            <w:r w:rsidRPr="00095742">
              <w:rPr>
                <w:rFonts w:cs="Calibri"/>
                <w:b/>
                <w:color w:val="7030A0"/>
                <w:sz w:val="22"/>
                <w:szCs w:val="22"/>
              </w:rPr>
              <w:t>Reference</w:t>
            </w:r>
          </w:p>
        </w:tc>
        <w:tc>
          <w:tcPr>
            <w:tcW w:w="4255" w:type="pct"/>
            <w:gridSpan w:val="5"/>
            <w:tcBorders>
              <w:top w:val="nil"/>
              <w:left w:val="single" w:sz="2" w:space="0" w:color="auto"/>
              <w:bottom w:val="nil"/>
              <w:right w:val="nil"/>
            </w:tcBorders>
          </w:tcPr>
          <w:p w14:paraId="5C13A2BC" w14:textId="6CE054D9" w:rsidR="00F510E4" w:rsidRPr="00F510E4" w:rsidRDefault="00F510E4" w:rsidP="00F510E4">
            <w:pPr>
              <w:pStyle w:val="TableText"/>
              <w:tabs>
                <w:tab w:val="left" w:pos="3306"/>
              </w:tabs>
              <w:rPr>
                <w:rFonts w:cs="Calibri"/>
                <w:b/>
                <w:bCs/>
              </w:rPr>
            </w:pPr>
            <w:r w:rsidRPr="003E75E3">
              <w:rPr>
                <w:rFonts w:ascii="Arial" w:hAnsi="Arial"/>
                <w:b/>
                <w:bCs/>
                <w:caps/>
                <w:sz w:val="32"/>
                <w:szCs w:val="24"/>
              </w:rPr>
              <w:t>Note 16.</w:t>
            </w:r>
            <w:r>
              <w:rPr>
                <w:rFonts w:ascii="Arial" w:hAnsi="Arial"/>
                <w:b/>
                <w:bCs/>
                <w:caps/>
                <w:sz w:val="32"/>
                <w:szCs w:val="24"/>
              </w:rPr>
              <w:t xml:space="preserve"> </w:t>
            </w:r>
            <w:r w:rsidRPr="003E75E3">
              <w:rPr>
                <w:rFonts w:ascii="Arial" w:hAnsi="Arial"/>
                <w:b/>
                <w:bCs/>
                <w:caps/>
                <w:sz w:val="32"/>
                <w:szCs w:val="24"/>
              </w:rPr>
              <w:t xml:space="preserve"> Receivables </w:t>
            </w:r>
            <w:r w:rsidRPr="005559F1">
              <w:rPr>
                <w:rFonts w:ascii="Arial" w:hAnsi="Arial"/>
                <w:b/>
                <w:bCs/>
                <w:caps/>
                <w:strike/>
                <w:color w:val="FF0000"/>
                <w:sz w:val="32"/>
                <w:szCs w:val="24"/>
              </w:rPr>
              <w:t>and Contract Assets</w:t>
            </w:r>
            <w:r w:rsidRPr="003E75E3">
              <w:rPr>
                <w:rFonts w:ascii="Arial" w:hAnsi="Arial"/>
                <w:b/>
                <w:bCs/>
                <w:caps/>
                <w:sz w:val="32"/>
                <w:szCs w:val="24"/>
              </w:rPr>
              <w:t xml:space="preserve"> </w:t>
            </w:r>
            <w:r>
              <w:rPr>
                <w:rFonts w:ascii="Arial" w:hAnsi="Arial"/>
                <w:b/>
                <w:bCs/>
                <w:caps/>
                <w:sz w:val="32"/>
                <w:szCs w:val="24"/>
              </w:rPr>
              <w:t>–</w:t>
            </w:r>
            <w:r w:rsidRPr="003E75E3">
              <w:rPr>
                <w:rFonts w:ascii="Arial" w:hAnsi="Arial"/>
                <w:b/>
                <w:bCs/>
                <w:caps/>
                <w:sz w:val="32"/>
                <w:szCs w:val="24"/>
              </w:rPr>
              <w:t xml:space="preserve"> Continued</w:t>
            </w:r>
            <w:r>
              <w:rPr>
                <w:rFonts w:ascii="Arial" w:hAnsi="Arial"/>
                <w:b/>
                <w:bCs/>
                <w:caps/>
                <w:sz w:val="32"/>
                <w:szCs w:val="24"/>
              </w:rPr>
              <w:t xml:space="preserve"> </w:t>
            </w:r>
          </w:p>
        </w:tc>
      </w:tr>
      <w:tr w:rsidR="00F510E4" w:rsidRPr="00CF7E1B" w14:paraId="306F21D1" w14:textId="77777777" w:rsidTr="005F5B4C">
        <w:trPr>
          <w:cantSplit/>
          <w:trHeight w:val="23"/>
        </w:trPr>
        <w:tc>
          <w:tcPr>
            <w:tcW w:w="745" w:type="pct"/>
            <w:tcBorders>
              <w:top w:val="nil"/>
              <w:left w:val="single" w:sz="2" w:space="0" w:color="auto"/>
              <w:bottom w:val="nil"/>
              <w:right w:val="single" w:sz="2" w:space="0" w:color="auto"/>
            </w:tcBorders>
          </w:tcPr>
          <w:p w14:paraId="1F62160D"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0F4C52C" w14:textId="77777777" w:rsidR="00F510E4" w:rsidRPr="003E75E3" w:rsidRDefault="00F510E4" w:rsidP="00F510E4">
            <w:pPr>
              <w:pStyle w:val="TableText"/>
              <w:tabs>
                <w:tab w:val="left" w:pos="3306"/>
              </w:tabs>
              <w:rPr>
                <w:rFonts w:cs="Calibri"/>
                <w:b/>
                <w:bCs/>
              </w:rPr>
            </w:pPr>
          </w:p>
        </w:tc>
        <w:tc>
          <w:tcPr>
            <w:tcW w:w="674" w:type="pct"/>
            <w:tcBorders>
              <w:top w:val="nil"/>
              <w:left w:val="nil"/>
              <w:bottom w:val="nil"/>
              <w:right w:val="nil"/>
            </w:tcBorders>
            <w:vAlign w:val="bottom"/>
          </w:tcPr>
          <w:p w14:paraId="193CD14C" w14:textId="7F0EB788" w:rsidR="00F510E4" w:rsidRPr="00F510E4" w:rsidRDefault="00F510E4" w:rsidP="00F510E4">
            <w:pPr>
              <w:pStyle w:val="TableText"/>
              <w:tabs>
                <w:tab w:val="left" w:pos="3306"/>
              </w:tabs>
              <w:jc w:val="right"/>
              <w:rPr>
                <w:rFonts w:cs="Calibri"/>
                <w:b/>
                <w:bCs/>
              </w:rPr>
            </w:pPr>
            <w:r w:rsidRPr="00F510E4">
              <w:rPr>
                <w:rFonts w:cs="Calibri"/>
                <w:b/>
                <w:bCs/>
              </w:rPr>
              <w:t>202</w:t>
            </w:r>
            <w:r>
              <w:rPr>
                <w:rFonts w:cs="Calibri"/>
                <w:b/>
                <w:bCs/>
              </w:rPr>
              <w:t>3</w:t>
            </w:r>
          </w:p>
        </w:tc>
        <w:tc>
          <w:tcPr>
            <w:tcW w:w="879" w:type="pct"/>
            <w:gridSpan w:val="3"/>
            <w:tcBorders>
              <w:top w:val="nil"/>
              <w:left w:val="nil"/>
              <w:bottom w:val="nil"/>
              <w:right w:val="nil"/>
            </w:tcBorders>
            <w:vAlign w:val="bottom"/>
          </w:tcPr>
          <w:p w14:paraId="4D361FCF" w14:textId="707A8092" w:rsidR="00F510E4" w:rsidRPr="00F510E4" w:rsidRDefault="00F510E4" w:rsidP="00F510E4">
            <w:pPr>
              <w:pStyle w:val="TableText"/>
              <w:tabs>
                <w:tab w:val="left" w:pos="3306"/>
              </w:tabs>
              <w:jc w:val="right"/>
              <w:rPr>
                <w:rFonts w:cs="Calibri"/>
                <w:b/>
                <w:bCs/>
              </w:rPr>
            </w:pPr>
            <w:r w:rsidRPr="00F510E4">
              <w:rPr>
                <w:rFonts w:cs="Calibri"/>
                <w:b/>
                <w:bCs/>
              </w:rPr>
              <w:t>202</w:t>
            </w:r>
            <w:r>
              <w:rPr>
                <w:rFonts w:cs="Calibri"/>
                <w:b/>
                <w:bCs/>
              </w:rPr>
              <w:t>2</w:t>
            </w:r>
          </w:p>
        </w:tc>
      </w:tr>
      <w:tr w:rsidR="00F510E4" w:rsidRPr="00CF7E1B" w14:paraId="0A4E90F2" w14:textId="77777777" w:rsidTr="005F5B4C">
        <w:trPr>
          <w:cantSplit/>
          <w:trHeight w:val="23"/>
        </w:trPr>
        <w:tc>
          <w:tcPr>
            <w:tcW w:w="745" w:type="pct"/>
            <w:tcBorders>
              <w:top w:val="nil"/>
              <w:left w:val="single" w:sz="2" w:space="0" w:color="auto"/>
              <w:bottom w:val="nil"/>
              <w:right w:val="single" w:sz="2" w:space="0" w:color="auto"/>
            </w:tcBorders>
          </w:tcPr>
          <w:p w14:paraId="2C11BCF1"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F8A2D5C" w14:textId="77777777" w:rsidR="00F510E4" w:rsidRPr="003E75E3" w:rsidRDefault="00F510E4" w:rsidP="00F510E4">
            <w:pPr>
              <w:pStyle w:val="TableText"/>
              <w:tabs>
                <w:tab w:val="left" w:pos="3306"/>
              </w:tabs>
              <w:rPr>
                <w:rFonts w:cs="Calibri"/>
                <w:b/>
                <w:bCs/>
              </w:rPr>
            </w:pPr>
          </w:p>
        </w:tc>
        <w:tc>
          <w:tcPr>
            <w:tcW w:w="674" w:type="pct"/>
            <w:tcBorders>
              <w:top w:val="nil"/>
              <w:left w:val="nil"/>
              <w:bottom w:val="nil"/>
              <w:right w:val="nil"/>
            </w:tcBorders>
            <w:vAlign w:val="bottom"/>
          </w:tcPr>
          <w:p w14:paraId="32FB0B06" w14:textId="2EDA1832" w:rsidR="00F510E4" w:rsidRPr="00F510E4" w:rsidRDefault="00F510E4" w:rsidP="00F510E4">
            <w:pPr>
              <w:pStyle w:val="TableText"/>
              <w:tabs>
                <w:tab w:val="left" w:pos="3306"/>
              </w:tabs>
              <w:jc w:val="right"/>
              <w:rPr>
                <w:rFonts w:cs="Calibri"/>
                <w:b/>
                <w:bCs/>
              </w:rPr>
            </w:pPr>
            <w:r w:rsidRPr="00F510E4">
              <w:rPr>
                <w:rFonts w:cs="Calibri"/>
                <w:b/>
                <w:bCs/>
              </w:rPr>
              <w:t>$’000</w:t>
            </w:r>
          </w:p>
        </w:tc>
        <w:tc>
          <w:tcPr>
            <w:tcW w:w="879" w:type="pct"/>
            <w:gridSpan w:val="3"/>
            <w:tcBorders>
              <w:top w:val="nil"/>
              <w:left w:val="nil"/>
              <w:bottom w:val="nil"/>
              <w:right w:val="nil"/>
            </w:tcBorders>
            <w:vAlign w:val="bottom"/>
          </w:tcPr>
          <w:p w14:paraId="63E2AE88" w14:textId="527E6646" w:rsidR="00F510E4" w:rsidRPr="00F510E4" w:rsidRDefault="00F510E4" w:rsidP="00F510E4">
            <w:pPr>
              <w:pStyle w:val="TableText"/>
              <w:tabs>
                <w:tab w:val="left" w:pos="3306"/>
              </w:tabs>
              <w:jc w:val="right"/>
              <w:rPr>
                <w:rFonts w:cs="Calibri"/>
                <w:b/>
                <w:bCs/>
              </w:rPr>
            </w:pPr>
            <w:r w:rsidRPr="00F510E4">
              <w:rPr>
                <w:rFonts w:cs="Calibri"/>
                <w:b/>
                <w:bCs/>
              </w:rPr>
              <w:t>$’000</w:t>
            </w:r>
          </w:p>
        </w:tc>
      </w:tr>
      <w:tr w:rsidR="00F510E4" w:rsidRPr="00CF7E1B" w14:paraId="7209240C" w14:textId="77777777" w:rsidTr="005F5B4C">
        <w:trPr>
          <w:cantSplit/>
          <w:trHeight w:val="23"/>
        </w:trPr>
        <w:tc>
          <w:tcPr>
            <w:tcW w:w="745" w:type="pct"/>
            <w:tcBorders>
              <w:top w:val="nil"/>
              <w:left w:val="single" w:sz="2" w:space="0" w:color="auto"/>
              <w:bottom w:val="nil"/>
              <w:right w:val="single" w:sz="2" w:space="0" w:color="auto"/>
            </w:tcBorders>
          </w:tcPr>
          <w:p w14:paraId="78C087AD"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0D21DFC7" w14:textId="7E293D9E" w:rsidR="00F510E4" w:rsidRPr="003E75E3" w:rsidRDefault="00F510E4" w:rsidP="00F510E4">
            <w:pPr>
              <w:pStyle w:val="TableText"/>
              <w:tabs>
                <w:tab w:val="left" w:pos="3306"/>
              </w:tabs>
              <w:rPr>
                <w:rFonts w:cs="Calibri"/>
                <w:b/>
                <w:bCs/>
              </w:rPr>
            </w:pPr>
            <w:bookmarkStart w:id="578" w:name="_Toc48468504"/>
            <w:bookmarkStart w:id="579" w:name="_Toc49155616"/>
            <w:bookmarkStart w:id="580" w:name="_Toc49224062"/>
            <w:r w:rsidRPr="003E75E3">
              <w:rPr>
                <w:rFonts w:cs="Calibri"/>
                <w:b/>
                <w:bCs/>
              </w:rPr>
              <w:t>Non-Current Receivables</w:t>
            </w:r>
            <w:bookmarkEnd w:id="578"/>
            <w:bookmarkEnd w:id="579"/>
            <w:bookmarkEnd w:id="580"/>
            <w:r w:rsidRPr="003E75E3">
              <w:rPr>
                <w:rFonts w:cs="Calibri"/>
                <w:b/>
                <w:bCs/>
              </w:rPr>
              <w:t xml:space="preserve"> </w:t>
            </w:r>
            <w:r w:rsidRPr="005559F1">
              <w:rPr>
                <w:rFonts w:cs="Calibri"/>
                <w:b/>
                <w:bCs/>
                <w:strike/>
                <w:color w:val="FF0000"/>
              </w:rPr>
              <w:t>and Contract Assets</w:t>
            </w:r>
          </w:p>
        </w:tc>
        <w:tc>
          <w:tcPr>
            <w:tcW w:w="674" w:type="pct"/>
            <w:tcBorders>
              <w:top w:val="nil"/>
              <w:left w:val="nil"/>
              <w:bottom w:val="nil"/>
              <w:right w:val="nil"/>
            </w:tcBorders>
            <w:vAlign w:val="bottom"/>
          </w:tcPr>
          <w:p w14:paraId="6792865E"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B39C360" w14:textId="77777777" w:rsidR="00F510E4" w:rsidRPr="003E75E3" w:rsidRDefault="00F510E4" w:rsidP="00F510E4">
            <w:pPr>
              <w:pStyle w:val="TableText"/>
              <w:tabs>
                <w:tab w:val="left" w:pos="3306"/>
              </w:tabs>
              <w:jc w:val="right"/>
              <w:rPr>
                <w:rFonts w:cs="Calibri"/>
              </w:rPr>
            </w:pPr>
          </w:p>
        </w:tc>
      </w:tr>
      <w:tr w:rsidR="00F510E4" w:rsidRPr="00CF7E1B" w14:paraId="5F806136" w14:textId="77777777" w:rsidTr="005F5B4C">
        <w:trPr>
          <w:cantSplit/>
          <w:trHeight w:val="23"/>
        </w:trPr>
        <w:tc>
          <w:tcPr>
            <w:tcW w:w="745" w:type="pct"/>
            <w:tcBorders>
              <w:top w:val="nil"/>
              <w:left w:val="single" w:sz="2" w:space="0" w:color="auto"/>
              <w:bottom w:val="nil"/>
              <w:right w:val="single" w:sz="2" w:space="0" w:color="auto"/>
            </w:tcBorders>
          </w:tcPr>
          <w:p w14:paraId="63B8C908" w14:textId="77777777"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 101.78(b)</w:t>
            </w:r>
          </w:p>
          <w:p w14:paraId="43052EAB" w14:textId="77777777"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 9.5.1.3 &amp; 5.2.1</w:t>
            </w:r>
          </w:p>
        </w:tc>
        <w:tc>
          <w:tcPr>
            <w:tcW w:w="2702" w:type="pct"/>
            <w:tcBorders>
              <w:top w:val="nil"/>
              <w:left w:val="single" w:sz="2" w:space="0" w:color="auto"/>
              <w:bottom w:val="nil"/>
              <w:right w:val="nil"/>
            </w:tcBorders>
            <w:vAlign w:val="center"/>
          </w:tcPr>
          <w:p w14:paraId="38DC2C24" w14:textId="208F187F" w:rsidR="00F510E4" w:rsidRPr="003E75E3" w:rsidRDefault="00F510E4" w:rsidP="00F510E4">
            <w:pPr>
              <w:pStyle w:val="TableText"/>
              <w:tabs>
                <w:tab w:val="left" w:pos="3306"/>
              </w:tabs>
              <w:rPr>
                <w:rFonts w:cs="Calibri"/>
              </w:rPr>
            </w:pPr>
            <w:r w:rsidRPr="003E75E3">
              <w:rPr>
                <w:rFonts w:cs="Calibri"/>
              </w:rPr>
              <w:t>Trade Receivables</w:t>
            </w:r>
            <w:r w:rsidRPr="003E75E3">
              <w:rPr>
                <w:rFonts w:cs="Calibri"/>
                <w:vertAlign w:val="superscript"/>
              </w:rPr>
              <w:t>a</w:t>
            </w:r>
          </w:p>
        </w:tc>
        <w:tc>
          <w:tcPr>
            <w:tcW w:w="674" w:type="pct"/>
            <w:tcBorders>
              <w:top w:val="nil"/>
              <w:left w:val="nil"/>
              <w:bottom w:val="nil"/>
              <w:right w:val="nil"/>
            </w:tcBorders>
            <w:vAlign w:val="bottom"/>
          </w:tcPr>
          <w:p w14:paraId="719628A2" w14:textId="345F9C35"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28A1BA9A" w14:textId="41AD6745" w:rsidR="00F510E4" w:rsidRPr="003E75E3" w:rsidRDefault="00F510E4" w:rsidP="00F510E4">
            <w:pPr>
              <w:pStyle w:val="TableText"/>
              <w:tabs>
                <w:tab w:val="left" w:pos="3306"/>
              </w:tabs>
              <w:jc w:val="right"/>
              <w:rPr>
                <w:rFonts w:cs="Calibri"/>
              </w:rPr>
            </w:pPr>
          </w:p>
        </w:tc>
      </w:tr>
      <w:tr w:rsidR="00F510E4" w:rsidRPr="00CF7E1B" w14:paraId="25CD3C43" w14:textId="77777777" w:rsidTr="005F5B4C">
        <w:trPr>
          <w:cantSplit/>
          <w:trHeight w:val="23"/>
        </w:trPr>
        <w:tc>
          <w:tcPr>
            <w:tcW w:w="745" w:type="pct"/>
            <w:tcBorders>
              <w:top w:val="nil"/>
              <w:left w:val="single" w:sz="2" w:space="0" w:color="auto"/>
              <w:bottom w:val="nil"/>
              <w:right w:val="single" w:sz="2" w:space="0" w:color="auto"/>
            </w:tcBorders>
          </w:tcPr>
          <w:p w14:paraId="5B1E4874" w14:textId="5CB1EF12"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w:t>
            </w:r>
            <w:r>
              <w:rPr>
                <w:rFonts w:cs="Calibri"/>
                <w:color w:val="7030A0"/>
                <w:sz w:val="14"/>
              </w:rPr>
              <w:t xml:space="preserve"> </w:t>
            </w:r>
            <w:r w:rsidRPr="003E75E3">
              <w:rPr>
                <w:rFonts w:cs="Calibri"/>
                <w:color w:val="7030A0"/>
                <w:sz w:val="14"/>
              </w:rPr>
              <w:t>9.5.5.1</w:t>
            </w:r>
          </w:p>
        </w:tc>
        <w:tc>
          <w:tcPr>
            <w:tcW w:w="2702" w:type="pct"/>
            <w:tcBorders>
              <w:top w:val="nil"/>
              <w:left w:val="single" w:sz="2" w:space="0" w:color="auto"/>
              <w:bottom w:val="nil"/>
              <w:right w:val="nil"/>
            </w:tcBorders>
          </w:tcPr>
          <w:p w14:paraId="33CE834D" w14:textId="5288B0D8" w:rsidR="00F510E4" w:rsidRPr="003E75E3" w:rsidRDefault="00F510E4" w:rsidP="00F510E4">
            <w:pPr>
              <w:pStyle w:val="TableText"/>
              <w:tabs>
                <w:tab w:val="left" w:pos="3306"/>
              </w:tabs>
              <w:rPr>
                <w:rFonts w:cs="Calibri"/>
              </w:rPr>
            </w:pPr>
            <w:r w:rsidRPr="003E75E3">
              <w:rPr>
                <w:rFonts w:cs="Calibri"/>
              </w:rPr>
              <w:t xml:space="preserve">Less: Expected Credit Loss Allowance </w:t>
            </w:r>
          </w:p>
        </w:tc>
        <w:tc>
          <w:tcPr>
            <w:tcW w:w="674" w:type="pct"/>
            <w:tcBorders>
              <w:top w:val="nil"/>
              <w:left w:val="nil"/>
              <w:bottom w:val="nil"/>
              <w:right w:val="nil"/>
            </w:tcBorders>
            <w:vAlign w:val="bottom"/>
          </w:tcPr>
          <w:p w14:paraId="148FEFCD" w14:textId="1E31E598"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0EF423E" w14:textId="52F8646F" w:rsidR="00F510E4" w:rsidRPr="003E75E3" w:rsidRDefault="00F510E4" w:rsidP="00F510E4">
            <w:pPr>
              <w:pStyle w:val="TableText"/>
              <w:tabs>
                <w:tab w:val="left" w:pos="3306"/>
              </w:tabs>
              <w:jc w:val="right"/>
              <w:rPr>
                <w:rFonts w:cs="Calibri"/>
              </w:rPr>
            </w:pPr>
          </w:p>
        </w:tc>
      </w:tr>
      <w:tr w:rsidR="00F510E4" w:rsidRPr="00CF7E1B" w14:paraId="56946EE6" w14:textId="77777777" w:rsidTr="005F5B4C">
        <w:trPr>
          <w:cantSplit/>
          <w:trHeight w:val="23"/>
        </w:trPr>
        <w:tc>
          <w:tcPr>
            <w:tcW w:w="745" w:type="pct"/>
            <w:tcBorders>
              <w:top w:val="nil"/>
              <w:left w:val="single" w:sz="2" w:space="0" w:color="auto"/>
              <w:bottom w:val="nil"/>
              <w:right w:val="single" w:sz="2" w:space="0" w:color="auto"/>
            </w:tcBorders>
          </w:tcPr>
          <w:p w14:paraId="562FFE26" w14:textId="4FAE2C24"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tcPr>
          <w:p w14:paraId="0A35DE9C" w14:textId="67E04EB2" w:rsidR="00F510E4" w:rsidRPr="003E75E3" w:rsidRDefault="00F510E4" w:rsidP="00F510E4">
            <w:pPr>
              <w:pStyle w:val="TableText"/>
              <w:tabs>
                <w:tab w:val="left" w:pos="3306"/>
              </w:tabs>
              <w:rPr>
                <w:rFonts w:cs="Calibri"/>
              </w:rPr>
            </w:pPr>
            <w:r w:rsidRPr="003E75E3">
              <w:rPr>
                <w:rFonts w:cs="Calibri"/>
              </w:rPr>
              <w:t>Work Performed on Facilities Management Services</w:t>
            </w:r>
            <w:r w:rsidRPr="003E75E3">
              <w:rPr>
                <w:rFonts w:cs="Calibri"/>
                <w:b/>
                <w:bCs/>
                <w:caps/>
              </w:rPr>
              <w:t xml:space="preserve"> </w:t>
            </w:r>
            <w:r w:rsidRPr="003E75E3">
              <w:rPr>
                <w:rFonts w:cs="Calibri"/>
              </w:rPr>
              <w:t xml:space="preserve">Contracts with Customers not yet Invoiced </w:t>
            </w:r>
          </w:p>
        </w:tc>
        <w:tc>
          <w:tcPr>
            <w:tcW w:w="674" w:type="pct"/>
            <w:tcBorders>
              <w:top w:val="nil"/>
              <w:left w:val="nil"/>
              <w:bottom w:val="nil"/>
              <w:right w:val="nil"/>
            </w:tcBorders>
            <w:vAlign w:val="bottom"/>
          </w:tcPr>
          <w:p w14:paraId="4FA9C23D" w14:textId="77777777"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3E8D8782" w14:textId="77777777" w:rsidR="00F510E4" w:rsidRPr="003E75E3" w:rsidRDefault="00F510E4" w:rsidP="00F510E4">
            <w:pPr>
              <w:pStyle w:val="TableText"/>
              <w:tabs>
                <w:tab w:val="left" w:pos="3306"/>
              </w:tabs>
              <w:jc w:val="right"/>
              <w:rPr>
                <w:rFonts w:cs="Calibri"/>
              </w:rPr>
            </w:pPr>
          </w:p>
        </w:tc>
      </w:tr>
      <w:tr w:rsidR="00F510E4" w:rsidRPr="00CF7E1B" w14:paraId="364337A3" w14:textId="77777777" w:rsidTr="005F5B4C">
        <w:trPr>
          <w:cantSplit/>
          <w:trHeight w:val="23"/>
        </w:trPr>
        <w:tc>
          <w:tcPr>
            <w:tcW w:w="745" w:type="pct"/>
            <w:tcBorders>
              <w:top w:val="nil"/>
              <w:left w:val="single" w:sz="2" w:space="0" w:color="auto"/>
              <w:bottom w:val="nil"/>
              <w:right w:val="single" w:sz="2" w:space="0" w:color="auto"/>
            </w:tcBorders>
          </w:tcPr>
          <w:p w14:paraId="671330DD" w14:textId="4940DE8C"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shd w:val="clear" w:color="auto" w:fill="auto"/>
            <w:vAlign w:val="bottom"/>
          </w:tcPr>
          <w:p w14:paraId="66466BDF" w14:textId="7E643906" w:rsidR="00F510E4" w:rsidRPr="003E75E3" w:rsidRDefault="00F510E4" w:rsidP="00F510E4">
            <w:pPr>
              <w:pStyle w:val="TableText"/>
              <w:tabs>
                <w:tab w:val="left" w:pos="3306"/>
              </w:tabs>
              <w:rPr>
                <w:rFonts w:cs="Calibri"/>
              </w:rPr>
            </w:pPr>
            <w:r w:rsidRPr="003E75E3">
              <w:rPr>
                <w:rFonts w:cs="Calibri"/>
              </w:rPr>
              <w:t>Less: Expected Credit Loss Allowance</w:t>
            </w:r>
          </w:p>
        </w:tc>
        <w:tc>
          <w:tcPr>
            <w:tcW w:w="674" w:type="pct"/>
            <w:tcBorders>
              <w:top w:val="nil"/>
              <w:left w:val="nil"/>
              <w:bottom w:val="nil"/>
              <w:right w:val="nil"/>
            </w:tcBorders>
            <w:vAlign w:val="bottom"/>
          </w:tcPr>
          <w:p w14:paraId="36A52A4C" w14:textId="77777777"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95468BE" w14:textId="77777777" w:rsidR="00F510E4" w:rsidRPr="003E75E3" w:rsidRDefault="00F510E4" w:rsidP="00F510E4">
            <w:pPr>
              <w:pStyle w:val="TableText"/>
              <w:tabs>
                <w:tab w:val="left" w:pos="3306"/>
              </w:tabs>
              <w:jc w:val="right"/>
              <w:rPr>
                <w:rFonts w:cs="Calibri"/>
              </w:rPr>
            </w:pPr>
          </w:p>
        </w:tc>
      </w:tr>
      <w:tr w:rsidR="00F510E4" w:rsidRPr="00CF7E1B" w14:paraId="748E5861" w14:textId="77777777" w:rsidTr="005F5B4C">
        <w:trPr>
          <w:cantSplit/>
          <w:trHeight w:val="23"/>
        </w:trPr>
        <w:tc>
          <w:tcPr>
            <w:tcW w:w="745" w:type="pct"/>
            <w:tcBorders>
              <w:top w:val="nil"/>
              <w:left w:val="single" w:sz="2" w:space="0" w:color="auto"/>
              <w:bottom w:val="nil"/>
              <w:right w:val="single" w:sz="2" w:space="0" w:color="auto"/>
            </w:tcBorders>
          </w:tcPr>
          <w:p w14:paraId="4DFB92C5"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73A62A9" w14:textId="2CAB96E8" w:rsidR="00F510E4" w:rsidRPr="003E75E3" w:rsidRDefault="00F510E4" w:rsidP="00F510E4">
            <w:pPr>
              <w:pStyle w:val="TableText"/>
              <w:tabs>
                <w:tab w:val="left" w:pos="3306"/>
              </w:tabs>
              <w:rPr>
                <w:rFonts w:cs="Calibri"/>
              </w:rPr>
            </w:pPr>
            <w:r w:rsidRPr="003E75E3">
              <w:rPr>
                <w:rFonts w:cs="Calibri"/>
              </w:rPr>
              <w:t>Loans Receivable</w:t>
            </w:r>
            <w:r w:rsidRPr="003E75E3">
              <w:rPr>
                <w:rFonts w:cs="Calibri"/>
                <w:vertAlign w:val="superscript"/>
              </w:rPr>
              <w:t>b</w:t>
            </w:r>
          </w:p>
        </w:tc>
        <w:tc>
          <w:tcPr>
            <w:tcW w:w="674" w:type="pct"/>
            <w:tcBorders>
              <w:top w:val="nil"/>
              <w:left w:val="nil"/>
              <w:bottom w:val="nil"/>
              <w:right w:val="nil"/>
            </w:tcBorders>
            <w:vAlign w:val="bottom"/>
          </w:tcPr>
          <w:p w14:paraId="25E7D818" w14:textId="43B3A264"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A59DD5F" w14:textId="11A6B67D" w:rsidR="00F510E4" w:rsidRPr="003E75E3" w:rsidRDefault="00F510E4" w:rsidP="00F510E4">
            <w:pPr>
              <w:pStyle w:val="TableText"/>
              <w:tabs>
                <w:tab w:val="left" w:pos="3306"/>
              </w:tabs>
              <w:jc w:val="right"/>
              <w:rPr>
                <w:rFonts w:cs="Calibri"/>
              </w:rPr>
            </w:pPr>
          </w:p>
        </w:tc>
      </w:tr>
      <w:tr w:rsidR="00F510E4" w:rsidRPr="00CF7E1B" w14:paraId="67735B85" w14:textId="77777777" w:rsidTr="005F5B4C">
        <w:trPr>
          <w:cantSplit/>
          <w:trHeight w:val="23"/>
        </w:trPr>
        <w:tc>
          <w:tcPr>
            <w:tcW w:w="745" w:type="pct"/>
            <w:tcBorders>
              <w:top w:val="nil"/>
              <w:left w:val="single" w:sz="2" w:space="0" w:color="auto"/>
              <w:bottom w:val="nil"/>
              <w:right w:val="single" w:sz="2" w:space="0" w:color="auto"/>
            </w:tcBorders>
          </w:tcPr>
          <w:p w14:paraId="07C83A21" w14:textId="361364EF"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tcPr>
          <w:p w14:paraId="276AAC9A" w14:textId="0231C333" w:rsidR="00F510E4" w:rsidRPr="003E75E3" w:rsidRDefault="00F510E4" w:rsidP="00F510E4">
            <w:pPr>
              <w:pStyle w:val="TableText"/>
              <w:tabs>
                <w:tab w:val="left" w:pos="3306"/>
              </w:tabs>
            </w:pPr>
            <w:r w:rsidRPr="003E75E3">
              <w:rPr>
                <w:rFonts w:cs="Calibri"/>
              </w:rPr>
              <w:t>Less: Expected Credit Loss Allowance</w:t>
            </w:r>
          </w:p>
        </w:tc>
        <w:tc>
          <w:tcPr>
            <w:tcW w:w="674" w:type="pct"/>
            <w:tcBorders>
              <w:top w:val="nil"/>
              <w:left w:val="nil"/>
              <w:bottom w:val="nil"/>
              <w:right w:val="nil"/>
            </w:tcBorders>
            <w:vAlign w:val="bottom"/>
          </w:tcPr>
          <w:p w14:paraId="426C54A8"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0F87A29" w14:textId="77777777" w:rsidR="00F510E4" w:rsidRPr="003E75E3" w:rsidRDefault="00F510E4" w:rsidP="00F510E4">
            <w:pPr>
              <w:pStyle w:val="TableText"/>
              <w:tabs>
                <w:tab w:val="left" w:pos="3306"/>
              </w:tabs>
              <w:jc w:val="right"/>
              <w:rPr>
                <w:rFonts w:cs="Calibri"/>
              </w:rPr>
            </w:pPr>
          </w:p>
        </w:tc>
      </w:tr>
      <w:tr w:rsidR="00F510E4" w:rsidRPr="00CF7E1B" w14:paraId="040B49F7" w14:textId="77777777" w:rsidTr="005F5B4C">
        <w:trPr>
          <w:cantSplit/>
          <w:trHeight w:val="23"/>
        </w:trPr>
        <w:tc>
          <w:tcPr>
            <w:tcW w:w="745" w:type="pct"/>
            <w:tcBorders>
              <w:top w:val="nil"/>
              <w:left w:val="single" w:sz="2" w:space="0" w:color="auto"/>
              <w:bottom w:val="nil"/>
              <w:right w:val="single" w:sz="2" w:space="0" w:color="auto"/>
            </w:tcBorders>
          </w:tcPr>
          <w:p w14:paraId="3DD8EA56"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5A2C321" w14:textId="5D644B6D" w:rsidR="00F510E4" w:rsidRPr="003E75E3" w:rsidRDefault="00F510E4" w:rsidP="00F510E4">
            <w:pPr>
              <w:pStyle w:val="TableText"/>
              <w:tabs>
                <w:tab w:val="left" w:pos="3306"/>
              </w:tabs>
              <w:rPr>
                <w:rFonts w:cs="Calibri"/>
              </w:rPr>
            </w:pPr>
            <w:r w:rsidRPr="003E75E3">
              <w:t>Receivables for Finance Leases as Lessor</w:t>
            </w:r>
          </w:p>
        </w:tc>
        <w:tc>
          <w:tcPr>
            <w:tcW w:w="674" w:type="pct"/>
            <w:tcBorders>
              <w:top w:val="nil"/>
              <w:left w:val="nil"/>
              <w:bottom w:val="nil"/>
              <w:right w:val="nil"/>
            </w:tcBorders>
            <w:vAlign w:val="bottom"/>
          </w:tcPr>
          <w:p w14:paraId="10249352"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6346B75" w14:textId="77777777" w:rsidR="00F510E4" w:rsidRPr="003E75E3" w:rsidRDefault="00F510E4" w:rsidP="00F510E4">
            <w:pPr>
              <w:pStyle w:val="TableText"/>
              <w:tabs>
                <w:tab w:val="left" w:pos="3306"/>
              </w:tabs>
              <w:jc w:val="right"/>
              <w:rPr>
                <w:rFonts w:cs="Calibri"/>
              </w:rPr>
            </w:pPr>
          </w:p>
        </w:tc>
      </w:tr>
      <w:tr w:rsidR="00F510E4" w:rsidRPr="00CF7E1B" w14:paraId="3282554E" w14:textId="77777777" w:rsidTr="005F5B4C">
        <w:trPr>
          <w:cantSplit/>
          <w:trHeight w:val="23"/>
        </w:trPr>
        <w:tc>
          <w:tcPr>
            <w:tcW w:w="745" w:type="pct"/>
            <w:tcBorders>
              <w:top w:val="nil"/>
              <w:left w:val="single" w:sz="2" w:space="0" w:color="auto"/>
              <w:bottom w:val="nil"/>
              <w:right w:val="single" w:sz="2" w:space="0" w:color="auto"/>
            </w:tcBorders>
          </w:tcPr>
          <w:p w14:paraId="13E17D66"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C9464C8" w14:textId="77777777" w:rsidR="00F510E4" w:rsidRPr="003E75E3" w:rsidRDefault="00F510E4" w:rsidP="00F510E4">
            <w:pPr>
              <w:pStyle w:val="TableText"/>
              <w:tabs>
                <w:tab w:val="left" w:pos="3306"/>
              </w:tabs>
              <w:rPr>
                <w:rFonts w:cs="Calibri"/>
              </w:rPr>
            </w:pPr>
            <w:r w:rsidRPr="003E75E3">
              <w:rPr>
                <w:rFonts w:cs="Calibri"/>
              </w:rPr>
              <w:t>Other Non-Current Receivables</w:t>
            </w:r>
          </w:p>
        </w:tc>
        <w:tc>
          <w:tcPr>
            <w:tcW w:w="674" w:type="pct"/>
            <w:tcBorders>
              <w:top w:val="nil"/>
              <w:left w:val="nil"/>
              <w:bottom w:val="single" w:sz="2" w:space="0" w:color="auto"/>
              <w:right w:val="nil"/>
            </w:tcBorders>
            <w:vAlign w:val="bottom"/>
          </w:tcPr>
          <w:p w14:paraId="73EB255E" w14:textId="3A1F78BA"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F0589C0" w14:textId="5D69AD05" w:rsidR="00F510E4" w:rsidRPr="003E75E3" w:rsidRDefault="00F510E4" w:rsidP="00F510E4">
            <w:pPr>
              <w:pStyle w:val="TableText"/>
              <w:tabs>
                <w:tab w:val="left" w:pos="3306"/>
              </w:tabs>
              <w:jc w:val="right"/>
              <w:rPr>
                <w:rFonts w:cs="Calibri"/>
              </w:rPr>
            </w:pPr>
          </w:p>
        </w:tc>
      </w:tr>
      <w:tr w:rsidR="00F510E4" w:rsidRPr="00CF7E1B" w14:paraId="6616A7E2" w14:textId="77777777" w:rsidTr="005F5B4C">
        <w:trPr>
          <w:cantSplit/>
          <w:trHeight w:val="23"/>
        </w:trPr>
        <w:tc>
          <w:tcPr>
            <w:tcW w:w="745" w:type="pct"/>
            <w:tcBorders>
              <w:top w:val="nil"/>
              <w:left w:val="single" w:sz="2" w:space="0" w:color="auto"/>
              <w:bottom w:val="nil"/>
              <w:right w:val="single" w:sz="2" w:space="0" w:color="auto"/>
            </w:tcBorders>
          </w:tcPr>
          <w:p w14:paraId="4D0F60E9"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6205A0BC" w14:textId="35E3AB4B" w:rsidR="00F510E4" w:rsidRPr="003E75E3" w:rsidRDefault="00F510E4" w:rsidP="00F510E4">
            <w:pPr>
              <w:pStyle w:val="TableText"/>
              <w:tabs>
                <w:tab w:val="left" w:pos="3306"/>
              </w:tabs>
              <w:rPr>
                <w:rFonts w:cs="Calibri"/>
                <w:b/>
                <w:bCs/>
              </w:rPr>
            </w:pPr>
            <w:r w:rsidRPr="003E75E3">
              <w:rPr>
                <w:rFonts w:cs="Calibri"/>
                <w:b/>
                <w:bCs/>
              </w:rPr>
              <w:t xml:space="preserve">Total Non-Current Receivables </w:t>
            </w:r>
            <w:r w:rsidRPr="005559F1">
              <w:rPr>
                <w:rFonts w:cs="Calibri"/>
                <w:b/>
                <w:bCs/>
                <w:strike/>
                <w:color w:val="FF0000"/>
              </w:rPr>
              <w:t>and Contract Assets</w:t>
            </w:r>
          </w:p>
        </w:tc>
        <w:tc>
          <w:tcPr>
            <w:tcW w:w="674" w:type="pct"/>
            <w:tcBorders>
              <w:top w:val="single" w:sz="2" w:space="0" w:color="auto"/>
              <w:left w:val="nil"/>
              <w:bottom w:val="single" w:sz="2" w:space="0" w:color="auto"/>
              <w:right w:val="nil"/>
            </w:tcBorders>
            <w:vAlign w:val="bottom"/>
          </w:tcPr>
          <w:p w14:paraId="0CF44130" w14:textId="67CB1BEC" w:rsidR="00F510E4" w:rsidRPr="003E75E3" w:rsidRDefault="00F510E4" w:rsidP="00F510E4">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11758FB4" w14:textId="64673E3A" w:rsidR="00F510E4" w:rsidRPr="003E75E3" w:rsidRDefault="00F510E4" w:rsidP="00F510E4">
            <w:pPr>
              <w:pStyle w:val="TableText"/>
              <w:tabs>
                <w:tab w:val="left" w:pos="3306"/>
              </w:tabs>
              <w:jc w:val="right"/>
              <w:rPr>
                <w:rFonts w:cs="Calibri"/>
                <w:b/>
                <w:bCs/>
              </w:rPr>
            </w:pPr>
          </w:p>
        </w:tc>
      </w:tr>
      <w:tr w:rsidR="00F510E4" w:rsidRPr="00CF7E1B" w14:paraId="24373471" w14:textId="77777777" w:rsidTr="005F5B4C">
        <w:trPr>
          <w:cantSplit/>
          <w:trHeight w:val="23"/>
        </w:trPr>
        <w:tc>
          <w:tcPr>
            <w:tcW w:w="745" w:type="pct"/>
            <w:tcBorders>
              <w:top w:val="nil"/>
              <w:left w:val="single" w:sz="2" w:space="0" w:color="auto"/>
              <w:bottom w:val="nil"/>
              <w:right w:val="single" w:sz="2" w:space="0" w:color="auto"/>
            </w:tcBorders>
          </w:tcPr>
          <w:p w14:paraId="6DEF5573" w14:textId="108BC270"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1AE1364" w14:textId="156C20ED" w:rsidR="00F510E4" w:rsidRPr="003E75E3" w:rsidRDefault="00F510E4" w:rsidP="00F510E4">
            <w:pPr>
              <w:pStyle w:val="TableText"/>
              <w:tabs>
                <w:tab w:val="left" w:pos="3306"/>
              </w:tabs>
              <w:rPr>
                <w:rFonts w:cs="Calibri"/>
                <w:b/>
                <w:bCs/>
              </w:rPr>
            </w:pPr>
            <w:r w:rsidRPr="003E75E3">
              <w:rPr>
                <w:rFonts w:cs="Calibri"/>
                <w:b/>
                <w:bCs/>
              </w:rPr>
              <w:t xml:space="preserve">Total Receivables </w:t>
            </w:r>
            <w:r w:rsidRPr="005559F1">
              <w:rPr>
                <w:rFonts w:cs="Calibri"/>
                <w:b/>
                <w:bCs/>
                <w:strike/>
                <w:color w:val="FF0000"/>
              </w:rPr>
              <w:t>and Contract Assets</w:t>
            </w:r>
          </w:p>
        </w:tc>
        <w:tc>
          <w:tcPr>
            <w:tcW w:w="674" w:type="pct"/>
            <w:tcBorders>
              <w:top w:val="single" w:sz="2" w:space="0" w:color="auto"/>
              <w:left w:val="nil"/>
              <w:bottom w:val="double" w:sz="4" w:space="0" w:color="auto"/>
              <w:right w:val="nil"/>
            </w:tcBorders>
            <w:vAlign w:val="bottom"/>
          </w:tcPr>
          <w:p w14:paraId="5E2AAB7C" w14:textId="3D06A6BE" w:rsidR="00F510E4" w:rsidRPr="003E75E3" w:rsidRDefault="00F510E4" w:rsidP="00F510E4">
            <w:pPr>
              <w:pStyle w:val="TableText"/>
              <w:tabs>
                <w:tab w:val="left" w:pos="3306"/>
              </w:tabs>
              <w:jc w:val="right"/>
              <w:rPr>
                <w:rFonts w:cs="Calibri"/>
                <w:b/>
                <w:bCs/>
              </w:rPr>
            </w:pPr>
          </w:p>
        </w:tc>
        <w:tc>
          <w:tcPr>
            <w:tcW w:w="879" w:type="pct"/>
            <w:gridSpan w:val="3"/>
            <w:tcBorders>
              <w:top w:val="single" w:sz="2" w:space="0" w:color="auto"/>
              <w:left w:val="nil"/>
              <w:bottom w:val="double" w:sz="4" w:space="0" w:color="auto"/>
              <w:right w:val="nil"/>
            </w:tcBorders>
            <w:vAlign w:val="bottom"/>
          </w:tcPr>
          <w:p w14:paraId="26018AD1" w14:textId="75FB194D" w:rsidR="00F510E4" w:rsidRPr="003E75E3" w:rsidRDefault="00F510E4" w:rsidP="00F510E4">
            <w:pPr>
              <w:pStyle w:val="TableText"/>
              <w:tabs>
                <w:tab w:val="left" w:pos="3306"/>
              </w:tabs>
              <w:jc w:val="right"/>
              <w:rPr>
                <w:rFonts w:cs="Calibri"/>
                <w:b/>
                <w:bCs/>
              </w:rPr>
            </w:pPr>
          </w:p>
        </w:tc>
      </w:tr>
      <w:tr w:rsidR="00F510E4" w:rsidRPr="00CF7E1B" w14:paraId="2DCCFBF8" w14:textId="77777777" w:rsidTr="005F5B4C">
        <w:trPr>
          <w:cantSplit/>
          <w:trHeight w:val="23"/>
        </w:trPr>
        <w:tc>
          <w:tcPr>
            <w:tcW w:w="745" w:type="pct"/>
            <w:tcBorders>
              <w:top w:val="nil"/>
              <w:left w:val="single" w:sz="2" w:space="0" w:color="auto"/>
              <w:bottom w:val="nil"/>
              <w:right w:val="single" w:sz="2" w:space="0" w:color="auto"/>
            </w:tcBorders>
          </w:tcPr>
          <w:p w14:paraId="74E39596" w14:textId="77777777" w:rsidR="00F510E4" w:rsidRPr="003E75E3" w:rsidRDefault="00F510E4" w:rsidP="00F510E4">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59EE80B8" w14:textId="77777777" w:rsidR="00F510E4" w:rsidRPr="003E75E3" w:rsidRDefault="00F510E4" w:rsidP="00F510E4">
            <w:pPr>
              <w:pStyle w:val="TableText"/>
              <w:tabs>
                <w:tab w:val="left" w:pos="3306"/>
              </w:tabs>
              <w:jc w:val="right"/>
              <w:rPr>
                <w:rFonts w:cs="Calibri"/>
              </w:rPr>
            </w:pPr>
          </w:p>
        </w:tc>
      </w:tr>
      <w:tr w:rsidR="00F510E4" w:rsidRPr="00CF7E1B" w14:paraId="220BEEFB" w14:textId="77777777" w:rsidTr="005F5B4C">
        <w:trPr>
          <w:cantSplit/>
          <w:trHeight w:val="23"/>
        </w:trPr>
        <w:tc>
          <w:tcPr>
            <w:tcW w:w="745" w:type="pct"/>
            <w:tcBorders>
              <w:top w:val="nil"/>
              <w:left w:val="single" w:sz="2" w:space="0" w:color="auto"/>
              <w:bottom w:val="nil"/>
              <w:right w:val="single" w:sz="2" w:space="0" w:color="auto"/>
            </w:tcBorders>
          </w:tcPr>
          <w:p w14:paraId="2015656E"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6FE0E707" w14:textId="36B086E4" w:rsidR="00F510E4" w:rsidRPr="003E75E3" w:rsidRDefault="00F510E4" w:rsidP="00F510E4">
            <w:pPr>
              <w:pStyle w:val="TableText"/>
              <w:tabs>
                <w:tab w:val="left" w:pos="3306"/>
              </w:tabs>
              <w:rPr>
                <w:rFonts w:cs="Calibri"/>
              </w:rPr>
            </w:pPr>
            <w:r w:rsidRPr="003E75E3">
              <w:rPr>
                <w:rFonts w:cs="Calibri"/>
              </w:rPr>
              <w:t>a) The increase in Trade Receivables of $xxx is due to a large number of services being provided late in the reporting period, in comparison with last year.</w:t>
            </w:r>
            <w:r>
              <w:rPr>
                <w:rFonts w:cs="Calibri"/>
              </w:rPr>
              <w:t xml:space="preserve"> </w:t>
            </w:r>
            <w:r w:rsidRPr="003E75E3">
              <w:rPr>
                <w:rFonts w:cs="Calibri"/>
              </w:rPr>
              <w:t>Most of these services were invoiced in June.</w:t>
            </w:r>
          </w:p>
        </w:tc>
      </w:tr>
      <w:tr w:rsidR="00F510E4" w:rsidRPr="00CF7E1B" w14:paraId="5B0F7663" w14:textId="77777777" w:rsidTr="005F5B4C">
        <w:trPr>
          <w:cantSplit/>
          <w:trHeight w:val="23"/>
        </w:trPr>
        <w:tc>
          <w:tcPr>
            <w:tcW w:w="745" w:type="pct"/>
            <w:tcBorders>
              <w:top w:val="nil"/>
              <w:left w:val="single" w:sz="2" w:space="0" w:color="auto"/>
              <w:bottom w:val="nil"/>
              <w:right w:val="single" w:sz="2" w:space="0" w:color="auto"/>
            </w:tcBorders>
          </w:tcPr>
          <w:p w14:paraId="3EDBDB57"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137A6F60" w14:textId="62D2E5A6" w:rsidR="00F510E4" w:rsidRPr="003E75E3" w:rsidRDefault="00F510E4" w:rsidP="00F510E4">
            <w:pPr>
              <w:pStyle w:val="TableText"/>
              <w:tabs>
                <w:tab w:val="left" w:pos="3306"/>
              </w:tabs>
              <w:rPr>
                <w:rFonts w:cs="Calibri"/>
              </w:rPr>
            </w:pPr>
            <w:r w:rsidRPr="003E75E3">
              <w:rPr>
                <w:rFonts w:cs="Calibri"/>
              </w:rPr>
              <w:t xml:space="preserve">b) The increase in Loans Receivable of $xxx is mainly due to </w:t>
            </w:r>
            <w:r w:rsidRPr="00C8339F">
              <w:rPr>
                <w:rFonts w:cs="Calibri"/>
                <w:strike/>
                <w:color w:val="FF0000"/>
              </w:rPr>
              <w:t>the issue of</w:t>
            </w:r>
            <w:r w:rsidRPr="00C8339F">
              <w:rPr>
                <w:rFonts w:cs="Calibri"/>
                <w:color w:val="FF0000"/>
              </w:rPr>
              <w:t xml:space="preserve"> </w:t>
            </w:r>
            <w:r w:rsidRPr="00C8339F">
              <w:rPr>
                <w:rFonts w:cs="Calibri"/>
              </w:rPr>
              <w:t xml:space="preserve">more loans </w:t>
            </w:r>
            <w:r w:rsidRPr="00C8339F">
              <w:rPr>
                <w:rFonts w:cs="Calibri"/>
                <w:color w:val="FF0000"/>
              </w:rPr>
              <w:t>being issued</w:t>
            </w:r>
            <w:r>
              <w:rPr>
                <w:rFonts w:cs="Calibri"/>
              </w:rPr>
              <w:t xml:space="preserve"> </w:t>
            </w:r>
            <w:r w:rsidRPr="003E75E3">
              <w:rPr>
                <w:rFonts w:cs="Calibri"/>
              </w:rPr>
              <w:t>throughout the reporting period.</w:t>
            </w:r>
            <w:r>
              <w:rPr>
                <w:rFonts w:cs="Calibri"/>
              </w:rPr>
              <w:t xml:space="preserve"> </w:t>
            </w:r>
          </w:p>
        </w:tc>
      </w:tr>
      <w:tr w:rsidR="0053546F" w:rsidRPr="00CF7E1B" w14:paraId="72D51DB6" w14:textId="77777777" w:rsidTr="005F5B4C">
        <w:trPr>
          <w:cantSplit/>
          <w:trHeight w:val="23"/>
        </w:trPr>
        <w:tc>
          <w:tcPr>
            <w:tcW w:w="745" w:type="pct"/>
            <w:tcBorders>
              <w:top w:val="nil"/>
              <w:left w:val="single" w:sz="2" w:space="0" w:color="auto"/>
              <w:bottom w:val="nil"/>
              <w:right w:val="single" w:sz="2" w:space="0" w:color="auto"/>
            </w:tcBorders>
          </w:tcPr>
          <w:p w14:paraId="7B3D9CDC" w14:textId="77777777" w:rsidR="0053546F" w:rsidRPr="003E75E3" w:rsidRDefault="0053546F" w:rsidP="0053546F">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05B7AF84" w14:textId="77A13DF0" w:rsidR="0053546F" w:rsidRPr="003E75E3" w:rsidRDefault="0053546F" w:rsidP="0053546F">
            <w:pPr>
              <w:pStyle w:val="TableText"/>
              <w:tabs>
                <w:tab w:val="left" w:pos="3306"/>
              </w:tabs>
              <w:spacing w:before="120"/>
              <w:rPr>
                <w:rFonts w:cs="Calibri"/>
                <w:i/>
                <w:iCs/>
              </w:rPr>
            </w:pPr>
            <w:r>
              <w:rPr>
                <w:rFonts w:cs="Calibri"/>
                <w:i/>
                <w:iCs/>
              </w:rPr>
              <w:t xml:space="preserve">Material </w:t>
            </w:r>
            <w:r w:rsidRPr="003E75E3">
              <w:rPr>
                <w:rFonts w:cs="Calibri"/>
                <w:i/>
                <w:iCs/>
              </w:rPr>
              <w:t>Changes in Contract Asset Balances</w:t>
            </w:r>
          </w:p>
        </w:tc>
      </w:tr>
      <w:tr w:rsidR="0053546F" w:rsidRPr="00CF7E1B" w14:paraId="128EAB6F" w14:textId="77777777" w:rsidTr="005F5B4C">
        <w:trPr>
          <w:cantSplit/>
          <w:trHeight w:val="23"/>
        </w:trPr>
        <w:tc>
          <w:tcPr>
            <w:tcW w:w="745" w:type="pct"/>
            <w:tcBorders>
              <w:top w:val="nil"/>
              <w:left w:val="single" w:sz="2" w:space="0" w:color="auto"/>
              <w:bottom w:val="nil"/>
              <w:right w:val="single" w:sz="2" w:space="0" w:color="auto"/>
            </w:tcBorders>
          </w:tcPr>
          <w:p w14:paraId="74E1C93F" w14:textId="77777777" w:rsidR="0053546F" w:rsidRPr="003E75E3" w:rsidRDefault="0053546F" w:rsidP="0053546F">
            <w:pPr>
              <w:pStyle w:val="TableReference"/>
              <w:tabs>
                <w:tab w:val="left" w:pos="3306"/>
              </w:tabs>
              <w:spacing w:before="40"/>
              <w:rPr>
                <w:rFonts w:cs="Calibri"/>
                <w:color w:val="7030A0"/>
                <w:sz w:val="14"/>
              </w:rPr>
            </w:pPr>
            <w:r w:rsidRPr="003E75E3">
              <w:rPr>
                <w:rFonts w:cs="Calibri"/>
                <w:color w:val="7030A0"/>
                <w:sz w:val="14"/>
              </w:rPr>
              <w:t>AASB 15.118</w:t>
            </w:r>
          </w:p>
          <w:p w14:paraId="14F27917" w14:textId="77777777" w:rsidR="0053546F" w:rsidRPr="003E75E3" w:rsidRDefault="0053546F" w:rsidP="0053546F">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351C1CEE" w14:textId="60D48291" w:rsidR="0053546F" w:rsidRPr="003E75E3" w:rsidRDefault="0053546F" w:rsidP="0053546F">
            <w:pPr>
              <w:pStyle w:val="TableText"/>
              <w:tabs>
                <w:tab w:val="left" w:pos="3306"/>
              </w:tabs>
              <w:rPr>
                <w:rFonts w:cs="Calibri"/>
              </w:rPr>
            </w:pPr>
            <w:r w:rsidRPr="003E75E3">
              <w:rPr>
                <w:rFonts w:cs="Calibri"/>
              </w:rPr>
              <w:t>The contract asset balance has increased significantly during the year because of additional works being undertaken in June 202</w:t>
            </w:r>
            <w:r>
              <w:rPr>
                <w:rFonts w:cs="Calibri"/>
              </w:rPr>
              <w:t>3</w:t>
            </w:r>
            <w:r w:rsidRPr="003E75E3">
              <w:rPr>
                <w:rFonts w:cs="Calibri"/>
              </w:rPr>
              <w:t>.</w:t>
            </w:r>
          </w:p>
        </w:tc>
      </w:tr>
      <w:tr w:rsidR="0053546F" w:rsidRPr="00CF7E1B" w14:paraId="63BA3810" w14:textId="77777777" w:rsidTr="005F5B4C">
        <w:trPr>
          <w:cantSplit/>
          <w:trHeight w:val="23"/>
        </w:trPr>
        <w:tc>
          <w:tcPr>
            <w:tcW w:w="745" w:type="pct"/>
            <w:tcBorders>
              <w:top w:val="nil"/>
              <w:left w:val="single" w:sz="2" w:space="0" w:color="auto"/>
              <w:bottom w:val="nil"/>
              <w:right w:val="single" w:sz="2" w:space="0" w:color="auto"/>
            </w:tcBorders>
          </w:tcPr>
          <w:p w14:paraId="5F112A8B" w14:textId="77777777" w:rsidR="0053546F" w:rsidRPr="003E75E3" w:rsidRDefault="0053546F" w:rsidP="0053546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09A0025" w14:textId="77777777" w:rsidR="0053546F" w:rsidRPr="003E75E3" w:rsidRDefault="0053546F" w:rsidP="0053546F">
            <w:pPr>
              <w:pStyle w:val="TableText"/>
              <w:tabs>
                <w:tab w:val="left" w:pos="3306"/>
              </w:tabs>
              <w:rPr>
                <w:rFonts w:cs="Calibri"/>
                <w:b/>
                <w:bCs/>
              </w:rPr>
            </w:pPr>
          </w:p>
        </w:tc>
        <w:tc>
          <w:tcPr>
            <w:tcW w:w="810" w:type="pct"/>
            <w:gridSpan w:val="2"/>
            <w:tcBorders>
              <w:top w:val="nil"/>
              <w:left w:val="nil"/>
              <w:bottom w:val="nil"/>
              <w:right w:val="nil"/>
            </w:tcBorders>
            <w:vAlign w:val="bottom"/>
          </w:tcPr>
          <w:p w14:paraId="1F0469A1" w14:textId="51F8A117" w:rsidR="0053546F" w:rsidRPr="006E0BA8" w:rsidRDefault="0053546F" w:rsidP="0053546F">
            <w:pPr>
              <w:pStyle w:val="TableText"/>
              <w:tabs>
                <w:tab w:val="left" w:pos="3306"/>
              </w:tabs>
              <w:jc w:val="right"/>
              <w:rPr>
                <w:rFonts w:cs="Calibri"/>
                <w:b/>
                <w:bCs/>
                <w:strike/>
                <w:color w:val="FF0000"/>
              </w:rPr>
            </w:pPr>
            <w:r w:rsidRPr="006E0BA8">
              <w:rPr>
                <w:rFonts w:cs="Calibri"/>
                <w:b/>
                <w:bCs/>
                <w:strike/>
                <w:color w:val="FF0000"/>
              </w:rPr>
              <w:t>202</w:t>
            </w:r>
            <w:r w:rsidR="006E0BA8" w:rsidRPr="006E0BA8">
              <w:rPr>
                <w:rFonts w:cs="Calibri"/>
                <w:b/>
                <w:bCs/>
                <w:strike/>
                <w:color w:val="FF0000"/>
              </w:rPr>
              <w:t>2</w:t>
            </w:r>
          </w:p>
        </w:tc>
        <w:tc>
          <w:tcPr>
            <w:tcW w:w="743" w:type="pct"/>
            <w:gridSpan w:val="2"/>
            <w:tcBorders>
              <w:top w:val="nil"/>
              <w:left w:val="nil"/>
              <w:bottom w:val="nil"/>
              <w:right w:val="nil"/>
            </w:tcBorders>
            <w:vAlign w:val="bottom"/>
          </w:tcPr>
          <w:p w14:paraId="07550555" w14:textId="64A35D1C" w:rsidR="0053546F" w:rsidRPr="006E0BA8" w:rsidRDefault="0053546F" w:rsidP="0053546F">
            <w:pPr>
              <w:pStyle w:val="TableText"/>
              <w:tabs>
                <w:tab w:val="left" w:pos="3306"/>
              </w:tabs>
              <w:jc w:val="right"/>
              <w:rPr>
                <w:rFonts w:cs="Calibri"/>
                <w:b/>
                <w:bCs/>
                <w:strike/>
                <w:color w:val="FF0000"/>
              </w:rPr>
            </w:pPr>
            <w:r w:rsidRPr="006E0BA8">
              <w:rPr>
                <w:rFonts w:cs="Calibri"/>
                <w:b/>
                <w:bCs/>
                <w:strike/>
                <w:color w:val="FF0000"/>
              </w:rPr>
              <w:t>202</w:t>
            </w:r>
            <w:r w:rsidR="006E0BA8" w:rsidRPr="006E0BA8">
              <w:rPr>
                <w:rFonts w:cs="Calibri"/>
                <w:b/>
                <w:bCs/>
                <w:strike/>
                <w:color w:val="FF0000"/>
              </w:rPr>
              <w:t>1</w:t>
            </w:r>
          </w:p>
        </w:tc>
      </w:tr>
      <w:tr w:rsidR="0053546F" w:rsidRPr="00CF7E1B" w14:paraId="5C614BBE" w14:textId="77777777" w:rsidTr="005F5B4C">
        <w:trPr>
          <w:cantSplit/>
          <w:trHeight w:val="23"/>
        </w:trPr>
        <w:tc>
          <w:tcPr>
            <w:tcW w:w="745" w:type="pct"/>
            <w:tcBorders>
              <w:top w:val="nil"/>
              <w:left w:val="single" w:sz="2" w:space="0" w:color="auto"/>
              <w:bottom w:val="nil"/>
              <w:right w:val="single" w:sz="2" w:space="0" w:color="auto"/>
            </w:tcBorders>
          </w:tcPr>
          <w:p w14:paraId="7A05A1C3" w14:textId="77777777" w:rsidR="0053546F" w:rsidRPr="003E75E3" w:rsidRDefault="0053546F" w:rsidP="0053546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451BC1E1" w14:textId="77777777" w:rsidR="0053546F" w:rsidRPr="003E75E3" w:rsidRDefault="0053546F" w:rsidP="0053546F">
            <w:pPr>
              <w:pStyle w:val="TableText"/>
              <w:tabs>
                <w:tab w:val="left" w:pos="3306"/>
              </w:tabs>
              <w:rPr>
                <w:rFonts w:cs="Calibri"/>
                <w:b/>
                <w:bCs/>
              </w:rPr>
            </w:pPr>
          </w:p>
        </w:tc>
        <w:tc>
          <w:tcPr>
            <w:tcW w:w="810" w:type="pct"/>
            <w:gridSpan w:val="2"/>
            <w:tcBorders>
              <w:top w:val="nil"/>
              <w:left w:val="nil"/>
              <w:bottom w:val="nil"/>
              <w:right w:val="nil"/>
            </w:tcBorders>
            <w:vAlign w:val="bottom"/>
          </w:tcPr>
          <w:p w14:paraId="54E9C14F" w14:textId="77777777" w:rsidR="0053546F" w:rsidRPr="006E0BA8" w:rsidRDefault="0053546F" w:rsidP="0053546F">
            <w:pPr>
              <w:pStyle w:val="TableText"/>
              <w:tabs>
                <w:tab w:val="left" w:pos="3306"/>
              </w:tabs>
              <w:jc w:val="right"/>
              <w:rPr>
                <w:rFonts w:cs="Calibri"/>
                <w:b/>
                <w:bCs/>
                <w:strike/>
                <w:color w:val="FF0000"/>
              </w:rPr>
            </w:pPr>
            <w:r w:rsidRPr="006E0BA8">
              <w:rPr>
                <w:rFonts w:cs="Calibri"/>
                <w:b/>
                <w:bCs/>
                <w:strike/>
                <w:color w:val="FF0000"/>
              </w:rPr>
              <w:t>$’000</w:t>
            </w:r>
          </w:p>
        </w:tc>
        <w:tc>
          <w:tcPr>
            <w:tcW w:w="743" w:type="pct"/>
            <w:gridSpan w:val="2"/>
            <w:tcBorders>
              <w:top w:val="nil"/>
              <w:left w:val="nil"/>
              <w:bottom w:val="nil"/>
              <w:right w:val="nil"/>
            </w:tcBorders>
            <w:vAlign w:val="bottom"/>
          </w:tcPr>
          <w:p w14:paraId="26A9D51C" w14:textId="77777777" w:rsidR="0053546F" w:rsidRPr="006E0BA8" w:rsidRDefault="0053546F" w:rsidP="0053546F">
            <w:pPr>
              <w:pStyle w:val="TableText"/>
              <w:tabs>
                <w:tab w:val="left" w:pos="3306"/>
              </w:tabs>
              <w:jc w:val="right"/>
              <w:rPr>
                <w:rFonts w:cs="Calibri"/>
                <w:b/>
                <w:bCs/>
                <w:strike/>
                <w:color w:val="FF0000"/>
              </w:rPr>
            </w:pPr>
            <w:r w:rsidRPr="006E0BA8">
              <w:rPr>
                <w:rFonts w:cs="Calibri"/>
                <w:b/>
                <w:bCs/>
                <w:strike/>
                <w:color w:val="FF0000"/>
              </w:rPr>
              <w:t>$’000</w:t>
            </w:r>
          </w:p>
        </w:tc>
      </w:tr>
      <w:tr w:rsidR="0053546F" w:rsidRPr="00CF7E1B" w14:paraId="44159486" w14:textId="77777777" w:rsidTr="005F5B4C">
        <w:trPr>
          <w:cantSplit/>
          <w:trHeight w:val="23"/>
        </w:trPr>
        <w:tc>
          <w:tcPr>
            <w:tcW w:w="745" w:type="pct"/>
            <w:tcBorders>
              <w:top w:val="nil"/>
              <w:left w:val="single" w:sz="2" w:space="0" w:color="auto"/>
              <w:bottom w:val="nil"/>
              <w:right w:val="single" w:sz="2" w:space="0" w:color="auto"/>
            </w:tcBorders>
          </w:tcPr>
          <w:p w14:paraId="0C88BE97" w14:textId="5D8DDC96" w:rsidR="0053546F" w:rsidRPr="008A6781" w:rsidRDefault="0053546F" w:rsidP="0053546F">
            <w:pPr>
              <w:pStyle w:val="TableReference"/>
              <w:tabs>
                <w:tab w:val="left" w:pos="3306"/>
              </w:tabs>
              <w:spacing w:before="40"/>
              <w:rPr>
                <w:rFonts w:cs="Calibri"/>
                <w:color w:val="auto"/>
                <w:sz w:val="14"/>
              </w:rPr>
            </w:pPr>
          </w:p>
        </w:tc>
        <w:tc>
          <w:tcPr>
            <w:tcW w:w="4255" w:type="pct"/>
            <w:gridSpan w:val="5"/>
            <w:tcBorders>
              <w:top w:val="nil"/>
              <w:left w:val="single" w:sz="2" w:space="0" w:color="auto"/>
              <w:bottom w:val="nil"/>
              <w:right w:val="nil"/>
            </w:tcBorders>
            <w:vAlign w:val="bottom"/>
          </w:tcPr>
          <w:p w14:paraId="7504614C" w14:textId="43F564A1" w:rsidR="0053546F" w:rsidRPr="008A6781" w:rsidRDefault="0053546F" w:rsidP="0053546F">
            <w:pPr>
              <w:pStyle w:val="TableText"/>
              <w:tabs>
                <w:tab w:val="left" w:pos="3306"/>
              </w:tabs>
              <w:spacing w:before="0" w:after="120"/>
              <w:ind w:left="210" w:hanging="210"/>
              <w:jc w:val="both"/>
              <w:rPr>
                <w:rFonts w:cs="Calibri"/>
              </w:rPr>
            </w:pPr>
            <w:r w:rsidRPr="008A6781">
              <w:rPr>
                <w:rFonts w:cs="Calibri"/>
                <w:b/>
                <w:bCs/>
              </w:rPr>
              <w:t>Split of Receivables and Contract Assets</w:t>
            </w:r>
          </w:p>
        </w:tc>
      </w:tr>
      <w:tr w:rsidR="0053546F" w:rsidRPr="00CF7E1B" w14:paraId="23EEEC4F" w14:textId="77777777" w:rsidTr="005F5B4C">
        <w:trPr>
          <w:cantSplit/>
          <w:trHeight w:val="23"/>
        </w:trPr>
        <w:tc>
          <w:tcPr>
            <w:tcW w:w="745" w:type="pct"/>
            <w:tcBorders>
              <w:top w:val="nil"/>
              <w:left w:val="single" w:sz="2" w:space="0" w:color="auto"/>
              <w:bottom w:val="nil"/>
              <w:right w:val="single" w:sz="2" w:space="0" w:color="auto"/>
            </w:tcBorders>
          </w:tcPr>
          <w:p w14:paraId="2CFF27C9" w14:textId="633DBBC5"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ACT Disclosure Policy</w:t>
            </w:r>
          </w:p>
        </w:tc>
        <w:tc>
          <w:tcPr>
            <w:tcW w:w="2702" w:type="pct"/>
            <w:tcBorders>
              <w:top w:val="nil"/>
              <w:left w:val="single" w:sz="2" w:space="0" w:color="auto"/>
              <w:bottom w:val="nil"/>
              <w:right w:val="nil"/>
            </w:tcBorders>
          </w:tcPr>
          <w:p w14:paraId="1FDC9957" w14:textId="2D266CBA" w:rsidR="0053546F" w:rsidRPr="008A6781" w:rsidRDefault="0053546F" w:rsidP="0053546F">
            <w:pPr>
              <w:pStyle w:val="TableText"/>
              <w:tabs>
                <w:tab w:val="left" w:pos="3306"/>
              </w:tabs>
              <w:spacing w:before="0"/>
              <w:ind w:left="210" w:hanging="210"/>
              <w:rPr>
                <w:rFonts w:cs="Calibri"/>
              </w:rPr>
            </w:pPr>
            <w:r w:rsidRPr="008A6781">
              <w:rPr>
                <w:rFonts w:cs="Calibri"/>
              </w:rPr>
              <w:t>Current Receivables</w:t>
            </w:r>
            <w:r w:rsidR="00815524" w:rsidRPr="008A6781">
              <w:rPr>
                <w:rFonts w:cs="Calibri"/>
              </w:rPr>
              <w:t xml:space="preserve"> </w:t>
            </w:r>
            <w:r w:rsidR="00815524" w:rsidRPr="008A6781">
              <w:rPr>
                <w:rFonts w:cs="Calibri"/>
                <w:color w:val="FF0000"/>
              </w:rPr>
              <w:t>(without Contract Assets)</w:t>
            </w:r>
          </w:p>
        </w:tc>
        <w:tc>
          <w:tcPr>
            <w:tcW w:w="810" w:type="pct"/>
            <w:gridSpan w:val="2"/>
            <w:tcBorders>
              <w:top w:val="nil"/>
              <w:left w:val="nil"/>
              <w:bottom w:val="nil"/>
              <w:right w:val="nil"/>
            </w:tcBorders>
            <w:vAlign w:val="bottom"/>
          </w:tcPr>
          <w:p w14:paraId="6CF36975"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nil"/>
              <w:right w:val="nil"/>
            </w:tcBorders>
            <w:vAlign w:val="bottom"/>
          </w:tcPr>
          <w:p w14:paraId="53A60A88" w14:textId="42BB208D"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7A3B4976" w14:textId="77777777" w:rsidTr="005F5B4C">
        <w:trPr>
          <w:cantSplit/>
          <w:trHeight w:val="23"/>
        </w:trPr>
        <w:tc>
          <w:tcPr>
            <w:tcW w:w="745" w:type="pct"/>
            <w:tcBorders>
              <w:top w:val="nil"/>
              <w:left w:val="single" w:sz="2" w:space="0" w:color="auto"/>
              <w:bottom w:val="nil"/>
              <w:right w:val="single" w:sz="2" w:space="0" w:color="auto"/>
            </w:tcBorders>
          </w:tcPr>
          <w:p w14:paraId="4E75DEBC" w14:textId="01295728"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ACT Disclosure Policy</w:t>
            </w:r>
          </w:p>
        </w:tc>
        <w:tc>
          <w:tcPr>
            <w:tcW w:w="2702" w:type="pct"/>
            <w:tcBorders>
              <w:top w:val="nil"/>
              <w:left w:val="single" w:sz="2" w:space="0" w:color="auto"/>
              <w:bottom w:val="nil"/>
              <w:right w:val="nil"/>
            </w:tcBorders>
          </w:tcPr>
          <w:p w14:paraId="1AEEC145" w14:textId="66B24C6E" w:rsidR="0053546F" w:rsidRPr="008A6781" w:rsidRDefault="0053546F" w:rsidP="0053546F">
            <w:pPr>
              <w:pStyle w:val="TableText"/>
              <w:tabs>
                <w:tab w:val="left" w:pos="3306"/>
              </w:tabs>
              <w:spacing w:before="0"/>
              <w:ind w:left="210" w:hanging="210"/>
              <w:rPr>
                <w:rFonts w:cs="Calibri"/>
              </w:rPr>
            </w:pPr>
            <w:r w:rsidRPr="008A6781">
              <w:rPr>
                <w:rFonts w:cs="Calibri"/>
              </w:rPr>
              <w:t>Non-Current Receivables</w:t>
            </w:r>
            <w:r w:rsidR="00815524" w:rsidRPr="008A6781">
              <w:rPr>
                <w:rFonts w:cs="Calibri"/>
              </w:rPr>
              <w:t xml:space="preserve"> </w:t>
            </w:r>
            <w:r w:rsidR="00815524" w:rsidRPr="008A6781">
              <w:rPr>
                <w:rFonts w:cs="Calibri"/>
                <w:color w:val="FF0000"/>
              </w:rPr>
              <w:t>(without Contract Assets)</w:t>
            </w:r>
          </w:p>
        </w:tc>
        <w:tc>
          <w:tcPr>
            <w:tcW w:w="810" w:type="pct"/>
            <w:gridSpan w:val="2"/>
            <w:tcBorders>
              <w:top w:val="nil"/>
              <w:left w:val="nil"/>
              <w:bottom w:val="single" w:sz="2" w:space="0" w:color="auto"/>
              <w:right w:val="nil"/>
            </w:tcBorders>
            <w:vAlign w:val="bottom"/>
          </w:tcPr>
          <w:p w14:paraId="547927EA"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single" w:sz="2" w:space="0" w:color="auto"/>
              <w:right w:val="nil"/>
            </w:tcBorders>
            <w:vAlign w:val="bottom"/>
          </w:tcPr>
          <w:p w14:paraId="46FD3085"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63B19E71" w14:textId="77777777" w:rsidTr="005F5B4C">
        <w:trPr>
          <w:cantSplit/>
          <w:trHeight w:val="23"/>
        </w:trPr>
        <w:tc>
          <w:tcPr>
            <w:tcW w:w="745" w:type="pct"/>
            <w:tcBorders>
              <w:top w:val="nil"/>
              <w:left w:val="single" w:sz="2" w:space="0" w:color="auto"/>
              <w:bottom w:val="nil"/>
              <w:right w:val="single" w:sz="2" w:space="0" w:color="auto"/>
            </w:tcBorders>
          </w:tcPr>
          <w:p w14:paraId="2286551A" w14:textId="5F1F30A0"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AASB 7.35K</w:t>
            </w:r>
          </w:p>
        </w:tc>
        <w:tc>
          <w:tcPr>
            <w:tcW w:w="2702" w:type="pct"/>
            <w:tcBorders>
              <w:top w:val="nil"/>
              <w:left w:val="single" w:sz="2" w:space="0" w:color="auto"/>
              <w:bottom w:val="nil"/>
              <w:right w:val="nil"/>
            </w:tcBorders>
          </w:tcPr>
          <w:p w14:paraId="167B804B" w14:textId="2AB6AD5D" w:rsidR="0053546F" w:rsidRPr="008A6781" w:rsidRDefault="0053546F" w:rsidP="0053546F">
            <w:pPr>
              <w:pStyle w:val="TableText"/>
              <w:tabs>
                <w:tab w:val="left" w:pos="3306"/>
              </w:tabs>
              <w:spacing w:before="0"/>
              <w:ind w:left="210" w:hanging="210"/>
              <w:rPr>
                <w:rFonts w:cs="Calibri"/>
              </w:rPr>
            </w:pPr>
            <w:r w:rsidRPr="008A6781">
              <w:rPr>
                <w:rFonts w:cs="Calibri"/>
                <w:b/>
                <w:bCs/>
              </w:rPr>
              <w:t>Total Receivables</w:t>
            </w:r>
            <w:r w:rsidR="00815524" w:rsidRPr="008A6781">
              <w:rPr>
                <w:rFonts w:cs="Calibri"/>
                <w:b/>
                <w:bCs/>
              </w:rPr>
              <w:t xml:space="preserve"> </w:t>
            </w:r>
            <w:r w:rsidR="00815524" w:rsidRPr="008A6781">
              <w:rPr>
                <w:rFonts w:cs="Calibri"/>
                <w:b/>
                <w:bCs/>
                <w:color w:val="FF0000"/>
              </w:rPr>
              <w:t>(without Contract Assets)</w:t>
            </w:r>
          </w:p>
        </w:tc>
        <w:tc>
          <w:tcPr>
            <w:tcW w:w="810" w:type="pct"/>
            <w:gridSpan w:val="2"/>
            <w:tcBorders>
              <w:top w:val="single" w:sz="2" w:space="0" w:color="auto"/>
              <w:left w:val="nil"/>
              <w:bottom w:val="single" w:sz="2" w:space="0" w:color="auto"/>
              <w:right w:val="nil"/>
            </w:tcBorders>
            <w:vAlign w:val="bottom"/>
          </w:tcPr>
          <w:p w14:paraId="1AF5796B"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single" w:sz="2" w:space="0" w:color="auto"/>
              <w:right w:val="nil"/>
            </w:tcBorders>
            <w:vAlign w:val="bottom"/>
          </w:tcPr>
          <w:p w14:paraId="563FABE0"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4A0476F4" w14:textId="77777777" w:rsidTr="005F5B4C">
        <w:trPr>
          <w:cantSplit/>
          <w:trHeight w:val="23"/>
        </w:trPr>
        <w:tc>
          <w:tcPr>
            <w:tcW w:w="745" w:type="pct"/>
            <w:tcBorders>
              <w:top w:val="nil"/>
              <w:left w:val="single" w:sz="2" w:space="0" w:color="auto"/>
              <w:bottom w:val="nil"/>
              <w:right w:val="single" w:sz="2" w:space="0" w:color="auto"/>
            </w:tcBorders>
          </w:tcPr>
          <w:p w14:paraId="24D72DEF" w14:textId="77777777" w:rsidR="0053546F" w:rsidRPr="008A6781" w:rsidRDefault="0053546F" w:rsidP="0053546F">
            <w:pPr>
              <w:pStyle w:val="TableReference"/>
              <w:tabs>
                <w:tab w:val="left" w:pos="3306"/>
              </w:tabs>
              <w:spacing w:before="40"/>
              <w:rPr>
                <w:rFonts w:cs="Calibri"/>
                <w:color w:val="auto"/>
                <w:sz w:val="14"/>
              </w:rPr>
            </w:pPr>
          </w:p>
        </w:tc>
        <w:tc>
          <w:tcPr>
            <w:tcW w:w="2702" w:type="pct"/>
            <w:tcBorders>
              <w:top w:val="nil"/>
              <w:left w:val="single" w:sz="2" w:space="0" w:color="auto"/>
              <w:bottom w:val="nil"/>
              <w:right w:val="nil"/>
            </w:tcBorders>
          </w:tcPr>
          <w:p w14:paraId="6E09E970" w14:textId="77777777" w:rsidR="0053546F" w:rsidRPr="008A6781" w:rsidRDefault="0053546F" w:rsidP="0053546F">
            <w:pPr>
              <w:pStyle w:val="TableText"/>
              <w:tabs>
                <w:tab w:val="left" w:pos="3306"/>
              </w:tabs>
              <w:spacing w:before="0"/>
              <w:ind w:left="210" w:hanging="210"/>
              <w:rPr>
                <w:rFonts w:cs="Calibri"/>
              </w:rPr>
            </w:pPr>
          </w:p>
        </w:tc>
        <w:tc>
          <w:tcPr>
            <w:tcW w:w="810" w:type="pct"/>
            <w:gridSpan w:val="2"/>
            <w:tcBorders>
              <w:top w:val="single" w:sz="2" w:space="0" w:color="auto"/>
              <w:left w:val="nil"/>
              <w:bottom w:val="nil"/>
              <w:right w:val="nil"/>
            </w:tcBorders>
            <w:vAlign w:val="bottom"/>
          </w:tcPr>
          <w:p w14:paraId="0D4D4FB2"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nil"/>
              <w:right w:val="nil"/>
            </w:tcBorders>
            <w:vAlign w:val="bottom"/>
          </w:tcPr>
          <w:p w14:paraId="69F7299E"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14FC4995" w14:textId="77777777" w:rsidTr="005F5B4C">
        <w:trPr>
          <w:cantSplit/>
          <w:trHeight w:val="23"/>
        </w:trPr>
        <w:tc>
          <w:tcPr>
            <w:tcW w:w="745" w:type="pct"/>
            <w:tcBorders>
              <w:top w:val="nil"/>
              <w:left w:val="single" w:sz="2" w:space="0" w:color="auto"/>
              <w:bottom w:val="nil"/>
              <w:right w:val="single" w:sz="2" w:space="0" w:color="auto"/>
            </w:tcBorders>
          </w:tcPr>
          <w:p w14:paraId="6A797F9D" w14:textId="0F52F323"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ACT Disclosure Policy</w:t>
            </w:r>
          </w:p>
        </w:tc>
        <w:tc>
          <w:tcPr>
            <w:tcW w:w="2702" w:type="pct"/>
            <w:tcBorders>
              <w:top w:val="nil"/>
              <w:left w:val="single" w:sz="2" w:space="0" w:color="auto"/>
              <w:bottom w:val="nil"/>
              <w:right w:val="nil"/>
            </w:tcBorders>
          </w:tcPr>
          <w:p w14:paraId="5221AB36" w14:textId="67D079B6" w:rsidR="0053546F" w:rsidRPr="008A6781" w:rsidRDefault="0053546F" w:rsidP="0053546F">
            <w:pPr>
              <w:pStyle w:val="TableText"/>
              <w:tabs>
                <w:tab w:val="left" w:pos="3306"/>
              </w:tabs>
              <w:spacing w:before="0"/>
              <w:ind w:left="210" w:hanging="210"/>
              <w:rPr>
                <w:rFonts w:cs="Calibri"/>
              </w:rPr>
            </w:pPr>
            <w:r w:rsidRPr="008A6781">
              <w:rPr>
                <w:rFonts w:cs="Calibri"/>
              </w:rPr>
              <w:t>Current Contract Assets</w:t>
            </w:r>
          </w:p>
        </w:tc>
        <w:tc>
          <w:tcPr>
            <w:tcW w:w="810" w:type="pct"/>
            <w:gridSpan w:val="2"/>
            <w:tcBorders>
              <w:top w:val="nil"/>
              <w:left w:val="nil"/>
              <w:bottom w:val="nil"/>
              <w:right w:val="nil"/>
            </w:tcBorders>
            <w:vAlign w:val="bottom"/>
          </w:tcPr>
          <w:p w14:paraId="70B21626"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nil"/>
              <w:right w:val="nil"/>
            </w:tcBorders>
            <w:vAlign w:val="bottom"/>
          </w:tcPr>
          <w:p w14:paraId="7B08A058"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0273E703" w14:textId="77777777" w:rsidTr="005F5B4C">
        <w:trPr>
          <w:cantSplit/>
          <w:trHeight w:val="80"/>
        </w:trPr>
        <w:tc>
          <w:tcPr>
            <w:tcW w:w="745" w:type="pct"/>
            <w:tcBorders>
              <w:top w:val="nil"/>
              <w:left w:val="single" w:sz="2" w:space="0" w:color="auto"/>
              <w:bottom w:val="nil"/>
              <w:right w:val="single" w:sz="2" w:space="0" w:color="auto"/>
            </w:tcBorders>
          </w:tcPr>
          <w:p w14:paraId="0D895DF0" w14:textId="2B92DF7B"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ACT Disclosure Policy</w:t>
            </w:r>
          </w:p>
        </w:tc>
        <w:tc>
          <w:tcPr>
            <w:tcW w:w="2702" w:type="pct"/>
            <w:tcBorders>
              <w:top w:val="nil"/>
              <w:left w:val="single" w:sz="2" w:space="0" w:color="auto"/>
              <w:bottom w:val="nil"/>
              <w:right w:val="nil"/>
            </w:tcBorders>
          </w:tcPr>
          <w:p w14:paraId="69E56B32" w14:textId="2550E187" w:rsidR="0053546F" w:rsidRPr="008A6781" w:rsidRDefault="0053546F" w:rsidP="0053546F">
            <w:pPr>
              <w:pStyle w:val="TableText"/>
              <w:tabs>
                <w:tab w:val="left" w:pos="3306"/>
              </w:tabs>
              <w:spacing w:before="0"/>
              <w:ind w:left="210" w:hanging="210"/>
              <w:rPr>
                <w:rFonts w:cs="Calibri"/>
              </w:rPr>
            </w:pPr>
            <w:r w:rsidRPr="008A6781">
              <w:rPr>
                <w:rFonts w:cs="Calibri"/>
              </w:rPr>
              <w:t>Non-Current Contract Assets</w:t>
            </w:r>
          </w:p>
        </w:tc>
        <w:tc>
          <w:tcPr>
            <w:tcW w:w="810" w:type="pct"/>
            <w:gridSpan w:val="2"/>
            <w:tcBorders>
              <w:top w:val="nil"/>
              <w:left w:val="nil"/>
              <w:bottom w:val="single" w:sz="2" w:space="0" w:color="auto"/>
              <w:right w:val="nil"/>
            </w:tcBorders>
            <w:vAlign w:val="bottom"/>
          </w:tcPr>
          <w:p w14:paraId="214E410C"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single" w:sz="2" w:space="0" w:color="auto"/>
              <w:right w:val="nil"/>
            </w:tcBorders>
            <w:vAlign w:val="bottom"/>
          </w:tcPr>
          <w:p w14:paraId="522221B4"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745F00A3" w14:textId="77777777" w:rsidTr="005F5B4C">
        <w:trPr>
          <w:cantSplit/>
          <w:trHeight w:val="23"/>
        </w:trPr>
        <w:tc>
          <w:tcPr>
            <w:tcW w:w="745" w:type="pct"/>
            <w:tcBorders>
              <w:top w:val="nil"/>
              <w:left w:val="single" w:sz="2" w:space="0" w:color="auto"/>
              <w:bottom w:val="nil"/>
              <w:right w:val="single" w:sz="2" w:space="0" w:color="auto"/>
            </w:tcBorders>
          </w:tcPr>
          <w:p w14:paraId="5D06F903" w14:textId="79FB8231" w:rsidR="0053546F" w:rsidRPr="008A6781" w:rsidRDefault="0053546F" w:rsidP="0053546F">
            <w:pPr>
              <w:pStyle w:val="TableReference"/>
              <w:tabs>
                <w:tab w:val="left" w:pos="3306"/>
              </w:tabs>
              <w:spacing w:before="40"/>
              <w:rPr>
                <w:rFonts w:cs="Calibri"/>
                <w:color w:val="auto"/>
                <w:sz w:val="14"/>
              </w:rPr>
            </w:pPr>
            <w:r w:rsidRPr="008A6781">
              <w:rPr>
                <w:rFonts w:cs="Calibri"/>
                <w:color w:val="auto"/>
                <w:sz w:val="14"/>
              </w:rPr>
              <w:t>AASB 7.35K</w:t>
            </w:r>
          </w:p>
        </w:tc>
        <w:tc>
          <w:tcPr>
            <w:tcW w:w="2702" w:type="pct"/>
            <w:tcBorders>
              <w:top w:val="nil"/>
              <w:left w:val="single" w:sz="2" w:space="0" w:color="auto"/>
              <w:bottom w:val="nil"/>
              <w:right w:val="nil"/>
            </w:tcBorders>
            <w:vAlign w:val="bottom"/>
          </w:tcPr>
          <w:p w14:paraId="6F8BD1F6" w14:textId="6BE8A555" w:rsidR="0053546F" w:rsidRPr="008A6781" w:rsidRDefault="0053546F" w:rsidP="0053546F">
            <w:pPr>
              <w:pStyle w:val="TableText"/>
              <w:tabs>
                <w:tab w:val="left" w:pos="3306"/>
              </w:tabs>
              <w:spacing w:before="0"/>
              <w:ind w:left="210" w:hanging="210"/>
              <w:jc w:val="both"/>
              <w:rPr>
                <w:rFonts w:cs="Calibri"/>
              </w:rPr>
            </w:pPr>
            <w:r w:rsidRPr="008A6781">
              <w:rPr>
                <w:rFonts w:cs="Calibri"/>
                <w:b/>
                <w:bCs/>
              </w:rPr>
              <w:t>Total Contract Assets</w:t>
            </w:r>
          </w:p>
        </w:tc>
        <w:tc>
          <w:tcPr>
            <w:tcW w:w="810" w:type="pct"/>
            <w:gridSpan w:val="2"/>
            <w:tcBorders>
              <w:top w:val="single" w:sz="2" w:space="0" w:color="auto"/>
              <w:left w:val="nil"/>
              <w:bottom w:val="single" w:sz="2" w:space="0" w:color="auto"/>
              <w:right w:val="nil"/>
            </w:tcBorders>
            <w:vAlign w:val="bottom"/>
          </w:tcPr>
          <w:p w14:paraId="6202BD75"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single" w:sz="2" w:space="0" w:color="auto"/>
              <w:right w:val="nil"/>
            </w:tcBorders>
            <w:vAlign w:val="bottom"/>
          </w:tcPr>
          <w:p w14:paraId="1E2B0B58"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CF7E1B" w14:paraId="2C5DD5D7" w14:textId="77777777" w:rsidTr="005F5B4C">
        <w:trPr>
          <w:cantSplit/>
          <w:trHeight w:val="23"/>
        </w:trPr>
        <w:tc>
          <w:tcPr>
            <w:tcW w:w="745" w:type="pct"/>
            <w:tcBorders>
              <w:top w:val="nil"/>
              <w:left w:val="single" w:sz="2" w:space="0" w:color="auto"/>
              <w:bottom w:val="nil"/>
              <w:right w:val="single" w:sz="2" w:space="0" w:color="auto"/>
            </w:tcBorders>
          </w:tcPr>
          <w:p w14:paraId="7373A2F1" w14:textId="77777777" w:rsidR="0053546F" w:rsidRPr="008A6781" w:rsidRDefault="0053546F" w:rsidP="0053546F">
            <w:pPr>
              <w:pStyle w:val="TableReference"/>
              <w:tabs>
                <w:tab w:val="left" w:pos="3306"/>
              </w:tabs>
              <w:spacing w:before="40"/>
              <w:rPr>
                <w:rFonts w:cs="Calibri"/>
                <w:color w:val="auto"/>
                <w:sz w:val="14"/>
              </w:rPr>
            </w:pPr>
          </w:p>
        </w:tc>
        <w:tc>
          <w:tcPr>
            <w:tcW w:w="2702" w:type="pct"/>
            <w:tcBorders>
              <w:top w:val="nil"/>
              <w:left w:val="single" w:sz="2" w:space="0" w:color="auto"/>
              <w:bottom w:val="nil"/>
              <w:right w:val="nil"/>
            </w:tcBorders>
            <w:vAlign w:val="bottom"/>
          </w:tcPr>
          <w:p w14:paraId="363EF4AF" w14:textId="10B82351" w:rsidR="0053546F" w:rsidRPr="008A6781" w:rsidRDefault="0053546F" w:rsidP="0053546F">
            <w:pPr>
              <w:pStyle w:val="TableText"/>
              <w:tabs>
                <w:tab w:val="left" w:pos="3306"/>
              </w:tabs>
              <w:spacing w:before="120"/>
              <w:ind w:left="210" w:hanging="210"/>
              <w:rPr>
                <w:rFonts w:cs="Calibri"/>
              </w:rPr>
            </w:pPr>
            <w:r w:rsidRPr="008A6781">
              <w:rPr>
                <w:rFonts w:cs="Calibri"/>
                <w:b/>
                <w:bCs/>
              </w:rPr>
              <w:t xml:space="preserve">Total Receivables </w:t>
            </w:r>
            <w:r w:rsidRPr="008A6781">
              <w:rPr>
                <w:rFonts w:cs="Calibri"/>
                <w:b/>
                <w:bCs/>
                <w:strike/>
                <w:color w:val="FF0000"/>
              </w:rPr>
              <w:t>and Contract Assets</w:t>
            </w:r>
          </w:p>
        </w:tc>
        <w:tc>
          <w:tcPr>
            <w:tcW w:w="810" w:type="pct"/>
            <w:gridSpan w:val="2"/>
            <w:tcBorders>
              <w:top w:val="single" w:sz="2" w:space="0" w:color="auto"/>
              <w:left w:val="nil"/>
              <w:bottom w:val="double" w:sz="4" w:space="0" w:color="auto"/>
              <w:right w:val="nil"/>
            </w:tcBorders>
            <w:vAlign w:val="bottom"/>
          </w:tcPr>
          <w:p w14:paraId="283D9E3D" w14:textId="77777777" w:rsidR="0053546F" w:rsidRPr="00676AA9" w:rsidRDefault="0053546F" w:rsidP="0053546F">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double" w:sz="4" w:space="0" w:color="auto"/>
              <w:right w:val="nil"/>
            </w:tcBorders>
            <w:vAlign w:val="bottom"/>
          </w:tcPr>
          <w:p w14:paraId="5EEC5AA2" w14:textId="77777777" w:rsidR="0053546F" w:rsidRPr="00676AA9" w:rsidRDefault="0053546F" w:rsidP="0053546F">
            <w:pPr>
              <w:pStyle w:val="TableText"/>
              <w:tabs>
                <w:tab w:val="left" w:pos="3306"/>
              </w:tabs>
              <w:spacing w:before="0"/>
              <w:ind w:left="210" w:hanging="210"/>
              <w:jc w:val="both"/>
              <w:rPr>
                <w:rFonts w:cs="Calibri"/>
                <w:strike/>
                <w:color w:val="FF0000"/>
              </w:rPr>
            </w:pPr>
          </w:p>
        </w:tc>
      </w:tr>
      <w:tr w:rsidR="0053546F" w:rsidRPr="006647C2" w14:paraId="333108A8" w14:textId="77777777" w:rsidTr="005F5B4C">
        <w:trPr>
          <w:cantSplit/>
          <w:trHeight w:val="23"/>
        </w:trPr>
        <w:tc>
          <w:tcPr>
            <w:tcW w:w="745" w:type="pct"/>
            <w:tcBorders>
              <w:top w:val="nil"/>
              <w:left w:val="single" w:sz="2" w:space="0" w:color="auto"/>
              <w:bottom w:val="nil"/>
              <w:right w:val="single" w:sz="2" w:space="0" w:color="auto"/>
            </w:tcBorders>
          </w:tcPr>
          <w:p w14:paraId="59CDF090" w14:textId="77777777" w:rsidR="0053546F" w:rsidRPr="003E75E3" w:rsidRDefault="0053546F" w:rsidP="0053546F">
            <w:pPr>
              <w:pStyle w:val="TableReference"/>
              <w:tabs>
                <w:tab w:val="left" w:pos="3306"/>
              </w:tabs>
              <w:rPr>
                <w:rFonts w:cs="Calibri"/>
                <w:color w:val="7030A0"/>
                <w:sz w:val="18"/>
                <w:szCs w:val="18"/>
              </w:rPr>
            </w:pPr>
          </w:p>
        </w:tc>
        <w:tc>
          <w:tcPr>
            <w:tcW w:w="4255" w:type="pct"/>
            <w:gridSpan w:val="5"/>
            <w:tcBorders>
              <w:top w:val="nil"/>
              <w:left w:val="single" w:sz="2" w:space="0" w:color="auto"/>
              <w:bottom w:val="nil"/>
              <w:right w:val="nil"/>
            </w:tcBorders>
            <w:shd w:val="clear" w:color="auto" w:fill="auto"/>
          </w:tcPr>
          <w:p w14:paraId="4C92B4DB" w14:textId="77777777" w:rsidR="0053546F" w:rsidRPr="003E75E3" w:rsidRDefault="0053546F" w:rsidP="0053546F">
            <w:pPr>
              <w:pStyle w:val="CommentaryHeading"/>
              <w:tabs>
                <w:tab w:val="left" w:pos="3306"/>
              </w:tabs>
              <w:spacing w:before="0" w:after="0"/>
              <w:rPr>
                <w:rFonts w:cs="Calibri"/>
                <w:sz w:val="18"/>
              </w:rPr>
            </w:pPr>
          </w:p>
        </w:tc>
      </w:tr>
      <w:tr w:rsidR="0053546F" w:rsidRPr="006647C2" w14:paraId="7A8C0D4E" w14:textId="77777777" w:rsidTr="005F5B4C">
        <w:trPr>
          <w:cantSplit/>
          <w:trHeight w:val="23"/>
        </w:trPr>
        <w:tc>
          <w:tcPr>
            <w:tcW w:w="745" w:type="pct"/>
            <w:tcBorders>
              <w:top w:val="nil"/>
              <w:left w:val="single" w:sz="2" w:space="0" w:color="auto"/>
              <w:bottom w:val="nil"/>
              <w:right w:val="single" w:sz="2" w:space="0" w:color="auto"/>
            </w:tcBorders>
          </w:tcPr>
          <w:p w14:paraId="6F3D4A3B" w14:textId="77777777" w:rsidR="0053546F" w:rsidRPr="003E75E3" w:rsidRDefault="0053546F" w:rsidP="0053546F">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shd w:val="clear" w:color="auto" w:fill="auto"/>
          </w:tcPr>
          <w:p w14:paraId="1D55AAF4" w14:textId="51B189EF" w:rsidR="0053546F" w:rsidRPr="003E75E3" w:rsidRDefault="0053546F" w:rsidP="0053546F">
            <w:pPr>
              <w:pStyle w:val="CommentaryHeading"/>
              <w:tabs>
                <w:tab w:val="left" w:pos="3306"/>
              </w:tabs>
              <w:spacing w:before="60" w:after="0"/>
              <w:rPr>
                <w:rFonts w:cs="Calibri"/>
                <w:sz w:val="18"/>
              </w:rPr>
            </w:pPr>
            <w:r w:rsidRPr="003E75E3">
              <w:rPr>
                <w:rFonts w:cs="Calibri"/>
                <w:sz w:val="18"/>
              </w:rPr>
              <w:t>Reconciliation of Contract Assets</w:t>
            </w:r>
          </w:p>
        </w:tc>
      </w:tr>
      <w:tr w:rsidR="0053546F" w:rsidRPr="006647C2" w14:paraId="4F0E9D64" w14:textId="77777777" w:rsidTr="005F5B4C">
        <w:trPr>
          <w:cantSplit/>
          <w:trHeight w:val="23"/>
        </w:trPr>
        <w:tc>
          <w:tcPr>
            <w:tcW w:w="745" w:type="pct"/>
            <w:tcBorders>
              <w:top w:val="nil"/>
              <w:left w:val="single" w:sz="2" w:space="0" w:color="auto"/>
              <w:bottom w:val="nil"/>
              <w:right w:val="single" w:sz="2" w:space="0" w:color="auto"/>
            </w:tcBorders>
          </w:tcPr>
          <w:p w14:paraId="69E77227" w14:textId="77777777" w:rsidR="0053546F" w:rsidRPr="003E75E3" w:rsidRDefault="0053546F" w:rsidP="0053546F">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gridSpan w:val="5"/>
            <w:tcBorders>
              <w:top w:val="nil"/>
              <w:left w:val="single" w:sz="2" w:space="0" w:color="auto"/>
              <w:bottom w:val="nil"/>
              <w:right w:val="nil"/>
            </w:tcBorders>
            <w:shd w:val="clear" w:color="auto" w:fill="auto"/>
          </w:tcPr>
          <w:p w14:paraId="6F133614" w14:textId="77777777" w:rsidR="0053546F" w:rsidRPr="003E75E3" w:rsidRDefault="0053546F" w:rsidP="0053546F">
            <w:pPr>
              <w:pStyle w:val="CommentaryHeading"/>
              <w:tabs>
                <w:tab w:val="left" w:pos="3306"/>
              </w:tabs>
              <w:spacing w:before="40" w:after="0"/>
              <w:rPr>
                <w:rFonts w:cs="Calibri"/>
                <w:b w:val="0"/>
                <w:bCs w:val="0"/>
                <w:sz w:val="18"/>
              </w:rPr>
            </w:pPr>
            <w:r w:rsidRPr="003E75E3">
              <w:rPr>
                <w:rFonts w:cs="Calibri"/>
                <w:b w:val="0"/>
                <w:bCs w:val="0"/>
                <w:sz w:val="18"/>
              </w:rPr>
              <w:t xml:space="preserve">Opening Balance of Contract Assets </w:t>
            </w:r>
          </w:p>
        </w:tc>
      </w:tr>
      <w:tr w:rsidR="0053546F" w:rsidRPr="006647C2" w14:paraId="0FA492AD" w14:textId="77777777" w:rsidTr="005F5B4C">
        <w:trPr>
          <w:cantSplit/>
          <w:trHeight w:val="23"/>
        </w:trPr>
        <w:tc>
          <w:tcPr>
            <w:tcW w:w="745" w:type="pct"/>
            <w:tcBorders>
              <w:top w:val="nil"/>
              <w:left w:val="single" w:sz="2" w:space="0" w:color="auto"/>
              <w:bottom w:val="nil"/>
              <w:right w:val="single" w:sz="2" w:space="0" w:color="auto"/>
            </w:tcBorders>
          </w:tcPr>
          <w:p w14:paraId="7EB8F68B" w14:textId="77777777" w:rsidR="0053546F" w:rsidRPr="003E75E3" w:rsidRDefault="0053546F" w:rsidP="0053546F">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18D71DF2" w14:textId="7AF1D206" w:rsidR="0053546F" w:rsidRPr="003E75E3" w:rsidRDefault="0053546F" w:rsidP="0053546F">
            <w:pPr>
              <w:pStyle w:val="CommentaryHeading"/>
              <w:tabs>
                <w:tab w:val="left" w:pos="3306"/>
              </w:tabs>
              <w:spacing w:before="40" w:after="0"/>
              <w:jc w:val="both"/>
              <w:rPr>
                <w:rFonts w:cs="Calibri"/>
                <w:b w:val="0"/>
                <w:bCs w:val="0"/>
                <w:sz w:val="18"/>
              </w:rPr>
            </w:pPr>
            <w:r w:rsidRPr="003E75E3">
              <w:rPr>
                <w:rFonts w:cs="Calibri"/>
                <w:b w:val="0"/>
                <w:bCs w:val="0"/>
                <w:sz w:val="18"/>
              </w:rPr>
              <w:t xml:space="preserve">Add: Additional </w:t>
            </w:r>
            <w:r>
              <w:rPr>
                <w:rFonts w:cs="Calibri"/>
                <w:b w:val="0"/>
                <w:bCs w:val="0"/>
                <w:sz w:val="18"/>
              </w:rPr>
              <w:t>C</w:t>
            </w:r>
            <w:r w:rsidRPr="003E75E3">
              <w:rPr>
                <w:rFonts w:cs="Calibri"/>
                <w:b w:val="0"/>
                <w:bCs w:val="0"/>
                <w:sz w:val="18"/>
              </w:rPr>
              <w:t xml:space="preserve">osts to be </w:t>
            </w:r>
            <w:r>
              <w:rPr>
                <w:rFonts w:cs="Calibri"/>
                <w:b w:val="0"/>
                <w:bCs w:val="0"/>
                <w:sz w:val="18"/>
              </w:rPr>
              <w:t>R</w:t>
            </w:r>
            <w:r w:rsidRPr="003E75E3">
              <w:rPr>
                <w:rFonts w:cs="Calibri"/>
                <w:b w:val="0"/>
                <w:bCs w:val="0"/>
                <w:sz w:val="18"/>
              </w:rPr>
              <w:t xml:space="preserve">ecovered from </w:t>
            </w:r>
            <w:r>
              <w:rPr>
                <w:rFonts w:cs="Calibri"/>
                <w:b w:val="0"/>
                <w:bCs w:val="0"/>
                <w:sz w:val="18"/>
              </w:rPr>
              <w:t>C</w:t>
            </w:r>
            <w:r w:rsidRPr="003E75E3">
              <w:rPr>
                <w:rFonts w:cs="Calibri"/>
                <w:b w:val="0"/>
                <w:bCs w:val="0"/>
                <w:sz w:val="18"/>
              </w:rPr>
              <w:t>ustomers</w:t>
            </w:r>
          </w:p>
        </w:tc>
      </w:tr>
      <w:tr w:rsidR="0053546F" w:rsidRPr="006647C2" w14:paraId="4FDA4F07" w14:textId="77777777" w:rsidTr="005F5B4C">
        <w:trPr>
          <w:cantSplit/>
          <w:trHeight w:val="23"/>
        </w:trPr>
        <w:tc>
          <w:tcPr>
            <w:tcW w:w="745" w:type="pct"/>
            <w:tcBorders>
              <w:top w:val="nil"/>
              <w:left w:val="single" w:sz="2" w:space="0" w:color="auto"/>
              <w:bottom w:val="nil"/>
              <w:right w:val="single" w:sz="2" w:space="0" w:color="auto"/>
            </w:tcBorders>
          </w:tcPr>
          <w:p w14:paraId="379BAE72" w14:textId="77777777" w:rsidR="0053546F" w:rsidRPr="003E75E3" w:rsidRDefault="0053546F" w:rsidP="0053546F">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6A801CB6" w14:textId="77777777" w:rsidR="0053546F" w:rsidRPr="003E75E3" w:rsidRDefault="0053546F" w:rsidP="0053546F">
            <w:pPr>
              <w:pStyle w:val="CommentaryHeading"/>
              <w:tabs>
                <w:tab w:val="left" w:pos="3306"/>
              </w:tabs>
              <w:spacing w:before="40" w:after="0"/>
              <w:jc w:val="both"/>
              <w:rPr>
                <w:rFonts w:cs="Calibri"/>
                <w:b w:val="0"/>
                <w:bCs w:val="0"/>
                <w:sz w:val="18"/>
              </w:rPr>
            </w:pPr>
            <w:r w:rsidRPr="003E75E3">
              <w:rPr>
                <w:rFonts w:cs="Calibri"/>
                <w:b w:val="0"/>
                <w:bCs w:val="0"/>
                <w:sz w:val="18"/>
              </w:rPr>
              <w:t>Less: Contract Assets Transferred to Receivables</w:t>
            </w:r>
          </w:p>
        </w:tc>
      </w:tr>
      <w:tr w:rsidR="0053546F" w:rsidRPr="006647C2" w14:paraId="0EEFF7B4" w14:textId="77777777" w:rsidTr="005F5B4C">
        <w:trPr>
          <w:cantSplit/>
          <w:trHeight w:val="23"/>
        </w:trPr>
        <w:tc>
          <w:tcPr>
            <w:tcW w:w="745" w:type="pct"/>
            <w:tcBorders>
              <w:top w:val="nil"/>
              <w:left w:val="single" w:sz="2" w:space="0" w:color="auto"/>
              <w:bottom w:val="nil"/>
              <w:right w:val="single" w:sz="2" w:space="0" w:color="auto"/>
            </w:tcBorders>
          </w:tcPr>
          <w:p w14:paraId="0516A261" w14:textId="77777777" w:rsidR="0053546F" w:rsidRPr="003E75E3" w:rsidRDefault="0053546F" w:rsidP="0053546F">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506006C1" w14:textId="1A5C26D6" w:rsidR="0053546F" w:rsidRPr="003E75E3" w:rsidRDefault="0053546F" w:rsidP="0053546F">
            <w:pPr>
              <w:pStyle w:val="CommentaryHeading"/>
              <w:tabs>
                <w:tab w:val="left" w:pos="3306"/>
              </w:tabs>
              <w:spacing w:before="40" w:after="0"/>
              <w:jc w:val="both"/>
              <w:rPr>
                <w:rFonts w:cs="Calibri"/>
                <w:b w:val="0"/>
                <w:bCs w:val="0"/>
                <w:sz w:val="18"/>
              </w:rPr>
            </w:pPr>
            <w:r w:rsidRPr="003E75E3">
              <w:rPr>
                <w:rFonts w:cs="Calibri"/>
                <w:b w:val="0"/>
                <w:bCs w:val="0"/>
                <w:sz w:val="18"/>
              </w:rPr>
              <w:t xml:space="preserve">Less: Contract Assets Transferred </w:t>
            </w:r>
            <w:r w:rsidR="00E94919" w:rsidRPr="00E94919">
              <w:rPr>
                <w:rFonts w:cs="Calibri"/>
                <w:b w:val="0"/>
                <w:bCs w:val="0"/>
                <w:color w:val="FF0000"/>
                <w:sz w:val="18"/>
              </w:rPr>
              <w:t xml:space="preserve">to </w:t>
            </w:r>
            <w:r w:rsidRPr="00E94919">
              <w:rPr>
                <w:rFonts w:cs="Calibri"/>
                <w:b w:val="0"/>
                <w:bCs w:val="0"/>
                <w:strike/>
                <w:color w:val="FF0000"/>
                <w:sz w:val="18"/>
              </w:rPr>
              <w:t>in</w:t>
            </w:r>
            <w:r w:rsidRPr="00E94919">
              <w:rPr>
                <w:rFonts w:cs="Calibri"/>
                <w:b w:val="0"/>
                <w:bCs w:val="0"/>
                <w:sz w:val="18"/>
              </w:rPr>
              <w:t xml:space="preserve"> </w:t>
            </w:r>
            <w:r w:rsidRPr="003E75E3">
              <w:rPr>
                <w:rFonts w:cs="Calibri"/>
                <w:b w:val="0"/>
                <w:bCs w:val="0"/>
                <w:sz w:val="18"/>
              </w:rPr>
              <w:t>Income</w:t>
            </w:r>
          </w:p>
        </w:tc>
      </w:tr>
      <w:tr w:rsidR="0053546F" w:rsidRPr="006647C2" w14:paraId="3E774981" w14:textId="77777777" w:rsidTr="005F5B4C">
        <w:trPr>
          <w:cantSplit/>
          <w:trHeight w:val="23"/>
        </w:trPr>
        <w:tc>
          <w:tcPr>
            <w:tcW w:w="745" w:type="pct"/>
            <w:tcBorders>
              <w:top w:val="nil"/>
              <w:left w:val="single" w:sz="2" w:space="0" w:color="auto"/>
              <w:bottom w:val="nil"/>
              <w:right w:val="single" w:sz="2" w:space="0" w:color="auto"/>
            </w:tcBorders>
          </w:tcPr>
          <w:p w14:paraId="26FE62D9" w14:textId="77777777" w:rsidR="0053546F" w:rsidRPr="003E75E3" w:rsidRDefault="0053546F" w:rsidP="0053546F">
            <w:pPr>
              <w:pStyle w:val="TableReference"/>
              <w:tabs>
                <w:tab w:val="left" w:pos="3306"/>
              </w:tabs>
              <w:spacing w:before="40"/>
              <w:jc w:val="both"/>
              <w:rPr>
                <w:rFonts w:cs="Calibri"/>
                <w:color w:val="7030A0"/>
                <w:sz w:val="14"/>
              </w:rPr>
            </w:pPr>
            <w:r w:rsidRPr="003E75E3">
              <w:rPr>
                <w:rFonts w:cs="Calibri"/>
                <w:color w:val="7030A0"/>
                <w:sz w:val="14"/>
              </w:rPr>
              <w:t>AASB 15.113(b)</w:t>
            </w:r>
          </w:p>
        </w:tc>
        <w:tc>
          <w:tcPr>
            <w:tcW w:w="4255" w:type="pct"/>
            <w:gridSpan w:val="5"/>
            <w:tcBorders>
              <w:top w:val="nil"/>
              <w:left w:val="single" w:sz="2" w:space="0" w:color="auto"/>
              <w:bottom w:val="nil"/>
              <w:right w:val="nil"/>
            </w:tcBorders>
            <w:shd w:val="clear" w:color="auto" w:fill="auto"/>
          </w:tcPr>
          <w:p w14:paraId="0822E9FD" w14:textId="1E050D13" w:rsidR="0053546F" w:rsidRPr="003E75E3" w:rsidRDefault="0053546F" w:rsidP="0053546F">
            <w:pPr>
              <w:pStyle w:val="CommentaryHeading"/>
              <w:tabs>
                <w:tab w:val="left" w:pos="3306"/>
              </w:tabs>
              <w:spacing w:before="40" w:after="40"/>
              <w:jc w:val="both"/>
              <w:rPr>
                <w:rFonts w:cs="Calibri"/>
                <w:b w:val="0"/>
                <w:bCs w:val="0"/>
                <w:sz w:val="18"/>
              </w:rPr>
            </w:pPr>
            <w:r w:rsidRPr="003E75E3">
              <w:rPr>
                <w:rFonts w:cs="Calibri"/>
                <w:b w:val="0"/>
                <w:bCs w:val="0"/>
                <w:sz w:val="18"/>
              </w:rPr>
              <w:t xml:space="preserve">Less: </w:t>
            </w:r>
            <w:r w:rsidRPr="0068031B">
              <w:rPr>
                <w:rFonts w:cs="Calibri"/>
                <w:b w:val="0"/>
                <w:bCs w:val="0"/>
                <w:color w:val="FF0000"/>
                <w:sz w:val="18"/>
              </w:rPr>
              <w:t xml:space="preserve">Expected Credit Loss </w:t>
            </w:r>
            <w:r w:rsidRPr="0068031B">
              <w:rPr>
                <w:rFonts w:cs="Calibri"/>
                <w:b w:val="0"/>
                <w:bCs w:val="0"/>
                <w:strike/>
                <w:color w:val="FF0000"/>
                <w:sz w:val="18"/>
              </w:rPr>
              <w:t>Impairment</w:t>
            </w:r>
            <w:r w:rsidRPr="003E75E3">
              <w:rPr>
                <w:rFonts w:cs="Calibri"/>
                <w:b w:val="0"/>
                <w:bCs w:val="0"/>
                <w:sz w:val="18"/>
              </w:rPr>
              <w:t xml:space="preserve"> Allowance</w:t>
            </w:r>
          </w:p>
        </w:tc>
      </w:tr>
      <w:tr w:rsidR="0053546F" w:rsidRPr="006647C2" w14:paraId="6879BEFB" w14:textId="77777777" w:rsidTr="005F5B4C">
        <w:trPr>
          <w:cantSplit/>
          <w:trHeight w:val="23"/>
        </w:trPr>
        <w:tc>
          <w:tcPr>
            <w:tcW w:w="745" w:type="pct"/>
            <w:tcBorders>
              <w:top w:val="nil"/>
              <w:left w:val="single" w:sz="2" w:space="0" w:color="auto"/>
              <w:bottom w:val="nil"/>
              <w:right w:val="single" w:sz="2" w:space="0" w:color="auto"/>
            </w:tcBorders>
          </w:tcPr>
          <w:p w14:paraId="014BB55B" w14:textId="77777777" w:rsidR="0053546F" w:rsidRPr="003E75E3" w:rsidRDefault="0053546F" w:rsidP="0053546F">
            <w:pPr>
              <w:pStyle w:val="TableReference"/>
              <w:tabs>
                <w:tab w:val="left" w:pos="3306"/>
              </w:tabs>
              <w:spacing w:before="40"/>
              <w:jc w:val="both"/>
              <w:rPr>
                <w:rFonts w:cs="Calibri"/>
                <w:strike/>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shd w:val="clear" w:color="auto" w:fill="auto"/>
          </w:tcPr>
          <w:p w14:paraId="50790F37" w14:textId="77777777" w:rsidR="0053546F" w:rsidRPr="003E75E3" w:rsidRDefault="0053546F" w:rsidP="0053546F">
            <w:pPr>
              <w:pStyle w:val="CommentaryHeading"/>
              <w:tabs>
                <w:tab w:val="left" w:pos="3306"/>
              </w:tabs>
              <w:spacing w:before="0"/>
              <w:jc w:val="both"/>
              <w:rPr>
                <w:rFonts w:cs="Calibri"/>
                <w:sz w:val="18"/>
              </w:rPr>
            </w:pPr>
            <w:r w:rsidRPr="003E75E3">
              <w:rPr>
                <w:rFonts w:cs="Calibri"/>
                <w:sz w:val="18"/>
              </w:rPr>
              <w:t>Closing Balance of Contract Assets</w:t>
            </w:r>
          </w:p>
        </w:tc>
        <w:tc>
          <w:tcPr>
            <w:tcW w:w="817" w:type="pct"/>
            <w:gridSpan w:val="3"/>
            <w:tcBorders>
              <w:top w:val="single" w:sz="2" w:space="0" w:color="auto"/>
              <w:left w:val="nil"/>
              <w:bottom w:val="double" w:sz="4" w:space="0" w:color="auto"/>
              <w:right w:val="nil"/>
            </w:tcBorders>
            <w:shd w:val="clear" w:color="auto" w:fill="auto"/>
          </w:tcPr>
          <w:p w14:paraId="4F49A2CC" w14:textId="77777777" w:rsidR="0053546F" w:rsidRPr="003E75E3" w:rsidRDefault="0053546F" w:rsidP="0053546F">
            <w:pPr>
              <w:pStyle w:val="CommentaryHeading"/>
              <w:tabs>
                <w:tab w:val="left" w:pos="3306"/>
              </w:tabs>
              <w:spacing w:before="0"/>
              <w:jc w:val="both"/>
              <w:rPr>
                <w:rFonts w:cs="Calibri"/>
                <w:sz w:val="18"/>
              </w:rPr>
            </w:pPr>
          </w:p>
        </w:tc>
        <w:tc>
          <w:tcPr>
            <w:tcW w:w="736" w:type="pct"/>
            <w:tcBorders>
              <w:top w:val="single" w:sz="2" w:space="0" w:color="auto"/>
              <w:left w:val="nil"/>
              <w:bottom w:val="double" w:sz="4" w:space="0" w:color="auto"/>
              <w:right w:val="nil"/>
            </w:tcBorders>
            <w:shd w:val="clear" w:color="auto" w:fill="auto"/>
          </w:tcPr>
          <w:p w14:paraId="56F74E0A" w14:textId="77777777" w:rsidR="0053546F" w:rsidRPr="003E75E3" w:rsidRDefault="0053546F" w:rsidP="0053546F">
            <w:pPr>
              <w:pStyle w:val="CommentaryHeading"/>
              <w:tabs>
                <w:tab w:val="left" w:pos="3306"/>
              </w:tabs>
              <w:spacing w:before="0"/>
              <w:jc w:val="both"/>
              <w:rPr>
                <w:rFonts w:cs="Calibri"/>
                <w:sz w:val="18"/>
              </w:rPr>
            </w:pPr>
          </w:p>
        </w:tc>
      </w:tr>
    </w:tbl>
    <w:p w14:paraId="0E345215" w14:textId="4399899E" w:rsidR="00101A49" w:rsidRDefault="00101A49"/>
    <w:p w14:paraId="7441408C" w14:textId="06562603" w:rsidR="00101A49" w:rsidRDefault="00101A49"/>
    <w:p w14:paraId="31FCEAFA" w14:textId="4ECF40E7" w:rsidR="00101A49" w:rsidRDefault="00101A49"/>
    <w:p w14:paraId="7FF9ADB7" w14:textId="288A307B" w:rsidR="00101A49" w:rsidRDefault="00101A49"/>
    <w:p w14:paraId="5872A0D8" w14:textId="40916738" w:rsidR="00101A49" w:rsidRDefault="00101A49"/>
    <w:p w14:paraId="2531A6A3" w14:textId="7CD28624" w:rsidR="00101A49" w:rsidRDefault="00101A49"/>
    <w:p w14:paraId="08C59B68" w14:textId="77777777" w:rsidR="00101A49" w:rsidRDefault="00101A49">
      <w:pPr>
        <w:sectPr w:rsidR="00101A49" w:rsidSect="00310663">
          <w:headerReference w:type="default" r:id="rId39"/>
          <w:footnotePr>
            <w:numRestart w:val="eachPage"/>
          </w:footnotePr>
          <w:pgSz w:w="11907" w:h="16840" w:code="9"/>
          <w:pgMar w:top="1134" w:right="992" w:bottom="567" w:left="680" w:header="425" w:footer="720" w:gutter="0"/>
          <w:cols w:space="720"/>
        </w:sectPr>
      </w:pPr>
    </w:p>
    <w:tbl>
      <w:tblPr>
        <w:tblW w:w="5012"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5"/>
        <w:gridCol w:w="2176"/>
        <w:gridCol w:w="1699"/>
        <w:gridCol w:w="1135"/>
        <w:gridCol w:w="992"/>
        <w:gridCol w:w="1696"/>
        <w:gridCol w:w="1135"/>
        <w:gridCol w:w="998"/>
        <w:gridCol w:w="1699"/>
        <w:gridCol w:w="1132"/>
        <w:gridCol w:w="977"/>
        <w:gridCol w:w="18"/>
      </w:tblGrid>
      <w:tr w:rsidR="003678AB" w:rsidRPr="00CF7E1B" w14:paraId="2B3C0D4E" w14:textId="77777777" w:rsidTr="005F5B4C">
        <w:trPr>
          <w:cantSplit/>
          <w:trHeight w:val="88"/>
        </w:trPr>
        <w:tc>
          <w:tcPr>
            <w:tcW w:w="499" w:type="pct"/>
            <w:tcBorders>
              <w:top w:val="nil"/>
              <w:left w:val="single" w:sz="2" w:space="0" w:color="auto"/>
              <w:bottom w:val="nil"/>
              <w:right w:val="single" w:sz="2" w:space="0" w:color="auto"/>
            </w:tcBorders>
          </w:tcPr>
          <w:p w14:paraId="3BDC1361" w14:textId="0EBEC8D3" w:rsidR="003678AB" w:rsidRPr="003E75E3" w:rsidRDefault="003678AB" w:rsidP="003678AB">
            <w:pPr>
              <w:pStyle w:val="TableReference"/>
              <w:tabs>
                <w:tab w:val="left" w:pos="3306"/>
              </w:tabs>
              <w:spacing w:before="240" w:after="240"/>
              <w:rPr>
                <w:rFonts w:cs="Calibri"/>
                <w:color w:val="7030A0"/>
                <w:sz w:val="14"/>
              </w:rPr>
            </w:pPr>
            <w:r w:rsidRPr="003E75E3">
              <w:rPr>
                <w:rFonts w:cs="Calibri"/>
                <w:b/>
                <w:color w:val="7030A0"/>
                <w:sz w:val="22"/>
                <w:szCs w:val="22"/>
              </w:rPr>
              <w:t>Reference</w:t>
            </w:r>
          </w:p>
        </w:tc>
        <w:tc>
          <w:tcPr>
            <w:tcW w:w="4501" w:type="pct"/>
            <w:gridSpan w:val="11"/>
            <w:tcBorders>
              <w:top w:val="nil"/>
              <w:left w:val="single" w:sz="2" w:space="0" w:color="auto"/>
              <w:bottom w:val="nil"/>
              <w:right w:val="nil"/>
            </w:tcBorders>
          </w:tcPr>
          <w:p w14:paraId="04E04823" w14:textId="065C9AA2" w:rsidR="003678AB" w:rsidRPr="003E75E3" w:rsidRDefault="003678AB" w:rsidP="003678AB">
            <w:pPr>
              <w:pStyle w:val="Heading1"/>
              <w:numPr>
                <w:ilvl w:val="0"/>
                <w:numId w:val="0"/>
              </w:numPr>
              <w:ind w:left="1134" w:hanging="1134"/>
              <w:rPr>
                <w:rFonts w:cs="Calibri"/>
              </w:rPr>
            </w:pPr>
            <w:bookmarkStart w:id="581" w:name="_Toc98763112"/>
            <w:bookmarkStart w:id="582" w:name="_Toc127733850"/>
            <w:bookmarkStart w:id="583" w:name="_Toc131164502"/>
            <w:bookmarkStart w:id="584" w:name="_Toc131591767"/>
            <w:bookmarkStart w:id="585" w:name="_Toc132743802"/>
            <w:r w:rsidRPr="003E75E3">
              <w:t>Note 16.</w:t>
            </w:r>
            <w:r w:rsidR="00FA7C77">
              <w:t xml:space="preserve"> </w:t>
            </w:r>
            <w:r w:rsidRPr="003E75E3">
              <w:t xml:space="preserve"> Receivables </w:t>
            </w:r>
            <w:r w:rsidRPr="005559F1">
              <w:rPr>
                <w:smallCaps/>
                <w:strike/>
                <w:color w:val="FF0000"/>
              </w:rPr>
              <w:t>and Contract Assets</w:t>
            </w:r>
            <w:r w:rsidRPr="005559F1">
              <w:rPr>
                <w:smallCaps/>
                <w:color w:val="FF0000"/>
              </w:rPr>
              <w:t xml:space="preserve"> </w:t>
            </w:r>
            <w:r w:rsidR="001F4216">
              <w:t>–</w:t>
            </w:r>
            <w:r w:rsidRPr="003E75E3">
              <w:t xml:space="preserve"> Continue</w:t>
            </w:r>
            <w:r w:rsidR="007B5795" w:rsidRPr="003E75E3">
              <w:t>D</w:t>
            </w:r>
            <w:bookmarkEnd w:id="581"/>
            <w:bookmarkEnd w:id="582"/>
            <w:bookmarkEnd w:id="583"/>
            <w:bookmarkEnd w:id="584"/>
            <w:bookmarkEnd w:id="585"/>
            <w:r w:rsidR="001F4216">
              <w:t xml:space="preserve"> </w:t>
            </w:r>
          </w:p>
        </w:tc>
      </w:tr>
      <w:tr w:rsidR="003E75E3" w:rsidRPr="003E75E3" w14:paraId="70A1BF1B" w14:textId="77777777" w:rsidTr="005F5B4C">
        <w:trPr>
          <w:gridAfter w:val="7"/>
          <w:wAfter w:w="2523" w:type="pct"/>
          <w:cantSplit/>
          <w:trHeight w:val="23"/>
        </w:trPr>
        <w:tc>
          <w:tcPr>
            <w:tcW w:w="499" w:type="pct"/>
            <w:tcBorders>
              <w:top w:val="nil"/>
              <w:left w:val="single" w:sz="2" w:space="0" w:color="auto"/>
              <w:bottom w:val="nil"/>
              <w:right w:val="single" w:sz="2" w:space="0" w:color="auto"/>
            </w:tcBorders>
          </w:tcPr>
          <w:p w14:paraId="07C76514" w14:textId="77777777" w:rsidR="003678AB" w:rsidRPr="003E75E3" w:rsidRDefault="003678AB" w:rsidP="003678AB">
            <w:pPr>
              <w:pStyle w:val="TableReference"/>
              <w:tabs>
                <w:tab w:val="left" w:pos="3306"/>
              </w:tabs>
              <w:spacing w:before="40"/>
              <w:rPr>
                <w:rFonts w:cs="Calibri"/>
                <w:color w:val="7030A0"/>
                <w:sz w:val="14"/>
              </w:rPr>
            </w:pPr>
          </w:p>
        </w:tc>
        <w:tc>
          <w:tcPr>
            <w:tcW w:w="1978" w:type="pct"/>
            <w:gridSpan w:val="4"/>
            <w:tcBorders>
              <w:top w:val="nil"/>
              <w:left w:val="single" w:sz="2" w:space="0" w:color="auto"/>
              <w:bottom w:val="nil"/>
              <w:right w:val="nil"/>
            </w:tcBorders>
            <w:vAlign w:val="bottom"/>
          </w:tcPr>
          <w:p w14:paraId="077D653E" w14:textId="77777777" w:rsidR="003678AB" w:rsidRPr="008A6781" w:rsidRDefault="003678AB" w:rsidP="003678AB">
            <w:pPr>
              <w:pStyle w:val="TableText"/>
              <w:tabs>
                <w:tab w:val="left" w:pos="3306"/>
              </w:tabs>
              <w:spacing w:before="0"/>
              <w:ind w:left="210" w:hanging="210"/>
              <w:jc w:val="both"/>
              <w:rPr>
                <w:rFonts w:cs="Calibri"/>
                <w:b/>
                <w:bCs/>
              </w:rPr>
            </w:pPr>
            <w:r w:rsidRPr="008A6781">
              <w:rPr>
                <w:rFonts w:cs="Calibri"/>
                <w:b/>
                <w:bCs/>
              </w:rPr>
              <w:t xml:space="preserve">Expected Credit Loss Allowance </w:t>
            </w:r>
            <w:r w:rsidRPr="008A6781">
              <w:rPr>
                <w:rFonts w:cs="Calibri"/>
                <w:b/>
                <w:bCs/>
                <w:strike/>
                <w:color w:val="FF0000"/>
              </w:rPr>
              <w:t>Provision Matrix</w:t>
            </w:r>
          </w:p>
        </w:tc>
      </w:tr>
      <w:tr w:rsidR="003E75E3" w:rsidRPr="003E75E3" w14:paraId="5322F105" w14:textId="77777777" w:rsidTr="005F5B4C">
        <w:trPr>
          <w:gridAfter w:val="7"/>
          <w:wAfter w:w="2523" w:type="pct"/>
          <w:cantSplit/>
          <w:trHeight w:val="219"/>
        </w:trPr>
        <w:tc>
          <w:tcPr>
            <w:tcW w:w="499" w:type="pct"/>
            <w:tcBorders>
              <w:top w:val="nil"/>
              <w:left w:val="single" w:sz="2" w:space="0" w:color="auto"/>
              <w:bottom w:val="nil"/>
              <w:right w:val="single" w:sz="2" w:space="0" w:color="auto"/>
            </w:tcBorders>
          </w:tcPr>
          <w:p w14:paraId="2215A230" w14:textId="77777777" w:rsidR="003678AB" w:rsidRPr="003E75E3" w:rsidRDefault="003678AB" w:rsidP="003678AB">
            <w:pPr>
              <w:pStyle w:val="TableReference"/>
              <w:tabs>
                <w:tab w:val="left" w:pos="3306"/>
              </w:tabs>
              <w:rPr>
                <w:rFonts w:cs="Calibri"/>
                <w:color w:val="7030A0"/>
                <w:sz w:val="14"/>
              </w:rPr>
            </w:pPr>
            <w:r w:rsidRPr="003E75E3">
              <w:rPr>
                <w:rFonts w:cs="Calibri"/>
                <w:color w:val="7030A0"/>
                <w:sz w:val="14"/>
              </w:rPr>
              <w:t>AASB7.35M-N,</w:t>
            </w:r>
          </w:p>
          <w:p w14:paraId="7D9421AD" w14:textId="32FBC61C" w:rsidR="003678AB" w:rsidRPr="003E75E3" w:rsidRDefault="003678AB" w:rsidP="003678AB">
            <w:pPr>
              <w:pStyle w:val="TableReference"/>
              <w:tabs>
                <w:tab w:val="left" w:pos="3306"/>
              </w:tabs>
              <w:spacing w:before="40"/>
              <w:rPr>
                <w:rFonts w:cs="Calibri"/>
                <w:color w:val="7030A0"/>
                <w:sz w:val="14"/>
              </w:rPr>
            </w:pPr>
            <w:r w:rsidRPr="003E75E3">
              <w:rPr>
                <w:rFonts w:cs="Calibri"/>
                <w:color w:val="7030A0"/>
                <w:sz w:val="14"/>
              </w:rPr>
              <w:t>B8H-J</w:t>
            </w:r>
          </w:p>
        </w:tc>
        <w:tc>
          <w:tcPr>
            <w:tcW w:w="1978" w:type="pct"/>
            <w:gridSpan w:val="4"/>
            <w:tcBorders>
              <w:top w:val="nil"/>
              <w:left w:val="single" w:sz="2" w:space="0" w:color="auto"/>
              <w:bottom w:val="nil"/>
              <w:right w:val="nil"/>
            </w:tcBorders>
            <w:vAlign w:val="center"/>
          </w:tcPr>
          <w:p w14:paraId="36DCE3FB" w14:textId="2B2B3732" w:rsidR="003678AB" w:rsidRPr="003E75E3" w:rsidRDefault="003678AB" w:rsidP="003678AB">
            <w:pPr>
              <w:pStyle w:val="TableText"/>
              <w:tabs>
                <w:tab w:val="left" w:pos="3306"/>
              </w:tabs>
              <w:spacing w:before="0"/>
              <w:rPr>
                <w:rFonts w:cs="Calibri"/>
                <w:b/>
                <w:bCs/>
              </w:rPr>
            </w:pPr>
            <w:r w:rsidRPr="003E75E3">
              <w:rPr>
                <w:rFonts w:cs="Calibri"/>
                <w:b/>
              </w:rPr>
              <w:t>Ageing of Receivables and Contract Assets</w:t>
            </w:r>
          </w:p>
        </w:tc>
      </w:tr>
      <w:tr w:rsidR="003678AB" w:rsidRPr="00CF7E1B" w14:paraId="5E6F695A" w14:textId="77777777" w:rsidTr="005F5B4C">
        <w:trPr>
          <w:cantSplit/>
          <w:trHeight w:val="219"/>
        </w:trPr>
        <w:tc>
          <w:tcPr>
            <w:tcW w:w="499" w:type="pct"/>
            <w:tcBorders>
              <w:top w:val="nil"/>
              <w:left w:val="single" w:sz="2" w:space="0" w:color="auto"/>
              <w:bottom w:val="nil"/>
              <w:right w:val="single" w:sz="2" w:space="0" w:color="auto"/>
            </w:tcBorders>
          </w:tcPr>
          <w:p w14:paraId="1BF2C73E" w14:textId="77777777" w:rsidR="003678AB" w:rsidRPr="003E75E3" w:rsidRDefault="003678AB" w:rsidP="003678AB">
            <w:pPr>
              <w:pStyle w:val="TableReference"/>
              <w:tabs>
                <w:tab w:val="left" w:pos="3306"/>
              </w:tabs>
              <w:rPr>
                <w:rFonts w:cs="Calibri"/>
                <w:color w:val="7030A0"/>
                <w:sz w:val="14"/>
              </w:rPr>
            </w:pPr>
          </w:p>
        </w:tc>
        <w:tc>
          <w:tcPr>
            <w:tcW w:w="4501" w:type="pct"/>
            <w:gridSpan w:val="11"/>
            <w:tcBorders>
              <w:top w:val="nil"/>
              <w:left w:val="single" w:sz="2" w:space="0" w:color="auto"/>
              <w:bottom w:val="nil"/>
              <w:right w:val="nil"/>
            </w:tcBorders>
            <w:vAlign w:val="center"/>
          </w:tcPr>
          <w:p w14:paraId="4BD250B7" w14:textId="77777777" w:rsidR="003678AB" w:rsidRPr="003E75E3" w:rsidRDefault="003678AB" w:rsidP="003678AB">
            <w:pPr>
              <w:pStyle w:val="TableText"/>
              <w:tabs>
                <w:tab w:val="left" w:pos="3306"/>
              </w:tabs>
              <w:spacing w:before="0"/>
              <w:rPr>
                <w:rFonts w:cs="Calibri"/>
                <w:b/>
              </w:rPr>
            </w:pPr>
          </w:p>
        </w:tc>
      </w:tr>
      <w:tr w:rsidR="00526331" w:rsidRPr="00CF7E1B" w14:paraId="131C3CB3" w14:textId="77777777" w:rsidTr="005F5B4C">
        <w:trPr>
          <w:cantSplit/>
          <w:trHeight w:val="219"/>
        </w:trPr>
        <w:tc>
          <w:tcPr>
            <w:tcW w:w="499" w:type="pct"/>
            <w:tcBorders>
              <w:top w:val="nil"/>
              <w:left w:val="single" w:sz="2" w:space="0" w:color="auto"/>
              <w:bottom w:val="nil"/>
              <w:right w:val="single" w:sz="2" w:space="0" w:color="auto"/>
            </w:tcBorders>
          </w:tcPr>
          <w:p w14:paraId="00CC0B39" w14:textId="77777777" w:rsidR="00526331" w:rsidRPr="003E75E3" w:rsidRDefault="00526331" w:rsidP="003678AB">
            <w:pPr>
              <w:pStyle w:val="TableReference"/>
              <w:tabs>
                <w:tab w:val="left" w:pos="3306"/>
              </w:tabs>
              <w:rPr>
                <w:rFonts w:cs="Calibri"/>
                <w:color w:val="7030A0"/>
                <w:sz w:val="14"/>
              </w:rPr>
            </w:pPr>
          </w:p>
        </w:tc>
        <w:tc>
          <w:tcPr>
            <w:tcW w:w="717" w:type="pct"/>
            <w:tcBorders>
              <w:top w:val="nil"/>
              <w:left w:val="single" w:sz="2" w:space="0" w:color="auto"/>
              <w:bottom w:val="nil"/>
              <w:right w:val="nil"/>
            </w:tcBorders>
            <w:vAlign w:val="center"/>
          </w:tcPr>
          <w:p w14:paraId="6A019E60" w14:textId="77777777" w:rsidR="00526331" w:rsidRPr="003E75E3" w:rsidRDefault="00526331" w:rsidP="003678AB">
            <w:pPr>
              <w:pStyle w:val="TableText"/>
              <w:tabs>
                <w:tab w:val="left" w:pos="3306"/>
              </w:tabs>
              <w:spacing w:before="0"/>
              <w:rPr>
                <w:rFonts w:cs="Calibri"/>
                <w:b/>
              </w:rPr>
            </w:pPr>
          </w:p>
        </w:tc>
        <w:tc>
          <w:tcPr>
            <w:tcW w:w="1261" w:type="pct"/>
            <w:gridSpan w:val="3"/>
            <w:tcBorders>
              <w:top w:val="nil"/>
              <w:left w:val="nil"/>
              <w:bottom w:val="nil"/>
              <w:right w:val="nil"/>
            </w:tcBorders>
            <w:vAlign w:val="center"/>
          </w:tcPr>
          <w:p w14:paraId="5B25AABB" w14:textId="49671387" w:rsidR="00526331" w:rsidRPr="003E75E3" w:rsidRDefault="00526331" w:rsidP="003678AB">
            <w:pPr>
              <w:pStyle w:val="TableText"/>
              <w:tabs>
                <w:tab w:val="left" w:pos="3306"/>
              </w:tabs>
              <w:spacing w:before="0"/>
              <w:jc w:val="center"/>
              <w:rPr>
                <w:rFonts w:cs="Calibri"/>
                <w:b/>
              </w:rPr>
            </w:pPr>
            <w:r w:rsidRPr="003E75E3">
              <w:rPr>
                <w:rFonts w:cs="Calibri"/>
                <w:b/>
              </w:rPr>
              <w:t>Accounts Receivable</w:t>
            </w:r>
          </w:p>
        </w:tc>
        <w:tc>
          <w:tcPr>
            <w:tcW w:w="1262" w:type="pct"/>
            <w:gridSpan w:val="3"/>
            <w:tcBorders>
              <w:top w:val="nil"/>
              <w:left w:val="nil"/>
              <w:bottom w:val="nil"/>
              <w:right w:val="nil"/>
            </w:tcBorders>
            <w:vAlign w:val="center"/>
          </w:tcPr>
          <w:p w14:paraId="4F13AA50" w14:textId="0C6F1E94" w:rsidR="00526331" w:rsidRPr="003E75E3" w:rsidRDefault="00526331" w:rsidP="003678AB">
            <w:pPr>
              <w:pStyle w:val="TableText"/>
              <w:tabs>
                <w:tab w:val="left" w:pos="3306"/>
              </w:tabs>
              <w:spacing w:before="0"/>
              <w:jc w:val="center"/>
              <w:rPr>
                <w:rFonts w:cs="Calibri"/>
                <w:b/>
              </w:rPr>
            </w:pPr>
            <w:r w:rsidRPr="003E75E3">
              <w:rPr>
                <w:rFonts w:cs="Calibri"/>
                <w:b/>
              </w:rPr>
              <w:t>Loans Receivable</w:t>
            </w:r>
          </w:p>
        </w:tc>
        <w:tc>
          <w:tcPr>
            <w:tcW w:w="1261" w:type="pct"/>
            <w:gridSpan w:val="4"/>
            <w:tcBorders>
              <w:top w:val="nil"/>
              <w:left w:val="nil"/>
              <w:bottom w:val="nil"/>
              <w:right w:val="nil"/>
            </w:tcBorders>
            <w:vAlign w:val="center"/>
          </w:tcPr>
          <w:p w14:paraId="2ED7426E" w14:textId="4684069B" w:rsidR="00526331" w:rsidRPr="003E75E3" w:rsidRDefault="00526331" w:rsidP="003678AB">
            <w:pPr>
              <w:pStyle w:val="TableText"/>
              <w:tabs>
                <w:tab w:val="left" w:pos="3306"/>
              </w:tabs>
              <w:spacing w:before="0"/>
              <w:jc w:val="center"/>
              <w:rPr>
                <w:rFonts w:cs="Calibri"/>
                <w:b/>
              </w:rPr>
            </w:pPr>
            <w:r w:rsidRPr="003E75E3">
              <w:rPr>
                <w:rFonts w:cs="Calibri"/>
                <w:b/>
              </w:rPr>
              <w:t>Contract Assets</w:t>
            </w:r>
          </w:p>
        </w:tc>
      </w:tr>
      <w:tr w:rsidR="009407C1" w:rsidRPr="00CF7E1B" w14:paraId="626C5DA3" w14:textId="77777777" w:rsidTr="005F5B4C">
        <w:trPr>
          <w:gridAfter w:val="1"/>
          <w:wAfter w:w="6" w:type="pct"/>
          <w:cantSplit/>
          <w:trHeight w:val="806"/>
        </w:trPr>
        <w:tc>
          <w:tcPr>
            <w:tcW w:w="499" w:type="pct"/>
            <w:tcBorders>
              <w:top w:val="nil"/>
              <w:left w:val="single" w:sz="2" w:space="0" w:color="auto"/>
              <w:bottom w:val="nil"/>
              <w:right w:val="single" w:sz="2" w:space="0" w:color="auto"/>
            </w:tcBorders>
            <w:vAlign w:val="bottom"/>
          </w:tcPr>
          <w:p w14:paraId="3CB8141B" w14:textId="77777777" w:rsidR="003678AB" w:rsidRPr="003E75E3" w:rsidRDefault="003678AB" w:rsidP="003678AB">
            <w:pPr>
              <w:pStyle w:val="TableReference"/>
              <w:tabs>
                <w:tab w:val="left" w:pos="3306"/>
              </w:tabs>
              <w:spacing w:before="40"/>
              <w:jc w:val="right"/>
              <w:rPr>
                <w:rFonts w:cs="Calibri"/>
                <w:color w:val="7030A0"/>
                <w:sz w:val="14"/>
              </w:rPr>
            </w:pPr>
          </w:p>
        </w:tc>
        <w:tc>
          <w:tcPr>
            <w:tcW w:w="717" w:type="pct"/>
            <w:tcBorders>
              <w:top w:val="nil"/>
              <w:left w:val="single" w:sz="2" w:space="0" w:color="auto"/>
              <w:bottom w:val="nil"/>
              <w:right w:val="nil"/>
            </w:tcBorders>
            <w:vAlign w:val="bottom"/>
          </w:tcPr>
          <w:p w14:paraId="7CE83662" w14:textId="77777777" w:rsidR="003678AB" w:rsidRPr="003E75E3" w:rsidRDefault="003678AB" w:rsidP="003678AB">
            <w:pPr>
              <w:pStyle w:val="TableText"/>
              <w:tabs>
                <w:tab w:val="left" w:pos="3306"/>
              </w:tabs>
              <w:spacing w:before="0"/>
              <w:ind w:left="210" w:hanging="210"/>
              <w:jc w:val="right"/>
              <w:rPr>
                <w:rFonts w:cs="Calibri"/>
                <w:b/>
                <w:bCs/>
              </w:rPr>
            </w:pPr>
          </w:p>
        </w:tc>
        <w:tc>
          <w:tcPr>
            <w:tcW w:w="560" w:type="pct"/>
            <w:tcBorders>
              <w:top w:val="nil"/>
              <w:left w:val="nil"/>
              <w:bottom w:val="nil"/>
              <w:right w:val="nil"/>
            </w:tcBorders>
            <w:vAlign w:val="bottom"/>
          </w:tcPr>
          <w:p w14:paraId="737B40FD" w14:textId="0A0A5819"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7274926A"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5A791F9F" w14:textId="7D21F39A"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7" w:type="pct"/>
            <w:tcBorders>
              <w:top w:val="nil"/>
              <w:left w:val="nil"/>
              <w:bottom w:val="nil"/>
              <w:right w:val="nil"/>
            </w:tcBorders>
            <w:vAlign w:val="bottom"/>
          </w:tcPr>
          <w:p w14:paraId="6CB15141" w14:textId="49E27CEA"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59" w:type="pct"/>
            <w:tcBorders>
              <w:top w:val="nil"/>
              <w:left w:val="nil"/>
              <w:bottom w:val="nil"/>
              <w:right w:val="nil"/>
            </w:tcBorders>
            <w:vAlign w:val="bottom"/>
          </w:tcPr>
          <w:p w14:paraId="2B0353E4" w14:textId="2AEA1A65"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341CD081"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22128345" w14:textId="5077A560"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9" w:type="pct"/>
            <w:tcBorders>
              <w:top w:val="nil"/>
              <w:left w:val="nil"/>
              <w:bottom w:val="nil"/>
              <w:right w:val="nil"/>
            </w:tcBorders>
            <w:vAlign w:val="bottom"/>
          </w:tcPr>
          <w:p w14:paraId="1ACA4265" w14:textId="720359F6"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60" w:type="pct"/>
            <w:tcBorders>
              <w:top w:val="nil"/>
              <w:left w:val="nil"/>
              <w:bottom w:val="nil"/>
              <w:right w:val="nil"/>
            </w:tcBorders>
            <w:vAlign w:val="bottom"/>
          </w:tcPr>
          <w:p w14:paraId="4D4CEFA4" w14:textId="47185DDB"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3" w:type="pct"/>
            <w:tcBorders>
              <w:top w:val="nil"/>
              <w:left w:val="nil"/>
              <w:bottom w:val="nil"/>
              <w:right w:val="nil"/>
            </w:tcBorders>
            <w:vAlign w:val="bottom"/>
          </w:tcPr>
          <w:p w14:paraId="05BEB019"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0C41C77A" w14:textId="5292BD29" w:rsidR="003678AB" w:rsidRPr="003E75E3" w:rsidRDefault="009407C1" w:rsidP="009407C1">
            <w:pPr>
              <w:pStyle w:val="TableText"/>
              <w:tabs>
                <w:tab w:val="left" w:pos="3306"/>
              </w:tabs>
              <w:spacing w:before="0"/>
              <w:jc w:val="center"/>
              <w:rPr>
                <w:rFonts w:cs="Calibri"/>
                <w:b/>
                <w:bCs/>
              </w:rPr>
            </w:pPr>
            <w:r w:rsidRPr="003E75E3">
              <w:rPr>
                <w:rFonts w:cs="Calibri"/>
                <w:b/>
                <w:bCs/>
              </w:rPr>
              <w:t xml:space="preserve">Allowance </w:t>
            </w:r>
          </w:p>
        </w:tc>
        <w:tc>
          <w:tcPr>
            <w:tcW w:w="322" w:type="pct"/>
            <w:tcBorders>
              <w:top w:val="nil"/>
              <w:left w:val="nil"/>
              <w:bottom w:val="nil"/>
              <w:right w:val="nil"/>
            </w:tcBorders>
            <w:vAlign w:val="bottom"/>
          </w:tcPr>
          <w:p w14:paraId="73BEFE62" w14:textId="626FA5A2"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r>
      <w:tr w:rsidR="009407C1" w:rsidRPr="00CF7E1B" w14:paraId="57F7A7D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52849FB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F00D37" w14:textId="77777777" w:rsidR="003678AB" w:rsidRPr="003E75E3" w:rsidRDefault="003678AB" w:rsidP="003678AB">
            <w:pPr>
              <w:pStyle w:val="TableText"/>
              <w:tabs>
                <w:tab w:val="left" w:pos="3306"/>
              </w:tabs>
              <w:spacing w:before="0"/>
              <w:ind w:left="210" w:hanging="210"/>
              <w:jc w:val="both"/>
              <w:rPr>
                <w:rFonts w:cs="Calibri"/>
                <w:b/>
                <w:bCs/>
              </w:rPr>
            </w:pPr>
          </w:p>
        </w:tc>
        <w:tc>
          <w:tcPr>
            <w:tcW w:w="560" w:type="pct"/>
            <w:tcBorders>
              <w:top w:val="nil"/>
              <w:left w:val="nil"/>
              <w:bottom w:val="nil"/>
              <w:right w:val="nil"/>
            </w:tcBorders>
            <w:vAlign w:val="bottom"/>
          </w:tcPr>
          <w:p w14:paraId="4837D9BC" w14:textId="2D89C50B"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21A8EA93" w14:textId="7C8DD83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7" w:type="pct"/>
            <w:tcBorders>
              <w:top w:val="nil"/>
              <w:left w:val="nil"/>
              <w:bottom w:val="nil"/>
              <w:right w:val="nil"/>
            </w:tcBorders>
            <w:vAlign w:val="bottom"/>
          </w:tcPr>
          <w:p w14:paraId="0120AA13" w14:textId="19590FD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59" w:type="pct"/>
            <w:tcBorders>
              <w:top w:val="nil"/>
              <w:left w:val="nil"/>
              <w:bottom w:val="nil"/>
              <w:right w:val="nil"/>
            </w:tcBorders>
            <w:vAlign w:val="bottom"/>
          </w:tcPr>
          <w:p w14:paraId="19211A0D" w14:textId="0341A03A"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07EE2FA5" w14:textId="3E0025EB"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9" w:type="pct"/>
            <w:tcBorders>
              <w:top w:val="nil"/>
              <w:left w:val="nil"/>
              <w:bottom w:val="nil"/>
              <w:right w:val="nil"/>
            </w:tcBorders>
            <w:vAlign w:val="bottom"/>
          </w:tcPr>
          <w:p w14:paraId="2E9B9D62" w14:textId="07AC781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60" w:type="pct"/>
            <w:tcBorders>
              <w:top w:val="nil"/>
              <w:left w:val="nil"/>
              <w:bottom w:val="nil"/>
              <w:right w:val="nil"/>
            </w:tcBorders>
            <w:vAlign w:val="bottom"/>
          </w:tcPr>
          <w:p w14:paraId="56A3E4B0" w14:textId="088EBEF2"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3" w:type="pct"/>
            <w:tcBorders>
              <w:top w:val="nil"/>
              <w:left w:val="nil"/>
              <w:bottom w:val="nil"/>
              <w:right w:val="nil"/>
            </w:tcBorders>
            <w:vAlign w:val="bottom"/>
          </w:tcPr>
          <w:p w14:paraId="35CC0277" w14:textId="762C051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2" w:type="pct"/>
            <w:tcBorders>
              <w:top w:val="nil"/>
              <w:left w:val="nil"/>
              <w:bottom w:val="nil"/>
              <w:right w:val="nil"/>
            </w:tcBorders>
            <w:vAlign w:val="bottom"/>
          </w:tcPr>
          <w:p w14:paraId="683BC4BE" w14:textId="1AAA0BA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r>
      <w:tr w:rsidR="009407C1" w:rsidRPr="00CF7E1B" w14:paraId="35505A5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102412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E8A5827" w14:textId="330F1595" w:rsidR="003678AB" w:rsidRPr="003E75E3" w:rsidRDefault="003678AB" w:rsidP="003678AB">
            <w:pPr>
              <w:pStyle w:val="TableText"/>
              <w:tabs>
                <w:tab w:val="left" w:pos="3306"/>
              </w:tabs>
              <w:spacing w:before="0"/>
              <w:ind w:left="210" w:hanging="210"/>
              <w:jc w:val="both"/>
              <w:rPr>
                <w:rFonts w:cs="Calibri"/>
                <w:b/>
                <w:bCs/>
              </w:rPr>
            </w:pPr>
            <w:r w:rsidRPr="003E75E3">
              <w:rPr>
                <w:rFonts w:cs="Calibri"/>
                <w:b/>
              </w:rPr>
              <w:t>30 June 2022</w:t>
            </w:r>
          </w:p>
        </w:tc>
        <w:tc>
          <w:tcPr>
            <w:tcW w:w="560" w:type="pct"/>
            <w:tcBorders>
              <w:top w:val="nil"/>
              <w:left w:val="nil"/>
              <w:bottom w:val="nil"/>
              <w:right w:val="nil"/>
            </w:tcBorders>
            <w:vAlign w:val="bottom"/>
          </w:tcPr>
          <w:p w14:paraId="6C64819E" w14:textId="77777777"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vAlign w:val="bottom"/>
          </w:tcPr>
          <w:p w14:paraId="66CD861A" w14:textId="77777777" w:rsidR="003678AB" w:rsidRPr="003E75E3" w:rsidRDefault="003678AB" w:rsidP="003678AB">
            <w:pPr>
              <w:pStyle w:val="TableText"/>
              <w:tabs>
                <w:tab w:val="left" w:pos="3306"/>
              </w:tabs>
              <w:spacing w:before="0"/>
              <w:ind w:left="210" w:hanging="210"/>
              <w:jc w:val="center"/>
              <w:rPr>
                <w:rFonts w:cs="Calibri"/>
              </w:rPr>
            </w:pPr>
          </w:p>
        </w:tc>
        <w:tc>
          <w:tcPr>
            <w:tcW w:w="327" w:type="pct"/>
            <w:tcBorders>
              <w:top w:val="nil"/>
              <w:left w:val="nil"/>
              <w:bottom w:val="nil"/>
              <w:right w:val="nil"/>
            </w:tcBorders>
          </w:tcPr>
          <w:p w14:paraId="13AB1CAF" w14:textId="77777777" w:rsidR="003678AB" w:rsidRPr="003E75E3" w:rsidRDefault="003678AB" w:rsidP="003678AB">
            <w:pPr>
              <w:pStyle w:val="TableText"/>
              <w:tabs>
                <w:tab w:val="left" w:pos="3306"/>
              </w:tabs>
              <w:spacing w:before="0"/>
              <w:ind w:left="210" w:hanging="210"/>
              <w:jc w:val="center"/>
              <w:rPr>
                <w:rFonts w:cs="Calibri"/>
              </w:rPr>
            </w:pPr>
          </w:p>
        </w:tc>
        <w:tc>
          <w:tcPr>
            <w:tcW w:w="559" w:type="pct"/>
            <w:tcBorders>
              <w:top w:val="nil"/>
              <w:left w:val="nil"/>
              <w:bottom w:val="nil"/>
              <w:right w:val="nil"/>
            </w:tcBorders>
          </w:tcPr>
          <w:p w14:paraId="2EB2BD42" w14:textId="5D29478F"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tcPr>
          <w:p w14:paraId="284349EF" w14:textId="25F12204" w:rsidR="003678AB" w:rsidRPr="003E75E3" w:rsidRDefault="003678AB" w:rsidP="003678AB">
            <w:pPr>
              <w:pStyle w:val="TableText"/>
              <w:tabs>
                <w:tab w:val="left" w:pos="3306"/>
              </w:tabs>
              <w:spacing w:before="0"/>
              <w:ind w:left="210" w:hanging="210"/>
              <w:jc w:val="center"/>
              <w:rPr>
                <w:rFonts w:cs="Calibri"/>
              </w:rPr>
            </w:pPr>
          </w:p>
        </w:tc>
        <w:tc>
          <w:tcPr>
            <w:tcW w:w="329" w:type="pct"/>
            <w:tcBorders>
              <w:top w:val="nil"/>
              <w:left w:val="nil"/>
              <w:bottom w:val="nil"/>
              <w:right w:val="nil"/>
            </w:tcBorders>
          </w:tcPr>
          <w:p w14:paraId="24E874A0" w14:textId="57A67780" w:rsidR="003678AB" w:rsidRPr="003E75E3" w:rsidRDefault="003678AB" w:rsidP="003678AB">
            <w:pPr>
              <w:pStyle w:val="TableText"/>
              <w:tabs>
                <w:tab w:val="left" w:pos="3306"/>
              </w:tabs>
              <w:spacing w:before="0"/>
              <w:ind w:left="210" w:hanging="210"/>
              <w:jc w:val="center"/>
              <w:rPr>
                <w:rFonts w:cs="Calibri"/>
              </w:rPr>
            </w:pPr>
          </w:p>
        </w:tc>
        <w:tc>
          <w:tcPr>
            <w:tcW w:w="560" w:type="pct"/>
            <w:tcBorders>
              <w:top w:val="nil"/>
              <w:left w:val="nil"/>
              <w:bottom w:val="nil"/>
              <w:right w:val="nil"/>
            </w:tcBorders>
          </w:tcPr>
          <w:p w14:paraId="6BEE07F5" w14:textId="22F17A2A" w:rsidR="003678AB" w:rsidRPr="003E75E3" w:rsidRDefault="003678AB" w:rsidP="003678AB">
            <w:pPr>
              <w:pStyle w:val="TableText"/>
              <w:tabs>
                <w:tab w:val="left" w:pos="3306"/>
              </w:tabs>
              <w:spacing w:before="0"/>
              <w:ind w:left="210" w:hanging="210"/>
              <w:jc w:val="center"/>
              <w:rPr>
                <w:rFonts w:cs="Calibri"/>
              </w:rPr>
            </w:pPr>
          </w:p>
        </w:tc>
        <w:tc>
          <w:tcPr>
            <w:tcW w:w="373" w:type="pct"/>
            <w:tcBorders>
              <w:top w:val="nil"/>
              <w:left w:val="nil"/>
              <w:bottom w:val="nil"/>
              <w:right w:val="nil"/>
            </w:tcBorders>
          </w:tcPr>
          <w:p w14:paraId="5AF3936D" w14:textId="68890768" w:rsidR="003678AB" w:rsidRPr="003E75E3" w:rsidRDefault="003678AB" w:rsidP="003678AB">
            <w:pPr>
              <w:pStyle w:val="TableText"/>
              <w:tabs>
                <w:tab w:val="left" w:pos="3306"/>
              </w:tabs>
              <w:spacing w:before="0"/>
              <w:ind w:left="210" w:hanging="210"/>
              <w:jc w:val="center"/>
              <w:rPr>
                <w:rFonts w:cs="Calibri"/>
              </w:rPr>
            </w:pPr>
          </w:p>
        </w:tc>
        <w:tc>
          <w:tcPr>
            <w:tcW w:w="322" w:type="pct"/>
            <w:tcBorders>
              <w:top w:val="nil"/>
              <w:left w:val="nil"/>
              <w:bottom w:val="nil"/>
              <w:right w:val="nil"/>
            </w:tcBorders>
            <w:vAlign w:val="bottom"/>
          </w:tcPr>
          <w:p w14:paraId="759E8F73" w14:textId="6E876326" w:rsidR="003678AB" w:rsidRPr="003E75E3" w:rsidRDefault="003678AB" w:rsidP="003678AB">
            <w:pPr>
              <w:pStyle w:val="TableText"/>
              <w:tabs>
                <w:tab w:val="left" w:pos="3306"/>
              </w:tabs>
              <w:spacing w:before="0"/>
              <w:ind w:left="210" w:hanging="210"/>
              <w:jc w:val="center"/>
              <w:rPr>
                <w:rFonts w:cs="Calibri"/>
              </w:rPr>
            </w:pPr>
          </w:p>
        </w:tc>
      </w:tr>
      <w:tr w:rsidR="00E7206A" w:rsidRPr="00CF7E1B" w14:paraId="1AC866C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6CBF653"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9B5A5AC" w14:textId="695B302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Not Overdue</w:t>
            </w:r>
          </w:p>
        </w:tc>
        <w:tc>
          <w:tcPr>
            <w:tcW w:w="560" w:type="pct"/>
            <w:tcBorders>
              <w:top w:val="nil"/>
              <w:left w:val="nil"/>
              <w:bottom w:val="nil"/>
              <w:right w:val="nil"/>
            </w:tcBorders>
            <w:vAlign w:val="bottom"/>
          </w:tcPr>
          <w:p w14:paraId="68A170F4" w14:textId="5F134C73"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147726B2"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68C1D541" w14:textId="4471AC78"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4E09728" w14:textId="26781B7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74790D8F" w14:textId="1A13639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1DADE1D" w14:textId="387826E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A4C5741" w14:textId="04CEF00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63478CE" w14:textId="25B4206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3A143D47" w14:textId="4D6BA8B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6B9750A"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000C1ED"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81C970A" w14:textId="000B00E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1-30 Days Past Due</w:t>
            </w:r>
          </w:p>
        </w:tc>
        <w:tc>
          <w:tcPr>
            <w:tcW w:w="560" w:type="pct"/>
            <w:tcBorders>
              <w:top w:val="nil"/>
              <w:left w:val="nil"/>
              <w:bottom w:val="nil"/>
              <w:right w:val="nil"/>
            </w:tcBorders>
            <w:vAlign w:val="bottom"/>
          </w:tcPr>
          <w:p w14:paraId="1BDB0A5D" w14:textId="0268CD45"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3D29604F"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1558E758" w14:textId="57F248AA"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D530D1C" w14:textId="6F1F0D94"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5005233" w14:textId="6713CAA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ECD5EF" w14:textId="630A16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4A9A331" w14:textId="1487C066"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9DB1D43" w14:textId="2DBC1CC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77609E52" w14:textId="160B482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9CB916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79FC679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320147A" w14:textId="2970F344"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31-60 Days Past Due</w:t>
            </w:r>
          </w:p>
        </w:tc>
        <w:tc>
          <w:tcPr>
            <w:tcW w:w="560" w:type="pct"/>
            <w:tcBorders>
              <w:top w:val="nil"/>
              <w:left w:val="nil"/>
              <w:bottom w:val="nil"/>
              <w:right w:val="nil"/>
            </w:tcBorders>
            <w:vAlign w:val="bottom"/>
          </w:tcPr>
          <w:p w14:paraId="60BE84BA" w14:textId="09977C5A"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7F6CFCE"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D8F0F0D" w14:textId="04DA9022"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7413772" w14:textId="0EAFE91F"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0705955" w14:textId="762AE933"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59B3498" w14:textId="485E3050"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EBA4D45" w14:textId="36D7F33D"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E083FDD" w14:textId="1AE6438E"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28ECB75" w14:textId="75FE762B"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1D2A886"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8265B5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28A0AC4" w14:textId="17209E09"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61-90 Days Past Due</w:t>
            </w:r>
          </w:p>
        </w:tc>
        <w:tc>
          <w:tcPr>
            <w:tcW w:w="560" w:type="pct"/>
            <w:tcBorders>
              <w:top w:val="nil"/>
              <w:left w:val="nil"/>
              <w:bottom w:val="nil"/>
              <w:right w:val="nil"/>
            </w:tcBorders>
            <w:vAlign w:val="bottom"/>
          </w:tcPr>
          <w:p w14:paraId="64CBE0F6" w14:textId="138A4997"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7C821C73"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EFADC04" w14:textId="4FD80AD1"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9F17240" w14:textId="44410F7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53578459" w14:textId="4BF8FC3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37223D2" w14:textId="511FFDC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D0A526E" w14:textId="7E3D5EF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A26A593" w14:textId="1C3309C4"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68A54E0" w14:textId="5D86DF05"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9FFCDCE"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677C39A"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B97A6A9" w14:textId="0F19D273"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&gt;91 Days Past Due</w:t>
            </w:r>
          </w:p>
        </w:tc>
        <w:tc>
          <w:tcPr>
            <w:tcW w:w="560" w:type="pct"/>
            <w:tcBorders>
              <w:top w:val="nil"/>
              <w:left w:val="nil"/>
              <w:bottom w:val="single" w:sz="4" w:space="0" w:color="auto"/>
              <w:right w:val="nil"/>
            </w:tcBorders>
            <w:vAlign w:val="bottom"/>
          </w:tcPr>
          <w:p w14:paraId="63E198AE" w14:textId="3B35D580"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60AB2BA4"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036AD73E" w14:textId="2E23E30C"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002AC78A" w14:textId="48D73721"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5F74170F" w14:textId="2EB8BCAB"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314825A1" w14:textId="5F7D27F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3F3FE625" w14:textId="1CD4F85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4BE0CDC5" w14:textId="400948F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21B62A04" w14:textId="57AABB50"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DE5F30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3FC96E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C370F8F" w14:textId="55DE142B"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175CDEC2"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0DA6B0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vAlign w:val="bottom"/>
          </w:tcPr>
          <w:p w14:paraId="2BDDC362"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17E148BB" w14:textId="34D0085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0594ACE" w14:textId="04359D5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04E503D4" w14:textId="03A587D9"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1BD201ED" w14:textId="37D86D4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40A5E8C4" w14:textId="116CF3C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3649C2DE" w14:textId="0A42D304"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754A9518"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13007E0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4EEB08D" w14:textId="77777777" w:rsidR="00E7206A" w:rsidRPr="003E75E3" w:rsidRDefault="00E7206A" w:rsidP="00E7206A">
            <w:pPr>
              <w:pStyle w:val="TableText"/>
              <w:tabs>
                <w:tab w:val="left" w:pos="3306"/>
              </w:tabs>
              <w:spacing w:before="0"/>
              <w:ind w:left="210" w:hanging="210"/>
              <w:jc w:val="both"/>
              <w:rPr>
                <w:rFonts w:cs="Calibri"/>
                <w:b/>
                <w:bCs/>
              </w:rPr>
            </w:pPr>
          </w:p>
        </w:tc>
        <w:tc>
          <w:tcPr>
            <w:tcW w:w="560" w:type="pct"/>
            <w:tcBorders>
              <w:top w:val="double" w:sz="4" w:space="0" w:color="auto"/>
              <w:left w:val="nil"/>
              <w:bottom w:val="nil"/>
              <w:right w:val="nil"/>
            </w:tcBorders>
            <w:vAlign w:val="bottom"/>
          </w:tcPr>
          <w:p w14:paraId="23F7CFF1"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vAlign w:val="bottom"/>
          </w:tcPr>
          <w:p w14:paraId="74F1054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double" w:sz="4" w:space="0" w:color="auto"/>
              <w:left w:val="nil"/>
              <w:bottom w:val="nil"/>
              <w:right w:val="nil"/>
            </w:tcBorders>
            <w:vAlign w:val="bottom"/>
          </w:tcPr>
          <w:p w14:paraId="30982B96"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double" w:sz="4" w:space="0" w:color="auto"/>
              <w:left w:val="nil"/>
              <w:bottom w:val="nil"/>
              <w:right w:val="nil"/>
            </w:tcBorders>
          </w:tcPr>
          <w:p w14:paraId="4FFEEE79" w14:textId="759D5A2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tcPr>
          <w:p w14:paraId="590E15F8" w14:textId="38AFEC0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double" w:sz="4" w:space="0" w:color="auto"/>
              <w:left w:val="nil"/>
              <w:bottom w:val="nil"/>
              <w:right w:val="nil"/>
            </w:tcBorders>
          </w:tcPr>
          <w:p w14:paraId="3D3D1983" w14:textId="7C97726F"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double" w:sz="4" w:space="0" w:color="auto"/>
              <w:left w:val="nil"/>
              <w:bottom w:val="nil"/>
              <w:right w:val="nil"/>
            </w:tcBorders>
          </w:tcPr>
          <w:p w14:paraId="46CC6D6D" w14:textId="60D096FC"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double" w:sz="4" w:space="0" w:color="auto"/>
              <w:left w:val="nil"/>
              <w:bottom w:val="nil"/>
              <w:right w:val="nil"/>
            </w:tcBorders>
          </w:tcPr>
          <w:p w14:paraId="12CE2709" w14:textId="62A09DA3"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double" w:sz="4" w:space="0" w:color="auto"/>
              <w:left w:val="nil"/>
              <w:bottom w:val="nil"/>
              <w:right w:val="nil"/>
            </w:tcBorders>
            <w:vAlign w:val="bottom"/>
          </w:tcPr>
          <w:p w14:paraId="5D653004" w14:textId="37DF7667"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4755229D"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899E574"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3046F28" w14:textId="6084099D" w:rsidR="00E7206A" w:rsidRPr="003E75E3" w:rsidRDefault="00E7206A" w:rsidP="00E7206A">
            <w:pPr>
              <w:pStyle w:val="TableText"/>
              <w:tabs>
                <w:tab w:val="left" w:pos="3306"/>
              </w:tabs>
              <w:spacing w:before="0"/>
              <w:ind w:left="210" w:hanging="210"/>
              <w:jc w:val="both"/>
              <w:rPr>
                <w:rFonts w:cs="Calibri"/>
                <w:b/>
                <w:bCs/>
              </w:rPr>
            </w:pPr>
            <w:r w:rsidRPr="003E75E3">
              <w:rPr>
                <w:rFonts w:cs="Calibri"/>
                <w:b/>
              </w:rPr>
              <w:t>30 June 2021</w:t>
            </w:r>
          </w:p>
        </w:tc>
        <w:tc>
          <w:tcPr>
            <w:tcW w:w="560" w:type="pct"/>
            <w:tcBorders>
              <w:top w:val="nil"/>
              <w:left w:val="nil"/>
              <w:bottom w:val="nil"/>
              <w:right w:val="nil"/>
            </w:tcBorders>
            <w:vAlign w:val="bottom"/>
          </w:tcPr>
          <w:p w14:paraId="5C29071B"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vAlign w:val="bottom"/>
          </w:tcPr>
          <w:p w14:paraId="2D026BC8"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49B6D484"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414E1BA" w14:textId="58CCF3E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5A7F322" w14:textId="020F67F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2103CD57" w14:textId="0C6DA6E2"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1F9DE302" w14:textId="6C0899D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617DC06" w14:textId="2B8EC81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0EDA163" w14:textId="09BC410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7906AF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C4E9C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149A892" w14:textId="3115EE01"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Not Overdue</w:t>
            </w:r>
          </w:p>
        </w:tc>
        <w:tc>
          <w:tcPr>
            <w:tcW w:w="560" w:type="pct"/>
            <w:tcBorders>
              <w:top w:val="nil"/>
              <w:left w:val="nil"/>
              <w:bottom w:val="nil"/>
              <w:right w:val="nil"/>
            </w:tcBorders>
            <w:vAlign w:val="bottom"/>
          </w:tcPr>
          <w:p w14:paraId="31D4E01A" w14:textId="1B4C6E2D"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4EA6110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5B9E5E2" w14:textId="31CA0526"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1C78E107" w14:textId="0603AAB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37E9518A" w14:textId="5024525F"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7567774B" w14:textId="772740A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06114C7" w14:textId="29E9477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1CB637A" w14:textId="071A8B5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3E8DDC3" w14:textId="2C609F4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1BD173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B4ECD7B"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92DB0E3" w14:textId="4C934724"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1-30 Days Past Due</w:t>
            </w:r>
          </w:p>
        </w:tc>
        <w:tc>
          <w:tcPr>
            <w:tcW w:w="560" w:type="pct"/>
            <w:tcBorders>
              <w:top w:val="nil"/>
              <w:left w:val="nil"/>
              <w:bottom w:val="nil"/>
              <w:right w:val="nil"/>
            </w:tcBorders>
            <w:vAlign w:val="bottom"/>
          </w:tcPr>
          <w:p w14:paraId="48E7E010" w14:textId="5E2B67E6"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028B995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1C3BDF2" w14:textId="2E3448B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3FEDE8D" w14:textId="57B4E50B"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7D7B594" w14:textId="645D8D3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66736120" w14:textId="0CE9FE9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4DDE7629" w14:textId="1D587B00"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E63D3B" w14:textId="4766CD4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40872634" w14:textId="42B3FC6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774649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A7913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B79EB3B" w14:textId="2A9030FE"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31-60 Days Past Due</w:t>
            </w:r>
          </w:p>
        </w:tc>
        <w:tc>
          <w:tcPr>
            <w:tcW w:w="560" w:type="pct"/>
            <w:tcBorders>
              <w:top w:val="nil"/>
              <w:left w:val="nil"/>
              <w:bottom w:val="nil"/>
              <w:right w:val="nil"/>
            </w:tcBorders>
            <w:vAlign w:val="bottom"/>
          </w:tcPr>
          <w:p w14:paraId="5F41F586" w14:textId="423DBB32"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074ED46"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1D4C5C4" w14:textId="26D65A04"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52F4091" w14:textId="5D5ADCC8"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984A66C" w14:textId="13ACBF30"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0337EA2" w14:textId="795DAB6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D32CDFB" w14:textId="7361F651"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AC738B" w14:textId="6A67DA69"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0BF56DF" w14:textId="54C7BD0D"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03DB6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B0BC30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D45F114" w14:textId="78B45B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61-90 Days Past Due</w:t>
            </w:r>
          </w:p>
        </w:tc>
        <w:tc>
          <w:tcPr>
            <w:tcW w:w="560" w:type="pct"/>
            <w:tcBorders>
              <w:top w:val="nil"/>
              <w:left w:val="nil"/>
              <w:bottom w:val="nil"/>
              <w:right w:val="nil"/>
            </w:tcBorders>
            <w:vAlign w:val="bottom"/>
          </w:tcPr>
          <w:p w14:paraId="7F3E9109" w14:textId="5543426E"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1E4F0161"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3AF100FC" w14:textId="0848148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32AD3C51" w14:textId="5AB3B34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F3A0F8D" w14:textId="60CCFA5A"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1A8587" w14:textId="10F12C38"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75DB4FC" w14:textId="228DD46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A0AFFE3" w14:textId="1114D5E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7F4AA7F" w14:textId="2BD94A7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8184850"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0A52CCD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258A23DC" w14:textId="58003BB5"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&gt;91 Days Past Due</w:t>
            </w:r>
          </w:p>
        </w:tc>
        <w:tc>
          <w:tcPr>
            <w:tcW w:w="560" w:type="pct"/>
            <w:tcBorders>
              <w:top w:val="nil"/>
              <w:left w:val="nil"/>
              <w:bottom w:val="single" w:sz="4" w:space="0" w:color="auto"/>
              <w:right w:val="nil"/>
            </w:tcBorders>
            <w:vAlign w:val="bottom"/>
          </w:tcPr>
          <w:p w14:paraId="3F8E8624" w14:textId="10586AED"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59BCD709"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356D0079" w14:textId="50479CE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1A8AB894" w14:textId="4ABFA6C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011092FE" w14:textId="3AEFBF4D"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2A539395" w14:textId="41735855"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250344F4" w14:textId="32816D8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7476824B" w14:textId="10F513B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3C926ACE" w14:textId="230791F1"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1CF943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A7F6515"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55AE25" w14:textId="2C19FC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2606A147"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765E07B"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tcPr>
          <w:p w14:paraId="77BCCFE0"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2E7F9EF6" w14:textId="31B7EAF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628071E" w14:textId="56D7C3CE"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4BFABDB2" w14:textId="73E3D3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04AD5C37" w14:textId="6351962A"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79CF3F36" w14:textId="097911D2"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4A61B7A8" w14:textId="01717CD9" w:rsidR="00E7206A" w:rsidRPr="003E75E3" w:rsidRDefault="00E7206A" w:rsidP="00E7206A">
            <w:pPr>
              <w:pStyle w:val="TableText"/>
              <w:tabs>
                <w:tab w:val="left" w:pos="3306"/>
              </w:tabs>
              <w:spacing w:before="0"/>
              <w:ind w:left="210" w:hanging="210"/>
              <w:jc w:val="center"/>
              <w:rPr>
                <w:rFonts w:cs="Calibri"/>
                <w:b/>
              </w:rPr>
            </w:pPr>
          </w:p>
        </w:tc>
      </w:tr>
    </w:tbl>
    <w:p w14:paraId="1F7159AE" w14:textId="5A8A3084" w:rsidR="00101A49" w:rsidRDefault="00101A49"/>
    <w:p w14:paraId="02741CA9" w14:textId="3B7C37AB" w:rsidR="00101A49" w:rsidRDefault="00101A49"/>
    <w:p w14:paraId="27705E69" w14:textId="1CE2B0F9" w:rsidR="00101A49" w:rsidRDefault="00101A49"/>
    <w:p w14:paraId="4BE0A20E" w14:textId="77777777" w:rsidR="00101A49" w:rsidRDefault="00101A49">
      <w:pPr>
        <w:sectPr w:rsidR="00101A49" w:rsidSect="00101A49">
          <w:footnotePr>
            <w:numRestart w:val="eachPage"/>
          </w:footnotePr>
          <w:pgSz w:w="16840" w:h="11907" w:orient="landscape" w:code="9"/>
          <w:pgMar w:top="680" w:right="1134" w:bottom="992" w:left="567" w:header="425" w:footer="720" w:gutter="0"/>
          <w:cols w:space="720"/>
          <w:docGrid w:linePitch="299"/>
        </w:sectPr>
      </w:pPr>
    </w:p>
    <w:tbl>
      <w:tblPr>
        <w:tblW w:w="518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265"/>
        <w:gridCol w:w="1132"/>
        <w:gridCol w:w="1533"/>
        <w:gridCol w:w="125"/>
      </w:tblGrid>
      <w:tr w:rsidR="003E75E3" w:rsidRPr="003E75E3" w14:paraId="4B362702" w14:textId="77777777" w:rsidTr="005F5B4C">
        <w:trPr>
          <w:gridAfter w:val="1"/>
          <w:wAfter w:w="59" w:type="pct"/>
          <w:cantSplit/>
          <w:trHeight w:val="187"/>
        </w:trPr>
        <w:tc>
          <w:tcPr>
            <w:tcW w:w="736" w:type="pct"/>
            <w:tcBorders>
              <w:top w:val="nil"/>
              <w:left w:val="single" w:sz="2" w:space="0" w:color="auto"/>
              <w:bottom w:val="nil"/>
              <w:right w:val="single" w:sz="2" w:space="0" w:color="auto"/>
            </w:tcBorders>
          </w:tcPr>
          <w:p w14:paraId="50F3190C" w14:textId="491B4C51" w:rsidR="005C2C7A" w:rsidRPr="003E75E3" w:rsidRDefault="005C2C7A" w:rsidP="005C2C7A">
            <w:pPr>
              <w:pStyle w:val="TableReference"/>
              <w:tabs>
                <w:tab w:val="left" w:pos="3306"/>
              </w:tabs>
              <w:spacing w:before="240" w:after="240"/>
              <w:rPr>
                <w:rFonts w:cs="Calibri"/>
                <w:b/>
                <w:color w:val="7030A0"/>
                <w:sz w:val="22"/>
                <w:szCs w:val="22"/>
              </w:rPr>
            </w:pPr>
            <w:r w:rsidRPr="003E75E3">
              <w:rPr>
                <w:color w:val="7030A0"/>
              </w:rPr>
              <w:br w:type="page"/>
            </w:r>
            <w:r w:rsidRPr="003E75E3">
              <w:rPr>
                <w:rFonts w:cs="Calibri"/>
                <w:b/>
                <w:color w:val="7030A0"/>
                <w:sz w:val="22"/>
                <w:szCs w:val="22"/>
              </w:rPr>
              <w:t>Reference</w:t>
            </w:r>
          </w:p>
        </w:tc>
        <w:tc>
          <w:tcPr>
            <w:tcW w:w="4205" w:type="pct"/>
            <w:gridSpan w:val="3"/>
            <w:tcBorders>
              <w:top w:val="nil"/>
              <w:left w:val="single" w:sz="2" w:space="0" w:color="auto"/>
              <w:bottom w:val="nil"/>
              <w:right w:val="nil"/>
            </w:tcBorders>
            <w:vAlign w:val="bottom"/>
          </w:tcPr>
          <w:p w14:paraId="1914BA27" w14:textId="4D7E2BAD" w:rsidR="005C2C7A" w:rsidRPr="003E75E3" w:rsidRDefault="005C2C7A" w:rsidP="005C2C7A">
            <w:pPr>
              <w:spacing w:before="240" w:after="240"/>
              <w:rPr>
                <w:rFonts w:ascii="Arial Bold" w:hAnsi="Arial Bold" w:cs="Arial"/>
                <w:b/>
                <w:caps/>
                <w:sz w:val="32"/>
                <w:szCs w:val="32"/>
              </w:rPr>
            </w:pPr>
            <w:r w:rsidRPr="003E75E3">
              <w:rPr>
                <w:rFonts w:ascii="Arial Bold" w:hAnsi="Arial Bold" w:cs="Arial"/>
                <w:b/>
                <w:caps/>
                <w:sz w:val="32"/>
                <w:szCs w:val="32"/>
              </w:rPr>
              <w:t>Note 16:</w:t>
            </w:r>
            <w:r w:rsidR="00FA7C77">
              <w:rPr>
                <w:rFonts w:ascii="Arial Bold" w:hAnsi="Arial Bold" w:cs="Arial"/>
                <w:b/>
                <w:caps/>
                <w:sz w:val="32"/>
                <w:szCs w:val="32"/>
              </w:rPr>
              <w:t xml:space="preserve"> </w:t>
            </w:r>
            <w:r w:rsidRPr="003E75E3">
              <w:rPr>
                <w:rFonts w:ascii="Arial Bold" w:hAnsi="Arial Bold" w:cs="Arial"/>
                <w:b/>
                <w:caps/>
                <w:sz w:val="32"/>
                <w:szCs w:val="32"/>
              </w:rPr>
              <w:t xml:space="preserve"> Receivables</w:t>
            </w:r>
            <w:r w:rsidR="00BB7D0C" w:rsidRPr="003E75E3">
              <w:rPr>
                <w:rFonts w:ascii="Arial Bold" w:hAnsi="Arial Bold" w:cs="Arial"/>
                <w:b/>
                <w:caps/>
                <w:sz w:val="32"/>
                <w:szCs w:val="32"/>
              </w:rPr>
              <w:t xml:space="preserve"> </w:t>
            </w:r>
            <w:r w:rsidR="00BB7D0C" w:rsidRPr="005559F1">
              <w:rPr>
                <w:rFonts w:ascii="Arial Bold" w:hAnsi="Arial Bold" w:cs="Arial"/>
                <w:b/>
                <w:caps/>
                <w:strike/>
                <w:color w:val="FF0000"/>
                <w:sz w:val="32"/>
                <w:szCs w:val="32"/>
              </w:rPr>
              <w:t>and Contract Assets</w:t>
            </w:r>
            <w:r w:rsidRPr="003E75E3">
              <w:rPr>
                <w:rFonts w:ascii="Arial Bold" w:hAnsi="Arial Bold" w:cs="Arial"/>
                <w:b/>
                <w:caps/>
                <w:sz w:val="32"/>
                <w:szCs w:val="32"/>
              </w:rPr>
              <w:t xml:space="preserve"> – Continued </w:t>
            </w:r>
          </w:p>
        </w:tc>
      </w:tr>
      <w:tr w:rsidR="005C2C7A" w:rsidRPr="001E4E9E" w14:paraId="388B3120" w14:textId="77777777" w:rsidTr="005F5B4C">
        <w:trPr>
          <w:cantSplit/>
          <w:trHeight w:val="23"/>
        </w:trPr>
        <w:tc>
          <w:tcPr>
            <w:tcW w:w="736" w:type="pct"/>
            <w:tcBorders>
              <w:top w:val="nil"/>
              <w:left w:val="single" w:sz="2" w:space="0" w:color="auto"/>
              <w:bottom w:val="nil"/>
              <w:right w:val="single" w:sz="2" w:space="0" w:color="auto"/>
            </w:tcBorders>
          </w:tcPr>
          <w:p w14:paraId="67482DB8" w14:textId="08344141" w:rsidR="005C2C7A" w:rsidRPr="003E75E3" w:rsidRDefault="005C2C7A" w:rsidP="005C2C7A">
            <w:pPr>
              <w:pStyle w:val="TableReference"/>
              <w:tabs>
                <w:tab w:val="left" w:pos="3306"/>
              </w:tabs>
              <w:spacing w:before="240"/>
              <w:rPr>
                <w:rFonts w:cs="Calibri"/>
                <w:color w:val="7030A0"/>
                <w:sz w:val="14"/>
              </w:rPr>
            </w:pPr>
          </w:p>
        </w:tc>
        <w:tc>
          <w:tcPr>
            <w:tcW w:w="2950" w:type="pct"/>
            <w:tcBorders>
              <w:top w:val="nil"/>
              <w:left w:val="single" w:sz="2" w:space="0" w:color="auto"/>
              <w:bottom w:val="nil"/>
              <w:right w:val="nil"/>
            </w:tcBorders>
            <w:vAlign w:val="bottom"/>
          </w:tcPr>
          <w:p w14:paraId="570ED185" w14:textId="5F3F1271" w:rsidR="005C2C7A" w:rsidRPr="003E75E3" w:rsidRDefault="005C2C7A" w:rsidP="005C2C7A">
            <w:pPr>
              <w:pStyle w:val="TableText"/>
              <w:tabs>
                <w:tab w:val="left" w:pos="3306"/>
              </w:tabs>
              <w:rPr>
                <w:rFonts w:asciiTheme="minorHAnsi" w:hAnsiTheme="minorHAnsi" w:cstheme="minorHAnsi"/>
                <w:b/>
                <w:bCs/>
              </w:rPr>
            </w:pPr>
          </w:p>
        </w:tc>
        <w:tc>
          <w:tcPr>
            <w:tcW w:w="533" w:type="pct"/>
            <w:tcBorders>
              <w:top w:val="nil"/>
              <w:left w:val="nil"/>
              <w:bottom w:val="nil"/>
              <w:right w:val="nil"/>
            </w:tcBorders>
            <w:vAlign w:val="bottom"/>
          </w:tcPr>
          <w:p w14:paraId="6E88C7CF" w14:textId="03091DC8"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5A41B6">
              <w:rPr>
                <w:rFonts w:asciiTheme="minorHAnsi" w:hAnsiTheme="minorHAnsi" w:cstheme="minorHAnsi"/>
              </w:rPr>
              <w:t>3</w:t>
            </w:r>
          </w:p>
          <w:p w14:paraId="10665101"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c>
          <w:tcPr>
            <w:tcW w:w="781" w:type="pct"/>
            <w:gridSpan w:val="2"/>
            <w:tcBorders>
              <w:top w:val="nil"/>
              <w:left w:val="nil"/>
              <w:bottom w:val="nil"/>
              <w:right w:val="nil"/>
            </w:tcBorders>
            <w:vAlign w:val="bottom"/>
          </w:tcPr>
          <w:p w14:paraId="403E5021" w14:textId="0F9CA02A"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5A41B6">
              <w:rPr>
                <w:rFonts w:asciiTheme="minorHAnsi" w:hAnsiTheme="minorHAnsi" w:cstheme="minorHAnsi"/>
              </w:rPr>
              <w:t>2</w:t>
            </w:r>
          </w:p>
          <w:p w14:paraId="3194E7BE"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r>
      <w:tr w:rsidR="00351F2E" w:rsidRPr="001E4E9E" w14:paraId="73F13BCF" w14:textId="77777777" w:rsidTr="005F5B4C">
        <w:trPr>
          <w:cantSplit/>
          <w:trHeight w:val="23"/>
        </w:trPr>
        <w:tc>
          <w:tcPr>
            <w:tcW w:w="736" w:type="pct"/>
            <w:tcBorders>
              <w:top w:val="nil"/>
              <w:left w:val="single" w:sz="2" w:space="0" w:color="auto"/>
              <w:bottom w:val="nil"/>
              <w:right w:val="single" w:sz="2" w:space="0" w:color="auto"/>
            </w:tcBorders>
          </w:tcPr>
          <w:p w14:paraId="19FD2137" w14:textId="57B81967" w:rsidR="00351F2E" w:rsidRPr="003E75E3" w:rsidRDefault="00351F2E" w:rsidP="005C2C7A">
            <w:pPr>
              <w:pStyle w:val="TableReference"/>
              <w:tabs>
                <w:tab w:val="left" w:pos="3306"/>
              </w:tabs>
              <w:spacing w:before="240"/>
              <w:rPr>
                <w:rFonts w:cs="Calibri"/>
                <w:color w:val="7030A0"/>
                <w:sz w:val="14"/>
              </w:rPr>
            </w:pPr>
            <w:r w:rsidRPr="003E75E3">
              <w:rPr>
                <w:rFonts w:cs="Calibri"/>
                <w:color w:val="7030A0"/>
                <w:sz w:val="14"/>
              </w:rPr>
              <w:t>AASB 7.35H</w:t>
            </w:r>
          </w:p>
        </w:tc>
        <w:tc>
          <w:tcPr>
            <w:tcW w:w="2950" w:type="pct"/>
            <w:tcBorders>
              <w:top w:val="nil"/>
              <w:left w:val="single" w:sz="2" w:space="0" w:color="auto"/>
              <w:bottom w:val="nil"/>
              <w:right w:val="nil"/>
            </w:tcBorders>
            <w:vAlign w:val="bottom"/>
          </w:tcPr>
          <w:p w14:paraId="1EF00024" w14:textId="0A66C5B1" w:rsidR="00351F2E" w:rsidRPr="003E75E3" w:rsidRDefault="00351F2E"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Reconciliation of the Loss Allowance</w:t>
            </w:r>
          </w:p>
        </w:tc>
        <w:tc>
          <w:tcPr>
            <w:tcW w:w="533" w:type="pct"/>
            <w:tcBorders>
              <w:top w:val="nil"/>
              <w:left w:val="nil"/>
              <w:bottom w:val="nil"/>
              <w:right w:val="nil"/>
            </w:tcBorders>
            <w:vAlign w:val="bottom"/>
          </w:tcPr>
          <w:p w14:paraId="784231A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1E77C5F0" w14:textId="77777777" w:rsidR="00351F2E" w:rsidRPr="003E75E3" w:rsidRDefault="00351F2E" w:rsidP="005C2C7A">
            <w:pPr>
              <w:pStyle w:val="TableTitle"/>
              <w:tabs>
                <w:tab w:val="left" w:pos="3306"/>
              </w:tabs>
              <w:rPr>
                <w:rFonts w:asciiTheme="minorHAnsi" w:hAnsiTheme="minorHAnsi" w:cstheme="minorHAnsi"/>
              </w:rPr>
            </w:pPr>
          </w:p>
        </w:tc>
      </w:tr>
      <w:tr w:rsidR="00351F2E" w:rsidRPr="001E4E9E" w14:paraId="4A7F286E" w14:textId="77777777" w:rsidTr="005F5B4C">
        <w:trPr>
          <w:cantSplit/>
          <w:trHeight w:val="23"/>
        </w:trPr>
        <w:tc>
          <w:tcPr>
            <w:tcW w:w="736" w:type="pct"/>
            <w:tcBorders>
              <w:top w:val="nil"/>
              <w:left w:val="single" w:sz="2" w:space="0" w:color="auto"/>
              <w:bottom w:val="nil"/>
              <w:right w:val="single" w:sz="2" w:space="0" w:color="auto"/>
            </w:tcBorders>
          </w:tcPr>
          <w:p w14:paraId="5C0D5B52" w14:textId="77777777" w:rsidR="00351F2E" w:rsidRPr="003E75E3" w:rsidRDefault="00351F2E" w:rsidP="00351F2E">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07752F8F" w14:textId="500E0CBC" w:rsidR="00351F2E" w:rsidRPr="003E75E3" w:rsidRDefault="000478E1"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 xml:space="preserve">Accounts </w:t>
            </w:r>
            <w:r w:rsidR="00351F2E" w:rsidRPr="003E75E3">
              <w:rPr>
                <w:rFonts w:asciiTheme="minorHAnsi" w:hAnsiTheme="minorHAnsi" w:cstheme="minorHAnsi"/>
                <w:b/>
                <w:bCs/>
              </w:rPr>
              <w:t>Receivable</w:t>
            </w:r>
          </w:p>
        </w:tc>
        <w:tc>
          <w:tcPr>
            <w:tcW w:w="533" w:type="pct"/>
            <w:tcBorders>
              <w:top w:val="nil"/>
              <w:left w:val="nil"/>
              <w:bottom w:val="nil"/>
              <w:right w:val="nil"/>
            </w:tcBorders>
            <w:vAlign w:val="bottom"/>
          </w:tcPr>
          <w:p w14:paraId="35AE417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791234C3" w14:textId="77777777" w:rsidR="00351F2E" w:rsidRPr="003E75E3" w:rsidRDefault="00351F2E" w:rsidP="005C2C7A">
            <w:pPr>
              <w:pStyle w:val="TableTitle"/>
              <w:tabs>
                <w:tab w:val="left" w:pos="3306"/>
              </w:tabs>
              <w:rPr>
                <w:rFonts w:asciiTheme="minorHAnsi" w:hAnsiTheme="minorHAnsi" w:cstheme="minorHAnsi"/>
              </w:rPr>
            </w:pPr>
          </w:p>
        </w:tc>
      </w:tr>
      <w:tr w:rsidR="005C2C7A" w:rsidRPr="001E4E9E" w14:paraId="0D001883" w14:textId="77777777" w:rsidTr="005F5B4C">
        <w:trPr>
          <w:cantSplit/>
          <w:trHeight w:val="23"/>
        </w:trPr>
        <w:tc>
          <w:tcPr>
            <w:tcW w:w="736" w:type="pct"/>
            <w:tcBorders>
              <w:top w:val="nil"/>
              <w:left w:val="single" w:sz="2" w:space="0" w:color="auto"/>
              <w:bottom w:val="nil"/>
              <w:right w:val="single" w:sz="2" w:space="0" w:color="auto"/>
            </w:tcBorders>
          </w:tcPr>
          <w:p w14:paraId="4EE86EF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5F4F6FB" w14:textId="2E8D5AEE" w:rsidR="005C2C7A" w:rsidRPr="003E75E3" w:rsidRDefault="00D864A1" w:rsidP="005C2C7A">
            <w:pPr>
              <w:pStyle w:val="TableText"/>
              <w:tabs>
                <w:tab w:val="left" w:pos="3306"/>
              </w:tabs>
              <w:rPr>
                <w:rFonts w:asciiTheme="minorHAnsi" w:hAnsiTheme="minorHAnsi" w:cstheme="minorHAnsi"/>
              </w:rPr>
            </w:pPr>
            <w:r w:rsidRPr="00D864A1">
              <w:rPr>
                <w:rFonts w:asciiTheme="minorHAnsi" w:hAnsiTheme="minorHAnsi" w:cstheme="minorHAnsi"/>
                <w:color w:val="FF0000"/>
              </w:rPr>
              <w:t xml:space="preserve">Expected Credit Loss </w:t>
            </w:r>
            <w:r w:rsidR="005C2C7A" w:rsidRPr="003E75E3">
              <w:rPr>
                <w:rFonts w:asciiTheme="minorHAnsi" w:hAnsiTheme="minorHAnsi" w:cstheme="minorHAnsi"/>
              </w:rPr>
              <w:t xml:space="preserve">Allowance </w:t>
            </w:r>
            <w:r w:rsidR="001456DB" w:rsidRPr="00D864A1">
              <w:rPr>
                <w:rFonts w:cs="Calibri"/>
                <w:strike/>
                <w:color w:val="FF0000"/>
              </w:rPr>
              <w:t>for Impairment Losses</w:t>
            </w:r>
            <w:r w:rsidR="001456DB" w:rsidRPr="00D864A1">
              <w:rPr>
                <w:rFonts w:cs="Calibri"/>
                <w:color w:val="FF0000"/>
              </w:rPr>
              <w:t xml:space="preserve"> </w:t>
            </w:r>
            <w:r w:rsidR="005C2C7A"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61B3D672" w14:textId="78ED8180" w:rsidR="005C2C7A" w:rsidRPr="003E75E3" w:rsidRDefault="005C2C7A" w:rsidP="005C2C7A">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4B36B665" w14:textId="1EE9584F" w:rsidR="005C2C7A" w:rsidRPr="003E75E3" w:rsidRDefault="005C2C7A" w:rsidP="005C2C7A">
            <w:pPr>
              <w:pStyle w:val="TableText"/>
              <w:tabs>
                <w:tab w:val="left" w:pos="3306"/>
              </w:tabs>
              <w:jc w:val="right"/>
              <w:rPr>
                <w:rFonts w:asciiTheme="minorHAnsi" w:hAnsiTheme="minorHAnsi" w:cstheme="minorHAnsi"/>
                <w:strike/>
              </w:rPr>
            </w:pPr>
          </w:p>
        </w:tc>
      </w:tr>
      <w:tr w:rsidR="005C2C7A" w:rsidRPr="001E4E9E" w14:paraId="040340C3" w14:textId="77777777" w:rsidTr="005F5B4C">
        <w:trPr>
          <w:cantSplit/>
          <w:trHeight w:val="23"/>
        </w:trPr>
        <w:tc>
          <w:tcPr>
            <w:tcW w:w="736" w:type="pct"/>
            <w:tcBorders>
              <w:top w:val="nil"/>
              <w:left w:val="single" w:sz="2" w:space="0" w:color="auto"/>
              <w:bottom w:val="nil"/>
              <w:right w:val="single" w:sz="2" w:space="0" w:color="auto"/>
            </w:tcBorders>
          </w:tcPr>
          <w:p w14:paraId="68FA7DEC"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CBDA478" w14:textId="77777777" w:rsidR="005C2C7A" w:rsidRPr="003E75E3" w:rsidRDefault="005C2C7A" w:rsidP="005C2C7A">
            <w:pPr>
              <w:pStyle w:val="TableText"/>
              <w:tabs>
                <w:tab w:val="left" w:pos="3306"/>
              </w:tabs>
              <w:rPr>
                <w:rFonts w:asciiTheme="minorHAnsi" w:hAnsiTheme="minorHAnsi" w:cstheme="minorHAnsi"/>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425B7259" w14:textId="3E6CE616"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493EA9C2" w14:textId="526D1935" w:rsidR="005C2C7A" w:rsidRPr="003E75E3" w:rsidRDefault="005C2C7A" w:rsidP="005C2C7A">
            <w:pPr>
              <w:pStyle w:val="TableText"/>
              <w:tabs>
                <w:tab w:val="left" w:pos="3306"/>
              </w:tabs>
              <w:jc w:val="right"/>
              <w:rPr>
                <w:rFonts w:asciiTheme="minorHAnsi" w:hAnsiTheme="minorHAnsi" w:cstheme="minorHAnsi"/>
              </w:rPr>
            </w:pPr>
          </w:p>
        </w:tc>
      </w:tr>
      <w:tr w:rsidR="005C2C7A" w:rsidRPr="001E4E9E" w14:paraId="59EED69D" w14:textId="77777777" w:rsidTr="005F5B4C">
        <w:trPr>
          <w:cantSplit/>
          <w:trHeight w:val="23"/>
        </w:trPr>
        <w:tc>
          <w:tcPr>
            <w:tcW w:w="736" w:type="pct"/>
            <w:tcBorders>
              <w:top w:val="nil"/>
              <w:left w:val="single" w:sz="2" w:space="0" w:color="auto"/>
              <w:bottom w:val="nil"/>
              <w:right w:val="single" w:sz="2" w:space="0" w:color="auto"/>
            </w:tcBorders>
          </w:tcPr>
          <w:p w14:paraId="0BD81EAF" w14:textId="77777777"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D1DC8A2" w14:textId="77777777" w:rsidR="005C2C7A" w:rsidRPr="003E75E3" w:rsidRDefault="005C2C7A" w:rsidP="005C2C7A">
            <w:pPr>
              <w:pStyle w:val="Commentary-Bullet"/>
              <w:numPr>
                <w:ilvl w:val="0"/>
                <w:numId w:val="0"/>
              </w:numPr>
              <w:spacing w:before="40"/>
              <w:jc w:val="left"/>
              <w:rPr>
                <w:rFonts w:asciiTheme="minorHAnsi" w:hAnsiTheme="minorHAnsi" w:cstheme="minorHAnsi"/>
                <w:sz w:val="18"/>
                <w:szCs w:val="18"/>
              </w:rPr>
            </w:pPr>
            <w:r w:rsidRPr="003E75E3">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7AA6DD5E" w14:textId="5AAB4EF8"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6E875C5A" w14:textId="72C3C00B" w:rsidR="005C2C7A" w:rsidRPr="003E75E3" w:rsidRDefault="005C2C7A" w:rsidP="005C2C7A">
            <w:pPr>
              <w:pStyle w:val="TableText"/>
              <w:tabs>
                <w:tab w:val="left" w:pos="3306"/>
              </w:tabs>
              <w:jc w:val="right"/>
              <w:rPr>
                <w:rFonts w:asciiTheme="minorHAnsi" w:hAnsiTheme="minorHAnsi" w:cstheme="minorHAnsi"/>
              </w:rPr>
            </w:pPr>
          </w:p>
        </w:tc>
      </w:tr>
      <w:tr w:rsidR="005C2C7A" w:rsidRPr="001E4E9E" w14:paraId="4A126C01" w14:textId="77777777" w:rsidTr="005F5B4C">
        <w:trPr>
          <w:cantSplit/>
          <w:trHeight w:val="23"/>
        </w:trPr>
        <w:tc>
          <w:tcPr>
            <w:tcW w:w="736" w:type="pct"/>
            <w:tcBorders>
              <w:top w:val="nil"/>
              <w:left w:val="single" w:sz="2" w:space="0" w:color="auto"/>
              <w:bottom w:val="nil"/>
              <w:right w:val="single" w:sz="2" w:space="0" w:color="auto"/>
            </w:tcBorders>
          </w:tcPr>
          <w:p w14:paraId="3AAC30DC" w14:textId="4F1923F5"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7ADB2A01" w14:textId="104DE58E" w:rsidR="005C2C7A" w:rsidRPr="003E75E3" w:rsidRDefault="005C2C7A" w:rsidP="00302E5E">
            <w:pPr>
              <w:pStyle w:val="Commentary-Bullet"/>
              <w:numPr>
                <w:ilvl w:val="0"/>
                <w:numId w:val="0"/>
              </w:numPr>
              <w:spacing w:after="0"/>
              <w:jc w:val="left"/>
              <w:rPr>
                <w:rFonts w:asciiTheme="minorHAnsi" w:hAnsiTheme="minorHAnsi" w:cstheme="minorHAnsi"/>
                <w:sz w:val="18"/>
                <w:szCs w:val="18"/>
              </w:rPr>
            </w:pPr>
            <w:r w:rsidRPr="003E75E3">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44E77082" w14:textId="46A717AF"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7DD406B6" w14:textId="79016C5D" w:rsidR="005C2C7A" w:rsidRPr="003E75E3" w:rsidRDefault="005C2C7A" w:rsidP="005C2C7A">
            <w:pPr>
              <w:pStyle w:val="TableText"/>
              <w:tabs>
                <w:tab w:val="left" w:pos="3306"/>
              </w:tabs>
              <w:ind w:left="360"/>
              <w:jc w:val="center"/>
              <w:rPr>
                <w:rFonts w:asciiTheme="minorHAnsi" w:hAnsiTheme="minorHAnsi" w:cstheme="minorHAnsi"/>
              </w:rPr>
            </w:pPr>
          </w:p>
        </w:tc>
      </w:tr>
      <w:tr w:rsidR="005C2C7A" w:rsidRPr="001E4E9E" w14:paraId="7B42DA4D" w14:textId="77777777" w:rsidTr="005F5B4C">
        <w:trPr>
          <w:cantSplit/>
          <w:trHeight w:val="23"/>
        </w:trPr>
        <w:tc>
          <w:tcPr>
            <w:tcW w:w="736" w:type="pct"/>
            <w:tcBorders>
              <w:top w:val="nil"/>
              <w:left w:val="single" w:sz="2" w:space="0" w:color="auto"/>
              <w:bottom w:val="nil"/>
              <w:right w:val="single" w:sz="2" w:space="0" w:color="auto"/>
            </w:tcBorders>
          </w:tcPr>
          <w:p w14:paraId="3FC62DD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0D88165" w14:textId="62842B01" w:rsidR="005C2C7A" w:rsidRPr="003E75E3" w:rsidRDefault="00D864A1" w:rsidP="0002064E">
            <w:pPr>
              <w:pStyle w:val="TableText"/>
              <w:tabs>
                <w:tab w:val="left" w:pos="3306"/>
              </w:tabs>
              <w:spacing w:before="0"/>
              <w:rPr>
                <w:rFonts w:asciiTheme="minorHAnsi" w:hAnsiTheme="minorHAnsi" w:cstheme="minorHAnsi"/>
                <w:b/>
                <w:bCs/>
              </w:rPr>
            </w:pPr>
            <w:r w:rsidRPr="00D864A1">
              <w:rPr>
                <w:rFonts w:asciiTheme="minorHAnsi" w:hAnsiTheme="minorHAnsi" w:cstheme="minorHAnsi"/>
                <w:b/>
                <w:bCs/>
                <w:color w:val="FF0000"/>
              </w:rPr>
              <w:t>Expected Credit Loss</w:t>
            </w:r>
            <w:r w:rsidRPr="00D864A1">
              <w:rPr>
                <w:rFonts w:asciiTheme="minorHAnsi" w:hAnsiTheme="minorHAnsi" w:cstheme="minorHAnsi"/>
                <w:color w:val="FF0000"/>
              </w:rPr>
              <w:t xml:space="preserve"> </w:t>
            </w:r>
            <w:r w:rsidR="005C2C7A" w:rsidRPr="003E75E3">
              <w:rPr>
                <w:rFonts w:asciiTheme="minorHAnsi" w:hAnsiTheme="minorHAnsi" w:cstheme="minorHAnsi"/>
                <w:b/>
                <w:bCs/>
              </w:rPr>
              <w:t xml:space="preserve">Allowance </w:t>
            </w:r>
            <w:r w:rsidR="005C2C7A" w:rsidRPr="00D864A1">
              <w:rPr>
                <w:rFonts w:asciiTheme="minorHAnsi" w:hAnsiTheme="minorHAnsi" w:cstheme="minorHAnsi"/>
                <w:b/>
                <w:bCs/>
                <w:strike/>
                <w:color w:val="FF0000"/>
              </w:rPr>
              <w:t>for Impairment Losses</w:t>
            </w:r>
            <w:r w:rsidR="005C2C7A" w:rsidRPr="00D864A1">
              <w:rPr>
                <w:rFonts w:asciiTheme="minorHAnsi" w:hAnsiTheme="minorHAnsi" w:cstheme="minorHAnsi"/>
                <w:b/>
                <w:bCs/>
                <w:color w:val="FF0000"/>
              </w:rPr>
              <w:t xml:space="preserve"> </w:t>
            </w:r>
            <w:r w:rsidR="005C2C7A" w:rsidRPr="003E75E3">
              <w:rPr>
                <w:rFonts w:asciiTheme="minorHAnsi" w:hAnsiTheme="minorHAnsi" w:cstheme="minorHAnsi"/>
                <w:b/>
                <w:bCs/>
              </w:rPr>
              <w:t xml:space="preserve">at the End of the Reporting Period </w:t>
            </w:r>
          </w:p>
        </w:tc>
        <w:tc>
          <w:tcPr>
            <w:tcW w:w="533" w:type="pct"/>
            <w:tcBorders>
              <w:top w:val="single" w:sz="4" w:space="0" w:color="auto"/>
              <w:left w:val="nil"/>
              <w:bottom w:val="double" w:sz="4" w:space="0" w:color="auto"/>
              <w:right w:val="nil"/>
            </w:tcBorders>
            <w:vAlign w:val="bottom"/>
          </w:tcPr>
          <w:p w14:paraId="7CE8CAB1" w14:textId="40C8C726" w:rsidR="005C2C7A" w:rsidRPr="003E75E3" w:rsidRDefault="005C2C7A"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09B4E1B0" w14:textId="13445DA2" w:rsidR="005C2C7A" w:rsidRPr="003E75E3" w:rsidRDefault="005C2C7A" w:rsidP="0002064E">
            <w:pPr>
              <w:pStyle w:val="TableText"/>
              <w:tabs>
                <w:tab w:val="left" w:pos="3306"/>
              </w:tabs>
              <w:spacing w:before="0"/>
              <w:jc w:val="right"/>
              <w:rPr>
                <w:rFonts w:asciiTheme="minorHAnsi" w:hAnsiTheme="minorHAnsi" w:cstheme="minorHAnsi"/>
                <w:b/>
                <w:bCs/>
                <w:strike/>
              </w:rPr>
            </w:pPr>
          </w:p>
        </w:tc>
      </w:tr>
      <w:tr w:rsidR="000478E1" w:rsidRPr="001E4E9E" w14:paraId="4CDCFC01" w14:textId="77777777" w:rsidTr="005F5B4C">
        <w:trPr>
          <w:cantSplit/>
          <w:trHeight w:val="23"/>
        </w:trPr>
        <w:tc>
          <w:tcPr>
            <w:tcW w:w="736" w:type="pct"/>
            <w:tcBorders>
              <w:top w:val="nil"/>
              <w:left w:val="single" w:sz="2" w:space="0" w:color="auto"/>
              <w:bottom w:val="nil"/>
              <w:right w:val="single" w:sz="2" w:space="0" w:color="auto"/>
            </w:tcBorders>
          </w:tcPr>
          <w:p w14:paraId="12EE0E23" w14:textId="77777777" w:rsidR="000478E1" w:rsidRPr="003E75E3" w:rsidRDefault="000478E1"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1A119B9" w14:textId="77777777" w:rsidR="000478E1" w:rsidRPr="003E75E3" w:rsidRDefault="000478E1" w:rsidP="0002064E">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C64B336" w14:textId="77777777" w:rsidR="000478E1" w:rsidRPr="003E75E3" w:rsidRDefault="000478E1"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2E3BF2C3" w14:textId="77777777" w:rsidR="000478E1" w:rsidRPr="003E75E3" w:rsidRDefault="000478E1" w:rsidP="0002064E">
            <w:pPr>
              <w:pStyle w:val="TableText"/>
              <w:tabs>
                <w:tab w:val="left" w:pos="3306"/>
              </w:tabs>
              <w:spacing w:before="0"/>
              <w:jc w:val="right"/>
              <w:rPr>
                <w:rFonts w:asciiTheme="minorHAnsi" w:hAnsiTheme="minorHAnsi" w:cstheme="minorHAnsi"/>
                <w:b/>
                <w:bCs/>
                <w:strike/>
              </w:rPr>
            </w:pPr>
          </w:p>
        </w:tc>
      </w:tr>
      <w:tr w:rsidR="000478E1" w:rsidRPr="001E4E9E" w14:paraId="2FA7B6E4" w14:textId="77777777" w:rsidTr="005F5B4C">
        <w:trPr>
          <w:cantSplit/>
          <w:trHeight w:val="23"/>
        </w:trPr>
        <w:tc>
          <w:tcPr>
            <w:tcW w:w="736" w:type="pct"/>
            <w:tcBorders>
              <w:top w:val="nil"/>
              <w:left w:val="single" w:sz="2" w:space="0" w:color="auto"/>
              <w:bottom w:val="nil"/>
              <w:right w:val="single" w:sz="2" w:space="0" w:color="auto"/>
            </w:tcBorders>
          </w:tcPr>
          <w:p w14:paraId="556053D9"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7D855E" w14:textId="4AF5A88B" w:rsidR="000478E1" w:rsidRPr="003E75E3" w:rsidRDefault="000478E1" w:rsidP="000478E1">
            <w:pPr>
              <w:pStyle w:val="TableText"/>
              <w:tabs>
                <w:tab w:val="left" w:pos="3306"/>
              </w:tabs>
              <w:spacing w:before="0"/>
              <w:rPr>
                <w:rFonts w:asciiTheme="minorHAnsi" w:hAnsiTheme="minorHAnsi" w:cstheme="minorHAnsi"/>
                <w:b/>
                <w:bCs/>
              </w:rPr>
            </w:pPr>
            <w:r w:rsidRPr="003E75E3">
              <w:rPr>
                <w:rFonts w:asciiTheme="minorHAnsi" w:hAnsiTheme="minorHAnsi" w:cstheme="minorHAnsi"/>
                <w:b/>
                <w:bCs/>
              </w:rPr>
              <w:t>Loans Receivable</w:t>
            </w:r>
          </w:p>
        </w:tc>
        <w:tc>
          <w:tcPr>
            <w:tcW w:w="533" w:type="pct"/>
            <w:tcBorders>
              <w:top w:val="nil"/>
              <w:left w:val="nil"/>
              <w:bottom w:val="nil"/>
              <w:right w:val="nil"/>
            </w:tcBorders>
            <w:vAlign w:val="bottom"/>
          </w:tcPr>
          <w:p w14:paraId="497269AC"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454CD582"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5249BE95" w14:textId="77777777" w:rsidTr="005F5B4C">
        <w:trPr>
          <w:cantSplit/>
          <w:trHeight w:val="23"/>
        </w:trPr>
        <w:tc>
          <w:tcPr>
            <w:tcW w:w="736" w:type="pct"/>
            <w:tcBorders>
              <w:top w:val="nil"/>
              <w:left w:val="single" w:sz="2" w:space="0" w:color="auto"/>
              <w:bottom w:val="nil"/>
              <w:right w:val="single" w:sz="2" w:space="0" w:color="auto"/>
            </w:tcBorders>
          </w:tcPr>
          <w:p w14:paraId="50201A6D"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7AA29A04" w14:textId="5E27405D" w:rsidR="000478E1" w:rsidRPr="003E75E3" w:rsidRDefault="00D864A1" w:rsidP="009407C1">
            <w:pPr>
              <w:pStyle w:val="TableText"/>
              <w:tabs>
                <w:tab w:val="left" w:pos="3306"/>
              </w:tabs>
              <w:spacing w:before="60"/>
              <w:rPr>
                <w:rFonts w:asciiTheme="minorHAnsi" w:hAnsiTheme="minorHAnsi" w:cstheme="minorHAnsi"/>
                <w:b/>
                <w:bCs/>
              </w:rPr>
            </w:pPr>
            <w:r w:rsidRPr="00D864A1">
              <w:rPr>
                <w:rFonts w:asciiTheme="minorHAnsi" w:hAnsiTheme="minorHAnsi" w:cstheme="minorHAnsi"/>
                <w:color w:val="FF0000"/>
              </w:rPr>
              <w:t xml:space="preserve">Expected Credit Loss </w:t>
            </w:r>
            <w:r w:rsidR="000478E1" w:rsidRPr="003E75E3">
              <w:rPr>
                <w:rFonts w:asciiTheme="minorHAnsi" w:hAnsiTheme="minorHAnsi" w:cstheme="minorHAnsi"/>
              </w:rPr>
              <w:t xml:space="preserve">Allowance </w:t>
            </w:r>
            <w:r w:rsidR="000478E1" w:rsidRPr="00D864A1">
              <w:rPr>
                <w:rFonts w:cs="Calibri"/>
                <w:strike/>
                <w:color w:val="FF0000"/>
              </w:rPr>
              <w:t>for Impairment Losses</w:t>
            </w:r>
            <w:r w:rsidR="000478E1" w:rsidRPr="00D864A1">
              <w:rPr>
                <w:rFonts w:cs="Calibri"/>
                <w:color w:val="FF0000"/>
              </w:rPr>
              <w:t xml:space="preserve"> </w:t>
            </w:r>
            <w:r w:rsidR="000478E1"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4AFB842A"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2E0A0AB6"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05A0C50A" w14:textId="77777777" w:rsidTr="005F5B4C">
        <w:trPr>
          <w:cantSplit/>
          <w:trHeight w:val="23"/>
        </w:trPr>
        <w:tc>
          <w:tcPr>
            <w:tcW w:w="736" w:type="pct"/>
            <w:tcBorders>
              <w:top w:val="nil"/>
              <w:left w:val="single" w:sz="2" w:space="0" w:color="auto"/>
              <w:bottom w:val="nil"/>
              <w:right w:val="single" w:sz="2" w:space="0" w:color="auto"/>
            </w:tcBorders>
          </w:tcPr>
          <w:p w14:paraId="72214B7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25A1A29" w14:textId="0BCA0207"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55AA5443"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026F5F1E"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7F2DFE88" w14:textId="77777777" w:rsidTr="005F5B4C">
        <w:trPr>
          <w:cantSplit/>
          <w:trHeight w:val="23"/>
        </w:trPr>
        <w:tc>
          <w:tcPr>
            <w:tcW w:w="736" w:type="pct"/>
            <w:tcBorders>
              <w:top w:val="nil"/>
              <w:left w:val="single" w:sz="2" w:space="0" w:color="auto"/>
              <w:bottom w:val="nil"/>
              <w:right w:val="single" w:sz="2" w:space="0" w:color="auto"/>
            </w:tcBorders>
          </w:tcPr>
          <w:p w14:paraId="03B3BA86" w14:textId="5FBC70A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21075F65" w14:textId="5B3A93A7"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 xml:space="preserve">Reduction in Allowance from Amounts Written off During the Reporting Period </w:t>
            </w:r>
          </w:p>
        </w:tc>
        <w:tc>
          <w:tcPr>
            <w:tcW w:w="533" w:type="pct"/>
            <w:tcBorders>
              <w:top w:val="nil"/>
              <w:left w:val="nil"/>
              <w:bottom w:val="nil"/>
              <w:right w:val="nil"/>
            </w:tcBorders>
            <w:vAlign w:val="center"/>
          </w:tcPr>
          <w:p w14:paraId="32E35D2B"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center"/>
          </w:tcPr>
          <w:p w14:paraId="577A0566"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D6208B8" w14:textId="77777777" w:rsidTr="005F5B4C">
        <w:trPr>
          <w:cantSplit/>
          <w:trHeight w:val="23"/>
        </w:trPr>
        <w:tc>
          <w:tcPr>
            <w:tcW w:w="736" w:type="pct"/>
            <w:tcBorders>
              <w:top w:val="nil"/>
              <w:left w:val="single" w:sz="2" w:space="0" w:color="auto"/>
              <w:bottom w:val="nil"/>
              <w:right w:val="single" w:sz="2" w:space="0" w:color="auto"/>
            </w:tcBorders>
          </w:tcPr>
          <w:p w14:paraId="228A9780" w14:textId="212FD7F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9E2D926" w14:textId="260B5C5B"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 xml:space="preserve">Expected Credit Loss Expense </w:t>
            </w:r>
          </w:p>
        </w:tc>
        <w:tc>
          <w:tcPr>
            <w:tcW w:w="533" w:type="pct"/>
            <w:tcBorders>
              <w:top w:val="nil"/>
              <w:left w:val="nil"/>
              <w:bottom w:val="single" w:sz="4" w:space="0" w:color="auto"/>
              <w:right w:val="nil"/>
            </w:tcBorders>
            <w:vAlign w:val="center"/>
          </w:tcPr>
          <w:p w14:paraId="4EB163DD"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single" w:sz="4" w:space="0" w:color="auto"/>
              <w:right w:val="nil"/>
            </w:tcBorders>
            <w:vAlign w:val="center"/>
          </w:tcPr>
          <w:p w14:paraId="0651060E"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47BA5DB7" w14:textId="77777777" w:rsidTr="005F5B4C">
        <w:trPr>
          <w:cantSplit/>
          <w:trHeight w:val="23"/>
        </w:trPr>
        <w:tc>
          <w:tcPr>
            <w:tcW w:w="736" w:type="pct"/>
            <w:tcBorders>
              <w:top w:val="nil"/>
              <w:left w:val="single" w:sz="2" w:space="0" w:color="auto"/>
              <w:bottom w:val="nil"/>
              <w:right w:val="single" w:sz="2" w:space="0" w:color="auto"/>
            </w:tcBorders>
          </w:tcPr>
          <w:p w14:paraId="1493F16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AA1D58B" w14:textId="22DD15FD" w:rsidR="000478E1" w:rsidRPr="003E75E3" w:rsidRDefault="00D864A1" w:rsidP="009407C1">
            <w:pPr>
              <w:pStyle w:val="TableText"/>
              <w:tabs>
                <w:tab w:val="left" w:pos="3306"/>
              </w:tabs>
              <w:spacing w:before="60"/>
              <w:rPr>
                <w:rFonts w:asciiTheme="minorHAnsi" w:hAnsiTheme="minorHAnsi" w:cstheme="minorHAnsi"/>
                <w:b/>
                <w:bCs/>
              </w:rPr>
            </w:pPr>
            <w:r w:rsidRPr="00D864A1">
              <w:rPr>
                <w:rFonts w:asciiTheme="minorHAnsi" w:hAnsiTheme="minorHAnsi" w:cstheme="minorHAnsi"/>
                <w:b/>
                <w:bCs/>
                <w:color w:val="FF0000"/>
              </w:rPr>
              <w:t>Expected Credit Loss</w:t>
            </w:r>
            <w:r w:rsidRPr="00D864A1">
              <w:rPr>
                <w:rFonts w:asciiTheme="minorHAnsi" w:hAnsiTheme="minorHAnsi" w:cstheme="minorHAnsi"/>
                <w:color w:val="FF0000"/>
              </w:rPr>
              <w:t xml:space="preserve"> </w:t>
            </w:r>
            <w:r w:rsidR="000478E1" w:rsidRPr="003E75E3">
              <w:rPr>
                <w:rFonts w:asciiTheme="minorHAnsi" w:hAnsiTheme="minorHAnsi" w:cstheme="minorHAnsi"/>
                <w:b/>
                <w:bCs/>
              </w:rPr>
              <w:t xml:space="preserve">Allowance </w:t>
            </w:r>
            <w:r w:rsidR="000478E1" w:rsidRPr="00D864A1">
              <w:rPr>
                <w:rFonts w:asciiTheme="minorHAnsi" w:hAnsiTheme="minorHAnsi" w:cstheme="minorHAnsi"/>
                <w:b/>
                <w:bCs/>
                <w:strike/>
                <w:color w:val="FF0000"/>
              </w:rPr>
              <w:t>for Impairment Losses</w:t>
            </w:r>
            <w:r w:rsidR="000478E1" w:rsidRPr="00D864A1">
              <w:rPr>
                <w:rFonts w:asciiTheme="minorHAnsi" w:hAnsiTheme="minorHAnsi" w:cstheme="minorHAnsi"/>
                <w:b/>
                <w:bCs/>
                <w:color w:val="FF0000"/>
              </w:rPr>
              <w:t xml:space="preserve"> </w:t>
            </w:r>
            <w:r w:rsidR="000478E1" w:rsidRPr="003E75E3">
              <w:rPr>
                <w:rFonts w:asciiTheme="minorHAnsi" w:hAnsiTheme="minorHAnsi" w:cstheme="minorHAnsi"/>
                <w:b/>
                <w:bCs/>
              </w:rPr>
              <w:t xml:space="preserve">at the End of the Reporting Period </w:t>
            </w:r>
          </w:p>
        </w:tc>
        <w:tc>
          <w:tcPr>
            <w:tcW w:w="533" w:type="pct"/>
            <w:tcBorders>
              <w:top w:val="single" w:sz="4" w:space="0" w:color="auto"/>
              <w:left w:val="nil"/>
              <w:bottom w:val="double" w:sz="4" w:space="0" w:color="auto"/>
              <w:right w:val="nil"/>
            </w:tcBorders>
            <w:vAlign w:val="bottom"/>
          </w:tcPr>
          <w:p w14:paraId="7D89DB08"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2CA4C22F"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C827FF" w14:paraId="7656CE15" w14:textId="77777777" w:rsidTr="005F5B4C">
        <w:trPr>
          <w:cantSplit/>
          <w:trHeight w:val="23"/>
        </w:trPr>
        <w:tc>
          <w:tcPr>
            <w:tcW w:w="736" w:type="pct"/>
            <w:tcBorders>
              <w:top w:val="nil"/>
              <w:left w:val="single" w:sz="2" w:space="0" w:color="auto"/>
              <w:bottom w:val="nil"/>
              <w:right w:val="single" w:sz="2" w:space="0" w:color="auto"/>
            </w:tcBorders>
          </w:tcPr>
          <w:p w14:paraId="7AA34C9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5BE6046" w14:textId="77777777" w:rsidR="000478E1" w:rsidRPr="003E75E3" w:rsidRDefault="000478E1" w:rsidP="000478E1">
            <w:pPr>
              <w:pStyle w:val="TableText"/>
              <w:tabs>
                <w:tab w:val="left" w:pos="3306"/>
              </w:tabs>
              <w:rPr>
                <w:rFonts w:asciiTheme="minorHAnsi" w:hAnsiTheme="minorHAnsi" w:cstheme="minorHAnsi"/>
                <w:b/>
                <w:bCs/>
                <w:highlight w:val="yellow"/>
              </w:rPr>
            </w:pPr>
          </w:p>
        </w:tc>
        <w:tc>
          <w:tcPr>
            <w:tcW w:w="533" w:type="pct"/>
            <w:tcBorders>
              <w:top w:val="double" w:sz="4" w:space="0" w:color="auto"/>
              <w:left w:val="nil"/>
              <w:bottom w:val="nil"/>
              <w:right w:val="nil"/>
            </w:tcBorders>
            <w:vAlign w:val="bottom"/>
          </w:tcPr>
          <w:p w14:paraId="53803D69" w14:textId="77777777" w:rsidR="000478E1" w:rsidRPr="003E75E3" w:rsidRDefault="000478E1" w:rsidP="000478E1">
            <w:pPr>
              <w:pStyle w:val="TableTitle"/>
              <w:tabs>
                <w:tab w:val="left" w:pos="3306"/>
              </w:tabs>
              <w:rPr>
                <w:rFonts w:asciiTheme="minorHAnsi" w:hAnsiTheme="minorHAnsi" w:cstheme="minorHAnsi"/>
              </w:rPr>
            </w:pPr>
          </w:p>
        </w:tc>
        <w:tc>
          <w:tcPr>
            <w:tcW w:w="781" w:type="pct"/>
            <w:gridSpan w:val="2"/>
            <w:tcBorders>
              <w:top w:val="double" w:sz="4" w:space="0" w:color="auto"/>
              <w:left w:val="nil"/>
              <w:bottom w:val="nil"/>
              <w:right w:val="nil"/>
            </w:tcBorders>
            <w:vAlign w:val="bottom"/>
          </w:tcPr>
          <w:p w14:paraId="79C0D921" w14:textId="77777777" w:rsidR="000478E1" w:rsidRPr="003E75E3" w:rsidRDefault="000478E1" w:rsidP="000478E1">
            <w:pPr>
              <w:pStyle w:val="TableTitle"/>
              <w:tabs>
                <w:tab w:val="left" w:pos="3306"/>
              </w:tabs>
              <w:rPr>
                <w:rFonts w:asciiTheme="minorHAnsi" w:hAnsiTheme="minorHAnsi" w:cstheme="minorHAnsi"/>
              </w:rPr>
            </w:pPr>
          </w:p>
        </w:tc>
      </w:tr>
      <w:tr w:rsidR="000478E1" w:rsidRPr="00C827FF" w14:paraId="0EE6074A" w14:textId="77777777" w:rsidTr="005F5B4C">
        <w:trPr>
          <w:cantSplit/>
          <w:trHeight w:val="23"/>
        </w:trPr>
        <w:tc>
          <w:tcPr>
            <w:tcW w:w="736" w:type="pct"/>
            <w:tcBorders>
              <w:top w:val="nil"/>
              <w:left w:val="single" w:sz="2" w:space="0" w:color="auto"/>
              <w:bottom w:val="nil"/>
              <w:right w:val="single" w:sz="2" w:space="0" w:color="auto"/>
            </w:tcBorders>
          </w:tcPr>
          <w:p w14:paraId="09B3EABA"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56409BDD" w14:textId="5337BE4E" w:rsidR="000478E1" w:rsidRPr="003E75E3" w:rsidRDefault="000478E1" w:rsidP="000478E1">
            <w:pPr>
              <w:pStyle w:val="TableText"/>
              <w:tabs>
                <w:tab w:val="left" w:pos="3306"/>
              </w:tabs>
              <w:rPr>
                <w:rFonts w:asciiTheme="minorHAnsi" w:hAnsiTheme="minorHAnsi" w:cstheme="minorHAnsi"/>
                <w:b/>
                <w:bCs/>
              </w:rPr>
            </w:pPr>
            <w:r w:rsidRPr="003E75E3">
              <w:rPr>
                <w:rFonts w:asciiTheme="minorHAnsi" w:hAnsiTheme="minorHAnsi" w:cstheme="minorHAnsi"/>
                <w:b/>
                <w:bCs/>
              </w:rPr>
              <w:t>Contract Assets</w:t>
            </w:r>
          </w:p>
        </w:tc>
        <w:tc>
          <w:tcPr>
            <w:tcW w:w="533" w:type="pct"/>
            <w:tcBorders>
              <w:top w:val="nil"/>
              <w:left w:val="nil"/>
              <w:bottom w:val="nil"/>
              <w:right w:val="nil"/>
            </w:tcBorders>
            <w:vAlign w:val="bottom"/>
          </w:tcPr>
          <w:p w14:paraId="07A85344" w14:textId="77777777" w:rsidR="000478E1" w:rsidRPr="003E75E3" w:rsidRDefault="000478E1" w:rsidP="000478E1">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5F8F1358" w14:textId="77777777" w:rsidR="000478E1" w:rsidRPr="003E75E3" w:rsidRDefault="000478E1" w:rsidP="000478E1">
            <w:pPr>
              <w:pStyle w:val="TableTitle"/>
              <w:tabs>
                <w:tab w:val="left" w:pos="3306"/>
              </w:tabs>
              <w:rPr>
                <w:rFonts w:asciiTheme="minorHAnsi" w:hAnsiTheme="minorHAnsi" w:cstheme="minorHAnsi"/>
              </w:rPr>
            </w:pPr>
          </w:p>
        </w:tc>
      </w:tr>
      <w:tr w:rsidR="000478E1" w:rsidRPr="001E4E9E" w14:paraId="189C5094" w14:textId="77777777" w:rsidTr="005F5B4C">
        <w:trPr>
          <w:cantSplit/>
          <w:trHeight w:val="23"/>
        </w:trPr>
        <w:tc>
          <w:tcPr>
            <w:tcW w:w="736" w:type="pct"/>
            <w:tcBorders>
              <w:top w:val="nil"/>
              <w:left w:val="single" w:sz="2" w:space="0" w:color="auto"/>
              <w:bottom w:val="nil"/>
              <w:right w:val="single" w:sz="2" w:space="0" w:color="auto"/>
            </w:tcBorders>
          </w:tcPr>
          <w:p w14:paraId="29B2601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B1C899A" w14:textId="390B7FD6" w:rsidR="000478E1" w:rsidRPr="003E75E3" w:rsidRDefault="00D864A1" w:rsidP="009407C1">
            <w:pPr>
              <w:pStyle w:val="TableText"/>
              <w:tabs>
                <w:tab w:val="left" w:pos="3306"/>
              </w:tabs>
              <w:rPr>
                <w:rFonts w:asciiTheme="minorHAnsi" w:hAnsiTheme="minorHAnsi" w:cstheme="minorHAnsi"/>
              </w:rPr>
            </w:pPr>
            <w:r w:rsidRPr="00D864A1">
              <w:rPr>
                <w:rFonts w:asciiTheme="minorHAnsi" w:hAnsiTheme="minorHAnsi" w:cstheme="minorHAnsi"/>
                <w:color w:val="FF0000"/>
              </w:rPr>
              <w:t xml:space="preserve">Expected Credit Loss </w:t>
            </w:r>
            <w:r w:rsidR="000478E1" w:rsidRPr="003E75E3">
              <w:rPr>
                <w:rFonts w:asciiTheme="minorHAnsi" w:hAnsiTheme="minorHAnsi" w:cstheme="minorHAnsi"/>
              </w:rPr>
              <w:t xml:space="preserve">Allowance </w:t>
            </w:r>
            <w:r w:rsidR="000478E1" w:rsidRPr="00D864A1">
              <w:rPr>
                <w:rFonts w:cs="Calibri"/>
                <w:strike/>
                <w:color w:val="FF0000"/>
              </w:rPr>
              <w:t>for Impairment Losses</w:t>
            </w:r>
            <w:r w:rsidR="000478E1" w:rsidRPr="00D864A1">
              <w:rPr>
                <w:rFonts w:cs="Calibri"/>
                <w:color w:val="FF0000"/>
              </w:rPr>
              <w:t xml:space="preserve"> </w:t>
            </w:r>
            <w:r w:rsidR="000478E1"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50D7A479" w14:textId="77777777" w:rsidR="000478E1" w:rsidRPr="003E75E3" w:rsidRDefault="000478E1" w:rsidP="000478E1">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7BCD9364" w14:textId="77777777" w:rsidR="000478E1" w:rsidRPr="003E75E3" w:rsidRDefault="000478E1" w:rsidP="000478E1">
            <w:pPr>
              <w:pStyle w:val="TableText"/>
              <w:tabs>
                <w:tab w:val="left" w:pos="3306"/>
              </w:tabs>
              <w:jc w:val="right"/>
              <w:rPr>
                <w:rFonts w:asciiTheme="minorHAnsi" w:hAnsiTheme="minorHAnsi" w:cstheme="minorHAnsi"/>
                <w:strike/>
              </w:rPr>
            </w:pPr>
          </w:p>
        </w:tc>
      </w:tr>
      <w:tr w:rsidR="000478E1" w:rsidRPr="001E4E9E" w14:paraId="2DDD8953" w14:textId="77777777" w:rsidTr="005F5B4C">
        <w:trPr>
          <w:cantSplit/>
          <w:trHeight w:val="23"/>
        </w:trPr>
        <w:tc>
          <w:tcPr>
            <w:tcW w:w="736" w:type="pct"/>
            <w:tcBorders>
              <w:top w:val="nil"/>
              <w:left w:val="single" w:sz="2" w:space="0" w:color="auto"/>
              <w:bottom w:val="nil"/>
              <w:right w:val="single" w:sz="2" w:space="0" w:color="auto"/>
            </w:tcBorders>
          </w:tcPr>
          <w:p w14:paraId="3FCBEAF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D013410" w14:textId="77777777" w:rsidR="000478E1" w:rsidRPr="003E75E3" w:rsidRDefault="000478E1" w:rsidP="009407C1">
            <w:pPr>
              <w:pStyle w:val="TableText"/>
              <w:tabs>
                <w:tab w:val="left" w:pos="3306"/>
              </w:tabs>
              <w:rPr>
                <w:rFonts w:asciiTheme="minorHAnsi" w:hAnsiTheme="minorHAnsi" w:cstheme="minorHAnsi"/>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0236FDBE"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12B110C8" w14:textId="77777777" w:rsidR="000478E1" w:rsidRPr="003E75E3" w:rsidRDefault="000478E1" w:rsidP="000478E1">
            <w:pPr>
              <w:pStyle w:val="TableText"/>
              <w:tabs>
                <w:tab w:val="left" w:pos="3306"/>
              </w:tabs>
              <w:jc w:val="right"/>
              <w:rPr>
                <w:rFonts w:asciiTheme="minorHAnsi" w:hAnsiTheme="minorHAnsi" w:cstheme="minorHAnsi"/>
              </w:rPr>
            </w:pPr>
          </w:p>
        </w:tc>
      </w:tr>
      <w:tr w:rsidR="000478E1" w:rsidRPr="001E4E9E" w14:paraId="34DFFE2B" w14:textId="77777777" w:rsidTr="005F5B4C">
        <w:trPr>
          <w:cantSplit/>
          <w:trHeight w:val="23"/>
        </w:trPr>
        <w:tc>
          <w:tcPr>
            <w:tcW w:w="736" w:type="pct"/>
            <w:tcBorders>
              <w:top w:val="nil"/>
              <w:left w:val="single" w:sz="2" w:space="0" w:color="auto"/>
              <w:bottom w:val="nil"/>
              <w:right w:val="single" w:sz="2" w:space="0" w:color="auto"/>
            </w:tcBorders>
          </w:tcPr>
          <w:p w14:paraId="26E9F644"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899629F" w14:textId="77777777" w:rsidR="000478E1" w:rsidRPr="003E75E3" w:rsidRDefault="000478E1" w:rsidP="009407C1">
            <w:pPr>
              <w:pStyle w:val="Commentary-Bullet"/>
              <w:numPr>
                <w:ilvl w:val="0"/>
                <w:numId w:val="0"/>
              </w:numPr>
              <w:spacing w:before="40"/>
              <w:jc w:val="left"/>
              <w:rPr>
                <w:rFonts w:asciiTheme="minorHAnsi" w:hAnsiTheme="minorHAnsi" w:cstheme="minorHAnsi"/>
                <w:sz w:val="18"/>
                <w:szCs w:val="18"/>
              </w:rPr>
            </w:pPr>
            <w:r w:rsidRPr="003E75E3">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2F695863"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777093B8" w14:textId="77777777" w:rsidR="000478E1" w:rsidRPr="003E75E3" w:rsidRDefault="000478E1" w:rsidP="000478E1">
            <w:pPr>
              <w:pStyle w:val="TableText"/>
              <w:tabs>
                <w:tab w:val="left" w:pos="3306"/>
              </w:tabs>
              <w:jc w:val="right"/>
              <w:rPr>
                <w:rFonts w:asciiTheme="minorHAnsi" w:hAnsiTheme="minorHAnsi" w:cstheme="minorHAnsi"/>
              </w:rPr>
            </w:pPr>
          </w:p>
        </w:tc>
      </w:tr>
      <w:tr w:rsidR="000478E1" w:rsidRPr="001E4E9E" w14:paraId="67B950B4" w14:textId="77777777" w:rsidTr="005F5B4C">
        <w:trPr>
          <w:cantSplit/>
          <w:trHeight w:val="23"/>
        </w:trPr>
        <w:tc>
          <w:tcPr>
            <w:tcW w:w="736" w:type="pct"/>
            <w:tcBorders>
              <w:top w:val="nil"/>
              <w:left w:val="single" w:sz="2" w:space="0" w:color="auto"/>
              <w:bottom w:val="nil"/>
              <w:right w:val="single" w:sz="2" w:space="0" w:color="auto"/>
            </w:tcBorders>
          </w:tcPr>
          <w:p w14:paraId="10268912" w14:textId="2B0599F9"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1653C06" w14:textId="77777777" w:rsidR="000478E1" w:rsidRPr="003E75E3" w:rsidRDefault="000478E1" w:rsidP="009407C1">
            <w:pPr>
              <w:pStyle w:val="Commentary-Bullet"/>
              <w:numPr>
                <w:ilvl w:val="0"/>
                <w:numId w:val="0"/>
              </w:numPr>
              <w:spacing w:after="0"/>
              <w:jc w:val="left"/>
              <w:rPr>
                <w:rFonts w:asciiTheme="minorHAnsi" w:hAnsiTheme="minorHAnsi" w:cstheme="minorHAnsi"/>
                <w:sz w:val="18"/>
                <w:szCs w:val="18"/>
              </w:rPr>
            </w:pPr>
            <w:r w:rsidRPr="003E75E3">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13BC8CC5"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43712C32" w14:textId="77777777" w:rsidR="000478E1" w:rsidRPr="003E75E3" w:rsidRDefault="000478E1" w:rsidP="000478E1">
            <w:pPr>
              <w:pStyle w:val="TableText"/>
              <w:tabs>
                <w:tab w:val="left" w:pos="3306"/>
              </w:tabs>
              <w:ind w:left="360"/>
              <w:jc w:val="center"/>
              <w:rPr>
                <w:rFonts w:asciiTheme="minorHAnsi" w:hAnsiTheme="minorHAnsi" w:cstheme="minorHAnsi"/>
              </w:rPr>
            </w:pPr>
          </w:p>
        </w:tc>
      </w:tr>
      <w:tr w:rsidR="000478E1" w:rsidRPr="001E4E9E" w14:paraId="65B9F60C" w14:textId="77777777" w:rsidTr="005F5B4C">
        <w:trPr>
          <w:cantSplit/>
          <w:trHeight w:val="23"/>
        </w:trPr>
        <w:tc>
          <w:tcPr>
            <w:tcW w:w="736" w:type="pct"/>
            <w:tcBorders>
              <w:top w:val="nil"/>
              <w:left w:val="single" w:sz="2" w:space="0" w:color="auto"/>
              <w:bottom w:val="nil"/>
              <w:right w:val="single" w:sz="2" w:space="0" w:color="auto"/>
            </w:tcBorders>
          </w:tcPr>
          <w:p w14:paraId="4B5A01B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7010B78" w14:textId="0933F8A2" w:rsidR="000478E1" w:rsidRPr="003E75E3" w:rsidRDefault="00D864A1" w:rsidP="000478E1">
            <w:pPr>
              <w:pStyle w:val="TableText"/>
              <w:tabs>
                <w:tab w:val="left" w:pos="3306"/>
              </w:tabs>
              <w:spacing w:before="0"/>
              <w:rPr>
                <w:rFonts w:asciiTheme="minorHAnsi" w:hAnsiTheme="minorHAnsi" w:cstheme="minorHAnsi"/>
                <w:b/>
                <w:bCs/>
              </w:rPr>
            </w:pPr>
            <w:r w:rsidRPr="00D864A1">
              <w:rPr>
                <w:rFonts w:asciiTheme="minorHAnsi" w:hAnsiTheme="minorHAnsi" w:cstheme="minorHAnsi"/>
                <w:b/>
                <w:bCs/>
                <w:color w:val="FF0000"/>
              </w:rPr>
              <w:t>Expected Credit Loss</w:t>
            </w:r>
            <w:r w:rsidRPr="00D864A1">
              <w:rPr>
                <w:rFonts w:asciiTheme="minorHAnsi" w:hAnsiTheme="minorHAnsi" w:cstheme="minorHAnsi"/>
                <w:color w:val="FF0000"/>
              </w:rPr>
              <w:t xml:space="preserve"> </w:t>
            </w:r>
            <w:r w:rsidR="000478E1" w:rsidRPr="003E75E3">
              <w:rPr>
                <w:rFonts w:asciiTheme="minorHAnsi" w:hAnsiTheme="minorHAnsi" w:cstheme="minorHAnsi"/>
                <w:b/>
                <w:bCs/>
              </w:rPr>
              <w:t xml:space="preserve">Allowance </w:t>
            </w:r>
            <w:r w:rsidR="000478E1" w:rsidRPr="00D864A1">
              <w:rPr>
                <w:rFonts w:asciiTheme="minorHAnsi" w:hAnsiTheme="minorHAnsi" w:cstheme="minorHAnsi"/>
                <w:b/>
                <w:bCs/>
                <w:strike/>
                <w:color w:val="FF0000"/>
              </w:rPr>
              <w:t>for Impairment Losses</w:t>
            </w:r>
            <w:r w:rsidR="000478E1" w:rsidRPr="00D864A1">
              <w:rPr>
                <w:rFonts w:asciiTheme="minorHAnsi" w:hAnsiTheme="minorHAnsi" w:cstheme="minorHAnsi"/>
                <w:b/>
                <w:bCs/>
                <w:color w:val="FF0000"/>
              </w:rPr>
              <w:t xml:space="preserve"> </w:t>
            </w:r>
            <w:r w:rsidR="000478E1" w:rsidRPr="003E75E3">
              <w:rPr>
                <w:rFonts w:asciiTheme="minorHAnsi" w:hAnsiTheme="minorHAnsi" w:cstheme="minorHAnsi"/>
                <w:b/>
                <w:bCs/>
              </w:rPr>
              <w:t xml:space="preserve">at the End of the Reporting Period </w:t>
            </w:r>
          </w:p>
        </w:tc>
        <w:tc>
          <w:tcPr>
            <w:tcW w:w="533" w:type="pct"/>
            <w:tcBorders>
              <w:top w:val="single" w:sz="4" w:space="0" w:color="auto"/>
              <w:left w:val="nil"/>
              <w:bottom w:val="double" w:sz="4" w:space="0" w:color="auto"/>
              <w:right w:val="nil"/>
            </w:tcBorders>
            <w:vAlign w:val="bottom"/>
          </w:tcPr>
          <w:p w14:paraId="5E21DEB2"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54694647"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6BDD1D8" w14:textId="77777777" w:rsidTr="005F5B4C">
        <w:trPr>
          <w:cantSplit/>
          <w:trHeight w:val="23"/>
        </w:trPr>
        <w:tc>
          <w:tcPr>
            <w:tcW w:w="736" w:type="pct"/>
            <w:tcBorders>
              <w:top w:val="nil"/>
              <w:left w:val="single" w:sz="2" w:space="0" w:color="auto"/>
              <w:bottom w:val="nil"/>
              <w:right w:val="single" w:sz="2" w:space="0" w:color="auto"/>
            </w:tcBorders>
          </w:tcPr>
          <w:p w14:paraId="21699C7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A4A792" w14:textId="77777777" w:rsidR="000478E1" w:rsidRPr="003E75E3" w:rsidRDefault="000478E1" w:rsidP="000478E1">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6BD6F2C"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4C5EAA73"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4304D7" w14:paraId="7364D55A" w14:textId="77777777" w:rsidTr="005F5B4C">
        <w:trPr>
          <w:cantSplit/>
          <w:trHeight w:val="23"/>
        </w:trPr>
        <w:tc>
          <w:tcPr>
            <w:tcW w:w="736" w:type="pct"/>
            <w:tcBorders>
              <w:top w:val="nil"/>
              <w:left w:val="single" w:sz="2" w:space="0" w:color="auto"/>
              <w:bottom w:val="nil"/>
              <w:right w:val="single" w:sz="2" w:space="0" w:color="auto"/>
            </w:tcBorders>
          </w:tcPr>
          <w:p w14:paraId="6A3A323F"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7.35K</w:t>
            </w:r>
          </w:p>
        </w:tc>
        <w:tc>
          <w:tcPr>
            <w:tcW w:w="4264" w:type="pct"/>
            <w:gridSpan w:val="4"/>
            <w:tcBorders>
              <w:top w:val="nil"/>
              <w:left w:val="single" w:sz="2" w:space="0" w:color="auto"/>
              <w:bottom w:val="nil"/>
              <w:right w:val="nil"/>
            </w:tcBorders>
            <w:shd w:val="clear" w:color="auto" w:fill="auto"/>
            <w:vAlign w:val="bottom"/>
          </w:tcPr>
          <w:p w14:paraId="55A699BD" w14:textId="29D601B2" w:rsidR="000478E1" w:rsidRPr="003E75E3" w:rsidRDefault="000478E1" w:rsidP="000478E1">
            <w:pPr>
              <w:pStyle w:val="CommentaryText"/>
              <w:rPr>
                <w:rFonts w:asciiTheme="minorHAnsi" w:hAnsiTheme="minorHAnsi" w:cstheme="minorHAnsi"/>
                <w:sz w:val="18"/>
                <w:szCs w:val="18"/>
              </w:rPr>
            </w:pPr>
            <w:r w:rsidRPr="003E75E3">
              <w:rPr>
                <w:rFonts w:asciiTheme="minorHAnsi" w:hAnsiTheme="minorHAnsi" w:cstheme="minorHAnsi"/>
                <w:sz w:val="18"/>
                <w:szCs w:val="18"/>
              </w:rPr>
              <w:t xml:space="preserve">The maximum exposure to credit risk at the end of the reporting period for Receivables is the carrying amount of the asset inclusive of any </w:t>
            </w:r>
            <w:r w:rsidR="00D864A1" w:rsidRPr="00D864A1">
              <w:rPr>
                <w:rFonts w:asciiTheme="minorHAnsi" w:hAnsiTheme="minorHAnsi" w:cstheme="minorHAnsi"/>
                <w:color w:val="FF0000"/>
                <w:sz w:val="18"/>
                <w:szCs w:val="18"/>
              </w:rPr>
              <w:t xml:space="preserve">Expected Credit Loss </w:t>
            </w:r>
            <w:r w:rsidRPr="003E75E3">
              <w:rPr>
                <w:rFonts w:asciiTheme="minorHAnsi" w:hAnsiTheme="minorHAnsi" w:cstheme="minorHAnsi"/>
                <w:sz w:val="18"/>
                <w:szCs w:val="18"/>
              </w:rPr>
              <w:t xml:space="preserve">allowance </w:t>
            </w:r>
            <w:r w:rsidRPr="00D864A1">
              <w:rPr>
                <w:rFonts w:asciiTheme="minorHAnsi" w:hAnsiTheme="minorHAnsi" w:cstheme="minorHAnsi"/>
                <w:strike/>
                <w:color w:val="FF0000"/>
                <w:sz w:val="18"/>
                <w:szCs w:val="18"/>
              </w:rPr>
              <w:t>for impairment</w:t>
            </w:r>
            <w:r w:rsidRPr="00D864A1">
              <w:rPr>
                <w:rFonts w:asciiTheme="minorHAnsi" w:hAnsiTheme="minorHAnsi" w:cstheme="minorHAnsi"/>
                <w:color w:val="FF0000"/>
                <w:sz w:val="18"/>
                <w:szCs w:val="18"/>
              </w:rPr>
              <w:t xml:space="preserve"> </w:t>
            </w:r>
            <w:r w:rsidRPr="003E75E3">
              <w:rPr>
                <w:rFonts w:asciiTheme="minorHAnsi" w:hAnsiTheme="minorHAnsi" w:cstheme="minorHAnsi"/>
                <w:sz w:val="18"/>
                <w:szCs w:val="18"/>
              </w:rPr>
              <w:t>as shown in the table above.</w:t>
            </w:r>
          </w:p>
        </w:tc>
      </w:tr>
      <w:tr w:rsidR="000478E1" w:rsidRPr="004304D7" w14:paraId="032BD6BA" w14:textId="77777777" w:rsidTr="005F5B4C">
        <w:trPr>
          <w:cantSplit/>
          <w:trHeight w:val="23"/>
        </w:trPr>
        <w:tc>
          <w:tcPr>
            <w:tcW w:w="736" w:type="pct"/>
            <w:tcBorders>
              <w:top w:val="nil"/>
              <w:left w:val="single" w:sz="2" w:space="0" w:color="auto"/>
              <w:bottom w:val="nil"/>
              <w:right w:val="single" w:sz="2" w:space="0" w:color="auto"/>
            </w:tcBorders>
          </w:tcPr>
          <w:p w14:paraId="69FCAA89" w14:textId="77777777" w:rsidR="000478E1" w:rsidRPr="003E75E3" w:rsidRDefault="000478E1" w:rsidP="000478E1">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shd w:val="clear" w:color="auto" w:fill="auto"/>
            <w:vAlign w:val="bottom"/>
          </w:tcPr>
          <w:p w14:paraId="1D272E67" w14:textId="0FE66CDF" w:rsidR="000478E1" w:rsidRPr="003E75E3" w:rsidRDefault="000478E1" w:rsidP="000478E1">
            <w:pPr>
              <w:pStyle w:val="CommentaryText"/>
              <w:spacing w:after="40"/>
              <w:rPr>
                <w:rFonts w:asciiTheme="minorHAnsi" w:hAnsiTheme="minorHAnsi" w:cstheme="minorHAnsi"/>
                <w:b/>
                <w:bCs/>
                <w:sz w:val="18"/>
                <w:szCs w:val="18"/>
              </w:rPr>
            </w:pPr>
            <w:r w:rsidRPr="003E75E3">
              <w:rPr>
                <w:rFonts w:asciiTheme="minorHAnsi" w:hAnsiTheme="minorHAnsi" w:cstheme="minorHAnsi"/>
                <w:b/>
                <w:bCs/>
                <w:sz w:val="18"/>
                <w:szCs w:val="18"/>
              </w:rPr>
              <w:t>Lessor of Finance Leases</w:t>
            </w:r>
          </w:p>
        </w:tc>
      </w:tr>
      <w:tr w:rsidR="000478E1" w:rsidRPr="004304D7" w14:paraId="3780C1F4" w14:textId="77777777" w:rsidTr="005F5B4C">
        <w:trPr>
          <w:cantSplit/>
          <w:trHeight w:val="23"/>
        </w:trPr>
        <w:tc>
          <w:tcPr>
            <w:tcW w:w="736" w:type="pct"/>
            <w:tcBorders>
              <w:top w:val="nil"/>
              <w:left w:val="single" w:sz="2" w:space="0" w:color="auto"/>
              <w:bottom w:val="nil"/>
              <w:right w:val="single" w:sz="2" w:space="0" w:color="auto"/>
            </w:tcBorders>
          </w:tcPr>
          <w:p w14:paraId="3772AA26" w14:textId="4992433B"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16.94</w:t>
            </w:r>
          </w:p>
        </w:tc>
        <w:tc>
          <w:tcPr>
            <w:tcW w:w="4264" w:type="pct"/>
            <w:gridSpan w:val="4"/>
            <w:tcBorders>
              <w:top w:val="nil"/>
              <w:left w:val="single" w:sz="2" w:space="0" w:color="auto"/>
              <w:bottom w:val="nil"/>
              <w:right w:val="nil"/>
            </w:tcBorders>
            <w:shd w:val="clear" w:color="auto" w:fill="auto"/>
            <w:vAlign w:val="bottom"/>
          </w:tcPr>
          <w:p w14:paraId="44F649F9" w14:textId="01B17DEA" w:rsidR="000478E1" w:rsidRPr="003E75E3" w:rsidRDefault="000478E1" w:rsidP="000478E1">
            <w:pPr>
              <w:pStyle w:val="CommentaryText"/>
              <w:rPr>
                <w:sz w:val="18"/>
                <w:szCs w:val="18"/>
              </w:rPr>
            </w:pPr>
            <w:r w:rsidRPr="003E75E3">
              <w:rPr>
                <w:sz w:val="18"/>
                <w:szCs w:val="18"/>
              </w:rPr>
              <w:t>Maturity analysis of lease receivable showing the undiscounted lease payments to be received after reporting date for finance leases:</w:t>
            </w:r>
          </w:p>
        </w:tc>
      </w:tr>
      <w:tr w:rsidR="000478E1" w:rsidRPr="004304D7" w14:paraId="4F149109" w14:textId="77777777" w:rsidTr="005F5B4C">
        <w:trPr>
          <w:cantSplit/>
          <w:trHeight w:val="23"/>
        </w:trPr>
        <w:tc>
          <w:tcPr>
            <w:tcW w:w="736" w:type="pct"/>
            <w:tcBorders>
              <w:top w:val="nil"/>
              <w:left w:val="single" w:sz="2" w:space="0" w:color="auto"/>
              <w:bottom w:val="nil"/>
              <w:right w:val="single" w:sz="2" w:space="0" w:color="auto"/>
            </w:tcBorders>
          </w:tcPr>
          <w:p w14:paraId="6A6B4C5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195F2DB" w14:textId="40784FEB"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&lt; 1 year</w:t>
            </w:r>
          </w:p>
        </w:tc>
        <w:tc>
          <w:tcPr>
            <w:tcW w:w="533" w:type="pct"/>
            <w:tcBorders>
              <w:top w:val="nil"/>
              <w:left w:val="nil"/>
              <w:bottom w:val="nil"/>
              <w:right w:val="nil"/>
            </w:tcBorders>
            <w:shd w:val="clear" w:color="auto" w:fill="auto"/>
            <w:vAlign w:val="bottom"/>
          </w:tcPr>
          <w:p w14:paraId="5092A67B"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315CC594" w14:textId="6E878F6B"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B4A6453" w14:textId="77777777" w:rsidTr="005F5B4C">
        <w:trPr>
          <w:cantSplit/>
          <w:trHeight w:val="23"/>
        </w:trPr>
        <w:tc>
          <w:tcPr>
            <w:tcW w:w="736" w:type="pct"/>
            <w:tcBorders>
              <w:top w:val="nil"/>
              <w:left w:val="single" w:sz="2" w:space="0" w:color="auto"/>
              <w:bottom w:val="nil"/>
              <w:right w:val="single" w:sz="2" w:space="0" w:color="auto"/>
            </w:tcBorders>
          </w:tcPr>
          <w:p w14:paraId="41F25165"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08295B26" w14:textId="17F6DB56"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1 – 2 years</w:t>
            </w:r>
          </w:p>
        </w:tc>
        <w:tc>
          <w:tcPr>
            <w:tcW w:w="533" w:type="pct"/>
            <w:tcBorders>
              <w:top w:val="nil"/>
              <w:left w:val="nil"/>
              <w:bottom w:val="nil"/>
              <w:right w:val="nil"/>
            </w:tcBorders>
            <w:shd w:val="clear" w:color="auto" w:fill="auto"/>
            <w:vAlign w:val="bottom"/>
          </w:tcPr>
          <w:p w14:paraId="359A70E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00EA65A7"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0D5929F5" w14:textId="77777777" w:rsidTr="005F5B4C">
        <w:trPr>
          <w:cantSplit/>
          <w:trHeight w:val="23"/>
        </w:trPr>
        <w:tc>
          <w:tcPr>
            <w:tcW w:w="736" w:type="pct"/>
            <w:tcBorders>
              <w:top w:val="nil"/>
              <w:left w:val="single" w:sz="2" w:space="0" w:color="auto"/>
              <w:bottom w:val="nil"/>
              <w:right w:val="single" w:sz="2" w:space="0" w:color="auto"/>
            </w:tcBorders>
          </w:tcPr>
          <w:p w14:paraId="3D4C4C27"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33125115" w14:textId="4D0B659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2 – 3 years</w:t>
            </w:r>
          </w:p>
        </w:tc>
        <w:tc>
          <w:tcPr>
            <w:tcW w:w="533" w:type="pct"/>
            <w:tcBorders>
              <w:top w:val="nil"/>
              <w:left w:val="nil"/>
              <w:bottom w:val="nil"/>
              <w:right w:val="nil"/>
            </w:tcBorders>
            <w:shd w:val="clear" w:color="auto" w:fill="auto"/>
            <w:vAlign w:val="bottom"/>
          </w:tcPr>
          <w:p w14:paraId="60BD4F18"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59903BF6"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22CC4DF" w14:textId="77777777" w:rsidTr="005F5B4C">
        <w:trPr>
          <w:cantSplit/>
          <w:trHeight w:val="23"/>
        </w:trPr>
        <w:tc>
          <w:tcPr>
            <w:tcW w:w="736" w:type="pct"/>
            <w:tcBorders>
              <w:top w:val="nil"/>
              <w:left w:val="single" w:sz="2" w:space="0" w:color="auto"/>
              <w:bottom w:val="nil"/>
              <w:right w:val="single" w:sz="2" w:space="0" w:color="auto"/>
            </w:tcBorders>
          </w:tcPr>
          <w:p w14:paraId="7F613CF6"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06C9B42" w14:textId="7A050365"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3 – 4 years</w:t>
            </w:r>
          </w:p>
        </w:tc>
        <w:tc>
          <w:tcPr>
            <w:tcW w:w="533" w:type="pct"/>
            <w:tcBorders>
              <w:top w:val="nil"/>
              <w:left w:val="nil"/>
              <w:bottom w:val="nil"/>
              <w:right w:val="nil"/>
            </w:tcBorders>
            <w:shd w:val="clear" w:color="auto" w:fill="auto"/>
            <w:vAlign w:val="bottom"/>
          </w:tcPr>
          <w:p w14:paraId="718D106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4BBB796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9960E0F" w14:textId="77777777" w:rsidTr="005F5B4C">
        <w:trPr>
          <w:cantSplit/>
          <w:trHeight w:val="23"/>
        </w:trPr>
        <w:tc>
          <w:tcPr>
            <w:tcW w:w="736" w:type="pct"/>
            <w:tcBorders>
              <w:top w:val="nil"/>
              <w:left w:val="single" w:sz="2" w:space="0" w:color="auto"/>
              <w:bottom w:val="nil"/>
              <w:right w:val="single" w:sz="2" w:space="0" w:color="auto"/>
            </w:tcBorders>
          </w:tcPr>
          <w:p w14:paraId="4E622AF1"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7164C6C" w14:textId="0476A2F8"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4 – 5 years</w:t>
            </w:r>
          </w:p>
        </w:tc>
        <w:tc>
          <w:tcPr>
            <w:tcW w:w="533" w:type="pct"/>
            <w:tcBorders>
              <w:top w:val="nil"/>
              <w:left w:val="nil"/>
              <w:bottom w:val="nil"/>
              <w:right w:val="nil"/>
            </w:tcBorders>
            <w:shd w:val="clear" w:color="auto" w:fill="auto"/>
            <w:vAlign w:val="bottom"/>
          </w:tcPr>
          <w:p w14:paraId="1D7EA227"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1E1F809F"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A929D43" w14:textId="77777777" w:rsidTr="005F5B4C">
        <w:trPr>
          <w:cantSplit/>
          <w:trHeight w:val="23"/>
        </w:trPr>
        <w:tc>
          <w:tcPr>
            <w:tcW w:w="736" w:type="pct"/>
            <w:tcBorders>
              <w:top w:val="nil"/>
              <w:left w:val="single" w:sz="2" w:space="0" w:color="auto"/>
              <w:bottom w:val="nil"/>
              <w:right w:val="single" w:sz="2" w:space="0" w:color="auto"/>
            </w:tcBorders>
          </w:tcPr>
          <w:p w14:paraId="23EA30B4"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A5B40D4" w14:textId="384362B3"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Greater than 5 years</w:t>
            </w:r>
          </w:p>
        </w:tc>
        <w:tc>
          <w:tcPr>
            <w:tcW w:w="533" w:type="pct"/>
            <w:tcBorders>
              <w:top w:val="nil"/>
              <w:left w:val="nil"/>
              <w:bottom w:val="single" w:sz="2" w:space="0" w:color="auto"/>
              <w:right w:val="nil"/>
            </w:tcBorders>
            <w:shd w:val="clear" w:color="auto" w:fill="auto"/>
            <w:vAlign w:val="bottom"/>
          </w:tcPr>
          <w:p w14:paraId="49D3043E"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2" w:space="0" w:color="auto"/>
              <w:right w:val="nil"/>
            </w:tcBorders>
            <w:shd w:val="clear" w:color="auto" w:fill="auto"/>
            <w:vAlign w:val="bottom"/>
          </w:tcPr>
          <w:p w14:paraId="3F56A8B2"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F1F5166" w14:textId="77777777" w:rsidTr="005F5B4C">
        <w:trPr>
          <w:cantSplit/>
          <w:trHeight w:val="23"/>
        </w:trPr>
        <w:tc>
          <w:tcPr>
            <w:tcW w:w="736" w:type="pct"/>
            <w:tcBorders>
              <w:top w:val="nil"/>
              <w:left w:val="single" w:sz="2" w:space="0" w:color="auto"/>
              <w:bottom w:val="nil"/>
              <w:right w:val="single" w:sz="2" w:space="0" w:color="auto"/>
            </w:tcBorders>
          </w:tcPr>
          <w:p w14:paraId="60A8CCD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6C6C38C" w14:textId="69CABED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b/>
                <w:sz w:val="18"/>
                <w:szCs w:val="18"/>
              </w:rPr>
              <w:t>Total Lease Receivables</w:t>
            </w:r>
          </w:p>
        </w:tc>
        <w:tc>
          <w:tcPr>
            <w:tcW w:w="533" w:type="pct"/>
            <w:tcBorders>
              <w:top w:val="single" w:sz="2" w:space="0" w:color="auto"/>
              <w:left w:val="nil"/>
              <w:bottom w:val="single" w:sz="2" w:space="0" w:color="auto"/>
              <w:right w:val="nil"/>
            </w:tcBorders>
            <w:shd w:val="clear" w:color="auto" w:fill="auto"/>
            <w:vAlign w:val="bottom"/>
          </w:tcPr>
          <w:p w14:paraId="5248A63A"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single" w:sz="2" w:space="0" w:color="auto"/>
              <w:right w:val="nil"/>
            </w:tcBorders>
            <w:shd w:val="clear" w:color="auto" w:fill="auto"/>
            <w:vAlign w:val="bottom"/>
          </w:tcPr>
          <w:p w14:paraId="481DED2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B7A8739" w14:textId="77777777" w:rsidTr="005F5B4C">
        <w:trPr>
          <w:cantSplit/>
          <w:trHeight w:val="23"/>
        </w:trPr>
        <w:tc>
          <w:tcPr>
            <w:tcW w:w="736" w:type="pct"/>
            <w:tcBorders>
              <w:top w:val="nil"/>
              <w:left w:val="single" w:sz="2" w:space="0" w:color="auto"/>
              <w:bottom w:val="nil"/>
              <w:right w:val="single" w:sz="2" w:space="0" w:color="auto"/>
            </w:tcBorders>
          </w:tcPr>
          <w:p w14:paraId="6BF210D7"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07CFA4C" w14:textId="22E2CD8A" w:rsidR="000478E1" w:rsidRPr="003E75E3" w:rsidRDefault="000478E1" w:rsidP="000478E1">
            <w:pPr>
              <w:pStyle w:val="CommentaryText"/>
              <w:spacing w:before="40" w:after="0"/>
              <w:rPr>
                <w:rFonts w:cstheme="minorHAnsi"/>
                <w:sz w:val="18"/>
                <w:szCs w:val="18"/>
              </w:rPr>
            </w:pPr>
            <w:r w:rsidRPr="003E75E3">
              <w:rPr>
                <w:rFonts w:cstheme="minorHAnsi"/>
                <w:sz w:val="18"/>
                <w:szCs w:val="18"/>
              </w:rPr>
              <w:t>Unguaranteed Residual Value - Undiscounted</w:t>
            </w:r>
          </w:p>
        </w:tc>
        <w:tc>
          <w:tcPr>
            <w:tcW w:w="533" w:type="pct"/>
            <w:tcBorders>
              <w:top w:val="single" w:sz="2" w:space="0" w:color="auto"/>
              <w:left w:val="nil"/>
              <w:bottom w:val="nil"/>
              <w:right w:val="nil"/>
            </w:tcBorders>
            <w:shd w:val="clear" w:color="auto" w:fill="auto"/>
            <w:vAlign w:val="bottom"/>
          </w:tcPr>
          <w:p w14:paraId="159B088F"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nil"/>
              <w:right w:val="nil"/>
            </w:tcBorders>
            <w:shd w:val="clear" w:color="auto" w:fill="auto"/>
            <w:vAlign w:val="bottom"/>
          </w:tcPr>
          <w:p w14:paraId="77A40C58"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5C91EAD" w14:textId="77777777" w:rsidTr="005F5B4C">
        <w:trPr>
          <w:cantSplit/>
          <w:trHeight w:val="23"/>
        </w:trPr>
        <w:tc>
          <w:tcPr>
            <w:tcW w:w="736" w:type="pct"/>
            <w:tcBorders>
              <w:top w:val="nil"/>
              <w:left w:val="single" w:sz="2" w:space="0" w:color="auto"/>
              <w:bottom w:val="nil"/>
              <w:right w:val="single" w:sz="2" w:space="0" w:color="auto"/>
            </w:tcBorders>
          </w:tcPr>
          <w:p w14:paraId="6A3C83E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E9C844A" w14:textId="5C5E24BD"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Less: Unearned Finance Income</w:t>
            </w:r>
          </w:p>
        </w:tc>
        <w:tc>
          <w:tcPr>
            <w:tcW w:w="533" w:type="pct"/>
            <w:tcBorders>
              <w:top w:val="nil"/>
              <w:left w:val="nil"/>
              <w:bottom w:val="single" w:sz="4" w:space="0" w:color="auto"/>
              <w:right w:val="nil"/>
            </w:tcBorders>
            <w:shd w:val="clear" w:color="auto" w:fill="auto"/>
            <w:vAlign w:val="bottom"/>
          </w:tcPr>
          <w:p w14:paraId="458BE925"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4" w:space="0" w:color="auto"/>
              <w:right w:val="nil"/>
            </w:tcBorders>
            <w:shd w:val="clear" w:color="auto" w:fill="auto"/>
            <w:vAlign w:val="bottom"/>
          </w:tcPr>
          <w:p w14:paraId="237BF740"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A94703B" w14:textId="77777777" w:rsidTr="005F5B4C">
        <w:trPr>
          <w:cantSplit/>
          <w:trHeight w:val="23"/>
        </w:trPr>
        <w:tc>
          <w:tcPr>
            <w:tcW w:w="736" w:type="pct"/>
            <w:tcBorders>
              <w:top w:val="nil"/>
              <w:left w:val="single" w:sz="2" w:space="0" w:color="auto"/>
              <w:bottom w:val="nil"/>
              <w:right w:val="single" w:sz="2" w:space="0" w:color="auto"/>
            </w:tcBorders>
          </w:tcPr>
          <w:p w14:paraId="0BABF1F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E6DE280" w14:textId="23338D0A" w:rsidR="000478E1" w:rsidRPr="003E75E3" w:rsidRDefault="000478E1" w:rsidP="000478E1">
            <w:pPr>
              <w:pStyle w:val="CommentaryText"/>
              <w:spacing w:before="40" w:after="0"/>
              <w:rPr>
                <w:rFonts w:cstheme="minorHAnsi"/>
                <w:sz w:val="18"/>
                <w:szCs w:val="18"/>
              </w:rPr>
            </w:pPr>
            <w:r w:rsidRPr="003E75E3">
              <w:rPr>
                <w:b/>
                <w:bCs/>
                <w:sz w:val="18"/>
                <w:szCs w:val="18"/>
              </w:rPr>
              <w:t>Net Investment in the Finance Lease</w:t>
            </w:r>
          </w:p>
        </w:tc>
        <w:tc>
          <w:tcPr>
            <w:tcW w:w="533" w:type="pct"/>
            <w:tcBorders>
              <w:top w:val="single" w:sz="4" w:space="0" w:color="auto"/>
              <w:left w:val="nil"/>
              <w:bottom w:val="double" w:sz="4" w:space="0" w:color="auto"/>
              <w:right w:val="nil"/>
            </w:tcBorders>
            <w:shd w:val="clear" w:color="auto" w:fill="auto"/>
            <w:vAlign w:val="bottom"/>
          </w:tcPr>
          <w:p w14:paraId="38971F91"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4" w:space="0" w:color="auto"/>
              <w:left w:val="nil"/>
              <w:bottom w:val="double" w:sz="4" w:space="0" w:color="auto"/>
              <w:right w:val="nil"/>
            </w:tcBorders>
            <w:shd w:val="clear" w:color="auto" w:fill="auto"/>
            <w:vAlign w:val="bottom"/>
          </w:tcPr>
          <w:p w14:paraId="18A2DA11" w14:textId="77777777" w:rsidR="000478E1" w:rsidRPr="003E75E3" w:rsidRDefault="000478E1" w:rsidP="000478E1">
            <w:pPr>
              <w:pStyle w:val="CommentaryText"/>
              <w:spacing w:after="0"/>
              <w:rPr>
                <w:rFonts w:asciiTheme="minorHAnsi" w:hAnsiTheme="minorHAnsi" w:cstheme="minorHAnsi"/>
                <w:sz w:val="18"/>
                <w:szCs w:val="18"/>
              </w:rPr>
            </w:pPr>
          </w:p>
        </w:tc>
      </w:tr>
    </w:tbl>
    <w:p w14:paraId="44D314F2" w14:textId="77777777" w:rsidR="00641FF6" w:rsidRDefault="00641FF6"/>
    <w:p w14:paraId="14493E35" w14:textId="77777777" w:rsidR="00641FF6" w:rsidRDefault="00641FF6"/>
    <w:p w14:paraId="45B8090D" w14:textId="77777777" w:rsidR="00641FF6" w:rsidRDefault="00641FF6"/>
    <w:p w14:paraId="229AF924" w14:textId="58E43452" w:rsidR="00D90F91" w:rsidRDefault="00B91A27">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4304D7" w:rsidRPr="00DD296A" w14:paraId="44D15969" w14:textId="77777777" w:rsidTr="005F5B4C">
        <w:trPr>
          <w:cantSplit/>
          <w:trHeight w:val="23"/>
        </w:trPr>
        <w:tc>
          <w:tcPr>
            <w:tcW w:w="745" w:type="pct"/>
            <w:tcBorders>
              <w:top w:val="nil"/>
              <w:left w:val="single" w:sz="2" w:space="0" w:color="auto"/>
              <w:bottom w:val="nil"/>
              <w:right w:val="single" w:sz="2" w:space="0" w:color="auto"/>
            </w:tcBorders>
          </w:tcPr>
          <w:p w14:paraId="47C9FE40" w14:textId="3FAF8116" w:rsidR="004304D7" w:rsidRPr="003E75E3" w:rsidRDefault="00191F90" w:rsidP="000159C3">
            <w:pPr>
              <w:pStyle w:val="TableReference"/>
              <w:tabs>
                <w:tab w:val="left" w:pos="3306"/>
              </w:tabs>
              <w:spacing w:before="240" w:after="240"/>
              <w:rPr>
                <w:rFonts w:cs="Calibri"/>
                <w:color w:val="7030A0"/>
                <w:sz w:val="22"/>
                <w:szCs w:val="22"/>
              </w:rPr>
            </w:pPr>
            <w:r w:rsidRPr="003E75E3">
              <w:rPr>
                <w:color w:val="7030A0"/>
              </w:rPr>
              <w:br w:type="page"/>
            </w:r>
            <w:r w:rsidR="00522585"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vAlign w:val="bottom"/>
          </w:tcPr>
          <w:p w14:paraId="2B2BA7CE" w14:textId="68588725" w:rsidR="004304D7" w:rsidRPr="003E75E3" w:rsidRDefault="004304D7" w:rsidP="000159C3">
            <w:pPr>
              <w:pStyle w:val="CommentaryText"/>
              <w:spacing w:before="240" w:after="240"/>
              <w:rPr>
                <w:rFonts w:cs="Calibri"/>
                <w:b/>
                <w:color w:val="FFFFFF" w:themeColor="background1"/>
                <w:sz w:val="28"/>
                <w:szCs w:val="28"/>
              </w:rPr>
            </w:pPr>
            <w:bookmarkStart w:id="586" w:name="_Toc163106347"/>
            <w:r w:rsidRPr="003E75E3">
              <w:rPr>
                <w:rFonts w:cs="Calibri"/>
                <w:b/>
                <w:color w:val="FFFFFF" w:themeColor="background1"/>
                <w:sz w:val="28"/>
                <w:szCs w:val="28"/>
              </w:rPr>
              <w:t xml:space="preserve">Commentary – Note </w:t>
            </w:r>
            <w:r w:rsidR="001C1B00" w:rsidRPr="003E75E3">
              <w:rPr>
                <w:rFonts w:cs="Calibri"/>
                <w:b/>
                <w:color w:val="FFFFFF" w:themeColor="background1"/>
                <w:sz w:val="28"/>
                <w:szCs w:val="28"/>
              </w:rPr>
              <w:t>1</w:t>
            </w:r>
            <w:r w:rsidR="008B29B3" w:rsidRPr="003E75E3">
              <w:rPr>
                <w:rFonts w:cs="Calibri"/>
                <w:b/>
                <w:color w:val="FFFFFF" w:themeColor="background1"/>
                <w:sz w:val="28"/>
                <w:szCs w:val="28"/>
              </w:rPr>
              <w:t>6</w:t>
            </w:r>
            <w:r w:rsidRPr="003E75E3">
              <w:rPr>
                <w:rFonts w:cs="Calibri"/>
                <w:b/>
                <w:color w:val="FFFFFF" w:themeColor="background1"/>
                <w:sz w:val="28"/>
                <w:szCs w:val="28"/>
              </w:rPr>
              <w:t>: Receivables</w:t>
            </w:r>
            <w:bookmarkEnd w:id="586"/>
            <w:r w:rsidR="009143CA" w:rsidRPr="005559F1">
              <w:rPr>
                <w:rFonts w:cs="Calibri"/>
                <w:b/>
                <w:strike/>
                <w:color w:val="FF0000"/>
                <w:sz w:val="28"/>
                <w:szCs w:val="28"/>
              </w:rPr>
              <w:t xml:space="preserve"> </w:t>
            </w:r>
            <w:r w:rsidR="00EC4C82" w:rsidRPr="005559F1">
              <w:rPr>
                <w:rFonts w:cs="Calibri"/>
                <w:b/>
                <w:strike/>
                <w:color w:val="FF0000"/>
                <w:sz w:val="28"/>
                <w:szCs w:val="28"/>
              </w:rPr>
              <w:t>and Contract Assets</w:t>
            </w:r>
          </w:p>
        </w:tc>
      </w:tr>
      <w:tr w:rsidR="001869E2" w:rsidRPr="00DD296A" w14:paraId="1BDA500D" w14:textId="77777777" w:rsidTr="005F5B4C">
        <w:trPr>
          <w:cantSplit/>
          <w:trHeight w:val="23"/>
        </w:trPr>
        <w:tc>
          <w:tcPr>
            <w:tcW w:w="745" w:type="pct"/>
            <w:tcBorders>
              <w:top w:val="nil"/>
              <w:left w:val="single" w:sz="2" w:space="0" w:color="auto"/>
              <w:bottom w:val="nil"/>
              <w:right w:val="single" w:sz="2" w:space="0" w:color="auto"/>
            </w:tcBorders>
          </w:tcPr>
          <w:p w14:paraId="3A47B892" w14:textId="77777777" w:rsidR="001869E2" w:rsidRPr="003E75E3" w:rsidRDefault="001869E2">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C8094D3" w14:textId="794ECECE" w:rsidR="001869E2" w:rsidRPr="003E75E3" w:rsidRDefault="001869E2" w:rsidP="001869E2">
            <w:pPr>
              <w:pStyle w:val="CommentaryText"/>
              <w:rPr>
                <w:rFonts w:cs="Calibri"/>
                <w:b/>
                <w:bCs/>
                <w:color w:val="FFFFFF" w:themeColor="background1"/>
                <w:sz w:val="18"/>
                <w:szCs w:val="18"/>
              </w:rPr>
            </w:pPr>
            <w:r w:rsidRPr="003E75E3">
              <w:rPr>
                <w:rFonts w:cs="Calibri"/>
                <w:color w:val="FFFFFF" w:themeColor="background1"/>
                <w:sz w:val="18"/>
                <w:szCs w:val="18"/>
              </w:rPr>
              <w:t>The model provides the minimum disclosure requirements under AASB 9, with the breakdown shown in this note disclosure being an example only.</w:t>
            </w:r>
            <w:r w:rsidR="00FA7C77">
              <w:rPr>
                <w:rFonts w:cs="Calibri"/>
                <w:color w:val="FFFFFF" w:themeColor="background1"/>
                <w:sz w:val="18"/>
                <w:szCs w:val="18"/>
              </w:rPr>
              <w:t xml:space="preserve"> </w:t>
            </w:r>
            <w:r w:rsidRPr="003E75E3">
              <w:rPr>
                <w:rFonts w:cs="Calibri"/>
                <w:color w:val="FFFFFF" w:themeColor="background1"/>
                <w:sz w:val="18"/>
                <w:szCs w:val="18"/>
              </w:rPr>
              <w:t>Agencies need to adapt this note to fit their circumstances and materiality.</w:t>
            </w:r>
            <w:r w:rsidR="00FA7C77">
              <w:rPr>
                <w:rFonts w:cs="Calibri"/>
                <w:color w:val="FFFFFF" w:themeColor="background1"/>
                <w:sz w:val="18"/>
                <w:szCs w:val="18"/>
              </w:rPr>
              <w:t xml:space="preserve"> </w:t>
            </w:r>
            <w:r w:rsidRPr="003E75E3">
              <w:rPr>
                <w:rFonts w:cs="Calibri"/>
                <w:color w:val="FFFFFF" w:themeColor="background1"/>
                <w:sz w:val="18"/>
                <w:szCs w:val="18"/>
              </w:rPr>
              <w:t>Agencies should only include line items that are applicable to them where material.</w:t>
            </w:r>
            <w:r w:rsidR="00FA7C77">
              <w:rPr>
                <w:rFonts w:cs="Calibri"/>
                <w:color w:val="FFFFFF" w:themeColor="background1"/>
                <w:sz w:val="18"/>
                <w:szCs w:val="18"/>
              </w:rPr>
              <w:t xml:space="preserve"> </w:t>
            </w:r>
            <w:r w:rsidRPr="003E75E3">
              <w:rPr>
                <w:rFonts w:cs="Calibri"/>
                <w:color w:val="FFFFFF" w:themeColor="background1"/>
                <w:sz w:val="18"/>
                <w:szCs w:val="18"/>
              </w:rPr>
              <w:t>For example, where an agency does not have a material amount of contract assets then contract assets should not be included in this note.</w:t>
            </w:r>
            <w:r w:rsidR="00FA7C77">
              <w:rPr>
                <w:rFonts w:cs="Calibri"/>
                <w:color w:val="FFFFFF" w:themeColor="background1"/>
                <w:sz w:val="18"/>
                <w:szCs w:val="18"/>
              </w:rPr>
              <w:t xml:space="preserve"> </w:t>
            </w:r>
            <w:r w:rsidRPr="00C8339F">
              <w:rPr>
                <w:rFonts w:cs="Calibri"/>
                <w:strike/>
                <w:color w:val="FF0000"/>
                <w:sz w:val="18"/>
                <w:szCs w:val="18"/>
              </w:rPr>
              <w:t xml:space="preserve">Where this is the case, this note should be titled </w:t>
            </w:r>
            <w:r w:rsidRPr="00C8339F">
              <w:rPr>
                <w:rFonts w:cs="Calibri"/>
                <w:i/>
                <w:iCs/>
                <w:strike/>
                <w:color w:val="FF0000"/>
                <w:sz w:val="18"/>
                <w:szCs w:val="18"/>
              </w:rPr>
              <w:t>Receiables</w:t>
            </w:r>
            <w:r w:rsidRPr="00C8339F">
              <w:rPr>
                <w:rFonts w:cs="Calibri"/>
                <w:strike/>
                <w:color w:val="FF0000"/>
                <w:sz w:val="18"/>
                <w:szCs w:val="18"/>
              </w:rPr>
              <w:t xml:space="preserve"> and would only include receivables.</w:t>
            </w:r>
            <w:r w:rsidRPr="002C5A96">
              <w:rPr>
                <w:rFonts w:cs="Calibri"/>
                <w:strike/>
                <w:color w:val="FF0000"/>
                <w:sz w:val="18"/>
                <w:szCs w:val="18"/>
              </w:rPr>
              <w:t xml:space="preserve"> </w:t>
            </w:r>
          </w:p>
        </w:tc>
      </w:tr>
      <w:tr w:rsidR="009F2AA9" w:rsidRPr="00DD296A" w14:paraId="6FD599B9" w14:textId="77777777" w:rsidTr="005F5B4C">
        <w:trPr>
          <w:cantSplit/>
          <w:trHeight w:val="23"/>
        </w:trPr>
        <w:tc>
          <w:tcPr>
            <w:tcW w:w="745" w:type="pct"/>
            <w:tcBorders>
              <w:top w:val="nil"/>
              <w:left w:val="single" w:sz="2" w:space="0" w:color="auto"/>
              <w:bottom w:val="nil"/>
              <w:right w:val="single" w:sz="2" w:space="0" w:color="auto"/>
            </w:tcBorders>
          </w:tcPr>
          <w:p w14:paraId="4A961467" w14:textId="77777777" w:rsidR="009F2AA9" w:rsidRPr="003E75E3" w:rsidRDefault="009F2AA9">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A998D7B" w14:textId="089BF7A1" w:rsidR="009F2AA9" w:rsidRPr="003E75E3" w:rsidRDefault="009F2AA9" w:rsidP="009F2AA9">
            <w:pPr>
              <w:pStyle w:val="CommentaryText"/>
              <w:rPr>
                <w:rFonts w:cs="Calibri"/>
                <w:color w:val="FFFFFF" w:themeColor="background1"/>
                <w:sz w:val="18"/>
                <w:szCs w:val="18"/>
              </w:rPr>
            </w:pPr>
            <w:r w:rsidRPr="003E75E3">
              <w:rPr>
                <w:rFonts w:cs="Calibri"/>
                <w:color w:val="FFFFFF" w:themeColor="background1"/>
                <w:sz w:val="18"/>
                <w:szCs w:val="18"/>
              </w:rPr>
              <w:t>A ‘Reconciliation of the Loss Allowance’ needs to be included for each type of receivable/contract asset (i</w:t>
            </w:r>
            <w:r w:rsidR="002C5A96">
              <w:rPr>
                <w:rFonts w:cs="Calibri"/>
                <w:color w:val="FFFFFF" w:themeColor="background1"/>
                <w:sz w:val="18"/>
                <w:szCs w:val="18"/>
              </w:rPr>
              <w:t>.</w:t>
            </w:r>
            <w:r w:rsidRPr="003E75E3">
              <w:rPr>
                <w:rFonts w:cs="Calibri"/>
                <w:color w:val="FFFFFF" w:themeColor="background1"/>
                <w:sz w:val="18"/>
                <w:szCs w:val="18"/>
              </w:rPr>
              <w:t>e</w:t>
            </w:r>
            <w:r w:rsidR="002C5A96">
              <w:rPr>
                <w:rFonts w:cs="Calibri"/>
                <w:color w:val="FFFFFF" w:themeColor="background1"/>
                <w:sz w:val="18"/>
                <w:szCs w:val="18"/>
              </w:rPr>
              <w:t>.</w:t>
            </w:r>
            <w:r w:rsidRPr="003E75E3">
              <w:rPr>
                <w:rFonts w:cs="Calibri"/>
                <w:color w:val="FFFFFF" w:themeColor="background1"/>
                <w:sz w:val="18"/>
                <w:szCs w:val="18"/>
              </w:rPr>
              <w:t xml:space="preserve"> accounts receivable, loans receivable, contracts assets etc).</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where these </w:t>
            </w:r>
            <w:r w:rsidR="008C1960" w:rsidRPr="00A27379">
              <w:rPr>
                <w:rFonts w:cs="Calibri"/>
                <w:color w:val="FFFFFF" w:themeColor="background1"/>
                <w:sz w:val="18"/>
                <w:szCs w:val="18"/>
              </w:rPr>
              <w:t>reconciliations</w:t>
            </w:r>
            <w:r w:rsidRPr="003E75E3">
              <w:rPr>
                <w:rFonts w:cs="Calibri"/>
                <w:color w:val="FFFFFF" w:themeColor="background1"/>
                <w:sz w:val="18"/>
                <w:szCs w:val="18"/>
              </w:rPr>
              <w:t xml:space="preserve"> are not material they do not need to be separately </w:t>
            </w:r>
            <w:r w:rsidR="00E7206A" w:rsidRPr="003E75E3">
              <w:rPr>
                <w:rFonts w:cs="Calibri"/>
                <w:color w:val="FFFFFF" w:themeColor="background1"/>
                <w:sz w:val="18"/>
                <w:szCs w:val="18"/>
              </w:rPr>
              <w:t>disclosed or could be combined</w:t>
            </w:r>
            <w:r w:rsidRPr="003E75E3">
              <w:rPr>
                <w:rFonts w:cs="Calibri"/>
                <w:color w:val="FFFFFF" w:themeColor="background1"/>
                <w:sz w:val="18"/>
                <w:szCs w:val="18"/>
              </w:rPr>
              <w:t>.</w:t>
            </w:r>
            <w:r w:rsidR="00FA7C77">
              <w:rPr>
                <w:rFonts w:cs="Calibri"/>
                <w:color w:val="FFFFFF" w:themeColor="background1"/>
                <w:sz w:val="18"/>
                <w:szCs w:val="18"/>
              </w:rPr>
              <w:t xml:space="preserve">  </w:t>
            </w:r>
            <w:r w:rsidRPr="003E75E3">
              <w:rPr>
                <w:rFonts w:cs="Calibri"/>
                <w:color w:val="FFFFFF" w:themeColor="background1"/>
                <w:sz w:val="18"/>
                <w:szCs w:val="18"/>
              </w:rPr>
              <w:t xml:space="preserve"> </w:t>
            </w:r>
          </w:p>
        </w:tc>
      </w:tr>
      <w:tr w:rsidR="00B36BAC" w:rsidRPr="00DD296A" w14:paraId="57AC9D64" w14:textId="77777777" w:rsidTr="005F5B4C">
        <w:trPr>
          <w:cantSplit/>
          <w:trHeight w:val="23"/>
        </w:trPr>
        <w:tc>
          <w:tcPr>
            <w:tcW w:w="745" w:type="pct"/>
            <w:tcBorders>
              <w:top w:val="nil"/>
              <w:left w:val="single" w:sz="2" w:space="0" w:color="auto"/>
              <w:bottom w:val="nil"/>
              <w:right w:val="single" w:sz="2" w:space="0" w:color="auto"/>
            </w:tcBorders>
          </w:tcPr>
          <w:p w14:paraId="06CE12CD" w14:textId="77777777" w:rsidR="00B36BAC" w:rsidRPr="003E75E3" w:rsidRDefault="00B36BAC">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AB4083C" w14:textId="414D8D08" w:rsidR="00B36BAC" w:rsidRPr="001F4216" w:rsidRDefault="00B36BAC" w:rsidP="00CC1E25">
            <w:pPr>
              <w:pStyle w:val="CommentaryText"/>
              <w:spacing w:after="40"/>
              <w:rPr>
                <w:rFonts w:cs="Calibri"/>
                <w:b/>
                <w:bCs/>
                <w:color w:val="FFFFFF" w:themeColor="background1"/>
                <w:szCs w:val="20"/>
              </w:rPr>
            </w:pPr>
            <w:r w:rsidRPr="001F4216">
              <w:rPr>
                <w:rFonts w:cs="Calibri"/>
                <w:b/>
                <w:bCs/>
                <w:color w:val="FFFFFF" w:themeColor="background1"/>
                <w:szCs w:val="20"/>
              </w:rPr>
              <w:t>Receivables</w:t>
            </w:r>
          </w:p>
        </w:tc>
      </w:tr>
      <w:tr w:rsidR="002F2737" w:rsidRPr="00DD296A" w14:paraId="4C087EFB" w14:textId="77777777" w:rsidTr="005F5B4C">
        <w:trPr>
          <w:cantSplit/>
          <w:trHeight w:val="23"/>
        </w:trPr>
        <w:tc>
          <w:tcPr>
            <w:tcW w:w="745" w:type="pct"/>
            <w:tcBorders>
              <w:top w:val="nil"/>
              <w:left w:val="single" w:sz="2" w:space="0" w:color="auto"/>
              <w:bottom w:val="nil"/>
              <w:right w:val="single" w:sz="2" w:space="0" w:color="auto"/>
            </w:tcBorders>
          </w:tcPr>
          <w:p w14:paraId="066E0863" w14:textId="77777777" w:rsidR="002F2737" w:rsidRPr="003E75E3" w:rsidRDefault="002F2737">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4255" w:type="pct"/>
            <w:tcBorders>
              <w:top w:val="nil"/>
              <w:left w:val="single" w:sz="2" w:space="0" w:color="auto"/>
              <w:bottom w:val="nil"/>
              <w:right w:val="nil"/>
            </w:tcBorders>
            <w:shd w:val="clear" w:color="auto" w:fill="7030A0"/>
            <w:vAlign w:val="bottom"/>
          </w:tcPr>
          <w:p w14:paraId="464479FB" w14:textId="1FC387AB" w:rsidR="002F2737" w:rsidRPr="003E75E3" w:rsidRDefault="002F2737" w:rsidP="00F642D8">
            <w:pPr>
              <w:pStyle w:val="CommentaryText"/>
              <w:rPr>
                <w:rFonts w:cs="Calibri"/>
                <w:color w:val="FFFFFF" w:themeColor="background1"/>
                <w:sz w:val="18"/>
                <w:szCs w:val="18"/>
              </w:rPr>
            </w:pPr>
            <w:r w:rsidRPr="003E75E3">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3E75E3">
              <w:rPr>
                <w:rFonts w:cs="Calibri"/>
                <w:color w:val="FFFFFF" w:themeColor="background1"/>
                <w:sz w:val="18"/>
                <w:szCs w:val="18"/>
              </w:rPr>
              <w:t>They can simply state that ‘No receivables are past due or impaired.’</w:t>
            </w:r>
          </w:p>
        </w:tc>
      </w:tr>
      <w:tr w:rsidR="00D14FEE" w:rsidRPr="00DD296A" w14:paraId="5745A85D" w14:textId="77777777" w:rsidTr="005F5B4C">
        <w:trPr>
          <w:cantSplit/>
          <w:trHeight w:val="23"/>
        </w:trPr>
        <w:tc>
          <w:tcPr>
            <w:tcW w:w="745" w:type="pct"/>
            <w:tcBorders>
              <w:top w:val="nil"/>
              <w:left w:val="single" w:sz="2" w:space="0" w:color="auto"/>
              <w:bottom w:val="nil"/>
              <w:right w:val="single" w:sz="2" w:space="0" w:color="auto"/>
            </w:tcBorders>
          </w:tcPr>
          <w:p w14:paraId="56493246"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9B5.5.35</w:t>
            </w:r>
          </w:p>
          <w:p w14:paraId="511A8C82"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9B5.5.51-52</w:t>
            </w:r>
          </w:p>
        </w:tc>
        <w:tc>
          <w:tcPr>
            <w:tcW w:w="4255" w:type="pct"/>
            <w:tcBorders>
              <w:top w:val="nil"/>
              <w:left w:val="single" w:sz="2" w:space="0" w:color="auto"/>
              <w:bottom w:val="nil"/>
              <w:right w:val="nil"/>
            </w:tcBorders>
            <w:shd w:val="clear" w:color="auto" w:fill="7030A0"/>
            <w:vAlign w:val="bottom"/>
          </w:tcPr>
          <w:p w14:paraId="7DD108A5" w14:textId="228E7F62" w:rsidR="00D14FEE" w:rsidRPr="003E75E3" w:rsidRDefault="00686F2E" w:rsidP="00723914">
            <w:pPr>
              <w:spacing w:after="120"/>
              <w:jc w:val="both"/>
              <w:rPr>
                <w:rFonts w:cs="Calibri"/>
                <w:bCs/>
                <w:color w:val="FFFFFF" w:themeColor="background1"/>
                <w:sz w:val="18"/>
                <w:szCs w:val="18"/>
              </w:rPr>
            </w:pPr>
            <w:r w:rsidRPr="003E75E3">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 The information used should include factors that are specific to the borrower, general economic conditions and an assessment of both the current as well as the forecast direction of conditions at the reporting date. Agencies may use various sources of data, that may be both internal (agency-specific) and external. Possible data sources include internal historical credit loss experience, internal ratings, credit loss experience of other agencies and external ratings, reports and statistics. Agencies that have no, or insufficient, sources of entity-specific data may use peer group experience for the comparable financial instrument (or g</w:t>
            </w:r>
            <w:r w:rsidR="00DA4022" w:rsidRPr="003E75E3">
              <w:rPr>
                <w:rFonts w:eastAsia="Times"/>
                <w:color w:val="FFFFFF" w:themeColor="background1"/>
                <w:sz w:val="18"/>
                <w:szCs w:val="18"/>
              </w:rPr>
              <w:t>roups of financial instruments).</w:t>
            </w:r>
          </w:p>
        </w:tc>
      </w:tr>
      <w:tr w:rsidR="00011C67" w:rsidRPr="00DD296A" w14:paraId="16DE2E33" w14:textId="77777777" w:rsidTr="005F5B4C">
        <w:trPr>
          <w:cantSplit/>
          <w:trHeight w:val="23"/>
        </w:trPr>
        <w:tc>
          <w:tcPr>
            <w:tcW w:w="745" w:type="pct"/>
            <w:tcBorders>
              <w:top w:val="nil"/>
              <w:left w:val="single" w:sz="2" w:space="0" w:color="auto"/>
              <w:bottom w:val="nil"/>
              <w:right w:val="single" w:sz="2" w:space="0" w:color="auto"/>
            </w:tcBorders>
          </w:tcPr>
          <w:p w14:paraId="207C833C" w14:textId="77777777" w:rsidR="00011C67" w:rsidRPr="003E75E3" w:rsidRDefault="00011C67">
            <w:pPr>
              <w:pStyle w:val="TableReference"/>
              <w:tabs>
                <w:tab w:val="left" w:pos="3306"/>
              </w:tabs>
              <w:spacing w:before="40"/>
              <w:rPr>
                <w:rFonts w:cs="Calibri"/>
                <w:color w:val="7030A0"/>
                <w:sz w:val="16"/>
                <w:szCs w:val="16"/>
              </w:rPr>
            </w:pPr>
          </w:p>
        </w:tc>
        <w:tc>
          <w:tcPr>
            <w:tcW w:w="4255" w:type="pct"/>
            <w:tcBorders>
              <w:top w:val="nil"/>
              <w:left w:val="single" w:sz="2" w:space="0" w:color="auto"/>
              <w:bottom w:val="nil"/>
              <w:right w:val="nil"/>
            </w:tcBorders>
            <w:shd w:val="clear" w:color="auto" w:fill="7030A0"/>
            <w:vAlign w:val="bottom"/>
          </w:tcPr>
          <w:p w14:paraId="63C34965" w14:textId="4648A252" w:rsidR="00011C67" w:rsidRPr="003E75E3" w:rsidRDefault="00011C67">
            <w:pPr>
              <w:pStyle w:val="CommentaryText"/>
              <w:rPr>
                <w:rFonts w:cs="Calibri"/>
                <w:color w:val="FFFFFF" w:themeColor="background1"/>
                <w:sz w:val="18"/>
                <w:szCs w:val="18"/>
              </w:rPr>
            </w:pPr>
            <w:r w:rsidRPr="003E75E3">
              <w:rPr>
                <w:rFonts w:cs="Calibri"/>
                <w:color w:val="FFFFFF" w:themeColor="background1"/>
                <w:sz w:val="18"/>
                <w:szCs w:val="18"/>
              </w:rPr>
              <w:t xml:space="preserve">The </w:t>
            </w:r>
            <w:r w:rsidR="00FD1E41" w:rsidRPr="003E75E3">
              <w:rPr>
                <w:rFonts w:cs="Calibri"/>
                <w:color w:val="FFFFFF" w:themeColor="background1"/>
                <w:sz w:val="18"/>
                <w:szCs w:val="18"/>
              </w:rPr>
              <w:t>a</w:t>
            </w:r>
            <w:r w:rsidR="003C497C" w:rsidRPr="003E75E3">
              <w:rPr>
                <w:rFonts w:cs="Calibri"/>
                <w:color w:val="FFFFFF" w:themeColor="background1"/>
                <w:sz w:val="18"/>
                <w:szCs w:val="18"/>
              </w:rPr>
              <w:t>gency</w:t>
            </w:r>
            <w:r w:rsidRPr="003E75E3">
              <w:rPr>
                <w:rFonts w:cs="Calibri"/>
                <w:color w:val="FFFFFF" w:themeColor="background1"/>
                <w:sz w:val="18"/>
                <w:szCs w:val="18"/>
              </w:rPr>
              <w:t xml:space="preserve"> has a net Goods and Services Tax (GST) receivable.</w:t>
            </w:r>
            <w:r w:rsidR="00FA7C77">
              <w:rPr>
                <w:rFonts w:cs="Calibri"/>
                <w:color w:val="FFFFFF" w:themeColor="background1"/>
                <w:sz w:val="18"/>
                <w:szCs w:val="18"/>
              </w:rPr>
              <w:t xml:space="preserve"> </w:t>
            </w:r>
            <w:r w:rsidRPr="003E75E3">
              <w:rPr>
                <w:rFonts w:cs="Calibri"/>
                <w:color w:val="FFFFFF" w:themeColor="background1"/>
                <w:sz w:val="18"/>
                <w:szCs w:val="18"/>
              </w:rPr>
              <w:t xml:space="preserve">A net GST receivable will be reported in most </w:t>
            </w:r>
            <w:r w:rsidR="0072477B" w:rsidRPr="003E75E3">
              <w:rPr>
                <w:rFonts w:cs="Calibri"/>
                <w:color w:val="FFFFFF" w:themeColor="background1"/>
                <w:sz w:val="18"/>
                <w:szCs w:val="18"/>
              </w:rPr>
              <w:t>Controlled</w:t>
            </w:r>
            <w:r w:rsidRPr="003E75E3">
              <w:rPr>
                <w:rFonts w:cs="Calibri"/>
                <w:color w:val="FFFFFF" w:themeColor="background1"/>
                <w:sz w:val="18"/>
                <w:szCs w:val="18"/>
              </w:rPr>
              <w:t xml:space="preserve"> financial </w:t>
            </w:r>
            <w:r w:rsidR="008A772F" w:rsidRPr="003E75E3">
              <w:rPr>
                <w:rFonts w:cs="Calibri"/>
                <w:color w:val="FFFFFF" w:themeColor="background1"/>
                <w:sz w:val="18"/>
                <w:szCs w:val="18"/>
              </w:rPr>
              <w:t>statements</w:t>
            </w:r>
            <w:r w:rsidRPr="003E75E3">
              <w:rPr>
                <w:rFonts w:cs="Calibri"/>
                <w:color w:val="FFFFFF" w:themeColor="background1"/>
                <w:sz w:val="18"/>
                <w:szCs w:val="18"/>
              </w:rPr>
              <w:t xml:space="preserve"> as no GST is payable to the Australian Taxation Office for </w:t>
            </w:r>
            <w:r w:rsidR="0061448C" w:rsidRPr="003E75E3">
              <w:rPr>
                <w:rFonts w:cs="Calibri"/>
                <w:color w:val="FFFFFF" w:themeColor="background1"/>
                <w:sz w:val="18"/>
                <w:szCs w:val="18"/>
              </w:rPr>
              <w:t xml:space="preserve">Controlled Recurrent Payments </w:t>
            </w:r>
            <w:r w:rsidRPr="003E75E3">
              <w:rPr>
                <w:rFonts w:cs="Calibri"/>
                <w:color w:val="FFFFFF" w:themeColor="background1"/>
                <w:sz w:val="18"/>
                <w:szCs w:val="18"/>
              </w:rPr>
              <w:t>funding.</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t>
            </w:r>
            <w:r w:rsidR="00D65811" w:rsidRPr="003E75E3">
              <w:rPr>
                <w:rFonts w:cs="Calibri"/>
                <w:color w:val="FFFFFF" w:themeColor="background1"/>
                <w:sz w:val="18"/>
                <w:szCs w:val="18"/>
              </w:rPr>
              <w:t>a</w:t>
            </w:r>
            <w:r w:rsidR="003C497C" w:rsidRPr="003E75E3">
              <w:rPr>
                <w:rFonts w:cs="Calibri"/>
                <w:color w:val="FFFFFF" w:themeColor="background1"/>
                <w:sz w:val="18"/>
                <w:szCs w:val="18"/>
              </w:rPr>
              <w:t xml:space="preserve">gencies </w:t>
            </w:r>
            <w:r w:rsidRPr="003E75E3">
              <w:rPr>
                <w:rFonts w:cs="Calibri"/>
                <w:color w:val="FFFFFF" w:themeColor="background1"/>
                <w:sz w:val="18"/>
                <w:szCs w:val="18"/>
              </w:rPr>
              <w:t>will receive input tax credits for most expenses incurred.</w:t>
            </w:r>
            <w:r w:rsidR="00123A5F" w:rsidRPr="003E75E3">
              <w:rPr>
                <w:rFonts w:cs="Calibri"/>
                <w:color w:val="FFFFFF" w:themeColor="background1"/>
                <w:sz w:val="18"/>
                <w:szCs w:val="18"/>
              </w:rPr>
              <w:t xml:space="preserve"> The net GST </w:t>
            </w:r>
            <w:r w:rsidR="00DE5EF1" w:rsidRPr="003E75E3">
              <w:rPr>
                <w:rFonts w:cs="Calibri"/>
                <w:color w:val="FFFFFF" w:themeColor="background1"/>
                <w:sz w:val="18"/>
                <w:szCs w:val="18"/>
              </w:rPr>
              <w:t>r</w:t>
            </w:r>
            <w:r w:rsidR="00123A5F" w:rsidRPr="003E75E3">
              <w:rPr>
                <w:rFonts w:cs="Calibri"/>
                <w:color w:val="FFFFFF" w:themeColor="background1"/>
                <w:sz w:val="18"/>
                <w:szCs w:val="18"/>
              </w:rPr>
              <w:t xml:space="preserve">eceivable should be excluded from the </w:t>
            </w:r>
            <w:r w:rsidR="00DE5EF1" w:rsidRPr="003E75E3">
              <w:rPr>
                <w:rFonts w:cs="Calibri"/>
                <w:color w:val="FFFFFF" w:themeColor="background1"/>
                <w:sz w:val="18"/>
                <w:szCs w:val="18"/>
              </w:rPr>
              <w:t>calculation deriving the allowance for the expected credit loss</w:t>
            </w:r>
            <w:r w:rsidR="001D0DD0" w:rsidRPr="003E75E3">
              <w:rPr>
                <w:rFonts w:cs="Calibri"/>
                <w:color w:val="FFFFFF" w:themeColor="background1"/>
                <w:sz w:val="18"/>
                <w:szCs w:val="18"/>
              </w:rPr>
              <w:t xml:space="preserve"> because of the assessed low credit risk</w:t>
            </w:r>
            <w:r w:rsidR="00DE5EF1" w:rsidRPr="003E75E3">
              <w:rPr>
                <w:rFonts w:cs="Calibri"/>
                <w:color w:val="FFFFFF" w:themeColor="background1"/>
                <w:sz w:val="18"/>
                <w:szCs w:val="18"/>
              </w:rPr>
              <w:t>.</w:t>
            </w:r>
          </w:p>
          <w:p w14:paraId="55E39529" w14:textId="3AC6BDD7" w:rsidR="00011C67" w:rsidRPr="003E75E3" w:rsidRDefault="00011C67" w:rsidP="00EF49BC">
            <w:pPr>
              <w:pStyle w:val="CommentaryText"/>
              <w:rPr>
                <w:rFonts w:cs="Calibri"/>
                <w:color w:val="FFFFFF" w:themeColor="background1"/>
                <w:sz w:val="18"/>
                <w:szCs w:val="18"/>
              </w:rPr>
            </w:pPr>
            <w:r w:rsidRPr="003E75E3">
              <w:rPr>
                <w:rFonts w:cs="Calibri"/>
                <w:color w:val="FFFFFF" w:themeColor="background1"/>
                <w:sz w:val="18"/>
                <w:szCs w:val="18"/>
              </w:rPr>
              <w:t xml:space="preserve">If a net GST payable arises then this amount would be disclosed at Note </w:t>
            </w:r>
            <w:r w:rsidR="00762E7F" w:rsidRPr="003E75E3">
              <w:rPr>
                <w:rFonts w:cs="Calibri"/>
                <w:color w:val="FFFFFF" w:themeColor="background1"/>
                <w:sz w:val="18"/>
                <w:szCs w:val="18"/>
              </w:rPr>
              <w:t xml:space="preserve">24 </w:t>
            </w:r>
            <w:r w:rsidRPr="003E75E3">
              <w:rPr>
                <w:rFonts w:cs="Calibri"/>
                <w:i/>
                <w:color w:val="FFFFFF" w:themeColor="background1"/>
                <w:sz w:val="18"/>
                <w:szCs w:val="18"/>
              </w:rPr>
              <w:t>Payables</w:t>
            </w:r>
            <w:r w:rsidR="002541C3" w:rsidRPr="003E75E3">
              <w:rPr>
                <w:rFonts w:cs="Calibri"/>
                <w:color w:val="FFFFFF" w:themeColor="background1"/>
              </w:rPr>
              <w:t xml:space="preserve"> </w:t>
            </w:r>
            <w:r w:rsidR="002541C3" w:rsidRPr="008A6781">
              <w:rPr>
                <w:rFonts w:cs="Calibri"/>
                <w:i/>
                <w:iCs/>
                <w:strike/>
                <w:color w:val="FF0000"/>
                <w:sz w:val="18"/>
                <w:szCs w:val="18"/>
              </w:rPr>
              <w:t>and Contract Liabilities</w:t>
            </w:r>
            <w:r w:rsidRPr="0045115B">
              <w:rPr>
                <w:rFonts w:cs="Calibri"/>
                <w:color w:val="FF0000"/>
                <w:sz w:val="18"/>
                <w:szCs w:val="18"/>
              </w:rPr>
              <w:t xml:space="preserve"> </w:t>
            </w:r>
            <w:r w:rsidRPr="003E75E3">
              <w:rPr>
                <w:rFonts w:cs="Calibri"/>
                <w:color w:val="FFFFFF" w:themeColor="background1"/>
                <w:sz w:val="18"/>
                <w:szCs w:val="18"/>
              </w:rPr>
              <w:t>rather than in this receivables note.</w:t>
            </w:r>
          </w:p>
        </w:tc>
      </w:tr>
      <w:tr w:rsidR="00B36BAC" w:rsidRPr="00B36BAC" w14:paraId="05513D10" w14:textId="77777777" w:rsidTr="005F5B4C">
        <w:trPr>
          <w:cantSplit/>
          <w:trHeight w:val="23"/>
        </w:trPr>
        <w:tc>
          <w:tcPr>
            <w:tcW w:w="745" w:type="pct"/>
            <w:tcBorders>
              <w:top w:val="nil"/>
              <w:left w:val="single" w:sz="2" w:space="0" w:color="auto"/>
              <w:bottom w:val="nil"/>
              <w:right w:val="single" w:sz="2" w:space="0" w:color="auto"/>
            </w:tcBorders>
          </w:tcPr>
          <w:p w14:paraId="5DBD437F" w14:textId="36AACB79" w:rsidR="00B36BAC" w:rsidRPr="003E75E3" w:rsidRDefault="00B36BAC" w:rsidP="009A0F2F">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tcPr>
          <w:p w14:paraId="40D34D82" w14:textId="4FADD3DF" w:rsidR="00B36BAC" w:rsidRPr="001F4216" w:rsidRDefault="00B36BAC" w:rsidP="00CC1E25">
            <w:pPr>
              <w:pStyle w:val="TableReference"/>
              <w:tabs>
                <w:tab w:val="left" w:pos="3306"/>
              </w:tabs>
              <w:spacing w:before="120" w:after="40"/>
              <w:rPr>
                <w:rFonts w:cs="Calibri"/>
                <w:b/>
                <w:bCs/>
                <w:color w:val="FFFFFF" w:themeColor="background1"/>
                <w:sz w:val="20"/>
                <w:szCs w:val="20"/>
              </w:rPr>
            </w:pPr>
            <w:r w:rsidRPr="001F4216">
              <w:rPr>
                <w:rFonts w:cs="Calibri"/>
                <w:b/>
                <w:bCs/>
                <w:color w:val="FFFFFF" w:themeColor="background1"/>
                <w:sz w:val="20"/>
                <w:szCs w:val="20"/>
              </w:rPr>
              <w:t>Contract Assets</w:t>
            </w:r>
          </w:p>
        </w:tc>
      </w:tr>
      <w:tr w:rsidR="008A7FED" w:rsidRPr="00B36BAC" w14:paraId="696E2647" w14:textId="77777777" w:rsidTr="005F5B4C">
        <w:trPr>
          <w:cantSplit/>
          <w:trHeight w:val="23"/>
        </w:trPr>
        <w:tc>
          <w:tcPr>
            <w:tcW w:w="745" w:type="pct"/>
            <w:tcBorders>
              <w:top w:val="nil"/>
              <w:left w:val="single" w:sz="2" w:space="0" w:color="auto"/>
              <w:bottom w:val="nil"/>
              <w:right w:val="single" w:sz="2" w:space="0" w:color="auto"/>
            </w:tcBorders>
          </w:tcPr>
          <w:p w14:paraId="73FA4B4E" w14:textId="336B4A86"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tc>
        <w:tc>
          <w:tcPr>
            <w:tcW w:w="4255" w:type="pct"/>
            <w:tcBorders>
              <w:top w:val="nil"/>
              <w:left w:val="single" w:sz="2" w:space="0" w:color="auto"/>
              <w:bottom w:val="nil"/>
              <w:right w:val="nil"/>
            </w:tcBorders>
            <w:shd w:val="clear" w:color="auto" w:fill="7030A0"/>
          </w:tcPr>
          <w:p w14:paraId="6427E44C" w14:textId="5CDD26DB" w:rsidR="008A7FED" w:rsidRPr="003E75E3" w:rsidRDefault="000368F1" w:rsidP="00590B10">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When either party to a contract has performed, an agency shall present the contract in the Balance Sheet as a contract asset or a contract liability, depending on the relationship between the agency’s performance and the customer’s payment.</w:t>
            </w:r>
            <w:r w:rsidR="00FA7C77">
              <w:rPr>
                <w:color w:val="FFFFFF" w:themeColor="background1"/>
              </w:rPr>
              <w:t xml:space="preserve"> </w:t>
            </w:r>
            <w:r w:rsidR="008A7FED" w:rsidRPr="003E75E3">
              <w:rPr>
                <w:rFonts w:cs="Calibri"/>
                <w:color w:val="FFFFFF" w:themeColor="background1"/>
                <w:sz w:val="18"/>
                <w:szCs w:val="18"/>
              </w:rPr>
              <w:t xml:space="preserve">Any unconditional rights to consideration are presented as a receivable separately from contract assets. </w:t>
            </w:r>
          </w:p>
        </w:tc>
      </w:tr>
      <w:tr w:rsidR="008A7FED" w:rsidRPr="00B36BAC" w14:paraId="301EE8D1" w14:textId="77777777" w:rsidTr="005F5B4C">
        <w:trPr>
          <w:cantSplit/>
          <w:trHeight w:val="23"/>
        </w:trPr>
        <w:tc>
          <w:tcPr>
            <w:tcW w:w="745" w:type="pct"/>
            <w:tcBorders>
              <w:top w:val="nil"/>
              <w:left w:val="single" w:sz="2" w:space="0" w:color="auto"/>
              <w:bottom w:val="nil"/>
              <w:right w:val="single" w:sz="2" w:space="0" w:color="auto"/>
            </w:tcBorders>
          </w:tcPr>
          <w:p w14:paraId="18A03135"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 xml:space="preserve">AASB 15 Appendix A </w:t>
            </w:r>
          </w:p>
          <w:p w14:paraId="548C800A"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Defined terms</w:t>
            </w:r>
          </w:p>
        </w:tc>
        <w:tc>
          <w:tcPr>
            <w:tcW w:w="4255" w:type="pct"/>
            <w:tcBorders>
              <w:top w:val="nil"/>
              <w:left w:val="single" w:sz="2" w:space="0" w:color="auto"/>
              <w:bottom w:val="nil"/>
              <w:right w:val="nil"/>
            </w:tcBorders>
            <w:shd w:val="clear" w:color="auto" w:fill="7030A0"/>
            <w:vAlign w:val="bottom"/>
          </w:tcPr>
          <w:p w14:paraId="2D18EBE8" w14:textId="10A552F5" w:rsidR="008A7FED" w:rsidRPr="003E75E3" w:rsidRDefault="009403E7"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w:t>
            </w:r>
            <w:r w:rsidR="008A7FED" w:rsidRPr="003E75E3">
              <w:rPr>
                <w:rFonts w:cs="Calibri"/>
                <w:b w:val="0"/>
                <w:bCs w:val="0"/>
                <w:color w:val="FFFFFF" w:themeColor="background1"/>
                <w:sz w:val="18"/>
                <w:szCs w:val="18"/>
              </w:rPr>
              <w:t xml:space="preserve"> contract asset </w:t>
            </w:r>
            <w:r w:rsidRPr="003E75E3">
              <w:rPr>
                <w:rFonts w:cs="Calibri"/>
                <w:b w:val="0"/>
                <w:bCs w:val="0"/>
                <w:color w:val="FFFFFF" w:themeColor="background1"/>
                <w:sz w:val="18"/>
                <w:szCs w:val="18"/>
              </w:rPr>
              <w:t xml:space="preserve">is defined </w:t>
            </w:r>
            <w:r w:rsidR="008A7FED" w:rsidRPr="003E75E3">
              <w:rPr>
                <w:rFonts w:cs="Calibri"/>
                <w:b w:val="0"/>
                <w:bCs w:val="0"/>
                <w:color w:val="FFFFFF" w:themeColor="background1"/>
                <w:sz w:val="18"/>
                <w:szCs w:val="18"/>
              </w:rPr>
              <w:t>as an agency’s right to consideration in exchange for goods or services that the entity has transferred to a customer when that right is conditioned on something other than the passage of time (for example, the entity’s future performance).</w:t>
            </w:r>
          </w:p>
        </w:tc>
      </w:tr>
      <w:tr w:rsidR="008A7FED" w:rsidRPr="00B36BAC" w14:paraId="134C7E42" w14:textId="77777777" w:rsidTr="005F5B4C">
        <w:trPr>
          <w:cantSplit/>
          <w:trHeight w:val="23"/>
        </w:trPr>
        <w:tc>
          <w:tcPr>
            <w:tcW w:w="745" w:type="pct"/>
            <w:tcBorders>
              <w:top w:val="nil"/>
              <w:left w:val="single" w:sz="2" w:space="0" w:color="auto"/>
              <w:bottom w:val="nil"/>
              <w:right w:val="single" w:sz="2" w:space="0" w:color="auto"/>
            </w:tcBorders>
          </w:tcPr>
          <w:p w14:paraId="2CD662FB"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37A014D8"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Common contract asset balances are items such as services performed but not yet invoiced for contracts which are paid in arrears.</w:t>
            </w:r>
          </w:p>
        </w:tc>
      </w:tr>
      <w:tr w:rsidR="008A7FED" w:rsidRPr="00B36BAC" w14:paraId="3BD3238C" w14:textId="77777777" w:rsidTr="005F5B4C">
        <w:trPr>
          <w:cantSplit/>
          <w:trHeight w:val="23"/>
        </w:trPr>
        <w:tc>
          <w:tcPr>
            <w:tcW w:w="745" w:type="pct"/>
            <w:tcBorders>
              <w:top w:val="nil"/>
              <w:left w:val="single" w:sz="2" w:space="0" w:color="auto"/>
              <w:bottom w:val="nil"/>
              <w:right w:val="single" w:sz="2" w:space="0" w:color="auto"/>
            </w:tcBorders>
          </w:tcPr>
          <w:p w14:paraId="78947101"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p w14:paraId="71C03B0E"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15.116(a)</w:t>
            </w:r>
          </w:p>
          <w:p w14:paraId="76A6867D"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D8253BB" w14:textId="256A0627"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Where an agency performs by transferring either goods or services to a customer before the payment is due or before the customer pays for consideration, then these are to be classified as contract assets. Contract assets exclude receivables from contracts with customers.</w:t>
            </w:r>
            <w:r w:rsidR="00FA7C77">
              <w:rPr>
                <w:rFonts w:cs="Calibri"/>
                <w:color w:val="FFFFFF" w:themeColor="background1"/>
                <w:sz w:val="18"/>
                <w:szCs w:val="18"/>
              </w:rPr>
              <w:t xml:space="preserve"> </w:t>
            </w:r>
            <w:r w:rsidRPr="003E75E3">
              <w:rPr>
                <w:rFonts w:cs="Calibri"/>
                <w:color w:val="FFFFFF" w:themeColor="background1"/>
                <w:sz w:val="18"/>
                <w:szCs w:val="18"/>
              </w:rPr>
              <w:t>Agencies must assess a contract asset for impairment in accordance with AASB 9.</w:t>
            </w:r>
          </w:p>
        </w:tc>
      </w:tr>
      <w:tr w:rsidR="008A7FED" w:rsidRPr="00B36BAC" w14:paraId="1C87C539" w14:textId="77777777" w:rsidTr="005F5B4C">
        <w:trPr>
          <w:cantSplit/>
          <w:trHeight w:val="23"/>
        </w:trPr>
        <w:tc>
          <w:tcPr>
            <w:tcW w:w="745" w:type="pct"/>
            <w:tcBorders>
              <w:top w:val="nil"/>
              <w:left w:val="single" w:sz="2" w:space="0" w:color="auto"/>
              <w:bottom w:val="nil"/>
              <w:right w:val="single" w:sz="2" w:space="0" w:color="auto"/>
            </w:tcBorders>
          </w:tcPr>
          <w:p w14:paraId="2E077A04" w14:textId="77777777" w:rsidR="008A7FED" w:rsidRPr="003E75E3" w:rsidRDefault="008A7FED" w:rsidP="008A7FED">
            <w:pPr>
              <w:pStyle w:val="TableReference"/>
              <w:tabs>
                <w:tab w:val="left" w:pos="3306"/>
              </w:tabs>
              <w:spacing w:before="40" w:after="120"/>
              <w:rPr>
                <w:rFonts w:cs="Calibri"/>
                <w:color w:val="7030A0"/>
                <w:sz w:val="14"/>
              </w:rPr>
            </w:pPr>
            <w:r w:rsidRPr="003E75E3">
              <w:rPr>
                <w:rFonts w:cs="Calibri"/>
                <w:color w:val="7030A0"/>
                <w:sz w:val="14"/>
              </w:rPr>
              <w:t xml:space="preserve">AASB 15.117 </w:t>
            </w:r>
          </w:p>
        </w:tc>
        <w:tc>
          <w:tcPr>
            <w:tcW w:w="4255" w:type="pct"/>
            <w:tcBorders>
              <w:top w:val="nil"/>
              <w:left w:val="single" w:sz="2" w:space="0" w:color="auto"/>
              <w:bottom w:val="nil"/>
              <w:right w:val="nil"/>
            </w:tcBorders>
            <w:shd w:val="clear" w:color="auto" w:fill="7030A0"/>
            <w:vAlign w:val="bottom"/>
          </w:tcPr>
          <w:p w14:paraId="6FE0C238" w14:textId="77777777"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must disclose contract assets separately from contract receivables.</w:t>
            </w:r>
          </w:p>
        </w:tc>
      </w:tr>
      <w:tr w:rsidR="008A7FED" w:rsidRPr="00B36BAC" w14:paraId="1B9A79B1" w14:textId="77777777" w:rsidTr="005F5B4C">
        <w:trPr>
          <w:cantSplit/>
          <w:trHeight w:val="23"/>
        </w:trPr>
        <w:tc>
          <w:tcPr>
            <w:tcW w:w="745" w:type="pct"/>
            <w:tcBorders>
              <w:top w:val="nil"/>
              <w:left w:val="single" w:sz="2" w:space="0" w:color="auto"/>
              <w:bottom w:val="nil"/>
              <w:right w:val="single" w:sz="2" w:space="0" w:color="auto"/>
            </w:tcBorders>
          </w:tcPr>
          <w:p w14:paraId="1FA5DE52" w14:textId="20D2B735" w:rsidR="008A7FED" w:rsidRPr="003E75E3" w:rsidRDefault="009403E7" w:rsidP="008A7FED">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tcBorders>
              <w:top w:val="nil"/>
              <w:left w:val="single" w:sz="2" w:space="0" w:color="auto"/>
              <w:bottom w:val="nil"/>
              <w:right w:val="nil"/>
            </w:tcBorders>
            <w:shd w:val="clear" w:color="auto" w:fill="7030A0"/>
            <w:vAlign w:val="bottom"/>
          </w:tcPr>
          <w:p w14:paraId="394EB59F"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disclose the opening and closing balances of contract assets.</w:t>
            </w:r>
          </w:p>
        </w:tc>
      </w:tr>
      <w:tr w:rsidR="008A7FED" w:rsidRPr="00B36BAC" w14:paraId="4FA6129E" w14:textId="77777777" w:rsidTr="005F5B4C">
        <w:trPr>
          <w:cantSplit/>
          <w:trHeight w:val="23"/>
        </w:trPr>
        <w:tc>
          <w:tcPr>
            <w:tcW w:w="745" w:type="pct"/>
            <w:tcBorders>
              <w:top w:val="nil"/>
              <w:left w:val="single" w:sz="2" w:space="0" w:color="auto"/>
              <w:bottom w:val="nil"/>
              <w:right w:val="single" w:sz="2" w:space="0" w:color="auto"/>
            </w:tcBorders>
          </w:tcPr>
          <w:p w14:paraId="42FA8B5A" w14:textId="20C0C6A0"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w:t>
            </w:r>
            <w:r w:rsidR="00146647" w:rsidRPr="003E75E3">
              <w:rPr>
                <w:rFonts w:cs="Calibri"/>
                <w:color w:val="7030A0"/>
                <w:sz w:val="14"/>
              </w:rPr>
              <w:t xml:space="preserve"> </w:t>
            </w:r>
            <w:r w:rsidRPr="003E75E3">
              <w:rPr>
                <w:rFonts w:cs="Calibri"/>
                <w:color w:val="7030A0"/>
                <w:sz w:val="14"/>
              </w:rPr>
              <w:t>15.118</w:t>
            </w:r>
          </w:p>
          <w:p w14:paraId="0AB8C51B" w14:textId="77777777"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15.119(a)</w:t>
            </w:r>
          </w:p>
          <w:p w14:paraId="103B487B" w14:textId="5D53109F"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15.119(b)</w:t>
            </w:r>
          </w:p>
        </w:tc>
        <w:tc>
          <w:tcPr>
            <w:tcW w:w="4255" w:type="pct"/>
            <w:tcBorders>
              <w:top w:val="nil"/>
              <w:left w:val="single" w:sz="2" w:space="0" w:color="auto"/>
              <w:bottom w:val="nil"/>
              <w:right w:val="nil"/>
            </w:tcBorders>
            <w:shd w:val="clear" w:color="auto" w:fill="7030A0"/>
            <w:vAlign w:val="bottom"/>
          </w:tcPr>
          <w:p w14:paraId="4D584D9B" w14:textId="292A2CB8"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shall explain how the timing of the satisfaction of performance obligations relates to the typical timing of payment and the effect that those factors have on the contract asset. Quantitative information may be used.</w:t>
            </w:r>
          </w:p>
        </w:tc>
      </w:tr>
      <w:tr w:rsidR="008A7FED" w:rsidRPr="00B36BAC" w14:paraId="45E577EF" w14:textId="77777777" w:rsidTr="005F5B4C">
        <w:trPr>
          <w:cantSplit/>
          <w:trHeight w:val="23"/>
        </w:trPr>
        <w:tc>
          <w:tcPr>
            <w:tcW w:w="745" w:type="pct"/>
            <w:tcBorders>
              <w:top w:val="nil"/>
              <w:left w:val="single" w:sz="2" w:space="0" w:color="auto"/>
              <w:bottom w:val="nil"/>
              <w:right w:val="single" w:sz="2" w:space="0" w:color="auto"/>
            </w:tcBorders>
          </w:tcPr>
          <w:p w14:paraId="31251309"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6581FBA" w14:textId="76F55791" w:rsidR="008A7FED" w:rsidRPr="003E75E3" w:rsidRDefault="008A7FED" w:rsidP="008A7FED">
            <w:pPr>
              <w:pStyle w:val="CommentaryTitle"/>
              <w:spacing w:before="0" w:after="6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explain significant changes in the balances of contact assets.</w:t>
            </w:r>
            <w:r w:rsidR="00FA7C77">
              <w:rPr>
                <w:rFonts w:cs="Calibri"/>
                <w:b w:val="0"/>
                <w:bCs w:val="0"/>
                <w:color w:val="FFFFFF" w:themeColor="background1"/>
                <w:sz w:val="18"/>
                <w:szCs w:val="18"/>
              </w:rPr>
              <w:t xml:space="preserve"> </w:t>
            </w:r>
            <w:r w:rsidRPr="003E75E3">
              <w:rPr>
                <w:rFonts w:cs="Calibri"/>
                <w:b w:val="0"/>
                <w:bCs w:val="0"/>
                <w:color w:val="FFFFFF" w:themeColor="background1"/>
                <w:sz w:val="18"/>
                <w:szCs w:val="18"/>
              </w:rPr>
              <w:t>Reasons for this change may include:</w:t>
            </w:r>
          </w:p>
          <w:p w14:paraId="2DC60C25"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business combinations;</w:t>
            </w:r>
          </w:p>
          <w:p w14:paraId="21CCBEBC"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cumulative catch-ups, such as those arising from a change in the measure of progress, a change in an estimate of the transaction price or a modification;</w:t>
            </w:r>
          </w:p>
          <w:p w14:paraId="46BDFD3A"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impairment of contract assets;</w:t>
            </w:r>
          </w:p>
          <w:p w14:paraId="01A86620"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a change in timeframe – of contact assets becoming a receivable; and</w:t>
            </w:r>
          </w:p>
          <w:p w14:paraId="34629B1D" w14:textId="77777777" w:rsidR="008A7FED" w:rsidRPr="003E75E3" w:rsidRDefault="008A7FED" w:rsidP="00CC1E25">
            <w:pPr>
              <w:pStyle w:val="CommentaryText"/>
              <w:keepNext/>
              <w:keepLines/>
              <w:numPr>
                <w:ilvl w:val="0"/>
                <w:numId w:val="52"/>
              </w:numPr>
              <w:tabs>
                <w:tab w:val="left" w:pos="3306"/>
              </w:tabs>
              <w:spacing w:after="40"/>
              <w:ind w:left="459" w:hanging="357"/>
              <w:rPr>
                <w:rFonts w:cs="Calibri"/>
                <w:b/>
                <w:bCs/>
                <w:color w:val="FFFFFF" w:themeColor="background1"/>
                <w:sz w:val="18"/>
                <w:szCs w:val="18"/>
              </w:rPr>
            </w:pPr>
            <w:r w:rsidRPr="003E75E3">
              <w:rPr>
                <w:rFonts w:cs="Calibri"/>
                <w:color w:val="FFFFFF" w:themeColor="background1"/>
                <w:sz w:val="18"/>
                <w:szCs w:val="18"/>
              </w:rPr>
              <w:t>a change in timeframe – for performance obligations to be satisfied.</w:t>
            </w:r>
          </w:p>
        </w:tc>
      </w:tr>
    </w:tbl>
    <w:p w14:paraId="1E2D3692"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542690" w:rsidRPr="00B36BAC" w14:paraId="5EFA5D5D" w14:textId="77777777" w:rsidTr="005F5B4C">
        <w:trPr>
          <w:cantSplit/>
          <w:trHeight w:val="23"/>
        </w:trPr>
        <w:tc>
          <w:tcPr>
            <w:tcW w:w="745" w:type="pct"/>
            <w:tcBorders>
              <w:top w:val="nil"/>
              <w:left w:val="single" w:sz="2" w:space="0" w:color="auto"/>
              <w:bottom w:val="nil"/>
              <w:right w:val="single" w:sz="2" w:space="0" w:color="auto"/>
            </w:tcBorders>
          </w:tcPr>
          <w:p w14:paraId="3B0A92B0" w14:textId="279BC6FA" w:rsidR="00542690" w:rsidRPr="003E75E3" w:rsidRDefault="00542690" w:rsidP="000159C3">
            <w:pPr>
              <w:pStyle w:val="TableReference"/>
              <w:tabs>
                <w:tab w:val="left" w:pos="3306"/>
              </w:tabs>
              <w:spacing w:before="240" w:after="240"/>
              <w:rPr>
                <w:rFonts w:cs="Calibri"/>
                <w:color w:val="7030A0"/>
                <w:sz w:val="14"/>
              </w:rPr>
            </w:pPr>
            <w:r w:rsidRPr="003E75E3">
              <w:rPr>
                <w:color w:val="7030A0"/>
              </w:rPr>
              <w:br w:type="page"/>
            </w:r>
            <w:r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tcPr>
          <w:p w14:paraId="1FAA2FD9" w14:textId="731CA700" w:rsidR="00542690" w:rsidRPr="003E75E3" w:rsidRDefault="00542690" w:rsidP="000159C3">
            <w:pPr>
              <w:pStyle w:val="CommentaryTitle"/>
              <w:spacing w:before="240" w:after="240"/>
              <w:rPr>
                <w:rFonts w:cs="Calibri"/>
                <w:b w:val="0"/>
                <w:bCs w:val="0"/>
                <w:i/>
                <w:iCs/>
                <w:color w:val="FFFFFF" w:themeColor="background1"/>
                <w:sz w:val="18"/>
                <w:szCs w:val="18"/>
              </w:rPr>
            </w:pPr>
            <w:r w:rsidRPr="003E75E3">
              <w:rPr>
                <w:rFonts w:cs="Calibri"/>
                <w:color w:val="FFFFFF" w:themeColor="background1"/>
                <w:sz w:val="28"/>
                <w:szCs w:val="28"/>
              </w:rPr>
              <w:t xml:space="preserve">Commentary – Note 16: Receivables </w:t>
            </w:r>
            <w:r w:rsidRPr="005559F1">
              <w:rPr>
                <w:rFonts w:cs="Calibri"/>
                <w:strike/>
                <w:color w:val="FF0000"/>
                <w:sz w:val="28"/>
                <w:szCs w:val="28"/>
              </w:rPr>
              <w:t>and Contract Assets</w:t>
            </w:r>
            <w:r w:rsidR="003E75E3" w:rsidRPr="005559F1">
              <w:rPr>
                <w:rFonts w:cs="Calibri"/>
                <w:color w:val="FF0000"/>
                <w:sz w:val="28"/>
                <w:szCs w:val="28"/>
              </w:rPr>
              <w:t xml:space="preserve"> </w:t>
            </w:r>
            <w:r w:rsidR="00F22D61">
              <w:rPr>
                <w:rFonts w:cs="Calibri"/>
                <w:color w:val="FFFFFF" w:themeColor="background1"/>
                <w:sz w:val="28"/>
                <w:szCs w:val="28"/>
              </w:rPr>
              <w:t>–</w:t>
            </w:r>
            <w:r w:rsidR="003E75E3" w:rsidRPr="003E75E3">
              <w:rPr>
                <w:rFonts w:cs="Calibri"/>
                <w:color w:val="FFFFFF" w:themeColor="background1"/>
                <w:sz w:val="28"/>
                <w:szCs w:val="28"/>
              </w:rPr>
              <w:t xml:space="preserve"> Continued</w:t>
            </w:r>
            <w:r w:rsidR="00F22D61">
              <w:rPr>
                <w:rFonts w:cs="Calibri"/>
                <w:color w:val="FFFFFF" w:themeColor="background1"/>
                <w:sz w:val="28"/>
                <w:szCs w:val="28"/>
              </w:rPr>
              <w:t xml:space="preserve"> </w:t>
            </w:r>
          </w:p>
        </w:tc>
      </w:tr>
      <w:tr w:rsidR="00542690" w:rsidRPr="00B36BAC" w14:paraId="0104C99E" w14:textId="77777777" w:rsidTr="005F5B4C">
        <w:trPr>
          <w:cantSplit/>
          <w:trHeight w:val="23"/>
        </w:trPr>
        <w:tc>
          <w:tcPr>
            <w:tcW w:w="745" w:type="pct"/>
            <w:tcBorders>
              <w:top w:val="nil"/>
              <w:left w:val="single" w:sz="2" w:space="0" w:color="auto"/>
              <w:bottom w:val="nil"/>
              <w:right w:val="single" w:sz="2" w:space="0" w:color="auto"/>
            </w:tcBorders>
          </w:tcPr>
          <w:p w14:paraId="23B56FC3" w14:textId="77777777" w:rsidR="00542690" w:rsidRPr="001F4216" w:rsidRDefault="00542690" w:rsidP="00542690">
            <w:pPr>
              <w:pStyle w:val="TableReference"/>
              <w:tabs>
                <w:tab w:val="left" w:pos="3306"/>
              </w:tabs>
              <w:spacing w:before="40"/>
              <w:rPr>
                <w:rFonts w:cs="Calibri"/>
                <w:color w:val="7030A0"/>
                <w:sz w:val="20"/>
                <w:szCs w:val="20"/>
              </w:rPr>
            </w:pPr>
          </w:p>
        </w:tc>
        <w:tc>
          <w:tcPr>
            <w:tcW w:w="4255" w:type="pct"/>
            <w:tcBorders>
              <w:top w:val="nil"/>
              <w:left w:val="single" w:sz="2" w:space="0" w:color="auto"/>
              <w:bottom w:val="nil"/>
              <w:right w:val="nil"/>
            </w:tcBorders>
            <w:shd w:val="clear" w:color="auto" w:fill="7030A0"/>
            <w:vAlign w:val="bottom"/>
          </w:tcPr>
          <w:p w14:paraId="028D47B6" w14:textId="77777777" w:rsidR="00542690" w:rsidRPr="00CC1E25" w:rsidRDefault="00542690" w:rsidP="00CC1E25">
            <w:pPr>
              <w:pStyle w:val="CommentaryTitle"/>
              <w:spacing w:after="40"/>
              <w:jc w:val="both"/>
              <w:rPr>
                <w:rFonts w:cs="Calibri"/>
                <w:b w:val="0"/>
                <w:bCs w:val="0"/>
                <w:i/>
                <w:iCs/>
                <w:color w:val="FFFFFF" w:themeColor="background1"/>
                <w:sz w:val="18"/>
                <w:szCs w:val="18"/>
              </w:rPr>
            </w:pPr>
            <w:r w:rsidRPr="00CC1E25">
              <w:rPr>
                <w:rFonts w:cs="Calibri"/>
                <w:b w:val="0"/>
                <w:bCs w:val="0"/>
                <w:i/>
                <w:iCs/>
                <w:color w:val="FFFFFF" w:themeColor="background1"/>
                <w:sz w:val="18"/>
                <w:szCs w:val="18"/>
              </w:rPr>
              <w:t>Impairment of Contract Assets</w:t>
            </w:r>
          </w:p>
        </w:tc>
      </w:tr>
      <w:tr w:rsidR="00542690" w:rsidRPr="00B36BAC" w14:paraId="1E8F0EF2" w14:textId="77777777" w:rsidTr="005F5B4C">
        <w:trPr>
          <w:cantSplit/>
          <w:trHeight w:val="23"/>
        </w:trPr>
        <w:tc>
          <w:tcPr>
            <w:tcW w:w="745" w:type="pct"/>
            <w:tcBorders>
              <w:top w:val="nil"/>
              <w:left w:val="single" w:sz="2" w:space="0" w:color="auto"/>
              <w:bottom w:val="nil"/>
              <w:right w:val="single" w:sz="2" w:space="0" w:color="auto"/>
            </w:tcBorders>
          </w:tcPr>
          <w:p w14:paraId="2FB7643B"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98CEDE4" w14:textId="44250B03" w:rsidR="00542690" w:rsidRPr="003E75E3" w:rsidRDefault="00542690" w:rsidP="003E75E3">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Contract assets are recognised and measured in accordance with AASB 15, however for impairment testing purposes they are covered by AASB 9 and therefore are assessed for impairment using the expected credit loss model.</w:t>
            </w:r>
          </w:p>
        </w:tc>
      </w:tr>
      <w:tr w:rsidR="00542690" w:rsidRPr="00B36BAC" w14:paraId="6E03D835" w14:textId="77777777" w:rsidTr="005F5B4C">
        <w:trPr>
          <w:cantSplit/>
          <w:trHeight w:val="23"/>
        </w:trPr>
        <w:tc>
          <w:tcPr>
            <w:tcW w:w="745" w:type="pct"/>
            <w:tcBorders>
              <w:top w:val="nil"/>
              <w:left w:val="single" w:sz="2" w:space="0" w:color="auto"/>
              <w:bottom w:val="nil"/>
              <w:right w:val="single" w:sz="2" w:space="0" w:color="auto"/>
            </w:tcBorders>
          </w:tcPr>
          <w:p w14:paraId="713D2434" w14:textId="53BE0089"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15.113(b)</w:t>
            </w:r>
          </w:p>
        </w:tc>
        <w:tc>
          <w:tcPr>
            <w:tcW w:w="4255" w:type="pct"/>
            <w:tcBorders>
              <w:top w:val="nil"/>
              <w:left w:val="single" w:sz="2" w:space="0" w:color="auto"/>
              <w:bottom w:val="nil"/>
              <w:right w:val="nil"/>
            </w:tcBorders>
            <w:shd w:val="clear" w:color="auto" w:fill="7030A0"/>
            <w:vAlign w:val="bottom"/>
          </w:tcPr>
          <w:p w14:paraId="51A2CF9F" w14:textId="61F38FA2" w:rsidR="00542690" w:rsidRPr="003E75E3" w:rsidRDefault="00542690" w:rsidP="0054269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Disclosure of impairment of contract assets is disclosed separately from impairment of other financial assets.</w:t>
            </w:r>
          </w:p>
        </w:tc>
      </w:tr>
      <w:tr w:rsidR="00542690" w:rsidRPr="00DD296A" w14:paraId="108F4C8E" w14:textId="77777777" w:rsidTr="005F5B4C">
        <w:trPr>
          <w:cantSplit/>
          <w:trHeight w:val="23"/>
        </w:trPr>
        <w:tc>
          <w:tcPr>
            <w:tcW w:w="745" w:type="pct"/>
            <w:tcBorders>
              <w:top w:val="nil"/>
              <w:left w:val="single" w:sz="2" w:space="0" w:color="auto"/>
              <w:bottom w:val="nil"/>
              <w:right w:val="single" w:sz="2" w:space="0" w:color="auto"/>
            </w:tcBorders>
          </w:tcPr>
          <w:p w14:paraId="41975B1A" w14:textId="151DC1E0" w:rsidR="00542690" w:rsidRPr="003E75E3" w:rsidRDefault="00542690" w:rsidP="00542690">
            <w:pPr>
              <w:pStyle w:val="TableReference"/>
              <w:tabs>
                <w:tab w:val="left" w:pos="3306"/>
              </w:tabs>
              <w:rPr>
                <w:color w:val="7030A0"/>
              </w:rPr>
            </w:pPr>
            <w:r w:rsidRPr="003E75E3">
              <w:rPr>
                <w:rFonts w:cs="Calibri"/>
                <w:color w:val="7030A0"/>
                <w:sz w:val="14"/>
              </w:rPr>
              <w:t>AASB 15.95</w:t>
            </w:r>
          </w:p>
        </w:tc>
        <w:tc>
          <w:tcPr>
            <w:tcW w:w="4255" w:type="pct"/>
            <w:tcBorders>
              <w:top w:val="nil"/>
              <w:left w:val="single" w:sz="2" w:space="0" w:color="auto"/>
              <w:bottom w:val="nil"/>
              <w:right w:val="nil"/>
            </w:tcBorders>
            <w:shd w:val="clear" w:color="auto" w:fill="7030A0"/>
            <w:vAlign w:val="bottom"/>
          </w:tcPr>
          <w:p w14:paraId="668ED507" w14:textId="4C6F3988" w:rsidR="00542690" w:rsidRPr="00CC1E25" w:rsidRDefault="00542690" w:rsidP="00CC1E25">
            <w:pPr>
              <w:pStyle w:val="CommentaryText"/>
              <w:spacing w:after="40"/>
              <w:rPr>
                <w:rFonts w:cs="Calibri"/>
                <w:i/>
                <w:iCs/>
                <w:strike/>
                <w:color w:val="FFFFFF" w:themeColor="background1"/>
                <w:sz w:val="18"/>
                <w:szCs w:val="18"/>
              </w:rPr>
            </w:pPr>
            <w:r w:rsidRPr="00CC1E25">
              <w:rPr>
                <w:rFonts w:cs="Calibri"/>
                <w:i/>
                <w:iCs/>
                <w:color w:val="FFFFFF" w:themeColor="background1"/>
                <w:sz w:val="18"/>
                <w:szCs w:val="18"/>
              </w:rPr>
              <w:t>Contract Cost Asset</w:t>
            </w:r>
          </w:p>
        </w:tc>
      </w:tr>
      <w:tr w:rsidR="00542690" w:rsidRPr="00DD296A" w14:paraId="5AF6DFE2" w14:textId="77777777" w:rsidTr="005F5B4C">
        <w:trPr>
          <w:cantSplit/>
          <w:trHeight w:val="23"/>
        </w:trPr>
        <w:tc>
          <w:tcPr>
            <w:tcW w:w="745" w:type="pct"/>
            <w:tcBorders>
              <w:top w:val="nil"/>
              <w:left w:val="single" w:sz="2" w:space="0" w:color="auto"/>
              <w:bottom w:val="nil"/>
              <w:right w:val="single" w:sz="2" w:space="0" w:color="auto"/>
            </w:tcBorders>
          </w:tcPr>
          <w:p w14:paraId="042B105B"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031F1860" w14:textId="4C2DA25E"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AASB 15 requires incremental costs to obtain a contract and costs to fulfil a contract to be capitalised as an asset and released as the goods/services are transferred to the customer where certain conditions are met.</w:t>
            </w:r>
          </w:p>
        </w:tc>
      </w:tr>
      <w:tr w:rsidR="00542690" w:rsidRPr="00DD296A" w14:paraId="766ABE77" w14:textId="77777777" w:rsidTr="005F5B4C">
        <w:trPr>
          <w:cantSplit/>
          <w:trHeight w:val="23"/>
        </w:trPr>
        <w:tc>
          <w:tcPr>
            <w:tcW w:w="745" w:type="pct"/>
            <w:tcBorders>
              <w:top w:val="nil"/>
              <w:left w:val="single" w:sz="2" w:space="0" w:color="auto"/>
              <w:bottom w:val="nil"/>
              <w:right w:val="single" w:sz="2" w:space="0" w:color="auto"/>
            </w:tcBorders>
          </w:tcPr>
          <w:p w14:paraId="03DDBD28"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CAE511D" w14:textId="493050AC"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When the agency has recognised an asset for costs to obtain or fulfil a contract with a customer, the agency is required to disclose the closing balance by main asset category (e.g. costs to obtain contracts, set up costs, pre-contract costs etc).</w:t>
            </w:r>
          </w:p>
        </w:tc>
      </w:tr>
      <w:tr w:rsidR="00542690" w:rsidRPr="00DD296A" w14:paraId="5A8FA1AA" w14:textId="77777777" w:rsidTr="005F5B4C">
        <w:trPr>
          <w:cantSplit/>
          <w:trHeight w:val="23"/>
        </w:trPr>
        <w:tc>
          <w:tcPr>
            <w:tcW w:w="745" w:type="pct"/>
            <w:tcBorders>
              <w:top w:val="nil"/>
              <w:left w:val="single" w:sz="2" w:space="0" w:color="auto"/>
              <w:bottom w:val="nil"/>
              <w:right w:val="single" w:sz="2" w:space="0" w:color="auto"/>
            </w:tcBorders>
          </w:tcPr>
          <w:p w14:paraId="03A82F99"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636ACCA" w14:textId="3A469F4F"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It is unlikely that agencies would have </w:t>
            </w:r>
            <w:r w:rsidR="00C03B5E">
              <w:rPr>
                <w:rFonts w:eastAsia="Calibri"/>
                <w:color w:val="FFFFFF" w:themeColor="background1"/>
                <w:sz w:val="18"/>
                <w:szCs w:val="18"/>
              </w:rPr>
              <w:t>material</w:t>
            </w:r>
            <w:r w:rsidRPr="003E75E3">
              <w:rPr>
                <w:rFonts w:eastAsia="Calibri"/>
                <w:color w:val="FFFFFF" w:themeColor="background1"/>
                <w:sz w:val="18"/>
                <w:szCs w:val="18"/>
              </w:rPr>
              <w:t xml:space="preserve"> incremental costs to obtain a contract since this is generally costs such as commission.</w:t>
            </w:r>
          </w:p>
        </w:tc>
      </w:tr>
      <w:tr w:rsidR="00542690" w:rsidRPr="00DD296A" w14:paraId="71BEB5FA" w14:textId="77777777" w:rsidTr="005F5B4C">
        <w:trPr>
          <w:cantSplit/>
          <w:trHeight w:val="23"/>
        </w:trPr>
        <w:tc>
          <w:tcPr>
            <w:tcW w:w="745" w:type="pct"/>
            <w:tcBorders>
              <w:top w:val="nil"/>
              <w:left w:val="single" w:sz="2" w:space="0" w:color="auto"/>
              <w:bottom w:val="nil"/>
              <w:right w:val="single" w:sz="2" w:space="0" w:color="auto"/>
            </w:tcBorders>
          </w:tcPr>
          <w:p w14:paraId="737AFFAC"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50AF578E" w14:textId="0DDFFA86"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In relation to costs to fulfil a contract, agencies should consider whether costs which have been incurred on a different basis from the recognition of revenue meet the criteria to be capitalised under AASB 15.</w:t>
            </w:r>
            <w:r w:rsidR="00FA7C77">
              <w:rPr>
                <w:rFonts w:eastAsia="Calibri"/>
                <w:color w:val="FFFFFF" w:themeColor="background1"/>
                <w:sz w:val="18"/>
                <w:szCs w:val="18"/>
              </w:rPr>
              <w:t xml:space="preserve"> </w:t>
            </w:r>
            <w:r w:rsidRPr="003E75E3">
              <w:rPr>
                <w:rFonts w:eastAsia="Calibri"/>
                <w:color w:val="FFFFFF" w:themeColor="background1"/>
                <w:sz w:val="18"/>
                <w:szCs w:val="18"/>
              </w:rPr>
              <w:t>Note that this is not an accounting policy choice, if the criteria are met then a contract cost must be recognised.</w:t>
            </w:r>
          </w:p>
        </w:tc>
      </w:tr>
      <w:tr w:rsidR="00542690" w:rsidRPr="00DD296A" w14:paraId="11B140C8" w14:textId="77777777" w:rsidTr="005F5B4C">
        <w:trPr>
          <w:cantSplit/>
          <w:trHeight w:val="23"/>
        </w:trPr>
        <w:tc>
          <w:tcPr>
            <w:tcW w:w="745" w:type="pct"/>
            <w:tcBorders>
              <w:top w:val="nil"/>
              <w:left w:val="single" w:sz="2" w:space="0" w:color="auto"/>
              <w:bottom w:val="nil"/>
              <w:right w:val="single" w:sz="2" w:space="0" w:color="auto"/>
            </w:tcBorders>
          </w:tcPr>
          <w:p w14:paraId="789DBF69" w14:textId="6844216E"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7.31-42</w:t>
            </w:r>
          </w:p>
        </w:tc>
        <w:tc>
          <w:tcPr>
            <w:tcW w:w="4255" w:type="pct"/>
            <w:tcBorders>
              <w:top w:val="nil"/>
              <w:left w:val="single" w:sz="2" w:space="0" w:color="auto"/>
              <w:bottom w:val="nil"/>
              <w:right w:val="nil"/>
            </w:tcBorders>
            <w:shd w:val="clear" w:color="auto" w:fill="7030A0"/>
            <w:vAlign w:val="bottom"/>
          </w:tcPr>
          <w:p w14:paraId="0BB74A7C" w14:textId="086A83CA" w:rsidR="00542690" w:rsidRPr="003E75E3" w:rsidRDefault="00542690" w:rsidP="00542690">
            <w:pPr>
              <w:pStyle w:val="CommentaryText"/>
              <w:spacing w:after="0"/>
              <w:rPr>
                <w:rFonts w:cs="Calibri"/>
                <w:color w:val="FFFFFF" w:themeColor="background1"/>
                <w:sz w:val="18"/>
                <w:szCs w:val="18"/>
              </w:rPr>
            </w:pPr>
            <w:r w:rsidRPr="003E75E3">
              <w:rPr>
                <w:rFonts w:cs="Calibri"/>
                <w:color w:val="FFFFFF" w:themeColor="background1"/>
                <w:sz w:val="18"/>
                <w:szCs w:val="18"/>
              </w:rPr>
              <w:t xml:space="preserve">AASB 7 </w:t>
            </w:r>
            <w:r w:rsidRPr="003E75E3">
              <w:rPr>
                <w:rFonts w:cs="Calibri"/>
                <w:i/>
                <w:color w:val="FFFFFF" w:themeColor="background1"/>
                <w:sz w:val="18"/>
                <w:szCs w:val="18"/>
              </w:rPr>
              <w:t>Financial Instruments: Disclosures</w:t>
            </w:r>
            <w:r w:rsidRPr="003E75E3">
              <w:rPr>
                <w:rFonts w:cs="Calibri"/>
                <w:color w:val="FFFFFF" w:themeColor="background1"/>
                <w:sz w:val="18"/>
                <w:szCs w:val="18"/>
              </w:rPr>
              <w:t xml:space="preserve"> requires quantitative and qualitative disclosures for each type of risk (i.e. credit risk, liquidity risk and market risk) to evaluate the nature and extent of risks from financial instruments to which the agency is exposed, including financial assets that are either past due or impaired (see Note 31 </w:t>
            </w:r>
            <w:r w:rsidRPr="003E75E3">
              <w:rPr>
                <w:rFonts w:cs="Calibri"/>
                <w:i/>
                <w:color w:val="FFFFFF" w:themeColor="background1"/>
                <w:sz w:val="18"/>
                <w:szCs w:val="18"/>
              </w:rPr>
              <w:t>Financial Instruments</w:t>
            </w:r>
            <w:r w:rsidRPr="003E75E3">
              <w:rPr>
                <w:rFonts w:cs="Calibri"/>
                <w:color w:val="FFFFFF" w:themeColor="background1"/>
                <w:sz w:val="18"/>
                <w:szCs w:val="18"/>
              </w:rPr>
              <w:t>).</w:t>
            </w:r>
          </w:p>
        </w:tc>
      </w:tr>
      <w:tr w:rsidR="00542690" w:rsidRPr="00DD296A" w14:paraId="0EFB27BA" w14:textId="77777777" w:rsidTr="005F5B4C">
        <w:trPr>
          <w:cantSplit/>
          <w:trHeight w:val="23"/>
        </w:trPr>
        <w:tc>
          <w:tcPr>
            <w:tcW w:w="745" w:type="pct"/>
            <w:tcBorders>
              <w:top w:val="nil"/>
              <w:left w:val="single" w:sz="2" w:space="0" w:color="auto"/>
              <w:bottom w:val="nil"/>
              <w:right w:val="single" w:sz="2" w:space="0" w:color="auto"/>
            </w:tcBorders>
          </w:tcPr>
          <w:p w14:paraId="1E6BAA9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37D0A26" w14:textId="097AF532" w:rsidR="00542690" w:rsidRPr="001F4216" w:rsidRDefault="00542690" w:rsidP="00CC1E25">
            <w:pPr>
              <w:pStyle w:val="CommentaryText"/>
              <w:spacing w:before="120" w:after="40"/>
              <w:rPr>
                <w:rFonts w:cs="Calibri"/>
                <w:color w:val="FFFFFF" w:themeColor="background1"/>
                <w:szCs w:val="20"/>
              </w:rPr>
            </w:pPr>
            <w:r w:rsidRPr="001F4216">
              <w:rPr>
                <w:rFonts w:cs="Calibri"/>
                <w:b/>
                <w:bCs/>
                <w:color w:val="FFFFFF" w:themeColor="background1"/>
                <w:szCs w:val="20"/>
              </w:rPr>
              <w:t>Impact of COVID-19 on Expected Credit Losses</w:t>
            </w:r>
          </w:p>
        </w:tc>
      </w:tr>
      <w:tr w:rsidR="00542690" w:rsidRPr="00DD296A" w14:paraId="6D8002E2" w14:textId="77777777" w:rsidTr="005F5B4C">
        <w:trPr>
          <w:cantSplit/>
          <w:trHeight w:val="23"/>
        </w:trPr>
        <w:tc>
          <w:tcPr>
            <w:tcW w:w="745" w:type="pct"/>
            <w:tcBorders>
              <w:top w:val="nil"/>
              <w:left w:val="single" w:sz="2" w:space="0" w:color="auto"/>
              <w:bottom w:val="nil"/>
              <w:right w:val="single" w:sz="2" w:space="0" w:color="auto"/>
            </w:tcBorders>
          </w:tcPr>
          <w:p w14:paraId="0D14EEE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B81DD80" w14:textId="4A318E2B" w:rsidR="00542690" w:rsidRPr="003E75E3" w:rsidRDefault="00542690" w:rsidP="00542690">
            <w:pPr>
              <w:jc w:val="both"/>
              <w:rPr>
                <w:color w:val="FFFFFF" w:themeColor="background1"/>
                <w:sz w:val="18"/>
                <w:szCs w:val="18"/>
              </w:rPr>
            </w:pPr>
            <w:r w:rsidRPr="00E234E6">
              <w:rPr>
                <w:strike/>
                <w:color w:val="FF0000"/>
                <w:sz w:val="18"/>
                <w:szCs w:val="18"/>
              </w:rPr>
              <w:t>It is likely</w:t>
            </w:r>
            <w:r w:rsidRPr="00E234E6">
              <w:rPr>
                <w:color w:val="FF0000"/>
                <w:sz w:val="18"/>
                <w:szCs w:val="18"/>
              </w:rPr>
              <w:t xml:space="preserve"> </w:t>
            </w:r>
            <w:r w:rsidRPr="003E75E3">
              <w:rPr>
                <w:color w:val="FFFFFF" w:themeColor="background1"/>
                <w:sz w:val="18"/>
                <w:szCs w:val="18"/>
              </w:rPr>
              <w:t xml:space="preserve">Expected Credit Losses (ECLs) </w:t>
            </w:r>
            <w:r w:rsidRPr="00E234E6">
              <w:rPr>
                <w:strike/>
                <w:color w:val="FF0000"/>
                <w:sz w:val="18"/>
                <w:szCs w:val="18"/>
              </w:rPr>
              <w:t>will</w:t>
            </w:r>
            <w:r w:rsidRPr="003E75E3">
              <w:rPr>
                <w:color w:val="FFFFFF" w:themeColor="background1"/>
                <w:sz w:val="18"/>
                <w:szCs w:val="18"/>
              </w:rPr>
              <w:t xml:space="preserve"> </w:t>
            </w:r>
            <w:r w:rsidR="00E234E6" w:rsidRPr="00E234E6">
              <w:rPr>
                <w:color w:val="FF0000"/>
                <w:sz w:val="18"/>
                <w:szCs w:val="18"/>
              </w:rPr>
              <w:t xml:space="preserve">may have </w:t>
            </w:r>
            <w:r w:rsidRPr="003E75E3">
              <w:rPr>
                <w:color w:val="FFFFFF" w:themeColor="background1"/>
                <w:sz w:val="18"/>
                <w:szCs w:val="18"/>
              </w:rPr>
              <w:t>increase</w:t>
            </w:r>
            <w:r w:rsidR="00E234E6" w:rsidRPr="00E234E6">
              <w:rPr>
                <w:color w:val="FF0000"/>
                <w:sz w:val="18"/>
                <w:szCs w:val="18"/>
              </w:rPr>
              <w:t>d</w:t>
            </w:r>
            <w:r w:rsidRPr="003E75E3">
              <w:rPr>
                <w:color w:val="FFFFFF" w:themeColor="background1"/>
                <w:sz w:val="18"/>
                <w:szCs w:val="18"/>
              </w:rPr>
              <w:t xml:space="preserve"> to reflect changes in the ability of customers to settle their debts. Material changes to the method of calculating ECLs will need to be appropriately disclosed. </w:t>
            </w:r>
          </w:p>
          <w:p w14:paraId="401B6A11" w14:textId="153F5E58" w:rsidR="00542690" w:rsidRPr="003E75E3" w:rsidRDefault="00542690" w:rsidP="00CB31DE">
            <w:pPr>
              <w:pStyle w:val="ListParagraph"/>
              <w:numPr>
                <w:ilvl w:val="0"/>
                <w:numId w:val="50"/>
              </w:numPr>
              <w:ind w:left="459"/>
              <w:jc w:val="both"/>
              <w:rPr>
                <w:color w:val="FFFFFF" w:themeColor="background1"/>
                <w:sz w:val="18"/>
                <w:szCs w:val="18"/>
              </w:rPr>
            </w:pPr>
            <w:r w:rsidRPr="003E75E3">
              <w:rPr>
                <w:color w:val="FFFFFF" w:themeColor="background1"/>
                <w:sz w:val="18"/>
                <w:szCs w:val="18"/>
              </w:rPr>
              <w:t>ECLs (i</w:t>
            </w:r>
            <w:r w:rsidR="002C5A96">
              <w:rPr>
                <w:color w:val="FFFFFF" w:themeColor="background1"/>
                <w:sz w:val="18"/>
                <w:szCs w:val="18"/>
              </w:rPr>
              <w:t>.</w:t>
            </w:r>
            <w:r w:rsidRPr="003E75E3">
              <w:rPr>
                <w:color w:val="FFFFFF" w:themeColor="background1"/>
                <w:sz w:val="18"/>
                <w:szCs w:val="18"/>
              </w:rPr>
              <w:t>e</w:t>
            </w:r>
            <w:r w:rsidR="002C5A96">
              <w:rPr>
                <w:color w:val="FFFFFF" w:themeColor="background1"/>
                <w:sz w:val="18"/>
                <w:szCs w:val="18"/>
              </w:rPr>
              <w:t>.</w:t>
            </w:r>
            <w:r w:rsidRPr="003E75E3">
              <w:rPr>
                <w:color w:val="FFFFFF" w:themeColor="background1"/>
                <w:sz w:val="18"/>
                <w:szCs w:val="18"/>
              </w:rPr>
              <w:t xml:space="preserve"> provisions) against receivables may increase substantially; and</w:t>
            </w:r>
          </w:p>
          <w:p w14:paraId="771EA3D4" w14:textId="6253E638" w:rsidR="00542690" w:rsidRPr="003E75E3" w:rsidRDefault="00542690" w:rsidP="00CB31DE">
            <w:pPr>
              <w:pStyle w:val="CommentaryText"/>
              <w:keepNext/>
              <w:keepLines/>
              <w:numPr>
                <w:ilvl w:val="0"/>
                <w:numId w:val="52"/>
              </w:numPr>
              <w:tabs>
                <w:tab w:val="left" w:pos="3306"/>
              </w:tabs>
              <w:ind w:left="459" w:hanging="357"/>
              <w:rPr>
                <w:color w:val="FFFFFF" w:themeColor="background1"/>
                <w:sz w:val="18"/>
                <w:szCs w:val="18"/>
              </w:rPr>
            </w:pPr>
            <w:r w:rsidRPr="001F4216">
              <w:rPr>
                <w:rFonts w:cs="Calibri"/>
                <w:color w:val="FFFFFF" w:themeColor="background1"/>
                <w:sz w:val="18"/>
                <w:szCs w:val="18"/>
              </w:rPr>
              <w:t>agencies need to consider the appropriateness of their existing methodologies for predicting future ECLs.</w:t>
            </w:r>
          </w:p>
        </w:tc>
      </w:tr>
      <w:tr w:rsidR="009315BB" w:rsidRPr="00CF7E1B" w14:paraId="5A0A6C26" w14:textId="77777777" w:rsidTr="005F5B4C">
        <w:trPr>
          <w:cantSplit/>
        </w:trPr>
        <w:tc>
          <w:tcPr>
            <w:tcW w:w="745" w:type="pct"/>
            <w:tcBorders>
              <w:top w:val="nil"/>
              <w:left w:val="single" w:sz="2" w:space="0" w:color="auto"/>
              <w:bottom w:val="nil"/>
              <w:right w:val="single" w:sz="2" w:space="0" w:color="auto"/>
            </w:tcBorders>
          </w:tcPr>
          <w:p w14:paraId="32F50180" w14:textId="5D8BCC60" w:rsidR="009315BB" w:rsidRPr="00167B16" w:rsidRDefault="009315BB" w:rsidP="005C58EF">
            <w:pPr>
              <w:pStyle w:val="TableReference"/>
              <w:tabs>
                <w:tab w:val="left" w:pos="3306"/>
              </w:tabs>
              <w:spacing w:before="240" w:after="240"/>
              <w:rPr>
                <w:rFonts w:cs="Calibri"/>
                <w:color w:val="7030A0"/>
                <w:sz w:val="22"/>
                <w:szCs w:val="22"/>
              </w:rPr>
            </w:pPr>
          </w:p>
        </w:tc>
        <w:tc>
          <w:tcPr>
            <w:tcW w:w="4255" w:type="pct"/>
            <w:tcBorders>
              <w:top w:val="nil"/>
              <w:left w:val="single" w:sz="2" w:space="0" w:color="auto"/>
              <w:bottom w:val="nil"/>
              <w:right w:val="nil"/>
            </w:tcBorders>
            <w:vAlign w:val="bottom"/>
          </w:tcPr>
          <w:p w14:paraId="7C476569" w14:textId="406C2147" w:rsidR="009315BB" w:rsidRPr="000C75E5" w:rsidRDefault="009315BB" w:rsidP="009315BB">
            <w:pPr>
              <w:pStyle w:val="Heading1"/>
              <w:numPr>
                <w:ilvl w:val="0"/>
                <w:numId w:val="0"/>
              </w:numPr>
            </w:pPr>
            <w:bookmarkStart w:id="587" w:name="_Toc132743803"/>
            <w:r w:rsidRPr="00167B16">
              <w:t xml:space="preserve">Note </w:t>
            </w:r>
            <w:r w:rsidR="00762E7F" w:rsidRPr="00167B16">
              <w:t>17</w:t>
            </w:r>
            <w:r w:rsidRPr="00167B16">
              <w:t>.</w:t>
            </w:r>
            <w:r w:rsidR="00FA7C77">
              <w:t xml:space="preserve">  </w:t>
            </w:r>
            <w:r w:rsidRPr="00167B16">
              <w:t xml:space="preserve"> Inventories</w:t>
            </w:r>
            <w:bookmarkEnd w:id="587"/>
          </w:p>
        </w:tc>
      </w:tr>
      <w:tr w:rsidR="00797FEC" w:rsidRPr="00CF7E1B" w14:paraId="2576B4AE" w14:textId="77777777" w:rsidTr="005F5B4C">
        <w:trPr>
          <w:cantSplit/>
        </w:trPr>
        <w:tc>
          <w:tcPr>
            <w:tcW w:w="745" w:type="pct"/>
            <w:tcBorders>
              <w:top w:val="nil"/>
              <w:left w:val="single" w:sz="2" w:space="0" w:color="auto"/>
              <w:bottom w:val="nil"/>
              <w:right w:val="single" w:sz="2" w:space="0" w:color="auto"/>
            </w:tcBorders>
          </w:tcPr>
          <w:p w14:paraId="34DF2AE8" w14:textId="77777777" w:rsidR="00797FEC" w:rsidRPr="00167B16" w:rsidRDefault="00797FEC" w:rsidP="00167B16">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707DCEE2" w14:textId="211D6171" w:rsidR="00797FEC" w:rsidRPr="006D1C79" w:rsidRDefault="004F40F6" w:rsidP="006D1C79">
            <w:pPr>
              <w:jc w:val="both"/>
              <w:rPr>
                <w:b/>
                <w:bCs/>
                <w:caps/>
                <w:sz w:val="18"/>
                <w:szCs w:val="18"/>
              </w:rPr>
            </w:pPr>
            <w:bookmarkStart w:id="588" w:name="_Toc98763114"/>
            <w:r w:rsidRPr="006D1C79">
              <w:rPr>
                <w:b/>
                <w:bCs/>
                <w:sz w:val="18"/>
                <w:szCs w:val="18"/>
              </w:rPr>
              <w:t>Description and Material Accounting Policies relating to Inventories</w:t>
            </w:r>
            <w:bookmarkEnd w:id="588"/>
          </w:p>
        </w:tc>
      </w:tr>
      <w:tr w:rsidR="00FC69F0" w:rsidRPr="00CF7E1B" w14:paraId="65A3EAC2" w14:textId="77777777" w:rsidTr="005F5B4C">
        <w:trPr>
          <w:cantSplit/>
        </w:trPr>
        <w:tc>
          <w:tcPr>
            <w:tcW w:w="745" w:type="pct"/>
            <w:tcBorders>
              <w:top w:val="nil"/>
              <w:left w:val="single" w:sz="2" w:space="0" w:color="auto"/>
              <w:bottom w:val="nil"/>
              <w:right w:val="single" w:sz="2" w:space="0" w:color="auto"/>
            </w:tcBorders>
          </w:tcPr>
          <w:p w14:paraId="45C975BD" w14:textId="77777777" w:rsidR="00FC69F0" w:rsidRPr="00167B16" w:rsidRDefault="00FC69F0" w:rsidP="00FC69F0">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5CB6A34F" w14:textId="7AF9AB7F" w:rsidR="00FC69F0" w:rsidRPr="00EC1A8A" w:rsidRDefault="00FC69F0" w:rsidP="00EC1A8A">
            <w:pPr>
              <w:jc w:val="both"/>
              <w:rPr>
                <w:b/>
                <w:bCs/>
                <w:i/>
                <w:iCs/>
                <w:caps/>
                <w:sz w:val="18"/>
                <w:szCs w:val="18"/>
              </w:rPr>
            </w:pPr>
            <w:bookmarkStart w:id="589" w:name="_Toc98763115"/>
            <w:r w:rsidRPr="00EC1A8A">
              <w:rPr>
                <w:i/>
                <w:iCs/>
                <w:sz w:val="18"/>
                <w:szCs w:val="18"/>
              </w:rPr>
              <w:t>Inventory</w:t>
            </w:r>
            <w:bookmarkEnd w:id="589"/>
          </w:p>
        </w:tc>
      </w:tr>
      <w:tr w:rsidR="007B7B05" w:rsidRPr="00CF7E1B" w14:paraId="0D6F6B00" w14:textId="77777777" w:rsidTr="005F5B4C">
        <w:trPr>
          <w:cantSplit/>
        </w:trPr>
        <w:tc>
          <w:tcPr>
            <w:tcW w:w="745" w:type="pct"/>
            <w:tcBorders>
              <w:top w:val="nil"/>
              <w:left w:val="single" w:sz="2" w:space="0" w:color="auto"/>
              <w:bottom w:val="nil"/>
              <w:right w:val="single" w:sz="2" w:space="0" w:color="auto"/>
            </w:tcBorders>
          </w:tcPr>
          <w:p w14:paraId="5B1D07C9" w14:textId="77777777" w:rsidR="007B7B05" w:rsidRPr="00167B16" w:rsidRDefault="007B7B05" w:rsidP="007B7B05">
            <w:pPr>
              <w:pStyle w:val="TableReference"/>
              <w:tabs>
                <w:tab w:val="left" w:pos="3306"/>
              </w:tabs>
              <w:spacing w:before="240"/>
              <w:rPr>
                <w:color w:val="7030A0"/>
                <w:sz w:val="14"/>
              </w:rPr>
            </w:pPr>
          </w:p>
        </w:tc>
        <w:tc>
          <w:tcPr>
            <w:tcW w:w="4255" w:type="pct"/>
            <w:tcBorders>
              <w:top w:val="nil"/>
              <w:left w:val="single" w:sz="2" w:space="0" w:color="auto"/>
              <w:bottom w:val="nil"/>
              <w:right w:val="nil"/>
            </w:tcBorders>
          </w:tcPr>
          <w:p w14:paraId="03C09060" w14:textId="7525A58D" w:rsidR="007B7B05" w:rsidRPr="00EC1A8A" w:rsidRDefault="007B7B05" w:rsidP="00EC1A8A">
            <w:pPr>
              <w:jc w:val="both"/>
              <w:rPr>
                <w:b/>
                <w:bCs/>
                <w:caps/>
                <w:sz w:val="18"/>
                <w:szCs w:val="18"/>
              </w:rPr>
            </w:pPr>
            <w:bookmarkStart w:id="590" w:name="_Toc98763116"/>
            <w:r w:rsidRPr="00EC1A8A">
              <w:rPr>
                <w:sz w:val="18"/>
                <w:szCs w:val="18"/>
              </w:rPr>
              <w:t>Inventory held by ‘</w:t>
            </w:r>
            <w:r w:rsidR="00645E43" w:rsidRPr="00EC1A8A">
              <w:rPr>
                <w:sz w:val="18"/>
                <w:szCs w:val="18"/>
              </w:rPr>
              <w:t>Burley Griffin</w:t>
            </w:r>
            <w:r w:rsidRPr="00EC1A8A">
              <w:rPr>
                <w:sz w:val="18"/>
                <w:szCs w:val="18"/>
              </w:rPr>
              <w:t xml:space="preserve"> Agency’ is made up of land</w:t>
            </w:r>
            <w:r w:rsidR="005B0BEB" w:rsidRPr="00EC1A8A">
              <w:rPr>
                <w:sz w:val="18"/>
                <w:szCs w:val="18"/>
              </w:rPr>
              <w:t>,</w:t>
            </w:r>
            <w:r w:rsidR="00EC7A1C" w:rsidRPr="00EC1A8A">
              <w:rPr>
                <w:sz w:val="18"/>
                <w:szCs w:val="18"/>
              </w:rPr>
              <w:t xml:space="preserve"> </w:t>
            </w:r>
            <w:r w:rsidR="005B0BEB" w:rsidRPr="00EC1A8A">
              <w:rPr>
                <w:sz w:val="18"/>
                <w:szCs w:val="18"/>
              </w:rPr>
              <w:t>as well as</w:t>
            </w:r>
            <w:r w:rsidRPr="00EC1A8A">
              <w:rPr>
                <w:sz w:val="18"/>
                <w:szCs w:val="18"/>
              </w:rPr>
              <w:t xml:space="preserve"> </w:t>
            </w:r>
            <w:r w:rsidR="00E57A1B" w:rsidRPr="00EC1A8A">
              <w:rPr>
                <w:sz w:val="18"/>
                <w:szCs w:val="18"/>
              </w:rPr>
              <w:t xml:space="preserve">environmental </w:t>
            </w:r>
            <w:r w:rsidR="00EC7A1C" w:rsidRPr="00EC1A8A">
              <w:rPr>
                <w:sz w:val="18"/>
                <w:szCs w:val="18"/>
              </w:rPr>
              <w:t>merchandising which i</w:t>
            </w:r>
            <w:r w:rsidR="005B0BEB" w:rsidRPr="00EC1A8A">
              <w:rPr>
                <w:sz w:val="18"/>
                <w:szCs w:val="18"/>
              </w:rPr>
              <w:t>t</w:t>
            </w:r>
            <w:r w:rsidR="00EC7A1C" w:rsidRPr="00EC1A8A">
              <w:rPr>
                <w:sz w:val="18"/>
                <w:szCs w:val="18"/>
              </w:rPr>
              <w:t xml:space="preserve"> sells to tourists visiting Canberra and to the ACT community.</w:t>
            </w:r>
            <w:r w:rsidR="00FA7C77" w:rsidRPr="00EC1A8A">
              <w:rPr>
                <w:sz w:val="18"/>
                <w:szCs w:val="18"/>
              </w:rPr>
              <w:t xml:space="preserve"> </w:t>
            </w:r>
            <w:r w:rsidR="0067087D" w:rsidRPr="00EC1A8A">
              <w:rPr>
                <w:sz w:val="18"/>
                <w:szCs w:val="18"/>
              </w:rPr>
              <w:t xml:space="preserve">‘Burley Griffin Agency’ acquires, develops and prepares land and hold this land as inventory. </w:t>
            </w:r>
            <w:r w:rsidR="00EC7A1C" w:rsidRPr="00EC1A8A">
              <w:rPr>
                <w:sz w:val="18"/>
                <w:szCs w:val="18"/>
              </w:rPr>
              <w:t>Raw materials are purchased by ‘</w:t>
            </w:r>
            <w:r w:rsidR="00645E43" w:rsidRPr="00EC1A8A">
              <w:rPr>
                <w:sz w:val="18"/>
                <w:szCs w:val="18"/>
              </w:rPr>
              <w:t>Burley Griffin Agency</w:t>
            </w:r>
            <w:r w:rsidR="00EC7A1C" w:rsidRPr="00EC1A8A">
              <w:rPr>
                <w:sz w:val="18"/>
                <w:szCs w:val="18"/>
              </w:rPr>
              <w:t xml:space="preserve">’ and </w:t>
            </w:r>
            <w:r w:rsidR="0067087D" w:rsidRPr="00EC1A8A">
              <w:rPr>
                <w:sz w:val="18"/>
                <w:szCs w:val="18"/>
              </w:rPr>
              <w:t xml:space="preserve">it then </w:t>
            </w:r>
            <w:r w:rsidR="00787469" w:rsidRPr="00EC1A8A">
              <w:rPr>
                <w:sz w:val="18"/>
                <w:szCs w:val="18"/>
              </w:rPr>
              <w:t xml:space="preserve">produces the </w:t>
            </w:r>
            <w:r w:rsidR="00FF0A0E" w:rsidRPr="00EC1A8A">
              <w:rPr>
                <w:sz w:val="18"/>
                <w:szCs w:val="18"/>
              </w:rPr>
              <w:t>merchandise</w:t>
            </w:r>
            <w:r w:rsidR="00EC7A1C" w:rsidRPr="00EC1A8A">
              <w:rPr>
                <w:sz w:val="18"/>
                <w:szCs w:val="18"/>
              </w:rPr>
              <w:t xml:space="preserve"> in-house by agency staff</w:t>
            </w:r>
            <w:r w:rsidR="00787469" w:rsidRPr="00EC1A8A">
              <w:rPr>
                <w:sz w:val="18"/>
                <w:szCs w:val="18"/>
              </w:rPr>
              <w:t>.</w:t>
            </w:r>
            <w:bookmarkEnd w:id="590"/>
          </w:p>
        </w:tc>
      </w:tr>
      <w:tr w:rsidR="009315BB" w:rsidRPr="00CF7E1B" w14:paraId="3311F170" w14:textId="77777777" w:rsidTr="005F5B4C">
        <w:trPr>
          <w:cantSplit/>
        </w:trPr>
        <w:tc>
          <w:tcPr>
            <w:tcW w:w="745" w:type="pct"/>
            <w:tcBorders>
              <w:top w:val="nil"/>
              <w:left w:val="single" w:sz="2" w:space="0" w:color="auto"/>
              <w:bottom w:val="nil"/>
              <w:right w:val="single" w:sz="2" w:space="0" w:color="auto"/>
            </w:tcBorders>
          </w:tcPr>
          <w:p w14:paraId="1CCD25AD" w14:textId="77777777" w:rsidR="005F2842" w:rsidRPr="00167B16" w:rsidRDefault="009315BB" w:rsidP="005F2842">
            <w:pPr>
              <w:pStyle w:val="TableReference"/>
              <w:tabs>
                <w:tab w:val="left" w:pos="3306"/>
              </w:tabs>
              <w:rPr>
                <w:color w:val="7030A0"/>
                <w:sz w:val="14"/>
              </w:rPr>
            </w:pPr>
            <w:r w:rsidRPr="00167B16">
              <w:rPr>
                <w:color w:val="7030A0"/>
                <w:sz w:val="14"/>
              </w:rPr>
              <w:t xml:space="preserve">AASB 102.36(a), </w:t>
            </w:r>
          </w:p>
          <w:p w14:paraId="1DB53DA9" w14:textId="2B349F39" w:rsidR="009315BB" w:rsidRPr="00167B16" w:rsidRDefault="009315BB" w:rsidP="005F2842">
            <w:pPr>
              <w:pStyle w:val="TableReference"/>
              <w:tabs>
                <w:tab w:val="left" w:pos="3306"/>
              </w:tabs>
              <w:rPr>
                <w:color w:val="7030A0"/>
                <w:sz w:val="14"/>
              </w:rPr>
            </w:pPr>
            <w:r w:rsidRPr="00167B16">
              <w:rPr>
                <w:color w:val="7030A0"/>
                <w:sz w:val="14"/>
              </w:rPr>
              <w:t xml:space="preserve">AASB 102.9, </w:t>
            </w:r>
          </w:p>
          <w:p w14:paraId="5571B922" w14:textId="1ED4A7AE" w:rsidR="009315BB" w:rsidRPr="00167B16" w:rsidRDefault="009315BB" w:rsidP="005F2842">
            <w:pPr>
              <w:pStyle w:val="TableReference"/>
              <w:tabs>
                <w:tab w:val="left" w:pos="3306"/>
              </w:tabs>
              <w:rPr>
                <w:color w:val="7030A0"/>
                <w:sz w:val="14"/>
              </w:rPr>
            </w:pPr>
            <w:r w:rsidRPr="00167B16">
              <w:rPr>
                <w:color w:val="7030A0"/>
                <w:sz w:val="14"/>
              </w:rPr>
              <w:t>AASB 102.25</w:t>
            </w:r>
          </w:p>
        </w:tc>
        <w:tc>
          <w:tcPr>
            <w:tcW w:w="4255" w:type="pct"/>
            <w:tcBorders>
              <w:top w:val="nil"/>
              <w:left w:val="single" w:sz="2" w:space="0" w:color="auto"/>
              <w:bottom w:val="nil"/>
              <w:right w:val="nil"/>
            </w:tcBorders>
            <w:vAlign w:val="bottom"/>
          </w:tcPr>
          <w:p w14:paraId="6A895F17" w14:textId="13289145" w:rsidR="009315BB" w:rsidRPr="009315BB" w:rsidRDefault="009315BB" w:rsidP="004F40F6">
            <w:pPr>
              <w:spacing w:before="120" w:after="120"/>
              <w:jc w:val="both"/>
              <w:rPr>
                <w:color w:val="538135" w:themeColor="accent6" w:themeShade="BF"/>
                <w:sz w:val="18"/>
                <w:szCs w:val="18"/>
              </w:rPr>
            </w:pPr>
            <w:r w:rsidRPr="00EF02BB">
              <w:rPr>
                <w:sz w:val="18"/>
                <w:szCs w:val="18"/>
              </w:rPr>
              <w:t>Inventories held for sale are valued at the lower of cost and net realisable value.</w:t>
            </w:r>
            <w:r w:rsidR="00FA7C77">
              <w:rPr>
                <w:sz w:val="18"/>
                <w:szCs w:val="18"/>
              </w:rPr>
              <w:t xml:space="preserve"> </w:t>
            </w:r>
            <w:r w:rsidR="0088689A" w:rsidRPr="00EF02BB">
              <w:rPr>
                <w:sz w:val="18"/>
                <w:szCs w:val="18"/>
              </w:rPr>
              <w:t xml:space="preserve">The cost of land inventory includes the </w:t>
            </w:r>
            <w:r w:rsidR="0067087D" w:rsidRPr="00EF02BB">
              <w:rPr>
                <w:sz w:val="18"/>
                <w:szCs w:val="18"/>
              </w:rPr>
              <w:t xml:space="preserve">value of </w:t>
            </w:r>
            <w:r w:rsidR="0088689A" w:rsidRPr="00EF02BB">
              <w:rPr>
                <w:sz w:val="18"/>
                <w:szCs w:val="18"/>
              </w:rPr>
              <w:t>the land itself along with all direct costs incurred in developing the land.</w:t>
            </w:r>
            <w:r w:rsidR="00FA7C77">
              <w:rPr>
                <w:sz w:val="18"/>
                <w:szCs w:val="18"/>
              </w:rPr>
              <w:t xml:space="preserve"> </w:t>
            </w:r>
            <w:r w:rsidR="00EC7A1C" w:rsidRPr="00EF02BB">
              <w:rPr>
                <w:sz w:val="18"/>
                <w:szCs w:val="18"/>
              </w:rPr>
              <w:t>The cost is assigned to land inventory on a specific identification of cost basis given this inventory is high value and low volume.</w:t>
            </w:r>
            <w:r w:rsidR="00FA7C77">
              <w:t xml:space="preserve"> </w:t>
            </w:r>
            <w:r w:rsidR="0088689A" w:rsidRPr="00EF02BB">
              <w:rPr>
                <w:sz w:val="18"/>
                <w:szCs w:val="18"/>
              </w:rPr>
              <w:t>The c</w:t>
            </w:r>
            <w:r w:rsidRPr="00EF02BB">
              <w:rPr>
                <w:sz w:val="18"/>
                <w:szCs w:val="18"/>
              </w:rPr>
              <w:t xml:space="preserve">ost </w:t>
            </w:r>
            <w:r w:rsidR="0088689A" w:rsidRPr="00EF02BB">
              <w:rPr>
                <w:sz w:val="18"/>
                <w:szCs w:val="18"/>
              </w:rPr>
              <w:t xml:space="preserve">of ACT </w:t>
            </w:r>
            <w:r w:rsidR="00FF0A0E" w:rsidRPr="00EF02BB">
              <w:rPr>
                <w:sz w:val="18"/>
                <w:szCs w:val="18"/>
              </w:rPr>
              <w:t>merchandising</w:t>
            </w:r>
            <w:r w:rsidR="0088689A" w:rsidRPr="00EF02BB">
              <w:rPr>
                <w:sz w:val="18"/>
                <w:szCs w:val="18"/>
              </w:rPr>
              <w:t xml:space="preserve"> inventory </w:t>
            </w:r>
            <w:r w:rsidRPr="00EF02BB">
              <w:rPr>
                <w:sz w:val="18"/>
                <w:szCs w:val="18"/>
              </w:rPr>
              <w:t>comprises the purchase price of inventories as well as transport, handling and other costs directly attributable to the acquisition of inventories.</w:t>
            </w:r>
            <w:r w:rsidR="00FA7C77">
              <w:rPr>
                <w:sz w:val="18"/>
                <w:szCs w:val="18"/>
              </w:rPr>
              <w:t xml:space="preserve"> </w:t>
            </w:r>
            <w:r w:rsidRPr="00EF02BB">
              <w:rPr>
                <w:sz w:val="18"/>
                <w:szCs w:val="18"/>
              </w:rPr>
              <w:t>Trade discounts, rebates and other similar items are deducted in determining the costs of purchase.</w:t>
            </w:r>
            <w:r w:rsidR="00FA7C77">
              <w:rPr>
                <w:sz w:val="18"/>
                <w:szCs w:val="18"/>
              </w:rPr>
              <w:t xml:space="preserve"> </w:t>
            </w:r>
            <w:r w:rsidRPr="00EF02BB">
              <w:rPr>
                <w:sz w:val="18"/>
                <w:szCs w:val="18"/>
              </w:rPr>
              <w:t>The cost of</w:t>
            </w:r>
            <w:r w:rsidR="0088689A" w:rsidRPr="00EF02BB">
              <w:rPr>
                <w:sz w:val="18"/>
                <w:szCs w:val="18"/>
              </w:rPr>
              <w:t xml:space="preserve"> the ACT </w:t>
            </w:r>
            <w:r w:rsidR="0067087D" w:rsidRPr="00EF02BB">
              <w:rPr>
                <w:sz w:val="18"/>
                <w:szCs w:val="18"/>
              </w:rPr>
              <w:t xml:space="preserve">environmental </w:t>
            </w:r>
            <w:r w:rsidR="0088689A" w:rsidRPr="00EF02BB">
              <w:rPr>
                <w:sz w:val="18"/>
                <w:szCs w:val="18"/>
              </w:rPr>
              <w:t xml:space="preserve">merchandising </w:t>
            </w:r>
            <w:r w:rsidRPr="00EF02BB">
              <w:rPr>
                <w:sz w:val="18"/>
                <w:szCs w:val="18"/>
              </w:rPr>
              <w:t xml:space="preserve">inventories is assigned using the </w:t>
            </w:r>
            <w:r w:rsidR="00C446AE" w:rsidRPr="00EF02BB">
              <w:rPr>
                <w:color w:val="C45911" w:themeColor="accent2" w:themeShade="BF"/>
                <w:sz w:val="18"/>
                <w:szCs w:val="18"/>
              </w:rPr>
              <w:t>&lt;</w:t>
            </w:r>
            <w:r w:rsidRPr="00EF02BB">
              <w:rPr>
                <w:color w:val="C45911" w:themeColor="accent2" w:themeShade="BF"/>
                <w:sz w:val="18"/>
                <w:szCs w:val="18"/>
              </w:rPr>
              <w:t>first-in, first</w:t>
            </w:r>
            <w:r w:rsidRPr="00EF02BB">
              <w:rPr>
                <w:color w:val="C45911" w:themeColor="accent2" w:themeShade="BF"/>
                <w:sz w:val="18"/>
                <w:szCs w:val="18"/>
              </w:rPr>
              <w:noBreakHyphen/>
              <w:t>out</w:t>
            </w:r>
            <w:r w:rsidR="00C446AE" w:rsidRPr="00EF02BB">
              <w:rPr>
                <w:color w:val="C45911" w:themeColor="accent2" w:themeShade="BF"/>
                <w:sz w:val="18"/>
                <w:szCs w:val="18"/>
              </w:rPr>
              <w:t>&gt;</w:t>
            </w:r>
            <w:r w:rsidR="00A714F2" w:rsidRPr="00EF02BB">
              <w:rPr>
                <w:color w:val="C45911" w:themeColor="accent2" w:themeShade="BF"/>
                <w:sz w:val="18"/>
                <w:szCs w:val="18"/>
              </w:rPr>
              <w:t xml:space="preserve"> OR </w:t>
            </w:r>
            <w:r w:rsidR="00C446AE" w:rsidRPr="00EF02BB">
              <w:rPr>
                <w:color w:val="C45911" w:themeColor="accent2" w:themeShade="BF"/>
                <w:sz w:val="18"/>
                <w:szCs w:val="18"/>
              </w:rPr>
              <w:t>&lt;</w:t>
            </w:r>
            <w:r w:rsidRPr="00EF02BB">
              <w:rPr>
                <w:color w:val="C45911" w:themeColor="accent2" w:themeShade="BF"/>
                <w:sz w:val="18"/>
                <w:szCs w:val="18"/>
              </w:rPr>
              <w:t>weighted average</w:t>
            </w:r>
            <w:r w:rsidR="00C446AE" w:rsidRPr="00EF02BB">
              <w:rPr>
                <w:color w:val="C45911" w:themeColor="accent2" w:themeShade="BF"/>
                <w:sz w:val="18"/>
                <w:szCs w:val="18"/>
              </w:rPr>
              <w:t>&gt;</w:t>
            </w:r>
            <w:r w:rsidRPr="00EF02BB">
              <w:rPr>
                <w:sz w:val="18"/>
                <w:szCs w:val="18"/>
              </w:rPr>
              <w:t xml:space="preserve"> method</w:t>
            </w:r>
            <w:r w:rsidR="0088689A" w:rsidRPr="00EF02BB">
              <w:rPr>
                <w:sz w:val="18"/>
                <w:szCs w:val="18"/>
              </w:rPr>
              <w:t xml:space="preserve"> given they are high volume</w:t>
            </w:r>
            <w:r w:rsidR="005B0BEB" w:rsidRPr="00EF02BB">
              <w:rPr>
                <w:sz w:val="18"/>
                <w:szCs w:val="18"/>
              </w:rPr>
              <w:t>,</w:t>
            </w:r>
            <w:r w:rsidR="0088689A" w:rsidRPr="00EF02BB">
              <w:rPr>
                <w:sz w:val="18"/>
                <w:szCs w:val="18"/>
              </w:rPr>
              <w:t xml:space="preserve"> </w:t>
            </w:r>
            <w:r w:rsidR="00EC7A1C" w:rsidRPr="00EF02BB">
              <w:rPr>
                <w:sz w:val="18"/>
                <w:szCs w:val="18"/>
              </w:rPr>
              <w:t xml:space="preserve">low value </w:t>
            </w:r>
            <w:r w:rsidR="0088689A" w:rsidRPr="00EF02BB">
              <w:rPr>
                <w:sz w:val="18"/>
                <w:szCs w:val="18"/>
              </w:rPr>
              <w:t>inventory items</w:t>
            </w:r>
            <w:r w:rsidRPr="00EF02BB">
              <w:rPr>
                <w:sz w:val="18"/>
                <w:szCs w:val="18"/>
              </w:rPr>
              <w:t>.</w:t>
            </w:r>
            <w:r w:rsidR="00FA7C77">
              <w:rPr>
                <w:sz w:val="18"/>
                <w:szCs w:val="18"/>
              </w:rPr>
              <w:t xml:space="preserve"> </w:t>
            </w:r>
            <w:r w:rsidR="00065FB1" w:rsidRPr="00EF02BB">
              <w:rPr>
                <w:sz w:val="18"/>
                <w:szCs w:val="18"/>
              </w:rPr>
              <w:t>Net realisable value</w:t>
            </w:r>
            <w:r w:rsidR="00A22CBF" w:rsidRPr="00EF02BB">
              <w:rPr>
                <w:sz w:val="18"/>
                <w:szCs w:val="18"/>
              </w:rPr>
              <w:t xml:space="preserve"> for land and merchandising inventory</w:t>
            </w:r>
            <w:r w:rsidR="00065FB1" w:rsidRPr="00EF02BB">
              <w:rPr>
                <w:sz w:val="18"/>
                <w:szCs w:val="18"/>
              </w:rPr>
              <w:t xml:space="preserve"> is determined using the estimated sales proceeds</w:t>
            </w:r>
            <w:r w:rsidR="00A22CBF" w:rsidRPr="00EF02BB">
              <w:rPr>
                <w:rFonts w:eastAsia="Calibri"/>
                <w:szCs w:val="22"/>
              </w:rPr>
              <w:t xml:space="preserve"> </w:t>
            </w:r>
            <w:r w:rsidR="00A22CBF" w:rsidRPr="00EF02BB">
              <w:rPr>
                <w:sz w:val="18"/>
                <w:szCs w:val="18"/>
              </w:rPr>
              <w:t>in the ordinary course of business</w:t>
            </w:r>
            <w:r w:rsidR="00065FB1" w:rsidRPr="00EF02BB">
              <w:rPr>
                <w:sz w:val="18"/>
                <w:szCs w:val="18"/>
              </w:rPr>
              <w:t xml:space="preserve"> less </w:t>
            </w:r>
            <w:r w:rsidR="00A22CBF" w:rsidRPr="00EF02BB">
              <w:rPr>
                <w:sz w:val="18"/>
                <w:szCs w:val="18"/>
              </w:rPr>
              <w:t xml:space="preserve">the estimated </w:t>
            </w:r>
            <w:r w:rsidR="00065FB1" w:rsidRPr="00EF02BB">
              <w:rPr>
                <w:sz w:val="18"/>
                <w:szCs w:val="18"/>
              </w:rPr>
              <w:t xml:space="preserve">costs </w:t>
            </w:r>
            <w:r w:rsidR="00A22CBF" w:rsidRPr="00EF02BB">
              <w:rPr>
                <w:sz w:val="18"/>
                <w:szCs w:val="18"/>
              </w:rPr>
              <w:t xml:space="preserve">of completion and less the costs </w:t>
            </w:r>
            <w:r w:rsidR="00065FB1" w:rsidRPr="00EF02BB">
              <w:rPr>
                <w:sz w:val="18"/>
                <w:szCs w:val="18"/>
              </w:rPr>
              <w:t>incurred in marketing, selling and distribution to customers.</w:t>
            </w:r>
          </w:p>
        </w:tc>
      </w:tr>
      <w:tr w:rsidR="009315BB" w:rsidRPr="00CF7E1B" w14:paraId="5AB66101" w14:textId="77777777" w:rsidTr="005F5B4C">
        <w:trPr>
          <w:cantSplit/>
        </w:trPr>
        <w:tc>
          <w:tcPr>
            <w:tcW w:w="745" w:type="pct"/>
            <w:tcBorders>
              <w:top w:val="nil"/>
              <w:left w:val="single" w:sz="2" w:space="0" w:color="auto"/>
              <w:bottom w:val="nil"/>
              <w:right w:val="single" w:sz="2" w:space="0" w:color="auto"/>
            </w:tcBorders>
          </w:tcPr>
          <w:p w14:paraId="6358CAA6" w14:textId="5EE8E027" w:rsidR="009315BB" w:rsidRPr="00167B16" w:rsidRDefault="009315BB" w:rsidP="00065FB1">
            <w:pPr>
              <w:pStyle w:val="TableReference"/>
              <w:tabs>
                <w:tab w:val="left" w:pos="3306"/>
              </w:tabs>
              <w:spacing w:before="40"/>
              <w:rPr>
                <w:color w:val="7030A0"/>
                <w:sz w:val="14"/>
              </w:rPr>
            </w:pPr>
            <w:r w:rsidRPr="00167B16">
              <w:rPr>
                <w:color w:val="7030A0"/>
                <w:sz w:val="14"/>
              </w:rPr>
              <w:t>AASB 102.Aus9.1</w:t>
            </w:r>
          </w:p>
        </w:tc>
        <w:tc>
          <w:tcPr>
            <w:tcW w:w="4255" w:type="pct"/>
            <w:tcBorders>
              <w:top w:val="nil"/>
              <w:left w:val="single" w:sz="2" w:space="0" w:color="auto"/>
              <w:bottom w:val="nil"/>
              <w:right w:val="nil"/>
            </w:tcBorders>
            <w:vAlign w:val="bottom"/>
          </w:tcPr>
          <w:p w14:paraId="606340B6" w14:textId="349CC1BF" w:rsidR="009315BB" w:rsidRPr="00167B16" w:rsidRDefault="009315BB" w:rsidP="009315BB">
            <w:pPr>
              <w:spacing w:after="120"/>
              <w:jc w:val="both"/>
              <w:rPr>
                <w:rFonts w:cs="Calibri"/>
                <w:sz w:val="18"/>
                <w:szCs w:val="18"/>
              </w:rPr>
            </w:pPr>
            <w:r w:rsidRPr="00167B16">
              <w:rPr>
                <w:rFonts w:cs="Calibri"/>
                <w:sz w:val="18"/>
                <w:szCs w:val="18"/>
              </w:rPr>
              <w:t>Inventories held for distribution are measured at cost, adjusted</w:t>
            </w:r>
            <w:r w:rsidR="002C5A96">
              <w:rPr>
                <w:rFonts w:cs="Calibri"/>
                <w:sz w:val="18"/>
                <w:szCs w:val="18"/>
              </w:rPr>
              <w:t>,</w:t>
            </w:r>
            <w:r w:rsidRPr="00167B16">
              <w:rPr>
                <w:rFonts w:cs="Calibri"/>
                <w:sz w:val="18"/>
                <w:szCs w:val="18"/>
              </w:rPr>
              <w:t xml:space="preserve"> when applicable</w:t>
            </w:r>
            <w:r w:rsidR="002C5A96">
              <w:rPr>
                <w:rFonts w:cs="Calibri"/>
                <w:sz w:val="18"/>
                <w:szCs w:val="18"/>
              </w:rPr>
              <w:t>,</w:t>
            </w:r>
            <w:r w:rsidRPr="00167B16">
              <w:rPr>
                <w:rFonts w:cs="Calibri"/>
                <w:sz w:val="18"/>
                <w:szCs w:val="18"/>
              </w:rPr>
              <w:t xml:space="preserve"> for any loss of service potential </w:t>
            </w:r>
            <w:r w:rsidR="00847206" w:rsidRPr="00167B16">
              <w:rPr>
                <w:rFonts w:cs="Calibri"/>
                <w:sz w:val="18"/>
                <w:szCs w:val="18"/>
              </w:rPr>
              <w:t xml:space="preserve">with the carrying amount being </w:t>
            </w:r>
            <w:r w:rsidRPr="00167B16">
              <w:rPr>
                <w:rFonts w:cs="Calibri"/>
                <w:sz w:val="18"/>
                <w:szCs w:val="18"/>
              </w:rPr>
              <w:t xml:space="preserve">recorded in the Operating Statement </w:t>
            </w:r>
            <w:r w:rsidR="00BC0FD4" w:rsidRPr="00167B16">
              <w:rPr>
                <w:rFonts w:cs="Calibri"/>
                <w:sz w:val="18"/>
                <w:szCs w:val="18"/>
              </w:rPr>
              <w:t xml:space="preserve">as an expense </w:t>
            </w:r>
            <w:r w:rsidR="00847206" w:rsidRPr="00167B16">
              <w:rPr>
                <w:rFonts w:cs="Calibri"/>
                <w:sz w:val="18"/>
                <w:szCs w:val="18"/>
              </w:rPr>
              <w:t>once</w:t>
            </w:r>
            <w:r w:rsidR="00BC0FD4" w:rsidRPr="00167B16">
              <w:rPr>
                <w:rFonts w:cs="Calibri"/>
                <w:sz w:val="18"/>
                <w:szCs w:val="18"/>
              </w:rPr>
              <w:t xml:space="preserve"> the inventories are</w:t>
            </w:r>
            <w:r w:rsidR="00847206" w:rsidRPr="00167B16">
              <w:rPr>
                <w:rFonts w:cs="Calibri"/>
                <w:sz w:val="18"/>
                <w:szCs w:val="18"/>
              </w:rPr>
              <w:t xml:space="preserve"> distributed</w:t>
            </w:r>
            <w:r w:rsidRPr="00167B16">
              <w:rPr>
                <w:rFonts w:cs="Calibri"/>
                <w:sz w:val="18"/>
                <w:szCs w:val="18"/>
              </w:rPr>
              <w:t xml:space="preserve">. </w:t>
            </w:r>
          </w:p>
        </w:tc>
      </w:tr>
      <w:tr w:rsidR="005167EF" w:rsidRPr="00CF7E1B" w14:paraId="21373652" w14:textId="77777777" w:rsidTr="005F5B4C">
        <w:trPr>
          <w:cantSplit/>
        </w:trPr>
        <w:tc>
          <w:tcPr>
            <w:tcW w:w="745" w:type="pct"/>
            <w:tcBorders>
              <w:top w:val="nil"/>
              <w:left w:val="single" w:sz="2" w:space="0" w:color="auto"/>
              <w:bottom w:val="nil"/>
              <w:right w:val="single" w:sz="2" w:space="0" w:color="auto"/>
            </w:tcBorders>
          </w:tcPr>
          <w:p w14:paraId="6FF93BAB" w14:textId="77777777" w:rsidR="005167EF" w:rsidRPr="00167B16" w:rsidRDefault="005167EF" w:rsidP="00065FB1">
            <w:pPr>
              <w:pStyle w:val="TableReference"/>
              <w:tabs>
                <w:tab w:val="left" w:pos="3306"/>
              </w:tabs>
              <w:spacing w:before="40"/>
              <w:rPr>
                <w:color w:val="7030A0"/>
                <w:sz w:val="14"/>
              </w:rPr>
            </w:pPr>
          </w:p>
        </w:tc>
        <w:tc>
          <w:tcPr>
            <w:tcW w:w="4255" w:type="pct"/>
            <w:tcBorders>
              <w:top w:val="nil"/>
              <w:left w:val="single" w:sz="2" w:space="0" w:color="auto"/>
              <w:bottom w:val="nil"/>
              <w:right w:val="nil"/>
            </w:tcBorders>
            <w:vAlign w:val="bottom"/>
          </w:tcPr>
          <w:p w14:paraId="4772FBEB" w14:textId="72721373" w:rsidR="005167EF" w:rsidRPr="00167B16" w:rsidRDefault="005167EF" w:rsidP="009315BB">
            <w:pPr>
              <w:spacing w:after="120"/>
              <w:jc w:val="both"/>
              <w:rPr>
                <w:rFonts w:cs="Calibri"/>
                <w:sz w:val="18"/>
                <w:szCs w:val="18"/>
              </w:rPr>
            </w:pPr>
            <w:r w:rsidRPr="00167B16">
              <w:rPr>
                <w:sz w:val="18"/>
                <w:szCs w:val="18"/>
              </w:rPr>
              <w:t>Where inventories are acquired for no cost or nominal consideration, they are measured at current replacement cost at the date of acquisition. Current replacement cost is the cost ‘</w:t>
            </w:r>
            <w:r w:rsidR="00645E43" w:rsidRPr="00167B16">
              <w:rPr>
                <w:sz w:val="18"/>
                <w:szCs w:val="18"/>
              </w:rPr>
              <w:t>Burley Griffin</w:t>
            </w:r>
            <w:r w:rsidRPr="00167B16">
              <w:rPr>
                <w:sz w:val="18"/>
                <w:szCs w:val="18"/>
              </w:rPr>
              <w:t xml:space="preserve"> Agency’ would incur to acquire the asset.</w:t>
            </w:r>
          </w:p>
        </w:tc>
      </w:tr>
    </w:tbl>
    <w:p w14:paraId="180AAC14" w14:textId="77777777" w:rsidR="001F4216" w:rsidRDefault="001F4216">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5670"/>
        <w:gridCol w:w="1700"/>
        <w:gridCol w:w="1528"/>
        <w:gridCol w:w="34"/>
      </w:tblGrid>
      <w:tr w:rsidR="001F4216" w:rsidRPr="00CF7E1B" w14:paraId="00DE4F9F" w14:textId="77777777" w:rsidTr="005F5B4C">
        <w:trPr>
          <w:cantSplit/>
        </w:trPr>
        <w:tc>
          <w:tcPr>
            <w:tcW w:w="745" w:type="pct"/>
            <w:tcBorders>
              <w:top w:val="nil"/>
              <w:left w:val="single" w:sz="2" w:space="0" w:color="auto"/>
              <w:bottom w:val="nil"/>
              <w:right w:val="single" w:sz="2" w:space="0" w:color="auto"/>
            </w:tcBorders>
          </w:tcPr>
          <w:p w14:paraId="19F01197" w14:textId="77777777" w:rsidR="001F4216" w:rsidRPr="00167B16" w:rsidRDefault="001F4216"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t>Reference</w:t>
            </w:r>
          </w:p>
        </w:tc>
        <w:tc>
          <w:tcPr>
            <w:tcW w:w="4255" w:type="pct"/>
            <w:gridSpan w:val="4"/>
            <w:tcBorders>
              <w:top w:val="nil"/>
              <w:left w:val="single" w:sz="2" w:space="0" w:color="auto"/>
              <w:bottom w:val="nil"/>
              <w:right w:val="nil"/>
            </w:tcBorders>
            <w:vAlign w:val="bottom"/>
          </w:tcPr>
          <w:p w14:paraId="29DF9184" w14:textId="5E596C40" w:rsidR="001F4216" w:rsidRPr="000C75E5" w:rsidRDefault="001F4216" w:rsidP="00DA5473">
            <w:pPr>
              <w:pStyle w:val="Heading1"/>
              <w:numPr>
                <w:ilvl w:val="0"/>
                <w:numId w:val="0"/>
              </w:numPr>
            </w:pPr>
            <w:bookmarkStart w:id="591" w:name="_Toc98763117"/>
            <w:bookmarkStart w:id="592" w:name="_Toc127733852"/>
            <w:bookmarkStart w:id="593" w:name="_Toc131164504"/>
            <w:bookmarkStart w:id="594" w:name="_Toc131591769"/>
            <w:bookmarkStart w:id="595" w:name="_Toc132743804"/>
            <w:r w:rsidRPr="00167B16">
              <w:t>Note 17.</w:t>
            </w:r>
            <w:r>
              <w:t xml:space="preserve">  </w:t>
            </w:r>
            <w:r w:rsidRPr="00167B16">
              <w:t xml:space="preserve"> Inventories</w:t>
            </w:r>
            <w:r>
              <w:t xml:space="preserve"> – Continued</w:t>
            </w:r>
            <w:bookmarkEnd w:id="591"/>
            <w:bookmarkEnd w:id="592"/>
            <w:bookmarkEnd w:id="593"/>
            <w:bookmarkEnd w:id="594"/>
            <w:bookmarkEnd w:id="595"/>
            <w:r>
              <w:t xml:space="preserve"> </w:t>
            </w:r>
          </w:p>
        </w:tc>
      </w:tr>
      <w:tr w:rsidR="00B96250" w:rsidRPr="00CF7E1B" w14:paraId="324050F7" w14:textId="77777777" w:rsidTr="005F5B4C">
        <w:trPr>
          <w:cantSplit/>
        </w:trPr>
        <w:tc>
          <w:tcPr>
            <w:tcW w:w="745" w:type="pct"/>
            <w:tcBorders>
              <w:top w:val="nil"/>
              <w:left w:val="single" w:sz="2" w:space="0" w:color="auto"/>
              <w:bottom w:val="nil"/>
              <w:right w:val="single" w:sz="2" w:space="0" w:color="auto"/>
            </w:tcBorders>
          </w:tcPr>
          <w:p w14:paraId="6C1A1B71" w14:textId="05E0B19E" w:rsidR="00B96250" w:rsidRPr="00167B16" w:rsidRDefault="00B96250" w:rsidP="00065FB1">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vAlign w:val="bottom"/>
          </w:tcPr>
          <w:p w14:paraId="409BC0CD" w14:textId="4CAD72B5" w:rsidR="00B96250" w:rsidRPr="00167B16" w:rsidRDefault="00B96250" w:rsidP="00B96250">
            <w:pPr>
              <w:spacing w:before="60"/>
              <w:jc w:val="both"/>
              <w:rPr>
                <w:i/>
                <w:iCs/>
                <w:sz w:val="18"/>
                <w:szCs w:val="18"/>
              </w:rPr>
            </w:pPr>
            <w:r w:rsidRPr="00167B16">
              <w:rPr>
                <w:i/>
                <w:iCs/>
                <w:sz w:val="18"/>
                <w:szCs w:val="18"/>
              </w:rPr>
              <w:t>Cost of Goods Sold</w:t>
            </w:r>
            <w:r w:rsidR="00421CE0" w:rsidRPr="00167B16">
              <w:rPr>
                <w:i/>
                <w:iCs/>
                <w:sz w:val="18"/>
                <w:szCs w:val="18"/>
              </w:rPr>
              <w:t>/Distributed</w:t>
            </w:r>
          </w:p>
        </w:tc>
      </w:tr>
      <w:tr w:rsidR="00B96250" w:rsidRPr="00CF7E1B" w14:paraId="08218CF4" w14:textId="77777777" w:rsidTr="005F5B4C">
        <w:trPr>
          <w:cantSplit/>
        </w:trPr>
        <w:tc>
          <w:tcPr>
            <w:tcW w:w="745" w:type="pct"/>
            <w:tcBorders>
              <w:top w:val="nil"/>
              <w:left w:val="single" w:sz="2" w:space="0" w:color="auto"/>
              <w:bottom w:val="nil"/>
              <w:right w:val="single" w:sz="2" w:space="0" w:color="auto"/>
            </w:tcBorders>
          </w:tcPr>
          <w:p w14:paraId="793A579C" w14:textId="77777777" w:rsidR="00B96250" w:rsidRPr="00167B16" w:rsidRDefault="00B96250" w:rsidP="00B96250">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tcPr>
          <w:p w14:paraId="4E3FFEDF" w14:textId="59BC6838" w:rsidR="00B96250" w:rsidRPr="00167B16" w:rsidRDefault="00B96250" w:rsidP="00B96250">
            <w:pPr>
              <w:spacing w:after="120"/>
              <w:jc w:val="both"/>
              <w:rPr>
                <w:sz w:val="18"/>
                <w:szCs w:val="18"/>
              </w:rPr>
            </w:pPr>
            <w:r w:rsidRPr="00167B16">
              <w:rPr>
                <w:rFonts w:cs="Calibri"/>
                <w:sz w:val="18"/>
                <w:szCs w:val="18"/>
              </w:rPr>
              <w:t>‘</w:t>
            </w:r>
            <w:r w:rsidR="00645E43" w:rsidRPr="00167B16">
              <w:rPr>
                <w:sz w:val="18"/>
                <w:szCs w:val="18"/>
              </w:rPr>
              <w:t>Burley Griffin</w:t>
            </w:r>
            <w:r w:rsidRPr="00167B16">
              <w:rPr>
                <w:rFonts w:cs="Calibri"/>
                <w:sz w:val="18"/>
                <w:szCs w:val="18"/>
              </w:rPr>
              <w:t xml:space="preserve"> Agency’ acquires and then develops residential land, commercial land, industrial land and community land.</w:t>
            </w:r>
            <w:r w:rsidR="00FA7C77">
              <w:rPr>
                <w:rFonts w:cs="Calibri"/>
                <w:sz w:val="18"/>
                <w:szCs w:val="18"/>
              </w:rPr>
              <w:t xml:space="preserve"> </w:t>
            </w:r>
            <w:r w:rsidRPr="00167B16">
              <w:rPr>
                <w:rFonts w:cs="Calibri"/>
                <w:sz w:val="18"/>
                <w:szCs w:val="18"/>
              </w:rPr>
              <w:t>While the land is being developed it is recognised as either inventory held for sale or inventory held for distribution.</w:t>
            </w:r>
            <w:r w:rsidR="00FA7C77">
              <w:rPr>
                <w:rFonts w:cs="Calibri"/>
                <w:sz w:val="18"/>
                <w:szCs w:val="18"/>
              </w:rPr>
              <w:t xml:space="preserve">  </w:t>
            </w:r>
            <w:r w:rsidRPr="00167B16">
              <w:rPr>
                <w:rFonts w:cs="Calibri"/>
                <w:sz w:val="18"/>
                <w:szCs w:val="18"/>
              </w:rPr>
              <w:t xml:space="preserve"> </w:t>
            </w:r>
          </w:p>
        </w:tc>
      </w:tr>
      <w:tr w:rsidR="00B96250" w:rsidRPr="00CF7E1B" w14:paraId="4A8FF491" w14:textId="77777777" w:rsidTr="005F5B4C">
        <w:trPr>
          <w:cantSplit/>
        </w:trPr>
        <w:tc>
          <w:tcPr>
            <w:tcW w:w="745" w:type="pct"/>
            <w:tcBorders>
              <w:top w:val="nil"/>
              <w:left w:val="single" w:sz="2" w:space="0" w:color="auto"/>
              <w:bottom w:val="nil"/>
              <w:right w:val="single" w:sz="2" w:space="0" w:color="auto"/>
            </w:tcBorders>
          </w:tcPr>
          <w:p w14:paraId="6E4FB383" w14:textId="0971BBDD" w:rsidR="00B96250" w:rsidRPr="00167B16" w:rsidRDefault="00B96250" w:rsidP="00B96250">
            <w:pPr>
              <w:pStyle w:val="TableReference"/>
              <w:tabs>
                <w:tab w:val="left" w:pos="3306"/>
              </w:tabs>
              <w:spacing w:before="40"/>
              <w:rPr>
                <w:color w:val="7030A0"/>
                <w:sz w:val="14"/>
              </w:rPr>
            </w:pPr>
            <w:r w:rsidRPr="00167B16">
              <w:rPr>
                <w:color w:val="7030A0"/>
                <w:sz w:val="14"/>
              </w:rPr>
              <w:t>AASB 102.34</w:t>
            </w:r>
          </w:p>
        </w:tc>
        <w:tc>
          <w:tcPr>
            <w:tcW w:w="4255" w:type="pct"/>
            <w:gridSpan w:val="4"/>
            <w:tcBorders>
              <w:top w:val="nil"/>
              <w:left w:val="single" w:sz="2" w:space="0" w:color="auto"/>
              <w:bottom w:val="nil"/>
              <w:right w:val="nil"/>
            </w:tcBorders>
          </w:tcPr>
          <w:p w14:paraId="02A68D86" w14:textId="0B4E670B" w:rsidR="00B96250" w:rsidRPr="00167B16" w:rsidRDefault="00B96250" w:rsidP="00B96250">
            <w:pPr>
              <w:spacing w:after="120"/>
              <w:jc w:val="both"/>
              <w:rPr>
                <w:sz w:val="18"/>
                <w:szCs w:val="18"/>
              </w:rPr>
            </w:pPr>
            <w:r w:rsidRPr="00167B16">
              <w:rPr>
                <w:rFonts w:cs="Calibri"/>
                <w:sz w:val="18"/>
                <w:szCs w:val="18"/>
              </w:rPr>
              <w:t>Inventories which are held for sale are recognised as an expense in the same period that the related income is recognised.</w:t>
            </w:r>
            <w:r w:rsidR="00FA7C77">
              <w:rPr>
                <w:rFonts w:cs="Calibri"/>
                <w:sz w:val="18"/>
                <w:szCs w:val="18"/>
              </w:rPr>
              <w:t xml:space="preserve"> </w:t>
            </w:r>
            <w:r w:rsidRPr="00167B16">
              <w:rPr>
                <w:rFonts w:cs="Calibri"/>
                <w:sz w:val="18"/>
                <w:szCs w:val="18"/>
              </w:rPr>
              <w:t>Inventories held for distribution are expensed at the time when they are distributed.</w:t>
            </w:r>
            <w:r w:rsidR="00FA7C77">
              <w:rPr>
                <w:rFonts w:cs="Calibri"/>
                <w:sz w:val="18"/>
                <w:szCs w:val="18"/>
              </w:rPr>
              <w:t xml:space="preserve"> </w:t>
            </w:r>
            <w:r w:rsidRPr="00167B16">
              <w:rPr>
                <w:rFonts w:cs="Calibri"/>
                <w:sz w:val="18"/>
                <w:szCs w:val="18"/>
              </w:rPr>
              <w:t xml:space="preserve">An expense is recognised for all losses of inventories and any </w:t>
            </w:r>
            <w:r w:rsidR="00E4274F" w:rsidRPr="00167B16">
              <w:rPr>
                <w:rFonts w:cs="Calibri"/>
                <w:sz w:val="18"/>
                <w:szCs w:val="18"/>
              </w:rPr>
              <w:t>write down</w:t>
            </w:r>
            <w:r w:rsidRPr="00167B16">
              <w:rPr>
                <w:rFonts w:cs="Calibri"/>
                <w:sz w:val="18"/>
                <w:szCs w:val="18"/>
              </w:rPr>
              <w:t xml:space="preserve"> of inventories in the period the loss</w:t>
            </w:r>
            <w:r w:rsidR="00C446AE" w:rsidRPr="00167B16">
              <w:rPr>
                <w:rFonts w:cs="Calibri"/>
                <w:sz w:val="18"/>
                <w:szCs w:val="18"/>
              </w:rPr>
              <w:t xml:space="preserve"> or </w:t>
            </w:r>
            <w:r w:rsidR="00E4274F" w:rsidRPr="00167B16">
              <w:rPr>
                <w:rFonts w:cs="Calibri"/>
                <w:sz w:val="18"/>
                <w:szCs w:val="18"/>
              </w:rPr>
              <w:t>write down</w:t>
            </w:r>
            <w:r w:rsidRPr="00167B16">
              <w:rPr>
                <w:rFonts w:cs="Calibri"/>
                <w:sz w:val="18"/>
                <w:szCs w:val="18"/>
              </w:rPr>
              <w:t xml:space="preserve"> occurs.</w:t>
            </w:r>
            <w:r w:rsidR="00FA7C77">
              <w:rPr>
                <w:rFonts w:cs="Calibri"/>
                <w:sz w:val="18"/>
                <w:szCs w:val="18"/>
              </w:rPr>
              <w:t xml:space="preserve"> </w:t>
            </w:r>
            <w:r w:rsidRPr="00167B16">
              <w:rPr>
                <w:rFonts w:cs="Calibri"/>
                <w:sz w:val="18"/>
                <w:szCs w:val="18"/>
              </w:rPr>
              <w:t>The amount of the expense is the difference between the carrying amount of the inventories and its net realisable value.</w:t>
            </w:r>
            <w:r w:rsidR="00FA7C77">
              <w:rPr>
                <w:sz w:val="18"/>
                <w:szCs w:val="18"/>
              </w:rPr>
              <w:t xml:space="preserve"> </w:t>
            </w:r>
            <w:r w:rsidRPr="00167B16">
              <w:rPr>
                <w:sz w:val="18"/>
                <w:szCs w:val="18"/>
              </w:rPr>
              <w:t>Where there is an increase in net realisable value of inventories that have previously been written down, this increase is recognised as a reduction in the amount of inventories recognised as an expense in the period in which the reversal occurs.</w:t>
            </w:r>
          </w:p>
        </w:tc>
      </w:tr>
      <w:tr w:rsidR="00B96250" w:rsidRPr="00DD296A" w14:paraId="0B67A141" w14:textId="77777777" w:rsidTr="005F5B4C">
        <w:trPr>
          <w:cantSplit/>
          <w:trHeight w:val="23"/>
        </w:trPr>
        <w:tc>
          <w:tcPr>
            <w:tcW w:w="745" w:type="pct"/>
            <w:tcBorders>
              <w:top w:val="nil"/>
              <w:left w:val="single" w:sz="2" w:space="0" w:color="auto"/>
              <w:bottom w:val="nil"/>
              <w:right w:val="single" w:sz="2" w:space="0" w:color="auto"/>
            </w:tcBorders>
          </w:tcPr>
          <w:p w14:paraId="526827BC"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tcPr>
          <w:p w14:paraId="00C92D2B" w14:textId="77777777" w:rsidR="00B96250" w:rsidRPr="00167B16" w:rsidRDefault="00B96250" w:rsidP="00B96250">
            <w:pPr>
              <w:pStyle w:val="TableText"/>
              <w:tabs>
                <w:tab w:val="left" w:pos="3306"/>
              </w:tabs>
              <w:rPr>
                <w:rFonts w:cs="Calibri"/>
                <w:b/>
                <w:bCs/>
              </w:rPr>
            </w:pPr>
            <w:r w:rsidRPr="00167B16">
              <w:rPr>
                <w:rFonts w:cs="Calibri"/>
                <w:b/>
                <w:bCs/>
              </w:rPr>
              <w:t xml:space="preserve"> </w:t>
            </w:r>
          </w:p>
        </w:tc>
        <w:tc>
          <w:tcPr>
            <w:tcW w:w="810" w:type="pct"/>
            <w:tcBorders>
              <w:top w:val="nil"/>
              <w:left w:val="nil"/>
              <w:bottom w:val="nil"/>
              <w:right w:val="nil"/>
            </w:tcBorders>
            <w:vAlign w:val="bottom"/>
          </w:tcPr>
          <w:p w14:paraId="40D6843E" w14:textId="0A1B9E99" w:rsidR="00B96250" w:rsidRPr="00167B16" w:rsidRDefault="00B96250" w:rsidP="00B96250">
            <w:pPr>
              <w:pStyle w:val="TableText"/>
              <w:tabs>
                <w:tab w:val="left" w:pos="3306"/>
              </w:tabs>
              <w:jc w:val="right"/>
              <w:rPr>
                <w:rFonts w:cs="Calibri"/>
                <w:b/>
                <w:bCs/>
              </w:rPr>
            </w:pPr>
            <w:r w:rsidRPr="00167B16">
              <w:rPr>
                <w:rFonts w:cs="Calibri"/>
                <w:b/>
                <w:bCs/>
              </w:rPr>
              <w:t>202</w:t>
            </w:r>
            <w:r w:rsidR="005A41B6">
              <w:rPr>
                <w:rFonts w:cs="Calibri"/>
                <w:b/>
                <w:bCs/>
              </w:rPr>
              <w:t>3</w:t>
            </w:r>
            <w:r w:rsidRPr="00167B16">
              <w:rPr>
                <w:rFonts w:cs="Calibri"/>
                <w:b/>
                <w:bCs/>
              </w:rPr>
              <w:t xml:space="preserve"> </w:t>
            </w:r>
          </w:p>
          <w:p w14:paraId="009C0C28"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c>
          <w:tcPr>
            <w:tcW w:w="744" w:type="pct"/>
            <w:gridSpan w:val="2"/>
            <w:tcBorders>
              <w:top w:val="nil"/>
              <w:left w:val="nil"/>
              <w:bottom w:val="nil"/>
              <w:right w:val="nil"/>
            </w:tcBorders>
            <w:vAlign w:val="bottom"/>
          </w:tcPr>
          <w:p w14:paraId="7D8AF9FF" w14:textId="75E83FDE" w:rsidR="00B96250" w:rsidRPr="00167B16" w:rsidRDefault="00B96250" w:rsidP="00B96250">
            <w:pPr>
              <w:pStyle w:val="TableText"/>
              <w:tabs>
                <w:tab w:val="left" w:pos="3306"/>
              </w:tabs>
              <w:jc w:val="right"/>
              <w:rPr>
                <w:rFonts w:cs="Calibri"/>
                <w:b/>
                <w:bCs/>
              </w:rPr>
            </w:pPr>
            <w:r w:rsidRPr="00167B16">
              <w:rPr>
                <w:rFonts w:cs="Calibri"/>
                <w:b/>
                <w:bCs/>
              </w:rPr>
              <w:t>202</w:t>
            </w:r>
            <w:r w:rsidR="005A41B6">
              <w:rPr>
                <w:rFonts w:cs="Calibri"/>
                <w:b/>
                <w:bCs/>
              </w:rPr>
              <w:t>2</w:t>
            </w:r>
          </w:p>
          <w:p w14:paraId="57A5B6EE"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r>
      <w:tr w:rsidR="00B96250" w:rsidRPr="00DD296A" w14:paraId="6F3C19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1A1F775"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D9F09DC" w14:textId="77777777" w:rsidR="00B96250" w:rsidRPr="00167B16" w:rsidRDefault="00B96250" w:rsidP="00B96250">
            <w:pPr>
              <w:pStyle w:val="TableText"/>
              <w:tabs>
                <w:tab w:val="left" w:pos="3306"/>
              </w:tabs>
              <w:rPr>
                <w:rFonts w:cs="Calibri"/>
                <w:b/>
                <w:bCs/>
              </w:rPr>
            </w:pPr>
            <w:r w:rsidRPr="00167B16">
              <w:rPr>
                <w:rFonts w:cs="Calibri"/>
                <w:b/>
                <w:bCs/>
              </w:rPr>
              <w:t>Current Inventories</w:t>
            </w:r>
          </w:p>
        </w:tc>
        <w:tc>
          <w:tcPr>
            <w:tcW w:w="810" w:type="pct"/>
            <w:tcBorders>
              <w:top w:val="nil"/>
              <w:left w:val="nil"/>
              <w:bottom w:val="nil"/>
              <w:right w:val="nil"/>
            </w:tcBorders>
            <w:vAlign w:val="bottom"/>
          </w:tcPr>
          <w:p w14:paraId="394A2C4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6D910365" w14:textId="77777777" w:rsidR="00B96250" w:rsidRPr="00167B16" w:rsidRDefault="00B96250" w:rsidP="00B96250">
            <w:pPr>
              <w:pStyle w:val="TableText"/>
              <w:tabs>
                <w:tab w:val="left" w:pos="3306"/>
              </w:tabs>
              <w:jc w:val="right"/>
              <w:rPr>
                <w:rFonts w:cs="Calibri"/>
              </w:rPr>
            </w:pPr>
          </w:p>
        </w:tc>
      </w:tr>
      <w:tr w:rsidR="00B96250" w:rsidRPr="00DD296A" w14:paraId="1EAFCF9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FAEEF9A"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252ACBE0" w14:textId="77777777" w:rsidR="00B96250" w:rsidRPr="00167B16" w:rsidRDefault="00B96250" w:rsidP="00B96250">
            <w:pPr>
              <w:pStyle w:val="TableText"/>
              <w:tabs>
                <w:tab w:val="left" w:pos="3306"/>
              </w:tabs>
              <w:rPr>
                <w:rFonts w:cs="Calibri"/>
                <w:b/>
                <w:bCs/>
              </w:rPr>
            </w:pPr>
            <w:r w:rsidRPr="00167B16">
              <w:rPr>
                <w:rFonts w:cs="Calibri"/>
                <w:b/>
                <w:bCs/>
              </w:rPr>
              <w:t>Current Inventories Held for Sale</w:t>
            </w:r>
          </w:p>
        </w:tc>
        <w:tc>
          <w:tcPr>
            <w:tcW w:w="810" w:type="pct"/>
            <w:tcBorders>
              <w:top w:val="nil"/>
              <w:left w:val="nil"/>
              <w:bottom w:val="nil"/>
              <w:right w:val="nil"/>
            </w:tcBorders>
            <w:vAlign w:val="bottom"/>
          </w:tcPr>
          <w:p w14:paraId="75DC1DA0"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8696762" w14:textId="77777777" w:rsidR="00B96250" w:rsidRPr="00167B16" w:rsidRDefault="00B96250" w:rsidP="00B96250">
            <w:pPr>
              <w:pStyle w:val="TableText"/>
              <w:tabs>
                <w:tab w:val="left" w:pos="3306"/>
              </w:tabs>
              <w:jc w:val="right"/>
              <w:rPr>
                <w:rFonts w:cs="Calibri"/>
              </w:rPr>
            </w:pPr>
          </w:p>
        </w:tc>
      </w:tr>
      <w:tr w:rsidR="00B96250" w:rsidRPr="00DD296A" w14:paraId="2F09A7A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9BB245A" w14:textId="3C99D0B0"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7B6E6463" w14:textId="15C5BE6F" w:rsidR="00B96250" w:rsidRPr="00167B16" w:rsidRDefault="00B96250" w:rsidP="00B96250">
            <w:pPr>
              <w:pStyle w:val="TableText"/>
              <w:tabs>
                <w:tab w:val="left" w:pos="3306"/>
              </w:tabs>
              <w:rPr>
                <w:rFonts w:cs="Calibri"/>
              </w:rPr>
            </w:pPr>
            <w:r w:rsidRPr="00167B16">
              <w:rPr>
                <w:rFonts w:cs="Calibri"/>
              </w:rPr>
              <w:t xml:space="preserve">Supplies and </w:t>
            </w:r>
            <w:r w:rsidR="00A72190">
              <w:rPr>
                <w:rFonts w:cs="Calibri"/>
              </w:rPr>
              <w:t>C</w:t>
            </w:r>
            <w:r w:rsidRPr="00167B16">
              <w:rPr>
                <w:rFonts w:cs="Calibri"/>
              </w:rPr>
              <w:t>onsumables – Cost</w:t>
            </w:r>
          </w:p>
        </w:tc>
        <w:tc>
          <w:tcPr>
            <w:tcW w:w="810" w:type="pct"/>
            <w:tcBorders>
              <w:top w:val="nil"/>
              <w:left w:val="nil"/>
              <w:bottom w:val="nil"/>
              <w:right w:val="nil"/>
            </w:tcBorders>
            <w:vAlign w:val="bottom"/>
          </w:tcPr>
          <w:p w14:paraId="550E260C"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AD66C69" w14:textId="77777777" w:rsidR="00B96250" w:rsidRPr="00167B16" w:rsidRDefault="00B96250" w:rsidP="00B96250">
            <w:pPr>
              <w:pStyle w:val="TableText"/>
              <w:tabs>
                <w:tab w:val="left" w:pos="3306"/>
              </w:tabs>
              <w:jc w:val="right"/>
              <w:rPr>
                <w:rFonts w:cs="Calibri"/>
              </w:rPr>
            </w:pPr>
          </w:p>
        </w:tc>
      </w:tr>
      <w:tr w:rsidR="00B96250" w:rsidRPr="00DD296A" w14:paraId="0B3EC12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0716B4A" w14:textId="77980CC3"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A2DC382" w14:textId="77777777" w:rsidR="00B96250" w:rsidRPr="00167B16" w:rsidRDefault="00B96250" w:rsidP="00B96250">
            <w:pPr>
              <w:pStyle w:val="TableText"/>
              <w:tabs>
                <w:tab w:val="left" w:pos="3306"/>
              </w:tabs>
              <w:rPr>
                <w:rFonts w:cs="Calibri"/>
              </w:rPr>
            </w:pPr>
            <w:r w:rsidRPr="00167B16">
              <w:rPr>
                <w:rFonts w:cs="Calibri"/>
              </w:rPr>
              <w:t>Work In Progress – Cost</w:t>
            </w:r>
          </w:p>
        </w:tc>
        <w:tc>
          <w:tcPr>
            <w:tcW w:w="810" w:type="pct"/>
            <w:tcBorders>
              <w:top w:val="nil"/>
              <w:left w:val="nil"/>
              <w:bottom w:val="nil"/>
              <w:right w:val="nil"/>
            </w:tcBorders>
            <w:vAlign w:val="bottom"/>
          </w:tcPr>
          <w:p w14:paraId="08B232F6"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3759CDF3" w14:textId="77777777" w:rsidR="00B96250" w:rsidRPr="00167B16" w:rsidRDefault="00B96250" w:rsidP="00B96250">
            <w:pPr>
              <w:pStyle w:val="TableText"/>
              <w:tabs>
                <w:tab w:val="left" w:pos="3306"/>
              </w:tabs>
              <w:jc w:val="right"/>
              <w:rPr>
                <w:rFonts w:cs="Calibri"/>
              </w:rPr>
            </w:pPr>
          </w:p>
        </w:tc>
      </w:tr>
      <w:tr w:rsidR="00B96250" w:rsidRPr="00DD296A" w14:paraId="4903DACF"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01853297" w14:textId="5D2E727A"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6DF28586" w14:textId="77777777" w:rsidR="00B96250" w:rsidRPr="00167B16" w:rsidRDefault="00B96250" w:rsidP="00B96250">
            <w:pPr>
              <w:pStyle w:val="TableText"/>
              <w:tabs>
                <w:tab w:val="left" w:pos="3306"/>
              </w:tabs>
              <w:rPr>
                <w:rFonts w:cs="Calibri"/>
              </w:rPr>
            </w:pPr>
            <w:r w:rsidRPr="00167B16">
              <w:rPr>
                <w:rFonts w:cs="Calibri"/>
              </w:rPr>
              <w:t>Finished Goods</w:t>
            </w:r>
          </w:p>
        </w:tc>
        <w:tc>
          <w:tcPr>
            <w:tcW w:w="810" w:type="pct"/>
            <w:tcBorders>
              <w:top w:val="nil"/>
              <w:left w:val="nil"/>
              <w:bottom w:val="nil"/>
              <w:right w:val="nil"/>
            </w:tcBorders>
            <w:vAlign w:val="bottom"/>
          </w:tcPr>
          <w:p w14:paraId="0BF9482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75513FA7" w14:textId="77777777" w:rsidR="00B96250" w:rsidRPr="00167B16" w:rsidRDefault="00B96250" w:rsidP="00B96250">
            <w:pPr>
              <w:pStyle w:val="TableText"/>
              <w:tabs>
                <w:tab w:val="left" w:pos="3306"/>
              </w:tabs>
              <w:jc w:val="right"/>
              <w:rPr>
                <w:rFonts w:cs="Calibri"/>
              </w:rPr>
            </w:pPr>
          </w:p>
        </w:tc>
      </w:tr>
      <w:tr w:rsidR="00B96250" w:rsidRPr="00DD296A" w14:paraId="1D96B5C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3EE1BD4"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4E65DFFB" w14:textId="050D339F" w:rsidR="00B96250" w:rsidRPr="00167B16" w:rsidRDefault="00B96250" w:rsidP="00CB31DE">
            <w:pPr>
              <w:pStyle w:val="TableText"/>
              <w:numPr>
                <w:ilvl w:val="1"/>
                <w:numId w:val="58"/>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354E7DFF"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F446300" w14:textId="77777777" w:rsidR="00B96250" w:rsidRPr="00167B16" w:rsidRDefault="00B96250" w:rsidP="00B96250">
            <w:pPr>
              <w:pStyle w:val="TableText"/>
              <w:tabs>
                <w:tab w:val="left" w:pos="3306"/>
              </w:tabs>
              <w:jc w:val="right"/>
              <w:rPr>
                <w:rFonts w:cs="Calibri"/>
              </w:rPr>
            </w:pPr>
          </w:p>
        </w:tc>
      </w:tr>
      <w:tr w:rsidR="00590B10" w:rsidRPr="00DD296A" w14:paraId="41953F5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FE45217" w14:textId="77777777" w:rsidR="00590B10" w:rsidRPr="00167B16" w:rsidRDefault="00590B1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352E0051" w14:textId="66CC304A" w:rsidR="00590B10" w:rsidRPr="00167B16" w:rsidRDefault="00590B1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nil"/>
              <w:right w:val="nil"/>
            </w:tcBorders>
            <w:vAlign w:val="bottom"/>
          </w:tcPr>
          <w:p w14:paraId="40CEF399" w14:textId="77777777" w:rsidR="00590B10" w:rsidRPr="00167B16" w:rsidRDefault="00590B1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5E641C0E" w14:textId="77777777" w:rsidR="00590B10" w:rsidRPr="00167B16" w:rsidRDefault="00590B10" w:rsidP="00B96250">
            <w:pPr>
              <w:pStyle w:val="TableText"/>
              <w:tabs>
                <w:tab w:val="left" w:pos="3306"/>
              </w:tabs>
              <w:jc w:val="right"/>
              <w:rPr>
                <w:rFonts w:cs="Calibri"/>
              </w:rPr>
            </w:pPr>
          </w:p>
        </w:tc>
      </w:tr>
      <w:tr w:rsidR="00B96250" w:rsidRPr="00DD296A" w14:paraId="7449B6B1"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9C8E877"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6B8AEE27" w14:textId="77777777" w:rsidR="00B96250" w:rsidRPr="00167B16" w:rsidRDefault="00B96250" w:rsidP="00B96250">
            <w:pPr>
              <w:pStyle w:val="TableText"/>
              <w:tabs>
                <w:tab w:val="left" w:pos="3306"/>
              </w:tabs>
              <w:rPr>
                <w:rFonts w:cs="Calibri"/>
              </w:rPr>
            </w:pPr>
            <w:r w:rsidRPr="00167B16">
              <w:rPr>
                <w:rFonts w:cs="Calibri"/>
              </w:rPr>
              <w:t xml:space="preserve">Purchased Items </w:t>
            </w:r>
          </w:p>
        </w:tc>
        <w:tc>
          <w:tcPr>
            <w:tcW w:w="810" w:type="pct"/>
            <w:tcBorders>
              <w:top w:val="nil"/>
              <w:left w:val="nil"/>
              <w:bottom w:val="nil"/>
              <w:right w:val="nil"/>
            </w:tcBorders>
            <w:vAlign w:val="bottom"/>
          </w:tcPr>
          <w:p w14:paraId="4BDF2E9A"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C0B9B18" w14:textId="77777777" w:rsidR="00B96250" w:rsidRPr="00167B16" w:rsidRDefault="00B96250" w:rsidP="00B96250">
            <w:pPr>
              <w:pStyle w:val="TableText"/>
              <w:tabs>
                <w:tab w:val="left" w:pos="3306"/>
              </w:tabs>
              <w:jc w:val="right"/>
              <w:rPr>
                <w:rFonts w:cs="Calibri"/>
              </w:rPr>
            </w:pPr>
          </w:p>
        </w:tc>
      </w:tr>
      <w:tr w:rsidR="00B96250" w:rsidRPr="00DD296A" w14:paraId="0F5B952A"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AF28F5F"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6731F14" w14:textId="77777777" w:rsidR="00B96250" w:rsidRPr="00167B16" w:rsidRDefault="00B96250" w:rsidP="00CB31DE">
            <w:pPr>
              <w:pStyle w:val="TableText"/>
              <w:numPr>
                <w:ilvl w:val="1"/>
                <w:numId w:val="58"/>
              </w:numPr>
              <w:tabs>
                <w:tab w:val="left" w:pos="3306"/>
              </w:tabs>
              <w:rPr>
                <w:rFonts w:cs="Calibri"/>
              </w:rPr>
            </w:pPr>
            <w:r w:rsidRPr="00167B16">
              <w:rPr>
                <w:rFonts w:cs="Calibri"/>
              </w:rPr>
              <w:t xml:space="preserve"> Cost</w:t>
            </w:r>
          </w:p>
        </w:tc>
        <w:tc>
          <w:tcPr>
            <w:tcW w:w="810" w:type="pct"/>
            <w:tcBorders>
              <w:top w:val="nil"/>
              <w:left w:val="nil"/>
              <w:bottom w:val="nil"/>
              <w:right w:val="nil"/>
            </w:tcBorders>
            <w:vAlign w:val="bottom"/>
          </w:tcPr>
          <w:p w14:paraId="197C2DD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BF84AD4" w14:textId="77777777" w:rsidR="00B96250" w:rsidRPr="00167B16" w:rsidRDefault="00B96250" w:rsidP="00B96250">
            <w:pPr>
              <w:pStyle w:val="TableText"/>
              <w:tabs>
                <w:tab w:val="left" w:pos="3306"/>
              </w:tabs>
              <w:jc w:val="right"/>
              <w:rPr>
                <w:rFonts w:cs="Calibri"/>
              </w:rPr>
            </w:pPr>
          </w:p>
        </w:tc>
      </w:tr>
      <w:tr w:rsidR="00B96250" w:rsidRPr="00DD296A" w14:paraId="1BCDE766"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776202F"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102.9 &amp; 36(b)</w:t>
            </w:r>
          </w:p>
        </w:tc>
        <w:tc>
          <w:tcPr>
            <w:tcW w:w="2701" w:type="pct"/>
            <w:tcBorders>
              <w:top w:val="nil"/>
              <w:left w:val="single" w:sz="2" w:space="0" w:color="auto"/>
              <w:bottom w:val="nil"/>
              <w:right w:val="nil"/>
            </w:tcBorders>
          </w:tcPr>
          <w:p w14:paraId="19BD8032" w14:textId="039A5A7B" w:rsidR="00B96250" w:rsidRPr="00167B16" w:rsidRDefault="00B9625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15EBBE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10049B7E" w14:textId="77777777" w:rsidR="00B96250" w:rsidRPr="00167B16" w:rsidRDefault="00B96250" w:rsidP="00B96250">
            <w:pPr>
              <w:pStyle w:val="TableText"/>
              <w:tabs>
                <w:tab w:val="left" w:pos="3306"/>
              </w:tabs>
              <w:jc w:val="right"/>
              <w:rPr>
                <w:rFonts w:cs="Calibri"/>
              </w:rPr>
            </w:pPr>
          </w:p>
        </w:tc>
      </w:tr>
      <w:tr w:rsidR="00B96250" w:rsidRPr="00DD296A" w14:paraId="12DE3E5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532F77D"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4F4D6288" w14:textId="77777777" w:rsidR="00B96250" w:rsidRPr="00167B16" w:rsidRDefault="00B96250" w:rsidP="00B96250">
            <w:pPr>
              <w:pStyle w:val="TableText"/>
              <w:tabs>
                <w:tab w:val="left" w:pos="3306"/>
              </w:tabs>
              <w:rPr>
                <w:rFonts w:cs="Calibri"/>
              </w:rPr>
            </w:pPr>
            <w:r w:rsidRPr="00167B16">
              <w:rPr>
                <w:rFonts w:cs="Calibri"/>
                <w:b/>
                <w:bCs/>
              </w:rPr>
              <w:t>Total Current Inventories Held for Sale</w:t>
            </w:r>
          </w:p>
        </w:tc>
        <w:tc>
          <w:tcPr>
            <w:tcW w:w="810" w:type="pct"/>
            <w:tcBorders>
              <w:top w:val="single" w:sz="4" w:space="0" w:color="auto"/>
              <w:left w:val="nil"/>
              <w:bottom w:val="nil"/>
              <w:right w:val="nil"/>
            </w:tcBorders>
            <w:vAlign w:val="bottom"/>
          </w:tcPr>
          <w:p w14:paraId="66C9D95D"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nil"/>
              <w:right w:val="nil"/>
            </w:tcBorders>
            <w:vAlign w:val="bottom"/>
          </w:tcPr>
          <w:p w14:paraId="68A4BC72" w14:textId="77777777" w:rsidR="00B96250" w:rsidRPr="00167B16" w:rsidRDefault="00B96250" w:rsidP="00B96250">
            <w:pPr>
              <w:pStyle w:val="TableText"/>
              <w:tabs>
                <w:tab w:val="left" w:pos="3306"/>
              </w:tabs>
              <w:jc w:val="right"/>
              <w:rPr>
                <w:rFonts w:cs="Calibri"/>
              </w:rPr>
            </w:pPr>
          </w:p>
        </w:tc>
      </w:tr>
      <w:tr w:rsidR="00B96250" w:rsidRPr="00DD296A" w14:paraId="44B81720"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309D8FB"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5BD6056D" w14:textId="77777777" w:rsidR="00B96250" w:rsidRPr="00167B16" w:rsidRDefault="00B96250" w:rsidP="00B96250">
            <w:pPr>
              <w:pStyle w:val="TableText"/>
              <w:tabs>
                <w:tab w:val="left" w:pos="3306"/>
              </w:tabs>
              <w:rPr>
                <w:rFonts w:cs="Calibri"/>
                <w:b/>
                <w:bCs/>
              </w:rPr>
            </w:pPr>
          </w:p>
        </w:tc>
        <w:tc>
          <w:tcPr>
            <w:tcW w:w="810" w:type="pct"/>
            <w:tcBorders>
              <w:top w:val="nil"/>
              <w:left w:val="nil"/>
              <w:bottom w:val="nil"/>
              <w:right w:val="nil"/>
            </w:tcBorders>
            <w:vAlign w:val="bottom"/>
          </w:tcPr>
          <w:p w14:paraId="3C9B0455"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220213A3" w14:textId="77777777" w:rsidR="00B96250" w:rsidRPr="00167B16" w:rsidRDefault="00B96250" w:rsidP="00B96250">
            <w:pPr>
              <w:pStyle w:val="TableText"/>
              <w:tabs>
                <w:tab w:val="left" w:pos="3306"/>
              </w:tabs>
              <w:jc w:val="right"/>
              <w:rPr>
                <w:rFonts w:cs="Calibri"/>
              </w:rPr>
            </w:pPr>
          </w:p>
        </w:tc>
      </w:tr>
      <w:tr w:rsidR="00B96250" w:rsidRPr="00DD296A" w14:paraId="0EF8E6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55C0854"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6B87953" w14:textId="77777777" w:rsidR="00B96250" w:rsidRPr="00167B16" w:rsidRDefault="00B96250" w:rsidP="00B96250">
            <w:pPr>
              <w:pStyle w:val="TableText"/>
              <w:tabs>
                <w:tab w:val="left" w:pos="3306"/>
              </w:tabs>
              <w:rPr>
                <w:rFonts w:cs="Calibri"/>
              </w:rPr>
            </w:pPr>
            <w:r w:rsidRPr="00167B16">
              <w:rPr>
                <w:rFonts w:cs="Calibri"/>
                <w:b/>
                <w:bCs/>
              </w:rPr>
              <w:t>Current Inventories Held for Distribution</w:t>
            </w:r>
          </w:p>
        </w:tc>
        <w:tc>
          <w:tcPr>
            <w:tcW w:w="810" w:type="pct"/>
            <w:tcBorders>
              <w:top w:val="nil"/>
              <w:left w:val="nil"/>
              <w:bottom w:val="nil"/>
              <w:right w:val="nil"/>
            </w:tcBorders>
            <w:vAlign w:val="bottom"/>
          </w:tcPr>
          <w:p w14:paraId="3E1333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01B81B38" w14:textId="77777777" w:rsidR="00B96250" w:rsidRPr="00167B16" w:rsidRDefault="00B96250" w:rsidP="00B96250">
            <w:pPr>
              <w:pStyle w:val="TableText"/>
              <w:tabs>
                <w:tab w:val="left" w:pos="3306"/>
              </w:tabs>
              <w:jc w:val="right"/>
              <w:rPr>
                <w:rFonts w:cs="Calibri"/>
              </w:rPr>
            </w:pPr>
          </w:p>
        </w:tc>
      </w:tr>
      <w:tr w:rsidR="00B96250" w:rsidRPr="00DD296A" w14:paraId="419FACD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DB33859"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102.Aus 36.1(b)</w:t>
            </w:r>
          </w:p>
        </w:tc>
        <w:tc>
          <w:tcPr>
            <w:tcW w:w="2701" w:type="pct"/>
            <w:tcBorders>
              <w:top w:val="nil"/>
              <w:left w:val="single" w:sz="2" w:space="0" w:color="auto"/>
              <w:bottom w:val="nil"/>
              <w:right w:val="nil"/>
            </w:tcBorders>
          </w:tcPr>
          <w:p w14:paraId="5F85AB16" w14:textId="77777777" w:rsidR="00B96250" w:rsidRPr="00167B16" w:rsidRDefault="00B96250" w:rsidP="00B96250">
            <w:pPr>
              <w:pStyle w:val="TableText"/>
              <w:tabs>
                <w:tab w:val="left" w:pos="3306"/>
              </w:tabs>
              <w:rPr>
                <w:rFonts w:cs="Calibri"/>
              </w:rPr>
            </w:pPr>
            <w:r w:rsidRPr="00167B16">
              <w:rPr>
                <w:rFonts w:cs="Calibri"/>
              </w:rPr>
              <w:t>Purchased Items – Cost</w:t>
            </w:r>
          </w:p>
        </w:tc>
        <w:tc>
          <w:tcPr>
            <w:tcW w:w="810" w:type="pct"/>
            <w:tcBorders>
              <w:top w:val="nil"/>
              <w:left w:val="nil"/>
              <w:bottom w:val="nil"/>
              <w:right w:val="nil"/>
            </w:tcBorders>
            <w:vAlign w:val="bottom"/>
          </w:tcPr>
          <w:p w14:paraId="26015578"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C389458" w14:textId="77777777" w:rsidR="00B96250" w:rsidRPr="00167B16" w:rsidRDefault="00B96250" w:rsidP="00B96250">
            <w:pPr>
              <w:pStyle w:val="TableText"/>
              <w:tabs>
                <w:tab w:val="left" w:pos="3306"/>
              </w:tabs>
              <w:jc w:val="right"/>
              <w:rPr>
                <w:rFonts w:cs="Calibri"/>
              </w:rPr>
            </w:pPr>
          </w:p>
        </w:tc>
      </w:tr>
      <w:tr w:rsidR="00B96250" w:rsidRPr="00DD296A" w14:paraId="7B6082C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5B688C7"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66A9F782" w14:textId="77777777" w:rsidR="00B96250" w:rsidRPr="00167B16" w:rsidRDefault="00B96250" w:rsidP="00B96250">
            <w:pPr>
              <w:pStyle w:val="TableText"/>
              <w:tabs>
                <w:tab w:val="left" w:pos="3306"/>
              </w:tabs>
              <w:rPr>
                <w:rFonts w:cs="Calibri"/>
              </w:rPr>
            </w:pPr>
            <w:r w:rsidRPr="00167B16">
              <w:rPr>
                <w:rFonts w:cs="Calibri"/>
              </w:rPr>
              <w:t>Loss of Service Potential</w:t>
            </w:r>
          </w:p>
        </w:tc>
        <w:tc>
          <w:tcPr>
            <w:tcW w:w="810" w:type="pct"/>
            <w:tcBorders>
              <w:top w:val="nil"/>
              <w:left w:val="nil"/>
              <w:bottom w:val="single" w:sz="4" w:space="0" w:color="auto"/>
              <w:right w:val="nil"/>
            </w:tcBorders>
            <w:vAlign w:val="bottom"/>
          </w:tcPr>
          <w:p w14:paraId="21891F6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24877356" w14:textId="77777777" w:rsidR="00B96250" w:rsidRPr="00167B16" w:rsidRDefault="00B96250" w:rsidP="00B96250">
            <w:pPr>
              <w:pStyle w:val="TableText"/>
              <w:tabs>
                <w:tab w:val="left" w:pos="3306"/>
              </w:tabs>
              <w:jc w:val="right"/>
              <w:rPr>
                <w:rFonts w:cs="Calibri"/>
              </w:rPr>
            </w:pPr>
          </w:p>
        </w:tc>
      </w:tr>
      <w:tr w:rsidR="00B96250" w:rsidRPr="00DD296A" w14:paraId="467D873D"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0870D80"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81DBA4C" w14:textId="77777777" w:rsidR="00B96250" w:rsidRPr="00167B16" w:rsidRDefault="00B96250" w:rsidP="00B96250">
            <w:pPr>
              <w:pStyle w:val="TableText"/>
              <w:tabs>
                <w:tab w:val="left" w:pos="3306"/>
              </w:tabs>
              <w:rPr>
                <w:rFonts w:cs="Calibri"/>
              </w:rPr>
            </w:pPr>
            <w:r w:rsidRPr="00167B16">
              <w:rPr>
                <w:rFonts w:cs="Calibri"/>
                <w:b/>
                <w:bCs/>
              </w:rPr>
              <w:t>Total Current Inventories Held for Distribution</w:t>
            </w:r>
          </w:p>
        </w:tc>
        <w:tc>
          <w:tcPr>
            <w:tcW w:w="810" w:type="pct"/>
            <w:tcBorders>
              <w:top w:val="single" w:sz="4" w:space="0" w:color="auto"/>
              <w:left w:val="nil"/>
              <w:bottom w:val="single" w:sz="4" w:space="0" w:color="auto"/>
              <w:right w:val="nil"/>
            </w:tcBorders>
            <w:vAlign w:val="bottom"/>
          </w:tcPr>
          <w:p w14:paraId="4780C46F"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single" w:sz="4" w:space="0" w:color="auto"/>
              <w:right w:val="nil"/>
            </w:tcBorders>
            <w:vAlign w:val="bottom"/>
          </w:tcPr>
          <w:p w14:paraId="31FCB376" w14:textId="77777777" w:rsidR="00B96250" w:rsidRPr="00167B16" w:rsidRDefault="00B96250" w:rsidP="00B96250">
            <w:pPr>
              <w:pStyle w:val="TableText"/>
              <w:tabs>
                <w:tab w:val="left" w:pos="3306"/>
              </w:tabs>
              <w:jc w:val="right"/>
              <w:rPr>
                <w:rFonts w:cs="Calibri"/>
              </w:rPr>
            </w:pPr>
          </w:p>
        </w:tc>
      </w:tr>
      <w:tr w:rsidR="00B96250" w:rsidRPr="00DD296A" w14:paraId="02084305"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8BA130A"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5794557" w14:textId="77777777" w:rsidR="00B96250" w:rsidRPr="00167B16" w:rsidRDefault="00B96250" w:rsidP="00B96250">
            <w:pPr>
              <w:pStyle w:val="TableText"/>
              <w:tabs>
                <w:tab w:val="left" w:pos="3306"/>
              </w:tabs>
              <w:rPr>
                <w:rFonts w:cs="Calibri"/>
                <w:b/>
                <w:bCs/>
              </w:rPr>
            </w:pPr>
            <w:r w:rsidRPr="00167B16">
              <w:rPr>
                <w:rFonts w:cs="Calibri"/>
                <w:b/>
                <w:bCs/>
              </w:rPr>
              <w:t>Total Current Inventories</w:t>
            </w:r>
          </w:p>
        </w:tc>
        <w:tc>
          <w:tcPr>
            <w:tcW w:w="810" w:type="pct"/>
            <w:tcBorders>
              <w:top w:val="single" w:sz="4" w:space="0" w:color="auto"/>
              <w:left w:val="nil"/>
              <w:bottom w:val="single" w:sz="4" w:space="0" w:color="auto"/>
              <w:right w:val="nil"/>
            </w:tcBorders>
            <w:vAlign w:val="bottom"/>
          </w:tcPr>
          <w:p w14:paraId="48660B39" w14:textId="77777777" w:rsidR="00B96250" w:rsidRPr="00167B16" w:rsidRDefault="00B96250" w:rsidP="001F4216">
            <w:pPr>
              <w:pStyle w:val="TableText"/>
              <w:tabs>
                <w:tab w:val="left" w:pos="3306"/>
              </w:tabs>
              <w:ind w:left="601"/>
              <w:jc w:val="right"/>
              <w:rPr>
                <w:rFonts w:cs="Calibri"/>
                <w:b/>
                <w:bCs/>
              </w:rPr>
            </w:pPr>
          </w:p>
        </w:tc>
        <w:tc>
          <w:tcPr>
            <w:tcW w:w="728" w:type="pct"/>
            <w:tcBorders>
              <w:top w:val="single" w:sz="4" w:space="0" w:color="auto"/>
              <w:left w:val="nil"/>
              <w:bottom w:val="single" w:sz="4" w:space="0" w:color="auto"/>
              <w:right w:val="nil"/>
            </w:tcBorders>
            <w:vAlign w:val="bottom"/>
          </w:tcPr>
          <w:p w14:paraId="0DC963D9" w14:textId="77777777" w:rsidR="00B96250" w:rsidRPr="00167B16" w:rsidRDefault="00B96250" w:rsidP="00B96250">
            <w:pPr>
              <w:pStyle w:val="TableText"/>
              <w:tabs>
                <w:tab w:val="left" w:pos="3306"/>
              </w:tabs>
              <w:jc w:val="right"/>
              <w:rPr>
                <w:rFonts w:cs="Calibri"/>
                <w:b/>
                <w:bCs/>
              </w:rPr>
            </w:pPr>
          </w:p>
        </w:tc>
      </w:tr>
      <w:tr w:rsidR="006B5DF1" w:rsidRPr="00DD296A" w14:paraId="73E56738" w14:textId="77777777" w:rsidTr="005F5B4C">
        <w:trPr>
          <w:cantSplit/>
          <w:trHeight w:val="293"/>
        </w:trPr>
        <w:tc>
          <w:tcPr>
            <w:tcW w:w="745" w:type="pct"/>
            <w:tcBorders>
              <w:top w:val="nil"/>
              <w:left w:val="single" w:sz="2" w:space="0" w:color="auto"/>
              <w:bottom w:val="nil"/>
              <w:right w:val="single" w:sz="2" w:space="0" w:color="auto"/>
            </w:tcBorders>
            <w:vAlign w:val="bottom"/>
          </w:tcPr>
          <w:p w14:paraId="1C06D8A0"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DB12B5F" w14:textId="77777777" w:rsidR="006B5DF1" w:rsidRPr="009315BB" w:rsidRDefault="006B5DF1" w:rsidP="00B96250">
            <w:pPr>
              <w:pStyle w:val="TableText"/>
              <w:tabs>
                <w:tab w:val="left" w:pos="3306"/>
              </w:tabs>
              <w:rPr>
                <w:rFonts w:cs="Calibri"/>
                <w:b/>
                <w:bCs/>
              </w:rPr>
            </w:pPr>
          </w:p>
        </w:tc>
        <w:tc>
          <w:tcPr>
            <w:tcW w:w="810" w:type="pct"/>
            <w:tcBorders>
              <w:top w:val="single" w:sz="4" w:space="0" w:color="auto"/>
              <w:left w:val="nil"/>
              <w:bottom w:val="nil"/>
              <w:right w:val="nil"/>
            </w:tcBorders>
            <w:vAlign w:val="bottom"/>
          </w:tcPr>
          <w:p w14:paraId="20D9ACA9" w14:textId="77777777" w:rsidR="006B5DF1" w:rsidRPr="00DD296A" w:rsidRDefault="006B5DF1" w:rsidP="00B96250">
            <w:pPr>
              <w:pStyle w:val="TableText"/>
              <w:tabs>
                <w:tab w:val="left" w:pos="3306"/>
              </w:tabs>
              <w:jc w:val="right"/>
              <w:rPr>
                <w:rFonts w:cs="Calibri"/>
                <w:b/>
                <w:bCs/>
                <w:color w:val="000000"/>
              </w:rPr>
            </w:pPr>
          </w:p>
        </w:tc>
        <w:tc>
          <w:tcPr>
            <w:tcW w:w="744" w:type="pct"/>
            <w:gridSpan w:val="2"/>
            <w:tcBorders>
              <w:top w:val="single" w:sz="4" w:space="0" w:color="auto"/>
              <w:left w:val="nil"/>
              <w:bottom w:val="nil"/>
              <w:right w:val="nil"/>
            </w:tcBorders>
            <w:vAlign w:val="bottom"/>
          </w:tcPr>
          <w:p w14:paraId="59C19E5E" w14:textId="77777777" w:rsidR="006B5DF1" w:rsidRPr="00DD296A" w:rsidRDefault="006B5DF1" w:rsidP="00B96250">
            <w:pPr>
              <w:pStyle w:val="TableText"/>
              <w:tabs>
                <w:tab w:val="left" w:pos="3306"/>
              </w:tabs>
              <w:jc w:val="right"/>
              <w:rPr>
                <w:rFonts w:cs="Calibri"/>
                <w:b/>
                <w:bCs/>
                <w:color w:val="000000"/>
              </w:rPr>
            </w:pPr>
          </w:p>
        </w:tc>
      </w:tr>
      <w:tr w:rsidR="006B5DF1" w:rsidRPr="00DD296A" w14:paraId="74DFBFA7" w14:textId="77777777" w:rsidTr="005F5B4C">
        <w:trPr>
          <w:cantSplit/>
          <w:trHeight w:val="293"/>
        </w:trPr>
        <w:tc>
          <w:tcPr>
            <w:tcW w:w="745" w:type="pct"/>
            <w:tcBorders>
              <w:top w:val="nil"/>
              <w:left w:val="single" w:sz="2" w:space="0" w:color="auto"/>
              <w:bottom w:val="nil"/>
              <w:right w:val="single" w:sz="2" w:space="0" w:color="auto"/>
            </w:tcBorders>
            <w:vAlign w:val="bottom"/>
          </w:tcPr>
          <w:p w14:paraId="02784F82"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5C8EE2E6" w14:textId="6CF459DE" w:rsidR="006B5DF1" w:rsidRPr="00167B16" w:rsidRDefault="006B5DF1" w:rsidP="00B96250">
            <w:pPr>
              <w:pStyle w:val="TableText"/>
              <w:tabs>
                <w:tab w:val="left" w:pos="3306"/>
              </w:tabs>
              <w:rPr>
                <w:rFonts w:cs="Calibri"/>
                <w:b/>
                <w:bCs/>
              </w:rPr>
            </w:pPr>
            <w:r w:rsidRPr="00167B16">
              <w:rPr>
                <w:rFonts w:cs="Calibri"/>
                <w:b/>
                <w:bCs/>
              </w:rPr>
              <w:t>Non-Current Inventories</w:t>
            </w:r>
          </w:p>
        </w:tc>
        <w:tc>
          <w:tcPr>
            <w:tcW w:w="810" w:type="pct"/>
            <w:tcBorders>
              <w:top w:val="nil"/>
              <w:left w:val="nil"/>
              <w:bottom w:val="nil"/>
              <w:right w:val="nil"/>
            </w:tcBorders>
            <w:vAlign w:val="bottom"/>
          </w:tcPr>
          <w:p w14:paraId="70A385FE"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85C75" w14:textId="77777777" w:rsidR="006B5DF1" w:rsidRPr="00167B16" w:rsidRDefault="006B5DF1" w:rsidP="00B96250">
            <w:pPr>
              <w:pStyle w:val="TableText"/>
              <w:tabs>
                <w:tab w:val="left" w:pos="3306"/>
              </w:tabs>
              <w:jc w:val="right"/>
              <w:rPr>
                <w:rFonts w:cs="Calibri"/>
                <w:b/>
                <w:bCs/>
              </w:rPr>
            </w:pPr>
          </w:p>
        </w:tc>
      </w:tr>
      <w:tr w:rsidR="006B5DF1" w:rsidRPr="00DD296A" w14:paraId="41AF6D33" w14:textId="77777777" w:rsidTr="005F5B4C">
        <w:trPr>
          <w:cantSplit/>
          <w:trHeight w:val="293"/>
        </w:trPr>
        <w:tc>
          <w:tcPr>
            <w:tcW w:w="745" w:type="pct"/>
            <w:tcBorders>
              <w:top w:val="nil"/>
              <w:left w:val="single" w:sz="2" w:space="0" w:color="auto"/>
              <w:bottom w:val="nil"/>
              <w:right w:val="single" w:sz="2" w:space="0" w:color="auto"/>
            </w:tcBorders>
            <w:vAlign w:val="bottom"/>
          </w:tcPr>
          <w:p w14:paraId="18262A38"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B2E7792" w14:textId="1ED26DD0" w:rsidR="006B5DF1" w:rsidRPr="00167B16" w:rsidRDefault="006B5DF1" w:rsidP="00B96250">
            <w:pPr>
              <w:pStyle w:val="TableText"/>
              <w:tabs>
                <w:tab w:val="left" w:pos="3306"/>
              </w:tabs>
              <w:rPr>
                <w:rFonts w:cs="Calibri"/>
                <w:b/>
                <w:bCs/>
              </w:rPr>
            </w:pPr>
            <w:r w:rsidRPr="00167B16">
              <w:rPr>
                <w:rFonts w:cs="Calibri"/>
                <w:b/>
                <w:bCs/>
              </w:rPr>
              <w:t>Non-Current Inventories Held for Sale</w:t>
            </w:r>
          </w:p>
        </w:tc>
        <w:tc>
          <w:tcPr>
            <w:tcW w:w="810" w:type="pct"/>
            <w:tcBorders>
              <w:top w:val="nil"/>
              <w:left w:val="nil"/>
              <w:bottom w:val="nil"/>
              <w:right w:val="nil"/>
            </w:tcBorders>
            <w:vAlign w:val="bottom"/>
          </w:tcPr>
          <w:p w14:paraId="10ADCB9F"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76695359" w14:textId="77777777" w:rsidR="006B5DF1" w:rsidRPr="00167B16" w:rsidRDefault="006B5DF1" w:rsidP="00B96250">
            <w:pPr>
              <w:pStyle w:val="TableText"/>
              <w:tabs>
                <w:tab w:val="left" w:pos="3306"/>
              </w:tabs>
              <w:jc w:val="right"/>
              <w:rPr>
                <w:rFonts w:cs="Calibri"/>
                <w:b/>
                <w:bCs/>
              </w:rPr>
            </w:pPr>
          </w:p>
        </w:tc>
      </w:tr>
      <w:tr w:rsidR="006B5DF1" w:rsidRPr="00DD296A" w14:paraId="44C4015D" w14:textId="77777777" w:rsidTr="005F5B4C">
        <w:trPr>
          <w:cantSplit/>
          <w:trHeight w:val="293"/>
        </w:trPr>
        <w:tc>
          <w:tcPr>
            <w:tcW w:w="745" w:type="pct"/>
            <w:tcBorders>
              <w:top w:val="nil"/>
              <w:left w:val="single" w:sz="2" w:space="0" w:color="auto"/>
              <w:bottom w:val="nil"/>
              <w:right w:val="single" w:sz="2" w:space="0" w:color="auto"/>
            </w:tcBorders>
          </w:tcPr>
          <w:p w14:paraId="5E2ADAC9" w14:textId="4BF34A5E"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2D184250" w14:textId="4F78D44F" w:rsidR="006B5DF1" w:rsidRPr="00167B16" w:rsidRDefault="006B5DF1" w:rsidP="006B5DF1">
            <w:pPr>
              <w:pStyle w:val="TableText"/>
              <w:tabs>
                <w:tab w:val="left" w:pos="3306"/>
              </w:tabs>
              <w:rPr>
                <w:rFonts w:cs="Calibri"/>
                <w:b/>
                <w:bCs/>
              </w:rPr>
            </w:pPr>
            <w:r w:rsidRPr="00167B16">
              <w:rPr>
                <w:rFonts w:cs="Calibri"/>
              </w:rPr>
              <w:t>Work In Progress – Cost</w:t>
            </w:r>
          </w:p>
        </w:tc>
        <w:tc>
          <w:tcPr>
            <w:tcW w:w="810" w:type="pct"/>
            <w:tcBorders>
              <w:top w:val="nil"/>
              <w:left w:val="nil"/>
              <w:bottom w:val="nil"/>
              <w:right w:val="nil"/>
            </w:tcBorders>
            <w:vAlign w:val="bottom"/>
          </w:tcPr>
          <w:p w14:paraId="16B4C31E"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FAE1763" w14:textId="77777777" w:rsidR="006B5DF1" w:rsidRPr="00167B16" w:rsidRDefault="006B5DF1" w:rsidP="006B5DF1">
            <w:pPr>
              <w:pStyle w:val="TableText"/>
              <w:tabs>
                <w:tab w:val="left" w:pos="3306"/>
              </w:tabs>
              <w:jc w:val="right"/>
              <w:rPr>
                <w:rFonts w:cs="Calibri"/>
                <w:b/>
                <w:bCs/>
              </w:rPr>
            </w:pPr>
          </w:p>
        </w:tc>
      </w:tr>
      <w:tr w:rsidR="006B5DF1" w:rsidRPr="00DD296A" w14:paraId="362D6621" w14:textId="77777777" w:rsidTr="005F5B4C">
        <w:trPr>
          <w:cantSplit/>
          <w:trHeight w:val="293"/>
        </w:trPr>
        <w:tc>
          <w:tcPr>
            <w:tcW w:w="745" w:type="pct"/>
            <w:tcBorders>
              <w:top w:val="nil"/>
              <w:left w:val="single" w:sz="2" w:space="0" w:color="auto"/>
              <w:bottom w:val="nil"/>
              <w:right w:val="single" w:sz="2" w:space="0" w:color="auto"/>
            </w:tcBorders>
          </w:tcPr>
          <w:p w14:paraId="4EA878C8" w14:textId="6975C492"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02E816D" w14:textId="66030820" w:rsidR="006B5DF1" w:rsidRPr="00167B16" w:rsidRDefault="006B5DF1" w:rsidP="006B5DF1">
            <w:pPr>
              <w:pStyle w:val="TableText"/>
              <w:tabs>
                <w:tab w:val="left" w:pos="3306"/>
              </w:tabs>
              <w:rPr>
                <w:rFonts w:cs="Calibri"/>
                <w:b/>
                <w:bCs/>
              </w:rPr>
            </w:pPr>
            <w:r w:rsidRPr="00167B16">
              <w:rPr>
                <w:rFonts w:cs="Calibri"/>
              </w:rPr>
              <w:t>Finished Goods</w:t>
            </w:r>
          </w:p>
        </w:tc>
        <w:tc>
          <w:tcPr>
            <w:tcW w:w="810" w:type="pct"/>
            <w:tcBorders>
              <w:top w:val="nil"/>
              <w:left w:val="nil"/>
              <w:bottom w:val="nil"/>
              <w:right w:val="nil"/>
            </w:tcBorders>
            <w:vAlign w:val="bottom"/>
          </w:tcPr>
          <w:p w14:paraId="0327F43D"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ED18022" w14:textId="77777777" w:rsidR="006B5DF1" w:rsidRPr="00167B16" w:rsidRDefault="006B5DF1" w:rsidP="006B5DF1">
            <w:pPr>
              <w:pStyle w:val="TableText"/>
              <w:tabs>
                <w:tab w:val="left" w:pos="3306"/>
              </w:tabs>
              <w:jc w:val="right"/>
              <w:rPr>
                <w:rFonts w:cs="Calibri"/>
                <w:b/>
                <w:bCs/>
              </w:rPr>
            </w:pPr>
          </w:p>
        </w:tc>
      </w:tr>
      <w:tr w:rsidR="006B5DF1" w:rsidRPr="00DD296A" w14:paraId="5926C9CE" w14:textId="77777777" w:rsidTr="005F5B4C">
        <w:trPr>
          <w:cantSplit/>
          <w:trHeight w:val="293"/>
        </w:trPr>
        <w:tc>
          <w:tcPr>
            <w:tcW w:w="745" w:type="pct"/>
            <w:tcBorders>
              <w:top w:val="nil"/>
              <w:left w:val="single" w:sz="2" w:space="0" w:color="auto"/>
              <w:bottom w:val="nil"/>
              <w:right w:val="single" w:sz="2" w:space="0" w:color="auto"/>
            </w:tcBorders>
          </w:tcPr>
          <w:p w14:paraId="459B69E9"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63AE908" w14:textId="2A71A2A8" w:rsidR="006B5DF1" w:rsidRPr="00167B16" w:rsidRDefault="006B5DF1" w:rsidP="00CB31DE">
            <w:pPr>
              <w:pStyle w:val="TableText"/>
              <w:numPr>
                <w:ilvl w:val="1"/>
                <w:numId w:val="58"/>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4D0ACC7F"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3253EFE4" w14:textId="77777777" w:rsidR="006B5DF1" w:rsidRPr="00167B16" w:rsidRDefault="006B5DF1" w:rsidP="006B5DF1">
            <w:pPr>
              <w:pStyle w:val="TableText"/>
              <w:tabs>
                <w:tab w:val="left" w:pos="3306"/>
              </w:tabs>
              <w:jc w:val="right"/>
              <w:rPr>
                <w:rFonts w:cs="Calibri"/>
                <w:b/>
                <w:bCs/>
              </w:rPr>
            </w:pPr>
          </w:p>
        </w:tc>
      </w:tr>
      <w:tr w:rsidR="00590B10" w:rsidRPr="00DD296A" w14:paraId="3C7CD806" w14:textId="77777777" w:rsidTr="005F5B4C">
        <w:trPr>
          <w:cantSplit/>
          <w:trHeight w:val="293"/>
        </w:trPr>
        <w:tc>
          <w:tcPr>
            <w:tcW w:w="745" w:type="pct"/>
            <w:tcBorders>
              <w:top w:val="nil"/>
              <w:left w:val="single" w:sz="2" w:space="0" w:color="auto"/>
              <w:bottom w:val="nil"/>
              <w:right w:val="single" w:sz="2" w:space="0" w:color="auto"/>
            </w:tcBorders>
          </w:tcPr>
          <w:p w14:paraId="4A9C8974" w14:textId="77777777" w:rsidR="00590B10" w:rsidRPr="00167B16" w:rsidRDefault="00590B10"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2521296" w14:textId="42375B76" w:rsidR="00590B10" w:rsidRPr="00167B16" w:rsidRDefault="00590B1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519FF077" w14:textId="77777777" w:rsidR="00590B10" w:rsidRPr="00167B16" w:rsidRDefault="00590B10" w:rsidP="006B5DF1">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FD8D553" w14:textId="77777777" w:rsidR="00590B10" w:rsidRPr="00167B16" w:rsidRDefault="00590B10" w:rsidP="006B5DF1">
            <w:pPr>
              <w:pStyle w:val="TableText"/>
              <w:tabs>
                <w:tab w:val="left" w:pos="3306"/>
              </w:tabs>
              <w:jc w:val="right"/>
              <w:rPr>
                <w:rFonts w:cs="Calibri"/>
                <w:b/>
                <w:bCs/>
              </w:rPr>
            </w:pPr>
          </w:p>
        </w:tc>
      </w:tr>
      <w:tr w:rsidR="006B5DF1" w:rsidRPr="00DD296A" w14:paraId="1FF6B797" w14:textId="77777777" w:rsidTr="005F5B4C">
        <w:trPr>
          <w:cantSplit/>
          <w:trHeight w:val="293"/>
        </w:trPr>
        <w:tc>
          <w:tcPr>
            <w:tcW w:w="745" w:type="pct"/>
            <w:tcBorders>
              <w:top w:val="nil"/>
              <w:left w:val="single" w:sz="2" w:space="0" w:color="auto"/>
              <w:bottom w:val="nil"/>
              <w:right w:val="single" w:sz="2" w:space="0" w:color="auto"/>
            </w:tcBorders>
            <w:vAlign w:val="bottom"/>
          </w:tcPr>
          <w:p w14:paraId="703C1402"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BD874AE" w14:textId="5EC29DBE" w:rsidR="006B5DF1" w:rsidRPr="00167B16" w:rsidRDefault="006B5DF1" w:rsidP="006B5DF1">
            <w:pPr>
              <w:pStyle w:val="TableText"/>
              <w:tabs>
                <w:tab w:val="left" w:pos="3306"/>
              </w:tabs>
              <w:rPr>
                <w:rFonts w:cs="Calibri"/>
                <w:b/>
                <w:bCs/>
              </w:rPr>
            </w:pPr>
            <w:r w:rsidRPr="00167B16">
              <w:rPr>
                <w:rFonts w:cs="Calibri"/>
                <w:b/>
                <w:bCs/>
              </w:rPr>
              <w:t>Total Non-Current Inventories Held for Sale</w:t>
            </w:r>
          </w:p>
        </w:tc>
        <w:tc>
          <w:tcPr>
            <w:tcW w:w="810" w:type="pct"/>
            <w:tcBorders>
              <w:top w:val="single" w:sz="4" w:space="0" w:color="auto"/>
              <w:left w:val="nil"/>
              <w:bottom w:val="single" w:sz="4" w:space="0" w:color="auto"/>
              <w:right w:val="nil"/>
            </w:tcBorders>
            <w:vAlign w:val="bottom"/>
          </w:tcPr>
          <w:p w14:paraId="4A011D0A" w14:textId="77777777" w:rsidR="006B5DF1" w:rsidRPr="00167B16" w:rsidRDefault="006B5DF1" w:rsidP="006B5DF1">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27C3DCB4" w14:textId="77777777" w:rsidR="006B5DF1" w:rsidRPr="00167B16" w:rsidRDefault="006B5DF1" w:rsidP="006B5DF1">
            <w:pPr>
              <w:pStyle w:val="TableText"/>
              <w:tabs>
                <w:tab w:val="left" w:pos="3306"/>
              </w:tabs>
              <w:jc w:val="right"/>
              <w:rPr>
                <w:rFonts w:cs="Calibri"/>
                <w:b/>
                <w:bCs/>
              </w:rPr>
            </w:pPr>
          </w:p>
        </w:tc>
      </w:tr>
      <w:tr w:rsidR="006B5DF1" w:rsidRPr="00DD296A" w14:paraId="17DF7DF9" w14:textId="77777777" w:rsidTr="005F5B4C">
        <w:trPr>
          <w:cantSplit/>
          <w:trHeight w:val="293"/>
        </w:trPr>
        <w:tc>
          <w:tcPr>
            <w:tcW w:w="745" w:type="pct"/>
            <w:tcBorders>
              <w:top w:val="nil"/>
              <w:left w:val="single" w:sz="2" w:space="0" w:color="auto"/>
              <w:bottom w:val="nil"/>
              <w:right w:val="single" w:sz="2" w:space="0" w:color="auto"/>
            </w:tcBorders>
            <w:vAlign w:val="bottom"/>
          </w:tcPr>
          <w:p w14:paraId="11FFB95D" w14:textId="77777777" w:rsidR="006B5DF1" w:rsidRPr="00167B16" w:rsidRDefault="006B5DF1" w:rsidP="00EF02BB">
            <w:pPr>
              <w:pStyle w:val="TableReference"/>
              <w:tabs>
                <w:tab w:val="left" w:pos="3306"/>
              </w:tabs>
              <w:spacing w:before="12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1A76CE27" w14:textId="1960D27F" w:rsidR="00515D1B" w:rsidRPr="00167B16" w:rsidRDefault="006B5DF1" w:rsidP="00EF02BB">
            <w:pPr>
              <w:pStyle w:val="TableText"/>
              <w:tabs>
                <w:tab w:val="left" w:pos="3306"/>
              </w:tabs>
              <w:spacing w:before="120"/>
              <w:rPr>
                <w:rFonts w:cs="Calibri"/>
                <w:b/>
                <w:bCs/>
              </w:rPr>
            </w:pPr>
            <w:r w:rsidRPr="00167B16">
              <w:rPr>
                <w:rFonts w:cs="Calibri"/>
                <w:b/>
                <w:bCs/>
              </w:rPr>
              <w:t>Total Inventories</w:t>
            </w:r>
          </w:p>
        </w:tc>
        <w:tc>
          <w:tcPr>
            <w:tcW w:w="810" w:type="pct"/>
            <w:tcBorders>
              <w:top w:val="single" w:sz="4" w:space="0" w:color="auto"/>
              <w:left w:val="nil"/>
              <w:bottom w:val="double" w:sz="4" w:space="0" w:color="auto"/>
              <w:right w:val="nil"/>
            </w:tcBorders>
            <w:vAlign w:val="bottom"/>
          </w:tcPr>
          <w:p w14:paraId="5ACF5C79" w14:textId="77777777" w:rsidR="006B5DF1" w:rsidRPr="00167B16" w:rsidRDefault="006B5DF1" w:rsidP="00EF02BB">
            <w:pPr>
              <w:pStyle w:val="TableText"/>
              <w:tabs>
                <w:tab w:val="left" w:pos="3306"/>
              </w:tabs>
              <w:spacing w:before="120"/>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01B7189" w14:textId="77777777" w:rsidR="006B5DF1" w:rsidRPr="00167B16" w:rsidRDefault="006B5DF1" w:rsidP="00EF02BB">
            <w:pPr>
              <w:pStyle w:val="TableText"/>
              <w:tabs>
                <w:tab w:val="left" w:pos="3306"/>
              </w:tabs>
              <w:spacing w:before="120"/>
              <w:jc w:val="right"/>
              <w:rPr>
                <w:rFonts w:cs="Calibri"/>
                <w:b/>
                <w:bCs/>
              </w:rPr>
            </w:pPr>
          </w:p>
        </w:tc>
      </w:tr>
      <w:tr w:rsidR="000B7404" w:rsidRPr="00DD296A" w14:paraId="4666A98F" w14:textId="77777777" w:rsidTr="005F5B4C">
        <w:trPr>
          <w:cantSplit/>
          <w:trHeight w:val="293"/>
        </w:trPr>
        <w:tc>
          <w:tcPr>
            <w:tcW w:w="745" w:type="pct"/>
            <w:tcBorders>
              <w:top w:val="nil"/>
              <w:left w:val="single" w:sz="2" w:space="0" w:color="auto"/>
              <w:bottom w:val="nil"/>
              <w:right w:val="single" w:sz="2" w:space="0" w:color="auto"/>
            </w:tcBorders>
            <w:vAlign w:val="bottom"/>
          </w:tcPr>
          <w:p w14:paraId="73C0E896"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AA7AFBD" w14:textId="77777777" w:rsidR="000B7404" w:rsidRPr="00167B16" w:rsidRDefault="000B7404" w:rsidP="006B5DF1">
            <w:pPr>
              <w:pStyle w:val="TableText"/>
              <w:tabs>
                <w:tab w:val="left" w:pos="3306"/>
              </w:tabs>
              <w:rPr>
                <w:rFonts w:cs="Calibri"/>
                <w:b/>
                <w:bCs/>
              </w:rPr>
            </w:pPr>
          </w:p>
        </w:tc>
        <w:tc>
          <w:tcPr>
            <w:tcW w:w="810" w:type="pct"/>
            <w:tcBorders>
              <w:top w:val="double" w:sz="4" w:space="0" w:color="auto"/>
              <w:left w:val="nil"/>
              <w:bottom w:val="nil"/>
              <w:right w:val="nil"/>
            </w:tcBorders>
            <w:vAlign w:val="bottom"/>
          </w:tcPr>
          <w:p w14:paraId="1E0DB935" w14:textId="77777777" w:rsidR="000B7404" w:rsidRPr="00167B16" w:rsidRDefault="000B7404" w:rsidP="006B5DF1">
            <w:pPr>
              <w:pStyle w:val="TableText"/>
              <w:tabs>
                <w:tab w:val="left" w:pos="3306"/>
              </w:tabs>
              <w:jc w:val="right"/>
              <w:rPr>
                <w:rFonts w:cs="Calibri"/>
                <w:b/>
                <w:bCs/>
              </w:rPr>
            </w:pPr>
          </w:p>
        </w:tc>
        <w:tc>
          <w:tcPr>
            <w:tcW w:w="744" w:type="pct"/>
            <w:gridSpan w:val="2"/>
            <w:tcBorders>
              <w:top w:val="double" w:sz="4" w:space="0" w:color="auto"/>
              <w:left w:val="nil"/>
              <w:bottom w:val="nil"/>
              <w:right w:val="nil"/>
            </w:tcBorders>
            <w:vAlign w:val="bottom"/>
          </w:tcPr>
          <w:p w14:paraId="0F86EE0A" w14:textId="77777777" w:rsidR="000B7404" w:rsidRPr="00167B16" w:rsidRDefault="000B7404" w:rsidP="006B5DF1">
            <w:pPr>
              <w:pStyle w:val="TableText"/>
              <w:tabs>
                <w:tab w:val="left" w:pos="3306"/>
              </w:tabs>
              <w:jc w:val="right"/>
              <w:rPr>
                <w:rFonts w:cs="Calibri"/>
                <w:b/>
                <w:bCs/>
              </w:rPr>
            </w:pPr>
          </w:p>
        </w:tc>
      </w:tr>
      <w:tr w:rsidR="000B7404" w:rsidRPr="00DD296A" w14:paraId="2A17125B" w14:textId="77777777" w:rsidTr="005F5B4C">
        <w:trPr>
          <w:cantSplit/>
          <w:trHeight w:val="293"/>
        </w:trPr>
        <w:tc>
          <w:tcPr>
            <w:tcW w:w="745" w:type="pct"/>
            <w:tcBorders>
              <w:top w:val="nil"/>
              <w:left w:val="single" w:sz="2" w:space="0" w:color="auto"/>
              <w:bottom w:val="nil"/>
              <w:right w:val="single" w:sz="2" w:space="0" w:color="auto"/>
            </w:tcBorders>
            <w:vAlign w:val="bottom"/>
          </w:tcPr>
          <w:p w14:paraId="1C4B0F42"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6951D1D" w14:textId="32123814" w:rsidR="000B7404" w:rsidRPr="00167B16" w:rsidRDefault="00115F4E" w:rsidP="006B5DF1">
            <w:pPr>
              <w:pStyle w:val="TableText"/>
              <w:tabs>
                <w:tab w:val="left" w:pos="3306"/>
              </w:tabs>
              <w:rPr>
                <w:rFonts w:cs="Calibri"/>
                <w:b/>
                <w:bCs/>
              </w:rPr>
            </w:pPr>
            <w:r w:rsidRPr="00167B16">
              <w:rPr>
                <w:b/>
                <w:bCs/>
              </w:rPr>
              <w:t>Reconciliation of Inventory</w:t>
            </w:r>
          </w:p>
        </w:tc>
        <w:tc>
          <w:tcPr>
            <w:tcW w:w="810" w:type="pct"/>
            <w:tcBorders>
              <w:top w:val="nil"/>
              <w:left w:val="nil"/>
              <w:bottom w:val="nil"/>
              <w:right w:val="nil"/>
            </w:tcBorders>
            <w:vAlign w:val="bottom"/>
          </w:tcPr>
          <w:p w14:paraId="218A959D" w14:textId="77777777" w:rsidR="000B7404" w:rsidRPr="00167B16" w:rsidRDefault="000B7404"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5C9A64BA" w14:textId="77777777" w:rsidR="000B7404" w:rsidRPr="00167B16" w:rsidRDefault="000B7404" w:rsidP="006B5DF1">
            <w:pPr>
              <w:pStyle w:val="TableText"/>
              <w:tabs>
                <w:tab w:val="left" w:pos="3306"/>
              </w:tabs>
              <w:jc w:val="right"/>
              <w:rPr>
                <w:rFonts w:cs="Calibri"/>
                <w:b/>
                <w:bCs/>
              </w:rPr>
            </w:pPr>
          </w:p>
        </w:tc>
      </w:tr>
      <w:tr w:rsidR="00FC69F0" w:rsidRPr="007E0503" w14:paraId="6EE929AF" w14:textId="77777777" w:rsidTr="005F5B4C">
        <w:trPr>
          <w:cantSplit/>
        </w:trPr>
        <w:tc>
          <w:tcPr>
            <w:tcW w:w="745" w:type="pct"/>
            <w:tcBorders>
              <w:top w:val="nil"/>
              <w:left w:val="single" w:sz="2" w:space="0" w:color="auto"/>
              <w:bottom w:val="nil"/>
              <w:right w:val="single" w:sz="2" w:space="0" w:color="auto"/>
            </w:tcBorders>
          </w:tcPr>
          <w:p w14:paraId="24878FEB"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FA8FBD1" w14:textId="3AA68715" w:rsidR="00FC69F0" w:rsidRPr="00167B16" w:rsidRDefault="00FC69F0" w:rsidP="00FC69F0">
            <w:pPr>
              <w:pStyle w:val="TableText"/>
              <w:tabs>
                <w:tab w:val="left" w:pos="3306"/>
              </w:tabs>
              <w:rPr>
                <w:rFonts w:cs="Calibri"/>
                <w:b/>
                <w:bCs/>
              </w:rPr>
            </w:pPr>
            <w:r w:rsidRPr="00167B16">
              <w:rPr>
                <w:rFonts w:cs="Calibri"/>
                <w:b/>
                <w:bCs/>
              </w:rPr>
              <w:t>Cost of Sales</w:t>
            </w:r>
          </w:p>
        </w:tc>
        <w:tc>
          <w:tcPr>
            <w:tcW w:w="810" w:type="pct"/>
            <w:tcBorders>
              <w:top w:val="nil"/>
              <w:left w:val="nil"/>
              <w:bottom w:val="nil"/>
              <w:right w:val="nil"/>
            </w:tcBorders>
            <w:vAlign w:val="bottom"/>
          </w:tcPr>
          <w:p w14:paraId="10D16BC7"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D2065AB" w14:textId="77777777" w:rsidR="00FC69F0" w:rsidRPr="00167B16" w:rsidRDefault="00FC69F0" w:rsidP="00FC69F0">
            <w:pPr>
              <w:pStyle w:val="TableText"/>
              <w:tabs>
                <w:tab w:val="left" w:pos="3306"/>
              </w:tabs>
              <w:jc w:val="right"/>
              <w:rPr>
                <w:rFonts w:cs="Calibri"/>
                <w:b/>
                <w:bCs/>
              </w:rPr>
            </w:pPr>
          </w:p>
        </w:tc>
      </w:tr>
      <w:tr w:rsidR="00FC69F0" w:rsidRPr="007E0503" w14:paraId="5EFDEAF0" w14:textId="77777777" w:rsidTr="005F5B4C">
        <w:trPr>
          <w:cantSplit/>
        </w:trPr>
        <w:tc>
          <w:tcPr>
            <w:tcW w:w="745" w:type="pct"/>
            <w:tcBorders>
              <w:top w:val="nil"/>
              <w:left w:val="single" w:sz="2" w:space="0" w:color="auto"/>
              <w:bottom w:val="nil"/>
              <w:right w:val="single" w:sz="2" w:space="0" w:color="auto"/>
            </w:tcBorders>
          </w:tcPr>
          <w:p w14:paraId="24E543D1"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A675FDA" w14:textId="1957D75C" w:rsidR="00FC69F0" w:rsidRPr="00167B16" w:rsidRDefault="00FC69F0" w:rsidP="00FC69F0">
            <w:pPr>
              <w:pStyle w:val="TableText"/>
              <w:tabs>
                <w:tab w:val="left" w:pos="3306"/>
              </w:tabs>
              <w:rPr>
                <w:rFonts w:cs="Calibri"/>
              </w:rPr>
            </w:pPr>
            <w:r w:rsidRPr="00167B16">
              <w:rPr>
                <w:rFonts w:cs="Calibri"/>
              </w:rPr>
              <w:t>Opening Inventory at the beginning of the Financial Year</w:t>
            </w:r>
          </w:p>
        </w:tc>
        <w:tc>
          <w:tcPr>
            <w:tcW w:w="810" w:type="pct"/>
            <w:tcBorders>
              <w:top w:val="nil"/>
              <w:left w:val="nil"/>
              <w:bottom w:val="nil"/>
              <w:right w:val="nil"/>
            </w:tcBorders>
            <w:vAlign w:val="bottom"/>
          </w:tcPr>
          <w:p w14:paraId="3AD4E724"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14B42BB8" w14:textId="77777777" w:rsidR="00FC69F0" w:rsidRPr="00167B16" w:rsidRDefault="00FC69F0" w:rsidP="00FC69F0">
            <w:pPr>
              <w:pStyle w:val="TableText"/>
              <w:tabs>
                <w:tab w:val="left" w:pos="3306"/>
              </w:tabs>
              <w:jc w:val="right"/>
              <w:rPr>
                <w:rFonts w:cs="Calibri"/>
                <w:b/>
                <w:bCs/>
              </w:rPr>
            </w:pPr>
          </w:p>
        </w:tc>
      </w:tr>
      <w:tr w:rsidR="00FC69F0" w:rsidRPr="007E0503" w14:paraId="149E9A7C" w14:textId="77777777" w:rsidTr="005F5B4C">
        <w:trPr>
          <w:cantSplit/>
        </w:trPr>
        <w:tc>
          <w:tcPr>
            <w:tcW w:w="745" w:type="pct"/>
            <w:tcBorders>
              <w:top w:val="nil"/>
              <w:left w:val="single" w:sz="2" w:space="0" w:color="auto"/>
              <w:bottom w:val="nil"/>
              <w:right w:val="single" w:sz="2" w:space="0" w:color="auto"/>
            </w:tcBorders>
          </w:tcPr>
          <w:p w14:paraId="02170FB9"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9C2D3EB" w14:textId="4B27407B"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F0A0E" w:rsidRPr="00167B16">
              <w:rPr>
                <w:rFonts w:cs="Calibri"/>
              </w:rPr>
              <w:t>Purchases</w:t>
            </w:r>
          </w:p>
        </w:tc>
        <w:tc>
          <w:tcPr>
            <w:tcW w:w="810" w:type="pct"/>
            <w:tcBorders>
              <w:top w:val="nil"/>
              <w:left w:val="nil"/>
              <w:bottom w:val="nil"/>
              <w:right w:val="nil"/>
            </w:tcBorders>
            <w:vAlign w:val="bottom"/>
          </w:tcPr>
          <w:p w14:paraId="5248C28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C8672" w14:textId="77777777" w:rsidR="00FC69F0" w:rsidRPr="00167B16" w:rsidRDefault="00FC69F0" w:rsidP="00FC69F0">
            <w:pPr>
              <w:pStyle w:val="TableText"/>
              <w:tabs>
                <w:tab w:val="left" w:pos="3306"/>
              </w:tabs>
              <w:jc w:val="right"/>
              <w:rPr>
                <w:rFonts w:cs="Calibri"/>
                <w:b/>
                <w:bCs/>
              </w:rPr>
            </w:pPr>
          </w:p>
        </w:tc>
      </w:tr>
      <w:tr w:rsidR="00FC69F0" w:rsidRPr="007E0503" w14:paraId="1DA93672" w14:textId="77777777" w:rsidTr="005F5B4C">
        <w:trPr>
          <w:cantSplit/>
        </w:trPr>
        <w:tc>
          <w:tcPr>
            <w:tcW w:w="745" w:type="pct"/>
            <w:tcBorders>
              <w:top w:val="nil"/>
              <w:left w:val="single" w:sz="2" w:space="0" w:color="auto"/>
              <w:bottom w:val="nil"/>
              <w:right w:val="single" w:sz="2" w:space="0" w:color="auto"/>
            </w:tcBorders>
          </w:tcPr>
          <w:p w14:paraId="5980C480"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3BFF55E4" w14:textId="1D871716"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C69F0" w:rsidRPr="00167B16">
              <w:rPr>
                <w:rFonts w:cs="Calibri"/>
              </w:rPr>
              <w:t>Cost of Sales</w:t>
            </w:r>
          </w:p>
        </w:tc>
        <w:tc>
          <w:tcPr>
            <w:tcW w:w="810" w:type="pct"/>
            <w:tcBorders>
              <w:top w:val="nil"/>
              <w:left w:val="nil"/>
              <w:bottom w:val="single" w:sz="4" w:space="0" w:color="auto"/>
              <w:right w:val="nil"/>
            </w:tcBorders>
            <w:vAlign w:val="bottom"/>
          </w:tcPr>
          <w:p w14:paraId="4D8EDB2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C7B34E5" w14:textId="77777777" w:rsidR="00FC69F0" w:rsidRPr="00167B16" w:rsidRDefault="00FC69F0" w:rsidP="00FC69F0">
            <w:pPr>
              <w:pStyle w:val="TableText"/>
              <w:tabs>
                <w:tab w:val="left" w:pos="3306"/>
              </w:tabs>
              <w:jc w:val="right"/>
              <w:rPr>
                <w:rFonts w:cs="Calibri"/>
                <w:b/>
                <w:bCs/>
              </w:rPr>
            </w:pPr>
          </w:p>
        </w:tc>
      </w:tr>
      <w:tr w:rsidR="00092B55" w:rsidRPr="007E0503" w14:paraId="1F5890F7" w14:textId="77777777" w:rsidTr="005F5B4C">
        <w:trPr>
          <w:cantSplit/>
        </w:trPr>
        <w:tc>
          <w:tcPr>
            <w:tcW w:w="745" w:type="pct"/>
            <w:tcBorders>
              <w:top w:val="nil"/>
              <w:left w:val="single" w:sz="2" w:space="0" w:color="auto"/>
              <w:bottom w:val="nil"/>
              <w:right w:val="single" w:sz="2" w:space="0" w:color="auto"/>
            </w:tcBorders>
          </w:tcPr>
          <w:p w14:paraId="3D606638" w14:textId="15B5DF80"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center"/>
          </w:tcPr>
          <w:p w14:paraId="363E582C" w14:textId="3F5384DE" w:rsidR="00092B55" w:rsidRPr="00167B16" w:rsidRDefault="00FA7C77" w:rsidP="007A35BC">
            <w:pPr>
              <w:pStyle w:val="TableText"/>
              <w:tabs>
                <w:tab w:val="left" w:pos="3306"/>
              </w:tabs>
              <w:rPr>
                <w:rFonts w:cs="Calibri"/>
              </w:rPr>
            </w:pPr>
            <w:r>
              <w:rPr>
                <w:rFonts w:cs="Calibri"/>
              </w:rPr>
              <w:t xml:space="preserve">  </w:t>
            </w:r>
            <w:r w:rsidR="007A35BC" w:rsidRPr="00167B16">
              <w:rPr>
                <w:rFonts w:cs="Calibri"/>
              </w:rPr>
              <w:t xml:space="preserve"> - </w:t>
            </w:r>
            <w:r w:rsidR="00092B55" w:rsidRPr="00167B16">
              <w:rPr>
                <w:rFonts w:cs="Calibri"/>
              </w:rPr>
              <w:t>Write-down in Inventory</w:t>
            </w:r>
          </w:p>
        </w:tc>
        <w:tc>
          <w:tcPr>
            <w:tcW w:w="810" w:type="pct"/>
            <w:tcBorders>
              <w:top w:val="single" w:sz="4" w:space="0" w:color="auto"/>
              <w:left w:val="nil"/>
              <w:bottom w:val="single" w:sz="4" w:space="0" w:color="auto"/>
              <w:right w:val="nil"/>
            </w:tcBorders>
            <w:vAlign w:val="bottom"/>
          </w:tcPr>
          <w:p w14:paraId="10C9640F"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19103F49" w14:textId="77777777" w:rsidR="00092B55" w:rsidRPr="00167B16" w:rsidRDefault="00092B55" w:rsidP="00092B55">
            <w:pPr>
              <w:pStyle w:val="TableText"/>
              <w:tabs>
                <w:tab w:val="left" w:pos="3306"/>
              </w:tabs>
              <w:jc w:val="right"/>
              <w:rPr>
                <w:rFonts w:cs="Calibri"/>
                <w:b/>
                <w:bCs/>
              </w:rPr>
            </w:pPr>
          </w:p>
        </w:tc>
      </w:tr>
      <w:tr w:rsidR="00092B55" w:rsidRPr="007E0503" w14:paraId="7D9CBD19" w14:textId="77777777" w:rsidTr="005F5B4C">
        <w:trPr>
          <w:cantSplit/>
        </w:trPr>
        <w:tc>
          <w:tcPr>
            <w:tcW w:w="745" w:type="pct"/>
            <w:tcBorders>
              <w:top w:val="nil"/>
              <w:left w:val="single" w:sz="2" w:space="0" w:color="auto"/>
              <w:bottom w:val="nil"/>
              <w:right w:val="single" w:sz="2" w:space="0" w:color="auto"/>
            </w:tcBorders>
          </w:tcPr>
          <w:p w14:paraId="324BAE2F" w14:textId="77777777"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1C66190B" w14:textId="6143AB73" w:rsidR="00092B55" w:rsidRPr="00167B16" w:rsidRDefault="00092B55" w:rsidP="00092B55">
            <w:pPr>
              <w:pStyle w:val="TableText"/>
              <w:tabs>
                <w:tab w:val="left" w:pos="3306"/>
              </w:tabs>
              <w:rPr>
                <w:rFonts w:cs="Calibri"/>
                <w:b/>
                <w:bCs/>
              </w:rPr>
            </w:pPr>
            <w:r w:rsidRPr="00167B16">
              <w:rPr>
                <w:rFonts w:cs="Calibri"/>
                <w:b/>
                <w:bCs/>
              </w:rPr>
              <w:t>Closing Inventory at the End of the Financial Year</w:t>
            </w:r>
          </w:p>
        </w:tc>
        <w:tc>
          <w:tcPr>
            <w:tcW w:w="810" w:type="pct"/>
            <w:tcBorders>
              <w:top w:val="single" w:sz="4" w:space="0" w:color="auto"/>
              <w:left w:val="nil"/>
              <w:bottom w:val="double" w:sz="4" w:space="0" w:color="auto"/>
              <w:right w:val="nil"/>
            </w:tcBorders>
            <w:vAlign w:val="bottom"/>
          </w:tcPr>
          <w:p w14:paraId="13DB77EA"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5941955" w14:textId="77777777" w:rsidR="00092B55" w:rsidRPr="00167B16" w:rsidRDefault="00092B55" w:rsidP="00092B55">
            <w:pPr>
              <w:pStyle w:val="TableText"/>
              <w:tabs>
                <w:tab w:val="left" w:pos="3306"/>
              </w:tabs>
              <w:jc w:val="right"/>
              <w:rPr>
                <w:rFonts w:cs="Calibri"/>
                <w:b/>
                <w:bCs/>
              </w:rPr>
            </w:pPr>
          </w:p>
        </w:tc>
      </w:tr>
    </w:tbl>
    <w:p w14:paraId="578CD16D" w14:textId="77777777" w:rsidR="00F22D61" w:rsidRDefault="00F22D61">
      <w:r>
        <w:br w:type="page"/>
      </w:r>
    </w:p>
    <w:tbl>
      <w:tblPr>
        <w:tblW w:w="627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669"/>
        <w:gridCol w:w="1701"/>
        <w:gridCol w:w="1563"/>
        <w:gridCol w:w="1170"/>
        <w:gridCol w:w="1165"/>
      </w:tblGrid>
      <w:tr w:rsidR="00F22D61" w:rsidRPr="00CF7E1B" w14:paraId="29A5C269" w14:textId="77777777" w:rsidTr="005F5B4C">
        <w:trPr>
          <w:gridAfter w:val="2"/>
          <w:wAfter w:w="910" w:type="pct"/>
        </w:trPr>
        <w:tc>
          <w:tcPr>
            <w:tcW w:w="609" w:type="pct"/>
            <w:tcBorders>
              <w:top w:val="nil"/>
              <w:left w:val="single" w:sz="2" w:space="0" w:color="auto"/>
              <w:bottom w:val="nil"/>
              <w:right w:val="single" w:sz="2" w:space="0" w:color="auto"/>
            </w:tcBorders>
          </w:tcPr>
          <w:p w14:paraId="710C5C92" w14:textId="77777777" w:rsidR="00F22D61" w:rsidRPr="00167B16" w:rsidRDefault="00F22D61"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t>Reference</w:t>
            </w:r>
          </w:p>
        </w:tc>
        <w:tc>
          <w:tcPr>
            <w:tcW w:w="3481" w:type="pct"/>
            <w:gridSpan w:val="3"/>
            <w:tcBorders>
              <w:top w:val="nil"/>
              <w:left w:val="single" w:sz="2" w:space="0" w:color="auto"/>
              <w:bottom w:val="nil"/>
              <w:right w:val="nil"/>
            </w:tcBorders>
            <w:vAlign w:val="bottom"/>
          </w:tcPr>
          <w:p w14:paraId="024845AD" w14:textId="77777777" w:rsidR="00F22D61" w:rsidRPr="000C75E5" w:rsidRDefault="00F22D61" w:rsidP="00DA5473">
            <w:pPr>
              <w:pStyle w:val="Heading1"/>
              <w:numPr>
                <w:ilvl w:val="0"/>
                <w:numId w:val="0"/>
              </w:numPr>
            </w:pPr>
            <w:bookmarkStart w:id="596" w:name="_Toc98763118"/>
            <w:bookmarkStart w:id="597" w:name="_Toc127733853"/>
            <w:bookmarkStart w:id="598" w:name="_Toc131164505"/>
            <w:bookmarkStart w:id="599" w:name="_Toc131591770"/>
            <w:bookmarkStart w:id="600" w:name="_Toc132743805"/>
            <w:r w:rsidRPr="00167B16">
              <w:t>Note 17.</w:t>
            </w:r>
            <w:r>
              <w:t xml:space="preserve">  </w:t>
            </w:r>
            <w:r w:rsidRPr="00167B16">
              <w:t xml:space="preserve"> Inventories</w:t>
            </w:r>
            <w:r>
              <w:t xml:space="preserve"> – Continued</w:t>
            </w:r>
            <w:bookmarkEnd w:id="596"/>
            <w:bookmarkEnd w:id="597"/>
            <w:bookmarkEnd w:id="598"/>
            <w:bookmarkEnd w:id="599"/>
            <w:bookmarkEnd w:id="600"/>
            <w:r>
              <w:t xml:space="preserve"> </w:t>
            </w:r>
          </w:p>
        </w:tc>
      </w:tr>
      <w:tr w:rsidR="00F22D61" w:rsidRPr="00DD296A" w14:paraId="4F6D1A6E" w14:textId="77777777" w:rsidTr="00BD1DCB">
        <w:trPr>
          <w:gridAfter w:val="2"/>
          <w:wAfter w:w="910" w:type="pct"/>
          <w:trHeight w:val="23"/>
        </w:trPr>
        <w:tc>
          <w:tcPr>
            <w:tcW w:w="609" w:type="pct"/>
            <w:tcBorders>
              <w:top w:val="nil"/>
              <w:left w:val="single" w:sz="2" w:space="0" w:color="auto"/>
              <w:bottom w:val="nil"/>
              <w:right w:val="single" w:sz="2" w:space="0" w:color="auto"/>
            </w:tcBorders>
          </w:tcPr>
          <w:p w14:paraId="72F84250" w14:textId="77777777" w:rsidR="00F22D61" w:rsidRPr="00167B16" w:rsidRDefault="00F22D61" w:rsidP="00DA5473">
            <w:pPr>
              <w:pStyle w:val="TableReference"/>
              <w:tabs>
                <w:tab w:val="left" w:pos="3306"/>
              </w:tabs>
              <w:spacing w:before="40"/>
              <w:rPr>
                <w:rFonts w:cs="Calibri"/>
                <w:color w:val="7030A0"/>
                <w:sz w:val="16"/>
                <w:szCs w:val="16"/>
              </w:rPr>
            </w:pPr>
          </w:p>
        </w:tc>
        <w:tc>
          <w:tcPr>
            <w:tcW w:w="2209" w:type="pct"/>
            <w:tcBorders>
              <w:top w:val="nil"/>
              <w:left w:val="single" w:sz="2" w:space="0" w:color="auto"/>
              <w:bottom w:val="nil"/>
              <w:right w:val="nil"/>
            </w:tcBorders>
          </w:tcPr>
          <w:p w14:paraId="3914F0E6" w14:textId="77777777" w:rsidR="00F22D61" w:rsidRPr="00167B16" w:rsidRDefault="00F22D61" w:rsidP="00DA5473">
            <w:pPr>
              <w:pStyle w:val="TableText"/>
              <w:tabs>
                <w:tab w:val="left" w:pos="3306"/>
              </w:tabs>
              <w:rPr>
                <w:rFonts w:cs="Calibri"/>
                <w:b/>
                <w:bCs/>
              </w:rPr>
            </w:pPr>
            <w:r w:rsidRPr="00167B16">
              <w:rPr>
                <w:rFonts w:cs="Calibri"/>
                <w:b/>
                <w:bCs/>
              </w:rPr>
              <w:t xml:space="preserve"> </w:t>
            </w:r>
          </w:p>
        </w:tc>
        <w:tc>
          <w:tcPr>
            <w:tcW w:w="663" w:type="pct"/>
            <w:tcBorders>
              <w:top w:val="nil"/>
              <w:left w:val="nil"/>
              <w:bottom w:val="nil"/>
              <w:right w:val="nil"/>
            </w:tcBorders>
            <w:vAlign w:val="bottom"/>
          </w:tcPr>
          <w:p w14:paraId="736A6884" w14:textId="64890103" w:rsidR="00F22D61" w:rsidRPr="00167B16" w:rsidRDefault="00F22D61" w:rsidP="00DA5473">
            <w:pPr>
              <w:pStyle w:val="TableText"/>
              <w:tabs>
                <w:tab w:val="left" w:pos="3306"/>
              </w:tabs>
              <w:jc w:val="right"/>
              <w:rPr>
                <w:rFonts w:cs="Calibri"/>
                <w:b/>
                <w:bCs/>
              </w:rPr>
            </w:pPr>
            <w:r w:rsidRPr="00167B16">
              <w:rPr>
                <w:rFonts w:cs="Calibri"/>
                <w:b/>
                <w:bCs/>
              </w:rPr>
              <w:t>202</w:t>
            </w:r>
            <w:r w:rsidR="005A41B6">
              <w:rPr>
                <w:rFonts w:cs="Calibri"/>
                <w:b/>
                <w:bCs/>
              </w:rPr>
              <w:t>3</w:t>
            </w:r>
            <w:r w:rsidRPr="00167B16">
              <w:rPr>
                <w:rFonts w:cs="Calibri"/>
                <w:b/>
                <w:bCs/>
              </w:rPr>
              <w:t xml:space="preserve"> </w:t>
            </w:r>
          </w:p>
          <w:p w14:paraId="54387C4C"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c>
          <w:tcPr>
            <w:tcW w:w="609" w:type="pct"/>
            <w:tcBorders>
              <w:top w:val="nil"/>
              <w:left w:val="nil"/>
              <w:bottom w:val="nil"/>
              <w:right w:val="nil"/>
            </w:tcBorders>
            <w:vAlign w:val="bottom"/>
          </w:tcPr>
          <w:p w14:paraId="160562A1" w14:textId="3E4DED9B" w:rsidR="00F22D61" w:rsidRPr="00167B16" w:rsidRDefault="00F22D61" w:rsidP="00DA5473">
            <w:pPr>
              <w:pStyle w:val="TableText"/>
              <w:tabs>
                <w:tab w:val="left" w:pos="3306"/>
              </w:tabs>
              <w:jc w:val="right"/>
              <w:rPr>
                <w:rFonts w:cs="Calibri"/>
                <w:b/>
                <w:bCs/>
              </w:rPr>
            </w:pPr>
            <w:r w:rsidRPr="00167B16">
              <w:rPr>
                <w:rFonts w:cs="Calibri"/>
                <w:b/>
                <w:bCs/>
              </w:rPr>
              <w:t>202</w:t>
            </w:r>
            <w:r w:rsidR="005A41B6">
              <w:rPr>
                <w:rFonts w:cs="Calibri"/>
                <w:b/>
                <w:bCs/>
              </w:rPr>
              <w:t>2</w:t>
            </w:r>
          </w:p>
          <w:p w14:paraId="67A566FE"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r>
      <w:tr w:rsidR="00092B55" w:rsidRPr="007E0503" w14:paraId="5CCEADF5" w14:textId="77777777" w:rsidTr="005F5B4C">
        <w:trPr>
          <w:gridAfter w:val="2"/>
          <w:wAfter w:w="910" w:type="pct"/>
        </w:trPr>
        <w:tc>
          <w:tcPr>
            <w:tcW w:w="609" w:type="pct"/>
            <w:tcBorders>
              <w:top w:val="nil"/>
              <w:left w:val="single" w:sz="2" w:space="0" w:color="auto"/>
              <w:bottom w:val="nil"/>
              <w:right w:val="single" w:sz="2" w:space="0" w:color="auto"/>
            </w:tcBorders>
          </w:tcPr>
          <w:p w14:paraId="12626910" w14:textId="5E074271"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6465367E" w14:textId="77777777" w:rsidR="00092B55" w:rsidRPr="00167B16" w:rsidRDefault="00092B55" w:rsidP="00092B55">
            <w:pPr>
              <w:pStyle w:val="TableText"/>
              <w:tabs>
                <w:tab w:val="left" w:pos="3306"/>
              </w:tabs>
              <w:rPr>
                <w:rFonts w:cs="Calibri"/>
                <w:b/>
                <w:bCs/>
              </w:rPr>
            </w:pPr>
            <w:r w:rsidRPr="00167B16">
              <w:rPr>
                <w:rFonts w:cs="Calibri"/>
                <w:b/>
                <w:bCs/>
              </w:rPr>
              <w:t>Cost of Distribution</w:t>
            </w:r>
          </w:p>
        </w:tc>
        <w:tc>
          <w:tcPr>
            <w:tcW w:w="663" w:type="pct"/>
            <w:tcBorders>
              <w:top w:val="nil"/>
              <w:left w:val="nil"/>
              <w:bottom w:val="nil"/>
              <w:right w:val="nil"/>
            </w:tcBorders>
            <w:vAlign w:val="bottom"/>
          </w:tcPr>
          <w:p w14:paraId="19E87C02"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06EA125A" w14:textId="77777777" w:rsidR="00092B55" w:rsidRPr="00167B16" w:rsidRDefault="00092B55" w:rsidP="00092B55">
            <w:pPr>
              <w:pStyle w:val="TableText"/>
              <w:tabs>
                <w:tab w:val="left" w:pos="3306"/>
              </w:tabs>
              <w:jc w:val="right"/>
              <w:rPr>
                <w:rFonts w:cs="Calibri"/>
                <w:b/>
                <w:bCs/>
              </w:rPr>
            </w:pPr>
          </w:p>
        </w:tc>
      </w:tr>
      <w:tr w:rsidR="00092B55" w:rsidRPr="007E0503" w14:paraId="12CED9C6" w14:textId="77777777" w:rsidTr="005F5B4C">
        <w:trPr>
          <w:gridAfter w:val="2"/>
          <w:wAfter w:w="910" w:type="pct"/>
        </w:trPr>
        <w:tc>
          <w:tcPr>
            <w:tcW w:w="609" w:type="pct"/>
            <w:tcBorders>
              <w:top w:val="nil"/>
              <w:left w:val="single" w:sz="2" w:space="0" w:color="auto"/>
              <w:bottom w:val="nil"/>
              <w:right w:val="single" w:sz="2" w:space="0" w:color="auto"/>
            </w:tcBorders>
          </w:tcPr>
          <w:p w14:paraId="7FF470BC"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5F95C93E" w14:textId="2693CC74" w:rsidR="00092B55" w:rsidRPr="00167B16" w:rsidRDefault="00092B55" w:rsidP="00092B55">
            <w:pPr>
              <w:pStyle w:val="TableText"/>
              <w:tabs>
                <w:tab w:val="left" w:pos="3306"/>
              </w:tabs>
              <w:rPr>
                <w:rFonts w:cs="Calibri"/>
              </w:rPr>
            </w:pPr>
            <w:r w:rsidRPr="00167B16">
              <w:rPr>
                <w:rFonts w:cs="Calibri"/>
              </w:rPr>
              <w:t>Opening Inventory at the beginning of the Financial Year</w:t>
            </w:r>
          </w:p>
        </w:tc>
        <w:tc>
          <w:tcPr>
            <w:tcW w:w="663" w:type="pct"/>
            <w:tcBorders>
              <w:top w:val="nil"/>
              <w:left w:val="nil"/>
              <w:bottom w:val="nil"/>
              <w:right w:val="nil"/>
            </w:tcBorders>
            <w:vAlign w:val="bottom"/>
          </w:tcPr>
          <w:p w14:paraId="10562D90"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551E9F37" w14:textId="77777777" w:rsidR="00092B55" w:rsidRPr="00167B16" w:rsidRDefault="00092B55" w:rsidP="00092B55">
            <w:pPr>
              <w:pStyle w:val="TableText"/>
              <w:tabs>
                <w:tab w:val="left" w:pos="3306"/>
              </w:tabs>
              <w:jc w:val="right"/>
              <w:rPr>
                <w:rFonts w:cs="Calibri"/>
                <w:b/>
                <w:bCs/>
              </w:rPr>
            </w:pPr>
          </w:p>
        </w:tc>
      </w:tr>
      <w:tr w:rsidR="00092B55" w:rsidRPr="007E0503" w14:paraId="6842DE4B" w14:textId="77777777" w:rsidTr="005F5B4C">
        <w:trPr>
          <w:gridAfter w:val="2"/>
          <w:wAfter w:w="910" w:type="pct"/>
        </w:trPr>
        <w:tc>
          <w:tcPr>
            <w:tcW w:w="609" w:type="pct"/>
            <w:tcBorders>
              <w:top w:val="nil"/>
              <w:left w:val="single" w:sz="2" w:space="0" w:color="auto"/>
              <w:bottom w:val="nil"/>
              <w:right w:val="single" w:sz="2" w:space="0" w:color="auto"/>
            </w:tcBorders>
          </w:tcPr>
          <w:p w14:paraId="47D6968B"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0E5A1C74" w14:textId="096F0530"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w:t>
            </w:r>
            <w:r w:rsidR="00FF0A0E" w:rsidRPr="00167B16">
              <w:rPr>
                <w:rFonts w:cs="Calibri"/>
              </w:rPr>
              <w:t>Purchases</w:t>
            </w:r>
          </w:p>
        </w:tc>
        <w:tc>
          <w:tcPr>
            <w:tcW w:w="663" w:type="pct"/>
            <w:tcBorders>
              <w:top w:val="nil"/>
              <w:left w:val="nil"/>
              <w:bottom w:val="nil"/>
              <w:right w:val="nil"/>
            </w:tcBorders>
            <w:vAlign w:val="bottom"/>
          </w:tcPr>
          <w:p w14:paraId="32024C55"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1D372994" w14:textId="77777777" w:rsidR="00092B55" w:rsidRPr="00167B16" w:rsidRDefault="00092B55" w:rsidP="00092B55">
            <w:pPr>
              <w:pStyle w:val="TableText"/>
              <w:tabs>
                <w:tab w:val="left" w:pos="3306"/>
              </w:tabs>
              <w:jc w:val="right"/>
              <w:rPr>
                <w:rFonts w:cs="Calibri"/>
                <w:b/>
                <w:bCs/>
              </w:rPr>
            </w:pPr>
          </w:p>
        </w:tc>
      </w:tr>
      <w:tr w:rsidR="00092B55" w:rsidRPr="007E0503" w14:paraId="3CD38869" w14:textId="77777777" w:rsidTr="005F5B4C">
        <w:trPr>
          <w:gridAfter w:val="2"/>
          <w:wAfter w:w="910" w:type="pct"/>
        </w:trPr>
        <w:tc>
          <w:tcPr>
            <w:tcW w:w="609" w:type="pct"/>
            <w:tcBorders>
              <w:top w:val="nil"/>
              <w:left w:val="single" w:sz="2" w:space="0" w:color="auto"/>
              <w:bottom w:val="nil"/>
              <w:right w:val="single" w:sz="2" w:space="0" w:color="auto"/>
            </w:tcBorders>
          </w:tcPr>
          <w:p w14:paraId="121394DC" w14:textId="68EBCE93" w:rsidR="00092B55" w:rsidRPr="00167B16" w:rsidRDefault="00092B55" w:rsidP="00092B55">
            <w:pPr>
              <w:pStyle w:val="TableReference"/>
              <w:tabs>
                <w:tab w:val="left" w:pos="3306"/>
              </w:tabs>
              <w:spacing w:before="40"/>
              <w:rPr>
                <w:color w:val="7030A0"/>
                <w:sz w:val="14"/>
              </w:rPr>
            </w:pPr>
            <w:r w:rsidRPr="00167B16">
              <w:rPr>
                <w:color w:val="7030A0"/>
                <w:sz w:val="14"/>
              </w:rPr>
              <w:t>AASB 102.Aus 36.1(c)</w:t>
            </w:r>
          </w:p>
        </w:tc>
        <w:tc>
          <w:tcPr>
            <w:tcW w:w="2209" w:type="pct"/>
            <w:tcBorders>
              <w:top w:val="nil"/>
              <w:left w:val="single" w:sz="2" w:space="0" w:color="auto"/>
              <w:bottom w:val="nil"/>
              <w:right w:val="nil"/>
            </w:tcBorders>
          </w:tcPr>
          <w:p w14:paraId="1442753F" w14:textId="3E2FD3C9"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Cost of Distribution</w:t>
            </w:r>
          </w:p>
        </w:tc>
        <w:tc>
          <w:tcPr>
            <w:tcW w:w="663" w:type="pct"/>
            <w:tcBorders>
              <w:top w:val="nil"/>
              <w:left w:val="nil"/>
              <w:bottom w:val="single" w:sz="4" w:space="0" w:color="auto"/>
              <w:right w:val="nil"/>
            </w:tcBorders>
            <w:vAlign w:val="bottom"/>
          </w:tcPr>
          <w:p w14:paraId="5498A3A3"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single" w:sz="4" w:space="0" w:color="auto"/>
              <w:right w:val="nil"/>
            </w:tcBorders>
            <w:vAlign w:val="bottom"/>
          </w:tcPr>
          <w:p w14:paraId="7ECA956E" w14:textId="77777777" w:rsidR="00092B55" w:rsidRPr="00167B16" w:rsidRDefault="00092B55" w:rsidP="00092B55">
            <w:pPr>
              <w:pStyle w:val="TableText"/>
              <w:tabs>
                <w:tab w:val="left" w:pos="3306"/>
              </w:tabs>
              <w:jc w:val="right"/>
              <w:rPr>
                <w:rFonts w:cs="Calibri"/>
                <w:b/>
                <w:bCs/>
              </w:rPr>
            </w:pPr>
          </w:p>
        </w:tc>
      </w:tr>
      <w:tr w:rsidR="00092B55" w:rsidRPr="007E0503" w14:paraId="796DF762" w14:textId="77777777" w:rsidTr="005F5B4C">
        <w:trPr>
          <w:gridAfter w:val="2"/>
          <w:wAfter w:w="910" w:type="pct"/>
        </w:trPr>
        <w:tc>
          <w:tcPr>
            <w:tcW w:w="609" w:type="pct"/>
            <w:tcBorders>
              <w:top w:val="nil"/>
              <w:left w:val="single" w:sz="2" w:space="0" w:color="auto"/>
              <w:bottom w:val="nil"/>
              <w:right w:val="single" w:sz="2" w:space="0" w:color="auto"/>
            </w:tcBorders>
          </w:tcPr>
          <w:p w14:paraId="35D1846E"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tcPr>
          <w:p w14:paraId="41D23917" w14:textId="639004A6"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Loss of Service Potential</w:t>
            </w:r>
          </w:p>
        </w:tc>
        <w:tc>
          <w:tcPr>
            <w:tcW w:w="663" w:type="pct"/>
            <w:tcBorders>
              <w:top w:val="single" w:sz="4" w:space="0" w:color="auto"/>
              <w:left w:val="nil"/>
              <w:bottom w:val="single" w:sz="4" w:space="0" w:color="auto"/>
              <w:right w:val="nil"/>
            </w:tcBorders>
            <w:vAlign w:val="bottom"/>
          </w:tcPr>
          <w:p w14:paraId="38E50BFC"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single" w:sz="4" w:space="0" w:color="auto"/>
              <w:right w:val="nil"/>
            </w:tcBorders>
            <w:vAlign w:val="bottom"/>
          </w:tcPr>
          <w:p w14:paraId="46099A37" w14:textId="77777777" w:rsidR="00092B55" w:rsidRPr="00167B16" w:rsidRDefault="00092B55" w:rsidP="00092B55">
            <w:pPr>
              <w:pStyle w:val="TableText"/>
              <w:tabs>
                <w:tab w:val="left" w:pos="3306"/>
              </w:tabs>
              <w:jc w:val="right"/>
              <w:rPr>
                <w:rFonts w:cs="Calibri"/>
                <w:b/>
                <w:bCs/>
              </w:rPr>
            </w:pPr>
          </w:p>
        </w:tc>
      </w:tr>
      <w:tr w:rsidR="00092B55" w:rsidRPr="007E0503" w14:paraId="46B318BA" w14:textId="77777777" w:rsidTr="005F5B4C">
        <w:trPr>
          <w:gridAfter w:val="2"/>
          <w:wAfter w:w="910" w:type="pct"/>
        </w:trPr>
        <w:tc>
          <w:tcPr>
            <w:tcW w:w="609" w:type="pct"/>
            <w:tcBorders>
              <w:top w:val="nil"/>
              <w:left w:val="single" w:sz="2" w:space="0" w:color="auto"/>
              <w:bottom w:val="nil"/>
              <w:right w:val="single" w:sz="2" w:space="0" w:color="auto"/>
            </w:tcBorders>
          </w:tcPr>
          <w:p w14:paraId="24853DC6" w14:textId="78D044C9"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269F9B4A" w14:textId="2CB0B8FE" w:rsidR="00092B55" w:rsidRPr="00167B16" w:rsidRDefault="00092B55" w:rsidP="00092B55">
            <w:pPr>
              <w:pStyle w:val="TableText"/>
              <w:tabs>
                <w:tab w:val="left" w:pos="3306"/>
              </w:tabs>
              <w:rPr>
                <w:rFonts w:cs="Calibri"/>
              </w:rPr>
            </w:pPr>
            <w:r w:rsidRPr="00167B16">
              <w:rPr>
                <w:rFonts w:cs="Calibri"/>
                <w:b/>
                <w:bCs/>
              </w:rPr>
              <w:t>Closing Inventory at the End of the Financial Year</w:t>
            </w:r>
          </w:p>
        </w:tc>
        <w:tc>
          <w:tcPr>
            <w:tcW w:w="663" w:type="pct"/>
            <w:tcBorders>
              <w:top w:val="single" w:sz="4" w:space="0" w:color="auto"/>
              <w:left w:val="nil"/>
              <w:bottom w:val="double" w:sz="4" w:space="0" w:color="auto"/>
              <w:right w:val="nil"/>
            </w:tcBorders>
            <w:vAlign w:val="bottom"/>
          </w:tcPr>
          <w:p w14:paraId="54152EDD"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double" w:sz="4" w:space="0" w:color="auto"/>
              <w:right w:val="nil"/>
            </w:tcBorders>
            <w:vAlign w:val="bottom"/>
          </w:tcPr>
          <w:p w14:paraId="4BB3AAFA" w14:textId="77777777" w:rsidR="00092B55" w:rsidRPr="00167B16" w:rsidRDefault="00092B55" w:rsidP="00092B55">
            <w:pPr>
              <w:pStyle w:val="TableText"/>
              <w:tabs>
                <w:tab w:val="left" w:pos="3306"/>
              </w:tabs>
              <w:jc w:val="right"/>
              <w:rPr>
                <w:rFonts w:cs="Calibri"/>
                <w:b/>
                <w:bCs/>
              </w:rPr>
            </w:pPr>
          </w:p>
        </w:tc>
      </w:tr>
      <w:tr w:rsidR="00092B55" w:rsidRPr="00C54CE1" w14:paraId="531182E2" w14:textId="77777777" w:rsidTr="005F5B4C">
        <w:trPr>
          <w:gridAfter w:val="2"/>
          <w:wAfter w:w="910" w:type="pct"/>
        </w:trPr>
        <w:tc>
          <w:tcPr>
            <w:tcW w:w="609" w:type="pct"/>
            <w:tcBorders>
              <w:top w:val="nil"/>
              <w:left w:val="single" w:sz="2" w:space="0" w:color="auto"/>
              <w:bottom w:val="nil"/>
              <w:right w:val="single" w:sz="2" w:space="0" w:color="auto"/>
            </w:tcBorders>
          </w:tcPr>
          <w:p w14:paraId="5FC88497"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2A9379B6"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double" w:sz="4" w:space="0" w:color="auto"/>
              <w:left w:val="nil"/>
              <w:bottom w:val="nil"/>
              <w:right w:val="nil"/>
            </w:tcBorders>
            <w:vAlign w:val="bottom"/>
          </w:tcPr>
          <w:p w14:paraId="76B10152"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double" w:sz="4" w:space="0" w:color="auto"/>
              <w:left w:val="nil"/>
              <w:bottom w:val="nil"/>
              <w:right w:val="nil"/>
            </w:tcBorders>
            <w:vAlign w:val="bottom"/>
          </w:tcPr>
          <w:p w14:paraId="7F8CAE8E"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C54CE1" w14:paraId="5FCACC5C" w14:textId="77777777" w:rsidTr="005F5B4C">
        <w:trPr>
          <w:gridAfter w:val="2"/>
          <w:wAfter w:w="910" w:type="pct"/>
        </w:trPr>
        <w:tc>
          <w:tcPr>
            <w:tcW w:w="609" w:type="pct"/>
            <w:tcBorders>
              <w:top w:val="nil"/>
              <w:left w:val="single" w:sz="2" w:space="0" w:color="auto"/>
              <w:bottom w:val="nil"/>
              <w:right w:val="single" w:sz="2" w:space="0" w:color="auto"/>
            </w:tcBorders>
          </w:tcPr>
          <w:p w14:paraId="52C1A04E"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692FAC58"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nil"/>
              <w:left w:val="nil"/>
              <w:bottom w:val="nil"/>
              <w:right w:val="nil"/>
            </w:tcBorders>
            <w:vAlign w:val="bottom"/>
          </w:tcPr>
          <w:p w14:paraId="64F3AE44"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nil"/>
              <w:left w:val="nil"/>
              <w:bottom w:val="nil"/>
              <w:right w:val="nil"/>
            </w:tcBorders>
            <w:vAlign w:val="bottom"/>
          </w:tcPr>
          <w:p w14:paraId="73716208"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7E0503" w14:paraId="28045E05" w14:textId="77777777" w:rsidTr="005F5B4C">
        <w:trPr>
          <w:gridAfter w:val="2"/>
          <w:wAfter w:w="910" w:type="pct"/>
        </w:trPr>
        <w:tc>
          <w:tcPr>
            <w:tcW w:w="609" w:type="pct"/>
            <w:tcBorders>
              <w:top w:val="nil"/>
              <w:left w:val="single" w:sz="2" w:space="0" w:color="auto"/>
              <w:bottom w:val="nil"/>
              <w:right w:val="single" w:sz="2" w:space="0" w:color="auto"/>
            </w:tcBorders>
          </w:tcPr>
          <w:p w14:paraId="61D6F755" w14:textId="77777777" w:rsidR="00092B55" w:rsidRPr="00167B16" w:rsidRDefault="00092B55" w:rsidP="00092B55">
            <w:pPr>
              <w:pStyle w:val="TableReference"/>
              <w:tabs>
                <w:tab w:val="left" w:pos="3306"/>
              </w:tabs>
              <w:spacing w:before="40"/>
              <w:rPr>
                <w:rFonts w:cs="Calibri"/>
                <w:color w:val="7030A0"/>
                <w:sz w:val="14"/>
              </w:rPr>
            </w:pPr>
            <w:r w:rsidRPr="00167B16">
              <w:rPr>
                <w:color w:val="7030A0"/>
                <w:sz w:val="14"/>
              </w:rPr>
              <w:t>AASB 102.36(d)</w:t>
            </w:r>
          </w:p>
        </w:tc>
        <w:tc>
          <w:tcPr>
            <w:tcW w:w="2209" w:type="pct"/>
            <w:tcBorders>
              <w:top w:val="nil"/>
              <w:left w:val="single" w:sz="2" w:space="0" w:color="auto"/>
              <w:bottom w:val="nil"/>
              <w:right w:val="nil"/>
            </w:tcBorders>
            <w:vAlign w:val="bottom"/>
          </w:tcPr>
          <w:p w14:paraId="0EDB72EA" w14:textId="7A9A4D56" w:rsidR="00092B55" w:rsidRPr="00167B16" w:rsidRDefault="00092B55" w:rsidP="005A41B6">
            <w:pPr>
              <w:pStyle w:val="TableText"/>
              <w:tabs>
                <w:tab w:val="left" w:pos="3306"/>
              </w:tabs>
              <w:spacing w:after="360"/>
              <w:rPr>
                <w:rFonts w:cs="Calibri"/>
              </w:rPr>
            </w:pPr>
            <w:r w:rsidRPr="00167B16">
              <w:rPr>
                <w:rFonts w:cs="Calibri"/>
                <w:b/>
                <w:bCs/>
              </w:rPr>
              <w:t xml:space="preserve"> </w:t>
            </w:r>
            <w:r w:rsidRPr="00167B16">
              <w:rPr>
                <w:rFonts w:cs="Calibri"/>
              </w:rPr>
              <w:t>Cost of Sales and Distributions</w:t>
            </w:r>
          </w:p>
        </w:tc>
        <w:tc>
          <w:tcPr>
            <w:tcW w:w="663" w:type="pct"/>
            <w:tcBorders>
              <w:top w:val="nil"/>
              <w:left w:val="nil"/>
              <w:bottom w:val="nil"/>
              <w:right w:val="nil"/>
            </w:tcBorders>
            <w:vAlign w:val="bottom"/>
          </w:tcPr>
          <w:p w14:paraId="13D4383A"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4F7DCBE8" w14:textId="77777777" w:rsidR="00092B55" w:rsidRPr="00167B16" w:rsidRDefault="00092B55" w:rsidP="00092B55">
            <w:pPr>
              <w:pStyle w:val="TableText"/>
              <w:tabs>
                <w:tab w:val="left" w:pos="3306"/>
              </w:tabs>
              <w:jc w:val="right"/>
              <w:rPr>
                <w:rFonts w:cs="Calibri"/>
                <w:b/>
                <w:bCs/>
              </w:rPr>
            </w:pPr>
          </w:p>
        </w:tc>
      </w:tr>
      <w:tr w:rsidR="00B96250" w:rsidRPr="00DD296A" w14:paraId="2245B5AD"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2307F506" w14:textId="77777777" w:rsidR="00B96250" w:rsidRPr="00167B16" w:rsidRDefault="00B96250" w:rsidP="000159C3">
            <w:pPr>
              <w:pStyle w:val="TableReference"/>
              <w:tabs>
                <w:tab w:val="left" w:pos="3306"/>
              </w:tabs>
              <w:spacing w:before="240" w:after="2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034FAA52" w14:textId="4264FF3B" w:rsidR="00B96250" w:rsidRPr="00167B16" w:rsidRDefault="00B96250" w:rsidP="000159C3">
            <w:pPr>
              <w:pStyle w:val="CommentaryTitle"/>
              <w:spacing w:before="240" w:after="240"/>
              <w:rPr>
                <w:rFonts w:cs="Calibri"/>
                <w:color w:val="FFFFFF" w:themeColor="background1"/>
                <w:sz w:val="28"/>
                <w:szCs w:val="28"/>
              </w:rPr>
            </w:pPr>
            <w:bookmarkStart w:id="601" w:name="_Toc163106350"/>
            <w:r w:rsidRPr="00167B16">
              <w:rPr>
                <w:rFonts w:cs="Calibri"/>
                <w:color w:val="FFFFFF" w:themeColor="background1"/>
                <w:sz w:val="28"/>
                <w:szCs w:val="28"/>
              </w:rPr>
              <w:t xml:space="preserve">Commentary </w:t>
            </w:r>
            <w:r w:rsidRPr="00167B16">
              <w:rPr>
                <w:rFonts w:cs="Calibri"/>
                <w:color w:val="FFFFFF" w:themeColor="background1"/>
                <w:sz w:val="28"/>
                <w:szCs w:val="28"/>
              </w:rPr>
              <w:sym w:font="Symbol" w:char="F02D"/>
            </w:r>
            <w:r w:rsidRPr="00167B16">
              <w:rPr>
                <w:rFonts w:cs="Calibri"/>
                <w:color w:val="FFFFFF" w:themeColor="background1"/>
                <w:sz w:val="28"/>
                <w:szCs w:val="28"/>
              </w:rPr>
              <w:t xml:space="preserve"> Note </w:t>
            </w:r>
            <w:r w:rsidR="00762E7F" w:rsidRPr="00167B16">
              <w:rPr>
                <w:rFonts w:cs="Calibri"/>
                <w:color w:val="FFFFFF" w:themeColor="background1"/>
                <w:sz w:val="28"/>
                <w:szCs w:val="28"/>
              </w:rPr>
              <w:t>17</w:t>
            </w:r>
            <w:r w:rsidRPr="00167B16">
              <w:rPr>
                <w:rFonts w:cs="Calibri"/>
                <w:color w:val="FFFFFF" w:themeColor="background1"/>
                <w:sz w:val="28"/>
                <w:szCs w:val="28"/>
              </w:rPr>
              <w:t>: Inventories</w:t>
            </w:r>
            <w:bookmarkEnd w:id="601"/>
          </w:p>
        </w:tc>
      </w:tr>
      <w:tr w:rsidR="00B96250" w:rsidRPr="00DD296A" w14:paraId="26E02866" w14:textId="77777777" w:rsidTr="00CC1E25">
        <w:trPr>
          <w:gridAfter w:val="2"/>
          <w:wAfter w:w="910" w:type="pct"/>
          <w:trHeight w:val="253"/>
        </w:trPr>
        <w:tc>
          <w:tcPr>
            <w:tcW w:w="609" w:type="pct"/>
            <w:tcBorders>
              <w:top w:val="nil"/>
              <w:left w:val="single" w:sz="2" w:space="0" w:color="auto"/>
              <w:bottom w:val="nil"/>
              <w:right w:val="single" w:sz="2" w:space="0" w:color="auto"/>
            </w:tcBorders>
          </w:tcPr>
          <w:p w14:paraId="03BF1E6B" w14:textId="77777777" w:rsidR="00B96250" w:rsidRPr="00167B16" w:rsidRDefault="00B96250" w:rsidP="00C85383">
            <w:pPr>
              <w:pStyle w:val="TableReference"/>
              <w:tabs>
                <w:tab w:val="left" w:pos="3306"/>
              </w:tabs>
              <w:spacing w:before="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55FEB12E" w14:textId="77777777" w:rsidR="00B96250" w:rsidRPr="00C85383" w:rsidRDefault="00B9625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Definition</w:t>
            </w:r>
          </w:p>
        </w:tc>
      </w:tr>
      <w:tr w:rsidR="00B96250" w:rsidRPr="00DD296A" w14:paraId="3C2ED189"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007AA01C"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102.6</w:t>
            </w:r>
          </w:p>
        </w:tc>
        <w:tc>
          <w:tcPr>
            <w:tcW w:w="3481" w:type="pct"/>
            <w:gridSpan w:val="3"/>
            <w:tcBorders>
              <w:top w:val="nil"/>
              <w:left w:val="single" w:sz="2" w:space="0" w:color="auto"/>
              <w:bottom w:val="nil"/>
              <w:right w:val="nil"/>
            </w:tcBorders>
            <w:shd w:val="clear" w:color="auto" w:fill="7030A0"/>
            <w:vAlign w:val="bottom"/>
          </w:tcPr>
          <w:p w14:paraId="7B5CF77C" w14:textId="77777777" w:rsidR="00B96250" w:rsidRPr="00167B16" w:rsidRDefault="00B96250" w:rsidP="00CC1E25">
            <w:pPr>
              <w:pStyle w:val="CommentaryText"/>
              <w:rPr>
                <w:rFonts w:cs="Calibri"/>
                <w:color w:val="FFFFFF" w:themeColor="background1"/>
                <w:sz w:val="18"/>
                <w:szCs w:val="18"/>
              </w:rPr>
            </w:pPr>
            <w:r w:rsidRPr="00167B16">
              <w:rPr>
                <w:rFonts w:cs="Calibri"/>
                <w:color w:val="FFFFFF" w:themeColor="background1"/>
                <w:sz w:val="18"/>
                <w:szCs w:val="18"/>
              </w:rPr>
              <w:t>Inventories are assets:</w:t>
            </w:r>
          </w:p>
          <w:p w14:paraId="388F3B6C" w14:textId="77777777" w:rsidR="00B96250" w:rsidRPr="00167B16" w:rsidRDefault="00B96250" w:rsidP="00CB31DE">
            <w:pPr>
              <w:pStyle w:val="CommentaryText"/>
              <w:numPr>
                <w:ilvl w:val="0"/>
                <w:numId w:val="15"/>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sale in the ordinary course of business;</w:t>
            </w:r>
          </w:p>
          <w:p w14:paraId="69E7687C"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such sale; or</w:t>
            </w:r>
          </w:p>
          <w:p w14:paraId="6DA05D79" w14:textId="77777777" w:rsidR="00B96250" w:rsidRPr="00167B16" w:rsidRDefault="00B96250" w:rsidP="00CB31DE">
            <w:pPr>
              <w:pStyle w:val="CommentaryText"/>
              <w:numPr>
                <w:ilvl w:val="0"/>
                <w:numId w:val="17"/>
              </w:numPr>
              <w:tabs>
                <w:tab w:val="clear" w:pos="720"/>
                <w:tab w:val="num" w:pos="458"/>
                <w:tab w:val="left" w:pos="3306"/>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w:t>
            </w:r>
          </w:p>
        </w:tc>
      </w:tr>
      <w:tr w:rsidR="00B96250" w:rsidRPr="009315BB" w14:paraId="5E799D1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6B2941DE" w14:textId="77777777" w:rsidR="00B96250" w:rsidRPr="00167B16" w:rsidRDefault="00B96250" w:rsidP="00B96250">
            <w:pPr>
              <w:pStyle w:val="TableReference"/>
              <w:tabs>
                <w:tab w:val="left" w:pos="3306"/>
              </w:tabs>
              <w:spacing w:before="120"/>
              <w:rPr>
                <w:rFonts w:cs="Calibri"/>
                <w:color w:val="7030A0"/>
                <w:sz w:val="14"/>
              </w:rPr>
            </w:pPr>
            <w:r w:rsidRPr="00167B16">
              <w:rPr>
                <w:rFonts w:cs="Calibri"/>
                <w:color w:val="7030A0"/>
                <w:sz w:val="14"/>
              </w:rPr>
              <w:t>AASB 102.Aus 6.1</w:t>
            </w:r>
          </w:p>
        </w:tc>
        <w:tc>
          <w:tcPr>
            <w:tcW w:w="3481" w:type="pct"/>
            <w:gridSpan w:val="3"/>
            <w:tcBorders>
              <w:left w:val="single" w:sz="2" w:space="0" w:color="auto"/>
            </w:tcBorders>
            <w:shd w:val="clear" w:color="auto" w:fill="7030A0"/>
          </w:tcPr>
          <w:p w14:paraId="28D0DE55" w14:textId="77777777" w:rsidR="00B96250" w:rsidRPr="00167B16" w:rsidRDefault="00B96250" w:rsidP="00B96250">
            <w:pPr>
              <w:pStyle w:val="CommentaryText"/>
              <w:spacing w:before="120" w:after="0"/>
              <w:rPr>
                <w:rFonts w:cs="Calibri"/>
                <w:color w:val="FFFFFF" w:themeColor="background1"/>
                <w:sz w:val="18"/>
                <w:szCs w:val="18"/>
              </w:rPr>
            </w:pPr>
            <w:r w:rsidRPr="00167B16">
              <w:rPr>
                <w:rFonts w:cs="Calibri"/>
                <w:color w:val="FFFFFF" w:themeColor="background1"/>
                <w:sz w:val="18"/>
                <w:szCs w:val="18"/>
              </w:rPr>
              <w:t>Inventories held for distribution are assets:</w:t>
            </w:r>
          </w:p>
          <w:p w14:paraId="6FEE1FF1" w14:textId="77777777" w:rsidR="00B96250" w:rsidRPr="00167B16" w:rsidRDefault="00B96250" w:rsidP="00CB31DE">
            <w:pPr>
              <w:pStyle w:val="CommentaryText"/>
              <w:numPr>
                <w:ilvl w:val="0"/>
                <w:numId w:val="18"/>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distribution at no or nominal consideration in the ordinary course of operations;</w:t>
            </w:r>
          </w:p>
          <w:p w14:paraId="1D4C622E" w14:textId="77777777" w:rsidR="00B96250" w:rsidRPr="00167B16" w:rsidRDefault="00B96250" w:rsidP="00CB31DE">
            <w:pPr>
              <w:pStyle w:val="CommentaryText"/>
              <w:numPr>
                <w:ilvl w:val="0"/>
                <w:numId w:val="19"/>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distribution at no or nominal consideration in the ordinary course of operations; or</w:t>
            </w:r>
          </w:p>
          <w:p w14:paraId="165F3B7B"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 at no or nominal consideration.</w:t>
            </w:r>
          </w:p>
        </w:tc>
      </w:tr>
      <w:tr w:rsidR="00B96250" w:rsidRPr="009315BB" w14:paraId="5A8113D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A8BAF00"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4525E9A4" w14:textId="77777777" w:rsidR="00B96250" w:rsidRPr="00C85383" w:rsidRDefault="00B96250" w:rsidP="00CC1E25">
            <w:pPr>
              <w:autoSpaceDE w:val="0"/>
              <w:autoSpaceDN w:val="0"/>
              <w:adjustRightInd w:val="0"/>
              <w:spacing w:before="120" w:after="40"/>
              <w:rPr>
                <w:rFonts w:cs="Calibri"/>
                <w:b/>
                <w:color w:val="FFFFFF" w:themeColor="background1"/>
                <w:sz w:val="20"/>
                <w:szCs w:val="20"/>
              </w:rPr>
            </w:pPr>
            <w:r w:rsidRPr="00C85383">
              <w:rPr>
                <w:rFonts w:cs="Calibri"/>
                <w:b/>
                <w:color w:val="FFFFFF" w:themeColor="background1"/>
                <w:sz w:val="20"/>
                <w:szCs w:val="20"/>
              </w:rPr>
              <w:t>Measurement</w:t>
            </w:r>
          </w:p>
        </w:tc>
      </w:tr>
      <w:tr w:rsidR="00B96250" w:rsidRPr="009315BB" w14:paraId="7FB18D4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4E30216" w14:textId="686A4E1F"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102.9 &amp; Aus 9.1</w:t>
            </w:r>
          </w:p>
          <w:p w14:paraId="33D3DDCF" w14:textId="77777777" w:rsidR="00B96250" w:rsidRPr="00167B16" w:rsidRDefault="00B96250" w:rsidP="00B96250">
            <w:pPr>
              <w:pStyle w:val="TableReference"/>
              <w:tabs>
                <w:tab w:val="left" w:pos="3306"/>
              </w:tabs>
              <w:spacing w:before="60"/>
              <w:rPr>
                <w:rFonts w:cs="Calibri"/>
                <w:color w:val="7030A0"/>
                <w:sz w:val="14"/>
              </w:rPr>
            </w:pPr>
          </w:p>
          <w:p w14:paraId="61F1238A"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7AED6110" w14:textId="0F24F7B1" w:rsidR="00B96250" w:rsidRPr="00167B16" w:rsidRDefault="00B96250" w:rsidP="00B96250">
            <w:pPr>
              <w:pStyle w:val="TableText"/>
              <w:spacing w:before="0" w:after="120"/>
              <w:jc w:val="both"/>
              <w:rPr>
                <w:rFonts w:cs="Calibri"/>
                <w:color w:val="FFFFFF" w:themeColor="background1"/>
              </w:rPr>
            </w:pPr>
            <w:r w:rsidRPr="00167B16">
              <w:rPr>
                <w:rFonts w:cs="Calibri"/>
                <w:color w:val="FFFFFF" w:themeColor="background1"/>
              </w:rPr>
              <w:t xml:space="preserve">Under AASB 102 </w:t>
            </w:r>
            <w:r w:rsidRPr="00167B16">
              <w:rPr>
                <w:rFonts w:cs="Calibri"/>
                <w:i/>
                <w:color w:val="FFFFFF" w:themeColor="background1"/>
              </w:rPr>
              <w:t>Inventories</w:t>
            </w:r>
            <w:r w:rsidRPr="00167B16">
              <w:rPr>
                <w:rFonts w:cs="Calibri"/>
                <w:color w:val="FFFFFF" w:themeColor="background1"/>
              </w:rPr>
              <w:t>, inventories are to be measured at the lower of cost or net realisable value.</w:t>
            </w:r>
            <w:r w:rsidR="00FA7C77">
              <w:rPr>
                <w:rFonts w:cs="Calibri"/>
                <w:color w:val="FFFFFF" w:themeColor="background1"/>
              </w:rPr>
              <w:t xml:space="preserve"> </w:t>
            </w:r>
            <w:r w:rsidRPr="00167B16">
              <w:rPr>
                <w:rFonts w:cs="Calibri"/>
                <w:color w:val="FFFFFF" w:themeColor="background1"/>
              </w:rPr>
              <w:t>Not</w:t>
            </w:r>
            <w:r w:rsidRPr="00167B16">
              <w:rPr>
                <w:rFonts w:cs="Calibri"/>
                <w:color w:val="FFFFFF" w:themeColor="background1"/>
              </w:rPr>
              <w:noBreakHyphen/>
              <w:t>for-profit agencies with ‘inventories held for distribution’ are to measure them at cost, adjusted when applicable for any loss of service potential.</w:t>
            </w:r>
            <w:r w:rsidR="00FA7C77">
              <w:rPr>
                <w:rFonts w:cs="Calibri"/>
                <w:color w:val="FFFFFF" w:themeColor="background1"/>
              </w:rPr>
              <w:t xml:space="preserve"> </w:t>
            </w:r>
            <w:r w:rsidRPr="00167B16">
              <w:rPr>
                <w:rFonts w:cs="Calibri"/>
                <w:color w:val="FFFFFF" w:themeColor="background1"/>
              </w:rPr>
              <w:t>Agencies shall disclose the basis on which any loss of service potential of inventories held for distribution is assessed or the bases when more than one basis is used.</w:t>
            </w:r>
          </w:p>
        </w:tc>
      </w:tr>
      <w:tr w:rsidR="00B96250" w:rsidRPr="00DD296A" w14:paraId="0689E81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33E363D4" w14:textId="77777777" w:rsidR="00BD1DCB" w:rsidRDefault="00BD1DCB" w:rsidP="00B96250">
            <w:pPr>
              <w:pStyle w:val="TableReference"/>
              <w:tabs>
                <w:tab w:val="left" w:pos="3306"/>
              </w:tabs>
              <w:spacing w:before="60"/>
              <w:rPr>
                <w:rFonts w:cs="Calibri"/>
                <w:color w:val="7030A0"/>
                <w:sz w:val="14"/>
              </w:rPr>
            </w:pPr>
          </w:p>
          <w:p w14:paraId="0ACFC20D" w14:textId="49148948"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102.36(b) &amp; Aus 36.1(b)</w:t>
            </w:r>
          </w:p>
          <w:p w14:paraId="5F542C6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102.37</w:t>
            </w:r>
          </w:p>
        </w:tc>
        <w:tc>
          <w:tcPr>
            <w:tcW w:w="3481" w:type="pct"/>
            <w:gridSpan w:val="3"/>
            <w:tcBorders>
              <w:left w:val="single" w:sz="2" w:space="0" w:color="auto"/>
            </w:tcBorders>
            <w:shd w:val="clear" w:color="auto" w:fill="7030A0"/>
          </w:tcPr>
          <w:p w14:paraId="03AE197D" w14:textId="1E40E298" w:rsidR="00BD1DCB" w:rsidRDefault="00BD1DCB" w:rsidP="00CC1E25">
            <w:pPr>
              <w:pStyle w:val="CommentaryText"/>
              <w:tabs>
                <w:tab w:val="left" w:pos="3306"/>
              </w:tabs>
              <w:spacing w:after="40"/>
              <w:rPr>
                <w:rFonts w:cs="Calibri"/>
                <w:color w:val="FFFFFF" w:themeColor="background1"/>
                <w:sz w:val="18"/>
                <w:szCs w:val="18"/>
              </w:rPr>
            </w:pPr>
            <w:r w:rsidRPr="00C85383">
              <w:rPr>
                <w:rFonts w:cs="Calibri"/>
                <w:b/>
                <w:color w:val="FFFFFF" w:themeColor="background1"/>
                <w:szCs w:val="20"/>
              </w:rPr>
              <w:t>Classification</w:t>
            </w:r>
          </w:p>
          <w:p w14:paraId="3B38A11F" w14:textId="7EC5C1F0" w:rsidR="00B96250" w:rsidRPr="00167B16" w:rsidRDefault="00B96250" w:rsidP="00B96250">
            <w:pPr>
              <w:pStyle w:val="CommentaryText"/>
              <w:tabs>
                <w:tab w:val="left" w:pos="3306"/>
              </w:tabs>
              <w:spacing w:after="0"/>
              <w:rPr>
                <w:rFonts w:cs="Calibri"/>
                <w:color w:val="FFFFFF" w:themeColor="background1"/>
                <w:sz w:val="18"/>
                <w:szCs w:val="18"/>
              </w:rPr>
            </w:pPr>
            <w:r w:rsidRPr="00167B16">
              <w:rPr>
                <w:rFonts w:cs="Calibri"/>
                <w:color w:val="FFFFFF" w:themeColor="background1"/>
                <w:sz w:val="18"/>
                <w:szCs w:val="18"/>
              </w:rPr>
              <w:t>AASB 102 states that each category of inventories should be further sub-classified in a manner appropriate to the agency’s operations.</w:t>
            </w:r>
            <w:r w:rsidR="00FA7C77">
              <w:rPr>
                <w:rFonts w:cs="Calibri"/>
                <w:color w:val="FFFFFF" w:themeColor="background1"/>
                <w:sz w:val="18"/>
                <w:szCs w:val="18"/>
              </w:rPr>
              <w:t xml:space="preserve"> </w:t>
            </w:r>
            <w:r w:rsidRPr="00167B16">
              <w:rPr>
                <w:rFonts w:cs="Calibri"/>
                <w:color w:val="FFFFFF" w:themeColor="background1"/>
                <w:sz w:val="18"/>
                <w:szCs w:val="18"/>
              </w:rPr>
              <w:t>Common sub-classifications are merchandise, production supplies, raw materials, work in progress and finished goods.</w:t>
            </w:r>
          </w:p>
        </w:tc>
      </w:tr>
      <w:tr w:rsidR="00B96250" w:rsidRPr="00DD296A" w14:paraId="54A9D21E"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399C5A5"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403E7A" w14:textId="77777777" w:rsidR="00B96250" w:rsidRPr="00C85383" w:rsidRDefault="00B96250" w:rsidP="00CC1E25">
            <w:pPr>
              <w:pStyle w:val="CommentaryText"/>
              <w:tabs>
                <w:tab w:val="left" w:pos="3306"/>
              </w:tabs>
              <w:spacing w:before="120" w:after="40"/>
              <w:rPr>
                <w:rFonts w:cs="Calibri"/>
                <w:b/>
                <w:color w:val="FFFFFF" w:themeColor="background1"/>
                <w:szCs w:val="20"/>
              </w:rPr>
            </w:pPr>
            <w:r w:rsidRPr="00C85383">
              <w:rPr>
                <w:rFonts w:cs="Calibri"/>
                <w:b/>
                <w:color w:val="FFFFFF" w:themeColor="background1"/>
                <w:szCs w:val="20"/>
              </w:rPr>
              <w:t>Inventories Pledged as Security</w:t>
            </w:r>
          </w:p>
        </w:tc>
      </w:tr>
      <w:tr w:rsidR="00B96250" w:rsidRPr="00DD296A" w14:paraId="33DE67D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741"/>
        </w:trPr>
        <w:tc>
          <w:tcPr>
            <w:tcW w:w="609" w:type="pct"/>
            <w:tcBorders>
              <w:left w:val="single" w:sz="2" w:space="0" w:color="auto"/>
              <w:right w:val="single" w:sz="2" w:space="0" w:color="auto"/>
            </w:tcBorders>
          </w:tcPr>
          <w:p w14:paraId="11EEB63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102.36(h) &amp; Aus 36.1(g)</w:t>
            </w:r>
          </w:p>
        </w:tc>
        <w:tc>
          <w:tcPr>
            <w:tcW w:w="3481" w:type="pct"/>
            <w:gridSpan w:val="3"/>
            <w:tcBorders>
              <w:left w:val="single" w:sz="2" w:space="0" w:color="auto"/>
            </w:tcBorders>
            <w:shd w:val="clear" w:color="auto" w:fill="7030A0"/>
          </w:tcPr>
          <w:p w14:paraId="0DD15CB6" w14:textId="6D209970" w:rsidR="00B96250" w:rsidRPr="00167B16" w:rsidRDefault="00B96250" w:rsidP="00C54CE1">
            <w:pPr>
              <w:pStyle w:val="CommentaryText"/>
              <w:tabs>
                <w:tab w:val="left" w:pos="3306"/>
              </w:tabs>
              <w:spacing w:after="60"/>
              <w:rPr>
                <w:rFonts w:cs="Calibri"/>
                <w:color w:val="FFFFFF" w:themeColor="background1"/>
                <w:sz w:val="18"/>
                <w:szCs w:val="18"/>
              </w:rPr>
            </w:pPr>
            <w:r w:rsidRPr="00167B16">
              <w:rPr>
                <w:rFonts w:cs="Calibri"/>
                <w:color w:val="FFFFFF" w:themeColor="background1"/>
                <w:sz w:val="18"/>
                <w:szCs w:val="18"/>
              </w:rPr>
              <w:t>AASB 102 also requires specific disclosure of the carrying amount of inventories pledged specifically and separately from other assets of the agency as security for liabilities, and the nature of the security.</w:t>
            </w:r>
            <w:r w:rsidR="00FA7C77">
              <w:rPr>
                <w:rFonts w:cs="Calibri"/>
                <w:color w:val="FFFFFF" w:themeColor="background1"/>
                <w:sz w:val="18"/>
                <w:szCs w:val="18"/>
              </w:rPr>
              <w:t xml:space="preserve"> </w:t>
            </w:r>
            <w:r w:rsidRPr="00167B16">
              <w:rPr>
                <w:rFonts w:cs="Calibri"/>
                <w:color w:val="FFFFFF" w:themeColor="background1"/>
                <w:sz w:val="18"/>
                <w:szCs w:val="18"/>
              </w:rPr>
              <w:t>This is also required where an agency holds ‘inventories held for distribution’.</w:t>
            </w:r>
          </w:p>
        </w:tc>
      </w:tr>
      <w:tr w:rsidR="00FC69F0" w:rsidRPr="00DD296A" w14:paraId="0D689334" w14:textId="6BCB2216"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609" w:type="pct"/>
            <w:tcBorders>
              <w:left w:val="single" w:sz="2" w:space="0" w:color="auto"/>
              <w:right w:val="single" w:sz="2" w:space="0" w:color="auto"/>
            </w:tcBorders>
          </w:tcPr>
          <w:p w14:paraId="2FE33A1A" w14:textId="77777777" w:rsidR="00FC69F0" w:rsidRPr="00167B16" w:rsidRDefault="00FC69F0"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vAlign w:val="bottom"/>
          </w:tcPr>
          <w:p w14:paraId="3B38CEF6" w14:textId="74164D4B" w:rsidR="00FC69F0" w:rsidRPr="00C85383" w:rsidRDefault="00FC69F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 xml:space="preserve">Cost </w:t>
            </w:r>
            <w:r w:rsidR="00C54CE1" w:rsidRPr="00C85383">
              <w:rPr>
                <w:rFonts w:cs="Calibri"/>
                <w:b/>
                <w:color w:val="FFFFFF" w:themeColor="background1"/>
                <w:szCs w:val="20"/>
              </w:rPr>
              <w:t xml:space="preserve">of </w:t>
            </w:r>
            <w:r w:rsidRPr="00C85383">
              <w:rPr>
                <w:rFonts w:cs="Calibri"/>
                <w:b/>
                <w:color w:val="FFFFFF" w:themeColor="background1"/>
                <w:szCs w:val="20"/>
              </w:rPr>
              <w:t>S</w:t>
            </w:r>
            <w:r w:rsidR="00C54CE1" w:rsidRPr="00C85383">
              <w:rPr>
                <w:rFonts w:cs="Calibri"/>
                <w:b/>
                <w:color w:val="FFFFFF" w:themeColor="background1"/>
                <w:szCs w:val="20"/>
              </w:rPr>
              <w:t>ales</w:t>
            </w:r>
            <w:r w:rsidRPr="00C85383">
              <w:rPr>
                <w:rFonts w:cs="Calibri"/>
                <w:b/>
                <w:color w:val="FFFFFF" w:themeColor="background1"/>
                <w:szCs w:val="20"/>
              </w:rPr>
              <w:t xml:space="preserve"> </w:t>
            </w:r>
          </w:p>
        </w:tc>
        <w:tc>
          <w:tcPr>
            <w:tcW w:w="456" w:type="pct"/>
            <w:vAlign w:val="bottom"/>
          </w:tcPr>
          <w:p w14:paraId="6AE79D5A" w14:textId="77777777" w:rsidR="00FC69F0" w:rsidRPr="00DD296A" w:rsidRDefault="00FC69F0" w:rsidP="00FC69F0"/>
        </w:tc>
        <w:tc>
          <w:tcPr>
            <w:tcW w:w="454" w:type="pct"/>
            <w:vAlign w:val="bottom"/>
          </w:tcPr>
          <w:p w14:paraId="528C6D2C" w14:textId="77777777" w:rsidR="00FC69F0" w:rsidRPr="00DD296A" w:rsidRDefault="00FC69F0" w:rsidP="00FC69F0"/>
        </w:tc>
      </w:tr>
      <w:tr w:rsidR="00FC69F0" w:rsidRPr="00DD296A" w14:paraId="6D7843F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03068ADC" w14:textId="607B8BA4" w:rsidR="00FC69F0" w:rsidRPr="00167B16" w:rsidRDefault="00FC69F0" w:rsidP="00FC69F0">
            <w:pPr>
              <w:pStyle w:val="TableReference"/>
              <w:tabs>
                <w:tab w:val="left" w:pos="3306"/>
              </w:tabs>
              <w:spacing w:before="60"/>
              <w:rPr>
                <w:rFonts w:cs="Calibri"/>
                <w:color w:val="7030A0"/>
                <w:sz w:val="14"/>
              </w:rPr>
            </w:pPr>
            <w:r w:rsidRPr="00167B16">
              <w:rPr>
                <w:rFonts w:cs="Calibri"/>
                <w:color w:val="7030A0"/>
                <w:sz w:val="14"/>
              </w:rPr>
              <w:t>AASB 102.38</w:t>
            </w:r>
          </w:p>
        </w:tc>
        <w:tc>
          <w:tcPr>
            <w:tcW w:w="3481" w:type="pct"/>
            <w:gridSpan w:val="3"/>
            <w:tcBorders>
              <w:left w:val="single" w:sz="2" w:space="0" w:color="auto"/>
            </w:tcBorders>
            <w:shd w:val="clear" w:color="auto" w:fill="7030A0"/>
          </w:tcPr>
          <w:p w14:paraId="2D09D68A" w14:textId="7EA8FACD" w:rsidR="00FC69F0" w:rsidRPr="00167B16" w:rsidRDefault="00FC69F0" w:rsidP="00FC69F0">
            <w:pPr>
              <w:pStyle w:val="CommentaryText"/>
              <w:tabs>
                <w:tab w:val="left" w:pos="3306"/>
              </w:tabs>
              <w:rPr>
                <w:rFonts w:cs="Calibri"/>
                <w:color w:val="FFFFFF" w:themeColor="background1"/>
                <w:sz w:val="18"/>
                <w:szCs w:val="18"/>
              </w:rPr>
            </w:pPr>
            <w:r w:rsidRPr="00167B16">
              <w:rPr>
                <w:color w:val="FFFFFF" w:themeColor="background1"/>
                <w:sz w:val="18"/>
                <w:szCs w:val="18"/>
              </w:rPr>
              <w:t>Cost of sales generally consists of those costs previously included in the measurement of inventory that has now been sold and unallocated production overheads and abnormal amounts of production costs of inventories. The circumstances of the entity may also warrant the inclusion of other amounts, such as distribution costs.</w:t>
            </w:r>
          </w:p>
        </w:tc>
      </w:tr>
      <w:tr w:rsidR="00C54CE1" w:rsidRPr="00DD296A" w14:paraId="26DA07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92"/>
        </w:trPr>
        <w:tc>
          <w:tcPr>
            <w:tcW w:w="609" w:type="pct"/>
            <w:tcBorders>
              <w:left w:val="single" w:sz="2" w:space="0" w:color="auto"/>
              <w:right w:val="single" w:sz="2" w:space="0" w:color="auto"/>
            </w:tcBorders>
          </w:tcPr>
          <w:p w14:paraId="56F19317"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0CA4BC57" w14:textId="2EFB378B" w:rsidR="00C54CE1" w:rsidRPr="00C85383" w:rsidRDefault="00C54CE1" w:rsidP="00CC1E25">
            <w:pPr>
              <w:pStyle w:val="CommentaryText"/>
              <w:tabs>
                <w:tab w:val="left" w:pos="3306"/>
              </w:tabs>
              <w:spacing w:after="40"/>
              <w:rPr>
                <w:color w:val="FFFFFF" w:themeColor="background1"/>
                <w:szCs w:val="20"/>
              </w:rPr>
            </w:pPr>
            <w:r w:rsidRPr="00C85383">
              <w:rPr>
                <w:rFonts w:cs="Calibri"/>
                <w:b/>
                <w:bCs/>
                <w:color w:val="FFFFFF" w:themeColor="background1"/>
                <w:szCs w:val="20"/>
              </w:rPr>
              <w:t>Territory Authority Commentary</w:t>
            </w:r>
          </w:p>
        </w:tc>
      </w:tr>
      <w:tr w:rsidR="00C54CE1" w:rsidRPr="00DD296A" w14:paraId="6E24A45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952EED8"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A1AADC" w14:textId="6B7B0082" w:rsidR="00C54CE1" w:rsidRPr="00167B16" w:rsidRDefault="00C54CE1" w:rsidP="00C54CE1">
            <w:pPr>
              <w:pStyle w:val="CommentaryText"/>
              <w:tabs>
                <w:tab w:val="left" w:pos="3306"/>
              </w:tabs>
              <w:rPr>
                <w:color w:val="FFFFFF" w:themeColor="background1"/>
                <w:sz w:val="18"/>
                <w:szCs w:val="18"/>
              </w:rPr>
            </w:pPr>
            <w:r w:rsidRPr="00167B16">
              <w:rPr>
                <w:color w:val="FFFFFF" w:themeColor="background1"/>
                <w:sz w:val="18"/>
                <w:szCs w:val="18"/>
              </w:rPr>
              <w:t>For-profit territory authorities that possess ‘inventories held for distribution’ will need to measure them at the lower of cost or net realisable value, rather than at cost adjusted for any service loss potential, as the latter option only applies to not-for-profit agencies.</w:t>
            </w:r>
          </w:p>
        </w:tc>
      </w:tr>
    </w:tbl>
    <w:p w14:paraId="79A184CE" w14:textId="64107491" w:rsidR="006C2C39" w:rsidRDefault="006C2C39" w:rsidP="00360217">
      <w:pPr>
        <w:pStyle w:val="Header"/>
        <w:rPr>
          <w:rFonts w:cs="Calibri"/>
          <w:sz w:val="20"/>
          <w:szCs w:val="20"/>
        </w:rPr>
      </w:pPr>
    </w:p>
    <w:p w14:paraId="6654C1F4" w14:textId="77777777" w:rsidR="006C2C39" w:rsidRDefault="006C2C39">
      <w:pPr>
        <w:rPr>
          <w:rFonts w:cs="Calibri"/>
          <w:sz w:val="20"/>
          <w:szCs w:val="20"/>
        </w:rPr>
      </w:pPr>
      <w:r>
        <w:rPr>
          <w:rFonts w:cs="Calibri"/>
          <w:sz w:val="20"/>
          <w:szCs w:val="20"/>
        </w:rPr>
        <w:br w:type="page"/>
      </w:r>
    </w:p>
    <w:tbl>
      <w:tblPr>
        <w:tblW w:w="524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2"/>
        <w:gridCol w:w="5251"/>
        <w:gridCol w:w="236"/>
        <w:gridCol w:w="750"/>
        <w:gridCol w:w="6"/>
        <w:gridCol w:w="231"/>
        <w:gridCol w:w="307"/>
        <w:gridCol w:w="24"/>
        <w:gridCol w:w="560"/>
        <w:gridCol w:w="154"/>
        <w:gridCol w:w="672"/>
        <w:gridCol w:w="747"/>
        <w:gridCol w:w="7"/>
        <w:gridCol w:w="230"/>
      </w:tblGrid>
      <w:tr w:rsidR="000E568E" w:rsidRPr="00CF7E1B" w14:paraId="365195E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4470C3AE" w14:textId="77777777" w:rsidR="000E568E" w:rsidRPr="00AD586B" w:rsidRDefault="00DD296A" w:rsidP="005D26A0">
            <w:pPr>
              <w:pStyle w:val="TableReference"/>
              <w:tabs>
                <w:tab w:val="left" w:pos="3306"/>
              </w:tabs>
              <w:spacing w:before="240" w:after="240"/>
              <w:rPr>
                <w:rFonts w:cs="Calibri"/>
                <w:b/>
                <w:color w:val="7030A0"/>
                <w:sz w:val="22"/>
                <w:szCs w:val="22"/>
              </w:rPr>
            </w:pPr>
            <w:bookmarkStart w:id="602" w:name="AssetsHeldforSale" w:colFirst="1" w:colLast="1"/>
            <w:r w:rsidRPr="00AD586B">
              <w:rPr>
                <w:rFonts w:cs="Calibri"/>
                <w:b/>
                <w:color w:val="7030A0"/>
                <w:sz w:val="22"/>
                <w:szCs w:val="22"/>
              </w:rPr>
              <w:t>Reference</w:t>
            </w:r>
          </w:p>
        </w:tc>
        <w:tc>
          <w:tcPr>
            <w:tcW w:w="4169" w:type="pct"/>
            <w:gridSpan w:val="12"/>
            <w:tcBorders>
              <w:top w:val="nil"/>
              <w:left w:val="single" w:sz="4" w:space="0" w:color="auto"/>
              <w:bottom w:val="nil"/>
              <w:right w:val="nil"/>
            </w:tcBorders>
          </w:tcPr>
          <w:p w14:paraId="350FB2F8" w14:textId="461B72B6" w:rsidR="000E568E" w:rsidRPr="00167B16" w:rsidRDefault="00F73636" w:rsidP="00AD586B">
            <w:pPr>
              <w:pStyle w:val="Heading1"/>
              <w:numPr>
                <w:ilvl w:val="0"/>
                <w:numId w:val="0"/>
              </w:numPr>
            </w:pPr>
            <w:bookmarkStart w:id="603" w:name="OLE_LINK15"/>
            <w:bookmarkStart w:id="604" w:name="_Toc400627343"/>
            <w:bookmarkStart w:id="605" w:name="_Toc132743806"/>
            <w:r w:rsidRPr="00167B16">
              <w:t>Note</w:t>
            </w:r>
            <w:r w:rsidR="004A1911" w:rsidRPr="00167B16">
              <w:t xml:space="preserve"> </w:t>
            </w:r>
            <w:r w:rsidR="00762E7F" w:rsidRPr="00167B16">
              <w:t>18</w:t>
            </w:r>
            <w:r w:rsidR="003E53DD" w:rsidRPr="00167B16">
              <w:t>.</w:t>
            </w:r>
            <w:r w:rsidR="00FA7C77">
              <w:t xml:space="preserve"> </w:t>
            </w:r>
            <w:r w:rsidR="00ED39F2" w:rsidRPr="00167B16">
              <w:t xml:space="preserve"> </w:t>
            </w:r>
            <w:r w:rsidR="00DE622C" w:rsidRPr="00167B16">
              <w:t>Non</w:t>
            </w:r>
            <w:r w:rsidR="00BC0E47" w:rsidRPr="00167B16">
              <w:t xml:space="preserve">–Current </w:t>
            </w:r>
            <w:r w:rsidR="000E568E" w:rsidRPr="00167B16">
              <w:t>Assets Held For Sale</w:t>
            </w:r>
            <w:bookmarkEnd w:id="603"/>
            <w:bookmarkEnd w:id="604"/>
            <w:bookmarkEnd w:id="605"/>
          </w:p>
        </w:tc>
      </w:tr>
      <w:tr w:rsidR="00B471E0" w:rsidRPr="00CF7E1B" w14:paraId="3330BD0C"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856603D" w14:textId="77777777" w:rsidR="00B471E0" w:rsidRPr="00AD586B" w:rsidRDefault="00B471E0" w:rsidP="00B471E0">
            <w:pPr>
              <w:pStyle w:val="TableReference"/>
              <w:rPr>
                <w:rFonts w:cs="Calibri"/>
                <w:color w:val="7030A0"/>
                <w:sz w:val="16"/>
                <w:szCs w:val="16"/>
              </w:rPr>
            </w:pPr>
          </w:p>
        </w:tc>
        <w:tc>
          <w:tcPr>
            <w:tcW w:w="4169" w:type="pct"/>
            <w:gridSpan w:val="12"/>
            <w:tcBorders>
              <w:top w:val="nil"/>
              <w:left w:val="single" w:sz="4" w:space="0" w:color="auto"/>
              <w:bottom w:val="nil"/>
              <w:right w:val="nil"/>
            </w:tcBorders>
          </w:tcPr>
          <w:p w14:paraId="44B6C858" w14:textId="7CB27C91" w:rsidR="00B471E0" w:rsidRPr="006D1C79" w:rsidRDefault="004F40F6" w:rsidP="006D1C79">
            <w:pPr>
              <w:jc w:val="both"/>
              <w:rPr>
                <w:b/>
                <w:bCs/>
                <w:sz w:val="18"/>
                <w:szCs w:val="18"/>
              </w:rPr>
            </w:pPr>
            <w:r w:rsidRPr="006D1C79">
              <w:rPr>
                <w:b/>
                <w:bCs/>
                <w:sz w:val="18"/>
                <w:szCs w:val="18"/>
              </w:rPr>
              <w:t>Description and Material Accounting Policies Relating to Non-Current Assets Held for Sale</w:t>
            </w:r>
          </w:p>
        </w:tc>
      </w:tr>
      <w:bookmarkEnd w:id="602"/>
      <w:tr w:rsidR="00F9541D" w:rsidRPr="00CF7E1B" w14:paraId="22F4C82F"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2EFC502" w14:textId="77777777" w:rsidR="00F9541D" w:rsidRPr="00AD586B" w:rsidRDefault="00F9541D">
            <w:pPr>
              <w:pStyle w:val="TableReference"/>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41</w:t>
            </w:r>
          </w:p>
        </w:tc>
        <w:tc>
          <w:tcPr>
            <w:tcW w:w="4169" w:type="pct"/>
            <w:gridSpan w:val="12"/>
            <w:tcBorders>
              <w:top w:val="nil"/>
              <w:left w:val="single" w:sz="4" w:space="0" w:color="auto"/>
              <w:bottom w:val="nil"/>
              <w:right w:val="nil"/>
            </w:tcBorders>
            <w:vAlign w:val="bottom"/>
          </w:tcPr>
          <w:p w14:paraId="7365C99F" w14:textId="697AB261" w:rsidR="00F9541D" w:rsidRPr="00167B16" w:rsidRDefault="00F9541D" w:rsidP="00423AC2">
            <w:pPr>
              <w:pStyle w:val="TableText"/>
              <w:spacing w:before="0"/>
              <w:jc w:val="both"/>
              <w:rPr>
                <w:rFonts w:cs="Calibri"/>
              </w:rPr>
            </w:pPr>
            <w:r w:rsidRPr="00167B16">
              <w:rPr>
                <w:rFonts w:cs="Calibri"/>
              </w:rPr>
              <w:t xml:space="preserve">The </w:t>
            </w:r>
            <w:r w:rsidR="003C497C" w:rsidRPr="00167B16">
              <w:rPr>
                <w:rFonts w:cs="Calibri"/>
              </w:rPr>
              <w:t>Agency</w:t>
            </w:r>
            <w:r w:rsidRPr="00167B16">
              <w:rPr>
                <w:rFonts w:cs="Calibri"/>
              </w:rPr>
              <w:t xml:space="preserve"> has </w:t>
            </w:r>
            <w:r w:rsidR="00A72190">
              <w:rPr>
                <w:rFonts w:cs="Calibri"/>
              </w:rPr>
              <w:t>three</w:t>
            </w:r>
            <w:r w:rsidRPr="00167B16">
              <w:rPr>
                <w:rFonts w:cs="Calibri"/>
              </w:rPr>
              <w:t xml:space="preserve"> investment properties that are expected to be sold during the middle of </w:t>
            </w:r>
            <w:r w:rsidR="000F26CE" w:rsidRPr="00167B16">
              <w:rPr>
                <w:rFonts w:cs="Calibri"/>
              </w:rPr>
              <w:t xml:space="preserve">the </w:t>
            </w:r>
            <w:r w:rsidRPr="00167B16">
              <w:rPr>
                <w:rFonts w:cs="Calibri"/>
              </w:rPr>
              <w:t xml:space="preserve">next </w:t>
            </w:r>
            <w:r w:rsidR="00582C5C" w:rsidRPr="00167B16">
              <w:rPr>
                <w:rFonts w:cs="Calibri"/>
              </w:rPr>
              <w:t>r</w:t>
            </w:r>
            <w:r w:rsidR="000F26CE" w:rsidRPr="00167B16">
              <w:rPr>
                <w:rFonts w:cs="Calibri"/>
              </w:rPr>
              <w:t xml:space="preserve">eporting </w:t>
            </w:r>
            <w:r w:rsidR="00582C5C" w:rsidRPr="00167B16">
              <w:rPr>
                <w:rFonts w:cs="Calibri"/>
              </w:rPr>
              <w:t>p</w:t>
            </w:r>
            <w:r w:rsidR="000F26CE" w:rsidRPr="00167B16">
              <w:rPr>
                <w:rFonts w:cs="Calibri"/>
              </w:rPr>
              <w:t>eriod</w:t>
            </w:r>
            <w:r w:rsidRPr="00167B16">
              <w:rPr>
                <w:rFonts w:cs="Calibri"/>
              </w:rPr>
              <w:t>.</w:t>
            </w:r>
            <w:r w:rsidR="00FA7C77">
              <w:rPr>
                <w:rFonts w:cs="Calibri"/>
              </w:rPr>
              <w:t xml:space="preserve"> </w:t>
            </w:r>
            <w:r w:rsidR="009110A8" w:rsidRPr="00167B16">
              <w:rPr>
                <w:rFonts w:cs="Calibri"/>
              </w:rPr>
              <w:t>The Agency is also disposing of plant and equipment as a result of a restructuring of its maintenance division.</w:t>
            </w:r>
          </w:p>
        </w:tc>
      </w:tr>
      <w:tr w:rsidR="00DB7306" w:rsidRPr="00CF7E1B" w14:paraId="5EA806B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ACE1AF9" w14:textId="184BE9D4" w:rsidR="00DB7306" w:rsidRPr="00AD586B" w:rsidRDefault="00DB7306">
            <w:pPr>
              <w:pStyle w:val="TableReference"/>
              <w:rPr>
                <w:rFonts w:cs="Calibri"/>
                <w:color w:val="7030A0"/>
                <w:sz w:val="14"/>
              </w:rPr>
            </w:pPr>
            <w:r w:rsidRPr="00AD586B">
              <w:rPr>
                <w:color w:val="7030A0"/>
                <w:sz w:val="14"/>
              </w:rPr>
              <w:t xml:space="preserve">AASB 5.6 &amp; 7 </w:t>
            </w:r>
          </w:p>
        </w:tc>
        <w:tc>
          <w:tcPr>
            <w:tcW w:w="4169" w:type="pct"/>
            <w:gridSpan w:val="12"/>
            <w:tcBorders>
              <w:top w:val="nil"/>
              <w:left w:val="single" w:sz="4" w:space="0" w:color="auto"/>
              <w:bottom w:val="nil"/>
              <w:right w:val="nil"/>
            </w:tcBorders>
            <w:vAlign w:val="bottom"/>
          </w:tcPr>
          <w:p w14:paraId="7FEDBE3C" w14:textId="1A0F63DC" w:rsidR="00DB7306" w:rsidRPr="00167B16" w:rsidRDefault="00DB7306" w:rsidP="005035D6">
            <w:pPr>
              <w:spacing w:before="120" w:after="120"/>
              <w:jc w:val="both"/>
              <w:rPr>
                <w:sz w:val="18"/>
                <w:szCs w:val="18"/>
              </w:rPr>
            </w:pPr>
            <w:r w:rsidRPr="00167B16">
              <w:rPr>
                <w:sz w:val="18"/>
                <w:szCs w:val="18"/>
              </w:rPr>
              <w:t>Non-current assets held for sale are assets that are available for immediate sale in their present condition, and their sale is highly probable.</w:t>
            </w:r>
          </w:p>
        </w:tc>
      </w:tr>
      <w:tr w:rsidR="00DB7306" w:rsidRPr="00CF7E1B" w14:paraId="5C36F1F5"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5AA09881" w14:textId="33563851" w:rsidR="00DB7306" w:rsidRPr="00AD586B" w:rsidRDefault="00DB7306">
            <w:pPr>
              <w:pStyle w:val="TableReference"/>
              <w:rPr>
                <w:rFonts w:cs="Calibri"/>
                <w:color w:val="7030A0"/>
                <w:sz w:val="14"/>
              </w:rPr>
            </w:pPr>
            <w:r w:rsidRPr="00AD586B">
              <w:rPr>
                <w:color w:val="7030A0"/>
                <w:sz w:val="14"/>
              </w:rPr>
              <w:t>AASB 5.15, 20 &amp; 25</w:t>
            </w:r>
          </w:p>
        </w:tc>
        <w:tc>
          <w:tcPr>
            <w:tcW w:w="4169" w:type="pct"/>
            <w:gridSpan w:val="12"/>
            <w:tcBorders>
              <w:top w:val="nil"/>
              <w:left w:val="single" w:sz="4" w:space="0" w:color="auto"/>
              <w:bottom w:val="nil"/>
              <w:right w:val="nil"/>
            </w:tcBorders>
            <w:vAlign w:val="bottom"/>
          </w:tcPr>
          <w:p w14:paraId="5E076191" w14:textId="3A23E20D" w:rsidR="00DB7306" w:rsidRPr="00167B16" w:rsidRDefault="00DB7306" w:rsidP="00B471E0">
            <w:pPr>
              <w:pStyle w:val="TableText"/>
              <w:spacing w:before="0" w:after="120"/>
              <w:jc w:val="both"/>
              <w:rPr>
                <w:rFonts w:cs="Calibri"/>
              </w:rPr>
            </w:pPr>
            <w:r w:rsidRPr="00167B16">
              <w:rPr>
                <w:rFonts w:cs="Calibri"/>
                <w:szCs w:val="20"/>
              </w:rPr>
              <w:t>Assets held for sale are measured at the lower of the carrying amount and fair value less costs to sell.</w:t>
            </w:r>
            <w:r w:rsidR="00FA7C77">
              <w:rPr>
                <w:rFonts w:cs="Calibri"/>
                <w:szCs w:val="20"/>
              </w:rPr>
              <w:t xml:space="preserve"> </w:t>
            </w:r>
            <w:r w:rsidRPr="00167B16">
              <w:rPr>
                <w:rFonts w:cs="Calibri"/>
                <w:szCs w:val="20"/>
              </w:rPr>
              <w:t xml:space="preserve">An impairment loss is recognised for any initial or subsequent write down of the asset to fair value less cost to sell </w:t>
            </w:r>
            <w:r w:rsidRPr="00167B16">
              <w:t xml:space="preserve">(Note </w:t>
            </w:r>
            <w:r w:rsidR="00762E7F" w:rsidRPr="00167B16">
              <w:t xml:space="preserve">14 </w:t>
            </w:r>
            <w:r w:rsidR="00C54CE1" w:rsidRPr="00167B16">
              <w:rPr>
                <w:i/>
                <w:iCs/>
              </w:rPr>
              <w:t>Other Expenses</w:t>
            </w:r>
            <w:r w:rsidRPr="00167B16">
              <w:t>).</w:t>
            </w:r>
            <w:r w:rsidRPr="00167B16">
              <w:rPr>
                <w:rFonts w:cs="Calibri"/>
                <w:szCs w:val="20"/>
              </w:rPr>
              <w:t xml:space="preserve"> Assets held for sale are not depreciated.</w:t>
            </w:r>
          </w:p>
        </w:tc>
      </w:tr>
      <w:tr w:rsidR="000E568E" w:rsidRPr="00CF7E1B" w14:paraId="1ED7A40D"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3B06A73" w14:textId="77777777" w:rsidR="000E568E" w:rsidRPr="00AD586B" w:rsidRDefault="000E568E">
            <w:pPr>
              <w:pStyle w:val="TableText"/>
              <w:rPr>
                <w:rFonts w:cs="Calibri"/>
                <w:color w:val="7030A0"/>
                <w:sz w:val="16"/>
                <w:szCs w:val="16"/>
              </w:rPr>
            </w:pPr>
          </w:p>
        </w:tc>
        <w:tc>
          <w:tcPr>
            <w:tcW w:w="2910" w:type="pct"/>
            <w:gridSpan w:val="4"/>
            <w:tcBorders>
              <w:top w:val="nil"/>
              <w:left w:val="single" w:sz="4" w:space="0" w:color="auto"/>
              <w:bottom w:val="nil"/>
              <w:right w:val="nil"/>
            </w:tcBorders>
            <w:vAlign w:val="bottom"/>
          </w:tcPr>
          <w:p w14:paraId="41F07A2B" w14:textId="77777777" w:rsidR="000E568E" w:rsidRPr="00167B16" w:rsidRDefault="000E568E">
            <w:pPr>
              <w:pStyle w:val="TableText"/>
              <w:rPr>
                <w:rFonts w:cs="Calibri"/>
              </w:rPr>
            </w:pPr>
          </w:p>
        </w:tc>
        <w:tc>
          <w:tcPr>
            <w:tcW w:w="523" w:type="pct"/>
            <w:gridSpan w:val="4"/>
            <w:tcBorders>
              <w:top w:val="nil"/>
              <w:left w:val="nil"/>
              <w:bottom w:val="nil"/>
              <w:right w:val="nil"/>
            </w:tcBorders>
            <w:vAlign w:val="bottom"/>
          </w:tcPr>
          <w:p w14:paraId="418BACE5" w14:textId="31A0785D" w:rsidR="000E568E" w:rsidRPr="00167B16" w:rsidRDefault="007202A5">
            <w:pPr>
              <w:pStyle w:val="TableTitle"/>
              <w:tabs>
                <w:tab w:val="left" w:pos="3306"/>
              </w:tabs>
              <w:rPr>
                <w:rFonts w:cs="Calibri"/>
              </w:rPr>
            </w:pPr>
            <w:r w:rsidRPr="00167B16">
              <w:rPr>
                <w:rFonts w:cs="Calibri"/>
              </w:rPr>
              <w:t>202</w:t>
            </w:r>
            <w:r w:rsidR="005A41B6">
              <w:rPr>
                <w:rFonts w:cs="Calibri"/>
              </w:rPr>
              <w:t>3</w:t>
            </w:r>
          </w:p>
          <w:p w14:paraId="2674AEE6" w14:textId="77777777" w:rsidR="000E568E" w:rsidRPr="00167B16" w:rsidRDefault="000E568E">
            <w:pPr>
              <w:pStyle w:val="TableTitle"/>
              <w:tabs>
                <w:tab w:val="left" w:pos="3306"/>
              </w:tabs>
              <w:rPr>
                <w:rFonts w:cs="Calibri"/>
              </w:rPr>
            </w:pPr>
            <w:r w:rsidRPr="00167B16">
              <w:rPr>
                <w:rFonts w:cs="Calibri"/>
              </w:rPr>
              <w:t>$’000</w:t>
            </w:r>
          </w:p>
        </w:tc>
        <w:tc>
          <w:tcPr>
            <w:tcW w:w="736" w:type="pct"/>
            <w:gridSpan w:val="4"/>
            <w:tcBorders>
              <w:top w:val="nil"/>
              <w:left w:val="nil"/>
              <w:bottom w:val="nil"/>
              <w:right w:val="nil"/>
            </w:tcBorders>
            <w:vAlign w:val="bottom"/>
          </w:tcPr>
          <w:p w14:paraId="656681FF" w14:textId="64073769" w:rsidR="000E568E" w:rsidRPr="00167B16" w:rsidRDefault="00DE6C8A">
            <w:pPr>
              <w:pStyle w:val="TableTitle"/>
              <w:tabs>
                <w:tab w:val="left" w:pos="3306"/>
              </w:tabs>
              <w:rPr>
                <w:rFonts w:cs="Calibri"/>
              </w:rPr>
            </w:pPr>
            <w:r w:rsidRPr="00167B16">
              <w:rPr>
                <w:rFonts w:cs="Calibri"/>
              </w:rPr>
              <w:t>202</w:t>
            </w:r>
            <w:r w:rsidR="005A41B6">
              <w:rPr>
                <w:rFonts w:cs="Calibri"/>
              </w:rPr>
              <w:t>2</w:t>
            </w:r>
          </w:p>
          <w:p w14:paraId="289608AD" w14:textId="77777777" w:rsidR="000E568E" w:rsidRPr="00167B16" w:rsidRDefault="000E568E">
            <w:pPr>
              <w:pStyle w:val="TableTitle"/>
              <w:tabs>
                <w:tab w:val="left" w:pos="3306"/>
              </w:tabs>
              <w:rPr>
                <w:rFonts w:cs="Calibri"/>
              </w:rPr>
            </w:pPr>
            <w:r w:rsidRPr="00167B16">
              <w:rPr>
                <w:rFonts w:cs="Calibri"/>
              </w:rPr>
              <w:t>$’000</w:t>
            </w:r>
          </w:p>
        </w:tc>
      </w:tr>
      <w:tr w:rsidR="000E568E" w:rsidRPr="00CF7E1B" w14:paraId="1238D13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51BD39F9" w14:textId="77777777" w:rsidR="000E568E" w:rsidRPr="00AD586B" w:rsidRDefault="000E568E">
            <w:pPr>
              <w:pStyle w:val="TableReference"/>
              <w:spacing w:before="60"/>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38</w:t>
            </w:r>
          </w:p>
        </w:tc>
        <w:tc>
          <w:tcPr>
            <w:tcW w:w="2910" w:type="pct"/>
            <w:gridSpan w:val="4"/>
            <w:tcBorders>
              <w:top w:val="nil"/>
              <w:left w:val="single" w:sz="4" w:space="0" w:color="auto"/>
              <w:bottom w:val="nil"/>
              <w:right w:val="nil"/>
            </w:tcBorders>
            <w:vAlign w:val="bottom"/>
          </w:tcPr>
          <w:p w14:paraId="6365E896" w14:textId="7271022F" w:rsidR="000E568E" w:rsidRPr="00167B16" w:rsidRDefault="000E568E" w:rsidP="008F7C8F">
            <w:pPr>
              <w:pStyle w:val="TableText"/>
              <w:rPr>
                <w:rFonts w:cs="Calibri"/>
              </w:rPr>
            </w:pPr>
            <w:r w:rsidRPr="00167B16">
              <w:rPr>
                <w:rFonts w:cs="Calibri"/>
              </w:rPr>
              <w:t xml:space="preserve">Plant and Equipment </w:t>
            </w:r>
            <w:r w:rsidR="004A0397" w:rsidRPr="00167B16">
              <w:rPr>
                <w:rFonts w:cs="Calibri"/>
              </w:rPr>
              <w:t>H</w:t>
            </w:r>
            <w:r w:rsidRPr="00167B16">
              <w:rPr>
                <w:rFonts w:cs="Calibri"/>
              </w:rPr>
              <w:t xml:space="preserve">eld for </w:t>
            </w:r>
            <w:r w:rsidR="004A0397" w:rsidRPr="00167B16">
              <w:rPr>
                <w:rFonts w:cs="Calibri"/>
              </w:rPr>
              <w:t>S</w:t>
            </w:r>
            <w:r w:rsidRPr="00167B16">
              <w:rPr>
                <w:rFonts w:cs="Calibri"/>
              </w:rPr>
              <w:t>ale</w:t>
            </w:r>
            <w:r w:rsidRPr="00167B16">
              <w:rPr>
                <w:rFonts w:cs="Calibri"/>
                <w:vertAlign w:val="superscript"/>
              </w:rPr>
              <w:t>a</w:t>
            </w:r>
          </w:p>
        </w:tc>
        <w:tc>
          <w:tcPr>
            <w:tcW w:w="523" w:type="pct"/>
            <w:gridSpan w:val="4"/>
            <w:tcBorders>
              <w:top w:val="nil"/>
              <w:left w:val="nil"/>
              <w:bottom w:val="nil"/>
              <w:right w:val="nil"/>
            </w:tcBorders>
            <w:vAlign w:val="bottom"/>
          </w:tcPr>
          <w:p w14:paraId="5798A83E" w14:textId="08D982DD" w:rsidR="000E568E" w:rsidRPr="00167B16" w:rsidRDefault="000E568E">
            <w:pPr>
              <w:pStyle w:val="TableText"/>
              <w:jc w:val="right"/>
              <w:rPr>
                <w:rFonts w:cs="Calibri"/>
              </w:rPr>
            </w:pPr>
          </w:p>
        </w:tc>
        <w:tc>
          <w:tcPr>
            <w:tcW w:w="736" w:type="pct"/>
            <w:gridSpan w:val="4"/>
            <w:tcBorders>
              <w:top w:val="nil"/>
              <w:left w:val="nil"/>
              <w:bottom w:val="nil"/>
              <w:right w:val="nil"/>
            </w:tcBorders>
            <w:vAlign w:val="bottom"/>
          </w:tcPr>
          <w:p w14:paraId="167B45FE" w14:textId="4EA0C605" w:rsidR="000E568E" w:rsidRPr="00167B16" w:rsidRDefault="000E568E">
            <w:pPr>
              <w:pStyle w:val="TableText"/>
              <w:jc w:val="right"/>
              <w:rPr>
                <w:rFonts w:cs="Calibri"/>
              </w:rPr>
            </w:pPr>
          </w:p>
        </w:tc>
      </w:tr>
      <w:tr w:rsidR="000E568E" w:rsidRPr="00CF7E1B" w14:paraId="07EFA228"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8BF8180" w14:textId="77777777" w:rsidR="000E568E" w:rsidRPr="00AD586B" w:rsidRDefault="000E568E">
            <w:pPr>
              <w:pStyle w:val="TableReference"/>
              <w:spacing w:before="60"/>
              <w:rPr>
                <w:rFonts w:cs="Calibri"/>
                <w:color w:val="7030A0"/>
                <w:sz w:val="14"/>
              </w:rPr>
            </w:pPr>
          </w:p>
        </w:tc>
        <w:tc>
          <w:tcPr>
            <w:tcW w:w="2910" w:type="pct"/>
            <w:gridSpan w:val="4"/>
            <w:tcBorders>
              <w:top w:val="nil"/>
              <w:left w:val="single" w:sz="4" w:space="0" w:color="auto"/>
              <w:bottom w:val="nil"/>
              <w:right w:val="nil"/>
            </w:tcBorders>
            <w:vAlign w:val="bottom"/>
          </w:tcPr>
          <w:p w14:paraId="55D7E6C3" w14:textId="746DC5E0" w:rsidR="000E568E" w:rsidRPr="00167B16" w:rsidRDefault="000E568E" w:rsidP="008F7C8F">
            <w:pPr>
              <w:pStyle w:val="TableText"/>
              <w:rPr>
                <w:rFonts w:cs="Calibri"/>
              </w:rPr>
            </w:pPr>
            <w:r w:rsidRPr="00167B16">
              <w:rPr>
                <w:rFonts w:cs="Calibri"/>
              </w:rPr>
              <w:t xml:space="preserve">Investment Property </w:t>
            </w:r>
            <w:r w:rsidR="004A0397" w:rsidRPr="00167B16">
              <w:rPr>
                <w:rFonts w:cs="Calibri"/>
              </w:rPr>
              <w:t>Held for Sale</w:t>
            </w:r>
            <w:bookmarkStart w:id="606" w:name="OLE_LINK31"/>
            <w:r w:rsidRPr="00167B16">
              <w:rPr>
                <w:rFonts w:cs="Calibri"/>
                <w:vertAlign w:val="superscript"/>
              </w:rPr>
              <w:t>b</w:t>
            </w:r>
            <w:bookmarkEnd w:id="606"/>
          </w:p>
        </w:tc>
        <w:tc>
          <w:tcPr>
            <w:tcW w:w="523" w:type="pct"/>
            <w:gridSpan w:val="4"/>
            <w:tcBorders>
              <w:top w:val="nil"/>
              <w:left w:val="nil"/>
              <w:bottom w:val="single" w:sz="4" w:space="0" w:color="auto"/>
              <w:right w:val="nil"/>
            </w:tcBorders>
            <w:vAlign w:val="bottom"/>
          </w:tcPr>
          <w:p w14:paraId="56BCA9D2" w14:textId="4E849EC7" w:rsidR="000E568E" w:rsidRPr="00167B16" w:rsidRDefault="000E568E">
            <w:pPr>
              <w:pStyle w:val="TableText"/>
              <w:jc w:val="right"/>
              <w:rPr>
                <w:rFonts w:cs="Calibri"/>
              </w:rPr>
            </w:pPr>
          </w:p>
        </w:tc>
        <w:tc>
          <w:tcPr>
            <w:tcW w:w="736" w:type="pct"/>
            <w:gridSpan w:val="4"/>
            <w:tcBorders>
              <w:top w:val="nil"/>
              <w:left w:val="nil"/>
              <w:bottom w:val="single" w:sz="4" w:space="0" w:color="auto"/>
              <w:right w:val="nil"/>
            </w:tcBorders>
            <w:vAlign w:val="bottom"/>
          </w:tcPr>
          <w:p w14:paraId="1ECBB51B" w14:textId="1B7E11FC" w:rsidR="000E568E" w:rsidRPr="00167B16" w:rsidRDefault="000E568E">
            <w:pPr>
              <w:pStyle w:val="TableText"/>
              <w:jc w:val="right"/>
              <w:rPr>
                <w:rFonts w:cs="Calibri"/>
              </w:rPr>
            </w:pPr>
          </w:p>
        </w:tc>
      </w:tr>
      <w:tr w:rsidR="000E568E" w:rsidRPr="00CF7E1B" w14:paraId="2777764D" w14:textId="77777777" w:rsidTr="007D011E">
        <w:trPr>
          <w:gridAfter w:val="1"/>
          <w:wAfter w:w="107" w:type="pct"/>
          <w:cantSplit/>
          <w:trHeight w:val="289"/>
        </w:trPr>
        <w:tc>
          <w:tcPr>
            <w:tcW w:w="724" w:type="pct"/>
            <w:tcBorders>
              <w:top w:val="nil"/>
              <w:left w:val="single" w:sz="4" w:space="0" w:color="auto"/>
              <w:bottom w:val="nil"/>
              <w:right w:val="single" w:sz="4" w:space="0" w:color="auto"/>
            </w:tcBorders>
          </w:tcPr>
          <w:p w14:paraId="0F2C87BD" w14:textId="77777777" w:rsidR="000E568E" w:rsidRPr="00AD586B" w:rsidRDefault="000E568E">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3A6021C5" w14:textId="2825473D" w:rsidR="000E568E" w:rsidRPr="00167B16" w:rsidRDefault="000E568E" w:rsidP="008F7C8F">
            <w:pPr>
              <w:pStyle w:val="TableText"/>
              <w:rPr>
                <w:rFonts w:cs="Calibri"/>
                <w:b/>
                <w:bCs/>
              </w:rPr>
            </w:pPr>
            <w:r w:rsidRPr="00167B16">
              <w:rPr>
                <w:rFonts w:cs="Calibri"/>
                <w:b/>
                <w:bCs/>
              </w:rPr>
              <w:t xml:space="preserve">Total </w:t>
            </w:r>
            <w:r w:rsidR="008F7C8F" w:rsidRPr="00167B16">
              <w:rPr>
                <w:rFonts w:cs="Calibri"/>
                <w:b/>
                <w:bCs/>
              </w:rPr>
              <w:t xml:space="preserve">Non-Current </w:t>
            </w:r>
            <w:r w:rsidRPr="00167B16">
              <w:rPr>
                <w:rFonts w:cs="Calibri"/>
                <w:b/>
                <w:bCs/>
              </w:rPr>
              <w:t>Assets Held for Sale</w:t>
            </w:r>
          </w:p>
        </w:tc>
        <w:tc>
          <w:tcPr>
            <w:tcW w:w="523" w:type="pct"/>
            <w:gridSpan w:val="4"/>
            <w:tcBorders>
              <w:top w:val="single" w:sz="4" w:space="0" w:color="auto"/>
              <w:left w:val="nil"/>
              <w:bottom w:val="double" w:sz="4" w:space="0" w:color="auto"/>
              <w:right w:val="nil"/>
            </w:tcBorders>
            <w:vAlign w:val="bottom"/>
          </w:tcPr>
          <w:p w14:paraId="14FC60AE" w14:textId="404ACF3D" w:rsidR="000E568E" w:rsidRPr="00167B16" w:rsidRDefault="000E568E">
            <w:pPr>
              <w:pStyle w:val="TableText"/>
              <w:jc w:val="right"/>
              <w:rPr>
                <w:rFonts w:cs="Calibri"/>
                <w:b/>
                <w:bCs/>
              </w:rPr>
            </w:pPr>
          </w:p>
        </w:tc>
        <w:tc>
          <w:tcPr>
            <w:tcW w:w="736" w:type="pct"/>
            <w:gridSpan w:val="4"/>
            <w:tcBorders>
              <w:top w:val="single" w:sz="4" w:space="0" w:color="auto"/>
              <w:left w:val="nil"/>
              <w:bottom w:val="double" w:sz="4" w:space="0" w:color="auto"/>
              <w:right w:val="nil"/>
            </w:tcBorders>
            <w:vAlign w:val="bottom"/>
          </w:tcPr>
          <w:p w14:paraId="3115AC15" w14:textId="50CC14E7" w:rsidR="000E568E" w:rsidRPr="00167B16" w:rsidRDefault="000E568E">
            <w:pPr>
              <w:pStyle w:val="TableText"/>
              <w:jc w:val="right"/>
              <w:rPr>
                <w:rFonts w:cs="Calibri"/>
                <w:b/>
                <w:bCs/>
              </w:rPr>
            </w:pPr>
          </w:p>
        </w:tc>
      </w:tr>
      <w:tr w:rsidR="004F40F6" w:rsidRPr="00CF7E1B" w14:paraId="31892458" w14:textId="77777777" w:rsidTr="007D011E">
        <w:trPr>
          <w:gridAfter w:val="1"/>
          <w:wAfter w:w="107" w:type="pct"/>
          <w:cantSplit/>
          <w:trHeight w:val="289"/>
        </w:trPr>
        <w:tc>
          <w:tcPr>
            <w:tcW w:w="724" w:type="pct"/>
            <w:tcBorders>
              <w:top w:val="nil"/>
              <w:left w:val="single" w:sz="4" w:space="0" w:color="auto"/>
              <w:bottom w:val="nil"/>
              <w:right w:val="single" w:sz="4" w:space="0" w:color="auto"/>
            </w:tcBorders>
          </w:tcPr>
          <w:p w14:paraId="1A32C65E" w14:textId="77777777" w:rsidR="004F40F6" w:rsidRPr="00AD586B" w:rsidRDefault="004F40F6">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28F0B2AE" w14:textId="77777777" w:rsidR="004F40F6" w:rsidRPr="00167B16" w:rsidRDefault="004F40F6" w:rsidP="008F7C8F">
            <w:pPr>
              <w:pStyle w:val="TableText"/>
              <w:rPr>
                <w:rFonts w:cs="Calibri"/>
                <w:b/>
                <w:bCs/>
              </w:rPr>
            </w:pPr>
          </w:p>
        </w:tc>
        <w:tc>
          <w:tcPr>
            <w:tcW w:w="523" w:type="pct"/>
            <w:gridSpan w:val="4"/>
            <w:tcBorders>
              <w:top w:val="double" w:sz="4" w:space="0" w:color="auto"/>
              <w:left w:val="nil"/>
              <w:bottom w:val="nil"/>
              <w:right w:val="nil"/>
            </w:tcBorders>
            <w:vAlign w:val="bottom"/>
          </w:tcPr>
          <w:p w14:paraId="35038F55" w14:textId="77777777" w:rsidR="004F40F6" w:rsidRPr="00167B16" w:rsidRDefault="004F40F6">
            <w:pPr>
              <w:pStyle w:val="TableText"/>
              <w:jc w:val="right"/>
              <w:rPr>
                <w:rFonts w:cs="Calibri"/>
                <w:b/>
                <w:bCs/>
              </w:rPr>
            </w:pPr>
          </w:p>
        </w:tc>
        <w:tc>
          <w:tcPr>
            <w:tcW w:w="736" w:type="pct"/>
            <w:gridSpan w:val="4"/>
            <w:tcBorders>
              <w:top w:val="double" w:sz="4" w:space="0" w:color="auto"/>
              <w:left w:val="nil"/>
              <w:bottom w:val="nil"/>
              <w:right w:val="nil"/>
            </w:tcBorders>
            <w:vAlign w:val="bottom"/>
          </w:tcPr>
          <w:p w14:paraId="649E8CB7" w14:textId="77777777" w:rsidR="004F40F6" w:rsidRPr="00167B16" w:rsidRDefault="004F40F6">
            <w:pPr>
              <w:pStyle w:val="TableText"/>
              <w:jc w:val="right"/>
              <w:rPr>
                <w:rFonts w:cs="Calibri"/>
                <w:b/>
                <w:bCs/>
              </w:rPr>
            </w:pPr>
          </w:p>
        </w:tc>
      </w:tr>
      <w:tr w:rsidR="000E568E" w:rsidRPr="00CF7E1B" w14:paraId="0D33573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D022531" w14:textId="77777777" w:rsidR="000E568E" w:rsidRPr="00AD586B" w:rsidRDefault="000E568E" w:rsidP="008F7C8F">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46598BA3" w14:textId="4849C9FA" w:rsidR="000E568E" w:rsidRPr="00167B16" w:rsidRDefault="009110A8" w:rsidP="008F7C8F">
            <w:pPr>
              <w:ind w:left="207" w:hanging="207"/>
              <w:jc w:val="both"/>
              <w:rPr>
                <w:rFonts w:cs="Calibri"/>
                <w:sz w:val="18"/>
                <w:szCs w:val="18"/>
              </w:rPr>
            </w:pPr>
            <w:r w:rsidRPr="00167B16">
              <w:rPr>
                <w:rFonts w:cs="Calibri"/>
                <w:sz w:val="18"/>
                <w:szCs w:val="18"/>
              </w:rPr>
              <w:t>a)</w:t>
            </w:r>
            <w:r w:rsidRPr="00167B16">
              <w:rPr>
                <w:rFonts w:cs="Calibri"/>
                <w:sz w:val="18"/>
                <w:szCs w:val="18"/>
              </w:rPr>
              <w:tab/>
            </w:r>
            <w:r w:rsidR="00096734" w:rsidRPr="00167B16">
              <w:rPr>
                <w:rFonts w:cs="Calibri"/>
                <w:sz w:val="18"/>
                <w:szCs w:val="18"/>
              </w:rPr>
              <w:t>T</w:t>
            </w:r>
            <w:r w:rsidRPr="00167B16">
              <w:rPr>
                <w:rFonts w:cs="Calibri"/>
                <w:sz w:val="18"/>
                <w:szCs w:val="18"/>
              </w:rPr>
              <w:t xml:space="preserve">he increase in plant and equipment held for sale </w:t>
            </w:r>
            <w:r w:rsidR="000C0602" w:rsidRPr="00167B16">
              <w:rPr>
                <w:rFonts w:cs="Calibri"/>
                <w:sz w:val="18"/>
                <w:szCs w:val="18"/>
              </w:rPr>
              <w:t xml:space="preserve">of $xxx </w:t>
            </w:r>
            <w:r w:rsidRPr="00167B16">
              <w:rPr>
                <w:rFonts w:cs="Calibri"/>
                <w:sz w:val="18"/>
                <w:szCs w:val="18"/>
              </w:rPr>
              <w:t xml:space="preserve">can be attributed to </w:t>
            </w:r>
            <w:r w:rsidR="00A94274" w:rsidRPr="00167B16">
              <w:rPr>
                <w:rFonts w:cs="Calibri"/>
                <w:sz w:val="18"/>
                <w:szCs w:val="18"/>
              </w:rPr>
              <w:t>t</w:t>
            </w:r>
            <w:r w:rsidR="00F9541D" w:rsidRPr="00167B16">
              <w:rPr>
                <w:rFonts w:cs="Calibri"/>
                <w:sz w:val="18"/>
                <w:szCs w:val="18"/>
              </w:rPr>
              <w:t xml:space="preserve">he </w:t>
            </w:r>
            <w:r w:rsidR="008F7C8F" w:rsidRPr="00167B16">
              <w:rPr>
                <w:rFonts w:cs="Calibri"/>
                <w:sz w:val="18"/>
                <w:szCs w:val="18"/>
              </w:rPr>
              <w:t>a</w:t>
            </w:r>
            <w:r w:rsidR="003C497C" w:rsidRPr="00167B16">
              <w:rPr>
                <w:rFonts w:cs="Calibri"/>
                <w:sz w:val="18"/>
                <w:szCs w:val="18"/>
              </w:rPr>
              <w:t>gency</w:t>
            </w:r>
            <w:r w:rsidR="00F9541D" w:rsidRPr="00167B16">
              <w:rPr>
                <w:rFonts w:cs="Calibri"/>
                <w:sz w:val="18"/>
                <w:szCs w:val="18"/>
              </w:rPr>
              <w:t xml:space="preserve"> disposing of plant and equipment as a result of a restructuring of its maintenance division.</w:t>
            </w:r>
          </w:p>
          <w:p w14:paraId="744EC6F3" w14:textId="50B41A0C" w:rsidR="000E568E" w:rsidRPr="00167B16" w:rsidRDefault="000A559D" w:rsidP="008F7C8F">
            <w:pPr>
              <w:pStyle w:val="TableText"/>
              <w:spacing w:before="0"/>
              <w:ind w:left="207" w:hanging="207"/>
              <w:rPr>
                <w:rFonts w:cs="Calibri"/>
              </w:rPr>
            </w:pPr>
            <w:r w:rsidRPr="00167B16">
              <w:rPr>
                <w:rFonts w:cs="Calibri"/>
              </w:rPr>
              <w:t>b)</w:t>
            </w:r>
            <w:r w:rsidRPr="00167B16">
              <w:rPr>
                <w:rFonts w:cs="Calibri"/>
              </w:rPr>
              <w:tab/>
            </w:r>
            <w:r w:rsidR="00D61998" w:rsidRPr="00167B16">
              <w:rPr>
                <w:rFonts w:cs="Calibri"/>
              </w:rPr>
              <w:t>The increase in investment properties held for sale of $xxx</w:t>
            </w:r>
            <w:r w:rsidR="00E65C53" w:rsidRPr="00167B16">
              <w:rPr>
                <w:rFonts w:cs="Calibri"/>
              </w:rPr>
              <w:t xml:space="preserve"> was due to</w:t>
            </w:r>
            <w:r w:rsidR="00D61998" w:rsidRPr="00167B16">
              <w:rPr>
                <w:rFonts w:cs="Calibri"/>
              </w:rPr>
              <w:t xml:space="preserve"> </w:t>
            </w:r>
            <w:r w:rsidR="000E568E" w:rsidRPr="00167B16">
              <w:rPr>
                <w:rFonts w:cs="Calibri"/>
              </w:rPr>
              <w:t xml:space="preserve">no investment </w:t>
            </w:r>
            <w:r w:rsidR="0025046C" w:rsidRPr="00167B16">
              <w:rPr>
                <w:rFonts w:cs="Calibri"/>
              </w:rPr>
              <w:t xml:space="preserve">properties </w:t>
            </w:r>
            <w:r w:rsidR="00E65C53" w:rsidRPr="00167B16">
              <w:rPr>
                <w:rFonts w:cs="Calibri"/>
              </w:rPr>
              <w:t xml:space="preserve">being </w:t>
            </w:r>
            <w:r w:rsidR="0025046C" w:rsidRPr="00167B16">
              <w:rPr>
                <w:rFonts w:cs="Calibri"/>
              </w:rPr>
              <w:t>held for sale at the end of the previous reporting period</w:t>
            </w:r>
            <w:r w:rsidR="000E568E" w:rsidRPr="00167B16">
              <w:rPr>
                <w:rFonts w:cs="Calibri"/>
              </w:rPr>
              <w:t>.</w:t>
            </w:r>
          </w:p>
        </w:tc>
      </w:tr>
      <w:tr w:rsidR="00A96F4D" w:rsidRPr="00CF7E1B" w14:paraId="0B2A8E57"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5A55AB5" w14:textId="77777777" w:rsidR="00A96F4D" w:rsidRPr="00AD586B" w:rsidRDefault="00A96F4D">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33958C0D" w14:textId="77777777" w:rsidR="00A96F4D" w:rsidRPr="00167B16" w:rsidRDefault="00A96F4D" w:rsidP="009110A8">
            <w:pPr>
              <w:ind w:left="207" w:hanging="207"/>
              <w:jc w:val="both"/>
              <w:rPr>
                <w:rFonts w:cs="Calibri"/>
                <w:sz w:val="18"/>
                <w:szCs w:val="18"/>
              </w:rPr>
            </w:pPr>
          </w:p>
        </w:tc>
      </w:tr>
      <w:tr w:rsidR="00374524" w:rsidRPr="00CF7E1B" w14:paraId="0E0D5F8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AA35B3F" w14:textId="77777777" w:rsidR="00374524" w:rsidRPr="00AD586B" w:rsidRDefault="00374524">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67F07034" w14:textId="77777777" w:rsidR="00374524" w:rsidRPr="00167B16" w:rsidRDefault="00A96F4D" w:rsidP="00A96F4D">
            <w:pPr>
              <w:jc w:val="both"/>
              <w:rPr>
                <w:rFonts w:cs="Calibri"/>
                <w:b/>
                <w:sz w:val="18"/>
                <w:szCs w:val="18"/>
              </w:rPr>
            </w:pPr>
            <w:r w:rsidRPr="00167B16">
              <w:rPr>
                <w:rFonts w:cs="Calibri"/>
                <w:b/>
                <w:sz w:val="18"/>
                <w:szCs w:val="18"/>
              </w:rPr>
              <w:t>Fair Value Hierarchy</w:t>
            </w:r>
            <w:r w:rsidR="00260F74" w:rsidRPr="00167B16">
              <w:rPr>
                <w:rFonts w:cs="Calibri"/>
                <w:b/>
                <w:sz w:val="18"/>
                <w:szCs w:val="18"/>
              </w:rPr>
              <w:t xml:space="preserve"> </w:t>
            </w:r>
          </w:p>
        </w:tc>
      </w:tr>
      <w:tr w:rsidR="00BA2D61" w:rsidRPr="00CF7E1B" w14:paraId="72292D1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343247B4" w14:textId="77777777" w:rsidR="00BA2D61" w:rsidRPr="00AD586B" w:rsidRDefault="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07F58CDA" w14:textId="59EE6055" w:rsidR="00BA2D61" w:rsidRPr="00167B16" w:rsidRDefault="00BA2D61" w:rsidP="00260F74">
            <w:pPr>
              <w:pStyle w:val="TableText"/>
              <w:spacing w:before="0"/>
              <w:rPr>
                <w:rFonts w:cs="Calibri"/>
              </w:rPr>
            </w:pPr>
            <w:r w:rsidRPr="00167B16">
              <w:rPr>
                <w:rFonts w:cs="Calibri"/>
              </w:rPr>
              <w:t>Details of the Agency’s assets held for sale at fair value and information about the Fair Value Hierarchy as at 30 June is as follows:</w:t>
            </w:r>
          </w:p>
        </w:tc>
      </w:tr>
      <w:tr w:rsidR="00BA2D61" w:rsidRPr="00CF7E1B" w14:paraId="1E947FCA"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9216345"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0DF6C892" w14:textId="77777777" w:rsidR="00BA2D61" w:rsidRPr="00167B16" w:rsidRDefault="00BA2D61" w:rsidP="00260F74">
            <w:pPr>
              <w:pStyle w:val="TableText"/>
              <w:spacing w:before="0"/>
              <w:rPr>
                <w:rFonts w:cs="Calibri"/>
              </w:rPr>
            </w:pPr>
          </w:p>
        </w:tc>
        <w:tc>
          <w:tcPr>
            <w:tcW w:w="1721" w:type="pct"/>
            <w:gridSpan w:val="11"/>
            <w:tcBorders>
              <w:top w:val="nil"/>
              <w:left w:val="nil"/>
              <w:bottom w:val="single" w:sz="4" w:space="0" w:color="auto"/>
              <w:right w:val="nil"/>
            </w:tcBorders>
            <w:vAlign w:val="center"/>
          </w:tcPr>
          <w:p w14:paraId="30EA10D5" w14:textId="19B59CB0"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5A41B6">
              <w:rPr>
                <w:rFonts w:cs="Calibri"/>
                <w:b/>
                <w:bCs/>
              </w:rPr>
              <w:t>3</w:t>
            </w:r>
          </w:p>
        </w:tc>
      </w:tr>
      <w:tr w:rsidR="00167B16" w:rsidRPr="00167B16" w14:paraId="10BEA514" w14:textId="77777777" w:rsidTr="007D011E">
        <w:trPr>
          <w:gridAfter w:val="2"/>
          <w:wAfter w:w="110" w:type="pct"/>
          <w:cantSplit/>
          <w:trHeight w:val="232"/>
        </w:trPr>
        <w:tc>
          <w:tcPr>
            <w:tcW w:w="724" w:type="pct"/>
            <w:tcBorders>
              <w:top w:val="nil"/>
              <w:left w:val="single" w:sz="4" w:space="0" w:color="auto"/>
              <w:bottom w:val="nil"/>
              <w:right w:val="single" w:sz="4" w:space="0" w:color="auto"/>
            </w:tcBorders>
          </w:tcPr>
          <w:p w14:paraId="549BD324" w14:textId="77777777" w:rsidR="00F5577F" w:rsidRPr="00AD586B" w:rsidRDefault="00F5577F" w:rsidP="00BA2D61">
            <w:pPr>
              <w:pStyle w:val="TableReference"/>
              <w:jc w:val="center"/>
              <w:rPr>
                <w:rFonts w:cs="Calibri"/>
                <w:color w:val="7030A0"/>
                <w:sz w:val="14"/>
              </w:rPr>
            </w:pPr>
          </w:p>
        </w:tc>
        <w:tc>
          <w:tcPr>
            <w:tcW w:w="2448" w:type="pct"/>
            <w:tcBorders>
              <w:top w:val="nil"/>
              <w:left w:val="single" w:sz="4" w:space="0" w:color="auto"/>
              <w:bottom w:val="nil"/>
              <w:right w:val="nil"/>
            </w:tcBorders>
          </w:tcPr>
          <w:p w14:paraId="78FFE2F4" w14:textId="77777777" w:rsidR="00F5577F" w:rsidRPr="00167B16" w:rsidRDefault="00F5577F" w:rsidP="00BA2D61">
            <w:pPr>
              <w:pStyle w:val="TableText"/>
              <w:spacing w:before="0"/>
              <w:jc w:val="center"/>
              <w:rPr>
                <w:rFonts w:cs="Calibri"/>
              </w:rPr>
            </w:pPr>
          </w:p>
        </w:tc>
        <w:tc>
          <w:tcPr>
            <w:tcW w:w="460" w:type="pct"/>
            <w:gridSpan w:val="2"/>
            <w:tcBorders>
              <w:top w:val="single" w:sz="4" w:space="0" w:color="auto"/>
              <w:left w:val="nil"/>
              <w:bottom w:val="nil"/>
              <w:right w:val="nil"/>
            </w:tcBorders>
          </w:tcPr>
          <w:p w14:paraId="60F4CAC4" w14:textId="35DFB18C" w:rsidR="00F5577F" w:rsidRPr="00167B16" w:rsidRDefault="00F5577F" w:rsidP="00BA2D61">
            <w:pPr>
              <w:pStyle w:val="TableText"/>
              <w:spacing w:before="0"/>
              <w:jc w:val="right"/>
              <w:rPr>
                <w:rFonts w:cs="Calibri"/>
                <w:b/>
              </w:rPr>
            </w:pPr>
            <w:r w:rsidRPr="00167B16">
              <w:rPr>
                <w:rFonts w:cs="Calibri"/>
                <w:b/>
              </w:rPr>
              <w:t>Level 2</w:t>
            </w:r>
          </w:p>
        </w:tc>
        <w:tc>
          <w:tcPr>
            <w:tcW w:w="597" w:type="pct"/>
            <w:gridSpan w:val="6"/>
            <w:tcBorders>
              <w:top w:val="single" w:sz="4" w:space="0" w:color="auto"/>
              <w:left w:val="nil"/>
              <w:bottom w:val="nil"/>
              <w:right w:val="nil"/>
            </w:tcBorders>
          </w:tcPr>
          <w:p w14:paraId="2A13BC3D" w14:textId="1D0192D1" w:rsidR="00F5577F" w:rsidRPr="00167B16" w:rsidRDefault="00F5577F" w:rsidP="00BA2D61">
            <w:pPr>
              <w:pStyle w:val="TableTitle"/>
              <w:tabs>
                <w:tab w:val="left" w:pos="1062"/>
                <w:tab w:val="left" w:pos="3306"/>
              </w:tabs>
              <w:rPr>
                <w:rFonts w:cs="Calibri"/>
                <w:bCs w:val="0"/>
              </w:rPr>
            </w:pPr>
            <w:r w:rsidRPr="00167B16">
              <w:rPr>
                <w:rFonts w:cs="Calibri"/>
                <w:bCs w:val="0"/>
              </w:rPr>
              <w:t>Level 3</w:t>
            </w:r>
          </w:p>
        </w:tc>
        <w:tc>
          <w:tcPr>
            <w:tcW w:w="661" w:type="pct"/>
            <w:gridSpan w:val="2"/>
            <w:tcBorders>
              <w:top w:val="single" w:sz="4" w:space="0" w:color="auto"/>
              <w:left w:val="nil"/>
              <w:bottom w:val="nil"/>
              <w:right w:val="nil"/>
            </w:tcBorders>
          </w:tcPr>
          <w:p w14:paraId="52292D60" w14:textId="3C1F8961" w:rsidR="00F5577F" w:rsidRPr="00167B16" w:rsidRDefault="00F5577F" w:rsidP="00BA2D61">
            <w:pPr>
              <w:pStyle w:val="TableText"/>
              <w:spacing w:before="0"/>
              <w:jc w:val="right"/>
              <w:rPr>
                <w:rFonts w:cs="Calibri"/>
                <w:b/>
              </w:rPr>
            </w:pPr>
            <w:r w:rsidRPr="00167B16">
              <w:rPr>
                <w:rFonts w:cs="Calibri"/>
                <w:b/>
              </w:rPr>
              <w:t>Total</w:t>
            </w:r>
          </w:p>
        </w:tc>
      </w:tr>
      <w:tr w:rsidR="00167B16" w:rsidRPr="00167B16" w14:paraId="65C31057"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7E59A86C" w14:textId="77777777" w:rsidR="00F5577F" w:rsidRPr="00AD586B" w:rsidRDefault="00F5577F" w:rsidP="00BA2D61">
            <w:pPr>
              <w:pStyle w:val="TableReference"/>
              <w:tabs>
                <w:tab w:val="left" w:pos="1062"/>
              </w:tabs>
              <w:spacing w:before="60"/>
              <w:rPr>
                <w:rFonts w:cs="Calibri"/>
                <w:color w:val="7030A0"/>
                <w:sz w:val="14"/>
              </w:rPr>
            </w:pPr>
            <w:r w:rsidRPr="00AD586B">
              <w:rPr>
                <w:rFonts w:cs="Calibri"/>
                <w:color w:val="7030A0"/>
                <w:sz w:val="14"/>
              </w:rPr>
              <w:t>AASB 13.93 (a) &amp; (b)</w:t>
            </w:r>
          </w:p>
          <w:p w14:paraId="43909A6F" w14:textId="509F29CD"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448" w:type="pct"/>
            <w:tcBorders>
              <w:top w:val="nil"/>
              <w:left w:val="single" w:sz="4" w:space="0" w:color="auto"/>
              <w:bottom w:val="nil"/>
              <w:right w:val="nil"/>
            </w:tcBorders>
            <w:vAlign w:val="bottom"/>
          </w:tcPr>
          <w:p w14:paraId="1D815C2F" w14:textId="318986EC" w:rsidR="00F5577F" w:rsidRPr="00167B16" w:rsidRDefault="00F5577F" w:rsidP="00260F74">
            <w:pPr>
              <w:pStyle w:val="TableText"/>
              <w:spacing w:before="0"/>
              <w:rPr>
                <w:rFonts w:cs="Calibri"/>
                <w:b/>
                <w:bCs/>
              </w:rPr>
            </w:pPr>
            <w:r w:rsidRPr="00167B16">
              <w:rPr>
                <w:rFonts w:cs="Calibri"/>
                <w:b/>
                <w:bCs/>
              </w:rPr>
              <w:t>Non-Current Assets Held for Sale at Fair Value</w:t>
            </w:r>
          </w:p>
        </w:tc>
        <w:tc>
          <w:tcPr>
            <w:tcW w:w="460" w:type="pct"/>
            <w:gridSpan w:val="2"/>
            <w:tcBorders>
              <w:top w:val="nil"/>
              <w:left w:val="nil"/>
              <w:bottom w:val="nil"/>
              <w:right w:val="nil"/>
            </w:tcBorders>
          </w:tcPr>
          <w:p w14:paraId="301BC818" w14:textId="2EA6A982" w:rsidR="00F5577F" w:rsidRPr="00167B16" w:rsidRDefault="00F5577F" w:rsidP="00BA2D61">
            <w:pPr>
              <w:pStyle w:val="TableText"/>
              <w:spacing w:before="0"/>
              <w:jc w:val="right"/>
              <w:rPr>
                <w:rFonts w:cs="Calibri"/>
                <w:b/>
              </w:rPr>
            </w:pPr>
            <w:r w:rsidRPr="00167B16">
              <w:rPr>
                <w:rFonts w:cs="Calibri"/>
                <w:b/>
              </w:rPr>
              <w:t>$’000</w:t>
            </w:r>
          </w:p>
        </w:tc>
        <w:tc>
          <w:tcPr>
            <w:tcW w:w="597" w:type="pct"/>
            <w:gridSpan w:val="6"/>
            <w:tcBorders>
              <w:top w:val="nil"/>
              <w:left w:val="nil"/>
              <w:bottom w:val="nil"/>
              <w:right w:val="nil"/>
            </w:tcBorders>
          </w:tcPr>
          <w:p w14:paraId="34D801C2" w14:textId="5AEA1E97" w:rsidR="00F5577F" w:rsidRPr="00167B16" w:rsidRDefault="00F5577F" w:rsidP="00BA2D61">
            <w:pPr>
              <w:pStyle w:val="TableText"/>
              <w:spacing w:before="0"/>
              <w:jc w:val="right"/>
              <w:rPr>
                <w:rFonts w:cs="Calibri"/>
                <w:b/>
              </w:rPr>
            </w:pPr>
            <w:r w:rsidRPr="00167B16">
              <w:rPr>
                <w:rFonts w:cs="Calibri"/>
                <w:b/>
              </w:rPr>
              <w:t>$’000</w:t>
            </w:r>
          </w:p>
        </w:tc>
        <w:tc>
          <w:tcPr>
            <w:tcW w:w="661" w:type="pct"/>
            <w:gridSpan w:val="2"/>
            <w:tcBorders>
              <w:top w:val="nil"/>
              <w:left w:val="nil"/>
              <w:bottom w:val="nil"/>
              <w:right w:val="nil"/>
            </w:tcBorders>
          </w:tcPr>
          <w:p w14:paraId="5DC83C6D" w14:textId="0C3C03EB" w:rsidR="00F5577F" w:rsidRPr="00167B16" w:rsidRDefault="00F5577F" w:rsidP="00BA2D61">
            <w:pPr>
              <w:pStyle w:val="TableText"/>
              <w:spacing w:before="0"/>
              <w:jc w:val="right"/>
              <w:rPr>
                <w:rFonts w:cs="Calibri"/>
                <w:b/>
              </w:rPr>
            </w:pPr>
            <w:r w:rsidRPr="00167B16">
              <w:rPr>
                <w:rFonts w:cs="Calibri"/>
                <w:b/>
              </w:rPr>
              <w:t>$’000</w:t>
            </w:r>
          </w:p>
        </w:tc>
      </w:tr>
      <w:tr w:rsidR="00167B16" w:rsidRPr="00167B16" w14:paraId="02212538"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4A06398C"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6BDA8E44" w14:textId="026E3CBD" w:rsidR="00F5577F" w:rsidRPr="00167B16" w:rsidRDefault="00F5577F" w:rsidP="00260F74">
            <w:pPr>
              <w:pStyle w:val="TableText"/>
              <w:spacing w:before="0"/>
              <w:rPr>
                <w:rFonts w:cs="Calibri"/>
              </w:rPr>
            </w:pPr>
            <w:r w:rsidRPr="00167B16">
              <w:rPr>
                <w:rFonts w:cs="Calibri"/>
              </w:rPr>
              <w:t>Plant and Equipment</w:t>
            </w:r>
          </w:p>
        </w:tc>
        <w:tc>
          <w:tcPr>
            <w:tcW w:w="460" w:type="pct"/>
            <w:gridSpan w:val="2"/>
            <w:tcBorders>
              <w:top w:val="nil"/>
              <w:left w:val="nil"/>
              <w:bottom w:val="nil"/>
              <w:right w:val="nil"/>
            </w:tcBorders>
            <w:vAlign w:val="bottom"/>
          </w:tcPr>
          <w:p w14:paraId="5E680CD2" w14:textId="77777777" w:rsidR="00F5577F" w:rsidRPr="00167B16" w:rsidRDefault="00F5577F" w:rsidP="00260F74">
            <w:pPr>
              <w:pStyle w:val="TableText"/>
              <w:spacing w:before="0"/>
              <w:rPr>
                <w:rFonts w:cs="Calibri"/>
              </w:rPr>
            </w:pPr>
          </w:p>
        </w:tc>
        <w:tc>
          <w:tcPr>
            <w:tcW w:w="597" w:type="pct"/>
            <w:gridSpan w:val="6"/>
            <w:tcBorders>
              <w:top w:val="nil"/>
              <w:left w:val="nil"/>
              <w:bottom w:val="nil"/>
              <w:right w:val="nil"/>
            </w:tcBorders>
            <w:vAlign w:val="bottom"/>
          </w:tcPr>
          <w:p w14:paraId="58C0C056" w14:textId="77777777" w:rsidR="00F5577F" w:rsidRPr="00167B16" w:rsidRDefault="00F5577F" w:rsidP="00260F74">
            <w:pPr>
              <w:pStyle w:val="TableText"/>
              <w:spacing w:before="0"/>
              <w:rPr>
                <w:rFonts w:cs="Calibri"/>
              </w:rPr>
            </w:pPr>
          </w:p>
        </w:tc>
        <w:tc>
          <w:tcPr>
            <w:tcW w:w="661" w:type="pct"/>
            <w:gridSpan w:val="2"/>
            <w:tcBorders>
              <w:top w:val="nil"/>
              <w:left w:val="nil"/>
              <w:bottom w:val="nil"/>
              <w:right w:val="nil"/>
            </w:tcBorders>
            <w:vAlign w:val="bottom"/>
          </w:tcPr>
          <w:p w14:paraId="759F7A3B" w14:textId="77777777" w:rsidR="00F5577F" w:rsidRPr="00167B16" w:rsidRDefault="00F5577F" w:rsidP="00260F74">
            <w:pPr>
              <w:pStyle w:val="TableText"/>
              <w:spacing w:before="0"/>
              <w:rPr>
                <w:rFonts w:cs="Calibri"/>
              </w:rPr>
            </w:pPr>
          </w:p>
        </w:tc>
      </w:tr>
      <w:tr w:rsidR="00167B16" w:rsidRPr="00167B16" w14:paraId="59E2B8B5"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7B57CBC5"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72314690" w14:textId="6FFD5461" w:rsidR="00F5577F" w:rsidRPr="00167B16" w:rsidRDefault="00F5577F" w:rsidP="00260F74">
            <w:pPr>
              <w:pStyle w:val="TableText"/>
              <w:spacing w:before="0"/>
              <w:rPr>
                <w:rFonts w:cs="Calibri"/>
              </w:rPr>
            </w:pPr>
            <w:r w:rsidRPr="00167B16">
              <w:rPr>
                <w:rFonts w:cs="Calibri"/>
              </w:rPr>
              <w:t>Investment Property</w:t>
            </w:r>
          </w:p>
        </w:tc>
        <w:tc>
          <w:tcPr>
            <w:tcW w:w="460" w:type="pct"/>
            <w:gridSpan w:val="2"/>
            <w:tcBorders>
              <w:top w:val="nil"/>
              <w:left w:val="nil"/>
              <w:bottom w:val="single" w:sz="2" w:space="0" w:color="auto"/>
              <w:right w:val="nil"/>
            </w:tcBorders>
            <w:vAlign w:val="bottom"/>
          </w:tcPr>
          <w:p w14:paraId="5CE0C9DF" w14:textId="77777777" w:rsidR="00F5577F" w:rsidRPr="00167B16" w:rsidRDefault="00F5577F" w:rsidP="00260F74">
            <w:pPr>
              <w:pStyle w:val="TableText"/>
              <w:spacing w:before="0"/>
              <w:rPr>
                <w:rFonts w:cs="Calibri"/>
              </w:rPr>
            </w:pPr>
          </w:p>
        </w:tc>
        <w:tc>
          <w:tcPr>
            <w:tcW w:w="597" w:type="pct"/>
            <w:gridSpan w:val="6"/>
            <w:tcBorders>
              <w:top w:val="nil"/>
              <w:left w:val="nil"/>
              <w:bottom w:val="single" w:sz="2" w:space="0" w:color="auto"/>
              <w:right w:val="nil"/>
            </w:tcBorders>
            <w:vAlign w:val="bottom"/>
          </w:tcPr>
          <w:p w14:paraId="36AD4A14" w14:textId="77777777" w:rsidR="00F5577F" w:rsidRPr="00167B16" w:rsidRDefault="00F5577F" w:rsidP="00260F74">
            <w:pPr>
              <w:pStyle w:val="TableText"/>
              <w:spacing w:before="0"/>
              <w:rPr>
                <w:rFonts w:cs="Calibri"/>
              </w:rPr>
            </w:pPr>
          </w:p>
        </w:tc>
        <w:tc>
          <w:tcPr>
            <w:tcW w:w="661" w:type="pct"/>
            <w:gridSpan w:val="2"/>
            <w:tcBorders>
              <w:top w:val="nil"/>
              <w:left w:val="nil"/>
              <w:bottom w:val="single" w:sz="2" w:space="0" w:color="auto"/>
              <w:right w:val="nil"/>
            </w:tcBorders>
            <w:vAlign w:val="bottom"/>
          </w:tcPr>
          <w:p w14:paraId="30FFA17B" w14:textId="77777777" w:rsidR="00F5577F" w:rsidRPr="00167B16" w:rsidRDefault="00F5577F" w:rsidP="00260F74">
            <w:pPr>
              <w:pStyle w:val="TableText"/>
              <w:spacing w:before="0"/>
              <w:rPr>
                <w:rFonts w:cs="Calibri"/>
              </w:rPr>
            </w:pPr>
          </w:p>
        </w:tc>
      </w:tr>
      <w:tr w:rsidR="00167B16" w:rsidRPr="00167B16" w14:paraId="4D73A4A7"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365572A1"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071B4E01" w14:textId="77777777" w:rsidR="00F5577F" w:rsidRPr="00167B16" w:rsidRDefault="00F5577F" w:rsidP="00260F74">
            <w:pPr>
              <w:pStyle w:val="TableText"/>
              <w:spacing w:before="0"/>
              <w:rPr>
                <w:rFonts w:cs="Calibri"/>
              </w:rPr>
            </w:pPr>
          </w:p>
        </w:tc>
        <w:tc>
          <w:tcPr>
            <w:tcW w:w="460" w:type="pct"/>
            <w:gridSpan w:val="2"/>
            <w:tcBorders>
              <w:top w:val="single" w:sz="2" w:space="0" w:color="auto"/>
              <w:left w:val="nil"/>
              <w:bottom w:val="double" w:sz="4" w:space="0" w:color="auto"/>
              <w:right w:val="nil"/>
            </w:tcBorders>
            <w:vAlign w:val="bottom"/>
          </w:tcPr>
          <w:p w14:paraId="441D1369" w14:textId="77777777" w:rsidR="00F5577F" w:rsidRPr="00167B16" w:rsidRDefault="00F5577F" w:rsidP="00260F74">
            <w:pPr>
              <w:pStyle w:val="TableText"/>
              <w:spacing w:before="0"/>
              <w:rPr>
                <w:rFonts w:cs="Calibri"/>
              </w:rPr>
            </w:pPr>
          </w:p>
        </w:tc>
        <w:tc>
          <w:tcPr>
            <w:tcW w:w="597" w:type="pct"/>
            <w:gridSpan w:val="6"/>
            <w:tcBorders>
              <w:top w:val="single" w:sz="2" w:space="0" w:color="auto"/>
              <w:left w:val="nil"/>
              <w:bottom w:val="double" w:sz="4" w:space="0" w:color="auto"/>
              <w:right w:val="nil"/>
            </w:tcBorders>
            <w:vAlign w:val="bottom"/>
          </w:tcPr>
          <w:p w14:paraId="2A7E74D1" w14:textId="77777777" w:rsidR="00F5577F" w:rsidRPr="00167B16" w:rsidRDefault="00F5577F" w:rsidP="00260F74">
            <w:pPr>
              <w:pStyle w:val="TableText"/>
              <w:spacing w:before="0"/>
              <w:rPr>
                <w:rFonts w:cs="Calibri"/>
              </w:rPr>
            </w:pPr>
          </w:p>
        </w:tc>
        <w:tc>
          <w:tcPr>
            <w:tcW w:w="661" w:type="pct"/>
            <w:gridSpan w:val="2"/>
            <w:tcBorders>
              <w:top w:val="single" w:sz="2" w:space="0" w:color="auto"/>
              <w:left w:val="nil"/>
              <w:bottom w:val="double" w:sz="4" w:space="0" w:color="auto"/>
              <w:right w:val="nil"/>
            </w:tcBorders>
            <w:vAlign w:val="bottom"/>
          </w:tcPr>
          <w:p w14:paraId="50544F51" w14:textId="77777777" w:rsidR="00F5577F" w:rsidRPr="00167B16" w:rsidRDefault="00F5577F" w:rsidP="00260F74">
            <w:pPr>
              <w:pStyle w:val="TableText"/>
              <w:spacing w:before="0"/>
              <w:rPr>
                <w:rFonts w:cs="Calibri"/>
              </w:rPr>
            </w:pPr>
          </w:p>
        </w:tc>
      </w:tr>
      <w:tr w:rsidR="00F5577F" w:rsidRPr="00CF7E1B" w14:paraId="5D053D7B" w14:textId="77777777" w:rsidTr="007D011E">
        <w:trPr>
          <w:cantSplit/>
        </w:trPr>
        <w:tc>
          <w:tcPr>
            <w:tcW w:w="724" w:type="pct"/>
            <w:tcBorders>
              <w:top w:val="nil"/>
              <w:left w:val="single" w:sz="4" w:space="0" w:color="auto"/>
              <w:bottom w:val="nil"/>
              <w:right w:val="single" w:sz="4" w:space="0" w:color="auto"/>
            </w:tcBorders>
          </w:tcPr>
          <w:p w14:paraId="2E12B1B0"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E376835" w14:textId="77777777" w:rsidR="00BA2D61" w:rsidRPr="00167B16" w:rsidRDefault="00BA2D61" w:rsidP="00260F74">
            <w:pPr>
              <w:pStyle w:val="TableText"/>
              <w:spacing w:before="0"/>
              <w:rPr>
                <w:rFonts w:cs="Calibri"/>
              </w:rPr>
            </w:pPr>
          </w:p>
        </w:tc>
        <w:tc>
          <w:tcPr>
            <w:tcW w:w="460" w:type="pct"/>
            <w:gridSpan w:val="2"/>
            <w:tcBorders>
              <w:top w:val="double" w:sz="4" w:space="0" w:color="auto"/>
              <w:left w:val="nil"/>
              <w:bottom w:val="nil"/>
              <w:right w:val="nil"/>
            </w:tcBorders>
            <w:vAlign w:val="bottom"/>
          </w:tcPr>
          <w:p w14:paraId="4EA586BB" w14:textId="77777777" w:rsidR="00BA2D61" w:rsidRPr="00167B16" w:rsidRDefault="00BA2D61" w:rsidP="00260F74">
            <w:pPr>
              <w:pStyle w:val="TableText"/>
              <w:spacing w:before="0"/>
              <w:rPr>
                <w:rFonts w:cs="Calibri"/>
              </w:rPr>
            </w:pPr>
          </w:p>
        </w:tc>
        <w:tc>
          <w:tcPr>
            <w:tcW w:w="110" w:type="pct"/>
            <w:gridSpan w:val="2"/>
            <w:tcBorders>
              <w:top w:val="double" w:sz="4" w:space="0" w:color="auto"/>
              <w:left w:val="nil"/>
              <w:bottom w:val="nil"/>
              <w:right w:val="nil"/>
            </w:tcBorders>
            <w:vAlign w:val="bottom"/>
          </w:tcPr>
          <w:p w14:paraId="3F2E86BB" w14:textId="77777777" w:rsidR="00BA2D61" w:rsidRPr="00167B16" w:rsidRDefault="00BA2D61" w:rsidP="00260F74">
            <w:pPr>
              <w:pStyle w:val="TableText"/>
              <w:spacing w:before="0"/>
              <w:rPr>
                <w:rFonts w:cs="Calibri"/>
              </w:rPr>
            </w:pPr>
          </w:p>
        </w:tc>
        <w:tc>
          <w:tcPr>
            <w:tcW w:w="1148" w:type="pct"/>
            <w:gridSpan w:val="6"/>
            <w:tcBorders>
              <w:top w:val="double" w:sz="4" w:space="0" w:color="auto"/>
              <w:left w:val="nil"/>
              <w:bottom w:val="nil"/>
              <w:right w:val="nil"/>
            </w:tcBorders>
            <w:vAlign w:val="bottom"/>
          </w:tcPr>
          <w:p w14:paraId="76F382C1" w14:textId="77777777" w:rsidR="00BA2D61" w:rsidRPr="00167B16" w:rsidRDefault="00BA2D61" w:rsidP="00260F74">
            <w:pPr>
              <w:pStyle w:val="TableText"/>
              <w:spacing w:before="0"/>
              <w:rPr>
                <w:rFonts w:cs="Calibri"/>
              </w:rPr>
            </w:pPr>
          </w:p>
        </w:tc>
        <w:tc>
          <w:tcPr>
            <w:tcW w:w="110" w:type="pct"/>
            <w:gridSpan w:val="2"/>
            <w:tcBorders>
              <w:top w:val="nil"/>
              <w:left w:val="nil"/>
              <w:bottom w:val="nil"/>
              <w:right w:val="nil"/>
            </w:tcBorders>
            <w:vAlign w:val="bottom"/>
          </w:tcPr>
          <w:p w14:paraId="76EC299C" w14:textId="77777777" w:rsidR="00BA2D61" w:rsidRPr="00167B16" w:rsidRDefault="00BA2D61" w:rsidP="00260F74">
            <w:pPr>
              <w:pStyle w:val="TableText"/>
              <w:spacing w:before="0"/>
              <w:rPr>
                <w:rFonts w:cs="Calibri"/>
              </w:rPr>
            </w:pPr>
          </w:p>
        </w:tc>
      </w:tr>
      <w:tr w:rsidR="00BA2D61" w:rsidRPr="00CF7E1B" w14:paraId="5A1DEBFE"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CF5043A"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0EB01AB6" w14:textId="77777777" w:rsidR="00BA2D61" w:rsidRPr="00167B16" w:rsidRDefault="00BA2D61" w:rsidP="00260F74">
            <w:pPr>
              <w:pStyle w:val="TableText"/>
              <w:spacing w:before="0"/>
              <w:rPr>
                <w:rFonts w:cs="Calibri"/>
              </w:rPr>
            </w:pPr>
          </w:p>
        </w:tc>
        <w:tc>
          <w:tcPr>
            <w:tcW w:w="1721" w:type="pct"/>
            <w:gridSpan w:val="11"/>
            <w:tcBorders>
              <w:top w:val="nil"/>
              <w:left w:val="nil"/>
              <w:bottom w:val="nil"/>
              <w:right w:val="nil"/>
            </w:tcBorders>
            <w:vAlign w:val="bottom"/>
          </w:tcPr>
          <w:p w14:paraId="14FD727D" w14:textId="77777777" w:rsidR="00BA2D61" w:rsidRPr="00167B16" w:rsidRDefault="00BA2D61" w:rsidP="00BA2D61">
            <w:pPr>
              <w:pStyle w:val="TableText"/>
              <w:spacing w:before="0"/>
              <w:jc w:val="center"/>
              <w:rPr>
                <w:rFonts w:cs="Calibri"/>
                <w:b/>
                <w:bCs/>
              </w:rPr>
            </w:pPr>
          </w:p>
        </w:tc>
      </w:tr>
      <w:tr w:rsidR="00BA2D61" w:rsidRPr="00CF7E1B" w14:paraId="7F94D40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50E8901"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9AAAEE0" w14:textId="77777777" w:rsidR="00BA2D61" w:rsidRPr="00167B16" w:rsidRDefault="00BA2D61" w:rsidP="00260F74">
            <w:pPr>
              <w:pStyle w:val="TableText"/>
              <w:spacing w:before="0"/>
              <w:rPr>
                <w:rFonts w:cs="Calibri"/>
              </w:rPr>
            </w:pPr>
          </w:p>
        </w:tc>
        <w:tc>
          <w:tcPr>
            <w:tcW w:w="1721" w:type="pct"/>
            <w:gridSpan w:val="11"/>
            <w:tcBorders>
              <w:top w:val="nil"/>
              <w:left w:val="nil"/>
              <w:bottom w:val="single" w:sz="4" w:space="0" w:color="auto"/>
              <w:right w:val="nil"/>
            </w:tcBorders>
            <w:vAlign w:val="bottom"/>
          </w:tcPr>
          <w:p w14:paraId="335C8631" w14:textId="6C4E9DE7"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5A41B6">
              <w:rPr>
                <w:rFonts w:cs="Calibri"/>
                <w:b/>
                <w:bCs/>
              </w:rPr>
              <w:t>2</w:t>
            </w:r>
          </w:p>
        </w:tc>
      </w:tr>
      <w:tr w:rsidR="00F5577F" w:rsidRPr="00CF7E1B" w14:paraId="57B17B3E"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D4920A0"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49755EAF" w14:textId="77777777" w:rsidR="00F5577F" w:rsidRPr="00167B16" w:rsidRDefault="00F5577F" w:rsidP="00260F74">
            <w:pPr>
              <w:pStyle w:val="TableText"/>
              <w:spacing w:before="0"/>
              <w:rPr>
                <w:rFonts w:cs="Calibri"/>
              </w:rPr>
            </w:pPr>
          </w:p>
        </w:tc>
        <w:tc>
          <w:tcPr>
            <w:tcW w:w="724" w:type="pct"/>
            <w:gridSpan w:val="6"/>
            <w:tcBorders>
              <w:top w:val="single" w:sz="4" w:space="0" w:color="auto"/>
              <w:left w:val="nil"/>
              <w:bottom w:val="nil"/>
              <w:right w:val="nil"/>
            </w:tcBorders>
            <w:vAlign w:val="bottom"/>
          </w:tcPr>
          <w:p w14:paraId="07FD7DD8" w14:textId="21AA5C17" w:rsidR="00F5577F" w:rsidRPr="00167B16" w:rsidRDefault="00F5577F" w:rsidP="00BA2D61">
            <w:pPr>
              <w:pStyle w:val="TableTitle"/>
              <w:tabs>
                <w:tab w:val="left" w:pos="3306"/>
              </w:tabs>
              <w:rPr>
                <w:rFonts w:cs="Calibri"/>
              </w:rPr>
            </w:pPr>
            <w:r w:rsidRPr="00167B16">
              <w:rPr>
                <w:rFonts w:cs="Calibri"/>
              </w:rPr>
              <w:t>Level 3</w:t>
            </w:r>
          </w:p>
        </w:tc>
        <w:tc>
          <w:tcPr>
            <w:tcW w:w="997" w:type="pct"/>
            <w:gridSpan w:val="5"/>
            <w:tcBorders>
              <w:top w:val="single" w:sz="4" w:space="0" w:color="auto"/>
              <w:left w:val="nil"/>
              <w:bottom w:val="nil"/>
              <w:right w:val="nil"/>
            </w:tcBorders>
            <w:vAlign w:val="bottom"/>
          </w:tcPr>
          <w:p w14:paraId="22D16F8F" w14:textId="1F9BB1D4" w:rsidR="00F5577F" w:rsidRPr="00167B16" w:rsidRDefault="00F5577F" w:rsidP="00BA2D61">
            <w:pPr>
              <w:pStyle w:val="TableTitle"/>
              <w:tabs>
                <w:tab w:val="left" w:pos="3306"/>
              </w:tabs>
              <w:rPr>
                <w:rFonts w:cs="Calibri"/>
              </w:rPr>
            </w:pPr>
            <w:r w:rsidRPr="00167B16">
              <w:rPr>
                <w:rFonts w:cs="Calibri"/>
              </w:rPr>
              <w:t>Total</w:t>
            </w:r>
          </w:p>
        </w:tc>
      </w:tr>
      <w:tr w:rsidR="00F5577F" w:rsidRPr="00CF7E1B" w14:paraId="097BD62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3085898B" w14:textId="77777777" w:rsidR="00F5577F" w:rsidRPr="00AD586B" w:rsidRDefault="00F5577F" w:rsidP="00BA2D61">
            <w:pPr>
              <w:pStyle w:val="TableReference"/>
              <w:spacing w:before="60"/>
              <w:rPr>
                <w:rFonts w:cs="Calibri"/>
                <w:color w:val="7030A0"/>
                <w:sz w:val="14"/>
              </w:rPr>
            </w:pPr>
            <w:r w:rsidRPr="00AD586B">
              <w:rPr>
                <w:rFonts w:cs="Calibri"/>
                <w:color w:val="7030A0"/>
                <w:sz w:val="14"/>
              </w:rPr>
              <w:t>AASB 13.93 (a) &amp; (b)</w:t>
            </w:r>
          </w:p>
          <w:p w14:paraId="23E53A87" w14:textId="0DFA6F98"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448" w:type="pct"/>
            <w:tcBorders>
              <w:top w:val="nil"/>
              <w:left w:val="single" w:sz="4" w:space="0" w:color="auto"/>
              <w:bottom w:val="nil"/>
              <w:right w:val="nil"/>
            </w:tcBorders>
          </w:tcPr>
          <w:p w14:paraId="2C030551" w14:textId="4DACCC91" w:rsidR="00F5577F" w:rsidRPr="00167B16" w:rsidRDefault="00F5577F" w:rsidP="00BA2D61">
            <w:pPr>
              <w:pStyle w:val="TableText"/>
              <w:spacing w:before="0"/>
              <w:rPr>
                <w:rFonts w:cs="Calibri"/>
              </w:rPr>
            </w:pPr>
            <w:r w:rsidRPr="00167B16">
              <w:rPr>
                <w:rFonts w:cs="Calibri"/>
                <w:b/>
                <w:bCs/>
              </w:rPr>
              <w:t>Non-Current Assets Held for Sale at Fair Value</w:t>
            </w:r>
          </w:p>
        </w:tc>
        <w:tc>
          <w:tcPr>
            <w:tcW w:w="724" w:type="pct"/>
            <w:gridSpan w:val="6"/>
            <w:tcBorders>
              <w:top w:val="nil"/>
              <w:left w:val="nil"/>
              <w:bottom w:val="nil"/>
              <w:right w:val="nil"/>
            </w:tcBorders>
          </w:tcPr>
          <w:p w14:paraId="0757332E" w14:textId="5B09B6D4" w:rsidR="00F5577F" w:rsidRPr="00167B16" w:rsidRDefault="00F5577F" w:rsidP="00BA2D61">
            <w:pPr>
              <w:pStyle w:val="TableText"/>
              <w:spacing w:before="0"/>
              <w:jc w:val="right"/>
              <w:rPr>
                <w:rFonts w:cs="Calibri"/>
                <w:b/>
                <w:bCs/>
              </w:rPr>
            </w:pPr>
            <w:r w:rsidRPr="00167B16">
              <w:rPr>
                <w:rFonts w:cs="Calibri"/>
                <w:b/>
                <w:bCs/>
              </w:rPr>
              <w:t>$’000</w:t>
            </w:r>
          </w:p>
        </w:tc>
        <w:tc>
          <w:tcPr>
            <w:tcW w:w="997" w:type="pct"/>
            <w:gridSpan w:val="5"/>
            <w:tcBorders>
              <w:top w:val="nil"/>
              <w:left w:val="nil"/>
              <w:bottom w:val="nil"/>
              <w:right w:val="nil"/>
            </w:tcBorders>
          </w:tcPr>
          <w:p w14:paraId="375315E5" w14:textId="545D7DA7" w:rsidR="00F5577F" w:rsidRPr="00167B16" w:rsidRDefault="00F5577F" w:rsidP="00BA2D61">
            <w:pPr>
              <w:pStyle w:val="TableText"/>
              <w:spacing w:before="0"/>
              <w:jc w:val="right"/>
              <w:rPr>
                <w:rFonts w:cs="Calibri"/>
                <w:b/>
                <w:bCs/>
              </w:rPr>
            </w:pPr>
            <w:r w:rsidRPr="00167B16">
              <w:rPr>
                <w:rFonts w:cs="Calibri"/>
                <w:b/>
                <w:bCs/>
              </w:rPr>
              <w:t>$’000</w:t>
            </w:r>
          </w:p>
        </w:tc>
      </w:tr>
      <w:tr w:rsidR="00F5577F" w:rsidRPr="00CF7E1B" w14:paraId="1B99AA45"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5A3BD32" w14:textId="200D1258" w:rsidR="00F5577F" w:rsidRPr="00AD586B" w:rsidRDefault="00F5577F"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259E0C3F" w14:textId="0B2EE5B9" w:rsidR="00F5577F" w:rsidRPr="00167B16" w:rsidRDefault="00F5577F" w:rsidP="00BA2D61">
            <w:pPr>
              <w:pStyle w:val="TableText"/>
              <w:spacing w:before="0"/>
              <w:rPr>
                <w:rFonts w:cs="Calibri"/>
                <w:b/>
                <w:bCs/>
              </w:rPr>
            </w:pPr>
            <w:r w:rsidRPr="00167B16">
              <w:rPr>
                <w:rFonts w:cs="Calibri"/>
              </w:rPr>
              <w:t>Plant and Equipment</w:t>
            </w:r>
          </w:p>
        </w:tc>
        <w:tc>
          <w:tcPr>
            <w:tcW w:w="724" w:type="pct"/>
            <w:gridSpan w:val="6"/>
            <w:tcBorders>
              <w:top w:val="nil"/>
              <w:left w:val="nil"/>
              <w:bottom w:val="single" w:sz="2" w:space="0" w:color="auto"/>
              <w:right w:val="nil"/>
            </w:tcBorders>
            <w:vAlign w:val="bottom"/>
          </w:tcPr>
          <w:p w14:paraId="3FDC70ED" w14:textId="77777777" w:rsidR="00F5577F" w:rsidRPr="00167B16" w:rsidRDefault="00F5577F" w:rsidP="00BA2D61">
            <w:pPr>
              <w:pStyle w:val="TableText"/>
              <w:spacing w:before="0"/>
              <w:rPr>
                <w:rFonts w:cs="Calibri"/>
              </w:rPr>
            </w:pPr>
          </w:p>
        </w:tc>
        <w:tc>
          <w:tcPr>
            <w:tcW w:w="997" w:type="pct"/>
            <w:gridSpan w:val="5"/>
            <w:tcBorders>
              <w:top w:val="nil"/>
              <w:left w:val="nil"/>
              <w:bottom w:val="single" w:sz="2" w:space="0" w:color="auto"/>
              <w:right w:val="nil"/>
            </w:tcBorders>
            <w:vAlign w:val="bottom"/>
          </w:tcPr>
          <w:p w14:paraId="06E50912" w14:textId="77777777" w:rsidR="00F5577F" w:rsidRPr="00167B16" w:rsidRDefault="00F5577F" w:rsidP="00BA2D61">
            <w:pPr>
              <w:pStyle w:val="TableText"/>
              <w:spacing w:before="0"/>
              <w:rPr>
                <w:rFonts w:cs="Calibri"/>
              </w:rPr>
            </w:pPr>
          </w:p>
        </w:tc>
      </w:tr>
      <w:tr w:rsidR="00F5577F" w:rsidRPr="00CF7E1B" w14:paraId="690057F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79E8798" w14:textId="77777777" w:rsidR="00F5577F" w:rsidRPr="00AD586B" w:rsidRDefault="00F5577F"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7C4DA4B" w14:textId="54E25DA2" w:rsidR="00F5577F" w:rsidRPr="00167B16" w:rsidRDefault="00F5577F" w:rsidP="00BA2D61">
            <w:pPr>
              <w:pStyle w:val="TableText"/>
              <w:spacing w:before="0"/>
              <w:rPr>
                <w:rFonts w:cs="Calibri"/>
              </w:rPr>
            </w:pPr>
          </w:p>
        </w:tc>
        <w:tc>
          <w:tcPr>
            <w:tcW w:w="724" w:type="pct"/>
            <w:gridSpan w:val="6"/>
            <w:tcBorders>
              <w:top w:val="single" w:sz="2" w:space="0" w:color="auto"/>
              <w:left w:val="nil"/>
              <w:bottom w:val="double" w:sz="4" w:space="0" w:color="auto"/>
              <w:right w:val="nil"/>
            </w:tcBorders>
            <w:vAlign w:val="bottom"/>
          </w:tcPr>
          <w:p w14:paraId="6ABA9D26" w14:textId="77777777" w:rsidR="00F5577F" w:rsidRPr="00167B16" w:rsidRDefault="00F5577F" w:rsidP="00BA2D61">
            <w:pPr>
              <w:pStyle w:val="TableText"/>
              <w:spacing w:before="0"/>
              <w:rPr>
                <w:rFonts w:cs="Calibri"/>
              </w:rPr>
            </w:pPr>
          </w:p>
        </w:tc>
        <w:tc>
          <w:tcPr>
            <w:tcW w:w="997" w:type="pct"/>
            <w:gridSpan w:val="5"/>
            <w:tcBorders>
              <w:top w:val="single" w:sz="2" w:space="0" w:color="auto"/>
              <w:left w:val="nil"/>
              <w:bottom w:val="double" w:sz="4" w:space="0" w:color="auto"/>
              <w:right w:val="nil"/>
            </w:tcBorders>
            <w:vAlign w:val="bottom"/>
          </w:tcPr>
          <w:p w14:paraId="142BA25C" w14:textId="77777777" w:rsidR="00F5577F" w:rsidRPr="00167B16" w:rsidRDefault="00F5577F" w:rsidP="00BA2D61">
            <w:pPr>
              <w:pStyle w:val="TableText"/>
              <w:spacing w:before="0"/>
              <w:rPr>
                <w:rFonts w:cs="Calibri"/>
              </w:rPr>
            </w:pPr>
          </w:p>
        </w:tc>
      </w:tr>
      <w:tr w:rsidR="00167B16" w:rsidRPr="00CF7E1B" w14:paraId="46581EA6"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04A86AA8" w14:textId="77777777" w:rsidR="00BA2D61" w:rsidRPr="00AD586B" w:rsidRDefault="00BA2D61"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4C107158" w14:textId="77777777" w:rsidR="00BA2D61" w:rsidRPr="00167B16" w:rsidRDefault="00BA2D61" w:rsidP="00BA2D61">
            <w:pPr>
              <w:pStyle w:val="TableText"/>
              <w:spacing w:before="0"/>
              <w:rPr>
                <w:rFonts w:cs="Calibri"/>
              </w:rPr>
            </w:pPr>
          </w:p>
        </w:tc>
        <w:tc>
          <w:tcPr>
            <w:tcW w:w="110" w:type="pct"/>
            <w:tcBorders>
              <w:top w:val="double" w:sz="4" w:space="0" w:color="auto"/>
              <w:left w:val="nil"/>
              <w:bottom w:val="nil"/>
              <w:right w:val="nil"/>
            </w:tcBorders>
            <w:vAlign w:val="bottom"/>
          </w:tcPr>
          <w:p w14:paraId="2DD90D4B" w14:textId="77777777" w:rsidR="00BA2D61" w:rsidRPr="00167B16" w:rsidRDefault="00BA2D61" w:rsidP="00BA2D61">
            <w:pPr>
              <w:pStyle w:val="TableText"/>
              <w:spacing w:before="0"/>
              <w:rPr>
                <w:rFonts w:cs="Calibri"/>
              </w:rPr>
            </w:pPr>
          </w:p>
        </w:tc>
        <w:tc>
          <w:tcPr>
            <w:tcW w:w="603" w:type="pct"/>
            <w:gridSpan w:val="4"/>
            <w:tcBorders>
              <w:top w:val="double" w:sz="4" w:space="0" w:color="auto"/>
              <w:left w:val="nil"/>
              <w:bottom w:val="nil"/>
              <w:right w:val="nil"/>
            </w:tcBorders>
            <w:vAlign w:val="bottom"/>
          </w:tcPr>
          <w:p w14:paraId="7ADFC54B" w14:textId="77777777" w:rsidR="00BA2D61" w:rsidRPr="00167B16" w:rsidRDefault="00BA2D61" w:rsidP="00BA2D61">
            <w:pPr>
              <w:pStyle w:val="TableText"/>
              <w:spacing w:before="0"/>
              <w:rPr>
                <w:rFonts w:cs="Calibri"/>
              </w:rPr>
            </w:pPr>
          </w:p>
        </w:tc>
        <w:tc>
          <w:tcPr>
            <w:tcW w:w="657" w:type="pct"/>
            <w:gridSpan w:val="4"/>
            <w:tcBorders>
              <w:top w:val="double" w:sz="4" w:space="0" w:color="auto"/>
              <w:left w:val="nil"/>
              <w:bottom w:val="nil"/>
              <w:right w:val="nil"/>
            </w:tcBorders>
            <w:vAlign w:val="bottom"/>
          </w:tcPr>
          <w:p w14:paraId="75A0C049" w14:textId="77777777" w:rsidR="00BA2D61" w:rsidRPr="00167B16" w:rsidRDefault="00BA2D61" w:rsidP="00BA2D61">
            <w:pPr>
              <w:pStyle w:val="TableText"/>
              <w:spacing w:before="0"/>
              <w:rPr>
                <w:rFonts w:cs="Calibri"/>
              </w:rPr>
            </w:pPr>
          </w:p>
        </w:tc>
        <w:tc>
          <w:tcPr>
            <w:tcW w:w="348" w:type="pct"/>
            <w:tcBorders>
              <w:top w:val="double" w:sz="4" w:space="0" w:color="auto"/>
              <w:left w:val="nil"/>
              <w:bottom w:val="nil"/>
              <w:right w:val="nil"/>
            </w:tcBorders>
            <w:vAlign w:val="bottom"/>
          </w:tcPr>
          <w:p w14:paraId="32FD9C0B" w14:textId="77777777" w:rsidR="00BA2D61" w:rsidRPr="00167B16" w:rsidRDefault="00BA2D61" w:rsidP="00BA2D61">
            <w:pPr>
              <w:pStyle w:val="TableText"/>
              <w:spacing w:before="0"/>
              <w:rPr>
                <w:rFonts w:cs="Calibri"/>
              </w:rPr>
            </w:pPr>
          </w:p>
        </w:tc>
      </w:tr>
      <w:tr w:rsidR="00BA2D61" w:rsidRPr="00CF7E1B" w14:paraId="36BDD557"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A6E3F12" w14:textId="77777777" w:rsidR="00BA2D61" w:rsidRPr="00AD586B" w:rsidRDefault="00BA2D61" w:rsidP="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22767D9E" w14:textId="4C1343DE" w:rsidR="00BA2D61" w:rsidRPr="00167B16" w:rsidRDefault="00BA2D61" w:rsidP="00E65C53">
            <w:pPr>
              <w:pStyle w:val="TableText"/>
              <w:tabs>
                <w:tab w:val="left" w:pos="3306"/>
              </w:tabs>
              <w:spacing w:before="120" w:after="120"/>
              <w:rPr>
                <w:rFonts w:cs="Calibri"/>
                <w:i/>
              </w:rPr>
            </w:pPr>
            <w:r w:rsidRPr="00167B16">
              <w:rPr>
                <w:rFonts w:cs="Calibri"/>
              </w:rPr>
              <w:t xml:space="preserve">The Fair Value Hierarchy is discussed in Note </w:t>
            </w:r>
            <w:r w:rsidR="00762E7F" w:rsidRPr="00167B16">
              <w:rPr>
                <w:rFonts w:cs="Calibri"/>
              </w:rPr>
              <w:t>19</w:t>
            </w:r>
            <w:r w:rsidR="00292348" w:rsidRPr="00167B16">
              <w:rPr>
                <w:rFonts w:cs="Calibri"/>
              </w:rPr>
              <w:t xml:space="preserve"> </w:t>
            </w:r>
            <w:r w:rsidRPr="00167B16">
              <w:rPr>
                <w:rFonts w:cs="Calibri"/>
                <w:i/>
              </w:rPr>
              <w:t>Property, Plant and Equipment</w:t>
            </w:r>
            <w:r w:rsidRPr="00167B16">
              <w:rPr>
                <w:rFonts w:cs="Calibri"/>
              </w:rPr>
              <w:t>.</w:t>
            </w:r>
            <w:r w:rsidRPr="00167B16">
              <w:rPr>
                <w:rFonts w:cs="Calibri"/>
                <w:i/>
              </w:rPr>
              <w:t xml:space="preserve"> </w:t>
            </w:r>
          </w:p>
        </w:tc>
      </w:tr>
      <w:tr w:rsidR="00BA2D61" w:rsidRPr="00CF7E1B" w14:paraId="09D51C01"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BAE3443" w14:textId="77777777" w:rsidR="00BA2D61" w:rsidRPr="00AD586B" w:rsidRDefault="00BA2D61" w:rsidP="00BA2D61">
            <w:pPr>
              <w:pStyle w:val="TableReference"/>
              <w:rPr>
                <w:rFonts w:cs="Calibri"/>
                <w:color w:val="7030A0"/>
                <w:sz w:val="14"/>
              </w:rPr>
            </w:pPr>
            <w:r w:rsidRPr="00AD586B">
              <w:rPr>
                <w:rFonts w:cs="Calibri"/>
                <w:color w:val="7030A0"/>
                <w:sz w:val="14"/>
              </w:rPr>
              <w:t>AASB 13 .93(c)&amp; (e)(iv)</w:t>
            </w:r>
          </w:p>
        </w:tc>
        <w:tc>
          <w:tcPr>
            <w:tcW w:w="4169" w:type="pct"/>
            <w:gridSpan w:val="12"/>
            <w:tcBorders>
              <w:top w:val="nil"/>
              <w:left w:val="single" w:sz="4" w:space="0" w:color="auto"/>
              <w:bottom w:val="nil"/>
              <w:right w:val="nil"/>
            </w:tcBorders>
            <w:vAlign w:val="bottom"/>
          </w:tcPr>
          <w:p w14:paraId="5517B705" w14:textId="77777777" w:rsidR="00BA2D61" w:rsidRPr="00167B16" w:rsidRDefault="00BA2D61" w:rsidP="00BA2D61">
            <w:pPr>
              <w:jc w:val="both"/>
              <w:rPr>
                <w:rFonts w:cs="Calibri"/>
                <w:sz w:val="18"/>
                <w:szCs w:val="18"/>
              </w:rPr>
            </w:pPr>
            <w:r w:rsidRPr="00167B16">
              <w:rPr>
                <w:rFonts w:cs="Calibri"/>
                <w:b/>
                <w:sz w:val="18"/>
                <w:szCs w:val="18"/>
              </w:rPr>
              <w:t>Transfers Between Categories</w:t>
            </w:r>
          </w:p>
        </w:tc>
      </w:tr>
      <w:tr w:rsidR="00BA2D61" w:rsidRPr="00CF7E1B" w14:paraId="292896C1"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4F9FF607" w14:textId="77777777" w:rsidR="00BA2D61" w:rsidRPr="00AD586B" w:rsidRDefault="00BA2D61" w:rsidP="00BA2D61">
            <w:pPr>
              <w:pStyle w:val="TableReference"/>
              <w:spacing w:before="60"/>
              <w:rPr>
                <w:rFonts w:cs="Calibri"/>
                <w:color w:val="7030A0"/>
                <w:sz w:val="14"/>
              </w:rPr>
            </w:pPr>
          </w:p>
        </w:tc>
        <w:tc>
          <w:tcPr>
            <w:tcW w:w="4169" w:type="pct"/>
            <w:gridSpan w:val="12"/>
            <w:tcBorders>
              <w:top w:val="nil"/>
              <w:left w:val="single" w:sz="4" w:space="0" w:color="auto"/>
              <w:bottom w:val="nil"/>
              <w:right w:val="nil"/>
            </w:tcBorders>
            <w:vAlign w:val="bottom"/>
          </w:tcPr>
          <w:p w14:paraId="46AE5611" w14:textId="1DDA8141" w:rsidR="00BA2D61" w:rsidRPr="00167B16" w:rsidRDefault="00BA2D61" w:rsidP="00BA2D61">
            <w:pPr>
              <w:pStyle w:val="TableText"/>
              <w:spacing w:before="0" w:after="120"/>
              <w:rPr>
                <w:rFonts w:cs="Calibri"/>
              </w:rPr>
            </w:pPr>
            <w:r w:rsidRPr="00167B16">
              <w:rPr>
                <w:rFonts w:cs="Calibri"/>
              </w:rPr>
              <w:t>There were no transfers between Levels 2 and 3 during the current and previous reporting period.</w:t>
            </w:r>
          </w:p>
        </w:tc>
      </w:tr>
      <w:tr w:rsidR="00BA2D61" w:rsidRPr="00CF7E1B" w14:paraId="7BA41BC9"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52C3605" w14:textId="77777777" w:rsidR="00BA2D61" w:rsidRPr="00AD586B" w:rsidRDefault="00BA2D61" w:rsidP="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5C21115E" w14:textId="5143F219" w:rsidR="00BA2D61" w:rsidRPr="00167B16" w:rsidRDefault="00BA2D61" w:rsidP="00BA2D61">
            <w:pPr>
              <w:jc w:val="both"/>
              <w:rPr>
                <w:rFonts w:cs="Calibri"/>
                <w:b/>
                <w:sz w:val="18"/>
                <w:szCs w:val="18"/>
              </w:rPr>
            </w:pPr>
            <w:r w:rsidRPr="00167B16">
              <w:rPr>
                <w:rFonts w:cs="Calibri"/>
                <w:b/>
                <w:sz w:val="18"/>
                <w:szCs w:val="18"/>
              </w:rPr>
              <w:t>Valuation techniques, inputs and processes</w:t>
            </w:r>
          </w:p>
        </w:tc>
      </w:tr>
      <w:tr w:rsidR="00BA2D61" w:rsidRPr="00CF7E1B" w14:paraId="02CF310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1CAE9A6" w14:textId="77777777" w:rsidR="00BA2D61" w:rsidRPr="00AD586B" w:rsidRDefault="00BA2D61" w:rsidP="00BA2D61">
            <w:pPr>
              <w:pStyle w:val="TableReference"/>
              <w:spacing w:before="60"/>
              <w:rPr>
                <w:rFonts w:cs="Calibri"/>
                <w:color w:val="7030A0"/>
                <w:sz w:val="14"/>
              </w:rPr>
            </w:pPr>
            <w:r w:rsidRPr="00AD586B">
              <w:rPr>
                <w:rFonts w:cs="Calibri"/>
                <w:color w:val="7030A0"/>
                <w:sz w:val="14"/>
              </w:rPr>
              <w:t>AASB 18.93(d)</w:t>
            </w:r>
          </w:p>
        </w:tc>
        <w:tc>
          <w:tcPr>
            <w:tcW w:w="4169" w:type="pct"/>
            <w:gridSpan w:val="12"/>
            <w:tcBorders>
              <w:top w:val="nil"/>
              <w:left w:val="single" w:sz="4" w:space="0" w:color="auto"/>
              <w:bottom w:val="nil"/>
              <w:right w:val="nil"/>
            </w:tcBorders>
            <w:vAlign w:val="bottom"/>
          </w:tcPr>
          <w:p w14:paraId="40727A6B" w14:textId="65D8A05B" w:rsidR="00BA2D61" w:rsidRPr="00167B16" w:rsidRDefault="00BA2D61" w:rsidP="00E65C53">
            <w:pPr>
              <w:pStyle w:val="TableText"/>
              <w:spacing w:before="0"/>
              <w:jc w:val="both"/>
            </w:pPr>
            <w:r w:rsidRPr="00167B16">
              <w:rPr>
                <w:rFonts w:cs="Calibri"/>
              </w:rPr>
              <w:t>Level 2 fair values of assets held for sale are derived using the market approach.</w:t>
            </w:r>
            <w:r w:rsidR="00FA7C77">
              <w:rPr>
                <w:rFonts w:cs="Calibri"/>
              </w:rPr>
              <w:t xml:space="preserve"> </w:t>
            </w:r>
            <w:r w:rsidRPr="00167B16">
              <w:rPr>
                <w:rFonts w:cs="Calibri"/>
              </w:rPr>
              <w:t>These assets have been written down to fair value less costs to sell.</w:t>
            </w:r>
            <w:r w:rsidR="00FA7C77">
              <w:rPr>
                <w:rFonts w:cs="Calibri"/>
              </w:rPr>
              <w:t xml:space="preserve"> </w:t>
            </w:r>
            <w:r w:rsidRPr="00167B16">
              <w:rPr>
                <w:rFonts w:cs="Calibri"/>
              </w:rPr>
              <w:t>Fair value has been determined by reference to market evidence of sales prices of comparable assets.</w:t>
            </w:r>
            <w:r w:rsidR="00FA7C77">
              <w:rPr>
                <w:rFonts w:cs="Calibri"/>
              </w:rPr>
              <w:t xml:space="preserve"> </w:t>
            </w:r>
            <w:r w:rsidRPr="00167B16">
              <w:rPr>
                <w:rFonts w:cs="Calibri"/>
              </w:rPr>
              <w:t>Assets held for sale represent a non-recurring fair value measurement.</w:t>
            </w:r>
          </w:p>
        </w:tc>
      </w:tr>
    </w:tbl>
    <w:p w14:paraId="59604090" w14:textId="0DB82B7C" w:rsidR="00AD586B" w:rsidRDefault="00AD586B">
      <w:r>
        <w:br w:type="page"/>
      </w:r>
    </w:p>
    <w:tbl>
      <w:tblPr>
        <w:tblW w:w="5133"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3825"/>
        <w:gridCol w:w="2563"/>
        <w:gridCol w:w="273"/>
        <w:gridCol w:w="991"/>
        <w:gridCol w:w="1283"/>
      </w:tblGrid>
      <w:tr w:rsidR="00BA2D61" w:rsidRPr="00CF7E1B" w14:paraId="67E9944C" w14:textId="77777777" w:rsidTr="002B12D3">
        <w:trPr>
          <w:cantSplit/>
        </w:trPr>
        <w:tc>
          <w:tcPr>
            <w:tcW w:w="744" w:type="pct"/>
            <w:tcBorders>
              <w:top w:val="nil"/>
              <w:left w:val="single" w:sz="4" w:space="0" w:color="auto"/>
              <w:bottom w:val="nil"/>
              <w:right w:val="single" w:sz="4" w:space="0" w:color="7030A0"/>
            </w:tcBorders>
          </w:tcPr>
          <w:p w14:paraId="28BE3305" w14:textId="4335DF93" w:rsidR="00BA2D61" w:rsidRPr="00AD586B" w:rsidRDefault="00AD586B" w:rsidP="000159C3">
            <w:pPr>
              <w:pStyle w:val="TableReference"/>
              <w:spacing w:before="240" w:after="240"/>
              <w:rPr>
                <w:rFonts w:cs="Calibri"/>
                <w:color w:val="7030A0"/>
                <w:sz w:val="14"/>
              </w:rPr>
            </w:pPr>
            <w:r w:rsidRPr="00AD586B">
              <w:rPr>
                <w:rFonts w:cs="Calibri"/>
                <w:b/>
                <w:color w:val="7030A0"/>
                <w:sz w:val="22"/>
                <w:szCs w:val="22"/>
              </w:rPr>
              <w:t>Reference</w:t>
            </w:r>
          </w:p>
        </w:tc>
        <w:tc>
          <w:tcPr>
            <w:tcW w:w="4256" w:type="pct"/>
            <w:gridSpan w:val="5"/>
            <w:tcBorders>
              <w:top w:val="nil"/>
              <w:left w:val="single" w:sz="4" w:space="0" w:color="7030A0"/>
              <w:bottom w:val="nil"/>
              <w:right w:val="single" w:sz="4" w:space="0" w:color="auto"/>
            </w:tcBorders>
            <w:shd w:val="clear" w:color="auto" w:fill="7030A0"/>
            <w:vAlign w:val="bottom"/>
          </w:tcPr>
          <w:p w14:paraId="23B81425" w14:textId="489890B7" w:rsidR="00BA2D61" w:rsidRPr="00AE2AE5" w:rsidRDefault="00BA2D61" w:rsidP="000159C3">
            <w:pPr>
              <w:pStyle w:val="CommentaryText"/>
              <w:spacing w:before="240" w:after="240"/>
              <w:rPr>
                <w:rFonts w:cs="Calibri"/>
                <w:b/>
                <w:color w:val="FFFFFF" w:themeColor="background1"/>
                <w:sz w:val="28"/>
                <w:szCs w:val="28"/>
              </w:rPr>
            </w:pPr>
            <w:r w:rsidRPr="00AE2AE5">
              <w:rPr>
                <w:rFonts w:cs="Calibri"/>
                <w:b/>
                <w:color w:val="FFFFFF" w:themeColor="background1"/>
                <w:sz w:val="28"/>
                <w:szCs w:val="28"/>
              </w:rPr>
              <w:t xml:space="preserve">Commentary – Note </w:t>
            </w:r>
            <w:r w:rsidR="00762E7F" w:rsidRPr="00AE2AE5">
              <w:rPr>
                <w:rFonts w:cs="Calibri"/>
                <w:b/>
                <w:color w:val="FFFFFF" w:themeColor="background1"/>
                <w:sz w:val="28"/>
                <w:szCs w:val="28"/>
              </w:rPr>
              <w:t>18</w:t>
            </w:r>
            <w:r w:rsidRPr="00AE2AE5">
              <w:rPr>
                <w:rFonts w:cs="Calibri"/>
                <w:b/>
                <w:color w:val="FFFFFF" w:themeColor="background1"/>
                <w:sz w:val="28"/>
                <w:szCs w:val="28"/>
              </w:rPr>
              <w:t>: Non–Current Assets Held for Sale</w:t>
            </w:r>
          </w:p>
        </w:tc>
      </w:tr>
      <w:tr w:rsidR="00BA2D61" w:rsidRPr="00CF7E1B" w14:paraId="0A1CD081" w14:textId="77777777" w:rsidTr="002B1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pct"/>
            <w:tcBorders>
              <w:left w:val="single" w:sz="4" w:space="0" w:color="auto"/>
              <w:right w:val="single" w:sz="4" w:space="0" w:color="7030A0"/>
            </w:tcBorders>
          </w:tcPr>
          <w:p w14:paraId="61992220"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5.7</w:t>
            </w:r>
          </w:p>
        </w:tc>
        <w:tc>
          <w:tcPr>
            <w:tcW w:w="4256" w:type="pct"/>
            <w:gridSpan w:val="5"/>
            <w:tcBorders>
              <w:left w:val="single" w:sz="4" w:space="0" w:color="7030A0"/>
              <w:right w:val="single" w:sz="4" w:space="0" w:color="auto"/>
            </w:tcBorders>
            <w:shd w:val="clear" w:color="auto" w:fill="7030A0"/>
          </w:tcPr>
          <w:p w14:paraId="1DCE303A" w14:textId="77777777"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For an asset to be classified as held for sale it must be available for immediate sale in its present condition subject only to terms that are usual and customary for the sale of such assets and the sale must be highly probable.</w:t>
            </w:r>
          </w:p>
        </w:tc>
      </w:tr>
      <w:tr w:rsidR="00BA2D61" w:rsidRPr="00CF7E1B" w14:paraId="1C15D763" w14:textId="77777777" w:rsidTr="002B1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4" w:type="pct"/>
            <w:tcBorders>
              <w:left w:val="single" w:sz="4" w:space="0" w:color="auto"/>
              <w:right w:val="single" w:sz="4" w:space="0" w:color="7030A0"/>
            </w:tcBorders>
          </w:tcPr>
          <w:p w14:paraId="0E779785"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5.8</w:t>
            </w:r>
          </w:p>
        </w:tc>
        <w:tc>
          <w:tcPr>
            <w:tcW w:w="4256" w:type="pct"/>
            <w:gridSpan w:val="5"/>
            <w:tcBorders>
              <w:left w:val="single" w:sz="4" w:space="0" w:color="7030A0"/>
              <w:right w:val="single" w:sz="4" w:space="0" w:color="auto"/>
            </w:tcBorders>
            <w:shd w:val="clear" w:color="auto" w:fill="7030A0"/>
          </w:tcPr>
          <w:p w14:paraId="1CFC74B4" w14:textId="77777777" w:rsidR="00BA2D61" w:rsidRPr="00AE2AE5" w:rsidRDefault="00BA2D61" w:rsidP="00BA2D61">
            <w:pPr>
              <w:pStyle w:val="CommentaryText"/>
              <w:spacing w:before="60"/>
              <w:rPr>
                <w:rFonts w:cs="Calibri"/>
                <w:b/>
                <w:color w:val="FFFFFF" w:themeColor="background1"/>
                <w:sz w:val="18"/>
                <w:szCs w:val="18"/>
              </w:rPr>
            </w:pPr>
            <w:r w:rsidRPr="00AE2AE5">
              <w:rPr>
                <w:rFonts w:cs="Calibri"/>
                <w:color w:val="FFFFFF" w:themeColor="background1"/>
                <w:sz w:val="18"/>
                <w:szCs w:val="18"/>
              </w:rPr>
              <w:t>For the sale to be highly probable, the appropriate level of management must be committed to a plan to sell the asset (or disposal group), and an active program to locate a buyer and complete the plan must have been initiated. Further, the asset (or disposal group) must be actively marketed for sale at a price that is reasonable in relation to its current fair value. In addition, the sale should be expected to qualify for recognition as a completed sale within one year from the date of classification, except where circumstances beyond the agency’s control extend the period of sale, and actions required to complete the plan should indicate that it is unlikely that significant changes to the plan will be made or that the plan will be withdrawn.</w:t>
            </w:r>
          </w:p>
        </w:tc>
      </w:tr>
      <w:tr w:rsidR="00BA2D61" w:rsidRPr="00CF7E1B" w14:paraId="52961763" w14:textId="77777777" w:rsidTr="002B1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4" w:type="pct"/>
            <w:tcBorders>
              <w:left w:val="single" w:sz="4" w:space="0" w:color="auto"/>
              <w:right w:val="single" w:sz="4" w:space="0" w:color="7030A0"/>
            </w:tcBorders>
          </w:tcPr>
          <w:p w14:paraId="0CF4BB13" w14:textId="77777777" w:rsidR="00BA2D61" w:rsidRPr="00AD586B" w:rsidRDefault="00BA2D61" w:rsidP="00BA2D61">
            <w:pPr>
              <w:pStyle w:val="TableReference"/>
              <w:tabs>
                <w:tab w:val="left" w:pos="3306"/>
              </w:tabs>
              <w:spacing w:before="80"/>
              <w:rPr>
                <w:rFonts w:cs="Calibri"/>
                <w:color w:val="7030A0"/>
                <w:sz w:val="16"/>
                <w:szCs w:val="16"/>
              </w:rPr>
            </w:pPr>
          </w:p>
        </w:tc>
        <w:tc>
          <w:tcPr>
            <w:tcW w:w="4256" w:type="pct"/>
            <w:gridSpan w:val="5"/>
            <w:tcBorders>
              <w:left w:val="single" w:sz="4" w:space="0" w:color="7030A0"/>
              <w:right w:val="single" w:sz="4" w:space="0" w:color="auto"/>
            </w:tcBorders>
            <w:shd w:val="clear" w:color="auto" w:fill="7030A0"/>
          </w:tcPr>
          <w:p w14:paraId="23B96DAB" w14:textId="77777777" w:rsidR="00BA2D61" w:rsidRPr="00C85383" w:rsidRDefault="00BA2D61" w:rsidP="00CC1E25">
            <w:pPr>
              <w:pStyle w:val="CommentaryText"/>
              <w:spacing w:before="60" w:after="40"/>
              <w:rPr>
                <w:rFonts w:cs="Calibri"/>
                <w:b/>
                <w:color w:val="FFFFFF" w:themeColor="background1"/>
                <w:szCs w:val="20"/>
              </w:rPr>
            </w:pPr>
            <w:r w:rsidRPr="00C85383">
              <w:rPr>
                <w:rFonts w:cs="Calibri"/>
                <w:b/>
                <w:color w:val="FFFFFF" w:themeColor="background1"/>
                <w:szCs w:val="20"/>
              </w:rPr>
              <w:t>Fair Value Concepts and Disclosures</w:t>
            </w:r>
          </w:p>
          <w:p w14:paraId="1BB10194" w14:textId="40C8E30B"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Fair value concepts and disclosures relevant to </w:t>
            </w:r>
            <w:r w:rsidRPr="00EC47A0">
              <w:rPr>
                <w:rFonts w:cs="Calibri"/>
                <w:iCs/>
                <w:color w:val="FFFFFF" w:themeColor="background1"/>
                <w:sz w:val="18"/>
                <w:szCs w:val="18"/>
              </w:rPr>
              <w:t>AASB 13</w:t>
            </w:r>
            <w:r w:rsidRPr="00AE2AE5">
              <w:rPr>
                <w:rFonts w:cs="Calibri"/>
                <w:i/>
                <w:color w:val="FFFFFF" w:themeColor="background1"/>
                <w:sz w:val="18"/>
                <w:szCs w:val="18"/>
              </w:rPr>
              <w:t xml:space="preserve"> Fair Value Measurement</w:t>
            </w:r>
            <w:r w:rsidRPr="00AE2AE5">
              <w:rPr>
                <w:rFonts w:cs="Calibri"/>
                <w:color w:val="FFFFFF" w:themeColor="background1"/>
                <w:sz w:val="18"/>
                <w:szCs w:val="18"/>
              </w:rPr>
              <w:t xml:space="preserve"> are discussed in detail in the commentary to Note </w:t>
            </w:r>
            <w:r w:rsidR="00762E7F" w:rsidRPr="00AE2AE5">
              <w:rPr>
                <w:rFonts w:cs="Calibri"/>
                <w:color w:val="FFFFFF" w:themeColor="background1"/>
                <w:sz w:val="18"/>
                <w:szCs w:val="18"/>
              </w:rPr>
              <w:t xml:space="preserve">19 </w:t>
            </w:r>
            <w:r w:rsidRPr="00AE2AE5">
              <w:rPr>
                <w:rFonts w:cs="Calibri"/>
                <w:i/>
                <w:color w:val="FFFFFF" w:themeColor="background1"/>
                <w:sz w:val="18"/>
                <w:szCs w:val="18"/>
              </w:rPr>
              <w:t>Property, Plant and Equipment</w:t>
            </w:r>
            <w:r w:rsidRPr="00AE2AE5">
              <w:rPr>
                <w:rFonts w:cs="Calibri"/>
                <w:color w:val="FFFFFF" w:themeColor="background1"/>
                <w:sz w:val="18"/>
                <w:szCs w:val="18"/>
              </w:rPr>
              <w:t>.</w:t>
            </w:r>
          </w:p>
          <w:p w14:paraId="7096570A" w14:textId="43C7F394"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If all Non-Current Assets held for sale are in the same fair value </w:t>
            </w:r>
            <w:r w:rsidR="00FF0A0E" w:rsidRPr="00AE2AE5">
              <w:rPr>
                <w:rFonts w:cs="Calibri"/>
                <w:color w:val="FFFFFF" w:themeColor="background1"/>
                <w:sz w:val="18"/>
                <w:szCs w:val="18"/>
              </w:rPr>
              <w:t>category,</w:t>
            </w:r>
            <w:r w:rsidRPr="00AE2AE5">
              <w:rPr>
                <w:rFonts w:cs="Calibri"/>
                <w:color w:val="FFFFFF" w:themeColor="background1"/>
                <w:sz w:val="18"/>
                <w:szCs w:val="18"/>
              </w:rPr>
              <w:t xml:space="preserve"> then a sentence to that effect could be used for disclosure rather than a tabular presentation.</w:t>
            </w:r>
          </w:p>
        </w:tc>
      </w:tr>
      <w:tr w:rsidR="00F767C0" w:rsidRPr="00CF7E1B" w14:paraId="0CC47222" w14:textId="77777777" w:rsidTr="002B1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4" w:type="pct"/>
            <w:tcBorders>
              <w:left w:val="single" w:sz="4" w:space="0" w:color="auto"/>
              <w:right w:val="single" w:sz="4" w:space="0" w:color="auto"/>
            </w:tcBorders>
          </w:tcPr>
          <w:p w14:paraId="5E7F076F" w14:textId="77777777" w:rsidR="00F767C0" w:rsidRPr="00AD586B" w:rsidRDefault="00F767C0" w:rsidP="00BA2D61">
            <w:pPr>
              <w:pStyle w:val="TableReference"/>
              <w:tabs>
                <w:tab w:val="left" w:pos="3306"/>
              </w:tabs>
              <w:spacing w:before="80"/>
              <w:rPr>
                <w:rFonts w:cs="Calibri"/>
                <w:color w:val="7030A0"/>
                <w:sz w:val="16"/>
                <w:szCs w:val="16"/>
              </w:rPr>
            </w:pPr>
          </w:p>
        </w:tc>
        <w:tc>
          <w:tcPr>
            <w:tcW w:w="4256" w:type="pct"/>
            <w:gridSpan w:val="5"/>
            <w:tcBorders>
              <w:left w:val="single" w:sz="4" w:space="0" w:color="auto"/>
            </w:tcBorders>
            <w:shd w:val="clear" w:color="auto" w:fill="auto"/>
          </w:tcPr>
          <w:p w14:paraId="4A4D2655" w14:textId="77777777" w:rsidR="00F767C0" w:rsidRPr="00C85383" w:rsidRDefault="00F767C0" w:rsidP="00BA2D61">
            <w:pPr>
              <w:pStyle w:val="CommentaryText"/>
              <w:spacing w:before="60" w:after="0"/>
              <w:rPr>
                <w:rFonts w:cs="Calibri"/>
                <w:b/>
                <w:color w:val="FFFFFF" w:themeColor="background1"/>
                <w:szCs w:val="20"/>
              </w:rPr>
            </w:pPr>
          </w:p>
        </w:tc>
      </w:tr>
      <w:tr w:rsidR="00F767C0" w:rsidRPr="00CF7E1B" w14:paraId="2B24A878" w14:textId="77777777" w:rsidTr="002B1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4" w:type="pct"/>
            <w:tcBorders>
              <w:left w:val="single" w:sz="4" w:space="0" w:color="auto"/>
              <w:right w:val="single" w:sz="4" w:space="0" w:color="auto"/>
            </w:tcBorders>
          </w:tcPr>
          <w:p w14:paraId="71CC55BB" w14:textId="77777777" w:rsidR="00F767C0" w:rsidRPr="00AD586B" w:rsidRDefault="00F767C0" w:rsidP="00BA2D61">
            <w:pPr>
              <w:pStyle w:val="TableReference"/>
              <w:tabs>
                <w:tab w:val="left" w:pos="3306"/>
              </w:tabs>
              <w:spacing w:before="80"/>
              <w:rPr>
                <w:rFonts w:cs="Calibri"/>
                <w:color w:val="7030A0"/>
                <w:sz w:val="16"/>
                <w:szCs w:val="16"/>
              </w:rPr>
            </w:pPr>
          </w:p>
        </w:tc>
        <w:tc>
          <w:tcPr>
            <w:tcW w:w="4256" w:type="pct"/>
            <w:gridSpan w:val="5"/>
            <w:tcBorders>
              <w:left w:val="single" w:sz="4" w:space="0" w:color="auto"/>
            </w:tcBorders>
            <w:shd w:val="clear" w:color="auto" w:fill="auto"/>
          </w:tcPr>
          <w:p w14:paraId="4701CD10" w14:textId="77777777" w:rsidR="00F767C0" w:rsidRPr="00C85383" w:rsidRDefault="00F767C0" w:rsidP="00BA2D61">
            <w:pPr>
              <w:pStyle w:val="CommentaryText"/>
              <w:spacing w:before="60" w:after="0"/>
              <w:rPr>
                <w:rFonts w:cs="Calibri"/>
                <w:b/>
                <w:color w:val="FFFFFF" w:themeColor="background1"/>
                <w:szCs w:val="20"/>
              </w:rPr>
            </w:pPr>
          </w:p>
        </w:tc>
      </w:tr>
      <w:tr w:rsidR="000E568E" w:rsidRPr="00CF7E1B" w14:paraId="19D1EEA4" w14:textId="77777777" w:rsidTr="002B12D3">
        <w:trPr>
          <w:cantSplit/>
          <w:trHeight w:val="119"/>
        </w:trPr>
        <w:tc>
          <w:tcPr>
            <w:tcW w:w="744" w:type="pct"/>
            <w:tcBorders>
              <w:top w:val="nil"/>
              <w:left w:val="single" w:sz="4" w:space="0" w:color="auto"/>
              <w:bottom w:val="nil"/>
              <w:right w:val="single" w:sz="4" w:space="0" w:color="auto"/>
            </w:tcBorders>
          </w:tcPr>
          <w:p w14:paraId="628575CC" w14:textId="572C79FB" w:rsidR="000E568E" w:rsidRPr="00AD586B" w:rsidRDefault="000E568E" w:rsidP="00D24FFF">
            <w:pPr>
              <w:pStyle w:val="TableReference"/>
              <w:tabs>
                <w:tab w:val="left" w:pos="3306"/>
              </w:tabs>
              <w:spacing w:before="240" w:after="240"/>
              <w:rPr>
                <w:rFonts w:cs="Calibri"/>
                <w:b/>
                <w:color w:val="7030A0"/>
                <w:sz w:val="22"/>
                <w:szCs w:val="22"/>
              </w:rPr>
            </w:pPr>
            <w:bookmarkStart w:id="607" w:name="PPandE" w:colFirst="1" w:colLast="1"/>
          </w:p>
        </w:tc>
        <w:tc>
          <w:tcPr>
            <w:tcW w:w="4256" w:type="pct"/>
            <w:gridSpan w:val="5"/>
            <w:tcBorders>
              <w:top w:val="nil"/>
              <w:left w:val="single" w:sz="4" w:space="0" w:color="auto"/>
              <w:bottom w:val="nil"/>
              <w:right w:val="nil"/>
            </w:tcBorders>
          </w:tcPr>
          <w:p w14:paraId="3504F258" w14:textId="27D65071" w:rsidR="000E568E" w:rsidRPr="00CF7E1B" w:rsidRDefault="00F73636" w:rsidP="00D24FFF">
            <w:pPr>
              <w:pStyle w:val="Heading1"/>
              <w:numPr>
                <w:ilvl w:val="0"/>
                <w:numId w:val="0"/>
              </w:numPr>
            </w:pPr>
            <w:bookmarkStart w:id="608" w:name="_Ref50365588"/>
            <w:bookmarkStart w:id="609" w:name="_Toc50440372"/>
            <w:bookmarkStart w:id="610" w:name="_Toc400627344"/>
            <w:bookmarkStart w:id="611" w:name="_Toc132743807"/>
            <w:r w:rsidRPr="00AD586B">
              <w:t>Note</w:t>
            </w:r>
            <w:r w:rsidR="00D22D34" w:rsidRPr="00AD586B">
              <w:t xml:space="preserve"> </w:t>
            </w:r>
            <w:r w:rsidR="00762E7F" w:rsidRPr="00AD586B">
              <w:t>19</w:t>
            </w:r>
            <w:r w:rsidR="00D22D34" w:rsidRPr="00AD586B">
              <w:t>.</w:t>
            </w:r>
            <w:r w:rsidR="00FA7C77">
              <w:t xml:space="preserve"> </w:t>
            </w:r>
            <w:r w:rsidR="00DD5BF8" w:rsidRPr="00AD586B">
              <w:t xml:space="preserve"> </w:t>
            </w:r>
            <w:r w:rsidR="000E568E" w:rsidRPr="00AD586B">
              <w:t>Property, Plant and Equipment</w:t>
            </w:r>
            <w:bookmarkEnd w:id="608"/>
            <w:bookmarkEnd w:id="609"/>
            <w:bookmarkEnd w:id="610"/>
            <w:bookmarkEnd w:id="611"/>
          </w:p>
        </w:tc>
      </w:tr>
      <w:bookmarkEnd w:id="607"/>
      <w:tr w:rsidR="00CD3407" w:rsidRPr="00B91A27" w14:paraId="60249BBA" w14:textId="77777777" w:rsidTr="002B12D3">
        <w:trPr>
          <w:cantSplit/>
        </w:trPr>
        <w:tc>
          <w:tcPr>
            <w:tcW w:w="744" w:type="pct"/>
            <w:tcBorders>
              <w:top w:val="nil"/>
              <w:left w:val="single" w:sz="4" w:space="0" w:color="auto"/>
              <w:bottom w:val="nil"/>
              <w:right w:val="single" w:sz="4" w:space="0" w:color="auto"/>
            </w:tcBorders>
          </w:tcPr>
          <w:p w14:paraId="53B8F140" w14:textId="77777777"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790C18E9" w14:textId="7535A8BC" w:rsidR="00CD3407" w:rsidRPr="00AD586B" w:rsidRDefault="00CD3407" w:rsidP="003E53DD">
            <w:pPr>
              <w:pStyle w:val="TableText"/>
              <w:spacing w:before="0" w:after="120"/>
              <w:jc w:val="both"/>
              <w:rPr>
                <w:rFonts w:cs="Calibri"/>
                <w:b/>
                <w:bCs/>
              </w:rPr>
            </w:pPr>
            <w:r w:rsidRPr="00AD586B">
              <w:rPr>
                <w:rFonts w:cs="Calibri"/>
                <w:b/>
                <w:bCs/>
              </w:rPr>
              <w:t>Description and Material Accounting Policies relating to Property, Plant and Equipment</w:t>
            </w:r>
          </w:p>
        </w:tc>
      </w:tr>
      <w:tr w:rsidR="00CD3407" w:rsidRPr="00B91A27" w14:paraId="5CFBB0CC" w14:textId="77777777" w:rsidTr="002B12D3">
        <w:trPr>
          <w:cantSplit/>
        </w:trPr>
        <w:tc>
          <w:tcPr>
            <w:tcW w:w="744" w:type="pct"/>
            <w:vMerge w:val="restart"/>
            <w:tcBorders>
              <w:top w:val="nil"/>
              <w:left w:val="single" w:sz="4" w:space="0" w:color="auto"/>
              <w:right w:val="single" w:sz="4" w:space="0" w:color="auto"/>
            </w:tcBorders>
          </w:tcPr>
          <w:p w14:paraId="6FAB6C26" w14:textId="77777777" w:rsidR="00CD3407" w:rsidRPr="00AD586B" w:rsidRDefault="00CD3407" w:rsidP="00CD3407">
            <w:pPr>
              <w:pStyle w:val="TableReference"/>
              <w:tabs>
                <w:tab w:val="left" w:pos="3306"/>
              </w:tabs>
              <w:spacing w:before="40"/>
              <w:rPr>
                <w:rFonts w:cs="Calibri"/>
                <w:color w:val="7030A0"/>
                <w:sz w:val="14"/>
              </w:rPr>
            </w:pPr>
            <w:r w:rsidRPr="00AD586B">
              <w:rPr>
                <w:rFonts w:cs="Calibri"/>
                <w:color w:val="7030A0"/>
                <w:sz w:val="14"/>
              </w:rPr>
              <w:t>ACT Accounting Policy</w:t>
            </w:r>
          </w:p>
          <w:p w14:paraId="5C9478D1" w14:textId="52D950D5"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46EBBE98" w14:textId="7B41213E" w:rsidR="00CD3407" w:rsidRPr="00AD586B" w:rsidRDefault="00A25789" w:rsidP="00CD3407">
            <w:pPr>
              <w:pStyle w:val="TableText"/>
              <w:spacing w:before="0" w:after="60"/>
              <w:jc w:val="both"/>
              <w:rPr>
                <w:rFonts w:cs="Calibri"/>
              </w:rPr>
            </w:pPr>
            <w:r w:rsidRPr="00A25789">
              <w:rPr>
                <w:rFonts w:cs="Calibri"/>
                <w:color w:val="FF0000"/>
              </w:rPr>
              <w:t xml:space="preserve">‘Burley Griffin Agency’ has the following </w:t>
            </w:r>
            <w:r w:rsidR="000F6412">
              <w:rPr>
                <w:rFonts w:cs="Calibri"/>
                <w:color w:val="FF0000"/>
              </w:rPr>
              <w:t xml:space="preserve">eight </w:t>
            </w:r>
            <w:r w:rsidRPr="00A25789">
              <w:rPr>
                <w:rFonts w:cs="Calibri"/>
                <w:color w:val="FF0000"/>
              </w:rPr>
              <w:t xml:space="preserve">classes of </w:t>
            </w:r>
            <w:r w:rsidR="006E7FE9">
              <w:rPr>
                <w:rFonts w:cs="Calibri"/>
              </w:rPr>
              <w:t>Property, Plant and Equipment</w:t>
            </w:r>
            <w:r w:rsidR="00F767C0" w:rsidRPr="00F767C0">
              <w:rPr>
                <w:rFonts w:cs="Calibri"/>
                <w:color w:val="FF0000"/>
              </w:rPr>
              <w:t>:</w:t>
            </w:r>
            <w:r w:rsidR="00CD3407" w:rsidRPr="00AD586B">
              <w:rPr>
                <w:rFonts w:cs="Calibri"/>
              </w:rPr>
              <w:t xml:space="preserve"> </w:t>
            </w:r>
            <w:r w:rsidR="00CD3407" w:rsidRPr="00A25789">
              <w:rPr>
                <w:rFonts w:cs="Calibri"/>
                <w:strike/>
                <w:color w:val="FF0000"/>
              </w:rPr>
              <w:t xml:space="preserve">includes the following </w:t>
            </w:r>
            <w:r w:rsidR="00C42B5D" w:rsidRPr="00A25789">
              <w:rPr>
                <w:rFonts w:cs="Calibri"/>
                <w:strike/>
                <w:color w:val="FF0000"/>
              </w:rPr>
              <w:t xml:space="preserve">six </w:t>
            </w:r>
            <w:r w:rsidR="00CD3407" w:rsidRPr="00A25789">
              <w:rPr>
                <w:rFonts w:cs="Calibri"/>
                <w:strike/>
                <w:color w:val="FF0000"/>
              </w:rPr>
              <w:t>classes of assets</w:t>
            </w:r>
            <w:r w:rsidR="00CD3407" w:rsidRPr="00074403">
              <w:rPr>
                <w:rFonts w:cs="Calibri"/>
                <w:strike/>
                <w:color w:val="FF0000"/>
              </w:rPr>
              <w:t>.</w:t>
            </w:r>
            <w:r w:rsidR="00FA7C77">
              <w:rPr>
                <w:rFonts w:cs="Calibri"/>
              </w:rPr>
              <w:t xml:space="preserve"> </w:t>
            </w:r>
          </w:p>
        </w:tc>
      </w:tr>
      <w:tr w:rsidR="00CD3407" w:rsidRPr="00B91A27" w14:paraId="6BCEDCD2" w14:textId="77777777" w:rsidTr="002B12D3">
        <w:trPr>
          <w:cantSplit/>
        </w:trPr>
        <w:tc>
          <w:tcPr>
            <w:tcW w:w="744" w:type="pct"/>
            <w:vMerge/>
            <w:tcBorders>
              <w:left w:val="single" w:sz="4" w:space="0" w:color="auto"/>
              <w:bottom w:val="nil"/>
              <w:right w:val="single" w:sz="4" w:space="0" w:color="auto"/>
            </w:tcBorders>
          </w:tcPr>
          <w:p w14:paraId="4524579E" w14:textId="77777777"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1E422D41" w14:textId="02EB3E35" w:rsidR="00CD3407" w:rsidRPr="00AD586B" w:rsidRDefault="00CD3407" w:rsidP="00A25789">
            <w:pPr>
              <w:pStyle w:val="TableText"/>
              <w:numPr>
                <w:ilvl w:val="0"/>
                <w:numId w:val="9"/>
              </w:numPr>
              <w:tabs>
                <w:tab w:val="clear" w:pos="720"/>
                <w:tab w:val="num" w:pos="309"/>
              </w:tabs>
              <w:spacing w:before="0" w:after="60"/>
              <w:ind w:left="306" w:hanging="283"/>
              <w:jc w:val="both"/>
              <w:rPr>
                <w:rFonts w:cs="Calibri"/>
              </w:rPr>
            </w:pPr>
            <w:r w:rsidRPr="00AD586B">
              <w:rPr>
                <w:rFonts w:cs="Calibri"/>
                <w:b/>
                <w:iCs/>
              </w:rPr>
              <w:t>Land</w:t>
            </w:r>
            <w:r w:rsidRPr="00AD586B">
              <w:rPr>
                <w:rFonts w:cs="Calibri"/>
                <w:b/>
              </w:rPr>
              <w:t xml:space="preserve"> </w:t>
            </w:r>
            <w:r w:rsidR="006D1B91" w:rsidRPr="006D1B91">
              <w:rPr>
                <w:rFonts w:cs="Calibri"/>
                <w:color w:val="FF0000"/>
              </w:rPr>
              <w:t>is defined as the ground, including the soil covering</w:t>
            </w:r>
            <w:r w:rsidR="003A0485">
              <w:rPr>
                <w:rFonts w:cs="Calibri"/>
                <w:color w:val="FF0000"/>
              </w:rPr>
              <w:t xml:space="preserve"> </w:t>
            </w:r>
            <w:r w:rsidR="006D1B91" w:rsidRPr="006D1B91">
              <w:rPr>
                <w:rFonts w:cs="Calibri"/>
                <w:color w:val="FF0000"/>
              </w:rPr>
              <w:t>and any associated surface waters.</w:t>
            </w:r>
            <w:r w:rsidR="006D1B91">
              <w:rPr>
                <w:rFonts w:cstheme="minorHAnsi"/>
                <w:sz w:val="22"/>
                <w:szCs w:val="22"/>
              </w:rPr>
              <w:t xml:space="preserve"> </w:t>
            </w:r>
            <w:r w:rsidR="006D1B91" w:rsidRPr="006D1B91">
              <w:rPr>
                <w:rFonts w:cs="Calibri"/>
                <w:color w:val="FF0000"/>
              </w:rPr>
              <w:t>Land</w:t>
            </w:r>
            <w:r w:rsidR="006D1B91" w:rsidRPr="00AD586B">
              <w:rPr>
                <w:rFonts w:cs="Calibri"/>
              </w:rPr>
              <w:t xml:space="preserve"> </w:t>
            </w:r>
            <w:r w:rsidRPr="00AD586B">
              <w:rPr>
                <w:rFonts w:cs="Calibri"/>
              </w:rPr>
              <w:t>includes leasehold land held by the Agency</w:t>
            </w:r>
            <w:r w:rsidRPr="00A25789">
              <w:rPr>
                <w:rFonts w:cs="Calibri"/>
              </w:rPr>
              <w:t xml:space="preserve">, </w:t>
            </w:r>
            <w:r w:rsidR="000D2DF8" w:rsidRPr="00A25789">
              <w:rPr>
                <w:rFonts w:cs="Calibri"/>
              </w:rPr>
              <w:t>but excludes</w:t>
            </w:r>
            <w:r w:rsidRPr="00A25789">
              <w:rPr>
                <w:rFonts w:cs="Calibri"/>
              </w:rPr>
              <w:t xml:space="preserve"> </w:t>
            </w:r>
            <w:r w:rsidRPr="00855F1B">
              <w:rPr>
                <w:rFonts w:cs="Calibri"/>
              </w:rPr>
              <w:t>land under infrastructure</w:t>
            </w:r>
            <w:r w:rsidR="00855F1B" w:rsidRPr="00855F1B">
              <w:rPr>
                <w:rFonts w:cs="Calibri"/>
              </w:rPr>
              <w:t xml:space="preserve"> </w:t>
            </w:r>
            <w:r w:rsidR="00855F1B" w:rsidRPr="00855F1B">
              <w:rPr>
                <w:rFonts w:cs="Calibri"/>
                <w:color w:val="FF0000"/>
              </w:rPr>
              <w:t xml:space="preserve">and </w:t>
            </w:r>
            <w:r w:rsidR="00A25789" w:rsidRPr="00855F1B">
              <w:rPr>
                <w:rFonts w:cs="Calibri"/>
                <w:color w:val="FF0000"/>
              </w:rPr>
              <w:t>land held as community assets (e</w:t>
            </w:r>
            <w:r w:rsidR="002C5A96" w:rsidRPr="00855F1B">
              <w:rPr>
                <w:rFonts w:cs="Calibri"/>
                <w:color w:val="FF0000"/>
              </w:rPr>
              <w:t>.</w:t>
            </w:r>
            <w:r w:rsidR="00A25789" w:rsidRPr="00855F1B">
              <w:rPr>
                <w:rFonts w:cs="Calibri"/>
                <w:color w:val="FF0000"/>
              </w:rPr>
              <w:t>g</w:t>
            </w:r>
            <w:r w:rsidR="002C5A96" w:rsidRPr="00855F1B">
              <w:rPr>
                <w:rFonts w:cs="Calibri"/>
                <w:color w:val="FF0000"/>
              </w:rPr>
              <w:t>.</w:t>
            </w:r>
            <w:r w:rsidR="00A25789" w:rsidRPr="00855F1B">
              <w:rPr>
                <w:rFonts w:cs="Calibri"/>
                <w:color w:val="FF0000"/>
              </w:rPr>
              <w:t xml:space="preserve"> </w:t>
            </w:r>
            <w:r w:rsidR="0095228F" w:rsidRPr="00855F1B">
              <w:rPr>
                <w:rFonts w:cs="Calibri"/>
                <w:color w:val="FF0000"/>
              </w:rPr>
              <w:t>public nature reserves and</w:t>
            </w:r>
            <w:r w:rsidR="0095228F" w:rsidRPr="00855F1B">
              <w:rPr>
                <w:rFonts w:cstheme="minorHAnsi"/>
                <w:sz w:val="22"/>
                <w:szCs w:val="22"/>
              </w:rPr>
              <w:t xml:space="preserve"> </w:t>
            </w:r>
            <w:r w:rsidR="00A25789" w:rsidRPr="00855F1B">
              <w:rPr>
                <w:rFonts w:cs="Calibri"/>
                <w:color w:val="FF0000"/>
              </w:rPr>
              <w:t>National Parks)</w:t>
            </w:r>
            <w:r w:rsidRPr="00855F1B">
              <w:rPr>
                <w:rFonts w:cs="Calibri"/>
              </w:rPr>
              <w:t>.</w:t>
            </w:r>
            <w:r w:rsidRPr="00AD586B">
              <w:rPr>
                <w:rFonts w:cs="Calibri"/>
              </w:rPr>
              <w:t xml:space="preserve"> </w:t>
            </w:r>
          </w:p>
        </w:tc>
      </w:tr>
      <w:tr w:rsidR="00CD3407" w:rsidRPr="00B91A27" w14:paraId="342E6C8C" w14:textId="77777777" w:rsidTr="002B12D3">
        <w:trPr>
          <w:cantSplit/>
        </w:trPr>
        <w:tc>
          <w:tcPr>
            <w:tcW w:w="744" w:type="pct"/>
            <w:tcBorders>
              <w:top w:val="nil"/>
              <w:left w:val="single" w:sz="4" w:space="0" w:color="auto"/>
              <w:bottom w:val="nil"/>
              <w:right w:val="single" w:sz="4" w:space="0" w:color="auto"/>
            </w:tcBorders>
          </w:tcPr>
          <w:p w14:paraId="7B977240" w14:textId="77777777"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7C0703EC" w14:textId="3E01AC8C" w:rsidR="00CD3407" w:rsidRPr="00AD586B" w:rsidRDefault="00CD3407" w:rsidP="00CB31DE">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 xml:space="preserve">Buildings </w:t>
            </w:r>
            <w:bookmarkStart w:id="612" w:name="_Hlk107563262"/>
            <w:r w:rsidR="006D1B91" w:rsidRPr="00074403">
              <w:rPr>
                <w:rFonts w:cs="Calibri"/>
              </w:rPr>
              <w:t>are structures that</w:t>
            </w:r>
            <w:r w:rsidR="006D1B91" w:rsidRPr="006D1B91">
              <w:rPr>
                <w:rFonts w:cs="Calibri"/>
                <w:color w:val="FF0000"/>
              </w:rPr>
              <w:t xml:space="preserve"> have a roof and walls </w:t>
            </w:r>
            <w:r w:rsidR="006D1B91">
              <w:rPr>
                <w:rFonts w:cs="Calibri"/>
                <w:color w:val="FF0000"/>
              </w:rPr>
              <w:t>which</w:t>
            </w:r>
            <w:r w:rsidR="006D1B91" w:rsidRPr="006D1B91">
              <w:rPr>
                <w:rFonts w:cs="Calibri"/>
                <w:color w:val="FF0000"/>
              </w:rPr>
              <w:t xml:space="preserve"> stand permanently in one place. The</w:t>
            </w:r>
            <w:r w:rsidR="00074403">
              <w:rPr>
                <w:rFonts w:cs="Calibri"/>
                <w:color w:val="FF0000"/>
              </w:rPr>
              <w:t>se</w:t>
            </w:r>
            <w:r w:rsidR="006D1B91">
              <w:rPr>
                <w:rFonts w:cstheme="minorHAnsi"/>
                <w:sz w:val="22"/>
                <w:szCs w:val="22"/>
              </w:rPr>
              <w:t xml:space="preserve"> </w:t>
            </w:r>
            <w:r w:rsidR="00471EEC" w:rsidRPr="00074403">
              <w:rPr>
                <w:color w:val="FF0000"/>
              </w:rPr>
              <w:t xml:space="preserve">structures </w:t>
            </w:r>
            <w:r w:rsidR="00471EEC" w:rsidRPr="00AD586B">
              <w:t>are separately identifiable from the land they are constructed upon</w:t>
            </w:r>
            <w:r w:rsidR="001B3EA3">
              <w:t xml:space="preserve"> </w:t>
            </w:r>
            <w:r w:rsidR="001B3EA3" w:rsidRPr="001B3EA3">
              <w:rPr>
                <w:color w:val="FF0000"/>
              </w:rPr>
              <w:t xml:space="preserve">and as such </w:t>
            </w:r>
            <w:bookmarkEnd w:id="612"/>
            <w:r w:rsidR="00F767C0" w:rsidRPr="00F767C0">
              <w:rPr>
                <w:rFonts w:cs="Calibri"/>
                <w:color w:val="FF0000"/>
              </w:rPr>
              <w:t>do not include th</w:t>
            </w:r>
            <w:r w:rsidR="001B3EA3">
              <w:rPr>
                <w:rFonts w:cs="Calibri"/>
                <w:color w:val="FF0000"/>
              </w:rPr>
              <w:t>is</w:t>
            </w:r>
            <w:r w:rsidR="00F767C0" w:rsidRPr="00F767C0">
              <w:rPr>
                <w:rFonts w:cs="Calibri"/>
                <w:color w:val="FF0000"/>
              </w:rPr>
              <w:t xml:space="preserve"> land.</w:t>
            </w:r>
            <w:r w:rsidR="00F767C0">
              <w:rPr>
                <w:rFonts w:cstheme="minorHAnsi"/>
                <w:sz w:val="22"/>
                <w:szCs w:val="22"/>
              </w:rPr>
              <w:t xml:space="preserve"> </w:t>
            </w:r>
            <w:r w:rsidR="00471EEC" w:rsidRPr="00AD586B">
              <w:rPr>
                <w:rFonts w:cs="Calibri"/>
                <w:iCs/>
              </w:rPr>
              <w:t>Buildings include</w:t>
            </w:r>
            <w:r w:rsidRPr="00AD586B">
              <w:rPr>
                <w:rFonts w:cs="Calibri"/>
                <w:iCs/>
              </w:rPr>
              <w:t xml:space="preserve"> office buildings, warehouses,</w:t>
            </w:r>
            <w:r w:rsidR="001B3EA3" w:rsidRPr="00CB19F4">
              <w:rPr>
                <w:rFonts w:cstheme="minorHAnsi"/>
                <w:iCs/>
                <w:sz w:val="22"/>
                <w:szCs w:val="22"/>
              </w:rPr>
              <w:t xml:space="preserve"> </w:t>
            </w:r>
            <w:r w:rsidRPr="00AD586B">
              <w:t>light rail and bus depots</w:t>
            </w:r>
            <w:r w:rsidRPr="00AD586B">
              <w:rPr>
                <w:rFonts w:cs="Calibri"/>
                <w:iCs/>
              </w:rPr>
              <w:t xml:space="preserve"> and land improvements</w:t>
            </w:r>
            <w:r w:rsidRPr="00AD586B">
              <w:rPr>
                <w:rFonts w:cs="Calibri"/>
                <w:i/>
                <w:iCs/>
              </w:rPr>
              <w:t xml:space="preserve">. </w:t>
            </w:r>
            <w:r w:rsidR="00ED2CAD" w:rsidRPr="00AD586B">
              <w:rPr>
                <w:rFonts w:cs="Calibri"/>
                <w:bCs/>
                <w:iCs/>
              </w:rPr>
              <w:t>Land improvements</w:t>
            </w:r>
            <w:r w:rsidR="00ED2CAD" w:rsidRPr="00AD586B">
              <w:rPr>
                <w:rFonts w:cs="Calibri"/>
                <w:i/>
                <w:iCs/>
              </w:rPr>
              <w:t xml:space="preserve"> </w:t>
            </w:r>
            <w:r w:rsidR="00ED2CAD" w:rsidRPr="00AD586B">
              <w:rPr>
                <w:rFonts w:cs="Calibri"/>
              </w:rPr>
              <w:t>include parking lots, retaining walls</w:t>
            </w:r>
            <w:r w:rsidR="001B3EA3" w:rsidRPr="001B3EA3">
              <w:rPr>
                <w:rFonts w:cs="Calibri"/>
                <w:color w:val="FF0000"/>
              </w:rPr>
              <w:t>,</w:t>
            </w:r>
            <w:r w:rsidR="00ED2CAD" w:rsidRPr="00AD586B">
              <w:rPr>
                <w:rFonts w:cs="Calibri"/>
              </w:rPr>
              <w:t xml:space="preserve"> and purpose built children’s playground structures</w:t>
            </w:r>
            <w:r w:rsidR="00292348" w:rsidRPr="00AD586B">
              <w:rPr>
                <w:rFonts w:cs="Calibri"/>
              </w:rPr>
              <w:t xml:space="preserve"> </w:t>
            </w:r>
            <w:r w:rsidR="001B3EA3" w:rsidRPr="001B3EA3">
              <w:rPr>
                <w:rFonts w:cs="Calibri"/>
                <w:color w:val="FF0000"/>
              </w:rPr>
              <w:t>and</w:t>
            </w:r>
            <w:r w:rsidR="001B3EA3" w:rsidRPr="001B3EA3">
              <w:rPr>
                <w:rFonts w:cstheme="minorHAnsi"/>
                <w:color w:val="FF0000"/>
              </w:rPr>
              <w:t xml:space="preserve"> landscaping</w:t>
            </w:r>
            <w:r w:rsidR="001B3EA3" w:rsidRPr="001B3EA3">
              <w:rPr>
                <w:rFonts w:cs="Calibri"/>
                <w:color w:val="FF0000"/>
              </w:rPr>
              <w:t xml:space="preserve"> </w:t>
            </w:r>
            <w:r w:rsidR="00292348" w:rsidRPr="00AD586B">
              <w:rPr>
                <w:rFonts w:cs="Calibri"/>
              </w:rPr>
              <w:t>adjoining a building.</w:t>
            </w:r>
            <w:r w:rsidR="00FA7C77">
              <w:rPr>
                <w:rFonts w:cs="Calibri"/>
                <w:i/>
                <w:iCs/>
              </w:rPr>
              <w:t xml:space="preserve"> </w:t>
            </w:r>
            <w:r w:rsidR="0004022E" w:rsidRPr="00615429">
              <w:rPr>
                <w:rFonts w:cs="Calibri"/>
                <w:color w:val="FF0000"/>
              </w:rPr>
              <w:t>R</w:t>
            </w:r>
            <w:r w:rsidR="0004022E" w:rsidRPr="00615429">
              <w:rPr>
                <w:rFonts w:cs="Calibri"/>
                <w:strike/>
                <w:color w:val="FF0000"/>
              </w:rPr>
              <w:t xml:space="preserve">ight-of-use </w:t>
            </w:r>
            <w:r w:rsidR="00ED2CAD" w:rsidRPr="00615429">
              <w:rPr>
                <w:rFonts w:cs="Calibri"/>
                <w:strike/>
                <w:color w:val="FF0000"/>
              </w:rPr>
              <w:t xml:space="preserve">building </w:t>
            </w:r>
            <w:r w:rsidR="0004022E" w:rsidRPr="00615429">
              <w:rPr>
                <w:rFonts w:cs="Calibri"/>
                <w:strike/>
                <w:color w:val="FF0000"/>
              </w:rPr>
              <w:t>assets and</w:t>
            </w:r>
            <w:r w:rsidR="0004022E" w:rsidRPr="00615429">
              <w:rPr>
                <w:rFonts w:cs="Calibri"/>
                <w:color w:val="00B050"/>
              </w:rPr>
              <w:t xml:space="preserve"> </w:t>
            </w:r>
            <w:r w:rsidR="00615429" w:rsidRPr="00615429">
              <w:rPr>
                <w:rFonts w:cs="Calibri"/>
              </w:rPr>
              <w:t>S</w:t>
            </w:r>
            <w:r w:rsidR="0004022E" w:rsidRPr="00AD586B">
              <w:rPr>
                <w:rFonts w:cs="Calibri"/>
              </w:rPr>
              <w:t xml:space="preserve">ervice concession </w:t>
            </w:r>
            <w:r w:rsidR="00ED2CAD" w:rsidRPr="00AD586B">
              <w:rPr>
                <w:rFonts w:cs="Calibri"/>
              </w:rPr>
              <w:t xml:space="preserve">building </w:t>
            </w:r>
            <w:r w:rsidR="0004022E" w:rsidRPr="00AD586B">
              <w:rPr>
                <w:rFonts w:cs="Calibri"/>
              </w:rPr>
              <w:t xml:space="preserve">assets </w:t>
            </w:r>
            <w:r w:rsidR="00ED2CAD" w:rsidRPr="00AD586B">
              <w:rPr>
                <w:rFonts w:cs="Calibri"/>
              </w:rPr>
              <w:t>are included within the b</w:t>
            </w:r>
            <w:r w:rsidR="00564FD6" w:rsidRPr="00AD586B">
              <w:rPr>
                <w:rFonts w:cs="Calibri"/>
              </w:rPr>
              <w:t>uilding asset class.</w:t>
            </w:r>
            <w:r w:rsidR="00FA7C77">
              <w:rPr>
                <w:rFonts w:cs="Calibri"/>
              </w:rPr>
              <w:t xml:space="preserve"> </w:t>
            </w:r>
            <w:r w:rsidR="00564FD6" w:rsidRPr="00AD586B">
              <w:rPr>
                <w:rFonts w:cs="Calibri"/>
              </w:rPr>
              <w:t xml:space="preserve">This includes </w:t>
            </w:r>
            <w:r w:rsidR="00564FD6" w:rsidRPr="00130648">
              <w:rPr>
                <w:rFonts w:cs="Calibri"/>
                <w:strike/>
                <w:color w:val="FF0000"/>
              </w:rPr>
              <w:t>the Public Private Partnership arrangement for the Court House being included as a right-of-use asset building and</w:t>
            </w:r>
            <w:r w:rsidR="00564FD6" w:rsidRPr="00AD586B">
              <w:rPr>
                <w:rFonts w:cs="Calibri"/>
              </w:rPr>
              <w:t xml:space="preserve"> the Public Private Partnership arrangement for the Light Rail building being included as a service concession asset.</w:t>
            </w:r>
            <w:r w:rsidR="00615429">
              <w:rPr>
                <w:rFonts w:cs="Calibri"/>
              </w:rPr>
              <w:t xml:space="preserve"> </w:t>
            </w:r>
            <w:r w:rsidR="00615429" w:rsidRPr="00580E37">
              <w:rPr>
                <w:rFonts w:cs="Calibri"/>
                <w:color w:val="FF0000"/>
              </w:rPr>
              <w:t xml:space="preserve">Right-of-use building assets </w:t>
            </w:r>
            <w:r w:rsidR="00615429" w:rsidRPr="00615429">
              <w:rPr>
                <w:rFonts w:cs="Calibri"/>
                <w:color w:val="FF0000"/>
              </w:rPr>
              <w:t xml:space="preserve">are not included in the building asset class. </w:t>
            </w:r>
          </w:p>
        </w:tc>
      </w:tr>
      <w:tr w:rsidR="00CD3407" w:rsidRPr="00B91A27" w14:paraId="4369C48E" w14:textId="77777777" w:rsidTr="002B12D3">
        <w:trPr>
          <w:cantSplit/>
        </w:trPr>
        <w:tc>
          <w:tcPr>
            <w:tcW w:w="744" w:type="pct"/>
            <w:tcBorders>
              <w:top w:val="nil"/>
              <w:left w:val="single" w:sz="4" w:space="0" w:color="auto"/>
              <w:bottom w:val="nil"/>
              <w:right w:val="single" w:sz="4" w:space="0" w:color="auto"/>
            </w:tcBorders>
          </w:tcPr>
          <w:p w14:paraId="7FDDE25D" w14:textId="77777777"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2BF630C2" w14:textId="587BAA2B" w:rsidR="00130648" w:rsidRPr="000F6412" w:rsidRDefault="00130648" w:rsidP="00CB31DE">
            <w:pPr>
              <w:pStyle w:val="TableText"/>
              <w:numPr>
                <w:ilvl w:val="0"/>
                <w:numId w:val="9"/>
              </w:numPr>
              <w:tabs>
                <w:tab w:val="clear" w:pos="720"/>
                <w:tab w:val="num" w:pos="309"/>
              </w:tabs>
              <w:spacing w:before="0" w:after="60"/>
              <w:ind w:left="319" w:hanging="285"/>
              <w:jc w:val="both"/>
              <w:rPr>
                <w:rFonts w:cs="Calibri"/>
                <w:color w:val="FF0000"/>
              </w:rPr>
            </w:pPr>
            <w:r w:rsidRPr="00615429">
              <w:rPr>
                <w:rFonts w:cs="Calibri"/>
                <w:b/>
                <w:iCs/>
                <w:color w:val="FF0000"/>
              </w:rPr>
              <w:t xml:space="preserve">Right-Of-Use Buildings </w:t>
            </w:r>
            <w:r w:rsidR="00615429" w:rsidRPr="00615429">
              <w:rPr>
                <w:color w:val="FF0000"/>
              </w:rPr>
              <w:t xml:space="preserve">are leased structures </w:t>
            </w:r>
            <w:r w:rsidR="00615429">
              <w:rPr>
                <w:color w:val="FF0000"/>
              </w:rPr>
              <w:t xml:space="preserve">and land improvements </w:t>
            </w:r>
            <w:r w:rsidR="00615429" w:rsidRPr="00615429">
              <w:rPr>
                <w:color w:val="FF0000"/>
              </w:rPr>
              <w:t>that are separately identifiable from the land they are constructed upon.</w:t>
            </w:r>
            <w:r w:rsidR="00615429" w:rsidRPr="00615429">
              <w:rPr>
                <w:rFonts w:cs="Calibri"/>
                <w:iCs/>
                <w:color w:val="FF0000"/>
              </w:rPr>
              <w:t xml:space="preserve"> </w:t>
            </w:r>
            <w:r w:rsidR="00615429" w:rsidRPr="00615429">
              <w:rPr>
                <w:rFonts w:cs="Calibri"/>
                <w:bCs/>
                <w:iCs/>
                <w:color w:val="FF0000"/>
              </w:rPr>
              <w:t>Right-Of-Use</w:t>
            </w:r>
            <w:r w:rsidR="00615429" w:rsidRPr="00615429">
              <w:rPr>
                <w:rFonts w:cs="Calibri"/>
                <w:b/>
                <w:iCs/>
                <w:color w:val="FF0000"/>
              </w:rPr>
              <w:t xml:space="preserve"> </w:t>
            </w:r>
            <w:r w:rsidR="00615429" w:rsidRPr="00615429">
              <w:rPr>
                <w:rFonts w:cs="Calibri"/>
                <w:bCs/>
                <w:iCs/>
                <w:color w:val="FF0000"/>
              </w:rPr>
              <w:t>b</w:t>
            </w:r>
            <w:r w:rsidR="00615429" w:rsidRPr="00615429">
              <w:rPr>
                <w:rFonts w:cs="Calibri"/>
                <w:iCs/>
                <w:color w:val="FF0000"/>
              </w:rPr>
              <w:t>uildings include</w:t>
            </w:r>
            <w:r w:rsidR="00615429" w:rsidRPr="00AD586B">
              <w:rPr>
                <w:rFonts w:cs="Calibri"/>
                <w:iCs/>
              </w:rPr>
              <w:t xml:space="preserve"> </w:t>
            </w:r>
            <w:r w:rsidR="00615429" w:rsidRPr="00615429">
              <w:rPr>
                <w:rFonts w:cs="Calibri"/>
                <w:color w:val="FF0000"/>
              </w:rPr>
              <w:t xml:space="preserve">the </w:t>
            </w:r>
            <w:r w:rsidR="001B3EA3">
              <w:rPr>
                <w:rFonts w:cs="Calibri"/>
                <w:color w:val="FF0000"/>
              </w:rPr>
              <w:t>c</w:t>
            </w:r>
            <w:r w:rsidR="00615429" w:rsidRPr="00615429">
              <w:rPr>
                <w:rFonts w:cs="Calibri"/>
                <w:color w:val="FF0000"/>
              </w:rPr>
              <w:t xml:space="preserve">ourt </w:t>
            </w:r>
            <w:r w:rsidR="001B3EA3">
              <w:rPr>
                <w:rFonts w:cs="Calibri"/>
                <w:color w:val="FF0000"/>
              </w:rPr>
              <w:t>h</w:t>
            </w:r>
            <w:r w:rsidR="00615429" w:rsidRPr="00615429">
              <w:rPr>
                <w:rFonts w:cs="Calibri"/>
                <w:color w:val="FF0000"/>
              </w:rPr>
              <w:t xml:space="preserve">ouse and adjacent parking lot that are part of the </w:t>
            </w:r>
            <w:r w:rsidRPr="00615429">
              <w:rPr>
                <w:rFonts w:cs="Calibri"/>
                <w:color w:val="FF0000"/>
              </w:rPr>
              <w:t>Public Private Partnership arrangement</w:t>
            </w:r>
            <w:r w:rsidR="000F6412">
              <w:rPr>
                <w:rFonts w:cs="Calibri"/>
                <w:color w:val="FF0000"/>
              </w:rPr>
              <w:t xml:space="preserve"> and the s</w:t>
            </w:r>
            <w:r w:rsidR="000F6412" w:rsidRPr="000F6412">
              <w:rPr>
                <w:rFonts w:cs="Calibri"/>
                <w:color w:val="FF0000"/>
              </w:rPr>
              <w:t>pecialised depot building</w:t>
            </w:r>
            <w:r w:rsidR="00615429" w:rsidRPr="00615429">
              <w:rPr>
                <w:rFonts w:cs="Calibri"/>
                <w:color w:val="FF0000"/>
              </w:rPr>
              <w:t>.</w:t>
            </w:r>
          </w:p>
          <w:p w14:paraId="7E41F53B" w14:textId="0AF31EED" w:rsidR="00CD3407" w:rsidRPr="00AD586B" w:rsidRDefault="00CD3407" w:rsidP="00CB31DE">
            <w:pPr>
              <w:pStyle w:val="TableText"/>
              <w:numPr>
                <w:ilvl w:val="0"/>
                <w:numId w:val="9"/>
              </w:numPr>
              <w:tabs>
                <w:tab w:val="clear" w:pos="720"/>
                <w:tab w:val="num" w:pos="309"/>
              </w:tabs>
              <w:spacing w:before="0" w:after="60"/>
              <w:ind w:left="319" w:hanging="285"/>
              <w:jc w:val="both"/>
              <w:rPr>
                <w:rFonts w:cs="Calibri"/>
              </w:rPr>
            </w:pPr>
            <w:r w:rsidRPr="00AD586B">
              <w:rPr>
                <w:rFonts w:cs="Calibri"/>
                <w:b/>
                <w:iCs/>
              </w:rPr>
              <w:t>Leasehold improvements</w:t>
            </w:r>
            <w:r w:rsidRPr="00AD586B">
              <w:rPr>
                <w:rFonts w:cs="Calibri"/>
                <w:i/>
                <w:iCs/>
              </w:rPr>
              <w:t xml:space="preserve"> </w:t>
            </w:r>
            <w:bookmarkStart w:id="613" w:name="_Hlk107563504"/>
            <w:r w:rsidR="00471EEC" w:rsidRPr="00AD586B">
              <w:t>are capital expenditure items incurred in relation to leased assets</w:t>
            </w:r>
            <w:bookmarkEnd w:id="613"/>
            <w:r w:rsidR="00471EEC" w:rsidRPr="00AD586B">
              <w:t>.</w:t>
            </w:r>
            <w:r w:rsidR="00471EEC" w:rsidRPr="00AD586B">
              <w:rPr>
                <w:rFonts w:cs="Calibri"/>
              </w:rPr>
              <w:t xml:space="preserve"> </w:t>
            </w:r>
            <w:r w:rsidR="00471EEC" w:rsidRPr="00AD586B">
              <w:t xml:space="preserve">Leasehold improvements </w:t>
            </w:r>
            <w:r w:rsidRPr="00AD586B">
              <w:rPr>
                <w:rFonts w:cs="Calibri"/>
              </w:rPr>
              <w:t>represent fit-outs in leased buildings.</w:t>
            </w:r>
          </w:p>
        </w:tc>
      </w:tr>
      <w:tr w:rsidR="00CD3407" w:rsidRPr="00B91A27" w14:paraId="221E2C3F" w14:textId="77777777" w:rsidTr="002B12D3">
        <w:trPr>
          <w:cantSplit/>
        </w:trPr>
        <w:tc>
          <w:tcPr>
            <w:tcW w:w="744" w:type="pct"/>
            <w:tcBorders>
              <w:top w:val="nil"/>
              <w:left w:val="single" w:sz="4" w:space="0" w:color="auto"/>
              <w:bottom w:val="nil"/>
              <w:right w:val="single" w:sz="4" w:space="0" w:color="auto"/>
            </w:tcBorders>
          </w:tcPr>
          <w:p w14:paraId="61DEBC0A" w14:textId="7F5A5823" w:rsidR="00CD3407" w:rsidRPr="00AD586B" w:rsidRDefault="00CD3407">
            <w:pPr>
              <w:pStyle w:val="TableReference"/>
              <w:tabs>
                <w:tab w:val="left" w:pos="3306"/>
              </w:tabs>
              <w:spacing w:before="40"/>
              <w:rPr>
                <w:rFonts w:cs="Calibri"/>
                <w:color w:val="7030A0"/>
                <w:sz w:val="14"/>
              </w:rPr>
            </w:pPr>
            <w:r w:rsidRPr="00AD586B">
              <w:rPr>
                <w:rFonts w:cs="Calibri"/>
                <w:color w:val="7030A0"/>
                <w:sz w:val="14"/>
              </w:rPr>
              <w:t>AASB 116.74(a)</w:t>
            </w:r>
          </w:p>
        </w:tc>
        <w:tc>
          <w:tcPr>
            <w:tcW w:w="4256" w:type="pct"/>
            <w:gridSpan w:val="5"/>
            <w:tcBorders>
              <w:top w:val="nil"/>
              <w:left w:val="single" w:sz="4" w:space="0" w:color="auto"/>
              <w:bottom w:val="nil"/>
              <w:right w:val="nil"/>
            </w:tcBorders>
          </w:tcPr>
          <w:p w14:paraId="38E0C624" w14:textId="7FB01968" w:rsidR="00CD3407" w:rsidRPr="00064B6D" w:rsidRDefault="00CD3407" w:rsidP="00064B6D">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Plant and equipment</w:t>
            </w:r>
            <w:r w:rsidRPr="00AD586B">
              <w:rPr>
                <w:rFonts w:cs="Calibri"/>
                <w:i/>
                <w:iCs/>
              </w:rPr>
              <w:t xml:space="preserve"> </w:t>
            </w:r>
            <w:r w:rsidR="00064B6D" w:rsidRPr="00064B6D">
              <w:rPr>
                <w:color w:val="FF0000"/>
              </w:rPr>
              <w:t>are tangible assets like machinery, apparatus, appliances, containers, implements or tools that are used by an agency to produce goods or assist in providing services to the community.  Plant and equipment tend to be smaller and more mobile in nature than other types of property, plant and equipment like buildings, roads and land. Plant and Equipment</w:t>
            </w:r>
            <w:r w:rsidR="00064B6D" w:rsidRPr="00064B6D">
              <w:rPr>
                <w:rFonts w:cstheme="minorHAnsi"/>
                <w:bCs/>
                <w:iCs/>
                <w:sz w:val="22"/>
                <w:szCs w:val="22"/>
              </w:rPr>
              <w:t xml:space="preserve"> </w:t>
            </w:r>
            <w:r w:rsidRPr="00064B6D">
              <w:rPr>
                <w:rFonts w:cs="Calibri"/>
              </w:rPr>
              <w:t xml:space="preserve">includes mobile plant, </w:t>
            </w:r>
            <w:r w:rsidR="006B1A85" w:rsidRPr="00064B6D">
              <w:rPr>
                <w:color w:val="FF0000"/>
              </w:rPr>
              <w:t>water tanks,</w:t>
            </w:r>
            <w:r w:rsidR="006B1A85" w:rsidRPr="00064B6D">
              <w:rPr>
                <w:rFonts w:cs="Calibri"/>
              </w:rPr>
              <w:t xml:space="preserve"> </w:t>
            </w:r>
            <w:r w:rsidRPr="00064B6D">
              <w:rPr>
                <w:rFonts w:cs="Calibri"/>
              </w:rPr>
              <w:t xml:space="preserve">air conditioning and heating systems, office and computer equipment, furniture and fittings, </w:t>
            </w:r>
            <w:r w:rsidR="00C80BFF" w:rsidRPr="00064B6D">
              <w:rPr>
                <w:rFonts w:cs="Calibri"/>
              </w:rPr>
              <w:t xml:space="preserve">motor vehicles, </w:t>
            </w:r>
            <w:r w:rsidRPr="00064B6D">
              <w:rPr>
                <w:rFonts w:cs="Calibri"/>
              </w:rPr>
              <w:t xml:space="preserve">buses, </w:t>
            </w:r>
            <w:r w:rsidR="006B1A85" w:rsidRPr="00064B6D">
              <w:rPr>
                <w:color w:val="FF0000"/>
              </w:rPr>
              <w:t>earth moving machinery,</w:t>
            </w:r>
            <w:r w:rsidR="006B1A85" w:rsidRPr="00AD586B">
              <w:t xml:space="preserve"> </w:t>
            </w:r>
            <w:r w:rsidRPr="00AD586B">
              <w:t>light rail vehicles (rolling stock), light rail maintenance equipment</w:t>
            </w:r>
            <w:r w:rsidRPr="00064B6D">
              <w:rPr>
                <w:rFonts w:cs="Calibri"/>
              </w:rPr>
              <w:t>, and other mechanical and electronic equipment.</w:t>
            </w:r>
            <w:r w:rsidR="00FA7C77" w:rsidRPr="00064B6D">
              <w:rPr>
                <w:rFonts w:cs="Calibri"/>
              </w:rPr>
              <w:t xml:space="preserve"> </w:t>
            </w:r>
            <w:r w:rsidR="00ED2CAD" w:rsidRPr="00064B6D">
              <w:rPr>
                <w:rFonts w:cs="Calibri"/>
                <w:strike/>
                <w:color w:val="FF0000"/>
              </w:rPr>
              <w:t>Right-of-use plant and equipment assets and</w:t>
            </w:r>
            <w:r w:rsidR="00ED2CAD" w:rsidRPr="00064B6D">
              <w:rPr>
                <w:rFonts w:cs="Calibri"/>
              </w:rPr>
              <w:t xml:space="preserve"> </w:t>
            </w:r>
            <w:r w:rsidR="00B10ED1" w:rsidRPr="00064B6D">
              <w:rPr>
                <w:rFonts w:cs="Calibri"/>
              </w:rPr>
              <w:t>S</w:t>
            </w:r>
            <w:r w:rsidR="00ED2CAD" w:rsidRPr="00064B6D">
              <w:rPr>
                <w:rFonts w:cs="Calibri"/>
              </w:rPr>
              <w:t xml:space="preserve">ervice concession </w:t>
            </w:r>
            <w:r w:rsidR="00C80BFF" w:rsidRPr="00064B6D">
              <w:rPr>
                <w:rFonts w:cs="Calibri"/>
              </w:rPr>
              <w:t>plant and equipment</w:t>
            </w:r>
            <w:r w:rsidR="00ED2CAD" w:rsidRPr="00064B6D">
              <w:rPr>
                <w:rFonts w:cs="Calibri"/>
              </w:rPr>
              <w:t xml:space="preserve"> assets are included within the </w:t>
            </w:r>
            <w:r w:rsidR="00C80BFF" w:rsidRPr="00064B6D">
              <w:rPr>
                <w:rFonts w:cs="Calibri"/>
              </w:rPr>
              <w:t xml:space="preserve">plant and equipment </w:t>
            </w:r>
            <w:r w:rsidR="00ED2CAD" w:rsidRPr="00064B6D">
              <w:rPr>
                <w:rFonts w:cs="Calibri"/>
              </w:rPr>
              <w:t>asset class.</w:t>
            </w:r>
            <w:r w:rsidR="00FA7C77" w:rsidRPr="00064B6D">
              <w:rPr>
                <w:rFonts w:cs="Calibri"/>
              </w:rPr>
              <w:t xml:space="preserve"> </w:t>
            </w:r>
            <w:r w:rsidRPr="00064B6D">
              <w:rPr>
                <w:rFonts w:cs="Calibri"/>
              </w:rPr>
              <w:t xml:space="preserve">The carrying amount of </w:t>
            </w:r>
            <w:r w:rsidR="005A41B6" w:rsidRPr="00064B6D">
              <w:rPr>
                <w:rFonts w:cs="Calibri"/>
              </w:rPr>
              <w:t>p</w:t>
            </w:r>
            <w:r w:rsidRPr="00064B6D">
              <w:rPr>
                <w:rFonts w:cs="Calibri"/>
              </w:rPr>
              <w:t xml:space="preserve">lant and </w:t>
            </w:r>
            <w:r w:rsidR="005A41B6" w:rsidRPr="00064B6D">
              <w:rPr>
                <w:rFonts w:cs="Calibri"/>
              </w:rPr>
              <w:t>e</w:t>
            </w:r>
            <w:r w:rsidRPr="00064B6D">
              <w:rPr>
                <w:rFonts w:cs="Calibri"/>
              </w:rPr>
              <w:t>quipment pledged separately and specifically as security for liabilities at 30 June 202</w:t>
            </w:r>
            <w:r w:rsidR="005A41B6" w:rsidRPr="00064B6D">
              <w:rPr>
                <w:rFonts w:cs="Calibri"/>
              </w:rPr>
              <w:t>3</w:t>
            </w:r>
            <w:r w:rsidRPr="00064B6D">
              <w:rPr>
                <w:rFonts w:cs="Calibri"/>
              </w:rPr>
              <w:t xml:space="preserve"> was $xxx ($xxx in 202</w:t>
            </w:r>
            <w:r w:rsidR="005A41B6" w:rsidRPr="00064B6D">
              <w:rPr>
                <w:rFonts w:cs="Calibri"/>
              </w:rPr>
              <w:t>2</w:t>
            </w:r>
            <w:r w:rsidRPr="00064B6D">
              <w:rPr>
                <w:rFonts w:cs="Calibri"/>
              </w:rPr>
              <w:t>).</w:t>
            </w:r>
            <w:r w:rsidR="009205FE" w:rsidRPr="00580E37">
              <w:rPr>
                <w:rFonts w:cs="Calibri"/>
                <w:color w:val="FF0000"/>
              </w:rPr>
              <w:t xml:space="preserve"> Right-of-use </w:t>
            </w:r>
            <w:r w:rsidR="009205FE">
              <w:rPr>
                <w:rFonts w:cs="Calibri"/>
                <w:color w:val="FF0000"/>
              </w:rPr>
              <w:t>plant and equipment</w:t>
            </w:r>
            <w:r w:rsidR="009205FE" w:rsidRPr="00580E37">
              <w:rPr>
                <w:rFonts w:cs="Calibri"/>
                <w:color w:val="FF0000"/>
              </w:rPr>
              <w:t xml:space="preserve"> </w:t>
            </w:r>
            <w:r w:rsidR="009205FE" w:rsidRPr="00615429">
              <w:rPr>
                <w:rFonts w:cs="Calibri"/>
                <w:color w:val="FF0000"/>
              </w:rPr>
              <w:t xml:space="preserve">are not included in the </w:t>
            </w:r>
            <w:r w:rsidR="009205FE">
              <w:rPr>
                <w:rFonts w:cs="Calibri"/>
                <w:color w:val="FF0000"/>
              </w:rPr>
              <w:t>plant and equipment</w:t>
            </w:r>
            <w:r w:rsidR="009205FE" w:rsidRPr="00615429">
              <w:rPr>
                <w:rFonts w:cs="Calibri"/>
                <w:color w:val="FF0000"/>
              </w:rPr>
              <w:t xml:space="preserve"> asset class.</w:t>
            </w:r>
          </w:p>
        </w:tc>
      </w:tr>
      <w:tr w:rsidR="00A25789" w:rsidRPr="00B91A27" w14:paraId="19B8F086" w14:textId="77777777" w:rsidTr="002B12D3">
        <w:trPr>
          <w:cantSplit/>
        </w:trPr>
        <w:tc>
          <w:tcPr>
            <w:tcW w:w="744" w:type="pct"/>
            <w:tcBorders>
              <w:top w:val="nil"/>
              <w:left w:val="single" w:sz="4" w:space="0" w:color="auto"/>
              <w:bottom w:val="nil"/>
              <w:right w:val="single" w:sz="4" w:space="0" w:color="auto"/>
            </w:tcBorders>
          </w:tcPr>
          <w:p w14:paraId="319E8902" w14:textId="77777777" w:rsidR="00A25789" w:rsidRPr="00AD586B" w:rsidRDefault="00A25789">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29FAE892" w14:textId="3C4B074C" w:rsidR="00A25789" w:rsidRPr="002C5A96" w:rsidRDefault="00A25789" w:rsidP="002C5A96">
            <w:pPr>
              <w:pStyle w:val="TableText"/>
              <w:numPr>
                <w:ilvl w:val="0"/>
                <w:numId w:val="9"/>
              </w:numPr>
              <w:tabs>
                <w:tab w:val="clear" w:pos="720"/>
                <w:tab w:val="num" w:pos="309"/>
              </w:tabs>
              <w:spacing w:before="0" w:after="60"/>
              <w:ind w:left="307" w:hanging="284"/>
              <w:jc w:val="both"/>
              <w:rPr>
                <w:rFonts w:cs="Calibri"/>
                <w:b/>
                <w:iCs/>
                <w:color w:val="FF0000"/>
              </w:rPr>
            </w:pPr>
            <w:r w:rsidRPr="00B10ED1">
              <w:rPr>
                <w:rFonts w:cs="Calibri"/>
                <w:b/>
                <w:iCs/>
                <w:color w:val="FF0000"/>
              </w:rPr>
              <w:t xml:space="preserve">Right-Of-Use Plant and </w:t>
            </w:r>
            <w:r w:rsidR="009205FE">
              <w:rPr>
                <w:rFonts w:cs="Calibri"/>
                <w:b/>
                <w:iCs/>
                <w:color w:val="FF0000"/>
              </w:rPr>
              <w:t>E</w:t>
            </w:r>
            <w:r w:rsidRPr="00B10ED1">
              <w:rPr>
                <w:rFonts w:cs="Calibri"/>
                <w:b/>
                <w:iCs/>
                <w:color w:val="FF0000"/>
              </w:rPr>
              <w:t>quipment</w:t>
            </w:r>
            <w:r w:rsidR="002C5A96">
              <w:rPr>
                <w:rFonts w:cs="Calibri"/>
                <w:b/>
                <w:iCs/>
                <w:color w:val="FF0000"/>
              </w:rPr>
              <w:t xml:space="preserve"> </w:t>
            </w:r>
            <w:r w:rsidRPr="002C5A96">
              <w:rPr>
                <w:rFonts w:cstheme="minorHAnsi"/>
                <w:color w:val="FF0000"/>
              </w:rPr>
              <w:t>ha</w:t>
            </w:r>
            <w:r w:rsidR="00F0584A" w:rsidRPr="002C5A96">
              <w:rPr>
                <w:rFonts w:cstheme="minorHAnsi"/>
                <w:color w:val="FF0000"/>
              </w:rPr>
              <w:t>s</w:t>
            </w:r>
            <w:r w:rsidRPr="002C5A96">
              <w:rPr>
                <w:rFonts w:cstheme="minorHAnsi"/>
                <w:color w:val="FF0000"/>
              </w:rPr>
              <w:t xml:space="preserve"> the same definition as plant and equipment</w:t>
            </w:r>
            <w:r w:rsidR="00F0584A" w:rsidRPr="002C5A96">
              <w:rPr>
                <w:rFonts w:cstheme="minorHAnsi"/>
                <w:color w:val="FF0000"/>
              </w:rPr>
              <w:t>,</w:t>
            </w:r>
            <w:r w:rsidRPr="002C5A96">
              <w:rPr>
                <w:rFonts w:cstheme="minorHAnsi"/>
                <w:color w:val="FF0000"/>
              </w:rPr>
              <w:t xml:space="preserve"> with the exception that they are held under a lease.  </w:t>
            </w:r>
            <w:r w:rsidR="00F0584A" w:rsidRPr="002C5A96">
              <w:rPr>
                <w:color w:val="FF0000"/>
              </w:rPr>
              <w:t>Plant and Equipment</w:t>
            </w:r>
            <w:r w:rsidR="00025E00" w:rsidRPr="002C5A96">
              <w:rPr>
                <w:color w:val="FF0000"/>
              </w:rPr>
              <w:t xml:space="preserve"> held by ‘Burley Griffin </w:t>
            </w:r>
            <w:r w:rsidR="00025E00" w:rsidRPr="002C5A96">
              <w:rPr>
                <w:rFonts w:cstheme="minorHAnsi"/>
                <w:color w:val="FF0000"/>
              </w:rPr>
              <w:t>Agency’</w:t>
            </w:r>
            <w:r w:rsidR="00F0584A" w:rsidRPr="002C5A96">
              <w:rPr>
                <w:rFonts w:cstheme="minorHAnsi"/>
                <w:color w:val="FF0000"/>
              </w:rPr>
              <w:t xml:space="preserve"> </w:t>
            </w:r>
            <w:r w:rsidR="00025E00" w:rsidRPr="002C5A96">
              <w:rPr>
                <w:rFonts w:cstheme="minorHAnsi"/>
                <w:color w:val="FF0000"/>
              </w:rPr>
              <w:t xml:space="preserve">includes </w:t>
            </w:r>
            <w:r w:rsidR="00F0584A" w:rsidRPr="002C5A96">
              <w:rPr>
                <w:rFonts w:cstheme="minorHAnsi"/>
                <w:color w:val="FF0000"/>
              </w:rPr>
              <w:t xml:space="preserve">motor vehicles and </w:t>
            </w:r>
            <w:r w:rsidR="00726BC6" w:rsidRPr="002C5A96">
              <w:rPr>
                <w:rFonts w:cstheme="minorHAnsi"/>
                <w:color w:val="FF0000"/>
              </w:rPr>
              <w:t>s</w:t>
            </w:r>
            <w:r w:rsidR="00F0584A" w:rsidRPr="002C5A96">
              <w:rPr>
                <w:rFonts w:cstheme="minorHAnsi"/>
                <w:color w:val="FF0000"/>
              </w:rPr>
              <w:t>pecialised plant and equipment</w:t>
            </w:r>
            <w:r w:rsidR="00025E00" w:rsidRPr="002C5A96">
              <w:rPr>
                <w:rFonts w:cstheme="minorHAnsi"/>
                <w:color w:val="FF0000"/>
              </w:rPr>
              <w:t>.</w:t>
            </w:r>
          </w:p>
        </w:tc>
      </w:tr>
      <w:tr w:rsidR="00F767C0" w:rsidRPr="00CF7E1B" w14:paraId="6A9CB00A" w14:textId="77777777" w:rsidTr="002B12D3">
        <w:trPr>
          <w:cantSplit/>
          <w:trHeight w:val="119"/>
        </w:trPr>
        <w:tc>
          <w:tcPr>
            <w:tcW w:w="744" w:type="pct"/>
            <w:tcBorders>
              <w:top w:val="nil"/>
              <w:left w:val="single" w:sz="4" w:space="0" w:color="auto"/>
              <w:bottom w:val="nil"/>
              <w:right w:val="single" w:sz="4" w:space="0" w:color="auto"/>
            </w:tcBorders>
          </w:tcPr>
          <w:p w14:paraId="16D3849D" w14:textId="497D93B3" w:rsidR="00F767C0" w:rsidRPr="00AD586B" w:rsidRDefault="00F767C0" w:rsidP="00BA0A51">
            <w:pPr>
              <w:pStyle w:val="TableReference"/>
              <w:tabs>
                <w:tab w:val="left" w:pos="3306"/>
              </w:tabs>
              <w:spacing w:before="240" w:after="240"/>
              <w:rPr>
                <w:rFonts w:cs="Calibri"/>
                <w:b/>
                <w:color w:val="7030A0"/>
                <w:sz w:val="22"/>
                <w:szCs w:val="22"/>
              </w:rPr>
            </w:pPr>
            <w:r w:rsidRPr="00AD586B">
              <w:rPr>
                <w:rFonts w:cs="Calibri"/>
                <w:b/>
                <w:color w:val="7030A0"/>
                <w:sz w:val="22"/>
                <w:szCs w:val="22"/>
              </w:rPr>
              <w:t>Reference</w:t>
            </w:r>
          </w:p>
        </w:tc>
        <w:tc>
          <w:tcPr>
            <w:tcW w:w="4256" w:type="pct"/>
            <w:gridSpan w:val="5"/>
            <w:tcBorders>
              <w:top w:val="nil"/>
              <w:left w:val="single" w:sz="4" w:space="0" w:color="auto"/>
              <w:bottom w:val="nil"/>
              <w:right w:val="nil"/>
            </w:tcBorders>
          </w:tcPr>
          <w:p w14:paraId="4B933D1F" w14:textId="0F2E0EB1" w:rsidR="00F767C0" w:rsidRPr="00CF7E1B" w:rsidRDefault="00F767C0" w:rsidP="00BA0A51">
            <w:pPr>
              <w:pStyle w:val="Heading1"/>
              <w:numPr>
                <w:ilvl w:val="0"/>
                <w:numId w:val="0"/>
              </w:numPr>
            </w:pPr>
            <w:bookmarkStart w:id="614" w:name="_Toc127733856"/>
            <w:bookmarkStart w:id="615" w:name="_Toc131164508"/>
            <w:bookmarkStart w:id="616" w:name="_Toc131591773"/>
            <w:bookmarkStart w:id="617" w:name="_Toc132743808"/>
            <w:r w:rsidRPr="00AD586B">
              <w:t>Note 19.</w:t>
            </w:r>
            <w:r>
              <w:t xml:space="preserve"> </w:t>
            </w:r>
            <w:r w:rsidRPr="00AD586B">
              <w:t xml:space="preserve"> Property, Plant and Equipment</w:t>
            </w:r>
            <w:r>
              <w:t xml:space="preserve"> – Contined</w:t>
            </w:r>
            <w:bookmarkEnd w:id="614"/>
            <w:bookmarkEnd w:id="615"/>
            <w:bookmarkEnd w:id="616"/>
            <w:bookmarkEnd w:id="617"/>
          </w:p>
        </w:tc>
      </w:tr>
      <w:tr w:rsidR="00074403" w:rsidRPr="00CF7E1B" w14:paraId="6677636C" w14:textId="77777777" w:rsidTr="002B12D3">
        <w:trPr>
          <w:cantSplit/>
          <w:trHeight w:val="119"/>
        </w:trPr>
        <w:tc>
          <w:tcPr>
            <w:tcW w:w="744" w:type="pct"/>
            <w:tcBorders>
              <w:top w:val="nil"/>
              <w:left w:val="single" w:sz="4" w:space="0" w:color="auto"/>
              <w:bottom w:val="nil"/>
              <w:right w:val="single" w:sz="4" w:space="0" w:color="auto"/>
            </w:tcBorders>
          </w:tcPr>
          <w:p w14:paraId="6C5BB90A" w14:textId="77777777" w:rsidR="00074403" w:rsidRPr="00AD586B" w:rsidRDefault="00074403" w:rsidP="00074403"/>
        </w:tc>
        <w:tc>
          <w:tcPr>
            <w:tcW w:w="4256" w:type="pct"/>
            <w:gridSpan w:val="5"/>
            <w:tcBorders>
              <w:top w:val="nil"/>
              <w:left w:val="single" w:sz="4" w:space="0" w:color="auto"/>
              <w:bottom w:val="nil"/>
              <w:right w:val="nil"/>
            </w:tcBorders>
          </w:tcPr>
          <w:p w14:paraId="15D6A4A7" w14:textId="1F2B7119" w:rsidR="00074403" w:rsidRPr="00074403" w:rsidRDefault="00074403" w:rsidP="00074403">
            <w:pPr>
              <w:spacing w:after="120"/>
              <w:rPr>
                <w:color w:val="FF0000"/>
              </w:rPr>
            </w:pPr>
            <w:r w:rsidRPr="00074403">
              <w:rPr>
                <w:rFonts w:cs="Calibri"/>
                <w:b/>
                <w:bCs/>
                <w:color w:val="FF0000"/>
                <w:sz w:val="18"/>
                <w:szCs w:val="18"/>
              </w:rPr>
              <w:t>Description and Material Accounting Policies relating to Property, Plant and Equipment - Continued</w:t>
            </w:r>
          </w:p>
        </w:tc>
      </w:tr>
      <w:tr w:rsidR="00CD3407" w:rsidRPr="00B91A27" w14:paraId="712FD09A" w14:textId="77777777" w:rsidTr="002B12D3">
        <w:trPr>
          <w:cantSplit/>
        </w:trPr>
        <w:tc>
          <w:tcPr>
            <w:tcW w:w="744" w:type="pct"/>
            <w:tcBorders>
              <w:top w:val="nil"/>
              <w:left w:val="single" w:sz="4" w:space="0" w:color="auto"/>
              <w:bottom w:val="nil"/>
              <w:right w:val="single" w:sz="4" w:space="0" w:color="auto"/>
            </w:tcBorders>
          </w:tcPr>
          <w:p w14:paraId="1D9FB1C4" w14:textId="77777777" w:rsidR="00CD3407" w:rsidRPr="00AD586B" w:rsidRDefault="00CD3407">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12736D2B" w14:textId="088B30D8" w:rsidR="00CD3407" w:rsidRPr="00AD586B" w:rsidRDefault="00CD3407" w:rsidP="00B06F68">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Infrastructure assets</w:t>
            </w:r>
            <w:r w:rsidRPr="00AD586B">
              <w:rPr>
                <w:rFonts w:cs="Calibri"/>
                <w:i/>
                <w:iCs/>
              </w:rPr>
              <w:t xml:space="preserve"> </w:t>
            </w:r>
            <w:r w:rsidR="00471EEC" w:rsidRPr="00AD586B">
              <w:rPr>
                <w:rFonts w:cs="Calibri"/>
              </w:rPr>
              <w:t>are</w:t>
            </w:r>
            <w:r w:rsidR="00471EEC" w:rsidRPr="00AD586B">
              <w:t xml:space="preserve"> physical asset that typically have a long u</w:t>
            </w:r>
            <w:r w:rsidR="00A72190">
              <w:t>seful</w:t>
            </w:r>
            <w:r w:rsidR="00471EEC" w:rsidRPr="00AD586B">
              <w:t xml:space="preserve"> life and consist of </w:t>
            </w:r>
            <w:r w:rsidR="00BE2642" w:rsidRPr="00AD586B">
              <w:t>a</w:t>
            </w:r>
            <w:r w:rsidR="00471EEC" w:rsidRPr="00AD586B">
              <w:t xml:space="preserve"> </w:t>
            </w:r>
            <w:r w:rsidR="0083574B" w:rsidRPr="0083574B">
              <w:rPr>
                <w:color w:val="FF0000"/>
              </w:rPr>
              <w:t xml:space="preserve">complex interconnected </w:t>
            </w:r>
            <w:r w:rsidR="00471EEC" w:rsidRPr="00AD586B">
              <w:t xml:space="preserve">network </w:t>
            </w:r>
            <w:r w:rsidR="00332880" w:rsidRPr="00AD586B">
              <w:t xml:space="preserve">of </w:t>
            </w:r>
            <w:r w:rsidR="0083574B" w:rsidRPr="0083574B">
              <w:rPr>
                <w:color w:val="FF0000"/>
              </w:rPr>
              <w:t>individual</w:t>
            </w:r>
            <w:r w:rsidR="0083574B">
              <w:t xml:space="preserve"> </w:t>
            </w:r>
            <w:r w:rsidR="00471EEC" w:rsidRPr="00AD586B">
              <w:t xml:space="preserve">components, which </w:t>
            </w:r>
            <w:r w:rsidR="00332880" w:rsidRPr="00AD586B">
              <w:t>enhance the productive capacity of the economy and supports Government services</w:t>
            </w:r>
            <w:r w:rsidR="00471EEC" w:rsidRPr="00AD586B">
              <w:t>.</w:t>
            </w:r>
            <w:r w:rsidR="00471EEC" w:rsidRPr="00AD586B">
              <w:rPr>
                <w:rFonts w:cs="Calibri"/>
              </w:rPr>
              <w:t xml:space="preserve"> </w:t>
            </w:r>
            <w:r w:rsidR="0083574B" w:rsidRPr="0083574B">
              <w:rPr>
                <w:color w:val="FF0000"/>
              </w:rPr>
              <w:t xml:space="preserve">Buildings do not meet the definition of </w:t>
            </w:r>
            <w:r w:rsidR="00726BC6">
              <w:rPr>
                <w:color w:val="FF0000"/>
              </w:rPr>
              <w:t>i</w:t>
            </w:r>
            <w:r w:rsidR="0083574B" w:rsidRPr="0083574B">
              <w:rPr>
                <w:color w:val="FF0000"/>
              </w:rPr>
              <w:t>nfrastructure assets unless they are an ancillary part of an infrastructure system.</w:t>
            </w:r>
            <w:r w:rsidR="0083574B">
              <w:rPr>
                <w:rFonts w:cstheme="minorHAnsi"/>
                <w:bCs/>
                <w:iCs/>
                <w:sz w:val="22"/>
                <w:szCs w:val="22"/>
              </w:rPr>
              <w:t xml:space="preserve"> </w:t>
            </w:r>
            <w:r w:rsidR="00471EEC" w:rsidRPr="00AD586B">
              <w:rPr>
                <w:rFonts w:cs="Calibri"/>
              </w:rPr>
              <w:t xml:space="preserve">Infrastructure assets </w:t>
            </w:r>
            <w:r w:rsidRPr="00AD586B">
              <w:rPr>
                <w:rFonts w:cs="Calibri"/>
              </w:rPr>
              <w:t xml:space="preserve">held by the Agency include </w:t>
            </w:r>
            <w:r w:rsidR="00ED7CA9" w:rsidRPr="00AD586B">
              <w:rPr>
                <w:rFonts w:cs="Calibri"/>
              </w:rPr>
              <w:t xml:space="preserve">roads (including earthworks), </w:t>
            </w:r>
            <w:r w:rsidRPr="00AD586B">
              <w:rPr>
                <w:rFonts w:cs="Calibri"/>
              </w:rPr>
              <w:t>bridges, stormwater drains, footpaths</w:t>
            </w:r>
            <w:r w:rsidR="00ED7CA9" w:rsidRPr="00AD586B">
              <w:rPr>
                <w:rFonts w:cs="Calibri"/>
              </w:rPr>
              <w:t>,</w:t>
            </w:r>
            <w:r w:rsidRPr="00AD586B">
              <w:rPr>
                <w:rFonts w:cs="Calibri"/>
              </w:rPr>
              <w:t xml:space="preserve"> street lighting</w:t>
            </w:r>
            <w:r w:rsidR="00ED7CA9" w:rsidRPr="00AD586B">
              <w:rPr>
                <w:rFonts w:cs="Calibri"/>
              </w:rPr>
              <w:t>, signs, barriers,</w:t>
            </w:r>
            <w:r w:rsidR="00435602" w:rsidRPr="00AD586B">
              <w:rPr>
                <w:rFonts w:cs="Calibri"/>
              </w:rPr>
              <w:t xml:space="preserve"> </w:t>
            </w:r>
            <w:r w:rsidR="00435602" w:rsidRPr="00855F1B">
              <w:rPr>
                <w:rFonts w:cs="Calibri"/>
              </w:rPr>
              <w:t>bollards</w:t>
            </w:r>
            <w:r w:rsidR="00292348" w:rsidRPr="00AD586B">
              <w:rPr>
                <w:rFonts w:cs="Calibri"/>
              </w:rPr>
              <w:t>,</w:t>
            </w:r>
            <w:r w:rsidRPr="00AD586B">
              <w:rPr>
                <w:rFonts w:cs="Calibri"/>
              </w:rPr>
              <w:t xml:space="preserve"> </w:t>
            </w:r>
            <w:r w:rsidR="00B06F68" w:rsidRPr="00B06F68">
              <w:rPr>
                <w:rFonts w:cs="Calibri"/>
                <w:color w:val="FF0000"/>
              </w:rPr>
              <w:t>t</w:t>
            </w:r>
            <w:r w:rsidR="00B06F68" w:rsidRPr="00B06F68">
              <w:rPr>
                <w:color w:val="FF0000"/>
              </w:rPr>
              <w:t xml:space="preserve">raffic </w:t>
            </w:r>
            <w:r w:rsidR="00B06F68">
              <w:rPr>
                <w:color w:val="FF0000"/>
              </w:rPr>
              <w:t>l</w:t>
            </w:r>
            <w:r w:rsidR="00B06F68" w:rsidRPr="00B06F68">
              <w:rPr>
                <w:color w:val="FF0000"/>
              </w:rPr>
              <w:t>ights,</w:t>
            </w:r>
            <w:r w:rsidR="009205FE">
              <w:rPr>
                <w:color w:val="FF0000"/>
              </w:rPr>
              <w:t xml:space="preserve"> fences,</w:t>
            </w:r>
            <w:r w:rsidR="00B06F68" w:rsidRPr="00AD586B">
              <w:rPr>
                <w:rFonts w:cs="Calibri"/>
              </w:rPr>
              <w:t xml:space="preserve"> </w:t>
            </w:r>
            <w:r w:rsidR="00292348" w:rsidRPr="00855F1B">
              <w:rPr>
                <w:rFonts w:cs="Calibri"/>
              </w:rPr>
              <w:t>playgrounds not adjoining a building</w:t>
            </w:r>
            <w:r w:rsidR="00B06F68" w:rsidRPr="00855F1B">
              <w:rPr>
                <w:rFonts w:cs="Calibri"/>
              </w:rPr>
              <w:t>,</w:t>
            </w:r>
            <w:r w:rsidR="00B06F68">
              <w:rPr>
                <w:rFonts w:cs="Calibri"/>
              </w:rPr>
              <w:t xml:space="preserve"> </w:t>
            </w:r>
            <w:r w:rsidRPr="00AD586B">
              <w:rPr>
                <w:rFonts w:cs="Calibri"/>
              </w:rPr>
              <w:t>and</w:t>
            </w:r>
            <w:r w:rsidRPr="00AD586B">
              <w:t xml:space="preserve"> light rail infrastructure assets (including tracks, overhead wiring and poles, signalling and traffic control systems, electricity substations and light rail stops)</w:t>
            </w:r>
            <w:r w:rsidRPr="00AD586B">
              <w:rPr>
                <w:rFonts w:cs="Calibri"/>
              </w:rPr>
              <w:t xml:space="preserve">. </w:t>
            </w:r>
            <w:r w:rsidR="00C80BFF" w:rsidRPr="002B5FBD">
              <w:rPr>
                <w:rFonts w:cs="Calibri"/>
                <w:strike/>
                <w:color w:val="538135" w:themeColor="accent6" w:themeShade="BF"/>
              </w:rPr>
              <w:t>Right-of-use infrastructure assets</w:t>
            </w:r>
            <w:r w:rsidR="00C80BFF" w:rsidRPr="00580E37">
              <w:rPr>
                <w:rFonts w:cs="Calibri"/>
                <w:strike/>
                <w:color w:val="FF0000"/>
              </w:rPr>
              <w:t xml:space="preserve"> and</w:t>
            </w:r>
            <w:r w:rsidR="00C80BFF" w:rsidRPr="00580E37">
              <w:rPr>
                <w:rFonts w:cs="Calibri"/>
                <w:color w:val="FF0000"/>
              </w:rPr>
              <w:t xml:space="preserve"> </w:t>
            </w:r>
            <w:r w:rsidR="00C80BFF" w:rsidRPr="00580E37">
              <w:rPr>
                <w:rFonts w:cs="Calibri"/>
                <w:strike/>
                <w:color w:val="FF0000"/>
              </w:rPr>
              <w:t>s</w:t>
            </w:r>
            <w:r w:rsidR="00580E37" w:rsidRPr="00580E37">
              <w:rPr>
                <w:rFonts w:cs="Calibri"/>
                <w:color w:val="FF0000"/>
              </w:rPr>
              <w:t>S</w:t>
            </w:r>
            <w:r w:rsidR="00C80BFF" w:rsidRPr="00AD586B">
              <w:rPr>
                <w:rFonts w:cs="Calibri"/>
              </w:rPr>
              <w:t>ervice concession infrastructure assets are included within the infrastructure asset class.</w:t>
            </w:r>
            <w:r w:rsidR="00FA7C77">
              <w:rPr>
                <w:rFonts w:cs="Calibri"/>
              </w:rPr>
              <w:t xml:space="preserve">  </w:t>
            </w:r>
            <w:r w:rsidRPr="00AD586B">
              <w:rPr>
                <w:rFonts w:cs="Calibri"/>
              </w:rPr>
              <w:t xml:space="preserve">Land under infrastructure </w:t>
            </w:r>
            <w:r w:rsidR="00580E37" w:rsidRPr="00580E37">
              <w:rPr>
                <w:rFonts w:cs="Calibri"/>
                <w:color w:val="FF0000"/>
              </w:rPr>
              <w:t xml:space="preserve">and </w:t>
            </w:r>
            <w:r w:rsidR="00580E37" w:rsidRPr="002B5FBD">
              <w:rPr>
                <w:rFonts w:cs="Calibri"/>
                <w:color w:val="538135" w:themeColor="accent6" w:themeShade="BF"/>
              </w:rPr>
              <w:t>right-of-use infrastructure assets</w:t>
            </w:r>
            <w:r w:rsidR="00580E37" w:rsidRPr="00580E37">
              <w:rPr>
                <w:rFonts w:cs="Calibri"/>
                <w:color w:val="FF0000"/>
              </w:rPr>
              <w:t xml:space="preserve"> </w:t>
            </w:r>
            <w:r w:rsidRPr="00580E37">
              <w:rPr>
                <w:rFonts w:cs="Calibri"/>
                <w:strike/>
                <w:color w:val="FF0000"/>
              </w:rPr>
              <w:t>is</w:t>
            </w:r>
            <w:r w:rsidR="00580E37" w:rsidRPr="00580E37">
              <w:rPr>
                <w:rFonts w:cs="Calibri"/>
                <w:color w:val="FF0000"/>
              </w:rPr>
              <w:t>are</w:t>
            </w:r>
            <w:r w:rsidRPr="00AD586B">
              <w:rPr>
                <w:rFonts w:cs="Calibri"/>
              </w:rPr>
              <w:t xml:space="preserve"> not included in </w:t>
            </w:r>
            <w:r w:rsidR="00B06F68" w:rsidRPr="00B06F68">
              <w:rPr>
                <w:rFonts w:cs="Calibri"/>
                <w:color w:val="FF0000"/>
              </w:rPr>
              <w:t>the</w:t>
            </w:r>
            <w:r w:rsidR="00B06F68">
              <w:rPr>
                <w:rFonts w:cs="Calibri"/>
              </w:rPr>
              <w:t xml:space="preserve"> </w:t>
            </w:r>
            <w:r w:rsidRPr="00AD586B">
              <w:rPr>
                <w:rFonts w:cs="Calibri"/>
              </w:rPr>
              <w:t>infrastructure asset</w:t>
            </w:r>
            <w:r w:rsidRPr="00B06F68">
              <w:rPr>
                <w:rFonts w:cs="Calibri"/>
                <w:strike/>
                <w:color w:val="FF0000"/>
              </w:rPr>
              <w:t>s</w:t>
            </w:r>
            <w:r w:rsidR="00B06F68">
              <w:rPr>
                <w:rFonts w:cs="Calibri"/>
              </w:rPr>
              <w:t xml:space="preserve"> </w:t>
            </w:r>
            <w:r w:rsidR="00B06F68" w:rsidRPr="00B06F68">
              <w:rPr>
                <w:rFonts w:cs="Calibri"/>
                <w:color w:val="FF0000"/>
              </w:rPr>
              <w:t>class</w:t>
            </w:r>
            <w:r w:rsidRPr="00AD586B">
              <w:rPr>
                <w:rFonts w:cs="Calibri"/>
              </w:rPr>
              <w:t>.</w:t>
            </w:r>
          </w:p>
        </w:tc>
      </w:tr>
      <w:tr w:rsidR="00F1016B" w:rsidRPr="00B91A27" w14:paraId="5050E37B" w14:textId="77777777" w:rsidTr="002B12D3">
        <w:trPr>
          <w:cantSplit/>
        </w:trPr>
        <w:tc>
          <w:tcPr>
            <w:tcW w:w="744" w:type="pct"/>
            <w:tcBorders>
              <w:top w:val="nil"/>
              <w:left w:val="single" w:sz="4" w:space="0" w:color="auto"/>
              <w:bottom w:val="nil"/>
              <w:right w:val="single" w:sz="4" w:space="0" w:color="auto"/>
            </w:tcBorders>
          </w:tcPr>
          <w:p w14:paraId="02AFBA96" w14:textId="77777777" w:rsidR="00F1016B" w:rsidRPr="00AD586B" w:rsidRDefault="00F1016B">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tcPr>
          <w:p w14:paraId="2A95CFC8" w14:textId="1A0CFE18" w:rsidR="00F1016B" w:rsidRPr="00B10ED1" w:rsidRDefault="00F1016B" w:rsidP="00CB31DE">
            <w:pPr>
              <w:pStyle w:val="TableText"/>
              <w:numPr>
                <w:ilvl w:val="0"/>
                <w:numId w:val="16"/>
              </w:numPr>
              <w:tabs>
                <w:tab w:val="clear" w:pos="720"/>
              </w:tabs>
              <w:spacing w:before="0"/>
              <w:ind w:left="306"/>
              <w:jc w:val="both"/>
              <w:rPr>
                <w:rFonts w:cs="Calibri"/>
                <w:b/>
                <w:iCs/>
                <w:color w:val="FF0000"/>
              </w:rPr>
            </w:pPr>
            <w:r w:rsidRPr="00AD586B">
              <w:rPr>
                <w:rFonts w:cs="Calibri"/>
                <w:b/>
                <w:iCs/>
              </w:rPr>
              <w:t xml:space="preserve">Heritage and Community assets. </w:t>
            </w:r>
            <w:r w:rsidRPr="00AD586B">
              <w:rPr>
                <w:rFonts w:cs="Calibri"/>
                <w:bCs/>
                <w:iCs/>
              </w:rPr>
              <w:t>Heritage assets</w:t>
            </w:r>
            <w:r w:rsidRPr="00AD586B">
              <w:t xml:space="preserve"> refer to assets that have unique cultural, historical, geographical, scientific, and/or environmental attributes and that the Government intends to preserve indefinitely because of those attributes.</w:t>
            </w:r>
            <w:r>
              <w:t xml:space="preserve"> </w:t>
            </w:r>
            <w:r w:rsidRPr="00AD586B">
              <w:rPr>
                <w:rFonts w:cs="Calibri"/>
                <w:bCs/>
                <w:iCs/>
              </w:rPr>
              <w:t>Heritage assets</w:t>
            </w:r>
            <w:r w:rsidRPr="00AD586B">
              <w:t xml:space="preserve"> </w:t>
            </w:r>
            <w:r w:rsidRPr="00AD586B">
              <w:rPr>
                <w:rFonts w:cs="Calibri"/>
              </w:rPr>
              <w:t>held by the Agency include art</w:t>
            </w:r>
            <w:r w:rsidR="005F1B9D" w:rsidRPr="005F1B9D">
              <w:rPr>
                <w:rFonts w:cs="Calibri"/>
                <w:color w:val="FF0000"/>
              </w:rPr>
              <w:t>work</w:t>
            </w:r>
            <w:r w:rsidRPr="00AD586B">
              <w:rPr>
                <w:rFonts w:cs="Calibri"/>
              </w:rPr>
              <w:t xml:space="preserve">, </w:t>
            </w:r>
            <w:r w:rsidR="000F6412" w:rsidRPr="000F6412">
              <w:rPr>
                <w:rFonts w:cs="Calibri"/>
                <w:color w:val="FF0000"/>
              </w:rPr>
              <w:t>museum collections,</w:t>
            </w:r>
            <w:r w:rsidR="000F6412" w:rsidRPr="00AD586B">
              <w:rPr>
                <w:rFonts w:cs="Calibri"/>
              </w:rPr>
              <w:t xml:space="preserve"> </w:t>
            </w:r>
            <w:r w:rsidRPr="00AD586B">
              <w:rPr>
                <w:rFonts w:cs="Calibri"/>
              </w:rPr>
              <w:t>historical buildings, and memorials.</w:t>
            </w:r>
            <w:r>
              <w:rPr>
                <w:rFonts w:cs="Calibri"/>
              </w:rPr>
              <w:t xml:space="preserve"> </w:t>
            </w:r>
            <w:r w:rsidRPr="00AD586B">
              <w:rPr>
                <w:rFonts w:cs="Calibri"/>
                <w:bCs/>
                <w:iCs/>
              </w:rPr>
              <w:t>Community assets</w:t>
            </w:r>
            <w:r w:rsidRPr="00AD586B">
              <w:rPr>
                <w:rFonts w:cs="Calibri"/>
                <w:i/>
                <w:iCs/>
              </w:rPr>
              <w:t xml:space="preserve"> </w:t>
            </w:r>
            <w:r w:rsidRPr="00AD586B">
              <w:t>are those assets that are provided</w:t>
            </w:r>
            <w:r w:rsidR="00D64A86">
              <w:t xml:space="preserve"> </w:t>
            </w:r>
            <w:r w:rsidR="00D64A86" w:rsidRPr="00D64A86">
              <w:rPr>
                <w:rFonts w:cs="Calibri"/>
                <w:color w:val="FF0000"/>
              </w:rPr>
              <w:t>primarily</w:t>
            </w:r>
            <w:r w:rsidRPr="00AD586B">
              <w:t xml:space="preserve"> </w:t>
            </w:r>
            <w:r w:rsidRPr="00D64A86">
              <w:rPr>
                <w:strike/>
                <w:color w:val="FF0000"/>
              </w:rPr>
              <w:t>essentially</w:t>
            </w:r>
            <w:r w:rsidRPr="00AD586B">
              <w:t xml:space="preserve"> for general community use or service.</w:t>
            </w:r>
            <w:r w:rsidR="005F1B9D">
              <w:rPr>
                <w:rFonts w:cs="Calibri"/>
                <w:color w:val="FF0000"/>
              </w:rPr>
              <w:t xml:space="preserve"> </w:t>
            </w:r>
            <w:r w:rsidRPr="00AD586B">
              <w:rPr>
                <w:rFonts w:cs="Calibri"/>
                <w:bCs/>
                <w:iCs/>
              </w:rPr>
              <w:t>Community assets</w:t>
            </w:r>
            <w:r w:rsidRPr="00AD586B">
              <w:rPr>
                <w:rFonts w:cs="Calibri"/>
                <w:i/>
                <w:iCs/>
              </w:rPr>
              <w:t xml:space="preserve"> </w:t>
            </w:r>
            <w:r w:rsidRPr="00AD586B">
              <w:rPr>
                <w:rFonts w:cs="Calibri"/>
              </w:rPr>
              <w:t>held by the Agency include public parks and gardens, public sporting reserves</w:t>
            </w:r>
            <w:r w:rsidR="003C380A" w:rsidRPr="002B5FBD">
              <w:rPr>
                <w:rFonts w:cs="Calibri"/>
              </w:rPr>
              <w:t xml:space="preserve">, </w:t>
            </w:r>
            <w:r w:rsidRPr="00AD586B">
              <w:rPr>
                <w:rFonts w:cs="Calibri"/>
              </w:rPr>
              <w:t>public nature reserves</w:t>
            </w:r>
            <w:r w:rsidR="002B12D3" w:rsidRPr="002B12D3">
              <w:rPr>
                <w:rFonts w:cs="Calibri"/>
                <w:color w:val="FF0000"/>
              </w:rPr>
              <w:t>,</w:t>
            </w:r>
            <w:r w:rsidRPr="00AD586B">
              <w:rPr>
                <w:rFonts w:cs="Calibri"/>
              </w:rPr>
              <w:t xml:space="preserve"> </w:t>
            </w:r>
            <w:r w:rsidR="009205FE">
              <w:rPr>
                <w:rFonts w:cs="Calibri"/>
                <w:color w:val="FF0000"/>
              </w:rPr>
              <w:t>shelters</w:t>
            </w:r>
            <w:r w:rsidR="002B12D3" w:rsidRPr="003C380A">
              <w:rPr>
                <w:rFonts w:cs="Calibri"/>
                <w:color w:val="FF0000"/>
              </w:rPr>
              <w:t xml:space="preserve"> </w:t>
            </w:r>
            <w:r w:rsidRPr="002B5FBD">
              <w:rPr>
                <w:rFonts w:cs="Calibri"/>
              </w:rPr>
              <w:t>and land under infrastructure.</w:t>
            </w:r>
          </w:p>
        </w:tc>
      </w:tr>
      <w:tr w:rsidR="0004022E" w:rsidRPr="00B91A27" w14:paraId="02110ADF" w14:textId="77777777" w:rsidTr="002B12D3">
        <w:trPr>
          <w:cantSplit/>
        </w:trPr>
        <w:tc>
          <w:tcPr>
            <w:tcW w:w="744" w:type="pct"/>
            <w:tcBorders>
              <w:top w:val="nil"/>
              <w:left w:val="single" w:sz="4" w:space="0" w:color="auto"/>
              <w:bottom w:val="nil"/>
              <w:right w:val="single" w:sz="4" w:space="0" w:color="auto"/>
            </w:tcBorders>
          </w:tcPr>
          <w:p w14:paraId="79778496" w14:textId="77777777" w:rsidR="0004022E" w:rsidRPr="00AD586B" w:rsidRDefault="0004022E" w:rsidP="0004022E">
            <w:pPr>
              <w:pStyle w:val="TableReference"/>
              <w:tabs>
                <w:tab w:val="left" w:pos="3306"/>
              </w:tabs>
              <w:spacing w:before="180"/>
              <w:rPr>
                <w:rFonts w:cs="Calibri"/>
                <w:color w:val="7030A0"/>
                <w:sz w:val="14"/>
              </w:rPr>
            </w:pPr>
            <w:r w:rsidRPr="00AD586B">
              <w:rPr>
                <w:rFonts w:cs="Calibri"/>
                <w:color w:val="7030A0"/>
                <w:sz w:val="14"/>
              </w:rPr>
              <w:t>AASB 16.47</w:t>
            </w:r>
          </w:p>
          <w:p w14:paraId="601746A9" w14:textId="792674FC" w:rsidR="0004022E" w:rsidRPr="00AD586B" w:rsidRDefault="0004022E" w:rsidP="0004022E">
            <w:pPr>
              <w:pStyle w:val="TableReference"/>
              <w:tabs>
                <w:tab w:val="left" w:pos="3306"/>
              </w:tabs>
              <w:spacing w:before="40"/>
              <w:rPr>
                <w:rFonts w:cs="Calibri"/>
                <w:color w:val="7030A0"/>
                <w:sz w:val="14"/>
              </w:rPr>
            </w:pPr>
            <w:r w:rsidRPr="00AD586B">
              <w:rPr>
                <w:rFonts w:cs="Calibri"/>
                <w:color w:val="7030A0"/>
                <w:sz w:val="14"/>
              </w:rPr>
              <w:t>ACT Disclosure Policy</w:t>
            </w:r>
          </w:p>
        </w:tc>
        <w:tc>
          <w:tcPr>
            <w:tcW w:w="4256" w:type="pct"/>
            <w:gridSpan w:val="5"/>
            <w:tcBorders>
              <w:top w:val="nil"/>
              <w:left w:val="single" w:sz="4" w:space="0" w:color="auto"/>
              <w:bottom w:val="nil"/>
              <w:right w:val="nil"/>
            </w:tcBorders>
            <w:vAlign w:val="bottom"/>
          </w:tcPr>
          <w:p w14:paraId="77FEB920" w14:textId="38A909C3" w:rsidR="0004022E" w:rsidRPr="00EC1A8A" w:rsidRDefault="006E7FE9" w:rsidP="00EC1A8A">
            <w:pPr>
              <w:jc w:val="both"/>
              <w:rPr>
                <w:b/>
                <w:bCs/>
                <w:caps/>
                <w:sz w:val="18"/>
                <w:szCs w:val="18"/>
              </w:rPr>
            </w:pPr>
            <w:bookmarkStart w:id="618" w:name="_Toc98763121"/>
            <w:r w:rsidRPr="00EC1A8A">
              <w:rPr>
                <w:sz w:val="18"/>
                <w:szCs w:val="18"/>
              </w:rPr>
              <w:t>Property, Plant and Equipment</w:t>
            </w:r>
            <w:r w:rsidR="0004022E" w:rsidRPr="00EC1A8A">
              <w:rPr>
                <w:sz w:val="18"/>
                <w:szCs w:val="18"/>
              </w:rPr>
              <w:t xml:space="preserve"> does not include assets held for sale or investment property.</w:t>
            </w:r>
            <w:r w:rsidR="00FA7C77" w:rsidRPr="00EC1A8A">
              <w:rPr>
                <w:sz w:val="18"/>
                <w:szCs w:val="18"/>
              </w:rPr>
              <w:t xml:space="preserve"> </w:t>
            </w:r>
            <w:r w:rsidR="0004022E" w:rsidRPr="00EC1A8A">
              <w:rPr>
                <w:strike/>
                <w:color w:val="FF0000"/>
                <w:sz w:val="18"/>
                <w:szCs w:val="18"/>
              </w:rPr>
              <w:t xml:space="preserve">Right-of-Use (ROU) assets recognised under AASB 16 </w:t>
            </w:r>
            <w:r w:rsidR="0004022E" w:rsidRPr="00EC1A8A">
              <w:rPr>
                <w:i/>
                <w:iCs/>
                <w:strike/>
                <w:color w:val="FF0000"/>
                <w:sz w:val="18"/>
                <w:szCs w:val="18"/>
              </w:rPr>
              <w:t>Leases</w:t>
            </w:r>
            <w:r w:rsidR="0004022E" w:rsidRPr="00EC1A8A">
              <w:rPr>
                <w:strike/>
                <w:color w:val="FF0000"/>
                <w:sz w:val="18"/>
                <w:szCs w:val="18"/>
              </w:rPr>
              <w:t xml:space="preserve"> are disclosed under the relevant class of property, plant and equipment.</w:t>
            </w:r>
            <w:bookmarkEnd w:id="618"/>
          </w:p>
        </w:tc>
      </w:tr>
      <w:tr w:rsidR="003A4053" w:rsidRPr="00B91A27" w14:paraId="7F38DA94" w14:textId="77777777" w:rsidTr="002B12D3">
        <w:trPr>
          <w:cantSplit/>
        </w:trPr>
        <w:tc>
          <w:tcPr>
            <w:tcW w:w="744" w:type="pct"/>
            <w:tcBorders>
              <w:top w:val="nil"/>
              <w:left w:val="single" w:sz="4" w:space="0" w:color="auto"/>
              <w:bottom w:val="nil"/>
              <w:right w:val="single" w:sz="4" w:space="0" w:color="auto"/>
            </w:tcBorders>
          </w:tcPr>
          <w:p w14:paraId="32181CB8" w14:textId="77777777" w:rsidR="003A4053" w:rsidRPr="00AD586B" w:rsidRDefault="003A4053" w:rsidP="003A4053">
            <w:pPr>
              <w:pStyle w:val="TableReference"/>
              <w:tabs>
                <w:tab w:val="left" w:pos="3306"/>
              </w:tabs>
              <w:spacing w:before="40"/>
              <w:rPr>
                <w:rFonts w:cs="Calibri"/>
                <w:color w:val="7030A0"/>
                <w:sz w:val="14"/>
              </w:rPr>
            </w:pPr>
          </w:p>
        </w:tc>
        <w:tc>
          <w:tcPr>
            <w:tcW w:w="4256" w:type="pct"/>
            <w:gridSpan w:val="5"/>
            <w:tcBorders>
              <w:top w:val="nil"/>
              <w:left w:val="single" w:sz="4" w:space="0" w:color="auto"/>
              <w:bottom w:val="nil"/>
              <w:right w:val="nil"/>
            </w:tcBorders>
            <w:vAlign w:val="bottom"/>
          </w:tcPr>
          <w:p w14:paraId="62129DB4" w14:textId="64F7A0A2" w:rsidR="003A4053" w:rsidRPr="00865E48" w:rsidRDefault="003A4053" w:rsidP="00865E48">
            <w:pPr>
              <w:spacing w:before="180"/>
              <w:jc w:val="both"/>
              <w:rPr>
                <w:b/>
                <w:bCs/>
                <w:i/>
                <w:iCs/>
                <w:caps/>
                <w:sz w:val="18"/>
                <w:szCs w:val="18"/>
              </w:rPr>
            </w:pPr>
            <w:bookmarkStart w:id="619" w:name="_Toc98763122"/>
            <w:r w:rsidRPr="00865E48">
              <w:rPr>
                <w:i/>
                <w:iCs/>
                <w:sz w:val="18"/>
                <w:szCs w:val="18"/>
              </w:rPr>
              <w:t>Revision in Accounting Estimates</w:t>
            </w:r>
            <w:bookmarkEnd w:id="619"/>
            <w:r w:rsidRPr="00865E48">
              <w:rPr>
                <w:i/>
                <w:iCs/>
                <w:sz w:val="18"/>
                <w:szCs w:val="18"/>
              </w:rPr>
              <w:t xml:space="preserve"> </w:t>
            </w:r>
          </w:p>
        </w:tc>
      </w:tr>
      <w:tr w:rsidR="003A4053" w:rsidRPr="00B91A27" w14:paraId="37DE7114" w14:textId="77777777" w:rsidTr="002B12D3">
        <w:trPr>
          <w:cantSplit/>
        </w:trPr>
        <w:tc>
          <w:tcPr>
            <w:tcW w:w="744" w:type="pct"/>
            <w:tcBorders>
              <w:top w:val="nil"/>
              <w:left w:val="single" w:sz="4" w:space="0" w:color="auto"/>
              <w:bottom w:val="nil"/>
              <w:right w:val="single" w:sz="4" w:space="0" w:color="auto"/>
            </w:tcBorders>
          </w:tcPr>
          <w:p w14:paraId="0ADA4E7B" w14:textId="77777777" w:rsidR="003A4053" w:rsidRPr="00AD586B" w:rsidRDefault="003A4053" w:rsidP="003A4053">
            <w:pPr>
              <w:pStyle w:val="TableReference"/>
              <w:tabs>
                <w:tab w:val="left" w:pos="3306"/>
              </w:tabs>
              <w:rPr>
                <w:rFonts w:cs="Calibri"/>
                <w:color w:val="7030A0"/>
                <w:sz w:val="14"/>
              </w:rPr>
            </w:pPr>
            <w:r w:rsidRPr="00AD586B">
              <w:rPr>
                <w:rFonts w:cs="Calibri"/>
                <w:color w:val="7030A0"/>
                <w:sz w:val="14"/>
              </w:rPr>
              <w:t>AASB 116.51</w:t>
            </w:r>
          </w:p>
          <w:p w14:paraId="19B39AE8" w14:textId="7401802C"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108.34 &amp; 39</w:t>
            </w:r>
          </w:p>
        </w:tc>
        <w:tc>
          <w:tcPr>
            <w:tcW w:w="4256" w:type="pct"/>
            <w:gridSpan w:val="5"/>
            <w:tcBorders>
              <w:top w:val="nil"/>
              <w:left w:val="single" w:sz="4" w:space="0" w:color="auto"/>
              <w:bottom w:val="nil"/>
              <w:right w:val="nil"/>
            </w:tcBorders>
            <w:vAlign w:val="bottom"/>
          </w:tcPr>
          <w:p w14:paraId="1A4A8509" w14:textId="2204EF3C" w:rsidR="003A4053" w:rsidRPr="00865E48" w:rsidRDefault="003A4053" w:rsidP="00865E48">
            <w:pPr>
              <w:jc w:val="both"/>
              <w:rPr>
                <w:rFonts w:cs="Calibri"/>
                <w:caps/>
                <w:sz w:val="18"/>
                <w:szCs w:val="18"/>
              </w:rPr>
            </w:pPr>
            <w:bookmarkStart w:id="620" w:name="_Toc98763123"/>
            <w:r w:rsidRPr="00865E48">
              <w:rPr>
                <w:rFonts w:cs="Calibri"/>
                <w:sz w:val="18"/>
                <w:szCs w:val="18"/>
              </w:rPr>
              <w:t xml:space="preserve">The useful lives of some </w:t>
            </w:r>
            <w:r w:rsidRPr="00865E48">
              <w:rPr>
                <w:rFonts w:cs="Calibri"/>
                <w:strike/>
                <w:color w:val="FF0000"/>
                <w:sz w:val="18"/>
                <w:szCs w:val="18"/>
              </w:rPr>
              <w:t>community and</w:t>
            </w:r>
            <w:r w:rsidRPr="00865E48">
              <w:rPr>
                <w:rFonts w:cs="Calibri"/>
                <w:sz w:val="18"/>
                <w:szCs w:val="18"/>
              </w:rPr>
              <w:t xml:space="preserve"> heritage</w:t>
            </w:r>
            <w:r w:rsidR="0050766A" w:rsidRPr="00865E48">
              <w:rPr>
                <w:rFonts w:cs="Calibri"/>
                <w:sz w:val="18"/>
                <w:szCs w:val="18"/>
              </w:rPr>
              <w:t xml:space="preserve"> </w:t>
            </w:r>
            <w:r w:rsidR="0050766A" w:rsidRPr="00865E48">
              <w:rPr>
                <w:rFonts w:cs="Calibri"/>
                <w:color w:val="FF0000"/>
                <w:sz w:val="18"/>
                <w:szCs w:val="18"/>
              </w:rPr>
              <w:t>and community</w:t>
            </w:r>
            <w:r w:rsidRPr="00865E48">
              <w:rPr>
                <w:rFonts w:cs="Calibri"/>
                <w:sz w:val="18"/>
                <w:szCs w:val="18"/>
              </w:rPr>
              <w:t xml:space="preserve"> assets were reassessed resulting in the depreciation expense increasing by $xxx.</w:t>
            </w:r>
            <w:bookmarkEnd w:id="620"/>
          </w:p>
        </w:tc>
      </w:tr>
      <w:tr w:rsidR="003A4053" w:rsidRPr="00B91A27" w14:paraId="5B952CD5" w14:textId="77777777" w:rsidTr="002B12D3">
        <w:trPr>
          <w:cantSplit/>
        </w:trPr>
        <w:tc>
          <w:tcPr>
            <w:tcW w:w="744" w:type="pct"/>
            <w:tcBorders>
              <w:top w:val="nil"/>
              <w:left w:val="single" w:sz="2" w:space="0" w:color="auto"/>
              <w:bottom w:val="nil"/>
              <w:right w:val="single" w:sz="2" w:space="0" w:color="auto"/>
            </w:tcBorders>
          </w:tcPr>
          <w:p w14:paraId="697E3A36" w14:textId="3D10972B" w:rsidR="003A4053" w:rsidRPr="00AD586B" w:rsidRDefault="003A4053" w:rsidP="003A4053">
            <w:pPr>
              <w:pStyle w:val="TableReference"/>
              <w:tabs>
                <w:tab w:val="left" w:pos="3306"/>
              </w:tabs>
              <w:spacing w:before="40"/>
              <w:rPr>
                <w:rFonts w:cs="Calibri"/>
                <w:color w:val="7030A0"/>
                <w:sz w:val="14"/>
              </w:rPr>
            </w:pPr>
          </w:p>
        </w:tc>
        <w:tc>
          <w:tcPr>
            <w:tcW w:w="4256" w:type="pct"/>
            <w:gridSpan w:val="5"/>
            <w:tcBorders>
              <w:top w:val="nil"/>
              <w:left w:val="single" w:sz="2" w:space="0" w:color="auto"/>
              <w:bottom w:val="nil"/>
              <w:right w:val="nil"/>
            </w:tcBorders>
            <w:vAlign w:val="bottom"/>
          </w:tcPr>
          <w:p w14:paraId="2A8C1883" w14:textId="0BB76C72" w:rsidR="003A4053" w:rsidRPr="00865E48" w:rsidRDefault="003A4053" w:rsidP="00865E48">
            <w:pPr>
              <w:spacing w:before="180"/>
              <w:jc w:val="both"/>
              <w:rPr>
                <w:rFonts w:cs="Calibri"/>
                <w:i/>
                <w:iCs/>
                <w:caps/>
                <w:sz w:val="18"/>
                <w:szCs w:val="18"/>
              </w:rPr>
            </w:pPr>
            <w:bookmarkStart w:id="621" w:name="_Toc98763125"/>
            <w:r w:rsidRPr="00865E48">
              <w:rPr>
                <w:i/>
                <w:iCs/>
                <w:sz w:val="18"/>
                <w:szCs w:val="18"/>
              </w:rPr>
              <w:t>Change in Depreciation due to a Revision of Carrying Amount</w:t>
            </w:r>
            <w:bookmarkEnd w:id="621"/>
          </w:p>
        </w:tc>
      </w:tr>
      <w:tr w:rsidR="003A4053" w:rsidRPr="00B91A27" w14:paraId="65A991B1" w14:textId="77777777" w:rsidTr="002B12D3">
        <w:trPr>
          <w:cantSplit/>
        </w:trPr>
        <w:tc>
          <w:tcPr>
            <w:tcW w:w="744" w:type="pct"/>
            <w:tcBorders>
              <w:top w:val="nil"/>
              <w:left w:val="single" w:sz="2" w:space="0" w:color="auto"/>
              <w:bottom w:val="nil"/>
              <w:right w:val="single" w:sz="2" w:space="0" w:color="auto"/>
            </w:tcBorders>
          </w:tcPr>
          <w:p w14:paraId="16C8020C" w14:textId="77777777" w:rsidR="003A4053" w:rsidRPr="00AD586B" w:rsidRDefault="003A4053" w:rsidP="003A4053">
            <w:pPr>
              <w:pStyle w:val="TableReference"/>
              <w:tabs>
                <w:tab w:val="left" w:pos="3306"/>
              </w:tabs>
              <w:spacing w:before="60"/>
              <w:rPr>
                <w:rFonts w:cs="Calibri"/>
                <w:color w:val="7030A0"/>
                <w:sz w:val="14"/>
              </w:rPr>
            </w:pPr>
            <w:r w:rsidRPr="00AD586B">
              <w:rPr>
                <w:rFonts w:cs="Calibri"/>
                <w:color w:val="7030A0"/>
                <w:sz w:val="14"/>
              </w:rPr>
              <w:t>AASB 116.51</w:t>
            </w:r>
          </w:p>
          <w:p w14:paraId="662DF43C" w14:textId="1203356B"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108.39</w:t>
            </w:r>
          </w:p>
        </w:tc>
        <w:tc>
          <w:tcPr>
            <w:tcW w:w="4256" w:type="pct"/>
            <w:gridSpan w:val="5"/>
            <w:tcBorders>
              <w:top w:val="nil"/>
              <w:left w:val="single" w:sz="2" w:space="0" w:color="auto"/>
              <w:bottom w:val="nil"/>
              <w:right w:val="nil"/>
            </w:tcBorders>
            <w:vAlign w:val="bottom"/>
          </w:tcPr>
          <w:p w14:paraId="0BFF8BF9" w14:textId="3810D908" w:rsidR="003A4053" w:rsidRPr="00865E48" w:rsidRDefault="003A4053" w:rsidP="00865E48">
            <w:pPr>
              <w:spacing w:after="120"/>
              <w:jc w:val="both"/>
              <w:rPr>
                <w:rFonts w:cs="Calibri"/>
                <w:caps/>
                <w:sz w:val="18"/>
                <w:szCs w:val="18"/>
              </w:rPr>
            </w:pPr>
            <w:bookmarkStart w:id="622" w:name="_Toc98763126"/>
            <w:r w:rsidRPr="00865E48">
              <w:rPr>
                <w:rFonts w:cs="Calibri"/>
                <w:sz w:val="18"/>
                <w:szCs w:val="18"/>
              </w:rPr>
              <w:t>The residual value of plant and equipment was revised and subsequently increased as it was considered that some items of plant and equipment could be sold for an amount greater than originally anticipated.</w:t>
            </w:r>
            <w:r w:rsidR="00FA7C77" w:rsidRPr="00865E48">
              <w:rPr>
                <w:rFonts w:cs="Calibri"/>
                <w:sz w:val="18"/>
                <w:szCs w:val="18"/>
              </w:rPr>
              <w:t xml:space="preserve"> </w:t>
            </w:r>
            <w:r w:rsidRPr="00865E48">
              <w:rPr>
                <w:rFonts w:cs="Calibri"/>
                <w:sz w:val="18"/>
                <w:szCs w:val="18"/>
              </w:rPr>
              <w:t>As a result, the depreciation on the plant and equipment was also revised and consequently decreased by $180,000 in the current reporting period.</w:t>
            </w:r>
            <w:bookmarkEnd w:id="622"/>
          </w:p>
        </w:tc>
      </w:tr>
      <w:tr w:rsidR="003A4053" w:rsidRPr="00B91A27" w14:paraId="02C53B7E" w14:textId="77777777" w:rsidTr="002B12D3">
        <w:trPr>
          <w:cantSplit/>
        </w:trPr>
        <w:tc>
          <w:tcPr>
            <w:tcW w:w="744" w:type="pct"/>
            <w:tcBorders>
              <w:top w:val="nil"/>
              <w:left w:val="single" w:sz="2" w:space="0" w:color="auto"/>
              <w:bottom w:val="nil"/>
              <w:right w:val="single" w:sz="2" w:space="0" w:color="auto"/>
            </w:tcBorders>
          </w:tcPr>
          <w:p w14:paraId="7549AE95" w14:textId="77777777" w:rsidR="003A4053" w:rsidRPr="00AD586B" w:rsidRDefault="003A4053" w:rsidP="003A4053">
            <w:pPr>
              <w:pStyle w:val="TableReference"/>
              <w:tabs>
                <w:tab w:val="left" w:pos="3306"/>
              </w:tabs>
              <w:spacing w:before="40"/>
              <w:rPr>
                <w:rFonts w:cs="Calibri"/>
                <w:color w:val="7030A0"/>
                <w:sz w:val="14"/>
              </w:rPr>
            </w:pPr>
          </w:p>
        </w:tc>
        <w:tc>
          <w:tcPr>
            <w:tcW w:w="4256" w:type="pct"/>
            <w:gridSpan w:val="5"/>
            <w:tcBorders>
              <w:top w:val="nil"/>
              <w:left w:val="single" w:sz="2" w:space="0" w:color="auto"/>
              <w:bottom w:val="nil"/>
              <w:right w:val="nil"/>
            </w:tcBorders>
          </w:tcPr>
          <w:p w14:paraId="26BB840A" w14:textId="2F8C36E3" w:rsidR="003A4053" w:rsidRPr="00AD586B" w:rsidRDefault="003A4053" w:rsidP="00865E48">
            <w:pPr>
              <w:pStyle w:val="Appxhead3"/>
              <w:spacing w:before="0"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Acquisition and Recognition of Property, Plant and Equipment</w:t>
            </w:r>
          </w:p>
        </w:tc>
      </w:tr>
      <w:tr w:rsidR="003A4053" w:rsidRPr="00B91A27" w14:paraId="20AE1E01" w14:textId="77777777" w:rsidTr="002B12D3">
        <w:trPr>
          <w:cantSplit/>
        </w:trPr>
        <w:tc>
          <w:tcPr>
            <w:tcW w:w="744" w:type="pct"/>
            <w:tcBorders>
              <w:top w:val="nil"/>
              <w:left w:val="single" w:sz="2" w:space="0" w:color="auto"/>
              <w:bottom w:val="nil"/>
              <w:right w:val="single" w:sz="2" w:space="0" w:color="auto"/>
            </w:tcBorders>
          </w:tcPr>
          <w:p w14:paraId="089253B9" w14:textId="77777777" w:rsidR="003A4053" w:rsidRPr="00AD586B" w:rsidRDefault="003A4053" w:rsidP="003A4053">
            <w:pPr>
              <w:pStyle w:val="TableReference"/>
              <w:tabs>
                <w:tab w:val="left" w:pos="3306"/>
              </w:tabs>
              <w:spacing w:before="40"/>
              <w:rPr>
                <w:color w:val="7030A0"/>
                <w:sz w:val="14"/>
              </w:rPr>
            </w:pPr>
            <w:r w:rsidRPr="00AD586B">
              <w:rPr>
                <w:color w:val="7030A0"/>
                <w:sz w:val="14"/>
              </w:rPr>
              <w:t xml:space="preserve">AASB 116.15, </w:t>
            </w:r>
          </w:p>
          <w:p w14:paraId="496DCD94" w14:textId="77777777" w:rsidR="003A4053" w:rsidRPr="00AD586B" w:rsidRDefault="003A4053" w:rsidP="003A4053">
            <w:pPr>
              <w:pStyle w:val="TableReference"/>
              <w:tabs>
                <w:tab w:val="left" w:pos="3306"/>
              </w:tabs>
              <w:rPr>
                <w:color w:val="7030A0"/>
                <w:sz w:val="14"/>
              </w:rPr>
            </w:pPr>
            <w:r w:rsidRPr="00AD586B">
              <w:rPr>
                <w:color w:val="7030A0"/>
                <w:sz w:val="14"/>
              </w:rPr>
              <w:t>AASB 116.Aus 15.1, AASB 1004.BC28</w:t>
            </w:r>
          </w:p>
          <w:p w14:paraId="68FA1FF8" w14:textId="14748EB2" w:rsidR="003A4053" w:rsidRPr="00AD586B" w:rsidRDefault="003A4053" w:rsidP="003A4053">
            <w:pPr>
              <w:pStyle w:val="TableReference"/>
              <w:tabs>
                <w:tab w:val="left" w:pos="3306"/>
              </w:tabs>
              <w:rPr>
                <w:rFonts w:cs="Calibri"/>
                <w:color w:val="7030A0"/>
                <w:sz w:val="14"/>
              </w:rPr>
            </w:pPr>
            <w:r w:rsidRPr="00AD586B">
              <w:rPr>
                <w:color w:val="7030A0"/>
                <w:sz w:val="14"/>
              </w:rPr>
              <w:t>AASB 1059.7</w:t>
            </w:r>
          </w:p>
        </w:tc>
        <w:tc>
          <w:tcPr>
            <w:tcW w:w="4256" w:type="pct"/>
            <w:gridSpan w:val="5"/>
            <w:tcBorders>
              <w:top w:val="nil"/>
              <w:left w:val="single" w:sz="2" w:space="0" w:color="auto"/>
              <w:bottom w:val="nil"/>
              <w:right w:val="nil"/>
            </w:tcBorders>
          </w:tcPr>
          <w:p w14:paraId="5EA951A5" w14:textId="5D6D7CBE" w:rsidR="003A4053" w:rsidRPr="00AD586B" w:rsidRDefault="006E7FE9" w:rsidP="00865E48">
            <w:pPr>
              <w:spacing w:after="120"/>
              <w:jc w:val="both"/>
              <w:rPr>
                <w:strike/>
                <w:sz w:val="18"/>
                <w:szCs w:val="18"/>
              </w:rPr>
            </w:pPr>
            <w:r>
              <w:rPr>
                <w:sz w:val="18"/>
                <w:szCs w:val="18"/>
              </w:rPr>
              <w:t>Property, Plant and Equipment</w:t>
            </w:r>
            <w:r w:rsidR="003A4053" w:rsidRPr="00AD586B">
              <w:rPr>
                <w:sz w:val="18"/>
                <w:szCs w:val="18"/>
              </w:rPr>
              <w:t xml:space="preserve"> are initially recorded at cost.</w:t>
            </w:r>
            <w:r w:rsidR="00FA7C77">
              <w:rPr>
                <w:sz w:val="18"/>
                <w:szCs w:val="18"/>
              </w:rPr>
              <w:t xml:space="preserve"> </w:t>
            </w:r>
            <w:r w:rsidR="003D1921" w:rsidRPr="00AD586B">
              <w:rPr>
                <w:sz w:val="18"/>
                <w:szCs w:val="18"/>
              </w:rPr>
              <w:t xml:space="preserve">Right-of-use assets </w:t>
            </w:r>
            <w:r w:rsidR="003D1921" w:rsidRPr="00AD586B">
              <w:rPr>
                <w:rFonts w:asciiTheme="minorHAnsi" w:hAnsiTheme="minorHAnsi" w:cstheme="minorHAnsi"/>
                <w:sz w:val="18"/>
                <w:szCs w:val="18"/>
              </w:rPr>
              <w:t xml:space="preserve">are also measured at cost on initial recognition, where cost comprises the initial amount of the lease liability, initial direct costs, prepaid lease payments, estimated cost of removal and restoration less any lease incentives received. </w:t>
            </w:r>
            <w:r w:rsidR="003A4053" w:rsidRPr="00AD586B">
              <w:rPr>
                <w:sz w:val="18"/>
                <w:szCs w:val="18"/>
              </w:rPr>
              <w:t xml:space="preserve">However, the Agency initially recognises service concession assets at current replacement cost in accordance with the cost approach to fair value in AASB 13 </w:t>
            </w:r>
            <w:r w:rsidR="003A4053" w:rsidRPr="00AD586B">
              <w:rPr>
                <w:i/>
                <w:iCs/>
                <w:sz w:val="18"/>
                <w:szCs w:val="18"/>
              </w:rPr>
              <w:t>Fair Value Measurement</w:t>
            </w:r>
            <w:r w:rsidR="003A4053" w:rsidRPr="00AD586B">
              <w:rPr>
                <w:sz w:val="18"/>
                <w:szCs w:val="18"/>
              </w:rPr>
              <w:t>.</w:t>
            </w:r>
          </w:p>
        </w:tc>
      </w:tr>
      <w:tr w:rsidR="00C12C73" w:rsidRPr="00B91A27" w14:paraId="0CF10595" w14:textId="77777777" w:rsidTr="002B12D3">
        <w:trPr>
          <w:cantSplit/>
        </w:trPr>
        <w:tc>
          <w:tcPr>
            <w:tcW w:w="744" w:type="pct"/>
            <w:tcBorders>
              <w:top w:val="nil"/>
              <w:left w:val="single" w:sz="2" w:space="0" w:color="auto"/>
              <w:bottom w:val="nil"/>
              <w:right w:val="single" w:sz="2" w:space="0" w:color="auto"/>
            </w:tcBorders>
          </w:tcPr>
          <w:p w14:paraId="5B669839" w14:textId="77777777" w:rsidR="00C12C73" w:rsidRPr="00AD586B" w:rsidRDefault="00C12C73" w:rsidP="003A4053">
            <w:pPr>
              <w:pStyle w:val="TableReference"/>
              <w:tabs>
                <w:tab w:val="left" w:pos="3306"/>
              </w:tabs>
              <w:spacing w:before="40"/>
              <w:rPr>
                <w:color w:val="7030A0"/>
                <w:sz w:val="14"/>
              </w:rPr>
            </w:pPr>
          </w:p>
        </w:tc>
        <w:tc>
          <w:tcPr>
            <w:tcW w:w="4256" w:type="pct"/>
            <w:gridSpan w:val="5"/>
            <w:tcBorders>
              <w:top w:val="nil"/>
              <w:left w:val="single" w:sz="2" w:space="0" w:color="auto"/>
              <w:bottom w:val="nil"/>
              <w:right w:val="nil"/>
            </w:tcBorders>
          </w:tcPr>
          <w:p w14:paraId="09EABA12" w14:textId="61897F40" w:rsidR="00C12C73" w:rsidRPr="00AD586B" w:rsidRDefault="00C12C73" w:rsidP="003A4053">
            <w:pPr>
              <w:spacing w:after="120"/>
              <w:jc w:val="both"/>
              <w:rPr>
                <w:sz w:val="18"/>
                <w:szCs w:val="18"/>
              </w:rPr>
            </w:pPr>
            <w:r w:rsidRPr="00AD586B">
              <w:rPr>
                <w:sz w:val="18"/>
                <w:szCs w:val="18"/>
              </w:rPr>
              <w:t>Where property, plant and equipment are acquired at no cost, or minimal cost, cost is its fair value as at the date of acquisition. However, property, plant and equipment acquired at no cost or minimal cost as part of a restructuring of administrative arrangements is measured at the transferor’s book value.</w:t>
            </w:r>
          </w:p>
        </w:tc>
      </w:tr>
      <w:tr w:rsidR="003A4053" w:rsidRPr="00B91A27" w14:paraId="06B3AC52" w14:textId="77777777" w:rsidTr="002B12D3">
        <w:trPr>
          <w:cantSplit/>
        </w:trPr>
        <w:tc>
          <w:tcPr>
            <w:tcW w:w="744" w:type="pct"/>
            <w:tcBorders>
              <w:top w:val="nil"/>
              <w:left w:val="single" w:sz="2" w:space="0" w:color="auto"/>
              <w:bottom w:val="nil"/>
              <w:right w:val="single" w:sz="2" w:space="0" w:color="auto"/>
            </w:tcBorders>
          </w:tcPr>
          <w:p w14:paraId="1E408BE3" w14:textId="7404642F" w:rsidR="003A4053" w:rsidRPr="00AD586B" w:rsidRDefault="003A4053" w:rsidP="003A4053">
            <w:pPr>
              <w:pStyle w:val="TableReference"/>
              <w:tabs>
                <w:tab w:val="left" w:pos="3306"/>
              </w:tabs>
              <w:spacing w:before="40"/>
              <w:rPr>
                <w:color w:val="7030A0"/>
                <w:sz w:val="14"/>
              </w:rPr>
            </w:pPr>
            <w:r w:rsidRPr="00AD586B">
              <w:rPr>
                <w:color w:val="7030A0"/>
                <w:sz w:val="14"/>
              </w:rPr>
              <w:t>AASB 116.23</w:t>
            </w:r>
          </w:p>
        </w:tc>
        <w:tc>
          <w:tcPr>
            <w:tcW w:w="4256" w:type="pct"/>
            <w:gridSpan w:val="5"/>
            <w:tcBorders>
              <w:top w:val="nil"/>
              <w:left w:val="single" w:sz="2" w:space="0" w:color="auto"/>
              <w:bottom w:val="nil"/>
              <w:right w:val="nil"/>
            </w:tcBorders>
          </w:tcPr>
          <w:p w14:paraId="2D433777" w14:textId="534BA300" w:rsidR="003A4053" w:rsidRPr="00AD586B" w:rsidRDefault="003A4053" w:rsidP="005F7F2E">
            <w:pPr>
              <w:spacing w:after="120"/>
              <w:jc w:val="both"/>
              <w:rPr>
                <w:sz w:val="18"/>
                <w:szCs w:val="18"/>
              </w:rPr>
            </w:pPr>
            <w:r w:rsidRPr="00AD586B">
              <w:rPr>
                <w:sz w:val="18"/>
                <w:szCs w:val="18"/>
              </w:rPr>
              <w:t>Where payment for property, plant and equipment is deferred beyond normal credit terms, the difference between its cash price equivalent and the total payment is measured as interest over the period of credit.</w:t>
            </w:r>
            <w:r w:rsidR="00FA7C77">
              <w:rPr>
                <w:sz w:val="18"/>
                <w:szCs w:val="18"/>
              </w:rPr>
              <w:t xml:space="preserve"> </w:t>
            </w:r>
            <w:r w:rsidRPr="00AD586B">
              <w:rPr>
                <w:sz w:val="18"/>
                <w:szCs w:val="18"/>
              </w:rPr>
              <w:t>The discount rate used to calculate the cash price equivalent is an asset specific rate.</w:t>
            </w:r>
          </w:p>
        </w:tc>
      </w:tr>
      <w:tr w:rsidR="003A4053" w:rsidRPr="00B91A27" w14:paraId="6C9291D1" w14:textId="77777777" w:rsidTr="002B12D3">
        <w:trPr>
          <w:cantSplit/>
          <w:trHeight w:val="261"/>
        </w:trPr>
        <w:tc>
          <w:tcPr>
            <w:tcW w:w="744" w:type="pct"/>
            <w:tcBorders>
              <w:top w:val="nil"/>
              <w:left w:val="single" w:sz="2" w:space="0" w:color="auto"/>
              <w:bottom w:val="nil"/>
              <w:right w:val="single" w:sz="2" w:space="0" w:color="auto"/>
            </w:tcBorders>
          </w:tcPr>
          <w:p w14:paraId="531E7693" w14:textId="77777777" w:rsidR="003A4053" w:rsidRPr="00AD586B" w:rsidRDefault="003A4053" w:rsidP="003A4053">
            <w:pPr>
              <w:pStyle w:val="TableReference"/>
              <w:tabs>
                <w:tab w:val="left" w:pos="3306"/>
              </w:tabs>
              <w:rPr>
                <w:color w:val="7030A0"/>
                <w:sz w:val="14"/>
              </w:rPr>
            </w:pPr>
          </w:p>
        </w:tc>
        <w:tc>
          <w:tcPr>
            <w:tcW w:w="4256" w:type="pct"/>
            <w:gridSpan w:val="5"/>
            <w:tcBorders>
              <w:top w:val="nil"/>
              <w:left w:val="single" w:sz="2" w:space="0" w:color="auto"/>
              <w:bottom w:val="nil"/>
              <w:right w:val="nil"/>
            </w:tcBorders>
          </w:tcPr>
          <w:p w14:paraId="52B7B473" w14:textId="56027D30" w:rsidR="003A4053" w:rsidRPr="00AD586B" w:rsidRDefault="006E7FE9" w:rsidP="00865E48">
            <w:pPr>
              <w:spacing w:after="120"/>
              <w:jc w:val="both"/>
              <w:rPr>
                <w:sz w:val="18"/>
                <w:szCs w:val="18"/>
              </w:rPr>
            </w:pPr>
            <w:r>
              <w:rPr>
                <w:sz w:val="18"/>
                <w:szCs w:val="18"/>
              </w:rPr>
              <w:t>Property, Plant and Equipment</w:t>
            </w:r>
            <w:r w:rsidR="003A4053" w:rsidRPr="00AD586B">
              <w:rPr>
                <w:sz w:val="18"/>
                <w:szCs w:val="18"/>
              </w:rPr>
              <w:t xml:space="preserve"> with a minimum value of </w:t>
            </w:r>
            <w:r w:rsidR="003A4053" w:rsidRPr="00AA7D16">
              <w:rPr>
                <w:color w:val="C45911" w:themeColor="accent2" w:themeShade="BF"/>
                <w:sz w:val="18"/>
                <w:szCs w:val="18"/>
              </w:rPr>
              <w:t xml:space="preserve">&lt;$5,000&gt; </w:t>
            </w:r>
            <w:r w:rsidR="003A4053" w:rsidRPr="00AD586B">
              <w:rPr>
                <w:sz w:val="18"/>
                <w:szCs w:val="18"/>
              </w:rPr>
              <w:t xml:space="preserve">are capitalised. </w:t>
            </w:r>
          </w:p>
        </w:tc>
      </w:tr>
      <w:tr w:rsidR="005F7F2E" w:rsidRPr="00B91A27" w14:paraId="06844B0D" w14:textId="77777777" w:rsidTr="002B12D3">
        <w:trPr>
          <w:cantSplit/>
          <w:trHeight w:val="261"/>
        </w:trPr>
        <w:tc>
          <w:tcPr>
            <w:tcW w:w="744" w:type="pct"/>
            <w:tcBorders>
              <w:top w:val="nil"/>
              <w:left w:val="single" w:sz="2" w:space="0" w:color="auto"/>
              <w:bottom w:val="nil"/>
              <w:right w:val="single" w:sz="2" w:space="0" w:color="auto"/>
            </w:tcBorders>
          </w:tcPr>
          <w:p w14:paraId="16A0B6C8" w14:textId="77777777" w:rsidR="005F7F2E" w:rsidRPr="00AD586B" w:rsidRDefault="005F7F2E" w:rsidP="005F7F2E">
            <w:pPr>
              <w:pStyle w:val="TableReference"/>
              <w:tabs>
                <w:tab w:val="left" w:pos="3306"/>
              </w:tabs>
              <w:rPr>
                <w:color w:val="7030A0"/>
                <w:sz w:val="14"/>
              </w:rPr>
            </w:pPr>
          </w:p>
        </w:tc>
        <w:tc>
          <w:tcPr>
            <w:tcW w:w="4256" w:type="pct"/>
            <w:gridSpan w:val="5"/>
            <w:tcBorders>
              <w:top w:val="nil"/>
              <w:left w:val="single" w:sz="2" w:space="0" w:color="auto"/>
              <w:bottom w:val="nil"/>
              <w:right w:val="nil"/>
            </w:tcBorders>
          </w:tcPr>
          <w:p w14:paraId="2E90DD3D" w14:textId="0BB3E39E" w:rsidR="005F7F2E" w:rsidRPr="00AD586B" w:rsidRDefault="005F7F2E" w:rsidP="005F7F2E">
            <w:pPr>
              <w:jc w:val="both"/>
              <w:rPr>
                <w:sz w:val="18"/>
                <w:szCs w:val="18"/>
              </w:rPr>
            </w:pPr>
            <w:r w:rsidRPr="00AD586B">
              <w:rPr>
                <w:i/>
                <w:iCs/>
                <w:sz w:val="18"/>
                <w:szCs w:val="18"/>
              </w:rPr>
              <w:t>Measurement of Property, Plant and Equipment After Initial Recognition</w:t>
            </w:r>
          </w:p>
        </w:tc>
      </w:tr>
      <w:tr w:rsidR="005F7F2E" w:rsidRPr="00B91A27" w14:paraId="051E302C" w14:textId="77777777" w:rsidTr="002B12D3">
        <w:trPr>
          <w:cantSplit/>
          <w:trHeight w:val="261"/>
        </w:trPr>
        <w:tc>
          <w:tcPr>
            <w:tcW w:w="744" w:type="pct"/>
            <w:tcBorders>
              <w:top w:val="nil"/>
              <w:left w:val="single" w:sz="2" w:space="0" w:color="auto"/>
              <w:bottom w:val="nil"/>
              <w:right w:val="single" w:sz="2" w:space="0" w:color="auto"/>
            </w:tcBorders>
          </w:tcPr>
          <w:p w14:paraId="75BBE481" w14:textId="0F2FCA64" w:rsidR="005F7F2E" w:rsidRPr="00AD586B" w:rsidRDefault="005F7F2E" w:rsidP="005F7F2E">
            <w:pPr>
              <w:pStyle w:val="TableReference"/>
              <w:tabs>
                <w:tab w:val="left" w:pos="3306"/>
              </w:tabs>
              <w:rPr>
                <w:color w:val="7030A0"/>
                <w:sz w:val="14"/>
              </w:rPr>
            </w:pPr>
            <w:r w:rsidRPr="00AD586B">
              <w:rPr>
                <w:color w:val="7030A0"/>
                <w:sz w:val="14"/>
              </w:rPr>
              <w:t>AASB 16.23 &amp; 36, ACT Accounting Policy – Property Plant &amp; Equipment</w:t>
            </w:r>
          </w:p>
        </w:tc>
        <w:tc>
          <w:tcPr>
            <w:tcW w:w="4256" w:type="pct"/>
            <w:gridSpan w:val="5"/>
            <w:tcBorders>
              <w:top w:val="nil"/>
              <w:left w:val="single" w:sz="2" w:space="0" w:color="auto"/>
              <w:bottom w:val="nil"/>
              <w:right w:val="nil"/>
            </w:tcBorders>
          </w:tcPr>
          <w:p w14:paraId="443A2159" w14:textId="3E86E1E0" w:rsidR="005F7F2E" w:rsidRPr="00AD586B" w:rsidRDefault="006E7FE9" w:rsidP="005F7F2E">
            <w:pPr>
              <w:spacing w:after="120"/>
              <w:jc w:val="both"/>
              <w:rPr>
                <w:sz w:val="18"/>
                <w:szCs w:val="18"/>
              </w:rPr>
            </w:pPr>
            <w:r>
              <w:rPr>
                <w:sz w:val="18"/>
                <w:szCs w:val="18"/>
              </w:rPr>
              <w:t>Property, Plant and Equipment</w:t>
            </w:r>
            <w:r w:rsidR="005F7F2E" w:rsidRPr="00AD586B">
              <w:rPr>
                <w:sz w:val="18"/>
                <w:szCs w:val="18"/>
              </w:rPr>
              <w:t xml:space="preserve"> is valued using the cost or revaluation model of valuation.</w:t>
            </w:r>
            <w:r w:rsidR="00FA7C77">
              <w:rPr>
                <w:sz w:val="18"/>
                <w:szCs w:val="18"/>
              </w:rPr>
              <w:t xml:space="preserve"> </w:t>
            </w:r>
            <w:r w:rsidR="00A31766" w:rsidRPr="00A31766">
              <w:rPr>
                <w:color w:val="FF0000"/>
                <w:sz w:val="18"/>
                <w:szCs w:val="18"/>
              </w:rPr>
              <w:t>‘Burley Griffin Agency’ measures</w:t>
            </w:r>
            <w:r w:rsidR="00A31766">
              <w:rPr>
                <w:sz w:val="18"/>
                <w:szCs w:val="18"/>
              </w:rPr>
              <w:t xml:space="preserve"> l</w:t>
            </w:r>
            <w:r w:rsidR="005F7F2E" w:rsidRPr="00AD586B">
              <w:rPr>
                <w:sz w:val="18"/>
                <w:szCs w:val="18"/>
              </w:rPr>
              <w:t xml:space="preserve">and, buildings, infrastructure assets, leasehold improvements and </w:t>
            </w:r>
            <w:r w:rsidR="005F7F2E" w:rsidRPr="0050766A">
              <w:rPr>
                <w:strike/>
                <w:color w:val="FF0000"/>
                <w:sz w:val="18"/>
                <w:szCs w:val="18"/>
              </w:rPr>
              <w:t>community and</w:t>
            </w:r>
            <w:r w:rsidR="005F7F2E" w:rsidRPr="0050766A">
              <w:rPr>
                <w:color w:val="FF0000"/>
                <w:sz w:val="18"/>
                <w:szCs w:val="18"/>
              </w:rPr>
              <w:t xml:space="preserve"> </w:t>
            </w:r>
            <w:r w:rsidR="005F7F2E" w:rsidRPr="00AD586B">
              <w:rPr>
                <w:sz w:val="18"/>
                <w:szCs w:val="18"/>
              </w:rPr>
              <w:t xml:space="preserve">heritage </w:t>
            </w:r>
            <w:r w:rsidR="0050766A" w:rsidRPr="0050766A">
              <w:rPr>
                <w:color w:val="FF0000"/>
                <w:sz w:val="18"/>
                <w:szCs w:val="18"/>
              </w:rPr>
              <w:t>and community</w:t>
            </w:r>
            <w:r w:rsidR="0050766A" w:rsidRPr="00AD586B">
              <w:rPr>
                <w:sz w:val="18"/>
                <w:szCs w:val="18"/>
              </w:rPr>
              <w:t xml:space="preserve"> </w:t>
            </w:r>
            <w:r w:rsidR="005F7F2E" w:rsidRPr="00AD586B">
              <w:rPr>
                <w:sz w:val="18"/>
                <w:szCs w:val="18"/>
              </w:rPr>
              <w:t xml:space="preserve">assets </w:t>
            </w:r>
            <w:r w:rsidR="005F7F2E" w:rsidRPr="00A31766">
              <w:rPr>
                <w:strike/>
                <w:color w:val="FF0000"/>
                <w:sz w:val="18"/>
                <w:szCs w:val="18"/>
              </w:rPr>
              <w:t>are measured</w:t>
            </w:r>
            <w:r w:rsidR="005F7F2E" w:rsidRPr="00A31766">
              <w:rPr>
                <w:color w:val="FF0000"/>
                <w:sz w:val="18"/>
                <w:szCs w:val="18"/>
              </w:rPr>
              <w:t xml:space="preserve"> </w:t>
            </w:r>
            <w:r w:rsidR="005F7F2E" w:rsidRPr="00AD586B">
              <w:rPr>
                <w:sz w:val="18"/>
                <w:szCs w:val="18"/>
              </w:rPr>
              <w:t>at fair value.</w:t>
            </w:r>
            <w:r w:rsidR="00FA7C77">
              <w:rPr>
                <w:sz w:val="18"/>
                <w:szCs w:val="18"/>
              </w:rPr>
              <w:t xml:space="preserve"> </w:t>
            </w:r>
            <w:r w:rsidR="00A31766" w:rsidRPr="00A31766">
              <w:rPr>
                <w:color w:val="FF0000"/>
                <w:sz w:val="18"/>
                <w:szCs w:val="18"/>
              </w:rPr>
              <w:t>‘Burley Griffin Agency’ measures</w:t>
            </w:r>
            <w:r w:rsidR="00A31766">
              <w:rPr>
                <w:sz w:val="18"/>
                <w:szCs w:val="18"/>
              </w:rPr>
              <w:t xml:space="preserve"> p</w:t>
            </w:r>
            <w:r w:rsidR="005F7F2E" w:rsidRPr="00AD586B">
              <w:rPr>
                <w:sz w:val="18"/>
                <w:szCs w:val="18"/>
              </w:rPr>
              <w:t xml:space="preserve">lant and equipment </w:t>
            </w:r>
            <w:r w:rsidR="005F7F2E" w:rsidRPr="00A31766">
              <w:rPr>
                <w:strike/>
                <w:color w:val="FF0000"/>
                <w:sz w:val="18"/>
                <w:szCs w:val="18"/>
              </w:rPr>
              <w:t>is measured</w:t>
            </w:r>
            <w:r w:rsidR="005F7F2E" w:rsidRPr="00AD586B">
              <w:rPr>
                <w:sz w:val="18"/>
                <w:szCs w:val="18"/>
              </w:rPr>
              <w:t xml:space="preserve"> at cost.</w:t>
            </w:r>
            <w:r w:rsidR="00FA7C77">
              <w:rPr>
                <w:sz w:val="18"/>
                <w:szCs w:val="18"/>
              </w:rPr>
              <w:t xml:space="preserve"> </w:t>
            </w:r>
            <w:r w:rsidR="005F7F2E" w:rsidRPr="00AD586B">
              <w:rPr>
                <w:sz w:val="18"/>
                <w:szCs w:val="18"/>
              </w:rPr>
              <w:t>Service Concession Assets included in each of these asset classes are measured on the same basis as the rest of that asset class owned by the Agency.</w:t>
            </w:r>
            <w:r w:rsidR="00FA7C77">
              <w:rPr>
                <w:sz w:val="18"/>
                <w:szCs w:val="18"/>
              </w:rPr>
              <w:t xml:space="preserve"> </w:t>
            </w:r>
            <w:r w:rsidR="005F7F2E" w:rsidRPr="00AD586B">
              <w:rPr>
                <w:sz w:val="18"/>
                <w:szCs w:val="18"/>
              </w:rPr>
              <w:t xml:space="preserve"> </w:t>
            </w:r>
          </w:p>
        </w:tc>
      </w:tr>
      <w:tr w:rsidR="005F7F2E" w:rsidRPr="00B91A27" w14:paraId="1187CCF5" w14:textId="77777777" w:rsidTr="002B12D3">
        <w:trPr>
          <w:cantSplit/>
          <w:trHeight w:val="261"/>
        </w:trPr>
        <w:tc>
          <w:tcPr>
            <w:tcW w:w="744" w:type="pct"/>
            <w:tcBorders>
              <w:top w:val="nil"/>
              <w:left w:val="single" w:sz="2" w:space="0" w:color="auto"/>
              <w:bottom w:val="nil"/>
              <w:right w:val="single" w:sz="2" w:space="0" w:color="auto"/>
            </w:tcBorders>
          </w:tcPr>
          <w:p w14:paraId="0553898E" w14:textId="77777777" w:rsidR="005F7F2E" w:rsidRPr="00AD586B" w:rsidRDefault="005F7F2E" w:rsidP="005F7F2E">
            <w:pPr>
              <w:pStyle w:val="TableReference"/>
              <w:tabs>
                <w:tab w:val="left" w:pos="3306"/>
              </w:tabs>
              <w:rPr>
                <w:color w:val="7030A0"/>
                <w:sz w:val="14"/>
              </w:rPr>
            </w:pPr>
          </w:p>
        </w:tc>
        <w:tc>
          <w:tcPr>
            <w:tcW w:w="4256" w:type="pct"/>
            <w:gridSpan w:val="5"/>
            <w:tcBorders>
              <w:top w:val="nil"/>
              <w:left w:val="single" w:sz="2" w:space="0" w:color="auto"/>
              <w:bottom w:val="nil"/>
              <w:right w:val="nil"/>
            </w:tcBorders>
          </w:tcPr>
          <w:p w14:paraId="70D0B39F" w14:textId="78323B94" w:rsidR="005F7F2E" w:rsidRPr="00AD586B" w:rsidRDefault="005F7F2E" w:rsidP="005F7F2E">
            <w:pPr>
              <w:spacing w:after="120"/>
              <w:jc w:val="both"/>
              <w:rPr>
                <w:sz w:val="18"/>
                <w:szCs w:val="18"/>
              </w:rPr>
            </w:pPr>
            <w:r w:rsidRPr="00AD586B">
              <w:rPr>
                <w:sz w:val="18"/>
                <w:szCs w:val="18"/>
              </w:rPr>
              <w:t xml:space="preserve">After the commencement date, </w:t>
            </w:r>
            <w:r w:rsidR="00C26240" w:rsidRPr="00C26240">
              <w:rPr>
                <w:color w:val="FF0000"/>
                <w:sz w:val="18"/>
                <w:szCs w:val="18"/>
              </w:rPr>
              <w:t>all</w:t>
            </w:r>
            <w:r w:rsidR="00C26240">
              <w:rPr>
                <w:sz w:val="18"/>
                <w:szCs w:val="18"/>
              </w:rPr>
              <w:t xml:space="preserve"> </w:t>
            </w:r>
            <w:r w:rsidRPr="00AD586B">
              <w:rPr>
                <w:sz w:val="18"/>
                <w:szCs w:val="18"/>
              </w:rPr>
              <w:t xml:space="preserve">right-of-use assets are measured at cost less any accumulated depreciation and accumulated impairment losses and adjusted for any re-measurement of the lease liability. Right-of-use assets are presented in property, plant and equipment </w:t>
            </w:r>
            <w:r w:rsidRPr="00F1016B">
              <w:rPr>
                <w:strike/>
                <w:color w:val="FF0000"/>
                <w:sz w:val="18"/>
                <w:szCs w:val="18"/>
              </w:rPr>
              <w:t>under the relevant</w:t>
            </w:r>
            <w:r w:rsidRPr="00AD586B">
              <w:rPr>
                <w:sz w:val="18"/>
                <w:szCs w:val="18"/>
              </w:rPr>
              <w:t xml:space="preserve"> </w:t>
            </w:r>
            <w:r w:rsidR="00F1016B" w:rsidRPr="00F1016B">
              <w:rPr>
                <w:color w:val="FF0000"/>
                <w:sz w:val="18"/>
                <w:szCs w:val="18"/>
              </w:rPr>
              <w:t xml:space="preserve">in their own separate </w:t>
            </w:r>
            <w:r w:rsidRPr="00AD586B">
              <w:rPr>
                <w:sz w:val="18"/>
                <w:szCs w:val="18"/>
              </w:rPr>
              <w:t>asset class.</w:t>
            </w:r>
          </w:p>
        </w:tc>
      </w:tr>
      <w:tr w:rsidR="005F7F2E" w:rsidRPr="00B91A27" w14:paraId="6447FED0" w14:textId="77777777" w:rsidTr="002B12D3">
        <w:trPr>
          <w:cantSplit/>
          <w:trHeight w:val="261"/>
        </w:trPr>
        <w:tc>
          <w:tcPr>
            <w:tcW w:w="744" w:type="pct"/>
            <w:tcBorders>
              <w:top w:val="nil"/>
              <w:left w:val="single" w:sz="2" w:space="0" w:color="auto"/>
              <w:bottom w:val="nil"/>
              <w:right w:val="single" w:sz="2" w:space="0" w:color="auto"/>
            </w:tcBorders>
          </w:tcPr>
          <w:p w14:paraId="5FC0836F" w14:textId="1EBB0E7B" w:rsidR="005F7F2E" w:rsidRPr="00AD586B" w:rsidRDefault="005F7F2E" w:rsidP="005F7F2E">
            <w:pPr>
              <w:pStyle w:val="TableReference"/>
              <w:tabs>
                <w:tab w:val="left" w:pos="3306"/>
              </w:tabs>
              <w:rPr>
                <w:color w:val="7030A0"/>
                <w:sz w:val="14"/>
              </w:rPr>
            </w:pPr>
            <w:r w:rsidRPr="00AD586B">
              <w:rPr>
                <w:color w:val="7030A0"/>
                <w:sz w:val="14"/>
              </w:rPr>
              <w:t>AASB 1059.9(b)</w:t>
            </w:r>
          </w:p>
        </w:tc>
        <w:tc>
          <w:tcPr>
            <w:tcW w:w="4256" w:type="pct"/>
            <w:gridSpan w:val="5"/>
            <w:tcBorders>
              <w:top w:val="nil"/>
              <w:left w:val="single" w:sz="2" w:space="0" w:color="auto"/>
              <w:bottom w:val="nil"/>
              <w:right w:val="nil"/>
            </w:tcBorders>
          </w:tcPr>
          <w:p w14:paraId="777F28AA" w14:textId="6A922D8E" w:rsidR="005F7F2E" w:rsidRPr="00AD586B" w:rsidRDefault="005F7F2E" w:rsidP="005F7F2E">
            <w:pPr>
              <w:jc w:val="both"/>
              <w:rPr>
                <w:sz w:val="18"/>
                <w:szCs w:val="18"/>
              </w:rPr>
            </w:pPr>
            <w:r w:rsidRPr="00AD586B">
              <w:rPr>
                <w:sz w:val="18"/>
                <w:szCs w:val="18"/>
              </w:rPr>
              <w:t>The fair value of service concession assets measured using the revaluation model is determine</w:t>
            </w:r>
            <w:r w:rsidR="0040382E" w:rsidRPr="00FA6F25">
              <w:rPr>
                <w:color w:val="FF0000"/>
                <w:sz w:val="18"/>
                <w:szCs w:val="18"/>
              </w:rPr>
              <w:t>d</w:t>
            </w:r>
            <w:r w:rsidRPr="00AD586B">
              <w:rPr>
                <w:sz w:val="18"/>
                <w:szCs w:val="18"/>
              </w:rPr>
              <w:t xml:space="preserve"> based on current replacement cost.</w:t>
            </w:r>
          </w:p>
        </w:tc>
      </w:tr>
      <w:tr w:rsidR="002B12D3" w:rsidRPr="00B91A27" w14:paraId="3C2B50D2" w14:textId="77777777" w:rsidTr="002B12D3">
        <w:trPr>
          <w:cantSplit/>
          <w:trHeight w:val="261"/>
        </w:trPr>
        <w:tc>
          <w:tcPr>
            <w:tcW w:w="744" w:type="pct"/>
            <w:tcBorders>
              <w:top w:val="nil"/>
              <w:left w:val="single" w:sz="2" w:space="0" w:color="auto"/>
              <w:bottom w:val="nil"/>
              <w:right w:val="single" w:sz="2" w:space="0" w:color="auto"/>
            </w:tcBorders>
          </w:tcPr>
          <w:p w14:paraId="18E3B2B0" w14:textId="77777777" w:rsidR="002B12D3" w:rsidRPr="00AD586B" w:rsidRDefault="002B12D3" w:rsidP="00BA0A51">
            <w:pPr>
              <w:pStyle w:val="TableReference"/>
              <w:tabs>
                <w:tab w:val="left" w:pos="3306"/>
              </w:tabs>
              <w:spacing w:before="240" w:after="240"/>
              <w:rPr>
                <w:color w:val="7030A0"/>
                <w:sz w:val="14"/>
              </w:rPr>
            </w:pPr>
            <w:r>
              <w:br w:type="page"/>
            </w:r>
            <w:r w:rsidRPr="00AD586B">
              <w:rPr>
                <w:rFonts w:cs="Calibri"/>
                <w:b/>
                <w:color w:val="7030A0"/>
                <w:sz w:val="22"/>
                <w:szCs w:val="22"/>
              </w:rPr>
              <w:t>Reference</w:t>
            </w:r>
          </w:p>
        </w:tc>
        <w:tc>
          <w:tcPr>
            <w:tcW w:w="4256" w:type="pct"/>
            <w:gridSpan w:val="5"/>
            <w:tcBorders>
              <w:top w:val="nil"/>
              <w:left w:val="single" w:sz="2" w:space="0" w:color="auto"/>
              <w:bottom w:val="nil"/>
              <w:right w:val="nil"/>
            </w:tcBorders>
          </w:tcPr>
          <w:p w14:paraId="724AD71C" w14:textId="77777777" w:rsidR="002B12D3" w:rsidRPr="00AD586B" w:rsidRDefault="002B12D3" w:rsidP="00BA0A51">
            <w:pPr>
              <w:pStyle w:val="Heading1"/>
              <w:numPr>
                <w:ilvl w:val="0"/>
                <w:numId w:val="0"/>
              </w:numPr>
              <w:rPr>
                <w:sz w:val="18"/>
                <w:szCs w:val="18"/>
              </w:rPr>
            </w:pPr>
            <w:bookmarkStart w:id="623" w:name="_Toc98763124"/>
            <w:bookmarkStart w:id="624" w:name="_Toc127733857"/>
            <w:bookmarkStart w:id="625" w:name="_Toc131164509"/>
            <w:bookmarkStart w:id="626" w:name="_Toc131591774"/>
            <w:bookmarkStart w:id="627" w:name="_Toc132743809"/>
            <w:r w:rsidRPr="00AD586B">
              <w:t>Note 19.</w:t>
            </w:r>
            <w:r>
              <w:t xml:space="preserve"> </w:t>
            </w:r>
            <w:r w:rsidRPr="00AD586B">
              <w:t xml:space="preserve"> Property, Plant and Equipment </w:t>
            </w:r>
            <w:r>
              <w:t>–</w:t>
            </w:r>
            <w:r w:rsidRPr="00AD586B">
              <w:t xml:space="preserve"> Continued</w:t>
            </w:r>
            <w:bookmarkEnd w:id="623"/>
            <w:bookmarkEnd w:id="624"/>
            <w:bookmarkEnd w:id="625"/>
            <w:bookmarkEnd w:id="626"/>
            <w:bookmarkEnd w:id="627"/>
            <w:r>
              <w:t xml:space="preserve"> </w:t>
            </w:r>
          </w:p>
        </w:tc>
      </w:tr>
      <w:tr w:rsidR="005F7F2E" w:rsidRPr="00B91A27" w14:paraId="5B36DD1A" w14:textId="77777777" w:rsidTr="002B12D3">
        <w:trPr>
          <w:cantSplit/>
        </w:trPr>
        <w:tc>
          <w:tcPr>
            <w:tcW w:w="744" w:type="pct"/>
            <w:tcBorders>
              <w:top w:val="nil"/>
              <w:left w:val="single" w:sz="2" w:space="0" w:color="auto"/>
              <w:bottom w:val="nil"/>
              <w:right w:val="single" w:sz="2" w:space="0" w:color="auto"/>
            </w:tcBorders>
          </w:tcPr>
          <w:p w14:paraId="39DF1E15" w14:textId="77777777" w:rsidR="005F7F2E" w:rsidRPr="00AD586B" w:rsidRDefault="005F7F2E" w:rsidP="005F7F2E">
            <w:pPr>
              <w:pStyle w:val="TableReference"/>
              <w:tabs>
                <w:tab w:val="left" w:pos="3306"/>
              </w:tabs>
              <w:rPr>
                <w:color w:val="7030A0"/>
                <w:sz w:val="14"/>
              </w:rPr>
            </w:pPr>
          </w:p>
        </w:tc>
        <w:tc>
          <w:tcPr>
            <w:tcW w:w="4256" w:type="pct"/>
            <w:gridSpan w:val="5"/>
            <w:tcBorders>
              <w:top w:val="nil"/>
              <w:left w:val="single" w:sz="2" w:space="0" w:color="auto"/>
              <w:bottom w:val="nil"/>
              <w:right w:val="nil"/>
            </w:tcBorders>
          </w:tcPr>
          <w:p w14:paraId="3F91E625" w14:textId="673AC5AA" w:rsidR="005F7F2E" w:rsidRPr="00AD586B" w:rsidRDefault="005F7F2E" w:rsidP="000D72C3">
            <w:pPr>
              <w:pStyle w:val="Appxhead3"/>
              <w:spacing w:before="0"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Major Cyclical Maintenance - Infrastructure Asset</w:t>
            </w:r>
          </w:p>
        </w:tc>
      </w:tr>
      <w:tr w:rsidR="005F7F2E" w:rsidRPr="00B91A27" w14:paraId="0A0B5E63" w14:textId="77777777" w:rsidTr="002B12D3">
        <w:trPr>
          <w:cantSplit/>
        </w:trPr>
        <w:tc>
          <w:tcPr>
            <w:tcW w:w="744" w:type="pct"/>
            <w:tcBorders>
              <w:top w:val="nil"/>
              <w:left w:val="single" w:sz="2" w:space="0" w:color="auto"/>
              <w:bottom w:val="nil"/>
              <w:right w:val="single" w:sz="2" w:space="0" w:color="auto"/>
            </w:tcBorders>
          </w:tcPr>
          <w:p w14:paraId="244F3683" w14:textId="77777777" w:rsidR="005F7F2E" w:rsidRPr="00AD586B" w:rsidRDefault="005F7F2E" w:rsidP="005F7F2E">
            <w:pPr>
              <w:pStyle w:val="TableReference"/>
              <w:tabs>
                <w:tab w:val="left" w:pos="3306"/>
              </w:tabs>
              <w:spacing w:before="40"/>
              <w:rPr>
                <w:color w:val="7030A0"/>
                <w:sz w:val="14"/>
              </w:rPr>
            </w:pPr>
          </w:p>
        </w:tc>
        <w:tc>
          <w:tcPr>
            <w:tcW w:w="4256" w:type="pct"/>
            <w:gridSpan w:val="5"/>
            <w:tcBorders>
              <w:top w:val="nil"/>
              <w:left w:val="single" w:sz="2" w:space="0" w:color="auto"/>
              <w:bottom w:val="nil"/>
              <w:right w:val="nil"/>
            </w:tcBorders>
          </w:tcPr>
          <w:p w14:paraId="0DEAF6D1" w14:textId="4229F869" w:rsidR="005F7F2E" w:rsidRPr="00AD586B" w:rsidRDefault="005F7F2E" w:rsidP="005F7F2E">
            <w:pPr>
              <w:spacing w:after="120"/>
              <w:jc w:val="both"/>
              <w:rPr>
                <w:sz w:val="18"/>
                <w:szCs w:val="18"/>
              </w:rPr>
            </w:pPr>
            <w:r w:rsidRPr="00AD586B">
              <w:rPr>
                <w:sz w:val="18"/>
                <w:szCs w:val="18"/>
              </w:rPr>
              <w:t>The Agency undertakes major cyclical maintenance on its infrastructure assets.</w:t>
            </w:r>
            <w:r w:rsidR="00FA7C77">
              <w:rPr>
                <w:sz w:val="18"/>
                <w:szCs w:val="18"/>
              </w:rPr>
              <w:t xml:space="preserve"> </w:t>
            </w:r>
            <w:r w:rsidRPr="00AD586B">
              <w:rPr>
                <w:sz w:val="18"/>
                <w:szCs w:val="18"/>
              </w:rPr>
              <w:t>Where the maintenance leads to an upgrade, increasing the service potential of the existing infrastructure asset, the cost is capitalised.</w:t>
            </w:r>
          </w:p>
        </w:tc>
      </w:tr>
      <w:tr w:rsidR="005F7F2E" w:rsidRPr="00B91A27" w14:paraId="5EDBF830" w14:textId="77777777" w:rsidTr="002B12D3">
        <w:trPr>
          <w:cantSplit/>
        </w:trPr>
        <w:tc>
          <w:tcPr>
            <w:tcW w:w="744" w:type="pct"/>
            <w:tcBorders>
              <w:top w:val="nil"/>
              <w:left w:val="single" w:sz="2" w:space="0" w:color="auto"/>
              <w:bottom w:val="nil"/>
              <w:right w:val="single" w:sz="2" w:space="0" w:color="auto"/>
            </w:tcBorders>
          </w:tcPr>
          <w:p w14:paraId="333983CE" w14:textId="77777777" w:rsidR="005F7F2E" w:rsidRPr="00AD586B" w:rsidRDefault="005F7F2E" w:rsidP="005F7F2E">
            <w:pPr>
              <w:pStyle w:val="TableReference"/>
              <w:tabs>
                <w:tab w:val="left" w:pos="3306"/>
              </w:tabs>
              <w:spacing w:before="40"/>
              <w:rPr>
                <w:color w:val="7030A0"/>
                <w:sz w:val="14"/>
              </w:rPr>
            </w:pPr>
          </w:p>
        </w:tc>
        <w:tc>
          <w:tcPr>
            <w:tcW w:w="4256" w:type="pct"/>
            <w:gridSpan w:val="5"/>
            <w:tcBorders>
              <w:top w:val="nil"/>
              <w:left w:val="single" w:sz="2" w:space="0" w:color="auto"/>
              <w:bottom w:val="nil"/>
              <w:right w:val="nil"/>
            </w:tcBorders>
            <w:vAlign w:val="bottom"/>
          </w:tcPr>
          <w:p w14:paraId="40823946" w14:textId="3E6C5110" w:rsidR="005F7F2E" w:rsidRPr="00AD586B" w:rsidRDefault="005F7F2E" w:rsidP="005F7F2E">
            <w:pPr>
              <w:jc w:val="both"/>
              <w:rPr>
                <w:i/>
                <w:iCs/>
                <w:sz w:val="18"/>
                <w:szCs w:val="18"/>
              </w:rPr>
            </w:pPr>
            <w:r w:rsidRPr="00AD586B">
              <w:rPr>
                <w:rFonts w:cs="Calibri"/>
                <w:i/>
                <w:iCs/>
                <w:sz w:val="18"/>
              </w:rPr>
              <w:t>Valuation of Non-Current Assets</w:t>
            </w:r>
          </w:p>
        </w:tc>
      </w:tr>
      <w:tr w:rsidR="005F7F2E" w:rsidRPr="00B91A27" w14:paraId="7F26E765" w14:textId="77777777" w:rsidTr="002B12D3">
        <w:trPr>
          <w:cantSplit/>
        </w:trPr>
        <w:tc>
          <w:tcPr>
            <w:tcW w:w="744" w:type="pct"/>
            <w:tcBorders>
              <w:top w:val="nil"/>
              <w:left w:val="single" w:sz="2" w:space="0" w:color="auto"/>
              <w:bottom w:val="nil"/>
              <w:right w:val="single" w:sz="2" w:space="0" w:color="auto"/>
            </w:tcBorders>
          </w:tcPr>
          <w:p w14:paraId="61D17234" w14:textId="5C6EA828" w:rsidR="005F7F2E" w:rsidRPr="00AD586B" w:rsidRDefault="005F7F2E" w:rsidP="005F7F2E">
            <w:pPr>
              <w:pStyle w:val="TableReference"/>
              <w:tabs>
                <w:tab w:val="left" w:pos="3306"/>
              </w:tabs>
              <w:spacing w:before="40"/>
              <w:rPr>
                <w:color w:val="7030A0"/>
                <w:sz w:val="14"/>
              </w:rPr>
            </w:pPr>
            <w:r w:rsidRPr="00AD586B">
              <w:rPr>
                <w:rFonts w:cs="Calibri"/>
                <w:color w:val="7030A0"/>
                <w:sz w:val="14"/>
              </w:rPr>
              <w:t>AASB 116.77(a) &amp;(b)</w:t>
            </w:r>
          </w:p>
        </w:tc>
        <w:tc>
          <w:tcPr>
            <w:tcW w:w="4256" w:type="pct"/>
            <w:gridSpan w:val="5"/>
            <w:tcBorders>
              <w:top w:val="nil"/>
              <w:left w:val="single" w:sz="2" w:space="0" w:color="auto"/>
              <w:bottom w:val="nil"/>
              <w:right w:val="nil"/>
            </w:tcBorders>
            <w:vAlign w:val="bottom"/>
          </w:tcPr>
          <w:p w14:paraId="3B171254" w14:textId="2D8A1FA1" w:rsidR="005F7F2E" w:rsidRPr="00AD586B" w:rsidRDefault="005F7F2E" w:rsidP="005F7F2E">
            <w:pPr>
              <w:spacing w:after="120"/>
              <w:jc w:val="both"/>
              <w:rPr>
                <w:rFonts w:cs="Calibri"/>
                <w:sz w:val="18"/>
                <w:szCs w:val="18"/>
              </w:rPr>
            </w:pPr>
            <w:r w:rsidRPr="00AD586B">
              <w:rPr>
                <w:rFonts w:cs="Calibri"/>
                <w:sz w:val="18"/>
                <w:szCs w:val="18"/>
              </w:rPr>
              <w:t>XYZ Valuers, an independent valuer, has performed all revaluations of the Agency’s property, plant and equipment assets.</w:t>
            </w:r>
            <w:r w:rsidR="00FA7C77">
              <w:rPr>
                <w:rFonts w:cs="Calibri"/>
                <w:sz w:val="18"/>
                <w:szCs w:val="18"/>
              </w:rPr>
              <w:t xml:space="preserve"> </w:t>
            </w:r>
            <w:r w:rsidRPr="00AD586B">
              <w:rPr>
                <w:rFonts w:cs="Calibri"/>
                <w:sz w:val="18"/>
                <w:szCs w:val="18"/>
              </w:rPr>
              <w:t>‘XYZ Valuers’ hold a recognised and relevant professional qualification and have recent experience in the location and category of the property, plant and equipment involved. The latest valuation of infrastructure assets was performed as at 30 June 202</w:t>
            </w:r>
            <w:r w:rsidR="005A41B6">
              <w:rPr>
                <w:rFonts w:cs="Calibri"/>
                <w:sz w:val="18"/>
                <w:szCs w:val="18"/>
              </w:rPr>
              <w:t>2</w:t>
            </w:r>
            <w:r w:rsidRPr="00AD586B">
              <w:rPr>
                <w:rFonts w:cs="Calibri"/>
                <w:sz w:val="18"/>
                <w:szCs w:val="18"/>
              </w:rPr>
              <w:t>.</w:t>
            </w:r>
            <w:r w:rsidR="00FA7C77">
              <w:rPr>
                <w:rFonts w:cs="Calibri"/>
                <w:sz w:val="18"/>
                <w:szCs w:val="18"/>
              </w:rPr>
              <w:t xml:space="preserve"> </w:t>
            </w:r>
            <w:r w:rsidRPr="00AD586B">
              <w:rPr>
                <w:rFonts w:cs="Calibri"/>
                <w:sz w:val="18"/>
                <w:szCs w:val="18"/>
              </w:rPr>
              <w:t xml:space="preserve">The latest valuation of land, buildings and </w:t>
            </w:r>
            <w:r w:rsidRPr="0050766A">
              <w:rPr>
                <w:rFonts w:cs="Calibri"/>
                <w:strike/>
                <w:color w:val="FF0000"/>
                <w:sz w:val="18"/>
                <w:szCs w:val="18"/>
              </w:rPr>
              <w:t>community and</w:t>
            </w:r>
            <w:r w:rsidRPr="0050766A">
              <w:rPr>
                <w:rFonts w:cs="Calibri"/>
                <w:color w:val="FF0000"/>
                <w:sz w:val="18"/>
                <w:szCs w:val="18"/>
              </w:rPr>
              <w:t xml:space="preserve"> </w:t>
            </w:r>
            <w:r w:rsidRPr="00AD586B">
              <w:rPr>
                <w:rFonts w:cs="Calibri"/>
                <w:sz w:val="18"/>
                <w:szCs w:val="18"/>
              </w:rPr>
              <w:t>heritage</w:t>
            </w:r>
            <w:r w:rsidR="0050766A" w:rsidRPr="0050766A">
              <w:rPr>
                <w:color w:val="FF0000"/>
                <w:sz w:val="18"/>
                <w:szCs w:val="18"/>
              </w:rPr>
              <w:t xml:space="preserve"> and community</w:t>
            </w:r>
            <w:r w:rsidRPr="00AD586B">
              <w:rPr>
                <w:rFonts w:cs="Calibri"/>
                <w:sz w:val="18"/>
                <w:szCs w:val="18"/>
              </w:rPr>
              <w:t xml:space="preserve"> assets was performed as at 30 June 202</w:t>
            </w:r>
            <w:r w:rsidR="005A41B6">
              <w:rPr>
                <w:rFonts w:cs="Calibri"/>
                <w:sz w:val="18"/>
                <w:szCs w:val="18"/>
              </w:rPr>
              <w:t>3</w:t>
            </w:r>
            <w:r w:rsidRPr="00AD586B">
              <w:rPr>
                <w:rFonts w:cs="Calibri"/>
                <w:sz w:val="18"/>
                <w:szCs w:val="18"/>
              </w:rPr>
              <w:t xml:space="preserve">. </w:t>
            </w:r>
          </w:p>
        </w:tc>
      </w:tr>
      <w:tr w:rsidR="005F7F2E" w:rsidRPr="00B91A27" w14:paraId="58EDF208" w14:textId="77777777" w:rsidTr="002B12D3">
        <w:trPr>
          <w:cantSplit/>
        </w:trPr>
        <w:tc>
          <w:tcPr>
            <w:tcW w:w="744" w:type="pct"/>
            <w:tcBorders>
              <w:top w:val="nil"/>
              <w:left w:val="single" w:sz="2" w:space="0" w:color="auto"/>
              <w:bottom w:val="nil"/>
              <w:right w:val="single" w:sz="2" w:space="0" w:color="auto"/>
            </w:tcBorders>
          </w:tcPr>
          <w:p w14:paraId="7F0A6A9A" w14:textId="77777777" w:rsidR="005F7F2E" w:rsidRPr="00AD586B" w:rsidRDefault="005F7F2E" w:rsidP="005F7F2E">
            <w:pPr>
              <w:pStyle w:val="TableReference"/>
              <w:tabs>
                <w:tab w:val="left" w:pos="3306"/>
              </w:tabs>
              <w:spacing w:before="40"/>
              <w:rPr>
                <w:color w:val="7030A0"/>
                <w:sz w:val="14"/>
              </w:rPr>
            </w:pPr>
          </w:p>
        </w:tc>
        <w:tc>
          <w:tcPr>
            <w:tcW w:w="4256" w:type="pct"/>
            <w:gridSpan w:val="5"/>
            <w:tcBorders>
              <w:top w:val="nil"/>
              <w:left w:val="single" w:sz="2" w:space="0" w:color="auto"/>
              <w:bottom w:val="nil"/>
              <w:right w:val="nil"/>
            </w:tcBorders>
            <w:vAlign w:val="bottom"/>
          </w:tcPr>
          <w:p w14:paraId="4DA89F23" w14:textId="245DE561" w:rsidR="005F7F2E" w:rsidRPr="00AD586B" w:rsidRDefault="005F7F2E" w:rsidP="005F7F2E">
            <w:pPr>
              <w:jc w:val="both"/>
              <w:rPr>
                <w:sz w:val="18"/>
                <w:szCs w:val="18"/>
              </w:rPr>
            </w:pPr>
            <w:r w:rsidRPr="00AD586B">
              <w:rPr>
                <w:rFonts w:cs="Calibri"/>
                <w:sz w:val="18"/>
                <w:szCs w:val="18"/>
              </w:rPr>
              <w:t>The Agency has made a significant estimate regarding the fair value of its assets.</w:t>
            </w:r>
            <w:r w:rsidR="00FA7C77">
              <w:rPr>
                <w:rFonts w:cs="Calibri"/>
                <w:sz w:val="18"/>
                <w:szCs w:val="18"/>
              </w:rPr>
              <w:t xml:space="preserve"> </w:t>
            </w:r>
            <w:r w:rsidRPr="00AD586B">
              <w:rPr>
                <w:rFonts w:cs="Calibri"/>
                <w:sz w:val="18"/>
                <w:szCs w:val="18"/>
              </w:rPr>
              <w:t>Land and buildings have been recorded at the market value of similar properties as determined by an independent valuer.</w:t>
            </w:r>
            <w:r w:rsidR="00FA7C77">
              <w:rPr>
                <w:rFonts w:cs="Calibri"/>
                <w:sz w:val="18"/>
                <w:szCs w:val="18"/>
              </w:rPr>
              <w:t xml:space="preserve"> </w:t>
            </w:r>
            <w:r w:rsidRPr="00AD586B">
              <w:rPr>
                <w:rFonts w:cs="Calibri"/>
                <w:sz w:val="18"/>
                <w:szCs w:val="18"/>
              </w:rPr>
              <w:t>In some circumstances, buildings that are purpose built may in fact realise more or less in the market.</w:t>
            </w:r>
            <w:r w:rsidR="00FA7C77">
              <w:rPr>
                <w:rFonts w:cs="Calibri"/>
                <w:sz w:val="18"/>
                <w:szCs w:val="18"/>
              </w:rPr>
              <w:t xml:space="preserve"> </w:t>
            </w:r>
            <w:r w:rsidRPr="00AD586B">
              <w:rPr>
                <w:rFonts w:cs="Calibri"/>
                <w:sz w:val="18"/>
                <w:szCs w:val="18"/>
              </w:rPr>
              <w:t>Infrastructure assets</w:t>
            </w:r>
            <w:r w:rsidR="00862EE5" w:rsidRPr="00862EE5">
              <w:rPr>
                <w:rFonts w:cs="Calibri"/>
                <w:color w:val="FF0000"/>
                <w:sz w:val="18"/>
                <w:szCs w:val="18"/>
              </w:rPr>
              <w:t>,</w:t>
            </w:r>
            <w:r w:rsidR="00862EE5" w:rsidRPr="00862EE5">
              <w:rPr>
                <w:rFonts w:cs="Calibri"/>
                <w:color w:val="538135" w:themeColor="accent6" w:themeShade="BF"/>
                <w:sz w:val="18"/>
                <w:szCs w:val="18"/>
              </w:rPr>
              <w:t xml:space="preserve"> </w:t>
            </w:r>
            <w:r w:rsidR="00862EE5" w:rsidRPr="00152C5D">
              <w:rPr>
                <w:rFonts w:cs="Calibri"/>
                <w:color w:val="538135" w:themeColor="accent6" w:themeShade="BF"/>
                <w:sz w:val="18"/>
                <w:szCs w:val="18"/>
              </w:rPr>
              <w:t>service concession assets</w:t>
            </w:r>
            <w:r w:rsidRPr="00152C5D">
              <w:rPr>
                <w:rFonts w:cs="Calibri"/>
                <w:sz w:val="18"/>
                <w:szCs w:val="18"/>
              </w:rPr>
              <w:t xml:space="preserve"> and </w:t>
            </w:r>
            <w:bookmarkStart w:id="628" w:name="_Hlk107566248"/>
            <w:r w:rsidRPr="00152C5D">
              <w:rPr>
                <w:rFonts w:cs="Calibri"/>
                <w:sz w:val="18"/>
                <w:szCs w:val="18"/>
              </w:rPr>
              <w:t xml:space="preserve">some </w:t>
            </w:r>
            <w:r w:rsidRPr="00152C5D">
              <w:rPr>
                <w:rFonts w:cs="Calibri"/>
                <w:strike/>
                <w:color w:val="FF0000"/>
                <w:sz w:val="18"/>
                <w:szCs w:val="18"/>
              </w:rPr>
              <w:t>community and</w:t>
            </w:r>
            <w:r w:rsidRPr="00152C5D">
              <w:rPr>
                <w:rFonts w:cs="Calibri"/>
                <w:sz w:val="18"/>
                <w:szCs w:val="18"/>
              </w:rPr>
              <w:t xml:space="preserve"> heritage </w:t>
            </w:r>
            <w:r w:rsidR="0050766A" w:rsidRPr="00152C5D">
              <w:rPr>
                <w:color w:val="FF0000"/>
                <w:sz w:val="18"/>
                <w:szCs w:val="18"/>
              </w:rPr>
              <w:t>and community</w:t>
            </w:r>
            <w:r w:rsidR="0050766A" w:rsidRPr="00152C5D">
              <w:rPr>
                <w:rFonts w:cs="Calibri"/>
                <w:sz w:val="18"/>
                <w:szCs w:val="18"/>
              </w:rPr>
              <w:t xml:space="preserve"> </w:t>
            </w:r>
            <w:r w:rsidRPr="00152C5D">
              <w:rPr>
                <w:rFonts w:cs="Calibri"/>
                <w:sz w:val="18"/>
                <w:szCs w:val="18"/>
              </w:rPr>
              <w:t xml:space="preserve">assets </w:t>
            </w:r>
            <w:r w:rsidRPr="00152C5D">
              <w:rPr>
                <w:rFonts w:cs="Calibri"/>
                <w:strike/>
                <w:color w:val="FF0000"/>
                <w:sz w:val="18"/>
                <w:szCs w:val="18"/>
              </w:rPr>
              <w:t>and</w:t>
            </w:r>
            <w:r w:rsidRPr="00152C5D">
              <w:rPr>
                <w:rFonts w:cs="Calibri"/>
                <w:strike/>
                <w:sz w:val="18"/>
                <w:szCs w:val="18"/>
              </w:rPr>
              <w:t xml:space="preserve"> </w:t>
            </w:r>
            <w:r w:rsidRPr="00152C5D">
              <w:rPr>
                <w:rFonts w:cs="Calibri"/>
                <w:strike/>
                <w:color w:val="538135" w:themeColor="accent6" w:themeShade="BF"/>
                <w:sz w:val="18"/>
                <w:szCs w:val="18"/>
              </w:rPr>
              <w:t>service concession assets</w:t>
            </w:r>
            <w:r w:rsidRPr="00862EE5">
              <w:rPr>
                <w:rFonts w:cs="Calibri"/>
                <w:color w:val="538135" w:themeColor="accent6" w:themeShade="BF"/>
                <w:sz w:val="18"/>
                <w:szCs w:val="18"/>
              </w:rPr>
              <w:t xml:space="preserve"> </w:t>
            </w:r>
            <w:r w:rsidRPr="00AD586B">
              <w:rPr>
                <w:rFonts w:cs="Calibri"/>
                <w:sz w:val="18"/>
                <w:szCs w:val="18"/>
              </w:rPr>
              <w:t>have been recorded at fair value based on current replacement cost as determined by an independent valuer.</w:t>
            </w:r>
            <w:bookmarkEnd w:id="628"/>
            <w:r w:rsidR="00FA7C77">
              <w:rPr>
                <w:rFonts w:cs="Calibri"/>
                <w:sz w:val="18"/>
                <w:szCs w:val="18"/>
              </w:rPr>
              <w:t xml:space="preserve"> </w:t>
            </w:r>
            <w:r w:rsidRPr="00AD586B">
              <w:rPr>
                <w:rFonts w:cs="Calibri"/>
                <w:sz w:val="18"/>
                <w:szCs w:val="18"/>
              </w:rPr>
              <w:t>The valuation uses significant judgements and estimates to determine fair value, including the appropriate indexation figure and quantum of assets held.</w:t>
            </w:r>
            <w:r w:rsidR="00FA7C77">
              <w:rPr>
                <w:rFonts w:cs="Calibri"/>
                <w:sz w:val="18"/>
                <w:szCs w:val="18"/>
              </w:rPr>
              <w:t xml:space="preserve"> </w:t>
            </w:r>
            <w:r w:rsidRPr="00AD586B">
              <w:rPr>
                <w:rFonts w:cs="Calibri"/>
                <w:sz w:val="18"/>
                <w:szCs w:val="18"/>
              </w:rPr>
              <w:t>The fair value of assets is subject to management assessment between formal valuations.</w:t>
            </w:r>
          </w:p>
        </w:tc>
      </w:tr>
      <w:tr w:rsidR="005F7F2E" w:rsidRPr="00B91A27" w14:paraId="4781EC92" w14:textId="77777777" w:rsidTr="002B12D3">
        <w:trPr>
          <w:cantSplit/>
        </w:trPr>
        <w:tc>
          <w:tcPr>
            <w:tcW w:w="744" w:type="pct"/>
            <w:tcBorders>
              <w:top w:val="nil"/>
              <w:left w:val="single" w:sz="2" w:space="0" w:color="auto"/>
              <w:bottom w:val="nil"/>
              <w:right w:val="single" w:sz="2" w:space="0" w:color="auto"/>
            </w:tcBorders>
          </w:tcPr>
          <w:p w14:paraId="4993BF47" w14:textId="434895E2" w:rsidR="005F7F2E" w:rsidRPr="00AD586B" w:rsidRDefault="005F7F2E" w:rsidP="005F7F2E">
            <w:pPr>
              <w:pStyle w:val="TableReference"/>
              <w:tabs>
                <w:tab w:val="left" w:pos="3306"/>
              </w:tabs>
              <w:spacing w:before="40"/>
              <w:rPr>
                <w:color w:val="7030A0"/>
                <w:sz w:val="14"/>
              </w:rPr>
            </w:pPr>
          </w:p>
        </w:tc>
        <w:tc>
          <w:tcPr>
            <w:tcW w:w="4256" w:type="pct"/>
            <w:gridSpan w:val="5"/>
            <w:tcBorders>
              <w:top w:val="nil"/>
              <w:left w:val="single" w:sz="2" w:space="0" w:color="auto"/>
              <w:bottom w:val="nil"/>
              <w:right w:val="nil"/>
            </w:tcBorders>
          </w:tcPr>
          <w:p w14:paraId="441DD505" w14:textId="4F93B7E0" w:rsidR="005F7F2E" w:rsidRPr="00AD586B" w:rsidRDefault="005F7F2E" w:rsidP="005F7F2E">
            <w:pPr>
              <w:spacing w:before="120"/>
              <w:jc w:val="both"/>
              <w:rPr>
                <w:i/>
                <w:iCs/>
                <w:sz w:val="18"/>
                <w:szCs w:val="18"/>
              </w:rPr>
            </w:pPr>
            <w:r w:rsidRPr="00AD586B">
              <w:rPr>
                <w:i/>
                <w:iCs/>
                <w:sz w:val="18"/>
                <w:szCs w:val="18"/>
              </w:rPr>
              <w:t>Revaluation</w:t>
            </w:r>
          </w:p>
        </w:tc>
      </w:tr>
      <w:tr w:rsidR="005F7F2E" w:rsidRPr="00B91A27" w14:paraId="1EEB0DE0" w14:textId="77777777" w:rsidTr="002B12D3">
        <w:trPr>
          <w:cantSplit/>
        </w:trPr>
        <w:tc>
          <w:tcPr>
            <w:tcW w:w="744" w:type="pct"/>
            <w:tcBorders>
              <w:top w:val="nil"/>
              <w:left w:val="single" w:sz="2" w:space="0" w:color="auto"/>
              <w:bottom w:val="nil"/>
              <w:right w:val="single" w:sz="2" w:space="0" w:color="auto"/>
            </w:tcBorders>
          </w:tcPr>
          <w:p w14:paraId="0081B2AB" w14:textId="7ABDA531" w:rsidR="005F7F2E" w:rsidRPr="00AD586B" w:rsidRDefault="005F7F2E" w:rsidP="005F7F2E">
            <w:pPr>
              <w:pStyle w:val="TableReference"/>
              <w:tabs>
                <w:tab w:val="left" w:pos="3306"/>
              </w:tabs>
              <w:spacing w:before="40"/>
              <w:rPr>
                <w:color w:val="7030A0"/>
                <w:sz w:val="14"/>
              </w:rPr>
            </w:pPr>
            <w:r w:rsidRPr="00AD586B">
              <w:rPr>
                <w:color w:val="7030A0"/>
                <w:sz w:val="14"/>
              </w:rPr>
              <w:t>AASB 116.31 &amp; 34</w:t>
            </w:r>
          </w:p>
        </w:tc>
        <w:tc>
          <w:tcPr>
            <w:tcW w:w="4256" w:type="pct"/>
            <w:gridSpan w:val="5"/>
            <w:tcBorders>
              <w:top w:val="nil"/>
              <w:left w:val="single" w:sz="2" w:space="0" w:color="auto"/>
              <w:bottom w:val="nil"/>
              <w:right w:val="nil"/>
            </w:tcBorders>
          </w:tcPr>
          <w:p w14:paraId="0AB00CE3" w14:textId="1533CE4A" w:rsidR="005F7F2E" w:rsidRPr="00AD586B" w:rsidRDefault="005F7F2E" w:rsidP="005F7F2E">
            <w:pPr>
              <w:pStyle w:val="Appxhead3"/>
              <w:spacing w:before="0" w:after="120"/>
              <w:jc w:val="both"/>
              <w:rPr>
                <w:rFonts w:ascii="Calibri" w:hAnsi="Calibri" w:cs="Times New Roman"/>
                <w:b w:val="0"/>
                <w:smallCaps w:val="0"/>
                <w:sz w:val="18"/>
                <w:szCs w:val="18"/>
              </w:rPr>
            </w:pPr>
            <w:bookmarkStart w:id="629" w:name="_Hlk126138395"/>
            <w:r w:rsidRPr="00AD586B">
              <w:rPr>
                <w:rFonts w:ascii="Calibri" w:hAnsi="Calibri" w:cs="Times New Roman"/>
                <w:b w:val="0"/>
                <w:smallCaps w:val="0"/>
                <w:sz w:val="18"/>
                <w:szCs w:val="18"/>
              </w:rPr>
              <w:t>Land, buildings</w:t>
            </w:r>
            <w:r w:rsidRPr="009C222F">
              <w:rPr>
                <w:rFonts w:ascii="Calibri" w:hAnsi="Calibri" w:cs="Times New Roman"/>
                <w:b w:val="0"/>
                <w:smallCaps w:val="0"/>
                <w:sz w:val="18"/>
                <w:szCs w:val="18"/>
              </w:rPr>
              <w:t xml:space="preserve">, infrastructure assets, </w:t>
            </w:r>
            <w:r w:rsidRPr="00AD586B">
              <w:rPr>
                <w:rFonts w:ascii="Calibri" w:hAnsi="Calibri" w:cs="Times New Roman"/>
                <w:b w:val="0"/>
                <w:smallCaps w:val="0"/>
                <w:sz w:val="18"/>
                <w:szCs w:val="18"/>
              </w:rPr>
              <w:t xml:space="preserve">leasehold improvements, and </w:t>
            </w:r>
            <w:r w:rsidRPr="0050766A">
              <w:rPr>
                <w:rFonts w:ascii="Calibri" w:hAnsi="Calibri" w:cs="Times New Roman"/>
                <w:b w:val="0"/>
                <w:smallCaps w:val="0"/>
                <w:strike/>
                <w:color w:val="FF0000"/>
                <w:sz w:val="18"/>
                <w:szCs w:val="18"/>
              </w:rPr>
              <w:t>community and</w:t>
            </w:r>
            <w:r w:rsidRPr="0050766A">
              <w:rPr>
                <w:rFonts w:ascii="Calibri" w:hAnsi="Calibri" w:cs="Times New Roman"/>
                <w:b w:val="0"/>
                <w:smallCaps w:val="0"/>
                <w:color w:val="FF0000"/>
                <w:sz w:val="18"/>
                <w:szCs w:val="18"/>
              </w:rPr>
              <w:t xml:space="preserve"> </w:t>
            </w:r>
            <w:r w:rsidRPr="00AD586B">
              <w:rPr>
                <w:rFonts w:ascii="Calibri" w:hAnsi="Calibri" w:cs="Times New Roman"/>
                <w:b w:val="0"/>
                <w:smallCaps w:val="0"/>
                <w:sz w:val="18"/>
                <w:szCs w:val="18"/>
              </w:rPr>
              <w:t xml:space="preserve">heritage </w:t>
            </w:r>
            <w:r w:rsidR="0050766A" w:rsidRPr="0050766A">
              <w:rPr>
                <w:rFonts w:ascii="Calibri" w:hAnsi="Calibri" w:cs="Times New Roman"/>
                <w:b w:val="0"/>
                <w:smallCaps w:val="0"/>
                <w:color w:val="FF0000"/>
                <w:sz w:val="18"/>
                <w:szCs w:val="18"/>
              </w:rPr>
              <w:t xml:space="preserve">and community </w:t>
            </w:r>
            <w:r w:rsidRPr="00AD586B">
              <w:rPr>
                <w:rFonts w:ascii="Calibri" w:hAnsi="Calibri" w:cs="Times New Roman"/>
                <w:b w:val="0"/>
                <w:smallCaps w:val="0"/>
                <w:sz w:val="18"/>
                <w:szCs w:val="18"/>
              </w:rPr>
              <w:t xml:space="preserve">assets are revalued every </w:t>
            </w:r>
            <w:r w:rsidR="006E7FE9">
              <w:rPr>
                <w:rFonts w:ascii="Calibri" w:hAnsi="Calibri" w:cs="Times New Roman"/>
                <w:b w:val="0"/>
                <w:smallCaps w:val="0"/>
                <w:sz w:val="18"/>
                <w:szCs w:val="18"/>
              </w:rPr>
              <w:t>three</w:t>
            </w:r>
            <w:r w:rsidRPr="00AD586B">
              <w:rPr>
                <w:rFonts w:ascii="Calibri" w:hAnsi="Calibri" w:cs="Times New Roman"/>
                <w:b w:val="0"/>
                <w:smallCaps w:val="0"/>
                <w:sz w:val="18"/>
                <w:szCs w:val="18"/>
              </w:rPr>
              <w:t xml:space="preserve"> years.</w:t>
            </w:r>
            <w:bookmarkStart w:id="630" w:name="_Hlk107566463"/>
            <w:bookmarkEnd w:id="629"/>
            <w:r w:rsidR="00A31766" w:rsidRPr="00A31766">
              <w:rPr>
                <w:rFonts w:ascii="Calibri" w:hAnsi="Calibri" w:cs="Times New Roman"/>
                <w:b w:val="0"/>
                <w:smallCaps w:val="0"/>
                <w:color w:val="FF0000"/>
                <w:sz w:val="18"/>
                <w:szCs w:val="18"/>
              </w:rPr>
              <w:t xml:space="preserve"> </w:t>
            </w:r>
            <w:r w:rsidRPr="00AD586B">
              <w:rPr>
                <w:rFonts w:ascii="Calibri" w:hAnsi="Calibri" w:cs="Times New Roman"/>
                <w:b w:val="0"/>
                <w:smallCaps w:val="0"/>
                <w:sz w:val="18"/>
                <w:szCs w:val="18"/>
              </w:rPr>
              <w:t xml:space="preserve">This also includes </w:t>
            </w:r>
            <w:r w:rsidRPr="00AF0CFC">
              <w:rPr>
                <w:rFonts w:ascii="Calibri" w:hAnsi="Calibri" w:cs="Times New Roman"/>
                <w:b w:val="0"/>
                <w:smallCaps w:val="0"/>
                <w:strike/>
                <w:color w:val="FF0000"/>
                <w:sz w:val="18"/>
                <w:szCs w:val="18"/>
              </w:rPr>
              <w:t>all ri</w:t>
            </w:r>
            <w:r w:rsidRPr="00A31766">
              <w:rPr>
                <w:rFonts w:ascii="Calibri" w:hAnsi="Calibri" w:cs="Times New Roman"/>
                <w:b w:val="0"/>
                <w:smallCaps w:val="0"/>
                <w:strike/>
                <w:color w:val="FF0000"/>
                <w:sz w:val="18"/>
                <w:szCs w:val="18"/>
              </w:rPr>
              <w:t>ght-of-use assets and</w:t>
            </w:r>
            <w:r w:rsidRPr="00A31766">
              <w:rPr>
                <w:rFonts w:ascii="Calibri" w:hAnsi="Calibri" w:cs="Times New Roman"/>
                <w:b w:val="0"/>
                <w:smallCaps w:val="0"/>
                <w:color w:val="FF0000"/>
                <w:sz w:val="18"/>
                <w:szCs w:val="18"/>
              </w:rPr>
              <w:t xml:space="preserve"> </w:t>
            </w:r>
            <w:r w:rsidRPr="00AD586B">
              <w:rPr>
                <w:rFonts w:ascii="Calibri" w:hAnsi="Calibri" w:cs="Times New Roman"/>
                <w:b w:val="0"/>
                <w:smallCaps w:val="0"/>
                <w:sz w:val="18"/>
                <w:szCs w:val="18"/>
              </w:rPr>
              <w:t xml:space="preserve">service concession assets within </w:t>
            </w:r>
            <w:r w:rsidRPr="003D6FA4">
              <w:rPr>
                <w:rFonts w:ascii="Calibri" w:hAnsi="Calibri" w:cs="Times New Roman"/>
                <w:b w:val="0"/>
                <w:smallCaps w:val="0"/>
                <w:strike/>
                <w:color w:val="FF0000"/>
                <w:sz w:val="18"/>
                <w:szCs w:val="18"/>
              </w:rPr>
              <w:t>these</w:t>
            </w:r>
            <w:r w:rsidRPr="00AD586B">
              <w:rPr>
                <w:rFonts w:ascii="Calibri" w:hAnsi="Calibri" w:cs="Times New Roman"/>
                <w:b w:val="0"/>
                <w:smallCaps w:val="0"/>
                <w:sz w:val="18"/>
                <w:szCs w:val="18"/>
              </w:rPr>
              <w:t xml:space="preserve"> </w:t>
            </w:r>
            <w:r w:rsidR="003D6FA4" w:rsidRPr="003D6FA4">
              <w:rPr>
                <w:rFonts w:ascii="Calibri" w:hAnsi="Calibri" w:cs="Times New Roman"/>
                <w:b w:val="0"/>
                <w:smallCaps w:val="0"/>
                <w:color w:val="FF0000"/>
                <w:sz w:val="18"/>
                <w:szCs w:val="18"/>
              </w:rPr>
              <w:t>all</w:t>
            </w:r>
            <w:r w:rsidR="003D6FA4">
              <w:rPr>
                <w:rFonts w:ascii="Calibri" w:hAnsi="Calibri" w:cs="Times New Roman"/>
                <w:b w:val="0"/>
                <w:smallCaps w:val="0"/>
                <w:sz w:val="18"/>
                <w:szCs w:val="18"/>
              </w:rPr>
              <w:t xml:space="preserve"> </w:t>
            </w:r>
            <w:r w:rsidRPr="00AD586B">
              <w:rPr>
                <w:rFonts w:ascii="Calibri" w:hAnsi="Calibri" w:cs="Times New Roman"/>
                <w:b w:val="0"/>
                <w:smallCaps w:val="0"/>
                <w:sz w:val="18"/>
                <w:szCs w:val="18"/>
              </w:rPr>
              <w:t>asset classes.</w:t>
            </w:r>
            <w:r w:rsidR="00FA7C77">
              <w:rPr>
                <w:rFonts w:ascii="Calibri" w:hAnsi="Calibri" w:cs="Times New Roman"/>
                <w:b w:val="0"/>
                <w:smallCaps w:val="0"/>
                <w:sz w:val="18"/>
                <w:szCs w:val="18"/>
              </w:rPr>
              <w:t xml:space="preserve"> </w:t>
            </w:r>
            <w:bookmarkEnd w:id="630"/>
            <w:r w:rsidRPr="00152C5D">
              <w:rPr>
                <w:rFonts w:ascii="Calibri" w:hAnsi="Calibri" w:cs="Times New Roman"/>
                <w:b w:val="0"/>
                <w:smallCaps w:val="0"/>
                <w:strike/>
                <w:color w:val="FF0000"/>
                <w:sz w:val="18"/>
                <w:szCs w:val="18"/>
              </w:rPr>
              <w:t>However, if at any time management considers that the carrying amount of an asset materially differs from its fair value,</w:t>
            </w:r>
            <w:r w:rsidR="00747EBE" w:rsidRPr="00152C5D">
              <w:rPr>
                <w:rFonts w:ascii="Calibri" w:hAnsi="Calibri" w:cs="Times New Roman"/>
                <w:b w:val="0"/>
                <w:smallCaps w:val="0"/>
                <w:color w:val="FF0000"/>
                <w:sz w:val="18"/>
                <w:szCs w:val="18"/>
              </w:rPr>
              <w:t xml:space="preserve"> </w:t>
            </w:r>
            <w:r w:rsidR="0099350C" w:rsidRPr="008A6781">
              <w:rPr>
                <w:rFonts w:ascii="Calibri" w:hAnsi="Calibri" w:cs="Times New Roman"/>
                <w:b w:val="0"/>
                <w:smallCaps w:val="0"/>
                <w:color w:val="FF0000"/>
                <w:sz w:val="18"/>
                <w:szCs w:val="18"/>
              </w:rPr>
              <w:t xml:space="preserve">Towards </w:t>
            </w:r>
            <w:r w:rsidR="00747EBE" w:rsidRPr="008A6781">
              <w:rPr>
                <w:rFonts w:ascii="Calibri" w:hAnsi="Calibri" w:cs="Times New Roman"/>
                <w:b w:val="0"/>
                <w:smallCaps w:val="0"/>
                <w:color w:val="FF0000"/>
                <w:sz w:val="18"/>
                <w:szCs w:val="18"/>
              </w:rPr>
              <w:t>the</w:t>
            </w:r>
            <w:r w:rsidR="00747EBE" w:rsidRPr="00152C5D">
              <w:rPr>
                <w:rFonts w:ascii="Calibri" w:hAnsi="Calibri" w:cs="Times New Roman"/>
                <w:b w:val="0"/>
                <w:smallCaps w:val="0"/>
                <w:color w:val="FF0000"/>
                <w:sz w:val="18"/>
                <w:szCs w:val="18"/>
              </w:rPr>
              <w:t xml:space="preserve"> end of each financial year ‘Burley Griffin Agency’ assesses whether there are any ‘indicators’ that the carrying amount of their PPE is materially different to fair value.  Where these indicators exist</w:t>
            </w:r>
            <w:r w:rsidRPr="00152C5D">
              <w:rPr>
                <w:rFonts w:ascii="Calibri" w:hAnsi="Calibri" w:cs="Times New Roman"/>
                <w:b w:val="0"/>
                <w:smallCaps w:val="0"/>
                <w:strike/>
                <w:color w:val="FF0000"/>
                <w:sz w:val="18"/>
                <w:szCs w:val="18"/>
              </w:rPr>
              <w:t>then</w:t>
            </w:r>
            <w:r w:rsidRPr="00152C5D">
              <w:rPr>
                <w:rFonts w:ascii="Calibri" w:hAnsi="Calibri" w:cs="Times New Roman"/>
                <w:b w:val="0"/>
                <w:smallCaps w:val="0"/>
                <w:sz w:val="18"/>
                <w:szCs w:val="18"/>
              </w:rPr>
              <w:t xml:space="preserve"> the</w:t>
            </w:r>
            <w:r w:rsidRPr="00AD586B">
              <w:rPr>
                <w:rFonts w:ascii="Calibri" w:hAnsi="Calibri" w:cs="Times New Roman"/>
                <w:b w:val="0"/>
                <w:smallCaps w:val="0"/>
                <w:sz w:val="18"/>
                <w:szCs w:val="18"/>
              </w:rPr>
              <w:t xml:space="preserve"> asset will be revalued regardless of when the last valuation took place.</w:t>
            </w:r>
            <w:r w:rsidR="00FA7C77">
              <w:rPr>
                <w:rFonts w:ascii="Calibri" w:hAnsi="Calibri" w:cs="Times New Roman"/>
                <w:b w:val="0"/>
                <w:smallCaps w:val="0"/>
                <w:sz w:val="18"/>
                <w:szCs w:val="18"/>
              </w:rPr>
              <w:t xml:space="preserve"> </w:t>
            </w:r>
            <w:r w:rsidRPr="00AD586B">
              <w:rPr>
                <w:rFonts w:ascii="Calibri" w:hAnsi="Calibri" w:cs="Times New Roman"/>
                <w:b w:val="0"/>
                <w:smallCaps w:val="0"/>
                <w:sz w:val="18"/>
                <w:szCs w:val="18"/>
              </w:rPr>
              <w:t xml:space="preserve">Any accumulated depreciation relating to buildings, leasehold improvements </w:t>
            </w:r>
            <w:bookmarkStart w:id="631" w:name="_Hlk107566640"/>
            <w:r w:rsidRPr="00AD586B">
              <w:rPr>
                <w:rFonts w:ascii="Calibri" w:hAnsi="Calibri" w:cs="Times New Roman"/>
                <w:b w:val="0"/>
                <w:smallCaps w:val="0"/>
                <w:sz w:val="18"/>
                <w:szCs w:val="18"/>
              </w:rPr>
              <w:t xml:space="preserve">and </w:t>
            </w:r>
            <w:r w:rsidRPr="0050766A">
              <w:rPr>
                <w:rFonts w:ascii="Calibri" w:hAnsi="Calibri" w:cs="Times New Roman"/>
                <w:b w:val="0"/>
                <w:smallCaps w:val="0"/>
                <w:strike/>
                <w:color w:val="FF0000"/>
                <w:sz w:val="18"/>
                <w:szCs w:val="18"/>
              </w:rPr>
              <w:t>community and</w:t>
            </w:r>
            <w:r w:rsidRPr="00AD586B">
              <w:rPr>
                <w:rFonts w:ascii="Calibri" w:hAnsi="Calibri" w:cs="Times New Roman"/>
                <w:b w:val="0"/>
                <w:smallCaps w:val="0"/>
                <w:sz w:val="18"/>
                <w:szCs w:val="18"/>
              </w:rPr>
              <w:t xml:space="preserve"> heritage </w:t>
            </w:r>
            <w:r w:rsidR="0050766A" w:rsidRPr="0050766A">
              <w:rPr>
                <w:rFonts w:ascii="Calibri" w:hAnsi="Calibri" w:cs="Times New Roman"/>
                <w:b w:val="0"/>
                <w:smallCaps w:val="0"/>
                <w:color w:val="FF0000"/>
                <w:sz w:val="18"/>
                <w:szCs w:val="18"/>
              </w:rPr>
              <w:t>and community</w:t>
            </w:r>
            <w:r w:rsidR="0050766A" w:rsidRPr="00AD586B">
              <w:rPr>
                <w:rFonts w:ascii="Calibri" w:hAnsi="Calibri" w:cs="Times New Roman"/>
                <w:b w:val="0"/>
                <w:smallCaps w:val="0"/>
                <w:sz w:val="18"/>
                <w:szCs w:val="18"/>
              </w:rPr>
              <w:t xml:space="preserve"> </w:t>
            </w:r>
            <w:r w:rsidRPr="00AD586B">
              <w:rPr>
                <w:rFonts w:ascii="Calibri" w:hAnsi="Calibri" w:cs="Times New Roman"/>
                <w:b w:val="0"/>
                <w:smallCaps w:val="0"/>
                <w:sz w:val="18"/>
                <w:szCs w:val="18"/>
              </w:rPr>
              <w:t xml:space="preserve">assets </w:t>
            </w:r>
            <w:bookmarkEnd w:id="631"/>
            <w:r w:rsidRPr="00AD586B">
              <w:rPr>
                <w:rFonts w:ascii="Calibri" w:hAnsi="Calibri" w:cs="Times New Roman"/>
                <w:b w:val="0"/>
                <w:smallCaps w:val="0"/>
                <w:sz w:val="18"/>
                <w:szCs w:val="18"/>
              </w:rPr>
              <w:t>at the date of revaluation is written back against the gross carrying amount of the asset and the net amount is restated to the revalued amount of the asset.</w:t>
            </w:r>
            <w:r w:rsidR="00FA7C77">
              <w:rPr>
                <w:rFonts w:ascii="Calibri" w:hAnsi="Calibri" w:cs="Times New Roman"/>
                <w:b w:val="0"/>
                <w:smallCaps w:val="0"/>
                <w:sz w:val="18"/>
                <w:szCs w:val="18"/>
              </w:rPr>
              <w:t xml:space="preserve"> </w:t>
            </w:r>
          </w:p>
        </w:tc>
      </w:tr>
      <w:tr w:rsidR="005F7F2E" w:rsidRPr="00B91A27" w14:paraId="607DF27C" w14:textId="77777777" w:rsidTr="002B12D3">
        <w:trPr>
          <w:cantSplit/>
        </w:trPr>
        <w:tc>
          <w:tcPr>
            <w:tcW w:w="744" w:type="pct"/>
            <w:tcBorders>
              <w:top w:val="nil"/>
              <w:left w:val="single" w:sz="2" w:space="0" w:color="auto"/>
              <w:bottom w:val="nil"/>
              <w:right w:val="single" w:sz="2" w:space="0" w:color="auto"/>
            </w:tcBorders>
          </w:tcPr>
          <w:p w14:paraId="293DEB5E" w14:textId="678BA806" w:rsidR="005F7F2E" w:rsidRPr="00AD586B" w:rsidRDefault="005F7F2E" w:rsidP="005F7F2E">
            <w:pPr>
              <w:pStyle w:val="TableReference"/>
              <w:tabs>
                <w:tab w:val="left" w:pos="3306"/>
              </w:tabs>
              <w:spacing w:before="40"/>
              <w:rPr>
                <w:color w:val="7030A0"/>
                <w:sz w:val="14"/>
              </w:rPr>
            </w:pPr>
            <w:r w:rsidRPr="00AD586B">
              <w:rPr>
                <w:color w:val="7030A0"/>
                <w:sz w:val="14"/>
              </w:rPr>
              <w:t>AASB 116.35(a)</w:t>
            </w:r>
          </w:p>
        </w:tc>
        <w:tc>
          <w:tcPr>
            <w:tcW w:w="4256" w:type="pct"/>
            <w:gridSpan w:val="5"/>
            <w:tcBorders>
              <w:top w:val="nil"/>
              <w:left w:val="single" w:sz="2" w:space="0" w:color="auto"/>
              <w:bottom w:val="nil"/>
              <w:right w:val="nil"/>
            </w:tcBorders>
          </w:tcPr>
          <w:p w14:paraId="477B4E76" w14:textId="1ABA04C7" w:rsidR="005F7F2E" w:rsidRPr="00AD586B" w:rsidRDefault="005F7F2E" w:rsidP="005F7F2E">
            <w:pPr>
              <w:jc w:val="both"/>
              <w:rPr>
                <w:sz w:val="18"/>
                <w:szCs w:val="18"/>
              </w:rPr>
            </w:pPr>
            <w:r w:rsidRPr="00AD586B">
              <w:rPr>
                <w:sz w:val="18"/>
                <w:szCs w:val="18"/>
              </w:rPr>
              <w:t>Any accumulated depreciation relating to infrastructure assets is restated proportionally with the change in the gross carrying amount so that the net carrying amount of those assets after revaluation equals its revalued amount.</w:t>
            </w:r>
          </w:p>
        </w:tc>
      </w:tr>
      <w:tr w:rsidR="005F7F2E" w:rsidRPr="00B91A27" w14:paraId="18CFAABB" w14:textId="77777777" w:rsidTr="002B12D3">
        <w:trPr>
          <w:cantSplit/>
        </w:trPr>
        <w:tc>
          <w:tcPr>
            <w:tcW w:w="744" w:type="pct"/>
            <w:tcBorders>
              <w:top w:val="nil"/>
              <w:left w:val="single" w:sz="2" w:space="0" w:color="auto"/>
              <w:bottom w:val="nil"/>
              <w:right w:val="single" w:sz="2" w:space="0" w:color="auto"/>
            </w:tcBorders>
          </w:tcPr>
          <w:p w14:paraId="793EC520" w14:textId="77777777" w:rsidR="005F7F2E" w:rsidRPr="00AD586B" w:rsidRDefault="005F7F2E" w:rsidP="005F7F2E">
            <w:pPr>
              <w:pStyle w:val="TableReference"/>
              <w:tabs>
                <w:tab w:val="left" w:pos="3306"/>
              </w:tabs>
              <w:spacing w:before="120"/>
              <w:rPr>
                <w:color w:val="7030A0"/>
              </w:rPr>
            </w:pPr>
          </w:p>
        </w:tc>
        <w:tc>
          <w:tcPr>
            <w:tcW w:w="4256" w:type="pct"/>
            <w:gridSpan w:val="5"/>
            <w:tcBorders>
              <w:top w:val="nil"/>
              <w:left w:val="single" w:sz="2" w:space="0" w:color="auto"/>
              <w:bottom w:val="nil"/>
              <w:right w:val="nil"/>
            </w:tcBorders>
          </w:tcPr>
          <w:p w14:paraId="781D5841" w14:textId="16D25108" w:rsidR="005F7F2E" w:rsidRPr="00AD586B" w:rsidRDefault="005F7F2E" w:rsidP="00AF0CFC">
            <w:pPr>
              <w:spacing w:before="180"/>
              <w:rPr>
                <w:i/>
                <w:iCs/>
                <w:sz w:val="18"/>
                <w:szCs w:val="18"/>
              </w:rPr>
            </w:pPr>
            <w:r w:rsidRPr="00AD586B">
              <w:rPr>
                <w:i/>
                <w:iCs/>
                <w:sz w:val="18"/>
                <w:szCs w:val="18"/>
              </w:rPr>
              <w:t>Impairment of Assets</w:t>
            </w:r>
          </w:p>
        </w:tc>
      </w:tr>
      <w:tr w:rsidR="005F7F2E" w:rsidRPr="00B91A27" w14:paraId="6ABFCD6B" w14:textId="77777777" w:rsidTr="002B12D3">
        <w:trPr>
          <w:cantSplit/>
        </w:trPr>
        <w:tc>
          <w:tcPr>
            <w:tcW w:w="744" w:type="pct"/>
            <w:tcBorders>
              <w:top w:val="nil"/>
              <w:left w:val="single" w:sz="2" w:space="0" w:color="auto"/>
              <w:bottom w:val="nil"/>
              <w:right w:val="single" w:sz="2" w:space="0" w:color="auto"/>
            </w:tcBorders>
          </w:tcPr>
          <w:p w14:paraId="1878E365" w14:textId="32E7FBD1" w:rsidR="005F7F2E" w:rsidRPr="00AD586B" w:rsidRDefault="005F7F2E" w:rsidP="005F7F2E">
            <w:pPr>
              <w:pStyle w:val="TableReference"/>
              <w:tabs>
                <w:tab w:val="left" w:pos="3306"/>
              </w:tabs>
              <w:spacing w:before="40"/>
              <w:rPr>
                <w:color w:val="7030A0"/>
                <w:sz w:val="14"/>
              </w:rPr>
            </w:pPr>
            <w:r w:rsidRPr="00AD586B">
              <w:rPr>
                <w:color w:val="7030A0"/>
                <w:sz w:val="14"/>
              </w:rPr>
              <w:t>AASB 136.9 &amp; 10</w:t>
            </w:r>
          </w:p>
        </w:tc>
        <w:tc>
          <w:tcPr>
            <w:tcW w:w="4256" w:type="pct"/>
            <w:gridSpan w:val="5"/>
            <w:tcBorders>
              <w:top w:val="nil"/>
              <w:left w:val="single" w:sz="2" w:space="0" w:color="auto"/>
              <w:bottom w:val="nil"/>
              <w:right w:val="nil"/>
            </w:tcBorders>
          </w:tcPr>
          <w:p w14:paraId="70B855C8" w14:textId="4B4E80BB" w:rsidR="005F7F2E" w:rsidRPr="00AD586B" w:rsidRDefault="005F7F2E" w:rsidP="005F7F2E">
            <w:pPr>
              <w:spacing w:after="120"/>
              <w:jc w:val="both"/>
              <w:rPr>
                <w:rFonts w:cs="Calibri"/>
                <w:sz w:val="18"/>
                <w:szCs w:val="18"/>
              </w:rPr>
            </w:pPr>
            <w:r w:rsidRPr="00AD586B">
              <w:rPr>
                <w:rFonts w:cs="Calibri"/>
                <w:sz w:val="18"/>
                <w:szCs w:val="18"/>
              </w:rPr>
              <w:t>The Agency assesses, at each reporting date, whether there is any indication that property, plant and equipment may be impaired.</w:t>
            </w:r>
            <w:r w:rsidR="00FA7C77">
              <w:rPr>
                <w:rFonts w:cs="Calibri"/>
                <w:sz w:val="18"/>
                <w:szCs w:val="18"/>
              </w:rPr>
              <w:t xml:space="preserve"> </w:t>
            </w:r>
            <w:r w:rsidR="006E7FE9">
              <w:rPr>
                <w:rFonts w:cs="Calibri"/>
                <w:sz w:val="18"/>
                <w:szCs w:val="18"/>
              </w:rPr>
              <w:t>Property, Plant and Equipment</w:t>
            </w:r>
            <w:r w:rsidRPr="00AD586B">
              <w:rPr>
                <w:rFonts w:cs="Calibri"/>
                <w:sz w:val="18"/>
                <w:szCs w:val="18"/>
              </w:rPr>
              <w:t xml:space="preserve"> is also reviewed for impairment whenever events or changes in circumstances indicate that the carrying amount may not be recoverable.</w:t>
            </w:r>
            <w:r w:rsidR="00FA7C77">
              <w:rPr>
                <w:rFonts w:cs="Calibri"/>
                <w:sz w:val="18"/>
                <w:szCs w:val="18"/>
              </w:rPr>
              <w:t xml:space="preserve"> </w:t>
            </w:r>
          </w:p>
        </w:tc>
      </w:tr>
      <w:tr w:rsidR="005F7F2E" w:rsidRPr="00B91A27" w14:paraId="02CC4BF0" w14:textId="77777777" w:rsidTr="002B12D3">
        <w:trPr>
          <w:cantSplit/>
        </w:trPr>
        <w:tc>
          <w:tcPr>
            <w:tcW w:w="744" w:type="pct"/>
            <w:tcBorders>
              <w:top w:val="nil"/>
              <w:left w:val="single" w:sz="2" w:space="0" w:color="auto"/>
              <w:bottom w:val="nil"/>
              <w:right w:val="single" w:sz="2" w:space="0" w:color="auto"/>
            </w:tcBorders>
          </w:tcPr>
          <w:p w14:paraId="743B5482" w14:textId="2AB6A6DC" w:rsidR="005F7F2E" w:rsidRPr="00AD586B" w:rsidRDefault="005F7F2E" w:rsidP="005F7F2E">
            <w:pPr>
              <w:pStyle w:val="TableReference"/>
              <w:tabs>
                <w:tab w:val="left" w:pos="3306"/>
              </w:tabs>
              <w:spacing w:before="40"/>
              <w:rPr>
                <w:color w:val="7030A0"/>
                <w:sz w:val="14"/>
              </w:rPr>
            </w:pPr>
            <w:r w:rsidRPr="00AD586B">
              <w:rPr>
                <w:color w:val="7030A0"/>
                <w:sz w:val="14"/>
              </w:rPr>
              <w:t>AASB 136.9, 59 &amp; 60</w:t>
            </w:r>
          </w:p>
        </w:tc>
        <w:tc>
          <w:tcPr>
            <w:tcW w:w="4256" w:type="pct"/>
            <w:gridSpan w:val="5"/>
            <w:tcBorders>
              <w:top w:val="nil"/>
              <w:left w:val="single" w:sz="2" w:space="0" w:color="auto"/>
              <w:bottom w:val="nil"/>
              <w:right w:val="nil"/>
            </w:tcBorders>
          </w:tcPr>
          <w:p w14:paraId="2325F8F3" w14:textId="2E9D81FF" w:rsidR="005F7F2E" w:rsidRPr="00AD586B" w:rsidRDefault="005F7F2E" w:rsidP="005F7F2E">
            <w:pPr>
              <w:spacing w:after="120"/>
              <w:jc w:val="both"/>
              <w:rPr>
                <w:sz w:val="18"/>
                <w:szCs w:val="18"/>
              </w:rPr>
            </w:pPr>
            <w:r w:rsidRPr="00AD586B">
              <w:rPr>
                <w:sz w:val="18"/>
                <w:szCs w:val="18"/>
              </w:rPr>
              <w:t>Any resulting impairment losses, for land, buildings, infrastructure,</w:t>
            </w:r>
            <w:r w:rsidR="00AF0CFC" w:rsidRPr="00AD586B">
              <w:rPr>
                <w:sz w:val="18"/>
                <w:szCs w:val="18"/>
              </w:rPr>
              <w:t xml:space="preserve"> </w:t>
            </w:r>
            <w:r w:rsidRPr="00AD586B">
              <w:rPr>
                <w:sz w:val="18"/>
                <w:szCs w:val="18"/>
              </w:rPr>
              <w:t xml:space="preserve">and </w:t>
            </w:r>
            <w:r w:rsidRPr="0050766A">
              <w:rPr>
                <w:strike/>
                <w:color w:val="FF0000"/>
                <w:sz w:val="18"/>
                <w:szCs w:val="18"/>
              </w:rPr>
              <w:t>community and</w:t>
            </w:r>
            <w:r w:rsidRPr="00AD586B">
              <w:rPr>
                <w:sz w:val="18"/>
                <w:szCs w:val="18"/>
              </w:rPr>
              <w:t xml:space="preserve"> heritage </w:t>
            </w:r>
            <w:r w:rsidR="0050766A" w:rsidRPr="0050766A">
              <w:rPr>
                <w:color w:val="FF0000"/>
                <w:sz w:val="18"/>
                <w:szCs w:val="18"/>
              </w:rPr>
              <w:t>and community</w:t>
            </w:r>
            <w:r w:rsidR="0050766A" w:rsidRPr="00AD586B">
              <w:rPr>
                <w:b/>
                <w:smallCaps/>
                <w:sz w:val="18"/>
                <w:szCs w:val="18"/>
              </w:rPr>
              <w:t xml:space="preserve"> </w:t>
            </w:r>
            <w:r w:rsidRPr="00AD586B">
              <w:rPr>
                <w:sz w:val="18"/>
                <w:szCs w:val="18"/>
              </w:rPr>
              <w:t>assets, are recognised as a decrease in the Asset Revaluation Surplus relating to these classes of assets.</w:t>
            </w:r>
            <w:r w:rsidR="00FA7C77">
              <w:rPr>
                <w:sz w:val="18"/>
                <w:szCs w:val="18"/>
              </w:rPr>
              <w:t xml:space="preserve"> </w:t>
            </w:r>
            <w:r w:rsidRPr="00AD586B">
              <w:rPr>
                <w:sz w:val="18"/>
                <w:szCs w:val="18"/>
              </w:rPr>
              <w:t>This is because these asset classes are measured at fair value and have an Asset Revaluation Surplus attached to them. Where the impairment loss is greater than the balance in the Asset Revaluation Surplus for the relevant class of asset, the difference is expensed in the Operating Statement.</w:t>
            </w:r>
          </w:p>
        </w:tc>
      </w:tr>
      <w:tr w:rsidR="005F7F2E" w:rsidRPr="00B91A27" w14:paraId="5726A898" w14:textId="77777777" w:rsidTr="002B12D3">
        <w:trPr>
          <w:cantSplit/>
        </w:trPr>
        <w:tc>
          <w:tcPr>
            <w:tcW w:w="744" w:type="pct"/>
            <w:tcBorders>
              <w:top w:val="nil"/>
              <w:left w:val="single" w:sz="2" w:space="0" w:color="auto"/>
              <w:bottom w:val="nil"/>
              <w:right w:val="single" w:sz="2" w:space="0" w:color="auto"/>
            </w:tcBorders>
          </w:tcPr>
          <w:p w14:paraId="4FB6FBB4" w14:textId="77777777" w:rsidR="005F7F2E" w:rsidRPr="00AD586B" w:rsidRDefault="005F7F2E" w:rsidP="005F7F2E">
            <w:pPr>
              <w:pStyle w:val="TableReference"/>
              <w:tabs>
                <w:tab w:val="left" w:pos="3306"/>
              </w:tabs>
              <w:spacing w:before="40"/>
              <w:rPr>
                <w:color w:val="7030A0"/>
              </w:rPr>
            </w:pPr>
          </w:p>
        </w:tc>
        <w:tc>
          <w:tcPr>
            <w:tcW w:w="4256" w:type="pct"/>
            <w:gridSpan w:val="5"/>
            <w:tcBorders>
              <w:top w:val="nil"/>
              <w:left w:val="single" w:sz="2" w:space="0" w:color="auto"/>
              <w:bottom w:val="nil"/>
              <w:right w:val="nil"/>
            </w:tcBorders>
          </w:tcPr>
          <w:p w14:paraId="3D8C3D3D" w14:textId="64BA0287" w:rsidR="005F7F2E" w:rsidRPr="00AD586B" w:rsidRDefault="005F7F2E" w:rsidP="005F7F2E">
            <w:pPr>
              <w:spacing w:after="120"/>
              <w:jc w:val="both"/>
              <w:rPr>
                <w:sz w:val="18"/>
                <w:szCs w:val="18"/>
              </w:rPr>
            </w:pPr>
            <w:r w:rsidRPr="00AD586B">
              <w:rPr>
                <w:sz w:val="18"/>
                <w:szCs w:val="18"/>
              </w:rPr>
              <w:t xml:space="preserve">Impairment losses for plant and equipment, and leasehold improvements are recognised in the Operating Statement (see Note 14 </w:t>
            </w:r>
            <w:r w:rsidRPr="006E7FE9">
              <w:rPr>
                <w:i/>
                <w:iCs/>
                <w:sz w:val="18"/>
                <w:szCs w:val="18"/>
              </w:rPr>
              <w:t>Other Expenses</w:t>
            </w:r>
            <w:r w:rsidRPr="00AD586B">
              <w:rPr>
                <w:sz w:val="18"/>
                <w:szCs w:val="18"/>
              </w:rPr>
              <w:t xml:space="preserve">), as plant and equipment is carried at cost, and leasehold improvements are carried at fair value but do not have an Asset Revaluation Surplus attached to them. The carrying amount of the asset is reduced to its recoverable amount. </w:t>
            </w:r>
          </w:p>
          <w:p w14:paraId="39E31197" w14:textId="61A15FEC" w:rsidR="005F7F2E" w:rsidRPr="00AD586B" w:rsidRDefault="005F7F2E" w:rsidP="005F7F2E">
            <w:pPr>
              <w:jc w:val="both"/>
              <w:rPr>
                <w:rFonts w:cs="Calibri"/>
                <w:sz w:val="18"/>
                <w:szCs w:val="18"/>
              </w:rPr>
            </w:pPr>
            <w:r w:rsidRPr="00AD586B">
              <w:rPr>
                <w:rFonts w:cs="Calibri"/>
                <w:sz w:val="18"/>
                <w:szCs w:val="18"/>
              </w:rPr>
              <w:t>Non-financial assets that have previously been impaired are reviewed for possible reversal of impairment at each reporting date.</w:t>
            </w:r>
          </w:p>
        </w:tc>
      </w:tr>
      <w:tr w:rsidR="00261E77" w:rsidRPr="00B91A27" w14:paraId="7C9E1C6F" w14:textId="77777777" w:rsidTr="002B12D3">
        <w:trPr>
          <w:cantSplit/>
        </w:trPr>
        <w:tc>
          <w:tcPr>
            <w:tcW w:w="744" w:type="pct"/>
            <w:tcBorders>
              <w:top w:val="nil"/>
              <w:left w:val="single" w:sz="2" w:space="0" w:color="auto"/>
              <w:bottom w:val="nil"/>
              <w:right w:val="single" w:sz="2" w:space="0" w:color="auto"/>
            </w:tcBorders>
          </w:tcPr>
          <w:p w14:paraId="029418F1" w14:textId="77777777" w:rsidR="00261E77" w:rsidRPr="00AD586B" w:rsidRDefault="00261E77" w:rsidP="00261E77">
            <w:pPr>
              <w:pStyle w:val="TableReference"/>
              <w:tabs>
                <w:tab w:val="left" w:pos="3306"/>
              </w:tabs>
              <w:spacing w:before="40"/>
              <w:rPr>
                <w:color w:val="7030A0"/>
              </w:rPr>
            </w:pPr>
          </w:p>
        </w:tc>
        <w:tc>
          <w:tcPr>
            <w:tcW w:w="4256" w:type="pct"/>
            <w:gridSpan w:val="5"/>
            <w:tcBorders>
              <w:top w:val="nil"/>
              <w:left w:val="single" w:sz="2" w:space="0" w:color="auto"/>
              <w:bottom w:val="nil"/>
              <w:right w:val="nil"/>
            </w:tcBorders>
          </w:tcPr>
          <w:p w14:paraId="068D7A6B" w14:textId="3FDE48D1" w:rsidR="00261E77" w:rsidRPr="00AD586B" w:rsidRDefault="00261E77" w:rsidP="00AF0CFC">
            <w:pPr>
              <w:spacing w:before="180"/>
              <w:jc w:val="both"/>
              <w:rPr>
                <w:i/>
                <w:iCs/>
                <w:sz w:val="18"/>
                <w:szCs w:val="18"/>
              </w:rPr>
            </w:pPr>
            <w:r w:rsidRPr="00AD586B">
              <w:rPr>
                <w:i/>
                <w:iCs/>
                <w:sz w:val="18"/>
                <w:szCs w:val="18"/>
              </w:rPr>
              <w:t>Depreciation and Useful Life</w:t>
            </w:r>
          </w:p>
        </w:tc>
      </w:tr>
      <w:tr w:rsidR="00261E77" w:rsidRPr="00C40298" w14:paraId="10B002DA" w14:textId="77777777" w:rsidTr="002B12D3">
        <w:trPr>
          <w:cantSplit/>
          <w:trHeight w:val="23"/>
        </w:trPr>
        <w:tc>
          <w:tcPr>
            <w:tcW w:w="744" w:type="pct"/>
            <w:tcBorders>
              <w:top w:val="nil"/>
              <w:left w:val="single" w:sz="2" w:space="0" w:color="auto"/>
              <w:bottom w:val="nil"/>
              <w:right w:val="single" w:sz="2" w:space="0" w:color="auto"/>
            </w:tcBorders>
          </w:tcPr>
          <w:p w14:paraId="05618671" w14:textId="03134C3C" w:rsidR="00261E77" w:rsidRPr="00AD586B" w:rsidRDefault="00261E77" w:rsidP="00261E77">
            <w:pPr>
              <w:pStyle w:val="Reference"/>
              <w:spacing w:before="80"/>
              <w:rPr>
                <w:color w:val="7030A0"/>
                <w:sz w:val="14"/>
                <w:szCs w:val="14"/>
              </w:rPr>
            </w:pPr>
            <w:r w:rsidRPr="00AD586B">
              <w:rPr>
                <w:rFonts w:cs="Calibri"/>
                <w:color w:val="7030A0"/>
                <w:sz w:val="14"/>
              </w:rPr>
              <w:t>AASB 116.6</w:t>
            </w:r>
          </w:p>
        </w:tc>
        <w:tc>
          <w:tcPr>
            <w:tcW w:w="4256" w:type="pct"/>
            <w:gridSpan w:val="5"/>
            <w:tcBorders>
              <w:top w:val="nil"/>
              <w:left w:val="single" w:sz="2" w:space="0" w:color="auto"/>
              <w:bottom w:val="nil"/>
              <w:right w:val="nil"/>
            </w:tcBorders>
          </w:tcPr>
          <w:p w14:paraId="096F5F84" w14:textId="166048EE" w:rsidR="00261E77" w:rsidRPr="00AD586B" w:rsidRDefault="00261E77" w:rsidP="000D72C3">
            <w:pPr>
              <w:spacing w:before="40"/>
              <w:jc w:val="both"/>
              <w:rPr>
                <w:sz w:val="18"/>
                <w:szCs w:val="18"/>
              </w:rPr>
            </w:pPr>
            <w:r w:rsidRPr="00AD586B">
              <w:rPr>
                <w:sz w:val="18"/>
                <w:szCs w:val="18"/>
              </w:rPr>
              <w:t xml:space="preserve">Depreciation is the systematic allocation of the cost of an asset less its residual value over its useful life. </w:t>
            </w:r>
          </w:p>
        </w:tc>
      </w:tr>
      <w:tr w:rsidR="00261E77" w:rsidRPr="00C40298" w14:paraId="621A3421" w14:textId="77777777" w:rsidTr="002B12D3">
        <w:trPr>
          <w:cantSplit/>
          <w:trHeight w:val="23"/>
        </w:trPr>
        <w:tc>
          <w:tcPr>
            <w:tcW w:w="744" w:type="pct"/>
            <w:tcBorders>
              <w:top w:val="nil"/>
              <w:left w:val="single" w:sz="2" w:space="0" w:color="auto"/>
              <w:bottom w:val="nil"/>
              <w:right w:val="single" w:sz="2" w:space="0" w:color="auto"/>
            </w:tcBorders>
          </w:tcPr>
          <w:p w14:paraId="46986E9C" w14:textId="77777777" w:rsidR="00261E77" w:rsidRPr="00AD586B" w:rsidRDefault="00261E77" w:rsidP="00261E77">
            <w:pPr>
              <w:pStyle w:val="Reference"/>
              <w:spacing w:before="80"/>
              <w:rPr>
                <w:rFonts w:cs="Calibri"/>
                <w:color w:val="7030A0"/>
                <w:sz w:val="14"/>
                <w:szCs w:val="14"/>
              </w:rPr>
            </w:pPr>
            <w:r w:rsidRPr="00AD586B">
              <w:rPr>
                <w:color w:val="7030A0"/>
                <w:sz w:val="14"/>
                <w:szCs w:val="14"/>
              </w:rPr>
              <w:t>AASB 116.43 &amp; 50</w:t>
            </w:r>
          </w:p>
        </w:tc>
        <w:tc>
          <w:tcPr>
            <w:tcW w:w="4256" w:type="pct"/>
            <w:gridSpan w:val="5"/>
            <w:tcBorders>
              <w:top w:val="nil"/>
              <w:left w:val="single" w:sz="2" w:space="0" w:color="auto"/>
              <w:bottom w:val="nil"/>
              <w:right w:val="nil"/>
            </w:tcBorders>
          </w:tcPr>
          <w:p w14:paraId="60D83947" w14:textId="54793558" w:rsidR="00261E77" w:rsidRPr="00AD586B" w:rsidRDefault="00261E77" w:rsidP="000D72C3">
            <w:pPr>
              <w:spacing w:before="60" w:after="120"/>
              <w:jc w:val="both"/>
              <w:rPr>
                <w:sz w:val="18"/>
                <w:szCs w:val="18"/>
              </w:rPr>
            </w:pPr>
            <w:r w:rsidRPr="00AD586B">
              <w:rPr>
                <w:sz w:val="18"/>
                <w:szCs w:val="18"/>
              </w:rPr>
              <w:t>Depreciation is applied to physical assets such as buildings, infrastructure assets, and plant and equipment.</w:t>
            </w:r>
            <w:r w:rsidR="00FA7C77">
              <w:rPr>
                <w:sz w:val="18"/>
                <w:szCs w:val="18"/>
              </w:rPr>
              <w:t xml:space="preserve"> </w:t>
            </w:r>
          </w:p>
        </w:tc>
      </w:tr>
      <w:tr w:rsidR="00261E77" w:rsidRPr="00C40298" w14:paraId="4DBB0CD2" w14:textId="77777777" w:rsidTr="002B12D3">
        <w:trPr>
          <w:cantSplit/>
          <w:trHeight w:val="23"/>
        </w:trPr>
        <w:tc>
          <w:tcPr>
            <w:tcW w:w="744" w:type="pct"/>
            <w:tcBorders>
              <w:top w:val="nil"/>
              <w:left w:val="single" w:sz="2" w:space="0" w:color="auto"/>
              <w:bottom w:val="nil"/>
              <w:right w:val="single" w:sz="2" w:space="0" w:color="auto"/>
            </w:tcBorders>
          </w:tcPr>
          <w:p w14:paraId="224EBFF0" w14:textId="77777777" w:rsidR="00261E77" w:rsidRPr="00AD586B" w:rsidRDefault="00261E77" w:rsidP="00261E77">
            <w:pPr>
              <w:pStyle w:val="Reference"/>
              <w:rPr>
                <w:rFonts w:cs="Calibri"/>
                <w:color w:val="7030A0"/>
                <w:sz w:val="14"/>
                <w:szCs w:val="14"/>
              </w:rPr>
            </w:pPr>
          </w:p>
        </w:tc>
        <w:tc>
          <w:tcPr>
            <w:tcW w:w="4256" w:type="pct"/>
            <w:gridSpan w:val="5"/>
            <w:tcBorders>
              <w:top w:val="nil"/>
              <w:left w:val="single" w:sz="2" w:space="0" w:color="auto"/>
              <w:bottom w:val="nil"/>
              <w:right w:val="nil"/>
            </w:tcBorders>
            <w:vAlign w:val="bottom"/>
          </w:tcPr>
          <w:p w14:paraId="42262DE2" w14:textId="2B0BC21A" w:rsidR="00261E77" w:rsidRPr="00AD586B" w:rsidRDefault="00261E77" w:rsidP="00AD586B">
            <w:pPr>
              <w:spacing w:after="120"/>
              <w:jc w:val="both"/>
              <w:rPr>
                <w:sz w:val="18"/>
                <w:szCs w:val="18"/>
              </w:rPr>
            </w:pPr>
            <w:r w:rsidRPr="00AD586B">
              <w:rPr>
                <w:sz w:val="18"/>
                <w:szCs w:val="18"/>
              </w:rPr>
              <w:t xml:space="preserve">Land, and some </w:t>
            </w:r>
            <w:r w:rsidRPr="0050766A">
              <w:rPr>
                <w:strike/>
                <w:color w:val="FF0000"/>
                <w:sz w:val="18"/>
                <w:szCs w:val="18"/>
              </w:rPr>
              <w:t>community and</w:t>
            </w:r>
            <w:r w:rsidRPr="00AD586B">
              <w:rPr>
                <w:sz w:val="18"/>
                <w:szCs w:val="18"/>
              </w:rPr>
              <w:t xml:space="preserve"> heritage </w:t>
            </w:r>
            <w:r w:rsidR="0050766A" w:rsidRPr="0050766A">
              <w:rPr>
                <w:color w:val="FF0000"/>
                <w:sz w:val="18"/>
                <w:szCs w:val="18"/>
              </w:rPr>
              <w:t>and community</w:t>
            </w:r>
            <w:r w:rsidR="0050766A" w:rsidRPr="00AD586B">
              <w:rPr>
                <w:b/>
                <w:smallCaps/>
                <w:sz w:val="18"/>
                <w:szCs w:val="18"/>
              </w:rPr>
              <w:t xml:space="preserve"> </w:t>
            </w:r>
            <w:r w:rsidRPr="00AD586B">
              <w:rPr>
                <w:sz w:val="18"/>
                <w:szCs w:val="18"/>
              </w:rPr>
              <w:t>assets have an unlimited useful life and are therefore not depreciated.</w:t>
            </w:r>
          </w:p>
        </w:tc>
      </w:tr>
      <w:tr w:rsidR="00261E77" w:rsidRPr="00C40298" w14:paraId="0D4E9D29" w14:textId="77777777" w:rsidTr="002B12D3">
        <w:trPr>
          <w:cantSplit/>
          <w:trHeight w:val="23"/>
        </w:trPr>
        <w:tc>
          <w:tcPr>
            <w:tcW w:w="744" w:type="pct"/>
            <w:tcBorders>
              <w:top w:val="nil"/>
              <w:left w:val="single" w:sz="2" w:space="0" w:color="auto"/>
              <w:bottom w:val="nil"/>
              <w:right w:val="single" w:sz="2" w:space="0" w:color="auto"/>
            </w:tcBorders>
          </w:tcPr>
          <w:p w14:paraId="1BE7A657" w14:textId="77777777" w:rsidR="00261E77" w:rsidRPr="00AD586B" w:rsidRDefault="00261E77" w:rsidP="00261E77">
            <w:pPr>
              <w:pStyle w:val="Reference"/>
              <w:rPr>
                <w:rFonts w:cs="Calibri"/>
                <w:color w:val="7030A0"/>
                <w:sz w:val="14"/>
                <w:szCs w:val="14"/>
              </w:rPr>
            </w:pPr>
          </w:p>
        </w:tc>
        <w:tc>
          <w:tcPr>
            <w:tcW w:w="4256" w:type="pct"/>
            <w:gridSpan w:val="5"/>
            <w:tcBorders>
              <w:top w:val="nil"/>
              <w:left w:val="single" w:sz="2" w:space="0" w:color="auto"/>
              <w:bottom w:val="nil"/>
              <w:right w:val="nil"/>
            </w:tcBorders>
            <w:vAlign w:val="bottom"/>
          </w:tcPr>
          <w:p w14:paraId="20E5071D" w14:textId="6E3BD732" w:rsidR="00261E77" w:rsidRPr="00AD586B" w:rsidRDefault="00261E77" w:rsidP="00AD586B">
            <w:pPr>
              <w:spacing w:after="120"/>
              <w:jc w:val="both"/>
              <w:rPr>
                <w:sz w:val="18"/>
                <w:szCs w:val="18"/>
              </w:rPr>
            </w:pPr>
            <w:r w:rsidRPr="00AD586B">
              <w:rPr>
                <w:sz w:val="18"/>
                <w:szCs w:val="18"/>
              </w:rPr>
              <w:t xml:space="preserve">Right-of-use buildings, </w:t>
            </w:r>
            <w:r w:rsidRPr="00AF0CFC">
              <w:rPr>
                <w:strike/>
                <w:color w:val="FF0000"/>
                <w:sz w:val="18"/>
                <w:szCs w:val="18"/>
              </w:rPr>
              <w:t>leasehold improvements,</w:t>
            </w:r>
            <w:r w:rsidRPr="00AF0CFC">
              <w:rPr>
                <w:color w:val="FF0000"/>
                <w:sz w:val="18"/>
                <w:szCs w:val="18"/>
              </w:rPr>
              <w:t xml:space="preserve"> </w:t>
            </w:r>
            <w:r w:rsidRPr="00AD586B">
              <w:rPr>
                <w:sz w:val="18"/>
                <w:szCs w:val="18"/>
              </w:rPr>
              <w:t xml:space="preserve">plant and equipment, and infrastructure assets </w:t>
            </w:r>
            <w:r w:rsidR="00AF0CFC" w:rsidRPr="00D64A86">
              <w:rPr>
                <w:color w:val="FF0000"/>
                <w:sz w:val="18"/>
                <w:szCs w:val="18"/>
              </w:rPr>
              <w:t xml:space="preserve">as well as </w:t>
            </w:r>
            <w:r w:rsidR="00AF0CFC" w:rsidRPr="00AF0CFC">
              <w:rPr>
                <w:color w:val="FF0000"/>
                <w:sz w:val="18"/>
                <w:szCs w:val="18"/>
              </w:rPr>
              <w:t>leasehold improvements</w:t>
            </w:r>
            <w:r w:rsidR="00AF0CFC">
              <w:rPr>
                <w:sz w:val="18"/>
                <w:szCs w:val="18"/>
              </w:rPr>
              <w:t xml:space="preserve"> </w:t>
            </w:r>
            <w:r w:rsidRPr="00AD586B">
              <w:rPr>
                <w:sz w:val="18"/>
                <w:szCs w:val="18"/>
              </w:rPr>
              <w:t>are depreciated over the estimated useful life of each asset, or the unexpired period of the relevant lease, whichever is shorter.</w:t>
            </w:r>
          </w:p>
        </w:tc>
      </w:tr>
      <w:tr w:rsidR="00261E77" w:rsidRPr="00C40298" w14:paraId="289B374A" w14:textId="77777777" w:rsidTr="002B12D3">
        <w:trPr>
          <w:cantSplit/>
          <w:trHeight w:val="23"/>
        </w:trPr>
        <w:tc>
          <w:tcPr>
            <w:tcW w:w="744" w:type="pct"/>
            <w:tcBorders>
              <w:top w:val="nil"/>
              <w:left w:val="single" w:sz="2" w:space="0" w:color="auto"/>
              <w:bottom w:val="nil"/>
              <w:right w:val="single" w:sz="2" w:space="0" w:color="auto"/>
            </w:tcBorders>
          </w:tcPr>
          <w:p w14:paraId="1BEFD529" w14:textId="77777777" w:rsidR="00261E77" w:rsidRPr="00AD586B" w:rsidRDefault="00261E77" w:rsidP="00261E77">
            <w:pPr>
              <w:pStyle w:val="Reference"/>
              <w:spacing w:before="40"/>
              <w:rPr>
                <w:color w:val="7030A0"/>
                <w:sz w:val="14"/>
                <w:szCs w:val="14"/>
              </w:rPr>
            </w:pPr>
            <w:r w:rsidRPr="00AD586B">
              <w:rPr>
                <w:color w:val="7030A0"/>
                <w:sz w:val="14"/>
                <w:szCs w:val="14"/>
              </w:rPr>
              <w:t>AASB 116.53</w:t>
            </w:r>
          </w:p>
        </w:tc>
        <w:tc>
          <w:tcPr>
            <w:tcW w:w="4256" w:type="pct"/>
            <w:gridSpan w:val="5"/>
            <w:tcBorders>
              <w:top w:val="nil"/>
              <w:left w:val="single" w:sz="2" w:space="0" w:color="auto"/>
              <w:bottom w:val="nil"/>
              <w:right w:val="nil"/>
            </w:tcBorders>
            <w:vAlign w:val="bottom"/>
          </w:tcPr>
          <w:p w14:paraId="5AD14043" w14:textId="77777777" w:rsidR="00261E77" w:rsidRPr="00AD586B" w:rsidRDefault="00261E77" w:rsidP="000D72C3">
            <w:pPr>
              <w:jc w:val="both"/>
              <w:rPr>
                <w:sz w:val="18"/>
                <w:szCs w:val="18"/>
              </w:rPr>
            </w:pPr>
            <w:r w:rsidRPr="00AD586B">
              <w:rPr>
                <w:sz w:val="18"/>
                <w:szCs w:val="18"/>
              </w:rPr>
              <w:t>All depreciation is calculated after first deducting any residual values, which remain for each asset.</w:t>
            </w:r>
          </w:p>
        </w:tc>
      </w:tr>
      <w:tr w:rsidR="002B12D3" w:rsidRPr="00B91A27" w14:paraId="4B3A3659" w14:textId="77777777" w:rsidTr="00BA0A51">
        <w:trPr>
          <w:cantSplit/>
        </w:trPr>
        <w:tc>
          <w:tcPr>
            <w:tcW w:w="744" w:type="pct"/>
            <w:tcBorders>
              <w:top w:val="nil"/>
              <w:left w:val="single" w:sz="2" w:space="0" w:color="auto"/>
              <w:bottom w:val="nil"/>
              <w:right w:val="single" w:sz="2" w:space="0" w:color="auto"/>
            </w:tcBorders>
          </w:tcPr>
          <w:p w14:paraId="203CE7EE" w14:textId="77777777" w:rsidR="002B12D3" w:rsidRPr="00AD586B" w:rsidRDefault="002B12D3" w:rsidP="00BA0A51">
            <w:pPr>
              <w:pStyle w:val="TableReference"/>
              <w:tabs>
                <w:tab w:val="left" w:pos="3306"/>
              </w:tabs>
              <w:spacing w:before="240" w:after="240"/>
              <w:rPr>
                <w:color w:val="7030A0"/>
              </w:rPr>
            </w:pPr>
            <w:r>
              <w:br w:type="page"/>
            </w:r>
            <w:r w:rsidRPr="00AD586B">
              <w:rPr>
                <w:rFonts w:cs="Calibri"/>
                <w:color w:val="7030A0"/>
              </w:rPr>
              <w:br w:type="page"/>
            </w:r>
            <w:r w:rsidRPr="00AD586B">
              <w:rPr>
                <w:rFonts w:cs="Calibri"/>
                <w:b/>
                <w:color w:val="7030A0"/>
                <w:sz w:val="22"/>
                <w:szCs w:val="22"/>
              </w:rPr>
              <w:t>Reference</w:t>
            </w:r>
          </w:p>
        </w:tc>
        <w:tc>
          <w:tcPr>
            <w:tcW w:w="4256" w:type="pct"/>
            <w:gridSpan w:val="5"/>
            <w:tcBorders>
              <w:top w:val="nil"/>
              <w:left w:val="single" w:sz="2" w:space="0" w:color="auto"/>
              <w:bottom w:val="nil"/>
              <w:right w:val="nil"/>
            </w:tcBorders>
          </w:tcPr>
          <w:p w14:paraId="5B9A584C" w14:textId="77777777" w:rsidR="002B12D3" w:rsidRPr="00664759" w:rsidRDefault="002B12D3" w:rsidP="00BA0A51">
            <w:pPr>
              <w:spacing w:before="240" w:after="240"/>
              <w:rPr>
                <w:i/>
                <w:iCs/>
                <w:color w:val="538135" w:themeColor="accent6" w:themeShade="BF"/>
                <w:sz w:val="18"/>
                <w:szCs w:val="18"/>
              </w:rPr>
            </w:pPr>
            <w:r w:rsidRPr="00FB3AD2">
              <w:rPr>
                <w:rFonts w:ascii="Arial Bold" w:hAnsi="Arial Bold" w:cs="Arial"/>
                <w:b/>
                <w:caps/>
                <w:sz w:val="32"/>
                <w:szCs w:val="32"/>
              </w:rPr>
              <w:t>Note 19.</w:t>
            </w:r>
            <w:r>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261E77" w:rsidRPr="00996A29" w14:paraId="1866C435" w14:textId="77777777" w:rsidTr="002B12D3">
        <w:trPr>
          <w:cantSplit/>
          <w:trHeight w:val="23"/>
        </w:trPr>
        <w:tc>
          <w:tcPr>
            <w:tcW w:w="744" w:type="pct"/>
            <w:tcBorders>
              <w:top w:val="nil"/>
              <w:left w:val="single" w:sz="2" w:space="0" w:color="auto"/>
              <w:bottom w:val="nil"/>
              <w:right w:val="single" w:sz="2" w:space="0" w:color="auto"/>
            </w:tcBorders>
          </w:tcPr>
          <w:p w14:paraId="65A4C967" w14:textId="77777777" w:rsidR="00261E77" w:rsidRPr="00AD586B" w:rsidRDefault="00261E77" w:rsidP="00261E77">
            <w:pPr>
              <w:pStyle w:val="Reference"/>
              <w:rPr>
                <w:rFonts w:cs="Calibri"/>
                <w:color w:val="7030A0"/>
                <w:sz w:val="14"/>
                <w:szCs w:val="14"/>
              </w:rPr>
            </w:pPr>
          </w:p>
        </w:tc>
        <w:tc>
          <w:tcPr>
            <w:tcW w:w="4256" w:type="pct"/>
            <w:gridSpan w:val="5"/>
            <w:tcBorders>
              <w:top w:val="nil"/>
              <w:left w:val="single" w:sz="2" w:space="0" w:color="auto"/>
              <w:bottom w:val="nil"/>
              <w:right w:val="nil"/>
            </w:tcBorders>
            <w:vAlign w:val="bottom"/>
          </w:tcPr>
          <w:p w14:paraId="7DCF651B" w14:textId="5BFBCADA" w:rsidR="00261E77" w:rsidRPr="00AD586B" w:rsidRDefault="00261E77" w:rsidP="00261E77">
            <w:pPr>
              <w:spacing w:after="60"/>
              <w:jc w:val="both"/>
              <w:rPr>
                <w:sz w:val="18"/>
                <w:szCs w:val="18"/>
              </w:rPr>
            </w:pPr>
            <w:r w:rsidRPr="00AD586B">
              <w:rPr>
                <w:sz w:val="18"/>
                <w:szCs w:val="18"/>
              </w:rPr>
              <w:t>Depreciation for non-current assets is determined as follows:</w:t>
            </w:r>
          </w:p>
        </w:tc>
      </w:tr>
      <w:tr w:rsidR="00A55DFC" w:rsidRPr="00C40298" w14:paraId="4F4B132B" w14:textId="77777777" w:rsidTr="00B7321C">
        <w:trPr>
          <w:cantSplit/>
          <w:trHeight w:val="204"/>
        </w:trPr>
        <w:tc>
          <w:tcPr>
            <w:tcW w:w="744" w:type="pct"/>
            <w:vMerge w:val="restart"/>
            <w:tcBorders>
              <w:top w:val="nil"/>
              <w:left w:val="single" w:sz="2" w:space="0" w:color="auto"/>
              <w:right w:val="single" w:sz="2" w:space="0" w:color="auto"/>
            </w:tcBorders>
          </w:tcPr>
          <w:p w14:paraId="11390FD3" w14:textId="77777777" w:rsidR="00A55DFC" w:rsidRPr="00152C5D" w:rsidRDefault="00A55DFC" w:rsidP="00A55DFC">
            <w:pPr>
              <w:pStyle w:val="Reference"/>
              <w:rPr>
                <w:b w:val="0"/>
                <w:bCs w:val="0"/>
                <w:color w:val="538135" w:themeColor="accent6" w:themeShade="BF"/>
                <w:sz w:val="14"/>
                <w:szCs w:val="14"/>
              </w:rPr>
            </w:pPr>
            <w:r w:rsidRPr="00152C5D">
              <w:rPr>
                <w:b w:val="0"/>
                <w:bCs w:val="0"/>
                <w:color w:val="538135" w:themeColor="accent6" w:themeShade="BF"/>
                <w:sz w:val="14"/>
                <w:szCs w:val="14"/>
              </w:rPr>
              <w:t xml:space="preserve">AASB 116.73(b) &amp; (c), </w:t>
            </w:r>
          </w:p>
          <w:p w14:paraId="3981E16C" w14:textId="5520D46A" w:rsidR="00A55DFC" w:rsidRPr="00AD586B" w:rsidRDefault="00A55DFC" w:rsidP="00A55DFC">
            <w:pPr>
              <w:pStyle w:val="Reference"/>
              <w:spacing w:after="120"/>
              <w:rPr>
                <w:rFonts w:cs="Calibri"/>
                <w:color w:val="7030A0"/>
                <w:sz w:val="14"/>
                <w:szCs w:val="14"/>
              </w:rPr>
            </w:pPr>
            <w:r w:rsidRPr="00152C5D">
              <w:rPr>
                <w:b w:val="0"/>
                <w:bCs w:val="0"/>
                <w:color w:val="538135" w:themeColor="accent6" w:themeShade="BF"/>
                <w:sz w:val="14"/>
                <w:szCs w:val="14"/>
              </w:rPr>
              <w:t>AASB 116.51</w:t>
            </w:r>
          </w:p>
        </w:tc>
        <w:tc>
          <w:tcPr>
            <w:tcW w:w="1822" w:type="pct"/>
            <w:tcBorders>
              <w:top w:val="nil"/>
              <w:left w:val="single" w:sz="2" w:space="0" w:color="auto"/>
              <w:bottom w:val="nil"/>
              <w:right w:val="nil"/>
            </w:tcBorders>
          </w:tcPr>
          <w:p w14:paraId="46B1C09B" w14:textId="77777777" w:rsidR="00A55DFC" w:rsidRPr="00AD586B" w:rsidRDefault="00A55DFC" w:rsidP="00261E77">
            <w:pPr>
              <w:rPr>
                <w:b/>
                <w:bCs/>
                <w:sz w:val="18"/>
                <w:szCs w:val="18"/>
              </w:rPr>
            </w:pPr>
            <w:r w:rsidRPr="00AD586B">
              <w:rPr>
                <w:b/>
                <w:bCs/>
                <w:sz w:val="18"/>
                <w:szCs w:val="18"/>
              </w:rPr>
              <w:t>Class of Asset</w:t>
            </w:r>
          </w:p>
        </w:tc>
        <w:tc>
          <w:tcPr>
            <w:tcW w:w="1351" w:type="pct"/>
            <w:gridSpan w:val="2"/>
            <w:tcBorders>
              <w:top w:val="nil"/>
              <w:left w:val="nil"/>
              <w:bottom w:val="nil"/>
              <w:right w:val="nil"/>
            </w:tcBorders>
          </w:tcPr>
          <w:p w14:paraId="2C36C204" w14:textId="251FF557" w:rsidR="00A55DFC" w:rsidRPr="00AD586B" w:rsidRDefault="00A55DFC" w:rsidP="00C85383">
            <w:pPr>
              <w:jc w:val="center"/>
              <w:rPr>
                <w:b/>
                <w:bCs/>
                <w:sz w:val="18"/>
                <w:szCs w:val="18"/>
              </w:rPr>
            </w:pPr>
            <w:r w:rsidRPr="00AD586B">
              <w:rPr>
                <w:b/>
                <w:bCs/>
                <w:sz w:val="18"/>
                <w:szCs w:val="18"/>
              </w:rPr>
              <w:t>Depreciation</w:t>
            </w:r>
            <w:r>
              <w:rPr>
                <w:b/>
                <w:bCs/>
                <w:sz w:val="18"/>
                <w:szCs w:val="18"/>
              </w:rPr>
              <w:t xml:space="preserve"> </w:t>
            </w:r>
            <w:r w:rsidRPr="00A120EF">
              <w:rPr>
                <w:b/>
                <w:bCs/>
                <w:color w:val="FF0000"/>
                <w:sz w:val="18"/>
                <w:szCs w:val="18"/>
              </w:rPr>
              <w:t>Method</w:t>
            </w:r>
          </w:p>
        </w:tc>
        <w:tc>
          <w:tcPr>
            <w:tcW w:w="1083" w:type="pct"/>
            <w:gridSpan w:val="2"/>
            <w:tcBorders>
              <w:top w:val="nil"/>
              <w:left w:val="nil"/>
              <w:bottom w:val="nil"/>
              <w:right w:val="nil"/>
            </w:tcBorders>
          </w:tcPr>
          <w:p w14:paraId="4BBDE6C6" w14:textId="77777777" w:rsidR="00A55DFC" w:rsidRPr="00AD586B" w:rsidRDefault="00A55DFC" w:rsidP="00261E77">
            <w:pPr>
              <w:jc w:val="center"/>
              <w:rPr>
                <w:b/>
                <w:bCs/>
                <w:sz w:val="18"/>
                <w:szCs w:val="18"/>
              </w:rPr>
            </w:pPr>
            <w:r w:rsidRPr="00AD586B">
              <w:rPr>
                <w:b/>
                <w:bCs/>
                <w:sz w:val="18"/>
                <w:szCs w:val="18"/>
              </w:rPr>
              <w:t>Useful Life (Years)</w:t>
            </w:r>
          </w:p>
        </w:tc>
      </w:tr>
      <w:tr w:rsidR="00A55DFC" w:rsidRPr="00C40298" w14:paraId="517803C9" w14:textId="77777777" w:rsidTr="00B7321C">
        <w:trPr>
          <w:cantSplit/>
          <w:trHeight w:val="23"/>
        </w:trPr>
        <w:tc>
          <w:tcPr>
            <w:tcW w:w="744" w:type="pct"/>
            <w:vMerge/>
            <w:tcBorders>
              <w:left w:val="single" w:sz="2" w:space="0" w:color="auto"/>
              <w:bottom w:val="nil"/>
              <w:right w:val="single" w:sz="2" w:space="0" w:color="auto"/>
            </w:tcBorders>
          </w:tcPr>
          <w:p w14:paraId="0E2B3F47" w14:textId="13CBEC68" w:rsidR="00A55DFC" w:rsidRPr="00AD586B" w:rsidRDefault="00A55DFC" w:rsidP="00A55DFC">
            <w:pPr>
              <w:pStyle w:val="Reference"/>
              <w:rPr>
                <w:rFonts w:cs="Calibri"/>
                <w:color w:val="7030A0"/>
                <w:sz w:val="14"/>
                <w:szCs w:val="14"/>
              </w:rPr>
            </w:pPr>
          </w:p>
        </w:tc>
        <w:tc>
          <w:tcPr>
            <w:tcW w:w="1822" w:type="pct"/>
            <w:tcBorders>
              <w:top w:val="nil"/>
              <w:left w:val="single" w:sz="2" w:space="0" w:color="auto"/>
              <w:bottom w:val="nil"/>
              <w:right w:val="nil"/>
            </w:tcBorders>
          </w:tcPr>
          <w:p w14:paraId="2C27346D" w14:textId="77777777" w:rsidR="00A55DFC" w:rsidRPr="00AD586B" w:rsidRDefault="00A55DFC"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Buildings</w:t>
            </w:r>
          </w:p>
          <w:p w14:paraId="771304D3" w14:textId="77777777" w:rsidR="00A55DFC" w:rsidRPr="00AD586B" w:rsidRDefault="00A55DFC"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Leasehold Improvements</w:t>
            </w:r>
          </w:p>
          <w:p w14:paraId="2FACFA94" w14:textId="77777777" w:rsidR="00A55DFC" w:rsidRPr="00AD586B" w:rsidRDefault="00A55DFC"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Plant and Equipment</w:t>
            </w:r>
          </w:p>
          <w:p w14:paraId="1A15D736" w14:textId="77777777" w:rsidR="00A55DFC" w:rsidRPr="00AD586B" w:rsidRDefault="00A55DFC"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Infrastructure</w:t>
            </w:r>
          </w:p>
          <w:p w14:paraId="1FD28D24" w14:textId="45B2A9A4" w:rsidR="00A55DFC" w:rsidRPr="00865E48" w:rsidRDefault="00A55DFC" w:rsidP="00865E48">
            <w:pPr>
              <w:jc w:val="both"/>
              <w:rPr>
                <w:b/>
                <w:bCs/>
                <w:caps/>
                <w:sz w:val="18"/>
                <w:szCs w:val="18"/>
              </w:rPr>
            </w:pPr>
            <w:bookmarkStart w:id="632" w:name="_Toc98763127"/>
            <w:r w:rsidRPr="00865E48">
              <w:rPr>
                <w:strike/>
                <w:color w:val="FF0000"/>
                <w:sz w:val="18"/>
                <w:szCs w:val="18"/>
              </w:rPr>
              <w:t>Community and</w:t>
            </w:r>
            <w:r w:rsidRPr="00865E48">
              <w:rPr>
                <w:sz w:val="18"/>
                <w:szCs w:val="18"/>
              </w:rPr>
              <w:t xml:space="preserve"> Heritage </w:t>
            </w:r>
            <w:r w:rsidRPr="00865E48">
              <w:rPr>
                <w:color w:val="FF0000"/>
                <w:sz w:val="18"/>
                <w:szCs w:val="18"/>
              </w:rPr>
              <w:t xml:space="preserve">and Community </w:t>
            </w:r>
            <w:r w:rsidRPr="00865E48">
              <w:rPr>
                <w:sz w:val="18"/>
                <w:szCs w:val="18"/>
              </w:rPr>
              <w:t>Assets</w:t>
            </w:r>
            <w:bookmarkEnd w:id="632"/>
          </w:p>
        </w:tc>
        <w:tc>
          <w:tcPr>
            <w:tcW w:w="1351" w:type="pct"/>
            <w:gridSpan w:val="2"/>
            <w:tcBorders>
              <w:top w:val="nil"/>
              <w:left w:val="nil"/>
              <w:bottom w:val="nil"/>
              <w:right w:val="nil"/>
            </w:tcBorders>
          </w:tcPr>
          <w:p w14:paraId="6B7D676E" w14:textId="198C0269"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w:t>
            </w:r>
            <w:r w:rsidRPr="0089568E">
              <w:rPr>
                <w:rFonts w:asciiTheme="minorHAnsi" w:hAnsiTheme="minorHAnsi" w:cstheme="minorHAnsi"/>
                <w:color w:val="FF0000"/>
                <w:sz w:val="18"/>
                <w:szCs w:val="18"/>
              </w:rPr>
              <w:t>-</w:t>
            </w:r>
            <w:r>
              <w:rPr>
                <w:rFonts w:asciiTheme="minorHAnsi" w:hAnsiTheme="minorHAnsi" w:cstheme="minorHAnsi"/>
                <w:sz w:val="18"/>
                <w:szCs w:val="18"/>
              </w:rPr>
              <w:t>l</w:t>
            </w:r>
            <w:r w:rsidRPr="00AD586B">
              <w:rPr>
                <w:rFonts w:asciiTheme="minorHAnsi" w:hAnsiTheme="minorHAnsi" w:cstheme="minorHAnsi"/>
                <w:sz w:val="18"/>
                <w:szCs w:val="18"/>
              </w:rPr>
              <w:t>ine</w:t>
            </w:r>
          </w:p>
          <w:p w14:paraId="44F5E07F" w14:textId="620656E7"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w:t>
            </w:r>
            <w:r w:rsidRPr="0089568E">
              <w:rPr>
                <w:rFonts w:asciiTheme="minorHAnsi" w:hAnsiTheme="minorHAnsi" w:cstheme="minorHAnsi"/>
                <w:color w:val="FF0000"/>
                <w:sz w:val="18"/>
                <w:szCs w:val="18"/>
              </w:rPr>
              <w:t>-</w:t>
            </w:r>
            <w:r>
              <w:rPr>
                <w:rFonts w:asciiTheme="minorHAnsi" w:hAnsiTheme="minorHAnsi" w:cstheme="minorHAnsi"/>
                <w:sz w:val="18"/>
                <w:szCs w:val="18"/>
              </w:rPr>
              <w:t>l</w:t>
            </w:r>
            <w:r w:rsidRPr="00AD586B">
              <w:rPr>
                <w:rFonts w:asciiTheme="minorHAnsi" w:hAnsiTheme="minorHAnsi" w:cstheme="minorHAnsi"/>
                <w:sz w:val="18"/>
                <w:szCs w:val="18"/>
              </w:rPr>
              <w:t>ine</w:t>
            </w:r>
          </w:p>
          <w:p w14:paraId="27B23397" w14:textId="5A830BDB"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w:t>
            </w:r>
            <w:r w:rsidRPr="0089568E">
              <w:rPr>
                <w:rFonts w:asciiTheme="minorHAnsi" w:hAnsiTheme="minorHAnsi" w:cstheme="minorHAnsi"/>
                <w:color w:val="FF0000"/>
                <w:sz w:val="18"/>
                <w:szCs w:val="18"/>
              </w:rPr>
              <w:t>-</w:t>
            </w:r>
            <w:r>
              <w:rPr>
                <w:rFonts w:asciiTheme="minorHAnsi" w:hAnsiTheme="minorHAnsi" w:cstheme="minorHAnsi"/>
                <w:sz w:val="18"/>
                <w:szCs w:val="18"/>
              </w:rPr>
              <w:t>l</w:t>
            </w:r>
            <w:r w:rsidRPr="00AD586B">
              <w:rPr>
                <w:rFonts w:asciiTheme="minorHAnsi" w:hAnsiTheme="minorHAnsi" w:cstheme="minorHAnsi"/>
                <w:sz w:val="18"/>
                <w:szCs w:val="18"/>
              </w:rPr>
              <w:t>ine</w:t>
            </w:r>
          </w:p>
          <w:p w14:paraId="7A71FE52" w14:textId="49652237"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w:t>
            </w:r>
            <w:r w:rsidRPr="0089568E">
              <w:rPr>
                <w:rFonts w:asciiTheme="minorHAnsi" w:hAnsiTheme="minorHAnsi" w:cstheme="minorHAnsi"/>
                <w:color w:val="FF0000"/>
                <w:sz w:val="18"/>
                <w:szCs w:val="18"/>
              </w:rPr>
              <w:t>-</w:t>
            </w:r>
            <w:r>
              <w:rPr>
                <w:rFonts w:asciiTheme="minorHAnsi" w:hAnsiTheme="minorHAnsi" w:cstheme="minorHAnsi"/>
                <w:sz w:val="18"/>
                <w:szCs w:val="18"/>
              </w:rPr>
              <w:t>l</w:t>
            </w:r>
            <w:r w:rsidRPr="00AD586B">
              <w:rPr>
                <w:rFonts w:asciiTheme="minorHAnsi" w:hAnsiTheme="minorHAnsi" w:cstheme="minorHAnsi"/>
                <w:sz w:val="18"/>
                <w:szCs w:val="18"/>
              </w:rPr>
              <w:t>ine</w:t>
            </w:r>
          </w:p>
          <w:p w14:paraId="75091AD3" w14:textId="3B935908" w:rsidR="00A55DFC" w:rsidRPr="00865E48" w:rsidRDefault="00A55DFC" w:rsidP="00865E48">
            <w:pPr>
              <w:jc w:val="center"/>
              <w:rPr>
                <w:b/>
                <w:bCs/>
                <w:caps/>
                <w:sz w:val="18"/>
                <w:szCs w:val="18"/>
              </w:rPr>
            </w:pPr>
            <w:bookmarkStart w:id="633" w:name="_Toc98763128"/>
            <w:r w:rsidRPr="00865E48">
              <w:rPr>
                <w:sz w:val="18"/>
                <w:szCs w:val="18"/>
              </w:rPr>
              <w:t>Straight</w:t>
            </w:r>
            <w:r w:rsidRPr="00865E48">
              <w:rPr>
                <w:color w:val="FF0000"/>
                <w:sz w:val="18"/>
                <w:szCs w:val="18"/>
              </w:rPr>
              <w:t>-</w:t>
            </w:r>
            <w:r w:rsidRPr="00865E48">
              <w:rPr>
                <w:sz w:val="18"/>
                <w:szCs w:val="18"/>
              </w:rPr>
              <w:t>line</w:t>
            </w:r>
            <w:bookmarkEnd w:id="633"/>
          </w:p>
        </w:tc>
        <w:tc>
          <w:tcPr>
            <w:tcW w:w="1083" w:type="pct"/>
            <w:gridSpan w:val="2"/>
            <w:tcBorders>
              <w:top w:val="nil"/>
              <w:left w:val="nil"/>
              <w:bottom w:val="nil"/>
              <w:right w:val="nil"/>
            </w:tcBorders>
          </w:tcPr>
          <w:p w14:paraId="7956F44C" w14:textId="679138A6"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2-100</w:t>
            </w:r>
          </w:p>
          <w:p w14:paraId="17E70D5C" w14:textId="0930AD21"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2-40</w:t>
            </w:r>
          </w:p>
          <w:p w14:paraId="15F83EBE" w14:textId="42380F34" w:rsidR="00A55DFC" w:rsidRPr="00AD586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2-126</w:t>
            </w:r>
          </w:p>
          <w:p w14:paraId="6F8BBAF7" w14:textId="206B8130" w:rsidR="00A55DFC" w:rsidRPr="0009580B" w:rsidRDefault="00A55DFC"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3-138</w:t>
            </w:r>
          </w:p>
          <w:p w14:paraId="3B8DFEE2" w14:textId="0FA15D38" w:rsidR="00A55DFC" w:rsidRPr="00865E48" w:rsidRDefault="00A55DFC" w:rsidP="00865E48">
            <w:pPr>
              <w:jc w:val="center"/>
              <w:rPr>
                <w:b/>
                <w:bCs/>
                <w:caps/>
                <w:sz w:val="18"/>
                <w:szCs w:val="18"/>
              </w:rPr>
            </w:pPr>
            <w:bookmarkStart w:id="634" w:name="_Toc98763129"/>
            <w:r w:rsidRPr="00865E48">
              <w:rPr>
                <w:sz w:val="18"/>
                <w:szCs w:val="18"/>
              </w:rPr>
              <w:t>3-100</w:t>
            </w:r>
            <w:bookmarkEnd w:id="634"/>
          </w:p>
        </w:tc>
      </w:tr>
      <w:tr w:rsidR="00261E77" w:rsidRPr="00A11F05" w14:paraId="196630D5" w14:textId="77777777" w:rsidTr="002B12D3">
        <w:trPr>
          <w:cantSplit/>
          <w:trHeight w:val="23"/>
        </w:trPr>
        <w:tc>
          <w:tcPr>
            <w:tcW w:w="744" w:type="pct"/>
            <w:tcBorders>
              <w:top w:val="nil"/>
              <w:left w:val="single" w:sz="2" w:space="0" w:color="auto"/>
              <w:bottom w:val="nil"/>
              <w:right w:val="single" w:sz="2" w:space="0" w:color="auto"/>
            </w:tcBorders>
          </w:tcPr>
          <w:p w14:paraId="04360E24" w14:textId="77777777" w:rsidR="00261E77" w:rsidRPr="00152C5D" w:rsidRDefault="00261E77" w:rsidP="00261E77">
            <w:pPr>
              <w:pStyle w:val="Reference"/>
              <w:rPr>
                <w:b w:val="0"/>
                <w:bCs w:val="0"/>
                <w:strike/>
                <w:color w:val="538135" w:themeColor="accent6" w:themeShade="BF"/>
                <w:sz w:val="14"/>
                <w:szCs w:val="14"/>
              </w:rPr>
            </w:pPr>
            <w:r w:rsidRPr="00152C5D">
              <w:rPr>
                <w:b w:val="0"/>
                <w:bCs w:val="0"/>
                <w:strike/>
                <w:color w:val="538135" w:themeColor="accent6" w:themeShade="BF"/>
                <w:sz w:val="14"/>
                <w:szCs w:val="14"/>
              </w:rPr>
              <w:t>AASB 116.73(b) &amp; (c), AASB 138.118(a) &amp; (b)</w:t>
            </w:r>
          </w:p>
          <w:p w14:paraId="28C91F92" w14:textId="77777777" w:rsidR="00261E77" w:rsidRPr="00152C5D" w:rsidRDefault="00261E77" w:rsidP="00261E77">
            <w:pPr>
              <w:pStyle w:val="Reference"/>
              <w:rPr>
                <w:rFonts w:cs="Calibri"/>
                <w:color w:val="7030A0"/>
                <w:sz w:val="14"/>
                <w:szCs w:val="14"/>
              </w:rPr>
            </w:pPr>
            <w:r w:rsidRPr="00152C5D">
              <w:rPr>
                <w:b w:val="0"/>
                <w:bCs w:val="0"/>
                <w:strike/>
                <w:color w:val="538135" w:themeColor="accent6" w:themeShade="BF"/>
                <w:sz w:val="14"/>
                <w:szCs w:val="14"/>
              </w:rPr>
              <w:t>AASB 116.51</w:t>
            </w:r>
          </w:p>
        </w:tc>
        <w:tc>
          <w:tcPr>
            <w:tcW w:w="4256" w:type="pct"/>
            <w:gridSpan w:val="5"/>
            <w:tcBorders>
              <w:top w:val="nil"/>
              <w:left w:val="single" w:sz="2" w:space="0" w:color="auto"/>
              <w:bottom w:val="nil"/>
              <w:right w:val="nil"/>
            </w:tcBorders>
          </w:tcPr>
          <w:p w14:paraId="41E56BD2" w14:textId="35B73436" w:rsidR="00261E77" w:rsidRPr="00152C5D" w:rsidRDefault="00261E77" w:rsidP="00261E77">
            <w:pPr>
              <w:rPr>
                <w:rFonts w:cs="Calibri"/>
                <w:strike/>
                <w:color w:val="FF0000"/>
                <w:sz w:val="18"/>
                <w:szCs w:val="18"/>
              </w:rPr>
            </w:pPr>
            <w:r w:rsidRPr="00152C5D">
              <w:rPr>
                <w:rFonts w:cs="Calibri"/>
                <w:strike/>
                <w:color w:val="FF0000"/>
                <w:sz w:val="18"/>
                <w:szCs w:val="18"/>
              </w:rPr>
              <w:t>Land improvements are included within the building asset class.</w:t>
            </w:r>
          </w:p>
        </w:tc>
      </w:tr>
      <w:tr w:rsidR="00261E77" w:rsidRPr="00A11F05" w14:paraId="4BE43B8E" w14:textId="77777777" w:rsidTr="002B12D3">
        <w:trPr>
          <w:cantSplit/>
          <w:trHeight w:val="23"/>
        </w:trPr>
        <w:tc>
          <w:tcPr>
            <w:tcW w:w="744" w:type="pct"/>
            <w:tcBorders>
              <w:top w:val="nil"/>
              <w:left w:val="single" w:sz="2" w:space="0" w:color="auto"/>
              <w:bottom w:val="nil"/>
              <w:right w:val="single" w:sz="2" w:space="0" w:color="auto"/>
            </w:tcBorders>
          </w:tcPr>
          <w:p w14:paraId="188F54E8" w14:textId="77777777" w:rsidR="00261E77" w:rsidRPr="00AD586B" w:rsidRDefault="00261E77" w:rsidP="00261E77">
            <w:pPr>
              <w:pStyle w:val="Reference"/>
              <w:rPr>
                <w:color w:val="7030A0"/>
                <w:sz w:val="14"/>
                <w:szCs w:val="14"/>
              </w:rPr>
            </w:pPr>
          </w:p>
        </w:tc>
        <w:tc>
          <w:tcPr>
            <w:tcW w:w="4256" w:type="pct"/>
            <w:gridSpan w:val="5"/>
            <w:tcBorders>
              <w:top w:val="nil"/>
              <w:left w:val="single" w:sz="2" w:space="0" w:color="auto"/>
              <w:bottom w:val="nil"/>
              <w:right w:val="nil"/>
            </w:tcBorders>
          </w:tcPr>
          <w:p w14:paraId="4DB8F6E3" w14:textId="71944CE7" w:rsidR="00261E77" w:rsidRPr="00AD586B" w:rsidRDefault="00261E77" w:rsidP="00261E77">
            <w:pPr>
              <w:spacing w:after="120"/>
              <w:jc w:val="both"/>
              <w:rPr>
                <w:sz w:val="18"/>
                <w:szCs w:val="18"/>
              </w:rPr>
            </w:pPr>
            <w:r w:rsidRPr="00AD586B">
              <w:rPr>
                <w:sz w:val="18"/>
                <w:szCs w:val="18"/>
              </w:rPr>
              <w:t>The Agency has made a significant estimate in determining the useful lives of its Property, Plant and Equipment.</w:t>
            </w:r>
            <w:r w:rsidR="00FA7C77">
              <w:rPr>
                <w:sz w:val="18"/>
                <w:szCs w:val="18"/>
              </w:rPr>
              <w:t xml:space="preserve"> </w:t>
            </w:r>
            <w:r w:rsidRPr="00AD586B">
              <w:rPr>
                <w:sz w:val="18"/>
                <w:szCs w:val="18"/>
              </w:rPr>
              <w:t xml:space="preserve">The estimation of useful lives of </w:t>
            </w:r>
            <w:r w:rsidR="006E7FE9">
              <w:rPr>
                <w:sz w:val="18"/>
                <w:szCs w:val="18"/>
              </w:rPr>
              <w:t xml:space="preserve">Property, Plant and Equipment </w:t>
            </w:r>
            <w:r w:rsidRPr="00AD586B">
              <w:rPr>
                <w:sz w:val="18"/>
                <w:szCs w:val="18"/>
              </w:rPr>
              <w:t>is based on the historical experience of similar assets and in some cases has been based on valuations provided by the ‘XYZ Valuers’.</w:t>
            </w:r>
            <w:r w:rsidR="00FA7C77">
              <w:rPr>
                <w:sz w:val="18"/>
                <w:szCs w:val="18"/>
              </w:rPr>
              <w:t xml:space="preserve"> </w:t>
            </w:r>
            <w:r w:rsidRPr="00AD586B">
              <w:rPr>
                <w:sz w:val="18"/>
                <w:szCs w:val="18"/>
              </w:rPr>
              <w:t>The useful lives are assessed on an annual basis and adjustments are made when necessary.</w:t>
            </w:r>
          </w:p>
        </w:tc>
      </w:tr>
      <w:tr w:rsidR="00261E77" w:rsidRPr="00996A29" w14:paraId="2502C469" w14:textId="77777777" w:rsidTr="002B12D3">
        <w:trPr>
          <w:cantSplit/>
          <w:trHeight w:val="203"/>
        </w:trPr>
        <w:tc>
          <w:tcPr>
            <w:tcW w:w="744" w:type="pct"/>
            <w:tcBorders>
              <w:top w:val="nil"/>
              <w:left w:val="single" w:sz="2" w:space="0" w:color="auto"/>
              <w:bottom w:val="nil"/>
              <w:right w:val="single" w:sz="2" w:space="0" w:color="auto"/>
            </w:tcBorders>
          </w:tcPr>
          <w:p w14:paraId="75CA7F72" w14:textId="77777777" w:rsidR="00261E77" w:rsidRPr="00AD586B" w:rsidRDefault="00261E77" w:rsidP="00261E77">
            <w:pPr>
              <w:pStyle w:val="TableReference"/>
              <w:tabs>
                <w:tab w:val="left" w:pos="3306"/>
              </w:tabs>
              <w:rPr>
                <w:rFonts w:cs="Calibri"/>
                <w:color w:val="7030A0"/>
                <w:sz w:val="16"/>
                <w:szCs w:val="16"/>
              </w:rPr>
            </w:pPr>
          </w:p>
        </w:tc>
        <w:tc>
          <w:tcPr>
            <w:tcW w:w="4256" w:type="pct"/>
            <w:gridSpan w:val="5"/>
            <w:tcBorders>
              <w:top w:val="nil"/>
              <w:left w:val="single" w:sz="2" w:space="0" w:color="auto"/>
              <w:bottom w:val="nil"/>
              <w:right w:val="nil"/>
            </w:tcBorders>
          </w:tcPr>
          <w:p w14:paraId="74881E63" w14:textId="77777777" w:rsidR="00261E77" w:rsidRPr="00AD586B" w:rsidRDefault="00261E77" w:rsidP="00261E77">
            <w:pPr>
              <w:pStyle w:val="TableText"/>
              <w:spacing w:before="0"/>
              <w:rPr>
                <w:rFonts w:cs="Calibri"/>
                <w:b/>
                <w:bCs/>
              </w:rPr>
            </w:pPr>
            <w:r w:rsidRPr="00AD586B">
              <w:rPr>
                <w:rFonts w:cs="Calibri"/>
                <w:b/>
                <w:bCs/>
              </w:rPr>
              <w:t>Additional Information relating to Service Concession Arrangements</w:t>
            </w:r>
          </w:p>
        </w:tc>
      </w:tr>
      <w:tr w:rsidR="00261E77" w:rsidRPr="009603A1" w14:paraId="26BE60A3" w14:textId="77777777" w:rsidTr="002B12D3">
        <w:trPr>
          <w:cantSplit/>
          <w:trHeight w:val="23"/>
        </w:trPr>
        <w:tc>
          <w:tcPr>
            <w:tcW w:w="744" w:type="pct"/>
            <w:tcBorders>
              <w:top w:val="nil"/>
              <w:left w:val="single" w:sz="2" w:space="0" w:color="auto"/>
              <w:bottom w:val="nil"/>
              <w:right w:val="single" w:sz="2" w:space="0" w:color="auto"/>
            </w:tcBorders>
          </w:tcPr>
          <w:p w14:paraId="7635C124" w14:textId="77777777" w:rsidR="00261E77" w:rsidRPr="00AD586B" w:rsidRDefault="00261E77" w:rsidP="00261E77">
            <w:pPr>
              <w:pStyle w:val="TableReference"/>
              <w:tabs>
                <w:tab w:val="left" w:pos="3306"/>
              </w:tabs>
              <w:spacing w:before="60"/>
              <w:rPr>
                <w:rFonts w:cs="Calibri"/>
                <w:color w:val="7030A0"/>
                <w:sz w:val="16"/>
                <w:szCs w:val="16"/>
              </w:rPr>
            </w:pPr>
          </w:p>
        </w:tc>
        <w:tc>
          <w:tcPr>
            <w:tcW w:w="4256" w:type="pct"/>
            <w:gridSpan w:val="5"/>
            <w:tcBorders>
              <w:top w:val="nil"/>
              <w:left w:val="single" w:sz="2" w:space="0" w:color="auto"/>
              <w:bottom w:val="nil"/>
              <w:right w:val="nil"/>
            </w:tcBorders>
            <w:vAlign w:val="bottom"/>
          </w:tcPr>
          <w:p w14:paraId="073F697C" w14:textId="2C4A14F8" w:rsidR="00261E77" w:rsidRPr="00AD586B" w:rsidRDefault="00261E77" w:rsidP="00261E77">
            <w:pPr>
              <w:pStyle w:val="TableText"/>
              <w:jc w:val="both"/>
              <w:rPr>
                <w:rFonts w:cs="Calibri"/>
                <w:b/>
                <w:bCs/>
              </w:rPr>
            </w:pPr>
            <w:r w:rsidRPr="00AD586B">
              <w:rPr>
                <w:rFonts w:cs="Calibri"/>
              </w:rPr>
              <w:t xml:space="preserve">For more information in relation to service concession arrangements refer to Note </w:t>
            </w:r>
            <w:r w:rsidR="00AB1649">
              <w:rPr>
                <w:rFonts w:cs="Calibri"/>
              </w:rPr>
              <w:t>39</w:t>
            </w:r>
            <w:r w:rsidRPr="00AD586B">
              <w:rPr>
                <w:rFonts w:cs="Calibri"/>
              </w:rPr>
              <w:t xml:space="preserve"> </w:t>
            </w:r>
            <w:r w:rsidRPr="00AB1649">
              <w:rPr>
                <w:rFonts w:cs="Calibri"/>
                <w:i/>
                <w:iCs/>
              </w:rPr>
              <w:t>Service Concession Arrangements</w:t>
            </w:r>
            <w:r w:rsidRPr="00AD586B">
              <w:rPr>
                <w:rFonts w:cs="Calibri"/>
              </w:rPr>
              <w:t>.</w:t>
            </w:r>
          </w:p>
        </w:tc>
      </w:tr>
      <w:tr w:rsidR="002B12D3" w:rsidRPr="009603A1" w14:paraId="1CD7F5C0" w14:textId="77777777" w:rsidTr="002B12D3">
        <w:trPr>
          <w:cantSplit/>
          <w:trHeight w:val="23"/>
        </w:trPr>
        <w:tc>
          <w:tcPr>
            <w:tcW w:w="744" w:type="pct"/>
            <w:tcBorders>
              <w:top w:val="nil"/>
              <w:left w:val="single" w:sz="2" w:space="0" w:color="auto"/>
              <w:bottom w:val="nil"/>
              <w:right w:val="single" w:sz="2" w:space="0" w:color="auto"/>
            </w:tcBorders>
          </w:tcPr>
          <w:p w14:paraId="1B2746D3" w14:textId="77777777" w:rsidR="002B12D3" w:rsidRPr="00AD586B" w:rsidRDefault="002B12D3" w:rsidP="00261E77">
            <w:pPr>
              <w:pStyle w:val="TableReference"/>
              <w:tabs>
                <w:tab w:val="left" w:pos="3306"/>
              </w:tabs>
              <w:spacing w:before="60"/>
              <w:rPr>
                <w:rFonts w:cs="Calibri"/>
                <w:color w:val="7030A0"/>
                <w:sz w:val="16"/>
                <w:szCs w:val="16"/>
              </w:rPr>
            </w:pPr>
          </w:p>
        </w:tc>
        <w:tc>
          <w:tcPr>
            <w:tcW w:w="4256" w:type="pct"/>
            <w:gridSpan w:val="5"/>
            <w:tcBorders>
              <w:top w:val="nil"/>
              <w:left w:val="single" w:sz="2" w:space="0" w:color="auto"/>
              <w:bottom w:val="nil"/>
              <w:right w:val="nil"/>
            </w:tcBorders>
            <w:vAlign w:val="bottom"/>
          </w:tcPr>
          <w:p w14:paraId="4CD4DABA" w14:textId="77777777" w:rsidR="002B12D3" w:rsidRPr="00AD586B" w:rsidRDefault="002B12D3" w:rsidP="00261E77">
            <w:pPr>
              <w:pStyle w:val="TableText"/>
              <w:jc w:val="both"/>
              <w:rPr>
                <w:rFonts w:cs="Calibri"/>
              </w:rPr>
            </w:pPr>
          </w:p>
        </w:tc>
      </w:tr>
      <w:tr w:rsidR="002B12D3" w:rsidRPr="009603A1" w14:paraId="2D750759" w14:textId="77777777" w:rsidTr="002B12D3">
        <w:trPr>
          <w:cantSplit/>
          <w:trHeight w:val="23"/>
        </w:trPr>
        <w:tc>
          <w:tcPr>
            <w:tcW w:w="744" w:type="pct"/>
            <w:tcBorders>
              <w:top w:val="nil"/>
              <w:left w:val="single" w:sz="2" w:space="0" w:color="auto"/>
              <w:bottom w:val="nil"/>
              <w:right w:val="single" w:sz="2" w:space="0" w:color="auto"/>
            </w:tcBorders>
          </w:tcPr>
          <w:p w14:paraId="616EE147" w14:textId="77777777" w:rsidR="002B12D3" w:rsidRPr="00AD586B" w:rsidRDefault="002B12D3" w:rsidP="00261E77">
            <w:pPr>
              <w:pStyle w:val="TableReference"/>
              <w:tabs>
                <w:tab w:val="left" w:pos="3306"/>
              </w:tabs>
              <w:spacing w:before="60"/>
              <w:rPr>
                <w:rFonts w:cs="Calibri"/>
                <w:color w:val="7030A0"/>
                <w:sz w:val="16"/>
                <w:szCs w:val="16"/>
              </w:rPr>
            </w:pPr>
          </w:p>
        </w:tc>
        <w:tc>
          <w:tcPr>
            <w:tcW w:w="4256" w:type="pct"/>
            <w:gridSpan w:val="5"/>
            <w:tcBorders>
              <w:top w:val="nil"/>
              <w:left w:val="single" w:sz="2" w:space="0" w:color="auto"/>
              <w:bottom w:val="nil"/>
              <w:right w:val="nil"/>
            </w:tcBorders>
            <w:vAlign w:val="bottom"/>
          </w:tcPr>
          <w:p w14:paraId="75C54F02" w14:textId="77777777" w:rsidR="002B12D3" w:rsidRPr="00AD586B" w:rsidRDefault="002B12D3" w:rsidP="00261E77">
            <w:pPr>
              <w:pStyle w:val="TableText"/>
              <w:jc w:val="both"/>
              <w:rPr>
                <w:rFonts w:cs="Calibri"/>
              </w:rPr>
            </w:pPr>
          </w:p>
        </w:tc>
      </w:tr>
      <w:tr w:rsidR="00261E77" w:rsidRPr="00CF7E1B" w14:paraId="120D7473" w14:textId="77777777" w:rsidTr="002B12D3">
        <w:trPr>
          <w:cantSplit/>
          <w:trHeight w:val="23"/>
        </w:trPr>
        <w:tc>
          <w:tcPr>
            <w:tcW w:w="744" w:type="pct"/>
            <w:tcBorders>
              <w:top w:val="nil"/>
              <w:left w:val="single" w:sz="2" w:space="0" w:color="auto"/>
              <w:bottom w:val="nil"/>
              <w:right w:val="single" w:sz="2" w:space="0" w:color="auto"/>
            </w:tcBorders>
          </w:tcPr>
          <w:p w14:paraId="347A52CA" w14:textId="77777777" w:rsidR="00261E77" w:rsidRPr="00AD586B" w:rsidRDefault="00261E77" w:rsidP="00261E77">
            <w:pPr>
              <w:pStyle w:val="TableReference"/>
              <w:tabs>
                <w:tab w:val="left" w:pos="3306"/>
              </w:tabs>
              <w:spacing w:before="60"/>
              <w:rPr>
                <w:rFonts w:cs="Calibri"/>
                <w:color w:val="7030A0"/>
                <w:sz w:val="16"/>
                <w:szCs w:val="16"/>
              </w:rPr>
            </w:pPr>
            <w:bookmarkStart w:id="635" w:name="_Hlk89632673"/>
          </w:p>
        </w:tc>
        <w:tc>
          <w:tcPr>
            <w:tcW w:w="4256" w:type="pct"/>
            <w:gridSpan w:val="5"/>
            <w:tcBorders>
              <w:top w:val="nil"/>
              <w:left w:val="single" w:sz="2" w:space="0" w:color="auto"/>
              <w:bottom w:val="nil"/>
              <w:right w:val="nil"/>
            </w:tcBorders>
            <w:vAlign w:val="bottom"/>
          </w:tcPr>
          <w:p w14:paraId="6ACDA6A7" w14:textId="48ADA171" w:rsidR="00261E77" w:rsidRPr="00AD586B" w:rsidRDefault="00261E77" w:rsidP="00261E77">
            <w:pPr>
              <w:pStyle w:val="TableText"/>
              <w:spacing w:before="0" w:after="120"/>
              <w:jc w:val="both"/>
              <w:rPr>
                <w:b/>
                <w:bCs/>
                <w:color w:val="2E74B5" w:themeColor="accent1" w:themeShade="BF"/>
              </w:rPr>
            </w:pPr>
            <w:r w:rsidRPr="00AD586B">
              <w:rPr>
                <w:b/>
                <w:bCs/>
                <w:color w:val="2E74B5" w:themeColor="accent1" w:themeShade="BF"/>
              </w:rPr>
              <w:t xml:space="preserve">Carrying Value of Fair Valued Assets under the Cost Model [DISCLOSURE FOR FOR-PROFIT AGENCIES </w:t>
            </w:r>
            <w:r w:rsidRPr="00AD586B">
              <w:rPr>
                <w:b/>
                <w:bCs/>
                <w:color w:val="2E74B5" w:themeColor="accent1" w:themeShade="BF"/>
                <w:u w:val="single"/>
              </w:rPr>
              <w:t>ONLY</w:t>
            </w:r>
            <w:r w:rsidRPr="00AD586B">
              <w:rPr>
                <w:b/>
                <w:bCs/>
                <w:color w:val="2E74B5" w:themeColor="accent1" w:themeShade="BF"/>
              </w:rPr>
              <w:t>]</w:t>
            </w:r>
          </w:p>
          <w:p w14:paraId="53C6F0B7" w14:textId="36C626DC" w:rsidR="00261E77" w:rsidRPr="00AD586B" w:rsidRDefault="00261E77" w:rsidP="00261E77">
            <w:pPr>
              <w:pStyle w:val="TableText"/>
              <w:spacing w:before="0" w:after="120"/>
              <w:jc w:val="both"/>
              <w:rPr>
                <w:rFonts w:cs="Calibri"/>
                <w:color w:val="2E74B5" w:themeColor="accent1" w:themeShade="BF"/>
              </w:rPr>
            </w:pPr>
            <w:r w:rsidRPr="00AD586B">
              <w:rPr>
                <w:color w:val="2E74B5" w:themeColor="accent1" w:themeShade="BF"/>
              </w:rPr>
              <w:t>The following classes of Property, Plant and Equipment, which are carried at Fair value (as indicated above), would have had carrying values, if measured using the cost model, as follows:</w:t>
            </w:r>
          </w:p>
        </w:tc>
      </w:tr>
      <w:tr w:rsidR="00261E77" w:rsidRPr="00CF7E1B" w14:paraId="27A66036" w14:textId="77777777" w:rsidTr="002B12D3">
        <w:trPr>
          <w:cantSplit/>
          <w:trHeight w:val="36"/>
        </w:trPr>
        <w:tc>
          <w:tcPr>
            <w:tcW w:w="744" w:type="pct"/>
            <w:tcBorders>
              <w:top w:val="nil"/>
              <w:left w:val="single" w:sz="2" w:space="0" w:color="auto"/>
              <w:bottom w:val="nil"/>
              <w:right w:val="single" w:sz="2" w:space="0" w:color="auto"/>
            </w:tcBorders>
          </w:tcPr>
          <w:p w14:paraId="45443E25" w14:textId="77777777" w:rsidR="00261E77" w:rsidRPr="00AD586B" w:rsidRDefault="00261E77" w:rsidP="00261E77">
            <w:pPr>
              <w:pStyle w:val="TableReference"/>
              <w:tabs>
                <w:tab w:val="left" w:pos="3306"/>
              </w:tabs>
              <w:rPr>
                <w:rFonts w:cs="Calibri"/>
                <w:color w:val="7030A0"/>
                <w:sz w:val="16"/>
                <w:szCs w:val="16"/>
              </w:rPr>
            </w:pPr>
          </w:p>
        </w:tc>
        <w:tc>
          <w:tcPr>
            <w:tcW w:w="3043" w:type="pct"/>
            <w:gridSpan w:val="2"/>
            <w:tcBorders>
              <w:top w:val="nil"/>
              <w:left w:val="single" w:sz="2" w:space="0" w:color="auto"/>
              <w:bottom w:val="nil"/>
              <w:right w:val="nil"/>
            </w:tcBorders>
            <w:vAlign w:val="bottom"/>
          </w:tcPr>
          <w:p w14:paraId="6610FB9D" w14:textId="77777777" w:rsidR="00261E77" w:rsidRPr="00AD586B" w:rsidRDefault="00261E77" w:rsidP="00261E77">
            <w:pPr>
              <w:pStyle w:val="TableText"/>
              <w:spacing w:before="0"/>
              <w:jc w:val="both"/>
              <w:rPr>
                <w:rFonts w:cs="Calibri"/>
                <w:color w:val="2E74B5" w:themeColor="accent1" w:themeShade="BF"/>
              </w:rPr>
            </w:pPr>
          </w:p>
        </w:tc>
        <w:tc>
          <w:tcPr>
            <w:tcW w:w="602" w:type="pct"/>
            <w:gridSpan w:val="2"/>
            <w:tcBorders>
              <w:top w:val="nil"/>
              <w:left w:val="nil"/>
              <w:bottom w:val="nil"/>
              <w:right w:val="nil"/>
            </w:tcBorders>
            <w:shd w:val="clear" w:color="auto" w:fill="auto"/>
            <w:vAlign w:val="center"/>
          </w:tcPr>
          <w:p w14:paraId="34919EA3" w14:textId="2C0C77E9"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202</w:t>
            </w:r>
            <w:r w:rsidR="005A41B6">
              <w:rPr>
                <w:rFonts w:cs="Calibri"/>
                <w:b/>
                <w:bCs/>
                <w:color w:val="2E74B5" w:themeColor="accent1" w:themeShade="BF"/>
              </w:rPr>
              <w:t>3</w:t>
            </w:r>
          </w:p>
        </w:tc>
        <w:tc>
          <w:tcPr>
            <w:tcW w:w="611" w:type="pct"/>
            <w:tcBorders>
              <w:top w:val="nil"/>
              <w:left w:val="nil"/>
              <w:bottom w:val="nil"/>
              <w:right w:val="nil"/>
            </w:tcBorders>
            <w:shd w:val="clear" w:color="auto" w:fill="auto"/>
            <w:vAlign w:val="center"/>
          </w:tcPr>
          <w:p w14:paraId="517F9C92" w14:textId="24B1CFAB"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202</w:t>
            </w:r>
            <w:r w:rsidR="005A41B6">
              <w:rPr>
                <w:rFonts w:cs="Calibri"/>
                <w:b/>
                <w:bCs/>
                <w:color w:val="2E74B5" w:themeColor="accent1" w:themeShade="BF"/>
              </w:rPr>
              <w:t>2</w:t>
            </w:r>
          </w:p>
        </w:tc>
      </w:tr>
      <w:tr w:rsidR="00261E77" w:rsidRPr="00CF7E1B" w14:paraId="09F774EF" w14:textId="77777777" w:rsidTr="002B12D3">
        <w:trPr>
          <w:cantSplit/>
          <w:trHeight w:val="36"/>
        </w:trPr>
        <w:tc>
          <w:tcPr>
            <w:tcW w:w="744" w:type="pct"/>
            <w:tcBorders>
              <w:top w:val="nil"/>
              <w:left w:val="single" w:sz="2" w:space="0" w:color="auto"/>
              <w:bottom w:val="nil"/>
              <w:right w:val="single" w:sz="2" w:space="0" w:color="auto"/>
            </w:tcBorders>
          </w:tcPr>
          <w:p w14:paraId="0B47FE2A" w14:textId="77777777" w:rsidR="00261E77" w:rsidRPr="00AD586B" w:rsidRDefault="00261E77" w:rsidP="00261E77">
            <w:pPr>
              <w:pStyle w:val="TableReference"/>
              <w:tabs>
                <w:tab w:val="left" w:pos="3306"/>
              </w:tabs>
              <w:rPr>
                <w:rFonts w:cs="Calibri"/>
                <w:color w:val="7030A0"/>
                <w:sz w:val="16"/>
                <w:szCs w:val="16"/>
              </w:rPr>
            </w:pPr>
          </w:p>
        </w:tc>
        <w:tc>
          <w:tcPr>
            <w:tcW w:w="3043" w:type="pct"/>
            <w:gridSpan w:val="2"/>
            <w:tcBorders>
              <w:top w:val="nil"/>
              <w:left w:val="single" w:sz="2" w:space="0" w:color="auto"/>
              <w:bottom w:val="nil"/>
              <w:right w:val="nil"/>
            </w:tcBorders>
            <w:vAlign w:val="bottom"/>
          </w:tcPr>
          <w:p w14:paraId="63EE512B" w14:textId="77777777" w:rsidR="00261E77" w:rsidRPr="00AD586B" w:rsidRDefault="00261E77" w:rsidP="00261E77">
            <w:pPr>
              <w:pStyle w:val="TableText"/>
              <w:spacing w:before="0"/>
              <w:jc w:val="both"/>
              <w:rPr>
                <w:rFonts w:cs="Calibri"/>
                <w:color w:val="2E74B5" w:themeColor="accent1" w:themeShade="BF"/>
              </w:rPr>
            </w:pPr>
          </w:p>
        </w:tc>
        <w:tc>
          <w:tcPr>
            <w:tcW w:w="602" w:type="pct"/>
            <w:gridSpan w:val="2"/>
            <w:tcBorders>
              <w:top w:val="nil"/>
              <w:left w:val="nil"/>
              <w:bottom w:val="nil"/>
              <w:right w:val="nil"/>
            </w:tcBorders>
            <w:vAlign w:val="center"/>
          </w:tcPr>
          <w:p w14:paraId="48ACDC80" w14:textId="3575F76A"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c>
          <w:tcPr>
            <w:tcW w:w="611" w:type="pct"/>
            <w:tcBorders>
              <w:top w:val="nil"/>
              <w:left w:val="nil"/>
              <w:bottom w:val="nil"/>
              <w:right w:val="nil"/>
            </w:tcBorders>
            <w:vAlign w:val="center"/>
          </w:tcPr>
          <w:p w14:paraId="2A93FA56" w14:textId="09A17E6E"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r>
      <w:tr w:rsidR="00261E77" w:rsidRPr="00CF7E1B" w14:paraId="0E022507" w14:textId="77777777" w:rsidTr="002B12D3">
        <w:trPr>
          <w:cantSplit/>
          <w:trHeight w:val="36"/>
        </w:trPr>
        <w:tc>
          <w:tcPr>
            <w:tcW w:w="744" w:type="pct"/>
            <w:tcBorders>
              <w:top w:val="nil"/>
              <w:left w:val="single" w:sz="2" w:space="0" w:color="auto"/>
              <w:bottom w:val="nil"/>
              <w:right w:val="single" w:sz="2" w:space="0" w:color="auto"/>
            </w:tcBorders>
          </w:tcPr>
          <w:p w14:paraId="336B9A5E" w14:textId="77777777" w:rsidR="00261E77" w:rsidRPr="00AD586B" w:rsidRDefault="00261E77" w:rsidP="00261E77">
            <w:pPr>
              <w:pStyle w:val="TableReference"/>
              <w:tabs>
                <w:tab w:val="left" w:pos="3306"/>
              </w:tabs>
              <w:spacing w:before="60"/>
              <w:rPr>
                <w:rFonts w:cs="Calibri"/>
                <w:color w:val="7030A0"/>
                <w:sz w:val="16"/>
                <w:szCs w:val="16"/>
              </w:rPr>
            </w:pPr>
          </w:p>
        </w:tc>
        <w:tc>
          <w:tcPr>
            <w:tcW w:w="3043" w:type="pct"/>
            <w:gridSpan w:val="2"/>
            <w:tcBorders>
              <w:top w:val="nil"/>
              <w:left w:val="single" w:sz="2" w:space="0" w:color="auto"/>
              <w:bottom w:val="nil"/>
              <w:right w:val="nil"/>
            </w:tcBorders>
            <w:vAlign w:val="bottom"/>
          </w:tcPr>
          <w:p w14:paraId="420DDED7" w14:textId="6F585531" w:rsidR="00261E77" w:rsidRPr="00AD586B" w:rsidRDefault="00261E77" w:rsidP="00261E77">
            <w:pPr>
              <w:pStyle w:val="TableText"/>
              <w:spacing w:before="0"/>
              <w:jc w:val="both"/>
              <w:rPr>
                <w:rFonts w:cs="Calibri"/>
                <w:b/>
                <w:bCs/>
                <w:color w:val="2E74B5" w:themeColor="accent1" w:themeShade="BF"/>
              </w:rPr>
            </w:pPr>
            <w:r w:rsidRPr="00AD586B">
              <w:rPr>
                <w:b/>
                <w:bCs/>
                <w:color w:val="2E74B5" w:themeColor="accent1" w:themeShade="BF"/>
              </w:rPr>
              <w:t>Carrying value if measured using Cost Model</w:t>
            </w:r>
          </w:p>
        </w:tc>
        <w:tc>
          <w:tcPr>
            <w:tcW w:w="602" w:type="pct"/>
            <w:gridSpan w:val="2"/>
            <w:tcBorders>
              <w:top w:val="nil"/>
              <w:left w:val="nil"/>
              <w:bottom w:val="nil"/>
              <w:right w:val="nil"/>
            </w:tcBorders>
            <w:vAlign w:val="center"/>
          </w:tcPr>
          <w:p w14:paraId="292ABE04" w14:textId="06C045E3"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center"/>
          </w:tcPr>
          <w:p w14:paraId="67C8661C" w14:textId="00743FCD" w:rsidR="00261E77" w:rsidRPr="00AD586B" w:rsidRDefault="00261E77" w:rsidP="00261E77">
            <w:pPr>
              <w:pStyle w:val="TableText"/>
              <w:spacing w:before="0"/>
              <w:jc w:val="both"/>
              <w:rPr>
                <w:rFonts w:cs="Calibri"/>
                <w:color w:val="2E74B5" w:themeColor="accent1" w:themeShade="BF"/>
              </w:rPr>
            </w:pPr>
          </w:p>
        </w:tc>
      </w:tr>
      <w:tr w:rsidR="00261E77" w:rsidRPr="00CF7E1B" w14:paraId="60F384A2" w14:textId="77777777" w:rsidTr="002B12D3">
        <w:trPr>
          <w:cantSplit/>
          <w:trHeight w:val="36"/>
        </w:trPr>
        <w:tc>
          <w:tcPr>
            <w:tcW w:w="744" w:type="pct"/>
            <w:tcBorders>
              <w:top w:val="nil"/>
              <w:left w:val="single" w:sz="2" w:space="0" w:color="auto"/>
              <w:bottom w:val="nil"/>
              <w:right w:val="single" w:sz="2" w:space="0" w:color="auto"/>
            </w:tcBorders>
          </w:tcPr>
          <w:p w14:paraId="04B36E8C" w14:textId="77777777" w:rsidR="00261E77" w:rsidRPr="00AD586B" w:rsidRDefault="00261E77" w:rsidP="00261E77">
            <w:pPr>
              <w:pStyle w:val="TableReference"/>
              <w:tabs>
                <w:tab w:val="left" w:pos="3306"/>
              </w:tabs>
              <w:spacing w:before="60"/>
              <w:rPr>
                <w:rFonts w:cs="Calibri"/>
                <w:color w:val="7030A0"/>
                <w:sz w:val="16"/>
                <w:szCs w:val="16"/>
              </w:rPr>
            </w:pPr>
          </w:p>
        </w:tc>
        <w:tc>
          <w:tcPr>
            <w:tcW w:w="3043" w:type="pct"/>
            <w:gridSpan w:val="2"/>
            <w:tcBorders>
              <w:top w:val="nil"/>
              <w:left w:val="single" w:sz="2" w:space="0" w:color="auto"/>
              <w:bottom w:val="nil"/>
              <w:right w:val="nil"/>
            </w:tcBorders>
            <w:vAlign w:val="bottom"/>
          </w:tcPr>
          <w:p w14:paraId="72A499D8" w14:textId="15761500"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Land</w:t>
            </w:r>
          </w:p>
        </w:tc>
        <w:tc>
          <w:tcPr>
            <w:tcW w:w="602" w:type="pct"/>
            <w:gridSpan w:val="2"/>
            <w:tcBorders>
              <w:top w:val="nil"/>
              <w:left w:val="nil"/>
              <w:bottom w:val="nil"/>
              <w:right w:val="nil"/>
            </w:tcBorders>
            <w:vAlign w:val="bottom"/>
          </w:tcPr>
          <w:p w14:paraId="2FAEDB05"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21529DA"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76AEA76" w14:textId="77777777" w:rsidTr="002B12D3">
        <w:trPr>
          <w:cantSplit/>
          <w:trHeight w:val="36"/>
        </w:trPr>
        <w:tc>
          <w:tcPr>
            <w:tcW w:w="744" w:type="pct"/>
            <w:tcBorders>
              <w:top w:val="nil"/>
              <w:left w:val="single" w:sz="2" w:space="0" w:color="auto"/>
              <w:bottom w:val="nil"/>
              <w:right w:val="single" w:sz="2" w:space="0" w:color="auto"/>
            </w:tcBorders>
          </w:tcPr>
          <w:p w14:paraId="3F730C7C" w14:textId="77777777" w:rsidR="00261E77" w:rsidRPr="00AD586B" w:rsidRDefault="00261E77" w:rsidP="00261E77">
            <w:pPr>
              <w:pStyle w:val="TableReference"/>
              <w:tabs>
                <w:tab w:val="left" w:pos="3306"/>
              </w:tabs>
              <w:spacing w:before="60"/>
              <w:rPr>
                <w:rFonts w:cs="Calibri"/>
                <w:color w:val="7030A0"/>
                <w:sz w:val="16"/>
                <w:szCs w:val="16"/>
              </w:rPr>
            </w:pPr>
          </w:p>
        </w:tc>
        <w:tc>
          <w:tcPr>
            <w:tcW w:w="3043" w:type="pct"/>
            <w:gridSpan w:val="2"/>
            <w:tcBorders>
              <w:top w:val="nil"/>
              <w:left w:val="single" w:sz="2" w:space="0" w:color="auto"/>
              <w:bottom w:val="nil"/>
              <w:right w:val="nil"/>
            </w:tcBorders>
            <w:vAlign w:val="bottom"/>
          </w:tcPr>
          <w:p w14:paraId="3BB2D0F5" w14:textId="1E7957F5" w:rsidR="00261E77" w:rsidRPr="00AD586B" w:rsidRDefault="00261E77" w:rsidP="00261E77">
            <w:pPr>
              <w:pStyle w:val="TableText"/>
              <w:spacing w:before="0"/>
              <w:jc w:val="both"/>
              <w:rPr>
                <w:rFonts w:cs="Calibri"/>
                <w:color w:val="2E74B5" w:themeColor="accent1" w:themeShade="BF"/>
              </w:rPr>
            </w:pPr>
            <w:r w:rsidRPr="00AD586B">
              <w:rPr>
                <w:color w:val="2E74B5" w:themeColor="accent1" w:themeShade="BF"/>
              </w:rPr>
              <w:t>Land at Cost</w:t>
            </w:r>
          </w:p>
        </w:tc>
        <w:tc>
          <w:tcPr>
            <w:tcW w:w="602" w:type="pct"/>
            <w:gridSpan w:val="2"/>
            <w:tcBorders>
              <w:top w:val="nil"/>
              <w:left w:val="nil"/>
              <w:bottom w:val="single" w:sz="6" w:space="0" w:color="auto"/>
              <w:right w:val="nil"/>
            </w:tcBorders>
            <w:vAlign w:val="bottom"/>
          </w:tcPr>
          <w:p w14:paraId="56070DA9"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67A3F13F"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FC81E96" w14:textId="77777777" w:rsidTr="002B12D3">
        <w:trPr>
          <w:cantSplit/>
          <w:trHeight w:val="36"/>
        </w:trPr>
        <w:tc>
          <w:tcPr>
            <w:tcW w:w="744" w:type="pct"/>
            <w:tcBorders>
              <w:top w:val="nil"/>
              <w:left w:val="single" w:sz="2" w:space="0" w:color="auto"/>
              <w:bottom w:val="nil"/>
              <w:right w:val="single" w:sz="2" w:space="0" w:color="auto"/>
            </w:tcBorders>
          </w:tcPr>
          <w:p w14:paraId="6C7466A2" w14:textId="72E8F9B3"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43" w:type="pct"/>
            <w:gridSpan w:val="2"/>
            <w:tcBorders>
              <w:top w:val="nil"/>
              <w:left w:val="single" w:sz="2" w:space="0" w:color="auto"/>
              <w:bottom w:val="nil"/>
              <w:right w:val="nil"/>
            </w:tcBorders>
            <w:vAlign w:val="bottom"/>
          </w:tcPr>
          <w:p w14:paraId="489252BB" w14:textId="47D25DEE" w:rsidR="00261E77" w:rsidRPr="00AD586B" w:rsidRDefault="00261E77" w:rsidP="00261E77">
            <w:pPr>
              <w:pStyle w:val="TableText"/>
              <w:spacing w:before="0"/>
              <w:jc w:val="both"/>
              <w:rPr>
                <w:rFonts w:cs="Calibri"/>
                <w:b/>
                <w:bCs/>
                <w:color w:val="2E74B5" w:themeColor="accent1" w:themeShade="BF"/>
              </w:rPr>
            </w:pPr>
            <w:r w:rsidRPr="00AD586B">
              <w:rPr>
                <w:b/>
                <w:bCs/>
                <w:color w:val="2E74B5" w:themeColor="accent1" w:themeShade="BF"/>
              </w:rPr>
              <w:t>Total Land Assets at Cost</w:t>
            </w:r>
          </w:p>
        </w:tc>
        <w:tc>
          <w:tcPr>
            <w:tcW w:w="602" w:type="pct"/>
            <w:gridSpan w:val="2"/>
            <w:tcBorders>
              <w:top w:val="single" w:sz="6" w:space="0" w:color="auto"/>
              <w:left w:val="nil"/>
              <w:bottom w:val="single" w:sz="6" w:space="0" w:color="auto"/>
              <w:right w:val="nil"/>
            </w:tcBorders>
            <w:vAlign w:val="bottom"/>
          </w:tcPr>
          <w:p w14:paraId="307CAFC5"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3A6FD842"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B529A04" w14:textId="77777777" w:rsidTr="002B12D3">
        <w:trPr>
          <w:cantSplit/>
          <w:trHeight w:val="36"/>
        </w:trPr>
        <w:tc>
          <w:tcPr>
            <w:tcW w:w="744" w:type="pct"/>
            <w:tcBorders>
              <w:top w:val="nil"/>
              <w:left w:val="single" w:sz="2" w:space="0" w:color="auto"/>
              <w:bottom w:val="nil"/>
              <w:right w:val="single" w:sz="2" w:space="0" w:color="auto"/>
            </w:tcBorders>
          </w:tcPr>
          <w:p w14:paraId="23F2CDC5"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vAlign w:val="bottom"/>
          </w:tcPr>
          <w:p w14:paraId="34CCC261" w14:textId="2AACEBB0" w:rsidR="00261E77" w:rsidRPr="00AD586B" w:rsidRDefault="00261E77" w:rsidP="00261E77">
            <w:pPr>
              <w:pStyle w:val="TableText"/>
              <w:spacing w:before="0"/>
              <w:jc w:val="both"/>
              <w:rPr>
                <w:color w:val="2E74B5" w:themeColor="accent1" w:themeShade="BF"/>
              </w:rPr>
            </w:pPr>
          </w:p>
        </w:tc>
        <w:tc>
          <w:tcPr>
            <w:tcW w:w="602" w:type="pct"/>
            <w:gridSpan w:val="2"/>
            <w:tcBorders>
              <w:top w:val="single" w:sz="6" w:space="0" w:color="auto"/>
              <w:left w:val="nil"/>
              <w:bottom w:val="nil"/>
              <w:right w:val="nil"/>
            </w:tcBorders>
            <w:vAlign w:val="bottom"/>
          </w:tcPr>
          <w:p w14:paraId="2E49C57A"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5F29A2A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1B2D5CF" w14:textId="77777777" w:rsidTr="002B12D3">
        <w:trPr>
          <w:cantSplit/>
          <w:trHeight w:val="36"/>
        </w:trPr>
        <w:tc>
          <w:tcPr>
            <w:tcW w:w="744" w:type="pct"/>
            <w:tcBorders>
              <w:top w:val="nil"/>
              <w:left w:val="single" w:sz="2" w:space="0" w:color="auto"/>
              <w:bottom w:val="nil"/>
              <w:right w:val="single" w:sz="2" w:space="0" w:color="auto"/>
            </w:tcBorders>
          </w:tcPr>
          <w:p w14:paraId="15B2952A"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vAlign w:val="bottom"/>
          </w:tcPr>
          <w:p w14:paraId="7F111E15" w14:textId="5C4A4B30" w:rsidR="00261E77" w:rsidRPr="00AD586B" w:rsidRDefault="00261E77" w:rsidP="00261E77">
            <w:pPr>
              <w:pStyle w:val="TableText"/>
              <w:spacing w:before="0"/>
              <w:jc w:val="both"/>
              <w:rPr>
                <w:b/>
                <w:bCs/>
                <w:color w:val="2E74B5" w:themeColor="accent1" w:themeShade="BF"/>
              </w:rPr>
            </w:pPr>
            <w:r w:rsidRPr="00AD586B">
              <w:rPr>
                <w:b/>
                <w:bCs/>
                <w:color w:val="2E74B5" w:themeColor="accent1" w:themeShade="BF"/>
              </w:rPr>
              <w:t>Buildings</w:t>
            </w:r>
          </w:p>
        </w:tc>
        <w:tc>
          <w:tcPr>
            <w:tcW w:w="602" w:type="pct"/>
            <w:gridSpan w:val="2"/>
            <w:tcBorders>
              <w:top w:val="nil"/>
              <w:left w:val="nil"/>
              <w:bottom w:val="nil"/>
              <w:right w:val="nil"/>
            </w:tcBorders>
            <w:vAlign w:val="bottom"/>
          </w:tcPr>
          <w:p w14:paraId="4EBC03D0"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DEB29E4"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BCC6DA2" w14:textId="77777777" w:rsidTr="002B12D3">
        <w:trPr>
          <w:cantSplit/>
          <w:trHeight w:val="36"/>
        </w:trPr>
        <w:tc>
          <w:tcPr>
            <w:tcW w:w="744" w:type="pct"/>
            <w:tcBorders>
              <w:top w:val="nil"/>
              <w:left w:val="single" w:sz="2" w:space="0" w:color="auto"/>
              <w:bottom w:val="nil"/>
              <w:right w:val="single" w:sz="2" w:space="0" w:color="auto"/>
            </w:tcBorders>
          </w:tcPr>
          <w:p w14:paraId="0E17130B"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vAlign w:val="bottom"/>
          </w:tcPr>
          <w:p w14:paraId="2642377B" w14:textId="4FC73F0C" w:rsidR="00261E77" w:rsidRPr="00AD586B" w:rsidRDefault="00261E77" w:rsidP="00261E77">
            <w:pPr>
              <w:pStyle w:val="TableText"/>
              <w:spacing w:before="0"/>
              <w:jc w:val="both"/>
              <w:rPr>
                <w:color w:val="2E74B5" w:themeColor="accent1" w:themeShade="BF"/>
              </w:rPr>
            </w:pPr>
            <w:r w:rsidRPr="00AD586B">
              <w:rPr>
                <w:color w:val="2E74B5" w:themeColor="accent1" w:themeShade="BF"/>
              </w:rPr>
              <w:t>Buildings at Cost</w:t>
            </w:r>
          </w:p>
        </w:tc>
        <w:tc>
          <w:tcPr>
            <w:tcW w:w="602" w:type="pct"/>
            <w:gridSpan w:val="2"/>
            <w:tcBorders>
              <w:top w:val="nil"/>
              <w:left w:val="nil"/>
              <w:bottom w:val="nil"/>
              <w:right w:val="nil"/>
            </w:tcBorders>
            <w:vAlign w:val="bottom"/>
          </w:tcPr>
          <w:p w14:paraId="55574326"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FB7DE00"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79C3202" w14:textId="77777777" w:rsidTr="002B12D3">
        <w:trPr>
          <w:cantSplit/>
          <w:trHeight w:val="36"/>
        </w:trPr>
        <w:tc>
          <w:tcPr>
            <w:tcW w:w="744" w:type="pct"/>
            <w:tcBorders>
              <w:top w:val="nil"/>
              <w:left w:val="single" w:sz="2" w:space="0" w:color="auto"/>
              <w:bottom w:val="nil"/>
              <w:right w:val="single" w:sz="2" w:space="0" w:color="auto"/>
            </w:tcBorders>
          </w:tcPr>
          <w:p w14:paraId="158682B4"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6450EE48" w14:textId="5F70842C" w:rsidR="00261E77" w:rsidRPr="00AD586B" w:rsidRDefault="00261E77" w:rsidP="00261E77">
            <w:pPr>
              <w:pStyle w:val="TableText"/>
              <w:spacing w:before="0"/>
              <w:jc w:val="both"/>
              <w:rPr>
                <w:color w:val="2E74B5" w:themeColor="accent1" w:themeShade="BF"/>
              </w:rPr>
            </w:pPr>
            <w:r w:rsidRPr="00AD586B">
              <w:rPr>
                <w:rFonts w:cs="Calibri"/>
                <w:color w:val="2E74B5" w:themeColor="accent1" w:themeShade="BF"/>
              </w:rPr>
              <w:t>Less: Accumulated Depreciation</w:t>
            </w:r>
          </w:p>
        </w:tc>
        <w:tc>
          <w:tcPr>
            <w:tcW w:w="602" w:type="pct"/>
            <w:gridSpan w:val="2"/>
            <w:tcBorders>
              <w:top w:val="nil"/>
              <w:left w:val="nil"/>
              <w:bottom w:val="nil"/>
              <w:right w:val="nil"/>
            </w:tcBorders>
            <w:vAlign w:val="bottom"/>
          </w:tcPr>
          <w:p w14:paraId="0FD23785"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EA8AA5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CDD94BC" w14:textId="77777777" w:rsidTr="002B12D3">
        <w:trPr>
          <w:cantSplit/>
          <w:trHeight w:val="36"/>
        </w:trPr>
        <w:tc>
          <w:tcPr>
            <w:tcW w:w="744" w:type="pct"/>
            <w:tcBorders>
              <w:top w:val="nil"/>
              <w:left w:val="single" w:sz="2" w:space="0" w:color="auto"/>
              <w:bottom w:val="nil"/>
              <w:right w:val="single" w:sz="2" w:space="0" w:color="auto"/>
            </w:tcBorders>
          </w:tcPr>
          <w:p w14:paraId="2F6E0776"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2B21191A" w14:textId="7A8B74CE" w:rsidR="00261E77" w:rsidRPr="00AD586B" w:rsidRDefault="00261E77" w:rsidP="00261E77">
            <w:pPr>
              <w:pStyle w:val="TableText"/>
              <w:spacing w:before="0"/>
              <w:jc w:val="both"/>
              <w:rPr>
                <w:color w:val="2E74B5" w:themeColor="accent1" w:themeShade="BF"/>
              </w:rPr>
            </w:pPr>
            <w:r w:rsidRPr="00AD586B">
              <w:rPr>
                <w:rFonts w:cs="Calibri"/>
                <w:color w:val="2E74B5" w:themeColor="accent1" w:themeShade="BF"/>
              </w:rPr>
              <w:t>Less: Accumulated Impairment Losses</w:t>
            </w:r>
          </w:p>
        </w:tc>
        <w:tc>
          <w:tcPr>
            <w:tcW w:w="602" w:type="pct"/>
            <w:gridSpan w:val="2"/>
            <w:tcBorders>
              <w:top w:val="nil"/>
              <w:left w:val="nil"/>
              <w:bottom w:val="single" w:sz="6" w:space="0" w:color="auto"/>
              <w:right w:val="nil"/>
            </w:tcBorders>
            <w:vAlign w:val="bottom"/>
          </w:tcPr>
          <w:p w14:paraId="2FCCCF1E"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5F326F1D"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55EB530" w14:textId="77777777" w:rsidTr="002B12D3">
        <w:trPr>
          <w:cantSplit/>
          <w:trHeight w:val="36"/>
        </w:trPr>
        <w:tc>
          <w:tcPr>
            <w:tcW w:w="744" w:type="pct"/>
            <w:tcBorders>
              <w:top w:val="nil"/>
              <w:left w:val="single" w:sz="2" w:space="0" w:color="auto"/>
              <w:bottom w:val="nil"/>
              <w:right w:val="single" w:sz="2" w:space="0" w:color="auto"/>
            </w:tcBorders>
          </w:tcPr>
          <w:p w14:paraId="64E782C0" w14:textId="59D56DC5"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43" w:type="pct"/>
            <w:gridSpan w:val="2"/>
            <w:tcBorders>
              <w:top w:val="nil"/>
              <w:left w:val="single" w:sz="2" w:space="0" w:color="auto"/>
              <w:bottom w:val="nil"/>
              <w:right w:val="nil"/>
            </w:tcBorders>
            <w:vAlign w:val="bottom"/>
          </w:tcPr>
          <w:p w14:paraId="208FE01C" w14:textId="34EB07FD"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Total Buildings at Cost</w:t>
            </w:r>
          </w:p>
        </w:tc>
        <w:tc>
          <w:tcPr>
            <w:tcW w:w="602" w:type="pct"/>
            <w:gridSpan w:val="2"/>
            <w:tcBorders>
              <w:top w:val="single" w:sz="6" w:space="0" w:color="auto"/>
              <w:left w:val="nil"/>
              <w:bottom w:val="single" w:sz="6" w:space="0" w:color="auto"/>
              <w:right w:val="nil"/>
            </w:tcBorders>
            <w:vAlign w:val="bottom"/>
          </w:tcPr>
          <w:p w14:paraId="4A955C47"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F01DBE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2C8AA4F" w14:textId="77777777" w:rsidTr="002B12D3">
        <w:trPr>
          <w:cantSplit/>
          <w:trHeight w:val="36"/>
        </w:trPr>
        <w:tc>
          <w:tcPr>
            <w:tcW w:w="744" w:type="pct"/>
            <w:tcBorders>
              <w:top w:val="nil"/>
              <w:left w:val="single" w:sz="2" w:space="0" w:color="auto"/>
              <w:bottom w:val="nil"/>
              <w:right w:val="single" w:sz="2" w:space="0" w:color="auto"/>
            </w:tcBorders>
          </w:tcPr>
          <w:p w14:paraId="64C9EC12"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vAlign w:val="bottom"/>
          </w:tcPr>
          <w:p w14:paraId="317258F0" w14:textId="0B722466" w:rsidR="00261E77" w:rsidRPr="00AD586B" w:rsidRDefault="00261E77" w:rsidP="00261E77">
            <w:pPr>
              <w:pStyle w:val="TableText"/>
              <w:spacing w:before="0"/>
              <w:jc w:val="both"/>
              <w:rPr>
                <w:rFonts w:cs="Calibri"/>
                <w:color w:val="2E74B5" w:themeColor="accent1" w:themeShade="BF"/>
              </w:rPr>
            </w:pPr>
          </w:p>
        </w:tc>
        <w:tc>
          <w:tcPr>
            <w:tcW w:w="602" w:type="pct"/>
            <w:gridSpan w:val="2"/>
            <w:tcBorders>
              <w:top w:val="single" w:sz="6" w:space="0" w:color="auto"/>
              <w:left w:val="nil"/>
              <w:bottom w:val="nil"/>
              <w:right w:val="nil"/>
            </w:tcBorders>
            <w:vAlign w:val="bottom"/>
          </w:tcPr>
          <w:p w14:paraId="0ACAC655"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202767DF"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E8E17EE" w14:textId="77777777" w:rsidTr="002B12D3">
        <w:trPr>
          <w:cantSplit/>
          <w:trHeight w:val="36"/>
        </w:trPr>
        <w:tc>
          <w:tcPr>
            <w:tcW w:w="744" w:type="pct"/>
            <w:tcBorders>
              <w:top w:val="nil"/>
              <w:left w:val="single" w:sz="2" w:space="0" w:color="auto"/>
              <w:bottom w:val="nil"/>
              <w:right w:val="single" w:sz="2" w:space="0" w:color="auto"/>
            </w:tcBorders>
          </w:tcPr>
          <w:p w14:paraId="4F186AE7"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76CA09F0" w14:textId="30919387"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Leasehold Improvements</w:t>
            </w:r>
          </w:p>
        </w:tc>
        <w:tc>
          <w:tcPr>
            <w:tcW w:w="602" w:type="pct"/>
            <w:gridSpan w:val="2"/>
            <w:tcBorders>
              <w:top w:val="nil"/>
              <w:left w:val="nil"/>
              <w:bottom w:val="nil"/>
              <w:right w:val="nil"/>
            </w:tcBorders>
            <w:vAlign w:val="bottom"/>
          </w:tcPr>
          <w:p w14:paraId="3FEC3D37"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4F538BA"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BDDFFFD" w14:textId="77777777" w:rsidTr="002B12D3">
        <w:trPr>
          <w:cantSplit/>
          <w:trHeight w:val="36"/>
        </w:trPr>
        <w:tc>
          <w:tcPr>
            <w:tcW w:w="744" w:type="pct"/>
            <w:tcBorders>
              <w:top w:val="nil"/>
              <w:left w:val="single" w:sz="2" w:space="0" w:color="auto"/>
              <w:bottom w:val="nil"/>
              <w:right w:val="single" w:sz="2" w:space="0" w:color="auto"/>
            </w:tcBorders>
          </w:tcPr>
          <w:p w14:paraId="21808320"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5A3329F5" w14:textId="24375EA7"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Leasehold Improvements at Cost</w:t>
            </w:r>
          </w:p>
        </w:tc>
        <w:tc>
          <w:tcPr>
            <w:tcW w:w="602" w:type="pct"/>
            <w:gridSpan w:val="2"/>
            <w:tcBorders>
              <w:top w:val="nil"/>
              <w:left w:val="nil"/>
              <w:bottom w:val="nil"/>
              <w:right w:val="nil"/>
            </w:tcBorders>
            <w:vAlign w:val="bottom"/>
          </w:tcPr>
          <w:p w14:paraId="77DD72D8"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58BB65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2C88305" w14:textId="77777777" w:rsidTr="002B12D3">
        <w:trPr>
          <w:cantSplit/>
          <w:trHeight w:val="36"/>
        </w:trPr>
        <w:tc>
          <w:tcPr>
            <w:tcW w:w="744" w:type="pct"/>
            <w:tcBorders>
              <w:top w:val="nil"/>
              <w:left w:val="single" w:sz="2" w:space="0" w:color="auto"/>
              <w:bottom w:val="nil"/>
              <w:right w:val="single" w:sz="2" w:space="0" w:color="auto"/>
            </w:tcBorders>
          </w:tcPr>
          <w:p w14:paraId="258E28E7"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59C3E562" w14:textId="266BF0E2"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gridSpan w:val="2"/>
            <w:tcBorders>
              <w:top w:val="nil"/>
              <w:left w:val="nil"/>
              <w:bottom w:val="nil"/>
              <w:right w:val="nil"/>
            </w:tcBorders>
            <w:vAlign w:val="bottom"/>
          </w:tcPr>
          <w:p w14:paraId="4B43B4AC"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7F76FCAD"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079060F7" w14:textId="77777777" w:rsidTr="002B12D3">
        <w:trPr>
          <w:cantSplit/>
          <w:trHeight w:val="36"/>
        </w:trPr>
        <w:tc>
          <w:tcPr>
            <w:tcW w:w="744" w:type="pct"/>
            <w:tcBorders>
              <w:top w:val="nil"/>
              <w:left w:val="single" w:sz="2" w:space="0" w:color="auto"/>
              <w:bottom w:val="nil"/>
              <w:right w:val="single" w:sz="2" w:space="0" w:color="auto"/>
            </w:tcBorders>
          </w:tcPr>
          <w:p w14:paraId="6B690730"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3745ABC8" w14:textId="1604C2A1"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gridSpan w:val="2"/>
            <w:tcBorders>
              <w:top w:val="nil"/>
              <w:left w:val="nil"/>
              <w:bottom w:val="single" w:sz="6" w:space="0" w:color="auto"/>
              <w:right w:val="nil"/>
            </w:tcBorders>
            <w:vAlign w:val="bottom"/>
          </w:tcPr>
          <w:p w14:paraId="06DBEE81"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3E596BF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47764EE1" w14:textId="77777777" w:rsidTr="002B12D3">
        <w:trPr>
          <w:cantSplit/>
          <w:trHeight w:val="36"/>
        </w:trPr>
        <w:tc>
          <w:tcPr>
            <w:tcW w:w="744" w:type="pct"/>
            <w:tcBorders>
              <w:top w:val="nil"/>
              <w:left w:val="single" w:sz="2" w:space="0" w:color="auto"/>
              <w:bottom w:val="nil"/>
              <w:right w:val="single" w:sz="2" w:space="0" w:color="auto"/>
            </w:tcBorders>
          </w:tcPr>
          <w:p w14:paraId="1314A686" w14:textId="026C8CCC"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43" w:type="pct"/>
            <w:gridSpan w:val="2"/>
            <w:tcBorders>
              <w:top w:val="nil"/>
              <w:left w:val="single" w:sz="2" w:space="0" w:color="auto"/>
              <w:bottom w:val="nil"/>
              <w:right w:val="nil"/>
            </w:tcBorders>
          </w:tcPr>
          <w:p w14:paraId="1A4523A5" w14:textId="2125536A"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Total Leasehold Improvements at Cost</w:t>
            </w:r>
          </w:p>
        </w:tc>
        <w:tc>
          <w:tcPr>
            <w:tcW w:w="602" w:type="pct"/>
            <w:gridSpan w:val="2"/>
            <w:tcBorders>
              <w:top w:val="single" w:sz="6" w:space="0" w:color="auto"/>
              <w:left w:val="nil"/>
              <w:bottom w:val="single" w:sz="6" w:space="0" w:color="auto"/>
              <w:right w:val="nil"/>
            </w:tcBorders>
            <w:vAlign w:val="bottom"/>
          </w:tcPr>
          <w:p w14:paraId="697536EC"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0C8EE99"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05C2B50" w14:textId="77777777" w:rsidTr="002B12D3">
        <w:trPr>
          <w:cantSplit/>
          <w:trHeight w:val="36"/>
        </w:trPr>
        <w:tc>
          <w:tcPr>
            <w:tcW w:w="744" w:type="pct"/>
            <w:tcBorders>
              <w:top w:val="nil"/>
              <w:left w:val="single" w:sz="2" w:space="0" w:color="auto"/>
              <w:bottom w:val="nil"/>
              <w:right w:val="single" w:sz="2" w:space="0" w:color="auto"/>
            </w:tcBorders>
          </w:tcPr>
          <w:p w14:paraId="0B23E81D"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7B8C6730" w14:textId="77777777" w:rsidR="00261E77" w:rsidRPr="00AD586B" w:rsidRDefault="00261E77" w:rsidP="00261E77">
            <w:pPr>
              <w:pStyle w:val="TableText"/>
              <w:spacing w:before="0"/>
              <w:jc w:val="both"/>
              <w:rPr>
                <w:rFonts w:cs="Calibri"/>
                <w:b/>
                <w:bCs/>
                <w:color w:val="2E74B5" w:themeColor="accent1" w:themeShade="BF"/>
              </w:rPr>
            </w:pPr>
          </w:p>
        </w:tc>
        <w:tc>
          <w:tcPr>
            <w:tcW w:w="602" w:type="pct"/>
            <w:gridSpan w:val="2"/>
            <w:tcBorders>
              <w:top w:val="single" w:sz="6" w:space="0" w:color="auto"/>
              <w:left w:val="nil"/>
              <w:bottom w:val="nil"/>
              <w:right w:val="nil"/>
            </w:tcBorders>
            <w:vAlign w:val="bottom"/>
          </w:tcPr>
          <w:p w14:paraId="545FA7A7"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74AF9E63"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4FB6D56B" w14:textId="77777777" w:rsidTr="002B12D3">
        <w:trPr>
          <w:cantSplit/>
          <w:trHeight w:val="36"/>
        </w:trPr>
        <w:tc>
          <w:tcPr>
            <w:tcW w:w="744" w:type="pct"/>
            <w:tcBorders>
              <w:top w:val="nil"/>
              <w:left w:val="single" w:sz="2" w:space="0" w:color="auto"/>
              <w:bottom w:val="nil"/>
              <w:right w:val="single" w:sz="2" w:space="0" w:color="auto"/>
            </w:tcBorders>
          </w:tcPr>
          <w:p w14:paraId="79B705B2" w14:textId="77777777" w:rsidR="00261E77" w:rsidRPr="00AD586B"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7D628415" w14:textId="77777777" w:rsidR="00261E77" w:rsidRPr="00AD586B" w:rsidRDefault="00261E77" w:rsidP="00261E77">
            <w:pPr>
              <w:pStyle w:val="TableText"/>
              <w:spacing w:before="0"/>
              <w:jc w:val="both"/>
              <w:rPr>
                <w:rFonts w:cs="Calibri"/>
                <w:b/>
                <w:bCs/>
                <w:color w:val="2E74B5" w:themeColor="accent1" w:themeShade="BF"/>
              </w:rPr>
            </w:pPr>
          </w:p>
        </w:tc>
        <w:tc>
          <w:tcPr>
            <w:tcW w:w="602" w:type="pct"/>
            <w:gridSpan w:val="2"/>
            <w:tcBorders>
              <w:top w:val="nil"/>
              <w:left w:val="nil"/>
              <w:bottom w:val="nil"/>
              <w:right w:val="nil"/>
            </w:tcBorders>
            <w:vAlign w:val="bottom"/>
          </w:tcPr>
          <w:p w14:paraId="477214BC"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7E925AEB" w14:textId="77777777" w:rsidR="00261E77" w:rsidRPr="00AD586B" w:rsidRDefault="00261E77" w:rsidP="00261E77">
            <w:pPr>
              <w:pStyle w:val="TableText"/>
              <w:spacing w:before="0"/>
              <w:jc w:val="both"/>
              <w:rPr>
                <w:rFonts w:cs="Calibri"/>
                <w:color w:val="2E74B5" w:themeColor="accent1" w:themeShade="BF"/>
              </w:rPr>
            </w:pPr>
          </w:p>
        </w:tc>
      </w:tr>
      <w:bookmarkEnd w:id="635"/>
      <w:tr w:rsidR="00261E77" w:rsidRPr="00CF7E1B" w14:paraId="2251C5AA" w14:textId="77777777" w:rsidTr="002B12D3">
        <w:trPr>
          <w:cantSplit/>
          <w:trHeight w:val="36"/>
        </w:trPr>
        <w:tc>
          <w:tcPr>
            <w:tcW w:w="744" w:type="pct"/>
            <w:tcBorders>
              <w:top w:val="nil"/>
              <w:left w:val="single" w:sz="2" w:space="0" w:color="auto"/>
              <w:bottom w:val="nil"/>
              <w:right w:val="single" w:sz="2" w:space="0" w:color="auto"/>
            </w:tcBorders>
          </w:tcPr>
          <w:p w14:paraId="70F59FFB" w14:textId="77777777" w:rsidR="00261E77" w:rsidRPr="00FB3AD2"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vAlign w:val="bottom"/>
          </w:tcPr>
          <w:p w14:paraId="1A0748C9" w14:textId="1C13E3D8" w:rsidR="00261E77" w:rsidRPr="00AD586B" w:rsidRDefault="00261E77" w:rsidP="00261E77">
            <w:pPr>
              <w:pStyle w:val="TableText"/>
              <w:spacing w:before="0"/>
              <w:jc w:val="both"/>
              <w:rPr>
                <w:rFonts w:cs="Calibri"/>
                <w:b/>
                <w:bCs/>
                <w:color w:val="2E74B5" w:themeColor="accent1" w:themeShade="BF"/>
              </w:rPr>
            </w:pPr>
            <w:r w:rsidRPr="00982C59">
              <w:rPr>
                <w:rFonts w:cs="Calibri"/>
                <w:b/>
                <w:bCs/>
                <w:strike/>
                <w:color w:val="FF0000"/>
              </w:rPr>
              <w:t>Community and</w:t>
            </w:r>
            <w:r w:rsidRPr="00982C59">
              <w:rPr>
                <w:rFonts w:cs="Calibri"/>
                <w:b/>
                <w:bCs/>
                <w:color w:val="FF0000"/>
              </w:rPr>
              <w:t xml:space="preserve"> </w:t>
            </w:r>
            <w:r w:rsidRPr="00AD586B">
              <w:rPr>
                <w:rFonts w:cs="Calibri"/>
                <w:b/>
                <w:bCs/>
                <w:color w:val="2E74B5" w:themeColor="accent1" w:themeShade="BF"/>
              </w:rPr>
              <w:t xml:space="preserve">Heritage </w:t>
            </w:r>
            <w:r w:rsidR="00982C59" w:rsidRPr="00982C59">
              <w:rPr>
                <w:b/>
                <w:bCs/>
                <w:color w:val="FF0000"/>
              </w:rPr>
              <w:t>and Community</w:t>
            </w:r>
            <w:r w:rsidR="00982C59" w:rsidRPr="00AD586B">
              <w:rPr>
                <w:rFonts w:cs="Calibri"/>
                <w:b/>
                <w:bCs/>
                <w:color w:val="2E74B5" w:themeColor="accent1" w:themeShade="BF"/>
              </w:rPr>
              <w:t xml:space="preserve"> </w:t>
            </w:r>
            <w:r w:rsidRPr="00AD586B">
              <w:rPr>
                <w:rFonts w:cs="Calibri"/>
                <w:b/>
                <w:bCs/>
                <w:color w:val="2E74B5" w:themeColor="accent1" w:themeShade="BF"/>
              </w:rPr>
              <w:t>Assets</w:t>
            </w:r>
          </w:p>
        </w:tc>
        <w:tc>
          <w:tcPr>
            <w:tcW w:w="602" w:type="pct"/>
            <w:gridSpan w:val="2"/>
            <w:tcBorders>
              <w:top w:val="nil"/>
              <w:left w:val="nil"/>
              <w:bottom w:val="nil"/>
              <w:right w:val="nil"/>
            </w:tcBorders>
            <w:vAlign w:val="bottom"/>
          </w:tcPr>
          <w:p w14:paraId="24801060"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001060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9818CEA" w14:textId="77777777" w:rsidTr="002B12D3">
        <w:trPr>
          <w:cantSplit/>
          <w:trHeight w:val="36"/>
        </w:trPr>
        <w:tc>
          <w:tcPr>
            <w:tcW w:w="744" w:type="pct"/>
            <w:tcBorders>
              <w:top w:val="nil"/>
              <w:left w:val="single" w:sz="2" w:space="0" w:color="auto"/>
              <w:bottom w:val="nil"/>
              <w:right w:val="single" w:sz="2" w:space="0" w:color="auto"/>
            </w:tcBorders>
          </w:tcPr>
          <w:p w14:paraId="41812260" w14:textId="77777777" w:rsidR="00261E77" w:rsidRPr="00FB3AD2"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1210A567" w14:textId="68B876B4" w:rsidR="00261E77" w:rsidRPr="00AD586B" w:rsidRDefault="00261E77" w:rsidP="00261E77">
            <w:pPr>
              <w:pStyle w:val="TableText"/>
              <w:spacing w:before="0"/>
              <w:jc w:val="both"/>
              <w:rPr>
                <w:rFonts w:cs="Calibri"/>
                <w:b/>
                <w:bCs/>
                <w:color w:val="2E74B5" w:themeColor="accent1" w:themeShade="BF"/>
              </w:rPr>
            </w:pPr>
            <w:r w:rsidRPr="00982C59">
              <w:rPr>
                <w:rFonts w:cs="Calibri"/>
                <w:strike/>
                <w:color w:val="FF0000"/>
              </w:rPr>
              <w:t>Community and</w:t>
            </w:r>
            <w:r w:rsidRPr="00AD586B">
              <w:rPr>
                <w:rFonts w:cs="Calibri"/>
                <w:color w:val="2E74B5" w:themeColor="accent1" w:themeShade="BF"/>
              </w:rPr>
              <w:t xml:space="preserve"> Heritage </w:t>
            </w:r>
            <w:r w:rsidR="00982C59" w:rsidRPr="0050766A">
              <w:rPr>
                <w:color w:val="FF0000"/>
              </w:rPr>
              <w:t xml:space="preserve">and </w:t>
            </w:r>
            <w:r w:rsidR="00982C59">
              <w:rPr>
                <w:color w:val="FF0000"/>
              </w:rPr>
              <w:t>C</w:t>
            </w:r>
            <w:r w:rsidR="00982C59" w:rsidRPr="0050766A">
              <w:rPr>
                <w:color w:val="FF0000"/>
              </w:rPr>
              <w:t>ommunity</w:t>
            </w:r>
            <w:r w:rsidR="00982C59" w:rsidRPr="00AD586B">
              <w:rPr>
                <w:rFonts w:cs="Calibri"/>
                <w:color w:val="2E74B5" w:themeColor="accent1" w:themeShade="BF"/>
              </w:rPr>
              <w:t xml:space="preserve"> </w:t>
            </w:r>
            <w:r w:rsidRPr="00AD586B">
              <w:rPr>
                <w:rFonts w:cs="Calibri"/>
                <w:color w:val="2E74B5" w:themeColor="accent1" w:themeShade="BF"/>
              </w:rPr>
              <w:t>Assets at Cost</w:t>
            </w:r>
          </w:p>
        </w:tc>
        <w:tc>
          <w:tcPr>
            <w:tcW w:w="602" w:type="pct"/>
            <w:gridSpan w:val="2"/>
            <w:tcBorders>
              <w:top w:val="nil"/>
              <w:left w:val="nil"/>
              <w:bottom w:val="nil"/>
              <w:right w:val="nil"/>
            </w:tcBorders>
            <w:vAlign w:val="bottom"/>
          </w:tcPr>
          <w:p w14:paraId="23A622CE"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792102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0D75123B" w14:textId="77777777" w:rsidTr="002B12D3">
        <w:trPr>
          <w:cantSplit/>
          <w:trHeight w:val="36"/>
        </w:trPr>
        <w:tc>
          <w:tcPr>
            <w:tcW w:w="744" w:type="pct"/>
            <w:tcBorders>
              <w:top w:val="nil"/>
              <w:left w:val="single" w:sz="2" w:space="0" w:color="auto"/>
              <w:bottom w:val="nil"/>
              <w:right w:val="single" w:sz="2" w:space="0" w:color="auto"/>
            </w:tcBorders>
          </w:tcPr>
          <w:p w14:paraId="28572CA2" w14:textId="77777777" w:rsidR="00261E77" w:rsidRPr="00FB3AD2"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33581679" w14:textId="28A0EB8F"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gridSpan w:val="2"/>
            <w:tcBorders>
              <w:top w:val="nil"/>
              <w:left w:val="nil"/>
              <w:bottom w:val="nil"/>
              <w:right w:val="nil"/>
            </w:tcBorders>
            <w:vAlign w:val="bottom"/>
          </w:tcPr>
          <w:p w14:paraId="5562EEB5"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F6C6BE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9072EA1" w14:textId="77777777" w:rsidTr="002B12D3">
        <w:trPr>
          <w:cantSplit/>
          <w:trHeight w:val="36"/>
        </w:trPr>
        <w:tc>
          <w:tcPr>
            <w:tcW w:w="744" w:type="pct"/>
            <w:tcBorders>
              <w:top w:val="nil"/>
              <w:left w:val="single" w:sz="2" w:space="0" w:color="auto"/>
              <w:bottom w:val="nil"/>
              <w:right w:val="single" w:sz="2" w:space="0" w:color="auto"/>
            </w:tcBorders>
          </w:tcPr>
          <w:p w14:paraId="16A66A29" w14:textId="77777777" w:rsidR="00261E77" w:rsidRPr="00FB3AD2" w:rsidRDefault="00261E77" w:rsidP="00261E77">
            <w:pPr>
              <w:pStyle w:val="TableReference"/>
              <w:tabs>
                <w:tab w:val="left" w:pos="3306"/>
              </w:tabs>
              <w:spacing w:before="60"/>
              <w:rPr>
                <w:rFonts w:cs="Calibri"/>
                <w:color w:val="7030A0"/>
                <w:sz w:val="14"/>
              </w:rPr>
            </w:pPr>
          </w:p>
        </w:tc>
        <w:tc>
          <w:tcPr>
            <w:tcW w:w="3043" w:type="pct"/>
            <w:gridSpan w:val="2"/>
            <w:tcBorders>
              <w:top w:val="nil"/>
              <w:left w:val="single" w:sz="2" w:space="0" w:color="auto"/>
              <w:bottom w:val="nil"/>
              <w:right w:val="nil"/>
            </w:tcBorders>
          </w:tcPr>
          <w:p w14:paraId="094374AC" w14:textId="06C12AF4"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gridSpan w:val="2"/>
            <w:tcBorders>
              <w:top w:val="nil"/>
              <w:left w:val="nil"/>
              <w:bottom w:val="single" w:sz="6" w:space="0" w:color="auto"/>
              <w:right w:val="nil"/>
            </w:tcBorders>
            <w:vAlign w:val="bottom"/>
          </w:tcPr>
          <w:p w14:paraId="7BDFB2C9"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4FDAD416"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DC6DE97" w14:textId="77777777" w:rsidTr="002B12D3">
        <w:trPr>
          <w:cantSplit/>
          <w:trHeight w:val="36"/>
        </w:trPr>
        <w:tc>
          <w:tcPr>
            <w:tcW w:w="744" w:type="pct"/>
            <w:tcBorders>
              <w:top w:val="nil"/>
              <w:left w:val="single" w:sz="2" w:space="0" w:color="auto"/>
              <w:bottom w:val="nil"/>
              <w:right w:val="single" w:sz="2" w:space="0" w:color="auto"/>
            </w:tcBorders>
          </w:tcPr>
          <w:p w14:paraId="367F06C2" w14:textId="51D33874" w:rsidR="00261E77" w:rsidRPr="00FB3AD2" w:rsidRDefault="00261E77" w:rsidP="00261E77">
            <w:pPr>
              <w:pStyle w:val="TableReference"/>
              <w:tabs>
                <w:tab w:val="left" w:pos="3306"/>
              </w:tabs>
              <w:spacing w:before="60"/>
              <w:rPr>
                <w:rFonts w:cs="Calibri"/>
                <w:color w:val="7030A0"/>
                <w:sz w:val="14"/>
              </w:rPr>
            </w:pPr>
            <w:r w:rsidRPr="00FB3AD2">
              <w:rPr>
                <w:color w:val="7030A0"/>
                <w:sz w:val="14"/>
              </w:rPr>
              <w:t>AASB 116.77(e)</w:t>
            </w:r>
          </w:p>
        </w:tc>
        <w:tc>
          <w:tcPr>
            <w:tcW w:w="3043" w:type="pct"/>
            <w:gridSpan w:val="2"/>
            <w:tcBorders>
              <w:top w:val="nil"/>
              <w:left w:val="single" w:sz="2" w:space="0" w:color="auto"/>
              <w:bottom w:val="nil"/>
              <w:right w:val="nil"/>
            </w:tcBorders>
          </w:tcPr>
          <w:p w14:paraId="4232FF7E" w14:textId="3AB8AFE0"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 xml:space="preserve">Total </w:t>
            </w:r>
            <w:r w:rsidRPr="00982C59">
              <w:rPr>
                <w:rFonts w:cs="Calibri"/>
                <w:b/>
                <w:bCs/>
                <w:strike/>
                <w:color w:val="FF0000"/>
              </w:rPr>
              <w:t>Community and</w:t>
            </w:r>
            <w:r w:rsidRPr="00982C59">
              <w:rPr>
                <w:rFonts w:cs="Calibri"/>
                <w:b/>
                <w:bCs/>
                <w:color w:val="FF0000"/>
              </w:rPr>
              <w:t xml:space="preserve"> </w:t>
            </w:r>
            <w:r w:rsidRPr="00AD586B">
              <w:rPr>
                <w:rFonts w:cs="Calibri"/>
                <w:b/>
                <w:bCs/>
                <w:color w:val="2E74B5" w:themeColor="accent1" w:themeShade="BF"/>
              </w:rPr>
              <w:t xml:space="preserve">Heritage </w:t>
            </w:r>
            <w:r w:rsidR="00982C59" w:rsidRPr="00982C59">
              <w:rPr>
                <w:b/>
                <w:bCs/>
                <w:color w:val="FF0000"/>
              </w:rPr>
              <w:t>and Community</w:t>
            </w:r>
            <w:r w:rsidR="00982C59" w:rsidRPr="00AD586B">
              <w:rPr>
                <w:rFonts w:cs="Calibri"/>
                <w:b/>
                <w:bCs/>
                <w:color w:val="2E74B5" w:themeColor="accent1" w:themeShade="BF"/>
              </w:rPr>
              <w:t xml:space="preserve"> </w:t>
            </w:r>
            <w:r w:rsidRPr="00AD586B">
              <w:rPr>
                <w:rFonts w:cs="Calibri"/>
                <w:b/>
                <w:bCs/>
                <w:color w:val="2E74B5" w:themeColor="accent1" w:themeShade="BF"/>
              </w:rPr>
              <w:t>Assets at Cost</w:t>
            </w:r>
          </w:p>
        </w:tc>
        <w:tc>
          <w:tcPr>
            <w:tcW w:w="602" w:type="pct"/>
            <w:gridSpan w:val="2"/>
            <w:tcBorders>
              <w:top w:val="single" w:sz="6" w:space="0" w:color="auto"/>
              <w:left w:val="nil"/>
              <w:bottom w:val="single" w:sz="6" w:space="0" w:color="auto"/>
              <w:right w:val="nil"/>
            </w:tcBorders>
            <w:vAlign w:val="bottom"/>
          </w:tcPr>
          <w:p w14:paraId="39805566"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0B58EE9E"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3C255356" w14:textId="77777777" w:rsidTr="002B12D3">
        <w:trPr>
          <w:cantSplit/>
          <w:trHeight w:val="36"/>
        </w:trPr>
        <w:tc>
          <w:tcPr>
            <w:tcW w:w="744" w:type="pct"/>
            <w:tcBorders>
              <w:top w:val="nil"/>
              <w:left w:val="single" w:sz="2" w:space="0" w:color="auto"/>
              <w:bottom w:val="nil"/>
              <w:right w:val="single" w:sz="2" w:space="0" w:color="auto"/>
            </w:tcBorders>
          </w:tcPr>
          <w:p w14:paraId="27994CF2" w14:textId="77777777" w:rsidR="00261E77" w:rsidRPr="00FB3AD2" w:rsidRDefault="00261E77" w:rsidP="00261E77">
            <w:pPr>
              <w:pStyle w:val="TableReference"/>
              <w:tabs>
                <w:tab w:val="left" w:pos="3306"/>
              </w:tabs>
              <w:spacing w:before="60"/>
              <w:rPr>
                <w:color w:val="7030A0"/>
                <w:sz w:val="14"/>
              </w:rPr>
            </w:pPr>
          </w:p>
        </w:tc>
        <w:tc>
          <w:tcPr>
            <w:tcW w:w="3043" w:type="pct"/>
            <w:gridSpan w:val="2"/>
            <w:tcBorders>
              <w:top w:val="nil"/>
              <w:left w:val="single" w:sz="2" w:space="0" w:color="auto"/>
              <w:bottom w:val="nil"/>
              <w:right w:val="nil"/>
            </w:tcBorders>
          </w:tcPr>
          <w:p w14:paraId="3F29B376" w14:textId="77777777" w:rsidR="00261E77" w:rsidRPr="00AD586B" w:rsidRDefault="00261E77" w:rsidP="00261E77">
            <w:pPr>
              <w:pStyle w:val="TableText"/>
              <w:spacing w:before="0"/>
              <w:jc w:val="both"/>
              <w:rPr>
                <w:rFonts w:cs="Calibri"/>
                <w:b/>
                <w:bCs/>
                <w:color w:val="2E74B5" w:themeColor="accent1" w:themeShade="BF"/>
              </w:rPr>
            </w:pPr>
          </w:p>
        </w:tc>
        <w:tc>
          <w:tcPr>
            <w:tcW w:w="602" w:type="pct"/>
            <w:gridSpan w:val="2"/>
            <w:tcBorders>
              <w:top w:val="single" w:sz="6" w:space="0" w:color="auto"/>
              <w:left w:val="nil"/>
              <w:bottom w:val="nil"/>
              <w:right w:val="nil"/>
            </w:tcBorders>
            <w:vAlign w:val="bottom"/>
          </w:tcPr>
          <w:p w14:paraId="3DD67DA6"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689F2397"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FD31D45" w14:textId="77777777" w:rsidTr="002B12D3">
        <w:trPr>
          <w:cantSplit/>
          <w:trHeight w:val="70"/>
        </w:trPr>
        <w:tc>
          <w:tcPr>
            <w:tcW w:w="744" w:type="pct"/>
            <w:tcBorders>
              <w:top w:val="nil"/>
              <w:left w:val="single" w:sz="2" w:space="0" w:color="auto"/>
              <w:bottom w:val="nil"/>
              <w:right w:val="single" w:sz="2" w:space="0" w:color="auto"/>
            </w:tcBorders>
          </w:tcPr>
          <w:p w14:paraId="65E28265" w14:textId="77777777" w:rsidR="00261E77" w:rsidRPr="00FB3AD2" w:rsidRDefault="00261E77" w:rsidP="00261E77">
            <w:pPr>
              <w:pStyle w:val="TableReference"/>
              <w:tabs>
                <w:tab w:val="left" w:pos="3306"/>
              </w:tabs>
              <w:spacing w:before="60"/>
              <w:rPr>
                <w:color w:val="7030A0"/>
                <w:sz w:val="14"/>
              </w:rPr>
            </w:pPr>
          </w:p>
        </w:tc>
        <w:tc>
          <w:tcPr>
            <w:tcW w:w="3043" w:type="pct"/>
            <w:gridSpan w:val="2"/>
            <w:tcBorders>
              <w:top w:val="nil"/>
              <w:left w:val="single" w:sz="2" w:space="0" w:color="auto"/>
              <w:bottom w:val="nil"/>
              <w:right w:val="nil"/>
            </w:tcBorders>
          </w:tcPr>
          <w:p w14:paraId="3DB136E8" w14:textId="776C6FF8" w:rsidR="00261E77" w:rsidRPr="00AD586B" w:rsidRDefault="00261E77" w:rsidP="00261E77">
            <w:pPr>
              <w:pStyle w:val="TableText"/>
              <w:spacing w:before="0"/>
              <w:jc w:val="both"/>
              <w:rPr>
                <w:rFonts w:cs="Calibri"/>
                <w:b/>
                <w:bCs/>
                <w:color w:val="2E74B5" w:themeColor="accent1" w:themeShade="BF"/>
              </w:rPr>
            </w:pPr>
            <w:r w:rsidRPr="00AD586B">
              <w:rPr>
                <w:rFonts w:cs="Calibri"/>
                <w:b/>
                <w:bCs/>
                <w:color w:val="2E74B5" w:themeColor="accent1" w:themeShade="BF"/>
              </w:rPr>
              <w:t>Infrastructure Assets</w:t>
            </w:r>
          </w:p>
        </w:tc>
        <w:tc>
          <w:tcPr>
            <w:tcW w:w="602" w:type="pct"/>
            <w:gridSpan w:val="2"/>
            <w:tcBorders>
              <w:top w:val="nil"/>
              <w:left w:val="nil"/>
              <w:bottom w:val="nil"/>
              <w:right w:val="nil"/>
            </w:tcBorders>
            <w:vAlign w:val="bottom"/>
          </w:tcPr>
          <w:p w14:paraId="5294306E"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A12D71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BD04477" w14:textId="77777777" w:rsidTr="002B12D3">
        <w:trPr>
          <w:cantSplit/>
          <w:trHeight w:val="36"/>
        </w:trPr>
        <w:tc>
          <w:tcPr>
            <w:tcW w:w="744" w:type="pct"/>
            <w:tcBorders>
              <w:top w:val="nil"/>
              <w:left w:val="single" w:sz="2" w:space="0" w:color="auto"/>
              <w:bottom w:val="nil"/>
              <w:right w:val="single" w:sz="2" w:space="0" w:color="auto"/>
            </w:tcBorders>
          </w:tcPr>
          <w:p w14:paraId="74C8ECD2" w14:textId="77777777" w:rsidR="00261E77" w:rsidRPr="00FB3AD2" w:rsidRDefault="00261E77" w:rsidP="00261E77">
            <w:pPr>
              <w:pStyle w:val="TableReference"/>
              <w:tabs>
                <w:tab w:val="left" w:pos="3306"/>
              </w:tabs>
              <w:spacing w:before="60"/>
              <w:rPr>
                <w:color w:val="7030A0"/>
                <w:sz w:val="14"/>
              </w:rPr>
            </w:pPr>
          </w:p>
        </w:tc>
        <w:tc>
          <w:tcPr>
            <w:tcW w:w="3043" w:type="pct"/>
            <w:gridSpan w:val="2"/>
            <w:tcBorders>
              <w:top w:val="nil"/>
              <w:left w:val="single" w:sz="2" w:space="0" w:color="auto"/>
              <w:bottom w:val="nil"/>
              <w:right w:val="nil"/>
            </w:tcBorders>
          </w:tcPr>
          <w:p w14:paraId="5B3237A3" w14:textId="7CB15833"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Infrastructure Assets at Cost</w:t>
            </w:r>
          </w:p>
        </w:tc>
        <w:tc>
          <w:tcPr>
            <w:tcW w:w="602" w:type="pct"/>
            <w:gridSpan w:val="2"/>
            <w:tcBorders>
              <w:top w:val="nil"/>
              <w:left w:val="nil"/>
              <w:bottom w:val="nil"/>
              <w:right w:val="nil"/>
            </w:tcBorders>
            <w:vAlign w:val="bottom"/>
          </w:tcPr>
          <w:p w14:paraId="308D5217"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8930915"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9230CC3" w14:textId="77777777" w:rsidTr="002B12D3">
        <w:trPr>
          <w:cantSplit/>
          <w:trHeight w:val="36"/>
        </w:trPr>
        <w:tc>
          <w:tcPr>
            <w:tcW w:w="744" w:type="pct"/>
            <w:tcBorders>
              <w:top w:val="nil"/>
              <w:left w:val="single" w:sz="2" w:space="0" w:color="auto"/>
              <w:bottom w:val="nil"/>
              <w:right w:val="single" w:sz="2" w:space="0" w:color="auto"/>
            </w:tcBorders>
          </w:tcPr>
          <w:p w14:paraId="27C9142F" w14:textId="77777777" w:rsidR="00261E77" w:rsidRPr="00FB3AD2" w:rsidRDefault="00261E77" w:rsidP="00261E77">
            <w:pPr>
              <w:pStyle w:val="TableReference"/>
              <w:tabs>
                <w:tab w:val="left" w:pos="3306"/>
              </w:tabs>
              <w:spacing w:before="60"/>
              <w:rPr>
                <w:color w:val="7030A0"/>
                <w:sz w:val="14"/>
              </w:rPr>
            </w:pPr>
          </w:p>
        </w:tc>
        <w:tc>
          <w:tcPr>
            <w:tcW w:w="3043" w:type="pct"/>
            <w:gridSpan w:val="2"/>
            <w:tcBorders>
              <w:top w:val="nil"/>
              <w:left w:val="single" w:sz="2" w:space="0" w:color="auto"/>
              <w:bottom w:val="nil"/>
              <w:right w:val="nil"/>
            </w:tcBorders>
          </w:tcPr>
          <w:p w14:paraId="681812F5" w14:textId="0153D1A7"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Less: Accumulated Depreciation</w:t>
            </w:r>
          </w:p>
        </w:tc>
        <w:tc>
          <w:tcPr>
            <w:tcW w:w="602" w:type="pct"/>
            <w:gridSpan w:val="2"/>
            <w:tcBorders>
              <w:top w:val="nil"/>
              <w:left w:val="nil"/>
              <w:bottom w:val="nil"/>
              <w:right w:val="nil"/>
            </w:tcBorders>
            <w:vAlign w:val="bottom"/>
          </w:tcPr>
          <w:p w14:paraId="7E9C3092"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9003CA3"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8F3A524" w14:textId="77777777" w:rsidTr="002B12D3">
        <w:trPr>
          <w:cantSplit/>
          <w:trHeight w:val="36"/>
        </w:trPr>
        <w:tc>
          <w:tcPr>
            <w:tcW w:w="744" w:type="pct"/>
            <w:tcBorders>
              <w:top w:val="nil"/>
              <w:left w:val="single" w:sz="2" w:space="0" w:color="auto"/>
              <w:bottom w:val="nil"/>
              <w:right w:val="single" w:sz="2" w:space="0" w:color="auto"/>
            </w:tcBorders>
          </w:tcPr>
          <w:p w14:paraId="5E88C1BA" w14:textId="77777777" w:rsidR="00261E77" w:rsidRPr="00FB3AD2" w:rsidRDefault="00261E77" w:rsidP="00261E77">
            <w:pPr>
              <w:pStyle w:val="TableReference"/>
              <w:tabs>
                <w:tab w:val="left" w:pos="3306"/>
              </w:tabs>
              <w:spacing w:before="60"/>
              <w:rPr>
                <w:color w:val="7030A0"/>
                <w:sz w:val="14"/>
              </w:rPr>
            </w:pPr>
          </w:p>
        </w:tc>
        <w:tc>
          <w:tcPr>
            <w:tcW w:w="3043" w:type="pct"/>
            <w:gridSpan w:val="2"/>
            <w:tcBorders>
              <w:top w:val="nil"/>
              <w:left w:val="single" w:sz="2" w:space="0" w:color="auto"/>
              <w:bottom w:val="nil"/>
              <w:right w:val="nil"/>
            </w:tcBorders>
          </w:tcPr>
          <w:p w14:paraId="3F7CEE9D" w14:textId="6992208E"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Less: Accumulated Impairment Losses</w:t>
            </w:r>
          </w:p>
        </w:tc>
        <w:tc>
          <w:tcPr>
            <w:tcW w:w="602" w:type="pct"/>
            <w:gridSpan w:val="2"/>
            <w:tcBorders>
              <w:top w:val="nil"/>
              <w:left w:val="nil"/>
              <w:bottom w:val="single" w:sz="2" w:space="0" w:color="auto"/>
              <w:right w:val="nil"/>
            </w:tcBorders>
            <w:vAlign w:val="bottom"/>
          </w:tcPr>
          <w:p w14:paraId="36DAC20C" w14:textId="77777777" w:rsidR="00261E77" w:rsidRPr="00AD586B" w:rsidRDefault="00261E77" w:rsidP="00261E77">
            <w:pPr>
              <w:pStyle w:val="TableText"/>
              <w:spacing w:before="0"/>
              <w:jc w:val="both"/>
              <w:rPr>
                <w:rFonts w:cs="Calibri"/>
                <w:color w:val="2E74B5" w:themeColor="accent1" w:themeShade="BF"/>
              </w:rPr>
            </w:pPr>
          </w:p>
        </w:tc>
        <w:tc>
          <w:tcPr>
            <w:tcW w:w="611" w:type="pct"/>
            <w:tcBorders>
              <w:top w:val="nil"/>
              <w:left w:val="nil"/>
              <w:bottom w:val="single" w:sz="2" w:space="0" w:color="auto"/>
              <w:right w:val="nil"/>
            </w:tcBorders>
            <w:vAlign w:val="bottom"/>
          </w:tcPr>
          <w:p w14:paraId="0153050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8A6AE92" w14:textId="77777777" w:rsidTr="002B12D3">
        <w:trPr>
          <w:cantSplit/>
          <w:trHeight w:val="23"/>
        </w:trPr>
        <w:tc>
          <w:tcPr>
            <w:tcW w:w="744" w:type="pct"/>
            <w:tcBorders>
              <w:top w:val="nil"/>
              <w:left w:val="single" w:sz="2" w:space="0" w:color="auto"/>
              <w:bottom w:val="nil"/>
              <w:right w:val="single" w:sz="2" w:space="0" w:color="auto"/>
            </w:tcBorders>
          </w:tcPr>
          <w:p w14:paraId="3B2DB643" w14:textId="7ECA0675" w:rsidR="00261E77" w:rsidRPr="00FB3AD2" w:rsidRDefault="00261E77" w:rsidP="00261E77">
            <w:pPr>
              <w:pStyle w:val="TableReference"/>
              <w:tabs>
                <w:tab w:val="left" w:pos="3306"/>
              </w:tabs>
              <w:spacing w:before="60"/>
              <w:rPr>
                <w:rFonts w:cs="Calibri"/>
                <w:color w:val="7030A0"/>
                <w:sz w:val="16"/>
                <w:szCs w:val="16"/>
              </w:rPr>
            </w:pPr>
            <w:r w:rsidRPr="00FB3AD2">
              <w:rPr>
                <w:color w:val="7030A0"/>
                <w:sz w:val="14"/>
              </w:rPr>
              <w:t>AASB 116.77(e)</w:t>
            </w:r>
          </w:p>
        </w:tc>
        <w:tc>
          <w:tcPr>
            <w:tcW w:w="3043" w:type="pct"/>
            <w:gridSpan w:val="2"/>
            <w:tcBorders>
              <w:top w:val="nil"/>
              <w:left w:val="single" w:sz="2" w:space="0" w:color="auto"/>
              <w:bottom w:val="nil"/>
              <w:right w:val="nil"/>
            </w:tcBorders>
            <w:vAlign w:val="bottom"/>
          </w:tcPr>
          <w:p w14:paraId="4B6CFE27" w14:textId="77777777" w:rsidR="00261E77" w:rsidRPr="00AD586B" w:rsidRDefault="00261E77" w:rsidP="00261E77">
            <w:pPr>
              <w:pStyle w:val="TableText"/>
              <w:spacing w:before="0" w:after="120"/>
              <w:jc w:val="both"/>
              <w:rPr>
                <w:rFonts w:cs="Calibri"/>
                <w:color w:val="2E74B5" w:themeColor="accent1" w:themeShade="BF"/>
              </w:rPr>
            </w:pPr>
            <w:r w:rsidRPr="00AD586B">
              <w:rPr>
                <w:rFonts w:cs="Calibri"/>
                <w:b/>
                <w:bCs/>
                <w:color w:val="2E74B5" w:themeColor="accent1" w:themeShade="BF"/>
              </w:rPr>
              <w:t>Total Infrastructure Assets at Cost</w:t>
            </w:r>
          </w:p>
        </w:tc>
        <w:tc>
          <w:tcPr>
            <w:tcW w:w="602" w:type="pct"/>
            <w:gridSpan w:val="2"/>
            <w:tcBorders>
              <w:top w:val="single" w:sz="2" w:space="0" w:color="auto"/>
              <w:left w:val="nil"/>
              <w:bottom w:val="single" w:sz="2" w:space="0" w:color="auto"/>
              <w:right w:val="nil"/>
            </w:tcBorders>
            <w:vAlign w:val="bottom"/>
          </w:tcPr>
          <w:p w14:paraId="2F5F0366" w14:textId="77777777" w:rsidR="00261E77" w:rsidRPr="00AD586B" w:rsidRDefault="00261E77" w:rsidP="00261E77">
            <w:pPr>
              <w:pStyle w:val="TableText"/>
              <w:spacing w:before="0" w:after="120"/>
              <w:jc w:val="both"/>
              <w:rPr>
                <w:rFonts w:cs="Calibri"/>
                <w:color w:val="2E74B5" w:themeColor="accent1" w:themeShade="BF"/>
              </w:rPr>
            </w:pPr>
          </w:p>
        </w:tc>
        <w:tc>
          <w:tcPr>
            <w:tcW w:w="611" w:type="pct"/>
            <w:tcBorders>
              <w:top w:val="single" w:sz="2" w:space="0" w:color="auto"/>
              <w:left w:val="nil"/>
              <w:bottom w:val="single" w:sz="2" w:space="0" w:color="auto"/>
              <w:right w:val="nil"/>
            </w:tcBorders>
            <w:vAlign w:val="bottom"/>
          </w:tcPr>
          <w:p w14:paraId="63B6033A" w14:textId="7F6E7434" w:rsidR="00261E77" w:rsidRPr="00AD586B" w:rsidRDefault="00261E77" w:rsidP="00261E77">
            <w:pPr>
              <w:pStyle w:val="TableText"/>
              <w:spacing w:before="0" w:after="120"/>
              <w:jc w:val="both"/>
              <w:rPr>
                <w:rFonts w:cs="Calibri"/>
                <w:color w:val="2E74B5" w:themeColor="accent1" w:themeShade="BF"/>
              </w:rPr>
            </w:pPr>
          </w:p>
        </w:tc>
      </w:tr>
    </w:tbl>
    <w:p w14:paraId="3CD5ADAD" w14:textId="6AFF34E5" w:rsidR="000144FF" w:rsidRPr="00AB4450" w:rsidRDefault="000144FF" w:rsidP="00AB4450">
      <w:pPr>
        <w:tabs>
          <w:tab w:val="left" w:pos="1979"/>
        </w:tabs>
        <w:sectPr w:rsidR="000144FF" w:rsidRPr="00AB4450" w:rsidSect="00310663">
          <w:footnotePr>
            <w:numRestart w:val="eachPage"/>
          </w:footnotePr>
          <w:pgSz w:w="11907" w:h="16840" w:code="9"/>
          <w:pgMar w:top="1134" w:right="992" w:bottom="567" w:left="680" w:header="425" w:footer="720" w:gutter="0"/>
          <w:cols w:space="720"/>
        </w:sect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5"/>
        <w:gridCol w:w="4961"/>
        <w:gridCol w:w="709"/>
        <w:gridCol w:w="992"/>
        <w:gridCol w:w="851"/>
        <w:gridCol w:w="1134"/>
        <w:gridCol w:w="992"/>
        <w:gridCol w:w="1134"/>
        <w:gridCol w:w="1134"/>
        <w:gridCol w:w="1276"/>
        <w:gridCol w:w="992"/>
      </w:tblGrid>
      <w:tr w:rsidR="00AD586B" w:rsidRPr="00AD586B" w14:paraId="302F4590" w14:textId="77777777" w:rsidTr="00F80015">
        <w:trPr>
          <w:cantSplit/>
          <w:trHeight w:val="23"/>
        </w:trPr>
        <w:tc>
          <w:tcPr>
            <w:tcW w:w="1415" w:type="dxa"/>
            <w:tcBorders>
              <w:top w:val="nil"/>
              <w:left w:val="single" w:sz="2" w:space="0" w:color="auto"/>
              <w:bottom w:val="nil"/>
              <w:right w:val="single" w:sz="2" w:space="0" w:color="auto"/>
            </w:tcBorders>
          </w:tcPr>
          <w:p w14:paraId="31D8FE2D" w14:textId="77777777" w:rsidR="00C47D2D" w:rsidRPr="00AD586B" w:rsidRDefault="00C47D2D" w:rsidP="007D4DCE">
            <w:pPr>
              <w:pStyle w:val="Reference"/>
              <w:tabs>
                <w:tab w:val="left" w:pos="3306"/>
              </w:tabs>
              <w:spacing w:before="120" w:after="240"/>
              <w:rPr>
                <w:rFonts w:cs="Calibri"/>
                <w:color w:val="7030A0"/>
                <w:sz w:val="22"/>
                <w:szCs w:val="22"/>
              </w:rPr>
            </w:pPr>
            <w:bookmarkStart w:id="636" w:name="_Toc194978792"/>
            <w:bookmarkStart w:id="637" w:name="_Toc194996859"/>
            <w:r w:rsidRPr="00AD586B">
              <w:rPr>
                <w:rFonts w:cs="Calibri"/>
                <w:color w:val="7030A0"/>
                <w:sz w:val="22"/>
                <w:szCs w:val="22"/>
              </w:rPr>
              <w:t>Reference</w:t>
            </w:r>
          </w:p>
        </w:tc>
        <w:tc>
          <w:tcPr>
            <w:tcW w:w="14175" w:type="dxa"/>
            <w:gridSpan w:val="10"/>
            <w:tcBorders>
              <w:top w:val="nil"/>
              <w:left w:val="single" w:sz="2" w:space="0" w:color="auto"/>
              <w:bottom w:val="nil"/>
              <w:right w:val="nil"/>
            </w:tcBorders>
          </w:tcPr>
          <w:p w14:paraId="6C9BCDB3" w14:textId="5908F31E" w:rsidR="00C47D2D" w:rsidRPr="00AD586B" w:rsidRDefault="00C47D2D" w:rsidP="007D4DCE">
            <w:pPr>
              <w:spacing w:before="120" w:after="240"/>
              <w:rPr>
                <w:rFonts w:ascii="Arial Bold" w:hAnsi="Arial Bold" w:cs="Arial"/>
                <w:b/>
                <w:caps/>
                <w:sz w:val="32"/>
                <w:szCs w:val="32"/>
              </w:rPr>
            </w:pPr>
            <w:r w:rsidRPr="00AD586B">
              <w:rPr>
                <w:rFonts w:ascii="Arial Bold" w:hAnsi="Arial Bold" w:cs="Arial"/>
                <w:b/>
                <w:caps/>
                <w:sz w:val="32"/>
                <w:szCs w:val="32"/>
              </w:rPr>
              <w:t xml:space="preserve">Note </w:t>
            </w:r>
            <w:r w:rsidR="001B1A1D" w:rsidRPr="00AD586B">
              <w:rPr>
                <w:rFonts w:ascii="Arial Bold" w:hAnsi="Arial Bold" w:cs="Arial"/>
                <w:b/>
                <w:caps/>
                <w:sz w:val="32"/>
                <w:szCs w:val="32"/>
              </w:rPr>
              <w:t>19</w:t>
            </w:r>
            <w:r w:rsidRPr="00AD586B">
              <w:rPr>
                <w:rFonts w:ascii="Arial Bold" w:hAnsi="Arial Bold" w:cs="Arial"/>
                <w:b/>
                <w:caps/>
                <w:sz w:val="32"/>
                <w:szCs w:val="32"/>
              </w:rPr>
              <w:t>.</w:t>
            </w:r>
            <w:r w:rsidR="00FA7C77">
              <w:rPr>
                <w:rFonts w:ascii="Arial Bold" w:hAnsi="Arial Bold" w:cs="Arial"/>
                <w:b/>
                <w:caps/>
                <w:sz w:val="32"/>
                <w:szCs w:val="32"/>
              </w:rPr>
              <w:t xml:space="preserve"> </w:t>
            </w:r>
            <w:r w:rsidRPr="00AD586B">
              <w:rPr>
                <w:rFonts w:ascii="Arial Bold" w:hAnsi="Arial Bold" w:cs="Arial"/>
                <w:b/>
                <w:caps/>
                <w:sz w:val="32"/>
                <w:szCs w:val="32"/>
              </w:rPr>
              <w:t xml:space="preserve"> Property, Plant and Equipment – Continued</w:t>
            </w:r>
          </w:p>
        </w:tc>
      </w:tr>
      <w:tr w:rsidR="006060C9" w:rsidRPr="000415FC" w14:paraId="70BB4F4E" w14:textId="77777777" w:rsidTr="00F80015">
        <w:trPr>
          <w:cantSplit/>
          <w:trHeight w:val="23"/>
        </w:trPr>
        <w:tc>
          <w:tcPr>
            <w:tcW w:w="1415" w:type="dxa"/>
            <w:tcBorders>
              <w:top w:val="nil"/>
              <w:left w:val="single" w:sz="2" w:space="0" w:color="auto"/>
              <w:bottom w:val="nil"/>
              <w:right w:val="single" w:sz="2" w:space="0" w:color="auto"/>
            </w:tcBorders>
          </w:tcPr>
          <w:p w14:paraId="20C04C4D" w14:textId="77777777" w:rsidR="006060C9" w:rsidRPr="00AD586B" w:rsidRDefault="006060C9" w:rsidP="00AD586B">
            <w:pPr>
              <w:pStyle w:val="Reference"/>
              <w:tabs>
                <w:tab w:val="left" w:pos="3306"/>
              </w:tabs>
              <w:rPr>
                <w:rFonts w:cs="Calibri"/>
                <w:color w:val="7030A0"/>
                <w:sz w:val="22"/>
                <w:szCs w:val="22"/>
              </w:rPr>
            </w:pPr>
            <w:bookmarkStart w:id="638" w:name="_Hlk103328128"/>
          </w:p>
        </w:tc>
        <w:tc>
          <w:tcPr>
            <w:tcW w:w="14175" w:type="dxa"/>
            <w:gridSpan w:val="10"/>
            <w:tcBorders>
              <w:top w:val="nil"/>
              <w:left w:val="single" w:sz="2" w:space="0" w:color="auto"/>
              <w:bottom w:val="nil"/>
              <w:right w:val="nil"/>
            </w:tcBorders>
          </w:tcPr>
          <w:p w14:paraId="0C3BE48B" w14:textId="17B282A6" w:rsidR="006060C9" w:rsidRPr="00AD586B" w:rsidRDefault="006060C9" w:rsidP="006060C9">
            <w:pPr>
              <w:pStyle w:val="NormalSFLeadIn"/>
              <w:spacing w:before="0" w:after="0"/>
              <w:rPr>
                <w:sz w:val="14"/>
                <w:szCs w:val="14"/>
              </w:rPr>
            </w:pPr>
            <w:bookmarkStart w:id="639" w:name="_Toc48468553"/>
            <w:bookmarkStart w:id="640" w:name="_Toc49155661"/>
            <w:bookmarkStart w:id="641" w:name="_Toc194918653"/>
            <w:r w:rsidRPr="00AD586B">
              <w:rPr>
                <w:b/>
                <w:sz w:val="18"/>
                <w:szCs w:val="18"/>
              </w:rPr>
              <w:t>Reconciliation of Property, Plant and Equipment</w:t>
            </w:r>
            <w:bookmarkEnd w:id="639"/>
            <w:bookmarkEnd w:id="640"/>
            <w:bookmarkEnd w:id="641"/>
            <w:r w:rsidRPr="00AD586B">
              <w:rPr>
                <w:b/>
                <w:sz w:val="18"/>
                <w:szCs w:val="18"/>
              </w:rPr>
              <w:t xml:space="preserve"> – 202</w:t>
            </w:r>
            <w:r w:rsidR="00E01181">
              <w:rPr>
                <w:b/>
                <w:sz w:val="18"/>
                <w:szCs w:val="18"/>
              </w:rPr>
              <w:t>2</w:t>
            </w:r>
            <w:r w:rsidRPr="00AD586B">
              <w:rPr>
                <w:b/>
                <w:sz w:val="18"/>
                <w:szCs w:val="18"/>
              </w:rPr>
              <w:t>-2</w:t>
            </w:r>
            <w:r w:rsidR="00E01181">
              <w:rPr>
                <w:b/>
                <w:sz w:val="18"/>
                <w:szCs w:val="18"/>
              </w:rPr>
              <w:t>3</w:t>
            </w:r>
          </w:p>
        </w:tc>
      </w:tr>
      <w:tr w:rsidR="00EF5DF3" w:rsidRPr="000415FC" w14:paraId="12CEB039" w14:textId="77777777" w:rsidTr="00EF5DF3">
        <w:trPr>
          <w:cantSplit/>
          <w:trHeight w:val="84"/>
        </w:trPr>
        <w:tc>
          <w:tcPr>
            <w:tcW w:w="1415" w:type="dxa"/>
            <w:tcBorders>
              <w:top w:val="nil"/>
              <w:left w:val="single" w:sz="2" w:space="0" w:color="auto"/>
              <w:bottom w:val="nil"/>
              <w:right w:val="single" w:sz="2" w:space="0" w:color="auto"/>
            </w:tcBorders>
          </w:tcPr>
          <w:p w14:paraId="1730F075" w14:textId="77777777" w:rsidR="00EB1854" w:rsidRPr="00AD586B" w:rsidRDefault="00EB1854" w:rsidP="00AF6496">
            <w:pPr>
              <w:pStyle w:val="Reference"/>
              <w:tabs>
                <w:tab w:val="left" w:pos="3306"/>
              </w:tabs>
              <w:spacing w:before="120" w:after="240"/>
              <w:rPr>
                <w:rFonts w:cs="Calibri"/>
                <w:b w:val="0"/>
                <w:bCs w:val="0"/>
                <w:color w:val="7030A0"/>
                <w:sz w:val="14"/>
                <w:szCs w:val="14"/>
              </w:rPr>
            </w:pPr>
          </w:p>
        </w:tc>
        <w:tc>
          <w:tcPr>
            <w:tcW w:w="4961" w:type="dxa"/>
            <w:tcBorders>
              <w:top w:val="nil"/>
              <w:left w:val="single" w:sz="2" w:space="0" w:color="auto"/>
              <w:bottom w:val="nil"/>
              <w:right w:val="nil"/>
            </w:tcBorders>
          </w:tcPr>
          <w:p w14:paraId="4B8566F6" w14:textId="77777777" w:rsidR="00EB1854" w:rsidRPr="00AD586B" w:rsidRDefault="00EB1854" w:rsidP="00AF6496">
            <w:pPr>
              <w:rPr>
                <w:sz w:val="18"/>
                <w:szCs w:val="18"/>
              </w:rPr>
            </w:pPr>
          </w:p>
        </w:tc>
        <w:tc>
          <w:tcPr>
            <w:tcW w:w="709" w:type="dxa"/>
            <w:tcBorders>
              <w:top w:val="nil"/>
              <w:left w:val="nil"/>
              <w:bottom w:val="nil"/>
              <w:right w:val="nil"/>
            </w:tcBorders>
          </w:tcPr>
          <w:p w14:paraId="5CF13584" w14:textId="77777777"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Land</w:t>
            </w:r>
            <w:r w:rsidRPr="00EB1854">
              <w:rPr>
                <w:rFonts w:asciiTheme="minorHAnsi" w:hAnsiTheme="minorHAnsi" w:cstheme="minorHAnsi"/>
                <w:sz w:val="16"/>
                <w:szCs w:val="16"/>
                <w:vertAlign w:val="superscript"/>
              </w:rPr>
              <w:t>a</w:t>
            </w:r>
          </w:p>
          <w:p w14:paraId="57CBCD86" w14:textId="2C9EEF75"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992" w:type="dxa"/>
            <w:tcBorders>
              <w:top w:val="nil"/>
              <w:left w:val="nil"/>
              <w:bottom w:val="nil"/>
              <w:right w:val="nil"/>
            </w:tcBorders>
          </w:tcPr>
          <w:p w14:paraId="0DFE811F" w14:textId="77777777" w:rsidR="00EB1854" w:rsidRPr="00EB1854" w:rsidRDefault="00EB1854" w:rsidP="002B12D3">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Buildings</w:t>
            </w:r>
            <w:r w:rsidRPr="00EB1854">
              <w:rPr>
                <w:rFonts w:asciiTheme="minorHAnsi" w:hAnsiTheme="minorHAnsi" w:cstheme="minorHAnsi"/>
                <w:sz w:val="16"/>
                <w:szCs w:val="16"/>
                <w:vertAlign w:val="superscript"/>
              </w:rPr>
              <w:t>b</w:t>
            </w:r>
          </w:p>
          <w:p w14:paraId="0355FFD5" w14:textId="77AC4A0A" w:rsidR="00EB1854" w:rsidRPr="00EB1854" w:rsidRDefault="00EB1854" w:rsidP="002B12D3">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851" w:type="dxa"/>
            <w:tcBorders>
              <w:top w:val="nil"/>
              <w:left w:val="nil"/>
              <w:bottom w:val="nil"/>
              <w:right w:val="nil"/>
            </w:tcBorders>
          </w:tcPr>
          <w:p w14:paraId="49F79228" w14:textId="43923EC9" w:rsidR="00EB1854" w:rsidRPr="00EB1854" w:rsidRDefault="00EB1854" w:rsidP="002B12D3">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Right-of-Use Buildings</w:t>
            </w:r>
          </w:p>
          <w:p w14:paraId="40986592" w14:textId="39AEEDD6" w:rsidR="00EB1854" w:rsidRPr="00EB1854" w:rsidRDefault="00EB1854" w:rsidP="002B12D3">
            <w:pPr>
              <w:pStyle w:val="TableTitle"/>
              <w:tabs>
                <w:tab w:val="left" w:pos="3306"/>
              </w:tabs>
              <w:rPr>
                <w:rFonts w:asciiTheme="minorHAnsi" w:hAnsiTheme="minorHAnsi" w:cstheme="minorHAnsi"/>
                <w:sz w:val="16"/>
                <w:szCs w:val="16"/>
              </w:rPr>
            </w:pPr>
            <w:r w:rsidRPr="00EB1854">
              <w:rPr>
                <w:rFonts w:asciiTheme="minorHAnsi" w:hAnsiTheme="minorHAnsi" w:cstheme="minorHAnsi"/>
                <w:color w:val="FF0000"/>
                <w:sz w:val="16"/>
                <w:szCs w:val="16"/>
              </w:rPr>
              <w:t>$’000</w:t>
            </w:r>
          </w:p>
        </w:tc>
        <w:tc>
          <w:tcPr>
            <w:tcW w:w="1134" w:type="dxa"/>
            <w:tcBorders>
              <w:top w:val="nil"/>
              <w:left w:val="nil"/>
              <w:bottom w:val="nil"/>
              <w:right w:val="nil"/>
            </w:tcBorders>
          </w:tcPr>
          <w:p w14:paraId="752833D4" w14:textId="77777777" w:rsidR="00EB1854" w:rsidRPr="00EB1854" w:rsidRDefault="00EB1854"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Leasehold Improvements</w:t>
            </w:r>
          </w:p>
          <w:p w14:paraId="317D6E5A" w14:textId="225950CA"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2" w:type="dxa"/>
            <w:tcBorders>
              <w:top w:val="nil"/>
              <w:left w:val="nil"/>
              <w:bottom w:val="nil"/>
              <w:right w:val="nil"/>
            </w:tcBorders>
          </w:tcPr>
          <w:p w14:paraId="2BDB2CC0" w14:textId="77777777" w:rsidR="00EB1854" w:rsidRPr="00EB1854" w:rsidRDefault="00EB1854" w:rsidP="00EB1854">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Plant and Equipment</w:t>
            </w:r>
          </w:p>
          <w:p w14:paraId="2F3A0262" w14:textId="12508E7B" w:rsidR="00EB1854" w:rsidRPr="00EB1854" w:rsidRDefault="00EB1854" w:rsidP="00EB1854">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1134" w:type="dxa"/>
            <w:tcBorders>
              <w:top w:val="nil"/>
              <w:left w:val="nil"/>
              <w:bottom w:val="nil"/>
              <w:right w:val="nil"/>
            </w:tcBorders>
          </w:tcPr>
          <w:p w14:paraId="0386D78F" w14:textId="77777777" w:rsidR="00EB1854" w:rsidRDefault="00EB1854" w:rsidP="00EB1854">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Right-of-Use Plant and Equipment</w:t>
            </w:r>
            <w:r>
              <w:rPr>
                <w:rFonts w:asciiTheme="minorHAnsi" w:hAnsiTheme="minorHAnsi" w:cstheme="minorHAnsi"/>
                <w:color w:val="FF0000"/>
                <w:sz w:val="16"/>
                <w:szCs w:val="16"/>
              </w:rPr>
              <w:t xml:space="preserve"> </w:t>
            </w:r>
          </w:p>
          <w:p w14:paraId="7A608EF5" w14:textId="64509C3E" w:rsidR="00EB1854" w:rsidRPr="00EB1854" w:rsidRDefault="00EB1854" w:rsidP="00EB1854">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$’000</w:t>
            </w:r>
          </w:p>
          <w:p w14:paraId="33FF4425" w14:textId="6559543F" w:rsidR="00EB1854" w:rsidRPr="00EB1854" w:rsidRDefault="00EB1854" w:rsidP="00AF6496">
            <w:pPr>
              <w:pStyle w:val="TableTitle"/>
              <w:tabs>
                <w:tab w:val="left" w:pos="3306"/>
              </w:tabs>
              <w:rPr>
                <w:rFonts w:asciiTheme="minorHAnsi" w:hAnsiTheme="minorHAnsi" w:cstheme="minorHAnsi"/>
                <w:sz w:val="16"/>
                <w:szCs w:val="16"/>
              </w:rPr>
            </w:pPr>
          </w:p>
        </w:tc>
        <w:tc>
          <w:tcPr>
            <w:tcW w:w="1134" w:type="dxa"/>
            <w:tcBorders>
              <w:top w:val="nil"/>
              <w:left w:val="nil"/>
              <w:bottom w:val="nil"/>
              <w:right w:val="nil"/>
            </w:tcBorders>
          </w:tcPr>
          <w:p w14:paraId="00CE9511" w14:textId="77777777" w:rsidR="00EB1854" w:rsidRPr="00EB1854" w:rsidRDefault="00EB1854"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Infrastructure Assets</w:t>
            </w:r>
          </w:p>
          <w:p w14:paraId="62E603ED" w14:textId="10396201"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1276" w:type="dxa"/>
            <w:tcBorders>
              <w:top w:val="nil"/>
              <w:left w:val="nil"/>
              <w:bottom w:val="nil"/>
              <w:right w:val="nil"/>
            </w:tcBorders>
          </w:tcPr>
          <w:p w14:paraId="04717604" w14:textId="26889951"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trike/>
                <w:color w:val="FF0000"/>
                <w:sz w:val="16"/>
                <w:szCs w:val="16"/>
              </w:rPr>
              <w:t>Community/</w:t>
            </w:r>
            <w:r w:rsidR="00F80015">
              <w:rPr>
                <w:rFonts w:asciiTheme="minorHAnsi" w:hAnsiTheme="minorHAnsi" w:cstheme="minorHAnsi"/>
                <w:strike/>
                <w:color w:val="FF0000"/>
                <w:sz w:val="16"/>
                <w:szCs w:val="16"/>
              </w:rPr>
              <w:t xml:space="preserve"> </w:t>
            </w:r>
            <w:r w:rsidRPr="00EB1854">
              <w:rPr>
                <w:rFonts w:asciiTheme="minorHAnsi" w:hAnsiTheme="minorHAnsi" w:cstheme="minorHAnsi"/>
                <w:sz w:val="16"/>
                <w:szCs w:val="16"/>
              </w:rPr>
              <w:t>Heritage</w:t>
            </w:r>
            <w:r w:rsidR="00A55DFC">
              <w:rPr>
                <w:rFonts w:asciiTheme="minorHAnsi" w:hAnsiTheme="minorHAnsi" w:cstheme="minorHAnsi"/>
                <w:sz w:val="16"/>
                <w:szCs w:val="16"/>
              </w:rPr>
              <w:t xml:space="preserve"> </w:t>
            </w:r>
            <w:r w:rsidR="00A55DFC" w:rsidRPr="00A55DFC">
              <w:rPr>
                <w:rFonts w:asciiTheme="minorHAnsi" w:hAnsiTheme="minorHAnsi" w:cstheme="minorHAnsi"/>
                <w:color w:val="FF0000"/>
                <w:sz w:val="16"/>
                <w:szCs w:val="16"/>
              </w:rPr>
              <w:t>and</w:t>
            </w:r>
            <w:r w:rsidRPr="00EB1854">
              <w:rPr>
                <w:rFonts w:asciiTheme="minorHAnsi" w:hAnsiTheme="minorHAnsi" w:cstheme="minorHAnsi"/>
                <w:color w:val="FF0000"/>
                <w:sz w:val="16"/>
                <w:szCs w:val="16"/>
              </w:rPr>
              <w:t xml:space="preserve"> Community</w:t>
            </w:r>
          </w:p>
          <w:p w14:paraId="0FC93888" w14:textId="77777777"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Assets</w:t>
            </w:r>
            <w:r w:rsidRPr="00EB1854">
              <w:rPr>
                <w:rFonts w:asciiTheme="minorHAnsi" w:hAnsiTheme="minorHAnsi" w:cstheme="minorHAnsi"/>
                <w:sz w:val="16"/>
                <w:szCs w:val="16"/>
                <w:vertAlign w:val="superscript"/>
              </w:rPr>
              <w:t>c</w:t>
            </w:r>
          </w:p>
          <w:p w14:paraId="2D3175B0" w14:textId="358A76A9"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992" w:type="dxa"/>
            <w:tcBorders>
              <w:top w:val="nil"/>
              <w:left w:val="nil"/>
              <w:bottom w:val="nil"/>
              <w:right w:val="nil"/>
            </w:tcBorders>
          </w:tcPr>
          <w:p w14:paraId="1BF70AE6" w14:textId="77777777"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Total</w:t>
            </w:r>
          </w:p>
          <w:p w14:paraId="5D7CAB91" w14:textId="6F69DF16"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r>
      <w:tr w:rsidR="00F80015" w:rsidRPr="000415FC" w14:paraId="160001A1" w14:textId="77777777" w:rsidTr="00EF5DF3">
        <w:trPr>
          <w:cantSplit/>
          <w:trHeight w:val="84"/>
        </w:trPr>
        <w:tc>
          <w:tcPr>
            <w:tcW w:w="1415" w:type="dxa"/>
            <w:tcBorders>
              <w:top w:val="nil"/>
              <w:left w:val="single" w:sz="2" w:space="0" w:color="auto"/>
              <w:bottom w:val="nil"/>
              <w:right w:val="single" w:sz="2" w:space="0" w:color="auto"/>
            </w:tcBorders>
          </w:tcPr>
          <w:p w14:paraId="0ABD894E" w14:textId="38FC452A"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4961" w:type="dxa"/>
            <w:tcBorders>
              <w:top w:val="nil"/>
              <w:left w:val="single" w:sz="2" w:space="0" w:color="auto"/>
              <w:bottom w:val="nil"/>
              <w:right w:val="nil"/>
            </w:tcBorders>
          </w:tcPr>
          <w:p w14:paraId="24493015" w14:textId="4729D8AC" w:rsidR="00EB1854" w:rsidRPr="00AD586B" w:rsidRDefault="00EB1854" w:rsidP="00AF6496">
            <w:pPr>
              <w:rPr>
                <w:sz w:val="18"/>
                <w:szCs w:val="18"/>
              </w:rPr>
            </w:pPr>
            <w:r w:rsidRPr="00AD586B">
              <w:rPr>
                <w:rFonts w:cs="Calibri"/>
                <w:b/>
                <w:sz w:val="18"/>
                <w:szCs w:val="18"/>
              </w:rPr>
              <w:t>Carrying Amount at the Beginning of the Reporting Period</w:t>
            </w:r>
          </w:p>
        </w:tc>
        <w:tc>
          <w:tcPr>
            <w:tcW w:w="709" w:type="dxa"/>
            <w:tcBorders>
              <w:top w:val="nil"/>
              <w:left w:val="nil"/>
              <w:bottom w:val="nil"/>
              <w:right w:val="nil"/>
            </w:tcBorders>
          </w:tcPr>
          <w:p w14:paraId="26C658B1"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774038FC" w14:textId="77777777" w:rsidR="00EB1854" w:rsidRPr="00AD586B" w:rsidRDefault="00EB1854" w:rsidP="00AF6496">
            <w:pPr>
              <w:pStyle w:val="TableTitle"/>
              <w:tabs>
                <w:tab w:val="left" w:pos="3306"/>
              </w:tabs>
              <w:rPr>
                <w:rFonts w:asciiTheme="minorHAnsi" w:hAnsiTheme="minorHAnsi" w:cstheme="minorHAnsi"/>
              </w:rPr>
            </w:pPr>
          </w:p>
        </w:tc>
        <w:tc>
          <w:tcPr>
            <w:tcW w:w="851" w:type="dxa"/>
            <w:tcBorders>
              <w:top w:val="nil"/>
              <w:left w:val="nil"/>
              <w:bottom w:val="nil"/>
              <w:right w:val="nil"/>
            </w:tcBorders>
          </w:tcPr>
          <w:p w14:paraId="22454795" w14:textId="1544460E"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56D7EB54"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6CCB4224" w14:textId="77777777"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46BEB4E" w14:textId="5F7A2ADD"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2B2ED77E" w14:textId="77777777" w:rsidR="00EB1854" w:rsidRPr="00AD586B" w:rsidRDefault="00EB1854" w:rsidP="00AF6496">
            <w:pPr>
              <w:pStyle w:val="TableTitle"/>
              <w:tabs>
                <w:tab w:val="left" w:pos="3306"/>
              </w:tabs>
              <w:rPr>
                <w:rFonts w:asciiTheme="minorHAnsi" w:hAnsiTheme="minorHAnsi" w:cstheme="minorHAnsi"/>
              </w:rPr>
            </w:pPr>
          </w:p>
        </w:tc>
        <w:tc>
          <w:tcPr>
            <w:tcW w:w="1276" w:type="dxa"/>
            <w:tcBorders>
              <w:top w:val="nil"/>
              <w:left w:val="nil"/>
              <w:bottom w:val="nil"/>
              <w:right w:val="nil"/>
            </w:tcBorders>
          </w:tcPr>
          <w:p w14:paraId="3F0DD38A"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10793C03" w14:textId="77777777" w:rsidR="00EB1854" w:rsidRPr="00AD586B" w:rsidRDefault="00EB1854" w:rsidP="00AF6496">
            <w:pPr>
              <w:pStyle w:val="TableTitle"/>
              <w:tabs>
                <w:tab w:val="left" w:pos="3306"/>
              </w:tabs>
              <w:rPr>
                <w:rFonts w:asciiTheme="minorHAnsi" w:hAnsiTheme="minorHAnsi" w:cstheme="minorHAnsi"/>
              </w:rPr>
            </w:pPr>
          </w:p>
        </w:tc>
      </w:tr>
      <w:tr w:rsidR="00F80015" w:rsidRPr="000415FC" w14:paraId="4813840C" w14:textId="77777777" w:rsidTr="00A55DFC">
        <w:trPr>
          <w:cantSplit/>
          <w:trHeight w:val="84"/>
        </w:trPr>
        <w:tc>
          <w:tcPr>
            <w:tcW w:w="1415" w:type="dxa"/>
            <w:tcBorders>
              <w:top w:val="nil"/>
              <w:left w:val="single" w:sz="2" w:space="0" w:color="auto"/>
              <w:bottom w:val="nil"/>
              <w:right w:val="single" w:sz="2" w:space="0" w:color="auto"/>
            </w:tcBorders>
          </w:tcPr>
          <w:p w14:paraId="7E1BA91A" w14:textId="77777777"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AASB 116.73(e)(i)</w:t>
            </w:r>
          </w:p>
          <w:p w14:paraId="0D1D8721" w14:textId="06335298"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4961" w:type="dxa"/>
            <w:tcBorders>
              <w:top w:val="nil"/>
              <w:left w:val="single" w:sz="2" w:space="0" w:color="auto"/>
              <w:bottom w:val="nil"/>
              <w:right w:val="nil"/>
            </w:tcBorders>
            <w:vAlign w:val="center"/>
          </w:tcPr>
          <w:p w14:paraId="40D5A47A" w14:textId="7A6DF3C8" w:rsidR="00EB1854" w:rsidRPr="00AD586B" w:rsidRDefault="00EB1854" w:rsidP="00A55DFC">
            <w:pPr>
              <w:rPr>
                <w:rFonts w:cs="Calibri"/>
                <w:b/>
                <w:sz w:val="18"/>
                <w:szCs w:val="18"/>
              </w:rPr>
            </w:pPr>
            <w:r w:rsidRPr="00AD586B">
              <w:rPr>
                <w:rFonts w:cs="Calibri"/>
                <w:sz w:val="18"/>
                <w:szCs w:val="18"/>
              </w:rPr>
              <w:t>Additions</w:t>
            </w:r>
          </w:p>
        </w:tc>
        <w:tc>
          <w:tcPr>
            <w:tcW w:w="709" w:type="dxa"/>
            <w:tcBorders>
              <w:top w:val="nil"/>
              <w:left w:val="nil"/>
              <w:bottom w:val="nil"/>
              <w:right w:val="nil"/>
            </w:tcBorders>
          </w:tcPr>
          <w:p w14:paraId="5F13AB9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828284E"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10AAC6CE" w14:textId="75D71AB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299857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09D1260"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6A2A5CF" w14:textId="4CB5417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8BFE625"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34ECF22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112C4C6"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73038FA5" w14:textId="77777777" w:rsidTr="00EF5DF3">
        <w:trPr>
          <w:cantSplit/>
          <w:trHeight w:val="84"/>
        </w:trPr>
        <w:tc>
          <w:tcPr>
            <w:tcW w:w="1415" w:type="dxa"/>
            <w:tcBorders>
              <w:top w:val="nil"/>
              <w:left w:val="single" w:sz="2" w:space="0" w:color="auto"/>
              <w:bottom w:val="nil"/>
              <w:right w:val="single" w:sz="2" w:space="0" w:color="auto"/>
            </w:tcBorders>
          </w:tcPr>
          <w:p w14:paraId="41A24DE5" w14:textId="3FF35EC7"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4961" w:type="dxa"/>
            <w:tcBorders>
              <w:top w:val="nil"/>
              <w:left w:val="single" w:sz="2" w:space="0" w:color="auto"/>
              <w:bottom w:val="nil"/>
              <w:right w:val="nil"/>
            </w:tcBorders>
          </w:tcPr>
          <w:p w14:paraId="0A931C51" w14:textId="4EB7D3DE" w:rsidR="00EB1854" w:rsidRPr="00AD586B" w:rsidRDefault="00EB1854" w:rsidP="00AF6496">
            <w:pPr>
              <w:rPr>
                <w:rFonts w:cs="Calibri"/>
                <w:b/>
                <w:sz w:val="18"/>
                <w:szCs w:val="18"/>
              </w:rPr>
            </w:pPr>
            <w:r w:rsidRPr="00AD586B">
              <w:rPr>
                <w:rFonts w:cs="Calibri"/>
                <w:sz w:val="18"/>
                <w:szCs w:val="18"/>
              </w:rPr>
              <w:t>Assets Classified as Held for Sale</w:t>
            </w:r>
          </w:p>
        </w:tc>
        <w:tc>
          <w:tcPr>
            <w:tcW w:w="709" w:type="dxa"/>
            <w:tcBorders>
              <w:top w:val="nil"/>
              <w:left w:val="nil"/>
              <w:bottom w:val="nil"/>
              <w:right w:val="nil"/>
            </w:tcBorders>
          </w:tcPr>
          <w:p w14:paraId="48B205E6"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06BAD46"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7099246A" w14:textId="179F2C1A"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E16EAD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E221132"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03D4A4D" w14:textId="04D6C3CC"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A5824EC"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428D270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C1E573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7EF3E227" w14:textId="77777777" w:rsidTr="00EF5DF3">
        <w:trPr>
          <w:cantSplit/>
          <w:trHeight w:val="84"/>
        </w:trPr>
        <w:tc>
          <w:tcPr>
            <w:tcW w:w="1415" w:type="dxa"/>
            <w:tcBorders>
              <w:top w:val="nil"/>
              <w:left w:val="single" w:sz="2" w:space="0" w:color="auto"/>
              <w:bottom w:val="nil"/>
              <w:right w:val="single" w:sz="2" w:space="0" w:color="auto"/>
            </w:tcBorders>
          </w:tcPr>
          <w:p w14:paraId="455B0DB3" w14:textId="660110A8" w:rsidR="00EB1854" w:rsidRPr="00AD586B" w:rsidRDefault="00EB1854" w:rsidP="006060C9">
            <w:pPr>
              <w:pStyle w:val="TableReference"/>
              <w:tabs>
                <w:tab w:val="left" w:pos="3306"/>
              </w:tabs>
              <w:spacing w:before="40"/>
              <w:rPr>
                <w:rFonts w:cs="Calibri"/>
                <w:color w:val="7030A0"/>
                <w:szCs w:val="12"/>
              </w:rPr>
            </w:pPr>
            <w:r w:rsidRPr="00AD586B">
              <w:rPr>
                <w:rFonts w:cs="Calibri"/>
                <w:color w:val="7030A0"/>
                <w:szCs w:val="12"/>
              </w:rPr>
              <w:t>AASB 116.73(e)(iv)</w:t>
            </w:r>
          </w:p>
        </w:tc>
        <w:tc>
          <w:tcPr>
            <w:tcW w:w="4961" w:type="dxa"/>
            <w:tcBorders>
              <w:top w:val="nil"/>
              <w:left w:val="single" w:sz="2" w:space="0" w:color="auto"/>
              <w:bottom w:val="nil"/>
              <w:right w:val="nil"/>
            </w:tcBorders>
          </w:tcPr>
          <w:p w14:paraId="51295B13" w14:textId="69E9C997" w:rsidR="00EB1854" w:rsidRPr="00AD586B" w:rsidRDefault="00EB1854" w:rsidP="00AF6496">
            <w:pPr>
              <w:rPr>
                <w:rFonts w:cs="Calibri"/>
                <w:b/>
                <w:sz w:val="18"/>
                <w:szCs w:val="18"/>
              </w:rPr>
            </w:pPr>
            <w:r w:rsidRPr="00AD586B">
              <w:rPr>
                <w:rFonts w:cs="Calibri"/>
                <w:sz w:val="18"/>
                <w:szCs w:val="18"/>
              </w:rPr>
              <w:t>Revaluation Increment/(Decrement)</w:t>
            </w:r>
          </w:p>
        </w:tc>
        <w:tc>
          <w:tcPr>
            <w:tcW w:w="709" w:type="dxa"/>
            <w:tcBorders>
              <w:top w:val="nil"/>
              <w:left w:val="nil"/>
              <w:bottom w:val="nil"/>
              <w:right w:val="nil"/>
            </w:tcBorders>
          </w:tcPr>
          <w:p w14:paraId="3A97D9F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EB724A3"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6E90DDEC" w14:textId="4DE32960"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69E8BB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5D2DD4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B63A5CE" w14:textId="3BFA8BD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8DCA900"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544C44A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CF3C5B1"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8A84A9E" w14:textId="77777777" w:rsidTr="00EF5DF3">
        <w:trPr>
          <w:cantSplit/>
          <w:trHeight w:val="84"/>
        </w:trPr>
        <w:tc>
          <w:tcPr>
            <w:tcW w:w="1415" w:type="dxa"/>
            <w:tcBorders>
              <w:top w:val="nil"/>
              <w:left w:val="single" w:sz="2" w:space="0" w:color="auto"/>
              <w:bottom w:val="nil"/>
              <w:right w:val="single" w:sz="2" w:space="0" w:color="auto"/>
            </w:tcBorders>
          </w:tcPr>
          <w:p w14:paraId="0FA06D91" w14:textId="77777777" w:rsidR="00EB1854" w:rsidRPr="00AD586B" w:rsidRDefault="00EB1854" w:rsidP="006060C9">
            <w:pPr>
              <w:pStyle w:val="TableReference"/>
              <w:tabs>
                <w:tab w:val="left" w:pos="3306"/>
              </w:tabs>
              <w:spacing w:before="40"/>
              <w:rPr>
                <w:rFonts w:cs="Calibri"/>
                <w:color w:val="7030A0"/>
                <w:szCs w:val="12"/>
              </w:rPr>
            </w:pPr>
            <w:r w:rsidRPr="00AD586B">
              <w:rPr>
                <w:rFonts w:cs="Calibri"/>
                <w:color w:val="7030A0"/>
                <w:szCs w:val="12"/>
              </w:rPr>
              <w:t>AASB 116.73(e)(iv)</w:t>
            </w:r>
          </w:p>
          <w:p w14:paraId="6CF220DC" w14:textId="77777777" w:rsidR="00EB1854" w:rsidRPr="00AD586B" w:rsidRDefault="00EB1854" w:rsidP="00AF6496">
            <w:pPr>
              <w:pStyle w:val="Reference"/>
              <w:tabs>
                <w:tab w:val="left" w:pos="3306"/>
              </w:tabs>
              <w:rPr>
                <w:rFonts w:cs="Calibri"/>
                <w:b w:val="0"/>
                <w:bCs w:val="0"/>
                <w:color w:val="7030A0"/>
                <w:sz w:val="14"/>
                <w:szCs w:val="14"/>
              </w:rPr>
            </w:pPr>
          </w:p>
        </w:tc>
        <w:tc>
          <w:tcPr>
            <w:tcW w:w="4961" w:type="dxa"/>
            <w:tcBorders>
              <w:top w:val="nil"/>
              <w:left w:val="single" w:sz="2" w:space="0" w:color="auto"/>
              <w:bottom w:val="nil"/>
              <w:right w:val="nil"/>
            </w:tcBorders>
          </w:tcPr>
          <w:p w14:paraId="1FE3835F" w14:textId="278AD527" w:rsidR="00EB1854" w:rsidRPr="00AD586B" w:rsidRDefault="00EB1854" w:rsidP="00AF6496">
            <w:pPr>
              <w:rPr>
                <w:rFonts w:cs="Calibri"/>
                <w:b/>
                <w:sz w:val="18"/>
                <w:szCs w:val="18"/>
              </w:rPr>
            </w:pPr>
            <w:r w:rsidRPr="00AD586B">
              <w:rPr>
                <w:rFonts w:cs="Calibri"/>
                <w:sz w:val="18"/>
                <w:szCs w:val="18"/>
              </w:rPr>
              <w:t>Impairment Losses Recognised in Other Comprehensive Income</w:t>
            </w:r>
          </w:p>
        </w:tc>
        <w:tc>
          <w:tcPr>
            <w:tcW w:w="709" w:type="dxa"/>
            <w:tcBorders>
              <w:top w:val="nil"/>
              <w:left w:val="nil"/>
              <w:bottom w:val="nil"/>
              <w:right w:val="nil"/>
            </w:tcBorders>
          </w:tcPr>
          <w:p w14:paraId="7633994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EC5424B"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348BCA07" w14:textId="7305561B"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71D23FF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1EE1F13"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9EDB7C2" w14:textId="557F5BB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FAF6838"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273DDE8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B8F6F2A"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2700C00C" w14:textId="77777777" w:rsidTr="00EF5DF3">
        <w:trPr>
          <w:cantSplit/>
          <w:trHeight w:val="84"/>
        </w:trPr>
        <w:tc>
          <w:tcPr>
            <w:tcW w:w="1415" w:type="dxa"/>
            <w:tcBorders>
              <w:top w:val="nil"/>
              <w:left w:val="single" w:sz="2" w:space="0" w:color="auto"/>
              <w:bottom w:val="nil"/>
              <w:right w:val="single" w:sz="2" w:space="0" w:color="auto"/>
            </w:tcBorders>
          </w:tcPr>
          <w:p w14:paraId="489F26E7" w14:textId="1BDDB19E"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6C3B4597" w14:textId="1CA44037"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4961" w:type="dxa"/>
            <w:tcBorders>
              <w:top w:val="nil"/>
              <w:left w:val="single" w:sz="2" w:space="0" w:color="auto"/>
              <w:bottom w:val="nil"/>
              <w:right w:val="nil"/>
            </w:tcBorders>
          </w:tcPr>
          <w:p w14:paraId="38E9A83E" w14:textId="4C1D9642" w:rsidR="00EB1854" w:rsidRPr="00AD586B" w:rsidRDefault="00EB1854" w:rsidP="00AF6496">
            <w:pPr>
              <w:rPr>
                <w:rFonts w:cs="Calibri"/>
                <w:b/>
                <w:sz w:val="18"/>
                <w:szCs w:val="18"/>
              </w:rPr>
            </w:pPr>
            <w:r w:rsidRPr="00AD586B">
              <w:rPr>
                <w:rFonts w:cs="Calibri"/>
                <w:sz w:val="18"/>
                <w:szCs w:val="18"/>
              </w:rPr>
              <w:t>Depreciation</w:t>
            </w:r>
          </w:p>
        </w:tc>
        <w:tc>
          <w:tcPr>
            <w:tcW w:w="709" w:type="dxa"/>
            <w:tcBorders>
              <w:top w:val="nil"/>
              <w:left w:val="nil"/>
              <w:bottom w:val="nil"/>
              <w:right w:val="nil"/>
            </w:tcBorders>
          </w:tcPr>
          <w:p w14:paraId="76E82C0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F48457E"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3EF3DF9" w14:textId="608D141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C29637B"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41FD9B6B"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ADA4058" w14:textId="772ADA1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1E367EE"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1C16E7F6"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5CD7B52"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DB858BA" w14:textId="77777777" w:rsidTr="00EF5DF3">
        <w:trPr>
          <w:cantSplit/>
          <w:trHeight w:val="84"/>
        </w:trPr>
        <w:tc>
          <w:tcPr>
            <w:tcW w:w="1415" w:type="dxa"/>
            <w:tcBorders>
              <w:top w:val="nil"/>
              <w:left w:val="single" w:sz="2" w:space="0" w:color="auto"/>
              <w:bottom w:val="nil"/>
              <w:right w:val="single" w:sz="2" w:space="0" w:color="auto"/>
            </w:tcBorders>
          </w:tcPr>
          <w:p w14:paraId="53047D75" w14:textId="5FEC5745"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6E4DD0BC" w14:textId="77F4558D" w:rsidR="00EB1854" w:rsidRPr="00AD586B" w:rsidRDefault="00EB1854" w:rsidP="00AF6496">
            <w:pPr>
              <w:rPr>
                <w:rFonts w:cs="Calibri"/>
                <w:b/>
                <w:sz w:val="18"/>
                <w:szCs w:val="18"/>
              </w:rPr>
            </w:pPr>
            <w:r w:rsidRPr="00AD586B">
              <w:rPr>
                <w:rFonts w:cs="Calibri"/>
                <w:sz w:val="18"/>
                <w:szCs w:val="18"/>
              </w:rPr>
              <w:t>Acquisition/(Disposal) through Administrative Restructuring</w:t>
            </w:r>
          </w:p>
        </w:tc>
        <w:tc>
          <w:tcPr>
            <w:tcW w:w="709" w:type="dxa"/>
            <w:tcBorders>
              <w:top w:val="nil"/>
              <w:left w:val="nil"/>
              <w:bottom w:val="nil"/>
              <w:right w:val="nil"/>
            </w:tcBorders>
          </w:tcPr>
          <w:p w14:paraId="3A4DB75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F564925"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527EF53F" w14:textId="329EC0C6"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B9342A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C9DBD5C"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B711FE5" w14:textId="39402379"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DE14739"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1675FD9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478D95CB"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34C97AEC" w14:textId="77777777" w:rsidTr="00EF5DF3">
        <w:trPr>
          <w:cantSplit/>
          <w:trHeight w:val="84"/>
        </w:trPr>
        <w:tc>
          <w:tcPr>
            <w:tcW w:w="1415" w:type="dxa"/>
            <w:tcBorders>
              <w:top w:val="nil"/>
              <w:left w:val="single" w:sz="2" w:space="0" w:color="auto"/>
              <w:bottom w:val="nil"/>
              <w:right w:val="single" w:sz="2" w:space="0" w:color="auto"/>
            </w:tcBorders>
          </w:tcPr>
          <w:p w14:paraId="2F239684" w14:textId="0931DB3F"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035218AB" w14:textId="4FA8AB6D" w:rsidR="00EB1854" w:rsidRPr="00AD586B" w:rsidRDefault="00EB1854" w:rsidP="00AF6496">
            <w:pPr>
              <w:rPr>
                <w:rFonts w:cs="Calibri"/>
                <w:b/>
                <w:sz w:val="18"/>
                <w:szCs w:val="18"/>
              </w:rPr>
            </w:pPr>
            <w:r w:rsidRPr="00AD586B">
              <w:rPr>
                <w:rFonts w:cs="Calibri"/>
                <w:sz w:val="18"/>
                <w:szCs w:val="18"/>
              </w:rPr>
              <w:t>Acquisition/(Disposal) from Transfers</w:t>
            </w:r>
          </w:p>
        </w:tc>
        <w:tc>
          <w:tcPr>
            <w:tcW w:w="709" w:type="dxa"/>
            <w:tcBorders>
              <w:top w:val="nil"/>
              <w:left w:val="nil"/>
              <w:bottom w:val="nil"/>
              <w:right w:val="nil"/>
            </w:tcBorders>
          </w:tcPr>
          <w:p w14:paraId="7F8910BA"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B6F62A1"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853A566" w14:textId="7C40C26A"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BFD098E"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9A2DDB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5645BB6" w14:textId="7A765B8B"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61F27C4"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64454B17"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15E96BC"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78651CE" w14:textId="77777777" w:rsidTr="00EF5DF3">
        <w:trPr>
          <w:cantSplit/>
          <w:trHeight w:val="84"/>
        </w:trPr>
        <w:tc>
          <w:tcPr>
            <w:tcW w:w="1415" w:type="dxa"/>
            <w:tcBorders>
              <w:top w:val="nil"/>
              <w:left w:val="single" w:sz="2" w:space="0" w:color="auto"/>
              <w:bottom w:val="nil"/>
              <w:right w:val="single" w:sz="2" w:space="0" w:color="auto"/>
            </w:tcBorders>
          </w:tcPr>
          <w:p w14:paraId="7FF8A090" w14:textId="1610E1A3"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4961" w:type="dxa"/>
            <w:tcBorders>
              <w:top w:val="nil"/>
              <w:left w:val="single" w:sz="2" w:space="0" w:color="auto"/>
              <w:bottom w:val="nil"/>
              <w:right w:val="nil"/>
            </w:tcBorders>
          </w:tcPr>
          <w:p w14:paraId="0034B365" w14:textId="45827400" w:rsidR="00EB1854" w:rsidRPr="00AD586B" w:rsidRDefault="00EB1854" w:rsidP="00AF6496">
            <w:pPr>
              <w:rPr>
                <w:rFonts w:cs="Calibri"/>
                <w:b/>
                <w:sz w:val="18"/>
                <w:szCs w:val="18"/>
              </w:rPr>
            </w:pPr>
            <w:r w:rsidRPr="00AD586B">
              <w:rPr>
                <w:rFonts w:cs="Calibri"/>
                <w:sz w:val="18"/>
                <w:szCs w:val="18"/>
              </w:rPr>
              <w:t>Impairment Losses Recognised in the Operating Result</w:t>
            </w:r>
          </w:p>
        </w:tc>
        <w:tc>
          <w:tcPr>
            <w:tcW w:w="709" w:type="dxa"/>
            <w:tcBorders>
              <w:top w:val="nil"/>
              <w:left w:val="nil"/>
              <w:bottom w:val="nil"/>
              <w:right w:val="nil"/>
            </w:tcBorders>
          </w:tcPr>
          <w:p w14:paraId="00D2EB1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94122E1"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3692343E" w14:textId="5B2799B9"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1EAF0A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4634409"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D1FD3D8" w14:textId="6820261E"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90EEBBF"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2C76D5E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5F8DEC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99B2DD1" w14:textId="77777777" w:rsidTr="00EF5DF3">
        <w:trPr>
          <w:cantSplit/>
          <w:trHeight w:val="84"/>
        </w:trPr>
        <w:tc>
          <w:tcPr>
            <w:tcW w:w="1415" w:type="dxa"/>
            <w:tcBorders>
              <w:top w:val="nil"/>
              <w:left w:val="single" w:sz="2" w:space="0" w:color="auto"/>
              <w:bottom w:val="nil"/>
              <w:right w:val="single" w:sz="2" w:space="0" w:color="auto"/>
            </w:tcBorders>
          </w:tcPr>
          <w:p w14:paraId="34910FFB" w14:textId="4164EDF7"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4961" w:type="dxa"/>
            <w:tcBorders>
              <w:top w:val="nil"/>
              <w:left w:val="single" w:sz="2" w:space="0" w:color="auto"/>
              <w:bottom w:val="nil"/>
              <w:right w:val="nil"/>
            </w:tcBorders>
          </w:tcPr>
          <w:p w14:paraId="3C1ED4AB" w14:textId="09A2C855" w:rsidR="00EB1854" w:rsidRPr="00AD586B" w:rsidRDefault="00EB1854" w:rsidP="00AF6496">
            <w:pPr>
              <w:rPr>
                <w:rFonts w:cs="Calibri"/>
                <w:b/>
                <w:sz w:val="18"/>
                <w:szCs w:val="18"/>
              </w:rPr>
            </w:pPr>
            <w:r w:rsidRPr="00AD586B">
              <w:rPr>
                <w:rFonts w:cs="Calibri"/>
                <w:sz w:val="18"/>
                <w:szCs w:val="18"/>
              </w:rPr>
              <w:t>Reversal of Impairment Losses Recognised in the Operating Result</w:t>
            </w:r>
          </w:p>
        </w:tc>
        <w:tc>
          <w:tcPr>
            <w:tcW w:w="709" w:type="dxa"/>
            <w:tcBorders>
              <w:top w:val="nil"/>
              <w:left w:val="nil"/>
              <w:bottom w:val="nil"/>
              <w:right w:val="nil"/>
            </w:tcBorders>
          </w:tcPr>
          <w:p w14:paraId="05D17EB7"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8874FD7"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50F6D6BF" w14:textId="72E3CEF4"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89933EE"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0D63B8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86A036F" w14:textId="5F35DFC4"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612883A"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0000D6D1"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B3DB6D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56649590" w14:textId="77777777" w:rsidTr="00EF5DF3">
        <w:trPr>
          <w:cantSplit/>
          <w:trHeight w:val="84"/>
        </w:trPr>
        <w:tc>
          <w:tcPr>
            <w:tcW w:w="1415" w:type="dxa"/>
            <w:tcBorders>
              <w:top w:val="nil"/>
              <w:left w:val="single" w:sz="2" w:space="0" w:color="auto"/>
              <w:bottom w:val="nil"/>
              <w:right w:val="single" w:sz="2" w:space="0" w:color="auto"/>
            </w:tcBorders>
          </w:tcPr>
          <w:p w14:paraId="4A6799B8" w14:textId="7BDB9851"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4961" w:type="dxa"/>
            <w:tcBorders>
              <w:top w:val="nil"/>
              <w:left w:val="single" w:sz="2" w:space="0" w:color="auto"/>
              <w:bottom w:val="nil"/>
              <w:right w:val="nil"/>
            </w:tcBorders>
          </w:tcPr>
          <w:p w14:paraId="0381086E" w14:textId="6BF34492" w:rsidR="00EB1854" w:rsidRPr="00AD586B" w:rsidRDefault="00EB1854" w:rsidP="00AF6496">
            <w:pPr>
              <w:rPr>
                <w:rFonts w:cs="Calibri"/>
                <w:b/>
                <w:sz w:val="18"/>
                <w:szCs w:val="18"/>
              </w:rPr>
            </w:pPr>
            <w:r w:rsidRPr="00AD586B">
              <w:rPr>
                <w:rFonts w:cs="Calibri"/>
                <w:sz w:val="18"/>
                <w:szCs w:val="18"/>
              </w:rPr>
              <w:t>Changes in right-of-use assets due to changes in lease liability</w:t>
            </w:r>
          </w:p>
        </w:tc>
        <w:tc>
          <w:tcPr>
            <w:tcW w:w="709" w:type="dxa"/>
            <w:tcBorders>
              <w:top w:val="nil"/>
              <w:left w:val="nil"/>
              <w:bottom w:val="nil"/>
              <w:right w:val="nil"/>
            </w:tcBorders>
          </w:tcPr>
          <w:p w14:paraId="082D1C9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3C8C808"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5AF4C70" w14:textId="6A0EC5D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71142E4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7A5EB46"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E3FCEC8" w14:textId="25B62493"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0EC8DAB"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6E03D01B"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35386BC"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59DD3BDE" w14:textId="77777777" w:rsidTr="00EF5DF3">
        <w:trPr>
          <w:cantSplit/>
          <w:trHeight w:val="84"/>
        </w:trPr>
        <w:tc>
          <w:tcPr>
            <w:tcW w:w="1415" w:type="dxa"/>
            <w:tcBorders>
              <w:top w:val="nil"/>
              <w:left w:val="single" w:sz="2" w:space="0" w:color="auto"/>
              <w:bottom w:val="nil"/>
              <w:right w:val="single" w:sz="2" w:space="0" w:color="auto"/>
            </w:tcBorders>
          </w:tcPr>
          <w:p w14:paraId="390C651E" w14:textId="5A1DC6FD"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2B901162" w14:textId="07E5E34D" w:rsidR="00EB1854" w:rsidRPr="00AD586B" w:rsidRDefault="00EB1854" w:rsidP="00AF6496">
            <w:pPr>
              <w:rPr>
                <w:rFonts w:cs="Calibri"/>
                <w:b/>
                <w:sz w:val="18"/>
                <w:szCs w:val="18"/>
              </w:rPr>
            </w:pPr>
            <w:r w:rsidRPr="00AD586B">
              <w:rPr>
                <w:rFonts w:cs="Calibri"/>
                <w:sz w:val="18"/>
                <w:szCs w:val="18"/>
              </w:rPr>
              <w:t>Other Movements</w:t>
            </w:r>
          </w:p>
        </w:tc>
        <w:tc>
          <w:tcPr>
            <w:tcW w:w="709" w:type="dxa"/>
            <w:tcBorders>
              <w:top w:val="nil"/>
              <w:left w:val="nil"/>
              <w:bottom w:val="single" w:sz="4" w:space="0" w:color="auto"/>
              <w:right w:val="nil"/>
            </w:tcBorders>
          </w:tcPr>
          <w:p w14:paraId="50F79C2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455DE6C3"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single" w:sz="4" w:space="0" w:color="auto"/>
              <w:right w:val="nil"/>
            </w:tcBorders>
          </w:tcPr>
          <w:p w14:paraId="462DEC1E" w14:textId="58AECF9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6AC808F9"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11DDDD19"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170D1CA4" w14:textId="133FCE66"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6D106D82"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single" w:sz="4" w:space="0" w:color="auto"/>
              <w:right w:val="nil"/>
            </w:tcBorders>
          </w:tcPr>
          <w:p w14:paraId="2A45FB5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59C79CF5"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B499208" w14:textId="77777777" w:rsidTr="00EF5DF3">
        <w:trPr>
          <w:cantSplit/>
          <w:trHeight w:val="84"/>
        </w:trPr>
        <w:tc>
          <w:tcPr>
            <w:tcW w:w="1415" w:type="dxa"/>
            <w:tcBorders>
              <w:top w:val="nil"/>
              <w:left w:val="single" w:sz="2" w:space="0" w:color="auto"/>
              <w:bottom w:val="nil"/>
              <w:right w:val="single" w:sz="2" w:space="0" w:color="auto"/>
            </w:tcBorders>
          </w:tcPr>
          <w:p w14:paraId="1BDB9847" w14:textId="77777777"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5A1DA906" w14:textId="526D8DEB"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4961" w:type="dxa"/>
            <w:tcBorders>
              <w:top w:val="nil"/>
              <w:left w:val="single" w:sz="2" w:space="0" w:color="auto"/>
              <w:bottom w:val="nil"/>
              <w:right w:val="nil"/>
            </w:tcBorders>
          </w:tcPr>
          <w:p w14:paraId="3EEA3E6B" w14:textId="37B96C70" w:rsidR="00EB1854" w:rsidRPr="00AD586B" w:rsidRDefault="00EB1854" w:rsidP="00AF6496">
            <w:pPr>
              <w:rPr>
                <w:rFonts w:cs="Calibri"/>
                <w:b/>
                <w:sz w:val="18"/>
                <w:szCs w:val="18"/>
              </w:rPr>
            </w:pPr>
            <w:r w:rsidRPr="00AD586B">
              <w:rPr>
                <w:rFonts w:cs="Calibri"/>
                <w:b/>
                <w:bCs/>
                <w:sz w:val="18"/>
                <w:szCs w:val="18"/>
              </w:rPr>
              <w:t>Carrying Amount at the End of the Reporting Period</w:t>
            </w:r>
          </w:p>
        </w:tc>
        <w:tc>
          <w:tcPr>
            <w:tcW w:w="709" w:type="dxa"/>
            <w:tcBorders>
              <w:top w:val="single" w:sz="4" w:space="0" w:color="auto"/>
              <w:left w:val="nil"/>
              <w:bottom w:val="double" w:sz="4" w:space="0" w:color="auto"/>
              <w:right w:val="nil"/>
            </w:tcBorders>
          </w:tcPr>
          <w:p w14:paraId="3B6976A6" w14:textId="77777777" w:rsidR="00EB1854" w:rsidRPr="00AD586B" w:rsidRDefault="00EB1854" w:rsidP="00484799">
            <w:pPr>
              <w:jc w:val="center"/>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18F123EC"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single" w:sz="4" w:space="0" w:color="auto"/>
              <w:left w:val="nil"/>
              <w:bottom w:val="double" w:sz="4" w:space="0" w:color="auto"/>
              <w:right w:val="nil"/>
            </w:tcBorders>
          </w:tcPr>
          <w:p w14:paraId="57F987BC" w14:textId="3E6A8EB2"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1AD91170"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19AD943E"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147EBCDF" w14:textId="0777CAD9"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5D207FEA"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single" w:sz="4" w:space="0" w:color="auto"/>
              <w:left w:val="nil"/>
              <w:bottom w:val="double" w:sz="4" w:space="0" w:color="auto"/>
              <w:right w:val="nil"/>
            </w:tcBorders>
          </w:tcPr>
          <w:p w14:paraId="42D82A1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79D3BEBF"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F58ECAE" w14:textId="77777777" w:rsidTr="00EF5DF3">
        <w:trPr>
          <w:cantSplit/>
          <w:trHeight w:val="84"/>
        </w:trPr>
        <w:tc>
          <w:tcPr>
            <w:tcW w:w="1415" w:type="dxa"/>
            <w:tcBorders>
              <w:top w:val="nil"/>
              <w:left w:val="single" w:sz="2" w:space="0" w:color="auto"/>
              <w:bottom w:val="nil"/>
              <w:right w:val="single" w:sz="2" w:space="0" w:color="auto"/>
            </w:tcBorders>
          </w:tcPr>
          <w:p w14:paraId="63D5E3E9" w14:textId="77777777" w:rsidR="00EB1854" w:rsidRPr="00AD586B" w:rsidRDefault="00EB1854" w:rsidP="006060C9">
            <w:pPr>
              <w:pStyle w:val="TableReference"/>
              <w:tabs>
                <w:tab w:val="left" w:pos="3306"/>
              </w:tabs>
              <w:spacing w:before="40"/>
              <w:rPr>
                <w:rFonts w:cs="Calibri"/>
                <w:color w:val="7030A0"/>
                <w:sz w:val="14"/>
              </w:rPr>
            </w:pPr>
          </w:p>
        </w:tc>
        <w:tc>
          <w:tcPr>
            <w:tcW w:w="4961" w:type="dxa"/>
            <w:tcBorders>
              <w:top w:val="nil"/>
              <w:left w:val="single" w:sz="2" w:space="0" w:color="auto"/>
              <w:bottom w:val="nil"/>
              <w:right w:val="nil"/>
            </w:tcBorders>
          </w:tcPr>
          <w:p w14:paraId="1F9552A4" w14:textId="77777777" w:rsidR="00EB1854" w:rsidRPr="00AD586B" w:rsidRDefault="00EB1854" w:rsidP="00AF6496">
            <w:pPr>
              <w:rPr>
                <w:rFonts w:cs="Calibri"/>
                <w:b/>
                <w:bCs/>
                <w:sz w:val="16"/>
              </w:rPr>
            </w:pPr>
          </w:p>
        </w:tc>
        <w:tc>
          <w:tcPr>
            <w:tcW w:w="709" w:type="dxa"/>
            <w:tcBorders>
              <w:top w:val="double" w:sz="4" w:space="0" w:color="auto"/>
              <w:left w:val="nil"/>
              <w:bottom w:val="nil"/>
              <w:right w:val="nil"/>
            </w:tcBorders>
          </w:tcPr>
          <w:p w14:paraId="3E900DC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5BA91E55"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double" w:sz="4" w:space="0" w:color="auto"/>
              <w:left w:val="nil"/>
              <w:bottom w:val="nil"/>
              <w:right w:val="nil"/>
            </w:tcBorders>
          </w:tcPr>
          <w:p w14:paraId="376C9D73" w14:textId="75FBE5BB"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5CE113A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71B886C1"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41BCB7F4" w14:textId="331CC4D9"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FE9D8E3"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double" w:sz="4" w:space="0" w:color="auto"/>
              <w:left w:val="nil"/>
              <w:bottom w:val="nil"/>
              <w:right w:val="nil"/>
            </w:tcBorders>
          </w:tcPr>
          <w:p w14:paraId="49328715"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32750BF8"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65EAA2EA" w14:textId="77777777" w:rsidTr="00F80015">
        <w:trPr>
          <w:cantSplit/>
          <w:trHeight w:val="23"/>
        </w:trPr>
        <w:tc>
          <w:tcPr>
            <w:tcW w:w="1415" w:type="dxa"/>
            <w:tcBorders>
              <w:top w:val="nil"/>
              <w:left w:val="single" w:sz="2" w:space="0" w:color="auto"/>
              <w:bottom w:val="nil"/>
              <w:right w:val="single" w:sz="2" w:space="0" w:color="auto"/>
            </w:tcBorders>
          </w:tcPr>
          <w:p w14:paraId="0B758ADD" w14:textId="77777777" w:rsidR="00F80015" w:rsidRPr="00AD586B" w:rsidRDefault="00F80015" w:rsidP="00AF6496">
            <w:pPr>
              <w:pStyle w:val="TableReference"/>
              <w:tabs>
                <w:tab w:val="left" w:pos="3306"/>
              </w:tabs>
              <w:spacing w:before="40"/>
              <w:rPr>
                <w:rFonts w:cs="Calibri"/>
                <w:color w:val="7030A0"/>
                <w:sz w:val="18"/>
                <w:szCs w:val="18"/>
              </w:rPr>
            </w:pPr>
          </w:p>
        </w:tc>
        <w:tc>
          <w:tcPr>
            <w:tcW w:w="14175" w:type="dxa"/>
            <w:gridSpan w:val="10"/>
            <w:tcBorders>
              <w:top w:val="nil"/>
              <w:left w:val="single" w:sz="2" w:space="0" w:color="auto"/>
              <w:bottom w:val="nil"/>
              <w:right w:val="nil"/>
            </w:tcBorders>
          </w:tcPr>
          <w:p w14:paraId="4BD6D2A3" w14:textId="79F9BD43" w:rsidR="00F80015" w:rsidRPr="00AD586B" w:rsidRDefault="00F80015" w:rsidP="00F15CC8">
            <w:pPr>
              <w:pStyle w:val="TableText"/>
              <w:tabs>
                <w:tab w:val="left" w:pos="3306"/>
              </w:tabs>
              <w:rPr>
                <w:rFonts w:cs="Calibri"/>
                <w:b/>
                <w:bCs/>
              </w:rPr>
            </w:pPr>
            <w:r w:rsidRPr="00AD586B">
              <w:rPr>
                <w:rFonts w:cs="Calibri"/>
              </w:rPr>
              <w:t>Carrying Amount at the End of the Reporting Period, is represented by:</w:t>
            </w:r>
          </w:p>
        </w:tc>
      </w:tr>
      <w:tr w:rsidR="00F80015" w:rsidRPr="000415FC" w14:paraId="393A02B6" w14:textId="77777777" w:rsidTr="00EF5DF3">
        <w:trPr>
          <w:cantSplit/>
          <w:trHeight w:val="23"/>
        </w:trPr>
        <w:tc>
          <w:tcPr>
            <w:tcW w:w="1415" w:type="dxa"/>
            <w:tcBorders>
              <w:top w:val="nil"/>
              <w:left w:val="single" w:sz="2" w:space="0" w:color="auto"/>
              <w:bottom w:val="nil"/>
              <w:right w:val="single" w:sz="2" w:space="0" w:color="auto"/>
            </w:tcBorders>
          </w:tcPr>
          <w:p w14:paraId="61021B7B" w14:textId="2C53EE34"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116.73(a) &amp;(d)</w:t>
            </w:r>
          </w:p>
        </w:tc>
        <w:tc>
          <w:tcPr>
            <w:tcW w:w="4961" w:type="dxa"/>
            <w:tcBorders>
              <w:top w:val="nil"/>
              <w:left w:val="single" w:sz="2" w:space="0" w:color="auto"/>
              <w:bottom w:val="nil"/>
              <w:right w:val="nil"/>
            </w:tcBorders>
            <w:vAlign w:val="bottom"/>
          </w:tcPr>
          <w:p w14:paraId="28E52E87" w14:textId="0D6F2553" w:rsidR="00EB1854" w:rsidRPr="00AD586B" w:rsidRDefault="00EB1854" w:rsidP="00AF6496">
            <w:pPr>
              <w:pStyle w:val="TableText"/>
              <w:tabs>
                <w:tab w:val="left" w:pos="3306"/>
              </w:tabs>
              <w:spacing w:before="20" w:after="20"/>
              <w:rPr>
                <w:rFonts w:cs="Calibri"/>
              </w:rPr>
            </w:pPr>
            <w:r w:rsidRPr="00AD586B">
              <w:rPr>
                <w:rFonts w:cs="Calibri"/>
              </w:rPr>
              <w:t>Gross Book Value</w:t>
            </w:r>
          </w:p>
        </w:tc>
        <w:tc>
          <w:tcPr>
            <w:tcW w:w="709" w:type="dxa"/>
            <w:tcBorders>
              <w:top w:val="nil"/>
              <w:left w:val="nil"/>
              <w:bottom w:val="nil"/>
              <w:right w:val="nil"/>
            </w:tcBorders>
            <w:vAlign w:val="bottom"/>
          </w:tcPr>
          <w:p w14:paraId="7D7CEF84"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6930723"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6675B373" w14:textId="25BBF42C"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4C724035"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6E7E757"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56160DA4" w14:textId="28BF8898"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271624FF"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17960B01"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7230D9F6" w14:textId="77777777" w:rsidR="00EB1854" w:rsidRPr="000415FC" w:rsidRDefault="00EB1854" w:rsidP="00AF6496">
            <w:pPr>
              <w:pStyle w:val="TableText"/>
              <w:tabs>
                <w:tab w:val="left" w:pos="3306"/>
              </w:tabs>
              <w:jc w:val="right"/>
              <w:rPr>
                <w:rFonts w:cs="Calibri"/>
                <w:b/>
                <w:bCs/>
                <w:sz w:val="16"/>
                <w:szCs w:val="16"/>
              </w:rPr>
            </w:pPr>
          </w:p>
        </w:tc>
      </w:tr>
      <w:tr w:rsidR="00F80015" w:rsidRPr="000415FC" w14:paraId="45B544B0" w14:textId="77777777" w:rsidTr="00EF5DF3">
        <w:trPr>
          <w:cantSplit/>
          <w:trHeight w:val="23"/>
        </w:trPr>
        <w:tc>
          <w:tcPr>
            <w:tcW w:w="1415" w:type="dxa"/>
            <w:tcBorders>
              <w:top w:val="nil"/>
              <w:left w:val="single" w:sz="2" w:space="0" w:color="auto"/>
              <w:bottom w:val="nil"/>
              <w:right w:val="single" w:sz="2" w:space="0" w:color="auto"/>
            </w:tcBorders>
          </w:tcPr>
          <w:p w14:paraId="0CB6D345" w14:textId="2AE61B08"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4961" w:type="dxa"/>
            <w:tcBorders>
              <w:top w:val="nil"/>
              <w:left w:val="single" w:sz="2" w:space="0" w:color="auto"/>
              <w:bottom w:val="nil"/>
              <w:right w:val="nil"/>
            </w:tcBorders>
            <w:vAlign w:val="bottom"/>
          </w:tcPr>
          <w:p w14:paraId="5CD3BAFB" w14:textId="048A5029" w:rsidR="00EB1854" w:rsidRPr="00AD586B" w:rsidRDefault="00EB1854" w:rsidP="00AF6496">
            <w:pPr>
              <w:pStyle w:val="TableText"/>
              <w:tabs>
                <w:tab w:val="left" w:pos="3306"/>
              </w:tabs>
              <w:spacing w:before="20" w:after="20"/>
              <w:rPr>
                <w:rFonts w:cs="Calibri"/>
              </w:rPr>
            </w:pPr>
            <w:r w:rsidRPr="00AD586B">
              <w:rPr>
                <w:rFonts w:cs="Calibri"/>
              </w:rPr>
              <w:t xml:space="preserve">Accumulated Depreciation </w:t>
            </w:r>
          </w:p>
        </w:tc>
        <w:tc>
          <w:tcPr>
            <w:tcW w:w="709" w:type="dxa"/>
            <w:tcBorders>
              <w:top w:val="nil"/>
              <w:left w:val="nil"/>
              <w:bottom w:val="nil"/>
              <w:right w:val="nil"/>
            </w:tcBorders>
            <w:vAlign w:val="bottom"/>
          </w:tcPr>
          <w:p w14:paraId="767BB03B"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FF163F9"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57A12ED2" w14:textId="4185AAAC"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5D8E14A4"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161E99DB"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2EBACD11" w14:textId="19A2D052"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4F59D7D2"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44B97A8A"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1A9EE583" w14:textId="77777777" w:rsidR="00EB1854" w:rsidRPr="000415FC" w:rsidRDefault="00EB1854" w:rsidP="00AF6496">
            <w:pPr>
              <w:pStyle w:val="TableText"/>
              <w:tabs>
                <w:tab w:val="left" w:pos="3306"/>
              </w:tabs>
              <w:jc w:val="right"/>
              <w:rPr>
                <w:rFonts w:cs="Calibri"/>
                <w:b/>
                <w:bCs/>
                <w:sz w:val="16"/>
                <w:szCs w:val="16"/>
              </w:rPr>
            </w:pPr>
          </w:p>
        </w:tc>
      </w:tr>
      <w:tr w:rsidR="00F80015" w:rsidRPr="000415FC" w14:paraId="3442892F" w14:textId="77777777" w:rsidTr="00EF5DF3">
        <w:trPr>
          <w:cantSplit/>
          <w:trHeight w:val="23"/>
        </w:trPr>
        <w:tc>
          <w:tcPr>
            <w:tcW w:w="1415" w:type="dxa"/>
            <w:tcBorders>
              <w:top w:val="nil"/>
              <w:left w:val="single" w:sz="2" w:space="0" w:color="auto"/>
              <w:bottom w:val="nil"/>
              <w:right w:val="single" w:sz="2" w:space="0" w:color="auto"/>
            </w:tcBorders>
          </w:tcPr>
          <w:p w14:paraId="37C4E00E" w14:textId="58A7C916"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4961" w:type="dxa"/>
            <w:tcBorders>
              <w:top w:val="nil"/>
              <w:left w:val="single" w:sz="2" w:space="0" w:color="auto"/>
              <w:bottom w:val="nil"/>
              <w:right w:val="nil"/>
            </w:tcBorders>
            <w:vAlign w:val="bottom"/>
          </w:tcPr>
          <w:p w14:paraId="16D44D88" w14:textId="4F9CCB38" w:rsidR="00EB1854" w:rsidRPr="00AD586B" w:rsidRDefault="00EB1854" w:rsidP="00AF6496">
            <w:pPr>
              <w:pStyle w:val="TableText"/>
              <w:tabs>
                <w:tab w:val="left" w:pos="3306"/>
              </w:tabs>
              <w:spacing w:before="20" w:after="20"/>
              <w:rPr>
                <w:rFonts w:cs="Calibri"/>
              </w:rPr>
            </w:pPr>
            <w:r w:rsidRPr="00AD586B">
              <w:rPr>
                <w:rFonts w:cs="Calibri"/>
              </w:rPr>
              <w:t>Accumulated Impairment Losses</w:t>
            </w:r>
          </w:p>
        </w:tc>
        <w:tc>
          <w:tcPr>
            <w:tcW w:w="709" w:type="dxa"/>
            <w:tcBorders>
              <w:top w:val="nil"/>
              <w:left w:val="nil"/>
              <w:bottom w:val="nil"/>
              <w:right w:val="nil"/>
            </w:tcBorders>
            <w:vAlign w:val="bottom"/>
          </w:tcPr>
          <w:p w14:paraId="7FC7D9D3"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4EC20A3"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5FECCA9E" w14:textId="2A9518FB"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1A25F527"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A0E28E5"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3D3AA645" w14:textId="2F0125A6"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0E097B63"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1CCF4209"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625082B" w14:textId="77777777" w:rsidR="00EB1854" w:rsidRPr="000415FC" w:rsidRDefault="00EB1854" w:rsidP="00AF6496">
            <w:pPr>
              <w:pStyle w:val="TableText"/>
              <w:tabs>
                <w:tab w:val="left" w:pos="3306"/>
              </w:tabs>
              <w:jc w:val="right"/>
              <w:rPr>
                <w:rFonts w:cs="Calibri"/>
                <w:b/>
                <w:bCs/>
                <w:sz w:val="16"/>
                <w:szCs w:val="16"/>
              </w:rPr>
            </w:pPr>
          </w:p>
        </w:tc>
      </w:tr>
      <w:tr w:rsidR="00F80015" w:rsidRPr="000415FC" w14:paraId="0A632DE0" w14:textId="77777777" w:rsidTr="00EF5DF3">
        <w:trPr>
          <w:cantSplit/>
          <w:trHeight w:val="23"/>
        </w:trPr>
        <w:tc>
          <w:tcPr>
            <w:tcW w:w="1415" w:type="dxa"/>
            <w:tcBorders>
              <w:top w:val="nil"/>
              <w:left w:val="single" w:sz="2" w:space="0" w:color="auto"/>
              <w:bottom w:val="nil"/>
              <w:right w:val="single" w:sz="2" w:space="0" w:color="auto"/>
            </w:tcBorders>
          </w:tcPr>
          <w:p w14:paraId="46E4FC7F" w14:textId="37DA4043" w:rsidR="00EB1854" w:rsidRPr="008A6781" w:rsidRDefault="00EB1854" w:rsidP="00AF6496">
            <w:pPr>
              <w:pStyle w:val="TableReference"/>
              <w:tabs>
                <w:tab w:val="left" w:pos="3306"/>
              </w:tabs>
              <w:spacing w:before="40"/>
              <w:rPr>
                <w:rFonts w:cs="Calibri"/>
                <w:strike/>
                <w:color w:val="FF0000"/>
                <w:sz w:val="14"/>
              </w:rPr>
            </w:pPr>
            <w:r w:rsidRPr="008A6781">
              <w:rPr>
                <w:rFonts w:cs="Calibri"/>
                <w:strike/>
                <w:color w:val="FF0000"/>
                <w:sz w:val="14"/>
              </w:rPr>
              <w:t>AASB 16.53(j)</w:t>
            </w:r>
          </w:p>
        </w:tc>
        <w:tc>
          <w:tcPr>
            <w:tcW w:w="4961" w:type="dxa"/>
            <w:tcBorders>
              <w:top w:val="nil"/>
              <w:left w:val="single" w:sz="2" w:space="0" w:color="auto"/>
              <w:bottom w:val="nil"/>
              <w:right w:val="nil"/>
            </w:tcBorders>
            <w:vAlign w:val="bottom"/>
          </w:tcPr>
          <w:p w14:paraId="59B7704C" w14:textId="0311FE63" w:rsidR="00EB1854" w:rsidRPr="008A6781" w:rsidRDefault="00EB1854" w:rsidP="00AF6496">
            <w:pPr>
              <w:pStyle w:val="TableText"/>
              <w:tabs>
                <w:tab w:val="left" w:pos="3306"/>
              </w:tabs>
              <w:spacing w:before="20" w:after="20"/>
              <w:rPr>
                <w:rFonts w:cs="Calibri"/>
                <w:strike/>
                <w:color w:val="FF0000"/>
              </w:rPr>
            </w:pPr>
            <w:r w:rsidRPr="008A6781">
              <w:rPr>
                <w:rFonts w:cs="Calibri"/>
                <w:strike/>
                <w:color w:val="FF0000"/>
              </w:rPr>
              <w:t>Carrying Amount of Right-of-Use Assets</w:t>
            </w:r>
          </w:p>
        </w:tc>
        <w:tc>
          <w:tcPr>
            <w:tcW w:w="709" w:type="dxa"/>
            <w:tcBorders>
              <w:top w:val="nil"/>
              <w:left w:val="nil"/>
              <w:bottom w:val="nil"/>
              <w:right w:val="nil"/>
            </w:tcBorders>
            <w:vAlign w:val="bottom"/>
          </w:tcPr>
          <w:p w14:paraId="7D184AC5"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40A77B94"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260EC251" w14:textId="61ACE3AE"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1F41576C"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7E295534"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28C39457" w14:textId="6C43BFFE"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721E99BB"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1AFC89C1"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653D7D77" w14:textId="77777777" w:rsidR="00EB1854" w:rsidRPr="000415FC" w:rsidRDefault="00EB1854" w:rsidP="00AF6496">
            <w:pPr>
              <w:pStyle w:val="TableText"/>
              <w:tabs>
                <w:tab w:val="left" w:pos="3306"/>
              </w:tabs>
              <w:jc w:val="right"/>
              <w:rPr>
                <w:rFonts w:cs="Calibri"/>
                <w:b/>
                <w:bCs/>
                <w:sz w:val="16"/>
                <w:szCs w:val="16"/>
              </w:rPr>
            </w:pPr>
          </w:p>
        </w:tc>
      </w:tr>
      <w:tr w:rsidR="005559F1" w:rsidRPr="000415FC" w14:paraId="7E03EA6B" w14:textId="77777777" w:rsidTr="00F80015">
        <w:trPr>
          <w:cantSplit/>
          <w:trHeight w:val="23"/>
        </w:trPr>
        <w:tc>
          <w:tcPr>
            <w:tcW w:w="1415" w:type="dxa"/>
            <w:tcBorders>
              <w:top w:val="nil"/>
              <w:left w:val="single" w:sz="2" w:space="0" w:color="auto"/>
              <w:bottom w:val="nil"/>
              <w:right w:val="single" w:sz="2" w:space="0" w:color="auto"/>
            </w:tcBorders>
          </w:tcPr>
          <w:p w14:paraId="71921399" w14:textId="77777777" w:rsidR="005559F1" w:rsidRPr="00AD586B" w:rsidRDefault="005559F1"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0C06DAC8" w14:textId="77777777" w:rsidR="005559F1" w:rsidRPr="00AD586B" w:rsidRDefault="005559F1" w:rsidP="00E6027A">
            <w:pPr>
              <w:pStyle w:val="TableText"/>
              <w:tabs>
                <w:tab w:val="left" w:pos="3306"/>
              </w:tabs>
              <w:jc w:val="both"/>
              <w:rPr>
                <w:rFonts w:cs="Calibri"/>
              </w:rPr>
            </w:pPr>
          </w:p>
        </w:tc>
      </w:tr>
      <w:bookmarkEnd w:id="638"/>
      <w:tr w:rsidR="00AF6496" w:rsidRPr="000415FC" w14:paraId="5FFA8DAB" w14:textId="77777777" w:rsidTr="00F80015">
        <w:trPr>
          <w:cantSplit/>
          <w:trHeight w:val="23"/>
        </w:trPr>
        <w:tc>
          <w:tcPr>
            <w:tcW w:w="1415" w:type="dxa"/>
            <w:tcBorders>
              <w:top w:val="nil"/>
              <w:left w:val="single" w:sz="2" w:space="0" w:color="auto"/>
              <w:bottom w:val="nil"/>
              <w:right w:val="single" w:sz="2" w:space="0" w:color="auto"/>
            </w:tcBorders>
          </w:tcPr>
          <w:p w14:paraId="23E6196A"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08953AB9" w14:textId="56EDA50F" w:rsidR="00AF6496" w:rsidRPr="00AD586B" w:rsidRDefault="00AF6496" w:rsidP="00E6027A">
            <w:pPr>
              <w:pStyle w:val="TableText"/>
              <w:tabs>
                <w:tab w:val="left" w:pos="3306"/>
              </w:tabs>
              <w:jc w:val="both"/>
              <w:rPr>
                <w:rFonts w:cs="Calibri"/>
                <w:b/>
                <w:bCs/>
              </w:rPr>
            </w:pPr>
            <w:r w:rsidRPr="00AD586B">
              <w:rPr>
                <w:rFonts w:cs="Calibri"/>
              </w:rPr>
              <w:t>a) The increase in land of $</w:t>
            </w:r>
            <w:r w:rsidR="00FB3AD2">
              <w:rPr>
                <w:rFonts w:cs="Calibri"/>
              </w:rPr>
              <w:t>xxx</w:t>
            </w:r>
            <w:r w:rsidRPr="00AD586B">
              <w:rPr>
                <w:rFonts w:cs="Calibri"/>
              </w:rPr>
              <w:t xml:space="preserve"> resulted from the Agency purchasing land in order to build a new warehouse for the storage of large items of plant and equipment and land to build a shopfront.</w:t>
            </w:r>
            <w:r w:rsidR="00FA7C77">
              <w:rPr>
                <w:rFonts w:cs="Calibri"/>
              </w:rPr>
              <w:t xml:space="preserve"> </w:t>
            </w:r>
            <w:r w:rsidRPr="00AD586B">
              <w:rPr>
                <w:rFonts w:cs="Calibri"/>
              </w:rPr>
              <w:t xml:space="preserve">The increase also resulted from a revaluation of the Agency’s existing land, which occurs every </w:t>
            </w:r>
            <w:r w:rsidR="006E7FE9">
              <w:rPr>
                <w:rFonts w:cs="Calibri"/>
              </w:rPr>
              <w:t>three</w:t>
            </w:r>
            <w:r w:rsidRPr="00AD586B">
              <w:rPr>
                <w:rFonts w:cs="Calibri"/>
              </w:rPr>
              <w:t xml:space="preserve"> years.</w:t>
            </w:r>
          </w:p>
        </w:tc>
      </w:tr>
      <w:tr w:rsidR="00AF6496" w:rsidRPr="000415FC" w14:paraId="31E237BA" w14:textId="77777777" w:rsidTr="00F80015">
        <w:trPr>
          <w:cantSplit/>
          <w:trHeight w:val="23"/>
        </w:trPr>
        <w:tc>
          <w:tcPr>
            <w:tcW w:w="1415" w:type="dxa"/>
            <w:tcBorders>
              <w:top w:val="nil"/>
              <w:left w:val="single" w:sz="2" w:space="0" w:color="auto"/>
              <w:bottom w:val="nil"/>
              <w:right w:val="single" w:sz="2" w:space="0" w:color="auto"/>
            </w:tcBorders>
          </w:tcPr>
          <w:p w14:paraId="5F53D4DC"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2E19E13A" w14:textId="7EB10805" w:rsidR="00AF6496" w:rsidRPr="00AD586B" w:rsidRDefault="00AF6496" w:rsidP="00E6027A">
            <w:pPr>
              <w:pStyle w:val="TableText"/>
              <w:tabs>
                <w:tab w:val="left" w:pos="3306"/>
              </w:tabs>
              <w:jc w:val="both"/>
              <w:rPr>
                <w:rFonts w:cs="Calibri"/>
                <w:b/>
                <w:bCs/>
              </w:rPr>
            </w:pPr>
            <w:r w:rsidRPr="00AD586B">
              <w:rPr>
                <w:rFonts w:cs="Calibri"/>
              </w:rPr>
              <w:t>b) The increase in buildings of $</w:t>
            </w:r>
            <w:r w:rsidR="00FB3AD2">
              <w:rPr>
                <w:rFonts w:cs="Calibri"/>
              </w:rPr>
              <w:t>xxx</w:t>
            </w:r>
            <w:r w:rsidRPr="00AD586B">
              <w:rPr>
                <w:rFonts w:cs="Calibri"/>
              </w:rPr>
              <w:t xml:space="preserve"> resulted from two buildings located in Fyshwick and Canberra City being completed and transferred out of Capital Works in Progress.</w:t>
            </w:r>
            <w:r w:rsidR="00FA7C77">
              <w:rPr>
                <w:rFonts w:cs="Calibri"/>
              </w:rPr>
              <w:t xml:space="preserve"> </w:t>
            </w:r>
            <w:r w:rsidRPr="00AD586B">
              <w:rPr>
                <w:rFonts w:cs="Calibri"/>
              </w:rPr>
              <w:t xml:space="preserve">The increase also resulted from a revaluation of the Agency’s existing buildings, which occurs once every </w:t>
            </w:r>
            <w:r w:rsidR="006E7FE9">
              <w:rPr>
                <w:rFonts w:cs="Calibri"/>
              </w:rPr>
              <w:t>three</w:t>
            </w:r>
            <w:r w:rsidRPr="00AD586B">
              <w:rPr>
                <w:rFonts w:cs="Calibri"/>
              </w:rPr>
              <w:t xml:space="preserve"> years, and from a surplus building being transferred to the Agency from ACT Property Group, which will be used in the delivery of municipal services.</w:t>
            </w:r>
          </w:p>
        </w:tc>
      </w:tr>
      <w:tr w:rsidR="00AF6496" w:rsidRPr="000415FC" w14:paraId="28E778EB" w14:textId="77777777" w:rsidTr="00F80015">
        <w:trPr>
          <w:cantSplit/>
          <w:trHeight w:val="23"/>
        </w:trPr>
        <w:tc>
          <w:tcPr>
            <w:tcW w:w="1415" w:type="dxa"/>
            <w:tcBorders>
              <w:top w:val="nil"/>
              <w:left w:val="single" w:sz="2" w:space="0" w:color="auto"/>
              <w:bottom w:val="nil"/>
              <w:right w:val="single" w:sz="2" w:space="0" w:color="auto"/>
            </w:tcBorders>
          </w:tcPr>
          <w:p w14:paraId="3FA5713E"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48F638A2" w14:textId="769EF8DC" w:rsidR="00AF6496" w:rsidRPr="00AD586B" w:rsidRDefault="00AF6496" w:rsidP="00E6027A">
            <w:pPr>
              <w:pStyle w:val="TableText"/>
              <w:jc w:val="both"/>
              <w:rPr>
                <w:rFonts w:cs="Calibri"/>
              </w:rPr>
            </w:pPr>
            <w:r w:rsidRPr="00AD586B">
              <w:rPr>
                <w:rFonts w:cs="Calibri"/>
              </w:rPr>
              <w:t xml:space="preserve">c) The increase in </w:t>
            </w:r>
            <w:r w:rsidRPr="00982C59">
              <w:rPr>
                <w:rFonts w:cs="Calibri"/>
                <w:strike/>
                <w:color w:val="FF0000"/>
              </w:rPr>
              <w:t>Community and</w:t>
            </w:r>
            <w:r w:rsidRPr="00AD586B">
              <w:rPr>
                <w:rFonts w:cs="Calibri"/>
              </w:rPr>
              <w:t xml:space="preserve"> Heritage </w:t>
            </w:r>
            <w:r w:rsidR="00982C59" w:rsidRPr="0050766A">
              <w:rPr>
                <w:color w:val="FF0000"/>
              </w:rPr>
              <w:t xml:space="preserve">and </w:t>
            </w:r>
            <w:r w:rsidR="00982C59">
              <w:rPr>
                <w:color w:val="FF0000"/>
              </w:rPr>
              <w:t>C</w:t>
            </w:r>
            <w:r w:rsidR="00982C59" w:rsidRPr="0050766A">
              <w:rPr>
                <w:color w:val="FF0000"/>
              </w:rPr>
              <w:t>ommunity</w:t>
            </w:r>
            <w:r w:rsidR="00982C59" w:rsidRPr="00AD586B">
              <w:rPr>
                <w:rFonts w:cs="Calibri"/>
              </w:rPr>
              <w:t xml:space="preserve"> </w:t>
            </w:r>
            <w:r w:rsidRPr="00AD586B">
              <w:rPr>
                <w:rFonts w:cs="Calibri"/>
              </w:rPr>
              <w:t>assets of $</w:t>
            </w:r>
            <w:r w:rsidR="00FB3AD2">
              <w:rPr>
                <w:rFonts w:cs="Calibri"/>
              </w:rPr>
              <w:t>xxx</w:t>
            </w:r>
            <w:r w:rsidRPr="00AD586B">
              <w:rPr>
                <w:rFonts w:cs="Calibri"/>
              </w:rPr>
              <w:t xml:space="preserve"> has resulted from a revaluation of </w:t>
            </w:r>
            <w:r w:rsidRPr="005408A6">
              <w:rPr>
                <w:rFonts w:cs="Calibri"/>
                <w:strike/>
                <w:color w:val="FF0000"/>
              </w:rPr>
              <w:t>Community and</w:t>
            </w:r>
            <w:r w:rsidRPr="005408A6">
              <w:rPr>
                <w:rFonts w:cs="Calibri"/>
                <w:color w:val="FF0000"/>
              </w:rPr>
              <w:t xml:space="preserve"> </w:t>
            </w:r>
            <w:r w:rsidRPr="00AD586B">
              <w:rPr>
                <w:rFonts w:cs="Calibri"/>
              </w:rPr>
              <w:t xml:space="preserve">Heritage </w:t>
            </w:r>
            <w:r w:rsidR="005408A6" w:rsidRPr="0050766A">
              <w:rPr>
                <w:color w:val="FF0000"/>
              </w:rPr>
              <w:t xml:space="preserve">and </w:t>
            </w:r>
            <w:r w:rsidR="005408A6">
              <w:rPr>
                <w:color w:val="FF0000"/>
              </w:rPr>
              <w:t>C</w:t>
            </w:r>
            <w:r w:rsidR="005408A6" w:rsidRPr="0050766A">
              <w:rPr>
                <w:color w:val="FF0000"/>
              </w:rPr>
              <w:t>ommunity</w:t>
            </w:r>
            <w:r w:rsidR="005408A6" w:rsidRPr="00AD586B">
              <w:rPr>
                <w:rFonts w:cs="Calibri"/>
              </w:rPr>
              <w:t xml:space="preserve"> </w:t>
            </w:r>
            <w:r w:rsidRPr="00AD586B">
              <w:rPr>
                <w:rFonts w:cs="Calibri"/>
              </w:rPr>
              <w:t>assets undertaken by ‘</w:t>
            </w:r>
            <w:r w:rsidRPr="00AD586B">
              <w:t xml:space="preserve">Burley Griffin </w:t>
            </w:r>
            <w:r w:rsidRPr="00AD586B">
              <w:rPr>
                <w:rFonts w:cs="Calibri"/>
              </w:rPr>
              <w:t>Agency’.</w:t>
            </w:r>
            <w:r w:rsidR="00FA7C77">
              <w:rPr>
                <w:rFonts w:cs="Calibri"/>
              </w:rPr>
              <w:t xml:space="preserve"> </w:t>
            </w:r>
            <w:r w:rsidRPr="00AD586B">
              <w:rPr>
                <w:rFonts w:cs="Calibri"/>
              </w:rPr>
              <w:t>The increase is also a result of a restructure of administrative arrangements, whereby ‘</w:t>
            </w:r>
            <w:r w:rsidRPr="00AD586B">
              <w:t xml:space="preserve">Burley Griffin </w:t>
            </w:r>
            <w:r w:rsidRPr="00AD586B">
              <w:rPr>
                <w:rFonts w:cs="Calibri"/>
              </w:rPr>
              <w:t xml:space="preserve">Agency’ received, a number of large heritage assets from </w:t>
            </w:r>
            <w:r w:rsidRPr="00AD586B">
              <w:t>ABC Directorate</w:t>
            </w:r>
            <w:r w:rsidRPr="00152C5D">
              <w:rPr>
                <w:rFonts w:cs="Calibri"/>
              </w:rPr>
              <w:t xml:space="preserve">. </w:t>
            </w:r>
            <w:r w:rsidRPr="00152C5D">
              <w:rPr>
                <w:rFonts w:cs="Calibri"/>
                <w:strike/>
                <w:color w:val="FF0000"/>
              </w:rPr>
              <w:t>Please</w:t>
            </w:r>
            <w:r w:rsidRPr="00AD586B">
              <w:rPr>
                <w:rFonts w:cs="Calibri"/>
              </w:rPr>
              <w:t xml:space="preserve"> </w:t>
            </w:r>
            <w:r w:rsidR="00D96A68">
              <w:rPr>
                <w:rFonts w:cs="Calibri"/>
              </w:rPr>
              <w:t>R</w:t>
            </w:r>
            <w:r w:rsidRPr="00AD586B">
              <w:rPr>
                <w:rFonts w:cs="Calibri"/>
              </w:rPr>
              <w:t xml:space="preserve">efer to Note 30 </w:t>
            </w:r>
            <w:r w:rsidRPr="00AD586B">
              <w:rPr>
                <w:rFonts w:cs="Calibri"/>
                <w:i/>
                <w:iCs/>
              </w:rPr>
              <w:t>Restructure of Administrative Arrangements</w:t>
            </w:r>
            <w:r w:rsidRPr="00AD586B">
              <w:rPr>
                <w:rFonts w:cs="Calibri"/>
                <w:i/>
              </w:rPr>
              <w:t xml:space="preserve"> </w:t>
            </w:r>
            <w:r w:rsidRPr="00AD586B">
              <w:rPr>
                <w:rFonts w:cs="Calibri"/>
              </w:rPr>
              <w:t>for further details.</w:t>
            </w:r>
          </w:p>
        </w:tc>
      </w:tr>
      <w:bookmarkEnd w:id="636"/>
      <w:bookmarkEnd w:id="637"/>
    </w:tbl>
    <w:p w14:paraId="79CB4332" w14:textId="4D56FBA3" w:rsidR="00B02AD2" w:rsidRDefault="00B02AD2" w:rsidP="0096118D">
      <w:pPr>
        <w:pStyle w:val="TableReference"/>
        <w:tabs>
          <w:tab w:val="left" w:pos="3306"/>
        </w:tabs>
        <w:spacing w:before="40"/>
        <w:rPr>
          <w:rFonts w:cs="Calibri"/>
          <w:color w:val="auto"/>
          <w:sz w:val="16"/>
          <w:szCs w:val="16"/>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5"/>
        <w:gridCol w:w="5103"/>
        <w:gridCol w:w="709"/>
        <w:gridCol w:w="992"/>
        <w:gridCol w:w="850"/>
        <w:gridCol w:w="1134"/>
        <w:gridCol w:w="993"/>
        <w:gridCol w:w="1134"/>
        <w:gridCol w:w="1134"/>
        <w:gridCol w:w="1134"/>
        <w:gridCol w:w="992"/>
      </w:tblGrid>
      <w:tr w:rsidR="00F80015" w:rsidRPr="00AD586B" w14:paraId="48CED7E1" w14:textId="77777777" w:rsidTr="00BA0A51">
        <w:trPr>
          <w:cantSplit/>
          <w:trHeight w:val="23"/>
        </w:trPr>
        <w:tc>
          <w:tcPr>
            <w:tcW w:w="1415" w:type="dxa"/>
            <w:tcBorders>
              <w:top w:val="nil"/>
              <w:left w:val="single" w:sz="2" w:space="0" w:color="auto"/>
              <w:bottom w:val="nil"/>
              <w:right w:val="single" w:sz="2" w:space="0" w:color="auto"/>
            </w:tcBorders>
          </w:tcPr>
          <w:p w14:paraId="4C6EEFBC" w14:textId="77777777" w:rsidR="00F80015" w:rsidRPr="00AD586B" w:rsidRDefault="00F80015" w:rsidP="00BA0A51">
            <w:pPr>
              <w:pStyle w:val="Reference"/>
              <w:tabs>
                <w:tab w:val="left" w:pos="3306"/>
              </w:tabs>
              <w:spacing w:before="120" w:after="240"/>
              <w:rPr>
                <w:rFonts w:cs="Calibri"/>
                <w:color w:val="7030A0"/>
                <w:sz w:val="22"/>
                <w:szCs w:val="22"/>
              </w:rPr>
            </w:pPr>
            <w:r w:rsidRPr="00AD586B">
              <w:rPr>
                <w:rFonts w:cs="Calibri"/>
                <w:color w:val="7030A0"/>
                <w:sz w:val="22"/>
                <w:szCs w:val="22"/>
              </w:rPr>
              <w:t>Reference</w:t>
            </w:r>
          </w:p>
        </w:tc>
        <w:tc>
          <w:tcPr>
            <w:tcW w:w="14175" w:type="dxa"/>
            <w:gridSpan w:val="10"/>
            <w:tcBorders>
              <w:top w:val="nil"/>
              <w:left w:val="single" w:sz="2" w:space="0" w:color="auto"/>
              <w:bottom w:val="nil"/>
              <w:right w:val="nil"/>
            </w:tcBorders>
          </w:tcPr>
          <w:p w14:paraId="56EFCE6C" w14:textId="77777777" w:rsidR="00F80015" w:rsidRPr="00AD586B" w:rsidRDefault="00F80015" w:rsidP="00BA0A51">
            <w:pPr>
              <w:spacing w:before="120" w:after="240"/>
              <w:rPr>
                <w:rFonts w:ascii="Arial Bold" w:hAnsi="Arial Bold" w:cs="Arial"/>
                <w:b/>
                <w:caps/>
                <w:sz w:val="32"/>
                <w:szCs w:val="32"/>
              </w:rPr>
            </w:pPr>
            <w:r w:rsidRPr="00AD586B">
              <w:rPr>
                <w:rFonts w:ascii="Arial Bold" w:hAnsi="Arial Bold" w:cs="Arial"/>
                <w:b/>
                <w:caps/>
                <w:sz w:val="32"/>
                <w:szCs w:val="32"/>
              </w:rPr>
              <w:t>Note 19.</w:t>
            </w:r>
            <w:r>
              <w:rPr>
                <w:rFonts w:ascii="Arial Bold" w:hAnsi="Arial Bold" w:cs="Arial"/>
                <w:b/>
                <w:caps/>
                <w:sz w:val="32"/>
                <w:szCs w:val="32"/>
              </w:rPr>
              <w:t xml:space="preserve"> </w:t>
            </w:r>
            <w:r w:rsidRPr="00AD586B">
              <w:rPr>
                <w:rFonts w:ascii="Arial Bold" w:hAnsi="Arial Bold" w:cs="Arial"/>
                <w:b/>
                <w:caps/>
                <w:sz w:val="32"/>
                <w:szCs w:val="32"/>
              </w:rPr>
              <w:t xml:space="preserve"> Property, Plant and Equipment – Continued</w:t>
            </w:r>
          </w:p>
        </w:tc>
      </w:tr>
      <w:tr w:rsidR="00F80015" w:rsidRPr="000415FC" w14:paraId="64895B81" w14:textId="77777777" w:rsidTr="00BA0A51">
        <w:trPr>
          <w:cantSplit/>
          <w:trHeight w:val="23"/>
        </w:trPr>
        <w:tc>
          <w:tcPr>
            <w:tcW w:w="1415" w:type="dxa"/>
            <w:tcBorders>
              <w:top w:val="nil"/>
              <w:left w:val="single" w:sz="2" w:space="0" w:color="auto"/>
              <w:bottom w:val="nil"/>
              <w:right w:val="single" w:sz="2" w:space="0" w:color="auto"/>
            </w:tcBorders>
          </w:tcPr>
          <w:p w14:paraId="423CB9FD" w14:textId="77777777" w:rsidR="00F80015" w:rsidRPr="00AD586B" w:rsidRDefault="00F80015" w:rsidP="00BA0A51">
            <w:pPr>
              <w:pStyle w:val="Reference"/>
              <w:tabs>
                <w:tab w:val="left" w:pos="3306"/>
              </w:tabs>
              <w:rPr>
                <w:rFonts w:cs="Calibri"/>
                <w:color w:val="7030A0"/>
                <w:sz w:val="22"/>
                <w:szCs w:val="22"/>
              </w:rPr>
            </w:pPr>
          </w:p>
        </w:tc>
        <w:tc>
          <w:tcPr>
            <w:tcW w:w="14175" w:type="dxa"/>
            <w:gridSpan w:val="10"/>
            <w:tcBorders>
              <w:top w:val="nil"/>
              <w:left w:val="single" w:sz="2" w:space="0" w:color="auto"/>
              <w:bottom w:val="nil"/>
              <w:right w:val="nil"/>
            </w:tcBorders>
          </w:tcPr>
          <w:p w14:paraId="2EB8044A" w14:textId="20CCD64C" w:rsidR="00F80015" w:rsidRPr="00AD586B" w:rsidRDefault="00F80015" w:rsidP="00BA0A51">
            <w:pPr>
              <w:pStyle w:val="NormalSFLeadIn"/>
              <w:spacing w:before="0" w:after="0"/>
              <w:rPr>
                <w:sz w:val="14"/>
                <w:szCs w:val="14"/>
              </w:rPr>
            </w:pPr>
            <w:r w:rsidRPr="00AD586B">
              <w:rPr>
                <w:b/>
                <w:sz w:val="18"/>
                <w:szCs w:val="18"/>
              </w:rPr>
              <w:t>Reconciliation of Property, Plant and Equipment – 202</w:t>
            </w:r>
            <w:r w:rsidR="00EF5DF3">
              <w:rPr>
                <w:b/>
                <w:sz w:val="18"/>
                <w:szCs w:val="18"/>
              </w:rPr>
              <w:t>1</w:t>
            </w:r>
            <w:r w:rsidRPr="00AD586B">
              <w:rPr>
                <w:b/>
                <w:sz w:val="18"/>
                <w:szCs w:val="18"/>
              </w:rPr>
              <w:t>-2</w:t>
            </w:r>
            <w:r w:rsidR="00EF5DF3">
              <w:rPr>
                <w:b/>
                <w:sz w:val="18"/>
                <w:szCs w:val="18"/>
              </w:rPr>
              <w:t>2</w:t>
            </w:r>
          </w:p>
        </w:tc>
      </w:tr>
      <w:tr w:rsidR="00F80015" w:rsidRPr="000415FC" w14:paraId="3C576733" w14:textId="77777777" w:rsidTr="00EF5DF3">
        <w:trPr>
          <w:cantSplit/>
          <w:trHeight w:val="84"/>
        </w:trPr>
        <w:tc>
          <w:tcPr>
            <w:tcW w:w="1415" w:type="dxa"/>
            <w:tcBorders>
              <w:top w:val="nil"/>
              <w:left w:val="single" w:sz="2" w:space="0" w:color="auto"/>
              <w:bottom w:val="nil"/>
              <w:right w:val="single" w:sz="2" w:space="0" w:color="auto"/>
            </w:tcBorders>
          </w:tcPr>
          <w:p w14:paraId="04884ECA" w14:textId="77777777" w:rsidR="00F80015" w:rsidRPr="00AD586B" w:rsidRDefault="00F80015" w:rsidP="00BA0A51">
            <w:pPr>
              <w:pStyle w:val="Reference"/>
              <w:tabs>
                <w:tab w:val="left" w:pos="3306"/>
              </w:tabs>
              <w:spacing w:before="120" w:after="240"/>
              <w:rPr>
                <w:rFonts w:cs="Calibri"/>
                <w:b w:val="0"/>
                <w:bCs w:val="0"/>
                <w:color w:val="7030A0"/>
                <w:sz w:val="14"/>
                <w:szCs w:val="14"/>
              </w:rPr>
            </w:pPr>
          </w:p>
        </w:tc>
        <w:tc>
          <w:tcPr>
            <w:tcW w:w="5103" w:type="dxa"/>
            <w:tcBorders>
              <w:top w:val="nil"/>
              <w:left w:val="single" w:sz="2" w:space="0" w:color="auto"/>
              <w:bottom w:val="nil"/>
              <w:right w:val="nil"/>
            </w:tcBorders>
          </w:tcPr>
          <w:p w14:paraId="7C435693" w14:textId="77777777" w:rsidR="00F80015" w:rsidRPr="00AD586B" w:rsidRDefault="00F80015" w:rsidP="00BA0A51">
            <w:pPr>
              <w:rPr>
                <w:sz w:val="18"/>
                <w:szCs w:val="18"/>
              </w:rPr>
            </w:pPr>
          </w:p>
        </w:tc>
        <w:tc>
          <w:tcPr>
            <w:tcW w:w="709" w:type="dxa"/>
            <w:tcBorders>
              <w:top w:val="nil"/>
              <w:left w:val="nil"/>
              <w:bottom w:val="nil"/>
              <w:right w:val="nil"/>
            </w:tcBorders>
          </w:tcPr>
          <w:p w14:paraId="3E5D3246"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Land</w:t>
            </w:r>
            <w:r w:rsidRPr="00152C5D">
              <w:rPr>
                <w:rFonts w:asciiTheme="minorHAnsi" w:hAnsiTheme="minorHAnsi" w:cstheme="minorHAnsi"/>
                <w:strike/>
                <w:color w:val="FF0000"/>
                <w:sz w:val="16"/>
                <w:szCs w:val="16"/>
                <w:vertAlign w:val="superscript"/>
              </w:rPr>
              <w:t>a</w:t>
            </w:r>
          </w:p>
          <w:p w14:paraId="185E7E6D"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992" w:type="dxa"/>
            <w:tcBorders>
              <w:top w:val="nil"/>
              <w:left w:val="nil"/>
              <w:bottom w:val="nil"/>
              <w:right w:val="nil"/>
            </w:tcBorders>
          </w:tcPr>
          <w:p w14:paraId="7C24CAA6"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Buildings</w:t>
            </w:r>
            <w:r w:rsidRPr="00152C5D">
              <w:rPr>
                <w:rFonts w:asciiTheme="minorHAnsi" w:hAnsiTheme="minorHAnsi" w:cstheme="minorHAnsi"/>
                <w:strike/>
                <w:color w:val="FF0000"/>
                <w:sz w:val="16"/>
                <w:szCs w:val="16"/>
                <w:vertAlign w:val="superscript"/>
              </w:rPr>
              <w:t>b</w:t>
            </w:r>
          </w:p>
          <w:p w14:paraId="2A7F4535"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850" w:type="dxa"/>
            <w:tcBorders>
              <w:top w:val="nil"/>
              <w:left w:val="nil"/>
              <w:bottom w:val="nil"/>
              <w:right w:val="nil"/>
            </w:tcBorders>
          </w:tcPr>
          <w:p w14:paraId="6F8EC251" w14:textId="77777777" w:rsidR="00F80015" w:rsidRPr="00EB1854" w:rsidRDefault="00F80015" w:rsidP="00BA0A51">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Right-of-Use Buildings</w:t>
            </w:r>
          </w:p>
          <w:p w14:paraId="52C182E1"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color w:val="FF0000"/>
                <w:sz w:val="16"/>
                <w:szCs w:val="16"/>
              </w:rPr>
              <w:t>$’000</w:t>
            </w:r>
          </w:p>
        </w:tc>
        <w:tc>
          <w:tcPr>
            <w:tcW w:w="1134" w:type="dxa"/>
            <w:tcBorders>
              <w:top w:val="nil"/>
              <w:left w:val="nil"/>
              <w:bottom w:val="nil"/>
              <w:right w:val="nil"/>
            </w:tcBorders>
          </w:tcPr>
          <w:p w14:paraId="64C6C97A" w14:textId="77777777" w:rsidR="00F80015" w:rsidRPr="00EB1854" w:rsidRDefault="00F80015" w:rsidP="00BA0A51">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Leasehold Improvements</w:t>
            </w:r>
          </w:p>
          <w:p w14:paraId="392C420F"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3" w:type="dxa"/>
            <w:tcBorders>
              <w:top w:val="nil"/>
              <w:left w:val="nil"/>
              <w:bottom w:val="nil"/>
              <w:right w:val="nil"/>
            </w:tcBorders>
          </w:tcPr>
          <w:p w14:paraId="71EF1323"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Plant and Equipment</w:t>
            </w:r>
          </w:p>
          <w:p w14:paraId="7BBE0FCF"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1134" w:type="dxa"/>
            <w:tcBorders>
              <w:top w:val="nil"/>
              <w:left w:val="nil"/>
              <w:bottom w:val="nil"/>
              <w:right w:val="nil"/>
            </w:tcBorders>
          </w:tcPr>
          <w:p w14:paraId="45718032" w14:textId="77777777" w:rsidR="00F80015" w:rsidRDefault="00F80015" w:rsidP="00BA0A51">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Right-of-Use Plant and Equipment</w:t>
            </w:r>
            <w:r>
              <w:rPr>
                <w:rFonts w:asciiTheme="minorHAnsi" w:hAnsiTheme="minorHAnsi" w:cstheme="minorHAnsi"/>
                <w:color w:val="FF0000"/>
                <w:sz w:val="16"/>
                <w:szCs w:val="16"/>
              </w:rPr>
              <w:t xml:space="preserve"> </w:t>
            </w:r>
          </w:p>
          <w:p w14:paraId="2E4FCBB7" w14:textId="77777777" w:rsidR="00F80015" w:rsidRPr="00EB1854" w:rsidRDefault="00F80015" w:rsidP="00BA0A51">
            <w:pPr>
              <w:pStyle w:val="TableTitle"/>
              <w:tabs>
                <w:tab w:val="left" w:pos="3306"/>
              </w:tabs>
              <w:rPr>
                <w:rFonts w:asciiTheme="minorHAnsi" w:hAnsiTheme="minorHAnsi" w:cstheme="minorHAnsi"/>
                <w:color w:val="FF0000"/>
                <w:sz w:val="16"/>
                <w:szCs w:val="16"/>
              </w:rPr>
            </w:pPr>
            <w:r w:rsidRPr="00EB1854">
              <w:rPr>
                <w:rFonts w:asciiTheme="minorHAnsi" w:hAnsiTheme="minorHAnsi" w:cstheme="minorHAnsi"/>
                <w:color w:val="FF0000"/>
                <w:sz w:val="16"/>
                <w:szCs w:val="16"/>
              </w:rPr>
              <w:t>$’000</w:t>
            </w:r>
          </w:p>
          <w:p w14:paraId="4647053F" w14:textId="77777777" w:rsidR="00F80015" w:rsidRPr="00EB1854" w:rsidRDefault="00F80015" w:rsidP="00BA0A51">
            <w:pPr>
              <w:pStyle w:val="TableTitle"/>
              <w:tabs>
                <w:tab w:val="left" w:pos="3306"/>
              </w:tabs>
              <w:rPr>
                <w:rFonts w:asciiTheme="minorHAnsi" w:hAnsiTheme="minorHAnsi" w:cstheme="minorHAnsi"/>
                <w:sz w:val="16"/>
                <w:szCs w:val="16"/>
              </w:rPr>
            </w:pPr>
          </w:p>
        </w:tc>
        <w:tc>
          <w:tcPr>
            <w:tcW w:w="1134" w:type="dxa"/>
            <w:tcBorders>
              <w:top w:val="nil"/>
              <w:left w:val="nil"/>
              <w:bottom w:val="nil"/>
              <w:right w:val="nil"/>
            </w:tcBorders>
          </w:tcPr>
          <w:p w14:paraId="2DA10C97" w14:textId="77777777" w:rsidR="00F80015" w:rsidRPr="00EB1854" w:rsidRDefault="00F80015" w:rsidP="00BA0A51">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Infrastructure Assets</w:t>
            </w:r>
          </w:p>
          <w:p w14:paraId="166CDA5E"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1134" w:type="dxa"/>
            <w:tcBorders>
              <w:top w:val="nil"/>
              <w:left w:val="nil"/>
              <w:bottom w:val="nil"/>
              <w:right w:val="nil"/>
            </w:tcBorders>
          </w:tcPr>
          <w:p w14:paraId="690215FF" w14:textId="7367685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trike/>
                <w:color w:val="FF0000"/>
                <w:sz w:val="16"/>
                <w:szCs w:val="16"/>
              </w:rPr>
              <w:t xml:space="preserve">Community/ </w:t>
            </w:r>
            <w:r w:rsidRPr="00152C5D">
              <w:rPr>
                <w:rFonts w:asciiTheme="minorHAnsi" w:hAnsiTheme="minorHAnsi" w:cstheme="minorHAnsi"/>
                <w:sz w:val="16"/>
                <w:szCs w:val="16"/>
              </w:rPr>
              <w:t>Heritage</w:t>
            </w:r>
            <w:r w:rsidR="00E20109" w:rsidRPr="00152C5D">
              <w:rPr>
                <w:rFonts w:asciiTheme="minorHAnsi" w:hAnsiTheme="minorHAnsi" w:cstheme="minorHAnsi"/>
                <w:sz w:val="16"/>
                <w:szCs w:val="16"/>
              </w:rPr>
              <w:t xml:space="preserve"> </w:t>
            </w:r>
            <w:r w:rsidR="00E20109" w:rsidRPr="00152C5D">
              <w:rPr>
                <w:rFonts w:asciiTheme="minorHAnsi" w:hAnsiTheme="minorHAnsi" w:cstheme="minorHAnsi"/>
                <w:color w:val="FF0000"/>
                <w:sz w:val="16"/>
                <w:szCs w:val="16"/>
              </w:rPr>
              <w:t>and</w:t>
            </w:r>
            <w:r w:rsidRPr="00152C5D">
              <w:rPr>
                <w:rFonts w:asciiTheme="minorHAnsi" w:hAnsiTheme="minorHAnsi" w:cstheme="minorHAnsi"/>
                <w:color w:val="FF0000"/>
                <w:sz w:val="16"/>
                <w:szCs w:val="16"/>
              </w:rPr>
              <w:t xml:space="preserve"> Community</w:t>
            </w:r>
          </w:p>
          <w:p w14:paraId="1012CD47"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Assets</w:t>
            </w:r>
            <w:r w:rsidRPr="00152C5D">
              <w:rPr>
                <w:rFonts w:asciiTheme="minorHAnsi" w:hAnsiTheme="minorHAnsi" w:cstheme="minorHAnsi"/>
                <w:strike/>
                <w:color w:val="FF0000"/>
                <w:sz w:val="16"/>
                <w:szCs w:val="16"/>
                <w:vertAlign w:val="superscript"/>
              </w:rPr>
              <w:t>c</w:t>
            </w:r>
          </w:p>
          <w:p w14:paraId="3C59D703"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992" w:type="dxa"/>
            <w:tcBorders>
              <w:top w:val="nil"/>
              <w:left w:val="nil"/>
              <w:bottom w:val="nil"/>
              <w:right w:val="nil"/>
            </w:tcBorders>
          </w:tcPr>
          <w:p w14:paraId="5D9A6D19"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Total</w:t>
            </w:r>
          </w:p>
          <w:p w14:paraId="08583E37"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r>
      <w:tr w:rsidR="00F80015" w:rsidRPr="000415FC" w14:paraId="6217505E" w14:textId="77777777" w:rsidTr="00EF5DF3">
        <w:trPr>
          <w:cantSplit/>
          <w:trHeight w:val="84"/>
        </w:trPr>
        <w:tc>
          <w:tcPr>
            <w:tcW w:w="1415" w:type="dxa"/>
            <w:tcBorders>
              <w:top w:val="nil"/>
              <w:left w:val="single" w:sz="2" w:space="0" w:color="auto"/>
              <w:bottom w:val="nil"/>
              <w:right w:val="single" w:sz="2" w:space="0" w:color="auto"/>
            </w:tcBorders>
          </w:tcPr>
          <w:p w14:paraId="001ED13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5103" w:type="dxa"/>
            <w:tcBorders>
              <w:top w:val="nil"/>
              <w:left w:val="single" w:sz="2" w:space="0" w:color="auto"/>
              <w:bottom w:val="nil"/>
              <w:right w:val="nil"/>
            </w:tcBorders>
          </w:tcPr>
          <w:p w14:paraId="394DF677" w14:textId="77777777" w:rsidR="00F80015" w:rsidRPr="00AD586B" w:rsidRDefault="00F80015" w:rsidP="00BA0A51">
            <w:pPr>
              <w:rPr>
                <w:sz w:val="18"/>
                <w:szCs w:val="18"/>
              </w:rPr>
            </w:pPr>
            <w:r w:rsidRPr="00AD586B">
              <w:rPr>
                <w:rFonts w:cs="Calibri"/>
                <w:b/>
                <w:sz w:val="18"/>
                <w:szCs w:val="18"/>
              </w:rPr>
              <w:t>Carrying Amount at the Beginning of the Reporting Period</w:t>
            </w:r>
          </w:p>
        </w:tc>
        <w:tc>
          <w:tcPr>
            <w:tcW w:w="709" w:type="dxa"/>
            <w:tcBorders>
              <w:top w:val="nil"/>
              <w:left w:val="nil"/>
              <w:bottom w:val="nil"/>
              <w:right w:val="nil"/>
            </w:tcBorders>
          </w:tcPr>
          <w:p w14:paraId="7EF4FCE2" w14:textId="77777777" w:rsidR="00F80015" w:rsidRPr="00AD586B" w:rsidRDefault="00F80015" w:rsidP="00BA0A51">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17966789" w14:textId="77777777" w:rsidR="00F80015" w:rsidRPr="00AD586B" w:rsidRDefault="00F80015" w:rsidP="00BA0A51">
            <w:pPr>
              <w:pStyle w:val="TableTitle"/>
              <w:tabs>
                <w:tab w:val="left" w:pos="3306"/>
              </w:tabs>
              <w:rPr>
                <w:rFonts w:asciiTheme="minorHAnsi" w:hAnsiTheme="minorHAnsi" w:cstheme="minorHAnsi"/>
              </w:rPr>
            </w:pPr>
          </w:p>
        </w:tc>
        <w:tc>
          <w:tcPr>
            <w:tcW w:w="850" w:type="dxa"/>
            <w:tcBorders>
              <w:top w:val="nil"/>
              <w:left w:val="nil"/>
              <w:bottom w:val="nil"/>
              <w:right w:val="nil"/>
            </w:tcBorders>
          </w:tcPr>
          <w:p w14:paraId="000EA8F2"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4D740BE7" w14:textId="77777777" w:rsidR="00F80015" w:rsidRPr="00AD586B" w:rsidRDefault="00F80015" w:rsidP="00BA0A51">
            <w:pPr>
              <w:pStyle w:val="TableTitle"/>
              <w:tabs>
                <w:tab w:val="left" w:pos="3306"/>
              </w:tabs>
              <w:rPr>
                <w:rFonts w:asciiTheme="minorHAnsi" w:hAnsiTheme="minorHAnsi" w:cstheme="minorHAnsi"/>
              </w:rPr>
            </w:pPr>
          </w:p>
        </w:tc>
        <w:tc>
          <w:tcPr>
            <w:tcW w:w="993" w:type="dxa"/>
            <w:tcBorders>
              <w:top w:val="nil"/>
              <w:left w:val="nil"/>
              <w:bottom w:val="nil"/>
              <w:right w:val="nil"/>
            </w:tcBorders>
          </w:tcPr>
          <w:p w14:paraId="77F97B67"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90007C5"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5136D307"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F4A91CE" w14:textId="77777777" w:rsidR="00F80015" w:rsidRPr="00AD586B" w:rsidRDefault="00F80015" w:rsidP="00BA0A51">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2AC852A5" w14:textId="77777777" w:rsidR="00F80015" w:rsidRPr="00AD586B" w:rsidRDefault="00F80015" w:rsidP="00BA0A51">
            <w:pPr>
              <w:pStyle w:val="TableTitle"/>
              <w:tabs>
                <w:tab w:val="left" w:pos="3306"/>
              </w:tabs>
              <w:rPr>
                <w:rFonts w:asciiTheme="minorHAnsi" w:hAnsiTheme="minorHAnsi" w:cstheme="minorHAnsi"/>
              </w:rPr>
            </w:pPr>
          </w:p>
        </w:tc>
      </w:tr>
      <w:tr w:rsidR="00F80015" w:rsidRPr="000415FC" w14:paraId="7910AA7D" w14:textId="77777777" w:rsidTr="00EF5DF3">
        <w:trPr>
          <w:cantSplit/>
          <w:trHeight w:val="84"/>
        </w:trPr>
        <w:tc>
          <w:tcPr>
            <w:tcW w:w="1415" w:type="dxa"/>
            <w:tcBorders>
              <w:top w:val="nil"/>
              <w:left w:val="single" w:sz="2" w:space="0" w:color="auto"/>
              <w:bottom w:val="nil"/>
              <w:right w:val="single" w:sz="2" w:space="0" w:color="auto"/>
            </w:tcBorders>
          </w:tcPr>
          <w:p w14:paraId="33730A7A"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116.73(e)(i)</w:t>
            </w:r>
          </w:p>
          <w:p w14:paraId="5F65CC7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5103" w:type="dxa"/>
            <w:tcBorders>
              <w:top w:val="nil"/>
              <w:left w:val="single" w:sz="2" w:space="0" w:color="auto"/>
              <w:bottom w:val="nil"/>
              <w:right w:val="nil"/>
            </w:tcBorders>
          </w:tcPr>
          <w:p w14:paraId="5F623C36" w14:textId="77777777" w:rsidR="00F80015" w:rsidRPr="00AD586B" w:rsidRDefault="00F80015" w:rsidP="00BA0A51">
            <w:pPr>
              <w:rPr>
                <w:rFonts w:cs="Calibri"/>
                <w:b/>
                <w:sz w:val="18"/>
                <w:szCs w:val="18"/>
              </w:rPr>
            </w:pPr>
            <w:r w:rsidRPr="00AD586B">
              <w:rPr>
                <w:rFonts w:cs="Calibri"/>
                <w:sz w:val="18"/>
                <w:szCs w:val="18"/>
              </w:rPr>
              <w:t>Additions</w:t>
            </w:r>
          </w:p>
        </w:tc>
        <w:tc>
          <w:tcPr>
            <w:tcW w:w="709" w:type="dxa"/>
            <w:tcBorders>
              <w:top w:val="nil"/>
              <w:left w:val="nil"/>
              <w:bottom w:val="nil"/>
              <w:right w:val="nil"/>
            </w:tcBorders>
          </w:tcPr>
          <w:p w14:paraId="56ACBFEE"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3C4BDEE9"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45B3552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BD5AD95"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1F70D16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61DE63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4165DC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9181D77"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D2F4255"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11B5703E" w14:textId="77777777" w:rsidTr="00EF5DF3">
        <w:trPr>
          <w:cantSplit/>
          <w:trHeight w:val="84"/>
        </w:trPr>
        <w:tc>
          <w:tcPr>
            <w:tcW w:w="1415" w:type="dxa"/>
            <w:tcBorders>
              <w:top w:val="nil"/>
              <w:left w:val="single" w:sz="2" w:space="0" w:color="auto"/>
              <w:bottom w:val="nil"/>
              <w:right w:val="single" w:sz="2" w:space="0" w:color="auto"/>
            </w:tcBorders>
          </w:tcPr>
          <w:p w14:paraId="0F698808"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5103" w:type="dxa"/>
            <w:tcBorders>
              <w:top w:val="nil"/>
              <w:left w:val="single" w:sz="2" w:space="0" w:color="auto"/>
              <w:bottom w:val="nil"/>
              <w:right w:val="nil"/>
            </w:tcBorders>
          </w:tcPr>
          <w:p w14:paraId="5E944FE1" w14:textId="77777777" w:rsidR="00F80015" w:rsidRPr="00AD586B" w:rsidRDefault="00F80015" w:rsidP="00BA0A51">
            <w:pPr>
              <w:rPr>
                <w:rFonts w:cs="Calibri"/>
                <w:b/>
                <w:sz w:val="18"/>
                <w:szCs w:val="18"/>
              </w:rPr>
            </w:pPr>
            <w:r w:rsidRPr="00AD586B">
              <w:rPr>
                <w:rFonts w:cs="Calibri"/>
                <w:sz w:val="18"/>
                <w:szCs w:val="18"/>
              </w:rPr>
              <w:t>Assets Classified as Held for Sale</w:t>
            </w:r>
          </w:p>
        </w:tc>
        <w:tc>
          <w:tcPr>
            <w:tcW w:w="709" w:type="dxa"/>
            <w:tcBorders>
              <w:top w:val="nil"/>
              <w:left w:val="nil"/>
              <w:bottom w:val="nil"/>
              <w:right w:val="nil"/>
            </w:tcBorders>
          </w:tcPr>
          <w:p w14:paraId="7AC954A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8C2B7A3"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010B97A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4C56DF5"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151821C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9D3AE9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8DE6F6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65752C"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74D0B3F"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238D51A" w14:textId="77777777" w:rsidTr="00EF5DF3">
        <w:trPr>
          <w:cantSplit/>
          <w:trHeight w:val="84"/>
        </w:trPr>
        <w:tc>
          <w:tcPr>
            <w:tcW w:w="1415" w:type="dxa"/>
            <w:tcBorders>
              <w:top w:val="nil"/>
              <w:left w:val="single" w:sz="2" w:space="0" w:color="auto"/>
              <w:bottom w:val="nil"/>
              <w:right w:val="single" w:sz="2" w:space="0" w:color="auto"/>
            </w:tcBorders>
          </w:tcPr>
          <w:p w14:paraId="789FB3C4" w14:textId="77777777" w:rsidR="00F80015" w:rsidRPr="00AD586B" w:rsidRDefault="00F80015" w:rsidP="00BA0A51">
            <w:pPr>
              <w:pStyle w:val="TableReference"/>
              <w:tabs>
                <w:tab w:val="left" w:pos="3306"/>
              </w:tabs>
              <w:spacing w:before="40"/>
              <w:rPr>
                <w:rFonts w:cs="Calibri"/>
                <w:color w:val="7030A0"/>
                <w:szCs w:val="12"/>
              </w:rPr>
            </w:pPr>
            <w:r w:rsidRPr="00AD586B">
              <w:rPr>
                <w:rFonts w:cs="Calibri"/>
                <w:color w:val="7030A0"/>
                <w:szCs w:val="12"/>
              </w:rPr>
              <w:t>AASB 116.73(e)(iv)</w:t>
            </w:r>
          </w:p>
        </w:tc>
        <w:tc>
          <w:tcPr>
            <w:tcW w:w="5103" w:type="dxa"/>
            <w:tcBorders>
              <w:top w:val="nil"/>
              <w:left w:val="single" w:sz="2" w:space="0" w:color="auto"/>
              <w:bottom w:val="nil"/>
              <w:right w:val="nil"/>
            </w:tcBorders>
          </w:tcPr>
          <w:p w14:paraId="21C05DB7" w14:textId="77777777" w:rsidR="00F80015" w:rsidRPr="00AD586B" w:rsidRDefault="00F80015" w:rsidP="00BA0A51">
            <w:pPr>
              <w:rPr>
                <w:rFonts w:cs="Calibri"/>
                <w:b/>
                <w:sz w:val="18"/>
                <w:szCs w:val="18"/>
              </w:rPr>
            </w:pPr>
            <w:r w:rsidRPr="00AD586B">
              <w:rPr>
                <w:rFonts w:cs="Calibri"/>
                <w:sz w:val="18"/>
                <w:szCs w:val="18"/>
              </w:rPr>
              <w:t>Revaluation Increment/(Decrement)</w:t>
            </w:r>
          </w:p>
        </w:tc>
        <w:tc>
          <w:tcPr>
            <w:tcW w:w="709" w:type="dxa"/>
            <w:tcBorders>
              <w:top w:val="nil"/>
              <w:left w:val="nil"/>
              <w:bottom w:val="nil"/>
              <w:right w:val="nil"/>
            </w:tcBorders>
          </w:tcPr>
          <w:p w14:paraId="6BD80487"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932A115"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065A8E2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B0C3ABE"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F367D49"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87159CB"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F8EBFBF"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25EFE0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143D46B"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5DC33849" w14:textId="77777777" w:rsidTr="00EF5DF3">
        <w:trPr>
          <w:cantSplit/>
          <w:trHeight w:val="84"/>
        </w:trPr>
        <w:tc>
          <w:tcPr>
            <w:tcW w:w="1415" w:type="dxa"/>
            <w:tcBorders>
              <w:top w:val="nil"/>
              <w:left w:val="single" w:sz="2" w:space="0" w:color="auto"/>
              <w:bottom w:val="nil"/>
              <w:right w:val="single" w:sz="2" w:space="0" w:color="auto"/>
            </w:tcBorders>
          </w:tcPr>
          <w:p w14:paraId="09543B30" w14:textId="77777777" w:rsidR="00F80015" w:rsidRPr="00AD586B" w:rsidRDefault="00F80015" w:rsidP="00BA0A51">
            <w:pPr>
              <w:pStyle w:val="TableReference"/>
              <w:tabs>
                <w:tab w:val="left" w:pos="3306"/>
              </w:tabs>
              <w:spacing w:before="40"/>
              <w:rPr>
                <w:rFonts w:cs="Calibri"/>
                <w:color w:val="7030A0"/>
                <w:szCs w:val="12"/>
              </w:rPr>
            </w:pPr>
            <w:r w:rsidRPr="00AD586B">
              <w:rPr>
                <w:rFonts w:cs="Calibri"/>
                <w:color w:val="7030A0"/>
                <w:szCs w:val="12"/>
              </w:rPr>
              <w:t>AASB 116.73(e)(iv)</w:t>
            </w:r>
          </w:p>
          <w:p w14:paraId="7F6F53E9" w14:textId="77777777" w:rsidR="00F80015" w:rsidRPr="00AD586B" w:rsidRDefault="00F80015" w:rsidP="00BA0A51">
            <w:pPr>
              <w:pStyle w:val="Reference"/>
              <w:tabs>
                <w:tab w:val="left" w:pos="3306"/>
              </w:tabs>
              <w:rPr>
                <w:rFonts w:cs="Calibri"/>
                <w:b w:val="0"/>
                <w:bCs w:val="0"/>
                <w:color w:val="7030A0"/>
                <w:sz w:val="14"/>
                <w:szCs w:val="14"/>
              </w:rPr>
            </w:pPr>
          </w:p>
        </w:tc>
        <w:tc>
          <w:tcPr>
            <w:tcW w:w="5103" w:type="dxa"/>
            <w:tcBorders>
              <w:top w:val="nil"/>
              <w:left w:val="single" w:sz="2" w:space="0" w:color="auto"/>
              <w:bottom w:val="nil"/>
              <w:right w:val="nil"/>
            </w:tcBorders>
          </w:tcPr>
          <w:p w14:paraId="6CF309AD" w14:textId="77777777" w:rsidR="00F80015" w:rsidRPr="00AD586B" w:rsidRDefault="00F80015" w:rsidP="00BA0A51">
            <w:pPr>
              <w:rPr>
                <w:rFonts w:cs="Calibri"/>
                <w:b/>
                <w:sz w:val="18"/>
                <w:szCs w:val="18"/>
              </w:rPr>
            </w:pPr>
            <w:r w:rsidRPr="00AD586B">
              <w:rPr>
                <w:rFonts w:cs="Calibri"/>
                <w:sz w:val="18"/>
                <w:szCs w:val="18"/>
              </w:rPr>
              <w:t>Impairment Losses Recognised in Other Comprehensive Income</w:t>
            </w:r>
          </w:p>
        </w:tc>
        <w:tc>
          <w:tcPr>
            <w:tcW w:w="709" w:type="dxa"/>
            <w:tcBorders>
              <w:top w:val="nil"/>
              <w:left w:val="nil"/>
              <w:bottom w:val="nil"/>
              <w:right w:val="nil"/>
            </w:tcBorders>
          </w:tcPr>
          <w:p w14:paraId="42C731C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ECC6EFC"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33CAAA6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0F7871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330618C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BF1769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95E69B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60A42D2"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2B25067"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B1FAAE8" w14:textId="77777777" w:rsidTr="00EF5DF3">
        <w:trPr>
          <w:cantSplit/>
          <w:trHeight w:val="84"/>
        </w:trPr>
        <w:tc>
          <w:tcPr>
            <w:tcW w:w="1415" w:type="dxa"/>
            <w:tcBorders>
              <w:top w:val="nil"/>
              <w:left w:val="single" w:sz="2" w:space="0" w:color="auto"/>
              <w:bottom w:val="nil"/>
              <w:right w:val="single" w:sz="2" w:space="0" w:color="auto"/>
            </w:tcBorders>
          </w:tcPr>
          <w:p w14:paraId="2553438E"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06535BC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5103" w:type="dxa"/>
            <w:tcBorders>
              <w:top w:val="nil"/>
              <w:left w:val="single" w:sz="2" w:space="0" w:color="auto"/>
              <w:bottom w:val="nil"/>
              <w:right w:val="nil"/>
            </w:tcBorders>
          </w:tcPr>
          <w:p w14:paraId="46F5B0AC" w14:textId="77777777" w:rsidR="00F80015" w:rsidRPr="00AD586B" w:rsidRDefault="00F80015" w:rsidP="00BA0A51">
            <w:pPr>
              <w:rPr>
                <w:rFonts w:cs="Calibri"/>
                <w:b/>
                <w:sz w:val="18"/>
                <w:szCs w:val="18"/>
              </w:rPr>
            </w:pPr>
            <w:r w:rsidRPr="00AD586B">
              <w:rPr>
                <w:rFonts w:cs="Calibri"/>
                <w:sz w:val="18"/>
                <w:szCs w:val="18"/>
              </w:rPr>
              <w:t>Depreciation</w:t>
            </w:r>
          </w:p>
        </w:tc>
        <w:tc>
          <w:tcPr>
            <w:tcW w:w="709" w:type="dxa"/>
            <w:tcBorders>
              <w:top w:val="nil"/>
              <w:left w:val="nil"/>
              <w:bottom w:val="nil"/>
              <w:right w:val="nil"/>
            </w:tcBorders>
          </w:tcPr>
          <w:p w14:paraId="5A879139"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DDB1046"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780C1BB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390A7A9"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5F7C9FE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B0EA8B9"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C6B923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5D4BC4B"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D485633"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ECFD7A0" w14:textId="77777777" w:rsidTr="00EF5DF3">
        <w:trPr>
          <w:cantSplit/>
          <w:trHeight w:val="84"/>
        </w:trPr>
        <w:tc>
          <w:tcPr>
            <w:tcW w:w="1415" w:type="dxa"/>
            <w:tcBorders>
              <w:top w:val="nil"/>
              <w:left w:val="single" w:sz="2" w:space="0" w:color="auto"/>
              <w:bottom w:val="nil"/>
              <w:right w:val="single" w:sz="2" w:space="0" w:color="auto"/>
            </w:tcBorders>
          </w:tcPr>
          <w:p w14:paraId="08EC71F5"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71DC783A" w14:textId="77777777" w:rsidR="00F80015" w:rsidRPr="00AD586B" w:rsidRDefault="00F80015" w:rsidP="00BA0A51">
            <w:pPr>
              <w:rPr>
                <w:rFonts w:cs="Calibri"/>
                <w:b/>
                <w:sz w:val="18"/>
                <w:szCs w:val="18"/>
              </w:rPr>
            </w:pPr>
            <w:r w:rsidRPr="00AD586B">
              <w:rPr>
                <w:rFonts w:cs="Calibri"/>
                <w:sz w:val="18"/>
                <w:szCs w:val="18"/>
              </w:rPr>
              <w:t>Acquisition/(Disposal) through Administrative Restructuring</w:t>
            </w:r>
          </w:p>
        </w:tc>
        <w:tc>
          <w:tcPr>
            <w:tcW w:w="709" w:type="dxa"/>
            <w:tcBorders>
              <w:top w:val="nil"/>
              <w:left w:val="nil"/>
              <w:bottom w:val="nil"/>
              <w:right w:val="nil"/>
            </w:tcBorders>
          </w:tcPr>
          <w:p w14:paraId="31FD3A1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AA94E5A"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2C2FCB0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08CC0CE"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2CD82F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12524C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901B0CE"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0E88AA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241B1A62"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21599C1" w14:textId="77777777" w:rsidTr="00EF5DF3">
        <w:trPr>
          <w:cantSplit/>
          <w:trHeight w:val="84"/>
        </w:trPr>
        <w:tc>
          <w:tcPr>
            <w:tcW w:w="1415" w:type="dxa"/>
            <w:tcBorders>
              <w:top w:val="nil"/>
              <w:left w:val="single" w:sz="2" w:space="0" w:color="auto"/>
              <w:bottom w:val="nil"/>
              <w:right w:val="single" w:sz="2" w:space="0" w:color="auto"/>
            </w:tcBorders>
          </w:tcPr>
          <w:p w14:paraId="468FED8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1A98ADDD" w14:textId="77777777" w:rsidR="00F80015" w:rsidRPr="00AD586B" w:rsidRDefault="00F80015" w:rsidP="00BA0A51">
            <w:pPr>
              <w:rPr>
                <w:rFonts w:cs="Calibri"/>
                <w:b/>
                <w:sz w:val="18"/>
                <w:szCs w:val="18"/>
              </w:rPr>
            </w:pPr>
            <w:r w:rsidRPr="00AD586B">
              <w:rPr>
                <w:rFonts w:cs="Calibri"/>
                <w:sz w:val="18"/>
                <w:szCs w:val="18"/>
              </w:rPr>
              <w:t>Acquisition/(Disposal) from Transfers</w:t>
            </w:r>
          </w:p>
        </w:tc>
        <w:tc>
          <w:tcPr>
            <w:tcW w:w="709" w:type="dxa"/>
            <w:tcBorders>
              <w:top w:val="nil"/>
              <w:left w:val="nil"/>
              <w:bottom w:val="nil"/>
              <w:right w:val="nil"/>
            </w:tcBorders>
          </w:tcPr>
          <w:p w14:paraId="6E52ABE2"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7498EA92"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296BCB6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7677C6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481C153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65E53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178F2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ADC98AD"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3BD9EAE8"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6C2CD094" w14:textId="77777777" w:rsidTr="00EF5DF3">
        <w:trPr>
          <w:cantSplit/>
          <w:trHeight w:val="84"/>
        </w:trPr>
        <w:tc>
          <w:tcPr>
            <w:tcW w:w="1415" w:type="dxa"/>
            <w:tcBorders>
              <w:top w:val="nil"/>
              <w:left w:val="single" w:sz="2" w:space="0" w:color="auto"/>
              <w:bottom w:val="nil"/>
              <w:right w:val="single" w:sz="2" w:space="0" w:color="auto"/>
            </w:tcBorders>
          </w:tcPr>
          <w:p w14:paraId="01B841E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5103" w:type="dxa"/>
            <w:tcBorders>
              <w:top w:val="nil"/>
              <w:left w:val="single" w:sz="2" w:space="0" w:color="auto"/>
              <w:bottom w:val="nil"/>
              <w:right w:val="nil"/>
            </w:tcBorders>
          </w:tcPr>
          <w:p w14:paraId="14C5FF83" w14:textId="77777777" w:rsidR="00F80015" w:rsidRPr="00AD586B" w:rsidRDefault="00F80015" w:rsidP="00BA0A51">
            <w:pPr>
              <w:rPr>
                <w:rFonts w:cs="Calibri"/>
                <w:b/>
                <w:sz w:val="18"/>
                <w:szCs w:val="18"/>
              </w:rPr>
            </w:pPr>
            <w:r w:rsidRPr="00AD586B">
              <w:rPr>
                <w:rFonts w:cs="Calibri"/>
                <w:sz w:val="18"/>
                <w:szCs w:val="18"/>
              </w:rPr>
              <w:t>Impairment Losses Recognised in the Operating Result</w:t>
            </w:r>
          </w:p>
        </w:tc>
        <w:tc>
          <w:tcPr>
            <w:tcW w:w="709" w:type="dxa"/>
            <w:tcBorders>
              <w:top w:val="nil"/>
              <w:left w:val="nil"/>
              <w:bottom w:val="nil"/>
              <w:right w:val="nil"/>
            </w:tcBorders>
          </w:tcPr>
          <w:p w14:paraId="0AE7F2FA"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7F6115A4"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4A8836F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6B10A93"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30EFA4B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48F996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3FC43AE"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FBD4673"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B447441"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C42DB46" w14:textId="77777777" w:rsidTr="00EF5DF3">
        <w:trPr>
          <w:cantSplit/>
          <w:trHeight w:val="84"/>
        </w:trPr>
        <w:tc>
          <w:tcPr>
            <w:tcW w:w="1415" w:type="dxa"/>
            <w:tcBorders>
              <w:top w:val="nil"/>
              <w:left w:val="single" w:sz="2" w:space="0" w:color="auto"/>
              <w:bottom w:val="nil"/>
              <w:right w:val="single" w:sz="2" w:space="0" w:color="auto"/>
            </w:tcBorders>
          </w:tcPr>
          <w:p w14:paraId="0E4ABE59"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5103" w:type="dxa"/>
            <w:tcBorders>
              <w:top w:val="nil"/>
              <w:left w:val="single" w:sz="2" w:space="0" w:color="auto"/>
              <w:bottom w:val="nil"/>
              <w:right w:val="nil"/>
            </w:tcBorders>
          </w:tcPr>
          <w:p w14:paraId="6475041E" w14:textId="77777777" w:rsidR="00F80015" w:rsidRPr="00AD586B" w:rsidRDefault="00F80015" w:rsidP="00BA0A51">
            <w:pPr>
              <w:rPr>
                <w:rFonts w:cs="Calibri"/>
                <w:b/>
                <w:sz w:val="18"/>
                <w:szCs w:val="18"/>
              </w:rPr>
            </w:pPr>
            <w:r w:rsidRPr="00AD586B">
              <w:rPr>
                <w:rFonts w:cs="Calibri"/>
                <w:sz w:val="18"/>
                <w:szCs w:val="18"/>
              </w:rPr>
              <w:t>Reversal of Impairment Losses Recognised in the Operating Result</w:t>
            </w:r>
          </w:p>
        </w:tc>
        <w:tc>
          <w:tcPr>
            <w:tcW w:w="709" w:type="dxa"/>
            <w:tcBorders>
              <w:top w:val="nil"/>
              <w:left w:val="nil"/>
              <w:bottom w:val="nil"/>
              <w:right w:val="nil"/>
            </w:tcBorders>
          </w:tcPr>
          <w:p w14:paraId="782BDE0B"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45F24275"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79EC631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CA221FF"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2FF402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54BFBA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F01B1B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F0AE1D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F85D4D5"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A69BEB4" w14:textId="77777777" w:rsidTr="00EF5DF3">
        <w:trPr>
          <w:cantSplit/>
          <w:trHeight w:val="84"/>
        </w:trPr>
        <w:tc>
          <w:tcPr>
            <w:tcW w:w="1415" w:type="dxa"/>
            <w:tcBorders>
              <w:top w:val="nil"/>
              <w:left w:val="single" w:sz="2" w:space="0" w:color="auto"/>
              <w:bottom w:val="nil"/>
              <w:right w:val="single" w:sz="2" w:space="0" w:color="auto"/>
            </w:tcBorders>
          </w:tcPr>
          <w:p w14:paraId="2BE2FBD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5103" w:type="dxa"/>
            <w:tcBorders>
              <w:top w:val="nil"/>
              <w:left w:val="single" w:sz="2" w:space="0" w:color="auto"/>
              <w:bottom w:val="nil"/>
              <w:right w:val="nil"/>
            </w:tcBorders>
          </w:tcPr>
          <w:p w14:paraId="3DE49191" w14:textId="77777777" w:rsidR="00F80015" w:rsidRPr="00AD586B" w:rsidRDefault="00F80015" w:rsidP="00BA0A51">
            <w:pPr>
              <w:rPr>
                <w:rFonts w:cs="Calibri"/>
                <w:b/>
                <w:sz w:val="18"/>
                <w:szCs w:val="18"/>
              </w:rPr>
            </w:pPr>
            <w:r w:rsidRPr="00AD586B">
              <w:rPr>
                <w:rFonts w:cs="Calibri"/>
                <w:sz w:val="18"/>
                <w:szCs w:val="18"/>
              </w:rPr>
              <w:t>Changes in right-of-use assets due to changes in lease liability</w:t>
            </w:r>
          </w:p>
        </w:tc>
        <w:tc>
          <w:tcPr>
            <w:tcW w:w="709" w:type="dxa"/>
            <w:tcBorders>
              <w:top w:val="nil"/>
              <w:left w:val="nil"/>
              <w:bottom w:val="nil"/>
              <w:right w:val="nil"/>
            </w:tcBorders>
          </w:tcPr>
          <w:p w14:paraId="04B14A6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2081473D"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1A96AA8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117EB4F"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2DAB046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4D3A61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697008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9FBAB15"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06DF2A63"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26F73BF8" w14:textId="77777777" w:rsidTr="00EF5DF3">
        <w:trPr>
          <w:cantSplit/>
          <w:trHeight w:val="84"/>
        </w:trPr>
        <w:tc>
          <w:tcPr>
            <w:tcW w:w="1415" w:type="dxa"/>
            <w:tcBorders>
              <w:top w:val="nil"/>
              <w:left w:val="single" w:sz="2" w:space="0" w:color="auto"/>
              <w:bottom w:val="nil"/>
              <w:right w:val="single" w:sz="2" w:space="0" w:color="auto"/>
            </w:tcBorders>
          </w:tcPr>
          <w:p w14:paraId="05C5D5B6"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11A46430" w14:textId="77777777" w:rsidR="00F80015" w:rsidRPr="00AD586B" w:rsidRDefault="00F80015" w:rsidP="00BA0A51">
            <w:pPr>
              <w:rPr>
                <w:rFonts w:cs="Calibri"/>
                <w:b/>
                <w:sz w:val="18"/>
                <w:szCs w:val="18"/>
              </w:rPr>
            </w:pPr>
            <w:r w:rsidRPr="00AD586B">
              <w:rPr>
                <w:rFonts w:cs="Calibri"/>
                <w:sz w:val="18"/>
                <w:szCs w:val="18"/>
              </w:rPr>
              <w:t>Other Movements</w:t>
            </w:r>
          </w:p>
        </w:tc>
        <w:tc>
          <w:tcPr>
            <w:tcW w:w="709" w:type="dxa"/>
            <w:tcBorders>
              <w:top w:val="nil"/>
              <w:left w:val="nil"/>
              <w:bottom w:val="single" w:sz="2" w:space="0" w:color="auto"/>
              <w:right w:val="nil"/>
            </w:tcBorders>
          </w:tcPr>
          <w:p w14:paraId="6AA43A5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single" w:sz="2" w:space="0" w:color="auto"/>
              <w:right w:val="nil"/>
            </w:tcBorders>
          </w:tcPr>
          <w:p w14:paraId="395ED839"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single" w:sz="2" w:space="0" w:color="auto"/>
              <w:right w:val="nil"/>
            </w:tcBorders>
          </w:tcPr>
          <w:p w14:paraId="0699DA87"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57611C0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single" w:sz="2" w:space="0" w:color="auto"/>
              <w:right w:val="nil"/>
            </w:tcBorders>
          </w:tcPr>
          <w:p w14:paraId="437CE7BF"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29D374D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3036FA0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4822E424"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single" w:sz="2" w:space="0" w:color="auto"/>
              <w:right w:val="nil"/>
            </w:tcBorders>
          </w:tcPr>
          <w:p w14:paraId="7D970DBE"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169BBAE" w14:textId="77777777" w:rsidTr="00EF5DF3">
        <w:trPr>
          <w:cantSplit/>
          <w:trHeight w:val="84"/>
        </w:trPr>
        <w:tc>
          <w:tcPr>
            <w:tcW w:w="1415" w:type="dxa"/>
            <w:tcBorders>
              <w:top w:val="nil"/>
              <w:left w:val="single" w:sz="2" w:space="0" w:color="auto"/>
              <w:bottom w:val="nil"/>
              <w:right w:val="single" w:sz="2" w:space="0" w:color="auto"/>
            </w:tcBorders>
          </w:tcPr>
          <w:p w14:paraId="75C45C00"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090A7413"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5103" w:type="dxa"/>
            <w:tcBorders>
              <w:top w:val="nil"/>
              <w:left w:val="single" w:sz="2" w:space="0" w:color="auto"/>
              <w:bottom w:val="nil"/>
              <w:right w:val="nil"/>
            </w:tcBorders>
          </w:tcPr>
          <w:p w14:paraId="7113AAFB" w14:textId="77777777" w:rsidR="00F80015" w:rsidRPr="00AD586B" w:rsidRDefault="00F80015" w:rsidP="00BA0A51">
            <w:pPr>
              <w:rPr>
                <w:rFonts w:cs="Calibri"/>
                <w:b/>
                <w:sz w:val="18"/>
                <w:szCs w:val="18"/>
              </w:rPr>
            </w:pPr>
            <w:r w:rsidRPr="00AD586B">
              <w:rPr>
                <w:rFonts w:cs="Calibri"/>
                <w:b/>
                <w:bCs/>
                <w:sz w:val="18"/>
                <w:szCs w:val="18"/>
              </w:rPr>
              <w:t>Carrying Amount at the End of the Reporting Period</w:t>
            </w:r>
          </w:p>
        </w:tc>
        <w:tc>
          <w:tcPr>
            <w:tcW w:w="709" w:type="dxa"/>
            <w:tcBorders>
              <w:top w:val="single" w:sz="2" w:space="0" w:color="auto"/>
              <w:left w:val="nil"/>
              <w:bottom w:val="double" w:sz="4" w:space="0" w:color="auto"/>
              <w:right w:val="nil"/>
            </w:tcBorders>
          </w:tcPr>
          <w:p w14:paraId="1A935439" w14:textId="77777777" w:rsidR="00F80015" w:rsidRPr="00AD586B" w:rsidRDefault="00F80015" w:rsidP="00BA0A51">
            <w:pPr>
              <w:jc w:val="center"/>
              <w:rPr>
                <w:rFonts w:asciiTheme="minorHAnsi" w:hAnsiTheme="minorHAnsi" w:cstheme="minorHAnsi"/>
                <w:b/>
                <w:bCs/>
                <w:sz w:val="18"/>
                <w:szCs w:val="18"/>
              </w:rPr>
            </w:pPr>
          </w:p>
        </w:tc>
        <w:tc>
          <w:tcPr>
            <w:tcW w:w="992" w:type="dxa"/>
            <w:tcBorders>
              <w:top w:val="single" w:sz="2" w:space="0" w:color="auto"/>
              <w:left w:val="nil"/>
              <w:bottom w:val="double" w:sz="4" w:space="0" w:color="auto"/>
              <w:right w:val="nil"/>
            </w:tcBorders>
          </w:tcPr>
          <w:p w14:paraId="2112DE0F"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single" w:sz="2" w:space="0" w:color="auto"/>
              <w:left w:val="nil"/>
              <w:bottom w:val="double" w:sz="4" w:space="0" w:color="auto"/>
              <w:right w:val="nil"/>
            </w:tcBorders>
          </w:tcPr>
          <w:p w14:paraId="6BDDA6A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314E961B"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single" w:sz="2" w:space="0" w:color="auto"/>
              <w:left w:val="nil"/>
              <w:bottom w:val="double" w:sz="4" w:space="0" w:color="auto"/>
              <w:right w:val="nil"/>
            </w:tcBorders>
          </w:tcPr>
          <w:p w14:paraId="2EE14A0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13E1953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5025E19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584CB87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single" w:sz="2" w:space="0" w:color="auto"/>
              <w:left w:val="nil"/>
              <w:bottom w:val="double" w:sz="4" w:space="0" w:color="auto"/>
              <w:right w:val="nil"/>
            </w:tcBorders>
          </w:tcPr>
          <w:p w14:paraId="124EBB07"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07FC2F2C" w14:textId="77777777" w:rsidTr="00EF5DF3">
        <w:trPr>
          <w:cantSplit/>
          <w:trHeight w:val="84"/>
        </w:trPr>
        <w:tc>
          <w:tcPr>
            <w:tcW w:w="1415" w:type="dxa"/>
            <w:tcBorders>
              <w:top w:val="nil"/>
              <w:left w:val="single" w:sz="2" w:space="0" w:color="auto"/>
              <w:bottom w:val="nil"/>
              <w:right w:val="single" w:sz="2" w:space="0" w:color="auto"/>
            </w:tcBorders>
          </w:tcPr>
          <w:p w14:paraId="0051EEA3" w14:textId="77777777" w:rsidR="00F80015" w:rsidRPr="00AD586B" w:rsidRDefault="00F80015" w:rsidP="00BA0A51">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tcPr>
          <w:p w14:paraId="623C9065" w14:textId="77777777" w:rsidR="00F80015" w:rsidRPr="00AD586B" w:rsidRDefault="00F80015" w:rsidP="00BA0A51">
            <w:pPr>
              <w:rPr>
                <w:rFonts w:cs="Calibri"/>
                <w:b/>
                <w:bCs/>
                <w:sz w:val="16"/>
              </w:rPr>
            </w:pPr>
          </w:p>
        </w:tc>
        <w:tc>
          <w:tcPr>
            <w:tcW w:w="709" w:type="dxa"/>
            <w:tcBorders>
              <w:top w:val="double" w:sz="4" w:space="0" w:color="auto"/>
              <w:left w:val="nil"/>
              <w:bottom w:val="nil"/>
              <w:right w:val="nil"/>
            </w:tcBorders>
          </w:tcPr>
          <w:p w14:paraId="487C60D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669BDA6A"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double" w:sz="4" w:space="0" w:color="auto"/>
              <w:left w:val="nil"/>
              <w:bottom w:val="nil"/>
              <w:right w:val="nil"/>
            </w:tcBorders>
          </w:tcPr>
          <w:p w14:paraId="04170B3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03154C38"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double" w:sz="4" w:space="0" w:color="auto"/>
              <w:left w:val="nil"/>
              <w:bottom w:val="nil"/>
              <w:right w:val="nil"/>
            </w:tcBorders>
          </w:tcPr>
          <w:p w14:paraId="6319A5A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69F50967"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876B06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C5B10AC"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4C9B96FC"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10CAD224" w14:textId="77777777" w:rsidTr="00BA0A51">
        <w:trPr>
          <w:cantSplit/>
          <w:trHeight w:val="23"/>
        </w:trPr>
        <w:tc>
          <w:tcPr>
            <w:tcW w:w="1415" w:type="dxa"/>
            <w:tcBorders>
              <w:top w:val="nil"/>
              <w:left w:val="single" w:sz="2" w:space="0" w:color="auto"/>
              <w:bottom w:val="nil"/>
              <w:right w:val="single" w:sz="2" w:space="0" w:color="auto"/>
            </w:tcBorders>
          </w:tcPr>
          <w:p w14:paraId="70AA547E" w14:textId="77777777" w:rsidR="00F80015" w:rsidRPr="00AD586B" w:rsidRDefault="00F80015" w:rsidP="00BA0A51">
            <w:pPr>
              <w:pStyle w:val="TableReference"/>
              <w:tabs>
                <w:tab w:val="left" w:pos="3306"/>
              </w:tabs>
              <w:spacing w:before="40"/>
              <w:rPr>
                <w:rFonts w:cs="Calibri"/>
                <w:color w:val="7030A0"/>
                <w:sz w:val="18"/>
                <w:szCs w:val="18"/>
              </w:rPr>
            </w:pPr>
          </w:p>
        </w:tc>
        <w:tc>
          <w:tcPr>
            <w:tcW w:w="14175" w:type="dxa"/>
            <w:gridSpan w:val="10"/>
            <w:tcBorders>
              <w:top w:val="nil"/>
              <w:left w:val="single" w:sz="2" w:space="0" w:color="auto"/>
              <w:bottom w:val="nil"/>
              <w:right w:val="nil"/>
            </w:tcBorders>
          </w:tcPr>
          <w:p w14:paraId="517857BD" w14:textId="77777777" w:rsidR="00F80015" w:rsidRPr="00AD586B" w:rsidRDefault="00F80015" w:rsidP="00BA0A51">
            <w:pPr>
              <w:pStyle w:val="TableText"/>
              <w:tabs>
                <w:tab w:val="left" w:pos="3306"/>
              </w:tabs>
              <w:rPr>
                <w:rFonts w:cs="Calibri"/>
                <w:b/>
                <w:bCs/>
              </w:rPr>
            </w:pPr>
            <w:r w:rsidRPr="00AD586B">
              <w:rPr>
                <w:rFonts w:cs="Calibri"/>
              </w:rPr>
              <w:t>Carrying Amount at the End of the Reporting Period, is represented by:</w:t>
            </w:r>
          </w:p>
        </w:tc>
      </w:tr>
      <w:tr w:rsidR="00F80015" w:rsidRPr="000415FC" w14:paraId="1364D5A0" w14:textId="77777777" w:rsidTr="00EF5DF3">
        <w:trPr>
          <w:cantSplit/>
          <w:trHeight w:val="23"/>
        </w:trPr>
        <w:tc>
          <w:tcPr>
            <w:tcW w:w="1415" w:type="dxa"/>
            <w:tcBorders>
              <w:top w:val="nil"/>
              <w:left w:val="single" w:sz="2" w:space="0" w:color="auto"/>
              <w:bottom w:val="nil"/>
              <w:right w:val="single" w:sz="2" w:space="0" w:color="auto"/>
            </w:tcBorders>
          </w:tcPr>
          <w:p w14:paraId="4FEC78CF"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116.73(a) &amp;(d)</w:t>
            </w:r>
          </w:p>
        </w:tc>
        <w:tc>
          <w:tcPr>
            <w:tcW w:w="5103" w:type="dxa"/>
            <w:tcBorders>
              <w:top w:val="nil"/>
              <w:left w:val="single" w:sz="2" w:space="0" w:color="auto"/>
              <w:bottom w:val="nil"/>
              <w:right w:val="nil"/>
            </w:tcBorders>
            <w:vAlign w:val="bottom"/>
          </w:tcPr>
          <w:p w14:paraId="3DE36CD9" w14:textId="77777777" w:rsidR="00F80015" w:rsidRPr="00AD586B" w:rsidRDefault="00F80015" w:rsidP="00BA0A51">
            <w:pPr>
              <w:pStyle w:val="TableText"/>
              <w:tabs>
                <w:tab w:val="left" w:pos="3306"/>
              </w:tabs>
              <w:spacing w:before="20" w:after="20"/>
              <w:rPr>
                <w:rFonts w:cs="Calibri"/>
              </w:rPr>
            </w:pPr>
            <w:r w:rsidRPr="00AD586B">
              <w:rPr>
                <w:rFonts w:cs="Calibri"/>
              </w:rPr>
              <w:t>Gross Book Value</w:t>
            </w:r>
          </w:p>
        </w:tc>
        <w:tc>
          <w:tcPr>
            <w:tcW w:w="709" w:type="dxa"/>
            <w:tcBorders>
              <w:top w:val="nil"/>
              <w:left w:val="nil"/>
              <w:bottom w:val="nil"/>
              <w:right w:val="nil"/>
            </w:tcBorders>
            <w:vAlign w:val="bottom"/>
          </w:tcPr>
          <w:p w14:paraId="58D39DE4"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495D2498"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1551C339"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7CBB19AD"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30D4F5F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74EDB35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5E06E96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4A35D124"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DA5240E"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38413528" w14:textId="77777777" w:rsidTr="00EF5DF3">
        <w:trPr>
          <w:cantSplit/>
          <w:trHeight w:val="23"/>
        </w:trPr>
        <w:tc>
          <w:tcPr>
            <w:tcW w:w="1415" w:type="dxa"/>
            <w:tcBorders>
              <w:top w:val="nil"/>
              <w:left w:val="single" w:sz="2" w:space="0" w:color="auto"/>
              <w:bottom w:val="nil"/>
              <w:right w:val="single" w:sz="2" w:space="0" w:color="auto"/>
            </w:tcBorders>
          </w:tcPr>
          <w:p w14:paraId="1E6418DE"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tcBorders>
              <w:top w:val="nil"/>
              <w:left w:val="single" w:sz="2" w:space="0" w:color="auto"/>
              <w:bottom w:val="nil"/>
              <w:right w:val="nil"/>
            </w:tcBorders>
            <w:vAlign w:val="bottom"/>
          </w:tcPr>
          <w:p w14:paraId="011AC9E7" w14:textId="77777777" w:rsidR="00F80015" w:rsidRPr="00AD586B" w:rsidRDefault="00F80015" w:rsidP="00BA0A51">
            <w:pPr>
              <w:pStyle w:val="TableText"/>
              <w:tabs>
                <w:tab w:val="left" w:pos="3306"/>
              </w:tabs>
              <w:spacing w:before="20" w:after="20"/>
              <w:rPr>
                <w:rFonts w:cs="Calibri"/>
              </w:rPr>
            </w:pPr>
            <w:r w:rsidRPr="00AD586B">
              <w:rPr>
                <w:rFonts w:cs="Calibri"/>
              </w:rPr>
              <w:t xml:space="preserve">Accumulated Depreciation </w:t>
            </w:r>
          </w:p>
        </w:tc>
        <w:tc>
          <w:tcPr>
            <w:tcW w:w="709" w:type="dxa"/>
            <w:tcBorders>
              <w:top w:val="nil"/>
              <w:left w:val="nil"/>
              <w:bottom w:val="nil"/>
              <w:right w:val="nil"/>
            </w:tcBorders>
            <w:vAlign w:val="bottom"/>
          </w:tcPr>
          <w:p w14:paraId="7BC060CE"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1E4EC064"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4E377D97"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41D9EBB6"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6034877F"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A3EFFEE"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3DED43C6"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24DD580"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F046FC9"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2154F279" w14:textId="77777777" w:rsidTr="00EF5DF3">
        <w:trPr>
          <w:cantSplit/>
          <w:trHeight w:val="23"/>
        </w:trPr>
        <w:tc>
          <w:tcPr>
            <w:tcW w:w="1415" w:type="dxa"/>
            <w:tcBorders>
              <w:top w:val="nil"/>
              <w:left w:val="single" w:sz="2" w:space="0" w:color="auto"/>
              <w:bottom w:val="nil"/>
              <w:right w:val="single" w:sz="2" w:space="0" w:color="auto"/>
            </w:tcBorders>
          </w:tcPr>
          <w:p w14:paraId="38A10FC8"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tcBorders>
              <w:top w:val="nil"/>
              <w:left w:val="single" w:sz="2" w:space="0" w:color="auto"/>
              <w:bottom w:val="nil"/>
              <w:right w:val="nil"/>
            </w:tcBorders>
            <w:vAlign w:val="bottom"/>
          </w:tcPr>
          <w:p w14:paraId="15E733BD" w14:textId="77777777" w:rsidR="00F80015" w:rsidRPr="00AD586B" w:rsidRDefault="00F80015" w:rsidP="00BA0A51">
            <w:pPr>
              <w:pStyle w:val="TableText"/>
              <w:tabs>
                <w:tab w:val="left" w:pos="3306"/>
              </w:tabs>
              <w:spacing w:before="20" w:after="20"/>
              <w:rPr>
                <w:rFonts w:cs="Calibri"/>
              </w:rPr>
            </w:pPr>
            <w:r w:rsidRPr="00AD586B">
              <w:rPr>
                <w:rFonts w:cs="Calibri"/>
              </w:rPr>
              <w:t>Accumulated Impairment Losses</w:t>
            </w:r>
          </w:p>
        </w:tc>
        <w:tc>
          <w:tcPr>
            <w:tcW w:w="709" w:type="dxa"/>
            <w:tcBorders>
              <w:top w:val="nil"/>
              <w:left w:val="nil"/>
              <w:bottom w:val="nil"/>
              <w:right w:val="nil"/>
            </w:tcBorders>
            <w:vAlign w:val="bottom"/>
          </w:tcPr>
          <w:p w14:paraId="61B8A975"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449D881"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20038F07"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4392C1EE"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70269EC0"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14A51D0B"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1D57FB0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346E336"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61875F03"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5491D238" w14:textId="77777777" w:rsidTr="00EF5DF3">
        <w:trPr>
          <w:cantSplit/>
          <w:trHeight w:val="23"/>
        </w:trPr>
        <w:tc>
          <w:tcPr>
            <w:tcW w:w="1415" w:type="dxa"/>
            <w:tcBorders>
              <w:top w:val="nil"/>
              <w:left w:val="single" w:sz="2" w:space="0" w:color="auto"/>
              <w:bottom w:val="nil"/>
              <w:right w:val="single" w:sz="2" w:space="0" w:color="auto"/>
            </w:tcBorders>
          </w:tcPr>
          <w:p w14:paraId="52E6D383" w14:textId="77777777" w:rsidR="00F80015" w:rsidRPr="008A6781" w:rsidRDefault="00F80015" w:rsidP="00BA0A51">
            <w:pPr>
              <w:pStyle w:val="TableReference"/>
              <w:tabs>
                <w:tab w:val="left" w:pos="3306"/>
              </w:tabs>
              <w:spacing w:before="40"/>
              <w:rPr>
                <w:rFonts w:cs="Calibri"/>
                <w:strike/>
                <w:color w:val="FF0000"/>
                <w:sz w:val="14"/>
              </w:rPr>
            </w:pPr>
            <w:r w:rsidRPr="008A6781">
              <w:rPr>
                <w:rFonts w:cs="Calibri"/>
                <w:strike/>
                <w:color w:val="FF0000"/>
                <w:sz w:val="14"/>
              </w:rPr>
              <w:t>AASB 16.53(j)</w:t>
            </w:r>
          </w:p>
        </w:tc>
        <w:tc>
          <w:tcPr>
            <w:tcW w:w="5103" w:type="dxa"/>
            <w:tcBorders>
              <w:top w:val="nil"/>
              <w:left w:val="single" w:sz="2" w:space="0" w:color="auto"/>
              <w:bottom w:val="nil"/>
              <w:right w:val="nil"/>
            </w:tcBorders>
            <w:vAlign w:val="bottom"/>
          </w:tcPr>
          <w:p w14:paraId="7C4D3455" w14:textId="48FA95E2" w:rsidR="00F80015" w:rsidRPr="008A6781" w:rsidRDefault="00F80015" w:rsidP="00BA0A51">
            <w:pPr>
              <w:pStyle w:val="TableText"/>
              <w:tabs>
                <w:tab w:val="left" w:pos="3306"/>
              </w:tabs>
              <w:spacing w:before="20" w:after="20"/>
              <w:rPr>
                <w:rFonts w:cs="Calibri"/>
                <w:strike/>
                <w:color w:val="FF0000"/>
              </w:rPr>
            </w:pPr>
            <w:r w:rsidRPr="008A6781">
              <w:rPr>
                <w:rFonts w:cs="Calibri"/>
                <w:strike/>
                <w:color w:val="FF0000"/>
              </w:rPr>
              <w:t>Carrying Amount of Right-of-Use Assets</w:t>
            </w:r>
          </w:p>
        </w:tc>
        <w:tc>
          <w:tcPr>
            <w:tcW w:w="709" w:type="dxa"/>
            <w:tcBorders>
              <w:top w:val="nil"/>
              <w:left w:val="nil"/>
              <w:bottom w:val="nil"/>
              <w:right w:val="nil"/>
            </w:tcBorders>
            <w:vAlign w:val="bottom"/>
          </w:tcPr>
          <w:p w14:paraId="38DDA8BA"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2A9EA730"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23809815"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17572796"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059663B0"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757B0145"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0AECA5F6"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33A78571"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3CB706EF"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5EC6558E" w14:textId="77777777" w:rsidTr="00BA0A51">
        <w:trPr>
          <w:cantSplit/>
          <w:trHeight w:val="23"/>
        </w:trPr>
        <w:tc>
          <w:tcPr>
            <w:tcW w:w="1415" w:type="dxa"/>
            <w:tcBorders>
              <w:top w:val="nil"/>
              <w:left w:val="single" w:sz="2" w:space="0" w:color="auto"/>
              <w:bottom w:val="nil"/>
              <w:right w:val="single" w:sz="2" w:space="0" w:color="auto"/>
            </w:tcBorders>
          </w:tcPr>
          <w:p w14:paraId="793A8E8C" w14:textId="77777777" w:rsidR="00F80015" w:rsidRPr="00AD586B" w:rsidRDefault="00F80015" w:rsidP="00BA0A51">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567B99C1" w14:textId="77777777" w:rsidR="00F80015" w:rsidRPr="00AD586B" w:rsidRDefault="00F80015" w:rsidP="00BA0A51">
            <w:pPr>
              <w:pStyle w:val="TableText"/>
              <w:tabs>
                <w:tab w:val="left" w:pos="3306"/>
              </w:tabs>
              <w:jc w:val="both"/>
              <w:rPr>
                <w:rFonts w:cs="Calibri"/>
              </w:rPr>
            </w:pPr>
          </w:p>
        </w:tc>
      </w:tr>
    </w:tbl>
    <w:p w14:paraId="1D008617" w14:textId="3824ED15" w:rsidR="00F80015" w:rsidRDefault="00F80015" w:rsidP="0096118D">
      <w:pPr>
        <w:pStyle w:val="TableReference"/>
        <w:tabs>
          <w:tab w:val="left" w:pos="3306"/>
        </w:tabs>
        <w:spacing w:before="40"/>
        <w:rPr>
          <w:rFonts w:cs="Calibri"/>
          <w:color w:val="auto"/>
          <w:sz w:val="16"/>
          <w:szCs w:val="16"/>
        </w:rPr>
      </w:pPr>
    </w:p>
    <w:p w14:paraId="7BA81877" w14:textId="7ABF8543" w:rsidR="00F80015" w:rsidRDefault="00F80015" w:rsidP="0096118D">
      <w:pPr>
        <w:pStyle w:val="TableReference"/>
        <w:tabs>
          <w:tab w:val="left" w:pos="3306"/>
        </w:tabs>
        <w:spacing w:before="40"/>
        <w:rPr>
          <w:rFonts w:cs="Calibri"/>
          <w:color w:val="auto"/>
          <w:sz w:val="16"/>
          <w:szCs w:val="16"/>
        </w:rPr>
      </w:pPr>
    </w:p>
    <w:p w14:paraId="20685B3F" w14:textId="5E09A826" w:rsidR="00F80015" w:rsidRDefault="00F80015" w:rsidP="0096118D">
      <w:pPr>
        <w:pStyle w:val="TableReference"/>
        <w:tabs>
          <w:tab w:val="left" w:pos="3306"/>
        </w:tabs>
        <w:spacing w:before="40"/>
        <w:rPr>
          <w:rFonts w:cs="Calibri"/>
          <w:color w:val="auto"/>
          <w:sz w:val="16"/>
          <w:szCs w:val="16"/>
        </w:rPr>
      </w:pPr>
    </w:p>
    <w:p w14:paraId="4FAF2B1C" w14:textId="0E15A146" w:rsidR="00F80015" w:rsidRDefault="00F80015" w:rsidP="0096118D">
      <w:pPr>
        <w:pStyle w:val="TableReference"/>
        <w:tabs>
          <w:tab w:val="left" w:pos="3306"/>
        </w:tabs>
        <w:spacing w:before="40"/>
        <w:rPr>
          <w:rFonts w:cs="Calibri"/>
          <w:color w:val="auto"/>
          <w:sz w:val="16"/>
          <w:szCs w:val="16"/>
        </w:rPr>
      </w:pPr>
    </w:p>
    <w:p w14:paraId="6ED8B492" w14:textId="0A944372" w:rsidR="00F80015" w:rsidRDefault="00F80015" w:rsidP="0096118D">
      <w:pPr>
        <w:pStyle w:val="TableReference"/>
        <w:tabs>
          <w:tab w:val="left" w:pos="3306"/>
        </w:tabs>
        <w:spacing w:before="40"/>
        <w:rPr>
          <w:rFonts w:cs="Calibri"/>
          <w:color w:val="auto"/>
          <w:sz w:val="16"/>
          <w:szCs w:val="16"/>
        </w:rPr>
      </w:pPr>
    </w:p>
    <w:p w14:paraId="74EC305F" w14:textId="2408A30D" w:rsidR="00F80015" w:rsidRDefault="00F80015" w:rsidP="0096118D">
      <w:pPr>
        <w:pStyle w:val="TableReference"/>
        <w:tabs>
          <w:tab w:val="left" w:pos="3306"/>
        </w:tabs>
        <w:spacing w:before="40"/>
        <w:rPr>
          <w:rFonts w:cs="Calibri"/>
          <w:color w:val="auto"/>
          <w:sz w:val="16"/>
          <w:szCs w:val="16"/>
        </w:rPr>
      </w:pPr>
    </w:p>
    <w:p w14:paraId="7A63EAFB" w14:textId="663AA767" w:rsidR="00F80015" w:rsidRDefault="00F80015" w:rsidP="0096118D">
      <w:pPr>
        <w:pStyle w:val="TableReference"/>
        <w:tabs>
          <w:tab w:val="left" w:pos="3306"/>
        </w:tabs>
        <w:spacing w:before="40"/>
        <w:rPr>
          <w:rFonts w:cs="Calibri"/>
          <w:color w:val="auto"/>
          <w:sz w:val="16"/>
          <w:szCs w:val="16"/>
        </w:rPr>
      </w:pPr>
    </w:p>
    <w:p w14:paraId="7334FCF2" w14:textId="52D8CAA5" w:rsidR="00F80015" w:rsidRDefault="00F80015" w:rsidP="0096118D">
      <w:pPr>
        <w:pStyle w:val="TableReference"/>
        <w:tabs>
          <w:tab w:val="left" w:pos="3306"/>
        </w:tabs>
        <w:spacing w:before="40"/>
        <w:rPr>
          <w:rFonts w:cs="Calibri"/>
          <w:color w:val="auto"/>
          <w:sz w:val="16"/>
          <w:szCs w:val="16"/>
        </w:rPr>
      </w:pPr>
    </w:p>
    <w:p w14:paraId="61E30A29" w14:textId="77777777" w:rsidR="00F80015" w:rsidRDefault="00F80015" w:rsidP="0096118D">
      <w:pPr>
        <w:pStyle w:val="TableReference"/>
        <w:tabs>
          <w:tab w:val="left" w:pos="3306"/>
        </w:tabs>
        <w:spacing w:before="40"/>
        <w:rPr>
          <w:rFonts w:cs="Calibri"/>
          <w:color w:val="auto"/>
          <w:sz w:val="16"/>
          <w:szCs w:val="16"/>
        </w:rPr>
      </w:pPr>
    </w:p>
    <w:p w14:paraId="35603F97" w14:textId="45003A38" w:rsidR="00B02AD2" w:rsidRDefault="00B02AD2" w:rsidP="0096118D">
      <w:pPr>
        <w:pStyle w:val="TableReference"/>
        <w:tabs>
          <w:tab w:val="left" w:pos="3306"/>
        </w:tabs>
        <w:spacing w:before="40"/>
        <w:rPr>
          <w:rFonts w:cs="Calibri"/>
          <w:color w:val="auto"/>
          <w:sz w:val="16"/>
          <w:szCs w:val="16"/>
        </w:rPr>
        <w:sectPr w:rsidR="00B02AD2" w:rsidSect="00827474">
          <w:headerReference w:type="default" r:id="rId40"/>
          <w:footnotePr>
            <w:numRestart w:val="eachPage"/>
          </w:footnotePr>
          <w:pgSz w:w="16840" w:h="11907" w:orient="landscape" w:code="9"/>
          <w:pgMar w:top="1134" w:right="567" w:bottom="680" w:left="567" w:header="426" w:footer="283" w:gutter="0"/>
          <w:cols w:space="720"/>
          <w:docGrid w:linePitch="326"/>
        </w:sectPr>
      </w:pP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4400"/>
        <w:gridCol w:w="1558"/>
        <w:gridCol w:w="1422"/>
        <w:gridCol w:w="1560"/>
      </w:tblGrid>
      <w:tr w:rsidR="00F73636" w:rsidRPr="00CF7E1B" w14:paraId="3D933921" w14:textId="77777777" w:rsidTr="005F5B4C">
        <w:trPr>
          <w:cantSplit/>
          <w:trHeight w:val="23"/>
        </w:trPr>
        <w:tc>
          <w:tcPr>
            <w:tcW w:w="743" w:type="pct"/>
            <w:tcBorders>
              <w:top w:val="nil"/>
              <w:left w:val="single" w:sz="2" w:space="0" w:color="auto"/>
              <w:bottom w:val="nil"/>
              <w:right w:val="single" w:sz="2" w:space="0" w:color="auto"/>
            </w:tcBorders>
          </w:tcPr>
          <w:p w14:paraId="30304A62" w14:textId="77777777" w:rsidR="00F73636" w:rsidRPr="00FB3AD2" w:rsidRDefault="00F73636" w:rsidP="00C85383">
            <w:pPr>
              <w:pStyle w:val="Reference"/>
              <w:rPr>
                <w:rFonts w:cs="Calibri"/>
                <w:color w:val="7030A0"/>
                <w:sz w:val="22"/>
                <w:szCs w:val="22"/>
              </w:rPr>
            </w:pPr>
            <w:r w:rsidRPr="00FB3AD2">
              <w:rPr>
                <w:rFonts w:cs="Calibri"/>
                <w:color w:val="7030A0"/>
                <w:sz w:val="22"/>
                <w:szCs w:val="22"/>
              </w:rPr>
              <w:t>Reference</w:t>
            </w:r>
          </w:p>
        </w:tc>
        <w:tc>
          <w:tcPr>
            <w:tcW w:w="4257" w:type="pct"/>
            <w:gridSpan w:val="4"/>
            <w:tcBorders>
              <w:top w:val="nil"/>
              <w:left w:val="single" w:sz="2" w:space="0" w:color="auto"/>
              <w:bottom w:val="nil"/>
              <w:right w:val="nil"/>
            </w:tcBorders>
          </w:tcPr>
          <w:p w14:paraId="47A26F43" w14:textId="4787062D" w:rsidR="00F73636" w:rsidRPr="00FB3AD2" w:rsidRDefault="00DA3E2F" w:rsidP="00C85383">
            <w:pPr>
              <w:rPr>
                <w:b/>
              </w:rPr>
            </w:pPr>
            <w:r w:rsidRPr="00FB3AD2">
              <w:rPr>
                <w:rFonts w:ascii="Arial Bold" w:hAnsi="Arial Bold" w:cs="Arial"/>
                <w:b/>
                <w:caps/>
                <w:sz w:val="32"/>
                <w:szCs w:val="32"/>
              </w:rPr>
              <w:t xml:space="preserve">Note </w:t>
            </w:r>
            <w:r w:rsidR="001B1A1D" w:rsidRPr="00FB3AD2">
              <w:rPr>
                <w:rFonts w:ascii="Arial Bold" w:hAnsi="Arial Bold" w:cs="Arial"/>
                <w:b/>
                <w:caps/>
                <w:sz w:val="32"/>
                <w:szCs w:val="32"/>
              </w:rPr>
              <w:t>19</w:t>
            </w:r>
            <w:r w:rsidRPr="00FB3AD2">
              <w:rPr>
                <w:rFonts w:ascii="Arial Bold" w:hAnsi="Arial Bold" w:cs="Arial"/>
                <w:b/>
                <w:caps/>
                <w:sz w:val="32"/>
                <w:szCs w:val="32"/>
              </w:rPr>
              <w:t>.</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w:t>
            </w:r>
            <w:r w:rsidR="00774E1B" w:rsidRPr="00FB3AD2">
              <w:rPr>
                <w:rFonts w:ascii="Arial Bold" w:hAnsi="Arial Bold" w:cs="Arial"/>
                <w:b/>
                <w:caps/>
                <w:sz w:val="32"/>
                <w:szCs w:val="32"/>
              </w:rPr>
              <w:t xml:space="preserve"> </w:t>
            </w:r>
            <w:r w:rsidRPr="00FB3AD2">
              <w:rPr>
                <w:rFonts w:ascii="Arial Bold" w:hAnsi="Arial Bold" w:cs="Arial"/>
                <w:b/>
                <w:caps/>
                <w:sz w:val="32"/>
                <w:szCs w:val="32"/>
              </w:rPr>
              <w:t>– Continued</w:t>
            </w:r>
          </w:p>
        </w:tc>
      </w:tr>
      <w:tr w:rsidR="00F73636" w:rsidRPr="00CF7E1B" w14:paraId="05D364C6" w14:textId="77777777" w:rsidTr="005F5B4C">
        <w:trPr>
          <w:cantSplit/>
          <w:trHeight w:val="23"/>
        </w:trPr>
        <w:tc>
          <w:tcPr>
            <w:tcW w:w="743" w:type="pct"/>
            <w:tcBorders>
              <w:top w:val="nil"/>
              <w:left w:val="single" w:sz="2" w:space="0" w:color="auto"/>
              <w:bottom w:val="nil"/>
              <w:right w:val="single" w:sz="2" w:space="0" w:color="auto"/>
            </w:tcBorders>
          </w:tcPr>
          <w:p w14:paraId="54036E05" w14:textId="77777777" w:rsidR="00F73636" w:rsidRPr="00FB3AD2" w:rsidRDefault="00F73636" w:rsidP="00DA3E2F">
            <w:pPr>
              <w:pStyle w:val="Reference"/>
              <w:rPr>
                <w:rFonts w:cs="Calibri"/>
                <w:color w:val="7030A0"/>
                <w:sz w:val="16"/>
                <w:szCs w:val="16"/>
              </w:rPr>
            </w:pPr>
          </w:p>
        </w:tc>
        <w:tc>
          <w:tcPr>
            <w:tcW w:w="4257" w:type="pct"/>
            <w:gridSpan w:val="4"/>
            <w:tcBorders>
              <w:top w:val="nil"/>
              <w:left w:val="single" w:sz="2" w:space="0" w:color="auto"/>
              <w:bottom w:val="nil"/>
              <w:right w:val="nil"/>
            </w:tcBorders>
          </w:tcPr>
          <w:p w14:paraId="22A09726" w14:textId="77777777" w:rsidR="00F73636" w:rsidRPr="00FB3AD2" w:rsidRDefault="00F73636" w:rsidP="00DA3E2F">
            <w:pPr>
              <w:rPr>
                <w:b/>
                <w:sz w:val="18"/>
                <w:szCs w:val="18"/>
              </w:rPr>
            </w:pPr>
            <w:r w:rsidRPr="00FB3AD2">
              <w:rPr>
                <w:b/>
                <w:sz w:val="18"/>
                <w:szCs w:val="18"/>
              </w:rPr>
              <w:t>Fair Value Hierarchy</w:t>
            </w:r>
          </w:p>
        </w:tc>
      </w:tr>
      <w:tr w:rsidR="00F73636" w:rsidRPr="00CF7E1B" w14:paraId="0D461FD7" w14:textId="77777777" w:rsidTr="005F5B4C">
        <w:trPr>
          <w:cantSplit/>
          <w:trHeight w:val="23"/>
        </w:trPr>
        <w:tc>
          <w:tcPr>
            <w:tcW w:w="743" w:type="pct"/>
            <w:tcBorders>
              <w:top w:val="nil"/>
              <w:left w:val="single" w:sz="2" w:space="0" w:color="auto"/>
              <w:bottom w:val="nil"/>
              <w:right w:val="single" w:sz="2" w:space="0" w:color="auto"/>
            </w:tcBorders>
          </w:tcPr>
          <w:p w14:paraId="19CDBCD9"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13.93(b)</w:t>
            </w:r>
          </w:p>
          <w:p w14:paraId="04D29E29" w14:textId="77777777" w:rsidR="00F73636" w:rsidRPr="00FB3AD2" w:rsidRDefault="00F73636" w:rsidP="00FB3080">
            <w:pPr>
              <w:pStyle w:val="TableReference"/>
              <w:tabs>
                <w:tab w:val="left" w:pos="3306"/>
              </w:tabs>
              <w:spacing w:before="40"/>
              <w:rPr>
                <w:rFonts w:cs="Calibri"/>
                <w:color w:val="7030A0"/>
                <w:sz w:val="14"/>
              </w:rPr>
            </w:pPr>
          </w:p>
          <w:p w14:paraId="69A2762E" w14:textId="77777777" w:rsidR="00F73636" w:rsidRPr="00FB3AD2" w:rsidRDefault="00F73636" w:rsidP="007D4DCE">
            <w:pPr>
              <w:pStyle w:val="TableReference"/>
              <w:tabs>
                <w:tab w:val="left" w:pos="3306"/>
              </w:tabs>
              <w:spacing w:before="80"/>
              <w:rPr>
                <w:rFonts w:cs="Calibri"/>
                <w:color w:val="7030A0"/>
                <w:sz w:val="14"/>
              </w:rPr>
            </w:pPr>
            <w:r w:rsidRPr="00FB3AD2">
              <w:rPr>
                <w:rFonts w:cs="Calibri"/>
                <w:color w:val="7030A0"/>
                <w:sz w:val="14"/>
              </w:rPr>
              <w:t>AASB 13.76</w:t>
            </w:r>
          </w:p>
          <w:p w14:paraId="3528E532" w14:textId="77777777" w:rsidR="00DA3E2F" w:rsidRPr="00FB3AD2" w:rsidRDefault="00DA3E2F" w:rsidP="00FB3080">
            <w:pPr>
              <w:pStyle w:val="TableReference"/>
              <w:tabs>
                <w:tab w:val="left" w:pos="3306"/>
              </w:tabs>
              <w:spacing w:before="40"/>
              <w:rPr>
                <w:rFonts w:cs="Calibri"/>
                <w:color w:val="7030A0"/>
                <w:sz w:val="14"/>
              </w:rPr>
            </w:pPr>
          </w:p>
          <w:p w14:paraId="4B905A7F"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13.81</w:t>
            </w:r>
          </w:p>
          <w:p w14:paraId="4072A067" w14:textId="77777777" w:rsidR="00DA3E2F" w:rsidRPr="00FB3AD2" w:rsidRDefault="00DA3E2F" w:rsidP="00FB3080">
            <w:pPr>
              <w:pStyle w:val="TableReference"/>
              <w:tabs>
                <w:tab w:val="left" w:pos="3306"/>
              </w:tabs>
              <w:spacing w:before="40"/>
              <w:rPr>
                <w:rFonts w:cs="Calibri"/>
                <w:color w:val="7030A0"/>
                <w:sz w:val="14"/>
              </w:rPr>
            </w:pPr>
          </w:p>
          <w:p w14:paraId="7BECA0DC" w14:textId="77777777" w:rsidR="00F73636" w:rsidRPr="00FB3AD2" w:rsidRDefault="00F73636" w:rsidP="005346DC">
            <w:pPr>
              <w:pStyle w:val="TableReference"/>
              <w:tabs>
                <w:tab w:val="left" w:pos="3306"/>
              </w:tabs>
              <w:spacing w:before="80"/>
              <w:rPr>
                <w:rFonts w:cs="Calibri"/>
                <w:color w:val="7030A0"/>
                <w:sz w:val="14"/>
              </w:rPr>
            </w:pPr>
            <w:r w:rsidRPr="00FB3AD2">
              <w:rPr>
                <w:rFonts w:cs="Calibri"/>
                <w:color w:val="7030A0"/>
                <w:sz w:val="14"/>
              </w:rPr>
              <w:t>AASB 13.86</w:t>
            </w:r>
          </w:p>
        </w:tc>
        <w:tc>
          <w:tcPr>
            <w:tcW w:w="4257" w:type="pct"/>
            <w:gridSpan w:val="4"/>
            <w:tcBorders>
              <w:top w:val="nil"/>
              <w:left w:val="single" w:sz="2" w:space="0" w:color="auto"/>
              <w:bottom w:val="nil"/>
              <w:right w:val="nil"/>
            </w:tcBorders>
          </w:tcPr>
          <w:p w14:paraId="3FE41940" w14:textId="2A70A56A" w:rsidR="00F73636" w:rsidRPr="00FB3AD2" w:rsidRDefault="00F73636" w:rsidP="005E3765">
            <w:pPr>
              <w:pStyle w:val="TableTitle"/>
              <w:tabs>
                <w:tab w:val="left" w:pos="3306"/>
              </w:tabs>
              <w:spacing w:after="40"/>
              <w:jc w:val="both"/>
              <w:rPr>
                <w:rFonts w:cs="Calibri"/>
                <w:b w:val="0"/>
                <w:bCs w:val="0"/>
              </w:rPr>
            </w:pP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w:t>
            </w:r>
            <w:r w:rsidR="0072147A" w:rsidRPr="00FB3AD2">
              <w:rPr>
                <w:rFonts w:cs="Calibri"/>
                <w:b w:val="0"/>
                <w:bCs w:val="0"/>
              </w:rPr>
              <w:t xml:space="preserve">below </w:t>
            </w:r>
            <w:r w:rsidRPr="00FB3AD2">
              <w:rPr>
                <w:rFonts w:cs="Calibri"/>
                <w:b w:val="0"/>
                <w:bCs w:val="0"/>
              </w:rPr>
              <w:t>reflects the significance of the inputs used in determining fair value.</w:t>
            </w:r>
            <w:r w:rsidR="00FA7C77">
              <w:rPr>
                <w:rFonts w:cs="Calibri"/>
                <w:b w:val="0"/>
                <w:bCs w:val="0"/>
              </w:rPr>
              <w:t xml:space="preserve"> </w:t>
            </w: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is made up of the following three levels: </w:t>
            </w:r>
          </w:p>
          <w:p w14:paraId="2CA97382" w14:textId="77777777" w:rsidR="00F73636" w:rsidRPr="00FB3AD2" w:rsidRDefault="00F73636" w:rsidP="00CB31DE">
            <w:pPr>
              <w:numPr>
                <w:ilvl w:val="0"/>
                <w:numId w:val="25"/>
              </w:numPr>
              <w:autoSpaceDE w:val="0"/>
              <w:autoSpaceDN w:val="0"/>
              <w:adjustRightInd w:val="0"/>
              <w:spacing w:after="40"/>
              <w:jc w:val="both"/>
              <w:rPr>
                <w:rFonts w:cs="Calibri"/>
                <w:sz w:val="18"/>
                <w:szCs w:val="18"/>
              </w:rPr>
            </w:pPr>
            <w:r w:rsidRPr="00FB3AD2">
              <w:rPr>
                <w:rFonts w:cs="Calibri"/>
                <w:sz w:val="18"/>
                <w:szCs w:val="18"/>
              </w:rPr>
              <w:t xml:space="preserve">Level 1 - quoted prices (unadjusted) in active markets for identical assets </w:t>
            </w:r>
            <w:r w:rsidRPr="00C7480D">
              <w:rPr>
                <w:rFonts w:cs="Calibri"/>
                <w:strike/>
                <w:color w:val="FF0000"/>
                <w:sz w:val="18"/>
                <w:szCs w:val="18"/>
              </w:rPr>
              <w:t>or liabilities</w:t>
            </w:r>
            <w:r w:rsidRPr="00C7480D">
              <w:rPr>
                <w:rFonts w:cs="Calibri"/>
                <w:color w:val="FF0000"/>
                <w:sz w:val="18"/>
                <w:szCs w:val="18"/>
              </w:rPr>
              <w:t xml:space="preserve"> </w:t>
            </w:r>
            <w:r w:rsidRPr="00FB3AD2">
              <w:rPr>
                <w:rFonts w:cs="Calibri"/>
                <w:sz w:val="18"/>
                <w:szCs w:val="18"/>
              </w:rPr>
              <w:t>that the agency can access at the measurement date;</w:t>
            </w:r>
          </w:p>
          <w:p w14:paraId="7BC11219" w14:textId="77777777" w:rsidR="00F73636" w:rsidRPr="00FB3AD2" w:rsidRDefault="00F73636" w:rsidP="00CB31DE">
            <w:pPr>
              <w:pStyle w:val="ListParagraph"/>
              <w:numPr>
                <w:ilvl w:val="0"/>
                <w:numId w:val="25"/>
              </w:numPr>
              <w:autoSpaceDE w:val="0"/>
              <w:autoSpaceDN w:val="0"/>
              <w:adjustRightInd w:val="0"/>
              <w:spacing w:after="40"/>
              <w:contextualSpacing w:val="0"/>
              <w:jc w:val="both"/>
              <w:rPr>
                <w:rFonts w:cs="Calibri"/>
                <w:sz w:val="18"/>
                <w:szCs w:val="18"/>
              </w:rPr>
            </w:pPr>
            <w:r w:rsidRPr="00FB3AD2">
              <w:rPr>
                <w:rFonts w:cs="Calibri"/>
                <w:sz w:val="18"/>
                <w:szCs w:val="18"/>
              </w:rPr>
              <w:t xml:space="preserve">Level 2 - inputs other than quoted prices included within Level 1 that are observable for the asset </w:t>
            </w:r>
            <w:r w:rsidRPr="00C7480D">
              <w:rPr>
                <w:rFonts w:cs="Calibri"/>
                <w:strike/>
                <w:color w:val="FF0000"/>
                <w:sz w:val="18"/>
                <w:szCs w:val="18"/>
              </w:rPr>
              <w:t>or liability</w:t>
            </w:r>
            <w:r w:rsidRPr="00FB3AD2">
              <w:rPr>
                <w:rFonts w:cs="Calibri"/>
                <w:sz w:val="18"/>
                <w:szCs w:val="18"/>
              </w:rPr>
              <w:t>, either directly or indirectly; and</w:t>
            </w:r>
          </w:p>
          <w:p w14:paraId="38E03B0C" w14:textId="6F843E67" w:rsidR="00F73636" w:rsidRPr="00FB3AD2" w:rsidRDefault="00F73636" w:rsidP="00CB31DE">
            <w:pPr>
              <w:pStyle w:val="TableText"/>
              <w:numPr>
                <w:ilvl w:val="0"/>
                <w:numId w:val="25"/>
              </w:numPr>
              <w:tabs>
                <w:tab w:val="left" w:pos="3306"/>
              </w:tabs>
              <w:spacing w:after="80"/>
              <w:ind w:left="357" w:hanging="357"/>
              <w:rPr>
                <w:rFonts w:cs="Calibri"/>
              </w:rPr>
            </w:pPr>
            <w:r w:rsidRPr="00FB3AD2">
              <w:rPr>
                <w:rFonts w:cs="Calibri"/>
              </w:rPr>
              <w:t>Level 3 -</w:t>
            </w:r>
            <w:r w:rsidR="000413C4" w:rsidRPr="00FB3AD2">
              <w:rPr>
                <w:rFonts w:cs="Calibri"/>
              </w:rPr>
              <w:t xml:space="preserve"> </w:t>
            </w:r>
            <w:r w:rsidRPr="00FB3AD2">
              <w:rPr>
                <w:rFonts w:cs="Calibri"/>
              </w:rPr>
              <w:t>inputs that are unobservable for particular assets or liabilities.</w:t>
            </w:r>
          </w:p>
        </w:tc>
      </w:tr>
      <w:tr w:rsidR="00F73636" w:rsidRPr="00CF7E1B" w14:paraId="0A78FA65" w14:textId="77777777" w:rsidTr="005F5B4C">
        <w:trPr>
          <w:cantSplit/>
          <w:trHeight w:val="23"/>
        </w:trPr>
        <w:tc>
          <w:tcPr>
            <w:tcW w:w="743" w:type="pct"/>
            <w:tcBorders>
              <w:top w:val="nil"/>
              <w:left w:val="single" w:sz="2" w:space="0" w:color="auto"/>
              <w:bottom w:val="nil"/>
              <w:right w:val="single" w:sz="2" w:space="0" w:color="auto"/>
            </w:tcBorders>
          </w:tcPr>
          <w:p w14:paraId="564044D5" w14:textId="77777777" w:rsidR="00F73636" w:rsidRPr="00FB3AD2" w:rsidRDefault="00F73636" w:rsidP="009746F2">
            <w:pPr>
              <w:pStyle w:val="Reference"/>
              <w:rPr>
                <w:rFonts w:cs="Calibri"/>
                <w:color w:val="7030A0"/>
                <w:sz w:val="14"/>
                <w:szCs w:val="14"/>
              </w:rPr>
            </w:pPr>
            <w:bookmarkStart w:id="642" w:name="_Hlk411500847"/>
          </w:p>
        </w:tc>
        <w:tc>
          <w:tcPr>
            <w:tcW w:w="4257" w:type="pct"/>
            <w:gridSpan w:val="4"/>
            <w:tcBorders>
              <w:top w:val="nil"/>
              <w:left w:val="single" w:sz="2" w:space="0" w:color="auto"/>
              <w:bottom w:val="nil"/>
              <w:right w:val="nil"/>
            </w:tcBorders>
          </w:tcPr>
          <w:p w14:paraId="7A9D9563" w14:textId="77777777" w:rsidR="00F73636" w:rsidRPr="00FB3AD2" w:rsidRDefault="00F73636" w:rsidP="00260F74">
            <w:pPr>
              <w:pStyle w:val="TableTitle"/>
              <w:tabs>
                <w:tab w:val="left" w:pos="3306"/>
              </w:tabs>
              <w:jc w:val="both"/>
              <w:rPr>
                <w:rFonts w:cs="Calibri"/>
                <w:b w:val="0"/>
              </w:rPr>
            </w:pPr>
            <w:r w:rsidRPr="00FB3AD2">
              <w:rPr>
                <w:rFonts w:cs="Calibri"/>
                <w:b w:val="0"/>
                <w:bCs w:val="0"/>
              </w:rPr>
              <w:t xml:space="preserve">Details of the Agency’s property, plant and equipment at fair value and information about 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as at 30 June </w:t>
            </w:r>
            <w:r w:rsidR="00260F74" w:rsidRPr="00FB3AD2">
              <w:rPr>
                <w:rFonts w:cs="Calibri"/>
                <w:b w:val="0"/>
                <w:bCs w:val="0"/>
              </w:rPr>
              <w:t>is as</w:t>
            </w:r>
            <w:r w:rsidRPr="00FB3AD2">
              <w:rPr>
                <w:rFonts w:cs="Calibri"/>
                <w:b w:val="0"/>
                <w:bCs w:val="0"/>
              </w:rPr>
              <w:t xml:space="preserve"> follows:</w:t>
            </w:r>
          </w:p>
        </w:tc>
      </w:tr>
      <w:tr w:rsidR="00BA2D61" w:rsidRPr="00CF7E1B" w14:paraId="4D96C442" w14:textId="77777777" w:rsidTr="005F5B4C">
        <w:trPr>
          <w:cantSplit/>
          <w:trHeight w:val="23"/>
        </w:trPr>
        <w:tc>
          <w:tcPr>
            <w:tcW w:w="743" w:type="pct"/>
            <w:tcBorders>
              <w:top w:val="nil"/>
              <w:left w:val="single" w:sz="2" w:space="0" w:color="auto"/>
              <w:bottom w:val="nil"/>
              <w:right w:val="single" w:sz="2" w:space="0" w:color="auto"/>
            </w:tcBorders>
          </w:tcPr>
          <w:p w14:paraId="2C7882A0" w14:textId="77777777" w:rsidR="00BA2D61" w:rsidRPr="00FB3AD2" w:rsidRDefault="00BA2D61"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5731CF00" w14:textId="77777777" w:rsidR="00BA2D61" w:rsidRPr="00FB3AD2" w:rsidRDefault="00BA2D61" w:rsidP="00260F74">
            <w:pPr>
              <w:pStyle w:val="TableTitle"/>
              <w:tabs>
                <w:tab w:val="left" w:pos="3306"/>
              </w:tabs>
              <w:jc w:val="both"/>
              <w:rPr>
                <w:rFonts w:cs="Calibri"/>
                <w:b w:val="0"/>
                <w:bCs w:val="0"/>
              </w:rPr>
            </w:pPr>
          </w:p>
        </w:tc>
        <w:tc>
          <w:tcPr>
            <w:tcW w:w="2162" w:type="pct"/>
            <w:gridSpan w:val="3"/>
            <w:tcBorders>
              <w:top w:val="nil"/>
              <w:left w:val="nil"/>
              <w:bottom w:val="nil"/>
              <w:right w:val="nil"/>
            </w:tcBorders>
          </w:tcPr>
          <w:p w14:paraId="2638014E" w14:textId="6A4D0085" w:rsidR="00BA2D61" w:rsidRPr="00FB3AD2" w:rsidRDefault="00BA2D61" w:rsidP="00BA2D61">
            <w:pPr>
              <w:pStyle w:val="TableTitle"/>
              <w:tabs>
                <w:tab w:val="left" w:pos="3306"/>
              </w:tabs>
              <w:jc w:val="center"/>
              <w:rPr>
                <w:rFonts w:cs="Calibri"/>
                <w:b w:val="0"/>
                <w:bCs w:val="0"/>
              </w:rPr>
            </w:pPr>
            <w:r w:rsidRPr="00FB3AD2">
              <w:t>Classification According to Fair Value Hierarchy</w:t>
            </w:r>
          </w:p>
        </w:tc>
      </w:tr>
      <w:bookmarkEnd w:id="642"/>
      <w:tr w:rsidR="00041268" w:rsidRPr="00CF7E1B" w14:paraId="7A14012E" w14:textId="77777777" w:rsidTr="005F5B4C">
        <w:trPr>
          <w:cantSplit/>
          <w:trHeight w:val="23"/>
        </w:trPr>
        <w:tc>
          <w:tcPr>
            <w:tcW w:w="743" w:type="pct"/>
            <w:tcBorders>
              <w:top w:val="nil"/>
              <w:left w:val="single" w:sz="2" w:space="0" w:color="auto"/>
              <w:bottom w:val="nil"/>
              <w:right w:val="single" w:sz="2" w:space="0" w:color="auto"/>
            </w:tcBorders>
          </w:tcPr>
          <w:p w14:paraId="11675A5B" w14:textId="77777777" w:rsidR="00041268" w:rsidRPr="00FB3AD2" w:rsidRDefault="00041268"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4F286DCB" w14:textId="77777777" w:rsidR="00041268" w:rsidRPr="00FB3AD2" w:rsidRDefault="00041268" w:rsidP="00260F74">
            <w:pPr>
              <w:pStyle w:val="TableTitle"/>
              <w:tabs>
                <w:tab w:val="left" w:pos="3306"/>
              </w:tabs>
              <w:jc w:val="both"/>
              <w:rPr>
                <w:rFonts w:cs="Calibri"/>
                <w:b w:val="0"/>
                <w:bCs w:val="0"/>
              </w:rPr>
            </w:pPr>
          </w:p>
        </w:tc>
        <w:tc>
          <w:tcPr>
            <w:tcW w:w="742" w:type="pct"/>
            <w:tcBorders>
              <w:top w:val="nil"/>
              <w:left w:val="nil"/>
              <w:bottom w:val="nil"/>
              <w:right w:val="nil"/>
            </w:tcBorders>
          </w:tcPr>
          <w:p w14:paraId="36AC450C" w14:textId="687C49E5" w:rsidR="00041268" w:rsidRPr="00FB3AD2" w:rsidRDefault="00041268" w:rsidP="00BA2D61">
            <w:pPr>
              <w:pStyle w:val="TableTitle"/>
              <w:tabs>
                <w:tab w:val="left" w:pos="3306"/>
              </w:tabs>
              <w:rPr>
                <w:rFonts w:cs="Calibri"/>
              </w:rPr>
            </w:pPr>
            <w:r w:rsidRPr="00FB3AD2">
              <w:rPr>
                <w:rFonts w:cs="Calibri"/>
              </w:rPr>
              <w:t>Level 2</w:t>
            </w:r>
          </w:p>
        </w:tc>
        <w:tc>
          <w:tcPr>
            <w:tcW w:w="677" w:type="pct"/>
            <w:tcBorders>
              <w:top w:val="nil"/>
              <w:left w:val="nil"/>
              <w:bottom w:val="nil"/>
              <w:right w:val="nil"/>
            </w:tcBorders>
          </w:tcPr>
          <w:p w14:paraId="09E1AA9D" w14:textId="302000E1" w:rsidR="00041268" w:rsidRPr="00FB3AD2" w:rsidRDefault="00041268" w:rsidP="00BA2D61">
            <w:pPr>
              <w:pStyle w:val="TableTitle"/>
              <w:tabs>
                <w:tab w:val="left" w:pos="3306"/>
              </w:tabs>
              <w:rPr>
                <w:rFonts w:cs="Calibri"/>
              </w:rPr>
            </w:pPr>
            <w:r w:rsidRPr="00FB3AD2">
              <w:rPr>
                <w:rFonts w:cs="Calibri"/>
              </w:rPr>
              <w:t>Level 3</w:t>
            </w:r>
          </w:p>
        </w:tc>
        <w:tc>
          <w:tcPr>
            <w:tcW w:w="743" w:type="pct"/>
            <w:tcBorders>
              <w:top w:val="nil"/>
              <w:left w:val="nil"/>
              <w:bottom w:val="nil"/>
              <w:right w:val="nil"/>
            </w:tcBorders>
          </w:tcPr>
          <w:p w14:paraId="450208AF" w14:textId="7F072C1E" w:rsidR="00041268" w:rsidRPr="00FB3AD2" w:rsidRDefault="00041268" w:rsidP="00BA2D61">
            <w:pPr>
              <w:pStyle w:val="TableTitle"/>
              <w:tabs>
                <w:tab w:val="left" w:pos="3306"/>
              </w:tabs>
              <w:rPr>
                <w:rFonts w:cs="Calibri"/>
                <w:b w:val="0"/>
                <w:bCs w:val="0"/>
              </w:rPr>
            </w:pPr>
            <w:r w:rsidRPr="00FB3AD2">
              <w:rPr>
                <w:rFonts w:cs="Calibri"/>
              </w:rPr>
              <w:t>Total</w:t>
            </w:r>
          </w:p>
        </w:tc>
      </w:tr>
      <w:tr w:rsidR="00041268" w:rsidRPr="00CF7E1B" w14:paraId="6015087B" w14:textId="77777777" w:rsidTr="005F5B4C">
        <w:trPr>
          <w:cantSplit/>
          <w:trHeight w:val="23"/>
        </w:trPr>
        <w:tc>
          <w:tcPr>
            <w:tcW w:w="743" w:type="pct"/>
            <w:tcBorders>
              <w:top w:val="nil"/>
              <w:left w:val="single" w:sz="2" w:space="0" w:color="auto"/>
              <w:bottom w:val="nil"/>
              <w:right w:val="single" w:sz="2" w:space="0" w:color="auto"/>
            </w:tcBorders>
          </w:tcPr>
          <w:p w14:paraId="493AFBF7"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6E0FCAF" w14:textId="77777777" w:rsidR="00041268" w:rsidRPr="00FB3AD2" w:rsidRDefault="00041268" w:rsidP="000413C4">
            <w:pPr>
              <w:pStyle w:val="TableTitle"/>
              <w:tabs>
                <w:tab w:val="left" w:pos="3306"/>
              </w:tabs>
              <w:jc w:val="both"/>
              <w:rPr>
                <w:rFonts w:cs="Calibri"/>
                <w:b w:val="0"/>
                <w:bCs w:val="0"/>
              </w:rPr>
            </w:pPr>
          </w:p>
        </w:tc>
        <w:tc>
          <w:tcPr>
            <w:tcW w:w="742" w:type="pct"/>
            <w:tcBorders>
              <w:top w:val="nil"/>
              <w:left w:val="nil"/>
              <w:bottom w:val="nil"/>
              <w:right w:val="nil"/>
            </w:tcBorders>
          </w:tcPr>
          <w:p w14:paraId="3B6D84D6" w14:textId="069C3D7E" w:rsidR="00041268" w:rsidRPr="00FB3AD2" w:rsidRDefault="00041268" w:rsidP="000413C4">
            <w:pPr>
              <w:pStyle w:val="TableTitle"/>
              <w:tabs>
                <w:tab w:val="left" w:pos="3306"/>
              </w:tabs>
              <w:rPr>
                <w:rFonts w:cs="Calibri"/>
              </w:rPr>
            </w:pPr>
            <w:r w:rsidRPr="00FB3AD2">
              <w:rPr>
                <w:rFonts w:cs="Calibri"/>
              </w:rPr>
              <w:t>$’000</w:t>
            </w:r>
          </w:p>
        </w:tc>
        <w:tc>
          <w:tcPr>
            <w:tcW w:w="677" w:type="pct"/>
            <w:tcBorders>
              <w:top w:val="nil"/>
              <w:left w:val="nil"/>
              <w:bottom w:val="nil"/>
              <w:right w:val="nil"/>
            </w:tcBorders>
          </w:tcPr>
          <w:p w14:paraId="738DDF34" w14:textId="32EFCEBC" w:rsidR="00041268" w:rsidRPr="00FB3AD2" w:rsidRDefault="00041268" w:rsidP="000413C4">
            <w:pPr>
              <w:pStyle w:val="TableTitle"/>
              <w:tabs>
                <w:tab w:val="left" w:pos="3306"/>
              </w:tabs>
              <w:rPr>
                <w:rFonts w:cs="Calibri"/>
              </w:rPr>
            </w:pPr>
            <w:r w:rsidRPr="00FB3AD2">
              <w:rPr>
                <w:rFonts w:cs="Calibri"/>
              </w:rPr>
              <w:t>$’000</w:t>
            </w:r>
          </w:p>
        </w:tc>
        <w:tc>
          <w:tcPr>
            <w:tcW w:w="743" w:type="pct"/>
            <w:tcBorders>
              <w:top w:val="nil"/>
              <w:left w:val="nil"/>
              <w:bottom w:val="nil"/>
              <w:right w:val="nil"/>
            </w:tcBorders>
          </w:tcPr>
          <w:p w14:paraId="24B8C973" w14:textId="34DAD279" w:rsidR="00041268" w:rsidRPr="00FB3AD2" w:rsidRDefault="00041268" w:rsidP="000413C4">
            <w:pPr>
              <w:pStyle w:val="TableTitle"/>
              <w:tabs>
                <w:tab w:val="left" w:pos="3306"/>
              </w:tabs>
              <w:rPr>
                <w:rFonts w:cs="Calibri"/>
              </w:rPr>
            </w:pPr>
            <w:r w:rsidRPr="00FB3AD2">
              <w:rPr>
                <w:rFonts w:cs="Calibri"/>
              </w:rPr>
              <w:t>$’000</w:t>
            </w:r>
          </w:p>
        </w:tc>
      </w:tr>
      <w:tr w:rsidR="00041268" w:rsidRPr="00CF7E1B" w14:paraId="4291B10A" w14:textId="77777777" w:rsidTr="005F5B4C">
        <w:trPr>
          <w:cantSplit/>
          <w:trHeight w:val="23"/>
        </w:trPr>
        <w:tc>
          <w:tcPr>
            <w:tcW w:w="743" w:type="pct"/>
            <w:tcBorders>
              <w:top w:val="nil"/>
              <w:left w:val="single" w:sz="2" w:space="0" w:color="auto"/>
              <w:bottom w:val="nil"/>
              <w:right w:val="single" w:sz="2" w:space="0" w:color="auto"/>
            </w:tcBorders>
          </w:tcPr>
          <w:p w14:paraId="18C28F2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AF9DF0B" w14:textId="36360C30" w:rsidR="00041268" w:rsidRPr="00FB3AD2" w:rsidRDefault="00041268" w:rsidP="000413C4">
            <w:pPr>
              <w:pStyle w:val="TableTitle"/>
              <w:tabs>
                <w:tab w:val="left" w:pos="3306"/>
              </w:tabs>
              <w:jc w:val="both"/>
              <w:rPr>
                <w:rFonts w:cs="Calibri"/>
                <w:b w:val="0"/>
                <w:bCs w:val="0"/>
              </w:rPr>
            </w:pPr>
            <w:r w:rsidRPr="00FB3AD2">
              <w:rPr>
                <w:rFonts w:cs="Calibri"/>
              </w:rPr>
              <w:t>202</w:t>
            </w:r>
            <w:r w:rsidR="00E01181">
              <w:rPr>
                <w:rFonts w:cs="Calibri"/>
              </w:rPr>
              <w:t>3</w:t>
            </w:r>
          </w:p>
        </w:tc>
        <w:tc>
          <w:tcPr>
            <w:tcW w:w="742" w:type="pct"/>
            <w:tcBorders>
              <w:top w:val="nil"/>
              <w:left w:val="nil"/>
              <w:bottom w:val="nil"/>
              <w:right w:val="nil"/>
            </w:tcBorders>
          </w:tcPr>
          <w:p w14:paraId="043FC251" w14:textId="1F28F15E" w:rsidR="00041268" w:rsidRPr="00FB3AD2" w:rsidRDefault="00041268" w:rsidP="000413C4">
            <w:pPr>
              <w:pStyle w:val="TableTitle"/>
              <w:tabs>
                <w:tab w:val="left" w:pos="3306"/>
              </w:tabs>
              <w:rPr>
                <w:rFonts w:cs="Calibri"/>
                <w:b w:val="0"/>
                <w:bCs w:val="0"/>
              </w:rPr>
            </w:pPr>
          </w:p>
        </w:tc>
        <w:tc>
          <w:tcPr>
            <w:tcW w:w="677" w:type="pct"/>
            <w:tcBorders>
              <w:top w:val="nil"/>
              <w:left w:val="nil"/>
              <w:bottom w:val="nil"/>
              <w:right w:val="nil"/>
            </w:tcBorders>
          </w:tcPr>
          <w:p w14:paraId="1D0E4CEF" w14:textId="7EC67950" w:rsidR="00041268" w:rsidRPr="00FB3AD2" w:rsidRDefault="00041268" w:rsidP="000413C4">
            <w:pPr>
              <w:pStyle w:val="TableTitle"/>
              <w:tabs>
                <w:tab w:val="left" w:pos="3306"/>
              </w:tabs>
              <w:rPr>
                <w:rFonts w:cs="Calibri"/>
                <w:b w:val="0"/>
                <w:bCs w:val="0"/>
              </w:rPr>
            </w:pPr>
          </w:p>
        </w:tc>
        <w:tc>
          <w:tcPr>
            <w:tcW w:w="743" w:type="pct"/>
            <w:tcBorders>
              <w:top w:val="nil"/>
              <w:left w:val="nil"/>
              <w:bottom w:val="nil"/>
              <w:right w:val="nil"/>
            </w:tcBorders>
          </w:tcPr>
          <w:p w14:paraId="48AA2672" w14:textId="741C5A70" w:rsidR="00041268" w:rsidRPr="00FB3AD2" w:rsidRDefault="00041268" w:rsidP="000413C4">
            <w:pPr>
              <w:pStyle w:val="TableTitle"/>
              <w:tabs>
                <w:tab w:val="left" w:pos="3306"/>
              </w:tabs>
              <w:rPr>
                <w:rFonts w:cs="Calibri"/>
                <w:b w:val="0"/>
                <w:bCs w:val="0"/>
              </w:rPr>
            </w:pPr>
          </w:p>
        </w:tc>
      </w:tr>
      <w:tr w:rsidR="00041268" w:rsidRPr="00CF7E1B" w14:paraId="7533A0E1" w14:textId="77777777" w:rsidTr="00B35DD4">
        <w:trPr>
          <w:cantSplit/>
          <w:trHeight w:val="23"/>
        </w:trPr>
        <w:tc>
          <w:tcPr>
            <w:tcW w:w="743" w:type="pct"/>
            <w:tcBorders>
              <w:top w:val="nil"/>
              <w:left w:val="single" w:sz="2" w:space="0" w:color="auto"/>
              <w:bottom w:val="nil"/>
              <w:right w:val="single" w:sz="2" w:space="0" w:color="auto"/>
            </w:tcBorders>
          </w:tcPr>
          <w:p w14:paraId="21B95166" w14:textId="77777777"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13.93(a)&amp;(b)</w:t>
            </w:r>
          </w:p>
          <w:p w14:paraId="5BBE1C42" w14:textId="5D746A5A" w:rsidR="00041268" w:rsidRPr="00FB3AD2" w:rsidRDefault="00041268" w:rsidP="000413C4">
            <w:pPr>
              <w:pStyle w:val="Reference"/>
              <w:rPr>
                <w:rFonts w:cs="Calibri"/>
                <w:color w:val="7030A0"/>
                <w:sz w:val="14"/>
                <w:szCs w:val="14"/>
              </w:rPr>
            </w:pPr>
            <w:r w:rsidRPr="00FB3AD2">
              <w:rPr>
                <w:rFonts w:cs="Calibri"/>
                <w:b w:val="0"/>
                <w:bCs w:val="0"/>
                <w:color w:val="7030A0"/>
                <w:sz w:val="14"/>
              </w:rPr>
              <w:t>AASB 13.94</w:t>
            </w:r>
          </w:p>
        </w:tc>
        <w:tc>
          <w:tcPr>
            <w:tcW w:w="2095" w:type="pct"/>
            <w:tcBorders>
              <w:top w:val="nil"/>
              <w:left w:val="single" w:sz="2" w:space="0" w:color="auto"/>
              <w:bottom w:val="nil"/>
              <w:right w:val="nil"/>
            </w:tcBorders>
          </w:tcPr>
          <w:p w14:paraId="274F0265" w14:textId="2E6F8B9E" w:rsidR="00041268" w:rsidRPr="00FB3AD2" w:rsidRDefault="00041268" w:rsidP="00B35DD4">
            <w:pPr>
              <w:pStyle w:val="TableTitle"/>
              <w:tabs>
                <w:tab w:val="left" w:pos="3306"/>
              </w:tabs>
              <w:jc w:val="left"/>
              <w:rPr>
                <w:rFonts w:cs="Calibri"/>
                <w:b w:val="0"/>
                <w:bCs w:val="0"/>
              </w:rPr>
            </w:pPr>
            <w:r w:rsidRPr="00FB3AD2">
              <w:t>Property, Plant and Equipment at Fair Value</w:t>
            </w:r>
          </w:p>
        </w:tc>
        <w:tc>
          <w:tcPr>
            <w:tcW w:w="742" w:type="pct"/>
            <w:tcBorders>
              <w:top w:val="nil"/>
              <w:left w:val="nil"/>
              <w:bottom w:val="nil"/>
              <w:right w:val="nil"/>
            </w:tcBorders>
          </w:tcPr>
          <w:p w14:paraId="47901B1C"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E6CD73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30883A5C" w14:textId="77777777" w:rsidR="00041268" w:rsidRPr="00FB3AD2" w:rsidRDefault="00041268" w:rsidP="000413C4">
            <w:pPr>
              <w:pStyle w:val="TableTitle"/>
              <w:tabs>
                <w:tab w:val="left" w:pos="3306"/>
              </w:tabs>
              <w:jc w:val="both"/>
              <w:rPr>
                <w:rFonts w:cs="Calibri"/>
                <w:b w:val="0"/>
                <w:bCs w:val="0"/>
              </w:rPr>
            </w:pPr>
          </w:p>
        </w:tc>
      </w:tr>
      <w:tr w:rsidR="00041268" w:rsidRPr="00CF7E1B" w14:paraId="4D11759F" w14:textId="77777777" w:rsidTr="005F5B4C">
        <w:trPr>
          <w:cantSplit/>
          <w:trHeight w:val="23"/>
        </w:trPr>
        <w:tc>
          <w:tcPr>
            <w:tcW w:w="743" w:type="pct"/>
            <w:tcBorders>
              <w:top w:val="nil"/>
              <w:left w:val="single" w:sz="2" w:space="0" w:color="auto"/>
              <w:bottom w:val="nil"/>
              <w:right w:val="single" w:sz="2" w:space="0" w:color="auto"/>
            </w:tcBorders>
          </w:tcPr>
          <w:p w14:paraId="186DDBDD"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99866E8" w14:textId="740D5434" w:rsidR="00041268" w:rsidRPr="00FB3AD2" w:rsidRDefault="00041268" w:rsidP="000413C4">
            <w:pPr>
              <w:pStyle w:val="TableTitle"/>
              <w:tabs>
                <w:tab w:val="left" w:pos="3306"/>
              </w:tabs>
              <w:jc w:val="both"/>
              <w:rPr>
                <w:rFonts w:cs="Calibri"/>
                <w:b w:val="0"/>
                <w:bCs w:val="0"/>
              </w:rPr>
            </w:pPr>
            <w:r w:rsidRPr="00FB3AD2">
              <w:rPr>
                <w:rFonts w:cs="Calibri"/>
                <w:b w:val="0"/>
                <w:bCs w:val="0"/>
              </w:rPr>
              <w:t>Land</w:t>
            </w:r>
          </w:p>
        </w:tc>
        <w:tc>
          <w:tcPr>
            <w:tcW w:w="742" w:type="pct"/>
            <w:tcBorders>
              <w:top w:val="nil"/>
              <w:left w:val="nil"/>
              <w:bottom w:val="nil"/>
              <w:right w:val="nil"/>
            </w:tcBorders>
          </w:tcPr>
          <w:p w14:paraId="70F3680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44EA281C"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6119F19" w14:textId="77777777" w:rsidR="00041268" w:rsidRPr="00FB3AD2" w:rsidRDefault="00041268" w:rsidP="000413C4">
            <w:pPr>
              <w:pStyle w:val="TableTitle"/>
              <w:tabs>
                <w:tab w:val="left" w:pos="3306"/>
              </w:tabs>
              <w:jc w:val="both"/>
              <w:rPr>
                <w:rFonts w:cs="Calibri"/>
                <w:b w:val="0"/>
                <w:bCs w:val="0"/>
              </w:rPr>
            </w:pPr>
          </w:p>
        </w:tc>
      </w:tr>
      <w:tr w:rsidR="00041268" w:rsidRPr="00CF7E1B" w14:paraId="5BA4CB5B" w14:textId="77777777" w:rsidTr="005F5B4C">
        <w:trPr>
          <w:cantSplit/>
          <w:trHeight w:val="23"/>
        </w:trPr>
        <w:tc>
          <w:tcPr>
            <w:tcW w:w="743" w:type="pct"/>
            <w:tcBorders>
              <w:top w:val="nil"/>
              <w:left w:val="single" w:sz="2" w:space="0" w:color="auto"/>
              <w:bottom w:val="nil"/>
              <w:right w:val="single" w:sz="2" w:space="0" w:color="auto"/>
            </w:tcBorders>
          </w:tcPr>
          <w:p w14:paraId="6ED215B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C988725" w14:textId="4933CAAD" w:rsidR="00041268" w:rsidRPr="00FB3AD2" w:rsidRDefault="00041268" w:rsidP="000413C4">
            <w:pPr>
              <w:pStyle w:val="TableTitle"/>
              <w:tabs>
                <w:tab w:val="left" w:pos="3306"/>
              </w:tabs>
              <w:jc w:val="both"/>
              <w:rPr>
                <w:rFonts w:cs="Calibri"/>
                <w:b w:val="0"/>
                <w:bCs w:val="0"/>
              </w:rPr>
            </w:pPr>
            <w:r w:rsidRPr="00FB3AD2">
              <w:rPr>
                <w:rFonts w:cs="Calibri"/>
                <w:b w:val="0"/>
                <w:bCs w:val="0"/>
              </w:rPr>
              <w:t>Buildings</w:t>
            </w:r>
          </w:p>
        </w:tc>
        <w:tc>
          <w:tcPr>
            <w:tcW w:w="742" w:type="pct"/>
            <w:tcBorders>
              <w:top w:val="nil"/>
              <w:left w:val="nil"/>
              <w:bottom w:val="nil"/>
              <w:right w:val="nil"/>
            </w:tcBorders>
          </w:tcPr>
          <w:p w14:paraId="5FBEFF0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D4B10B4"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03CC9CB7" w14:textId="77777777" w:rsidR="00041268" w:rsidRPr="00FB3AD2" w:rsidRDefault="00041268" w:rsidP="000413C4">
            <w:pPr>
              <w:pStyle w:val="TableTitle"/>
              <w:tabs>
                <w:tab w:val="left" w:pos="3306"/>
              </w:tabs>
              <w:jc w:val="both"/>
              <w:rPr>
                <w:rFonts w:cs="Calibri"/>
                <w:b w:val="0"/>
                <w:bCs w:val="0"/>
              </w:rPr>
            </w:pPr>
          </w:p>
        </w:tc>
      </w:tr>
      <w:tr w:rsidR="00041268" w:rsidRPr="00CF7E1B" w14:paraId="00CB1AC4" w14:textId="77777777" w:rsidTr="005F5B4C">
        <w:trPr>
          <w:cantSplit/>
          <w:trHeight w:val="23"/>
        </w:trPr>
        <w:tc>
          <w:tcPr>
            <w:tcW w:w="743" w:type="pct"/>
            <w:tcBorders>
              <w:top w:val="nil"/>
              <w:left w:val="single" w:sz="2" w:space="0" w:color="auto"/>
              <w:bottom w:val="nil"/>
              <w:right w:val="single" w:sz="2" w:space="0" w:color="auto"/>
            </w:tcBorders>
          </w:tcPr>
          <w:p w14:paraId="221BB25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B96149E" w14:textId="63DAC537" w:rsidR="00041268" w:rsidRPr="00FB3AD2" w:rsidRDefault="00041268" w:rsidP="000413C4">
            <w:pPr>
              <w:pStyle w:val="TableTitle"/>
              <w:tabs>
                <w:tab w:val="left" w:pos="3306"/>
              </w:tabs>
              <w:jc w:val="both"/>
              <w:rPr>
                <w:rFonts w:cs="Calibri"/>
                <w:b w:val="0"/>
                <w:bCs w:val="0"/>
              </w:rPr>
            </w:pPr>
            <w:r w:rsidRPr="00FB3AD2">
              <w:rPr>
                <w:rFonts w:cs="Calibri"/>
                <w:b w:val="0"/>
                <w:bCs w:val="0"/>
              </w:rPr>
              <w:t>Leasehold Improvements</w:t>
            </w:r>
          </w:p>
        </w:tc>
        <w:tc>
          <w:tcPr>
            <w:tcW w:w="742" w:type="pct"/>
            <w:tcBorders>
              <w:top w:val="nil"/>
              <w:left w:val="nil"/>
              <w:bottom w:val="nil"/>
              <w:right w:val="nil"/>
            </w:tcBorders>
          </w:tcPr>
          <w:p w14:paraId="41EDF82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61553C9E"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E035470" w14:textId="77777777" w:rsidR="00041268" w:rsidRPr="00FB3AD2" w:rsidRDefault="00041268" w:rsidP="000413C4">
            <w:pPr>
              <w:pStyle w:val="TableTitle"/>
              <w:tabs>
                <w:tab w:val="left" w:pos="3306"/>
              </w:tabs>
              <w:jc w:val="both"/>
              <w:rPr>
                <w:rFonts w:cs="Calibri"/>
                <w:b w:val="0"/>
                <w:bCs w:val="0"/>
              </w:rPr>
            </w:pPr>
          </w:p>
        </w:tc>
      </w:tr>
      <w:tr w:rsidR="00041268" w:rsidRPr="00CF7E1B" w14:paraId="239357E1" w14:textId="77777777" w:rsidTr="005F5B4C">
        <w:trPr>
          <w:cantSplit/>
          <w:trHeight w:val="23"/>
        </w:trPr>
        <w:tc>
          <w:tcPr>
            <w:tcW w:w="743" w:type="pct"/>
            <w:tcBorders>
              <w:top w:val="nil"/>
              <w:left w:val="single" w:sz="2" w:space="0" w:color="auto"/>
              <w:bottom w:val="nil"/>
              <w:right w:val="single" w:sz="2" w:space="0" w:color="auto"/>
            </w:tcBorders>
          </w:tcPr>
          <w:p w14:paraId="7AE0E1C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041E02A" w14:textId="6171AD65" w:rsidR="00041268" w:rsidRPr="00FB3AD2" w:rsidRDefault="00041268" w:rsidP="000413C4">
            <w:pPr>
              <w:pStyle w:val="TableTitle"/>
              <w:tabs>
                <w:tab w:val="left" w:pos="3306"/>
              </w:tabs>
              <w:jc w:val="both"/>
              <w:rPr>
                <w:rFonts w:cs="Calibri"/>
                <w:b w:val="0"/>
                <w:bCs w:val="0"/>
              </w:rPr>
            </w:pPr>
            <w:r w:rsidRPr="00FB3AD2">
              <w:rPr>
                <w:rFonts w:cs="Calibri"/>
                <w:b w:val="0"/>
                <w:bCs w:val="0"/>
              </w:rPr>
              <w:t>Infrastructure Assets</w:t>
            </w:r>
          </w:p>
        </w:tc>
        <w:tc>
          <w:tcPr>
            <w:tcW w:w="742" w:type="pct"/>
            <w:tcBorders>
              <w:top w:val="nil"/>
              <w:left w:val="nil"/>
              <w:bottom w:val="nil"/>
              <w:right w:val="nil"/>
            </w:tcBorders>
          </w:tcPr>
          <w:p w14:paraId="5D2BF24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9FB907F"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2E34322" w14:textId="77777777" w:rsidR="00041268" w:rsidRPr="00FB3AD2" w:rsidRDefault="00041268" w:rsidP="000413C4">
            <w:pPr>
              <w:pStyle w:val="TableTitle"/>
              <w:tabs>
                <w:tab w:val="left" w:pos="3306"/>
              </w:tabs>
              <w:jc w:val="both"/>
              <w:rPr>
                <w:rFonts w:cs="Calibri"/>
                <w:b w:val="0"/>
                <w:bCs w:val="0"/>
              </w:rPr>
            </w:pPr>
          </w:p>
        </w:tc>
      </w:tr>
      <w:tr w:rsidR="00041268" w:rsidRPr="00CF7E1B" w14:paraId="72D93E30" w14:textId="77777777" w:rsidTr="005F5B4C">
        <w:trPr>
          <w:cantSplit/>
          <w:trHeight w:val="23"/>
        </w:trPr>
        <w:tc>
          <w:tcPr>
            <w:tcW w:w="743" w:type="pct"/>
            <w:tcBorders>
              <w:top w:val="nil"/>
              <w:left w:val="single" w:sz="2" w:space="0" w:color="auto"/>
              <w:bottom w:val="nil"/>
              <w:right w:val="single" w:sz="2" w:space="0" w:color="auto"/>
            </w:tcBorders>
          </w:tcPr>
          <w:p w14:paraId="6317892A"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8F5F557" w14:textId="0B041352" w:rsidR="00041268" w:rsidRPr="00FB3AD2" w:rsidRDefault="00041268" w:rsidP="000413C4">
            <w:pPr>
              <w:pStyle w:val="TableTitle"/>
              <w:tabs>
                <w:tab w:val="left" w:pos="3306"/>
              </w:tabs>
              <w:jc w:val="both"/>
              <w:rPr>
                <w:rFonts w:cs="Calibri"/>
                <w:b w:val="0"/>
                <w:bCs w:val="0"/>
              </w:rPr>
            </w:pPr>
            <w:r w:rsidRPr="005408A6">
              <w:rPr>
                <w:rFonts w:cs="Calibri"/>
                <w:b w:val="0"/>
                <w:bCs w:val="0"/>
                <w:strike/>
                <w:color w:val="FF0000"/>
              </w:rPr>
              <w:t>Community and</w:t>
            </w:r>
            <w:r w:rsidRPr="005408A6">
              <w:rPr>
                <w:rFonts w:cs="Calibri"/>
                <w:b w:val="0"/>
                <w:bCs w:val="0"/>
                <w:color w:val="FF0000"/>
              </w:rPr>
              <w:t xml:space="preserve"> </w:t>
            </w:r>
            <w:r w:rsidRPr="00FB3AD2">
              <w:rPr>
                <w:rFonts w:cs="Calibri"/>
                <w:b w:val="0"/>
                <w:bCs w:val="0"/>
              </w:rPr>
              <w:t xml:space="preserve">Heritage </w:t>
            </w:r>
            <w:r w:rsidR="005408A6" w:rsidRPr="005408A6">
              <w:rPr>
                <w:b w:val="0"/>
                <w:bCs w:val="0"/>
                <w:color w:val="FF0000"/>
              </w:rPr>
              <w:t>and Community</w:t>
            </w:r>
            <w:r w:rsidR="005408A6" w:rsidRPr="00FB3AD2">
              <w:rPr>
                <w:rFonts w:cs="Calibri"/>
                <w:b w:val="0"/>
                <w:bCs w:val="0"/>
              </w:rPr>
              <w:t xml:space="preserve"> </w:t>
            </w:r>
            <w:r w:rsidRPr="00FB3AD2">
              <w:rPr>
                <w:rFonts w:cs="Calibri"/>
                <w:b w:val="0"/>
                <w:bCs w:val="0"/>
              </w:rPr>
              <w:t>Assets</w:t>
            </w:r>
          </w:p>
        </w:tc>
        <w:tc>
          <w:tcPr>
            <w:tcW w:w="742" w:type="pct"/>
            <w:tcBorders>
              <w:top w:val="nil"/>
              <w:left w:val="nil"/>
              <w:bottom w:val="single" w:sz="2" w:space="0" w:color="auto"/>
              <w:right w:val="nil"/>
            </w:tcBorders>
          </w:tcPr>
          <w:p w14:paraId="3FA6DB1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7F30548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7C26AD74" w14:textId="77777777" w:rsidR="00041268" w:rsidRPr="00FB3AD2" w:rsidRDefault="00041268" w:rsidP="000413C4">
            <w:pPr>
              <w:pStyle w:val="TableTitle"/>
              <w:tabs>
                <w:tab w:val="left" w:pos="3306"/>
              </w:tabs>
              <w:jc w:val="both"/>
              <w:rPr>
                <w:rFonts w:cs="Calibri"/>
                <w:b w:val="0"/>
                <w:bCs w:val="0"/>
              </w:rPr>
            </w:pPr>
          </w:p>
        </w:tc>
      </w:tr>
      <w:tr w:rsidR="00041268" w:rsidRPr="00CF7E1B" w14:paraId="7FE3B209" w14:textId="77777777" w:rsidTr="005F5B4C">
        <w:trPr>
          <w:cantSplit/>
          <w:trHeight w:val="23"/>
        </w:trPr>
        <w:tc>
          <w:tcPr>
            <w:tcW w:w="743" w:type="pct"/>
            <w:tcBorders>
              <w:top w:val="nil"/>
              <w:left w:val="single" w:sz="2" w:space="0" w:color="auto"/>
              <w:bottom w:val="nil"/>
              <w:right w:val="single" w:sz="2" w:space="0" w:color="auto"/>
            </w:tcBorders>
          </w:tcPr>
          <w:p w14:paraId="0FA425E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74E387D"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094E736A"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21AE527F"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79F9353" w14:textId="77777777" w:rsidR="00041268" w:rsidRPr="00FB3AD2" w:rsidRDefault="00041268" w:rsidP="000413C4">
            <w:pPr>
              <w:pStyle w:val="TableTitle"/>
              <w:tabs>
                <w:tab w:val="left" w:pos="3306"/>
              </w:tabs>
              <w:jc w:val="both"/>
              <w:rPr>
                <w:rFonts w:cs="Calibri"/>
                <w:b w:val="0"/>
                <w:bCs w:val="0"/>
              </w:rPr>
            </w:pPr>
          </w:p>
        </w:tc>
      </w:tr>
      <w:tr w:rsidR="00041268" w:rsidRPr="00CF7E1B" w14:paraId="1F2806AB" w14:textId="77777777" w:rsidTr="005F5B4C">
        <w:trPr>
          <w:cantSplit/>
          <w:trHeight w:val="23"/>
        </w:trPr>
        <w:tc>
          <w:tcPr>
            <w:tcW w:w="743" w:type="pct"/>
            <w:tcBorders>
              <w:top w:val="nil"/>
              <w:left w:val="single" w:sz="2" w:space="0" w:color="auto"/>
              <w:bottom w:val="nil"/>
              <w:right w:val="single" w:sz="2" w:space="0" w:color="auto"/>
            </w:tcBorders>
          </w:tcPr>
          <w:p w14:paraId="5CE40836"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31BD9FB" w14:textId="53D19D0C" w:rsidR="00041268" w:rsidRPr="00FB3AD2" w:rsidRDefault="00041268" w:rsidP="000413C4">
            <w:pPr>
              <w:pStyle w:val="TableTitle"/>
              <w:tabs>
                <w:tab w:val="left" w:pos="3306"/>
              </w:tabs>
              <w:jc w:val="both"/>
              <w:rPr>
                <w:rFonts w:cs="Calibri"/>
                <w:b w:val="0"/>
                <w:bCs w:val="0"/>
              </w:rPr>
            </w:pPr>
            <w:r w:rsidRPr="00FB3AD2">
              <w:rPr>
                <w:rStyle w:val="Hyperlink"/>
                <w:rFonts w:cs="Calibri"/>
                <w:color w:val="auto"/>
                <w:u w:val="none"/>
              </w:rPr>
              <w:t>202</w:t>
            </w:r>
            <w:r w:rsidR="00E01181">
              <w:rPr>
                <w:rStyle w:val="Hyperlink"/>
                <w:rFonts w:cs="Calibri"/>
                <w:color w:val="auto"/>
                <w:u w:val="none"/>
              </w:rPr>
              <w:t>2</w:t>
            </w:r>
          </w:p>
        </w:tc>
        <w:tc>
          <w:tcPr>
            <w:tcW w:w="742" w:type="pct"/>
            <w:tcBorders>
              <w:top w:val="single" w:sz="2" w:space="0" w:color="auto"/>
              <w:left w:val="nil"/>
              <w:bottom w:val="nil"/>
              <w:right w:val="nil"/>
            </w:tcBorders>
          </w:tcPr>
          <w:p w14:paraId="11758FFA" w14:textId="55B58496" w:rsidR="00041268" w:rsidRPr="00FB3AD2" w:rsidRDefault="00041268" w:rsidP="000413C4">
            <w:pPr>
              <w:pStyle w:val="TableTitle"/>
              <w:tabs>
                <w:tab w:val="left" w:pos="3306"/>
              </w:tabs>
              <w:rPr>
                <w:rFonts w:cs="Calibri"/>
                <w:b w:val="0"/>
                <w:bCs w:val="0"/>
                <w:strike/>
              </w:rPr>
            </w:pPr>
          </w:p>
        </w:tc>
        <w:tc>
          <w:tcPr>
            <w:tcW w:w="677" w:type="pct"/>
            <w:tcBorders>
              <w:top w:val="single" w:sz="2" w:space="0" w:color="auto"/>
              <w:left w:val="nil"/>
              <w:bottom w:val="nil"/>
              <w:right w:val="nil"/>
            </w:tcBorders>
          </w:tcPr>
          <w:p w14:paraId="6621144D" w14:textId="1D9A0835" w:rsidR="00041268" w:rsidRPr="00FB3AD2" w:rsidRDefault="00041268" w:rsidP="000413C4">
            <w:pPr>
              <w:pStyle w:val="TableTitle"/>
              <w:tabs>
                <w:tab w:val="left" w:pos="3306"/>
              </w:tabs>
              <w:rPr>
                <w:rFonts w:cs="Calibri"/>
                <w:b w:val="0"/>
                <w:bCs w:val="0"/>
                <w:strike/>
              </w:rPr>
            </w:pPr>
          </w:p>
        </w:tc>
        <w:tc>
          <w:tcPr>
            <w:tcW w:w="743" w:type="pct"/>
            <w:tcBorders>
              <w:top w:val="single" w:sz="2" w:space="0" w:color="auto"/>
              <w:left w:val="nil"/>
              <w:bottom w:val="nil"/>
              <w:right w:val="nil"/>
            </w:tcBorders>
          </w:tcPr>
          <w:p w14:paraId="1E14CDCD" w14:textId="54E62EB0" w:rsidR="00041268" w:rsidRPr="00FB3AD2" w:rsidRDefault="00041268" w:rsidP="000413C4">
            <w:pPr>
              <w:pStyle w:val="TableTitle"/>
              <w:tabs>
                <w:tab w:val="left" w:pos="3306"/>
              </w:tabs>
              <w:rPr>
                <w:rFonts w:cs="Calibri"/>
                <w:strike/>
              </w:rPr>
            </w:pPr>
          </w:p>
        </w:tc>
      </w:tr>
      <w:tr w:rsidR="00041268" w:rsidRPr="00CF7E1B" w14:paraId="320E6561" w14:textId="77777777" w:rsidTr="00B35DD4">
        <w:trPr>
          <w:cantSplit/>
          <w:trHeight w:val="23"/>
        </w:trPr>
        <w:tc>
          <w:tcPr>
            <w:tcW w:w="743" w:type="pct"/>
            <w:tcBorders>
              <w:top w:val="nil"/>
              <w:left w:val="single" w:sz="2" w:space="0" w:color="auto"/>
              <w:bottom w:val="nil"/>
              <w:right w:val="single" w:sz="2" w:space="0" w:color="auto"/>
            </w:tcBorders>
          </w:tcPr>
          <w:p w14:paraId="5E2301E7" w14:textId="77777777"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13.93(a)&amp;(b)</w:t>
            </w:r>
          </w:p>
          <w:p w14:paraId="3620964F" w14:textId="6A93F8ED"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13.94</w:t>
            </w:r>
          </w:p>
        </w:tc>
        <w:tc>
          <w:tcPr>
            <w:tcW w:w="2095" w:type="pct"/>
            <w:tcBorders>
              <w:top w:val="nil"/>
              <w:left w:val="single" w:sz="2" w:space="0" w:color="auto"/>
              <w:bottom w:val="nil"/>
              <w:right w:val="nil"/>
            </w:tcBorders>
          </w:tcPr>
          <w:p w14:paraId="1B3336DC" w14:textId="20662E0A" w:rsidR="00041268" w:rsidRPr="00FB3AD2" w:rsidRDefault="00041268" w:rsidP="00B35DD4">
            <w:pPr>
              <w:pStyle w:val="TableTitle"/>
              <w:tabs>
                <w:tab w:val="left" w:pos="3306"/>
              </w:tabs>
              <w:jc w:val="left"/>
              <w:rPr>
                <w:rFonts w:cs="Calibri"/>
                <w:b w:val="0"/>
                <w:bCs w:val="0"/>
              </w:rPr>
            </w:pPr>
            <w:r w:rsidRPr="00FB3AD2">
              <w:rPr>
                <w:rStyle w:val="Hyperlink"/>
                <w:rFonts w:cs="Calibri"/>
                <w:color w:val="auto"/>
                <w:u w:val="none"/>
              </w:rPr>
              <w:t>Property, Plant and Equipment at Fair Value</w:t>
            </w:r>
          </w:p>
        </w:tc>
        <w:tc>
          <w:tcPr>
            <w:tcW w:w="742" w:type="pct"/>
            <w:tcBorders>
              <w:top w:val="nil"/>
              <w:left w:val="nil"/>
              <w:bottom w:val="nil"/>
              <w:right w:val="nil"/>
            </w:tcBorders>
          </w:tcPr>
          <w:p w14:paraId="35DDE317" w14:textId="0376077B" w:rsidR="00041268" w:rsidRPr="00FB3AD2" w:rsidRDefault="00041268" w:rsidP="000413C4">
            <w:pPr>
              <w:pStyle w:val="TableTitle"/>
              <w:tabs>
                <w:tab w:val="left" w:pos="3306"/>
              </w:tabs>
              <w:rPr>
                <w:rFonts w:cs="Calibri"/>
                <w:b w:val="0"/>
                <w:bCs w:val="0"/>
                <w:strike/>
              </w:rPr>
            </w:pPr>
          </w:p>
        </w:tc>
        <w:tc>
          <w:tcPr>
            <w:tcW w:w="677" w:type="pct"/>
            <w:tcBorders>
              <w:top w:val="nil"/>
              <w:left w:val="nil"/>
              <w:bottom w:val="nil"/>
              <w:right w:val="nil"/>
            </w:tcBorders>
          </w:tcPr>
          <w:p w14:paraId="1C5DBACE" w14:textId="6FDB9379" w:rsidR="00041268" w:rsidRPr="00FB3AD2" w:rsidRDefault="00041268" w:rsidP="000413C4">
            <w:pPr>
              <w:pStyle w:val="TableTitle"/>
              <w:tabs>
                <w:tab w:val="left" w:pos="3306"/>
              </w:tabs>
              <w:rPr>
                <w:rFonts w:cs="Calibri"/>
                <w:b w:val="0"/>
                <w:bCs w:val="0"/>
                <w:strike/>
              </w:rPr>
            </w:pPr>
          </w:p>
        </w:tc>
        <w:tc>
          <w:tcPr>
            <w:tcW w:w="743" w:type="pct"/>
            <w:tcBorders>
              <w:top w:val="nil"/>
              <w:left w:val="nil"/>
              <w:bottom w:val="nil"/>
              <w:right w:val="nil"/>
            </w:tcBorders>
          </w:tcPr>
          <w:p w14:paraId="52D43552" w14:textId="39398CCE" w:rsidR="00041268" w:rsidRPr="00FB3AD2" w:rsidRDefault="00041268" w:rsidP="000413C4">
            <w:pPr>
              <w:pStyle w:val="TableTitle"/>
              <w:tabs>
                <w:tab w:val="left" w:pos="3306"/>
              </w:tabs>
              <w:rPr>
                <w:rFonts w:cs="Calibri"/>
                <w:b w:val="0"/>
                <w:bCs w:val="0"/>
                <w:strike/>
              </w:rPr>
            </w:pPr>
          </w:p>
        </w:tc>
      </w:tr>
      <w:tr w:rsidR="00041268" w:rsidRPr="00CF7E1B" w14:paraId="32B9829E" w14:textId="77777777" w:rsidTr="005F5B4C">
        <w:trPr>
          <w:cantSplit/>
          <w:trHeight w:val="23"/>
        </w:trPr>
        <w:tc>
          <w:tcPr>
            <w:tcW w:w="743" w:type="pct"/>
            <w:tcBorders>
              <w:top w:val="nil"/>
              <w:left w:val="single" w:sz="2" w:space="0" w:color="auto"/>
              <w:bottom w:val="nil"/>
              <w:right w:val="single" w:sz="2" w:space="0" w:color="auto"/>
            </w:tcBorders>
          </w:tcPr>
          <w:p w14:paraId="2572D8D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1F6202D" w14:textId="1B4F1C0A" w:rsidR="00041268" w:rsidRPr="00FB3AD2" w:rsidRDefault="00041268" w:rsidP="000413C4">
            <w:pPr>
              <w:pStyle w:val="TableTitle"/>
              <w:tabs>
                <w:tab w:val="left" w:pos="3306"/>
              </w:tabs>
              <w:jc w:val="both"/>
              <w:rPr>
                <w:rFonts w:cs="Calibri"/>
                <w:b w:val="0"/>
                <w:bCs w:val="0"/>
              </w:rPr>
            </w:pPr>
            <w:r w:rsidRPr="00FB3AD2">
              <w:rPr>
                <w:b w:val="0"/>
                <w:bCs w:val="0"/>
              </w:rPr>
              <w:t>Land</w:t>
            </w:r>
          </w:p>
        </w:tc>
        <w:tc>
          <w:tcPr>
            <w:tcW w:w="742" w:type="pct"/>
            <w:tcBorders>
              <w:top w:val="nil"/>
              <w:left w:val="nil"/>
              <w:bottom w:val="nil"/>
              <w:right w:val="nil"/>
            </w:tcBorders>
          </w:tcPr>
          <w:p w14:paraId="3B8A0520"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8F36BF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821701" w14:textId="77777777" w:rsidR="00041268" w:rsidRPr="00FB3AD2" w:rsidRDefault="00041268" w:rsidP="000413C4">
            <w:pPr>
              <w:pStyle w:val="TableTitle"/>
              <w:tabs>
                <w:tab w:val="left" w:pos="3306"/>
              </w:tabs>
              <w:jc w:val="both"/>
              <w:rPr>
                <w:rFonts w:cs="Calibri"/>
                <w:b w:val="0"/>
                <w:bCs w:val="0"/>
              </w:rPr>
            </w:pPr>
          </w:p>
        </w:tc>
      </w:tr>
      <w:tr w:rsidR="00041268" w:rsidRPr="00CF7E1B" w14:paraId="6F30B044" w14:textId="77777777" w:rsidTr="005F5B4C">
        <w:trPr>
          <w:cantSplit/>
          <w:trHeight w:val="23"/>
        </w:trPr>
        <w:tc>
          <w:tcPr>
            <w:tcW w:w="743" w:type="pct"/>
            <w:tcBorders>
              <w:top w:val="nil"/>
              <w:left w:val="single" w:sz="2" w:space="0" w:color="auto"/>
              <w:bottom w:val="nil"/>
              <w:right w:val="single" w:sz="2" w:space="0" w:color="auto"/>
            </w:tcBorders>
          </w:tcPr>
          <w:p w14:paraId="4B7AAD0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C4BA773" w14:textId="67AA30E4" w:rsidR="00041268" w:rsidRPr="00FB3AD2" w:rsidRDefault="00041268" w:rsidP="000413C4">
            <w:pPr>
              <w:pStyle w:val="TableTitle"/>
              <w:tabs>
                <w:tab w:val="left" w:pos="3306"/>
              </w:tabs>
              <w:jc w:val="both"/>
              <w:rPr>
                <w:rFonts w:cs="Calibri"/>
                <w:b w:val="0"/>
                <w:bCs w:val="0"/>
              </w:rPr>
            </w:pPr>
            <w:r w:rsidRPr="00FB3AD2">
              <w:rPr>
                <w:b w:val="0"/>
                <w:bCs w:val="0"/>
              </w:rPr>
              <w:t>Buildings</w:t>
            </w:r>
          </w:p>
        </w:tc>
        <w:tc>
          <w:tcPr>
            <w:tcW w:w="742" w:type="pct"/>
            <w:tcBorders>
              <w:top w:val="nil"/>
              <w:left w:val="nil"/>
              <w:bottom w:val="nil"/>
              <w:right w:val="nil"/>
            </w:tcBorders>
          </w:tcPr>
          <w:p w14:paraId="37E6D34D"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2D4512FB"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DF5F123" w14:textId="77777777" w:rsidR="00041268" w:rsidRPr="00FB3AD2" w:rsidRDefault="00041268" w:rsidP="000413C4">
            <w:pPr>
              <w:pStyle w:val="TableTitle"/>
              <w:tabs>
                <w:tab w:val="left" w:pos="3306"/>
              </w:tabs>
              <w:jc w:val="both"/>
              <w:rPr>
                <w:rFonts w:cs="Calibri"/>
                <w:b w:val="0"/>
                <w:bCs w:val="0"/>
              </w:rPr>
            </w:pPr>
          </w:p>
        </w:tc>
      </w:tr>
      <w:tr w:rsidR="00041268" w:rsidRPr="00CF7E1B" w14:paraId="4C078031" w14:textId="77777777" w:rsidTr="005F5B4C">
        <w:trPr>
          <w:cantSplit/>
          <w:trHeight w:val="23"/>
        </w:trPr>
        <w:tc>
          <w:tcPr>
            <w:tcW w:w="743" w:type="pct"/>
            <w:tcBorders>
              <w:top w:val="nil"/>
              <w:left w:val="single" w:sz="2" w:space="0" w:color="auto"/>
              <w:bottom w:val="nil"/>
              <w:right w:val="single" w:sz="2" w:space="0" w:color="auto"/>
            </w:tcBorders>
          </w:tcPr>
          <w:p w14:paraId="61EBC4F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CEF0D45" w14:textId="1BE3A4FD" w:rsidR="00041268" w:rsidRPr="00FB3AD2" w:rsidRDefault="00041268" w:rsidP="000413C4">
            <w:pPr>
              <w:pStyle w:val="TableTitle"/>
              <w:tabs>
                <w:tab w:val="left" w:pos="3306"/>
              </w:tabs>
              <w:jc w:val="both"/>
              <w:rPr>
                <w:rFonts w:cs="Calibri"/>
                <w:b w:val="0"/>
                <w:bCs w:val="0"/>
              </w:rPr>
            </w:pPr>
            <w:r w:rsidRPr="00FB3AD2">
              <w:rPr>
                <w:b w:val="0"/>
                <w:bCs w:val="0"/>
              </w:rPr>
              <w:t>Leasehold Improvements</w:t>
            </w:r>
          </w:p>
        </w:tc>
        <w:tc>
          <w:tcPr>
            <w:tcW w:w="742" w:type="pct"/>
            <w:tcBorders>
              <w:top w:val="nil"/>
              <w:left w:val="nil"/>
              <w:bottom w:val="nil"/>
              <w:right w:val="nil"/>
            </w:tcBorders>
          </w:tcPr>
          <w:p w14:paraId="59B02A57"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655430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FF9C501" w14:textId="77777777" w:rsidR="00041268" w:rsidRPr="00FB3AD2" w:rsidRDefault="00041268" w:rsidP="000413C4">
            <w:pPr>
              <w:pStyle w:val="TableTitle"/>
              <w:tabs>
                <w:tab w:val="left" w:pos="3306"/>
              </w:tabs>
              <w:jc w:val="both"/>
              <w:rPr>
                <w:rFonts w:cs="Calibri"/>
                <w:b w:val="0"/>
                <w:bCs w:val="0"/>
              </w:rPr>
            </w:pPr>
          </w:p>
        </w:tc>
      </w:tr>
      <w:tr w:rsidR="00041268" w:rsidRPr="00CF7E1B" w14:paraId="53384C4F" w14:textId="77777777" w:rsidTr="005F5B4C">
        <w:trPr>
          <w:cantSplit/>
          <w:trHeight w:val="23"/>
        </w:trPr>
        <w:tc>
          <w:tcPr>
            <w:tcW w:w="743" w:type="pct"/>
            <w:tcBorders>
              <w:top w:val="nil"/>
              <w:left w:val="single" w:sz="2" w:space="0" w:color="auto"/>
              <w:bottom w:val="nil"/>
              <w:right w:val="single" w:sz="2" w:space="0" w:color="auto"/>
            </w:tcBorders>
          </w:tcPr>
          <w:p w14:paraId="19C80B42"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A64A00B" w14:textId="72D90E2F" w:rsidR="00041268" w:rsidRPr="00FB3AD2" w:rsidRDefault="00041268" w:rsidP="000413C4">
            <w:pPr>
              <w:pStyle w:val="TableTitle"/>
              <w:tabs>
                <w:tab w:val="left" w:pos="3306"/>
              </w:tabs>
              <w:jc w:val="both"/>
              <w:rPr>
                <w:rFonts w:cs="Calibri"/>
                <w:b w:val="0"/>
                <w:bCs w:val="0"/>
              </w:rPr>
            </w:pPr>
            <w:r w:rsidRPr="00FB3AD2">
              <w:rPr>
                <w:b w:val="0"/>
                <w:bCs w:val="0"/>
              </w:rPr>
              <w:t>Infrastructure Assets</w:t>
            </w:r>
          </w:p>
        </w:tc>
        <w:tc>
          <w:tcPr>
            <w:tcW w:w="742" w:type="pct"/>
            <w:tcBorders>
              <w:top w:val="nil"/>
              <w:left w:val="nil"/>
              <w:bottom w:val="nil"/>
              <w:right w:val="nil"/>
            </w:tcBorders>
          </w:tcPr>
          <w:p w14:paraId="09A343F6"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772E5E5"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EA5E80" w14:textId="77777777" w:rsidR="00041268" w:rsidRPr="00FB3AD2" w:rsidRDefault="00041268" w:rsidP="000413C4">
            <w:pPr>
              <w:pStyle w:val="TableTitle"/>
              <w:tabs>
                <w:tab w:val="left" w:pos="3306"/>
              </w:tabs>
              <w:jc w:val="both"/>
              <w:rPr>
                <w:rFonts w:cs="Calibri"/>
                <w:b w:val="0"/>
                <w:bCs w:val="0"/>
              </w:rPr>
            </w:pPr>
          </w:p>
        </w:tc>
      </w:tr>
      <w:tr w:rsidR="00041268" w:rsidRPr="00CF7E1B" w14:paraId="484CCBE6" w14:textId="77777777" w:rsidTr="005F5B4C">
        <w:trPr>
          <w:cantSplit/>
          <w:trHeight w:val="23"/>
        </w:trPr>
        <w:tc>
          <w:tcPr>
            <w:tcW w:w="743" w:type="pct"/>
            <w:tcBorders>
              <w:top w:val="nil"/>
              <w:left w:val="single" w:sz="2" w:space="0" w:color="auto"/>
              <w:bottom w:val="nil"/>
              <w:right w:val="single" w:sz="2" w:space="0" w:color="auto"/>
            </w:tcBorders>
          </w:tcPr>
          <w:p w14:paraId="4AAD95A1"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0522BF7" w14:textId="41EEA1FB" w:rsidR="00041268" w:rsidRPr="00FB3AD2" w:rsidRDefault="00041268" w:rsidP="000413C4">
            <w:pPr>
              <w:pStyle w:val="TableTitle"/>
              <w:tabs>
                <w:tab w:val="left" w:pos="3306"/>
              </w:tabs>
              <w:jc w:val="both"/>
              <w:rPr>
                <w:rFonts w:cs="Calibri"/>
                <w:b w:val="0"/>
                <w:bCs w:val="0"/>
              </w:rPr>
            </w:pPr>
            <w:r w:rsidRPr="005408A6">
              <w:rPr>
                <w:b w:val="0"/>
                <w:bCs w:val="0"/>
                <w:strike/>
                <w:color w:val="FF0000"/>
              </w:rPr>
              <w:t>Community and</w:t>
            </w:r>
            <w:r w:rsidRPr="005408A6">
              <w:rPr>
                <w:b w:val="0"/>
                <w:bCs w:val="0"/>
                <w:color w:val="FF0000"/>
              </w:rPr>
              <w:t xml:space="preserve"> </w:t>
            </w:r>
            <w:r w:rsidRPr="00FB3AD2">
              <w:rPr>
                <w:b w:val="0"/>
                <w:bCs w:val="0"/>
              </w:rPr>
              <w:t xml:space="preserve">Heritage </w:t>
            </w:r>
            <w:r w:rsidR="005408A6" w:rsidRPr="005408A6">
              <w:rPr>
                <w:b w:val="0"/>
                <w:bCs w:val="0"/>
                <w:color w:val="FF0000"/>
              </w:rPr>
              <w:t>and Community</w:t>
            </w:r>
            <w:r w:rsidR="005408A6" w:rsidRPr="00FB3AD2">
              <w:rPr>
                <w:b w:val="0"/>
                <w:bCs w:val="0"/>
              </w:rPr>
              <w:t xml:space="preserve"> </w:t>
            </w:r>
            <w:r w:rsidRPr="00FB3AD2">
              <w:rPr>
                <w:b w:val="0"/>
                <w:bCs w:val="0"/>
              </w:rPr>
              <w:t>Assets</w:t>
            </w:r>
          </w:p>
        </w:tc>
        <w:tc>
          <w:tcPr>
            <w:tcW w:w="742" w:type="pct"/>
            <w:tcBorders>
              <w:top w:val="nil"/>
              <w:left w:val="nil"/>
              <w:bottom w:val="single" w:sz="2" w:space="0" w:color="auto"/>
              <w:right w:val="nil"/>
            </w:tcBorders>
          </w:tcPr>
          <w:p w14:paraId="5D34D98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4F8AFFB7"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2280F53C" w14:textId="77777777" w:rsidR="00041268" w:rsidRPr="00FB3AD2" w:rsidRDefault="00041268" w:rsidP="000413C4">
            <w:pPr>
              <w:pStyle w:val="TableTitle"/>
              <w:tabs>
                <w:tab w:val="left" w:pos="3306"/>
              </w:tabs>
              <w:jc w:val="both"/>
              <w:rPr>
                <w:rFonts w:cs="Calibri"/>
                <w:b w:val="0"/>
                <w:bCs w:val="0"/>
              </w:rPr>
            </w:pPr>
          </w:p>
        </w:tc>
      </w:tr>
      <w:tr w:rsidR="00041268" w:rsidRPr="00CF7E1B" w14:paraId="6BA8D041" w14:textId="77777777" w:rsidTr="005F5B4C">
        <w:trPr>
          <w:cantSplit/>
          <w:trHeight w:val="23"/>
        </w:trPr>
        <w:tc>
          <w:tcPr>
            <w:tcW w:w="743" w:type="pct"/>
            <w:tcBorders>
              <w:top w:val="nil"/>
              <w:left w:val="single" w:sz="2" w:space="0" w:color="auto"/>
              <w:bottom w:val="nil"/>
              <w:right w:val="single" w:sz="2" w:space="0" w:color="auto"/>
            </w:tcBorders>
          </w:tcPr>
          <w:p w14:paraId="4370D67F"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5AE19DBA"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155C5172"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11AD4567"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F4C42BB" w14:textId="77777777" w:rsidR="00041268" w:rsidRPr="00FB3AD2" w:rsidRDefault="00041268" w:rsidP="000413C4">
            <w:pPr>
              <w:pStyle w:val="TableTitle"/>
              <w:tabs>
                <w:tab w:val="left" w:pos="3306"/>
              </w:tabs>
              <w:jc w:val="both"/>
              <w:rPr>
                <w:rFonts w:cs="Calibri"/>
                <w:b w:val="0"/>
                <w:bCs w:val="0"/>
              </w:rPr>
            </w:pPr>
          </w:p>
        </w:tc>
      </w:tr>
      <w:tr w:rsidR="000413C4" w:rsidRPr="00CF7E1B" w14:paraId="3F11DC2E" w14:textId="77777777" w:rsidTr="005F5B4C">
        <w:tblPrEx>
          <w:jc w:val="right"/>
        </w:tblPrEx>
        <w:trPr>
          <w:cantSplit/>
          <w:trHeight w:val="276"/>
          <w:jc w:val="right"/>
        </w:trPr>
        <w:tc>
          <w:tcPr>
            <w:tcW w:w="743" w:type="pct"/>
            <w:tcBorders>
              <w:top w:val="nil"/>
              <w:left w:val="single" w:sz="2" w:space="0" w:color="auto"/>
              <w:bottom w:val="nil"/>
              <w:right w:val="single" w:sz="2" w:space="0" w:color="auto"/>
            </w:tcBorders>
          </w:tcPr>
          <w:p w14:paraId="440FEEA2"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13.93(c) &amp; e) (iv)</w:t>
            </w:r>
          </w:p>
        </w:tc>
        <w:tc>
          <w:tcPr>
            <w:tcW w:w="4257" w:type="pct"/>
            <w:gridSpan w:val="4"/>
            <w:tcBorders>
              <w:top w:val="nil"/>
              <w:left w:val="single" w:sz="2" w:space="0" w:color="auto"/>
              <w:bottom w:val="nil"/>
              <w:right w:val="nil"/>
            </w:tcBorders>
          </w:tcPr>
          <w:p w14:paraId="32429318" w14:textId="77777777" w:rsidR="000413C4" w:rsidRPr="00FB3AD2" w:rsidRDefault="000413C4" w:rsidP="000413C4">
            <w:pPr>
              <w:rPr>
                <w:b/>
                <w:sz w:val="18"/>
                <w:szCs w:val="18"/>
              </w:rPr>
            </w:pPr>
            <w:r w:rsidRPr="00FB3AD2">
              <w:rPr>
                <w:b/>
                <w:sz w:val="18"/>
                <w:szCs w:val="18"/>
              </w:rPr>
              <w:t>Transfers Between Categories</w:t>
            </w:r>
          </w:p>
        </w:tc>
      </w:tr>
      <w:tr w:rsidR="000413C4" w:rsidRPr="00CF7E1B" w14:paraId="7BCA2A7D" w14:textId="77777777" w:rsidTr="005F5B4C">
        <w:tblPrEx>
          <w:jc w:val="right"/>
        </w:tblPrEx>
        <w:trPr>
          <w:cantSplit/>
          <w:trHeight w:val="23"/>
          <w:jc w:val="right"/>
        </w:trPr>
        <w:tc>
          <w:tcPr>
            <w:tcW w:w="743" w:type="pct"/>
            <w:tcBorders>
              <w:top w:val="nil"/>
              <w:left w:val="single" w:sz="2" w:space="0" w:color="auto"/>
              <w:bottom w:val="nil"/>
              <w:right w:val="single" w:sz="2" w:space="0" w:color="auto"/>
            </w:tcBorders>
          </w:tcPr>
          <w:p w14:paraId="2B38B019" w14:textId="77777777" w:rsidR="000413C4" w:rsidRPr="00FB3AD2" w:rsidRDefault="000413C4" w:rsidP="000413C4">
            <w:pPr>
              <w:pStyle w:val="TableReference"/>
              <w:tabs>
                <w:tab w:val="left" w:pos="3306"/>
              </w:tabs>
              <w:spacing w:before="40"/>
              <w:rPr>
                <w:rFonts w:cs="Calibri"/>
                <w:color w:val="7030A0"/>
                <w:sz w:val="14"/>
              </w:rPr>
            </w:pPr>
          </w:p>
        </w:tc>
        <w:tc>
          <w:tcPr>
            <w:tcW w:w="4257" w:type="pct"/>
            <w:gridSpan w:val="4"/>
            <w:tcBorders>
              <w:top w:val="nil"/>
              <w:left w:val="single" w:sz="2" w:space="0" w:color="auto"/>
              <w:bottom w:val="nil"/>
              <w:right w:val="nil"/>
            </w:tcBorders>
            <w:vAlign w:val="bottom"/>
          </w:tcPr>
          <w:p w14:paraId="38C86B53" w14:textId="5D3EEA20" w:rsidR="000413C4" w:rsidRPr="00FB3AD2" w:rsidRDefault="000413C4" w:rsidP="000413C4">
            <w:pPr>
              <w:pStyle w:val="TableTitle"/>
              <w:tabs>
                <w:tab w:val="left" w:pos="3306"/>
              </w:tabs>
              <w:spacing w:after="120"/>
              <w:jc w:val="both"/>
              <w:rPr>
                <w:rFonts w:cs="Calibri"/>
              </w:rPr>
            </w:pPr>
            <w:r w:rsidRPr="00FB3AD2">
              <w:rPr>
                <w:rFonts w:cs="Calibri"/>
                <w:b w:val="0"/>
                <w:bCs w:val="0"/>
              </w:rPr>
              <w:t>There have been no transfers between Levels 2 and 3 during the current and previous reporting period.</w:t>
            </w:r>
          </w:p>
        </w:tc>
      </w:tr>
      <w:tr w:rsidR="000413C4" w:rsidRPr="00775965" w14:paraId="3F42EEA9" w14:textId="77777777" w:rsidTr="005F5B4C">
        <w:trPr>
          <w:cantSplit/>
          <w:trHeight w:val="23"/>
        </w:trPr>
        <w:tc>
          <w:tcPr>
            <w:tcW w:w="743" w:type="pct"/>
            <w:tcBorders>
              <w:top w:val="nil"/>
              <w:left w:val="single" w:sz="2" w:space="0" w:color="auto"/>
              <w:bottom w:val="nil"/>
              <w:right w:val="single" w:sz="2" w:space="0" w:color="auto"/>
            </w:tcBorders>
          </w:tcPr>
          <w:p w14:paraId="56BB9F6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76DE0A6D" w14:textId="77777777" w:rsidR="000413C4" w:rsidRPr="00FB3AD2" w:rsidRDefault="000413C4" w:rsidP="00C85383">
            <w:pPr>
              <w:spacing w:after="60"/>
              <w:rPr>
                <w:b/>
                <w:sz w:val="18"/>
                <w:szCs w:val="18"/>
              </w:rPr>
            </w:pPr>
            <w:r w:rsidRPr="00FB3AD2">
              <w:rPr>
                <w:b/>
                <w:sz w:val="18"/>
                <w:szCs w:val="18"/>
              </w:rPr>
              <w:t>Valuation Techniques, Inputs and Processes:</w:t>
            </w:r>
          </w:p>
        </w:tc>
      </w:tr>
      <w:tr w:rsidR="000413C4" w:rsidRPr="00775965" w14:paraId="19F36BC3" w14:textId="77777777" w:rsidTr="005F5B4C">
        <w:trPr>
          <w:cantSplit/>
          <w:trHeight w:val="23"/>
        </w:trPr>
        <w:tc>
          <w:tcPr>
            <w:tcW w:w="743" w:type="pct"/>
            <w:tcBorders>
              <w:top w:val="nil"/>
              <w:left w:val="single" w:sz="2" w:space="0" w:color="auto"/>
              <w:bottom w:val="nil"/>
              <w:right w:val="single" w:sz="2" w:space="0" w:color="auto"/>
            </w:tcBorders>
          </w:tcPr>
          <w:p w14:paraId="05CA950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47C2DF0A" w14:textId="77777777" w:rsidR="000413C4" w:rsidRPr="00FB3AD2" w:rsidRDefault="000413C4" w:rsidP="000413C4">
            <w:pPr>
              <w:pStyle w:val="TableTitle"/>
              <w:tabs>
                <w:tab w:val="left" w:pos="3306"/>
              </w:tabs>
              <w:jc w:val="both"/>
              <w:rPr>
                <w:rFonts w:cs="Calibri"/>
              </w:rPr>
            </w:pPr>
            <w:r w:rsidRPr="00FB3AD2">
              <w:rPr>
                <w:rFonts w:cs="Calibri"/>
                <w:bCs w:val="0"/>
              </w:rPr>
              <w:t>Level 2 Valuation Techniques and Inputs</w:t>
            </w:r>
          </w:p>
        </w:tc>
      </w:tr>
      <w:tr w:rsidR="000413C4" w:rsidRPr="00775965" w14:paraId="7CB77B53" w14:textId="77777777" w:rsidTr="005F5B4C">
        <w:trPr>
          <w:cantSplit/>
          <w:trHeight w:val="23"/>
        </w:trPr>
        <w:tc>
          <w:tcPr>
            <w:tcW w:w="743" w:type="pct"/>
            <w:tcBorders>
              <w:top w:val="nil"/>
              <w:left w:val="single" w:sz="2" w:space="0" w:color="auto"/>
              <w:bottom w:val="nil"/>
              <w:right w:val="single" w:sz="2" w:space="0" w:color="auto"/>
            </w:tcBorders>
          </w:tcPr>
          <w:p w14:paraId="2A79C53F"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C90DE93" w14:textId="259AD283" w:rsidR="000413C4" w:rsidRPr="00FB3AD2" w:rsidRDefault="000413C4" w:rsidP="000413C4">
            <w:pPr>
              <w:pStyle w:val="TableTitle"/>
              <w:tabs>
                <w:tab w:val="left" w:pos="3306"/>
              </w:tabs>
              <w:spacing w:after="120"/>
              <w:jc w:val="both"/>
              <w:rPr>
                <w:rFonts w:cs="Calibri"/>
                <w:b w:val="0"/>
              </w:rPr>
            </w:pPr>
            <w:r w:rsidRPr="00FB3AD2">
              <w:rPr>
                <w:rFonts w:cs="Calibri"/>
                <w:b w:val="0"/>
                <w:bCs w:val="0"/>
              </w:rPr>
              <w:t>Valuation Technique: The valuation technique used to value land and buildings is the market approach that reflects recent transaction prices for similar properties and buildings (comparable in location and size).</w:t>
            </w:r>
            <w:r w:rsidR="00FA7C77">
              <w:rPr>
                <w:rFonts w:cs="Calibri"/>
                <w:b w:val="0"/>
              </w:rPr>
              <w:t xml:space="preserve"> </w:t>
            </w:r>
          </w:p>
        </w:tc>
      </w:tr>
      <w:tr w:rsidR="000413C4" w:rsidRPr="00775965" w14:paraId="3797FC0F" w14:textId="77777777" w:rsidTr="005F5B4C">
        <w:trPr>
          <w:cantSplit/>
          <w:trHeight w:val="23"/>
        </w:trPr>
        <w:tc>
          <w:tcPr>
            <w:tcW w:w="743" w:type="pct"/>
            <w:tcBorders>
              <w:top w:val="nil"/>
              <w:left w:val="single" w:sz="2" w:space="0" w:color="auto"/>
              <w:bottom w:val="nil"/>
              <w:right w:val="single" w:sz="2" w:space="0" w:color="auto"/>
            </w:tcBorders>
          </w:tcPr>
          <w:p w14:paraId="70B45088"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5082738E" w14:textId="77777777" w:rsidR="000413C4" w:rsidRPr="00FB3AD2" w:rsidRDefault="000413C4" w:rsidP="000413C4">
            <w:pPr>
              <w:pStyle w:val="TableTitle"/>
              <w:tabs>
                <w:tab w:val="left" w:pos="3306"/>
              </w:tabs>
              <w:jc w:val="both"/>
              <w:rPr>
                <w:rFonts w:cs="Calibri"/>
                <w:b w:val="0"/>
              </w:rPr>
            </w:pPr>
            <w:r w:rsidRPr="00FB3AD2">
              <w:rPr>
                <w:rFonts w:cs="Calibri"/>
                <w:b w:val="0"/>
                <w:bCs w:val="0"/>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0413C4" w:rsidRPr="00775965" w14:paraId="1A5EF35C" w14:textId="77777777" w:rsidTr="005F5B4C">
        <w:trPr>
          <w:cantSplit/>
          <w:trHeight w:val="23"/>
        </w:trPr>
        <w:tc>
          <w:tcPr>
            <w:tcW w:w="743" w:type="pct"/>
            <w:tcBorders>
              <w:top w:val="nil"/>
              <w:left w:val="single" w:sz="2" w:space="0" w:color="auto"/>
              <w:bottom w:val="nil"/>
              <w:right w:val="single" w:sz="2" w:space="0" w:color="auto"/>
            </w:tcBorders>
          </w:tcPr>
          <w:p w14:paraId="6699555C"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25C23AFC" w14:textId="77777777" w:rsidR="000413C4" w:rsidRDefault="000413C4" w:rsidP="000413C4">
            <w:pPr>
              <w:pStyle w:val="TableTitle"/>
              <w:tabs>
                <w:tab w:val="left" w:pos="3306"/>
              </w:tabs>
              <w:spacing w:before="120"/>
              <w:jc w:val="both"/>
              <w:rPr>
                <w:rFonts w:cs="Calibri"/>
                <w:bCs w:val="0"/>
              </w:rPr>
            </w:pPr>
            <w:r w:rsidRPr="00FB3AD2">
              <w:rPr>
                <w:rFonts w:cs="Calibri"/>
                <w:bCs w:val="0"/>
              </w:rPr>
              <w:t>Level 3 Valuation Techniques and Significant Unobservable Inputs</w:t>
            </w:r>
          </w:p>
          <w:p w14:paraId="236CA768" w14:textId="324FCCA0" w:rsidR="00773769" w:rsidRPr="00773769" w:rsidRDefault="00773769" w:rsidP="00773769">
            <w:pPr>
              <w:rPr>
                <w:sz w:val="18"/>
                <w:szCs w:val="18"/>
                <w:u w:val="single"/>
              </w:rPr>
            </w:pPr>
            <w:r w:rsidRPr="00773769">
              <w:rPr>
                <w:sz w:val="18"/>
                <w:szCs w:val="18"/>
                <w:u w:val="single"/>
              </w:rPr>
              <w:t>Land</w:t>
            </w:r>
          </w:p>
        </w:tc>
      </w:tr>
      <w:tr w:rsidR="000413C4" w:rsidRPr="00775965" w14:paraId="4BADCE75" w14:textId="77777777" w:rsidTr="005F5B4C">
        <w:trPr>
          <w:cantSplit/>
          <w:trHeight w:val="23"/>
        </w:trPr>
        <w:tc>
          <w:tcPr>
            <w:tcW w:w="743" w:type="pct"/>
            <w:tcBorders>
              <w:top w:val="nil"/>
              <w:left w:val="single" w:sz="2" w:space="0" w:color="auto"/>
              <w:bottom w:val="nil"/>
              <w:right w:val="single" w:sz="2" w:space="0" w:color="auto"/>
            </w:tcBorders>
          </w:tcPr>
          <w:p w14:paraId="47AADB33"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00A81803"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Valuation Technique: Land where there is no active market or significant restrictions is valued through the market approach. </w:t>
            </w:r>
          </w:p>
        </w:tc>
      </w:tr>
      <w:tr w:rsidR="000413C4" w:rsidRPr="00775965" w14:paraId="20974D0E" w14:textId="77777777" w:rsidTr="005F5B4C">
        <w:trPr>
          <w:cantSplit/>
          <w:trHeight w:val="23"/>
        </w:trPr>
        <w:tc>
          <w:tcPr>
            <w:tcW w:w="743" w:type="pct"/>
            <w:tcBorders>
              <w:top w:val="nil"/>
              <w:left w:val="single" w:sz="2" w:space="0" w:color="auto"/>
              <w:bottom w:val="nil"/>
              <w:right w:val="single" w:sz="2" w:space="0" w:color="auto"/>
            </w:tcBorders>
          </w:tcPr>
          <w:p w14:paraId="65D62E2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2BADE" w14:textId="77777777" w:rsidR="000413C4" w:rsidRDefault="000413C4" w:rsidP="000413C4">
            <w:pPr>
              <w:pStyle w:val="TableTitle"/>
              <w:tabs>
                <w:tab w:val="left" w:pos="3306"/>
              </w:tabs>
              <w:spacing w:after="120"/>
              <w:jc w:val="both"/>
              <w:rPr>
                <w:rFonts w:cs="Calibri"/>
                <w:b w:val="0"/>
                <w:bCs w:val="0"/>
              </w:rPr>
            </w:pPr>
            <w:r w:rsidRPr="00FB3AD2">
              <w:rPr>
                <w:rFonts w:cs="Calibri"/>
                <w:b w:val="0"/>
                <w:bCs w:val="0"/>
              </w:rPr>
              <w:t>Significant Unobservable Inputs: Selecting land with similar approximate utility. In determining the value of land with similar approximate utility, significant adjustment to market based data was required.</w:t>
            </w:r>
          </w:p>
          <w:p w14:paraId="64B576B1" w14:textId="3EA5C6FA" w:rsidR="00773769" w:rsidRPr="00773769" w:rsidRDefault="00773769" w:rsidP="00773769">
            <w:pPr>
              <w:rPr>
                <w:sz w:val="18"/>
                <w:szCs w:val="18"/>
                <w:u w:val="single"/>
              </w:rPr>
            </w:pPr>
            <w:r w:rsidRPr="00773769">
              <w:rPr>
                <w:sz w:val="18"/>
                <w:szCs w:val="18"/>
                <w:u w:val="single"/>
              </w:rPr>
              <w:t>Other Property, Plant and Equipment</w:t>
            </w:r>
          </w:p>
        </w:tc>
      </w:tr>
      <w:tr w:rsidR="000413C4" w:rsidRPr="00775965" w14:paraId="7355F084" w14:textId="77777777" w:rsidTr="005F5B4C">
        <w:trPr>
          <w:cantSplit/>
          <w:trHeight w:val="23"/>
        </w:trPr>
        <w:tc>
          <w:tcPr>
            <w:tcW w:w="743" w:type="pct"/>
            <w:tcBorders>
              <w:top w:val="nil"/>
              <w:left w:val="single" w:sz="2" w:space="0" w:color="auto"/>
              <w:bottom w:val="nil"/>
              <w:right w:val="single" w:sz="2" w:space="0" w:color="auto"/>
            </w:tcBorders>
          </w:tcPr>
          <w:p w14:paraId="6773C303" w14:textId="77777777" w:rsidR="000413C4" w:rsidRPr="00FB3AD2" w:rsidRDefault="000413C4" w:rsidP="000413C4">
            <w:pPr>
              <w:pStyle w:val="TableReference"/>
              <w:tabs>
                <w:tab w:val="left" w:pos="3306"/>
              </w:tabs>
              <w:spacing w:before="40"/>
              <w:rPr>
                <w:rFonts w:cs="Calibri"/>
                <w:color w:val="7030A0"/>
                <w:sz w:val="14"/>
              </w:rPr>
            </w:pPr>
          </w:p>
          <w:p w14:paraId="5F0D3B61"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9ABEAA8" w14:textId="529631ED"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Valuation Technique: Buildings, Leasehold Improvements, Infrastructure Assets and </w:t>
            </w:r>
            <w:r w:rsidRPr="00152C5D">
              <w:rPr>
                <w:rFonts w:cs="Calibri"/>
                <w:b w:val="0"/>
                <w:bCs w:val="0"/>
                <w:strike/>
                <w:color w:val="FF0000"/>
              </w:rPr>
              <w:t>Community and</w:t>
            </w:r>
            <w:r w:rsidRPr="005408A6">
              <w:rPr>
                <w:rFonts w:cs="Calibri"/>
                <w:b w:val="0"/>
                <w:bCs w:val="0"/>
                <w:color w:val="FF0000"/>
              </w:rPr>
              <w:t xml:space="preserve"> </w:t>
            </w:r>
            <w:r w:rsidRPr="00FB3AD2">
              <w:rPr>
                <w:rFonts w:cs="Calibri"/>
                <w:b w:val="0"/>
                <w:bCs w:val="0"/>
              </w:rPr>
              <w:t xml:space="preserve">Heritage </w:t>
            </w:r>
            <w:r w:rsidR="005408A6" w:rsidRPr="005408A6">
              <w:rPr>
                <w:b w:val="0"/>
                <w:bCs w:val="0"/>
                <w:color w:val="FF0000"/>
              </w:rPr>
              <w:t xml:space="preserve">and </w:t>
            </w:r>
            <w:r w:rsidR="005408A6">
              <w:rPr>
                <w:b w:val="0"/>
                <w:bCs w:val="0"/>
                <w:color w:val="FF0000"/>
              </w:rPr>
              <w:t>C</w:t>
            </w:r>
            <w:r w:rsidR="005408A6" w:rsidRPr="005408A6">
              <w:rPr>
                <w:b w:val="0"/>
                <w:bCs w:val="0"/>
                <w:color w:val="FF0000"/>
              </w:rPr>
              <w:t>ommunity</w:t>
            </w:r>
            <w:r w:rsidR="005408A6" w:rsidRPr="005408A6">
              <w:rPr>
                <w:rFonts w:cs="Calibri"/>
                <w:b w:val="0"/>
                <w:bCs w:val="0"/>
              </w:rPr>
              <w:t xml:space="preserve"> </w:t>
            </w:r>
            <w:r w:rsidRPr="00FB3AD2">
              <w:rPr>
                <w:rFonts w:cs="Calibri"/>
                <w:b w:val="0"/>
                <w:bCs w:val="0"/>
              </w:rPr>
              <w:t>Assets were considered specialised assets by the Valuers and measured using the cost approach</w:t>
            </w:r>
            <w:r w:rsidR="00012531" w:rsidRPr="00FB3AD2">
              <w:rPr>
                <w:rFonts w:cs="Calibri"/>
                <w:b w:val="0"/>
                <w:bCs w:val="0"/>
              </w:rPr>
              <w:t xml:space="preserve"> to </w:t>
            </w:r>
            <w:r w:rsidR="00DE5571">
              <w:rPr>
                <w:rFonts w:cs="Calibri"/>
                <w:b w:val="0"/>
                <w:bCs w:val="0"/>
              </w:rPr>
              <w:t>f</w:t>
            </w:r>
            <w:r w:rsidR="00012531" w:rsidRPr="00FB3AD2">
              <w:rPr>
                <w:rFonts w:cs="Calibri"/>
                <w:b w:val="0"/>
                <w:bCs w:val="0"/>
              </w:rPr>
              <w:t>air value</w:t>
            </w:r>
            <w:r w:rsidRPr="00FB3AD2">
              <w:rPr>
                <w:rFonts w:cs="Calibri"/>
                <w:b w:val="0"/>
                <w:bCs w:val="0"/>
              </w:rPr>
              <w:t xml:space="preserve">. </w:t>
            </w:r>
          </w:p>
        </w:tc>
      </w:tr>
      <w:tr w:rsidR="000413C4" w:rsidRPr="00775965" w14:paraId="61B7ADED" w14:textId="77777777" w:rsidTr="005F5B4C">
        <w:trPr>
          <w:cantSplit/>
          <w:trHeight w:val="23"/>
        </w:trPr>
        <w:tc>
          <w:tcPr>
            <w:tcW w:w="743" w:type="pct"/>
            <w:tcBorders>
              <w:top w:val="nil"/>
              <w:left w:val="single" w:sz="2" w:space="0" w:color="auto"/>
              <w:bottom w:val="nil"/>
              <w:right w:val="single" w:sz="2" w:space="0" w:color="auto"/>
            </w:tcBorders>
          </w:tcPr>
          <w:p w14:paraId="42F8EEB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AB892" w14:textId="29EAB6B6" w:rsidR="000413C4" w:rsidRPr="00FB3AD2" w:rsidRDefault="000413C4" w:rsidP="003262FD">
            <w:pPr>
              <w:pStyle w:val="TableTitle"/>
              <w:tabs>
                <w:tab w:val="left" w:pos="3306"/>
              </w:tabs>
              <w:spacing w:after="100"/>
              <w:jc w:val="both"/>
              <w:rPr>
                <w:rFonts w:cs="Calibri"/>
                <w:b w:val="0"/>
                <w:bCs w:val="0"/>
              </w:rPr>
            </w:pPr>
            <w:r w:rsidRPr="00FB3AD2">
              <w:rPr>
                <w:rFonts w:cs="Calibri"/>
                <w:b w:val="0"/>
                <w:bCs w:val="0"/>
              </w:rPr>
              <w:t>Significant Unobservable Inputs:</w:t>
            </w:r>
            <w:r w:rsidR="00FA7C77">
              <w:rPr>
                <w:rFonts w:cs="Calibri"/>
                <w:b w:val="0"/>
                <w:bCs w:val="0"/>
              </w:rPr>
              <w:t xml:space="preserve"> </w:t>
            </w:r>
            <w:r w:rsidRPr="00FB3AD2">
              <w:rPr>
                <w:rFonts w:cs="Calibri"/>
                <w:b w:val="0"/>
                <w:bCs w:val="0"/>
              </w:rPr>
              <w:t>Estimating the cost to a market participant to construct assets of comparable utility adjusted for obsolescence.</w:t>
            </w:r>
            <w:r w:rsidR="00FA7C77">
              <w:rPr>
                <w:rFonts w:cs="Calibri"/>
                <w:b w:val="0"/>
                <w:bCs w:val="0"/>
              </w:rPr>
              <w:t xml:space="preserve"> </w:t>
            </w:r>
            <w:r w:rsidRPr="00FB3AD2">
              <w:rPr>
                <w:rFonts w:cs="Calibri"/>
                <w:b w:val="0"/>
                <w:bCs w:val="0"/>
              </w:rPr>
              <w:t>For Buildings, historical cost per square metre of floor area was also used in measuring fair value. For Infrastructure Assets</w:t>
            </w:r>
            <w:r w:rsidR="00012531" w:rsidRPr="00FB3AD2">
              <w:rPr>
                <w:rFonts w:cs="Calibri"/>
                <w:b w:val="0"/>
                <w:bCs w:val="0"/>
              </w:rPr>
              <w:t>,</w:t>
            </w:r>
            <w:r w:rsidRPr="00FB3AD2">
              <w:rPr>
                <w:rFonts w:cs="Calibri"/>
                <w:b w:val="0"/>
                <w:bCs w:val="0"/>
              </w:rPr>
              <w:t xml:space="preserve"> the historical costs per cubic metre was also used in measuring fair value. In determining the value of </w:t>
            </w:r>
            <w:r w:rsidR="00B35DD4">
              <w:rPr>
                <w:rFonts w:cs="Calibri"/>
                <w:b w:val="0"/>
                <w:bCs w:val="0"/>
              </w:rPr>
              <w:t>B</w:t>
            </w:r>
            <w:r w:rsidRPr="00FB3AD2">
              <w:rPr>
                <w:rFonts w:cs="Calibri"/>
                <w:b w:val="0"/>
                <w:bCs w:val="0"/>
              </w:rPr>
              <w:t xml:space="preserve">uildings, </w:t>
            </w:r>
            <w:r w:rsidR="00B35DD4">
              <w:rPr>
                <w:rFonts w:cs="Calibri"/>
                <w:b w:val="0"/>
                <w:bCs w:val="0"/>
              </w:rPr>
              <w:t>L</w:t>
            </w:r>
            <w:r w:rsidRPr="00FB3AD2">
              <w:rPr>
                <w:rFonts w:cs="Calibri"/>
                <w:b w:val="0"/>
                <w:bCs w:val="0"/>
              </w:rPr>
              <w:t xml:space="preserve">easehold </w:t>
            </w:r>
            <w:r w:rsidR="00B35DD4">
              <w:rPr>
                <w:rFonts w:cs="Calibri"/>
                <w:b w:val="0"/>
                <w:bCs w:val="0"/>
              </w:rPr>
              <w:t>I</w:t>
            </w:r>
            <w:r w:rsidRPr="00FB3AD2">
              <w:rPr>
                <w:rFonts w:cs="Calibri"/>
                <w:b w:val="0"/>
                <w:bCs w:val="0"/>
              </w:rPr>
              <w:t xml:space="preserve">mprovements, </w:t>
            </w:r>
            <w:r w:rsidR="00B35DD4">
              <w:rPr>
                <w:rFonts w:cs="Calibri"/>
                <w:b w:val="0"/>
                <w:bCs w:val="0"/>
              </w:rPr>
              <w:t>I</w:t>
            </w:r>
            <w:r w:rsidRPr="00FB3AD2">
              <w:rPr>
                <w:rFonts w:cs="Calibri"/>
                <w:b w:val="0"/>
                <w:bCs w:val="0"/>
              </w:rPr>
              <w:t xml:space="preserve">nfrastructure </w:t>
            </w:r>
            <w:r w:rsidR="00B35DD4">
              <w:rPr>
                <w:rFonts w:cs="Calibri"/>
                <w:b w:val="0"/>
                <w:bCs w:val="0"/>
              </w:rPr>
              <w:t>A</w:t>
            </w:r>
            <w:r w:rsidRPr="00FB3AD2">
              <w:rPr>
                <w:rFonts w:cs="Calibri"/>
                <w:b w:val="0"/>
                <w:bCs w:val="0"/>
              </w:rPr>
              <w:t xml:space="preserve">ssets and </w:t>
            </w:r>
            <w:r w:rsidRPr="005408A6">
              <w:rPr>
                <w:rFonts w:cs="Calibri"/>
                <w:b w:val="0"/>
                <w:bCs w:val="0"/>
                <w:strike/>
                <w:color w:val="FF0000"/>
              </w:rPr>
              <w:t>community and</w:t>
            </w:r>
            <w:r w:rsidRPr="005408A6">
              <w:rPr>
                <w:rFonts w:cs="Calibri"/>
                <w:b w:val="0"/>
                <w:bCs w:val="0"/>
                <w:color w:val="FF0000"/>
              </w:rPr>
              <w:t xml:space="preserve"> </w:t>
            </w:r>
            <w:r w:rsidR="00B35DD4" w:rsidRPr="00B35DD4">
              <w:rPr>
                <w:rFonts w:cs="Calibri"/>
                <w:b w:val="0"/>
                <w:bCs w:val="0"/>
              </w:rPr>
              <w:t>H</w:t>
            </w:r>
            <w:r w:rsidRPr="00FB3AD2">
              <w:rPr>
                <w:rFonts w:cs="Calibri"/>
                <w:b w:val="0"/>
                <w:bCs w:val="0"/>
              </w:rPr>
              <w:t xml:space="preserve">eritage </w:t>
            </w:r>
            <w:r w:rsidR="005408A6" w:rsidRPr="005408A6">
              <w:rPr>
                <w:b w:val="0"/>
                <w:bCs w:val="0"/>
                <w:color w:val="FF0000"/>
              </w:rPr>
              <w:t xml:space="preserve">and </w:t>
            </w:r>
            <w:r w:rsidR="00B35DD4">
              <w:rPr>
                <w:b w:val="0"/>
                <w:bCs w:val="0"/>
                <w:color w:val="FF0000"/>
              </w:rPr>
              <w:t>C</w:t>
            </w:r>
            <w:r w:rsidR="005408A6" w:rsidRPr="005408A6">
              <w:rPr>
                <w:b w:val="0"/>
                <w:bCs w:val="0"/>
                <w:color w:val="FF0000"/>
              </w:rPr>
              <w:t>ommunity</w:t>
            </w:r>
            <w:r w:rsidR="005408A6" w:rsidRPr="00FB3AD2">
              <w:rPr>
                <w:rFonts w:cs="Calibri"/>
                <w:b w:val="0"/>
                <w:bCs w:val="0"/>
              </w:rPr>
              <w:t xml:space="preserve"> </w:t>
            </w:r>
            <w:r w:rsidRPr="00FB3AD2">
              <w:rPr>
                <w:rFonts w:cs="Calibri"/>
                <w:b w:val="0"/>
                <w:bCs w:val="0"/>
              </w:rPr>
              <w:t>assets regard was given to the age and condition of the assets, their estimated replacement cost and current use. This required the use of data internal to ‘</w:t>
            </w:r>
            <w:r w:rsidRPr="00FB3AD2">
              <w:rPr>
                <w:b w:val="0"/>
                <w:bCs w:val="0"/>
              </w:rPr>
              <w:t xml:space="preserve">Burley Griffin </w:t>
            </w:r>
            <w:r w:rsidRPr="00FB3AD2">
              <w:rPr>
                <w:rFonts w:cs="Calibri"/>
                <w:b w:val="0"/>
                <w:bCs w:val="0"/>
              </w:rPr>
              <w:t>Agency’.</w:t>
            </w:r>
          </w:p>
        </w:tc>
      </w:tr>
      <w:tr w:rsidR="000413C4" w:rsidRPr="00775965" w14:paraId="324E8488" w14:textId="77777777" w:rsidTr="005F5B4C">
        <w:trPr>
          <w:cantSplit/>
          <w:trHeight w:val="23"/>
        </w:trPr>
        <w:tc>
          <w:tcPr>
            <w:tcW w:w="743" w:type="pct"/>
            <w:tcBorders>
              <w:top w:val="nil"/>
              <w:left w:val="single" w:sz="2" w:space="0" w:color="auto"/>
              <w:bottom w:val="nil"/>
              <w:right w:val="single" w:sz="2" w:space="0" w:color="auto"/>
            </w:tcBorders>
          </w:tcPr>
          <w:p w14:paraId="12914F11" w14:textId="4D9C4095"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13.93(d)</w:t>
            </w:r>
          </w:p>
        </w:tc>
        <w:tc>
          <w:tcPr>
            <w:tcW w:w="4257" w:type="pct"/>
            <w:gridSpan w:val="4"/>
            <w:tcBorders>
              <w:top w:val="nil"/>
              <w:left w:val="single" w:sz="2" w:space="0" w:color="auto"/>
              <w:bottom w:val="nil"/>
              <w:right w:val="nil"/>
            </w:tcBorders>
          </w:tcPr>
          <w:p w14:paraId="00BB739A"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There has been no change to the above valuation techniques during the year. </w:t>
            </w:r>
          </w:p>
        </w:tc>
      </w:tr>
      <w:tr w:rsidR="000413C4" w:rsidRPr="00775965" w14:paraId="725E4517" w14:textId="77777777" w:rsidTr="005F5B4C">
        <w:trPr>
          <w:cantSplit/>
          <w:trHeight w:val="23"/>
        </w:trPr>
        <w:tc>
          <w:tcPr>
            <w:tcW w:w="743" w:type="pct"/>
            <w:tcBorders>
              <w:top w:val="nil"/>
              <w:left w:val="single" w:sz="2" w:space="0" w:color="auto"/>
              <w:bottom w:val="nil"/>
              <w:right w:val="single" w:sz="2" w:space="0" w:color="auto"/>
            </w:tcBorders>
          </w:tcPr>
          <w:p w14:paraId="093F27FB"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13.95</w:t>
            </w:r>
          </w:p>
        </w:tc>
        <w:tc>
          <w:tcPr>
            <w:tcW w:w="4257" w:type="pct"/>
            <w:gridSpan w:val="4"/>
            <w:tcBorders>
              <w:top w:val="nil"/>
              <w:left w:val="single" w:sz="2" w:space="0" w:color="auto"/>
              <w:bottom w:val="nil"/>
              <w:right w:val="nil"/>
            </w:tcBorders>
          </w:tcPr>
          <w:p w14:paraId="56ED8D9B" w14:textId="77777777" w:rsidR="000413C4" w:rsidRPr="00FB3AD2" w:rsidRDefault="000413C4" w:rsidP="000413C4">
            <w:pPr>
              <w:pStyle w:val="TableTitle"/>
              <w:tabs>
                <w:tab w:val="left" w:pos="3306"/>
              </w:tabs>
              <w:jc w:val="both"/>
              <w:rPr>
                <w:rFonts w:cs="Calibri"/>
                <w:b w:val="0"/>
              </w:rPr>
            </w:pPr>
            <w:r w:rsidRPr="00FB3AD2">
              <w:rPr>
                <w:rFonts w:cs="Calibri"/>
                <w:b w:val="0"/>
                <w:bCs w:val="0"/>
              </w:rPr>
              <w:t>Transfers in and out of a fair value level are recognised on the date of the event or change in circumstances that caused the transfer.</w:t>
            </w:r>
          </w:p>
        </w:tc>
      </w:tr>
    </w:tbl>
    <w:p w14:paraId="0D61724E" w14:textId="77777777" w:rsidR="000702E1" w:rsidRDefault="000702E1" w:rsidP="000413C4">
      <w:pPr>
        <w:pStyle w:val="TableReference"/>
        <w:tabs>
          <w:tab w:val="left" w:pos="3306"/>
        </w:tabs>
        <w:spacing w:before="40"/>
        <w:rPr>
          <w:rFonts w:cs="Calibri"/>
          <w:color w:val="auto"/>
          <w:sz w:val="14"/>
        </w:rPr>
        <w:sectPr w:rsidR="000702E1" w:rsidSect="00986F4D">
          <w:footerReference w:type="default" r:id="rId41"/>
          <w:footnotePr>
            <w:numRestart w:val="eachPage"/>
          </w:footnotePr>
          <w:pgSz w:w="11907" w:h="16840" w:code="9"/>
          <w:pgMar w:top="567" w:right="1276" w:bottom="567" w:left="680" w:header="425" w:footer="383" w:gutter="0"/>
          <w:cols w:space="720"/>
          <w:docGrid w:linePitch="326"/>
        </w:sectPr>
      </w:pP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0413C4" w:rsidRPr="00775965" w14:paraId="2AE3C50F"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42ED8A9A" w14:textId="1A9760A8" w:rsidR="000413C4" w:rsidRPr="00FB3AD2" w:rsidRDefault="000413C4" w:rsidP="000413C4">
            <w:pPr>
              <w:pStyle w:val="TableReference"/>
              <w:tabs>
                <w:tab w:val="left" w:pos="3306"/>
              </w:tabs>
              <w:spacing w:before="120" w:after="240"/>
              <w:rPr>
                <w:rFonts w:cs="Calibri"/>
                <w:b/>
                <w:color w:val="7030A0"/>
                <w:sz w:val="22"/>
                <w:szCs w:val="22"/>
              </w:rPr>
            </w:pPr>
            <w:r w:rsidRPr="00FB3AD2">
              <w:rPr>
                <w:color w:val="7030A0"/>
              </w:rPr>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DEAFC74" w14:textId="7A633378" w:rsidR="000413C4" w:rsidRPr="00F73636" w:rsidRDefault="000413C4" w:rsidP="000413C4">
            <w:pPr>
              <w:spacing w:before="120" w:after="240"/>
              <w:rPr>
                <w:b/>
              </w:rPr>
            </w:pPr>
            <w:r w:rsidRPr="00FB3AD2">
              <w:rPr>
                <w:rFonts w:ascii="Arial Bold" w:hAnsi="Arial Bold" w:cs="Arial"/>
                <w:b/>
                <w:caps/>
                <w:sz w:val="32"/>
                <w:szCs w:val="32"/>
              </w:rPr>
              <w:t>Note 19.</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FB3AD2" w:rsidRPr="00FB3AD2" w14:paraId="016460B3"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19DE2317" w14:textId="5EDA34DD"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63C7C1D8" w14:textId="4AA00D31" w:rsidR="000413C4" w:rsidRPr="00FB3AD2" w:rsidRDefault="000413C4" w:rsidP="000413C4">
            <w:pPr>
              <w:rPr>
                <w:b/>
                <w:sz w:val="16"/>
                <w:highlight w:val="yellow"/>
              </w:rPr>
            </w:pPr>
            <w:r w:rsidRPr="00FB3AD2">
              <w:rPr>
                <w:b/>
                <w:sz w:val="18"/>
                <w:szCs w:val="18"/>
              </w:rPr>
              <w:t>Fair Value Measurements using Significant Unobservable Inputs (Level 3)</w:t>
            </w:r>
          </w:p>
        </w:tc>
      </w:tr>
      <w:tr w:rsidR="0070081A" w:rsidRPr="00DA3E2F" w14:paraId="5D41A42F" w14:textId="77777777" w:rsidTr="005F5B4C">
        <w:trPr>
          <w:cantSplit/>
          <w:trHeight w:val="23"/>
        </w:trPr>
        <w:tc>
          <w:tcPr>
            <w:tcW w:w="510" w:type="pct"/>
            <w:tcBorders>
              <w:top w:val="nil"/>
              <w:left w:val="single" w:sz="2" w:space="0" w:color="auto"/>
              <w:bottom w:val="nil"/>
              <w:right w:val="single" w:sz="2" w:space="0" w:color="auto"/>
            </w:tcBorders>
          </w:tcPr>
          <w:p w14:paraId="20D8EF3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849D444" w14:textId="77777777" w:rsidR="000413C4" w:rsidRPr="00FB3AD2" w:rsidRDefault="000413C4" w:rsidP="000413C4">
            <w:pPr>
              <w:rPr>
                <w:b/>
                <w:sz w:val="18"/>
                <w:szCs w:val="18"/>
              </w:rPr>
            </w:pPr>
          </w:p>
        </w:tc>
        <w:tc>
          <w:tcPr>
            <w:tcW w:w="325" w:type="pct"/>
            <w:tcBorders>
              <w:top w:val="nil"/>
              <w:left w:val="nil"/>
              <w:bottom w:val="nil"/>
              <w:right w:val="nil"/>
            </w:tcBorders>
            <w:vAlign w:val="bottom"/>
          </w:tcPr>
          <w:p w14:paraId="53612000" w14:textId="32DA99CE" w:rsidR="000413C4" w:rsidRPr="00FB3AD2" w:rsidRDefault="000413C4" w:rsidP="000413C4">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50157E09" w14:textId="4ED7B453" w:rsidR="000413C4" w:rsidRPr="00FB3AD2" w:rsidRDefault="000413C4" w:rsidP="000413C4">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03182FC0" w14:textId="77777777" w:rsidR="000413C4" w:rsidRPr="00FB3AD2" w:rsidRDefault="000413C4" w:rsidP="000413C4">
            <w:pPr>
              <w:jc w:val="right"/>
              <w:rPr>
                <w:b/>
                <w:sz w:val="18"/>
                <w:szCs w:val="18"/>
              </w:rPr>
            </w:pPr>
            <w:r w:rsidRPr="00FB3AD2">
              <w:rPr>
                <w:b/>
                <w:sz w:val="18"/>
                <w:szCs w:val="18"/>
              </w:rPr>
              <w:t>Leasehold</w:t>
            </w:r>
          </w:p>
          <w:p w14:paraId="6390F789" w14:textId="51EC7A3E" w:rsidR="000413C4" w:rsidRPr="00FB3AD2" w:rsidRDefault="000413C4" w:rsidP="000413C4">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6EE8F145" w14:textId="77777777" w:rsidR="000413C4" w:rsidRPr="00FB3AD2" w:rsidRDefault="000413C4" w:rsidP="000413C4">
            <w:pPr>
              <w:jc w:val="right"/>
              <w:rPr>
                <w:b/>
                <w:sz w:val="18"/>
                <w:szCs w:val="18"/>
              </w:rPr>
            </w:pPr>
            <w:r w:rsidRPr="00FB3AD2">
              <w:rPr>
                <w:b/>
                <w:sz w:val="18"/>
                <w:szCs w:val="18"/>
              </w:rPr>
              <w:t>Infrastructure</w:t>
            </w:r>
          </w:p>
          <w:p w14:paraId="4B751B8F" w14:textId="797CD9DA" w:rsidR="000413C4" w:rsidRPr="00FB3AD2" w:rsidRDefault="000413C4" w:rsidP="000413C4">
            <w:pPr>
              <w:jc w:val="right"/>
              <w:rPr>
                <w:b/>
                <w:sz w:val="18"/>
                <w:szCs w:val="18"/>
              </w:rPr>
            </w:pPr>
            <w:r w:rsidRPr="00FB3AD2">
              <w:rPr>
                <w:b/>
                <w:sz w:val="18"/>
                <w:szCs w:val="18"/>
              </w:rPr>
              <w:t>Assets</w:t>
            </w:r>
          </w:p>
        </w:tc>
        <w:tc>
          <w:tcPr>
            <w:tcW w:w="509" w:type="pct"/>
            <w:tcBorders>
              <w:top w:val="nil"/>
              <w:left w:val="nil"/>
              <w:bottom w:val="nil"/>
              <w:right w:val="nil"/>
            </w:tcBorders>
          </w:tcPr>
          <w:p w14:paraId="2E6BE47B" w14:textId="76FCC707" w:rsidR="000413C4" w:rsidRPr="00FB3AD2" w:rsidRDefault="000413C4" w:rsidP="000413C4">
            <w:pPr>
              <w:jc w:val="right"/>
              <w:rPr>
                <w:b/>
                <w:sz w:val="18"/>
                <w:szCs w:val="18"/>
              </w:rPr>
            </w:pPr>
            <w:r w:rsidRPr="005408A6">
              <w:rPr>
                <w:b/>
                <w:strike/>
                <w:color w:val="FF0000"/>
                <w:sz w:val="18"/>
                <w:szCs w:val="18"/>
              </w:rPr>
              <w:t>Community and</w:t>
            </w:r>
            <w:r w:rsidRPr="005408A6">
              <w:rPr>
                <w:b/>
                <w:color w:val="FF0000"/>
                <w:sz w:val="18"/>
                <w:szCs w:val="18"/>
              </w:rPr>
              <w:t xml:space="preserve"> </w:t>
            </w:r>
            <w:r w:rsidRPr="00FB3AD2">
              <w:rPr>
                <w:b/>
                <w:sz w:val="18"/>
                <w:szCs w:val="18"/>
              </w:rPr>
              <w:t xml:space="preserve">Heritage </w:t>
            </w:r>
            <w:r w:rsidR="005408A6" w:rsidRPr="005408A6">
              <w:rPr>
                <w:b/>
                <w:bCs/>
                <w:color w:val="FF0000"/>
                <w:sz w:val="18"/>
                <w:szCs w:val="18"/>
              </w:rPr>
              <w:t>and Community</w:t>
            </w:r>
            <w:r w:rsidR="005408A6" w:rsidRPr="00FB3AD2">
              <w:rPr>
                <w:b/>
                <w:sz w:val="18"/>
                <w:szCs w:val="18"/>
              </w:rPr>
              <w:t xml:space="preserve"> </w:t>
            </w:r>
            <w:r w:rsidRPr="00FB3AD2">
              <w:rPr>
                <w:b/>
                <w:sz w:val="18"/>
                <w:szCs w:val="18"/>
              </w:rPr>
              <w:t>Assets</w:t>
            </w:r>
          </w:p>
        </w:tc>
        <w:tc>
          <w:tcPr>
            <w:tcW w:w="371" w:type="pct"/>
            <w:tcBorders>
              <w:top w:val="nil"/>
              <w:left w:val="nil"/>
              <w:bottom w:val="nil"/>
              <w:right w:val="nil"/>
            </w:tcBorders>
            <w:vAlign w:val="bottom"/>
          </w:tcPr>
          <w:p w14:paraId="3D5E1468" w14:textId="2293AB5D" w:rsidR="000413C4" w:rsidRPr="00FB3AD2" w:rsidRDefault="000413C4" w:rsidP="000413C4">
            <w:pPr>
              <w:jc w:val="right"/>
              <w:rPr>
                <w:b/>
                <w:sz w:val="18"/>
                <w:szCs w:val="18"/>
              </w:rPr>
            </w:pPr>
            <w:r w:rsidRPr="00FB3AD2">
              <w:rPr>
                <w:b/>
                <w:sz w:val="18"/>
                <w:szCs w:val="18"/>
              </w:rPr>
              <w:t>Total</w:t>
            </w:r>
          </w:p>
        </w:tc>
      </w:tr>
      <w:tr w:rsidR="0070081A" w:rsidRPr="00DA3E2F" w14:paraId="09ADA954" w14:textId="77777777" w:rsidTr="005F5B4C">
        <w:trPr>
          <w:cantSplit/>
          <w:trHeight w:val="23"/>
        </w:trPr>
        <w:tc>
          <w:tcPr>
            <w:tcW w:w="510" w:type="pct"/>
            <w:tcBorders>
              <w:top w:val="nil"/>
              <w:left w:val="single" w:sz="2" w:space="0" w:color="auto"/>
              <w:bottom w:val="nil"/>
              <w:right w:val="single" w:sz="2" w:space="0" w:color="auto"/>
            </w:tcBorders>
          </w:tcPr>
          <w:p w14:paraId="678AEB68"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775D058" w14:textId="77777777" w:rsidR="000413C4" w:rsidRPr="00FB3AD2" w:rsidRDefault="000413C4" w:rsidP="000413C4">
            <w:pPr>
              <w:rPr>
                <w:b/>
                <w:sz w:val="18"/>
                <w:szCs w:val="18"/>
              </w:rPr>
            </w:pPr>
          </w:p>
        </w:tc>
        <w:tc>
          <w:tcPr>
            <w:tcW w:w="325" w:type="pct"/>
            <w:tcBorders>
              <w:top w:val="nil"/>
              <w:left w:val="nil"/>
              <w:bottom w:val="nil"/>
              <w:right w:val="nil"/>
            </w:tcBorders>
          </w:tcPr>
          <w:p w14:paraId="5DC69875" w14:textId="4F3985DC" w:rsidR="000413C4" w:rsidRPr="00FB3AD2" w:rsidRDefault="000413C4" w:rsidP="000413C4">
            <w:pPr>
              <w:jc w:val="right"/>
              <w:rPr>
                <w:b/>
                <w:sz w:val="18"/>
                <w:szCs w:val="18"/>
              </w:rPr>
            </w:pPr>
            <w:r w:rsidRPr="00FB3AD2">
              <w:rPr>
                <w:b/>
                <w:sz w:val="18"/>
                <w:szCs w:val="18"/>
              </w:rPr>
              <w:t>$’000</w:t>
            </w:r>
          </w:p>
        </w:tc>
        <w:tc>
          <w:tcPr>
            <w:tcW w:w="324" w:type="pct"/>
            <w:tcBorders>
              <w:top w:val="nil"/>
              <w:left w:val="nil"/>
              <w:bottom w:val="nil"/>
              <w:right w:val="nil"/>
            </w:tcBorders>
          </w:tcPr>
          <w:p w14:paraId="26D3AE33" w14:textId="61EAD677" w:rsidR="000413C4" w:rsidRPr="00FB3AD2" w:rsidRDefault="000413C4" w:rsidP="000413C4">
            <w:pPr>
              <w:jc w:val="right"/>
              <w:rPr>
                <w:b/>
                <w:sz w:val="18"/>
                <w:szCs w:val="18"/>
              </w:rPr>
            </w:pPr>
            <w:r w:rsidRPr="00FB3AD2">
              <w:rPr>
                <w:b/>
                <w:sz w:val="18"/>
                <w:szCs w:val="18"/>
              </w:rPr>
              <w:t>$’000</w:t>
            </w:r>
          </w:p>
        </w:tc>
        <w:tc>
          <w:tcPr>
            <w:tcW w:w="462" w:type="pct"/>
            <w:tcBorders>
              <w:top w:val="nil"/>
              <w:left w:val="nil"/>
              <w:bottom w:val="nil"/>
              <w:right w:val="nil"/>
            </w:tcBorders>
          </w:tcPr>
          <w:p w14:paraId="21CEB15F" w14:textId="0E5E264E" w:rsidR="000413C4" w:rsidRPr="00FB3AD2" w:rsidRDefault="000413C4" w:rsidP="000413C4">
            <w:pPr>
              <w:jc w:val="right"/>
              <w:rPr>
                <w:b/>
                <w:sz w:val="18"/>
                <w:szCs w:val="18"/>
              </w:rPr>
            </w:pPr>
            <w:r w:rsidRPr="00FB3AD2">
              <w:rPr>
                <w:b/>
                <w:sz w:val="18"/>
                <w:szCs w:val="18"/>
              </w:rPr>
              <w:t>$’000</w:t>
            </w:r>
          </w:p>
        </w:tc>
        <w:tc>
          <w:tcPr>
            <w:tcW w:w="417" w:type="pct"/>
            <w:tcBorders>
              <w:top w:val="nil"/>
              <w:left w:val="nil"/>
              <w:bottom w:val="nil"/>
              <w:right w:val="nil"/>
            </w:tcBorders>
          </w:tcPr>
          <w:p w14:paraId="117750FF" w14:textId="0DC83935" w:rsidR="000413C4" w:rsidRPr="00FB3AD2" w:rsidRDefault="000413C4" w:rsidP="000413C4">
            <w:pPr>
              <w:jc w:val="right"/>
              <w:rPr>
                <w:b/>
                <w:sz w:val="18"/>
                <w:szCs w:val="18"/>
              </w:rPr>
            </w:pPr>
            <w:r w:rsidRPr="00FB3AD2">
              <w:rPr>
                <w:b/>
                <w:sz w:val="18"/>
                <w:szCs w:val="18"/>
              </w:rPr>
              <w:t>$’000</w:t>
            </w:r>
          </w:p>
        </w:tc>
        <w:tc>
          <w:tcPr>
            <w:tcW w:w="509" w:type="pct"/>
            <w:tcBorders>
              <w:top w:val="nil"/>
              <w:left w:val="nil"/>
              <w:bottom w:val="nil"/>
              <w:right w:val="nil"/>
            </w:tcBorders>
          </w:tcPr>
          <w:p w14:paraId="50661048" w14:textId="16A84F10" w:rsidR="000413C4" w:rsidRPr="00FB3AD2" w:rsidRDefault="000413C4" w:rsidP="000413C4">
            <w:pPr>
              <w:jc w:val="right"/>
              <w:rPr>
                <w:b/>
                <w:sz w:val="18"/>
                <w:szCs w:val="18"/>
              </w:rPr>
            </w:pPr>
            <w:r w:rsidRPr="00FB3AD2">
              <w:rPr>
                <w:b/>
                <w:sz w:val="18"/>
                <w:szCs w:val="18"/>
              </w:rPr>
              <w:t>$’000</w:t>
            </w:r>
          </w:p>
        </w:tc>
        <w:tc>
          <w:tcPr>
            <w:tcW w:w="371" w:type="pct"/>
            <w:tcBorders>
              <w:top w:val="nil"/>
              <w:left w:val="nil"/>
              <w:bottom w:val="nil"/>
              <w:right w:val="nil"/>
            </w:tcBorders>
          </w:tcPr>
          <w:p w14:paraId="296B050E" w14:textId="49959989" w:rsidR="000413C4" w:rsidRPr="00FB3AD2" w:rsidRDefault="000413C4" w:rsidP="000413C4">
            <w:pPr>
              <w:jc w:val="right"/>
              <w:rPr>
                <w:b/>
                <w:sz w:val="18"/>
                <w:szCs w:val="18"/>
              </w:rPr>
            </w:pPr>
            <w:r w:rsidRPr="00FB3AD2">
              <w:rPr>
                <w:b/>
                <w:sz w:val="18"/>
                <w:szCs w:val="18"/>
              </w:rPr>
              <w:t>$’000</w:t>
            </w:r>
          </w:p>
        </w:tc>
      </w:tr>
      <w:tr w:rsidR="0070081A" w:rsidRPr="00DA3E2F" w14:paraId="112D02D3" w14:textId="77777777" w:rsidTr="005F5B4C">
        <w:trPr>
          <w:cantSplit/>
          <w:trHeight w:val="23"/>
        </w:trPr>
        <w:tc>
          <w:tcPr>
            <w:tcW w:w="510" w:type="pct"/>
            <w:tcBorders>
              <w:top w:val="nil"/>
              <w:left w:val="single" w:sz="2" w:space="0" w:color="auto"/>
              <w:bottom w:val="nil"/>
              <w:right w:val="single" w:sz="2" w:space="0" w:color="auto"/>
            </w:tcBorders>
          </w:tcPr>
          <w:p w14:paraId="06B796B3"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C1D0195" w14:textId="0BE027D4" w:rsidR="000413C4" w:rsidRPr="00FB3AD2" w:rsidRDefault="000413C4" w:rsidP="000413C4">
            <w:pPr>
              <w:spacing w:after="40"/>
              <w:rPr>
                <w:b/>
                <w:sz w:val="18"/>
                <w:szCs w:val="18"/>
              </w:rPr>
            </w:pPr>
            <w:r w:rsidRPr="00FB3AD2">
              <w:rPr>
                <w:rFonts w:cs="Calibri"/>
                <w:b/>
                <w:bCs/>
                <w:sz w:val="18"/>
                <w:szCs w:val="18"/>
              </w:rPr>
              <w:t>202</w:t>
            </w:r>
            <w:r w:rsidR="0057550F">
              <w:rPr>
                <w:rFonts w:cs="Calibri"/>
                <w:b/>
                <w:bCs/>
                <w:sz w:val="18"/>
                <w:szCs w:val="18"/>
              </w:rPr>
              <w:t>3</w:t>
            </w:r>
          </w:p>
        </w:tc>
        <w:tc>
          <w:tcPr>
            <w:tcW w:w="325" w:type="pct"/>
            <w:tcBorders>
              <w:top w:val="nil"/>
              <w:left w:val="nil"/>
              <w:bottom w:val="nil"/>
              <w:right w:val="nil"/>
            </w:tcBorders>
          </w:tcPr>
          <w:p w14:paraId="0FD27F95" w14:textId="77777777" w:rsidR="000413C4" w:rsidRPr="00FB3AD2" w:rsidRDefault="000413C4" w:rsidP="000413C4">
            <w:pPr>
              <w:jc w:val="right"/>
              <w:rPr>
                <w:b/>
                <w:sz w:val="16"/>
              </w:rPr>
            </w:pPr>
          </w:p>
        </w:tc>
        <w:tc>
          <w:tcPr>
            <w:tcW w:w="324" w:type="pct"/>
            <w:tcBorders>
              <w:top w:val="nil"/>
              <w:left w:val="nil"/>
              <w:bottom w:val="nil"/>
              <w:right w:val="nil"/>
            </w:tcBorders>
          </w:tcPr>
          <w:p w14:paraId="1975316D" w14:textId="77777777" w:rsidR="000413C4" w:rsidRPr="00FB3AD2" w:rsidRDefault="000413C4" w:rsidP="000413C4">
            <w:pPr>
              <w:jc w:val="right"/>
              <w:rPr>
                <w:b/>
                <w:sz w:val="16"/>
              </w:rPr>
            </w:pPr>
          </w:p>
        </w:tc>
        <w:tc>
          <w:tcPr>
            <w:tcW w:w="462" w:type="pct"/>
            <w:tcBorders>
              <w:top w:val="nil"/>
              <w:left w:val="nil"/>
              <w:bottom w:val="nil"/>
              <w:right w:val="nil"/>
            </w:tcBorders>
          </w:tcPr>
          <w:p w14:paraId="3FF5E236" w14:textId="77777777" w:rsidR="000413C4" w:rsidRPr="00FB3AD2" w:rsidRDefault="000413C4" w:rsidP="000413C4">
            <w:pPr>
              <w:jc w:val="right"/>
              <w:rPr>
                <w:b/>
                <w:sz w:val="16"/>
              </w:rPr>
            </w:pPr>
          </w:p>
        </w:tc>
        <w:tc>
          <w:tcPr>
            <w:tcW w:w="417" w:type="pct"/>
            <w:tcBorders>
              <w:top w:val="nil"/>
              <w:left w:val="nil"/>
              <w:bottom w:val="nil"/>
              <w:right w:val="nil"/>
            </w:tcBorders>
          </w:tcPr>
          <w:p w14:paraId="56F4139F" w14:textId="77777777" w:rsidR="000413C4" w:rsidRPr="00FB3AD2" w:rsidRDefault="000413C4" w:rsidP="000413C4">
            <w:pPr>
              <w:jc w:val="right"/>
              <w:rPr>
                <w:b/>
                <w:sz w:val="16"/>
              </w:rPr>
            </w:pPr>
          </w:p>
        </w:tc>
        <w:tc>
          <w:tcPr>
            <w:tcW w:w="509" w:type="pct"/>
            <w:tcBorders>
              <w:top w:val="nil"/>
              <w:left w:val="nil"/>
              <w:bottom w:val="nil"/>
              <w:right w:val="nil"/>
            </w:tcBorders>
          </w:tcPr>
          <w:p w14:paraId="60803D34" w14:textId="77777777" w:rsidR="000413C4" w:rsidRPr="00FB3AD2" w:rsidRDefault="000413C4" w:rsidP="000413C4">
            <w:pPr>
              <w:jc w:val="right"/>
              <w:rPr>
                <w:b/>
                <w:sz w:val="16"/>
              </w:rPr>
            </w:pPr>
          </w:p>
        </w:tc>
        <w:tc>
          <w:tcPr>
            <w:tcW w:w="371" w:type="pct"/>
            <w:tcBorders>
              <w:top w:val="nil"/>
              <w:left w:val="nil"/>
              <w:bottom w:val="nil"/>
              <w:right w:val="nil"/>
            </w:tcBorders>
          </w:tcPr>
          <w:p w14:paraId="6CA1AB14" w14:textId="768B7E7B" w:rsidR="000413C4" w:rsidRPr="00FB3AD2" w:rsidRDefault="000413C4" w:rsidP="000413C4">
            <w:pPr>
              <w:jc w:val="right"/>
              <w:rPr>
                <w:b/>
                <w:sz w:val="16"/>
              </w:rPr>
            </w:pPr>
          </w:p>
        </w:tc>
      </w:tr>
      <w:tr w:rsidR="0070081A" w:rsidRPr="00DA3E2F" w14:paraId="6DAD5716" w14:textId="77777777" w:rsidTr="005F5B4C">
        <w:trPr>
          <w:cantSplit/>
          <w:trHeight w:val="23"/>
        </w:trPr>
        <w:tc>
          <w:tcPr>
            <w:tcW w:w="510" w:type="pct"/>
            <w:tcBorders>
              <w:top w:val="nil"/>
              <w:left w:val="single" w:sz="2" w:space="0" w:color="auto"/>
              <w:bottom w:val="nil"/>
              <w:right w:val="single" w:sz="2" w:space="0" w:color="auto"/>
            </w:tcBorders>
          </w:tcPr>
          <w:p w14:paraId="6BE7EA75"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1A74FA" w14:textId="1C231407" w:rsidR="000413C4" w:rsidRPr="00FB3AD2" w:rsidRDefault="000413C4" w:rsidP="000413C4">
            <w:pPr>
              <w:spacing w:after="40"/>
              <w:rPr>
                <w:b/>
                <w:sz w:val="18"/>
                <w:szCs w:val="18"/>
              </w:rPr>
            </w:pPr>
            <w:r w:rsidRPr="00FB3AD2">
              <w:rPr>
                <w:sz w:val="18"/>
                <w:szCs w:val="18"/>
              </w:rPr>
              <w:t xml:space="preserve">Fair Value at </w:t>
            </w:r>
            <w:r w:rsidR="00E23F3D" w:rsidRPr="00FB3AD2">
              <w:rPr>
                <w:sz w:val="18"/>
                <w:szCs w:val="18"/>
              </w:rPr>
              <w:t xml:space="preserve">the </w:t>
            </w:r>
            <w:r w:rsidR="00012531" w:rsidRPr="00FB3AD2">
              <w:rPr>
                <w:sz w:val="18"/>
                <w:szCs w:val="18"/>
              </w:rPr>
              <w:t>B</w:t>
            </w:r>
            <w:r w:rsidRPr="00FB3AD2">
              <w:rPr>
                <w:sz w:val="18"/>
                <w:szCs w:val="18"/>
              </w:rPr>
              <w:t xml:space="preserve">eginning of the </w:t>
            </w:r>
            <w:r w:rsidR="00012531" w:rsidRPr="00FB3AD2">
              <w:rPr>
                <w:sz w:val="18"/>
                <w:szCs w:val="18"/>
              </w:rPr>
              <w:t>R</w:t>
            </w:r>
            <w:r w:rsidRPr="00FB3AD2">
              <w:rPr>
                <w:sz w:val="18"/>
                <w:szCs w:val="18"/>
              </w:rPr>
              <w:t xml:space="preserve">eporting </w:t>
            </w:r>
            <w:r w:rsidR="00012531" w:rsidRPr="00FB3AD2">
              <w:rPr>
                <w:sz w:val="18"/>
                <w:szCs w:val="18"/>
              </w:rPr>
              <w:t>P</w:t>
            </w:r>
            <w:r w:rsidRPr="00FB3AD2">
              <w:rPr>
                <w:sz w:val="18"/>
                <w:szCs w:val="18"/>
              </w:rPr>
              <w:t>eriod</w:t>
            </w:r>
          </w:p>
        </w:tc>
        <w:tc>
          <w:tcPr>
            <w:tcW w:w="325" w:type="pct"/>
            <w:tcBorders>
              <w:top w:val="nil"/>
              <w:left w:val="nil"/>
              <w:bottom w:val="nil"/>
              <w:right w:val="nil"/>
            </w:tcBorders>
          </w:tcPr>
          <w:p w14:paraId="01067902" w14:textId="77777777" w:rsidR="000413C4" w:rsidRPr="00FB3AD2" w:rsidRDefault="000413C4" w:rsidP="000413C4">
            <w:pPr>
              <w:rPr>
                <w:b/>
                <w:sz w:val="18"/>
                <w:szCs w:val="18"/>
              </w:rPr>
            </w:pPr>
          </w:p>
        </w:tc>
        <w:tc>
          <w:tcPr>
            <w:tcW w:w="324" w:type="pct"/>
            <w:tcBorders>
              <w:top w:val="nil"/>
              <w:left w:val="nil"/>
              <w:bottom w:val="nil"/>
              <w:right w:val="nil"/>
            </w:tcBorders>
          </w:tcPr>
          <w:p w14:paraId="705D0190" w14:textId="77777777" w:rsidR="000413C4" w:rsidRPr="00FB3AD2" w:rsidRDefault="000413C4" w:rsidP="000413C4">
            <w:pPr>
              <w:rPr>
                <w:b/>
                <w:sz w:val="18"/>
                <w:szCs w:val="18"/>
              </w:rPr>
            </w:pPr>
          </w:p>
        </w:tc>
        <w:tc>
          <w:tcPr>
            <w:tcW w:w="462" w:type="pct"/>
            <w:tcBorders>
              <w:top w:val="nil"/>
              <w:left w:val="nil"/>
              <w:bottom w:val="nil"/>
              <w:right w:val="nil"/>
            </w:tcBorders>
          </w:tcPr>
          <w:p w14:paraId="3B11E83A" w14:textId="77777777" w:rsidR="000413C4" w:rsidRPr="00FB3AD2" w:rsidRDefault="000413C4" w:rsidP="000413C4">
            <w:pPr>
              <w:rPr>
                <w:b/>
                <w:sz w:val="18"/>
                <w:szCs w:val="18"/>
              </w:rPr>
            </w:pPr>
          </w:p>
        </w:tc>
        <w:tc>
          <w:tcPr>
            <w:tcW w:w="417" w:type="pct"/>
            <w:tcBorders>
              <w:top w:val="nil"/>
              <w:left w:val="nil"/>
              <w:bottom w:val="nil"/>
              <w:right w:val="nil"/>
            </w:tcBorders>
          </w:tcPr>
          <w:p w14:paraId="3906C247" w14:textId="77777777" w:rsidR="000413C4" w:rsidRPr="00FB3AD2" w:rsidRDefault="000413C4" w:rsidP="000413C4">
            <w:pPr>
              <w:rPr>
                <w:b/>
                <w:sz w:val="18"/>
                <w:szCs w:val="18"/>
              </w:rPr>
            </w:pPr>
          </w:p>
        </w:tc>
        <w:tc>
          <w:tcPr>
            <w:tcW w:w="509" w:type="pct"/>
            <w:tcBorders>
              <w:top w:val="nil"/>
              <w:left w:val="nil"/>
              <w:bottom w:val="nil"/>
              <w:right w:val="nil"/>
            </w:tcBorders>
          </w:tcPr>
          <w:p w14:paraId="767453B5" w14:textId="77777777" w:rsidR="000413C4" w:rsidRPr="00FB3AD2" w:rsidRDefault="000413C4" w:rsidP="000413C4">
            <w:pPr>
              <w:rPr>
                <w:b/>
                <w:sz w:val="18"/>
                <w:szCs w:val="18"/>
              </w:rPr>
            </w:pPr>
          </w:p>
        </w:tc>
        <w:tc>
          <w:tcPr>
            <w:tcW w:w="371" w:type="pct"/>
            <w:tcBorders>
              <w:top w:val="nil"/>
              <w:left w:val="nil"/>
              <w:bottom w:val="nil"/>
              <w:right w:val="nil"/>
            </w:tcBorders>
          </w:tcPr>
          <w:p w14:paraId="5357E307" w14:textId="32B8CBEF" w:rsidR="000413C4" w:rsidRPr="00FB3AD2" w:rsidRDefault="000413C4" w:rsidP="000413C4">
            <w:pPr>
              <w:rPr>
                <w:b/>
                <w:sz w:val="18"/>
                <w:szCs w:val="18"/>
              </w:rPr>
            </w:pPr>
          </w:p>
        </w:tc>
      </w:tr>
      <w:tr w:rsidR="0070081A" w:rsidRPr="00DA3E2F" w14:paraId="160960D8" w14:textId="77777777" w:rsidTr="005F5B4C">
        <w:trPr>
          <w:cantSplit/>
          <w:trHeight w:val="23"/>
        </w:trPr>
        <w:tc>
          <w:tcPr>
            <w:tcW w:w="510" w:type="pct"/>
            <w:tcBorders>
              <w:top w:val="nil"/>
              <w:left w:val="single" w:sz="2" w:space="0" w:color="auto"/>
              <w:bottom w:val="nil"/>
              <w:right w:val="single" w:sz="2" w:space="0" w:color="auto"/>
            </w:tcBorders>
          </w:tcPr>
          <w:p w14:paraId="6790C640"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8126683" w14:textId="5821FF2F" w:rsidR="000413C4" w:rsidRPr="00FB3AD2" w:rsidRDefault="000413C4" w:rsidP="000413C4">
            <w:pPr>
              <w:spacing w:after="40"/>
              <w:rPr>
                <w:b/>
                <w:sz w:val="18"/>
                <w:szCs w:val="18"/>
              </w:rPr>
            </w:pPr>
            <w:r w:rsidRPr="00FB3AD2">
              <w:rPr>
                <w:sz w:val="18"/>
                <w:szCs w:val="18"/>
              </w:rPr>
              <w:t>Additions</w:t>
            </w:r>
          </w:p>
        </w:tc>
        <w:tc>
          <w:tcPr>
            <w:tcW w:w="325" w:type="pct"/>
            <w:tcBorders>
              <w:top w:val="nil"/>
              <w:left w:val="nil"/>
              <w:bottom w:val="nil"/>
              <w:right w:val="nil"/>
            </w:tcBorders>
          </w:tcPr>
          <w:p w14:paraId="34F3713A" w14:textId="77777777" w:rsidR="000413C4" w:rsidRPr="00FB3AD2" w:rsidRDefault="000413C4" w:rsidP="000413C4">
            <w:pPr>
              <w:rPr>
                <w:b/>
                <w:sz w:val="18"/>
                <w:szCs w:val="18"/>
              </w:rPr>
            </w:pPr>
          </w:p>
        </w:tc>
        <w:tc>
          <w:tcPr>
            <w:tcW w:w="324" w:type="pct"/>
            <w:tcBorders>
              <w:top w:val="nil"/>
              <w:left w:val="nil"/>
              <w:bottom w:val="nil"/>
              <w:right w:val="nil"/>
            </w:tcBorders>
          </w:tcPr>
          <w:p w14:paraId="7A4B9C67" w14:textId="77777777" w:rsidR="000413C4" w:rsidRPr="00FB3AD2" w:rsidRDefault="000413C4" w:rsidP="000413C4">
            <w:pPr>
              <w:rPr>
                <w:b/>
                <w:sz w:val="18"/>
                <w:szCs w:val="18"/>
              </w:rPr>
            </w:pPr>
          </w:p>
        </w:tc>
        <w:tc>
          <w:tcPr>
            <w:tcW w:w="462" w:type="pct"/>
            <w:tcBorders>
              <w:top w:val="nil"/>
              <w:left w:val="nil"/>
              <w:bottom w:val="nil"/>
              <w:right w:val="nil"/>
            </w:tcBorders>
          </w:tcPr>
          <w:p w14:paraId="41BC0F8F" w14:textId="77777777" w:rsidR="000413C4" w:rsidRPr="00FB3AD2" w:rsidRDefault="000413C4" w:rsidP="000413C4">
            <w:pPr>
              <w:rPr>
                <w:b/>
                <w:sz w:val="18"/>
                <w:szCs w:val="18"/>
              </w:rPr>
            </w:pPr>
          </w:p>
        </w:tc>
        <w:tc>
          <w:tcPr>
            <w:tcW w:w="417" w:type="pct"/>
            <w:tcBorders>
              <w:top w:val="nil"/>
              <w:left w:val="nil"/>
              <w:bottom w:val="nil"/>
              <w:right w:val="nil"/>
            </w:tcBorders>
          </w:tcPr>
          <w:p w14:paraId="66ADA967" w14:textId="77777777" w:rsidR="000413C4" w:rsidRPr="00FB3AD2" w:rsidRDefault="000413C4" w:rsidP="000413C4">
            <w:pPr>
              <w:rPr>
                <w:b/>
                <w:sz w:val="18"/>
                <w:szCs w:val="18"/>
              </w:rPr>
            </w:pPr>
          </w:p>
        </w:tc>
        <w:tc>
          <w:tcPr>
            <w:tcW w:w="509" w:type="pct"/>
            <w:tcBorders>
              <w:top w:val="nil"/>
              <w:left w:val="nil"/>
              <w:bottom w:val="nil"/>
              <w:right w:val="nil"/>
            </w:tcBorders>
          </w:tcPr>
          <w:p w14:paraId="3A7CD376" w14:textId="77777777" w:rsidR="000413C4" w:rsidRPr="00FB3AD2" w:rsidRDefault="000413C4" w:rsidP="000413C4">
            <w:pPr>
              <w:rPr>
                <w:b/>
                <w:sz w:val="18"/>
                <w:szCs w:val="18"/>
              </w:rPr>
            </w:pPr>
          </w:p>
        </w:tc>
        <w:tc>
          <w:tcPr>
            <w:tcW w:w="371" w:type="pct"/>
            <w:tcBorders>
              <w:top w:val="nil"/>
              <w:left w:val="nil"/>
              <w:bottom w:val="nil"/>
              <w:right w:val="nil"/>
            </w:tcBorders>
          </w:tcPr>
          <w:p w14:paraId="2F48C70F" w14:textId="67BC3652" w:rsidR="000413C4" w:rsidRPr="00FB3AD2" w:rsidRDefault="000413C4" w:rsidP="000413C4">
            <w:pPr>
              <w:rPr>
                <w:b/>
                <w:sz w:val="18"/>
                <w:szCs w:val="18"/>
              </w:rPr>
            </w:pPr>
          </w:p>
        </w:tc>
      </w:tr>
      <w:tr w:rsidR="0070081A" w:rsidRPr="00DA3E2F" w14:paraId="440F9606" w14:textId="77777777" w:rsidTr="005F5B4C">
        <w:trPr>
          <w:cantSplit/>
          <w:trHeight w:val="23"/>
        </w:trPr>
        <w:tc>
          <w:tcPr>
            <w:tcW w:w="510" w:type="pct"/>
            <w:tcBorders>
              <w:top w:val="nil"/>
              <w:left w:val="single" w:sz="2" w:space="0" w:color="auto"/>
              <w:bottom w:val="nil"/>
              <w:right w:val="single" w:sz="2" w:space="0" w:color="auto"/>
            </w:tcBorders>
          </w:tcPr>
          <w:p w14:paraId="0E6A523B"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FE14E9E" w14:textId="3A088890" w:rsidR="000413C4" w:rsidRPr="00FB3AD2" w:rsidRDefault="000413C4" w:rsidP="000413C4">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2191CB2F" w14:textId="77777777" w:rsidR="000413C4" w:rsidRPr="00FB3AD2" w:rsidRDefault="000413C4" w:rsidP="000413C4">
            <w:pPr>
              <w:rPr>
                <w:b/>
                <w:sz w:val="18"/>
                <w:szCs w:val="18"/>
              </w:rPr>
            </w:pPr>
          </w:p>
        </w:tc>
        <w:tc>
          <w:tcPr>
            <w:tcW w:w="324" w:type="pct"/>
            <w:tcBorders>
              <w:top w:val="nil"/>
              <w:left w:val="nil"/>
              <w:bottom w:val="nil"/>
              <w:right w:val="nil"/>
            </w:tcBorders>
          </w:tcPr>
          <w:p w14:paraId="712C7DFF" w14:textId="77777777" w:rsidR="000413C4" w:rsidRPr="00FB3AD2" w:rsidRDefault="000413C4" w:rsidP="000413C4">
            <w:pPr>
              <w:rPr>
                <w:b/>
                <w:sz w:val="18"/>
                <w:szCs w:val="18"/>
              </w:rPr>
            </w:pPr>
          </w:p>
        </w:tc>
        <w:tc>
          <w:tcPr>
            <w:tcW w:w="462" w:type="pct"/>
            <w:tcBorders>
              <w:top w:val="nil"/>
              <w:left w:val="nil"/>
              <w:bottom w:val="nil"/>
              <w:right w:val="nil"/>
            </w:tcBorders>
          </w:tcPr>
          <w:p w14:paraId="52EA9B1E" w14:textId="77777777" w:rsidR="000413C4" w:rsidRPr="00FB3AD2" w:rsidRDefault="000413C4" w:rsidP="000413C4">
            <w:pPr>
              <w:rPr>
                <w:b/>
                <w:sz w:val="18"/>
                <w:szCs w:val="18"/>
              </w:rPr>
            </w:pPr>
          </w:p>
        </w:tc>
        <w:tc>
          <w:tcPr>
            <w:tcW w:w="417" w:type="pct"/>
            <w:tcBorders>
              <w:top w:val="nil"/>
              <w:left w:val="nil"/>
              <w:bottom w:val="nil"/>
              <w:right w:val="nil"/>
            </w:tcBorders>
          </w:tcPr>
          <w:p w14:paraId="0D4DB4EE" w14:textId="77777777" w:rsidR="000413C4" w:rsidRPr="00FB3AD2" w:rsidRDefault="000413C4" w:rsidP="000413C4">
            <w:pPr>
              <w:rPr>
                <w:b/>
                <w:sz w:val="18"/>
                <w:szCs w:val="18"/>
              </w:rPr>
            </w:pPr>
          </w:p>
        </w:tc>
        <w:tc>
          <w:tcPr>
            <w:tcW w:w="509" w:type="pct"/>
            <w:tcBorders>
              <w:top w:val="nil"/>
              <w:left w:val="nil"/>
              <w:bottom w:val="nil"/>
              <w:right w:val="nil"/>
            </w:tcBorders>
          </w:tcPr>
          <w:p w14:paraId="7E51E342" w14:textId="77777777" w:rsidR="000413C4" w:rsidRPr="00FB3AD2" w:rsidRDefault="000413C4" w:rsidP="000413C4">
            <w:pPr>
              <w:rPr>
                <w:b/>
                <w:sz w:val="18"/>
                <w:szCs w:val="18"/>
              </w:rPr>
            </w:pPr>
          </w:p>
        </w:tc>
        <w:tc>
          <w:tcPr>
            <w:tcW w:w="371" w:type="pct"/>
            <w:tcBorders>
              <w:top w:val="nil"/>
              <w:left w:val="nil"/>
              <w:bottom w:val="nil"/>
              <w:right w:val="nil"/>
            </w:tcBorders>
          </w:tcPr>
          <w:p w14:paraId="7922B891" w14:textId="61C93061" w:rsidR="000413C4" w:rsidRPr="00FB3AD2" w:rsidRDefault="000413C4" w:rsidP="000413C4">
            <w:pPr>
              <w:rPr>
                <w:b/>
                <w:sz w:val="18"/>
                <w:szCs w:val="18"/>
              </w:rPr>
            </w:pPr>
          </w:p>
        </w:tc>
      </w:tr>
      <w:tr w:rsidR="0070081A" w:rsidRPr="00DA3E2F" w14:paraId="4AB23C7E" w14:textId="77777777" w:rsidTr="005F5B4C">
        <w:trPr>
          <w:cantSplit/>
          <w:trHeight w:val="23"/>
        </w:trPr>
        <w:tc>
          <w:tcPr>
            <w:tcW w:w="510" w:type="pct"/>
            <w:tcBorders>
              <w:top w:val="nil"/>
              <w:left w:val="single" w:sz="2" w:space="0" w:color="auto"/>
              <w:bottom w:val="nil"/>
              <w:right w:val="single" w:sz="2" w:space="0" w:color="auto"/>
            </w:tcBorders>
          </w:tcPr>
          <w:p w14:paraId="4C5EB8E1"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68E7671A" w14:textId="53B24F3C" w:rsidR="000413C4" w:rsidRPr="00FB3AD2" w:rsidRDefault="000413C4" w:rsidP="000413C4">
            <w:pPr>
              <w:spacing w:after="40"/>
              <w:rPr>
                <w:b/>
                <w:sz w:val="18"/>
                <w:szCs w:val="18"/>
              </w:rPr>
            </w:pPr>
            <w:r w:rsidRPr="00FB3AD2">
              <w:rPr>
                <w:sz w:val="18"/>
                <w:szCs w:val="18"/>
              </w:rPr>
              <w:t>Depreciation</w:t>
            </w:r>
          </w:p>
        </w:tc>
        <w:tc>
          <w:tcPr>
            <w:tcW w:w="325" w:type="pct"/>
            <w:tcBorders>
              <w:top w:val="nil"/>
              <w:left w:val="nil"/>
              <w:bottom w:val="nil"/>
              <w:right w:val="nil"/>
            </w:tcBorders>
          </w:tcPr>
          <w:p w14:paraId="106B48B5" w14:textId="77777777" w:rsidR="000413C4" w:rsidRPr="00FB3AD2" w:rsidRDefault="000413C4" w:rsidP="000413C4">
            <w:pPr>
              <w:rPr>
                <w:b/>
                <w:sz w:val="18"/>
                <w:szCs w:val="18"/>
              </w:rPr>
            </w:pPr>
          </w:p>
        </w:tc>
        <w:tc>
          <w:tcPr>
            <w:tcW w:w="324" w:type="pct"/>
            <w:tcBorders>
              <w:top w:val="nil"/>
              <w:left w:val="nil"/>
              <w:bottom w:val="nil"/>
              <w:right w:val="nil"/>
            </w:tcBorders>
          </w:tcPr>
          <w:p w14:paraId="7ED10FAE" w14:textId="77777777" w:rsidR="000413C4" w:rsidRPr="00FB3AD2" w:rsidRDefault="000413C4" w:rsidP="000413C4">
            <w:pPr>
              <w:rPr>
                <w:b/>
                <w:sz w:val="18"/>
                <w:szCs w:val="18"/>
              </w:rPr>
            </w:pPr>
          </w:p>
        </w:tc>
        <w:tc>
          <w:tcPr>
            <w:tcW w:w="462" w:type="pct"/>
            <w:tcBorders>
              <w:top w:val="nil"/>
              <w:left w:val="nil"/>
              <w:bottom w:val="nil"/>
              <w:right w:val="nil"/>
            </w:tcBorders>
          </w:tcPr>
          <w:p w14:paraId="355394CD" w14:textId="77777777" w:rsidR="000413C4" w:rsidRPr="00FB3AD2" w:rsidRDefault="000413C4" w:rsidP="000413C4">
            <w:pPr>
              <w:rPr>
                <w:b/>
                <w:sz w:val="18"/>
                <w:szCs w:val="18"/>
              </w:rPr>
            </w:pPr>
          </w:p>
        </w:tc>
        <w:tc>
          <w:tcPr>
            <w:tcW w:w="417" w:type="pct"/>
            <w:tcBorders>
              <w:top w:val="nil"/>
              <w:left w:val="nil"/>
              <w:bottom w:val="nil"/>
              <w:right w:val="nil"/>
            </w:tcBorders>
          </w:tcPr>
          <w:p w14:paraId="6280496C" w14:textId="77777777" w:rsidR="000413C4" w:rsidRPr="00FB3AD2" w:rsidRDefault="000413C4" w:rsidP="000413C4">
            <w:pPr>
              <w:rPr>
                <w:b/>
                <w:sz w:val="18"/>
                <w:szCs w:val="18"/>
              </w:rPr>
            </w:pPr>
          </w:p>
        </w:tc>
        <w:tc>
          <w:tcPr>
            <w:tcW w:w="509" w:type="pct"/>
            <w:tcBorders>
              <w:top w:val="nil"/>
              <w:left w:val="nil"/>
              <w:bottom w:val="nil"/>
              <w:right w:val="nil"/>
            </w:tcBorders>
          </w:tcPr>
          <w:p w14:paraId="0A82D93E" w14:textId="77777777" w:rsidR="000413C4" w:rsidRPr="00FB3AD2" w:rsidRDefault="000413C4" w:rsidP="000413C4">
            <w:pPr>
              <w:rPr>
                <w:b/>
                <w:sz w:val="18"/>
                <w:szCs w:val="18"/>
              </w:rPr>
            </w:pPr>
          </w:p>
        </w:tc>
        <w:tc>
          <w:tcPr>
            <w:tcW w:w="371" w:type="pct"/>
            <w:tcBorders>
              <w:top w:val="nil"/>
              <w:left w:val="nil"/>
              <w:bottom w:val="nil"/>
              <w:right w:val="nil"/>
            </w:tcBorders>
          </w:tcPr>
          <w:p w14:paraId="6E8DA2FA" w14:textId="27C34D8D" w:rsidR="000413C4" w:rsidRPr="00FB3AD2" w:rsidRDefault="000413C4" w:rsidP="000413C4">
            <w:pPr>
              <w:rPr>
                <w:b/>
                <w:sz w:val="18"/>
                <w:szCs w:val="18"/>
              </w:rPr>
            </w:pPr>
          </w:p>
        </w:tc>
      </w:tr>
      <w:tr w:rsidR="0070081A" w:rsidRPr="00DA3E2F" w14:paraId="16AC2119" w14:textId="77777777" w:rsidTr="005F5B4C">
        <w:trPr>
          <w:cantSplit/>
          <w:trHeight w:val="23"/>
        </w:trPr>
        <w:tc>
          <w:tcPr>
            <w:tcW w:w="510" w:type="pct"/>
            <w:tcBorders>
              <w:top w:val="nil"/>
              <w:left w:val="single" w:sz="2" w:space="0" w:color="auto"/>
              <w:bottom w:val="nil"/>
              <w:right w:val="single" w:sz="2" w:space="0" w:color="auto"/>
            </w:tcBorders>
          </w:tcPr>
          <w:p w14:paraId="3015F737"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B9D404" w14:textId="43E9C423" w:rsidR="000413C4" w:rsidRPr="00FB3AD2" w:rsidRDefault="000413C4" w:rsidP="000413C4">
            <w:pPr>
              <w:spacing w:after="40"/>
              <w:rPr>
                <w:b/>
                <w:sz w:val="18"/>
                <w:szCs w:val="18"/>
              </w:rPr>
            </w:pPr>
            <w:r w:rsidRPr="00FB3AD2">
              <w:rPr>
                <w:sz w:val="18"/>
                <w:szCs w:val="18"/>
              </w:rPr>
              <w:t>Acquisition/(Disposal)through Administrative</w:t>
            </w:r>
            <w:r w:rsidR="0070081A" w:rsidRPr="00FB3AD2">
              <w:rPr>
                <w:sz w:val="18"/>
                <w:szCs w:val="18"/>
              </w:rPr>
              <w:t xml:space="preserve"> Restructuring</w:t>
            </w:r>
          </w:p>
        </w:tc>
        <w:tc>
          <w:tcPr>
            <w:tcW w:w="325" w:type="pct"/>
            <w:tcBorders>
              <w:top w:val="nil"/>
              <w:left w:val="nil"/>
              <w:bottom w:val="nil"/>
              <w:right w:val="nil"/>
            </w:tcBorders>
          </w:tcPr>
          <w:p w14:paraId="550791E4" w14:textId="77777777" w:rsidR="000413C4" w:rsidRPr="00FB3AD2" w:rsidRDefault="000413C4" w:rsidP="000413C4">
            <w:pPr>
              <w:rPr>
                <w:b/>
                <w:sz w:val="18"/>
                <w:szCs w:val="18"/>
              </w:rPr>
            </w:pPr>
          </w:p>
        </w:tc>
        <w:tc>
          <w:tcPr>
            <w:tcW w:w="324" w:type="pct"/>
            <w:tcBorders>
              <w:top w:val="nil"/>
              <w:left w:val="nil"/>
              <w:bottom w:val="nil"/>
              <w:right w:val="nil"/>
            </w:tcBorders>
          </w:tcPr>
          <w:p w14:paraId="1E74BC02" w14:textId="77777777" w:rsidR="000413C4" w:rsidRPr="00FB3AD2" w:rsidRDefault="000413C4" w:rsidP="000413C4">
            <w:pPr>
              <w:rPr>
                <w:b/>
                <w:sz w:val="18"/>
                <w:szCs w:val="18"/>
              </w:rPr>
            </w:pPr>
          </w:p>
        </w:tc>
        <w:tc>
          <w:tcPr>
            <w:tcW w:w="462" w:type="pct"/>
            <w:tcBorders>
              <w:top w:val="nil"/>
              <w:left w:val="nil"/>
              <w:bottom w:val="nil"/>
              <w:right w:val="nil"/>
            </w:tcBorders>
          </w:tcPr>
          <w:p w14:paraId="7F5D6CF1" w14:textId="77777777" w:rsidR="000413C4" w:rsidRPr="00FB3AD2" w:rsidRDefault="000413C4" w:rsidP="000413C4">
            <w:pPr>
              <w:rPr>
                <w:b/>
                <w:sz w:val="18"/>
                <w:szCs w:val="18"/>
              </w:rPr>
            </w:pPr>
          </w:p>
        </w:tc>
        <w:tc>
          <w:tcPr>
            <w:tcW w:w="417" w:type="pct"/>
            <w:tcBorders>
              <w:top w:val="nil"/>
              <w:left w:val="nil"/>
              <w:bottom w:val="nil"/>
              <w:right w:val="nil"/>
            </w:tcBorders>
          </w:tcPr>
          <w:p w14:paraId="3E29600C" w14:textId="77777777" w:rsidR="000413C4" w:rsidRPr="00FB3AD2" w:rsidRDefault="000413C4" w:rsidP="000413C4">
            <w:pPr>
              <w:rPr>
                <w:b/>
                <w:sz w:val="18"/>
                <w:szCs w:val="18"/>
              </w:rPr>
            </w:pPr>
          </w:p>
        </w:tc>
        <w:tc>
          <w:tcPr>
            <w:tcW w:w="509" w:type="pct"/>
            <w:tcBorders>
              <w:top w:val="nil"/>
              <w:left w:val="nil"/>
              <w:bottom w:val="nil"/>
              <w:right w:val="nil"/>
            </w:tcBorders>
          </w:tcPr>
          <w:p w14:paraId="764DE893" w14:textId="77777777" w:rsidR="000413C4" w:rsidRPr="00FB3AD2" w:rsidRDefault="000413C4" w:rsidP="000413C4">
            <w:pPr>
              <w:rPr>
                <w:b/>
                <w:sz w:val="18"/>
                <w:szCs w:val="18"/>
              </w:rPr>
            </w:pPr>
          </w:p>
        </w:tc>
        <w:tc>
          <w:tcPr>
            <w:tcW w:w="371" w:type="pct"/>
            <w:tcBorders>
              <w:top w:val="nil"/>
              <w:left w:val="nil"/>
              <w:bottom w:val="nil"/>
              <w:right w:val="nil"/>
            </w:tcBorders>
          </w:tcPr>
          <w:p w14:paraId="545687FF" w14:textId="58D4C9C8" w:rsidR="000413C4" w:rsidRPr="00FB3AD2" w:rsidRDefault="000413C4" w:rsidP="000413C4">
            <w:pPr>
              <w:rPr>
                <w:b/>
                <w:sz w:val="18"/>
                <w:szCs w:val="18"/>
              </w:rPr>
            </w:pPr>
          </w:p>
        </w:tc>
      </w:tr>
      <w:tr w:rsidR="0070081A" w:rsidRPr="00DA3E2F" w14:paraId="3E0BA22D" w14:textId="77777777" w:rsidTr="005F5B4C">
        <w:trPr>
          <w:cantSplit/>
          <w:trHeight w:val="23"/>
        </w:trPr>
        <w:tc>
          <w:tcPr>
            <w:tcW w:w="510" w:type="pct"/>
            <w:tcBorders>
              <w:top w:val="nil"/>
              <w:left w:val="single" w:sz="2" w:space="0" w:color="auto"/>
              <w:bottom w:val="nil"/>
              <w:right w:val="single" w:sz="2" w:space="0" w:color="auto"/>
            </w:tcBorders>
          </w:tcPr>
          <w:p w14:paraId="4B03379D"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796BE8" w14:textId="665C7053" w:rsidR="000413C4" w:rsidRPr="00FB3AD2" w:rsidRDefault="000413C4" w:rsidP="000413C4">
            <w:pPr>
              <w:spacing w:after="40"/>
              <w:rPr>
                <w:sz w:val="18"/>
                <w:szCs w:val="18"/>
              </w:rPr>
            </w:pPr>
            <w:r w:rsidRPr="00FB3AD2">
              <w:rPr>
                <w:sz w:val="18"/>
                <w:szCs w:val="18"/>
              </w:rPr>
              <w:t>Acquisition</w:t>
            </w:r>
            <w:r w:rsidRPr="00152C5D">
              <w:rPr>
                <w:sz w:val="18"/>
                <w:szCs w:val="18"/>
              </w:rPr>
              <w:t>/</w:t>
            </w:r>
            <w:r w:rsidR="00B35DD4" w:rsidRPr="00152C5D">
              <w:rPr>
                <w:color w:val="FF0000"/>
                <w:sz w:val="18"/>
                <w:szCs w:val="18"/>
              </w:rPr>
              <w:t>(</w:t>
            </w:r>
            <w:r w:rsidRPr="00152C5D">
              <w:rPr>
                <w:sz w:val="18"/>
                <w:szCs w:val="18"/>
              </w:rPr>
              <w:t>Disposal</w:t>
            </w:r>
            <w:r w:rsidR="00B35DD4" w:rsidRPr="00152C5D">
              <w:rPr>
                <w:color w:val="FF0000"/>
                <w:sz w:val="18"/>
                <w:szCs w:val="18"/>
              </w:rPr>
              <w:t>)</w:t>
            </w:r>
            <w:r w:rsidRPr="00FB3AD2">
              <w:rPr>
                <w:sz w:val="18"/>
                <w:szCs w:val="18"/>
              </w:rPr>
              <w:t xml:space="preserve"> From Transfers</w:t>
            </w:r>
          </w:p>
        </w:tc>
        <w:tc>
          <w:tcPr>
            <w:tcW w:w="325" w:type="pct"/>
            <w:tcBorders>
              <w:top w:val="nil"/>
              <w:left w:val="nil"/>
              <w:bottom w:val="nil"/>
              <w:right w:val="nil"/>
            </w:tcBorders>
          </w:tcPr>
          <w:p w14:paraId="2E2D965F" w14:textId="77777777" w:rsidR="000413C4" w:rsidRPr="00FB3AD2" w:rsidRDefault="000413C4" w:rsidP="000413C4">
            <w:pPr>
              <w:rPr>
                <w:b/>
                <w:sz w:val="18"/>
                <w:szCs w:val="18"/>
              </w:rPr>
            </w:pPr>
          </w:p>
        </w:tc>
        <w:tc>
          <w:tcPr>
            <w:tcW w:w="324" w:type="pct"/>
            <w:tcBorders>
              <w:top w:val="nil"/>
              <w:left w:val="nil"/>
              <w:bottom w:val="nil"/>
              <w:right w:val="nil"/>
            </w:tcBorders>
          </w:tcPr>
          <w:p w14:paraId="25EE945A" w14:textId="77777777" w:rsidR="000413C4" w:rsidRPr="00FB3AD2" w:rsidRDefault="000413C4" w:rsidP="000413C4">
            <w:pPr>
              <w:rPr>
                <w:b/>
                <w:sz w:val="18"/>
                <w:szCs w:val="18"/>
              </w:rPr>
            </w:pPr>
          </w:p>
        </w:tc>
        <w:tc>
          <w:tcPr>
            <w:tcW w:w="462" w:type="pct"/>
            <w:tcBorders>
              <w:top w:val="nil"/>
              <w:left w:val="nil"/>
              <w:bottom w:val="nil"/>
              <w:right w:val="nil"/>
            </w:tcBorders>
          </w:tcPr>
          <w:p w14:paraId="4CBE125E" w14:textId="77777777" w:rsidR="000413C4" w:rsidRPr="00FB3AD2" w:rsidRDefault="000413C4" w:rsidP="000413C4">
            <w:pPr>
              <w:rPr>
                <w:b/>
                <w:sz w:val="18"/>
                <w:szCs w:val="18"/>
              </w:rPr>
            </w:pPr>
          </w:p>
        </w:tc>
        <w:tc>
          <w:tcPr>
            <w:tcW w:w="417" w:type="pct"/>
            <w:tcBorders>
              <w:top w:val="nil"/>
              <w:left w:val="nil"/>
              <w:bottom w:val="nil"/>
              <w:right w:val="nil"/>
            </w:tcBorders>
          </w:tcPr>
          <w:p w14:paraId="32D3798A" w14:textId="77777777" w:rsidR="000413C4" w:rsidRPr="00FB3AD2" w:rsidRDefault="000413C4" w:rsidP="000413C4">
            <w:pPr>
              <w:rPr>
                <w:b/>
                <w:sz w:val="18"/>
                <w:szCs w:val="18"/>
              </w:rPr>
            </w:pPr>
          </w:p>
        </w:tc>
        <w:tc>
          <w:tcPr>
            <w:tcW w:w="509" w:type="pct"/>
            <w:tcBorders>
              <w:top w:val="nil"/>
              <w:left w:val="nil"/>
              <w:bottom w:val="nil"/>
              <w:right w:val="nil"/>
            </w:tcBorders>
          </w:tcPr>
          <w:p w14:paraId="62C1FA4B" w14:textId="77777777" w:rsidR="000413C4" w:rsidRPr="00FB3AD2" w:rsidRDefault="000413C4" w:rsidP="000413C4">
            <w:pPr>
              <w:rPr>
                <w:b/>
                <w:sz w:val="18"/>
                <w:szCs w:val="18"/>
              </w:rPr>
            </w:pPr>
          </w:p>
        </w:tc>
        <w:tc>
          <w:tcPr>
            <w:tcW w:w="371" w:type="pct"/>
            <w:tcBorders>
              <w:top w:val="nil"/>
              <w:left w:val="nil"/>
              <w:bottom w:val="nil"/>
              <w:right w:val="nil"/>
            </w:tcBorders>
          </w:tcPr>
          <w:p w14:paraId="75EA715B" w14:textId="77B7D70D" w:rsidR="000413C4" w:rsidRPr="00FB3AD2" w:rsidRDefault="000413C4" w:rsidP="000413C4">
            <w:pPr>
              <w:rPr>
                <w:b/>
                <w:sz w:val="18"/>
                <w:szCs w:val="18"/>
              </w:rPr>
            </w:pPr>
          </w:p>
        </w:tc>
      </w:tr>
      <w:tr w:rsidR="0070081A" w:rsidRPr="00DA3E2F" w14:paraId="37B8B074" w14:textId="77777777" w:rsidTr="005F5B4C">
        <w:trPr>
          <w:cantSplit/>
          <w:trHeight w:val="23"/>
        </w:trPr>
        <w:tc>
          <w:tcPr>
            <w:tcW w:w="510" w:type="pct"/>
            <w:tcBorders>
              <w:top w:val="nil"/>
              <w:left w:val="single" w:sz="2" w:space="0" w:color="auto"/>
              <w:bottom w:val="nil"/>
              <w:right w:val="single" w:sz="2" w:space="0" w:color="auto"/>
            </w:tcBorders>
          </w:tcPr>
          <w:p w14:paraId="15FF3144" w14:textId="1DC54EC4" w:rsidR="000702E1"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A11AAE2" w14:textId="57BDE451" w:rsidR="000702E1" w:rsidRPr="00FB3AD2" w:rsidRDefault="000702E1" w:rsidP="000413C4">
            <w:pPr>
              <w:spacing w:after="40"/>
              <w:rPr>
                <w:sz w:val="18"/>
                <w:szCs w:val="18"/>
              </w:rPr>
            </w:pPr>
            <w:r w:rsidRPr="00FB3AD2">
              <w:rPr>
                <w:sz w:val="18"/>
                <w:szCs w:val="18"/>
              </w:rPr>
              <w:t>Gains/(</w:t>
            </w:r>
            <w:r w:rsidR="00B35DD4">
              <w:rPr>
                <w:sz w:val="18"/>
                <w:szCs w:val="18"/>
              </w:rPr>
              <w:t>L</w:t>
            </w:r>
            <w:r w:rsidRPr="00FB3AD2">
              <w:rPr>
                <w:sz w:val="18"/>
                <w:szCs w:val="18"/>
              </w:rPr>
              <w:t>osses) recognised in Profit or Loss</w:t>
            </w:r>
          </w:p>
        </w:tc>
        <w:tc>
          <w:tcPr>
            <w:tcW w:w="325" w:type="pct"/>
            <w:tcBorders>
              <w:top w:val="nil"/>
              <w:left w:val="nil"/>
              <w:bottom w:val="nil"/>
              <w:right w:val="nil"/>
            </w:tcBorders>
          </w:tcPr>
          <w:p w14:paraId="12D58E40" w14:textId="77777777" w:rsidR="000702E1" w:rsidRPr="00FB3AD2" w:rsidRDefault="000702E1" w:rsidP="000413C4">
            <w:pPr>
              <w:rPr>
                <w:b/>
                <w:sz w:val="18"/>
                <w:szCs w:val="18"/>
              </w:rPr>
            </w:pPr>
          </w:p>
        </w:tc>
        <w:tc>
          <w:tcPr>
            <w:tcW w:w="324" w:type="pct"/>
            <w:tcBorders>
              <w:top w:val="nil"/>
              <w:left w:val="nil"/>
              <w:bottom w:val="nil"/>
              <w:right w:val="nil"/>
            </w:tcBorders>
          </w:tcPr>
          <w:p w14:paraId="25BEE154" w14:textId="77777777" w:rsidR="000702E1" w:rsidRPr="00FB3AD2" w:rsidRDefault="000702E1" w:rsidP="000413C4">
            <w:pPr>
              <w:rPr>
                <w:b/>
                <w:sz w:val="18"/>
                <w:szCs w:val="18"/>
              </w:rPr>
            </w:pPr>
          </w:p>
        </w:tc>
        <w:tc>
          <w:tcPr>
            <w:tcW w:w="462" w:type="pct"/>
            <w:tcBorders>
              <w:top w:val="nil"/>
              <w:left w:val="nil"/>
              <w:bottom w:val="nil"/>
              <w:right w:val="nil"/>
            </w:tcBorders>
          </w:tcPr>
          <w:p w14:paraId="26D71036" w14:textId="77777777" w:rsidR="000702E1" w:rsidRPr="00FB3AD2" w:rsidRDefault="000702E1" w:rsidP="000413C4">
            <w:pPr>
              <w:rPr>
                <w:b/>
                <w:sz w:val="18"/>
                <w:szCs w:val="18"/>
              </w:rPr>
            </w:pPr>
          </w:p>
        </w:tc>
        <w:tc>
          <w:tcPr>
            <w:tcW w:w="417" w:type="pct"/>
            <w:tcBorders>
              <w:top w:val="nil"/>
              <w:left w:val="nil"/>
              <w:bottom w:val="nil"/>
              <w:right w:val="nil"/>
            </w:tcBorders>
          </w:tcPr>
          <w:p w14:paraId="2395A00A" w14:textId="77777777" w:rsidR="000702E1" w:rsidRPr="00FB3AD2" w:rsidRDefault="000702E1" w:rsidP="000413C4">
            <w:pPr>
              <w:rPr>
                <w:b/>
                <w:sz w:val="18"/>
                <w:szCs w:val="18"/>
              </w:rPr>
            </w:pPr>
          </w:p>
        </w:tc>
        <w:tc>
          <w:tcPr>
            <w:tcW w:w="509" w:type="pct"/>
            <w:tcBorders>
              <w:top w:val="nil"/>
              <w:left w:val="nil"/>
              <w:bottom w:val="nil"/>
              <w:right w:val="nil"/>
            </w:tcBorders>
          </w:tcPr>
          <w:p w14:paraId="3E2970DB" w14:textId="77777777" w:rsidR="000702E1" w:rsidRPr="00FB3AD2" w:rsidRDefault="000702E1" w:rsidP="000413C4">
            <w:pPr>
              <w:rPr>
                <w:b/>
                <w:sz w:val="18"/>
                <w:szCs w:val="18"/>
              </w:rPr>
            </w:pPr>
          </w:p>
        </w:tc>
        <w:tc>
          <w:tcPr>
            <w:tcW w:w="371" w:type="pct"/>
            <w:tcBorders>
              <w:top w:val="nil"/>
              <w:left w:val="nil"/>
              <w:bottom w:val="nil"/>
              <w:right w:val="nil"/>
            </w:tcBorders>
          </w:tcPr>
          <w:p w14:paraId="56DB5780" w14:textId="77777777" w:rsidR="000702E1" w:rsidRPr="00FB3AD2" w:rsidRDefault="000702E1" w:rsidP="000413C4">
            <w:pPr>
              <w:rPr>
                <w:b/>
                <w:sz w:val="18"/>
                <w:szCs w:val="18"/>
              </w:rPr>
            </w:pPr>
          </w:p>
        </w:tc>
      </w:tr>
      <w:tr w:rsidR="0070081A" w:rsidRPr="00DA3E2F" w14:paraId="3E31FB22" w14:textId="77777777" w:rsidTr="005F5B4C">
        <w:trPr>
          <w:cantSplit/>
          <w:trHeight w:val="23"/>
        </w:trPr>
        <w:tc>
          <w:tcPr>
            <w:tcW w:w="510" w:type="pct"/>
            <w:tcBorders>
              <w:top w:val="nil"/>
              <w:left w:val="single" w:sz="2" w:space="0" w:color="auto"/>
              <w:bottom w:val="nil"/>
              <w:right w:val="single" w:sz="2" w:space="0" w:color="auto"/>
            </w:tcBorders>
          </w:tcPr>
          <w:p w14:paraId="786DC8AA" w14:textId="77777777" w:rsidR="000702E1" w:rsidRPr="00FB3AD2" w:rsidRDefault="000702E1"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6B81C3B" w14:textId="65F25991" w:rsidR="000702E1"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702E1" w:rsidRPr="00FB3AD2">
              <w:rPr>
                <w:sz w:val="18"/>
                <w:szCs w:val="18"/>
              </w:rPr>
              <w:t>Revaluation increments/(decrements) recognised in Profit or Loss</w:t>
            </w:r>
          </w:p>
        </w:tc>
        <w:tc>
          <w:tcPr>
            <w:tcW w:w="325" w:type="pct"/>
            <w:tcBorders>
              <w:top w:val="nil"/>
              <w:left w:val="nil"/>
              <w:bottom w:val="nil"/>
              <w:right w:val="nil"/>
            </w:tcBorders>
          </w:tcPr>
          <w:p w14:paraId="001FC60D" w14:textId="77777777" w:rsidR="000702E1" w:rsidRPr="00FB3AD2" w:rsidRDefault="000702E1" w:rsidP="000413C4">
            <w:pPr>
              <w:rPr>
                <w:b/>
                <w:sz w:val="18"/>
                <w:szCs w:val="18"/>
              </w:rPr>
            </w:pPr>
          </w:p>
        </w:tc>
        <w:tc>
          <w:tcPr>
            <w:tcW w:w="324" w:type="pct"/>
            <w:tcBorders>
              <w:top w:val="nil"/>
              <w:left w:val="nil"/>
              <w:bottom w:val="nil"/>
              <w:right w:val="nil"/>
            </w:tcBorders>
          </w:tcPr>
          <w:p w14:paraId="5DFD8031" w14:textId="77777777" w:rsidR="000702E1" w:rsidRPr="00FB3AD2" w:rsidRDefault="000702E1" w:rsidP="000413C4">
            <w:pPr>
              <w:rPr>
                <w:b/>
                <w:sz w:val="18"/>
                <w:szCs w:val="18"/>
              </w:rPr>
            </w:pPr>
          </w:p>
        </w:tc>
        <w:tc>
          <w:tcPr>
            <w:tcW w:w="462" w:type="pct"/>
            <w:tcBorders>
              <w:top w:val="nil"/>
              <w:left w:val="nil"/>
              <w:bottom w:val="nil"/>
              <w:right w:val="nil"/>
            </w:tcBorders>
          </w:tcPr>
          <w:p w14:paraId="612BBCBB" w14:textId="77777777" w:rsidR="000702E1" w:rsidRPr="00FB3AD2" w:rsidRDefault="000702E1" w:rsidP="000413C4">
            <w:pPr>
              <w:rPr>
                <w:b/>
                <w:sz w:val="18"/>
                <w:szCs w:val="18"/>
              </w:rPr>
            </w:pPr>
          </w:p>
        </w:tc>
        <w:tc>
          <w:tcPr>
            <w:tcW w:w="417" w:type="pct"/>
            <w:tcBorders>
              <w:top w:val="nil"/>
              <w:left w:val="nil"/>
              <w:bottom w:val="nil"/>
              <w:right w:val="nil"/>
            </w:tcBorders>
          </w:tcPr>
          <w:p w14:paraId="65F42D7E" w14:textId="77777777" w:rsidR="000702E1" w:rsidRPr="00FB3AD2" w:rsidRDefault="000702E1" w:rsidP="000413C4">
            <w:pPr>
              <w:rPr>
                <w:b/>
                <w:sz w:val="18"/>
                <w:szCs w:val="18"/>
              </w:rPr>
            </w:pPr>
          </w:p>
        </w:tc>
        <w:tc>
          <w:tcPr>
            <w:tcW w:w="509" w:type="pct"/>
            <w:tcBorders>
              <w:top w:val="nil"/>
              <w:left w:val="nil"/>
              <w:bottom w:val="nil"/>
              <w:right w:val="nil"/>
            </w:tcBorders>
          </w:tcPr>
          <w:p w14:paraId="638239A0" w14:textId="77777777" w:rsidR="000702E1" w:rsidRPr="00FB3AD2" w:rsidRDefault="000702E1" w:rsidP="000413C4">
            <w:pPr>
              <w:rPr>
                <w:b/>
                <w:sz w:val="18"/>
                <w:szCs w:val="18"/>
              </w:rPr>
            </w:pPr>
          </w:p>
        </w:tc>
        <w:tc>
          <w:tcPr>
            <w:tcW w:w="371" w:type="pct"/>
            <w:tcBorders>
              <w:top w:val="nil"/>
              <w:left w:val="nil"/>
              <w:bottom w:val="nil"/>
              <w:right w:val="nil"/>
            </w:tcBorders>
          </w:tcPr>
          <w:p w14:paraId="15E99CD3" w14:textId="77777777" w:rsidR="000702E1" w:rsidRPr="00FB3AD2" w:rsidRDefault="000702E1" w:rsidP="000413C4">
            <w:pPr>
              <w:rPr>
                <w:b/>
                <w:sz w:val="18"/>
                <w:szCs w:val="18"/>
              </w:rPr>
            </w:pPr>
          </w:p>
        </w:tc>
      </w:tr>
      <w:tr w:rsidR="0070081A" w:rsidRPr="00DA3E2F" w14:paraId="4DB6D1DC" w14:textId="77777777" w:rsidTr="005F5B4C">
        <w:trPr>
          <w:cantSplit/>
          <w:trHeight w:val="23"/>
        </w:trPr>
        <w:tc>
          <w:tcPr>
            <w:tcW w:w="510" w:type="pct"/>
            <w:tcBorders>
              <w:top w:val="nil"/>
              <w:left w:val="single" w:sz="2" w:space="0" w:color="auto"/>
              <w:bottom w:val="nil"/>
              <w:right w:val="single" w:sz="2" w:space="0" w:color="auto"/>
            </w:tcBorders>
          </w:tcPr>
          <w:p w14:paraId="1F96FCC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E6C6409" w14:textId="317897CE"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1F46B63E" w14:textId="77777777" w:rsidR="000413C4" w:rsidRPr="00FB3AD2" w:rsidRDefault="000413C4" w:rsidP="000413C4">
            <w:pPr>
              <w:rPr>
                <w:b/>
                <w:sz w:val="18"/>
                <w:szCs w:val="18"/>
              </w:rPr>
            </w:pPr>
          </w:p>
        </w:tc>
        <w:tc>
          <w:tcPr>
            <w:tcW w:w="324" w:type="pct"/>
            <w:tcBorders>
              <w:top w:val="nil"/>
              <w:left w:val="nil"/>
              <w:bottom w:val="nil"/>
              <w:right w:val="nil"/>
            </w:tcBorders>
          </w:tcPr>
          <w:p w14:paraId="76CA1D7F" w14:textId="77777777" w:rsidR="000413C4" w:rsidRPr="00FB3AD2" w:rsidRDefault="000413C4" w:rsidP="000413C4">
            <w:pPr>
              <w:rPr>
                <w:b/>
                <w:sz w:val="18"/>
                <w:szCs w:val="18"/>
              </w:rPr>
            </w:pPr>
          </w:p>
        </w:tc>
        <w:tc>
          <w:tcPr>
            <w:tcW w:w="462" w:type="pct"/>
            <w:tcBorders>
              <w:top w:val="nil"/>
              <w:left w:val="nil"/>
              <w:bottom w:val="nil"/>
              <w:right w:val="nil"/>
            </w:tcBorders>
          </w:tcPr>
          <w:p w14:paraId="42DA7B16" w14:textId="77777777" w:rsidR="000413C4" w:rsidRPr="00FB3AD2" w:rsidRDefault="000413C4" w:rsidP="000413C4">
            <w:pPr>
              <w:rPr>
                <w:b/>
                <w:sz w:val="18"/>
                <w:szCs w:val="18"/>
              </w:rPr>
            </w:pPr>
          </w:p>
        </w:tc>
        <w:tc>
          <w:tcPr>
            <w:tcW w:w="417" w:type="pct"/>
            <w:tcBorders>
              <w:top w:val="nil"/>
              <w:left w:val="nil"/>
              <w:bottom w:val="nil"/>
              <w:right w:val="nil"/>
            </w:tcBorders>
          </w:tcPr>
          <w:p w14:paraId="52B0CED6" w14:textId="77777777" w:rsidR="000413C4" w:rsidRPr="00FB3AD2" w:rsidRDefault="000413C4" w:rsidP="000413C4">
            <w:pPr>
              <w:rPr>
                <w:b/>
                <w:sz w:val="18"/>
                <w:szCs w:val="18"/>
              </w:rPr>
            </w:pPr>
          </w:p>
        </w:tc>
        <w:tc>
          <w:tcPr>
            <w:tcW w:w="509" w:type="pct"/>
            <w:tcBorders>
              <w:top w:val="nil"/>
              <w:left w:val="nil"/>
              <w:bottom w:val="nil"/>
              <w:right w:val="nil"/>
            </w:tcBorders>
          </w:tcPr>
          <w:p w14:paraId="4D3EF579" w14:textId="77777777" w:rsidR="000413C4" w:rsidRPr="00FB3AD2" w:rsidRDefault="000413C4" w:rsidP="000413C4">
            <w:pPr>
              <w:rPr>
                <w:b/>
                <w:sz w:val="18"/>
                <w:szCs w:val="18"/>
              </w:rPr>
            </w:pPr>
          </w:p>
        </w:tc>
        <w:tc>
          <w:tcPr>
            <w:tcW w:w="371" w:type="pct"/>
            <w:tcBorders>
              <w:top w:val="nil"/>
              <w:left w:val="nil"/>
              <w:bottom w:val="nil"/>
              <w:right w:val="nil"/>
            </w:tcBorders>
          </w:tcPr>
          <w:p w14:paraId="63FBCB65" w14:textId="46ABF0BA" w:rsidR="000413C4" w:rsidRPr="00FB3AD2" w:rsidRDefault="000413C4" w:rsidP="000413C4">
            <w:pPr>
              <w:rPr>
                <w:b/>
                <w:sz w:val="18"/>
                <w:szCs w:val="18"/>
              </w:rPr>
            </w:pPr>
          </w:p>
        </w:tc>
      </w:tr>
      <w:tr w:rsidR="0070081A" w:rsidRPr="00DA3E2F" w14:paraId="6B22B19C" w14:textId="77777777" w:rsidTr="005F5B4C">
        <w:trPr>
          <w:cantSplit/>
          <w:trHeight w:val="23"/>
        </w:trPr>
        <w:tc>
          <w:tcPr>
            <w:tcW w:w="510" w:type="pct"/>
            <w:tcBorders>
              <w:top w:val="nil"/>
              <w:left w:val="single" w:sz="2" w:space="0" w:color="auto"/>
              <w:bottom w:val="nil"/>
              <w:right w:val="single" w:sz="2" w:space="0" w:color="auto"/>
            </w:tcBorders>
          </w:tcPr>
          <w:p w14:paraId="3AD0B6A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3FCC417" w14:textId="5A6EE91D"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Reversal of 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42FB9DDE" w14:textId="77777777" w:rsidR="000413C4" w:rsidRPr="00FB3AD2" w:rsidRDefault="000413C4" w:rsidP="000413C4">
            <w:pPr>
              <w:rPr>
                <w:b/>
                <w:sz w:val="18"/>
                <w:szCs w:val="18"/>
              </w:rPr>
            </w:pPr>
          </w:p>
        </w:tc>
        <w:tc>
          <w:tcPr>
            <w:tcW w:w="324" w:type="pct"/>
            <w:tcBorders>
              <w:top w:val="nil"/>
              <w:left w:val="nil"/>
              <w:bottom w:val="nil"/>
              <w:right w:val="nil"/>
            </w:tcBorders>
          </w:tcPr>
          <w:p w14:paraId="49E41CB3" w14:textId="77777777" w:rsidR="000413C4" w:rsidRPr="00FB3AD2" w:rsidRDefault="000413C4" w:rsidP="000413C4">
            <w:pPr>
              <w:rPr>
                <w:b/>
                <w:sz w:val="18"/>
                <w:szCs w:val="18"/>
              </w:rPr>
            </w:pPr>
          </w:p>
        </w:tc>
        <w:tc>
          <w:tcPr>
            <w:tcW w:w="462" w:type="pct"/>
            <w:tcBorders>
              <w:top w:val="nil"/>
              <w:left w:val="nil"/>
              <w:bottom w:val="nil"/>
              <w:right w:val="nil"/>
            </w:tcBorders>
          </w:tcPr>
          <w:p w14:paraId="4F2DCAB4" w14:textId="77777777" w:rsidR="000413C4" w:rsidRPr="00FB3AD2" w:rsidRDefault="000413C4" w:rsidP="000413C4">
            <w:pPr>
              <w:rPr>
                <w:b/>
                <w:sz w:val="18"/>
                <w:szCs w:val="18"/>
              </w:rPr>
            </w:pPr>
          </w:p>
        </w:tc>
        <w:tc>
          <w:tcPr>
            <w:tcW w:w="417" w:type="pct"/>
            <w:tcBorders>
              <w:top w:val="nil"/>
              <w:left w:val="nil"/>
              <w:bottom w:val="nil"/>
              <w:right w:val="nil"/>
            </w:tcBorders>
          </w:tcPr>
          <w:p w14:paraId="2AC646C4" w14:textId="77777777" w:rsidR="000413C4" w:rsidRPr="00FB3AD2" w:rsidRDefault="000413C4" w:rsidP="000413C4">
            <w:pPr>
              <w:rPr>
                <w:b/>
                <w:sz w:val="18"/>
                <w:szCs w:val="18"/>
              </w:rPr>
            </w:pPr>
          </w:p>
        </w:tc>
        <w:tc>
          <w:tcPr>
            <w:tcW w:w="509" w:type="pct"/>
            <w:tcBorders>
              <w:top w:val="nil"/>
              <w:left w:val="nil"/>
              <w:bottom w:val="nil"/>
              <w:right w:val="nil"/>
            </w:tcBorders>
          </w:tcPr>
          <w:p w14:paraId="7B2BEDB5" w14:textId="77777777" w:rsidR="000413C4" w:rsidRPr="00FB3AD2" w:rsidRDefault="000413C4" w:rsidP="000413C4">
            <w:pPr>
              <w:rPr>
                <w:b/>
                <w:sz w:val="18"/>
                <w:szCs w:val="18"/>
              </w:rPr>
            </w:pPr>
          </w:p>
        </w:tc>
        <w:tc>
          <w:tcPr>
            <w:tcW w:w="371" w:type="pct"/>
            <w:tcBorders>
              <w:top w:val="nil"/>
              <w:left w:val="nil"/>
              <w:bottom w:val="nil"/>
              <w:right w:val="nil"/>
            </w:tcBorders>
          </w:tcPr>
          <w:p w14:paraId="13958BD9" w14:textId="035BFE00" w:rsidR="000413C4" w:rsidRPr="00FB3AD2" w:rsidRDefault="000413C4" w:rsidP="000413C4">
            <w:pPr>
              <w:rPr>
                <w:b/>
                <w:sz w:val="18"/>
                <w:szCs w:val="18"/>
              </w:rPr>
            </w:pPr>
          </w:p>
        </w:tc>
      </w:tr>
      <w:tr w:rsidR="0070081A" w:rsidRPr="00DA3E2F" w14:paraId="2F453E06" w14:textId="77777777" w:rsidTr="005F5B4C">
        <w:trPr>
          <w:cantSplit/>
          <w:trHeight w:val="23"/>
        </w:trPr>
        <w:tc>
          <w:tcPr>
            <w:tcW w:w="510" w:type="pct"/>
            <w:tcBorders>
              <w:top w:val="nil"/>
              <w:left w:val="single" w:sz="2" w:space="0" w:color="auto"/>
              <w:bottom w:val="nil"/>
              <w:right w:val="single" w:sz="2" w:space="0" w:color="auto"/>
            </w:tcBorders>
          </w:tcPr>
          <w:p w14:paraId="0544FD16" w14:textId="5991E25E" w:rsidR="0070081A"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42ADF654" w14:textId="5BEB1AF1" w:rsidR="0070081A" w:rsidRPr="00FB3AD2" w:rsidRDefault="0070081A" w:rsidP="0070081A">
            <w:pPr>
              <w:spacing w:after="40"/>
              <w:rPr>
                <w:sz w:val="18"/>
                <w:szCs w:val="18"/>
              </w:rPr>
            </w:pPr>
            <w:r w:rsidRPr="00FB3AD2">
              <w:rPr>
                <w:sz w:val="18"/>
                <w:szCs w:val="18"/>
              </w:rPr>
              <w:t>Gains/(</w:t>
            </w:r>
            <w:r w:rsidR="00B35DD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26CFDD58" w14:textId="77777777" w:rsidR="0070081A" w:rsidRPr="00FB3AD2" w:rsidRDefault="0070081A" w:rsidP="000413C4">
            <w:pPr>
              <w:rPr>
                <w:b/>
                <w:sz w:val="18"/>
                <w:szCs w:val="18"/>
              </w:rPr>
            </w:pPr>
          </w:p>
        </w:tc>
        <w:tc>
          <w:tcPr>
            <w:tcW w:w="324" w:type="pct"/>
            <w:tcBorders>
              <w:top w:val="nil"/>
              <w:left w:val="nil"/>
              <w:bottom w:val="nil"/>
              <w:right w:val="nil"/>
            </w:tcBorders>
          </w:tcPr>
          <w:p w14:paraId="0F6B30DE" w14:textId="77777777" w:rsidR="0070081A" w:rsidRPr="00FB3AD2" w:rsidRDefault="0070081A" w:rsidP="000413C4">
            <w:pPr>
              <w:rPr>
                <w:b/>
                <w:sz w:val="18"/>
                <w:szCs w:val="18"/>
              </w:rPr>
            </w:pPr>
          </w:p>
        </w:tc>
        <w:tc>
          <w:tcPr>
            <w:tcW w:w="462" w:type="pct"/>
            <w:tcBorders>
              <w:top w:val="nil"/>
              <w:left w:val="nil"/>
              <w:bottom w:val="nil"/>
              <w:right w:val="nil"/>
            </w:tcBorders>
          </w:tcPr>
          <w:p w14:paraId="1E3E7B75" w14:textId="77777777" w:rsidR="0070081A" w:rsidRPr="00FB3AD2" w:rsidRDefault="0070081A" w:rsidP="000413C4">
            <w:pPr>
              <w:rPr>
                <w:b/>
                <w:sz w:val="18"/>
                <w:szCs w:val="18"/>
              </w:rPr>
            </w:pPr>
          </w:p>
        </w:tc>
        <w:tc>
          <w:tcPr>
            <w:tcW w:w="417" w:type="pct"/>
            <w:tcBorders>
              <w:top w:val="nil"/>
              <w:left w:val="nil"/>
              <w:bottom w:val="nil"/>
              <w:right w:val="nil"/>
            </w:tcBorders>
          </w:tcPr>
          <w:p w14:paraId="5E1303EE" w14:textId="77777777" w:rsidR="0070081A" w:rsidRPr="00FB3AD2" w:rsidRDefault="0070081A" w:rsidP="000413C4">
            <w:pPr>
              <w:rPr>
                <w:b/>
                <w:sz w:val="18"/>
                <w:szCs w:val="18"/>
              </w:rPr>
            </w:pPr>
          </w:p>
        </w:tc>
        <w:tc>
          <w:tcPr>
            <w:tcW w:w="509" w:type="pct"/>
            <w:tcBorders>
              <w:top w:val="nil"/>
              <w:left w:val="nil"/>
              <w:bottom w:val="nil"/>
              <w:right w:val="nil"/>
            </w:tcBorders>
          </w:tcPr>
          <w:p w14:paraId="1A8AA5CB" w14:textId="77777777" w:rsidR="0070081A" w:rsidRPr="00FB3AD2" w:rsidRDefault="0070081A" w:rsidP="000413C4">
            <w:pPr>
              <w:rPr>
                <w:b/>
                <w:sz w:val="18"/>
                <w:szCs w:val="18"/>
              </w:rPr>
            </w:pPr>
          </w:p>
        </w:tc>
        <w:tc>
          <w:tcPr>
            <w:tcW w:w="371" w:type="pct"/>
            <w:tcBorders>
              <w:top w:val="nil"/>
              <w:left w:val="nil"/>
              <w:bottom w:val="nil"/>
              <w:right w:val="nil"/>
            </w:tcBorders>
          </w:tcPr>
          <w:p w14:paraId="5407188A" w14:textId="77777777" w:rsidR="0070081A" w:rsidRPr="00FB3AD2" w:rsidRDefault="0070081A" w:rsidP="000413C4">
            <w:pPr>
              <w:rPr>
                <w:b/>
                <w:sz w:val="18"/>
                <w:szCs w:val="18"/>
              </w:rPr>
            </w:pPr>
          </w:p>
        </w:tc>
      </w:tr>
      <w:tr w:rsidR="0070081A" w:rsidRPr="00DA3E2F" w14:paraId="00A4BE5B" w14:textId="77777777" w:rsidTr="005F5B4C">
        <w:trPr>
          <w:cantSplit/>
          <w:trHeight w:val="23"/>
        </w:trPr>
        <w:tc>
          <w:tcPr>
            <w:tcW w:w="510" w:type="pct"/>
            <w:tcBorders>
              <w:top w:val="nil"/>
              <w:left w:val="single" w:sz="2" w:space="0" w:color="auto"/>
              <w:bottom w:val="nil"/>
              <w:right w:val="single" w:sz="2" w:space="0" w:color="auto"/>
            </w:tcBorders>
          </w:tcPr>
          <w:p w14:paraId="75243082"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865E4D7" w14:textId="0DE52803" w:rsidR="0070081A" w:rsidRPr="00FB3AD2" w:rsidRDefault="00FA7C77" w:rsidP="003F5571">
            <w:pPr>
              <w:spacing w:after="40"/>
              <w:ind w:left="321" w:hanging="321"/>
              <w:rPr>
                <w:sz w:val="18"/>
                <w:szCs w:val="18"/>
              </w:rPr>
            </w:pPr>
            <w:r>
              <w:rPr>
                <w:sz w:val="18"/>
                <w:szCs w:val="18"/>
              </w:rPr>
              <w:t xml:space="preserve">  </w:t>
            </w:r>
            <w:r w:rsidR="0070081A" w:rsidRPr="00FB3AD2">
              <w:rPr>
                <w:sz w:val="18"/>
                <w:szCs w:val="18"/>
              </w:rPr>
              <w:t xml:space="preserve"> - Revaluation increments/(decrements) recognised in</w:t>
            </w:r>
            <w:r w:rsidR="003F5571" w:rsidRPr="00FB3AD2">
              <w:rPr>
                <w:sz w:val="18"/>
                <w:szCs w:val="18"/>
              </w:rPr>
              <w:t xml:space="preserve"> </w:t>
            </w:r>
            <w:r w:rsidR="0070081A" w:rsidRPr="00FB3AD2">
              <w:rPr>
                <w:sz w:val="18"/>
                <w:szCs w:val="18"/>
              </w:rPr>
              <w:t>Other Comprehensive Income</w:t>
            </w:r>
          </w:p>
        </w:tc>
        <w:tc>
          <w:tcPr>
            <w:tcW w:w="325" w:type="pct"/>
            <w:tcBorders>
              <w:top w:val="nil"/>
              <w:left w:val="nil"/>
              <w:bottom w:val="nil"/>
              <w:right w:val="nil"/>
            </w:tcBorders>
          </w:tcPr>
          <w:p w14:paraId="4808B817" w14:textId="77777777" w:rsidR="0070081A" w:rsidRPr="00FB3AD2" w:rsidRDefault="0070081A" w:rsidP="000413C4">
            <w:pPr>
              <w:rPr>
                <w:b/>
                <w:sz w:val="18"/>
                <w:szCs w:val="18"/>
              </w:rPr>
            </w:pPr>
          </w:p>
        </w:tc>
        <w:tc>
          <w:tcPr>
            <w:tcW w:w="324" w:type="pct"/>
            <w:tcBorders>
              <w:top w:val="nil"/>
              <w:left w:val="nil"/>
              <w:bottom w:val="nil"/>
              <w:right w:val="nil"/>
            </w:tcBorders>
          </w:tcPr>
          <w:p w14:paraId="118B15BD" w14:textId="77777777" w:rsidR="0070081A" w:rsidRPr="00FB3AD2" w:rsidRDefault="0070081A" w:rsidP="000413C4">
            <w:pPr>
              <w:rPr>
                <w:b/>
                <w:sz w:val="18"/>
                <w:szCs w:val="18"/>
              </w:rPr>
            </w:pPr>
          </w:p>
        </w:tc>
        <w:tc>
          <w:tcPr>
            <w:tcW w:w="462" w:type="pct"/>
            <w:tcBorders>
              <w:top w:val="nil"/>
              <w:left w:val="nil"/>
              <w:bottom w:val="nil"/>
              <w:right w:val="nil"/>
            </w:tcBorders>
          </w:tcPr>
          <w:p w14:paraId="1FCD9CCC" w14:textId="77777777" w:rsidR="0070081A" w:rsidRPr="00FB3AD2" w:rsidRDefault="0070081A" w:rsidP="000413C4">
            <w:pPr>
              <w:rPr>
                <w:b/>
                <w:sz w:val="18"/>
                <w:szCs w:val="18"/>
              </w:rPr>
            </w:pPr>
          </w:p>
        </w:tc>
        <w:tc>
          <w:tcPr>
            <w:tcW w:w="417" w:type="pct"/>
            <w:tcBorders>
              <w:top w:val="nil"/>
              <w:left w:val="nil"/>
              <w:bottom w:val="nil"/>
              <w:right w:val="nil"/>
            </w:tcBorders>
          </w:tcPr>
          <w:p w14:paraId="2E050D3C" w14:textId="77777777" w:rsidR="0070081A" w:rsidRPr="00FB3AD2" w:rsidRDefault="0070081A" w:rsidP="000413C4">
            <w:pPr>
              <w:rPr>
                <w:b/>
                <w:sz w:val="18"/>
                <w:szCs w:val="18"/>
              </w:rPr>
            </w:pPr>
          </w:p>
        </w:tc>
        <w:tc>
          <w:tcPr>
            <w:tcW w:w="509" w:type="pct"/>
            <w:tcBorders>
              <w:top w:val="nil"/>
              <w:left w:val="nil"/>
              <w:bottom w:val="nil"/>
              <w:right w:val="nil"/>
            </w:tcBorders>
          </w:tcPr>
          <w:p w14:paraId="12D98972" w14:textId="77777777" w:rsidR="0070081A" w:rsidRPr="00FB3AD2" w:rsidRDefault="0070081A" w:rsidP="000413C4">
            <w:pPr>
              <w:rPr>
                <w:b/>
                <w:sz w:val="18"/>
                <w:szCs w:val="18"/>
              </w:rPr>
            </w:pPr>
          </w:p>
        </w:tc>
        <w:tc>
          <w:tcPr>
            <w:tcW w:w="371" w:type="pct"/>
            <w:tcBorders>
              <w:top w:val="nil"/>
              <w:left w:val="nil"/>
              <w:bottom w:val="nil"/>
              <w:right w:val="nil"/>
            </w:tcBorders>
          </w:tcPr>
          <w:p w14:paraId="3E7A9B4D" w14:textId="77777777" w:rsidR="0070081A" w:rsidRPr="00FB3AD2" w:rsidRDefault="0070081A" w:rsidP="000413C4">
            <w:pPr>
              <w:rPr>
                <w:b/>
                <w:sz w:val="18"/>
                <w:szCs w:val="18"/>
              </w:rPr>
            </w:pPr>
          </w:p>
        </w:tc>
      </w:tr>
      <w:tr w:rsidR="0070081A" w:rsidRPr="00DA3E2F" w14:paraId="0FE3CC1F" w14:textId="77777777" w:rsidTr="005F5B4C">
        <w:trPr>
          <w:cantSplit/>
          <w:trHeight w:val="23"/>
        </w:trPr>
        <w:tc>
          <w:tcPr>
            <w:tcW w:w="510" w:type="pct"/>
            <w:tcBorders>
              <w:top w:val="nil"/>
              <w:left w:val="single" w:sz="2" w:space="0" w:color="auto"/>
              <w:bottom w:val="nil"/>
              <w:right w:val="single" w:sz="2" w:space="0" w:color="auto"/>
            </w:tcBorders>
          </w:tcPr>
          <w:p w14:paraId="553AC2C1"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4E4BF1" w14:textId="245B018F" w:rsidR="0070081A" w:rsidRPr="00FB3AD2" w:rsidRDefault="00FA7C77" w:rsidP="0070081A">
            <w:pPr>
              <w:spacing w:after="40"/>
              <w:rPr>
                <w:sz w:val="18"/>
                <w:szCs w:val="18"/>
              </w:rPr>
            </w:pPr>
            <w:r>
              <w:rPr>
                <w:sz w:val="18"/>
                <w:szCs w:val="18"/>
              </w:rPr>
              <w:t xml:space="preserve">  </w:t>
            </w:r>
            <w:r w:rsidR="0070081A" w:rsidRPr="00FB3AD2">
              <w:rPr>
                <w:sz w:val="18"/>
                <w:szCs w:val="18"/>
              </w:rPr>
              <w:t xml:space="preserve"> - Impairment Losses Recognised in Other Comprehensive Income</w:t>
            </w:r>
          </w:p>
        </w:tc>
        <w:tc>
          <w:tcPr>
            <w:tcW w:w="325" w:type="pct"/>
            <w:tcBorders>
              <w:top w:val="nil"/>
              <w:left w:val="nil"/>
              <w:bottom w:val="nil"/>
              <w:right w:val="nil"/>
            </w:tcBorders>
          </w:tcPr>
          <w:p w14:paraId="38C4309F" w14:textId="77777777" w:rsidR="0070081A" w:rsidRPr="00FB3AD2" w:rsidRDefault="0070081A" w:rsidP="000413C4">
            <w:pPr>
              <w:rPr>
                <w:b/>
                <w:sz w:val="18"/>
                <w:szCs w:val="18"/>
              </w:rPr>
            </w:pPr>
          </w:p>
        </w:tc>
        <w:tc>
          <w:tcPr>
            <w:tcW w:w="324" w:type="pct"/>
            <w:tcBorders>
              <w:top w:val="nil"/>
              <w:left w:val="nil"/>
              <w:bottom w:val="nil"/>
              <w:right w:val="nil"/>
            </w:tcBorders>
          </w:tcPr>
          <w:p w14:paraId="598A15F5" w14:textId="77777777" w:rsidR="0070081A" w:rsidRPr="00FB3AD2" w:rsidRDefault="0070081A" w:rsidP="000413C4">
            <w:pPr>
              <w:rPr>
                <w:b/>
                <w:sz w:val="18"/>
                <w:szCs w:val="18"/>
              </w:rPr>
            </w:pPr>
          </w:p>
        </w:tc>
        <w:tc>
          <w:tcPr>
            <w:tcW w:w="462" w:type="pct"/>
            <w:tcBorders>
              <w:top w:val="nil"/>
              <w:left w:val="nil"/>
              <w:bottom w:val="nil"/>
              <w:right w:val="nil"/>
            </w:tcBorders>
          </w:tcPr>
          <w:p w14:paraId="21793BD0" w14:textId="77777777" w:rsidR="0070081A" w:rsidRPr="00FB3AD2" w:rsidRDefault="0070081A" w:rsidP="000413C4">
            <w:pPr>
              <w:rPr>
                <w:b/>
                <w:sz w:val="18"/>
                <w:szCs w:val="18"/>
              </w:rPr>
            </w:pPr>
          </w:p>
        </w:tc>
        <w:tc>
          <w:tcPr>
            <w:tcW w:w="417" w:type="pct"/>
            <w:tcBorders>
              <w:top w:val="nil"/>
              <w:left w:val="nil"/>
              <w:bottom w:val="nil"/>
              <w:right w:val="nil"/>
            </w:tcBorders>
          </w:tcPr>
          <w:p w14:paraId="42F84BF1" w14:textId="77777777" w:rsidR="0070081A" w:rsidRPr="00FB3AD2" w:rsidRDefault="0070081A" w:rsidP="000413C4">
            <w:pPr>
              <w:rPr>
                <w:b/>
                <w:sz w:val="18"/>
                <w:szCs w:val="18"/>
              </w:rPr>
            </w:pPr>
          </w:p>
        </w:tc>
        <w:tc>
          <w:tcPr>
            <w:tcW w:w="509" w:type="pct"/>
            <w:tcBorders>
              <w:top w:val="nil"/>
              <w:left w:val="nil"/>
              <w:bottom w:val="nil"/>
              <w:right w:val="nil"/>
            </w:tcBorders>
          </w:tcPr>
          <w:p w14:paraId="4A862AED" w14:textId="77777777" w:rsidR="0070081A" w:rsidRPr="00FB3AD2" w:rsidRDefault="0070081A" w:rsidP="000413C4">
            <w:pPr>
              <w:rPr>
                <w:b/>
                <w:sz w:val="18"/>
                <w:szCs w:val="18"/>
              </w:rPr>
            </w:pPr>
          </w:p>
        </w:tc>
        <w:tc>
          <w:tcPr>
            <w:tcW w:w="371" w:type="pct"/>
            <w:tcBorders>
              <w:top w:val="nil"/>
              <w:left w:val="nil"/>
              <w:bottom w:val="nil"/>
              <w:right w:val="nil"/>
            </w:tcBorders>
          </w:tcPr>
          <w:p w14:paraId="18299FCA" w14:textId="77777777" w:rsidR="0070081A" w:rsidRPr="00FB3AD2" w:rsidRDefault="0070081A" w:rsidP="000413C4">
            <w:pPr>
              <w:rPr>
                <w:b/>
                <w:sz w:val="18"/>
                <w:szCs w:val="18"/>
              </w:rPr>
            </w:pPr>
          </w:p>
        </w:tc>
      </w:tr>
      <w:tr w:rsidR="0070081A" w:rsidRPr="00DA3E2F" w14:paraId="46F09AF6" w14:textId="77777777" w:rsidTr="005F5B4C">
        <w:trPr>
          <w:cantSplit/>
          <w:trHeight w:val="23"/>
        </w:trPr>
        <w:tc>
          <w:tcPr>
            <w:tcW w:w="510" w:type="pct"/>
            <w:tcBorders>
              <w:top w:val="nil"/>
              <w:left w:val="single" w:sz="2" w:space="0" w:color="auto"/>
              <w:bottom w:val="nil"/>
              <w:right w:val="single" w:sz="2" w:space="0" w:color="auto"/>
            </w:tcBorders>
          </w:tcPr>
          <w:p w14:paraId="5FAF2A2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DF1D28B" w14:textId="383D9A6C" w:rsidR="000413C4" w:rsidRPr="00FB3AD2" w:rsidRDefault="000413C4" w:rsidP="000413C4">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2127024E" w14:textId="77777777" w:rsidR="000413C4" w:rsidRPr="00FB3AD2" w:rsidRDefault="000413C4" w:rsidP="000413C4">
            <w:pPr>
              <w:rPr>
                <w:b/>
                <w:sz w:val="18"/>
                <w:szCs w:val="18"/>
              </w:rPr>
            </w:pPr>
          </w:p>
        </w:tc>
        <w:tc>
          <w:tcPr>
            <w:tcW w:w="324" w:type="pct"/>
            <w:tcBorders>
              <w:top w:val="nil"/>
              <w:left w:val="nil"/>
              <w:bottom w:val="single" w:sz="2" w:space="0" w:color="auto"/>
              <w:right w:val="nil"/>
            </w:tcBorders>
          </w:tcPr>
          <w:p w14:paraId="70901BB6" w14:textId="77777777" w:rsidR="000413C4" w:rsidRPr="00FB3AD2" w:rsidRDefault="000413C4" w:rsidP="000413C4">
            <w:pPr>
              <w:rPr>
                <w:b/>
                <w:sz w:val="18"/>
                <w:szCs w:val="18"/>
              </w:rPr>
            </w:pPr>
          </w:p>
        </w:tc>
        <w:tc>
          <w:tcPr>
            <w:tcW w:w="462" w:type="pct"/>
            <w:tcBorders>
              <w:top w:val="nil"/>
              <w:left w:val="nil"/>
              <w:bottom w:val="single" w:sz="2" w:space="0" w:color="auto"/>
              <w:right w:val="nil"/>
            </w:tcBorders>
          </w:tcPr>
          <w:p w14:paraId="638409DB" w14:textId="77777777" w:rsidR="000413C4" w:rsidRPr="00FB3AD2" w:rsidRDefault="000413C4" w:rsidP="000413C4">
            <w:pPr>
              <w:rPr>
                <w:b/>
                <w:sz w:val="18"/>
                <w:szCs w:val="18"/>
              </w:rPr>
            </w:pPr>
          </w:p>
        </w:tc>
        <w:tc>
          <w:tcPr>
            <w:tcW w:w="417" w:type="pct"/>
            <w:tcBorders>
              <w:top w:val="nil"/>
              <w:left w:val="nil"/>
              <w:bottom w:val="single" w:sz="2" w:space="0" w:color="auto"/>
              <w:right w:val="nil"/>
            </w:tcBorders>
          </w:tcPr>
          <w:p w14:paraId="5B7AF065" w14:textId="77777777" w:rsidR="000413C4" w:rsidRPr="00FB3AD2" w:rsidRDefault="000413C4" w:rsidP="000413C4">
            <w:pPr>
              <w:rPr>
                <w:b/>
                <w:sz w:val="18"/>
                <w:szCs w:val="18"/>
              </w:rPr>
            </w:pPr>
          </w:p>
        </w:tc>
        <w:tc>
          <w:tcPr>
            <w:tcW w:w="509" w:type="pct"/>
            <w:tcBorders>
              <w:top w:val="nil"/>
              <w:left w:val="nil"/>
              <w:bottom w:val="single" w:sz="2" w:space="0" w:color="auto"/>
              <w:right w:val="nil"/>
            </w:tcBorders>
          </w:tcPr>
          <w:p w14:paraId="65618EE7" w14:textId="77777777" w:rsidR="000413C4" w:rsidRPr="00FB3AD2" w:rsidRDefault="000413C4" w:rsidP="000413C4">
            <w:pPr>
              <w:rPr>
                <w:b/>
                <w:sz w:val="18"/>
                <w:szCs w:val="18"/>
              </w:rPr>
            </w:pPr>
          </w:p>
        </w:tc>
        <w:tc>
          <w:tcPr>
            <w:tcW w:w="371" w:type="pct"/>
            <w:tcBorders>
              <w:top w:val="nil"/>
              <w:left w:val="nil"/>
              <w:bottom w:val="single" w:sz="2" w:space="0" w:color="auto"/>
              <w:right w:val="nil"/>
            </w:tcBorders>
          </w:tcPr>
          <w:p w14:paraId="16654ABB" w14:textId="5F4B434B" w:rsidR="000413C4" w:rsidRPr="00FB3AD2" w:rsidRDefault="000413C4" w:rsidP="000413C4">
            <w:pPr>
              <w:rPr>
                <w:b/>
                <w:sz w:val="18"/>
                <w:szCs w:val="18"/>
              </w:rPr>
            </w:pPr>
          </w:p>
        </w:tc>
      </w:tr>
      <w:tr w:rsidR="0070081A" w:rsidRPr="00DA3E2F" w14:paraId="0D037CDD" w14:textId="77777777" w:rsidTr="005F5B4C">
        <w:trPr>
          <w:cantSplit/>
          <w:trHeight w:val="23"/>
        </w:trPr>
        <w:tc>
          <w:tcPr>
            <w:tcW w:w="510" w:type="pct"/>
            <w:tcBorders>
              <w:top w:val="nil"/>
              <w:left w:val="single" w:sz="2" w:space="0" w:color="auto"/>
              <w:bottom w:val="nil"/>
              <w:right w:val="single" w:sz="2" w:space="0" w:color="auto"/>
            </w:tcBorders>
          </w:tcPr>
          <w:p w14:paraId="32FF2715" w14:textId="4D40C393"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18B1AE3" w14:textId="6DDC938C" w:rsidR="000413C4" w:rsidRPr="00FB3AD2" w:rsidRDefault="000413C4" w:rsidP="000413C4">
            <w:pPr>
              <w:spacing w:after="40"/>
              <w:rPr>
                <w:sz w:val="18"/>
                <w:szCs w:val="18"/>
              </w:rPr>
            </w:pPr>
            <w:r w:rsidRPr="00FB3AD2">
              <w:rPr>
                <w:b/>
                <w:sz w:val="18"/>
                <w:szCs w:val="18"/>
              </w:rPr>
              <w:t xml:space="preserve">Fair Value at </w:t>
            </w:r>
            <w:r w:rsidR="00E23F3D" w:rsidRPr="00FB3AD2">
              <w:rPr>
                <w:b/>
                <w:sz w:val="18"/>
                <w:szCs w:val="18"/>
              </w:rPr>
              <w:t xml:space="preserve">the </w:t>
            </w:r>
            <w:r w:rsidRPr="00FB3AD2">
              <w:rPr>
                <w:b/>
                <w:sz w:val="18"/>
                <w:szCs w:val="18"/>
              </w:rPr>
              <w:t>End of the Reporting Period</w:t>
            </w:r>
          </w:p>
        </w:tc>
        <w:tc>
          <w:tcPr>
            <w:tcW w:w="325" w:type="pct"/>
            <w:tcBorders>
              <w:top w:val="single" w:sz="2" w:space="0" w:color="auto"/>
              <w:left w:val="nil"/>
              <w:bottom w:val="double" w:sz="4" w:space="0" w:color="auto"/>
              <w:right w:val="nil"/>
            </w:tcBorders>
          </w:tcPr>
          <w:p w14:paraId="50932A2A" w14:textId="77777777" w:rsidR="000413C4" w:rsidRPr="00FB3AD2" w:rsidRDefault="000413C4" w:rsidP="000413C4">
            <w:pPr>
              <w:rPr>
                <w:b/>
                <w:sz w:val="18"/>
                <w:szCs w:val="18"/>
              </w:rPr>
            </w:pPr>
          </w:p>
        </w:tc>
        <w:tc>
          <w:tcPr>
            <w:tcW w:w="324" w:type="pct"/>
            <w:tcBorders>
              <w:top w:val="single" w:sz="2" w:space="0" w:color="auto"/>
              <w:left w:val="nil"/>
              <w:bottom w:val="double" w:sz="4" w:space="0" w:color="auto"/>
              <w:right w:val="nil"/>
            </w:tcBorders>
          </w:tcPr>
          <w:p w14:paraId="38C573D6" w14:textId="77777777" w:rsidR="000413C4" w:rsidRPr="00FB3AD2" w:rsidRDefault="000413C4" w:rsidP="000413C4">
            <w:pPr>
              <w:rPr>
                <w:b/>
                <w:sz w:val="18"/>
                <w:szCs w:val="18"/>
              </w:rPr>
            </w:pPr>
          </w:p>
        </w:tc>
        <w:tc>
          <w:tcPr>
            <w:tcW w:w="462" w:type="pct"/>
            <w:tcBorders>
              <w:top w:val="single" w:sz="2" w:space="0" w:color="auto"/>
              <w:left w:val="nil"/>
              <w:bottom w:val="double" w:sz="4" w:space="0" w:color="auto"/>
              <w:right w:val="nil"/>
            </w:tcBorders>
          </w:tcPr>
          <w:p w14:paraId="09F9B13C" w14:textId="77777777" w:rsidR="000413C4" w:rsidRPr="00FB3AD2" w:rsidRDefault="000413C4" w:rsidP="000413C4">
            <w:pPr>
              <w:rPr>
                <w:b/>
                <w:sz w:val="18"/>
                <w:szCs w:val="18"/>
              </w:rPr>
            </w:pPr>
          </w:p>
        </w:tc>
        <w:tc>
          <w:tcPr>
            <w:tcW w:w="417" w:type="pct"/>
            <w:tcBorders>
              <w:top w:val="single" w:sz="2" w:space="0" w:color="auto"/>
              <w:left w:val="nil"/>
              <w:bottom w:val="double" w:sz="4" w:space="0" w:color="auto"/>
              <w:right w:val="nil"/>
            </w:tcBorders>
          </w:tcPr>
          <w:p w14:paraId="4B111221" w14:textId="77777777" w:rsidR="000413C4" w:rsidRPr="00FB3AD2" w:rsidRDefault="000413C4" w:rsidP="000413C4">
            <w:pPr>
              <w:rPr>
                <w:b/>
                <w:sz w:val="18"/>
                <w:szCs w:val="18"/>
              </w:rPr>
            </w:pPr>
          </w:p>
        </w:tc>
        <w:tc>
          <w:tcPr>
            <w:tcW w:w="509" w:type="pct"/>
            <w:tcBorders>
              <w:top w:val="single" w:sz="2" w:space="0" w:color="auto"/>
              <w:left w:val="nil"/>
              <w:bottom w:val="double" w:sz="4" w:space="0" w:color="auto"/>
              <w:right w:val="nil"/>
            </w:tcBorders>
          </w:tcPr>
          <w:p w14:paraId="1A7D6643" w14:textId="77777777" w:rsidR="000413C4" w:rsidRPr="00FB3AD2" w:rsidRDefault="000413C4" w:rsidP="000413C4">
            <w:pPr>
              <w:rPr>
                <w:b/>
                <w:sz w:val="18"/>
                <w:szCs w:val="18"/>
              </w:rPr>
            </w:pPr>
          </w:p>
        </w:tc>
        <w:tc>
          <w:tcPr>
            <w:tcW w:w="371" w:type="pct"/>
            <w:tcBorders>
              <w:top w:val="single" w:sz="2" w:space="0" w:color="auto"/>
              <w:left w:val="nil"/>
              <w:bottom w:val="double" w:sz="4" w:space="0" w:color="auto"/>
              <w:right w:val="nil"/>
            </w:tcBorders>
          </w:tcPr>
          <w:p w14:paraId="68F152D4" w14:textId="6AB41B04" w:rsidR="000413C4" w:rsidRPr="00FB3AD2" w:rsidRDefault="000413C4" w:rsidP="000413C4">
            <w:pPr>
              <w:rPr>
                <w:b/>
                <w:sz w:val="18"/>
                <w:szCs w:val="18"/>
              </w:rPr>
            </w:pPr>
          </w:p>
        </w:tc>
      </w:tr>
      <w:tr w:rsidR="00C85383" w:rsidRPr="00DA3E2F" w14:paraId="63D74B92" w14:textId="77777777" w:rsidTr="005F5B4C">
        <w:trPr>
          <w:cantSplit/>
          <w:trHeight w:val="23"/>
        </w:trPr>
        <w:tc>
          <w:tcPr>
            <w:tcW w:w="510" w:type="pct"/>
            <w:tcBorders>
              <w:top w:val="nil"/>
              <w:left w:val="single" w:sz="2" w:space="0" w:color="auto"/>
              <w:bottom w:val="nil"/>
              <w:right w:val="single" w:sz="2" w:space="0" w:color="auto"/>
            </w:tcBorders>
          </w:tcPr>
          <w:p w14:paraId="5300C473" w14:textId="6A483D92"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5F7D4545" w14:textId="663B550F"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3738579B" w14:textId="0785AB7B" w:rsidR="003262FD" w:rsidRDefault="003262FD"/>
    <w:p w14:paraId="2E103CD1" w14:textId="177F3715" w:rsidR="003262FD" w:rsidRDefault="003262FD">
      <w:r>
        <w:br w:type="page"/>
      </w: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2A0724" w:rsidRPr="00775965" w14:paraId="380F107E"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07A6CB66" w14:textId="77777777" w:rsidR="002A0724" w:rsidRPr="00FB3AD2" w:rsidRDefault="002A0724" w:rsidP="009A0F2F">
            <w:pPr>
              <w:pStyle w:val="TableReference"/>
              <w:tabs>
                <w:tab w:val="left" w:pos="3306"/>
              </w:tabs>
              <w:spacing w:before="120" w:after="240"/>
              <w:rPr>
                <w:rFonts w:cs="Calibri"/>
                <w:b/>
                <w:color w:val="7030A0"/>
                <w:sz w:val="22"/>
                <w:szCs w:val="22"/>
              </w:rPr>
            </w:pPr>
            <w:r w:rsidRPr="00FB3AD2">
              <w:rPr>
                <w:color w:val="7030A0"/>
              </w:rPr>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4D5C5B9" w14:textId="04F286BC" w:rsidR="002A0724" w:rsidRPr="00F73636" w:rsidRDefault="002A0724" w:rsidP="009A0F2F">
            <w:pPr>
              <w:spacing w:before="120" w:after="240"/>
              <w:rPr>
                <w:b/>
              </w:rPr>
            </w:pPr>
            <w:r w:rsidRPr="00FB3AD2">
              <w:rPr>
                <w:rFonts w:ascii="Arial Bold" w:hAnsi="Arial Bold" w:cs="Arial"/>
                <w:b/>
                <w:caps/>
                <w:sz w:val="32"/>
                <w:szCs w:val="32"/>
              </w:rPr>
              <w:t>Note 19.</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2A0724" w:rsidRPr="00DA3E2F" w14:paraId="2BB88AEA"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34F873C9"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3A7EC0D5" w14:textId="77777777" w:rsidR="002A0724" w:rsidRPr="00006A2C" w:rsidRDefault="002A0724" w:rsidP="009A0F2F">
            <w:pPr>
              <w:rPr>
                <w:b/>
                <w:sz w:val="16"/>
                <w:highlight w:val="yellow"/>
              </w:rPr>
            </w:pPr>
            <w:r w:rsidRPr="00DA3E2F">
              <w:rPr>
                <w:b/>
                <w:sz w:val="18"/>
                <w:szCs w:val="18"/>
              </w:rPr>
              <w:t>Fair Value Measurements using Significant Unobservable Inputs (Level 3)</w:t>
            </w:r>
          </w:p>
        </w:tc>
      </w:tr>
      <w:tr w:rsidR="002A0724" w:rsidRPr="00DA3E2F" w14:paraId="7D72A04B" w14:textId="77777777" w:rsidTr="005F5B4C">
        <w:trPr>
          <w:cantSplit/>
          <w:trHeight w:val="23"/>
        </w:trPr>
        <w:tc>
          <w:tcPr>
            <w:tcW w:w="510" w:type="pct"/>
            <w:tcBorders>
              <w:top w:val="nil"/>
              <w:left w:val="single" w:sz="2" w:space="0" w:color="auto"/>
              <w:bottom w:val="nil"/>
              <w:right w:val="single" w:sz="2" w:space="0" w:color="auto"/>
            </w:tcBorders>
          </w:tcPr>
          <w:p w14:paraId="61B5FD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DBEED89" w14:textId="77777777" w:rsidR="002A0724" w:rsidRPr="00FB3AD2" w:rsidRDefault="002A0724" w:rsidP="009A0F2F">
            <w:pPr>
              <w:rPr>
                <w:b/>
                <w:sz w:val="18"/>
                <w:szCs w:val="18"/>
              </w:rPr>
            </w:pPr>
          </w:p>
        </w:tc>
        <w:tc>
          <w:tcPr>
            <w:tcW w:w="325" w:type="pct"/>
            <w:tcBorders>
              <w:top w:val="nil"/>
              <w:left w:val="nil"/>
              <w:bottom w:val="nil"/>
              <w:right w:val="nil"/>
            </w:tcBorders>
            <w:vAlign w:val="bottom"/>
          </w:tcPr>
          <w:p w14:paraId="40AB651B" w14:textId="77777777" w:rsidR="002A0724" w:rsidRPr="00FB3AD2" w:rsidRDefault="002A0724" w:rsidP="009A0F2F">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0A528977" w14:textId="77777777" w:rsidR="002A0724" w:rsidRPr="00FB3AD2" w:rsidRDefault="002A0724" w:rsidP="009A0F2F">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1B7046BE" w14:textId="77777777" w:rsidR="002A0724" w:rsidRPr="00FB3AD2" w:rsidRDefault="002A0724" w:rsidP="009A0F2F">
            <w:pPr>
              <w:jc w:val="right"/>
              <w:rPr>
                <w:b/>
                <w:sz w:val="18"/>
                <w:szCs w:val="18"/>
              </w:rPr>
            </w:pPr>
            <w:r w:rsidRPr="00FB3AD2">
              <w:rPr>
                <w:b/>
                <w:sz w:val="18"/>
                <w:szCs w:val="18"/>
              </w:rPr>
              <w:t>Leasehold</w:t>
            </w:r>
          </w:p>
          <w:p w14:paraId="3D569674" w14:textId="77777777" w:rsidR="002A0724" w:rsidRPr="00FB3AD2" w:rsidRDefault="002A0724" w:rsidP="009A0F2F">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3DD6B928" w14:textId="77777777" w:rsidR="002A0724" w:rsidRPr="00FB3AD2" w:rsidRDefault="002A0724" w:rsidP="009A0F2F">
            <w:pPr>
              <w:jc w:val="right"/>
              <w:rPr>
                <w:b/>
                <w:sz w:val="18"/>
                <w:szCs w:val="18"/>
              </w:rPr>
            </w:pPr>
            <w:r w:rsidRPr="00FB3AD2">
              <w:rPr>
                <w:b/>
                <w:sz w:val="18"/>
                <w:szCs w:val="18"/>
              </w:rPr>
              <w:t>Infrastructure</w:t>
            </w:r>
          </w:p>
          <w:p w14:paraId="718A0546" w14:textId="77777777" w:rsidR="002A0724" w:rsidRPr="00FB3AD2" w:rsidRDefault="002A0724" w:rsidP="009A0F2F">
            <w:pPr>
              <w:jc w:val="right"/>
              <w:rPr>
                <w:b/>
                <w:sz w:val="18"/>
                <w:szCs w:val="18"/>
              </w:rPr>
            </w:pPr>
            <w:r w:rsidRPr="00FB3AD2">
              <w:rPr>
                <w:b/>
                <w:sz w:val="18"/>
                <w:szCs w:val="18"/>
              </w:rPr>
              <w:t>Assets</w:t>
            </w:r>
          </w:p>
        </w:tc>
        <w:tc>
          <w:tcPr>
            <w:tcW w:w="509" w:type="pct"/>
            <w:tcBorders>
              <w:top w:val="nil"/>
              <w:left w:val="nil"/>
              <w:bottom w:val="nil"/>
              <w:right w:val="nil"/>
            </w:tcBorders>
          </w:tcPr>
          <w:p w14:paraId="56F95526" w14:textId="63D973C7" w:rsidR="002A0724" w:rsidRPr="00FB3AD2" w:rsidRDefault="005408A6" w:rsidP="009A0F2F">
            <w:pPr>
              <w:jc w:val="right"/>
              <w:rPr>
                <w:b/>
                <w:sz w:val="18"/>
                <w:szCs w:val="18"/>
              </w:rPr>
            </w:pPr>
            <w:r w:rsidRPr="005408A6">
              <w:rPr>
                <w:b/>
                <w:strike/>
                <w:color w:val="FF0000"/>
                <w:sz w:val="18"/>
                <w:szCs w:val="18"/>
              </w:rPr>
              <w:t>Community and</w:t>
            </w:r>
            <w:r w:rsidRPr="005408A6">
              <w:rPr>
                <w:b/>
                <w:color w:val="FF0000"/>
                <w:sz w:val="18"/>
                <w:szCs w:val="18"/>
              </w:rPr>
              <w:t xml:space="preserve"> </w:t>
            </w:r>
            <w:r w:rsidRPr="00FB3AD2">
              <w:rPr>
                <w:b/>
                <w:sz w:val="18"/>
                <w:szCs w:val="18"/>
              </w:rPr>
              <w:t xml:space="preserve">Heritage </w:t>
            </w:r>
            <w:r w:rsidRPr="005408A6">
              <w:rPr>
                <w:b/>
                <w:bCs/>
                <w:color w:val="FF0000"/>
                <w:sz w:val="18"/>
                <w:szCs w:val="18"/>
              </w:rPr>
              <w:t>and Community</w:t>
            </w:r>
          </w:p>
        </w:tc>
        <w:tc>
          <w:tcPr>
            <w:tcW w:w="371" w:type="pct"/>
            <w:tcBorders>
              <w:top w:val="nil"/>
              <w:left w:val="nil"/>
              <w:bottom w:val="nil"/>
              <w:right w:val="nil"/>
            </w:tcBorders>
            <w:vAlign w:val="bottom"/>
          </w:tcPr>
          <w:p w14:paraId="3644836C" w14:textId="77777777" w:rsidR="002A0724" w:rsidRPr="00FB3AD2" w:rsidRDefault="002A0724" w:rsidP="009A0F2F">
            <w:pPr>
              <w:jc w:val="right"/>
              <w:rPr>
                <w:b/>
                <w:sz w:val="18"/>
                <w:szCs w:val="18"/>
              </w:rPr>
            </w:pPr>
            <w:r w:rsidRPr="00FB3AD2">
              <w:rPr>
                <w:b/>
                <w:sz w:val="18"/>
                <w:szCs w:val="18"/>
              </w:rPr>
              <w:t>Total</w:t>
            </w:r>
          </w:p>
        </w:tc>
      </w:tr>
      <w:tr w:rsidR="002A0724" w:rsidRPr="00DA3E2F" w14:paraId="656E78B5" w14:textId="77777777" w:rsidTr="005F5B4C">
        <w:trPr>
          <w:cantSplit/>
          <w:trHeight w:val="23"/>
        </w:trPr>
        <w:tc>
          <w:tcPr>
            <w:tcW w:w="510" w:type="pct"/>
            <w:tcBorders>
              <w:top w:val="nil"/>
              <w:left w:val="single" w:sz="2" w:space="0" w:color="auto"/>
              <w:bottom w:val="nil"/>
              <w:right w:val="single" w:sz="2" w:space="0" w:color="auto"/>
            </w:tcBorders>
          </w:tcPr>
          <w:p w14:paraId="317C6A3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D02808B" w14:textId="77777777" w:rsidR="002A0724" w:rsidRPr="00FB3AD2" w:rsidRDefault="002A0724" w:rsidP="009A0F2F">
            <w:pPr>
              <w:rPr>
                <w:b/>
                <w:sz w:val="18"/>
                <w:szCs w:val="18"/>
              </w:rPr>
            </w:pPr>
          </w:p>
        </w:tc>
        <w:tc>
          <w:tcPr>
            <w:tcW w:w="325" w:type="pct"/>
            <w:tcBorders>
              <w:top w:val="nil"/>
              <w:left w:val="nil"/>
              <w:bottom w:val="nil"/>
              <w:right w:val="nil"/>
            </w:tcBorders>
          </w:tcPr>
          <w:p w14:paraId="340A0474" w14:textId="77777777" w:rsidR="002A0724" w:rsidRPr="00FB3AD2" w:rsidRDefault="002A0724" w:rsidP="009A0F2F">
            <w:pPr>
              <w:jc w:val="right"/>
              <w:rPr>
                <w:b/>
                <w:sz w:val="18"/>
                <w:szCs w:val="18"/>
              </w:rPr>
            </w:pPr>
            <w:r w:rsidRPr="00FB3AD2">
              <w:rPr>
                <w:b/>
                <w:sz w:val="18"/>
                <w:szCs w:val="18"/>
              </w:rPr>
              <w:t>$’000</w:t>
            </w:r>
          </w:p>
        </w:tc>
        <w:tc>
          <w:tcPr>
            <w:tcW w:w="324" w:type="pct"/>
            <w:tcBorders>
              <w:top w:val="nil"/>
              <w:left w:val="nil"/>
              <w:bottom w:val="nil"/>
              <w:right w:val="nil"/>
            </w:tcBorders>
          </w:tcPr>
          <w:p w14:paraId="7F599334" w14:textId="77777777" w:rsidR="002A0724" w:rsidRPr="00FB3AD2" w:rsidRDefault="002A0724" w:rsidP="009A0F2F">
            <w:pPr>
              <w:jc w:val="right"/>
              <w:rPr>
                <w:b/>
                <w:sz w:val="18"/>
                <w:szCs w:val="18"/>
              </w:rPr>
            </w:pPr>
            <w:r w:rsidRPr="00FB3AD2">
              <w:rPr>
                <w:b/>
                <w:sz w:val="18"/>
                <w:szCs w:val="18"/>
              </w:rPr>
              <w:t>$’000</w:t>
            </w:r>
          </w:p>
        </w:tc>
        <w:tc>
          <w:tcPr>
            <w:tcW w:w="462" w:type="pct"/>
            <w:tcBorders>
              <w:top w:val="nil"/>
              <w:left w:val="nil"/>
              <w:bottom w:val="nil"/>
              <w:right w:val="nil"/>
            </w:tcBorders>
          </w:tcPr>
          <w:p w14:paraId="2A713385" w14:textId="77777777" w:rsidR="002A0724" w:rsidRPr="00FB3AD2" w:rsidRDefault="002A0724" w:rsidP="009A0F2F">
            <w:pPr>
              <w:jc w:val="right"/>
              <w:rPr>
                <w:b/>
                <w:sz w:val="18"/>
                <w:szCs w:val="18"/>
              </w:rPr>
            </w:pPr>
            <w:r w:rsidRPr="00FB3AD2">
              <w:rPr>
                <w:b/>
                <w:sz w:val="18"/>
                <w:szCs w:val="18"/>
              </w:rPr>
              <w:t>$’000</w:t>
            </w:r>
          </w:p>
        </w:tc>
        <w:tc>
          <w:tcPr>
            <w:tcW w:w="417" w:type="pct"/>
            <w:tcBorders>
              <w:top w:val="nil"/>
              <w:left w:val="nil"/>
              <w:bottom w:val="nil"/>
              <w:right w:val="nil"/>
            </w:tcBorders>
          </w:tcPr>
          <w:p w14:paraId="53D23215" w14:textId="77777777" w:rsidR="002A0724" w:rsidRPr="00FB3AD2" w:rsidRDefault="002A0724" w:rsidP="009A0F2F">
            <w:pPr>
              <w:jc w:val="right"/>
              <w:rPr>
                <w:b/>
                <w:sz w:val="18"/>
                <w:szCs w:val="18"/>
              </w:rPr>
            </w:pPr>
            <w:r w:rsidRPr="00FB3AD2">
              <w:rPr>
                <w:b/>
                <w:sz w:val="18"/>
                <w:szCs w:val="18"/>
              </w:rPr>
              <w:t>$’000</w:t>
            </w:r>
          </w:p>
        </w:tc>
        <w:tc>
          <w:tcPr>
            <w:tcW w:w="509" w:type="pct"/>
            <w:tcBorders>
              <w:top w:val="nil"/>
              <w:left w:val="nil"/>
              <w:bottom w:val="nil"/>
              <w:right w:val="nil"/>
            </w:tcBorders>
          </w:tcPr>
          <w:p w14:paraId="41D83562" w14:textId="77777777" w:rsidR="002A0724" w:rsidRPr="00FB3AD2" w:rsidRDefault="002A0724" w:rsidP="009A0F2F">
            <w:pPr>
              <w:jc w:val="right"/>
              <w:rPr>
                <w:b/>
                <w:sz w:val="18"/>
                <w:szCs w:val="18"/>
              </w:rPr>
            </w:pPr>
            <w:r w:rsidRPr="00FB3AD2">
              <w:rPr>
                <w:b/>
                <w:sz w:val="18"/>
                <w:szCs w:val="18"/>
              </w:rPr>
              <w:t>$’000</w:t>
            </w:r>
          </w:p>
        </w:tc>
        <w:tc>
          <w:tcPr>
            <w:tcW w:w="371" w:type="pct"/>
            <w:tcBorders>
              <w:top w:val="nil"/>
              <w:left w:val="nil"/>
              <w:bottom w:val="nil"/>
              <w:right w:val="nil"/>
            </w:tcBorders>
          </w:tcPr>
          <w:p w14:paraId="1E84BDB5" w14:textId="77777777" w:rsidR="002A0724" w:rsidRPr="00FB3AD2" w:rsidRDefault="002A0724" w:rsidP="009A0F2F">
            <w:pPr>
              <w:jc w:val="right"/>
              <w:rPr>
                <w:b/>
                <w:sz w:val="18"/>
                <w:szCs w:val="18"/>
              </w:rPr>
            </w:pPr>
            <w:r w:rsidRPr="00FB3AD2">
              <w:rPr>
                <w:b/>
                <w:sz w:val="18"/>
                <w:szCs w:val="18"/>
              </w:rPr>
              <w:t>$’000</w:t>
            </w:r>
          </w:p>
        </w:tc>
      </w:tr>
      <w:tr w:rsidR="002A0724" w:rsidRPr="00DA3E2F" w14:paraId="5F427B23" w14:textId="77777777" w:rsidTr="005F5B4C">
        <w:trPr>
          <w:cantSplit/>
          <w:trHeight w:val="23"/>
        </w:trPr>
        <w:tc>
          <w:tcPr>
            <w:tcW w:w="510" w:type="pct"/>
            <w:tcBorders>
              <w:top w:val="nil"/>
              <w:left w:val="single" w:sz="2" w:space="0" w:color="auto"/>
              <w:bottom w:val="nil"/>
              <w:right w:val="single" w:sz="2" w:space="0" w:color="auto"/>
            </w:tcBorders>
          </w:tcPr>
          <w:p w14:paraId="5A199B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3633557" w14:textId="7CE6AA2F" w:rsidR="002A0724" w:rsidRPr="00FB3AD2" w:rsidRDefault="002A0724" w:rsidP="009A0F2F">
            <w:pPr>
              <w:spacing w:after="40"/>
              <w:rPr>
                <w:b/>
                <w:sz w:val="18"/>
                <w:szCs w:val="18"/>
              </w:rPr>
            </w:pPr>
            <w:r w:rsidRPr="00FB3AD2">
              <w:rPr>
                <w:rFonts w:cs="Calibri"/>
                <w:b/>
                <w:bCs/>
                <w:sz w:val="18"/>
                <w:szCs w:val="18"/>
              </w:rPr>
              <w:t>202</w:t>
            </w:r>
            <w:r w:rsidR="0057550F">
              <w:rPr>
                <w:rFonts w:cs="Calibri"/>
                <w:b/>
                <w:bCs/>
                <w:sz w:val="18"/>
                <w:szCs w:val="18"/>
              </w:rPr>
              <w:t>2</w:t>
            </w:r>
          </w:p>
        </w:tc>
        <w:tc>
          <w:tcPr>
            <w:tcW w:w="325" w:type="pct"/>
            <w:tcBorders>
              <w:top w:val="nil"/>
              <w:left w:val="nil"/>
              <w:bottom w:val="nil"/>
              <w:right w:val="nil"/>
            </w:tcBorders>
          </w:tcPr>
          <w:p w14:paraId="30020739" w14:textId="77777777" w:rsidR="002A0724" w:rsidRPr="00FB3AD2" w:rsidRDefault="002A0724" w:rsidP="009A0F2F">
            <w:pPr>
              <w:jc w:val="right"/>
              <w:rPr>
                <w:b/>
                <w:sz w:val="16"/>
              </w:rPr>
            </w:pPr>
          </w:p>
        </w:tc>
        <w:tc>
          <w:tcPr>
            <w:tcW w:w="324" w:type="pct"/>
            <w:tcBorders>
              <w:top w:val="nil"/>
              <w:left w:val="nil"/>
              <w:bottom w:val="nil"/>
              <w:right w:val="nil"/>
            </w:tcBorders>
          </w:tcPr>
          <w:p w14:paraId="58DBED86" w14:textId="77777777" w:rsidR="002A0724" w:rsidRPr="00FB3AD2" w:rsidRDefault="002A0724" w:rsidP="009A0F2F">
            <w:pPr>
              <w:jc w:val="right"/>
              <w:rPr>
                <w:b/>
                <w:sz w:val="16"/>
              </w:rPr>
            </w:pPr>
          </w:p>
        </w:tc>
        <w:tc>
          <w:tcPr>
            <w:tcW w:w="462" w:type="pct"/>
            <w:tcBorders>
              <w:top w:val="nil"/>
              <w:left w:val="nil"/>
              <w:bottom w:val="nil"/>
              <w:right w:val="nil"/>
            </w:tcBorders>
          </w:tcPr>
          <w:p w14:paraId="08340307" w14:textId="77777777" w:rsidR="002A0724" w:rsidRPr="00FB3AD2" w:rsidRDefault="002A0724" w:rsidP="009A0F2F">
            <w:pPr>
              <w:jc w:val="right"/>
              <w:rPr>
                <w:b/>
                <w:sz w:val="16"/>
              </w:rPr>
            </w:pPr>
          </w:p>
        </w:tc>
        <w:tc>
          <w:tcPr>
            <w:tcW w:w="417" w:type="pct"/>
            <w:tcBorders>
              <w:top w:val="nil"/>
              <w:left w:val="nil"/>
              <w:bottom w:val="nil"/>
              <w:right w:val="nil"/>
            </w:tcBorders>
          </w:tcPr>
          <w:p w14:paraId="4E64D2BF" w14:textId="77777777" w:rsidR="002A0724" w:rsidRPr="00FB3AD2" w:rsidRDefault="002A0724" w:rsidP="009A0F2F">
            <w:pPr>
              <w:jc w:val="right"/>
              <w:rPr>
                <w:b/>
                <w:sz w:val="16"/>
              </w:rPr>
            </w:pPr>
          </w:p>
        </w:tc>
        <w:tc>
          <w:tcPr>
            <w:tcW w:w="509" w:type="pct"/>
            <w:tcBorders>
              <w:top w:val="nil"/>
              <w:left w:val="nil"/>
              <w:bottom w:val="nil"/>
              <w:right w:val="nil"/>
            </w:tcBorders>
          </w:tcPr>
          <w:p w14:paraId="0CF5D3DD" w14:textId="77777777" w:rsidR="002A0724" w:rsidRPr="00FB3AD2" w:rsidRDefault="002A0724" w:rsidP="009A0F2F">
            <w:pPr>
              <w:jc w:val="right"/>
              <w:rPr>
                <w:b/>
                <w:sz w:val="16"/>
              </w:rPr>
            </w:pPr>
          </w:p>
        </w:tc>
        <w:tc>
          <w:tcPr>
            <w:tcW w:w="371" w:type="pct"/>
            <w:tcBorders>
              <w:top w:val="nil"/>
              <w:left w:val="nil"/>
              <w:bottom w:val="nil"/>
              <w:right w:val="nil"/>
            </w:tcBorders>
          </w:tcPr>
          <w:p w14:paraId="4DCD7D08" w14:textId="77777777" w:rsidR="002A0724" w:rsidRPr="00FB3AD2" w:rsidRDefault="002A0724" w:rsidP="009A0F2F">
            <w:pPr>
              <w:jc w:val="right"/>
              <w:rPr>
                <w:b/>
                <w:sz w:val="16"/>
              </w:rPr>
            </w:pPr>
          </w:p>
        </w:tc>
      </w:tr>
      <w:tr w:rsidR="002A0724" w:rsidRPr="00DA3E2F" w14:paraId="29601D51" w14:textId="77777777" w:rsidTr="005F5B4C">
        <w:trPr>
          <w:cantSplit/>
          <w:trHeight w:val="23"/>
        </w:trPr>
        <w:tc>
          <w:tcPr>
            <w:tcW w:w="510" w:type="pct"/>
            <w:tcBorders>
              <w:top w:val="nil"/>
              <w:left w:val="single" w:sz="2" w:space="0" w:color="auto"/>
              <w:bottom w:val="nil"/>
              <w:right w:val="single" w:sz="2" w:space="0" w:color="auto"/>
            </w:tcBorders>
          </w:tcPr>
          <w:p w14:paraId="147AE8C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3FCAF7" w14:textId="77777777" w:rsidR="002A0724" w:rsidRPr="00FB3AD2" w:rsidRDefault="002A0724" w:rsidP="009A0F2F">
            <w:pPr>
              <w:spacing w:after="40"/>
              <w:rPr>
                <w:b/>
                <w:sz w:val="18"/>
                <w:szCs w:val="18"/>
              </w:rPr>
            </w:pPr>
            <w:r w:rsidRPr="00FB3AD2">
              <w:rPr>
                <w:sz w:val="18"/>
                <w:szCs w:val="18"/>
              </w:rPr>
              <w:t>Fair Value at the Beginning of the Reporting Period</w:t>
            </w:r>
          </w:p>
        </w:tc>
        <w:tc>
          <w:tcPr>
            <w:tcW w:w="325" w:type="pct"/>
            <w:tcBorders>
              <w:top w:val="nil"/>
              <w:left w:val="nil"/>
              <w:bottom w:val="nil"/>
              <w:right w:val="nil"/>
            </w:tcBorders>
          </w:tcPr>
          <w:p w14:paraId="0C5A4EEF" w14:textId="77777777" w:rsidR="002A0724" w:rsidRPr="00FB3AD2" w:rsidRDefault="002A0724" w:rsidP="009A0F2F">
            <w:pPr>
              <w:rPr>
                <w:b/>
                <w:sz w:val="18"/>
                <w:szCs w:val="18"/>
              </w:rPr>
            </w:pPr>
          </w:p>
        </w:tc>
        <w:tc>
          <w:tcPr>
            <w:tcW w:w="324" w:type="pct"/>
            <w:tcBorders>
              <w:top w:val="nil"/>
              <w:left w:val="nil"/>
              <w:bottom w:val="nil"/>
              <w:right w:val="nil"/>
            </w:tcBorders>
          </w:tcPr>
          <w:p w14:paraId="7F92DB32" w14:textId="77777777" w:rsidR="002A0724" w:rsidRPr="00FB3AD2" w:rsidRDefault="002A0724" w:rsidP="009A0F2F">
            <w:pPr>
              <w:rPr>
                <w:b/>
                <w:sz w:val="18"/>
                <w:szCs w:val="18"/>
              </w:rPr>
            </w:pPr>
          </w:p>
        </w:tc>
        <w:tc>
          <w:tcPr>
            <w:tcW w:w="462" w:type="pct"/>
            <w:tcBorders>
              <w:top w:val="nil"/>
              <w:left w:val="nil"/>
              <w:bottom w:val="nil"/>
              <w:right w:val="nil"/>
            </w:tcBorders>
          </w:tcPr>
          <w:p w14:paraId="3FF00C18" w14:textId="77777777" w:rsidR="002A0724" w:rsidRPr="00FB3AD2" w:rsidRDefault="002A0724" w:rsidP="009A0F2F">
            <w:pPr>
              <w:rPr>
                <w:b/>
                <w:sz w:val="18"/>
                <w:szCs w:val="18"/>
              </w:rPr>
            </w:pPr>
          </w:p>
        </w:tc>
        <w:tc>
          <w:tcPr>
            <w:tcW w:w="417" w:type="pct"/>
            <w:tcBorders>
              <w:top w:val="nil"/>
              <w:left w:val="nil"/>
              <w:bottom w:val="nil"/>
              <w:right w:val="nil"/>
            </w:tcBorders>
          </w:tcPr>
          <w:p w14:paraId="770CC32A" w14:textId="77777777" w:rsidR="002A0724" w:rsidRPr="00FB3AD2" w:rsidRDefault="002A0724" w:rsidP="009A0F2F">
            <w:pPr>
              <w:rPr>
                <w:b/>
                <w:sz w:val="18"/>
                <w:szCs w:val="18"/>
              </w:rPr>
            </w:pPr>
          </w:p>
        </w:tc>
        <w:tc>
          <w:tcPr>
            <w:tcW w:w="509" w:type="pct"/>
            <w:tcBorders>
              <w:top w:val="nil"/>
              <w:left w:val="nil"/>
              <w:bottom w:val="nil"/>
              <w:right w:val="nil"/>
            </w:tcBorders>
          </w:tcPr>
          <w:p w14:paraId="3FA82947" w14:textId="77777777" w:rsidR="002A0724" w:rsidRPr="00FB3AD2" w:rsidRDefault="002A0724" w:rsidP="009A0F2F">
            <w:pPr>
              <w:rPr>
                <w:b/>
                <w:sz w:val="18"/>
                <w:szCs w:val="18"/>
              </w:rPr>
            </w:pPr>
          </w:p>
        </w:tc>
        <w:tc>
          <w:tcPr>
            <w:tcW w:w="371" w:type="pct"/>
            <w:tcBorders>
              <w:top w:val="nil"/>
              <w:left w:val="nil"/>
              <w:bottom w:val="nil"/>
              <w:right w:val="nil"/>
            </w:tcBorders>
          </w:tcPr>
          <w:p w14:paraId="31446EEC" w14:textId="77777777" w:rsidR="002A0724" w:rsidRPr="00FB3AD2" w:rsidRDefault="002A0724" w:rsidP="009A0F2F">
            <w:pPr>
              <w:rPr>
                <w:b/>
                <w:sz w:val="18"/>
                <w:szCs w:val="18"/>
              </w:rPr>
            </w:pPr>
          </w:p>
        </w:tc>
      </w:tr>
      <w:tr w:rsidR="002A0724" w:rsidRPr="00DA3E2F" w14:paraId="03A63908" w14:textId="77777777" w:rsidTr="005F5B4C">
        <w:trPr>
          <w:cantSplit/>
          <w:trHeight w:val="23"/>
        </w:trPr>
        <w:tc>
          <w:tcPr>
            <w:tcW w:w="510" w:type="pct"/>
            <w:tcBorders>
              <w:top w:val="nil"/>
              <w:left w:val="single" w:sz="2" w:space="0" w:color="auto"/>
              <w:bottom w:val="nil"/>
              <w:right w:val="single" w:sz="2" w:space="0" w:color="auto"/>
            </w:tcBorders>
          </w:tcPr>
          <w:p w14:paraId="67516E23"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9FB1A05" w14:textId="77777777" w:rsidR="002A0724" w:rsidRPr="00FB3AD2" w:rsidRDefault="002A0724" w:rsidP="009A0F2F">
            <w:pPr>
              <w:spacing w:after="40"/>
              <w:rPr>
                <w:b/>
                <w:sz w:val="18"/>
                <w:szCs w:val="18"/>
              </w:rPr>
            </w:pPr>
            <w:r w:rsidRPr="00FB3AD2">
              <w:rPr>
                <w:sz w:val="18"/>
                <w:szCs w:val="18"/>
              </w:rPr>
              <w:t>Additions</w:t>
            </w:r>
          </w:p>
        </w:tc>
        <w:tc>
          <w:tcPr>
            <w:tcW w:w="325" w:type="pct"/>
            <w:tcBorders>
              <w:top w:val="nil"/>
              <w:left w:val="nil"/>
              <w:bottom w:val="nil"/>
              <w:right w:val="nil"/>
            </w:tcBorders>
          </w:tcPr>
          <w:p w14:paraId="7121FB78" w14:textId="77777777" w:rsidR="002A0724" w:rsidRPr="00FB3AD2" w:rsidRDefault="002A0724" w:rsidP="009A0F2F">
            <w:pPr>
              <w:rPr>
                <w:b/>
                <w:sz w:val="18"/>
                <w:szCs w:val="18"/>
              </w:rPr>
            </w:pPr>
          </w:p>
        </w:tc>
        <w:tc>
          <w:tcPr>
            <w:tcW w:w="324" w:type="pct"/>
            <w:tcBorders>
              <w:top w:val="nil"/>
              <w:left w:val="nil"/>
              <w:bottom w:val="nil"/>
              <w:right w:val="nil"/>
            </w:tcBorders>
          </w:tcPr>
          <w:p w14:paraId="3FB919A3" w14:textId="77777777" w:rsidR="002A0724" w:rsidRPr="00FB3AD2" w:rsidRDefault="002A0724" w:rsidP="009A0F2F">
            <w:pPr>
              <w:rPr>
                <w:b/>
                <w:sz w:val="18"/>
                <w:szCs w:val="18"/>
              </w:rPr>
            </w:pPr>
          </w:p>
        </w:tc>
        <w:tc>
          <w:tcPr>
            <w:tcW w:w="462" w:type="pct"/>
            <w:tcBorders>
              <w:top w:val="nil"/>
              <w:left w:val="nil"/>
              <w:bottom w:val="nil"/>
              <w:right w:val="nil"/>
            </w:tcBorders>
          </w:tcPr>
          <w:p w14:paraId="3B19638C" w14:textId="77777777" w:rsidR="002A0724" w:rsidRPr="00FB3AD2" w:rsidRDefault="002A0724" w:rsidP="009A0F2F">
            <w:pPr>
              <w:rPr>
                <w:b/>
                <w:sz w:val="18"/>
                <w:szCs w:val="18"/>
              </w:rPr>
            </w:pPr>
          </w:p>
        </w:tc>
        <w:tc>
          <w:tcPr>
            <w:tcW w:w="417" w:type="pct"/>
            <w:tcBorders>
              <w:top w:val="nil"/>
              <w:left w:val="nil"/>
              <w:bottom w:val="nil"/>
              <w:right w:val="nil"/>
            </w:tcBorders>
          </w:tcPr>
          <w:p w14:paraId="580CC9D3" w14:textId="77777777" w:rsidR="002A0724" w:rsidRPr="00FB3AD2" w:rsidRDefault="002A0724" w:rsidP="009A0F2F">
            <w:pPr>
              <w:rPr>
                <w:b/>
                <w:sz w:val="18"/>
                <w:szCs w:val="18"/>
              </w:rPr>
            </w:pPr>
          </w:p>
        </w:tc>
        <w:tc>
          <w:tcPr>
            <w:tcW w:w="509" w:type="pct"/>
            <w:tcBorders>
              <w:top w:val="nil"/>
              <w:left w:val="nil"/>
              <w:bottom w:val="nil"/>
              <w:right w:val="nil"/>
            </w:tcBorders>
          </w:tcPr>
          <w:p w14:paraId="7DA786EE" w14:textId="77777777" w:rsidR="002A0724" w:rsidRPr="00FB3AD2" w:rsidRDefault="002A0724" w:rsidP="009A0F2F">
            <w:pPr>
              <w:rPr>
                <w:b/>
                <w:sz w:val="18"/>
                <w:szCs w:val="18"/>
              </w:rPr>
            </w:pPr>
          </w:p>
        </w:tc>
        <w:tc>
          <w:tcPr>
            <w:tcW w:w="371" w:type="pct"/>
            <w:tcBorders>
              <w:top w:val="nil"/>
              <w:left w:val="nil"/>
              <w:bottom w:val="nil"/>
              <w:right w:val="nil"/>
            </w:tcBorders>
          </w:tcPr>
          <w:p w14:paraId="1EF04C27" w14:textId="77777777" w:rsidR="002A0724" w:rsidRPr="00FB3AD2" w:rsidRDefault="002A0724" w:rsidP="009A0F2F">
            <w:pPr>
              <w:rPr>
                <w:b/>
                <w:sz w:val="18"/>
                <w:szCs w:val="18"/>
              </w:rPr>
            </w:pPr>
          </w:p>
        </w:tc>
      </w:tr>
      <w:tr w:rsidR="002A0724" w:rsidRPr="00DA3E2F" w14:paraId="49D1F68A" w14:textId="77777777" w:rsidTr="005F5B4C">
        <w:trPr>
          <w:cantSplit/>
          <w:trHeight w:val="23"/>
        </w:trPr>
        <w:tc>
          <w:tcPr>
            <w:tcW w:w="510" w:type="pct"/>
            <w:tcBorders>
              <w:top w:val="nil"/>
              <w:left w:val="single" w:sz="2" w:space="0" w:color="auto"/>
              <w:bottom w:val="nil"/>
              <w:right w:val="single" w:sz="2" w:space="0" w:color="auto"/>
            </w:tcBorders>
          </w:tcPr>
          <w:p w14:paraId="1AE698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B797510" w14:textId="77777777" w:rsidR="002A0724" w:rsidRPr="00FB3AD2" w:rsidRDefault="002A0724" w:rsidP="009A0F2F">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1D8C98DE" w14:textId="77777777" w:rsidR="002A0724" w:rsidRPr="00FB3AD2" w:rsidRDefault="002A0724" w:rsidP="009A0F2F">
            <w:pPr>
              <w:rPr>
                <w:b/>
                <w:sz w:val="18"/>
                <w:szCs w:val="18"/>
              </w:rPr>
            </w:pPr>
          </w:p>
        </w:tc>
        <w:tc>
          <w:tcPr>
            <w:tcW w:w="324" w:type="pct"/>
            <w:tcBorders>
              <w:top w:val="nil"/>
              <w:left w:val="nil"/>
              <w:bottom w:val="nil"/>
              <w:right w:val="nil"/>
            </w:tcBorders>
          </w:tcPr>
          <w:p w14:paraId="35D13D03" w14:textId="77777777" w:rsidR="002A0724" w:rsidRPr="00FB3AD2" w:rsidRDefault="002A0724" w:rsidP="009A0F2F">
            <w:pPr>
              <w:rPr>
                <w:b/>
                <w:sz w:val="18"/>
                <w:szCs w:val="18"/>
              </w:rPr>
            </w:pPr>
          </w:p>
        </w:tc>
        <w:tc>
          <w:tcPr>
            <w:tcW w:w="462" w:type="pct"/>
            <w:tcBorders>
              <w:top w:val="nil"/>
              <w:left w:val="nil"/>
              <w:bottom w:val="nil"/>
              <w:right w:val="nil"/>
            </w:tcBorders>
          </w:tcPr>
          <w:p w14:paraId="371E770E" w14:textId="77777777" w:rsidR="002A0724" w:rsidRPr="00FB3AD2" w:rsidRDefault="002A0724" w:rsidP="009A0F2F">
            <w:pPr>
              <w:rPr>
                <w:b/>
                <w:sz w:val="18"/>
                <w:szCs w:val="18"/>
              </w:rPr>
            </w:pPr>
          </w:p>
        </w:tc>
        <w:tc>
          <w:tcPr>
            <w:tcW w:w="417" w:type="pct"/>
            <w:tcBorders>
              <w:top w:val="nil"/>
              <w:left w:val="nil"/>
              <w:bottom w:val="nil"/>
              <w:right w:val="nil"/>
            </w:tcBorders>
          </w:tcPr>
          <w:p w14:paraId="26CA1B32" w14:textId="77777777" w:rsidR="002A0724" w:rsidRPr="00FB3AD2" w:rsidRDefault="002A0724" w:rsidP="009A0F2F">
            <w:pPr>
              <w:rPr>
                <w:b/>
                <w:sz w:val="18"/>
                <w:szCs w:val="18"/>
              </w:rPr>
            </w:pPr>
          </w:p>
        </w:tc>
        <w:tc>
          <w:tcPr>
            <w:tcW w:w="509" w:type="pct"/>
            <w:tcBorders>
              <w:top w:val="nil"/>
              <w:left w:val="nil"/>
              <w:bottom w:val="nil"/>
              <w:right w:val="nil"/>
            </w:tcBorders>
          </w:tcPr>
          <w:p w14:paraId="32820F1A" w14:textId="77777777" w:rsidR="002A0724" w:rsidRPr="00FB3AD2" w:rsidRDefault="002A0724" w:rsidP="009A0F2F">
            <w:pPr>
              <w:rPr>
                <w:b/>
                <w:sz w:val="18"/>
                <w:szCs w:val="18"/>
              </w:rPr>
            </w:pPr>
          </w:p>
        </w:tc>
        <w:tc>
          <w:tcPr>
            <w:tcW w:w="371" w:type="pct"/>
            <w:tcBorders>
              <w:top w:val="nil"/>
              <w:left w:val="nil"/>
              <w:bottom w:val="nil"/>
              <w:right w:val="nil"/>
            </w:tcBorders>
          </w:tcPr>
          <w:p w14:paraId="428A2C4A" w14:textId="77777777" w:rsidR="002A0724" w:rsidRPr="00FB3AD2" w:rsidRDefault="002A0724" w:rsidP="009A0F2F">
            <w:pPr>
              <w:rPr>
                <w:b/>
                <w:sz w:val="18"/>
                <w:szCs w:val="18"/>
              </w:rPr>
            </w:pPr>
          </w:p>
        </w:tc>
      </w:tr>
      <w:tr w:rsidR="002A0724" w:rsidRPr="00DA3E2F" w14:paraId="2ADAE214" w14:textId="77777777" w:rsidTr="005F5B4C">
        <w:trPr>
          <w:cantSplit/>
          <w:trHeight w:val="23"/>
        </w:trPr>
        <w:tc>
          <w:tcPr>
            <w:tcW w:w="510" w:type="pct"/>
            <w:tcBorders>
              <w:top w:val="nil"/>
              <w:left w:val="single" w:sz="2" w:space="0" w:color="auto"/>
              <w:bottom w:val="nil"/>
              <w:right w:val="single" w:sz="2" w:space="0" w:color="auto"/>
            </w:tcBorders>
          </w:tcPr>
          <w:p w14:paraId="514A07AE"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0158098" w14:textId="77777777" w:rsidR="002A0724" w:rsidRPr="00FB3AD2" w:rsidRDefault="002A0724" w:rsidP="009A0F2F">
            <w:pPr>
              <w:spacing w:after="40"/>
              <w:rPr>
                <w:b/>
                <w:sz w:val="18"/>
                <w:szCs w:val="18"/>
              </w:rPr>
            </w:pPr>
            <w:r w:rsidRPr="00FB3AD2">
              <w:rPr>
                <w:sz w:val="18"/>
                <w:szCs w:val="18"/>
              </w:rPr>
              <w:t>Depreciation</w:t>
            </w:r>
          </w:p>
        </w:tc>
        <w:tc>
          <w:tcPr>
            <w:tcW w:w="325" w:type="pct"/>
            <w:tcBorders>
              <w:top w:val="nil"/>
              <w:left w:val="nil"/>
              <w:bottom w:val="nil"/>
              <w:right w:val="nil"/>
            </w:tcBorders>
          </w:tcPr>
          <w:p w14:paraId="73F30DA6" w14:textId="77777777" w:rsidR="002A0724" w:rsidRPr="00FB3AD2" w:rsidRDefault="002A0724" w:rsidP="009A0F2F">
            <w:pPr>
              <w:rPr>
                <w:b/>
                <w:sz w:val="18"/>
                <w:szCs w:val="18"/>
              </w:rPr>
            </w:pPr>
          </w:p>
        </w:tc>
        <w:tc>
          <w:tcPr>
            <w:tcW w:w="324" w:type="pct"/>
            <w:tcBorders>
              <w:top w:val="nil"/>
              <w:left w:val="nil"/>
              <w:bottom w:val="nil"/>
              <w:right w:val="nil"/>
            </w:tcBorders>
          </w:tcPr>
          <w:p w14:paraId="4E5F8F9E" w14:textId="77777777" w:rsidR="002A0724" w:rsidRPr="00FB3AD2" w:rsidRDefault="002A0724" w:rsidP="009A0F2F">
            <w:pPr>
              <w:rPr>
                <w:b/>
                <w:sz w:val="18"/>
                <w:szCs w:val="18"/>
              </w:rPr>
            </w:pPr>
          </w:p>
        </w:tc>
        <w:tc>
          <w:tcPr>
            <w:tcW w:w="462" w:type="pct"/>
            <w:tcBorders>
              <w:top w:val="nil"/>
              <w:left w:val="nil"/>
              <w:bottom w:val="nil"/>
              <w:right w:val="nil"/>
            </w:tcBorders>
          </w:tcPr>
          <w:p w14:paraId="4315730B" w14:textId="77777777" w:rsidR="002A0724" w:rsidRPr="00FB3AD2" w:rsidRDefault="002A0724" w:rsidP="009A0F2F">
            <w:pPr>
              <w:rPr>
                <w:b/>
                <w:sz w:val="18"/>
                <w:szCs w:val="18"/>
              </w:rPr>
            </w:pPr>
          </w:p>
        </w:tc>
        <w:tc>
          <w:tcPr>
            <w:tcW w:w="417" w:type="pct"/>
            <w:tcBorders>
              <w:top w:val="nil"/>
              <w:left w:val="nil"/>
              <w:bottom w:val="nil"/>
              <w:right w:val="nil"/>
            </w:tcBorders>
          </w:tcPr>
          <w:p w14:paraId="28EB5440" w14:textId="77777777" w:rsidR="002A0724" w:rsidRPr="00FB3AD2" w:rsidRDefault="002A0724" w:rsidP="009A0F2F">
            <w:pPr>
              <w:rPr>
                <w:b/>
                <w:sz w:val="18"/>
                <w:szCs w:val="18"/>
              </w:rPr>
            </w:pPr>
          </w:p>
        </w:tc>
        <w:tc>
          <w:tcPr>
            <w:tcW w:w="509" w:type="pct"/>
            <w:tcBorders>
              <w:top w:val="nil"/>
              <w:left w:val="nil"/>
              <w:bottom w:val="nil"/>
              <w:right w:val="nil"/>
            </w:tcBorders>
          </w:tcPr>
          <w:p w14:paraId="670BDA43" w14:textId="77777777" w:rsidR="002A0724" w:rsidRPr="00FB3AD2" w:rsidRDefault="002A0724" w:rsidP="009A0F2F">
            <w:pPr>
              <w:rPr>
                <w:b/>
                <w:sz w:val="18"/>
                <w:szCs w:val="18"/>
              </w:rPr>
            </w:pPr>
          </w:p>
        </w:tc>
        <w:tc>
          <w:tcPr>
            <w:tcW w:w="371" w:type="pct"/>
            <w:tcBorders>
              <w:top w:val="nil"/>
              <w:left w:val="nil"/>
              <w:bottom w:val="nil"/>
              <w:right w:val="nil"/>
            </w:tcBorders>
          </w:tcPr>
          <w:p w14:paraId="4CC13353" w14:textId="77777777" w:rsidR="002A0724" w:rsidRPr="00FB3AD2" w:rsidRDefault="002A0724" w:rsidP="009A0F2F">
            <w:pPr>
              <w:rPr>
                <w:b/>
                <w:sz w:val="18"/>
                <w:szCs w:val="18"/>
              </w:rPr>
            </w:pPr>
          </w:p>
        </w:tc>
      </w:tr>
      <w:tr w:rsidR="002A0724" w:rsidRPr="00DA3E2F" w14:paraId="44D1ED93" w14:textId="77777777" w:rsidTr="005F5B4C">
        <w:trPr>
          <w:cantSplit/>
          <w:trHeight w:val="23"/>
        </w:trPr>
        <w:tc>
          <w:tcPr>
            <w:tcW w:w="510" w:type="pct"/>
            <w:tcBorders>
              <w:top w:val="nil"/>
              <w:left w:val="single" w:sz="2" w:space="0" w:color="auto"/>
              <w:bottom w:val="nil"/>
              <w:right w:val="single" w:sz="2" w:space="0" w:color="auto"/>
            </w:tcBorders>
          </w:tcPr>
          <w:p w14:paraId="2A1FD476"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2267960" w14:textId="35D318C6" w:rsidR="002A0724" w:rsidRPr="00FB3AD2" w:rsidRDefault="002A0724" w:rsidP="009A0F2F">
            <w:pPr>
              <w:spacing w:after="40"/>
              <w:rPr>
                <w:b/>
                <w:sz w:val="18"/>
                <w:szCs w:val="18"/>
              </w:rPr>
            </w:pPr>
            <w:r w:rsidRPr="00FB3AD2">
              <w:rPr>
                <w:sz w:val="18"/>
                <w:szCs w:val="18"/>
              </w:rPr>
              <w:t>Acquisition/(Disposal)</w:t>
            </w:r>
            <w:r w:rsidR="0078642F">
              <w:rPr>
                <w:sz w:val="18"/>
                <w:szCs w:val="18"/>
              </w:rPr>
              <w:t xml:space="preserve"> </w:t>
            </w:r>
            <w:r w:rsidRPr="00FB3AD2">
              <w:rPr>
                <w:sz w:val="18"/>
                <w:szCs w:val="18"/>
              </w:rPr>
              <w:t>through Administrative Restructuring</w:t>
            </w:r>
          </w:p>
        </w:tc>
        <w:tc>
          <w:tcPr>
            <w:tcW w:w="325" w:type="pct"/>
            <w:tcBorders>
              <w:top w:val="nil"/>
              <w:left w:val="nil"/>
              <w:bottom w:val="nil"/>
              <w:right w:val="nil"/>
            </w:tcBorders>
          </w:tcPr>
          <w:p w14:paraId="390B2ECB" w14:textId="77777777" w:rsidR="002A0724" w:rsidRPr="00FB3AD2" w:rsidRDefault="002A0724" w:rsidP="009A0F2F">
            <w:pPr>
              <w:rPr>
                <w:b/>
                <w:sz w:val="18"/>
                <w:szCs w:val="18"/>
              </w:rPr>
            </w:pPr>
          </w:p>
        </w:tc>
        <w:tc>
          <w:tcPr>
            <w:tcW w:w="324" w:type="pct"/>
            <w:tcBorders>
              <w:top w:val="nil"/>
              <w:left w:val="nil"/>
              <w:bottom w:val="nil"/>
              <w:right w:val="nil"/>
            </w:tcBorders>
          </w:tcPr>
          <w:p w14:paraId="7D0EF031" w14:textId="77777777" w:rsidR="002A0724" w:rsidRPr="00FB3AD2" w:rsidRDefault="002A0724" w:rsidP="009A0F2F">
            <w:pPr>
              <w:rPr>
                <w:b/>
                <w:sz w:val="18"/>
                <w:szCs w:val="18"/>
              </w:rPr>
            </w:pPr>
          </w:p>
        </w:tc>
        <w:tc>
          <w:tcPr>
            <w:tcW w:w="462" w:type="pct"/>
            <w:tcBorders>
              <w:top w:val="nil"/>
              <w:left w:val="nil"/>
              <w:bottom w:val="nil"/>
              <w:right w:val="nil"/>
            </w:tcBorders>
          </w:tcPr>
          <w:p w14:paraId="41218ED2" w14:textId="77777777" w:rsidR="002A0724" w:rsidRPr="00FB3AD2" w:rsidRDefault="002A0724" w:rsidP="009A0F2F">
            <w:pPr>
              <w:rPr>
                <w:b/>
                <w:sz w:val="18"/>
                <w:szCs w:val="18"/>
              </w:rPr>
            </w:pPr>
          </w:p>
        </w:tc>
        <w:tc>
          <w:tcPr>
            <w:tcW w:w="417" w:type="pct"/>
            <w:tcBorders>
              <w:top w:val="nil"/>
              <w:left w:val="nil"/>
              <w:bottom w:val="nil"/>
              <w:right w:val="nil"/>
            </w:tcBorders>
          </w:tcPr>
          <w:p w14:paraId="3F70F46B" w14:textId="77777777" w:rsidR="002A0724" w:rsidRPr="00FB3AD2" w:rsidRDefault="002A0724" w:rsidP="009A0F2F">
            <w:pPr>
              <w:rPr>
                <w:b/>
                <w:sz w:val="18"/>
                <w:szCs w:val="18"/>
              </w:rPr>
            </w:pPr>
          </w:p>
        </w:tc>
        <w:tc>
          <w:tcPr>
            <w:tcW w:w="509" w:type="pct"/>
            <w:tcBorders>
              <w:top w:val="nil"/>
              <w:left w:val="nil"/>
              <w:bottom w:val="nil"/>
              <w:right w:val="nil"/>
            </w:tcBorders>
          </w:tcPr>
          <w:p w14:paraId="6B5D7673" w14:textId="77777777" w:rsidR="002A0724" w:rsidRPr="00FB3AD2" w:rsidRDefault="002A0724" w:rsidP="009A0F2F">
            <w:pPr>
              <w:rPr>
                <w:b/>
                <w:sz w:val="18"/>
                <w:szCs w:val="18"/>
              </w:rPr>
            </w:pPr>
          </w:p>
        </w:tc>
        <w:tc>
          <w:tcPr>
            <w:tcW w:w="371" w:type="pct"/>
            <w:tcBorders>
              <w:top w:val="nil"/>
              <w:left w:val="nil"/>
              <w:bottom w:val="nil"/>
              <w:right w:val="nil"/>
            </w:tcBorders>
          </w:tcPr>
          <w:p w14:paraId="7B9601D9" w14:textId="77777777" w:rsidR="002A0724" w:rsidRPr="00FB3AD2" w:rsidRDefault="002A0724" w:rsidP="009A0F2F">
            <w:pPr>
              <w:rPr>
                <w:b/>
                <w:sz w:val="18"/>
                <w:szCs w:val="18"/>
              </w:rPr>
            </w:pPr>
          </w:p>
        </w:tc>
      </w:tr>
      <w:tr w:rsidR="002A0724" w:rsidRPr="00DA3E2F" w14:paraId="17EE34FE" w14:textId="77777777" w:rsidTr="005F5B4C">
        <w:trPr>
          <w:cantSplit/>
          <w:trHeight w:val="23"/>
        </w:trPr>
        <w:tc>
          <w:tcPr>
            <w:tcW w:w="510" w:type="pct"/>
            <w:tcBorders>
              <w:top w:val="nil"/>
              <w:left w:val="single" w:sz="2" w:space="0" w:color="auto"/>
              <w:bottom w:val="nil"/>
              <w:right w:val="single" w:sz="2" w:space="0" w:color="auto"/>
            </w:tcBorders>
          </w:tcPr>
          <w:p w14:paraId="4493F11A"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A953DF8" w14:textId="4AA2D954" w:rsidR="002A0724" w:rsidRPr="00FB3AD2" w:rsidRDefault="002A0724" w:rsidP="009A0F2F">
            <w:pPr>
              <w:spacing w:after="40"/>
              <w:rPr>
                <w:sz w:val="18"/>
                <w:szCs w:val="18"/>
              </w:rPr>
            </w:pPr>
            <w:r w:rsidRPr="00152C5D">
              <w:rPr>
                <w:sz w:val="18"/>
                <w:szCs w:val="18"/>
              </w:rPr>
              <w:t>Acquisition/</w:t>
            </w:r>
            <w:r w:rsidR="0078642F" w:rsidRPr="00152C5D">
              <w:rPr>
                <w:color w:val="FF0000"/>
                <w:sz w:val="18"/>
                <w:szCs w:val="18"/>
              </w:rPr>
              <w:t>(</w:t>
            </w:r>
            <w:r w:rsidRPr="00152C5D">
              <w:rPr>
                <w:sz w:val="18"/>
                <w:szCs w:val="18"/>
              </w:rPr>
              <w:t>Disposal</w:t>
            </w:r>
            <w:r w:rsidR="0078642F" w:rsidRPr="00152C5D">
              <w:rPr>
                <w:color w:val="FF0000"/>
                <w:sz w:val="18"/>
                <w:szCs w:val="18"/>
              </w:rPr>
              <w:t>)</w:t>
            </w:r>
            <w:r w:rsidRPr="00152C5D">
              <w:rPr>
                <w:sz w:val="18"/>
                <w:szCs w:val="18"/>
              </w:rPr>
              <w:t xml:space="preserve"> From</w:t>
            </w:r>
            <w:r w:rsidRPr="00FB3AD2">
              <w:rPr>
                <w:sz w:val="18"/>
                <w:szCs w:val="18"/>
              </w:rPr>
              <w:t xml:space="preserve"> Transfers</w:t>
            </w:r>
          </w:p>
        </w:tc>
        <w:tc>
          <w:tcPr>
            <w:tcW w:w="325" w:type="pct"/>
            <w:tcBorders>
              <w:top w:val="nil"/>
              <w:left w:val="nil"/>
              <w:bottom w:val="nil"/>
              <w:right w:val="nil"/>
            </w:tcBorders>
          </w:tcPr>
          <w:p w14:paraId="4A7756E4" w14:textId="77777777" w:rsidR="002A0724" w:rsidRPr="00FB3AD2" w:rsidRDefault="002A0724" w:rsidP="009A0F2F">
            <w:pPr>
              <w:rPr>
                <w:b/>
                <w:sz w:val="18"/>
                <w:szCs w:val="18"/>
              </w:rPr>
            </w:pPr>
          </w:p>
        </w:tc>
        <w:tc>
          <w:tcPr>
            <w:tcW w:w="324" w:type="pct"/>
            <w:tcBorders>
              <w:top w:val="nil"/>
              <w:left w:val="nil"/>
              <w:bottom w:val="nil"/>
              <w:right w:val="nil"/>
            </w:tcBorders>
          </w:tcPr>
          <w:p w14:paraId="5F4D5626" w14:textId="77777777" w:rsidR="002A0724" w:rsidRPr="00FB3AD2" w:rsidRDefault="002A0724" w:rsidP="009A0F2F">
            <w:pPr>
              <w:rPr>
                <w:b/>
                <w:sz w:val="18"/>
                <w:szCs w:val="18"/>
              </w:rPr>
            </w:pPr>
          </w:p>
        </w:tc>
        <w:tc>
          <w:tcPr>
            <w:tcW w:w="462" w:type="pct"/>
            <w:tcBorders>
              <w:top w:val="nil"/>
              <w:left w:val="nil"/>
              <w:bottom w:val="nil"/>
              <w:right w:val="nil"/>
            </w:tcBorders>
          </w:tcPr>
          <w:p w14:paraId="34EECA2B" w14:textId="77777777" w:rsidR="002A0724" w:rsidRPr="00FB3AD2" w:rsidRDefault="002A0724" w:rsidP="009A0F2F">
            <w:pPr>
              <w:rPr>
                <w:b/>
                <w:sz w:val="18"/>
                <w:szCs w:val="18"/>
              </w:rPr>
            </w:pPr>
          </w:p>
        </w:tc>
        <w:tc>
          <w:tcPr>
            <w:tcW w:w="417" w:type="pct"/>
            <w:tcBorders>
              <w:top w:val="nil"/>
              <w:left w:val="nil"/>
              <w:bottom w:val="nil"/>
              <w:right w:val="nil"/>
            </w:tcBorders>
          </w:tcPr>
          <w:p w14:paraId="47CEAFB5" w14:textId="77777777" w:rsidR="002A0724" w:rsidRPr="00FB3AD2" w:rsidRDefault="002A0724" w:rsidP="009A0F2F">
            <w:pPr>
              <w:rPr>
                <w:b/>
                <w:sz w:val="18"/>
                <w:szCs w:val="18"/>
              </w:rPr>
            </w:pPr>
          </w:p>
        </w:tc>
        <w:tc>
          <w:tcPr>
            <w:tcW w:w="509" w:type="pct"/>
            <w:tcBorders>
              <w:top w:val="nil"/>
              <w:left w:val="nil"/>
              <w:bottom w:val="nil"/>
              <w:right w:val="nil"/>
            </w:tcBorders>
          </w:tcPr>
          <w:p w14:paraId="5F3795A8" w14:textId="77777777" w:rsidR="002A0724" w:rsidRPr="00FB3AD2" w:rsidRDefault="002A0724" w:rsidP="009A0F2F">
            <w:pPr>
              <w:rPr>
                <w:b/>
                <w:sz w:val="18"/>
                <w:szCs w:val="18"/>
              </w:rPr>
            </w:pPr>
          </w:p>
        </w:tc>
        <w:tc>
          <w:tcPr>
            <w:tcW w:w="371" w:type="pct"/>
            <w:tcBorders>
              <w:top w:val="nil"/>
              <w:left w:val="nil"/>
              <w:bottom w:val="nil"/>
              <w:right w:val="nil"/>
            </w:tcBorders>
          </w:tcPr>
          <w:p w14:paraId="7275453D" w14:textId="77777777" w:rsidR="002A0724" w:rsidRPr="00FB3AD2" w:rsidRDefault="002A0724" w:rsidP="009A0F2F">
            <w:pPr>
              <w:rPr>
                <w:b/>
                <w:sz w:val="18"/>
                <w:szCs w:val="18"/>
              </w:rPr>
            </w:pPr>
          </w:p>
        </w:tc>
      </w:tr>
      <w:tr w:rsidR="002A0724" w:rsidRPr="00DA3E2F" w14:paraId="06FAF4FA" w14:textId="77777777" w:rsidTr="005F5B4C">
        <w:trPr>
          <w:cantSplit/>
          <w:trHeight w:val="23"/>
        </w:trPr>
        <w:tc>
          <w:tcPr>
            <w:tcW w:w="510" w:type="pct"/>
            <w:tcBorders>
              <w:top w:val="nil"/>
              <w:left w:val="single" w:sz="2" w:space="0" w:color="auto"/>
              <w:bottom w:val="nil"/>
              <w:right w:val="single" w:sz="2" w:space="0" w:color="auto"/>
            </w:tcBorders>
          </w:tcPr>
          <w:p w14:paraId="2873A341"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74ACA2E" w14:textId="25B3DB66"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Profit or Loss</w:t>
            </w:r>
          </w:p>
        </w:tc>
        <w:tc>
          <w:tcPr>
            <w:tcW w:w="325" w:type="pct"/>
            <w:tcBorders>
              <w:top w:val="nil"/>
              <w:left w:val="nil"/>
              <w:bottom w:val="nil"/>
              <w:right w:val="nil"/>
            </w:tcBorders>
          </w:tcPr>
          <w:p w14:paraId="0B3B3130" w14:textId="77777777" w:rsidR="002A0724" w:rsidRPr="00FB3AD2" w:rsidRDefault="002A0724" w:rsidP="009A0F2F">
            <w:pPr>
              <w:rPr>
                <w:b/>
                <w:sz w:val="18"/>
                <w:szCs w:val="18"/>
              </w:rPr>
            </w:pPr>
          </w:p>
        </w:tc>
        <w:tc>
          <w:tcPr>
            <w:tcW w:w="324" w:type="pct"/>
            <w:tcBorders>
              <w:top w:val="nil"/>
              <w:left w:val="nil"/>
              <w:bottom w:val="nil"/>
              <w:right w:val="nil"/>
            </w:tcBorders>
          </w:tcPr>
          <w:p w14:paraId="78DAB642" w14:textId="77777777" w:rsidR="002A0724" w:rsidRPr="00FB3AD2" w:rsidRDefault="002A0724" w:rsidP="009A0F2F">
            <w:pPr>
              <w:rPr>
                <w:b/>
                <w:sz w:val="18"/>
                <w:szCs w:val="18"/>
              </w:rPr>
            </w:pPr>
          </w:p>
        </w:tc>
        <w:tc>
          <w:tcPr>
            <w:tcW w:w="462" w:type="pct"/>
            <w:tcBorders>
              <w:top w:val="nil"/>
              <w:left w:val="nil"/>
              <w:bottom w:val="nil"/>
              <w:right w:val="nil"/>
            </w:tcBorders>
          </w:tcPr>
          <w:p w14:paraId="798EE82D" w14:textId="77777777" w:rsidR="002A0724" w:rsidRPr="00FB3AD2" w:rsidRDefault="002A0724" w:rsidP="009A0F2F">
            <w:pPr>
              <w:rPr>
                <w:b/>
                <w:sz w:val="18"/>
                <w:szCs w:val="18"/>
              </w:rPr>
            </w:pPr>
          </w:p>
        </w:tc>
        <w:tc>
          <w:tcPr>
            <w:tcW w:w="417" w:type="pct"/>
            <w:tcBorders>
              <w:top w:val="nil"/>
              <w:left w:val="nil"/>
              <w:bottom w:val="nil"/>
              <w:right w:val="nil"/>
            </w:tcBorders>
          </w:tcPr>
          <w:p w14:paraId="7A6DFD41" w14:textId="77777777" w:rsidR="002A0724" w:rsidRPr="00FB3AD2" w:rsidRDefault="002A0724" w:rsidP="009A0F2F">
            <w:pPr>
              <w:rPr>
                <w:b/>
                <w:sz w:val="18"/>
                <w:szCs w:val="18"/>
              </w:rPr>
            </w:pPr>
          </w:p>
        </w:tc>
        <w:tc>
          <w:tcPr>
            <w:tcW w:w="509" w:type="pct"/>
            <w:tcBorders>
              <w:top w:val="nil"/>
              <w:left w:val="nil"/>
              <w:bottom w:val="nil"/>
              <w:right w:val="nil"/>
            </w:tcBorders>
          </w:tcPr>
          <w:p w14:paraId="6899B101" w14:textId="77777777" w:rsidR="002A0724" w:rsidRPr="00FB3AD2" w:rsidRDefault="002A0724" w:rsidP="009A0F2F">
            <w:pPr>
              <w:rPr>
                <w:b/>
                <w:sz w:val="18"/>
                <w:szCs w:val="18"/>
              </w:rPr>
            </w:pPr>
          </w:p>
        </w:tc>
        <w:tc>
          <w:tcPr>
            <w:tcW w:w="371" w:type="pct"/>
            <w:tcBorders>
              <w:top w:val="nil"/>
              <w:left w:val="nil"/>
              <w:bottom w:val="nil"/>
              <w:right w:val="nil"/>
            </w:tcBorders>
          </w:tcPr>
          <w:p w14:paraId="6B286015" w14:textId="77777777" w:rsidR="002A0724" w:rsidRPr="00FB3AD2" w:rsidRDefault="002A0724" w:rsidP="009A0F2F">
            <w:pPr>
              <w:rPr>
                <w:b/>
                <w:sz w:val="18"/>
                <w:szCs w:val="18"/>
              </w:rPr>
            </w:pPr>
          </w:p>
        </w:tc>
      </w:tr>
      <w:tr w:rsidR="002A0724" w:rsidRPr="00DA3E2F" w14:paraId="5B9B9A2D" w14:textId="77777777" w:rsidTr="005F5B4C">
        <w:trPr>
          <w:cantSplit/>
          <w:trHeight w:val="23"/>
        </w:trPr>
        <w:tc>
          <w:tcPr>
            <w:tcW w:w="510" w:type="pct"/>
            <w:tcBorders>
              <w:top w:val="nil"/>
              <w:left w:val="single" w:sz="2" w:space="0" w:color="auto"/>
              <w:bottom w:val="nil"/>
              <w:right w:val="single" w:sz="2" w:space="0" w:color="auto"/>
            </w:tcBorders>
          </w:tcPr>
          <w:p w14:paraId="6494CB4C"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481074" w14:textId="3B53EE1C"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Revaluation increments/(decrements) recognised in Profit or Loss</w:t>
            </w:r>
          </w:p>
        </w:tc>
        <w:tc>
          <w:tcPr>
            <w:tcW w:w="325" w:type="pct"/>
            <w:tcBorders>
              <w:top w:val="nil"/>
              <w:left w:val="nil"/>
              <w:bottom w:val="nil"/>
              <w:right w:val="nil"/>
            </w:tcBorders>
          </w:tcPr>
          <w:p w14:paraId="56AC16EB" w14:textId="77777777" w:rsidR="002A0724" w:rsidRPr="00FB3AD2" w:rsidRDefault="002A0724" w:rsidP="009A0F2F">
            <w:pPr>
              <w:rPr>
                <w:b/>
                <w:sz w:val="18"/>
                <w:szCs w:val="18"/>
              </w:rPr>
            </w:pPr>
          </w:p>
        </w:tc>
        <w:tc>
          <w:tcPr>
            <w:tcW w:w="324" w:type="pct"/>
            <w:tcBorders>
              <w:top w:val="nil"/>
              <w:left w:val="nil"/>
              <w:bottom w:val="nil"/>
              <w:right w:val="nil"/>
            </w:tcBorders>
          </w:tcPr>
          <w:p w14:paraId="22F81AFA" w14:textId="77777777" w:rsidR="002A0724" w:rsidRPr="00FB3AD2" w:rsidRDefault="002A0724" w:rsidP="009A0F2F">
            <w:pPr>
              <w:rPr>
                <w:b/>
                <w:sz w:val="18"/>
                <w:szCs w:val="18"/>
              </w:rPr>
            </w:pPr>
          </w:p>
        </w:tc>
        <w:tc>
          <w:tcPr>
            <w:tcW w:w="462" w:type="pct"/>
            <w:tcBorders>
              <w:top w:val="nil"/>
              <w:left w:val="nil"/>
              <w:bottom w:val="nil"/>
              <w:right w:val="nil"/>
            </w:tcBorders>
          </w:tcPr>
          <w:p w14:paraId="232FA7FD" w14:textId="77777777" w:rsidR="002A0724" w:rsidRPr="00FB3AD2" w:rsidRDefault="002A0724" w:rsidP="009A0F2F">
            <w:pPr>
              <w:rPr>
                <w:b/>
                <w:sz w:val="18"/>
                <w:szCs w:val="18"/>
              </w:rPr>
            </w:pPr>
          </w:p>
        </w:tc>
        <w:tc>
          <w:tcPr>
            <w:tcW w:w="417" w:type="pct"/>
            <w:tcBorders>
              <w:top w:val="nil"/>
              <w:left w:val="nil"/>
              <w:bottom w:val="nil"/>
              <w:right w:val="nil"/>
            </w:tcBorders>
          </w:tcPr>
          <w:p w14:paraId="764C4D1A" w14:textId="77777777" w:rsidR="002A0724" w:rsidRPr="00FB3AD2" w:rsidRDefault="002A0724" w:rsidP="009A0F2F">
            <w:pPr>
              <w:rPr>
                <w:b/>
                <w:sz w:val="18"/>
                <w:szCs w:val="18"/>
              </w:rPr>
            </w:pPr>
          </w:p>
        </w:tc>
        <w:tc>
          <w:tcPr>
            <w:tcW w:w="509" w:type="pct"/>
            <w:tcBorders>
              <w:top w:val="nil"/>
              <w:left w:val="nil"/>
              <w:bottom w:val="nil"/>
              <w:right w:val="nil"/>
            </w:tcBorders>
          </w:tcPr>
          <w:p w14:paraId="6836E77D" w14:textId="77777777" w:rsidR="002A0724" w:rsidRPr="00FB3AD2" w:rsidRDefault="002A0724" w:rsidP="009A0F2F">
            <w:pPr>
              <w:rPr>
                <w:b/>
                <w:sz w:val="18"/>
                <w:szCs w:val="18"/>
              </w:rPr>
            </w:pPr>
          </w:p>
        </w:tc>
        <w:tc>
          <w:tcPr>
            <w:tcW w:w="371" w:type="pct"/>
            <w:tcBorders>
              <w:top w:val="nil"/>
              <w:left w:val="nil"/>
              <w:bottom w:val="nil"/>
              <w:right w:val="nil"/>
            </w:tcBorders>
          </w:tcPr>
          <w:p w14:paraId="1D5B88CB" w14:textId="77777777" w:rsidR="002A0724" w:rsidRPr="00FB3AD2" w:rsidRDefault="002A0724" w:rsidP="009A0F2F">
            <w:pPr>
              <w:rPr>
                <w:b/>
                <w:sz w:val="18"/>
                <w:szCs w:val="18"/>
              </w:rPr>
            </w:pPr>
          </w:p>
        </w:tc>
      </w:tr>
      <w:tr w:rsidR="002A0724" w:rsidRPr="00DA3E2F" w14:paraId="12EEC819" w14:textId="77777777" w:rsidTr="005F5B4C">
        <w:trPr>
          <w:cantSplit/>
          <w:trHeight w:val="23"/>
        </w:trPr>
        <w:tc>
          <w:tcPr>
            <w:tcW w:w="510" w:type="pct"/>
            <w:tcBorders>
              <w:top w:val="nil"/>
              <w:left w:val="single" w:sz="2" w:space="0" w:color="auto"/>
              <w:bottom w:val="nil"/>
              <w:right w:val="single" w:sz="2" w:space="0" w:color="auto"/>
            </w:tcBorders>
          </w:tcPr>
          <w:p w14:paraId="7B76A6A8"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1E473F8" w14:textId="07E8EE37"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0441AB2B" w14:textId="77777777" w:rsidR="002A0724" w:rsidRPr="00FB3AD2" w:rsidRDefault="002A0724" w:rsidP="009A0F2F">
            <w:pPr>
              <w:rPr>
                <w:b/>
                <w:sz w:val="18"/>
                <w:szCs w:val="18"/>
              </w:rPr>
            </w:pPr>
          </w:p>
        </w:tc>
        <w:tc>
          <w:tcPr>
            <w:tcW w:w="324" w:type="pct"/>
            <w:tcBorders>
              <w:top w:val="nil"/>
              <w:left w:val="nil"/>
              <w:bottom w:val="nil"/>
              <w:right w:val="nil"/>
            </w:tcBorders>
          </w:tcPr>
          <w:p w14:paraId="66503B54" w14:textId="77777777" w:rsidR="002A0724" w:rsidRPr="00FB3AD2" w:rsidRDefault="002A0724" w:rsidP="009A0F2F">
            <w:pPr>
              <w:rPr>
                <w:b/>
                <w:sz w:val="18"/>
                <w:szCs w:val="18"/>
              </w:rPr>
            </w:pPr>
          </w:p>
        </w:tc>
        <w:tc>
          <w:tcPr>
            <w:tcW w:w="462" w:type="pct"/>
            <w:tcBorders>
              <w:top w:val="nil"/>
              <w:left w:val="nil"/>
              <w:bottom w:val="nil"/>
              <w:right w:val="nil"/>
            </w:tcBorders>
          </w:tcPr>
          <w:p w14:paraId="2F00F3E3" w14:textId="77777777" w:rsidR="002A0724" w:rsidRPr="00FB3AD2" w:rsidRDefault="002A0724" w:rsidP="009A0F2F">
            <w:pPr>
              <w:rPr>
                <w:b/>
                <w:sz w:val="18"/>
                <w:szCs w:val="18"/>
              </w:rPr>
            </w:pPr>
          </w:p>
        </w:tc>
        <w:tc>
          <w:tcPr>
            <w:tcW w:w="417" w:type="pct"/>
            <w:tcBorders>
              <w:top w:val="nil"/>
              <w:left w:val="nil"/>
              <w:bottom w:val="nil"/>
              <w:right w:val="nil"/>
            </w:tcBorders>
          </w:tcPr>
          <w:p w14:paraId="5299144B" w14:textId="77777777" w:rsidR="002A0724" w:rsidRPr="00FB3AD2" w:rsidRDefault="002A0724" w:rsidP="009A0F2F">
            <w:pPr>
              <w:rPr>
                <w:b/>
                <w:sz w:val="18"/>
                <w:szCs w:val="18"/>
              </w:rPr>
            </w:pPr>
          </w:p>
        </w:tc>
        <w:tc>
          <w:tcPr>
            <w:tcW w:w="509" w:type="pct"/>
            <w:tcBorders>
              <w:top w:val="nil"/>
              <w:left w:val="nil"/>
              <w:bottom w:val="nil"/>
              <w:right w:val="nil"/>
            </w:tcBorders>
          </w:tcPr>
          <w:p w14:paraId="55AC705D" w14:textId="77777777" w:rsidR="002A0724" w:rsidRPr="00FB3AD2" w:rsidRDefault="002A0724" w:rsidP="009A0F2F">
            <w:pPr>
              <w:rPr>
                <w:b/>
                <w:sz w:val="18"/>
                <w:szCs w:val="18"/>
              </w:rPr>
            </w:pPr>
          </w:p>
        </w:tc>
        <w:tc>
          <w:tcPr>
            <w:tcW w:w="371" w:type="pct"/>
            <w:tcBorders>
              <w:top w:val="nil"/>
              <w:left w:val="nil"/>
              <w:bottom w:val="nil"/>
              <w:right w:val="nil"/>
            </w:tcBorders>
          </w:tcPr>
          <w:p w14:paraId="535F87EF" w14:textId="77777777" w:rsidR="002A0724" w:rsidRPr="00FB3AD2" w:rsidRDefault="002A0724" w:rsidP="009A0F2F">
            <w:pPr>
              <w:rPr>
                <w:b/>
                <w:sz w:val="18"/>
                <w:szCs w:val="18"/>
              </w:rPr>
            </w:pPr>
          </w:p>
        </w:tc>
      </w:tr>
      <w:tr w:rsidR="002A0724" w:rsidRPr="00DA3E2F" w14:paraId="03EF85FF" w14:textId="77777777" w:rsidTr="005F5B4C">
        <w:trPr>
          <w:cantSplit/>
          <w:trHeight w:val="23"/>
        </w:trPr>
        <w:tc>
          <w:tcPr>
            <w:tcW w:w="510" w:type="pct"/>
            <w:tcBorders>
              <w:top w:val="nil"/>
              <w:left w:val="single" w:sz="2" w:space="0" w:color="auto"/>
              <w:bottom w:val="nil"/>
              <w:right w:val="single" w:sz="2" w:space="0" w:color="auto"/>
            </w:tcBorders>
          </w:tcPr>
          <w:p w14:paraId="6D7F2C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2DF7274" w14:textId="23E89098"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Reversal of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1136A9E1" w14:textId="77777777" w:rsidR="002A0724" w:rsidRPr="00FB3AD2" w:rsidRDefault="002A0724" w:rsidP="009A0F2F">
            <w:pPr>
              <w:rPr>
                <w:b/>
                <w:sz w:val="18"/>
                <w:szCs w:val="18"/>
              </w:rPr>
            </w:pPr>
          </w:p>
        </w:tc>
        <w:tc>
          <w:tcPr>
            <w:tcW w:w="324" w:type="pct"/>
            <w:tcBorders>
              <w:top w:val="nil"/>
              <w:left w:val="nil"/>
              <w:bottom w:val="nil"/>
              <w:right w:val="nil"/>
            </w:tcBorders>
          </w:tcPr>
          <w:p w14:paraId="791FD921" w14:textId="77777777" w:rsidR="002A0724" w:rsidRPr="00FB3AD2" w:rsidRDefault="002A0724" w:rsidP="009A0F2F">
            <w:pPr>
              <w:rPr>
                <w:b/>
                <w:sz w:val="18"/>
                <w:szCs w:val="18"/>
              </w:rPr>
            </w:pPr>
          </w:p>
        </w:tc>
        <w:tc>
          <w:tcPr>
            <w:tcW w:w="462" w:type="pct"/>
            <w:tcBorders>
              <w:top w:val="nil"/>
              <w:left w:val="nil"/>
              <w:bottom w:val="nil"/>
              <w:right w:val="nil"/>
            </w:tcBorders>
          </w:tcPr>
          <w:p w14:paraId="55D9B043" w14:textId="77777777" w:rsidR="002A0724" w:rsidRPr="00FB3AD2" w:rsidRDefault="002A0724" w:rsidP="009A0F2F">
            <w:pPr>
              <w:rPr>
                <w:b/>
                <w:sz w:val="18"/>
                <w:szCs w:val="18"/>
              </w:rPr>
            </w:pPr>
          </w:p>
        </w:tc>
        <w:tc>
          <w:tcPr>
            <w:tcW w:w="417" w:type="pct"/>
            <w:tcBorders>
              <w:top w:val="nil"/>
              <w:left w:val="nil"/>
              <w:bottom w:val="nil"/>
              <w:right w:val="nil"/>
            </w:tcBorders>
          </w:tcPr>
          <w:p w14:paraId="1B4BDC20" w14:textId="77777777" w:rsidR="002A0724" w:rsidRPr="00FB3AD2" w:rsidRDefault="002A0724" w:rsidP="009A0F2F">
            <w:pPr>
              <w:rPr>
                <w:b/>
                <w:sz w:val="18"/>
                <w:szCs w:val="18"/>
              </w:rPr>
            </w:pPr>
          </w:p>
        </w:tc>
        <w:tc>
          <w:tcPr>
            <w:tcW w:w="509" w:type="pct"/>
            <w:tcBorders>
              <w:top w:val="nil"/>
              <w:left w:val="nil"/>
              <w:bottom w:val="nil"/>
              <w:right w:val="nil"/>
            </w:tcBorders>
          </w:tcPr>
          <w:p w14:paraId="48486CAD" w14:textId="77777777" w:rsidR="002A0724" w:rsidRPr="00FB3AD2" w:rsidRDefault="002A0724" w:rsidP="009A0F2F">
            <w:pPr>
              <w:rPr>
                <w:b/>
                <w:sz w:val="18"/>
                <w:szCs w:val="18"/>
              </w:rPr>
            </w:pPr>
          </w:p>
        </w:tc>
        <w:tc>
          <w:tcPr>
            <w:tcW w:w="371" w:type="pct"/>
            <w:tcBorders>
              <w:top w:val="nil"/>
              <w:left w:val="nil"/>
              <w:bottom w:val="nil"/>
              <w:right w:val="nil"/>
            </w:tcBorders>
          </w:tcPr>
          <w:p w14:paraId="1D7DF367" w14:textId="77777777" w:rsidR="002A0724" w:rsidRPr="00FB3AD2" w:rsidRDefault="002A0724" w:rsidP="009A0F2F">
            <w:pPr>
              <w:rPr>
                <w:b/>
                <w:sz w:val="18"/>
                <w:szCs w:val="18"/>
              </w:rPr>
            </w:pPr>
          </w:p>
        </w:tc>
      </w:tr>
      <w:tr w:rsidR="002A0724" w:rsidRPr="00DA3E2F" w14:paraId="3F9C6EF1" w14:textId="77777777" w:rsidTr="005F5B4C">
        <w:trPr>
          <w:cantSplit/>
          <w:trHeight w:val="23"/>
        </w:trPr>
        <w:tc>
          <w:tcPr>
            <w:tcW w:w="510" w:type="pct"/>
            <w:tcBorders>
              <w:top w:val="nil"/>
              <w:left w:val="single" w:sz="2" w:space="0" w:color="auto"/>
              <w:bottom w:val="nil"/>
              <w:right w:val="single" w:sz="2" w:space="0" w:color="auto"/>
            </w:tcBorders>
          </w:tcPr>
          <w:p w14:paraId="16F4375E"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31FCDFAD" w14:textId="671D6999"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4D1DB11C" w14:textId="77777777" w:rsidR="002A0724" w:rsidRPr="00FB3AD2" w:rsidRDefault="002A0724" w:rsidP="009A0F2F">
            <w:pPr>
              <w:rPr>
                <w:b/>
                <w:sz w:val="18"/>
                <w:szCs w:val="18"/>
              </w:rPr>
            </w:pPr>
          </w:p>
        </w:tc>
        <w:tc>
          <w:tcPr>
            <w:tcW w:w="324" w:type="pct"/>
            <w:tcBorders>
              <w:top w:val="nil"/>
              <w:left w:val="nil"/>
              <w:bottom w:val="nil"/>
              <w:right w:val="nil"/>
            </w:tcBorders>
          </w:tcPr>
          <w:p w14:paraId="07206108" w14:textId="77777777" w:rsidR="002A0724" w:rsidRPr="00FB3AD2" w:rsidRDefault="002A0724" w:rsidP="009A0F2F">
            <w:pPr>
              <w:rPr>
                <w:b/>
                <w:sz w:val="18"/>
                <w:szCs w:val="18"/>
              </w:rPr>
            </w:pPr>
          </w:p>
        </w:tc>
        <w:tc>
          <w:tcPr>
            <w:tcW w:w="462" w:type="pct"/>
            <w:tcBorders>
              <w:top w:val="nil"/>
              <w:left w:val="nil"/>
              <w:bottom w:val="nil"/>
              <w:right w:val="nil"/>
            </w:tcBorders>
          </w:tcPr>
          <w:p w14:paraId="00372BEE" w14:textId="77777777" w:rsidR="002A0724" w:rsidRPr="00FB3AD2" w:rsidRDefault="002A0724" w:rsidP="009A0F2F">
            <w:pPr>
              <w:rPr>
                <w:b/>
                <w:sz w:val="18"/>
                <w:szCs w:val="18"/>
              </w:rPr>
            </w:pPr>
          </w:p>
        </w:tc>
        <w:tc>
          <w:tcPr>
            <w:tcW w:w="417" w:type="pct"/>
            <w:tcBorders>
              <w:top w:val="nil"/>
              <w:left w:val="nil"/>
              <w:bottom w:val="nil"/>
              <w:right w:val="nil"/>
            </w:tcBorders>
          </w:tcPr>
          <w:p w14:paraId="5F9CE987" w14:textId="77777777" w:rsidR="002A0724" w:rsidRPr="00FB3AD2" w:rsidRDefault="002A0724" w:rsidP="009A0F2F">
            <w:pPr>
              <w:rPr>
                <w:b/>
                <w:sz w:val="18"/>
                <w:szCs w:val="18"/>
              </w:rPr>
            </w:pPr>
          </w:p>
        </w:tc>
        <w:tc>
          <w:tcPr>
            <w:tcW w:w="509" w:type="pct"/>
            <w:tcBorders>
              <w:top w:val="nil"/>
              <w:left w:val="nil"/>
              <w:bottom w:val="nil"/>
              <w:right w:val="nil"/>
            </w:tcBorders>
          </w:tcPr>
          <w:p w14:paraId="21B7D65C" w14:textId="77777777" w:rsidR="002A0724" w:rsidRPr="00FB3AD2" w:rsidRDefault="002A0724" w:rsidP="009A0F2F">
            <w:pPr>
              <w:rPr>
                <w:b/>
                <w:sz w:val="18"/>
                <w:szCs w:val="18"/>
              </w:rPr>
            </w:pPr>
          </w:p>
        </w:tc>
        <w:tc>
          <w:tcPr>
            <w:tcW w:w="371" w:type="pct"/>
            <w:tcBorders>
              <w:top w:val="nil"/>
              <w:left w:val="nil"/>
              <w:bottom w:val="nil"/>
              <w:right w:val="nil"/>
            </w:tcBorders>
          </w:tcPr>
          <w:p w14:paraId="24A74205" w14:textId="77777777" w:rsidR="002A0724" w:rsidRPr="00FB3AD2" w:rsidRDefault="002A0724" w:rsidP="009A0F2F">
            <w:pPr>
              <w:rPr>
                <w:b/>
                <w:sz w:val="18"/>
                <w:szCs w:val="18"/>
              </w:rPr>
            </w:pPr>
          </w:p>
        </w:tc>
      </w:tr>
      <w:tr w:rsidR="002A0724" w:rsidRPr="00DA3E2F" w14:paraId="0BD58D10" w14:textId="77777777" w:rsidTr="005F5B4C">
        <w:trPr>
          <w:cantSplit/>
          <w:trHeight w:val="23"/>
        </w:trPr>
        <w:tc>
          <w:tcPr>
            <w:tcW w:w="510" w:type="pct"/>
            <w:tcBorders>
              <w:top w:val="nil"/>
              <w:left w:val="single" w:sz="2" w:space="0" w:color="auto"/>
              <w:bottom w:val="nil"/>
              <w:right w:val="single" w:sz="2" w:space="0" w:color="auto"/>
            </w:tcBorders>
          </w:tcPr>
          <w:p w14:paraId="6F58E512"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058D55B" w14:textId="654C7014" w:rsidR="002A0724" w:rsidRPr="00FB3AD2" w:rsidRDefault="00FA7C77" w:rsidP="009A0F2F">
            <w:pPr>
              <w:spacing w:after="40"/>
              <w:ind w:left="321" w:hanging="321"/>
              <w:rPr>
                <w:sz w:val="18"/>
                <w:szCs w:val="18"/>
              </w:rPr>
            </w:pPr>
            <w:r>
              <w:rPr>
                <w:sz w:val="18"/>
                <w:szCs w:val="18"/>
              </w:rPr>
              <w:t xml:space="preserve">  </w:t>
            </w:r>
            <w:r w:rsidR="002A0724" w:rsidRPr="00FB3AD2">
              <w:rPr>
                <w:sz w:val="18"/>
                <w:szCs w:val="18"/>
              </w:rPr>
              <w:t xml:space="preserve"> - Revaluation increments/(decrements) recognised in Other Comprehensive Income</w:t>
            </w:r>
          </w:p>
        </w:tc>
        <w:tc>
          <w:tcPr>
            <w:tcW w:w="325" w:type="pct"/>
            <w:tcBorders>
              <w:top w:val="nil"/>
              <w:left w:val="nil"/>
              <w:bottom w:val="nil"/>
              <w:right w:val="nil"/>
            </w:tcBorders>
          </w:tcPr>
          <w:p w14:paraId="2AFDDA9A" w14:textId="77777777" w:rsidR="002A0724" w:rsidRPr="00FB3AD2" w:rsidRDefault="002A0724" w:rsidP="009A0F2F">
            <w:pPr>
              <w:rPr>
                <w:b/>
                <w:sz w:val="18"/>
                <w:szCs w:val="18"/>
              </w:rPr>
            </w:pPr>
          </w:p>
        </w:tc>
        <w:tc>
          <w:tcPr>
            <w:tcW w:w="324" w:type="pct"/>
            <w:tcBorders>
              <w:top w:val="nil"/>
              <w:left w:val="nil"/>
              <w:bottom w:val="nil"/>
              <w:right w:val="nil"/>
            </w:tcBorders>
          </w:tcPr>
          <w:p w14:paraId="67B817EA" w14:textId="77777777" w:rsidR="002A0724" w:rsidRPr="00FB3AD2" w:rsidRDefault="002A0724" w:rsidP="009A0F2F">
            <w:pPr>
              <w:rPr>
                <w:b/>
                <w:sz w:val="18"/>
                <w:szCs w:val="18"/>
              </w:rPr>
            </w:pPr>
          </w:p>
        </w:tc>
        <w:tc>
          <w:tcPr>
            <w:tcW w:w="462" w:type="pct"/>
            <w:tcBorders>
              <w:top w:val="nil"/>
              <w:left w:val="nil"/>
              <w:bottom w:val="nil"/>
              <w:right w:val="nil"/>
            </w:tcBorders>
          </w:tcPr>
          <w:p w14:paraId="1C7A6146" w14:textId="77777777" w:rsidR="002A0724" w:rsidRPr="00FB3AD2" w:rsidRDefault="002A0724" w:rsidP="009A0F2F">
            <w:pPr>
              <w:rPr>
                <w:b/>
                <w:sz w:val="18"/>
                <w:szCs w:val="18"/>
              </w:rPr>
            </w:pPr>
          </w:p>
        </w:tc>
        <w:tc>
          <w:tcPr>
            <w:tcW w:w="417" w:type="pct"/>
            <w:tcBorders>
              <w:top w:val="nil"/>
              <w:left w:val="nil"/>
              <w:bottom w:val="nil"/>
              <w:right w:val="nil"/>
            </w:tcBorders>
          </w:tcPr>
          <w:p w14:paraId="1DF2782C" w14:textId="77777777" w:rsidR="002A0724" w:rsidRPr="00FB3AD2" w:rsidRDefault="002A0724" w:rsidP="009A0F2F">
            <w:pPr>
              <w:rPr>
                <w:b/>
                <w:sz w:val="18"/>
                <w:szCs w:val="18"/>
              </w:rPr>
            </w:pPr>
          </w:p>
        </w:tc>
        <w:tc>
          <w:tcPr>
            <w:tcW w:w="509" w:type="pct"/>
            <w:tcBorders>
              <w:top w:val="nil"/>
              <w:left w:val="nil"/>
              <w:bottom w:val="nil"/>
              <w:right w:val="nil"/>
            </w:tcBorders>
          </w:tcPr>
          <w:p w14:paraId="79F8FD3B" w14:textId="77777777" w:rsidR="002A0724" w:rsidRPr="00FB3AD2" w:rsidRDefault="002A0724" w:rsidP="009A0F2F">
            <w:pPr>
              <w:rPr>
                <w:b/>
                <w:sz w:val="18"/>
                <w:szCs w:val="18"/>
              </w:rPr>
            </w:pPr>
          </w:p>
        </w:tc>
        <w:tc>
          <w:tcPr>
            <w:tcW w:w="371" w:type="pct"/>
            <w:tcBorders>
              <w:top w:val="nil"/>
              <w:left w:val="nil"/>
              <w:bottom w:val="nil"/>
              <w:right w:val="nil"/>
            </w:tcBorders>
          </w:tcPr>
          <w:p w14:paraId="6017CB0D" w14:textId="77777777" w:rsidR="002A0724" w:rsidRPr="00FB3AD2" w:rsidRDefault="002A0724" w:rsidP="009A0F2F">
            <w:pPr>
              <w:rPr>
                <w:b/>
                <w:sz w:val="18"/>
                <w:szCs w:val="18"/>
              </w:rPr>
            </w:pPr>
          </w:p>
        </w:tc>
      </w:tr>
      <w:tr w:rsidR="002A0724" w:rsidRPr="00DA3E2F" w14:paraId="528A1B11" w14:textId="77777777" w:rsidTr="005F5B4C">
        <w:trPr>
          <w:cantSplit/>
          <w:trHeight w:val="23"/>
        </w:trPr>
        <w:tc>
          <w:tcPr>
            <w:tcW w:w="510" w:type="pct"/>
            <w:tcBorders>
              <w:top w:val="nil"/>
              <w:left w:val="single" w:sz="2" w:space="0" w:color="auto"/>
              <w:bottom w:val="nil"/>
              <w:right w:val="single" w:sz="2" w:space="0" w:color="auto"/>
            </w:tcBorders>
          </w:tcPr>
          <w:p w14:paraId="1A916267"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678B6C0" w14:textId="7300B850"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Other Comprehensive Income</w:t>
            </w:r>
          </w:p>
        </w:tc>
        <w:tc>
          <w:tcPr>
            <w:tcW w:w="325" w:type="pct"/>
            <w:tcBorders>
              <w:top w:val="nil"/>
              <w:left w:val="nil"/>
              <w:bottom w:val="nil"/>
              <w:right w:val="nil"/>
            </w:tcBorders>
          </w:tcPr>
          <w:p w14:paraId="7007B977" w14:textId="77777777" w:rsidR="002A0724" w:rsidRPr="00FB3AD2" w:rsidRDefault="002A0724" w:rsidP="009A0F2F">
            <w:pPr>
              <w:rPr>
                <w:b/>
                <w:sz w:val="18"/>
                <w:szCs w:val="18"/>
              </w:rPr>
            </w:pPr>
          </w:p>
        </w:tc>
        <w:tc>
          <w:tcPr>
            <w:tcW w:w="324" w:type="pct"/>
            <w:tcBorders>
              <w:top w:val="nil"/>
              <w:left w:val="nil"/>
              <w:bottom w:val="nil"/>
              <w:right w:val="nil"/>
            </w:tcBorders>
          </w:tcPr>
          <w:p w14:paraId="736302A3" w14:textId="77777777" w:rsidR="002A0724" w:rsidRPr="00FB3AD2" w:rsidRDefault="002A0724" w:rsidP="009A0F2F">
            <w:pPr>
              <w:rPr>
                <w:b/>
                <w:sz w:val="18"/>
                <w:szCs w:val="18"/>
              </w:rPr>
            </w:pPr>
          </w:p>
        </w:tc>
        <w:tc>
          <w:tcPr>
            <w:tcW w:w="462" w:type="pct"/>
            <w:tcBorders>
              <w:top w:val="nil"/>
              <w:left w:val="nil"/>
              <w:bottom w:val="nil"/>
              <w:right w:val="nil"/>
            </w:tcBorders>
          </w:tcPr>
          <w:p w14:paraId="38692386" w14:textId="77777777" w:rsidR="002A0724" w:rsidRPr="00FB3AD2" w:rsidRDefault="002A0724" w:rsidP="009A0F2F">
            <w:pPr>
              <w:rPr>
                <w:b/>
                <w:sz w:val="18"/>
                <w:szCs w:val="18"/>
              </w:rPr>
            </w:pPr>
          </w:p>
        </w:tc>
        <w:tc>
          <w:tcPr>
            <w:tcW w:w="417" w:type="pct"/>
            <w:tcBorders>
              <w:top w:val="nil"/>
              <w:left w:val="nil"/>
              <w:bottom w:val="nil"/>
              <w:right w:val="nil"/>
            </w:tcBorders>
          </w:tcPr>
          <w:p w14:paraId="34848C58" w14:textId="77777777" w:rsidR="002A0724" w:rsidRPr="00FB3AD2" w:rsidRDefault="002A0724" w:rsidP="009A0F2F">
            <w:pPr>
              <w:rPr>
                <w:b/>
                <w:sz w:val="18"/>
                <w:szCs w:val="18"/>
              </w:rPr>
            </w:pPr>
          </w:p>
        </w:tc>
        <w:tc>
          <w:tcPr>
            <w:tcW w:w="509" w:type="pct"/>
            <w:tcBorders>
              <w:top w:val="nil"/>
              <w:left w:val="nil"/>
              <w:bottom w:val="nil"/>
              <w:right w:val="nil"/>
            </w:tcBorders>
          </w:tcPr>
          <w:p w14:paraId="5C08DC71" w14:textId="77777777" w:rsidR="002A0724" w:rsidRPr="00FB3AD2" w:rsidRDefault="002A0724" w:rsidP="009A0F2F">
            <w:pPr>
              <w:rPr>
                <w:b/>
                <w:sz w:val="18"/>
                <w:szCs w:val="18"/>
              </w:rPr>
            </w:pPr>
          </w:p>
        </w:tc>
        <w:tc>
          <w:tcPr>
            <w:tcW w:w="371" w:type="pct"/>
            <w:tcBorders>
              <w:top w:val="nil"/>
              <w:left w:val="nil"/>
              <w:bottom w:val="nil"/>
              <w:right w:val="nil"/>
            </w:tcBorders>
          </w:tcPr>
          <w:p w14:paraId="5AFDB809" w14:textId="77777777" w:rsidR="002A0724" w:rsidRPr="00FB3AD2" w:rsidRDefault="002A0724" w:rsidP="009A0F2F">
            <w:pPr>
              <w:rPr>
                <w:b/>
                <w:sz w:val="18"/>
                <w:szCs w:val="18"/>
              </w:rPr>
            </w:pPr>
          </w:p>
        </w:tc>
      </w:tr>
      <w:tr w:rsidR="002A0724" w:rsidRPr="00DA3E2F" w14:paraId="47B7B0DC" w14:textId="77777777" w:rsidTr="005F5B4C">
        <w:trPr>
          <w:cantSplit/>
          <w:trHeight w:val="23"/>
        </w:trPr>
        <w:tc>
          <w:tcPr>
            <w:tcW w:w="510" w:type="pct"/>
            <w:tcBorders>
              <w:top w:val="nil"/>
              <w:left w:val="single" w:sz="2" w:space="0" w:color="auto"/>
              <w:bottom w:val="nil"/>
              <w:right w:val="single" w:sz="2" w:space="0" w:color="auto"/>
            </w:tcBorders>
          </w:tcPr>
          <w:p w14:paraId="173D474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4E50C92" w14:textId="77777777" w:rsidR="002A0724" w:rsidRPr="00FB3AD2" w:rsidRDefault="002A0724" w:rsidP="009A0F2F">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02200E57" w14:textId="77777777" w:rsidR="002A0724" w:rsidRPr="00FB3AD2" w:rsidRDefault="002A0724" w:rsidP="009A0F2F">
            <w:pPr>
              <w:rPr>
                <w:b/>
                <w:sz w:val="18"/>
                <w:szCs w:val="18"/>
              </w:rPr>
            </w:pPr>
          </w:p>
        </w:tc>
        <w:tc>
          <w:tcPr>
            <w:tcW w:w="324" w:type="pct"/>
            <w:tcBorders>
              <w:top w:val="nil"/>
              <w:left w:val="nil"/>
              <w:bottom w:val="single" w:sz="2" w:space="0" w:color="auto"/>
              <w:right w:val="nil"/>
            </w:tcBorders>
          </w:tcPr>
          <w:p w14:paraId="22D2D628" w14:textId="77777777" w:rsidR="002A0724" w:rsidRPr="00FB3AD2" w:rsidRDefault="002A0724" w:rsidP="009A0F2F">
            <w:pPr>
              <w:rPr>
                <w:b/>
                <w:sz w:val="18"/>
                <w:szCs w:val="18"/>
              </w:rPr>
            </w:pPr>
          </w:p>
        </w:tc>
        <w:tc>
          <w:tcPr>
            <w:tcW w:w="462" w:type="pct"/>
            <w:tcBorders>
              <w:top w:val="nil"/>
              <w:left w:val="nil"/>
              <w:bottom w:val="single" w:sz="2" w:space="0" w:color="auto"/>
              <w:right w:val="nil"/>
            </w:tcBorders>
          </w:tcPr>
          <w:p w14:paraId="0D6E7901" w14:textId="77777777" w:rsidR="002A0724" w:rsidRPr="00FB3AD2" w:rsidRDefault="002A0724" w:rsidP="009A0F2F">
            <w:pPr>
              <w:rPr>
                <w:b/>
                <w:sz w:val="18"/>
                <w:szCs w:val="18"/>
              </w:rPr>
            </w:pPr>
          </w:p>
        </w:tc>
        <w:tc>
          <w:tcPr>
            <w:tcW w:w="417" w:type="pct"/>
            <w:tcBorders>
              <w:top w:val="nil"/>
              <w:left w:val="nil"/>
              <w:bottom w:val="single" w:sz="2" w:space="0" w:color="auto"/>
              <w:right w:val="nil"/>
            </w:tcBorders>
          </w:tcPr>
          <w:p w14:paraId="6224D5E1" w14:textId="77777777" w:rsidR="002A0724" w:rsidRPr="00FB3AD2" w:rsidRDefault="002A0724" w:rsidP="009A0F2F">
            <w:pPr>
              <w:rPr>
                <w:b/>
                <w:sz w:val="18"/>
                <w:szCs w:val="18"/>
              </w:rPr>
            </w:pPr>
          </w:p>
        </w:tc>
        <w:tc>
          <w:tcPr>
            <w:tcW w:w="509" w:type="pct"/>
            <w:tcBorders>
              <w:top w:val="nil"/>
              <w:left w:val="nil"/>
              <w:bottom w:val="single" w:sz="2" w:space="0" w:color="auto"/>
              <w:right w:val="nil"/>
            </w:tcBorders>
          </w:tcPr>
          <w:p w14:paraId="3A2E139F" w14:textId="77777777" w:rsidR="002A0724" w:rsidRPr="00FB3AD2" w:rsidRDefault="002A0724" w:rsidP="009A0F2F">
            <w:pPr>
              <w:rPr>
                <w:b/>
                <w:sz w:val="18"/>
                <w:szCs w:val="18"/>
              </w:rPr>
            </w:pPr>
          </w:p>
        </w:tc>
        <w:tc>
          <w:tcPr>
            <w:tcW w:w="371" w:type="pct"/>
            <w:tcBorders>
              <w:top w:val="nil"/>
              <w:left w:val="nil"/>
              <w:bottom w:val="single" w:sz="2" w:space="0" w:color="auto"/>
              <w:right w:val="nil"/>
            </w:tcBorders>
          </w:tcPr>
          <w:p w14:paraId="14B39068" w14:textId="77777777" w:rsidR="002A0724" w:rsidRPr="00FB3AD2" w:rsidRDefault="002A0724" w:rsidP="009A0F2F">
            <w:pPr>
              <w:rPr>
                <w:b/>
                <w:sz w:val="18"/>
                <w:szCs w:val="18"/>
              </w:rPr>
            </w:pPr>
          </w:p>
        </w:tc>
      </w:tr>
      <w:tr w:rsidR="002A0724" w:rsidRPr="00DA3E2F" w14:paraId="0E8E0ABD" w14:textId="77777777" w:rsidTr="005F5B4C">
        <w:trPr>
          <w:cantSplit/>
          <w:trHeight w:val="23"/>
        </w:trPr>
        <w:tc>
          <w:tcPr>
            <w:tcW w:w="510" w:type="pct"/>
            <w:tcBorders>
              <w:top w:val="nil"/>
              <w:left w:val="single" w:sz="2" w:space="0" w:color="auto"/>
              <w:bottom w:val="nil"/>
              <w:right w:val="single" w:sz="2" w:space="0" w:color="auto"/>
            </w:tcBorders>
          </w:tcPr>
          <w:p w14:paraId="6D08C1E9"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403E742" w14:textId="77777777" w:rsidR="002A0724" w:rsidRPr="00FB3AD2" w:rsidRDefault="002A0724" w:rsidP="009A0F2F">
            <w:pPr>
              <w:spacing w:after="40"/>
              <w:rPr>
                <w:sz w:val="18"/>
                <w:szCs w:val="18"/>
              </w:rPr>
            </w:pPr>
            <w:r w:rsidRPr="00FB3AD2">
              <w:rPr>
                <w:b/>
                <w:sz w:val="18"/>
                <w:szCs w:val="18"/>
              </w:rPr>
              <w:t>Fair Value at the End of the Reporting Period</w:t>
            </w:r>
          </w:p>
        </w:tc>
        <w:tc>
          <w:tcPr>
            <w:tcW w:w="325" w:type="pct"/>
            <w:tcBorders>
              <w:top w:val="single" w:sz="2" w:space="0" w:color="auto"/>
              <w:left w:val="nil"/>
              <w:bottom w:val="double" w:sz="4" w:space="0" w:color="auto"/>
              <w:right w:val="nil"/>
            </w:tcBorders>
          </w:tcPr>
          <w:p w14:paraId="24CB79C3" w14:textId="77777777" w:rsidR="002A0724" w:rsidRPr="00FB3AD2" w:rsidRDefault="002A0724" w:rsidP="009A0F2F">
            <w:pPr>
              <w:rPr>
                <w:b/>
                <w:sz w:val="18"/>
                <w:szCs w:val="18"/>
              </w:rPr>
            </w:pPr>
          </w:p>
        </w:tc>
        <w:tc>
          <w:tcPr>
            <w:tcW w:w="324" w:type="pct"/>
            <w:tcBorders>
              <w:top w:val="single" w:sz="2" w:space="0" w:color="auto"/>
              <w:left w:val="nil"/>
              <w:bottom w:val="double" w:sz="4" w:space="0" w:color="auto"/>
              <w:right w:val="nil"/>
            </w:tcBorders>
          </w:tcPr>
          <w:p w14:paraId="2D0AFCD1" w14:textId="77777777" w:rsidR="002A0724" w:rsidRPr="00FB3AD2" w:rsidRDefault="002A0724" w:rsidP="009A0F2F">
            <w:pPr>
              <w:rPr>
                <w:b/>
                <w:sz w:val="18"/>
                <w:szCs w:val="18"/>
              </w:rPr>
            </w:pPr>
          </w:p>
        </w:tc>
        <w:tc>
          <w:tcPr>
            <w:tcW w:w="462" w:type="pct"/>
            <w:tcBorders>
              <w:top w:val="single" w:sz="2" w:space="0" w:color="auto"/>
              <w:left w:val="nil"/>
              <w:bottom w:val="double" w:sz="4" w:space="0" w:color="auto"/>
              <w:right w:val="nil"/>
            </w:tcBorders>
          </w:tcPr>
          <w:p w14:paraId="1991A2A3" w14:textId="77777777" w:rsidR="002A0724" w:rsidRPr="00FB3AD2" w:rsidRDefault="002A0724" w:rsidP="009A0F2F">
            <w:pPr>
              <w:rPr>
                <w:b/>
                <w:sz w:val="18"/>
                <w:szCs w:val="18"/>
              </w:rPr>
            </w:pPr>
          </w:p>
        </w:tc>
        <w:tc>
          <w:tcPr>
            <w:tcW w:w="417" w:type="pct"/>
            <w:tcBorders>
              <w:top w:val="single" w:sz="2" w:space="0" w:color="auto"/>
              <w:left w:val="nil"/>
              <w:bottom w:val="double" w:sz="4" w:space="0" w:color="auto"/>
              <w:right w:val="nil"/>
            </w:tcBorders>
          </w:tcPr>
          <w:p w14:paraId="03191059" w14:textId="77777777" w:rsidR="002A0724" w:rsidRPr="00FB3AD2" w:rsidRDefault="002A0724" w:rsidP="009A0F2F">
            <w:pPr>
              <w:rPr>
                <w:b/>
                <w:sz w:val="18"/>
                <w:szCs w:val="18"/>
              </w:rPr>
            </w:pPr>
          </w:p>
        </w:tc>
        <w:tc>
          <w:tcPr>
            <w:tcW w:w="509" w:type="pct"/>
            <w:tcBorders>
              <w:top w:val="single" w:sz="2" w:space="0" w:color="auto"/>
              <w:left w:val="nil"/>
              <w:bottom w:val="double" w:sz="4" w:space="0" w:color="auto"/>
              <w:right w:val="nil"/>
            </w:tcBorders>
          </w:tcPr>
          <w:p w14:paraId="7394E498" w14:textId="77777777" w:rsidR="002A0724" w:rsidRPr="00FB3AD2" w:rsidRDefault="002A0724" w:rsidP="009A0F2F">
            <w:pPr>
              <w:rPr>
                <w:b/>
                <w:sz w:val="18"/>
                <w:szCs w:val="18"/>
              </w:rPr>
            </w:pPr>
          </w:p>
        </w:tc>
        <w:tc>
          <w:tcPr>
            <w:tcW w:w="371" w:type="pct"/>
            <w:tcBorders>
              <w:top w:val="single" w:sz="2" w:space="0" w:color="auto"/>
              <w:left w:val="nil"/>
              <w:bottom w:val="double" w:sz="4" w:space="0" w:color="auto"/>
              <w:right w:val="nil"/>
            </w:tcBorders>
          </w:tcPr>
          <w:p w14:paraId="32129940" w14:textId="77777777" w:rsidR="002A0724" w:rsidRPr="00FB3AD2" w:rsidRDefault="002A0724" w:rsidP="009A0F2F">
            <w:pPr>
              <w:rPr>
                <w:b/>
                <w:sz w:val="18"/>
                <w:szCs w:val="18"/>
              </w:rPr>
            </w:pPr>
          </w:p>
        </w:tc>
      </w:tr>
      <w:tr w:rsidR="00C85383" w:rsidRPr="00DA3E2F" w14:paraId="0C75E0AB" w14:textId="77777777" w:rsidTr="005F5B4C">
        <w:trPr>
          <w:cantSplit/>
          <w:trHeight w:val="23"/>
        </w:trPr>
        <w:tc>
          <w:tcPr>
            <w:tcW w:w="510" w:type="pct"/>
            <w:tcBorders>
              <w:top w:val="nil"/>
              <w:left w:val="single" w:sz="2" w:space="0" w:color="auto"/>
              <w:bottom w:val="nil"/>
              <w:right w:val="single" w:sz="2" w:space="0" w:color="auto"/>
            </w:tcBorders>
          </w:tcPr>
          <w:p w14:paraId="38119139" w14:textId="77777777"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36419174" w14:textId="7C16EFBD"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58E4B182" w14:textId="77777777" w:rsidR="000702E1" w:rsidRDefault="000702E1">
      <w:pPr>
        <w:sectPr w:rsidR="000702E1" w:rsidSect="000702E1">
          <w:footnotePr>
            <w:numRestart w:val="eachPage"/>
          </w:footnotePr>
          <w:pgSz w:w="16840" w:h="11907" w:orient="landscape" w:code="9"/>
          <w:pgMar w:top="680" w:right="567" w:bottom="1276" w:left="567" w:header="425" w:footer="383" w:gutter="0"/>
          <w:cols w:space="720"/>
          <w:docGrid w:linePitch="326"/>
        </w:sectPr>
      </w:pPr>
    </w:p>
    <w:p w14:paraId="639C71B7" w14:textId="5B8B120F" w:rsidR="00F811FB" w:rsidRDefault="00F811FB"/>
    <w:tbl>
      <w:tblPr>
        <w:tblW w:w="527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8929"/>
      </w:tblGrid>
      <w:tr w:rsidR="009D099B" w:rsidRPr="009A2CC8" w14:paraId="707FB945" w14:textId="77777777" w:rsidTr="005F5B4C">
        <w:tc>
          <w:tcPr>
            <w:tcW w:w="746" w:type="pct"/>
            <w:tcBorders>
              <w:top w:val="nil"/>
              <w:left w:val="single" w:sz="4" w:space="0" w:color="auto"/>
              <w:bottom w:val="nil"/>
              <w:right w:val="single" w:sz="4" w:space="0" w:color="auto"/>
            </w:tcBorders>
          </w:tcPr>
          <w:p w14:paraId="7C87A719" w14:textId="77777777" w:rsidR="009D099B" w:rsidRPr="001D7E72" w:rsidRDefault="009D099B" w:rsidP="00E3612F">
            <w:pPr>
              <w:spacing w:before="120" w:after="240"/>
              <w:rPr>
                <w:b/>
                <w:bCs/>
                <w:color w:val="7030A0"/>
                <w:szCs w:val="22"/>
              </w:rPr>
            </w:pPr>
            <w:r w:rsidRPr="001D7E72">
              <w:rPr>
                <w:rFonts w:cs="Calibri"/>
                <w:b/>
                <w:color w:val="7030A0"/>
                <w:szCs w:val="22"/>
              </w:rPr>
              <w:t>Reference</w:t>
            </w:r>
          </w:p>
        </w:tc>
        <w:tc>
          <w:tcPr>
            <w:tcW w:w="4254" w:type="pct"/>
            <w:tcBorders>
              <w:top w:val="nil"/>
              <w:left w:val="single" w:sz="4" w:space="0" w:color="auto"/>
              <w:bottom w:val="nil"/>
              <w:right w:val="nil"/>
            </w:tcBorders>
          </w:tcPr>
          <w:p w14:paraId="7B225E11" w14:textId="450D18D8" w:rsidR="009D099B" w:rsidRPr="001D7E72" w:rsidRDefault="00E3612F" w:rsidP="00E3612F">
            <w:pPr>
              <w:spacing w:before="120" w:after="240"/>
              <w:rPr>
                <w:b/>
                <w:bCs/>
                <w:szCs w:val="24"/>
              </w:rPr>
            </w:pPr>
            <w:r w:rsidRPr="001D7E72">
              <w:rPr>
                <w:rFonts w:ascii="Arial Bold" w:hAnsi="Arial Bold" w:cs="Arial"/>
                <w:b/>
                <w:caps/>
                <w:sz w:val="32"/>
                <w:szCs w:val="32"/>
              </w:rPr>
              <w:t xml:space="preserve">Note </w:t>
            </w:r>
            <w:r w:rsidR="001B1A1D" w:rsidRPr="001D7E72">
              <w:rPr>
                <w:rFonts w:ascii="Arial Bold" w:hAnsi="Arial Bold" w:cs="Arial"/>
                <w:b/>
                <w:caps/>
                <w:sz w:val="32"/>
                <w:szCs w:val="32"/>
              </w:rPr>
              <w:t>19</w:t>
            </w:r>
            <w:r w:rsidRPr="001D7E72">
              <w:rPr>
                <w:rFonts w:ascii="Arial Bold" w:hAnsi="Arial Bold" w:cs="Arial"/>
                <w:b/>
                <w:caps/>
                <w:sz w:val="32"/>
                <w:szCs w:val="32"/>
              </w:rPr>
              <w:t>.</w:t>
            </w:r>
            <w:r w:rsidR="00FA7C77">
              <w:rPr>
                <w:rFonts w:ascii="Arial Bold" w:hAnsi="Arial Bold" w:cs="Arial"/>
                <w:b/>
                <w:caps/>
                <w:sz w:val="32"/>
                <w:szCs w:val="32"/>
              </w:rPr>
              <w:t xml:space="preserve"> </w:t>
            </w:r>
            <w:r w:rsidRPr="001D7E72">
              <w:rPr>
                <w:rFonts w:ascii="Arial Bold" w:hAnsi="Arial Bold" w:cs="Arial"/>
                <w:b/>
                <w:caps/>
                <w:sz w:val="32"/>
                <w:szCs w:val="32"/>
              </w:rPr>
              <w:t xml:space="preserve"> Property, Plant and Equipment</w:t>
            </w:r>
            <w:r w:rsidR="00774E1B" w:rsidRPr="001D7E72">
              <w:rPr>
                <w:rFonts w:ascii="Arial Bold" w:hAnsi="Arial Bold" w:cs="Arial"/>
                <w:b/>
                <w:caps/>
                <w:sz w:val="32"/>
                <w:szCs w:val="32"/>
              </w:rPr>
              <w:t xml:space="preserve"> </w:t>
            </w:r>
            <w:r w:rsidRPr="001D7E72">
              <w:rPr>
                <w:rFonts w:ascii="Arial Bold" w:hAnsi="Arial Bold" w:cs="Arial"/>
                <w:b/>
                <w:caps/>
                <w:sz w:val="32"/>
                <w:szCs w:val="32"/>
              </w:rPr>
              <w:t>– Continued</w:t>
            </w:r>
          </w:p>
        </w:tc>
      </w:tr>
      <w:tr w:rsidR="00B0215E" w14:paraId="53FBA0A4" w14:textId="77777777" w:rsidTr="005F5B4C">
        <w:tc>
          <w:tcPr>
            <w:tcW w:w="746" w:type="pct"/>
            <w:tcBorders>
              <w:top w:val="nil"/>
              <w:left w:val="single" w:sz="4" w:space="0" w:color="auto"/>
              <w:bottom w:val="nil"/>
              <w:right w:val="single" w:sz="4" w:space="0" w:color="auto"/>
            </w:tcBorders>
          </w:tcPr>
          <w:p w14:paraId="2B6D8446" w14:textId="5469AB13" w:rsidR="00B0215E" w:rsidRPr="001D7E72" w:rsidRDefault="00B0215E">
            <w:pPr>
              <w:rPr>
                <w:rFonts w:cs="Calibri"/>
                <w:color w:val="7030A0"/>
                <w:sz w:val="14"/>
                <w:szCs w:val="14"/>
              </w:rPr>
            </w:pPr>
            <w:r w:rsidRPr="001D7E72">
              <w:rPr>
                <w:rFonts w:cs="Calibri"/>
                <w:color w:val="7030A0"/>
                <w:sz w:val="14"/>
                <w:szCs w:val="14"/>
              </w:rPr>
              <w:t>AASB 13.93(i)</w:t>
            </w:r>
          </w:p>
        </w:tc>
        <w:tc>
          <w:tcPr>
            <w:tcW w:w="4254" w:type="pct"/>
            <w:tcBorders>
              <w:top w:val="nil"/>
              <w:left w:val="single" w:sz="4" w:space="0" w:color="auto"/>
              <w:bottom w:val="nil"/>
              <w:right w:val="nil"/>
            </w:tcBorders>
          </w:tcPr>
          <w:p w14:paraId="23782A4D" w14:textId="6F1769F0" w:rsidR="00B0215E" w:rsidRPr="001D7E72" w:rsidRDefault="00B0215E" w:rsidP="00E3612F">
            <w:pPr>
              <w:pStyle w:val="TableTitle"/>
              <w:tabs>
                <w:tab w:val="left" w:pos="3306"/>
              </w:tabs>
              <w:jc w:val="both"/>
              <w:rPr>
                <w:rFonts w:cs="Calibri"/>
              </w:rPr>
            </w:pPr>
            <w:r w:rsidRPr="001D7E72">
              <w:rPr>
                <w:rFonts w:cs="Calibri"/>
              </w:rPr>
              <w:t xml:space="preserve">Assets where Current </w:t>
            </w:r>
            <w:r w:rsidR="00773769">
              <w:rPr>
                <w:rFonts w:cs="Calibri"/>
              </w:rPr>
              <w:t>U</w:t>
            </w:r>
            <w:r w:rsidRPr="001D7E72">
              <w:rPr>
                <w:rFonts w:cs="Calibri"/>
              </w:rPr>
              <w:t xml:space="preserve">se is not Highest and Best </w:t>
            </w:r>
            <w:r w:rsidR="00773769">
              <w:rPr>
                <w:rFonts w:cs="Calibri"/>
              </w:rPr>
              <w:t>U</w:t>
            </w:r>
            <w:r w:rsidRPr="001D7E72">
              <w:rPr>
                <w:rFonts w:cs="Calibri"/>
              </w:rPr>
              <w:t>se</w:t>
            </w:r>
          </w:p>
        </w:tc>
      </w:tr>
      <w:tr w:rsidR="00FE5C31" w14:paraId="6F6D7C25" w14:textId="77777777" w:rsidTr="005F5B4C">
        <w:tc>
          <w:tcPr>
            <w:tcW w:w="746" w:type="pct"/>
            <w:tcBorders>
              <w:top w:val="nil"/>
              <w:left w:val="single" w:sz="4" w:space="0" w:color="auto"/>
              <w:bottom w:val="nil"/>
              <w:right w:val="single" w:sz="4" w:space="0" w:color="auto"/>
            </w:tcBorders>
          </w:tcPr>
          <w:p w14:paraId="415CF6CD" w14:textId="77777777" w:rsidR="00FE5C31" w:rsidRPr="001D7E72" w:rsidRDefault="00FE5C31">
            <w:pPr>
              <w:rPr>
                <w:b/>
                <w:bCs/>
                <w:color w:val="7030A0"/>
                <w:sz w:val="16"/>
              </w:rPr>
            </w:pPr>
          </w:p>
        </w:tc>
        <w:tc>
          <w:tcPr>
            <w:tcW w:w="4254" w:type="pct"/>
            <w:tcBorders>
              <w:top w:val="nil"/>
              <w:left w:val="single" w:sz="4" w:space="0" w:color="auto"/>
              <w:bottom w:val="nil"/>
              <w:right w:val="nil"/>
            </w:tcBorders>
          </w:tcPr>
          <w:p w14:paraId="2674F1D0" w14:textId="58F4EAEE" w:rsidR="00FE5C31" w:rsidRPr="001D7E72" w:rsidRDefault="000D560A" w:rsidP="00E3612F">
            <w:pPr>
              <w:pStyle w:val="TableTitle"/>
              <w:tabs>
                <w:tab w:val="left" w:pos="3306"/>
              </w:tabs>
              <w:jc w:val="both"/>
              <w:rPr>
                <w:b w:val="0"/>
                <w:bCs w:val="0"/>
              </w:rPr>
            </w:pPr>
            <w:r w:rsidRPr="001D7E72">
              <w:rPr>
                <w:rFonts w:cs="Calibri"/>
                <w:b w:val="0"/>
              </w:rPr>
              <w:t xml:space="preserve">‘Burley Griffin </w:t>
            </w:r>
            <w:r w:rsidR="00FE5C31" w:rsidRPr="001D7E72">
              <w:rPr>
                <w:rFonts w:cs="Calibri"/>
                <w:b w:val="0"/>
              </w:rPr>
              <w:t>Agency</w:t>
            </w:r>
            <w:r w:rsidRPr="001D7E72">
              <w:rPr>
                <w:rFonts w:cs="Calibri"/>
                <w:b w:val="0"/>
              </w:rPr>
              <w:t>’</w:t>
            </w:r>
            <w:r w:rsidR="00FE5C31" w:rsidRPr="001D7E72">
              <w:rPr>
                <w:rFonts w:cs="Calibri"/>
                <w:b w:val="0"/>
              </w:rPr>
              <w:t xml:space="preserve"> has a block of land with a three stor</w:t>
            </w:r>
            <w:r w:rsidR="001B78DF" w:rsidRPr="001D7E72">
              <w:rPr>
                <w:rFonts w:cs="Calibri"/>
                <w:b w:val="0"/>
              </w:rPr>
              <w:t>e</w:t>
            </w:r>
            <w:r w:rsidR="00FE5C31" w:rsidRPr="001D7E72">
              <w:rPr>
                <w:rFonts w:cs="Calibri"/>
                <w:b w:val="0"/>
              </w:rPr>
              <w:t>y building near the Belconnen Town Centre that is mainly used as a shopfront. Given recent commercial and residential development in the immediate area, management is of th</w:t>
            </w:r>
            <w:r w:rsidR="00323E59" w:rsidRPr="001D7E72">
              <w:rPr>
                <w:rFonts w:cs="Calibri"/>
                <w:b w:val="0"/>
              </w:rPr>
              <w:t xml:space="preserve">e view, based on expert advice, </w:t>
            </w:r>
            <w:r w:rsidR="00FE5C31" w:rsidRPr="001D7E72">
              <w:rPr>
                <w:rFonts w:cs="Calibri"/>
                <w:b w:val="0"/>
              </w:rPr>
              <w:t>that the highest and best use of this property would be to sell it on the open market for construction of a high-rise residential tower, to meet the accommodation needs of students and young families.</w:t>
            </w:r>
            <w:r w:rsidR="00FA7C77">
              <w:rPr>
                <w:rFonts w:cs="Calibri"/>
                <w:b w:val="0"/>
              </w:rPr>
              <w:t xml:space="preserve"> </w:t>
            </w:r>
            <w:r w:rsidR="00FE5C31" w:rsidRPr="001D7E72">
              <w:rPr>
                <w:rFonts w:cs="Calibri"/>
                <w:b w:val="0"/>
              </w:rPr>
              <w:t>An alternative site for the shopfront has been identified.</w:t>
            </w:r>
            <w:r w:rsidR="00FA7C77">
              <w:rPr>
                <w:rFonts w:cs="Calibri"/>
                <w:b w:val="0"/>
              </w:rPr>
              <w:t xml:space="preserve"> </w:t>
            </w:r>
            <w:r w:rsidR="00FE5C31" w:rsidRPr="001D7E72">
              <w:rPr>
                <w:rFonts w:cs="Calibri"/>
                <w:b w:val="0"/>
              </w:rPr>
              <w:t>There is no physical, legal or financial barrier to this sale and the Government will be proceeding with this course of action. Accordingly, the fair value of this property reflects its estimated selling price, in its current condition, to a developer.</w:t>
            </w:r>
          </w:p>
        </w:tc>
      </w:tr>
      <w:tr w:rsidR="00C930EB" w14:paraId="10B3F75B" w14:textId="77777777" w:rsidTr="005F5B4C">
        <w:tc>
          <w:tcPr>
            <w:tcW w:w="746" w:type="pct"/>
            <w:tcBorders>
              <w:top w:val="nil"/>
              <w:left w:val="single" w:sz="4" w:space="0" w:color="auto"/>
              <w:bottom w:val="nil"/>
              <w:right w:val="single" w:sz="4" w:space="0" w:color="auto"/>
            </w:tcBorders>
          </w:tcPr>
          <w:p w14:paraId="45978821" w14:textId="77777777" w:rsidR="00C930EB" w:rsidRPr="001D7E72" w:rsidRDefault="00C930EB">
            <w:pPr>
              <w:rPr>
                <w:b/>
                <w:bCs/>
                <w:color w:val="7030A0"/>
                <w:sz w:val="16"/>
              </w:rPr>
            </w:pPr>
          </w:p>
        </w:tc>
        <w:tc>
          <w:tcPr>
            <w:tcW w:w="4254" w:type="pct"/>
            <w:tcBorders>
              <w:top w:val="nil"/>
              <w:left w:val="single" w:sz="4" w:space="0" w:color="auto"/>
              <w:bottom w:val="nil"/>
              <w:right w:val="nil"/>
            </w:tcBorders>
          </w:tcPr>
          <w:p w14:paraId="614E377F" w14:textId="77777777" w:rsidR="00C930EB" w:rsidRPr="00E3612F" w:rsidRDefault="00C930EB" w:rsidP="00E3612F">
            <w:pPr>
              <w:pStyle w:val="TableTitle"/>
              <w:tabs>
                <w:tab w:val="left" w:pos="3306"/>
              </w:tabs>
              <w:jc w:val="both"/>
              <w:rPr>
                <w:rFonts w:cs="Calibri"/>
                <w:b w:val="0"/>
              </w:rPr>
            </w:pPr>
          </w:p>
        </w:tc>
      </w:tr>
      <w:tr w:rsidR="00FE5C31" w:rsidRPr="00CF7E1B" w14:paraId="4910634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56409180" w14:textId="77777777" w:rsidR="00FE5C31" w:rsidRPr="001D7E72" w:rsidRDefault="00FE5C31" w:rsidP="000159C3">
            <w:pPr>
              <w:pStyle w:val="Reference"/>
              <w:tabs>
                <w:tab w:val="left" w:pos="3306"/>
              </w:tabs>
              <w:spacing w:before="240" w:after="240"/>
              <w:rPr>
                <w:rFonts w:cs="Calibri"/>
                <w:color w:val="7030A0"/>
                <w:sz w:val="14"/>
                <w:szCs w:val="14"/>
              </w:rPr>
            </w:pPr>
          </w:p>
        </w:tc>
        <w:tc>
          <w:tcPr>
            <w:tcW w:w="4254" w:type="pct"/>
            <w:tcBorders>
              <w:left w:val="single" w:sz="4" w:space="0" w:color="auto"/>
            </w:tcBorders>
            <w:shd w:val="clear" w:color="auto" w:fill="7030A0"/>
          </w:tcPr>
          <w:p w14:paraId="061AB14C" w14:textId="44E98D9E" w:rsidR="00FE5C31" w:rsidRPr="001D7E72" w:rsidRDefault="00FE5C31" w:rsidP="000159C3">
            <w:pPr>
              <w:pStyle w:val="CommentaryTitle"/>
              <w:spacing w:before="240" w:after="240"/>
              <w:rPr>
                <w:rFonts w:cs="Calibri"/>
                <w:color w:val="FFFFFF" w:themeColor="background1"/>
                <w:sz w:val="28"/>
                <w:szCs w:val="28"/>
              </w:rPr>
            </w:pPr>
            <w:bookmarkStart w:id="643" w:name="_Toc50440374"/>
            <w:bookmarkStart w:id="644" w:name="_Toc163106356"/>
            <w:r w:rsidRPr="001D7E72">
              <w:rPr>
                <w:rFonts w:cs="Calibri"/>
                <w:color w:val="FFFFFF" w:themeColor="background1"/>
                <w:sz w:val="28"/>
                <w:szCs w:val="28"/>
              </w:rPr>
              <w:t xml:space="preserve">Commentary – Note </w:t>
            </w:r>
            <w:r w:rsidR="001B1A1D" w:rsidRPr="001D7E72">
              <w:rPr>
                <w:rFonts w:cs="Calibri"/>
                <w:color w:val="FFFFFF" w:themeColor="background1"/>
                <w:sz w:val="28"/>
                <w:szCs w:val="28"/>
              </w:rPr>
              <w:t>19</w:t>
            </w:r>
            <w:r w:rsidRPr="001D7E72">
              <w:rPr>
                <w:rFonts w:cs="Calibri"/>
                <w:color w:val="FFFFFF" w:themeColor="background1"/>
                <w:sz w:val="28"/>
                <w:szCs w:val="28"/>
              </w:rPr>
              <w:t>: Property, Plant and Equipment</w:t>
            </w:r>
            <w:bookmarkEnd w:id="643"/>
            <w:bookmarkEnd w:id="644"/>
            <w:r w:rsidR="00774E1B" w:rsidRPr="001D7E72">
              <w:rPr>
                <w:rFonts w:cs="Calibri"/>
                <w:color w:val="FFFFFF" w:themeColor="background1"/>
                <w:sz w:val="28"/>
                <w:szCs w:val="28"/>
              </w:rPr>
              <w:t xml:space="preserve"> </w:t>
            </w:r>
          </w:p>
        </w:tc>
      </w:tr>
      <w:tr w:rsidR="00FE5C31" w:rsidRPr="00CF7E1B" w14:paraId="5D486CB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3D19D9A" w14:textId="77777777" w:rsidR="00FE5C31" w:rsidRPr="001D7E72" w:rsidRDefault="00FE5C31">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B97E568" w14:textId="77777777" w:rsidR="00FE5C31" w:rsidRPr="00D31168" w:rsidRDefault="00FE5C31" w:rsidP="00CC1E25">
            <w:pPr>
              <w:pStyle w:val="CommentaryHeading"/>
              <w:tabs>
                <w:tab w:val="left" w:pos="3306"/>
              </w:tabs>
              <w:spacing w:before="0" w:after="40"/>
              <w:rPr>
                <w:rFonts w:cs="Calibri"/>
                <w:color w:val="FFFFFF" w:themeColor="background1"/>
                <w:szCs w:val="20"/>
              </w:rPr>
            </w:pPr>
            <w:r w:rsidRPr="00D31168">
              <w:rPr>
                <w:rFonts w:cs="Calibri"/>
                <w:color w:val="FFFFFF" w:themeColor="background1"/>
                <w:szCs w:val="20"/>
              </w:rPr>
              <w:t>Classes</w:t>
            </w:r>
          </w:p>
        </w:tc>
      </w:tr>
      <w:tr w:rsidR="00FE5C31" w:rsidRPr="00CF7E1B" w14:paraId="7951E78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E7EBF0F"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 xml:space="preserve"> ACT Disclosure Policy</w:t>
            </w:r>
          </w:p>
          <w:p w14:paraId="1F74667D"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AASB 116.37</w:t>
            </w:r>
          </w:p>
        </w:tc>
        <w:tc>
          <w:tcPr>
            <w:tcW w:w="4254" w:type="pct"/>
            <w:tcBorders>
              <w:left w:val="single" w:sz="4" w:space="0" w:color="auto"/>
            </w:tcBorders>
            <w:shd w:val="clear" w:color="auto" w:fill="7030A0"/>
          </w:tcPr>
          <w:p w14:paraId="4F8C7A30" w14:textId="41593D08" w:rsidR="00FE5C31" w:rsidRPr="001D7E72" w:rsidRDefault="00FE5C31" w:rsidP="000C2014">
            <w:pPr>
              <w:pStyle w:val="CommentaryText"/>
              <w:spacing w:after="0"/>
              <w:rPr>
                <w:rFonts w:cs="Calibri"/>
                <w:color w:val="FFFFFF" w:themeColor="background1"/>
                <w:sz w:val="18"/>
                <w:szCs w:val="18"/>
              </w:rPr>
            </w:pPr>
            <w:r w:rsidRPr="001D7E72">
              <w:rPr>
                <w:rFonts w:cs="Calibri"/>
                <w:color w:val="FFFFFF" w:themeColor="background1"/>
                <w:sz w:val="18"/>
                <w:szCs w:val="18"/>
              </w:rPr>
              <w:t xml:space="preserve">ACT Disclosure Policy requires the following </w:t>
            </w:r>
            <w:r w:rsidR="00A25789" w:rsidRPr="00A25789">
              <w:rPr>
                <w:rFonts w:cs="Calibri"/>
                <w:color w:val="FF0000"/>
                <w:sz w:val="18"/>
                <w:szCs w:val="18"/>
              </w:rPr>
              <w:t>ten</w:t>
            </w:r>
            <w:r w:rsidR="00A25789">
              <w:rPr>
                <w:rFonts w:cs="Calibri"/>
                <w:color w:val="FFFFFF" w:themeColor="background1"/>
                <w:sz w:val="18"/>
                <w:szCs w:val="18"/>
              </w:rPr>
              <w:t xml:space="preserve"> </w:t>
            </w:r>
            <w:r w:rsidRPr="001D7E72">
              <w:rPr>
                <w:rFonts w:cs="Calibri"/>
                <w:color w:val="FFFFFF" w:themeColor="background1"/>
                <w:sz w:val="18"/>
                <w:szCs w:val="18"/>
              </w:rPr>
              <w:t>classes of Property, Plant and Equipment be disclosed in an agency’s financial statements where applicable:</w:t>
            </w:r>
          </w:p>
          <w:p w14:paraId="5B3866CB" w14:textId="77777777" w:rsidR="00FE5C31" w:rsidRPr="001D7E72"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land;</w:t>
            </w:r>
          </w:p>
          <w:p w14:paraId="1DCC4E0B" w14:textId="69899CFC" w:rsidR="00FE5C31"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buildings;</w:t>
            </w:r>
          </w:p>
          <w:p w14:paraId="5F584F87" w14:textId="6BED54DB" w:rsidR="00E262D4" w:rsidRPr="00E262D4" w:rsidRDefault="00E262D4" w:rsidP="00CB31DE">
            <w:pPr>
              <w:pStyle w:val="CommentaryText"/>
              <w:keepNext/>
              <w:keepLines/>
              <w:numPr>
                <w:ilvl w:val="0"/>
                <w:numId w:val="52"/>
              </w:numPr>
              <w:tabs>
                <w:tab w:val="left" w:pos="3306"/>
              </w:tabs>
              <w:spacing w:after="0"/>
              <w:ind w:left="463"/>
              <w:rPr>
                <w:rFonts w:cs="Calibri"/>
                <w:bCs/>
                <w:color w:val="FFFFFF" w:themeColor="background1"/>
                <w:sz w:val="18"/>
                <w:szCs w:val="18"/>
              </w:rPr>
            </w:pPr>
            <w:r>
              <w:rPr>
                <w:rFonts w:cs="Calibri"/>
                <w:bCs/>
                <w:iCs/>
                <w:color w:val="FF0000"/>
                <w:sz w:val="18"/>
                <w:szCs w:val="18"/>
              </w:rPr>
              <w:t>r</w:t>
            </w:r>
            <w:r w:rsidRPr="00E262D4">
              <w:rPr>
                <w:rFonts w:cs="Calibri"/>
                <w:bCs/>
                <w:iCs/>
                <w:color w:val="FF0000"/>
                <w:sz w:val="18"/>
                <w:szCs w:val="18"/>
              </w:rPr>
              <w:t>ight-</w:t>
            </w:r>
            <w:r>
              <w:rPr>
                <w:rFonts w:cs="Calibri"/>
                <w:bCs/>
                <w:iCs/>
                <w:color w:val="FF0000"/>
                <w:sz w:val="18"/>
                <w:szCs w:val="18"/>
              </w:rPr>
              <w:t>o</w:t>
            </w:r>
            <w:r w:rsidRPr="00E262D4">
              <w:rPr>
                <w:rFonts w:cs="Calibri"/>
                <w:bCs/>
                <w:iCs/>
                <w:color w:val="FF0000"/>
                <w:sz w:val="18"/>
                <w:szCs w:val="18"/>
              </w:rPr>
              <w:t>f-</w:t>
            </w:r>
            <w:r>
              <w:rPr>
                <w:rFonts w:cs="Calibri"/>
                <w:bCs/>
                <w:iCs/>
                <w:color w:val="FF0000"/>
                <w:sz w:val="18"/>
                <w:szCs w:val="18"/>
              </w:rPr>
              <w:t>u</w:t>
            </w:r>
            <w:r w:rsidRPr="00E262D4">
              <w:rPr>
                <w:rFonts w:cs="Calibri"/>
                <w:bCs/>
                <w:iCs/>
                <w:color w:val="FF0000"/>
                <w:sz w:val="18"/>
                <w:szCs w:val="18"/>
              </w:rPr>
              <w:t xml:space="preserve">se </w:t>
            </w:r>
            <w:r>
              <w:rPr>
                <w:rFonts w:cs="Calibri"/>
                <w:bCs/>
                <w:iCs/>
                <w:color w:val="FF0000"/>
                <w:sz w:val="18"/>
                <w:szCs w:val="18"/>
              </w:rPr>
              <w:t>b</w:t>
            </w:r>
            <w:r w:rsidRPr="00E262D4">
              <w:rPr>
                <w:rFonts w:cs="Calibri"/>
                <w:bCs/>
                <w:iCs/>
                <w:color w:val="FF0000"/>
                <w:sz w:val="18"/>
                <w:szCs w:val="18"/>
              </w:rPr>
              <w:t>uildings</w:t>
            </w:r>
            <w:r>
              <w:rPr>
                <w:rFonts w:cs="Calibri"/>
                <w:bCs/>
                <w:iCs/>
                <w:color w:val="FF0000"/>
                <w:sz w:val="18"/>
                <w:szCs w:val="18"/>
              </w:rPr>
              <w:t>;</w:t>
            </w:r>
          </w:p>
          <w:p w14:paraId="41DABCBC" w14:textId="77777777" w:rsidR="00FE5C31" w:rsidRPr="001D7E72"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leasehold improvements;</w:t>
            </w:r>
          </w:p>
          <w:p w14:paraId="7F874FBC" w14:textId="5B46B329" w:rsidR="00FE5C31"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plant and equipment;</w:t>
            </w:r>
          </w:p>
          <w:p w14:paraId="425409C8" w14:textId="3A14DF76" w:rsidR="00E262D4" w:rsidRPr="001D7E72" w:rsidRDefault="00E262D4" w:rsidP="00CB31DE">
            <w:pPr>
              <w:pStyle w:val="CommentaryText"/>
              <w:keepNext/>
              <w:keepLines/>
              <w:numPr>
                <w:ilvl w:val="0"/>
                <w:numId w:val="52"/>
              </w:numPr>
              <w:tabs>
                <w:tab w:val="left" w:pos="3306"/>
              </w:tabs>
              <w:spacing w:after="0"/>
              <w:ind w:left="463"/>
              <w:rPr>
                <w:rFonts w:cs="Calibri"/>
                <w:color w:val="FFFFFF" w:themeColor="background1"/>
                <w:sz w:val="18"/>
                <w:szCs w:val="18"/>
              </w:rPr>
            </w:pPr>
            <w:r>
              <w:rPr>
                <w:rFonts w:cs="Calibri"/>
                <w:bCs/>
                <w:iCs/>
                <w:color w:val="FF0000"/>
                <w:sz w:val="18"/>
                <w:szCs w:val="18"/>
              </w:rPr>
              <w:t>r</w:t>
            </w:r>
            <w:r w:rsidRPr="00E262D4">
              <w:rPr>
                <w:rFonts w:cs="Calibri"/>
                <w:bCs/>
                <w:iCs/>
                <w:color w:val="FF0000"/>
                <w:sz w:val="18"/>
                <w:szCs w:val="18"/>
              </w:rPr>
              <w:t>ight-</w:t>
            </w:r>
            <w:r>
              <w:rPr>
                <w:rFonts w:cs="Calibri"/>
                <w:bCs/>
                <w:iCs/>
                <w:color w:val="FF0000"/>
                <w:sz w:val="18"/>
                <w:szCs w:val="18"/>
              </w:rPr>
              <w:t>o</w:t>
            </w:r>
            <w:r w:rsidRPr="00E262D4">
              <w:rPr>
                <w:rFonts w:cs="Calibri"/>
                <w:bCs/>
                <w:iCs/>
                <w:color w:val="FF0000"/>
                <w:sz w:val="18"/>
                <w:szCs w:val="18"/>
              </w:rPr>
              <w:t xml:space="preserve">f-use </w:t>
            </w:r>
            <w:r w:rsidRPr="00E262D4">
              <w:rPr>
                <w:rFonts w:cs="Calibri"/>
                <w:bCs/>
                <w:color w:val="FF0000"/>
                <w:sz w:val="18"/>
                <w:szCs w:val="18"/>
              </w:rPr>
              <w:t>plant and equipment</w:t>
            </w:r>
            <w:r>
              <w:rPr>
                <w:rFonts w:cs="Calibri"/>
                <w:bCs/>
                <w:color w:val="FF0000"/>
                <w:sz w:val="18"/>
                <w:szCs w:val="18"/>
              </w:rPr>
              <w:t>;</w:t>
            </w:r>
          </w:p>
          <w:p w14:paraId="050ADE87" w14:textId="5C8AC93E" w:rsidR="00FE5C31" w:rsidRPr="001D7E72"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408A6">
              <w:rPr>
                <w:rFonts w:cs="Calibri"/>
                <w:strike/>
                <w:color w:val="FF0000"/>
                <w:sz w:val="18"/>
                <w:szCs w:val="18"/>
              </w:rPr>
              <w:t>co</w:t>
            </w:r>
            <w:r w:rsidR="00E3612F" w:rsidRPr="005408A6">
              <w:rPr>
                <w:rFonts w:cs="Calibri"/>
                <w:strike/>
                <w:color w:val="FF0000"/>
                <w:sz w:val="18"/>
                <w:szCs w:val="18"/>
              </w:rPr>
              <w:t>mmunity and</w:t>
            </w:r>
            <w:r w:rsidR="00E3612F" w:rsidRPr="005408A6">
              <w:rPr>
                <w:rFonts w:cs="Calibri"/>
                <w:color w:val="FF0000"/>
                <w:sz w:val="18"/>
                <w:szCs w:val="18"/>
              </w:rPr>
              <w:t xml:space="preserve"> </w:t>
            </w:r>
            <w:r w:rsidR="00E3612F" w:rsidRPr="001D7E72">
              <w:rPr>
                <w:rFonts w:cs="Calibri"/>
                <w:color w:val="FFFFFF" w:themeColor="background1"/>
                <w:sz w:val="18"/>
                <w:szCs w:val="18"/>
              </w:rPr>
              <w:t xml:space="preserve">heritage </w:t>
            </w:r>
            <w:r w:rsidR="005408A6" w:rsidRPr="005408A6">
              <w:rPr>
                <w:rFonts w:cs="Calibri"/>
                <w:color w:val="FF0000"/>
                <w:sz w:val="18"/>
                <w:szCs w:val="18"/>
              </w:rPr>
              <w:t xml:space="preserve">and community </w:t>
            </w:r>
            <w:r w:rsidR="00E3612F" w:rsidRPr="001D7E72">
              <w:rPr>
                <w:rFonts w:cs="Calibri"/>
                <w:color w:val="FFFFFF" w:themeColor="background1"/>
                <w:sz w:val="18"/>
                <w:szCs w:val="18"/>
              </w:rPr>
              <w:t xml:space="preserve">assets; </w:t>
            </w:r>
            <w:r w:rsidR="00905B5C" w:rsidRPr="00E262D4">
              <w:rPr>
                <w:rFonts w:cs="Calibri"/>
                <w:strike/>
                <w:color w:val="FF0000"/>
                <w:sz w:val="18"/>
                <w:szCs w:val="18"/>
              </w:rPr>
              <w:t>and</w:t>
            </w:r>
          </w:p>
          <w:p w14:paraId="25EE660A" w14:textId="4C5EFB27" w:rsidR="00E262D4" w:rsidRPr="00E262D4" w:rsidRDefault="00FE5C31" w:rsidP="00CB31DE">
            <w:pPr>
              <w:pStyle w:val="CommentaryText"/>
              <w:keepNext/>
              <w:keepLines/>
              <w:numPr>
                <w:ilvl w:val="0"/>
                <w:numId w:val="52"/>
              </w:numPr>
              <w:tabs>
                <w:tab w:val="left" w:pos="3306"/>
              </w:tabs>
              <w:spacing w:after="0"/>
              <w:ind w:left="463"/>
              <w:rPr>
                <w:rFonts w:cs="Calibri"/>
                <w:color w:val="FF0000"/>
                <w:sz w:val="18"/>
                <w:szCs w:val="18"/>
              </w:rPr>
            </w:pPr>
            <w:r w:rsidRPr="001D7E72">
              <w:rPr>
                <w:rFonts w:cs="Calibri"/>
                <w:color w:val="FFFFFF" w:themeColor="background1"/>
                <w:sz w:val="18"/>
                <w:szCs w:val="18"/>
              </w:rPr>
              <w:t>infras</w:t>
            </w:r>
            <w:r w:rsidR="00E3612F" w:rsidRPr="001D7E72">
              <w:rPr>
                <w:rFonts w:cs="Calibri"/>
                <w:color w:val="FFFFFF" w:themeColor="background1"/>
                <w:sz w:val="18"/>
                <w:szCs w:val="18"/>
              </w:rPr>
              <w:t>tructure assets</w:t>
            </w:r>
            <w:r w:rsidR="00E262D4" w:rsidRPr="00E262D4">
              <w:rPr>
                <w:rFonts w:cs="Calibri"/>
                <w:color w:val="FF0000"/>
                <w:sz w:val="18"/>
                <w:szCs w:val="18"/>
              </w:rPr>
              <w:t xml:space="preserve">; </w:t>
            </w:r>
          </w:p>
          <w:p w14:paraId="3B216590" w14:textId="1E7D3D9F" w:rsidR="0014421E" w:rsidRPr="0014421E" w:rsidRDefault="00DD54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Pr>
                <w:rFonts w:cs="Calibri"/>
                <w:bCs/>
                <w:iCs/>
                <w:color w:val="FF0000"/>
                <w:sz w:val="18"/>
                <w:szCs w:val="18"/>
              </w:rPr>
              <w:t>r</w:t>
            </w:r>
            <w:r w:rsidR="00E262D4" w:rsidRPr="00E262D4">
              <w:rPr>
                <w:rFonts w:cs="Calibri"/>
                <w:bCs/>
                <w:iCs/>
                <w:color w:val="FF0000"/>
                <w:sz w:val="18"/>
                <w:szCs w:val="18"/>
              </w:rPr>
              <w:t>ight-</w:t>
            </w:r>
            <w:r w:rsidR="00A25789">
              <w:rPr>
                <w:rFonts w:cs="Calibri"/>
                <w:bCs/>
                <w:iCs/>
                <w:color w:val="FF0000"/>
                <w:sz w:val="18"/>
                <w:szCs w:val="18"/>
              </w:rPr>
              <w:t>o</w:t>
            </w:r>
            <w:r w:rsidR="00E262D4" w:rsidRPr="00E262D4">
              <w:rPr>
                <w:rFonts w:cs="Calibri"/>
                <w:bCs/>
                <w:iCs/>
                <w:color w:val="FF0000"/>
                <w:sz w:val="18"/>
                <w:szCs w:val="18"/>
              </w:rPr>
              <w:t>f-</w:t>
            </w:r>
            <w:r>
              <w:rPr>
                <w:rFonts w:cs="Calibri"/>
                <w:bCs/>
                <w:iCs/>
                <w:color w:val="FF0000"/>
                <w:sz w:val="18"/>
                <w:szCs w:val="18"/>
              </w:rPr>
              <w:t>u</w:t>
            </w:r>
            <w:r w:rsidR="00E262D4" w:rsidRPr="00E262D4">
              <w:rPr>
                <w:rFonts w:cs="Calibri"/>
                <w:bCs/>
                <w:iCs/>
                <w:color w:val="FF0000"/>
                <w:sz w:val="18"/>
                <w:szCs w:val="18"/>
              </w:rPr>
              <w:t xml:space="preserve">se </w:t>
            </w:r>
            <w:r w:rsidR="00E262D4" w:rsidRPr="00E262D4">
              <w:rPr>
                <w:rFonts w:cs="Calibri"/>
                <w:color w:val="FF0000"/>
                <w:sz w:val="18"/>
                <w:szCs w:val="18"/>
              </w:rPr>
              <w:t>infrastructure assets</w:t>
            </w:r>
            <w:r w:rsidR="0014421E">
              <w:rPr>
                <w:rFonts w:cs="Calibri"/>
                <w:color w:val="FF0000"/>
                <w:sz w:val="18"/>
                <w:szCs w:val="18"/>
              </w:rPr>
              <w:t>;</w:t>
            </w:r>
            <w:r w:rsidR="0014421E" w:rsidRPr="00E262D4">
              <w:rPr>
                <w:rFonts w:cs="Calibri"/>
                <w:color w:val="FF0000"/>
                <w:sz w:val="18"/>
                <w:szCs w:val="18"/>
              </w:rPr>
              <w:t xml:space="preserve"> and</w:t>
            </w:r>
          </w:p>
          <w:p w14:paraId="0D07A502" w14:textId="04C7C382" w:rsidR="00E3612F" w:rsidRPr="001D7E72" w:rsidRDefault="0014421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52C5D">
              <w:rPr>
                <w:rFonts w:cs="Calibri"/>
                <w:bCs/>
                <w:iCs/>
                <w:color w:val="FF0000"/>
                <w:sz w:val="18"/>
                <w:szCs w:val="18"/>
              </w:rPr>
              <w:t>property, plant and equipment held for transfer</w:t>
            </w:r>
            <w:r w:rsidR="00905B5C" w:rsidRPr="00152C5D">
              <w:rPr>
                <w:rFonts w:cs="Calibri"/>
                <w:color w:val="FFFFFF" w:themeColor="background1"/>
                <w:sz w:val="18"/>
                <w:szCs w:val="18"/>
              </w:rPr>
              <w:t>.</w:t>
            </w:r>
            <w:r w:rsidR="00905B5C" w:rsidRPr="001D7E72">
              <w:rPr>
                <w:rFonts w:cs="Calibri"/>
                <w:color w:val="FFFFFF" w:themeColor="background1"/>
                <w:sz w:val="18"/>
                <w:szCs w:val="18"/>
              </w:rPr>
              <w:t xml:space="preserve"> </w:t>
            </w:r>
          </w:p>
        </w:tc>
      </w:tr>
      <w:tr w:rsidR="00E60250" w:rsidRPr="00CF7E1B" w14:paraId="1544B2DA"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2193810B" w14:textId="77777777" w:rsidR="00E60250" w:rsidRPr="001D7E72" w:rsidRDefault="00E60250" w:rsidP="00E60250">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32CA484E" w14:textId="40E049FC" w:rsidR="00E60250" w:rsidRPr="00D31168" w:rsidRDefault="00AE7A0F" w:rsidP="00CC1E25">
            <w:pPr>
              <w:pStyle w:val="CommentaryHeading"/>
              <w:tabs>
                <w:tab w:val="left" w:pos="3306"/>
              </w:tabs>
              <w:spacing w:after="0"/>
              <w:rPr>
                <w:rFonts w:cs="Calibri"/>
                <w:color w:val="FFFFFF" w:themeColor="background1"/>
                <w:szCs w:val="20"/>
              </w:rPr>
            </w:pPr>
            <w:r w:rsidRPr="00D31168">
              <w:rPr>
                <w:rFonts w:cs="Calibri"/>
                <w:color w:val="FFFFFF" w:themeColor="background1"/>
                <w:szCs w:val="20"/>
              </w:rPr>
              <w:t xml:space="preserve">Property, Plant and Equipment </w:t>
            </w:r>
            <w:r w:rsidR="00E60250" w:rsidRPr="00D31168">
              <w:rPr>
                <w:rFonts w:cs="Calibri"/>
                <w:color w:val="FFFFFF" w:themeColor="background1"/>
                <w:szCs w:val="20"/>
              </w:rPr>
              <w:t>Reconciliations</w:t>
            </w:r>
          </w:p>
        </w:tc>
      </w:tr>
      <w:tr w:rsidR="00320465" w:rsidRPr="00CF7E1B" w14:paraId="3E92513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6F3CA4F" w14:textId="77777777" w:rsidR="00320465" w:rsidRPr="001D7E72" w:rsidRDefault="00320465" w:rsidP="00E60250">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51A4E92D" w14:textId="3EA9E0DF" w:rsidR="00320465" w:rsidRPr="00CC1E25" w:rsidRDefault="00320465" w:rsidP="00526C44">
            <w:pPr>
              <w:pStyle w:val="CommentaryHeading"/>
              <w:tabs>
                <w:tab w:val="left" w:pos="3306"/>
              </w:tabs>
              <w:spacing w:before="60" w:after="0"/>
              <w:rPr>
                <w:rFonts w:cs="Calibri"/>
                <w:b w:val="0"/>
                <w:bCs w:val="0"/>
                <w:color w:val="FFFFFF" w:themeColor="background1"/>
                <w:sz w:val="18"/>
              </w:rPr>
            </w:pPr>
            <w:r w:rsidRPr="00CC1E25">
              <w:rPr>
                <w:rFonts w:cs="Calibri"/>
                <w:b w:val="0"/>
                <w:bCs w:val="0"/>
                <w:i/>
                <w:iCs/>
                <w:color w:val="FFFFFF" w:themeColor="background1"/>
                <w:sz w:val="18"/>
              </w:rPr>
              <w:t>Reconciliation of All Property, Plant and Equipment</w:t>
            </w:r>
          </w:p>
        </w:tc>
      </w:tr>
      <w:tr w:rsidR="00E60250" w:rsidRPr="00CF7E1B" w14:paraId="4E27233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78E18DC" w14:textId="77777777" w:rsidR="00E60250" w:rsidRPr="001D7E72" w:rsidRDefault="00E60250" w:rsidP="00E60250">
            <w:pPr>
              <w:pStyle w:val="TableReference"/>
              <w:tabs>
                <w:tab w:val="left" w:pos="3306"/>
              </w:tabs>
              <w:spacing w:before="60"/>
              <w:rPr>
                <w:rFonts w:cs="Calibri"/>
                <w:color w:val="7030A0"/>
                <w:sz w:val="14"/>
              </w:rPr>
            </w:pPr>
            <w:r w:rsidRPr="001D7E72">
              <w:rPr>
                <w:rFonts w:cs="Calibri"/>
                <w:color w:val="7030A0"/>
                <w:sz w:val="14"/>
              </w:rPr>
              <w:t xml:space="preserve">AASB 116.73(e) </w:t>
            </w:r>
          </w:p>
          <w:p w14:paraId="715C6438" w14:textId="77777777" w:rsidR="00E60250" w:rsidRPr="001D7E72" w:rsidRDefault="00E60250" w:rsidP="00E60250">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07DB04F" w14:textId="729F78A1" w:rsidR="00E60250" w:rsidRPr="001D7E72" w:rsidRDefault="00441402" w:rsidP="00B5238F">
            <w:pPr>
              <w:pStyle w:val="CommentaryText"/>
              <w:tabs>
                <w:tab w:val="left" w:pos="3306"/>
              </w:tabs>
              <w:spacing w:after="40"/>
              <w:rPr>
                <w:rFonts w:cs="Calibri"/>
                <w:color w:val="FFFFFF" w:themeColor="background1"/>
                <w:sz w:val="18"/>
                <w:szCs w:val="18"/>
              </w:rPr>
            </w:pPr>
            <w:r w:rsidRPr="001D7E72">
              <w:rPr>
                <w:rFonts w:cs="Calibri"/>
                <w:color w:val="FFFFFF" w:themeColor="background1"/>
                <w:sz w:val="18"/>
                <w:szCs w:val="18"/>
              </w:rPr>
              <w:t>A</w:t>
            </w:r>
            <w:r w:rsidR="00E60250" w:rsidRPr="001D7E72">
              <w:rPr>
                <w:rFonts w:cs="Calibri"/>
                <w:color w:val="FFFFFF" w:themeColor="background1"/>
                <w:sz w:val="18"/>
                <w:szCs w:val="18"/>
              </w:rPr>
              <w:t xml:space="preserve"> reconciliation of the carrying amounts of each class of Property, Plant and Equipment at the beginning and end of the reporting period</w:t>
            </w:r>
            <w:r w:rsidRPr="001D7E72">
              <w:rPr>
                <w:rFonts w:cs="Calibri"/>
                <w:color w:val="FFFFFF" w:themeColor="background1"/>
                <w:sz w:val="18"/>
                <w:szCs w:val="18"/>
              </w:rPr>
              <w:t xml:space="preserve"> must</w:t>
            </w:r>
            <w:r w:rsidR="00E60250" w:rsidRPr="001D7E72">
              <w:rPr>
                <w:rFonts w:cs="Calibri"/>
                <w:color w:val="FFFFFF" w:themeColor="background1"/>
                <w:sz w:val="18"/>
                <w:szCs w:val="18"/>
              </w:rPr>
              <w:t xml:space="preserve"> be disclosed in an agency’s financial statements.</w:t>
            </w:r>
            <w:r w:rsidR="00FA7C77">
              <w:rPr>
                <w:rFonts w:cs="Calibri"/>
                <w:color w:val="FFFFFF" w:themeColor="background1"/>
                <w:sz w:val="18"/>
                <w:szCs w:val="18"/>
              </w:rPr>
              <w:t xml:space="preserve"> </w:t>
            </w:r>
            <w:r w:rsidR="00E60250" w:rsidRPr="001D7E72">
              <w:rPr>
                <w:rFonts w:cs="Calibri"/>
                <w:color w:val="FFFFFF" w:themeColor="background1"/>
                <w:sz w:val="18"/>
                <w:szCs w:val="18"/>
              </w:rPr>
              <w:t>Where applicable, the reconciliation must show details of movements as follows:</w:t>
            </w:r>
          </w:p>
          <w:p w14:paraId="70E172D4"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additions;</w:t>
            </w:r>
          </w:p>
          <w:p w14:paraId="13FF2EB3"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assets classified as held for sale or included in a disposal group held for sale;</w:t>
            </w:r>
          </w:p>
          <w:p w14:paraId="3FAF3576"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acquisitions through business combinations;</w:t>
            </w:r>
          </w:p>
          <w:p w14:paraId="3FA2BEB1"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increases or decreases in other comprehensive income resulting from revaluations, impairment losses and impairment losses reversed;</w:t>
            </w:r>
          </w:p>
          <w:p w14:paraId="617A696F"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impairment losses, or impairment losses reversed, in profit and loss;</w:t>
            </w:r>
          </w:p>
          <w:p w14:paraId="302BBF10" w14:textId="77777777" w:rsidR="00E60250" w:rsidRPr="001D7E72" w:rsidRDefault="00E60250"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depreciation; and</w:t>
            </w:r>
          </w:p>
          <w:p w14:paraId="194D8655" w14:textId="77777777" w:rsidR="00E60250" w:rsidRPr="001D7E72" w:rsidRDefault="00E60250"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1D7E72">
              <w:rPr>
                <w:rFonts w:cs="Calibri"/>
                <w:color w:val="FFFFFF" w:themeColor="background1"/>
                <w:sz w:val="18"/>
                <w:szCs w:val="18"/>
              </w:rPr>
              <w:t>other changes.</w:t>
            </w:r>
          </w:p>
        </w:tc>
      </w:tr>
      <w:tr w:rsidR="00320465" w:rsidRPr="00CF7E1B" w14:paraId="0FF201F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55ED9735"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vAlign w:val="bottom"/>
          </w:tcPr>
          <w:p w14:paraId="16CEA08D" w14:textId="33108EA5" w:rsidR="00320465" w:rsidRPr="00CC1E25" w:rsidRDefault="00320465" w:rsidP="00320465">
            <w:pPr>
              <w:pStyle w:val="CommentaryText"/>
              <w:tabs>
                <w:tab w:val="left" w:pos="3306"/>
              </w:tabs>
              <w:spacing w:after="40"/>
              <w:rPr>
                <w:rFonts w:cs="Calibri"/>
                <w:strike/>
                <w:color w:val="FFFFFF" w:themeColor="background1"/>
                <w:sz w:val="18"/>
                <w:szCs w:val="18"/>
              </w:rPr>
            </w:pPr>
            <w:r w:rsidRPr="00CC1E25">
              <w:rPr>
                <w:rFonts w:cs="Calibri"/>
                <w:i/>
                <w:iCs/>
                <w:color w:val="FFFFFF" w:themeColor="background1"/>
                <w:sz w:val="18"/>
                <w:szCs w:val="18"/>
              </w:rPr>
              <w:t>Reconciliation of Level 3 Property, Plant and Equipment</w:t>
            </w:r>
          </w:p>
        </w:tc>
      </w:tr>
      <w:tr w:rsidR="00320465" w:rsidRPr="00CF7E1B" w14:paraId="1FA38B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618CEECB" w14:textId="1A5059D6" w:rsidR="00320465" w:rsidRPr="001D7E72" w:rsidRDefault="00320465" w:rsidP="00320465">
            <w:pPr>
              <w:pStyle w:val="TableReference"/>
              <w:tabs>
                <w:tab w:val="left" w:pos="3306"/>
              </w:tabs>
              <w:spacing w:before="60"/>
              <w:rPr>
                <w:rFonts w:cs="Calibri"/>
                <w:color w:val="7030A0"/>
                <w:sz w:val="14"/>
              </w:rPr>
            </w:pPr>
            <w:r w:rsidRPr="001D7E72">
              <w:rPr>
                <w:rFonts w:cs="Calibri"/>
                <w:color w:val="7030A0"/>
              </w:rPr>
              <w:t>AASB 13.93(e)</w:t>
            </w:r>
          </w:p>
        </w:tc>
        <w:tc>
          <w:tcPr>
            <w:tcW w:w="4254" w:type="pct"/>
            <w:tcBorders>
              <w:left w:val="single" w:sz="4" w:space="0" w:color="auto"/>
            </w:tcBorders>
            <w:shd w:val="clear" w:color="auto" w:fill="7030A0"/>
            <w:vAlign w:val="bottom"/>
          </w:tcPr>
          <w:p w14:paraId="17931E31" w14:textId="77777777" w:rsidR="00320465" w:rsidRPr="001D7E72" w:rsidRDefault="00320465" w:rsidP="00320465">
            <w:pPr>
              <w:pStyle w:val="CommentaryText"/>
              <w:rPr>
                <w:rFonts w:cs="Calibri"/>
                <w:color w:val="FFFFFF" w:themeColor="background1"/>
                <w:sz w:val="18"/>
                <w:szCs w:val="18"/>
              </w:rPr>
            </w:pPr>
            <w:r w:rsidRPr="001D7E72">
              <w:rPr>
                <w:rFonts w:cs="Calibri"/>
                <w:color w:val="FFFFFF" w:themeColor="background1"/>
                <w:sz w:val="18"/>
                <w:szCs w:val="18"/>
              </w:rPr>
              <w:t>Agencies shall provide a reconciliation from the opening balances to the closing balances, disclosing separately changes during the period attributable to the following:</w:t>
            </w:r>
          </w:p>
          <w:p w14:paraId="01FA012A" w14:textId="5270A3E8" w:rsidR="0032046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the operating result by line item;</w:t>
            </w:r>
          </w:p>
          <w:p w14:paraId="6F0B670C" w14:textId="39FC8132" w:rsidR="0032046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other comprehensive income by line item;</w:t>
            </w:r>
          </w:p>
          <w:p w14:paraId="237D1972" w14:textId="5BB8FEE3" w:rsidR="00320465" w:rsidRPr="001D7E72"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purchases, sales, issues and settlements (each disclosed separately);</w:t>
            </w:r>
            <w:r w:rsidR="00773769">
              <w:rPr>
                <w:rFonts w:cs="Calibri"/>
                <w:color w:val="FFFFFF" w:themeColor="background1"/>
                <w:sz w:val="18"/>
                <w:szCs w:val="18"/>
              </w:rPr>
              <w:t xml:space="preserve"> and</w:t>
            </w:r>
          </w:p>
          <w:p w14:paraId="76B1D775" w14:textId="3906BFF4" w:rsidR="00320465" w:rsidRPr="001D7E72" w:rsidRDefault="00320465" w:rsidP="00CB31DE">
            <w:pPr>
              <w:pStyle w:val="CommentaryText"/>
              <w:keepNext/>
              <w:keepLines/>
              <w:numPr>
                <w:ilvl w:val="0"/>
                <w:numId w:val="52"/>
              </w:numPr>
              <w:tabs>
                <w:tab w:val="left" w:pos="3306"/>
              </w:tabs>
              <w:spacing w:after="0"/>
              <w:ind w:left="463"/>
              <w:rPr>
                <w:rFonts w:cs="Calibri"/>
                <w:strike/>
                <w:color w:val="FFFFFF" w:themeColor="background1"/>
                <w:sz w:val="18"/>
                <w:szCs w:val="18"/>
              </w:rPr>
            </w:pPr>
            <w:r w:rsidRPr="001D7E72">
              <w:rPr>
                <w:rFonts w:cs="Calibri"/>
                <w:color w:val="FFFFFF" w:themeColor="background1"/>
                <w:sz w:val="18"/>
                <w:szCs w:val="18"/>
              </w:rPr>
              <w:t>the amounts of any transfers into or out of level 3, the reasons for those transfers and the policy for determining when transfers between levels are deemed to have occurred.</w:t>
            </w:r>
            <w:r w:rsidR="00FA7C77">
              <w:rPr>
                <w:rFonts w:cs="Calibri"/>
                <w:color w:val="FFFFFF" w:themeColor="background1"/>
                <w:sz w:val="18"/>
                <w:szCs w:val="18"/>
              </w:rPr>
              <w:t xml:space="preserve"> </w:t>
            </w:r>
            <w:r w:rsidRPr="001D7E72">
              <w:rPr>
                <w:rFonts w:cs="Calibri"/>
                <w:color w:val="FFFFFF" w:themeColor="background1"/>
                <w:sz w:val="18"/>
                <w:szCs w:val="18"/>
              </w:rPr>
              <w:t>Transfers into Level 3 shall be disclosed and discussed separately from transfers out of Level 3.</w:t>
            </w:r>
          </w:p>
        </w:tc>
      </w:tr>
      <w:tr w:rsidR="00320465" w:rsidRPr="00CF7E1B" w14:paraId="0C094890"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4E7F3253" w14:textId="77777777" w:rsidR="00320465" w:rsidRPr="001D7E72" w:rsidRDefault="00320465" w:rsidP="00320465">
            <w:pPr>
              <w:pStyle w:val="TableReference"/>
              <w:spacing w:before="60"/>
              <w:rPr>
                <w:rFonts w:cs="Calibri"/>
                <w:color w:val="7030A0"/>
                <w:sz w:val="14"/>
              </w:rPr>
            </w:pPr>
            <w:r w:rsidRPr="001D7E72">
              <w:rPr>
                <w:rFonts w:cs="Calibri"/>
                <w:color w:val="7030A0"/>
                <w:sz w:val="14"/>
              </w:rPr>
              <w:t>AASB 116.74(a)</w:t>
            </w:r>
          </w:p>
        </w:tc>
        <w:tc>
          <w:tcPr>
            <w:tcW w:w="4254" w:type="pct"/>
            <w:tcBorders>
              <w:left w:val="single" w:sz="4" w:space="0" w:color="auto"/>
            </w:tcBorders>
            <w:shd w:val="clear" w:color="auto" w:fill="7030A0"/>
          </w:tcPr>
          <w:p w14:paraId="00BA7438" w14:textId="520D9E4C" w:rsidR="00320465" w:rsidRPr="001D7E72" w:rsidRDefault="00320465" w:rsidP="00320465">
            <w:pPr>
              <w:pStyle w:val="CommentaryText"/>
              <w:rPr>
                <w:rFonts w:cs="Calibri"/>
                <w:color w:val="FFFFFF" w:themeColor="background1"/>
                <w:sz w:val="18"/>
                <w:szCs w:val="18"/>
              </w:rPr>
            </w:pPr>
            <w:r w:rsidRPr="001D7E72">
              <w:rPr>
                <w:rFonts w:cs="Calibri"/>
                <w:color w:val="FFFFFF" w:themeColor="background1"/>
                <w:sz w:val="18"/>
                <w:szCs w:val="18"/>
              </w:rPr>
              <w:t>Agencies must disclose information about the carrying amount of any non-current assets pledged as security for liabilities and the existence and amounts of any restrictions on title.</w:t>
            </w:r>
          </w:p>
        </w:tc>
      </w:tr>
      <w:tr w:rsidR="00320465" w:rsidRPr="00C41F18" w14:paraId="693A595B"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27295A1D"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7872DAA1" w14:textId="77777777" w:rsidR="00320465" w:rsidRPr="00D31168" w:rsidRDefault="00320465" w:rsidP="00320465">
            <w:pPr>
              <w:pStyle w:val="CommentaryText"/>
              <w:spacing w:after="0"/>
              <w:rPr>
                <w:rFonts w:cs="Calibri"/>
                <w:b/>
                <w:bCs/>
                <w:color w:val="FFFFFF" w:themeColor="background1"/>
                <w:szCs w:val="20"/>
              </w:rPr>
            </w:pPr>
            <w:r w:rsidRPr="00D31168">
              <w:rPr>
                <w:rFonts w:cs="Calibri"/>
                <w:b/>
                <w:bCs/>
                <w:color w:val="FFFFFF" w:themeColor="background1"/>
                <w:szCs w:val="20"/>
              </w:rPr>
              <w:t>Measurement</w:t>
            </w:r>
          </w:p>
        </w:tc>
      </w:tr>
      <w:tr w:rsidR="00320465" w:rsidRPr="00C41F18" w14:paraId="70B8D0A9"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0D3B77E1"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3D729B33" w14:textId="645BFE66" w:rsidR="00320465" w:rsidRPr="00CC1E25" w:rsidRDefault="00320465" w:rsidP="00320465">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Initial Measurement</w:t>
            </w:r>
          </w:p>
        </w:tc>
      </w:tr>
      <w:tr w:rsidR="00320465" w:rsidRPr="003E28E6" w14:paraId="718FCD8C"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6F886AE8"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tcPr>
          <w:p w14:paraId="5F7A4AAE" w14:textId="368AA445" w:rsidR="00320465" w:rsidRPr="001D7E72" w:rsidRDefault="006E7FE9" w:rsidP="00320465">
            <w:pPr>
              <w:pStyle w:val="CommentaryText"/>
              <w:rPr>
                <w:rFonts w:cs="Calibri"/>
                <w:color w:val="FFFFFF" w:themeColor="background1"/>
                <w:sz w:val="18"/>
                <w:szCs w:val="18"/>
              </w:rPr>
            </w:pPr>
            <w:r>
              <w:rPr>
                <w:color w:val="FFFFFF" w:themeColor="background1"/>
                <w:sz w:val="18"/>
                <w:szCs w:val="18"/>
              </w:rPr>
              <w:t>Property, Plant and Equipment</w:t>
            </w:r>
            <w:r w:rsidR="00320465" w:rsidRPr="001D7E72">
              <w:rPr>
                <w:color w:val="FFFFFF" w:themeColor="background1"/>
                <w:sz w:val="18"/>
                <w:szCs w:val="18"/>
              </w:rPr>
              <w:t xml:space="preserve"> are initially recorded at cost, with service concession assets initially measured at current replacement cost.</w:t>
            </w:r>
          </w:p>
        </w:tc>
      </w:tr>
    </w:tbl>
    <w:p w14:paraId="4C824E1D" w14:textId="77777777" w:rsidR="000F51E0" w:rsidRDefault="000F51E0">
      <w:r>
        <w:br w:type="page"/>
      </w:r>
    </w:p>
    <w:tbl>
      <w:tblPr>
        <w:tblW w:w="527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8929"/>
      </w:tblGrid>
      <w:tr w:rsidR="00B33CD5" w:rsidRPr="003E28E6" w14:paraId="1DCBDD99" w14:textId="77777777" w:rsidTr="005F5B4C">
        <w:trPr>
          <w:trHeight w:val="23"/>
        </w:trPr>
        <w:tc>
          <w:tcPr>
            <w:tcW w:w="746" w:type="pct"/>
            <w:tcBorders>
              <w:top w:val="nil"/>
              <w:left w:val="single" w:sz="2" w:space="0" w:color="auto"/>
              <w:bottom w:val="nil"/>
              <w:right w:val="single" w:sz="2" w:space="0" w:color="auto"/>
            </w:tcBorders>
          </w:tcPr>
          <w:p w14:paraId="5D4536CF" w14:textId="4F92C452" w:rsidR="00B33CD5" w:rsidRPr="00B33CD5" w:rsidRDefault="00B33CD5" w:rsidP="000159C3">
            <w:pPr>
              <w:pStyle w:val="NormalSFLeadIn"/>
              <w:spacing w:before="240" w:after="240"/>
              <w:rPr>
                <w:b/>
                <w:bCs/>
                <w:color w:val="7030A0"/>
                <w:sz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43548DAC" w14:textId="46D7F8D8" w:rsidR="00B33CD5" w:rsidRPr="00B33CD5" w:rsidRDefault="00B33CD5" w:rsidP="000159C3">
            <w:pPr>
              <w:pStyle w:val="TableText"/>
              <w:spacing w:before="240" w:after="240"/>
              <w:jc w:val="both"/>
              <w:rPr>
                <w:rFonts w:cs="Calibri"/>
                <w:b/>
                <w:bCs/>
                <w:color w:val="FFFFFF" w:themeColor="background1"/>
              </w:rPr>
            </w:pPr>
            <w:r w:rsidRPr="00B33CD5">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320465" w:rsidRPr="003E28E6" w14:paraId="451D773F" w14:textId="77777777" w:rsidTr="005F5B4C">
        <w:trPr>
          <w:trHeight w:val="23"/>
        </w:trPr>
        <w:tc>
          <w:tcPr>
            <w:tcW w:w="746" w:type="pct"/>
            <w:tcBorders>
              <w:top w:val="nil"/>
              <w:left w:val="single" w:sz="2" w:space="0" w:color="auto"/>
              <w:bottom w:val="nil"/>
              <w:right w:val="single" w:sz="2" w:space="0" w:color="auto"/>
            </w:tcBorders>
          </w:tcPr>
          <w:p w14:paraId="6800E537" w14:textId="304EFD90"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AASB 116.16</w:t>
            </w:r>
          </w:p>
        </w:tc>
        <w:tc>
          <w:tcPr>
            <w:tcW w:w="4254" w:type="pct"/>
            <w:tcBorders>
              <w:top w:val="nil"/>
              <w:left w:val="single" w:sz="2" w:space="0" w:color="auto"/>
              <w:bottom w:val="nil"/>
              <w:right w:val="nil"/>
            </w:tcBorders>
            <w:shd w:val="clear" w:color="auto" w:fill="7030A0"/>
            <w:vAlign w:val="bottom"/>
          </w:tcPr>
          <w:p w14:paraId="61624372" w14:textId="77777777" w:rsidR="00320465" w:rsidRPr="000F51E0" w:rsidRDefault="00320465" w:rsidP="000F51E0">
            <w:pPr>
              <w:pStyle w:val="CommentaryText"/>
              <w:keepNext/>
              <w:keepLines/>
              <w:tabs>
                <w:tab w:val="left" w:pos="3306"/>
              </w:tabs>
              <w:spacing w:after="0"/>
              <w:rPr>
                <w:rFonts w:cs="Calibri"/>
                <w:color w:val="FFFFFF" w:themeColor="background1"/>
                <w:sz w:val="18"/>
                <w:szCs w:val="18"/>
              </w:rPr>
            </w:pPr>
            <w:r w:rsidRPr="000F51E0">
              <w:rPr>
                <w:rFonts w:cs="Calibri"/>
                <w:color w:val="FFFFFF" w:themeColor="background1"/>
                <w:sz w:val="18"/>
                <w:szCs w:val="18"/>
              </w:rPr>
              <w:t>The cost of an item of property, plant and equipment comprises:</w:t>
            </w:r>
          </w:p>
          <w:p w14:paraId="11C246DB" w14:textId="77777777" w:rsidR="00320465" w:rsidRPr="000F51E0"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its purchase price;</w:t>
            </w:r>
          </w:p>
          <w:p w14:paraId="3F35E10C" w14:textId="77777777" w:rsidR="00320465" w:rsidRPr="000F51E0"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any directly attributable costs; and</w:t>
            </w:r>
          </w:p>
          <w:p w14:paraId="05666AD7" w14:textId="3674F05D" w:rsidR="00320465" w:rsidRPr="000F51E0" w:rsidRDefault="0032046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0F51E0">
              <w:rPr>
                <w:rFonts w:cs="Calibri"/>
                <w:color w:val="FFFFFF" w:themeColor="background1"/>
                <w:sz w:val="18"/>
                <w:szCs w:val="18"/>
              </w:rPr>
              <w:t>the initial estimate of the costs of dismantling and removing the item and restoring the site on which it is located.</w:t>
            </w:r>
          </w:p>
        </w:tc>
      </w:tr>
      <w:tr w:rsidR="00320465" w:rsidRPr="003E28E6" w14:paraId="0C43B60D" w14:textId="77777777" w:rsidTr="005F5B4C">
        <w:trPr>
          <w:trHeight w:val="23"/>
        </w:trPr>
        <w:tc>
          <w:tcPr>
            <w:tcW w:w="746" w:type="pct"/>
            <w:tcBorders>
              <w:top w:val="nil"/>
              <w:left w:val="single" w:sz="2" w:space="0" w:color="auto"/>
              <w:bottom w:val="nil"/>
              <w:right w:val="single" w:sz="2" w:space="0" w:color="auto"/>
            </w:tcBorders>
          </w:tcPr>
          <w:p w14:paraId="634B2976"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6D802E2" w14:textId="77777777" w:rsidR="00320465" w:rsidRPr="00B33CD5" w:rsidRDefault="00320465" w:rsidP="007A1AA8">
            <w:pPr>
              <w:pStyle w:val="CommentaryText"/>
              <w:spacing w:after="40"/>
              <w:rPr>
                <w:rFonts w:cs="Calibri"/>
                <w:color w:val="FFFFFF" w:themeColor="background1"/>
                <w:sz w:val="18"/>
                <w:szCs w:val="18"/>
              </w:rPr>
            </w:pPr>
            <w:r w:rsidRPr="00B33CD5">
              <w:rPr>
                <w:rFonts w:cs="Calibri"/>
                <w:color w:val="FFFFFF" w:themeColor="background1"/>
                <w:sz w:val="18"/>
                <w:szCs w:val="18"/>
              </w:rPr>
              <w:t>Right-of-use assets are initially measured at cost including the following:</w:t>
            </w:r>
          </w:p>
          <w:p w14:paraId="67F361AE" w14:textId="77777777" w:rsidR="00320465" w:rsidRPr="00B33CD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amount of the initial measurement of the lease liability;</w:t>
            </w:r>
          </w:p>
          <w:p w14:paraId="7EF73848" w14:textId="77777777" w:rsidR="00320465" w:rsidRPr="00B33CD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any lease payments made at or before the commencement date less any lease incentives received;</w:t>
            </w:r>
          </w:p>
          <w:p w14:paraId="6D372DD2" w14:textId="5E1F70F8" w:rsidR="00320465" w:rsidRPr="00B33CD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any initial direct costs; and </w:t>
            </w:r>
          </w:p>
          <w:p w14:paraId="55828C0D" w14:textId="78E5C14E" w:rsidR="00320465" w:rsidRPr="00B33CD5" w:rsidRDefault="0032046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restoration costs, including dismantling and removing the underlying asset.</w:t>
            </w:r>
          </w:p>
        </w:tc>
      </w:tr>
      <w:tr w:rsidR="00320465" w:rsidRPr="003E28E6" w14:paraId="2D46A1AC" w14:textId="77777777" w:rsidTr="005F5B4C">
        <w:trPr>
          <w:trHeight w:val="23"/>
        </w:trPr>
        <w:tc>
          <w:tcPr>
            <w:tcW w:w="746" w:type="pct"/>
            <w:tcBorders>
              <w:top w:val="nil"/>
              <w:left w:val="single" w:sz="2" w:space="0" w:color="auto"/>
              <w:bottom w:val="nil"/>
              <w:right w:val="single" w:sz="2" w:space="0" w:color="auto"/>
            </w:tcBorders>
          </w:tcPr>
          <w:p w14:paraId="1D25BE0F"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BF9127A" w14:textId="293AE6BD" w:rsidR="00320465" w:rsidRPr="00CC1E25" w:rsidRDefault="00320465" w:rsidP="00CC1E25">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 xml:space="preserve">Subsequent Measurement </w:t>
            </w:r>
          </w:p>
        </w:tc>
      </w:tr>
      <w:tr w:rsidR="00320465" w:rsidRPr="003E28E6" w14:paraId="14C7A7CA" w14:textId="77777777" w:rsidTr="005F5B4C">
        <w:trPr>
          <w:trHeight w:val="23"/>
        </w:trPr>
        <w:tc>
          <w:tcPr>
            <w:tcW w:w="746" w:type="pct"/>
            <w:tcBorders>
              <w:top w:val="nil"/>
              <w:left w:val="single" w:sz="2" w:space="0" w:color="auto"/>
              <w:bottom w:val="nil"/>
              <w:right w:val="single" w:sz="2" w:space="0" w:color="auto"/>
            </w:tcBorders>
          </w:tcPr>
          <w:p w14:paraId="7E82F676" w14:textId="77777777"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ACT Accounting Policy</w:t>
            </w:r>
          </w:p>
          <w:p w14:paraId="0135F71F"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0E560342" w14:textId="14C68F85" w:rsidR="00320465" w:rsidRPr="00B33CD5" w:rsidRDefault="00320465" w:rsidP="00320465">
            <w:pPr>
              <w:pStyle w:val="CommentaryText"/>
              <w:rPr>
                <w:rFonts w:cs="Calibri"/>
                <w:strike/>
                <w:color w:val="FFFFFF" w:themeColor="background1"/>
                <w:sz w:val="18"/>
                <w:szCs w:val="18"/>
              </w:rPr>
            </w:pPr>
            <w:r w:rsidRPr="00B33CD5">
              <w:rPr>
                <w:rFonts w:cs="Calibri"/>
                <w:color w:val="FFFFFF" w:themeColor="background1"/>
                <w:sz w:val="18"/>
                <w:szCs w:val="18"/>
              </w:rPr>
              <w:t xml:space="preserve">Agencies are required to measure all land, buildings, infrastructure assets and </w:t>
            </w:r>
            <w:r w:rsidRPr="005408A6">
              <w:rPr>
                <w:rFonts w:cs="Calibri"/>
                <w:strike/>
                <w:color w:val="FF0000"/>
                <w:sz w:val="18"/>
                <w:szCs w:val="18"/>
              </w:rPr>
              <w:t>community and</w:t>
            </w:r>
            <w:r w:rsidRPr="005408A6">
              <w:rPr>
                <w:rFonts w:cs="Calibri"/>
                <w:color w:val="FF0000"/>
                <w:sz w:val="18"/>
                <w:szCs w:val="18"/>
              </w:rPr>
              <w:t xml:space="preserve"> </w:t>
            </w:r>
            <w:r w:rsidRPr="00B33CD5">
              <w:rPr>
                <w:rFonts w:cs="Calibri"/>
                <w:color w:val="FFFFFF" w:themeColor="background1"/>
                <w:sz w:val="18"/>
                <w:szCs w:val="18"/>
              </w:rPr>
              <w:t xml:space="preserve">heritage </w:t>
            </w:r>
            <w:r w:rsidR="005408A6" w:rsidRPr="005408A6">
              <w:rPr>
                <w:rFonts w:cs="Calibri"/>
                <w:color w:val="FF0000"/>
                <w:sz w:val="18"/>
                <w:szCs w:val="18"/>
              </w:rPr>
              <w:t xml:space="preserve">and community </w:t>
            </w:r>
            <w:r w:rsidRPr="00B33CD5">
              <w:rPr>
                <w:rFonts w:cs="Calibri"/>
                <w:color w:val="FFFFFF" w:themeColor="background1"/>
                <w:sz w:val="18"/>
                <w:szCs w:val="18"/>
              </w:rPr>
              <w:t>assets at fair value.</w:t>
            </w:r>
            <w:r w:rsidR="00FA7C77">
              <w:rPr>
                <w:rFonts w:cs="Calibri"/>
                <w:color w:val="FFFFFF" w:themeColor="background1"/>
                <w:sz w:val="18"/>
                <w:szCs w:val="18"/>
              </w:rPr>
              <w:t xml:space="preserve"> </w:t>
            </w:r>
            <w:r w:rsidRPr="00B33CD5">
              <w:rPr>
                <w:rFonts w:cs="Calibri"/>
                <w:color w:val="FFFFFF" w:themeColor="background1"/>
                <w:sz w:val="18"/>
                <w:szCs w:val="18"/>
              </w:rPr>
              <w:t xml:space="preserve">Plant and equipment, and leasehold improvements are to be measured at fair value when the value of these assets is used in making management decisions, and measured at cost or fair value when the value of these assets is not used to make management decisions. </w:t>
            </w:r>
          </w:p>
        </w:tc>
      </w:tr>
      <w:tr w:rsidR="00320465" w:rsidRPr="00675698" w14:paraId="198D7571" w14:textId="77777777" w:rsidTr="005F5B4C">
        <w:trPr>
          <w:trHeight w:val="351"/>
        </w:trPr>
        <w:tc>
          <w:tcPr>
            <w:tcW w:w="746" w:type="pct"/>
            <w:tcBorders>
              <w:top w:val="nil"/>
              <w:left w:val="single" w:sz="2" w:space="0" w:color="auto"/>
              <w:bottom w:val="nil"/>
              <w:right w:val="single" w:sz="2" w:space="0" w:color="auto"/>
            </w:tcBorders>
          </w:tcPr>
          <w:p w14:paraId="3C3047C4" w14:textId="1214EB06"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ACT Accounting Policy</w:t>
            </w:r>
          </w:p>
        </w:tc>
        <w:tc>
          <w:tcPr>
            <w:tcW w:w="4254" w:type="pct"/>
            <w:tcBorders>
              <w:top w:val="nil"/>
              <w:left w:val="single" w:sz="2" w:space="0" w:color="auto"/>
              <w:bottom w:val="nil"/>
              <w:right w:val="nil"/>
            </w:tcBorders>
            <w:shd w:val="clear" w:color="auto" w:fill="7030A0"/>
          </w:tcPr>
          <w:p w14:paraId="233DEBD8" w14:textId="0795DD6E" w:rsidR="00320465" w:rsidRPr="00B33CD5" w:rsidRDefault="00320465" w:rsidP="00320465">
            <w:pPr>
              <w:pStyle w:val="CommentaryText"/>
              <w:jc w:val="left"/>
              <w:rPr>
                <w:rFonts w:cs="Calibri"/>
                <w:b/>
                <w:color w:val="FFFFFF" w:themeColor="background1"/>
                <w:sz w:val="18"/>
                <w:szCs w:val="18"/>
              </w:rPr>
            </w:pPr>
            <w:r w:rsidRPr="00B33CD5">
              <w:rPr>
                <w:rFonts w:cs="Calibri"/>
                <w:color w:val="FFFFFF" w:themeColor="background1"/>
                <w:sz w:val="18"/>
                <w:szCs w:val="18"/>
              </w:rPr>
              <w:t>Agencies are required to subsequently measure</w:t>
            </w:r>
            <w:r w:rsidR="007E70BB" w:rsidRPr="00B33CD5">
              <w:rPr>
                <w:rFonts w:cs="Calibri"/>
                <w:color w:val="FFFFFF" w:themeColor="background1"/>
                <w:sz w:val="18"/>
                <w:szCs w:val="18"/>
              </w:rPr>
              <w:t xml:space="preserve"> </w:t>
            </w:r>
            <w:r w:rsidRPr="00B33CD5">
              <w:rPr>
                <w:rFonts w:cs="Calibri"/>
                <w:color w:val="FFFFFF" w:themeColor="background1"/>
                <w:sz w:val="18"/>
                <w:szCs w:val="18"/>
              </w:rPr>
              <w:t xml:space="preserve">right-of-use assets at cost. </w:t>
            </w:r>
          </w:p>
        </w:tc>
      </w:tr>
      <w:tr w:rsidR="00320465" w:rsidRPr="00675698" w14:paraId="04B95CFC" w14:textId="77777777" w:rsidTr="005F5B4C">
        <w:trPr>
          <w:trHeight w:val="351"/>
        </w:trPr>
        <w:tc>
          <w:tcPr>
            <w:tcW w:w="746" w:type="pct"/>
            <w:tcBorders>
              <w:top w:val="nil"/>
              <w:left w:val="single" w:sz="2" w:space="0" w:color="auto"/>
              <w:bottom w:val="nil"/>
              <w:right w:val="single" w:sz="2" w:space="0" w:color="auto"/>
            </w:tcBorders>
          </w:tcPr>
          <w:p w14:paraId="0A759622" w14:textId="71990874"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rPr>
              <w:t>AASB 13.91(a)</w:t>
            </w:r>
          </w:p>
        </w:tc>
        <w:tc>
          <w:tcPr>
            <w:tcW w:w="4254" w:type="pct"/>
            <w:tcBorders>
              <w:top w:val="nil"/>
              <w:left w:val="single" w:sz="2" w:space="0" w:color="auto"/>
              <w:bottom w:val="nil"/>
              <w:right w:val="nil"/>
            </w:tcBorders>
            <w:shd w:val="clear" w:color="auto" w:fill="7030A0"/>
            <w:vAlign w:val="bottom"/>
          </w:tcPr>
          <w:p w14:paraId="5C0D4914" w14:textId="16E637FD" w:rsidR="00320465" w:rsidRPr="00B33CD5" w:rsidRDefault="00320465" w:rsidP="00320465">
            <w:pPr>
              <w:pStyle w:val="CommentaryText"/>
              <w:spacing w:after="0"/>
              <w:rPr>
                <w:rFonts w:cs="Calibri"/>
                <w:b/>
                <w:color w:val="FFFFFF" w:themeColor="background1"/>
                <w:sz w:val="18"/>
                <w:szCs w:val="18"/>
              </w:rPr>
            </w:pPr>
            <w:r w:rsidRPr="00B33CD5">
              <w:rPr>
                <w:rFonts w:cs="Calibri"/>
                <w:color w:val="FFFFFF" w:themeColor="background1"/>
                <w:sz w:val="18"/>
                <w:szCs w:val="18"/>
              </w:rPr>
              <w:t>For assets and liabilities that are measured at fair value in the balance sheet after initial recognition, agencies shall disclose the valuation techniques and inputs used to determine fair value.</w:t>
            </w:r>
          </w:p>
        </w:tc>
      </w:tr>
      <w:tr w:rsidR="00320465" w:rsidRPr="00675698" w14:paraId="6A1A482D" w14:textId="77777777" w:rsidTr="005F5B4C">
        <w:trPr>
          <w:trHeight w:val="351"/>
        </w:trPr>
        <w:tc>
          <w:tcPr>
            <w:tcW w:w="746" w:type="pct"/>
            <w:tcBorders>
              <w:top w:val="nil"/>
              <w:left w:val="single" w:sz="2" w:space="0" w:color="auto"/>
              <w:bottom w:val="nil"/>
              <w:right w:val="single" w:sz="2" w:space="0" w:color="auto"/>
            </w:tcBorders>
          </w:tcPr>
          <w:p w14:paraId="0CC5E774"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F4D0DE2" w14:textId="0DA7CE9E" w:rsidR="00320465" w:rsidRPr="000F51E0" w:rsidRDefault="00320465" w:rsidP="00320465">
            <w:pPr>
              <w:pStyle w:val="CommentaryText"/>
              <w:spacing w:after="0"/>
              <w:rPr>
                <w:rFonts w:cs="Calibri"/>
                <w:color w:val="FFFFFF" w:themeColor="background1"/>
                <w:szCs w:val="20"/>
              </w:rPr>
            </w:pPr>
            <w:r w:rsidRPr="000F51E0">
              <w:rPr>
                <w:rFonts w:cs="Calibri"/>
                <w:b/>
                <w:color w:val="FFFFFF" w:themeColor="background1"/>
                <w:szCs w:val="20"/>
              </w:rPr>
              <w:t>Fair Value Disclosures</w:t>
            </w:r>
          </w:p>
        </w:tc>
      </w:tr>
      <w:tr w:rsidR="00320465" w:rsidRPr="00C41F18" w14:paraId="672D77B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49"/>
          <w:tblHeader/>
        </w:trPr>
        <w:tc>
          <w:tcPr>
            <w:tcW w:w="746" w:type="pct"/>
            <w:tcBorders>
              <w:left w:val="single" w:sz="2" w:space="0" w:color="auto"/>
              <w:right w:val="single" w:sz="2" w:space="0" w:color="auto"/>
            </w:tcBorders>
          </w:tcPr>
          <w:p w14:paraId="78AB8CFE" w14:textId="77777777" w:rsidR="00320465" w:rsidRPr="00B33CD5" w:rsidRDefault="00320465" w:rsidP="00320465">
            <w:pPr>
              <w:pStyle w:val="CommentaryReference"/>
              <w:rPr>
                <w:rFonts w:cs="Calibri"/>
                <w:color w:val="7030A0"/>
                <w:szCs w:val="14"/>
              </w:rPr>
            </w:pPr>
          </w:p>
        </w:tc>
        <w:tc>
          <w:tcPr>
            <w:tcW w:w="4254" w:type="pct"/>
            <w:tcBorders>
              <w:left w:val="single" w:sz="2" w:space="0" w:color="auto"/>
            </w:tcBorders>
            <w:shd w:val="clear" w:color="auto" w:fill="7030A0"/>
          </w:tcPr>
          <w:p w14:paraId="684CD8FE" w14:textId="77777777" w:rsidR="00320465" w:rsidRPr="00CC1E25" w:rsidRDefault="00320465" w:rsidP="00320465">
            <w:pPr>
              <w:pStyle w:val="CommentaryText"/>
              <w:spacing w:before="60" w:after="40"/>
              <w:rPr>
                <w:rFonts w:cs="Calibri"/>
                <w:i/>
                <w:iCs/>
                <w:color w:val="FFFFFF" w:themeColor="background1"/>
                <w:sz w:val="18"/>
                <w:szCs w:val="18"/>
              </w:rPr>
            </w:pPr>
            <w:r w:rsidRPr="00CC1E25">
              <w:rPr>
                <w:rFonts w:cs="Calibri"/>
                <w:i/>
                <w:iCs/>
                <w:color w:val="FFFFFF" w:themeColor="background1"/>
                <w:sz w:val="18"/>
                <w:szCs w:val="18"/>
              </w:rPr>
              <w:t>Valuation Techniques</w:t>
            </w:r>
          </w:p>
        </w:tc>
      </w:tr>
      <w:tr w:rsidR="00320465" w:rsidRPr="00C41F18" w14:paraId="1EE43DC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6559EF6"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13.B.5</w:t>
            </w:r>
          </w:p>
          <w:p w14:paraId="2DC01F28" w14:textId="77777777" w:rsidR="00320465" w:rsidRPr="00B33CD5" w:rsidRDefault="00320465" w:rsidP="00320465">
            <w:pPr>
              <w:pStyle w:val="CommentaryReference"/>
              <w:spacing w:before="60"/>
              <w:rPr>
                <w:rFonts w:cs="Calibri"/>
                <w:color w:val="7030A0"/>
                <w:szCs w:val="14"/>
              </w:rPr>
            </w:pPr>
          </w:p>
          <w:p w14:paraId="3E780890" w14:textId="77777777" w:rsidR="00320465" w:rsidRPr="00B33CD5" w:rsidRDefault="00320465" w:rsidP="00320465">
            <w:pPr>
              <w:pStyle w:val="CommentaryReference"/>
              <w:spacing w:before="60"/>
              <w:rPr>
                <w:rFonts w:cs="Calibri"/>
                <w:color w:val="7030A0"/>
                <w:szCs w:val="14"/>
              </w:rPr>
            </w:pPr>
          </w:p>
          <w:p w14:paraId="1DED5DA6"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13.B8</w:t>
            </w:r>
          </w:p>
          <w:p w14:paraId="362E5AE8" w14:textId="77777777" w:rsidR="00320465" w:rsidRPr="00B33CD5" w:rsidRDefault="00320465" w:rsidP="00320465">
            <w:pPr>
              <w:pStyle w:val="CommentaryReference"/>
              <w:spacing w:before="60"/>
              <w:rPr>
                <w:rFonts w:cs="Calibri"/>
                <w:color w:val="7030A0"/>
                <w:szCs w:val="14"/>
              </w:rPr>
            </w:pPr>
          </w:p>
          <w:p w14:paraId="2B625990" w14:textId="77777777" w:rsidR="00320465" w:rsidRPr="00B33CD5" w:rsidRDefault="00320465" w:rsidP="00320465">
            <w:pPr>
              <w:pStyle w:val="CommentaryReference"/>
              <w:spacing w:before="60"/>
              <w:rPr>
                <w:rFonts w:cs="Calibri"/>
                <w:color w:val="7030A0"/>
                <w:szCs w:val="14"/>
              </w:rPr>
            </w:pPr>
          </w:p>
          <w:p w14:paraId="7712B6A3"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13.B10</w:t>
            </w:r>
          </w:p>
        </w:tc>
        <w:tc>
          <w:tcPr>
            <w:tcW w:w="4254" w:type="pct"/>
            <w:tcBorders>
              <w:left w:val="single" w:sz="2" w:space="0" w:color="auto"/>
            </w:tcBorders>
            <w:shd w:val="clear" w:color="auto" w:fill="7030A0"/>
          </w:tcPr>
          <w:p w14:paraId="23F57670" w14:textId="77777777" w:rsidR="00320465" w:rsidRPr="00B33CD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Market approach – uses prices and other relevant information generated by market transactions involving identical or comparable (i.e. similar) assets, liabilities or a group of assets and liabilities such as a business.</w:t>
            </w:r>
          </w:p>
          <w:p w14:paraId="1ACD7DD5" w14:textId="77777777" w:rsidR="00320465" w:rsidRPr="00B33CD5" w:rsidRDefault="0032046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Cost approach – reflects the amount that would be required currently to replace the service capacity of an asset (often referred to as the current replacement cost).</w:t>
            </w:r>
          </w:p>
          <w:p w14:paraId="5861115F" w14:textId="1E3746C9" w:rsidR="00320465" w:rsidRPr="00B33CD5" w:rsidRDefault="0032046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Income approach – converts future amounts (e.g. cash flows or income and expenses) to a single (i.e. discounted) amount.</w:t>
            </w:r>
            <w:r w:rsidR="00FA7C77">
              <w:rPr>
                <w:rFonts w:cs="Calibri"/>
                <w:color w:val="FFFFFF" w:themeColor="background1"/>
                <w:sz w:val="18"/>
                <w:szCs w:val="18"/>
              </w:rPr>
              <w:t xml:space="preserve"> </w:t>
            </w:r>
            <w:r w:rsidRPr="00B33CD5">
              <w:rPr>
                <w:rFonts w:cs="Calibri"/>
                <w:color w:val="FFFFFF" w:themeColor="background1"/>
                <w:sz w:val="18"/>
                <w:szCs w:val="18"/>
              </w:rPr>
              <w:t>When the income approach is used, the fair value measurement reflects current market expectations about those future amounts.</w:t>
            </w:r>
          </w:p>
        </w:tc>
      </w:tr>
      <w:tr w:rsidR="00006B24" w:rsidRPr="00C41F18" w14:paraId="5B5510B5"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C75A6BB" w14:textId="2A6EE7E3"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13.93(g)</w:t>
            </w:r>
          </w:p>
        </w:tc>
        <w:tc>
          <w:tcPr>
            <w:tcW w:w="4254" w:type="pct"/>
            <w:tcBorders>
              <w:left w:val="single" w:sz="2" w:space="0" w:color="auto"/>
            </w:tcBorders>
            <w:shd w:val="clear" w:color="auto" w:fill="7030A0"/>
          </w:tcPr>
          <w:p w14:paraId="288A43BA" w14:textId="7BC2AE54" w:rsidR="00006B24" w:rsidRPr="00B33CD5" w:rsidRDefault="00006B24" w:rsidP="00006B24">
            <w:pPr>
              <w:pStyle w:val="CommentaryText"/>
              <w:spacing w:after="40"/>
              <w:jc w:val="left"/>
              <w:rPr>
                <w:rFonts w:cs="Calibri"/>
                <w:color w:val="FFFFFF" w:themeColor="background1"/>
                <w:sz w:val="18"/>
                <w:szCs w:val="18"/>
              </w:rPr>
            </w:pPr>
            <w:r w:rsidRPr="00B33CD5">
              <w:rPr>
                <w:rFonts w:cs="Calibri"/>
                <w:color w:val="FFFFFF" w:themeColor="background1"/>
                <w:sz w:val="18"/>
                <w:szCs w:val="18"/>
              </w:rPr>
              <w:t xml:space="preserve">Agencies shall provide a description of their valuation process (including, for example, how they decide their valuation policies and procedures and analyses changes in fair value measurements from period to period). </w:t>
            </w:r>
          </w:p>
        </w:tc>
      </w:tr>
      <w:tr w:rsidR="00006B24" w:rsidRPr="00CF7E1B" w14:paraId="5443CCE1" w14:textId="77777777" w:rsidTr="005F5B4C">
        <w:trPr>
          <w:trHeight w:val="23"/>
        </w:trPr>
        <w:tc>
          <w:tcPr>
            <w:tcW w:w="746" w:type="pct"/>
            <w:tcBorders>
              <w:top w:val="nil"/>
              <w:left w:val="single" w:sz="2" w:space="0" w:color="auto"/>
              <w:bottom w:val="nil"/>
              <w:right w:val="single" w:sz="2" w:space="0" w:color="auto"/>
            </w:tcBorders>
          </w:tcPr>
          <w:p w14:paraId="7E501F86" w14:textId="77777777" w:rsidR="00BD1DCB" w:rsidRDefault="00BD1DCB" w:rsidP="00006B24">
            <w:pPr>
              <w:pStyle w:val="CommentaryReference"/>
              <w:spacing w:before="60"/>
              <w:rPr>
                <w:rFonts w:cs="Calibri"/>
                <w:color w:val="7030A0"/>
                <w:szCs w:val="14"/>
              </w:rPr>
            </w:pPr>
          </w:p>
          <w:p w14:paraId="39DCA2FD" w14:textId="3DCD0BF2"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13.93(b)</w:t>
            </w:r>
          </w:p>
          <w:p w14:paraId="60658C70" w14:textId="77777777" w:rsidR="00006B24" w:rsidRPr="00B33CD5" w:rsidRDefault="00006B24" w:rsidP="00006B24">
            <w:pPr>
              <w:pStyle w:val="CommentaryReference"/>
              <w:spacing w:before="60"/>
              <w:rPr>
                <w:rFonts w:cs="Calibri"/>
                <w:color w:val="7030A0"/>
                <w:szCs w:val="14"/>
              </w:rPr>
            </w:pPr>
          </w:p>
          <w:p w14:paraId="32C99E4C" w14:textId="77777777" w:rsidR="00006B24" w:rsidRPr="00B33CD5" w:rsidRDefault="00006B24" w:rsidP="00006B24">
            <w:pPr>
              <w:pStyle w:val="CommentaryReference"/>
              <w:spacing w:before="60"/>
              <w:rPr>
                <w:rFonts w:cs="Calibri"/>
                <w:color w:val="7030A0"/>
                <w:szCs w:val="14"/>
              </w:rPr>
            </w:pPr>
          </w:p>
          <w:p w14:paraId="7BCA9BE1"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13.76</w:t>
            </w:r>
          </w:p>
          <w:p w14:paraId="26CAF183" w14:textId="77777777" w:rsidR="00006B24" w:rsidRPr="00B33CD5" w:rsidRDefault="00006B24" w:rsidP="00006B24">
            <w:pPr>
              <w:pStyle w:val="CommentaryReference"/>
              <w:spacing w:before="60"/>
              <w:rPr>
                <w:rFonts w:cs="Calibri"/>
                <w:color w:val="7030A0"/>
                <w:szCs w:val="14"/>
              </w:rPr>
            </w:pPr>
          </w:p>
          <w:p w14:paraId="52A00249"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13.81</w:t>
            </w:r>
          </w:p>
          <w:p w14:paraId="5F84803C" w14:textId="77777777" w:rsidR="00006B24" w:rsidRPr="00B33CD5" w:rsidRDefault="00006B24" w:rsidP="00006B24">
            <w:pPr>
              <w:pStyle w:val="CommentaryReference"/>
              <w:spacing w:before="60"/>
              <w:rPr>
                <w:rFonts w:cs="Calibri"/>
                <w:color w:val="7030A0"/>
                <w:szCs w:val="14"/>
              </w:rPr>
            </w:pPr>
          </w:p>
          <w:p w14:paraId="79387634"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13.86</w:t>
            </w:r>
          </w:p>
        </w:tc>
        <w:tc>
          <w:tcPr>
            <w:tcW w:w="4254" w:type="pct"/>
            <w:tcBorders>
              <w:top w:val="nil"/>
              <w:left w:val="single" w:sz="2" w:space="0" w:color="auto"/>
              <w:bottom w:val="nil"/>
              <w:right w:val="nil"/>
            </w:tcBorders>
            <w:shd w:val="clear" w:color="auto" w:fill="7030A0"/>
            <w:vAlign w:val="bottom"/>
          </w:tcPr>
          <w:p w14:paraId="05D7AB23" w14:textId="7A97A6ED" w:rsidR="00BD1DCB" w:rsidRPr="00BD1DCB" w:rsidRDefault="00BD1DCB" w:rsidP="00CC1E25">
            <w:pPr>
              <w:pStyle w:val="CommentaryText"/>
              <w:spacing w:after="40"/>
              <w:rPr>
                <w:rFonts w:cs="Calibri"/>
                <w:b/>
                <w:bCs/>
                <w:color w:val="FFFFFF" w:themeColor="background1"/>
                <w:szCs w:val="20"/>
              </w:rPr>
            </w:pPr>
            <w:r w:rsidRPr="00BD1DCB">
              <w:rPr>
                <w:rFonts w:cs="Calibri"/>
                <w:b/>
                <w:bCs/>
                <w:color w:val="FFFFFF" w:themeColor="background1"/>
                <w:szCs w:val="20"/>
              </w:rPr>
              <w:t xml:space="preserve">Fair Value Hierarchy </w:t>
            </w:r>
          </w:p>
          <w:p w14:paraId="061BA520" w14:textId="6A16C02F" w:rsidR="00006B24" w:rsidRPr="00B33CD5" w:rsidRDefault="00006B24" w:rsidP="00006B24">
            <w:pPr>
              <w:pStyle w:val="CommentaryText"/>
              <w:spacing w:after="40"/>
              <w:rPr>
                <w:rFonts w:cs="Calibri"/>
                <w:color w:val="FFFFFF" w:themeColor="background1"/>
                <w:sz w:val="18"/>
                <w:szCs w:val="18"/>
              </w:rPr>
            </w:pPr>
            <w:r w:rsidRPr="00B33CD5">
              <w:rPr>
                <w:rFonts w:cs="Calibri"/>
                <w:color w:val="FFFFFF" w:themeColor="background1"/>
                <w:sz w:val="18"/>
                <w:szCs w:val="18"/>
              </w:rPr>
              <w:t>Agencies are required to classify assets and liabilities measured at fair value into a Fair Value Hierarchy that reflects the significance of the inputs used in determining their fair value.</w:t>
            </w:r>
            <w:r w:rsidR="00FA7C77">
              <w:rPr>
                <w:rFonts w:cs="Calibri"/>
                <w:color w:val="FFFFFF" w:themeColor="background1"/>
                <w:sz w:val="18"/>
                <w:szCs w:val="18"/>
              </w:rPr>
              <w:t xml:space="preserve"> </w:t>
            </w:r>
            <w:r w:rsidRPr="00B33CD5">
              <w:rPr>
                <w:rFonts w:cs="Calibri"/>
                <w:color w:val="FFFFFF" w:themeColor="background1"/>
                <w:sz w:val="18"/>
                <w:szCs w:val="18"/>
              </w:rPr>
              <w:t xml:space="preserve">The Fair Value Hierarchy is made up of the following three levels: </w:t>
            </w:r>
          </w:p>
          <w:p w14:paraId="6D9A7664" w14:textId="77777777" w:rsidR="00006B24" w:rsidRPr="00B33CD5" w:rsidRDefault="00006B24"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Level 1 - quoted prices (unadjusted) in active markets for identical assets or liabilities that the agency can access at the measurement date;</w:t>
            </w:r>
          </w:p>
          <w:p w14:paraId="59BCDC41" w14:textId="77777777" w:rsidR="00006B24" w:rsidRPr="00B33CD5" w:rsidRDefault="00006B24" w:rsidP="00CB31DE">
            <w:pPr>
              <w:pStyle w:val="CommentaryText"/>
              <w:keepNext/>
              <w:keepLines/>
              <w:numPr>
                <w:ilvl w:val="0"/>
                <w:numId w:val="52"/>
              </w:numPr>
              <w:tabs>
                <w:tab w:val="left" w:pos="3306"/>
              </w:tabs>
              <w:spacing w:after="0"/>
              <w:ind w:left="459" w:hanging="357"/>
              <w:rPr>
                <w:rFonts w:cs="Calibri"/>
                <w:color w:val="FFFFFF" w:themeColor="background1"/>
                <w:sz w:val="18"/>
                <w:szCs w:val="18"/>
              </w:rPr>
            </w:pPr>
            <w:r w:rsidRPr="00B33CD5">
              <w:rPr>
                <w:rFonts w:cs="Calibri"/>
                <w:color w:val="FFFFFF" w:themeColor="background1"/>
                <w:sz w:val="18"/>
                <w:szCs w:val="18"/>
              </w:rPr>
              <w:t>Level 2 - inputs other than quoted prices included within Level 1 that are observable for the asset or liability, either directly or indirectly; and</w:t>
            </w:r>
          </w:p>
          <w:p w14:paraId="3D5A8241" w14:textId="0C331499" w:rsidR="00006B24" w:rsidRPr="00B33CD5" w:rsidRDefault="00006B24"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Level 3 -</w:t>
            </w:r>
            <w:r w:rsidR="00526C44">
              <w:rPr>
                <w:rFonts w:cs="Calibri"/>
                <w:color w:val="FFFFFF" w:themeColor="background1"/>
                <w:sz w:val="18"/>
                <w:szCs w:val="18"/>
              </w:rPr>
              <w:t xml:space="preserve"> </w:t>
            </w:r>
            <w:r w:rsidRPr="00B33CD5">
              <w:rPr>
                <w:rFonts w:cs="Calibri"/>
                <w:color w:val="FFFFFF" w:themeColor="background1"/>
                <w:sz w:val="18"/>
                <w:szCs w:val="18"/>
              </w:rPr>
              <w:t>inputs that are unobservable for particular assets or liabilities.</w:t>
            </w:r>
          </w:p>
        </w:tc>
      </w:tr>
      <w:tr w:rsidR="00006B24" w:rsidRPr="00CF7E1B" w14:paraId="5D58F9F0" w14:textId="77777777" w:rsidTr="005F5B4C">
        <w:trPr>
          <w:trHeight w:val="23"/>
        </w:trPr>
        <w:tc>
          <w:tcPr>
            <w:tcW w:w="746" w:type="pct"/>
            <w:tcBorders>
              <w:top w:val="nil"/>
              <w:left w:val="single" w:sz="2" w:space="0" w:color="auto"/>
              <w:bottom w:val="nil"/>
              <w:right w:val="single" w:sz="2" w:space="0" w:color="auto"/>
            </w:tcBorders>
          </w:tcPr>
          <w:p w14:paraId="0A4F62FF"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2958696" w14:textId="347E4140" w:rsidR="00006B24" w:rsidRPr="00CC1E25" w:rsidRDefault="00006B24" w:rsidP="00006B24">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Levels 1 and 2 Valuation Inputs</w:t>
            </w:r>
          </w:p>
        </w:tc>
      </w:tr>
      <w:tr w:rsidR="00006B24" w:rsidRPr="00CF7E1B" w14:paraId="0C787E87" w14:textId="77777777" w:rsidTr="005F5B4C">
        <w:trPr>
          <w:trHeight w:val="23"/>
        </w:trPr>
        <w:tc>
          <w:tcPr>
            <w:tcW w:w="746" w:type="pct"/>
            <w:tcBorders>
              <w:top w:val="nil"/>
              <w:left w:val="single" w:sz="2" w:space="0" w:color="auto"/>
              <w:bottom w:val="nil"/>
              <w:right w:val="single" w:sz="2" w:space="0" w:color="auto"/>
            </w:tcBorders>
          </w:tcPr>
          <w:p w14:paraId="25D642B6" w14:textId="6A99F1FD"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13.93(c)</w:t>
            </w:r>
          </w:p>
        </w:tc>
        <w:tc>
          <w:tcPr>
            <w:tcW w:w="4254" w:type="pct"/>
            <w:tcBorders>
              <w:top w:val="nil"/>
              <w:left w:val="single" w:sz="2" w:space="0" w:color="auto"/>
              <w:bottom w:val="nil"/>
              <w:right w:val="nil"/>
            </w:tcBorders>
            <w:shd w:val="clear" w:color="auto" w:fill="7030A0"/>
            <w:vAlign w:val="bottom"/>
          </w:tcPr>
          <w:p w14:paraId="27CA06ED" w14:textId="2EE56A87"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Agencies shall disclose for assets and liabilities held at the end of the reporting period that are measured at fair value, the amounts of any transfers between Level 1 and Level 2 of the Fair Value Hierarchy, the reasons for the transfers and the agency’s policy for determining when transfers between levels are deemed to have occurred. Transfers into each level shall be disclosed separately from transfers out of each level.</w:t>
            </w:r>
          </w:p>
        </w:tc>
      </w:tr>
      <w:tr w:rsidR="00006B24" w:rsidRPr="00CF7E1B" w14:paraId="7759B61E" w14:textId="77777777" w:rsidTr="005F5B4C">
        <w:trPr>
          <w:trHeight w:val="23"/>
        </w:trPr>
        <w:tc>
          <w:tcPr>
            <w:tcW w:w="746" w:type="pct"/>
            <w:tcBorders>
              <w:top w:val="nil"/>
              <w:left w:val="single" w:sz="2" w:space="0" w:color="auto"/>
              <w:bottom w:val="nil"/>
              <w:right w:val="single" w:sz="2" w:space="0" w:color="auto"/>
            </w:tcBorders>
          </w:tcPr>
          <w:p w14:paraId="3BF9807E"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6DC345CD" w14:textId="32347AEF" w:rsidR="00006B24" w:rsidRPr="00CC1E25" w:rsidRDefault="00006B24" w:rsidP="00006B24">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Levels 2 and 3 Valuation Inputs</w:t>
            </w:r>
          </w:p>
        </w:tc>
      </w:tr>
      <w:tr w:rsidR="00006B24" w:rsidRPr="00CF7E1B" w14:paraId="3AA9383B" w14:textId="77777777" w:rsidTr="005F5B4C">
        <w:trPr>
          <w:trHeight w:val="23"/>
        </w:trPr>
        <w:tc>
          <w:tcPr>
            <w:tcW w:w="746" w:type="pct"/>
            <w:tcBorders>
              <w:top w:val="nil"/>
              <w:left w:val="single" w:sz="2" w:space="0" w:color="auto"/>
              <w:bottom w:val="nil"/>
              <w:right w:val="single" w:sz="2" w:space="0" w:color="auto"/>
            </w:tcBorders>
          </w:tcPr>
          <w:p w14:paraId="0D2C07EE" w14:textId="225CFE04"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13.93(d)</w:t>
            </w:r>
          </w:p>
        </w:tc>
        <w:tc>
          <w:tcPr>
            <w:tcW w:w="4254" w:type="pct"/>
            <w:tcBorders>
              <w:top w:val="nil"/>
              <w:left w:val="single" w:sz="2" w:space="0" w:color="auto"/>
              <w:bottom w:val="nil"/>
              <w:right w:val="nil"/>
            </w:tcBorders>
            <w:shd w:val="clear" w:color="auto" w:fill="7030A0"/>
            <w:vAlign w:val="bottom"/>
          </w:tcPr>
          <w:p w14:paraId="6D38E4AA" w14:textId="45D9F3A6"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Agencies shall disclose for fair value measurements categorised within Level 2 and Level 3 of the fair value hierarchy, a description of the valuation technique(s) and the inputs used in the fair value measurement.</w:t>
            </w:r>
            <w:r w:rsidR="00FA7C77">
              <w:rPr>
                <w:rFonts w:cs="Calibri"/>
                <w:color w:val="FFFFFF" w:themeColor="background1"/>
                <w:sz w:val="18"/>
                <w:szCs w:val="18"/>
              </w:rPr>
              <w:t xml:space="preserve"> </w:t>
            </w:r>
            <w:r w:rsidRPr="00B33CD5">
              <w:rPr>
                <w:rFonts w:cs="Calibri"/>
                <w:color w:val="FFFFFF" w:themeColor="background1"/>
                <w:sz w:val="18"/>
                <w:szCs w:val="18"/>
              </w:rPr>
              <w:t>If there has been a change in the valuation technique (e.g. changing from a market approach to an income approach or the use of an additional valuation technique), agencies shall disclose that change and the reason(s) for making it.</w:t>
            </w:r>
          </w:p>
        </w:tc>
      </w:tr>
      <w:tr w:rsidR="00006B24" w:rsidRPr="00CF7E1B" w14:paraId="338BFA9D" w14:textId="77777777" w:rsidTr="005F5B4C">
        <w:trPr>
          <w:trHeight w:val="23"/>
        </w:trPr>
        <w:tc>
          <w:tcPr>
            <w:tcW w:w="746" w:type="pct"/>
            <w:tcBorders>
              <w:top w:val="nil"/>
              <w:left w:val="single" w:sz="2" w:space="0" w:color="auto"/>
              <w:bottom w:val="nil"/>
              <w:right w:val="single" w:sz="2" w:space="0" w:color="auto"/>
            </w:tcBorders>
          </w:tcPr>
          <w:p w14:paraId="74E5BFF2"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D01A7B8" w14:textId="1ADE9E93" w:rsidR="00006B24" w:rsidRPr="00CC1E25" w:rsidRDefault="00006B24" w:rsidP="00006B24">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 3 Valuation Inputs</w:t>
            </w:r>
          </w:p>
        </w:tc>
      </w:tr>
      <w:tr w:rsidR="00006B24" w:rsidRPr="00CF7E1B" w14:paraId="60004C9B" w14:textId="77777777" w:rsidTr="005F5B4C">
        <w:trPr>
          <w:trHeight w:val="23"/>
        </w:trPr>
        <w:tc>
          <w:tcPr>
            <w:tcW w:w="746" w:type="pct"/>
            <w:tcBorders>
              <w:top w:val="nil"/>
              <w:left w:val="single" w:sz="2" w:space="0" w:color="auto"/>
              <w:bottom w:val="nil"/>
              <w:right w:val="single" w:sz="2" w:space="0" w:color="auto"/>
            </w:tcBorders>
          </w:tcPr>
          <w:p w14:paraId="1A324354" w14:textId="69762020" w:rsidR="00006B24" w:rsidRPr="00B33CD5" w:rsidRDefault="00006B24" w:rsidP="00006B24">
            <w:pPr>
              <w:pStyle w:val="CommentaryReference"/>
              <w:spacing w:before="60"/>
              <w:rPr>
                <w:rFonts w:cs="Calibri"/>
                <w:color w:val="7030A0"/>
                <w:szCs w:val="14"/>
              </w:rPr>
            </w:pPr>
            <w:r w:rsidRPr="00B33CD5">
              <w:rPr>
                <w:rFonts w:cs="Calibri"/>
                <w:color w:val="7030A0"/>
                <w:szCs w:val="14"/>
              </w:rPr>
              <w:t>AAB 13.91(b)</w:t>
            </w:r>
          </w:p>
        </w:tc>
        <w:tc>
          <w:tcPr>
            <w:tcW w:w="4254" w:type="pct"/>
            <w:tcBorders>
              <w:top w:val="nil"/>
              <w:left w:val="single" w:sz="2" w:space="0" w:color="auto"/>
              <w:bottom w:val="nil"/>
              <w:right w:val="nil"/>
            </w:tcBorders>
            <w:shd w:val="clear" w:color="auto" w:fill="7030A0"/>
            <w:vAlign w:val="bottom"/>
          </w:tcPr>
          <w:p w14:paraId="154DAD5C" w14:textId="73BB6AB3"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For fair value measurements using significant unobservable inputs, agencies shall disclose the effect of the measurements on the operating result or other comprehensive income for the reporting period.</w:t>
            </w:r>
          </w:p>
        </w:tc>
      </w:tr>
      <w:tr w:rsidR="00B33CD5" w:rsidRPr="00CF7E1B" w14:paraId="276C9EDB" w14:textId="77777777" w:rsidTr="005F5B4C">
        <w:trPr>
          <w:cantSplit/>
          <w:trHeight w:val="23"/>
        </w:trPr>
        <w:tc>
          <w:tcPr>
            <w:tcW w:w="746" w:type="pct"/>
            <w:tcBorders>
              <w:top w:val="nil"/>
              <w:left w:val="single" w:sz="2" w:space="0" w:color="auto"/>
              <w:bottom w:val="nil"/>
              <w:right w:val="single" w:sz="2" w:space="0" w:color="auto"/>
            </w:tcBorders>
          </w:tcPr>
          <w:p w14:paraId="699C40BE" w14:textId="1690D744" w:rsidR="00B33CD5" w:rsidRPr="00B33CD5" w:rsidRDefault="00B33CD5" w:rsidP="000159C3">
            <w:pPr>
              <w:pStyle w:val="NormalSFLeadIn"/>
              <w:spacing w:before="240" w:after="240"/>
              <w:rPr>
                <w:rFonts w:cs="Calibri"/>
                <w:b/>
                <w:bCs/>
                <w:color w:val="538135" w:themeColor="accent6" w:themeShade="BF"/>
                <w:szCs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2A6CB51B" w14:textId="643B5834" w:rsidR="00B33CD5" w:rsidRPr="00B33CD5" w:rsidRDefault="00B33CD5" w:rsidP="000159C3">
            <w:pPr>
              <w:pStyle w:val="CommentaryText"/>
              <w:spacing w:before="240" w:after="240"/>
              <w:rPr>
                <w:rFonts w:cs="Calibri"/>
                <w:color w:val="FFFFFF" w:themeColor="background1"/>
                <w:sz w:val="18"/>
                <w:szCs w:val="18"/>
              </w:rPr>
            </w:pPr>
            <w:r w:rsidRPr="00B33CD5">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B33CD5" w:rsidRPr="00CF7E1B" w14:paraId="50E19DDE" w14:textId="77777777" w:rsidTr="005F5B4C">
        <w:trPr>
          <w:cantSplit/>
          <w:trHeight w:val="23"/>
        </w:trPr>
        <w:tc>
          <w:tcPr>
            <w:tcW w:w="746" w:type="pct"/>
            <w:tcBorders>
              <w:top w:val="nil"/>
              <w:left w:val="single" w:sz="2" w:space="0" w:color="auto"/>
              <w:bottom w:val="nil"/>
              <w:right w:val="single" w:sz="2" w:space="0" w:color="auto"/>
            </w:tcBorders>
          </w:tcPr>
          <w:p w14:paraId="36BF5751" w14:textId="77F957A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6585963D" w14:textId="56FF8DBF"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provide quantitative information about significant unobservable inputs used in the fair value measurement.</w:t>
            </w:r>
            <w:r w:rsidR="00FA7C77">
              <w:rPr>
                <w:rFonts w:cs="Calibri"/>
                <w:color w:val="FFFFFF" w:themeColor="background1"/>
                <w:sz w:val="18"/>
                <w:szCs w:val="18"/>
              </w:rPr>
              <w:t xml:space="preserve"> </w:t>
            </w:r>
            <w:r w:rsidRPr="00B33CD5">
              <w:rPr>
                <w:rFonts w:cs="Calibri"/>
                <w:color w:val="FFFFFF" w:themeColor="background1"/>
                <w:sz w:val="18"/>
                <w:szCs w:val="18"/>
              </w:rPr>
              <w:t>Agencies are not required to create quantitative information to comply with this disclosure requirement if they have not developed quantitative unobservable inputs when measuring fair value (e.g. when an entity uses prices from prior transactions or third-party pricing information without adjustment).</w:t>
            </w:r>
            <w:r w:rsidR="00FA7C77">
              <w:rPr>
                <w:rFonts w:cs="Calibri"/>
                <w:color w:val="FFFFFF" w:themeColor="background1"/>
                <w:sz w:val="18"/>
                <w:szCs w:val="18"/>
              </w:rPr>
              <w:t xml:space="preserve"> </w:t>
            </w:r>
            <w:r w:rsidRPr="00B33CD5">
              <w:rPr>
                <w:rFonts w:cs="Calibri"/>
                <w:color w:val="FFFFFF" w:themeColor="background1"/>
                <w:sz w:val="18"/>
                <w:szCs w:val="18"/>
              </w:rPr>
              <w:t>However, when providing this disclosure agencies cannot ignore quantitative unobservable inputs that are significant to the fair value measurement and are reasonably available to them.</w:t>
            </w:r>
          </w:p>
        </w:tc>
      </w:tr>
      <w:tr w:rsidR="00B33CD5" w:rsidRPr="00CF7E1B" w14:paraId="68799722" w14:textId="77777777" w:rsidTr="005F5B4C">
        <w:trPr>
          <w:cantSplit/>
          <w:trHeight w:val="23"/>
        </w:trPr>
        <w:tc>
          <w:tcPr>
            <w:tcW w:w="746" w:type="pct"/>
            <w:tcBorders>
              <w:top w:val="nil"/>
              <w:left w:val="single" w:sz="2" w:space="0" w:color="auto"/>
              <w:bottom w:val="nil"/>
              <w:right w:val="single" w:sz="2" w:space="0" w:color="auto"/>
            </w:tcBorders>
          </w:tcPr>
          <w:p w14:paraId="15C56DC4"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5210C59A" w14:textId="74809C3E"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only need to disclose those valuation input levels (i</w:t>
            </w:r>
            <w:r w:rsidR="00526C44">
              <w:rPr>
                <w:rFonts w:cs="Calibri"/>
                <w:color w:val="FFFFFF" w:themeColor="background1"/>
                <w:sz w:val="18"/>
                <w:szCs w:val="18"/>
              </w:rPr>
              <w:t>.</w:t>
            </w:r>
            <w:r w:rsidRPr="00B33CD5">
              <w:rPr>
                <w:rFonts w:cs="Calibri"/>
                <w:color w:val="FFFFFF" w:themeColor="background1"/>
                <w:sz w:val="18"/>
                <w:szCs w:val="18"/>
              </w:rPr>
              <w:t>e</w:t>
            </w:r>
            <w:r w:rsidR="00526C44">
              <w:rPr>
                <w:rFonts w:cs="Calibri"/>
                <w:color w:val="FFFFFF" w:themeColor="background1"/>
                <w:sz w:val="18"/>
                <w:szCs w:val="18"/>
              </w:rPr>
              <w:t>.</w:t>
            </w:r>
            <w:r w:rsidRPr="00B33CD5">
              <w:rPr>
                <w:rFonts w:cs="Calibri"/>
                <w:color w:val="FFFFFF" w:themeColor="background1"/>
                <w:sz w:val="18"/>
                <w:szCs w:val="18"/>
              </w:rPr>
              <w:t xml:space="preserve"> Level 1, 2 &amp; 3) that are relevant to them.</w:t>
            </w:r>
            <w:r w:rsidR="00FA7C77">
              <w:rPr>
                <w:rFonts w:cs="Calibri"/>
                <w:color w:val="FFFFFF" w:themeColor="background1"/>
                <w:sz w:val="18"/>
                <w:szCs w:val="18"/>
              </w:rPr>
              <w:t xml:space="preserve"> </w:t>
            </w:r>
            <w:r w:rsidRPr="00B33CD5">
              <w:rPr>
                <w:rFonts w:cs="Calibri"/>
                <w:color w:val="FFFFFF" w:themeColor="background1"/>
                <w:sz w:val="18"/>
                <w:szCs w:val="18"/>
              </w:rPr>
              <w:t>For example, ‘Burley Griffin Agency’ does not have any assets in Level 1 and as such only disclosures for Level 2 and Level 3 have been included in the above Property, Plant and Equipment note. It is not expected that any agencies will have Property, Plant and Equipment contained in Level 1.</w:t>
            </w:r>
          </w:p>
        </w:tc>
      </w:tr>
      <w:tr w:rsidR="00B33CD5" w:rsidRPr="00CF7E1B" w14:paraId="446C8517" w14:textId="77777777" w:rsidTr="005F5B4C">
        <w:trPr>
          <w:cantSplit/>
          <w:trHeight w:val="23"/>
        </w:trPr>
        <w:tc>
          <w:tcPr>
            <w:tcW w:w="746" w:type="pct"/>
            <w:tcBorders>
              <w:top w:val="nil"/>
              <w:left w:val="single" w:sz="2" w:space="0" w:color="auto"/>
              <w:bottom w:val="nil"/>
              <w:right w:val="single" w:sz="2" w:space="0" w:color="auto"/>
            </w:tcBorders>
          </w:tcPr>
          <w:p w14:paraId="71A0548D"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ED88B80" w14:textId="6B4C9019" w:rsidR="00B33CD5" w:rsidRPr="00CC1E25" w:rsidRDefault="00B33CD5" w:rsidP="00B33CD5">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Following Policy for Transfers Between Levels of the Fair Value Hierarchy</w:t>
            </w:r>
          </w:p>
        </w:tc>
      </w:tr>
      <w:tr w:rsidR="00B33CD5" w:rsidRPr="00CF7E1B" w14:paraId="374BADC5" w14:textId="77777777" w:rsidTr="005F5B4C">
        <w:trPr>
          <w:cantSplit/>
          <w:trHeight w:val="23"/>
        </w:trPr>
        <w:tc>
          <w:tcPr>
            <w:tcW w:w="746" w:type="pct"/>
            <w:tcBorders>
              <w:top w:val="nil"/>
              <w:left w:val="single" w:sz="2" w:space="0" w:color="auto"/>
              <w:bottom w:val="nil"/>
              <w:right w:val="single" w:sz="2" w:space="0" w:color="auto"/>
            </w:tcBorders>
          </w:tcPr>
          <w:p w14:paraId="3DE3A83D"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44EAF342" w14:textId="25BFD2E7" w:rsidR="00B33CD5" w:rsidRPr="00B33CD5" w:rsidRDefault="00B33CD5" w:rsidP="00B33CD5">
            <w:pPr>
              <w:pStyle w:val="CommentaryText"/>
              <w:spacing w:after="40"/>
              <w:rPr>
                <w:rFonts w:cs="Calibri"/>
                <w:color w:val="FFFFFF" w:themeColor="background1"/>
                <w:sz w:val="18"/>
                <w:szCs w:val="18"/>
              </w:rPr>
            </w:pPr>
            <w:r w:rsidRPr="00B33CD5">
              <w:rPr>
                <w:rFonts w:cs="Calibri"/>
                <w:color w:val="FFFFFF" w:themeColor="background1"/>
                <w:sz w:val="18"/>
                <w:szCs w:val="18"/>
              </w:rPr>
              <w:t>Agencies shall disclose and consistently follow its policy for determining when transfers between levels of the Fair Value Hierarchy are deemed to have occurred. The policy about the timing of recognising transfers shall be the same for transfers into the levels as for transfers out of the levels.</w:t>
            </w:r>
            <w:r w:rsidR="00FA7C77">
              <w:rPr>
                <w:rFonts w:cs="Calibri"/>
                <w:color w:val="FFFFFF" w:themeColor="background1"/>
                <w:sz w:val="18"/>
                <w:szCs w:val="18"/>
              </w:rPr>
              <w:t xml:space="preserve"> </w:t>
            </w:r>
            <w:r w:rsidRPr="00B33CD5">
              <w:rPr>
                <w:rFonts w:cs="Calibri"/>
                <w:color w:val="FFFFFF" w:themeColor="background1"/>
                <w:sz w:val="18"/>
                <w:szCs w:val="18"/>
              </w:rPr>
              <w:t>Examples of policies for determining the timing of transfers include the following:</w:t>
            </w:r>
          </w:p>
          <w:p w14:paraId="04830C50" w14:textId="16D7FBB3" w:rsidR="00B33CD5"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date of the event or change in circumstance that caused the transfer;</w:t>
            </w:r>
          </w:p>
          <w:p w14:paraId="327C0AAB" w14:textId="0721E73F" w:rsidR="00B33CD5"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beginning of the reporting period; or</w:t>
            </w:r>
          </w:p>
          <w:p w14:paraId="61B9FDD5" w14:textId="5BB1FF09" w:rsidR="00B33CD5" w:rsidRPr="00B33CD5" w:rsidRDefault="00B33CD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end of the reporting period.</w:t>
            </w:r>
          </w:p>
        </w:tc>
      </w:tr>
      <w:tr w:rsidR="00B33CD5" w:rsidRPr="00CF7E1B" w14:paraId="3E20F065" w14:textId="77777777" w:rsidTr="005F5B4C">
        <w:trPr>
          <w:cantSplit/>
          <w:trHeight w:val="23"/>
        </w:trPr>
        <w:tc>
          <w:tcPr>
            <w:tcW w:w="746" w:type="pct"/>
            <w:tcBorders>
              <w:top w:val="nil"/>
              <w:left w:val="single" w:sz="2" w:space="0" w:color="auto"/>
              <w:bottom w:val="nil"/>
              <w:right w:val="single" w:sz="2" w:space="0" w:color="auto"/>
            </w:tcBorders>
          </w:tcPr>
          <w:p w14:paraId="16BFA0D2" w14:textId="5691EFF5"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50894B77" w14:textId="37AF753A"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disclose the level of the Fair Value Hierarchy within which the fair value measurements are categorised in their entirety (Level 1, 2 or 3).</w:t>
            </w:r>
          </w:p>
        </w:tc>
      </w:tr>
      <w:tr w:rsidR="00B33CD5" w:rsidRPr="00675698" w14:paraId="3FFD8FC7" w14:textId="77777777" w:rsidTr="005F5B4C">
        <w:trPr>
          <w:cantSplit/>
          <w:trHeight w:val="23"/>
        </w:trPr>
        <w:tc>
          <w:tcPr>
            <w:tcW w:w="746" w:type="pct"/>
            <w:tcBorders>
              <w:top w:val="nil"/>
              <w:left w:val="single" w:sz="2" w:space="0" w:color="auto"/>
              <w:bottom w:val="nil"/>
              <w:right w:val="single" w:sz="2" w:space="0" w:color="auto"/>
            </w:tcBorders>
          </w:tcPr>
          <w:p w14:paraId="16E857C8"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tcPr>
          <w:p w14:paraId="6A7C5CB6" w14:textId="6A81E3E0" w:rsidR="00B33CD5" w:rsidRPr="00CC1E25" w:rsidRDefault="00B33CD5" w:rsidP="00B33CD5">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Fair Value Disclosures – General</w:t>
            </w:r>
          </w:p>
        </w:tc>
      </w:tr>
      <w:tr w:rsidR="00B33CD5" w:rsidRPr="00675698" w14:paraId="356FA3C5" w14:textId="77777777" w:rsidTr="005F5B4C">
        <w:trPr>
          <w:cantSplit/>
          <w:trHeight w:val="23"/>
        </w:trPr>
        <w:tc>
          <w:tcPr>
            <w:tcW w:w="746" w:type="pct"/>
            <w:tcBorders>
              <w:top w:val="nil"/>
              <w:left w:val="single" w:sz="2" w:space="0" w:color="auto"/>
              <w:bottom w:val="nil"/>
              <w:right w:val="single" w:sz="2" w:space="0" w:color="auto"/>
            </w:tcBorders>
          </w:tcPr>
          <w:p w14:paraId="0D4FE594" w14:textId="3C3C21C1"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13.94(a)&amp;(b)</w:t>
            </w:r>
          </w:p>
          <w:p w14:paraId="4D272293"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13.95</w:t>
            </w:r>
          </w:p>
          <w:p w14:paraId="71664A00"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7C31D1B7" w14:textId="77777777" w:rsidR="00B33CD5" w:rsidRPr="00B33CD5" w:rsidRDefault="00B33CD5" w:rsidP="00B33CD5">
            <w:pPr>
              <w:pStyle w:val="CommentaryText"/>
              <w:spacing w:after="40"/>
              <w:rPr>
                <w:rFonts w:cs="Calibri"/>
                <w:color w:val="FFFFFF" w:themeColor="background1"/>
                <w:sz w:val="18"/>
                <w:szCs w:val="18"/>
              </w:rPr>
            </w:pPr>
            <w:r w:rsidRPr="00B33CD5">
              <w:rPr>
                <w:rFonts w:cs="Calibri"/>
                <w:color w:val="FFFFFF" w:themeColor="background1"/>
                <w:sz w:val="18"/>
                <w:szCs w:val="18"/>
              </w:rPr>
              <w:t>Agencies need to classify assets and liabilities on the basis of the following:</w:t>
            </w:r>
          </w:p>
          <w:p w14:paraId="1E475317" w14:textId="67610FFE" w:rsidR="00B33CD5" w:rsidRPr="00B33CD5"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nature, characteristics and risks of the asset or liability; and </w:t>
            </w:r>
          </w:p>
          <w:p w14:paraId="314B6BB4" w14:textId="77777777" w:rsidR="00B33CD5" w:rsidRPr="00B33CD5" w:rsidRDefault="00B33CD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level of the Fair Value Hierarchy within which the fair value measurement is categorised.</w:t>
            </w:r>
          </w:p>
        </w:tc>
      </w:tr>
      <w:tr w:rsidR="00B33CD5" w:rsidRPr="00675698" w14:paraId="06921B9B" w14:textId="77777777" w:rsidTr="005F5B4C">
        <w:trPr>
          <w:cantSplit/>
          <w:trHeight w:val="23"/>
        </w:trPr>
        <w:tc>
          <w:tcPr>
            <w:tcW w:w="746" w:type="pct"/>
            <w:tcBorders>
              <w:top w:val="nil"/>
              <w:left w:val="single" w:sz="2" w:space="0" w:color="auto"/>
              <w:bottom w:val="nil"/>
              <w:right w:val="single" w:sz="2" w:space="0" w:color="auto"/>
            </w:tcBorders>
          </w:tcPr>
          <w:p w14:paraId="2DC8A317" w14:textId="55AACA5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13.93(a)</w:t>
            </w:r>
          </w:p>
        </w:tc>
        <w:tc>
          <w:tcPr>
            <w:tcW w:w="4254" w:type="pct"/>
            <w:tcBorders>
              <w:top w:val="nil"/>
              <w:left w:val="single" w:sz="2" w:space="0" w:color="auto"/>
              <w:bottom w:val="nil"/>
              <w:right w:val="nil"/>
            </w:tcBorders>
            <w:shd w:val="clear" w:color="auto" w:fill="7030A0"/>
            <w:vAlign w:val="bottom"/>
          </w:tcPr>
          <w:p w14:paraId="052564A1" w14:textId="32DD8B79"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 xml:space="preserve">Agencies shall disclose the fair value measurement of assets and liabilities at the end of the reporting period. </w:t>
            </w:r>
          </w:p>
        </w:tc>
      </w:tr>
      <w:tr w:rsidR="00B33CD5" w:rsidRPr="00675698" w14:paraId="41CB2FC6" w14:textId="77777777" w:rsidTr="005F5B4C">
        <w:trPr>
          <w:cantSplit/>
          <w:trHeight w:val="23"/>
        </w:trPr>
        <w:tc>
          <w:tcPr>
            <w:tcW w:w="746" w:type="pct"/>
            <w:tcBorders>
              <w:top w:val="nil"/>
              <w:left w:val="single" w:sz="2" w:space="0" w:color="auto"/>
              <w:bottom w:val="nil"/>
              <w:right w:val="single" w:sz="2" w:space="0" w:color="auto"/>
            </w:tcBorders>
          </w:tcPr>
          <w:p w14:paraId="2870808B" w14:textId="1F6C3DD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13.99</w:t>
            </w:r>
          </w:p>
        </w:tc>
        <w:tc>
          <w:tcPr>
            <w:tcW w:w="4254" w:type="pct"/>
            <w:tcBorders>
              <w:top w:val="nil"/>
              <w:left w:val="single" w:sz="2" w:space="0" w:color="auto"/>
              <w:bottom w:val="nil"/>
              <w:right w:val="nil"/>
            </w:tcBorders>
            <w:shd w:val="clear" w:color="auto" w:fill="7030A0"/>
            <w:vAlign w:val="bottom"/>
          </w:tcPr>
          <w:p w14:paraId="7F0018FA" w14:textId="3EBDE25E"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present the quantitative disclosures required by AASB 13</w:t>
            </w:r>
            <w:r w:rsidR="00773769">
              <w:rPr>
                <w:rFonts w:cs="Calibri"/>
                <w:color w:val="FFFFFF" w:themeColor="background1"/>
                <w:sz w:val="18"/>
                <w:szCs w:val="18"/>
              </w:rPr>
              <w:t xml:space="preserve"> </w:t>
            </w:r>
            <w:r w:rsidR="00773769">
              <w:rPr>
                <w:rFonts w:cs="Calibri"/>
                <w:i/>
                <w:iCs/>
                <w:color w:val="FFFFFF" w:themeColor="background1"/>
                <w:sz w:val="18"/>
                <w:szCs w:val="18"/>
              </w:rPr>
              <w:t>Fair Value Measurement</w:t>
            </w:r>
            <w:r w:rsidRPr="00B33CD5">
              <w:rPr>
                <w:rFonts w:cs="Calibri"/>
                <w:color w:val="FFFFFF" w:themeColor="background1"/>
                <w:sz w:val="18"/>
                <w:szCs w:val="18"/>
              </w:rPr>
              <w:t xml:space="preserve"> in a tabular format unless another format is more appropriate.</w:t>
            </w:r>
          </w:p>
        </w:tc>
      </w:tr>
      <w:tr w:rsidR="00B33CD5" w:rsidRPr="009E6A89" w14:paraId="36B79EB8" w14:textId="77777777" w:rsidTr="005F5B4C">
        <w:trPr>
          <w:cantSplit/>
          <w:trHeight w:val="23"/>
        </w:trPr>
        <w:tc>
          <w:tcPr>
            <w:tcW w:w="746" w:type="pct"/>
            <w:tcBorders>
              <w:top w:val="nil"/>
              <w:left w:val="single" w:sz="2" w:space="0" w:color="auto"/>
              <w:bottom w:val="nil"/>
              <w:right w:val="single" w:sz="2" w:space="0" w:color="auto"/>
            </w:tcBorders>
          </w:tcPr>
          <w:p w14:paraId="688C6F92" w14:textId="77777777" w:rsidR="00B33CD5" w:rsidRPr="00B33CD5" w:rsidRDefault="00B33CD5" w:rsidP="00B33CD5">
            <w:pPr>
              <w:pStyle w:val="TableReference"/>
              <w:tabs>
                <w:tab w:val="left" w:pos="3306"/>
              </w:tabs>
              <w:rPr>
                <w:rFonts w:cs="Calibri"/>
                <w:b/>
                <w:color w:val="7030A0"/>
                <w:sz w:val="22"/>
                <w:szCs w:val="22"/>
              </w:rPr>
            </w:pPr>
            <w:r w:rsidRPr="00B33CD5">
              <w:rPr>
                <w:rFonts w:cs="Calibri"/>
                <w:color w:val="7030A0"/>
              </w:rPr>
              <w:br w:type="page"/>
            </w:r>
          </w:p>
        </w:tc>
        <w:tc>
          <w:tcPr>
            <w:tcW w:w="4254" w:type="pct"/>
            <w:tcBorders>
              <w:top w:val="nil"/>
              <w:left w:val="single" w:sz="2" w:space="0" w:color="auto"/>
              <w:bottom w:val="nil"/>
              <w:right w:val="nil"/>
            </w:tcBorders>
            <w:shd w:val="clear" w:color="auto" w:fill="7030A0"/>
            <w:vAlign w:val="bottom"/>
          </w:tcPr>
          <w:p w14:paraId="6EA1228E" w14:textId="5425AEF7" w:rsidR="00B33CD5" w:rsidRPr="000F51E0" w:rsidRDefault="00B33CD5" w:rsidP="00CC1E25">
            <w:pPr>
              <w:pStyle w:val="CommentaryText"/>
              <w:spacing w:after="0"/>
              <w:rPr>
                <w:rFonts w:cs="Calibri"/>
                <w:bCs/>
                <w:color w:val="FFFFFF" w:themeColor="background1"/>
                <w:szCs w:val="20"/>
              </w:rPr>
            </w:pPr>
            <w:r w:rsidRPr="000F51E0">
              <w:rPr>
                <w:rFonts w:cs="Calibri"/>
                <w:b/>
                <w:color w:val="FFFFFF" w:themeColor="background1"/>
                <w:szCs w:val="20"/>
              </w:rPr>
              <w:t>Depreciation</w:t>
            </w:r>
          </w:p>
        </w:tc>
      </w:tr>
      <w:tr w:rsidR="00B33CD5" w:rsidRPr="00771BDB" w14:paraId="04FB3004" w14:textId="77777777" w:rsidTr="005F5B4C">
        <w:trPr>
          <w:cantSplit/>
          <w:trHeight w:val="23"/>
        </w:trPr>
        <w:tc>
          <w:tcPr>
            <w:tcW w:w="746" w:type="pct"/>
            <w:tcBorders>
              <w:top w:val="nil"/>
              <w:left w:val="single" w:sz="2" w:space="0" w:color="auto"/>
              <w:bottom w:val="nil"/>
              <w:right w:val="single" w:sz="2" w:space="0" w:color="auto"/>
            </w:tcBorders>
          </w:tcPr>
          <w:p w14:paraId="3D50B982" w14:textId="77777777" w:rsidR="00B33CD5" w:rsidRPr="00B33CD5" w:rsidRDefault="00B33CD5" w:rsidP="00B33CD5">
            <w:pPr>
              <w:pStyle w:val="TableReference"/>
              <w:tabs>
                <w:tab w:val="left" w:pos="3306"/>
              </w:tabs>
              <w:spacing w:before="60"/>
              <w:rPr>
                <w:rFonts w:cs="Calibri"/>
                <w:color w:val="7030A0"/>
                <w:sz w:val="16"/>
                <w:szCs w:val="16"/>
              </w:rPr>
            </w:pPr>
          </w:p>
        </w:tc>
        <w:tc>
          <w:tcPr>
            <w:tcW w:w="4254" w:type="pct"/>
            <w:tcBorders>
              <w:top w:val="nil"/>
              <w:left w:val="single" w:sz="2" w:space="0" w:color="auto"/>
              <w:bottom w:val="nil"/>
              <w:right w:val="nil"/>
            </w:tcBorders>
            <w:shd w:val="clear" w:color="auto" w:fill="7030A0"/>
            <w:vAlign w:val="bottom"/>
          </w:tcPr>
          <w:p w14:paraId="5CE980B3" w14:textId="77777777" w:rsidR="00B33CD5" w:rsidRPr="00CC1E25" w:rsidRDefault="00B33CD5" w:rsidP="00B33CD5">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Depreciation of Land</w:t>
            </w:r>
          </w:p>
        </w:tc>
      </w:tr>
      <w:tr w:rsidR="00B33CD5" w:rsidRPr="009E6A89" w14:paraId="31949770" w14:textId="77777777" w:rsidTr="005F5B4C">
        <w:trPr>
          <w:cantSplit/>
          <w:trHeight w:val="23"/>
        </w:trPr>
        <w:tc>
          <w:tcPr>
            <w:tcW w:w="746" w:type="pct"/>
            <w:tcBorders>
              <w:top w:val="nil"/>
              <w:left w:val="single" w:sz="2" w:space="0" w:color="auto"/>
              <w:bottom w:val="nil"/>
              <w:right w:val="single" w:sz="2" w:space="0" w:color="auto"/>
            </w:tcBorders>
          </w:tcPr>
          <w:p w14:paraId="336DCCE4"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116.58 &amp; 59</w:t>
            </w:r>
          </w:p>
        </w:tc>
        <w:tc>
          <w:tcPr>
            <w:tcW w:w="4254" w:type="pct"/>
            <w:tcBorders>
              <w:top w:val="nil"/>
              <w:left w:val="single" w:sz="2" w:space="0" w:color="auto"/>
              <w:bottom w:val="nil"/>
              <w:right w:val="nil"/>
            </w:tcBorders>
            <w:shd w:val="clear" w:color="auto" w:fill="7030A0"/>
            <w:vAlign w:val="bottom"/>
          </w:tcPr>
          <w:p w14:paraId="17A1B474" w14:textId="6BC92169" w:rsidR="00B33CD5" w:rsidRPr="00B33CD5" w:rsidRDefault="00B33CD5" w:rsidP="00B33CD5">
            <w:pPr>
              <w:pStyle w:val="TableText"/>
              <w:jc w:val="both"/>
              <w:rPr>
                <w:rFonts w:cs="Calibri"/>
                <w:color w:val="FFFFFF" w:themeColor="background1"/>
              </w:rPr>
            </w:pPr>
            <w:r w:rsidRPr="00B33CD5">
              <w:rPr>
                <w:rFonts w:cs="Calibri"/>
                <w:color w:val="FFFFFF" w:themeColor="background1"/>
              </w:rPr>
              <w:t>With some exceptions, such as quarries or landfill, land has an unlimited useful life and therefore is not depreciated.</w:t>
            </w:r>
            <w:r w:rsidR="00FA7C77">
              <w:rPr>
                <w:rFonts w:cs="Calibri"/>
                <w:color w:val="FFFFFF" w:themeColor="background1"/>
              </w:rPr>
              <w:t xml:space="preserve"> </w:t>
            </w:r>
            <w:r w:rsidRPr="00B33CD5">
              <w:rPr>
                <w:rFonts w:cs="Calibri"/>
                <w:color w:val="FFFFFF" w:themeColor="background1"/>
              </w:rPr>
              <w:t>Where land is required to be restored after it has been used, this cost must be capitalised into the carrying amount of the land and a relevant provision raised.</w:t>
            </w:r>
            <w:r w:rsidR="00FA7C77">
              <w:rPr>
                <w:rFonts w:cs="Calibri"/>
                <w:color w:val="FFFFFF" w:themeColor="background1"/>
              </w:rPr>
              <w:t xml:space="preserve"> </w:t>
            </w:r>
            <w:r w:rsidRPr="00B33CD5">
              <w:rPr>
                <w:rFonts w:cs="Calibri"/>
                <w:color w:val="FFFFFF" w:themeColor="background1"/>
              </w:rPr>
              <w:t>That portion of the land’s cost is then depreciated over the period the land will be used (i.e. until the time the land is restored).</w:t>
            </w:r>
            <w:r w:rsidR="00FA7C77">
              <w:rPr>
                <w:rFonts w:cs="Calibri"/>
                <w:color w:val="FFFFFF" w:themeColor="background1"/>
              </w:rPr>
              <w:t xml:space="preserve"> </w:t>
            </w:r>
            <w:r w:rsidRPr="00B33CD5">
              <w:rPr>
                <w:rFonts w:cs="Calibri"/>
                <w:color w:val="FFFFFF" w:themeColor="background1"/>
              </w:rPr>
              <w:t xml:space="preserve">For example, where an agency has a landfill site which is required to be restored by law at the end of 10 years, the restoration portion of the land’s value will be depreciated over the next 10 years. </w:t>
            </w:r>
          </w:p>
        </w:tc>
      </w:tr>
      <w:tr w:rsidR="00B33CD5" w:rsidRPr="009E6A89" w14:paraId="12F5BC64" w14:textId="77777777" w:rsidTr="005F5B4C">
        <w:trPr>
          <w:cantSplit/>
          <w:trHeight w:val="23"/>
        </w:trPr>
        <w:tc>
          <w:tcPr>
            <w:tcW w:w="746" w:type="pct"/>
            <w:tcBorders>
              <w:top w:val="nil"/>
              <w:left w:val="single" w:sz="2" w:space="0" w:color="auto"/>
              <w:bottom w:val="nil"/>
              <w:right w:val="single" w:sz="2" w:space="0" w:color="auto"/>
            </w:tcBorders>
          </w:tcPr>
          <w:p w14:paraId="2C82809A"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58C506A" w14:textId="7E319DA0" w:rsidR="00B33CD5" w:rsidRPr="00CC1E25" w:rsidRDefault="00B33CD5" w:rsidP="00B33CD5">
            <w:pPr>
              <w:pStyle w:val="TableText"/>
              <w:jc w:val="both"/>
              <w:rPr>
                <w:rFonts w:cs="Calibri"/>
                <w:color w:val="FFFFFF" w:themeColor="background1"/>
              </w:rPr>
            </w:pPr>
            <w:r w:rsidRPr="00CC1E25">
              <w:rPr>
                <w:rFonts w:cs="Calibri"/>
                <w:i/>
                <w:iCs/>
                <w:color w:val="FFFFFF" w:themeColor="background1"/>
              </w:rPr>
              <w:t xml:space="preserve">Depreciation of Right-of-Use </w:t>
            </w:r>
            <w:r w:rsidR="000F51E0" w:rsidRPr="00CC1E25">
              <w:rPr>
                <w:rFonts w:cs="Calibri"/>
                <w:i/>
                <w:iCs/>
                <w:color w:val="FFFFFF" w:themeColor="background1"/>
              </w:rPr>
              <w:t>A</w:t>
            </w:r>
            <w:r w:rsidRPr="00CC1E25">
              <w:rPr>
                <w:rFonts w:cs="Calibri"/>
                <w:i/>
                <w:iCs/>
                <w:color w:val="FFFFFF" w:themeColor="background1"/>
              </w:rPr>
              <w:t>ssets</w:t>
            </w:r>
          </w:p>
        </w:tc>
      </w:tr>
      <w:tr w:rsidR="00B33CD5" w:rsidRPr="009E6A89" w14:paraId="177C0627" w14:textId="77777777" w:rsidTr="005F5B4C">
        <w:trPr>
          <w:cantSplit/>
          <w:trHeight w:val="23"/>
        </w:trPr>
        <w:tc>
          <w:tcPr>
            <w:tcW w:w="746" w:type="pct"/>
            <w:tcBorders>
              <w:top w:val="nil"/>
              <w:left w:val="single" w:sz="2" w:space="0" w:color="auto"/>
              <w:bottom w:val="nil"/>
              <w:right w:val="single" w:sz="2" w:space="0" w:color="auto"/>
            </w:tcBorders>
          </w:tcPr>
          <w:p w14:paraId="7848FF8C"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16.57</w:t>
            </w:r>
          </w:p>
        </w:tc>
        <w:tc>
          <w:tcPr>
            <w:tcW w:w="4254" w:type="pct"/>
            <w:tcBorders>
              <w:top w:val="nil"/>
              <w:left w:val="single" w:sz="2" w:space="0" w:color="auto"/>
              <w:bottom w:val="nil"/>
              <w:right w:val="nil"/>
            </w:tcBorders>
            <w:shd w:val="clear" w:color="auto" w:fill="7030A0"/>
            <w:vAlign w:val="bottom"/>
          </w:tcPr>
          <w:p w14:paraId="2380990B" w14:textId="71CF2A49" w:rsidR="00B33CD5" w:rsidRPr="00B33CD5" w:rsidRDefault="00B33CD5" w:rsidP="00B33CD5">
            <w:pPr>
              <w:pStyle w:val="TableText"/>
              <w:spacing w:after="120"/>
              <w:jc w:val="both"/>
              <w:rPr>
                <w:rFonts w:cs="Calibri"/>
                <w:color w:val="FFFFFF" w:themeColor="background1"/>
              </w:rPr>
            </w:pPr>
            <w:r w:rsidRPr="00B33CD5">
              <w:rPr>
                <w:rFonts w:cs="Calibri"/>
                <w:color w:val="FFFFFF" w:themeColor="background1"/>
              </w:rPr>
              <w:t>Right-of-Use assets are generally depreciated over the shorter of the asset’s useful life and the lease term.</w:t>
            </w:r>
            <w:r w:rsidR="00FA7C77">
              <w:rPr>
                <w:rFonts w:cs="Calibri"/>
                <w:color w:val="FFFFFF" w:themeColor="background1"/>
              </w:rPr>
              <w:t xml:space="preserve"> </w:t>
            </w:r>
            <w:r w:rsidRPr="00B33CD5">
              <w:rPr>
                <w:rFonts w:cs="Calibri"/>
                <w:color w:val="FFFFFF" w:themeColor="background1"/>
              </w:rPr>
              <w:t>Where the agency obtains ownership of the underlying leased asset or if the cost of the right-of-use asset reflects that the agency will exercise a purchase option, the agency depreciates the right-of-use asset over its useful life.</w:t>
            </w:r>
          </w:p>
        </w:tc>
      </w:tr>
      <w:tr w:rsidR="00B33CD5" w:rsidRPr="009E6A89" w14:paraId="69D56C09" w14:textId="77777777" w:rsidTr="005F5B4C">
        <w:trPr>
          <w:cantSplit/>
          <w:trHeight w:val="23"/>
        </w:trPr>
        <w:tc>
          <w:tcPr>
            <w:tcW w:w="746" w:type="pct"/>
            <w:tcBorders>
              <w:top w:val="nil"/>
              <w:left w:val="single" w:sz="2" w:space="0" w:color="auto"/>
              <w:bottom w:val="nil"/>
              <w:right w:val="single" w:sz="2" w:space="0" w:color="auto"/>
            </w:tcBorders>
          </w:tcPr>
          <w:p w14:paraId="0C04C0C4"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D63D454" w14:textId="77777777" w:rsidR="00B33CD5" w:rsidRPr="000F51E0" w:rsidRDefault="00B33CD5" w:rsidP="00CC1E25">
            <w:pPr>
              <w:pStyle w:val="CommentaryText"/>
              <w:spacing w:after="40"/>
              <w:rPr>
                <w:rFonts w:cs="Calibri"/>
                <w:b/>
                <w:bCs/>
                <w:color w:val="FFFFFF" w:themeColor="background1"/>
                <w:szCs w:val="20"/>
              </w:rPr>
            </w:pPr>
            <w:r w:rsidRPr="000F51E0">
              <w:rPr>
                <w:rFonts w:cs="Calibri"/>
                <w:b/>
                <w:bCs/>
                <w:color w:val="FFFFFF" w:themeColor="background1"/>
                <w:szCs w:val="20"/>
              </w:rPr>
              <w:t>Useful Lives</w:t>
            </w:r>
          </w:p>
        </w:tc>
      </w:tr>
      <w:tr w:rsidR="00B33CD5" w:rsidRPr="009E6A89" w14:paraId="4A8B8808" w14:textId="77777777" w:rsidTr="005F5B4C">
        <w:trPr>
          <w:cantSplit/>
          <w:trHeight w:val="23"/>
        </w:trPr>
        <w:tc>
          <w:tcPr>
            <w:tcW w:w="746" w:type="pct"/>
            <w:tcBorders>
              <w:top w:val="nil"/>
              <w:left w:val="single" w:sz="2" w:space="0" w:color="auto"/>
              <w:bottom w:val="nil"/>
              <w:right w:val="single" w:sz="2" w:space="0" w:color="auto"/>
            </w:tcBorders>
          </w:tcPr>
          <w:p w14:paraId="3B9E8716"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116.51</w:t>
            </w:r>
          </w:p>
          <w:p w14:paraId="4BB12D76" w14:textId="77777777" w:rsidR="00B33CD5" w:rsidRPr="00B33CD5" w:rsidRDefault="00B33CD5" w:rsidP="00B33CD5">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tcPr>
          <w:p w14:paraId="6729D2DE" w14:textId="233BDF82"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 xml:space="preserve">Agencies must assess their asset’s useful lives at the end of each reporting period and where expectations differ from previous estimates, the changes shall be accounted for as a change in accounting estimate in accordance with AASB 108 </w:t>
            </w:r>
            <w:r w:rsidRPr="00B33CD5">
              <w:rPr>
                <w:rFonts w:cs="Calibri"/>
                <w:i/>
                <w:iCs/>
                <w:color w:val="FFFFFF" w:themeColor="background1"/>
                <w:sz w:val="18"/>
                <w:szCs w:val="18"/>
              </w:rPr>
              <w:t>Accounting Policies, Changes in Accounting Estimates and Errors</w:t>
            </w:r>
            <w:r w:rsidRPr="00B33CD5">
              <w:rPr>
                <w:rFonts w:cs="Calibri"/>
                <w:color w:val="FFFFFF" w:themeColor="background1"/>
                <w:sz w:val="18"/>
                <w:szCs w:val="18"/>
              </w:rPr>
              <w:t>.</w:t>
            </w:r>
            <w:r w:rsidR="00FA7C77">
              <w:rPr>
                <w:rFonts w:cs="Calibri"/>
                <w:color w:val="FFFFFF" w:themeColor="background1"/>
                <w:sz w:val="18"/>
                <w:szCs w:val="18"/>
              </w:rPr>
              <w:t xml:space="preserve"> </w:t>
            </w:r>
          </w:p>
        </w:tc>
      </w:tr>
      <w:tr w:rsidR="00B33CD5" w:rsidRPr="009E6A89" w14:paraId="1C0ED369" w14:textId="77777777" w:rsidTr="005F5B4C">
        <w:trPr>
          <w:cantSplit/>
          <w:trHeight w:val="23"/>
        </w:trPr>
        <w:tc>
          <w:tcPr>
            <w:tcW w:w="746" w:type="pct"/>
            <w:tcBorders>
              <w:top w:val="nil"/>
              <w:left w:val="single" w:sz="2" w:space="0" w:color="auto"/>
              <w:bottom w:val="nil"/>
              <w:right w:val="single" w:sz="2" w:space="0" w:color="auto"/>
            </w:tcBorders>
          </w:tcPr>
          <w:p w14:paraId="65EE7EA2"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108.36</w:t>
            </w:r>
          </w:p>
        </w:tc>
        <w:tc>
          <w:tcPr>
            <w:tcW w:w="4254" w:type="pct"/>
            <w:tcBorders>
              <w:top w:val="nil"/>
              <w:left w:val="single" w:sz="2" w:space="0" w:color="auto"/>
              <w:bottom w:val="nil"/>
              <w:right w:val="nil"/>
            </w:tcBorders>
            <w:shd w:val="clear" w:color="auto" w:fill="7030A0"/>
            <w:vAlign w:val="bottom"/>
          </w:tcPr>
          <w:p w14:paraId="097D03FE" w14:textId="40BA3FF6"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Changes in accounting estimates are required to be recognised prospectively in the Operating Statement by including it as revenue or expense in the reporting period in which the accounting estimate is revised, if the revision affects that reporting period only, or in the reporting period of the revision and future reporting periods, if the revision affects both the current and future reporting periods.</w:t>
            </w:r>
          </w:p>
        </w:tc>
      </w:tr>
      <w:tr w:rsidR="00B33CD5" w:rsidRPr="00E94AEC" w14:paraId="5000A846" w14:textId="77777777" w:rsidTr="005F5B4C">
        <w:trPr>
          <w:cantSplit/>
          <w:trHeight w:val="23"/>
        </w:trPr>
        <w:tc>
          <w:tcPr>
            <w:tcW w:w="746" w:type="pct"/>
            <w:tcBorders>
              <w:top w:val="nil"/>
              <w:left w:val="single" w:sz="2" w:space="0" w:color="auto"/>
              <w:bottom w:val="nil"/>
              <w:right w:val="single" w:sz="2" w:space="0" w:color="auto"/>
            </w:tcBorders>
          </w:tcPr>
          <w:p w14:paraId="63684357"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31EC4430" w14:textId="2048DAA5" w:rsidR="00B33CD5" w:rsidRPr="000F51E0" w:rsidRDefault="00B33CD5" w:rsidP="00C87FF4">
            <w:pPr>
              <w:pStyle w:val="CommentaryText"/>
              <w:spacing w:after="40"/>
              <w:rPr>
                <w:rFonts w:cs="Calibri"/>
                <w:b/>
                <w:bCs/>
                <w:color w:val="FFFFFF" w:themeColor="background1"/>
                <w:szCs w:val="20"/>
              </w:rPr>
            </w:pPr>
            <w:r w:rsidRPr="000F51E0">
              <w:rPr>
                <w:rFonts w:cs="Calibri"/>
                <w:b/>
                <w:bCs/>
                <w:color w:val="FFFFFF" w:themeColor="background1"/>
                <w:szCs w:val="20"/>
              </w:rPr>
              <w:t>Highest and Best Use</w:t>
            </w:r>
          </w:p>
        </w:tc>
      </w:tr>
      <w:tr w:rsidR="00B33CD5" w:rsidRPr="00E94AEC" w14:paraId="5551A41D" w14:textId="77777777" w:rsidTr="005F5B4C">
        <w:trPr>
          <w:cantSplit/>
          <w:trHeight w:val="23"/>
        </w:trPr>
        <w:tc>
          <w:tcPr>
            <w:tcW w:w="746" w:type="pct"/>
            <w:tcBorders>
              <w:top w:val="nil"/>
              <w:left w:val="single" w:sz="2" w:space="0" w:color="auto"/>
              <w:bottom w:val="nil"/>
              <w:right w:val="single" w:sz="2" w:space="0" w:color="auto"/>
            </w:tcBorders>
          </w:tcPr>
          <w:p w14:paraId="194BD721"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ASSB 13.93(i)</w:t>
            </w:r>
          </w:p>
        </w:tc>
        <w:tc>
          <w:tcPr>
            <w:tcW w:w="4254" w:type="pct"/>
            <w:tcBorders>
              <w:top w:val="nil"/>
              <w:left w:val="single" w:sz="2" w:space="0" w:color="auto"/>
              <w:bottom w:val="nil"/>
              <w:right w:val="nil"/>
            </w:tcBorders>
            <w:shd w:val="clear" w:color="auto" w:fill="7030A0"/>
          </w:tcPr>
          <w:p w14:paraId="0D88D4A0" w14:textId="77777777" w:rsidR="00B33CD5" w:rsidRPr="00B33CD5" w:rsidRDefault="00B33CD5" w:rsidP="00B33CD5">
            <w:pPr>
              <w:pStyle w:val="CommentaryText"/>
              <w:jc w:val="left"/>
              <w:rPr>
                <w:rFonts w:cs="Calibri"/>
                <w:color w:val="FFFFFF" w:themeColor="background1"/>
                <w:sz w:val="18"/>
                <w:szCs w:val="18"/>
              </w:rPr>
            </w:pPr>
            <w:r w:rsidRPr="00B33CD5">
              <w:rPr>
                <w:rFonts w:cs="Calibri"/>
                <w:color w:val="FFFFFF" w:themeColor="background1"/>
                <w:sz w:val="18"/>
                <w:szCs w:val="18"/>
              </w:rPr>
              <w:t>If the highest and best use of a non-financial asset differs from its current use, agencies shall disclose that fact and why the non-financial asset is being used in a manner that differs from its highest and best use.</w:t>
            </w:r>
          </w:p>
        </w:tc>
      </w:tr>
      <w:tr w:rsidR="00B33CD5" w:rsidRPr="00E94AEC" w14:paraId="1BCB9F1D" w14:textId="77777777" w:rsidTr="005F5B4C">
        <w:trPr>
          <w:cantSplit/>
          <w:trHeight w:val="23"/>
        </w:trPr>
        <w:tc>
          <w:tcPr>
            <w:tcW w:w="746" w:type="pct"/>
            <w:tcBorders>
              <w:top w:val="nil"/>
              <w:left w:val="single" w:sz="2" w:space="0" w:color="auto"/>
              <w:bottom w:val="nil"/>
              <w:right w:val="single" w:sz="2" w:space="0" w:color="auto"/>
            </w:tcBorders>
          </w:tcPr>
          <w:p w14:paraId="3811C9E6"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13.27 &amp; 28</w:t>
            </w:r>
          </w:p>
        </w:tc>
        <w:tc>
          <w:tcPr>
            <w:tcW w:w="4254" w:type="pct"/>
            <w:tcBorders>
              <w:top w:val="nil"/>
              <w:left w:val="single" w:sz="2" w:space="0" w:color="auto"/>
              <w:bottom w:val="nil"/>
              <w:right w:val="nil"/>
            </w:tcBorders>
            <w:shd w:val="clear" w:color="auto" w:fill="7030A0"/>
            <w:vAlign w:val="bottom"/>
          </w:tcPr>
          <w:p w14:paraId="1D7B3C79" w14:textId="77777777"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The highest and best use of a non-financial asset takes into account the use of the asset that is physically possible (given location and size), legally permissible (given zoning regulations), and financially feasible (generates adequate income or cash flows).</w:t>
            </w:r>
          </w:p>
        </w:tc>
      </w:tr>
      <w:tr w:rsidR="00B33CD5" w:rsidRPr="00675698" w14:paraId="11EF7CB9" w14:textId="77777777" w:rsidTr="005F5B4C">
        <w:trPr>
          <w:cantSplit/>
          <w:trHeight w:val="23"/>
        </w:trPr>
        <w:tc>
          <w:tcPr>
            <w:tcW w:w="746" w:type="pct"/>
            <w:tcBorders>
              <w:top w:val="nil"/>
              <w:left w:val="single" w:sz="2" w:space="0" w:color="auto"/>
              <w:bottom w:val="nil"/>
              <w:right w:val="single" w:sz="2" w:space="0" w:color="auto"/>
            </w:tcBorders>
          </w:tcPr>
          <w:p w14:paraId="1DD355F0" w14:textId="2F55CC37" w:rsidR="00B33CD5" w:rsidRPr="00B33CD5" w:rsidRDefault="00B33CD5" w:rsidP="000159C3">
            <w:pPr>
              <w:pStyle w:val="NormalSFLeadIn"/>
              <w:spacing w:before="240" w:after="240"/>
              <w:rPr>
                <w:rFonts w:cs="Calibri"/>
                <w:b/>
                <w:bCs/>
                <w:color w:val="7030A0"/>
                <w:szCs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4F94939B" w14:textId="749630C0" w:rsidR="00B33CD5" w:rsidRPr="000106B3" w:rsidRDefault="00B33CD5" w:rsidP="000159C3">
            <w:pPr>
              <w:pStyle w:val="CommentaryText"/>
              <w:spacing w:before="240" w:after="240"/>
              <w:rPr>
                <w:rFonts w:cs="Calibri"/>
                <w:b/>
                <w:bCs/>
                <w:color w:val="FFFFFF" w:themeColor="background1"/>
                <w:sz w:val="18"/>
              </w:rPr>
            </w:pPr>
            <w:r w:rsidRPr="000106B3">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B33CD5" w:rsidRPr="00675698" w14:paraId="45F502A8" w14:textId="77777777" w:rsidTr="005F5B4C">
        <w:trPr>
          <w:cantSplit/>
          <w:trHeight w:val="23"/>
        </w:trPr>
        <w:tc>
          <w:tcPr>
            <w:tcW w:w="746" w:type="pct"/>
            <w:tcBorders>
              <w:top w:val="nil"/>
              <w:left w:val="single" w:sz="2" w:space="0" w:color="auto"/>
              <w:bottom w:val="nil"/>
              <w:right w:val="single" w:sz="2" w:space="0" w:color="auto"/>
            </w:tcBorders>
            <w:vAlign w:val="bottom"/>
          </w:tcPr>
          <w:p w14:paraId="2AF460E6" w14:textId="77777777" w:rsidR="00B33CD5" w:rsidRPr="00675698" w:rsidRDefault="00B33CD5" w:rsidP="00B33CD5">
            <w:pPr>
              <w:pStyle w:val="CommentaryReference"/>
              <w:spacing w:before="60"/>
              <w:rPr>
                <w:rFonts w:cs="Calibri"/>
                <w:color w:val="538135" w:themeColor="accent6" w:themeShade="BF"/>
                <w:szCs w:val="14"/>
              </w:rPr>
            </w:pPr>
          </w:p>
        </w:tc>
        <w:tc>
          <w:tcPr>
            <w:tcW w:w="4254" w:type="pct"/>
            <w:tcBorders>
              <w:top w:val="nil"/>
              <w:left w:val="single" w:sz="2" w:space="0" w:color="auto"/>
              <w:bottom w:val="nil"/>
              <w:right w:val="nil"/>
            </w:tcBorders>
            <w:shd w:val="clear" w:color="auto" w:fill="7030A0"/>
            <w:vAlign w:val="bottom"/>
          </w:tcPr>
          <w:p w14:paraId="7C3630A4" w14:textId="2EA50D75" w:rsidR="00B33CD5" w:rsidRPr="000F51E0" w:rsidRDefault="00B33CD5" w:rsidP="00C87FF4">
            <w:pPr>
              <w:pStyle w:val="CommentaryText"/>
              <w:spacing w:after="40"/>
              <w:rPr>
                <w:rFonts w:cs="Calibri"/>
                <w:b/>
                <w:bCs/>
                <w:color w:val="FFFFFF" w:themeColor="background1"/>
                <w:szCs w:val="20"/>
              </w:rPr>
            </w:pPr>
            <w:r w:rsidRPr="000F51E0">
              <w:rPr>
                <w:rFonts w:cs="Calibri"/>
                <w:b/>
                <w:bCs/>
                <w:color w:val="FFFFFF" w:themeColor="background1"/>
                <w:szCs w:val="20"/>
              </w:rPr>
              <w:t>Voluntary Disclosures</w:t>
            </w:r>
          </w:p>
        </w:tc>
      </w:tr>
      <w:tr w:rsidR="00B33CD5" w:rsidRPr="00675698" w14:paraId="65E86D1D" w14:textId="77777777" w:rsidTr="005F5B4C">
        <w:trPr>
          <w:cantSplit/>
          <w:trHeight w:val="23"/>
        </w:trPr>
        <w:tc>
          <w:tcPr>
            <w:tcW w:w="746" w:type="pct"/>
            <w:tcBorders>
              <w:top w:val="nil"/>
              <w:left w:val="single" w:sz="2" w:space="0" w:color="auto"/>
              <w:bottom w:val="nil"/>
              <w:right w:val="single" w:sz="2" w:space="0" w:color="auto"/>
            </w:tcBorders>
          </w:tcPr>
          <w:p w14:paraId="6ACED7B5" w14:textId="54CF7203" w:rsidR="00B33CD5" w:rsidRPr="000106B3" w:rsidRDefault="00B33CD5" w:rsidP="00B33CD5">
            <w:pPr>
              <w:rPr>
                <w:rFonts w:cs="Calibri"/>
                <w:color w:val="7030A0"/>
                <w:sz w:val="16"/>
              </w:rPr>
            </w:pPr>
            <w:r w:rsidRPr="000106B3">
              <w:rPr>
                <w:rFonts w:cs="Calibri"/>
                <w:color w:val="7030A0"/>
                <w:sz w:val="14"/>
              </w:rPr>
              <w:t>AASB 116.79</w:t>
            </w:r>
          </w:p>
        </w:tc>
        <w:tc>
          <w:tcPr>
            <w:tcW w:w="4254" w:type="pct"/>
            <w:tcBorders>
              <w:top w:val="nil"/>
              <w:left w:val="single" w:sz="2" w:space="0" w:color="auto"/>
              <w:bottom w:val="nil"/>
              <w:right w:val="nil"/>
            </w:tcBorders>
            <w:shd w:val="clear" w:color="auto" w:fill="7030A0"/>
            <w:vAlign w:val="bottom"/>
          </w:tcPr>
          <w:p w14:paraId="3468D95C" w14:textId="5C2E2997" w:rsidR="00B33CD5" w:rsidRPr="000106B3" w:rsidRDefault="00B33CD5" w:rsidP="00B33CD5">
            <w:pPr>
              <w:pStyle w:val="CommentaryText"/>
              <w:spacing w:after="40"/>
              <w:rPr>
                <w:rFonts w:cs="Calibri"/>
                <w:color w:val="FFFFFF" w:themeColor="background1"/>
                <w:sz w:val="18"/>
                <w:szCs w:val="18"/>
              </w:rPr>
            </w:pPr>
            <w:r w:rsidRPr="000106B3">
              <w:rPr>
                <w:rFonts w:cs="Calibri"/>
                <w:color w:val="FFFFFF" w:themeColor="background1"/>
                <w:sz w:val="18"/>
                <w:szCs w:val="18"/>
              </w:rPr>
              <w:t>To assist users of financial statements, the following voluntary disclosures are recommended:</w:t>
            </w:r>
          </w:p>
          <w:p w14:paraId="35675F16" w14:textId="77777777" w:rsidR="00B33CD5" w:rsidRPr="000106B3"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carrying amount of temporarily idle property, plant and equipment;</w:t>
            </w:r>
          </w:p>
          <w:p w14:paraId="59B79F77" w14:textId="31C67426" w:rsidR="00B33CD5" w:rsidRPr="000106B3"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gross carrying amount of any fully depreciated property, plant and equipment that is still in use; and</w:t>
            </w:r>
          </w:p>
          <w:p w14:paraId="1C363052" w14:textId="746D7537" w:rsidR="00B33CD5" w:rsidRPr="000106B3" w:rsidRDefault="00B33CD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 xml:space="preserve">the carrying amount of property, plant and equipment retired from active use and not classified as held for sale in accordance with AASB 5 </w:t>
            </w:r>
            <w:r w:rsidRPr="000F51E0">
              <w:rPr>
                <w:rFonts w:cs="Calibri"/>
                <w:i/>
                <w:iCs/>
                <w:color w:val="FFFFFF" w:themeColor="background1"/>
                <w:sz w:val="18"/>
                <w:szCs w:val="18"/>
              </w:rPr>
              <w:t>Non-current Assets Held for Sale and Discontinued Operations</w:t>
            </w:r>
            <w:r w:rsidRPr="000F51E0">
              <w:rPr>
                <w:rFonts w:cs="Calibri"/>
                <w:color w:val="FFFFFF" w:themeColor="background1"/>
                <w:sz w:val="18"/>
                <w:szCs w:val="18"/>
              </w:rPr>
              <w:t>.</w:t>
            </w:r>
          </w:p>
        </w:tc>
      </w:tr>
      <w:tr w:rsidR="00B33CD5" w:rsidRPr="00244458" w14:paraId="222FCC0D"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BE20DE4"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3A3BC636" w14:textId="77777777" w:rsidR="00B33CD5" w:rsidRPr="000F51E0" w:rsidRDefault="00B33CD5" w:rsidP="00C87FF4">
            <w:pPr>
              <w:pStyle w:val="CommentaryText"/>
              <w:spacing w:before="120" w:after="40"/>
              <w:rPr>
                <w:b/>
                <w:bCs/>
                <w:color w:val="FFFFFF" w:themeColor="background1"/>
                <w:szCs w:val="20"/>
              </w:rPr>
            </w:pPr>
            <w:r w:rsidRPr="000F51E0">
              <w:rPr>
                <w:b/>
                <w:bCs/>
                <w:color w:val="FFFFFF" w:themeColor="background1"/>
                <w:szCs w:val="20"/>
              </w:rPr>
              <w:t>Disclosures required by Lessors that have Operating Leases involving Property, Plant and Equipment</w:t>
            </w:r>
          </w:p>
        </w:tc>
      </w:tr>
      <w:tr w:rsidR="00B33CD5" w:rsidRPr="00244458" w14:paraId="3AE9DC5F"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1EB3DEAC"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16.95</w:t>
            </w:r>
          </w:p>
        </w:tc>
        <w:tc>
          <w:tcPr>
            <w:tcW w:w="4254" w:type="pct"/>
            <w:tcBorders>
              <w:top w:val="nil"/>
              <w:left w:val="single" w:sz="2" w:space="0" w:color="auto"/>
              <w:bottom w:val="nil"/>
              <w:right w:val="nil"/>
            </w:tcBorders>
            <w:shd w:val="clear" w:color="auto" w:fill="7030A0"/>
            <w:vAlign w:val="bottom"/>
          </w:tcPr>
          <w:p w14:paraId="75723F0D" w14:textId="77777777" w:rsidR="00B33CD5" w:rsidRPr="000106B3" w:rsidRDefault="00B33CD5" w:rsidP="00B33CD5">
            <w:pPr>
              <w:pStyle w:val="CommentaryText"/>
              <w:rPr>
                <w:rFonts w:cs="Calibri"/>
                <w:color w:val="FFFFFF" w:themeColor="background1"/>
                <w:sz w:val="18"/>
                <w:szCs w:val="18"/>
              </w:rPr>
            </w:pPr>
            <w:r w:rsidRPr="000106B3">
              <w:rPr>
                <w:color w:val="FFFFFF" w:themeColor="background1"/>
                <w:sz w:val="18"/>
                <w:szCs w:val="18"/>
              </w:rPr>
              <w:t>Where an agency is a lessor with operating leases involving property, plant and equipment it needs to provide the disclosures required by AASB 116 separately for the assets subject to an operating lease from those that are held and used by the lessor.</w:t>
            </w:r>
          </w:p>
        </w:tc>
      </w:tr>
      <w:tr w:rsidR="00B33CD5" w:rsidRPr="00CF7E1B" w14:paraId="2CC99DC0"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vAlign w:val="bottom"/>
          </w:tcPr>
          <w:p w14:paraId="03330CBB"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587C1F4C" w14:textId="77777777" w:rsidR="00B33CD5" w:rsidRPr="000F51E0" w:rsidRDefault="00B33CD5" w:rsidP="00C87FF4">
            <w:pPr>
              <w:pStyle w:val="CommentaryHeading"/>
              <w:spacing w:before="0" w:after="40"/>
              <w:rPr>
                <w:rFonts w:cs="Calibri"/>
                <w:color w:val="FFFFFF" w:themeColor="background1"/>
                <w:szCs w:val="20"/>
              </w:rPr>
            </w:pPr>
            <w:r w:rsidRPr="000F51E0">
              <w:rPr>
                <w:rFonts w:cs="Calibri"/>
                <w:color w:val="FFFFFF" w:themeColor="background1"/>
                <w:szCs w:val="20"/>
              </w:rPr>
              <w:t>Compensation from Third Party</w:t>
            </w:r>
          </w:p>
        </w:tc>
      </w:tr>
      <w:tr w:rsidR="00B33CD5" w:rsidRPr="00CF7E1B" w14:paraId="2D3F1190"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DB591E3"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116.74(d)</w:t>
            </w:r>
          </w:p>
        </w:tc>
        <w:tc>
          <w:tcPr>
            <w:tcW w:w="4254" w:type="pct"/>
            <w:tcBorders>
              <w:top w:val="nil"/>
              <w:left w:val="single" w:sz="2" w:space="0" w:color="auto"/>
              <w:bottom w:val="nil"/>
              <w:right w:val="nil"/>
            </w:tcBorders>
            <w:shd w:val="clear" w:color="auto" w:fill="7030A0"/>
            <w:vAlign w:val="bottom"/>
          </w:tcPr>
          <w:p w14:paraId="49AA81B6" w14:textId="77777777" w:rsidR="00B33CD5" w:rsidRPr="000106B3" w:rsidRDefault="00B33CD5" w:rsidP="00B33CD5">
            <w:pPr>
              <w:pStyle w:val="CommentaryText"/>
              <w:rPr>
                <w:rFonts w:cs="Calibri"/>
                <w:color w:val="FFFFFF" w:themeColor="background1"/>
                <w:sz w:val="18"/>
                <w:szCs w:val="18"/>
              </w:rPr>
            </w:pPr>
            <w:r w:rsidRPr="000106B3">
              <w:rPr>
                <w:rFonts w:cs="Calibri"/>
                <w:color w:val="FFFFFF" w:themeColor="background1"/>
                <w:sz w:val="18"/>
                <w:szCs w:val="18"/>
              </w:rPr>
              <w:t xml:space="preserve">Agencies must disclose the amount of compensation received from third parties for items of property, plant and equipment that were impaired, lost or given up during the reporting period that have not already been separately disclosed in the Operating Statement. </w:t>
            </w:r>
          </w:p>
        </w:tc>
      </w:tr>
      <w:tr w:rsidR="00B33CD5" w:rsidRPr="00C12C73" w14:paraId="6ADA0F7C" w14:textId="77777777" w:rsidTr="005F5B4C">
        <w:trPr>
          <w:cantSplit/>
          <w:trHeight w:val="23"/>
        </w:trPr>
        <w:tc>
          <w:tcPr>
            <w:tcW w:w="746" w:type="pct"/>
            <w:tcBorders>
              <w:top w:val="nil"/>
              <w:left w:val="single" w:sz="2" w:space="0" w:color="auto"/>
              <w:bottom w:val="nil"/>
              <w:right w:val="single" w:sz="2" w:space="0" w:color="auto"/>
            </w:tcBorders>
          </w:tcPr>
          <w:p w14:paraId="63CB58AF"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0B162019" w14:textId="51A3A6AE" w:rsidR="00B33CD5" w:rsidRPr="000F51E0" w:rsidRDefault="00B33CD5" w:rsidP="00C87FF4">
            <w:pPr>
              <w:pStyle w:val="CommentaryText"/>
              <w:spacing w:after="40"/>
              <w:rPr>
                <w:rFonts w:cs="Calibri"/>
                <w:b/>
                <w:bCs/>
                <w:iCs/>
                <w:color w:val="FFFFFF" w:themeColor="background1"/>
                <w:szCs w:val="20"/>
              </w:rPr>
            </w:pPr>
            <w:r w:rsidRPr="00152C5D">
              <w:rPr>
                <w:rFonts w:cs="Calibri"/>
                <w:b/>
                <w:bCs/>
                <w:iCs/>
                <w:color w:val="FFFFFF" w:themeColor="background1"/>
                <w:szCs w:val="20"/>
              </w:rPr>
              <w:t>Right</w:t>
            </w:r>
            <w:r w:rsidR="00526C44" w:rsidRPr="00152C5D">
              <w:rPr>
                <w:rFonts w:cs="Calibri"/>
                <w:b/>
                <w:bCs/>
                <w:iCs/>
                <w:color w:val="FF0000"/>
                <w:szCs w:val="20"/>
              </w:rPr>
              <w:t>-</w:t>
            </w:r>
            <w:r w:rsidRPr="00152C5D">
              <w:rPr>
                <w:rFonts w:cs="Calibri"/>
                <w:b/>
                <w:bCs/>
                <w:iCs/>
                <w:color w:val="FFFFFF" w:themeColor="background1"/>
                <w:szCs w:val="20"/>
              </w:rPr>
              <w:t>of</w:t>
            </w:r>
            <w:r w:rsidR="00526C44" w:rsidRPr="00152C5D">
              <w:rPr>
                <w:rFonts w:cs="Calibri"/>
                <w:b/>
                <w:bCs/>
                <w:iCs/>
                <w:color w:val="FF0000"/>
                <w:szCs w:val="20"/>
              </w:rPr>
              <w:t>-</w:t>
            </w:r>
            <w:r w:rsidRPr="00152C5D">
              <w:rPr>
                <w:rFonts w:cs="Calibri"/>
                <w:b/>
                <w:bCs/>
                <w:iCs/>
                <w:color w:val="FFFFFF" w:themeColor="background1"/>
                <w:szCs w:val="20"/>
              </w:rPr>
              <w:t>Use</w:t>
            </w:r>
            <w:r w:rsidRPr="000F51E0">
              <w:rPr>
                <w:rFonts w:cs="Calibri"/>
                <w:b/>
                <w:bCs/>
                <w:iCs/>
                <w:color w:val="FFFFFF" w:themeColor="background1"/>
                <w:szCs w:val="20"/>
              </w:rPr>
              <w:t xml:space="preserve"> Assets Acquired by Lessees </w:t>
            </w:r>
          </w:p>
        </w:tc>
      </w:tr>
      <w:tr w:rsidR="00B33CD5" w:rsidRPr="00D52D67" w14:paraId="5AF724EF" w14:textId="77777777" w:rsidTr="005F5B4C">
        <w:trPr>
          <w:cantSplit/>
          <w:trHeight w:val="23"/>
        </w:trPr>
        <w:tc>
          <w:tcPr>
            <w:tcW w:w="746" w:type="pct"/>
            <w:tcBorders>
              <w:top w:val="nil"/>
              <w:left w:val="single" w:sz="2" w:space="0" w:color="auto"/>
              <w:bottom w:val="nil"/>
              <w:right w:val="single" w:sz="2" w:space="0" w:color="auto"/>
            </w:tcBorders>
          </w:tcPr>
          <w:p w14:paraId="45FDC06E" w14:textId="48450ED8"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vAlign w:val="bottom"/>
          </w:tcPr>
          <w:p w14:paraId="32CC1966" w14:textId="77777777" w:rsidR="00B33CD5" w:rsidRPr="000106B3" w:rsidRDefault="00B33CD5" w:rsidP="00B33CD5">
            <w:pPr>
              <w:pStyle w:val="CommentaryText"/>
              <w:spacing w:after="40"/>
              <w:rPr>
                <w:rFonts w:cs="Calibri"/>
                <w:strike/>
                <w:color w:val="FFFFFF" w:themeColor="background1"/>
                <w:sz w:val="18"/>
                <w:szCs w:val="18"/>
              </w:rPr>
            </w:pPr>
            <w:r w:rsidRPr="000106B3">
              <w:rPr>
                <w:color w:val="FFFFFF" w:themeColor="background1"/>
                <w:sz w:val="18"/>
                <w:szCs w:val="18"/>
              </w:rPr>
              <w:t xml:space="preserve">A lessee shall either present in the statement of financial position, or disclose in the notes: </w:t>
            </w:r>
          </w:p>
        </w:tc>
      </w:tr>
      <w:tr w:rsidR="00B33CD5" w:rsidRPr="00D52D67" w14:paraId="4BFFF7C6" w14:textId="77777777" w:rsidTr="005F5B4C">
        <w:trPr>
          <w:cantSplit/>
          <w:trHeight w:val="393"/>
        </w:trPr>
        <w:tc>
          <w:tcPr>
            <w:tcW w:w="746" w:type="pct"/>
            <w:tcBorders>
              <w:top w:val="nil"/>
              <w:left w:val="single" w:sz="2" w:space="0" w:color="auto"/>
              <w:bottom w:val="nil"/>
              <w:right w:val="single" w:sz="2" w:space="0" w:color="auto"/>
            </w:tcBorders>
          </w:tcPr>
          <w:p w14:paraId="5650DE95"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7777DA55" w14:textId="77777777" w:rsidR="00B33CD5" w:rsidRPr="000106B3" w:rsidRDefault="00B33CD5" w:rsidP="00CB31DE">
            <w:pPr>
              <w:pStyle w:val="CommentaryText"/>
              <w:keepNext/>
              <w:keepLines/>
              <w:numPr>
                <w:ilvl w:val="0"/>
                <w:numId w:val="52"/>
              </w:numPr>
              <w:tabs>
                <w:tab w:val="left" w:pos="3306"/>
              </w:tabs>
              <w:spacing w:after="0"/>
              <w:ind w:left="463"/>
              <w:rPr>
                <w:color w:val="FFFFFF" w:themeColor="background1"/>
                <w:sz w:val="18"/>
                <w:szCs w:val="18"/>
              </w:rPr>
            </w:pPr>
            <w:r w:rsidRPr="000F51E0">
              <w:rPr>
                <w:rFonts w:cs="Calibri"/>
                <w:color w:val="FFFFFF" w:themeColor="background1"/>
                <w:sz w:val="18"/>
                <w:szCs w:val="18"/>
              </w:rPr>
              <w:t>right-of-use assets separately from other assets. If a lessee does not present right-of-use assets separately in the statement of financial position, the lessee shall:</w:t>
            </w:r>
            <w:r w:rsidRPr="000106B3">
              <w:rPr>
                <w:color w:val="FFFFFF" w:themeColor="background1"/>
                <w:sz w:val="18"/>
                <w:szCs w:val="18"/>
              </w:rPr>
              <w:t xml:space="preserve"> </w:t>
            </w:r>
          </w:p>
        </w:tc>
      </w:tr>
      <w:tr w:rsidR="00B33CD5" w:rsidRPr="00D52D67" w14:paraId="3C1F106C" w14:textId="77777777" w:rsidTr="005F5B4C">
        <w:trPr>
          <w:cantSplit/>
          <w:trHeight w:val="449"/>
        </w:trPr>
        <w:tc>
          <w:tcPr>
            <w:tcW w:w="746" w:type="pct"/>
            <w:tcBorders>
              <w:top w:val="nil"/>
              <w:left w:val="single" w:sz="2" w:space="0" w:color="auto"/>
              <w:bottom w:val="nil"/>
              <w:right w:val="single" w:sz="2" w:space="0" w:color="auto"/>
            </w:tcBorders>
          </w:tcPr>
          <w:p w14:paraId="35D13B60"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36DFA08D" w14:textId="77777777" w:rsidR="00B33CD5" w:rsidRPr="000106B3" w:rsidRDefault="00B33CD5" w:rsidP="00CB31DE">
            <w:pPr>
              <w:pStyle w:val="CommentaryText"/>
              <w:numPr>
                <w:ilvl w:val="0"/>
                <w:numId w:val="64"/>
              </w:numPr>
              <w:spacing w:after="40"/>
              <w:ind w:left="877"/>
              <w:jc w:val="left"/>
              <w:rPr>
                <w:color w:val="FFFFFF" w:themeColor="background1"/>
                <w:sz w:val="18"/>
                <w:szCs w:val="18"/>
              </w:rPr>
            </w:pPr>
            <w:r w:rsidRPr="000106B3">
              <w:rPr>
                <w:color w:val="FFFFFF" w:themeColor="background1"/>
                <w:sz w:val="18"/>
                <w:szCs w:val="18"/>
              </w:rPr>
              <w:t>include right-of-use assets within the same line item as that within which the corresponding underlying assets would be presented if they were owned; and</w:t>
            </w:r>
          </w:p>
        </w:tc>
      </w:tr>
      <w:tr w:rsidR="00B33CD5" w:rsidRPr="00D52D67" w14:paraId="09C8C620" w14:textId="77777777" w:rsidTr="005F5B4C">
        <w:trPr>
          <w:cantSplit/>
          <w:trHeight w:val="259"/>
        </w:trPr>
        <w:tc>
          <w:tcPr>
            <w:tcW w:w="746" w:type="pct"/>
            <w:tcBorders>
              <w:top w:val="nil"/>
              <w:left w:val="single" w:sz="2" w:space="0" w:color="auto"/>
              <w:bottom w:val="nil"/>
              <w:right w:val="single" w:sz="2" w:space="0" w:color="auto"/>
            </w:tcBorders>
          </w:tcPr>
          <w:p w14:paraId="0EC5D8DA"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571CDFF6" w14:textId="77777777" w:rsidR="00B33CD5" w:rsidRPr="000106B3" w:rsidRDefault="00B33CD5" w:rsidP="00CB31DE">
            <w:pPr>
              <w:pStyle w:val="CommentaryText"/>
              <w:numPr>
                <w:ilvl w:val="0"/>
                <w:numId w:val="64"/>
              </w:numPr>
              <w:ind w:left="873" w:hanging="357"/>
              <w:jc w:val="left"/>
              <w:rPr>
                <w:color w:val="FFFFFF" w:themeColor="background1"/>
                <w:sz w:val="18"/>
                <w:szCs w:val="18"/>
              </w:rPr>
            </w:pPr>
            <w:r w:rsidRPr="000106B3">
              <w:rPr>
                <w:color w:val="FFFFFF" w:themeColor="background1"/>
                <w:sz w:val="18"/>
                <w:szCs w:val="18"/>
              </w:rPr>
              <w:t>disclose which line items in the statement of financial position include those right-of-use assets.</w:t>
            </w:r>
          </w:p>
        </w:tc>
      </w:tr>
      <w:tr w:rsidR="00B33CD5" w:rsidRPr="00D52D67" w14:paraId="57256AA3" w14:textId="77777777" w:rsidTr="005F5B4C">
        <w:trPr>
          <w:cantSplit/>
          <w:trHeight w:val="23"/>
        </w:trPr>
        <w:tc>
          <w:tcPr>
            <w:tcW w:w="746" w:type="pct"/>
            <w:tcBorders>
              <w:top w:val="nil"/>
              <w:left w:val="single" w:sz="2" w:space="0" w:color="auto"/>
              <w:bottom w:val="nil"/>
              <w:right w:val="single" w:sz="2" w:space="0" w:color="auto"/>
            </w:tcBorders>
          </w:tcPr>
          <w:p w14:paraId="7665605C"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ACT Disclosure Policy</w:t>
            </w:r>
          </w:p>
          <w:p w14:paraId="2A2EA61B"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vAlign w:val="bottom"/>
          </w:tcPr>
          <w:p w14:paraId="5AA716E0" w14:textId="77777777" w:rsidR="00B33CD5" w:rsidRPr="000106B3" w:rsidRDefault="00B33CD5" w:rsidP="00B33CD5">
            <w:pPr>
              <w:pStyle w:val="CommentaryText"/>
              <w:rPr>
                <w:color w:val="FFFFFF" w:themeColor="background1"/>
                <w:sz w:val="18"/>
                <w:szCs w:val="18"/>
              </w:rPr>
            </w:pPr>
            <w:r w:rsidRPr="000106B3">
              <w:rPr>
                <w:color w:val="FFFFFF" w:themeColor="background1"/>
                <w:sz w:val="18"/>
                <w:szCs w:val="18"/>
              </w:rPr>
              <w:t xml:space="preserve">Given the Model sets out that right-of-use assets are not included on the face of the Balance Sheet, agencies need to include right-of-use assets within the same line item as that within which the corresponding underlying assets would be presented if they were owned. </w:t>
            </w:r>
          </w:p>
        </w:tc>
      </w:tr>
      <w:tr w:rsidR="00B33CD5" w:rsidRPr="00D605D8" w14:paraId="3B3AD6A0" w14:textId="77777777" w:rsidTr="005F5B4C">
        <w:trPr>
          <w:cantSplit/>
          <w:trHeight w:val="23"/>
        </w:trPr>
        <w:tc>
          <w:tcPr>
            <w:tcW w:w="746" w:type="pct"/>
            <w:tcBorders>
              <w:top w:val="nil"/>
              <w:left w:val="single" w:sz="2" w:space="0" w:color="auto"/>
              <w:bottom w:val="nil"/>
              <w:right w:val="single" w:sz="2" w:space="0" w:color="auto"/>
            </w:tcBorders>
          </w:tcPr>
          <w:p w14:paraId="20B9B47D"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16.48</w:t>
            </w:r>
          </w:p>
        </w:tc>
        <w:tc>
          <w:tcPr>
            <w:tcW w:w="4254" w:type="pct"/>
            <w:tcBorders>
              <w:top w:val="nil"/>
              <w:left w:val="single" w:sz="2" w:space="0" w:color="auto"/>
              <w:bottom w:val="nil"/>
              <w:right w:val="nil"/>
            </w:tcBorders>
            <w:shd w:val="clear" w:color="auto" w:fill="7030A0"/>
            <w:vAlign w:val="bottom"/>
          </w:tcPr>
          <w:p w14:paraId="0F4DEAF1" w14:textId="77777777" w:rsidR="00B33CD5" w:rsidRPr="000106B3" w:rsidRDefault="00B33CD5" w:rsidP="00B33CD5">
            <w:pPr>
              <w:pStyle w:val="CommentaryText"/>
              <w:rPr>
                <w:color w:val="FFFFFF" w:themeColor="background1"/>
                <w:sz w:val="18"/>
                <w:szCs w:val="18"/>
              </w:rPr>
            </w:pPr>
            <w:r w:rsidRPr="000106B3">
              <w:rPr>
                <w:color w:val="FFFFFF" w:themeColor="background1"/>
                <w:sz w:val="18"/>
                <w:szCs w:val="18"/>
              </w:rPr>
              <w:t>Right-of-use assets that meet the definition of investment property are presented within Investment Property.</w:t>
            </w:r>
          </w:p>
        </w:tc>
      </w:tr>
      <w:tr w:rsidR="00B33CD5" w:rsidRPr="00C41F18" w14:paraId="1A1CA44F" w14:textId="77777777" w:rsidTr="005F5B4C">
        <w:trPr>
          <w:cantSplit/>
          <w:trHeight w:val="23"/>
        </w:trPr>
        <w:tc>
          <w:tcPr>
            <w:tcW w:w="746" w:type="pct"/>
            <w:tcBorders>
              <w:top w:val="nil"/>
              <w:left w:val="single" w:sz="2" w:space="0" w:color="auto"/>
              <w:bottom w:val="nil"/>
              <w:right w:val="single" w:sz="2" w:space="0" w:color="auto"/>
            </w:tcBorders>
          </w:tcPr>
          <w:p w14:paraId="12B3C3DA" w14:textId="77777777" w:rsidR="00B33CD5" w:rsidRPr="000106B3" w:rsidRDefault="00B33CD5" w:rsidP="00B33CD5">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56D387C" w14:textId="77777777" w:rsidR="00B33CD5" w:rsidRPr="000F51E0" w:rsidRDefault="00B33CD5" w:rsidP="00C87FF4">
            <w:pPr>
              <w:pStyle w:val="CommentaryText"/>
              <w:spacing w:after="40"/>
              <w:rPr>
                <w:b/>
                <w:bCs/>
                <w:color w:val="FFFFFF" w:themeColor="background1"/>
                <w:szCs w:val="20"/>
              </w:rPr>
            </w:pPr>
            <w:r w:rsidRPr="000F51E0">
              <w:rPr>
                <w:b/>
                <w:bCs/>
                <w:color w:val="FFFFFF" w:themeColor="background1"/>
                <w:szCs w:val="20"/>
              </w:rPr>
              <w:t>Treatment of Revaluation Decrements</w:t>
            </w:r>
          </w:p>
        </w:tc>
      </w:tr>
      <w:tr w:rsidR="00B33CD5" w:rsidRPr="00C41F18" w14:paraId="3324E06C" w14:textId="77777777" w:rsidTr="005F5B4C">
        <w:trPr>
          <w:cantSplit/>
          <w:trHeight w:val="23"/>
        </w:trPr>
        <w:tc>
          <w:tcPr>
            <w:tcW w:w="746" w:type="pct"/>
            <w:tcBorders>
              <w:top w:val="nil"/>
              <w:left w:val="single" w:sz="2" w:space="0" w:color="auto"/>
              <w:bottom w:val="nil"/>
              <w:right w:val="single" w:sz="2" w:space="0" w:color="auto"/>
            </w:tcBorders>
          </w:tcPr>
          <w:p w14:paraId="57D82FD2" w14:textId="77777777" w:rsidR="00B33CD5" w:rsidRPr="000106B3" w:rsidRDefault="00B33CD5" w:rsidP="00B33CD5">
            <w:pPr>
              <w:pStyle w:val="TableReference"/>
              <w:tabs>
                <w:tab w:val="left" w:pos="3306"/>
              </w:tabs>
              <w:rPr>
                <w:rFonts w:cs="Calibri"/>
                <w:color w:val="7030A0"/>
                <w:sz w:val="14"/>
              </w:rPr>
            </w:pPr>
            <w:r w:rsidRPr="000106B3">
              <w:rPr>
                <w:rFonts w:cs="Calibri"/>
                <w:color w:val="7030A0"/>
                <w:sz w:val="14"/>
              </w:rPr>
              <w:t>AASB 116.Aus 40.1</w:t>
            </w:r>
          </w:p>
        </w:tc>
        <w:tc>
          <w:tcPr>
            <w:tcW w:w="4254" w:type="pct"/>
            <w:tcBorders>
              <w:top w:val="nil"/>
              <w:left w:val="single" w:sz="2" w:space="0" w:color="auto"/>
              <w:bottom w:val="nil"/>
              <w:right w:val="nil"/>
            </w:tcBorders>
            <w:shd w:val="clear" w:color="auto" w:fill="7030A0"/>
            <w:vAlign w:val="bottom"/>
          </w:tcPr>
          <w:p w14:paraId="1BAF6791" w14:textId="77777777" w:rsidR="00B33CD5" w:rsidRPr="000106B3" w:rsidRDefault="00B33CD5" w:rsidP="000106B3">
            <w:pPr>
              <w:pStyle w:val="CommentaryText"/>
              <w:rPr>
                <w:color w:val="FFFFFF" w:themeColor="background1"/>
                <w:sz w:val="18"/>
                <w:szCs w:val="18"/>
              </w:rPr>
            </w:pPr>
            <w:r w:rsidRPr="000106B3">
              <w:rPr>
                <w:color w:val="FFFFFF" w:themeColor="background1"/>
                <w:sz w:val="18"/>
                <w:szCs w:val="18"/>
              </w:rPr>
              <w:t>Revaluation decrements are expensed when a particular asset (of for-profit territory authorities), or class of assets (of not-for-profit agency), as a whole, has been revalued downwards and there is no amount in the Asset Revaluation Surplus for that asset class for the revaluation to be offset against.</w:t>
            </w:r>
          </w:p>
        </w:tc>
      </w:tr>
      <w:tr w:rsidR="00DD600D" w:rsidRPr="00CF7E1B" w14:paraId="1D073E0C" w14:textId="77777777" w:rsidTr="005F5B4C">
        <w:trPr>
          <w:cantSplit/>
          <w:trHeight w:val="23"/>
        </w:trPr>
        <w:tc>
          <w:tcPr>
            <w:tcW w:w="746" w:type="pct"/>
            <w:tcBorders>
              <w:top w:val="nil"/>
              <w:left w:val="single" w:sz="2" w:space="0" w:color="auto"/>
              <w:bottom w:val="nil"/>
              <w:right w:val="single" w:sz="2" w:space="0" w:color="auto"/>
            </w:tcBorders>
          </w:tcPr>
          <w:p w14:paraId="680A2F2C" w14:textId="77777777" w:rsidR="00DD600D" w:rsidRPr="000106B3" w:rsidRDefault="00DD600D" w:rsidP="00DD600D">
            <w:pPr>
              <w:pStyle w:val="CommentaryReference"/>
              <w:spacing w:before="60"/>
              <w:rPr>
                <w:rFonts w:cs="Calibri"/>
                <w:color w:val="7030A0"/>
                <w:sz w:val="16"/>
              </w:rPr>
            </w:pPr>
          </w:p>
        </w:tc>
        <w:tc>
          <w:tcPr>
            <w:tcW w:w="4254" w:type="pct"/>
            <w:tcBorders>
              <w:top w:val="nil"/>
              <w:left w:val="single" w:sz="2" w:space="0" w:color="auto"/>
              <w:bottom w:val="nil"/>
              <w:right w:val="nil"/>
            </w:tcBorders>
            <w:shd w:val="clear" w:color="auto" w:fill="7030A0"/>
            <w:vAlign w:val="bottom"/>
          </w:tcPr>
          <w:p w14:paraId="69C09B00" w14:textId="77777777" w:rsidR="00DD600D" w:rsidRPr="000F51E0" w:rsidRDefault="00DD600D" w:rsidP="000106B3">
            <w:pPr>
              <w:pStyle w:val="CommentaryText"/>
              <w:spacing w:before="40" w:after="0"/>
              <w:rPr>
                <w:rFonts w:cs="Calibri"/>
                <w:b/>
                <w:bCs/>
                <w:color w:val="FFFFFF" w:themeColor="background1"/>
                <w:szCs w:val="20"/>
              </w:rPr>
            </w:pPr>
            <w:r w:rsidRPr="000F51E0">
              <w:rPr>
                <w:rFonts w:cs="Calibri"/>
                <w:b/>
                <w:bCs/>
                <w:color w:val="FFFFFF" w:themeColor="background1"/>
                <w:szCs w:val="20"/>
              </w:rPr>
              <w:t>Territory Authority Commentary</w:t>
            </w:r>
          </w:p>
        </w:tc>
      </w:tr>
      <w:tr w:rsidR="00DD600D" w:rsidRPr="00CF7E1B" w14:paraId="61CAA92E" w14:textId="77777777" w:rsidTr="005F5B4C">
        <w:trPr>
          <w:cantSplit/>
          <w:trHeight w:val="23"/>
        </w:trPr>
        <w:tc>
          <w:tcPr>
            <w:tcW w:w="746" w:type="pct"/>
            <w:tcBorders>
              <w:top w:val="nil"/>
              <w:left w:val="single" w:sz="2" w:space="0" w:color="auto"/>
              <w:bottom w:val="nil"/>
              <w:right w:val="single" w:sz="2" w:space="0" w:color="auto"/>
            </w:tcBorders>
          </w:tcPr>
          <w:p w14:paraId="39E40D2E" w14:textId="77777777" w:rsidR="00DD600D" w:rsidRPr="000106B3" w:rsidRDefault="00DD600D" w:rsidP="00DD600D">
            <w:pPr>
              <w:pStyle w:val="CommentaryReference"/>
              <w:spacing w:before="60"/>
              <w:rPr>
                <w:rFonts w:cs="Calibri"/>
                <w:color w:val="7030A0"/>
                <w:sz w:val="16"/>
              </w:rPr>
            </w:pPr>
          </w:p>
        </w:tc>
        <w:tc>
          <w:tcPr>
            <w:tcW w:w="4254" w:type="pct"/>
            <w:tcBorders>
              <w:top w:val="nil"/>
              <w:left w:val="single" w:sz="2" w:space="0" w:color="auto"/>
              <w:bottom w:val="nil"/>
              <w:right w:val="nil"/>
            </w:tcBorders>
            <w:shd w:val="clear" w:color="auto" w:fill="7030A0"/>
            <w:vAlign w:val="bottom"/>
          </w:tcPr>
          <w:p w14:paraId="7CDA67BD" w14:textId="77777777" w:rsidR="00DD600D" w:rsidRPr="000F51E0" w:rsidRDefault="00DD600D" w:rsidP="00526C44">
            <w:pPr>
              <w:pStyle w:val="CommentaryText"/>
              <w:spacing w:before="60" w:after="0"/>
              <w:rPr>
                <w:rFonts w:cs="Calibri"/>
                <w:b/>
                <w:bCs/>
                <w:i/>
                <w:iCs/>
                <w:color w:val="FFFFFF" w:themeColor="background1"/>
                <w:szCs w:val="20"/>
              </w:rPr>
            </w:pPr>
            <w:r w:rsidRPr="000F51E0">
              <w:rPr>
                <w:i/>
                <w:iCs/>
                <w:color w:val="FFFFFF" w:themeColor="background1"/>
                <w:szCs w:val="20"/>
              </w:rPr>
              <w:t>For-profit Territory Authorities</w:t>
            </w:r>
          </w:p>
        </w:tc>
      </w:tr>
      <w:tr w:rsidR="00DD600D" w:rsidRPr="00CF7E1B" w14:paraId="51D74510" w14:textId="77777777" w:rsidTr="005F5B4C">
        <w:trPr>
          <w:cantSplit/>
          <w:trHeight w:val="23"/>
        </w:trPr>
        <w:tc>
          <w:tcPr>
            <w:tcW w:w="746" w:type="pct"/>
            <w:tcBorders>
              <w:top w:val="nil"/>
              <w:left w:val="single" w:sz="2" w:space="0" w:color="auto"/>
              <w:bottom w:val="nil"/>
              <w:right w:val="single" w:sz="2" w:space="0" w:color="auto"/>
            </w:tcBorders>
          </w:tcPr>
          <w:p w14:paraId="6B12BBCB" w14:textId="149FE803" w:rsidR="00DD600D" w:rsidRPr="000106B3" w:rsidRDefault="00DD600D" w:rsidP="00E434A8">
            <w:pPr>
              <w:pStyle w:val="TableReference"/>
              <w:tabs>
                <w:tab w:val="left" w:pos="3306"/>
              </w:tabs>
              <w:spacing w:before="60"/>
              <w:rPr>
                <w:color w:val="7030A0"/>
                <w:sz w:val="14"/>
              </w:rPr>
            </w:pPr>
            <w:r w:rsidRPr="000106B3">
              <w:rPr>
                <w:color w:val="7030A0"/>
                <w:sz w:val="14"/>
              </w:rPr>
              <w:t xml:space="preserve">AASB 116.77(e) </w:t>
            </w:r>
          </w:p>
        </w:tc>
        <w:tc>
          <w:tcPr>
            <w:tcW w:w="4254" w:type="pct"/>
            <w:tcBorders>
              <w:top w:val="nil"/>
              <w:left w:val="single" w:sz="2" w:space="0" w:color="auto"/>
              <w:bottom w:val="nil"/>
              <w:right w:val="nil"/>
            </w:tcBorders>
            <w:shd w:val="clear" w:color="auto" w:fill="7030A0"/>
          </w:tcPr>
          <w:p w14:paraId="48BB3B1B" w14:textId="429B0FAF" w:rsidR="00DD600D" w:rsidRPr="000106B3" w:rsidRDefault="00DD600D" w:rsidP="00E434A8">
            <w:pPr>
              <w:pStyle w:val="CommentaryText"/>
              <w:rPr>
                <w:color w:val="FFFFFF" w:themeColor="background1"/>
                <w:sz w:val="18"/>
                <w:szCs w:val="18"/>
              </w:rPr>
            </w:pPr>
            <w:r w:rsidRPr="000106B3">
              <w:rPr>
                <w:color w:val="FFFFFF" w:themeColor="background1"/>
                <w:sz w:val="18"/>
                <w:szCs w:val="18"/>
              </w:rPr>
              <w:t xml:space="preserve">Territory authorities that are for-profit </w:t>
            </w:r>
            <w:r w:rsidR="00E434A8" w:rsidRPr="000106B3">
              <w:rPr>
                <w:color w:val="FFFFFF" w:themeColor="background1"/>
                <w:sz w:val="18"/>
                <w:szCs w:val="18"/>
              </w:rPr>
              <w:t>are</w:t>
            </w:r>
            <w:r w:rsidRPr="000106B3">
              <w:rPr>
                <w:color w:val="FFFFFF" w:themeColor="background1"/>
                <w:sz w:val="18"/>
                <w:szCs w:val="18"/>
              </w:rPr>
              <w:t xml:space="preserve"> required to disclose for each revalued class of property, plant and equipment, the carrying amount that would have been recognised had the assets been carried under the cost model. An example disclosure is presented above. </w:t>
            </w:r>
          </w:p>
        </w:tc>
      </w:tr>
      <w:tr w:rsidR="00DD600D" w:rsidRPr="00CF7E1B" w14:paraId="085468AC" w14:textId="77777777" w:rsidTr="005F5B4C">
        <w:trPr>
          <w:cantSplit/>
          <w:trHeight w:val="23"/>
        </w:trPr>
        <w:tc>
          <w:tcPr>
            <w:tcW w:w="746" w:type="pct"/>
            <w:tcBorders>
              <w:top w:val="nil"/>
              <w:left w:val="single" w:sz="2" w:space="0" w:color="auto"/>
              <w:bottom w:val="nil"/>
              <w:right w:val="single" w:sz="2" w:space="0" w:color="auto"/>
            </w:tcBorders>
          </w:tcPr>
          <w:p w14:paraId="4A8150E0" w14:textId="77777777" w:rsidR="00DD600D" w:rsidRPr="000106B3" w:rsidRDefault="00DD600D" w:rsidP="00DD600D">
            <w:pPr>
              <w:pStyle w:val="CommentaryReference"/>
              <w:spacing w:before="60"/>
              <w:rPr>
                <w:color w:val="7030A0"/>
              </w:rPr>
            </w:pPr>
            <w:r w:rsidRPr="000106B3">
              <w:rPr>
                <w:color w:val="7030A0"/>
              </w:rPr>
              <w:t>AASB 116.AUS 77.1</w:t>
            </w:r>
          </w:p>
        </w:tc>
        <w:tc>
          <w:tcPr>
            <w:tcW w:w="4254" w:type="pct"/>
            <w:tcBorders>
              <w:top w:val="nil"/>
              <w:left w:val="single" w:sz="2" w:space="0" w:color="auto"/>
              <w:bottom w:val="nil"/>
              <w:right w:val="nil"/>
            </w:tcBorders>
            <w:shd w:val="clear" w:color="auto" w:fill="7030A0"/>
            <w:vAlign w:val="bottom"/>
          </w:tcPr>
          <w:p w14:paraId="5E0887F3" w14:textId="77777777" w:rsidR="00DD600D" w:rsidRPr="000106B3" w:rsidRDefault="00DD600D" w:rsidP="00DD600D">
            <w:pPr>
              <w:pStyle w:val="CommentaryText"/>
              <w:rPr>
                <w:color w:val="FFFFFF" w:themeColor="background1"/>
                <w:sz w:val="18"/>
                <w:szCs w:val="18"/>
              </w:rPr>
            </w:pPr>
            <w:r w:rsidRPr="000106B3">
              <w:rPr>
                <w:color w:val="FFFFFF" w:themeColor="background1"/>
                <w:sz w:val="18"/>
                <w:szCs w:val="18"/>
              </w:rPr>
              <w:t>Territory authorities which are not-for-profit are not required to make this disclosure.</w:t>
            </w:r>
          </w:p>
        </w:tc>
      </w:tr>
      <w:tr w:rsidR="00DD600D" w:rsidRPr="00CF7E1B" w14:paraId="60030C54" w14:textId="77777777" w:rsidTr="005F5B4C">
        <w:trPr>
          <w:cantSplit/>
          <w:trHeight w:val="23"/>
        </w:trPr>
        <w:tc>
          <w:tcPr>
            <w:tcW w:w="746" w:type="pct"/>
            <w:tcBorders>
              <w:top w:val="nil"/>
              <w:left w:val="single" w:sz="2" w:space="0" w:color="auto"/>
              <w:bottom w:val="nil"/>
              <w:right w:val="single" w:sz="2" w:space="0" w:color="auto"/>
            </w:tcBorders>
          </w:tcPr>
          <w:p w14:paraId="29403779" w14:textId="77777777" w:rsidR="00DD600D" w:rsidRPr="000106B3" w:rsidRDefault="00DD600D" w:rsidP="00DD600D">
            <w:pPr>
              <w:pStyle w:val="CommentaryReference"/>
              <w:spacing w:before="60"/>
              <w:rPr>
                <w:rFonts w:cs="Calibri"/>
                <w:color w:val="7030A0"/>
                <w:sz w:val="16"/>
              </w:rPr>
            </w:pPr>
            <w:r w:rsidRPr="000106B3">
              <w:rPr>
                <w:color w:val="7030A0"/>
              </w:rPr>
              <w:t>AASB 13.93(f)</w:t>
            </w:r>
          </w:p>
        </w:tc>
        <w:tc>
          <w:tcPr>
            <w:tcW w:w="4254" w:type="pct"/>
            <w:tcBorders>
              <w:top w:val="nil"/>
              <w:left w:val="single" w:sz="2" w:space="0" w:color="auto"/>
              <w:bottom w:val="nil"/>
              <w:right w:val="nil"/>
            </w:tcBorders>
            <w:shd w:val="clear" w:color="auto" w:fill="7030A0"/>
            <w:vAlign w:val="bottom"/>
          </w:tcPr>
          <w:p w14:paraId="1F9CDE26" w14:textId="57DA3123" w:rsidR="00DD600D" w:rsidRPr="000106B3" w:rsidRDefault="00DD600D" w:rsidP="00DD600D">
            <w:pPr>
              <w:pStyle w:val="CommentaryText"/>
              <w:rPr>
                <w:rFonts w:cs="Calibri"/>
                <w:color w:val="FFFFFF" w:themeColor="background1"/>
                <w:sz w:val="18"/>
                <w:szCs w:val="18"/>
              </w:rPr>
            </w:pPr>
            <w:r w:rsidRPr="000106B3">
              <w:rPr>
                <w:color w:val="FFFFFF" w:themeColor="background1"/>
                <w:sz w:val="18"/>
                <w:szCs w:val="18"/>
              </w:rPr>
              <w:t>For recurring fair value measurements categorised within level 3 of the fair value hierarchy, for-profit authorities need to disclose the amount of the total gains and losses for the period attributable to the change in unrealised gains or losses relating to those assets and liabilities held at the end of the reporting period, by line item.</w:t>
            </w:r>
          </w:p>
        </w:tc>
      </w:tr>
      <w:tr w:rsidR="00DD600D" w:rsidRPr="00CF7E1B" w14:paraId="719116EB" w14:textId="77777777" w:rsidTr="005F5B4C">
        <w:trPr>
          <w:cantSplit/>
          <w:trHeight w:val="23"/>
        </w:trPr>
        <w:tc>
          <w:tcPr>
            <w:tcW w:w="746" w:type="pct"/>
            <w:tcBorders>
              <w:top w:val="nil"/>
              <w:left w:val="single" w:sz="2" w:space="0" w:color="auto"/>
              <w:bottom w:val="nil"/>
              <w:right w:val="single" w:sz="2" w:space="0" w:color="auto"/>
            </w:tcBorders>
          </w:tcPr>
          <w:p w14:paraId="6FFCD904" w14:textId="77777777" w:rsidR="00DD600D" w:rsidRPr="000106B3" w:rsidRDefault="00DD600D" w:rsidP="00DD600D">
            <w:pPr>
              <w:pStyle w:val="CommentaryReference"/>
              <w:spacing w:before="60"/>
              <w:rPr>
                <w:rFonts w:cs="Calibri"/>
                <w:color w:val="7030A0"/>
                <w:sz w:val="16"/>
              </w:rPr>
            </w:pPr>
            <w:r w:rsidRPr="000106B3">
              <w:rPr>
                <w:color w:val="7030A0"/>
              </w:rPr>
              <w:t>AASB 93(d)</w:t>
            </w:r>
          </w:p>
        </w:tc>
        <w:tc>
          <w:tcPr>
            <w:tcW w:w="4254" w:type="pct"/>
            <w:tcBorders>
              <w:top w:val="nil"/>
              <w:left w:val="single" w:sz="2" w:space="0" w:color="auto"/>
              <w:bottom w:val="nil"/>
              <w:right w:val="nil"/>
            </w:tcBorders>
            <w:shd w:val="clear" w:color="auto" w:fill="7030A0"/>
            <w:vAlign w:val="bottom"/>
          </w:tcPr>
          <w:p w14:paraId="521E5AE0" w14:textId="77777777" w:rsidR="00DD600D" w:rsidRPr="000106B3" w:rsidRDefault="00DD600D" w:rsidP="00DD600D">
            <w:pPr>
              <w:pStyle w:val="CommentaryText"/>
              <w:rPr>
                <w:color w:val="FFFFFF" w:themeColor="background1"/>
                <w:sz w:val="18"/>
                <w:szCs w:val="18"/>
              </w:rPr>
            </w:pPr>
            <w:r w:rsidRPr="000106B3">
              <w:rPr>
                <w:color w:val="FFFFFF" w:themeColor="background1"/>
                <w:sz w:val="18"/>
                <w:szCs w:val="18"/>
              </w:rPr>
              <w:t>For fair value measurements categorised within level 3 of the fair value hierarchy, for-profit authorities have to disclose quantitative information about the significant unobservable inputs used in the fair value measurement.</w:t>
            </w:r>
          </w:p>
        </w:tc>
      </w:tr>
      <w:tr w:rsidR="00DD600D" w:rsidRPr="00CF7E1B" w14:paraId="00263463" w14:textId="77777777" w:rsidTr="005F5B4C">
        <w:trPr>
          <w:cantSplit/>
          <w:trHeight w:val="23"/>
        </w:trPr>
        <w:tc>
          <w:tcPr>
            <w:tcW w:w="746" w:type="pct"/>
            <w:tcBorders>
              <w:top w:val="nil"/>
              <w:left w:val="single" w:sz="2" w:space="0" w:color="auto"/>
              <w:bottom w:val="nil"/>
              <w:right w:val="single" w:sz="2" w:space="0" w:color="auto"/>
            </w:tcBorders>
          </w:tcPr>
          <w:p w14:paraId="66292384" w14:textId="77777777" w:rsidR="00DD600D" w:rsidRPr="000106B3" w:rsidRDefault="00DD600D" w:rsidP="00DD600D">
            <w:pPr>
              <w:pStyle w:val="CommentaryReference"/>
              <w:spacing w:before="60"/>
              <w:rPr>
                <w:rFonts w:cs="Calibri"/>
                <w:color w:val="7030A0"/>
                <w:sz w:val="16"/>
              </w:rPr>
            </w:pPr>
            <w:r w:rsidRPr="000106B3">
              <w:rPr>
                <w:color w:val="7030A0"/>
              </w:rPr>
              <w:t>AASB 93(h)(i)</w:t>
            </w:r>
          </w:p>
        </w:tc>
        <w:tc>
          <w:tcPr>
            <w:tcW w:w="4254" w:type="pct"/>
            <w:tcBorders>
              <w:top w:val="nil"/>
              <w:left w:val="single" w:sz="2" w:space="0" w:color="auto"/>
              <w:bottom w:val="nil"/>
              <w:right w:val="nil"/>
            </w:tcBorders>
            <w:shd w:val="clear" w:color="auto" w:fill="7030A0"/>
            <w:vAlign w:val="bottom"/>
          </w:tcPr>
          <w:p w14:paraId="53445964" w14:textId="77777777" w:rsidR="00DD600D" w:rsidRPr="000106B3" w:rsidRDefault="00DD600D" w:rsidP="00DD600D">
            <w:pPr>
              <w:pStyle w:val="CommentaryText"/>
              <w:rPr>
                <w:rFonts w:cs="Calibri"/>
                <w:color w:val="FFFFFF" w:themeColor="background1"/>
                <w:sz w:val="18"/>
                <w:szCs w:val="18"/>
              </w:rPr>
            </w:pPr>
            <w:r w:rsidRPr="000106B3">
              <w:rPr>
                <w:color w:val="FFFFFF" w:themeColor="background1"/>
                <w:sz w:val="18"/>
                <w:szCs w:val="18"/>
              </w:rPr>
              <w:t>For-profit authorities also need to provide a narrative description of the sensitivity of the fair value measurements to changes in unobservable inputs if a change in those inputs to a different amount might result in a significantly higher or lower fair value measurement. If there are interrelationships between those inputs and other unobservable inputs, agencies shall provide a description of those interrelationships and how they might magnify or mitigate the effect of changes in the unobservable inputs on the fair value measurement.</w:t>
            </w:r>
          </w:p>
        </w:tc>
      </w:tr>
    </w:tbl>
    <w:p w14:paraId="43BAA918" w14:textId="6AF5DD1A" w:rsidR="00B0215E" w:rsidRDefault="00B0215E">
      <w:pPr>
        <w:rPr>
          <w:rFonts w:cs="Calibri"/>
        </w:rPr>
      </w:pPr>
    </w:p>
    <w:p w14:paraId="7530110C" w14:textId="50827DD1" w:rsidR="007E70BB" w:rsidRDefault="007E70BB">
      <w:pPr>
        <w:rPr>
          <w:rFonts w:cs="Calibri"/>
        </w:rPr>
      </w:pPr>
      <w:r>
        <w:rPr>
          <w:rFonts w:cs="Calibri"/>
        </w:rPr>
        <w:br w:type="page"/>
      </w:r>
    </w:p>
    <w:p w14:paraId="6DEC687F" w14:textId="77777777" w:rsidR="006665F9" w:rsidRPr="00CF7E1B" w:rsidRDefault="006665F9">
      <w:pPr>
        <w:rPr>
          <w:rFonts w:cs="Calibri"/>
          <w:sz w:val="6"/>
        </w:rPr>
      </w:pP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210"/>
        <w:gridCol w:w="634"/>
        <w:gridCol w:w="10"/>
        <w:gridCol w:w="494"/>
        <w:gridCol w:w="398"/>
        <w:gridCol w:w="22"/>
        <w:gridCol w:w="242"/>
        <w:gridCol w:w="13"/>
        <w:gridCol w:w="933"/>
      </w:tblGrid>
      <w:tr w:rsidR="000144FF" w:rsidRPr="00CF7E1B" w14:paraId="7A41FC87" w14:textId="77777777" w:rsidTr="002A16D9">
        <w:trPr>
          <w:cantSplit/>
          <w:trHeight w:val="23"/>
        </w:trPr>
        <w:tc>
          <w:tcPr>
            <w:tcW w:w="743" w:type="pct"/>
            <w:tcBorders>
              <w:top w:val="nil"/>
              <w:left w:val="single" w:sz="4" w:space="0" w:color="auto"/>
              <w:bottom w:val="nil"/>
              <w:right w:val="single" w:sz="4" w:space="0" w:color="auto"/>
            </w:tcBorders>
          </w:tcPr>
          <w:p w14:paraId="2171C913" w14:textId="77777777" w:rsidR="000144FF" w:rsidRPr="000F62B8" w:rsidRDefault="00F13375" w:rsidP="00980416">
            <w:pPr>
              <w:pStyle w:val="TableReference"/>
              <w:tabs>
                <w:tab w:val="left" w:pos="3306"/>
              </w:tabs>
              <w:spacing w:before="120"/>
              <w:rPr>
                <w:rFonts w:cs="Calibri"/>
                <w:b/>
                <w:color w:val="7030A0"/>
                <w:sz w:val="22"/>
                <w:szCs w:val="22"/>
              </w:rPr>
            </w:pPr>
            <w:bookmarkStart w:id="645" w:name="InvProperties" w:colFirst="1" w:colLast="1"/>
            <w:r w:rsidRPr="000F62B8">
              <w:rPr>
                <w:rFonts w:cs="Calibri"/>
                <w:b/>
                <w:color w:val="7030A0"/>
                <w:sz w:val="22"/>
                <w:szCs w:val="22"/>
              </w:rPr>
              <w:t>Reference</w:t>
            </w:r>
          </w:p>
        </w:tc>
        <w:tc>
          <w:tcPr>
            <w:tcW w:w="4257" w:type="pct"/>
            <w:gridSpan w:val="9"/>
            <w:tcBorders>
              <w:top w:val="nil"/>
              <w:left w:val="single" w:sz="4" w:space="0" w:color="auto"/>
              <w:bottom w:val="nil"/>
              <w:right w:val="nil"/>
            </w:tcBorders>
          </w:tcPr>
          <w:p w14:paraId="253B97F9" w14:textId="7B9F3491" w:rsidR="000144FF" w:rsidRPr="000F62B8" w:rsidRDefault="00ED39F2" w:rsidP="00980416">
            <w:pPr>
              <w:pStyle w:val="Heading1"/>
              <w:numPr>
                <w:ilvl w:val="0"/>
                <w:numId w:val="0"/>
              </w:numPr>
              <w:spacing w:before="120"/>
            </w:pPr>
            <w:bookmarkStart w:id="646" w:name="_Toc400627345"/>
            <w:bookmarkStart w:id="647" w:name="_Toc132743810"/>
            <w:r w:rsidRPr="000F62B8">
              <w:t>Note</w:t>
            </w:r>
            <w:r w:rsidR="003B3F08" w:rsidRPr="000F62B8">
              <w:t xml:space="preserve"> </w:t>
            </w:r>
            <w:r w:rsidR="001B1A1D" w:rsidRPr="000F62B8">
              <w:t>20</w:t>
            </w:r>
            <w:r w:rsidR="003B3F08" w:rsidRPr="000F62B8">
              <w:t>.</w:t>
            </w:r>
            <w:r w:rsidR="00FA7C77">
              <w:t xml:space="preserve"> </w:t>
            </w:r>
            <w:r w:rsidRPr="000F62B8">
              <w:t xml:space="preserve"> </w:t>
            </w:r>
            <w:r w:rsidR="00475B98" w:rsidRPr="000F62B8">
              <w:t xml:space="preserve">Investment </w:t>
            </w:r>
            <w:r w:rsidR="00322257" w:rsidRPr="000F62B8">
              <w:t>P</w:t>
            </w:r>
            <w:r w:rsidR="00475B98" w:rsidRPr="000F62B8">
              <w:t>roperties</w:t>
            </w:r>
            <w:bookmarkEnd w:id="646"/>
            <w:bookmarkEnd w:id="647"/>
          </w:p>
        </w:tc>
      </w:tr>
      <w:bookmarkEnd w:id="645"/>
      <w:tr w:rsidR="00342BC7" w:rsidRPr="00CF7E1B" w14:paraId="41C12048" w14:textId="77777777" w:rsidTr="002A16D9">
        <w:trPr>
          <w:cantSplit/>
          <w:trHeight w:val="23"/>
        </w:trPr>
        <w:tc>
          <w:tcPr>
            <w:tcW w:w="743" w:type="pct"/>
            <w:tcBorders>
              <w:top w:val="nil"/>
              <w:left w:val="single" w:sz="4" w:space="0" w:color="auto"/>
              <w:bottom w:val="nil"/>
              <w:right w:val="single" w:sz="4" w:space="0" w:color="auto"/>
            </w:tcBorders>
          </w:tcPr>
          <w:p w14:paraId="3FB7A86D" w14:textId="77777777" w:rsidR="00342BC7" w:rsidRPr="000F62B8" w:rsidRDefault="00342BC7" w:rsidP="00DB7306">
            <w:pPr>
              <w:pStyle w:val="TableReference"/>
              <w:tabs>
                <w:tab w:val="left" w:pos="3306"/>
              </w:tabs>
              <w:rPr>
                <w:rFonts w:cs="Calibri"/>
                <w:b/>
                <w:color w:val="7030A0"/>
                <w:sz w:val="20"/>
                <w:szCs w:val="20"/>
              </w:rPr>
            </w:pPr>
          </w:p>
        </w:tc>
        <w:tc>
          <w:tcPr>
            <w:tcW w:w="4257" w:type="pct"/>
            <w:gridSpan w:val="9"/>
            <w:tcBorders>
              <w:top w:val="nil"/>
              <w:left w:val="single" w:sz="4" w:space="0" w:color="auto"/>
              <w:bottom w:val="nil"/>
              <w:right w:val="nil"/>
            </w:tcBorders>
          </w:tcPr>
          <w:p w14:paraId="03C543A7" w14:textId="6BD5AA04" w:rsidR="00342BC7" w:rsidRPr="0028231E" w:rsidRDefault="00CF6E0E" w:rsidP="0028231E">
            <w:pPr>
              <w:jc w:val="both"/>
              <w:rPr>
                <w:b/>
                <w:bCs/>
                <w:sz w:val="18"/>
                <w:szCs w:val="18"/>
              </w:rPr>
            </w:pPr>
            <w:bookmarkStart w:id="648" w:name="_Toc98763131"/>
            <w:r w:rsidRPr="0028231E">
              <w:rPr>
                <w:b/>
                <w:bCs/>
                <w:sz w:val="18"/>
                <w:szCs w:val="18"/>
              </w:rPr>
              <w:t>Description and Material Accounting Policies Relating to Investment Properties</w:t>
            </w:r>
            <w:bookmarkEnd w:id="648"/>
            <w:r w:rsidRPr="0028231E">
              <w:rPr>
                <w:b/>
                <w:bCs/>
                <w:sz w:val="18"/>
                <w:szCs w:val="18"/>
              </w:rPr>
              <w:t xml:space="preserve"> </w:t>
            </w:r>
          </w:p>
        </w:tc>
      </w:tr>
      <w:tr w:rsidR="00342BC7" w:rsidRPr="00CF7E1B" w14:paraId="0D394B8C" w14:textId="77777777" w:rsidTr="002A16D9">
        <w:trPr>
          <w:cantSplit/>
          <w:trHeight w:val="23"/>
        </w:trPr>
        <w:tc>
          <w:tcPr>
            <w:tcW w:w="743" w:type="pct"/>
            <w:tcBorders>
              <w:top w:val="nil"/>
              <w:left w:val="single" w:sz="4" w:space="0" w:color="auto"/>
              <w:bottom w:val="nil"/>
              <w:right w:val="single" w:sz="4" w:space="0" w:color="auto"/>
            </w:tcBorders>
          </w:tcPr>
          <w:p w14:paraId="56A03176" w14:textId="3CFB5FF0" w:rsidR="00342BC7" w:rsidRPr="000F62B8" w:rsidRDefault="00342BC7" w:rsidP="00342BC7">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573451F7" w14:textId="4903C1C8" w:rsidR="00342BC7" w:rsidRPr="000F62B8" w:rsidRDefault="00D5198A" w:rsidP="0095733E">
            <w:pPr>
              <w:spacing w:after="80"/>
              <w:ind w:right="172"/>
              <w:jc w:val="both"/>
              <w:rPr>
                <w:sz w:val="18"/>
                <w:szCs w:val="18"/>
              </w:rPr>
            </w:pPr>
            <w:r w:rsidRPr="000F62B8">
              <w:rPr>
                <w:sz w:val="18"/>
                <w:szCs w:val="18"/>
              </w:rPr>
              <w:t>Investment properties are properties held to earn rental income or for capital appreciation, or both.</w:t>
            </w:r>
            <w:r w:rsidR="00FA7C77">
              <w:rPr>
                <w:sz w:val="18"/>
                <w:szCs w:val="18"/>
              </w:rPr>
              <w:t xml:space="preserve"> </w:t>
            </w:r>
            <w:r w:rsidR="00A82DC4" w:rsidRPr="000F62B8">
              <w:rPr>
                <w:sz w:val="18"/>
                <w:szCs w:val="18"/>
              </w:rPr>
              <w:t>‘</w:t>
            </w:r>
            <w:r w:rsidR="00645E43" w:rsidRPr="000F62B8">
              <w:rPr>
                <w:sz w:val="18"/>
                <w:szCs w:val="18"/>
              </w:rPr>
              <w:t xml:space="preserve">Burley Griffin </w:t>
            </w:r>
            <w:r w:rsidR="00A82DC4" w:rsidRPr="000F62B8">
              <w:rPr>
                <w:sz w:val="18"/>
                <w:szCs w:val="18"/>
              </w:rPr>
              <w:t xml:space="preserve">Agency’ owns </w:t>
            </w:r>
            <w:r w:rsidR="00BE2642" w:rsidRPr="000F62B8">
              <w:rPr>
                <w:sz w:val="18"/>
                <w:szCs w:val="18"/>
              </w:rPr>
              <w:t>commercial</w:t>
            </w:r>
            <w:r w:rsidR="00A82DC4" w:rsidRPr="000F62B8">
              <w:rPr>
                <w:sz w:val="18"/>
                <w:szCs w:val="18"/>
              </w:rPr>
              <w:t xml:space="preserve"> and office buildings which are classified as investment property</w:t>
            </w:r>
            <w:r w:rsidRPr="000F62B8">
              <w:t xml:space="preserve"> </w:t>
            </w:r>
            <w:r w:rsidRPr="000F62B8">
              <w:rPr>
                <w:sz w:val="18"/>
                <w:szCs w:val="18"/>
              </w:rPr>
              <w:t>as they</w:t>
            </w:r>
            <w:r w:rsidRPr="000F62B8">
              <w:rPr>
                <w:rFonts w:cs="Calibri"/>
                <w:sz w:val="18"/>
                <w:szCs w:val="18"/>
              </w:rPr>
              <w:t xml:space="preserve"> are held primarily for rental income</w:t>
            </w:r>
            <w:r w:rsidR="00A82DC4" w:rsidRPr="000F62B8">
              <w:rPr>
                <w:sz w:val="18"/>
                <w:szCs w:val="18"/>
              </w:rPr>
              <w:t>.</w:t>
            </w:r>
            <w:r w:rsidR="00FA7C77">
              <w:rPr>
                <w:sz w:val="18"/>
                <w:szCs w:val="18"/>
              </w:rPr>
              <w:t xml:space="preserve"> </w:t>
            </w:r>
          </w:p>
        </w:tc>
      </w:tr>
      <w:tr w:rsidR="003E28E6" w:rsidRPr="00CF7E1B" w14:paraId="23E0BA68" w14:textId="77777777" w:rsidTr="002A16D9">
        <w:trPr>
          <w:cantSplit/>
          <w:trHeight w:val="23"/>
        </w:trPr>
        <w:tc>
          <w:tcPr>
            <w:tcW w:w="743" w:type="pct"/>
            <w:tcBorders>
              <w:top w:val="nil"/>
              <w:left w:val="single" w:sz="4" w:space="0" w:color="auto"/>
              <w:bottom w:val="nil"/>
              <w:right w:val="single" w:sz="4" w:space="0" w:color="auto"/>
            </w:tcBorders>
          </w:tcPr>
          <w:p w14:paraId="4F8C8D7C" w14:textId="77777777" w:rsidR="003E28E6" w:rsidRPr="000F62B8" w:rsidRDefault="003E28E6" w:rsidP="003E28E6">
            <w:pPr>
              <w:pStyle w:val="TableReference"/>
              <w:tabs>
                <w:tab w:val="left" w:pos="3306"/>
              </w:tabs>
              <w:spacing w:before="40"/>
              <w:rPr>
                <w:rFonts w:cs="Calibri"/>
                <w:color w:val="7030A0"/>
                <w:sz w:val="14"/>
              </w:rPr>
            </w:pPr>
            <w:r w:rsidRPr="000F62B8">
              <w:rPr>
                <w:rFonts w:cs="Calibri"/>
                <w:color w:val="7030A0"/>
                <w:sz w:val="14"/>
              </w:rPr>
              <w:t>AASB 140.75(g)</w:t>
            </w:r>
          </w:p>
          <w:p w14:paraId="7760CB49" w14:textId="77777777" w:rsidR="003E28E6" w:rsidRPr="000F62B8" w:rsidRDefault="003E28E6" w:rsidP="00342BC7">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57639F3D" w14:textId="07CA4842" w:rsidR="003E28E6" w:rsidRPr="000F62B8" w:rsidRDefault="00A82DC4" w:rsidP="0095733E">
            <w:pPr>
              <w:pStyle w:val="TableText"/>
              <w:spacing w:before="0" w:after="80"/>
              <w:jc w:val="both"/>
              <w:rPr>
                <w:rFonts w:cs="Calibri"/>
              </w:rPr>
            </w:pPr>
            <w:r w:rsidRPr="000F62B8">
              <w:t>These are leased to commercial and community tenants which generally have terms of 2 – 15 years.</w:t>
            </w:r>
            <w:r w:rsidR="00FA7C77">
              <w:t xml:space="preserve"> </w:t>
            </w:r>
            <w:r w:rsidR="00776003" w:rsidRPr="000F62B8">
              <w:rPr>
                <w:rFonts w:cs="Calibri"/>
              </w:rPr>
              <w:t>L</w:t>
            </w:r>
            <w:r w:rsidR="00776003" w:rsidRPr="000F62B8">
              <w:t>essees do not have an option to purchase the property at the expiry of the lease period.</w:t>
            </w:r>
            <w:r w:rsidR="00FA7C77">
              <w:t xml:space="preserve"> </w:t>
            </w:r>
            <w:r w:rsidR="002F6A78" w:rsidRPr="000F62B8">
              <w:t xml:space="preserve">The rents </w:t>
            </w:r>
            <w:r w:rsidR="00BC43CD" w:rsidRPr="000F62B8">
              <w:t>relating to commercial properties</w:t>
            </w:r>
            <w:r w:rsidR="00FA7C77">
              <w:t xml:space="preserve"> </w:t>
            </w:r>
            <w:r w:rsidR="002F6A78" w:rsidRPr="000F62B8">
              <w:t>increase by CPI each year with a market rent reset every 5th year.</w:t>
            </w:r>
            <w:r w:rsidR="00FA7C77">
              <w:t xml:space="preserve"> </w:t>
            </w:r>
            <w:r w:rsidR="00493022" w:rsidRPr="000F62B8">
              <w:t>‘</w:t>
            </w:r>
            <w:r w:rsidR="00645E43" w:rsidRPr="000F62B8">
              <w:t xml:space="preserve">Burley Griffin </w:t>
            </w:r>
            <w:r w:rsidR="00493022" w:rsidRPr="000F62B8">
              <w:t>Agency’ charges rent on the commercial properties monthly in advance.</w:t>
            </w:r>
            <w:r w:rsidR="00FA7C77">
              <w:t xml:space="preserve"> </w:t>
            </w:r>
            <w:r w:rsidR="003E28E6" w:rsidRPr="000F62B8">
              <w:rPr>
                <w:rFonts w:cs="Calibri"/>
              </w:rPr>
              <w:t>There are no restrictions on investment properties held or any restrictions on the income generated.</w:t>
            </w:r>
          </w:p>
        </w:tc>
      </w:tr>
      <w:tr w:rsidR="003E28E6" w:rsidRPr="00CF7E1B" w14:paraId="6B0EC2B3" w14:textId="77777777" w:rsidTr="002A16D9">
        <w:trPr>
          <w:cantSplit/>
          <w:trHeight w:val="23"/>
        </w:trPr>
        <w:tc>
          <w:tcPr>
            <w:tcW w:w="743" w:type="pct"/>
            <w:tcBorders>
              <w:top w:val="nil"/>
              <w:left w:val="single" w:sz="4" w:space="0" w:color="auto"/>
              <w:bottom w:val="nil"/>
              <w:right w:val="single" w:sz="4" w:space="0" w:color="auto"/>
            </w:tcBorders>
          </w:tcPr>
          <w:p w14:paraId="092A6CDF" w14:textId="129C5155" w:rsidR="003E28E6" w:rsidRPr="000F62B8" w:rsidRDefault="003E28E6" w:rsidP="00342BC7">
            <w:pPr>
              <w:pStyle w:val="TableReference"/>
              <w:tabs>
                <w:tab w:val="left" w:pos="3306"/>
              </w:tabs>
              <w:spacing w:before="40"/>
              <w:rPr>
                <w:rFonts w:cs="Calibri"/>
                <w:color w:val="7030A0"/>
                <w:sz w:val="14"/>
              </w:rPr>
            </w:pPr>
            <w:r w:rsidRPr="000F62B8">
              <w:rPr>
                <w:rFonts w:cs="Calibri"/>
                <w:color w:val="7030A0"/>
                <w:sz w:val="14"/>
              </w:rPr>
              <w:t>AASB 140.75(h)</w:t>
            </w:r>
          </w:p>
        </w:tc>
        <w:tc>
          <w:tcPr>
            <w:tcW w:w="4257" w:type="pct"/>
            <w:gridSpan w:val="9"/>
            <w:tcBorders>
              <w:top w:val="nil"/>
              <w:left w:val="single" w:sz="4" w:space="0" w:color="auto"/>
              <w:bottom w:val="nil"/>
              <w:right w:val="nil"/>
            </w:tcBorders>
          </w:tcPr>
          <w:p w14:paraId="3B9F5864" w14:textId="332FA33A" w:rsidR="003E28E6" w:rsidRPr="000F62B8" w:rsidRDefault="003E28E6" w:rsidP="0095733E">
            <w:pPr>
              <w:pStyle w:val="TableText"/>
              <w:spacing w:before="0" w:after="80"/>
              <w:jc w:val="both"/>
              <w:rPr>
                <w:rFonts w:cs="Calibri"/>
              </w:rPr>
            </w:pPr>
            <w:r w:rsidRPr="000F62B8">
              <w:rPr>
                <w:rFonts w:cs="Calibri"/>
              </w:rPr>
              <w:t>There are no contractual obligations to construct, purchase or develop investment properties.</w:t>
            </w:r>
            <w:r w:rsidR="00FA7C77">
              <w:rPr>
                <w:rFonts w:cs="Calibri"/>
              </w:rPr>
              <w:t xml:space="preserve"> </w:t>
            </w:r>
            <w:r w:rsidRPr="000F62B8">
              <w:rPr>
                <w:rFonts w:cs="Calibri"/>
              </w:rPr>
              <w:t>Further there is no contractual obligation for the repair, maintenance or enhancement of the investment properties.</w:t>
            </w:r>
            <w:r w:rsidR="00FA7C77">
              <w:rPr>
                <w:rFonts w:cs="Calibri"/>
              </w:rPr>
              <w:t xml:space="preserve"> </w:t>
            </w:r>
          </w:p>
        </w:tc>
      </w:tr>
      <w:tr w:rsidR="00342BC7" w:rsidRPr="00CF7E1B" w14:paraId="53C3D316" w14:textId="77777777" w:rsidTr="002A16D9">
        <w:trPr>
          <w:cantSplit/>
          <w:trHeight w:val="23"/>
        </w:trPr>
        <w:tc>
          <w:tcPr>
            <w:tcW w:w="743" w:type="pct"/>
            <w:tcBorders>
              <w:top w:val="nil"/>
              <w:left w:val="single" w:sz="4" w:space="0" w:color="auto"/>
              <w:bottom w:val="nil"/>
              <w:right w:val="single" w:sz="4" w:space="0" w:color="auto"/>
            </w:tcBorders>
          </w:tcPr>
          <w:p w14:paraId="6A13F307" w14:textId="77777777" w:rsidR="00342BC7" w:rsidRPr="000F62B8" w:rsidRDefault="00342BC7" w:rsidP="00342BC7">
            <w:pPr>
              <w:pStyle w:val="TableReference"/>
              <w:tabs>
                <w:tab w:val="left" w:pos="3306"/>
              </w:tabs>
              <w:spacing w:before="40"/>
              <w:rPr>
                <w:rFonts w:cs="Calibri"/>
                <w:color w:val="7030A0"/>
                <w:sz w:val="14"/>
              </w:rPr>
            </w:pPr>
            <w:r w:rsidRPr="000F62B8">
              <w:rPr>
                <w:rFonts w:cs="Calibri"/>
                <w:color w:val="7030A0"/>
                <w:sz w:val="14"/>
              </w:rPr>
              <w:t>AASB 140.75(e)</w:t>
            </w:r>
          </w:p>
        </w:tc>
        <w:tc>
          <w:tcPr>
            <w:tcW w:w="4257" w:type="pct"/>
            <w:gridSpan w:val="9"/>
            <w:tcBorders>
              <w:top w:val="nil"/>
              <w:left w:val="single" w:sz="4" w:space="0" w:color="auto"/>
              <w:bottom w:val="nil"/>
              <w:right w:val="nil"/>
            </w:tcBorders>
          </w:tcPr>
          <w:p w14:paraId="1A5F4416" w14:textId="1C517D8B" w:rsidR="00342BC7" w:rsidRPr="000F62B8" w:rsidRDefault="00342BC7" w:rsidP="0095733E">
            <w:pPr>
              <w:autoSpaceDE w:val="0"/>
              <w:autoSpaceDN w:val="0"/>
              <w:adjustRightInd w:val="0"/>
              <w:spacing w:after="80"/>
              <w:jc w:val="both"/>
              <w:rPr>
                <w:rFonts w:cs="Calibri"/>
                <w:sz w:val="18"/>
                <w:szCs w:val="18"/>
              </w:rPr>
            </w:pPr>
            <w:r w:rsidRPr="000F62B8">
              <w:rPr>
                <w:rFonts w:cs="Calibri"/>
                <w:sz w:val="18"/>
                <w:szCs w:val="18"/>
              </w:rPr>
              <w:t>The fair value of investment properties was determined by an independent valuation undertaken by ‘XYZ Valuers’ as at 30 June 202</w:t>
            </w:r>
            <w:r w:rsidR="0057550F">
              <w:rPr>
                <w:rFonts w:cs="Calibri"/>
                <w:sz w:val="18"/>
                <w:szCs w:val="18"/>
              </w:rPr>
              <w:t>3</w:t>
            </w:r>
            <w:r w:rsidRPr="000F62B8">
              <w:rPr>
                <w:rFonts w:cs="Calibri"/>
                <w:sz w:val="18"/>
                <w:szCs w:val="18"/>
              </w:rPr>
              <w:t>.</w:t>
            </w:r>
            <w:r w:rsidR="00FA7C77">
              <w:rPr>
                <w:rFonts w:cs="Calibri"/>
                <w:sz w:val="18"/>
                <w:szCs w:val="18"/>
              </w:rPr>
              <w:t xml:space="preserve"> </w:t>
            </w:r>
            <w:r w:rsidRPr="000F62B8">
              <w:rPr>
                <w:rFonts w:cs="Calibri"/>
                <w:sz w:val="18"/>
                <w:szCs w:val="18"/>
              </w:rPr>
              <w:t>‘XYZ Valuers’ hold a recognised and relevant professional qualification and have recent experience in the location and category of the investment properties involved.</w:t>
            </w:r>
          </w:p>
        </w:tc>
      </w:tr>
      <w:tr w:rsidR="00C608A2" w:rsidRPr="00CF7E1B" w14:paraId="5580AE1A" w14:textId="77777777" w:rsidTr="002A16D9">
        <w:trPr>
          <w:cantSplit/>
          <w:trHeight w:val="23"/>
        </w:trPr>
        <w:tc>
          <w:tcPr>
            <w:tcW w:w="743" w:type="pct"/>
            <w:tcBorders>
              <w:top w:val="nil"/>
              <w:left w:val="single" w:sz="4" w:space="0" w:color="auto"/>
              <w:bottom w:val="nil"/>
              <w:right w:val="single" w:sz="4" w:space="0" w:color="auto"/>
            </w:tcBorders>
          </w:tcPr>
          <w:p w14:paraId="2FA787BA" w14:textId="4D14E3CF" w:rsidR="00C608A2" w:rsidRPr="000F62B8" w:rsidRDefault="008D2D4B" w:rsidP="00342BC7">
            <w:pPr>
              <w:pStyle w:val="TableReference"/>
              <w:tabs>
                <w:tab w:val="left" w:pos="3306"/>
              </w:tabs>
              <w:spacing w:before="40"/>
              <w:rPr>
                <w:rFonts w:cs="Calibri"/>
                <w:color w:val="7030A0"/>
                <w:sz w:val="14"/>
              </w:rPr>
            </w:pPr>
            <w:r w:rsidRPr="000F62B8">
              <w:rPr>
                <w:rFonts w:cs="Calibri"/>
                <w:color w:val="7030A0"/>
                <w:sz w:val="14"/>
              </w:rPr>
              <w:t>AASB 13.93(d)</w:t>
            </w:r>
          </w:p>
        </w:tc>
        <w:tc>
          <w:tcPr>
            <w:tcW w:w="4257" w:type="pct"/>
            <w:gridSpan w:val="9"/>
            <w:tcBorders>
              <w:top w:val="nil"/>
              <w:left w:val="single" w:sz="4" w:space="0" w:color="auto"/>
              <w:bottom w:val="nil"/>
              <w:right w:val="nil"/>
            </w:tcBorders>
          </w:tcPr>
          <w:p w14:paraId="324079C2" w14:textId="4E677B4F" w:rsidR="008D2D4B" w:rsidRPr="00865E48" w:rsidRDefault="00C608A2" w:rsidP="00865E48">
            <w:pPr>
              <w:spacing w:after="120"/>
              <w:jc w:val="both"/>
              <w:rPr>
                <w:b/>
                <w:bCs/>
                <w:caps/>
                <w:sz w:val="18"/>
                <w:szCs w:val="18"/>
              </w:rPr>
            </w:pPr>
            <w:bookmarkStart w:id="649" w:name="_Toc98763132"/>
            <w:r w:rsidRPr="00865E48">
              <w:rPr>
                <w:sz w:val="18"/>
                <w:szCs w:val="18"/>
              </w:rPr>
              <w:t>Investment properties are initially recognised at cost.</w:t>
            </w:r>
            <w:r w:rsidR="00EE1D72" w:rsidRPr="00865E48">
              <w:rPr>
                <w:sz w:val="18"/>
                <w:szCs w:val="18"/>
              </w:rPr>
              <w:t xml:space="preserve"> Subsequent to initial recognition, investment properties are measured at fair value</w:t>
            </w:r>
            <w:r w:rsidR="00DA5322" w:rsidRPr="00865E48">
              <w:rPr>
                <w:sz w:val="18"/>
                <w:szCs w:val="18"/>
              </w:rPr>
              <w:t xml:space="preserve"> and are valued annually as at the end of the reporting period.</w:t>
            </w:r>
            <w:bookmarkEnd w:id="649"/>
            <w:r w:rsidR="00FA7C77" w:rsidRPr="00865E48">
              <w:rPr>
                <w:sz w:val="18"/>
                <w:szCs w:val="18"/>
              </w:rPr>
              <w:t xml:space="preserve"> </w:t>
            </w:r>
          </w:p>
          <w:p w14:paraId="490EBD4A" w14:textId="6F5716A7" w:rsidR="00C608A2" w:rsidRPr="00865E48" w:rsidRDefault="008D2D4B" w:rsidP="00865E48">
            <w:pPr>
              <w:spacing w:after="120"/>
              <w:jc w:val="both"/>
              <w:rPr>
                <w:b/>
                <w:bCs/>
                <w:caps/>
                <w:sz w:val="18"/>
                <w:szCs w:val="18"/>
              </w:rPr>
            </w:pPr>
            <w:bookmarkStart w:id="650" w:name="_Toc98763133"/>
            <w:r w:rsidRPr="00865E48">
              <w:rPr>
                <w:sz w:val="18"/>
                <w:szCs w:val="18"/>
              </w:rPr>
              <w:t>Fair value is based on selling prices in an active property market adjusted, if necessary, to reflect the nature, location or condition of the specific investment property. If there is no active property market, alternative valuation methods are used, such as recent selling prices in less active markets, or discounted cash flow projections.</w:t>
            </w:r>
            <w:bookmarkEnd w:id="650"/>
          </w:p>
        </w:tc>
      </w:tr>
      <w:tr w:rsidR="008D2D4B" w:rsidRPr="00CF7E1B" w14:paraId="6FEB6F56" w14:textId="77777777" w:rsidTr="002A16D9">
        <w:trPr>
          <w:cantSplit/>
          <w:trHeight w:val="23"/>
        </w:trPr>
        <w:tc>
          <w:tcPr>
            <w:tcW w:w="743" w:type="pct"/>
            <w:tcBorders>
              <w:top w:val="nil"/>
              <w:left w:val="single" w:sz="4" w:space="0" w:color="auto"/>
              <w:bottom w:val="nil"/>
              <w:right w:val="single" w:sz="4" w:space="0" w:color="auto"/>
            </w:tcBorders>
          </w:tcPr>
          <w:p w14:paraId="549F25CB" w14:textId="77777777" w:rsidR="008D2D4B" w:rsidRPr="000F62B8" w:rsidRDefault="008D2D4B" w:rsidP="00342BC7">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7879B396" w14:textId="6B2DB203" w:rsidR="008D2D4B" w:rsidRPr="00865E48" w:rsidRDefault="008D2D4B" w:rsidP="00865E48">
            <w:pPr>
              <w:spacing w:after="120"/>
              <w:jc w:val="both"/>
              <w:rPr>
                <w:b/>
                <w:bCs/>
                <w:caps/>
                <w:sz w:val="18"/>
                <w:szCs w:val="18"/>
              </w:rPr>
            </w:pPr>
            <w:bookmarkStart w:id="651" w:name="_Toc98763134"/>
            <w:r w:rsidRPr="00865E48">
              <w:rPr>
                <w:sz w:val="18"/>
                <w:szCs w:val="18"/>
              </w:rPr>
              <w:t xml:space="preserve">Changes in fair value are recorded in the Operating Statement (see Note </w:t>
            </w:r>
            <w:r w:rsidR="001B1A1D" w:rsidRPr="00865E48">
              <w:rPr>
                <w:sz w:val="18"/>
                <w:szCs w:val="18"/>
              </w:rPr>
              <w:t xml:space="preserve">14 </w:t>
            </w:r>
            <w:r w:rsidRPr="00865E48">
              <w:rPr>
                <w:i/>
                <w:iCs/>
                <w:sz w:val="18"/>
                <w:szCs w:val="18"/>
              </w:rPr>
              <w:t>Other Expenses</w:t>
            </w:r>
            <w:r w:rsidRPr="00865E48">
              <w:rPr>
                <w:sz w:val="18"/>
                <w:szCs w:val="18"/>
              </w:rPr>
              <w:t xml:space="preserve"> or Note </w:t>
            </w:r>
            <w:r w:rsidR="001B1A1D" w:rsidRPr="00865E48">
              <w:rPr>
                <w:sz w:val="18"/>
                <w:szCs w:val="18"/>
              </w:rPr>
              <w:t xml:space="preserve">8 </w:t>
            </w:r>
            <w:r w:rsidRPr="00865E48">
              <w:rPr>
                <w:i/>
                <w:iCs/>
                <w:sz w:val="18"/>
                <w:szCs w:val="18"/>
              </w:rPr>
              <w:t>Gains from Disposals, Derecognition and Remeasurement of Assets</w:t>
            </w:r>
            <w:r w:rsidRPr="00865E48">
              <w:rPr>
                <w:sz w:val="18"/>
                <w:szCs w:val="18"/>
              </w:rPr>
              <w:t>).</w:t>
            </w:r>
            <w:r w:rsidR="00FA7C77" w:rsidRPr="00865E48">
              <w:rPr>
                <w:sz w:val="18"/>
                <w:szCs w:val="18"/>
              </w:rPr>
              <w:t xml:space="preserve"> </w:t>
            </w:r>
            <w:r w:rsidRPr="00865E48">
              <w:rPr>
                <w:sz w:val="18"/>
                <w:szCs w:val="18"/>
              </w:rPr>
              <w:t>Any costs incurred subsequent to initial acquisition are capitalised when</w:t>
            </w:r>
            <w:r w:rsidR="00D8142F" w:rsidRPr="00865E48">
              <w:rPr>
                <w:sz w:val="18"/>
                <w:szCs w:val="18"/>
              </w:rPr>
              <w:t xml:space="preserve"> the</w:t>
            </w:r>
            <w:r w:rsidRPr="00865E48">
              <w:rPr>
                <w:sz w:val="18"/>
                <w:szCs w:val="18"/>
              </w:rPr>
              <w:t xml:space="preserve"> </w:t>
            </w:r>
            <w:r w:rsidR="00D8142F" w:rsidRPr="00865E48">
              <w:rPr>
                <w:sz w:val="18"/>
                <w:szCs w:val="18"/>
              </w:rPr>
              <w:t>expenditure increase the annual service potential or useful life of the asset beyond what was originally assessed.</w:t>
            </w:r>
            <w:r w:rsidR="00FA7C77" w:rsidRPr="00865E48">
              <w:rPr>
                <w:sz w:val="18"/>
                <w:szCs w:val="18"/>
              </w:rPr>
              <w:t xml:space="preserve"> </w:t>
            </w:r>
            <w:r w:rsidRPr="00865E48">
              <w:rPr>
                <w:sz w:val="18"/>
                <w:szCs w:val="18"/>
              </w:rPr>
              <w:t>Where an investment property is acquired at no cost or for nominal consideration, its fair value is deemed to be its cost as at the date of acquisition. Investment properties are not depreciated or tested for impairment.</w:t>
            </w:r>
            <w:bookmarkEnd w:id="651"/>
            <w:r w:rsidR="00FA7C77" w:rsidRPr="00865E48">
              <w:rPr>
                <w:sz w:val="18"/>
                <w:szCs w:val="18"/>
              </w:rPr>
              <w:t xml:space="preserve"> </w:t>
            </w:r>
          </w:p>
        </w:tc>
      </w:tr>
      <w:tr w:rsidR="00DE06A5" w:rsidRPr="00CF7E1B" w14:paraId="69F17961" w14:textId="77777777" w:rsidTr="002A16D9">
        <w:trPr>
          <w:cantSplit/>
          <w:trHeight w:val="23"/>
        </w:trPr>
        <w:tc>
          <w:tcPr>
            <w:tcW w:w="743" w:type="pct"/>
            <w:tcBorders>
              <w:top w:val="nil"/>
              <w:left w:val="single" w:sz="4" w:space="0" w:color="auto"/>
              <w:bottom w:val="nil"/>
              <w:right w:val="single" w:sz="4" w:space="0" w:color="auto"/>
            </w:tcBorders>
          </w:tcPr>
          <w:p w14:paraId="66C78B44" w14:textId="77777777" w:rsidR="00F756C2" w:rsidRPr="000F62B8" w:rsidRDefault="00F756C2" w:rsidP="00F756C2">
            <w:pPr>
              <w:rPr>
                <w:color w:val="7030A0"/>
                <w:sz w:val="14"/>
                <w:szCs w:val="14"/>
              </w:rPr>
            </w:pPr>
          </w:p>
          <w:p w14:paraId="661A42B7" w14:textId="05960196" w:rsidR="00F756C2" w:rsidRPr="000F62B8" w:rsidRDefault="00F756C2" w:rsidP="00F756C2">
            <w:pPr>
              <w:rPr>
                <w:color w:val="7030A0"/>
                <w:sz w:val="14"/>
                <w:szCs w:val="14"/>
              </w:rPr>
            </w:pPr>
            <w:r w:rsidRPr="000F62B8">
              <w:rPr>
                <w:color w:val="7030A0"/>
                <w:sz w:val="14"/>
                <w:szCs w:val="14"/>
              </w:rPr>
              <w:t>AASB 16.61</w:t>
            </w:r>
          </w:p>
          <w:p w14:paraId="187E4F3C" w14:textId="77777777" w:rsidR="00F756C2" w:rsidRPr="000F62B8" w:rsidRDefault="00F756C2" w:rsidP="00F756C2">
            <w:pPr>
              <w:rPr>
                <w:color w:val="7030A0"/>
                <w:sz w:val="14"/>
                <w:szCs w:val="14"/>
              </w:rPr>
            </w:pPr>
            <w:r w:rsidRPr="000F62B8">
              <w:rPr>
                <w:color w:val="7030A0"/>
                <w:sz w:val="14"/>
                <w:szCs w:val="14"/>
              </w:rPr>
              <w:t>AASB 16.62</w:t>
            </w:r>
          </w:p>
          <w:p w14:paraId="3CE8610E" w14:textId="77777777" w:rsidR="00DE06A5" w:rsidRPr="000F62B8" w:rsidRDefault="00DE06A5" w:rsidP="00342BC7">
            <w:pPr>
              <w:pStyle w:val="TableReference"/>
              <w:tabs>
                <w:tab w:val="left" w:pos="3306"/>
              </w:tabs>
              <w:spacing w:before="40"/>
              <w:rPr>
                <w:rFonts w:cs="Calibri"/>
                <w:color w:val="7030A0"/>
                <w:sz w:val="16"/>
                <w:szCs w:val="16"/>
              </w:rPr>
            </w:pPr>
          </w:p>
        </w:tc>
        <w:tc>
          <w:tcPr>
            <w:tcW w:w="4257" w:type="pct"/>
            <w:gridSpan w:val="9"/>
            <w:tcBorders>
              <w:top w:val="nil"/>
              <w:left w:val="single" w:sz="4" w:space="0" w:color="auto"/>
              <w:bottom w:val="nil"/>
              <w:right w:val="nil"/>
            </w:tcBorders>
          </w:tcPr>
          <w:p w14:paraId="39E038D8" w14:textId="7BD5ADA8" w:rsidR="00DE06A5" w:rsidRPr="00865E48" w:rsidRDefault="00DE06A5" w:rsidP="00865E48">
            <w:pPr>
              <w:spacing w:after="120"/>
              <w:jc w:val="both"/>
              <w:rPr>
                <w:b/>
                <w:bCs/>
                <w:caps/>
                <w:sz w:val="18"/>
                <w:szCs w:val="18"/>
              </w:rPr>
            </w:pPr>
            <w:bookmarkStart w:id="652" w:name="_Toc98763135"/>
            <w:r w:rsidRPr="00865E48">
              <w:rPr>
                <w:sz w:val="18"/>
                <w:szCs w:val="18"/>
              </w:rPr>
              <w:t>As a lessor, ‘</w:t>
            </w:r>
            <w:r w:rsidR="00645E43" w:rsidRPr="00865E48">
              <w:rPr>
                <w:sz w:val="18"/>
                <w:szCs w:val="18"/>
              </w:rPr>
              <w:t xml:space="preserve">Burley Griffin </w:t>
            </w:r>
            <w:r w:rsidRPr="00865E48">
              <w:rPr>
                <w:sz w:val="18"/>
                <w:szCs w:val="18"/>
              </w:rPr>
              <w:t xml:space="preserve">Agency’ classifies </w:t>
            </w:r>
            <w:r w:rsidR="00E30279" w:rsidRPr="00865E48">
              <w:rPr>
                <w:sz w:val="18"/>
                <w:szCs w:val="18"/>
              </w:rPr>
              <w:t>all</w:t>
            </w:r>
            <w:r w:rsidRPr="00865E48">
              <w:rPr>
                <w:sz w:val="18"/>
                <w:szCs w:val="18"/>
              </w:rPr>
              <w:t xml:space="preserve"> investment propert</w:t>
            </w:r>
            <w:r w:rsidR="00E30279" w:rsidRPr="00865E48">
              <w:rPr>
                <w:sz w:val="18"/>
                <w:szCs w:val="18"/>
              </w:rPr>
              <w:t>ies</w:t>
            </w:r>
            <w:r w:rsidRPr="00865E48">
              <w:rPr>
                <w:sz w:val="18"/>
                <w:szCs w:val="18"/>
              </w:rPr>
              <w:t xml:space="preserve"> as operating leases.</w:t>
            </w:r>
            <w:r w:rsidR="00FA7C77" w:rsidRPr="00865E48">
              <w:rPr>
                <w:sz w:val="18"/>
                <w:szCs w:val="18"/>
              </w:rPr>
              <w:t xml:space="preserve"> </w:t>
            </w:r>
            <w:r w:rsidRPr="00865E48">
              <w:rPr>
                <w:sz w:val="18"/>
                <w:szCs w:val="18"/>
              </w:rPr>
              <w:t>This is because these leases do not me</w:t>
            </w:r>
            <w:r w:rsidR="00C608A2" w:rsidRPr="00865E48">
              <w:rPr>
                <w:sz w:val="18"/>
                <w:szCs w:val="18"/>
              </w:rPr>
              <w:t>e</w:t>
            </w:r>
            <w:r w:rsidRPr="00865E48">
              <w:rPr>
                <w:sz w:val="18"/>
                <w:szCs w:val="18"/>
              </w:rPr>
              <w:t>t the definition of a finance lease.</w:t>
            </w:r>
            <w:r w:rsidR="00FA7C77" w:rsidRPr="00865E48">
              <w:rPr>
                <w:sz w:val="18"/>
                <w:szCs w:val="18"/>
              </w:rPr>
              <w:t xml:space="preserve"> </w:t>
            </w:r>
            <w:r w:rsidRPr="00865E48">
              <w:rPr>
                <w:sz w:val="18"/>
                <w:szCs w:val="18"/>
              </w:rPr>
              <w:t>A lease is classified as a finance lease where substantially all the risks and rewards of ownership as transferred from ‘</w:t>
            </w:r>
            <w:r w:rsidR="00645E43" w:rsidRPr="00865E48">
              <w:rPr>
                <w:sz w:val="18"/>
                <w:szCs w:val="18"/>
              </w:rPr>
              <w:t xml:space="preserve">Burley Griffin </w:t>
            </w:r>
            <w:r w:rsidRPr="00865E48">
              <w:rPr>
                <w:sz w:val="18"/>
                <w:szCs w:val="18"/>
              </w:rPr>
              <w:t>Agency’ to the lessee.</w:t>
            </w:r>
            <w:bookmarkEnd w:id="652"/>
            <w:r w:rsidR="00FA7C77" w:rsidRPr="00865E48">
              <w:rPr>
                <w:sz w:val="18"/>
                <w:szCs w:val="18"/>
              </w:rPr>
              <w:t xml:space="preserve"> </w:t>
            </w:r>
            <w:r w:rsidRPr="00865E48">
              <w:rPr>
                <w:sz w:val="18"/>
                <w:szCs w:val="18"/>
              </w:rPr>
              <w:t xml:space="preserve"> </w:t>
            </w:r>
          </w:p>
        </w:tc>
      </w:tr>
      <w:tr w:rsidR="00342BC7" w:rsidRPr="00CF7E1B" w14:paraId="10639E9C" w14:textId="77777777" w:rsidTr="002A16D9">
        <w:trPr>
          <w:cantSplit/>
          <w:trHeight w:val="23"/>
        </w:trPr>
        <w:tc>
          <w:tcPr>
            <w:tcW w:w="743" w:type="pct"/>
            <w:tcBorders>
              <w:top w:val="nil"/>
              <w:left w:val="single" w:sz="4" w:space="0" w:color="auto"/>
              <w:bottom w:val="nil"/>
              <w:right w:val="single" w:sz="4" w:space="0" w:color="auto"/>
            </w:tcBorders>
          </w:tcPr>
          <w:p w14:paraId="60F59C53" w14:textId="076EB905" w:rsidR="00342BC7" w:rsidRPr="000F62B8" w:rsidRDefault="00DB7306" w:rsidP="00342BC7">
            <w:pPr>
              <w:pStyle w:val="TableReference"/>
              <w:tabs>
                <w:tab w:val="left" w:pos="3306"/>
              </w:tabs>
              <w:spacing w:before="40"/>
              <w:rPr>
                <w:rFonts w:cs="Calibri"/>
                <w:color w:val="7030A0"/>
                <w:sz w:val="14"/>
              </w:rPr>
            </w:pPr>
            <w:r w:rsidRPr="000F62B8">
              <w:rPr>
                <w:color w:val="7030A0"/>
                <w:sz w:val="14"/>
              </w:rPr>
              <w:t>AASB 140.75(a) &amp; (e), AASB 13.15</w:t>
            </w:r>
          </w:p>
        </w:tc>
        <w:tc>
          <w:tcPr>
            <w:tcW w:w="4257" w:type="pct"/>
            <w:gridSpan w:val="9"/>
            <w:tcBorders>
              <w:top w:val="nil"/>
              <w:left w:val="single" w:sz="4" w:space="0" w:color="auto"/>
              <w:bottom w:val="nil"/>
              <w:right w:val="nil"/>
            </w:tcBorders>
          </w:tcPr>
          <w:p w14:paraId="497B0B0C" w14:textId="5C908AAB" w:rsidR="004B554F" w:rsidRPr="000F62B8" w:rsidRDefault="00E95D45" w:rsidP="0095733E">
            <w:pPr>
              <w:spacing w:after="80"/>
              <w:jc w:val="both"/>
              <w:rPr>
                <w:rFonts w:cs="Calibri"/>
                <w:sz w:val="18"/>
                <w:szCs w:val="18"/>
              </w:rPr>
            </w:pPr>
            <w:r w:rsidRPr="000F62B8">
              <w:rPr>
                <w:rFonts w:cs="Calibri"/>
                <w:sz w:val="18"/>
                <w:szCs w:val="18"/>
              </w:rPr>
              <w:t>As all investment properties are under an operating lease, the initial direct costs incurred upon initial recognition in negotiating and arranging these operating leases are added to the carrying amount of the underlying asset and recognised over the lease term on the same basis as rental income.</w:t>
            </w:r>
            <w:r w:rsidR="00FA7C77">
              <w:rPr>
                <w:rFonts w:cs="Calibri"/>
                <w:sz w:val="18"/>
                <w:szCs w:val="18"/>
              </w:rPr>
              <w:t xml:space="preserve">   </w:t>
            </w:r>
          </w:p>
        </w:tc>
      </w:tr>
      <w:tr w:rsidR="0095733E" w:rsidRPr="00BF30D3" w14:paraId="2F3696C1" w14:textId="77777777" w:rsidTr="0057550F">
        <w:trPr>
          <w:cantSplit/>
          <w:trHeight w:val="23"/>
        </w:trPr>
        <w:tc>
          <w:tcPr>
            <w:tcW w:w="743" w:type="pct"/>
            <w:tcBorders>
              <w:top w:val="nil"/>
              <w:left w:val="single" w:sz="4" w:space="0" w:color="auto"/>
              <w:bottom w:val="nil"/>
              <w:right w:val="single" w:sz="4" w:space="0" w:color="auto"/>
            </w:tcBorders>
          </w:tcPr>
          <w:p w14:paraId="4E3F948A" w14:textId="77777777" w:rsidR="00EF02F9" w:rsidRPr="00BF30D3" w:rsidRDefault="00EF02F9" w:rsidP="009A0F2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tcPr>
          <w:p w14:paraId="78325DA7" w14:textId="77777777" w:rsidR="00EF02F9" w:rsidRPr="00BF30D3" w:rsidRDefault="00EF02F9" w:rsidP="009A0F2F">
            <w:pPr>
              <w:pStyle w:val="TableTitle"/>
              <w:jc w:val="left"/>
              <w:rPr>
                <w:rFonts w:cs="Calibri"/>
              </w:rPr>
            </w:pPr>
          </w:p>
        </w:tc>
        <w:tc>
          <w:tcPr>
            <w:tcW w:w="200" w:type="pct"/>
            <w:tcBorders>
              <w:top w:val="nil"/>
              <w:left w:val="nil"/>
              <w:bottom w:val="nil"/>
              <w:right w:val="nil"/>
            </w:tcBorders>
            <w:vAlign w:val="center"/>
          </w:tcPr>
          <w:p w14:paraId="3F3FC29C" w14:textId="77777777" w:rsidR="00EF02F9" w:rsidRPr="00BF30D3" w:rsidRDefault="00EF02F9" w:rsidP="009A0F2F">
            <w:pPr>
              <w:pStyle w:val="TableTitle"/>
              <w:tabs>
                <w:tab w:val="left" w:pos="3306"/>
              </w:tabs>
              <w:rPr>
                <w:rFonts w:cs="Calibri"/>
              </w:rPr>
            </w:pPr>
            <w:r w:rsidRPr="00BF30D3">
              <w:rPr>
                <w:rFonts w:cs="Calibri"/>
              </w:rPr>
              <w:t>Land</w:t>
            </w:r>
            <w:r w:rsidRPr="00BF30D3">
              <w:rPr>
                <w:rFonts w:cs="Calibri"/>
                <w:vertAlign w:val="superscript"/>
              </w:rPr>
              <w:t>a</w:t>
            </w:r>
          </w:p>
          <w:p w14:paraId="0C19A6BA" w14:textId="77777777" w:rsidR="00EF02F9" w:rsidRPr="00BF30D3" w:rsidRDefault="00EF02F9" w:rsidP="009A0F2F">
            <w:pPr>
              <w:pStyle w:val="TableTitle"/>
              <w:tabs>
                <w:tab w:val="left" w:pos="3306"/>
              </w:tabs>
              <w:rPr>
                <w:rFonts w:cs="Calibri"/>
              </w:rPr>
            </w:pPr>
            <w:r w:rsidRPr="00BF30D3">
              <w:rPr>
                <w:rFonts w:cs="Calibri"/>
              </w:rPr>
              <w:t>$’000</w:t>
            </w:r>
          </w:p>
        </w:tc>
        <w:tc>
          <w:tcPr>
            <w:tcW w:w="621" w:type="pct"/>
            <w:gridSpan w:val="6"/>
            <w:tcBorders>
              <w:top w:val="nil"/>
              <w:left w:val="nil"/>
              <w:bottom w:val="nil"/>
              <w:right w:val="nil"/>
            </w:tcBorders>
          </w:tcPr>
          <w:p w14:paraId="4F1DEF0F" w14:textId="77777777" w:rsidR="00EF02F9" w:rsidRPr="00BF30D3" w:rsidRDefault="00EF02F9" w:rsidP="009A0F2F">
            <w:pPr>
              <w:pStyle w:val="TableTitle"/>
              <w:tabs>
                <w:tab w:val="left" w:pos="3306"/>
              </w:tabs>
              <w:rPr>
                <w:rFonts w:cs="Calibri"/>
              </w:rPr>
            </w:pPr>
            <w:r w:rsidRPr="00BF30D3">
              <w:rPr>
                <w:rFonts w:cs="Calibri"/>
              </w:rPr>
              <w:t>Buildings</w:t>
            </w:r>
            <w:r w:rsidRPr="00BF30D3">
              <w:rPr>
                <w:rFonts w:cs="Calibri"/>
                <w:vertAlign w:val="superscript"/>
              </w:rPr>
              <w:t>a</w:t>
            </w:r>
            <w:r w:rsidRPr="00BF30D3">
              <w:rPr>
                <w:rFonts w:cs="Calibri"/>
              </w:rPr>
              <w:t xml:space="preserve"> $’000</w:t>
            </w:r>
          </w:p>
        </w:tc>
        <w:tc>
          <w:tcPr>
            <w:tcW w:w="465" w:type="pct"/>
            <w:tcBorders>
              <w:top w:val="nil"/>
              <w:left w:val="nil"/>
              <w:bottom w:val="nil"/>
              <w:right w:val="nil"/>
            </w:tcBorders>
            <w:vAlign w:val="center"/>
          </w:tcPr>
          <w:p w14:paraId="4A68E2D9" w14:textId="77777777" w:rsidR="00EF02F9" w:rsidRPr="00BF30D3" w:rsidRDefault="00EF02F9" w:rsidP="009A0F2F">
            <w:pPr>
              <w:pStyle w:val="TableTitle"/>
              <w:tabs>
                <w:tab w:val="left" w:pos="3306"/>
              </w:tabs>
              <w:ind w:left="-8092" w:right="7"/>
              <w:rPr>
                <w:rFonts w:cs="Calibri"/>
              </w:rPr>
            </w:pPr>
            <w:r w:rsidRPr="00BF30D3">
              <w:rPr>
                <w:rFonts w:cs="Calibri"/>
              </w:rPr>
              <w:t>Total</w:t>
            </w:r>
          </w:p>
          <w:p w14:paraId="34D374DA" w14:textId="77777777" w:rsidR="00EF02F9" w:rsidRPr="00BF30D3" w:rsidRDefault="00EF02F9" w:rsidP="009A0F2F">
            <w:pPr>
              <w:pStyle w:val="TableTitle"/>
              <w:tabs>
                <w:tab w:val="left" w:pos="3306"/>
              </w:tabs>
              <w:ind w:left="-8092" w:right="7"/>
              <w:rPr>
                <w:rFonts w:cs="Calibri"/>
              </w:rPr>
            </w:pPr>
            <w:r w:rsidRPr="00BF30D3">
              <w:rPr>
                <w:rFonts w:cs="Calibri"/>
              </w:rPr>
              <w:t>$’000</w:t>
            </w:r>
          </w:p>
        </w:tc>
      </w:tr>
      <w:tr w:rsidR="0095733E" w:rsidRPr="00BF30D3" w14:paraId="5F66B46F" w14:textId="77777777" w:rsidTr="0057550F">
        <w:trPr>
          <w:cantSplit/>
          <w:trHeight w:val="23"/>
        </w:trPr>
        <w:tc>
          <w:tcPr>
            <w:tcW w:w="743" w:type="pct"/>
            <w:tcBorders>
              <w:top w:val="nil"/>
              <w:left w:val="single" w:sz="4" w:space="0" w:color="auto"/>
              <w:bottom w:val="nil"/>
              <w:right w:val="single" w:sz="4" w:space="0" w:color="auto"/>
            </w:tcBorders>
          </w:tcPr>
          <w:p w14:paraId="5C422F7F" w14:textId="77777777" w:rsidR="00EF02F9" w:rsidRPr="00BF30D3" w:rsidRDefault="00EF02F9" w:rsidP="009A0F2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tcPr>
          <w:p w14:paraId="7224FC9E" w14:textId="7F6889D3" w:rsidR="00EF02F9" w:rsidRPr="00BF30D3" w:rsidRDefault="00EF02F9" w:rsidP="009A0F2F">
            <w:pPr>
              <w:pStyle w:val="TableTitle"/>
              <w:spacing w:after="60"/>
              <w:jc w:val="left"/>
              <w:rPr>
                <w:rFonts w:cs="Calibri"/>
              </w:rPr>
            </w:pPr>
            <w:r w:rsidRPr="00BF30D3">
              <w:rPr>
                <w:rFonts w:cs="Calibri"/>
              </w:rPr>
              <w:t>Reconciliation of Investment Properties 202</w:t>
            </w:r>
            <w:r w:rsidR="0057550F">
              <w:rPr>
                <w:rFonts w:cs="Calibri"/>
              </w:rPr>
              <w:t>2</w:t>
            </w:r>
            <w:r w:rsidRPr="00BF30D3">
              <w:rPr>
                <w:rFonts w:cs="Calibri"/>
              </w:rPr>
              <w:t>-2</w:t>
            </w:r>
            <w:r w:rsidR="0057550F">
              <w:rPr>
                <w:rFonts w:cs="Calibri"/>
              </w:rPr>
              <w:t>3</w:t>
            </w:r>
          </w:p>
        </w:tc>
        <w:tc>
          <w:tcPr>
            <w:tcW w:w="200" w:type="pct"/>
            <w:tcBorders>
              <w:top w:val="nil"/>
              <w:left w:val="nil"/>
              <w:bottom w:val="nil"/>
              <w:right w:val="nil"/>
            </w:tcBorders>
            <w:vAlign w:val="center"/>
          </w:tcPr>
          <w:p w14:paraId="0FFC1F4E" w14:textId="77777777" w:rsidR="00EF02F9" w:rsidRPr="00BF30D3" w:rsidRDefault="00EF02F9" w:rsidP="009A0F2F">
            <w:pPr>
              <w:pStyle w:val="TableTitle"/>
              <w:tabs>
                <w:tab w:val="left" w:pos="3306"/>
              </w:tabs>
              <w:rPr>
                <w:rFonts w:cs="Calibri"/>
              </w:rPr>
            </w:pPr>
          </w:p>
        </w:tc>
        <w:tc>
          <w:tcPr>
            <w:tcW w:w="621" w:type="pct"/>
            <w:gridSpan w:val="6"/>
            <w:tcBorders>
              <w:top w:val="nil"/>
              <w:left w:val="nil"/>
              <w:bottom w:val="nil"/>
              <w:right w:val="nil"/>
            </w:tcBorders>
          </w:tcPr>
          <w:p w14:paraId="5649A802" w14:textId="77777777" w:rsidR="00EF02F9" w:rsidRPr="00BF30D3" w:rsidRDefault="00EF02F9" w:rsidP="009A0F2F">
            <w:pPr>
              <w:pStyle w:val="TableTitle"/>
              <w:tabs>
                <w:tab w:val="left" w:pos="3306"/>
              </w:tabs>
              <w:rPr>
                <w:rFonts w:cs="Calibri"/>
              </w:rPr>
            </w:pPr>
          </w:p>
        </w:tc>
        <w:tc>
          <w:tcPr>
            <w:tcW w:w="465" w:type="pct"/>
            <w:tcBorders>
              <w:top w:val="nil"/>
              <w:left w:val="nil"/>
              <w:bottom w:val="nil"/>
              <w:right w:val="nil"/>
            </w:tcBorders>
            <w:vAlign w:val="center"/>
          </w:tcPr>
          <w:p w14:paraId="62BF492A" w14:textId="77777777" w:rsidR="00EF02F9" w:rsidRPr="00BF30D3" w:rsidRDefault="00EF02F9" w:rsidP="009A0F2F">
            <w:pPr>
              <w:pStyle w:val="TableTitle"/>
              <w:tabs>
                <w:tab w:val="left" w:pos="3306"/>
              </w:tabs>
              <w:ind w:left="-8092" w:right="7"/>
              <w:rPr>
                <w:rFonts w:cs="Calibri"/>
              </w:rPr>
            </w:pPr>
          </w:p>
        </w:tc>
      </w:tr>
      <w:tr w:rsidR="0095733E" w:rsidRPr="00BF30D3" w14:paraId="49AB866F" w14:textId="77777777" w:rsidTr="0057550F">
        <w:trPr>
          <w:cantSplit/>
          <w:trHeight w:val="23"/>
        </w:trPr>
        <w:tc>
          <w:tcPr>
            <w:tcW w:w="743" w:type="pct"/>
            <w:tcBorders>
              <w:top w:val="nil"/>
              <w:left w:val="single" w:sz="4" w:space="0" w:color="auto"/>
              <w:bottom w:val="nil"/>
              <w:right w:val="single" w:sz="4" w:space="0" w:color="auto"/>
            </w:tcBorders>
          </w:tcPr>
          <w:p w14:paraId="022500E9" w14:textId="77777777" w:rsidR="00EF02F9" w:rsidRPr="00BF30D3" w:rsidRDefault="00EF02F9" w:rsidP="009A0F2F">
            <w:pPr>
              <w:pStyle w:val="TableReference"/>
              <w:tabs>
                <w:tab w:val="left" w:pos="3306"/>
              </w:tabs>
              <w:spacing w:before="60"/>
              <w:rPr>
                <w:rFonts w:cs="Calibri"/>
                <w:color w:val="7030A0"/>
                <w:sz w:val="14"/>
              </w:rPr>
            </w:pPr>
          </w:p>
        </w:tc>
        <w:tc>
          <w:tcPr>
            <w:tcW w:w="2971" w:type="pct"/>
            <w:tcBorders>
              <w:top w:val="nil"/>
              <w:left w:val="single" w:sz="4" w:space="0" w:color="auto"/>
              <w:bottom w:val="nil"/>
              <w:right w:val="nil"/>
            </w:tcBorders>
            <w:vAlign w:val="bottom"/>
          </w:tcPr>
          <w:p w14:paraId="60A0A46A" w14:textId="77777777" w:rsidR="00EF02F9" w:rsidRPr="00BF30D3" w:rsidRDefault="00EF02F9" w:rsidP="009A0F2F">
            <w:pPr>
              <w:pStyle w:val="TableText"/>
              <w:rPr>
                <w:rFonts w:cs="Calibri"/>
                <w:b/>
                <w:bCs/>
              </w:rPr>
            </w:pPr>
            <w:r w:rsidRPr="00BF30D3">
              <w:rPr>
                <w:rFonts w:cs="Calibri"/>
                <w:b/>
                <w:bCs/>
              </w:rPr>
              <w:t>Carrying Amount at the Beginning of the Reporting Period</w:t>
            </w:r>
          </w:p>
        </w:tc>
        <w:tc>
          <w:tcPr>
            <w:tcW w:w="200" w:type="pct"/>
            <w:tcBorders>
              <w:top w:val="nil"/>
              <w:left w:val="nil"/>
              <w:bottom w:val="nil"/>
              <w:right w:val="nil"/>
            </w:tcBorders>
          </w:tcPr>
          <w:p w14:paraId="0DD05213" w14:textId="77777777" w:rsidR="00EF02F9" w:rsidRPr="00BF30D3" w:rsidRDefault="00EF02F9" w:rsidP="009A0F2F">
            <w:pPr>
              <w:pStyle w:val="TableText"/>
              <w:tabs>
                <w:tab w:val="left" w:pos="3306"/>
              </w:tabs>
              <w:jc w:val="right"/>
              <w:rPr>
                <w:rFonts w:cs="Calibri"/>
                <w:b/>
                <w:bCs/>
              </w:rPr>
            </w:pPr>
          </w:p>
        </w:tc>
        <w:tc>
          <w:tcPr>
            <w:tcW w:w="621" w:type="pct"/>
            <w:gridSpan w:val="6"/>
            <w:tcBorders>
              <w:top w:val="nil"/>
              <w:left w:val="nil"/>
              <w:bottom w:val="nil"/>
              <w:right w:val="nil"/>
            </w:tcBorders>
          </w:tcPr>
          <w:p w14:paraId="0BE96C09" w14:textId="77777777" w:rsidR="00EF02F9" w:rsidRPr="00BF30D3" w:rsidRDefault="00EF02F9" w:rsidP="009A0F2F">
            <w:pPr>
              <w:pStyle w:val="TableText"/>
              <w:tabs>
                <w:tab w:val="left" w:pos="3306"/>
              </w:tabs>
              <w:jc w:val="right"/>
              <w:rPr>
                <w:rFonts w:cs="Calibri"/>
                <w:b/>
                <w:bCs/>
              </w:rPr>
            </w:pPr>
          </w:p>
        </w:tc>
        <w:tc>
          <w:tcPr>
            <w:tcW w:w="465" w:type="pct"/>
            <w:tcBorders>
              <w:top w:val="nil"/>
              <w:left w:val="nil"/>
              <w:bottom w:val="nil"/>
              <w:right w:val="nil"/>
            </w:tcBorders>
            <w:vAlign w:val="bottom"/>
          </w:tcPr>
          <w:p w14:paraId="14E2538A" w14:textId="77777777" w:rsidR="00EF02F9" w:rsidRPr="00BF30D3" w:rsidRDefault="00EF02F9" w:rsidP="009A0F2F">
            <w:pPr>
              <w:pStyle w:val="TableText"/>
              <w:tabs>
                <w:tab w:val="left" w:pos="3306"/>
              </w:tabs>
              <w:ind w:left="-8092" w:right="7"/>
              <w:jc w:val="right"/>
              <w:rPr>
                <w:rFonts w:cs="Calibri"/>
                <w:b/>
                <w:bCs/>
              </w:rPr>
            </w:pPr>
          </w:p>
        </w:tc>
      </w:tr>
      <w:tr w:rsidR="0095733E" w:rsidRPr="00BF30D3" w14:paraId="14445B01" w14:textId="77777777" w:rsidTr="0057550F">
        <w:trPr>
          <w:cantSplit/>
          <w:trHeight w:val="23"/>
        </w:trPr>
        <w:tc>
          <w:tcPr>
            <w:tcW w:w="743" w:type="pct"/>
            <w:tcBorders>
              <w:top w:val="nil"/>
              <w:left w:val="single" w:sz="4" w:space="0" w:color="auto"/>
              <w:bottom w:val="nil"/>
              <w:right w:val="single" w:sz="4" w:space="0" w:color="auto"/>
            </w:tcBorders>
            <w:vAlign w:val="center"/>
          </w:tcPr>
          <w:p w14:paraId="54513E18"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971" w:type="pct"/>
            <w:tcBorders>
              <w:top w:val="nil"/>
              <w:left w:val="single" w:sz="4" w:space="0" w:color="auto"/>
              <w:bottom w:val="nil"/>
              <w:right w:val="nil"/>
            </w:tcBorders>
            <w:vAlign w:val="bottom"/>
          </w:tcPr>
          <w:p w14:paraId="4BC7FC87" w14:textId="77777777" w:rsidR="00EF02F9" w:rsidRPr="00BF30D3" w:rsidRDefault="00EF02F9" w:rsidP="009A0F2F">
            <w:pPr>
              <w:pStyle w:val="TableText"/>
              <w:tabs>
                <w:tab w:val="left" w:pos="3306"/>
              </w:tabs>
              <w:rPr>
                <w:rFonts w:cs="Calibri"/>
              </w:rPr>
            </w:pPr>
            <w:r w:rsidRPr="00BF30D3">
              <w:rPr>
                <w:rFonts w:cs="Calibri"/>
              </w:rPr>
              <w:t xml:space="preserve">Additions </w:t>
            </w:r>
          </w:p>
        </w:tc>
        <w:tc>
          <w:tcPr>
            <w:tcW w:w="200" w:type="pct"/>
            <w:tcBorders>
              <w:top w:val="nil"/>
              <w:left w:val="nil"/>
              <w:bottom w:val="nil"/>
              <w:right w:val="nil"/>
            </w:tcBorders>
          </w:tcPr>
          <w:p w14:paraId="522FB0C4"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0A9D345C"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4BEE6924" w14:textId="77777777" w:rsidR="00EF02F9" w:rsidRPr="00BF30D3" w:rsidRDefault="00EF02F9" w:rsidP="009A0F2F">
            <w:pPr>
              <w:pStyle w:val="TableText"/>
              <w:tabs>
                <w:tab w:val="left" w:pos="3306"/>
              </w:tabs>
              <w:ind w:left="-8092" w:right="7"/>
              <w:jc w:val="right"/>
              <w:rPr>
                <w:rFonts w:cs="Calibri"/>
              </w:rPr>
            </w:pPr>
          </w:p>
        </w:tc>
      </w:tr>
      <w:tr w:rsidR="0095733E" w:rsidRPr="00BF30D3" w14:paraId="2E2167D1" w14:textId="77777777" w:rsidTr="0057550F">
        <w:trPr>
          <w:cantSplit/>
          <w:trHeight w:val="23"/>
        </w:trPr>
        <w:tc>
          <w:tcPr>
            <w:tcW w:w="743" w:type="pct"/>
            <w:tcBorders>
              <w:top w:val="nil"/>
              <w:left w:val="single" w:sz="4" w:space="0" w:color="auto"/>
              <w:bottom w:val="nil"/>
              <w:right w:val="single" w:sz="4" w:space="0" w:color="auto"/>
            </w:tcBorders>
            <w:vAlign w:val="center"/>
          </w:tcPr>
          <w:p w14:paraId="1D63EF6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971" w:type="pct"/>
            <w:tcBorders>
              <w:top w:val="nil"/>
              <w:left w:val="single" w:sz="4" w:space="0" w:color="auto"/>
              <w:bottom w:val="nil"/>
              <w:right w:val="nil"/>
            </w:tcBorders>
            <w:vAlign w:val="bottom"/>
          </w:tcPr>
          <w:p w14:paraId="1DE54666" w14:textId="77777777" w:rsidR="00EF02F9" w:rsidRPr="00BF30D3" w:rsidRDefault="00EF02F9" w:rsidP="009A0F2F">
            <w:pPr>
              <w:pStyle w:val="TableText"/>
              <w:tabs>
                <w:tab w:val="left" w:pos="3306"/>
              </w:tabs>
              <w:rPr>
                <w:rFonts w:cs="Calibri"/>
              </w:rPr>
            </w:pPr>
            <w:r w:rsidRPr="00BF30D3">
              <w:rPr>
                <w:rFonts w:cs="Calibri"/>
              </w:rPr>
              <w:t>Subsequent Capitalised Expenditure</w:t>
            </w:r>
          </w:p>
        </w:tc>
        <w:tc>
          <w:tcPr>
            <w:tcW w:w="200" w:type="pct"/>
            <w:tcBorders>
              <w:top w:val="nil"/>
              <w:left w:val="nil"/>
              <w:bottom w:val="nil"/>
              <w:right w:val="nil"/>
            </w:tcBorders>
          </w:tcPr>
          <w:p w14:paraId="7FCA7F0F"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167951A5"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473DEFB2" w14:textId="77777777" w:rsidR="00EF02F9" w:rsidRPr="00BF30D3" w:rsidRDefault="00EF02F9" w:rsidP="009A0F2F">
            <w:pPr>
              <w:pStyle w:val="TableText"/>
              <w:tabs>
                <w:tab w:val="left" w:pos="3306"/>
              </w:tabs>
              <w:jc w:val="right"/>
              <w:rPr>
                <w:rFonts w:cs="Calibri"/>
              </w:rPr>
            </w:pPr>
          </w:p>
        </w:tc>
      </w:tr>
      <w:tr w:rsidR="0095733E" w:rsidRPr="00BF30D3" w14:paraId="664DF358" w14:textId="77777777" w:rsidTr="0057550F">
        <w:trPr>
          <w:cantSplit/>
          <w:trHeight w:val="23"/>
        </w:trPr>
        <w:tc>
          <w:tcPr>
            <w:tcW w:w="743" w:type="pct"/>
            <w:tcBorders>
              <w:top w:val="nil"/>
              <w:left w:val="single" w:sz="4" w:space="0" w:color="auto"/>
              <w:bottom w:val="nil"/>
              <w:right w:val="single" w:sz="4" w:space="0" w:color="auto"/>
            </w:tcBorders>
            <w:vAlign w:val="center"/>
          </w:tcPr>
          <w:p w14:paraId="529882D5"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140.76(c)</w:t>
            </w:r>
          </w:p>
        </w:tc>
        <w:tc>
          <w:tcPr>
            <w:tcW w:w="2971" w:type="pct"/>
            <w:tcBorders>
              <w:top w:val="nil"/>
              <w:left w:val="single" w:sz="4" w:space="0" w:color="auto"/>
              <w:bottom w:val="nil"/>
              <w:right w:val="nil"/>
            </w:tcBorders>
            <w:vAlign w:val="bottom"/>
          </w:tcPr>
          <w:p w14:paraId="3FE01147" w14:textId="77777777" w:rsidR="00EF02F9" w:rsidRPr="00BF30D3" w:rsidRDefault="00EF02F9" w:rsidP="009A0F2F">
            <w:pPr>
              <w:pStyle w:val="TableText"/>
              <w:tabs>
                <w:tab w:val="left" w:pos="3306"/>
              </w:tabs>
              <w:rPr>
                <w:rFonts w:cs="Calibri"/>
              </w:rPr>
            </w:pPr>
            <w:r w:rsidRPr="00BF30D3">
              <w:rPr>
                <w:rFonts w:cs="Calibri"/>
              </w:rPr>
              <w:t>Disposals and Assets Classified as Held for Sale</w:t>
            </w:r>
          </w:p>
        </w:tc>
        <w:tc>
          <w:tcPr>
            <w:tcW w:w="200" w:type="pct"/>
            <w:tcBorders>
              <w:top w:val="nil"/>
              <w:left w:val="nil"/>
              <w:bottom w:val="nil"/>
              <w:right w:val="nil"/>
            </w:tcBorders>
          </w:tcPr>
          <w:p w14:paraId="120399DA"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2F31F77E"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2AF07890" w14:textId="77777777" w:rsidR="00EF02F9" w:rsidRPr="00BF30D3" w:rsidRDefault="00EF02F9" w:rsidP="009A0F2F">
            <w:pPr>
              <w:pStyle w:val="TableText"/>
              <w:tabs>
                <w:tab w:val="left" w:pos="3306"/>
              </w:tabs>
              <w:jc w:val="right"/>
              <w:rPr>
                <w:rFonts w:cs="Calibri"/>
              </w:rPr>
            </w:pPr>
          </w:p>
        </w:tc>
      </w:tr>
      <w:tr w:rsidR="0095733E" w:rsidRPr="00BF30D3" w14:paraId="15A5350D" w14:textId="77777777" w:rsidTr="0057550F">
        <w:trPr>
          <w:cantSplit/>
          <w:trHeight w:val="23"/>
        </w:trPr>
        <w:tc>
          <w:tcPr>
            <w:tcW w:w="743" w:type="pct"/>
            <w:tcBorders>
              <w:top w:val="nil"/>
              <w:left w:val="single" w:sz="4" w:space="0" w:color="auto"/>
              <w:bottom w:val="nil"/>
              <w:right w:val="single" w:sz="4" w:space="0" w:color="auto"/>
            </w:tcBorders>
            <w:vAlign w:val="center"/>
          </w:tcPr>
          <w:p w14:paraId="577D584D"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140.76(d)</w:t>
            </w:r>
          </w:p>
        </w:tc>
        <w:tc>
          <w:tcPr>
            <w:tcW w:w="2971" w:type="pct"/>
            <w:tcBorders>
              <w:top w:val="nil"/>
              <w:left w:val="single" w:sz="4" w:space="0" w:color="auto"/>
              <w:bottom w:val="nil"/>
              <w:right w:val="nil"/>
            </w:tcBorders>
            <w:vAlign w:val="bottom"/>
          </w:tcPr>
          <w:p w14:paraId="7EB159EF" w14:textId="77777777" w:rsidR="00EF02F9" w:rsidRPr="00BF30D3" w:rsidRDefault="00EF02F9" w:rsidP="009A0F2F">
            <w:pPr>
              <w:pStyle w:val="TableText"/>
              <w:tabs>
                <w:tab w:val="left" w:pos="3306"/>
              </w:tabs>
              <w:rPr>
                <w:rFonts w:cs="Calibri"/>
              </w:rPr>
            </w:pPr>
            <w:r w:rsidRPr="00BF30D3">
              <w:rPr>
                <w:rFonts w:cs="Calibri"/>
              </w:rPr>
              <w:t xml:space="preserve">Net Gain/(Loss) on Revaluation </w:t>
            </w:r>
          </w:p>
        </w:tc>
        <w:tc>
          <w:tcPr>
            <w:tcW w:w="200" w:type="pct"/>
            <w:tcBorders>
              <w:top w:val="nil"/>
              <w:left w:val="nil"/>
              <w:bottom w:val="nil"/>
              <w:right w:val="nil"/>
            </w:tcBorders>
          </w:tcPr>
          <w:p w14:paraId="74D42F77"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0B2DDC00"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795D9189" w14:textId="77777777" w:rsidR="00EF02F9" w:rsidRPr="00BF30D3" w:rsidRDefault="00EF02F9" w:rsidP="009A0F2F">
            <w:pPr>
              <w:pStyle w:val="TableText"/>
              <w:tabs>
                <w:tab w:val="left" w:pos="3306"/>
              </w:tabs>
              <w:jc w:val="right"/>
              <w:rPr>
                <w:rFonts w:cs="Calibri"/>
              </w:rPr>
            </w:pPr>
          </w:p>
        </w:tc>
      </w:tr>
      <w:tr w:rsidR="0095733E" w:rsidRPr="00BF30D3" w14:paraId="7709E51E" w14:textId="77777777" w:rsidTr="0057550F">
        <w:trPr>
          <w:cantSplit/>
          <w:trHeight w:val="23"/>
        </w:trPr>
        <w:tc>
          <w:tcPr>
            <w:tcW w:w="743" w:type="pct"/>
            <w:tcBorders>
              <w:top w:val="nil"/>
              <w:left w:val="single" w:sz="4" w:space="0" w:color="auto"/>
              <w:bottom w:val="nil"/>
              <w:right w:val="single" w:sz="4" w:space="0" w:color="auto"/>
            </w:tcBorders>
            <w:vAlign w:val="center"/>
          </w:tcPr>
          <w:p w14:paraId="7DF0E5F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140.76(f)</w:t>
            </w:r>
          </w:p>
        </w:tc>
        <w:tc>
          <w:tcPr>
            <w:tcW w:w="2971" w:type="pct"/>
            <w:tcBorders>
              <w:top w:val="nil"/>
              <w:left w:val="single" w:sz="4" w:space="0" w:color="auto"/>
              <w:bottom w:val="nil"/>
              <w:right w:val="nil"/>
            </w:tcBorders>
            <w:vAlign w:val="bottom"/>
          </w:tcPr>
          <w:p w14:paraId="1DB46345" w14:textId="3A5D7A42" w:rsidR="00EF02F9" w:rsidRPr="00152C5D" w:rsidRDefault="00EF02F9" w:rsidP="009A0F2F">
            <w:pPr>
              <w:pStyle w:val="TableText"/>
              <w:tabs>
                <w:tab w:val="left" w:pos="3306"/>
              </w:tabs>
              <w:rPr>
                <w:rFonts w:cs="Calibri"/>
              </w:rPr>
            </w:pPr>
            <w:r w:rsidRPr="00152C5D">
              <w:rPr>
                <w:rFonts w:cs="Calibri"/>
              </w:rPr>
              <w:t>Transfers to/</w:t>
            </w:r>
            <w:r w:rsidR="00526C44" w:rsidRPr="00152C5D">
              <w:rPr>
                <w:rFonts w:cs="Calibri"/>
                <w:color w:val="FF0000"/>
              </w:rPr>
              <w:t>(</w:t>
            </w:r>
            <w:r w:rsidRPr="00152C5D">
              <w:rPr>
                <w:rFonts w:cs="Calibri"/>
              </w:rPr>
              <w:t>from</w:t>
            </w:r>
            <w:r w:rsidR="00526C44" w:rsidRPr="00152C5D">
              <w:rPr>
                <w:rFonts w:cs="Calibri"/>
                <w:color w:val="FF0000"/>
              </w:rPr>
              <w:t>)</w:t>
            </w:r>
            <w:r w:rsidRPr="00152C5D">
              <w:rPr>
                <w:rFonts w:cs="Calibri"/>
              </w:rPr>
              <w:t xml:space="preserve"> Inventories and Owner-Occupied Property</w:t>
            </w:r>
          </w:p>
        </w:tc>
        <w:tc>
          <w:tcPr>
            <w:tcW w:w="200" w:type="pct"/>
            <w:tcBorders>
              <w:top w:val="nil"/>
              <w:left w:val="nil"/>
              <w:bottom w:val="nil"/>
              <w:right w:val="nil"/>
            </w:tcBorders>
          </w:tcPr>
          <w:p w14:paraId="2C511CD1"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3ECB5418"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1965F237" w14:textId="77777777" w:rsidR="00EF02F9" w:rsidRPr="00BF30D3" w:rsidRDefault="00EF02F9" w:rsidP="009A0F2F">
            <w:pPr>
              <w:pStyle w:val="TableText"/>
              <w:tabs>
                <w:tab w:val="left" w:pos="3306"/>
              </w:tabs>
              <w:jc w:val="right"/>
              <w:rPr>
                <w:rFonts w:cs="Calibri"/>
              </w:rPr>
            </w:pPr>
          </w:p>
        </w:tc>
      </w:tr>
      <w:tr w:rsidR="0095733E" w:rsidRPr="00BF30D3" w14:paraId="19F731F8" w14:textId="77777777" w:rsidTr="0057550F">
        <w:trPr>
          <w:cantSplit/>
          <w:trHeight w:val="23"/>
        </w:trPr>
        <w:tc>
          <w:tcPr>
            <w:tcW w:w="743" w:type="pct"/>
            <w:tcBorders>
              <w:top w:val="nil"/>
              <w:left w:val="single" w:sz="4" w:space="0" w:color="auto"/>
              <w:bottom w:val="nil"/>
              <w:right w:val="single" w:sz="4" w:space="0" w:color="auto"/>
            </w:tcBorders>
            <w:vAlign w:val="center"/>
          </w:tcPr>
          <w:p w14:paraId="51A7B87E"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2A5D98B6" w14:textId="77777777" w:rsidR="00EF02F9" w:rsidRPr="00152C5D" w:rsidRDefault="00EF02F9" w:rsidP="009A0F2F">
            <w:pPr>
              <w:pStyle w:val="TableText"/>
              <w:tabs>
                <w:tab w:val="left" w:pos="3306"/>
              </w:tabs>
              <w:rPr>
                <w:rFonts w:cs="Calibri"/>
              </w:rPr>
            </w:pPr>
            <w:r w:rsidRPr="00152C5D">
              <w:rPr>
                <w:rFonts w:cs="Calibri"/>
              </w:rPr>
              <w:t>Acquisition/(Disposal) through Administrative Restructuring</w:t>
            </w:r>
          </w:p>
        </w:tc>
        <w:tc>
          <w:tcPr>
            <w:tcW w:w="200" w:type="pct"/>
            <w:tcBorders>
              <w:top w:val="nil"/>
              <w:left w:val="nil"/>
              <w:bottom w:val="nil"/>
              <w:right w:val="nil"/>
            </w:tcBorders>
          </w:tcPr>
          <w:p w14:paraId="63B836E9"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2D1F7CB6"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2C001375" w14:textId="77777777" w:rsidR="00EF02F9" w:rsidRPr="00BF30D3" w:rsidRDefault="00EF02F9" w:rsidP="009A0F2F">
            <w:pPr>
              <w:pStyle w:val="TableText"/>
              <w:tabs>
                <w:tab w:val="left" w:pos="3306"/>
              </w:tabs>
              <w:jc w:val="right"/>
              <w:rPr>
                <w:rFonts w:cs="Calibri"/>
              </w:rPr>
            </w:pPr>
          </w:p>
        </w:tc>
      </w:tr>
      <w:tr w:rsidR="0095733E" w:rsidRPr="00BF30D3" w14:paraId="59FE81A6" w14:textId="77777777" w:rsidTr="0057550F">
        <w:trPr>
          <w:cantSplit/>
          <w:trHeight w:val="23"/>
        </w:trPr>
        <w:tc>
          <w:tcPr>
            <w:tcW w:w="743" w:type="pct"/>
            <w:tcBorders>
              <w:top w:val="nil"/>
              <w:left w:val="single" w:sz="4" w:space="0" w:color="auto"/>
              <w:bottom w:val="nil"/>
              <w:right w:val="single" w:sz="4" w:space="0" w:color="auto"/>
            </w:tcBorders>
            <w:vAlign w:val="center"/>
          </w:tcPr>
          <w:p w14:paraId="3B44AEFE"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54FA0D14" w14:textId="77777777" w:rsidR="00EF02F9" w:rsidRPr="00152C5D" w:rsidRDefault="00EF02F9" w:rsidP="009A0F2F">
            <w:pPr>
              <w:pStyle w:val="TableText"/>
              <w:tabs>
                <w:tab w:val="left" w:pos="3306"/>
              </w:tabs>
              <w:rPr>
                <w:rFonts w:cs="Calibri"/>
              </w:rPr>
            </w:pPr>
            <w:r w:rsidRPr="00152C5D">
              <w:rPr>
                <w:rFonts w:cs="Calibri"/>
              </w:rPr>
              <w:t>Acquisition/(Disposal) from Transfers</w:t>
            </w:r>
          </w:p>
        </w:tc>
        <w:tc>
          <w:tcPr>
            <w:tcW w:w="200" w:type="pct"/>
            <w:tcBorders>
              <w:top w:val="nil"/>
              <w:left w:val="nil"/>
              <w:bottom w:val="nil"/>
              <w:right w:val="nil"/>
            </w:tcBorders>
          </w:tcPr>
          <w:p w14:paraId="17D4AB0F"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54B31C6A"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7655F0A9" w14:textId="77777777" w:rsidR="00EF02F9" w:rsidRPr="00BF30D3" w:rsidRDefault="00EF02F9" w:rsidP="009A0F2F">
            <w:pPr>
              <w:pStyle w:val="TableText"/>
              <w:tabs>
                <w:tab w:val="left" w:pos="3306"/>
              </w:tabs>
              <w:jc w:val="right"/>
              <w:rPr>
                <w:rFonts w:cs="Calibri"/>
              </w:rPr>
            </w:pPr>
          </w:p>
        </w:tc>
      </w:tr>
      <w:tr w:rsidR="0095733E" w:rsidRPr="00BF30D3" w14:paraId="5361F127" w14:textId="77777777" w:rsidTr="0057550F">
        <w:trPr>
          <w:cantSplit/>
          <w:trHeight w:val="23"/>
        </w:trPr>
        <w:tc>
          <w:tcPr>
            <w:tcW w:w="743" w:type="pct"/>
            <w:tcBorders>
              <w:top w:val="nil"/>
              <w:left w:val="single" w:sz="4" w:space="0" w:color="auto"/>
              <w:bottom w:val="nil"/>
              <w:right w:val="single" w:sz="4" w:space="0" w:color="auto"/>
            </w:tcBorders>
            <w:vAlign w:val="center"/>
          </w:tcPr>
          <w:p w14:paraId="13C099B2"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5ED4F3B7" w14:textId="77777777" w:rsidR="00EF02F9" w:rsidRPr="00152C5D" w:rsidRDefault="00EF02F9" w:rsidP="009A0F2F">
            <w:pPr>
              <w:pStyle w:val="TableText"/>
              <w:tabs>
                <w:tab w:val="left" w:pos="3306"/>
              </w:tabs>
              <w:rPr>
                <w:rFonts w:cs="Calibri"/>
              </w:rPr>
            </w:pPr>
            <w:r w:rsidRPr="00152C5D">
              <w:rPr>
                <w:rFonts w:cs="Calibri"/>
              </w:rPr>
              <w:t xml:space="preserve">Other Movements </w:t>
            </w:r>
          </w:p>
        </w:tc>
        <w:tc>
          <w:tcPr>
            <w:tcW w:w="200" w:type="pct"/>
            <w:tcBorders>
              <w:top w:val="nil"/>
              <w:left w:val="nil"/>
              <w:bottom w:val="single" w:sz="2" w:space="0" w:color="auto"/>
              <w:right w:val="nil"/>
            </w:tcBorders>
          </w:tcPr>
          <w:p w14:paraId="2A969A35"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single" w:sz="2" w:space="0" w:color="auto"/>
              <w:right w:val="nil"/>
            </w:tcBorders>
          </w:tcPr>
          <w:p w14:paraId="6EA6BE37"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single" w:sz="2" w:space="0" w:color="auto"/>
              <w:right w:val="nil"/>
            </w:tcBorders>
            <w:vAlign w:val="bottom"/>
          </w:tcPr>
          <w:p w14:paraId="0DDC3174" w14:textId="77777777" w:rsidR="00EF02F9" w:rsidRPr="00BF30D3" w:rsidRDefault="00EF02F9" w:rsidP="009A0F2F">
            <w:pPr>
              <w:pStyle w:val="TableText"/>
              <w:tabs>
                <w:tab w:val="left" w:pos="3306"/>
              </w:tabs>
              <w:jc w:val="right"/>
              <w:rPr>
                <w:rFonts w:cs="Calibri"/>
              </w:rPr>
            </w:pPr>
          </w:p>
        </w:tc>
      </w:tr>
      <w:tr w:rsidR="0095733E" w:rsidRPr="00BF30D3" w14:paraId="459E77D8" w14:textId="77777777" w:rsidTr="0057550F">
        <w:trPr>
          <w:cantSplit/>
          <w:trHeight w:val="23"/>
        </w:trPr>
        <w:tc>
          <w:tcPr>
            <w:tcW w:w="743" w:type="pct"/>
            <w:tcBorders>
              <w:top w:val="nil"/>
              <w:left w:val="single" w:sz="4" w:space="0" w:color="auto"/>
              <w:bottom w:val="nil"/>
              <w:right w:val="single" w:sz="4" w:space="0" w:color="auto"/>
            </w:tcBorders>
          </w:tcPr>
          <w:p w14:paraId="6F6D3FFA" w14:textId="77777777" w:rsidR="00EF02F9" w:rsidRPr="00BF30D3" w:rsidRDefault="00EF02F9" w:rsidP="009A0F2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4D3C5FB7" w14:textId="77777777" w:rsidR="00EF02F9" w:rsidRPr="00152C5D" w:rsidRDefault="00EF02F9" w:rsidP="009A0F2F">
            <w:pPr>
              <w:pStyle w:val="TableText"/>
              <w:tabs>
                <w:tab w:val="left" w:pos="3306"/>
              </w:tabs>
              <w:rPr>
                <w:rFonts w:cs="Calibri"/>
                <w:b/>
                <w:bCs/>
              </w:rPr>
            </w:pPr>
            <w:r w:rsidRPr="00152C5D">
              <w:rPr>
                <w:rFonts w:cs="Calibri"/>
                <w:b/>
                <w:bCs/>
              </w:rPr>
              <w:t>Carrying Amount at the End of the Reporting Period</w:t>
            </w:r>
          </w:p>
        </w:tc>
        <w:tc>
          <w:tcPr>
            <w:tcW w:w="200" w:type="pct"/>
            <w:tcBorders>
              <w:top w:val="single" w:sz="2" w:space="0" w:color="auto"/>
              <w:left w:val="nil"/>
              <w:bottom w:val="double" w:sz="4" w:space="0" w:color="auto"/>
              <w:right w:val="nil"/>
            </w:tcBorders>
          </w:tcPr>
          <w:p w14:paraId="2030E01A" w14:textId="77777777" w:rsidR="00EF02F9" w:rsidRPr="00BF30D3" w:rsidRDefault="00EF02F9" w:rsidP="009A0F2F">
            <w:pPr>
              <w:pStyle w:val="TableText"/>
              <w:tabs>
                <w:tab w:val="left" w:pos="3306"/>
              </w:tabs>
              <w:jc w:val="right"/>
              <w:rPr>
                <w:rFonts w:cs="Calibri"/>
                <w:b/>
                <w:bCs/>
              </w:rPr>
            </w:pPr>
          </w:p>
        </w:tc>
        <w:tc>
          <w:tcPr>
            <w:tcW w:w="621" w:type="pct"/>
            <w:gridSpan w:val="6"/>
            <w:tcBorders>
              <w:top w:val="single" w:sz="2" w:space="0" w:color="auto"/>
              <w:left w:val="nil"/>
              <w:bottom w:val="double" w:sz="4" w:space="0" w:color="auto"/>
              <w:right w:val="nil"/>
            </w:tcBorders>
          </w:tcPr>
          <w:p w14:paraId="0E11F926" w14:textId="77777777" w:rsidR="00EF02F9" w:rsidRPr="00BF30D3" w:rsidRDefault="00EF02F9" w:rsidP="009A0F2F">
            <w:pPr>
              <w:pStyle w:val="TableText"/>
              <w:tabs>
                <w:tab w:val="left" w:pos="3306"/>
              </w:tabs>
              <w:jc w:val="right"/>
              <w:rPr>
                <w:rFonts w:cs="Calibri"/>
                <w:b/>
                <w:bCs/>
              </w:rPr>
            </w:pPr>
          </w:p>
        </w:tc>
        <w:tc>
          <w:tcPr>
            <w:tcW w:w="465" w:type="pct"/>
            <w:tcBorders>
              <w:top w:val="single" w:sz="2" w:space="0" w:color="auto"/>
              <w:left w:val="nil"/>
              <w:bottom w:val="double" w:sz="4" w:space="0" w:color="auto"/>
              <w:right w:val="nil"/>
            </w:tcBorders>
            <w:vAlign w:val="bottom"/>
          </w:tcPr>
          <w:p w14:paraId="628FE704" w14:textId="77777777" w:rsidR="00EF02F9" w:rsidRPr="00BF30D3" w:rsidRDefault="00EF02F9" w:rsidP="009A0F2F">
            <w:pPr>
              <w:pStyle w:val="TableText"/>
              <w:tabs>
                <w:tab w:val="left" w:pos="3306"/>
              </w:tabs>
              <w:jc w:val="right"/>
              <w:rPr>
                <w:rFonts w:cs="Calibri"/>
                <w:b/>
                <w:bCs/>
              </w:rPr>
            </w:pPr>
          </w:p>
        </w:tc>
      </w:tr>
      <w:tr w:rsidR="00EF02F9" w:rsidRPr="00BF30D3" w14:paraId="5F1AC2B8" w14:textId="77777777" w:rsidTr="0057550F">
        <w:trPr>
          <w:cantSplit/>
          <w:trHeight w:val="23"/>
        </w:trPr>
        <w:tc>
          <w:tcPr>
            <w:tcW w:w="743" w:type="pct"/>
            <w:tcBorders>
              <w:top w:val="nil"/>
              <w:left w:val="single" w:sz="4" w:space="0" w:color="auto"/>
              <w:bottom w:val="nil"/>
              <w:right w:val="single" w:sz="4" w:space="0" w:color="auto"/>
            </w:tcBorders>
          </w:tcPr>
          <w:p w14:paraId="6B6868D1" w14:textId="77777777" w:rsidR="00EF02F9" w:rsidRPr="00BF30D3" w:rsidRDefault="00EF02F9" w:rsidP="009A0F2F">
            <w:pPr>
              <w:pStyle w:val="TableReference"/>
              <w:tabs>
                <w:tab w:val="left" w:pos="3306"/>
              </w:tabs>
              <w:spacing w:before="240"/>
              <w:rPr>
                <w:rFonts w:cs="Calibri"/>
                <w:color w:val="7030A0"/>
                <w:sz w:val="14"/>
              </w:rPr>
            </w:pPr>
          </w:p>
        </w:tc>
        <w:tc>
          <w:tcPr>
            <w:tcW w:w="2971" w:type="pct"/>
            <w:tcBorders>
              <w:top w:val="nil"/>
              <w:left w:val="single" w:sz="4" w:space="0" w:color="auto"/>
              <w:bottom w:val="nil"/>
              <w:right w:val="nil"/>
            </w:tcBorders>
            <w:vAlign w:val="bottom"/>
          </w:tcPr>
          <w:p w14:paraId="1F8A017B" w14:textId="3B51A3CB" w:rsidR="00EF02F9" w:rsidRPr="00152C5D" w:rsidRDefault="00EF02F9" w:rsidP="009A0F2F">
            <w:pPr>
              <w:pStyle w:val="TableTitle"/>
              <w:tabs>
                <w:tab w:val="left" w:pos="3306"/>
              </w:tabs>
              <w:spacing w:before="240" w:after="60"/>
              <w:jc w:val="left"/>
              <w:rPr>
                <w:rFonts w:cs="Calibri"/>
              </w:rPr>
            </w:pPr>
            <w:r w:rsidRPr="00152C5D">
              <w:rPr>
                <w:rFonts w:cs="Calibri"/>
              </w:rPr>
              <w:t>Reconciliation of Investment Properties 202</w:t>
            </w:r>
            <w:r w:rsidR="0057550F" w:rsidRPr="00152C5D">
              <w:rPr>
                <w:rFonts w:cs="Calibri"/>
              </w:rPr>
              <w:t>1</w:t>
            </w:r>
            <w:r w:rsidRPr="00152C5D">
              <w:rPr>
                <w:rFonts w:cs="Calibri"/>
              </w:rPr>
              <w:t>-2</w:t>
            </w:r>
            <w:r w:rsidR="0057550F" w:rsidRPr="00152C5D">
              <w:rPr>
                <w:rFonts w:cs="Calibri"/>
              </w:rPr>
              <w:t>2</w:t>
            </w:r>
          </w:p>
        </w:tc>
        <w:tc>
          <w:tcPr>
            <w:tcW w:w="206" w:type="pct"/>
            <w:gridSpan w:val="2"/>
            <w:tcBorders>
              <w:top w:val="double" w:sz="4" w:space="0" w:color="auto"/>
              <w:left w:val="nil"/>
              <w:bottom w:val="nil"/>
              <w:right w:val="nil"/>
            </w:tcBorders>
          </w:tcPr>
          <w:p w14:paraId="0C67805D" w14:textId="77777777" w:rsidR="00EF02F9" w:rsidRPr="00BF30D3" w:rsidRDefault="00EF02F9" w:rsidP="009A0F2F">
            <w:pPr>
              <w:pStyle w:val="TableTitle"/>
              <w:tabs>
                <w:tab w:val="left" w:pos="3306"/>
              </w:tabs>
              <w:spacing w:before="240"/>
              <w:rPr>
                <w:rFonts w:cs="Calibri"/>
              </w:rPr>
            </w:pPr>
          </w:p>
        </w:tc>
        <w:tc>
          <w:tcPr>
            <w:tcW w:w="607" w:type="pct"/>
            <w:gridSpan w:val="4"/>
            <w:tcBorders>
              <w:top w:val="double" w:sz="4" w:space="0" w:color="auto"/>
              <w:left w:val="nil"/>
              <w:bottom w:val="nil"/>
              <w:right w:val="nil"/>
            </w:tcBorders>
          </w:tcPr>
          <w:p w14:paraId="79B4177E" w14:textId="77777777" w:rsidR="00EF02F9" w:rsidRPr="00BF30D3" w:rsidRDefault="00EF02F9" w:rsidP="009A0F2F">
            <w:pPr>
              <w:pStyle w:val="TableTitle"/>
              <w:tabs>
                <w:tab w:val="left" w:pos="3306"/>
              </w:tabs>
              <w:spacing w:before="240"/>
              <w:rPr>
                <w:rFonts w:cs="Calibri"/>
              </w:rPr>
            </w:pPr>
          </w:p>
        </w:tc>
        <w:tc>
          <w:tcPr>
            <w:tcW w:w="473" w:type="pct"/>
            <w:gridSpan w:val="2"/>
            <w:tcBorders>
              <w:top w:val="double" w:sz="4" w:space="0" w:color="auto"/>
              <w:left w:val="nil"/>
              <w:bottom w:val="nil"/>
              <w:right w:val="nil"/>
            </w:tcBorders>
            <w:vAlign w:val="bottom"/>
          </w:tcPr>
          <w:p w14:paraId="0CF64752" w14:textId="77777777" w:rsidR="00EF02F9" w:rsidRPr="00BF30D3" w:rsidRDefault="00EF02F9" w:rsidP="009A0F2F">
            <w:pPr>
              <w:pStyle w:val="TableTitle"/>
              <w:tabs>
                <w:tab w:val="left" w:pos="3306"/>
              </w:tabs>
              <w:spacing w:before="240"/>
              <w:rPr>
                <w:rFonts w:cs="Calibri"/>
              </w:rPr>
            </w:pPr>
          </w:p>
        </w:tc>
      </w:tr>
      <w:tr w:rsidR="00EF02F9" w:rsidRPr="00BF30D3" w14:paraId="5F7C4B74" w14:textId="77777777" w:rsidTr="0057550F">
        <w:trPr>
          <w:cantSplit/>
          <w:trHeight w:val="23"/>
        </w:trPr>
        <w:tc>
          <w:tcPr>
            <w:tcW w:w="743" w:type="pct"/>
            <w:tcBorders>
              <w:top w:val="nil"/>
              <w:left w:val="single" w:sz="4" w:space="0" w:color="auto"/>
              <w:bottom w:val="nil"/>
              <w:right w:val="single" w:sz="4" w:space="0" w:color="auto"/>
            </w:tcBorders>
          </w:tcPr>
          <w:p w14:paraId="20ACF3F3" w14:textId="77777777" w:rsidR="00EF02F9" w:rsidRPr="00BF30D3" w:rsidRDefault="00EF02F9" w:rsidP="009A0F2F">
            <w:pPr>
              <w:pStyle w:val="TableReference"/>
              <w:tabs>
                <w:tab w:val="left" w:pos="3306"/>
              </w:tabs>
              <w:spacing w:before="60"/>
              <w:rPr>
                <w:rFonts w:cs="Calibri"/>
                <w:color w:val="7030A0"/>
                <w:sz w:val="14"/>
              </w:rPr>
            </w:pPr>
          </w:p>
        </w:tc>
        <w:tc>
          <w:tcPr>
            <w:tcW w:w="2971" w:type="pct"/>
            <w:tcBorders>
              <w:top w:val="nil"/>
              <w:left w:val="single" w:sz="4" w:space="0" w:color="auto"/>
              <w:bottom w:val="nil"/>
              <w:right w:val="nil"/>
            </w:tcBorders>
            <w:vAlign w:val="bottom"/>
          </w:tcPr>
          <w:p w14:paraId="2617625B" w14:textId="77777777" w:rsidR="00EF02F9" w:rsidRPr="00152C5D" w:rsidRDefault="00EF02F9" w:rsidP="009A0F2F">
            <w:pPr>
              <w:pStyle w:val="TableText"/>
              <w:tabs>
                <w:tab w:val="left" w:pos="3306"/>
              </w:tabs>
              <w:rPr>
                <w:rFonts w:cs="Calibri"/>
                <w:b/>
                <w:bCs/>
              </w:rPr>
            </w:pPr>
            <w:r w:rsidRPr="00152C5D">
              <w:rPr>
                <w:rFonts w:cs="Calibri"/>
                <w:b/>
                <w:bCs/>
              </w:rPr>
              <w:t>Carrying Amount at the Beginning of the Reporting Period</w:t>
            </w:r>
          </w:p>
        </w:tc>
        <w:tc>
          <w:tcPr>
            <w:tcW w:w="206" w:type="pct"/>
            <w:gridSpan w:val="2"/>
            <w:tcBorders>
              <w:top w:val="nil"/>
              <w:left w:val="nil"/>
              <w:bottom w:val="nil"/>
              <w:right w:val="nil"/>
            </w:tcBorders>
          </w:tcPr>
          <w:p w14:paraId="6A2515EC" w14:textId="77777777" w:rsidR="00EF02F9" w:rsidRPr="00BF30D3" w:rsidRDefault="00EF02F9" w:rsidP="009A0F2F">
            <w:pPr>
              <w:pStyle w:val="TableText"/>
              <w:tabs>
                <w:tab w:val="left" w:pos="3306"/>
              </w:tabs>
              <w:jc w:val="right"/>
              <w:rPr>
                <w:rFonts w:cs="Calibri"/>
                <w:b/>
                <w:bCs/>
              </w:rPr>
            </w:pPr>
          </w:p>
        </w:tc>
        <w:tc>
          <w:tcPr>
            <w:tcW w:w="607" w:type="pct"/>
            <w:gridSpan w:val="4"/>
            <w:tcBorders>
              <w:top w:val="nil"/>
              <w:left w:val="nil"/>
              <w:bottom w:val="nil"/>
              <w:right w:val="nil"/>
            </w:tcBorders>
          </w:tcPr>
          <w:p w14:paraId="2BC6E8E9" w14:textId="77777777" w:rsidR="00EF02F9" w:rsidRPr="00BF30D3" w:rsidRDefault="00EF02F9" w:rsidP="009A0F2F">
            <w:pPr>
              <w:pStyle w:val="TableText"/>
              <w:tabs>
                <w:tab w:val="left" w:pos="3306"/>
              </w:tabs>
              <w:jc w:val="right"/>
              <w:rPr>
                <w:rFonts w:cs="Calibri"/>
                <w:b/>
                <w:bCs/>
              </w:rPr>
            </w:pPr>
          </w:p>
        </w:tc>
        <w:tc>
          <w:tcPr>
            <w:tcW w:w="473" w:type="pct"/>
            <w:gridSpan w:val="2"/>
            <w:tcBorders>
              <w:top w:val="nil"/>
              <w:left w:val="nil"/>
              <w:bottom w:val="nil"/>
              <w:right w:val="nil"/>
            </w:tcBorders>
            <w:vAlign w:val="bottom"/>
          </w:tcPr>
          <w:p w14:paraId="08E1F4E3" w14:textId="77777777" w:rsidR="00EF02F9" w:rsidRPr="00BF30D3" w:rsidRDefault="00EF02F9" w:rsidP="009A0F2F">
            <w:pPr>
              <w:pStyle w:val="TableText"/>
              <w:tabs>
                <w:tab w:val="left" w:pos="3306"/>
              </w:tabs>
              <w:jc w:val="right"/>
              <w:rPr>
                <w:rFonts w:cs="Calibri"/>
                <w:b/>
                <w:bCs/>
              </w:rPr>
            </w:pPr>
          </w:p>
        </w:tc>
      </w:tr>
      <w:tr w:rsidR="00EF02F9" w:rsidRPr="00BF30D3" w14:paraId="140BB0F4" w14:textId="77777777" w:rsidTr="0057550F">
        <w:trPr>
          <w:cantSplit/>
          <w:trHeight w:val="23"/>
        </w:trPr>
        <w:tc>
          <w:tcPr>
            <w:tcW w:w="743" w:type="pct"/>
            <w:tcBorders>
              <w:top w:val="nil"/>
              <w:left w:val="single" w:sz="4" w:space="0" w:color="auto"/>
              <w:bottom w:val="nil"/>
              <w:right w:val="single" w:sz="4" w:space="0" w:color="auto"/>
            </w:tcBorders>
            <w:vAlign w:val="center"/>
          </w:tcPr>
          <w:p w14:paraId="3E679AAD"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971" w:type="pct"/>
            <w:tcBorders>
              <w:top w:val="nil"/>
              <w:left w:val="single" w:sz="4" w:space="0" w:color="auto"/>
              <w:bottom w:val="nil"/>
              <w:right w:val="nil"/>
            </w:tcBorders>
            <w:vAlign w:val="bottom"/>
          </w:tcPr>
          <w:p w14:paraId="27A5AA27" w14:textId="77777777" w:rsidR="00EF02F9" w:rsidRPr="00152C5D" w:rsidRDefault="00EF02F9" w:rsidP="009A0F2F">
            <w:pPr>
              <w:pStyle w:val="TableText"/>
              <w:tabs>
                <w:tab w:val="left" w:pos="3306"/>
              </w:tabs>
              <w:rPr>
                <w:rFonts w:cs="Calibri"/>
              </w:rPr>
            </w:pPr>
            <w:r w:rsidRPr="00152C5D">
              <w:rPr>
                <w:rFonts w:cs="Calibri"/>
              </w:rPr>
              <w:t xml:space="preserve">Additions </w:t>
            </w:r>
          </w:p>
        </w:tc>
        <w:tc>
          <w:tcPr>
            <w:tcW w:w="206" w:type="pct"/>
            <w:gridSpan w:val="2"/>
            <w:tcBorders>
              <w:top w:val="nil"/>
              <w:left w:val="nil"/>
              <w:bottom w:val="nil"/>
              <w:right w:val="nil"/>
            </w:tcBorders>
          </w:tcPr>
          <w:p w14:paraId="197D62B4"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7A404045"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0DEE8FB4" w14:textId="77777777" w:rsidR="00EF02F9" w:rsidRPr="00BF30D3" w:rsidRDefault="00EF02F9" w:rsidP="009A0F2F">
            <w:pPr>
              <w:pStyle w:val="TableText"/>
              <w:tabs>
                <w:tab w:val="left" w:pos="3306"/>
              </w:tabs>
              <w:jc w:val="right"/>
              <w:rPr>
                <w:rFonts w:cs="Calibri"/>
              </w:rPr>
            </w:pPr>
          </w:p>
        </w:tc>
      </w:tr>
      <w:tr w:rsidR="00EF02F9" w:rsidRPr="00BF30D3" w14:paraId="27AE0804" w14:textId="77777777" w:rsidTr="0057550F">
        <w:trPr>
          <w:cantSplit/>
          <w:trHeight w:val="23"/>
        </w:trPr>
        <w:tc>
          <w:tcPr>
            <w:tcW w:w="743" w:type="pct"/>
            <w:tcBorders>
              <w:top w:val="nil"/>
              <w:left w:val="single" w:sz="4" w:space="0" w:color="auto"/>
              <w:bottom w:val="nil"/>
              <w:right w:val="single" w:sz="4" w:space="0" w:color="auto"/>
            </w:tcBorders>
            <w:vAlign w:val="center"/>
          </w:tcPr>
          <w:p w14:paraId="1F903BD6"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971" w:type="pct"/>
            <w:tcBorders>
              <w:top w:val="nil"/>
              <w:left w:val="single" w:sz="4" w:space="0" w:color="auto"/>
              <w:bottom w:val="nil"/>
              <w:right w:val="nil"/>
            </w:tcBorders>
            <w:vAlign w:val="bottom"/>
          </w:tcPr>
          <w:p w14:paraId="7B54473F" w14:textId="77777777" w:rsidR="00EF02F9" w:rsidRPr="00152C5D" w:rsidRDefault="00EF02F9" w:rsidP="009A0F2F">
            <w:pPr>
              <w:pStyle w:val="TableText"/>
              <w:tabs>
                <w:tab w:val="left" w:pos="3306"/>
              </w:tabs>
              <w:rPr>
                <w:rFonts w:cs="Calibri"/>
              </w:rPr>
            </w:pPr>
            <w:r w:rsidRPr="00152C5D">
              <w:rPr>
                <w:rFonts w:cs="Calibri"/>
              </w:rPr>
              <w:t>Subsequent Capitalised Expenditure</w:t>
            </w:r>
          </w:p>
        </w:tc>
        <w:tc>
          <w:tcPr>
            <w:tcW w:w="206" w:type="pct"/>
            <w:gridSpan w:val="2"/>
            <w:tcBorders>
              <w:top w:val="nil"/>
              <w:left w:val="nil"/>
              <w:bottom w:val="nil"/>
              <w:right w:val="nil"/>
            </w:tcBorders>
          </w:tcPr>
          <w:p w14:paraId="6B3E392A"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4D23F512"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777D9445" w14:textId="77777777" w:rsidR="00EF02F9" w:rsidRPr="00BF30D3" w:rsidRDefault="00EF02F9" w:rsidP="009A0F2F">
            <w:pPr>
              <w:pStyle w:val="TableText"/>
              <w:tabs>
                <w:tab w:val="left" w:pos="3306"/>
              </w:tabs>
              <w:jc w:val="right"/>
              <w:rPr>
                <w:rFonts w:cs="Calibri"/>
              </w:rPr>
            </w:pPr>
          </w:p>
        </w:tc>
      </w:tr>
      <w:tr w:rsidR="00EF02F9" w:rsidRPr="00BF30D3" w14:paraId="29CC602E" w14:textId="77777777" w:rsidTr="0057550F">
        <w:trPr>
          <w:cantSplit/>
          <w:trHeight w:val="23"/>
        </w:trPr>
        <w:tc>
          <w:tcPr>
            <w:tcW w:w="743" w:type="pct"/>
            <w:tcBorders>
              <w:top w:val="nil"/>
              <w:left w:val="single" w:sz="4" w:space="0" w:color="auto"/>
              <w:bottom w:val="nil"/>
              <w:right w:val="single" w:sz="4" w:space="0" w:color="auto"/>
            </w:tcBorders>
            <w:vAlign w:val="center"/>
          </w:tcPr>
          <w:p w14:paraId="5A763920"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140.76(c)</w:t>
            </w:r>
          </w:p>
        </w:tc>
        <w:tc>
          <w:tcPr>
            <w:tcW w:w="2971" w:type="pct"/>
            <w:tcBorders>
              <w:top w:val="nil"/>
              <w:left w:val="single" w:sz="4" w:space="0" w:color="auto"/>
              <w:bottom w:val="nil"/>
              <w:right w:val="nil"/>
            </w:tcBorders>
            <w:vAlign w:val="bottom"/>
          </w:tcPr>
          <w:p w14:paraId="047A58E5" w14:textId="77777777" w:rsidR="00EF02F9" w:rsidRPr="00152C5D" w:rsidRDefault="00EF02F9" w:rsidP="009A0F2F">
            <w:pPr>
              <w:pStyle w:val="TableText"/>
              <w:tabs>
                <w:tab w:val="left" w:pos="3306"/>
              </w:tabs>
              <w:rPr>
                <w:rFonts w:cs="Calibri"/>
              </w:rPr>
            </w:pPr>
            <w:r w:rsidRPr="00152C5D">
              <w:rPr>
                <w:rFonts w:cs="Calibri"/>
              </w:rPr>
              <w:t>Disposals and Assets Classified as Held for Sale</w:t>
            </w:r>
          </w:p>
        </w:tc>
        <w:tc>
          <w:tcPr>
            <w:tcW w:w="206" w:type="pct"/>
            <w:gridSpan w:val="2"/>
            <w:tcBorders>
              <w:top w:val="nil"/>
              <w:left w:val="nil"/>
              <w:bottom w:val="nil"/>
              <w:right w:val="nil"/>
            </w:tcBorders>
          </w:tcPr>
          <w:p w14:paraId="64B0FB9E"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74B1BF9A"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621063AA" w14:textId="77777777" w:rsidR="00EF02F9" w:rsidRPr="00BF30D3" w:rsidRDefault="00EF02F9" w:rsidP="009A0F2F">
            <w:pPr>
              <w:pStyle w:val="TableText"/>
              <w:tabs>
                <w:tab w:val="left" w:pos="3306"/>
              </w:tabs>
              <w:jc w:val="right"/>
              <w:rPr>
                <w:rFonts w:cs="Calibri"/>
              </w:rPr>
            </w:pPr>
          </w:p>
        </w:tc>
      </w:tr>
      <w:tr w:rsidR="00EF02F9" w:rsidRPr="00BF30D3" w14:paraId="6237CDAB" w14:textId="77777777" w:rsidTr="0057550F">
        <w:trPr>
          <w:cantSplit/>
          <w:trHeight w:val="23"/>
        </w:trPr>
        <w:tc>
          <w:tcPr>
            <w:tcW w:w="743" w:type="pct"/>
            <w:tcBorders>
              <w:top w:val="nil"/>
              <w:left w:val="single" w:sz="4" w:space="0" w:color="auto"/>
              <w:bottom w:val="nil"/>
              <w:right w:val="single" w:sz="4" w:space="0" w:color="auto"/>
            </w:tcBorders>
            <w:vAlign w:val="center"/>
          </w:tcPr>
          <w:p w14:paraId="20927C03"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140.76(d)</w:t>
            </w:r>
          </w:p>
        </w:tc>
        <w:tc>
          <w:tcPr>
            <w:tcW w:w="2971" w:type="pct"/>
            <w:tcBorders>
              <w:top w:val="nil"/>
              <w:left w:val="single" w:sz="4" w:space="0" w:color="auto"/>
              <w:bottom w:val="nil"/>
              <w:right w:val="nil"/>
            </w:tcBorders>
            <w:vAlign w:val="bottom"/>
          </w:tcPr>
          <w:p w14:paraId="2EAC3484" w14:textId="77777777" w:rsidR="00EF02F9" w:rsidRPr="00152C5D" w:rsidRDefault="00EF02F9" w:rsidP="009A0F2F">
            <w:pPr>
              <w:pStyle w:val="TableText"/>
              <w:tabs>
                <w:tab w:val="left" w:pos="3306"/>
              </w:tabs>
              <w:rPr>
                <w:rFonts w:cs="Calibri"/>
              </w:rPr>
            </w:pPr>
            <w:r w:rsidRPr="00152C5D">
              <w:rPr>
                <w:rFonts w:cs="Calibri"/>
              </w:rPr>
              <w:t xml:space="preserve">Net Gain/(Loss) on Revaluation </w:t>
            </w:r>
          </w:p>
        </w:tc>
        <w:tc>
          <w:tcPr>
            <w:tcW w:w="206" w:type="pct"/>
            <w:gridSpan w:val="2"/>
            <w:tcBorders>
              <w:top w:val="nil"/>
              <w:left w:val="nil"/>
              <w:bottom w:val="nil"/>
              <w:right w:val="nil"/>
            </w:tcBorders>
          </w:tcPr>
          <w:p w14:paraId="1F6772FD" w14:textId="77777777" w:rsidR="00EF02F9" w:rsidRPr="00BF30D3" w:rsidRDefault="00EF02F9" w:rsidP="009A0F2F">
            <w:pPr>
              <w:pStyle w:val="TableText"/>
              <w:tabs>
                <w:tab w:val="left" w:pos="951"/>
              </w:tabs>
              <w:ind w:left="-642"/>
              <w:jc w:val="right"/>
              <w:rPr>
                <w:rFonts w:cs="Calibri"/>
              </w:rPr>
            </w:pPr>
          </w:p>
        </w:tc>
        <w:tc>
          <w:tcPr>
            <w:tcW w:w="607" w:type="pct"/>
            <w:gridSpan w:val="4"/>
            <w:tcBorders>
              <w:top w:val="nil"/>
              <w:left w:val="nil"/>
              <w:bottom w:val="nil"/>
              <w:right w:val="nil"/>
            </w:tcBorders>
          </w:tcPr>
          <w:p w14:paraId="5EB30EE1"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164EA5B5" w14:textId="77777777" w:rsidR="00EF02F9" w:rsidRPr="00BF30D3" w:rsidRDefault="00EF02F9" w:rsidP="009A0F2F">
            <w:pPr>
              <w:pStyle w:val="TableText"/>
              <w:tabs>
                <w:tab w:val="left" w:pos="3306"/>
              </w:tabs>
              <w:jc w:val="right"/>
              <w:rPr>
                <w:rFonts w:cs="Calibri"/>
              </w:rPr>
            </w:pPr>
          </w:p>
        </w:tc>
      </w:tr>
      <w:tr w:rsidR="00EF02F9" w:rsidRPr="00BF30D3" w14:paraId="7A22691E" w14:textId="77777777" w:rsidTr="0057550F">
        <w:trPr>
          <w:cantSplit/>
          <w:trHeight w:val="23"/>
        </w:trPr>
        <w:tc>
          <w:tcPr>
            <w:tcW w:w="743" w:type="pct"/>
            <w:tcBorders>
              <w:top w:val="nil"/>
              <w:left w:val="single" w:sz="4" w:space="0" w:color="auto"/>
              <w:bottom w:val="nil"/>
              <w:right w:val="single" w:sz="4" w:space="0" w:color="auto"/>
            </w:tcBorders>
            <w:vAlign w:val="center"/>
          </w:tcPr>
          <w:p w14:paraId="11DA0CD0"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140.76(f)</w:t>
            </w:r>
          </w:p>
        </w:tc>
        <w:tc>
          <w:tcPr>
            <w:tcW w:w="2971" w:type="pct"/>
            <w:tcBorders>
              <w:top w:val="nil"/>
              <w:left w:val="single" w:sz="4" w:space="0" w:color="auto"/>
              <w:bottom w:val="nil"/>
              <w:right w:val="nil"/>
            </w:tcBorders>
            <w:vAlign w:val="bottom"/>
          </w:tcPr>
          <w:p w14:paraId="752A4C6B" w14:textId="428F075B" w:rsidR="00EF02F9" w:rsidRPr="00152C5D" w:rsidRDefault="00EF02F9" w:rsidP="009A0F2F">
            <w:pPr>
              <w:pStyle w:val="TableText"/>
              <w:tabs>
                <w:tab w:val="left" w:pos="3306"/>
              </w:tabs>
              <w:rPr>
                <w:rFonts w:cs="Calibri"/>
              </w:rPr>
            </w:pPr>
            <w:r w:rsidRPr="00152C5D">
              <w:rPr>
                <w:rFonts w:cs="Calibri"/>
              </w:rPr>
              <w:t>Transfers to</w:t>
            </w:r>
            <w:r w:rsidR="00526C44" w:rsidRPr="00152C5D">
              <w:rPr>
                <w:rFonts w:cs="Calibri"/>
                <w:color w:val="FF0000"/>
              </w:rPr>
              <w:t>/</w:t>
            </w:r>
            <w:r w:rsidRPr="00152C5D">
              <w:rPr>
                <w:rFonts w:cs="Calibri"/>
              </w:rPr>
              <w:t xml:space="preserve"> </w:t>
            </w:r>
            <w:r w:rsidRPr="00152C5D">
              <w:rPr>
                <w:rFonts w:cs="Calibri"/>
                <w:strike/>
                <w:color w:val="FF0000"/>
              </w:rPr>
              <w:t>and</w:t>
            </w:r>
            <w:r w:rsidRPr="00152C5D">
              <w:rPr>
                <w:rFonts w:cs="Calibri"/>
              </w:rPr>
              <w:t xml:space="preserve"> </w:t>
            </w:r>
            <w:r w:rsidR="00526C44" w:rsidRPr="00152C5D">
              <w:rPr>
                <w:rFonts w:cs="Calibri"/>
                <w:color w:val="FF0000"/>
              </w:rPr>
              <w:t>(</w:t>
            </w:r>
            <w:r w:rsidRPr="00152C5D">
              <w:rPr>
                <w:rFonts w:cs="Calibri"/>
              </w:rPr>
              <w:t>from</w:t>
            </w:r>
            <w:r w:rsidR="00526C44" w:rsidRPr="00152C5D">
              <w:rPr>
                <w:rFonts w:cs="Calibri"/>
                <w:color w:val="FF0000"/>
              </w:rPr>
              <w:t>)</w:t>
            </w:r>
            <w:r w:rsidRPr="00152C5D">
              <w:rPr>
                <w:rFonts w:cs="Calibri"/>
              </w:rPr>
              <w:t xml:space="preserve"> Inventories and Owner-Occupied Property</w:t>
            </w:r>
          </w:p>
        </w:tc>
        <w:tc>
          <w:tcPr>
            <w:tcW w:w="206" w:type="pct"/>
            <w:gridSpan w:val="2"/>
            <w:tcBorders>
              <w:top w:val="nil"/>
              <w:left w:val="nil"/>
              <w:bottom w:val="nil"/>
              <w:right w:val="nil"/>
            </w:tcBorders>
          </w:tcPr>
          <w:p w14:paraId="72C2A24C"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2FD94083"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3C8CA1A7" w14:textId="77777777" w:rsidR="00EF02F9" w:rsidRPr="00BF30D3" w:rsidRDefault="00EF02F9" w:rsidP="009A0F2F">
            <w:pPr>
              <w:pStyle w:val="TableText"/>
              <w:tabs>
                <w:tab w:val="left" w:pos="3306"/>
              </w:tabs>
              <w:jc w:val="right"/>
              <w:rPr>
                <w:rFonts w:cs="Calibri"/>
              </w:rPr>
            </w:pPr>
          </w:p>
        </w:tc>
      </w:tr>
      <w:tr w:rsidR="00EF02F9" w:rsidRPr="00BF30D3" w14:paraId="3DE2F940" w14:textId="77777777" w:rsidTr="0057550F">
        <w:trPr>
          <w:cantSplit/>
          <w:trHeight w:val="23"/>
        </w:trPr>
        <w:tc>
          <w:tcPr>
            <w:tcW w:w="743" w:type="pct"/>
            <w:tcBorders>
              <w:top w:val="nil"/>
              <w:left w:val="single" w:sz="4" w:space="0" w:color="auto"/>
              <w:bottom w:val="nil"/>
              <w:right w:val="single" w:sz="4" w:space="0" w:color="auto"/>
            </w:tcBorders>
            <w:vAlign w:val="center"/>
          </w:tcPr>
          <w:p w14:paraId="1527A1DB"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2C790F13" w14:textId="77777777" w:rsidR="00EF02F9" w:rsidRPr="00BF30D3" w:rsidRDefault="00EF02F9" w:rsidP="009A0F2F">
            <w:pPr>
              <w:pStyle w:val="TableText"/>
              <w:tabs>
                <w:tab w:val="left" w:pos="3306"/>
              </w:tabs>
              <w:rPr>
                <w:rFonts w:cs="Calibri"/>
              </w:rPr>
            </w:pPr>
            <w:r w:rsidRPr="00BF30D3">
              <w:rPr>
                <w:rFonts w:cs="Calibri"/>
              </w:rPr>
              <w:t>Acquisition/(Disposal) through Administrative Restructuring</w:t>
            </w:r>
          </w:p>
        </w:tc>
        <w:tc>
          <w:tcPr>
            <w:tcW w:w="206" w:type="pct"/>
            <w:gridSpan w:val="2"/>
            <w:tcBorders>
              <w:top w:val="nil"/>
              <w:left w:val="nil"/>
              <w:bottom w:val="nil"/>
              <w:right w:val="nil"/>
            </w:tcBorders>
          </w:tcPr>
          <w:p w14:paraId="3B440E70"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3CEAC3EB"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156AD10F" w14:textId="77777777" w:rsidR="00EF02F9" w:rsidRPr="00BF30D3" w:rsidRDefault="00EF02F9" w:rsidP="009A0F2F">
            <w:pPr>
              <w:pStyle w:val="TableText"/>
              <w:tabs>
                <w:tab w:val="left" w:pos="3306"/>
              </w:tabs>
              <w:jc w:val="right"/>
              <w:rPr>
                <w:rFonts w:cs="Calibri"/>
              </w:rPr>
            </w:pPr>
          </w:p>
        </w:tc>
      </w:tr>
      <w:tr w:rsidR="00EF02F9" w:rsidRPr="00BF30D3" w14:paraId="40722A99" w14:textId="77777777" w:rsidTr="0057550F">
        <w:trPr>
          <w:cantSplit/>
          <w:trHeight w:val="23"/>
        </w:trPr>
        <w:tc>
          <w:tcPr>
            <w:tcW w:w="743" w:type="pct"/>
            <w:tcBorders>
              <w:top w:val="nil"/>
              <w:left w:val="single" w:sz="4" w:space="0" w:color="auto"/>
              <w:bottom w:val="nil"/>
              <w:right w:val="single" w:sz="4" w:space="0" w:color="auto"/>
            </w:tcBorders>
            <w:vAlign w:val="center"/>
          </w:tcPr>
          <w:p w14:paraId="4780ED0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38132600" w14:textId="77777777" w:rsidR="00EF02F9" w:rsidRPr="00BF30D3" w:rsidRDefault="00EF02F9" w:rsidP="009A0F2F">
            <w:pPr>
              <w:pStyle w:val="TableText"/>
              <w:tabs>
                <w:tab w:val="left" w:pos="3306"/>
              </w:tabs>
              <w:rPr>
                <w:rFonts w:cs="Calibri"/>
              </w:rPr>
            </w:pPr>
            <w:r w:rsidRPr="00BF30D3">
              <w:rPr>
                <w:rFonts w:cs="Calibri"/>
              </w:rPr>
              <w:t>Acquisition/(Disposal) from Transfers</w:t>
            </w:r>
          </w:p>
        </w:tc>
        <w:tc>
          <w:tcPr>
            <w:tcW w:w="206" w:type="pct"/>
            <w:gridSpan w:val="2"/>
            <w:tcBorders>
              <w:top w:val="nil"/>
              <w:left w:val="nil"/>
              <w:bottom w:val="nil"/>
              <w:right w:val="nil"/>
            </w:tcBorders>
          </w:tcPr>
          <w:p w14:paraId="51A5A7C3"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5B21D4E8"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3BF1A5CB" w14:textId="77777777" w:rsidR="00EF02F9" w:rsidRPr="00BF30D3" w:rsidRDefault="00EF02F9" w:rsidP="009A0F2F">
            <w:pPr>
              <w:pStyle w:val="TableText"/>
              <w:tabs>
                <w:tab w:val="left" w:pos="3306"/>
              </w:tabs>
              <w:jc w:val="right"/>
              <w:rPr>
                <w:rFonts w:cs="Calibri"/>
              </w:rPr>
            </w:pPr>
          </w:p>
        </w:tc>
      </w:tr>
      <w:tr w:rsidR="00EF02F9" w:rsidRPr="00BF30D3" w14:paraId="2BDCDE47" w14:textId="77777777" w:rsidTr="0057550F">
        <w:trPr>
          <w:cantSplit/>
          <w:trHeight w:val="23"/>
        </w:trPr>
        <w:tc>
          <w:tcPr>
            <w:tcW w:w="743" w:type="pct"/>
            <w:tcBorders>
              <w:top w:val="nil"/>
              <w:left w:val="single" w:sz="4" w:space="0" w:color="auto"/>
              <w:bottom w:val="nil"/>
              <w:right w:val="single" w:sz="4" w:space="0" w:color="auto"/>
            </w:tcBorders>
            <w:vAlign w:val="center"/>
          </w:tcPr>
          <w:p w14:paraId="76D8FEDA"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971" w:type="pct"/>
            <w:tcBorders>
              <w:top w:val="nil"/>
              <w:left w:val="single" w:sz="4" w:space="0" w:color="auto"/>
              <w:bottom w:val="nil"/>
              <w:right w:val="nil"/>
            </w:tcBorders>
            <w:vAlign w:val="bottom"/>
          </w:tcPr>
          <w:p w14:paraId="7DB5F823" w14:textId="77777777" w:rsidR="00EF02F9" w:rsidRPr="00BF30D3" w:rsidRDefault="00EF02F9" w:rsidP="009A0F2F">
            <w:pPr>
              <w:pStyle w:val="TableText"/>
              <w:tabs>
                <w:tab w:val="left" w:pos="3306"/>
              </w:tabs>
              <w:rPr>
                <w:rFonts w:cs="Calibri"/>
              </w:rPr>
            </w:pPr>
            <w:r w:rsidRPr="00BF30D3">
              <w:rPr>
                <w:rFonts w:cs="Calibri"/>
              </w:rPr>
              <w:t xml:space="preserve">Other Movements </w:t>
            </w:r>
          </w:p>
        </w:tc>
        <w:tc>
          <w:tcPr>
            <w:tcW w:w="206" w:type="pct"/>
            <w:gridSpan w:val="2"/>
            <w:tcBorders>
              <w:top w:val="nil"/>
              <w:left w:val="nil"/>
              <w:bottom w:val="single" w:sz="2" w:space="0" w:color="auto"/>
              <w:right w:val="nil"/>
            </w:tcBorders>
          </w:tcPr>
          <w:p w14:paraId="48FD5C29"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single" w:sz="2" w:space="0" w:color="auto"/>
              <w:right w:val="nil"/>
            </w:tcBorders>
          </w:tcPr>
          <w:p w14:paraId="3AC57E11"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single" w:sz="2" w:space="0" w:color="auto"/>
              <w:right w:val="nil"/>
            </w:tcBorders>
            <w:vAlign w:val="bottom"/>
          </w:tcPr>
          <w:p w14:paraId="45821E9A" w14:textId="77777777" w:rsidR="00EF02F9" w:rsidRPr="00BF30D3" w:rsidRDefault="00EF02F9" w:rsidP="009A0F2F">
            <w:pPr>
              <w:pStyle w:val="TableText"/>
              <w:tabs>
                <w:tab w:val="left" w:pos="3306"/>
              </w:tabs>
              <w:jc w:val="right"/>
              <w:rPr>
                <w:rFonts w:cs="Calibri"/>
              </w:rPr>
            </w:pPr>
          </w:p>
        </w:tc>
      </w:tr>
      <w:tr w:rsidR="00EF02F9" w:rsidRPr="00BF30D3" w14:paraId="633FFC5E" w14:textId="77777777" w:rsidTr="0057550F">
        <w:trPr>
          <w:cantSplit/>
          <w:trHeight w:val="23"/>
        </w:trPr>
        <w:tc>
          <w:tcPr>
            <w:tcW w:w="743" w:type="pct"/>
            <w:tcBorders>
              <w:top w:val="nil"/>
              <w:left w:val="single" w:sz="4" w:space="0" w:color="auto"/>
              <w:bottom w:val="nil"/>
              <w:right w:val="single" w:sz="4" w:space="0" w:color="auto"/>
            </w:tcBorders>
          </w:tcPr>
          <w:p w14:paraId="53480596" w14:textId="77777777" w:rsidR="00EF02F9" w:rsidRPr="00BF30D3" w:rsidRDefault="00EF02F9" w:rsidP="009A0F2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0D0B2363" w14:textId="77777777" w:rsidR="00EF02F9" w:rsidRPr="00BF30D3" w:rsidRDefault="00EF02F9" w:rsidP="009A0F2F">
            <w:pPr>
              <w:pStyle w:val="TableText"/>
              <w:tabs>
                <w:tab w:val="left" w:pos="3306"/>
              </w:tabs>
              <w:rPr>
                <w:rFonts w:cs="Calibri"/>
                <w:b/>
                <w:bCs/>
              </w:rPr>
            </w:pPr>
            <w:r w:rsidRPr="00BF30D3">
              <w:rPr>
                <w:rFonts w:cs="Calibri"/>
                <w:b/>
                <w:bCs/>
              </w:rPr>
              <w:t>Carrying Amount at the End of the Reporting Period</w:t>
            </w:r>
          </w:p>
        </w:tc>
        <w:tc>
          <w:tcPr>
            <w:tcW w:w="206" w:type="pct"/>
            <w:gridSpan w:val="2"/>
            <w:tcBorders>
              <w:top w:val="single" w:sz="2" w:space="0" w:color="auto"/>
              <w:left w:val="nil"/>
              <w:bottom w:val="double" w:sz="4" w:space="0" w:color="auto"/>
              <w:right w:val="nil"/>
            </w:tcBorders>
          </w:tcPr>
          <w:p w14:paraId="7F5942E9" w14:textId="77777777" w:rsidR="00EF02F9" w:rsidRPr="00BF30D3" w:rsidRDefault="00EF02F9" w:rsidP="009A0F2F">
            <w:pPr>
              <w:pStyle w:val="TableText"/>
              <w:tabs>
                <w:tab w:val="left" w:pos="3306"/>
              </w:tabs>
              <w:jc w:val="right"/>
              <w:rPr>
                <w:rFonts w:cs="Calibri"/>
                <w:b/>
                <w:bCs/>
              </w:rPr>
            </w:pPr>
          </w:p>
        </w:tc>
        <w:tc>
          <w:tcPr>
            <w:tcW w:w="607" w:type="pct"/>
            <w:gridSpan w:val="4"/>
            <w:tcBorders>
              <w:top w:val="single" w:sz="2" w:space="0" w:color="auto"/>
              <w:left w:val="nil"/>
              <w:bottom w:val="double" w:sz="4" w:space="0" w:color="auto"/>
              <w:right w:val="nil"/>
            </w:tcBorders>
          </w:tcPr>
          <w:p w14:paraId="1E68DC75" w14:textId="77777777" w:rsidR="00EF02F9" w:rsidRPr="00BF30D3" w:rsidRDefault="00EF02F9" w:rsidP="009A0F2F">
            <w:pPr>
              <w:pStyle w:val="TableText"/>
              <w:tabs>
                <w:tab w:val="left" w:pos="3306"/>
              </w:tabs>
              <w:jc w:val="right"/>
              <w:rPr>
                <w:rFonts w:cs="Calibri"/>
                <w:b/>
                <w:bCs/>
              </w:rPr>
            </w:pPr>
          </w:p>
        </w:tc>
        <w:tc>
          <w:tcPr>
            <w:tcW w:w="473" w:type="pct"/>
            <w:gridSpan w:val="2"/>
            <w:tcBorders>
              <w:top w:val="single" w:sz="2" w:space="0" w:color="auto"/>
              <w:left w:val="nil"/>
              <w:bottom w:val="double" w:sz="4" w:space="0" w:color="auto"/>
              <w:right w:val="nil"/>
            </w:tcBorders>
            <w:vAlign w:val="bottom"/>
          </w:tcPr>
          <w:p w14:paraId="37DE3910" w14:textId="77777777" w:rsidR="00EF02F9" w:rsidRPr="00BF30D3" w:rsidRDefault="00EF02F9" w:rsidP="009A0F2F">
            <w:pPr>
              <w:pStyle w:val="TableText"/>
              <w:tabs>
                <w:tab w:val="left" w:pos="3306"/>
              </w:tabs>
              <w:jc w:val="right"/>
              <w:rPr>
                <w:rFonts w:cs="Calibri"/>
                <w:b/>
                <w:bCs/>
              </w:rPr>
            </w:pPr>
          </w:p>
        </w:tc>
      </w:tr>
      <w:tr w:rsidR="0095733E" w:rsidRPr="00BF30D3" w14:paraId="07F5EC78" w14:textId="77777777" w:rsidTr="002A16D9">
        <w:trPr>
          <w:cantSplit/>
          <w:trHeight w:val="23"/>
        </w:trPr>
        <w:tc>
          <w:tcPr>
            <w:tcW w:w="743" w:type="pct"/>
            <w:tcBorders>
              <w:top w:val="nil"/>
              <w:left w:val="single" w:sz="4" w:space="0" w:color="auto"/>
              <w:bottom w:val="nil"/>
              <w:right w:val="single" w:sz="4" w:space="0" w:color="auto"/>
            </w:tcBorders>
          </w:tcPr>
          <w:p w14:paraId="28C18F05" w14:textId="5EDFC433" w:rsidR="0095733E" w:rsidRPr="00BF30D3" w:rsidRDefault="0095733E" w:rsidP="0095733E">
            <w:pPr>
              <w:pStyle w:val="TableReference"/>
              <w:tabs>
                <w:tab w:val="left" w:pos="3306"/>
              </w:tabs>
              <w:spacing w:before="240" w:after="240"/>
              <w:rPr>
                <w:rFonts w:cs="Calibri"/>
                <w:color w:val="7030A0"/>
                <w:sz w:val="14"/>
              </w:rPr>
            </w:pPr>
            <w:r w:rsidRPr="00BF30D3">
              <w:rPr>
                <w:rFonts w:cs="Calibri"/>
                <w:b/>
                <w:color w:val="7030A0"/>
                <w:sz w:val="22"/>
                <w:szCs w:val="22"/>
              </w:rPr>
              <w:t>Reference</w:t>
            </w:r>
          </w:p>
        </w:tc>
        <w:tc>
          <w:tcPr>
            <w:tcW w:w="4257" w:type="pct"/>
            <w:gridSpan w:val="9"/>
            <w:tcBorders>
              <w:top w:val="nil"/>
              <w:left w:val="single" w:sz="4" w:space="0" w:color="auto"/>
              <w:bottom w:val="nil"/>
              <w:right w:val="nil"/>
            </w:tcBorders>
          </w:tcPr>
          <w:p w14:paraId="08E302FA" w14:textId="6E4C3B92" w:rsidR="0095733E" w:rsidRPr="00BF30D3" w:rsidRDefault="0095733E" w:rsidP="0095733E">
            <w:pPr>
              <w:pStyle w:val="TableText"/>
              <w:spacing w:before="240" w:after="240"/>
              <w:rPr>
                <w:rFonts w:cs="Calibri"/>
              </w:rPr>
            </w:pPr>
            <w:r w:rsidRPr="00BF30D3">
              <w:rPr>
                <w:rFonts w:ascii="Arial Bold" w:hAnsi="Arial Bold" w:cs="Arial"/>
                <w:b/>
                <w:caps/>
                <w:sz w:val="32"/>
                <w:szCs w:val="32"/>
              </w:rPr>
              <w:t>Note 20.</w:t>
            </w:r>
            <w:r w:rsidR="00FA7C77">
              <w:rPr>
                <w:rFonts w:ascii="Arial Bold" w:hAnsi="Arial Bold" w:cs="Arial"/>
                <w:b/>
                <w:caps/>
                <w:sz w:val="32"/>
                <w:szCs w:val="32"/>
              </w:rPr>
              <w:t xml:space="preserve"> </w:t>
            </w:r>
            <w:r w:rsidRPr="00BF30D3">
              <w:rPr>
                <w:rFonts w:ascii="Arial Bold" w:hAnsi="Arial Bold" w:cs="Arial"/>
                <w:b/>
                <w:caps/>
                <w:sz w:val="32"/>
                <w:szCs w:val="32"/>
              </w:rPr>
              <w:t xml:space="preserve"> Investment Properties </w:t>
            </w:r>
            <w:r w:rsidR="00F22D61">
              <w:rPr>
                <w:rFonts w:ascii="Arial Bold" w:hAnsi="Arial Bold" w:cs="Arial"/>
                <w:b/>
                <w:caps/>
                <w:sz w:val="32"/>
                <w:szCs w:val="32"/>
              </w:rPr>
              <w:t>–</w:t>
            </w:r>
            <w:r w:rsidRPr="00BF30D3">
              <w:rPr>
                <w:rFonts w:ascii="Arial Bold" w:hAnsi="Arial Bold" w:cs="Arial"/>
                <w:b/>
                <w:caps/>
                <w:sz w:val="32"/>
                <w:szCs w:val="32"/>
              </w:rPr>
              <w:t xml:space="preserve"> Continued</w:t>
            </w:r>
            <w:r w:rsidR="00F22D61">
              <w:rPr>
                <w:rFonts w:ascii="Arial Bold" w:hAnsi="Arial Bold" w:cs="Arial"/>
                <w:b/>
                <w:caps/>
                <w:sz w:val="32"/>
                <w:szCs w:val="32"/>
              </w:rPr>
              <w:t xml:space="preserve"> </w:t>
            </w:r>
          </w:p>
        </w:tc>
      </w:tr>
      <w:tr w:rsidR="0095733E" w:rsidRPr="00BF30D3" w14:paraId="3A78373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07D5B30"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vAlign w:val="bottom"/>
          </w:tcPr>
          <w:p w14:paraId="641FFEA0" w14:textId="0419F578" w:rsidR="0095733E" w:rsidRPr="00BF30D3" w:rsidRDefault="0095733E" w:rsidP="0095733E">
            <w:pPr>
              <w:pStyle w:val="TableText"/>
              <w:tabs>
                <w:tab w:val="left" w:pos="3306"/>
              </w:tabs>
              <w:jc w:val="both"/>
              <w:rPr>
                <w:rFonts w:cs="Calibri"/>
              </w:rPr>
            </w:pPr>
            <w:r w:rsidRPr="00BF30D3">
              <w:rPr>
                <w:rFonts w:cs="Calibri"/>
              </w:rPr>
              <w:t>a)The increase in investment properties of $</w:t>
            </w:r>
            <w:r w:rsidR="00436BDE">
              <w:rPr>
                <w:rFonts w:cs="Calibri"/>
              </w:rPr>
              <w:t>xxx</w:t>
            </w:r>
            <w:r w:rsidRPr="00BF30D3">
              <w:rPr>
                <w:rFonts w:cs="Calibri"/>
              </w:rPr>
              <w:t xml:space="preserve"> is due to additional investment properties being purchased, an increase in the value of existing investment properties due to revaluation and investment properties being transferred from other ACT Government agencies to ‘Burley Griffin Agency’.</w:t>
            </w:r>
          </w:p>
        </w:tc>
      </w:tr>
      <w:tr w:rsidR="00BF30D3" w:rsidRPr="00BF30D3" w14:paraId="6D3915B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4E4B797" w14:textId="690D34E8" w:rsidR="00471A47" w:rsidRPr="00BF30D3" w:rsidRDefault="00471A47" w:rsidP="00471A47">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vAlign w:val="bottom"/>
          </w:tcPr>
          <w:p w14:paraId="05642055" w14:textId="408286A5" w:rsidR="00471A47" w:rsidRPr="00BF30D3" w:rsidRDefault="00471A47" w:rsidP="00485049">
            <w:pPr>
              <w:pStyle w:val="TableText"/>
              <w:spacing w:before="0" w:after="120"/>
              <w:rPr>
                <w:rFonts w:cs="Calibri"/>
              </w:rPr>
            </w:pPr>
          </w:p>
        </w:tc>
      </w:tr>
      <w:tr w:rsidR="00BF30D3" w:rsidRPr="00BF30D3" w14:paraId="3E9B6C7E"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27232AAD" w14:textId="3AB38E7C" w:rsidR="00B13E7F" w:rsidRPr="00BF30D3" w:rsidRDefault="006C5DD9" w:rsidP="006C5DD9">
            <w:pPr>
              <w:pStyle w:val="TableReference"/>
              <w:tabs>
                <w:tab w:val="left" w:pos="3306"/>
              </w:tabs>
              <w:spacing w:before="40"/>
              <w:rPr>
                <w:rFonts w:cs="Calibri"/>
                <w:color w:val="7030A0"/>
                <w:sz w:val="14"/>
              </w:rPr>
            </w:pPr>
            <w:r w:rsidRPr="00BF30D3">
              <w:rPr>
                <w:rFonts w:cs="Calibri"/>
                <w:color w:val="7030A0"/>
                <w:sz w:val="14"/>
              </w:rPr>
              <w:t>AASB 13.93(c) &amp; (e) (iv)</w:t>
            </w:r>
          </w:p>
        </w:tc>
        <w:tc>
          <w:tcPr>
            <w:tcW w:w="4257" w:type="pct"/>
            <w:gridSpan w:val="9"/>
            <w:tcBorders>
              <w:top w:val="nil"/>
              <w:left w:val="single" w:sz="4" w:space="0" w:color="auto"/>
              <w:bottom w:val="nil"/>
              <w:right w:val="nil"/>
            </w:tcBorders>
          </w:tcPr>
          <w:p w14:paraId="0B28FDC0" w14:textId="58C637FA" w:rsidR="00B13E7F" w:rsidRPr="00BF30D3" w:rsidRDefault="00B13E7F" w:rsidP="006C5DD9">
            <w:pPr>
              <w:pStyle w:val="TableText"/>
              <w:spacing w:before="0" w:after="120"/>
              <w:rPr>
                <w:rFonts w:cs="Calibri"/>
                <w:b/>
                <w:bCs/>
              </w:rPr>
            </w:pPr>
            <w:r w:rsidRPr="00BF30D3">
              <w:rPr>
                <w:rFonts w:cs="Calibri"/>
                <w:b/>
                <w:bCs/>
              </w:rPr>
              <w:t>Classification According to Fair Value Hierarchy at 30 June 202</w:t>
            </w:r>
            <w:r w:rsidR="0057550F">
              <w:rPr>
                <w:rFonts w:cs="Calibri"/>
                <w:b/>
                <w:bCs/>
              </w:rPr>
              <w:t>3</w:t>
            </w:r>
          </w:p>
        </w:tc>
      </w:tr>
      <w:tr w:rsidR="00BF30D3" w:rsidRPr="00BF30D3" w14:paraId="04AEEB2C"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749DEF46" w14:textId="77777777" w:rsidR="000F62B8" w:rsidRPr="00BF30D3" w:rsidRDefault="000F62B8" w:rsidP="00FA3D29">
            <w:pPr>
              <w:pStyle w:val="TableReference"/>
              <w:tabs>
                <w:tab w:val="left" w:pos="3306"/>
              </w:tabs>
              <w:spacing w:before="40"/>
              <w:jc w:val="right"/>
              <w:rPr>
                <w:rFonts w:cs="Calibri"/>
                <w:color w:val="7030A0"/>
                <w:sz w:val="14"/>
              </w:rPr>
            </w:pPr>
          </w:p>
        </w:tc>
        <w:tc>
          <w:tcPr>
            <w:tcW w:w="2971" w:type="pct"/>
            <w:tcBorders>
              <w:top w:val="nil"/>
              <w:left w:val="single" w:sz="4" w:space="0" w:color="auto"/>
              <w:bottom w:val="nil"/>
              <w:right w:val="nil"/>
            </w:tcBorders>
          </w:tcPr>
          <w:p w14:paraId="69F1398D" w14:textId="77777777" w:rsidR="000F62B8" w:rsidRPr="00BF30D3" w:rsidRDefault="000F62B8" w:rsidP="00B13E7F">
            <w:pPr>
              <w:pStyle w:val="TableText"/>
              <w:spacing w:before="0"/>
              <w:jc w:val="right"/>
              <w:rPr>
                <w:rFonts w:cs="Calibri"/>
              </w:rPr>
            </w:pPr>
          </w:p>
        </w:tc>
        <w:tc>
          <w:tcPr>
            <w:tcW w:w="463" w:type="pct"/>
            <w:gridSpan w:val="3"/>
            <w:tcBorders>
              <w:top w:val="nil"/>
              <w:left w:val="nil"/>
              <w:bottom w:val="nil"/>
              <w:right w:val="nil"/>
            </w:tcBorders>
          </w:tcPr>
          <w:p w14:paraId="52FDEF9D" w14:textId="19018DF7" w:rsidR="000F62B8" w:rsidRPr="00BF30D3" w:rsidRDefault="000F62B8" w:rsidP="00B13E7F">
            <w:pPr>
              <w:pStyle w:val="TableText"/>
              <w:spacing w:before="0"/>
              <w:jc w:val="right"/>
              <w:rPr>
                <w:rFonts w:cs="Calibri"/>
                <w:b/>
              </w:rPr>
            </w:pPr>
            <w:r w:rsidRPr="00BF30D3">
              <w:rPr>
                <w:rFonts w:cs="Calibri"/>
                <w:b/>
              </w:rPr>
              <w:t>Level 2</w:t>
            </w:r>
          </w:p>
        </w:tc>
        <w:tc>
          <w:tcPr>
            <w:tcW w:w="823" w:type="pct"/>
            <w:gridSpan w:val="5"/>
            <w:tcBorders>
              <w:top w:val="nil"/>
              <w:left w:val="nil"/>
              <w:bottom w:val="nil"/>
              <w:right w:val="nil"/>
            </w:tcBorders>
          </w:tcPr>
          <w:p w14:paraId="54D18382" w14:textId="2E905714" w:rsidR="000F62B8" w:rsidRPr="00BF30D3" w:rsidRDefault="000F62B8" w:rsidP="00B13E7F">
            <w:pPr>
              <w:pStyle w:val="TableText"/>
              <w:spacing w:before="0"/>
              <w:jc w:val="right"/>
              <w:rPr>
                <w:rFonts w:cs="Calibri"/>
                <w:b/>
              </w:rPr>
            </w:pPr>
            <w:r w:rsidRPr="00BF30D3">
              <w:rPr>
                <w:rFonts w:cs="Calibri"/>
                <w:b/>
              </w:rPr>
              <w:t>Total</w:t>
            </w:r>
          </w:p>
        </w:tc>
      </w:tr>
      <w:tr w:rsidR="00BF30D3" w:rsidRPr="00BF30D3" w14:paraId="192CBB4B"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211BD570" w14:textId="77777777" w:rsidR="000F62B8" w:rsidRPr="00BF30D3" w:rsidRDefault="000F62B8" w:rsidP="00471A47">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43D7DD8A" w14:textId="77777777" w:rsidR="000F62B8" w:rsidRPr="00BF30D3" w:rsidRDefault="000F62B8" w:rsidP="00B13E7F">
            <w:pPr>
              <w:pStyle w:val="TableText"/>
              <w:spacing w:before="0"/>
              <w:rPr>
                <w:rFonts w:cs="Calibri"/>
              </w:rPr>
            </w:pPr>
          </w:p>
        </w:tc>
        <w:tc>
          <w:tcPr>
            <w:tcW w:w="463" w:type="pct"/>
            <w:gridSpan w:val="3"/>
            <w:tcBorders>
              <w:top w:val="nil"/>
              <w:left w:val="nil"/>
              <w:bottom w:val="nil"/>
              <w:right w:val="nil"/>
            </w:tcBorders>
            <w:vAlign w:val="bottom"/>
          </w:tcPr>
          <w:p w14:paraId="744F464D" w14:textId="79AC48C8" w:rsidR="000F62B8" w:rsidRPr="00BF30D3" w:rsidRDefault="000F62B8" w:rsidP="00B13E7F">
            <w:pPr>
              <w:pStyle w:val="TableText"/>
              <w:spacing w:before="0"/>
              <w:jc w:val="right"/>
              <w:rPr>
                <w:rFonts w:cs="Calibri"/>
              </w:rPr>
            </w:pPr>
            <w:r w:rsidRPr="00BF30D3">
              <w:rPr>
                <w:rFonts w:cs="Calibri"/>
                <w:b/>
              </w:rPr>
              <w:t>$’000</w:t>
            </w:r>
          </w:p>
        </w:tc>
        <w:tc>
          <w:tcPr>
            <w:tcW w:w="823" w:type="pct"/>
            <w:gridSpan w:val="5"/>
            <w:tcBorders>
              <w:top w:val="nil"/>
              <w:left w:val="nil"/>
              <w:bottom w:val="nil"/>
              <w:right w:val="nil"/>
            </w:tcBorders>
            <w:vAlign w:val="bottom"/>
          </w:tcPr>
          <w:p w14:paraId="28EFF8E9" w14:textId="1C486866" w:rsidR="000F62B8" w:rsidRPr="00BF30D3" w:rsidRDefault="000F62B8" w:rsidP="00B13E7F">
            <w:pPr>
              <w:pStyle w:val="TableText"/>
              <w:spacing w:before="0"/>
              <w:jc w:val="right"/>
              <w:rPr>
                <w:rFonts w:cs="Calibri"/>
              </w:rPr>
            </w:pPr>
            <w:r w:rsidRPr="00BF30D3">
              <w:rPr>
                <w:rFonts w:cs="Calibri"/>
                <w:b/>
              </w:rPr>
              <w:t>$’000</w:t>
            </w:r>
          </w:p>
        </w:tc>
      </w:tr>
      <w:tr w:rsidR="00BF30D3" w:rsidRPr="00BF30D3" w14:paraId="65D58C5B"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2B381BDC" w14:textId="77777777" w:rsidR="000F62B8" w:rsidRPr="00BF30D3" w:rsidRDefault="000F62B8" w:rsidP="00471A47">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229198E5" w14:textId="302D9E77" w:rsidR="000F62B8" w:rsidRPr="00BF30D3" w:rsidRDefault="000F62B8" w:rsidP="00485049">
            <w:pPr>
              <w:pStyle w:val="TableText"/>
              <w:spacing w:before="0" w:after="120"/>
              <w:rPr>
                <w:rFonts w:cs="Calibri"/>
              </w:rPr>
            </w:pPr>
            <w:r w:rsidRPr="00BF30D3">
              <w:rPr>
                <w:rFonts w:cs="Calibri"/>
                <w:b/>
              </w:rPr>
              <w:t>Investment Properties at Fair Value</w:t>
            </w:r>
          </w:p>
        </w:tc>
        <w:tc>
          <w:tcPr>
            <w:tcW w:w="463" w:type="pct"/>
            <w:gridSpan w:val="3"/>
            <w:tcBorders>
              <w:top w:val="nil"/>
              <w:left w:val="nil"/>
              <w:bottom w:val="nil"/>
              <w:right w:val="nil"/>
            </w:tcBorders>
            <w:vAlign w:val="bottom"/>
          </w:tcPr>
          <w:p w14:paraId="03774E77" w14:textId="77777777" w:rsidR="000F62B8" w:rsidRPr="00BF30D3" w:rsidRDefault="000F62B8" w:rsidP="00485049">
            <w:pPr>
              <w:pStyle w:val="TableText"/>
              <w:spacing w:before="0" w:after="120"/>
              <w:rPr>
                <w:rFonts w:cs="Calibri"/>
              </w:rPr>
            </w:pPr>
          </w:p>
        </w:tc>
        <w:tc>
          <w:tcPr>
            <w:tcW w:w="823" w:type="pct"/>
            <w:gridSpan w:val="5"/>
            <w:tcBorders>
              <w:top w:val="nil"/>
              <w:left w:val="nil"/>
              <w:bottom w:val="nil"/>
              <w:right w:val="nil"/>
            </w:tcBorders>
            <w:vAlign w:val="bottom"/>
          </w:tcPr>
          <w:p w14:paraId="7ACEAD26" w14:textId="77777777" w:rsidR="000F62B8" w:rsidRPr="00BF30D3" w:rsidRDefault="000F62B8" w:rsidP="00485049">
            <w:pPr>
              <w:pStyle w:val="TableText"/>
              <w:spacing w:before="0" w:after="120"/>
              <w:rPr>
                <w:rFonts w:cs="Calibri"/>
              </w:rPr>
            </w:pPr>
          </w:p>
        </w:tc>
      </w:tr>
      <w:tr w:rsidR="00BF30D3" w:rsidRPr="00BF30D3" w14:paraId="659A78AD"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6C3BE2A3" w14:textId="4751C5A9" w:rsidR="000F62B8" w:rsidRPr="00BF30D3" w:rsidRDefault="000F62B8" w:rsidP="00B13E7F">
            <w:pPr>
              <w:pStyle w:val="TableReference"/>
              <w:spacing w:after="40"/>
              <w:rPr>
                <w:rFonts w:cs="Calibri"/>
                <w:color w:val="7030A0"/>
                <w:sz w:val="14"/>
              </w:rPr>
            </w:pPr>
            <w:r w:rsidRPr="00BF30D3">
              <w:rPr>
                <w:rFonts w:cs="Calibri"/>
                <w:color w:val="7030A0"/>
                <w:sz w:val="14"/>
              </w:rPr>
              <w:t>AASB 13.93(a)(b)</w:t>
            </w:r>
          </w:p>
        </w:tc>
        <w:tc>
          <w:tcPr>
            <w:tcW w:w="2971" w:type="pct"/>
            <w:tcBorders>
              <w:top w:val="nil"/>
              <w:left w:val="single" w:sz="4" w:space="0" w:color="auto"/>
              <w:bottom w:val="nil"/>
              <w:right w:val="nil"/>
            </w:tcBorders>
            <w:vAlign w:val="center"/>
          </w:tcPr>
          <w:p w14:paraId="5072859E" w14:textId="3CD7426A" w:rsidR="000F62B8" w:rsidRPr="00BF30D3" w:rsidRDefault="000F62B8" w:rsidP="00B13E7F">
            <w:pPr>
              <w:pStyle w:val="TableText"/>
              <w:spacing w:before="0" w:after="40"/>
              <w:rPr>
                <w:rFonts w:cs="Calibri"/>
              </w:rPr>
            </w:pPr>
            <w:r w:rsidRPr="00BF30D3">
              <w:rPr>
                <w:rFonts w:cs="Calibri"/>
              </w:rPr>
              <w:t>Land</w:t>
            </w:r>
          </w:p>
        </w:tc>
        <w:tc>
          <w:tcPr>
            <w:tcW w:w="463" w:type="pct"/>
            <w:gridSpan w:val="3"/>
            <w:tcBorders>
              <w:top w:val="nil"/>
              <w:left w:val="nil"/>
              <w:bottom w:val="nil"/>
              <w:right w:val="nil"/>
            </w:tcBorders>
            <w:vAlign w:val="bottom"/>
          </w:tcPr>
          <w:p w14:paraId="56F8D161" w14:textId="77777777" w:rsidR="000F62B8" w:rsidRPr="00BF30D3" w:rsidRDefault="000F62B8" w:rsidP="00B13E7F">
            <w:pPr>
              <w:pStyle w:val="TableText"/>
              <w:spacing w:before="0" w:after="40"/>
              <w:rPr>
                <w:rFonts w:cs="Calibri"/>
              </w:rPr>
            </w:pPr>
          </w:p>
        </w:tc>
        <w:tc>
          <w:tcPr>
            <w:tcW w:w="823" w:type="pct"/>
            <w:gridSpan w:val="5"/>
            <w:tcBorders>
              <w:top w:val="nil"/>
              <w:left w:val="nil"/>
              <w:bottom w:val="nil"/>
              <w:right w:val="nil"/>
            </w:tcBorders>
            <w:vAlign w:val="bottom"/>
          </w:tcPr>
          <w:p w14:paraId="71690966" w14:textId="77777777" w:rsidR="000F62B8" w:rsidRPr="00BF30D3" w:rsidRDefault="000F62B8" w:rsidP="00B13E7F">
            <w:pPr>
              <w:pStyle w:val="TableText"/>
              <w:spacing w:before="0" w:after="40"/>
              <w:rPr>
                <w:rFonts w:cs="Calibri"/>
              </w:rPr>
            </w:pPr>
          </w:p>
        </w:tc>
      </w:tr>
      <w:tr w:rsidR="00BF30D3" w:rsidRPr="00BF30D3" w14:paraId="6AC99AB7"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6317A7AF" w14:textId="0501DFC8" w:rsidR="000F62B8" w:rsidRPr="00BF30D3" w:rsidRDefault="000F62B8" w:rsidP="00B13E7F">
            <w:pPr>
              <w:pStyle w:val="TableReference"/>
              <w:tabs>
                <w:tab w:val="left" w:pos="3306"/>
              </w:tabs>
              <w:spacing w:after="40"/>
              <w:rPr>
                <w:rFonts w:cs="Calibri"/>
                <w:color w:val="7030A0"/>
                <w:sz w:val="14"/>
              </w:rPr>
            </w:pPr>
            <w:r w:rsidRPr="00BF30D3">
              <w:rPr>
                <w:rFonts w:cs="Calibri"/>
                <w:color w:val="7030A0"/>
                <w:sz w:val="14"/>
              </w:rPr>
              <w:t>AASB13.94</w:t>
            </w:r>
          </w:p>
        </w:tc>
        <w:tc>
          <w:tcPr>
            <w:tcW w:w="2971" w:type="pct"/>
            <w:tcBorders>
              <w:top w:val="nil"/>
              <w:left w:val="single" w:sz="4" w:space="0" w:color="auto"/>
              <w:bottom w:val="nil"/>
              <w:right w:val="nil"/>
            </w:tcBorders>
            <w:vAlign w:val="center"/>
          </w:tcPr>
          <w:p w14:paraId="1D88C529" w14:textId="3361C3AF" w:rsidR="000F62B8" w:rsidRPr="00BF30D3" w:rsidRDefault="000F62B8" w:rsidP="00B13E7F">
            <w:pPr>
              <w:pStyle w:val="TableText"/>
              <w:spacing w:before="0" w:after="40"/>
              <w:rPr>
                <w:rFonts w:cs="Calibri"/>
              </w:rPr>
            </w:pPr>
            <w:r w:rsidRPr="00BF30D3">
              <w:rPr>
                <w:rFonts w:cs="Calibri"/>
              </w:rPr>
              <w:t>Buildings</w:t>
            </w:r>
          </w:p>
        </w:tc>
        <w:tc>
          <w:tcPr>
            <w:tcW w:w="463" w:type="pct"/>
            <w:gridSpan w:val="3"/>
            <w:tcBorders>
              <w:top w:val="nil"/>
              <w:left w:val="nil"/>
              <w:bottom w:val="single" w:sz="2" w:space="0" w:color="auto"/>
              <w:right w:val="nil"/>
            </w:tcBorders>
            <w:vAlign w:val="bottom"/>
          </w:tcPr>
          <w:p w14:paraId="629D8A42" w14:textId="77777777" w:rsidR="000F62B8" w:rsidRPr="00BF30D3" w:rsidRDefault="000F62B8" w:rsidP="00B13E7F">
            <w:pPr>
              <w:pStyle w:val="TableText"/>
              <w:spacing w:before="0" w:after="40"/>
              <w:rPr>
                <w:rFonts w:cs="Calibri"/>
              </w:rPr>
            </w:pPr>
          </w:p>
        </w:tc>
        <w:tc>
          <w:tcPr>
            <w:tcW w:w="823" w:type="pct"/>
            <w:gridSpan w:val="5"/>
            <w:tcBorders>
              <w:top w:val="nil"/>
              <w:left w:val="nil"/>
              <w:bottom w:val="single" w:sz="2" w:space="0" w:color="auto"/>
              <w:right w:val="nil"/>
            </w:tcBorders>
            <w:vAlign w:val="bottom"/>
          </w:tcPr>
          <w:p w14:paraId="08602073" w14:textId="77777777" w:rsidR="000F62B8" w:rsidRPr="00BF30D3" w:rsidRDefault="000F62B8" w:rsidP="00B13E7F">
            <w:pPr>
              <w:pStyle w:val="TableText"/>
              <w:spacing w:before="0" w:after="40"/>
              <w:rPr>
                <w:rFonts w:cs="Calibri"/>
              </w:rPr>
            </w:pPr>
          </w:p>
        </w:tc>
      </w:tr>
      <w:tr w:rsidR="00BF30D3" w:rsidRPr="00BF30D3" w14:paraId="7734B9F6"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3C2F6F1D" w14:textId="77777777" w:rsidR="000F62B8" w:rsidRPr="00BF30D3" w:rsidRDefault="000F62B8" w:rsidP="00B13E7F">
            <w:pPr>
              <w:pStyle w:val="TableReference"/>
              <w:tabs>
                <w:tab w:val="left" w:pos="3306"/>
              </w:tabs>
              <w:spacing w:after="40"/>
              <w:rPr>
                <w:rFonts w:cs="Calibri"/>
                <w:color w:val="7030A0"/>
                <w:sz w:val="14"/>
              </w:rPr>
            </w:pPr>
          </w:p>
        </w:tc>
        <w:tc>
          <w:tcPr>
            <w:tcW w:w="2971" w:type="pct"/>
            <w:tcBorders>
              <w:top w:val="nil"/>
              <w:left w:val="single" w:sz="4" w:space="0" w:color="auto"/>
              <w:bottom w:val="nil"/>
              <w:right w:val="nil"/>
            </w:tcBorders>
            <w:vAlign w:val="center"/>
          </w:tcPr>
          <w:p w14:paraId="02C68275" w14:textId="77777777" w:rsidR="000F62B8" w:rsidRPr="00BF30D3" w:rsidRDefault="000F62B8" w:rsidP="00B13E7F">
            <w:pPr>
              <w:pStyle w:val="TableText"/>
              <w:spacing w:before="0" w:after="40"/>
              <w:rPr>
                <w:rFonts w:cs="Calibri"/>
              </w:rPr>
            </w:pPr>
          </w:p>
        </w:tc>
        <w:tc>
          <w:tcPr>
            <w:tcW w:w="463" w:type="pct"/>
            <w:gridSpan w:val="3"/>
            <w:tcBorders>
              <w:top w:val="single" w:sz="2" w:space="0" w:color="auto"/>
              <w:left w:val="nil"/>
              <w:bottom w:val="double" w:sz="4" w:space="0" w:color="auto"/>
              <w:right w:val="nil"/>
            </w:tcBorders>
            <w:vAlign w:val="bottom"/>
          </w:tcPr>
          <w:p w14:paraId="2A110384" w14:textId="77777777" w:rsidR="000F62B8" w:rsidRPr="00BF30D3" w:rsidRDefault="000F62B8" w:rsidP="00B13E7F">
            <w:pPr>
              <w:pStyle w:val="TableText"/>
              <w:spacing w:before="0" w:after="40"/>
              <w:rPr>
                <w:rFonts w:cs="Calibri"/>
              </w:rPr>
            </w:pPr>
          </w:p>
        </w:tc>
        <w:tc>
          <w:tcPr>
            <w:tcW w:w="823" w:type="pct"/>
            <w:gridSpan w:val="5"/>
            <w:tcBorders>
              <w:top w:val="single" w:sz="2" w:space="0" w:color="auto"/>
              <w:left w:val="nil"/>
              <w:bottom w:val="double" w:sz="4" w:space="0" w:color="auto"/>
              <w:right w:val="nil"/>
            </w:tcBorders>
            <w:vAlign w:val="bottom"/>
          </w:tcPr>
          <w:p w14:paraId="21027AFB" w14:textId="77777777" w:rsidR="000F62B8" w:rsidRPr="00BF30D3" w:rsidRDefault="000F62B8" w:rsidP="00B13E7F">
            <w:pPr>
              <w:pStyle w:val="TableText"/>
              <w:spacing w:before="0" w:after="40"/>
              <w:rPr>
                <w:rFonts w:cs="Calibri"/>
              </w:rPr>
            </w:pPr>
          </w:p>
        </w:tc>
      </w:tr>
      <w:tr w:rsidR="00F15CC8" w:rsidRPr="00980416" w14:paraId="2F2F48A7"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10B59C33" w14:textId="77777777" w:rsidR="00F15CC8" w:rsidRPr="00BF30D3" w:rsidRDefault="00F15CC8" w:rsidP="00471A47">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223605BB" w14:textId="77777777" w:rsidR="00F15CC8" w:rsidRPr="00BF30D3" w:rsidRDefault="00F15CC8" w:rsidP="00485049">
            <w:pPr>
              <w:pStyle w:val="TableText"/>
              <w:spacing w:before="0" w:after="120"/>
              <w:rPr>
                <w:rFonts w:cs="Calibri"/>
              </w:rPr>
            </w:pPr>
          </w:p>
        </w:tc>
        <w:tc>
          <w:tcPr>
            <w:tcW w:w="463" w:type="pct"/>
            <w:gridSpan w:val="3"/>
            <w:tcBorders>
              <w:top w:val="double" w:sz="4" w:space="0" w:color="auto"/>
              <w:left w:val="nil"/>
              <w:bottom w:val="nil"/>
              <w:right w:val="nil"/>
            </w:tcBorders>
            <w:vAlign w:val="bottom"/>
          </w:tcPr>
          <w:p w14:paraId="7D44F224" w14:textId="77777777" w:rsidR="00F15CC8" w:rsidRPr="00BF30D3" w:rsidRDefault="00F15CC8" w:rsidP="00485049">
            <w:pPr>
              <w:pStyle w:val="TableText"/>
              <w:spacing w:before="0" w:after="120"/>
              <w:rPr>
                <w:rFonts w:cs="Calibri"/>
              </w:rPr>
            </w:pPr>
          </w:p>
        </w:tc>
        <w:tc>
          <w:tcPr>
            <w:tcW w:w="823" w:type="pct"/>
            <w:gridSpan w:val="5"/>
            <w:tcBorders>
              <w:top w:val="double" w:sz="4" w:space="0" w:color="auto"/>
              <w:left w:val="nil"/>
              <w:bottom w:val="nil"/>
              <w:right w:val="nil"/>
            </w:tcBorders>
            <w:vAlign w:val="bottom"/>
          </w:tcPr>
          <w:p w14:paraId="7B1D5413" w14:textId="77777777" w:rsidR="00F15CC8" w:rsidRPr="00BF30D3" w:rsidRDefault="00F15CC8" w:rsidP="00485049">
            <w:pPr>
              <w:pStyle w:val="TableText"/>
              <w:spacing w:before="0" w:after="120"/>
              <w:rPr>
                <w:rFonts w:cs="Calibri"/>
              </w:rPr>
            </w:pPr>
          </w:p>
        </w:tc>
      </w:tr>
      <w:tr w:rsidR="00BF30D3" w:rsidRPr="00BF30D3" w14:paraId="2A04D4B1"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9F7A629" w14:textId="77777777" w:rsidR="001B2A8C" w:rsidRPr="00BF30D3" w:rsidRDefault="001B2A8C" w:rsidP="00471A47">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23B9CD47" w14:textId="09EAC8A7" w:rsidR="001B2A8C" w:rsidRPr="00BF30D3" w:rsidRDefault="001B2A8C" w:rsidP="006C5DD9">
            <w:pPr>
              <w:pStyle w:val="TableText"/>
              <w:spacing w:before="0" w:after="120"/>
              <w:rPr>
                <w:rFonts w:cs="Calibri"/>
              </w:rPr>
            </w:pPr>
            <w:r w:rsidRPr="00BF30D3">
              <w:rPr>
                <w:rFonts w:cs="Calibri"/>
                <w:b/>
                <w:bCs/>
              </w:rPr>
              <w:t>Classification According to Fair Value Hierarchy at 30 June 202</w:t>
            </w:r>
            <w:r w:rsidR="0057550F">
              <w:rPr>
                <w:rFonts w:cs="Calibri"/>
                <w:b/>
                <w:bCs/>
              </w:rPr>
              <w:t>2</w:t>
            </w:r>
          </w:p>
        </w:tc>
      </w:tr>
      <w:tr w:rsidR="00BF30D3" w:rsidRPr="00BF30D3" w14:paraId="2A0F2E33"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0D7557E2" w14:textId="77777777" w:rsidR="000F62B8" w:rsidRPr="00BF30D3" w:rsidRDefault="000F62B8" w:rsidP="00B13E7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69B92EF9" w14:textId="77777777" w:rsidR="000F62B8" w:rsidRPr="00BF30D3" w:rsidRDefault="000F62B8" w:rsidP="00B13E7F">
            <w:pPr>
              <w:pStyle w:val="TableText"/>
              <w:spacing w:before="0"/>
              <w:rPr>
                <w:rFonts w:cs="Calibri"/>
              </w:rPr>
            </w:pPr>
          </w:p>
        </w:tc>
        <w:tc>
          <w:tcPr>
            <w:tcW w:w="463" w:type="pct"/>
            <w:gridSpan w:val="3"/>
            <w:tcBorders>
              <w:top w:val="nil"/>
              <w:left w:val="nil"/>
              <w:bottom w:val="nil"/>
              <w:right w:val="nil"/>
            </w:tcBorders>
          </w:tcPr>
          <w:p w14:paraId="7D5B0D93" w14:textId="44022269" w:rsidR="000F62B8" w:rsidRPr="00BF30D3" w:rsidRDefault="000F62B8" w:rsidP="00B13E7F">
            <w:pPr>
              <w:pStyle w:val="TableText"/>
              <w:spacing w:before="0"/>
              <w:jc w:val="right"/>
              <w:rPr>
                <w:rFonts w:cs="Calibri"/>
              </w:rPr>
            </w:pPr>
            <w:r w:rsidRPr="00BF30D3">
              <w:rPr>
                <w:rFonts w:cs="Calibri"/>
                <w:b/>
              </w:rPr>
              <w:t>Level 2</w:t>
            </w:r>
          </w:p>
        </w:tc>
        <w:tc>
          <w:tcPr>
            <w:tcW w:w="823" w:type="pct"/>
            <w:gridSpan w:val="5"/>
            <w:tcBorders>
              <w:top w:val="nil"/>
              <w:left w:val="nil"/>
              <w:bottom w:val="nil"/>
              <w:right w:val="nil"/>
            </w:tcBorders>
          </w:tcPr>
          <w:p w14:paraId="020C39B9" w14:textId="0B50D303" w:rsidR="000F62B8" w:rsidRPr="00BF30D3" w:rsidRDefault="000F62B8" w:rsidP="00B13E7F">
            <w:pPr>
              <w:pStyle w:val="TableText"/>
              <w:spacing w:before="0"/>
              <w:jc w:val="right"/>
              <w:rPr>
                <w:rFonts w:cs="Calibri"/>
              </w:rPr>
            </w:pPr>
            <w:r w:rsidRPr="00BF30D3">
              <w:rPr>
                <w:rFonts w:cs="Calibri"/>
                <w:b/>
              </w:rPr>
              <w:t>Total</w:t>
            </w:r>
          </w:p>
        </w:tc>
      </w:tr>
      <w:tr w:rsidR="00BF30D3" w:rsidRPr="00BF30D3" w14:paraId="74BA0EFF"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1FE11E4F" w14:textId="77777777" w:rsidR="000F62B8" w:rsidRPr="00BF30D3" w:rsidRDefault="000F62B8" w:rsidP="00B13E7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1A546D68" w14:textId="77777777" w:rsidR="000F62B8" w:rsidRPr="00BF30D3" w:rsidRDefault="000F62B8" w:rsidP="00B13E7F">
            <w:pPr>
              <w:pStyle w:val="TableText"/>
              <w:spacing w:before="0"/>
              <w:rPr>
                <w:rFonts w:cs="Calibri"/>
              </w:rPr>
            </w:pPr>
          </w:p>
        </w:tc>
        <w:tc>
          <w:tcPr>
            <w:tcW w:w="463" w:type="pct"/>
            <w:gridSpan w:val="3"/>
            <w:tcBorders>
              <w:top w:val="nil"/>
              <w:left w:val="nil"/>
              <w:bottom w:val="nil"/>
              <w:right w:val="nil"/>
            </w:tcBorders>
          </w:tcPr>
          <w:p w14:paraId="7B578B3F" w14:textId="5FEC2CC6" w:rsidR="000F62B8" w:rsidRPr="00BF30D3" w:rsidRDefault="000F62B8" w:rsidP="00B13E7F">
            <w:pPr>
              <w:pStyle w:val="TableText"/>
              <w:spacing w:before="0"/>
              <w:jc w:val="right"/>
              <w:rPr>
                <w:rFonts w:cs="Calibri"/>
              </w:rPr>
            </w:pPr>
            <w:r w:rsidRPr="00BF30D3">
              <w:rPr>
                <w:rFonts w:cs="Calibri"/>
                <w:b/>
              </w:rPr>
              <w:t>$’000</w:t>
            </w:r>
          </w:p>
        </w:tc>
        <w:tc>
          <w:tcPr>
            <w:tcW w:w="823" w:type="pct"/>
            <w:gridSpan w:val="5"/>
            <w:tcBorders>
              <w:top w:val="nil"/>
              <w:left w:val="nil"/>
              <w:bottom w:val="nil"/>
              <w:right w:val="nil"/>
            </w:tcBorders>
          </w:tcPr>
          <w:p w14:paraId="7746DDDB" w14:textId="4D980DF5" w:rsidR="000F62B8" w:rsidRPr="00BF30D3" w:rsidRDefault="000F62B8" w:rsidP="00B13E7F">
            <w:pPr>
              <w:pStyle w:val="TableText"/>
              <w:spacing w:before="0"/>
              <w:jc w:val="right"/>
              <w:rPr>
                <w:rFonts w:cs="Calibri"/>
              </w:rPr>
            </w:pPr>
            <w:r w:rsidRPr="00BF30D3">
              <w:rPr>
                <w:rFonts w:cs="Calibri"/>
                <w:b/>
              </w:rPr>
              <w:t>$’000</w:t>
            </w:r>
          </w:p>
        </w:tc>
      </w:tr>
      <w:tr w:rsidR="00BF30D3" w:rsidRPr="00BF30D3" w14:paraId="3255E986"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7FA5DADE" w14:textId="77777777" w:rsidR="000F62B8" w:rsidRPr="00BF30D3" w:rsidRDefault="000F62B8" w:rsidP="00B13E7F">
            <w:pPr>
              <w:pStyle w:val="TableReference"/>
              <w:tabs>
                <w:tab w:val="left" w:pos="3306"/>
              </w:tabs>
              <w:spacing w:before="40"/>
              <w:rPr>
                <w:rFonts w:cs="Calibri"/>
                <w:color w:val="7030A0"/>
                <w:sz w:val="14"/>
              </w:rPr>
            </w:pPr>
          </w:p>
        </w:tc>
        <w:tc>
          <w:tcPr>
            <w:tcW w:w="2971" w:type="pct"/>
            <w:tcBorders>
              <w:top w:val="nil"/>
              <w:left w:val="single" w:sz="4" w:space="0" w:color="auto"/>
              <w:bottom w:val="nil"/>
              <w:right w:val="nil"/>
            </w:tcBorders>
            <w:vAlign w:val="bottom"/>
          </w:tcPr>
          <w:p w14:paraId="18CA72E2" w14:textId="61250076" w:rsidR="000F62B8" w:rsidRPr="00BF30D3" w:rsidRDefault="000F62B8" w:rsidP="00B13E7F">
            <w:pPr>
              <w:pStyle w:val="TableText"/>
              <w:spacing w:before="0" w:after="120"/>
              <w:rPr>
                <w:rFonts w:cs="Calibri"/>
              </w:rPr>
            </w:pPr>
            <w:r w:rsidRPr="00BF30D3">
              <w:rPr>
                <w:rFonts w:cs="Calibri"/>
                <w:b/>
              </w:rPr>
              <w:t>Investment Properties at Fair Value</w:t>
            </w:r>
          </w:p>
        </w:tc>
        <w:tc>
          <w:tcPr>
            <w:tcW w:w="463" w:type="pct"/>
            <w:gridSpan w:val="3"/>
            <w:tcBorders>
              <w:top w:val="nil"/>
              <w:left w:val="nil"/>
              <w:bottom w:val="nil"/>
              <w:right w:val="nil"/>
            </w:tcBorders>
            <w:vAlign w:val="bottom"/>
          </w:tcPr>
          <w:p w14:paraId="60A2A393" w14:textId="77777777" w:rsidR="000F62B8" w:rsidRPr="00BF30D3" w:rsidRDefault="000F62B8" w:rsidP="00B13E7F">
            <w:pPr>
              <w:pStyle w:val="TableText"/>
              <w:spacing w:before="0" w:after="120"/>
              <w:rPr>
                <w:rFonts w:cs="Calibri"/>
              </w:rPr>
            </w:pPr>
          </w:p>
        </w:tc>
        <w:tc>
          <w:tcPr>
            <w:tcW w:w="823" w:type="pct"/>
            <w:gridSpan w:val="5"/>
            <w:tcBorders>
              <w:top w:val="nil"/>
              <w:left w:val="nil"/>
              <w:bottom w:val="nil"/>
              <w:right w:val="nil"/>
            </w:tcBorders>
            <w:vAlign w:val="bottom"/>
          </w:tcPr>
          <w:p w14:paraId="32FD1686" w14:textId="77777777" w:rsidR="000F62B8" w:rsidRPr="00BF30D3" w:rsidRDefault="000F62B8" w:rsidP="00B13E7F">
            <w:pPr>
              <w:pStyle w:val="TableText"/>
              <w:spacing w:before="0" w:after="120"/>
              <w:rPr>
                <w:rFonts w:cs="Calibri"/>
              </w:rPr>
            </w:pPr>
          </w:p>
        </w:tc>
      </w:tr>
      <w:tr w:rsidR="00BF30D3" w:rsidRPr="00BF30D3" w14:paraId="7F0501D2"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4C71D069" w14:textId="4FF03F91" w:rsidR="000F62B8" w:rsidRPr="00BF30D3" w:rsidRDefault="000F62B8" w:rsidP="00B13E7F">
            <w:pPr>
              <w:pStyle w:val="TableReference"/>
              <w:spacing w:after="40"/>
              <w:rPr>
                <w:rFonts w:cs="Calibri"/>
                <w:color w:val="7030A0"/>
                <w:sz w:val="14"/>
              </w:rPr>
            </w:pPr>
            <w:r w:rsidRPr="00BF30D3">
              <w:rPr>
                <w:rFonts w:cs="Calibri"/>
                <w:color w:val="7030A0"/>
                <w:sz w:val="14"/>
              </w:rPr>
              <w:t>AASB 13.93(a)(b)</w:t>
            </w:r>
          </w:p>
        </w:tc>
        <w:tc>
          <w:tcPr>
            <w:tcW w:w="2971" w:type="pct"/>
            <w:tcBorders>
              <w:top w:val="nil"/>
              <w:left w:val="single" w:sz="4" w:space="0" w:color="auto"/>
              <w:bottom w:val="nil"/>
              <w:right w:val="nil"/>
            </w:tcBorders>
            <w:vAlign w:val="center"/>
          </w:tcPr>
          <w:p w14:paraId="455528AE" w14:textId="3C8C4C2F" w:rsidR="000F62B8" w:rsidRPr="00BF30D3" w:rsidRDefault="000F62B8" w:rsidP="00B13E7F">
            <w:pPr>
              <w:pStyle w:val="TableText"/>
              <w:spacing w:before="0" w:after="40"/>
              <w:rPr>
                <w:rFonts w:cs="Calibri"/>
              </w:rPr>
            </w:pPr>
            <w:r w:rsidRPr="00BF30D3">
              <w:rPr>
                <w:rFonts w:cs="Calibri"/>
              </w:rPr>
              <w:t>Land</w:t>
            </w:r>
          </w:p>
        </w:tc>
        <w:tc>
          <w:tcPr>
            <w:tcW w:w="463" w:type="pct"/>
            <w:gridSpan w:val="3"/>
            <w:tcBorders>
              <w:top w:val="nil"/>
              <w:left w:val="nil"/>
              <w:bottom w:val="nil"/>
              <w:right w:val="nil"/>
            </w:tcBorders>
            <w:vAlign w:val="bottom"/>
          </w:tcPr>
          <w:p w14:paraId="67A54FCC" w14:textId="77777777" w:rsidR="000F62B8" w:rsidRPr="00BF30D3" w:rsidRDefault="000F62B8" w:rsidP="00B13E7F">
            <w:pPr>
              <w:pStyle w:val="TableText"/>
              <w:spacing w:before="0" w:after="40"/>
              <w:rPr>
                <w:rFonts w:cs="Calibri"/>
              </w:rPr>
            </w:pPr>
          </w:p>
        </w:tc>
        <w:tc>
          <w:tcPr>
            <w:tcW w:w="823" w:type="pct"/>
            <w:gridSpan w:val="5"/>
            <w:tcBorders>
              <w:top w:val="nil"/>
              <w:left w:val="nil"/>
              <w:bottom w:val="nil"/>
              <w:right w:val="nil"/>
            </w:tcBorders>
            <w:vAlign w:val="bottom"/>
          </w:tcPr>
          <w:p w14:paraId="4941DE96" w14:textId="77777777" w:rsidR="000F62B8" w:rsidRPr="00BF30D3" w:rsidRDefault="000F62B8" w:rsidP="00B13E7F">
            <w:pPr>
              <w:pStyle w:val="TableText"/>
              <w:spacing w:before="0" w:after="40"/>
              <w:rPr>
                <w:rFonts w:cs="Calibri"/>
              </w:rPr>
            </w:pPr>
          </w:p>
        </w:tc>
      </w:tr>
      <w:tr w:rsidR="00BF30D3" w:rsidRPr="00BF30D3" w14:paraId="7190CAD5"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5DFF1D18" w14:textId="6D538D6C" w:rsidR="000F62B8" w:rsidRPr="00BF30D3" w:rsidRDefault="000F62B8" w:rsidP="00B13E7F">
            <w:pPr>
              <w:pStyle w:val="TableReference"/>
              <w:tabs>
                <w:tab w:val="left" w:pos="3306"/>
              </w:tabs>
              <w:spacing w:after="40"/>
              <w:rPr>
                <w:rFonts w:cs="Calibri"/>
                <w:color w:val="7030A0"/>
                <w:sz w:val="14"/>
              </w:rPr>
            </w:pPr>
            <w:r w:rsidRPr="00BF30D3">
              <w:rPr>
                <w:rFonts w:cs="Calibri"/>
                <w:color w:val="7030A0"/>
                <w:sz w:val="14"/>
              </w:rPr>
              <w:t>AASB13.94</w:t>
            </w:r>
          </w:p>
        </w:tc>
        <w:tc>
          <w:tcPr>
            <w:tcW w:w="2971" w:type="pct"/>
            <w:tcBorders>
              <w:top w:val="nil"/>
              <w:left w:val="single" w:sz="4" w:space="0" w:color="auto"/>
              <w:bottom w:val="nil"/>
              <w:right w:val="nil"/>
            </w:tcBorders>
            <w:vAlign w:val="center"/>
          </w:tcPr>
          <w:p w14:paraId="1F0BFE68" w14:textId="39656D15" w:rsidR="000F62B8" w:rsidRPr="00BF30D3" w:rsidRDefault="000F62B8" w:rsidP="00B13E7F">
            <w:pPr>
              <w:pStyle w:val="TableText"/>
              <w:spacing w:before="0" w:after="40"/>
              <w:rPr>
                <w:rFonts w:cs="Calibri"/>
              </w:rPr>
            </w:pPr>
            <w:r w:rsidRPr="00BF30D3">
              <w:rPr>
                <w:rFonts w:cs="Calibri"/>
              </w:rPr>
              <w:t>Buildings</w:t>
            </w:r>
          </w:p>
        </w:tc>
        <w:tc>
          <w:tcPr>
            <w:tcW w:w="463" w:type="pct"/>
            <w:gridSpan w:val="3"/>
            <w:tcBorders>
              <w:top w:val="nil"/>
              <w:left w:val="nil"/>
              <w:bottom w:val="single" w:sz="2" w:space="0" w:color="auto"/>
              <w:right w:val="nil"/>
            </w:tcBorders>
            <w:vAlign w:val="bottom"/>
          </w:tcPr>
          <w:p w14:paraId="681A5AFF" w14:textId="77777777" w:rsidR="000F62B8" w:rsidRPr="00BF30D3" w:rsidRDefault="000F62B8" w:rsidP="00B13E7F">
            <w:pPr>
              <w:pStyle w:val="TableText"/>
              <w:spacing w:before="0" w:after="40"/>
              <w:rPr>
                <w:rFonts w:cs="Calibri"/>
              </w:rPr>
            </w:pPr>
          </w:p>
        </w:tc>
        <w:tc>
          <w:tcPr>
            <w:tcW w:w="823" w:type="pct"/>
            <w:gridSpan w:val="5"/>
            <w:tcBorders>
              <w:top w:val="nil"/>
              <w:left w:val="nil"/>
              <w:bottom w:val="single" w:sz="2" w:space="0" w:color="auto"/>
              <w:right w:val="nil"/>
            </w:tcBorders>
            <w:vAlign w:val="bottom"/>
          </w:tcPr>
          <w:p w14:paraId="68932F77" w14:textId="77777777" w:rsidR="000F62B8" w:rsidRPr="00BF30D3" w:rsidRDefault="000F62B8" w:rsidP="00B13E7F">
            <w:pPr>
              <w:pStyle w:val="TableText"/>
              <w:spacing w:before="0" w:after="40"/>
              <w:rPr>
                <w:rFonts w:cs="Calibri"/>
              </w:rPr>
            </w:pPr>
          </w:p>
        </w:tc>
      </w:tr>
      <w:tr w:rsidR="00BF30D3" w:rsidRPr="00BF30D3" w14:paraId="4D22FC16"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5AC24F14" w14:textId="77777777" w:rsidR="000F62B8" w:rsidRPr="00BF30D3" w:rsidRDefault="000F62B8" w:rsidP="001B2A8C">
            <w:pPr>
              <w:pStyle w:val="TableReference"/>
              <w:tabs>
                <w:tab w:val="left" w:pos="3306"/>
              </w:tabs>
              <w:rPr>
                <w:rFonts w:cs="Calibri"/>
                <w:color w:val="7030A0"/>
                <w:sz w:val="14"/>
              </w:rPr>
            </w:pPr>
          </w:p>
        </w:tc>
        <w:tc>
          <w:tcPr>
            <w:tcW w:w="2971" w:type="pct"/>
            <w:tcBorders>
              <w:top w:val="nil"/>
              <w:left w:val="single" w:sz="4" w:space="0" w:color="auto"/>
              <w:bottom w:val="nil"/>
              <w:right w:val="nil"/>
            </w:tcBorders>
            <w:vAlign w:val="bottom"/>
          </w:tcPr>
          <w:p w14:paraId="6B609C49" w14:textId="77777777" w:rsidR="000F62B8" w:rsidRPr="00BF30D3" w:rsidRDefault="000F62B8" w:rsidP="001B2A8C">
            <w:pPr>
              <w:pStyle w:val="TableText"/>
              <w:spacing w:before="0"/>
              <w:rPr>
                <w:rFonts w:cs="Calibri"/>
              </w:rPr>
            </w:pPr>
          </w:p>
        </w:tc>
        <w:tc>
          <w:tcPr>
            <w:tcW w:w="463" w:type="pct"/>
            <w:gridSpan w:val="3"/>
            <w:tcBorders>
              <w:top w:val="single" w:sz="2" w:space="0" w:color="auto"/>
              <w:left w:val="nil"/>
              <w:bottom w:val="double" w:sz="4" w:space="0" w:color="auto"/>
              <w:right w:val="nil"/>
            </w:tcBorders>
            <w:vAlign w:val="bottom"/>
          </w:tcPr>
          <w:p w14:paraId="06A0D59C" w14:textId="77777777" w:rsidR="000F62B8" w:rsidRPr="00BF30D3" w:rsidRDefault="000F62B8" w:rsidP="001B2A8C">
            <w:pPr>
              <w:pStyle w:val="TableText"/>
              <w:spacing w:before="0"/>
              <w:rPr>
                <w:rFonts w:cs="Calibri"/>
              </w:rPr>
            </w:pPr>
          </w:p>
        </w:tc>
        <w:tc>
          <w:tcPr>
            <w:tcW w:w="823" w:type="pct"/>
            <w:gridSpan w:val="5"/>
            <w:tcBorders>
              <w:top w:val="single" w:sz="2" w:space="0" w:color="auto"/>
              <w:left w:val="nil"/>
              <w:bottom w:val="double" w:sz="4" w:space="0" w:color="auto"/>
              <w:right w:val="nil"/>
            </w:tcBorders>
            <w:vAlign w:val="bottom"/>
          </w:tcPr>
          <w:p w14:paraId="2FAAF919" w14:textId="77777777" w:rsidR="000F62B8" w:rsidRPr="00BF30D3" w:rsidRDefault="000F62B8" w:rsidP="001B2A8C">
            <w:pPr>
              <w:pStyle w:val="TableText"/>
              <w:spacing w:before="0"/>
              <w:rPr>
                <w:rFonts w:cs="Calibri"/>
              </w:rPr>
            </w:pPr>
          </w:p>
        </w:tc>
      </w:tr>
      <w:tr w:rsidR="00F15CC8" w:rsidRPr="00BF30D3" w14:paraId="2C29870A"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C95F198" w14:textId="77777777" w:rsidR="00F15CC8" w:rsidRPr="00BF30D3" w:rsidRDefault="00F15CC8" w:rsidP="00B13E7F">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vAlign w:val="bottom"/>
          </w:tcPr>
          <w:p w14:paraId="30A1042A" w14:textId="77777777" w:rsidR="00F15CC8" w:rsidRPr="00BF30D3" w:rsidRDefault="00F15CC8" w:rsidP="00B13E7F">
            <w:pPr>
              <w:pStyle w:val="TableText"/>
              <w:spacing w:before="0" w:after="120"/>
              <w:rPr>
                <w:rFonts w:cs="Calibri"/>
              </w:rPr>
            </w:pPr>
          </w:p>
        </w:tc>
      </w:tr>
      <w:tr w:rsidR="00F15CC8" w:rsidRPr="00980416" w14:paraId="7889621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22DC72F" w14:textId="77777777" w:rsidR="00F15CC8" w:rsidRPr="00BF30D3" w:rsidRDefault="00F15CC8" w:rsidP="00B13E7F">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vAlign w:val="bottom"/>
          </w:tcPr>
          <w:p w14:paraId="0DE07F89" w14:textId="34C842D8" w:rsidR="00F15CC8" w:rsidRPr="00BF30D3" w:rsidRDefault="00F15CC8" w:rsidP="00B13E7F">
            <w:pPr>
              <w:pStyle w:val="TableText"/>
              <w:spacing w:before="0" w:after="120"/>
              <w:rPr>
                <w:rFonts w:cs="Calibri"/>
              </w:rPr>
            </w:pPr>
            <w:r w:rsidRPr="00BF30D3">
              <w:rPr>
                <w:rFonts w:cs="Calibri"/>
                <w:b/>
                <w:bCs/>
              </w:rPr>
              <w:t>Transfers Between Categories</w:t>
            </w:r>
          </w:p>
        </w:tc>
      </w:tr>
      <w:tr w:rsidR="00BF30D3" w:rsidRPr="00BF30D3" w14:paraId="50DF635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FC72A71" w14:textId="77777777" w:rsidR="00B13E7F" w:rsidRPr="00BF30D3" w:rsidRDefault="00B13E7F" w:rsidP="00B13E7F">
            <w:pPr>
              <w:pStyle w:val="TableReference"/>
              <w:rPr>
                <w:rFonts w:cs="Calibri"/>
                <w:color w:val="7030A0"/>
                <w:sz w:val="14"/>
              </w:rPr>
            </w:pPr>
          </w:p>
        </w:tc>
        <w:tc>
          <w:tcPr>
            <w:tcW w:w="4257" w:type="pct"/>
            <w:gridSpan w:val="9"/>
            <w:tcBorders>
              <w:top w:val="nil"/>
              <w:left w:val="single" w:sz="4" w:space="0" w:color="auto"/>
              <w:bottom w:val="nil"/>
              <w:right w:val="nil"/>
            </w:tcBorders>
          </w:tcPr>
          <w:p w14:paraId="56B3F589" w14:textId="608C960E" w:rsidR="00B13E7F" w:rsidRPr="00BF30D3" w:rsidRDefault="001B2A8C" w:rsidP="001B2A8C">
            <w:pPr>
              <w:rPr>
                <w:b/>
                <w:sz w:val="18"/>
                <w:szCs w:val="18"/>
              </w:rPr>
            </w:pPr>
            <w:r w:rsidRPr="00BF30D3">
              <w:rPr>
                <w:rFonts w:cs="Calibri"/>
                <w:sz w:val="18"/>
                <w:szCs w:val="18"/>
              </w:rPr>
              <w:t>There have been no transfers between Levels 1, 2 and 3 during the current and previous reporting period.</w:t>
            </w:r>
          </w:p>
        </w:tc>
      </w:tr>
      <w:tr w:rsidR="00BF30D3" w:rsidRPr="00BF30D3" w14:paraId="1C7D6863"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389E107" w14:textId="77777777" w:rsidR="00B13E7F" w:rsidRPr="009E6A89" w:rsidRDefault="00B13E7F" w:rsidP="00B13E7F">
            <w:pPr>
              <w:pStyle w:val="TableReference"/>
              <w:rPr>
                <w:rFonts w:cs="Calibri"/>
                <w:color w:val="auto"/>
                <w:sz w:val="14"/>
              </w:rPr>
            </w:pPr>
          </w:p>
        </w:tc>
        <w:tc>
          <w:tcPr>
            <w:tcW w:w="4257" w:type="pct"/>
            <w:gridSpan w:val="9"/>
            <w:tcBorders>
              <w:top w:val="nil"/>
              <w:left w:val="single" w:sz="4" w:space="0" w:color="auto"/>
              <w:bottom w:val="nil"/>
              <w:right w:val="nil"/>
            </w:tcBorders>
            <w:vAlign w:val="bottom"/>
          </w:tcPr>
          <w:p w14:paraId="4B8A8782" w14:textId="77777777" w:rsidR="00B13E7F" w:rsidRPr="00BF30D3" w:rsidRDefault="00B13E7F" w:rsidP="00B13E7F">
            <w:pPr>
              <w:jc w:val="center"/>
              <w:rPr>
                <w:b/>
                <w:sz w:val="18"/>
                <w:szCs w:val="18"/>
              </w:rPr>
            </w:pPr>
          </w:p>
        </w:tc>
      </w:tr>
      <w:tr w:rsidR="000F62B8" w:rsidRPr="00EA2AC3" w14:paraId="378545BD"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D246B30" w14:textId="77777777" w:rsidR="000F62B8" w:rsidRPr="00BF30D3" w:rsidRDefault="000F62B8" w:rsidP="000F62B8">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0930FDCD" w14:textId="77777777" w:rsidR="000F62B8" w:rsidRPr="00BF30D3" w:rsidRDefault="000F62B8" w:rsidP="000F62B8">
            <w:pPr>
              <w:pStyle w:val="TableText"/>
              <w:spacing w:before="0" w:after="40"/>
              <w:rPr>
                <w:rFonts w:cs="Calibri"/>
                <w:b/>
              </w:rPr>
            </w:pPr>
            <w:r w:rsidRPr="00BF30D3">
              <w:rPr>
                <w:rFonts w:cs="Calibri"/>
                <w:b/>
              </w:rPr>
              <w:t>Level 2 Valuation Inputs</w:t>
            </w:r>
          </w:p>
        </w:tc>
      </w:tr>
      <w:tr w:rsidR="000F62B8" w:rsidRPr="00EA2AC3" w14:paraId="60EB232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ED13A35" w14:textId="77777777"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7" w:type="pct"/>
            <w:gridSpan w:val="9"/>
            <w:tcBorders>
              <w:top w:val="nil"/>
              <w:left w:val="single" w:sz="4" w:space="0" w:color="auto"/>
              <w:bottom w:val="nil"/>
              <w:right w:val="nil"/>
            </w:tcBorders>
          </w:tcPr>
          <w:p w14:paraId="0BB2AEDE" w14:textId="595AECF9" w:rsidR="000F62B8" w:rsidRPr="00BF30D3" w:rsidRDefault="000F62B8" w:rsidP="000F62B8">
            <w:pPr>
              <w:pStyle w:val="TableText"/>
              <w:spacing w:before="0" w:after="40"/>
              <w:jc w:val="both"/>
              <w:rPr>
                <w:rFonts w:cs="Calibri"/>
              </w:rPr>
            </w:pPr>
            <w:r w:rsidRPr="00BF30D3">
              <w:rPr>
                <w:rFonts w:cs="Calibri"/>
              </w:rPr>
              <w:t>Valuation Technique: The valuation technique used to value land and buildings is the market approach that reflects recent transaction prices for similar properties.</w:t>
            </w:r>
            <w:r w:rsidR="00FA7C77">
              <w:rPr>
                <w:rFonts w:cs="Calibri"/>
              </w:rPr>
              <w:t xml:space="preserve"> </w:t>
            </w:r>
          </w:p>
        </w:tc>
      </w:tr>
      <w:tr w:rsidR="000F62B8" w:rsidRPr="00EA2AC3" w14:paraId="19A864A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7B1A62E" w14:textId="77777777"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7" w:type="pct"/>
            <w:gridSpan w:val="9"/>
            <w:tcBorders>
              <w:top w:val="nil"/>
              <w:left w:val="single" w:sz="4" w:space="0" w:color="auto"/>
              <w:bottom w:val="nil"/>
              <w:right w:val="nil"/>
            </w:tcBorders>
          </w:tcPr>
          <w:p w14:paraId="3540FFF7" w14:textId="77777777" w:rsidR="000F62B8" w:rsidRPr="00BF30D3" w:rsidRDefault="000F62B8" w:rsidP="000F62B8">
            <w:pPr>
              <w:pStyle w:val="TableText"/>
              <w:spacing w:before="0" w:after="120"/>
              <w:jc w:val="both"/>
            </w:pPr>
            <w:r w:rsidRPr="00BF30D3">
              <w:rPr>
                <w:rFonts w:cs="Calibri"/>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0F62B8" w:rsidRPr="00EA2AC3" w14:paraId="1F014818"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C969CCB" w14:textId="77777777" w:rsidR="000F62B8" w:rsidRPr="00BF30D3" w:rsidRDefault="000F62B8" w:rsidP="000F62B8">
            <w:pPr>
              <w:pStyle w:val="TableReference"/>
              <w:tabs>
                <w:tab w:val="left" w:pos="3306"/>
              </w:tabs>
              <w:spacing w:before="40"/>
              <w:rPr>
                <w:rFonts w:cs="Calibri"/>
                <w:color w:val="7030A0"/>
                <w:sz w:val="14"/>
              </w:rPr>
            </w:pPr>
          </w:p>
        </w:tc>
        <w:tc>
          <w:tcPr>
            <w:tcW w:w="4257" w:type="pct"/>
            <w:gridSpan w:val="9"/>
            <w:tcBorders>
              <w:top w:val="nil"/>
              <w:left w:val="single" w:sz="4" w:space="0" w:color="auto"/>
              <w:bottom w:val="nil"/>
              <w:right w:val="nil"/>
            </w:tcBorders>
          </w:tcPr>
          <w:p w14:paraId="4909FB7A" w14:textId="4228E84C" w:rsidR="000F62B8" w:rsidRPr="00BF30D3" w:rsidRDefault="000F62B8" w:rsidP="000F62B8">
            <w:pPr>
              <w:pStyle w:val="TableText"/>
              <w:spacing w:before="0" w:after="40"/>
              <w:jc w:val="both"/>
              <w:rPr>
                <w:rFonts w:cs="Calibri"/>
                <w:b/>
                <w:bCs/>
              </w:rPr>
            </w:pPr>
            <w:r w:rsidRPr="00BF30D3">
              <w:rPr>
                <w:b/>
                <w:bCs/>
              </w:rPr>
              <w:t>Maturity Analysis</w:t>
            </w:r>
          </w:p>
        </w:tc>
      </w:tr>
      <w:tr w:rsidR="000F62B8" w:rsidRPr="00EA2AC3" w14:paraId="0D27A7FC"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4586F64" w14:textId="68FC7830"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16.97</w:t>
            </w:r>
          </w:p>
        </w:tc>
        <w:tc>
          <w:tcPr>
            <w:tcW w:w="4257" w:type="pct"/>
            <w:gridSpan w:val="9"/>
            <w:tcBorders>
              <w:top w:val="nil"/>
              <w:left w:val="single" w:sz="4" w:space="0" w:color="auto"/>
              <w:bottom w:val="nil"/>
              <w:right w:val="nil"/>
            </w:tcBorders>
          </w:tcPr>
          <w:p w14:paraId="7FB63BF8" w14:textId="1B0D6548" w:rsidR="000F62B8" w:rsidRPr="00BF30D3" w:rsidRDefault="000F62B8" w:rsidP="000F62B8">
            <w:pPr>
              <w:pStyle w:val="TableText"/>
              <w:spacing w:before="0" w:after="120"/>
              <w:jc w:val="both"/>
              <w:rPr>
                <w:rFonts w:cs="Calibri"/>
              </w:rPr>
            </w:pPr>
            <w:r w:rsidRPr="00BF30D3">
              <w:t>Maturity analysis of the undiscounted lease payments to be received after reporting date for operating leases:</w:t>
            </w:r>
          </w:p>
        </w:tc>
      </w:tr>
      <w:tr w:rsidR="000F62B8" w:rsidRPr="00EA2AC3" w14:paraId="3AFBFD16"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53A74A17"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53D22640" w14:textId="77777777" w:rsidR="000F62B8" w:rsidRPr="00BF30D3" w:rsidRDefault="000F62B8" w:rsidP="000F62B8">
            <w:pPr>
              <w:pStyle w:val="TableText"/>
              <w:spacing w:before="0"/>
              <w:jc w:val="both"/>
              <w:rPr>
                <w:rFonts w:cstheme="minorHAnsi"/>
              </w:rPr>
            </w:pPr>
          </w:p>
        </w:tc>
        <w:tc>
          <w:tcPr>
            <w:tcW w:w="664" w:type="pct"/>
            <w:gridSpan w:val="4"/>
            <w:tcBorders>
              <w:top w:val="nil"/>
              <w:left w:val="nil"/>
              <w:bottom w:val="nil"/>
              <w:right w:val="nil"/>
            </w:tcBorders>
            <w:vAlign w:val="center"/>
          </w:tcPr>
          <w:p w14:paraId="4012538B" w14:textId="699E28E3" w:rsidR="000F62B8" w:rsidRPr="00BF30D3" w:rsidRDefault="000F62B8" w:rsidP="000F62B8">
            <w:pPr>
              <w:pStyle w:val="TableTitle"/>
              <w:tabs>
                <w:tab w:val="left" w:pos="3306"/>
              </w:tabs>
              <w:rPr>
                <w:rFonts w:cs="Calibri"/>
              </w:rPr>
            </w:pPr>
            <w:r w:rsidRPr="00BF30D3">
              <w:rPr>
                <w:rFonts w:cs="Calibri"/>
              </w:rPr>
              <w:t>202</w:t>
            </w:r>
            <w:r w:rsidR="0057550F">
              <w:rPr>
                <w:rFonts w:cs="Calibri"/>
              </w:rPr>
              <w:t>3</w:t>
            </w:r>
          </w:p>
        </w:tc>
        <w:tc>
          <w:tcPr>
            <w:tcW w:w="622" w:type="pct"/>
            <w:gridSpan w:val="4"/>
            <w:tcBorders>
              <w:top w:val="nil"/>
              <w:left w:val="nil"/>
              <w:bottom w:val="nil"/>
              <w:right w:val="nil"/>
            </w:tcBorders>
            <w:vAlign w:val="center"/>
          </w:tcPr>
          <w:p w14:paraId="1A1BE3B9" w14:textId="79C584A0" w:rsidR="000F62B8" w:rsidRPr="00BF30D3" w:rsidRDefault="000F62B8" w:rsidP="000F62B8">
            <w:pPr>
              <w:pStyle w:val="TableTitle"/>
              <w:tabs>
                <w:tab w:val="left" w:pos="3306"/>
              </w:tabs>
              <w:rPr>
                <w:rFonts w:cs="Calibri"/>
              </w:rPr>
            </w:pPr>
            <w:r w:rsidRPr="00BF30D3">
              <w:rPr>
                <w:rFonts w:cs="Calibri"/>
              </w:rPr>
              <w:t>202</w:t>
            </w:r>
            <w:r w:rsidR="0057550F">
              <w:rPr>
                <w:rFonts w:cs="Calibri"/>
              </w:rPr>
              <w:t>2</w:t>
            </w:r>
          </w:p>
        </w:tc>
      </w:tr>
      <w:tr w:rsidR="000F62B8" w:rsidRPr="00EA2AC3" w14:paraId="7BF8A297"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1D81F1E1"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1D29063A" w14:textId="77777777" w:rsidR="000F62B8" w:rsidRPr="00BF30D3" w:rsidRDefault="000F62B8" w:rsidP="000F62B8">
            <w:pPr>
              <w:pStyle w:val="TableText"/>
              <w:spacing w:before="0"/>
              <w:jc w:val="both"/>
              <w:rPr>
                <w:rFonts w:cstheme="minorHAnsi"/>
              </w:rPr>
            </w:pPr>
          </w:p>
        </w:tc>
        <w:tc>
          <w:tcPr>
            <w:tcW w:w="664" w:type="pct"/>
            <w:gridSpan w:val="4"/>
            <w:tcBorders>
              <w:top w:val="nil"/>
              <w:left w:val="nil"/>
              <w:bottom w:val="nil"/>
              <w:right w:val="nil"/>
            </w:tcBorders>
          </w:tcPr>
          <w:p w14:paraId="49E0AF78" w14:textId="27CF5DF8" w:rsidR="000F62B8" w:rsidRPr="00BF30D3" w:rsidRDefault="000F62B8" w:rsidP="000F62B8">
            <w:pPr>
              <w:pStyle w:val="TableText"/>
              <w:spacing w:before="0"/>
              <w:jc w:val="right"/>
              <w:rPr>
                <w:rFonts w:cs="Calibri"/>
              </w:rPr>
            </w:pPr>
            <w:r w:rsidRPr="00BF30D3">
              <w:rPr>
                <w:b/>
              </w:rPr>
              <w:t>$’000</w:t>
            </w:r>
          </w:p>
        </w:tc>
        <w:tc>
          <w:tcPr>
            <w:tcW w:w="622" w:type="pct"/>
            <w:gridSpan w:val="4"/>
            <w:tcBorders>
              <w:top w:val="nil"/>
              <w:left w:val="nil"/>
              <w:bottom w:val="nil"/>
              <w:right w:val="nil"/>
            </w:tcBorders>
          </w:tcPr>
          <w:p w14:paraId="4BB8649C" w14:textId="05F5E313" w:rsidR="000F62B8" w:rsidRPr="00BF30D3" w:rsidRDefault="000F62B8" w:rsidP="000F62B8">
            <w:pPr>
              <w:pStyle w:val="TableText"/>
              <w:spacing w:before="0"/>
              <w:jc w:val="right"/>
              <w:rPr>
                <w:rFonts w:cs="Calibri"/>
              </w:rPr>
            </w:pPr>
            <w:r w:rsidRPr="00BF30D3">
              <w:rPr>
                <w:b/>
              </w:rPr>
              <w:t>$’000</w:t>
            </w:r>
          </w:p>
        </w:tc>
      </w:tr>
      <w:tr w:rsidR="000F62B8" w:rsidRPr="00EA2AC3" w14:paraId="42979669"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76E31BD3"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0C91734E" w14:textId="481F4DAF" w:rsidR="000F62B8" w:rsidRPr="00BF30D3" w:rsidRDefault="000F62B8" w:rsidP="000F62B8">
            <w:pPr>
              <w:pStyle w:val="TableText"/>
              <w:spacing w:before="0" w:after="40"/>
              <w:jc w:val="both"/>
              <w:rPr>
                <w:rFonts w:cs="Calibri"/>
              </w:rPr>
            </w:pPr>
            <w:r w:rsidRPr="00BF30D3">
              <w:rPr>
                <w:rFonts w:cstheme="minorHAnsi"/>
              </w:rPr>
              <w:t>&lt; 1 year</w:t>
            </w:r>
          </w:p>
        </w:tc>
        <w:tc>
          <w:tcPr>
            <w:tcW w:w="664" w:type="pct"/>
            <w:gridSpan w:val="4"/>
            <w:tcBorders>
              <w:top w:val="nil"/>
              <w:left w:val="nil"/>
              <w:bottom w:val="nil"/>
              <w:right w:val="nil"/>
            </w:tcBorders>
          </w:tcPr>
          <w:p w14:paraId="43011E39"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01AF713B" w14:textId="246D34DB" w:rsidR="000F62B8" w:rsidRPr="00BF30D3" w:rsidRDefault="000F62B8" w:rsidP="000F62B8">
            <w:pPr>
              <w:pStyle w:val="TableText"/>
              <w:spacing w:before="0"/>
              <w:jc w:val="both"/>
              <w:rPr>
                <w:rFonts w:cs="Calibri"/>
              </w:rPr>
            </w:pPr>
          </w:p>
        </w:tc>
      </w:tr>
      <w:tr w:rsidR="000F62B8" w:rsidRPr="00EA2AC3" w14:paraId="79F93D4E" w14:textId="77777777" w:rsidTr="0057550F">
        <w:tblPrEx>
          <w:jc w:val="right"/>
        </w:tblPrEx>
        <w:trPr>
          <w:cantSplit/>
          <w:trHeight w:val="186"/>
          <w:jc w:val="right"/>
        </w:trPr>
        <w:tc>
          <w:tcPr>
            <w:tcW w:w="743" w:type="pct"/>
            <w:tcBorders>
              <w:top w:val="nil"/>
              <w:left w:val="single" w:sz="4" w:space="0" w:color="auto"/>
              <w:bottom w:val="nil"/>
              <w:right w:val="single" w:sz="4" w:space="0" w:color="auto"/>
            </w:tcBorders>
          </w:tcPr>
          <w:p w14:paraId="61019E4D"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1622E431" w14:textId="5C0625ED" w:rsidR="000F62B8" w:rsidRPr="00BF30D3" w:rsidRDefault="000F62B8" w:rsidP="000F62B8">
            <w:pPr>
              <w:pStyle w:val="TableText"/>
              <w:spacing w:before="0" w:after="40"/>
              <w:jc w:val="both"/>
              <w:rPr>
                <w:rFonts w:cs="Calibri"/>
              </w:rPr>
            </w:pPr>
            <w:r w:rsidRPr="00BF30D3">
              <w:rPr>
                <w:rFonts w:cstheme="minorHAnsi"/>
              </w:rPr>
              <w:t>Between 1 – 2 years</w:t>
            </w:r>
          </w:p>
        </w:tc>
        <w:tc>
          <w:tcPr>
            <w:tcW w:w="664" w:type="pct"/>
            <w:gridSpan w:val="4"/>
            <w:tcBorders>
              <w:top w:val="nil"/>
              <w:left w:val="nil"/>
              <w:bottom w:val="nil"/>
              <w:right w:val="nil"/>
            </w:tcBorders>
          </w:tcPr>
          <w:p w14:paraId="5398E02D"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2ADCF6EA" w14:textId="77777777" w:rsidR="000F62B8" w:rsidRPr="00BF30D3" w:rsidRDefault="000F62B8" w:rsidP="000F62B8">
            <w:pPr>
              <w:pStyle w:val="TableText"/>
              <w:spacing w:before="0"/>
              <w:jc w:val="both"/>
              <w:rPr>
                <w:rFonts w:cs="Calibri"/>
              </w:rPr>
            </w:pPr>
          </w:p>
        </w:tc>
      </w:tr>
      <w:tr w:rsidR="000F62B8" w:rsidRPr="00EA2AC3" w14:paraId="48102A83"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56E6E1F1"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7276C386" w14:textId="7BA5B9CC" w:rsidR="000F62B8" w:rsidRPr="00BF30D3" w:rsidRDefault="000F62B8" w:rsidP="000F62B8">
            <w:pPr>
              <w:pStyle w:val="TableText"/>
              <w:spacing w:before="0" w:after="40"/>
              <w:jc w:val="both"/>
              <w:rPr>
                <w:rFonts w:cs="Calibri"/>
              </w:rPr>
            </w:pPr>
            <w:r w:rsidRPr="00BF30D3">
              <w:rPr>
                <w:rFonts w:cstheme="minorHAnsi"/>
              </w:rPr>
              <w:t>Between 2 – 3 years</w:t>
            </w:r>
          </w:p>
        </w:tc>
        <w:tc>
          <w:tcPr>
            <w:tcW w:w="664" w:type="pct"/>
            <w:gridSpan w:val="4"/>
            <w:tcBorders>
              <w:top w:val="nil"/>
              <w:left w:val="nil"/>
              <w:bottom w:val="nil"/>
              <w:right w:val="nil"/>
            </w:tcBorders>
          </w:tcPr>
          <w:p w14:paraId="5137D7E0"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6661914D" w14:textId="77777777" w:rsidR="000F62B8" w:rsidRPr="00BF30D3" w:rsidRDefault="000F62B8" w:rsidP="000F62B8">
            <w:pPr>
              <w:pStyle w:val="TableText"/>
              <w:spacing w:before="0"/>
              <w:jc w:val="both"/>
              <w:rPr>
                <w:rFonts w:cs="Calibri"/>
              </w:rPr>
            </w:pPr>
          </w:p>
        </w:tc>
      </w:tr>
      <w:tr w:rsidR="000F62B8" w:rsidRPr="00EA2AC3" w14:paraId="1861014F"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1EF7EA7B"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27EB218A" w14:textId="693E3C04" w:rsidR="000F62B8" w:rsidRPr="00BF30D3" w:rsidRDefault="000F62B8" w:rsidP="000F62B8">
            <w:pPr>
              <w:pStyle w:val="TableText"/>
              <w:spacing w:before="0" w:after="40"/>
              <w:jc w:val="both"/>
              <w:rPr>
                <w:rFonts w:cs="Calibri"/>
              </w:rPr>
            </w:pPr>
            <w:r w:rsidRPr="00BF30D3">
              <w:rPr>
                <w:rFonts w:cstheme="minorHAnsi"/>
              </w:rPr>
              <w:t>Between 3 – 4 years</w:t>
            </w:r>
          </w:p>
        </w:tc>
        <w:tc>
          <w:tcPr>
            <w:tcW w:w="664" w:type="pct"/>
            <w:gridSpan w:val="4"/>
            <w:tcBorders>
              <w:top w:val="nil"/>
              <w:left w:val="nil"/>
              <w:bottom w:val="nil"/>
              <w:right w:val="nil"/>
            </w:tcBorders>
          </w:tcPr>
          <w:p w14:paraId="02726F19"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7B1CBBE4" w14:textId="77777777" w:rsidR="000F62B8" w:rsidRPr="00BF30D3" w:rsidRDefault="000F62B8" w:rsidP="000F62B8">
            <w:pPr>
              <w:pStyle w:val="TableText"/>
              <w:spacing w:before="0"/>
              <w:jc w:val="both"/>
              <w:rPr>
                <w:rFonts w:cs="Calibri"/>
              </w:rPr>
            </w:pPr>
          </w:p>
        </w:tc>
      </w:tr>
      <w:tr w:rsidR="000F62B8" w:rsidRPr="00EA2AC3" w14:paraId="508AA511"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725D3431"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7CA828AB" w14:textId="306A82C0" w:rsidR="000F62B8" w:rsidRPr="00BF30D3" w:rsidRDefault="000F62B8" w:rsidP="000F62B8">
            <w:pPr>
              <w:pStyle w:val="TableText"/>
              <w:spacing w:before="0" w:after="40"/>
              <w:jc w:val="both"/>
              <w:rPr>
                <w:rFonts w:cs="Calibri"/>
              </w:rPr>
            </w:pPr>
            <w:r w:rsidRPr="00BF30D3">
              <w:rPr>
                <w:rFonts w:cstheme="minorHAnsi"/>
              </w:rPr>
              <w:t>Between 4 – 5 years</w:t>
            </w:r>
          </w:p>
        </w:tc>
        <w:tc>
          <w:tcPr>
            <w:tcW w:w="664" w:type="pct"/>
            <w:gridSpan w:val="4"/>
            <w:tcBorders>
              <w:top w:val="nil"/>
              <w:left w:val="nil"/>
              <w:bottom w:val="nil"/>
              <w:right w:val="nil"/>
            </w:tcBorders>
          </w:tcPr>
          <w:p w14:paraId="5A2D257A"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11038ED1" w14:textId="77777777" w:rsidR="000F62B8" w:rsidRPr="00BF30D3" w:rsidRDefault="000F62B8" w:rsidP="000F62B8">
            <w:pPr>
              <w:pStyle w:val="TableText"/>
              <w:spacing w:before="0"/>
              <w:jc w:val="both"/>
              <w:rPr>
                <w:rFonts w:cs="Calibri"/>
              </w:rPr>
            </w:pPr>
          </w:p>
        </w:tc>
      </w:tr>
      <w:tr w:rsidR="000F62B8" w:rsidRPr="00EA2AC3" w14:paraId="5B681637"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322E4FFD"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35BF684A" w14:textId="5A1823E0" w:rsidR="000F62B8" w:rsidRPr="00BF30D3" w:rsidRDefault="000F62B8" w:rsidP="000F62B8">
            <w:pPr>
              <w:pStyle w:val="TableText"/>
              <w:spacing w:before="0" w:after="40"/>
              <w:jc w:val="both"/>
              <w:rPr>
                <w:rFonts w:cs="Calibri"/>
              </w:rPr>
            </w:pPr>
            <w:r w:rsidRPr="00BF30D3">
              <w:rPr>
                <w:rFonts w:cstheme="minorHAnsi"/>
              </w:rPr>
              <w:t>Greater than 5 years</w:t>
            </w:r>
          </w:p>
        </w:tc>
        <w:tc>
          <w:tcPr>
            <w:tcW w:w="664" w:type="pct"/>
            <w:gridSpan w:val="4"/>
            <w:tcBorders>
              <w:top w:val="nil"/>
              <w:left w:val="nil"/>
              <w:bottom w:val="single" w:sz="2" w:space="0" w:color="auto"/>
              <w:right w:val="nil"/>
            </w:tcBorders>
          </w:tcPr>
          <w:p w14:paraId="0B10AE63"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single" w:sz="2" w:space="0" w:color="auto"/>
              <w:right w:val="nil"/>
            </w:tcBorders>
          </w:tcPr>
          <w:p w14:paraId="19FEB4BA" w14:textId="77777777" w:rsidR="000F62B8" w:rsidRPr="00BF30D3" w:rsidRDefault="000F62B8" w:rsidP="000F62B8">
            <w:pPr>
              <w:pStyle w:val="TableText"/>
              <w:spacing w:before="0"/>
              <w:jc w:val="both"/>
              <w:rPr>
                <w:rFonts w:cs="Calibri"/>
              </w:rPr>
            </w:pPr>
          </w:p>
        </w:tc>
      </w:tr>
      <w:tr w:rsidR="000F62B8" w:rsidRPr="00EA2AC3" w14:paraId="42F1BD6B" w14:textId="77777777" w:rsidTr="0057550F">
        <w:tblPrEx>
          <w:jc w:val="right"/>
        </w:tblPrEx>
        <w:trPr>
          <w:cantSplit/>
          <w:trHeight w:val="23"/>
          <w:jc w:val="right"/>
        </w:trPr>
        <w:tc>
          <w:tcPr>
            <w:tcW w:w="743" w:type="pct"/>
            <w:tcBorders>
              <w:top w:val="nil"/>
              <w:left w:val="single" w:sz="4" w:space="0" w:color="auto"/>
              <w:bottom w:val="nil"/>
              <w:right w:val="single" w:sz="4" w:space="0" w:color="auto"/>
            </w:tcBorders>
          </w:tcPr>
          <w:p w14:paraId="699D824E" w14:textId="77777777" w:rsidR="000F62B8" w:rsidRPr="00BF30D3" w:rsidRDefault="000F62B8" w:rsidP="000F62B8">
            <w:pPr>
              <w:pStyle w:val="TableReference"/>
              <w:tabs>
                <w:tab w:val="left" w:pos="3306"/>
              </w:tabs>
              <w:rPr>
                <w:rFonts w:cs="Calibri"/>
                <w:color w:val="7030A0"/>
                <w:sz w:val="14"/>
              </w:rPr>
            </w:pPr>
          </w:p>
        </w:tc>
        <w:tc>
          <w:tcPr>
            <w:tcW w:w="2971" w:type="pct"/>
            <w:tcBorders>
              <w:top w:val="nil"/>
              <w:left w:val="single" w:sz="4" w:space="0" w:color="auto"/>
              <w:bottom w:val="nil"/>
              <w:right w:val="nil"/>
            </w:tcBorders>
          </w:tcPr>
          <w:p w14:paraId="5A9CDDA6" w14:textId="7174CA7A" w:rsidR="000F62B8" w:rsidRPr="00BF30D3" w:rsidRDefault="000F62B8" w:rsidP="000F62B8">
            <w:pPr>
              <w:pStyle w:val="TableText"/>
              <w:spacing w:before="0"/>
              <w:jc w:val="both"/>
              <w:rPr>
                <w:rFonts w:cs="Calibri"/>
              </w:rPr>
            </w:pPr>
            <w:r w:rsidRPr="00BF30D3">
              <w:rPr>
                <w:rFonts w:cstheme="minorHAnsi"/>
                <w:b/>
              </w:rPr>
              <w:t>Total</w:t>
            </w:r>
            <w:r w:rsidRPr="00BF30D3">
              <w:t xml:space="preserve"> </w:t>
            </w:r>
            <w:r w:rsidRPr="00BF30D3">
              <w:rPr>
                <w:b/>
                <w:bCs/>
              </w:rPr>
              <w:t>Undiscounted Operating Lease Payments Receivable</w:t>
            </w:r>
          </w:p>
        </w:tc>
        <w:tc>
          <w:tcPr>
            <w:tcW w:w="664" w:type="pct"/>
            <w:gridSpan w:val="4"/>
            <w:tcBorders>
              <w:top w:val="single" w:sz="2" w:space="0" w:color="auto"/>
              <w:left w:val="nil"/>
              <w:bottom w:val="double" w:sz="4" w:space="0" w:color="auto"/>
              <w:right w:val="nil"/>
            </w:tcBorders>
          </w:tcPr>
          <w:p w14:paraId="4EF0180C" w14:textId="77777777" w:rsidR="000F62B8" w:rsidRPr="00BF30D3" w:rsidRDefault="000F62B8" w:rsidP="000F62B8">
            <w:pPr>
              <w:pStyle w:val="TableText"/>
              <w:spacing w:before="0"/>
              <w:jc w:val="both"/>
              <w:rPr>
                <w:rFonts w:cs="Calibri"/>
              </w:rPr>
            </w:pPr>
          </w:p>
        </w:tc>
        <w:tc>
          <w:tcPr>
            <w:tcW w:w="622" w:type="pct"/>
            <w:gridSpan w:val="4"/>
            <w:tcBorders>
              <w:top w:val="single" w:sz="2" w:space="0" w:color="auto"/>
              <w:left w:val="nil"/>
              <w:bottom w:val="double" w:sz="4" w:space="0" w:color="auto"/>
              <w:right w:val="nil"/>
            </w:tcBorders>
          </w:tcPr>
          <w:p w14:paraId="6BD77007" w14:textId="77777777" w:rsidR="000F62B8" w:rsidRPr="00BF30D3" w:rsidRDefault="000F62B8" w:rsidP="000F62B8">
            <w:pPr>
              <w:pStyle w:val="TableText"/>
              <w:spacing w:before="0"/>
              <w:jc w:val="both"/>
              <w:rPr>
                <w:rFonts w:cs="Calibri"/>
              </w:rPr>
            </w:pPr>
          </w:p>
        </w:tc>
      </w:tr>
      <w:tr w:rsidR="00EF02F9" w:rsidRPr="000F62B8" w14:paraId="42D7748A" w14:textId="77777777" w:rsidTr="002A16D9">
        <w:trPr>
          <w:cantSplit/>
          <w:trHeight w:val="23"/>
        </w:trPr>
        <w:tc>
          <w:tcPr>
            <w:tcW w:w="743" w:type="pct"/>
            <w:tcBorders>
              <w:top w:val="nil"/>
              <w:left w:val="single" w:sz="4" w:space="0" w:color="auto"/>
              <w:bottom w:val="nil"/>
              <w:right w:val="single" w:sz="4" w:space="0" w:color="auto"/>
            </w:tcBorders>
          </w:tcPr>
          <w:p w14:paraId="5DFA408B"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9"/>
            <w:tcBorders>
              <w:top w:val="nil"/>
              <w:left w:val="single" w:sz="4" w:space="0" w:color="auto"/>
              <w:bottom w:val="nil"/>
              <w:right w:val="nil"/>
            </w:tcBorders>
            <w:vAlign w:val="bottom"/>
          </w:tcPr>
          <w:p w14:paraId="648AFB4C" w14:textId="4BD3A575" w:rsidR="00EF02F9" w:rsidRPr="000F62B8" w:rsidRDefault="00EF02F9" w:rsidP="009A0F2F">
            <w:pPr>
              <w:pStyle w:val="CommentaryHeading"/>
              <w:tabs>
                <w:tab w:val="left" w:pos="3306"/>
              </w:tabs>
              <w:spacing w:before="0" w:after="0"/>
              <w:rPr>
                <w:rFonts w:cs="Calibri"/>
                <w:sz w:val="18"/>
              </w:rPr>
            </w:pPr>
          </w:p>
        </w:tc>
      </w:tr>
      <w:tr w:rsidR="00EF02F9" w:rsidRPr="000F62B8" w14:paraId="6F4BD508" w14:textId="77777777" w:rsidTr="002A16D9">
        <w:trPr>
          <w:cantSplit/>
          <w:trHeight w:val="23"/>
        </w:trPr>
        <w:tc>
          <w:tcPr>
            <w:tcW w:w="743" w:type="pct"/>
            <w:tcBorders>
              <w:top w:val="nil"/>
              <w:left w:val="single" w:sz="4" w:space="0" w:color="auto"/>
              <w:bottom w:val="nil"/>
              <w:right w:val="single" w:sz="4" w:space="0" w:color="auto"/>
            </w:tcBorders>
          </w:tcPr>
          <w:p w14:paraId="70758C18"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9"/>
            <w:tcBorders>
              <w:top w:val="nil"/>
              <w:left w:val="single" w:sz="4" w:space="0" w:color="auto"/>
              <w:bottom w:val="nil"/>
              <w:right w:val="nil"/>
            </w:tcBorders>
            <w:vAlign w:val="bottom"/>
          </w:tcPr>
          <w:p w14:paraId="688C7405" w14:textId="77777777" w:rsidR="00EF02F9" w:rsidRPr="000F62B8" w:rsidRDefault="00EF02F9" w:rsidP="009A0F2F">
            <w:pPr>
              <w:pStyle w:val="CommentaryHeading"/>
              <w:tabs>
                <w:tab w:val="left" w:pos="3306"/>
              </w:tabs>
              <w:spacing w:before="0" w:after="0"/>
              <w:rPr>
                <w:rFonts w:cs="Calibri"/>
                <w:sz w:val="18"/>
              </w:rPr>
            </w:pPr>
          </w:p>
        </w:tc>
      </w:tr>
      <w:tr w:rsidR="00EF02F9" w:rsidRPr="000F62B8" w14:paraId="403BDD46" w14:textId="77777777" w:rsidTr="002A16D9">
        <w:trPr>
          <w:cantSplit/>
          <w:trHeight w:val="23"/>
        </w:trPr>
        <w:tc>
          <w:tcPr>
            <w:tcW w:w="743" w:type="pct"/>
            <w:tcBorders>
              <w:top w:val="nil"/>
              <w:left w:val="single" w:sz="4" w:space="0" w:color="auto"/>
              <w:bottom w:val="nil"/>
              <w:right w:val="single" w:sz="4" w:space="0" w:color="auto"/>
            </w:tcBorders>
          </w:tcPr>
          <w:p w14:paraId="745D4A6D"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9"/>
            <w:tcBorders>
              <w:top w:val="nil"/>
              <w:left w:val="single" w:sz="4" w:space="0" w:color="auto"/>
              <w:bottom w:val="nil"/>
              <w:right w:val="nil"/>
            </w:tcBorders>
            <w:vAlign w:val="bottom"/>
          </w:tcPr>
          <w:p w14:paraId="39FD29DD" w14:textId="117F4D5A" w:rsidR="00EF02F9" w:rsidRPr="000F62B8" w:rsidRDefault="00EF02F9" w:rsidP="009A0F2F">
            <w:pPr>
              <w:pStyle w:val="CommentaryHeading"/>
              <w:tabs>
                <w:tab w:val="left" w:pos="3306"/>
              </w:tabs>
              <w:spacing w:before="0" w:after="0"/>
              <w:rPr>
                <w:rFonts w:cs="Calibri"/>
                <w:sz w:val="18"/>
              </w:rPr>
            </w:pPr>
            <w:r w:rsidRPr="000F62B8">
              <w:rPr>
                <w:rFonts w:cs="Calibri"/>
                <w:sz w:val="18"/>
              </w:rPr>
              <w:t>Income and Expense from Investment Properties</w:t>
            </w:r>
          </w:p>
        </w:tc>
      </w:tr>
      <w:tr w:rsidR="00EF02F9" w:rsidRPr="000F62B8" w14:paraId="66BE095D" w14:textId="77777777" w:rsidTr="0057550F">
        <w:trPr>
          <w:cantSplit/>
          <w:trHeight w:val="23"/>
        </w:trPr>
        <w:tc>
          <w:tcPr>
            <w:tcW w:w="743" w:type="pct"/>
            <w:tcBorders>
              <w:top w:val="nil"/>
              <w:left w:val="single" w:sz="4" w:space="0" w:color="auto"/>
              <w:bottom w:val="nil"/>
              <w:right w:val="single" w:sz="4" w:space="0" w:color="auto"/>
            </w:tcBorders>
          </w:tcPr>
          <w:p w14:paraId="5E9EBB7B"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AASB 140.75(f)(i)</w:t>
            </w:r>
          </w:p>
        </w:tc>
        <w:tc>
          <w:tcPr>
            <w:tcW w:w="2971" w:type="pct"/>
            <w:tcBorders>
              <w:top w:val="nil"/>
              <w:left w:val="single" w:sz="4" w:space="0" w:color="auto"/>
              <w:bottom w:val="nil"/>
              <w:right w:val="nil"/>
            </w:tcBorders>
          </w:tcPr>
          <w:p w14:paraId="0A8B465D" w14:textId="77777777" w:rsidR="00EF02F9" w:rsidRPr="000F62B8" w:rsidRDefault="00EF02F9" w:rsidP="009A0F2F">
            <w:pPr>
              <w:pStyle w:val="TableText"/>
              <w:tabs>
                <w:tab w:val="left" w:pos="3306"/>
              </w:tabs>
              <w:rPr>
                <w:rFonts w:cs="Calibri"/>
              </w:rPr>
            </w:pPr>
            <w:r w:rsidRPr="000F62B8">
              <w:rPr>
                <w:rFonts w:cs="Calibri"/>
              </w:rPr>
              <w:t>Rental Income</w:t>
            </w:r>
          </w:p>
        </w:tc>
        <w:tc>
          <w:tcPr>
            <w:tcW w:w="678" w:type="pct"/>
            <w:gridSpan w:val="5"/>
            <w:tcBorders>
              <w:top w:val="nil"/>
              <w:left w:val="nil"/>
              <w:bottom w:val="nil"/>
              <w:right w:val="nil"/>
            </w:tcBorders>
            <w:vAlign w:val="bottom"/>
          </w:tcPr>
          <w:p w14:paraId="1C1707BF"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nil"/>
              <w:right w:val="nil"/>
            </w:tcBorders>
            <w:vAlign w:val="bottom"/>
          </w:tcPr>
          <w:p w14:paraId="3A90F970" w14:textId="77777777" w:rsidR="00EF02F9" w:rsidRPr="000F62B8" w:rsidRDefault="00EF02F9" w:rsidP="009A0F2F">
            <w:pPr>
              <w:pStyle w:val="TableText"/>
              <w:tabs>
                <w:tab w:val="left" w:pos="3306"/>
              </w:tabs>
              <w:jc w:val="right"/>
              <w:rPr>
                <w:rFonts w:cs="Calibri"/>
              </w:rPr>
            </w:pPr>
          </w:p>
        </w:tc>
      </w:tr>
      <w:tr w:rsidR="00EF02F9" w:rsidRPr="000F62B8" w14:paraId="65E17BAA" w14:textId="77777777" w:rsidTr="0057550F">
        <w:trPr>
          <w:cantSplit/>
          <w:trHeight w:val="23"/>
        </w:trPr>
        <w:tc>
          <w:tcPr>
            <w:tcW w:w="743" w:type="pct"/>
            <w:tcBorders>
              <w:top w:val="nil"/>
              <w:left w:val="single" w:sz="4" w:space="0" w:color="auto"/>
              <w:bottom w:val="nil"/>
              <w:right w:val="single" w:sz="4" w:space="0" w:color="auto"/>
            </w:tcBorders>
          </w:tcPr>
          <w:p w14:paraId="237A2029"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AASB 140.75(f)(ii)</w:t>
            </w:r>
          </w:p>
        </w:tc>
        <w:tc>
          <w:tcPr>
            <w:tcW w:w="2971" w:type="pct"/>
            <w:tcBorders>
              <w:top w:val="nil"/>
              <w:left w:val="single" w:sz="4" w:space="0" w:color="auto"/>
              <w:bottom w:val="nil"/>
              <w:right w:val="nil"/>
            </w:tcBorders>
          </w:tcPr>
          <w:p w14:paraId="1F308389" w14:textId="77777777" w:rsidR="00EF02F9" w:rsidRPr="000F62B8" w:rsidRDefault="00EF02F9" w:rsidP="009A0F2F">
            <w:pPr>
              <w:pStyle w:val="TableText"/>
              <w:tabs>
                <w:tab w:val="left" w:pos="3306"/>
              </w:tabs>
              <w:rPr>
                <w:rFonts w:cs="Calibri"/>
              </w:rPr>
            </w:pPr>
            <w:r w:rsidRPr="000F62B8">
              <w:rPr>
                <w:rFonts w:cs="Calibri"/>
              </w:rPr>
              <w:t>Less: Direct Operating Expenses of Investment Properties that Generated Investment Income</w:t>
            </w:r>
          </w:p>
        </w:tc>
        <w:tc>
          <w:tcPr>
            <w:tcW w:w="678" w:type="pct"/>
            <w:gridSpan w:val="5"/>
            <w:tcBorders>
              <w:top w:val="nil"/>
              <w:left w:val="nil"/>
              <w:bottom w:val="nil"/>
              <w:right w:val="nil"/>
            </w:tcBorders>
          </w:tcPr>
          <w:p w14:paraId="2332F2EB"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nil"/>
              <w:right w:val="nil"/>
            </w:tcBorders>
          </w:tcPr>
          <w:p w14:paraId="749DD42B" w14:textId="77777777" w:rsidR="00EF02F9" w:rsidRPr="000F62B8" w:rsidRDefault="00EF02F9" w:rsidP="009A0F2F">
            <w:pPr>
              <w:pStyle w:val="TableText"/>
              <w:tabs>
                <w:tab w:val="left" w:pos="3306"/>
              </w:tabs>
              <w:jc w:val="right"/>
              <w:rPr>
                <w:rFonts w:cs="Calibri"/>
              </w:rPr>
            </w:pPr>
          </w:p>
        </w:tc>
      </w:tr>
      <w:tr w:rsidR="00EF02F9" w:rsidRPr="000F62B8" w14:paraId="7FD0376A" w14:textId="77777777" w:rsidTr="0057550F">
        <w:trPr>
          <w:cantSplit/>
          <w:trHeight w:val="23"/>
        </w:trPr>
        <w:tc>
          <w:tcPr>
            <w:tcW w:w="743" w:type="pct"/>
            <w:tcBorders>
              <w:top w:val="nil"/>
              <w:left w:val="single" w:sz="4" w:space="0" w:color="auto"/>
              <w:bottom w:val="nil"/>
              <w:right w:val="single" w:sz="4" w:space="0" w:color="auto"/>
            </w:tcBorders>
          </w:tcPr>
          <w:p w14:paraId="16522751" w14:textId="77777777" w:rsidR="00EF02F9" w:rsidRPr="000F62B8" w:rsidRDefault="00EF02F9" w:rsidP="009A0F2F">
            <w:pPr>
              <w:pStyle w:val="TableReference"/>
              <w:tabs>
                <w:tab w:val="left" w:pos="3306"/>
              </w:tabs>
              <w:spacing w:before="60"/>
              <w:rPr>
                <w:rFonts w:cs="Calibri"/>
                <w:color w:val="7030A0"/>
                <w:sz w:val="14"/>
              </w:rPr>
            </w:pPr>
            <w:r w:rsidRPr="000F62B8">
              <w:rPr>
                <w:rFonts w:cs="Calibri"/>
                <w:color w:val="7030A0"/>
                <w:sz w:val="14"/>
              </w:rPr>
              <w:t>AASB 140.75(f)(iii)</w:t>
            </w:r>
          </w:p>
        </w:tc>
        <w:tc>
          <w:tcPr>
            <w:tcW w:w="2971" w:type="pct"/>
            <w:tcBorders>
              <w:top w:val="nil"/>
              <w:left w:val="single" w:sz="4" w:space="0" w:color="auto"/>
              <w:bottom w:val="nil"/>
              <w:right w:val="nil"/>
            </w:tcBorders>
          </w:tcPr>
          <w:p w14:paraId="68BAF9E2" w14:textId="77777777" w:rsidR="00EF02F9" w:rsidRPr="000F62B8" w:rsidRDefault="00EF02F9" w:rsidP="009A0F2F">
            <w:pPr>
              <w:pStyle w:val="TableText"/>
              <w:tabs>
                <w:tab w:val="left" w:pos="3306"/>
              </w:tabs>
              <w:rPr>
                <w:rFonts w:cs="Calibri"/>
              </w:rPr>
            </w:pPr>
            <w:r w:rsidRPr="000F62B8">
              <w:rPr>
                <w:rFonts w:cs="Calibri"/>
              </w:rPr>
              <w:t>Less: Direct Operating Expenses of Investment Properties that did not Generate Investment Income</w:t>
            </w:r>
          </w:p>
        </w:tc>
        <w:tc>
          <w:tcPr>
            <w:tcW w:w="678" w:type="pct"/>
            <w:gridSpan w:val="5"/>
            <w:tcBorders>
              <w:top w:val="nil"/>
              <w:left w:val="nil"/>
              <w:bottom w:val="single" w:sz="4" w:space="0" w:color="auto"/>
              <w:right w:val="nil"/>
            </w:tcBorders>
          </w:tcPr>
          <w:p w14:paraId="68113A6D"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single" w:sz="4" w:space="0" w:color="auto"/>
              <w:right w:val="nil"/>
            </w:tcBorders>
          </w:tcPr>
          <w:p w14:paraId="77FB53F1" w14:textId="77777777" w:rsidR="00EF02F9" w:rsidRPr="000F62B8" w:rsidRDefault="00EF02F9" w:rsidP="009A0F2F">
            <w:pPr>
              <w:pStyle w:val="TableText"/>
              <w:tabs>
                <w:tab w:val="left" w:pos="3306"/>
              </w:tabs>
              <w:jc w:val="right"/>
              <w:rPr>
                <w:rFonts w:cs="Calibri"/>
              </w:rPr>
            </w:pPr>
          </w:p>
        </w:tc>
      </w:tr>
      <w:tr w:rsidR="00EF02F9" w:rsidRPr="000F62B8" w14:paraId="00F063CD" w14:textId="77777777" w:rsidTr="0057550F">
        <w:trPr>
          <w:cantSplit/>
          <w:trHeight w:val="23"/>
        </w:trPr>
        <w:tc>
          <w:tcPr>
            <w:tcW w:w="743" w:type="pct"/>
            <w:tcBorders>
              <w:top w:val="nil"/>
              <w:left w:val="single" w:sz="4" w:space="0" w:color="auto"/>
              <w:bottom w:val="nil"/>
              <w:right w:val="single" w:sz="4" w:space="0" w:color="auto"/>
            </w:tcBorders>
          </w:tcPr>
          <w:p w14:paraId="71EAC8E1"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 xml:space="preserve"> </w:t>
            </w:r>
          </w:p>
        </w:tc>
        <w:tc>
          <w:tcPr>
            <w:tcW w:w="2971" w:type="pct"/>
            <w:tcBorders>
              <w:top w:val="nil"/>
              <w:left w:val="single" w:sz="4" w:space="0" w:color="auto"/>
              <w:bottom w:val="nil"/>
              <w:right w:val="nil"/>
            </w:tcBorders>
          </w:tcPr>
          <w:p w14:paraId="572944D1" w14:textId="77777777" w:rsidR="00EF02F9" w:rsidRPr="000F62B8" w:rsidRDefault="00EF02F9" w:rsidP="00C071E7">
            <w:pPr>
              <w:pStyle w:val="TableText"/>
              <w:tabs>
                <w:tab w:val="left" w:pos="3306"/>
              </w:tabs>
              <w:spacing w:after="120"/>
              <w:rPr>
                <w:rFonts w:cs="Calibri"/>
                <w:b/>
                <w:bCs/>
              </w:rPr>
            </w:pPr>
            <w:r w:rsidRPr="000F62B8">
              <w:rPr>
                <w:rFonts w:cs="Calibri"/>
                <w:b/>
                <w:bCs/>
              </w:rPr>
              <w:t>Total Operating Profit from Investment Properties</w:t>
            </w:r>
          </w:p>
        </w:tc>
        <w:tc>
          <w:tcPr>
            <w:tcW w:w="678" w:type="pct"/>
            <w:gridSpan w:val="5"/>
            <w:tcBorders>
              <w:top w:val="single" w:sz="4" w:space="0" w:color="auto"/>
              <w:left w:val="nil"/>
              <w:bottom w:val="double" w:sz="4" w:space="0" w:color="auto"/>
              <w:right w:val="nil"/>
            </w:tcBorders>
          </w:tcPr>
          <w:p w14:paraId="6541E11D" w14:textId="77777777" w:rsidR="00EF02F9" w:rsidRPr="000F62B8" w:rsidRDefault="00EF02F9" w:rsidP="009A0F2F">
            <w:pPr>
              <w:pStyle w:val="TableText"/>
              <w:tabs>
                <w:tab w:val="left" w:pos="3306"/>
              </w:tabs>
              <w:jc w:val="right"/>
              <w:rPr>
                <w:rFonts w:cs="Calibri"/>
                <w:b/>
                <w:bCs/>
              </w:rPr>
            </w:pPr>
          </w:p>
        </w:tc>
        <w:tc>
          <w:tcPr>
            <w:tcW w:w="608" w:type="pct"/>
            <w:gridSpan w:val="3"/>
            <w:tcBorders>
              <w:top w:val="single" w:sz="4" w:space="0" w:color="auto"/>
              <w:left w:val="nil"/>
              <w:bottom w:val="double" w:sz="4" w:space="0" w:color="auto"/>
              <w:right w:val="nil"/>
            </w:tcBorders>
          </w:tcPr>
          <w:p w14:paraId="2B65F18C" w14:textId="77777777" w:rsidR="00EF02F9" w:rsidRPr="000F62B8" w:rsidRDefault="00EF02F9" w:rsidP="009A0F2F">
            <w:pPr>
              <w:pStyle w:val="TableText"/>
              <w:tabs>
                <w:tab w:val="left" w:pos="3306"/>
              </w:tabs>
              <w:jc w:val="right"/>
              <w:rPr>
                <w:rFonts w:cs="Calibri"/>
                <w:b/>
                <w:bCs/>
              </w:rPr>
            </w:pPr>
          </w:p>
        </w:tc>
      </w:tr>
    </w:tbl>
    <w:p w14:paraId="37EA479D" w14:textId="77777777" w:rsidR="00C864E3" w:rsidRDefault="00C864E3">
      <w:r>
        <w:br w:type="page"/>
      </w: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898"/>
        <w:gridCol w:w="1248"/>
        <w:gridCol w:w="363"/>
        <w:gridCol w:w="1423"/>
      </w:tblGrid>
      <w:tr w:rsidR="0095733E" w:rsidRPr="000F62B8" w14:paraId="632C98BC" w14:textId="77777777" w:rsidTr="002A16D9">
        <w:trPr>
          <w:cantSplit/>
          <w:trHeight w:val="23"/>
        </w:trPr>
        <w:tc>
          <w:tcPr>
            <w:tcW w:w="743" w:type="pct"/>
            <w:tcBorders>
              <w:top w:val="nil"/>
              <w:left w:val="single" w:sz="4" w:space="0" w:color="auto"/>
              <w:bottom w:val="nil"/>
              <w:right w:val="single" w:sz="4" w:space="0" w:color="auto"/>
            </w:tcBorders>
          </w:tcPr>
          <w:p w14:paraId="291C0796" w14:textId="34122A37" w:rsidR="0095733E" w:rsidRPr="000F62B8" w:rsidRDefault="0095733E" w:rsidP="0095733E">
            <w:pPr>
              <w:pStyle w:val="TableReference"/>
              <w:tabs>
                <w:tab w:val="left" w:pos="3306"/>
              </w:tabs>
              <w:spacing w:before="240" w:after="240"/>
              <w:rPr>
                <w:rFonts w:cs="Calibri"/>
                <w:color w:val="7030A0"/>
                <w:sz w:val="14"/>
              </w:rPr>
            </w:pPr>
            <w:r w:rsidRPr="00BF30D3">
              <w:rPr>
                <w:rFonts w:cs="Calibri"/>
                <w:b/>
                <w:color w:val="7030A0"/>
                <w:sz w:val="22"/>
                <w:szCs w:val="22"/>
              </w:rPr>
              <w:t>Reference</w:t>
            </w:r>
          </w:p>
        </w:tc>
        <w:tc>
          <w:tcPr>
            <w:tcW w:w="4257" w:type="pct"/>
            <w:gridSpan w:val="4"/>
            <w:tcBorders>
              <w:top w:val="nil"/>
              <w:left w:val="single" w:sz="4" w:space="0" w:color="auto"/>
              <w:bottom w:val="nil"/>
              <w:right w:val="nil"/>
            </w:tcBorders>
          </w:tcPr>
          <w:p w14:paraId="335BC8A1" w14:textId="41F1383D" w:rsidR="0095733E" w:rsidRPr="000F62B8" w:rsidRDefault="0095733E" w:rsidP="0095733E">
            <w:pPr>
              <w:pStyle w:val="TableText"/>
              <w:tabs>
                <w:tab w:val="left" w:pos="3306"/>
              </w:tabs>
              <w:spacing w:before="240" w:after="240"/>
              <w:rPr>
                <w:rFonts w:cs="Calibri"/>
              </w:rPr>
            </w:pPr>
            <w:r w:rsidRPr="00BF30D3">
              <w:rPr>
                <w:rFonts w:ascii="Arial Bold" w:hAnsi="Arial Bold" w:cs="Arial"/>
                <w:b/>
                <w:caps/>
                <w:sz w:val="32"/>
                <w:szCs w:val="32"/>
              </w:rPr>
              <w:t>Note 20.</w:t>
            </w:r>
            <w:r w:rsidR="00FA7C77">
              <w:rPr>
                <w:rFonts w:ascii="Arial Bold" w:hAnsi="Arial Bold" w:cs="Arial"/>
                <w:b/>
                <w:caps/>
                <w:sz w:val="32"/>
                <w:szCs w:val="32"/>
              </w:rPr>
              <w:t xml:space="preserve"> </w:t>
            </w:r>
            <w:r w:rsidRPr="00BF30D3">
              <w:rPr>
                <w:rFonts w:ascii="Arial Bold" w:hAnsi="Arial Bold" w:cs="Arial"/>
                <w:b/>
                <w:caps/>
                <w:sz w:val="32"/>
                <w:szCs w:val="32"/>
              </w:rPr>
              <w:t xml:space="preserve"> Investment Properties </w:t>
            </w:r>
            <w:r w:rsidR="00F22D61">
              <w:rPr>
                <w:rFonts w:ascii="Arial Bold" w:hAnsi="Arial Bold" w:cs="Arial"/>
                <w:b/>
                <w:caps/>
                <w:sz w:val="32"/>
                <w:szCs w:val="32"/>
              </w:rPr>
              <w:t>–</w:t>
            </w:r>
            <w:r w:rsidRPr="00BF30D3">
              <w:rPr>
                <w:rFonts w:ascii="Arial Bold" w:hAnsi="Arial Bold" w:cs="Arial"/>
                <w:b/>
                <w:caps/>
                <w:sz w:val="32"/>
                <w:szCs w:val="32"/>
              </w:rPr>
              <w:t xml:space="preserve"> Continued</w:t>
            </w:r>
            <w:r w:rsidR="00F22D61">
              <w:rPr>
                <w:rFonts w:ascii="Arial Bold" w:hAnsi="Arial Bold" w:cs="Arial"/>
                <w:b/>
                <w:caps/>
                <w:sz w:val="32"/>
                <w:szCs w:val="32"/>
              </w:rPr>
              <w:t xml:space="preserve"> </w:t>
            </w:r>
          </w:p>
        </w:tc>
      </w:tr>
      <w:tr w:rsidR="0057550F" w:rsidRPr="000F62B8" w14:paraId="668D7265" w14:textId="77777777" w:rsidTr="0057550F">
        <w:trPr>
          <w:cantSplit/>
          <w:trHeight w:val="23"/>
        </w:trPr>
        <w:tc>
          <w:tcPr>
            <w:tcW w:w="743" w:type="pct"/>
            <w:tcBorders>
              <w:top w:val="nil"/>
              <w:left w:val="single" w:sz="4" w:space="0" w:color="auto"/>
              <w:bottom w:val="nil"/>
              <w:right w:val="single" w:sz="4" w:space="0" w:color="auto"/>
            </w:tcBorders>
          </w:tcPr>
          <w:p w14:paraId="2E6DF281" w14:textId="77777777" w:rsidR="0057550F" w:rsidRPr="000F62B8" w:rsidRDefault="0057550F" w:rsidP="0057550F">
            <w:pPr>
              <w:pStyle w:val="TableReference"/>
              <w:tabs>
                <w:tab w:val="left" w:pos="3306"/>
              </w:tabs>
              <w:rPr>
                <w:rFonts w:cs="Calibri"/>
                <w:color w:val="7030A0"/>
                <w:sz w:val="14"/>
              </w:rPr>
            </w:pPr>
          </w:p>
        </w:tc>
        <w:tc>
          <w:tcPr>
            <w:tcW w:w="2811" w:type="pct"/>
            <w:tcBorders>
              <w:top w:val="nil"/>
              <w:left w:val="single" w:sz="4" w:space="0" w:color="auto"/>
              <w:bottom w:val="nil"/>
              <w:right w:val="nil"/>
            </w:tcBorders>
            <w:vAlign w:val="bottom"/>
          </w:tcPr>
          <w:p w14:paraId="0124DC3E" w14:textId="77777777" w:rsidR="0057550F" w:rsidRPr="000F62B8" w:rsidRDefault="0057550F" w:rsidP="0057550F">
            <w:pPr>
              <w:pStyle w:val="TableText"/>
              <w:tabs>
                <w:tab w:val="left" w:pos="3306"/>
              </w:tabs>
              <w:spacing w:before="0"/>
              <w:rPr>
                <w:rFonts w:cs="Calibri"/>
              </w:rPr>
            </w:pPr>
          </w:p>
        </w:tc>
        <w:tc>
          <w:tcPr>
            <w:tcW w:w="768" w:type="pct"/>
            <w:gridSpan w:val="2"/>
            <w:tcBorders>
              <w:top w:val="nil"/>
              <w:left w:val="nil"/>
              <w:bottom w:val="nil"/>
              <w:right w:val="nil"/>
            </w:tcBorders>
            <w:vAlign w:val="center"/>
          </w:tcPr>
          <w:p w14:paraId="7E21E101" w14:textId="45F3E88B" w:rsidR="0057550F" w:rsidRPr="0057550F" w:rsidRDefault="0057550F" w:rsidP="0057550F">
            <w:pPr>
              <w:pStyle w:val="TableText"/>
              <w:tabs>
                <w:tab w:val="left" w:pos="3306"/>
              </w:tabs>
              <w:spacing w:before="0"/>
              <w:jc w:val="right"/>
              <w:rPr>
                <w:rFonts w:cs="Calibri"/>
                <w:b/>
                <w:bCs/>
              </w:rPr>
            </w:pPr>
            <w:r w:rsidRPr="0057550F">
              <w:rPr>
                <w:rFonts w:cs="Calibri"/>
                <w:b/>
                <w:bCs/>
              </w:rPr>
              <w:t>2023</w:t>
            </w:r>
          </w:p>
        </w:tc>
        <w:tc>
          <w:tcPr>
            <w:tcW w:w="678" w:type="pct"/>
            <w:tcBorders>
              <w:top w:val="nil"/>
              <w:left w:val="nil"/>
              <w:bottom w:val="nil"/>
              <w:right w:val="nil"/>
            </w:tcBorders>
            <w:vAlign w:val="center"/>
          </w:tcPr>
          <w:p w14:paraId="4AFCFD47" w14:textId="392CFE94" w:rsidR="0057550F" w:rsidRPr="0057550F" w:rsidRDefault="0057550F" w:rsidP="0057550F">
            <w:pPr>
              <w:pStyle w:val="TableText"/>
              <w:tabs>
                <w:tab w:val="left" w:pos="3306"/>
              </w:tabs>
              <w:spacing w:before="0"/>
              <w:jc w:val="right"/>
              <w:rPr>
                <w:rFonts w:cs="Calibri"/>
                <w:b/>
                <w:bCs/>
              </w:rPr>
            </w:pPr>
            <w:r w:rsidRPr="0057550F">
              <w:rPr>
                <w:rFonts w:cs="Calibri"/>
                <w:b/>
                <w:bCs/>
              </w:rPr>
              <w:t>2022</w:t>
            </w:r>
          </w:p>
        </w:tc>
      </w:tr>
      <w:tr w:rsidR="0057550F" w:rsidRPr="000F62B8" w14:paraId="0B4028FB" w14:textId="77777777" w:rsidTr="0057550F">
        <w:trPr>
          <w:cantSplit/>
          <w:trHeight w:val="23"/>
        </w:trPr>
        <w:tc>
          <w:tcPr>
            <w:tcW w:w="743" w:type="pct"/>
            <w:tcBorders>
              <w:top w:val="nil"/>
              <w:left w:val="single" w:sz="4" w:space="0" w:color="auto"/>
              <w:bottom w:val="nil"/>
              <w:right w:val="single" w:sz="4" w:space="0" w:color="auto"/>
            </w:tcBorders>
          </w:tcPr>
          <w:p w14:paraId="40156314" w14:textId="77777777" w:rsidR="0057550F" w:rsidRPr="000F62B8" w:rsidRDefault="0057550F" w:rsidP="0057550F">
            <w:pPr>
              <w:pStyle w:val="TableReference"/>
              <w:tabs>
                <w:tab w:val="left" w:pos="3306"/>
              </w:tabs>
              <w:rPr>
                <w:rFonts w:cs="Calibri"/>
                <w:color w:val="7030A0"/>
                <w:sz w:val="14"/>
              </w:rPr>
            </w:pPr>
          </w:p>
        </w:tc>
        <w:tc>
          <w:tcPr>
            <w:tcW w:w="2811" w:type="pct"/>
            <w:tcBorders>
              <w:top w:val="nil"/>
              <w:left w:val="single" w:sz="4" w:space="0" w:color="auto"/>
              <w:bottom w:val="nil"/>
              <w:right w:val="nil"/>
            </w:tcBorders>
            <w:vAlign w:val="bottom"/>
          </w:tcPr>
          <w:p w14:paraId="0F86CBFD" w14:textId="77777777" w:rsidR="0057550F" w:rsidRPr="000F62B8" w:rsidRDefault="0057550F" w:rsidP="0057550F">
            <w:pPr>
              <w:pStyle w:val="TableText"/>
              <w:tabs>
                <w:tab w:val="left" w:pos="3306"/>
              </w:tabs>
              <w:spacing w:before="0"/>
              <w:rPr>
                <w:rFonts w:cs="Calibri"/>
              </w:rPr>
            </w:pPr>
          </w:p>
        </w:tc>
        <w:tc>
          <w:tcPr>
            <w:tcW w:w="768" w:type="pct"/>
            <w:gridSpan w:val="2"/>
            <w:tcBorders>
              <w:top w:val="nil"/>
              <w:left w:val="nil"/>
              <w:bottom w:val="nil"/>
              <w:right w:val="nil"/>
            </w:tcBorders>
          </w:tcPr>
          <w:p w14:paraId="414C5498" w14:textId="0E2F44B1" w:rsidR="0057550F" w:rsidRPr="0057550F" w:rsidRDefault="0057550F" w:rsidP="0057550F">
            <w:pPr>
              <w:pStyle w:val="TableText"/>
              <w:tabs>
                <w:tab w:val="left" w:pos="3306"/>
              </w:tabs>
              <w:spacing w:before="0"/>
              <w:jc w:val="right"/>
              <w:rPr>
                <w:rFonts w:cs="Calibri"/>
                <w:b/>
                <w:bCs/>
              </w:rPr>
            </w:pPr>
            <w:r w:rsidRPr="0057550F">
              <w:rPr>
                <w:b/>
                <w:bCs/>
              </w:rPr>
              <w:t>$’000</w:t>
            </w:r>
          </w:p>
        </w:tc>
        <w:tc>
          <w:tcPr>
            <w:tcW w:w="678" w:type="pct"/>
            <w:tcBorders>
              <w:top w:val="nil"/>
              <w:left w:val="nil"/>
              <w:bottom w:val="nil"/>
              <w:right w:val="nil"/>
            </w:tcBorders>
          </w:tcPr>
          <w:p w14:paraId="28562117" w14:textId="466AF45F" w:rsidR="0057550F" w:rsidRPr="0057550F" w:rsidRDefault="0057550F" w:rsidP="0057550F">
            <w:pPr>
              <w:pStyle w:val="TableText"/>
              <w:tabs>
                <w:tab w:val="left" w:pos="3306"/>
              </w:tabs>
              <w:spacing w:before="0"/>
              <w:jc w:val="right"/>
              <w:rPr>
                <w:rFonts w:cs="Calibri"/>
                <w:b/>
                <w:bCs/>
              </w:rPr>
            </w:pPr>
            <w:r w:rsidRPr="0057550F">
              <w:rPr>
                <w:b/>
                <w:bCs/>
              </w:rPr>
              <w:t>$’000</w:t>
            </w:r>
          </w:p>
        </w:tc>
      </w:tr>
      <w:tr w:rsidR="0057550F" w:rsidRPr="000F62B8" w14:paraId="0471FC9A" w14:textId="77777777" w:rsidTr="002A16D9">
        <w:trPr>
          <w:cantSplit/>
          <w:trHeight w:val="23"/>
        </w:trPr>
        <w:tc>
          <w:tcPr>
            <w:tcW w:w="743" w:type="pct"/>
            <w:tcBorders>
              <w:top w:val="nil"/>
              <w:left w:val="single" w:sz="4" w:space="0" w:color="auto"/>
              <w:bottom w:val="nil"/>
              <w:right w:val="single" w:sz="4" w:space="0" w:color="auto"/>
            </w:tcBorders>
          </w:tcPr>
          <w:p w14:paraId="5B6A7238" w14:textId="77777777" w:rsidR="0057550F" w:rsidRPr="000F62B8" w:rsidRDefault="0057550F" w:rsidP="0057550F">
            <w:pPr>
              <w:pStyle w:val="TableReference"/>
              <w:tabs>
                <w:tab w:val="left" w:pos="3306"/>
              </w:tabs>
              <w:rPr>
                <w:rFonts w:cs="Calibri"/>
                <w:color w:val="7030A0"/>
                <w:sz w:val="14"/>
              </w:rPr>
            </w:pPr>
          </w:p>
        </w:tc>
        <w:tc>
          <w:tcPr>
            <w:tcW w:w="4257" w:type="pct"/>
            <w:gridSpan w:val="4"/>
            <w:tcBorders>
              <w:top w:val="nil"/>
              <w:left w:val="single" w:sz="4" w:space="0" w:color="auto"/>
              <w:bottom w:val="nil"/>
              <w:right w:val="nil"/>
            </w:tcBorders>
            <w:vAlign w:val="bottom"/>
          </w:tcPr>
          <w:p w14:paraId="1DACACE8" w14:textId="77777777" w:rsidR="0057550F" w:rsidRPr="000F62B8" w:rsidRDefault="0057550F" w:rsidP="0057550F">
            <w:pPr>
              <w:pStyle w:val="TableText"/>
              <w:tabs>
                <w:tab w:val="left" w:pos="3306"/>
              </w:tabs>
              <w:spacing w:before="0"/>
              <w:rPr>
                <w:rFonts w:cs="Calibri"/>
              </w:rPr>
            </w:pPr>
          </w:p>
        </w:tc>
      </w:tr>
      <w:tr w:rsidR="0057550F" w:rsidRPr="000F62B8" w14:paraId="1540DEED" w14:textId="77777777" w:rsidTr="002A16D9">
        <w:trPr>
          <w:cantSplit/>
          <w:trHeight w:val="23"/>
        </w:trPr>
        <w:tc>
          <w:tcPr>
            <w:tcW w:w="743" w:type="pct"/>
            <w:tcBorders>
              <w:top w:val="nil"/>
              <w:left w:val="single" w:sz="4" w:space="0" w:color="auto"/>
              <w:bottom w:val="nil"/>
              <w:right w:val="single" w:sz="4" w:space="0" w:color="auto"/>
            </w:tcBorders>
          </w:tcPr>
          <w:p w14:paraId="7F630D11" w14:textId="77777777" w:rsidR="0057550F" w:rsidRPr="000F62B8" w:rsidRDefault="0057550F" w:rsidP="0057550F">
            <w:pPr>
              <w:pStyle w:val="TableReference"/>
              <w:tabs>
                <w:tab w:val="left" w:pos="3306"/>
              </w:tabs>
              <w:rPr>
                <w:rFonts w:cs="Calibri"/>
                <w:color w:val="7030A0"/>
                <w:sz w:val="14"/>
              </w:rPr>
            </w:pPr>
            <w:r w:rsidRPr="000F62B8">
              <w:rPr>
                <w:rFonts w:cs="Calibri"/>
                <w:color w:val="7030A0"/>
                <w:sz w:val="14"/>
              </w:rPr>
              <w:t>AASB 140.77</w:t>
            </w:r>
          </w:p>
        </w:tc>
        <w:tc>
          <w:tcPr>
            <w:tcW w:w="4257" w:type="pct"/>
            <w:gridSpan w:val="4"/>
            <w:tcBorders>
              <w:top w:val="nil"/>
              <w:left w:val="single" w:sz="4" w:space="0" w:color="auto"/>
              <w:bottom w:val="nil"/>
              <w:right w:val="nil"/>
            </w:tcBorders>
            <w:vAlign w:val="bottom"/>
          </w:tcPr>
          <w:p w14:paraId="15F93A5E" w14:textId="77777777" w:rsidR="0057550F" w:rsidRPr="000F62B8" w:rsidRDefault="0057550F" w:rsidP="0057550F">
            <w:pPr>
              <w:pStyle w:val="CommentaryHeading"/>
              <w:spacing w:before="0" w:after="0"/>
              <w:rPr>
                <w:rFonts w:cs="Calibri"/>
                <w:b w:val="0"/>
                <w:sz w:val="18"/>
              </w:rPr>
            </w:pPr>
            <w:r w:rsidRPr="000F62B8">
              <w:rPr>
                <w:rFonts w:cs="Calibri"/>
                <w:sz w:val="18"/>
              </w:rPr>
              <w:t>Reconciliation of the Revaluation Amount and the Carrying Amount of Buildings</w:t>
            </w:r>
          </w:p>
        </w:tc>
      </w:tr>
      <w:tr w:rsidR="0057550F" w:rsidRPr="000F62B8" w14:paraId="724AB1E7" w14:textId="77777777" w:rsidTr="002A16D9">
        <w:trPr>
          <w:cantSplit/>
          <w:trHeight w:val="23"/>
        </w:trPr>
        <w:tc>
          <w:tcPr>
            <w:tcW w:w="743" w:type="pct"/>
            <w:tcBorders>
              <w:top w:val="nil"/>
              <w:left w:val="single" w:sz="4" w:space="0" w:color="auto"/>
              <w:bottom w:val="nil"/>
              <w:right w:val="single" w:sz="4" w:space="0" w:color="auto"/>
            </w:tcBorders>
          </w:tcPr>
          <w:p w14:paraId="74B4D51B" w14:textId="77777777" w:rsidR="0057550F" w:rsidRPr="000F62B8" w:rsidRDefault="0057550F" w:rsidP="0057550F">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586050B0" w14:textId="77777777" w:rsidR="0057550F" w:rsidRPr="000F62B8" w:rsidRDefault="0057550F" w:rsidP="0057550F">
            <w:pPr>
              <w:pStyle w:val="TableText"/>
              <w:tabs>
                <w:tab w:val="left" w:pos="3306"/>
              </w:tabs>
              <w:rPr>
                <w:rFonts w:cs="Calibri"/>
              </w:rPr>
            </w:pPr>
            <w:r w:rsidRPr="000F62B8">
              <w:rPr>
                <w:rFonts w:cs="Calibri"/>
              </w:rPr>
              <w:t>Independent Valuation Amount Obtained for the Buildings</w:t>
            </w:r>
          </w:p>
        </w:tc>
        <w:tc>
          <w:tcPr>
            <w:tcW w:w="595" w:type="pct"/>
            <w:tcBorders>
              <w:top w:val="nil"/>
              <w:left w:val="nil"/>
              <w:bottom w:val="nil"/>
              <w:right w:val="nil"/>
            </w:tcBorders>
          </w:tcPr>
          <w:p w14:paraId="02044EBA" w14:textId="77777777" w:rsidR="0057550F" w:rsidRPr="000F62B8" w:rsidRDefault="0057550F" w:rsidP="0057550F">
            <w:pPr>
              <w:pStyle w:val="TableText"/>
              <w:tabs>
                <w:tab w:val="left" w:pos="3306"/>
              </w:tabs>
              <w:jc w:val="right"/>
              <w:rPr>
                <w:rFonts w:cs="Calibri"/>
              </w:rPr>
            </w:pPr>
          </w:p>
        </w:tc>
        <w:tc>
          <w:tcPr>
            <w:tcW w:w="851" w:type="pct"/>
            <w:gridSpan w:val="2"/>
            <w:tcBorders>
              <w:top w:val="nil"/>
              <w:left w:val="nil"/>
              <w:bottom w:val="nil"/>
              <w:right w:val="nil"/>
            </w:tcBorders>
            <w:vAlign w:val="bottom"/>
          </w:tcPr>
          <w:p w14:paraId="7A4CE06D" w14:textId="77777777" w:rsidR="0057550F" w:rsidRPr="000F62B8" w:rsidRDefault="0057550F" w:rsidP="0057550F">
            <w:pPr>
              <w:pStyle w:val="TableText"/>
              <w:tabs>
                <w:tab w:val="left" w:pos="3306"/>
              </w:tabs>
              <w:jc w:val="right"/>
              <w:rPr>
                <w:rFonts w:cs="Calibri"/>
              </w:rPr>
            </w:pPr>
          </w:p>
        </w:tc>
      </w:tr>
      <w:tr w:rsidR="0057550F" w:rsidRPr="000F62B8" w14:paraId="69C7CF36" w14:textId="77777777" w:rsidTr="002A16D9">
        <w:trPr>
          <w:cantSplit/>
          <w:trHeight w:val="23"/>
        </w:trPr>
        <w:tc>
          <w:tcPr>
            <w:tcW w:w="743" w:type="pct"/>
            <w:tcBorders>
              <w:top w:val="nil"/>
              <w:left w:val="single" w:sz="4" w:space="0" w:color="auto"/>
              <w:bottom w:val="nil"/>
              <w:right w:val="single" w:sz="4" w:space="0" w:color="auto"/>
            </w:tcBorders>
          </w:tcPr>
          <w:p w14:paraId="3697E8E0" w14:textId="77777777" w:rsidR="0057550F" w:rsidRPr="000F62B8" w:rsidRDefault="0057550F" w:rsidP="0057550F">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7CCD99E3" w14:textId="77777777" w:rsidR="0057550F" w:rsidRPr="000F62B8" w:rsidRDefault="0057550F" w:rsidP="0057550F">
            <w:pPr>
              <w:pStyle w:val="TableText"/>
              <w:tabs>
                <w:tab w:val="left" w:pos="3306"/>
              </w:tabs>
              <w:rPr>
                <w:rFonts w:cs="Calibri"/>
              </w:rPr>
            </w:pPr>
            <w:r w:rsidRPr="000F62B8">
              <w:rPr>
                <w:rFonts w:cs="Calibri"/>
              </w:rPr>
              <w:t>Less:</w:t>
            </w:r>
          </w:p>
        </w:tc>
        <w:tc>
          <w:tcPr>
            <w:tcW w:w="595" w:type="pct"/>
            <w:tcBorders>
              <w:top w:val="nil"/>
              <w:left w:val="nil"/>
              <w:bottom w:val="nil"/>
              <w:right w:val="nil"/>
            </w:tcBorders>
          </w:tcPr>
          <w:p w14:paraId="7695825D" w14:textId="77777777" w:rsidR="0057550F" w:rsidRPr="000F62B8" w:rsidRDefault="0057550F" w:rsidP="0057550F">
            <w:pPr>
              <w:pStyle w:val="TableText"/>
              <w:tabs>
                <w:tab w:val="left" w:pos="3306"/>
              </w:tabs>
              <w:jc w:val="right"/>
              <w:rPr>
                <w:rFonts w:cs="Calibri"/>
              </w:rPr>
            </w:pPr>
          </w:p>
        </w:tc>
        <w:tc>
          <w:tcPr>
            <w:tcW w:w="851" w:type="pct"/>
            <w:gridSpan w:val="2"/>
            <w:tcBorders>
              <w:top w:val="nil"/>
              <w:left w:val="nil"/>
              <w:bottom w:val="nil"/>
              <w:right w:val="nil"/>
            </w:tcBorders>
            <w:vAlign w:val="bottom"/>
          </w:tcPr>
          <w:p w14:paraId="60B70F03" w14:textId="77777777" w:rsidR="0057550F" w:rsidRPr="000F62B8" w:rsidRDefault="0057550F" w:rsidP="0057550F">
            <w:pPr>
              <w:pStyle w:val="TableText"/>
              <w:tabs>
                <w:tab w:val="left" w:pos="3306"/>
              </w:tabs>
              <w:jc w:val="right"/>
              <w:rPr>
                <w:rFonts w:cs="Calibri"/>
              </w:rPr>
            </w:pPr>
          </w:p>
        </w:tc>
      </w:tr>
      <w:tr w:rsidR="0057550F" w:rsidRPr="000F62B8" w14:paraId="0F7CBD55" w14:textId="77777777" w:rsidTr="002A16D9">
        <w:trPr>
          <w:cantSplit/>
          <w:trHeight w:val="23"/>
        </w:trPr>
        <w:tc>
          <w:tcPr>
            <w:tcW w:w="743" w:type="pct"/>
            <w:tcBorders>
              <w:top w:val="nil"/>
              <w:left w:val="single" w:sz="4" w:space="0" w:color="auto"/>
              <w:bottom w:val="nil"/>
              <w:right w:val="single" w:sz="4" w:space="0" w:color="auto"/>
            </w:tcBorders>
          </w:tcPr>
          <w:p w14:paraId="316544C0" w14:textId="77777777" w:rsidR="0057550F" w:rsidRPr="000F62B8" w:rsidRDefault="0057550F" w:rsidP="0057550F">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150B5670" w14:textId="7DD3671F" w:rsidR="0057550F" w:rsidRPr="000F62B8" w:rsidRDefault="0057550F" w:rsidP="0057550F">
            <w:pPr>
              <w:pStyle w:val="TableText"/>
              <w:tabs>
                <w:tab w:val="left" w:pos="34"/>
              </w:tabs>
              <w:rPr>
                <w:rFonts w:cs="Calibri"/>
              </w:rPr>
            </w:pPr>
            <w:r>
              <w:rPr>
                <w:rFonts w:cs="Calibri"/>
              </w:rPr>
              <w:t xml:space="preserve">  </w:t>
            </w:r>
            <w:r w:rsidRPr="000F62B8">
              <w:rPr>
                <w:rFonts w:cs="Calibri"/>
              </w:rPr>
              <w:t xml:space="preserve"> - Furniture </w:t>
            </w:r>
          </w:p>
        </w:tc>
        <w:tc>
          <w:tcPr>
            <w:tcW w:w="595" w:type="pct"/>
            <w:tcBorders>
              <w:top w:val="nil"/>
              <w:left w:val="nil"/>
              <w:bottom w:val="nil"/>
              <w:right w:val="nil"/>
            </w:tcBorders>
          </w:tcPr>
          <w:p w14:paraId="6EFFD49C" w14:textId="77777777" w:rsidR="0057550F" w:rsidRPr="000F62B8" w:rsidRDefault="0057550F" w:rsidP="0057550F">
            <w:pPr>
              <w:pStyle w:val="TableText"/>
              <w:tabs>
                <w:tab w:val="left" w:pos="3306"/>
              </w:tabs>
              <w:jc w:val="right"/>
              <w:rPr>
                <w:rFonts w:cs="Calibri"/>
              </w:rPr>
            </w:pPr>
          </w:p>
        </w:tc>
        <w:tc>
          <w:tcPr>
            <w:tcW w:w="851" w:type="pct"/>
            <w:gridSpan w:val="2"/>
            <w:tcBorders>
              <w:top w:val="nil"/>
              <w:left w:val="nil"/>
              <w:bottom w:val="nil"/>
              <w:right w:val="nil"/>
            </w:tcBorders>
            <w:vAlign w:val="bottom"/>
          </w:tcPr>
          <w:p w14:paraId="678C6147" w14:textId="77777777" w:rsidR="0057550F" w:rsidRPr="000F62B8" w:rsidRDefault="0057550F" w:rsidP="0057550F">
            <w:pPr>
              <w:pStyle w:val="TableText"/>
              <w:tabs>
                <w:tab w:val="left" w:pos="3306"/>
              </w:tabs>
              <w:jc w:val="right"/>
              <w:rPr>
                <w:rFonts w:cs="Calibri"/>
              </w:rPr>
            </w:pPr>
          </w:p>
        </w:tc>
      </w:tr>
      <w:tr w:rsidR="0057550F" w:rsidRPr="000F62B8" w14:paraId="77611DAF" w14:textId="77777777" w:rsidTr="002A16D9">
        <w:trPr>
          <w:cantSplit/>
          <w:trHeight w:val="23"/>
        </w:trPr>
        <w:tc>
          <w:tcPr>
            <w:tcW w:w="743" w:type="pct"/>
            <w:tcBorders>
              <w:top w:val="nil"/>
              <w:left w:val="single" w:sz="4" w:space="0" w:color="auto"/>
              <w:bottom w:val="nil"/>
              <w:right w:val="single" w:sz="4" w:space="0" w:color="auto"/>
            </w:tcBorders>
          </w:tcPr>
          <w:p w14:paraId="3F7825DE" w14:textId="77777777" w:rsidR="0057550F" w:rsidRPr="000F62B8" w:rsidRDefault="0057550F" w:rsidP="0057550F">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7F519421" w14:textId="190BDE03" w:rsidR="0057550F" w:rsidRPr="000F62B8" w:rsidRDefault="0057550F" w:rsidP="0057550F">
            <w:pPr>
              <w:pStyle w:val="TableText"/>
              <w:tabs>
                <w:tab w:val="left" w:pos="576"/>
              </w:tabs>
              <w:rPr>
                <w:rFonts w:cs="Calibri"/>
              </w:rPr>
            </w:pPr>
            <w:r>
              <w:rPr>
                <w:rFonts w:cs="Calibri"/>
              </w:rPr>
              <w:t xml:space="preserve">  </w:t>
            </w:r>
            <w:r w:rsidRPr="000F62B8">
              <w:rPr>
                <w:rFonts w:cs="Calibri"/>
              </w:rPr>
              <w:t xml:space="preserve"> - Equipment (Lift and Air-Conditioning Unit)</w:t>
            </w:r>
          </w:p>
        </w:tc>
        <w:tc>
          <w:tcPr>
            <w:tcW w:w="595" w:type="pct"/>
            <w:tcBorders>
              <w:top w:val="nil"/>
              <w:left w:val="nil"/>
              <w:bottom w:val="nil"/>
              <w:right w:val="nil"/>
            </w:tcBorders>
          </w:tcPr>
          <w:p w14:paraId="77ACB810" w14:textId="77777777" w:rsidR="0057550F" w:rsidRPr="000F62B8" w:rsidRDefault="0057550F" w:rsidP="0057550F">
            <w:pPr>
              <w:pStyle w:val="TableText"/>
              <w:tabs>
                <w:tab w:val="left" w:pos="3306"/>
              </w:tabs>
              <w:jc w:val="right"/>
              <w:rPr>
                <w:rFonts w:cs="Calibri"/>
              </w:rPr>
            </w:pPr>
          </w:p>
        </w:tc>
        <w:tc>
          <w:tcPr>
            <w:tcW w:w="851" w:type="pct"/>
            <w:gridSpan w:val="2"/>
            <w:tcBorders>
              <w:top w:val="nil"/>
              <w:left w:val="nil"/>
              <w:bottom w:val="nil"/>
              <w:right w:val="nil"/>
            </w:tcBorders>
            <w:vAlign w:val="bottom"/>
          </w:tcPr>
          <w:p w14:paraId="381E243E" w14:textId="77777777" w:rsidR="0057550F" w:rsidRPr="000F62B8" w:rsidRDefault="0057550F" w:rsidP="0057550F">
            <w:pPr>
              <w:pStyle w:val="TableText"/>
              <w:tabs>
                <w:tab w:val="left" w:pos="3306"/>
              </w:tabs>
              <w:jc w:val="right"/>
              <w:rPr>
                <w:rFonts w:cs="Calibri"/>
              </w:rPr>
            </w:pPr>
          </w:p>
        </w:tc>
      </w:tr>
      <w:tr w:rsidR="0057550F" w:rsidRPr="000F62B8" w14:paraId="0C5B04D2" w14:textId="77777777" w:rsidTr="002A16D9">
        <w:trPr>
          <w:cantSplit/>
          <w:trHeight w:val="23"/>
        </w:trPr>
        <w:tc>
          <w:tcPr>
            <w:tcW w:w="743" w:type="pct"/>
            <w:tcBorders>
              <w:top w:val="nil"/>
              <w:left w:val="single" w:sz="4" w:space="0" w:color="auto"/>
              <w:bottom w:val="nil"/>
              <w:right w:val="single" w:sz="4" w:space="0" w:color="auto"/>
            </w:tcBorders>
          </w:tcPr>
          <w:p w14:paraId="63BCC77F" w14:textId="77777777" w:rsidR="0057550F" w:rsidRPr="000F62B8" w:rsidRDefault="0057550F" w:rsidP="0057550F">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5C3E35F7" w14:textId="202F28E3" w:rsidR="0057550F" w:rsidRPr="000F62B8" w:rsidRDefault="0057550F" w:rsidP="0057550F">
            <w:pPr>
              <w:pStyle w:val="TableText"/>
              <w:tabs>
                <w:tab w:val="left" w:pos="576"/>
              </w:tabs>
              <w:rPr>
                <w:rFonts w:cs="Calibri"/>
              </w:rPr>
            </w:pPr>
            <w:r>
              <w:rPr>
                <w:rFonts w:cs="Calibri"/>
              </w:rPr>
              <w:t xml:space="preserve">  </w:t>
            </w:r>
            <w:r w:rsidRPr="000F62B8">
              <w:rPr>
                <w:rFonts w:cs="Calibri"/>
              </w:rPr>
              <w:t xml:space="preserve"> - Fittings </w:t>
            </w:r>
          </w:p>
        </w:tc>
        <w:tc>
          <w:tcPr>
            <w:tcW w:w="595" w:type="pct"/>
            <w:tcBorders>
              <w:top w:val="nil"/>
              <w:left w:val="nil"/>
              <w:bottom w:val="single" w:sz="4" w:space="0" w:color="auto"/>
              <w:right w:val="nil"/>
            </w:tcBorders>
          </w:tcPr>
          <w:p w14:paraId="59A934F9" w14:textId="77777777" w:rsidR="0057550F" w:rsidRPr="000F62B8" w:rsidRDefault="0057550F" w:rsidP="0057550F">
            <w:pPr>
              <w:pStyle w:val="TableText"/>
              <w:tabs>
                <w:tab w:val="left" w:pos="3306"/>
              </w:tabs>
              <w:jc w:val="right"/>
              <w:rPr>
                <w:rFonts w:cs="Calibri"/>
              </w:rPr>
            </w:pPr>
          </w:p>
        </w:tc>
        <w:tc>
          <w:tcPr>
            <w:tcW w:w="851" w:type="pct"/>
            <w:gridSpan w:val="2"/>
            <w:tcBorders>
              <w:top w:val="nil"/>
              <w:left w:val="nil"/>
              <w:bottom w:val="single" w:sz="4" w:space="0" w:color="auto"/>
              <w:right w:val="nil"/>
            </w:tcBorders>
            <w:vAlign w:val="bottom"/>
          </w:tcPr>
          <w:p w14:paraId="4B62120B" w14:textId="77777777" w:rsidR="0057550F" w:rsidRPr="000F62B8" w:rsidRDefault="0057550F" w:rsidP="0057550F">
            <w:pPr>
              <w:pStyle w:val="TableText"/>
              <w:tabs>
                <w:tab w:val="left" w:pos="3306"/>
              </w:tabs>
              <w:jc w:val="right"/>
              <w:rPr>
                <w:rFonts w:cs="Calibri"/>
              </w:rPr>
            </w:pPr>
          </w:p>
        </w:tc>
      </w:tr>
      <w:tr w:rsidR="0057550F" w:rsidRPr="000F62B8" w14:paraId="3B8DB564" w14:textId="77777777" w:rsidTr="002A16D9">
        <w:trPr>
          <w:cantSplit/>
          <w:trHeight w:val="23"/>
        </w:trPr>
        <w:tc>
          <w:tcPr>
            <w:tcW w:w="743" w:type="pct"/>
            <w:tcBorders>
              <w:top w:val="nil"/>
              <w:left w:val="single" w:sz="4" w:space="0" w:color="auto"/>
              <w:bottom w:val="nil"/>
              <w:right w:val="single" w:sz="4" w:space="0" w:color="auto"/>
            </w:tcBorders>
          </w:tcPr>
          <w:p w14:paraId="1AD49115" w14:textId="77777777" w:rsidR="0057550F" w:rsidRPr="000F62B8" w:rsidRDefault="0057550F" w:rsidP="0057550F">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67CE8D39" w14:textId="77777777" w:rsidR="0057550F" w:rsidRPr="000F62B8" w:rsidRDefault="0057550F" w:rsidP="0057550F">
            <w:pPr>
              <w:pStyle w:val="TableText"/>
              <w:tabs>
                <w:tab w:val="left" w:pos="3306"/>
              </w:tabs>
              <w:rPr>
                <w:rFonts w:cs="Calibri"/>
                <w:b/>
                <w:bCs/>
              </w:rPr>
            </w:pPr>
            <w:r w:rsidRPr="000F62B8">
              <w:rPr>
                <w:rFonts w:cs="Calibri"/>
                <w:b/>
                <w:bCs/>
              </w:rPr>
              <w:t>Total Adjusted Amount of Buildings at Fair Value</w:t>
            </w:r>
          </w:p>
        </w:tc>
        <w:tc>
          <w:tcPr>
            <w:tcW w:w="595" w:type="pct"/>
            <w:tcBorders>
              <w:top w:val="single" w:sz="4" w:space="0" w:color="auto"/>
              <w:left w:val="nil"/>
              <w:bottom w:val="double" w:sz="4" w:space="0" w:color="auto"/>
              <w:right w:val="nil"/>
            </w:tcBorders>
          </w:tcPr>
          <w:p w14:paraId="7A0C9F31" w14:textId="77777777" w:rsidR="0057550F" w:rsidRPr="000F62B8" w:rsidRDefault="0057550F" w:rsidP="0057550F">
            <w:pPr>
              <w:pStyle w:val="TableText"/>
              <w:tabs>
                <w:tab w:val="left" w:pos="3306"/>
              </w:tabs>
              <w:jc w:val="right"/>
              <w:rPr>
                <w:rFonts w:cs="Calibri"/>
                <w:b/>
                <w:bCs/>
              </w:rPr>
            </w:pPr>
          </w:p>
        </w:tc>
        <w:tc>
          <w:tcPr>
            <w:tcW w:w="851" w:type="pct"/>
            <w:gridSpan w:val="2"/>
            <w:tcBorders>
              <w:top w:val="single" w:sz="4" w:space="0" w:color="auto"/>
              <w:left w:val="nil"/>
              <w:bottom w:val="double" w:sz="4" w:space="0" w:color="auto"/>
              <w:right w:val="nil"/>
            </w:tcBorders>
            <w:vAlign w:val="bottom"/>
          </w:tcPr>
          <w:p w14:paraId="514412AF" w14:textId="77777777" w:rsidR="0057550F" w:rsidRPr="000F62B8" w:rsidRDefault="0057550F" w:rsidP="0057550F">
            <w:pPr>
              <w:pStyle w:val="TableText"/>
              <w:tabs>
                <w:tab w:val="left" w:pos="3306"/>
              </w:tabs>
              <w:jc w:val="right"/>
              <w:rPr>
                <w:rFonts w:cs="Calibri"/>
                <w:b/>
                <w:bCs/>
              </w:rPr>
            </w:pPr>
          </w:p>
        </w:tc>
      </w:tr>
      <w:tr w:rsidR="0057550F" w:rsidRPr="00EA2AC3" w14:paraId="129EFD1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3BC6D17"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tcPr>
          <w:p w14:paraId="172F74C2" w14:textId="77777777" w:rsidR="0057550F" w:rsidRPr="00EA2AC3" w:rsidRDefault="0057550F" w:rsidP="0057550F">
            <w:pPr>
              <w:pStyle w:val="TableText"/>
              <w:spacing w:before="0" w:after="120"/>
              <w:jc w:val="both"/>
              <w:rPr>
                <w:rFonts w:cs="Calibri"/>
              </w:rPr>
            </w:pPr>
          </w:p>
        </w:tc>
      </w:tr>
      <w:tr w:rsidR="0057550F" w:rsidRPr="00EA2AC3" w14:paraId="000B015D"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40140E8" w14:textId="5CD258E8" w:rsidR="0057550F" w:rsidRPr="00BF30D3" w:rsidRDefault="0057550F" w:rsidP="000159C3">
            <w:pPr>
              <w:pStyle w:val="TableReference"/>
              <w:tabs>
                <w:tab w:val="left" w:pos="3306"/>
              </w:tabs>
              <w:spacing w:before="240" w:after="2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42EC5879" w14:textId="08AA115E" w:rsidR="0057550F" w:rsidRPr="0021515A" w:rsidRDefault="0057550F" w:rsidP="000159C3">
            <w:pPr>
              <w:pStyle w:val="TableText"/>
              <w:spacing w:before="240" w:after="240"/>
              <w:rPr>
                <w:rFonts w:cs="Calibri"/>
                <w:b/>
                <w:bCs/>
                <w:color w:val="FFFFFF" w:themeColor="background1"/>
              </w:rPr>
            </w:pPr>
            <w:bookmarkStart w:id="653" w:name="_Toc163106359"/>
            <w:r w:rsidRPr="0021515A">
              <w:rPr>
                <w:rFonts w:cs="Calibri"/>
                <w:b/>
                <w:bCs/>
                <w:color w:val="FFFFFF" w:themeColor="background1"/>
                <w:sz w:val="28"/>
                <w:szCs w:val="28"/>
              </w:rPr>
              <w:t>Commentary – Note 20: Investment Properties</w:t>
            </w:r>
            <w:bookmarkEnd w:id="653"/>
          </w:p>
        </w:tc>
      </w:tr>
      <w:tr w:rsidR="0057550F" w:rsidRPr="00EA2AC3" w14:paraId="0DBD98E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DEECC11"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75789683" w14:textId="77777777" w:rsidR="0057550F" w:rsidRPr="0021515A" w:rsidRDefault="0057550F" w:rsidP="0057550F">
            <w:pPr>
              <w:spacing w:after="40" w:line="259" w:lineRule="auto"/>
              <w:rPr>
                <w:rFonts w:eastAsia="Calibri"/>
                <w:color w:val="FFFFFF" w:themeColor="background1"/>
                <w:sz w:val="18"/>
                <w:szCs w:val="18"/>
              </w:rPr>
            </w:pPr>
            <w:r w:rsidRPr="0021515A">
              <w:rPr>
                <w:rFonts w:eastAsia="Calibri"/>
                <w:color w:val="FFFFFF" w:themeColor="background1"/>
                <w:sz w:val="18"/>
                <w:szCs w:val="18"/>
              </w:rPr>
              <w:t>Investment property can arise from either of the following:</w:t>
            </w:r>
          </w:p>
          <w:p w14:paraId="2E33281C" w14:textId="6FB9AD4D" w:rsidR="0057550F" w:rsidRPr="00581C35"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81C35">
              <w:rPr>
                <w:rFonts w:cs="Calibri"/>
                <w:color w:val="FFFFFF" w:themeColor="background1"/>
                <w:sz w:val="18"/>
                <w:szCs w:val="18"/>
              </w:rPr>
              <w:t>owned assets – assets owned by the Agency and rented out under a head lease, or</w:t>
            </w:r>
          </w:p>
          <w:p w14:paraId="7D179BB6" w14:textId="7B969236" w:rsidR="0057550F" w:rsidRPr="0021515A" w:rsidRDefault="0057550F" w:rsidP="00CB31DE">
            <w:pPr>
              <w:pStyle w:val="CommentaryText"/>
              <w:keepNext/>
              <w:keepLines/>
              <w:numPr>
                <w:ilvl w:val="0"/>
                <w:numId w:val="52"/>
              </w:numPr>
              <w:tabs>
                <w:tab w:val="left" w:pos="3306"/>
              </w:tabs>
              <w:ind w:left="459" w:hanging="357"/>
              <w:rPr>
                <w:rFonts w:eastAsia="Calibri"/>
                <w:color w:val="FFFFFF" w:themeColor="background1"/>
                <w:sz w:val="18"/>
                <w:szCs w:val="18"/>
              </w:rPr>
            </w:pPr>
            <w:r w:rsidRPr="00581C35">
              <w:rPr>
                <w:rFonts w:cs="Calibri"/>
                <w:color w:val="FFFFFF" w:themeColor="background1"/>
                <w:sz w:val="18"/>
                <w:szCs w:val="18"/>
              </w:rPr>
              <w:t>right-of-use assets – assets which are leased by the Agency under a head lease and sub-leased via an operating sub-lease.</w:t>
            </w:r>
          </w:p>
        </w:tc>
      </w:tr>
      <w:tr w:rsidR="0057550F" w:rsidRPr="00EA2AC3" w14:paraId="5FC100E5"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A0DB83F"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5B6228B8" w14:textId="297CA9B9" w:rsidR="0057550F" w:rsidRPr="0021515A" w:rsidRDefault="0057550F" w:rsidP="0057550F">
            <w:pPr>
              <w:pStyle w:val="TableText"/>
              <w:spacing w:before="0" w:after="120"/>
              <w:rPr>
                <w:rFonts w:cs="Calibri"/>
                <w:color w:val="FFFFFF" w:themeColor="background1"/>
              </w:rPr>
            </w:pPr>
            <w:r w:rsidRPr="0021515A">
              <w:rPr>
                <w:rFonts w:eastAsia="Calibri"/>
                <w:color w:val="FFFFFF" w:themeColor="background1"/>
              </w:rPr>
              <w:t>These two types of investment property are separate classes of assets and therefore an Agency should specify whether the investment property is owned or arises from a right-of-use asset.</w:t>
            </w:r>
          </w:p>
        </w:tc>
      </w:tr>
      <w:tr w:rsidR="0057550F" w:rsidRPr="00EA2AC3" w14:paraId="7F316D8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BC6DACB"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46C49914" w14:textId="3F5EA34A" w:rsidR="0057550F" w:rsidRPr="0021515A" w:rsidRDefault="0057550F" w:rsidP="0057550F">
            <w:pPr>
              <w:pStyle w:val="TableText"/>
              <w:spacing w:before="0" w:after="120"/>
              <w:rPr>
                <w:rFonts w:cs="Calibri"/>
                <w:color w:val="FFFFFF" w:themeColor="background1"/>
              </w:rPr>
            </w:pPr>
            <w:r w:rsidRPr="0021515A">
              <w:rPr>
                <w:rFonts w:eastAsia="Calibri"/>
                <w:color w:val="FFFFFF" w:themeColor="background1"/>
              </w:rPr>
              <w:t>If an Agency has both types of investment property, then the disclosures should be shown separately for both classes.</w:t>
            </w:r>
          </w:p>
        </w:tc>
      </w:tr>
      <w:tr w:rsidR="0057550F" w:rsidRPr="00EA2AC3" w14:paraId="4F028FD1"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03628D0"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48C880D0" w14:textId="559F5275" w:rsidR="0057550F" w:rsidRPr="00581C35" w:rsidRDefault="0057550F" w:rsidP="00C87FF4">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Definition</w:t>
            </w:r>
          </w:p>
        </w:tc>
      </w:tr>
      <w:tr w:rsidR="0057550F" w:rsidRPr="00EA2AC3" w14:paraId="0A25BD0C"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6F9AE35" w14:textId="5B8F7B9B"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140.5</w:t>
            </w:r>
          </w:p>
        </w:tc>
        <w:tc>
          <w:tcPr>
            <w:tcW w:w="4257" w:type="pct"/>
            <w:gridSpan w:val="4"/>
            <w:tcBorders>
              <w:top w:val="nil"/>
              <w:left w:val="single" w:sz="4" w:space="0" w:color="auto"/>
              <w:bottom w:val="nil"/>
              <w:right w:val="nil"/>
            </w:tcBorders>
            <w:shd w:val="clear" w:color="auto" w:fill="7030A0"/>
          </w:tcPr>
          <w:p w14:paraId="532DFE3F" w14:textId="267F8A5C" w:rsidR="0057550F" w:rsidRPr="0021515A" w:rsidRDefault="0057550F" w:rsidP="0057550F">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Investment property is property (land or a building – or part of a building – or both) held (by the owner or by the lessee as a right-of-use asset) to earn rentals or for capital appreciation or both, rather than for:</w:t>
            </w:r>
          </w:p>
          <w:p w14:paraId="28607984" w14:textId="020E1AC7" w:rsidR="0057550F" w:rsidRPr="0021515A" w:rsidRDefault="0057550F" w:rsidP="00CB31DE">
            <w:pPr>
              <w:pStyle w:val="Commentary-Bullet"/>
              <w:numPr>
                <w:ilvl w:val="0"/>
                <w:numId w:val="10"/>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use in the production or supply of goods or services or for administrative purposes; or</w:t>
            </w:r>
          </w:p>
          <w:p w14:paraId="139D0717" w14:textId="473AA5B2" w:rsidR="0057550F" w:rsidRPr="0021515A" w:rsidRDefault="0057550F" w:rsidP="00CB31DE">
            <w:pPr>
              <w:pStyle w:val="Commentary-Bullet"/>
              <w:numPr>
                <w:ilvl w:val="0"/>
                <w:numId w:val="10"/>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sale in the ordinary course of business.</w:t>
            </w:r>
          </w:p>
        </w:tc>
      </w:tr>
      <w:tr w:rsidR="0057550F" w:rsidRPr="00EA2AC3" w14:paraId="7AF1EE32"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2DE379B" w14:textId="648C5A08"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140.Aus 9.1</w:t>
            </w:r>
          </w:p>
        </w:tc>
        <w:tc>
          <w:tcPr>
            <w:tcW w:w="4257" w:type="pct"/>
            <w:gridSpan w:val="4"/>
            <w:tcBorders>
              <w:top w:val="nil"/>
              <w:left w:val="single" w:sz="4" w:space="0" w:color="auto"/>
              <w:bottom w:val="nil"/>
              <w:right w:val="nil"/>
            </w:tcBorders>
            <w:shd w:val="clear" w:color="auto" w:fill="7030A0"/>
          </w:tcPr>
          <w:p w14:paraId="4FC807CB" w14:textId="77777777" w:rsidR="0057550F" w:rsidRPr="0021515A" w:rsidRDefault="0057550F" w:rsidP="0057550F">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 xml:space="preserve">However, for agencies, property may be held to meet service delivery objectives rather than to earn rental or for capital appreciation. In such situations, the property will not meet the definition of investment property and will be accounted for under AASB 116 </w:t>
            </w:r>
            <w:r w:rsidRPr="0021515A">
              <w:rPr>
                <w:rFonts w:cs="Calibri"/>
                <w:i/>
                <w:color w:val="FFFFFF" w:themeColor="background1"/>
                <w:sz w:val="18"/>
                <w:szCs w:val="18"/>
              </w:rPr>
              <w:t>Property, Plant and Equipment</w:t>
            </w:r>
            <w:r w:rsidRPr="0021515A">
              <w:rPr>
                <w:rFonts w:cs="Calibri"/>
                <w:color w:val="FFFFFF" w:themeColor="background1"/>
                <w:sz w:val="18"/>
                <w:szCs w:val="18"/>
              </w:rPr>
              <w:t>, for example:</w:t>
            </w:r>
          </w:p>
          <w:p w14:paraId="47DFE7AA" w14:textId="3C2F76F9"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property held for strategic purposes; and</w:t>
            </w:r>
          </w:p>
          <w:p w14:paraId="320813F2" w14:textId="73C73454" w:rsidR="0057550F" w:rsidRPr="0021515A" w:rsidRDefault="0057550F"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property held to provide a social service, including those which generate cash inflows where the rental revenue is incidental to the purpose for holding the property.</w:t>
            </w:r>
          </w:p>
        </w:tc>
      </w:tr>
      <w:tr w:rsidR="0057550F" w:rsidRPr="00EA2AC3" w14:paraId="6602485A"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C55B38A" w14:textId="4713B88F"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140.76</w:t>
            </w:r>
          </w:p>
        </w:tc>
        <w:tc>
          <w:tcPr>
            <w:tcW w:w="4257" w:type="pct"/>
            <w:gridSpan w:val="4"/>
            <w:tcBorders>
              <w:top w:val="nil"/>
              <w:left w:val="single" w:sz="4" w:space="0" w:color="auto"/>
              <w:bottom w:val="nil"/>
              <w:right w:val="nil"/>
            </w:tcBorders>
            <w:shd w:val="clear" w:color="auto" w:fill="7030A0"/>
          </w:tcPr>
          <w:p w14:paraId="6F94D50F" w14:textId="77777777" w:rsidR="0057550F" w:rsidRPr="0021515A" w:rsidRDefault="0057550F" w:rsidP="0057550F">
            <w:pPr>
              <w:autoSpaceDE w:val="0"/>
              <w:autoSpaceDN w:val="0"/>
              <w:adjustRightInd w:val="0"/>
              <w:jc w:val="both"/>
              <w:rPr>
                <w:rFonts w:cs="Calibri"/>
                <w:color w:val="FFFFFF" w:themeColor="background1"/>
                <w:sz w:val="18"/>
                <w:szCs w:val="18"/>
              </w:rPr>
            </w:pPr>
            <w:r w:rsidRPr="0021515A">
              <w:rPr>
                <w:rFonts w:cs="Calibri"/>
                <w:color w:val="FFFFFF" w:themeColor="background1"/>
                <w:sz w:val="18"/>
                <w:szCs w:val="18"/>
              </w:rPr>
              <w:t xml:space="preserve">An agency that applies the fair value model in accordance with AASB 140 </w:t>
            </w:r>
            <w:r w:rsidRPr="0021515A">
              <w:rPr>
                <w:rFonts w:cs="Calibri"/>
                <w:i/>
                <w:color w:val="FFFFFF" w:themeColor="background1"/>
                <w:sz w:val="18"/>
                <w:szCs w:val="18"/>
              </w:rPr>
              <w:t>Investment Property</w:t>
            </w:r>
            <w:r w:rsidRPr="0021515A">
              <w:rPr>
                <w:rFonts w:cs="Calibri"/>
                <w:color w:val="FFFFFF" w:themeColor="background1"/>
                <w:sz w:val="18"/>
                <w:szCs w:val="18"/>
              </w:rPr>
              <w:t xml:space="preserve"> shall disclose a reconciliation between the carrying amounts of investment property at the beginning and end of the period, showing the following:</w:t>
            </w:r>
          </w:p>
          <w:p w14:paraId="3BBE8381" w14:textId="77777777"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disclosing separately those additions resulting from acquisitions and those resulting from subsequent expenditure recognised in the carrying amount of an asset;</w:t>
            </w:r>
          </w:p>
          <w:p w14:paraId="16C7CACD" w14:textId="77777777"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resulting from acquisitions through business combinations;</w:t>
            </w:r>
          </w:p>
          <w:p w14:paraId="09BBD346" w14:textId="77777777"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assets classified as held for sale or included in a disposal group and other disposals;</w:t>
            </w:r>
          </w:p>
          <w:p w14:paraId="05A4CBC5" w14:textId="77777777"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net gains or losses from fair value adjustments;</w:t>
            </w:r>
          </w:p>
          <w:p w14:paraId="1E2A05E8" w14:textId="2A28A498" w:rsidR="0057550F" w:rsidRPr="0021515A" w:rsidRDefault="0057550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transfers to and from inventories and owner-occupied property; and</w:t>
            </w:r>
          </w:p>
          <w:p w14:paraId="7ED5AAB1" w14:textId="4D3157BE" w:rsidR="0057550F" w:rsidRPr="0021515A" w:rsidRDefault="0057550F"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other changes.</w:t>
            </w:r>
          </w:p>
        </w:tc>
      </w:tr>
      <w:tr w:rsidR="0057550F" w:rsidRPr="00EA2AC3" w14:paraId="3B3778A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EB05218" w14:textId="0C2E5CDA"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140.75(c)</w:t>
            </w:r>
          </w:p>
        </w:tc>
        <w:tc>
          <w:tcPr>
            <w:tcW w:w="4257" w:type="pct"/>
            <w:gridSpan w:val="4"/>
            <w:tcBorders>
              <w:top w:val="nil"/>
              <w:left w:val="single" w:sz="4" w:space="0" w:color="auto"/>
              <w:bottom w:val="nil"/>
              <w:right w:val="nil"/>
            </w:tcBorders>
            <w:shd w:val="clear" w:color="auto" w:fill="7030A0"/>
          </w:tcPr>
          <w:p w14:paraId="4D4A6CA9" w14:textId="490F023B" w:rsidR="0057550F" w:rsidRPr="0021515A" w:rsidRDefault="0057550F" w:rsidP="0057550F">
            <w:pPr>
              <w:pStyle w:val="TableText"/>
              <w:spacing w:before="0" w:after="120"/>
              <w:rPr>
                <w:rFonts w:cs="Calibri"/>
                <w:color w:val="FFFFFF" w:themeColor="background1"/>
              </w:rPr>
            </w:pPr>
            <w:r w:rsidRPr="0021515A">
              <w:rPr>
                <w:rFonts w:cs="Calibri"/>
                <w:color w:val="FFFFFF" w:themeColor="background1"/>
              </w:rPr>
              <w:t>Where it is difficult for an agency to determine whether a property should be classified as an investment property, the criteria it uses to distinguish investment property from owner-occupied property and from property held for sale in the ordinary course of business must be disclosed</w:t>
            </w:r>
            <w:r>
              <w:rPr>
                <w:rFonts w:cs="Calibri"/>
                <w:color w:val="FFFFFF" w:themeColor="background1"/>
              </w:rPr>
              <w:t>.</w:t>
            </w:r>
          </w:p>
        </w:tc>
      </w:tr>
      <w:tr w:rsidR="0057550F" w:rsidRPr="00EA2AC3" w14:paraId="163E18E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CDD4089" w14:textId="77777777" w:rsidR="0057550F" w:rsidRPr="00BF30D3" w:rsidRDefault="0057550F" w:rsidP="0057550F">
            <w:pPr>
              <w:pStyle w:val="TableReference"/>
              <w:tabs>
                <w:tab w:val="left" w:pos="3306"/>
              </w:tabs>
              <w:spacing w:before="40"/>
              <w:rPr>
                <w:rFonts w:cs="Calibri"/>
                <w:color w:val="7030A0"/>
                <w:sz w:val="14"/>
              </w:rPr>
            </w:pPr>
          </w:p>
        </w:tc>
        <w:tc>
          <w:tcPr>
            <w:tcW w:w="4257" w:type="pct"/>
            <w:gridSpan w:val="4"/>
            <w:tcBorders>
              <w:top w:val="nil"/>
              <w:left w:val="single" w:sz="4" w:space="0" w:color="auto"/>
              <w:bottom w:val="nil"/>
              <w:right w:val="nil"/>
            </w:tcBorders>
            <w:shd w:val="clear" w:color="auto" w:fill="7030A0"/>
          </w:tcPr>
          <w:p w14:paraId="1F0176FA" w14:textId="44A98B97" w:rsidR="0057550F" w:rsidRPr="00581C35" w:rsidRDefault="0057550F" w:rsidP="00C87FF4">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Operating Lease Disclosures for Lessors</w:t>
            </w:r>
          </w:p>
        </w:tc>
      </w:tr>
      <w:tr w:rsidR="0057550F" w:rsidRPr="00EA2AC3" w14:paraId="173BE384"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B6475D6" w14:textId="39ABA01E"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16.88</w:t>
            </w:r>
          </w:p>
        </w:tc>
        <w:tc>
          <w:tcPr>
            <w:tcW w:w="4257" w:type="pct"/>
            <w:gridSpan w:val="4"/>
            <w:tcBorders>
              <w:top w:val="nil"/>
              <w:left w:val="single" w:sz="4" w:space="0" w:color="auto"/>
              <w:bottom w:val="nil"/>
              <w:right w:val="nil"/>
            </w:tcBorders>
            <w:shd w:val="clear" w:color="auto" w:fill="7030A0"/>
          </w:tcPr>
          <w:p w14:paraId="780948D4" w14:textId="5ADE6FD2" w:rsidR="0057550F" w:rsidRPr="0021515A" w:rsidRDefault="0057550F" w:rsidP="0057550F">
            <w:pPr>
              <w:pStyle w:val="TableText"/>
              <w:spacing w:before="0" w:after="120"/>
              <w:rPr>
                <w:rFonts w:cs="Calibri"/>
                <w:color w:val="FFFFFF" w:themeColor="background1"/>
              </w:rPr>
            </w:pPr>
            <w:r w:rsidRPr="0021515A">
              <w:rPr>
                <w:rFonts w:cs="Calibri"/>
                <w:color w:val="FFFFFF" w:themeColor="background1"/>
              </w:rPr>
              <w:t>Lessors shall present assets subject to operating leases in the Balance Sheets according to the nature of the underlying asset.</w:t>
            </w:r>
            <w:r>
              <w:rPr>
                <w:rFonts w:cs="Calibri"/>
                <w:color w:val="FFFFFF" w:themeColor="background1"/>
              </w:rPr>
              <w:t xml:space="preserve"> </w:t>
            </w:r>
            <w:r w:rsidRPr="0021515A">
              <w:rPr>
                <w:rFonts w:cs="Calibri"/>
                <w:color w:val="FFFFFF" w:themeColor="background1"/>
              </w:rPr>
              <w:t>In the case of ‘</w:t>
            </w:r>
            <w:r w:rsidRPr="0021515A">
              <w:rPr>
                <w:color w:val="FFFFFF" w:themeColor="background1"/>
              </w:rPr>
              <w:t>Burley Griffin</w:t>
            </w:r>
            <w:r w:rsidRPr="0021515A">
              <w:rPr>
                <w:rFonts w:cs="Calibri"/>
                <w:color w:val="FFFFFF" w:themeColor="background1"/>
              </w:rPr>
              <w:t xml:space="preserve"> Agency’ it is investment properties that are subject to an operating lease, however where, for example, an agency had property, plant and equipment under an operating lease, these assets should be disclosed in the property, plant and equipment note.</w:t>
            </w:r>
          </w:p>
        </w:tc>
      </w:tr>
      <w:tr w:rsidR="0057550F" w:rsidRPr="00EA2AC3" w14:paraId="60A702F5"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8229821" w14:textId="1426CBA0" w:rsidR="0057550F" w:rsidRPr="00BF30D3" w:rsidRDefault="0057550F" w:rsidP="0057550F">
            <w:pPr>
              <w:pStyle w:val="TableReference"/>
              <w:tabs>
                <w:tab w:val="left" w:pos="3306"/>
              </w:tabs>
              <w:spacing w:before="40"/>
              <w:rPr>
                <w:rFonts w:cs="Calibri"/>
                <w:color w:val="7030A0"/>
                <w:sz w:val="14"/>
              </w:rPr>
            </w:pPr>
            <w:r w:rsidRPr="00BF30D3">
              <w:rPr>
                <w:rFonts w:cs="Calibri"/>
                <w:color w:val="7030A0"/>
                <w:sz w:val="14"/>
              </w:rPr>
              <w:t>AASB 16.83</w:t>
            </w:r>
          </w:p>
        </w:tc>
        <w:tc>
          <w:tcPr>
            <w:tcW w:w="4257" w:type="pct"/>
            <w:gridSpan w:val="4"/>
            <w:tcBorders>
              <w:top w:val="nil"/>
              <w:left w:val="single" w:sz="4" w:space="0" w:color="auto"/>
              <w:bottom w:val="nil"/>
              <w:right w:val="nil"/>
            </w:tcBorders>
            <w:shd w:val="clear" w:color="auto" w:fill="7030A0"/>
          </w:tcPr>
          <w:p w14:paraId="62332F36" w14:textId="2D6B09AF" w:rsidR="0057550F" w:rsidRPr="0021515A" w:rsidRDefault="0057550F" w:rsidP="0057550F">
            <w:pPr>
              <w:pStyle w:val="TableText"/>
              <w:spacing w:before="0" w:after="120"/>
              <w:rPr>
                <w:rFonts w:cs="Calibri"/>
                <w:color w:val="FFFFFF" w:themeColor="background1"/>
              </w:rPr>
            </w:pPr>
            <w:r w:rsidRPr="0021515A">
              <w:rPr>
                <w:rFonts w:cs="Calibri"/>
                <w:color w:val="FFFFFF" w:themeColor="background1"/>
              </w:rPr>
              <w:t>Initial direct costs incurred by Lessors in negotiating and arranging an operating lease shall be added to the carrying amount of the leased asset and recognised as an expense over the lease term on the same basis as the lease income.</w:t>
            </w:r>
          </w:p>
        </w:tc>
      </w:tr>
    </w:tbl>
    <w:p w14:paraId="639FE09A" w14:textId="77777777" w:rsidR="00581C35" w:rsidRDefault="00581C35">
      <w:r>
        <w:br w:type="page"/>
      </w:r>
    </w:p>
    <w:tbl>
      <w:tblPr>
        <w:tblW w:w="104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99"/>
      </w:tblGrid>
      <w:tr w:rsidR="00581C35" w:rsidRPr="00CF7E1B" w14:paraId="62CB316F" w14:textId="77777777" w:rsidTr="002A16D9">
        <w:trPr>
          <w:cantSplit/>
          <w:trHeight w:val="23"/>
        </w:trPr>
        <w:tc>
          <w:tcPr>
            <w:tcW w:w="1560" w:type="dxa"/>
            <w:tcBorders>
              <w:top w:val="nil"/>
              <w:left w:val="single" w:sz="2" w:space="0" w:color="auto"/>
              <w:bottom w:val="nil"/>
              <w:right w:val="single" w:sz="2" w:space="0" w:color="auto"/>
            </w:tcBorders>
          </w:tcPr>
          <w:p w14:paraId="56D8688F" w14:textId="67C184DB" w:rsidR="00581C35" w:rsidRPr="005F0AAA" w:rsidRDefault="00581C35" w:rsidP="000159C3">
            <w:pPr>
              <w:pStyle w:val="TableReference"/>
              <w:tabs>
                <w:tab w:val="left" w:pos="3306"/>
              </w:tabs>
              <w:spacing w:before="120" w:after="60"/>
              <w:rPr>
                <w:rFonts w:cs="Calibri"/>
                <w:color w:val="7030A0"/>
                <w:sz w:val="14"/>
              </w:rPr>
            </w:pPr>
            <w:r w:rsidRPr="005F0AAA">
              <w:rPr>
                <w:rFonts w:cs="Calibri"/>
                <w:b/>
                <w:color w:val="7030A0"/>
                <w:sz w:val="22"/>
                <w:szCs w:val="22"/>
              </w:rPr>
              <w:t>Reference</w:t>
            </w:r>
          </w:p>
        </w:tc>
        <w:tc>
          <w:tcPr>
            <w:tcW w:w="8899" w:type="dxa"/>
            <w:tcBorders>
              <w:top w:val="nil"/>
              <w:left w:val="single" w:sz="2" w:space="0" w:color="auto"/>
              <w:bottom w:val="nil"/>
              <w:right w:val="nil"/>
            </w:tcBorders>
            <w:shd w:val="clear" w:color="auto" w:fill="7030A0"/>
          </w:tcPr>
          <w:p w14:paraId="75B2AE07" w14:textId="189FDC15" w:rsidR="00581C35" w:rsidRPr="005F0AAA" w:rsidRDefault="00581C35" w:rsidP="000159C3">
            <w:pPr>
              <w:pStyle w:val="CommentaryText"/>
              <w:spacing w:before="120" w:after="60"/>
              <w:rPr>
                <w:rFonts w:cs="Calibri"/>
                <w:color w:val="FFFFFF" w:themeColor="background1"/>
                <w:sz w:val="18"/>
                <w:szCs w:val="18"/>
              </w:rPr>
            </w:pPr>
            <w:r w:rsidRPr="0021515A">
              <w:rPr>
                <w:rFonts w:cs="Calibri"/>
                <w:b/>
                <w:color w:val="FFFFFF" w:themeColor="background1"/>
                <w:sz w:val="28"/>
                <w:szCs w:val="28"/>
              </w:rPr>
              <w:t>Commentary – Note 20: Investment Properties – Continued</w:t>
            </w:r>
          </w:p>
        </w:tc>
      </w:tr>
      <w:tr w:rsidR="00581C35" w:rsidRPr="00CF7E1B" w14:paraId="0DDB627F" w14:textId="77777777" w:rsidTr="002A16D9">
        <w:trPr>
          <w:cantSplit/>
          <w:trHeight w:val="23"/>
        </w:trPr>
        <w:tc>
          <w:tcPr>
            <w:tcW w:w="1560" w:type="dxa"/>
            <w:tcBorders>
              <w:top w:val="nil"/>
              <w:left w:val="single" w:sz="2" w:space="0" w:color="auto"/>
              <w:bottom w:val="nil"/>
              <w:right w:val="single" w:sz="2" w:space="0" w:color="auto"/>
            </w:tcBorders>
          </w:tcPr>
          <w:p w14:paraId="283468EF"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7DAA6B18" w14:textId="5C356C16" w:rsidR="00581C35" w:rsidRPr="00581C35" w:rsidRDefault="00581C35" w:rsidP="00C87FF4">
            <w:pPr>
              <w:pStyle w:val="CommentaryHeading"/>
              <w:spacing w:after="40"/>
              <w:rPr>
                <w:rFonts w:cs="Calibri"/>
                <w:color w:val="FFFFFF" w:themeColor="background1"/>
                <w:szCs w:val="20"/>
              </w:rPr>
            </w:pPr>
            <w:r w:rsidRPr="00581C35">
              <w:rPr>
                <w:rFonts w:cs="Calibri"/>
                <w:color w:val="FFFFFF" w:themeColor="background1"/>
                <w:szCs w:val="20"/>
              </w:rPr>
              <w:t>Fair Value Hierarchy</w:t>
            </w:r>
          </w:p>
        </w:tc>
      </w:tr>
      <w:tr w:rsidR="00581C35" w:rsidRPr="00CF7E1B" w14:paraId="37AFC31C" w14:textId="77777777" w:rsidTr="00526C44">
        <w:trPr>
          <w:cantSplit/>
          <w:trHeight w:val="495"/>
        </w:trPr>
        <w:tc>
          <w:tcPr>
            <w:tcW w:w="1560" w:type="dxa"/>
            <w:tcBorders>
              <w:top w:val="nil"/>
              <w:left w:val="single" w:sz="2" w:space="0" w:color="auto"/>
              <w:bottom w:val="nil"/>
              <w:right w:val="single" w:sz="2" w:space="0" w:color="auto"/>
            </w:tcBorders>
          </w:tcPr>
          <w:p w14:paraId="345E4F78" w14:textId="468CB0FB" w:rsidR="00581C35" w:rsidRPr="005F0AAA" w:rsidRDefault="00581C35" w:rsidP="00581C35">
            <w:pPr>
              <w:pStyle w:val="TableReference"/>
              <w:tabs>
                <w:tab w:val="left" w:pos="3306"/>
              </w:tabs>
              <w:rPr>
                <w:rFonts w:cs="Calibri"/>
                <w:color w:val="7030A0"/>
                <w:sz w:val="14"/>
              </w:rPr>
            </w:pPr>
          </w:p>
        </w:tc>
        <w:tc>
          <w:tcPr>
            <w:tcW w:w="8899" w:type="dxa"/>
            <w:tcBorders>
              <w:top w:val="nil"/>
              <w:left w:val="single" w:sz="2" w:space="0" w:color="auto"/>
              <w:bottom w:val="nil"/>
              <w:right w:val="nil"/>
            </w:tcBorders>
            <w:shd w:val="clear" w:color="auto" w:fill="7030A0"/>
          </w:tcPr>
          <w:p w14:paraId="211B8450" w14:textId="08806E0A" w:rsidR="00581C35" w:rsidRPr="00581C35" w:rsidRDefault="00581C35" w:rsidP="00581C35">
            <w:pPr>
              <w:pStyle w:val="CommentaryText"/>
              <w:tabs>
                <w:tab w:val="left" w:pos="3306"/>
              </w:tabs>
              <w:spacing w:after="0"/>
              <w:rPr>
                <w:rFonts w:cs="Calibri"/>
                <w:color w:val="FFFFFF" w:themeColor="background1"/>
                <w:sz w:val="18"/>
                <w:szCs w:val="18"/>
              </w:rPr>
            </w:pPr>
            <w:r w:rsidRPr="00581C35">
              <w:rPr>
                <w:rFonts w:cs="Calibri"/>
                <w:color w:val="FFFFFF" w:themeColor="background1"/>
                <w:sz w:val="18"/>
                <w:szCs w:val="18"/>
              </w:rPr>
              <w:t xml:space="preserve">A detailed discussion of the concepts, methodologies and disclosures relating to </w:t>
            </w:r>
            <w:r w:rsidRPr="00581C35">
              <w:rPr>
                <w:rFonts w:cs="Calibri"/>
                <w:iCs/>
                <w:color w:val="FFFFFF" w:themeColor="background1"/>
                <w:sz w:val="18"/>
                <w:szCs w:val="18"/>
              </w:rPr>
              <w:t>fair value hierarchy</w:t>
            </w:r>
            <w:r w:rsidRPr="00581C35">
              <w:rPr>
                <w:rFonts w:cs="Calibri"/>
                <w:color w:val="FFFFFF" w:themeColor="background1"/>
                <w:sz w:val="18"/>
                <w:szCs w:val="18"/>
              </w:rPr>
              <w:t xml:space="preserve"> is found in the Commentary to </w:t>
            </w:r>
            <w:r w:rsidRPr="00581C35">
              <w:rPr>
                <w:rFonts w:cs="Calibri"/>
                <w:iCs/>
                <w:color w:val="FFFFFF" w:themeColor="background1"/>
                <w:sz w:val="18"/>
                <w:szCs w:val="18"/>
              </w:rPr>
              <w:t xml:space="preserve">Note 19 </w:t>
            </w:r>
            <w:r w:rsidRPr="00581C35">
              <w:rPr>
                <w:rFonts w:cs="Calibri"/>
                <w:i/>
                <w:color w:val="FFFFFF" w:themeColor="background1"/>
                <w:sz w:val="18"/>
                <w:szCs w:val="18"/>
              </w:rPr>
              <w:t>Property, Plant and Equipment</w:t>
            </w:r>
            <w:r w:rsidRPr="00581C35">
              <w:rPr>
                <w:rFonts w:cs="Calibri"/>
                <w:color w:val="FFFFFF" w:themeColor="background1"/>
                <w:sz w:val="18"/>
                <w:szCs w:val="18"/>
              </w:rPr>
              <w:t>.</w:t>
            </w:r>
          </w:p>
        </w:tc>
      </w:tr>
      <w:tr w:rsidR="00581C35" w:rsidRPr="00CF7E1B" w14:paraId="7C851519" w14:textId="77777777" w:rsidTr="002A16D9">
        <w:trPr>
          <w:cantSplit/>
          <w:trHeight w:val="23"/>
        </w:trPr>
        <w:tc>
          <w:tcPr>
            <w:tcW w:w="1560" w:type="dxa"/>
            <w:tcBorders>
              <w:top w:val="nil"/>
              <w:left w:val="single" w:sz="2" w:space="0" w:color="auto"/>
              <w:bottom w:val="nil"/>
              <w:right w:val="single" w:sz="2" w:space="0" w:color="auto"/>
            </w:tcBorders>
          </w:tcPr>
          <w:p w14:paraId="6CDCDF0A" w14:textId="04C055B8" w:rsidR="00581C35" w:rsidRPr="005F0AAA" w:rsidRDefault="00581C35" w:rsidP="00581C35">
            <w:pPr>
              <w:pStyle w:val="TableReference"/>
              <w:tabs>
                <w:tab w:val="left" w:pos="3306"/>
              </w:tabs>
              <w:rPr>
                <w:rFonts w:cs="Calibri"/>
                <w:color w:val="7030A0"/>
                <w:sz w:val="14"/>
              </w:rPr>
            </w:pPr>
            <w:r w:rsidRPr="00BF30D3">
              <w:rPr>
                <w:rFonts w:cs="Calibri"/>
                <w:color w:val="7030A0"/>
                <w:sz w:val="14"/>
              </w:rPr>
              <w:t>AASB 16.84</w:t>
            </w:r>
          </w:p>
        </w:tc>
        <w:tc>
          <w:tcPr>
            <w:tcW w:w="8899" w:type="dxa"/>
            <w:tcBorders>
              <w:top w:val="nil"/>
              <w:left w:val="single" w:sz="2" w:space="0" w:color="auto"/>
              <w:bottom w:val="nil"/>
              <w:right w:val="nil"/>
            </w:tcBorders>
            <w:shd w:val="clear" w:color="auto" w:fill="7030A0"/>
          </w:tcPr>
          <w:p w14:paraId="7065629D" w14:textId="420A28F5" w:rsidR="00581C35" w:rsidRPr="00581C35" w:rsidRDefault="00581C35" w:rsidP="00526C44">
            <w:pPr>
              <w:pStyle w:val="CommentaryHeading"/>
              <w:spacing w:before="0" w:after="0"/>
              <w:jc w:val="both"/>
              <w:rPr>
                <w:rFonts w:cs="Calibri"/>
                <w:b w:val="0"/>
                <w:bCs w:val="0"/>
                <w:color w:val="FFFFFF" w:themeColor="background1"/>
                <w:sz w:val="18"/>
              </w:rPr>
            </w:pPr>
            <w:r w:rsidRPr="00581C35">
              <w:rPr>
                <w:rFonts w:cs="Calibri"/>
                <w:b w:val="0"/>
                <w:bCs w:val="0"/>
                <w:color w:val="FFFFFF" w:themeColor="background1"/>
                <w:sz w:val="18"/>
              </w:rPr>
              <w:t xml:space="preserve">The depreciation policy for depreciable assets under an operating lease must be consistent with the lessor’s normal depreciation policy for similar assets, and depreciation and amortisation calculated in accordance with AASB 116 </w:t>
            </w:r>
            <w:r w:rsidRPr="00581C35">
              <w:rPr>
                <w:rFonts w:cs="Calibri"/>
                <w:b w:val="0"/>
                <w:bCs w:val="0"/>
                <w:i/>
                <w:iCs/>
                <w:color w:val="FFFFFF" w:themeColor="background1"/>
                <w:sz w:val="18"/>
              </w:rPr>
              <w:t>Property, Plant and Equipment</w:t>
            </w:r>
            <w:r w:rsidRPr="00581C35">
              <w:rPr>
                <w:rFonts w:cs="Calibri"/>
                <w:b w:val="0"/>
                <w:bCs w:val="0"/>
                <w:color w:val="FFFFFF" w:themeColor="background1"/>
                <w:sz w:val="18"/>
              </w:rPr>
              <w:t xml:space="preserve"> and AASB 138 </w:t>
            </w:r>
            <w:r w:rsidRPr="00581C35">
              <w:rPr>
                <w:rFonts w:cs="Calibri"/>
                <w:b w:val="0"/>
                <w:bCs w:val="0"/>
                <w:i/>
                <w:color w:val="FFFFFF" w:themeColor="background1"/>
                <w:sz w:val="18"/>
              </w:rPr>
              <w:t>Intangible Assets</w:t>
            </w:r>
            <w:r w:rsidRPr="00581C35">
              <w:rPr>
                <w:rFonts w:cs="Calibri"/>
                <w:b w:val="0"/>
                <w:bCs w:val="0"/>
                <w:color w:val="FFFFFF" w:themeColor="background1"/>
                <w:sz w:val="18"/>
              </w:rPr>
              <w:t>.</w:t>
            </w:r>
          </w:p>
        </w:tc>
      </w:tr>
      <w:tr w:rsidR="00581C35" w:rsidRPr="00CF7E1B" w14:paraId="600412B4" w14:textId="77777777" w:rsidTr="002A16D9">
        <w:trPr>
          <w:cantSplit/>
          <w:trHeight w:val="23"/>
        </w:trPr>
        <w:tc>
          <w:tcPr>
            <w:tcW w:w="1560" w:type="dxa"/>
            <w:tcBorders>
              <w:top w:val="nil"/>
              <w:left w:val="single" w:sz="2" w:space="0" w:color="auto"/>
              <w:bottom w:val="nil"/>
              <w:right w:val="single" w:sz="2" w:space="0" w:color="auto"/>
            </w:tcBorders>
          </w:tcPr>
          <w:p w14:paraId="4F8B88B0" w14:textId="77777777" w:rsidR="00581C35" w:rsidRDefault="00581C35" w:rsidP="00581C35">
            <w:pPr>
              <w:pStyle w:val="TableReference"/>
              <w:tabs>
                <w:tab w:val="left" w:pos="3306"/>
              </w:tabs>
              <w:spacing w:before="60"/>
              <w:rPr>
                <w:rFonts w:cs="Calibri"/>
                <w:color w:val="7030A0"/>
                <w:sz w:val="14"/>
              </w:rPr>
            </w:pPr>
            <w:r w:rsidRPr="00BF30D3">
              <w:rPr>
                <w:rFonts w:cs="Calibri"/>
                <w:color w:val="7030A0"/>
                <w:sz w:val="14"/>
              </w:rPr>
              <w:t>AASB 16.90(b)</w:t>
            </w:r>
          </w:p>
          <w:p w14:paraId="188747DC" w14:textId="42B1A4F6" w:rsidR="00581C35" w:rsidRPr="00C26240" w:rsidRDefault="00581C35" w:rsidP="00581C35">
            <w:pPr>
              <w:pStyle w:val="TableReference"/>
              <w:tabs>
                <w:tab w:val="left" w:pos="3306"/>
              </w:tabs>
              <w:spacing w:before="60"/>
              <w:rPr>
                <w:rFonts w:cs="Calibri"/>
                <w:strike/>
                <w:color w:val="7030A0"/>
                <w:sz w:val="14"/>
              </w:rPr>
            </w:pPr>
            <w:r w:rsidRPr="00C26240">
              <w:rPr>
                <w:rFonts w:cs="Calibri"/>
                <w:strike/>
                <w:color w:val="FF0000"/>
                <w:sz w:val="14"/>
              </w:rPr>
              <w:t>AASB 140.75(b)</w:t>
            </w:r>
          </w:p>
        </w:tc>
        <w:tc>
          <w:tcPr>
            <w:tcW w:w="8899" w:type="dxa"/>
            <w:tcBorders>
              <w:top w:val="nil"/>
              <w:left w:val="single" w:sz="2" w:space="0" w:color="auto"/>
              <w:bottom w:val="nil"/>
              <w:right w:val="nil"/>
            </w:tcBorders>
            <w:shd w:val="clear" w:color="auto" w:fill="7030A0"/>
          </w:tcPr>
          <w:p w14:paraId="18DC8C6E" w14:textId="1AD2291B" w:rsidR="00581C35" w:rsidRPr="00581C35" w:rsidRDefault="00581C35" w:rsidP="00581C35">
            <w:pPr>
              <w:pStyle w:val="CommentaryText"/>
              <w:tabs>
                <w:tab w:val="left" w:pos="3306"/>
              </w:tabs>
              <w:spacing w:before="120" w:after="0"/>
              <w:rPr>
                <w:rFonts w:cs="Calibri"/>
                <w:color w:val="FFFFFF" w:themeColor="background1"/>
                <w:sz w:val="18"/>
                <w:szCs w:val="18"/>
              </w:rPr>
            </w:pPr>
            <w:r w:rsidRPr="00581C35">
              <w:rPr>
                <w:rFonts w:cs="Calibri"/>
                <w:color w:val="FFFFFF" w:themeColor="background1"/>
                <w:sz w:val="18"/>
                <w:szCs w:val="18"/>
              </w:rPr>
              <w:t>For operating leases, lessors shall separately disclose income relating to variable lease payments that do not depend on an index or a rate.</w:t>
            </w:r>
          </w:p>
        </w:tc>
      </w:tr>
      <w:tr w:rsidR="00581C35" w:rsidRPr="00CF7E1B" w14:paraId="4C6B5875" w14:textId="77777777" w:rsidTr="000159C3">
        <w:trPr>
          <w:cantSplit/>
          <w:trHeight w:hRule="exact" w:val="481"/>
        </w:trPr>
        <w:tc>
          <w:tcPr>
            <w:tcW w:w="1560" w:type="dxa"/>
            <w:tcBorders>
              <w:top w:val="nil"/>
              <w:left w:val="single" w:sz="2" w:space="0" w:color="auto"/>
              <w:bottom w:val="nil"/>
              <w:right w:val="single" w:sz="2" w:space="0" w:color="auto"/>
            </w:tcBorders>
          </w:tcPr>
          <w:p w14:paraId="174E6CD1"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36B15735" w14:textId="0B7FAC15" w:rsidR="00581C35" w:rsidRPr="00152C5D" w:rsidRDefault="00581C35" w:rsidP="000159C3">
            <w:pPr>
              <w:pStyle w:val="CommentaryHeading"/>
              <w:spacing w:before="0" w:after="0"/>
              <w:jc w:val="both"/>
              <w:rPr>
                <w:rFonts w:cs="Calibri"/>
                <w:b w:val="0"/>
                <w:bCs w:val="0"/>
                <w:strike/>
                <w:color w:val="FF0000"/>
                <w:sz w:val="18"/>
              </w:rPr>
            </w:pPr>
            <w:r w:rsidRPr="00152C5D">
              <w:rPr>
                <w:rFonts w:cs="Calibri"/>
                <w:b w:val="0"/>
                <w:bCs w:val="0"/>
                <w:strike/>
                <w:color w:val="FF0000"/>
                <w:sz w:val="18"/>
              </w:rPr>
              <w:t>Where agencies apply the fair value model, they shall disclose whether, and in what circumstances, property interests held under operating leases are classified and accounted for as investment property.</w:t>
            </w:r>
          </w:p>
        </w:tc>
      </w:tr>
      <w:tr w:rsidR="00581C35" w:rsidRPr="00CF7E1B" w14:paraId="7F5F883F" w14:textId="77777777" w:rsidTr="002A16D9">
        <w:trPr>
          <w:cantSplit/>
          <w:trHeight w:val="23"/>
        </w:trPr>
        <w:tc>
          <w:tcPr>
            <w:tcW w:w="1560" w:type="dxa"/>
            <w:tcBorders>
              <w:top w:val="nil"/>
              <w:left w:val="single" w:sz="2" w:space="0" w:color="auto"/>
              <w:bottom w:val="nil"/>
              <w:right w:val="single" w:sz="2" w:space="0" w:color="auto"/>
            </w:tcBorders>
          </w:tcPr>
          <w:p w14:paraId="4D2D4FED" w14:textId="0A9BB811"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12BD3323" w14:textId="49599996" w:rsidR="00581C35" w:rsidRPr="00152C5D" w:rsidRDefault="00581C35" w:rsidP="000159C3">
            <w:pPr>
              <w:pStyle w:val="CommentaryText"/>
              <w:tabs>
                <w:tab w:val="left" w:pos="3306"/>
              </w:tabs>
              <w:spacing w:after="0"/>
              <w:rPr>
                <w:rFonts w:cs="Calibri"/>
                <w:strike/>
                <w:color w:val="FF0000"/>
                <w:sz w:val="18"/>
                <w:szCs w:val="18"/>
              </w:rPr>
            </w:pPr>
            <w:r w:rsidRPr="00152C5D">
              <w:rPr>
                <w:rFonts w:cs="Calibri"/>
                <w:strike/>
                <w:color w:val="FF0000"/>
                <w:sz w:val="18"/>
                <w:szCs w:val="18"/>
              </w:rPr>
              <w:t>Fair Value Disclosures</w:t>
            </w:r>
          </w:p>
        </w:tc>
      </w:tr>
      <w:tr w:rsidR="00581C35" w:rsidRPr="00CF7E1B" w14:paraId="1AEE3433" w14:textId="77777777" w:rsidTr="002A16D9">
        <w:trPr>
          <w:cantSplit/>
          <w:trHeight w:val="23"/>
        </w:trPr>
        <w:tc>
          <w:tcPr>
            <w:tcW w:w="1560" w:type="dxa"/>
            <w:tcBorders>
              <w:top w:val="nil"/>
              <w:left w:val="single" w:sz="2" w:space="0" w:color="auto"/>
              <w:bottom w:val="nil"/>
              <w:right w:val="single" w:sz="2" w:space="0" w:color="auto"/>
            </w:tcBorders>
          </w:tcPr>
          <w:p w14:paraId="14EB65BC"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25AA8CF4" w14:textId="128F44FA" w:rsidR="00581C35" w:rsidRPr="00581C35" w:rsidRDefault="00581C35" w:rsidP="00C87FF4">
            <w:pPr>
              <w:pStyle w:val="CommentaryText"/>
              <w:tabs>
                <w:tab w:val="left" w:pos="3306"/>
              </w:tabs>
              <w:spacing w:after="40"/>
              <w:rPr>
                <w:rFonts w:cs="Calibri"/>
                <w:color w:val="FFFFFF" w:themeColor="background1"/>
                <w:szCs w:val="20"/>
              </w:rPr>
            </w:pPr>
            <w:r w:rsidRPr="00581C35">
              <w:rPr>
                <w:b/>
                <w:bCs/>
                <w:color w:val="FFFFFF" w:themeColor="background1"/>
                <w:szCs w:val="20"/>
              </w:rPr>
              <w:t>Adjustment for Revalued Investment Properties</w:t>
            </w:r>
          </w:p>
        </w:tc>
      </w:tr>
      <w:tr w:rsidR="00581C35" w:rsidRPr="00CF7E1B" w14:paraId="25CCF80D" w14:textId="77777777" w:rsidTr="002A16D9">
        <w:trPr>
          <w:cantSplit/>
          <w:trHeight w:val="23"/>
        </w:trPr>
        <w:tc>
          <w:tcPr>
            <w:tcW w:w="1560" w:type="dxa"/>
            <w:tcBorders>
              <w:top w:val="nil"/>
              <w:left w:val="single" w:sz="2" w:space="0" w:color="auto"/>
              <w:bottom w:val="nil"/>
              <w:right w:val="single" w:sz="2" w:space="0" w:color="auto"/>
            </w:tcBorders>
          </w:tcPr>
          <w:p w14:paraId="631DA942" w14:textId="3A46B5E2" w:rsidR="00581C35" w:rsidRPr="005F0AAA" w:rsidRDefault="00581C35" w:rsidP="00581C35">
            <w:pPr>
              <w:pStyle w:val="TableReference"/>
              <w:tabs>
                <w:tab w:val="left" w:pos="3306"/>
              </w:tabs>
              <w:spacing w:before="60"/>
              <w:rPr>
                <w:rFonts w:cs="Calibri"/>
                <w:color w:val="7030A0"/>
                <w:sz w:val="14"/>
              </w:rPr>
            </w:pPr>
            <w:r w:rsidRPr="00BF30D3">
              <w:rPr>
                <w:rFonts w:cs="Calibri"/>
                <w:color w:val="7030A0"/>
                <w:sz w:val="14"/>
              </w:rPr>
              <w:t>AASB 140.77</w:t>
            </w:r>
          </w:p>
        </w:tc>
        <w:tc>
          <w:tcPr>
            <w:tcW w:w="8899" w:type="dxa"/>
            <w:tcBorders>
              <w:top w:val="nil"/>
              <w:left w:val="single" w:sz="2" w:space="0" w:color="auto"/>
              <w:bottom w:val="nil"/>
              <w:right w:val="nil"/>
            </w:tcBorders>
            <w:shd w:val="clear" w:color="auto" w:fill="7030A0"/>
          </w:tcPr>
          <w:p w14:paraId="4354C0BF" w14:textId="2469B6BB" w:rsidR="00581C35" w:rsidRPr="00581C35" w:rsidRDefault="00581C35" w:rsidP="00581C35">
            <w:pPr>
              <w:pStyle w:val="CommentaryText"/>
              <w:autoSpaceDE w:val="0"/>
              <w:autoSpaceDN w:val="0"/>
              <w:adjustRightInd w:val="0"/>
              <w:rPr>
                <w:color w:val="FFFFFF" w:themeColor="background1"/>
                <w:sz w:val="18"/>
                <w:szCs w:val="18"/>
              </w:rPr>
            </w:pPr>
            <w:r w:rsidRPr="00581C35">
              <w:rPr>
                <w:rFonts w:cs="Calibri"/>
                <w:color w:val="FFFFFF" w:themeColor="background1"/>
                <w:sz w:val="18"/>
                <w:szCs w:val="18"/>
              </w:rPr>
              <w:t xml:space="preserve">Where an investment property that is held at fair value, and as such needs to be revalued every year, it may be necessary to </w:t>
            </w:r>
            <w:r w:rsidRPr="00581C35">
              <w:rPr>
                <w:color w:val="FFFFFF" w:themeColor="background1"/>
                <w:sz w:val="18"/>
                <w:szCs w:val="18"/>
              </w:rPr>
              <w:t xml:space="preserve">significantly adjust the value of the investment property in order to avoid double counting of assets that are recognised as separate assets. For </w:t>
            </w:r>
            <w:r w:rsidR="00FA6F25" w:rsidRPr="00581C35">
              <w:rPr>
                <w:color w:val="FFFFFF" w:themeColor="background1"/>
                <w:sz w:val="18"/>
                <w:szCs w:val="18"/>
              </w:rPr>
              <w:t>example,</w:t>
            </w:r>
            <w:r w:rsidRPr="00581C35">
              <w:rPr>
                <w:color w:val="FFFFFF" w:themeColor="background1"/>
                <w:sz w:val="18"/>
                <w:szCs w:val="18"/>
              </w:rPr>
              <w:t xml:space="preserve"> where furniture/fitting or equipment like a lift/air-conditioning unit have been included in the value of the investment property but an agency has already taken up these assets separately as plant and equipment, then it will need to adjust the value of the investment property. However, these examples of double counting may be able to be avoided by agencies having discussions with their valuers to see whether these items can be excluded from the valuation. Also the fair value of investment property may need to be reduced because it excludes prepaid or accrued operating lease income, due to the agency recognising this as a separate liability or asset.</w:t>
            </w:r>
          </w:p>
          <w:p w14:paraId="03F33F38" w14:textId="257337CE" w:rsidR="00581C35" w:rsidRPr="00581C35" w:rsidRDefault="00581C35" w:rsidP="00581C35">
            <w:pPr>
              <w:pStyle w:val="CommentaryText"/>
              <w:tabs>
                <w:tab w:val="left" w:pos="3306"/>
              </w:tabs>
              <w:rPr>
                <w:b/>
                <w:bCs/>
                <w:color w:val="FFFFFF" w:themeColor="background1"/>
                <w:sz w:val="18"/>
                <w:szCs w:val="18"/>
              </w:rPr>
            </w:pPr>
            <w:r w:rsidRPr="00581C35">
              <w:rPr>
                <w:color w:val="FFFFFF" w:themeColor="background1"/>
                <w:sz w:val="18"/>
                <w:szCs w:val="18"/>
              </w:rPr>
              <w:t xml:space="preserve">Where the value of the investment property needs to be reduced, agencies shall disclose a reconciliation between the valuation obtained and the adjusted valuation included in the financial statements, showing separately the aggregate amount of any recognised lease obligations that have been added back, and any other significant adjustments. </w:t>
            </w:r>
          </w:p>
        </w:tc>
      </w:tr>
    </w:tbl>
    <w:tbl>
      <w:tblPr>
        <w:tblpPr w:leftFromText="180" w:rightFromText="180" w:vertAnchor="text" w:tblpX="-6" w:tblpY="1"/>
        <w:tblOverlap w:val="neve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819"/>
        <w:gridCol w:w="1843"/>
        <w:gridCol w:w="2268"/>
      </w:tblGrid>
      <w:tr w:rsidR="009F2B4C" w:rsidRPr="00F80177" w14:paraId="6D4DDE0C" w14:textId="77777777" w:rsidTr="002A16D9">
        <w:trPr>
          <w:cantSplit/>
          <w:trHeight w:val="23"/>
        </w:trPr>
        <w:tc>
          <w:tcPr>
            <w:tcW w:w="1557" w:type="dxa"/>
            <w:tcBorders>
              <w:top w:val="nil"/>
              <w:left w:val="single" w:sz="2" w:space="0" w:color="auto"/>
              <w:bottom w:val="nil"/>
              <w:right w:val="single" w:sz="2" w:space="0" w:color="auto"/>
            </w:tcBorders>
          </w:tcPr>
          <w:p w14:paraId="7415DE60" w14:textId="50C48A93" w:rsidR="009F2B4C" w:rsidRPr="005F0AAA" w:rsidRDefault="009F2B4C" w:rsidP="00055FB5">
            <w:pPr>
              <w:pStyle w:val="TableReference"/>
              <w:tabs>
                <w:tab w:val="left" w:pos="3306"/>
              </w:tabs>
              <w:spacing w:before="240" w:after="240"/>
              <w:rPr>
                <w:rFonts w:cs="Calibri"/>
                <w:color w:val="7030A0"/>
                <w:sz w:val="22"/>
                <w:szCs w:val="22"/>
              </w:rPr>
            </w:pPr>
          </w:p>
        </w:tc>
        <w:tc>
          <w:tcPr>
            <w:tcW w:w="8930" w:type="dxa"/>
            <w:gridSpan w:val="3"/>
            <w:tcBorders>
              <w:top w:val="nil"/>
              <w:left w:val="single" w:sz="2" w:space="0" w:color="auto"/>
              <w:bottom w:val="nil"/>
              <w:right w:val="nil"/>
            </w:tcBorders>
            <w:vAlign w:val="bottom"/>
          </w:tcPr>
          <w:p w14:paraId="0600F1EE" w14:textId="2BF65CD3" w:rsidR="009F2B4C" w:rsidRPr="005F0AAA" w:rsidRDefault="009F2B4C" w:rsidP="00055FB5">
            <w:pPr>
              <w:pStyle w:val="Heading1"/>
              <w:numPr>
                <w:ilvl w:val="0"/>
                <w:numId w:val="0"/>
              </w:numPr>
              <w:rPr>
                <w:rFonts w:cs="Calibri"/>
                <w:sz w:val="20"/>
                <w:szCs w:val="20"/>
              </w:rPr>
            </w:pPr>
            <w:bookmarkStart w:id="654" w:name="_Toc49224100"/>
            <w:bookmarkStart w:id="655" w:name="_Ref50365599"/>
            <w:bookmarkStart w:id="656" w:name="_Toc50440375"/>
            <w:bookmarkStart w:id="657" w:name="_Ref50524135"/>
            <w:bookmarkStart w:id="658" w:name="_Toc400627346"/>
            <w:bookmarkStart w:id="659" w:name="intangibleAssets"/>
            <w:bookmarkStart w:id="660" w:name="_Toc132743811"/>
            <w:r w:rsidRPr="005F0AAA">
              <w:t xml:space="preserve">Note </w:t>
            </w:r>
            <w:r w:rsidR="00DE287B" w:rsidRPr="005F0AAA">
              <w:t>21</w:t>
            </w:r>
            <w:r w:rsidRPr="005F0AAA">
              <w:t>.</w:t>
            </w:r>
            <w:r w:rsidR="00FA7C77">
              <w:t xml:space="preserve"> </w:t>
            </w:r>
            <w:r w:rsidRPr="005F0AAA">
              <w:t xml:space="preserve"> I</w:t>
            </w:r>
            <w:bookmarkEnd w:id="654"/>
            <w:bookmarkEnd w:id="655"/>
            <w:bookmarkEnd w:id="656"/>
            <w:bookmarkEnd w:id="657"/>
            <w:r w:rsidRPr="005F0AAA">
              <w:t>ntangible Assets</w:t>
            </w:r>
            <w:bookmarkEnd w:id="658"/>
            <w:bookmarkEnd w:id="659"/>
            <w:bookmarkEnd w:id="660"/>
          </w:p>
        </w:tc>
      </w:tr>
      <w:tr w:rsidR="002C0D3B" w:rsidRPr="00F80177" w14:paraId="710A687F" w14:textId="77777777" w:rsidTr="002A16D9">
        <w:trPr>
          <w:cantSplit/>
          <w:trHeight w:val="23"/>
        </w:trPr>
        <w:tc>
          <w:tcPr>
            <w:tcW w:w="1557" w:type="dxa"/>
            <w:tcBorders>
              <w:top w:val="nil"/>
              <w:left w:val="single" w:sz="2" w:space="0" w:color="auto"/>
              <w:bottom w:val="nil"/>
              <w:right w:val="single" w:sz="2" w:space="0" w:color="auto"/>
            </w:tcBorders>
          </w:tcPr>
          <w:p w14:paraId="5DB9D28C" w14:textId="77777777" w:rsidR="002C0D3B" w:rsidRPr="005F0AAA" w:rsidRDefault="002C0D3B" w:rsidP="00055FB5">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3CCF1FF9" w14:textId="5EC9B362" w:rsidR="002C0D3B" w:rsidRPr="0028231E" w:rsidRDefault="00C7606A" w:rsidP="0028231E">
            <w:pPr>
              <w:jc w:val="both"/>
              <w:rPr>
                <w:b/>
                <w:bCs/>
                <w:sz w:val="18"/>
                <w:szCs w:val="18"/>
              </w:rPr>
            </w:pPr>
            <w:bookmarkStart w:id="661" w:name="_Hlk87447431"/>
            <w:bookmarkStart w:id="662" w:name="_Toc98763137"/>
            <w:r w:rsidRPr="0028231E">
              <w:rPr>
                <w:b/>
                <w:bCs/>
                <w:sz w:val="18"/>
                <w:szCs w:val="18"/>
              </w:rPr>
              <w:t>Description</w:t>
            </w:r>
            <w:bookmarkEnd w:id="661"/>
            <w:r w:rsidRPr="0028231E">
              <w:rPr>
                <w:b/>
                <w:bCs/>
                <w:sz w:val="18"/>
                <w:szCs w:val="18"/>
              </w:rPr>
              <w:t xml:space="preserve"> and Material Accounting Policies Relating to Intangible Assets</w:t>
            </w:r>
            <w:bookmarkEnd w:id="662"/>
            <w:r w:rsidR="00FA7C77" w:rsidRPr="0028231E">
              <w:rPr>
                <w:b/>
                <w:bCs/>
                <w:sz w:val="18"/>
                <w:szCs w:val="18"/>
              </w:rPr>
              <w:t xml:space="preserve"> </w:t>
            </w:r>
          </w:p>
        </w:tc>
      </w:tr>
      <w:tr w:rsidR="009F2B4C" w:rsidRPr="00D55D0B" w14:paraId="04CE2F28" w14:textId="77777777" w:rsidTr="002A16D9">
        <w:trPr>
          <w:cantSplit/>
          <w:trHeight w:val="23"/>
        </w:trPr>
        <w:tc>
          <w:tcPr>
            <w:tcW w:w="1557" w:type="dxa"/>
            <w:tcBorders>
              <w:top w:val="nil"/>
              <w:left w:val="single" w:sz="2" w:space="0" w:color="auto"/>
              <w:bottom w:val="nil"/>
              <w:right w:val="single" w:sz="2" w:space="0" w:color="auto"/>
            </w:tcBorders>
          </w:tcPr>
          <w:p w14:paraId="5F4C611A" w14:textId="77777777" w:rsidR="009F2B4C" w:rsidRPr="005F0AAA" w:rsidRDefault="009F2B4C"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0360E45" w14:textId="6C919560" w:rsidR="009F2B4C" w:rsidRPr="005F0AAA" w:rsidRDefault="009F2B4C" w:rsidP="00055FB5">
            <w:pPr>
              <w:pStyle w:val="TableText"/>
              <w:jc w:val="both"/>
            </w:pPr>
            <w:r w:rsidRPr="005F0AAA">
              <w:rPr>
                <w:rFonts w:cs="Calibri"/>
              </w:rPr>
              <w:t>The Agency has internally generated software and externally purchased software. The internally generated software consists of two large software systems, while the externally purchased software consists of 520 software licences.</w:t>
            </w:r>
            <w:r w:rsidR="00FA7C77">
              <w:rPr>
                <w:rFonts w:cs="Calibri"/>
              </w:rPr>
              <w:t xml:space="preserve"> </w:t>
            </w:r>
            <w:r w:rsidRPr="005F0AAA">
              <w:rPr>
                <w:rFonts w:cs="Calibri"/>
              </w:rPr>
              <w:t>Other Intangibles recognised below are all externally purchased.</w:t>
            </w:r>
          </w:p>
        </w:tc>
      </w:tr>
      <w:tr w:rsidR="00EF79AC" w:rsidRPr="00D55D0B" w14:paraId="5D078A84" w14:textId="77777777" w:rsidTr="002A16D9">
        <w:trPr>
          <w:cantSplit/>
          <w:trHeight w:val="23"/>
        </w:trPr>
        <w:tc>
          <w:tcPr>
            <w:tcW w:w="1557" w:type="dxa"/>
            <w:tcBorders>
              <w:top w:val="nil"/>
              <w:left w:val="single" w:sz="2" w:space="0" w:color="auto"/>
              <w:bottom w:val="nil"/>
              <w:right w:val="single" w:sz="2" w:space="0" w:color="auto"/>
            </w:tcBorders>
          </w:tcPr>
          <w:p w14:paraId="7CF793C5" w14:textId="77777777" w:rsidR="00EF79AC" w:rsidRPr="005F0AAA" w:rsidRDefault="00EF79AC"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40ECF1DD" w14:textId="16F4BC2D" w:rsidR="00EF79AC" w:rsidRPr="005F0AAA" w:rsidRDefault="00EF79AC" w:rsidP="0077399A">
            <w:pPr>
              <w:pStyle w:val="TableText"/>
              <w:spacing w:before="60"/>
              <w:jc w:val="both"/>
              <w:rPr>
                <w:rFonts w:cs="Calibri"/>
                <w:i/>
                <w:iCs/>
              </w:rPr>
            </w:pPr>
            <w:r w:rsidRPr="005F0AAA">
              <w:rPr>
                <w:rFonts w:cs="Calibri"/>
                <w:i/>
                <w:iCs/>
              </w:rPr>
              <w:t xml:space="preserve">Recognition </w:t>
            </w:r>
          </w:p>
        </w:tc>
      </w:tr>
      <w:tr w:rsidR="002C0D3B" w:rsidRPr="00D55D0B" w14:paraId="6479A3C1" w14:textId="77777777" w:rsidTr="002A16D9">
        <w:trPr>
          <w:cantSplit/>
          <w:trHeight w:val="23"/>
        </w:trPr>
        <w:tc>
          <w:tcPr>
            <w:tcW w:w="1557" w:type="dxa"/>
            <w:tcBorders>
              <w:top w:val="nil"/>
              <w:left w:val="single" w:sz="2" w:space="0" w:color="auto"/>
              <w:bottom w:val="nil"/>
              <w:right w:val="single" w:sz="2" w:space="0" w:color="auto"/>
            </w:tcBorders>
          </w:tcPr>
          <w:p w14:paraId="59CD823B" w14:textId="4F962477" w:rsidR="002C0D3B" w:rsidRPr="005F0AAA" w:rsidRDefault="002C0D3B" w:rsidP="00055FB5">
            <w:pPr>
              <w:pStyle w:val="TableReference"/>
              <w:tabs>
                <w:tab w:val="left" w:pos="3306"/>
              </w:tabs>
              <w:spacing w:before="160"/>
              <w:rPr>
                <w:rFonts w:cs="Calibri"/>
                <w:color w:val="7030A0"/>
                <w:sz w:val="14"/>
              </w:rPr>
            </w:pPr>
            <w:r w:rsidRPr="005F0AAA">
              <w:rPr>
                <w:color w:val="7030A0"/>
                <w:sz w:val="14"/>
              </w:rPr>
              <w:t>AASB 138.21 &amp; 57, Model Financial Statements Guidelines: 1.6 Application – ACT Disclosure Policy</w:t>
            </w:r>
          </w:p>
        </w:tc>
        <w:tc>
          <w:tcPr>
            <w:tcW w:w="8930" w:type="dxa"/>
            <w:gridSpan w:val="3"/>
            <w:tcBorders>
              <w:top w:val="nil"/>
              <w:left w:val="single" w:sz="2" w:space="0" w:color="auto"/>
              <w:bottom w:val="nil"/>
              <w:right w:val="nil"/>
            </w:tcBorders>
            <w:vAlign w:val="bottom"/>
          </w:tcPr>
          <w:p w14:paraId="3C74BD54" w14:textId="77777777" w:rsidR="002C0D3B" w:rsidRPr="00152C5D" w:rsidRDefault="002C0D3B" w:rsidP="00055FB5">
            <w:pPr>
              <w:spacing w:before="40" w:after="60"/>
              <w:jc w:val="both"/>
              <w:rPr>
                <w:sz w:val="18"/>
                <w:szCs w:val="18"/>
                <w:lang w:val="en-US"/>
              </w:rPr>
            </w:pPr>
            <w:r w:rsidRPr="00152C5D">
              <w:rPr>
                <w:strike/>
                <w:color w:val="FF0000"/>
                <w:sz w:val="18"/>
                <w:szCs w:val="18"/>
                <w:lang w:val="en-US"/>
              </w:rPr>
              <w:t>The Agency’s intangible assets are comprised of internally generated and externally acquired software for internal use.</w:t>
            </w:r>
            <w:r w:rsidRPr="00152C5D">
              <w:rPr>
                <w:color w:val="FF0000"/>
                <w:sz w:val="18"/>
                <w:szCs w:val="18"/>
                <w:lang w:val="en-US"/>
              </w:rPr>
              <w:t xml:space="preserve"> </w:t>
            </w:r>
            <w:r w:rsidRPr="00152C5D">
              <w:rPr>
                <w:sz w:val="18"/>
                <w:szCs w:val="18"/>
                <w:lang w:val="en-US"/>
              </w:rPr>
              <w:t>Externally acquired software is recognised and</w:t>
            </w:r>
            <w:r w:rsidRPr="00152C5D">
              <w:rPr>
                <w:sz w:val="18"/>
                <w:szCs w:val="18"/>
              </w:rPr>
              <w:t xml:space="preserve"> capitalised</w:t>
            </w:r>
            <w:r w:rsidRPr="00152C5D">
              <w:rPr>
                <w:sz w:val="18"/>
                <w:szCs w:val="18"/>
                <w:lang w:val="en-US"/>
              </w:rPr>
              <w:t xml:space="preserve"> when:</w:t>
            </w:r>
          </w:p>
          <w:p w14:paraId="65901B7D" w14:textId="77777777" w:rsidR="002C0D3B" w:rsidRPr="00152C5D" w:rsidRDefault="002C0D3B" w:rsidP="00055FB5">
            <w:pPr>
              <w:tabs>
                <w:tab w:val="left" w:pos="426"/>
              </w:tabs>
              <w:autoSpaceDE w:val="0"/>
              <w:autoSpaceDN w:val="0"/>
              <w:adjustRightInd w:val="0"/>
              <w:spacing w:after="60"/>
              <w:ind w:left="318" w:hanging="284"/>
              <w:jc w:val="both"/>
              <w:rPr>
                <w:rFonts w:cs="Calibri"/>
                <w:sz w:val="18"/>
                <w:szCs w:val="18"/>
                <w:lang w:val="en-US"/>
              </w:rPr>
            </w:pPr>
            <w:r w:rsidRPr="00152C5D">
              <w:rPr>
                <w:rFonts w:cs="Calibri"/>
                <w:sz w:val="18"/>
                <w:szCs w:val="18"/>
                <w:lang w:val="en-US"/>
              </w:rPr>
              <w:t>(a) it is probable that the expected future economic benefits attributable to the software will flow to the Agency;</w:t>
            </w:r>
          </w:p>
          <w:p w14:paraId="647B7601" w14:textId="77777777" w:rsidR="002C0D3B" w:rsidRPr="00152C5D" w:rsidRDefault="002C0D3B" w:rsidP="00055FB5">
            <w:pPr>
              <w:tabs>
                <w:tab w:val="left" w:pos="601"/>
              </w:tabs>
              <w:autoSpaceDE w:val="0"/>
              <w:autoSpaceDN w:val="0"/>
              <w:adjustRightInd w:val="0"/>
              <w:spacing w:after="60"/>
              <w:ind w:left="346" w:hanging="312"/>
              <w:jc w:val="both"/>
              <w:rPr>
                <w:rFonts w:cs="Calibri"/>
                <w:sz w:val="18"/>
                <w:szCs w:val="18"/>
                <w:lang w:val="en-US"/>
              </w:rPr>
            </w:pPr>
            <w:r w:rsidRPr="00152C5D">
              <w:rPr>
                <w:rFonts w:cs="Calibri"/>
                <w:sz w:val="18"/>
                <w:szCs w:val="18"/>
                <w:lang w:val="en-US"/>
              </w:rPr>
              <w:t>(b) the cost of the software can be measured reliably; and</w:t>
            </w:r>
          </w:p>
          <w:p w14:paraId="3C09F144" w14:textId="4786851A" w:rsidR="002C0D3B" w:rsidRPr="00152C5D" w:rsidRDefault="002C0D3B" w:rsidP="00055FB5">
            <w:pPr>
              <w:tabs>
                <w:tab w:val="left" w:pos="601"/>
                <w:tab w:val="left" w:pos="4920"/>
              </w:tabs>
              <w:autoSpaceDE w:val="0"/>
              <w:autoSpaceDN w:val="0"/>
              <w:adjustRightInd w:val="0"/>
              <w:spacing w:after="120"/>
              <w:ind w:left="346" w:hanging="312"/>
              <w:jc w:val="both"/>
              <w:rPr>
                <w:rFonts w:cs="Calibri"/>
                <w:sz w:val="18"/>
                <w:szCs w:val="18"/>
                <w:lang w:val="en-US"/>
              </w:rPr>
            </w:pPr>
            <w:r w:rsidRPr="00152C5D">
              <w:rPr>
                <w:rFonts w:cs="Calibri"/>
                <w:sz w:val="18"/>
                <w:szCs w:val="18"/>
                <w:lang w:val="en-US"/>
              </w:rPr>
              <w:t>(c) the acquisition cost is equal to or exceeds $50,000.</w:t>
            </w:r>
            <w:r w:rsidRPr="00152C5D">
              <w:rPr>
                <w:rFonts w:cs="Calibri"/>
                <w:sz w:val="18"/>
                <w:szCs w:val="18"/>
                <w:lang w:val="en-US"/>
              </w:rPr>
              <w:tab/>
            </w:r>
          </w:p>
        </w:tc>
      </w:tr>
      <w:tr w:rsidR="002C0D3B" w:rsidRPr="00D55D0B" w14:paraId="7B671C4C" w14:textId="77777777" w:rsidTr="002A16D9">
        <w:trPr>
          <w:cantSplit/>
          <w:trHeight w:val="23"/>
        </w:trPr>
        <w:tc>
          <w:tcPr>
            <w:tcW w:w="1557" w:type="dxa"/>
            <w:tcBorders>
              <w:top w:val="nil"/>
              <w:left w:val="single" w:sz="2" w:space="0" w:color="auto"/>
              <w:bottom w:val="nil"/>
              <w:right w:val="single" w:sz="2" w:space="0" w:color="auto"/>
            </w:tcBorders>
          </w:tcPr>
          <w:p w14:paraId="39566B16" w14:textId="6FC2F8AC" w:rsidR="002C0D3B" w:rsidRPr="005F0AAA" w:rsidRDefault="002C0D3B" w:rsidP="00055FB5">
            <w:pPr>
              <w:pStyle w:val="TableReference"/>
              <w:tabs>
                <w:tab w:val="left" w:pos="3306"/>
              </w:tabs>
              <w:spacing w:before="40"/>
              <w:rPr>
                <w:rFonts w:cs="Calibri"/>
                <w:color w:val="7030A0"/>
                <w:sz w:val="16"/>
                <w:szCs w:val="16"/>
              </w:rPr>
            </w:pPr>
            <w:r w:rsidRPr="005F0AAA">
              <w:rPr>
                <w:color w:val="7030A0"/>
              </w:rPr>
              <w:t>AASB 138.118(a) &amp; (b), Model Financial Statement Guidelines - 1.6 Application – ACT Disclosure Policy</w:t>
            </w:r>
          </w:p>
        </w:tc>
        <w:tc>
          <w:tcPr>
            <w:tcW w:w="8930" w:type="dxa"/>
            <w:gridSpan w:val="3"/>
            <w:tcBorders>
              <w:top w:val="nil"/>
              <w:left w:val="single" w:sz="2" w:space="0" w:color="auto"/>
              <w:bottom w:val="nil"/>
              <w:right w:val="nil"/>
            </w:tcBorders>
          </w:tcPr>
          <w:p w14:paraId="4356FE50" w14:textId="0EAD0A98" w:rsidR="002C0D3B" w:rsidRPr="005F0AAA" w:rsidRDefault="002C0D3B" w:rsidP="0077399A">
            <w:pPr>
              <w:pStyle w:val="TableText"/>
              <w:spacing w:before="0" w:after="60"/>
              <w:jc w:val="both"/>
              <w:rPr>
                <w:rFonts w:cs="Calibri"/>
                <w:sz w:val="20"/>
                <w:szCs w:val="20"/>
              </w:rPr>
            </w:pPr>
            <w:r w:rsidRPr="005F0AAA">
              <w:rPr>
                <w:lang w:val="en-US"/>
              </w:rPr>
              <w:t>Internally generated software is recognised when it meets the general recognition criteria outlined above and where it also meets the specific recognition criteria relating to intangible assets arising from the development phase of an internal project.</w:t>
            </w:r>
          </w:p>
        </w:tc>
      </w:tr>
      <w:tr w:rsidR="00EF79AC" w:rsidRPr="00D55D0B" w14:paraId="17379417" w14:textId="77777777" w:rsidTr="002A16D9">
        <w:trPr>
          <w:cantSplit/>
          <w:trHeight w:val="23"/>
        </w:trPr>
        <w:tc>
          <w:tcPr>
            <w:tcW w:w="1557" w:type="dxa"/>
            <w:tcBorders>
              <w:top w:val="nil"/>
              <w:left w:val="single" w:sz="2" w:space="0" w:color="auto"/>
              <w:bottom w:val="nil"/>
              <w:right w:val="single" w:sz="2" w:space="0" w:color="auto"/>
            </w:tcBorders>
          </w:tcPr>
          <w:p w14:paraId="3A5290E2"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C8CF8F5" w14:textId="45E3DB45" w:rsidR="00EF79AC" w:rsidRPr="005F0AAA" w:rsidRDefault="00EF79AC" w:rsidP="00055FB5">
            <w:pPr>
              <w:pStyle w:val="TableText"/>
              <w:spacing w:before="0"/>
              <w:jc w:val="both"/>
              <w:rPr>
                <w:lang w:val="en-US"/>
              </w:rPr>
            </w:pPr>
            <w:r w:rsidRPr="005F0AAA">
              <w:rPr>
                <w:rFonts w:cs="Calibri"/>
                <w:i/>
                <w:iCs/>
              </w:rPr>
              <w:t xml:space="preserve">Measurement </w:t>
            </w:r>
          </w:p>
        </w:tc>
      </w:tr>
      <w:tr w:rsidR="00EF79AC" w:rsidRPr="00D55D0B" w14:paraId="000B800B" w14:textId="77777777" w:rsidTr="002A16D9">
        <w:trPr>
          <w:cantSplit/>
          <w:trHeight w:val="23"/>
        </w:trPr>
        <w:tc>
          <w:tcPr>
            <w:tcW w:w="1557" w:type="dxa"/>
            <w:tcBorders>
              <w:top w:val="nil"/>
              <w:left w:val="single" w:sz="2" w:space="0" w:color="auto"/>
              <w:bottom w:val="nil"/>
              <w:right w:val="single" w:sz="2" w:space="0" w:color="auto"/>
            </w:tcBorders>
          </w:tcPr>
          <w:p w14:paraId="7EA17FA6"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14AB05D5" w14:textId="0E5EDF6C" w:rsidR="00EF79AC" w:rsidRPr="005F0AAA" w:rsidRDefault="00EF79AC" w:rsidP="00055FB5">
            <w:pPr>
              <w:pStyle w:val="TableText"/>
              <w:spacing w:before="0"/>
              <w:jc w:val="both"/>
              <w:rPr>
                <w:lang w:val="en-US"/>
              </w:rPr>
            </w:pPr>
            <w:r w:rsidRPr="005F0AAA">
              <w:rPr>
                <w:rFonts w:cs="Calibri"/>
                <w:lang w:val="en-US"/>
              </w:rPr>
              <w:t>Intangible Assets are measured at cost.</w:t>
            </w:r>
          </w:p>
        </w:tc>
      </w:tr>
      <w:tr w:rsidR="00EF79AC" w:rsidRPr="00D55D0B" w14:paraId="436061D9" w14:textId="77777777" w:rsidTr="002A16D9">
        <w:trPr>
          <w:cantSplit/>
          <w:trHeight w:val="23"/>
        </w:trPr>
        <w:tc>
          <w:tcPr>
            <w:tcW w:w="1557" w:type="dxa"/>
            <w:tcBorders>
              <w:top w:val="nil"/>
              <w:left w:val="single" w:sz="2" w:space="0" w:color="auto"/>
              <w:bottom w:val="nil"/>
              <w:right w:val="single" w:sz="2" w:space="0" w:color="auto"/>
            </w:tcBorders>
          </w:tcPr>
          <w:p w14:paraId="2BB623F6"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58E690A" w14:textId="515FC680" w:rsidR="00EF79AC" w:rsidRPr="005F0AAA" w:rsidRDefault="00EF79AC" w:rsidP="0077399A">
            <w:pPr>
              <w:pStyle w:val="TableText"/>
              <w:spacing w:before="60"/>
              <w:jc w:val="both"/>
              <w:rPr>
                <w:rFonts w:cs="Calibri"/>
                <w:i/>
                <w:iCs/>
                <w:lang w:val="en-US"/>
              </w:rPr>
            </w:pPr>
            <w:r w:rsidRPr="005F0AAA">
              <w:rPr>
                <w:rFonts w:cs="Calibri"/>
                <w:i/>
                <w:iCs/>
                <w:lang w:val="en-US"/>
              </w:rPr>
              <w:t xml:space="preserve">Amortisation </w:t>
            </w:r>
          </w:p>
        </w:tc>
      </w:tr>
      <w:tr w:rsidR="002C0D3B" w:rsidRPr="00D55D0B" w14:paraId="3DC4EF9E" w14:textId="77777777" w:rsidTr="002A16D9">
        <w:trPr>
          <w:cantSplit/>
          <w:trHeight w:val="23"/>
        </w:trPr>
        <w:tc>
          <w:tcPr>
            <w:tcW w:w="1557" w:type="dxa"/>
            <w:tcBorders>
              <w:top w:val="nil"/>
              <w:left w:val="single" w:sz="2" w:space="0" w:color="auto"/>
              <w:bottom w:val="nil"/>
              <w:right w:val="single" w:sz="2" w:space="0" w:color="auto"/>
            </w:tcBorders>
          </w:tcPr>
          <w:p w14:paraId="465493F8" w14:textId="77777777" w:rsidR="002C0D3B" w:rsidRPr="005F0AAA" w:rsidRDefault="002C0D3B"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63CF681E" w14:textId="45981BDD" w:rsidR="002C0D3B" w:rsidRPr="005F0AAA" w:rsidRDefault="002C0D3B" w:rsidP="0077399A">
            <w:pPr>
              <w:autoSpaceDE w:val="0"/>
              <w:autoSpaceDN w:val="0"/>
              <w:adjustRightInd w:val="0"/>
              <w:spacing w:after="60"/>
              <w:jc w:val="both"/>
              <w:rPr>
                <w:rFonts w:cs="Calibri"/>
                <w:sz w:val="18"/>
                <w:szCs w:val="18"/>
                <w:lang w:val="en-US"/>
              </w:rPr>
            </w:pPr>
            <w:r w:rsidRPr="005F0AAA">
              <w:rPr>
                <w:rFonts w:cs="Calibri"/>
                <w:sz w:val="18"/>
                <w:szCs w:val="18"/>
                <w:lang w:val="en-US"/>
              </w:rPr>
              <w:t>Capitalised software</w:t>
            </w:r>
            <w:r w:rsidR="00B34C7F" w:rsidRPr="005F0AAA">
              <w:rPr>
                <w:rFonts w:cs="Calibri"/>
                <w:sz w:val="18"/>
                <w:szCs w:val="18"/>
                <w:lang w:val="en-US"/>
              </w:rPr>
              <w:t xml:space="preserve"> and other </w:t>
            </w:r>
            <w:r w:rsidR="00A4259B" w:rsidRPr="005F0AAA">
              <w:rPr>
                <w:rFonts w:cs="Calibri"/>
                <w:sz w:val="18"/>
                <w:szCs w:val="18"/>
                <w:lang w:val="en-US"/>
              </w:rPr>
              <w:t>intangibles</w:t>
            </w:r>
            <w:r w:rsidR="00B34C7F" w:rsidRPr="005F0AAA">
              <w:rPr>
                <w:rFonts w:cs="Calibri"/>
                <w:sz w:val="18"/>
                <w:szCs w:val="18"/>
                <w:lang w:val="en-US"/>
              </w:rPr>
              <w:t xml:space="preserve"> have </w:t>
            </w:r>
            <w:r w:rsidRPr="005F0AAA">
              <w:rPr>
                <w:rFonts w:cs="Calibri"/>
                <w:sz w:val="18"/>
                <w:szCs w:val="18"/>
                <w:lang w:val="en-US"/>
              </w:rPr>
              <w:t>a finite useful life.</w:t>
            </w:r>
            <w:r w:rsidR="00FA7C77">
              <w:rPr>
                <w:rFonts w:cs="Calibri"/>
                <w:sz w:val="18"/>
                <w:szCs w:val="18"/>
                <w:lang w:val="en-US"/>
              </w:rPr>
              <w:t xml:space="preserve"> </w:t>
            </w:r>
            <w:r w:rsidR="00B34C7F" w:rsidRPr="005F0AAA">
              <w:rPr>
                <w:sz w:val="18"/>
                <w:szCs w:val="18"/>
              </w:rPr>
              <w:t>Amortisation is applied to intangible assets</w:t>
            </w:r>
            <w:r w:rsidR="00B34C7F" w:rsidRPr="005F0AAA">
              <w:rPr>
                <w:rFonts w:cs="Calibri"/>
                <w:sz w:val="18"/>
                <w:szCs w:val="18"/>
                <w:lang w:val="en-US"/>
              </w:rPr>
              <w:t>.</w:t>
            </w:r>
            <w:r w:rsidR="00FA7C77">
              <w:rPr>
                <w:rFonts w:cs="Calibri"/>
                <w:sz w:val="18"/>
                <w:szCs w:val="18"/>
                <w:lang w:val="en-US"/>
              </w:rPr>
              <w:t xml:space="preserve"> </w:t>
            </w:r>
            <w:r w:rsidRPr="005F0AAA">
              <w:rPr>
                <w:rFonts w:cs="Calibri"/>
                <w:sz w:val="18"/>
                <w:szCs w:val="18"/>
                <w:lang w:val="en-US"/>
              </w:rPr>
              <w:t xml:space="preserve">Software is amortised on a straight-line basis over its useful life, over a period not exceeding </w:t>
            </w:r>
            <w:r w:rsidRPr="00F1016B">
              <w:rPr>
                <w:rFonts w:cs="Calibri"/>
                <w:strike/>
                <w:color w:val="FF0000"/>
                <w:sz w:val="18"/>
                <w:szCs w:val="18"/>
                <w:lang w:val="en-US"/>
              </w:rPr>
              <w:t>5</w:t>
            </w:r>
            <w:r w:rsidR="00F1016B">
              <w:rPr>
                <w:rFonts w:cs="Calibri"/>
                <w:color w:val="FF0000"/>
                <w:sz w:val="18"/>
                <w:szCs w:val="18"/>
                <w:lang w:val="en-US"/>
              </w:rPr>
              <w:t xml:space="preserve"> </w:t>
            </w:r>
            <w:r w:rsidR="00F1016B" w:rsidRPr="00F1016B">
              <w:rPr>
                <w:rFonts w:cs="Calibri"/>
                <w:color w:val="FF0000"/>
                <w:sz w:val="18"/>
                <w:szCs w:val="18"/>
                <w:lang w:val="en-US"/>
              </w:rPr>
              <w:t>10</w:t>
            </w:r>
            <w:r w:rsidRPr="005F0AAA">
              <w:rPr>
                <w:rFonts w:cs="Calibri"/>
                <w:sz w:val="18"/>
                <w:szCs w:val="18"/>
                <w:lang w:val="en-US"/>
              </w:rPr>
              <w:t xml:space="preserve"> years.</w:t>
            </w:r>
            <w:r w:rsidR="00FA7C77">
              <w:rPr>
                <w:rFonts w:cs="Calibri"/>
                <w:sz w:val="18"/>
                <w:szCs w:val="18"/>
                <w:lang w:val="en-US"/>
              </w:rPr>
              <w:t xml:space="preserve"> </w:t>
            </w:r>
          </w:p>
          <w:p w14:paraId="35BD647D" w14:textId="624EED92" w:rsidR="002C0D3B" w:rsidRPr="005F0AAA" w:rsidRDefault="00EF79AC" w:rsidP="00055FB5">
            <w:pPr>
              <w:jc w:val="both"/>
              <w:rPr>
                <w:rFonts w:cs="Calibri"/>
                <w:sz w:val="18"/>
                <w:szCs w:val="18"/>
                <w:lang w:val="en-US"/>
              </w:rPr>
            </w:pPr>
            <w:r w:rsidRPr="005F0AAA">
              <w:rPr>
                <w:rFonts w:cs="Calibri"/>
                <w:i/>
                <w:iCs/>
                <w:sz w:val="18"/>
                <w:szCs w:val="18"/>
                <w:lang w:val="en-US"/>
              </w:rPr>
              <w:t xml:space="preserve">Impairment </w:t>
            </w:r>
          </w:p>
        </w:tc>
      </w:tr>
      <w:tr w:rsidR="00EF79AC" w:rsidRPr="00D55D0B" w14:paraId="7B9884E4" w14:textId="77777777" w:rsidTr="002A16D9">
        <w:trPr>
          <w:cantSplit/>
          <w:trHeight w:val="23"/>
        </w:trPr>
        <w:tc>
          <w:tcPr>
            <w:tcW w:w="1557" w:type="dxa"/>
            <w:tcBorders>
              <w:top w:val="nil"/>
              <w:left w:val="single" w:sz="2" w:space="0" w:color="auto"/>
              <w:bottom w:val="nil"/>
              <w:right w:val="single" w:sz="2" w:space="0" w:color="auto"/>
            </w:tcBorders>
          </w:tcPr>
          <w:p w14:paraId="2C50CD7D" w14:textId="334270F8" w:rsidR="00B01B31" w:rsidRPr="005F0AAA" w:rsidRDefault="00B01B31" w:rsidP="00055FB5">
            <w:pPr>
              <w:pStyle w:val="TableReference"/>
              <w:tabs>
                <w:tab w:val="left" w:pos="3306"/>
              </w:tabs>
              <w:spacing w:before="40"/>
              <w:rPr>
                <w:rFonts w:cs="Calibri"/>
                <w:color w:val="7030A0"/>
                <w:sz w:val="14"/>
              </w:rPr>
            </w:pPr>
            <w:r w:rsidRPr="005F0AAA">
              <w:rPr>
                <w:color w:val="7030A0"/>
                <w:sz w:val="14"/>
              </w:rPr>
              <w:t>AASB 136.9 &amp; 10</w:t>
            </w:r>
          </w:p>
          <w:p w14:paraId="2E2A63D3" w14:textId="54D28BFA" w:rsidR="00EF79AC" w:rsidRPr="005F0AAA" w:rsidRDefault="00EF79AC" w:rsidP="00055FB5">
            <w:pPr>
              <w:pStyle w:val="TableReference"/>
              <w:tabs>
                <w:tab w:val="left" w:pos="3306"/>
              </w:tabs>
              <w:spacing w:before="40"/>
              <w:rPr>
                <w:rFonts w:cs="Calibri"/>
                <w:color w:val="7030A0"/>
                <w:sz w:val="14"/>
              </w:rPr>
            </w:pPr>
            <w:r w:rsidRPr="005F0AAA">
              <w:rPr>
                <w:rFonts w:cs="Calibri"/>
                <w:color w:val="7030A0"/>
                <w:sz w:val="14"/>
              </w:rPr>
              <w:t>AASB 136</w:t>
            </w:r>
            <w:r w:rsidR="00766207" w:rsidRPr="005F0AAA">
              <w:rPr>
                <w:rFonts w:cs="Calibri"/>
                <w:color w:val="7030A0"/>
                <w:sz w:val="14"/>
              </w:rPr>
              <w:t>.10(a)</w:t>
            </w:r>
          </w:p>
        </w:tc>
        <w:tc>
          <w:tcPr>
            <w:tcW w:w="8930" w:type="dxa"/>
            <w:gridSpan w:val="3"/>
            <w:tcBorders>
              <w:top w:val="nil"/>
              <w:left w:val="single" w:sz="2" w:space="0" w:color="auto"/>
              <w:bottom w:val="nil"/>
              <w:right w:val="nil"/>
            </w:tcBorders>
            <w:vAlign w:val="bottom"/>
          </w:tcPr>
          <w:p w14:paraId="2B447064" w14:textId="0DB82CB0" w:rsidR="00EF79AC" w:rsidRPr="005F0AAA" w:rsidRDefault="00766207" w:rsidP="0077399A">
            <w:pPr>
              <w:autoSpaceDE w:val="0"/>
              <w:autoSpaceDN w:val="0"/>
              <w:adjustRightInd w:val="0"/>
              <w:spacing w:after="60"/>
              <w:jc w:val="both"/>
              <w:rPr>
                <w:rFonts w:cs="Calibri"/>
                <w:sz w:val="18"/>
                <w:szCs w:val="18"/>
                <w:lang w:val="en-US"/>
              </w:rPr>
            </w:pPr>
            <w:r w:rsidRPr="005F0AAA">
              <w:rPr>
                <w:rFonts w:cs="Calibri"/>
                <w:sz w:val="18"/>
                <w:szCs w:val="18"/>
              </w:rPr>
              <w:t>The Agency assesses, at each reporting date, whether there is any indication that an intangible asset may be impaired.</w:t>
            </w:r>
            <w:r w:rsidR="00FA7C77">
              <w:rPr>
                <w:rFonts w:cs="Calibri"/>
                <w:sz w:val="18"/>
                <w:szCs w:val="18"/>
              </w:rPr>
              <w:t xml:space="preserve"> </w:t>
            </w:r>
            <w:r w:rsidRPr="005F0AAA">
              <w:rPr>
                <w:rFonts w:cs="Calibri"/>
                <w:sz w:val="18"/>
                <w:szCs w:val="18"/>
              </w:rPr>
              <w:t xml:space="preserve"> Intangible assets are also reviewed for impairment whenever events or changes in circumstances indicate that the carrying amount may not be recoverable. </w:t>
            </w:r>
            <w:r w:rsidR="00EF79AC" w:rsidRPr="005F0AAA">
              <w:rPr>
                <w:rFonts w:cs="Calibri"/>
                <w:sz w:val="18"/>
                <w:szCs w:val="18"/>
              </w:rPr>
              <w:t xml:space="preserve">However, </w:t>
            </w:r>
            <w:r w:rsidR="00B01B31" w:rsidRPr="005F0AAA">
              <w:rPr>
                <w:rFonts w:cs="Calibri"/>
                <w:sz w:val="18"/>
                <w:szCs w:val="18"/>
              </w:rPr>
              <w:t>i</w:t>
            </w:r>
            <w:r w:rsidR="00EF79AC" w:rsidRPr="005F0AAA">
              <w:rPr>
                <w:rFonts w:cs="Calibri"/>
                <w:sz w:val="18"/>
                <w:szCs w:val="18"/>
              </w:rPr>
              <w:t>ntangible assets that are not yet available for use are tested annually for impairment regardless of whether there is an indication of impairment, or more frequently if events or circumstances indicate they might be impaired.</w:t>
            </w:r>
          </w:p>
        </w:tc>
      </w:tr>
      <w:tr w:rsidR="002C0D3B" w:rsidRPr="00D55D0B" w14:paraId="2EF6DAC2" w14:textId="77777777" w:rsidTr="002A16D9">
        <w:trPr>
          <w:cantSplit/>
          <w:trHeight w:val="23"/>
        </w:trPr>
        <w:tc>
          <w:tcPr>
            <w:tcW w:w="1557" w:type="dxa"/>
            <w:tcBorders>
              <w:top w:val="nil"/>
              <w:left w:val="single" w:sz="2" w:space="0" w:color="auto"/>
              <w:bottom w:val="nil"/>
              <w:right w:val="single" w:sz="2" w:space="0" w:color="auto"/>
            </w:tcBorders>
          </w:tcPr>
          <w:p w14:paraId="035A70DA" w14:textId="77777777" w:rsidR="002C0D3B" w:rsidRPr="005F0AAA" w:rsidRDefault="002C0D3B"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3FA819E9" w14:textId="62EECC45" w:rsidR="002C0D3B" w:rsidRPr="005F0AAA" w:rsidRDefault="00D57CD4" w:rsidP="0077399A">
            <w:pPr>
              <w:spacing w:after="60"/>
              <w:jc w:val="both"/>
              <w:rPr>
                <w:sz w:val="18"/>
                <w:szCs w:val="18"/>
              </w:rPr>
            </w:pPr>
            <w:r w:rsidRPr="005F0AAA">
              <w:rPr>
                <w:sz w:val="18"/>
                <w:szCs w:val="18"/>
              </w:rPr>
              <w:t xml:space="preserve">Impairment losses for intangible assets are recognised in the Operating Statement (see Note 14 </w:t>
            </w:r>
            <w:r w:rsidRPr="005F0AAA">
              <w:rPr>
                <w:i/>
                <w:iCs/>
                <w:sz w:val="18"/>
                <w:szCs w:val="18"/>
              </w:rPr>
              <w:t>Other Expenses</w:t>
            </w:r>
            <w:r w:rsidRPr="005F0AAA">
              <w:rPr>
                <w:sz w:val="18"/>
                <w:szCs w:val="18"/>
              </w:rPr>
              <w:t xml:space="preserve">), as intangibles are carried at cost. The carrying amount of the intangible asset is reduced to its recoverable amount. </w:t>
            </w:r>
          </w:p>
        </w:tc>
      </w:tr>
      <w:tr w:rsidR="00CE3BAF" w:rsidRPr="00D55D0B" w14:paraId="7DC1DB83" w14:textId="77777777" w:rsidTr="002A16D9">
        <w:trPr>
          <w:cantSplit/>
          <w:trHeight w:val="23"/>
        </w:trPr>
        <w:tc>
          <w:tcPr>
            <w:tcW w:w="1557" w:type="dxa"/>
            <w:tcBorders>
              <w:top w:val="nil"/>
              <w:left w:val="single" w:sz="2" w:space="0" w:color="auto"/>
              <w:bottom w:val="nil"/>
              <w:right w:val="single" w:sz="2" w:space="0" w:color="auto"/>
            </w:tcBorders>
          </w:tcPr>
          <w:p w14:paraId="40FBFD0F" w14:textId="77777777" w:rsidR="00CE3BAF" w:rsidRPr="005F0AAA" w:rsidRDefault="00CE3BAF" w:rsidP="00CE3BAF">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E27F3D4" w14:textId="30128BC7" w:rsidR="00CE3BAF" w:rsidRPr="005F0AAA" w:rsidRDefault="00BD41AB" w:rsidP="00BD41AB">
            <w:pPr>
              <w:spacing w:after="60"/>
              <w:jc w:val="both"/>
              <w:rPr>
                <w:sz w:val="18"/>
                <w:szCs w:val="18"/>
              </w:rPr>
            </w:pPr>
            <w:r w:rsidRPr="005F0AAA">
              <w:rPr>
                <w:sz w:val="18"/>
                <w:szCs w:val="18"/>
              </w:rPr>
              <w:t>A</w:t>
            </w:r>
            <w:r w:rsidR="00CE3BAF" w:rsidRPr="005F0AAA">
              <w:rPr>
                <w:sz w:val="18"/>
                <w:szCs w:val="18"/>
              </w:rPr>
              <w:t xml:space="preserve">mortisation for </w:t>
            </w:r>
            <w:r w:rsidRPr="005F0AAA">
              <w:rPr>
                <w:sz w:val="18"/>
                <w:szCs w:val="18"/>
              </w:rPr>
              <w:t xml:space="preserve">intangible </w:t>
            </w:r>
            <w:r w:rsidR="00CE3BAF" w:rsidRPr="005F0AAA">
              <w:rPr>
                <w:sz w:val="18"/>
                <w:szCs w:val="18"/>
              </w:rPr>
              <w:t>assets is determined as follows:</w:t>
            </w:r>
          </w:p>
        </w:tc>
      </w:tr>
      <w:tr w:rsidR="00F43EC4" w:rsidRPr="00D55D0B" w14:paraId="7D6483A9" w14:textId="77777777" w:rsidTr="002A16D9">
        <w:trPr>
          <w:cantSplit/>
          <w:trHeight w:val="23"/>
        </w:trPr>
        <w:tc>
          <w:tcPr>
            <w:tcW w:w="1557" w:type="dxa"/>
            <w:tcBorders>
              <w:top w:val="nil"/>
              <w:left w:val="single" w:sz="2" w:space="0" w:color="auto"/>
              <w:bottom w:val="nil"/>
              <w:right w:val="single" w:sz="2" w:space="0" w:color="auto"/>
            </w:tcBorders>
          </w:tcPr>
          <w:p w14:paraId="36E794E6" w14:textId="6B52D746" w:rsidR="00F43EC4" w:rsidRPr="005F0AAA" w:rsidRDefault="00A55DFC" w:rsidP="00CE3BAF">
            <w:pPr>
              <w:pStyle w:val="TableReference"/>
              <w:tabs>
                <w:tab w:val="left" w:pos="3306"/>
              </w:tabs>
              <w:spacing w:before="40"/>
              <w:rPr>
                <w:rFonts w:cs="Calibri"/>
                <w:color w:val="7030A0"/>
                <w:sz w:val="16"/>
                <w:szCs w:val="16"/>
              </w:rPr>
            </w:pPr>
            <w:r w:rsidRPr="00152C5D">
              <w:rPr>
                <w:color w:val="FF0000"/>
                <w:sz w:val="14"/>
              </w:rPr>
              <w:t>AASB 138.118(a</w:t>
            </w:r>
            <w:r w:rsidR="008531A5" w:rsidRPr="00152C5D">
              <w:rPr>
                <w:color w:val="FF0000"/>
                <w:sz w:val="14"/>
              </w:rPr>
              <w:t>)</w:t>
            </w:r>
            <w:r w:rsidRPr="00152C5D">
              <w:rPr>
                <w:color w:val="FF0000"/>
                <w:sz w:val="14"/>
              </w:rPr>
              <w:t xml:space="preserve"> &amp; (b)</w:t>
            </w:r>
          </w:p>
        </w:tc>
        <w:tc>
          <w:tcPr>
            <w:tcW w:w="4819" w:type="dxa"/>
            <w:tcBorders>
              <w:top w:val="nil"/>
              <w:left w:val="single" w:sz="2" w:space="0" w:color="auto"/>
              <w:bottom w:val="nil"/>
              <w:right w:val="nil"/>
            </w:tcBorders>
            <w:vAlign w:val="bottom"/>
          </w:tcPr>
          <w:p w14:paraId="25DCC670" w14:textId="63FF1EB5" w:rsidR="00F43EC4" w:rsidRPr="005F0AAA" w:rsidRDefault="00F43EC4" w:rsidP="00F43EC4">
            <w:pPr>
              <w:pStyle w:val="CommentaryText"/>
              <w:spacing w:after="0"/>
              <w:jc w:val="left"/>
              <w:rPr>
                <w:rFonts w:asciiTheme="minorHAnsi" w:hAnsiTheme="minorHAnsi" w:cstheme="minorHAnsi"/>
                <w:b/>
                <w:bCs/>
                <w:strike/>
                <w:sz w:val="18"/>
                <w:szCs w:val="18"/>
              </w:rPr>
            </w:pPr>
            <w:r w:rsidRPr="005F0AAA">
              <w:rPr>
                <w:rFonts w:asciiTheme="minorHAnsi" w:hAnsiTheme="minorHAnsi" w:cstheme="minorHAnsi"/>
                <w:b/>
                <w:bCs/>
                <w:sz w:val="18"/>
                <w:szCs w:val="18"/>
              </w:rPr>
              <w:t xml:space="preserve">Class of </w:t>
            </w:r>
            <w:r w:rsidR="00BD41AB" w:rsidRPr="005F0AAA">
              <w:rPr>
                <w:rFonts w:asciiTheme="minorHAnsi" w:hAnsiTheme="minorHAnsi" w:cstheme="minorHAnsi"/>
                <w:b/>
                <w:bCs/>
                <w:sz w:val="18"/>
                <w:szCs w:val="18"/>
              </w:rPr>
              <w:t xml:space="preserve">Intangible </w:t>
            </w:r>
            <w:r w:rsidRPr="005F0AAA">
              <w:rPr>
                <w:rFonts w:asciiTheme="minorHAnsi" w:hAnsiTheme="minorHAnsi" w:cstheme="minorHAnsi"/>
                <w:b/>
                <w:bCs/>
                <w:sz w:val="18"/>
                <w:szCs w:val="18"/>
              </w:rPr>
              <w:t>Asset</w:t>
            </w:r>
          </w:p>
        </w:tc>
        <w:tc>
          <w:tcPr>
            <w:tcW w:w="1843" w:type="dxa"/>
            <w:tcBorders>
              <w:top w:val="nil"/>
              <w:left w:val="nil"/>
              <w:bottom w:val="nil"/>
              <w:right w:val="nil"/>
            </w:tcBorders>
            <w:vAlign w:val="bottom"/>
          </w:tcPr>
          <w:p w14:paraId="21B56E83" w14:textId="0FAB7D73" w:rsidR="00F43EC4" w:rsidRPr="005F0AAA" w:rsidRDefault="00F43EC4" w:rsidP="00F43EC4">
            <w:pPr>
              <w:jc w:val="center"/>
              <w:rPr>
                <w:sz w:val="18"/>
                <w:szCs w:val="18"/>
              </w:rPr>
            </w:pPr>
            <w:r w:rsidRPr="00152C5D">
              <w:rPr>
                <w:rFonts w:asciiTheme="minorHAnsi" w:hAnsiTheme="minorHAnsi" w:cstheme="minorHAnsi"/>
                <w:b/>
                <w:bCs/>
                <w:sz w:val="18"/>
                <w:szCs w:val="18"/>
              </w:rPr>
              <w:t>Amortisation</w:t>
            </w:r>
            <w:r w:rsidR="00A55DFC" w:rsidRPr="00152C5D">
              <w:rPr>
                <w:rFonts w:asciiTheme="minorHAnsi" w:hAnsiTheme="minorHAnsi" w:cstheme="minorHAnsi"/>
                <w:b/>
                <w:bCs/>
                <w:sz w:val="18"/>
                <w:szCs w:val="18"/>
              </w:rPr>
              <w:t xml:space="preserve"> </w:t>
            </w:r>
            <w:r w:rsidR="00A55DFC" w:rsidRPr="00152C5D">
              <w:rPr>
                <w:rFonts w:asciiTheme="minorHAnsi" w:hAnsiTheme="minorHAnsi" w:cstheme="minorHAnsi"/>
                <w:b/>
                <w:bCs/>
                <w:color w:val="FF0000"/>
                <w:sz w:val="18"/>
                <w:szCs w:val="18"/>
              </w:rPr>
              <w:t>Method</w:t>
            </w:r>
          </w:p>
        </w:tc>
        <w:tc>
          <w:tcPr>
            <w:tcW w:w="2268" w:type="dxa"/>
            <w:tcBorders>
              <w:top w:val="nil"/>
              <w:left w:val="nil"/>
              <w:bottom w:val="nil"/>
              <w:right w:val="nil"/>
            </w:tcBorders>
            <w:vAlign w:val="bottom"/>
          </w:tcPr>
          <w:p w14:paraId="6D47FA91" w14:textId="73A489B6" w:rsidR="00F43EC4" w:rsidRPr="005F0AAA" w:rsidRDefault="00F43EC4" w:rsidP="00F43EC4">
            <w:pPr>
              <w:jc w:val="center"/>
              <w:rPr>
                <w:b/>
                <w:bCs/>
                <w:sz w:val="18"/>
                <w:szCs w:val="18"/>
              </w:rPr>
            </w:pPr>
            <w:r w:rsidRPr="005F0AAA">
              <w:rPr>
                <w:rFonts w:asciiTheme="minorHAnsi" w:hAnsiTheme="minorHAnsi" w:cstheme="minorHAnsi"/>
                <w:b/>
                <w:bCs/>
                <w:sz w:val="18"/>
                <w:szCs w:val="18"/>
              </w:rPr>
              <w:t>Useful Life (Years)</w:t>
            </w:r>
          </w:p>
        </w:tc>
      </w:tr>
      <w:tr w:rsidR="00F43EC4" w:rsidRPr="00D55D0B" w14:paraId="1773C972" w14:textId="77777777" w:rsidTr="002A16D9">
        <w:trPr>
          <w:cantSplit/>
          <w:trHeight w:val="23"/>
        </w:trPr>
        <w:tc>
          <w:tcPr>
            <w:tcW w:w="1557" w:type="dxa"/>
            <w:tcBorders>
              <w:top w:val="nil"/>
              <w:left w:val="single" w:sz="2" w:space="0" w:color="auto"/>
              <w:bottom w:val="nil"/>
              <w:right w:val="single" w:sz="2" w:space="0" w:color="auto"/>
            </w:tcBorders>
          </w:tcPr>
          <w:p w14:paraId="64904E0B" w14:textId="1877FCE4" w:rsidR="00F43EC4" w:rsidRPr="005F0AAA" w:rsidRDefault="00F43EC4" w:rsidP="00F43EC4">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0F0EE7D2" w14:textId="5FFDB087" w:rsidR="00F43EC4" w:rsidRPr="005F0AAA" w:rsidRDefault="00F43EC4" w:rsidP="00BD41AB">
            <w:pPr>
              <w:pStyle w:val="CommentaryText"/>
              <w:spacing w:after="0"/>
              <w:jc w:val="left"/>
              <w:rPr>
                <w:rFonts w:asciiTheme="minorHAnsi" w:hAnsiTheme="minorHAnsi" w:cstheme="minorHAnsi"/>
                <w:sz w:val="18"/>
                <w:szCs w:val="18"/>
              </w:rPr>
            </w:pPr>
            <w:r w:rsidRPr="005F0AAA">
              <w:rPr>
                <w:rFonts w:asciiTheme="minorHAnsi" w:hAnsiTheme="minorHAnsi" w:cstheme="minorHAnsi"/>
                <w:sz w:val="18"/>
                <w:szCs w:val="18"/>
              </w:rPr>
              <w:t xml:space="preserve">Externally Purchased </w:t>
            </w:r>
            <w:r w:rsidR="00BD6DAC" w:rsidRPr="005F0AAA">
              <w:rPr>
                <w:rFonts w:asciiTheme="minorHAnsi" w:hAnsiTheme="minorHAnsi" w:cstheme="minorHAnsi"/>
                <w:sz w:val="18"/>
                <w:szCs w:val="18"/>
              </w:rPr>
              <w:t>Software</w:t>
            </w:r>
            <w:r w:rsidRPr="005F0AAA">
              <w:rPr>
                <w:rFonts w:asciiTheme="minorHAnsi" w:hAnsiTheme="minorHAnsi" w:cstheme="minorHAnsi"/>
                <w:sz w:val="18"/>
                <w:szCs w:val="18"/>
              </w:rPr>
              <w:t xml:space="preserve"> </w:t>
            </w:r>
          </w:p>
        </w:tc>
        <w:tc>
          <w:tcPr>
            <w:tcW w:w="1843" w:type="dxa"/>
            <w:tcBorders>
              <w:top w:val="nil"/>
              <w:left w:val="nil"/>
              <w:bottom w:val="nil"/>
              <w:right w:val="nil"/>
            </w:tcBorders>
            <w:vAlign w:val="bottom"/>
          </w:tcPr>
          <w:p w14:paraId="49E02560" w14:textId="25DD752B" w:rsidR="00F43EC4" w:rsidRPr="005F0AAA" w:rsidRDefault="00F43EC4" w:rsidP="00F43EC4">
            <w:pPr>
              <w:jc w:val="center"/>
              <w:rPr>
                <w:rFonts w:asciiTheme="minorHAnsi" w:hAnsiTheme="minorHAnsi" w:cstheme="minorHAnsi"/>
                <w:sz w:val="18"/>
                <w:szCs w:val="18"/>
              </w:rPr>
            </w:pPr>
            <w:r w:rsidRPr="005F0AAA">
              <w:rPr>
                <w:rFonts w:asciiTheme="minorHAnsi" w:hAnsiTheme="minorHAnsi" w:cstheme="minorHAnsi"/>
                <w:sz w:val="18"/>
                <w:szCs w:val="18"/>
              </w:rPr>
              <w:t>Straight</w:t>
            </w:r>
            <w:r w:rsidR="00CA7B35" w:rsidRPr="0089568E">
              <w:rPr>
                <w:rFonts w:asciiTheme="minorHAnsi" w:hAnsiTheme="minorHAnsi" w:cstheme="minorHAnsi"/>
                <w:color w:val="FF0000"/>
                <w:sz w:val="18"/>
                <w:szCs w:val="18"/>
              </w:rPr>
              <w:t>-</w:t>
            </w:r>
            <w:r w:rsidR="00CA7B35" w:rsidRPr="00CA7B35">
              <w:rPr>
                <w:rFonts w:asciiTheme="minorHAnsi" w:hAnsiTheme="minorHAnsi" w:cstheme="minorHAnsi"/>
                <w:sz w:val="18"/>
                <w:szCs w:val="18"/>
              </w:rPr>
              <w:t>l</w:t>
            </w:r>
            <w:r w:rsidRPr="005F0AAA">
              <w:rPr>
                <w:rFonts w:asciiTheme="minorHAnsi" w:hAnsiTheme="minorHAnsi" w:cstheme="minorHAnsi"/>
                <w:sz w:val="18"/>
                <w:szCs w:val="18"/>
              </w:rPr>
              <w:t>ine</w:t>
            </w:r>
          </w:p>
        </w:tc>
        <w:tc>
          <w:tcPr>
            <w:tcW w:w="2268" w:type="dxa"/>
            <w:tcBorders>
              <w:top w:val="nil"/>
              <w:left w:val="nil"/>
              <w:bottom w:val="nil"/>
              <w:right w:val="nil"/>
            </w:tcBorders>
            <w:vAlign w:val="bottom"/>
          </w:tcPr>
          <w:p w14:paraId="3706B5A8" w14:textId="5D580FD3" w:rsidR="00F43EC4" w:rsidRPr="005F0AAA" w:rsidRDefault="00F43EC4" w:rsidP="00F43EC4">
            <w:pPr>
              <w:jc w:val="center"/>
              <w:rPr>
                <w:rFonts w:asciiTheme="minorHAnsi" w:hAnsiTheme="minorHAnsi" w:cstheme="minorHAnsi"/>
                <w:sz w:val="18"/>
                <w:szCs w:val="18"/>
              </w:rPr>
            </w:pPr>
            <w:r w:rsidRPr="005F0AAA">
              <w:rPr>
                <w:rFonts w:asciiTheme="minorHAnsi" w:hAnsiTheme="minorHAnsi" w:cstheme="minorHAnsi"/>
                <w:sz w:val="18"/>
                <w:szCs w:val="18"/>
              </w:rPr>
              <w:t>2-</w:t>
            </w:r>
            <w:r w:rsidR="00BD6DAC" w:rsidRPr="005F0AAA">
              <w:rPr>
                <w:rFonts w:asciiTheme="minorHAnsi" w:hAnsiTheme="minorHAnsi" w:cstheme="minorHAnsi"/>
                <w:sz w:val="18"/>
                <w:szCs w:val="18"/>
              </w:rPr>
              <w:t>10</w:t>
            </w:r>
          </w:p>
        </w:tc>
      </w:tr>
      <w:tr w:rsidR="00F43EC4" w:rsidRPr="00D55D0B" w14:paraId="17CAD67A" w14:textId="77777777" w:rsidTr="002A16D9">
        <w:trPr>
          <w:cantSplit/>
          <w:trHeight w:val="23"/>
        </w:trPr>
        <w:tc>
          <w:tcPr>
            <w:tcW w:w="1557" w:type="dxa"/>
            <w:tcBorders>
              <w:top w:val="nil"/>
              <w:left w:val="single" w:sz="2" w:space="0" w:color="auto"/>
              <w:bottom w:val="nil"/>
              <w:right w:val="single" w:sz="2" w:space="0" w:color="auto"/>
            </w:tcBorders>
          </w:tcPr>
          <w:p w14:paraId="78DF84BD" w14:textId="77777777" w:rsidR="00F43EC4" w:rsidRPr="005F0AAA" w:rsidRDefault="00F43EC4" w:rsidP="00F43EC4">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31F44B96" w14:textId="7EB9A473" w:rsidR="00F43EC4" w:rsidRPr="005F0AAA" w:rsidRDefault="00F43EC4" w:rsidP="00BD41AB">
            <w:pPr>
              <w:jc w:val="both"/>
              <w:rPr>
                <w:sz w:val="18"/>
                <w:szCs w:val="18"/>
              </w:rPr>
            </w:pPr>
            <w:r w:rsidRPr="005F0AAA">
              <w:rPr>
                <w:rFonts w:asciiTheme="minorHAnsi" w:hAnsiTheme="minorHAnsi" w:cstheme="minorHAnsi"/>
                <w:sz w:val="18"/>
                <w:szCs w:val="18"/>
              </w:rPr>
              <w:t xml:space="preserve">Internal Generated </w:t>
            </w:r>
            <w:r w:rsidR="00BD6DAC" w:rsidRPr="005F0AAA">
              <w:rPr>
                <w:rFonts w:asciiTheme="minorHAnsi" w:hAnsiTheme="minorHAnsi" w:cstheme="minorHAnsi"/>
                <w:sz w:val="18"/>
                <w:szCs w:val="18"/>
              </w:rPr>
              <w:t xml:space="preserve">Software </w:t>
            </w:r>
          </w:p>
        </w:tc>
        <w:tc>
          <w:tcPr>
            <w:tcW w:w="1843" w:type="dxa"/>
            <w:tcBorders>
              <w:top w:val="nil"/>
              <w:left w:val="nil"/>
              <w:bottom w:val="nil"/>
              <w:right w:val="nil"/>
            </w:tcBorders>
            <w:vAlign w:val="bottom"/>
          </w:tcPr>
          <w:p w14:paraId="040475F7" w14:textId="248EC7D8" w:rsidR="00F43EC4" w:rsidRPr="005F0AAA" w:rsidRDefault="00F43EC4" w:rsidP="00BD41AB">
            <w:pPr>
              <w:jc w:val="center"/>
              <w:rPr>
                <w:sz w:val="18"/>
                <w:szCs w:val="18"/>
              </w:rPr>
            </w:pPr>
            <w:r w:rsidRPr="005F0AAA">
              <w:rPr>
                <w:rFonts w:asciiTheme="minorHAnsi" w:hAnsiTheme="minorHAnsi" w:cstheme="minorHAnsi"/>
                <w:sz w:val="18"/>
                <w:szCs w:val="18"/>
              </w:rPr>
              <w:t>Straight</w:t>
            </w:r>
            <w:r w:rsidR="00CA7B35" w:rsidRPr="0089568E">
              <w:rPr>
                <w:rFonts w:asciiTheme="minorHAnsi" w:hAnsiTheme="minorHAnsi" w:cstheme="minorHAnsi"/>
                <w:color w:val="FF0000"/>
                <w:sz w:val="18"/>
                <w:szCs w:val="18"/>
              </w:rPr>
              <w:t>-</w:t>
            </w:r>
            <w:r w:rsidR="00CA7B35" w:rsidRPr="00CA7B35">
              <w:rPr>
                <w:rFonts w:asciiTheme="minorHAnsi" w:hAnsiTheme="minorHAnsi" w:cstheme="minorHAnsi"/>
                <w:sz w:val="18"/>
                <w:szCs w:val="18"/>
              </w:rPr>
              <w:t>l</w:t>
            </w:r>
            <w:r w:rsidRPr="005F0AAA">
              <w:rPr>
                <w:rFonts w:asciiTheme="minorHAnsi" w:hAnsiTheme="minorHAnsi" w:cstheme="minorHAnsi"/>
                <w:sz w:val="18"/>
                <w:szCs w:val="18"/>
              </w:rPr>
              <w:t>ine</w:t>
            </w:r>
          </w:p>
        </w:tc>
        <w:tc>
          <w:tcPr>
            <w:tcW w:w="2268" w:type="dxa"/>
            <w:tcBorders>
              <w:top w:val="nil"/>
              <w:left w:val="nil"/>
              <w:bottom w:val="nil"/>
              <w:right w:val="nil"/>
            </w:tcBorders>
            <w:vAlign w:val="bottom"/>
          </w:tcPr>
          <w:p w14:paraId="3A2E283F" w14:textId="130EA9C9" w:rsidR="00F43EC4" w:rsidRPr="005F0AAA" w:rsidRDefault="00F43EC4" w:rsidP="00BD41AB">
            <w:pPr>
              <w:jc w:val="center"/>
              <w:rPr>
                <w:sz w:val="18"/>
                <w:szCs w:val="18"/>
              </w:rPr>
            </w:pPr>
            <w:r w:rsidRPr="005F0AAA">
              <w:rPr>
                <w:rFonts w:asciiTheme="minorHAnsi" w:hAnsiTheme="minorHAnsi" w:cstheme="minorHAnsi"/>
                <w:sz w:val="18"/>
                <w:szCs w:val="18"/>
              </w:rPr>
              <w:t>2-</w:t>
            </w:r>
            <w:r w:rsidR="00BD6DAC" w:rsidRPr="005F0AAA">
              <w:rPr>
                <w:rFonts w:asciiTheme="minorHAnsi" w:hAnsiTheme="minorHAnsi" w:cstheme="minorHAnsi"/>
                <w:sz w:val="18"/>
                <w:szCs w:val="18"/>
              </w:rPr>
              <w:t>10</w:t>
            </w:r>
          </w:p>
        </w:tc>
      </w:tr>
      <w:tr w:rsidR="00BD41AB" w:rsidRPr="00BD41AB" w14:paraId="035025E6" w14:textId="77777777" w:rsidTr="002A16D9">
        <w:trPr>
          <w:cantSplit/>
          <w:trHeight w:val="23"/>
        </w:trPr>
        <w:tc>
          <w:tcPr>
            <w:tcW w:w="1557" w:type="dxa"/>
            <w:tcBorders>
              <w:top w:val="nil"/>
              <w:left w:val="single" w:sz="2" w:space="0" w:color="auto"/>
              <w:bottom w:val="nil"/>
              <w:right w:val="single" w:sz="2" w:space="0" w:color="auto"/>
            </w:tcBorders>
          </w:tcPr>
          <w:p w14:paraId="47E819CA" w14:textId="77777777" w:rsidR="00BD41AB" w:rsidRPr="005F0AAA" w:rsidRDefault="00BD41AB" w:rsidP="000159C3">
            <w:pPr>
              <w:pStyle w:val="TableReference"/>
              <w:tabs>
                <w:tab w:val="left" w:pos="3306"/>
              </w:tabs>
              <w:rPr>
                <w:rFonts w:cs="Calibri"/>
                <w:color w:val="7030A0"/>
                <w:sz w:val="16"/>
                <w:szCs w:val="16"/>
              </w:rPr>
            </w:pPr>
          </w:p>
        </w:tc>
        <w:tc>
          <w:tcPr>
            <w:tcW w:w="4819" w:type="dxa"/>
            <w:tcBorders>
              <w:top w:val="nil"/>
              <w:left w:val="single" w:sz="2" w:space="0" w:color="auto"/>
              <w:bottom w:val="nil"/>
              <w:right w:val="nil"/>
            </w:tcBorders>
            <w:vAlign w:val="bottom"/>
          </w:tcPr>
          <w:p w14:paraId="2E323918" w14:textId="37CE6A60" w:rsidR="00BD41AB" w:rsidRPr="005F0AAA" w:rsidRDefault="00BD41AB" w:rsidP="000159C3">
            <w:pPr>
              <w:rPr>
                <w:sz w:val="18"/>
                <w:szCs w:val="18"/>
              </w:rPr>
            </w:pPr>
            <w:r w:rsidRPr="005F0AAA">
              <w:rPr>
                <w:sz w:val="18"/>
                <w:szCs w:val="18"/>
              </w:rPr>
              <w:t>Externally Purchased Other Intangibles</w:t>
            </w:r>
          </w:p>
        </w:tc>
        <w:tc>
          <w:tcPr>
            <w:tcW w:w="1843" w:type="dxa"/>
            <w:tcBorders>
              <w:top w:val="nil"/>
              <w:left w:val="nil"/>
              <w:bottom w:val="nil"/>
              <w:right w:val="nil"/>
            </w:tcBorders>
            <w:vAlign w:val="bottom"/>
          </w:tcPr>
          <w:p w14:paraId="57C517F9" w14:textId="3D83E201" w:rsidR="00BD41AB" w:rsidRPr="005F0AAA" w:rsidRDefault="00BD41AB" w:rsidP="000159C3">
            <w:pPr>
              <w:jc w:val="center"/>
              <w:rPr>
                <w:sz w:val="18"/>
                <w:szCs w:val="18"/>
              </w:rPr>
            </w:pPr>
            <w:r w:rsidRPr="005F0AAA">
              <w:rPr>
                <w:sz w:val="18"/>
                <w:szCs w:val="18"/>
              </w:rPr>
              <w:t>Straight</w:t>
            </w:r>
            <w:r w:rsidR="00CA7B35" w:rsidRPr="0089568E">
              <w:rPr>
                <w:rFonts w:asciiTheme="minorHAnsi" w:hAnsiTheme="minorHAnsi" w:cstheme="minorHAnsi"/>
                <w:color w:val="FF0000"/>
                <w:sz w:val="18"/>
                <w:szCs w:val="18"/>
              </w:rPr>
              <w:t>-</w:t>
            </w:r>
            <w:r w:rsidR="00CA7B35" w:rsidRPr="00CA7B35">
              <w:rPr>
                <w:rFonts w:asciiTheme="minorHAnsi" w:hAnsiTheme="minorHAnsi" w:cstheme="minorHAnsi"/>
                <w:sz w:val="18"/>
                <w:szCs w:val="18"/>
              </w:rPr>
              <w:t>l</w:t>
            </w:r>
            <w:r w:rsidRPr="005F0AAA">
              <w:rPr>
                <w:sz w:val="18"/>
                <w:szCs w:val="18"/>
              </w:rPr>
              <w:t>ine</w:t>
            </w:r>
          </w:p>
        </w:tc>
        <w:tc>
          <w:tcPr>
            <w:tcW w:w="2268" w:type="dxa"/>
            <w:tcBorders>
              <w:top w:val="nil"/>
              <w:left w:val="nil"/>
              <w:bottom w:val="nil"/>
              <w:right w:val="nil"/>
            </w:tcBorders>
            <w:vAlign w:val="bottom"/>
          </w:tcPr>
          <w:p w14:paraId="3F358585" w14:textId="7EB42CA9" w:rsidR="00BD41AB" w:rsidRPr="005F0AAA" w:rsidRDefault="00BD41AB" w:rsidP="000159C3">
            <w:pPr>
              <w:jc w:val="center"/>
              <w:rPr>
                <w:sz w:val="18"/>
                <w:szCs w:val="18"/>
              </w:rPr>
            </w:pPr>
            <w:r w:rsidRPr="005F0AAA">
              <w:rPr>
                <w:sz w:val="18"/>
                <w:szCs w:val="18"/>
              </w:rPr>
              <w:t>3</w:t>
            </w:r>
          </w:p>
        </w:tc>
      </w:tr>
    </w:tbl>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394"/>
        <w:gridCol w:w="1134"/>
        <w:gridCol w:w="1134"/>
        <w:gridCol w:w="1559"/>
        <w:gridCol w:w="678"/>
        <w:gridCol w:w="31"/>
      </w:tblGrid>
      <w:tr w:rsidR="00581C35" w:rsidRPr="00CF7E1B" w14:paraId="5E171441" w14:textId="77777777" w:rsidTr="002A16D9">
        <w:tc>
          <w:tcPr>
            <w:tcW w:w="1560" w:type="dxa"/>
            <w:tcBorders>
              <w:top w:val="nil"/>
              <w:left w:val="single" w:sz="2" w:space="0" w:color="auto"/>
              <w:bottom w:val="nil"/>
              <w:right w:val="single" w:sz="2" w:space="0" w:color="auto"/>
            </w:tcBorders>
          </w:tcPr>
          <w:p w14:paraId="51EE52F8" w14:textId="77777777" w:rsidR="00581C35" w:rsidRPr="005F0AAA" w:rsidRDefault="00581C35" w:rsidP="00DA5473">
            <w:pPr>
              <w:pStyle w:val="TableReference"/>
              <w:spacing w:before="240" w:after="240"/>
              <w:rPr>
                <w:rFonts w:cs="Calibri"/>
                <w:b/>
                <w:color w:val="7030A0"/>
                <w:sz w:val="22"/>
                <w:szCs w:val="22"/>
              </w:rPr>
            </w:pPr>
            <w:r w:rsidRPr="005F0AAA">
              <w:rPr>
                <w:color w:val="7030A0"/>
              </w:rPr>
              <w:br w:type="page"/>
            </w:r>
            <w:r w:rsidRPr="005F0AAA">
              <w:rPr>
                <w:rFonts w:cs="Calibri"/>
                <w:b/>
                <w:bCs/>
                <w:color w:val="7030A0"/>
              </w:rPr>
              <w:br w:type="page"/>
            </w:r>
            <w:r w:rsidRPr="005F0AAA">
              <w:rPr>
                <w:rFonts w:cs="Calibri"/>
                <w:b/>
                <w:color w:val="7030A0"/>
                <w:sz w:val="22"/>
                <w:szCs w:val="22"/>
              </w:rPr>
              <w:t>Reference</w:t>
            </w:r>
          </w:p>
        </w:tc>
        <w:tc>
          <w:tcPr>
            <w:tcW w:w="8930" w:type="dxa"/>
            <w:gridSpan w:val="6"/>
            <w:tcBorders>
              <w:top w:val="nil"/>
              <w:left w:val="single" w:sz="2" w:space="0" w:color="auto"/>
              <w:bottom w:val="nil"/>
              <w:right w:val="nil"/>
            </w:tcBorders>
          </w:tcPr>
          <w:p w14:paraId="3EF1D221" w14:textId="77777777" w:rsidR="00581C35" w:rsidRPr="005F0AAA" w:rsidRDefault="00581C35" w:rsidP="00DA5473">
            <w:pPr>
              <w:spacing w:before="240" w:after="240"/>
              <w:rPr>
                <w:rFonts w:ascii="Arial Bold" w:hAnsi="Arial Bold" w:cs="Arial"/>
                <w:b/>
                <w:caps/>
                <w:sz w:val="32"/>
                <w:szCs w:val="32"/>
              </w:rPr>
            </w:pPr>
            <w:r w:rsidRPr="005F0AAA">
              <w:rPr>
                <w:rFonts w:ascii="Arial Bold" w:hAnsi="Arial Bold" w:cs="Arial"/>
                <w:b/>
                <w:caps/>
                <w:sz w:val="32"/>
                <w:szCs w:val="32"/>
              </w:rPr>
              <w:t>Note 21.</w:t>
            </w:r>
            <w:r>
              <w:rPr>
                <w:rFonts w:ascii="Arial Bold" w:hAnsi="Arial Bold" w:cs="Arial"/>
                <w:b/>
                <w:caps/>
                <w:sz w:val="32"/>
                <w:szCs w:val="32"/>
              </w:rPr>
              <w:t xml:space="preserve"> </w:t>
            </w:r>
            <w:r w:rsidRPr="005F0AAA">
              <w:rPr>
                <w:rFonts w:ascii="Arial Bold" w:hAnsi="Arial Bold" w:cs="Arial"/>
                <w:b/>
                <w:caps/>
                <w:sz w:val="32"/>
                <w:szCs w:val="32"/>
              </w:rPr>
              <w:t xml:space="preserve"> Intangible Assets – Continued </w:t>
            </w:r>
          </w:p>
        </w:tc>
      </w:tr>
      <w:tr w:rsidR="000144FF" w:rsidRPr="00CF7E1B" w14:paraId="38132D0A" w14:textId="77777777" w:rsidTr="002A16D9">
        <w:tc>
          <w:tcPr>
            <w:tcW w:w="1560" w:type="dxa"/>
            <w:tcBorders>
              <w:top w:val="nil"/>
              <w:left w:val="single" w:sz="2" w:space="0" w:color="auto"/>
              <w:bottom w:val="nil"/>
              <w:right w:val="single" w:sz="2" w:space="0" w:color="auto"/>
            </w:tcBorders>
          </w:tcPr>
          <w:p w14:paraId="7F440A6C" w14:textId="77777777" w:rsidR="000144FF" w:rsidRPr="005F0AAA" w:rsidRDefault="000144FF" w:rsidP="005F0AAA">
            <w:pPr>
              <w:pStyle w:val="TableReference"/>
              <w:rPr>
                <w:rFonts w:cs="Calibri"/>
                <w:b/>
                <w:color w:val="7030A0"/>
                <w:sz w:val="14"/>
              </w:rPr>
            </w:pPr>
          </w:p>
        </w:tc>
        <w:tc>
          <w:tcPr>
            <w:tcW w:w="4394" w:type="dxa"/>
            <w:tcBorders>
              <w:top w:val="nil"/>
              <w:left w:val="single" w:sz="2" w:space="0" w:color="auto"/>
              <w:bottom w:val="nil"/>
              <w:right w:val="nil"/>
            </w:tcBorders>
          </w:tcPr>
          <w:p w14:paraId="7050DDCC" w14:textId="77777777" w:rsidR="000144FF" w:rsidRPr="00CF7E1B" w:rsidRDefault="000144FF" w:rsidP="005F0AAA">
            <w:pPr>
              <w:pStyle w:val="TableText"/>
              <w:spacing w:before="0"/>
              <w:rPr>
                <w:rFonts w:cs="Calibri"/>
              </w:rPr>
            </w:pPr>
          </w:p>
        </w:tc>
        <w:tc>
          <w:tcPr>
            <w:tcW w:w="1134" w:type="dxa"/>
            <w:tcBorders>
              <w:top w:val="nil"/>
              <w:left w:val="nil"/>
              <w:bottom w:val="nil"/>
              <w:right w:val="nil"/>
            </w:tcBorders>
          </w:tcPr>
          <w:p w14:paraId="35DAEDD9" w14:textId="6CC027CB" w:rsidR="000144FF" w:rsidRPr="00CF7E1B" w:rsidRDefault="000144FF" w:rsidP="005F0AAA">
            <w:pPr>
              <w:pStyle w:val="TableText"/>
              <w:spacing w:before="0"/>
              <w:rPr>
                <w:rFonts w:cs="Calibri"/>
                <w:b/>
                <w:bCs/>
              </w:rPr>
            </w:pPr>
          </w:p>
        </w:tc>
        <w:tc>
          <w:tcPr>
            <w:tcW w:w="1134" w:type="dxa"/>
            <w:tcBorders>
              <w:top w:val="nil"/>
              <w:left w:val="nil"/>
              <w:bottom w:val="nil"/>
              <w:right w:val="nil"/>
            </w:tcBorders>
          </w:tcPr>
          <w:p w14:paraId="2AE3641E" w14:textId="52644BE3" w:rsidR="000144FF" w:rsidRPr="00CF7E1B" w:rsidRDefault="000144FF" w:rsidP="005F0AAA">
            <w:pPr>
              <w:pStyle w:val="TableText"/>
              <w:spacing w:before="0"/>
              <w:rPr>
                <w:rFonts w:cs="Calibri"/>
                <w:b/>
                <w:bCs/>
              </w:rPr>
            </w:pPr>
          </w:p>
        </w:tc>
        <w:tc>
          <w:tcPr>
            <w:tcW w:w="1559" w:type="dxa"/>
            <w:tcBorders>
              <w:top w:val="nil"/>
              <w:left w:val="nil"/>
              <w:bottom w:val="nil"/>
              <w:right w:val="nil"/>
            </w:tcBorders>
          </w:tcPr>
          <w:p w14:paraId="708494E8" w14:textId="487BD9EE" w:rsidR="000144FF" w:rsidRPr="00CF7E1B" w:rsidRDefault="000144FF" w:rsidP="005F0AAA">
            <w:pPr>
              <w:pStyle w:val="TableText"/>
              <w:spacing w:before="0"/>
              <w:rPr>
                <w:rFonts w:cs="Calibri"/>
                <w:b/>
                <w:bCs/>
              </w:rPr>
            </w:pPr>
          </w:p>
        </w:tc>
        <w:tc>
          <w:tcPr>
            <w:tcW w:w="709" w:type="dxa"/>
            <w:gridSpan w:val="2"/>
            <w:tcBorders>
              <w:top w:val="nil"/>
              <w:left w:val="nil"/>
              <w:bottom w:val="nil"/>
              <w:right w:val="nil"/>
            </w:tcBorders>
          </w:tcPr>
          <w:p w14:paraId="29518976" w14:textId="3A0E0FAB" w:rsidR="000144FF" w:rsidRPr="00CF7E1B" w:rsidRDefault="000144FF" w:rsidP="005F0AAA">
            <w:pPr>
              <w:pStyle w:val="TableText"/>
              <w:spacing w:before="0"/>
              <w:rPr>
                <w:rFonts w:cs="Calibri"/>
                <w:b/>
              </w:rPr>
            </w:pPr>
          </w:p>
        </w:tc>
      </w:tr>
      <w:tr w:rsidR="005F0AAA" w:rsidRPr="00CF7E1B" w14:paraId="37CE9164" w14:textId="77777777" w:rsidTr="002A16D9">
        <w:tc>
          <w:tcPr>
            <w:tcW w:w="1560" w:type="dxa"/>
            <w:tcBorders>
              <w:top w:val="nil"/>
              <w:left w:val="single" w:sz="2" w:space="0" w:color="auto"/>
              <w:bottom w:val="nil"/>
              <w:right w:val="single" w:sz="2" w:space="0" w:color="auto"/>
            </w:tcBorders>
          </w:tcPr>
          <w:p w14:paraId="1C87C31C" w14:textId="77777777" w:rsidR="005F0AAA" w:rsidRPr="005F0AAA" w:rsidRDefault="005F0AAA" w:rsidP="005F0AAA">
            <w:pPr>
              <w:pStyle w:val="TableReference"/>
              <w:rPr>
                <w:rFonts w:cs="Calibri"/>
                <w:b/>
                <w:color w:val="7030A0"/>
                <w:sz w:val="14"/>
              </w:rPr>
            </w:pPr>
          </w:p>
        </w:tc>
        <w:tc>
          <w:tcPr>
            <w:tcW w:w="4394" w:type="dxa"/>
            <w:tcBorders>
              <w:top w:val="nil"/>
              <w:left w:val="single" w:sz="2" w:space="0" w:color="auto"/>
              <w:bottom w:val="nil"/>
              <w:right w:val="nil"/>
            </w:tcBorders>
          </w:tcPr>
          <w:p w14:paraId="1F54B814" w14:textId="77777777" w:rsidR="005F0AAA" w:rsidRPr="00CF7E1B" w:rsidRDefault="005F0AAA" w:rsidP="005F0AAA">
            <w:pPr>
              <w:pStyle w:val="TableText"/>
              <w:rPr>
                <w:rFonts w:cs="Calibri"/>
              </w:rPr>
            </w:pPr>
          </w:p>
        </w:tc>
        <w:tc>
          <w:tcPr>
            <w:tcW w:w="1134" w:type="dxa"/>
            <w:tcBorders>
              <w:top w:val="nil"/>
              <w:left w:val="nil"/>
              <w:bottom w:val="nil"/>
              <w:right w:val="nil"/>
            </w:tcBorders>
            <w:vAlign w:val="center"/>
          </w:tcPr>
          <w:p w14:paraId="78459585" w14:textId="77777777" w:rsidR="005F0AAA" w:rsidRPr="00CF7E1B" w:rsidRDefault="005F0AAA" w:rsidP="005F0AAA">
            <w:pPr>
              <w:pStyle w:val="TableText"/>
              <w:spacing w:before="0"/>
              <w:jc w:val="right"/>
              <w:rPr>
                <w:rFonts w:cs="Calibri"/>
                <w:b/>
                <w:bCs/>
              </w:rPr>
            </w:pPr>
            <w:r w:rsidRPr="00CF7E1B">
              <w:rPr>
                <w:rFonts w:cs="Calibri"/>
                <w:b/>
                <w:bCs/>
              </w:rPr>
              <w:t>Internally Generated</w:t>
            </w:r>
          </w:p>
          <w:p w14:paraId="1026A5DE" w14:textId="2086093A" w:rsidR="005F0AAA" w:rsidRPr="00CF7E1B" w:rsidRDefault="005F0AAA" w:rsidP="005F0AAA">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5B5FDE1" w14:textId="511CBDED" w:rsidR="005F0AAA" w:rsidRPr="00CF7E1B" w:rsidRDefault="005F0AAA" w:rsidP="005F0AAA">
            <w:pPr>
              <w:pStyle w:val="TableText"/>
              <w:spacing w:before="0"/>
              <w:jc w:val="right"/>
              <w:rPr>
                <w:rFonts w:cs="Calibri"/>
                <w:b/>
                <w:bCs/>
              </w:rPr>
            </w:pPr>
            <w:r w:rsidRPr="00CF7E1B">
              <w:rPr>
                <w:rFonts w:cs="Calibri"/>
                <w:b/>
                <w:bCs/>
              </w:rPr>
              <w:t>Externally Purchased Software</w:t>
            </w:r>
          </w:p>
        </w:tc>
        <w:tc>
          <w:tcPr>
            <w:tcW w:w="1559" w:type="dxa"/>
            <w:tcBorders>
              <w:top w:val="nil"/>
              <w:left w:val="nil"/>
              <w:bottom w:val="nil"/>
              <w:right w:val="nil"/>
            </w:tcBorders>
            <w:vAlign w:val="center"/>
          </w:tcPr>
          <w:p w14:paraId="21D97E7A" w14:textId="56AF0E5B" w:rsidR="005F0AAA" w:rsidRPr="00CF7E1B" w:rsidRDefault="005F0AAA" w:rsidP="005F0AAA">
            <w:pPr>
              <w:pStyle w:val="TableText"/>
              <w:spacing w:before="0"/>
              <w:jc w:val="right"/>
              <w:rPr>
                <w:rFonts w:cs="Calibri"/>
                <w:b/>
                <w:bCs/>
              </w:rPr>
            </w:pPr>
            <w:r w:rsidRPr="00CF7E1B">
              <w:rPr>
                <w:rFonts w:cs="Calibri"/>
                <w:b/>
                <w:bCs/>
              </w:rPr>
              <w:t>Externally Purchased Other Intangibles</w:t>
            </w:r>
          </w:p>
        </w:tc>
        <w:tc>
          <w:tcPr>
            <w:tcW w:w="709" w:type="dxa"/>
            <w:gridSpan w:val="2"/>
            <w:tcBorders>
              <w:top w:val="nil"/>
              <w:left w:val="nil"/>
              <w:bottom w:val="nil"/>
              <w:right w:val="nil"/>
            </w:tcBorders>
            <w:vAlign w:val="bottom"/>
          </w:tcPr>
          <w:p w14:paraId="2FD5CAB7" w14:textId="14C68A0F" w:rsidR="005F0AAA" w:rsidRPr="00CF7E1B" w:rsidRDefault="005F0AAA" w:rsidP="005F0AAA">
            <w:pPr>
              <w:pStyle w:val="TableText"/>
              <w:spacing w:before="0"/>
              <w:jc w:val="right"/>
              <w:rPr>
                <w:rFonts w:cs="Calibri"/>
                <w:b/>
              </w:rPr>
            </w:pPr>
            <w:r w:rsidRPr="00CF7E1B">
              <w:rPr>
                <w:rFonts w:cs="Calibri"/>
                <w:b/>
              </w:rPr>
              <w:t>Total</w:t>
            </w:r>
          </w:p>
        </w:tc>
      </w:tr>
      <w:tr w:rsidR="005F0AAA" w:rsidRPr="00CF7E1B" w14:paraId="57972F9E" w14:textId="77777777" w:rsidTr="002A16D9">
        <w:tc>
          <w:tcPr>
            <w:tcW w:w="1560" w:type="dxa"/>
            <w:tcBorders>
              <w:top w:val="nil"/>
              <w:left w:val="single" w:sz="2" w:space="0" w:color="auto"/>
              <w:bottom w:val="nil"/>
              <w:right w:val="single" w:sz="2" w:space="0" w:color="auto"/>
            </w:tcBorders>
          </w:tcPr>
          <w:p w14:paraId="52B3A2D0" w14:textId="5673AFF9" w:rsidR="005F0AAA" w:rsidRPr="005F0AAA" w:rsidRDefault="005F0AAA" w:rsidP="005F0AAA">
            <w:pPr>
              <w:pStyle w:val="TableReference"/>
              <w:rPr>
                <w:rFonts w:cs="Calibri"/>
                <w:b/>
                <w:color w:val="7030A0"/>
                <w:sz w:val="14"/>
              </w:rPr>
            </w:pPr>
            <w:r w:rsidRPr="005F0AAA">
              <w:rPr>
                <w:rFonts w:cs="Calibri"/>
                <w:color w:val="7030A0"/>
                <w:sz w:val="14"/>
              </w:rPr>
              <w:t>ACT Accounting Policy</w:t>
            </w:r>
            <w:r w:rsidR="00FA7C77">
              <w:rPr>
                <w:rFonts w:cs="Calibri"/>
                <w:color w:val="7030A0"/>
                <w:sz w:val="14"/>
              </w:rPr>
              <w:t xml:space="preserve"> </w:t>
            </w:r>
            <w:r w:rsidRPr="005F0AAA">
              <w:rPr>
                <w:rFonts w:cs="Calibri"/>
                <w:color w:val="7030A0"/>
                <w:sz w:val="14"/>
              </w:rPr>
              <w:t>AASB 138.118</w:t>
            </w:r>
          </w:p>
        </w:tc>
        <w:tc>
          <w:tcPr>
            <w:tcW w:w="4394" w:type="dxa"/>
            <w:tcBorders>
              <w:top w:val="nil"/>
              <w:left w:val="single" w:sz="2" w:space="0" w:color="auto"/>
              <w:bottom w:val="nil"/>
              <w:right w:val="nil"/>
            </w:tcBorders>
          </w:tcPr>
          <w:p w14:paraId="5079D8A8" w14:textId="77777777" w:rsidR="005F0AAA" w:rsidRPr="00CF7E1B" w:rsidRDefault="005F0AAA" w:rsidP="005F0AAA">
            <w:pPr>
              <w:pStyle w:val="TableText"/>
              <w:rPr>
                <w:rFonts w:cs="Calibri"/>
              </w:rPr>
            </w:pPr>
          </w:p>
        </w:tc>
        <w:tc>
          <w:tcPr>
            <w:tcW w:w="1134" w:type="dxa"/>
            <w:tcBorders>
              <w:top w:val="nil"/>
              <w:left w:val="nil"/>
              <w:bottom w:val="nil"/>
              <w:right w:val="nil"/>
            </w:tcBorders>
            <w:vAlign w:val="center"/>
          </w:tcPr>
          <w:p w14:paraId="6D798FBA" w14:textId="77777777" w:rsidR="005F0AAA" w:rsidRPr="00CF7E1B" w:rsidRDefault="005F0AAA" w:rsidP="005F0AAA">
            <w:pPr>
              <w:pStyle w:val="TableText"/>
              <w:spacing w:before="0"/>
              <w:jc w:val="right"/>
              <w:rPr>
                <w:rFonts w:cs="Calibri"/>
                <w:b/>
              </w:rPr>
            </w:pPr>
            <w:r w:rsidRPr="00CF7E1B">
              <w:rPr>
                <w:rFonts w:cs="Calibri"/>
                <w:b/>
              </w:rPr>
              <w:t>$’000</w:t>
            </w:r>
          </w:p>
        </w:tc>
        <w:tc>
          <w:tcPr>
            <w:tcW w:w="1134" w:type="dxa"/>
            <w:tcBorders>
              <w:top w:val="nil"/>
              <w:left w:val="nil"/>
              <w:bottom w:val="nil"/>
              <w:right w:val="nil"/>
            </w:tcBorders>
            <w:vAlign w:val="center"/>
          </w:tcPr>
          <w:p w14:paraId="6B8BC595" w14:textId="77777777" w:rsidR="005F0AAA" w:rsidRPr="00CF7E1B" w:rsidRDefault="005F0AAA" w:rsidP="005F0AAA">
            <w:pPr>
              <w:pStyle w:val="TableText"/>
              <w:spacing w:before="0"/>
              <w:jc w:val="right"/>
              <w:rPr>
                <w:rFonts w:cs="Calibri"/>
                <w:b/>
              </w:rPr>
            </w:pPr>
            <w:r w:rsidRPr="00CF7E1B">
              <w:rPr>
                <w:rFonts w:cs="Calibri"/>
                <w:b/>
              </w:rPr>
              <w:t>$’000</w:t>
            </w:r>
          </w:p>
        </w:tc>
        <w:tc>
          <w:tcPr>
            <w:tcW w:w="1559" w:type="dxa"/>
            <w:tcBorders>
              <w:top w:val="nil"/>
              <w:left w:val="nil"/>
              <w:bottom w:val="nil"/>
              <w:right w:val="nil"/>
            </w:tcBorders>
            <w:vAlign w:val="center"/>
          </w:tcPr>
          <w:p w14:paraId="6C27DE6F" w14:textId="77777777" w:rsidR="005F0AAA" w:rsidRPr="00CF7E1B" w:rsidRDefault="005F0AAA" w:rsidP="005F0AAA">
            <w:pPr>
              <w:pStyle w:val="TableText"/>
              <w:spacing w:before="0"/>
              <w:jc w:val="right"/>
              <w:rPr>
                <w:rFonts w:cs="Calibri"/>
              </w:rPr>
            </w:pPr>
            <w:r w:rsidRPr="00CF7E1B">
              <w:rPr>
                <w:rFonts w:cs="Calibri"/>
                <w:b/>
              </w:rPr>
              <w:t>$’000</w:t>
            </w:r>
          </w:p>
        </w:tc>
        <w:tc>
          <w:tcPr>
            <w:tcW w:w="709" w:type="dxa"/>
            <w:gridSpan w:val="2"/>
            <w:tcBorders>
              <w:top w:val="nil"/>
              <w:left w:val="nil"/>
              <w:bottom w:val="nil"/>
              <w:right w:val="nil"/>
            </w:tcBorders>
            <w:vAlign w:val="center"/>
          </w:tcPr>
          <w:p w14:paraId="508D4B86" w14:textId="77777777" w:rsidR="005F0AAA" w:rsidRPr="00CF7E1B" w:rsidRDefault="005F0AAA" w:rsidP="005F0AAA">
            <w:pPr>
              <w:pStyle w:val="TableText"/>
              <w:spacing w:before="0"/>
              <w:jc w:val="right"/>
              <w:rPr>
                <w:rFonts w:cs="Calibri"/>
              </w:rPr>
            </w:pPr>
            <w:r w:rsidRPr="00CF7E1B">
              <w:rPr>
                <w:rFonts w:cs="Calibri"/>
                <w:b/>
              </w:rPr>
              <w:t>$’000</w:t>
            </w:r>
          </w:p>
        </w:tc>
      </w:tr>
      <w:tr w:rsidR="005F0AAA" w:rsidRPr="00CF7E1B" w14:paraId="6F90B940" w14:textId="77777777" w:rsidTr="002A16D9">
        <w:tc>
          <w:tcPr>
            <w:tcW w:w="1560" w:type="dxa"/>
            <w:tcBorders>
              <w:top w:val="nil"/>
              <w:left w:val="single" w:sz="2" w:space="0" w:color="auto"/>
              <w:bottom w:val="nil"/>
              <w:right w:val="single" w:sz="2" w:space="0" w:color="auto"/>
            </w:tcBorders>
          </w:tcPr>
          <w:p w14:paraId="3A2F01E5" w14:textId="54C78957" w:rsidR="005F0AAA" w:rsidRPr="005F0AAA" w:rsidRDefault="005F0AAA" w:rsidP="005F0AAA">
            <w:pPr>
              <w:pStyle w:val="TableReference"/>
              <w:spacing w:before="40"/>
              <w:rPr>
                <w:rFonts w:cs="Calibri"/>
                <w:b/>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38687A8B" w14:textId="5B107660" w:rsidR="005F0AAA" w:rsidRPr="005F0AAA" w:rsidRDefault="005F0AAA" w:rsidP="005F0AAA">
            <w:pPr>
              <w:pStyle w:val="TableText"/>
              <w:spacing w:after="120"/>
              <w:rPr>
                <w:rFonts w:cs="Calibri"/>
                <w:b/>
                <w:bCs/>
              </w:rPr>
            </w:pPr>
            <w:r w:rsidRPr="005F0AAA">
              <w:rPr>
                <w:rFonts w:cs="Calibri"/>
                <w:b/>
                <w:bCs/>
              </w:rPr>
              <w:t>Reconciliation of Intangible Assets 202</w:t>
            </w:r>
            <w:r w:rsidR="0057550F">
              <w:rPr>
                <w:rFonts w:cs="Calibri"/>
                <w:b/>
                <w:bCs/>
              </w:rPr>
              <w:t>2</w:t>
            </w:r>
            <w:r w:rsidRPr="005F0AAA">
              <w:rPr>
                <w:rFonts w:cs="Calibri"/>
                <w:b/>
                <w:bCs/>
              </w:rPr>
              <w:t>-2</w:t>
            </w:r>
            <w:r w:rsidR="0057550F">
              <w:rPr>
                <w:rFonts w:cs="Calibri"/>
                <w:b/>
                <w:bCs/>
              </w:rPr>
              <w:t>3</w:t>
            </w:r>
          </w:p>
        </w:tc>
        <w:tc>
          <w:tcPr>
            <w:tcW w:w="1134" w:type="dxa"/>
            <w:tcBorders>
              <w:top w:val="nil"/>
              <w:left w:val="nil"/>
              <w:bottom w:val="nil"/>
              <w:right w:val="nil"/>
            </w:tcBorders>
            <w:vAlign w:val="center"/>
          </w:tcPr>
          <w:p w14:paraId="1B3203DC" w14:textId="77777777" w:rsidR="005F0AAA" w:rsidRPr="005F0AAA" w:rsidRDefault="005F0AAA" w:rsidP="005F0AAA">
            <w:pPr>
              <w:pStyle w:val="TableText"/>
              <w:jc w:val="right"/>
              <w:rPr>
                <w:rFonts w:cs="Calibri"/>
                <w:b/>
              </w:rPr>
            </w:pPr>
          </w:p>
        </w:tc>
        <w:tc>
          <w:tcPr>
            <w:tcW w:w="1134" w:type="dxa"/>
            <w:tcBorders>
              <w:top w:val="nil"/>
              <w:left w:val="nil"/>
              <w:bottom w:val="nil"/>
              <w:right w:val="nil"/>
            </w:tcBorders>
            <w:vAlign w:val="center"/>
          </w:tcPr>
          <w:p w14:paraId="68CACED5" w14:textId="77777777" w:rsidR="005F0AAA" w:rsidRPr="005F0AAA" w:rsidRDefault="005F0AAA" w:rsidP="005F0AAA">
            <w:pPr>
              <w:pStyle w:val="TableText"/>
              <w:jc w:val="right"/>
              <w:rPr>
                <w:rFonts w:cs="Calibri"/>
                <w:b/>
              </w:rPr>
            </w:pPr>
          </w:p>
        </w:tc>
        <w:tc>
          <w:tcPr>
            <w:tcW w:w="1559" w:type="dxa"/>
            <w:tcBorders>
              <w:top w:val="nil"/>
              <w:left w:val="nil"/>
              <w:bottom w:val="nil"/>
              <w:right w:val="nil"/>
            </w:tcBorders>
            <w:vAlign w:val="center"/>
          </w:tcPr>
          <w:p w14:paraId="476DBF42" w14:textId="77777777" w:rsidR="005F0AAA" w:rsidRPr="005F0AAA" w:rsidRDefault="005F0AAA" w:rsidP="005F0AAA">
            <w:pPr>
              <w:pStyle w:val="TableText"/>
              <w:jc w:val="right"/>
              <w:rPr>
                <w:rFonts w:cs="Calibri"/>
                <w:b/>
              </w:rPr>
            </w:pPr>
          </w:p>
        </w:tc>
        <w:tc>
          <w:tcPr>
            <w:tcW w:w="709" w:type="dxa"/>
            <w:gridSpan w:val="2"/>
            <w:tcBorders>
              <w:top w:val="nil"/>
              <w:left w:val="nil"/>
              <w:bottom w:val="nil"/>
              <w:right w:val="nil"/>
            </w:tcBorders>
            <w:vAlign w:val="center"/>
          </w:tcPr>
          <w:p w14:paraId="584F26CF" w14:textId="77777777" w:rsidR="005F0AAA" w:rsidRPr="005F0AAA" w:rsidRDefault="005F0AAA" w:rsidP="005F0AAA">
            <w:pPr>
              <w:pStyle w:val="TableText"/>
              <w:jc w:val="right"/>
              <w:rPr>
                <w:rFonts w:cs="Calibri"/>
                <w:b/>
              </w:rPr>
            </w:pPr>
          </w:p>
        </w:tc>
      </w:tr>
      <w:tr w:rsidR="005F0AAA" w:rsidRPr="00CF7E1B" w14:paraId="7599DE29" w14:textId="77777777" w:rsidTr="002A16D9">
        <w:tc>
          <w:tcPr>
            <w:tcW w:w="1560" w:type="dxa"/>
            <w:tcBorders>
              <w:top w:val="nil"/>
              <w:left w:val="single" w:sz="2" w:space="0" w:color="auto"/>
              <w:bottom w:val="nil"/>
              <w:right w:val="single" w:sz="2" w:space="0" w:color="auto"/>
            </w:tcBorders>
          </w:tcPr>
          <w:p w14:paraId="5E0A955E"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11103D" w14:textId="7C4A4BE5" w:rsidR="005F0AAA" w:rsidRPr="005F0AAA" w:rsidRDefault="005F0AAA" w:rsidP="005F0AAA">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44A8CCE0" w14:textId="2D57F685" w:rsidR="005F0AAA" w:rsidRPr="005F0AAA" w:rsidRDefault="005F0AAA" w:rsidP="005F0AAA">
            <w:pPr>
              <w:pStyle w:val="TableText"/>
              <w:jc w:val="right"/>
              <w:rPr>
                <w:rFonts w:cs="Calibri"/>
                <w:b/>
              </w:rPr>
            </w:pPr>
          </w:p>
        </w:tc>
        <w:tc>
          <w:tcPr>
            <w:tcW w:w="1134" w:type="dxa"/>
            <w:tcBorders>
              <w:top w:val="nil"/>
              <w:left w:val="nil"/>
              <w:bottom w:val="nil"/>
              <w:right w:val="nil"/>
            </w:tcBorders>
          </w:tcPr>
          <w:p w14:paraId="1AC8899D" w14:textId="730F4F09" w:rsidR="005F0AAA" w:rsidRPr="005F0AAA" w:rsidRDefault="005F0AAA" w:rsidP="005F0AAA">
            <w:pPr>
              <w:pStyle w:val="TableText"/>
              <w:jc w:val="right"/>
              <w:rPr>
                <w:rFonts w:cs="Calibri"/>
                <w:b/>
              </w:rPr>
            </w:pPr>
          </w:p>
        </w:tc>
        <w:tc>
          <w:tcPr>
            <w:tcW w:w="1559" w:type="dxa"/>
            <w:tcBorders>
              <w:top w:val="nil"/>
              <w:left w:val="nil"/>
              <w:bottom w:val="nil"/>
              <w:right w:val="nil"/>
            </w:tcBorders>
          </w:tcPr>
          <w:p w14:paraId="1A541684" w14:textId="1E35050C" w:rsidR="005F0AAA" w:rsidRPr="005F0AAA" w:rsidRDefault="005F0AAA" w:rsidP="005F0AAA">
            <w:pPr>
              <w:pStyle w:val="TableText"/>
              <w:jc w:val="right"/>
              <w:rPr>
                <w:rFonts w:cs="Calibri"/>
                <w:b/>
              </w:rPr>
            </w:pPr>
          </w:p>
        </w:tc>
        <w:tc>
          <w:tcPr>
            <w:tcW w:w="709" w:type="dxa"/>
            <w:gridSpan w:val="2"/>
            <w:tcBorders>
              <w:top w:val="nil"/>
              <w:left w:val="nil"/>
              <w:bottom w:val="nil"/>
              <w:right w:val="nil"/>
            </w:tcBorders>
          </w:tcPr>
          <w:p w14:paraId="26F08E8F" w14:textId="6E0A5A3F" w:rsidR="005F0AAA" w:rsidRPr="005F0AAA" w:rsidRDefault="005F0AAA" w:rsidP="005F0AAA">
            <w:pPr>
              <w:pStyle w:val="TableText"/>
              <w:jc w:val="right"/>
              <w:rPr>
                <w:rFonts w:cs="Calibri"/>
                <w:b/>
              </w:rPr>
            </w:pPr>
          </w:p>
        </w:tc>
      </w:tr>
      <w:tr w:rsidR="005F0AAA" w:rsidRPr="00CF7E1B" w14:paraId="79B5587F" w14:textId="77777777" w:rsidTr="002A16D9">
        <w:tc>
          <w:tcPr>
            <w:tcW w:w="1560" w:type="dxa"/>
            <w:tcBorders>
              <w:top w:val="nil"/>
              <w:left w:val="single" w:sz="2" w:space="0" w:color="auto"/>
              <w:bottom w:val="nil"/>
              <w:right w:val="single" w:sz="2" w:space="0" w:color="auto"/>
            </w:tcBorders>
          </w:tcPr>
          <w:p w14:paraId="2AECBF69"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w:t>
            </w:r>
          </w:p>
        </w:tc>
        <w:tc>
          <w:tcPr>
            <w:tcW w:w="4394" w:type="dxa"/>
            <w:tcBorders>
              <w:top w:val="nil"/>
              <w:left w:val="single" w:sz="2" w:space="0" w:color="auto"/>
              <w:bottom w:val="nil"/>
              <w:right w:val="nil"/>
            </w:tcBorders>
          </w:tcPr>
          <w:p w14:paraId="5777E401" w14:textId="4A49CAA0" w:rsidR="005F0AAA" w:rsidRPr="005F0AAA" w:rsidRDefault="005F0AAA" w:rsidP="005F0AAA">
            <w:pPr>
              <w:pStyle w:val="TableText"/>
              <w:rPr>
                <w:rFonts w:cs="Calibri"/>
              </w:rPr>
            </w:pPr>
            <w:r w:rsidRPr="005F0AAA">
              <w:rPr>
                <w:rFonts w:cs="Calibri"/>
              </w:rPr>
              <w:t>Additions</w:t>
            </w:r>
            <w:r w:rsidR="00FA7C77">
              <w:rPr>
                <w:rFonts w:cs="Calibri"/>
              </w:rPr>
              <w:t xml:space="preserve"> </w:t>
            </w:r>
          </w:p>
        </w:tc>
        <w:tc>
          <w:tcPr>
            <w:tcW w:w="1134" w:type="dxa"/>
            <w:tcBorders>
              <w:top w:val="nil"/>
              <w:left w:val="nil"/>
              <w:bottom w:val="nil"/>
              <w:right w:val="nil"/>
            </w:tcBorders>
          </w:tcPr>
          <w:p w14:paraId="2D72D16E" w14:textId="265D4DC6"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28D94559" w14:textId="0C940A56"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32463FC0" w14:textId="65E13AA7"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4C08691D" w14:textId="229915AC" w:rsidR="005F0AAA" w:rsidRPr="005F0AAA" w:rsidRDefault="005F0AAA" w:rsidP="005F0AAA">
            <w:pPr>
              <w:pStyle w:val="TableText"/>
              <w:jc w:val="right"/>
              <w:rPr>
                <w:rFonts w:cs="Calibri"/>
              </w:rPr>
            </w:pPr>
          </w:p>
        </w:tc>
      </w:tr>
      <w:tr w:rsidR="005F0AAA" w:rsidRPr="00CF7E1B" w14:paraId="0A185D0A" w14:textId="77777777" w:rsidTr="002A16D9">
        <w:tc>
          <w:tcPr>
            <w:tcW w:w="1560" w:type="dxa"/>
            <w:tcBorders>
              <w:top w:val="nil"/>
              <w:left w:val="single" w:sz="2" w:space="0" w:color="auto"/>
              <w:bottom w:val="nil"/>
              <w:right w:val="single" w:sz="2" w:space="0" w:color="auto"/>
            </w:tcBorders>
          </w:tcPr>
          <w:p w14:paraId="3D10ED9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138.118(e)(iv)</w:t>
            </w:r>
          </w:p>
        </w:tc>
        <w:tc>
          <w:tcPr>
            <w:tcW w:w="4394" w:type="dxa"/>
            <w:tcBorders>
              <w:top w:val="nil"/>
              <w:left w:val="single" w:sz="2" w:space="0" w:color="auto"/>
              <w:bottom w:val="nil"/>
              <w:right w:val="nil"/>
            </w:tcBorders>
          </w:tcPr>
          <w:p w14:paraId="4D783BAF" w14:textId="3A6085F8" w:rsidR="005F0AAA" w:rsidRPr="005F0AAA" w:rsidRDefault="005F0AAA" w:rsidP="005F0AAA">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8968364" w14:textId="6DCE0B9A"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613B4C7F" w14:textId="68BB202B"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3AF294AE" w14:textId="3C78289F"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73EAA4F" w14:textId="647D782C" w:rsidR="005F0AAA" w:rsidRPr="005F0AAA" w:rsidRDefault="005F0AAA" w:rsidP="005F0AAA">
            <w:pPr>
              <w:pStyle w:val="TableText"/>
              <w:jc w:val="right"/>
              <w:rPr>
                <w:rFonts w:cs="Calibri"/>
              </w:rPr>
            </w:pPr>
          </w:p>
        </w:tc>
      </w:tr>
      <w:tr w:rsidR="005F0AAA" w:rsidRPr="00CF7E1B" w14:paraId="71B74BCB" w14:textId="77777777" w:rsidTr="002A16D9">
        <w:tc>
          <w:tcPr>
            <w:tcW w:w="1560" w:type="dxa"/>
            <w:tcBorders>
              <w:top w:val="nil"/>
              <w:left w:val="single" w:sz="2" w:space="0" w:color="auto"/>
              <w:bottom w:val="nil"/>
              <w:right w:val="single" w:sz="2" w:space="0" w:color="auto"/>
            </w:tcBorders>
          </w:tcPr>
          <w:p w14:paraId="63B5EEEB"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w:t>
            </w:r>
          </w:p>
        </w:tc>
        <w:tc>
          <w:tcPr>
            <w:tcW w:w="4394" w:type="dxa"/>
            <w:tcBorders>
              <w:top w:val="nil"/>
              <w:left w:val="single" w:sz="2" w:space="0" w:color="auto"/>
              <w:bottom w:val="nil"/>
              <w:right w:val="nil"/>
            </w:tcBorders>
          </w:tcPr>
          <w:p w14:paraId="559BA69B" w14:textId="58E43568" w:rsidR="005F0AAA" w:rsidRPr="005F0AAA" w:rsidRDefault="005F0AAA" w:rsidP="005F0AAA">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4F535E1A" w14:textId="62BD5739"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4C4DE476" w14:textId="7C4E4BC2"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6342549D" w14:textId="5A61FDB1"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2B4EB66" w14:textId="14A00810" w:rsidR="005F0AAA" w:rsidRPr="005F0AAA" w:rsidRDefault="005F0AAA" w:rsidP="005F0AAA">
            <w:pPr>
              <w:pStyle w:val="TableText"/>
              <w:jc w:val="right"/>
              <w:rPr>
                <w:rFonts w:cs="Calibri"/>
              </w:rPr>
            </w:pPr>
          </w:p>
        </w:tc>
      </w:tr>
      <w:tr w:rsidR="005F0AAA" w:rsidRPr="00CF7E1B" w14:paraId="4C483710" w14:textId="77777777" w:rsidTr="002A16D9">
        <w:tc>
          <w:tcPr>
            <w:tcW w:w="1560" w:type="dxa"/>
            <w:tcBorders>
              <w:top w:val="nil"/>
              <w:left w:val="single" w:sz="2" w:space="0" w:color="auto"/>
              <w:bottom w:val="nil"/>
              <w:right w:val="single" w:sz="2" w:space="0" w:color="auto"/>
            </w:tcBorders>
          </w:tcPr>
          <w:p w14:paraId="1FE39D3E"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w:t>
            </w:r>
          </w:p>
        </w:tc>
        <w:tc>
          <w:tcPr>
            <w:tcW w:w="4394" w:type="dxa"/>
            <w:tcBorders>
              <w:top w:val="nil"/>
              <w:left w:val="single" w:sz="2" w:space="0" w:color="auto"/>
              <w:bottom w:val="nil"/>
              <w:right w:val="nil"/>
            </w:tcBorders>
          </w:tcPr>
          <w:p w14:paraId="7A140CB1" w14:textId="77777777" w:rsidR="005F0AAA" w:rsidRPr="005F0AAA" w:rsidRDefault="005F0AAA" w:rsidP="005F0AAA">
            <w:pPr>
              <w:pStyle w:val="TableText"/>
              <w:rPr>
                <w:rFonts w:cs="Calibri"/>
              </w:rPr>
            </w:pPr>
            <w:r w:rsidRPr="005F0AAA">
              <w:rPr>
                <w:rFonts w:cs="Calibri"/>
              </w:rPr>
              <w:t>Amortisation</w:t>
            </w:r>
          </w:p>
        </w:tc>
        <w:tc>
          <w:tcPr>
            <w:tcW w:w="1134" w:type="dxa"/>
            <w:tcBorders>
              <w:top w:val="nil"/>
              <w:left w:val="nil"/>
              <w:bottom w:val="nil"/>
              <w:right w:val="nil"/>
            </w:tcBorders>
          </w:tcPr>
          <w:p w14:paraId="6E37D2D7" w14:textId="334B9143"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6EA07BB6" w14:textId="086F5CE6"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1DB6EDD4" w14:textId="58F6A045"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DCEA979" w14:textId="14C80864" w:rsidR="005F0AAA" w:rsidRPr="005F0AAA" w:rsidRDefault="005F0AAA" w:rsidP="005F0AAA">
            <w:pPr>
              <w:pStyle w:val="TableText"/>
              <w:jc w:val="right"/>
              <w:rPr>
                <w:rFonts w:cs="Calibri"/>
              </w:rPr>
            </w:pPr>
          </w:p>
        </w:tc>
      </w:tr>
      <w:tr w:rsidR="005F0AAA" w:rsidRPr="00CF7E1B" w14:paraId="35F0242D" w14:textId="77777777" w:rsidTr="002A16D9">
        <w:tc>
          <w:tcPr>
            <w:tcW w:w="1560" w:type="dxa"/>
            <w:tcBorders>
              <w:top w:val="nil"/>
              <w:left w:val="single" w:sz="2" w:space="0" w:color="auto"/>
              <w:bottom w:val="nil"/>
              <w:right w:val="single" w:sz="2" w:space="0" w:color="auto"/>
            </w:tcBorders>
          </w:tcPr>
          <w:p w14:paraId="09752BD2"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138.118(e)(viii)</w:t>
            </w:r>
          </w:p>
        </w:tc>
        <w:tc>
          <w:tcPr>
            <w:tcW w:w="4394" w:type="dxa"/>
            <w:tcBorders>
              <w:top w:val="nil"/>
              <w:left w:val="single" w:sz="2" w:space="0" w:color="auto"/>
              <w:bottom w:val="nil"/>
              <w:right w:val="nil"/>
            </w:tcBorders>
          </w:tcPr>
          <w:p w14:paraId="6F1EC3F2" w14:textId="77777777" w:rsidR="005F0AAA" w:rsidRPr="005F0AAA" w:rsidRDefault="005F0AAA" w:rsidP="005F0AAA">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0A4FFEA6" w14:textId="116E0CD2" w:rsidR="005F0AAA" w:rsidRPr="005F0AAA" w:rsidRDefault="005F0AAA" w:rsidP="005F0AAA">
            <w:pPr>
              <w:pStyle w:val="TableText"/>
              <w:jc w:val="right"/>
              <w:rPr>
                <w:rFonts w:cs="Calibri"/>
              </w:rPr>
            </w:pPr>
          </w:p>
        </w:tc>
        <w:tc>
          <w:tcPr>
            <w:tcW w:w="1134" w:type="dxa"/>
            <w:tcBorders>
              <w:top w:val="nil"/>
              <w:left w:val="nil"/>
              <w:bottom w:val="single" w:sz="4" w:space="0" w:color="auto"/>
              <w:right w:val="nil"/>
            </w:tcBorders>
          </w:tcPr>
          <w:p w14:paraId="39E8D0CA" w14:textId="42494F25" w:rsidR="005F0AAA" w:rsidRPr="005F0AAA" w:rsidRDefault="005F0AAA" w:rsidP="005F0AAA">
            <w:pPr>
              <w:pStyle w:val="TableText"/>
              <w:jc w:val="right"/>
              <w:rPr>
                <w:rFonts w:cs="Calibri"/>
              </w:rPr>
            </w:pPr>
          </w:p>
        </w:tc>
        <w:tc>
          <w:tcPr>
            <w:tcW w:w="1559" w:type="dxa"/>
            <w:tcBorders>
              <w:top w:val="nil"/>
              <w:left w:val="nil"/>
              <w:bottom w:val="single" w:sz="4" w:space="0" w:color="auto"/>
              <w:right w:val="nil"/>
            </w:tcBorders>
          </w:tcPr>
          <w:p w14:paraId="339EAED9" w14:textId="16793094" w:rsidR="005F0AAA" w:rsidRPr="005F0AAA" w:rsidRDefault="005F0AAA" w:rsidP="005F0AAA">
            <w:pPr>
              <w:pStyle w:val="TableText"/>
              <w:jc w:val="right"/>
              <w:rPr>
                <w:rFonts w:cs="Calibri"/>
              </w:rPr>
            </w:pPr>
          </w:p>
        </w:tc>
        <w:tc>
          <w:tcPr>
            <w:tcW w:w="709" w:type="dxa"/>
            <w:gridSpan w:val="2"/>
            <w:tcBorders>
              <w:top w:val="nil"/>
              <w:left w:val="nil"/>
              <w:bottom w:val="single" w:sz="4" w:space="0" w:color="auto"/>
              <w:right w:val="nil"/>
            </w:tcBorders>
          </w:tcPr>
          <w:p w14:paraId="69A69006" w14:textId="75108989" w:rsidR="005F0AAA" w:rsidRPr="005F0AAA" w:rsidRDefault="005F0AAA" w:rsidP="005F0AAA">
            <w:pPr>
              <w:pStyle w:val="TableText"/>
              <w:jc w:val="right"/>
              <w:rPr>
                <w:rFonts w:cs="Calibri"/>
              </w:rPr>
            </w:pPr>
          </w:p>
        </w:tc>
      </w:tr>
      <w:tr w:rsidR="005F0AAA" w:rsidRPr="00CF7E1B" w14:paraId="0A8BBD22" w14:textId="77777777" w:rsidTr="002A16D9">
        <w:tc>
          <w:tcPr>
            <w:tcW w:w="1560" w:type="dxa"/>
            <w:tcBorders>
              <w:top w:val="nil"/>
              <w:left w:val="single" w:sz="2" w:space="0" w:color="auto"/>
              <w:bottom w:val="nil"/>
              <w:right w:val="single" w:sz="2" w:space="0" w:color="auto"/>
            </w:tcBorders>
          </w:tcPr>
          <w:p w14:paraId="58A89EB3"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DD1663" w14:textId="73FC2694" w:rsidR="005F0AAA" w:rsidRPr="005F0AAA" w:rsidRDefault="005F0AAA" w:rsidP="005F0AAA">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57B0BA3E" w14:textId="1DDA621A" w:rsidR="005F0AAA" w:rsidRPr="005F0AAA" w:rsidRDefault="005F0AAA" w:rsidP="005F0AAA">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31E5B40A" w14:textId="1B0805FC" w:rsidR="005F0AAA" w:rsidRPr="005F0AAA" w:rsidRDefault="005F0AAA" w:rsidP="005F0AAA">
            <w:pPr>
              <w:pStyle w:val="TableText"/>
              <w:jc w:val="right"/>
              <w:rPr>
                <w:rFonts w:cs="Calibri"/>
                <w:b/>
                <w:bCs/>
              </w:rPr>
            </w:pPr>
          </w:p>
        </w:tc>
        <w:tc>
          <w:tcPr>
            <w:tcW w:w="1559" w:type="dxa"/>
            <w:tcBorders>
              <w:top w:val="single" w:sz="4" w:space="0" w:color="auto"/>
              <w:left w:val="nil"/>
              <w:bottom w:val="double" w:sz="4" w:space="0" w:color="auto"/>
              <w:right w:val="nil"/>
            </w:tcBorders>
            <w:vAlign w:val="bottom"/>
          </w:tcPr>
          <w:p w14:paraId="5438C377" w14:textId="6AD57C22" w:rsidR="005F0AAA" w:rsidRPr="005F0AAA" w:rsidRDefault="005F0AAA" w:rsidP="005F0AAA">
            <w:pPr>
              <w:pStyle w:val="TableText"/>
              <w:jc w:val="right"/>
              <w:rPr>
                <w:rFonts w:cs="Calibri"/>
                <w:b/>
                <w:bCs/>
              </w:rPr>
            </w:pPr>
          </w:p>
        </w:tc>
        <w:tc>
          <w:tcPr>
            <w:tcW w:w="709" w:type="dxa"/>
            <w:gridSpan w:val="2"/>
            <w:tcBorders>
              <w:top w:val="single" w:sz="4" w:space="0" w:color="auto"/>
              <w:left w:val="nil"/>
              <w:bottom w:val="double" w:sz="4" w:space="0" w:color="auto"/>
              <w:right w:val="nil"/>
            </w:tcBorders>
            <w:vAlign w:val="bottom"/>
          </w:tcPr>
          <w:p w14:paraId="20AF9249" w14:textId="45EE879D" w:rsidR="005F0AAA" w:rsidRPr="005F0AAA" w:rsidRDefault="005F0AAA" w:rsidP="005F0AAA">
            <w:pPr>
              <w:pStyle w:val="TableText"/>
              <w:jc w:val="right"/>
              <w:rPr>
                <w:rFonts w:cs="Calibri"/>
                <w:b/>
                <w:bCs/>
              </w:rPr>
            </w:pPr>
          </w:p>
        </w:tc>
      </w:tr>
      <w:tr w:rsidR="005F0AAA" w:rsidRPr="00CF7E1B" w14:paraId="513B66B8" w14:textId="77777777" w:rsidTr="002A16D9">
        <w:tc>
          <w:tcPr>
            <w:tcW w:w="1560" w:type="dxa"/>
            <w:tcBorders>
              <w:top w:val="nil"/>
              <w:left w:val="single" w:sz="2" w:space="0" w:color="auto"/>
              <w:bottom w:val="nil"/>
              <w:right w:val="single" w:sz="2" w:space="0" w:color="auto"/>
            </w:tcBorders>
          </w:tcPr>
          <w:p w14:paraId="70A9CED3" w14:textId="77777777" w:rsidR="005F0AAA" w:rsidRPr="005F0AAA" w:rsidRDefault="005F0AAA" w:rsidP="005F0AAA">
            <w:pPr>
              <w:pStyle w:val="TableReference"/>
              <w:spacing w:before="60"/>
              <w:rPr>
                <w:rFonts w:cs="Calibri"/>
                <w:color w:val="7030A0"/>
                <w:sz w:val="14"/>
              </w:rPr>
            </w:pPr>
            <w:bookmarkStart w:id="663" w:name="_Hlk107570534"/>
          </w:p>
        </w:tc>
        <w:tc>
          <w:tcPr>
            <w:tcW w:w="4394" w:type="dxa"/>
            <w:tcBorders>
              <w:top w:val="nil"/>
              <w:left w:val="single" w:sz="2" w:space="0" w:color="auto"/>
              <w:bottom w:val="nil"/>
              <w:right w:val="nil"/>
            </w:tcBorders>
            <w:vAlign w:val="bottom"/>
          </w:tcPr>
          <w:p w14:paraId="3D706B90" w14:textId="49B2877A" w:rsidR="005F0AAA" w:rsidRPr="005F0AAA" w:rsidRDefault="005F0AAA" w:rsidP="005F0AAA">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1CDB5758" w14:textId="77777777" w:rsidR="005F0AAA" w:rsidRPr="005F0AAA" w:rsidRDefault="005F0AAA" w:rsidP="005F0AAA">
            <w:pPr>
              <w:pStyle w:val="TableText"/>
              <w:jc w:val="right"/>
              <w:rPr>
                <w:rFonts w:cs="Calibri"/>
                <w:b/>
                <w:bCs/>
              </w:rPr>
            </w:pPr>
          </w:p>
        </w:tc>
        <w:tc>
          <w:tcPr>
            <w:tcW w:w="1134" w:type="dxa"/>
            <w:tcBorders>
              <w:top w:val="double" w:sz="4" w:space="0" w:color="auto"/>
              <w:left w:val="nil"/>
              <w:bottom w:val="nil"/>
              <w:right w:val="nil"/>
            </w:tcBorders>
            <w:vAlign w:val="bottom"/>
          </w:tcPr>
          <w:p w14:paraId="25B29141" w14:textId="77777777" w:rsidR="005F0AAA" w:rsidRPr="005F0AAA" w:rsidRDefault="005F0AAA" w:rsidP="005F0AAA">
            <w:pPr>
              <w:pStyle w:val="TableText"/>
              <w:jc w:val="right"/>
              <w:rPr>
                <w:rFonts w:cs="Calibri"/>
                <w:b/>
                <w:bCs/>
              </w:rPr>
            </w:pPr>
          </w:p>
        </w:tc>
        <w:tc>
          <w:tcPr>
            <w:tcW w:w="1559" w:type="dxa"/>
            <w:tcBorders>
              <w:top w:val="double" w:sz="4" w:space="0" w:color="auto"/>
              <w:left w:val="nil"/>
              <w:bottom w:val="nil"/>
              <w:right w:val="nil"/>
            </w:tcBorders>
            <w:vAlign w:val="bottom"/>
          </w:tcPr>
          <w:p w14:paraId="4E7B2CA0" w14:textId="77777777" w:rsidR="005F0AAA" w:rsidRPr="005F0AAA" w:rsidRDefault="005F0AAA" w:rsidP="005F0AAA">
            <w:pPr>
              <w:pStyle w:val="TableText"/>
              <w:jc w:val="right"/>
              <w:rPr>
                <w:rFonts w:cs="Calibri"/>
                <w:b/>
                <w:bCs/>
              </w:rPr>
            </w:pPr>
          </w:p>
        </w:tc>
        <w:tc>
          <w:tcPr>
            <w:tcW w:w="709" w:type="dxa"/>
            <w:gridSpan w:val="2"/>
            <w:tcBorders>
              <w:top w:val="double" w:sz="4" w:space="0" w:color="auto"/>
              <w:left w:val="nil"/>
              <w:bottom w:val="nil"/>
              <w:right w:val="nil"/>
            </w:tcBorders>
            <w:vAlign w:val="bottom"/>
          </w:tcPr>
          <w:p w14:paraId="666BD0F0" w14:textId="77777777" w:rsidR="005F0AAA" w:rsidRPr="005F0AAA" w:rsidRDefault="005F0AAA" w:rsidP="005F0AAA">
            <w:pPr>
              <w:pStyle w:val="TableText"/>
              <w:jc w:val="right"/>
              <w:rPr>
                <w:rFonts w:cs="Calibri"/>
                <w:b/>
                <w:bCs/>
              </w:rPr>
            </w:pPr>
          </w:p>
        </w:tc>
      </w:tr>
      <w:tr w:rsidR="005F0AAA" w:rsidRPr="00CF7E1B" w14:paraId="1D4600A4" w14:textId="77777777" w:rsidTr="002A16D9">
        <w:tc>
          <w:tcPr>
            <w:tcW w:w="1560" w:type="dxa"/>
            <w:tcBorders>
              <w:top w:val="nil"/>
              <w:left w:val="single" w:sz="2" w:space="0" w:color="auto"/>
              <w:bottom w:val="nil"/>
              <w:right w:val="single" w:sz="2" w:space="0" w:color="auto"/>
            </w:tcBorders>
          </w:tcPr>
          <w:p w14:paraId="3F70578A" w14:textId="3D78FA0E"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53DB12DD" w14:textId="3B4B524B" w:rsidR="005F0AAA" w:rsidRPr="005F0AAA" w:rsidRDefault="005F0AAA" w:rsidP="005F0AAA">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166F77F0"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4D58E8E2"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66EB16DE"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63D92AA6" w14:textId="77777777" w:rsidR="005F0AAA" w:rsidRPr="005F0AAA" w:rsidRDefault="005F0AAA" w:rsidP="005F0AAA">
            <w:pPr>
              <w:pStyle w:val="TableText"/>
              <w:jc w:val="right"/>
              <w:rPr>
                <w:rFonts w:cs="Calibri"/>
                <w:b/>
                <w:bCs/>
              </w:rPr>
            </w:pPr>
          </w:p>
        </w:tc>
      </w:tr>
      <w:tr w:rsidR="005F0AAA" w:rsidRPr="00CF7E1B" w14:paraId="2D34F0CB" w14:textId="77777777" w:rsidTr="002A16D9">
        <w:tc>
          <w:tcPr>
            <w:tcW w:w="1560" w:type="dxa"/>
            <w:tcBorders>
              <w:top w:val="nil"/>
              <w:left w:val="single" w:sz="2" w:space="0" w:color="auto"/>
              <w:bottom w:val="nil"/>
              <w:right w:val="single" w:sz="2" w:space="0" w:color="auto"/>
            </w:tcBorders>
          </w:tcPr>
          <w:p w14:paraId="54B9FC7F" w14:textId="651DC898"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7E186774" w14:textId="7101ECE7" w:rsidR="005F0AAA" w:rsidRPr="005F0AAA" w:rsidRDefault="005F0AAA" w:rsidP="005F0AAA">
            <w:pPr>
              <w:pStyle w:val="TableText"/>
              <w:rPr>
                <w:rFonts w:cs="Calibri"/>
                <w:b/>
              </w:rPr>
            </w:pPr>
            <w:r w:rsidRPr="005F0AAA">
              <w:rPr>
                <w:rFonts w:cs="Calibri"/>
              </w:rPr>
              <w:t>Accumulated Amortisation</w:t>
            </w:r>
            <w:r w:rsidR="00FA7C77">
              <w:rPr>
                <w:rFonts w:cs="Calibri"/>
              </w:rPr>
              <w:t xml:space="preserve"> </w:t>
            </w:r>
          </w:p>
        </w:tc>
        <w:tc>
          <w:tcPr>
            <w:tcW w:w="1134" w:type="dxa"/>
            <w:tcBorders>
              <w:top w:val="nil"/>
              <w:left w:val="nil"/>
              <w:bottom w:val="nil"/>
              <w:right w:val="nil"/>
            </w:tcBorders>
            <w:vAlign w:val="bottom"/>
          </w:tcPr>
          <w:p w14:paraId="0945CCBF"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55CC7BC0"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20B44FB7"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4062E696" w14:textId="77777777" w:rsidR="005F0AAA" w:rsidRPr="005F0AAA" w:rsidRDefault="005F0AAA" w:rsidP="005F0AAA">
            <w:pPr>
              <w:pStyle w:val="TableText"/>
              <w:jc w:val="right"/>
              <w:rPr>
                <w:rFonts w:cs="Calibri"/>
                <w:b/>
                <w:bCs/>
              </w:rPr>
            </w:pPr>
          </w:p>
        </w:tc>
      </w:tr>
      <w:tr w:rsidR="005F0AAA" w:rsidRPr="00CF7E1B" w14:paraId="5A5E093B" w14:textId="77777777" w:rsidTr="002A16D9">
        <w:tc>
          <w:tcPr>
            <w:tcW w:w="1560" w:type="dxa"/>
            <w:tcBorders>
              <w:top w:val="nil"/>
              <w:left w:val="single" w:sz="2" w:space="0" w:color="auto"/>
              <w:bottom w:val="nil"/>
              <w:right w:val="single" w:sz="2" w:space="0" w:color="auto"/>
            </w:tcBorders>
          </w:tcPr>
          <w:p w14:paraId="35A8D6F0" w14:textId="42A5636F"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294A74CE" w14:textId="44B8BE38" w:rsidR="005F0AAA" w:rsidRPr="005F0AAA" w:rsidRDefault="005F0AAA" w:rsidP="005F0AAA">
            <w:pPr>
              <w:pStyle w:val="TableText"/>
              <w:rPr>
                <w:rFonts w:cs="Calibri"/>
                <w:b/>
              </w:rPr>
            </w:pPr>
            <w:r w:rsidRPr="005F0AAA">
              <w:rPr>
                <w:rFonts w:cs="Calibri"/>
              </w:rPr>
              <w:t>Accumulated</w:t>
            </w:r>
            <w:r w:rsidR="00FA7C77">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286FBE7B"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61EB3EA3"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18CED7C5"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52387143" w14:textId="77777777" w:rsidR="005F0AAA" w:rsidRPr="005F0AAA" w:rsidRDefault="005F0AAA" w:rsidP="005F0AAA">
            <w:pPr>
              <w:pStyle w:val="TableText"/>
              <w:jc w:val="right"/>
              <w:rPr>
                <w:rFonts w:cs="Calibri"/>
                <w:b/>
                <w:bCs/>
              </w:rPr>
            </w:pPr>
          </w:p>
        </w:tc>
      </w:tr>
      <w:bookmarkEnd w:id="663"/>
      <w:tr w:rsidR="005F0AAA" w:rsidRPr="00CF7E1B" w14:paraId="16FD1C2D" w14:textId="77777777" w:rsidTr="002A16D9">
        <w:tc>
          <w:tcPr>
            <w:tcW w:w="1560" w:type="dxa"/>
            <w:tcBorders>
              <w:top w:val="nil"/>
              <w:left w:val="single" w:sz="2" w:space="0" w:color="auto"/>
              <w:bottom w:val="nil"/>
              <w:right w:val="single" w:sz="2" w:space="0" w:color="auto"/>
            </w:tcBorders>
          </w:tcPr>
          <w:p w14:paraId="0C163182"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tcPr>
          <w:p w14:paraId="4A75F9AE" w14:textId="77777777" w:rsidR="005F0AAA" w:rsidRPr="00CF7E1B" w:rsidRDefault="005F0AAA" w:rsidP="005F0AAA">
            <w:pPr>
              <w:pStyle w:val="TableText"/>
              <w:rPr>
                <w:rFonts w:cs="Calibri"/>
                <w:b/>
              </w:rPr>
            </w:pPr>
          </w:p>
        </w:tc>
        <w:tc>
          <w:tcPr>
            <w:tcW w:w="1134" w:type="dxa"/>
            <w:tcBorders>
              <w:top w:val="nil"/>
              <w:left w:val="nil"/>
              <w:bottom w:val="nil"/>
              <w:right w:val="nil"/>
            </w:tcBorders>
            <w:vAlign w:val="bottom"/>
          </w:tcPr>
          <w:p w14:paraId="2AF85D8E"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1529E628"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036F50A5"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607581B0" w14:textId="77777777" w:rsidR="005F0AAA" w:rsidRPr="00CF7E1B" w:rsidRDefault="005F0AAA" w:rsidP="005F0AAA">
            <w:pPr>
              <w:pStyle w:val="TableText"/>
              <w:jc w:val="right"/>
              <w:rPr>
                <w:rFonts w:cs="Calibri"/>
                <w:b/>
                <w:bCs/>
              </w:rPr>
            </w:pPr>
          </w:p>
        </w:tc>
      </w:tr>
      <w:tr w:rsidR="00705931" w:rsidRPr="00CF7E1B" w14:paraId="77D6F881" w14:textId="77777777" w:rsidTr="002A16D9">
        <w:tc>
          <w:tcPr>
            <w:tcW w:w="1560" w:type="dxa"/>
            <w:tcBorders>
              <w:top w:val="nil"/>
              <w:left w:val="single" w:sz="2" w:space="0" w:color="auto"/>
              <w:bottom w:val="nil"/>
              <w:right w:val="single" w:sz="2" w:space="0" w:color="auto"/>
            </w:tcBorders>
          </w:tcPr>
          <w:p w14:paraId="6681E87E" w14:textId="77777777" w:rsidR="00705931" w:rsidRPr="005F0AAA" w:rsidRDefault="00705931" w:rsidP="00E22A2F">
            <w:pPr>
              <w:pStyle w:val="TableReference"/>
              <w:rPr>
                <w:rFonts w:cs="Calibri"/>
                <w:b/>
                <w:color w:val="7030A0"/>
                <w:sz w:val="14"/>
              </w:rPr>
            </w:pPr>
          </w:p>
        </w:tc>
        <w:tc>
          <w:tcPr>
            <w:tcW w:w="4394" w:type="dxa"/>
            <w:tcBorders>
              <w:top w:val="nil"/>
              <w:left w:val="single" w:sz="2" w:space="0" w:color="auto"/>
              <w:bottom w:val="nil"/>
              <w:right w:val="nil"/>
            </w:tcBorders>
          </w:tcPr>
          <w:p w14:paraId="20C11B84" w14:textId="77777777" w:rsidR="00705931" w:rsidRPr="00CF7E1B" w:rsidRDefault="00705931" w:rsidP="00E22A2F">
            <w:pPr>
              <w:pStyle w:val="TableText"/>
              <w:spacing w:before="0"/>
              <w:rPr>
                <w:rFonts w:cs="Calibri"/>
              </w:rPr>
            </w:pPr>
          </w:p>
        </w:tc>
        <w:tc>
          <w:tcPr>
            <w:tcW w:w="1134" w:type="dxa"/>
            <w:tcBorders>
              <w:top w:val="nil"/>
              <w:left w:val="nil"/>
              <w:bottom w:val="nil"/>
              <w:right w:val="nil"/>
            </w:tcBorders>
          </w:tcPr>
          <w:p w14:paraId="2B496674" w14:textId="77777777" w:rsidR="00705931" w:rsidRPr="00CF7E1B" w:rsidRDefault="00705931" w:rsidP="00E22A2F">
            <w:pPr>
              <w:pStyle w:val="TableText"/>
              <w:spacing w:before="0"/>
              <w:rPr>
                <w:rFonts w:cs="Calibri"/>
                <w:b/>
                <w:bCs/>
              </w:rPr>
            </w:pPr>
          </w:p>
        </w:tc>
        <w:tc>
          <w:tcPr>
            <w:tcW w:w="1134" w:type="dxa"/>
            <w:tcBorders>
              <w:top w:val="nil"/>
              <w:left w:val="nil"/>
              <w:bottom w:val="nil"/>
              <w:right w:val="nil"/>
            </w:tcBorders>
          </w:tcPr>
          <w:p w14:paraId="39EC3F44" w14:textId="77777777" w:rsidR="00705931" w:rsidRPr="00CF7E1B" w:rsidRDefault="00705931" w:rsidP="00E22A2F">
            <w:pPr>
              <w:pStyle w:val="TableText"/>
              <w:spacing w:before="0"/>
              <w:rPr>
                <w:rFonts w:cs="Calibri"/>
                <w:b/>
                <w:bCs/>
              </w:rPr>
            </w:pPr>
          </w:p>
        </w:tc>
        <w:tc>
          <w:tcPr>
            <w:tcW w:w="1559" w:type="dxa"/>
            <w:tcBorders>
              <w:top w:val="nil"/>
              <w:left w:val="nil"/>
              <w:bottom w:val="nil"/>
              <w:right w:val="nil"/>
            </w:tcBorders>
          </w:tcPr>
          <w:p w14:paraId="3743E65A" w14:textId="77777777" w:rsidR="00705931" w:rsidRPr="00CF7E1B" w:rsidRDefault="00705931" w:rsidP="00E22A2F">
            <w:pPr>
              <w:pStyle w:val="TableText"/>
              <w:spacing w:before="0"/>
              <w:rPr>
                <w:rFonts w:cs="Calibri"/>
                <w:b/>
                <w:bCs/>
              </w:rPr>
            </w:pPr>
          </w:p>
        </w:tc>
        <w:tc>
          <w:tcPr>
            <w:tcW w:w="709" w:type="dxa"/>
            <w:gridSpan w:val="2"/>
            <w:tcBorders>
              <w:top w:val="nil"/>
              <w:left w:val="nil"/>
              <w:bottom w:val="nil"/>
              <w:right w:val="nil"/>
            </w:tcBorders>
          </w:tcPr>
          <w:p w14:paraId="42E8CB95" w14:textId="77777777" w:rsidR="00705931" w:rsidRPr="00CF7E1B" w:rsidRDefault="00705931" w:rsidP="00E22A2F">
            <w:pPr>
              <w:pStyle w:val="TableText"/>
              <w:spacing w:before="0"/>
              <w:rPr>
                <w:rFonts w:cs="Calibri"/>
                <w:b/>
              </w:rPr>
            </w:pPr>
          </w:p>
        </w:tc>
      </w:tr>
      <w:tr w:rsidR="00705931" w:rsidRPr="00CF7E1B" w14:paraId="74B245B0" w14:textId="77777777" w:rsidTr="002A16D9">
        <w:tc>
          <w:tcPr>
            <w:tcW w:w="1560" w:type="dxa"/>
            <w:tcBorders>
              <w:top w:val="nil"/>
              <w:left w:val="single" w:sz="2" w:space="0" w:color="auto"/>
              <w:bottom w:val="nil"/>
              <w:right w:val="single" w:sz="2" w:space="0" w:color="auto"/>
            </w:tcBorders>
          </w:tcPr>
          <w:p w14:paraId="0D0863DA" w14:textId="77777777" w:rsidR="00705931" w:rsidRPr="005F0AAA" w:rsidRDefault="00705931" w:rsidP="00E22A2F">
            <w:pPr>
              <w:pStyle w:val="TableReference"/>
              <w:rPr>
                <w:rFonts w:cs="Calibri"/>
                <w:b/>
                <w:color w:val="7030A0"/>
                <w:sz w:val="14"/>
              </w:rPr>
            </w:pPr>
          </w:p>
        </w:tc>
        <w:tc>
          <w:tcPr>
            <w:tcW w:w="4394" w:type="dxa"/>
            <w:tcBorders>
              <w:top w:val="nil"/>
              <w:left w:val="single" w:sz="2" w:space="0" w:color="auto"/>
              <w:bottom w:val="nil"/>
              <w:right w:val="nil"/>
            </w:tcBorders>
          </w:tcPr>
          <w:p w14:paraId="15EB66C2" w14:textId="77777777" w:rsidR="00705931" w:rsidRPr="00CF7E1B" w:rsidRDefault="00705931" w:rsidP="00E22A2F">
            <w:pPr>
              <w:pStyle w:val="TableText"/>
              <w:rPr>
                <w:rFonts w:cs="Calibri"/>
              </w:rPr>
            </w:pPr>
          </w:p>
        </w:tc>
        <w:tc>
          <w:tcPr>
            <w:tcW w:w="1134" w:type="dxa"/>
            <w:tcBorders>
              <w:top w:val="nil"/>
              <w:left w:val="nil"/>
              <w:bottom w:val="nil"/>
              <w:right w:val="nil"/>
            </w:tcBorders>
            <w:vAlign w:val="center"/>
          </w:tcPr>
          <w:p w14:paraId="02D1DBAD" w14:textId="77777777" w:rsidR="00705931" w:rsidRPr="00CF7E1B" w:rsidRDefault="00705931" w:rsidP="00E22A2F">
            <w:pPr>
              <w:pStyle w:val="TableText"/>
              <w:spacing w:before="0"/>
              <w:jc w:val="right"/>
              <w:rPr>
                <w:rFonts w:cs="Calibri"/>
                <w:b/>
                <w:bCs/>
              </w:rPr>
            </w:pPr>
            <w:r w:rsidRPr="00CF7E1B">
              <w:rPr>
                <w:rFonts w:cs="Calibri"/>
                <w:b/>
                <w:bCs/>
              </w:rPr>
              <w:t>Internally Generated</w:t>
            </w:r>
          </w:p>
          <w:p w14:paraId="47E51BFE" w14:textId="77777777" w:rsidR="00705931" w:rsidRPr="00CF7E1B" w:rsidRDefault="00705931" w:rsidP="00E22A2F">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B6FB631" w14:textId="77777777" w:rsidR="00705931" w:rsidRPr="00CF7E1B" w:rsidRDefault="00705931" w:rsidP="00E22A2F">
            <w:pPr>
              <w:pStyle w:val="TableText"/>
              <w:spacing w:before="0"/>
              <w:jc w:val="right"/>
              <w:rPr>
                <w:rFonts w:cs="Calibri"/>
                <w:b/>
                <w:bCs/>
              </w:rPr>
            </w:pPr>
            <w:r w:rsidRPr="00CF7E1B">
              <w:rPr>
                <w:rFonts w:cs="Calibri"/>
                <w:b/>
                <w:bCs/>
              </w:rPr>
              <w:t>Externally Purchased Software</w:t>
            </w:r>
          </w:p>
        </w:tc>
        <w:tc>
          <w:tcPr>
            <w:tcW w:w="1559" w:type="dxa"/>
            <w:tcBorders>
              <w:top w:val="nil"/>
              <w:left w:val="nil"/>
              <w:bottom w:val="nil"/>
              <w:right w:val="nil"/>
            </w:tcBorders>
            <w:vAlign w:val="center"/>
          </w:tcPr>
          <w:p w14:paraId="47AD5B41" w14:textId="77777777" w:rsidR="00705931" w:rsidRPr="00CF7E1B" w:rsidRDefault="00705931" w:rsidP="00E22A2F">
            <w:pPr>
              <w:pStyle w:val="TableText"/>
              <w:spacing w:before="0"/>
              <w:jc w:val="right"/>
              <w:rPr>
                <w:rFonts w:cs="Calibri"/>
                <w:b/>
                <w:bCs/>
              </w:rPr>
            </w:pPr>
            <w:r w:rsidRPr="00CF7E1B">
              <w:rPr>
                <w:rFonts w:cs="Calibri"/>
                <w:b/>
                <w:bCs/>
              </w:rPr>
              <w:t>Externally Purchased Other Intangibles</w:t>
            </w:r>
          </w:p>
        </w:tc>
        <w:tc>
          <w:tcPr>
            <w:tcW w:w="709" w:type="dxa"/>
            <w:gridSpan w:val="2"/>
            <w:tcBorders>
              <w:top w:val="nil"/>
              <w:left w:val="nil"/>
              <w:bottom w:val="nil"/>
              <w:right w:val="nil"/>
            </w:tcBorders>
            <w:vAlign w:val="bottom"/>
          </w:tcPr>
          <w:p w14:paraId="6092A434" w14:textId="77777777" w:rsidR="00705931" w:rsidRPr="00CF7E1B" w:rsidRDefault="00705931" w:rsidP="00E22A2F">
            <w:pPr>
              <w:pStyle w:val="TableText"/>
              <w:spacing w:before="0"/>
              <w:jc w:val="right"/>
              <w:rPr>
                <w:rFonts w:cs="Calibri"/>
                <w:b/>
              </w:rPr>
            </w:pPr>
            <w:r w:rsidRPr="00CF7E1B">
              <w:rPr>
                <w:rFonts w:cs="Calibri"/>
                <w:b/>
              </w:rPr>
              <w:t>Total</w:t>
            </w:r>
          </w:p>
        </w:tc>
      </w:tr>
      <w:tr w:rsidR="00705931" w:rsidRPr="00CF7E1B" w14:paraId="452F8B38" w14:textId="77777777" w:rsidTr="002A16D9">
        <w:tc>
          <w:tcPr>
            <w:tcW w:w="1560" w:type="dxa"/>
            <w:tcBorders>
              <w:top w:val="nil"/>
              <w:left w:val="single" w:sz="2" w:space="0" w:color="auto"/>
              <w:bottom w:val="nil"/>
              <w:right w:val="single" w:sz="2" w:space="0" w:color="auto"/>
            </w:tcBorders>
          </w:tcPr>
          <w:p w14:paraId="7628793B" w14:textId="3602325D" w:rsidR="00705931" w:rsidRPr="005F0AAA" w:rsidRDefault="00705931" w:rsidP="00E22A2F">
            <w:pPr>
              <w:pStyle w:val="TableReference"/>
              <w:rPr>
                <w:rFonts w:cs="Calibri"/>
                <w:b/>
                <w:color w:val="7030A0"/>
                <w:sz w:val="14"/>
              </w:rPr>
            </w:pPr>
            <w:r w:rsidRPr="005F0AAA">
              <w:rPr>
                <w:rFonts w:cs="Calibri"/>
                <w:color w:val="7030A0"/>
                <w:sz w:val="14"/>
              </w:rPr>
              <w:t>ACT Accounting Policy</w:t>
            </w:r>
            <w:r w:rsidR="00FA7C77">
              <w:rPr>
                <w:rFonts w:cs="Calibri"/>
                <w:color w:val="7030A0"/>
                <w:sz w:val="14"/>
              </w:rPr>
              <w:t xml:space="preserve"> </w:t>
            </w:r>
            <w:r w:rsidRPr="005F0AAA">
              <w:rPr>
                <w:rFonts w:cs="Calibri"/>
                <w:color w:val="7030A0"/>
                <w:sz w:val="14"/>
              </w:rPr>
              <w:t>AASB 138.118</w:t>
            </w:r>
          </w:p>
        </w:tc>
        <w:tc>
          <w:tcPr>
            <w:tcW w:w="4394" w:type="dxa"/>
            <w:tcBorders>
              <w:top w:val="nil"/>
              <w:left w:val="single" w:sz="2" w:space="0" w:color="auto"/>
              <w:bottom w:val="nil"/>
              <w:right w:val="nil"/>
            </w:tcBorders>
          </w:tcPr>
          <w:p w14:paraId="09BFB5DD" w14:textId="77777777" w:rsidR="00705931" w:rsidRPr="00CF7E1B" w:rsidRDefault="00705931" w:rsidP="00E22A2F">
            <w:pPr>
              <w:pStyle w:val="TableText"/>
              <w:rPr>
                <w:rFonts w:cs="Calibri"/>
              </w:rPr>
            </w:pPr>
          </w:p>
        </w:tc>
        <w:tc>
          <w:tcPr>
            <w:tcW w:w="1134" w:type="dxa"/>
            <w:tcBorders>
              <w:top w:val="nil"/>
              <w:left w:val="nil"/>
              <w:bottom w:val="nil"/>
              <w:right w:val="nil"/>
            </w:tcBorders>
            <w:vAlign w:val="center"/>
          </w:tcPr>
          <w:p w14:paraId="1AB08247" w14:textId="77777777" w:rsidR="00705931" w:rsidRPr="00CF7E1B" w:rsidRDefault="00705931" w:rsidP="00E22A2F">
            <w:pPr>
              <w:pStyle w:val="TableText"/>
              <w:spacing w:before="0"/>
              <w:jc w:val="right"/>
              <w:rPr>
                <w:rFonts w:cs="Calibri"/>
                <w:b/>
              </w:rPr>
            </w:pPr>
            <w:r w:rsidRPr="00CF7E1B">
              <w:rPr>
                <w:rFonts w:cs="Calibri"/>
                <w:b/>
              </w:rPr>
              <w:t>$’000</w:t>
            </w:r>
          </w:p>
        </w:tc>
        <w:tc>
          <w:tcPr>
            <w:tcW w:w="1134" w:type="dxa"/>
            <w:tcBorders>
              <w:top w:val="nil"/>
              <w:left w:val="nil"/>
              <w:bottom w:val="nil"/>
              <w:right w:val="nil"/>
            </w:tcBorders>
            <w:vAlign w:val="center"/>
          </w:tcPr>
          <w:p w14:paraId="0082B0F8" w14:textId="77777777" w:rsidR="00705931" w:rsidRPr="00CF7E1B" w:rsidRDefault="00705931" w:rsidP="00E22A2F">
            <w:pPr>
              <w:pStyle w:val="TableText"/>
              <w:spacing w:before="0"/>
              <w:jc w:val="right"/>
              <w:rPr>
                <w:rFonts w:cs="Calibri"/>
                <w:b/>
              </w:rPr>
            </w:pPr>
            <w:r w:rsidRPr="00CF7E1B">
              <w:rPr>
                <w:rFonts w:cs="Calibri"/>
                <w:b/>
              </w:rPr>
              <w:t>$’000</w:t>
            </w:r>
          </w:p>
        </w:tc>
        <w:tc>
          <w:tcPr>
            <w:tcW w:w="1559" w:type="dxa"/>
            <w:tcBorders>
              <w:top w:val="nil"/>
              <w:left w:val="nil"/>
              <w:bottom w:val="nil"/>
              <w:right w:val="nil"/>
            </w:tcBorders>
            <w:vAlign w:val="center"/>
          </w:tcPr>
          <w:p w14:paraId="30CBBF09" w14:textId="77777777" w:rsidR="00705931" w:rsidRPr="00CF7E1B" w:rsidRDefault="00705931" w:rsidP="00E22A2F">
            <w:pPr>
              <w:pStyle w:val="TableText"/>
              <w:spacing w:before="0"/>
              <w:jc w:val="right"/>
              <w:rPr>
                <w:rFonts w:cs="Calibri"/>
              </w:rPr>
            </w:pPr>
            <w:r w:rsidRPr="00CF7E1B">
              <w:rPr>
                <w:rFonts w:cs="Calibri"/>
                <w:b/>
              </w:rPr>
              <w:t>$’000</w:t>
            </w:r>
          </w:p>
        </w:tc>
        <w:tc>
          <w:tcPr>
            <w:tcW w:w="709" w:type="dxa"/>
            <w:gridSpan w:val="2"/>
            <w:tcBorders>
              <w:top w:val="nil"/>
              <w:left w:val="nil"/>
              <w:bottom w:val="nil"/>
              <w:right w:val="nil"/>
            </w:tcBorders>
            <w:vAlign w:val="center"/>
          </w:tcPr>
          <w:p w14:paraId="136C84CE" w14:textId="77777777" w:rsidR="00705931" w:rsidRPr="00CF7E1B" w:rsidRDefault="00705931" w:rsidP="00E22A2F">
            <w:pPr>
              <w:pStyle w:val="TableText"/>
              <w:spacing w:before="0"/>
              <w:jc w:val="right"/>
              <w:rPr>
                <w:rFonts w:cs="Calibri"/>
              </w:rPr>
            </w:pPr>
            <w:r w:rsidRPr="00CF7E1B">
              <w:rPr>
                <w:rFonts w:cs="Calibri"/>
                <w:b/>
              </w:rPr>
              <w:t>$’000</w:t>
            </w:r>
          </w:p>
        </w:tc>
      </w:tr>
      <w:tr w:rsidR="005F0AAA" w:rsidRPr="00CF7E1B" w14:paraId="47B0535B" w14:textId="77777777" w:rsidTr="002A16D9">
        <w:tc>
          <w:tcPr>
            <w:tcW w:w="1560" w:type="dxa"/>
            <w:tcBorders>
              <w:top w:val="nil"/>
              <w:left w:val="single" w:sz="2" w:space="0" w:color="auto"/>
              <w:bottom w:val="nil"/>
              <w:right w:val="single" w:sz="2" w:space="0" w:color="auto"/>
            </w:tcBorders>
          </w:tcPr>
          <w:p w14:paraId="07F42B80" w14:textId="6D90FD3F" w:rsidR="005F0AAA" w:rsidRPr="005F0AAA" w:rsidRDefault="005F0AAA" w:rsidP="005F0AAA">
            <w:pPr>
              <w:pStyle w:val="TableReference"/>
              <w:rPr>
                <w:b/>
                <w:bCs/>
                <w:color w:val="7030A0"/>
              </w:rPr>
            </w:pPr>
            <w:r w:rsidRPr="005F0AAA">
              <w:rPr>
                <w:rFonts w:cs="Calibri"/>
                <w:b/>
                <w:bCs/>
                <w:color w:val="7030A0"/>
                <w:sz w:val="14"/>
              </w:rPr>
              <w:t>AASB 138.118(e)</w:t>
            </w:r>
          </w:p>
        </w:tc>
        <w:tc>
          <w:tcPr>
            <w:tcW w:w="8930" w:type="dxa"/>
            <w:gridSpan w:val="6"/>
            <w:tcBorders>
              <w:top w:val="nil"/>
              <w:left w:val="single" w:sz="2" w:space="0" w:color="auto"/>
              <w:bottom w:val="nil"/>
              <w:right w:val="nil"/>
            </w:tcBorders>
          </w:tcPr>
          <w:p w14:paraId="3D357AAF" w14:textId="3F8F6C4A" w:rsidR="005F0AAA" w:rsidRPr="005F0AAA" w:rsidRDefault="005F0AAA" w:rsidP="005F0AAA">
            <w:pPr>
              <w:spacing w:after="60"/>
              <w:rPr>
                <w:rFonts w:ascii="Arial Bold" w:hAnsi="Arial Bold" w:cs="Arial"/>
                <w:b/>
                <w:bCs/>
                <w:caps/>
                <w:sz w:val="32"/>
                <w:szCs w:val="32"/>
              </w:rPr>
            </w:pPr>
            <w:r w:rsidRPr="005F0AAA">
              <w:rPr>
                <w:rFonts w:cs="Calibri"/>
                <w:b/>
                <w:bCs/>
                <w:sz w:val="18"/>
              </w:rPr>
              <w:t xml:space="preserve">Reconciliation of Intangible Assets </w:t>
            </w:r>
            <w:r w:rsidRPr="00A534C3">
              <w:rPr>
                <w:rFonts w:cs="Calibri"/>
                <w:b/>
                <w:bCs/>
                <w:sz w:val="18"/>
              </w:rPr>
              <w:t>202</w:t>
            </w:r>
            <w:r w:rsidR="0057550F" w:rsidRPr="00A534C3">
              <w:rPr>
                <w:rFonts w:cs="Calibri"/>
                <w:b/>
                <w:bCs/>
                <w:sz w:val="18"/>
              </w:rPr>
              <w:t>1</w:t>
            </w:r>
            <w:r w:rsidRPr="00A534C3">
              <w:rPr>
                <w:rFonts w:cs="Calibri"/>
                <w:b/>
                <w:bCs/>
                <w:sz w:val="18"/>
              </w:rPr>
              <w:t>-2</w:t>
            </w:r>
            <w:r w:rsidR="0057550F" w:rsidRPr="00A534C3">
              <w:rPr>
                <w:rFonts w:cs="Calibri"/>
                <w:b/>
                <w:bCs/>
                <w:sz w:val="18"/>
              </w:rPr>
              <w:t>2</w:t>
            </w:r>
          </w:p>
        </w:tc>
      </w:tr>
      <w:tr w:rsidR="005F0AAA" w:rsidRPr="00CF7E1B" w14:paraId="4D02F0AB" w14:textId="77777777" w:rsidTr="002A16D9">
        <w:tc>
          <w:tcPr>
            <w:tcW w:w="1560" w:type="dxa"/>
            <w:tcBorders>
              <w:top w:val="nil"/>
              <w:left w:val="single" w:sz="2" w:space="0" w:color="auto"/>
              <w:bottom w:val="nil"/>
              <w:right w:val="single" w:sz="2" w:space="0" w:color="auto"/>
            </w:tcBorders>
          </w:tcPr>
          <w:p w14:paraId="51A8E56B"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76192E" w14:textId="4B157FE6" w:rsidR="005F0AAA" w:rsidRPr="005F0AAA" w:rsidRDefault="005F0AAA" w:rsidP="005F0AAA">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68B0D559" w14:textId="24E58570" w:rsidR="005F0AAA" w:rsidRPr="00CF7E1B" w:rsidRDefault="005F0AAA" w:rsidP="005F0AAA">
            <w:pPr>
              <w:pStyle w:val="TableText"/>
              <w:jc w:val="right"/>
              <w:rPr>
                <w:rFonts w:cs="Calibri"/>
                <w:b/>
              </w:rPr>
            </w:pPr>
          </w:p>
        </w:tc>
        <w:tc>
          <w:tcPr>
            <w:tcW w:w="1134" w:type="dxa"/>
            <w:tcBorders>
              <w:top w:val="nil"/>
              <w:left w:val="nil"/>
              <w:bottom w:val="nil"/>
              <w:right w:val="nil"/>
            </w:tcBorders>
          </w:tcPr>
          <w:p w14:paraId="62F596CA" w14:textId="0E03050D" w:rsidR="005F0AAA" w:rsidRPr="00CF7E1B" w:rsidRDefault="005F0AAA" w:rsidP="005F0AAA">
            <w:pPr>
              <w:pStyle w:val="TableText"/>
              <w:jc w:val="right"/>
              <w:rPr>
                <w:rFonts w:cs="Calibri"/>
                <w:b/>
              </w:rPr>
            </w:pPr>
          </w:p>
        </w:tc>
        <w:tc>
          <w:tcPr>
            <w:tcW w:w="1559" w:type="dxa"/>
            <w:tcBorders>
              <w:top w:val="nil"/>
              <w:left w:val="nil"/>
              <w:bottom w:val="nil"/>
              <w:right w:val="nil"/>
            </w:tcBorders>
          </w:tcPr>
          <w:p w14:paraId="02A6ACF6" w14:textId="437581D8" w:rsidR="005F0AAA" w:rsidRPr="00CF7E1B" w:rsidRDefault="005F0AAA" w:rsidP="005F0AAA">
            <w:pPr>
              <w:pStyle w:val="TableText"/>
              <w:jc w:val="right"/>
              <w:rPr>
                <w:rFonts w:cs="Calibri"/>
                <w:b/>
              </w:rPr>
            </w:pPr>
          </w:p>
        </w:tc>
        <w:tc>
          <w:tcPr>
            <w:tcW w:w="709" w:type="dxa"/>
            <w:gridSpan w:val="2"/>
            <w:tcBorders>
              <w:top w:val="nil"/>
              <w:left w:val="nil"/>
              <w:bottom w:val="nil"/>
              <w:right w:val="nil"/>
            </w:tcBorders>
          </w:tcPr>
          <w:p w14:paraId="4F460A38" w14:textId="2B610124" w:rsidR="005F0AAA" w:rsidRPr="00CF7E1B" w:rsidRDefault="005F0AAA" w:rsidP="005F0AAA">
            <w:pPr>
              <w:pStyle w:val="TableText"/>
              <w:jc w:val="right"/>
              <w:rPr>
                <w:rFonts w:cs="Calibri"/>
                <w:b/>
              </w:rPr>
            </w:pPr>
          </w:p>
        </w:tc>
      </w:tr>
      <w:tr w:rsidR="005F0AAA" w:rsidRPr="00CF7E1B" w14:paraId="48361CC3" w14:textId="77777777" w:rsidTr="002A16D9">
        <w:tc>
          <w:tcPr>
            <w:tcW w:w="1560" w:type="dxa"/>
            <w:tcBorders>
              <w:top w:val="nil"/>
              <w:left w:val="single" w:sz="2" w:space="0" w:color="auto"/>
              <w:bottom w:val="nil"/>
              <w:right w:val="single" w:sz="2" w:space="0" w:color="auto"/>
            </w:tcBorders>
          </w:tcPr>
          <w:p w14:paraId="04D7B74D"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w:t>
            </w:r>
          </w:p>
        </w:tc>
        <w:tc>
          <w:tcPr>
            <w:tcW w:w="4394" w:type="dxa"/>
            <w:tcBorders>
              <w:top w:val="nil"/>
              <w:left w:val="single" w:sz="2" w:space="0" w:color="auto"/>
              <w:bottom w:val="nil"/>
              <w:right w:val="nil"/>
            </w:tcBorders>
          </w:tcPr>
          <w:p w14:paraId="629FBD04" w14:textId="3E81FF07" w:rsidR="005F0AAA" w:rsidRPr="005F0AAA" w:rsidRDefault="005F0AAA" w:rsidP="005F0AAA">
            <w:pPr>
              <w:pStyle w:val="TableText"/>
              <w:rPr>
                <w:rFonts w:cs="Calibri"/>
              </w:rPr>
            </w:pPr>
            <w:r w:rsidRPr="005F0AAA">
              <w:rPr>
                <w:rFonts w:cs="Calibri"/>
              </w:rPr>
              <w:t>Additions</w:t>
            </w:r>
            <w:r w:rsidR="00FA7C77">
              <w:rPr>
                <w:rFonts w:cs="Calibri"/>
              </w:rPr>
              <w:t xml:space="preserve"> </w:t>
            </w:r>
          </w:p>
        </w:tc>
        <w:tc>
          <w:tcPr>
            <w:tcW w:w="1134" w:type="dxa"/>
            <w:tcBorders>
              <w:top w:val="nil"/>
              <w:left w:val="nil"/>
              <w:bottom w:val="nil"/>
              <w:right w:val="nil"/>
            </w:tcBorders>
          </w:tcPr>
          <w:p w14:paraId="25233D90" w14:textId="45DFFC98"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53FD817F" w14:textId="6974EE1F"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3F5DCA37" w14:textId="7D4F6224"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0C237B19" w14:textId="143CD8A1" w:rsidR="005F0AAA" w:rsidRPr="00CF7E1B" w:rsidRDefault="005F0AAA" w:rsidP="005F0AAA">
            <w:pPr>
              <w:pStyle w:val="TableText"/>
              <w:jc w:val="right"/>
              <w:rPr>
                <w:rFonts w:cs="Calibri"/>
              </w:rPr>
            </w:pPr>
          </w:p>
        </w:tc>
      </w:tr>
      <w:tr w:rsidR="005F0AAA" w:rsidRPr="00CF7E1B" w14:paraId="6550D421" w14:textId="77777777" w:rsidTr="002A16D9">
        <w:tc>
          <w:tcPr>
            <w:tcW w:w="1560" w:type="dxa"/>
            <w:tcBorders>
              <w:top w:val="nil"/>
              <w:left w:val="single" w:sz="2" w:space="0" w:color="auto"/>
              <w:bottom w:val="nil"/>
              <w:right w:val="single" w:sz="2" w:space="0" w:color="auto"/>
            </w:tcBorders>
          </w:tcPr>
          <w:p w14:paraId="5EFA44E5"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138.118(e)(iv)</w:t>
            </w:r>
          </w:p>
        </w:tc>
        <w:tc>
          <w:tcPr>
            <w:tcW w:w="4394" w:type="dxa"/>
            <w:tcBorders>
              <w:top w:val="nil"/>
              <w:left w:val="single" w:sz="2" w:space="0" w:color="auto"/>
              <w:bottom w:val="nil"/>
              <w:right w:val="nil"/>
            </w:tcBorders>
          </w:tcPr>
          <w:p w14:paraId="42320026" w14:textId="300232B6" w:rsidR="005F0AAA" w:rsidRPr="005F0AAA" w:rsidRDefault="005F0AAA" w:rsidP="005F0AAA">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33C8E6B" w14:textId="7EDCFFD2"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153065D5" w14:textId="3146A963"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7CBF5060" w14:textId="7E878D5A"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527B7553" w14:textId="3CEA2B2F" w:rsidR="005F0AAA" w:rsidRPr="00CF7E1B" w:rsidRDefault="005F0AAA" w:rsidP="005F0AAA">
            <w:pPr>
              <w:pStyle w:val="TableText"/>
              <w:jc w:val="right"/>
              <w:rPr>
                <w:rFonts w:cs="Calibri"/>
              </w:rPr>
            </w:pPr>
          </w:p>
        </w:tc>
      </w:tr>
      <w:tr w:rsidR="005F0AAA" w:rsidRPr="00CF7E1B" w14:paraId="11463F58" w14:textId="77777777" w:rsidTr="002A16D9">
        <w:tc>
          <w:tcPr>
            <w:tcW w:w="1560" w:type="dxa"/>
            <w:tcBorders>
              <w:top w:val="nil"/>
              <w:left w:val="single" w:sz="2" w:space="0" w:color="auto"/>
              <w:bottom w:val="nil"/>
              <w:right w:val="single" w:sz="2" w:space="0" w:color="auto"/>
            </w:tcBorders>
          </w:tcPr>
          <w:p w14:paraId="68E6F42A"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w:t>
            </w:r>
          </w:p>
        </w:tc>
        <w:tc>
          <w:tcPr>
            <w:tcW w:w="4394" w:type="dxa"/>
            <w:tcBorders>
              <w:top w:val="nil"/>
              <w:left w:val="single" w:sz="2" w:space="0" w:color="auto"/>
              <w:bottom w:val="nil"/>
              <w:right w:val="nil"/>
            </w:tcBorders>
          </w:tcPr>
          <w:p w14:paraId="7F31EAF6" w14:textId="184CDCA8" w:rsidR="005F0AAA" w:rsidRPr="005F0AAA" w:rsidRDefault="005F0AAA" w:rsidP="005F0AAA">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390FDB4D" w14:textId="13955137"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305CDD3C" w14:textId="3B179AAA"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75A00C7A" w14:textId="18742762"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180BA1AE" w14:textId="7F4F18B7" w:rsidR="005F0AAA" w:rsidRPr="00CF7E1B" w:rsidRDefault="005F0AAA" w:rsidP="005F0AAA">
            <w:pPr>
              <w:pStyle w:val="TableText"/>
              <w:jc w:val="right"/>
              <w:rPr>
                <w:rFonts w:cs="Calibri"/>
              </w:rPr>
            </w:pPr>
          </w:p>
        </w:tc>
      </w:tr>
      <w:tr w:rsidR="005F0AAA" w:rsidRPr="00CF7E1B" w14:paraId="7A09DD4D" w14:textId="77777777" w:rsidTr="002A16D9">
        <w:tc>
          <w:tcPr>
            <w:tcW w:w="1560" w:type="dxa"/>
            <w:tcBorders>
              <w:top w:val="nil"/>
              <w:left w:val="single" w:sz="2" w:space="0" w:color="auto"/>
              <w:bottom w:val="nil"/>
              <w:right w:val="single" w:sz="2" w:space="0" w:color="auto"/>
            </w:tcBorders>
          </w:tcPr>
          <w:p w14:paraId="4EF8D01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w:t>
            </w:r>
          </w:p>
        </w:tc>
        <w:tc>
          <w:tcPr>
            <w:tcW w:w="4394" w:type="dxa"/>
            <w:tcBorders>
              <w:top w:val="nil"/>
              <w:left w:val="single" w:sz="2" w:space="0" w:color="auto"/>
              <w:bottom w:val="nil"/>
              <w:right w:val="nil"/>
            </w:tcBorders>
          </w:tcPr>
          <w:p w14:paraId="3A54A467" w14:textId="77777777" w:rsidR="005F0AAA" w:rsidRPr="005F0AAA" w:rsidRDefault="005F0AAA" w:rsidP="005F0AAA">
            <w:pPr>
              <w:pStyle w:val="TableText"/>
              <w:rPr>
                <w:rFonts w:cs="Calibri"/>
              </w:rPr>
            </w:pPr>
            <w:r w:rsidRPr="005F0AAA">
              <w:rPr>
                <w:rFonts w:cs="Calibri"/>
              </w:rPr>
              <w:t>Amortisation</w:t>
            </w:r>
          </w:p>
        </w:tc>
        <w:tc>
          <w:tcPr>
            <w:tcW w:w="1134" w:type="dxa"/>
            <w:tcBorders>
              <w:top w:val="nil"/>
              <w:left w:val="nil"/>
              <w:bottom w:val="nil"/>
              <w:right w:val="nil"/>
            </w:tcBorders>
          </w:tcPr>
          <w:p w14:paraId="5C33E247" w14:textId="073515CE"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4D7C95FC" w14:textId="5EC6AF04"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3F92B65E" w14:textId="1933440F"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7A6B1B79" w14:textId="62595C35" w:rsidR="005F0AAA" w:rsidRPr="00CF7E1B" w:rsidRDefault="005F0AAA" w:rsidP="005F0AAA">
            <w:pPr>
              <w:pStyle w:val="TableText"/>
              <w:jc w:val="right"/>
              <w:rPr>
                <w:rFonts w:cs="Calibri"/>
              </w:rPr>
            </w:pPr>
          </w:p>
        </w:tc>
      </w:tr>
      <w:tr w:rsidR="005F0AAA" w:rsidRPr="00CF7E1B" w14:paraId="1F025F5D" w14:textId="77777777" w:rsidTr="002A16D9">
        <w:tc>
          <w:tcPr>
            <w:tcW w:w="1560" w:type="dxa"/>
            <w:tcBorders>
              <w:top w:val="nil"/>
              <w:left w:val="single" w:sz="2" w:space="0" w:color="auto"/>
              <w:bottom w:val="nil"/>
              <w:right w:val="single" w:sz="2" w:space="0" w:color="auto"/>
            </w:tcBorders>
          </w:tcPr>
          <w:p w14:paraId="677BC5F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138.118(e)(viii)</w:t>
            </w:r>
          </w:p>
        </w:tc>
        <w:tc>
          <w:tcPr>
            <w:tcW w:w="4394" w:type="dxa"/>
            <w:tcBorders>
              <w:top w:val="nil"/>
              <w:left w:val="single" w:sz="2" w:space="0" w:color="auto"/>
              <w:bottom w:val="nil"/>
              <w:right w:val="nil"/>
            </w:tcBorders>
          </w:tcPr>
          <w:p w14:paraId="12674DDC" w14:textId="77777777" w:rsidR="005F0AAA" w:rsidRPr="005F0AAA" w:rsidRDefault="005F0AAA" w:rsidP="005F0AAA">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2022A752" w14:textId="2B14C463" w:rsidR="005F0AAA" w:rsidRPr="00CF7E1B" w:rsidRDefault="005F0AAA" w:rsidP="005F0AAA">
            <w:pPr>
              <w:pStyle w:val="TableText"/>
              <w:jc w:val="right"/>
              <w:rPr>
                <w:rFonts w:cs="Calibri"/>
              </w:rPr>
            </w:pPr>
          </w:p>
        </w:tc>
        <w:tc>
          <w:tcPr>
            <w:tcW w:w="1134" w:type="dxa"/>
            <w:tcBorders>
              <w:top w:val="nil"/>
              <w:left w:val="nil"/>
              <w:bottom w:val="single" w:sz="4" w:space="0" w:color="auto"/>
              <w:right w:val="nil"/>
            </w:tcBorders>
          </w:tcPr>
          <w:p w14:paraId="6C79C9AE" w14:textId="45A6CD0A" w:rsidR="005F0AAA" w:rsidRPr="00CF7E1B" w:rsidRDefault="005F0AAA" w:rsidP="005F0AAA">
            <w:pPr>
              <w:pStyle w:val="TableText"/>
              <w:jc w:val="right"/>
              <w:rPr>
                <w:rFonts w:cs="Calibri"/>
              </w:rPr>
            </w:pPr>
          </w:p>
        </w:tc>
        <w:tc>
          <w:tcPr>
            <w:tcW w:w="1559" w:type="dxa"/>
            <w:tcBorders>
              <w:top w:val="nil"/>
              <w:left w:val="nil"/>
              <w:bottom w:val="single" w:sz="4" w:space="0" w:color="auto"/>
              <w:right w:val="nil"/>
            </w:tcBorders>
          </w:tcPr>
          <w:p w14:paraId="173B10B3" w14:textId="78007C20" w:rsidR="005F0AAA" w:rsidRPr="00CF7E1B" w:rsidRDefault="005F0AAA" w:rsidP="005F0AAA">
            <w:pPr>
              <w:pStyle w:val="TableText"/>
              <w:jc w:val="right"/>
              <w:rPr>
                <w:rFonts w:cs="Calibri"/>
              </w:rPr>
            </w:pPr>
          </w:p>
        </w:tc>
        <w:tc>
          <w:tcPr>
            <w:tcW w:w="709" w:type="dxa"/>
            <w:gridSpan w:val="2"/>
            <w:tcBorders>
              <w:top w:val="nil"/>
              <w:left w:val="nil"/>
              <w:bottom w:val="single" w:sz="4" w:space="0" w:color="auto"/>
              <w:right w:val="nil"/>
            </w:tcBorders>
          </w:tcPr>
          <w:p w14:paraId="4FFC5980" w14:textId="1A924226" w:rsidR="005F0AAA" w:rsidRPr="00CF7E1B" w:rsidRDefault="005F0AAA" w:rsidP="005F0AAA">
            <w:pPr>
              <w:pStyle w:val="TableText"/>
              <w:jc w:val="right"/>
              <w:rPr>
                <w:rFonts w:cs="Calibri"/>
              </w:rPr>
            </w:pPr>
          </w:p>
        </w:tc>
      </w:tr>
      <w:tr w:rsidR="005F0AAA" w:rsidRPr="00CF7E1B" w14:paraId="2516EB78" w14:textId="77777777" w:rsidTr="002A16D9">
        <w:tc>
          <w:tcPr>
            <w:tcW w:w="1560" w:type="dxa"/>
            <w:tcBorders>
              <w:top w:val="nil"/>
              <w:left w:val="single" w:sz="2" w:space="0" w:color="auto"/>
              <w:bottom w:val="nil"/>
              <w:right w:val="single" w:sz="2" w:space="0" w:color="auto"/>
            </w:tcBorders>
          </w:tcPr>
          <w:p w14:paraId="391140C9"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65EF3C3A" w14:textId="79191C4F" w:rsidR="005F0AAA" w:rsidRPr="005F0AAA" w:rsidRDefault="005F0AAA" w:rsidP="005F0AAA">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25E67BC7" w14:textId="3284A91D" w:rsidR="005F0AAA" w:rsidRPr="00CF7E1B" w:rsidRDefault="005F0AAA" w:rsidP="005F0AAA">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16273AB1" w14:textId="2BB3F9D8" w:rsidR="005F0AAA" w:rsidRPr="00CF7E1B" w:rsidRDefault="005F0AAA" w:rsidP="005F0AAA">
            <w:pPr>
              <w:pStyle w:val="TableText"/>
              <w:jc w:val="right"/>
              <w:rPr>
                <w:rFonts w:cs="Calibri"/>
                <w:b/>
                <w:bCs/>
              </w:rPr>
            </w:pPr>
          </w:p>
        </w:tc>
        <w:tc>
          <w:tcPr>
            <w:tcW w:w="1559" w:type="dxa"/>
            <w:tcBorders>
              <w:top w:val="single" w:sz="4" w:space="0" w:color="auto"/>
              <w:left w:val="nil"/>
              <w:bottom w:val="double" w:sz="4" w:space="0" w:color="auto"/>
              <w:right w:val="nil"/>
            </w:tcBorders>
            <w:vAlign w:val="bottom"/>
          </w:tcPr>
          <w:p w14:paraId="7A035105" w14:textId="72225F6E" w:rsidR="005F0AAA" w:rsidRPr="00CF7E1B" w:rsidRDefault="005F0AAA" w:rsidP="005F0AAA">
            <w:pPr>
              <w:pStyle w:val="TableText"/>
              <w:jc w:val="right"/>
              <w:rPr>
                <w:rFonts w:cs="Calibri"/>
                <w:b/>
                <w:bCs/>
              </w:rPr>
            </w:pPr>
          </w:p>
        </w:tc>
        <w:tc>
          <w:tcPr>
            <w:tcW w:w="709" w:type="dxa"/>
            <w:gridSpan w:val="2"/>
            <w:tcBorders>
              <w:top w:val="single" w:sz="4" w:space="0" w:color="auto"/>
              <w:left w:val="nil"/>
              <w:bottom w:val="double" w:sz="4" w:space="0" w:color="auto"/>
              <w:right w:val="nil"/>
            </w:tcBorders>
            <w:vAlign w:val="bottom"/>
          </w:tcPr>
          <w:p w14:paraId="6C4819E9" w14:textId="56BED5F1" w:rsidR="005F0AAA" w:rsidRPr="00CF7E1B" w:rsidRDefault="005F0AAA" w:rsidP="005F0AAA">
            <w:pPr>
              <w:pStyle w:val="TableText"/>
              <w:jc w:val="right"/>
              <w:rPr>
                <w:rFonts w:cs="Calibri"/>
                <w:b/>
                <w:bCs/>
              </w:rPr>
            </w:pPr>
          </w:p>
        </w:tc>
      </w:tr>
      <w:tr w:rsidR="005F0AAA" w:rsidRPr="00CF7E1B" w14:paraId="19C38C5E" w14:textId="77777777" w:rsidTr="002A16D9">
        <w:tc>
          <w:tcPr>
            <w:tcW w:w="1560" w:type="dxa"/>
            <w:tcBorders>
              <w:top w:val="nil"/>
              <w:left w:val="single" w:sz="2" w:space="0" w:color="auto"/>
              <w:bottom w:val="nil"/>
              <w:right w:val="single" w:sz="2" w:space="0" w:color="auto"/>
            </w:tcBorders>
          </w:tcPr>
          <w:p w14:paraId="4F8E887D"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vAlign w:val="bottom"/>
          </w:tcPr>
          <w:p w14:paraId="2A16F78E" w14:textId="295D9DF8" w:rsidR="005F0AAA" w:rsidRPr="005F0AAA" w:rsidRDefault="005F0AAA" w:rsidP="005F0AAA">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4E23DBC0" w14:textId="77777777" w:rsidR="005F0AAA" w:rsidRPr="00CF7E1B" w:rsidRDefault="005F0AAA" w:rsidP="005F0AAA">
            <w:pPr>
              <w:pStyle w:val="TableText"/>
              <w:jc w:val="right"/>
              <w:rPr>
                <w:rFonts w:cs="Calibri"/>
                <w:b/>
                <w:bCs/>
              </w:rPr>
            </w:pPr>
          </w:p>
        </w:tc>
        <w:tc>
          <w:tcPr>
            <w:tcW w:w="1134" w:type="dxa"/>
            <w:tcBorders>
              <w:top w:val="double" w:sz="4" w:space="0" w:color="auto"/>
              <w:left w:val="nil"/>
              <w:bottom w:val="nil"/>
              <w:right w:val="nil"/>
            </w:tcBorders>
            <w:vAlign w:val="bottom"/>
          </w:tcPr>
          <w:p w14:paraId="50B2346F" w14:textId="77777777" w:rsidR="005F0AAA" w:rsidRPr="00CF7E1B" w:rsidRDefault="005F0AAA" w:rsidP="005F0AAA">
            <w:pPr>
              <w:pStyle w:val="TableText"/>
              <w:jc w:val="right"/>
              <w:rPr>
                <w:rFonts w:cs="Calibri"/>
                <w:b/>
                <w:bCs/>
              </w:rPr>
            </w:pPr>
          </w:p>
        </w:tc>
        <w:tc>
          <w:tcPr>
            <w:tcW w:w="1559" w:type="dxa"/>
            <w:tcBorders>
              <w:top w:val="double" w:sz="4" w:space="0" w:color="auto"/>
              <w:left w:val="nil"/>
              <w:bottom w:val="nil"/>
              <w:right w:val="nil"/>
            </w:tcBorders>
            <w:vAlign w:val="bottom"/>
          </w:tcPr>
          <w:p w14:paraId="5F925E70" w14:textId="77777777" w:rsidR="005F0AAA" w:rsidRPr="00CF7E1B" w:rsidRDefault="005F0AAA" w:rsidP="005F0AAA">
            <w:pPr>
              <w:pStyle w:val="TableText"/>
              <w:jc w:val="right"/>
              <w:rPr>
                <w:rFonts w:cs="Calibri"/>
                <w:b/>
                <w:bCs/>
              </w:rPr>
            </w:pPr>
          </w:p>
        </w:tc>
        <w:tc>
          <w:tcPr>
            <w:tcW w:w="709" w:type="dxa"/>
            <w:gridSpan w:val="2"/>
            <w:tcBorders>
              <w:top w:val="double" w:sz="4" w:space="0" w:color="auto"/>
              <w:left w:val="nil"/>
              <w:bottom w:val="nil"/>
              <w:right w:val="nil"/>
            </w:tcBorders>
            <w:vAlign w:val="bottom"/>
          </w:tcPr>
          <w:p w14:paraId="0D3DDFE8" w14:textId="77777777" w:rsidR="005F0AAA" w:rsidRPr="00CF7E1B" w:rsidRDefault="005F0AAA" w:rsidP="005F0AAA">
            <w:pPr>
              <w:pStyle w:val="TableText"/>
              <w:jc w:val="right"/>
              <w:rPr>
                <w:rFonts w:cs="Calibri"/>
                <w:b/>
                <w:bCs/>
              </w:rPr>
            </w:pPr>
          </w:p>
        </w:tc>
      </w:tr>
      <w:tr w:rsidR="005F0AAA" w:rsidRPr="00CF7E1B" w14:paraId="7B9E51BF" w14:textId="77777777" w:rsidTr="002A16D9">
        <w:tc>
          <w:tcPr>
            <w:tcW w:w="1560" w:type="dxa"/>
            <w:tcBorders>
              <w:top w:val="nil"/>
              <w:left w:val="single" w:sz="2" w:space="0" w:color="auto"/>
              <w:bottom w:val="nil"/>
              <w:right w:val="single" w:sz="2" w:space="0" w:color="auto"/>
            </w:tcBorders>
          </w:tcPr>
          <w:p w14:paraId="6959069C" w14:textId="771891A4"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175F8C2E" w14:textId="0781F748" w:rsidR="005F0AAA" w:rsidRPr="005F0AAA" w:rsidRDefault="005F0AAA" w:rsidP="005F0AAA">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47917DB4"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339036B0"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3E8EBEAD"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0535CA4B" w14:textId="77777777" w:rsidR="005F0AAA" w:rsidRPr="00CF7E1B" w:rsidRDefault="005F0AAA" w:rsidP="005F0AAA">
            <w:pPr>
              <w:pStyle w:val="TableText"/>
              <w:jc w:val="right"/>
              <w:rPr>
                <w:rFonts w:cs="Calibri"/>
                <w:b/>
                <w:bCs/>
              </w:rPr>
            </w:pPr>
          </w:p>
        </w:tc>
      </w:tr>
      <w:tr w:rsidR="005F0AAA" w:rsidRPr="00CF7E1B" w14:paraId="2BB7406B" w14:textId="77777777" w:rsidTr="002A16D9">
        <w:tc>
          <w:tcPr>
            <w:tcW w:w="1560" w:type="dxa"/>
            <w:tcBorders>
              <w:top w:val="nil"/>
              <w:left w:val="single" w:sz="2" w:space="0" w:color="auto"/>
              <w:bottom w:val="nil"/>
              <w:right w:val="single" w:sz="2" w:space="0" w:color="auto"/>
            </w:tcBorders>
          </w:tcPr>
          <w:p w14:paraId="173C0005" w14:textId="04983791"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73D97DA1" w14:textId="4C0DD861" w:rsidR="005F0AAA" w:rsidRPr="005F0AAA" w:rsidRDefault="005F0AAA" w:rsidP="005F0AAA">
            <w:pPr>
              <w:pStyle w:val="TableText"/>
              <w:rPr>
                <w:rFonts w:cs="Calibri"/>
                <w:b/>
              </w:rPr>
            </w:pPr>
            <w:r w:rsidRPr="005F0AAA">
              <w:rPr>
                <w:rFonts w:cs="Calibri"/>
              </w:rPr>
              <w:t>Accumulated Amortisation</w:t>
            </w:r>
            <w:r w:rsidR="00FA7C77">
              <w:rPr>
                <w:rFonts w:cs="Calibri"/>
              </w:rPr>
              <w:t xml:space="preserve"> </w:t>
            </w:r>
          </w:p>
        </w:tc>
        <w:tc>
          <w:tcPr>
            <w:tcW w:w="1134" w:type="dxa"/>
            <w:tcBorders>
              <w:top w:val="nil"/>
              <w:left w:val="nil"/>
              <w:bottom w:val="nil"/>
              <w:right w:val="nil"/>
            </w:tcBorders>
            <w:vAlign w:val="bottom"/>
          </w:tcPr>
          <w:p w14:paraId="79B58411"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439886AC"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4D73501F"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5BD594B8" w14:textId="77777777" w:rsidR="005F0AAA" w:rsidRPr="00CF7E1B" w:rsidRDefault="005F0AAA" w:rsidP="005F0AAA">
            <w:pPr>
              <w:pStyle w:val="TableText"/>
              <w:jc w:val="right"/>
              <w:rPr>
                <w:rFonts w:cs="Calibri"/>
                <w:b/>
                <w:bCs/>
              </w:rPr>
            </w:pPr>
          </w:p>
        </w:tc>
      </w:tr>
      <w:tr w:rsidR="005F0AAA" w:rsidRPr="00CF7E1B" w14:paraId="5F7844CA" w14:textId="77777777" w:rsidTr="002A16D9">
        <w:tc>
          <w:tcPr>
            <w:tcW w:w="1560" w:type="dxa"/>
            <w:tcBorders>
              <w:top w:val="nil"/>
              <w:left w:val="single" w:sz="2" w:space="0" w:color="auto"/>
              <w:bottom w:val="nil"/>
              <w:right w:val="single" w:sz="2" w:space="0" w:color="auto"/>
            </w:tcBorders>
          </w:tcPr>
          <w:p w14:paraId="2820EE21" w14:textId="5E987A3C"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125C3205" w14:textId="1C339E21" w:rsidR="005F0AAA" w:rsidRPr="005F0AAA" w:rsidRDefault="005F0AAA" w:rsidP="005F0AAA">
            <w:pPr>
              <w:pStyle w:val="TableText"/>
              <w:rPr>
                <w:rFonts w:cs="Calibri"/>
                <w:b/>
              </w:rPr>
            </w:pPr>
            <w:r w:rsidRPr="005F0AAA">
              <w:rPr>
                <w:rFonts w:cs="Calibri"/>
              </w:rPr>
              <w:t>Accumulated</w:t>
            </w:r>
            <w:r w:rsidR="00FA7C77">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75F7AEF9"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3A007966"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3F3E0A1B"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4A1695A9" w14:textId="77777777" w:rsidR="005F0AAA" w:rsidRPr="00CF7E1B" w:rsidRDefault="005F0AAA" w:rsidP="005F0AAA">
            <w:pPr>
              <w:pStyle w:val="TableText"/>
              <w:jc w:val="right"/>
              <w:rPr>
                <w:rFonts w:cs="Calibri"/>
                <w:b/>
                <w:bCs/>
              </w:rPr>
            </w:pPr>
          </w:p>
        </w:tc>
      </w:tr>
      <w:tr w:rsidR="005F0AAA" w:rsidRPr="000159C3" w14:paraId="615D8FD6" w14:textId="77777777" w:rsidTr="002A16D9">
        <w:tc>
          <w:tcPr>
            <w:tcW w:w="1560" w:type="dxa"/>
            <w:tcBorders>
              <w:top w:val="nil"/>
              <w:left w:val="single" w:sz="2" w:space="0" w:color="auto"/>
              <w:bottom w:val="nil"/>
              <w:right w:val="single" w:sz="2" w:space="0" w:color="auto"/>
            </w:tcBorders>
          </w:tcPr>
          <w:p w14:paraId="5FDA6FDB" w14:textId="77777777" w:rsidR="005F0AAA" w:rsidRPr="000159C3" w:rsidRDefault="005F0AAA" w:rsidP="000159C3">
            <w:pPr>
              <w:pStyle w:val="TableReference"/>
              <w:rPr>
                <w:rFonts w:cs="Calibri"/>
                <w:color w:val="7030A0"/>
                <w:szCs w:val="12"/>
              </w:rPr>
            </w:pPr>
          </w:p>
        </w:tc>
        <w:tc>
          <w:tcPr>
            <w:tcW w:w="4394" w:type="dxa"/>
            <w:tcBorders>
              <w:top w:val="nil"/>
              <w:left w:val="single" w:sz="2" w:space="0" w:color="auto"/>
              <w:bottom w:val="nil"/>
              <w:right w:val="nil"/>
            </w:tcBorders>
          </w:tcPr>
          <w:p w14:paraId="5A01FEC5" w14:textId="77777777" w:rsidR="005F0AAA" w:rsidRPr="000159C3" w:rsidRDefault="005F0AAA" w:rsidP="000159C3">
            <w:pPr>
              <w:pStyle w:val="TableText"/>
              <w:spacing w:before="0"/>
              <w:rPr>
                <w:rFonts w:cs="Calibri"/>
                <w:b/>
                <w:sz w:val="12"/>
                <w:szCs w:val="12"/>
              </w:rPr>
            </w:pPr>
          </w:p>
        </w:tc>
        <w:tc>
          <w:tcPr>
            <w:tcW w:w="1134" w:type="dxa"/>
            <w:tcBorders>
              <w:top w:val="nil"/>
              <w:left w:val="nil"/>
              <w:bottom w:val="nil"/>
              <w:right w:val="nil"/>
            </w:tcBorders>
            <w:vAlign w:val="bottom"/>
          </w:tcPr>
          <w:p w14:paraId="1997C015" w14:textId="77777777" w:rsidR="005F0AAA" w:rsidRPr="000159C3" w:rsidRDefault="005F0AAA" w:rsidP="000159C3">
            <w:pPr>
              <w:pStyle w:val="TableText"/>
              <w:spacing w:before="0"/>
              <w:jc w:val="right"/>
              <w:rPr>
                <w:rFonts w:cs="Calibri"/>
                <w:b/>
                <w:bCs/>
                <w:sz w:val="12"/>
                <w:szCs w:val="12"/>
              </w:rPr>
            </w:pPr>
          </w:p>
        </w:tc>
        <w:tc>
          <w:tcPr>
            <w:tcW w:w="1134" w:type="dxa"/>
            <w:tcBorders>
              <w:top w:val="nil"/>
              <w:left w:val="nil"/>
              <w:bottom w:val="nil"/>
              <w:right w:val="nil"/>
            </w:tcBorders>
            <w:vAlign w:val="bottom"/>
          </w:tcPr>
          <w:p w14:paraId="6DB0AA69" w14:textId="77777777" w:rsidR="005F0AAA" w:rsidRPr="000159C3" w:rsidRDefault="005F0AAA" w:rsidP="000159C3">
            <w:pPr>
              <w:pStyle w:val="TableText"/>
              <w:spacing w:before="0"/>
              <w:jc w:val="right"/>
              <w:rPr>
                <w:rFonts w:cs="Calibri"/>
                <w:b/>
                <w:bCs/>
                <w:sz w:val="12"/>
                <w:szCs w:val="12"/>
              </w:rPr>
            </w:pPr>
          </w:p>
        </w:tc>
        <w:tc>
          <w:tcPr>
            <w:tcW w:w="1559" w:type="dxa"/>
            <w:tcBorders>
              <w:top w:val="nil"/>
              <w:left w:val="nil"/>
              <w:bottom w:val="nil"/>
              <w:right w:val="nil"/>
            </w:tcBorders>
            <w:vAlign w:val="bottom"/>
          </w:tcPr>
          <w:p w14:paraId="2D86749C" w14:textId="77777777" w:rsidR="005F0AAA" w:rsidRPr="000159C3" w:rsidRDefault="005F0AAA" w:rsidP="000159C3">
            <w:pPr>
              <w:pStyle w:val="TableText"/>
              <w:spacing w:before="0"/>
              <w:jc w:val="right"/>
              <w:rPr>
                <w:rFonts w:cs="Calibri"/>
                <w:b/>
                <w:bCs/>
                <w:sz w:val="12"/>
                <w:szCs w:val="12"/>
              </w:rPr>
            </w:pPr>
          </w:p>
        </w:tc>
        <w:tc>
          <w:tcPr>
            <w:tcW w:w="709" w:type="dxa"/>
            <w:gridSpan w:val="2"/>
            <w:tcBorders>
              <w:top w:val="nil"/>
              <w:left w:val="nil"/>
              <w:bottom w:val="nil"/>
              <w:right w:val="nil"/>
            </w:tcBorders>
            <w:vAlign w:val="bottom"/>
          </w:tcPr>
          <w:p w14:paraId="1A343EE5" w14:textId="77777777" w:rsidR="005F0AAA" w:rsidRPr="000159C3" w:rsidRDefault="005F0AAA" w:rsidP="000159C3">
            <w:pPr>
              <w:pStyle w:val="TableText"/>
              <w:spacing w:before="0"/>
              <w:jc w:val="right"/>
              <w:rPr>
                <w:rFonts w:cs="Calibri"/>
                <w:b/>
                <w:bCs/>
                <w:sz w:val="12"/>
                <w:szCs w:val="12"/>
              </w:rPr>
            </w:pPr>
          </w:p>
        </w:tc>
      </w:tr>
      <w:tr w:rsidR="005F0AAA" w:rsidRPr="00CF7E1B" w14:paraId="0C8EC181" w14:textId="77777777" w:rsidTr="002A16D9">
        <w:trPr>
          <w:gridAfter w:val="1"/>
          <w:wAfter w:w="31" w:type="dxa"/>
          <w:trHeight w:val="454"/>
        </w:trPr>
        <w:tc>
          <w:tcPr>
            <w:tcW w:w="1560" w:type="dxa"/>
            <w:tcBorders>
              <w:top w:val="nil"/>
              <w:left w:val="single" w:sz="2" w:space="0" w:color="auto"/>
              <w:bottom w:val="nil"/>
              <w:right w:val="single" w:sz="2" w:space="0" w:color="auto"/>
            </w:tcBorders>
          </w:tcPr>
          <w:p w14:paraId="008DF5BB" w14:textId="11E1B9CB" w:rsidR="005F0AAA" w:rsidRPr="005F0AAA" w:rsidRDefault="005F0AAA" w:rsidP="000159C3">
            <w:pPr>
              <w:pStyle w:val="TableReference"/>
              <w:tabs>
                <w:tab w:val="left" w:pos="3306"/>
              </w:tabs>
              <w:spacing w:before="120" w:after="240"/>
              <w:rPr>
                <w:rFonts w:cs="Calibri"/>
                <w:b/>
                <w:color w:val="7030A0"/>
                <w:sz w:val="22"/>
                <w:szCs w:val="22"/>
              </w:rPr>
            </w:pPr>
            <w:r w:rsidRPr="005F0AAA">
              <w:rPr>
                <w:rFonts w:cs="Calibri"/>
                <w:b/>
                <w:bCs/>
                <w:color w:val="7030A0"/>
              </w:rPr>
              <w:br w:type="page"/>
            </w:r>
          </w:p>
        </w:tc>
        <w:tc>
          <w:tcPr>
            <w:tcW w:w="8899" w:type="dxa"/>
            <w:gridSpan w:val="5"/>
            <w:tcBorders>
              <w:top w:val="nil"/>
              <w:left w:val="single" w:sz="2" w:space="0" w:color="auto"/>
              <w:bottom w:val="nil"/>
              <w:right w:val="nil"/>
            </w:tcBorders>
            <w:shd w:val="clear" w:color="auto" w:fill="7030A0"/>
          </w:tcPr>
          <w:p w14:paraId="6118B96F" w14:textId="1170E02A" w:rsidR="005F0AAA" w:rsidRPr="005F0AAA" w:rsidRDefault="005F0AAA" w:rsidP="000159C3">
            <w:pPr>
              <w:pStyle w:val="CommentaryTitle"/>
              <w:spacing w:before="240" w:after="240"/>
              <w:rPr>
                <w:rFonts w:cs="Calibri"/>
                <w:color w:val="FFFFFF" w:themeColor="background1"/>
                <w:sz w:val="28"/>
                <w:szCs w:val="28"/>
              </w:rPr>
            </w:pPr>
            <w:bookmarkStart w:id="664" w:name="_Toc163106362"/>
            <w:r w:rsidRPr="005F0AAA">
              <w:rPr>
                <w:rFonts w:cs="Calibri"/>
                <w:color w:val="FFFFFF" w:themeColor="background1"/>
                <w:sz w:val="28"/>
                <w:szCs w:val="28"/>
              </w:rPr>
              <w:t>Commentary – Note 21: Intangible Assets</w:t>
            </w:r>
            <w:bookmarkEnd w:id="664"/>
            <w:r w:rsidRPr="005F0AAA">
              <w:rPr>
                <w:rFonts w:cs="Calibri"/>
                <w:color w:val="FFFFFF" w:themeColor="background1"/>
                <w:sz w:val="28"/>
                <w:szCs w:val="28"/>
              </w:rPr>
              <w:t xml:space="preserve"> </w:t>
            </w:r>
          </w:p>
        </w:tc>
      </w:tr>
      <w:tr w:rsidR="005F0AAA" w:rsidRPr="00CF7E1B" w14:paraId="440F16E5" w14:textId="77777777" w:rsidTr="002A16D9">
        <w:trPr>
          <w:gridAfter w:val="1"/>
          <w:wAfter w:w="31" w:type="dxa"/>
          <w:trHeight w:val="23"/>
        </w:trPr>
        <w:tc>
          <w:tcPr>
            <w:tcW w:w="1560" w:type="dxa"/>
            <w:tcBorders>
              <w:top w:val="nil"/>
              <w:left w:val="single" w:sz="2" w:space="0" w:color="auto"/>
              <w:bottom w:val="nil"/>
              <w:right w:val="single" w:sz="2" w:space="0" w:color="auto"/>
            </w:tcBorders>
          </w:tcPr>
          <w:p w14:paraId="5BA21933" w14:textId="77777777" w:rsidR="005F0AAA" w:rsidRPr="005F0AAA" w:rsidRDefault="005F0AAA" w:rsidP="005F0AAA">
            <w:pPr>
              <w:pStyle w:val="TableReference"/>
              <w:tabs>
                <w:tab w:val="left" w:pos="3306"/>
              </w:tabs>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74ADA13A" w14:textId="77777777" w:rsidR="005F0AAA" w:rsidRPr="00581C35" w:rsidRDefault="005F0AAA" w:rsidP="00C87FF4">
            <w:pPr>
              <w:pStyle w:val="CommentaryHeading"/>
              <w:tabs>
                <w:tab w:val="left" w:pos="3306"/>
              </w:tabs>
              <w:spacing w:before="0" w:after="40"/>
              <w:rPr>
                <w:rFonts w:cs="Calibri"/>
                <w:color w:val="FFFFFF" w:themeColor="background1"/>
                <w:szCs w:val="20"/>
              </w:rPr>
            </w:pPr>
            <w:r w:rsidRPr="00581C35">
              <w:rPr>
                <w:rFonts w:cs="Calibri"/>
                <w:color w:val="FFFFFF" w:themeColor="background1"/>
                <w:szCs w:val="20"/>
              </w:rPr>
              <w:t>Reconciliations</w:t>
            </w:r>
          </w:p>
        </w:tc>
      </w:tr>
      <w:tr w:rsidR="005F0AAA" w:rsidRPr="00CF7E1B" w14:paraId="0BB8AA23" w14:textId="77777777" w:rsidTr="002A16D9">
        <w:trPr>
          <w:gridAfter w:val="1"/>
          <w:wAfter w:w="31" w:type="dxa"/>
          <w:trHeight w:val="23"/>
        </w:trPr>
        <w:tc>
          <w:tcPr>
            <w:tcW w:w="1560" w:type="dxa"/>
            <w:tcBorders>
              <w:top w:val="nil"/>
              <w:left w:val="single" w:sz="2" w:space="0" w:color="auto"/>
              <w:bottom w:val="nil"/>
              <w:right w:val="single" w:sz="2" w:space="0" w:color="auto"/>
            </w:tcBorders>
          </w:tcPr>
          <w:p w14:paraId="11EE2D87" w14:textId="77777777" w:rsidR="005F0AAA" w:rsidRPr="005F0AAA" w:rsidRDefault="005F0AAA" w:rsidP="005F0AAA">
            <w:pPr>
              <w:pStyle w:val="TableReference"/>
              <w:tabs>
                <w:tab w:val="left" w:pos="3306"/>
              </w:tabs>
              <w:spacing w:before="60"/>
              <w:rPr>
                <w:rFonts w:cs="Calibri"/>
                <w:color w:val="7030A0"/>
                <w:sz w:val="14"/>
              </w:rPr>
            </w:pPr>
            <w:r w:rsidRPr="005F0AAA">
              <w:rPr>
                <w:rFonts w:cs="Calibri"/>
                <w:color w:val="7030A0"/>
                <w:sz w:val="14"/>
              </w:rPr>
              <w:t xml:space="preserve">AASB 138.118(e) </w:t>
            </w:r>
          </w:p>
          <w:p w14:paraId="795561D1" w14:textId="77777777" w:rsidR="005F0AAA" w:rsidRPr="005F0AAA" w:rsidRDefault="005F0AAA" w:rsidP="005F0AAA">
            <w:pPr>
              <w:pStyle w:val="TableReference"/>
              <w:tabs>
                <w:tab w:val="left" w:pos="3306"/>
              </w:tabs>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5B967D98" w14:textId="33FB85D5" w:rsidR="005F0AAA" w:rsidRPr="005F0AAA" w:rsidRDefault="005F0AAA" w:rsidP="005F0AAA">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 xml:space="preserve">AASB 138 </w:t>
            </w:r>
            <w:r w:rsidRPr="005F0AAA">
              <w:rPr>
                <w:rFonts w:cs="Calibri"/>
                <w:i/>
                <w:color w:val="FFFFFF" w:themeColor="background1"/>
                <w:sz w:val="18"/>
                <w:szCs w:val="18"/>
              </w:rPr>
              <w:t>Intangible Assets</w:t>
            </w:r>
            <w:r w:rsidRPr="005F0AAA">
              <w:rPr>
                <w:rFonts w:cs="Calibri"/>
                <w:color w:val="FFFFFF" w:themeColor="background1"/>
                <w:sz w:val="18"/>
                <w:szCs w:val="18"/>
              </w:rPr>
              <w:t xml:space="preserve"> requires the disclosure of a reconciliation of the carrying amount of each class of Intangible Asset at the beginning and end of the reporting period.</w:t>
            </w:r>
            <w:r w:rsidR="00FA7C77">
              <w:rPr>
                <w:rFonts w:cs="Calibri"/>
                <w:color w:val="FFFFFF" w:themeColor="background1"/>
                <w:sz w:val="18"/>
                <w:szCs w:val="18"/>
              </w:rPr>
              <w:t xml:space="preserve"> </w:t>
            </w:r>
            <w:r w:rsidRPr="005F0AAA">
              <w:rPr>
                <w:rFonts w:cs="Calibri"/>
                <w:color w:val="FFFFFF" w:themeColor="background1"/>
                <w:sz w:val="18"/>
                <w:szCs w:val="18"/>
              </w:rPr>
              <w:t>The reconciliation must show details of movements as follows:</w:t>
            </w:r>
          </w:p>
          <w:p w14:paraId="375D1500" w14:textId="77777777" w:rsidR="005F0AAA" w:rsidRPr="005F0AAA" w:rsidRDefault="005F0AA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additions;</w:t>
            </w:r>
          </w:p>
          <w:p w14:paraId="08FB603E" w14:textId="77777777" w:rsidR="005F0AAA" w:rsidRPr="005F0AAA" w:rsidRDefault="005F0AA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assets classified as held for sale or included in a disposal group held for sale;</w:t>
            </w:r>
          </w:p>
          <w:p w14:paraId="2EA7E9B0" w14:textId="77777777" w:rsidR="005F0AAA" w:rsidRPr="005F0AAA" w:rsidRDefault="005F0AA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increases/decreases in other comprehensive income resulting from revaluations, impairment losses and impairment losses reversed;</w:t>
            </w:r>
          </w:p>
          <w:p w14:paraId="7ABCE37E" w14:textId="77777777" w:rsidR="005F0AAA" w:rsidRPr="005F0AAA" w:rsidRDefault="005F0AA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impairment losses, or impairment losses reversed, in profit and loss;</w:t>
            </w:r>
          </w:p>
          <w:p w14:paraId="3B7061D1" w14:textId="77777777" w:rsidR="005F0AAA" w:rsidRPr="005F0AAA" w:rsidRDefault="005F0AA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amortisation; and</w:t>
            </w:r>
          </w:p>
          <w:p w14:paraId="6165714E" w14:textId="77777777" w:rsidR="005F0AAA" w:rsidRPr="005F0AAA" w:rsidRDefault="005F0AAA" w:rsidP="000159C3">
            <w:pPr>
              <w:pStyle w:val="CommentaryText"/>
              <w:keepNext/>
              <w:keepLines/>
              <w:numPr>
                <w:ilvl w:val="0"/>
                <w:numId w:val="52"/>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other changes.</w:t>
            </w:r>
          </w:p>
        </w:tc>
      </w:tr>
      <w:tr w:rsidR="00581C35" w:rsidRPr="00CF7E1B" w14:paraId="264B0101" w14:textId="77777777" w:rsidTr="002A16D9">
        <w:trPr>
          <w:gridAfter w:val="1"/>
          <w:wAfter w:w="31" w:type="dxa"/>
          <w:cantSplit/>
          <w:trHeight w:val="454"/>
        </w:trPr>
        <w:tc>
          <w:tcPr>
            <w:tcW w:w="1560" w:type="dxa"/>
            <w:tcBorders>
              <w:top w:val="nil"/>
              <w:left w:val="single" w:sz="2" w:space="0" w:color="auto"/>
              <w:bottom w:val="nil"/>
              <w:right w:val="single" w:sz="2" w:space="0" w:color="auto"/>
            </w:tcBorders>
          </w:tcPr>
          <w:p w14:paraId="56C9583C" w14:textId="2F78ED43" w:rsidR="00581C35" w:rsidRPr="005F0AAA" w:rsidRDefault="00581C35" w:rsidP="000159C3">
            <w:pPr>
              <w:pStyle w:val="TableReference"/>
              <w:tabs>
                <w:tab w:val="left" w:pos="3306"/>
              </w:tabs>
              <w:spacing w:before="240" w:after="240"/>
              <w:rPr>
                <w:rFonts w:cs="Calibri"/>
                <w:b/>
                <w:color w:val="7030A0"/>
                <w:sz w:val="22"/>
                <w:szCs w:val="22"/>
              </w:rPr>
            </w:pPr>
            <w:r>
              <w:br w:type="page"/>
            </w:r>
            <w:r w:rsidRPr="005F0AAA">
              <w:rPr>
                <w:color w:val="7030A0"/>
              </w:rPr>
              <w:br w:type="page"/>
            </w:r>
            <w:r w:rsidRPr="005F0AAA">
              <w:rPr>
                <w:rFonts w:cs="Calibri"/>
                <w:b/>
                <w:bCs/>
                <w:color w:val="7030A0"/>
              </w:rPr>
              <w:br w:type="page"/>
            </w:r>
            <w:r w:rsidRPr="005F0AAA">
              <w:rPr>
                <w:rFonts w:cs="Calibri"/>
                <w:b/>
                <w:color w:val="7030A0"/>
                <w:sz w:val="22"/>
                <w:szCs w:val="22"/>
              </w:rPr>
              <w:t>Reference</w:t>
            </w:r>
          </w:p>
        </w:tc>
        <w:tc>
          <w:tcPr>
            <w:tcW w:w="8899" w:type="dxa"/>
            <w:gridSpan w:val="5"/>
            <w:tcBorders>
              <w:top w:val="nil"/>
              <w:left w:val="single" w:sz="2" w:space="0" w:color="auto"/>
              <w:bottom w:val="nil"/>
              <w:right w:val="nil"/>
            </w:tcBorders>
            <w:shd w:val="clear" w:color="auto" w:fill="7030A0"/>
          </w:tcPr>
          <w:p w14:paraId="054AEBF6" w14:textId="2E99DC0A" w:rsidR="00581C35" w:rsidRPr="005F0AAA" w:rsidRDefault="00581C35" w:rsidP="000159C3">
            <w:pPr>
              <w:pStyle w:val="CommentaryTitle"/>
              <w:spacing w:before="240" w:after="240"/>
              <w:rPr>
                <w:rFonts w:cs="Calibri"/>
                <w:color w:val="FFFFFF" w:themeColor="background1"/>
                <w:sz w:val="28"/>
                <w:szCs w:val="28"/>
              </w:rPr>
            </w:pPr>
            <w:r w:rsidRPr="005F0AAA">
              <w:rPr>
                <w:rFonts w:cs="Calibri"/>
                <w:color w:val="FFFFFF" w:themeColor="background1"/>
                <w:sz w:val="28"/>
                <w:szCs w:val="28"/>
              </w:rPr>
              <w:t xml:space="preserve">Commentary – Note 21: Intangible Assets </w:t>
            </w:r>
            <w:r>
              <w:rPr>
                <w:rFonts w:cs="Calibri"/>
                <w:color w:val="FFFFFF" w:themeColor="background1"/>
                <w:sz w:val="28"/>
                <w:szCs w:val="28"/>
              </w:rPr>
              <w:t xml:space="preserve">– Continued </w:t>
            </w:r>
          </w:p>
        </w:tc>
      </w:tr>
      <w:tr w:rsidR="00581C35" w:rsidRPr="00CF7E1B" w14:paraId="43D7AC9C"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37EFADDE" w14:textId="2F2FDC18" w:rsidR="00581C35" w:rsidRPr="005F0AAA" w:rsidRDefault="00581C35" w:rsidP="00581C35">
            <w:pPr>
              <w:pStyle w:val="TableReference"/>
              <w:tabs>
                <w:tab w:val="left" w:pos="3306"/>
              </w:tabs>
              <w:spacing w:before="60"/>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00EDF4DF" w14:textId="77777777" w:rsidR="00581C35" w:rsidRPr="00581C35" w:rsidRDefault="00581C35" w:rsidP="00C87FF4">
            <w:pPr>
              <w:pStyle w:val="CommentaryHeading"/>
              <w:spacing w:before="0" w:after="40"/>
              <w:rPr>
                <w:rFonts w:cs="Calibri"/>
                <w:color w:val="FFFFFF" w:themeColor="background1"/>
                <w:szCs w:val="20"/>
              </w:rPr>
            </w:pPr>
            <w:r w:rsidRPr="00581C35">
              <w:rPr>
                <w:rFonts w:cs="Calibri"/>
                <w:color w:val="FFFFFF" w:themeColor="background1"/>
                <w:szCs w:val="20"/>
              </w:rPr>
              <w:t>Material Intangible Assets</w:t>
            </w:r>
          </w:p>
        </w:tc>
      </w:tr>
      <w:tr w:rsidR="00581C35" w:rsidRPr="00CF7E1B" w14:paraId="2109010D" w14:textId="77777777" w:rsidTr="002A16D9">
        <w:trPr>
          <w:gridAfter w:val="1"/>
          <w:wAfter w:w="31" w:type="dxa"/>
          <w:cantSplit/>
          <w:trHeight w:val="465"/>
        </w:trPr>
        <w:tc>
          <w:tcPr>
            <w:tcW w:w="1560" w:type="dxa"/>
            <w:tcBorders>
              <w:top w:val="nil"/>
              <w:left w:val="single" w:sz="2" w:space="0" w:color="auto"/>
              <w:bottom w:val="nil"/>
              <w:right w:val="single" w:sz="2" w:space="0" w:color="auto"/>
            </w:tcBorders>
          </w:tcPr>
          <w:p w14:paraId="4405ACD9" w14:textId="77777777" w:rsidR="00581C35" w:rsidRPr="005F0AAA" w:rsidRDefault="00581C35" w:rsidP="00581C35">
            <w:pPr>
              <w:pStyle w:val="TableReference"/>
              <w:tabs>
                <w:tab w:val="left" w:pos="3306"/>
              </w:tabs>
              <w:rPr>
                <w:rFonts w:cs="Calibri"/>
                <w:color w:val="7030A0"/>
                <w:sz w:val="14"/>
              </w:rPr>
            </w:pPr>
            <w:r w:rsidRPr="005F0AAA">
              <w:rPr>
                <w:rFonts w:cs="Calibri"/>
                <w:color w:val="7030A0"/>
                <w:sz w:val="14"/>
              </w:rPr>
              <w:t>AASB 138.122(b)</w:t>
            </w:r>
          </w:p>
        </w:tc>
        <w:tc>
          <w:tcPr>
            <w:tcW w:w="8899" w:type="dxa"/>
            <w:gridSpan w:val="5"/>
            <w:tcBorders>
              <w:top w:val="nil"/>
              <w:left w:val="single" w:sz="2" w:space="0" w:color="auto"/>
              <w:bottom w:val="nil"/>
              <w:right w:val="nil"/>
            </w:tcBorders>
            <w:shd w:val="clear" w:color="auto" w:fill="7030A0"/>
          </w:tcPr>
          <w:p w14:paraId="28C4CD69" w14:textId="77777777" w:rsidR="00581C35" w:rsidRPr="005F0AAA" w:rsidRDefault="00581C35" w:rsidP="00581C35">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agency has an individual intangible asset that is material to its financial statements, the agency shall disclose a description of that asset along with the carrying amount and remaining amortisation period.</w:t>
            </w:r>
          </w:p>
        </w:tc>
      </w:tr>
      <w:tr w:rsidR="00581C35" w:rsidRPr="00CF7E1B" w14:paraId="535120E2"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717A0345" w14:textId="77777777" w:rsidR="00581C35" w:rsidRPr="005F0AAA" w:rsidRDefault="00581C35" w:rsidP="00581C35">
            <w:pPr>
              <w:pStyle w:val="TableReference"/>
              <w:tabs>
                <w:tab w:val="left" w:pos="3306"/>
              </w:tabs>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70DC6D11" w14:textId="77777777" w:rsidR="00581C35" w:rsidRPr="00581C35" w:rsidRDefault="00581C35" w:rsidP="00C87FF4">
            <w:pPr>
              <w:pStyle w:val="CommentaryHeading"/>
              <w:spacing w:after="40"/>
              <w:rPr>
                <w:rFonts w:cs="Calibri"/>
                <w:color w:val="FFFFFF" w:themeColor="background1"/>
                <w:szCs w:val="20"/>
              </w:rPr>
            </w:pPr>
            <w:r w:rsidRPr="00581C35">
              <w:rPr>
                <w:rFonts w:cs="Calibri"/>
                <w:color w:val="FFFFFF" w:themeColor="background1"/>
                <w:szCs w:val="20"/>
              </w:rPr>
              <w:t>Restricted Assets and Assets Pledged as Security</w:t>
            </w:r>
          </w:p>
        </w:tc>
      </w:tr>
      <w:tr w:rsidR="00581C35" w:rsidRPr="00CF7E1B" w14:paraId="5F4D5C38"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6A6753BE" w14:textId="77777777" w:rsidR="00581C35" w:rsidRPr="005F0AAA" w:rsidRDefault="00581C35" w:rsidP="00581C35">
            <w:pPr>
              <w:pStyle w:val="TableReference"/>
              <w:tabs>
                <w:tab w:val="left" w:pos="3306"/>
              </w:tabs>
              <w:spacing w:before="60"/>
              <w:rPr>
                <w:rFonts w:cs="Calibri"/>
                <w:color w:val="7030A0"/>
                <w:sz w:val="14"/>
              </w:rPr>
            </w:pPr>
            <w:r w:rsidRPr="005F0AAA">
              <w:rPr>
                <w:rFonts w:cs="Calibri"/>
                <w:color w:val="7030A0"/>
                <w:sz w:val="14"/>
              </w:rPr>
              <w:t>AASB 138.122(d)</w:t>
            </w:r>
          </w:p>
        </w:tc>
        <w:tc>
          <w:tcPr>
            <w:tcW w:w="8899" w:type="dxa"/>
            <w:gridSpan w:val="5"/>
            <w:tcBorders>
              <w:top w:val="nil"/>
              <w:left w:val="single" w:sz="2" w:space="0" w:color="auto"/>
              <w:bottom w:val="nil"/>
              <w:right w:val="nil"/>
            </w:tcBorders>
            <w:shd w:val="clear" w:color="auto" w:fill="7030A0"/>
          </w:tcPr>
          <w:p w14:paraId="19049178" w14:textId="77777777" w:rsidR="00581C35" w:rsidRPr="005F0AAA" w:rsidRDefault="00581C35" w:rsidP="00581C35">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intangible asset is restricted or is pledged as security for a liability the existence and carrying amount must be separately disclosed.</w:t>
            </w:r>
          </w:p>
        </w:tc>
      </w:tr>
      <w:tr w:rsidR="00581C35" w:rsidRPr="00CF7E1B" w14:paraId="78B3264F" w14:textId="77777777" w:rsidTr="002A16D9">
        <w:trPr>
          <w:gridAfter w:val="1"/>
          <w:wAfter w:w="31" w:type="dxa"/>
          <w:cantSplit/>
          <w:trHeight w:hRule="exact" w:val="340"/>
        </w:trPr>
        <w:tc>
          <w:tcPr>
            <w:tcW w:w="1560" w:type="dxa"/>
            <w:tcBorders>
              <w:top w:val="nil"/>
              <w:left w:val="single" w:sz="2" w:space="0" w:color="auto"/>
              <w:bottom w:val="nil"/>
              <w:right w:val="single" w:sz="2" w:space="0" w:color="auto"/>
            </w:tcBorders>
          </w:tcPr>
          <w:p w14:paraId="57096621" w14:textId="77777777" w:rsidR="00581C35" w:rsidRPr="005F0AAA" w:rsidRDefault="00581C35" w:rsidP="00581C35">
            <w:pPr>
              <w:pStyle w:val="TableReference"/>
              <w:tabs>
                <w:tab w:val="left" w:pos="3306"/>
              </w:tabs>
              <w:spacing w:before="60"/>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1E9FEF7C" w14:textId="77777777" w:rsidR="00581C35" w:rsidRPr="00581C35" w:rsidRDefault="00581C35" w:rsidP="00C87FF4">
            <w:pPr>
              <w:pStyle w:val="CommentaryHeading"/>
              <w:spacing w:after="40"/>
              <w:rPr>
                <w:rFonts w:cs="Calibri"/>
                <w:color w:val="FFFFFF" w:themeColor="background1"/>
                <w:szCs w:val="20"/>
              </w:rPr>
            </w:pPr>
            <w:r w:rsidRPr="00581C35">
              <w:rPr>
                <w:rFonts w:cs="Calibri"/>
                <w:color w:val="FFFFFF" w:themeColor="background1"/>
                <w:szCs w:val="20"/>
              </w:rPr>
              <w:t>Voluntary Disclosure</w:t>
            </w:r>
          </w:p>
        </w:tc>
      </w:tr>
      <w:tr w:rsidR="00581C35" w:rsidRPr="00CF7E1B" w14:paraId="1E951B12"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0BD1A2BB" w14:textId="77777777" w:rsidR="00581C35" w:rsidRPr="005F0AAA" w:rsidRDefault="00581C35" w:rsidP="00581C35">
            <w:pPr>
              <w:pStyle w:val="TableReference"/>
              <w:tabs>
                <w:tab w:val="left" w:pos="3306"/>
              </w:tabs>
              <w:spacing w:before="60"/>
              <w:rPr>
                <w:rFonts w:cs="Calibri"/>
                <w:color w:val="7030A0"/>
                <w:sz w:val="14"/>
              </w:rPr>
            </w:pPr>
            <w:r w:rsidRPr="005F0AAA">
              <w:rPr>
                <w:rFonts w:cs="Calibri"/>
                <w:color w:val="7030A0"/>
                <w:sz w:val="14"/>
              </w:rPr>
              <w:t>AASB 138.128</w:t>
            </w:r>
          </w:p>
        </w:tc>
        <w:tc>
          <w:tcPr>
            <w:tcW w:w="8899" w:type="dxa"/>
            <w:gridSpan w:val="5"/>
            <w:tcBorders>
              <w:top w:val="nil"/>
              <w:left w:val="single" w:sz="2" w:space="0" w:color="auto"/>
              <w:bottom w:val="nil"/>
              <w:right w:val="nil"/>
            </w:tcBorders>
            <w:shd w:val="clear" w:color="auto" w:fill="7030A0"/>
          </w:tcPr>
          <w:p w14:paraId="045CA77E" w14:textId="77777777" w:rsidR="00581C35" w:rsidRPr="005F0AAA" w:rsidRDefault="00581C35" w:rsidP="00581C35">
            <w:pPr>
              <w:pStyle w:val="CommentaryText"/>
              <w:tabs>
                <w:tab w:val="left" w:pos="3306"/>
              </w:tabs>
              <w:spacing w:after="40"/>
              <w:rPr>
                <w:rFonts w:cs="Calibri"/>
                <w:color w:val="FFFFFF" w:themeColor="background1"/>
                <w:sz w:val="18"/>
                <w:szCs w:val="18"/>
              </w:rPr>
            </w:pPr>
            <w:r w:rsidRPr="005F0AAA">
              <w:rPr>
                <w:rFonts w:cs="Calibri"/>
                <w:color w:val="FFFFFF" w:themeColor="background1"/>
                <w:sz w:val="18"/>
                <w:szCs w:val="18"/>
              </w:rPr>
              <w:t>AASB 138 recommends the following voluntary disclosures:</w:t>
            </w:r>
          </w:p>
          <w:p w14:paraId="71925228" w14:textId="77777777" w:rsidR="00581C35" w:rsidRPr="005F0AAA" w:rsidRDefault="00581C3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 description of any fully amortised intangible asset that is still in use; and</w:t>
            </w:r>
          </w:p>
          <w:p w14:paraId="1566AA04" w14:textId="77777777" w:rsidR="00581C35" w:rsidRPr="005F0AAA" w:rsidRDefault="00581C3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a brief description of significant intangible assets controlled by the agency but not recognised as assets because they did not meet the recognition criteria.</w:t>
            </w:r>
          </w:p>
        </w:tc>
      </w:tr>
      <w:tr w:rsidR="00A41D42" w:rsidRPr="00CF7E1B" w14:paraId="291B1894" w14:textId="77777777" w:rsidTr="002A16D9">
        <w:trPr>
          <w:cantSplit/>
          <w:trHeight w:val="23"/>
        </w:trPr>
        <w:tc>
          <w:tcPr>
            <w:tcW w:w="1560" w:type="dxa"/>
            <w:tcBorders>
              <w:top w:val="nil"/>
              <w:left w:val="single" w:sz="2" w:space="0" w:color="auto"/>
              <w:bottom w:val="nil"/>
              <w:right w:val="single" w:sz="2" w:space="0" w:color="auto"/>
            </w:tcBorders>
          </w:tcPr>
          <w:p w14:paraId="62CD9339" w14:textId="77777777" w:rsidR="00A41D42" w:rsidRPr="005F0AAA" w:rsidRDefault="00A41D42" w:rsidP="00A41D42">
            <w:pPr>
              <w:pStyle w:val="TableReference"/>
              <w:tabs>
                <w:tab w:val="left" w:pos="3306"/>
              </w:tabs>
              <w:rPr>
                <w:color w:val="7030A0"/>
              </w:rPr>
            </w:pPr>
          </w:p>
        </w:tc>
        <w:tc>
          <w:tcPr>
            <w:tcW w:w="8930" w:type="dxa"/>
            <w:gridSpan w:val="6"/>
            <w:tcBorders>
              <w:top w:val="nil"/>
              <w:left w:val="single" w:sz="2" w:space="0" w:color="auto"/>
              <w:bottom w:val="nil"/>
              <w:right w:val="nil"/>
            </w:tcBorders>
            <w:vAlign w:val="bottom"/>
          </w:tcPr>
          <w:p w14:paraId="0395E912" w14:textId="77777777" w:rsidR="00A41D42" w:rsidRPr="00B823E0" w:rsidRDefault="00A41D42" w:rsidP="00A41D42">
            <w:pPr>
              <w:pStyle w:val="Heading1"/>
              <w:numPr>
                <w:ilvl w:val="0"/>
                <w:numId w:val="0"/>
              </w:numPr>
              <w:spacing w:before="0" w:after="0"/>
            </w:pPr>
          </w:p>
        </w:tc>
      </w:tr>
      <w:tr w:rsidR="00581C35" w:rsidRPr="00CF7E1B" w14:paraId="08D1A601" w14:textId="77777777" w:rsidTr="002A16D9">
        <w:trPr>
          <w:cantSplit/>
          <w:trHeight w:val="23"/>
        </w:trPr>
        <w:tc>
          <w:tcPr>
            <w:tcW w:w="1560" w:type="dxa"/>
            <w:tcBorders>
              <w:top w:val="nil"/>
              <w:left w:val="single" w:sz="2" w:space="0" w:color="auto"/>
              <w:bottom w:val="nil"/>
              <w:right w:val="single" w:sz="2" w:space="0" w:color="auto"/>
            </w:tcBorders>
          </w:tcPr>
          <w:p w14:paraId="6F353718" w14:textId="7C995BA0" w:rsidR="00581C35" w:rsidRPr="005F0AAA" w:rsidRDefault="00581C35" w:rsidP="00581C35">
            <w:pPr>
              <w:pStyle w:val="TableReference"/>
              <w:tabs>
                <w:tab w:val="left" w:pos="3306"/>
              </w:tabs>
              <w:spacing w:before="240"/>
              <w:rPr>
                <w:rFonts w:cs="Calibri"/>
                <w:b/>
                <w:color w:val="7030A0"/>
                <w:sz w:val="22"/>
                <w:szCs w:val="22"/>
              </w:rPr>
            </w:pPr>
            <w:bookmarkStart w:id="665" w:name="CapitalWorkProgress" w:colFirst="1" w:colLast="1"/>
            <w:r w:rsidRPr="005F0AAA">
              <w:rPr>
                <w:color w:val="7030A0"/>
              </w:rPr>
              <w:br w:type="page"/>
            </w:r>
          </w:p>
        </w:tc>
        <w:tc>
          <w:tcPr>
            <w:tcW w:w="8930" w:type="dxa"/>
            <w:gridSpan w:val="6"/>
            <w:tcBorders>
              <w:top w:val="nil"/>
              <w:left w:val="single" w:sz="2" w:space="0" w:color="auto"/>
              <w:bottom w:val="nil"/>
              <w:right w:val="nil"/>
            </w:tcBorders>
            <w:vAlign w:val="bottom"/>
          </w:tcPr>
          <w:p w14:paraId="678F8AED" w14:textId="58833636" w:rsidR="00581C35" w:rsidRPr="00AA6335" w:rsidRDefault="00581C35" w:rsidP="00581C35">
            <w:pPr>
              <w:pStyle w:val="Heading1"/>
              <w:numPr>
                <w:ilvl w:val="0"/>
                <w:numId w:val="0"/>
              </w:numPr>
              <w:rPr>
                <w:highlight w:val="yellow"/>
              </w:rPr>
            </w:pPr>
            <w:bookmarkStart w:id="666" w:name="_Toc48468564"/>
            <w:bookmarkStart w:id="667" w:name="_Toc49155672"/>
            <w:bookmarkStart w:id="668" w:name="_Toc49224106"/>
            <w:bookmarkStart w:id="669" w:name="_Ref50365606"/>
            <w:bookmarkStart w:id="670" w:name="_Toc50440376"/>
            <w:bookmarkStart w:id="671" w:name="_Ref50524147"/>
            <w:bookmarkStart w:id="672" w:name="_Toc400627347"/>
            <w:bookmarkStart w:id="673" w:name="_Toc132743812"/>
            <w:r w:rsidRPr="00B823E0">
              <w:t>Note 22.</w:t>
            </w:r>
            <w:r>
              <w:t xml:space="preserve"> </w:t>
            </w:r>
            <w:r w:rsidRPr="00B823E0">
              <w:t xml:space="preserve"> Capital Works in Progress</w:t>
            </w:r>
            <w:bookmarkEnd w:id="666"/>
            <w:bookmarkEnd w:id="667"/>
            <w:bookmarkEnd w:id="668"/>
            <w:bookmarkEnd w:id="669"/>
            <w:bookmarkEnd w:id="670"/>
            <w:bookmarkEnd w:id="671"/>
            <w:bookmarkEnd w:id="672"/>
            <w:bookmarkEnd w:id="673"/>
          </w:p>
        </w:tc>
      </w:tr>
      <w:tr w:rsidR="00581C35" w:rsidRPr="00CF7E1B" w14:paraId="607F17AF" w14:textId="77777777" w:rsidTr="002A16D9">
        <w:trPr>
          <w:cantSplit/>
          <w:trHeight w:val="23"/>
        </w:trPr>
        <w:tc>
          <w:tcPr>
            <w:tcW w:w="1560" w:type="dxa"/>
            <w:tcBorders>
              <w:top w:val="nil"/>
              <w:left w:val="single" w:sz="2" w:space="0" w:color="auto"/>
              <w:bottom w:val="nil"/>
              <w:right w:val="single" w:sz="2" w:space="0" w:color="auto"/>
            </w:tcBorders>
          </w:tcPr>
          <w:p w14:paraId="05FA5506" w14:textId="77777777" w:rsidR="00581C35" w:rsidRPr="005F0AAA" w:rsidRDefault="00581C35" w:rsidP="00581C35">
            <w:pPr>
              <w:pStyle w:val="TableReference"/>
              <w:tabs>
                <w:tab w:val="left" w:pos="3306"/>
              </w:tabs>
              <w:rPr>
                <w:rFonts w:cs="Calibri"/>
                <w:b/>
                <w:color w:val="7030A0"/>
                <w:sz w:val="20"/>
                <w:szCs w:val="20"/>
              </w:rPr>
            </w:pPr>
          </w:p>
        </w:tc>
        <w:tc>
          <w:tcPr>
            <w:tcW w:w="8930" w:type="dxa"/>
            <w:gridSpan w:val="6"/>
            <w:tcBorders>
              <w:top w:val="nil"/>
              <w:left w:val="single" w:sz="2" w:space="0" w:color="auto"/>
              <w:bottom w:val="nil"/>
              <w:right w:val="nil"/>
            </w:tcBorders>
            <w:vAlign w:val="bottom"/>
          </w:tcPr>
          <w:p w14:paraId="6F9C769B" w14:textId="1607CBB4" w:rsidR="00581C35" w:rsidRPr="0028231E" w:rsidRDefault="00581C35" w:rsidP="0028231E">
            <w:pPr>
              <w:jc w:val="both"/>
              <w:rPr>
                <w:b/>
                <w:bCs/>
                <w:sz w:val="18"/>
                <w:szCs w:val="18"/>
              </w:rPr>
            </w:pPr>
            <w:bookmarkStart w:id="674" w:name="_Toc98763139"/>
            <w:r w:rsidRPr="0028231E">
              <w:rPr>
                <w:b/>
                <w:bCs/>
                <w:sz w:val="18"/>
                <w:szCs w:val="18"/>
              </w:rPr>
              <w:t>Description and Material Accounting Policies Relating to Capital Works in Progress</w:t>
            </w:r>
            <w:bookmarkEnd w:id="674"/>
          </w:p>
        </w:tc>
      </w:tr>
      <w:bookmarkEnd w:id="665"/>
      <w:tr w:rsidR="00581C35" w:rsidRPr="00CF7E1B" w14:paraId="6C77625E" w14:textId="77777777" w:rsidTr="002A16D9">
        <w:trPr>
          <w:cantSplit/>
          <w:trHeight w:val="23"/>
        </w:trPr>
        <w:tc>
          <w:tcPr>
            <w:tcW w:w="1560" w:type="dxa"/>
            <w:tcBorders>
              <w:top w:val="nil"/>
              <w:left w:val="single" w:sz="2" w:space="0" w:color="auto"/>
              <w:bottom w:val="nil"/>
              <w:right w:val="single" w:sz="2" w:space="0" w:color="auto"/>
            </w:tcBorders>
          </w:tcPr>
          <w:p w14:paraId="6DDA2A29" w14:textId="77777777" w:rsidR="00581C35" w:rsidRPr="005F0AAA" w:rsidRDefault="00581C35" w:rsidP="00581C35">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vAlign w:val="bottom"/>
          </w:tcPr>
          <w:p w14:paraId="659050C4" w14:textId="4108F1D3" w:rsidR="00581C35" w:rsidRPr="00E95E3B" w:rsidRDefault="00581C35" w:rsidP="00581C35">
            <w:pPr>
              <w:pStyle w:val="TableText"/>
              <w:spacing w:before="0" w:after="120"/>
              <w:jc w:val="both"/>
              <w:rPr>
                <w:rFonts w:cs="Calibri"/>
              </w:rPr>
            </w:pPr>
            <w:r w:rsidRPr="00E95E3B">
              <w:rPr>
                <w:rFonts w:cs="Calibri"/>
              </w:rPr>
              <w:t>Capital works in progress include infrastructure assets, buildings, leasehold improvements and software under construction.</w:t>
            </w:r>
            <w:r>
              <w:rPr>
                <w:rFonts w:cs="Calibri"/>
              </w:rPr>
              <w:t xml:space="preserve"> </w:t>
            </w:r>
            <w:r w:rsidRPr="00E95E3B">
              <w:rPr>
                <w:rFonts w:cs="Calibri"/>
              </w:rPr>
              <w:t xml:space="preserve">Capital works in progress </w:t>
            </w:r>
            <w:r w:rsidRPr="00E95E3B">
              <w:t>are recognised at the time the construction activity occurs. These assets are measured at the cost of constructing the asset. The cost includes direct construction costs (e</w:t>
            </w:r>
            <w:r w:rsidR="005B0FA8">
              <w:t>.</w:t>
            </w:r>
            <w:r w:rsidRPr="00E95E3B">
              <w:t>g</w:t>
            </w:r>
            <w:r w:rsidR="005B0FA8">
              <w:t>.</w:t>
            </w:r>
            <w:r w:rsidRPr="00E95E3B">
              <w:t xml:space="preserve"> direct materials and direct labour), and ‘directly attributable’ costs in bringing the asset to a location and condition ready for use, as well as the initial estimate of the costs of dismantling and removing the item and restoring the site on which it is located.</w:t>
            </w:r>
            <w:r>
              <w:t xml:space="preserve"> </w:t>
            </w:r>
            <w:bookmarkStart w:id="675" w:name="_Hlk107575707"/>
            <w:r w:rsidRPr="00E95E3B">
              <w:t>Directly attributable costs included in capital works in progress by ‘Burley Griffin Agency’ are the cost of site preparation, initial delivery and handling costs of materials, installation and assembly costs, functional testing and professional fees.</w:t>
            </w:r>
            <w:bookmarkEnd w:id="675"/>
          </w:p>
        </w:tc>
      </w:tr>
    </w:tbl>
    <w:p w14:paraId="72783BB8" w14:textId="77777777" w:rsidR="00B256A9" w:rsidRPr="00CF7E1B" w:rsidRDefault="00B256A9">
      <w:pPr>
        <w:rPr>
          <w:rFonts w:cs="Calibri"/>
        </w:rPr>
        <w:sectPr w:rsidR="00B256A9" w:rsidRPr="00CF7E1B" w:rsidSect="00986F4D">
          <w:footnotePr>
            <w:numRestart w:val="eachPage"/>
          </w:footnotePr>
          <w:pgSz w:w="11907" w:h="16840" w:code="9"/>
          <w:pgMar w:top="567" w:right="1276" w:bottom="567" w:left="680" w:header="425" w:footer="383" w:gutter="0"/>
          <w:cols w:space="720"/>
          <w:docGrid w:linePitch="326"/>
        </w:sect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6944"/>
        <w:gridCol w:w="1560"/>
        <w:gridCol w:w="106"/>
        <w:gridCol w:w="1455"/>
        <w:gridCol w:w="39"/>
        <w:gridCol w:w="1378"/>
        <w:gridCol w:w="1134"/>
        <w:gridCol w:w="62"/>
        <w:gridCol w:w="1213"/>
      </w:tblGrid>
      <w:tr w:rsidR="00827474" w:rsidRPr="00CF7E1B" w14:paraId="2801FAAD" w14:textId="77777777" w:rsidTr="00AE2F99">
        <w:trPr>
          <w:cantSplit/>
          <w:trHeight w:val="23"/>
        </w:trPr>
        <w:tc>
          <w:tcPr>
            <w:tcW w:w="1558" w:type="dxa"/>
            <w:tcBorders>
              <w:top w:val="nil"/>
              <w:left w:val="single" w:sz="2" w:space="0" w:color="auto"/>
              <w:bottom w:val="nil"/>
              <w:right w:val="single" w:sz="2" w:space="0" w:color="auto"/>
            </w:tcBorders>
            <w:vAlign w:val="bottom"/>
          </w:tcPr>
          <w:p w14:paraId="282E9120" w14:textId="77777777" w:rsidR="00F22565" w:rsidRPr="00E95E3B" w:rsidRDefault="00F80177" w:rsidP="00914FDD">
            <w:pPr>
              <w:pStyle w:val="Reference"/>
              <w:tabs>
                <w:tab w:val="left" w:pos="3306"/>
              </w:tabs>
              <w:spacing w:before="240" w:after="240"/>
              <w:rPr>
                <w:rFonts w:cs="Calibri"/>
                <w:color w:val="7030A0"/>
                <w:sz w:val="22"/>
                <w:szCs w:val="22"/>
              </w:rPr>
            </w:pPr>
            <w:r w:rsidRPr="00E95E3B">
              <w:rPr>
                <w:rFonts w:cs="Calibri"/>
                <w:color w:val="7030A0"/>
                <w:sz w:val="22"/>
                <w:szCs w:val="22"/>
              </w:rPr>
              <w:t>Reference</w:t>
            </w:r>
          </w:p>
        </w:tc>
        <w:tc>
          <w:tcPr>
            <w:tcW w:w="13891" w:type="dxa"/>
            <w:gridSpan w:val="9"/>
            <w:tcBorders>
              <w:top w:val="nil"/>
              <w:left w:val="single" w:sz="2" w:space="0" w:color="auto"/>
              <w:bottom w:val="nil"/>
              <w:right w:val="nil"/>
            </w:tcBorders>
            <w:vAlign w:val="bottom"/>
          </w:tcPr>
          <w:p w14:paraId="1D823A44" w14:textId="1C65B417" w:rsidR="00F22565" w:rsidRPr="00E95E3B" w:rsidRDefault="00914FDD" w:rsidP="00914FDD">
            <w:pPr>
              <w:spacing w:before="240" w:after="240"/>
              <w:rPr>
                <w:rFonts w:ascii="Arial Bold" w:hAnsi="Arial Bold" w:cs="Arial"/>
                <w:b/>
                <w:caps/>
                <w:sz w:val="32"/>
                <w:szCs w:val="32"/>
              </w:rPr>
            </w:pPr>
            <w:r w:rsidRPr="00E95E3B">
              <w:rPr>
                <w:rFonts w:ascii="Arial Bold" w:hAnsi="Arial Bold" w:cs="Arial"/>
                <w:b/>
                <w:caps/>
                <w:sz w:val="32"/>
                <w:szCs w:val="32"/>
              </w:rPr>
              <w:t xml:space="preserve">Note </w:t>
            </w:r>
            <w:r w:rsidR="00DE287B" w:rsidRPr="00E95E3B">
              <w:rPr>
                <w:rFonts w:ascii="Arial Bold" w:hAnsi="Arial Bold" w:cs="Arial"/>
                <w:b/>
                <w:caps/>
                <w:sz w:val="32"/>
                <w:szCs w:val="32"/>
              </w:rPr>
              <w:t>22</w:t>
            </w:r>
            <w:r w:rsidRPr="00E95E3B">
              <w:rPr>
                <w:rFonts w:ascii="Arial Bold" w:hAnsi="Arial Bold" w:cs="Arial"/>
                <w:b/>
                <w:caps/>
                <w:sz w:val="32"/>
                <w:szCs w:val="32"/>
              </w:rPr>
              <w:t>.</w:t>
            </w:r>
            <w:r w:rsidR="00FA7C77">
              <w:rPr>
                <w:rFonts w:ascii="Arial Bold" w:hAnsi="Arial Bold" w:cs="Arial"/>
                <w:b/>
                <w:caps/>
                <w:sz w:val="32"/>
                <w:szCs w:val="32"/>
              </w:rPr>
              <w:t xml:space="preserve"> </w:t>
            </w:r>
            <w:r w:rsidRPr="00E95E3B">
              <w:rPr>
                <w:rFonts w:ascii="Arial Bold" w:hAnsi="Arial Bold" w:cs="Arial"/>
                <w:b/>
                <w:caps/>
                <w:sz w:val="32"/>
                <w:szCs w:val="32"/>
              </w:rPr>
              <w:t xml:space="preserve"> Capital Works in Progress – Continued </w:t>
            </w:r>
          </w:p>
        </w:tc>
      </w:tr>
      <w:tr w:rsidR="00827474" w:rsidRPr="00CF7E1B" w14:paraId="29ECE6D6" w14:textId="77777777" w:rsidTr="00AE2F99">
        <w:trPr>
          <w:cantSplit/>
          <w:trHeight w:val="23"/>
        </w:trPr>
        <w:tc>
          <w:tcPr>
            <w:tcW w:w="1558" w:type="dxa"/>
            <w:tcBorders>
              <w:top w:val="nil"/>
              <w:left w:val="single" w:sz="2" w:space="0" w:color="auto"/>
              <w:bottom w:val="nil"/>
              <w:right w:val="single" w:sz="2" w:space="0" w:color="auto"/>
            </w:tcBorders>
          </w:tcPr>
          <w:p w14:paraId="4E702643" w14:textId="77777777" w:rsidR="00A67B77" w:rsidRPr="00E95E3B" w:rsidRDefault="00A67B77" w:rsidP="00C5789C">
            <w:pPr>
              <w:pStyle w:val="TableReference"/>
              <w:tabs>
                <w:tab w:val="left" w:pos="3306"/>
              </w:tabs>
              <w:spacing w:before="40"/>
              <w:rPr>
                <w:rFonts w:cs="Calibri"/>
                <w:color w:val="7030A0"/>
                <w:sz w:val="14"/>
              </w:rPr>
            </w:pPr>
          </w:p>
        </w:tc>
        <w:tc>
          <w:tcPr>
            <w:tcW w:w="6944" w:type="dxa"/>
            <w:tcBorders>
              <w:top w:val="nil"/>
              <w:left w:val="single" w:sz="2" w:space="0" w:color="auto"/>
              <w:bottom w:val="nil"/>
              <w:right w:val="nil"/>
            </w:tcBorders>
            <w:vAlign w:val="bottom"/>
          </w:tcPr>
          <w:p w14:paraId="3F78BDDE" w14:textId="77777777" w:rsidR="00A67B77" w:rsidRPr="00E95E3B" w:rsidRDefault="00A67B77" w:rsidP="00C5789C">
            <w:pPr>
              <w:pStyle w:val="TableTitle"/>
              <w:tabs>
                <w:tab w:val="left" w:pos="3306"/>
              </w:tabs>
              <w:rPr>
                <w:rFonts w:cs="Calibri"/>
              </w:rPr>
            </w:pPr>
          </w:p>
        </w:tc>
        <w:tc>
          <w:tcPr>
            <w:tcW w:w="1666" w:type="dxa"/>
            <w:gridSpan w:val="2"/>
            <w:tcBorders>
              <w:top w:val="nil"/>
              <w:left w:val="nil"/>
              <w:bottom w:val="nil"/>
              <w:right w:val="nil"/>
            </w:tcBorders>
            <w:vAlign w:val="bottom"/>
          </w:tcPr>
          <w:p w14:paraId="1618CC36" w14:textId="2F683B8F" w:rsidR="00A67B77" w:rsidRPr="00E95E3B" w:rsidRDefault="00A67B77" w:rsidP="00AB11CD">
            <w:pPr>
              <w:pStyle w:val="TableTitle"/>
              <w:tabs>
                <w:tab w:val="left" w:pos="3306"/>
              </w:tabs>
              <w:rPr>
                <w:rFonts w:cs="Calibri"/>
              </w:rPr>
            </w:pPr>
            <w:r w:rsidRPr="00E95E3B">
              <w:rPr>
                <w:rFonts w:cs="Calibri"/>
              </w:rPr>
              <w:t>Infrastructure Works in Progress</w:t>
            </w:r>
            <w:r w:rsidR="001E788B" w:rsidRPr="00E95E3B">
              <w:rPr>
                <w:rFonts w:cs="Calibri"/>
                <w:vertAlign w:val="superscript"/>
              </w:rPr>
              <w:t>a</w:t>
            </w:r>
          </w:p>
        </w:tc>
        <w:tc>
          <w:tcPr>
            <w:tcW w:w="1494" w:type="dxa"/>
            <w:gridSpan w:val="2"/>
            <w:tcBorders>
              <w:top w:val="nil"/>
              <w:left w:val="nil"/>
              <w:bottom w:val="nil"/>
              <w:right w:val="nil"/>
            </w:tcBorders>
            <w:vAlign w:val="bottom"/>
          </w:tcPr>
          <w:p w14:paraId="505EEFEF" w14:textId="34AAB24C" w:rsidR="00A67B77" w:rsidRPr="00E95E3B" w:rsidRDefault="00A67B77" w:rsidP="00AB11CD">
            <w:pPr>
              <w:pStyle w:val="TableTitle"/>
              <w:tabs>
                <w:tab w:val="left" w:pos="3306"/>
              </w:tabs>
              <w:rPr>
                <w:rFonts w:cs="Calibri"/>
              </w:rPr>
            </w:pPr>
            <w:r w:rsidRPr="00E95E3B">
              <w:rPr>
                <w:rFonts w:cs="Calibri"/>
              </w:rPr>
              <w:t>Building Works in Progress</w:t>
            </w:r>
            <w:r w:rsidR="001E788B" w:rsidRPr="00E95E3B">
              <w:rPr>
                <w:rFonts w:cs="Calibri"/>
                <w:vertAlign w:val="superscript"/>
              </w:rPr>
              <w:t>b</w:t>
            </w:r>
          </w:p>
        </w:tc>
        <w:tc>
          <w:tcPr>
            <w:tcW w:w="1378" w:type="dxa"/>
            <w:tcBorders>
              <w:top w:val="nil"/>
              <w:left w:val="nil"/>
              <w:bottom w:val="nil"/>
              <w:right w:val="nil"/>
            </w:tcBorders>
            <w:vAlign w:val="center"/>
          </w:tcPr>
          <w:p w14:paraId="65278621" w14:textId="77777777" w:rsidR="00A67B77" w:rsidRPr="00E95E3B" w:rsidRDefault="00A67B77" w:rsidP="00827474">
            <w:pPr>
              <w:pStyle w:val="TableTitle"/>
              <w:tabs>
                <w:tab w:val="left" w:pos="3306"/>
              </w:tabs>
              <w:rPr>
                <w:rFonts w:cs="Calibri"/>
              </w:rPr>
            </w:pPr>
            <w:r w:rsidRPr="00E95E3B">
              <w:rPr>
                <w:rFonts w:cs="Calibri"/>
              </w:rPr>
              <w:t>Leasehold Improvement Works in Progress</w:t>
            </w:r>
          </w:p>
        </w:tc>
        <w:tc>
          <w:tcPr>
            <w:tcW w:w="1196" w:type="dxa"/>
            <w:gridSpan w:val="2"/>
            <w:tcBorders>
              <w:top w:val="nil"/>
              <w:left w:val="nil"/>
              <w:bottom w:val="nil"/>
              <w:right w:val="nil"/>
            </w:tcBorders>
            <w:vAlign w:val="bottom"/>
          </w:tcPr>
          <w:p w14:paraId="385185D1" w14:textId="77777777" w:rsidR="00A67B77" w:rsidRPr="00E95E3B" w:rsidRDefault="00A67B77" w:rsidP="00AB11CD">
            <w:pPr>
              <w:pStyle w:val="TableTitle"/>
              <w:tabs>
                <w:tab w:val="left" w:pos="3306"/>
              </w:tabs>
              <w:rPr>
                <w:rFonts w:cs="Calibri"/>
              </w:rPr>
            </w:pPr>
            <w:r w:rsidRPr="00E95E3B">
              <w:rPr>
                <w:rFonts w:cs="Calibri"/>
              </w:rPr>
              <w:t>Software Works in Progress</w:t>
            </w:r>
          </w:p>
        </w:tc>
        <w:tc>
          <w:tcPr>
            <w:tcW w:w="1213" w:type="dxa"/>
            <w:tcBorders>
              <w:top w:val="nil"/>
              <w:left w:val="nil"/>
              <w:bottom w:val="nil"/>
              <w:right w:val="nil"/>
            </w:tcBorders>
            <w:vAlign w:val="bottom"/>
          </w:tcPr>
          <w:p w14:paraId="2A8776FF" w14:textId="77777777" w:rsidR="00A67B77" w:rsidRPr="00E95E3B" w:rsidRDefault="00A67B77" w:rsidP="00AB11CD">
            <w:pPr>
              <w:pStyle w:val="TableTitle"/>
              <w:tabs>
                <w:tab w:val="left" w:pos="3306"/>
              </w:tabs>
              <w:rPr>
                <w:rFonts w:cs="Calibri"/>
              </w:rPr>
            </w:pPr>
            <w:r w:rsidRPr="00E95E3B">
              <w:rPr>
                <w:rFonts w:cs="Calibri"/>
              </w:rPr>
              <w:t>Total</w:t>
            </w:r>
          </w:p>
        </w:tc>
      </w:tr>
      <w:tr w:rsidR="00827474" w:rsidRPr="00CF7E1B" w14:paraId="553AEDC5" w14:textId="77777777" w:rsidTr="00AE2F99">
        <w:trPr>
          <w:cantSplit/>
          <w:trHeight w:val="23"/>
        </w:trPr>
        <w:tc>
          <w:tcPr>
            <w:tcW w:w="1558" w:type="dxa"/>
            <w:tcBorders>
              <w:top w:val="nil"/>
              <w:left w:val="single" w:sz="2" w:space="0" w:color="auto"/>
              <w:bottom w:val="nil"/>
              <w:right w:val="single" w:sz="2" w:space="0" w:color="auto"/>
            </w:tcBorders>
          </w:tcPr>
          <w:p w14:paraId="00605D30" w14:textId="77777777" w:rsidR="00A67B77" w:rsidRPr="00E95E3B" w:rsidRDefault="00A67B77" w:rsidP="00C5789C">
            <w:pPr>
              <w:pStyle w:val="TableReference"/>
              <w:tabs>
                <w:tab w:val="left" w:pos="3306"/>
              </w:tabs>
              <w:spacing w:before="60"/>
              <w:rPr>
                <w:rFonts w:cs="Calibri"/>
                <w:color w:val="7030A0"/>
                <w:sz w:val="14"/>
              </w:rPr>
            </w:pPr>
          </w:p>
        </w:tc>
        <w:tc>
          <w:tcPr>
            <w:tcW w:w="6944" w:type="dxa"/>
            <w:tcBorders>
              <w:top w:val="nil"/>
              <w:left w:val="single" w:sz="2" w:space="0" w:color="auto"/>
              <w:bottom w:val="nil"/>
              <w:right w:val="nil"/>
            </w:tcBorders>
            <w:vAlign w:val="bottom"/>
          </w:tcPr>
          <w:p w14:paraId="0BE3ABD2" w14:textId="77777777" w:rsidR="00A67B77" w:rsidRPr="00E95E3B" w:rsidRDefault="00A67B77" w:rsidP="00C5789C">
            <w:pPr>
              <w:pStyle w:val="TableText"/>
              <w:tabs>
                <w:tab w:val="left" w:pos="3306"/>
              </w:tabs>
              <w:rPr>
                <w:rFonts w:cs="Calibri"/>
              </w:rPr>
            </w:pPr>
          </w:p>
        </w:tc>
        <w:tc>
          <w:tcPr>
            <w:tcW w:w="1666" w:type="dxa"/>
            <w:gridSpan w:val="2"/>
            <w:tcBorders>
              <w:top w:val="nil"/>
              <w:left w:val="nil"/>
              <w:bottom w:val="nil"/>
              <w:right w:val="nil"/>
            </w:tcBorders>
            <w:vAlign w:val="center"/>
          </w:tcPr>
          <w:p w14:paraId="38433F4E"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494" w:type="dxa"/>
            <w:gridSpan w:val="2"/>
            <w:tcBorders>
              <w:top w:val="nil"/>
              <w:left w:val="nil"/>
              <w:bottom w:val="nil"/>
              <w:right w:val="nil"/>
            </w:tcBorders>
            <w:vAlign w:val="center"/>
          </w:tcPr>
          <w:p w14:paraId="06E0550B"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378" w:type="dxa"/>
            <w:tcBorders>
              <w:top w:val="nil"/>
              <w:left w:val="nil"/>
              <w:bottom w:val="nil"/>
              <w:right w:val="nil"/>
            </w:tcBorders>
            <w:vAlign w:val="center"/>
          </w:tcPr>
          <w:p w14:paraId="672B36A6"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196" w:type="dxa"/>
            <w:gridSpan w:val="2"/>
            <w:tcBorders>
              <w:top w:val="nil"/>
              <w:left w:val="nil"/>
              <w:bottom w:val="nil"/>
              <w:right w:val="nil"/>
            </w:tcBorders>
            <w:vAlign w:val="center"/>
          </w:tcPr>
          <w:p w14:paraId="7FDC6C39"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213" w:type="dxa"/>
            <w:tcBorders>
              <w:top w:val="nil"/>
              <w:left w:val="nil"/>
              <w:bottom w:val="nil"/>
              <w:right w:val="nil"/>
            </w:tcBorders>
            <w:vAlign w:val="center"/>
          </w:tcPr>
          <w:p w14:paraId="4630B274" w14:textId="77777777" w:rsidR="00A67B77" w:rsidRPr="00E95E3B" w:rsidRDefault="00A67B77" w:rsidP="00D55D0B">
            <w:pPr>
              <w:pStyle w:val="TableText"/>
              <w:tabs>
                <w:tab w:val="left" w:pos="3306"/>
              </w:tabs>
              <w:jc w:val="right"/>
              <w:rPr>
                <w:rFonts w:cs="Calibri"/>
                <w:b/>
              </w:rPr>
            </w:pPr>
            <w:r w:rsidRPr="00E95E3B">
              <w:rPr>
                <w:rFonts w:cs="Calibri"/>
                <w:b/>
              </w:rPr>
              <w:t>$’000</w:t>
            </w:r>
          </w:p>
        </w:tc>
      </w:tr>
      <w:tr w:rsidR="002B4987" w:rsidRPr="00CF7E1B" w14:paraId="2F2C7DA0" w14:textId="77777777" w:rsidTr="00AE2F99">
        <w:trPr>
          <w:cantSplit/>
          <w:trHeight w:val="23"/>
        </w:trPr>
        <w:tc>
          <w:tcPr>
            <w:tcW w:w="1558" w:type="dxa"/>
            <w:tcBorders>
              <w:top w:val="nil"/>
              <w:left w:val="single" w:sz="2" w:space="0" w:color="auto"/>
              <w:bottom w:val="nil"/>
              <w:right w:val="single" w:sz="2" w:space="0" w:color="auto"/>
            </w:tcBorders>
          </w:tcPr>
          <w:p w14:paraId="686DB1D9" w14:textId="77777777" w:rsidR="002B4987" w:rsidRPr="00E95E3B" w:rsidRDefault="002B4987" w:rsidP="00C5789C">
            <w:pPr>
              <w:pStyle w:val="TableReference"/>
              <w:tabs>
                <w:tab w:val="left" w:pos="3306"/>
              </w:tabs>
              <w:spacing w:before="60"/>
              <w:rPr>
                <w:rFonts w:cs="Calibri"/>
                <w:color w:val="7030A0"/>
                <w:sz w:val="14"/>
              </w:rPr>
            </w:pPr>
          </w:p>
        </w:tc>
        <w:tc>
          <w:tcPr>
            <w:tcW w:w="6944" w:type="dxa"/>
            <w:tcBorders>
              <w:top w:val="nil"/>
              <w:left w:val="single" w:sz="2" w:space="0" w:color="auto"/>
              <w:bottom w:val="nil"/>
              <w:right w:val="nil"/>
            </w:tcBorders>
            <w:vAlign w:val="bottom"/>
          </w:tcPr>
          <w:p w14:paraId="534CC3B9" w14:textId="3CC7046F" w:rsidR="002B4987" w:rsidRPr="00E95E3B" w:rsidRDefault="002B4987" w:rsidP="00C5789C">
            <w:pPr>
              <w:pStyle w:val="TableText"/>
              <w:tabs>
                <w:tab w:val="left" w:pos="3306"/>
              </w:tabs>
              <w:rPr>
                <w:rFonts w:cs="Calibri"/>
              </w:rPr>
            </w:pPr>
            <w:bookmarkStart w:id="676" w:name="_Toc194918655"/>
            <w:r w:rsidRPr="00E95E3B">
              <w:rPr>
                <w:b/>
              </w:rPr>
              <w:t>Reconciliation of Capital Works in Progress</w:t>
            </w:r>
            <w:bookmarkEnd w:id="676"/>
            <w:r w:rsidRPr="00E95E3B">
              <w:rPr>
                <w:b/>
              </w:rPr>
              <w:t xml:space="preserve"> 202</w:t>
            </w:r>
            <w:r w:rsidR="00A534C3">
              <w:rPr>
                <w:b/>
              </w:rPr>
              <w:t>2</w:t>
            </w:r>
            <w:r w:rsidRPr="00E95E3B">
              <w:rPr>
                <w:b/>
              </w:rPr>
              <w:t>-2</w:t>
            </w:r>
            <w:r w:rsidR="00A534C3">
              <w:rPr>
                <w:b/>
              </w:rPr>
              <w:t>3</w:t>
            </w:r>
          </w:p>
        </w:tc>
        <w:tc>
          <w:tcPr>
            <w:tcW w:w="1666" w:type="dxa"/>
            <w:gridSpan w:val="2"/>
            <w:tcBorders>
              <w:top w:val="nil"/>
              <w:left w:val="nil"/>
              <w:bottom w:val="nil"/>
              <w:right w:val="nil"/>
            </w:tcBorders>
            <w:vAlign w:val="center"/>
          </w:tcPr>
          <w:p w14:paraId="42FD6DA5" w14:textId="77777777" w:rsidR="002B4987" w:rsidRPr="00E95E3B" w:rsidRDefault="002B4987" w:rsidP="00D55D0B">
            <w:pPr>
              <w:pStyle w:val="TableText"/>
              <w:tabs>
                <w:tab w:val="left" w:pos="3306"/>
              </w:tabs>
              <w:jc w:val="right"/>
              <w:rPr>
                <w:rFonts w:cs="Calibri"/>
                <w:b/>
              </w:rPr>
            </w:pPr>
          </w:p>
        </w:tc>
        <w:tc>
          <w:tcPr>
            <w:tcW w:w="1494" w:type="dxa"/>
            <w:gridSpan w:val="2"/>
            <w:tcBorders>
              <w:top w:val="nil"/>
              <w:left w:val="nil"/>
              <w:bottom w:val="nil"/>
              <w:right w:val="nil"/>
            </w:tcBorders>
            <w:vAlign w:val="center"/>
          </w:tcPr>
          <w:p w14:paraId="0F6419D4" w14:textId="77777777" w:rsidR="002B4987" w:rsidRPr="00E95E3B" w:rsidRDefault="002B4987" w:rsidP="00D55D0B">
            <w:pPr>
              <w:pStyle w:val="TableText"/>
              <w:tabs>
                <w:tab w:val="left" w:pos="3306"/>
              </w:tabs>
              <w:jc w:val="right"/>
              <w:rPr>
                <w:rFonts w:cs="Calibri"/>
                <w:b/>
              </w:rPr>
            </w:pPr>
          </w:p>
        </w:tc>
        <w:tc>
          <w:tcPr>
            <w:tcW w:w="1378" w:type="dxa"/>
            <w:tcBorders>
              <w:top w:val="nil"/>
              <w:left w:val="nil"/>
              <w:bottom w:val="nil"/>
              <w:right w:val="nil"/>
            </w:tcBorders>
            <w:vAlign w:val="center"/>
          </w:tcPr>
          <w:p w14:paraId="0E3F870D" w14:textId="77777777" w:rsidR="002B4987" w:rsidRPr="00E95E3B" w:rsidRDefault="002B4987" w:rsidP="00D55D0B">
            <w:pPr>
              <w:pStyle w:val="TableText"/>
              <w:tabs>
                <w:tab w:val="left" w:pos="3306"/>
              </w:tabs>
              <w:jc w:val="right"/>
              <w:rPr>
                <w:rFonts w:cs="Calibri"/>
                <w:b/>
              </w:rPr>
            </w:pPr>
          </w:p>
        </w:tc>
        <w:tc>
          <w:tcPr>
            <w:tcW w:w="1196" w:type="dxa"/>
            <w:gridSpan w:val="2"/>
            <w:tcBorders>
              <w:top w:val="nil"/>
              <w:left w:val="nil"/>
              <w:bottom w:val="nil"/>
              <w:right w:val="nil"/>
            </w:tcBorders>
            <w:vAlign w:val="center"/>
          </w:tcPr>
          <w:p w14:paraId="362CB791" w14:textId="77777777" w:rsidR="002B4987" w:rsidRPr="00E95E3B" w:rsidRDefault="002B4987" w:rsidP="00D55D0B">
            <w:pPr>
              <w:pStyle w:val="TableText"/>
              <w:tabs>
                <w:tab w:val="left" w:pos="3306"/>
              </w:tabs>
              <w:jc w:val="right"/>
              <w:rPr>
                <w:rFonts w:cs="Calibri"/>
                <w:b/>
              </w:rPr>
            </w:pPr>
          </w:p>
        </w:tc>
        <w:tc>
          <w:tcPr>
            <w:tcW w:w="1213" w:type="dxa"/>
            <w:tcBorders>
              <w:top w:val="nil"/>
              <w:left w:val="nil"/>
              <w:bottom w:val="nil"/>
              <w:right w:val="nil"/>
            </w:tcBorders>
            <w:vAlign w:val="center"/>
          </w:tcPr>
          <w:p w14:paraId="6C8B1834" w14:textId="77777777" w:rsidR="002B4987" w:rsidRPr="00E95E3B" w:rsidRDefault="002B4987" w:rsidP="00D55D0B">
            <w:pPr>
              <w:pStyle w:val="TableText"/>
              <w:tabs>
                <w:tab w:val="left" w:pos="3306"/>
              </w:tabs>
              <w:jc w:val="right"/>
              <w:rPr>
                <w:rFonts w:cs="Calibri"/>
                <w:b/>
              </w:rPr>
            </w:pPr>
          </w:p>
        </w:tc>
      </w:tr>
      <w:tr w:rsidR="00827474" w:rsidRPr="00CF7E1B" w14:paraId="05082392" w14:textId="77777777" w:rsidTr="00AE2F99">
        <w:trPr>
          <w:cantSplit/>
          <w:trHeight w:val="23"/>
        </w:trPr>
        <w:tc>
          <w:tcPr>
            <w:tcW w:w="1558" w:type="dxa"/>
            <w:tcBorders>
              <w:top w:val="nil"/>
              <w:left w:val="single" w:sz="2" w:space="0" w:color="auto"/>
              <w:bottom w:val="nil"/>
              <w:right w:val="single" w:sz="2" w:space="0" w:color="auto"/>
            </w:tcBorders>
          </w:tcPr>
          <w:p w14:paraId="50C09268" w14:textId="77777777" w:rsidR="00C5789C"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p>
          <w:p w14:paraId="06BD7295" w14:textId="77777777" w:rsidR="00A67B77" w:rsidRPr="00E95E3B" w:rsidRDefault="00C5789C" w:rsidP="00C5789C">
            <w:pPr>
              <w:pStyle w:val="TableReference"/>
              <w:tabs>
                <w:tab w:val="left" w:pos="3306"/>
              </w:tabs>
              <w:spacing w:before="6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p>
        </w:tc>
        <w:tc>
          <w:tcPr>
            <w:tcW w:w="6944" w:type="dxa"/>
            <w:tcBorders>
              <w:top w:val="nil"/>
              <w:left w:val="single" w:sz="2" w:space="0" w:color="auto"/>
              <w:bottom w:val="nil"/>
              <w:right w:val="nil"/>
            </w:tcBorders>
            <w:vAlign w:val="bottom"/>
          </w:tcPr>
          <w:p w14:paraId="2CE16697" w14:textId="5457C109" w:rsidR="00A67B77" w:rsidRPr="00E95E3B" w:rsidRDefault="00A67B77" w:rsidP="00D64D1D">
            <w:pPr>
              <w:pStyle w:val="TableText"/>
              <w:tabs>
                <w:tab w:val="left" w:pos="3306"/>
              </w:tabs>
              <w:rPr>
                <w:rFonts w:cs="Calibri"/>
                <w:b/>
              </w:rPr>
            </w:pPr>
            <w:r w:rsidRPr="00E95E3B">
              <w:rPr>
                <w:rFonts w:cs="Calibri"/>
                <w:b/>
              </w:rPr>
              <w:t>Carrying Amount</w:t>
            </w:r>
            <w:r w:rsidR="002B4987" w:rsidRPr="00E95E3B">
              <w:rPr>
                <w:rFonts w:cs="Calibri"/>
                <w:b/>
              </w:rPr>
              <w:t xml:space="preserve"> at the </w:t>
            </w:r>
            <w:r w:rsidRPr="00E95E3B">
              <w:rPr>
                <w:rFonts w:cs="Calibri"/>
                <w:b/>
              </w:rPr>
              <w:t xml:space="preserve">Beginning of </w:t>
            </w:r>
            <w:r w:rsidR="002B4987" w:rsidRPr="00E95E3B">
              <w:rPr>
                <w:rFonts w:cs="Calibri"/>
                <w:b/>
              </w:rPr>
              <w:t xml:space="preserve">the </w:t>
            </w:r>
            <w:r w:rsidRPr="00E95E3B">
              <w:rPr>
                <w:rFonts w:cs="Calibri"/>
                <w:b/>
              </w:rPr>
              <w:t>Reporting Period</w:t>
            </w:r>
          </w:p>
        </w:tc>
        <w:tc>
          <w:tcPr>
            <w:tcW w:w="1666" w:type="dxa"/>
            <w:gridSpan w:val="2"/>
            <w:tcBorders>
              <w:top w:val="nil"/>
              <w:left w:val="nil"/>
              <w:bottom w:val="nil"/>
              <w:right w:val="nil"/>
            </w:tcBorders>
            <w:vAlign w:val="bottom"/>
          </w:tcPr>
          <w:p w14:paraId="5E298BFD" w14:textId="4CAEEA71"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7AEC60A4" w14:textId="30F1F0C8"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59447DD2" w14:textId="67227BBD"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339BC013" w14:textId="56005DFC"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79246A1F" w14:textId="66333836" w:rsidR="00A67B77" w:rsidRPr="00E95E3B" w:rsidRDefault="00A67B77" w:rsidP="00C5789C">
            <w:pPr>
              <w:pStyle w:val="TableText"/>
              <w:tabs>
                <w:tab w:val="left" w:pos="3306"/>
              </w:tabs>
              <w:jc w:val="right"/>
              <w:rPr>
                <w:rFonts w:cs="Calibri"/>
              </w:rPr>
            </w:pPr>
          </w:p>
        </w:tc>
      </w:tr>
      <w:tr w:rsidR="00827474" w:rsidRPr="00CF7E1B" w14:paraId="7CB1E820" w14:textId="77777777" w:rsidTr="00AE2F99">
        <w:trPr>
          <w:cantSplit/>
          <w:trHeight w:val="23"/>
        </w:trPr>
        <w:tc>
          <w:tcPr>
            <w:tcW w:w="1558" w:type="dxa"/>
            <w:tcBorders>
              <w:top w:val="nil"/>
              <w:left w:val="single" w:sz="2" w:space="0" w:color="auto"/>
              <w:bottom w:val="nil"/>
              <w:right w:val="single" w:sz="2" w:space="0" w:color="auto"/>
            </w:tcBorders>
          </w:tcPr>
          <w:p w14:paraId="244958B4" w14:textId="77777777" w:rsidR="00C5789C"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w:t>
            </w:r>
          </w:p>
          <w:p w14:paraId="2CDCC1DD" w14:textId="77777777" w:rsidR="00A67B77"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w:t>
            </w:r>
          </w:p>
        </w:tc>
        <w:tc>
          <w:tcPr>
            <w:tcW w:w="6944" w:type="dxa"/>
            <w:tcBorders>
              <w:top w:val="nil"/>
              <w:left w:val="single" w:sz="2" w:space="0" w:color="auto"/>
              <w:bottom w:val="nil"/>
              <w:right w:val="nil"/>
            </w:tcBorders>
            <w:vAlign w:val="center"/>
          </w:tcPr>
          <w:p w14:paraId="2C061846" w14:textId="77777777" w:rsidR="00A67B77" w:rsidRPr="00E95E3B" w:rsidRDefault="00A67B77" w:rsidP="002B4987">
            <w:pPr>
              <w:pStyle w:val="TableText"/>
              <w:tabs>
                <w:tab w:val="left" w:pos="3306"/>
              </w:tabs>
              <w:rPr>
                <w:rFonts w:cs="Calibri"/>
              </w:rPr>
            </w:pPr>
            <w:r w:rsidRPr="00E95E3B">
              <w:rPr>
                <w:rFonts w:cs="Calibri"/>
              </w:rPr>
              <w:t>Additions</w:t>
            </w:r>
          </w:p>
        </w:tc>
        <w:tc>
          <w:tcPr>
            <w:tcW w:w="1666" w:type="dxa"/>
            <w:gridSpan w:val="2"/>
            <w:tcBorders>
              <w:top w:val="nil"/>
              <w:left w:val="nil"/>
              <w:bottom w:val="nil"/>
              <w:right w:val="nil"/>
            </w:tcBorders>
            <w:vAlign w:val="bottom"/>
          </w:tcPr>
          <w:p w14:paraId="00DDF8DF" w14:textId="0A4EA3C4"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5EA12268" w14:textId="4CE863EF"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66B1CDBE" w14:textId="6F87EEFD"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4E2ECEC9" w14:textId="518B7EAF"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74BFC9E9" w14:textId="6D64DD52" w:rsidR="00A67B77" w:rsidRPr="00E95E3B" w:rsidRDefault="00A67B77" w:rsidP="00C5789C">
            <w:pPr>
              <w:pStyle w:val="TableText"/>
              <w:tabs>
                <w:tab w:val="left" w:pos="3306"/>
              </w:tabs>
              <w:jc w:val="right"/>
              <w:rPr>
                <w:rFonts w:cs="Calibri"/>
              </w:rPr>
            </w:pPr>
          </w:p>
        </w:tc>
      </w:tr>
      <w:tr w:rsidR="00827474" w:rsidRPr="00CF7E1B" w14:paraId="60BB8D7B" w14:textId="77777777" w:rsidTr="00AE2F99">
        <w:trPr>
          <w:cantSplit/>
          <w:trHeight w:val="23"/>
        </w:trPr>
        <w:tc>
          <w:tcPr>
            <w:tcW w:w="1558" w:type="dxa"/>
            <w:tcBorders>
              <w:top w:val="nil"/>
              <w:left w:val="single" w:sz="2" w:space="0" w:color="auto"/>
              <w:bottom w:val="nil"/>
              <w:right w:val="single" w:sz="2" w:space="0" w:color="auto"/>
            </w:tcBorders>
          </w:tcPr>
          <w:p w14:paraId="502316D3" w14:textId="77777777" w:rsidR="00A67B77"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ix)</w:t>
            </w:r>
          </w:p>
        </w:tc>
        <w:tc>
          <w:tcPr>
            <w:tcW w:w="6944" w:type="dxa"/>
            <w:tcBorders>
              <w:top w:val="nil"/>
              <w:left w:val="single" w:sz="2" w:space="0" w:color="auto"/>
              <w:bottom w:val="nil"/>
              <w:right w:val="nil"/>
            </w:tcBorders>
            <w:vAlign w:val="bottom"/>
          </w:tcPr>
          <w:p w14:paraId="6D2F7896" w14:textId="77777777" w:rsidR="00A67B77" w:rsidRPr="00E95E3B" w:rsidRDefault="00A67B77" w:rsidP="00C5789C">
            <w:pPr>
              <w:pStyle w:val="TableText"/>
              <w:tabs>
                <w:tab w:val="left" w:pos="3306"/>
              </w:tabs>
              <w:rPr>
                <w:rFonts w:cs="Calibri"/>
              </w:rPr>
            </w:pPr>
            <w:r w:rsidRPr="00E95E3B">
              <w:rPr>
                <w:rFonts w:cs="Calibri"/>
              </w:rPr>
              <w:t>Capital Works in Progre</w:t>
            </w:r>
            <w:r w:rsidR="00266DC5" w:rsidRPr="00E95E3B">
              <w:rPr>
                <w:rFonts w:cs="Calibri"/>
              </w:rPr>
              <w:t>ss Completed and Transferred</w:t>
            </w:r>
            <w:r w:rsidRPr="00E95E3B">
              <w:rPr>
                <w:rFonts w:cs="Calibri"/>
              </w:rPr>
              <w:t xml:space="preserve"> to Property, Plant and Equipment</w:t>
            </w:r>
          </w:p>
        </w:tc>
        <w:tc>
          <w:tcPr>
            <w:tcW w:w="1666" w:type="dxa"/>
            <w:gridSpan w:val="2"/>
            <w:tcBorders>
              <w:top w:val="nil"/>
              <w:left w:val="nil"/>
              <w:bottom w:val="nil"/>
              <w:right w:val="nil"/>
            </w:tcBorders>
            <w:vAlign w:val="bottom"/>
          </w:tcPr>
          <w:p w14:paraId="51320DD3" w14:textId="1D9BC8C5"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084930E5" w14:textId="61693ED1"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7AE5817A" w14:textId="0B79F99A"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51A51FAD" w14:textId="7A759249"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46BD2184" w14:textId="05ED44D0" w:rsidR="00A67B77" w:rsidRPr="00E95E3B" w:rsidRDefault="00A67B77" w:rsidP="00C5789C">
            <w:pPr>
              <w:pStyle w:val="TableText"/>
              <w:tabs>
                <w:tab w:val="left" w:pos="3306"/>
              </w:tabs>
              <w:jc w:val="right"/>
              <w:rPr>
                <w:rFonts w:cs="Calibri"/>
              </w:rPr>
            </w:pPr>
          </w:p>
        </w:tc>
      </w:tr>
      <w:tr w:rsidR="00827474" w:rsidRPr="00CF7E1B" w14:paraId="5FC48ECB" w14:textId="77777777" w:rsidTr="00AE2F99">
        <w:trPr>
          <w:cantSplit/>
          <w:trHeight w:val="252"/>
        </w:trPr>
        <w:tc>
          <w:tcPr>
            <w:tcW w:w="1558" w:type="dxa"/>
            <w:tcBorders>
              <w:top w:val="nil"/>
              <w:left w:val="single" w:sz="2" w:space="0" w:color="auto"/>
              <w:bottom w:val="nil"/>
              <w:right w:val="single" w:sz="2" w:space="0" w:color="auto"/>
            </w:tcBorders>
          </w:tcPr>
          <w:p w14:paraId="162FA14C" w14:textId="77777777" w:rsidR="00A67B77" w:rsidRPr="00E95E3B" w:rsidRDefault="00C5789C" w:rsidP="002B4987">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viii)</w:t>
            </w:r>
          </w:p>
        </w:tc>
        <w:tc>
          <w:tcPr>
            <w:tcW w:w="6944" w:type="dxa"/>
            <w:tcBorders>
              <w:top w:val="nil"/>
              <w:left w:val="single" w:sz="2" w:space="0" w:color="auto"/>
              <w:bottom w:val="nil"/>
              <w:right w:val="nil"/>
            </w:tcBorders>
          </w:tcPr>
          <w:p w14:paraId="3C4B8C85" w14:textId="77777777" w:rsidR="00A67B77" w:rsidRPr="00E95E3B" w:rsidRDefault="00A67B77" w:rsidP="002B4987">
            <w:pPr>
              <w:pStyle w:val="TableText"/>
              <w:tabs>
                <w:tab w:val="left" w:pos="3306"/>
              </w:tabs>
              <w:rPr>
                <w:rFonts w:cs="Calibri"/>
              </w:rPr>
            </w:pPr>
            <w:r w:rsidRPr="00E95E3B">
              <w:rPr>
                <w:rFonts w:cs="Calibri"/>
              </w:rPr>
              <w:t>Capital Works in Progre</w:t>
            </w:r>
            <w:r w:rsidR="00266DC5" w:rsidRPr="00E95E3B">
              <w:rPr>
                <w:rFonts w:cs="Calibri"/>
              </w:rPr>
              <w:t>ss Completed and Transferred</w:t>
            </w:r>
            <w:r w:rsidRPr="00E95E3B">
              <w:rPr>
                <w:rFonts w:cs="Calibri"/>
              </w:rPr>
              <w:t xml:space="preserve"> to Intangible Assets</w:t>
            </w:r>
          </w:p>
        </w:tc>
        <w:tc>
          <w:tcPr>
            <w:tcW w:w="1666" w:type="dxa"/>
            <w:gridSpan w:val="2"/>
            <w:tcBorders>
              <w:top w:val="nil"/>
              <w:left w:val="nil"/>
              <w:bottom w:val="single" w:sz="2" w:space="0" w:color="auto"/>
              <w:right w:val="nil"/>
            </w:tcBorders>
          </w:tcPr>
          <w:p w14:paraId="395A8EBA" w14:textId="06E5B3BD" w:rsidR="00A67B77" w:rsidRPr="00E95E3B" w:rsidRDefault="00A67B77" w:rsidP="002B4987">
            <w:pPr>
              <w:pStyle w:val="TableText"/>
              <w:tabs>
                <w:tab w:val="left" w:pos="3306"/>
              </w:tabs>
              <w:rPr>
                <w:rFonts w:cs="Calibri"/>
              </w:rPr>
            </w:pPr>
          </w:p>
        </w:tc>
        <w:tc>
          <w:tcPr>
            <w:tcW w:w="1494" w:type="dxa"/>
            <w:gridSpan w:val="2"/>
            <w:tcBorders>
              <w:top w:val="nil"/>
              <w:left w:val="nil"/>
              <w:bottom w:val="single" w:sz="2" w:space="0" w:color="auto"/>
              <w:right w:val="nil"/>
            </w:tcBorders>
          </w:tcPr>
          <w:p w14:paraId="62224930" w14:textId="5E5891FE" w:rsidR="00A67B77" w:rsidRPr="00E95E3B" w:rsidRDefault="00A67B77" w:rsidP="002B4987">
            <w:pPr>
              <w:pStyle w:val="TableText"/>
              <w:tabs>
                <w:tab w:val="left" w:pos="3306"/>
              </w:tabs>
              <w:rPr>
                <w:rFonts w:cs="Calibri"/>
              </w:rPr>
            </w:pPr>
          </w:p>
        </w:tc>
        <w:tc>
          <w:tcPr>
            <w:tcW w:w="1378" w:type="dxa"/>
            <w:tcBorders>
              <w:top w:val="nil"/>
              <w:left w:val="nil"/>
              <w:bottom w:val="single" w:sz="2" w:space="0" w:color="auto"/>
              <w:right w:val="nil"/>
            </w:tcBorders>
          </w:tcPr>
          <w:p w14:paraId="585EAB8D" w14:textId="362902AE" w:rsidR="00A67B77" w:rsidRPr="00E95E3B" w:rsidRDefault="00A67B77" w:rsidP="002B4987">
            <w:pPr>
              <w:pStyle w:val="TableText"/>
              <w:tabs>
                <w:tab w:val="left" w:pos="3306"/>
              </w:tabs>
              <w:rPr>
                <w:rFonts w:cs="Calibri"/>
              </w:rPr>
            </w:pPr>
          </w:p>
        </w:tc>
        <w:tc>
          <w:tcPr>
            <w:tcW w:w="1196" w:type="dxa"/>
            <w:gridSpan w:val="2"/>
            <w:tcBorders>
              <w:top w:val="nil"/>
              <w:left w:val="nil"/>
              <w:bottom w:val="single" w:sz="2" w:space="0" w:color="auto"/>
              <w:right w:val="nil"/>
            </w:tcBorders>
          </w:tcPr>
          <w:p w14:paraId="42E81664" w14:textId="3AFDD033" w:rsidR="00A67B77" w:rsidRPr="00E95E3B" w:rsidRDefault="00A67B77" w:rsidP="002B4987">
            <w:pPr>
              <w:pStyle w:val="TableText"/>
              <w:tabs>
                <w:tab w:val="left" w:pos="3306"/>
              </w:tabs>
              <w:rPr>
                <w:rFonts w:cs="Calibri"/>
              </w:rPr>
            </w:pPr>
          </w:p>
        </w:tc>
        <w:tc>
          <w:tcPr>
            <w:tcW w:w="1213" w:type="dxa"/>
            <w:tcBorders>
              <w:top w:val="nil"/>
              <w:left w:val="nil"/>
              <w:bottom w:val="single" w:sz="2" w:space="0" w:color="auto"/>
              <w:right w:val="nil"/>
            </w:tcBorders>
          </w:tcPr>
          <w:p w14:paraId="5CAFCFD2" w14:textId="7C71F62B" w:rsidR="00A67B77" w:rsidRPr="00E95E3B" w:rsidRDefault="00A67B77" w:rsidP="002B4987">
            <w:pPr>
              <w:pStyle w:val="TableText"/>
              <w:tabs>
                <w:tab w:val="left" w:pos="3306"/>
              </w:tabs>
              <w:rPr>
                <w:rFonts w:cs="Calibri"/>
              </w:rPr>
            </w:pPr>
          </w:p>
        </w:tc>
      </w:tr>
      <w:tr w:rsidR="00827474" w:rsidRPr="00CF7E1B" w14:paraId="1C0BF71F" w14:textId="77777777" w:rsidTr="00AE2F99">
        <w:trPr>
          <w:cantSplit/>
          <w:trHeight w:val="23"/>
        </w:trPr>
        <w:tc>
          <w:tcPr>
            <w:tcW w:w="1558" w:type="dxa"/>
            <w:tcBorders>
              <w:top w:val="nil"/>
              <w:left w:val="single" w:sz="2" w:space="0" w:color="auto"/>
              <w:bottom w:val="nil"/>
              <w:right w:val="single" w:sz="2" w:space="0" w:color="auto"/>
            </w:tcBorders>
          </w:tcPr>
          <w:p w14:paraId="12A6E3FB" w14:textId="77777777" w:rsidR="00310BED" w:rsidRPr="00E95E3B" w:rsidRDefault="00310BED" w:rsidP="00310BED">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p>
          <w:p w14:paraId="2784CCAE" w14:textId="06D2D930" w:rsidR="00A67B77" w:rsidRPr="00E95E3B" w:rsidRDefault="00310BED" w:rsidP="00310BED">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FA7C77">
              <w:rPr>
                <w:rFonts w:cs="Calibri"/>
                <w:color w:val="7030A0"/>
                <w:sz w:val="14"/>
              </w:rPr>
              <w:t xml:space="preserve"> </w:t>
            </w:r>
            <w:r w:rsidR="001E788B" w:rsidRPr="00E95E3B">
              <w:rPr>
                <w:rFonts w:cs="Calibri"/>
                <w:color w:val="7030A0"/>
                <w:sz w:val="14"/>
              </w:rPr>
              <w:t xml:space="preserve"> AASB 116.74(b)</w:t>
            </w:r>
          </w:p>
        </w:tc>
        <w:tc>
          <w:tcPr>
            <w:tcW w:w="6944" w:type="dxa"/>
            <w:tcBorders>
              <w:top w:val="nil"/>
              <w:left w:val="single" w:sz="2" w:space="0" w:color="auto"/>
              <w:bottom w:val="nil"/>
              <w:right w:val="nil"/>
            </w:tcBorders>
          </w:tcPr>
          <w:p w14:paraId="2CAD0767" w14:textId="77777777" w:rsidR="00A67B77" w:rsidRPr="00E95E3B" w:rsidRDefault="00A67B77" w:rsidP="002B4987">
            <w:pPr>
              <w:pStyle w:val="TableText"/>
              <w:tabs>
                <w:tab w:val="left" w:pos="3306"/>
              </w:tabs>
              <w:rPr>
                <w:rFonts w:cs="Calibri"/>
                <w:b/>
                <w:bCs/>
              </w:rPr>
            </w:pPr>
            <w:r w:rsidRPr="00E95E3B">
              <w:rPr>
                <w:rFonts w:cs="Calibri"/>
                <w:b/>
                <w:bCs/>
              </w:rPr>
              <w:t>Carrying Amount</w:t>
            </w:r>
            <w:r w:rsidR="00D64D1D" w:rsidRPr="00E95E3B">
              <w:rPr>
                <w:rFonts w:cs="Calibri"/>
                <w:b/>
                <w:bCs/>
              </w:rPr>
              <w:t xml:space="preserve"> at the </w:t>
            </w:r>
            <w:r w:rsidRPr="00E95E3B">
              <w:rPr>
                <w:rFonts w:cs="Calibri"/>
                <w:b/>
                <w:bCs/>
              </w:rPr>
              <w:t xml:space="preserve">End of </w:t>
            </w:r>
            <w:r w:rsidR="00FD692D" w:rsidRPr="00E95E3B">
              <w:rPr>
                <w:rFonts w:cs="Calibri"/>
                <w:b/>
                <w:bCs/>
              </w:rPr>
              <w:t xml:space="preserve">the </w:t>
            </w:r>
            <w:r w:rsidRPr="00E95E3B">
              <w:rPr>
                <w:rFonts w:cs="Calibri"/>
                <w:b/>
                <w:bCs/>
              </w:rPr>
              <w:t>Reporting Period</w:t>
            </w:r>
          </w:p>
        </w:tc>
        <w:tc>
          <w:tcPr>
            <w:tcW w:w="1666" w:type="dxa"/>
            <w:gridSpan w:val="2"/>
            <w:tcBorders>
              <w:top w:val="single" w:sz="2" w:space="0" w:color="auto"/>
              <w:left w:val="nil"/>
              <w:bottom w:val="double" w:sz="4" w:space="0" w:color="auto"/>
              <w:right w:val="nil"/>
            </w:tcBorders>
            <w:vAlign w:val="bottom"/>
          </w:tcPr>
          <w:p w14:paraId="0501CC3E" w14:textId="762FFD1C" w:rsidR="00A67B77" w:rsidRPr="00E95E3B" w:rsidRDefault="00A67B77" w:rsidP="00C5789C">
            <w:pPr>
              <w:pStyle w:val="TableText"/>
              <w:tabs>
                <w:tab w:val="left" w:pos="3306"/>
              </w:tabs>
              <w:jc w:val="right"/>
              <w:rPr>
                <w:rFonts w:cs="Calibri"/>
                <w:b/>
                <w:bCs/>
              </w:rPr>
            </w:pPr>
          </w:p>
        </w:tc>
        <w:tc>
          <w:tcPr>
            <w:tcW w:w="1494" w:type="dxa"/>
            <w:gridSpan w:val="2"/>
            <w:tcBorders>
              <w:top w:val="single" w:sz="2" w:space="0" w:color="auto"/>
              <w:left w:val="nil"/>
              <w:bottom w:val="double" w:sz="4" w:space="0" w:color="auto"/>
              <w:right w:val="nil"/>
            </w:tcBorders>
            <w:vAlign w:val="bottom"/>
          </w:tcPr>
          <w:p w14:paraId="3105277D" w14:textId="2FB2B755" w:rsidR="00A67B77" w:rsidRPr="00E95E3B" w:rsidRDefault="00A67B77" w:rsidP="00C5789C">
            <w:pPr>
              <w:pStyle w:val="TableText"/>
              <w:tabs>
                <w:tab w:val="left" w:pos="3306"/>
              </w:tabs>
              <w:jc w:val="right"/>
              <w:rPr>
                <w:rFonts w:cs="Calibri"/>
                <w:b/>
                <w:bCs/>
              </w:rPr>
            </w:pPr>
          </w:p>
        </w:tc>
        <w:tc>
          <w:tcPr>
            <w:tcW w:w="1378" w:type="dxa"/>
            <w:tcBorders>
              <w:top w:val="single" w:sz="2" w:space="0" w:color="auto"/>
              <w:left w:val="nil"/>
              <w:bottom w:val="double" w:sz="4" w:space="0" w:color="auto"/>
              <w:right w:val="nil"/>
            </w:tcBorders>
            <w:vAlign w:val="bottom"/>
          </w:tcPr>
          <w:p w14:paraId="2DC8AC65" w14:textId="2B7E84A0" w:rsidR="00A67B77" w:rsidRPr="00E95E3B" w:rsidRDefault="00A67B77" w:rsidP="00C5789C">
            <w:pPr>
              <w:pStyle w:val="TableText"/>
              <w:tabs>
                <w:tab w:val="left" w:pos="3306"/>
              </w:tabs>
              <w:jc w:val="right"/>
              <w:rPr>
                <w:rFonts w:cs="Calibri"/>
                <w:b/>
                <w:bCs/>
              </w:rPr>
            </w:pPr>
          </w:p>
        </w:tc>
        <w:tc>
          <w:tcPr>
            <w:tcW w:w="1196" w:type="dxa"/>
            <w:gridSpan w:val="2"/>
            <w:tcBorders>
              <w:top w:val="single" w:sz="2" w:space="0" w:color="auto"/>
              <w:left w:val="nil"/>
              <w:bottom w:val="double" w:sz="4" w:space="0" w:color="auto"/>
              <w:right w:val="nil"/>
            </w:tcBorders>
            <w:vAlign w:val="bottom"/>
          </w:tcPr>
          <w:p w14:paraId="068A6B32" w14:textId="1D5D9DE1" w:rsidR="00A67B77" w:rsidRPr="00E95E3B" w:rsidRDefault="00A67B77" w:rsidP="00C5789C">
            <w:pPr>
              <w:pStyle w:val="TableText"/>
              <w:tabs>
                <w:tab w:val="left" w:pos="3306"/>
              </w:tabs>
              <w:jc w:val="right"/>
              <w:rPr>
                <w:rFonts w:cs="Calibri"/>
                <w:b/>
                <w:bCs/>
              </w:rPr>
            </w:pPr>
          </w:p>
        </w:tc>
        <w:tc>
          <w:tcPr>
            <w:tcW w:w="1213" w:type="dxa"/>
            <w:tcBorders>
              <w:top w:val="single" w:sz="2" w:space="0" w:color="auto"/>
              <w:left w:val="nil"/>
              <w:bottom w:val="double" w:sz="4" w:space="0" w:color="auto"/>
              <w:right w:val="nil"/>
            </w:tcBorders>
            <w:vAlign w:val="bottom"/>
          </w:tcPr>
          <w:p w14:paraId="073F221A" w14:textId="352D13CE" w:rsidR="00A67B77" w:rsidRPr="00E95E3B" w:rsidRDefault="00A67B77" w:rsidP="00C5789C">
            <w:pPr>
              <w:pStyle w:val="TableText"/>
              <w:tabs>
                <w:tab w:val="left" w:pos="3306"/>
              </w:tabs>
              <w:jc w:val="right"/>
              <w:rPr>
                <w:rFonts w:cs="Calibri"/>
                <w:b/>
                <w:bCs/>
              </w:rPr>
            </w:pPr>
          </w:p>
        </w:tc>
      </w:tr>
      <w:tr w:rsidR="001E788B" w:rsidRPr="00CF7E1B" w14:paraId="3966E591" w14:textId="77777777" w:rsidTr="00AE2F99">
        <w:trPr>
          <w:cantSplit/>
          <w:trHeight w:val="23"/>
        </w:trPr>
        <w:tc>
          <w:tcPr>
            <w:tcW w:w="1558" w:type="dxa"/>
            <w:tcBorders>
              <w:top w:val="nil"/>
              <w:left w:val="single" w:sz="2" w:space="0" w:color="auto"/>
              <w:bottom w:val="nil"/>
              <w:right w:val="single" w:sz="2" w:space="0" w:color="auto"/>
            </w:tcBorders>
            <w:vAlign w:val="bottom"/>
          </w:tcPr>
          <w:p w14:paraId="1214122B"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tcPr>
          <w:p w14:paraId="2709AE0D" w14:textId="2067F199" w:rsidR="001E788B" w:rsidRPr="00E95E3B" w:rsidRDefault="001E788B" w:rsidP="001E788B">
            <w:pPr>
              <w:spacing w:before="120" w:after="120"/>
              <w:rPr>
                <w:rFonts w:cs="Calibri"/>
                <w:b/>
                <w:bCs/>
                <w:caps/>
                <w:sz w:val="18"/>
                <w:szCs w:val="18"/>
              </w:rPr>
            </w:pPr>
            <w:r w:rsidRPr="00E95E3B">
              <w:rPr>
                <w:rFonts w:cs="Calibri"/>
                <w:sz w:val="18"/>
                <w:szCs w:val="18"/>
              </w:rPr>
              <w:t>a) The increase in Infrastructure Works in Progress of $</w:t>
            </w:r>
            <w:r w:rsidR="00436BDE">
              <w:rPr>
                <w:rFonts w:cs="Calibri"/>
                <w:sz w:val="18"/>
                <w:szCs w:val="18"/>
              </w:rPr>
              <w:t>xxx</w:t>
            </w:r>
            <w:r w:rsidRPr="00E95E3B">
              <w:rPr>
                <w:rFonts w:cs="Calibri"/>
                <w:sz w:val="18"/>
                <w:szCs w:val="18"/>
              </w:rPr>
              <w:t xml:space="preserve"> is due to a number of large projects commencing in 202</w:t>
            </w:r>
            <w:r w:rsidR="00A534C3">
              <w:rPr>
                <w:rFonts w:cs="Calibri"/>
                <w:sz w:val="18"/>
                <w:szCs w:val="18"/>
              </w:rPr>
              <w:t>2</w:t>
            </w:r>
            <w:r w:rsidRPr="00E95E3B">
              <w:rPr>
                <w:rFonts w:cs="Calibri"/>
                <w:sz w:val="18"/>
                <w:szCs w:val="18"/>
              </w:rPr>
              <w:t xml:space="preserve"> which were not completed at the end of the reporting period.</w:t>
            </w:r>
          </w:p>
        </w:tc>
      </w:tr>
      <w:tr w:rsidR="001E788B" w:rsidRPr="00CF7E1B" w14:paraId="69EC98BE" w14:textId="77777777" w:rsidTr="00AE2F99">
        <w:trPr>
          <w:cantSplit/>
          <w:trHeight w:val="23"/>
        </w:trPr>
        <w:tc>
          <w:tcPr>
            <w:tcW w:w="1558" w:type="dxa"/>
            <w:tcBorders>
              <w:top w:val="nil"/>
              <w:left w:val="single" w:sz="2" w:space="0" w:color="auto"/>
              <w:bottom w:val="nil"/>
              <w:right w:val="single" w:sz="2" w:space="0" w:color="auto"/>
            </w:tcBorders>
            <w:vAlign w:val="bottom"/>
          </w:tcPr>
          <w:p w14:paraId="3B845C9B"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tcPr>
          <w:p w14:paraId="5FE1865D" w14:textId="129CC398" w:rsidR="001E788B" w:rsidRPr="00E95E3B" w:rsidRDefault="001E788B" w:rsidP="001E788B">
            <w:pPr>
              <w:spacing w:after="120"/>
              <w:rPr>
                <w:rFonts w:cs="Calibri"/>
                <w:b/>
                <w:bCs/>
                <w:caps/>
                <w:sz w:val="18"/>
                <w:szCs w:val="18"/>
              </w:rPr>
            </w:pPr>
            <w:r w:rsidRPr="00E95E3B">
              <w:rPr>
                <w:rFonts w:cs="Calibri"/>
                <w:sz w:val="18"/>
                <w:szCs w:val="18"/>
              </w:rPr>
              <w:t>b) The decrease in Building Works in Progress of $</w:t>
            </w:r>
            <w:r w:rsidR="00436BDE">
              <w:rPr>
                <w:rFonts w:cs="Calibri"/>
                <w:sz w:val="18"/>
                <w:szCs w:val="18"/>
              </w:rPr>
              <w:t>xxx</w:t>
            </w:r>
            <w:r w:rsidRPr="00E95E3B">
              <w:rPr>
                <w:rFonts w:cs="Calibri"/>
                <w:sz w:val="18"/>
                <w:szCs w:val="18"/>
              </w:rPr>
              <w:t xml:space="preserve"> is due to the completion of two buildings located in Fyshwick and Canberra City being completed and transferred out of Capital Works in Progress into Property, Plant and Equipment.</w:t>
            </w:r>
          </w:p>
        </w:tc>
      </w:tr>
      <w:tr w:rsidR="001E788B" w:rsidRPr="00CF7E1B" w14:paraId="6A469B86" w14:textId="77777777" w:rsidTr="00AE2F99">
        <w:trPr>
          <w:cantSplit/>
          <w:trHeight w:val="23"/>
        </w:trPr>
        <w:tc>
          <w:tcPr>
            <w:tcW w:w="1558" w:type="dxa"/>
            <w:tcBorders>
              <w:top w:val="nil"/>
              <w:left w:val="single" w:sz="2" w:space="0" w:color="auto"/>
              <w:bottom w:val="nil"/>
              <w:right w:val="single" w:sz="2" w:space="0" w:color="auto"/>
            </w:tcBorders>
            <w:vAlign w:val="bottom"/>
          </w:tcPr>
          <w:p w14:paraId="72FE786A"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vAlign w:val="bottom"/>
          </w:tcPr>
          <w:p w14:paraId="275E5DF1" w14:textId="24C02431" w:rsidR="001E788B" w:rsidRPr="00E95E3B" w:rsidRDefault="001E788B" w:rsidP="001E788B">
            <w:pPr>
              <w:spacing w:before="240"/>
              <w:rPr>
                <w:rFonts w:cs="Calibri"/>
                <w:b/>
                <w:bCs/>
                <w:caps/>
                <w:sz w:val="18"/>
                <w:szCs w:val="18"/>
              </w:rPr>
            </w:pPr>
            <w:r w:rsidRPr="00E95E3B">
              <w:rPr>
                <w:b/>
                <w:sz w:val="18"/>
                <w:szCs w:val="18"/>
              </w:rPr>
              <w:t>Reconciliation of Capital Works in Progress 202</w:t>
            </w:r>
            <w:r w:rsidR="00A534C3">
              <w:rPr>
                <w:b/>
                <w:sz w:val="18"/>
                <w:szCs w:val="18"/>
              </w:rPr>
              <w:t>1</w:t>
            </w:r>
            <w:r w:rsidRPr="00E95E3B">
              <w:rPr>
                <w:b/>
                <w:sz w:val="18"/>
                <w:szCs w:val="18"/>
              </w:rPr>
              <w:t>-2</w:t>
            </w:r>
            <w:r w:rsidR="00A534C3">
              <w:rPr>
                <w:b/>
                <w:sz w:val="18"/>
                <w:szCs w:val="18"/>
              </w:rPr>
              <w:t>2</w:t>
            </w:r>
          </w:p>
        </w:tc>
      </w:tr>
      <w:tr w:rsidR="00BB62BB" w:rsidRPr="00CF7E1B" w14:paraId="0DB59415" w14:textId="77777777" w:rsidTr="00AE2F99">
        <w:trPr>
          <w:cantSplit/>
          <w:trHeight w:val="23"/>
        </w:trPr>
        <w:tc>
          <w:tcPr>
            <w:tcW w:w="1558" w:type="dxa"/>
            <w:tcBorders>
              <w:top w:val="nil"/>
              <w:left w:val="single" w:sz="2" w:space="0" w:color="auto"/>
              <w:bottom w:val="nil"/>
              <w:right w:val="single" w:sz="2" w:space="0" w:color="auto"/>
            </w:tcBorders>
          </w:tcPr>
          <w:p w14:paraId="3B81B209"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116.73(e)</w:t>
            </w:r>
          </w:p>
          <w:p w14:paraId="7997CC3F" w14:textId="77777777" w:rsidR="00BB62BB" w:rsidRPr="00E95E3B" w:rsidRDefault="00BB62BB" w:rsidP="001E788B">
            <w:pPr>
              <w:pStyle w:val="TableReference"/>
              <w:tabs>
                <w:tab w:val="left" w:pos="3306"/>
              </w:tabs>
              <w:spacing w:before="60"/>
              <w:rPr>
                <w:rFonts w:cs="Calibri"/>
                <w:color w:val="7030A0"/>
                <w:sz w:val="14"/>
              </w:rPr>
            </w:pPr>
            <w:r w:rsidRPr="00E95E3B">
              <w:rPr>
                <w:rFonts w:cs="Calibri"/>
                <w:color w:val="7030A0"/>
                <w:sz w:val="14"/>
              </w:rPr>
              <w:t>AASB 138.118(e)</w:t>
            </w:r>
          </w:p>
        </w:tc>
        <w:tc>
          <w:tcPr>
            <w:tcW w:w="13891" w:type="dxa"/>
            <w:gridSpan w:val="9"/>
            <w:tcBorders>
              <w:top w:val="nil"/>
              <w:left w:val="single" w:sz="2" w:space="0" w:color="auto"/>
              <w:bottom w:val="nil"/>
              <w:right w:val="nil"/>
            </w:tcBorders>
            <w:vAlign w:val="bottom"/>
          </w:tcPr>
          <w:p w14:paraId="783E6BAC" w14:textId="2AD771E1" w:rsidR="00BB62BB" w:rsidRPr="00E95E3B" w:rsidRDefault="00BB62BB" w:rsidP="00BB62BB">
            <w:pPr>
              <w:pStyle w:val="TableText"/>
              <w:tabs>
                <w:tab w:val="left" w:pos="3306"/>
              </w:tabs>
              <w:rPr>
                <w:rFonts w:cs="Calibri"/>
              </w:rPr>
            </w:pPr>
            <w:r w:rsidRPr="00E95E3B">
              <w:rPr>
                <w:rFonts w:cs="Calibri"/>
                <w:b/>
              </w:rPr>
              <w:t>Carrying Amount at the Beginning of the Reporting Period</w:t>
            </w:r>
          </w:p>
        </w:tc>
      </w:tr>
      <w:tr w:rsidR="001E788B" w:rsidRPr="00CF7E1B" w14:paraId="61FEE7C3" w14:textId="77777777" w:rsidTr="00AE2F99">
        <w:trPr>
          <w:cantSplit/>
          <w:trHeight w:val="23"/>
        </w:trPr>
        <w:tc>
          <w:tcPr>
            <w:tcW w:w="1558" w:type="dxa"/>
            <w:tcBorders>
              <w:top w:val="nil"/>
              <w:left w:val="single" w:sz="2" w:space="0" w:color="auto"/>
              <w:bottom w:val="nil"/>
              <w:right w:val="single" w:sz="2" w:space="0" w:color="auto"/>
            </w:tcBorders>
          </w:tcPr>
          <w:p w14:paraId="09FEA101" w14:textId="77777777" w:rsidR="001E788B" w:rsidRPr="00E95E3B" w:rsidRDefault="001E788B" w:rsidP="001E788B">
            <w:pPr>
              <w:pStyle w:val="TableReference"/>
              <w:tabs>
                <w:tab w:val="left" w:pos="3306"/>
              </w:tabs>
              <w:spacing w:before="40"/>
              <w:rPr>
                <w:rFonts w:cs="Calibri"/>
                <w:color w:val="7030A0"/>
                <w:sz w:val="14"/>
              </w:rPr>
            </w:pPr>
            <w:r w:rsidRPr="00E95E3B">
              <w:rPr>
                <w:rFonts w:cs="Calibri"/>
                <w:color w:val="7030A0"/>
                <w:sz w:val="14"/>
              </w:rPr>
              <w:t>AASB 116.73(e)(i)</w:t>
            </w:r>
          </w:p>
          <w:p w14:paraId="08735FC2" w14:textId="77777777" w:rsidR="001E788B" w:rsidRPr="00E95E3B" w:rsidRDefault="001E788B" w:rsidP="001E788B">
            <w:pPr>
              <w:pStyle w:val="TableReference"/>
              <w:tabs>
                <w:tab w:val="left" w:pos="3306"/>
              </w:tabs>
              <w:spacing w:before="40"/>
              <w:rPr>
                <w:rFonts w:cs="Calibri"/>
                <w:color w:val="7030A0"/>
                <w:sz w:val="14"/>
              </w:rPr>
            </w:pPr>
            <w:r w:rsidRPr="00E95E3B">
              <w:rPr>
                <w:rFonts w:cs="Calibri"/>
                <w:color w:val="7030A0"/>
                <w:sz w:val="14"/>
              </w:rPr>
              <w:t>AASB 138.118(e)(i)</w:t>
            </w:r>
          </w:p>
        </w:tc>
        <w:tc>
          <w:tcPr>
            <w:tcW w:w="6944" w:type="dxa"/>
            <w:tcBorders>
              <w:top w:val="nil"/>
              <w:left w:val="single" w:sz="2" w:space="0" w:color="auto"/>
              <w:bottom w:val="nil"/>
              <w:right w:val="nil"/>
            </w:tcBorders>
            <w:vAlign w:val="center"/>
          </w:tcPr>
          <w:p w14:paraId="4D2D5863" w14:textId="77777777" w:rsidR="001E788B" w:rsidRPr="00E95E3B" w:rsidRDefault="001E788B" w:rsidP="001E788B">
            <w:pPr>
              <w:pStyle w:val="TableText"/>
              <w:tabs>
                <w:tab w:val="left" w:pos="3306"/>
              </w:tabs>
              <w:rPr>
                <w:rFonts w:cs="Calibri"/>
              </w:rPr>
            </w:pPr>
            <w:r w:rsidRPr="00E95E3B">
              <w:rPr>
                <w:rFonts w:cs="Calibri"/>
              </w:rPr>
              <w:t>Additions</w:t>
            </w:r>
          </w:p>
        </w:tc>
        <w:tc>
          <w:tcPr>
            <w:tcW w:w="1560" w:type="dxa"/>
            <w:tcBorders>
              <w:top w:val="nil"/>
              <w:left w:val="nil"/>
              <w:bottom w:val="nil"/>
              <w:right w:val="nil"/>
            </w:tcBorders>
            <w:vAlign w:val="bottom"/>
          </w:tcPr>
          <w:p w14:paraId="5FA4AFAB" w14:textId="3E8A9705" w:rsidR="001E788B" w:rsidRPr="00E95E3B" w:rsidRDefault="001E788B" w:rsidP="001E788B">
            <w:pPr>
              <w:pStyle w:val="TableText"/>
              <w:tabs>
                <w:tab w:val="left" w:pos="3306"/>
              </w:tabs>
              <w:jc w:val="right"/>
              <w:rPr>
                <w:rFonts w:cs="Calibri"/>
                <w:highlight w:val="cyan"/>
              </w:rPr>
            </w:pPr>
          </w:p>
        </w:tc>
        <w:tc>
          <w:tcPr>
            <w:tcW w:w="1561" w:type="dxa"/>
            <w:gridSpan w:val="2"/>
            <w:tcBorders>
              <w:top w:val="nil"/>
              <w:left w:val="nil"/>
              <w:bottom w:val="nil"/>
              <w:right w:val="nil"/>
            </w:tcBorders>
            <w:vAlign w:val="bottom"/>
          </w:tcPr>
          <w:p w14:paraId="4BF42DEE" w14:textId="76CA00B8" w:rsidR="001E788B" w:rsidRPr="00E95E3B" w:rsidRDefault="001E788B" w:rsidP="001E788B">
            <w:pPr>
              <w:pStyle w:val="TableText"/>
              <w:tabs>
                <w:tab w:val="left" w:pos="3306"/>
              </w:tabs>
              <w:jc w:val="right"/>
              <w:rPr>
                <w:rFonts w:cs="Calibri"/>
                <w:highlight w:val="cyan"/>
              </w:rPr>
            </w:pPr>
          </w:p>
        </w:tc>
        <w:tc>
          <w:tcPr>
            <w:tcW w:w="1417" w:type="dxa"/>
            <w:gridSpan w:val="2"/>
            <w:tcBorders>
              <w:top w:val="nil"/>
              <w:left w:val="nil"/>
              <w:bottom w:val="nil"/>
              <w:right w:val="nil"/>
            </w:tcBorders>
            <w:vAlign w:val="bottom"/>
          </w:tcPr>
          <w:p w14:paraId="7192D222" w14:textId="49C3C784" w:rsidR="001E788B" w:rsidRPr="00E95E3B" w:rsidRDefault="001E788B" w:rsidP="001E788B">
            <w:pPr>
              <w:pStyle w:val="TableText"/>
              <w:tabs>
                <w:tab w:val="left" w:pos="3306"/>
              </w:tabs>
              <w:jc w:val="right"/>
              <w:rPr>
                <w:rFonts w:cs="Calibri"/>
                <w:highlight w:val="cyan"/>
              </w:rPr>
            </w:pPr>
          </w:p>
        </w:tc>
        <w:tc>
          <w:tcPr>
            <w:tcW w:w="1134" w:type="dxa"/>
            <w:tcBorders>
              <w:top w:val="nil"/>
              <w:left w:val="nil"/>
              <w:bottom w:val="nil"/>
              <w:right w:val="nil"/>
            </w:tcBorders>
            <w:vAlign w:val="bottom"/>
          </w:tcPr>
          <w:p w14:paraId="289457EA" w14:textId="1EBCBDA3" w:rsidR="001E788B" w:rsidRPr="00E95E3B" w:rsidRDefault="001E788B" w:rsidP="001E788B">
            <w:pPr>
              <w:pStyle w:val="TableText"/>
              <w:tabs>
                <w:tab w:val="left" w:pos="3306"/>
              </w:tabs>
              <w:jc w:val="right"/>
              <w:rPr>
                <w:rFonts w:cs="Calibri"/>
                <w:highlight w:val="cyan"/>
              </w:rPr>
            </w:pPr>
          </w:p>
        </w:tc>
        <w:tc>
          <w:tcPr>
            <w:tcW w:w="1275" w:type="dxa"/>
            <w:gridSpan w:val="2"/>
            <w:tcBorders>
              <w:top w:val="nil"/>
              <w:left w:val="nil"/>
              <w:bottom w:val="nil"/>
              <w:right w:val="nil"/>
            </w:tcBorders>
            <w:vAlign w:val="bottom"/>
          </w:tcPr>
          <w:p w14:paraId="5DFD85B2" w14:textId="62818AF5" w:rsidR="001E788B" w:rsidRPr="00E95E3B" w:rsidRDefault="001E788B" w:rsidP="001E788B">
            <w:pPr>
              <w:pStyle w:val="TableText"/>
              <w:tabs>
                <w:tab w:val="left" w:pos="3306"/>
              </w:tabs>
              <w:jc w:val="right"/>
              <w:rPr>
                <w:rFonts w:cs="Calibri"/>
              </w:rPr>
            </w:pPr>
          </w:p>
        </w:tc>
      </w:tr>
      <w:tr w:rsidR="00BB62BB" w:rsidRPr="00CF7E1B" w14:paraId="46BCEEAF" w14:textId="77777777" w:rsidTr="00AE2F99">
        <w:trPr>
          <w:cantSplit/>
          <w:trHeight w:val="23"/>
        </w:trPr>
        <w:tc>
          <w:tcPr>
            <w:tcW w:w="1558" w:type="dxa"/>
            <w:tcBorders>
              <w:top w:val="nil"/>
              <w:left w:val="single" w:sz="2" w:space="0" w:color="auto"/>
              <w:bottom w:val="nil"/>
              <w:right w:val="single" w:sz="2" w:space="0" w:color="auto"/>
            </w:tcBorders>
          </w:tcPr>
          <w:p w14:paraId="0B0E057A"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116.73(e)(ix)</w:t>
            </w:r>
          </w:p>
        </w:tc>
        <w:tc>
          <w:tcPr>
            <w:tcW w:w="6944" w:type="dxa"/>
            <w:tcBorders>
              <w:top w:val="nil"/>
              <w:left w:val="single" w:sz="2" w:space="0" w:color="auto"/>
              <w:bottom w:val="nil"/>
              <w:right w:val="nil"/>
            </w:tcBorders>
          </w:tcPr>
          <w:p w14:paraId="4F87351F" w14:textId="4D34041D" w:rsidR="00BB62BB" w:rsidRPr="00E95E3B" w:rsidRDefault="00BB62BB" w:rsidP="001E788B">
            <w:pPr>
              <w:pStyle w:val="TableText"/>
              <w:tabs>
                <w:tab w:val="left" w:pos="3306"/>
              </w:tabs>
              <w:rPr>
                <w:rFonts w:cs="Calibri"/>
                <w:highlight w:val="cyan"/>
              </w:rPr>
            </w:pPr>
            <w:r w:rsidRPr="00E95E3B">
              <w:rPr>
                <w:rFonts w:cs="Calibri"/>
              </w:rPr>
              <w:t>Capital Works in Progress Completed and Transferred to Property, Plant and Equipment</w:t>
            </w:r>
          </w:p>
        </w:tc>
        <w:tc>
          <w:tcPr>
            <w:tcW w:w="1560" w:type="dxa"/>
            <w:tcBorders>
              <w:top w:val="nil"/>
              <w:left w:val="nil"/>
              <w:bottom w:val="nil"/>
              <w:right w:val="nil"/>
            </w:tcBorders>
            <w:vAlign w:val="bottom"/>
          </w:tcPr>
          <w:p w14:paraId="2D532D8C" w14:textId="77777777" w:rsidR="00BB62BB" w:rsidRPr="00E95E3B" w:rsidRDefault="00BB62BB" w:rsidP="001E788B">
            <w:pPr>
              <w:pStyle w:val="TableText"/>
              <w:tabs>
                <w:tab w:val="left" w:pos="3306"/>
              </w:tabs>
              <w:jc w:val="right"/>
              <w:rPr>
                <w:rFonts w:cs="Calibri"/>
                <w:highlight w:val="cyan"/>
              </w:rPr>
            </w:pPr>
          </w:p>
        </w:tc>
        <w:tc>
          <w:tcPr>
            <w:tcW w:w="1561" w:type="dxa"/>
            <w:gridSpan w:val="2"/>
            <w:tcBorders>
              <w:top w:val="nil"/>
              <w:left w:val="nil"/>
              <w:bottom w:val="nil"/>
              <w:right w:val="nil"/>
            </w:tcBorders>
            <w:vAlign w:val="bottom"/>
          </w:tcPr>
          <w:p w14:paraId="110DB517" w14:textId="48E5A762" w:rsidR="00BB62BB" w:rsidRPr="00E95E3B" w:rsidRDefault="00BB62BB" w:rsidP="001E788B">
            <w:pPr>
              <w:pStyle w:val="TableText"/>
              <w:tabs>
                <w:tab w:val="left" w:pos="3306"/>
              </w:tabs>
              <w:jc w:val="right"/>
              <w:rPr>
                <w:rFonts w:cs="Calibri"/>
                <w:highlight w:val="cyan"/>
              </w:rPr>
            </w:pPr>
          </w:p>
        </w:tc>
        <w:tc>
          <w:tcPr>
            <w:tcW w:w="1417" w:type="dxa"/>
            <w:gridSpan w:val="2"/>
            <w:tcBorders>
              <w:top w:val="nil"/>
              <w:left w:val="nil"/>
              <w:bottom w:val="nil"/>
              <w:right w:val="nil"/>
            </w:tcBorders>
            <w:vAlign w:val="bottom"/>
          </w:tcPr>
          <w:p w14:paraId="55E8EA21" w14:textId="43741595" w:rsidR="00BB62BB" w:rsidRPr="00E95E3B" w:rsidRDefault="00BB62BB" w:rsidP="001E788B">
            <w:pPr>
              <w:pStyle w:val="TableText"/>
              <w:tabs>
                <w:tab w:val="left" w:pos="3306"/>
              </w:tabs>
              <w:jc w:val="right"/>
              <w:rPr>
                <w:rFonts w:cs="Calibri"/>
                <w:highlight w:val="cyan"/>
              </w:rPr>
            </w:pPr>
          </w:p>
        </w:tc>
        <w:tc>
          <w:tcPr>
            <w:tcW w:w="1134" w:type="dxa"/>
            <w:tcBorders>
              <w:top w:val="nil"/>
              <w:left w:val="nil"/>
              <w:bottom w:val="nil"/>
              <w:right w:val="nil"/>
            </w:tcBorders>
            <w:vAlign w:val="bottom"/>
          </w:tcPr>
          <w:p w14:paraId="636AC55C" w14:textId="05B9C981" w:rsidR="00BB62BB" w:rsidRPr="00E95E3B" w:rsidRDefault="00BB62BB" w:rsidP="001E788B">
            <w:pPr>
              <w:pStyle w:val="TableText"/>
              <w:tabs>
                <w:tab w:val="left" w:pos="3306"/>
              </w:tabs>
              <w:jc w:val="right"/>
              <w:rPr>
                <w:rFonts w:cs="Calibri"/>
                <w:highlight w:val="cyan"/>
              </w:rPr>
            </w:pPr>
          </w:p>
        </w:tc>
        <w:tc>
          <w:tcPr>
            <w:tcW w:w="1275" w:type="dxa"/>
            <w:gridSpan w:val="2"/>
            <w:tcBorders>
              <w:top w:val="nil"/>
              <w:left w:val="nil"/>
              <w:bottom w:val="nil"/>
              <w:right w:val="nil"/>
            </w:tcBorders>
            <w:vAlign w:val="bottom"/>
          </w:tcPr>
          <w:p w14:paraId="12223E4E" w14:textId="65D05E2D" w:rsidR="00BB62BB" w:rsidRPr="00E95E3B" w:rsidRDefault="00BB62BB" w:rsidP="001E788B">
            <w:pPr>
              <w:pStyle w:val="TableText"/>
              <w:tabs>
                <w:tab w:val="left" w:pos="3306"/>
              </w:tabs>
              <w:jc w:val="right"/>
              <w:rPr>
                <w:rFonts w:cs="Calibri"/>
              </w:rPr>
            </w:pPr>
          </w:p>
        </w:tc>
      </w:tr>
      <w:tr w:rsidR="00BB62BB" w:rsidRPr="00CF7E1B" w14:paraId="7907A918" w14:textId="77777777" w:rsidTr="00AE2F99">
        <w:trPr>
          <w:cantSplit/>
          <w:trHeight w:val="178"/>
        </w:trPr>
        <w:tc>
          <w:tcPr>
            <w:tcW w:w="1558" w:type="dxa"/>
            <w:tcBorders>
              <w:top w:val="nil"/>
              <w:left w:val="single" w:sz="2" w:space="0" w:color="auto"/>
              <w:bottom w:val="nil"/>
              <w:right w:val="single" w:sz="2" w:space="0" w:color="auto"/>
            </w:tcBorders>
          </w:tcPr>
          <w:p w14:paraId="591D79D4"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138.118(e)(viii)</w:t>
            </w:r>
          </w:p>
        </w:tc>
        <w:tc>
          <w:tcPr>
            <w:tcW w:w="6944" w:type="dxa"/>
            <w:tcBorders>
              <w:top w:val="nil"/>
              <w:left w:val="single" w:sz="2" w:space="0" w:color="auto"/>
              <w:bottom w:val="nil"/>
              <w:right w:val="nil"/>
            </w:tcBorders>
          </w:tcPr>
          <w:p w14:paraId="1B58A9D8" w14:textId="34C69507" w:rsidR="00BB62BB" w:rsidRPr="00E95E3B" w:rsidRDefault="00BB62BB" w:rsidP="001E788B">
            <w:pPr>
              <w:pStyle w:val="TableText"/>
              <w:tabs>
                <w:tab w:val="left" w:pos="3306"/>
              </w:tabs>
              <w:rPr>
                <w:rFonts w:cs="Calibri"/>
                <w:highlight w:val="cyan"/>
              </w:rPr>
            </w:pPr>
            <w:r w:rsidRPr="00E95E3B">
              <w:rPr>
                <w:rFonts w:cs="Calibri"/>
              </w:rPr>
              <w:t>Capital Works in Progress Completed and Transferred to Intangible Assets</w:t>
            </w:r>
          </w:p>
        </w:tc>
        <w:tc>
          <w:tcPr>
            <w:tcW w:w="1560" w:type="dxa"/>
            <w:tcBorders>
              <w:top w:val="nil"/>
              <w:left w:val="nil"/>
              <w:bottom w:val="single" w:sz="2" w:space="0" w:color="auto"/>
              <w:right w:val="nil"/>
            </w:tcBorders>
          </w:tcPr>
          <w:p w14:paraId="461B3946" w14:textId="77777777" w:rsidR="00BB62BB" w:rsidRPr="00E95E3B" w:rsidRDefault="00BB62BB" w:rsidP="001E788B">
            <w:pPr>
              <w:pStyle w:val="TableText"/>
              <w:tabs>
                <w:tab w:val="left" w:pos="3306"/>
              </w:tabs>
              <w:rPr>
                <w:rFonts w:cs="Calibri"/>
                <w:highlight w:val="cyan"/>
              </w:rPr>
            </w:pPr>
          </w:p>
        </w:tc>
        <w:tc>
          <w:tcPr>
            <w:tcW w:w="1561" w:type="dxa"/>
            <w:gridSpan w:val="2"/>
            <w:tcBorders>
              <w:top w:val="nil"/>
              <w:left w:val="nil"/>
              <w:bottom w:val="single" w:sz="2" w:space="0" w:color="auto"/>
              <w:right w:val="nil"/>
            </w:tcBorders>
          </w:tcPr>
          <w:p w14:paraId="3378907F" w14:textId="2D3ADC1E" w:rsidR="00BB62BB" w:rsidRPr="00E95E3B" w:rsidRDefault="00BB62BB" w:rsidP="001E788B">
            <w:pPr>
              <w:pStyle w:val="TableText"/>
              <w:tabs>
                <w:tab w:val="left" w:pos="3306"/>
              </w:tabs>
              <w:rPr>
                <w:rFonts w:cs="Calibri"/>
                <w:highlight w:val="cyan"/>
              </w:rPr>
            </w:pPr>
          </w:p>
        </w:tc>
        <w:tc>
          <w:tcPr>
            <w:tcW w:w="1417" w:type="dxa"/>
            <w:gridSpan w:val="2"/>
            <w:tcBorders>
              <w:top w:val="nil"/>
              <w:left w:val="nil"/>
              <w:bottom w:val="single" w:sz="2" w:space="0" w:color="auto"/>
              <w:right w:val="nil"/>
            </w:tcBorders>
          </w:tcPr>
          <w:p w14:paraId="334C277D" w14:textId="4DAB0942" w:rsidR="00BB62BB" w:rsidRPr="00E95E3B" w:rsidRDefault="00BB62BB" w:rsidP="001E788B">
            <w:pPr>
              <w:pStyle w:val="TableText"/>
              <w:tabs>
                <w:tab w:val="left" w:pos="3306"/>
              </w:tabs>
              <w:rPr>
                <w:rFonts w:cs="Calibri"/>
                <w:highlight w:val="cyan"/>
              </w:rPr>
            </w:pPr>
          </w:p>
        </w:tc>
        <w:tc>
          <w:tcPr>
            <w:tcW w:w="1134" w:type="dxa"/>
            <w:tcBorders>
              <w:top w:val="nil"/>
              <w:left w:val="nil"/>
              <w:bottom w:val="single" w:sz="2" w:space="0" w:color="auto"/>
              <w:right w:val="nil"/>
            </w:tcBorders>
          </w:tcPr>
          <w:p w14:paraId="0B93A79A" w14:textId="3AEDBE51" w:rsidR="00BB62BB" w:rsidRPr="00E95E3B" w:rsidRDefault="00BB62BB" w:rsidP="001E788B">
            <w:pPr>
              <w:pStyle w:val="TableText"/>
              <w:tabs>
                <w:tab w:val="left" w:pos="3306"/>
              </w:tabs>
              <w:rPr>
                <w:rFonts w:cs="Calibri"/>
                <w:highlight w:val="cyan"/>
              </w:rPr>
            </w:pPr>
          </w:p>
        </w:tc>
        <w:tc>
          <w:tcPr>
            <w:tcW w:w="1275" w:type="dxa"/>
            <w:gridSpan w:val="2"/>
            <w:tcBorders>
              <w:top w:val="nil"/>
              <w:left w:val="nil"/>
              <w:bottom w:val="single" w:sz="2" w:space="0" w:color="auto"/>
              <w:right w:val="nil"/>
            </w:tcBorders>
          </w:tcPr>
          <w:p w14:paraId="3A917379" w14:textId="4F5CEC9A" w:rsidR="00BB62BB" w:rsidRPr="00E95E3B" w:rsidRDefault="00BB62BB" w:rsidP="001E788B">
            <w:pPr>
              <w:pStyle w:val="TableText"/>
              <w:tabs>
                <w:tab w:val="left" w:pos="3306"/>
              </w:tabs>
              <w:rPr>
                <w:rFonts w:cs="Calibri"/>
              </w:rPr>
            </w:pPr>
          </w:p>
        </w:tc>
      </w:tr>
      <w:tr w:rsidR="001E788B" w:rsidRPr="00CF7E1B" w14:paraId="4D63FC50" w14:textId="77777777" w:rsidTr="00AE2F99">
        <w:trPr>
          <w:cantSplit/>
          <w:trHeight w:val="347"/>
        </w:trPr>
        <w:tc>
          <w:tcPr>
            <w:tcW w:w="1558" w:type="dxa"/>
            <w:tcBorders>
              <w:top w:val="nil"/>
              <w:left w:val="single" w:sz="2" w:space="0" w:color="auto"/>
              <w:bottom w:val="nil"/>
              <w:right w:val="single" w:sz="2" w:space="0" w:color="auto"/>
            </w:tcBorders>
          </w:tcPr>
          <w:p w14:paraId="79465572" w14:textId="524254D5" w:rsidR="001E788B" w:rsidRPr="00E95E3B" w:rsidRDefault="001E788B" w:rsidP="001E788B">
            <w:pPr>
              <w:pStyle w:val="TableReference"/>
              <w:tabs>
                <w:tab w:val="left" w:pos="3306"/>
              </w:tabs>
              <w:rPr>
                <w:rFonts w:cs="Calibri"/>
                <w:color w:val="7030A0"/>
                <w:sz w:val="14"/>
              </w:rPr>
            </w:pPr>
            <w:r w:rsidRPr="00E95E3B">
              <w:rPr>
                <w:rFonts w:cs="Calibri"/>
                <w:color w:val="7030A0"/>
                <w:sz w:val="14"/>
              </w:rPr>
              <w:t>AASB 116.73(e)</w:t>
            </w:r>
            <w:r w:rsidR="00FA7C77">
              <w:rPr>
                <w:rFonts w:cs="Calibri"/>
                <w:color w:val="7030A0"/>
                <w:sz w:val="14"/>
              </w:rPr>
              <w:t xml:space="preserve"> </w:t>
            </w:r>
          </w:p>
          <w:p w14:paraId="35EEEA24" w14:textId="3B417FFC" w:rsidR="001E788B" w:rsidRPr="00E95E3B" w:rsidRDefault="001E788B" w:rsidP="001E788B">
            <w:pPr>
              <w:pStyle w:val="TableReference"/>
              <w:tabs>
                <w:tab w:val="left" w:pos="3306"/>
              </w:tabs>
              <w:rPr>
                <w:rFonts w:cs="Calibri"/>
                <w:color w:val="7030A0"/>
                <w:sz w:val="14"/>
              </w:rPr>
            </w:pPr>
            <w:r w:rsidRPr="00E95E3B">
              <w:rPr>
                <w:rFonts w:cs="Calibri"/>
                <w:color w:val="7030A0"/>
                <w:sz w:val="14"/>
              </w:rPr>
              <w:t>AASB 138.118(e)</w:t>
            </w:r>
            <w:r w:rsidR="00FA7C77">
              <w:rPr>
                <w:rFonts w:cs="Calibri"/>
                <w:color w:val="7030A0"/>
                <w:sz w:val="14"/>
              </w:rPr>
              <w:t xml:space="preserve">   </w:t>
            </w:r>
            <w:r w:rsidRPr="00E95E3B">
              <w:rPr>
                <w:rFonts w:cs="Calibri"/>
                <w:color w:val="7030A0"/>
                <w:sz w:val="14"/>
              </w:rPr>
              <w:t>AASB 116.74(b)</w:t>
            </w:r>
          </w:p>
        </w:tc>
        <w:tc>
          <w:tcPr>
            <w:tcW w:w="6944" w:type="dxa"/>
            <w:tcBorders>
              <w:top w:val="nil"/>
              <w:left w:val="single" w:sz="2" w:space="0" w:color="auto"/>
              <w:bottom w:val="nil"/>
              <w:right w:val="nil"/>
            </w:tcBorders>
          </w:tcPr>
          <w:p w14:paraId="29993AA0" w14:textId="77777777" w:rsidR="001E788B" w:rsidRPr="00E95E3B" w:rsidRDefault="001E788B" w:rsidP="001E788B">
            <w:pPr>
              <w:pStyle w:val="TableText"/>
              <w:tabs>
                <w:tab w:val="left" w:pos="3306"/>
              </w:tabs>
              <w:rPr>
                <w:rFonts w:cs="Calibri"/>
                <w:b/>
                <w:bCs/>
              </w:rPr>
            </w:pPr>
            <w:r w:rsidRPr="00E95E3B">
              <w:rPr>
                <w:rFonts w:cs="Calibri"/>
                <w:b/>
                <w:bCs/>
              </w:rPr>
              <w:t xml:space="preserve">Carrying Amount at the End of </w:t>
            </w:r>
            <w:r w:rsidRPr="00E95E3B">
              <w:rPr>
                <w:rFonts w:cs="Calibri"/>
                <w:b/>
              </w:rPr>
              <w:t>the</w:t>
            </w:r>
            <w:r w:rsidRPr="00E95E3B">
              <w:rPr>
                <w:rFonts w:cs="Calibri"/>
                <w:b/>
                <w:bCs/>
              </w:rPr>
              <w:t xml:space="preserve"> Reporting Period</w:t>
            </w:r>
          </w:p>
        </w:tc>
        <w:tc>
          <w:tcPr>
            <w:tcW w:w="1560" w:type="dxa"/>
            <w:tcBorders>
              <w:top w:val="single" w:sz="2" w:space="0" w:color="auto"/>
              <w:left w:val="nil"/>
              <w:bottom w:val="double" w:sz="4" w:space="0" w:color="auto"/>
              <w:right w:val="nil"/>
            </w:tcBorders>
          </w:tcPr>
          <w:p w14:paraId="766AD3E7" w14:textId="79DF77E7" w:rsidR="001E788B" w:rsidRPr="00E95E3B" w:rsidRDefault="001E788B" w:rsidP="001E788B">
            <w:pPr>
              <w:pStyle w:val="TableText"/>
              <w:tabs>
                <w:tab w:val="left" w:pos="3306"/>
              </w:tabs>
              <w:spacing w:before="0"/>
              <w:rPr>
                <w:rFonts w:cs="Calibri"/>
                <w:b/>
                <w:bCs/>
                <w:highlight w:val="cyan"/>
              </w:rPr>
            </w:pPr>
          </w:p>
        </w:tc>
        <w:tc>
          <w:tcPr>
            <w:tcW w:w="1561" w:type="dxa"/>
            <w:gridSpan w:val="2"/>
            <w:tcBorders>
              <w:top w:val="single" w:sz="2" w:space="0" w:color="auto"/>
              <w:left w:val="nil"/>
              <w:bottom w:val="double" w:sz="4" w:space="0" w:color="auto"/>
              <w:right w:val="nil"/>
            </w:tcBorders>
          </w:tcPr>
          <w:p w14:paraId="7B504591" w14:textId="0CFDA63F" w:rsidR="001E788B" w:rsidRPr="00E95E3B" w:rsidRDefault="001E788B" w:rsidP="001E788B">
            <w:pPr>
              <w:pStyle w:val="TableText"/>
              <w:tabs>
                <w:tab w:val="left" w:pos="3306"/>
              </w:tabs>
              <w:spacing w:before="0"/>
              <w:rPr>
                <w:rFonts w:cs="Calibri"/>
                <w:b/>
                <w:bCs/>
                <w:highlight w:val="cyan"/>
              </w:rPr>
            </w:pPr>
          </w:p>
        </w:tc>
        <w:tc>
          <w:tcPr>
            <w:tcW w:w="1417" w:type="dxa"/>
            <w:gridSpan w:val="2"/>
            <w:tcBorders>
              <w:top w:val="single" w:sz="2" w:space="0" w:color="auto"/>
              <w:left w:val="nil"/>
              <w:bottom w:val="double" w:sz="4" w:space="0" w:color="auto"/>
              <w:right w:val="nil"/>
            </w:tcBorders>
          </w:tcPr>
          <w:p w14:paraId="5189C73B" w14:textId="7740D378" w:rsidR="001E788B" w:rsidRPr="00E95E3B" w:rsidRDefault="001E788B" w:rsidP="001E788B">
            <w:pPr>
              <w:pStyle w:val="TableText"/>
              <w:tabs>
                <w:tab w:val="left" w:pos="3306"/>
              </w:tabs>
              <w:spacing w:before="0"/>
              <w:rPr>
                <w:rFonts w:cs="Calibri"/>
                <w:b/>
                <w:highlight w:val="cyan"/>
              </w:rPr>
            </w:pPr>
          </w:p>
        </w:tc>
        <w:tc>
          <w:tcPr>
            <w:tcW w:w="1134" w:type="dxa"/>
            <w:tcBorders>
              <w:top w:val="single" w:sz="2" w:space="0" w:color="auto"/>
              <w:left w:val="nil"/>
              <w:bottom w:val="double" w:sz="4" w:space="0" w:color="auto"/>
              <w:right w:val="nil"/>
            </w:tcBorders>
          </w:tcPr>
          <w:p w14:paraId="2DAD1081" w14:textId="5405A2BB" w:rsidR="001E788B" w:rsidRPr="00E95E3B" w:rsidRDefault="001E788B" w:rsidP="001E788B">
            <w:pPr>
              <w:pStyle w:val="TableText"/>
              <w:tabs>
                <w:tab w:val="left" w:pos="3306"/>
              </w:tabs>
              <w:spacing w:before="0"/>
              <w:rPr>
                <w:rFonts w:cs="Calibri"/>
                <w:b/>
                <w:highlight w:val="cyan"/>
              </w:rPr>
            </w:pPr>
          </w:p>
        </w:tc>
        <w:tc>
          <w:tcPr>
            <w:tcW w:w="1275" w:type="dxa"/>
            <w:gridSpan w:val="2"/>
            <w:tcBorders>
              <w:top w:val="single" w:sz="2" w:space="0" w:color="auto"/>
              <w:left w:val="nil"/>
              <w:bottom w:val="double" w:sz="4" w:space="0" w:color="auto"/>
              <w:right w:val="nil"/>
            </w:tcBorders>
          </w:tcPr>
          <w:p w14:paraId="635EF82F" w14:textId="5DF67C26" w:rsidR="001E788B" w:rsidRPr="00E95E3B" w:rsidRDefault="001E788B" w:rsidP="001E788B">
            <w:pPr>
              <w:pStyle w:val="TableText"/>
              <w:tabs>
                <w:tab w:val="left" w:pos="3306"/>
              </w:tabs>
              <w:spacing w:before="0"/>
              <w:rPr>
                <w:rFonts w:cs="Calibri"/>
                <w:b/>
              </w:rPr>
            </w:pPr>
          </w:p>
        </w:tc>
      </w:tr>
    </w:tbl>
    <w:p w14:paraId="0FD36FB8" w14:textId="77777777" w:rsidR="00D8083F" w:rsidRPr="00CF7E1B" w:rsidRDefault="00D8083F" w:rsidP="00D8083F">
      <w:pPr>
        <w:rPr>
          <w:rFonts w:cs="Calibri"/>
        </w:rPr>
      </w:pPr>
    </w:p>
    <w:p w14:paraId="3D71937A" w14:textId="77777777" w:rsidR="003C6059" w:rsidRPr="00CF7E1B" w:rsidRDefault="003C6059">
      <w:pPr>
        <w:rPr>
          <w:rFonts w:cs="Calibri"/>
        </w:rPr>
      </w:pPr>
    </w:p>
    <w:p w14:paraId="49337A8C" w14:textId="77777777" w:rsidR="003C6059" w:rsidRPr="00CF7E1B" w:rsidRDefault="003C6059" w:rsidP="00C5789C">
      <w:pPr>
        <w:pStyle w:val="CommentaryText"/>
        <w:tabs>
          <w:tab w:val="left" w:pos="3306"/>
        </w:tabs>
        <w:rPr>
          <w:rFonts w:cs="Calibri"/>
        </w:rPr>
        <w:sectPr w:rsidR="003C6059" w:rsidRPr="00CF7E1B" w:rsidSect="004514CD">
          <w:footnotePr>
            <w:numRestart w:val="eachPage"/>
          </w:footnotePr>
          <w:pgSz w:w="16840" w:h="11907" w:orient="landscape" w:code="9"/>
          <w:pgMar w:top="680" w:right="567" w:bottom="680" w:left="567" w:header="720" w:footer="720" w:gutter="0"/>
          <w:cols w:space="720"/>
        </w:sectPr>
      </w:pPr>
    </w:p>
    <w:tbl>
      <w:tblPr>
        <w:tblW w:w="497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950"/>
        <w:gridCol w:w="1559"/>
        <w:gridCol w:w="1417"/>
      </w:tblGrid>
      <w:tr w:rsidR="000D6708" w:rsidRPr="00811723" w14:paraId="45CC3E9B" w14:textId="77777777" w:rsidTr="00AE2F99">
        <w:trPr>
          <w:cantSplit/>
          <w:trHeight w:val="23"/>
        </w:trPr>
        <w:tc>
          <w:tcPr>
            <w:tcW w:w="1563" w:type="dxa"/>
            <w:tcBorders>
              <w:top w:val="nil"/>
              <w:left w:val="single" w:sz="2" w:space="0" w:color="auto"/>
              <w:bottom w:val="nil"/>
              <w:right w:val="single" w:sz="2" w:space="0" w:color="auto"/>
            </w:tcBorders>
            <w:shd w:val="clear" w:color="auto" w:fill="auto"/>
            <w:vAlign w:val="center"/>
          </w:tcPr>
          <w:p w14:paraId="52696C3A" w14:textId="3CA59C89" w:rsidR="000D6708" w:rsidRPr="006746FA" w:rsidRDefault="000D6708" w:rsidP="000159C3">
            <w:pPr>
              <w:pStyle w:val="TableReference"/>
              <w:tabs>
                <w:tab w:val="left" w:pos="3306"/>
              </w:tabs>
              <w:spacing w:before="240" w:after="240"/>
              <w:rPr>
                <w:rFonts w:cs="Calibri"/>
                <w:color w:val="7030A0"/>
                <w:sz w:val="14"/>
              </w:rPr>
            </w:pPr>
            <w:bookmarkStart w:id="677" w:name="Payables" w:colFirst="1" w:colLast="1"/>
            <w:r w:rsidRPr="006746FA">
              <w:rPr>
                <w:rFonts w:cs="Calibri"/>
                <w:b/>
                <w:color w:val="7030A0"/>
                <w:sz w:val="22"/>
                <w:szCs w:val="22"/>
              </w:rPr>
              <w:t>Reference</w:t>
            </w:r>
          </w:p>
        </w:tc>
        <w:tc>
          <w:tcPr>
            <w:tcW w:w="8926" w:type="dxa"/>
            <w:gridSpan w:val="3"/>
            <w:tcBorders>
              <w:top w:val="nil"/>
              <w:left w:val="single" w:sz="2" w:space="0" w:color="auto"/>
              <w:bottom w:val="nil"/>
              <w:right w:val="nil"/>
            </w:tcBorders>
            <w:shd w:val="clear" w:color="auto" w:fill="7030A0"/>
            <w:vAlign w:val="bottom"/>
          </w:tcPr>
          <w:p w14:paraId="3169E03C" w14:textId="6A779839" w:rsidR="000D6708" w:rsidRPr="006746FA" w:rsidRDefault="000D6708" w:rsidP="000159C3">
            <w:pPr>
              <w:pStyle w:val="CommentaryTitle"/>
              <w:spacing w:before="240" w:after="240"/>
              <w:rPr>
                <w:rFonts w:cs="Calibri"/>
                <w:color w:val="FFFFFF" w:themeColor="background1"/>
                <w:sz w:val="28"/>
                <w:szCs w:val="28"/>
              </w:rPr>
            </w:pPr>
            <w:r w:rsidRPr="006746FA">
              <w:rPr>
                <w:rFonts w:cs="Calibri"/>
                <w:color w:val="FFFFFF" w:themeColor="background1"/>
                <w:sz w:val="28"/>
                <w:szCs w:val="28"/>
              </w:rPr>
              <w:t>Commentary – Note 22: Capital Works in Progress</w:t>
            </w:r>
          </w:p>
        </w:tc>
      </w:tr>
      <w:tr w:rsidR="000D6708" w:rsidRPr="00B67199" w14:paraId="7993656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63076FE" w14:textId="77777777" w:rsidR="000D6708" w:rsidRPr="006746FA" w:rsidRDefault="000D6708"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4C51CF88" w14:textId="6F53F4A5" w:rsidR="000D6708" w:rsidRPr="006746FA" w:rsidRDefault="000D6708" w:rsidP="00F17F81">
            <w:pPr>
              <w:spacing w:after="120"/>
              <w:jc w:val="both"/>
              <w:rPr>
                <w:color w:val="FFFFFF" w:themeColor="background1"/>
                <w:sz w:val="18"/>
                <w:szCs w:val="18"/>
              </w:rPr>
            </w:pPr>
            <w:r w:rsidRPr="006746FA">
              <w:rPr>
                <w:color w:val="FFFFFF" w:themeColor="background1"/>
                <w:sz w:val="18"/>
                <w:szCs w:val="18"/>
              </w:rPr>
              <w:t>Certain costs may occur in connection with the construction or development of an asset that are not ‘directly attributable’ to the asset. These incidental costs are recognised as expenses when incurred. An example of a related cost that cannot be capitalised, is the cost of relocating staff into the new building at the completion of the project.</w:t>
            </w:r>
          </w:p>
        </w:tc>
      </w:tr>
      <w:tr w:rsidR="000D6708" w:rsidRPr="00B67199" w14:paraId="70B3CCA3"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78A8DDC" w14:textId="65DCFBD2" w:rsidR="000D6708" w:rsidRPr="006746FA" w:rsidRDefault="000D6708"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29710AB0" w14:textId="76482C0F" w:rsidR="000D6708" w:rsidRPr="006746FA" w:rsidRDefault="000D6708" w:rsidP="00F17F81">
            <w:pPr>
              <w:jc w:val="both"/>
              <w:rPr>
                <w:rFonts w:cs="Calibri"/>
                <w:color w:val="FFFFFF" w:themeColor="background1"/>
                <w:sz w:val="18"/>
                <w:szCs w:val="18"/>
              </w:rPr>
            </w:pPr>
            <w:r w:rsidRPr="006746FA">
              <w:rPr>
                <w:color w:val="FFFFFF" w:themeColor="background1"/>
                <w:sz w:val="18"/>
                <w:szCs w:val="18"/>
              </w:rPr>
              <w:t xml:space="preserve">Once costs have been </w:t>
            </w:r>
            <w:r w:rsidR="00A4259B" w:rsidRPr="006746FA">
              <w:rPr>
                <w:color w:val="FFFFFF" w:themeColor="background1"/>
                <w:sz w:val="18"/>
                <w:szCs w:val="18"/>
              </w:rPr>
              <w:t>expensed,</w:t>
            </w:r>
            <w:r w:rsidRPr="006746FA">
              <w:rPr>
                <w:color w:val="FFFFFF" w:themeColor="background1"/>
                <w:sz w:val="18"/>
                <w:szCs w:val="18"/>
              </w:rPr>
              <w:t xml:space="preserve">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E95E3B" w:rsidRPr="00B67199" w14:paraId="692691C5"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555DCD7E"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0AA14D7E" w14:textId="77777777" w:rsidR="00E95E3B" w:rsidRPr="006746FA" w:rsidRDefault="00E95E3B" w:rsidP="00F17F81">
            <w:pPr>
              <w:jc w:val="both"/>
              <w:rPr>
                <w:color w:val="FFFFFF" w:themeColor="background1"/>
                <w:sz w:val="18"/>
                <w:szCs w:val="18"/>
              </w:rPr>
            </w:pPr>
          </w:p>
        </w:tc>
      </w:tr>
      <w:tr w:rsidR="00A41D42" w:rsidRPr="00B67199" w14:paraId="5CB52C0A"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6B705A88" w14:textId="77777777" w:rsidR="00A41D42" w:rsidRPr="006746FA" w:rsidRDefault="00A41D42" w:rsidP="00A41D42">
            <w:pPr>
              <w:pStyle w:val="TableReference"/>
              <w:tabs>
                <w:tab w:val="left" w:pos="3306"/>
              </w:tabs>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504E08D1" w14:textId="77777777" w:rsidR="00A41D42" w:rsidRPr="006746FA" w:rsidRDefault="00A41D42" w:rsidP="00A41D42">
            <w:pPr>
              <w:pStyle w:val="Heading1"/>
              <w:numPr>
                <w:ilvl w:val="0"/>
                <w:numId w:val="0"/>
              </w:numPr>
              <w:spacing w:before="0" w:after="0"/>
              <w:ind w:left="1134" w:hanging="1134"/>
            </w:pPr>
          </w:p>
        </w:tc>
      </w:tr>
      <w:tr w:rsidR="00E95E3B" w:rsidRPr="00B67199" w14:paraId="79FC7A8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B3F428A"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54E8972D" w14:textId="21EE0849" w:rsidR="00E95E3B" w:rsidRPr="006746FA" w:rsidRDefault="00E95E3B" w:rsidP="00F12934">
            <w:pPr>
              <w:pStyle w:val="Heading1"/>
              <w:numPr>
                <w:ilvl w:val="0"/>
                <w:numId w:val="0"/>
              </w:numPr>
              <w:ind w:left="1134" w:hanging="1134"/>
              <w:rPr>
                <w:sz w:val="18"/>
                <w:szCs w:val="18"/>
              </w:rPr>
            </w:pPr>
            <w:bookmarkStart w:id="678" w:name="_Toc132743813"/>
            <w:r w:rsidRPr="006746FA">
              <w:t>Note 23.</w:t>
            </w:r>
            <w:r w:rsidR="00FA7C77">
              <w:t xml:space="preserve"> </w:t>
            </w:r>
            <w:r w:rsidRPr="006746FA">
              <w:t xml:space="preserve"> Other Assets</w:t>
            </w:r>
            <w:bookmarkEnd w:id="678"/>
          </w:p>
        </w:tc>
      </w:tr>
      <w:tr w:rsidR="00E95E3B" w:rsidRPr="00B67199" w14:paraId="40CDCEBA"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5CD2BC61"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1B91BB5E" w14:textId="77777777" w:rsidR="00E95E3B" w:rsidRPr="006746FA" w:rsidRDefault="00E95E3B" w:rsidP="00F17F81">
            <w:pPr>
              <w:jc w:val="both"/>
              <w:rPr>
                <w:sz w:val="18"/>
                <w:szCs w:val="18"/>
              </w:rPr>
            </w:pPr>
          </w:p>
        </w:tc>
      </w:tr>
      <w:tr w:rsidR="00E95E3B" w:rsidRPr="00B67199" w14:paraId="50884321" w14:textId="77777777" w:rsidTr="00AE2F99">
        <w:trPr>
          <w:cantSplit/>
          <w:trHeight w:val="132"/>
        </w:trPr>
        <w:tc>
          <w:tcPr>
            <w:tcW w:w="1563" w:type="dxa"/>
            <w:tcBorders>
              <w:top w:val="nil"/>
              <w:left w:val="single" w:sz="2" w:space="0" w:color="auto"/>
              <w:bottom w:val="nil"/>
              <w:right w:val="single" w:sz="2" w:space="0" w:color="auto"/>
            </w:tcBorders>
            <w:shd w:val="clear" w:color="auto" w:fill="auto"/>
          </w:tcPr>
          <w:p w14:paraId="54BC0E6C"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D82304E"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6840FD5" w14:textId="1C067A2E" w:rsidR="00E95E3B" w:rsidRPr="006746FA" w:rsidRDefault="00E95E3B" w:rsidP="00E95E3B">
            <w:pPr>
              <w:pStyle w:val="TableText"/>
              <w:spacing w:before="0"/>
              <w:jc w:val="right"/>
              <w:rPr>
                <w:rFonts w:cs="Calibri"/>
                <w:b/>
                <w:bCs/>
              </w:rPr>
            </w:pPr>
            <w:r w:rsidRPr="006746FA">
              <w:rPr>
                <w:rFonts w:cs="Calibri"/>
                <w:b/>
                <w:bCs/>
              </w:rPr>
              <w:t>202</w:t>
            </w:r>
            <w:r w:rsidR="00A534C3">
              <w:rPr>
                <w:rFonts w:cs="Calibri"/>
                <w:b/>
                <w:bCs/>
              </w:rPr>
              <w:t>3</w:t>
            </w:r>
          </w:p>
        </w:tc>
        <w:tc>
          <w:tcPr>
            <w:tcW w:w="1417" w:type="dxa"/>
            <w:tcBorders>
              <w:top w:val="nil"/>
              <w:left w:val="nil"/>
              <w:bottom w:val="nil"/>
              <w:right w:val="nil"/>
            </w:tcBorders>
          </w:tcPr>
          <w:p w14:paraId="10DB84F4" w14:textId="02E94DE0" w:rsidR="00E95E3B" w:rsidRPr="006746FA" w:rsidRDefault="00E95E3B" w:rsidP="00E95E3B">
            <w:pPr>
              <w:pStyle w:val="TableText"/>
              <w:spacing w:before="0"/>
              <w:jc w:val="right"/>
              <w:rPr>
                <w:rFonts w:cs="Calibri"/>
                <w:b/>
                <w:bCs/>
              </w:rPr>
            </w:pPr>
            <w:r w:rsidRPr="006746FA">
              <w:rPr>
                <w:rFonts w:cs="Calibri"/>
                <w:b/>
                <w:bCs/>
              </w:rPr>
              <w:t>202</w:t>
            </w:r>
            <w:r w:rsidR="00A534C3">
              <w:rPr>
                <w:rFonts w:cs="Calibri"/>
                <w:b/>
                <w:bCs/>
              </w:rPr>
              <w:t>2</w:t>
            </w:r>
            <w:r w:rsidRPr="0009580B">
              <w:rPr>
                <w:rFonts w:cs="Calibri"/>
                <w:b/>
                <w:bCs/>
              </w:rPr>
              <w:t xml:space="preserve"> </w:t>
            </w:r>
          </w:p>
        </w:tc>
      </w:tr>
      <w:tr w:rsidR="00E95E3B" w:rsidRPr="00B67199" w14:paraId="669DB03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8026BB8"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FEB4BD5"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0C909FE" w14:textId="0A8D5E73" w:rsidR="00E95E3B" w:rsidRPr="006746FA" w:rsidRDefault="00E95E3B" w:rsidP="00E95E3B">
            <w:pPr>
              <w:pStyle w:val="TableText"/>
              <w:spacing w:before="0"/>
              <w:jc w:val="right"/>
              <w:rPr>
                <w:rFonts w:cs="Calibri"/>
                <w:b/>
                <w:bCs/>
              </w:rPr>
            </w:pPr>
            <w:r w:rsidRPr="006746FA">
              <w:rPr>
                <w:rFonts w:cs="Calibri"/>
                <w:b/>
                <w:bCs/>
              </w:rPr>
              <w:t>$’000</w:t>
            </w:r>
          </w:p>
        </w:tc>
        <w:tc>
          <w:tcPr>
            <w:tcW w:w="1417" w:type="dxa"/>
            <w:tcBorders>
              <w:top w:val="nil"/>
              <w:left w:val="nil"/>
              <w:bottom w:val="nil"/>
              <w:right w:val="nil"/>
            </w:tcBorders>
          </w:tcPr>
          <w:p w14:paraId="17F9D644" w14:textId="0EC137CC" w:rsidR="00E95E3B" w:rsidRPr="006746FA" w:rsidRDefault="00E95E3B" w:rsidP="00E95E3B">
            <w:pPr>
              <w:pStyle w:val="TableText"/>
              <w:spacing w:before="0"/>
              <w:jc w:val="right"/>
              <w:rPr>
                <w:rFonts w:cs="Calibri"/>
                <w:b/>
                <w:bCs/>
              </w:rPr>
            </w:pPr>
            <w:r w:rsidRPr="006746FA">
              <w:rPr>
                <w:rFonts w:cs="Calibri"/>
                <w:b/>
                <w:bCs/>
              </w:rPr>
              <w:t>$’000</w:t>
            </w:r>
          </w:p>
        </w:tc>
      </w:tr>
      <w:tr w:rsidR="00E95E3B" w:rsidRPr="00B67199" w14:paraId="3C1632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50EF5773" w14:textId="611D218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08FAC72C" w14:textId="6C98BB9A" w:rsidR="00E95E3B" w:rsidRPr="006746FA" w:rsidRDefault="00E95E3B" w:rsidP="00E95E3B">
            <w:pPr>
              <w:pStyle w:val="TableText"/>
              <w:spacing w:before="0"/>
              <w:jc w:val="both"/>
              <w:rPr>
                <w:rFonts w:cs="Calibri"/>
              </w:rPr>
            </w:pPr>
            <w:r w:rsidRPr="006746FA">
              <w:rPr>
                <w:rFonts w:cs="Calibri"/>
                <w:b/>
                <w:bCs/>
              </w:rPr>
              <w:t>Current Other Assets</w:t>
            </w:r>
          </w:p>
        </w:tc>
        <w:tc>
          <w:tcPr>
            <w:tcW w:w="1559" w:type="dxa"/>
            <w:tcBorders>
              <w:top w:val="nil"/>
              <w:left w:val="nil"/>
              <w:bottom w:val="nil"/>
              <w:right w:val="nil"/>
            </w:tcBorders>
          </w:tcPr>
          <w:p w14:paraId="17B7A825"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4A7D1833" w14:textId="6379C109" w:rsidR="00E95E3B" w:rsidRPr="006746FA" w:rsidRDefault="00E95E3B" w:rsidP="00E95E3B">
            <w:pPr>
              <w:pStyle w:val="TableText"/>
              <w:spacing w:before="0"/>
              <w:jc w:val="both"/>
              <w:rPr>
                <w:rFonts w:cs="Calibri"/>
              </w:rPr>
            </w:pPr>
          </w:p>
        </w:tc>
      </w:tr>
      <w:tr w:rsidR="00E95E3B" w:rsidRPr="00B67199" w14:paraId="57838A4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6B53B0F3" w14:textId="3DED542B"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4B8413C" w14:textId="4E2942C2" w:rsidR="00E95E3B" w:rsidRPr="006746FA" w:rsidRDefault="00E95E3B" w:rsidP="00E95E3B">
            <w:pPr>
              <w:pStyle w:val="TableText"/>
              <w:spacing w:before="0"/>
              <w:jc w:val="both"/>
              <w:rPr>
                <w:rFonts w:cs="Calibri"/>
              </w:rPr>
            </w:pPr>
            <w:r w:rsidRPr="006746FA">
              <w:rPr>
                <w:rFonts w:cs="Calibri"/>
              </w:rPr>
              <w:t>Prepayments</w:t>
            </w:r>
          </w:p>
        </w:tc>
        <w:tc>
          <w:tcPr>
            <w:tcW w:w="1559" w:type="dxa"/>
            <w:tcBorders>
              <w:top w:val="nil"/>
              <w:left w:val="nil"/>
              <w:bottom w:val="nil"/>
              <w:right w:val="nil"/>
            </w:tcBorders>
          </w:tcPr>
          <w:p w14:paraId="2BAB3E17"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3A9DEC6B" w14:textId="21A252EA" w:rsidR="00E95E3B" w:rsidRPr="006746FA" w:rsidRDefault="00E95E3B" w:rsidP="00E95E3B">
            <w:pPr>
              <w:pStyle w:val="TableText"/>
              <w:spacing w:before="0"/>
              <w:jc w:val="both"/>
              <w:rPr>
                <w:rFonts w:cs="Calibri"/>
              </w:rPr>
            </w:pPr>
          </w:p>
        </w:tc>
      </w:tr>
      <w:tr w:rsidR="00E95E3B" w:rsidRPr="00B67199" w14:paraId="170B9BA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8922192" w14:textId="54C2C8B7"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91EA261" w14:textId="402E3663" w:rsidR="00E95E3B" w:rsidRPr="00B67199" w:rsidRDefault="00E95E3B" w:rsidP="00E95E3B">
            <w:pPr>
              <w:pStyle w:val="TableText"/>
              <w:spacing w:before="0"/>
              <w:jc w:val="both"/>
              <w:rPr>
                <w:rFonts w:cs="Calibri"/>
              </w:rPr>
            </w:pPr>
            <w:r w:rsidRPr="007C5459">
              <w:rPr>
                <w:rFonts w:cs="Calibri"/>
              </w:rPr>
              <w:t>Other</w:t>
            </w:r>
          </w:p>
        </w:tc>
        <w:tc>
          <w:tcPr>
            <w:tcW w:w="1559" w:type="dxa"/>
            <w:tcBorders>
              <w:top w:val="nil"/>
              <w:left w:val="nil"/>
              <w:bottom w:val="single" w:sz="2" w:space="0" w:color="auto"/>
              <w:right w:val="nil"/>
            </w:tcBorders>
          </w:tcPr>
          <w:p w14:paraId="77480986"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6C5BC118" w14:textId="38AB8ECD" w:rsidR="00E95E3B" w:rsidRPr="00B67199" w:rsidRDefault="00E95E3B" w:rsidP="00E95E3B">
            <w:pPr>
              <w:pStyle w:val="TableText"/>
              <w:spacing w:before="0"/>
              <w:jc w:val="both"/>
              <w:rPr>
                <w:rFonts w:cs="Calibri"/>
              </w:rPr>
            </w:pPr>
          </w:p>
        </w:tc>
      </w:tr>
      <w:tr w:rsidR="00E95E3B" w:rsidRPr="00B67199" w14:paraId="37DE6F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FF7428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0BBF500B" w14:textId="28AE2F1C" w:rsidR="00E95E3B" w:rsidRPr="00B67199" w:rsidRDefault="00E95E3B" w:rsidP="00E95E3B">
            <w:pPr>
              <w:pStyle w:val="TableText"/>
              <w:spacing w:before="0"/>
              <w:jc w:val="both"/>
              <w:rPr>
                <w:rFonts w:cs="Calibri"/>
              </w:rPr>
            </w:pPr>
            <w:r w:rsidRPr="007C5459">
              <w:rPr>
                <w:rFonts w:cs="Calibri"/>
                <w:b/>
                <w:bCs/>
              </w:rPr>
              <w:t>Total Current Other Assets</w:t>
            </w:r>
          </w:p>
        </w:tc>
        <w:tc>
          <w:tcPr>
            <w:tcW w:w="1559" w:type="dxa"/>
            <w:tcBorders>
              <w:top w:val="single" w:sz="2" w:space="0" w:color="auto"/>
              <w:left w:val="nil"/>
              <w:bottom w:val="single" w:sz="2" w:space="0" w:color="auto"/>
              <w:right w:val="nil"/>
            </w:tcBorders>
          </w:tcPr>
          <w:p w14:paraId="456E6F2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335DFDCD" w14:textId="61F99C8A" w:rsidR="00E95E3B" w:rsidRPr="00B67199" w:rsidRDefault="00E95E3B" w:rsidP="00E95E3B">
            <w:pPr>
              <w:pStyle w:val="TableText"/>
              <w:spacing w:before="0"/>
              <w:jc w:val="both"/>
              <w:rPr>
                <w:rFonts w:cs="Calibri"/>
              </w:rPr>
            </w:pPr>
          </w:p>
        </w:tc>
      </w:tr>
      <w:tr w:rsidR="00E95E3B" w:rsidRPr="00B67199" w14:paraId="640E7DD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3267205"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64F0F98A" w14:textId="77777777" w:rsidR="00E95E3B" w:rsidRPr="00B67199" w:rsidRDefault="00E95E3B" w:rsidP="00E95E3B">
            <w:pPr>
              <w:pStyle w:val="TableText"/>
              <w:spacing w:before="0"/>
              <w:jc w:val="both"/>
              <w:rPr>
                <w:rFonts w:cs="Calibri"/>
              </w:rPr>
            </w:pPr>
          </w:p>
        </w:tc>
        <w:tc>
          <w:tcPr>
            <w:tcW w:w="1559" w:type="dxa"/>
            <w:tcBorders>
              <w:top w:val="single" w:sz="2" w:space="0" w:color="auto"/>
              <w:left w:val="nil"/>
              <w:bottom w:val="nil"/>
              <w:right w:val="nil"/>
            </w:tcBorders>
          </w:tcPr>
          <w:p w14:paraId="0BA2072A"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nil"/>
              <w:right w:val="nil"/>
            </w:tcBorders>
          </w:tcPr>
          <w:p w14:paraId="6B6A3209" w14:textId="4109E1C1" w:rsidR="00E95E3B" w:rsidRPr="00B67199" w:rsidRDefault="00E95E3B" w:rsidP="00E95E3B">
            <w:pPr>
              <w:pStyle w:val="TableText"/>
              <w:spacing w:before="0"/>
              <w:jc w:val="both"/>
              <w:rPr>
                <w:rFonts w:cs="Calibri"/>
              </w:rPr>
            </w:pPr>
          </w:p>
        </w:tc>
      </w:tr>
      <w:tr w:rsidR="00E95E3B" w:rsidRPr="00B67199" w14:paraId="41F01614"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047507A1" w14:textId="359C46C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18B24E8F" w14:textId="29D1BB97" w:rsidR="00E95E3B" w:rsidRPr="00B67199" w:rsidRDefault="00E95E3B" w:rsidP="00E95E3B">
            <w:pPr>
              <w:pStyle w:val="TableText"/>
              <w:spacing w:before="0"/>
              <w:jc w:val="both"/>
              <w:rPr>
                <w:rFonts w:cs="Calibri"/>
              </w:rPr>
            </w:pPr>
            <w:r w:rsidRPr="007C5459">
              <w:rPr>
                <w:rFonts w:cs="Calibri"/>
                <w:b/>
                <w:bCs/>
              </w:rPr>
              <w:t>Non-Current Other Assets</w:t>
            </w:r>
          </w:p>
        </w:tc>
        <w:tc>
          <w:tcPr>
            <w:tcW w:w="1559" w:type="dxa"/>
            <w:tcBorders>
              <w:top w:val="nil"/>
              <w:left w:val="nil"/>
              <w:bottom w:val="nil"/>
              <w:right w:val="nil"/>
            </w:tcBorders>
          </w:tcPr>
          <w:p w14:paraId="0B7C77BA"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1AFEF455" w14:textId="1CDDCFAE" w:rsidR="00E95E3B" w:rsidRPr="00B67199" w:rsidRDefault="00E95E3B" w:rsidP="00E95E3B">
            <w:pPr>
              <w:pStyle w:val="TableText"/>
              <w:spacing w:before="0"/>
              <w:jc w:val="both"/>
              <w:rPr>
                <w:rFonts w:cs="Calibri"/>
              </w:rPr>
            </w:pPr>
          </w:p>
        </w:tc>
      </w:tr>
      <w:tr w:rsidR="00E95E3B" w:rsidRPr="00B67199" w14:paraId="39943AC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58E0916" w14:textId="4F9AFF2D"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4FF6FEE" w14:textId="5ED40E86" w:rsidR="00E95E3B" w:rsidRPr="00B67199" w:rsidRDefault="00E95E3B" w:rsidP="00E95E3B">
            <w:pPr>
              <w:pStyle w:val="TableText"/>
              <w:spacing w:before="0"/>
              <w:jc w:val="both"/>
              <w:rPr>
                <w:rFonts w:cs="Calibri"/>
              </w:rPr>
            </w:pPr>
            <w:r w:rsidRPr="007C5459">
              <w:rPr>
                <w:rFonts w:cs="Calibri"/>
              </w:rPr>
              <w:t>Prepayments</w:t>
            </w:r>
          </w:p>
        </w:tc>
        <w:tc>
          <w:tcPr>
            <w:tcW w:w="1559" w:type="dxa"/>
            <w:tcBorders>
              <w:top w:val="nil"/>
              <w:left w:val="nil"/>
              <w:bottom w:val="nil"/>
              <w:right w:val="nil"/>
            </w:tcBorders>
          </w:tcPr>
          <w:p w14:paraId="7675B641"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328BD5C2" w14:textId="26CA2F87" w:rsidR="00E95E3B" w:rsidRPr="00B67199" w:rsidRDefault="00E95E3B" w:rsidP="00E95E3B">
            <w:pPr>
              <w:pStyle w:val="TableText"/>
              <w:spacing w:before="0"/>
              <w:jc w:val="both"/>
              <w:rPr>
                <w:rFonts w:cs="Calibri"/>
              </w:rPr>
            </w:pPr>
          </w:p>
        </w:tc>
      </w:tr>
      <w:tr w:rsidR="00E95E3B" w:rsidRPr="00B67199" w14:paraId="66D8E37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12F2392" w14:textId="083C545E"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8745EB3" w14:textId="40E8696B" w:rsidR="00E95E3B" w:rsidRPr="00B67199" w:rsidRDefault="00E95E3B" w:rsidP="00E95E3B">
            <w:pPr>
              <w:pStyle w:val="TableText"/>
              <w:spacing w:before="0"/>
              <w:jc w:val="both"/>
              <w:rPr>
                <w:rFonts w:cs="Calibri"/>
              </w:rPr>
            </w:pPr>
            <w:r w:rsidRPr="00CF7E1B">
              <w:rPr>
                <w:rFonts w:cs="Calibri"/>
              </w:rPr>
              <w:t>Rights to Receive Land and Buildings</w:t>
            </w:r>
          </w:p>
        </w:tc>
        <w:tc>
          <w:tcPr>
            <w:tcW w:w="1559" w:type="dxa"/>
            <w:tcBorders>
              <w:top w:val="nil"/>
              <w:left w:val="nil"/>
              <w:bottom w:val="nil"/>
              <w:right w:val="nil"/>
            </w:tcBorders>
          </w:tcPr>
          <w:p w14:paraId="1361B785"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06A0EE0C" w14:textId="35BCA5BD" w:rsidR="00E95E3B" w:rsidRPr="00B67199" w:rsidRDefault="00E95E3B" w:rsidP="00E95E3B">
            <w:pPr>
              <w:pStyle w:val="TableText"/>
              <w:spacing w:before="0"/>
              <w:jc w:val="both"/>
              <w:rPr>
                <w:rFonts w:cs="Calibri"/>
              </w:rPr>
            </w:pPr>
          </w:p>
        </w:tc>
      </w:tr>
      <w:tr w:rsidR="00E95E3B" w:rsidRPr="00B67199" w14:paraId="52F338A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71A8D987" w14:textId="0D7D46A9"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75ADF485" w14:textId="1755833D" w:rsidR="00E95E3B" w:rsidRPr="00B67199" w:rsidRDefault="00E95E3B" w:rsidP="00E95E3B">
            <w:pPr>
              <w:pStyle w:val="TableText"/>
              <w:spacing w:before="0"/>
              <w:jc w:val="both"/>
              <w:rPr>
                <w:rFonts w:cs="Calibri"/>
              </w:rPr>
            </w:pPr>
            <w:r w:rsidRPr="007C5459">
              <w:rPr>
                <w:rFonts w:cs="Calibri"/>
              </w:rPr>
              <w:t>Other</w:t>
            </w:r>
          </w:p>
        </w:tc>
        <w:tc>
          <w:tcPr>
            <w:tcW w:w="1559" w:type="dxa"/>
            <w:tcBorders>
              <w:top w:val="nil"/>
              <w:left w:val="nil"/>
              <w:bottom w:val="single" w:sz="2" w:space="0" w:color="auto"/>
              <w:right w:val="nil"/>
            </w:tcBorders>
          </w:tcPr>
          <w:p w14:paraId="2D8A827C"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299BA41A" w14:textId="52D5DDBF" w:rsidR="00E95E3B" w:rsidRPr="00B67199" w:rsidRDefault="00E95E3B" w:rsidP="00E95E3B">
            <w:pPr>
              <w:pStyle w:val="TableText"/>
              <w:spacing w:before="0"/>
              <w:jc w:val="both"/>
              <w:rPr>
                <w:rFonts w:cs="Calibri"/>
              </w:rPr>
            </w:pPr>
          </w:p>
        </w:tc>
      </w:tr>
      <w:tr w:rsidR="00E95E3B" w:rsidRPr="00B67199" w14:paraId="402FFF0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CF62A0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7AB66CC2" w14:textId="466B9CDE" w:rsidR="00E95E3B" w:rsidRPr="00B67199" w:rsidRDefault="00E95E3B" w:rsidP="00E95E3B">
            <w:pPr>
              <w:pStyle w:val="TableText"/>
              <w:spacing w:before="0"/>
              <w:jc w:val="both"/>
              <w:rPr>
                <w:rFonts w:cs="Calibri"/>
              </w:rPr>
            </w:pPr>
            <w:r w:rsidRPr="00CF7E1B">
              <w:rPr>
                <w:rFonts w:cs="Calibri"/>
                <w:b/>
                <w:bCs/>
              </w:rPr>
              <w:t>Total Non-Current Other Assets</w:t>
            </w:r>
          </w:p>
        </w:tc>
        <w:tc>
          <w:tcPr>
            <w:tcW w:w="1559" w:type="dxa"/>
            <w:tcBorders>
              <w:top w:val="single" w:sz="2" w:space="0" w:color="auto"/>
              <w:left w:val="nil"/>
              <w:bottom w:val="single" w:sz="2" w:space="0" w:color="auto"/>
              <w:right w:val="nil"/>
            </w:tcBorders>
          </w:tcPr>
          <w:p w14:paraId="43774D1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57D2771A" w14:textId="1F52222F" w:rsidR="00E95E3B" w:rsidRPr="00B67199" w:rsidRDefault="00E95E3B" w:rsidP="00E95E3B">
            <w:pPr>
              <w:pStyle w:val="TableText"/>
              <w:spacing w:before="0"/>
              <w:jc w:val="both"/>
              <w:rPr>
                <w:rFonts w:cs="Calibri"/>
              </w:rPr>
            </w:pPr>
          </w:p>
        </w:tc>
      </w:tr>
      <w:tr w:rsidR="00E95E3B" w:rsidRPr="00B67199" w14:paraId="7413044D"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74608D7"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4CDE111" w14:textId="6DF1D0E3" w:rsidR="00E95E3B" w:rsidRPr="00B67199" w:rsidRDefault="00E95E3B" w:rsidP="00E95E3B">
            <w:pPr>
              <w:pStyle w:val="TableText"/>
              <w:spacing w:before="0"/>
              <w:jc w:val="both"/>
              <w:rPr>
                <w:rFonts w:cs="Calibri"/>
              </w:rPr>
            </w:pPr>
            <w:r w:rsidRPr="00CF7E1B">
              <w:rPr>
                <w:rFonts w:cs="Calibri"/>
                <w:b/>
                <w:bCs/>
              </w:rPr>
              <w:t>Total Other Assets</w:t>
            </w:r>
          </w:p>
        </w:tc>
        <w:tc>
          <w:tcPr>
            <w:tcW w:w="1559" w:type="dxa"/>
            <w:tcBorders>
              <w:top w:val="single" w:sz="2" w:space="0" w:color="auto"/>
              <w:left w:val="nil"/>
              <w:bottom w:val="double" w:sz="4" w:space="0" w:color="auto"/>
              <w:right w:val="nil"/>
            </w:tcBorders>
          </w:tcPr>
          <w:p w14:paraId="29403586"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double" w:sz="4" w:space="0" w:color="auto"/>
              <w:right w:val="nil"/>
            </w:tcBorders>
          </w:tcPr>
          <w:p w14:paraId="0C56AC0C" w14:textId="3DC41AD4" w:rsidR="00E95E3B" w:rsidRPr="00B67199" w:rsidRDefault="00E95E3B" w:rsidP="00E95E3B">
            <w:pPr>
              <w:pStyle w:val="TableText"/>
              <w:spacing w:before="0"/>
              <w:jc w:val="both"/>
              <w:rPr>
                <w:rFonts w:cs="Calibri"/>
              </w:rPr>
            </w:pPr>
          </w:p>
        </w:tc>
      </w:tr>
    </w:tbl>
    <w:p w14:paraId="300DCFA4" w14:textId="17D41974" w:rsidR="000D6708" w:rsidRDefault="000D6708"/>
    <w:p w14:paraId="3EE14464" w14:textId="6E272AE2" w:rsidR="006746FA" w:rsidRDefault="006746FA">
      <w:r>
        <w:br w:type="page"/>
      </w:r>
    </w:p>
    <w:tbl>
      <w:tblPr>
        <w:tblW w:w="528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2094"/>
        <w:gridCol w:w="4215"/>
        <w:gridCol w:w="272"/>
        <w:gridCol w:w="239"/>
        <w:gridCol w:w="856"/>
        <w:gridCol w:w="232"/>
        <w:gridCol w:w="60"/>
        <w:gridCol w:w="22"/>
        <w:gridCol w:w="11"/>
        <w:gridCol w:w="1213"/>
        <w:gridCol w:w="366"/>
      </w:tblGrid>
      <w:tr w:rsidR="008D14EE" w:rsidRPr="00737E3B" w14:paraId="53C097A6" w14:textId="77777777" w:rsidTr="00D43DDC">
        <w:tc>
          <w:tcPr>
            <w:tcW w:w="704" w:type="pct"/>
            <w:tcBorders>
              <w:top w:val="nil"/>
              <w:left w:val="single" w:sz="2" w:space="0" w:color="auto"/>
              <w:bottom w:val="nil"/>
              <w:right w:val="single" w:sz="2" w:space="0" w:color="auto"/>
            </w:tcBorders>
          </w:tcPr>
          <w:p w14:paraId="735475A8" w14:textId="5EFDEAD9" w:rsidR="008D14EE" w:rsidRPr="006A4165" w:rsidRDefault="00A50107" w:rsidP="00A50107">
            <w:pPr>
              <w:pStyle w:val="Reference"/>
              <w:tabs>
                <w:tab w:val="left" w:pos="3306"/>
              </w:tabs>
              <w:spacing w:before="240" w:after="240"/>
              <w:rPr>
                <w:rFonts w:cs="Calibri"/>
                <w:color w:val="7030A0"/>
                <w:sz w:val="14"/>
                <w:szCs w:val="14"/>
              </w:rPr>
            </w:pPr>
            <w:r w:rsidRPr="006A4165">
              <w:rPr>
                <w:rFonts w:cs="Calibri"/>
                <w:color w:val="7030A0"/>
                <w:sz w:val="22"/>
                <w:szCs w:val="22"/>
              </w:rPr>
              <w:t>Reference</w:t>
            </w:r>
          </w:p>
        </w:tc>
        <w:tc>
          <w:tcPr>
            <w:tcW w:w="4296" w:type="pct"/>
            <w:gridSpan w:val="11"/>
            <w:tcBorders>
              <w:top w:val="nil"/>
              <w:left w:val="single" w:sz="2" w:space="0" w:color="auto"/>
              <w:bottom w:val="nil"/>
              <w:right w:val="nil"/>
            </w:tcBorders>
          </w:tcPr>
          <w:p w14:paraId="0A32A3BF" w14:textId="170A5B37" w:rsidR="008D14EE" w:rsidRPr="006746FA" w:rsidRDefault="00B76E60" w:rsidP="009A0F2F">
            <w:pPr>
              <w:pStyle w:val="Heading1"/>
              <w:numPr>
                <w:ilvl w:val="0"/>
                <w:numId w:val="0"/>
              </w:numPr>
              <w:ind w:left="34"/>
              <w:rPr>
                <w:rFonts w:asciiTheme="minorHAnsi" w:hAnsiTheme="minorHAnsi" w:cstheme="minorHAnsi"/>
                <w:sz w:val="36"/>
                <w:szCs w:val="36"/>
              </w:rPr>
            </w:pPr>
            <w:bookmarkStart w:id="679" w:name="_Toc132743814"/>
            <w:r>
              <w:rPr>
                <w:rFonts w:asciiTheme="minorHAnsi" w:hAnsiTheme="minorHAnsi" w:cstheme="minorHAnsi"/>
                <w:sz w:val="36"/>
                <w:szCs w:val="36"/>
              </w:rPr>
              <w:t>Liability Notes</w:t>
            </w:r>
            <w:bookmarkEnd w:id="679"/>
            <w:r w:rsidR="00FA7C77">
              <w:rPr>
                <w:rFonts w:asciiTheme="minorHAnsi" w:hAnsiTheme="minorHAnsi" w:cstheme="minorHAnsi"/>
                <w:sz w:val="36"/>
                <w:szCs w:val="36"/>
              </w:rPr>
              <w:t xml:space="preserve">                             </w:t>
            </w:r>
          </w:p>
        </w:tc>
      </w:tr>
      <w:tr w:rsidR="008D14EE" w:rsidRPr="00FD6C68" w14:paraId="40A53A3A" w14:textId="77777777" w:rsidTr="00D43DDC">
        <w:tc>
          <w:tcPr>
            <w:tcW w:w="704" w:type="pct"/>
            <w:tcBorders>
              <w:top w:val="nil"/>
              <w:left w:val="single" w:sz="2" w:space="0" w:color="auto"/>
              <w:bottom w:val="nil"/>
              <w:right w:val="single" w:sz="2" w:space="0" w:color="auto"/>
            </w:tcBorders>
          </w:tcPr>
          <w:p w14:paraId="1E869D2A" w14:textId="77777777" w:rsidR="008D14EE" w:rsidRPr="006A4165" w:rsidRDefault="008D14EE" w:rsidP="009A0F2F">
            <w:pPr>
              <w:pStyle w:val="Reference"/>
              <w:tabs>
                <w:tab w:val="left" w:pos="3306"/>
              </w:tabs>
              <w:rPr>
                <w:rFonts w:cs="Calibri"/>
                <w:color w:val="7030A0"/>
                <w:sz w:val="14"/>
                <w:szCs w:val="14"/>
              </w:rPr>
            </w:pPr>
          </w:p>
        </w:tc>
        <w:tc>
          <w:tcPr>
            <w:tcW w:w="4296" w:type="pct"/>
            <w:gridSpan w:val="11"/>
            <w:tcBorders>
              <w:top w:val="nil"/>
              <w:left w:val="single" w:sz="2" w:space="0" w:color="auto"/>
              <w:bottom w:val="nil"/>
              <w:right w:val="nil"/>
            </w:tcBorders>
          </w:tcPr>
          <w:p w14:paraId="2D481047" w14:textId="3588BA03" w:rsidR="008D14EE" w:rsidRPr="0028231E" w:rsidRDefault="008D14EE" w:rsidP="0028231E">
            <w:pPr>
              <w:spacing w:after="60"/>
              <w:rPr>
                <w:rFonts w:asciiTheme="minorHAnsi" w:hAnsiTheme="minorHAnsi" w:cstheme="minorHAnsi"/>
                <w:b/>
                <w:bCs/>
                <w:sz w:val="18"/>
                <w:szCs w:val="18"/>
              </w:rPr>
            </w:pPr>
            <w:bookmarkStart w:id="680" w:name="_Toc98763142"/>
            <w:r w:rsidRPr="0028231E">
              <w:rPr>
                <w:b/>
                <w:bCs/>
                <w:sz w:val="18"/>
                <w:szCs w:val="18"/>
              </w:rPr>
              <w:t>Material Accounting Policies – Liability</w:t>
            </w:r>
            <w:bookmarkEnd w:id="680"/>
            <w:r w:rsidRPr="0028231E">
              <w:rPr>
                <w:b/>
                <w:bCs/>
                <w:sz w:val="18"/>
                <w:szCs w:val="18"/>
              </w:rPr>
              <w:t xml:space="preserve"> </w:t>
            </w:r>
          </w:p>
        </w:tc>
      </w:tr>
      <w:tr w:rsidR="008D14EE" w14:paraId="7C5F2B3F" w14:textId="77777777" w:rsidTr="00D43DDC">
        <w:tc>
          <w:tcPr>
            <w:tcW w:w="704" w:type="pct"/>
            <w:tcBorders>
              <w:top w:val="nil"/>
              <w:left w:val="single" w:sz="2" w:space="0" w:color="auto"/>
              <w:bottom w:val="nil"/>
              <w:right w:val="single" w:sz="2" w:space="0" w:color="auto"/>
            </w:tcBorders>
          </w:tcPr>
          <w:p w14:paraId="1DB79305" w14:textId="148181D0" w:rsidR="008D14EE" w:rsidRPr="006A4165" w:rsidRDefault="008D14EE" w:rsidP="009A0F2F">
            <w:pPr>
              <w:pStyle w:val="Reference"/>
              <w:tabs>
                <w:tab w:val="left" w:pos="3306"/>
              </w:tabs>
              <w:rPr>
                <w:rFonts w:cs="Calibri"/>
                <w:color w:val="7030A0"/>
                <w:sz w:val="14"/>
                <w:szCs w:val="14"/>
              </w:rPr>
            </w:pPr>
          </w:p>
        </w:tc>
        <w:tc>
          <w:tcPr>
            <w:tcW w:w="4296" w:type="pct"/>
            <w:gridSpan w:val="11"/>
            <w:tcBorders>
              <w:top w:val="nil"/>
              <w:left w:val="single" w:sz="2" w:space="0" w:color="auto"/>
              <w:bottom w:val="nil"/>
              <w:right w:val="nil"/>
            </w:tcBorders>
          </w:tcPr>
          <w:p w14:paraId="268FF964" w14:textId="2A1E1818" w:rsidR="008D14EE" w:rsidRPr="006746FA" w:rsidRDefault="008D14EE" w:rsidP="008D14EE">
            <w:pPr>
              <w:rPr>
                <w:rFonts w:cs="Calibri"/>
                <w:b/>
                <w:bCs/>
                <w:sz w:val="18"/>
                <w:szCs w:val="18"/>
              </w:rPr>
            </w:pPr>
            <w:r w:rsidRPr="006746FA">
              <w:rPr>
                <w:rFonts w:cs="Calibri"/>
                <w:b/>
                <w:bCs/>
                <w:sz w:val="18"/>
                <w:szCs w:val="18"/>
              </w:rPr>
              <w:t xml:space="preserve">Liabilities – Current and Non-Current </w:t>
            </w:r>
          </w:p>
        </w:tc>
      </w:tr>
      <w:tr w:rsidR="008D14EE" w14:paraId="5D1C8A7D" w14:textId="77777777" w:rsidTr="00D43DDC">
        <w:trPr>
          <w:gridAfter w:val="1"/>
          <w:wAfter w:w="165" w:type="pct"/>
        </w:trPr>
        <w:tc>
          <w:tcPr>
            <w:tcW w:w="704" w:type="pct"/>
            <w:tcBorders>
              <w:top w:val="nil"/>
              <w:left w:val="single" w:sz="2" w:space="0" w:color="auto"/>
              <w:bottom w:val="nil"/>
              <w:right w:val="single" w:sz="2" w:space="0" w:color="auto"/>
            </w:tcBorders>
          </w:tcPr>
          <w:p w14:paraId="5FB70C65" w14:textId="32CE6441" w:rsidR="008D14EE" w:rsidRPr="006A4165" w:rsidRDefault="008D14EE" w:rsidP="008D14EE">
            <w:pPr>
              <w:pStyle w:val="Reference"/>
              <w:tabs>
                <w:tab w:val="left" w:pos="3306"/>
              </w:tabs>
              <w:rPr>
                <w:color w:val="7030A0"/>
                <w:sz w:val="18"/>
              </w:rPr>
            </w:pPr>
            <w:r w:rsidRPr="006A4165">
              <w:rPr>
                <w:b w:val="0"/>
                <w:bCs w:val="0"/>
                <w:color w:val="7030A0"/>
                <w:sz w:val="14"/>
                <w:szCs w:val="14"/>
              </w:rPr>
              <w:t>AASB 101.60 &amp; 69</w:t>
            </w:r>
          </w:p>
        </w:tc>
        <w:tc>
          <w:tcPr>
            <w:tcW w:w="4131" w:type="pct"/>
            <w:gridSpan w:val="10"/>
            <w:tcBorders>
              <w:top w:val="nil"/>
              <w:left w:val="single" w:sz="2" w:space="0" w:color="auto"/>
              <w:bottom w:val="nil"/>
              <w:right w:val="nil"/>
            </w:tcBorders>
          </w:tcPr>
          <w:p w14:paraId="0C636B6A" w14:textId="5AB10C6A" w:rsidR="008D14EE" w:rsidRPr="006746FA" w:rsidRDefault="008D14EE" w:rsidP="00BD1849">
            <w:pPr>
              <w:jc w:val="both"/>
              <w:rPr>
                <w:rFonts w:cs="Calibri"/>
                <w:b/>
                <w:bCs/>
                <w:sz w:val="18"/>
                <w:szCs w:val="18"/>
              </w:rPr>
            </w:pPr>
            <w:r w:rsidRPr="006746FA">
              <w:rPr>
                <w:sz w:val="18"/>
                <w:szCs w:val="18"/>
              </w:rPr>
              <w:t>Liabilities are classified as current when they are due to be settled within 12 months after the reporting date or the Agency does not have an unconditional right to defer settlement of the liability for at least 12 months after the reporting date.</w:t>
            </w:r>
            <w:r w:rsidR="00FA7C77">
              <w:rPr>
                <w:sz w:val="18"/>
                <w:szCs w:val="18"/>
              </w:rPr>
              <w:t xml:space="preserve"> </w:t>
            </w:r>
            <w:r w:rsidRPr="006746FA">
              <w:rPr>
                <w:sz w:val="18"/>
                <w:szCs w:val="18"/>
              </w:rPr>
              <w:t>Liabilities, which do not fall within the current classification, are classified as non-current.</w:t>
            </w:r>
          </w:p>
        </w:tc>
      </w:tr>
      <w:tr w:rsidR="000144FF" w:rsidRPr="00CF7E1B" w14:paraId="3013BEE2"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130FBD22" w14:textId="77777777" w:rsidR="000144FF" w:rsidRPr="006A4165" w:rsidRDefault="000144FF">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tcPr>
          <w:p w14:paraId="5DD784EF" w14:textId="1A505D7A" w:rsidR="000144FF" w:rsidRPr="008A6781" w:rsidRDefault="00B578B1" w:rsidP="00065B2B">
            <w:pPr>
              <w:pStyle w:val="Heading1"/>
              <w:numPr>
                <w:ilvl w:val="0"/>
                <w:numId w:val="0"/>
              </w:numPr>
            </w:pPr>
            <w:bookmarkStart w:id="681" w:name="_Toc48468579"/>
            <w:bookmarkStart w:id="682" w:name="_Toc49155685"/>
            <w:bookmarkStart w:id="683" w:name="_Toc49224115"/>
            <w:bookmarkStart w:id="684" w:name="_Ref50365632"/>
            <w:bookmarkStart w:id="685" w:name="_Toc50440379"/>
            <w:bookmarkStart w:id="686" w:name="_Ref50524166"/>
            <w:bookmarkStart w:id="687" w:name="_Toc400627349"/>
            <w:bookmarkStart w:id="688" w:name="_Toc132743815"/>
            <w:r w:rsidRPr="008A6781">
              <w:t xml:space="preserve">Note </w:t>
            </w:r>
            <w:r w:rsidR="00DE287B" w:rsidRPr="008A6781">
              <w:t>24</w:t>
            </w:r>
            <w:r w:rsidRPr="008A6781">
              <w:t>.</w:t>
            </w:r>
            <w:r w:rsidR="00FA7C77" w:rsidRPr="008A6781">
              <w:t xml:space="preserve"> </w:t>
            </w:r>
            <w:r w:rsidRPr="008A6781">
              <w:t xml:space="preserve"> </w:t>
            </w:r>
            <w:r w:rsidR="000144FF" w:rsidRPr="008A6781">
              <w:t>Payables</w:t>
            </w:r>
            <w:bookmarkEnd w:id="681"/>
            <w:bookmarkEnd w:id="682"/>
            <w:bookmarkEnd w:id="683"/>
            <w:bookmarkEnd w:id="684"/>
            <w:bookmarkEnd w:id="685"/>
            <w:bookmarkEnd w:id="686"/>
            <w:bookmarkEnd w:id="687"/>
            <w:r w:rsidR="002541C3" w:rsidRPr="008A6781">
              <w:t xml:space="preserve"> </w:t>
            </w:r>
            <w:r w:rsidR="002541C3" w:rsidRPr="008A6781">
              <w:rPr>
                <w:rFonts w:cs="Calibri"/>
                <w:strike/>
                <w:color w:val="FF0000"/>
              </w:rPr>
              <w:t>and Contract Liabilities</w:t>
            </w:r>
            <w:bookmarkEnd w:id="688"/>
          </w:p>
        </w:tc>
      </w:tr>
      <w:bookmarkEnd w:id="677"/>
      <w:tr w:rsidR="00C63A13" w:rsidRPr="00CF7E1B" w14:paraId="0F4C00DC"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0B88AA14" w14:textId="77777777" w:rsidR="00C63A13" w:rsidRPr="006A4165" w:rsidRDefault="00C63A13">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tcPr>
          <w:p w14:paraId="14F17CC3" w14:textId="49844521" w:rsidR="00C63A13" w:rsidRPr="008A6781" w:rsidRDefault="00813C6E" w:rsidP="00C63A13">
            <w:pPr>
              <w:pStyle w:val="TableTitle"/>
              <w:tabs>
                <w:tab w:val="left" w:pos="3306"/>
              </w:tabs>
              <w:spacing w:before="120"/>
              <w:jc w:val="left"/>
            </w:pPr>
            <w:r w:rsidRPr="008A6781">
              <w:t xml:space="preserve">Description and </w:t>
            </w:r>
            <w:r w:rsidR="00C63A13" w:rsidRPr="008A6781">
              <w:t>Material Accounting Policies Relating to Payables</w:t>
            </w:r>
            <w:r w:rsidR="00B36BAC" w:rsidRPr="008A6781">
              <w:t xml:space="preserve"> </w:t>
            </w:r>
            <w:r w:rsidR="00B36BAC" w:rsidRPr="008A6781">
              <w:rPr>
                <w:strike/>
                <w:color w:val="FF0000"/>
              </w:rPr>
              <w:t>and Contract Liabilities</w:t>
            </w:r>
          </w:p>
        </w:tc>
      </w:tr>
      <w:tr w:rsidR="00B36BAC" w:rsidRPr="00CF7E1B" w14:paraId="29BB2614"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5475133E" w14:textId="77777777" w:rsidR="00B36BAC" w:rsidRPr="006A4165" w:rsidRDefault="00B36BA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tcPr>
          <w:p w14:paraId="2A701AA6" w14:textId="7A0FD380" w:rsidR="00B36BAC" w:rsidRPr="006A4165" w:rsidRDefault="00B36BAC" w:rsidP="00B36BAC">
            <w:pPr>
              <w:pStyle w:val="TableTitle"/>
              <w:tabs>
                <w:tab w:val="left" w:pos="3306"/>
              </w:tabs>
              <w:spacing w:before="120"/>
              <w:jc w:val="left"/>
              <w:rPr>
                <w:b w:val="0"/>
                <w:bCs w:val="0"/>
                <w:i/>
                <w:iCs/>
              </w:rPr>
            </w:pPr>
            <w:r w:rsidRPr="006A4165">
              <w:rPr>
                <w:b w:val="0"/>
                <w:bCs w:val="0"/>
                <w:i/>
                <w:iCs/>
              </w:rPr>
              <w:t>Payables</w:t>
            </w:r>
          </w:p>
        </w:tc>
      </w:tr>
      <w:tr w:rsidR="00813C6E" w:rsidRPr="00CF7E1B" w14:paraId="0EC5E8A8"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68AC9DDC" w14:textId="77777777" w:rsidR="00813C6E" w:rsidRPr="006A4165" w:rsidRDefault="00813C6E">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tcPr>
          <w:p w14:paraId="4130F8CF" w14:textId="369BAA61" w:rsidR="00813C6E" w:rsidRPr="006A4165" w:rsidRDefault="00813C6E" w:rsidP="00813C6E">
            <w:pPr>
              <w:pStyle w:val="TableTitle"/>
              <w:tabs>
                <w:tab w:val="left" w:pos="3306"/>
              </w:tabs>
              <w:spacing w:after="120"/>
              <w:jc w:val="left"/>
              <w:rPr>
                <w:b w:val="0"/>
                <w:bCs w:val="0"/>
              </w:rPr>
            </w:pPr>
            <w:r w:rsidRPr="006A4165">
              <w:rPr>
                <w:b w:val="0"/>
                <w:bCs w:val="0"/>
              </w:rPr>
              <w:t>Payables include Trade Payables, Accrued Expenses and Other Payables.</w:t>
            </w:r>
            <w:r w:rsidR="00FA7C77">
              <w:rPr>
                <w:b w:val="0"/>
                <w:bCs w:val="0"/>
              </w:rPr>
              <w:t xml:space="preserve"> </w:t>
            </w:r>
          </w:p>
        </w:tc>
      </w:tr>
      <w:tr w:rsidR="00C63A13" w:rsidRPr="00CF7E1B" w14:paraId="5723961C"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73AF9ECD" w14:textId="3CF4F897" w:rsidR="00C63A13" w:rsidRPr="006A4165" w:rsidRDefault="00C63A13">
            <w:pPr>
              <w:pStyle w:val="TableReference"/>
              <w:tabs>
                <w:tab w:val="left" w:pos="3306"/>
              </w:tabs>
              <w:spacing w:before="40"/>
              <w:rPr>
                <w:rFonts w:cs="Calibri"/>
                <w:color w:val="7030A0"/>
                <w:sz w:val="14"/>
              </w:rPr>
            </w:pPr>
            <w:r w:rsidRPr="006A4165">
              <w:rPr>
                <w:color w:val="7030A0"/>
                <w:sz w:val="14"/>
              </w:rPr>
              <w:t>AASB 7.21</w:t>
            </w:r>
          </w:p>
        </w:tc>
        <w:tc>
          <w:tcPr>
            <w:tcW w:w="4131" w:type="pct"/>
            <w:gridSpan w:val="10"/>
            <w:tcBorders>
              <w:top w:val="nil"/>
              <w:left w:val="single" w:sz="2" w:space="0" w:color="auto"/>
              <w:bottom w:val="nil"/>
              <w:right w:val="nil"/>
            </w:tcBorders>
          </w:tcPr>
          <w:p w14:paraId="336C2711" w14:textId="18D597DB" w:rsidR="00C63A13" w:rsidRPr="006A4165" w:rsidRDefault="00C63A13" w:rsidP="00A703AB">
            <w:pPr>
              <w:spacing w:after="120"/>
              <w:jc w:val="both"/>
              <w:rPr>
                <w:sz w:val="18"/>
                <w:szCs w:val="18"/>
              </w:rPr>
            </w:pPr>
            <w:r w:rsidRPr="006A4165">
              <w:rPr>
                <w:sz w:val="18"/>
                <w:szCs w:val="18"/>
              </w:rPr>
              <w:t>Payables are initially recognised at fair value based on the transaction cost and subsequent to initial recognition at amortised cost, with any adjustments to the carrying amount being recorded in the Operating Statement.</w:t>
            </w:r>
            <w:r w:rsidR="00FA7C77">
              <w:rPr>
                <w:sz w:val="18"/>
                <w:szCs w:val="18"/>
              </w:rPr>
              <w:t xml:space="preserve"> </w:t>
            </w:r>
            <w:r w:rsidRPr="006A4165">
              <w:rPr>
                <w:sz w:val="18"/>
                <w:szCs w:val="18"/>
              </w:rPr>
              <w:t xml:space="preserve">All amounts are </w:t>
            </w:r>
            <w:r w:rsidR="00574DE1" w:rsidRPr="006A4165">
              <w:rPr>
                <w:sz w:val="18"/>
                <w:szCs w:val="18"/>
              </w:rPr>
              <w:t xml:space="preserve">now </w:t>
            </w:r>
            <w:r w:rsidRPr="006A4165">
              <w:rPr>
                <w:sz w:val="18"/>
                <w:szCs w:val="18"/>
              </w:rPr>
              <w:t xml:space="preserve">normally settled within </w:t>
            </w:r>
            <w:r w:rsidRPr="00B823E0">
              <w:rPr>
                <w:color w:val="C45911" w:themeColor="accent2" w:themeShade="BF"/>
                <w:sz w:val="18"/>
                <w:szCs w:val="18"/>
              </w:rPr>
              <w:t>&lt;</w:t>
            </w:r>
            <w:r w:rsidR="00574DE1" w:rsidRPr="00B823E0">
              <w:rPr>
                <w:rFonts w:cs="Calibri"/>
                <w:color w:val="C45911" w:themeColor="accent2" w:themeShade="BF"/>
                <w:sz w:val="18"/>
                <w:szCs w:val="18"/>
              </w:rPr>
              <w:t>14</w:t>
            </w:r>
            <w:r w:rsidRPr="00B823E0">
              <w:rPr>
                <w:rFonts w:cs="Calibri"/>
                <w:color w:val="C45911" w:themeColor="accent2" w:themeShade="BF"/>
                <w:sz w:val="18"/>
                <w:szCs w:val="18"/>
              </w:rPr>
              <w:t> days&gt;</w:t>
            </w:r>
            <w:r w:rsidRPr="00B823E0">
              <w:rPr>
                <w:color w:val="C45911" w:themeColor="accent2" w:themeShade="BF"/>
                <w:sz w:val="18"/>
                <w:szCs w:val="18"/>
              </w:rPr>
              <w:t xml:space="preserve"> </w:t>
            </w:r>
            <w:r w:rsidRPr="006A4165">
              <w:rPr>
                <w:sz w:val="18"/>
                <w:szCs w:val="18"/>
              </w:rPr>
              <w:t>after the invoice date</w:t>
            </w:r>
            <w:r w:rsidR="00574DE1" w:rsidRPr="006A4165">
              <w:t xml:space="preserve"> </w:t>
            </w:r>
            <w:r w:rsidR="00574DE1" w:rsidRPr="006A4165">
              <w:rPr>
                <w:sz w:val="18"/>
                <w:szCs w:val="18"/>
              </w:rPr>
              <w:t>given the ACT Government accelerated the payments of invoices for local enterprises recognising the importance of cash flow to small and medium enterprises given the COVID</w:t>
            </w:r>
            <w:r w:rsidR="00C071E7">
              <w:rPr>
                <w:sz w:val="18"/>
                <w:szCs w:val="18"/>
              </w:rPr>
              <w:noBreakHyphen/>
            </w:r>
            <w:r w:rsidR="00574DE1" w:rsidRPr="006A4165">
              <w:rPr>
                <w:sz w:val="18"/>
                <w:szCs w:val="18"/>
              </w:rPr>
              <w:t>19 pandemic</w:t>
            </w:r>
            <w:r w:rsidRPr="006A4165">
              <w:rPr>
                <w:sz w:val="18"/>
                <w:szCs w:val="18"/>
              </w:rPr>
              <w:t>.</w:t>
            </w:r>
          </w:p>
        </w:tc>
      </w:tr>
      <w:tr w:rsidR="00B36BAC" w:rsidRPr="00CF7E1B" w14:paraId="007516EA"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15E133FD" w14:textId="77777777" w:rsidR="00B36BAC" w:rsidRPr="006A4165" w:rsidRDefault="00B36BAC">
            <w:pPr>
              <w:pStyle w:val="TableReference"/>
              <w:tabs>
                <w:tab w:val="left" w:pos="3306"/>
              </w:tabs>
              <w:spacing w:before="40"/>
              <w:rPr>
                <w:color w:val="7030A0"/>
                <w:sz w:val="14"/>
              </w:rPr>
            </w:pPr>
          </w:p>
        </w:tc>
        <w:tc>
          <w:tcPr>
            <w:tcW w:w="4131" w:type="pct"/>
            <w:gridSpan w:val="10"/>
            <w:tcBorders>
              <w:top w:val="nil"/>
              <w:left w:val="single" w:sz="2" w:space="0" w:color="auto"/>
              <w:bottom w:val="nil"/>
              <w:right w:val="nil"/>
            </w:tcBorders>
          </w:tcPr>
          <w:p w14:paraId="7B9439AA" w14:textId="46C702DD" w:rsidR="00B36BAC" w:rsidRPr="006A4165" w:rsidRDefault="00B36BAC" w:rsidP="00C63A13">
            <w:pPr>
              <w:jc w:val="both"/>
              <w:rPr>
                <w:i/>
                <w:iCs/>
                <w:sz w:val="18"/>
                <w:szCs w:val="18"/>
              </w:rPr>
            </w:pPr>
            <w:r w:rsidRPr="006A4165">
              <w:rPr>
                <w:rFonts w:cs="Arial"/>
                <w:i/>
                <w:iCs/>
                <w:sz w:val="18"/>
                <w:szCs w:val="18"/>
                <w:lang w:eastAsia="en-AU"/>
              </w:rPr>
              <w:t>Contract liabilities</w:t>
            </w:r>
          </w:p>
        </w:tc>
      </w:tr>
      <w:tr w:rsidR="00B36BAC" w:rsidRPr="00CF7E1B" w14:paraId="25E79901"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75143AB3" w14:textId="77777777" w:rsidR="00DD11F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15.117</w:t>
            </w:r>
            <w:r w:rsidR="00DD11FC" w:rsidRPr="006A4165">
              <w:rPr>
                <w:rFonts w:cs="Calibri"/>
                <w:color w:val="7030A0"/>
                <w:sz w:val="14"/>
              </w:rPr>
              <w:t xml:space="preserve"> </w:t>
            </w:r>
          </w:p>
          <w:p w14:paraId="63174FC2" w14:textId="4CC322A0" w:rsidR="00B36BAC" w:rsidRPr="006A4165" w:rsidRDefault="00DD11FC" w:rsidP="00B36BAC">
            <w:pPr>
              <w:pStyle w:val="TableReference"/>
              <w:tabs>
                <w:tab w:val="left" w:pos="3306"/>
              </w:tabs>
              <w:spacing w:before="40"/>
              <w:rPr>
                <w:color w:val="7030A0"/>
                <w:sz w:val="14"/>
              </w:rPr>
            </w:pPr>
            <w:r w:rsidRPr="006A4165">
              <w:rPr>
                <w:rFonts w:cs="Calibri"/>
                <w:color w:val="7030A0"/>
                <w:sz w:val="14"/>
              </w:rPr>
              <w:t>AASB 15.116(c)</w:t>
            </w:r>
          </w:p>
        </w:tc>
        <w:tc>
          <w:tcPr>
            <w:tcW w:w="4131" w:type="pct"/>
            <w:gridSpan w:val="10"/>
            <w:tcBorders>
              <w:top w:val="nil"/>
              <w:left w:val="single" w:sz="2" w:space="0" w:color="auto"/>
              <w:bottom w:val="nil"/>
              <w:right w:val="nil"/>
            </w:tcBorders>
          </w:tcPr>
          <w:p w14:paraId="105B9ECB" w14:textId="48BBA523" w:rsidR="00B36BAC" w:rsidRPr="006A4165" w:rsidRDefault="00B36BAC" w:rsidP="00B36BAC">
            <w:pPr>
              <w:spacing w:after="120"/>
              <w:jc w:val="both"/>
              <w:rPr>
                <w:sz w:val="18"/>
                <w:szCs w:val="18"/>
              </w:rPr>
            </w:pPr>
            <w:r w:rsidRPr="006A4165">
              <w:rPr>
                <w:rFonts w:cs="Arial"/>
                <w:sz w:val="18"/>
                <w:szCs w:val="18"/>
                <w:lang w:eastAsia="en-AU"/>
              </w:rPr>
              <w:t>Contract liabilities relate to consideration received in advance from customers in respect of</w:t>
            </w:r>
            <w:r w:rsidRPr="006A4165">
              <w:rPr>
                <w:sz w:val="18"/>
                <w:szCs w:val="18"/>
              </w:rPr>
              <w:t xml:space="preserve"> Fare Revenue and Grants with Sufficiently Specific Performance Obligations</w:t>
            </w:r>
            <w:r w:rsidRPr="006A4165">
              <w:rPr>
                <w:rFonts w:cs="Arial"/>
                <w:sz w:val="18"/>
                <w:szCs w:val="18"/>
                <w:lang w:eastAsia="en-AU"/>
              </w:rPr>
              <w:t>.</w:t>
            </w:r>
            <w:r w:rsidR="00FA7C77">
              <w:rPr>
                <w:rFonts w:cs="Arial"/>
                <w:sz w:val="18"/>
                <w:szCs w:val="18"/>
                <w:lang w:eastAsia="en-AU"/>
              </w:rPr>
              <w:t xml:space="preserve"> </w:t>
            </w:r>
            <w:r w:rsidR="00DD11FC" w:rsidRPr="006A4165">
              <w:rPr>
                <w:rFonts w:cs="Arial"/>
                <w:sz w:val="18"/>
                <w:szCs w:val="18"/>
                <w:lang w:eastAsia="en-AU"/>
              </w:rPr>
              <w:t>When an amount of consideration is received from a customer prior to the Agency transferring a good or service to the customer, the balance of the consideration which has not been transferred is presented as a contract liability.</w:t>
            </w:r>
          </w:p>
        </w:tc>
      </w:tr>
      <w:tr w:rsidR="00B36BAC" w:rsidRPr="00CF7E1B" w14:paraId="105BC50D"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73FF954F" w14:textId="77777777" w:rsidR="00B36BAC" w:rsidRPr="006A4165" w:rsidRDefault="00B36BAC" w:rsidP="00B36BAC">
            <w:pPr>
              <w:pStyle w:val="TableReference"/>
              <w:tabs>
                <w:tab w:val="left" w:pos="3306"/>
              </w:tabs>
              <w:spacing w:before="40"/>
              <w:rPr>
                <w:color w:val="7030A0"/>
                <w:sz w:val="14"/>
              </w:rPr>
            </w:pPr>
          </w:p>
        </w:tc>
        <w:tc>
          <w:tcPr>
            <w:tcW w:w="4131" w:type="pct"/>
            <w:gridSpan w:val="10"/>
            <w:tcBorders>
              <w:top w:val="nil"/>
              <w:left w:val="single" w:sz="2" w:space="0" w:color="auto"/>
              <w:bottom w:val="nil"/>
              <w:right w:val="nil"/>
            </w:tcBorders>
          </w:tcPr>
          <w:p w14:paraId="2F0FE89E" w14:textId="5BA4FA31" w:rsidR="00B36BAC" w:rsidRPr="006A4165" w:rsidRDefault="00B36BAC" w:rsidP="00B36BAC">
            <w:pPr>
              <w:spacing w:after="120"/>
              <w:jc w:val="both"/>
              <w:rPr>
                <w:sz w:val="18"/>
                <w:szCs w:val="18"/>
              </w:rPr>
            </w:pPr>
            <w:r w:rsidRPr="006A4165">
              <w:rPr>
                <w:rFonts w:cs="Arial"/>
                <w:sz w:val="18"/>
                <w:szCs w:val="18"/>
                <w:lang w:eastAsia="en-AU"/>
              </w:rPr>
              <w:t>Members of the public can pay cash upon entering a bus or can pay using a MyWay card.</w:t>
            </w:r>
            <w:r w:rsidR="00FA7C77">
              <w:rPr>
                <w:rFonts w:cs="Arial"/>
                <w:sz w:val="18"/>
                <w:szCs w:val="18"/>
                <w:lang w:eastAsia="en-AU"/>
              </w:rPr>
              <w:t xml:space="preserve"> </w:t>
            </w:r>
            <w:r w:rsidRPr="006A4165">
              <w:rPr>
                <w:rFonts w:cs="Arial"/>
                <w:sz w:val="18"/>
                <w:szCs w:val="18"/>
                <w:lang w:eastAsia="en-AU"/>
              </w:rPr>
              <w:t>In order to use a MyWay card, a customer must pre-pay their bus fare by loading money onto their MyWay card, and then upon entering a bus they scan their card which deducts the amount of the fare from the card. Therefore, when customers use a MyWay card, fare revenue is collected by ‘</w:t>
            </w:r>
            <w:r w:rsidR="00645E43" w:rsidRPr="006A4165">
              <w:rPr>
                <w:sz w:val="18"/>
                <w:szCs w:val="18"/>
              </w:rPr>
              <w:t>Burley Griffin</w:t>
            </w:r>
            <w:r w:rsidRPr="006A4165">
              <w:rPr>
                <w:rFonts w:cs="Arial"/>
                <w:sz w:val="18"/>
                <w:szCs w:val="18"/>
                <w:lang w:eastAsia="en-AU"/>
              </w:rPr>
              <w:t xml:space="preserve"> Agency’ before the bus services are provided.</w:t>
            </w:r>
            <w:r w:rsidR="00FA7C77">
              <w:rPr>
                <w:rFonts w:cs="Arial"/>
                <w:sz w:val="18"/>
                <w:szCs w:val="18"/>
                <w:lang w:eastAsia="en-AU"/>
              </w:rPr>
              <w:t xml:space="preserve"> </w:t>
            </w:r>
            <w:r w:rsidRPr="006A4165">
              <w:rPr>
                <w:rFonts w:cs="Arial"/>
                <w:sz w:val="18"/>
                <w:szCs w:val="18"/>
                <w:lang w:eastAsia="en-AU"/>
              </w:rPr>
              <w:t>As such, ‘</w:t>
            </w:r>
            <w:r w:rsidR="00645E43" w:rsidRPr="006A4165">
              <w:rPr>
                <w:sz w:val="18"/>
                <w:szCs w:val="18"/>
              </w:rPr>
              <w:t>Burley Griffin</w:t>
            </w:r>
            <w:r w:rsidRPr="006A4165">
              <w:rPr>
                <w:rFonts w:cs="Arial"/>
                <w:sz w:val="18"/>
                <w:szCs w:val="18"/>
                <w:lang w:eastAsia="en-AU"/>
              </w:rPr>
              <w:t xml:space="preserve"> Agency’ recognises the revenue paid upfront as a contract liability and it then recognises this as fare revenue once the customer scans their card.</w:t>
            </w:r>
          </w:p>
        </w:tc>
      </w:tr>
      <w:tr w:rsidR="00B36BAC" w:rsidRPr="00CF7E1B" w14:paraId="2823723F" w14:textId="77777777" w:rsidTr="00D43DDC">
        <w:trPr>
          <w:gridAfter w:val="1"/>
          <w:wAfter w:w="165" w:type="pct"/>
          <w:trHeight w:val="226"/>
        </w:trPr>
        <w:tc>
          <w:tcPr>
            <w:tcW w:w="704" w:type="pct"/>
            <w:tcBorders>
              <w:top w:val="nil"/>
              <w:left w:val="single" w:sz="2" w:space="0" w:color="auto"/>
              <w:bottom w:val="nil"/>
              <w:right w:val="single" w:sz="2" w:space="0" w:color="auto"/>
            </w:tcBorders>
          </w:tcPr>
          <w:p w14:paraId="10B940FD" w14:textId="77777777" w:rsidR="00B36BAC" w:rsidRPr="006A4165" w:rsidRDefault="00B36BAC" w:rsidP="00B36BAC">
            <w:pPr>
              <w:pStyle w:val="TableReference"/>
              <w:tabs>
                <w:tab w:val="left" w:pos="3306"/>
              </w:tabs>
              <w:spacing w:before="40"/>
              <w:rPr>
                <w:color w:val="7030A0"/>
                <w:sz w:val="14"/>
              </w:rPr>
            </w:pPr>
          </w:p>
        </w:tc>
        <w:tc>
          <w:tcPr>
            <w:tcW w:w="4131" w:type="pct"/>
            <w:gridSpan w:val="10"/>
            <w:tcBorders>
              <w:top w:val="nil"/>
              <w:left w:val="single" w:sz="2" w:space="0" w:color="auto"/>
              <w:bottom w:val="nil"/>
              <w:right w:val="nil"/>
            </w:tcBorders>
          </w:tcPr>
          <w:p w14:paraId="2DFEEEFF" w14:textId="5D59416A" w:rsidR="00B36BAC" w:rsidRPr="006A4165" w:rsidRDefault="00B36BAC" w:rsidP="00B36BAC">
            <w:pPr>
              <w:spacing w:after="120"/>
              <w:jc w:val="both"/>
              <w:rPr>
                <w:sz w:val="18"/>
                <w:szCs w:val="18"/>
              </w:rPr>
            </w:pPr>
            <w:r w:rsidRPr="006A4165">
              <w:rPr>
                <w:rFonts w:cs="Calibri"/>
                <w:sz w:val="18"/>
                <w:szCs w:val="18"/>
              </w:rPr>
              <w:t>‘</w:t>
            </w:r>
            <w:r w:rsidR="00645E43" w:rsidRPr="006A4165">
              <w:rPr>
                <w:sz w:val="18"/>
                <w:szCs w:val="18"/>
              </w:rPr>
              <w:t>Burley Griffin</w:t>
            </w:r>
            <w:r w:rsidRPr="006A4165">
              <w:rPr>
                <w:rFonts w:cs="Calibri"/>
                <w:sz w:val="18"/>
                <w:szCs w:val="18"/>
              </w:rPr>
              <w:t xml:space="preserve"> Agency’ receives grants that have sufficiently specific performance obligations for conducting ecological surveys for ‘Example Commonwealth Department’. The grant payments are normally received in advance and accordingly are recognised as a contract liability until the milestones in the ecological survey funding agreement are met at which time the relevant amount is moved to revenue.</w:t>
            </w:r>
          </w:p>
        </w:tc>
      </w:tr>
      <w:tr w:rsidR="00B36BAC" w:rsidRPr="00CF7E1B" w14:paraId="4A91C403"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19909B3"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tcPr>
          <w:p w14:paraId="6715BE3D" w14:textId="77777777" w:rsidR="00B36BAC" w:rsidRPr="006A4165" w:rsidRDefault="00B36BAC" w:rsidP="00B36BAC">
            <w:pPr>
              <w:pStyle w:val="TableText"/>
              <w:tabs>
                <w:tab w:val="left" w:pos="3306"/>
              </w:tabs>
              <w:rPr>
                <w:rFonts w:cs="Calibri"/>
                <w:b/>
                <w:bCs/>
              </w:rPr>
            </w:pPr>
          </w:p>
        </w:tc>
        <w:tc>
          <w:tcPr>
            <w:tcW w:w="595" w:type="pct"/>
            <w:gridSpan w:val="3"/>
            <w:tcBorders>
              <w:top w:val="nil"/>
              <w:left w:val="nil"/>
              <w:bottom w:val="nil"/>
              <w:right w:val="nil"/>
            </w:tcBorders>
            <w:vAlign w:val="bottom"/>
          </w:tcPr>
          <w:p w14:paraId="14EAC500" w14:textId="2EDAFBBD" w:rsidR="00BB62BB" w:rsidRDefault="00B36BAC" w:rsidP="00B36BAC">
            <w:pPr>
              <w:pStyle w:val="TableTitle"/>
              <w:tabs>
                <w:tab w:val="left" w:pos="3306"/>
              </w:tabs>
              <w:rPr>
                <w:rFonts w:cs="Calibri"/>
              </w:rPr>
            </w:pPr>
            <w:r w:rsidRPr="006A4165">
              <w:rPr>
                <w:rFonts w:cs="Calibri"/>
              </w:rPr>
              <w:t>202</w:t>
            </w:r>
            <w:r w:rsidR="00A534C3">
              <w:rPr>
                <w:rFonts w:cs="Calibri"/>
              </w:rPr>
              <w:t>3</w:t>
            </w:r>
            <w:r w:rsidR="00FA7C77">
              <w:rPr>
                <w:rFonts w:cs="Calibri"/>
              </w:rPr>
              <w:t xml:space="preserve">     </w:t>
            </w:r>
          </w:p>
          <w:p w14:paraId="78BF66F9" w14:textId="1D710C1F"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c>
          <w:tcPr>
            <w:tcW w:w="586" w:type="pct"/>
            <w:gridSpan w:val="4"/>
            <w:tcBorders>
              <w:top w:val="nil"/>
              <w:left w:val="nil"/>
              <w:bottom w:val="nil"/>
              <w:right w:val="nil"/>
            </w:tcBorders>
            <w:vAlign w:val="bottom"/>
          </w:tcPr>
          <w:p w14:paraId="0D3EC08C" w14:textId="651BBAAC" w:rsidR="00BB62BB" w:rsidRDefault="00B36BAC" w:rsidP="00B36BAC">
            <w:pPr>
              <w:pStyle w:val="TableTitle"/>
              <w:tabs>
                <w:tab w:val="left" w:pos="3306"/>
              </w:tabs>
              <w:rPr>
                <w:rFonts w:cs="Calibri"/>
              </w:rPr>
            </w:pPr>
            <w:r w:rsidRPr="006A4165">
              <w:rPr>
                <w:rFonts w:cs="Calibri"/>
              </w:rPr>
              <w:t>202</w:t>
            </w:r>
            <w:r w:rsidR="00A534C3">
              <w:rPr>
                <w:rFonts w:cs="Calibri"/>
              </w:rPr>
              <w:t>2</w:t>
            </w:r>
            <w:r w:rsidR="00FA7C77">
              <w:rPr>
                <w:rFonts w:cs="Calibri"/>
              </w:rPr>
              <w:t xml:space="preserve">   </w:t>
            </w:r>
          </w:p>
          <w:p w14:paraId="2980BAFA" w14:textId="0D944C46"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r>
      <w:tr w:rsidR="00B36BAC" w:rsidRPr="00CF7E1B" w14:paraId="555C02BA"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551993F6"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tcPr>
          <w:p w14:paraId="514E1B49" w14:textId="6A29085C" w:rsidR="00B36BAC" w:rsidRPr="008A6781" w:rsidRDefault="00B36BAC" w:rsidP="00B36BAC">
            <w:pPr>
              <w:pStyle w:val="TableText"/>
              <w:tabs>
                <w:tab w:val="left" w:pos="3306"/>
              </w:tabs>
              <w:rPr>
                <w:rFonts w:cs="Calibri"/>
                <w:b/>
                <w:bCs/>
              </w:rPr>
            </w:pPr>
            <w:bookmarkStart w:id="689" w:name="_Toc48468581"/>
            <w:bookmarkStart w:id="690" w:name="_Toc49155687"/>
            <w:bookmarkStart w:id="691" w:name="_Toc49224117"/>
            <w:r w:rsidRPr="008A6781">
              <w:rPr>
                <w:rFonts w:cs="Calibri"/>
                <w:b/>
                <w:bCs/>
              </w:rPr>
              <w:t>Current Payables</w:t>
            </w:r>
            <w:bookmarkEnd w:id="689"/>
            <w:bookmarkEnd w:id="690"/>
            <w:bookmarkEnd w:id="691"/>
            <w:r w:rsidRPr="008A6781">
              <w:t xml:space="preserve"> </w:t>
            </w:r>
            <w:r w:rsidRPr="008A6781">
              <w:rPr>
                <w:b/>
                <w:bCs/>
                <w:strike/>
                <w:color w:val="FF0000"/>
              </w:rPr>
              <w:t>and Contract Liabilities</w:t>
            </w:r>
          </w:p>
        </w:tc>
        <w:tc>
          <w:tcPr>
            <w:tcW w:w="595" w:type="pct"/>
            <w:gridSpan w:val="3"/>
            <w:tcBorders>
              <w:top w:val="nil"/>
              <w:left w:val="nil"/>
              <w:bottom w:val="nil"/>
              <w:right w:val="nil"/>
            </w:tcBorders>
            <w:vAlign w:val="bottom"/>
          </w:tcPr>
          <w:p w14:paraId="3C798DF8" w14:textId="77777777"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1E4843C1" w14:textId="77777777" w:rsidR="00B36BAC" w:rsidRPr="006A4165" w:rsidRDefault="00B36BAC" w:rsidP="00B36BAC">
            <w:pPr>
              <w:pStyle w:val="TableText"/>
              <w:tabs>
                <w:tab w:val="left" w:pos="3306"/>
              </w:tabs>
              <w:jc w:val="right"/>
              <w:rPr>
                <w:rFonts w:cs="Calibri"/>
              </w:rPr>
            </w:pPr>
          </w:p>
        </w:tc>
      </w:tr>
      <w:tr w:rsidR="00B36BAC" w:rsidRPr="00CF7E1B" w14:paraId="6A4A39CB" w14:textId="77777777" w:rsidTr="00D43DDC">
        <w:trPr>
          <w:gridAfter w:val="1"/>
          <w:wAfter w:w="165" w:type="pct"/>
          <w:trHeight w:val="23"/>
        </w:trPr>
        <w:tc>
          <w:tcPr>
            <w:tcW w:w="704" w:type="pct"/>
            <w:tcBorders>
              <w:top w:val="nil"/>
              <w:left w:val="single" w:sz="2" w:space="0" w:color="auto"/>
              <w:bottom w:val="nil"/>
              <w:right w:val="single" w:sz="2" w:space="0" w:color="auto"/>
            </w:tcBorders>
            <w:vAlign w:val="center"/>
          </w:tcPr>
          <w:p w14:paraId="45E17B94"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p w14:paraId="764EA6B8"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9.5.1.1 &amp; 5.3.1</w:t>
            </w:r>
          </w:p>
        </w:tc>
        <w:tc>
          <w:tcPr>
            <w:tcW w:w="2951" w:type="pct"/>
            <w:gridSpan w:val="3"/>
            <w:tcBorders>
              <w:top w:val="nil"/>
              <w:left w:val="single" w:sz="2" w:space="0" w:color="auto"/>
              <w:bottom w:val="nil"/>
              <w:right w:val="nil"/>
            </w:tcBorders>
            <w:vAlign w:val="center"/>
          </w:tcPr>
          <w:p w14:paraId="425EC566" w14:textId="77777777" w:rsidR="00B36BAC" w:rsidRPr="008A6781" w:rsidRDefault="00B36BAC" w:rsidP="006746FA">
            <w:pPr>
              <w:pStyle w:val="TableText"/>
              <w:tabs>
                <w:tab w:val="left" w:pos="3306"/>
              </w:tabs>
              <w:rPr>
                <w:rFonts w:cs="Calibri"/>
              </w:rPr>
            </w:pPr>
            <w:r w:rsidRPr="008A6781">
              <w:rPr>
                <w:rFonts w:cs="Calibri"/>
              </w:rPr>
              <w:t xml:space="preserve">Trade Payables </w:t>
            </w:r>
            <w:r w:rsidRPr="008A6781">
              <w:rPr>
                <w:rFonts w:cs="Calibri"/>
                <w:vertAlign w:val="superscript"/>
              </w:rPr>
              <w:t xml:space="preserve">a </w:t>
            </w:r>
          </w:p>
        </w:tc>
        <w:tc>
          <w:tcPr>
            <w:tcW w:w="595" w:type="pct"/>
            <w:gridSpan w:val="3"/>
            <w:tcBorders>
              <w:top w:val="nil"/>
              <w:left w:val="nil"/>
              <w:bottom w:val="nil"/>
              <w:right w:val="nil"/>
            </w:tcBorders>
            <w:vAlign w:val="bottom"/>
          </w:tcPr>
          <w:p w14:paraId="48C7AAE7" w14:textId="4EA7EBF4"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2EF43962" w14:textId="73CE5BE2" w:rsidR="00B36BAC" w:rsidRPr="006A4165" w:rsidRDefault="00B36BAC" w:rsidP="00B36BAC">
            <w:pPr>
              <w:pStyle w:val="TableText"/>
              <w:tabs>
                <w:tab w:val="left" w:pos="3306"/>
              </w:tabs>
              <w:jc w:val="right"/>
              <w:rPr>
                <w:rFonts w:cs="Calibri"/>
              </w:rPr>
            </w:pPr>
          </w:p>
        </w:tc>
      </w:tr>
      <w:tr w:rsidR="00B36BAC" w:rsidRPr="00CF7E1B" w14:paraId="62FC8B6B" w14:textId="77777777" w:rsidTr="00D43DDC">
        <w:trPr>
          <w:gridAfter w:val="1"/>
          <w:wAfter w:w="165" w:type="pct"/>
          <w:trHeight w:val="23"/>
        </w:trPr>
        <w:tc>
          <w:tcPr>
            <w:tcW w:w="704" w:type="pct"/>
            <w:tcBorders>
              <w:top w:val="nil"/>
              <w:left w:val="single" w:sz="2" w:space="0" w:color="auto"/>
              <w:bottom w:val="nil"/>
              <w:right w:val="single" w:sz="2" w:space="0" w:color="auto"/>
            </w:tcBorders>
            <w:vAlign w:val="center"/>
          </w:tcPr>
          <w:p w14:paraId="3C980EBE"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gridSpan w:val="3"/>
            <w:tcBorders>
              <w:top w:val="nil"/>
              <w:left w:val="single" w:sz="2" w:space="0" w:color="auto"/>
              <w:bottom w:val="nil"/>
              <w:right w:val="nil"/>
            </w:tcBorders>
          </w:tcPr>
          <w:p w14:paraId="307A5B60" w14:textId="77777777" w:rsidR="00B36BAC" w:rsidRPr="008A6781" w:rsidRDefault="00B36BAC" w:rsidP="00B36BAC">
            <w:pPr>
              <w:pStyle w:val="TableText"/>
              <w:tabs>
                <w:tab w:val="left" w:pos="3306"/>
              </w:tabs>
              <w:rPr>
                <w:rFonts w:cs="Calibri"/>
              </w:rPr>
            </w:pPr>
            <w:r w:rsidRPr="008A6781">
              <w:rPr>
                <w:rFonts w:cs="Calibri"/>
              </w:rPr>
              <w:t xml:space="preserve">Other Payables </w:t>
            </w:r>
            <w:r w:rsidRPr="008A6781">
              <w:rPr>
                <w:rFonts w:cs="Calibri"/>
                <w:vertAlign w:val="superscript"/>
              </w:rPr>
              <w:t xml:space="preserve">b </w:t>
            </w:r>
          </w:p>
        </w:tc>
        <w:tc>
          <w:tcPr>
            <w:tcW w:w="595" w:type="pct"/>
            <w:gridSpan w:val="3"/>
            <w:tcBorders>
              <w:top w:val="nil"/>
              <w:left w:val="nil"/>
              <w:bottom w:val="nil"/>
              <w:right w:val="nil"/>
            </w:tcBorders>
            <w:vAlign w:val="bottom"/>
          </w:tcPr>
          <w:p w14:paraId="61104F3C" w14:textId="6421E2F4"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49BC9713" w14:textId="1B13DD6A" w:rsidR="00B36BAC" w:rsidRPr="006A4165" w:rsidRDefault="00B36BAC" w:rsidP="00B36BAC">
            <w:pPr>
              <w:pStyle w:val="TableText"/>
              <w:tabs>
                <w:tab w:val="left" w:pos="3306"/>
              </w:tabs>
              <w:jc w:val="right"/>
              <w:rPr>
                <w:rFonts w:cs="Calibri"/>
              </w:rPr>
            </w:pPr>
          </w:p>
        </w:tc>
      </w:tr>
      <w:tr w:rsidR="00B36BAC" w:rsidRPr="00CF7E1B" w14:paraId="4A049BCE" w14:textId="77777777" w:rsidTr="00D43DDC">
        <w:trPr>
          <w:gridAfter w:val="1"/>
          <w:wAfter w:w="165" w:type="pct"/>
          <w:trHeight w:val="23"/>
        </w:trPr>
        <w:tc>
          <w:tcPr>
            <w:tcW w:w="704" w:type="pct"/>
            <w:tcBorders>
              <w:top w:val="nil"/>
              <w:left w:val="single" w:sz="2" w:space="0" w:color="auto"/>
              <w:bottom w:val="nil"/>
              <w:right w:val="single" w:sz="2" w:space="0" w:color="auto"/>
            </w:tcBorders>
            <w:vAlign w:val="center"/>
          </w:tcPr>
          <w:p w14:paraId="0D7D67B5"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gridSpan w:val="3"/>
            <w:tcBorders>
              <w:top w:val="nil"/>
              <w:left w:val="single" w:sz="2" w:space="0" w:color="auto"/>
              <w:bottom w:val="nil"/>
              <w:right w:val="nil"/>
            </w:tcBorders>
          </w:tcPr>
          <w:p w14:paraId="1F004A72" w14:textId="77777777" w:rsidR="00B36BAC" w:rsidRPr="008A6781" w:rsidRDefault="00B36BAC" w:rsidP="00B36BAC">
            <w:pPr>
              <w:pStyle w:val="TableText"/>
              <w:tabs>
                <w:tab w:val="left" w:pos="3306"/>
              </w:tabs>
              <w:rPr>
                <w:rFonts w:cs="Calibri"/>
              </w:rPr>
            </w:pPr>
            <w:r w:rsidRPr="008A6781">
              <w:rPr>
                <w:rFonts w:cs="Calibri"/>
              </w:rPr>
              <w:t xml:space="preserve">Accrued Expenses </w:t>
            </w:r>
            <w:r w:rsidRPr="008A6781">
              <w:rPr>
                <w:rFonts w:cs="Calibri"/>
                <w:vertAlign w:val="superscript"/>
              </w:rPr>
              <w:t>c</w:t>
            </w:r>
          </w:p>
        </w:tc>
        <w:tc>
          <w:tcPr>
            <w:tcW w:w="595" w:type="pct"/>
            <w:gridSpan w:val="3"/>
            <w:tcBorders>
              <w:top w:val="nil"/>
              <w:left w:val="nil"/>
              <w:bottom w:val="nil"/>
              <w:right w:val="nil"/>
            </w:tcBorders>
            <w:vAlign w:val="bottom"/>
          </w:tcPr>
          <w:p w14:paraId="6934BA06" w14:textId="14A498F1"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26D16461" w14:textId="030C945E" w:rsidR="00B36BAC" w:rsidRPr="006A4165" w:rsidRDefault="00B36BAC" w:rsidP="00B36BAC">
            <w:pPr>
              <w:pStyle w:val="TableText"/>
              <w:tabs>
                <w:tab w:val="left" w:pos="3306"/>
              </w:tabs>
              <w:jc w:val="right"/>
              <w:rPr>
                <w:rFonts w:cs="Calibri"/>
              </w:rPr>
            </w:pPr>
          </w:p>
        </w:tc>
      </w:tr>
      <w:tr w:rsidR="00B36BAC" w:rsidRPr="00CF7E1B" w14:paraId="16A4E502"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58E9CE5" w14:textId="1EDB75FB"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gridSpan w:val="3"/>
            <w:tcBorders>
              <w:top w:val="nil"/>
              <w:left w:val="single" w:sz="2" w:space="0" w:color="auto"/>
              <w:bottom w:val="nil"/>
              <w:right w:val="nil"/>
            </w:tcBorders>
            <w:vAlign w:val="bottom"/>
          </w:tcPr>
          <w:p w14:paraId="0B25CD85" w14:textId="7AA16BAC" w:rsidR="00B36BAC" w:rsidRPr="008A6781" w:rsidRDefault="00B36BAC" w:rsidP="00B36BAC">
            <w:pPr>
              <w:pStyle w:val="TableText"/>
              <w:tabs>
                <w:tab w:val="left" w:pos="3306"/>
              </w:tabs>
              <w:rPr>
                <w:rFonts w:cs="Calibri"/>
              </w:rPr>
            </w:pPr>
            <w:r w:rsidRPr="008A6781">
              <w:rPr>
                <w:rFonts w:eastAsia="Calibri" w:cs="Calibri"/>
              </w:rPr>
              <w:t>Amounts Received Related to Contracts with Customers for Fare Revenue where the Performance Obligations has not yet been Satisfied</w:t>
            </w:r>
            <w:r w:rsidRPr="008A6781">
              <w:rPr>
                <w:rFonts w:eastAsia="Calibri" w:cs="Calibri"/>
                <w:strike/>
                <w:color w:val="FF0000"/>
                <w:vertAlign w:val="superscript"/>
              </w:rPr>
              <w:t>d</w:t>
            </w:r>
          </w:p>
        </w:tc>
        <w:tc>
          <w:tcPr>
            <w:tcW w:w="595" w:type="pct"/>
            <w:gridSpan w:val="3"/>
            <w:tcBorders>
              <w:top w:val="nil"/>
              <w:left w:val="nil"/>
              <w:bottom w:val="nil"/>
              <w:right w:val="nil"/>
            </w:tcBorders>
            <w:vAlign w:val="bottom"/>
          </w:tcPr>
          <w:p w14:paraId="444A1001" w14:textId="77777777"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6854C20A" w14:textId="77777777" w:rsidR="00B36BAC" w:rsidRPr="006A4165" w:rsidRDefault="00B36BAC" w:rsidP="00B36BAC">
            <w:pPr>
              <w:pStyle w:val="TableText"/>
              <w:tabs>
                <w:tab w:val="left" w:pos="3306"/>
              </w:tabs>
              <w:jc w:val="right"/>
              <w:rPr>
                <w:rFonts w:cs="Calibri"/>
              </w:rPr>
            </w:pPr>
          </w:p>
        </w:tc>
      </w:tr>
      <w:tr w:rsidR="00B36BAC" w:rsidRPr="00CF7E1B" w14:paraId="63F66324"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A27EB87" w14:textId="0033841A"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gridSpan w:val="3"/>
            <w:tcBorders>
              <w:top w:val="nil"/>
              <w:left w:val="single" w:sz="2" w:space="0" w:color="auto"/>
              <w:bottom w:val="nil"/>
              <w:right w:val="nil"/>
            </w:tcBorders>
            <w:vAlign w:val="bottom"/>
          </w:tcPr>
          <w:p w14:paraId="38834C05" w14:textId="535F9BC2" w:rsidR="00B36BAC" w:rsidRPr="008A6781" w:rsidRDefault="00B36BAC" w:rsidP="00B36BAC">
            <w:pPr>
              <w:pStyle w:val="TableText"/>
              <w:tabs>
                <w:tab w:val="left" w:pos="3306"/>
              </w:tabs>
              <w:rPr>
                <w:rFonts w:cs="Calibri"/>
              </w:rPr>
            </w:pPr>
            <w:r w:rsidRPr="008A6781">
              <w:rPr>
                <w:rFonts w:eastAsia="Calibri" w:cs="Calibri"/>
              </w:rPr>
              <w:t>Amounts Received Related to Contracts with Customers for Ecological Survey Grants where the Performance Obligations has not yet been Satisfied</w:t>
            </w:r>
          </w:p>
        </w:tc>
        <w:tc>
          <w:tcPr>
            <w:tcW w:w="595" w:type="pct"/>
            <w:gridSpan w:val="3"/>
            <w:tcBorders>
              <w:top w:val="nil"/>
              <w:left w:val="nil"/>
              <w:bottom w:val="single" w:sz="2" w:space="0" w:color="auto"/>
              <w:right w:val="nil"/>
            </w:tcBorders>
            <w:vAlign w:val="bottom"/>
          </w:tcPr>
          <w:p w14:paraId="20083B94" w14:textId="77777777"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single" w:sz="2" w:space="0" w:color="auto"/>
              <w:right w:val="nil"/>
            </w:tcBorders>
            <w:vAlign w:val="bottom"/>
          </w:tcPr>
          <w:p w14:paraId="76E2557C" w14:textId="77777777" w:rsidR="00B36BAC" w:rsidRPr="006A4165" w:rsidRDefault="00B36BAC" w:rsidP="00B36BAC">
            <w:pPr>
              <w:pStyle w:val="TableText"/>
              <w:tabs>
                <w:tab w:val="left" w:pos="3306"/>
              </w:tabs>
              <w:jc w:val="right"/>
              <w:rPr>
                <w:rFonts w:cs="Calibri"/>
              </w:rPr>
            </w:pPr>
          </w:p>
        </w:tc>
      </w:tr>
      <w:tr w:rsidR="00B36BAC" w:rsidRPr="00CF7E1B" w14:paraId="6C5D0093"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2DD9FB03" w14:textId="77777777" w:rsidR="00B36BAC" w:rsidRPr="006A4165" w:rsidRDefault="00B36BAC" w:rsidP="00B36BAC">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tcPr>
          <w:p w14:paraId="1E7F7F61" w14:textId="2B279BB4" w:rsidR="00B36BAC" w:rsidRPr="008A6781" w:rsidRDefault="00B36BAC" w:rsidP="002D6B09">
            <w:pPr>
              <w:pStyle w:val="TableText"/>
              <w:tabs>
                <w:tab w:val="left" w:pos="3306"/>
              </w:tabs>
              <w:spacing w:before="120"/>
              <w:rPr>
                <w:rFonts w:cs="Calibri"/>
                <w:b/>
                <w:bCs/>
              </w:rPr>
            </w:pPr>
            <w:r w:rsidRPr="008A6781">
              <w:rPr>
                <w:rFonts w:cs="Calibri"/>
                <w:b/>
                <w:bCs/>
              </w:rPr>
              <w:t>Total Current Payables</w:t>
            </w:r>
            <w:r w:rsidRPr="008A6781">
              <w:rPr>
                <w:b/>
                <w:bCs/>
              </w:rPr>
              <w:t xml:space="preserve"> </w:t>
            </w:r>
            <w:r w:rsidRPr="008A6781">
              <w:rPr>
                <w:b/>
                <w:bCs/>
                <w:strike/>
                <w:color w:val="FF0000"/>
              </w:rPr>
              <w:t>and Contract Liabilities</w:t>
            </w:r>
          </w:p>
        </w:tc>
        <w:tc>
          <w:tcPr>
            <w:tcW w:w="595" w:type="pct"/>
            <w:gridSpan w:val="3"/>
            <w:tcBorders>
              <w:top w:val="single" w:sz="2" w:space="0" w:color="auto"/>
              <w:left w:val="nil"/>
              <w:bottom w:val="single" w:sz="2" w:space="0" w:color="auto"/>
              <w:right w:val="nil"/>
            </w:tcBorders>
            <w:vAlign w:val="bottom"/>
          </w:tcPr>
          <w:p w14:paraId="1C466530" w14:textId="5D7F6BFE" w:rsidR="00B36BAC" w:rsidRPr="006A4165" w:rsidRDefault="00B36BAC" w:rsidP="00B36BAC">
            <w:pPr>
              <w:pStyle w:val="TableText"/>
              <w:tabs>
                <w:tab w:val="left" w:pos="3306"/>
              </w:tabs>
              <w:jc w:val="right"/>
              <w:rPr>
                <w:rFonts w:cs="Calibri"/>
                <w:b/>
                <w:bCs/>
              </w:rPr>
            </w:pPr>
          </w:p>
        </w:tc>
        <w:tc>
          <w:tcPr>
            <w:tcW w:w="586" w:type="pct"/>
            <w:gridSpan w:val="4"/>
            <w:tcBorders>
              <w:top w:val="single" w:sz="2" w:space="0" w:color="auto"/>
              <w:left w:val="nil"/>
              <w:bottom w:val="single" w:sz="2" w:space="0" w:color="auto"/>
              <w:right w:val="nil"/>
            </w:tcBorders>
            <w:vAlign w:val="bottom"/>
          </w:tcPr>
          <w:p w14:paraId="53A497B6" w14:textId="098C1146" w:rsidR="00B36BAC" w:rsidRPr="006A4165" w:rsidRDefault="00B36BAC" w:rsidP="00B36BAC">
            <w:pPr>
              <w:pStyle w:val="TableText"/>
              <w:tabs>
                <w:tab w:val="left" w:pos="3306"/>
              </w:tabs>
              <w:jc w:val="right"/>
              <w:rPr>
                <w:rFonts w:cs="Calibri"/>
                <w:b/>
                <w:bCs/>
              </w:rPr>
            </w:pPr>
          </w:p>
        </w:tc>
      </w:tr>
      <w:tr w:rsidR="00B36BAC" w:rsidRPr="00CF7E1B" w14:paraId="78842001"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6EBF0FA" w14:textId="77777777" w:rsidR="00B36BAC" w:rsidRPr="006A4165" w:rsidRDefault="00B36BAC" w:rsidP="00B36BAC">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tcPr>
          <w:p w14:paraId="64887E1C" w14:textId="77777777" w:rsidR="00B36BAC" w:rsidRPr="008A6781" w:rsidRDefault="00B36BAC" w:rsidP="00B36BAC">
            <w:pPr>
              <w:pStyle w:val="TableText"/>
              <w:tabs>
                <w:tab w:val="left" w:pos="3306"/>
              </w:tabs>
              <w:rPr>
                <w:rFonts w:cs="Calibri"/>
              </w:rPr>
            </w:pPr>
          </w:p>
        </w:tc>
        <w:tc>
          <w:tcPr>
            <w:tcW w:w="595" w:type="pct"/>
            <w:gridSpan w:val="3"/>
            <w:tcBorders>
              <w:top w:val="single" w:sz="2" w:space="0" w:color="auto"/>
              <w:left w:val="nil"/>
              <w:bottom w:val="nil"/>
              <w:right w:val="nil"/>
            </w:tcBorders>
            <w:vAlign w:val="bottom"/>
          </w:tcPr>
          <w:p w14:paraId="635AE976" w14:textId="77777777" w:rsidR="00B36BAC" w:rsidRPr="006A4165" w:rsidRDefault="00B36BAC" w:rsidP="00B36BAC">
            <w:pPr>
              <w:pStyle w:val="TableText"/>
              <w:tabs>
                <w:tab w:val="left" w:pos="3306"/>
              </w:tabs>
              <w:jc w:val="right"/>
              <w:rPr>
                <w:rFonts w:cs="Calibri"/>
              </w:rPr>
            </w:pPr>
          </w:p>
        </w:tc>
        <w:tc>
          <w:tcPr>
            <w:tcW w:w="586" w:type="pct"/>
            <w:gridSpan w:val="4"/>
            <w:tcBorders>
              <w:top w:val="single" w:sz="2" w:space="0" w:color="auto"/>
              <w:left w:val="nil"/>
              <w:bottom w:val="nil"/>
              <w:right w:val="nil"/>
            </w:tcBorders>
            <w:vAlign w:val="bottom"/>
          </w:tcPr>
          <w:p w14:paraId="31BB4649" w14:textId="77777777" w:rsidR="00B36BAC" w:rsidRPr="006A4165" w:rsidRDefault="00B36BAC" w:rsidP="00B36BAC">
            <w:pPr>
              <w:pStyle w:val="TableText"/>
              <w:tabs>
                <w:tab w:val="left" w:pos="3306"/>
              </w:tabs>
              <w:jc w:val="center"/>
              <w:rPr>
                <w:rFonts w:cs="Calibri"/>
              </w:rPr>
            </w:pPr>
          </w:p>
        </w:tc>
      </w:tr>
      <w:tr w:rsidR="00B36BAC" w:rsidRPr="00CF7E1B" w14:paraId="3B725B8C"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7FCCBD1F" w14:textId="77777777" w:rsidR="00B36BAC" w:rsidRPr="006A4165" w:rsidRDefault="00B36BAC" w:rsidP="00B36BAC">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tcPr>
          <w:p w14:paraId="6C804AB7" w14:textId="61B6939A" w:rsidR="00B36BAC" w:rsidRPr="008A6781" w:rsidRDefault="00B36BAC" w:rsidP="00B36BAC">
            <w:pPr>
              <w:pStyle w:val="TableText"/>
              <w:tabs>
                <w:tab w:val="left" w:pos="3306"/>
              </w:tabs>
              <w:rPr>
                <w:rFonts w:cs="Calibri"/>
                <w:b/>
                <w:bCs/>
              </w:rPr>
            </w:pPr>
            <w:bookmarkStart w:id="692" w:name="_Toc48468582"/>
            <w:bookmarkStart w:id="693" w:name="_Toc49155688"/>
            <w:bookmarkStart w:id="694" w:name="_Toc49224118"/>
            <w:r w:rsidRPr="008A6781">
              <w:rPr>
                <w:rFonts w:cs="Calibri"/>
                <w:b/>
                <w:bCs/>
              </w:rPr>
              <w:t>Non-Current Payables</w:t>
            </w:r>
            <w:bookmarkEnd w:id="692"/>
            <w:bookmarkEnd w:id="693"/>
            <w:bookmarkEnd w:id="694"/>
            <w:r w:rsidRPr="008A6781">
              <w:rPr>
                <w:b/>
                <w:bCs/>
              </w:rPr>
              <w:t xml:space="preserve"> </w:t>
            </w:r>
            <w:r w:rsidRPr="008A6781">
              <w:rPr>
                <w:b/>
                <w:bCs/>
                <w:strike/>
                <w:color w:val="FF0000"/>
              </w:rPr>
              <w:t>and Contract Liabilities</w:t>
            </w:r>
          </w:p>
        </w:tc>
        <w:tc>
          <w:tcPr>
            <w:tcW w:w="595" w:type="pct"/>
            <w:gridSpan w:val="3"/>
            <w:tcBorders>
              <w:top w:val="nil"/>
              <w:left w:val="nil"/>
              <w:bottom w:val="nil"/>
              <w:right w:val="nil"/>
            </w:tcBorders>
            <w:vAlign w:val="bottom"/>
          </w:tcPr>
          <w:p w14:paraId="10BF4372" w14:textId="77777777"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148B34B9" w14:textId="77777777" w:rsidR="00B36BAC" w:rsidRPr="006A4165" w:rsidRDefault="00B36BAC" w:rsidP="00B36BAC">
            <w:pPr>
              <w:pStyle w:val="TableText"/>
              <w:tabs>
                <w:tab w:val="left" w:pos="3306"/>
              </w:tabs>
              <w:jc w:val="right"/>
              <w:rPr>
                <w:rFonts w:cs="Calibri"/>
              </w:rPr>
            </w:pPr>
          </w:p>
        </w:tc>
      </w:tr>
      <w:tr w:rsidR="00B36BAC" w:rsidRPr="00CF7E1B" w14:paraId="5F7D599F"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2D2EE87F"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p w14:paraId="7B9A136B"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9.5.1.1 &amp; 5.3.1</w:t>
            </w:r>
          </w:p>
        </w:tc>
        <w:tc>
          <w:tcPr>
            <w:tcW w:w="2951" w:type="pct"/>
            <w:gridSpan w:val="3"/>
            <w:tcBorders>
              <w:top w:val="nil"/>
              <w:left w:val="single" w:sz="2" w:space="0" w:color="auto"/>
              <w:bottom w:val="nil"/>
              <w:right w:val="nil"/>
            </w:tcBorders>
            <w:vAlign w:val="center"/>
          </w:tcPr>
          <w:p w14:paraId="60E7F46B" w14:textId="77777777" w:rsidR="00B36BAC" w:rsidRPr="008A6781" w:rsidRDefault="00B36BAC" w:rsidP="006746FA">
            <w:pPr>
              <w:pStyle w:val="TableText"/>
              <w:tabs>
                <w:tab w:val="left" w:pos="3306"/>
              </w:tabs>
              <w:rPr>
                <w:rFonts w:cs="Calibri"/>
              </w:rPr>
            </w:pPr>
            <w:r w:rsidRPr="008A6781">
              <w:rPr>
                <w:rFonts w:cs="Calibri"/>
              </w:rPr>
              <w:t xml:space="preserve">Trade Payables </w:t>
            </w:r>
            <w:r w:rsidRPr="008A6781">
              <w:rPr>
                <w:rFonts w:cs="Calibri"/>
                <w:vertAlign w:val="superscript"/>
              </w:rPr>
              <w:t>a</w:t>
            </w:r>
          </w:p>
        </w:tc>
        <w:tc>
          <w:tcPr>
            <w:tcW w:w="595" w:type="pct"/>
            <w:gridSpan w:val="3"/>
            <w:tcBorders>
              <w:top w:val="nil"/>
              <w:left w:val="nil"/>
              <w:bottom w:val="nil"/>
              <w:right w:val="nil"/>
            </w:tcBorders>
            <w:vAlign w:val="bottom"/>
          </w:tcPr>
          <w:p w14:paraId="3D989326" w14:textId="5AF75379"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2151F053" w14:textId="7C5EC6A3" w:rsidR="00B36BAC" w:rsidRPr="006A4165" w:rsidRDefault="00B36BAC" w:rsidP="00B36BAC">
            <w:pPr>
              <w:pStyle w:val="TableText"/>
              <w:tabs>
                <w:tab w:val="left" w:pos="3306"/>
              </w:tabs>
              <w:jc w:val="right"/>
              <w:rPr>
                <w:rFonts w:cs="Calibri"/>
              </w:rPr>
            </w:pPr>
          </w:p>
        </w:tc>
      </w:tr>
      <w:tr w:rsidR="00B36BAC" w:rsidRPr="00CF7E1B" w14:paraId="262F8593"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66E40ED0"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gridSpan w:val="3"/>
            <w:tcBorders>
              <w:top w:val="nil"/>
              <w:left w:val="single" w:sz="2" w:space="0" w:color="auto"/>
              <w:bottom w:val="nil"/>
              <w:right w:val="nil"/>
            </w:tcBorders>
          </w:tcPr>
          <w:p w14:paraId="56192A89" w14:textId="77777777" w:rsidR="00B36BAC" w:rsidRPr="008A6781" w:rsidRDefault="00B36BAC" w:rsidP="00B36BAC">
            <w:pPr>
              <w:pStyle w:val="TableText"/>
              <w:tabs>
                <w:tab w:val="left" w:pos="3306"/>
              </w:tabs>
              <w:rPr>
                <w:rFonts w:cs="Calibri"/>
              </w:rPr>
            </w:pPr>
            <w:r w:rsidRPr="008A6781">
              <w:rPr>
                <w:rFonts w:cs="Calibri"/>
              </w:rPr>
              <w:t xml:space="preserve">Other Payables </w:t>
            </w:r>
            <w:r w:rsidRPr="008A6781">
              <w:rPr>
                <w:rFonts w:cs="Calibri"/>
                <w:vertAlign w:val="superscript"/>
              </w:rPr>
              <w:t>b</w:t>
            </w:r>
          </w:p>
        </w:tc>
        <w:tc>
          <w:tcPr>
            <w:tcW w:w="595" w:type="pct"/>
            <w:gridSpan w:val="3"/>
            <w:tcBorders>
              <w:top w:val="nil"/>
              <w:left w:val="nil"/>
              <w:bottom w:val="nil"/>
              <w:right w:val="nil"/>
            </w:tcBorders>
            <w:vAlign w:val="bottom"/>
          </w:tcPr>
          <w:p w14:paraId="1E81B5F8" w14:textId="03395A5A" w:rsidR="00B36BAC" w:rsidRPr="006A4165" w:rsidRDefault="00B36BAC" w:rsidP="00B36BAC">
            <w:pPr>
              <w:pStyle w:val="TableText"/>
              <w:tabs>
                <w:tab w:val="left" w:pos="3306"/>
              </w:tabs>
              <w:jc w:val="right"/>
              <w:rPr>
                <w:rFonts w:cs="Calibri"/>
              </w:rPr>
            </w:pPr>
          </w:p>
        </w:tc>
        <w:tc>
          <w:tcPr>
            <w:tcW w:w="586" w:type="pct"/>
            <w:gridSpan w:val="4"/>
            <w:tcBorders>
              <w:top w:val="nil"/>
              <w:left w:val="nil"/>
              <w:bottom w:val="nil"/>
              <w:right w:val="nil"/>
            </w:tcBorders>
            <w:vAlign w:val="bottom"/>
          </w:tcPr>
          <w:p w14:paraId="712EA9A8" w14:textId="5D4A3753" w:rsidR="00B36BAC" w:rsidRPr="006A4165" w:rsidRDefault="00B36BAC" w:rsidP="00B36BAC">
            <w:pPr>
              <w:pStyle w:val="TableText"/>
              <w:tabs>
                <w:tab w:val="left" w:pos="3306"/>
              </w:tabs>
              <w:jc w:val="right"/>
              <w:rPr>
                <w:rFonts w:cs="Calibri"/>
              </w:rPr>
            </w:pPr>
          </w:p>
        </w:tc>
      </w:tr>
      <w:tr w:rsidR="00B36BAC" w:rsidRPr="00CF7E1B" w14:paraId="01679DC0"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77A15F4A"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tcPr>
          <w:p w14:paraId="04D19C30" w14:textId="7F1B92EE" w:rsidR="00B36BAC" w:rsidRPr="008A6781" w:rsidRDefault="00B36BAC" w:rsidP="00B36BAC">
            <w:pPr>
              <w:pStyle w:val="TableText"/>
              <w:tabs>
                <w:tab w:val="left" w:pos="3306"/>
              </w:tabs>
              <w:rPr>
                <w:rFonts w:cs="Calibri"/>
                <w:b/>
                <w:bCs/>
              </w:rPr>
            </w:pPr>
            <w:r w:rsidRPr="008A6781">
              <w:rPr>
                <w:rFonts w:eastAsia="Calibri" w:cs="Calibri"/>
              </w:rPr>
              <w:t>Amounts Received Related to Contracts with Customers for Ecological Survey Grants where the Performance Obligations has not yet been Satisfied</w:t>
            </w:r>
          </w:p>
        </w:tc>
        <w:tc>
          <w:tcPr>
            <w:tcW w:w="595" w:type="pct"/>
            <w:gridSpan w:val="3"/>
            <w:tcBorders>
              <w:top w:val="nil"/>
              <w:left w:val="nil"/>
              <w:bottom w:val="single" w:sz="2" w:space="0" w:color="auto"/>
              <w:right w:val="nil"/>
            </w:tcBorders>
            <w:vAlign w:val="bottom"/>
          </w:tcPr>
          <w:p w14:paraId="78618C1D" w14:textId="77777777" w:rsidR="00B36BAC" w:rsidRPr="006A4165" w:rsidRDefault="00B36BAC" w:rsidP="00B36BAC">
            <w:pPr>
              <w:pStyle w:val="TableText"/>
              <w:tabs>
                <w:tab w:val="left" w:pos="3306"/>
              </w:tabs>
              <w:jc w:val="right"/>
              <w:rPr>
                <w:rFonts w:cs="Calibri"/>
                <w:b/>
                <w:bCs/>
              </w:rPr>
            </w:pPr>
          </w:p>
        </w:tc>
        <w:tc>
          <w:tcPr>
            <w:tcW w:w="586" w:type="pct"/>
            <w:gridSpan w:val="4"/>
            <w:tcBorders>
              <w:top w:val="nil"/>
              <w:left w:val="nil"/>
              <w:bottom w:val="single" w:sz="2" w:space="0" w:color="auto"/>
              <w:right w:val="nil"/>
            </w:tcBorders>
            <w:vAlign w:val="bottom"/>
          </w:tcPr>
          <w:p w14:paraId="51493AF5" w14:textId="77777777" w:rsidR="00B36BAC" w:rsidRPr="006A4165" w:rsidRDefault="00B36BAC" w:rsidP="00B36BAC">
            <w:pPr>
              <w:pStyle w:val="TableText"/>
              <w:tabs>
                <w:tab w:val="left" w:pos="3306"/>
              </w:tabs>
              <w:jc w:val="right"/>
              <w:rPr>
                <w:rFonts w:cs="Calibri"/>
                <w:b/>
                <w:bCs/>
              </w:rPr>
            </w:pPr>
          </w:p>
        </w:tc>
      </w:tr>
      <w:tr w:rsidR="00B36BAC" w:rsidRPr="00CF7E1B" w14:paraId="0951EA1B"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8240F7A"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tcPr>
          <w:p w14:paraId="6A728233" w14:textId="1EADC4BF" w:rsidR="00B36BAC" w:rsidRPr="008A6781" w:rsidRDefault="00B36BAC" w:rsidP="00B36BAC">
            <w:pPr>
              <w:pStyle w:val="TableText"/>
              <w:tabs>
                <w:tab w:val="left" w:pos="3306"/>
              </w:tabs>
              <w:rPr>
                <w:rFonts w:cs="Calibri"/>
                <w:b/>
                <w:bCs/>
              </w:rPr>
            </w:pPr>
            <w:r w:rsidRPr="008A6781">
              <w:rPr>
                <w:rFonts w:cs="Calibri"/>
                <w:b/>
                <w:bCs/>
              </w:rPr>
              <w:t>Total Non-Current Payables</w:t>
            </w:r>
            <w:r w:rsidRPr="008A6781">
              <w:rPr>
                <w:b/>
                <w:bCs/>
              </w:rPr>
              <w:t xml:space="preserve"> </w:t>
            </w:r>
            <w:r w:rsidRPr="008A6781">
              <w:rPr>
                <w:b/>
                <w:bCs/>
                <w:strike/>
                <w:color w:val="FF0000"/>
              </w:rPr>
              <w:t>and Contract Liabilities</w:t>
            </w:r>
          </w:p>
        </w:tc>
        <w:tc>
          <w:tcPr>
            <w:tcW w:w="595" w:type="pct"/>
            <w:gridSpan w:val="3"/>
            <w:tcBorders>
              <w:top w:val="single" w:sz="2" w:space="0" w:color="auto"/>
              <w:left w:val="nil"/>
              <w:bottom w:val="single" w:sz="2" w:space="0" w:color="auto"/>
              <w:right w:val="nil"/>
            </w:tcBorders>
            <w:vAlign w:val="bottom"/>
          </w:tcPr>
          <w:p w14:paraId="45F9D849" w14:textId="59A12125" w:rsidR="00B36BAC" w:rsidRPr="006A4165" w:rsidRDefault="00B36BAC" w:rsidP="00B36BAC">
            <w:pPr>
              <w:pStyle w:val="TableText"/>
              <w:tabs>
                <w:tab w:val="left" w:pos="3306"/>
              </w:tabs>
              <w:jc w:val="right"/>
              <w:rPr>
                <w:rFonts w:cs="Calibri"/>
                <w:b/>
                <w:bCs/>
              </w:rPr>
            </w:pPr>
          </w:p>
        </w:tc>
        <w:tc>
          <w:tcPr>
            <w:tcW w:w="586" w:type="pct"/>
            <w:gridSpan w:val="4"/>
            <w:tcBorders>
              <w:top w:val="single" w:sz="2" w:space="0" w:color="auto"/>
              <w:left w:val="nil"/>
              <w:bottom w:val="single" w:sz="2" w:space="0" w:color="auto"/>
              <w:right w:val="nil"/>
            </w:tcBorders>
            <w:vAlign w:val="bottom"/>
          </w:tcPr>
          <w:p w14:paraId="1CEB48BB" w14:textId="4A4BD116" w:rsidR="00B36BAC" w:rsidRPr="006A4165" w:rsidRDefault="00B36BAC" w:rsidP="00B36BAC">
            <w:pPr>
              <w:pStyle w:val="TableText"/>
              <w:tabs>
                <w:tab w:val="left" w:pos="3306"/>
              </w:tabs>
              <w:jc w:val="right"/>
              <w:rPr>
                <w:rFonts w:cs="Calibri"/>
                <w:b/>
                <w:bCs/>
              </w:rPr>
            </w:pPr>
          </w:p>
        </w:tc>
      </w:tr>
      <w:tr w:rsidR="00B36BAC" w:rsidRPr="00CF7E1B" w14:paraId="10CE9E90"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28EB6D6B"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tcPr>
          <w:p w14:paraId="6AD16D19" w14:textId="562B4E15" w:rsidR="00B36BAC" w:rsidRPr="008A6781" w:rsidRDefault="00B36BAC" w:rsidP="00B36BAC">
            <w:pPr>
              <w:pStyle w:val="TableText"/>
              <w:tabs>
                <w:tab w:val="left" w:pos="3306"/>
              </w:tabs>
              <w:rPr>
                <w:rFonts w:cs="Calibri"/>
                <w:b/>
                <w:bCs/>
              </w:rPr>
            </w:pPr>
            <w:r w:rsidRPr="008A6781">
              <w:rPr>
                <w:rFonts w:cs="Calibri"/>
                <w:b/>
                <w:bCs/>
              </w:rPr>
              <w:t>Total Payables</w:t>
            </w:r>
            <w:r w:rsidRPr="008A6781">
              <w:rPr>
                <w:b/>
                <w:bCs/>
              </w:rPr>
              <w:t xml:space="preserve"> </w:t>
            </w:r>
            <w:r w:rsidRPr="008A6781">
              <w:rPr>
                <w:b/>
                <w:bCs/>
                <w:strike/>
                <w:color w:val="FF0000"/>
              </w:rPr>
              <w:t>and Contract Liabilities</w:t>
            </w:r>
          </w:p>
        </w:tc>
        <w:tc>
          <w:tcPr>
            <w:tcW w:w="595" w:type="pct"/>
            <w:gridSpan w:val="3"/>
            <w:tcBorders>
              <w:top w:val="single" w:sz="2" w:space="0" w:color="auto"/>
              <w:left w:val="nil"/>
              <w:bottom w:val="double" w:sz="4" w:space="0" w:color="auto"/>
              <w:right w:val="nil"/>
            </w:tcBorders>
            <w:vAlign w:val="bottom"/>
          </w:tcPr>
          <w:p w14:paraId="7F534001" w14:textId="201A1087" w:rsidR="00B36BAC" w:rsidRPr="006A4165" w:rsidRDefault="00B36BAC" w:rsidP="00B36BAC">
            <w:pPr>
              <w:pStyle w:val="TableText"/>
              <w:tabs>
                <w:tab w:val="left" w:pos="3306"/>
              </w:tabs>
              <w:jc w:val="right"/>
              <w:rPr>
                <w:rFonts w:cs="Calibri"/>
                <w:b/>
                <w:bCs/>
              </w:rPr>
            </w:pPr>
          </w:p>
        </w:tc>
        <w:tc>
          <w:tcPr>
            <w:tcW w:w="586" w:type="pct"/>
            <w:gridSpan w:val="4"/>
            <w:tcBorders>
              <w:top w:val="single" w:sz="2" w:space="0" w:color="auto"/>
              <w:left w:val="nil"/>
              <w:bottom w:val="double" w:sz="4" w:space="0" w:color="auto"/>
              <w:right w:val="nil"/>
            </w:tcBorders>
            <w:vAlign w:val="bottom"/>
          </w:tcPr>
          <w:p w14:paraId="37CB642B" w14:textId="1581655B" w:rsidR="00B36BAC" w:rsidRPr="006A4165" w:rsidRDefault="00B36BAC" w:rsidP="00B36BAC">
            <w:pPr>
              <w:pStyle w:val="TableText"/>
              <w:tabs>
                <w:tab w:val="left" w:pos="3306"/>
              </w:tabs>
              <w:jc w:val="right"/>
              <w:rPr>
                <w:rFonts w:cs="Calibri"/>
                <w:b/>
                <w:bCs/>
              </w:rPr>
            </w:pPr>
          </w:p>
        </w:tc>
      </w:tr>
      <w:tr w:rsidR="00B36BAC" w:rsidRPr="00CF7E1B" w14:paraId="6578C678"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61A5C517" w14:textId="3CD30762" w:rsidR="00B36BAC" w:rsidRPr="006A4165" w:rsidRDefault="006A4165" w:rsidP="006A4165">
            <w:pPr>
              <w:pStyle w:val="TableReference"/>
              <w:tabs>
                <w:tab w:val="left" w:pos="3306"/>
              </w:tabs>
              <w:spacing w:before="240" w:after="240"/>
              <w:rPr>
                <w:rFonts w:cs="Calibri"/>
                <w:b/>
                <w:bCs/>
                <w:color w:val="7030A0"/>
                <w:sz w:val="16"/>
                <w:szCs w:val="16"/>
              </w:rPr>
            </w:pPr>
            <w:r w:rsidRPr="006A4165">
              <w:rPr>
                <w:rFonts w:cs="Calibri"/>
                <w:b/>
                <w:bCs/>
                <w:color w:val="7030A0"/>
                <w:sz w:val="22"/>
                <w:szCs w:val="22"/>
              </w:rPr>
              <w:t>Reference</w:t>
            </w:r>
          </w:p>
        </w:tc>
        <w:tc>
          <w:tcPr>
            <w:tcW w:w="4131" w:type="pct"/>
            <w:gridSpan w:val="10"/>
            <w:tcBorders>
              <w:top w:val="nil"/>
              <w:left w:val="single" w:sz="2" w:space="0" w:color="auto"/>
              <w:bottom w:val="nil"/>
              <w:right w:val="nil"/>
            </w:tcBorders>
            <w:vAlign w:val="bottom"/>
          </w:tcPr>
          <w:p w14:paraId="2F86E7D6" w14:textId="76CCE750" w:rsidR="00B36BAC" w:rsidRPr="008A6781" w:rsidRDefault="006A4165" w:rsidP="006A4165">
            <w:pPr>
              <w:pStyle w:val="TableText"/>
              <w:tabs>
                <w:tab w:val="left" w:pos="3306"/>
              </w:tabs>
              <w:spacing w:before="240" w:after="240"/>
              <w:rPr>
                <w:rFonts w:ascii="Arial" w:hAnsi="Arial"/>
                <w:b/>
                <w:bCs/>
                <w:caps/>
                <w:sz w:val="32"/>
                <w:szCs w:val="24"/>
              </w:rPr>
            </w:pPr>
            <w:r w:rsidRPr="008A6781">
              <w:rPr>
                <w:rFonts w:ascii="Arial" w:hAnsi="Arial"/>
                <w:b/>
                <w:bCs/>
                <w:caps/>
                <w:sz w:val="32"/>
                <w:szCs w:val="24"/>
              </w:rPr>
              <w:t>Note 24.</w:t>
            </w:r>
            <w:r w:rsidR="00FA7C77" w:rsidRPr="008A6781">
              <w:rPr>
                <w:rFonts w:ascii="Arial" w:hAnsi="Arial"/>
                <w:b/>
                <w:bCs/>
                <w:caps/>
                <w:sz w:val="32"/>
                <w:szCs w:val="24"/>
              </w:rPr>
              <w:t xml:space="preserve"> </w:t>
            </w:r>
            <w:r w:rsidRPr="008A6781">
              <w:rPr>
                <w:rFonts w:ascii="Arial" w:hAnsi="Arial"/>
                <w:b/>
                <w:bCs/>
                <w:caps/>
                <w:sz w:val="32"/>
                <w:szCs w:val="24"/>
              </w:rPr>
              <w:t xml:space="preserve"> Payables </w:t>
            </w:r>
            <w:r w:rsidRPr="008A6781">
              <w:rPr>
                <w:rFonts w:ascii="Arial" w:hAnsi="Arial"/>
                <w:b/>
                <w:bCs/>
                <w:caps/>
                <w:strike/>
                <w:color w:val="FF0000"/>
                <w:sz w:val="32"/>
                <w:szCs w:val="24"/>
              </w:rPr>
              <w:t>and Contract Liabilities</w:t>
            </w:r>
            <w:r w:rsidRPr="008A6781">
              <w:rPr>
                <w:rFonts w:ascii="Arial" w:hAnsi="Arial"/>
                <w:b/>
                <w:bCs/>
                <w:caps/>
                <w:color w:val="FF0000"/>
                <w:sz w:val="32"/>
                <w:szCs w:val="24"/>
              </w:rPr>
              <w:t xml:space="preserve"> </w:t>
            </w:r>
            <w:r w:rsidR="00C864E3" w:rsidRPr="008A6781">
              <w:rPr>
                <w:rFonts w:ascii="Arial" w:hAnsi="Arial"/>
                <w:b/>
                <w:bCs/>
                <w:caps/>
                <w:sz w:val="32"/>
                <w:szCs w:val="24"/>
              </w:rPr>
              <w:t>–</w:t>
            </w:r>
            <w:r w:rsidRPr="008A6781">
              <w:rPr>
                <w:rFonts w:ascii="Arial" w:hAnsi="Arial"/>
                <w:b/>
                <w:bCs/>
                <w:caps/>
                <w:sz w:val="32"/>
                <w:szCs w:val="24"/>
              </w:rPr>
              <w:t xml:space="preserve"> </w:t>
            </w:r>
            <w:r w:rsidR="00C864E3" w:rsidRPr="008A6781">
              <w:rPr>
                <w:rFonts w:ascii="Arial" w:hAnsi="Arial"/>
                <w:b/>
                <w:bCs/>
                <w:caps/>
                <w:sz w:val="32"/>
                <w:szCs w:val="24"/>
              </w:rPr>
              <w:t xml:space="preserve"> </w:t>
            </w:r>
            <w:r w:rsidRPr="008A6781">
              <w:rPr>
                <w:rFonts w:ascii="Arial" w:hAnsi="Arial"/>
                <w:b/>
                <w:bCs/>
                <w:caps/>
                <w:sz w:val="32"/>
                <w:szCs w:val="24"/>
              </w:rPr>
              <w:t>Continued</w:t>
            </w:r>
            <w:r w:rsidR="00C864E3" w:rsidRPr="008A6781">
              <w:rPr>
                <w:rFonts w:ascii="Arial" w:hAnsi="Arial"/>
                <w:b/>
                <w:bCs/>
                <w:caps/>
                <w:sz w:val="32"/>
                <w:szCs w:val="24"/>
              </w:rPr>
              <w:t xml:space="preserve"> </w:t>
            </w:r>
          </w:p>
        </w:tc>
      </w:tr>
      <w:tr w:rsidR="0023781D" w:rsidRPr="00CF7E1B" w14:paraId="0EDC2BD5"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4BC076A1" w14:textId="77777777" w:rsidR="0023781D" w:rsidRPr="006A4165" w:rsidRDefault="0023781D" w:rsidP="00B36BA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vAlign w:val="bottom"/>
          </w:tcPr>
          <w:p w14:paraId="3193D196" w14:textId="1A51B186" w:rsidR="0023781D" w:rsidRPr="008A6781" w:rsidRDefault="0023781D" w:rsidP="00B36BAC">
            <w:pPr>
              <w:pStyle w:val="TableText"/>
              <w:tabs>
                <w:tab w:val="left" w:pos="3306"/>
              </w:tabs>
              <w:rPr>
                <w:rFonts w:cs="Calibri"/>
              </w:rPr>
            </w:pPr>
            <w:r w:rsidRPr="008A6781">
              <w:rPr>
                <w:rFonts w:cs="Calibri"/>
              </w:rPr>
              <w:t>a) The decrease in Trade Payables of $</w:t>
            </w:r>
            <w:r w:rsidR="006746FA" w:rsidRPr="008A6781">
              <w:rPr>
                <w:rFonts w:cs="Calibri"/>
              </w:rPr>
              <w:t>xxx</w:t>
            </w:r>
            <w:r w:rsidRPr="008A6781">
              <w:rPr>
                <w:rFonts w:cs="Calibri"/>
              </w:rPr>
              <w:t xml:space="preserve"> mainly relates to restructuring of the Maintenance Agency.</w:t>
            </w:r>
          </w:p>
        </w:tc>
      </w:tr>
      <w:tr w:rsidR="0023781D" w:rsidRPr="00CF7E1B" w14:paraId="18191664"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5D682260" w14:textId="77777777" w:rsidR="0023781D" w:rsidRPr="006A4165" w:rsidRDefault="0023781D" w:rsidP="00B36BA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vAlign w:val="bottom"/>
          </w:tcPr>
          <w:p w14:paraId="7EFBAC97" w14:textId="2ED827BB" w:rsidR="0023781D" w:rsidRPr="00DC4889" w:rsidRDefault="0023781D" w:rsidP="00B36BAC">
            <w:pPr>
              <w:pStyle w:val="TableText"/>
              <w:tabs>
                <w:tab w:val="left" w:pos="3306"/>
              </w:tabs>
              <w:rPr>
                <w:rFonts w:cs="Calibri"/>
              </w:rPr>
            </w:pPr>
            <w:r w:rsidRPr="00DC4889">
              <w:rPr>
                <w:rFonts w:cs="Calibri"/>
              </w:rPr>
              <w:t>b) The increase in Other Payables of $</w:t>
            </w:r>
            <w:r w:rsidR="006746FA" w:rsidRPr="00DC4889">
              <w:rPr>
                <w:rFonts w:cs="Calibri"/>
              </w:rPr>
              <w:t>xxx</w:t>
            </w:r>
            <w:r w:rsidRPr="00DC4889">
              <w:rPr>
                <w:rFonts w:cs="Calibri"/>
              </w:rPr>
              <w:t xml:space="preserve"> is due to a large capital works invoice received late in the reporting period.</w:t>
            </w:r>
          </w:p>
        </w:tc>
      </w:tr>
      <w:tr w:rsidR="0023781D" w:rsidRPr="00CF7E1B" w14:paraId="43AFEC2C"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69C24AD2" w14:textId="77777777" w:rsidR="0023781D" w:rsidRPr="006A4165" w:rsidRDefault="0023781D" w:rsidP="00B36BA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vAlign w:val="bottom"/>
          </w:tcPr>
          <w:p w14:paraId="5DBD5698" w14:textId="792FCF5A" w:rsidR="0023781D" w:rsidRPr="00DC4889" w:rsidRDefault="0023781D" w:rsidP="00B36BAC">
            <w:pPr>
              <w:pStyle w:val="TableText"/>
              <w:tabs>
                <w:tab w:val="left" w:pos="3306"/>
              </w:tabs>
              <w:rPr>
                <w:rFonts w:cs="Calibri"/>
              </w:rPr>
            </w:pPr>
            <w:r w:rsidRPr="00DC4889">
              <w:rPr>
                <w:rFonts w:cs="Calibri"/>
              </w:rPr>
              <w:t>c) The increase in Accrued Expenses of $</w:t>
            </w:r>
            <w:r w:rsidR="006746FA" w:rsidRPr="00DC4889">
              <w:rPr>
                <w:rFonts w:cs="Calibri"/>
              </w:rPr>
              <w:t>xxx</w:t>
            </w:r>
            <w:r w:rsidRPr="00DC4889">
              <w:rPr>
                <w:rFonts w:cs="Calibri"/>
              </w:rPr>
              <w:t xml:space="preserve"> is mainly due to increased capital works and legal expenses.</w:t>
            </w:r>
          </w:p>
        </w:tc>
      </w:tr>
      <w:tr w:rsidR="0023781D" w:rsidRPr="00CF7E1B" w14:paraId="0DFF4CEC"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482BDBF5" w14:textId="77777777" w:rsidR="0023781D" w:rsidRPr="0043640D" w:rsidRDefault="0023781D" w:rsidP="0023781D">
            <w:pPr>
              <w:tabs>
                <w:tab w:val="left" w:pos="3306"/>
              </w:tabs>
              <w:spacing w:before="40"/>
              <w:rPr>
                <w:rFonts w:cs="Calibri"/>
                <w:strike/>
                <w:color w:val="FF0000"/>
                <w:sz w:val="14"/>
                <w:szCs w:val="14"/>
              </w:rPr>
            </w:pPr>
            <w:r w:rsidRPr="0043640D">
              <w:rPr>
                <w:rFonts w:cs="Calibri"/>
                <w:strike/>
                <w:color w:val="FF0000"/>
                <w:sz w:val="14"/>
                <w:szCs w:val="14"/>
              </w:rPr>
              <w:t>AASB 15.118</w:t>
            </w:r>
          </w:p>
          <w:p w14:paraId="7F788798" w14:textId="77777777" w:rsidR="0023781D" w:rsidRPr="006A4165" w:rsidRDefault="0023781D" w:rsidP="00B36BA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shd w:val="clear" w:color="auto" w:fill="auto"/>
            <w:vAlign w:val="bottom"/>
          </w:tcPr>
          <w:p w14:paraId="4DF6BEB7" w14:textId="744EF2A6" w:rsidR="0023781D" w:rsidRPr="00DD544A" w:rsidRDefault="0023781D" w:rsidP="00B36BAC">
            <w:pPr>
              <w:pStyle w:val="TableText"/>
              <w:tabs>
                <w:tab w:val="left" w:pos="3306"/>
              </w:tabs>
              <w:rPr>
                <w:rFonts w:cs="Calibri"/>
                <w:strike/>
                <w:color w:val="FF0000"/>
              </w:rPr>
            </w:pPr>
            <w:r w:rsidRPr="00DD544A">
              <w:rPr>
                <w:strike/>
                <w:color w:val="FF0000"/>
              </w:rPr>
              <w:t xml:space="preserve">d) </w:t>
            </w:r>
            <w:r w:rsidRPr="00DD544A">
              <w:rPr>
                <w:rFonts w:cs="Calibri"/>
                <w:strike/>
                <w:color w:val="FF0000"/>
              </w:rPr>
              <w:t xml:space="preserve">The increase </w:t>
            </w:r>
            <w:r w:rsidRPr="00DD544A">
              <w:rPr>
                <w:strike/>
                <w:color w:val="FF0000"/>
              </w:rPr>
              <w:t xml:space="preserve">contract liability </w:t>
            </w:r>
            <w:r w:rsidRPr="00DD544A">
              <w:rPr>
                <w:rFonts w:cs="Calibri"/>
                <w:strike/>
                <w:color w:val="FF0000"/>
              </w:rPr>
              <w:t>of $</w:t>
            </w:r>
            <w:r w:rsidR="006746FA" w:rsidRPr="00DD544A">
              <w:rPr>
                <w:rFonts w:cs="Calibri"/>
                <w:strike/>
                <w:color w:val="FF0000"/>
              </w:rPr>
              <w:t>xxx</w:t>
            </w:r>
            <w:r w:rsidRPr="00DD544A">
              <w:rPr>
                <w:rFonts w:cs="Calibri"/>
                <w:strike/>
                <w:color w:val="FF0000"/>
              </w:rPr>
              <w:t xml:space="preserve"> is due to</w:t>
            </w:r>
            <w:r w:rsidRPr="00DD544A">
              <w:rPr>
                <w:strike/>
                <w:color w:val="FF0000"/>
              </w:rPr>
              <w:t xml:space="preserve"> lower bus </w:t>
            </w:r>
            <w:r w:rsidR="00A4259B" w:rsidRPr="00DD544A">
              <w:rPr>
                <w:strike/>
                <w:color w:val="FF0000"/>
              </w:rPr>
              <w:t>patronage</w:t>
            </w:r>
            <w:r w:rsidRPr="00DD544A">
              <w:rPr>
                <w:strike/>
                <w:color w:val="FF0000"/>
              </w:rPr>
              <w:t xml:space="preserve"> from the COVID-19 lockdown in Canberra during August, September and October 2021, resulting in MyWay cards having a higher balance on average than usual.</w:t>
            </w:r>
          </w:p>
        </w:tc>
      </w:tr>
      <w:tr w:rsidR="00DC4889" w:rsidRPr="00CF7E1B" w14:paraId="7B0EEB40"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153922C6" w14:textId="77777777" w:rsidR="00DC4889" w:rsidRPr="006A4165" w:rsidRDefault="00DC4889" w:rsidP="0023781D">
            <w:pPr>
              <w:tabs>
                <w:tab w:val="left" w:pos="3306"/>
              </w:tabs>
              <w:spacing w:before="40"/>
              <w:rPr>
                <w:rFonts w:cs="Calibri"/>
                <w:color w:val="7030A0"/>
                <w:sz w:val="14"/>
                <w:szCs w:val="14"/>
              </w:rPr>
            </w:pPr>
          </w:p>
        </w:tc>
        <w:tc>
          <w:tcPr>
            <w:tcW w:w="2829" w:type="pct"/>
            <w:gridSpan w:val="2"/>
            <w:tcBorders>
              <w:top w:val="nil"/>
              <w:left w:val="single" w:sz="2" w:space="0" w:color="auto"/>
              <w:bottom w:val="nil"/>
              <w:right w:val="nil"/>
            </w:tcBorders>
            <w:vAlign w:val="bottom"/>
          </w:tcPr>
          <w:p w14:paraId="69CDB1FD" w14:textId="77777777" w:rsidR="00DC4889" w:rsidRPr="00DC4889" w:rsidRDefault="00DC4889" w:rsidP="00B36BAC">
            <w:pPr>
              <w:pStyle w:val="TableText"/>
              <w:tabs>
                <w:tab w:val="left" w:pos="3306"/>
              </w:tabs>
              <w:rPr>
                <w:rFonts w:cs="Calibri"/>
              </w:rPr>
            </w:pPr>
          </w:p>
        </w:tc>
        <w:tc>
          <w:tcPr>
            <w:tcW w:w="717" w:type="pct"/>
            <w:gridSpan w:val="4"/>
            <w:tcBorders>
              <w:top w:val="nil"/>
              <w:left w:val="nil"/>
              <w:bottom w:val="nil"/>
              <w:right w:val="nil"/>
            </w:tcBorders>
          </w:tcPr>
          <w:p w14:paraId="133230E5" w14:textId="3C0EBFEE" w:rsidR="00DC4889" w:rsidRPr="00DC4889" w:rsidRDefault="00DC4889" w:rsidP="00DC4889">
            <w:pPr>
              <w:pStyle w:val="TableText"/>
              <w:tabs>
                <w:tab w:val="left" w:pos="3306"/>
              </w:tabs>
              <w:jc w:val="right"/>
              <w:rPr>
                <w:rFonts w:cs="Calibri"/>
                <w:b/>
                <w:bCs/>
              </w:rPr>
            </w:pPr>
            <w:r w:rsidRPr="00DC4889">
              <w:rPr>
                <w:rFonts w:cs="Calibri"/>
                <w:b/>
                <w:bCs/>
              </w:rPr>
              <w:t>202</w:t>
            </w:r>
            <w:r w:rsidR="00A534C3">
              <w:rPr>
                <w:rFonts w:cs="Calibri"/>
                <w:b/>
                <w:bCs/>
              </w:rPr>
              <w:t>3</w:t>
            </w:r>
            <w:r w:rsidR="00FA7C77">
              <w:rPr>
                <w:rFonts w:cs="Calibri"/>
                <w:b/>
                <w:bCs/>
              </w:rPr>
              <w:t xml:space="preserve">      </w:t>
            </w:r>
          </w:p>
        </w:tc>
        <w:tc>
          <w:tcPr>
            <w:tcW w:w="586" w:type="pct"/>
            <w:gridSpan w:val="4"/>
            <w:tcBorders>
              <w:top w:val="nil"/>
              <w:left w:val="nil"/>
              <w:bottom w:val="nil"/>
              <w:right w:val="nil"/>
            </w:tcBorders>
          </w:tcPr>
          <w:p w14:paraId="4BF7C35F" w14:textId="333D75DF" w:rsidR="00DC4889" w:rsidRPr="00DC4889" w:rsidRDefault="00DC4889" w:rsidP="00DC4889">
            <w:pPr>
              <w:pStyle w:val="TableText"/>
              <w:tabs>
                <w:tab w:val="left" w:pos="3306"/>
              </w:tabs>
              <w:jc w:val="right"/>
              <w:rPr>
                <w:rFonts w:cs="Calibri"/>
                <w:b/>
                <w:bCs/>
              </w:rPr>
            </w:pPr>
            <w:r w:rsidRPr="00DC4889">
              <w:rPr>
                <w:rFonts w:cs="Calibri"/>
                <w:b/>
                <w:bCs/>
              </w:rPr>
              <w:t>202</w:t>
            </w:r>
            <w:r w:rsidR="00A534C3">
              <w:rPr>
                <w:rFonts w:cs="Calibri"/>
                <w:b/>
                <w:bCs/>
              </w:rPr>
              <w:t>2</w:t>
            </w:r>
          </w:p>
        </w:tc>
      </w:tr>
      <w:tr w:rsidR="00DC4889" w:rsidRPr="00CF7E1B" w14:paraId="340BE03A" w14:textId="77777777" w:rsidTr="00D43DDC">
        <w:trPr>
          <w:gridAfter w:val="1"/>
          <w:wAfter w:w="165" w:type="pct"/>
          <w:cantSplit/>
          <w:trHeight w:val="252"/>
        </w:trPr>
        <w:tc>
          <w:tcPr>
            <w:tcW w:w="704" w:type="pct"/>
            <w:tcBorders>
              <w:top w:val="nil"/>
              <w:left w:val="single" w:sz="2" w:space="0" w:color="auto"/>
              <w:bottom w:val="nil"/>
              <w:right w:val="single" w:sz="2" w:space="0" w:color="auto"/>
            </w:tcBorders>
          </w:tcPr>
          <w:p w14:paraId="1D3A6014" w14:textId="77777777" w:rsidR="00DC4889" w:rsidRPr="006A4165" w:rsidRDefault="00DC4889" w:rsidP="0023781D">
            <w:pPr>
              <w:tabs>
                <w:tab w:val="left" w:pos="3306"/>
              </w:tabs>
              <w:spacing w:before="40"/>
              <w:rPr>
                <w:rFonts w:cs="Calibri"/>
                <w:color w:val="7030A0"/>
                <w:sz w:val="14"/>
                <w:szCs w:val="14"/>
              </w:rPr>
            </w:pPr>
          </w:p>
        </w:tc>
        <w:tc>
          <w:tcPr>
            <w:tcW w:w="2829" w:type="pct"/>
            <w:gridSpan w:val="2"/>
            <w:tcBorders>
              <w:top w:val="nil"/>
              <w:left w:val="single" w:sz="2" w:space="0" w:color="auto"/>
              <w:bottom w:val="nil"/>
              <w:right w:val="nil"/>
            </w:tcBorders>
            <w:vAlign w:val="bottom"/>
          </w:tcPr>
          <w:p w14:paraId="6384ACE4" w14:textId="77777777" w:rsidR="00DC4889" w:rsidRPr="00DC4889" w:rsidRDefault="00DC4889" w:rsidP="00B36BAC">
            <w:pPr>
              <w:pStyle w:val="TableText"/>
              <w:tabs>
                <w:tab w:val="left" w:pos="3306"/>
              </w:tabs>
              <w:rPr>
                <w:rFonts w:cs="Calibri"/>
              </w:rPr>
            </w:pPr>
          </w:p>
        </w:tc>
        <w:tc>
          <w:tcPr>
            <w:tcW w:w="717" w:type="pct"/>
            <w:gridSpan w:val="4"/>
            <w:tcBorders>
              <w:top w:val="nil"/>
              <w:left w:val="nil"/>
              <w:bottom w:val="nil"/>
              <w:right w:val="nil"/>
            </w:tcBorders>
          </w:tcPr>
          <w:p w14:paraId="73E9878F" w14:textId="22868FAF" w:rsidR="00DC4889" w:rsidRPr="00DC4889" w:rsidRDefault="00DC4889" w:rsidP="00DC4889">
            <w:pPr>
              <w:pStyle w:val="TableText"/>
              <w:tabs>
                <w:tab w:val="left" w:pos="3306"/>
              </w:tabs>
              <w:jc w:val="right"/>
              <w:rPr>
                <w:rFonts w:cs="Calibri"/>
                <w:b/>
                <w:bCs/>
              </w:rPr>
            </w:pPr>
            <w:r w:rsidRPr="00DC4889">
              <w:rPr>
                <w:rFonts w:cs="Calibri"/>
                <w:b/>
                <w:bCs/>
              </w:rPr>
              <w:t>$’000</w:t>
            </w:r>
          </w:p>
        </w:tc>
        <w:tc>
          <w:tcPr>
            <w:tcW w:w="586" w:type="pct"/>
            <w:gridSpan w:val="4"/>
            <w:tcBorders>
              <w:top w:val="nil"/>
              <w:left w:val="nil"/>
              <w:bottom w:val="nil"/>
              <w:right w:val="nil"/>
            </w:tcBorders>
          </w:tcPr>
          <w:p w14:paraId="610265E5" w14:textId="1BEE6C0F" w:rsidR="00DC4889" w:rsidRPr="00DC4889" w:rsidRDefault="00DC4889" w:rsidP="00DC4889">
            <w:pPr>
              <w:pStyle w:val="TableText"/>
              <w:tabs>
                <w:tab w:val="left" w:pos="3306"/>
              </w:tabs>
              <w:jc w:val="right"/>
              <w:rPr>
                <w:rFonts w:cs="Calibri"/>
                <w:b/>
                <w:bCs/>
              </w:rPr>
            </w:pPr>
            <w:r w:rsidRPr="00DC4889">
              <w:rPr>
                <w:rFonts w:cs="Calibri"/>
                <w:b/>
                <w:bCs/>
              </w:rPr>
              <w:t>$’000</w:t>
            </w:r>
          </w:p>
        </w:tc>
      </w:tr>
      <w:tr w:rsidR="001219A8" w:rsidRPr="00B36BAC" w14:paraId="4D53A20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7F2238F3" w14:textId="77777777" w:rsidR="001219A8" w:rsidRPr="008A6781" w:rsidRDefault="001219A8" w:rsidP="009A0F2F">
            <w:pPr>
              <w:pStyle w:val="TableReference"/>
              <w:spacing w:before="40"/>
              <w:rPr>
                <w:rFonts w:cs="Calibri"/>
                <w:color w:val="7030A0"/>
                <w:sz w:val="14"/>
              </w:rPr>
            </w:pPr>
            <w:r w:rsidRPr="008A6781">
              <w:rPr>
                <w:rFonts w:cs="Calibri"/>
                <w:color w:val="7030A0"/>
                <w:sz w:val="14"/>
              </w:rPr>
              <w:t>AASB 15.116(b)</w:t>
            </w:r>
          </w:p>
          <w:p w14:paraId="5EEFCFD1" w14:textId="77777777" w:rsidR="001219A8" w:rsidRPr="008A6781" w:rsidRDefault="001219A8" w:rsidP="009A0F2F">
            <w:pPr>
              <w:pStyle w:val="TableReference"/>
              <w:spacing w:before="40"/>
              <w:rPr>
                <w:rFonts w:cs="Calibri"/>
                <w:color w:val="7030A0"/>
                <w:sz w:val="14"/>
              </w:rPr>
            </w:pPr>
          </w:p>
        </w:tc>
        <w:tc>
          <w:tcPr>
            <w:tcW w:w="2829" w:type="pct"/>
            <w:gridSpan w:val="2"/>
            <w:tcBorders>
              <w:top w:val="nil"/>
              <w:left w:val="single" w:sz="2" w:space="0" w:color="auto"/>
              <w:bottom w:val="nil"/>
              <w:right w:val="nil"/>
            </w:tcBorders>
            <w:shd w:val="clear" w:color="auto" w:fill="auto"/>
          </w:tcPr>
          <w:p w14:paraId="31046369" w14:textId="77777777" w:rsidR="001219A8" w:rsidRPr="008A6781" w:rsidRDefault="001219A8" w:rsidP="007F1E23">
            <w:pPr>
              <w:pStyle w:val="CommentaryHeading"/>
              <w:tabs>
                <w:tab w:val="left" w:pos="3306"/>
              </w:tabs>
              <w:spacing w:before="0" w:after="120"/>
              <w:rPr>
                <w:rFonts w:eastAsia="Calibri" w:cs="Calibri"/>
                <w:b w:val="0"/>
                <w:bCs w:val="0"/>
                <w:sz w:val="18"/>
              </w:rPr>
            </w:pPr>
            <w:r w:rsidRPr="008A6781">
              <w:rPr>
                <w:rFonts w:eastAsia="Calibri" w:cs="Calibri"/>
                <w:b w:val="0"/>
                <w:bCs w:val="0"/>
                <w:sz w:val="18"/>
              </w:rPr>
              <w:t>Revenue Recognised that was Included in the Contract Liability Balance at the Beginning of the Reporting Period</w:t>
            </w:r>
          </w:p>
        </w:tc>
        <w:tc>
          <w:tcPr>
            <w:tcW w:w="717" w:type="pct"/>
            <w:gridSpan w:val="4"/>
            <w:tcBorders>
              <w:top w:val="nil"/>
              <w:left w:val="nil"/>
              <w:bottom w:val="nil"/>
              <w:right w:val="nil"/>
            </w:tcBorders>
            <w:shd w:val="clear" w:color="auto" w:fill="auto"/>
          </w:tcPr>
          <w:p w14:paraId="10668EDC"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86" w:type="pct"/>
            <w:gridSpan w:val="4"/>
            <w:tcBorders>
              <w:top w:val="nil"/>
              <w:left w:val="nil"/>
              <w:bottom w:val="nil"/>
              <w:right w:val="nil"/>
            </w:tcBorders>
            <w:shd w:val="clear" w:color="auto" w:fill="auto"/>
          </w:tcPr>
          <w:p w14:paraId="49834DFC"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1219A8" w:rsidRPr="00B36BAC" w14:paraId="06636529"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C7AB198" w14:textId="13BFB42E" w:rsidR="001219A8" w:rsidRPr="008A6781" w:rsidRDefault="001219A8" w:rsidP="009A0F2F">
            <w:pPr>
              <w:pStyle w:val="TableReference"/>
              <w:spacing w:before="40"/>
              <w:rPr>
                <w:rFonts w:cs="Calibri"/>
                <w:strike/>
                <w:color w:val="FF0000"/>
                <w:sz w:val="14"/>
              </w:rPr>
            </w:pPr>
            <w:r w:rsidRPr="008A6781">
              <w:rPr>
                <w:rFonts w:cs="Calibri"/>
                <w:strike/>
                <w:color w:val="FF0000"/>
                <w:sz w:val="14"/>
              </w:rPr>
              <w:t>AASB 15.116(c)</w:t>
            </w:r>
          </w:p>
        </w:tc>
        <w:tc>
          <w:tcPr>
            <w:tcW w:w="2829" w:type="pct"/>
            <w:gridSpan w:val="2"/>
            <w:tcBorders>
              <w:top w:val="nil"/>
              <w:left w:val="single" w:sz="2" w:space="0" w:color="auto"/>
              <w:bottom w:val="nil"/>
              <w:right w:val="nil"/>
            </w:tcBorders>
            <w:shd w:val="clear" w:color="auto" w:fill="auto"/>
          </w:tcPr>
          <w:p w14:paraId="29FBD4A9" w14:textId="77777777" w:rsidR="001219A8" w:rsidRPr="008A6781" w:rsidRDefault="001219A8" w:rsidP="009A0F2F">
            <w:pPr>
              <w:pStyle w:val="CommentaryHeading"/>
              <w:tabs>
                <w:tab w:val="left" w:pos="3306"/>
              </w:tabs>
              <w:spacing w:before="0" w:after="80"/>
              <w:rPr>
                <w:rFonts w:eastAsia="Calibri" w:cs="Calibri"/>
                <w:b w:val="0"/>
                <w:bCs w:val="0"/>
                <w:strike/>
                <w:color w:val="FF0000"/>
                <w:sz w:val="18"/>
              </w:rPr>
            </w:pPr>
            <w:r w:rsidRPr="008A6781">
              <w:rPr>
                <w:rFonts w:eastAsia="Calibri" w:cs="Calibri"/>
                <w:b w:val="0"/>
                <w:bCs w:val="0"/>
                <w:strike/>
                <w:color w:val="FF0000"/>
                <w:sz w:val="18"/>
              </w:rPr>
              <w:t>Revenue Recognised from Performance Obligations Satisfied in Previous Periods</w:t>
            </w:r>
          </w:p>
        </w:tc>
        <w:tc>
          <w:tcPr>
            <w:tcW w:w="717" w:type="pct"/>
            <w:gridSpan w:val="4"/>
            <w:tcBorders>
              <w:top w:val="nil"/>
              <w:left w:val="nil"/>
              <w:bottom w:val="nil"/>
              <w:right w:val="nil"/>
            </w:tcBorders>
            <w:shd w:val="clear" w:color="auto" w:fill="auto"/>
          </w:tcPr>
          <w:p w14:paraId="3D1A12F7"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86" w:type="pct"/>
            <w:gridSpan w:val="4"/>
            <w:tcBorders>
              <w:top w:val="nil"/>
              <w:left w:val="nil"/>
              <w:bottom w:val="nil"/>
              <w:right w:val="nil"/>
            </w:tcBorders>
            <w:shd w:val="clear" w:color="auto" w:fill="auto"/>
          </w:tcPr>
          <w:p w14:paraId="2C5650B8"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1219A8" w:rsidRPr="00B36BAC" w14:paraId="40DC889E"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E2C7FDB" w14:textId="77777777" w:rsidR="001219A8" w:rsidRPr="008A6781" w:rsidRDefault="001219A8" w:rsidP="009A0F2F">
            <w:pPr>
              <w:pStyle w:val="TableReference"/>
              <w:tabs>
                <w:tab w:val="left" w:pos="3306"/>
              </w:tabs>
              <w:spacing w:before="40"/>
              <w:rPr>
                <w:rFonts w:cs="Calibri"/>
                <w:strike/>
                <w:color w:val="538135" w:themeColor="accent6" w:themeShade="BF"/>
                <w:sz w:val="14"/>
              </w:rPr>
            </w:pPr>
            <w:r w:rsidRPr="008A6781">
              <w:rPr>
                <w:rFonts w:cs="Calibri"/>
                <w:strike/>
                <w:color w:val="538135" w:themeColor="accent6" w:themeShade="BF"/>
                <w:sz w:val="14"/>
              </w:rPr>
              <w:t>AASB 15.120(a)</w:t>
            </w:r>
          </w:p>
          <w:p w14:paraId="7C31C39B" w14:textId="77777777" w:rsidR="001219A8" w:rsidRPr="008A6781" w:rsidRDefault="001219A8" w:rsidP="009A0F2F">
            <w:pPr>
              <w:pStyle w:val="TableReference"/>
              <w:spacing w:before="40"/>
              <w:rPr>
                <w:rFonts w:cs="Calibri"/>
                <w:strike/>
                <w:color w:val="538135" w:themeColor="accent6" w:themeShade="BF"/>
                <w:sz w:val="14"/>
              </w:rPr>
            </w:pPr>
          </w:p>
        </w:tc>
        <w:tc>
          <w:tcPr>
            <w:tcW w:w="2829" w:type="pct"/>
            <w:gridSpan w:val="2"/>
            <w:tcBorders>
              <w:top w:val="nil"/>
              <w:left w:val="single" w:sz="2" w:space="0" w:color="auto"/>
              <w:bottom w:val="nil"/>
              <w:right w:val="nil"/>
            </w:tcBorders>
            <w:shd w:val="clear" w:color="auto" w:fill="auto"/>
          </w:tcPr>
          <w:p w14:paraId="1C2A035A" w14:textId="77777777" w:rsidR="001219A8" w:rsidRPr="008A6781" w:rsidRDefault="001219A8" w:rsidP="000159C3">
            <w:pPr>
              <w:pStyle w:val="CommentaryHeading"/>
              <w:tabs>
                <w:tab w:val="left" w:pos="3306"/>
              </w:tabs>
              <w:spacing w:before="0" w:after="0"/>
              <w:rPr>
                <w:rFonts w:eastAsia="Calibri" w:cs="Calibri"/>
                <w:b w:val="0"/>
                <w:bCs w:val="0"/>
                <w:strike/>
                <w:color w:val="538135" w:themeColor="accent6" w:themeShade="BF"/>
                <w:sz w:val="18"/>
              </w:rPr>
            </w:pPr>
            <w:r w:rsidRPr="008A6781">
              <w:rPr>
                <w:rFonts w:eastAsia="Calibri" w:cs="Calibri"/>
                <w:b w:val="0"/>
                <w:bCs w:val="0"/>
                <w:strike/>
                <w:color w:val="538135" w:themeColor="accent6" w:themeShade="BF"/>
                <w:sz w:val="18"/>
              </w:rPr>
              <w:t>Transaction Price Allocated to Unsatisfied (or Partially Unsatisfied) Performance Obligations</w:t>
            </w:r>
          </w:p>
        </w:tc>
        <w:tc>
          <w:tcPr>
            <w:tcW w:w="717" w:type="pct"/>
            <w:gridSpan w:val="4"/>
            <w:tcBorders>
              <w:top w:val="nil"/>
              <w:left w:val="nil"/>
              <w:bottom w:val="nil"/>
              <w:right w:val="nil"/>
            </w:tcBorders>
            <w:shd w:val="clear" w:color="auto" w:fill="auto"/>
          </w:tcPr>
          <w:p w14:paraId="12CF58DB"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86" w:type="pct"/>
            <w:gridSpan w:val="4"/>
            <w:tcBorders>
              <w:top w:val="nil"/>
              <w:left w:val="nil"/>
              <w:bottom w:val="nil"/>
              <w:right w:val="nil"/>
            </w:tcBorders>
            <w:shd w:val="clear" w:color="auto" w:fill="auto"/>
          </w:tcPr>
          <w:p w14:paraId="37909623"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8A0F4A" w:rsidRPr="00CF7E1B" w14:paraId="7EBBEEC1" w14:textId="77777777" w:rsidTr="00D43DDC">
        <w:trPr>
          <w:gridAfter w:val="1"/>
          <w:wAfter w:w="165" w:type="pct"/>
          <w:cantSplit/>
          <w:trHeight w:val="154"/>
        </w:trPr>
        <w:tc>
          <w:tcPr>
            <w:tcW w:w="704" w:type="pct"/>
            <w:tcBorders>
              <w:top w:val="nil"/>
              <w:left w:val="single" w:sz="2" w:space="0" w:color="auto"/>
              <w:bottom w:val="nil"/>
              <w:right w:val="single" w:sz="2" w:space="0" w:color="auto"/>
            </w:tcBorders>
          </w:tcPr>
          <w:p w14:paraId="440D0C1C" w14:textId="77777777" w:rsidR="008A0F4A" w:rsidRPr="008A6781" w:rsidRDefault="008A0F4A" w:rsidP="000159C3">
            <w:pPr>
              <w:pStyle w:val="TableReference"/>
              <w:tabs>
                <w:tab w:val="left" w:pos="3306"/>
              </w:tabs>
              <w:spacing w:before="40"/>
              <w:rPr>
                <w:rFonts w:cs="Calibri"/>
                <w:color w:val="auto"/>
                <w:sz w:val="16"/>
                <w:szCs w:val="16"/>
              </w:rPr>
            </w:pPr>
          </w:p>
        </w:tc>
        <w:tc>
          <w:tcPr>
            <w:tcW w:w="4131" w:type="pct"/>
            <w:gridSpan w:val="10"/>
            <w:tcBorders>
              <w:top w:val="nil"/>
              <w:left w:val="single" w:sz="2" w:space="0" w:color="auto"/>
              <w:bottom w:val="nil"/>
              <w:right w:val="nil"/>
            </w:tcBorders>
          </w:tcPr>
          <w:p w14:paraId="43967965" w14:textId="04B5CB85" w:rsidR="008A0F4A" w:rsidRPr="008A6781" w:rsidRDefault="0023781D" w:rsidP="000159C3">
            <w:pPr>
              <w:pStyle w:val="TableText"/>
              <w:tabs>
                <w:tab w:val="left" w:pos="3306"/>
              </w:tabs>
              <w:spacing w:before="0"/>
              <w:rPr>
                <w:rFonts w:cs="Calibri"/>
              </w:rPr>
            </w:pPr>
            <w:r w:rsidRPr="008A6781">
              <w:rPr>
                <w:rFonts w:cs="Calibri"/>
                <w:b/>
                <w:bCs/>
              </w:rPr>
              <w:t>Split of Payables and Contract Liabilities</w:t>
            </w:r>
          </w:p>
        </w:tc>
      </w:tr>
      <w:tr w:rsidR="008A0F4A" w:rsidRPr="00952428" w14:paraId="6E2C65A1"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E57C3B8" w14:textId="77777777" w:rsidR="008A0F4A" w:rsidRPr="008A6781" w:rsidRDefault="008A0F4A" w:rsidP="009A0F2F">
            <w:pPr>
              <w:pStyle w:val="TableReference"/>
              <w:tabs>
                <w:tab w:val="left" w:pos="3306"/>
              </w:tabs>
              <w:spacing w:before="40"/>
              <w:rPr>
                <w:rFonts w:cs="Calibri"/>
                <w:color w:val="auto"/>
                <w:sz w:val="14"/>
              </w:rPr>
            </w:pPr>
            <w:r w:rsidRPr="008A6781">
              <w:rPr>
                <w:rFonts w:cs="Calibri"/>
                <w:color w:val="auto"/>
                <w:sz w:val="14"/>
              </w:rPr>
              <w:t>ACT Disclosure Policy</w:t>
            </w:r>
          </w:p>
        </w:tc>
        <w:tc>
          <w:tcPr>
            <w:tcW w:w="2829" w:type="pct"/>
            <w:gridSpan w:val="2"/>
            <w:tcBorders>
              <w:top w:val="nil"/>
              <w:left w:val="single" w:sz="2" w:space="0" w:color="auto"/>
              <w:bottom w:val="nil"/>
              <w:right w:val="nil"/>
            </w:tcBorders>
          </w:tcPr>
          <w:p w14:paraId="67FC4973" w14:textId="223B64CE" w:rsidR="008A0F4A" w:rsidRPr="008A6781" w:rsidRDefault="008A0F4A" w:rsidP="0023781D">
            <w:pPr>
              <w:pStyle w:val="TableText"/>
              <w:tabs>
                <w:tab w:val="left" w:pos="3306"/>
              </w:tabs>
              <w:spacing w:before="0"/>
              <w:ind w:left="210" w:hanging="210"/>
              <w:rPr>
                <w:rFonts w:cs="Calibri"/>
              </w:rPr>
            </w:pPr>
            <w:r w:rsidRPr="008A6781">
              <w:rPr>
                <w:rFonts w:cs="Calibri"/>
              </w:rPr>
              <w:t xml:space="preserve">Current </w:t>
            </w:r>
            <w:r w:rsidR="0023781D" w:rsidRPr="008A6781">
              <w:rPr>
                <w:rFonts w:cs="Calibri"/>
              </w:rPr>
              <w:t>Payables</w:t>
            </w:r>
            <w:r w:rsidR="008D31E4" w:rsidRPr="008A6781">
              <w:rPr>
                <w:rFonts w:cs="Calibri"/>
              </w:rPr>
              <w:t xml:space="preserve"> </w:t>
            </w:r>
            <w:r w:rsidR="008D31E4" w:rsidRPr="008A6781">
              <w:rPr>
                <w:rFonts w:cs="Calibri"/>
                <w:color w:val="FF0000"/>
              </w:rPr>
              <w:t>(without Contract Liabilities)</w:t>
            </w:r>
            <w:r w:rsidRPr="008A6781">
              <w:rPr>
                <w:rFonts w:cs="Calibri"/>
              </w:rPr>
              <w:t xml:space="preserve"> </w:t>
            </w:r>
          </w:p>
        </w:tc>
        <w:tc>
          <w:tcPr>
            <w:tcW w:w="744" w:type="pct"/>
            <w:gridSpan w:val="5"/>
            <w:tcBorders>
              <w:top w:val="nil"/>
              <w:left w:val="nil"/>
              <w:bottom w:val="nil"/>
              <w:right w:val="nil"/>
            </w:tcBorders>
            <w:vAlign w:val="bottom"/>
          </w:tcPr>
          <w:p w14:paraId="549AB849"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nil"/>
              <w:left w:val="nil"/>
              <w:bottom w:val="nil"/>
              <w:right w:val="nil"/>
            </w:tcBorders>
            <w:vAlign w:val="bottom"/>
          </w:tcPr>
          <w:p w14:paraId="4E9CBDDB"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8A0F4A" w:rsidRPr="00952428" w14:paraId="39951BFE"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843C0FB" w14:textId="77777777" w:rsidR="008A0F4A" w:rsidRPr="008A6781" w:rsidRDefault="008A0F4A" w:rsidP="009A0F2F">
            <w:pPr>
              <w:pStyle w:val="TableReference"/>
              <w:tabs>
                <w:tab w:val="left" w:pos="3306"/>
              </w:tabs>
              <w:spacing w:before="40"/>
              <w:rPr>
                <w:rFonts w:cs="Calibri"/>
                <w:color w:val="auto"/>
                <w:sz w:val="14"/>
              </w:rPr>
            </w:pPr>
            <w:r w:rsidRPr="008A6781">
              <w:rPr>
                <w:rFonts w:cs="Calibri"/>
                <w:color w:val="auto"/>
                <w:sz w:val="14"/>
              </w:rPr>
              <w:t>ACT Disclosure Policy</w:t>
            </w:r>
          </w:p>
        </w:tc>
        <w:tc>
          <w:tcPr>
            <w:tcW w:w="2829" w:type="pct"/>
            <w:gridSpan w:val="2"/>
            <w:tcBorders>
              <w:top w:val="nil"/>
              <w:left w:val="single" w:sz="2" w:space="0" w:color="auto"/>
              <w:bottom w:val="nil"/>
              <w:right w:val="nil"/>
            </w:tcBorders>
          </w:tcPr>
          <w:p w14:paraId="1A4F41D1" w14:textId="0428E729" w:rsidR="008A0F4A" w:rsidRPr="008A6781" w:rsidRDefault="008A0F4A" w:rsidP="0023781D">
            <w:pPr>
              <w:pStyle w:val="TableText"/>
              <w:tabs>
                <w:tab w:val="left" w:pos="3306"/>
              </w:tabs>
              <w:spacing w:before="0"/>
              <w:ind w:left="210" w:hanging="210"/>
              <w:rPr>
                <w:rFonts w:cs="Calibri"/>
              </w:rPr>
            </w:pPr>
            <w:r w:rsidRPr="008A6781">
              <w:rPr>
                <w:rFonts w:cs="Calibri"/>
              </w:rPr>
              <w:t xml:space="preserve">Non-Current </w:t>
            </w:r>
            <w:r w:rsidR="0023781D" w:rsidRPr="008A6781">
              <w:rPr>
                <w:rFonts w:cs="Calibri"/>
              </w:rPr>
              <w:t>Payables</w:t>
            </w:r>
            <w:r w:rsidR="008D31E4" w:rsidRPr="008A6781">
              <w:rPr>
                <w:rFonts w:cs="Calibri"/>
              </w:rPr>
              <w:t xml:space="preserve"> </w:t>
            </w:r>
            <w:r w:rsidR="008D31E4" w:rsidRPr="008A6781">
              <w:rPr>
                <w:rFonts w:cs="Calibri"/>
                <w:color w:val="FF0000"/>
              </w:rPr>
              <w:t>(without Contract Liabilities)</w:t>
            </w:r>
          </w:p>
        </w:tc>
        <w:tc>
          <w:tcPr>
            <w:tcW w:w="744" w:type="pct"/>
            <w:gridSpan w:val="5"/>
            <w:tcBorders>
              <w:top w:val="nil"/>
              <w:left w:val="nil"/>
              <w:bottom w:val="nil"/>
              <w:right w:val="nil"/>
            </w:tcBorders>
            <w:vAlign w:val="bottom"/>
          </w:tcPr>
          <w:p w14:paraId="6D9CA03A"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nil"/>
              <w:left w:val="nil"/>
              <w:bottom w:val="nil"/>
              <w:right w:val="nil"/>
            </w:tcBorders>
            <w:vAlign w:val="bottom"/>
          </w:tcPr>
          <w:p w14:paraId="2CBBBED7"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8A0F4A" w:rsidRPr="00952428" w14:paraId="280CB4B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85FA99B" w14:textId="4E933153" w:rsidR="008A0F4A" w:rsidRPr="008A6781" w:rsidRDefault="008A0F4A" w:rsidP="009A0F2F">
            <w:pPr>
              <w:pStyle w:val="TableReference"/>
              <w:tabs>
                <w:tab w:val="left" w:pos="3306"/>
              </w:tabs>
              <w:spacing w:before="40"/>
              <w:rPr>
                <w:rFonts w:cs="Calibri"/>
                <w:color w:val="auto"/>
                <w:sz w:val="14"/>
              </w:rPr>
            </w:pPr>
          </w:p>
        </w:tc>
        <w:tc>
          <w:tcPr>
            <w:tcW w:w="2829" w:type="pct"/>
            <w:gridSpan w:val="2"/>
            <w:tcBorders>
              <w:top w:val="nil"/>
              <w:left w:val="single" w:sz="2" w:space="0" w:color="auto"/>
              <w:bottom w:val="nil"/>
              <w:right w:val="nil"/>
            </w:tcBorders>
          </w:tcPr>
          <w:p w14:paraId="78FA59F9" w14:textId="787E0AB1" w:rsidR="008A0F4A" w:rsidRPr="008A6781" w:rsidRDefault="008A0F4A" w:rsidP="00CF0623">
            <w:pPr>
              <w:pStyle w:val="TableText"/>
              <w:tabs>
                <w:tab w:val="left" w:pos="3306"/>
              </w:tabs>
              <w:spacing w:before="0" w:after="120"/>
              <w:ind w:left="210" w:hanging="210"/>
              <w:rPr>
                <w:rFonts w:cs="Calibri"/>
              </w:rPr>
            </w:pPr>
            <w:r w:rsidRPr="008A6781">
              <w:rPr>
                <w:rFonts w:cs="Calibri"/>
                <w:b/>
                <w:bCs/>
              </w:rPr>
              <w:t xml:space="preserve">Total </w:t>
            </w:r>
            <w:r w:rsidR="0023781D" w:rsidRPr="008A6781">
              <w:rPr>
                <w:rFonts w:cs="Calibri"/>
                <w:b/>
                <w:bCs/>
              </w:rPr>
              <w:t>Payables</w:t>
            </w:r>
            <w:r w:rsidR="008D31E4" w:rsidRPr="008A6781">
              <w:rPr>
                <w:rFonts w:cs="Calibri"/>
                <w:b/>
                <w:bCs/>
              </w:rPr>
              <w:t xml:space="preserve"> </w:t>
            </w:r>
            <w:r w:rsidR="008D31E4" w:rsidRPr="008A6781">
              <w:rPr>
                <w:rFonts w:cs="Calibri"/>
                <w:b/>
                <w:bCs/>
                <w:color w:val="FF0000"/>
              </w:rPr>
              <w:t>(without Contract Liabilities)</w:t>
            </w:r>
          </w:p>
        </w:tc>
        <w:tc>
          <w:tcPr>
            <w:tcW w:w="744" w:type="pct"/>
            <w:gridSpan w:val="5"/>
            <w:tcBorders>
              <w:top w:val="nil"/>
              <w:left w:val="nil"/>
              <w:bottom w:val="nil"/>
              <w:right w:val="nil"/>
            </w:tcBorders>
            <w:vAlign w:val="bottom"/>
          </w:tcPr>
          <w:p w14:paraId="375AAE47"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nil"/>
              <w:left w:val="nil"/>
              <w:bottom w:val="nil"/>
              <w:right w:val="nil"/>
            </w:tcBorders>
            <w:vAlign w:val="bottom"/>
          </w:tcPr>
          <w:p w14:paraId="2CDCA758"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8A0F4A" w:rsidRPr="00952428" w14:paraId="667D597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47FD0F4" w14:textId="77777777" w:rsidR="008A0F4A" w:rsidRPr="008A6781" w:rsidRDefault="008A0F4A" w:rsidP="009A0F2F">
            <w:pPr>
              <w:pStyle w:val="TableReference"/>
              <w:tabs>
                <w:tab w:val="left" w:pos="3306"/>
              </w:tabs>
              <w:spacing w:before="40"/>
              <w:rPr>
                <w:rFonts w:cs="Calibri"/>
                <w:color w:val="auto"/>
                <w:sz w:val="14"/>
              </w:rPr>
            </w:pPr>
            <w:r w:rsidRPr="008A6781">
              <w:rPr>
                <w:rFonts w:cs="Calibri"/>
                <w:color w:val="auto"/>
                <w:sz w:val="14"/>
              </w:rPr>
              <w:t>ACT Disclosure Policy</w:t>
            </w:r>
          </w:p>
        </w:tc>
        <w:tc>
          <w:tcPr>
            <w:tcW w:w="2829" w:type="pct"/>
            <w:gridSpan w:val="2"/>
            <w:tcBorders>
              <w:top w:val="nil"/>
              <w:left w:val="single" w:sz="2" w:space="0" w:color="auto"/>
              <w:bottom w:val="nil"/>
              <w:right w:val="nil"/>
            </w:tcBorders>
          </w:tcPr>
          <w:p w14:paraId="767FE951" w14:textId="4F5F050B" w:rsidR="008A0F4A" w:rsidRPr="008A6781" w:rsidRDefault="008A0F4A" w:rsidP="0023781D">
            <w:pPr>
              <w:pStyle w:val="TableText"/>
              <w:tabs>
                <w:tab w:val="left" w:pos="3306"/>
              </w:tabs>
              <w:spacing w:before="0"/>
              <w:ind w:left="210" w:hanging="210"/>
              <w:rPr>
                <w:rFonts w:cs="Calibri"/>
              </w:rPr>
            </w:pPr>
            <w:r w:rsidRPr="008A6781">
              <w:rPr>
                <w:rFonts w:cs="Calibri"/>
              </w:rPr>
              <w:t xml:space="preserve">Current Contract </w:t>
            </w:r>
            <w:r w:rsidR="0023781D" w:rsidRPr="008A6781">
              <w:rPr>
                <w:rFonts w:cs="Calibri"/>
              </w:rPr>
              <w:t>Liabilities</w:t>
            </w:r>
          </w:p>
        </w:tc>
        <w:tc>
          <w:tcPr>
            <w:tcW w:w="744" w:type="pct"/>
            <w:gridSpan w:val="5"/>
            <w:tcBorders>
              <w:top w:val="nil"/>
              <w:left w:val="nil"/>
              <w:bottom w:val="nil"/>
              <w:right w:val="nil"/>
            </w:tcBorders>
            <w:vAlign w:val="bottom"/>
          </w:tcPr>
          <w:p w14:paraId="2426CFF9"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nil"/>
              <w:left w:val="nil"/>
              <w:bottom w:val="nil"/>
              <w:right w:val="nil"/>
            </w:tcBorders>
            <w:vAlign w:val="bottom"/>
          </w:tcPr>
          <w:p w14:paraId="00054D91"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8A0F4A" w:rsidRPr="00952428" w14:paraId="6A09A3A2" w14:textId="77777777" w:rsidTr="00D43DDC">
        <w:trPr>
          <w:gridAfter w:val="1"/>
          <w:wAfter w:w="165" w:type="pct"/>
          <w:cantSplit/>
          <w:trHeight w:val="80"/>
        </w:trPr>
        <w:tc>
          <w:tcPr>
            <w:tcW w:w="704" w:type="pct"/>
            <w:tcBorders>
              <w:top w:val="nil"/>
              <w:left w:val="single" w:sz="2" w:space="0" w:color="auto"/>
              <w:bottom w:val="nil"/>
              <w:right w:val="single" w:sz="2" w:space="0" w:color="auto"/>
            </w:tcBorders>
          </w:tcPr>
          <w:p w14:paraId="71DD0C81" w14:textId="77777777" w:rsidR="008A0F4A" w:rsidRPr="008A6781" w:rsidRDefault="008A0F4A" w:rsidP="009A0F2F">
            <w:pPr>
              <w:pStyle w:val="TableReference"/>
              <w:tabs>
                <w:tab w:val="left" w:pos="3306"/>
              </w:tabs>
              <w:spacing w:before="40"/>
              <w:rPr>
                <w:rFonts w:cs="Calibri"/>
                <w:color w:val="auto"/>
                <w:sz w:val="14"/>
              </w:rPr>
            </w:pPr>
            <w:r w:rsidRPr="008A6781">
              <w:rPr>
                <w:rFonts w:cs="Calibri"/>
                <w:color w:val="auto"/>
                <w:sz w:val="14"/>
              </w:rPr>
              <w:t>ACT Disclosure Policy</w:t>
            </w:r>
          </w:p>
        </w:tc>
        <w:tc>
          <w:tcPr>
            <w:tcW w:w="2829" w:type="pct"/>
            <w:gridSpan w:val="2"/>
            <w:tcBorders>
              <w:top w:val="nil"/>
              <w:left w:val="single" w:sz="2" w:space="0" w:color="auto"/>
              <w:bottom w:val="nil"/>
              <w:right w:val="nil"/>
            </w:tcBorders>
          </w:tcPr>
          <w:p w14:paraId="4835B15D" w14:textId="566540ED" w:rsidR="008A0F4A" w:rsidRPr="008A6781" w:rsidRDefault="008A0F4A" w:rsidP="0023781D">
            <w:pPr>
              <w:pStyle w:val="TableText"/>
              <w:tabs>
                <w:tab w:val="left" w:pos="3306"/>
              </w:tabs>
              <w:spacing w:before="0"/>
              <w:ind w:left="210" w:hanging="210"/>
              <w:rPr>
                <w:rFonts w:cs="Calibri"/>
              </w:rPr>
            </w:pPr>
            <w:r w:rsidRPr="008A6781">
              <w:rPr>
                <w:rFonts w:cs="Calibri"/>
              </w:rPr>
              <w:t xml:space="preserve">Non-Current Contract </w:t>
            </w:r>
            <w:r w:rsidR="0023781D" w:rsidRPr="008A6781">
              <w:rPr>
                <w:rFonts w:cs="Calibri"/>
              </w:rPr>
              <w:t>Liabilities</w:t>
            </w:r>
          </w:p>
        </w:tc>
        <w:tc>
          <w:tcPr>
            <w:tcW w:w="744" w:type="pct"/>
            <w:gridSpan w:val="5"/>
            <w:tcBorders>
              <w:top w:val="nil"/>
              <w:left w:val="nil"/>
              <w:bottom w:val="single" w:sz="2" w:space="0" w:color="auto"/>
              <w:right w:val="nil"/>
            </w:tcBorders>
            <w:vAlign w:val="bottom"/>
          </w:tcPr>
          <w:p w14:paraId="4EE22A68"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nil"/>
              <w:left w:val="nil"/>
              <w:bottom w:val="single" w:sz="2" w:space="0" w:color="auto"/>
              <w:right w:val="nil"/>
            </w:tcBorders>
            <w:vAlign w:val="bottom"/>
          </w:tcPr>
          <w:p w14:paraId="5581A7A7"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8A0F4A" w:rsidRPr="00952428" w14:paraId="6FA77BF8"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ED76242" w14:textId="7FD80C59" w:rsidR="008A0F4A" w:rsidRPr="008A6781" w:rsidRDefault="008A0F4A" w:rsidP="009A0F2F">
            <w:pPr>
              <w:pStyle w:val="TableReference"/>
              <w:tabs>
                <w:tab w:val="left" w:pos="3306"/>
              </w:tabs>
              <w:spacing w:before="40"/>
              <w:rPr>
                <w:rFonts w:cs="Calibri"/>
                <w:color w:val="auto"/>
                <w:sz w:val="14"/>
              </w:rPr>
            </w:pPr>
          </w:p>
        </w:tc>
        <w:tc>
          <w:tcPr>
            <w:tcW w:w="2829" w:type="pct"/>
            <w:gridSpan w:val="2"/>
            <w:tcBorders>
              <w:top w:val="nil"/>
              <w:left w:val="single" w:sz="2" w:space="0" w:color="auto"/>
              <w:bottom w:val="nil"/>
              <w:right w:val="nil"/>
            </w:tcBorders>
            <w:vAlign w:val="bottom"/>
          </w:tcPr>
          <w:p w14:paraId="77E140BC" w14:textId="6080CA15" w:rsidR="008A0F4A" w:rsidRPr="008A6781" w:rsidRDefault="008A0F4A" w:rsidP="0023781D">
            <w:pPr>
              <w:pStyle w:val="TableText"/>
              <w:tabs>
                <w:tab w:val="left" w:pos="3306"/>
              </w:tabs>
              <w:spacing w:before="0"/>
              <w:ind w:left="210" w:hanging="210"/>
              <w:jc w:val="both"/>
              <w:rPr>
                <w:rFonts w:cs="Calibri"/>
              </w:rPr>
            </w:pPr>
            <w:r w:rsidRPr="008A6781">
              <w:rPr>
                <w:rFonts w:cs="Calibri"/>
                <w:b/>
                <w:bCs/>
              </w:rPr>
              <w:t xml:space="preserve">Total Contract </w:t>
            </w:r>
            <w:r w:rsidR="0023781D" w:rsidRPr="008A6781">
              <w:rPr>
                <w:rFonts w:cs="Calibri"/>
                <w:b/>
                <w:bCs/>
              </w:rPr>
              <w:t>Liabilities</w:t>
            </w:r>
          </w:p>
        </w:tc>
        <w:tc>
          <w:tcPr>
            <w:tcW w:w="744" w:type="pct"/>
            <w:gridSpan w:val="5"/>
            <w:tcBorders>
              <w:top w:val="single" w:sz="2" w:space="0" w:color="auto"/>
              <w:left w:val="nil"/>
              <w:bottom w:val="single" w:sz="2" w:space="0" w:color="auto"/>
              <w:right w:val="nil"/>
            </w:tcBorders>
            <w:vAlign w:val="bottom"/>
          </w:tcPr>
          <w:p w14:paraId="177D666F"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single" w:sz="2" w:space="0" w:color="auto"/>
              <w:left w:val="nil"/>
              <w:bottom w:val="single" w:sz="2" w:space="0" w:color="auto"/>
              <w:right w:val="nil"/>
            </w:tcBorders>
            <w:vAlign w:val="bottom"/>
          </w:tcPr>
          <w:p w14:paraId="40CF66CC"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153DC2" w:rsidRPr="00CF0623" w14:paraId="79CDB2CB"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7119844F" w14:textId="77777777" w:rsidR="00153DC2" w:rsidRPr="008A6781" w:rsidRDefault="00153DC2" w:rsidP="009A0F2F">
            <w:pPr>
              <w:pStyle w:val="TableReference"/>
              <w:tabs>
                <w:tab w:val="left" w:pos="3306"/>
              </w:tabs>
              <w:spacing w:before="40"/>
              <w:rPr>
                <w:rFonts w:cs="Calibri"/>
                <w:color w:val="auto"/>
                <w:sz w:val="6"/>
                <w:szCs w:val="6"/>
              </w:rPr>
            </w:pPr>
          </w:p>
        </w:tc>
        <w:tc>
          <w:tcPr>
            <w:tcW w:w="2829" w:type="pct"/>
            <w:gridSpan w:val="2"/>
            <w:tcBorders>
              <w:top w:val="nil"/>
              <w:left w:val="single" w:sz="2" w:space="0" w:color="auto"/>
              <w:bottom w:val="nil"/>
              <w:right w:val="nil"/>
            </w:tcBorders>
            <w:vAlign w:val="bottom"/>
          </w:tcPr>
          <w:p w14:paraId="7AF5C0EF" w14:textId="77777777" w:rsidR="00153DC2" w:rsidRPr="008A6781" w:rsidRDefault="00153DC2" w:rsidP="0023781D">
            <w:pPr>
              <w:pStyle w:val="TableText"/>
              <w:tabs>
                <w:tab w:val="left" w:pos="3306"/>
              </w:tabs>
              <w:spacing w:before="0"/>
              <w:ind w:left="210" w:hanging="210"/>
              <w:rPr>
                <w:rFonts w:cs="Calibri"/>
                <w:b/>
                <w:bCs/>
                <w:sz w:val="6"/>
                <w:szCs w:val="6"/>
              </w:rPr>
            </w:pPr>
          </w:p>
        </w:tc>
        <w:tc>
          <w:tcPr>
            <w:tcW w:w="744" w:type="pct"/>
            <w:gridSpan w:val="5"/>
            <w:tcBorders>
              <w:top w:val="single" w:sz="2" w:space="0" w:color="auto"/>
              <w:left w:val="nil"/>
              <w:bottom w:val="single" w:sz="2" w:space="0" w:color="auto"/>
              <w:right w:val="nil"/>
            </w:tcBorders>
            <w:vAlign w:val="bottom"/>
          </w:tcPr>
          <w:p w14:paraId="40F782F1" w14:textId="77777777" w:rsidR="00153DC2" w:rsidRPr="00CF0623" w:rsidRDefault="00153DC2" w:rsidP="009A0F2F">
            <w:pPr>
              <w:pStyle w:val="TableText"/>
              <w:tabs>
                <w:tab w:val="left" w:pos="3306"/>
              </w:tabs>
              <w:spacing w:before="0"/>
              <w:ind w:left="210" w:hanging="210"/>
              <w:jc w:val="both"/>
              <w:rPr>
                <w:rFonts w:cs="Calibri"/>
                <w:strike/>
                <w:color w:val="FF0000"/>
                <w:sz w:val="6"/>
                <w:szCs w:val="6"/>
              </w:rPr>
            </w:pPr>
          </w:p>
        </w:tc>
        <w:tc>
          <w:tcPr>
            <w:tcW w:w="559" w:type="pct"/>
            <w:gridSpan w:val="3"/>
            <w:tcBorders>
              <w:top w:val="single" w:sz="2" w:space="0" w:color="auto"/>
              <w:left w:val="nil"/>
              <w:bottom w:val="single" w:sz="2" w:space="0" w:color="auto"/>
              <w:right w:val="nil"/>
            </w:tcBorders>
            <w:vAlign w:val="bottom"/>
          </w:tcPr>
          <w:p w14:paraId="7267239A" w14:textId="77777777" w:rsidR="00153DC2" w:rsidRPr="00CF0623" w:rsidRDefault="00153DC2" w:rsidP="009A0F2F">
            <w:pPr>
              <w:pStyle w:val="TableText"/>
              <w:tabs>
                <w:tab w:val="left" w:pos="3306"/>
              </w:tabs>
              <w:spacing w:before="0"/>
              <w:ind w:left="210" w:hanging="210"/>
              <w:jc w:val="both"/>
              <w:rPr>
                <w:rFonts w:cs="Calibri"/>
                <w:strike/>
                <w:color w:val="FF0000"/>
                <w:sz w:val="6"/>
                <w:szCs w:val="6"/>
              </w:rPr>
            </w:pPr>
          </w:p>
        </w:tc>
      </w:tr>
      <w:tr w:rsidR="008A0F4A" w:rsidRPr="00952428" w14:paraId="7535C4A5"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74BCD76" w14:textId="77777777" w:rsidR="008A0F4A" w:rsidRPr="008A6781" w:rsidRDefault="008A0F4A" w:rsidP="009A0F2F">
            <w:pPr>
              <w:pStyle w:val="TableReference"/>
              <w:tabs>
                <w:tab w:val="left" w:pos="3306"/>
              </w:tabs>
              <w:spacing w:before="40"/>
              <w:rPr>
                <w:rFonts w:cs="Calibri"/>
                <w:color w:val="auto"/>
                <w:sz w:val="14"/>
              </w:rPr>
            </w:pPr>
          </w:p>
        </w:tc>
        <w:tc>
          <w:tcPr>
            <w:tcW w:w="2829" w:type="pct"/>
            <w:gridSpan w:val="2"/>
            <w:tcBorders>
              <w:top w:val="nil"/>
              <w:left w:val="single" w:sz="2" w:space="0" w:color="auto"/>
              <w:bottom w:val="nil"/>
              <w:right w:val="nil"/>
            </w:tcBorders>
            <w:vAlign w:val="bottom"/>
          </w:tcPr>
          <w:p w14:paraId="0215DECB" w14:textId="58ABB6DD" w:rsidR="008A0F4A" w:rsidRPr="008A6781" w:rsidRDefault="008A0F4A" w:rsidP="0023781D">
            <w:pPr>
              <w:pStyle w:val="TableText"/>
              <w:tabs>
                <w:tab w:val="left" w:pos="3306"/>
              </w:tabs>
              <w:spacing w:before="0"/>
              <w:ind w:left="210" w:hanging="210"/>
              <w:rPr>
                <w:rFonts w:cs="Calibri"/>
              </w:rPr>
            </w:pPr>
            <w:r w:rsidRPr="008A6781">
              <w:rPr>
                <w:rFonts w:cs="Calibri"/>
                <w:b/>
                <w:bCs/>
              </w:rPr>
              <w:t xml:space="preserve">Total </w:t>
            </w:r>
            <w:r w:rsidR="0023781D" w:rsidRPr="008A6781">
              <w:rPr>
                <w:rFonts w:cs="Calibri"/>
                <w:b/>
                <w:bCs/>
              </w:rPr>
              <w:t>Payables</w:t>
            </w:r>
            <w:r w:rsidRPr="008A6781">
              <w:rPr>
                <w:rFonts w:cs="Calibri"/>
                <w:b/>
                <w:bCs/>
              </w:rPr>
              <w:t xml:space="preserve"> </w:t>
            </w:r>
            <w:r w:rsidRPr="008A6781">
              <w:rPr>
                <w:rFonts w:cs="Calibri"/>
                <w:b/>
                <w:bCs/>
                <w:strike/>
                <w:color w:val="FF0000"/>
              </w:rPr>
              <w:t xml:space="preserve">and Contract </w:t>
            </w:r>
            <w:r w:rsidR="0023781D" w:rsidRPr="008A6781">
              <w:rPr>
                <w:rFonts w:cs="Calibri"/>
                <w:b/>
                <w:bCs/>
                <w:strike/>
                <w:color w:val="FF0000"/>
              </w:rPr>
              <w:t>Liabilities</w:t>
            </w:r>
          </w:p>
        </w:tc>
        <w:tc>
          <w:tcPr>
            <w:tcW w:w="744" w:type="pct"/>
            <w:gridSpan w:val="5"/>
            <w:tcBorders>
              <w:top w:val="single" w:sz="2" w:space="0" w:color="auto"/>
              <w:left w:val="nil"/>
              <w:bottom w:val="double" w:sz="4" w:space="0" w:color="auto"/>
              <w:right w:val="nil"/>
            </w:tcBorders>
            <w:vAlign w:val="bottom"/>
          </w:tcPr>
          <w:p w14:paraId="1C10CAB2" w14:textId="77777777" w:rsidR="008A0F4A" w:rsidRPr="005559F1" w:rsidRDefault="008A0F4A" w:rsidP="009A0F2F">
            <w:pPr>
              <w:pStyle w:val="TableText"/>
              <w:tabs>
                <w:tab w:val="left" w:pos="3306"/>
              </w:tabs>
              <w:spacing w:before="0"/>
              <w:ind w:left="210" w:hanging="210"/>
              <w:jc w:val="both"/>
              <w:rPr>
                <w:rFonts w:cs="Calibri"/>
                <w:strike/>
                <w:color w:val="FF0000"/>
              </w:rPr>
            </w:pPr>
          </w:p>
        </w:tc>
        <w:tc>
          <w:tcPr>
            <w:tcW w:w="559" w:type="pct"/>
            <w:gridSpan w:val="3"/>
            <w:tcBorders>
              <w:top w:val="single" w:sz="2" w:space="0" w:color="auto"/>
              <w:left w:val="nil"/>
              <w:bottom w:val="double" w:sz="4" w:space="0" w:color="auto"/>
              <w:right w:val="nil"/>
            </w:tcBorders>
            <w:vAlign w:val="bottom"/>
          </w:tcPr>
          <w:p w14:paraId="4B3CC3F1" w14:textId="77777777" w:rsidR="008A0F4A" w:rsidRPr="005559F1" w:rsidRDefault="008A0F4A" w:rsidP="009A0F2F">
            <w:pPr>
              <w:pStyle w:val="TableText"/>
              <w:tabs>
                <w:tab w:val="left" w:pos="3306"/>
              </w:tabs>
              <w:spacing w:before="0"/>
              <w:ind w:left="210" w:hanging="210"/>
              <w:jc w:val="both"/>
              <w:rPr>
                <w:rFonts w:cs="Calibri"/>
                <w:strike/>
                <w:color w:val="FF0000"/>
              </w:rPr>
            </w:pPr>
          </w:p>
        </w:tc>
      </w:tr>
      <w:tr w:rsidR="000144FF" w:rsidRPr="00CF7E1B" w14:paraId="14A45C1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A3367FA" w14:textId="77777777" w:rsidR="000144FF" w:rsidRPr="00DC4889" w:rsidRDefault="000144FF" w:rsidP="00CF0623">
            <w:pPr>
              <w:pStyle w:val="TableReference"/>
              <w:tabs>
                <w:tab w:val="left" w:pos="3306"/>
              </w:tabs>
              <w:spacing w:before="120"/>
              <w:rPr>
                <w:rFonts w:cs="Calibri"/>
                <w:color w:val="7030A0"/>
                <w:sz w:val="14"/>
              </w:rPr>
            </w:pPr>
            <w:bookmarkStart w:id="695" w:name="_Hlk41614493"/>
            <w:r w:rsidRPr="00DC4889">
              <w:rPr>
                <w:rFonts w:cs="Calibri"/>
                <w:color w:val="7030A0"/>
                <w:sz w:val="14"/>
              </w:rPr>
              <w:t xml:space="preserve">ACT </w:t>
            </w:r>
            <w:r w:rsidR="00BD2FF8" w:rsidRPr="00DC4889">
              <w:rPr>
                <w:rFonts w:cs="Calibri"/>
                <w:color w:val="7030A0"/>
                <w:sz w:val="14"/>
              </w:rPr>
              <w:t>Disclosure</w:t>
            </w:r>
            <w:r w:rsidRPr="00DC4889">
              <w:rPr>
                <w:rFonts w:cs="Calibri"/>
                <w:color w:val="7030A0"/>
                <w:sz w:val="14"/>
              </w:rPr>
              <w:t xml:space="preserve"> Policy</w:t>
            </w:r>
          </w:p>
        </w:tc>
        <w:tc>
          <w:tcPr>
            <w:tcW w:w="2829" w:type="pct"/>
            <w:gridSpan w:val="2"/>
            <w:tcBorders>
              <w:top w:val="nil"/>
              <w:left w:val="single" w:sz="2" w:space="0" w:color="auto"/>
              <w:bottom w:val="nil"/>
              <w:right w:val="nil"/>
            </w:tcBorders>
          </w:tcPr>
          <w:p w14:paraId="3128B511" w14:textId="77777777" w:rsidR="000144FF" w:rsidRPr="00DC4889" w:rsidRDefault="000144FF" w:rsidP="00CF0623">
            <w:pPr>
              <w:pStyle w:val="TableText"/>
              <w:tabs>
                <w:tab w:val="left" w:pos="3306"/>
              </w:tabs>
              <w:spacing w:before="120"/>
              <w:rPr>
                <w:rFonts w:cs="Calibri"/>
                <w:b/>
                <w:bCs/>
              </w:rPr>
            </w:pPr>
            <w:r w:rsidRPr="00DC4889">
              <w:rPr>
                <w:rFonts w:cs="Calibri"/>
                <w:b/>
                <w:bCs/>
              </w:rPr>
              <w:t>Payables are aged as follows:</w:t>
            </w:r>
          </w:p>
        </w:tc>
        <w:tc>
          <w:tcPr>
            <w:tcW w:w="759" w:type="pct"/>
            <w:gridSpan w:val="7"/>
            <w:tcBorders>
              <w:top w:val="nil"/>
              <w:left w:val="nil"/>
              <w:bottom w:val="nil"/>
              <w:right w:val="nil"/>
            </w:tcBorders>
            <w:vAlign w:val="bottom"/>
          </w:tcPr>
          <w:p w14:paraId="01B71F74" w14:textId="77777777" w:rsidR="000144FF" w:rsidRPr="00DC4889" w:rsidRDefault="000144FF">
            <w:pPr>
              <w:pStyle w:val="TableText"/>
              <w:tabs>
                <w:tab w:val="left" w:pos="3306"/>
              </w:tabs>
              <w:jc w:val="right"/>
              <w:rPr>
                <w:rFonts w:cs="Calibri"/>
              </w:rPr>
            </w:pPr>
          </w:p>
        </w:tc>
        <w:tc>
          <w:tcPr>
            <w:tcW w:w="544" w:type="pct"/>
            <w:tcBorders>
              <w:top w:val="nil"/>
              <w:left w:val="nil"/>
              <w:bottom w:val="nil"/>
              <w:right w:val="nil"/>
            </w:tcBorders>
            <w:vAlign w:val="bottom"/>
          </w:tcPr>
          <w:p w14:paraId="693E432F" w14:textId="77777777" w:rsidR="000144FF" w:rsidRPr="00DC4889" w:rsidRDefault="000144FF">
            <w:pPr>
              <w:pStyle w:val="TableText"/>
              <w:tabs>
                <w:tab w:val="left" w:pos="3306"/>
              </w:tabs>
              <w:jc w:val="right"/>
              <w:rPr>
                <w:rFonts w:cs="Calibri"/>
              </w:rPr>
            </w:pPr>
          </w:p>
        </w:tc>
      </w:tr>
      <w:bookmarkEnd w:id="695"/>
      <w:tr w:rsidR="00BD2FF8" w:rsidRPr="00CF7E1B" w14:paraId="006B760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06C9135" w14:textId="77777777" w:rsidR="00BD2FF8" w:rsidRPr="00DC4889" w:rsidRDefault="00BD2FF8" w:rsidP="00851F94">
            <w:pPr>
              <w:pStyle w:val="TableReference"/>
              <w:tabs>
                <w:tab w:val="left" w:pos="3306"/>
              </w:tabs>
              <w:spacing w:before="40"/>
              <w:rPr>
                <w:rFonts w:cs="Calibri"/>
                <w:color w:val="7030A0"/>
                <w:sz w:val="14"/>
              </w:rPr>
            </w:pPr>
          </w:p>
        </w:tc>
        <w:tc>
          <w:tcPr>
            <w:tcW w:w="2829" w:type="pct"/>
            <w:gridSpan w:val="2"/>
            <w:tcBorders>
              <w:top w:val="nil"/>
              <w:left w:val="single" w:sz="2" w:space="0" w:color="auto"/>
              <w:bottom w:val="nil"/>
              <w:right w:val="nil"/>
            </w:tcBorders>
          </w:tcPr>
          <w:p w14:paraId="600B44FD" w14:textId="77777777" w:rsidR="00BD2FF8" w:rsidRPr="00DC4889" w:rsidRDefault="00BD2FF8">
            <w:pPr>
              <w:pStyle w:val="TableText"/>
              <w:tabs>
                <w:tab w:val="left" w:pos="3306"/>
              </w:tabs>
              <w:rPr>
                <w:rFonts w:cs="Calibri"/>
              </w:rPr>
            </w:pPr>
            <w:r w:rsidRPr="00DC4889">
              <w:rPr>
                <w:rFonts w:cs="Calibri"/>
              </w:rPr>
              <w:t>Not Overdue</w:t>
            </w:r>
          </w:p>
        </w:tc>
        <w:tc>
          <w:tcPr>
            <w:tcW w:w="759" w:type="pct"/>
            <w:gridSpan w:val="7"/>
            <w:tcBorders>
              <w:top w:val="nil"/>
              <w:left w:val="nil"/>
              <w:bottom w:val="nil"/>
              <w:right w:val="nil"/>
            </w:tcBorders>
            <w:vAlign w:val="bottom"/>
          </w:tcPr>
          <w:p w14:paraId="2B629A98" w14:textId="3F0D3F52" w:rsidR="00BD2FF8" w:rsidRPr="00DC4889" w:rsidRDefault="00BD2FF8">
            <w:pPr>
              <w:pStyle w:val="TableText"/>
              <w:tabs>
                <w:tab w:val="left" w:pos="3306"/>
              </w:tabs>
              <w:jc w:val="right"/>
              <w:rPr>
                <w:rFonts w:cs="Calibri"/>
              </w:rPr>
            </w:pPr>
          </w:p>
        </w:tc>
        <w:tc>
          <w:tcPr>
            <w:tcW w:w="544" w:type="pct"/>
            <w:tcBorders>
              <w:top w:val="nil"/>
              <w:left w:val="nil"/>
              <w:bottom w:val="nil"/>
              <w:right w:val="nil"/>
            </w:tcBorders>
            <w:vAlign w:val="bottom"/>
          </w:tcPr>
          <w:p w14:paraId="00D181C1" w14:textId="22F8D4ED" w:rsidR="00BD2FF8" w:rsidRPr="00DC4889" w:rsidRDefault="00BD2FF8">
            <w:pPr>
              <w:pStyle w:val="TableText"/>
              <w:tabs>
                <w:tab w:val="left" w:pos="3306"/>
              </w:tabs>
              <w:jc w:val="right"/>
              <w:rPr>
                <w:rFonts w:cs="Calibri"/>
              </w:rPr>
            </w:pPr>
          </w:p>
        </w:tc>
      </w:tr>
      <w:tr w:rsidR="00BD2FF8" w:rsidRPr="00CF7E1B" w14:paraId="05CC80A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59A89E9" w14:textId="77777777" w:rsidR="00BD2FF8" w:rsidRPr="00DC4889" w:rsidRDefault="00BD2FF8" w:rsidP="00851F94">
            <w:pPr>
              <w:pStyle w:val="TableReference"/>
              <w:tabs>
                <w:tab w:val="left" w:pos="3306"/>
              </w:tabs>
              <w:spacing w:before="40"/>
              <w:rPr>
                <w:rFonts w:cs="Calibri"/>
                <w:color w:val="7030A0"/>
                <w:sz w:val="14"/>
              </w:rPr>
            </w:pPr>
          </w:p>
        </w:tc>
        <w:tc>
          <w:tcPr>
            <w:tcW w:w="2829" w:type="pct"/>
            <w:gridSpan w:val="2"/>
            <w:tcBorders>
              <w:top w:val="nil"/>
              <w:left w:val="single" w:sz="2" w:space="0" w:color="auto"/>
              <w:bottom w:val="nil"/>
              <w:right w:val="nil"/>
            </w:tcBorders>
          </w:tcPr>
          <w:p w14:paraId="04A97F8F" w14:textId="77777777" w:rsidR="00BD2FF8" w:rsidRPr="00DC4889" w:rsidRDefault="00BD2FF8">
            <w:pPr>
              <w:pStyle w:val="TableText"/>
              <w:tabs>
                <w:tab w:val="left" w:pos="3306"/>
              </w:tabs>
              <w:rPr>
                <w:rFonts w:cs="Calibri"/>
              </w:rPr>
            </w:pPr>
            <w:r w:rsidRPr="00DC4889">
              <w:rPr>
                <w:rFonts w:cs="Calibri"/>
              </w:rPr>
              <w:t>Overdue for Less than 30 Days</w:t>
            </w:r>
          </w:p>
        </w:tc>
        <w:tc>
          <w:tcPr>
            <w:tcW w:w="759" w:type="pct"/>
            <w:gridSpan w:val="7"/>
            <w:tcBorders>
              <w:top w:val="nil"/>
              <w:left w:val="nil"/>
              <w:bottom w:val="nil"/>
              <w:right w:val="nil"/>
            </w:tcBorders>
            <w:vAlign w:val="bottom"/>
          </w:tcPr>
          <w:p w14:paraId="758F35E3" w14:textId="77A188D2" w:rsidR="00BD2FF8" w:rsidRPr="00DC4889" w:rsidRDefault="00BD2FF8">
            <w:pPr>
              <w:pStyle w:val="TableText"/>
              <w:tabs>
                <w:tab w:val="left" w:pos="3306"/>
              </w:tabs>
              <w:jc w:val="right"/>
              <w:rPr>
                <w:rFonts w:cs="Calibri"/>
              </w:rPr>
            </w:pPr>
          </w:p>
        </w:tc>
        <w:tc>
          <w:tcPr>
            <w:tcW w:w="544" w:type="pct"/>
            <w:tcBorders>
              <w:top w:val="nil"/>
              <w:left w:val="nil"/>
              <w:bottom w:val="nil"/>
              <w:right w:val="nil"/>
            </w:tcBorders>
            <w:vAlign w:val="bottom"/>
          </w:tcPr>
          <w:p w14:paraId="1213345D" w14:textId="7A43019B" w:rsidR="00BD2FF8" w:rsidRPr="00DC4889" w:rsidRDefault="00BD2FF8">
            <w:pPr>
              <w:pStyle w:val="TableText"/>
              <w:tabs>
                <w:tab w:val="left" w:pos="3306"/>
              </w:tabs>
              <w:jc w:val="right"/>
              <w:rPr>
                <w:rFonts w:cs="Calibri"/>
              </w:rPr>
            </w:pPr>
          </w:p>
        </w:tc>
      </w:tr>
      <w:tr w:rsidR="00BD2FF8" w:rsidRPr="00CF7E1B" w14:paraId="7E6D6243"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170F265" w14:textId="77777777" w:rsidR="00BD2FF8" w:rsidRPr="00DC4889" w:rsidRDefault="00BD2FF8" w:rsidP="00851F94">
            <w:pPr>
              <w:pStyle w:val="TableReference"/>
              <w:tabs>
                <w:tab w:val="left" w:pos="3306"/>
              </w:tabs>
              <w:spacing w:before="40"/>
              <w:rPr>
                <w:rFonts w:cs="Calibri"/>
                <w:color w:val="7030A0"/>
                <w:sz w:val="14"/>
              </w:rPr>
            </w:pPr>
          </w:p>
        </w:tc>
        <w:tc>
          <w:tcPr>
            <w:tcW w:w="2829" w:type="pct"/>
            <w:gridSpan w:val="2"/>
            <w:tcBorders>
              <w:top w:val="nil"/>
              <w:left w:val="single" w:sz="2" w:space="0" w:color="auto"/>
              <w:bottom w:val="nil"/>
              <w:right w:val="nil"/>
            </w:tcBorders>
          </w:tcPr>
          <w:p w14:paraId="350FD11A" w14:textId="77777777" w:rsidR="00BD2FF8" w:rsidRPr="00DC4889" w:rsidRDefault="00BD2FF8">
            <w:pPr>
              <w:pStyle w:val="TableText"/>
              <w:tabs>
                <w:tab w:val="left" w:pos="3306"/>
              </w:tabs>
              <w:rPr>
                <w:rFonts w:cs="Calibri"/>
              </w:rPr>
            </w:pPr>
            <w:r w:rsidRPr="00DC4889">
              <w:rPr>
                <w:rFonts w:cs="Calibri"/>
              </w:rPr>
              <w:t>Overdue for 30 to 60 Days</w:t>
            </w:r>
          </w:p>
        </w:tc>
        <w:tc>
          <w:tcPr>
            <w:tcW w:w="759" w:type="pct"/>
            <w:gridSpan w:val="7"/>
            <w:tcBorders>
              <w:top w:val="nil"/>
              <w:left w:val="nil"/>
              <w:bottom w:val="nil"/>
              <w:right w:val="nil"/>
            </w:tcBorders>
            <w:vAlign w:val="bottom"/>
          </w:tcPr>
          <w:p w14:paraId="3AD5A611" w14:textId="3C67071B" w:rsidR="00BD2FF8" w:rsidRPr="00DC4889" w:rsidRDefault="00BD2FF8">
            <w:pPr>
              <w:pStyle w:val="TableText"/>
              <w:tabs>
                <w:tab w:val="left" w:pos="3306"/>
              </w:tabs>
              <w:jc w:val="right"/>
              <w:rPr>
                <w:rFonts w:cs="Calibri"/>
              </w:rPr>
            </w:pPr>
          </w:p>
        </w:tc>
        <w:tc>
          <w:tcPr>
            <w:tcW w:w="544" w:type="pct"/>
            <w:tcBorders>
              <w:top w:val="nil"/>
              <w:left w:val="nil"/>
              <w:bottom w:val="nil"/>
              <w:right w:val="nil"/>
            </w:tcBorders>
            <w:vAlign w:val="bottom"/>
          </w:tcPr>
          <w:p w14:paraId="3150A8ED" w14:textId="0B0AE7B0" w:rsidR="00BD2FF8" w:rsidRPr="00DC4889" w:rsidRDefault="00BD2FF8">
            <w:pPr>
              <w:pStyle w:val="TableText"/>
              <w:tabs>
                <w:tab w:val="left" w:pos="3306"/>
              </w:tabs>
              <w:jc w:val="right"/>
              <w:rPr>
                <w:rFonts w:cs="Calibri"/>
              </w:rPr>
            </w:pPr>
          </w:p>
        </w:tc>
      </w:tr>
      <w:tr w:rsidR="00BD2FF8" w:rsidRPr="00CF7E1B" w14:paraId="20592172"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55FA032" w14:textId="77777777" w:rsidR="00BD2FF8" w:rsidRPr="00DC4889" w:rsidRDefault="00BD2FF8" w:rsidP="00851F94">
            <w:pPr>
              <w:pStyle w:val="TableReference"/>
              <w:tabs>
                <w:tab w:val="left" w:pos="3306"/>
              </w:tabs>
              <w:spacing w:before="40"/>
              <w:rPr>
                <w:rFonts w:cs="Calibri"/>
                <w:color w:val="7030A0"/>
                <w:sz w:val="14"/>
              </w:rPr>
            </w:pPr>
          </w:p>
        </w:tc>
        <w:tc>
          <w:tcPr>
            <w:tcW w:w="2829" w:type="pct"/>
            <w:gridSpan w:val="2"/>
            <w:tcBorders>
              <w:top w:val="nil"/>
              <w:left w:val="single" w:sz="2" w:space="0" w:color="auto"/>
              <w:bottom w:val="nil"/>
              <w:right w:val="nil"/>
            </w:tcBorders>
          </w:tcPr>
          <w:p w14:paraId="009181BF" w14:textId="77777777" w:rsidR="00BD2FF8" w:rsidRPr="00DC4889" w:rsidRDefault="00BD2FF8">
            <w:pPr>
              <w:pStyle w:val="TableText"/>
              <w:tabs>
                <w:tab w:val="left" w:pos="3306"/>
              </w:tabs>
              <w:rPr>
                <w:rFonts w:cs="Calibri"/>
              </w:rPr>
            </w:pPr>
            <w:r w:rsidRPr="00DC4889">
              <w:rPr>
                <w:rFonts w:cs="Calibri"/>
              </w:rPr>
              <w:t>Overdue for More than 60 Days</w:t>
            </w:r>
          </w:p>
        </w:tc>
        <w:tc>
          <w:tcPr>
            <w:tcW w:w="759" w:type="pct"/>
            <w:gridSpan w:val="7"/>
            <w:tcBorders>
              <w:top w:val="nil"/>
              <w:left w:val="nil"/>
              <w:bottom w:val="single" w:sz="2" w:space="0" w:color="auto"/>
              <w:right w:val="nil"/>
            </w:tcBorders>
            <w:vAlign w:val="bottom"/>
          </w:tcPr>
          <w:p w14:paraId="692B3F38" w14:textId="27848B6B" w:rsidR="00BD2FF8" w:rsidRPr="00DC4889" w:rsidRDefault="00BD2FF8">
            <w:pPr>
              <w:pStyle w:val="TableText"/>
              <w:tabs>
                <w:tab w:val="left" w:pos="3306"/>
              </w:tabs>
              <w:jc w:val="right"/>
              <w:rPr>
                <w:rFonts w:cs="Calibri"/>
              </w:rPr>
            </w:pPr>
          </w:p>
        </w:tc>
        <w:tc>
          <w:tcPr>
            <w:tcW w:w="544" w:type="pct"/>
            <w:tcBorders>
              <w:top w:val="nil"/>
              <w:left w:val="nil"/>
              <w:bottom w:val="single" w:sz="2" w:space="0" w:color="auto"/>
              <w:right w:val="nil"/>
            </w:tcBorders>
            <w:vAlign w:val="bottom"/>
          </w:tcPr>
          <w:p w14:paraId="3B254872" w14:textId="57886B2D" w:rsidR="00BD2FF8" w:rsidRPr="00DC4889" w:rsidRDefault="00BD2FF8">
            <w:pPr>
              <w:pStyle w:val="TableText"/>
              <w:tabs>
                <w:tab w:val="left" w:pos="3306"/>
              </w:tabs>
              <w:jc w:val="right"/>
              <w:rPr>
                <w:rFonts w:cs="Calibri"/>
              </w:rPr>
            </w:pPr>
          </w:p>
        </w:tc>
      </w:tr>
      <w:tr w:rsidR="00BD2FF8" w:rsidRPr="00CF7E1B" w14:paraId="026BC376"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664D8B3" w14:textId="77777777" w:rsidR="00BD2FF8" w:rsidRPr="00DC4889" w:rsidRDefault="00BD2FF8" w:rsidP="00851F94">
            <w:pPr>
              <w:pStyle w:val="TableReference"/>
              <w:tabs>
                <w:tab w:val="left" w:pos="3306"/>
              </w:tabs>
              <w:spacing w:before="40"/>
              <w:rPr>
                <w:rFonts w:cs="Calibri"/>
                <w:color w:val="7030A0"/>
                <w:sz w:val="14"/>
              </w:rPr>
            </w:pPr>
          </w:p>
        </w:tc>
        <w:tc>
          <w:tcPr>
            <w:tcW w:w="2829" w:type="pct"/>
            <w:gridSpan w:val="2"/>
            <w:tcBorders>
              <w:top w:val="nil"/>
              <w:left w:val="single" w:sz="2" w:space="0" w:color="auto"/>
              <w:bottom w:val="nil"/>
              <w:right w:val="nil"/>
            </w:tcBorders>
          </w:tcPr>
          <w:p w14:paraId="35DA0D0A" w14:textId="77777777" w:rsidR="00BD2FF8" w:rsidRPr="00DC4889" w:rsidRDefault="00BD2FF8">
            <w:pPr>
              <w:pStyle w:val="TableText"/>
              <w:tabs>
                <w:tab w:val="left" w:pos="3306"/>
              </w:tabs>
              <w:rPr>
                <w:rFonts w:cs="Calibri"/>
                <w:b/>
                <w:bCs/>
              </w:rPr>
            </w:pPr>
            <w:r w:rsidRPr="00DC4889">
              <w:rPr>
                <w:rFonts w:cs="Calibri"/>
                <w:b/>
                <w:bCs/>
              </w:rPr>
              <w:t>Total Payables</w:t>
            </w:r>
          </w:p>
        </w:tc>
        <w:tc>
          <w:tcPr>
            <w:tcW w:w="759" w:type="pct"/>
            <w:gridSpan w:val="7"/>
            <w:tcBorders>
              <w:top w:val="single" w:sz="2" w:space="0" w:color="auto"/>
              <w:left w:val="nil"/>
              <w:bottom w:val="double" w:sz="4" w:space="0" w:color="auto"/>
              <w:right w:val="nil"/>
            </w:tcBorders>
            <w:vAlign w:val="bottom"/>
          </w:tcPr>
          <w:p w14:paraId="09331373" w14:textId="53E8400A" w:rsidR="00BD2FF8" w:rsidRPr="00DC4889" w:rsidRDefault="00BD2FF8">
            <w:pPr>
              <w:pStyle w:val="TableText"/>
              <w:tabs>
                <w:tab w:val="left" w:pos="3306"/>
              </w:tabs>
              <w:jc w:val="right"/>
              <w:rPr>
                <w:rFonts w:cs="Calibri"/>
                <w:b/>
                <w:bCs/>
              </w:rPr>
            </w:pPr>
          </w:p>
        </w:tc>
        <w:tc>
          <w:tcPr>
            <w:tcW w:w="544" w:type="pct"/>
            <w:tcBorders>
              <w:top w:val="single" w:sz="2" w:space="0" w:color="auto"/>
              <w:left w:val="nil"/>
              <w:bottom w:val="double" w:sz="4" w:space="0" w:color="auto"/>
              <w:right w:val="nil"/>
            </w:tcBorders>
            <w:vAlign w:val="bottom"/>
          </w:tcPr>
          <w:p w14:paraId="077DDBF4" w14:textId="22E55B32" w:rsidR="00BD2FF8" w:rsidRPr="00DC4889" w:rsidRDefault="00BD2FF8">
            <w:pPr>
              <w:pStyle w:val="TableText"/>
              <w:tabs>
                <w:tab w:val="left" w:pos="3306"/>
              </w:tabs>
              <w:jc w:val="right"/>
              <w:rPr>
                <w:rFonts w:cs="Calibri"/>
                <w:b/>
                <w:bCs/>
              </w:rPr>
            </w:pPr>
          </w:p>
        </w:tc>
      </w:tr>
      <w:tr w:rsidR="00380E33" w:rsidRPr="00CF7E1B" w14:paraId="57A467E2"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7B363299" w14:textId="77777777" w:rsidR="00380E33" w:rsidRPr="00DC4889" w:rsidRDefault="00380E33">
            <w:pPr>
              <w:pStyle w:val="TableReference"/>
              <w:tabs>
                <w:tab w:val="left" w:pos="3306"/>
              </w:tabs>
              <w:spacing w:before="40"/>
              <w:rPr>
                <w:rFonts w:cs="Calibri"/>
                <w:color w:val="7030A0"/>
                <w:sz w:val="14"/>
              </w:rPr>
            </w:pPr>
          </w:p>
        </w:tc>
        <w:tc>
          <w:tcPr>
            <w:tcW w:w="4131" w:type="pct"/>
            <w:gridSpan w:val="10"/>
            <w:tcBorders>
              <w:top w:val="nil"/>
              <w:left w:val="single" w:sz="2" w:space="0" w:color="auto"/>
              <w:bottom w:val="nil"/>
              <w:right w:val="nil"/>
            </w:tcBorders>
            <w:vAlign w:val="bottom"/>
          </w:tcPr>
          <w:p w14:paraId="69400248" w14:textId="77777777" w:rsidR="00380E33" w:rsidRPr="00DC4889" w:rsidRDefault="00380E33">
            <w:pPr>
              <w:pStyle w:val="TableText"/>
              <w:tabs>
                <w:tab w:val="left" w:pos="3306"/>
              </w:tabs>
              <w:jc w:val="right"/>
              <w:rPr>
                <w:rFonts w:cs="Calibri"/>
              </w:rPr>
            </w:pPr>
          </w:p>
        </w:tc>
      </w:tr>
      <w:tr w:rsidR="00413F41" w:rsidRPr="00CF7E1B" w14:paraId="78FBA4D5"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vAlign w:val="bottom"/>
          </w:tcPr>
          <w:p w14:paraId="437101B2" w14:textId="77777777" w:rsidR="00413F41" w:rsidRPr="00DC4889" w:rsidRDefault="00413F41">
            <w:pPr>
              <w:pStyle w:val="TableReference"/>
              <w:tabs>
                <w:tab w:val="left" w:pos="3306"/>
              </w:tabs>
              <w:rPr>
                <w:rFonts w:cs="Calibri"/>
                <w:color w:val="7030A0"/>
                <w:sz w:val="14"/>
              </w:rPr>
            </w:pPr>
          </w:p>
        </w:tc>
        <w:tc>
          <w:tcPr>
            <w:tcW w:w="4131" w:type="pct"/>
            <w:gridSpan w:val="10"/>
            <w:tcBorders>
              <w:top w:val="nil"/>
              <w:left w:val="single" w:sz="2" w:space="0" w:color="auto"/>
              <w:bottom w:val="nil"/>
              <w:right w:val="nil"/>
            </w:tcBorders>
            <w:vAlign w:val="bottom"/>
          </w:tcPr>
          <w:p w14:paraId="615AF1D0" w14:textId="5F7FA854" w:rsidR="00413F41" w:rsidRPr="00DC4889" w:rsidRDefault="00413F41" w:rsidP="00811723">
            <w:pPr>
              <w:tabs>
                <w:tab w:val="left" w:pos="3306"/>
              </w:tabs>
              <w:jc w:val="both"/>
              <w:rPr>
                <w:rFonts w:cs="Calibri"/>
                <w:sz w:val="18"/>
                <w:szCs w:val="18"/>
              </w:rPr>
            </w:pPr>
            <w:r w:rsidRPr="00DC4889">
              <w:rPr>
                <w:rFonts w:cs="Calibri"/>
                <w:sz w:val="18"/>
              </w:rPr>
              <w:t>‘</w:t>
            </w:r>
            <w:r w:rsidR="00645E43" w:rsidRPr="00DC4889">
              <w:rPr>
                <w:sz w:val="18"/>
                <w:szCs w:val="18"/>
              </w:rPr>
              <w:t>Burley Griffin</w:t>
            </w:r>
            <w:r w:rsidRPr="00DC4889">
              <w:rPr>
                <w:rFonts w:cs="Calibri"/>
                <w:sz w:val="18"/>
              </w:rPr>
              <w:t xml:space="preserve"> Agency’ expects that </w:t>
            </w:r>
            <w:r w:rsidRPr="00B823E0">
              <w:rPr>
                <w:rFonts w:cs="Calibri"/>
                <w:color w:val="C45911" w:themeColor="accent2" w:themeShade="BF"/>
                <w:sz w:val="18"/>
              </w:rPr>
              <w:t>[x]</w:t>
            </w:r>
            <w:r w:rsidRPr="00DC4889">
              <w:rPr>
                <w:rFonts w:cs="Calibri"/>
                <w:sz w:val="18"/>
              </w:rPr>
              <w:t>% of the transaction price allocated to the unsatisfied performance will be recognised in 202</w:t>
            </w:r>
            <w:r w:rsidR="00A534C3">
              <w:rPr>
                <w:rFonts w:cs="Calibri"/>
                <w:sz w:val="18"/>
              </w:rPr>
              <w:t>3</w:t>
            </w:r>
            <w:r w:rsidRPr="00DC4889">
              <w:rPr>
                <w:rFonts w:cs="Calibri"/>
                <w:sz w:val="18"/>
              </w:rPr>
              <w:t>-2</w:t>
            </w:r>
            <w:r w:rsidR="00A534C3">
              <w:rPr>
                <w:rFonts w:cs="Calibri"/>
                <w:sz w:val="18"/>
              </w:rPr>
              <w:t>4</w:t>
            </w:r>
            <w:r w:rsidRPr="00DC4889">
              <w:rPr>
                <w:rFonts w:cs="Calibri"/>
                <w:sz w:val="18"/>
              </w:rPr>
              <w:t xml:space="preserve"> with the remaining </w:t>
            </w:r>
            <w:r w:rsidRPr="00B823E0">
              <w:rPr>
                <w:rFonts w:cs="Calibri"/>
                <w:color w:val="C45911" w:themeColor="accent2" w:themeShade="BF"/>
                <w:sz w:val="18"/>
              </w:rPr>
              <w:t>[x</w:t>
            </w:r>
            <w:r w:rsidR="00B823E0" w:rsidRPr="00B823E0">
              <w:rPr>
                <w:rFonts w:cs="Calibri"/>
                <w:color w:val="C45911" w:themeColor="accent2" w:themeShade="BF"/>
                <w:sz w:val="18"/>
              </w:rPr>
              <w:t>]</w:t>
            </w:r>
            <w:r w:rsidRPr="00DC4889">
              <w:rPr>
                <w:rFonts w:cs="Calibri"/>
                <w:sz w:val="18"/>
              </w:rPr>
              <w:t>% to be recognised as revenue during</w:t>
            </w:r>
            <w:r w:rsidR="006A4165" w:rsidRPr="00DC4889">
              <w:rPr>
                <w:rFonts w:cs="Calibri"/>
                <w:sz w:val="18"/>
              </w:rPr>
              <w:t xml:space="preserve"> </w:t>
            </w:r>
            <w:r w:rsidRPr="00DC4889">
              <w:rPr>
                <w:rFonts w:cs="Calibri"/>
                <w:sz w:val="18"/>
              </w:rPr>
              <w:t>202</w:t>
            </w:r>
            <w:r w:rsidR="00A534C3">
              <w:rPr>
                <w:rFonts w:cs="Calibri"/>
                <w:sz w:val="18"/>
              </w:rPr>
              <w:t>4</w:t>
            </w:r>
            <w:r w:rsidRPr="00DC4889">
              <w:rPr>
                <w:rFonts w:cs="Calibri"/>
                <w:sz w:val="18"/>
              </w:rPr>
              <w:t>-2</w:t>
            </w:r>
            <w:r w:rsidR="00A534C3">
              <w:rPr>
                <w:rFonts w:cs="Calibri"/>
                <w:sz w:val="18"/>
              </w:rPr>
              <w:t>5</w:t>
            </w:r>
            <w:r w:rsidRPr="00DC4889">
              <w:rPr>
                <w:rFonts w:cs="Calibri"/>
                <w:sz w:val="18"/>
              </w:rPr>
              <w:t>.</w:t>
            </w:r>
          </w:p>
        </w:tc>
      </w:tr>
      <w:tr w:rsidR="00413F41" w:rsidRPr="00CF7E1B" w14:paraId="3E92B066"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vAlign w:val="bottom"/>
          </w:tcPr>
          <w:p w14:paraId="27F37501" w14:textId="77777777" w:rsidR="00413F41" w:rsidRPr="00DC4889" w:rsidRDefault="00413F41">
            <w:pPr>
              <w:pStyle w:val="TableReference"/>
              <w:tabs>
                <w:tab w:val="left" w:pos="3306"/>
              </w:tabs>
              <w:rPr>
                <w:rFonts w:cs="Calibri"/>
                <w:color w:val="7030A0"/>
                <w:sz w:val="14"/>
              </w:rPr>
            </w:pPr>
          </w:p>
        </w:tc>
        <w:tc>
          <w:tcPr>
            <w:tcW w:w="4131" w:type="pct"/>
            <w:gridSpan w:val="10"/>
            <w:tcBorders>
              <w:top w:val="nil"/>
              <w:left w:val="single" w:sz="2" w:space="0" w:color="auto"/>
              <w:bottom w:val="nil"/>
              <w:right w:val="nil"/>
            </w:tcBorders>
            <w:vAlign w:val="bottom"/>
          </w:tcPr>
          <w:p w14:paraId="41DC616F" w14:textId="35B2C4CB" w:rsidR="00413F41" w:rsidRPr="00CF7E1B" w:rsidRDefault="00413F41">
            <w:pPr>
              <w:tabs>
                <w:tab w:val="left" w:pos="3306"/>
              </w:tabs>
              <w:rPr>
                <w:rFonts w:cs="Calibri"/>
                <w:sz w:val="18"/>
                <w:szCs w:val="18"/>
              </w:rPr>
            </w:pPr>
          </w:p>
        </w:tc>
      </w:tr>
      <w:tr w:rsidR="00DC4889" w:rsidRPr="00DC4889" w14:paraId="353DBC05"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4A7AC2C" w14:textId="77777777" w:rsidR="000144FF" w:rsidRPr="00DC4889" w:rsidRDefault="000144FF" w:rsidP="000159C3">
            <w:pPr>
              <w:pStyle w:val="TableReference"/>
              <w:tabs>
                <w:tab w:val="left" w:pos="3306"/>
              </w:tabs>
              <w:spacing w:before="240" w:after="240"/>
              <w:rPr>
                <w:rFonts w:cs="Calibri"/>
                <w:color w:val="7030A0"/>
                <w:sz w:val="14"/>
              </w:rPr>
            </w:pPr>
          </w:p>
        </w:tc>
        <w:tc>
          <w:tcPr>
            <w:tcW w:w="4131" w:type="pct"/>
            <w:gridSpan w:val="10"/>
            <w:tcBorders>
              <w:top w:val="nil"/>
              <w:left w:val="single" w:sz="2" w:space="0" w:color="auto"/>
              <w:bottom w:val="nil"/>
              <w:right w:val="nil"/>
            </w:tcBorders>
            <w:shd w:val="clear" w:color="auto" w:fill="7030A0"/>
            <w:vAlign w:val="bottom"/>
          </w:tcPr>
          <w:p w14:paraId="4F84D073" w14:textId="220BE5F1" w:rsidR="000144FF" w:rsidRPr="0007146C" w:rsidRDefault="000144FF" w:rsidP="000159C3">
            <w:pPr>
              <w:pStyle w:val="CommentaryTitle"/>
              <w:spacing w:before="240" w:after="240"/>
              <w:rPr>
                <w:rFonts w:cs="Calibri"/>
                <w:color w:val="FFFFFF" w:themeColor="background1"/>
                <w:sz w:val="28"/>
                <w:szCs w:val="28"/>
              </w:rPr>
            </w:pPr>
            <w:bookmarkStart w:id="696" w:name="_Toc163106367"/>
            <w:r w:rsidRPr="0007146C">
              <w:rPr>
                <w:rFonts w:cs="Calibri"/>
                <w:color w:val="FFFFFF" w:themeColor="background1"/>
                <w:sz w:val="28"/>
                <w:szCs w:val="28"/>
              </w:rPr>
              <w:t xml:space="preserve">Commentary – Note </w:t>
            </w:r>
            <w:r w:rsidR="00DE287B" w:rsidRPr="0007146C">
              <w:rPr>
                <w:rFonts w:cs="Calibri"/>
                <w:color w:val="FFFFFF" w:themeColor="background1"/>
                <w:sz w:val="28"/>
                <w:szCs w:val="28"/>
              </w:rPr>
              <w:t>24</w:t>
            </w:r>
            <w:r w:rsidRPr="0007146C">
              <w:rPr>
                <w:rFonts w:cs="Calibri"/>
                <w:color w:val="FFFFFF" w:themeColor="background1"/>
                <w:sz w:val="28"/>
                <w:szCs w:val="28"/>
              </w:rPr>
              <w:t>: Payables</w:t>
            </w:r>
            <w:bookmarkEnd w:id="696"/>
            <w:r w:rsidR="002541C3" w:rsidRPr="0007146C">
              <w:rPr>
                <w:rFonts w:cs="Calibri"/>
                <w:color w:val="FFFFFF" w:themeColor="background1"/>
                <w:sz w:val="28"/>
                <w:szCs w:val="28"/>
              </w:rPr>
              <w:t xml:space="preserve"> </w:t>
            </w:r>
            <w:r w:rsidR="002541C3" w:rsidRPr="0007146C">
              <w:rPr>
                <w:rFonts w:cs="Calibri"/>
                <w:strike/>
                <w:color w:val="FF0000"/>
                <w:sz w:val="28"/>
                <w:szCs w:val="28"/>
              </w:rPr>
              <w:t>and Contract Liabilities</w:t>
            </w:r>
          </w:p>
        </w:tc>
      </w:tr>
      <w:tr w:rsidR="00DC4889" w:rsidRPr="00DC4889" w14:paraId="4D20945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C62E968" w14:textId="77777777" w:rsidR="008E7245" w:rsidRPr="00DC4889" w:rsidRDefault="008E7245" w:rsidP="003E0E51">
            <w:pPr>
              <w:pStyle w:val="TableReference"/>
              <w:tabs>
                <w:tab w:val="left" w:pos="3306"/>
              </w:tabs>
              <w:spacing w:before="40"/>
              <w:rPr>
                <w:rFonts w:cs="Calibri"/>
                <w:color w:val="7030A0"/>
                <w:sz w:val="14"/>
              </w:rPr>
            </w:pPr>
            <w:r w:rsidRPr="00DC4889">
              <w:rPr>
                <w:rFonts w:cs="Calibri"/>
                <w:color w:val="7030A0"/>
                <w:sz w:val="14"/>
              </w:rPr>
              <w:t>ACT Disclosure Policy</w:t>
            </w:r>
          </w:p>
        </w:tc>
        <w:tc>
          <w:tcPr>
            <w:tcW w:w="4131" w:type="pct"/>
            <w:gridSpan w:val="10"/>
            <w:tcBorders>
              <w:top w:val="nil"/>
              <w:left w:val="single" w:sz="2" w:space="0" w:color="auto"/>
              <w:bottom w:val="nil"/>
              <w:right w:val="nil"/>
            </w:tcBorders>
            <w:shd w:val="clear" w:color="auto" w:fill="7030A0"/>
            <w:vAlign w:val="bottom"/>
          </w:tcPr>
          <w:p w14:paraId="19A0E93D" w14:textId="77777777" w:rsidR="008E7245" w:rsidRPr="0007146C" w:rsidRDefault="008E7245" w:rsidP="00414DB4">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w:t>
            </w:r>
            <w:r w:rsidR="00414DB4" w:rsidRPr="0007146C">
              <w:rPr>
                <w:rFonts w:cs="Calibri"/>
                <w:color w:val="FFFFFF" w:themeColor="background1"/>
                <w:sz w:val="18"/>
                <w:szCs w:val="18"/>
              </w:rPr>
              <w:t>overdue</w:t>
            </w:r>
            <w:r w:rsidRPr="0007146C">
              <w:rPr>
                <w:rFonts w:cs="Calibri"/>
                <w:color w:val="FFFFFF" w:themeColor="background1"/>
                <w:sz w:val="18"/>
                <w:szCs w:val="18"/>
              </w:rPr>
              <w:t xml:space="preserve">.’ </w:t>
            </w:r>
          </w:p>
        </w:tc>
      </w:tr>
      <w:tr w:rsidR="00DC4889" w:rsidRPr="00DC4889" w14:paraId="29BB02EF"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vAlign w:val="bottom"/>
          </w:tcPr>
          <w:p w14:paraId="75E6A204" w14:textId="77777777" w:rsidR="008E7245" w:rsidRPr="00DC4889" w:rsidRDefault="008E7245">
            <w:pPr>
              <w:pStyle w:val="TableReference"/>
              <w:tabs>
                <w:tab w:val="left" w:pos="3306"/>
              </w:tabs>
              <w:rPr>
                <w:rFonts w:cs="Calibri"/>
                <w:color w:val="7030A0"/>
                <w:sz w:val="14"/>
              </w:rPr>
            </w:pPr>
          </w:p>
        </w:tc>
        <w:tc>
          <w:tcPr>
            <w:tcW w:w="4131" w:type="pct"/>
            <w:gridSpan w:val="10"/>
            <w:tcBorders>
              <w:top w:val="nil"/>
              <w:left w:val="single" w:sz="2" w:space="0" w:color="auto"/>
              <w:bottom w:val="nil"/>
              <w:right w:val="nil"/>
            </w:tcBorders>
            <w:shd w:val="clear" w:color="auto" w:fill="7030A0"/>
            <w:vAlign w:val="bottom"/>
          </w:tcPr>
          <w:p w14:paraId="2BE2754E" w14:textId="72469A8B" w:rsidR="008E7245" w:rsidRPr="0007146C" w:rsidRDefault="008E7245" w:rsidP="00586F5B">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Goods and Services Tax (GST) Receivable that is shown in Note </w:t>
            </w:r>
            <w:r w:rsidR="00DE287B" w:rsidRPr="0007146C">
              <w:rPr>
                <w:rFonts w:cs="Calibri"/>
                <w:color w:val="FFFFFF" w:themeColor="background1"/>
                <w:sz w:val="18"/>
                <w:szCs w:val="18"/>
              </w:rPr>
              <w:t xml:space="preserve">16 </w:t>
            </w:r>
            <w:r w:rsidRPr="0007146C">
              <w:rPr>
                <w:rFonts w:cs="Calibri"/>
                <w:i/>
                <w:color w:val="FFFFFF" w:themeColor="background1"/>
                <w:sz w:val="18"/>
                <w:szCs w:val="18"/>
              </w:rPr>
              <w:t>Receivables</w:t>
            </w:r>
            <w:r w:rsidR="00523CDC" w:rsidRPr="0007146C">
              <w:rPr>
                <w:rFonts w:cs="Calibri"/>
                <w:i/>
                <w:color w:val="FFFFFF" w:themeColor="background1"/>
                <w:sz w:val="18"/>
                <w:szCs w:val="18"/>
              </w:rPr>
              <w:t xml:space="preserve"> </w:t>
            </w:r>
            <w:r w:rsidR="00523CDC" w:rsidRPr="0007146C">
              <w:rPr>
                <w:rFonts w:cs="Calibri"/>
                <w:i/>
                <w:strike/>
                <w:color w:val="FF0000"/>
                <w:sz w:val="18"/>
                <w:szCs w:val="18"/>
              </w:rPr>
              <w:t>and Contract Assets</w:t>
            </w:r>
            <w:r w:rsidRPr="0007146C">
              <w:rPr>
                <w:rFonts w:cs="Calibri"/>
                <w:color w:val="FFFFFF" w:themeColor="background1"/>
                <w:sz w:val="18"/>
                <w:szCs w:val="18"/>
              </w:rPr>
              <w:t>.</w:t>
            </w:r>
            <w:r w:rsidR="00FA7C77" w:rsidRPr="0007146C">
              <w:rPr>
                <w:rFonts w:cs="Calibri"/>
                <w:color w:val="FFFFFF" w:themeColor="background1"/>
                <w:sz w:val="18"/>
                <w:szCs w:val="18"/>
              </w:rPr>
              <w:t xml:space="preserve"> </w:t>
            </w:r>
            <w:r w:rsidRPr="0007146C">
              <w:rPr>
                <w:rFonts w:cs="Calibri"/>
                <w:color w:val="FFFFFF" w:themeColor="background1"/>
                <w:sz w:val="18"/>
                <w:szCs w:val="18"/>
              </w:rPr>
              <w:t>In most cases agencies will have a net GST Receivable.</w:t>
            </w:r>
            <w:r w:rsidR="00FA7C77" w:rsidRPr="0007146C">
              <w:rPr>
                <w:rFonts w:cs="Calibri"/>
                <w:color w:val="FFFFFF" w:themeColor="background1"/>
                <w:sz w:val="18"/>
                <w:szCs w:val="18"/>
              </w:rPr>
              <w:t xml:space="preserve"> </w:t>
            </w:r>
            <w:r w:rsidRPr="0007146C">
              <w:rPr>
                <w:rFonts w:cs="Calibri"/>
                <w:color w:val="FFFFFF" w:themeColor="background1"/>
                <w:sz w:val="18"/>
                <w:szCs w:val="18"/>
              </w:rPr>
              <w:t>However, if a net GST Payable arises then this amount would be disclosed in this Payables</w:t>
            </w:r>
            <w:r w:rsidR="001A06B7" w:rsidRPr="0007146C">
              <w:rPr>
                <w:rFonts w:cs="Calibri"/>
                <w:color w:val="FFFFFF" w:themeColor="background1"/>
                <w:sz w:val="18"/>
                <w:szCs w:val="18"/>
              </w:rPr>
              <w:t xml:space="preserve"> </w:t>
            </w:r>
            <w:r w:rsidR="001A06B7" w:rsidRPr="0007146C">
              <w:rPr>
                <w:rFonts w:cs="Calibri"/>
                <w:strike/>
                <w:color w:val="FF0000"/>
                <w:sz w:val="18"/>
                <w:szCs w:val="18"/>
              </w:rPr>
              <w:t>and Contract Liabilities</w:t>
            </w:r>
            <w:r w:rsidRPr="0007146C">
              <w:rPr>
                <w:rFonts w:cs="Calibri"/>
                <w:color w:val="FF0000"/>
                <w:sz w:val="18"/>
                <w:szCs w:val="18"/>
              </w:rPr>
              <w:t xml:space="preserve"> </w:t>
            </w:r>
            <w:r w:rsidRPr="0007146C">
              <w:rPr>
                <w:rFonts w:cs="Calibri"/>
                <w:color w:val="FFFFFF" w:themeColor="background1"/>
                <w:sz w:val="18"/>
                <w:szCs w:val="18"/>
              </w:rPr>
              <w:t>note.</w:t>
            </w:r>
            <w:r w:rsidR="00FA7C77" w:rsidRPr="0007146C">
              <w:rPr>
                <w:rFonts w:cs="Calibri"/>
                <w:color w:val="FFFFFF" w:themeColor="background1"/>
                <w:sz w:val="18"/>
                <w:szCs w:val="18"/>
              </w:rPr>
              <w:t xml:space="preserve"> </w:t>
            </w:r>
            <w:r w:rsidRPr="0007146C">
              <w:rPr>
                <w:rFonts w:cs="Calibri"/>
                <w:color w:val="FFFFFF" w:themeColor="background1"/>
                <w:sz w:val="18"/>
                <w:szCs w:val="18"/>
              </w:rPr>
              <w:t>For example, a net GST Payable will occur where an agency derives a significant amount of its income from sources other than C</w:t>
            </w:r>
            <w:r w:rsidR="008876A5" w:rsidRPr="0007146C">
              <w:rPr>
                <w:rFonts w:cs="Calibri"/>
                <w:color w:val="FFFFFF" w:themeColor="background1"/>
                <w:sz w:val="18"/>
                <w:szCs w:val="18"/>
              </w:rPr>
              <w:t>ontrolled Recurrent Payment</w:t>
            </w:r>
            <w:r w:rsidR="00ED79DE" w:rsidRPr="0007146C">
              <w:rPr>
                <w:rFonts w:cs="Calibri"/>
                <w:color w:val="FFFFFF" w:themeColor="background1"/>
                <w:sz w:val="18"/>
                <w:szCs w:val="18"/>
              </w:rPr>
              <w:t>s</w:t>
            </w:r>
            <w:r w:rsidRPr="0007146C">
              <w:rPr>
                <w:rFonts w:cs="Calibri"/>
                <w:color w:val="FFFFFF" w:themeColor="background1"/>
                <w:sz w:val="18"/>
                <w:szCs w:val="18"/>
              </w:rPr>
              <w:t>.</w:t>
            </w:r>
          </w:p>
        </w:tc>
      </w:tr>
      <w:tr w:rsidR="00DC4889" w:rsidRPr="00DC4889" w14:paraId="2EDC252D" w14:textId="77777777" w:rsidTr="00D43DDC">
        <w:trPr>
          <w:gridAfter w:val="1"/>
          <w:wAfter w:w="165" w:type="pct"/>
          <w:cantSplit/>
        </w:trPr>
        <w:tc>
          <w:tcPr>
            <w:tcW w:w="704" w:type="pct"/>
            <w:tcBorders>
              <w:top w:val="nil"/>
              <w:left w:val="single" w:sz="2" w:space="0" w:color="auto"/>
              <w:bottom w:val="nil"/>
              <w:right w:val="single" w:sz="2" w:space="0" w:color="auto"/>
            </w:tcBorders>
          </w:tcPr>
          <w:p w14:paraId="066C5D40" w14:textId="77777777" w:rsidR="008E7245" w:rsidRPr="00DC4889" w:rsidRDefault="008E7245">
            <w:pPr>
              <w:pStyle w:val="TableReference"/>
              <w:spacing w:before="60"/>
              <w:rPr>
                <w:rFonts w:cs="Calibri"/>
                <w:color w:val="7030A0"/>
                <w:sz w:val="14"/>
              </w:rPr>
            </w:pPr>
            <w:r w:rsidRPr="00DC4889">
              <w:rPr>
                <w:rFonts w:cs="Calibri"/>
                <w:color w:val="7030A0"/>
                <w:sz w:val="14"/>
              </w:rPr>
              <w:t>Government Procurement Act Section 44 &amp; 45</w:t>
            </w:r>
          </w:p>
        </w:tc>
        <w:tc>
          <w:tcPr>
            <w:tcW w:w="4131" w:type="pct"/>
            <w:gridSpan w:val="10"/>
            <w:tcBorders>
              <w:top w:val="nil"/>
              <w:left w:val="single" w:sz="2" w:space="0" w:color="auto"/>
              <w:bottom w:val="nil"/>
              <w:right w:val="nil"/>
            </w:tcBorders>
            <w:shd w:val="clear" w:color="auto" w:fill="7030A0"/>
          </w:tcPr>
          <w:p w14:paraId="06420C3D" w14:textId="3E1F00B6" w:rsidR="008E7245" w:rsidRPr="00DC4889" w:rsidRDefault="008E7245" w:rsidP="00CF0623">
            <w:pPr>
              <w:pStyle w:val="TableText"/>
              <w:spacing w:before="0"/>
              <w:jc w:val="both"/>
              <w:rPr>
                <w:rFonts w:cs="Calibri"/>
                <w:color w:val="FFFFFF" w:themeColor="background1"/>
              </w:rPr>
            </w:pPr>
            <w:r w:rsidRPr="00DC4889">
              <w:rPr>
                <w:rFonts w:cs="Calibri"/>
                <w:color w:val="FFFFFF" w:themeColor="background1"/>
              </w:rPr>
              <w:t xml:space="preserve">The </w:t>
            </w:r>
            <w:r w:rsidRPr="00DC4889">
              <w:rPr>
                <w:rFonts w:cs="Calibri"/>
                <w:i/>
                <w:iCs/>
                <w:color w:val="FFFFFF" w:themeColor="background1"/>
              </w:rPr>
              <w:t>Government Procurement Act 2001</w:t>
            </w:r>
            <w:r w:rsidRPr="00DC4889">
              <w:rPr>
                <w:rFonts w:cs="Calibri"/>
                <w:color w:val="FFFFFF" w:themeColor="background1"/>
              </w:rPr>
              <w:t xml:space="preserve"> requires interest to be paid where a commercial account is not paid in full by the 25th day of the month after the month in which the payment is due.</w:t>
            </w:r>
            <w:r w:rsidR="00FA7C77">
              <w:rPr>
                <w:rFonts w:cs="Calibri"/>
                <w:color w:val="FFFFFF" w:themeColor="background1"/>
              </w:rPr>
              <w:t xml:space="preserve"> </w:t>
            </w:r>
            <w:r w:rsidRPr="00DC4889">
              <w:rPr>
                <w:rFonts w:cs="Calibri"/>
                <w:color w:val="FFFFFF" w:themeColor="background1"/>
              </w:rPr>
              <w:t>Therefore agencies should ensure accounts are paid before interest becomes payable.</w:t>
            </w:r>
            <w:r w:rsidR="00FA7C77">
              <w:rPr>
                <w:rFonts w:cs="Calibri"/>
                <w:color w:val="FFFFFF" w:themeColor="background1"/>
              </w:rPr>
              <w:t xml:space="preserve"> </w:t>
            </w:r>
          </w:p>
        </w:tc>
      </w:tr>
      <w:tr w:rsidR="00DC4889" w:rsidRPr="00DC4889" w14:paraId="0077946E" w14:textId="77777777" w:rsidTr="00D43DDC">
        <w:trPr>
          <w:gridAfter w:val="1"/>
          <w:wAfter w:w="165" w:type="pct"/>
          <w:cantSplit/>
        </w:trPr>
        <w:tc>
          <w:tcPr>
            <w:tcW w:w="704" w:type="pct"/>
            <w:tcBorders>
              <w:top w:val="nil"/>
              <w:left w:val="single" w:sz="2" w:space="0" w:color="auto"/>
              <w:bottom w:val="nil"/>
              <w:right w:val="single" w:sz="2" w:space="0" w:color="auto"/>
            </w:tcBorders>
          </w:tcPr>
          <w:p w14:paraId="7248A899" w14:textId="77777777" w:rsidR="00413F41" w:rsidRPr="00DC4889" w:rsidRDefault="00413F41">
            <w:pPr>
              <w:pStyle w:val="TableReference"/>
              <w:spacing w:before="60"/>
              <w:rPr>
                <w:rFonts w:cs="Calibri"/>
                <w:color w:val="7030A0"/>
                <w:sz w:val="14"/>
              </w:rPr>
            </w:pPr>
          </w:p>
        </w:tc>
        <w:tc>
          <w:tcPr>
            <w:tcW w:w="4131" w:type="pct"/>
            <w:gridSpan w:val="10"/>
            <w:tcBorders>
              <w:top w:val="nil"/>
              <w:left w:val="single" w:sz="2" w:space="0" w:color="auto"/>
              <w:bottom w:val="nil"/>
              <w:right w:val="nil"/>
            </w:tcBorders>
            <w:shd w:val="clear" w:color="auto" w:fill="7030A0"/>
          </w:tcPr>
          <w:p w14:paraId="6878E1B4" w14:textId="2AC653A8" w:rsidR="00413F41" w:rsidRPr="00C864E3" w:rsidRDefault="00413F41" w:rsidP="00C87FF4">
            <w:pPr>
              <w:pStyle w:val="TableText"/>
              <w:spacing w:before="120" w:after="40"/>
              <w:jc w:val="both"/>
              <w:rPr>
                <w:rFonts w:cs="Calibri"/>
                <w:b/>
                <w:bCs/>
                <w:color w:val="FFFFFF" w:themeColor="background1"/>
                <w:sz w:val="20"/>
                <w:szCs w:val="20"/>
              </w:rPr>
            </w:pPr>
            <w:r w:rsidRPr="00C864E3">
              <w:rPr>
                <w:rFonts w:cs="Calibri"/>
                <w:b/>
                <w:bCs/>
                <w:color w:val="FFFFFF" w:themeColor="background1"/>
                <w:sz w:val="20"/>
                <w:szCs w:val="20"/>
              </w:rPr>
              <w:t>Contract Liabilities</w:t>
            </w:r>
          </w:p>
        </w:tc>
      </w:tr>
      <w:tr w:rsidR="00413F41" w:rsidRPr="00413F41" w14:paraId="31399AA6"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0CD8A5E"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 15.105</w:t>
            </w:r>
          </w:p>
          <w:p w14:paraId="2841FF2F"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 xml:space="preserve">AASB 15 Appendix A </w:t>
            </w:r>
          </w:p>
          <w:p w14:paraId="06E7690C" w14:textId="77777777" w:rsidR="00413F41" w:rsidRPr="00DC4889" w:rsidRDefault="00413F41" w:rsidP="009A0F2F">
            <w:pPr>
              <w:pStyle w:val="TableReference"/>
              <w:tabs>
                <w:tab w:val="left" w:pos="3306"/>
              </w:tabs>
              <w:spacing w:before="40"/>
              <w:rPr>
                <w:rFonts w:cs="Calibri"/>
                <w:color w:val="7030A0"/>
                <w:sz w:val="16"/>
                <w:szCs w:val="16"/>
              </w:rPr>
            </w:pPr>
            <w:r w:rsidRPr="00DC4889">
              <w:rPr>
                <w:rFonts w:cs="Calibri"/>
                <w:color w:val="7030A0"/>
                <w:sz w:val="14"/>
              </w:rPr>
              <w:t>Defined terms</w:t>
            </w:r>
          </w:p>
        </w:tc>
        <w:tc>
          <w:tcPr>
            <w:tcW w:w="4131" w:type="pct"/>
            <w:gridSpan w:val="10"/>
            <w:tcBorders>
              <w:top w:val="nil"/>
              <w:left w:val="single" w:sz="2" w:space="0" w:color="auto"/>
              <w:bottom w:val="nil"/>
              <w:right w:val="nil"/>
            </w:tcBorders>
            <w:shd w:val="clear" w:color="auto" w:fill="7030A0"/>
          </w:tcPr>
          <w:p w14:paraId="76B5A2F5" w14:textId="39421172" w:rsidR="00413F41" w:rsidRPr="00DC4889" w:rsidRDefault="008876A5" w:rsidP="009A0F2F">
            <w:pPr>
              <w:pStyle w:val="CommentaryTitle"/>
              <w:spacing w:before="0" w:after="120"/>
              <w:rPr>
                <w:rFonts w:cs="Calibri"/>
                <w:color w:val="FFFFFF" w:themeColor="background1"/>
                <w:sz w:val="18"/>
                <w:szCs w:val="18"/>
              </w:rPr>
            </w:pPr>
            <w:r w:rsidRPr="00DC4889">
              <w:rPr>
                <w:rFonts w:cs="Calibri"/>
                <w:b w:val="0"/>
                <w:bCs w:val="0"/>
                <w:color w:val="FFFFFF" w:themeColor="background1"/>
                <w:sz w:val="18"/>
                <w:szCs w:val="18"/>
              </w:rPr>
              <w:t>A</w:t>
            </w:r>
            <w:r w:rsidR="00413F41" w:rsidRPr="00DC4889">
              <w:rPr>
                <w:rFonts w:cs="Calibri"/>
                <w:b w:val="0"/>
                <w:bCs w:val="0"/>
                <w:color w:val="FFFFFF" w:themeColor="background1"/>
                <w:sz w:val="18"/>
                <w:szCs w:val="18"/>
              </w:rPr>
              <w:t xml:space="preserve"> contract liability </w:t>
            </w:r>
            <w:r w:rsidRPr="00DC4889">
              <w:rPr>
                <w:rFonts w:cs="Calibri"/>
                <w:b w:val="0"/>
                <w:bCs w:val="0"/>
                <w:color w:val="FFFFFF" w:themeColor="background1"/>
                <w:sz w:val="18"/>
                <w:szCs w:val="18"/>
              </w:rPr>
              <w:t xml:space="preserve">is defined </w:t>
            </w:r>
            <w:r w:rsidR="00413F41" w:rsidRPr="00DC4889">
              <w:rPr>
                <w:rFonts w:cs="Calibri"/>
                <w:b w:val="0"/>
                <w:bCs w:val="0"/>
                <w:color w:val="FFFFFF" w:themeColor="background1"/>
                <w:sz w:val="18"/>
                <w:szCs w:val="18"/>
              </w:rPr>
              <w:t>as an agency’s obligation to transfer goods or services to a customer for which the agency has received consideration (or the amount of consideration is due) from the customer.</w:t>
            </w:r>
          </w:p>
        </w:tc>
      </w:tr>
      <w:tr w:rsidR="00CF0623" w:rsidRPr="00413F41" w14:paraId="15E937CD"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43B7190" w14:textId="77777777" w:rsidR="00CF0623" w:rsidRPr="00DC4889" w:rsidRDefault="00CF0623" w:rsidP="00BF407C">
            <w:pPr>
              <w:pStyle w:val="TableReference"/>
              <w:tabs>
                <w:tab w:val="left" w:pos="3306"/>
              </w:tabs>
              <w:spacing w:before="40"/>
              <w:rPr>
                <w:rFonts w:cs="Calibri"/>
                <w:color w:val="7030A0"/>
                <w:sz w:val="14"/>
              </w:rPr>
            </w:pPr>
            <w:r w:rsidRPr="00DC4889">
              <w:rPr>
                <w:rFonts w:cs="Calibri"/>
                <w:color w:val="7030A0"/>
                <w:sz w:val="14"/>
              </w:rPr>
              <w:t>AASB 15.105</w:t>
            </w:r>
          </w:p>
          <w:p w14:paraId="47805EFA" w14:textId="77777777" w:rsidR="00CF0623" w:rsidRPr="00DC4889" w:rsidRDefault="00CF0623" w:rsidP="00BF407C">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shd w:val="clear" w:color="auto" w:fill="7030A0"/>
          </w:tcPr>
          <w:p w14:paraId="22C88978" w14:textId="77777777" w:rsidR="00CF0623" w:rsidRPr="00DC4889" w:rsidRDefault="00CF0623" w:rsidP="00BF407C">
            <w:pPr>
              <w:pageBreakBefore/>
              <w:spacing w:after="40"/>
              <w:jc w:val="both"/>
              <w:rPr>
                <w:rFonts w:cs="Calibri"/>
                <w:color w:val="FFFFFF" w:themeColor="background1"/>
                <w:sz w:val="18"/>
                <w:szCs w:val="18"/>
              </w:rPr>
            </w:pPr>
            <w:r w:rsidRPr="00DC4889">
              <w:rPr>
                <w:rFonts w:cs="Calibri"/>
                <w:color w:val="FFFFFF" w:themeColor="background1"/>
                <w:sz w:val="18"/>
                <w:szCs w:val="18"/>
              </w:rPr>
              <w:t>Common contract liability balances may include:</w:t>
            </w:r>
          </w:p>
          <w:p w14:paraId="024E829C" w14:textId="77777777" w:rsidR="00CF0623" w:rsidRPr="00DC4889" w:rsidRDefault="00CF0623" w:rsidP="00BF407C">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amounts received in advance of delivery of goods; and</w:t>
            </w:r>
          </w:p>
          <w:p w14:paraId="18F54F20" w14:textId="77777777" w:rsidR="00CF0623" w:rsidRPr="00DC4889" w:rsidRDefault="00CF0623" w:rsidP="00BF407C">
            <w:pPr>
              <w:pStyle w:val="CommentaryText"/>
              <w:keepNext/>
              <w:keepLines/>
              <w:numPr>
                <w:ilvl w:val="0"/>
                <w:numId w:val="52"/>
              </w:numPr>
              <w:tabs>
                <w:tab w:val="left" w:pos="3306"/>
              </w:tabs>
              <w:ind w:left="459" w:hanging="357"/>
              <w:rPr>
                <w:rFonts w:cs="Calibri"/>
                <w:color w:val="FFFFFF" w:themeColor="background1"/>
                <w:sz w:val="18"/>
                <w:szCs w:val="18"/>
              </w:rPr>
            </w:pPr>
            <w:r w:rsidRPr="00DC4889">
              <w:rPr>
                <w:rFonts w:cs="Calibri"/>
                <w:color w:val="FFFFFF" w:themeColor="background1"/>
                <w:sz w:val="18"/>
                <w:szCs w:val="18"/>
              </w:rPr>
              <w:t>amounts received in advance of provision of services.</w:t>
            </w:r>
          </w:p>
        </w:tc>
      </w:tr>
      <w:tr w:rsidR="00CF0623" w:rsidRPr="00413F41" w14:paraId="0ED3D04F" w14:textId="77777777" w:rsidTr="00D43DDC">
        <w:trPr>
          <w:gridAfter w:val="1"/>
          <w:wAfter w:w="165" w:type="pct"/>
          <w:cantSplit/>
          <w:trHeight w:val="248"/>
        </w:trPr>
        <w:tc>
          <w:tcPr>
            <w:tcW w:w="704" w:type="pct"/>
            <w:tcBorders>
              <w:top w:val="nil"/>
              <w:left w:val="single" w:sz="2" w:space="0" w:color="auto"/>
              <w:bottom w:val="nil"/>
              <w:right w:val="single" w:sz="2" w:space="0" w:color="auto"/>
            </w:tcBorders>
          </w:tcPr>
          <w:p w14:paraId="6242ED94" w14:textId="77777777" w:rsidR="00CF0623" w:rsidRPr="00DC4889" w:rsidRDefault="00CF0623" w:rsidP="0042643B">
            <w:pPr>
              <w:pStyle w:val="TableReference"/>
              <w:tabs>
                <w:tab w:val="left" w:pos="3306"/>
              </w:tabs>
              <w:spacing w:before="40"/>
              <w:rPr>
                <w:rFonts w:cs="Calibri"/>
                <w:color w:val="7030A0"/>
                <w:sz w:val="16"/>
                <w:szCs w:val="16"/>
              </w:rPr>
            </w:pPr>
            <w:r w:rsidRPr="00DC4889">
              <w:rPr>
                <w:rFonts w:cs="Calibri"/>
                <w:color w:val="7030A0"/>
                <w:sz w:val="14"/>
              </w:rPr>
              <w:t>AASB 15.116(a)</w:t>
            </w:r>
          </w:p>
        </w:tc>
        <w:tc>
          <w:tcPr>
            <w:tcW w:w="4131" w:type="pct"/>
            <w:gridSpan w:val="10"/>
            <w:tcBorders>
              <w:top w:val="nil"/>
              <w:left w:val="single" w:sz="2" w:space="0" w:color="auto"/>
              <w:bottom w:val="nil"/>
              <w:right w:val="nil"/>
            </w:tcBorders>
            <w:shd w:val="clear" w:color="auto" w:fill="7030A0"/>
          </w:tcPr>
          <w:p w14:paraId="3CA130A4" w14:textId="77777777" w:rsidR="00CF0623" w:rsidRPr="00DC4889" w:rsidRDefault="00CF0623" w:rsidP="0042643B">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 xml:space="preserve">Agencies must disclose contract liabilities separately from contract assets </w:t>
            </w:r>
            <w:r w:rsidRPr="0007146C">
              <w:rPr>
                <w:rFonts w:cs="Calibri"/>
                <w:b w:val="0"/>
                <w:bCs w:val="0"/>
                <w:color w:val="FFFFFF" w:themeColor="background1"/>
                <w:sz w:val="18"/>
                <w:szCs w:val="18"/>
              </w:rPr>
              <w:t xml:space="preserve">and </w:t>
            </w:r>
            <w:r w:rsidRPr="0007146C">
              <w:rPr>
                <w:rFonts w:cs="Calibri"/>
                <w:b w:val="0"/>
                <w:bCs w:val="0"/>
                <w:strike/>
                <w:color w:val="FF0000"/>
                <w:sz w:val="18"/>
                <w:szCs w:val="18"/>
              </w:rPr>
              <w:t>contract</w:t>
            </w:r>
            <w:r w:rsidRPr="0007146C">
              <w:rPr>
                <w:rFonts w:cs="Calibri"/>
                <w:b w:val="0"/>
                <w:bCs w:val="0"/>
                <w:color w:val="FFFFFF" w:themeColor="background1"/>
                <w:sz w:val="18"/>
                <w:szCs w:val="18"/>
              </w:rPr>
              <w:t xml:space="preserve"> receivables</w:t>
            </w:r>
            <w:r w:rsidRPr="00DC4889">
              <w:rPr>
                <w:rFonts w:cs="Calibri"/>
                <w:b w:val="0"/>
                <w:bCs w:val="0"/>
                <w:color w:val="FFFFFF" w:themeColor="background1"/>
                <w:sz w:val="18"/>
                <w:szCs w:val="18"/>
              </w:rPr>
              <w:t>.</w:t>
            </w:r>
          </w:p>
        </w:tc>
      </w:tr>
      <w:tr w:rsidR="00CF0623" w:rsidRPr="00413F41" w14:paraId="5BC9F357" w14:textId="77777777" w:rsidTr="00D43DDC">
        <w:trPr>
          <w:gridAfter w:val="1"/>
          <w:wAfter w:w="165" w:type="pct"/>
          <w:cantSplit/>
          <w:trHeight w:val="248"/>
        </w:trPr>
        <w:tc>
          <w:tcPr>
            <w:tcW w:w="704" w:type="pct"/>
            <w:tcBorders>
              <w:top w:val="nil"/>
              <w:left w:val="single" w:sz="2" w:space="0" w:color="auto"/>
              <w:bottom w:val="nil"/>
              <w:right w:val="single" w:sz="2" w:space="0" w:color="auto"/>
            </w:tcBorders>
          </w:tcPr>
          <w:p w14:paraId="08B318B6" w14:textId="7EFDE207" w:rsidR="00CF0623" w:rsidRPr="00DC4889" w:rsidRDefault="00CF0623" w:rsidP="00CF0623">
            <w:pPr>
              <w:pStyle w:val="TableReference"/>
              <w:tabs>
                <w:tab w:val="left" w:pos="3306"/>
              </w:tabs>
              <w:spacing w:before="40"/>
              <w:rPr>
                <w:rFonts w:cs="Calibri"/>
                <w:color w:val="7030A0"/>
                <w:sz w:val="14"/>
              </w:rPr>
            </w:pPr>
            <w:r w:rsidRPr="00DC4889">
              <w:rPr>
                <w:rFonts w:cs="Calibri"/>
                <w:color w:val="7030A0"/>
                <w:sz w:val="14"/>
              </w:rPr>
              <w:t xml:space="preserve">AASB 15.116(b) </w:t>
            </w:r>
          </w:p>
        </w:tc>
        <w:tc>
          <w:tcPr>
            <w:tcW w:w="4131" w:type="pct"/>
            <w:gridSpan w:val="10"/>
            <w:tcBorders>
              <w:top w:val="nil"/>
              <w:left w:val="single" w:sz="2" w:space="0" w:color="auto"/>
              <w:bottom w:val="nil"/>
              <w:right w:val="nil"/>
            </w:tcBorders>
            <w:shd w:val="clear" w:color="auto" w:fill="7030A0"/>
          </w:tcPr>
          <w:p w14:paraId="59C7A9CD" w14:textId="6CD5156F" w:rsidR="00CF0623" w:rsidRPr="00DC4889" w:rsidRDefault="00CF0623" w:rsidP="00CF0623">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disclose the opening and closing balances of contract liabilities.</w:t>
            </w:r>
          </w:p>
        </w:tc>
      </w:tr>
      <w:tr w:rsidR="00CF0623" w:rsidRPr="00413F41" w14:paraId="20CC95B7"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C6EC8FE" w14:textId="2CC3D6DE" w:rsidR="00CF0623" w:rsidRPr="00DC4889" w:rsidRDefault="00CF0623" w:rsidP="000159C3">
            <w:pPr>
              <w:pStyle w:val="TableReference"/>
              <w:tabs>
                <w:tab w:val="left" w:pos="3306"/>
              </w:tabs>
              <w:spacing w:before="240" w:after="240"/>
              <w:rPr>
                <w:rFonts w:cs="Calibri"/>
                <w:color w:val="7030A0"/>
                <w:sz w:val="14"/>
              </w:rPr>
            </w:pPr>
            <w:r w:rsidRPr="006A4165">
              <w:rPr>
                <w:rFonts w:cs="Calibri"/>
                <w:b/>
                <w:bCs/>
                <w:color w:val="7030A0"/>
                <w:sz w:val="22"/>
                <w:szCs w:val="22"/>
              </w:rPr>
              <w:t>Reference</w:t>
            </w:r>
          </w:p>
        </w:tc>
        <w:tc>
          <w:tcPr>
            <w:tcW w:w="4131" w:type="pct"/>
            <w:gridSpan w:val="10"/>
            <w:tcBorders>
              <w:top w:val="nil"/>
              <w:left w:val="single" w:sz="2" w:space="0" w:color="auto"/>
              <w:bottom w:val="nil"/>
              <w:right w:val="nil"/>
            </w:tcBorders>
            <w:shd w:val="clear" w:color="auto" w:fill="7030A0"/>
          </w:tcPr>
          <w:p w14:paraId="212197E3" w14:textId="0E8BA3ED" w:rsidR="00CF0623" w:rsidRPr="0007146C" w:rsidRDefault="00CF0623" w:rsidP="000159C3">
            <w:pPr>
              <w:pageBreakBefore/>
              <w:spacing w:before="240" w:after="240"/>
              <w:jc w:val="both"/>
              <w:rPr>
                <w:rFonts w:cs="Calibri"/>
                <w:b/>
                <w:bCs/>
                <w:color w:val="FFFFFF" w:themeColor="background1"/>
                <w:sz w:val="18"/>
                <w:szCs w:val="18"/>
              </w:rPr>
            </w:pPr>
            <w:r w:rsidRPr="0007146C">
              <w:rPr>
                <w:rFonts w:cs="Calibri"/>
                <w:b/>
                <w:bCs/>
                <w:color w:val="FFFFFF" w:themeColor="background1"/>
                <w:sz w:val="28"/>
                <w:szCs w:val="28"/>
              </w:rPr>
              <w:t xml:space="preserve">Commentary – Note 24: Payables </w:t>
            </w:r>
            <w:r w:rsidRPr="0007146C">
              <w:rPr>
                <w:rFonts w:cs="Calibri"/>
                <w:b/>
                <w:bCs/>
                <w:strike/>
                <w:color w:val="FF0000"/>
                <w:sz w:val="28"/>
                <w:szCs w:val="28"/>
              </w:rPr>
              <w:t>and Contract Liabilities</w:t>
            </w:r>
            <w:r w:rsidRPr="0007146C">
              <w:rPr>
                <w:rFonts w:cs="Calibri"/>
                <w:b/>
                <w:bCs/>
                <w:color w:val="FF0000"/>
                <w:sz w:val="28"/>
                <w:szCs w:val="28"/>
              </w:rPr>
              <w:t xml:space="preserve"> </w:t>
            </w:r>
            <w:r w:rsidRPr="0007146C">
              <w:rPr>
                <w:rFonts w:cs="Calibri"/>
                <w:b/>
                <w:bCs/>
                <w:color w:val="FFFFFF" w:themeColor="background1"/>
                <w:sz w:val="28"/>
                <w:szCs w:val="28"/>
              </w:rPr>
              <w:t xml:space="preserve">– Continued </w:t>
            </w:r>
          </w:p>
        </w:tc>
      </w:tr>
      <w:tr w:rsidR="00CF0623" w:rsidRPr="00413F41" w14:paraId="767EF8CA"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9D9E490" w14:textId="77777777" w:rsidR="00CF0623" w:rsidRPr="007F1E23" w:rsidRDefault="00CF0623" w:rsidP="00CF0623">
            <w:pPr>
              <w:pStyle w:val="TableReference"/>
              <w:tabs>
                <w:tab w:val="left" w:pos="3306"/>
              </w:tabs>
              <w:spacing w:before="40"/>
              <w:rPr>
                <w:rFonts w:cs="Calibri"/>
                <w:color w:val="538135" w:themeColor="accent6" w:themeShade="BF"/>
                <w:sz w:val="14"/>
              </w:rPr>
            </w:pPr>
          </w:p>
        </w:tc>
        <w:tc>
          <w:tcPr>
            <w:tcW w:w="4131" w:type="pct"/>
            <w:gridSpan w:val="10"/>
            <w:tcBorders>
              <w:top w:val="nil"/>
              <w:left w:val="single" w:sz="2" w:space="0" w:color="auto"/>
              <w:bottom w:val="nil"/>
              <w:right w:val="nil"/>
            </w:tcBorders>
            <w:shd w:val="clear" w:color="auto" w:fill="7030A0"/>
          </w:tcPr>
          <w:p w14:paraId="77223603" w14:textId="036925CA" w:rsidR="00CF0623" w:rsidRPr="0007146C" w:rsidRDefault="00CF0623" w:rsidP="00CF0623">
            <w:pPr>
              <w:pStyle w:val="CommentaryTitle"/>
              <w:spacing w:before="0" w:after="0"/>
              <w:jc w:val="both"/>
              <w:rPr>
                <w:rFonts w:cs="Calibri"/>
                <w:b w:val="0"/>
                <w:bCs w:val="0"/>
                <w:color w:val="538135" w:themeColor="accent6" w:themeShade="BF"/>
                <w:sz w:val="18"/>
                <w:szCs w:val="18"/>
              </w:rPr>
            </w:pPr>
            <w:r w:rsidRPr="0007146C">
              <w:rPr>
                <w:rFonts w:cs="Calibri"/>
                <w:b w:val="0"/>
                <w:bCs w:val="0"/>
                <w:color w:val="FF0000"/>
                <w:sz w:val="18"/>
                <w:szCs w:val="18"/>
              </w:rPr>
              <w:t>Where applicable, agencies should disclose the following line items in the Payables note:</w:t>
            </w:r>
          </w:p>
        </w:tc>
      </w:tr>
      <w:tr w:rsidR="00CF0623" w:rsidRPr="00413F41" w14:paraId="6F931DD5"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74DF58E" w14:textId="048E4213" w:rsidR="00CF0623" w:rsidRPr="007F1E23" w:rsidRDefault="00CF0623" w:rsidP="00CF0623">
            <w:pPr>
              <w:pStyle w:val="TableReference"/>
              <w:tabs>
                <w:tab w:val="left" w:pos="3306"/>
              </w:tabs>
              <w:spacing w:before="40"/>
              <w:rPr>
                <w:rFonts w:cs="Calibri"/>
                <w:color w:val="538135" w:themeColor="accent6" w:themeShade="BF"/>
                <w:sz w:val="14"/>
              </w:rPr>
            </w:pPr>
            <w:r w:rsidRPr="007F1E23">
              <w:rPr>
                <w:rFonts w:cs="Calibri"/>
                <w:color w:val="538135" w:themeColor="accent6" w:themeShade="BF"/>
                <w:sz w:val="14"/>
              </w:rPr>
              <w:t>AASB 15.120(a)</w:t>
            </w:r>
          </w:p>
        </w:tc>
        <w:tc>
          <w:tcPr>
            <w:tcW w:w="4131" w:type="pct"/>
            <w:gridSpan w:val="10"/>
            <w:tcBorders>
              <w:top w:val="nil"/>
              <w:left w:val="single" w:sz="2" w:space="0" w:color="auto"/>
              <w:bottom w:val="nil"/>
              <w:right w:val="nil"/>
            </w:tcBorders>
            <w:shd w:val="clear" w:color="auto" w:fill="7030A0"/>
          </w:tcPr>
          <w:p w14:paraId="64D236F4" w14:textId="39A22553" w:rsidR="00CF0623" w:rsidRPr="0007146C" w:rsidRDefault="00CF0623" w:rsidP="00CF0623">
            <w:pPr>
              <w:pStyle w:val="CommentaryTitle"/>
              <w:numPr>
                <w:ilvl w:val="0"/>
                <w:numId w:val="79"/>
              </w:numPr>
              <w:spacing w:before="0" w:after="120"/>
              <w:jc w:val="both"/>
              <w:rPr>
                <w:rFonts w:cs="Calibri"/>
                <w:b w:val="0"/>
                <w:bCs w:val="0"/>
                <w:color w:val="538135" w:themeColor="accent6" w:themeShade="BF"/>
                <w:sz w:val="18"/>
                <w:szCs w:val="18"/>
              </w:rPr>
            </w:pPr>
            <w:r w:rsidRPr="0007146C">
              <w:rPr>
                <w:rFonts w:cs="Calibri"/>
                <w:b w:val="0"/>
                <w:bCs w:val="0"/>
                <w:color w:val="538135" w:themeColor="accent6" w:themeShade="BF"/>
                <w:sz w:val="18"/>
                <w:szCs w:val="18"/>
              </w:rPr>
              <w:t>Transaction Price Allocated to Unsatisfied (or Partially Unsatisfied) Performance Obligations.</w:t>
            </w:r>
          </w:p>
        </w:tc>
      </w:tr>
      <w:tr w:rsidR="00CF0623" w:rsidRPr="00413F41" w14:paraId="500942EF"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C4B53A0" w14:textId="77777777" w:rsidR="00CF0623" w:rsidRPr="00DC4889" w:rsidRDefault="00CF0623" w:rsidP="00CF0623">
            <w:pPr>
              <w:pStyle w:val="TableReference"/>
              <w:tabs>
                <w:tab w:val="left" w:pos="3306"/>
              </w:tabs>
              <w:spacing w:before="40"/>
              <w:rPr>
                <w:rFonts w:cs="Calibri"/>
                <w:color w:val="7030A0"/>
                <w:sz w:val="14"/>
              </w:rPr>
            </w:pPr>
            <w:r w:rsidRPr="00DC4889">
              <w:rPr>
                <w:rFonts w:cs="Calibri"/>
                <w:color w:val="7030A0"/>
                <w:sz w:val="14"/>
              </w:rPr>
              <w:t>AASB 15.116(b)</w:t>
            </w:r>
          </w:p>
          <w:p w14:paraId="50D3FB90" w14:textId="77777777" w:rsidR="00CF0623" w:rsidRPr="00DC4889" w:rsidRDefault="00CF0623" w:rsidP="00CF0623">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shd w:val="clear" w:color="auto" w:fill="7030A0"/>
          </w:tcPr>
          <w:p w14:paraId="6F66A65D" w14:textId="77777777" w:rsidR="00CF0623" w:rsidRPr="0007146C" w:rsidRDefault="00CF0623" w:rsidP="00CF0623">
            <w:pPr>
              <w:pStyle w:val="CommentaryTitle"/>
              <w:spacing w:before="0" w:after="120"/>
              <w:jc w:val="both"/>
              <w:rPr>
                <w:rFonts w:cs="Calibri"/>
                <w:b w:val="0"/>
                <w:bCs w:val="0"/>
                <w:color w:val="FFFFFF" w:themeColor="background1"/>
                <w:sz w:val="18"/>
                <w:szCs w:val="18"/>
              </w:rPr>
            </w:pPr>
            <w:r w:rsidRPr="0007146C">
              <w:rPr>
                <w:rFonts w:cs="Calibri"/>
                <w:b w:val="0"/>
                <w:bCs w:val="0"/>
                <w:color w:val="FFFFFF" w:themeColor="background1"/>
                <w:sz w:val="18"/>
                <w:szCs w:val="18"/>
              </w:rPr>
              <w:t xml:space="preserve">Agencies must disclose revenue recognised in the reporting period that was included in the contract liability balance at the beginning of the year and revenue recognised from performance obligations satisfied in previous periods (for example due to a change in transaction price). </w:t>
            </w:r>
          </w:p>
        </w:tc>
      </w:tr>
      <w:tr w:rsidR="00CF0623" w:rsidRPr="00413F41" w14:paraId="5EB48BCE"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E599C20" w14:textId="77777777" w:rsidR="00CF0623" w:rsidRPr="00DC4889" w:rsidRDefault="00CF0623" w:rsidP="00CF0623">
            <w:pPr>
              <w:pStyle w:val="TableReference"/>
              <w:tabs>
                <w:tab w:val="left" w:pos="3306"/>
              </w:tabs>
              <w:spacing w:before="40"/>
              <w:rPr>
                <w:rFonts w:cs="Calibri"/>
                <w:color w:val="7030A0"/>
                <w:sz w:val="14"/>
              </w:rPr>
            </w:pPr>
            <w:r w:rsidRPr="00DC4889">
              <w:rPr>
                <w:rFonts w:cs="Calibri"/>
                <w:color w:val="7030A0"/>
                <w:sz w:val="14"/>
              </w:rPr>
              <w:t>AASB 15.117</w:t>
            </w:r>
          </w:p>
          <w:p w14:paraId="41306123" w14:textId="7F6440FC" w:rsidR="00CF0623" w:rsidRPr="00DC4889" w:rsidRDefault="00CF0623" w:rsidP="00CF0623">
            <w:pPr>
              <w:pStyle w:val="TableReference"/>
              <w:tabs>
                <w:tab w:val="left" w:pos="3306"/>
              </w:tabs>
              <w:spacing w:before="40"/>
              <w:rPr>
                <w:rFonts w:cs="Calibri"/>
                <w:color w:val="7030A0"/>
                <w:sz w:val="14"/>
              </w:rPr>
            </w:pPr>
            <w:r w:rsidRPr="00DC4889">
              <w:rPr>
                <w:rFonts w:cs="Calibri"/>
                <w:color w:val="7030A0"/>
                <w:sz w:val="14"/>
              </w:rPr>
              <w:t>AASB 15.119(a)</w:t>
            </w:r>
          </w:p>
          <w:p w14:paraId="1EC72E2D" w14:textId="2E39EDCB" w:rsidR="00CF0623" w:rsidRPr="00DC4889" w:rsidRDefault="00CF0623" w:rsidP="00CF0623">
            <w:pPr>
              <w:pStyle w:val="TableReference"/>
              <w:tabs>
                <w:tab w:val="left" w:pos="3306"/>
              </w:tabs>
              <w:spacing w:before="40"/>
              <w:rPr>
                <w:rFonts w:cs="Calibri"/>
                <w:color w:val="7030A0"/>
                <w:sz w:val="16"/>
                <w:szCs w:val="16"/>
              </w:rPr>
            </w:pPr>
            <w:r w:rsidRPr="00DC4889">
              <w:rPr>
                <w:rFonts w:cs="Calibri"/>
                <w:color w:val="7030A0"/>
                <w:sz w:val="14"/>
              </w:rPr>
              <w:t>AASB 15.119(b)</w:t>
            </w:r>
          </w:p>
        </w:tc>
        <w:tc>
          <w:tcPr>
            <w:tcW w:w="4131" w:type="pct"/>
            <w:gridSpan w:val="10"/>
            <w:tcBorders>
              <w:top w:val="nil"/>
              <w:left w:val="single" w:sz="2" w:space="0" w:color="auto"/>
              <w:bottom w:val="nil"/>
              <w:right w:val="nil"/>
            </w:tcBorders>
            <w:shd w:val="clear" w:color="auto" w:fill="7030A0"/>
          </w:tcPr>
          <w:p w14:paraId="5A4330D0" w14:textId="4AEFD138" w:rsidR="00CF0623" w:rsidRPr="00DC4889" w:rsidRDefault="00CF0623" w:rsidP="00CF0623">
            <w:pPr>
              <w:pStyle w:val="CommentaryTitle"/>
              <w:spacing w:before="0" w:after="120"/>
              <w:jc w:val="both"/>
              <w:rPr>
                <w:rFonts w:cs="Calibri"/>
                <w:color w:val="FFFFFF" w:themeColor="background1"/>
                <w:sz w:val="18"/>
                <w:szCs w:val="18"/>
              </w:rPr>
            </w:pPr>
            <w:r w:rsidRPr="00DC4889">
              <w:rPr>
                <w:rFonts w:cs="Calibri"/>
                <w:b w:val="0"/>
                <w:bCs w:val="0"/>
                <w:color w:val="FFFFFF" w:themeColor="background1"/>
                <w:sz w:val="18"/>
                <w:szCs w:val="18"/>
              </w:rPr>
              <w:t>Agencies shall explain how the timing of the satisfaction of performance obligations relates to the typical timing of payment and the effect that those factors have on the contract liability. Quantitative information may be used.</w:t>
            </w:r>
          </w:p>
        </w:tc>
      </w:tr>
      <w:tr w:rsidR="00CF0623" w:rsidRPr="00413F41" w14:paraId="2CC78FDD"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F643B6C" w14:textId="441E053F" w:rsidR="00CF0623" w:rsidRPr="00DC4889" w:rsidRDefault="00CF0623" w:rsidP="00CF0623">
            <w:pPr>
              <w:pStyle w:val="TableReference"/>
              <w:tabs>
                <w:tab w:val="left" w:pos="3306"/>
              </w:tabs>
              <w:spacing w:before="40"/>
              <w:rPr>
                <w:rFonts w:cs="Calibri"/>
                <w:color w:val="7030A0"/>
                <w:sz w:val="14"/>
              </w:rPr>
            </w:pPr>
            <w:r w:rsidRPr="00DC4889">
              <w:rPr>
                <w:rFonts w:cs="Calibri"/>
                <w:color w:val="7030A0"/>
                <w:sz w:val="14"/>
              </w:rPr>
              <w:t>AASB 15.118</w:t>
            </w:r>
          </w:p>
          <w:p w14:paraId="5348730D" w14:textId="77777777" w:rsidR="00CF0623" w:rsidRPr="00DC4889" w:rsidRDefault="00CF0623" w:rsidP="00CF0623">
            <w:pPr>
              <w:pStyle w:val="TableReference"/>
              <w:tabs>
                <w:tab w:val="left" w:pos="3306"/>
              </w:tabs>
              <w:spacing w:before="40"/>
              <w:rPr>
                <w:rFonts w:cs="Calibri"/>
                <w:color w:val="7030A0"/>
                <w:sz w:val="16"/>
                <w:szCs w:val="16"/>
              </w:rPr>
            </w:pPr>
          </w:p>
        </w:tc>
        <w:tc>
          <w:tcPr>
            <w:tcW w:w="4131" w:type="pct"/>
            <w:gridSpan w:val="10"/>
            <w:tcBorders>
              <w:top w:val="nil"/>
              <w:left w:val="single" w:sz="2" w:space="0" w:color="auto"/>
              <w:bottom w:val="nil"/>
              <w:right w:val="nil"/>
            </w:tcBorders>
            <w:shd w:val="clear" w:color="auto" w:fill="7030A0"/>
          </w:tcPr>
          <w:p w14:paraId="1D72AB3E" w14:textId="172BA660" w:rsidR="00CF0623" w:rsidRPr="00DC4889" w:rsidRDefault="00CF0623" w:rsidP="00CF0623">
            <w:pPr>
              <w:pStyle w:val="CommentaryTitle"/>
              <w:spacing w:before="0" w:after="4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explain significant changes in the balances of contact liabilities.</w:t>
            </w:r>
            <w:r>
              <w:rPr>
                <w:rFonts w:cs="Calibri"/>
                <w:b w:val="0"/>
                <w:bCs w:val="0"/>
                <w:color w:val="FFFFFF" w:themeColor="background1"/>
                <w:sz w:val="18"/>
                <w:szCs w:val="18"/>
              </w:rPr>
              <w:t xml:space="preserve"> </w:t>
            </w:r>
            <w:r w:rsidRPr="00DC4889">
              <w:rPr>
                <w:rFonts w:cs="Calibri"/>
                <w:b w:val="0"/>
                <w:bCs w:val="0"/>
                <w:color w:val="FFFFFF" w:themeColor="background1"/>
                <w:sz w:val="18"/>
                <w:szCs w:val="18"/>
              </w:rPr>
              <w:t>Reasons for this change may include:</w:t>
            </w:r>
          </w:p>
          <w:p w14:paraId="5320241E" w14:textId="77777777" w:rsidR="00CF0623" w:rsidRPr="00C864E3" w:rsidRDefault="00CF0623" w:rsidP="00CF0623">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business combinations;</w:t>
            </w:r>
          </w:p>
          <w:p w14:paraId="13166E64" w14:textId="77777777" w:rsidR="00CF0623" w:rsidRPr="00C864E3" w:rsidRDefault="00CF0623" w:rsidP="00CF0623">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cumulative catch-ups, such as those arising from a change in the measure of progress, a change in an estimate of the transaction price or a modification; and</w:t>
            </w:r>
          </w:p>
          <w:p w14:paraId="5E959D7C" w14:textId="77777777" w:rsidR="00CF0623" w:rsidRPr="00DC4889" w:rsidRDefault="00CF0623" w:rsidP="00CF0623">
            <w:pPr>
              <w:pStyle w:val="CommentaryText"/>
              <w:keepNext/>
              <w:keepLines/>
              <w:numPr>
                <w:ilvl w:val="0"/>
                <w:numId w:val="52"/>
              </w:numPr>
              <w:tabs>
                <w:tab w:val="left" w:pos="3306"/>
              </w:tabs>
              <w:ind w:left="459" w:hanging="357"/>
              <w:rPr>
                <w:rFonts w:cs="Calibri"/>
                <w:b/>
                <w:bCs/>
                <w:color w:val="FFFFFF" w:themeColor="background1"/>
                <w:sz w:val="18"/>
                <w:szCs w:val="18"/>
              </w:rPr>
            </w:pPr>
            <w:r w:rsidRPr="00DC4889">
              <w:rPr>
                <w:rFonts w:cs="Calibri"/>
                <w:color w:val="FFFFFF" w:themeColor="background1"/>
                <w:sz w:val="18"/>
                <w:szCs w:val="18"/>
              </w:rPr>
              <w:t>a change in timeframe – for performance obligations to be satisfied.</w:t>
            </w:r>
          </w:p>
        </w:tc>
      </w:tr>
      <w:tr w:rsidR="00CF0623" w:rsidRPr="00413F41" w14:paraId="43C84038"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2671566" w14:textId="77777777" w:rsidR="00CF0623" w:rsidRPr="00DC4889" w:rsidRDefault="00CF0623" w:rsidP="00CF0623">
            <w:pPr>
              <w:pStyle w:val="TableReference"/>
              <w:tabs>
                <w:tab w:val="left" w:pos="3306"/>
              </w:tabs>
              <w:spacing w:before="40"/>
              <w:rPr>
                <w:rFonts w:cs="Calibri"/>
                <w:color w:val="7030A0"/>
                <w:sz w:val="14"/>
              </w:rPr>
            </w:pPr>
          </w:p>
        </w:tc>
        <w:tc>
          <w:tcPr>
            <w:tcW w:w="4131" w:type="pct"/>
            <w:gridSpan w:val="10"/>
            <w:tcBorders>
              <w:top w:val="nil"/>
              <w:left w:val="single" w:sz="2" w:space="0" w:color="auto"/>
              <w:bottom w:val="nil"/>
              <w:right w:val="nil"/>
            </w:tcBorders>
            <w:shd w:val="clear" w:color="auto" w:fill="auto"/>
          </w:tcPr>
          <w:p w14:paraId="47AC9B22" w14:textId="77777777" w:rsidR="00CF0623" w:rsidRPr="00DC4889" w:rsidRDefault="00CF0623" w:rsidP="00CF0623">
            <w:pPr>
              <w:pStyle w:val="CommentaryTitle"/>
              <w:spacing w:before="0" w:after="40"/>
              <w:jc w:val="both"/>
              <w:rPr>
                <w:rFonts w:cs="Calibri"/>
                <w:b w:val="0"/>
                <w:bCs w:val="0"/>
                <w:color w:val="FFFFFF" w:themeColor="background1"/>
                <w:sz w:val="18"/>
                <w:szCs w:val="18"/>
              </w:rPr>
            </w:pPr>
          </w:p>
        </w:tc>
      </w:tr>
      <w:tr w:rsidR="00CF0623" w:rsidRPr="00761840" w14:paraId="672957CD" w14:textId="77777777" w:rsidTr="00D43DDC">
        <w:trPr>
          <w:gridAfter w:val="1"/>
          <w:wAfter w:w="165" w:type="pct"/>
          <w:cantSplit/>
          <w:trHeight w:val="397"/>
        </w:trPr>
        <w:tc>
          <w:tcPr>
            <w:tcW w:w="704" w:type="pct"/>
            <w:tcBorders>
              <w:top w:val="nil"/>
              <w:left w:val="single" w:sz="2" w:space="0" w:color="auto"/>
              <w:bottom w:val="nil"/>
              <w:right w:val="single" w:sz="2" w:space="0" w:color="auto"/>
            </w:tcBorders>
          </w:tcPr>
          <w:p w14:paraId="5AE1E825" w14:textId="546E1072" w:rsidR="00CF0623" w:rsidRPr="006E293E" w:rsidRDefault="00CF0623" w:rsidP="00CF0623">
            <w:pPr>
              <w:spacing w:before="240"/>
              <w:rPr>
                <w:rFonts w:cs="Calibri"/>
                <w:b/>
                <w:bCs/>
                <w:color w:val="7030A0"/>
                <w:szCs w:val="22"/>
              </w:rPr>
            </w:pPr>
          </w:p>
        </w:tc>
        <w:tc>
          <w:tcPr>
            <w:tcW w:w="4131" w:type="pct"/>
            <w:gridSpan w:val="10"/>
            <w:tcBorders>
              <w:top w:val="nil"/>
              <w:left w:val="single" w:sz="2" w:space="0" w:color="auto"/>
              <w:bottom w:val="nil"/>
              <w:right w:val="nil"/>
            </w:tcBorders>
          </w:tcPr>
          <w:p w14:paraId="2793AB8F" w14:textId="41641BB3" w:rsidR="00CF0623" w:rsidRPr="00761840" w:rsidRDefault="00CF0623" w:rsidP="00CF0623">
            <w:pPr>
              <w:pStyle w:val="Heading1"/>
              <w:numPr>
                <w:ilvl w:val="0"/>
                <w:numId w:val="0"/>
              </w:numPr>
              <w:ind w:left="1134" w:hanging="1134"/>
            </w:pPr>
            <w:bookmarkStart w:id="697" w:name="_Toc132743816"/>
            <w:r w:rsidRPr="00761840">
              <w:t>Note 25.</w:t>
            </w:r>
            <w:r>
              <w:t xml:space="preserve"> </w:t>
            </w:r>
            <w:r w:rsidRPr="00761840">
              <w:t xml:space="preserve"> Borrowings</w:t>
            </w:r>
            <w:bookmarkEnd w:id="697"/>
          </w:p>
        </w:tc>
      </w:tr>
      <w:tr w:rsidR="00CF0623" w:rsidRPr="00761840" w14:paraId="16E830B0" w14:textId="77777777" w:rsidTr="00D43DDC">
        <w:trPr>
          <w:gridAfter w:val="1"/>
          <w:wAfter w:w="165" w:type="pct"/>
          <w:cantSplit/>
          <w:trHeight w:val="150"/>
        </w:trPr>
        <w:tc>
          <w:tcPr>
            <w:tcW w:w="704" w:type="pct"/>
            <w:tcBorders>
              <w:top w:val="nil"/>
              <w:left w:val="single" w:sz="2" w:space="0" w:color="auto"/>
              <w:bottom w:val="nil"/>
              <w:right w:val="single" w:sz="2" w:space="0" w:color="auto"/>
            </w:tcBorders>
          </w:tcPr>
          <w:p w14:paraId="0F261D47" w14:textId="77777777" w:rsidR="00CF0623" w:rsidRPr="006E293E" w:rsidRDefault="00CF0623" w:rsidP="00CF0623">
            <w:pPr>
              <w:rPr>
                <w:rFonts w:cs="Calibri"/>
                <w:b/>
                <w:bCs/>
                <w:color w:val="7030A0"/>
                <w:sz w:val="20"/>
                <w:szCs w:val="20"/>
              </w:rPr>
            </w:pPr>
          </w:p>
        </w:tc>
        <w:tc>
          <w:tcPr>
            <w:tcW w:w="4131" w:type="pct"/>
            <w:gridSpan w:val="10"/>
            <w:tcBorders>
              <w:top w:val="nil"/>
              <w:left w:val="single" w:sz="2" w:space="0" w:color="auto"/>
              <w:bottom w:val="nil"/>
              <w:right w:val="nil"/>
            </w:tcBorders>
          </w:tcPr>
          <w:p w14:paraId="443DEE35" w14:textId="33C01CB4" w:rsidR="00CF0623" w:rsidRPr="00761840" w:rsidRDefault="00CF0623" w:rsidP="00CF0623">
            <w:pPr>
              <w:jc w:val="both"/>
              <w:rPr>
                <w:b/>
                <w:bCs/>
                <w:sz w:val="18"/>
                <w:szCs w:val="18"/>
              </w:rPr>
            </w:pPr>
            <w:r w:rsidRPr="00761840">
              <w:rPr>
                <w:b/>
                <w:bCs/>
                <w:sz w:val="18"/>
                <w:szCs w:val="18"/>
              </w:rPr>
              <w:t>Description and Material Accounting Policies Relating to Borrowings</w:t>
            </w:r>
          </w:p>
        </w:tc>
      </w:tr>
      <w:tr w:rsidR="00E80E77" w:rsidRPr="00761840" w14:paraId="65408582"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53E77D2" w14:textId="77777777" w:rsidR="00E80E77" w:rsidRPr="0007146C" w:rsidRDefault="00E80E77" w:rsidP="00CF0623">
            <w:pPr>
              <w:rPr>
                <w:rFonts w:cs="Calibri"/>
                <w:color w:val="7030A0"/>
                <w:sz w:val="14"/>
                <w:szCs w:val="14"/>
              </w:rPr>
            </w:pPr>
          </w:p>
        </w:tc>
        <w:tc>
          <w:tcPr>
            <w:tcW w:w="4131" w:type="pct"/>
            <w:gridSpan w:val="10"/>
            <w:tcBorders>
              <w:top w:val="nil"/>
              <w:left w:val="single" w:sz="2" w:space="0" w:color="auto"/>
              <w:bottom w:val="nil"/>
              <w:right w:val="nil"/>
            </w:tcBorders>
          </w:tcPr>
          <w:p w14:paraId="58879A8A" w14:textId="29DFDFE3" w:rsidR="00E80E77" w:rsidRPr="0007146C" w:rsidRDefault="00E80E77" w:rsidP="00CF0623">
            <w:pPr>
              <w:spacing w:before="120"/>
              <w:jc w:val="both"/>
              <w:rPr>
                <w:rFonts w:cs="Calibri"/>
                <w:i/>
                <w:iCs/>
                <w:sz w:val="18"/>
                <w:szCs w:val="18"/>
              </w:rPr>
            </w:pPr>
            <w:r w:rsidRPr="0007146C">
              <w:rPr>
                <w:rFonts w:cs="Calibri"/>
                <w:i/>
                <w:iCs/>
                <w:color w:val="FF0000"/>
                <w:sz w:val="18"/>
                <w:szCs w:val="18"/>
              </w:rPr>
              <w:t>ACT Government Borrowings</w:t>
            </w:r>
          </w:p>
        </w:tc>
      </w:tr>
      <w:tr w:rsidR="00E80E77" w:rsidRPr="00761840" w14:paraId="65813D68"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6E4219B" w14:textId="77777777" w:rsidR="00E80E77" w:rsidRPr="0007146C" w:rsidRDefault="00E80E77" w:rsidP="00CF0623">
            <w:pPr>
              <w:rPr>
                <w:rFonts w:cs="Calibri"/>
                <w:color w:val="7030A0"/>
                <w:sz w:val="14"/>
                <w:szCs w:val="14"/>
              </w:rPr>
            </w:pPr>
          </w:p>
        </w:tc>
        <w:tc>
          <w:tcPr>
            <w:tcW w:w="4131" w:type="pct"/>
            <w:gridSpan w:val="10"/>
            <w:tcBorders>
              <w:top w:val="nil"/>
              <w:left w:val="single" w:sz="2" w:space="0" w:color="auto"/>
              <w:bottom w:val="nil"/>
              <w:right w:val="nil"/>
            </w:tcBorders>
          </w:tcPr>
          <w:p w14:paraId="18EA09A8" w14:textId="717C7C0F" w:rsidR="00E80E77" w:rsidRPr="0007146C" w:rsidRDefault="00E80E77" w:rsidP="00E80E77">
            <w:pPr>
              <w:spacing w:after="120"/>
              <w:jc w:val="both"/>
              <w:rPr>
                <w:color w:val="FF0000"/>
                <w:sz w:val="18"/>
                <w:szCs w:val="18"/>
              </w:rPr>
            </w:pPr>
            <w:r w:rsidRPr="0007146C">
              <w:rPr>
                <w:color w:val="FF0000"/>
                <w:sz w:val="18"/>
                <w:szCs w:val="18"/>
              </w:rPr>
              <w:t xml:space="preserve">ACT Government Borrowings held by ‘Burley Griffin Agency’ include debt securities and concessional loans payable.  </w:t>
            </w:r>
          </w:p>
        </w:tc>
      </w:tr>
      <w:tr w:rsidR="00E80E77" w:rsidRPr="00761840" w14:paraId="19439F9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AC17EC7" w14:textId="77777777" w:rsidR="00E80E77" w:rsidRPr="0007146C" w:rsidRDefault="00E80E77" w:rsidP="00CF0623">
            <w:pPr>
              <w:rPr>
                <w:rFonts w:cs="Calibri"/>
                <w:color w:val="7030A0"/>
                <w:sz w:val="14"/>
                <w:szCs w:val="14"/>
              </w:rPr>
            </w:pPr>
          </w:p>
        </w:tc>
        <w:tc>
          <w:tcPr>
            <w:tcW w:w="4131" w:type="pct"/>
            <w:gridSpan w:val="10"/>
            <w:tcBorders>
              <w:top w:val="nil"/>
              <w:left w:val="single" w:sz="2" w:space="0" w:color="auto"/>
              <w:bottom w:val="nil"/>
              <w:right w:val="nil"/>
            </w:tcBorders>
          </w:tcPr>
          <w:p w14:paraId="3C2958E2" w14:textId="4111BDD2" w:rsidR="00E80E77" w:rsidRPr="0007146C" w:rsidRDefault="00E80E77" w:rsidP="00E80E77">
            <w:pPr>
              <w:jc w:val="both"/>
              <w:rPr>
                <w:color w:val="FF0000"/>
                <w:sz w:val="18"/>
                <w:szCs w:val="18"/>
              </w:rPr>
            </w:pPr>
            <w:r w:rsidRPr="0007146C">
              <w:rPr>
                <w:rFonts w:cs="Calibri"/>
                <w:color w:val="FF0000"/>
                <w:sz w:val="18"/>
                <w:szCs w:val="18"/>
              </w:rPr>
              <w:t>Debt Securities</w:t>
            </w:r>
          </w:p>
        </w:tc>
      </w:tr>
      <w:tr w:rsidR="00E80E77" w:rsidRPr="00761840" w14:paraId="0CFC1B44"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E4533D0" w14:textId="77777777" w:rsidR="00E80E77" w:rsidRPr="0007146C" w:rsidRDefault="00E80E77" w:rsidP="00E80E77">
            <w:pPr>
              <w:rPr>
                <w:rFonts w:cs="Calibri"/>
                <w:color w:val="7030A0"/>
                <w:sz w:val="14"/>
                <w:szCs w:val="14"/>
              </w:rPr>
            </w:pPr>
          </w:p>
        </w:tc>
        <w:tc>
          <w:tcPr>
            <w:tcW w:w="4131" w:type="pct"/>
            <w:gridSpan w:val="10"/>
            <w:tcBorders>
              <w:top w:val="nil"/>
              <w:left w:val="single" w:sz="2" w:space="0" w:color="auto"/>
              <w:bottom w:val="nil"/>
              <w:right w:val="nil"/>
            </w:tcBorders>
          </w:tcPr>
          <w:p w14:paraId="7FE19AC9" w14:textId="0AED81D1" w:rsidR="00E80E77" w:rsidRPr="0007146C" w:rsidRDefault="00E80E77" w:rsidP="00160B1D">
            <w:pPr>
              <w:spacing w:after="120"/>
              <w:jc w:val="both"/>
              <w:rPr>
                <w:color w:val="FF0000"/>
                <w:sz w:val="18"/>
                <w:szCs w:val="18"/>
              </w:rPr>
            </w:pPr>
            <w:r w:rsidRPr="0007146C">
              <w:rPr>
                <w:rFonts w:cs="Calibri"/>
                <w:color w:val="FF0000"/>
                <w:sz w:val="18"/>
                <w:szCs w:val="18"/>
              </w:rPr>
              <w:t>Interest-bearing borrowing</w:t>
            </w:r>
            <w:r w:rsidR="00160B1D" w:rsidRPr="0007146C">
              <w:rPr>
                <w:rFonts w:cs="Calibri"/>
                <w:color w:val="FF0000"/>
                <w:sz w:val="18"/>
                <w:szCs w:val="18"/>
              </w:rPr>
              <w:t>s</w:t>
            </w:r>
            <w:r w:rsidRPr="0007146C">
              <w:rPr>
                <w:rFonts w:cs="Calibri"/>
                <w:color w:val="FF0000"/>
                <w:sz w:val="18"/>
                <w:szCs w:val="18"/>
              </w:rPr>
              <w:t xml:space="preserve"> comprise short and long-term debt securities issued by the Territory at the time of self-government.</w:t>
            </w:r>
          </w:p>
        </w:tc>
      </w:tr>
      <w:tr w:rsidR="00E80E77" w:rsidRPr="00761840" w14:paraId="36AB40A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2044313" w14:textId="77777777" w:rsidR="00E80E77" w:rsidRPr="0007146C" w:rsidRDefault="00E80E77" w:rsidP="00E80E77">
            <w:pPr>
              <w:rPr>
                <w:color w:val="FF0000"/>
                <w:sz w:val="14"/>
                <w:szCs w:val="14"/>
              </w:rPr>
            </w:pPr>
            <w:r w:rsidRPr="0007146C">
              <w:rPr>
                <w:color w:val="FF0000"/>
                <w:sz w:val="14"/>
                <w:szCs w:val="14"/>
              </w:rPr>
              <w:t xml:space="preserve">AASB 7.21, </w:t>
            </w:r>
          </w:p>
          <w:p w14:paraId="053DB06C" w14:textId="688DF5F5" w:rsidR="00E80E77" w:rsidRPr="0007146C" w:rsidRDefault="00E80E77" w:rsidP="00E80E77">
            <w:pPr>
              <w:rPr>
                <w:rFonts w:cs="Calibri"/>
                <w:color w:val="7030A0"/>
                <w:sz w:val="14"/>
                <w:szCs w:val="14"/>
              </w:rPr>
            </w:pPr>
            <w:r w:rsidRPr="0007146C">
              <w:rPr>
                <w:color w:val="FF0000"/>
                <w:sz w:val="14"/>
                <w:szCs w:val="14"/>
              </w:rPr>
              <w:t>AASB 123.6(a)</w:t>
            </w:r>
          </w:p>
        </w:tc>
        <w:tc>
          <w:tcPr>
            <w:tcW w:w="4131" w:type="pct"/>
            <w:gridSpan w:val="10"/>
            <w:tcBorders>
              <w:top w:val="nil"/>
              <w:left w:val="single" w:sz="2" w:space="0" w:color="auto"/>
              <w:bottom w:val="nil"/>
              <w:right w:val="nil"/>
            </w:tcBorders>
          </w:tcPr>
          <w:p w14:paraId="2AA5D363" w14:textId="1F8BFE41" w:rsidR="00E80E77" w:rsidRPr="0007146C" w:rsidRDefault="00E80E77" w:rsidP="00E80E77">
            <w:pPr>
              <w:jc w:val="both"/>
              <w:rPr>
                <w:rFonts w:cs="Calibri"/>
                <w:i/>
                <w:iCs/>
                <w:color w:val="FF0000"/>
                <w:sz w:val="18"/>
                <w:szCs w:val="18"/>
              </w:rPr>
            </w:pPr>
            <w:r w:rsidRPr="0007146C">
              <w:rPr>
                <w:rFonts w:cs="Calibri"/>
                <w:color w:val="FF0000"/>
                <w:sz w:val="18"/>
                <w:szCs w:val="18"/>
              </w:rPr>
              <w:t>ACT Government debt securities are financial liabilities and are measured at the fair value of the consideration received when initially recognised and at amortised cost subsequent to initial recognition, with any adjustments to the carrying amount being recorded in the Operating Statement. The associated interest expense is recognised in the reporting period in which it occurs.</w:t>
            </w:r>
          </w:p>
        </w:tc>
      </w:tr>
      <w:tr w:rsidR="00E80E77" w:rsidRPr="00761840" w14:paraId="084298EE"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19BA49B" w14:textId="77777777" w:rsidR="00E80E77" w:rsidRPr="0007146C" w:rsidRDefault="00E80E77" w:rsidP="00E80E77">
            <w:pPr>
              <w:rPr>
                <w:rFonts w:cs="Calibri"/>
                <w:color w:val="7030A0"/>
                <w:sz w:val="14"/>
                <w:szCs w:val="14"/>
              </w:rPr>
            </w:pPr>
          </w:p>
        </w:tc>
        <w:tc>
          <w:tcPr>
            <w:tcW w:w="4131" w:type="pct"/>
            <w:gridSpan w:val="10"/>
            <w:tcBorders>
              <w:top w:val="nil"/>
              <w:left w:val="single" w:sz="2" w:space="0" w:color="auto"/>
              <w:bottom w:val="nil"/>
              <w:right w:val="nil"/>
            </w:tcBorders>
          </w:tcPr>
          <w:p w14:paraId="3B06A05B" w14:textId="019A37F7" w:rsidR="00E80E77" w:rsidRPr="0007146C" w:rsidRDefault="00E80E77" w:rsidP="00E80E77">
            <w:pPr>
              <w:spacing w:before="120"/>
              <w:jc w:val="both"/>
              <w:rPr>
                <w:rFonts w:cs="Calibri"/>
                <w:sz w:val="18"/>
                <w:szCs w:val="18"/>
              </w:rPr>
            </w:pPr>
            <w:r w:rsidRPr="0007146C">
              <w:rPr>
                <w:color w:val="FF0000"/>
                <w:sz w:val="18"/>
                <w:szCs w:val="18"/>
              </w:rPr>
              <w:t>Concessional Loans Payable</w:t>
            </w:r>
          </w:p>
        </w:tc>
      </w:tr>
      <w:tr w:rsidR="00E80E77" w:rsidRPr="00761840" w14:paraId="7408B327"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A4F1487" w14:textId="77777777" w:rsidR="00E80E77" w:rsidRPr="0007146C" w:rsidRDefault="00E80E77" w:rsidP="00E80E77">
            <w:pPr>
              <w:rPr>
                <w:rFonts w:cs="Calibri"/>
                <w:color w:val="7030A0"/>
                <w:sz w:val="14"/>
                <w:szCs w:val="14"/>
              </w:rPr>
            </w:pPr>
          </w:p>
        </w:tc>
        <w:tc>
          <w:tcPr>
            <w:tcW w:w="4131" w:type="pct"/>
            <w:gridSpan w:val="10"/>
            <w:tcBorders>
              <w:top w:val="nil"/>
              <w:left w:val="single" w:sz="2" w:space="0" w:color="auto"/>
              <w:bottom w:val="nil"/>
              <w:right w:val="nil"/>
            </w:tcBorders>
          </w:tcPr>
          <w:p w14:paraId="06D3524B" w14:textId="281D951F" w:rsidR="00E80E77" w:rsidRPr="0007146C" w:rsidRDefault="00E80E77" w:rsidP="00E80E77">
            <w:pPr>
              <w:jc w:val="both"/>
              <w:rPr>
                <w:rFonts w:cs="Calibri"/>
                <w:sz w:val="18"/>
                <w:szCs w:val="18"/>
              </w:rPr>
            </w:pPr>
            <w:r w:rsidRPr="0007146C">
              <w:rPr>
                <w:color w:val="FF0000"/>
                <w:sz w:val="18"/>
                <w:szCs w:val="18"/>
              </w:rPr>
              <w:t>On 1 July 2022 ‘Burley Griffin Agency’ entered into a memorandum of understanding with the Environment, Planning and Sustainable Development Directorate for a Concessional Loan of $xxx from the Zero Emissions Government Fund. The purpose of the concessional loan was for the installation of solar photovoltaic pv panels, battery storage, generator back-up systems and upgrading to LED lights at all the buildings owned by ‘Burley Griffin Agency’. The concessional loan is interest free and if ‘Burley Griffin Agency’ sourced these borrowings in the market then it would pay an interest rate of x.xx%.</w:t>
            </w:r>
          </w:p>
        </w:tc>
      </w:tr>
      <w:tr w:rsidR="00E80E77" w:rsidRPr="00761840" w14:paraId="0C73E157"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A34D10D" w14:textId="77777777" w:rsidR="00E80E77" w:rsidRPr="0007146C" w:rsidRDefault="00E80E77" w:rsidP="00E80E77">
            <w:pPr>
              <w:rPr>
                <w:rFonts w:cs="Calibri"/>
                <w:color w:val="7030A0"/>
                <w:sz w:val="14"/>
                <w:szCs w:val="14"/>
              </w:rPr>
            </w:pPr>
          </w:p>
        </w:tc>
        <w:tc>
          <w:tcPr>
            <w:tcW w:w="4131" w:type="pct"/>
            <w:gridSpan w:val="10"/>
            <w:tcBorders>
              <w:top w:val="nil"/>
              <w:left w:val="single" w:sz="2" w:space="0" w:color="auto"/>
              <w:bottom w:val="nil"/>
              <w:right w:val="nil"/>
            </w:tcBorders>
          </w:tcPr>
          <w:p w14:paraId="274490CD" w14:textId="2B9F02EB" w:rsidR="00E80E77" w:rsidRPr="0007146C" w:rsidRDefault="00E80E77" w:rsidP="005454E0">
            <w:pPr>
              <w:spacing w:before="60"/>
              <w:jc w:val="both"/>
              <w:rPr>
                <w:rFonts w:cs="Calibri"/>
                <w:sz w:val="18"/>
                <w:szCs w:val="18"/>
              </w:rPr>
            </w:pPr>
            <w:r w:rsidRPr="0007146C">
              <w:rPr>
                <w:rFonts w:cs="Calibri"/>
                <w:color w:val="FF0000"/>
                <w:sz w:val="18"/>
                <w:szCs w:val="18"/>
              </w:rPr>
              <w:t>The amount of the concessional loan will be repaid over the next 8 years so that the loan will be fully repaid by 30 June 2030. The repayment of the loan will be made in equal annual repayments. The loan is not repayable on demand.</w:t>
            </w:r>
          </w:p>
        </w:tc>
      </w:tr>
      <w:tr w:rsidR="00E80E77" w:rsidRPr="00761840" w14:paraId="54A590C4"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9FA7ECD" w14:textId="77777777" w:rsidR="00E80E77" w:rsidRPr="0007146C" w:rsidRDefault="00E80E77" w:rsidP="00E80E77">
            <w:pPr>
              <w:rPr>
                <w:rFonts w:cs="Calibri"/>
                <w:color w:val="7030A0"/>
                <w:sz w:val="14"/>
                <w:szCs w:val="14"/>
              </w:rPr>
            </w:pPr>
          </w:p>
        </w:tc>
        <w:tc>
          <w:tcPr>
            <w:tcW w:w="4131" w:type="pct"/>
            <w:gridSpan w:val="10"/>
            <w:tcBorders>
              <w:top w:val="nil"/>
              <w:left w:val="single" w:sz="2" w:space="0" w:color="auto"/>
              <w:bottom w:val="nil"/>
              <w:right w:val="nil"/>
            </w:tcBorders>
          </w:tcPr>
          <w:p w14:paraId="09DF3FF7" w14:textId="57E75C63" w:rsidR="00E80E77" w:rsidRPr="0007146C" w:rsidRDefault="00E80E77" w:rsidP="005454E0">
            <w:pPr>
              <w:spacing w:before="60"/>
              <w:jc w:val="both"/>
              <w:rPr>
                <w:rFonts w:cs="Calibri"/>
                <w:color w:val="FF0000"/>
                <w:sz w:val="18"/>
                <w:szCs w:val="18"/>
              </w:rPr>
            </w:pPr>
            <w:r w:rsidRPr="0007146C">
              <w:rPr>
                <w:rFonts w:cs="Calibri"/>
                <w:color w:val="FF0000"/>
                <w:sz w:val="18"/>
                <w:szCs w:val="18"/>
              </w:rPr>
              <w:t>Concessional loans payable are recognised when ‘Burley Griffin Agency’ become a party to the contract and, as a consequence, has a legal right to pay cash. This generally occurs once the concessional loan agreements are signed and the loan amount is provided to ‘Burley Griffin Agency’. As the loan agreement was finalised at the date the funds were provided, no loan commitment will be initially recognised.</w:t>
            </w:r>
          </w:p>
        </w:tc>
      </w:tr>
      <w:tr w:rsidR="004267A2" w:rsidRPr="00761840" w14:paraId="17095418"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BD843C0" w14:textId="77777777" w:rsidR="004267A2" w:rsidRPr="006E293E" w:rsidRDefault="004267A2" w:rsidP="004267A2">
            <w:pPr>
              <w:rPr>
                <w:rFonts w:cs="Calibri"/>
                <w:color w:val="7030A0"/>
                <w:sz w:val="14"/>
                <w:szCs w:val="14"/>
              </w:rPr>
            </w:pPr>
          </w:p>
        </w:tc>
        <w:tc>
          <w:tcPr>
            <w:tcW w:w="4131" w:type="pct"/>
            <w:gridSpan w:val="10"/>
            <w:tcBorders>
              <w:top w:val="nil"/>
              <w:left w:val="single" w:sz="2" w:space="0" w:color="auto"/>
              <w:bottom w:val="nil"/>
              <w:right w:val="nil"/>
            </w:tcBorders>
          </w:tcPr>
          <w:p w14:paraId="02ABE1FD" w14:textId="18ABA268" w:rsidR="004267A2" w:rsidRPr="0007146C" w:rsidRDefault="004267A2" w:rsidP="005454E0">
            <w:pPr>
              <w:spacing w:before="60"/>
              <w:jc w:val="both"/>
              <w:rPr>
                <w:rFonts w:cs="Calibri"/>
                <w:color w:val="FF0000"/>
                <w:sz w:val="18"/>
                <w:szCs w:val="18"/>
              </w:rPr>
            </w:pPr>
            <w:r w:rsidRPr="0007146C">
              <w:rPr>
                <w:rFonts w:cs="Calibri"/>
                <w:color w:val="FF0000"/>
                <w:sz w:val="18"/>
                <w:szCs w:val="18"/>
              </w:rPr>
              <w:t>Upon initial recognition the loan payable is measured at fair value plus transaction costs, with fair value being determined using a discounted cash flow analysis. Subsequent to initial recognition the loan payable is measured at amortised cost as it is held only to pay contractual cash flows and these cash flows are repayments of principal on specified dates.</w:t>
            </w:r>
          </w:p>
        </w:tc>
      </w:tr>
      <w:tr w:rsidR="004267A2" w:rsidRPr="00761840" w14:paraId="7D91FAEF"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CE60C58" w14:textId="77777777" w:rsidR="004267A2" w:rsidRPr="006E293E" w:rsidRDefault="004267A2" w:rsidP="004267A2">
            <w:pPr>
              <w:rPr>
                <w:rFonts w:cs="Calibri"/>
                <w:color w:val="7030A0"/>
                <w:sz w:val="14"/>
                <w:szCs w:val="14"/>
              </w:rPr>
            </w:pPr>
          </w:p>
        </w:tc>
        <w:tc>
          <w:tcPr>
            <w:tcW w:w="4131" w:type="pct"/>
            <w:gridSpan w:val="10"/>
            <w:tcBorders>
              <w:top w:val="nil"/>
              <w:left w:val="single" w:sz="2" w:space="0" w:color="auto"/>
              <w:bottom w:val="nil"/>
              <w:right w:val="nil"/>
            </w:tcBorders>
          </w:tcPr>
          <w:p w14:paraId="30746D4D" w14:textId="2BF0DCAF" w:rsidR="004267A2" w:rsidRPr="0007146C" w:rsidRDefault="004267A2" w:rsidP="004267A2">
            <w:pPr>
              <w:spacing w:before="120"/>
              <w:jc w:val="both"/>
              <w:rPr>
                <w:rFonts w:cs="Calibri"/>
                <w:i/>
                <w:iCs/>
                <w:color w:val="FF0000"/>
                <w:sz w:val="18"/>
                <w:szCs w:val="18"/>
              </w:rPr>
            </w:pPr>
            <w:r w:rsidRPr="0007146C">
              <w:rPr>
                <w:rFonts w:cs="Calibri"/>
                <w:i/>
                <w:iCs/>
                <w:strike/>
                <w:color w:val="FF0000"/>
                <w:sz w:val="18"/>
                <w:szCs w:val="18"/>
              </w:rPr>
              <w:t>ACT Government Borrowings and</w:t>
            </w:r>
            <w:r w:rsidRPr="0007146C">
              <w:rPr>
                <w:rFonts w:cs="Calibri"/>
                <w:i/>
                <w:iCs/>
                <w:color w:val="FF0000"/>
                <w:sz w:val="18"/>
                <w:szCs w:val="18"/>
              </w:rPr>
              <w:t xml:space="preserve"> </w:t>
            </w:r>
            <w:r w:rsidRPr="0007146C">
              <w:rPr>
                <w:rFonts w:cs="Calibri"/>
                <w:i/>
                <w:iCs/>
                <w:sz w:val="18"/>
                <w:szCs w:val="18"/>
              </w:rPr>
              <w:t>Commonwealth Government Borrowings</w:t>
            </w:r>
          </w:p>
        </w:tc>
      </w:tr>
      <w:tr w:rsidR="004267A2" w:rsidRPr="00761840" w14:paraId="2BA3739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DC68A79" w14:textId="77777777" w:rsidR="004267A2" w:rsidRPr="006E293E" w:rsidRDefault="004267A2" w:rsidP="004267A2">
            <w:pPr>
              <w:rPr>
                <w:rFonts w:cs="Calibri"/>
                <w:strike/>
                <w:color w:val="7030A0"/>
                <w:sz w:val="14"/>
                <w:szCs w:val="14"/>
              </w:rPr>
            </w:pPr>
          </w:p>
        </w:tc>
        <w:tc>
          <w:tcPr>
            <w:tcW w:w="4131" w:type="pct"/>
            <w:gridSpan w:val="10"/>
            <w:tcBorders>
              <w:top w:val="nil"/>
              <w:left w:val="single" w:sz="2" w:space="0" w:color="auto"/>
              <w:bottom w:val="nil"/>
              <w:right w:val="nil"/>
            </w:tcBorders>
          </w:tcPr>
          <w:p w14:paraId="54BB2C68" w14:textId="1AEA806B" w:rsidR="004267A2" w:rsidRPr="0007146C" w:rsidRDefault="004267A2" w:rsidP="004267A2">
            <w:pPr>
              <w:spacing w:after="120"/>
              <w:jc w:val="both"/>
              <w:rPr>
                <w:rFonts w:cs="Calibri"/>
                <w:sz w:val="18"/>
                <w:szCs w:val="18"/>
              </w:rPr>
            </w:pPr>
            <w:r w:rsidRPr="0007146C">
              <w:rPr>
                <w:rFonts w:cs="Calibri"/>
                <w:sz w:val="18"/>
                <w:szCs w:val="18"/>
              </w:rPr>
              <w:t xml:space="preserve">Interest-bearing borrowing liabilities comprise short and long-term </w:t>
            </w:r>
            <w:r w:rsidRPr="0007146C">
              <w:rPr>
                <w:rFonts w:cs="Calibri"/>
                <w:strike/>
                <w:color w:val="FF0000"/>
                <w:sz w:val="18"/>
                <w:szCs w:val="18"/>
              </w:rPr>
              <w:t>debt securities issued by the Territory and</w:t>
            </w:r>
            <w:r w:rsidRPr="0007146C">
              <w:rPr>
                <w:rFonts w:cs="Calibri"/>
                <w:color w:val="FF0000"/>
                <w:sz w:val="18"/>
                <w:szCs w:val="18"/>
              </w:rPr>
              <w:t xml:space="preserve"> </w:t>
            </w:r>
            <w:r w:rsidRPr="0007146C">
              <w:rPr>
                <w:rFonts w:cs="Calibri"/>
                <w:sz w:val="18"/>
                <w:szCs w:val="18"/>
              </w:rPr>
              <w:t>Commonwealth Government loans assigned by the Commonwealth at the time of self-government.</w:t>
            </w:r>
          </w:p>
        </w:tc>
      </w:tr>
      <w:tr w:rsidR="004267A2" w:rsidRPr="00761840" w14:paraId="73937F5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0616796" w14:textId="77777777" w:rsidR="004267A2" w:rsidRPr="006E293E" w:rsidRDefault="004267A2" w:rsidP="004267A2">
            <w:pPr>
              <w:rPr>
                <w:color w:val="7030A0"/>
                <w:sz w:val="14"/>
                <w:szCs w:val="14"/>
              </w:rPr>
            </w:pPr>
            <w:r w:rsidRPr="006E293E">
              <w:rPr>
                <w:color w:val="7030A0"/>
                <w:sz w:val="14"/>
                <w:szCs w:val="14"/>
              </w:rPr>
              <w:t xml:space="preserve">AASB 7.21, </w:t>
            </w:r>
          </w:p>
          <w:p w14:paraId="2A028293" w14:textId="724B5DFB" w:rsidR="004267A2" w:rsidRPr="006E293E" w:rsidRDefault="004267A2" w:rsidP="004267A2">
            <w:pPr>
              <w:rPr>
                <w:rFonts w:cs="Calibri"/>
                <w:color w:val="7030A0"/>
                <w:sz w:val="14"/>
                <w:szCs w:val="14"/>
              </w:rPr>
            </w:pPr>
            <w:r w:rsidRPr="006E293E">
              <w:rPr>
                <w:color w:val="7030A0"/>
                <w:sz w:val="14"/>
                <w:szCs w:val="14"/>
              </w:rPr>
              <w:t>AASB 123.6(a)</w:t>
            </w:r>
          </w:p>
        </w:tc>
        <w:tc>
          <w:tcPr>
            <w:tcW w:w="4131" w:type="pct"/>
            <w:gridSpan w:val="10"/>
            <w:tcBorders>
              <w:top w:val="nil"/>
              <w:left w:val="single" w:sz="2" w:space="0" w:color="auto"/>
              <w:bottom w:val="nil"/>
              <w:right w:val="nil"/>
            </w:tcBorders>
          </w:tcPr>
          <w:p w14:paraId="3D57FD0C" w14:textId="50C25497" w:rsidR="004267A2" w:rsidRPr="0007146C" w:rsidRDefault="004267A2" w:rsidP="004267A2">
            <w:pPr>
              <w:jc w:val="both"/>
              <w:rPr>
                <w:rFonts w:cs="Calibri"/>
                <w:sz w:val="18"/>
                <w:szCs w:val="18"/>
              </w:rPr>
            </w:pPr>
            <w:r w:rsidRPr="0007146C">
              <w:rPr>
                <w:rFonts w:cs="Calibri"/>
                <w:strike/>
                <w:color w:val="FF0000"/>
                <w:sz w:val="18"/>
                <w:szCs w:val="18"/>
              </w:rPr>
              <w:t>Both ACT Government and</w:t>
            </w:r>
            <w:r w:rsidRPr="0007146C">
              <w:rPr>
                <w:rFonts w:cs="Calibri"/>
                <w:color w:val="FF0000"/>
                <w:sz w:val="18"/>
                <w:szCs w:val="18"/>
              </w:rPr>
              <w:t xml:space="preserve"> </w:t>
            </w:r>
            <w:r w:rsidRPr="0007146C">
              <w:rPr>
                <w:rFonts w:cs="Calibri"/>
                <w:sz w:val="18"/>
                <w:szCs w:val="18"/>
              </w:rPr>
              <w:t>Commonwealth Government Borrowings are financial liabilities and are measured at the fair value of the consideration received when initially recognised and at amortised cost subsequent to initial recognition, with any adjustments to the carrying amount being recorded in the Operating Statement. The associated interest expense is recognised in the reporting period in which it occurs.</w:t>
            </w:r>
          </w:p>
        </w:tc>
      </w:tr>
      <w:tr w:rsidR="004267A2" w:rsidRPr="00761840" w14:paraId="23BFAE3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2F06BB81" w14:textId="058B62E5" w:rsidR="004267A2" w:rsidRPr="006E293E" w:rsidRDefault="004267A2" w:rsidP="004267A2">
            <w:pPr>
              <w:rPr>
                <w:rFonts w:cs="Calibri"/>
                <w:color w:val="7030A0"/>
                <w:sz w:val="14"/>
                <w:szCs w:val="14"/>
              </w:rPr>
            </w:pPr>
          </w:p>
        </w:tc>
        <w:tc>
          <w:tcPr>
            <w:tcW w:w="4131" w:type="pct"/>
            <w:gridSpan w:val="10"/>
            <w:tcBorders>
              <w:top w:val="nil"/>
              <w:left w:val="single" w:sz="2" w:space="0" w:color="auto"/>
              <w:bottom w:val="nil"/>
              <w:right w:val="nil"/>
            </w:tcBorders>
          </w:tcPr>
          <w:p w14:paraId="30540E91" w14:textId="08057DF8" w:rsidR="004267A2" w:rsidRPr="00761840" w:rsidRDefault="004267A2" w:rsidP="004267A2">
            <w:pPr>
              <w:spacing w:before="120"/>
              <w:jc w:val="both"/>
              <w:rPr>
                <w:rFonts w:cs="Calibri"/>
                <w:i/>
                <w:iCs/>
                <w:sz w:val="18"/>
                <w:szCs w:val="18"/>
              </w:rPr>
            </w:pPr>
            <w:r w:rsidRPr="00761840">
              <w:rPr>
                <w:rFonts w:cs="Calibri"/>
                <w:i/>
                <w:iCs/>
                <w:sz w:val="18"/>
                <w:szCs w:val="18"/>
              </w:rPr>
              <w:t>Service Concession Arrangement Liability</w:t>
            </w:r>
          </w:p>
        </w:tc>
      </w:tr>
      <w:tr w:rsidR="004267A2" w:rsidRPr="00761840" w14:paraId="4655E298"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503A6CFF" w14:textId="77777777" w:rsidR="004267A2" w:rsidRPr="006E293E" w:rsidRDefault="004267A2" w:rsidP="004267A2">
            <w:pPr>
              <w:rPr>
                <w:color w:val="7030A0"/>
                <w:sz w:val="14"/>
                <w:szCs w:val="14"/>
              </w:rPr>
            </w:pPr>
          </w:p>
        </w:tc>
        <w:tc>
          <w:tcPr>
            <w:tcW w:w="4131" w:type="pct"/>
            <w:gridSpan w:val="10"/>
            <w:tcBorders>
              <w:top w:val="nil"/>
              <w:left w:val="single" w:sz="2" w:space="0" w:color="auto"/>
              <w:bottom w:val="nil"/>
              <w:right w:val="nil"/>
            </w:tcBorders>
          </w:tcPr>
          <w:p w14:paraId="6C7457B6" w14:textId="1AB59FFB" w:rsidR="004267A2" w:rsidRPr="00761840" w:rsidRDefault="004267A2" w:rsidP="005454E0">
            <w:pPr>
              <w:jc w:val="both"/>
              <w:rPr>
                <w:sz w:val="18"/>
                <w:szCs w:val="18"/>
              </w:rPr>
            </w:pPr>
            <w:r w:rsidRPr="00761840">
              <w:rPr>
                <w:sz w:val="18"/>
                <w:szCs w:val="18"/>
              </w:rPr>
              <w:t>In 201</w:t>
            </w:r>
            <w:r>
              <w:rPr>
                <w:sz w:val="18"/>
                <w:szCs w:val="18"/>
              </w:rPr>
              <w:t>7</w:t>
            </w:r>
            <w:r w:rsidRPr="00761840">
              <w:rPr>
                <w:sz w:val="18"/>
                <w:szCs w:val="18"/>
              </w:rPr>
              <w:t xml:space="preserve"> ‘Burley Griffin Agency’ entered in</w:t>
            </w:r>
            <w:r w:rsidRPr="00CF0623">
              <w:rPr>
                <w:color w:val="FF0000"/>
                <w:sz w:val="18"/>
                <w:szCs w:val="18"/>
              </w:rPr>
              <w:t>to</w:t>
            </w:r>
            <w:r w:rsidRPr="00761840">
              <w:rPr>
                <w:sz w:val="18"/>
                <w:szCs w:val="18"/>
              </w:rPr>
              <w:t xml:space="preserve"> a service concession arrangement with ‘Example Metro’ to construct, deliver, maintain and operate light rail infrastructure assets, light rail plant and equipment, and light rail building assets over the term of the contract.</w:t>
            </w:r>
            <w:r>
              <w:rPr>
                <w:sz w:val="18"/>
                <w:szCs w:val="18"/>
              </w:rPr>
              <w:t xml:space="preserve"> </w:t>
            </w:r>
            <w:r w:rsidRPr="00761840">
              <w:rPr>
                <w:sz w:val="18"/>
                <w:szCs w:val="18"/>
              </w:rPr>
              <w:t>As part of these arrangements ‘Burley Griffin Agency’ has taken up a service concession arrangement liability.</w:t>
            </w:r>
            <w:r>
              <w:rPr>
                <w:sz w:val="18"/>
                <w:szCs w:val="18"/>
              </w:rPr>
              <w:t xml:space="preserve"> </w:t>
            </w:r>
            <w:r w:rsidRPr="00761840">
              <w:rPr>
                <w:sz w:val="18"/>
                <w:szCs w:val="18"/>
              </w:rPr>
              <w:t xml:space="preserve">For more information in relation to service concession arrangements refer to Note </w:t>
            </w:r>
            <w:r>
              <w:rPr>
                <w:sz w:val="18"/>
                <w:szCs w:val="18"/>
              </w:rPr>
              <w:t>39</w:t>
            </w:r>
            <w:r w:rsidRPr="00761840">
              <w:rPr>
                <w:sz w:val="18"/>
                <w:szCs w:val="18"/>
              </w:rPr>
              <w:t xml:space="preserve"> </w:t>
            </w:r>
            <w:r w:rsidRPr="00B823E0">
              <w:rPr>
                <w:i/>
                <w:iCs/>
                <w:sz w:val="18"/>
                <w:szCs w:val="18"/>
              </w:rPr>
              <w:t>Service Concession Arrangement</w:t>
            </w:r>
            <w:r>
              <w:rPr>
                <w:i/>
                <w:iCs/>
                <w:sz w:val="18"/>
                <w:szCs w:val="18"/>
              </w:rPr>
              <w:t>s</w:t>
            </w:r>
            <w:r w:rsidRPr="00761840">
              <w:rPr>
                <w:sz w:val="18"/>
                <w:szCs w:val="18"/>
              </w:rPr>
              <w:t>.</w:t>
            </w:r>
          </w:p>
        </w:tc>
      </w:tr>
      <w:tr w:rsidR="005454E0" w:rsidRPr="00761840" w14:paraId="2F3677F5"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6B134F72" w14:textId="1E187115" w:rsidR="005454E0" w:rsidRPr="006E293E" w:rsidRDefault="005454E0" w:rsidP="005454E0">
            <w:pPr>
              <w:spacing w:before="240" w:after="240"/>
              <w:rPr>
                <w:color w:val="7030A0"/>
                <w:sz w:val="14"/>
                <w:szCs w:val="14"/>
              </w:rPr>
            </w:pPr>
            <w:r w:rsidRPr="006E293E">
              <w:rPr>
                <w:rFonts w:cs="Calibri"/>
                <w:b/>
                <w:bCs/>
                <w:color w:val="7030A0"/>
                <w:szCs w:val="22"/>
              </w:rPr>
              <w:t>Reference</w:t>
            </w:r>
          </w:p>
        </w:tc>
        <w:tc>
          <w:tcPr>
            <w:tcW w:w="4131" w:type="pct"/>
            <w:gridSpan w:val="10"/>
            <w:tcBorders>
              <w:top w:val="nil"/>
              <w:left w:val="single" w:sz="2" w:space="0" w:color="auto"/>
              <w:bottom w:val="nil"/>
              <w:right w:val="nil"/>
            </w:tcBorders>
          </w:tcPr>
          <w:p w14:paraId="5EDBBEE0" w14:textId="2AB6F40B" w:rsidR="005454E0" w:rsidRPr="00761840" w:rsidRDefault="005454E0" w:rsidP="005454E0">
            <w:pPr>
              <w:spacing w:before="240" w:after="240"/>
              <w:jc w:val="both"/>
              <w:rPr>
                <w:sz w:val="18"/>
                <w:szCs w:val="18"/>
              </w:rPr>
            </w:pPr>
            <w:r w:rsidRPr="0043640D">
              <w:rPr>
                <w:rFonts w:ascii="Arial" w:hAnsi="Arial"/>
                <w:b/>
                <w:bCs/>
                <w:caps/>
                <w:sz w:val="32"/>
                <w:szCs w:val="24"/>
              </w:rPr>
              <w:t>Note 25.  Borrowings – Continued</w:t>
            </w:r>
            <w:r>
              <w:t xml:space="preserve"> </w:t>
            </w:r>
          </w:p>
        </w:tc>
      </w:tr>
      <w:tr w:rsidR="005454E0" w:rsidRPr="00761840" w14:paraId="5CC066F4"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253E2D0" w14:textId="32D6A85F" w:rsidR="005454E0" w:rsidRPr="006E293E" w:rsidRDefault="005454E0" w:rsidP="005454E0">
            <w:pPr>
              <w:rPr>
                <w:color w:val="7030A0"/>
                <w:sz w:val="14"/>
                <w:szCs w:val="14"/>
              </w:rPr>
            </w:pPr>
            <w:r w:rsidRPr="006E293E">
              <w:rPr>
                <w:color w:val="7030A0"/>
                <w:sz w:val="14"/>
                <w:szCs w:val="14"/>
              </w:rPr>
              <w:t>AASB 1059.11, 12 &amp; 15</w:t>
            </w:r>
          </w:p>
        </w:tc>
        <w:tc>
          <w:tcPr>
            <w:tcW w:w="4131" w:type="pct"/>
            <w:gridSpan w:val="10"/>
            <w:tcBorders>
              <w:top w:val="nil"/>
              <w:left w:val="single" w:sz="2" w:space="0" w:color="auto"/>
              <w:bottom w:val="nil"/>
              <w:right w:val="nil"/>
            </w:tcBorders>
          </w:tcPr>
          <w:p w14:paraId="6730F8A9" w14:textId="61205F63" w:rsidR="005454E0" w:rsidRPr="00761840" w:rsidRDefault="005454E0" w:rsidP="005454E0">
            <w:pPr>
              <w:spacing w:after="120"/>
              <w:jc w:val="both"/>
              <w:rPr>
                <w:rFonts w:cs="Calibri"/>
                <w:sz w:val="18"/>
                <w:szCs w:val="18"/>
              </w:rPr>
            </w:pPr>
            <w:r w:rsidRPr="00761840">
              <w:rPr>
                <w:sz w:val="18"/>
                <w:szCs w:val="18"/>
              </w:rPr>
              <w:t>A service concession liability is initially recognised as a financial liability where the grantor has a contractual obligation to make specified or determinable future payments to the operator for the construction, development, acquisition or upgrade of a service concession asset.</w:t>
            </w:r>
            <w:r>
              <w:rPr>
                <w:sz w:val="18"/>
                <w:szCs w:val="18"/>
              </w:rPr>
              <w:t xml:space="preserve"> </w:t>
            </w:r>
            <w:r w:rsidRPr="00761840">
              <w:rPr>
                <w:sz w:val="18"/>
                <w:szCs w:val="18"/>
              </w:rPr>
              <w:t>The service concession financial liability is recognised at the same time as recognising or reclassifying a service concession asset.</w:t>
            </w:r>
            <w:r>
              <w:rPr>
                <w:sz w:val="18"/>
                <w:szCs w:val="18"/>
              </w:rPr>
              <w:t xml:space="preserve"> </w:t>
            </w:r>
            <w:r w:rsidRPr="00761840">
              <w:rPr>
                <w:sz w:val="18"/>
                <w:szCs w:val="18"/>
              </w:rPr>
              <w:t>The service concession financial liability is initially measured at the same amount as the asset, adjusted for any other consideration exchanged between ‘Burley Griffin Agency’ and the operator.</w:t>
            </w:r>
          </w:p>
        </w:tc>
      </w:tr>
      <w:tr w:rsidR="005454E0" w:rsidRPr="00761840" w14:paraId="47DFE05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8BE4648" w14:textId="40D61FB0" w:rsidR="005454E0" w:rsidRPr="006E293E" w:rsidRDefault="005454E0" w:rsidP="005454E0">
            <w:pPr>
              <w:rPr>
                <w:color w:val="7030A0"/>
                <w:sz w:val="14"/>
                <w:szCs w:val="14"/>
              </w:rPr>
            </w:pPr>
            <w:r w:rsidRPr="006E293E">
              <w:rPr>
                <w:color w:val="7030A0"/>
                <w:sz w:val="14"/>
                <w:szCs w:val="14"/>
              </w:rPr>
              <w:t>AASB 1059.B73 &amp; B74</w:t>
            </w:r>
          </w:p>
        </w:tc>
        <w:tc>
          <w:tcPr>
            <w:tcW w:w="4131" w:type="pct"/>
            <w:gridSpan w:val="10"/>
            <w:tcBorders>
              <w:top w:val="nil"/>
              <w:left w:val="single" w:sz="2" w:space="0" w:color="auto"/>
              <w:bottom w:val="nil"/>
              <w:right w:val="nil"/>
            </w:tcBorders>
          </w:tcPr>
          <w:p w14:paraId="469B1E22" w14:textId="23CB91C2" w:rsidR="005454E0" w:rsidRPr="00761840" w:rsidRDefault="005454E0" w:rsidP="005454E0">
            <w:pPr>
              <w:spacing w:after="120"/>
              <w:jc w:val="both"/>
              <w:rPr>
                <w:sz w:val="18"/>
                <w:szCs w:val="18"/>
              </w:rPr>
            </w:pPr>
            <w:r w:rsidRPr="00761840">
              <w:rPr>
                <w:sz w:val="18"/>
                <w:szCs w:val="18"/>
              </w:rPr>
              <w:t>Where a service concession arrangement involves both payments to the operator and a grant of a right to the operator (Hybrid Arrangement), then ‘Burley Griffin Agency’ recognises both a financial liability and an unearned revenue liability.</w:t>
            </w:r>
            <w:r>
              <w:rPr>
                <w:sz w:val="18"/>
                <w:szCs w:val="18"/>
              </w:rPr>
              <w:t xml:space="preserve"> </w:t>
            </w:r>
            <w:r w:rsidRPr="00761840">
              <w:rPr>
                <w:sz w:val="18"/>
                <w:szCs w:val="18"/>
              </w:rPr>
              <w:t>The financial liability part is measured first, with the remainder of the total liability (i</w:t>
            </w:r>
            <w:r>
              <w:rPr>
                <w:sz w:val="18"/>
                <w:szCs w:val="18"/>
              </w:rPr>
              <w:t>.</w:t>
            </w:r>
            <w:r w:rsidRPr="00761840">
              <w:rPr>
                <w:sz w:val="18"/>
                <w:szCs w:val="18"/>
              </w:rPr>
              <w:t>e</w:t>
            </w:r>
            <w:r>
              <w:rPr>
                <w:sz w:val="18"/>
                <w:szCs w:val="18"/>
              </w:rPr>
              <w:t>.</w:t>
            </w:r>
            <w:r w:rsidRPr="00761840">
              <w:rPr>
                <w:sz w:val="18"/>
                <w:szCs w:val="18"/>
              </w:rPr>
              <w:t xml:space="preserve"> amount of the service concession asset) allocated to the unearned revenue liability.</w:t>
            </w:r>
            <w:r>
              <w:rPr>
                <w:sz w:val="18"/>
                <w:szCs w:val="18"/>
              </w:rPr>
              <w:t xml:space="preserve"> </w:t>
            </w:r>
            <w:r w:rsidRPr="00761840">
              <w:rPr>
                <w:sz w:val="18"/>
                <w:szCs w:val="18"/>
              </w:rPr>
              <w:t>The financial liability portion is calculated by discounting future payments using the contractually specified interest rate or otherwise a prevailing market rate for a similar instrument with a similar credit rating.</w:t>
            </w:r>
          </w:p>
        </w:tc>
      </w:tr>
      <w:tr w:rsidR="005454E0" w:rsidRPr="00761840" w14:paraId="183D1C1B"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52D7DFC" w14:textId="6CBFB971" w:rsidR="005454E0" w:rsidRPr="006E293E" w:rsidRDefault="005454E0" w:rsidP="005454E0">
            <w:pPr>
              <w:rPr>
                <w:color w:val="7030A0"/>
                <w:sz w:val="14"/>
                <w:szCs w:val="14"/>
              </w:rPr>
            </w:pPr>
            <w:r w:rsidRPr="006E293E">
              <w:rPr>
                <w:rFonts w:cs="Calibri"/>
                <w:color w:val="7030A0"/>
                <w:sz w:val="14"/>
                <w:szCs w:val="14"/>
              </w:rPr>
              <w:t>ACT Accounting Policy</w:t>
            </w:r>
          </w:p>
        </w:tc>
        <w:tc>
          <w:tcPr>
            <w:tcW w:w="4131" w:type="pct"/>
            <w:gridSpan w:val="10"/>
            <w:tcBorders>
              <w:top w:val="nil"/>
              <w:left w:val="single" w:sz="2" w:space="0" w:color="auto"/>
              <w:bottom w:val="nil"/>
              <w:right w:val="nil"/>
            </w:tcBorders>
          </w:tcPr>
          <w:p w14:paraId="2D4702A4" w14:textId="729AA074" w:rsidR="005454E0" w:rsidRPr="00761840" w:rsidRDefault="005454E0" w:rsidP="005454E0">
            <w:pPr>
              <w:spacing w:after="120"/>
              <w:jc w:val="both"/>
              <w:rPr>
                <w:sz w:val="18"/>
                <w:szCs w:val="18"/>
              </w:rPr>
            </w:pPr>
            <w:r w:rsidRPr="00761840">
              <w:rPr>
                <w:sz w:val="18"/>
                <w:szCs w:val="18"/>
              </w:rPr>
              <w:t>All borrowings of ‘Burley Griffin Agency’ are unsecured.</w:t>
            </w:r>
          </w:p>
        </w:tc>
      </w:tr>
      <w:tr w:rsidR="005454E0" w:rsidRPr="00761840" w14:paraId="31CEF05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381A3EEC"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61ECA957" w14:textId="77777777" w:rsidR="005454E0" w:rsidRPr="00761840" w:rsidRDefault="005454E0" w:rsidP="005454E0">
            <w:pPr>
              <w:rPr>
                <w:rFonts w:cs="Calibri"/>
                <w:b/>
                <w:bCs/>
                <w:sz w:val="18"/>
                <w:szCs w:val="18"/>
              </w:rPr>
            </w:pPr>
          </w:p>
        </w:tc>
        <w:tc>
          <w:tcPr>
            <w:tcW w:w="613" w:type="pct"/>
            <w:gridSpan w:val="3"/>
            <w:tcBorders>
              <w:top w:val="nil"/>
              <w:left w:val="nil"/>
              <w:bottom w:val="nil"/>
              <w:right w:val="nil"/>
            </w:tcBorders>
            <w:vAlign w:val="bottom"/>
          </w:tcPr>
          <w:p w14:paraId="22676DC2" w14:textId="68D163BC" w:rsidR="005454E0" w:rsidRDefault="005454E0" w:rsidP="005454E0">
            <w:pPr>
              <w:jc w:val="right"/>
              <w:rPr>
                <w:rFonts w:cs="Calibri"/>
                <w:b/>
                <w:bCs/>
                <w:sz w:val="18"/>
                <w:szCs w:val="18"/>
              </w:rPr>
            </w:pPr>
            <w:r w:rsidRPr="00761840">
              <w:rPr>
                <w:rFonts w:cs="Calibri"/>
                <w:b/>
                <w:bCs/>
                <w:sz w:val="18"/>
                <w:szCs w:val="18"/>
              </w:rPr>
              <w:t>202</w:t>
            </w:r>
            <w:r>
              <w:rPr>
                <w:rFonts w:cs="Calibri"/>
                <w:b/>
                <w:bCs/>
                <w:sz w:val="18"/>
                <w:szCs w:val="18"/>
              </w:rPr>
              <w:t xml:space="preserve">3     </w:t>
            </w:r>
          </w:p>
          <w:p w14:paraId="02143DD1" w14:textId="73CD3497" w:rsidR="005454E0" w:rsidRPr="00761840" w:rsidRDefault="005454E0" w:rsidP="005454E0">
            <w:pPr>
              <w:jc w:val="right"/>
              <w:rPr>
                <w:rFonts w:cs="Calibri"/>
                <w:b/>
                <w:bCs/>
                <w:sz w:val="18"/>
                <w:szCs w:val="18"/>
              </w:rPr>
            </w:pPr>
            <w:r w:rsidRPr="00761840">
              <w:rPr>
                <w:rFonts w:cs="Calibri"/>
                <w:b/>
                <w:bCs/>
                <w:sz w:val="18"/>
                <w:szCs w:val="18"/>
              </w:rPr>
              <w:t>$’000</w:t>
            </w:r>
          </w:p>
        </w:tc>
        <w:tc>
          <w:tcPr>
            <w:tcW w:w="690" w:type="pct"/>
            <w:gridSpan w:val="5"/>
            <w:tcBorders>
              <w:top w:val="nil"/>
              <w:left w:val="nil"/>
              <w:bottom w:val="nil"/>
              <w:right w:val="nil"/>
            </w:tcBorders>
            <w:vAlign w:val="bottom"/>
          </w:tcPr>
          <w:p w14:paraId="5D9430B9" w14:textId="4FC83479" w:rsidR="005454E0" w:rsidRPr="00761840" w:rsidRDefault="005454E0" w:rsidP="005454E0">
            <w:pPr>
              <w:jc w:val="right"/>
              <w:rPr>
                <w:rFonts w:cs="Calibri"/>
                <w:b/>
                <w:bCs/>
                <w:sz w:val="18"/>
                <w:szCs w:val="18"/>
              </w:rPr>
            </w:pPr>
            <w:r w:rsidRPr="00761840">
              <w:rPr>
                <w:rFonts w:cs="Calibri"/>
                <w:b/>
                <w:bCs/>
                <w:sz w:val="18"/>
                <w:szCs w:val="18"/>
              </w:rPr>
              <w:t>202</w:t>
            </w:r>
            <w:r>
              <w:rPr>
                <w:rFonts w:cs="Calibri"/>
                <w:b/>
                <w:bCs/>
                <w:sz w:val="18"/>
                <w:szCs w:val="18"/>
              </w:rPr>
              <w:t>2</w:t>
            </w:r>
          </w:p>
          <w:p w14:paraId="191E1316" w14:textId="77777777" w:rsidR="005454E0" w:rsidRPr="00761840" w:rsidRDefault="005454E0" w:rsidP="005454E0">
            <w:pPr>
              <w:jc w:val="right"/>
              <w:rPr>
                <w:rFonts w:cs="Calibri"/>
                <w:b/>
                <w:bCs/>
                <w:sz w:val="18"/>
                <w:szCs w:val="18"/>
              </w:rPr>
            </w:pPr>
            <w:r w:rsidRPr="00761840">
              <w:rPr>
                <w:rFonts w:cs="Calibri"/>
                <w:b/>
                <w:bCs/>
                <w:sz w:val="18"/>
                <w:szCs w:val="18"/>
              </w:rPr>
              <w:t>$’000</w:t>
            </w:r>
          </w:p>
        </w:tc>
      </w:tr>
      <w:tr w:rsidR="005454E0" w:rsidRPr="00761840" w14:paraId="4BB85BA4"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C559FE2" w14:textId="77777777" w:rsidR="005454E0" w:rsidRPr="006E293E" w:rsidRDefault="005454E0" w:rsidP="005454E0">
            <w:pPr>
              <w:rPr>
                <w:rFonts w:cs="Calibri"/>
                <w:color w:val="7030A0"/>
                <w:sz w:val="14"/>
                <w:szCs w:val="14"/>
              </w:rPr>
            </w:pPr>
            <w:r w:rsidRPr="006E293E">
              <w:rPr>
                <w:rFonts w:cs="Calibri"/>
                <w:color w:val="7030A0"/>
                <w:sz w:val="14"/>
                <w:szCs w:val="14"/>
              </w:rPr>
              <w:t>AASB101.77</w:t>
            </w:r>
          </w:p>
          <w:p w14:paraId="6AE7CA31" w14:textId="002E53E8" w:rsidR="005454E0" w:rsidRPr="006E293E" w:rsidRDefault="005454E0" w:rsidP="005454E0">
            <w:pPr>
              <w:rPr>
                <w:rFonts w:cs="Calibri"/>
                <w:color w:val="7030A0"/>
                <w:sz w:val="14"/>
                <w:szCs w:val="14"/>
              </w:rPr>
            </w:pPr>
            <w:r w:rsidRPr="006E293E">
              <w:rPr>
                <w:rFonts w:cs="Calibri"/>
                <w:color w:val="7030A0"/>
                <w:sz w:val="14"/>
                <w:szCs w:val="14"/>
              </w:rPr>
              <w:t>ACT Disclosure Policy</w:t>
            </w:r>
          </w:p>
        </w:tc>
        <w:tc>
          <w:tcPr>
            <w:tcW w:w="2829" w:type="pct"/>
            <w:gridSpan w:val="2"/>
            <w:tcBorders>
              <w:top w:val="nil"/>
              <w:left w:val="single" w:sz="2" w:space="0" w:color="auto"/>
              <w:bottom w:val="nil"/>
              <w:right w:val="nil"/>
            </w:tcBorders>
          </w:tcPr>
          <w:p w14:paraId="5944B2A9" w14:textId="335F8757" w:rsidR="005454E0" w:rsidRPr="00761840" w:rsidRDefault="005454E0" w:rsidP="005454E0">
            <w:pPr>
              <w:rPr>
                <w:rFonts w:cs="Calibri"/>
                <w:b/>
                <w:bCs/>
                <w:sz w:val="18"/>
                <w:szCs w:val="18"/>
              </w:rPr>
            </w:pPr>
            <w:r w:rsidRPr="00761840">
              <w:rPr>
                <w:rFonts w:cs="Calibri"/>
                <w:b/>
                <w:bCs/>
                <w:sz w:val="18"/>
                <w:szCs w:val="18"/>
              </w:rPr>
              <w:t xml:space="preserve">Current </w:t>
            </w:r>
            <w:bookmarkStart w:id="698" w:name="_Hlk90026792"/>
            <w:r w:rsidRPr="00761840">
              <w:rPr>
                <w:rFonts w:cs="Calibri"/>
                <w:b/>
                <w:bCs/>
                <w:sz w:val="18"/>
                <w:szCs w:val="18"/>
              </w:rPr>
              <w:t>Borrowings</w:t>
            </w:r>
            <w:bookmarkEnd w:id="698"/>
          </w:p>
        </w:tc>
        <w:tc>
          <w:tcPr>
            <w:tcW w:w="613" w:type="pct"/>
            <w:gridSpan w:val="3"/>
            <w:tcBorders>
              <w:top w:val="nil"/>
              <w:left w:val="nil"/>
              <w:bottom w:val="nil"/>
              <w:right w:val="nil"/>
            </w:tcBorders>
            <w:vAlign w:val="bottom"/>
          </w:tcPr>
          <w:p w14:paraId="3B86D6C9"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3EEAAB3F" w14:textId="77777777" w:rsidR="005454E0" w:rsidRPr="00761840" w:rsidRDefault="005454E0" w:rsidP="005454E0">
            <w:pPr>
              <w:rPr>
                <w:rFonts w:cs="Calibri"/>
                <w:sz w:val="18"/>
                <w:szCs w:val="18"/>
              </w:rPr>
            </w:pPr>
          </w:p>
        </w:tc>
      </w:tr>
      <w:tr w:rsidR="005454E0" w:rsidRPr="00761840" w14:paraId="7FC99A2F"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160EFB2A"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57C62B7C" w14:textId="71B8D0DF" w:rsidR="005454E0" w:rsidRPr="00761840" w:rsidRDefault="005454E0" w:rsidP="005454E0">
            <w:pPr>
              <w:rPr>
                <w:rFonts w:cs="Calibri"/>
                <w:sz w:val="18"/>
                <w:szCs w:val="18"/>
              </w:rPr>
            </w:pPr>
            <w:r w:rsidRPr="00761840">
              <w:rPr>
                <w:rFonts w:cs="Calibri"/>
                <w:sz w:val="18"/>
                <w:szCs w:val="18"/>
              </w:rPr>
              <w:t>ACT Government Borrowings</w:t>
            </w:r>
            <w:r w:rsidRPr="00761840">
              <w:rPr>
                <w:rFonts w:cs="Calibri"/>
                <w:sz w:val="18"/>
                <w:szCs w:val="18"/>
                <w:vertAlign w:val="superscript"/>
              </w:rPr>
              <w:t>a</w:t>
            </w:r>
          </w:p>
        </w:tc>
        <w:tc>
          <w:tcPr>
            <w:tcW w:w="613" w:type="pct"/>
            <w:gridSpan w:val="3"/>
            <w:tcBorders>
              <w:top w:val="nil"/>
              <w:left w:val="nil"/>
              <w:bottom w:val="nil"/>
              <w:right w:val="nil"/>
            </w:tcBorders>
            <w:vAlign w:val="bottom"/>
          </w:tcPr>
          <w:p w14:paraId="687F1AD9"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6F35D8C3" w14:textId="77777777" w:rsidR="005454E0" w:rsidRPr="00761840" w:rsidRDefault="005454E0" w:rsidP="005454E0">
            <w:pPr>
              <w:rPr>
                <w:rFonts w:cs="Calibri"/>
                <w:sz w:val="18"/>
                <w:szCs w:val="18"/>
              </w:rPr>
            </w:pPr>
          </w:p>
        </w:tc>
      </w:tr>
      <w:tr w:rsidR="005454E0" w:rsidRPr="00761840" w14:paraId="2B49BF4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044AC058"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42C1B02F" w14:textId="238E17E2" w:rsidR="005454E0" w:rsidRPr="00761840" w:rsidRDefault="005454E0" w:rsidP="005454E0">
            <w:pPr>
              <w:rPr>
                <w:rFonts w:cs="Calibri"/>
                <w:sz w:val="18"/>
                <w:szCs w:val="18"/>
              </w:rPr>
            </w:pPr>
            <w:r w:rsidRPr="00761840">
              <w:rPr>
                <w:rFonts w:cs="Calibri"/>
                <w:sz w:val="18"/>
                <w:szCs w:val="18"/>
              </w:rPr>
              <w:t>Commonwealth Borrowings</w:t>
            </w:r>
          </w:p>
        </w:tc>
        <w:tc>
          <w:tcPr>
            <w:tcW w:w="613" w:type="pct"/>
            <w:gridSpan w:val="3"/>
            <w:tcBorders>
              <w:top w:val="nil"/>
              <w:left w:val="nil"/>
              <w:bottom w:val="nil"/>
              <w:right w:val="nil"/>
            </w:tcBorders>
            <w:vAlign w:val="bottom"/>
          </w:tcPr>
          <w:p w14:paraId="1B90C81A"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1C595CCC" w14:textId="77777777" w:rsidR="005454E0" w:rsidRPr="00761840" w:rsidRDefault="005454E0" w:rsidP="005454E0">
            <w:pPr>
              <w:rPr>
                <w:rFonts w:cs="Calibri"/>
                <w:sz w:val="18"/>
                <w:szCs w:val="18"/>
              </w:rPr>
            </w:pPr>
          </w:p>
        </w:tc>
      </w:tr>
      <w:tr w:rsidR="005454E0" w:rsidRPr="00761840" w14:paraId="5A8F74E0"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6B4FFBC3"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767A4A38" w14:textId="428F2EB2" w:rsidR="005454E0" w:rsidRPr="00761840" w:rsidRDefault="005454E0" w:rsidP="005454E0">
            <w:pPr>
              <w:rPr>
                <w:rFonts w:cs="Calibri"/>
                <w:b/>
                <w:bCs/>
                <w:sz w:val="18"/>
                <w:szCs w:val="18"/>
              </w:rPr>
            </w:pPr>
            <w:r w:rsidRPr="00761840">
              <w:rPr>
                <w:rFonts w:cs="Calibri"/>
                <w:sz w:val="18"/>
                <w:szCs w:val="18"/>
              </w:rPr>
              <w:t>Service Concession Arrangement Financial Liability</w:t>
            </w:r>
          </w:p>
        </w:tc>
        <w:tc>
          <w:tcPr>
            <w:tcW w:w="613" w:type="pct"/>
            <w:gridSpan w:val="3"/>
            <w:tcBorders>
              <w:top w:val="nil"/>
              <w:left w:val="nil"/>
              <w:bottom w:val="nil"/>
              <w:right w:val="nil"/>
            </w:tcBorders>
            <w:vAlign w:val="bottom"/>
          </w:tcPr>
          <w:p w14:paraId="4C7E3337"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207F9BF9" w14:textId="77777777" w:rsidR="005454E0" w:rsidRPr="00761840" w:rsidRDefault="005454E0" w:rsidP="005454E0">
            <w:pPr>
              <w:rPr>
                <w:rFonts w:cs="Calibri"/>
                <w:sz w:val="18"/>
                <w:szCs w:val="18"/>
              </w:rPr>
            </w:pPr>
          </w:p>
        </w:tc>
      </w:tr>
      <w:tr w:rsidR="005454E0" w:rsidRPr="00761840" w14:paraId="6AB4F72C" w14:textId="77777777" w:rsidTr="00D43DDC">
        <w:trPr>
          <w:gridAfter w:val="1"/>
          <w:wAfter w:w="165" w:type="pct"/>
          <w:cantSplit/>
          <w:trHeight w:val="23"/>
        </w:trPr>
        <w:tc>
          <w:tcPr>
            <w:tcW w:w="704" w:type="pct"/>
            <w:tcBorders>
              <w:top w:val="nil"/>
              <w:left w:val="single" w:sz="2" w:space="0" w:color="auto"/>
              <w:bottom w:val="nil"/>
              <w:right w:val="single" w:sz="2" w:space="0" w:color="auto"/>
            </w:tcBorders>
          </w:tcPr>
          <w:p w14:paraId="48789D10"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562E4BB9" w14:textId="47EBBC6D" w:rsidR="005454E0" w:rsidRPr="00761840" w:rsidRDefault="005454E0" w:rsidP="005454E0">
            <w:pPr>
              <w:rPr>
                <w:rFonts w:cs="Calibri"/>
                <w:b/>
                <w:bCs/>
                <w:sz w:val="18"/>
                <w:szCs w:val="18"/>
              </w:rPr>
            </w:pPr>
            <w:r w:rsidRPr="00761840">
              <w:rPr>
                <w:rFonts w:cs="Calibri"/>
                <w:b/>
                <w:bCs/>
                <w:sz w:val="18"/>
                <w:szCs w:val="18"/>
              </w:rPr>
              <w:t>Total Current Borrowings</w:t>
            </w:r>
          </w:p>
        </w:tc>
        <w:tc>
          <w:tcPr>
            <w:tcW w:w="613" w:type="pct"/>
            <w:gridSpan w:val="3"/>
            <w:tcBorders>
              <w:top w:val="single" w:sz="2" w:space="0" w:color="auto"/>
              <w:left w:val="nil"/>
              <w:bottom w:val="single" w:sz="2" w:space="0" w:color="auto"/>
              <w:right w:val="nil"/>
            </w:tcBorders>
            <w:vAlign w:val="bottom"/>
          </w:tcPr>
          <w:p w14:paraId="491BDB0A" w14:textId="77777777" w:rsidR="005454E0" w:rsidRPr="00761840" w:rsidRDefault="005454E0" w:rsidP="005454E0">
            <w:pPr>
              <w:rPr>
                <w:rFonts w:cs="Calibri"/>
                <w:sz w:val="18"/>
                <w:szCs w:val="18"/>
              </w:rPr>
            </w:pPr>
          </w:p>
        </w:tc>
        <w:tc>
          <w:tcPr>
            <w:tcW w:w="690" w:type="pct"/>
            <w:gridSpan w:val="5"/>
            <w:tcBorders>
              <w:top w:val="single" w:sz="2" w:space="0" w:color="auto"/>
              <w:left w:val="nil"/>
              <w:bottom w:val="single" w:sz="2" w:space="0" w:color="auto"/>
              <w:right w:val="nil"/>
            </w:tcBorders>
            <w:vAlign w:val="bottom"/>
          </w:tcPr>
          <w:p w14:paraId="4CAED883" w14:textId="77777777" w:rsidR="005454E0" w:rsidRPr="00761840" w:rsidRDefault="005454E0" w:rsidP="005454E0">
            <w:pPr>
              <w:rPr>
                <w:rFonts w:cs="Calibri"/>
                <w:sz w:val="18"/>
                <w:szCs w:val="18"/>
              </w:rPr>
            </w:pPr>
          </w:p>
        </w:tc>
      </w:tr>
      <w:tr w:rsidR="005454E0" w:rsidRPr="00761840" w14:paraId="6D98D761"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7492758B"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31B44D75" w14:textId="77777777" w:rsidR="005454E0" w:rsidRPr="00761840" w:rsidRDefault="005454E0" w:rsidP="005454E0">
            <w:pPr>
              <w:rPr>
                <w:rFonts w:cs="Calibri"/>
                <w:b/>
                <w:bCs/>
                <w:sz w:val="18"/>
                <w:szCs w:val="18"/>
              </w:rPr>
            </w:pPr>
          </w:p>
        </w:tc>
        <w:tc>
          <w:tcPr>
            <w:tcW w:w="613" w:type="pct"/>
            <w:gridSpan w:val="3"/>
            <w:tcBorders>
              <w:top w:val="nil"/>
              <w:left w:val="nil"/>
              <w:bottom w:val="nil"/>
              <w:right w:val="nil"/>
            </w:tcBorders>
            <w:vAlign w:val="bottom"/>
          </w:tcPr>
          <w:p w14:paraId="0CFF5D51" w14:textId="393AF89A" w:rsidR="005454E0" w:rsidRPr="00761840" w:rsidRDefault="005454E0" w:rsidP="005454E0">
            <w:pPr>
              <w:jc w:val="right"/>
              <w:rPr>
                <w:rFonts w:cs="Calibri"/>
                <w:b/>
                <w:bCs/>
                <w:sz w:val="18"/>
                <w:szCs w:val="18"/>
              </w:rPr>
            </w:pPr>
          </w:p>
        </w:tc>
        <w:tc>
          <w:tcPr>
            <w:tcW w:w="690" w:type="pct"/>
            <w:gridSpan w:val="5"/>
            <w:tcBorders>
              <w:top w:val="nil"/>
              <w:left w:val="nil"/>
              <w:bottom w:val="nil"/>
              <w:right w:val="nil"/>
            </w:tcBorders>
            <w:vAlign w:val="bottom"/>
          </w:tcPr>
          <w:p w14:paraId="45191073" w14:textId="51EAD6B0" w:rsidR="005454E0" w:rsidRPr="00761840" w:rsidRDefault="005454E0" w:rsidP="005454E0">
            <w:pPr>
              <w:jc w:val="right"/>
              <w:rPr>
                <w:rFonts w:cs="Calibri"/>
                <w:b/>
                <w:bCs/>
                <w:sz w:val="18"/>
                <w:szCs w:val="18"/>
              </w:rPr>
            </w:pPr>
          </w:p>
        </w:tc>
      </w:tr>
      <w:tr w:rsidR="005454E0" w:rsidRPr="00761840" w14:paraId="2689B65B"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783DB532" w14:textId="77777777" w:rsidR="005454E0" w:rsidRPr="006E293E" w:rsidRDefault="005454E0" w:rsidP="005454E0">
            <w:pPr>
              <w:rPr>
                <w:rFonts w:cs="Calibri"/>
                <w:color w:val="7030A0"/>
                <w:sz w:val="14"/>
                <w:szCs w:val="14"/>
              </w:rPr>
            </w:pPr>
            <w:r w:rsidRPr="006E293E">
              <w:rPr>
                <w:rFonts w:cs="Calibri"/>
                <w:color w:val="7030A0"/>
                <w:sz w:val="14"/>
                <w:szCs w:val="14"/>
              </w:rPr>
              <w:t>AASB101.77</w:t>
            </w:r>
          </w:p>
          <w:p w14:paraId="74AD937C" w14:textId="509344B5" w:rsidR="005454E0" w:rsidRPr="006E293E" w:rsidRDefault="005454E0" w:rsidP="005454E0">
            <w:pPr>
              <w:rPr>
                <w:rFonts w:cs="Calibri"/>
                <w:strike/>
                <w:color w:val="7030A0"/>
                <w:sz w:val="14"/>
                <w:szCs w:val="14"/>
              </w:rPr>
            </w:pPr>
          </w:p>
        </w:tc>
        <w:tc>
          <w:tcPr>
            <w:tcW w:w="2829" w:type="pct"/>
            <w:gridSpan w:val="2"/>
            <w:tcBorders>
              <w:top w:val="nil"/>
              <w:left w:val="single" w:sz="2" w:space="0" w:color="auto"/>
              <w:bottom w:val="nil"/>
              <w:right w:val="nil"/>
            </w:tcBorders>
          </w:tcPr>
          <w:p w14:paraId="41FFF1C2" w14:textId="330E0828" w:rsidR="005454E0" w:rsidRPr="00761840" w:rsidRDefault="005454E0" w:rsidP="005454E0">
            <w:pPr>
              <w:rPr>
                <w:rFonts w:cs="Calibri"/>
                <w:b/>
                <w:bCs/>
                <w:sz w:val="18"/>
                <w:szCs w:val="18"/>
              </w:rPr>
            </w:pPr>
            <w:r w:rsidRPr="00761840">
              <w:rPr>
                <w:rFonts w:cs="Calibri"/>
                <w:b/>
                <w:bCs/>
                <w:sz w:val="18"/>
                <w:szCs w:val="18"/>
              </w:rPr>
              <w:t>Non-Current Borrowings</w:t>
            </w:r>
          </w:p>
        </w:tc>
        <w:tc>
          <w:tcPr>
            <w:tcW w:w="613" w:type="pct"/>
            <w:gridSpan w:val="3"/>
            <w:tcBorders>
              <w:top w:val="nil"/>
              <w:left w:val="nil"/>
              <w:bottom w:val="nil"/>
              <w:right w:val="nil"/>
            </w:tcBorders>
            <w:vAlign w:val="bottom"/>
          </w:tcPr>
          <w:p w14:paraId="12EA871B"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4A4DD24D" w14:textId="77777777" w:rsidR="005454E0" w:rsidRPr="00761840" w:rsidRDefault="005454E0" w:rsidP="005454E0">
            <w:pPr>
              <w:rPr>
                <w:rFonts w:cs="Calibri"/>
                <w:sz w:val="18"/>
                <w:szCs w:val="18"/>
              </w:rPr>
            </w:pPr>
          </w:p>
        </w:tc>
      </w:tr>
      <w:tr w:rsidR="005454E0" w:rsidRPr="00761840" w14:paraId="68EEBE4C"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B5926C7"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763144EE" w14:textId="6DC4AC6A" w:rsidR="005454E0" w:rsidRPr="00761840" w:rsidRDefault="005454E0" w:rsidP="005454E0">
            <w:pPr>
              <w:rPr>
                <w:rFonts w:cs="Calibri"/>
                <w:sz w:val="18"/>
                <w:szCs w:val="18"/>
              </w:rPr>
            </w:pPr>
            <w:r w:rsidRPr="00761840">
              <w:rPr>
                <w:rFonts w:cs="Calibri"/>
                <w:sz w:val="18"/>
                <w:szCs w:val="18"/>
              </w:rPr>
              <w:t>ACT Government Borrowings</w:t>
            </w:r>
            <w:r w:rsidRPr="00761840">
              <w:rPr>
                <w:rFonts w:cs="Calibri"/>
                <w:sz w:val="18"/>
                <w:szCs w:val="18"/>
                <w:vertAlign w:val="superscript"/>
              </w:rPr>
              <w:t>a</w:t>
            </w:r>
          </w:p>
        </w:tc>
        <w:tc>
          <w:tcPr>
            <w:tcW w:w="613" w:type="pct"/>
            <w:gridSpan w:val="3"/>
            <w:tcBorders>
              <w:top w:val="nil"/>
              <w:left w:val="nil"/>
              <w:bottom w:val="nil"/>
              <w:right w:val="nil"/>
            </w:tcBorders>
            <w:vAlign w:val="bottom"/>
          </w:tcPr>
          <w:p w14:paraId="5B2E57D8"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1BECDD33" w14:textId="77777777" w:rsidR="005454E0" w:rsidRPr="00761840" w:rsidRDefault="005454E0" w:rsidP="005454E0">
            <w:pPr>
              <w:rPr>
                <w:rFonts w:cs="Calibri"/>
                <w:sz w:val="18"/>
                <w:szCs w:val="18"/>
              </w:rPr>
            </w:pPr>
          </w:p>
        </w:tc>
      </w:tr>
      <w:tr w:rsidR="005454E0" w:rsidRPr="00761840" w14:paraId="0AD751D7"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EF21081"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376FF1AA" w14:textId="65E124E9" w:rsidR="005454E0" w:rsidRPr="00761840" w:rsidRDefault="005454E0" w:rsidP="005454E0">
            <w:pPr>
              <w:rPr>
                <w:rFonts w:cs="Calibri"/>
                <w:sz w:val="18"/>
                <w:szCs w:val="18"/>
              </w:rPr>
            </w:pPr>
            <w:r w:rsidRPr="00761840">
              <w:rPr>
                <w:rFonts w:cs="Calibri"/>
                <w:sz w:val="18"/>
                <w:szCs w:val="18"/>
              </w:rPr>
              <w:t>Commonwealth Borrowings</w:t>
            </w:r>
          </w:p>
        </w:tc>
        <w:tc>
          <w:tcPr>
            <w:tcW w:w="613" w:type="pct"/>
            <w:gridSpan w:val="3"/>
            <w:tcBorders>
              <w:top w:val="nil"/>
              <w:left w:val="nil"/>
              <w:bottom w:val="nil"/>
              <w:right w:val="nil"/>
            </w:tcBorders>
            <w:vAlign w:val="bottom"/>
          </w:tcPr>
          <w:p w14:paraId="5C96E790"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243E733B" w14:textId="77777777" w:rsidR="005454E0" w:rsidRPr="00761840" w:rsidRDefault="005454E0" w:rsidP="005454E0">
            <w:pPr>
              <w:rPr>
                <w:rFonts w:cs="Calibri"/>
                <w:sz w:val="18"/>
                <w:szCs w:val="18"/>
              </w:rPr>
            </w:pPr>
          </w:p>
        </w:tc>
      </w:tr>
      <w:tr w:rsidR="005454E0" w:rsidRPr="00761840" w14:paraId="3CD4A903"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1F5C84D5"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3B60A151" w14:textId="3C23C982" w:rsidR="005454E0" w:rsidRPr="00761840" w:rsidRDefault="005454E0" w:rsidP="005454E0">
            <w:pPr>
              <w:rPr>
                <w:rFonts w:cs="Calibri"/>
                <w:sz w:val="18"/>
                <w:szCs w:val="18"/>
              </w:rPr>
            </w:pPr>
            <w:r w:rsidRPr="00761840">
              <w:rPr>
                <w:rFonts w:cs="Calibri"/>
                <w:sz w:val="18"/>
                <w:szCs w:val="18"/>
              </w:rPr>
              <w:t>Service Concession Arrangement Financial Liability</w:t>
            </w:r>
          </w:p>
        </w:tc>
        <w:tc>
          <w:tcPr>
            <w:tcW w:w="613" w:type="pct"/>
            <w:gridSpan w:val="3"/>
            <w:tcBorders>
              <w:top w:val="nil"/>
              <w:left w:val="nil"/>
              <w:bottom w:val="nil"/>
              <w:right w:val="nil"/>
            </w:tcBorders>
            <w:vAlign w:val="bottom"/>
          </w:tcPr>
          <w:p w14:paraId="05197446" w14:textId="77777777" w:rsidR="005454E0" w:rsidRPr="00761840" w:rsidRDefault="005454E0" w:rsidP="005454E0">
            <w:pPr>
              <w:rPr>
                <w:rFonts w:cs="Calibri"/>
                <w:sz w:val="18"/>
                <w:szCs w:val="18"/>
              </w:rPr>
            </w:pPr>
          </w:p>
        </w:tc>
        <w:tc>
          <w:tcPr>
            <w:tcW w:w="690" w:type="pct"/>
            <w:gridSpan w:val="5"/>
            <w:tcBorders>
              <w:top w:val="nil"/>
              <w:left w:val="nil"/>
              <w:bottom w:val="nil"/>
              <w:right w:val="nil"/>
            </w:tcBorders>
            <w:vAlign w:val="bottom"/>
          </w:tcPr>
          <w:p w14:paraId="3C8E5EB9" w14:textId="77777777" w:rsidR="005454E0" w:rsidRPr="00761840" w:rsidRDefault="005454E0" w:rsidP="005454E0">
            <w:pPr>
              <w:rPr>
                <w:rFonts w:cs="Calibri"/>
                <w:sz w:val="18"/>
                <w:szCs w:val="18"/>
              </w:rPr>
            </w:pPr>
          </w:p>
        </w:tc>
      </w:tr>
      <w:tr w:rsidR="005454E0" w:rsidRPr="00761840" w14:paraId="104E0AB7"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58F29F17"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6ECE163C" w14:textId="293815B8" w:rsidR="005454E0" w:rsidRPr="00761840" w:rsidRDefault="005454E0" w:rsidP="005454E0">
            <w:pPr>
              <w:rPr>
                <w:rFonts w:cs="Calibri"/>
                <w:b/>
                <w:bCs/>
                <w:sz w:val="18"/>
                <w:szCs w:val="18"/>
              </w:rPr>
            </w:pPr>
            <w:r w:rsidRPr="00761840">
              <w:rPr>
                <w:rFonts w:cs="Calibri"/>
                <w:b/>
                <w:bCs/>
                <w:sz w:val="18"/>
                <w:szCs w:val="18"/>
              </w:rPr>
              <w:t>Total Non-Current Borrowings</w:t>
            </w:r>
          </w:p>
        </w:tc>
        <w:tc>
          <w:tcPr>
            <w:tcW w:w="613" w:type="pct"/>
            <w:gridSpan w:val="3"/>
            <w:tcBorders>
              <w:top w:val="single" w:sz="2" w:space="0" w:color="auto"/>
              <w:left w:val="nil"/>
              <w:bottom w:val="single" w:sz="2" w:space="0" w:color="auto"/>
              <w:right w:val="nil"/>
            </w:tcBorders>
            <w:vAlign w:val="bottom"/>
          </w:tcPr>
          <w:p w14:paraId="7337F6AD" w14:textId="77777777" w:rsidR="005454E0" w:rsidRPr="00761840" w:rsidRDefault="005454E0" w:rsidP="005454E0">
            <w:pPr>
              <w:rPr>
                <w:rFonts w:cs="Calibri"/>
                <w:sz w:val="18"/>
                <w:szCs w:val="18"/>
              </w:rPr>
            </w:pPr>
          </w:p>
        </w:tc>
        <w:tc>
          <w:tcPr>
            <w:tcW w:w="690" w:type="pct"/>
            <w:gridSpan w:val="5"/>
            <w:tcBorders>
              <w:top w:val="single" w:sz="2" w:space="0" w:color="auto"/>
              <w:left w:val="nil"/>
              <w:bottom w:val="single" w:sz="2" w:space="0" w:color="auto"/>
              <w:right w:val="nil"/>
            </w:tcBorders>
            <w:vAlign w:val="bottom"/>
          </w:tcPr>
          <w:p w14:paraId="44FF46DB" w14:textId="77777777" w:rsidR="005454E0" w:rsidRPr="00761840" w:rsidRDefault="005454E0" w:rsidP="005454E0">
            <w:pPr>
              <w:rPr>
                <w:rFonts w:cs="Calibri"/>
                <w:sz w:val="18"/>
                <w:szCs w:val="18"/>
              </w:rPr>
            </w:pPr>
          </w:p>
        </w:tc>
      </w:tr>
      <w:tr w:rsidR="005454E0" w:rsidRPr="00761840" w14:paraId="7CF61D3F"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18B15AC6"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66F42CFA" w14:textId="2DC60CBF" w:rsidR="005454E0" w:rsidRPr="00761840" w:rsidRDefault="005454E0" w:rsidP="005454E0">
            <w:pPr>
              <w:rPr>
                <w:rFonts w:cs="Calibri"/>
                <w:b/>
                <w:bCs/>
                <w:sz w:val="18"/>
                <w:szCs w:val="18"/>
              </w:rPr>
            </w:pPr>
            <w:r w:rsidRPr="00761840">
              <w:rPr>
                <w:rFonts w:cs="Calibri"/>
                <w:b/>
                <w:bCs/>
                <w:sz w:val="18"/>
                <w:szCs w:val="18"/>
              </w:rPr>
              <w:t>Total Borrowings</w:t>
            </w:r>
          </w:p>
        </w:tc>
        <w:tc>
          <w:tcPr>
            <w:tcW w:w="613" w:type="pct"/>
            <w:gridSpan w:val="3"/>
            <w:tcBorders>
              <w:top w:val="single" w:sz="2" w:space="0" w:color="auto"/>
              <w:left w:val="nil"/>
              <w:bottom w:val="double" w:sz="4" w:space="0" w:color="auto"/>
              <w:right w:val="nil"/>
            </w:tcBorders>
            <w:vAlign w:val="bottom"/>
          </w:tcPr>
          <w:p w14:paraId="406E64DD" w14:textId="77777777" w:rsidR="005454E0" w:rsidRPr="00761840" w:rsidRDefault="005454E0" w:rsidP="005454E0">
            <w:pPr>
              <w:rPr>
                <w:rFonts w:cs="Calibri"/>
                <w:sz w:val="18"/>
                <w:szCs w:val="18"/>
              </w:rPr>
            </w:pPr>
          </w:p>
        </w:tc>
        <w:tc>
          <w:tcPr>
            <w:tcW w:w="690" w:type="pct"/>
            <w:gridSpan w:val="5"/>
            <w:tcBorders>
              <w:top w:val="single" w:sz="2" w:space="0" w:color="auto"/>
              <w:left w:val="nil"/>
              <w:bottom w:val="double" w:sz="4" w:space="0" w:color="auto"/>
              <w:right w:val="nil"/>
            </w:tcBorders>
            <w:vAlign w:val="bottom"/>
          </w:tcPr>
          <w:p w14:paraId="6620374B" w14:textId="77777777" w:rsidR="005454E0" w:rsidRPr="00761840" w:rsidRDefault="005454E0" w:rsidP="005454E0">
            <w:pPr>
              <w:rPr>
                <w:rFonts w:cs="Calibri"/>
                <w:sz w:val="18"/>
                <w:szCs w:val="18"/>
              </w:rPr>
            </w:pPr>
          </w:p>
        </w:tc>
      </w:tr>
      <w:tr w:rsidR="005454E0" w:rsidRPr="00761840" w14:paraId="457F5BB4"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6C3F99A" w14:textId="77777777" w:rsidR="005454E0" w:rsidRPr="006E293E" w:rsidRDefault="005454E0" w:rsidP="005454E0">
            <w:pPr>
              <w:rPr>
                <w:rFonts w:cs="Calibri"/>
                <w:color w:val="7030A0"/>
                <w:sz w:val="14"/>
                <w:szCs w:val="14"/>
              </w:rPr>
            </w:pPr>
          </w:p>
        </w:tc>
        <w:tc>
          <w:tcPr>
            <w:tcW w:w="2829" w:type="pct"/>
            <w:gridSpan w:val="2"/>
            <w:tcBorders>
              <w:top w:val="nil"/>
              <w:left w:val="single" w:sz="2" w:space="0" w:color="auto"/>
              <w:bottom w:val="nil"/>
              <w:right w:val="nil"/>
            </w:tcBorders>
          </w:tcPr>
          <w:p w14:paraId="674B725E" w14:textId="77777777" w:rsidR="005454E0" w:rsidRPr="00761840" w:rsidRDefault="005454E0" w:rsidP="005454E0">
            <w:pPr>
              <w:rPr>
                <w:rFonts w:cs="Calibri"/>
                <w:b/>
                <w:bCs/>
                <w:sz w:val="18"/>
                <w:szCs w:val="18"/>
              </w:rPr>
            </w:pPr>
          </w:p>
        </w:tc>
        <w:tc>
          <w:tcPr>
            <w:tcW w:w="613" w:type="pct"/>
            <w:gridSpan w:val="3"/>
            <w:tcBorders>
              <w:top w:val="double" w:sz="4" w:space="0" w:color="auto"/>
              <w:left w:val="nil"/>
              <w:bottom w:val="nil"/>
              <w:right w:val="nil"/>
            </w:tcBorders>
            <w:vAlign w:val="bottom"/>
          </w:tcPr>
          <w:p w14:paraId="546F6FCA" w14:textId="77777777" w:rsidR="005454E0" w:rsidRPr="00761840" w:rsidRDefault="005454E0" w:rsidP="005454E0">
            <w:pPr>
              <w:rPr>
                <w:rFonts w:cs="Calibri"/>
                <w:sz w:val="18"/>
                <w:szCs w:val="18"/>
              </w:rPr>
            </w:pPr>
          </w:p>
        </w:tc>
        <w:tc>
          <w:tcPr>
            <w:tcW w:w="690" w:type="pct"/>
            <w:gridSpan w:val="5"/>
            <w:tcBorders>
              <w:top w:val="double" w:sz="4" w:space="0" w:color="auto"/>
              <w:left w:val="nil"/>
              <w:bottom w:val="nil"/>
              <w:right w:val="nil"/>
            </w:tcBorders>
            <w:vAlign w:val="bottom"/>
          </w:tcPr>
          <w:p w14:paraId="52208AF3" w14:textId="77777777" w:rsidR="005454E0" w:rsidRPr="00761840" w:rsidRDefault="005454E0" w:rsidP="005454E0">
            <w:pPr>
              <w:rPr>
                <w:rFonts w:cs="Calibri"/>
                <w:sz w:val="18"/>
                <w:szCs w:val="18"/>
              </w:rPr>
            </w:pPr>
          </w:p>
        </w:tc>
      </w:tr>
      <w:tr w:rsidR="005454E0" w:rsidRPr="00761840" w14:paraId="3471E92E"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A381CA2" w14:textId="77777777" w:rsidR="005454E0" w:rsidRPr="006E293E" w:rsidRDefault="005454E0" w:rsidP="005454E0">
            <w:pPr>
              <w:rPr>
                <w:rFonts w:cs="Calibri"/>
                <w:color w:val="7030A0"/>
                <w:sz w:val="18"/>
                <w:szCs w:val="18"/>
              </w:rPr>
            </w:pPr>
          </w:p>
        </w:tc>
        <w:tc>
          <w:tcPr>
            <w:tcW w:w="4131" w:type="pct"/>
            <w:gridSpan w:val="10"/>
            <w:tcBorders>
              <w:top w:val="nil"/>
              <w:left w:val="single" w:sz="2" w:space="0" w:color="auto"/>
              <w:bottom w:val="nil"/>
              <w:right w:val="nil"/>
            </w:tcBorders>
          </w:tcPr>
          <w:p w14:paraId="40DB344B" w14:textId="371C5A1B" w:rsidR="005454E0" w:rsidRPr="00761840" w:rsidRDefault="005454E0" w:rsidP="005454E0">
            <w:pPr>
              <w:pStyle w:val="ListParagraph"/>
              <w:numPr>
                <w:ilvl w:val="0"/>
                <w:numId w:val="53"/>
              </w:numPr>
              <w:ind w:left="363"/>
              <w:jc w:val="both"/>
              <w:rPr>
                <w:rFonts w:cs="Calibri"/>
                <w:sz w:val="18"/>
                <w:szCs w:val="18"/>
              </w:rPr>
            </w:pPr>
            <w:r w:rsidRPr="00761840">
              <w:rPr>
                <w:rFonts w:cs="Calibri"/>
                <w:sz w:val="18"/>
                <w:szCs w:val="18"/>
              </w:rPr>
              <w:t>The overall decrease in ACT Government borrowings of $xxx is due to a planned reduction in borrowings throughout 202</w:t>
            </w:r>
            <w:r>
              <w:rPr>
                <w:rFonts w:cs="Calibri"/>
                <w:sz w:val="18"/>
                <w:szCs w:val="18"/>
              </w:rPr>
              <w:t>2</w:t>
            </w:r>
            <w:r w:rsidRPr="00761840">
              <w:rPr>
                <w:rFonts w:cs="Calibri"/>
                <w:sz w:val="18"/>
                <w:szCs w:val="18"/>
              </w:rPr>
              <w:t>-2</w:t>
            </w:r>
            <w:r>
              <w:rPr>
                <w:rFonts w:cs="Calibri"/>
                <w:sz w:val="18"/>
                <w:szCs w:val="18"/>
              </w:rPr>
              <w:t>3</w:t>
            </w:r>
            <w:r w:rsidRPr="00761840">
              <w:rPr>
                <w:rFonts w:cs="Calibri"/>
                <w:sz w:val="18"/>
                <w:szCs w:val="18"/>
              </w:rPr>
              <w:t>.</w:t>
            </w:r>
          </w:p>
        </w:tc>
      </w:tr>
      <w:tr w:rsidR="005454E0" w:rsidRPr="00761840" w14:paraId="377341DB"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4E2DBD62" w14:textId="77777777" w:rsidR="005454E0" w:rsidRPr="006E293E" w:rsidRDefault="005454E0" w:rsidP="005454E0">
            <w:pPr>
              <w:rPr>
                <w:rFonts w:cs="Calibri"/>
                <w:color w:val="7030A0"/>
                <w:sz w:val="18"/>
                <w:szCs w:val="18"/>
              </w:rPr>
            </w:pPr>
          </w:p>
        </w:tc>
        <w:tc>
          <w:tcPr>
            <w:tcW w:w="4131" w:type="pct"/>
            <w:gridSpan w:val="10"/>
            <w:tcBorders>
              <w:top w:val="nil"/>
              <w:left w:val="single" w:sz="2" w:space="0" w:color="auto"/>
              <w:bottom w:val="nil"/>
              <w:right w:val="nil"/>
            </w:tcBorders>
          </w:tcPr>
          <w:p w14:paraId="4BC74A1E" w14:textId="77777777" w:rsidR="005454E0" w:rsidRPr="00CF0623" w:rsidRDefault="005454E0" w:rsidP="005454E0">
            <w:pPr>
              <w:jc w:val="both"/>
              <w:rPr>
                <w:rFonts w:cs="Calibri"/>
                <w:sz w:val="18"/>
                <w:szCs w:val="18"/>
              </w:rPr>
            </w:pPr>
          </w:p>
        </w:tc>
      </w:tr>
      <w:tr w:rsidR="005454E0" w:rsidRPr="00E464CB" w14:paraId="4CF998CA"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2DFA5CDA" w14:textId="77777777" w:rsidR="005454E0" w:rsidRPr="006E293E" w:rsidRDefault="005454E0" w:rsidP="005454E0">
            <w:pPr>
              <w:tabs>
                <w:tab w:val="left" w:pos="3306"/>
              </w:tabs>
              <w:spacing w:before="40"/>
              <w:rPr>
                <w:rFonts w:cs="Calibri"/>
                <w:color w:val="7030A0"/>
                <w:sz w:val="14"/>
                <w:szCs w:val="14"/>
              </w:rPr>
            </w:pPr>
          </w:p>
        </w:tc>
        <w:tc>
          <w:tcPr>
            <w:tcW w:w="4131" w:type="pct"/>
            <w:gridSpan w:val="10"/>
            <w:tcBorders>
              <w:top w:val="nil"/>
              <w:left w:val="single" w:sz="2" w:space="0" w:color="auto"/>
              <w:bottom w:val="nil"/>
              <w:right w:val="nil"/>
            </w:tcBorders>
            <w:vAlign w:val="bottom"/>
          </w:tcPr>
          <w:p w14:paraId="78C8DE00" w14:textId="524BF36A" w:rsidR="005454E0" w:rsidRPr="00761840" w:rsidRDefault="005454E0" w:rsidP="005454E0">
            <w:pPr>
              <w:jc w:val="both"/>
              <w:rPr>
                <w:rFonts w:eastAsia="Calibri" w:cs="Calibri"/>
                <w:sz w:val="18"/>
                <w:szCs w:val="18"/>
                <w:lang w:eastAsia="en-AU"/>
              </w:rPr>
            </w:pPr>
            <w:r w:rsidRPr="00761840">
              <w:rPr>
                <w:rFonts w:cs="Calibri"/>
                <w:b/>
                <w:bCs/>
                <w:sz w:val="18"/>
                <w:szCs w:val="18"/>
              </w:rPr>
              <w:t>Credit Facilities</w:t>
            </w:r>
          </w:p>
        </w:tc>
      </w:tr>
      <w:tr w:rsidR="005454E0" w:rsidRPr="00E464CB" w14:paraId="1F0E0AAF"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3D54FE57" w14:textId="77777777" w:rsidR="005454E0" w:rsidRPr="006E293E" w:rsidRDefault="005454E0" w:rsidP="005454E0">
            <w:pPr>
              <w:tabs>
                <w:tab w:val="left" w:pos="3306"/>
              </w:tabs>
              <w:spacing w:before="40"/>
              <w:rPr>
                <w:rFonts w:cs="Calibri"/>
                <w:color w:val="7030A0"/>
                <w:sz w:val="14"/>
                <w:szCs w:val="14"/>
              </w:rPr>
            </w:pPr>
            <w:r w:rsidRPr="006E293E">
              <w:rPr>
                <w:rFonts w:cs="Calibri"/>
                <w:color w:val="7030A0"/>
                <w:sz w:val="14"/>
                <w:szCs w:val="14"/>
              </w:rPr>
              <w:t>ACT Disclosure Policy</w:t>
            </w:r>
          </w:p>
        </w:tc>
        <w:tc>
          <w:tcPr>
            <w:tcW w:w="4131" w:type="pct"/>
            <w:gridSpan w:val="10"/>
            <w:tcBorders>
              <w:top w:val="nil"/>
              <w:left w:val="single" w:sz="2" w:space="0" w:color="auto"/>
              <w:bottom w:val="nil"/>
              <w:right w:val="nil"/>
            </w:tcBorders>
            <w:vAlign w:val="bottom"/>
          </w:tcPr>
          <w:p w14:paraId="00AE2CAC" w14:textId="77777777" w:rsidR="005454E0" w:rsidRPr="00761840" w:rsidRDefault="005454E0" w:rsidP="005454E0">
            <w:pPr>
              <w:spacing w:after="160" w:line="259" w:lineRule="auto"/>
              <w:jc w:val="both"/>
              <w:rPr>
                <w:rFonts w:eastAsia="Calibri" w:cs="Calibri"/>
                <w:sz w:val="18"/>
                <w:szCs w:val="18"/>
                <w:lang w:eastAsia="en-AU"/>
              </w:rPr>
            </w:pPr>
            <w:r w:rsidRPr="00761840">
              <w:rPr>
                <w:rFonts w:eastAsia="Calibri" w:cs="Calibri"/>
                <w:sz w:val="18"/>
                <w:szCs w:val="18"/>
                <w:lang w:eastAsia="en-AU"/>
              </w:rPr>
              <w:t>There are no formal credit facilities in place for the Agency with the Territory's appointed transactional bank. </w:t>
            </w:r>
          </w:p>
          <w:p w14:paraId="34F46687" w14:textId="47E81BEC" w:rsidR="005454E0" w:rsidRPr="00761840" w:rsidRDefault="005454E0" w:rsidP="005454E0">
            <w:pPr>
              <w:spacing w:after="240" w:line="259" w:lineRule="auto"/>
              <w:jc w:val="both"/>
              <w:rPr>
                <w:rFonts w:eastAsia="Calibri" w:cs="Calibri"/>
                <w:sz w:val="18"/>
                <w:szCs w:val="18"/>
                <w:lang w:eastAsia="en-AU"/>
              </w:rPr>
            </w:pPr>
            <w:r w:rsidRPr="00761840">
              <w:rPr>
                <w:rFonts w:eastAsia="Calibri" w:cs="Calibri"/>
                <w:sz w:val="18"/>
                <w:szCs w:val="18"/>
                <w:lang w:eastAsia="en-AU"/>
              </w:rPr>
              <w:t>If the Agency’s accounts go into overdraft throughout the year, the Agency is not charged interest as its bank accounts are set-off accounts as part of the Whole-of-Government Banking arrangements. However, the overdraft position is required to be rectified as soon as possible.</w:t>
            </w:r>
            <w:r>
              <w:rPr>
                <w:rFonts w:eastAsia="Calibri" w:cs="Calibri"/>
                <w:sz w:val="18"/>
                <w:szCs w:val="18"/>
                <w:lang w:eastAsia="en-AU"/>
              </w:rPr>
              <w:t xml:space="preserve"> </w:t>
            </w:r>
            <w:r w:rsidRPr="00761840">
              <w:rPr>
                <w:rFonts w:eastAsia="Calibri" w:cs="Calibri"/>
                <w:sz w:val="18"/>
                <w:szCs w:val="18"/>
              </w:rPr>
              <w:t>The Agency went into overdraft for a short period of time in November 202</w:t>
            </w:r>
            <w:r>
              <w:rPr>
                <w:rFonts w:eastAsia="Calibri" w:cs="Calibri"/>
                <w:sz w:val="18"/>
                <w:szCs w:val="18"/>
              </w:rPr>
              <w:t>2</w:t>
            </w:r>
            <w:r w:rsidRPr="00761840">
              <w:rPr>
                <w:rFonts w:eastAsia="Calibri" w:cs="Calibri"/>
                <w:sz w:val="18"/>
                <w:szCs w:val="18"/>
              </w:rPr>
              <w:t>, and rectified the situation immediately.</w:t>
            </w:r>
          </w:p>
        </w:tc>
      </w:tr>
      <w:tr w:rsidR="005454E0" w:rsidRPr="00E464CB" w14:paraId="4AE9C6C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trHeight w:val="283"/>
        </w:trPr>
        <w:tc>
          <w:tcPr>
            <w:tcW w:w="704" w:type="pct"/>
            <w:tcBorders>
              <w:left w:val="single" w:sz="2" w:space="0" w:color="auto"/>
              <w:right w:val="single" w:sz="2" w:space="0" w:color="auto"/>
            </w:tcBorders>
          </w:tcPr>
          <w:p w14:paraId="78BC9F0B" w14:textId="76991A23" w:rsidR="005454E0" w:rsidRPr="00B849FB" w:rsidRDefault="005454E0" w:rsidP="005454E0">
            <w:pPr>
              <w:tabs>
                <w:tab w:val="left" w:pos="3306"/>
              </w:tabs>
              <w:spacing w:before="240" w:after="240"/>
              <w:rPr>
                <w:rFonts w:cs="Calibri"/>
                <w:sz w:val="14"/>
                <w:szCs w:val="14"/>
              </w:rPr>
            </w:pPr>
          </w:p>
        </w:tc>
        <w:tc>
          <w:tcPr>
            <w:tcW w:w="4131" w:type="pct"/>
            <w:gridSpan w:val="10"/>
            <w:tcBorders>
              <w:left w:val="single" w:sz="2" w:space="0" w:color="auto"/>
            </w:tcBorders>
            <w:shd w:val="clear" w:color="auto" w:fill="7030A0"/>
          </w:tcPr>
          <w:p w14:paraId="772E6BC8" w14:textId="147051D9" w:rsidR="005454E0" w:rsidRPr="006E293E" w:rsidRDefault="005454E0" w:rsidP="005454E0">
            <w:pPr>
              <w:pageBreakBefore/>
              <w:spacing w:before="240" w:after="240"/>
              <w:rPr>
                <w:rFonts w:cs="Calibri"/>
                <w:b/>
                <w:bCs/>
                <w:color w:val="FFFFFF" w:themeColor="background1"/>
                <w:sz w:val="28"/>
                <w:szCs w:val="28"/>
              </w:rPr>
            </w:pPr>
            <w:r w:rsidRPr="006E293E">
              <w:rPr>
                <w:rFonts w:cs="Calibri"/>
                <w:b/>
                <w:bCs/>
                <w:color w:val="FFFFFF" w:themeColor="background1"/>
                <w:sz w:val="28"/>
                <w:szCs w:val="28"/>
              </w:rPr>
              <w:t xml:space="preserve">Commentary </w:t>
            </w:r>
            <w:r w:rsidRPr="006E293E">
              <w:rPr>
                <w:rFonts w:cs="Calibri"/>
                <w:b/>
                <w:bCs/>
                <w:color w:val="FFFFFF" w:themeColor="background1"/>
                <w:sz w:val="28"/>
                <w:szCs w:val="28"/>
              </w:rPr>
              <w:sym w:font="Symbol" w:char="F02D"/>
            </w:r>
            <w:r w:rsidRPr="006E293E">
              <w:rPr>
                <w:rFonts w:cs="Calibri"/>
                <w:b/>
                <w:bCs/>
                <w:color w:val="FFFFFF" w:themeColor="background1"/>
                <w:sz w:val="28"/>
                <w:szCs w:val="28"/>
              </w:rPr>
              <w:t xml:space="preserve"> Note 25: Borrowings</w:t>
            </w:r>
          </w:p>
        </w:tc>
      </w:tr>
      <w:tr w:rsidR="005454E0" w:rsidRPr="00E464CB" w14:paraId="22FB73F7"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6342EFE4" w14:textId="77777777" w:rsidR="005454E0" w:rsidRPr="00B849FB" w:rsidRDefault="005454E0" w:rsidP="005454E0">
            <w:pPr>
              <w:tabs>
                <w:tab w:val="left" w:pos="3306"/>
              </w:tabs>
              <w:spacing w:before="60"/>
              <w:rPr>
                <w:rFonts w:cs="Calibri"/>
                <w:sz w:val="14"/>
                <w:szCs w:val="14"/>
              </w:rPr>
            </w:pPr>
          </w:p>
        </w:tc>
        <w:tc>
          <w:tcPr>
            <w:tcW w:w="4131" w:type="pct"/>
            <w:gridSpan w:val="10"/>
            <w:tcBorders>
              <w:top w:val="nil"/>
              <w:left w:val="single" w:sz="2" w:space="0" w:color="auto"/>
              <w:bottom w:val="nil"/>
              <w:right w:val="nil"/>
            </w:tcBorders>
            <w:shd w:val="clear" w:color="auto" w:fill="7030A0"/>
          </w:tcPr>
          <w:p w14:paraId="19F9E60E" w14:textId="77FD6744" w:rsidR="005454E0" w:rsidRPr="00413D72" w:rsidRDefault="005454E0" w:rsidP="005454E0">
            <w:pPr>
              <w:tabs>
                <w:tab w:val="left" w:pos="3306"/>
              </w:tabs>
              <w:spacing w:after="40" w:line="259" w:lineRule="auto"/>
              <w:jc w:val="both"/>
              <w:rPr>
                <w:rFonts w:eastAsia="Calibri" w:cs="Calibri"/>
                <w:b/>
                <w:bCs/>
                <w:color w:val="FFFFFF" w:themeColor="background1"/>
                <w:sz w:val="20"/>
                <w:szCs w:val="20"/>
              </w:rPr>
            </w:pPr>
            <w:r w:rsidRPr="00413D72">
              <w:rPr>
                <w:b/>
                <w:bCs/>
                <w:color w:val="FFFFFF" w:themeColor="background1"/>
                <w:sz w:val="20"/>
                <w:szCs w:val="20"/>
              </w:rPr>
              <w:t xml:space="preserve">Credit Facilities </w:t>
            </w:r>
          </w:p>
        </w:tc>
      </w:tr>
      <w:tr w:rsidR="005454E0" w:rsidRPr="00E464CB" w14:paraId="68D0958D"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4CD5D3B" w14:textId="77777777" w:rsidR="005454E0" w:rsidRPr="00B849FB" w:rsidRDefault="005454E0" w:rsidP="005454E0">
            <w:pPr>
              <w:tabs>
                <w:tab w:val="left" w:pos="3306"/>
              </w:tabs>
              <w:spacing w:before="60"/>
              <w:rPr>
                <w:rFonts w:cs="Calibri"/>
                <w:sz w:val="14"/>
                <w:szCs w:val="14"/>
              </w:rPr>
            </w:pPr>
          </w:p>
        </w:tc>
        <w:tc>
          <w:tcPr>
            <w:tcW w:w="4131" w:type="pct"/>
            <w:gridSpan w:val="10"/>
            <w:tcBorders>
              <w:top w:val="nil"/>
              <w:left w:val="single" w:sz="2" w:space="0" w:color="auto"/>
              <w:bottom w:val="nil"/>
              <w:right w:val="nil"/>
            </w:tcBorders>
            <w:shd w:val="clear" w:color="auto" w:fill="7030A0"/>
          </w:tcPr>
          <w:p w14:paraId="557E4958" w14:textId="38CBF3AE" w:rsidR="005454E0" w:rsidRPr="006E293E" w:rsidRDefault="005454E0" w:rsidP="005454E0">
            <w:pPr>
              <w:tabs>
                <w:tab w:val="left" w:pos="3306"/>
              </w:tabs>
              <w:spacing w:after="120" w:line="259" w:lineRule="auto"/>
              <w:jc w:val="both"/>
              <w:rPr>
                <w:rFonts w:eastAsia="Calibri" w:cs="Calibri"/>
                <w:color w:val="FFFFFF" w:themeColor="background1"/>
                <w:sz w:val="18"/>
                <w:szCs w:val="18"/>
              </w:rPr>
            </w:pPr>
            <w:r w:rsidRPr="006E293E">
              <w:rPr>
                <w:color w:val="FFFFFF" w:themeColor="background1"/>
                <w:sz w:val="18"/>
                <w:szCs w:val="18"/>
              </w:rPr>
              <w:t>Agencies can have either set-off or non set-off bank accounts through the Territory Banking Account with Westpac as part of the Whole-of-Government Banking Arrangement.</w:t>
            </w:r>
            <w:r>
              <w:rPr>
                <w:color w:val="FFFFFF" w:themeColor="background1"/>
                <w:sz w:val="18"/>
                <w:szCs w:val="18"/>
              </w:rPr>
              <w:t xml:space="preserve"> </w:t>
            </w:r>
            <w:r w:rsidRPr="006E293E">
              <w:rPr>
                <w:color w:val="FFFFFF" w:themeColor="background1"/>
                <w:sz w:val="18"/>
                <w:szCs w:val="18"/>
              </w:rPr>
              <w:t>Agencies that have set-off bank accounts will not be charged interest where the bank account is overdrawn at any stage throughout the financial year. However, agencies that have non set-off bank accounts will be charged interest where the bank account is overdrawn.</w:t>
            </w:r>
            <w:r>
              <w:rPr>
                <w:color w:val="FFFFFF" w:themeColor="background1"/>
                <w:sz w:val="18"/>
                <w:szCs w:val="18"/>
              </w:rPr>
              <w:t xml:space="preserve"> </w:t>
            </w:r>
            <w:r w:rsidRPr="006E293E">
              <w:rPr>
                <w:color w:val="FFFFFF" w:themeColor="background1"/>
                <w:sz w:val="18"/>
                <w:szCs w:val="18"/>
              </w:rPr>
              <w:t xml:space="preserve">Interest paid on overdrawn non set-off bank accounts should be recorded as interest expense in Note 13 </w:t>
            </w:r>
            <w:r w:rsidRPr="006E293E">
              <w:rPr>
                <w:i/>
                <w:iCs/>
                <w:color w:val="FFFFFF" w:themeColor="background1"/>
                <w:sz w:val="18"/>
                <w:szCs w:val="18"/>
              </w:rPr>
              <w:t>Borrowing Costs</w:t>
            </w:r>
            <w:r w:rsidRPr="006E293E">
              <w:rPr>
                <w:color w:val="FFFFFF" w:themeColor="background1"/>
                <w:sz w:val="18"/>
                <w:szCs w:val="18"/>
              </w:rPr>
              <w:t>.</w:t>
            </w:r>
            <w:r>
              <w:rPr>
                <w:color w:val="FFFFFF" w:themeColor="background1"/>
                <w:sz w:val="18"/>
                <w:szCs w:val="18"/>
              </w:rPr>
              <w:t xml:space="preserve"> </w:t>
            </w:r>
          </w:p>
        </w:tc>
      </w:tr>
      <w:tr w:rsidR="005454E0" w:rsidRPr="00E464CB" w14:paraId="7726D457"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04A38D75" w14:textId="77777777" w:rsidR="005454E0" w:rsidRPr="00B849FB" w:rsidRDefault="005454E0" w:rsidP="005454E0">
            <w:pPr>
              <w:tabs>
                <w:tab w:val="left" w:pos="3306"/>
              </w:tabs>
              <w:spacing w:before="60"/>
              <w:rPr>
                <w:rFonts w:cs="Calibri"/>
                <w:sz w:val="14"/>
                <w:szCs w:val="14"/>
              </w:rPr>
            </w:pPr>
            <w:r w:rsidRPr="00A41D42">
              <w:rPr>
                <w:rFonts w:cs="Calibri"/>
                <w:color w:val="7030A0"/>
                <w:sz w:val="14"/>
                <w:szCs w:val="14"/>
              </w:rPr>
              <w:t>FMA Sec 34B(2)</w:t>
            </w:r>
          </w:p>
        </w:tc>
        <w:tc>
          <w:tcPr>
            <w:tcW w:w="4131" w:type="pct"/>
            <w:gridSpan w:val="10"/>
            <w:tcBorders>
              <w:top w:val="nil"/>
              <w:left w:val="single" w:sz="2" w:space="0" w:color="auto"/>
              <w:bottom w:val="nil"/>
              <w:right w:val="nil"/>
            </w:tcBorders>
            <w:shd w:val="clear" w:color="auto" w:fill="7030A0"/>
            <w:vAlign w:val="bottom"/>
          </w:tcPr>
          <w:p w14:paraId="09896651" w14:textId="333DB2AF" w:rsidR="005454E0" w:rsidRPr="006E293E" w:rsidRDefault="005454E0" w:rsidP="005454E0">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It is important to note that Directors-General of agencies manage the balance of the Controlled bank account.</w:t>
            </w:r>
            <w:r>
              <w:rPr>
                <w:rFonts w:eastAsia="Calibri" w:cs="Calibri"/>
                <w:color w:val="FFFFFF" w:themeColor="background1"/>
                <w:sz w:val="18"/>
                <w:szCs w:val="18"/>
              </w:rPr>
              <w:t xml:space="preserve"> </w:t>
            </w:r>
            <w:r w:rsidRPr="006E293E">
              <w:rPr>
                <w:rFonts w:eastAsia="Calibri" w:cs="Calibri"/>
                <w:color w:val="FFFFFF" w:themeColor="background1"/>
                <w:sz w:val="18"/>
                <w:szCs w:val="18"/>
              </w:rPr>
              <w:t>If at the end of the year the closing balance is negative, the Director-General of that agency will be required to implement a debt reduction strategy, as soon as possible.</w:t>
            </w:r>
          </w:p>
        </w:tc>
      </w:tr>
      <w:tr w:rsidR="005454E0" w:rsidRPr="00E464CB" w14:paraId="6BE5A52D" w14:textId="77777777" w:rsidTr="00D43DDC">
        <w:trPr>
          <w:gridAfter w:val="1"/>
          <w:wAfter w:w="165" w:type="pct"/>
          <w:trHeight w:val="23"/>
        </w:trPr>
        <w:tc>
          <w:tcPr>
            <w:tcW w:w="704" w:type="pct"/>
            <w:tcBorders>
              <w:top w:val="nil"/>
              <w:left w:val="single" w:sz="2" w:space="0" w:color="auto"/>
              <w:bottom w:val="nil"/>
              <w:right w:val="single" w:sz="2" w:space="0" w:color="auto"/>
            </w:tcBorders>
          </w:tcPr>
          <w:p w14:paraId="7422E338" w14:textId="77777777" w:rsidR="005454E0" w:rsidRPr="00E464CB" w:rsidRDefault="005454E0" w:rsidP="005454E0">
            <w:pPr>
              <w:tabs>
                <w:tab w:val="left" w:pos="3306"/>
              </w:tabs>
              <w:rPr>
                <w:rFonts w:cs="Calibri"/>
                <w:sz w:val="16"/>
              </w:rPr>
            </w:pPr>
          </w:p>
        </w:tc>
        <w:tc>
          <w:tcPr>
            <w:tcW w:w="4131" w:type="pct"/>
            <w:gridSpan w:val="10"/>
            <w:tcBorders>
              <w:top w:val="nil"/>
              <w:left w:val="single" w:sz="2" w:space="0" w:color="auto"/>
              <w:bottom w:val="nil"/>
              <w:right w:val="nil"/>
            </w:tcBorders>
            <w:shd w:val="clear" w:color="auto" w:fill="7030A0"/>
          </w:tcPr>
          <w:p w14:paraId="7973D600" w14:textId="216D172B" w:rsidR="005454E0" w:rsidRPr="006E293E" w:rsidRDefault="005454E0" w:rsidP="005454E0">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Some agencies have received interest-free loans from the Environment, Planning and Sustainable Development Directorate under the Carbon Neutral Government Fund.</w:t>
            </w:r>
            <w:r>
              <w:rPr>
                <w:rFonts w:eastAsia="Calibri" w:cs="Calibri"/>
                <w:color w:val="FFFFFF" w:themeColor="background1"/>
                <w:sz w:val="18"/>
                <w:szCs w:val="18"/>
              </w:rPr>
              <w:t xml:space="preserve"> </w:t>
            </w:r>
            <w:r w:rsidRPr="006E293E">
              <w:rPr>
                <w:rFonts w:eastAsia="Calibri" w:cs="Calibri"/>
                <w:color w:val="FFFFFF" w:themeColor="background1"/>
                <w:sz w:val="18"/>
                <w:szCs w:val="18"/>
              </w:rPr>
              <w:t xml:space="preserve">These loans can be disclosed under a separate Note </w:t>
            </w:r>
            <w:r w:rsidRPr="008F75D1">
              <w:rPr>
                <w:rFonts w:eastAsia="Calibri" w:cs="Calibri"/>
                <w:i/>
                <w:iCs/>
                <w:color w:val="FFFFFF" w:themeColor="background1"/>
                <w:sz w:val="18"/>
                <w:szCs w:val="18"/>
              </w:rPr>
              <w:t>Interest</w:t>
            </w:r>
            <w:r w:rsidRPr="008F75D1">
              <w:rPr>
                <w:rFonts w:eastAsia="Calibri" w:cs="Calibri"/>
                <w:i/>
                <w:iCs/>
                <w:color w:val="FFFFFF" w:themeColor="background1"/>
                <w:sz w:val="18"/>
                <w:szCs w:val="18"/>
              </w:rPr>
              <w:noBreakHyphen/>
              <w:t>Free Borrowings</w:t>
            </w:r>
            <w:r w:rsidRPr="006E293E">
              <w:rPr>
                <w:rFonts w:eastAsia="Calibri" w:cs="Calibri"/>
                <w:color w:val="FFFFFF" w:themeColor="background1"/>
                <w:sz w:val="18"/>
                <w:szCs w:val="18"/>
              </w:rPr>
              <w:t>.</w:t>
            </w:r>
          </w:p>
        </w:tc>
      </w:tr>
      <w:tr w:rsidR="005454E0" w:rsidRPr="001950C9" w14:paraId="6577D6DD"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0BBEC466" w14:textId="29F6A809" w:rsidR="005454E0" w:rsidRPr="00D85C31" w:rsidRDefault="00C573EF" w:rsidP="005454E0">
            <w:pPr>
              <w:pStyle w:val="TableReference"/>
              <w:tabs>
                <w:tab w:val="left" w:pos="3306"/>
              </w:tabs>
              <w:spacing w:before="240" w:after="240"/>
              <w:rPr>
                <w:rFonts w:cs="Calibri"/>
                <w:b/>
                <w:color w:val="7030A0"/>
                <w:sz w:val="22"/>
                <w:szCs w:val="22"/>
              </w:rPr>
            </w:pPr>
            <w:r w:rsidRPr="00D85C31">
              <w:rPr>
                <w:rFonts w:cs="Calibri"/>
                <w:b/>
                <w:color w:val="7030A0"/>
                <w:sz w:val="22"/>
                <w:szCs w:val="22"/>
              </w:rPr>
              <w:t>Reference</w:t>
            </w:r>
          </w:p>
        </w:tc>
        <w:tc>
          <w:tcPr>
            <w:tcW w:w="4131" w:type="pct"/>
            <w:gridSpan w:val="10"/>
            <w:tcBorders>
              <w:left w:val="single" w:sz="2" w:space="0" w:color="auto"/>
            </w:tcBorders>
            <w:shd w:val="clear" w:color="auto" w:fill="auto"/>
            <w:vAlign w:val="bottom"/>
          </w:tcPr>
          <w:p w14:paraId="30812511" w14:textId="162A829B" w:rsidR="005454E0" w:rsidRPr="00D85C31" w:rsidRDefault="005454E0" w:rsidP="005454E0">
            <w:pPr>
              <w:pStyle w:val="Heading1"/>
              <w:numPr>
                <w:ilvl w:val="0"/>
                <w:numId w:val="0"/>
              </w:numPr>
              <w:ind w:left="1134" w:hanging="1134"/>
            </w:pPr>
            <w:bookmarkStart w:id="699" w:name="_Toc132743817"/>
            <w:r w:rsidRPr="00D85C31">
              <w:t>Note 26 Lease Liabilities</w:t>
            </w:r>
            <w:bookmarkEnd w:id="699"/>
            <w:r w:rsidRPr="00D85C31">
              <w:t xml:space="preserve"> </w:t>
            </w:r>
          </w:p>
        </w:tc>
      </w:tr>
      <w:tr w:rsidR="005454E0" w:rsidRPr="00381D99" w14:paraId="5DB38068"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55F88B51" w14:textId="77777777" w:rsidR="005454E0" w:rsidRPr="00D85C31" w:rsidRDefault="005454E0" w:rsidP="005454E0">
            <w:pPr>
              <w:spacing w:line="259" w:lineRule="auto"/>
              <w:rPr>
                <w:rFonts w:eastAsia="Calibri" w:cs="Calibri"/>
                <w:color w:val="7030A0"/>
                <w:sz w:val="14"/>
                <w:szCs w:val="14"/>
              </w:rPr>
            </w:pPr>
          </w:p>
        </w:tc>
        <w:tc>
          <w:tcPr>
            <w:tcW w:w="4131" w:type="pct"/>
            <w:gridSpan w:val="10"/>
            <w:tcBorders>
              <w:left w:val="single" w:sz="2" w:space="0" w:color="auto"/>
            </w:tcBorders>
            <w:shd w:val="clear" w:color="auto" w:fill="auto"/>
            <w:vAlign w:val="bottom"/>
          </w:tcPr>
          <w:p w14:paraId="3B05845C" w14:textId="2F66D75E" w:rsidR="005454E0" w:rsidRPr="00342405" w:rsidRDefault="005454E0" w:rsidP="005454E0">
            <w:pPr>
              <w:spacing w:line="259" w:lineRule="auto"/>
              <w:jc w:val="both"/>
              <w:rPr>
                <w:rFonts w:eastAsia="Calibri" w:cs="Calibri"/>
                <w:b/>
                <w:color w:val="FF0000"/>
                <w:sz w:val="18"/>
                <w:szCs w:val="18"/>
                <w:highlight w:val="cyan"/>
              </w:rPr>
            </w:pPr>
            <w:r w:rsidRPr="00A43B3B">
              <w:rPr>
                <w:rFonts w:cs="Calibri"/>
                <w:b/>
                <w:bCs/>
                <w:color w:val="FF0000"/>
                <w:sz w:val="18"/>
                <w:szCs w:val="18"/>
              </w:rPr>
              <w:t>Description and Material Accounting Policies Relating to Lease Liabilities</w:t>
            </w:r>
          </w:p>
        </w:tc>
      </w:tr>
      <w:tr w:rsidR="005454E0" w:rsidRPr="00381D99" w14:paraId="69EA4B08"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0422B48F" w14:textId="77777777" w:rsidR="005454E0" w:rsidRPr="00D85C31" w:rsidRDefault="005454E0" w:rsidP="005454E0">
            <w:pPr>
              <w:spacing w:line="259" w:lineRule="auto"/>
              <w:rPr>
                <w:rFonts w:eastAsia="Calibri" w:cs="Calibri"/>
                <w:color w:val="7030A0"/>
                <w:sz w:val="14"/>
                <w:szCs w:val="14"/>
              </w:rPr>
            </w:pPr>
            <w:r w:rsidRPr="00D85C31">
              <w:rPr>
                <w:rFonts w:eastAsia="Calibri" w:cs="Calibri"/>
                <w:color w:val="7030A0"/>
                <w:sz w:val="14"/>
                <w:szCs w:val="14"/>
              </w:rPr>
              <w:t>AASB 16.59</w:t>
            </w:r>
          </w:p>
          <w:p w14:paraId="6BDCBEB9" w14:textId="77777777" w:rsidR="005454E0" w:rsidRPr="00D85C31" w:rsidRDefault="005454E0" w:rsidP="005454E0">
            <w:pPr>
              <w:spacing w:line="259" w:lineRule="auto"/>
              <w:rPr>
                <w:rFonts w:eastAsia="Calibri" w:cs="Calibri"/>
                <w:color w:val="7030A0"/>
                <w:sz w:val="14"/>
                <w:szCs w:val="14"/>
              </w:rPr>
            </w:pPr>
          </w:p>
        </w:tc>
        <w:tc>
          <w:tcPr>
            <w:tcW w:w="4131" w:type="pct"/>
            <w:gridSpan w:val="10"/>
            <w:tcBorders>
              <w:left w:val="single" w:sz="2" w:space="0" w:color="auto"/>
            </w:tcBorders>
            <w:shd w:val="clear" w:color="auto" w:fill="auto"/>
            <w:vAlign w:val="bottom"/>
          </w:tcPr>
          <w:p w14:paraId="0E8D9DC5" w14:textId="616D70C5" w:rsidR="005454E0" w:rsidRPr="00D85C31" w:rsidRDefault="005454E0" w:rsidP="005454E0">
            <w:pPr>
              <w:spacing w:after="120" w:line="259" w:lineRule="auto"/>
              <w:jc w:val="both"/>
              <w:rPr>
                <w:rFonts w:eastAsia="Calibri" w:cs="Calibri"/>
                <w:strike/>
                <w:sz w:val="18"/>
                <w:szCs w:val="18"/>
              </w:rPr>
            </w:pPr>
            <w:r w:rsidRPr="00D85C31">
              <w:rPr>
                <w:rFonts w:eastAsia="Calibri" w:cs="Calibri"/>
                <w:b/>
                <w:sz w:val="18"/>
                <w:szCs w:val="18"/>
              </w:rPr>
              <w:t>Agency as a Lessee</w:t>
            </w:r>
          </w:p>
        </w:tc>
      </w:tr>
      <w:tr w:rsidR="005454E0" w:rsidRPr="00381D99" w14:paraId="2548F9C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5A914C0A" w14:textId="77777777" w:rsidR="005454E0" w:rsidRPr="00D85C31" w:rsidRDefault="005454E0" w:rsidP="005454E0">
            <w:pPr>
              <w:spacing w:line="259" w:lineRule="auto"/>
              <w:rPr>
                <w:rFonts w:eastAsia="Calibri" w:cs="Calibri"/>
                <w:color w:val="7030A0"/>
                <w:sz w:val="14"/>
                <w:szCs w:val="14"/>
              </w:rPr>
            </w:pPr>
          </w:p>
        </w:tc>
        <w:tc>
          <w:tcPr>
            <w:tcW w:w="4131" w:type="pct"/>
            <w:gridSpan w:val="10"/>
            <w:tcBorders>
              <w:left w:val="single" w:sz="2" w:space="0" w:color="auto"/>
            </w:tcBorders>
            <w:shd w:val="clear" w:color="auto" w:fill="auto"/>
            <w:vAlign w:val="bottom"/>
          </w:tcPr>
          <w:p w14:paraId="131EF27A" w14:textId="0CF0D9E7" w:rsidR="005454E0" w:rsidRPr="00D85C31" w:rsidRDefault="005454E0" w:rsidP="005454E0">
            <w:pPr>
              <w:spacing w:after="120" w:line="259" w:lineRule="auto"/>
              <w:jc w:val="both"/>
              <w:rPr>
                <w:rFonts w:eastAsia="Calibri" w:cs="Calibri"/>
                <w:strike/>
                <w:sz w:val="18"/>
                <w:szCs w:val="18"/>
              </w:rPr>
            </w:pPr>
            <w:r w:rsidRPr="00D85C31">
              <w:rPr>
                <w:rFonts w:eastAsia="Calibri" w:cs="Calibri"/>
                <w:sz w:val="18"/>
                <w:szCs w:val="18"/>
              </w:rPr>
              <w:t>The Agency has leases over a range of assets including buildings, motor vehicles,</w:t>
            </w:r>
            <w:r w:rsidRPr="00D85C31">
              <w:rPr>
                <w:bCs/>
                <w:sz w:val="18"/>
                <w:szCs w:val="18"/>
              </w:rPr>
              <w:t xml:space="preserve"> ICT equipment, specialised plant and equipment,</w:t>
            </w:r>
            <w:r w:rsidRPr="00D85C31">
              <w:rPr>
                <w:rFonts w:eastAsia="Calibri" w:cs="Calibri"/>
                <w:iCs/>
                <w:sz w:val="18"/>
                <w:szCs w:val="18"/>
              </w:rPr>
              <w:t xml:space="preserve"> concessionary land and public private partnership assets.</w:t>
            </w:r>
            <w:r>
              <w:rPr>
                <w:rFonts w:eastAsia="Calibri" w:cs="Calibri"/>
                <w:iCs/>
                <w:sz w:val="18"/>
                <w:szCs w:val="18"/>
              </w:rPr>
              <w:t xml:space="preserve"> </w:t>
            </w:r>
            <w:r w:rsidRPr="00D85C31">
              <w:rPr>
                <w:rFonts w:eastAsia="Calibri" w:cs="Calibri"/>
                <w:iCs/>
                <w:sz w:val="18"/>
                <w:szCs w:val="18"/>
              </w:rPr>
              <w:t>There are a number of leasing arrangements that have resulted in the recognition of a lease liability while other leasing arrangements have not resulted in a liability being recognised.</w:t>
            </w:r>
            <w:r>
              <w:rPr>
                <w:rFonts w:eastAsia="Calibri" w:cs="Calibri"/>
                <w:sz w:val="18"/>
                <w:szCs w:val="18"/>
              </w:rPr>
              <w:t xml:space="preserve"> </w:t>
            </w:r>
            <w:r w:rsidRPr="00D85C31">
              <w:rPr>
                <w:rFonts w:eastAsia="Calibri" w:cs="Calibri"/>
                <w:sz w:val="18"/>
                <w:szCs w:val="18"/>
              </w:rPr>
              <w:t>The below table provides information relating to the leases in place and a split between those that have been taken up as a lease liability and those that have not.</w:t>
            </w:r>
            <w:r w:rsidRPr="0009580B">
              <w:rPr>
                <w:rFonts w:eastAsia="Calibri" w:cs="Calibri"/>
                <w:sz w:val="18"/>
                <w:szCs w:val="18"/>
              </w:rPr>
              <w:t xml:space="preserve"> </w:t>
            </w:r>
          </w:p>
        </w:tc>
      </w:tr>
      <w:tr w:rsidR="005454E0" w:rsidRPr="00381D99" w14:paraId="7C7AADF9"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5F3BD322"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vAlign w:val="bottom"/>
          </w:tcPr>
          <w:p w14:paraId="151FB54B" w14:textId="5AC2A2F7" w:rsidR="005454E0" w:rsidRPr="00D85C31" w:rsidRDefault="005454E0" w:rsidP="005454E0">
            <w:pPr>
              <w:spacing w:after="120" w:line="259" w:lineRule="auto"/>
              <w:jc w:val="both"/>
              <w:rPr>
                <w:rFonts w:eastAsia="Calibri" w:cs="Calibri"/>
                <w:b/>
                <w:bCs/>
                <w:sz w:val="18"/>
                <w:szCs w:val="18"/>
              </w:rPr>
            </w:pPr>
            <w:r w:rsidRPr="00D85C31">
              <w:rPr>
                <w:rFonts w:eastAsia="Calibri" w:cs="Calibri"/>
                <w:b/>
                <w:bCs/>
                <w:sz w:val="18"/>
                <w:szCs w:val="18"/>
              </w:rPr>
              <w:t>Leases that have resulted in ‘</w:t>
            </w:r>
            <w:r w:rsidRPr="00D85C31">
              <w:rPr>
                <w:b/>
                <w:bCs/>
                <w:sz w:val="18"/>
                <w:szCs w:val="18"/>
              </w:rPr>
              <w:t>Burley Griffin</w:t>
            </w:r>
            <w:r w:rsidRPr="00D85C31">
              <w:rPr>
                <w:rFonts w:eastAsia="Calibri" w:cs="Calibri"/>
                <w:b/>
                <w:bCs/>
                <w:sz w:val="18"/>
                <w:szCs w:val="18"/>
              </w:rPr>
              <w:t xml:space="preserve"> Agency’ recognising a lease liability are as follows: </w:t>
            </w:r>
          </w:p>
        </w:tc>
      </w:tr>
      <w:tr w:rsidR="005454E0" w:rsidRPr="00381D99" w14:paraId="713959E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4EA68629"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vAlign w:val="bottom"/>
          </w:tcPr>
          <w:p w14:paraId="6575BF50" w14:textId="26895F6B" w:rsidR="005454E0" w:rsidRPr="00D85C31" w:rsidRDefault="005454E0" w:rsidP="005454E0">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5454E0" w:rsidRPr="00381D99" w14:paraId="24271137"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trHeight w:val="23"/>
        </w:trPr>
        <w:tc>
          <w:tcPr>
            <w:tcW w:w="704" w:type="pct"/>
            <w:tcBorders>
              <w:left w:val="single" w:sz="2" w:space="0" w:color="auto"/>
              <w:right w:val="single" w:sz="2" w:space="0" w:color="auto"/>
            </w:tcBorders>
          </w:tcPr>
          <w:p w14:paraId="3C2BB216" w14:textId="77777777" w:rsidR="005454E0" w:rsidRPr="00D85C31" w:rsidRDefault="005454E0" w:rsidP="005454E0">
            <w:pPr>
              <w:pStyle w:val="TableReference"/>
              <w:tabs>
                <w:tab w:val="left" w:pos="3306"/>
              </w:tabs>
              <w:rPr>
                <w:rFonts w:cs="Calibri"/>
                <w:color w:val="7030A0"/>
                <w:sz w:val="14"/>
              </w:rPr>
            </w:pPr>
          </w:p>
        </w:tc>
        <w:tc>
          <w:tcPr>
            <w:tcW w:w="939" w:type="pct"/>
            <w:tcBorders>
              <w:left w:val="single" w:sz="2" w:space="0" w:color="auto"/>
            </w:tcBorders>
            <w:shd w:val="clear" w:color="auto" w:fill="auto"/>
          </w:tcPr>
          <w:p w14:paraId="4366BA0A" w14:textId="18E317F7" w:rsidR="005454E0" w:rsidRPr="00D85C31" w:rsidRDefault="005454E0" w:rsidP="005454E0">
            <w:pPr>
              <w:spacing w:after="120" w:line="259" w:lineRule="auto"/>
              <w:rPr>
                <w:rFonts w:eastAsia="Calibri" w:cs="Calibri"/>
                <w:sz w:val="18"/>
                <w:szCs w:val="18"/>
              </w:rPr>
            </w:pPr>
            <w:r w:rsidRPr="00D85C31">
              <w:rPr>
                <w:rFonts w:eastAsia="Calibri" w:cs="Calibri"/>
                <w:iCs/>
                <w:sz w:val="18"/>
                <w:szCs w:val="18"/>
              </w:rPr>
              <w:t>Motor vehicles</w:t>
            </w:r>
          </w:p>
        </w:tc>
        <w:tc>
          <w:tcPr>
            <w:tcW w:w="3193" w:type="pct"/>
            <w:gridSpan w:val="9"/>
            <w:shd w:val="clear" w:color="auto" w:fill="auto"/>
            <w:vAlign w:val="bottom"/>
          </w:tcPr>
          <w:p w14:paraId="735BCF27" w14:textId="19E3283E" w:rsidR="005454E0" w:rsidRPr="00D85C31" w:rsidRDefault="005454E0" w:rsidP="005454E0">
            <w:pPr>
              <w:spacing w:after="120"/>
              <w:jc w:val="both"/>
              <w:rPr>
                <w:rFonts w:eastAsia="Calibri" w:cs="Calibri"/>
                <w:sz w:val="18"/>
                <w:szCs w:val="18"/>
              </w:rPr>
            </w:pPr>
            <w:r w:rsidRPr="00D85C31">
              <w:rPr>
                <w:rFonts w:cs="Calibri"/>
                <w:sz w:val="18"/>
                <w:szCs w:val="18"/>
              </w:rPr>
              <w:t>The Agency holds 145 motor vehicle leases (140 in 202</w:t>
            </w:r>
            <w:r>
              <w:rPr>
                <w:rFonts w:cs="Calibri"/>
                <w:sz w:val="18"/>
                <w:szCs w:val="18"/>
              </w:rPr>
              <w:t>2</w:t>
            </w:r>
            <w:r w:rsidRPr="00D85C31">
              <w:rPr>
                <w:rFonts w:cs="Calibri"/>
                <w:sz w:val="18"/>
                <w:szCs w:val="18"/>
              </w:rPr>
              <w:t xml:space="preserve">). The terms vary from </w:t>
            </w:r>
            <w:r>
              <w:rPr>
                <w:rFonts w:cs="Calibri"/>
                <w:sz w:val="18"/>
                <w:szCs w:val="18"/>
              </w:rPr>
              <w:t>two</w:t>
            </w:r>
            <w:r w:rsidRPr="00D85C31">
              <w:rPr>
                <w:rFonts w:cs="Calibri"/>
                <w:sz w:val="18"/>
                <w:szCs w:val="18"/>
              </w:rPr>
              <w:t xml:space="preserve"> years to </w:t>
            </w:r>
            <w:r>
              <w:rPr>
                <w:rFonts w:cs="Calibri"/>
                <w:sz w:val="18"/>
                <w:szCs w:val="18"/>
              </w:rPr>
              <w:t>three</w:t>
            </w:r>
            <w:r w:rsidRPr="00D85C31">
              <w:rPr>
                <w:rFonts w:cs="Calibri"/>
                <w:sz w:val="18"/>
                <w:szCs w:val="18"/>
              </w:rPr>
              <w:t xml:space="preserve"> years.</w:t>
            </w:r>
            <w:r>
              <w:rPr>
                <w:rFonts w:cs="Calibri"/>
                <w:sz w:val="18"/>
                <w:szCs w:val="18"/>
              </w:rPr>
              <w:t xml:space="preserve"> </w:t>
            </w:r>
            <w:r w:rsidRPr="00D85C31">
              <w:rPr>
                <w:rFonts w:cs="Calibri"/>
                <w:sz w:val="18"/>
                <w:szCs w:val="18"/>
              </w:rPr>
              <w:t>These leases allow for extensions, but have no terms of renewal or purchase options, nor escalation clauses.</w:t>
            </w:r>
          </w:p>
        </w:tc>
      </w:tr>
      <w:tr w:rsidR="005454E0" w:rsidRPr="00381D99" w14:paraId="651C4298"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76DD9FB0" w14:textId="77777777" w:rsidR="005454E0" w:rsidRPr="00D85C31" w:rsidRDefault="005454E0" w:rsidP="005454E0">
            <w:pPr>
              <w:pStyle w:val="TableReference"/>
              <w:tabs>
                <w:tab w:val="left" w:pos="3306"/>
              </w:tabs>
              <w:rPr>
                <w:rFonts w:cs="Calibri"/>
                <w:color w:val="7030A0"/>
                <w:sz w:val="14"/>
              </w:rPr>
            </w:pPr>
          </w:p>
        </w:tc>
        <w:tc>
          <w:tcPr>
            <w:tcW w:w="939" w:type="pct"/>
            <w:tcBorders>
              <w:left w:val="single" w:sz="2" w:space="0" w:color="auto"/>
            </w:tcBorders>
            <w:shd w:val="clear" w:color="auto" w:fill="auto"/>
          </w:tcPr>
          <w:p w14:paraId="2F442850" w14:textId="7AF66A1A" w:rsidR="005454E0" w:rsidRPr="00D85C31" w:rsidRDefault="005454E0" w:rsidP="005454E0">
            <w:pPr>
              <w:spacing w:after="120" w:line="259" w:lineRule="auto"/>
              <w:rPr>
                <w:rFonts w:eastAsia="Calibri" w:cs="Calibri"/>
                <w:sz w:val="18"/>
                <w:szCs w:val="18"/>
              </w:rPr>
            </w:pPr>
            <w:r w:rsidRPr="00D85C31">
              <w:rPr>
                <w:bCs/>
                <w:sz w:val="18"/>
                <w:szCs w:val="18"/>
              </w:rPr>
              <w:t>Specialised plant and equipment</w:t>
            </w:r>
          </w:p>
        </w:tc>
        <w:tc>
          <w:tcPr>
            <w:tcW w:w="3193" w:type="pct"/>
            <w:gridSpan w:val="9"/>
            <w:shd w:val="clear" w:color="auto" w:fill="auto"/>
          </w:tcPr>
          <w:p w14:paraId="156B1CCC" w14:textId="3BD6D76B" w:rsidR="005454E0" w:rsidRPr="00D85C31" w:rsidRDefault="005454E0" w:rsidP="005454E0">
            <w:pPr>
              <w:autoSpaceDE w:val="0"/>
              <w:autoSpaceDN w:val="0"/>
              <w:adjustRightInd w:val="0"/>
              <w:spacing w:after="120"/>
              <w:rPr>
                <w:bCs/>
                <w:sz w:val="18"/>
                <w:szCs w:val="18"/>
              </w:rPr>
            </w:pPr>
            <w:r w:rsidRPr="00D85C31">
              <w:rPr>
                <w:bCs/>
                <w:sz w:val="18"/>
                <w:szCs w:val="18"/>
              </w:rPr>
              <w:t>Leases for specialised plant and equipment have lease terms which vary from 3 – 10 years and there is generally no extension or renewal options.</w:t>
            </w:r>
          </w:p>
          <w:p w14:paraId="64CB44D3" w14:textId="738819F3" w:rsidR="005454E0" w:rsidRPr="00D85C31" w:rsidRDefault="005454E0" w:rsidP="005454E0">
            <w:pPr>
              <w:autoSpaceDE w:val="0"/>
              <w:autoSpaceDN w:val="0"/>
              <w:adjustRightInd w:val="0"/>
              <w:spacing w:after="12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5454E0" w:rsidRPr="00381D99" w14:paraId="1B6383E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1CFF1A59" w14:textId="77777777" w:rsidR="005454E0" w:rsidRPr="00D85C31" w:rsidRDefault="005454E0" w:rsidP="005454E0">
            <w:pPr>
              <w:pStyle w:val="TableReference"/>
              <w:tabs>
                <w:tab w:val="left" w:pos="3306"/>
              </w:tabs>
              <w:rPr>
                <w:rFonts w:cs="Calibri"/>
                <w:color w:val="7030A0"/>
                <w:sz w:val="14"/>
              </w:rPr>
            </w:pPr>
          </w:p>
        </w:tc>
        <w:tc>
          <w:tcPr>
            <w:tcW w:w="939" w:type="pct"/>
            <w:tcBorders>
              <w:left w:val="single" w:sz="2" w:space="0" w:color="auto"/>
            </w:tcBorders>
            <w:shd w:val="clear" w:color="auto" w:fill="auto"/>
          </w:tcPr>
          <w:p w14:paraId="01A28BEC" w14:textId="782DC932" w:rsidR="005454E0" w:rsidRPr="00D85C31" w:rsidRDefault="005454E0" w:rsidP="005454E0">
            <w:pPr>
              <w:spacing w:after="120" w:line="259" w:lineRule="auto"/>
              <w:rPr>
                <w:rFonts w:eastAsia="Calibri" w:cs="Calibri"/>
                <w:sz w:val="18"/>
                <w:szCs w:val="18"/>
              </w:rPr>
            </w:pPr>
            <w:r w:rsidRPr="00D85C31">
              <w:rPr>
                <w:sz w:val="18"/>
                <w:szCs w:val="18"/>
              </w:rPr>
              <w:t>Public Private Partnership (</w:t>
            </w:r>
            <w:r w:rsidRPr="00D85C31">
              <w:rPr>
                <w:rFonts w:eastAsia="Calibri" w:cs="Calibri"/>
                <w:iCs/>
                <w:sz w:val="18"/>
                <w:szCs w:val="18"/>
              </w:rPr>
              <w:t>PPP)</w:t>
            </w:r>
          </w:p>
        </w:tc>
        <w:tc>
          <w:tcPr>
            <w:tcW w:w="3193" w:type="pct"/>
            <w:gridSpan w:val="9"/>
            <w:shd w:val="clear" w:color="auto" w:fill="auto"/>
            <w:vAlign w:val="bottom"/>
          </w:tcPr>
          <w:p w14:paraId="53DE8A11" w14:textId="5392AC46" w:rsidR="005454E0" w:rsidRPr="00D85C31" w:rsidRDefault="005454E0" w:rsidP="005454E0">
            <w:pPr>
              <w:spacing w:after="120" w:line="259" w:lineRule="auto"/>
              <w:jc w:val="both"/>
              <w:rPr>
                <w:rFonts w:eastAsia="Calibri" w:cs="Calibri"/>
                <w:sz w:val="18"/>
                <w:szCs w:val="18"/>
              </w:rPr>
            </w:pPr>
            <w:r w:rsidRPr="00D85C31">
              <w:rPr>
                <w:sz w:val="18"/>
                <w:szCs w:val="18"/>
              </w:rPr>
              <w:t>‘Burley Griffin Agency’ has entered into a PPP agreement with ‘Example Private Sector Entity’ for the design, construction and financing of a new court building as well as the subsequent provision of facilities management and support services. ‘Burley Griffin Agency’ determined that this arrangement was not a Service Concession Arrangement under AASB 1059 but instead the arrangement fell within the requirements of the leasing standard (AASB 16).</w:t>
            </w:r>
            <w:r>
              <w:rPr>
                <w:sz w:val="18"/>
                <w:szCs w:val="18"/>
              </w:rPr>
              <w:t xml:space="preserve"> </w:t>
            </w:r>
            <w:r w:rsidRPr="00D85C31">
              <w:rPr>
                <w:sz w:val="18"/>
                <w:szCs w:val="18"/>
              </w:rPr>
              <w:t>The design and construction of the new court building was completed in June 2020, and as such, ‘Burley Griffin Agency’ recognised a lease liability and a corresponding lease asset at this date.</w:t>
            </w:r>
            <w:r>
              <w:rPr>
                <w:sz w:val="18"/>
                <w:szCs w:val="18"/>
              </w:rPr>
              <w:t xml:space="preserve"> </w:t>
            </w:r>
            <w:r w:rsidRPr="00D85C31">
              <w:rPr>
                <w:sz w:val="18"/>
                <w:szCs w:val="18"/>
              </w:rPr>
              <w:t>The lease term is 25 years and will therefore expire in June 2045.</w:t>
            </w:r>
          </w:p>
        </w:tc>
      </w:tr>
      <w:tr w:rsidR="005454E0" w:rsidRPr="00381D99" w14:paraId="0C45B540"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B3AD4D8" w14:textId="77777777" w:rsidR="005454E0" w:rsidRPr="00D85C31" w:rsidRDefault="005454E0" w:rsidP="005454E0">
            <w:pPr>
              <w:pStyle w:val="TableReference"/>
              <w:tabs>
                <w:tab w:val="left" w:pos="3306"/>
              </w:tabs>
              <w:rPr>
                <w:rFonts w:cs="Calibri"/>
                <w:color w:val="7030A0"/>
                <w:sz w:val="14"/>
              </w:rPr>
            </w:pPr>
          </w:p>
        </w:tc>
        <w:tc>
          <w:tcPr>
            <w:tcW w:w="939" w:type="pct"/>
            <w:tcBorders>
              <w:left w:val="single" w:sz="2" w:space="0" w:color="auto"/>
            </w:tcBorders>
            <w:shd w:val="clear" w:color="auto" w:fill="auto"/>
          </w:tcPr>
          <w:p w14:paraId="5B043CC2" w14:textId="2CFD368B" w:rsidR="005454E0" w:rsidRPr="00D85C31" w:rsidRDefault="005454E0" w:rsidP="005454E0">
            <w:pPr>
              <w:spacing w:after="120" w:line="259" w:lineRule="auto"/>
              <w:rPr>
                <w:sz w:val="18"/>
                <w:szCs w:val="18"/>
              </w:rPr>
            </w:pPr>
            <w:r w:rsidRPr="00D85C31">
              <w:rPr>
                <w:rFonts w:eastAsia="Calibri" w:cs="Calibri"/>
                <w:iCs/>
                <w:sz w:val="18"/>
                <w:szCs w:val="18"/>
              </w:rPr>
              <w:t>Building leases – Specialised Depot Building</w:t>
            </w:r>
          </w:p>
        </w:tc>
        <w:tc>
          <w:tcPr>
            <w:tcW w:w="3193" w:type="pct"/>
            <w:gridSpan w:val="9"/>
            <w:shd w:val="clear" w:color="auto" w:fill="auto"/>
          </w:tcPr>
          <w:p w14:paraId="343B9A1F" w14:textId="2763EFED" w:rsidR="005454E0" w:rsidRPr="00D85C31" w:rsidRDefault="005454E0" w:rsidP="005454E0">
            <w:pPr>
              <w:autoSpaceDE w:val="0"/>
              <w:autoSpaceDN w:val="0"/>
              <w:adjustRightInd w:val="0"/>
              <w:spacing w:after="120"/>
              <w:jc w:val="both"/>
              <w:rPr>
                <w:bCs/>
                <w:sz w:val="18"/>
                <w:szCs w:val="18"/>
              </w:rPr>
            </w:pPr>
            <w:r w:rsidRPr="00D85C31">
              <w:rPr>
                <w:bCs/>
                <w:sz w:val="18"/>
                <w:szCs w:val="18"/>
              </w:rPr>
              <w:t>The Agency has one lease for a specialised depot building which expires in six years. The lease has varying terms, escalation clauses and renewal rights in order to provide flexibility to the Agency and the extension options are exercisable only by the Agency.</w:t>
            </w:r>
            <w:r>
              <w:rPr>
                <w:bCs/>
                <w:sz w:val="18"/>
                <w:szCs w:val="18"/>
              </w:rPr>
              <w:t xml:space="preserve"> </w:t>
            </w:r>
            <w:r w:rsidRPr="00D85C31">
              <w:rPr>
                <w:bCs/>
                <w:sz w:val="18"/>
                <w:szCs w:val="18"/>
              </w:rPr>
              <w:t>The lease agreement gives the Agency the right to renew the lease for up to twice the initial term.</w:t>
            </w:r>
          </w:p>
          <w:p w14:paraId="6D945A2C" w14:textId="2CF655D4" w:rsidR="005454E0" w:rsidRPr="00D85C31" w:rsidRDefault="005454E0" w:rsidP="005454E0">
            <w:pPr>
              <w:autoSpaceDE w:val="0"/>
              <w:autoSpaceDN w:val="0"/>
              <w:adjustRightInd w:val="0"/>
              <w:spacing w:after="120"/>
              <w:jc w:val="both"/>
              <w:rPr>
                <w:bCs/>
                <w:sz w:val="18"/>
                <w:szCs w:val="18"/>
              </w:rPr>
            </w:pPr>
            <w:r w:rsidRPr="00D85C31">
              <w:rPr>
                <w:bCs/>
                <w:sz w:val="18"/>
                <w:szCs w:val="18"/>
              </w:rPr>
              <w:t>There are no conditions in the lease agreements requiring the Agency to restore the site which the leased building is situated.</w:t>
            </w:r>
            <w:r>
              <w:rPr>
                <w:bCs/>
                <w:sz w:val="18"/>
                <w:szCs w:val="18"/>
              </w:rPr>
              <w:t xml:space="preserve"> </w:t>
            </w:r>
          </w:p>
          <w:p w14:paraId="4C9BB398" w14:textId="1E346D05" w:rsidR="005454E0" w:rsidRPr="00D85C31" w:rsidRDefault="005454E0" w:rsidP="005454E0">
            <w:pPr>
              <w:spacing w:after="120" w:line="259" w:lineRule="auto"/>
              <w:jc w:val="both"/>
              <w:rPr>
                <w:sz w:val="18"/>
                <w:szCs w:val="18"/>
              </w:rPr>
            </w:pPr>
            <w:r w:rsidRPr="00D85C31">
              <w:rPr>
                <w:bCs/>
                <w:sz w:val="18"/>
                <w:szCs w:val="18"/>
              </w:rPr>
              <w:t>The depot lease contains an annual pricing mechanism based on CPI movements at each anniversary of the lease inception.</w:t>
            </w:r>
          </w:p>
        </w:tc>
      </w:tr>
      <w:tr w:rsidR="005454E0" w:rsidRPr="00381D99" w14:paraId="7E571FD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63E579FE" w14:textId="77777777" w:rsidR="005454E0" w:rsidRPr="00D85C31" w:rsidRDefault="005454E0" w:rsidP="005454E0">
            <w:pPr>
              <w:pStyle w:val="TableReference"/>
              <w:tabs>
                <w:tab w:val="left" w:pos="3306"/>
              </w:tabs>
              <w:rPr>
                <w:rFonts w:cs="Calibri"/>
                <w:color w:val="7030A0"/>
                <w:sz w:val="14"/>
              </w:rPr>
            </w:pPr>
            <w:r w:rsidRPr="00D85C31">
              <w:rPr>
                <w:rFonts w:cs="Calibri"/>
                <w:color w:val="7030A0"/>
                <w:sz w:val="14"/>
              </w:rPr>
              <w:t>AASB 16.Aus59.1</w:t>
            </w:r>
          </w:p>
        </w:tc>
        <w:tc>
          <w:tcPr>
            <w:tcW w:w="939" w:type="pct"/>
            <w:tcBorders>
              <w:left w:val="single" w:sz="2" w:space="0" w:color="auto"/>
            </w:tcBorders>
            <w:shd w:val="clear" w:color="auto" w:fill="auto"/>
          </w:tcPr>
          <w:p w14:paraId="758601FD" w14:textId="77777777" w:rsidR="005454E0" w:rsidRPr="00D85C31" w:rsidRDefault="005454E0" w:rsidP="005454E0">
            <w:pPr>
              <w:spacing w:line="259" w:lineRule="auto"/>
              <w:rPr>
                <w:rFonts w:eastAsia="Calibri" w:cs="Calibri"/>
                <w:sz w:val="18"/>
                <w:szCs w:val="18"/>
              </w:rPr>
            </w:pPr>
            <w:r w:rsidRPr="00D85C31">
              <w:rPr>
                <w:rFonts w:eastAsia="Calibri" w:cs="Calibri"/>
                <w:iCs/>
                <w:sz w:val="18"/>
                <w:szCs w:val="18"/>
              </w:rPr>
              <w:t>Concessionary land leases (also referred to as peppercorn leases)</w:t>
            </w:r>
          </w:p>
        </w:tc>
        <w:tc>
          <w:tcPr>
            <w:tcW w:w="3193" w:type="pct"/>
            <w:gridSpan w:val="9"/>
            <w:shd w:val="clear" w:color="auto" w:fill="auto"/>
            <w:vAlign w:val="bottom"/>
          </w:tcPr>
          <w:p w14:paraId="3107410B" w14:textId="60711A9D" w:rsidR="005454E0" w:rsidRPr="00D85C31" w:rsidRDefault="005454E0" w:rsidP="005454E0">
            <w:pPr>
              <w:spacing w:line="259" w:lineRule="auto"/>
              <w:jc w:val="both"/>
              <w:rPr>
                <w:rFonts w:eastAsia="Calibri" w:cs="Calibri"/>
                <w:sz w:val="18"/>
                <w:szCs w:val="18"/>
              </w:rPr>
            </w:pPr>
            <w:r w:rsidRPr="00D85C31">
              <w:rPr>
                <w:bCs/>
                <w:sz w:val="18"/>
                <w:szCs w:val="18"/>
              </w:rPr>
              <w:t>The Agency has a 30 year concessionary lease from ‘ABC Agency’ for use of land.</w:t>
            </w:r>
            <w:r>
              <w:rPr>
                <w:bCs/>
                <w:sz w:val="18"/>
                <w:szCs w:val="18"/>
              </w:rPr>
              <w:t xml:space="preserve"> </w:t>
            </w:r>
            <w:r w:rsidRPr="00D85C31">
              <w:rPr>
                <w:bCs/>
                <w:sz w:val="18"/>
                <w:szCs w:val="18"/>
              </w:rPr>
              <w:t>The lease</w:t>
            </w:r>
            <w:r>
              <w:rPr>
                <w:bCs/>
                <w:sz w:val="18"/>
                <w:szCs w:val="18"/>
              </w:rPr>
              <w:t xml:space="preserve"> </w:t>
            </w:r>
            <w:r w:rsidRPr="00D85C31">
              <w:rPr>
                <w:bCs/>
                <w:sz w:val="18"/>
                <w:szCs w:val="18"/>
              </w:rPr>
              <w:t>expires in 2044, with a rental of $xxx per year which is well below market value.</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is dependent on the use of the land to further its objectives of conducting ecological studies and using the results to provide policy advice to Government.</w:t>
            </w:r>
            <w:r>
              <w:rPr>
                <w:bCs/>
                <w:sz w:val="18"/>
                <w:szCs w:val="18"/>
              </w:rPr>
              <w:t xml:space="preserve"> </w:t>
            </w:r>
            <w:r w:rsidRPr="00D85C31">
              <w:rPr>
                <w:bCs/>
                <w:sz w:val="18"/>
                <w:szCs w:val="18"/>
              </w:rPr>
              <w:t>The land is restricted to provision of community services in accordance with the objectives of the Agency to local residents.</w:t>
            </w:r>
          </w:p>
        </w:tc>
      </w:tr>
      <w:tr w:rsidR="005454E0" w:rsidRPr="00381D99" w14:paraId="7BFD853D"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2BDA2F6"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vAlign w:val="bottom"/>
          </w:tcPr>
          <w:p w14:paraId="5F207A37" w14:textId="0767A019" w:rsidR="005454E0" w:rsidRPr="00D85C31" w:rsidRDefault="005454E0" w:rsidP="005454E0">
            <w:pPr>
              <w:spacing w:before="120" w:line="259" w:lineRule="auto"/>
              <w:jc w:val="both"/>
              <w:rPr>
                <w:rFonts w:eastAsia="Calibri" w:cs="Calibri"/>
                <w:b/>
                <w:bCs/>
                <w:sz w:val="18"/>
                <w:szCs w:val="18"/>
              </w:rPr>
            </w:pPr>
            <w:r w:rsidRPr="00D85C31">
              <w:rPr>
                <w:rFonts w:eastAsia="Calibri" w:cs="Calibri"/>
                <w:b/>
                <w:bCs/>
                <w:sz w:val="18"/>
                <w:szCs w:val="18"/>
              </w:rPr>
              <w:t>Leases that have not resulted in ‘</w:t>
            </w:r>
            <w:r w:rsidRPr="00D85C31">
              <w:rPr>
                <w:b/>
                <w:bCs/>
                <w:sz w:val="18"/>
                <w:szCs w:val="18"/>
              </w:rPr>
              <w:t>Burley Griffin</w:t>
            </w:r>
            <w:r w:rsidRPr="00D85C31">
              <w:rPr>
                <w:rFonts w:eastAsia="Calibri" w:cs="Calibri"/>
                <w:b/>
                <w:bCs/>
                <w:sz w:val="18"/>
                <w:szCs w:val="18"/>
              </w:rPr>
              <w:t xml:space="preserve"> Agency’ recognising a lease liability are as follows:</w:t>
            </w:r>
          </w:p>
        </w:tc>
      </w:tr>
      <w:tr w:rsidR="005454E0" w:rsidRPr="00381D99" w14:paraId="2401B9F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D75517C"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vAlign w:val="bottom"/>
          </w:tcPr>
          <w:p w14:paraId="11131462" w14:textId="3257D98B" w:rsidR="005454E0" w:rsidRPr="00D85C31" w:rsidRDefault="005454E0" w:rsidP="005454E0">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5454E0" w:rsidRPr="00381D99" w14:paraId="28AAC598"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DD5FCFB" w14:textId="0587F640" w:rsidR="005454E0" w:rsidRPr="00D85C31" w:rsidRDefault="005454E0" w:rsidP="005454E0">
            <w:pPr>
              <w:pStyle w:val="TableReference"/>
              <w:tabs>
                <w:tab w:val="left" w:pos="3306"/>
              </w:tabs>
              <w:spacing w:after="120"/>
              <w:rPr>
                <w:rFonts w:cs="Calibri"/>
                <w:color w:val="7030A0"/>
                <w:sz w:val="14"/>
              </w:rPr>
            </w:pPr>
            <w:r w:rsidRPr="00D85C31">
              <w:rPr>
                <w:rFonts w:cs="Calibri"/>
                <w:color w:val="7030A0"/>
                <w:sz w:val="14"/>
              </w:rPr>
              <w:t>ACT Accounting Policy</w:t>
            </w:r>
          </w:p>
        </w:tc>
        <w:tc>
          <w:tcPr>
            <w:tcW w:w="939" w:type="pct"/>
            <w:tcBorders>
              <w:left w:val="single" w:sz="2" w:space="0" w:color="auto"/>
            </w:tcBorders>
            <w:shd w:val="clear" w:color="auto" w:fill="auto"/>
          </w:tcPr>
          <w:p w14:paraId="55571168" w14:textId="3905DD14" w:rsidR="005454E0" w:rsidRPr="00D85C31" w:rsidRDefault="005454E0" w:rsidP="005454E0">
            <w:pPr>
              <w:spacing w:after="120" w:line="259" w:lineRule="auto"/>
              <w:rPr>
                <w:rFonts w:eastAsia="Calibri" w:cs="Calibri"/>
                <w:sz w:val="18"/>
                <w:szCs w:val="18"/>
              </w:rPr>
            </w:pPr>
            <w:r w:rsidRPr="00D85C31">
              <w:rPr>
                <w:rFonts w:eastAsia="Calibri" w:cs="Calibri"/>
                <w:iCs/>
                <w:sz w:val="18"/>
                <w:szCs w:val="18"/>
              </w:rPr>
              <w:t>Building leases – office accommodation</w:t>
            </w:r>
          </w:p>
        </w:tc>
        <w:tc>
          <w:tcPr>
            <w:tcW w:w="3193" w:type="pct"/>
            <w:gridSpan w:val="9"/>
            <w:shd w:val="clear" w:color="auto" w:fill="auto"/>
            <w:vAlign w:val="bottom"/>
          </w:tcPr>
          <w:p w14:paraId="46C1ABCC" w14:textId="7D11E821" w:rsidR="005454E0" w:rsidRPr="00D85C31" w:rsidRDefault="005454E0" w:rsidP="005454E0">
            <w:pPr>
              <w:autoSpaceDE w:val="0"/>
              <w:autoSpaceDN w:val="0"/>
              <w:adjustRightInd w:val="0"/>
              <w:spacing w:after="120"/>
              <w:jc w:val="both"/>
              <w:rPr>
                <w:bCs/>
                <w:sz w:val="18"/>
                <w:szCs w:val="18"/>
              </w:rPr>
            </w:pPr>
            <w:r w:rsidRPr="00D85C31">
              <w:rPr>
                <w:bCs/>
                <w:sz w:val="18"/>
                <w:szCs w:val="18"/>
              </w:rPr>
              <w:t>The Agency has a Memorandum of Understanding (MoU) for each of two office buildings with the ACT Property Group (ACTPG).</w:t>
            </w:r>
            <w:r>
              <w:rPr>
                <w:bCs/>
                <w:sz w:val="18"/>
                <w:szCs w:val="18"/>
              </w:rPr>
              <w:t xml:space="preserve"> </w:t>
            </w:r>
            <w:r w:rsidRPr="00D85C31">
              <w:rPr>
                <w:bCs/>
                <w:sz w:val="18"/>
                <w:szCs w:val="18"/>
              </w:rPr>
              <w:t>A lease asset and lease liability have been recognised by ACTPG for these office buildings in accordance with ACT Government Office Accommodation Accounting Policy, and as such, ‘</w:t>
            </w:r>
            <w:r w:rsidRPr="00D85C31">
              <w:rPr>
                <w:sz w:val="18"/>
                <w:szCs w:val="18"/>
              </w:rPr>
              <w:t>Burley Griffin</w:t>
            </w:r>
            <w:r w:rsidRPr="00D85C31">
              <w:rPr>
                <w:bCs/>
                <w:sz w:val="18"/>
                <w:szCs w:val="18"/>
              </w:rPr>
              <w:t xml:space="preserve"> Agency’ has not recognised a lease liability for these buildings.</w:t>
            </w:r>
          </w:p>
          <w:p w14:paraId="0843B606" w14:textId="6D0E06B6" w:rsidR="005454E0" w:rsidRPr="00D85C31" w:rsidRDefault="005454E0" w:rsidP="005454E0">
            <w:pPr>
              <w:autoSpaceDE w:val="0"/>
              <w:autoSpaceDN w:val="0"/>
              <w:adjustRightInd w:val="0"/>
              <w:spacing w:after="120"/>
              <w:jc w:val="both"/>
              <w:rPr>
                <w:bCs/>
                <w:sz w:val="18"/>
                <w:szCs w:val="18"/>
              </w:rPr>
            </w:pPr>
            <w:r w:rsidRPr="00D85C31">
              <w:rPr>
                <w:bCs/>
                <w:sz w:val="18"/>
                <w:szCs w:val="18"/>
              </w:rPr>
              <w:t>One of the MOUs expires in three years and the second one expires in five years.</w:t>
            </w:r>
            <w:r>
              <w:rPr>
                <w:bCs/>
                <w:sz w:val="18"/>
                <w:szCs w:val="18"/>
              </w:rPr>
              <w:t xml:space="preserve"> </w:t>
            </w:r>
            <w:r w:rsidRPr="00D85C31">
              <w:rPr>
                <w:bCs/>
                <w:sz w:val="18"/>
                <w:szCs w:val="18"/>
              </w:rPr>
              <w:t>There are no conditions in the MOUs requiring the Agency to restore the leased buildings to the physical state they were in prior to the commencement of the MOUs.</w:t>
            </w:r>
            <w:r>
              <w:rPr>
                <w:bCs/>
                <w:sz w:val="18"/>
                <w:szCs w:val="18"/>
              </w:rPr>
              <w:t xml:space="preserve"> </w:t>
            </w:r>
            <w:r w:rsidRPr="00D85C31">
              <w:rPr>
                <w:bCs/>
                <w:sz w:val="18"/>
                <w:szCs w:val="18"/>
              </w:rPr>
              <w:t>The MOUs contain an annual pricing mechanism based on CPI movements at each anniversary of the inception of the MOUs.</w:t>
            </w:r>
          </w:p>
        </w:tc>
      </w:tr>
      <w:tr w:rsidR="005454E0" w:rsidRPr="00381D99" w14:paraId="38BED93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6FE12115" w14:textId="41971F0C" w:rsidR="005454E0" w:rsidRPr="00D85C31" w:rsidRDefault="005454E0" w:rsidP="005454E0">
            <w:pPr>
              <w:pStyle w:val="TableReference"/>
              <w:tabs>
                <w:tab w:val="left" w:pos="3306"/>
              </w:tabs>
              <w:spacing w:before="240" w:after="240"/>
              <w:rPr>
                <w:rFonts w:cs="Calibri"/>
                <w:color w:val="7030A0"/>
                <w:sz w:val="14"/>
              </w:rPr>
            </w:pPr>
            <w:r>
              <w:br w:type="page"/>
            </w:r>
            <w:r w:rsidRPr="00D85C31">
              <w:rPr>
                <w:rFonts w:cs="Calibri"/>
                <w:b/>
                <w:color w:val="7030A0"/>
                <w:sz w:val="22"/>
                <w:szCs w:val="22"/>
              </w:rPr>
              <w:t>Reference</w:t>
            </w:r>
          </w:p>
        </w:tc>
        <w:tc>
          <w:tcPr>
            <w:tcW w:w="4131" w:type="pct"/>
            <w:gridSpan w:val="10"/>
            <w:tcBorders>
              <w:left w:val="single" w:sz="2" w:space="0" w:color="auto"/>
            </w:tcBorders>
            <w:shd w:val="clear" w:color="auto" w:fill="auto"/>
            <w:vAlign w:val="bottom"/>
          </w:tcPr>
          <w:p w14:paraId="001B775D" w14:textId="6C8596A0" w:rsidR="005454E0" w:rsidRPr="005454E0" w:rsidRDefault="005454E0" w:rsidP="005454E0">
            <w:pPr>
              <w:autoSpaceDE w:val="0"/>
              <w:autoSpaceDN w:val="0"/>
              <w:adjustRightInd w:val="0"/>
              <w:spacing w:before="240" w:after="240"/>
              <w:jc w:val="both"/>
              <w:rPr>
                <w:rFonts w:ascii="Arial" w:hAnsi="Arial" w:cs="Arial"/>
                <w:b/>
                <w:bCs/>
                <w:sz w:val="32"/>
                <w:szCs w:val="32"/>
              </w:rPr>
            </w:pPr>
            <w:r w:rsidRPr="005454E0">
              <w:rPr>
                <w:rFonts w:ascii="Arial" w:hAnsi="Arial" w:cs="Arial"/>
                <w:b/>
                <w:bCs/>
                <w:sz w:val="32"/>
                <w:szCs w:val="32"/>
              </w:rPr>
              <w:t>NOTE 26 LEASE LIABILITIES – C</w:t>
            </w:r>
            <w:r>
              <w:rPr>
                <w:rFonts w:ascii="Arial" w:hAnsi="Arial" w:cs="Arial"/>
                <w:b/>
                <w:bCs/>
                <w:sz w:val="32"/>
                <w:szCs w:val="32"/>
              </w:rPr>
              <w:t>ONTINUED</w:t>
            </w:r>
            <w:r w:rsidRPr="005454E0">
              <w:rPr>
                <w:rFonts w:ascii="Arial" w:hAnsi="Arial" w:cs="Arial"/>
                <w:b/>
                <w:bCs/>
                <w:sz w:val="32"/>
                <w:szCs w:val="32"/>
              </w:rPr>
              <w:t xml:space="preserve"> </w:t>
            </w:r>
          </w:p>
        </w:tc>
      </w:tr>
      <w:tr w:rsidR="005454E0" w:rsidRPr="00381D99" w14:paraId="4A0E1510"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642C805" w14:textId="77777777" w:rsidR="005454E0" w:rsidRPr="00D85C31" w:rsidRDefault="005454E0" w:rsidP="005454E0">
            <w:pPr>
              <w:pStyle w:val="TableReference"/>
              <w:tabs>
                <w:tab w:val="left" w:pos="3306"/>
              </w:tabs>
              <w:rPr>
                <w:rFonts w:cs="Calibri"/>
                <w:color w:val="7030A0"/>
                <w:sz w:val="14"/>
              </w:rPr>
            </w:pPr>
          </w:p>
        </w:tc>
        <w:tc>
          <w:tcPr>
            <w:tcW w:w="939" w:type="pct"/>
            <w:tcBorders>
              <w:left w:val="single" w:sz="2" w:space="0" w:color="auto"/>
            </w:tcBorders>
            <w:shd w:val="clear" w:color="auto" w:fill="auto"/>
          </w:tcPr>
          <w:p w14:paraId="4B00281B" w14:textId="143D633D" w:rsidR="005454E0" w:rsidRPr="00021C57" w:rsidRDefault="005454E0" w:rsidP="005454E0">
            <w:pPr>
              <w:spacing w:after="120" w:line="259" w:lineRule="auto"/>
              <w:rPr>
                <w:rFonts w:eastAsia="Calibri" w:cs="Calibri"/>
                <w:color w:val="FF0000"/>
                <w:sz w:val="18"/>
                <w:szCs w:val="18"/>
              </w:rPr>
            </w:pPr>
            <w:r w:rsidRPr="00635724">
              <w:rPr>
                <w:bCs/>
                <w:sz w:val="18"/>
                <w:szCs w:val="18"/>
              </w:rPr>
              <w:t>IT equipment</w:t>
            </w:r>
          </w:p>
        </w:tc>
        <w:tc>
          <w:tcPr>
            <w:tcW w:w="3193" w:type="pct"/>
            <w:gridSpan w:val="9"/>
            <w:shd w:val="clear" w:color="auto" w:fill="auto"/>
            <w:vAlign w:val="bottom"/>
          </w:tcPr>
          <w:p w14:paraId="1A4A0AB0" w14:textId="5360205D" w:rsidR="005454E0" w:rsidRPr="00D85C31" w:rsidRDefault="005454E0" w:rsidP="005454E0">
            <w:pPr>
              <w:autoSpaceDE w:val="0"/>
              <w:autoSpaceDN w:val="0"/>
              <w:adjustRightInd w:val="0"/>
              <w:spacing w:after="120"/>
              <w:jc w:val="both"/>
              <w:rPr>
                <w:bCs/>
                <w:sz w:val="18"/>
                <w:szCs w:val="18"/>
              </w:rPr>
            </w:pPr>
            <w:r w:rsidRPr="00D85C31">
              <w:rPr>
                <w:bCs/>
                <w:sz w:val="18"/>
                <w:szCs w:val="18"/>
              </w:rPr>
              <w:t>The Agency has numerous leases for IT equipment.</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has determined that these leased assets are low value and as such has used the exemption for leases of low value assets.</w:t>
            </w:r>
            <w:r>
              <w:rPr>
                <w:bCs/>
                <w:sz w:val="18"/>
                <w:szCs w:val="18"/>
              </w:rPr>
              <w:t xml:space="preserve"> </w:t>
            </w:r>
            <w:r w:rsidRPr="00D85C31">
              <w:rPr>
                <w:bCs/>
                <w:sz w:val="18"/>
                <w:szCs w:val="18"/>
              </w:rPr>
              <w:t>Therefore ‘</w:t>
            </w:r>
            <w:r w:rsidRPr="00D85C31">
              <w:rPr>
                <w:sz w:val="18"/>
                <w:szCs w:val="18"/>
              </w:rPr>
              <w:t>Burley Griffin</w:t>
            </w:r>
            <w:r w:rsidRPr="00D85C31">
              <w:rPr>
                <w:bCs/>
                <w:sz w:val="18"/>
                <w:szCs w:val="18"/>
              </w:rPr>
              <w:t xml:space="preserve"> Agency’ does not take up a lease liability for these leases but instead accounts for the cost of these leases as an expense through the Operating Statement as incurred.</w:t>
            </w:r>
          </w:p>
          <w:p w14:paraId="600F67CD" w14:textId="4013EE31" w:rsidR="005454E0" w:rsidRPr="00D85C31" w:rsidRDefault="005454E0" w:rsidP="005454E0">
            <w:pPr>
              <w:autoSpaceDE w:val="0"/>
              <w:autoSpaceDN w:val="0"/>
              <w:adjustRightInd w:val="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5454E0" w:rsidRPr="00381D99" w14:paraId="38A0940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1DF3130" w14:textId="77777777" w:rsidR="005454E0" w:rsidRPr="00D85C31" w:rsidRDefault="005454E0" w:rsidP="005454E0">
            <w:pPr>
              <w:pStyle w:val="TableReference"/>
              <w:tabs>
                <w:tab w:val="left" w:pos="3306"/>
              </w:tabs>
              <w:spacing w:before="240"/>
              <w:rPr>
                <w:rFonts w:cs="Calibri"/>
                <w:color w:val="7030A0"/>
                <w:sz w:val="14"/>
              </w:rPr>
            </w:pPr>
            <w:r w:rsidRPr="00D85C31">
              <w:rPr>
                <w:rFonts w:cs="Calibri"/>
                <w:color w:val="7030A0"/>
                <w:sz w:val="14"/>
              </w:rPr>
              <w:t>AASB16.59bii</w:t>
            </w:r>
          </w:p>
        </w:tc>
        <w:tc>
          <w:tcPr>
            <w:tcW w:w="4131" w:type="pct"/>
            <w:gridSpan w:val="10"/>
            <w:tcBorders>
              <w:left w:val="single" w:sz="2" w:space="0" w:color="auto"/>
            </w:tcBorders>
            <w:shd w:val="clear" w:color="auto" w:fill="auto"/>
          </w:tcPr>
          <w:p w14:paraId="6A6EA446" w14:textId="61CFD724" w:rsidR="005454E0" w:rsidRPr="00D85C31" w:rsidRDefault="005454E0" w:rsidP="005454E0">
            <w:pPr>
              <w:spacing w:before="120" w:line="259" w:lineRule="auto"/>
              <w:jc w:val="both"/>
              <w:rPr>
                <w:rFonts w:eastAsia="Calibri" w:cs="Calibri"/>
                <w:b/>
                <w:bCs/>
                <w:iCs/>
                <w:sz w:val="18"/>
                <w:szCs w:val="18"/>
              </w:rPr>
            </w:pPr>
            <w:r w:rsidRPr="00D85C31">
              <w:rPr>
                <w:rFonts w:eastAsia="Calibri" w:cs="Calibri"/>
                <w:b/>
                <w:bCs/>
                <w:iCs/>
                <w:sz w:val="18"/>
                <w:szCs w:val="18"/>
              </w:rPr>
              <w:t>Extension Options</w:t>
            </w:r>
          </w:p>
          <w:p w14:paraId="31A10738" w14:textId="193BD2AE" w:rsidR="005454E0" w:rsidRPr="00D85C31" w:rsidRDefault="005454E0" w:rsidP="005454E0">
            <w:pPr>
              <w:spacing w:after="120" w:line="259" w:lineRule="auto"/>
              <w:jc w:val="both"/>
              <w:rPr>
                <w:rFonts w:eastAsia="Calibri" w:cs="Calibri"/>
                <w:sz w:val="18"/>
                <w:szCs w:val="18"/>
              </w:rPr>
            </w:pPr>
            <w:r w:rsidRPr="00D85C31">
              <w:rPr>
                <w:rFonts w:eastAsia="Calibri" w:cs="Calibri"/>
                <w:sz w:val="18"/>
                <w:szCs w:val="18"/>
              </w:rPr>
              <w:t xml:space="preserve">Where a lease contains extension options, at commencement date and at each subsequent reporting date, the Agency assesses </w:t>
            </w:r>
            <w:r w:rsidRPr="00055382">
              <w:rPr>
                <w:rFonts w:eastAsia="Calibri" w:cs="Calibri"/>
                <w:color w:val="FF0000"/>
                <w:sz w:val="18"/>
                <w:szCs w:val="18"/>
              </w:rPr>
              <w:t xml:space="preserve">whether </w:t>
            </w:r>
            <w:r w:rsidRPr="00055382">
              <w:rPr>
                <w:rFonts w:eastAsia="Calibri" w:cs="Calibri"/>
                <w:strike/>
                <w:color w:val="FF0000"/>
                <w:sz w:val="18"/>
                <w:szCs w:val="18"/>
              </w:rPr>
              <w:t>where</w:t>
            </w:r>
            <w:r w:rsidRPr="008C7EB6">
              <w:rPr>
                <w:rFonts w:eastAsia="Calibri" w:cs="Calibri"/>
                <w:color w:val="FF0000"/>
                <w:sz w:val="18"/>
                <w:szCs w:val="18"/>
              </w:rPr>
              <w:t xml:space="preserve"> </w:t>
            </w:r>
            <w:r w:rsidRPr="00D85C31">
              <w:rPr>
                <w:rFonts w:eastAsia="Calibri" w:cs="Calibri"/>
                <w:sz w:val="18"/>
                <w:szCs w:val="18"/>
              </w:rPr>
              <w:t>it is reasonably certain that the extension options will be exercised.</w:t>
            </w:r>
          </w:p>
          <w:p w14:paraId="2C64F891" w14:textId="1D444CF2" w:rsidR="005454E0" w:rsidRPr="00D85C31" w:rsidRDefault="005454E0" w:rsidP="005454E0">
            <w:pPr>
              <w:spacing w:after="120" w:line="259" w:lineRule="auto"/>
              <w:jc w:val="both"/>
              <w:rPr>
                <w:b/>
                <w:strike/>
                <w:sz w:val="20"/>
                <w:szCs w:val="20"/>
              </w:rPr>
            </w:pPr>
            <w:r w:rsidRPr="00D85C31">
              <w:rPr>
                <w:rFonts w:eastAsia="Calibri" w:cs="Calibri"/>
                <w:sz w:val="18"/>
                <w:szCs w:val="18"/>
              </w:rPr>
              <w:t>There are $xxx in potential future lease payments which are not included in lease liabilities as the Agency has assessed that the exercise of the option is not reasonably certain</w:t>
            </w:r>
            <w:r>
              <w:rPr>
                <w:rFonts w:eastAsia="Calibri" w:cs="Calibri"/>
                <w:sz w:val="18"/>
                <w:szCs w:val="18"/>
              </w:rPr>
              <w:t>.</w:t>
            </w:r>
          </w:p>
        </w:tc>
      </w:tr>
      <w:tr w:rsidR="005454E0" w:rsidRPr="00381D99" w14:paraId="48F07C6F"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230B2026" w14:textId="2110ECBD"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7CDD180C" w14:textId="6D93032F" w:rsidR="005454E0" w:rsidRPr="00055382" w:rsidRDefault="005454E0" w:rsidP="005454E0">
            <w:pPr>
              <w:spacing w:line="259" w:lineRule="auto"/>
              <w:jc w:val="both"/>
              <w:rPr>
                <w:rFonts w:eastAsia="Calibri" w:cs="Calibri"/>
                <w:b/>
                <w:bCs/>
                <w:iCs/>
                <w:strike/>
                <w:sz w:val="18"/>
                <w:szCs w:val="18"/>
              </w:rPr>
            </w:pPr>
            <w:r w:rsidRPr="00055382">
              <w:rPr>
                <w:b/>
                <w:bCs/>
                <w:strike/>
                <w:color w:val="FF0000"/>
                <w:sz w:val="18"/>
                <w:szCs w:val="18"/>
              </w:rPr>
              <w:t>Material Accounting Policies Relating to Lease Liabilities</w:t>
            </w:r>
          </w:p>
        </w:tc>
      </w:tr>
      <w:tr w:rsidR="005454E0" w:rsidRPr="00381D99" w14:paraId="52B55161"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128B059F"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7A6368B8" w14:textId="5AD73F75" w:rsidR="005454E0" w:rsidRPr="00055382" w:rsidRDefault="005454E0" w:rsidP="005454E0">
            <w:pPr>
              <w:spacing w:line="259" w:lineRule="auto"/>
              <w:jc w:val="both"/>
              <w:rPr>
                <w:b/>
                <w:bCs/>
                <w:strike/>
                <w:color w:val="FF0000"/>
                <w:sz w:val="18"/>
                <w:szCs w:val="18"/>
              </w:rPr>
            </w:pPr>
            <w:r w:rsidRPr="00055382">
              <w:rPr>
                <w:rFonts w:asciiTheme="minorHAnsi" w:hAnsiTheme="minorHAnsi" w:cstheme="minorHAnsi"/>
                <w:color w:val="538135" w:themeColor="accent6" w:themeShade="BF"/>
                <w:sz w:val="18"/>
                <w:szCs w:val="18"/>
              </w:rPr>
              <w:t>At inception of a contract, the Agency assesses whether a lease exists, that is, does the contract convey the right to control the use of an identified asset for a period of time in exchange for consideration.</w:t>
            </w:r>
          </w:p>
        </w:tc>
      </w:tr>
      <w:tr w:rsidR="005454E0" w:rsidRPr="00381D99" w14:paraId="24E2085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4DB01E6B"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37FBF292" w14:textId="77777777" w:rsidR="005454E0" w:rsidRPr="00055382" w:rsidRDefault="005454E0" w:rsidP="005454E0">
            <w:pPr>
              <w:spacing w:after="120"/>
              <w:jc w:val="both"/>
              <w:rPr>
                <w:rFonts w:asciiTheme="minorHAnsi" w:hAnsiTheme="minorHAnsi" w:cstheme="minorHAnsi"/>
                <w:color w:val="538135" w:themeColor="accent6" w:themeShade="BF"/>
                <w:sz w:val="18"/>
                <w:szCs w:val="18"/>
              </w:rPr>
            </w:pPr>
            <w:r w:rsidRPr="00055382">
              <w:rPr>
                <w:rFonts w:asciiTheme="minorHAnsi" w:hAnsiTheme="minorHAnsi" w:cstheme="minorHAnsi"/>
                <w:color w:val="538135" w:themeColor="accent6" w:themeShade="BF"/>
                <w:sz w:val="18"/>
                <w:szCs w:val="18"/>
              </w:rPr>
              <w:t>This involves an assessment of whether:</w:t>
            </w:r>
          </w:p>
          <w:p w14:paraId="57958BDA" w14:textId="77777777" w:rsidR="005454E0" w:rsidRPr="00055382" w:rsidRDefault="005454E0" w:rsidP="005454E0">
            <w:pPr>
              <w:pStyle w:val="ListParagraph"/>
              <w:numPr>
                <w:ilvl w:val="0"/>
                <w:numId w:val="55"/>
              </w:numPr>
              <w:spacing w:after="120"/>
              <w:contextualSpacing w:val="0"/>
              <w:jc w:val="both"/>
              <w:rPr>
                <w:rFonts w:asciiTheme="minorHAnsi" w:hAnsiTheme="minorHAnsi" w:cstheme="minorHAnsi"/>
                <w:color w:val="538135" w:themeColor="accent6" w:themeShade="BF"/>
                <w:sz w:val="18"/>
                <w:szCs w:val="18"/>
              </w:rPr>
            </w:pPr>
            <w:r w:rsidRPr="00055382">
              <w:rPr>
                <w:rFonts w:asciiTheme="minorHAnsi" w:hAnsiTheme="minorHAnsi" w:cstheme="minorHAnsi"/>
                <w:color w:val="538135" w:themeColor="accent6" w:themeShade="BF"/>
                <w:sz w:val="18"/>
                <w:szCs w:val="18"/>
              </w:rPr>
              <w:t>the contract involves the use of an identified asset – this may be explicitly or implicitly identified within the agreement. If the supplier has a substantive substitution right then there is no identified asset;</w:t>
            </w:r>
          </w:p>
          <w:p w14:paraId="1F23089B" w14:textId="2988733B" w:rsidR="005454E0" w:rsidRPr="00055382" w:rsidRDefault="005454E0" w:rsidP="005454E0">
            <w:pPr>
              <w:pStyle w:val="ListParagraph"/>
              <w:numPr>
                <w:ilvl w:val="0"/>
                <w:numId w:val="55"/>
              </w:numPr>
              <w:spacing w:after="120"/>
              <w:contextualSpacing w:val="0"/>
              <w:jc w:val="both"/>
              <w:rPr>
                <w:rFonts w:asciiTheme="minorHAnsi" w:hAnsiTheme="minorHAnsi" w:cstheme="minorHAnsi"/>
                <w:color w:val="538135" w:themeColor="accent6" w:themeShade="BF"/>
                <w:sz w:val="18"/>
                <w:szCs w:val="18"/>
              </w:rPr>
            </w:pPr>
            <w:r w:rsidRPr="00055382">
              <w:rPr>
                <w:rFonts w:asciiTheme="minorHAnsi" w:hAnsiTheme="minorHAnsi" w:cstheme="minorHAnsi"/>
                <w:color w:val="538135" w:themeColor="accent6" w:themeShade="BF"/>
                <w:sz w:val="18"/>
                <w:szCs w:val="18"/>
              </w:rPr>
              <w:t xml:space="preserve">the Agency has the right to obtain substantially all of the economic benefits from the use of the asset throughout the period of use; </w:t>
            </w:r>
            <w:r w:rsidRPr="00055382">
              <w:rPr>
                <w:rFonts w:asciiTheme="minorHAnsi" w:hAnsiTheme="minorHAnsi" w:cstheme="minorHAnsi"/>
                <w:color w:val="FF0000"/>
                <w:sz w:val="18"/>
                <w:szCs w:val="18"/>
              </w:rPr>
              <w:t>and</w:t>
            </w:r>
          </w:p>
          <w:p w14:paraId="788BC3C3" w14:textId="1E0DF70E" w:rsidR="005454E0" w:rsidRPr="00055382" w:rsidRDefault="005454E0" w:rsidP="005454E0">
            <w:pPr>
              <w:pStyle w:val="ListParagraph"/>
              <w:numPr>
                <w:ilvl w:val="0"/>
                <w:numId w:val="55"/>
              </w:numPr>
              <w:spacing w:after="120"/>
              <w:contextualSpacing w:val="0"/>
              <w:jc w:val="both"/>
              <w:rPr>
                <w:rFonts w:asciiTheme="minorHAnsi" w:hAnsiTheme="minorHAnsi" w:cstheme="minorHAnsi"/>
                <w:color w:val="538135" w:themeColor="accent6" w:themeShade="BF"/>
                <w:sz w:val="18"/>
                <w:szCs w:val="18"/>
              </w:rPr>
            </w:pPr>
            <w:r w:rsidRPr="00055382">
              <w:rPr>
                <w:rFonts w:asciiTheme="minorHAnsi" w:hAnsiTheme="minorHAnsi" w:cstheme="minorHAnsi"/>
                <w:color w:val="538135" w:themeColor="accent6" w:themeShade="BF"/>
                <w:sz w:val="18"/>
                <w:szCs w:val="18"/>
              </w:rPr>
              <w:t>the Agency has the right to direct the use of the asset i.e. decision making rights in relation to changing how and for what purpose the asset is used.</w:t>
            </w:r>
          </w:p>
        </w:tc>
      </w:tr>
      <w:tr w:rsidR="005454E0" w:rsidRPr="00381D99" w14:paraId="081BEEE2"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B215D8B"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2A0E77F0" w14:textId="687F5649" w:rsidR="005454E0" w:rsidRPr="00D85C31" w:rsidRDefault="005454E0" w:rsidP="005454E0">
            <w:pPr>
              <w:spacing w:after="60" w:line="259" w:lineRule="auto"/>
              <w:jc w:val="both"/>
              <w:rPr>
                <w:rFonts w:asciiTheme="minorHAnsi" w:hAnsiTheme="minorHAnsi" w:cstheme="minorHAnsi"/>
                <w:sz w:val="18"/>
                <w:szCs w:val="18"/>
              </w:rPr>
            </w:pPr>
            <w:r w:rsidRPr="00D85C31">
              <w:rPr>
                <w:rFonts w:asciiTheme="minorHAnsi" w:hAnsiTheme="minorHAnsi" w:cstheme="minorHAnsi"/>
                <w:sz w:val="18"/>
                <w:szCs w:val="18"/>
              </w:rPr>
              <w:t>The lease liability is initially measured at the present value of the remaining lease payments at the commencement of the lease.</w:t>
            </w:r>
            <w:r>
              <w:rPr>
                <w:rFonts w:asciiTheme="minorHAnsi" w:hAnsiTheme="minorHAnsi" w:cstheme="minorHAnsi"/>
                <w:sz w:val="18"/>
                <w:szCs w:val="18"/>
              </w:rPr>
              <w:t xml:space="preserve"> </w:t>
            </w:r>
          </w:p>
        </w:tc>
      </w:tr>
      <w:tr w:rsidR="005454E0" w:rsidRPr="00381D99" w14:paraId="00A770B7"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154"/>
        </w:trPr>
        <w:tc>
          <w:tcPr>
            <w:tcW w:w="704" w:type="pct"/>
            <w:tcBorders>
              <w:left w:val="single" w:sz="2" w:space="0" w:color="auto"/>
              <w:right w:val="single" w:sz="2" w:space="0" w:color="auto"/>
            </w:tcBorders>
          </w:tcPr>
          <w:p w14:paraId="6A0ED422"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55ED0360" w14:textId="5F77D7E0" w:rsidR="005454E0" w:rsidRPr="00D85C31" w:rsidRDefault="005454E0" w:rsidP="005454E0">
            <w:pPr>
              <w:spacing w:after="40" w:line="259" w:lineRule="auto"/>
              <w:jc w:val="both"/>
              <w:rPr>
                <w:rFonts w:asciiTheme="minorHAnsi" w:hAnsiTheme="minorHAnsi" w:cstheme="minorHAnsi"/>
                <w:sz w:val="18"/>
                <w:szCs w:val="18"/>
              </w:rPr>
            </w:pPr>
            <w:r w:rsidRPr="00D85C31">
              <w:rPr>
                <w:rFonts w:asciiTheme="minorHAnsi" w:hAnsiTheme="minorHAnsi" w:cstheme="minorHAnsi"/>
                <w:sz w:val="18"/>
                <w:szCs w:val="18"/>
              </w:rPr>
              <w:t>Lease liabilities include the net present value of the following lease payments:</w:t>
            </w:r>
          </w:p>
        </w:tc>
      </w:tr>
      <w:tr w:rsidR="005454E0" w:rsidRPr="00381D99" w14:paraId="51B1C50D"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123E0A9"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486E7CAD" w14:textId="69C64D97" w:rsidR="005454E0" w:rsidRPr="00D85C31" w:rsidRDefault="005454E0" w:rsidP="005454E0">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fixed payments (including in-substance fixed payments), less any lease incentive receivables;</w:t>
            </w:r>
          </w:p>
        </w:tc>
      </w:tr>
      <w:tr w:rsidR="005454E0" w:rsidRPr="00381D99" w14:paraId="1D3EDAD3"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E57B5F0"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65EBAC53" w14:textId="2D4CB7C8" w:rsidR="005454E0" w:rsidRPr="00D85C31" w:rsidRDefault="005454E0" w:rsidP="005454E0">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variable lease payments that are based on an index or a rate, initially measured using the index or rate as at the commencement date;</w:t>
            </w:r>
          </w:p>
        </w:tc>
      </w:tr>
      <w:tr w:rsidR="005454E0" w:rsidRPr="00381D99" w14:paraId="2BE30B8C"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7B93C4B0"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6EED97BC" w14:textId="67241C62" w:rsidR="005454E0" w:rsidRPr="00D85C31" w:rsidRDefault="005454E0" w:rsidP="005454E0">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amounts expected to be payable by the lessee under residual value guarantees;</w:t>
            </w:r>
          </w:p>
        </w:tc>
      </w:tr>
      <w:tr w:rsidR="005454E0" w:rsidRPr="00381D99" w14:paraId="7B44C331"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E377703"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70DD77AB" w14:textId="45BA03A9" w:rsidR="005454E0" w:rsidRPr="00D85C31" w:rsidRDefault="005454E0" w:rsidP="005454E0">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exercise price of a purchase option if the lessee is reasonably certain to exercise that option; and</w:t>
            </w:r>
          </w:p>
        </w:tc>
      </w:tr>
      <w:tr w:rsidR="005454E0" w:rsidRPr="00381D99" w14:paraId="1AF9AFF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AAB2816"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532DB15A" w14:textId="7C3E4CDC" w:rsidR="005454E0" w:rsidRPr="00D85C31" w:rsidRDefault="005454E0" w:rsidP="005454E0">
            <w:pPr>
              <w:pStyle w:val="Appxhead3"/>
              <w:numPr>
                <w:ilvl w:val="0"/>
                <w:numId w:val="49"/>
              </w:numPr>
              <w:spacing w:before="0" w:after="120"/>
              <w:ind w:left="601" w:hanging="357"/>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payments of penalties for terminating the lease, if the lease term reflects the lessee exercising that termination option.</w:t>
            </w:r>
          </w:p>
        </w:tc>
      </w:tr>
      <w:tr w:rsidR="005454E0" w:rsidRPr="00381D99" w14:paraId="31A0119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2B281DA"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252C5AB1" w14:textId="36B45ABF" w:rsidR="005454E0" w:rsidRPr="00D85C31" w:rsidRDefault="005454E0" w:rsidP="005454E0">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Subsequent to initial recognition, the lease liability is measured at amortised cost using the effective interest rate method.</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The lease liability is remeasured whether there is a lease modification, change in estimate of the lease term or index upon which the lease payments are based (e.g. CPI) or a change in the Agency’s assessment of lease term.</w:t>
            </w:r>
          </w:p>
        </w:tc>
      </w:tr>
      <w:tr w:rsidR="005454E0" w:rsidRPr="00381D99" w14:paraId="5DFF7E33"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764E32A0"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30F9109F" w14:textId="763D3456" w:rsidR="005454E0" w:rsidRPr="00D85C31" w:rsidRDefault="005454E0" w:rsidP="005454E0">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Lease payments to be made under reasonably certain extension options are also included in the measurement of the liability.</w:t>
            </w:r>
          </w:p>
        </w:tc>
      </w:tr>
      <w:tr w:rsidR="005454E0" w:rsidRPr="00381D99" w14:paraId="3F5B8D3B"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E1A5ABD" w14:textId="02DE954B" w:rsidR="005454E0" w:rsidRPr="00D85C31" w:rsidRDefault="005454E0" w:rsidP="005454E0">
            <w:pPr>
              <w:pStyle w:val="TableReference"/>
              <w:tabs>
                <w:tab w:val="left" w:pos="3306"/>
              </w:tabs>
              <w:spacing w:after="120"/>
              <w:rPr>
                <w:rFonts w:cs="Calibri"/>
                <w:color w:val="7030A0"/>
                <w:sz w:val="14"/>
              </w:rPr>
            </w:pPr>
            <w:r w:rsidRPr="00D85C31">
              <w:rPr>
                <w:rFonts w:cs="Calibri"/>
                <w:color w:val="7030A0"/>
                <w:sz w:val="14"/>
              </w:rPr>
              <w:t>ACT Accounting Policy</w:t>
            </w:r>
          </w:p>
        </w:tc>
        <w:tc>
          <w:tcPr>
            <w:tcW w:w="4131" w:type="pct"/>
            <w:gridSpan w:val="10"/>
            <w:tcBorders>
              <w:left w:val="single" w:sz="2" w:space="0" w:color="auto"/>
            </w:tcBorders>
            <w:shd w:val="clear" w:color="auto" w:fill="auto"/>
          </w:tcPr>
          <w:p w14:paraId="2417C7DF" w14:textId="5E26C466" w:rsidR="005454E0" w:rsidRPr="00D85C31" w:rsidRDefault="005454E0" w:rsidP="005454E0">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lease payments are discounted using the interest rate implicit in the lease.</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If that rate cannot be readily determined, a rate that</w:t>
            </w:r>
            <w:r w:rsidRPr="00D85C31">
              <w:rPr>
                <w:rStyle w:val="Hyperlink"/>
                <w:rFonts w:asciiTheme="minorHAnsi" w:hAnsiTheme="minorHAnsi" w:cstheme="minorHAnsi"/>
                <w:b w:val="0"/>
                <w:smallCaps w:val="0"/>
                <w:color w:val="auto"/>
                <w:sz w:val="18"/>
                <w:szCs w:val="18"/>
                <w:u w:val="none"/>
              </w:rPr>
              <w:t xml:space="preserve"> reflects the lessee’s incremental borrowing rate is used, which is in line with ACT Government Accounting Policy.</w:t>
            </w:r>
          </w:p>
        </w:tc>
      </w:tr>
      <w:tr w:rsidR="005454E0" w:rsidRPr="00381D99" w14:paraId="013A81F3"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F5456BC"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31902079" w14:textId="62555849" w:rsidR="005454E0" w:rsidRPr="00055382" w:rsidRDefault="005454E0" w:rsidP="005454E0">
            <w:pPr>
              <w:pStyle w:val="Appxhead3"/>
              <w:spacing w:before="0" w:after="120"/>
              <w:jc w:val="both"/>
              <w:rPr>
                <w:rFonts w:asciiTheme="minorHAnsi" w:hAnsiTheme="minorHAnsi" w:cstheme="minorHAnsi"/>
                <w:b w:val="0"/>
                <w:smallCaps w:val="0"/>
                <w:strike/>
                <w:color w:val="538135" w:themeColor="accent6" w:themeShade="BF"/>
                <w:sz w:val="18"/>
                <w:szCs w:val="18"/>
              </w:rPr>
            </w:pPr>
            <w:r w:rsidRPr="00055382">
              <w:rPr>
                <w:rFonts w:asciiTheme="minorHAnsi" w:hAnsiTheme="minorHAnsi" w:cstheme="minorHAnsi"/>
                <w:b w:val="0"/>
                <w:smallCaps w:val="0"/>
                <w:strike/>
                <w:color w:val="538135" w:themeColor="accent6" w:themeShade="BF"/>
                <w:sz w:val="18"/>
                <w:szCs w:val="18"/>
              </w:rPr>
              <w:t>At inception of a contract, the Agency assesses whether a lease exists, that is, does the contract convey the right to control the use of an identified asset for a period of time in exchange for consideration.</w:t>
            </w:r>
          </w:p>
        </w:tc>
      </w:tr>
      <w:tr w:rsidR="005454E0" w:rsidRPr="00381D99" w14:paraId="26E5A2A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426A23BB"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5BF5AF54" w14:textId="77777777" w:rsidR="005454E0" w:rsidRPr="00055382" w:rsidRDefault="005454E0" w:rsidP="005454E0">
            <w:pPr>
              <w:spacing w:after="120"/>
              <w:jc w:val="both"/>
              <w:rPr>
                <w:rFonts w:asciiTheme="minorHAnsi" w:hAnsiTheme="minorHAnsi" w:cstheme="minorHAnsi"/>
                <w:strike/>
                <w:color w:val="538135" w:themeColor="accent6" w:themeShade="BF"/>
                <w:sz w:val="18"/>
                <w:szCs w:val="18"/>
              </w:rPr>
            </w:pPr>
            <w:r w:rsidRPr="00055382">
              <w:rPr>
                <w:rFonts w:asciiTheme="minorHAnsi" w:hAnsiTheme="minorHAnsi" w:cstheme="minorHAnsi"/>
                <w:strike/>
                <w:color w:val="538135" w:themeColor="accent6" w:themeShade="BF"/>
                <w:sz w:val="18"/>
                <w:szCs w:val="18"/>
              </w:rPr>
              <w:t>This involves an assessment of whether:</w:t>
            </w:r>
          </w:p>
          <w:p w14:paraId="7B5420CC" w14:textId="6D0F6D64" w:rsidR="005454E0" w:rsidRPr="00055382" w:rsidRDefault="005454E0" w:rsidP="005454E0">
            <w:pPr>
              <w:pStyle w:val="ListParagraph"/>
              <w:numPr>
                <w:ilvl w:val="0"/>
                <w:numId w:val="55"/>
              </w:numPr>
              <w:spacing w:after="120"/>
              <w:contextualSpacing w:val="0"/>
              <w:jc w:val="both"/>
              <w:rPr>
                <w:rFonts w:asciiTheme="minorHAnsi" w:hAnsiTheme="minorHAnsi" w:cstheme="minorHAnsi"/>
                <w:strike/>
                <w:color w:val="538135" w:themeColor="accent6" w:themeShade="BF"/>
                <w:sz w:val="18"/>
                <w:szCs w:val="18"/>
              </w:rPr>
            </w:pPr>
            <w:r w:rsidRPr="00055382">
              <w:rPr>
                <w:rFonts w:asciiTheme="minorHAnsi" w:hAnsiTheme="minorHAnsi" w:cstheme="minorHAnsi"/>
                <w:strike/>
                <w:color w:val="538135" w:themeColor="accent6" w:themeShade="BF"/>
                <w:sz w:val="18"/>
                <w:szCs w:val="18"/>
              </w:rPr>
              <w:t>the contract involves the use of an identified asset – this may be explicitly or implicitly identified within the agreement. If the supplier has a substantive substitution right then there is no identified asset;</w:t>
            </w:r>
          </w:p>
          <w:p w14:paraId="657B38E7" w14:textId="799B63EF" w:rsidR="005454E0" w:rsidRPr="00055382" w:rsidRDefault="005454E0" w:rsidP="005454E0">
            <w:pPr>
              <w:pStyle w:val="ListParagraph"/>
              <w:numPr>
                <w:ilvl w:val="0"/>
                <w:numId w:val="55"/>
              </w:numPr>
              <w:spacing w:after="120"/>
              <w:contextualSpacing w:val="0"/>
              <w:jc w:val="both"/>
              <w:rPr>
                <w:rFonts w:asciiTheme="minorHAnsi" w:hAnsiTheme="minorHAnsi" w:cstheme="minorHAnsi"/>
                <w:strike/>
                <w:color w:val="538135" w:themeColor="accent6" w:themeShade="BF"/>
                <w:sz w:val="18"/>
                <w:szCs w:val="18"/>
              </w:rPr>
            </w:pPr>
            <w:r w:rsidRPr="00055382">
              <w:rPr>
                <w:rFonts w:asciiTheme="minorHAnsi" w:hAnsiTheme="minorHAnsi" w:cstheme="minorHAnsi"/>
                <w:strike/>
                <w:color w:val="538135" w:themeColor="accent6" w:themeShade="BF"/>
                <w:sz w:val="18"/>
                <w:szCs w:val="18"/>
              </w:rPr>
              <w:t>the Agency has the right to obtain substantially all of the economic benefits from the use of the asset throughout the period of use;</w:t>
            </w:r>
          </w:p>
          <w:p w14:paraId="7CE98D7B" w14:textId="4342ED6E" w:rsidR="005454E0" w:rsidRPr="00055382" w:rsidRDefault="005454E0" w:rsidP="00D43DDC">
            <w:pPr>
              <w:pStyle w:val="ListParagraph"/>
              <w:numPr>
                <w:ilvl w:val="0"/>
                <w:numId w:val="55"/>
              </w:numPr>
              <w:spacing w:after="120"/>
              <w:ind w:left="714" w:hanging="357"/>
              <w:contextualSpacing w:val="0"/>
              <w:jc w:val="both"/>
              <w:rPr>
                <w:rFonts w:asciiTheme="minorHAnsi" w:hAnsiTheme="minorHAnsi" w:cstheme="minorHAnsi"/>
                <w:strike/>
                <w:color w:val="538135" w:themeColor="accent6" w:themeShade="BF"/>
                <w:sz w:val="18"/>
                <w:szCs w:val="18"/>
              </w:rPr>
            </w:pPr>
            <w:r w:rsidRPr="00055382">
              <w:rPr>
                <w:rFonts w:asciiTheme="minorHAnsi" w:hAnsiTheme="minorHAnsi" w:cstheme="minorHAnsi"/>
                <w:strike/>
                <w:color w:val="538135" w:themeColor="accent6" w:themeShade="BF"/>
                <w:sz w:val="18"/>
                <w:szCs w:val="18"/>
              </w:rPr>
              <w:t>the Agency has the right to direct the use of the asset i.e. decision making rights in relation to changing how and for what purpose the asset is used.</w:t>
            </w:r>
          </w:p>
        </w:tc>
      </w:tr>
      <w:tr w:rsidR="005454E0" w:rsidRPr="00381D99" w14:paraId="5B75E13B"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E501708" w14:textId="62FBEBAB" w:rsidR="005454E0" w:rsidRPr="00A43B3B" w:rsidRDefault="005454E0" w:rsidP="00D43DDC">
            <w:pPr>
              <w:pStyle w:val="TableReference"/>
              <w:tabs>
                <w:tab w:val="left" w:pos="3306"/>
              </w:tabs>
              <w:spacing w:before="240" w:after="240"/>
              <w:rPr>
                <w:rFonts w:cs="Calibri"/>
                <w:b/>
                <w:color w:val="7030A0"/>
                <w:sz w:val="22"/>
                <w:szCs w:val="22"/>
              </w:rPr>
            </w:pPr>
            <w:r w:rsidRPr="00A43B3B">
              <w:rPr>
                <w:rFonts w:cs="Calibri"/>
                <w:b/>
                <w:color w:val="7030A0"/>
                <w:sz w:val="22"/>
                <w:szCs w:val="22"/>
              </w:rPr>
              <w:br w:type="page"/>
              <w:t>Reference</w:t>
            </w:r>
          </w:p>
        </w:tc>
        <w:tc>
          <w:tcPr>
            <w:tcW w:w="4131" w:type="pct"/>
            <w:gridSpan w:val="10"/>
            <w:tcBorders>
              <w:left w:val="single" w:sz="2" w:space="0" w:color="auto"/>
            </w:tcBorders>
            <w:shd w:val="clear" w:color="auto" w:fill="auto"/>
            <w:vAlign w:val="bottom"/>
          </w:tcPr>
          <w:p w14:paraId="419064C0" w14:textId="758CE013" w:rsidR="005454E0" w:rsidRPr="00D85C31" w:rsidRDefault="005454E0" w:rsidP="00D43DDC">
            <w:pPr>
              <w:pStyle w:val="Appxhead3"/>
              <w:spacing w:before="240" w:after="240"/>
              <w:jc w:val="both"/>
              <w:rPr>
                <w:rFonts w:asciiTheme="minorHAnsi" w:hAnsiTheme="minorHAnsi" w:cstheme="minorHAnsi"/>
                <w:b w:val="0"/>
                <w:smallCaps w:val="0"/>
                <w:sz w:val="18"/>
                <w:szCs w:val="18"/>
              </w:rPr>
            </w:pPr>
            <w:r w:rsidRPr="00E624F7">
              <w:rPr>
                <w:bCs/>
                <w:caps/>
                <w:sz w:val="32"/>
                <w:szCs w:val="24"/>
              </w:rPr>
              <w:t>NOTE 26 LEASE LIABILITIES – Continued</w:t>
            </w:r>
            <w:r w:rsidRPr="00413D72">
              <w:rPr>
                <w:bCs/>
                <w:caps/>
                <w:sz w:val="32"/>
                <w:szCs w:val="24"/>
              </w:rPr>
              <w:t xml:space="preserve"> </w:t>
            </w:r>
          </w:p>
        </w:tc>
      </w:tr>
      <w:tr w:rsidR="005454E0" w:rsidRPr="00381D99" w14:paraId="733E6E17"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0DDB7A1F" w14:textId="77777777" w:rsidR="005454E0" w:rsidRPr="00A43B3B" w:rsidRDefault="005454E0" w:rsidP="005454E0">
            <w:pPr>
              <w:pStyle w:val="TableReference"/>
              <w:tabs>
                <w:tab w:val="left" w:pos="3306"/>
              </w:tabs>
              <w:spacing w:before="240"/>
              <w:rPr>
                <w:rFonts w:cs="Calibri"/>
                <w:b/>
                <w:color w:val="7030A0"/>
                <w:sz w:val="22"/>
                <w:szCs w:val="22"/>
              </w:rPr>
            </w:pPr>
          </w:p>
        </w:tc>
        <w:tc>
          <w:tcPr>
            <w:tcW w:w="4131" w:type="pct"/>
            <w:gridSpan w:val="10"/>
            <w:tcBorders>
              <w:left w:val="single" w:sz="2" w:space="0" w:color="auto"/>
            </w:tcBorders>
            <w:shd w:val="clear" w:color="auto" w:fill="auto"/>
          </w:tcPr>
          <w:p w14:paraId="37E8A63E" w14:textId="6EE286D9" w:rsidR="005454E0" w:rsidRPr="00D85C31" w:rsidRDefault="005454E0" w:rsidP="005454E0">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Agency has elected not to separate non-lease components from lease components for leases, except for specialised plant and equipment contracts which contain both a lease component and non-lease component. The non-lease component is material and relates to maintenance services for the specialised plant and equipment.</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Agency allocates the contractual payments to each component on the basis of their stand-alone prices. </w:t>
            </w:r>
          </w:p>
        </w:tc>
      </w:tr>
      <w:tr w:rsidR="005454E0" w:rsidRPr="00381D99" w14:paraId="44F990E7"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726B90BC"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239C79CE" w14:textId="6D7EC7EF" w:rsidR="005454E0" w:rsidRPr="00F66DF2" w:rsidRDefault="005454E0" w:rsidP="005454E0">
            <w:pPr>
              <w:pStyle w:val="Appxhead3"/>
              <w:spacing w:before="0" w:after="0"/>
              <w:jc w:val="both"/>
              <w:rPr>
                <w:rFonts w:asciiTheme="minorHAnsi" w:hAnsiTheme="minorHAnsi" w:cstheme="minorHAnsi"/>
                <w:b w:val="0"/>
                <w:smallCaps w:val="0"/>
                <w:sz w:val="18"/>
                <w:szCs w:val="18"/>
              </w:rPr>
            </w:pPr>
            <w:r w:rsidRPr="00F66DF2">
              <w:rPr>
                <w:rFonts w:asciiTheme="minorHAnsi" w:hAnsiTheme="minorHAnsi" w:cstheme="minorHAnsi"/>
                <w:b w:val="0"/>
                <w:smallCaps w:val="0"/>
                <w:sz w:val="18"/>
                <w:szCs w:val="18"/>
              </w:rPr>
              <w:t>Where the non-lease components have been separated, they are recognised as an expense as incurred in the operating statement.</w:t>
            </w:r>
          </w:p>
        </w:tc>
      </w:tr>
      <w:tr w:rsidR="005454E0" w:rsidRPr="00381D99" w14:paraId="5E5E301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232B4AEA" w14:textId="77777777" w:rsidR="005454E0" w:rsidRPr="00D85C31" w:rsidRDefault="005454E0" w:rsidP="005454E0">
            <w:pPr>
              <w:pStyle w:val="TableReference"/>
              <w:tabs>
                <w:tab w:val="left" w:pos="3306"/>
              </w:tabs>
              <w:rPr>
                <w:rFonts w:cs="Calibri"/>
                <w:color w:val="7030A0"/>
                <w:sz w:val="14"/>
              </w:rPr>
            </w:pPr>
          </w:p>
        </w:tc>
        <w:tc>
          <w:tcPr>
            <w:tcW w:w="4131" w:type="pct"/>
            <w:gridSpan w:val="10"/>
            <w:tcBorders>
              <w:left w:val="single" w:sz="2" w:space="0" w:color="auto"/>
            </w:tcBorders>
            <w:shd w:val="clear" w:color="auto" w:fill="auto"/>
          </w:tcPr>
          <w:p w14:paraId="4EE5BBB0" w14:textId="2B38073F" w:rsidR="005454E0" w:rsidRPr="00055382" w:rsidRDefault="005454E0" w:rsidP="005454E0">
            <w:pPr>
              <w:spacing w:before="120"/>
              <w:jc w:val="both"/>
              <w:rPr>
                <w:rFonts w:asciiTheme="minorHAnsi" w:hAnsiTheme="minorHAnsi" w:cstheme="minorHAnsi"/>
                <w:b/>
                <w:bCs/>
                <w:sz w:val="18"/>
                <w:szCs w:val="18"/>
              </w:rPr>
            </w:pPr>
            <w:r w:rsidRPr="00055382">
              <w:rPr>
                <w:rFonts w:asciiTheme="minorHAnsi" w:hAnsiTheme="minorHAnsi" w:cstheme="minorHAnsi"/>
                <w:b/>
                <w:bCs/>
                <w:color w:val="FF0000"/>
                <w:sz w:val="18"/>
                <w:szCs w:val="18"/>
              </w:rPr>
              <w:t xml:space="preserve">Exemptions </w:t>
            </w:r>
            <w:r w:rsidRPr="00055382">
              <w:rPr>
                <w:rFonts w:asciiTheme="minorHAnsi" w:hAnsiTheme="minorHAnsi" w:cstheme="minorHAnsi"/>
                <w:b/>
                <w:bCs/>
                <w:strike/>
                <w:color w:val="FF0000"/>
                <w:sz w:val="18"/>
                <w:szCs w:val="18"/>
              </w:rPr>
              <w:t>Exceptions</w:t>
            </w:r>
            <w:r w:rsidRPr="00055382">
              <w:rPr>
                <w:rFonts w:asciiTheme="minorHAnsi" w:hAnsiTheme="minorHAnsi" w:cstheme="minorHAnsi"/>
                <w:b/>
                <w:bCs/>
                <w:color w:val="FF0000"/>
                <w:sz w:val="18"/>
                <w:szCs w:val="18"/>
              </w:rPr>
              <w:t xml:space="preserve"> </w:t>
            </w:r>
            <w:r w:rsidRPr="00055382">
              <w:rPr>
                <w:rFonts w:asciiTheme="minorHAnsi" w:hAnsiTheme="minorHAnsi" w:cstheme="minorHAnsi"/>
                <w:b/>
                <w:bCs/>
                <w:sz w:val="18"/>
                <w:szCs w:val="18"/>
              </w:rPr>
              <w:t>to Lease Accounting</w:t>
            </w:r>
          </w:p>
        </w:tc>
      </w:tr>
      <w:tr w:rsidR="005454E0" w:rsidRPr="00381D99" w14:paraId="23583EC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3681395D"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1682648D" w14:textId="6C55015D" w:rsidR="005454E0" w:rsidRPr="00055382" w:rsidRDefault="005454E0" w:rsidP="005454E0">
            <w:pPr>
              <w:spacing w:after="120"/>
              <w:jc w:val="both"/>
              <w:rPr>
                <w:rFonts w:asciiTheme="minorHAnsi" w:hAnsiTheme="minorHAnsi" w:cstheme="minorHAnsi"/>
                <w:sz w:val="18"/>
                <w:szCs w:val="18"/>
              </w:rPr>
            </w:pPr>
            <w:r w:rsidRPr="00055382">
              <w:rPr>
                <w:rFonts w:asciiTheme="minorHAnsi" w:hAnsiTheme="minorHAnsi" w:cstheme="minorHAnsi"/>
                <w:sz w:val="18"/>
                <w:szCs w:val="18"/>
              </w:rPr>
              <w:t xml:space="preserve">The Agency has elected to apply the </w:t>
            </w:r>
            <w:r w:rsidRPr="00055382">
              <w:rPr>
                <w:rFonts w:asciiTheme="minorHAnsi" w:hAnsiTheme="minorHAnsi" w:cstheme="minorHAnsi"/>
                <w:color w:val="FF0000"/>
                <w:sz w:val="18"/>
                <w:szCs w:val="18"/>
              </w:rPr>
              <w:t xml:space="preserve">exemptions </w:t>
            </w:r>
            <w:r w:rsidRPr="00055382">
              <w:rPr>
                <w:rFonts w:asciiTheme="minorHAnsi" w:hAnsiTheme="minorHAnsi" w:cstheme="minorHAnsi"/>
                <w:strike/>
                <w:color w:val="FF0000"/>
                <w:sz w:val="18"/>
                <w:szCs w:val="18"/>
              </w:rPr>
              <w:t>exceptions</w:t>
            </w:r>
            <w:r w:rsidRPr="00055382">
              <w:rPr>
                <w:rFonts w:asciiTheme="minorHAnsi" w:hAnsiTheme="minorHAnsi" w:cstheme="minorHAnsi"/>
                <w:color w:val="FF0000"/>
                <w:sz w:val="18"/>
                <w:szCs w:val="18"/>
              </w:rPr>
              <w:t xml:space="preserve"> </w:t>
            </w:r>
            <w:r w:rsidRPr="00055382">
              <w:rPr>
                <w:rFonts w:asciiTheme="minorHAnsi" w:hAnsiTheme="minorHAnsi" w:cstheme="minorHAnsi"/>
                <w:sz w:val="18"/>
                <w:szCs w:val="18"/>
              </w:rPr>
              <w:t>to lease accounting for both short-term leases (i.e. leases with a term of less than or equal to 12 months) and leases of low-value assets.</w:t>
            </w:r>
          </w:p>
        </w:tc>
      </w:tr>
      <w:tr w:rsidR="005454E0" w:rsidRPr="00381D99" w14:paraId="3F39F3A7"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7C00E2A7" w14:textId="77777777" w:rsidR="005454E0" w:rsidRPr="00D85C31" w:rsidRDefault="005454E0" w:rsidP="005454E0">
            <w:pPr>
              <w:pStyle w:val="TableReference"/>
              <w:tabs>
                <w:tab w:val="left" w:pos="3306"/>
              </w:tabs>
              <w:spacing w:before="240"/>
              <w:rPr>
                <w:rFonts w:cs="Calibri"/>
                <w:color w:val="7030A0"/>
                <w:sz w:val="14"/>
              </w:rPr>
            </w:pPr>
          </w:p>
        </w:tc>
        <w:tc>
          <w:tcPr>
            <w:tcW w:w="4131" w:type="pct"/>
            <w:gridSpan w:val="10"/>
            <w:tcBorders>
              <w:left w:val="single" w:sz="2" w:space="0" w:color="auto"/>
            </w:tcBorders>
            <w:shd w:val="clear" w:color="auto" w:fill="auto"/>
          </w:tcPr>
          <w:p w14:paraId="49042631" w14:textId="3FED7046" w:rsidR="005454E0" w:rsidRPr="00F66DF2" w:rsidRDefault="005454E0" w:rsidP="005454E0">
            <w:pPr>
              <w:spacing w:after="120"/>
              <w:jc w:val="both"/>
              <w:rPr>
                <w:rFonts w:asciiTheme="minorHAnsi" w:hAnsiTheme="minorHAnsi" w:cstheme="minorHAnsi"/>
                <w:sz w:val="18"/>
                <w:szCs w:val="18"/>
              </w:rPr>
            </w:pPr>
            <w:r w:rsidRPr="00F66DF2">
              <w:rPr>
                <w:rFonts w:asciiTheme="minorHAnsi" w:hAnsiTheme="minorHAnsi" w:cstheme="minorHAnsi"/>
                <w:sz w:val="18"/>
                <w:szCs w:val="18"/>
              </w:rPr>
              <w:t>The Agency recognises the payments associated with these leases as an expense on a straight-line basis over the lease term.</w:t>
            </w:r>
          </w:p>
        </w:tc>
      </w:tr>
      <w:tr w:rsidR="005454E0" w:rsidRPr="00381D99" w14:paraId="5E047042"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1D96D1E0" w14:textId="77777777" w:rsidR="005454E0" w:rsidRPr="00D85C31" w:rsidRDefault="005454E0" w:rsidP="005454E0">
            <w:pPr>
              <w:spacing w:line="259" w:lineRule="auto"/>
              <w:rPr>
                <w:rFonts w:eastAsia="Calibri" w:cs="Calibri"/>
                <w:color w:val="7030A0"/>
                <w:sz w:val="14"/>
                <w:szCs w:val="14"/>
              </w:rPr>
            </w:pPr>
          </w:p>
        </w:tc>
        <w:tc>
          <w:tcPr>
            <w:tcW w:w="4131" w:type="pct"/>
            <w:gridSpan w:val="10"/>
            <w:tcBorders>
              <w:left w:val="single" w:sz="2" w:space="0" w:color="auto"/>
            </w:tcBorders>
            <w:shd w:val="clear" w:color="auto" w:fill="auto"/>
            <w:vAlign w:val="bottom"/>
          </w:tcPr>
          <w:p w14:paraId="3DFE40B0" w14:textId="1130E1FC" w:rsidR="005454E0" w:rsidRPr="00F66DF2" w:rsidRDefault="005454E0" w:rsidP="005454E0">
            <w:pPr>
              <w:spacing w:after="120" w:line="259" w:lineRule="auto"/>
              <w:jc w:val="both"/>
              <w:rPr>
                <w:rFonts w:eastAsia="Calibri" w:cs="Calibri"/>
                <w:strike/>
                <w:sz w:val="18"/>
                <w:szCs w:val="18"/>
              </w:rPr>
            </w:pPr>
            <w:r w:rsidRPr="00F66DF2">
              <w:rPr>
                <w:sz w:val="18"/>
                <w:szCs w:val="18"/>
              </w:rPr>
              <w:t>The Agency has elected not to assess whether rent concessions occurring as a direct consequence of the COVID-19 pandemic are lease modification in accordance with AASB 16.</w:t>
            </w:r>
            <w:r>
              <w:rPr>
                <w:sz w:val="18"/>
                <w:szCs w:val="18"/>
              </w:rPr>
              <w:t xml:space="preserve"> </w:t>
            </w:r>
            <w:r w:rsidRPr="00F66DF2">
              <w:rPr>
                <w:sz w:val="18"/>
                <w:szCs w:val="18"/>
              </w:rPr>
              <w:t>This election has been applied given the revised consideration for all the leases is less than before the change, as well as this reduction effects only payments originally due on or before 30 June 202</w:t>
            </w:r>
            <w:r>
              <w:rPr>
                <w:sz w:val="18"/>
                <w:szCs w:val="18"/>
              </w:rPr>
              <w:t>2</w:t>
            </w:r>
            <w:r w:rsidRPr="00F66DF2">
              <w:rPr>
                <w:sz w:val="18"/>
                <w:szCs w:val="18"/>
              </w:rPr>
              <w:t>, and there was no substantive change to other terms and conditions of the lease.</w:t>
            </w:r>
          </w:p>
        </w:tc>
      </w:tr>
      <w:tr w:rsidR="005454E0" w:rsidRPr="00381D99" w14:paraId="30E35FF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74FB62A8" w14:textId="6C3477AF"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78B52D3" w14:textId="6F3493AD" w:rsidR="005454E0" w:rsidRPr="00F66DF2" w:rsidRDefault="005454E0" w:rsidP="005454E0">
            <w:pPr>
              <w:pStyle w:val="CommentaryText"/>
              <w:spacing w:after="0"/>
              <w:rPr>
                <w:rFonts w:cs="Calibri"/>
                <w:b/>
                <w:bCs/>
                <w:sz w:val="18"/>
                <w:szCs w:val="18"/>
              </w:rPr>
            </w:pPr>
          </w:p>
        </w:tc>
        <w:tc>
          <w:tcPr>
            <w:tcW w:w="525" w:type="pct"/>
            <w:gridSpan w:val="4"/>
            <w:shd w:val="clear" w:color="auto" w:fill="auto"/>
          </w:tcPr>
          <w:p w14:paraId="46F53A19" w14:textId="6E2E9FFD" w:rsidR="005454E0" w:rsidRPr="00F66DF2" w:rsidRDefault="005454E0" w:rsidP="005454E0">
            <w:pPr>
              <w:pStyle w:val="CommentaryText"/>
              <w:spacing w:after="0"/>
              <w:jc w:val="right"/>
              <w:rPr>
                <w:rFonts w:cs="Calibri"/>
                <w:b/>
                <w:bCs/>
                <w:sz w:val="18"/>
                <w:szCs w:val="18"/>
              </w:rPr>
            </w:pPr>
            <w:r w:rsidRPr="00F66DF2">
              <w:rPr>
                <w:rFonts w:cs="Calibri"/>
                <w:b/>
                <w:bCs/>
                <w:sz w:val="18"/>
                <w:szCs w:val="18"/>
              </w:rPr>
              <w:t>202</w:t>
            </w:r>
            <w:r>
              <w:rPr>
                <w:rFonts w:cs="Calibri"/>
                <w:b/>
                <w:bCs/>
                <w:sz w:val="18"/>
                <w:szCs w:val="18"/>
              </w:rPr>
              <w:t xml:space="preserve">3        </w:t>
            </w:r>
            <w:r w:rsidRPr="00F66DF2">
              <w:rPr>
                <w:rFonts w:cs="Calibri"/>
                <w:b/>
                <w:bCs/>
                <w:sz w:val="18"/>
                <w:szCs w:val="18"/>
              </w:rPr>
              <w:t xml:space="preserve"> $’000</w:t>
            </w:r>
          </w:p>
        </w:tc>
        <w:tc>
          <w:tcPr>
            <w:tcW w:w="549" w:type="pct"/>
            <w:gridSpan w:val="2"/>
            <w:shd w:val="clear" w:color="auto" w:fill="auto"/>
          </w:tcPr>
          <w:p w14:paraId="07B73FF0" w14:textId="16FCE94E" w:rsidR="005454E0" w:rsidRPr="00F66DF2" w:rsidRDefault="005454E0" w:rsidP="005454E0">
            <w:pPr>
              <w:jc w:val="right"/>
              <w:rPr>
                <w:rFonts w:cs="Calibri"/>
                <w:b/>
                <w:bCs/>
                <w:sz w:val="18"/>
                <w:szCs w:val="18"/>
              </w:rPr>
            </w:pPr>
            <w:r w:rsidRPr="00F66DF2">
              <w:rPr>
                <w:rFonts w:cs="Calibri"/>
                <w:b/>
                <w:bCs/>
                <w:sz w:val="18"/>
                <w:szCs w:val="18"/>
              </w:rPr>
              <w:t>202</w:t>
            </w:r>
            <w:r>
              <w:rPr>
                <w:rFonts w:cs="Calibri"/>
                <w:b/>
                <w:bCs/>
                <w:sz w:val="18"/>
                <w:szCs w:val="18"/>
              </w:rPr>
              <w:t>2</w:t>
            </w:r>
          </w:p>
          <w:p w14:paraId="6B04C416" w14:textId="1C1C8A72" w:rsidR="005454E0" w:rsidRPr="00F66DF2" w:rsidRDefault="005454E0" w:rsidP="005454E0">
            <w:pPr>
              <w:pStyle w:val="CommentaryText"/>
              <w:spacing w:after="0"/>
              <w:jc w:val="right"/>
              <w:rPr>
                <w:rFonts w:cs="Calibri"/>
                <w:b/>
                <w:bCs/>
                <w:sz w:val="18"/>
                <w:szCs w:val="18"/>
              </w:rPr>
            </w:pPr>
            <w:r w:rsidRPr="00F66DF2">
              <w:rPr>
                <w:rFonts w:cs="Calibri"/>
                <w:b/>
                <w:bCs/>
                <w:sz w:val="18"/>
                <w:szCs w:val="18"/>
              </w:rPr>
              <w:t>$’000</w:t>
            </w:r>
          </w:p>
        </w:tc>
      </w:tr>
      <w:tr w:rsidR="005454E0" w:rsidRPr="00381D99" w14:paraId="0D8D21E3"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40498FC9"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611DFBBE" w14:textId="77777777" w:rsidR="005454E0" w:rsidRPr="00F66DF2" w:rsidRDefault="005454E0" w:rsidP="005454E0">
            <w:pPr>
              <w:pStyle w:val="CommentaryText"/>
              <w:spacing w:after="0"/>
              <w:rPr>
                <w:rFonts w:cs="Calibri"/>
                <w:b/>
                <w:bCs/>
                <w:sz w:val="18"/>
                <w:szCs w:val="18"/>
              </w:rPr>
            </w:pPr>
          </w:p>
        </w:tc>
        <w:tc>
          <w:tcPr>
            <w:tcW w:w="525" w:type="pct"/>
            <w:gridSpan w:val="4"/>
            <w:shd w:val="clear" w:color="auto" w:fill="auto"/>
          </w:tcPr>
          <w:p w14:paraId="564F8D2D"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44E7D96E" w14:textId="77777777" w:rsidR="005454E0" w:rsidRPr="00F66DF2" w:rsidRDefault="005454E0" w:rsidP="005454E0">
            <w:pPr>
              <w:pStyle w:val="CommentaryText"/>
              <w:spacing w:after="0"/>
              <w:rPr>
                <w:rFonts w:cs="Calibri"/>
                <w:b/>
                <w:bCs/>
                <w:sz w:val="18"/>
                <w:szCs w:val="18"/>
              </w:rPr>
            </w:pPr>
          </w:p>
        </w:tc>
      </w:tr>
      <w:tr w:rsidR="005454E0" w:rsidRPr="00381D99" w14:paraId="52A30C1C"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122B8C44" w14:textId="6F864890" w:rsidR="005454E0" w:rsidRPr="00D85C31" w:rsidRDefault="005454E0" w:rsidP="005454E0">
            <w:pPr>
              <w:pStyle w:val="TableReference"/>
              <w:rPr>
                <w:rFonts w:cs="Calibri"/>
                <w:color w:val="7030A0"/>
                <w:sz w:val="14"/>
              </w:rPr>
            </w:pPr>
            <w:r w:rsidRPr="00D85C31">
              <w:rPr>
                <w:rFonts w:cs="Calibri"/>
                <w:color w:val="7030A0"/>
                <w:sz w:val="14"/>
              </w:rPr>
              <w:t>AASB 16.47(b)</w:t>
            </w:r>
          </w:p>
        </w:tc>
        <w:tc>
          <w:tcPr>
            <w:tcW w:w="3058" w:type="pct"/>
            <w:gridSpan w:val="4"/>
            <w:tcBorders>
              <w:left w:val="single" w:sz="2" w:space="0" w:color="auto"/>
            </w:tcBorders>
            <w:shd w:val="clear" w:color="auto" w:fill="auto"/>
          </w:tcPr>
          <w:p w14:paraId="2BB0C5F3" w14:textId="4F1252A0" w:rsidR="005454E0" w:rsidRPr="00F66DF2" w:rsidRDefault="005454E0" w:rsidP="005454E0">
            <w:pPr>
              <w:pStyle w:val="CommentaryText"/>
              <w:spacing w:after="0"/>
              <w:rPr>
                <w:rFonts w:cs="Calibri"/>
                <w:b/>
                <w:bCs/>
                <w:sz w:val="18"/>
                <w:szCs w:val="18"/>
              </w:rPr>
            </w:pPr>
            <w:r w:rsidRPr="00F66DF2">
              <w:rPr>
                <w:rFonts w:cs="Calibri"/>
                <w:b/>
                <w:bCs/>
                <w:sz w:val="18"/>
                <w:szCs w:val="18"/>
              </w:rPr>
              <w:t>Current Lease Liabilities</w:t>
            </w:r>
          </w:p>
        </w:tc>
        <w:tc>
          <w:tcPr>
            <w:tcW w:w="525" w:type="pct"/>
            <w:gridSpan w:val="4"/>
            <w:shd w:val="clear" w:color="auto" w:fill="auto"/>
          </w:tcPr>
          <w:p w14:paraId="37A6CC6D"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14FD4093" w14:textId="77777777" w:rsidR="005454E0" w:rsidRPr="00F66DF2" w:rsidRDefault="005454E0" w:rsidP="005454E0">
            <w:pPr>
              <w:pStyle w:val="CommentaryText"/>
              <w:spacing w:after="0"/>
              <w:rPr>
                <w:rFonts w:cs="Calibri"/>
                <w:b/>
                <w:bCs/>
                <w:sz w:val="18"/>
                <w:szCs w:val="18"/>
              </w:rPr>
            </w:pPr>
          </w:p>
        </w:tc>
      </w:tr>
      <w:tr w:rsidR="005454E0" w:rsidRPr="00381D99" w14:paraId="5FD5D4F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63"/>
        </w:trPr>
        <w:tc>
          <w:tcPr>
            <w:tcW w:w="704" w:type="pct"/>
            <w:tcBorders>
              <w:left w:val="single" w:sz="2" w:space="0" w:color="auto"/>
              <w:right w:val="single" w:sz="2" w:space="0" w:color="auto"/>
            </w:tcBorders>
          </w:tcPr>
          <w:p w14:paraId="5E32972F"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55DEDB30" w14:textId="2B09DCB1" w:rsidR="005454E0" w:rsidRPr="00F66DF2" w:rsidRDefault="005454E0" w:rsidP="005454E0">
            <w:pPr>
              <w:pStyle w:val="CommentaryText"/>
              <w:spacing w:after="0"/>
              <w:rPr>
                <w:rFonts w:eastAsia="Calibri" w:cs="Calibri"/>
                <w:iCs/>
                <w:sz w:val="18"/>
                <w:szCs w:val="18"/>
              </w:rPr>
            </w:pPr>
            <w:r w:rsidRPr="00F66DF2">
              <w:rPr>
                <w:rFonts w:eastAsia="Calibri" w:cs="Calibri"/>
                <w:iCs/>
                <w:sz w:val="18"/>
                <w:szCs w:val="18"/>
              </w:rPr>
              <w:t>Motor Vehicles</w:t>
            </w:r>
          </w:p>
        </w:tc>
        <w:tc>
          <w:tcPr>
            <w:tcW w:w="525" w:type="pct"/>
            <w:gridSpan w:val="4"/>
            <w:shd w:val="clear" w:color="auto" w:fill="auto"/>
          </w:tcPr>
          <w:p w14:paraId="618B969A"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431D8DCD" w14:textId="77777777" w:rsidR="005454E0" w:rsidRPr="00F66DF2" w:rsidRDefault="005454E0" w:rsidP="005454E0">
            <w:pPr>
              <w:pStyle w:val="CommentaryText"/>
              <w:spacing w:after="0"/>
              <w:rPr>
                <w:rFonts w:cs="Calibri"/>
                <w:b/>
                <w:bCs/>
                <w:sz w:val="18"/>
                <w:szCs w:val="18"/>
              </w:rPr>
            </w:pPr>
          </w:p>
        </w:tc>
      </w:tr>
      <w:tr w:rsidR="005454E0" w:rsidRPr="00381D99" w14:paraId="1270EE5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22"/>
        </w:trPr>
        <w:tc>
          <w:tcPr>
            <w:tcW w:w="704" w:type="pct"/>
            <w:tcBorders>
              <w:left w:val="single" w:sz="2" w:space="0" w:color="auto"/>
              <w:right w:val="single" w:sz="2" w:space="0" w:color="auto"/>
            </w:tcBorders>
          </w:tcPr>
          <w:p w14:paraId="19185C33"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5695CC65" w14:textId="494D0DA4" w:rsidR="005454E0" w:rsidRPr="00F66DF2" w:rsidRDefault="005454E0" w:rsidP="005454E0">
            <w:pPr>
              <w:pStyle w:val="CommentaryText"/>
              <w:spacing w:after="0"/>
              <w:rPr>
                <w:bCs/>
                <w:sz w:val="18"/>
                <w:szCs w:val="18"/>
              </w:rPr>
            </w:pPr>
            <w:r w:rsidRPr="00F66DF2">
              <w:rPr>
                <w:bCs/>
                <w:sz w:val="18"/>
                <w:szCs w:val="18"/>
              </w:rPr>
              <w:t>Specialised plant and equipment leases</w:t>
            </w:r>
          </w:p>
        </w:tc>
        <w:tc>
          <w:tcPr>
            <w:tcW w:w="525" w:type="pct"/>
            <w:gridSpan w:val="4"/>
            <w:shd w:val="clear" w:color="auto" w:fill="auto"/>
          </w:tcPr>
          <w:p w14:paraId="4BCF1D8D"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63AD8269" w14:textId="77777777" w:rsidR="005454E0" w:rsidRPr="00F66DF2" w:rsidRDefault="005454E0" w:rsidP="005454E0">
            <w:pPr>
              <w:pStyle w:val="CommentaryText"/>
              <w:spacing w:after="0"/>
              <w:rPr>
                <w:rFonts w:cs="Calibri"/>
                <w:b/>
                <w:bCs/>
                <w:sz w:val="18"/>
                <w:szCs w:val="18"/>
              </w:rPr>
            </w:pPr>
          </w:p>
        </w:tc>
      </w:tr>
      <w:tr w:rsidR="005454E0" w:rsidRPr="00381D99" w14:paraId="0EE809B3"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40"/>
        </w:trPr>
        <w:tc>
          <w:tcPr>
            <w:tcW w:w="704" w:type="pct"/>
            <w:tcBorders>
              <w:left w:val="single" w:sz="2" w:space="0" w:color="auto"/>
              <w:right w:val="single" w:sz="2" w:space="0" w:color="auto"/>
            </w:tcBorders>
          </w:tcPr>
          <w:p w14:paraId="5C6CBA69"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523847D4" w14:textId="192DE190" w:rsidR="005454E0" w:rsidRPr="00F66DF2" w:rsidRDefault="005454E0" w:rsidP="005454E0">
            <w:pPr>
              <w:pStyle w:val="CommentaryText"/>
              <w:spacing w:after="0"/>
              <w:jc w:val="left"/>
              <w:rPr>
                <w:rFonts w:cs="Calibri"/>
                <w:b/>
                <w:bCs/>
                <w:sz w:val="18"/>
                <w:szCs w:val="18"/>
              </w:rPr>
            </w:pPr>
            <w:r w:rsidRPr="00F66DF2">
              <w:rPr>
                <w:rFonts w:eastAsia="Calibri" w:cs="Calibri"/>
                <w:iCs/>
                <w:sz w:val="18"/>
                <w:szCs w:val="18"/>
              </w:rPr>
              <w:t>Concessionary land leases</w:t>
            </w:r>
          </w:p>
        </w:tc>
        <w:tc>
          <w:tcPr>
            <w:tcW w:w="525" w:type="pct"/>
            <w:gridSpan w:val="4"/>
            <w:shd w:val="clear" w:color="auto" w:fill="auto"/>
          </w:tcPr>
          <w:p w14:paraId="54286941" w14:textId="77777777" w:rsidR="005454E0" w:rsidRPr="00F66DF2" w:rsidRDefault="005454E0" w:rsidP="005454E0">
            <w:pPr>
              <w:pStyle w:val="CommentaryText"/>
              <w:spacing w:after="0"/>
              <w:jc w:val="left"/>
              <w:rPr>
                <w:rFonts w:cs="Calibri"/>
                <w:b/>
                <w:bCs/>
                <w:sz w:val="18"/>
                <w:szCs w:val="18"/>
              </w:rPr>
            </w:pPr>
          </w:p>
        </w:tc>
        <w:tc>
          <w:tcPr>
            <w:tcW w:w="549" w:type="pct"/>
            <w:gridSpan w:val="2"/>
            <w:shd w:val="clear" w:color="auto" w:fill="auto"/>
          </w:tcPr>
          <w:p w14:paraId="2D5AC944" w14:textId="77777777" w:rsidR="005454E0" w:rsidRPr="00F66DF2" w:rsidRDefault="005454E0" w:rsidP="005454E0">
            <w:pPr>
              <w:pStyle w:val="CommentaryText"/>
              <w:spacing w:after="0"/>
              <w:jc w:val="left"/>
              <w:rPr>
                <w:rFonts w:cs="Calibri"/>
                <w:b/>
                <w:bCs/>
                <w:sz w:val="18"/>
                <w:szCs w:val="18"/>
              </w:rPr>
            </w:pPr>
          </w:p>
        </w:tc>
      </w:tr>
      <w:tr w:rsidR="005454E0" w:rsidRPr="00381D99" w14:paraId="2E8D5329"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40"/>
        </w:trPr>
        <w:tc>
          <w:tcPr>
            <w:tcW w:w="704" w:type="pct"/>
            <w:tcBorders>
              <w:left w:val="single" w:sz="2" w:space="0" w:color="auto"/>
              <w:right w:val="single" w:sz="2" w:space="0" w:color="auto"/>
            </w:tcBorders>
          </w:tcPr>
          <w:p w14:paraId="0D52EED3"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1A0D098" w14:textId="7EBC0955" w:rsidR="005454E0" w:rsidRPr="00F66DF2" w:rsidRDefault="005454E0" w:rsidP="005454E0">
            <w:pPr>
              <w:pStyle w:val="CommentaryText"/>
              <w:spacing w:after="0"/>
              <w:jc w:val="left"/>
              <w:rPr>
                <w:rFonts w:eastAsia="Calibri" w:cs="Calibri"/>
                <w:iCs/>
                <w:sz w:val="18"/>
                <w:szCs w:val="18"/>
              </w:rPr>
            </w:pPr>
            <w:r w:rsidRPr="00F66DF2">
              <w:rPr>
                <w:rFonts w:eastAsia="Calibri" w:cs="Calibri"/>
                <w:iCs/>
                <w:sz w:val="18"/>
                <w:szCs w:val="18"/>
              </w:rPr>
              <w:t>Building leases – Specialised Depot Building</w:t>
            </w:r>
          </w:p>
        </w:tc>
        <w:tc>
          <w:tcPr>
            <w:tcW w:w="525" w:type="pct"/>
            <w:gridSpan w:val="4"/>
            <w:shd w:val="clear" w:color="auto" w:fill="auto"/>
          </w:tcPr>
          <w:p w14:paraId="516F3D0C" w14:textId="77777777" w:rsidR="005454E0" w:rsidRPr="00F66DF2" w:rsidRDefault="005454E0" w:rsidP="005454E0">
            <w:pPr>
              <w:pStyle w:val="CommentaryText"/>
              <w:spacing w:after="0"/>
              <w:jc w:val="left"/>
              <w:rPr>
                <w:rFonts w:cs="Calibri"/>
                <w:b/>
                <w:bCs/>
                <w:sz w:val="18"/>
                <w:szCs w:val="18"/>
              </w:rPr>
            </w:pPr>
          </w:p>
        </w:tc>
        <w:tc>
          <w:tcPr>
            <w:tcW w:w="549" w:type="pct"/>
            <w:gridSpan w:val="2"/>
            <w:shd w:val="clear" w:color="auto" w:fill="auto"/>
          </w:tcPr>
          <w:p w14:paraId="3385C96E" w14:textId="77777777" w:rsidR="005454E0" w:rsidRPr="00F66DF2" w:rsidRDefault="005454E0" w:rsidP="005454E0">
            <w:pPr>
              <w:pStyle w:val="CommentaryText"/>
              <w:spacing w:after="0"/>
              <w:jc w:val="left"/>
              <w:rPr>
                <w:rFonts w:cs="Calibri"/>
                <w:b/>
                <w:bCs/>
                <w:sz w:val="18"/>
                <w:szCs w:val="18"/>
              </w:rPr>
            </w:pPr>
          </w:p>
        </w:tc>
      </w:tr>
      <w:tr w:rsidR="005454E0" w:rsidRPr="00381D99" w14:paraId="5F666F2F"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60"/>
        </w:trPr>
        <w:tc>
          <w:tcPr>
            <w:tcW w:w="704" w:type="pct"/>
            <w:tcBorders>
              <w:left w:val="single" w:sz="2" w:space="0" w:color="auto"/>
              <w:right w:val="single" w:sz="2" w:space="0" w:color="auto"/>
            </w:tcBorders>
          </w:tcPr>
          <w:p w14:paraId="116E57C0"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51292B4E" w14:textId="7AC80D19" w:rsidR="005454E0" w:rsidRPr="00F66DF2" w:rsidRDefault="005454E0" w:rsidP="005454E0">
            <w:pPr>
              <w:pStyle w:val="CommentaryText"/>
              <w:spacing w:after="0"/>
              <w:rPr>
                <w:rFonts w:cs="Calibri"/>
                <w:b/>
                <w:bCs/>
                <w:sz w:val="18"/>
                <w:szCs w:val="18"/>
              </w:rPr>
            </w:pPr>
            <w:r w:rsidRPr="00F66DF2">
              <w:rPr>
                <w:sz w:val="18"/>
                <w:szCs w:val="18"/>
              </w:rPr>
              <w:t>Public private partnership (PPP) lease liabilities</w:t>
            </w:r>
          </w:p>
        </w:tc>
        <w:tc>
          <w:tcPr>
            <w:tcW w:w="525" w:type="pct"/>
            <w:gridSpan w:val="4"/>
            <w:tcBorders>
              <w:bottom w:val="single" w:sz="2" w:space="0" w:color="auto"/>
            </w:tcBorders>
            <w:shd w:val="clear" w:color="auto" w:fill="auto"/>
          </w:tcPr>
          <w:p w14:paraId="336F1EE9" w14:textId="77777777" w:rsidR="005454E0" w:rsidRPr="00F66DF2" w:rsidRDefault="005454E0" w:rsidP="005454E0">
            <w:pPr>
              <w:pStyle w:val="CommentaryText"/>
              <w:spacing w:after="0"/>
              <w:rPr>
                <w:rFonts w:cs="Calibri"/>
                <w:b/>
                <w:bCs/>
                <w:sz w:val="18"/>
                <w:szCs w:val="18"/>
              </w:rPr>
            </w:pPr>
          </w:p>
        </w:tc>
        <w:tc>
          <w:tcPr>
            <w:tcW w:w="549" w:type="pct"/>
            <w:gridSpan w:val="2"/>
            <w:tcBorders>
              <w:bottom w:val="single" w:sz="2" w:space="0" w:color="auto"/>
            </w:tcBorders>
            <w:shd w:val="clear" w:color="auto" w:fill="auto"/>
          </w:tcPr>
          <w:p w14:paraId="4901A6BD" w14:textId="77777777" w:rsidR="005454E0" w:rsidRPr="00F66DF2" w:rsidRDefault="005454E0" w:rsidP="005454E0">
            <w:pPr>
              <w:pStyle w:val="CommentaryText"/>
              <w:spacing w:after="0"/>
              <w:rPr>
                <w:rFonts w:cs="Calibri"/>
                <w:b/>
                <w:bCs/>
                <w:sz w:val="18"/>
                <w:szCs w:val="18"/>
              </w:rPr>
            </w:pPr>
          </w:p>
        </w:tc>
      </w:tr>
      <w:tr w:rsidR="005454E0" w:rsidRPr="00381D99" w14:paraId="081A2360"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1D5AB983"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3C8BA0C5" w14:textId="7C622534" w:rsidR="005454E0" w:rsidRPr="00F66DF2" w:rsidRDefault="005454E0" w:rsidP="005454E0">
            <w:pPr>
              <w:pStyle w:val="CommentaryText"/>
              <w:spacing w:after="0"/>
              <w:rPr>
                <w:rFonts w:cs="Calibri"/>
                <w:b/>
                <w:bCs/>
                <w:sz w:val="18"/>
                <w:szCs w:val="18"/>
              </w:rPr>
            </w:pPr>
            <w:r w:rsidRPr="00F66DF2">
              <w:rPr>
                <w:rFonts w:cs="Calibri"/>
                <w:b/>
                <w:bCs/>
                <w:sz w:val="18"/>
                <w:szCs w:val="18"/>
              </w:rPr>
              <w:t>Total Current Lease Liabilities</w:t>
            </w:r>
          </w:p>
        </w:tc>
        <w:tc>
          <w:tcPr>
            <w:tcW w:w="525" w:type="pct"/>
            <w:gridSpan w:val="4"/>
            <w:tcBorders>
              <w:top w:val="single" w:sz="2" w:space="0" w:color="auto"/>
              <w:bottom w:val="single" w:sz="2" w:space="0" w:color="auto"/>
            </w:tcBorders>
            <w:shd w:val="clear" w:color="auto" w:fill="auto"/>
          </w:tcPr>
          <w:p w14:paraId="53A378A9" w14:textId="77777777" w:rsidR="005454E0" w:rsidRPr="00F66DF2" w:rsidRDefault="005454E0" w:rsidP="005454E0">
            <w:pPr>
              <w:pStyle w:val="CommentaryText"/>
              <w:spacing w:after="0"/>
              <w:rPr>
                <w:rFonts w:cs="Calibri"/>
                <w:b/>
                <w:bCs/>
                <w:sz w:val="18"/>
                <w:szCs w:val="18"/>
              </w:rPr>
            </w:pPr>
          </w:p>
        </w:tc>
        <w:tc>
          <w:tcPr>
            <w:tcW w:w="549" w:type="pct"/>
            <w:gridSpan w:val="2"/>
            <w:tcBorders>
              <w:top w:val="single" w:sz="2" w:space="0" w:color="auto"/>
              <w:bottom w:val="single" w:sz="2" w:space="0" w:color="auto"/>
            </w:tcBorders>
            <w:shd w:val="clear" w:color="auto" w:fill="auto"/>
          </w:tcPr>
          <w:p w14:paraId="4158D618" w14:textId="77777777" w:rsidR="005454E0" w:rsidRPr="00F66DF2" w:rsidRDefault="005454E0" w:rsidP="005454E0">
            <w:pPr>
              <w:pStyle w:val="CommentaryText"/>
              <w:spacing w:after="0"/>
              <w:rPr>
                <w:rFonts w:cs="Calibri"/>
                <w:b/>
                <w:bCs/>
                <w:sz w:val="18"/>
                <w:szCs w:val="18"/>
              </w:rPr>
            </w:pPr>
          </w:p>
        </w:tc>
      </w:tr>
      <w:tr w:rsidR="005454E0" w:rsidRPr="00381D99" w14:paraId="7737596C"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5F0574F7"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6F6509BC" w14:textId="77777777" w:rsidR="005454E0" w:rsidRPr="00F66DF2" w:rsidRDefault="005454E0" w:rsidP="005454E0">
            <w:pPr>
              <w:pStyle w:val="CommentaryText"/>
              <w:spacing w:after="0"/>
              <w:rPr>
                <w:rFonts w:cs="Calibri"/>
                <w:b/>
                <w:bCs/>
                <w:sz w:val="18"/>
                <w:szCs w:val="18"/>
              </w:rPr>
            </w:pPr>
          </w:p>
        </w:tc>
        <w:tc>
          <w:tcPr>
            <w:tcW w:w="525" w:type="pct"/>
            <w:gridSpan w:val="4"/>
            <w:tcBorders>
              <w:top w:val="single" w:sz="2" w:space="0" w:color="auto"/>
            </w:tcBorders>
            <w:shd w:val="clear" w:color="auto" w:fill="auto"/>
          </w:tcPr>
          <w:p w14:paraId="1233619E" w14:textId="77777777" w:rsidR="005454E0" w:rsidRPr="00F66DF2" w:rsidRDefault="005454E0" w:rsidP="005454E0">
            <w:pPr>
              <w:pStyle w:val="CommentaryText"/>
              <w:spacing w:after="0"/>
              <w:rPr>
                <w:rFonts w:cs="Calibri"/>
                <w:b/>
                <w:bCs/>
                <w:sz w:val="18"/>
                <w:szCs w:val="18"/>
              </w:rPr>
            </w:pPr>
          </w:p>
        </w:tc>
        <w:tc>
          <w:tcPr>
            <w:tcW w:w="549" w:type="pct"/>
            <w:gridSpan w:val="2"/>
            <w:tcBorders>
              <w:top w:val="single" w:sz="2" w:space="0" w:color="auto"/>
            </w:tcBorders>
            <w:shd w:val="clear" w:color="auto" w:fill="auto"/>
          </w:tcPr>
          <w:p w14:paraId="5834A8AA" w14:textId="77777777" w:rsidR="005454E0" w:rsidRPr="00F66DF2" w:rsidRDefault="005454E0" w:rsidP="005454E0">
            <w:pPr>
              <w:pStyle w:val="CommentaryText"/>
              <w:spacing w:after="0"/>
              <w:rPr>
                <w:rFonts w:cs="Calibri"/>
                <w:b/>
                <w:bCs/>
                <w:sz w:val="18"/>
                <w:szCs w:val="18"/>
              </w:rPr>
            </w:pPr>
          </w:p>
        </w:tc>
      </w:tr>
      <w:tr w:rsidR="005454E0" w:rsidRPr="00381D99" w14:paraId="4D94D991"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216E7202" w14:textId="02EE94E9" w:rsidR="005454E0" w:rsidRPr="00D85C31" w:rsidRDefault="005454E0" w:rsidP="005454E0">
            <w:pPr>
              <w:pStyle w:val="TableReference"/>
              <w:rPr>
                <w:rFonts w:cs="Calibri"/>
                <w:color w:val="7030A0"/>
                <w:sz w:val="14"/>
              </w:rPr>
            </w:pPr>
            <w:r w:rsidRPr="00D85C31">
              <w:rPr>
                <w:rFonts w:cs="Calibri"/>
                <w:color w:val="7030A0"/>
                <w:sz w:val="14"/>
              </w:rPr>
              <w:t>AASB 16.47(b)</w:t>
            </w:r>
          </w:p>
        </w:tc>
        <w:tc>
          <w:tcPr>
            <w:tcW w:w="3058" w:type="pct"/>
            <w:gridSpan w:val="4"/>
            <w:tcBorders>
              <w:left w:val="single" w:sz="2" w:space="0" w:color="auto"/>
            </w:tcBorders>
            <w:shd w:val="clear" w:color="auto" w:fill="auto"/>
          </w:tcPr>
          <w:p w14:paraId="25186E40" w14:textId="6380861C" w:rsidR="005454E0" w:rsidRPr="00F66DF2" w:rsidRDefault="005454E0" w:rsidP="005454E0">
            <w:pPr>
              <w:pStyle w:val="CommentaryText"/>
              <w:spacing w:after="0"/>
              <w:rPr>
                <w:rFonts w:cs="Calibri"/>
                <w:b/>
                <w:bCs/>
                <w:sz w:val="18"/>
                <w:szCs w:val="18"/>
              </w:rPr>
            </w:pPr>
            <w:r w:rsidRPr="00F66DF2">
              <w:rPr>
                <w:rFonts w:cs="Calibri"/>
                <w:b/>
                <w:bCs/>
                <w:sz w:val="18"/>
                <w:szCs w:val="18"/>
              </w:rPr>
              <w:t>Non-Current Lease Liabilities</w:t>
            </w:r>
          </w:p>
        </w:tc>
        <w:tc>
          <w:tcPr>
            <w:tcW w:w="525" w:type="pct"/>
            <w:gridSpan w:val="4"/>
            <w:shd w:val="clear" w:color="auto" w:fill="auto"/>
          </w:tcPr>
          <w:p w14:paraId="354A5794"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000EA9CD" w14:textId="77777777" w:rsidR="005454E0" w:rsidRPr="00F66DF2" w:rsidRDefault="005454E0" w:rsidP="005454E0">
            <w:pPr>
              <w:pStyle w:val="CommentaryText"/>
              <w:spacing w:after="0"/>
              <w:rPr>
                <w:rFonts w:cs="Calibri"/>
                <w:b/>
                <w:bCs/>
                <w:sz w:val="18"/>
                <w:szCs w:val="18"/>
              </w:rPr>
            </w:pPr>
          </w:p>
        </w:tc>
      </w:tr>
      <w:tr w:rsidR="005454E0" w:rsidRPr="00381D99" w14:paraId="2468026B"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51"/>
        </w:trPr>
        <w:tc>
          <w:tcPr>
            <w:tcW w:w="704" w:type="pct"/>
            <w:tcBorders>
              <w:left w:val="single" w:sz="2" w:space="0" w:color="auto"/>
              <w:right w:val="single" w:sz="2" w:space="0" w:color="auto"/>
            </w:tcBorders>
          </w:tcPr>
          <w:p w14:paraId="5C0B4EE5"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38DE8D78" w14:textId="025D45B5" w:rsidR="005454E0" w:rsidRPr="00F66DF2" w:rsidRDefault="005454E0" w:rsidP="005454E0">
            <w:pPr>
              <w:pStyle w:val="CommentaryText"/>
              <w:spacing w:after="0"/>
              <w:rPr>
                <w:rFonts w:cs="Calibri"/>
                <w:b/>
                <w:bCs/>
                <w:sz w:val="18"/>
                <w:szCs w:val="18"/>
              </w:rPr>
            </w:pPr>
            <w:r w:rsidRPr="00F66DF2">
              <w:rPr>
                <w:rFonts w:eastAsia="Calibri" w:cs="Calibri"/>
                <w:iCs/>
                <w:sz w:val="18"/>
                <w:szCs w:val="18"/>
              </w:rPr>
              <w:t>Motor Vehicles</w:t>
            </w:r>
          </w:p>
        </w:tc>
        <w:tc>
          <w:tcPr>
            <w:tcW w:w="525" w:type="pct"/>
            <w:gridSpan w:val="4"/>
            <w:shd w:val="clear" w:color="auto" w:fill="auto"/>
          </w:tcPr>
          <w:p w14:paraId="4CE60C1C"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306B6E02" w14:textId="77777777" w:rsidR="005454E0" w:rsidRPr="00F66DF2" w:rsidRDefault="005454E0" w:rsidP="005454E0">
            <w:pPr>
              <w:pStyle w:val="CommentaryText"/>
              <w:spacing w:after="0"/>
              <w:rPr>
                <w:rFonts w:cs="Calibri"/>
                <w:b/>
                <w:bCs/>
                <w:sz w:val="18"/>
                <w:szCs w:val="18"/>
              </w:rPr>
            </w:pPr>
          </w:p>
        </w:tc>
      </w:tr>
      <w:tr w:rsidR="005454E0" w:rsidRPr="00381D99" w14:paraId="1A041C5B"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51"/>
        </w:trPr>
        <w:tc>
          <w:tcPr>
            <w:tcW w:w="704" w:type="pct"/>
            <w:tcBorders>
              <w:left w:val="single" w:sz="2" w:space="0" w:color="auto"/>
              <w:right w:val="single" w:sz="2" w:space="0" w:color="auto"/>
            </w:tcBorders>
          </w:tcPr>
          <w:p w14:paraId="140DBE08"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6E3FFF43" w14:textId="59466742" w:rsidR="005454E0" w:rsidRPr="00F66DF2" w:rsidRDefault="005454E0" w:rsidP="005454E0">
            <w:pPr>
              <w:pStyle w:val="CommentaryText"/>
              <w:spacing w:after="0"/>
              <w:rPr>
                <w:rFonts w:eastAsia="Calibri" w:cs="Calibri"/>
                <w:iCs/>
                <w:sz w:val="18"/>
                <w:szCs w:val="18"/>
              </w:rPr>
            </w:pPr>
            <w:r w:rsidRPr="00F66DF2">
              <w:rPr>
                <w:bCs/>
                <w:sz w:val="18"/>
                <w:szCs w:val="18"/>
              </w:rPr>
              <w:t>Specialised plant and equipment leases</w:t>
            </w:r>
          </w:p>
        </w:tc>
        <w:tc>
          <w:tcPr>
            <w:tcW w:w="525" w:type="pct"/>
            <w:gridSpan w:val="4"/>
            <w:shd w:val="clear" w:color="auto" w:fill="auto"/>
          </w:tcPr>
          <w:p w14:paraId="28309CAF"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6BF7BC6A" w14:textId="77777777" w:rsidR="005454E0" w:rsidRPr="00F66DF2" w:rsidRDefault="005454E0" w:rsidP="005454E0">
            <w:pPr>
              <w:pStyle w:val="CommentaryText"/>
              <w:spacing w:after="0"/>
              <w:rPr>
                <w:rFonts w:cs="Calibri"/>
                <w:b/>
                <w:bCs/>
                <w:sz w:val="18"/>
                <w:szCs w:val="18"/>
              </w:rPr>
            </w:pPr>
          </w:p>
        </w:tc>
      </w:tr>
      <w:tr w:rsidR="005454E0" w:rsidRPr="00381D99" w14:paraId="2E06F89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44"/>
        </w:trPr>
        <w:tc>
          <w:tcPr>
            <w:tcW w:w="704" w:type="pct"/>
            <w:tcBorders>
              <w:left w:val="single" w:sz="2" w:space="0" w:color="auto"/>
              <w:right w:val="single" w:sz="2" w:space="0" w:color="auto"/>
            </w:tcBorders>
          </w:tcPr>
          <w:p w14:paraId="53B1B6C0"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63BCC9CD" w14:textId="5762653B" w:rsidR="005454E0" w:rsidRPr="00F66DF2" w:rsidRDefault="005454E0" w:rsidP="005454E0">
            <w:pPr>
              <w:pStyle w:val="CommentaryText"/>
              <w:spacing w:after="0"/>
              <w:rPr>
                <w:rFonts w:cs="Calibri"/>
                <w:b/>
                <w:bCs/>
                <w:sz w:val="18"/>
                <w:szCs w:val="18"/>
              </w:rPr>
            </w:pPr>
            <w:r w:rsidRPr="00F66DF2">
              <w:rPr>
                <w:rFonts w:eastAsia="Calibri" w:cs="Calibri"/>
                <w:iCs/>
                <w:sz w:val="18"/>
                <w:szCs w:val="18"/>
              </w:rPr>
              <w:t>Concessionary land leases</w:t>
            </w:r>
          </w:p>
        </w:tc>
        <w:tc>
          <w:tcPr>
            <w:tcW w:w="525" w:type="pct"/>
            <w:gridSpan w:val="4"/>
            <w:shd w:val="clear" w:color="auto" w:fill="auto"/>
          </w:tcPr>
          <w:p w14:paraId="5C96A672"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1A7C4F9D" w14:textId="77777777" w:rsidR="005454E0" w:rsidRPr="00F66DF2" w:rsidRDefault="005454E0" w:rsidP="005454E0">
            <w:pPr>
              <w:pStyle w:val="CommentaryText"/>
              <w:spacing w:after="0"/>
              <w:rPr>
                <w:rFonts w:cs="Calibri"/>
                <w:b/>
                <w:bCs/>
                <w:sz w:val="18"/>
                <w:szCs w:val="18"/>
              </w:rPr>
            </w:pPr>
          </w:p>
        </w:tc>
      </w:tr>
      <w:tr w:rsidR="005454E0" w:rsidRPr="00381D99" w14:paraId="4320564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44"/>
        </w:trPr>
        <w:tc>
          <w:tcPr>
            <w:tcW w:w="704" w:type="pct"/>
            <w:tcBorders>
              <w:left w:val="single" w:sz="2" w:space="0" w:color="auto"/>
              <w:right w:val="single" w:sz="2" w:space="0" w:color="auto"/>
            </w:tcBorders>
          </w:tcPr>
          <w:p w14:paraId="12F036B7"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246FD470" w14:textId="4A9B3949" w:rsidR="005454E0" w:rsidRPr="00F66DF2" w:rsidRDefault="005454E0" w:rsidP="005454E0">
            <w:pPr>
              <w:pStyle w:val="CommentaryText"/>
              <w:spacing w:after="0"/>
              <w:rPr>
                <w:rFonts w:eastAsia="Calibri" w:cs="Calibri"/>
                <w:iCs/>
                <w:sz w:val="18"/>
                <w:szCs w:val="18"/>
              </w:rPr>
            </w:pPr>
            <w:r w:rsidRPr="00F66DF2">
              <w:rPr>
                <w:rFonts w:eastAsia="Calibri" w:cs="Calibri"/>
                <w:iCs/>
                <w:sz w:val="18"/>
                <w:szCs w:val="18"/>
              </w:rPr>
              <w:t>Building leases – Specialised Depot Building</w:t>
            </w:r>
          </w:p>
        </w:tc>
        <w:tc>
          <w:tcPr>
            <w:tcW w:w="525" w:type="pct"/>
            <w:gridSpan w:val="4"/>
            <w:shd w:val="clear" w:color="auto" w:fill="auto"/>
          </w:tcPr>
          <w:p w14:paraId="71358AE0"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2E1DAA70" w14:textId="77777777" w:rsidR="005454E0" w:rsidRPr="00F66DF2" w:rsidRDefault="005454E0" w:rsidP="005454E0">
            <w:pPr>
              <w:pStyle w:val="CommentaryText"/>
              <w:spacing w:after="0"/>
              <w:rPr>
                <w:rFonts w:cs="Calibri"/>
                <w:b/>
                <w:bCs/>
                <w:sz w:val="18"/>
                <w:szCs w:val="18"/>
              </w:rPr>
            </w:pPr>
          </w:p>
        </w:tc>
      </w:tr>
      <w:tr w:rsidR="005454E0" w:rsidRPr="00381D99" w14:paraId="385EC47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89"/>
        </w:trPr>
        <w:tc>
          <w:tcPr>
            <w:tcW w:w="704" w:type="pct"/>
            <w:tcBorders>
              <w:left w:val="single" w:sz="2" w:space="0" w:color="auto"/>
              <w:right w:val="single" w:sz="2" w:space="0" w:color="auto"/>
            </w:tcBorders>
          </w:tcPr>
          <w:p w14:paraId="439B88B9"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0D90191" w14:textId="74D261D2" w:rsidR="005454E0" w:rsidRPr="00F66DF2" w:rsidRDefault="005454E0" w:rsidP="005454E0">
            <w:pPr>
              <w:pStyle w:val="CommentaryText"/>
              <w:spacing w:after="0"/>
              <w:rPr>
                <w:rFonts w:cs="Calibri"/>
                <w:b/>
                <w:bCs/>
                <w:sz w:val="18"/>
                <w:szCs w:val="18"/>
              </w:rPr>
            </w:pPr>
            <w:r w:rsidRPr="00F66DF2">
              <w:rPr>
                <w:sz w:val="18"/>
                <w:szCs w:val="18"/>
              </w:rPr>
              <w:t>Public private partnership (PPP) lease liabilities</w:t>
            </w:r>
          </w:p>
        </w:tc>
        <w:tc>
          <w:tcPr>
            <w:tcW w:w="525" w:type="pct"/>
            <w:gridSpan w:val="4"/>
            <w:tcBorders>
              <w:bottom w:val="single" w:sz="2" w:space="0" w:color="auto"/>
            </w:tcBorders>
            <w:shd w:val="clear" w:color="auto" w:fill="auto"/>
          </w:tcPr>
          <w:p w14:paraId="601DE1C7" w14:textId="77777777" w:rsidR="005454E0" w:rsidRPr="00F66DF2" w:rsidRDefault="005454E0" w:rsidP="005454E0">
            <w:pPr>
              <w:pStyle w:val="CommentaryText"/>
              <w:spacing w:after="0"/>
              <w:rPr>
                <w:rFonts w:cs="Calibri"/>
                <w:b/>
                <w:bCs/>
                <w:sz w:val="18"/>
                <w:szCs w:val="18"/>
              </w:rPr>
            </w:pPr>
          </w:p>
        </w:tc>
        <w:tc>
          <w:tcPr>
            <w:tcW w:w="549" w:type="pct"/>
            <w:gridSpan w:val="2"/>
            <w:tcBorders>
              <w:bottom w:val="single" w:sz="2" w:space="0" w:color="auto"/>
            </w:tcBorders>
            <w:shd w:val="clear" w:color="auto" w:fill="auto"/>
          </w:tcPr>
          <w:p w14:paraId="756B81C8" w14:textId="77777777" w:rsidR="005454E0" w:rsidRPr="00F66DF2" w:rsidRDefault="005454E0" w:rsidP="005454E0">
            <w:pPr>
              <w:pStyle w:val="CommentaryText"/>
              <w:spacing w:after="0"/>
              <w:rPr>
                <w:rFonts w:cs="Calibri"/>
                <w:b/>
                <w:bCs/>
                <w:sz w:val="18"/>
                <w:szCs w:val="18"/>
              </w:rPr>
            </w:pPr>
          </w:p>
        </w:tc>
      </w:tr>
      <w:tr w:rsidR="005454E0" w:rsidRPr="00381D99" w14:paraId="372FFA1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45"/>
        </w:trPr>
        <w:tc>
          <w:tcPr>
            <w:tcW w:w="704" w:type="pct"/>
            <w:tcBorders>
              <w:left w:val="single" w:sz="2" w:space="0" w:color="auto"/>
              <w:right w:val="single" w:sz="2" w:space="0" w:color="auto"/>
            </w:tcBorders>
          </w:tcPr>
          <w:p w14:paraId="15F05EB0"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16D3F1C" w14:textId="4EA5DB00" w:rsidR="005454E0" w:rsidRPr="00F66DF2" w:rsidRDefault="005454E0" w:rsidP="005454E0">
            <w:pPr>
              <w:pStyle w:val="CommentaryText"/>
              <w:spacing w:after="0"/>
              <w:rPr>
                <w:rFonts w:cs="Calibri"/>
                <w:b/>
                <w:bCs/>
                <w:sz w:val="18"/>
                <w:szCs w:val="18"/>
              </w:rPr>
            </w:pPr>
            <w:r w:rsidRPr="00F66DF2">
              <w:rPr>
                <w:rFonts w:cs="Calibri"/>
                <w:b/>
                <w:bCs/>
                <w:sz w:val="18"/>
                <w:szCs w:val="18"/>
              </w:rPr>
              <w:t>Total Non-Current Lease Liabilities</w:t>
            </w:r>
          </w:p>
        </w:tc>
        <w:tc>
          <w:tcPr>
            <w:tcW w:w="525" w:type="pct"/>
            <w:gridSpan w:val="4"/>
            <w:tcBorders>
              <w:top w:val="single" w:sz="2" w:space="0" w:color="auto"/>
              <w:bottom w:val="single" w:sz="2" w:space="0" w:color="auto"/>
            </w:tcBorders>
            <w:shd w:val="clear" w:color="auto" w:fill="auto"/>
          </w:tcPr>
          <w:p w14:paraId="171ADF5B" w14:textId="77777777" w:rsidR="005454E0" w:rsidRPr="00F66DF2" w:rsidRDefault="005454E0" w:rsidP="005454E0">
            <w:pPr>
              <w:pStyle w:val="CommentaryText"/>
              <w:spacing w:after="0"/>
              <w:rPr>
                <w:rFonts w:cs="Calibri"/>
                <w:b/>
                <w:bCs/>
                <w:sz w:val="18"/>
                <w:szCs w:val="18"/>
              </w:rPr>
            </w:pPr>
          </w:p>
        </w:tc>
        <w:tc>
          <w:tcPr>
            <w:tcW w:w="549" w:type="pct"/>
            <w:gridSpan w:val="2"/>
            <w:tcBorders>
              <w:top w:val="single" w:sz="2" w:space="0" w:color="auto"/>
              <w:bottom w:val="single" w:sz="2" w:space="0" w:color="auto"/>
            </w:tcBorders>
            <w:shd w:val="clear" w:color="auto" w:fill="auto"/>
          </w:tcPr>
          <w:p w14:paraId="7CF752CA" w14:textId="77777777" w:rsidR="005454E0" w:rsidRPr="00F66DF2" w:rsidRDefault="005454E0" w:rsidP="005454E0">
            <w:pPr>
              <w:pStyle w:val="CommentaryText"/>
              <w:spacing w:after="0"/>
              <w:rPr>
                <w:rFonts w:cs="Calibri"/>
                <w:b/>
                <w:bCs/>
                <w:sz w:val="18"/>
                <w:szCs w:val="18"/>
              </w:rPr>
            </w:pPr>
          </w:p>
        </w:tc>
      </w:tr>
      <w:tr w:rsidR="005454E0" w:rsidRPr="00381D99" w14:paraId="11D18B9F"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2C1956E9"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6327F213" w14:textId="0073A9DF" w:rsidR="005454E0" w:rsidRPr="00F66DF2" w:rsidRDefault="005454E0" w:rsidP="005454E0">
            <w:pPr>
              <w:pStyle w:val="CommentaryText"/>
              <w:spacing w:after="0"/>
              <w:rPr>
                <w:rFonts w:cs="Calibri"/>
                <w:b/>
                <w:bCs/>
                <w:sz w:val="18"/>
                <w:szCs w:val="18"/>
              </w:rPr>
            </w:pPr>
            <w:r w:rsidRPr="00F66DF2">
              <w:rPr>
                <w:rFonts w:cs="Calibri"/>
                <w:b/>
                <w:bCs/>
                <w:sz w:val="18"/>
                <w:szCs w:val="18"/>
              </w:rPr>
              <w:t>Total Lease Liabilities</w:t>
            </w:r>
          </w:p>
        </w:tc>
        <w:tc>
          <w:tcPr>
            <w:tcW w:w="525" w:type="pct"/>
            <w:gridSpan w:val="4"/>
            <w:tcBorders>
              <w:top w:val="single" w:sz="2" w:space="0" w:color="auto"/>
              <w:bottom w:val="double" w:sz="4" w:space="0" w:color="auto"/>
            </w:tcBorders>
            <w:shd w:val="clear" w:color="auto" w:fill="auto"/>
          </w:tcPr>
          <w:p w14:paraId="0E7E9D0B" w14:textId="77777777" w:rsidR="005454E0" w:rsidRPr="00F66DF2" w:rsidRDefault="005454E0" w:rsidP="005454E0">
            <w:pPr>
              <w:pStyle w:val="CommentaryText"/>
              <w:spacing w:after="0"/>
              <w:rPr>
                <w:rFonts w:cs="Calibri"/>
                <w:b/>
                <w:bCs/>
                <w:sz w:val="18"/>
                <w:szCs w:val="18"/>
              </w:rPr>
            </w:pPr>
          </w:p>
        </w:tc>
        <w:tc>
          <w:tcPr>
            <w:tcW w:w="549" w:type="pct"/>
            <w:gridSpan w:val="2"/>
            <w:tcBorders>
              <w:top w:val="single" w:sz="2" w:space="0" w:color="auto"/>
              <w:bottom w:val="double" w:sz="4" w:space="0" w:color="auto"/>
            </w:tcBorders>
            <w:shd w:val="clear" w:color="auto" w:fill="auto"/>
          </w:tcPr>
          <w:p w14:paraId="2A5B762E" w14:textId="77777777" w:rsidR="005454E0" w:rsidRPr="00F66DF2" w:rsidRDefault="005454E0" w:rsidP="005454E0">
            <w:pPr>
              <w:pStyle w:val="CommentaryText"/>
              <w:spacing w:after="0"/>
              <w:rPr>
                <w:rFonts w:cs="Calibri"/>
                <w:b/>
                <w:bCs/>
                <w:sz w:val="18"/>
                <w:szCs w:val="18"/>
              </w:rPr>
            </w:pPr>
          </w:p>
        </w:tc>
      </w:tr>
      <w:tr w:rsidR="005454E0" w:rsidRPr="00381D99" w14:paraId="0F651418"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2CFEF0D4"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B69B980" w14:textId="77777777" w:rsidR="005454E0" w:rsidRPr="00F66DF2" w:rsidRDefault="005454E0" w:rsidP="005454E0">
            <w:pPr>
              <w:pStyle w:val="CommentaryText"/>
              <w:spacing w:after="0"/>
              <w:rPr>
                <w:rFonts w:cs="Calibri"/>
                <w:b/>
                <w:bCs/>
                <w:sz w:val="18"/>
                <w:szCs w:val="18"/>
              </w:rPr>
            </w:pPr>
          </w:p>
        </w:tc>
        <w:tc>
          <w:tcPr>
            <w:tcW w:w="525" w:type="pct"/>
            <w:gridSpan w:val="4"/>
            <w:tcBorders>
              <w:top w:val="double" w:sz="4" w:space="0" w:color="auto"/>
            </w:tcBorders>
            <w:shd w:val="clear" w:color="auto" w:fill="auto"/>
          </w:tcPr>
          <w:p w14:paraId="31FE3E17" w14:textId="77777777" w:rsidR="005454E0" w:rsidRPr="00F66DF2" w:rsidRDefault="005454E0" w:rsidP="005454E0">
            <w:pPr>
              <w:pStyle w:val="CommentaryText"/>
              <w:spacing w:after="0"/>
              <w:rPr>
                <w:rFonts w:cs="Calibri"/>
                <w:b/>
                <w:bCs/>
                <w:sz w:val="18"/>
                <w:szCs w:val="18"/>
              </w:rPr>
            </w:pPr>
          </w:p>
        </w:tc>
        <w:tc>
          <w:tcPr>
            <w:tcW w:w="549" w:type="pct"/>
            <w:gridSpan w:val="2"/>
            <w:tcBorders>
              <w:top w:val="double" w:sz="4" w:space="0" w:color="auto"/>
            </w:tcBorders>
            <w:shd w:val="clear" w:color="auto" w:fill="auto"/>
          </w:tcPr>
          <w:p w14:paraId="01A0C2FD" w14:textId="77777777" w:rsidR="005454E0" w:rsidRPr="00F66DF2" w:rsidRDefault="005454E0" w:rsidP="005454E0">
            <w:pPr>
              <w:pStyle w:val="CommentaryText"/>
              <w:spacing w:after="0"/>
              <w:rPr>
                <w:rFonts w:cs="Calibri"/>
                <w:b/>
                <w:bCs/>
                <w:sz w:val="18"/>
                <w:szCs w:val="18"/>
              </w:rPr>
            </w:pPr>
          </w:p>
        </w:tc>
      </w:tr>
      <w:tr w:rsidR="005454E0" w:rsidRPr="00381D99" w14:paraId="1C77E8D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75"/>
        </w:trPr>
        <w:tc>
          <w:tcPr>
            <w:tcW w:w="704" w:type="pct"/>
            <w:tcBorders>
              <w:left w:val="single" w:sz="2" w:space="0" w:color="auto"/>
              <w:right w:val="single" w:sz="2" w:space="0" w:color="auto"/>
            </w:tcBorders>
          </w:tcPr>
          <w:p w14:paraId="678C73C3"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1241FC00" w14:textId="0C66E5CB" w:rsidR="005454E0" w:rsidRPr="00F66DF2" w:rsidRDefault="005454E0" w:rsidP="005454E0">
            <w:pPr>
              <w:pStyle w:val="CommentaryText"/>
              <w:spacing w:after="0"/>
              <w:rPr>
                <w:rFonts w:cs="Calibri"/>
                <w:sz w:val="18"/>
                <w:szCs w:val="18"/>
              </w:rPr>
            </w:pPr>
            <w:r w:rsidRPr="00F66DF2">
              <w:rPr>
                <w:rFonts w:cs="Calibri"/>
                <w:b/>
                <w:bCs/>
                <w:sz w:val="18"/>
                <w:szCs w:val="18"/>
              </w:rPr>
              <w:t>Reconciliation of Lease Liabilities</w:t>
            </w:r>
          </w:p>
        </w:tc>
        <w:tc>
          <w:tcPr>
            <w:tcW w:w="525" w:type="pct"/>
            <w:gridSpan w:val="4"/>
            <w:shd w:val="clear" w:color="auto" w:fill="auto"/>
          </w:tcPr>
          <w:p w14:paraId="086D3EA8"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62095E6A" w14:textId="77777777" w:rsidR="005454E0" w:rsidRPr="00F66DF2" w:rsidRDefault="005454E0" w:rsidP="005454E0">
            <w:pPr>
              <w:pStyle w:val="CommentaryText"/>
              <w:spacing w:after="0"/>
              <w:rPr>
                <w:rFonts w:cs="Calibri"/>
                <w:b/>
                <w:bCs/>
                <w:sz w:val="18"/>
                <w:szCs w:val="18"/>
              </w:rPr>
            </w:pPr>
          </w:p>
        </w:tc>
      </w:tr>
      <w:tr w:rsidR="005454E0" w:rsidRPr="00381D99" w14:paraId="284C544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75"/>
        </w:trPr>
        <w:tc>
          <w:tcPr>
            <w:tcW w:w="704" w:type="pct"/>
            <w:tcBorders>
              <w:left w:val="single" w:sz="2" w:space="0" w:color="auto"/>
              <w:right w:val="single" w:sz="2" w:space="0" w:color="auto"/>
            </w:tcBorders>
          </w:tcPr>
          <w:p w14:paraId="57E1EA40"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10E4738B" w14:textId="113CCBCE" w:rsidR="005454E0" w:rsidRPr="00F66DF2" w:rsidRDefault="005454E0" w:rsidP="005454E0">
            <w:pPr>
              <w:pStyle w:val="CommentaryText"/>
              <w:spacing w:after="0"/>
              <w:rPr>
                <w:rFonts w:cs="Calibri"/>
                <w:sz w:val="18"/>
                <w:szCs w:val="18"/>
              </w:rPr>
            </w:pPr>
            <w:r w:rsidRPr="00F66DF2">
              <w:rPr>
                <w:rFonts w:cs="Calibri"/>
                <w:sz w:val="18"/>
                <w:szCs w:val="18"/>
              </w:rPr>
              <w:t>Opening Balance of Lease Liabilities</w:t>
            </w:r>
          </w:p>
        </w:tc>
        <w:tc>
          <w:tcPr>
            <w:tcW w:w="525" w:type="pct"/>
            <w:gridSpan w:val="4"/>
            <w:shd w:val="clear" w:color="auto" w:fill="auto"/>
          </w:tcPr>
          <w:p w14:paraId="27314A41"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28FA6047" w14:textId="77777777" w:rsidR="005454E0" w:rsidRPr="00F66DF2" w:rsidRDefault="005454E0" w:rsidP="005454E0">
            <w:pPr>
              <w:pStyle w:val="CommentaryText"/>
              <w:spacing w:after="0"/>
              <w:rPr>
                <w:rFonts w:cs="Calibri"/>
                <w:b/>
                <w:bCs/>
                <w:sz w:val="18"/>
                <w:szCs w:val="18"/>
              </w:rPr>
            </w:pPr>
          </w:p>
        </w:tc>
      </w:tr>
      <w:tr w:rsidR="005454E0" w:rsidRPr="00381D99" w14:paraId="6CFB61E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52"/>
        </w:trPr>
        <w:tc>
          <w:tcPr>
            <w:tcW w:w="704" w:type="pct"/>
            <w:tcBorders>
              <w:left w:val="single" w:sz="2" w:space="0" w:color="auto"/>
              <w:right w:val="single" w:sz="2" w:space="0" w:color="auto"/>
            </w:tcBorders>
          </w:tcPr>
          <w:p w14:paraId="480030EF"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4A62151E" w14:textId="3D87FF34" w:rsidR="005454E0" w:rsidRPr="00F66DF2" w:rsidRDefault="005454E0" w:rsidP="005454E0">
            <w:pPr>
              <w:pStyle w:val="CommentaryText"/>
              <w:spacing w:after="0"/>
              <w:rPr>
                <w:rFonts w:cs="Calibri"/>
                <w:sz w:val="18"/>
                <w:szCs w:val="18"/>
              </w:rPr>
            </w:pPr>
            <w:r w:rsidRPr="00F66DF2">
              <w:rPr>
                <w:rFonts w:cs="Calibri"/>
                <w:sz w:val="18"/>
              </w:rPr>
              <w:t>Add: Additional Lease Liabilities taken up in the Current Reporting Period</w:t>
            </w:r>
          </w:p>
        </w:tc>
        <w:tc>
          <w:tcPr>
            <w:tcW w:w="525" w:type="pct"/>
            <w:gridSpan w:val="4"/>
            <w:shd w:val="clear" w:color="auto" w:fill="auto"/>
          </w:tcPr>
          <w:p w14:paraId="2FD10700"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01066272" w14:textId="77777777" w:rsidR="005454E0" w:rsidRPr="00F66DF2" w:rsidRDefault="005454E0" w:rsidP="005454E0">
            <w:pPr>
              <w:pStyle w:val="CommentaryText"/>
              <w:spacing w:after="0"/>
              <w:rPr>
                <w:rFonts w:cs="Calibri"/>
                <w:b/>
                <w:bCs/>
                <w:sz w:val="18"/>
                <w:szCs w:val="18"/>
              </w:rPr>
            </w:pPr>
          </w:p>
        </w:tc>
      </w:tr>
      <w:tr w:rsidR="005454E0" w:rsidRPr="00381D99" w14:paraId="4843B79B"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41"/>
        </w:trPr>
        <w:tc>
          <w:tcPr>
            <w:tcW w:w="704" w:type="pct"/>
            <w:tcBorders>
              <w:left w:val="single" w:sz="2" w:space="0" w:color="auto"/>
              <w:right w:val="single" w:sz="2" w:space="0" w:color="auto"/>
            </w:tcBorders>
          </w:tcPr>
          <w:p w14:paraId="39BE830A" w14:textId="007F9BB2" w:rsidR="005454E0" w:rsidRPr="00D85C31" w:rsidRDefault="005454E0" w:rsidP="005454E0">
            <w:pPr>
              <w:pStyle w:val="TableReference"/>
              <w:rPr>
                <w:rFonts w:cs="Calibri"/>
                <w:color w:val="7030A0"/>
                <w:sz w:val="14"/>
              </w:rPr>
            </w:pPr>
            <w:r w:rsidRPr="00D85C31">
              <w:rPr>
                <w:color w:val="7030A0"/>
                <w:sz w:val="14"/>
              </w:rPr>
              <w:t>AASB 16.53(g)</w:t>
            </w:r>
          </w:p>
        </w:tc>
        <w:tc>
          <w:tcPr>
            <w:tcW w:w="3058" w:type="pct"/>
            <w:gridSpan w:val="4"/>
            <w:tcBorders>
              <w:left w:val="single" w:sz="2" w:space="0" w:color="auto"/>
            </w:tcBorders>
            <w:shd w:val="clear" w:color="auto" w:fill="auto"/>
          </w:tcPr>
          <w:p w14:paraId="5CB5F6FD" w14:textId="19F1EFF2" w:rsidR="005454E0" w:rsidRPr="00F66DF2" w:rsidRDefault="005454E0" w:rsidP="005454E0">
            <w:pPr>
              <w:pStyle w:val="CommentaryText"/>
              <w:spacing w:after="0"/>
              <w:rPr>
                <w:rFonts w:cs="Calibri"/>
                <w:sz w:val="18"/>
                <w:szCs w:val="18"/>
              </w:rPr>
            </w:pPr>
            <w:r w:rsidRPr="00F66DF2">
              <w:rPr>
                <w:rFonts w:cs="Calibri"/>
                <w:sz w:val="18"/>
              </w:rPr>
              <w:t>Less: Payments to Reduce the Principal of the Liability</w:t>
            </w:r>
          </w:p>
        </w:tc>
        <w:tc>
          <w:tcPr>
            <w:tcW w:w="525" w:type="pct"/>
            <w:gridSpan w:val="4"/>
            <w:shd w:val="clear" w:color="auto" w:fill="auto"/>
          </w:tcPr>
          <w:p w14:paraId="4BD13861" w14:textId="77777777" w:rsidR="005454E0" w:rsidRPr="00F66DF2" w:rsidRDefault="005454E0" w:rsidP="005454E0">
            <w:pPr>
              <w:pStyle w:val="CommentaryText"/>
              <w:spacing w:after="0"/>
              <w:rPr>
                <w:rFonts w:cs="Calibri"/>
                <w:b/>
                <w:bCs/>
                <w:sz w:val="18"/>
                <w:szCs w:val="18"/>
              </w:rPr>
            </w:pPr>
          </w:p>
        </w:tc>
        <w:tc>
          <w:tcPr>
            <w:tcW w:w="549" w:type="pct"/>
            <w:gridSpan w:val="2"/>
            <w:shd w:val="clear" w:color="auto" w:fill="auto"/>
          </w:tcPr>
          <w:p w14:paraId="346CAD5E" w14:textId="77777777" w:rsidR="005454E0" w:rsidRPr="00F66DF2" w:rsidRDefault="005454E0" w:rsidP="005454E0">
            <w:pPr>
              <w:pStyle w:val="CommentaryText"/>
              <w:spacing w:after="0"/>
              <w:rPr>
                <w:rFonts w:cs="Calibri"/>
                <w:b/>
                <w:bCs/>
                <w:sz w:val="18"/>
                <w:szCs w:val="18"/>
              </w:rPr>
            </w:pPr>
          </w:p>
        </w:tc>
      </w:tr>
      <w:tr w:rsidR="005454E0" w:rsidRPr="00381D99" w14:paraId="3C82B2E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218"/>
        </w:trPr>
        <w:tc>
          <w:tcPr>
            <w:tcW w:w="704" w:type="pct"/>
            <w:tcBorders>
              <w:left w:val="single" w:sz="2" w:space="0" w:color="auto"/>
              <w:right w:val="single" w:sz="2" w:space="0" w:color="auto"/>
            </w:tcBorders>
          </w:tcPr>
          <w:p w14:paraId="64593FDA" w14:textId="5029EB9B" w:rsidR="005454E0" w:rsidRPr="00D85C31" w:rsidRDefault="005454E0" w:rsidP="005454E0">
            <w:pPr>
              <w:pStyle w:val="TableReference"/>
              <w:rPr>
                <w:rFonts w:cs="Calibri"/>
                <w:color w:val="7030A0"/>
                <w:sz w:val="14"/>
              </w:rPr>
            </w:pPr>
            <w:r w:rsidRPr="00D85C31">
              <w:rPr>
                <w:color w:val="7030A0"/>
                <w:sz w:val="14"/>
              </w:rPr>
              <w:t>AASB 16.53(b)</w:t>
            </w:r>
          </w:p>
        </w:tc>
        <w:tc>
          <w:tcPr>
            <w:tcW w:w="3058" w:type="pct"/>
            <w:gridSpan w:val="4"/>
            <w:tcBorders>
              <w:left w:val="single" w:sz="2" w:space="0" w:color="auto"/>
            </w:tcBorders>
            <w:shd w:val="clear" w:color="auto" w:fill="auto"/>
          </w:tcPr>
          <w:p w14:paraId="4EF3882E" w14:textId="63EC7FC4" w:rsidR="005454E0" w:rsidRPr="00F66DF2" w:rsidRDefault="005454E0" w:rsidP="005454E0">
            <w:pPr>
              <w:pStyle w:val="CommentaryText"/>
              <w:spacing w:after="0"/>
              <w:rPr>
                <w:rFonts w:cs="Calibri"/>
                <w:sz w:val="18"/>
                <w:szCs w:val="18"/>
              </w:rPr>
            </w:pPr>
            <w:r w:rsidRPr="00F66DF2">
              <w:rPr>
                <w:rFonts w:cs="Calibri"/>
                <w:sz w:val="18"/>
              </w:rPr>
              <w:t xml:space="preserve">Less: Interest Expense </w:t>
            </w:r>
          </w:p>
        </w:tc>
        <w:tc>
          <w:tcPr>
            <w:tcW w:w="525" w:type="pct"/>
            <w:gridSpan w:val="4"/>
            <w:tcBorders>
              <w:bottom w:val="single" w:sz="2" w:space="0" w:color="auto"/>
            </w:tcBorders>
            <w:shd w:val="clear" w:color="auto" w:fill="auto"/>
          </w:tcPr>
          <w:p w14:paraId="6FBC1B75" w14:textId="77777777" w:rsidR="005454E0" w:rsidRPr="00F66DF2" w:rsidRDefault="005454E0" w:rsidP="005454E0">
            <w:pPr>
              <w:pStyle w:val="CommentaryText"/>
              <w:spacing w:after="0"/>
              <w:rPr>
                <w:rFonts w:cs="Calibri"/>
                <w:b/>
                <w:bCs/>
                <w:sz w:val="18"/>
                <w:szCs w:val="18"/>
              </w:rPr>
            </w:pPr>
          </w:p>
        </w:tc>
        <w:tc>
          <w:tcPr>
            <w:tcW w:w="549" w:type="pct"/>
            <w:gridSpan w:val="2"/>
            <w:tcBorders>
              <w:bottom w:val="single" w:sz="2" w:space="0" w:color="auto"/>
            </w:tcBorders>
            <w:shd w:val="clear" w:color="auto" w:fill="auto"/>
          </w:tcPr>
          <w:p w14:paraId="1E76540A" w14:textId="77777777" w:rsidR="005454E0" w:rsidRPr="00F66DF2" w:rsidRDefault="005454E0" w:rsidP="005454E0">
            <w:pPr>
              <w:pStyle w:val="CommentaryText"/>
              <w:spacing w:after="0"/>
              <w:rPr>
                <w:rFonts w:cs="Calibri"/>
                <w:b/>
                <w:bCs/>
                <w:sz w:val="18"/>
                <w:szCs w:val="18"/>
              </w:rPr>
            </w:pPr>
          </w:p>
        </w:tc>
      </w:tr>
      <w:tr w:rsidR="005454E0" w:rsidRPr="00381D99" w14:paraId="26CA1D2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129"/>
        </w:trPr>
        <w:tc>
          <w:tcPr>
            <w:tcW w:w="704" w:type="pct"/>
            <w:tcBorders>
              <w:left w:val="single" w:sz="2" w:space="0" w:color="auto"/>
              <w:right w:val="single" w:sz="2" w:space="0" w:color="auto"/>
            </w:tcBorders>
          </w:tcPr>
          <w:p w14:paraId="5AD947A8"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5C9ECC06" w14:textId="6244A1E5" w:rsidR="005454E0" w:rsidRPr="00F66DF2" w:rsidRDefault="005454E0" w:rsidP="005454E0">
            <w:pPr>
              <w:pStyle w:val="CommentaryText"/>
              <w:spacing w:after="0"/>
              <w:rPr>
                <w:rFonts w:cs="Calibri"/>
                <w:b/>
                <w:bCs/>
                <w:sz w:val="18"/>
                <w:szCs w:val="18"/>
              </w:rPr>
            </w:pPr>
            <w:r w:rsidRPr="00F66DF2">
              <w:rPr>
                <w:rFonts w:cs="Calibri"/>
                <w:b/>
                <w:bCs/>
                <w:sz w:val="18"/>
              </w:rPr>
              <w:t xml:space="preserve">Closing Balance of </w:t>
            </w:r>
            <w:r w:rsidRPr="00F66DF2">
              <w:rPr>
                <w:rFonts w:cs="Calibri"/>
                <w:b/>
                <w:bCs/>
                <w:sz w:val="18"/>
                <w:szCs w:val="18"/>
              </w:rPr>
              <w:t>Lease Liabilities</w:t>
            </w:r>
          </w:p>
        </w:tc>
        <w:tc>
          <w:tcPr>
            <w:tcW w:w="525" w:type="pct"/>
            <w:gridSpan w:val="4"/>
            <w:tcBorders>
              <w:top w:val="single" w:sz="2" w:space="0" w:color="auto"/>
              <w:bottom w:val="double" w:sz="4" w:space="0" w:color="auto"/>
            </w:tcBorders>
            <w:shd w:val="clear" w:color="auto" w:fill="auto"/>
          </w:tcPr>
          <w:p w14:paraId="5305F3C5" w14:textId="77777777" w:rsidR="005454E0" w:rsidRPr="00F66DF2" w:rsidRDefault="005454E0" w:rsidP="005454E0">
            <w:pPr>
              <w:pStyle w:val="CommentaryText"/>
              <w:spacing w:after="0"/>
              <w:rPr>
                <w:rFonts w:cs="Calibri"/>
                <w:b/>
                <w:bCs/>
                <w:sz w:val="18"/>
                <w:szCs w:val="18"/>
              </w:rPr>
            </w:pPr>
          </w:p>
        </w:tc>
        <w:tc>
          <w:tcPr>
            <w:tcW w:w="549" w:type="pct"/>
            <w:gridSpan w:val="2"/>
            <w:tcBorders>
              <w:top w:val="single" w:sz="2" w:space="0" w:color="auto"/>
              <w:bottom w:val="double" w:sz="4" w:space="0" w:color="auto"/>
            </w:tcBorders>
            <w:shd w:val="clear" w:color="auto" w:fill="auto"/>
          </w:tcPr>
          <w:p w14:paraId="2665B47E" w14:textId="77777777" w:rsidR="005454E0" w:rsidRPr="00F66DF2" w:rsidRDefault="005454E0" w:rsidP="005454E0">
            <w:pPr>
              <w:pStyle w:val="CommentaryText"/>
              <w:spacing w:after="0"/>
              <w:rPr>
                <w:rFonts w:cs="Calibri"/>
                <w:b/>
                <w:bCs/>
                <w:sz w:val="18"/>
                <w:szCs w:val="18"/>
              </w:rPr>
            </w:pPr>
          </w:p>
        </w:tc>
      </w:tr>
      <w:tr w:rsidR="005454E0" w:rsidRPr="00381D99" w14:paraId="6DA1B830"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4EB9169E" w14:textId="77777777" w:rsidR="005454E0" w:rsidRPr="00D85C31" w:rsidRDefault="005454E0" w:rsidP="005454E0">
            <w:pPr>
              <w:pStyle w:val="TableReference"/>
              <w:rPr>
                <w:rFonts w:cs="Calibri"/>
                <w:color w:val="7030A0"/>
                <w:sz w:val="14"/>
              </w:rPr>
            </w:pPr>
          </w:p>
        </w:tc>
        <w:tc>
          <w:tcPr>
            <w:tcW w:w="3058" w:type="pct"/>
            <w:gridSpan w:val="4"/>
            <w:tcBorders>
              <w:left w:val="single" w:sz="2" w:space="0" w:color="auto"/>
            </w:tcBorders>
            <w:shd w:val="clear" w:color="auto" w:fill="auto"/>
          </w:tcPr>
          <w:p w14:paraId="2DA59AD1" w14:textId="77777777" w:rsidR="005454E0" w:rsidRPr="00F66DF2" w:rsidRDefault="005454E0" w:rsidP="005454E0">
            <w:pPr>
              <w:pStyle w:val="CommentaryText"/>
              <w:spacing w:after="0"/>
              <w:rPr>
                <w:rFonts w:cs="Calibri"/>
                <w:b/>
                <w:bCs/>
                <w:sz w:val="18"/>
                <w:szCs w:val="18"/>
              </w:rPr>
            </w:pPr>
          </w:p>
        </w:tc>
        <w:tc>
          <w:tcPr>
            <w:tcW w:w="525" w:type="pct"/>
            <w:gridSpan w:val="4"/>
            <w:tcBorders>
              <w:top w:val="double" w:sz="4" w:space="0" w:color="auto"/>
            </w:tcBorders>
            <w:shd w:val="clear" w:color="auto" w:fill="auto"/>
          </w:tcPr>
          <w:p w14:paraId="45312196" w14:textId="77777777" w:rsidR="005454E0" w:rsidRPr="00F66DF2" w:rsidRDefault="005454E0" w:rsidP="005454E0">
            <w:pPr>
              <w:pStyle w:val="CommentaryText"/>
              <w:spacing w:after="0"/>
              <w:rPr>
                <w:rFonts w:cs="Calibri"/>
                <w:b/>
                <w:bCs/>
                <w:sz w:val="18"/>
                <w:szCs w:val="18"/>
              </w:rPr>
            </w:pPr>
          </w:p>
        </w:tc>
        <w:tc>
          <w:tcPr>
            <w:tcW w:w="549" w:type="pct"/>
            <w:gridSpan w:val="2"/>
            <w:tcBorders>
              <w:top w:val="double" w:sz="4" w:space="0" w:color="auto"/>
            </w:tcBorders>
            <w:shd w:val="clear" w:color="auto" w:fill="auto"/>
          </w:tcPr>
          <w:p w14:paraId="08E25348" w14:textId="77777777" w:rsidR="005454E0" w:rsidRPr="00F66DF2" w:rsidRDefault="005454E0" w:rsidP="005454E0">
            <w:pPr>
              <w:pStyle w:val="CommentaryText"/>
              <w:spacing w:after="0"/>
              <w:rPr>
                <w:rFonts w:cs="Calibri"/>
                <w:b/>
                <w:bCs/>
                <w:sz w:val="18"/>
                <w:szCs w:val="18"/>
              </w:rPr>
            </w:pPr>
          </w:p>
        </w:tc>
      </w:tr>
      <w:tr w:rsidR="005454E0" w:rsidRPr="00381D99" w14:paraId="35A699B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24C074C4" w14:textId="58CC8DDD" w:rsidR="005454E0" w:rsidRPr="00D85C31" w:rsidRDefault="005454E0" w:rsidP="005454E0">
            <w:pPr>
              <w:pStyle w:val="TableReference"/>
              <w:rPr>
                <w:rFonts w:cs="Calibri"/>
                <w:color w:val="7030A0"/>
                <w:sz w:val="14"/>
              </w:rPr>
            </w:pPr>
            <w:r w:rsidRPr="00D85C31">
              <w:rPr>
                <w:rFonts w:cs="Calibri"/>
                <w:color w:val="7030A0"/>
                <w:sz w:val="14"/>
              </w:rPr>
              <w:t>AASB 16.53(g)</w:t>
            </w:r>
          </w:p>
        </w:tc>
        <w:tc>
          <w:tcPr>
            <w:tcW w:w="4131" w:type="pct"/>
            <w:gridSpan w:val="10"/>
            <w:tcBorders>
              <w:left w:val="single" w:sz="2" w:space="0" w:color="auto"/>
            </w:tcBorders>
            <w:shd w:val="clear" w:color="auto" w:fill="auto"/>
          </w:tcPr>
          <w:p w14:paraId="064C3C01" w14:textId="575D68C5" w:rsidR="005454E0" w:rsidRPr="00F66DF2" w:rsidRDefault="005454E0" w:rsidP="005454E0">
            <w:pPr>
              <w:pStyle w:val="CommentaryText"/>
              <w:spacing w:after="0"/>
              <w:jc w:val="left"/>
              <w:rPr>
                <w:rFonts w:cstheme="minorHAnsi"/>
                <w:b/>
                <w:sz w:val="18"/>
                <w:szCs w:val="18"/>
              </w:rPr>
            </w:pPr>
            <w:r w:rsidRPr="00F66DF2">
              <w:rPr>
                <w:rFonts w:cs="Calibri"/>
                <w:sz w:val="18"/>
                <w:szCs w:val="18"/>
              </w:rPr>
              <w:t>‘</w:t>
            </w:r>
            <w:r w:rsidRPr="00F66DF2">
              <w:rPr>
                <w:sz w:val="18"/>
                <w:szCs w:val="18"/>
              </w:rPr>
              <w:t>Burley Griffin</w:t>
            </w:r>
            <w:r w:rsidRPr="00F66DF2">
              <w:rPr>
                <w:rFonts w:cs="Calibri"/>
                <w:sz w:val="18"/>
                <w:szCs w:val="18"/>
              </w:rPr>
              <w:t xml:space="preserve"> Agency’ had total cash outflows relating to leases of $xxx in 202</w:t>
            </w:r>
            <w:r>
              <w:rPr>
                <w:rFonts w:cs="Calibri"/>
                <w:sz w:val="18"/>
                <w:szCs w:val="18"/>
              </w:rPr>
              <w:t>2</w:t>
            </w:r>
            <w:r w:rsidRPr="00F66DF2">
              <w:rPr>
                <w:rFonts w:cs="Calibri"/>
                <w:sz w:val="18"/>
                <w:szCs w:val="18"/>
              </w:rPr>
              <w:t>-2</w:t>
            </w:r>
            <w:r>
              <w:rPr>
                <w:rFonts w:cs="Calibri"/>
                <w:sz w:val="18"/>
                <w:szCs w:val="18"/>
              </w:rPr>
              <w:t>3</w:t>
            </w:r>
            <w:r w:rsidRPr="00F66DF2">
              <w:rPr>
                <w:rFonts w:cs="Calibri"/>
                <w:sz w:val="18"/>
                <w:szCs w:val="18"/>
              </w:rPr>
              <w:t xml:space="preserve"> ($xxx in 202</w:t>
            </w:r>
            <w:r>
              <w:rPr>
                <w:rFonts w:cs="Calibri"/>
                <w:sz w:val="18"/>
                <w:szCs w:val="18"/>
              </w:rPr>
              <w:t>1</w:t>
            </w:r>
            <w:r w:rsidRPr="00F66DF2">
              <w:rPr>
                <w:rFonts w:cs="Calibri"/>
                <w:sz w:val="18"/>
                <w:szCs w:val="18"/>
              </w:rPr>
              <w:t>-2</w:t>
            </w:r>
            <w:r>
              <w:rPr>
                <w:rFonts w:cs="Calibri"/>
                <w:sz w:val="18"/>
                <w:szCs w:val="18"/>
              </w:rPr>
              <w:t>2</w:t>
            </w:r>
            <w:r w:rsidRPr="00F66DF2">
              <w:rPr>
                <w:rFonts w:cs="Calibri"/>
                <w:sz w:val="18"/>
                <w:szCs w:val="18"/>
              </w:rPr>
              <w:t>).</w:t>
            </w:r>
          </w:p>
        </w:tc>
      </w:tr>
      <w:tr w:rsidR="005454E0" w:rsidRPr="00381D99" w14:paraId="5060945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2A1A6268" w14:textId="33437EB7" w:rsidR="005454E0" w:rsidRPr="00D92794" w:rsidRDefault="005454E0" w:rsidP="005454E0">
            <w:pPr>
              <w:pStyle w:val="TableReference"/>
              <w:spacing w:before="240" w:after="240"/>
              <w:rPr>
                <w:rFonts w:cs="Calibri"/>
                <w:color w:val="7030A0"/>
                <w:sz w:val="22"/>
                <w:szCs w:val="22"/>
              </w:rPr>
            </w:pPr>
          </w:p>
        </w:tc>
        <w:tc>
          <w:tcPr>
            <w:tcW w:w="4131" w:type="pct"/>
            <w:gridSpan w:val="10"/>
            <w:tcBorders>
              <w:left w:val="single" w:sz="2" w:space="0" w:color="auto"/>
            </w:tcBorders>
            <w:shd w:val="clear" w:color="auto" w:fill="7030A0"/>
          </w:tcPr>
          <w:p w14:paraId="513DF158" w14:textId="47596410" w:rsidR="005454E0" w:rsidRPr="00F66DF2" w:rsidRDefault="005454E0" w:rsidP="005454E0">
            <w:pPr>
              <w:pStyle w:val="CommentaryText"/>
              <w:spacing w:before="240" w:after="240"/>
              <w:rPr>
                <w:rFonts w:cs="Calibri"/>
                <w:color w:val="FFFFFF" w:themeColor="background1"/>
                <w:sz w:val="28"/>
                <w:szCs w:val="2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26: Lease Liabilities </w:t>
            </w:r>
          </w:p>
        </w:tc>
      </w:tr>
      <w:tr w:rsidR="005454E0" w:rsidRPr="00381D99" w14:paraId="66D4DBA1"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vAlign w:val="bottom"/>
          </w:tcPr>
          <w:p w14:paraId="12AD2D85" w14:textId="77777777" w:rsidR="005454E0" w:rsidRPr="00D85C31" w:rsidRDefault="005454E0" w:rsidP="005454E0">
            <w:pPr>
              <w:rPr>
                <w:rFonts w:cs="Calibri"/>
                <w:b/>
                <w:color w:val="7030A0"/>
                <w:sz w:val="20"/>
                <w:szCs w:val="20"/>
              </w:rPr>
            </w:pPr>
          </w:p>
        </w:tc>
        <w:tc>
          <w:tcPr>
            <w:tcW w:w="4131" w:type="pct"/>
            <w:gridSpan w:val="10"/>
            <w:tcBorders>
              <w:left w:val="single" w:sz="2" w:space="0" w:color="auto"/>
            </w:tcBorders>
            <w:shd w:val="clear" w:color="auto" w:fill="7030A0"/>
            <w:vAlign w:val="bottom"/>
          </w:tcPr>
          <w:p w14:paraId="18B80642" w14:textId="64FAB683" w:rsidR="005454E0" w:rsidRPr="00F66DF2" w:rsidRDefault="005454E0" w:rsidP="005454E0">
            <w:pPr>
              <w:spacing w:after="120"/>
              <w:jc w:val="both"/>
              <w:rPr>
                <w:bCs/>
                <w:color w:val="FFFFFF" w:themeColor="background1"/>
                <w:sz w:val="18"/>
                <w:szCs w:val="18"/>
              </w:rPr>
            </w:pPr>
            <w:r w:rsidRPr="00F66DF2">
              <w:rPr>
                <w:bCs/>
                <w:color w:val="FFFFFF" w:themeColor="background1"/>
                <w:sz w:val="18"/>
                <w:szCs w:val="18"/>
              </w:rPr>
              <w:t xml:space="preserve">The AASB 16 </w:t>
            </w:r>
            <w:r w:rsidRPr="00F66DF2">
              <w:rPr>
                <w:bCs/>
                <w:i/>
                <w:iCs/>
                <w:color w:val="FFFFFF" w:themeColor="background1"/>
                <w:sz w:val="18"/>
                <w:szCs w:val="18"/>
              </w:rPr>
              <w:t>Leases</w:t>
            </w:r>
            <w:r w:rsidRPr="00F66DF2">
              <w:rPr>
                <w:bCs/>
                <w:color w:val="FFFFFF" w:themeColor="background1"/>
                <w:sz w:val="18"/>
                <w:szCs w:val="18"/>
              </w:rPr>
              <w:t xml:space="preserve"> disclosure objective is to ensure that users of the financial statements can assess the effect that leases have on the financial statements.</w:t>
            </w:r>
            <w:r>
              <w:rPr>
                <w:bCs/>
                <w:color w:val="FFFFFF" w:themeColor="background1"/>
                <w:sz w:val="18"/>
                <w:szCs w:val="18"/>
              </w:rPr>
              <w:t xml:space="preserve"> </w:t>
            </w:r>
            <w:r w:rsidRPr="00263E74">
              <w:rPr>
                <w:bCs/>
                <w:strike/>
                <w:color w:val="FF0000"/>
                <w:sz w:val="18"/>
                <w:szCs w:val="18"/>
              </w:rPr>
              <w:t>AASB 16 contains both quantitative and qualitative disclosures.</w:t>
            </w:r>
          </w:p>
        </w:tc>
      </w:tr>
      <w:tr w:rsidR="005454E0" w:rsidRPr="00381D99" w14:paraId="2A47ADF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vAlign w:val="bottom"/>
          </w:tcPr>
          <w:p w14:paraId="58FE58C9" w14:textId="77777777" w:rsidR="005454E0" w:rsidRPr="00D85C31" w:rsidRDefault="005454E0" w:rsidP="005454E0">
            <w:pPr>
              <w:rPr>
                <w:rFonts w:cs="Calibri"/>
                <w:b/>
                <w:color w:val="7030A0"/>
                <w:sz w:val="20"/>
                <w:szCs w:val="20"/>
              </w:rPr>
            </w:pPr>
          </w:p>
        </w:tc>
        <w:tc>
          <w:tcPr>
            <w:tcW w:w="4131" w:type="pct"/>
            <w:gridSpan w:val="10"/>
            <w:tcBorders>
              <w:left w:val="single" w:sz="2" w:space="0" w:color="auto"/>
            </w:tcBorders>
            <w:shd w:val="clear" w:color="auto" w:fill="7030A0"/>
            <w:vAlign w:val="bottom"/>
          </w:tcPr>
          <w:p w14:paraId="30A0F79A" w14:textId="2546AC7B" w:rsidR="005454E0" w:rsidRPr="00F66DF2" w:rsidRDefault="005454E0" w:rsidP="005454E0">
            <w:pPr>
              <w:spacing w:after="120"/>
              <w:jc w:val="both"/>
              <w:rPr>
                <w:bCs/>
                <w:color w:val="FFFFFF" w:themeColor="background1"/>
                <w:sz w:val="18"/>
                <w:szCs w:val="18"/>
              </w:rPr>
            </w:pPr>
            <w:r w:rsidRPr="00F66DF2">
              <w:rPr>
                <w:bCs/>
                <w:color w:val="FFFFFF" w:themeColor="background1"/>
                <w:sz w:val="18"/>
                <w:szCs w:val="18"/>
              </w:rPr>
              <w:t>The disclosure objective should be used by Agencies to assess whether the overall quality and extent of the lease disclosures are sufficient rather than just mechanically following the lease disclosures in the Model Financial Statements.</w:t>
            </w:r>
          </w:p>
        </w:tc>
      </w:tr>
      <w:tr w:rsidR="005454E0" w:rsidRPr="00381D99" w14:paraId="010D314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6B0642DC" w14:textId="77777777" w:rsidR="005454E0" w:rsidRDefault="005454E0" w:rsidP="005454E0">
            <w:pPr>
              <w:rPr>
                <w:bCs/>
                <w:color w:val="7030A0"/>
                <w:sz w:val="14"/>
                <w:szCs w:val="14"/>
              </w:rPr>
            </w:pPr>
            <w:r w:rsidRPr="00D85C31">
              <w:rPr>
                <w:bCs/>
                <w:color w:val="7030A0"/>
                <w:sz w:val="14"/>
                <w:szCs w:val="14"/>
              </w:rPr>
              <w:t>AASB 16.52</w:t>
            </w:r>
          </w:p>
          <w:p w14:paraId="2F86BC1C" w14:textId="43E793DC" w:rsidR="005454E0" w:rsidRPr="00D85C31" w:rsidRDefault="005454E0" w:rsidP="005454E0">
            <w:pPr>
              <w:rPr>
                <w:rFonts w:cs="Calibri"/>
                <w:b/>
                <w:color w:val="7030A0"/>
                <w:sz w:val="14"/>
                <w:szCs w:val="14"/>
              </w:rPr>
            </w:pPr>
          </w:p>
        </w:tc>
        <w:tc>
          <w:tcPr>
            <w:tcW w:w="4131" w:type="pct"/>
            <w:gridSpan w:val="10"/>
            <w:tcBorders>
              <w:left w:val="single" w:sz="2" w:space="0" w:color="auto"/>
            </w:tcBorders>
            <w:shd w:val="clear" w:color="auto" w:fill="7030A0"/>
            <w:vAlign w:val="bottom"/>
          </w:tcPr>
          <w:p w14:paraId="5EEB3997" w14:textId="3132C281" w:rsidR="005454E0" w:rsidRPr="00F66DF2" w:rsidRDefault="005454E0" w:rsidP="005454E0">
            <w:pPr>
              <w:spacing w:after="120"/>
              <w:jc w:val="both"/>
              <w:rPr>
                <w:bCs/>
                <w:color w:val="FFFFFF" w:themeColor="background1"/>
                <w:sz w:val="18"/>
                <w:szCs w:val="18"/>
              </w:rPr>
            </w:pPr>
            <w:r w:rsidRPr="00F66DF2">
              <w:rPr>
                <w:bCs/>
                <w:color w:val="FFFFFF" w:themeColor="background1"/>
                <w:sz w:val="18"/>
                <w:szCs w:val="18"/>
              </w:rPr>
              <w:t xml:space="preserve">Lessees are required to disclose information about their leases for which they are a lessee in a single note, separately in the financial statements or cross referenced throughout the notes. ACT Accounting Policy requires presentation in a single note. </w:t>
            </w:r>
          </w:p>
        </w:tc>
      </w:tr>
      <w:tr w:rsidR="00D43DDC" w:rsidRPr="00381D99" w14:paraId="730A682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59CF9D61" w14:textId="69467223" w:rsidR="00D43DDC" w:rsidRPr="00D85C31" w:rsidRDefault="00D43DDC" w:rsidP="00D43DDC">
            <w:pPr>
              <w:spacing w:before="240" w:after="240"/>
              <w:rPr>
                <w:bCs/>
                <w:color w:val="7030A0"/>
                <w:sz w:val="14"/>
                <w:szCs w:val="14"/>
              </w:rPr>
            </w:pPr>
            <w:r w:rsidRPr="002D20CA">
              <w:rPr>
                <w:rFonts w:cs="Calibri"/>
                <w:b/>
                <w:color w:val="7030A0"/>
                <w:szCs w:val="22"/>
              </w:rPr>
              <w:t>Reference</w:t>
            </w:r>
          </w:p>
        </w:tc>
        <w:tc>
          <w:tcPr>
            <w:tcW w:w="4131" w:type="pct"/>
            <w:gridSpan w:val="10"/>
            <w:tcBorders>
              <w:left w:val="single" w:sz="2" w:space="0" w:color="auto"/>
            </w:tcBorders>
            <w:shd w:val="clear" w:color="auto" w:fill="7030A0"/>
          </w:tcPr>
          <w:p w14:paraId="0CD56EDA" w14:textId="63C010EE" w:rsidR="00D43DDC" w:rsidRPr="00F66DF2" w:rsidRDefault="00D43DDC" w:rsidP="00D43DDC">
            <w:pPr>
              <w:spacing w:before="240" w:after="240"/>
              <w:jc w:val="both"/>
              <w:rPr>
                <w:bCs/>
                <w:color w:val="FFFFFF" w:themeColor="background1"/>
                <w:sz w:val="18"/>
                <w:szCs w:val="1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26: Lease Liabilities</w:t>
            </w:r>
            <w:r>
              <w:rPr>
                <w:rFonts w:cs="Calibri"/>
                <w:b/>
                <w:bCs/>
                <w:color w:val="FFFFFF" w:themeColor="background1"/>
                <w:sz w:val="28"/>
                <w:szCs w:val="28"/>
              </w:rPr>
              <w:t xml:space="preserve"> - Continued</w:t>
            </w:r>
          </w:p>
        </w:tc>
      </w:tr>
      <w:tr w:rsidR="00D43DDC" w:rsidRPr="00381D99" w14:paraId="2F496F4F"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tcPr>
          <w:p w14:paraId="4A601847" w14:textId="5A972BE8" w:rsidR="00D43DDC" w:rsidRPr="00D85C31" w:rsidRDefault="00D43DDC" w:rsidP="00D43DDC">
            <w:pPr>
              <w:spacing w:before="60"/>
              <w:rPr>
                <w:rFonts w:cs="Calibri"/>
                <w:b/>
                <w:color w:val="7030A0"/>
                <w:sz w:val="20"/>
                <w:szCs w:val="20"/>
              </w:rPr>
            </w:pPr>
            <w:r w:rsidRPr="00D85C31">
              <w:rPr>
                <w:bCs/>
                <w:color w:val="7030A0"/>
                <w:sz w:val="14"/>
                <w:szCs w:val="14"/>
              </w:rPr>
              <w:t>AASB 16.</w:t>
            </w:r>
            <w:r>
              <w:rPr>
                <w:bCs/>
                <w:color w:val="7030A0"/>
                <w:sz w:val="14"/>
                <w:szCs w:val="14"/>
              </w:rPr>
              <w:t>B9</w:t>
            </w:r>
          </w:p>
        </w:tc>
        <w:tc>
          <w:tcPr>
            <w:tcW w:w="4131" w:type="pct"/>
            <w:gridSpan w:val="10"/>
            <w:tcBorders>
              <w:left w:val="single" w:sz="2" w:space="0" w:color="auto"/>
            </w:tcBorders>
            <w:shd w:val="clear" w:color="auto" w:fill="7030A0"/>
            <w:vAlign w:val="bottom"/>
          </w:tcPr>
          <w:p w14:paraId="63903B8D" w14:textId="418E9B49" w:rsidR="00D43DDC" w:rsidRPr="00F66DF2" w:rsidRDefault="00D43DDC" w:rsidP="00D43DDC">
            <w:pPr>
              <w:spacing w:after="120"/>
              <w:jc w:val="both"/>
              <w:rPr>
                <w:bCs/>
                <w:color w:val="FFFFFF" w:themeColor="background1"/>
                <w:sz w:val="18"/>
                <w:szCs w:val="18"/>
              </w:rPr>
            </w:pPr>
            <w:r w:rsidRPr="00F66DF2">
              <w:rPr>
                <w:bCs/>
                <w:color w:val="FFFFFF" w:themeColor="background1"/>
                <w:sz w:val="18"/>
                <w:szCs w:val="18"/>
              </w:rPr>
              <w:t>For lessors, information relating to investment properties under leases should be included in the investment property note.</w:t>
            </w:r>
          </w:p>
        </w:tc>
      </w:tr>
      <w:tr w:rsidR="00D43DDC" w:rsidRPr="00381D99" w14:paraId="49D1D032"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vAlign w:val="bottom"/>
          </w:tcPr>
          <w:p w14:paraId="7543A088" w14:textId="77777777" w:rsidR="00D43DDC" w:rsidRPr="00761F25" w:rsidRDefault="00D43DDC" w:rsidP="00D43DDC">
            <w:pPr>
              <w:pStyle w:val="TableReference"/>
              <w:tabs>
                <w:tab w:val="left" w:pos="3306"/>
              </w:tabs>
              <w:spacing w:after="240"/>
              <w:rPr>
                <w:rFonts w:cs="Calibri"/>
                <w:bCs/>
                <w:color w:val="7030A0"/>
                <w:sz w:val="14"/>
              </w:rPr>
            </w:pPr>
          </w:p>
        </w:tc>
        <w:tc>
          <w:tcPr>
            <w:tcW w:w="4131" w:type="pct"/>
            <w:gridSpan w:val="10"/>
            <w:tcBorders>
              <w:left w:val="single" w:sz="2" w:space="0" w:color="auto"/>
            </w:tcBorders>
            <w:shd w:val="clear" w:color="auto" w:fill="7030A0"/>
            <w:vAlign w:val="bottom"/>
          </w:tcPr>
          <w:p w14:paraId="30D4DA9F" w14:textId="77777777" w:rsidR="00D43DDC" w:rsidRPr="00413D72" w:rsidRDefault="00D43DDC" w:rsidP="00D43DDC">
            <w:pPr>
              <w:spacing w:after="40"/>
              <w:jc w:val="both"/>
              <w:rPr>
                <w:rFonts w:cstheme="minorHAnsi"/>
                <w:b/>
                <w:bCs/>
                <w:iCs/>
                <w:color w:val="FFFFFF" w:themeColor="background1"/>
                <w:sz w:val="20"/>
                <w:szCs w:val="20"/>
              </w:rPr>
            </w:pPr>
            <w:r w:rsidRPr="00413D72">
              <w:rPr>
                <w:rFonts w:cstheme="minorHAnsi"/>
                <w:b/>
                <w:bCs/>
                <w:iCs/>
                <w:color w:val="FFFFFF" w:themeColor="background1"/>
                <w:sz w:val="20"/>
                <w:szCs w:val="20"/>
              </w:rPr>
              <w:t>Identification of a Lease</w:t>
            </w:r>
          </w:p>
          <w:p w14:paraId="70D3C573" w14:textId="77777777" w:rsidR="00D43DDC" w:rsidRPr="00F66DF2" w:rsidRDefault="00D43DDC" w:rsidP="00D43DDC">
            <w:pPr>
              <w:spacing w:after="40"/>
              <w:jc w:val="both"/>
              <w:rPr>
                <w:rFonts w:cstheme="minorHAnsi"/>
                <w:color w:val="FFFFFF" w:themeColor="background1"/>
                <w:sz w:val="18"/>
                <w:szCs w:val="18"/>
              </w:rPr>
            </w:pPr>
            <w:r w:rsidRPr="00F66DF2">
              <w:rPr>
                <w:rFonts w:cstheme="minorHAnsi"/>
                <w:color w:val="FFFFFF" w:themeColor="background1"/>
                <w:sz w:val="18"/>
                <w:szCs w:val="18"/>
              </w:rPr>
              <w:t>To assess whether a contract conveys the right to control the use of an identified asset, agencies should assess whether they have:</w:t>
            </w:r>
          </w:p>
          <w:p w14:paraId="074AB5C1" w14:textId="77777777" w:rsidR="00D43DDC" w:rsidRPr="00413D72" w:rsidRDefault="00D43DDC" w:rsidP="00D43DDC">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right to obtain substantially all of the economic benefits from use of the identified asset (e.g. by having exclusive use of the asset through the lease period); and</w:t>
            </w:r>
          </w:p>
          <w:p w14:paraId="582B7305" w14:textId="77777777" w:rsidR="00D43DDC" w:rsidRPr="00413D72" w:rsidRDefault="00D43DDC" w:rsidP="00D43DDC">
            <w:pPr>
              <w:pStyle w:val="CommentaryText"/>
              <w:numPr>
                <w:ilvl w:val="0"/>
                <w:numId w:val="52"/>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the right to direct the use of the identified asset.</w:t>
            </w:r>
          </w:p>
          <w:p w14:paraId="3E728129" w14:textId="4FD8AF01" w:rsidR="00D43DDC" w:rsidRPr="000F475E" w:rsidRDefault="00D43DDC" w:rsidP="00D43DDC">
            <w:pPr>
              <w:spacing w:after="120"/>
              <w:jc w:val="both"/>
              <w:rPr>
                <w:rFonts w:cstheme="minorHAnsi"/>
                <w:color w:val="FFFFFF" w:themeColor="background1"/>
                <w:sz w:val="18"/>
                <w:szCs w:val="18"/>
              </w:rPr>
            </w:pPr>
            <w:r w:rsidRPr="00F66DF2">
              <w:rPr>
                <w:rFonts w:cstheme="minorHAnsi"/>
                <w:color w:val="FFFFFF" w:themeColor="background1"/>
                <w:sz w:val="18"/>
                <w:szCs w:val="18"/>
              </w:rPr>
              <w:t xml:space="preserve">In considering whether the relevant asset is an identified asset, Agencies should consider whether the asset is explicitly identified (e.g. by serial number, building floor and address) or implicitly identified (e.g. through the asset being specialised and / or customised). If the lessor has a substantive substitution right (i.e. can swap the asset and there is economic incentive to do so) then there is no identified asset. In accordance with ACT Accounting Policy, this substantive substitution right is relevant to properties leased through ACT Property Group. </w:t>
            </w:r>
          </w:p>
        </w:tc>
      </w:tr>
      <w:tr w:rsidR="00D43DDC" w:rsidRPr="00381D99" w14:paraId="26D8E950"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vAlign w:val="bottom"/>
          </w:tcPr>
          <w:p w14:paraId="4AFA3EB4" w14:textId="317B207B" w:rsidR="00D43DDC" w:rsidRPr="00761F25" w:rsidRDefault="00D43DDC" w:rsidP="00D43DDC">
            <w:pPr>
              <w:pStyle w:val="TableReference"/>
              <w:tabs>
                <w:tab w:val="left" w:pos="3306"/>
              </w:tabs>
              <w:spacing w:after="240"/>
              <w:rPr>
                <w:rFonts w:cs="Calibri"/>
                <w:bCs/>
                <w:color w:val="7030A0"/>
                <w:sz w:val="14"/>
              </w:rPr>
            </w:pPr>
            <w:r w:rsidRPr="00761F25">
              <w:rPr>
                <w:rFonts w:cs="Calibri"/>
                <w:bCs/>
                <w:color w:val="7030A0"/>
                <w:sz w:val="14"/>
              </w:rPr>
              <w:t>AASB 16.B24</w:t>
            </w:r>
          </w:p>
        </w:tc>
        <w:tc>
          <w:tcPr>
            <w:tcW w:w="4131" w:type="pct"/>
            <w:gridSpan w:val="10"/>
            <w:tcBorders>
              <w:left w:val="single" w:sz="2" w:space="0" w:color="auto"/>
            </w:tcBorders>
            <w:shd w:val="clear" w:color="auto" w:fill="7030A0"/>
            <w:vAlign w:val="bottom"/>
          </w:tcPr>
          <w:p w14:paraId="0C9481DC" w14:textId="108FF752" w:rsidR="00D43DDC" w:rsidRPr="00F66DF2" w:rsidRDefault="00D43DDC" w:rsidP="00D43DDC">
            <w:pPr>
              <w:spacing w:after="40"/>
              <w:jc w:val="both"/>
              <w:rPr>
                <w:rFonts w:cstheme="minorHAnsi"/>
                <w:color w:val="FFFFFF" w:themeColor="background1"/>
                <w:sz w:val="18"/>
                <w:szCs w:val="18"/>
              </w:rPr>
            </w:pPr>
            <w:r w:rsidRPr="00F66DF2">
              <w:rPr>
                <w:rFonts w:cstheme="minorHAnsi"/>
                <w:color w:val="FFFFFF" w:themeColor="background1"/>
                <w:sz w:val="18"/>
                <w:szCs w:val="18"/>
              </w:rPr>
              <w:t>A lessee has the right to direct the use of the asset only, if either:</w:t>
            </w:r>
          </w:p>
          <w:p w14:paraId="38469237" w14:textId="72D5FC81" w:rsidR="00D43DDC" w:rsidRPr="00413D72" w:rsidRDefault="00D43DDC" w:rsidP="00D43DDC">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they have the right to direct how and for what purpose the asset is used throughout the period of use; or</w:t>
            </w:r>
          </w:p>
          <w:p w14:paraId="066411CA" w14:textId="05CE044B" w:rsidR="00D43DDC" w:rsidRPr="00413D72" w:rsidRDefault="00D43DDC" w:rsidP="00D43DDC">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relevant decisions about how and for what purpose the asset is used are predetermined and:</w:t>
            </w:r>
          </w:p>
          <w:p w14:paraId="480B22A3" w14:textId="02945BCD" w:rsidR="00D43DDC" w:rsidRPr="00F66DF2" w:rsidRDefault="00D43DDC" w:rsidP="00D43DDC">
            <w:pPr>
              <w:pStyle w:val="ListParagraph"/>
              <w:numPr>
                <w:ilvl w:val="1"/>
                <w:numId w:val="66"/>
              </w:numPr>
              <w:spacing w:after="40"/>
              <w:ind w:left="750" w:hanging="357"/>
              <w:contextualSpacing w:val="0"/>
              <w:jc w:val="both"/>
              <w:rPr>
                <w:rFonts w:cstheme="minorHAnsi"/>
                <w:color w:val="FFFFFF" w:themeColor="background1"/>
                <w:sz w:val="18"/>
                <w:szCs w:val="18"/>
              </w:rPr>
            </w:pPr>
            <w:r w:rsidRPr="00F66DF2">
              <w:rPr>
                <w:rFonts w:cstheme="minorHAnsi"/>
                <w:color w:val="FFFFFF" w:themeColor="background1"/>
                <w:sz w:val="18"/>
                <w:szCs w:val="18"/>
              </w:rPr>
              <w:t>they have the right to operate the asset (or to direct others to operate the asset in a manner that it determines) throughout the period of use, without the supplier having the right to change those operating instructions</w:t>
            </w:r>
            <w:r>
              <w:rPr>
                <w:rFonts w:cstheme="minorHAnsi"/>
                <w:color w:val="FFFFFF" w:themeColor="background1"/>
                <w:sz w:val="18"/>
                <w:szCs w:val="18"/>
              </w:rPr>
              <w:t>;</w:t>
            </w:r>
            <w:r w:rsidRPr="00F66DF2">
              <w:rPr>
                <w:rFonts w:cstheme="minorHAnsi"/>
                <w:color w:val="FFFFFF" w:themeColor="background1"/>
                <w:sz w:val="18"/>
                <w:szCs w:val="18"/>
              </w:rPr>
              <w:t xml:space="preserve"> or</w:t>
            </w:r>
          </w:p>
          <w:p w14:paraId="6E3CA027" w14:textId="1ECC16B0" w:rsidR="00D43DDC" w:rsidRPr="00F66DF2" w:rsidRDefault="00D43DDC" w:rsidP="00D43DDC">
            <w:pPr>
              <w:pStyle w:val="ListParagraph"/>
              <w:numPr>
                <w:ilvl w:val="1"/>
                <w:numId w:val="66"/>
              </w:numPr>
              <w:spacing w:after="120"/>
              <w:ind w:left="750"/>
              <w:jc w:val="both"/>
              <w:rPr>
                <w:bCs/>
                <w:color w:val="FFFFFF" w:themeColor="background1"/>
                <w:sz w:val="18"/>
                <w:szCs w:val="18"/>
              </w:rPr>
            </w:pPr>
            <w:r w:rsidRPr="00F66DF2">
              <w:rPr>
                <w:rFonts w:cstheme="minorHAnsi"/>
                <w:color w:val="FFFFFF" w:themeColor="background1"/>
                <w:sz w:val="18"/>
                <w:szCs w:val="18"/>
              </w:rPr>
              <w:t>they designed the asset (or specific aspects of the asset) in a way that predetermines how and for what purpose the asset will be used throughout the period of use.</w:t>
            </w:r>
          </w:p>
        </w:tc>
      </w:tr>
      <w:tr w:rsidR="00D43DDC" w:rsidRPr="00381D99" w14:paraId="231FB3B5"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pct"/>
          <w:cantSplit/>
          <w:trHeight w:val="23"/>
        </w:trPr>
        <w:tc>
          <w:tcPr>
            <w:tcW w:w="704" w:type="pct"/>
            <w:tcBorders>
              <w:left w:val="single" w:sz="2" w:space="0" w:color="auto"/>
              <w:right w:val="single" w:sz="2" w:space="0" w:color="auto"/>
            </w:tcBorders>
            <w:vAlign w:val="bottom"/>
          </w:tcPr>
          <w:p w14:paraId="79F38D9D" w14:textId="433445C2" w:rsidR="00D43DDC" w:rsidRPr="00D85C31" w:rsidRDefault="00D43DDC" w:rsidP="00D43DDC">
            <w:pPr>
              <w:pStyle w:val="TableReference"/>
              <w:tabs>
                <w:tab w:val="left" w:pos="3306"/>
              </w:tabs>
              <w:rPr>
                <w:rFonts w:cs="Calibri"/>
                <w:b/>
                <w:color w:val="7030A0"/>
                <w:sz w:val="20"/>
                <w:szCs w:val="20"/>
              </w:rPr>
            </w:pPr>
          </w:p>
        </w:tc>
        <w:tc>
          <w:tcPr>
            <w:tcW w:w="4131" w:type="pct"/>
            <w:gridSpan w:val="10"/>
            <w:tcBorders>
              <w:left w:val="single" w:sz="2" w:space="0" w:color="auto"/>
            </w:tcBorders>
            <w:shd w:val="clear" w:color="auto" w:fill="7030A0"/>
            <w:vAlign w:val="bottom"/>
          </w:tcPr>
          <w:p w14:paraId="0F8CAEEF" w14:textId="033B4816" w:rsidR="00D43DDC" w:rsidRPr="00413D72" w:rsidRDefault="00D43DDC" w:rsidP="00D43DDC">
            <w:pPr>
              <w:spacing w:after="40"/>
              <w:jc w:val="both"/>
              <w:rPr>
                <w:rFonts w:cstheme="minorHAnsi"/>
                <w:b/>
                <w:bCs/>
                <w:iCs/>
                <w:color w:val="FFFFFF" w:themeColor="background1"/>
                <w:sz w:val="20"/>
                <w:szCs w:val="20"/>
              </w:rPr>
            </w:pPr>
            <w:r w:rsidRPr="00413D72">
              <w:rPr>
                <w:rFonts w:cstheme="minorHAnsi"/>
                <w:b/>
                <w:bCs/>
                <w:color w:val="FFFFFF" w:themeColor="background1"/>
                <w:sz w:val="20"/>
                <w:szCs w:val="20"/>
              </w:rPr>
              <w:t>Variable Lease Payments Disclosures</w:t>
            </w:r>
          </w:p>
        </w:tc>
      </w:tr>
      <w:tr w:rsidR="00D43DDC" w:rsidRPr="00381D99" w14:paraId="4B7B32AA"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4F28CF7F" w14:textId="216C9E58" w:rsidR="00D43DDC" w:rsidRPr="00C6446C" w:rsidRDefault="00D43DDC" w:rsidP="00D43DDC">
            <w:pPr>
              <w:pStyle w:val="TableReference"/>
              <w:rPr>
                <w:rFonts w:cs="Calibri"/>
                <w:color w:val="7030A0"/>
                <w:sz w:val="14"/>
              </w:rPr>
            </w:pPr>
            <w:r w:rsidRPr="00C6446C">
              <w:rPr>
                <w:rFonts w:cs="Calibri"/>
                <w:color w:val="7030A0"/>
                <w:sz w:val="14"/>
              </w:rPr>
              <w:t>AASB 16.B49</w:t>
            </w:r>
          </w:p>
        </w:tc>
        <w:tc>
          <w:tcPr>
            <w:tcW w:w="4131" w:type="pct"/>
            <w:gridSpan w:val="10"/>
            <w:tcBorders>
              <w:left w:val="single" w:sz="2" w:space="0" w:color="auto"/>
            </w:tcBorders>
            <w:shd w:val="clear" w:color="auto" w:fill="7030A0"/>
          </w:tcPr>
          <w:p w14:paraId="6BAD204A" w14:textId="77777777" w:rsidR="00D43DDC" w:rsidRPr="00F66DF2" w:rsidRDefault="00D43DDC" w:rsidP="00D43DDC">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leases have variable lease payments, additional information should be considered to satisfy the disclosure objective, for example:</w:t>
            </w:r>
          </w:p>
          <w:p w14:paraId="6BBC98F6" w14:textId="1A91733B" w:rsidR="00D43DDC" w:rsidRPr="00413D72"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Agency’s reasons for using variable lease payments and the prevalence of those payments;</w:t>
            </w:r>
          </w:p>
          <w:p w14:paraId="3D450CBA" w14:textId="6A9F0AAD" w:rsidR="00D43DDC" w:rsidRPr="00413D72"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relative magnitude of variable lease payments to fixed payments;</w:t>
            </w:r>
          </w:p>
          <w:p w14:paraId="1D06230C" w14:textId="3A391CB8" w:rsidR="00D43DDC" w:rsidRPr="00413D72"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key variables upon which variable lease payments depend and how payments are expected to vary in response to changes in those key variables; and</w:t>
            </w:r>
          </w:p>
          <w:p w14:paraId="7EB04605" w14:textId="16D75744" w:rsidR="00D43DDC" w:rsidRPr="00F66DF2" w:rsidRDefault="00D43DDC" w:rsidP="00D43DDC">
            <w:pPr>
              <w:pStyle w:val="CommentaryText"/>
              <w:keepNext/>
              <w:keepLines/>
              <w:numPr>
                <w:ilvl w:val="0"/>
                <w:numId w:val="52"/>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other operational and financial effects of variable lease payments.</w:t>
            </w:r>
          </w:p>
        </w:tc>
      </w:tr>
      <w:tr w:rsidR="00E624F7" w:rsidRPr="00381D99" w14:paraId="6AD66326"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0CD1DA47" w14:textId="77777777" w:rsidR="00E624F7" w:rsidRDefault="00E624F7" w:rsidP="00E624F7">
            <w:pPr>
              <w:pStyle w:val="TableReference"/>
              <w:rPr>
                <w:rFonts w:cs="Calibri"/>
                <w:color w:val="7030A0"/>
                <w:sz w:val="14"/>
              </w:rPr>
            </w:pPr>
          </w:p>
          <w:p w14:paraId="0C6BC22D" w14:textId="77777777" w:rsidR="00E624F7" w:rsidRDefault="00E624F7" w:rsidP="00E624F7">
            <w:pPr>
              <w:pStyle w:val="TableReference"/>
              <w:rPr>
                <w:rFonts w:cs="Calibri"/>
                <w:color w:val="7030A0"/>
                <w:sz w:val="14"/>
              </w:rPr>
            </w:pPr>
          </w:p>
          <w:p w14:paraId="2B2C4387" w14:textId="69AF7D6E" w:rsidR="00E624F7" w:rsidRPr="00C6446C" w:rsidRDefault="00E624F7" w:rsidP="00E624F7">
            <w:pPr>
              <w:pStyle w:val="TableReference"/>
              <w:rPr>
                <w:rFonts w:cs="Calibri"/>
                <w:color w:val="7030A0"/>
                <w:sz w:val="14"/>
              </w:rPr>
            </w:pPr>
            <w:r w:rsidRPr="00C6446C">
              <w:rPr>
                <w:rFonts w:cs="Calibri"/>
                <w:color w:val="7030A0"/>
                <w:sz w:val="14"/>
              </w:rPr>
              <w:t>AASB 16.B51</w:t>
            </w:r>
          </w:p>
        </w:tc>
        <w:tc>
          <w:tcPr>
            <w:tcW w:w="4131" w:type="pct"/>
            <w:gridSpan w:val="10"/>
            <w:tcBorders>
              <w:left w:val="single" w:sz="2" w:space="0" w:color="auto"/>
            </w:tcBorders>
            <w:shd w:val="clear" w:color="auto" w:fill="7030A0"/>
          </w:tcPr>
          <w:p w14:paraId="45E1675D" w14:textId="4BEA95A0" w:rsidR="00E624F7" w:rsidRPr="00BD1DCB" w:rsidRDefault="00E624F7" w:rsidP="00E624F7">
            <w:pPr>
              <w:spacing w:after="40"/>
              <w:jc w:val="both"/>
              <w:rPr>
                <w:rFonts w:cstheme="minorHAnsi"/>
                <w:b/>
                <w:bCs/>
                <w:color w:val="FFFFFF" w:themeColor="background1"/>
                <w:sz w:val="20"/>
                <w:szCs w:val="20"/>
              </w:rPr>
            </w:pPr>
            <w:r w:rsidRPr="00BD1DCB">
              <w:rPr>
                <w:rFonts w:cstheme="minorHAnsi"/>
                <w:b/>
                <w:bCs/>
                <w:color w:val="FFFFFF" w:themeColor="background1"/>
                <w:sz w:val="20"/>
                <w:szCs w:val="20"/>
              </w:rPr>
              <w:t>Residual Value Guarantee Disclosures</w:t>
            </w:r>
          </w:p>
          <w:p w14:paraId="2E56D231" w14:textId="28F47962" w:rsidR="00E624F7" w:rsidRPr="00F66DF2" w:rsidRDefault="00E624F7" w:rsidP="00E624F7">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has leases with residual value guarantees then consider additional information to satisfy the disclosure, for example:</w:t>
            </w:r>
          </w:p>
          <w:p w14:paraId="53CA8049" w14:textId="419AACBC"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reasons for providing residual value guarantees and the prevalence of those guarantees;</w:t>
            </w:r>
          </w:p>
          <w:p w14:paraId="1AA84C3C" w14:textId="7EFF4D82"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magnitude of the exposure to residual value risk;</w:t>
            </w:r>
          </w:p>
          <w:p w14:paraId="458159DC" w14:textId="0C9FC1E6"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nature of underlying assets for which those guarantees are provided; and</w:t>
            </w:r>
          </w:p>
          <w:p w14:paraId="5C274D89" w14:textId="10679A0A" w:rsidR="00E624F7" w:rsidRPr="00413D72" w:rsidRDefault="00E624F7" w:rsidP="00E624F7">
            <w:pPr>
              <w:pStyle w:val="CommentaryText"/>
              <w:keepNext/>
              <w:keepLines/>
              <w:numPr>
                <w:ilvl w:val="0"/>
                <w:numId w:val="52"/>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other operational and financial effects of those guarantees.</w:t>
            </w:r>
          </w:p>
        </w:tc>
      </w:tr>
      <w:tr w:rsidR="00E624F7" w:rsidRPr="00381D99" w14:paraId="6E59F09E"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12821C1C" w14:textId="1C01F0C1" w:rsidR="00E624F7" w:rsidRPr="00C6446C" w:rsidRDefault="00E624F7" w:rsidP="00E624F7">
            <w:pPr>
              <w:pStyle w:val="TableReference"/>
              <w:rPr>
                <w:rFonts w:cs="Calibri"/>
                <w:color w:val="7030A0"/>
                <w:sz w:val="14"/>
              </w:rPr>
            </w:pPr>
            <w:r w:rsidRPr="00C6446C">
              <w:rPr>
                <w:rFonts w:cs="Calibri"/>
                <w:color w:val="7030A0"/>
                <w:sz w:val="14"/>
              </w:rPr>
              <w:t>AASB 16.46A</w:t>
            </w:r>
          </w:p>
        </w:tc>
        <w:tc>
          <w:tcPr>
            <w:tcW w:w="4131" w:type="pct"/>
            <w:gridSpan w:val="10"/>
            <w:tcBorders>
              <w:left w:val="single" w:sz="2" w:space="0" w:color="auto"/>
            </w:tcBorders>
            <w:shd w:val="clear" w:color="auto" w:fill="7030A0"/>
          </w:tcPr>
          <w:p w14:paraId="247D19F7" w14:textId="130B2C95" w:rsidR="00E624F7" w:rsidRPr="00413D72" w:rsidRDefault="00E624F7" w:rsidP="00E624F7">
            <w:pPr>
              <w:spacing w:after="40"/>
              <w:jc w:val="both"/>
              <w:rPr>
                <w:b/>
                <w:bCs/>
                <w:color w:val="FFFFFF" w:themeColor="background1"/>
                <w:sz w:val="20"/>
                <w:szCs w:val="20"/>
              </w:rPr>
            </w:pPr>
            <w:r w:rsidRPr="00413D72">
              <w:rPr>
                <w:b/>
                <w:bCs/>
                <w:color w:val="FFFFFF" w:themeColor="background1"/>
                <w:sz w:val="20"/>
                <w:szCs w:val="20"/>
              </w:rPr>
              <w:t>COVID-19 and Lease Modification</w:t>
            </w:r>
          </w:p>
        </w:tc>
      </w:tr>
      <w:tr w:rsidR="00E624F7" w:rsidRPr="00381D99" w14:paraId="66E01BF4"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1B1D65D3" w14:textId="241A7419" w:rsidR="00E624F7" w:rsidRPr="00635724" w:rsidRDefault="00E624F7" w:rsidP="00E624F7">
            <w:pPr>
              <w:pStyle w:val="TableReference"/>
              <w:rPr>
                <w:rFonts w:cs="Calibri"/>
                <w:b/>
                <w:bCs/>
                <w:color w:val="auto"/>
                <w:sz w:val="20"/>
                <w:szCs w:val="20"/>
              </w:rPr>
            </w:pPr>
            <w:r w:rsidRPr="00C65A29">
              <w:rPr>
                <w:rFonts w:cs="Calibri"/>
                <w:color w:val="7030A0"/>
                <w:sz w:val="14"/>
              </w:rPr>
              <w:t>AASB 2021-3.46B</w:t>
            </w:r>
          </w:p>
        </w:tc>
        <w:tc>
          <w:tcPr>
            <w:tcW w:w="4131" w:type="pct"/>
            <w:gridSpan w:val="10"/>
            <w:tcBorders>
              <w:left w:val="single" w:sz="2" w:space="0" w:color="auto"/>
            </w:tcBorders>
            <w:shd w:val="clear" w:color="auto" w:fill="7030A0"/>
          </w:tcPr>
          <w:p w14:paraId="58B8E17C" w14:textId="2772E4EE" w:rsidR="00E624F7" w:rsidRPr="00F66DF2" w:rsidRDefault="00E624F7" w:rsidP="00E624F7">
            <w:pPr>
              <w:spacing w:after="40"/>
              <w:jc w:val="both"/>
              <w:rPr>
                <w:color w:val="FFFFFF" w:themeColor="background1"/>
                <w:sz w:val="18"/>
                <w:szCs w:val="18"/>
              </w:rPr>
            </w:pPr>
            <w:r w:rsidRPr="00F66DF2">
              <w:rPr>
                <w:color w:val="FFFFFF" w:themeColor="background1"/>
                <w:sz w:val="18"/>
                <w:szCs w:val="18"/>
              </w:rPr>
              <w:t xml:space="preserve">As a practical expedient, a lessee may elect not to assess whether a rent concession occurring as a direct consequence of the </w:t>
            </w:r>
            <w:r>
              <w:rPr>
                <w:color w:val="FFFFFF" w:themeColor="background1"/>
                <w:sz w:val="18"/>
                <w:szCs w:val="18"/>
              </w:rPr>
              <w:t>COVID</w:t>
            </w:r>
            <w:r w:rsidRPr="00F66DF2">
              <w:rPr>
                <w:color w:val="FFFFFF" w:themeColor="background1"/>
                <w:sz w:val="18"/>
                <w:szCs w:val="18"/>
              </w:rPr>
              <w:t>-19 pandemic is a lease modification only where:</w:t>
            </w:r>
          </w:p>
          <w:p w14:paraId="47AF3BFF" w14:textId="77777777"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change in lease payments results in revised consideration for the lease that is substantially the same as, or less than, the consideration for the lease immediately preceding the change;</w:t>
            </w:r>
          </w:p>
          <w:p w14:paraId="289D7955" w14:textId="67C815D7"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any reduction in lease payments affects only payments originally due on or before 30 June 202</w:t>
            </w:r>
            <w:r>
              <w:rPr>
                <w:rFonts w:cs="Calibri"/>
                <w:color w:val="FFFFFF" w:themeColor="background1"/>
                <w:sz w:val="18"/>
                <w:szCs w:val="18"/>
              </w:rPr>
              <w:t>2</w:t>
            </w:r>
            <w:r w:rsidRPr="00413D72">
              <w:rPr>
                <w:rFonts w:cs="Calibri"/>
                <w:color w:val="FFFFFF" w:themeColor="background1"/>
                <w:sz w:val="18"/>
                <w:szCs w:val="18"/>
              </w:rPr>
              <w:t xml:space="preserve"> (for example, a rent concession would meet this condition if it results in reduced lease payments on or before 30 June 202</w:t>
            </w:r>
            <w:r>
              <w:rPr>
                <w:rFonts w:cs="Calibri"/>
                <w:color w:val="FFFFFF" w:themeColor="background1"/>
                <w:sz w:val="18"/>
                <w:szCs w:val="18"/>
              </w:rPr>
              <w:t>2</w:t>
            </w:r>
            <w:r w:rsidRPr="00413D72">
              <w:rPr>
                <w:rFonts w:cs="Calibri"/>
                <w:color w:val="FFFFFF" w:themeColor="background1"/>
                <w:sz w:val="18"/>
                <w:szCs w:val="18"/>
              </w:rPr>
              <w:t xml:space="preserve"> and increased lease payments that extend beyond 30 June 202</w:t>
            </w:r>
            <w:r>
              <w:rPr>
                <w:rFonts w:cs="Calibri"/>
                <w:color w:val="FFFFFF" w:themeColor="background1"/>
                <w:sz w:val="18"/>
                <w:szCs w:val="18"/>
              </w:rPr>
              <w:t>3</w:t>
            </w:r>
            <w:r w:rsidRPr="00413D72">
              <w:rPr>
                <w:rFonts w:cs="Calibri"/>
                <w:color w:val="FFFFFF" w:themeColor="background1"/>
                <w:sz w:val="18"/>
                <w:szCs w:val="18"/>
              </w:rPr>
              <w:t>); and</w:t>
            </w:r>
          </w:p>
          <w:p w14:paraId="51D80261" w14:textId="4A0C8443" w:rsidR="00E624F7" w:rsidRPr="00F66DF2" w:rsidRDefault="00E624F7" w:rsidP="00E624F7">
            <w:pPr>
              <w:pStyle w:val="CommentaryText"/>
              <w:keepNext/>
              <w:keepLines/>
              <w:numPr>
                <w:ilvl w:val="0"/>
                <w:numId w:val="52"/>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there is no substantive change to other terms and conditions of the lease.</w:t>
            </w:r>
          </w:p>
        </w:tc>
      </w:tr>
      <w:tr w:rsidR="00E624F7" w:rsidRPr="00381D99" w14:paraId="7C6F8C42"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0F4DA6C7" w14:textId="77777777" w:rsidR="00E624F7" w:rsidRPr="00635724" w:rsidRDefault="00E624F7" w:rsidP="00E624F7">
            <w:pPr>
              <w:pStyle w:val="TableReference"/>
              <w:spacing w:before="120" w:after="240"/>
              <w:rPr>
                <w:rFonts w:cs="Calibri"/>
                <w:b/>
                <w:bCs/>
                <w:color w:val="auto"/>
                <w:sz w:val="20"/>
                <w:szCs w:val="20"/>
              </w:rPr>
            </w:pPr>
          </w:p>
        </w:tc>
        <w:tc>
          <w:tcPr>
            <w:tcW w:w="4131" w:type="pct"/>
            <w:gridSpan w:val="10"/>
            <w:tcBorders>
              <w:left w:val="single" w:sz="2" w:space="0" w:color="auto"/>
            </w:tcBorders>
            <w:shd w:val="clear" w:color="auto" w:fill="7030A0"/>
          </w:tcPr>
          <w:p w14:paraId="6D6168E2" w14:textId="15D7686B" w:rsidR="00E624F7" w:rsidRPr="00F66DF2" w:rsidRDefault="00E624F7" w:rsidP="00E624F7">
            <w:pPr>
              <w:spacing w:after="40"/>
              <w:jc w:val="both"/>
              <w:rPr>
                <w:color w:val="FFFFFF" w:themeColor="background1"/>
                <w:sz w:val="18"/>
                <w:szCs w:val="18"/>
              </w:rPr>
            </w:pPr>
            <w:r w:rsidRPr="00F66DF2">
              <w:rPr>
                <w:color w:val="FFFFFF" w:themeColor="background1"/>
                <w:sz w:val="18"/>
                <w:szCs w:val="18"/>
              </w:rPr>
              <w:t xml:space="preserve">Where this practical expedient is applied, the lessee shall disclose: </w:t>
            </w:r>
          </w:p>
          <w:p w14:paraId="4D01A508" w14:textId="00A8617F" w:rsidR="00E624F7" w:rsidRPr="00413D72" w:rsidRDefault="00E624F7" w:rsidP="00E624F7">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that it has applied the practical expedient to all rent concessions that meet the conditions outlined above or, if not applied to all such rent concessions, information about the nature of the contracts to which it has applied the practical expedient; and</w:t>
            </w:r>
          </w:p>
          <w:p w14:paraId="3103DE2F" w14:textId="4ED4EB76" w:rsidR="00E624F7" w:rsidRPr="00F66DF2" w:rsidRDefault="00E624F7" w:rsidP="00E624F7">
            <w:pPr>
              <w:pStyle w:val="CommentaryText"/>
              <w:keepNext/>
              <w:keepLines/>
              <w:numPr>
                <w:ilvl w:val="0"/>
                <w:numId w:val="52"/>
              </w:numPr>
              <w:tabs>
                <w:tab w:val="left" w:pos="3306"/>
              </w:tabs>
              <w:ind w:left="459" w:hanging="357"/>
              <w:rPr>
                <w:color w:val="FFFFFF" w:themeColor="background1"/>
                <w:sz w:val="18"/>
                <w:szCs w:val="18"/>
              </w:rPr>
            </w:pPr>
            <w:r w:rsidRPr="00413D72">
              <w:rPr>
                <w:rFonts w:cs="Calibri"/>
                <w:color w:val="FFFFFF" w:themeColor="background1"/>
                <w:sz w:val="18"/>
                <w:szCs w:val="18"/>
              </w:rPr>
              <w:t>the amount recognised in profit or loss for the reporting period to reflect changes in lease payments that arise from rent concessions to which the lessee has applied the practical expedient.</w:t>
            </w:r>
          </w:p>
        </w:tc>
      </w:tr>
      <w:tr w:rsidR="00E624F7" w:rsidRPr="00381D99" w14:paraId="4895C66F" w14:textId="77777777" w:rsidTr="00D43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65" w:type="pct"/>
          <w:cantSplit/>
          <w:trHeight w:val="300"/>
        </w:trPr>
        <w:tc>
          <w:tcPr>
            <w:tcW w:w="704" w:type="pct"/>
            <w:tcBorders>
              <w:left w:val="single" w:sz="2" w:space="0" w:color="auto"/>
              <w:right w:val="single" w:sz="2" w:space="0" w:color="auto"/>
            </w:tcBorders>
          </w:tcPr>
          <w:p w14:paraId="03EA3F57" w14:textId="77777777" w:rsidR="00E624F7" w:rsidRPr="00635724" w:rsidRDefault="00E624F7" w:rsidP="00BB4F53">
            <w:pPr>
              <w:pStyle w:val="TableReference"/>
              <w:rPr>
                <w:rFonts w:cs="Calibri"/>
                <w:b/>
                <w:bCs/>
                <w:color w:val="auto"/>
                <w:sz w:val="20"/>
                <w:szCs w:val="20"/>
              </w:rPr>
            </w:pPr>
          </w:p>
        </w:tc>
        <w:tc>
          <w:tcPr>
            <w:tcW w:w="4131" w:type="pct"/>
            <w:gridSpan w:val="10"/>
            <w:tcBorders>
              <w:left w:val="single" w:sz="2" w:space="0" w:color="auto"/>
            </w:tcBorders>
            <w:shd w:val="clear" w:color="auto" w:fill="auto"/>
          </w:tcPr>
          <w:p w14:paraId="4C8C9750" w14:textId="77777777" w:rsidR="00E624F7" w:rsidRPr="00F66DF2" w:rsidRDefault="00E624F7" w:rsidP="00E624F7">
            <w:pPr>
              <w:spacing w:after="40"/>
              <w:jc w:val="both"/>
              <w:rPr>
                <w:color w:val="FFFFFF" w:themeColor="background1"/>
                <w:sz w:val="18"/>
                <w:szCs w:val="18"/>
              </w:rPr>
            </w:pPr>
          </w:p>
        </w:tc>
      </w:tr>
    </w:tbl>
    <w:p w14:paraId="410D39EA" w14:textId="77777777" w:rsidR="00D43DDC" w:rsidRDefault="00D43DDC"/>
    <w:tbl>
      <w:tblPr>
        <w:tblW w:w="504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6093"/>
        <w:gridCol w:w="283"/>
        <w:gridCol w:w="1280"/>
        <w:gridCol w:w="1273"/>
        <w:gridCol w:w="134"/>
        <w:gridCol w:w="13"/>
      </w:tblGrid>
      <w:tr w:rsidR="000F475E" w:rsidRPr="00CF7E1B" w14:paraId="2BF3869F" w14:textId="77777777" w:rsidTr="00D43DDC">
        <w:trPr>
          <w:gridAfter w:val="1"/>
          <w:wAfter w:w="6" w:type="pct"/>
          <w:cantSplit/>
          <w:trHeight w:val="23"/>
        </w:trPr>
        <w:tc>
          <w:tcPr>
            <w:tcW w:w="737" w:type="pct"/>
            <w:tcBorders>
              <w:top w:val="nil"/>
              <w:left w:val="single" w:sz="2" w:space="0" w:color="auto"/>
              <w:bottom w:val="nil"/>
              <w:right w:val="single" w:sz="2" w:space="0" w:color="auto"/>
            </w:tcBorders>
          </w:tcPr>
          <w:p w14:paraId="128D77CB" w14:textId="40308903" w:rsidR="000F475E" w:rsidRPr="002D20CA" w:rsidRDefault="000F475E" w:rsidP="000F475E">
            <w:pPr>
              <w:pStyle w:val="TableReference"/>
              <w:tabs>
                <w:tab w:val="left" w:pos="3306"/>
              </w:tabs>
              <w:spacing w:before="240" w:after="240"/>
              <w:rPr>
                <w:rFonts w:cs="Calibri"/>
                <w:b/>
                <w:color w:val="7030A0"/>
                <w:sz w:val="22"/>
                <w:szCs w:val="22"/>
              </w:rPr>
            </w:pPr>
            <w:r>
              <w:br w:type="page"/>
            </w:r>
            <w:r w:rsidRPr="002D20CA">
              <w:rPr>
                <w:color w:val="7030A0"/>
              </w:rPr>
              <w:br w:type="page"/>
            </w:r>
            <w:r w:rsidRPr="002D20CA">
              <w:rPr>
                <w:color w:val="7030A0"/>
              </w:rPr>
              <w:br w:type="page"/>
            </w:r>
            <w:r w:rsidR="00C573EF" w:rsidRPr="002D20CA">
              <w:rPr>
                <w:rFonts w:cs="Calibri"/>
                <w:b/>
                <w:color w:val="7030A0"/>
                <w:sz w:val="22"/>
                <w:szCs w:val="22"/>
              </w:rPr>
              <w:t>Reference</w:t>
            </w:r>
          </w:p>
        </w:tc>
        <w:tc>
          <w:tcPr>
            <w:tcW w:w="4257" w:type="pct"/>
            <w:gridSpan w:val="5"/>
            <w:tcBorders>
              <w:top w:val="nil"/>
              <w:left w:val="single" w:sz="2" w:space="0" w:color="auto"/>
              <w:bottom w:val="nil"/>
              <w:right w:val="nil"/>
            </w:tcBorders>
            <w:vAlign w:val="bottom"/>
          </w:tcPr>
          <w:p w14:paraId="58395EB7" w14:textId="75EC8567" w:rsidR="000F475E" w:rsidRPr="002D20CA" w:rsidRDefault="000F475E" w:rsidP="000F475E">
            <w:pPr>
              <w:pStyle w:val="Heading1"/>
              <w:numPr>
                <w:ilvl w:val="0"/>
                <w:numId w:val="0"/>
              </w:numPr>
            </w:pPr>
            <w:bookmarkStart w:id="700" w:name="_Toc400627351"/>
            <w:bookmarkStart w:id="701" w:name="_Toc132743818"/>
            <w:r w:rsidRPr="002D20CA">
              <w:t>Note 27.</w:t>
            </w:r>
            <w:r>
              <w:t xml:space="preserve"> </w:t>
            </w:r>
            <w:r w:rsidRPr="002D20CA">
              <w:t xml:space="preserve"> Employee Benefits</w:t>
            </w:r>
            <w:bookmarkEnd w:id="700"/>
            <w:bookmarkEnd w:id="701"/>
          </w:p>
        </w:tc>
      </w:tr>
      <w:tr w:rsidR="000F475E" w:rsidRPr="00CF7E1B" w14:paraId="047C3A52" w14:textId="77777777" w:rsidTr="00D43DDC">
        <w:trPr>
          <w:cantSplit/>
          <w:trHeight w:val="23"/>
        </w:trPr>
        <w:tc>
          <w:tcPr>
            <w:tcW w:w="737" w:type="pct"/>
            <w:tcBorders>
              <w:top w:val="nil"/>
              <w:left w:val="single" w:sz="2" w:space="0" w:color="auto"/>
              <w:bottom w:val="nil"/>
              <w:right w:val="single" w:sz="2" w:space="0" w:color="auto"/>
            </w:tcBorders>
          </w:tcPr>
          <w:p w14:paraId="044975D6" w14:textId="77777777" w:rsidR="000F475E" w:rsidRPr="002D20CA" w:rsidRDefault="000F475E" w:rsidP="000F475E">
            <w:pPr>
              <w:pStyle w:val="TableReference"/>
              <w:tabs>
                <w:tab w:val="left" w:pos="3306"/>
              </w:tabs>
              <w:spacing w:before="40"/>
              <w:rPr>
                <w:rFonts w:cs="Calibri"/>
                <w:color w:val="7030A0"/>
                <w:sz w:val="16"/>
                <w:szCs w:val="16"/>
              </w:rPr>
            </w:pPr>
          </w:p>
        </w:tc>
        <w:tc>
          <w:tcPr>
            <w:tcW w:w="4263" w:type="pct"/>
            <w:gridSpan w:val="6"/>
            <w:tcBorders>
              <w:top w:val="nil"/>
              <w:left w:val="single" w:sz="2" w:space="0" w:color="auto"/>
              <w:bottom w:val="nil"/>
              <w:right w:val="nil"/>
            </w:tcBorders>
            <w:vAlign w:val="bottom"/>
          </w:tcPr>
          <w:p w14:paraId="113A4BD7" w14:textId="74F304A7" w:rsidR="000F475E" w:rsidRPr="002D20CA" w:rsidRDefault="000F475E" w:rsidP="000F475E">
            <w:pPr>
              <w:pStyle w:val="TableText"/>
              <w:tabs>
                <w:tab w:val="left" w:pos="3306"/>
              </w:tabs>
              <w:rPr>
                <w:rFonts w:cs="Calibri"/>
              </w:rPr>
            </w:pPr>
            <w:r w:rsidRPr="002D20CA">
              <w:rPr>
                <w:rFonts w:cs="Calibri"/>
                <w:b/>
                <w:bCs/>
              </w:rPr>
              <w:t xml:space="preserve">Description and Material Accounting Policies Relating to </w:t>
            </w:r>
            <w:r w:rsidRPr="0007146C">
              <w:rPr>
                <w:rFonts w:cs="Calibri"/>
                <w:b/>
                <w:bCs/>
              </w:rPr>
              <w:t xml:space="preserve">Employee Benefits </w:t>
            </w:r>
            <w:r w:rsidRPr="0007146C">
              <w:rPr>
                <w:rFonts w:cs="Calibri"/>
                <w:b/>
                <w:bCs/>
                <w:strike/>
                <w:color w:val="FF0000"/>
              </w:rPr>
              <w:t>Liabilities</w:t>
            </w:r>
          </w:p>
        </w:tc>
      </w:tr>
      <w:tr w:rsidR="000F475E" w:rsidRPr="00CF7E1B" w14:paraId="37474318" w14:textId="77777777" w:rsidTr="00D43DDC">
        <w:trPr>
          <w:cantSplit/>
          <w:trHeight w:val="23"/>
        </w:trPr>
        <w:tc>
          <w:tcPr>
            <w:tcW w:w="737" w:type="pct"/>
            <w:vMerge w:val="restart"/>
            <w:tcBorders>
              <w:top w:val="nil"/>
              <w:left w:val="single" w:sz="2" w:space="0" w:color="auto"/>
              <w:right w:val="single" w:sz="2" w:space="0" w:color="auto"/>
            </w:tcBorders>
          </w:tcPr>
          <w:p w14:paraId="2CD60CA5" w14:textId="77777777" w:rsidR="000F475E" w:rsidRPr="002D20CA" w:rsidRDefault="000F475E" w:rsidP="000F475E">
            <w:pPr>
              <w:pStyle w:val="TableReference"/>
              <w:tabs>
                <w:tab w:val="left" w:pos="3306"/>
              </w:tabs>
              <w:spacing w:before="120"/>
              <w:rPr>
                <w:rFonts w:cs="Calibri"/>
                <w:color w:val="7030A0"/>
                <w:sz w:val="16"/>
                <w:szCs w:val="16"/>
              </w:rPr>
            </w:pPr>
            <w:r w:rsidRPr="002D20CA">
              <w:rPr>
                <w:color w:val="7030A0"/>
                <w:sz w:val="14"/>
              </w:rPr>
              <w:t>Model Financial Statements Guidelines - 1. 6 Application – ACT Disclosure Policy</w:t>
            </w:r>
          </w:p>
        </w:tc>
        <w:tc>
          <w:tcPr>
            <w:tcW w:w="4263" w:type="pct"/>
            <w:gridSpan w:val="6"/>
            <w:tcBorders>
              <w:top w:val="nil"/>
              <w:left w:val="single" w:sz="2" w:space="0" w:color="auto"/>
              <w:bottom w:val="nil"/>
              <w:right w:val="nil"/>
            </w:tcBorders>
            <w:vAlign w:val="bottom"/>
          </w:tcPr>
          <w:p w14:paraId="2AAFD9E7" w14:textId="77777777" w:rsidR="000F475E" w:rsidRPr="002D20CA" w:rsidRDefault="000F475E" w:rsidP="000F475E">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Accrued Wages and Salaries</w:t>
            </w:r>
          </w:p>
        </w:tc>
      </w:tr>
      <w:tr w:rsidR="000F475E" w:rsidRPr="00CF7E1B" w14:paraId="50FAE13B" w14:textId="77777777" w:rsidTr="00D43DDC">
        <w:trPr>
          <w:cantSplit/>
          <w:trHeight w:val="23"/>
        </w:trPr>
        <w:tc>
          <w:tcPr>
            <w:tcW w:w="737" w:type="pct"/>
            <w:vMerge/>
            <w:tcBorders>
              <w:left w:val="single" w:sz="2" w:space="0" w:color="auto"/>
              <w:bottom w:val="nil"/>
              <w:right w:val="single" w:sz="2" w:space="0" w:color="auto"/>
            </w:tcBorders>
          </w:tcPr>
          <w:p w14:paraId="43E5B0D5" w14:textId="77777777" w:rsidR="000F475E" w:rsidRPr="002D20CA" w:rsidRDefault="000F475E" w:rsidP="000F475E">
            <w:pPr>
              <w:pStyle w:val="TableReference"/>
              <w:tabs>
                <w:tab w:val="left" w:pos="3306"/>
              </w:tabs>
              <w:spacing w:before="40"/>
              <w:rPr>
                <w:rFonts w:cs="Calibri"/>
                <w:color w:val="7030A0"/>
                <w:sz w:val="14"/>
              </w:rPr>
            </w:pPr>
          </w:p>
        </w:tc>
        <w:tc>
          <w:tcPr>
            <w:tcW w:w="4263" w:type="pct"/>
            <w:gridSpan w:val="6"/>
            <w:tcBorders>
              <w:top w:val="nil"/>
              <w:left w:val="single" w:sz="2" w:space="0" w:color="auto"/>
              <w:bottom w:val="nil"/>
              <w:right w:val="nil"/>
            </w:tcBorders>
          </w:tcPr>
          <w:p w14:paraId="5DBDAF4C" w14:textId="1B2F0431" w:rsidR="000F475E" w:rsidRPr="002D20CA" w:rsidRDefault="000F475E" w:rsidP="000F475E">
            <w:pPr>
              <w:rPr>
                <w:sz w:val="18"/>
                <w:szCs w:val="18"/>
              </w:rPr>
            </w:pPr>
            <w:r w:rsidRPr="002D20CA">
              <w:rPr>
                <w:rFonts w:cs="Calibri"/>
                <w:sz w:val="18"/>
                <w:szCs w:val="18"/>
              </w:rPr>
              <w:t>Accrued wages and salaries are measured at the amount that remains unpaid to employees at the end of the reporting period.</w:t>
            </w:r>
            <w:r>
              <w:rPr>
                <w:rFonts w:cs="Calibri"/>
                <w:sz w:val="18"/>
                <w:szCs w:val="18"/>
              </w:rPr>
              <w:t xml:space="preserve"> </w:t>
            </w:r>
          </w:p>
        </w:tc>
      </w:tr>
      <w:tr w:rsidR="000F475E" w:rsidRPr="00CF7E1B" w14:paraId="737C5343" w14:textId="77777777" w:rsidTr="00D43DDC">
        <w:trPr>
          <w:cantSplit/>
          <w:trHeight w:val="23"/>
        </w:trPr>
        <w:tc>
          <w:tcPr>
            <w:tcW w:w="737" w:type="pct"/>
            <w:tcBorders>
              <w:top w:val="nil"/>
              <w:left w:val="single" w:sz="2" w:space="0" w:color="auto"/>
              <w:bottom w:val="nil"/>
              <w:right w:val="single" w:sz="2" w:space="0" w:color="auto"/>
            </w:tcBorders>
          </w:tcPr>
          <w:p w14:paraId="439F807B" w14:textId="77777777" w:rsidR="000F475E" w:rsidRPr="002D20CA" w:rsidRDefault="000F475E" w:rsidP="000F475E">
            <w:pPr>
              <w:pStyle w:val="TableReference"/>
              <w:tabs>
                <w:tab w:val="left" w:pos="3306"/>
              </w:tabs>
              <w:spacing w:before="40"/>
              <w:rPr>
                <w:rFonts w:cs="Calibri"/>
                <w:color w:val="7030A0"/>
                <w:sz w:val="14"/>
              </w:rPr>
            </w:pPr>
          </w:p>
        </w:tc>
        <w:tc>
          <w:tcPr>
            <w:tcW w:w="4263" w:type="pct"/>
            <w:gridSpan w:val="6"/>
            <w:tcBorders>
              <w:top w:val="nil"/>
              <w:left w:val="single" w:sz="2" w:space="0" w:color="auto"/>
              <w:bottom w:val="nil"/>
              <w:right w:val="nil"/>
            </w:tcBorders>
            <w:vAlign w:val="bottom"/>
          </w:tcPr>
          <w:p w14:paraId="5910C5AD" w14:textId="77777777" w:rsidR="000F475E" w:rsidRPr="002D20CA" w:rsidRDefault="000F475E" w:rsidP="000F475E">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Annual and Long Service Leave</w:t>
            </w:r>
          </w:p>
        </w:tc>
      </w:tr>
      <w:tr w:rsidR="000F475E" w:rsidRPr="00CF7E1B" w14:paraId="4A19E02A" w14:textId="77777777" w:rsidTr="00D43DDC">
        <w:trPr>
          <w:cantSplit/>
          <w:trHeight w:val="23"/>
        </w:trPr>
        <w:tc>
          <w:tcPr>
            <w:tcW w:w="737" w:type="pct"/>
            <w:tcBorders>
              <w:top w:val="nil"/>
              <w:left w:val="single" w:sz="2" w:space="0" w:color="auto"/>
              <w:bottom w:val="nil"/>
              <w:right w:val="single" w:sz="2" w:space="0" w:color="auto"/>
            </w:tcBorders>
          </w:tcPr>
          <w:p w14:paraId="0393343E" w14:textId="77777777" w:rsidR="000F475E" w:rsidRPr="002D20CA" w:rsidRDefault="000F475E" w:rsidP="000F475E">
            <w:pPr>
              <w:pStyle w:val="TableReference"/>
              <w:tabs>
                <w:tab w:val="left" w:pos="3306"/>
              </w:tabs>
              <w:spacing w:before="40"/>
              <w:rPr>
                <w:color w:val="7030A0"/>
                <w:sz w:val="14"/>
              </w:rPr>
            </w:pPr>
            <w:r w:rsidRPr="002D20CA">
              <w:rPr>
                <w:color w:val="7030A0"/>
                <w:sz w:val="14"/>
              </w:rPr>
              <w:t xml:space="preserve">Model Financial Statements Guidelines - 1.6 Application – ACT Disclosure Policy </w:t>
            </w:r>
          </w:p>
          <w:p w14:paraId="7906EEE6" w14:textId="77777777" w:rsidR="000F475E" w:rsidRPr="002D20CA" w:rsidRDefault="000F475E" w:rsidP="000F475E">
            <w:pPr>
              <w:pStyle w:val="TableReference"/>
              <w:tabs>
                <w:tab w:val="left" w:pos="3306"/>
              </w:tabs>
              <w:spacing w:before="40"/>
              <w:rPr>
                <w:color w:val="7030A0"/>
                <w:sz w:val="14"/>
              </w:rPr>
            </w:pPr>
          </w:p>
          <w:p w14:paraId="1A07EA2A" w14:textId="4D399F64" w:rsidR="000F475E" w:rsidRPr="002D20CA" w:rsidRDefault="000F475E" w:rsidP="000F475E">
            <w:pPr>
              <w:pStyle w:val="TableReference"/>
              <w:tabs>
                <w:tab w:val="left" w:pos="3306"/>
              </w:tabs>
              <w:rPr>
                <w:rFonts w:cs="Calibri"/>
                <w:color w:val="7030A0"/>
                <w:sz w:val="14"/>
              </w:rPr>
            </w:pPr>
          </w:p>
        </w:tc>
        <w:tc>
          <w:tcPr>
            <w:tcW w:w="4263" w:type="pct"/>
            <w:gridSpan w:val="6"/>
            <w:tcBorders>
              <w:top w:val="nil"/>
              <w:left w:val="single" w:sz="2" w:space="0" w:color="auto"/>
              <w:bottom w:val="nil"/>
              <w:right w:val="nil"/>
            </w:tcBorders>
          </w:tcPr>
          <w:p w14:paraId="7A131BAE" w14:textId="751BF5BF" w:rsidR="000F475E" w:rsidRPr="002D20CA" w:rsidRDefault="000F475E" w:rsidP="000F475E">
            <w:pPr>
              <w:spacing w:after="120"/>
              <w:jc w:val="both"/>
              <w:rPr>
                <w:rFonts w:cs="Calibri"/>
                <w:sz w:val="18"/>
                <w:szCs w:val="18"/>
              </w:rPr>
            </w:pPr>
            <w:r w:rsidRPr="002D20CA">
              <w:rPr>
                <w:rFonts w:cs="Calibri"/>
                <w:sz w:val="18"/>
                <w:szCs w:val="18"/>
              </w:rPr>
              <w:t>Annual and long service leave, including applicable on-costs, that are not expected to be wholly settled before twelve months after the end of the reporting period when the employees render the related service, are measured at the present value.</w:t>
            </w:r>
            <w:r>
              <w:rPr>
                <w:rFonts w:cs="Calibri"/>
                <w:sz w:val="18"/>
                <w:szCs w:val="18"/>
              </w:rPr>
              <w:t xml:space="preserve"> </w:t>
            </w:r>
            <w:r w:rsidRPr="002D20CA">
              <w:rPr>
                <w:rFonts w:cs="Calibri"/>
                <w:sz w:val="18"/>
                <w:szCs w:val="18"/>
              </w:rPr>
              <w:t xml:space="preserve">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tc>
      </w:tr>
      <w:tr w:rsidR="000F475E" w:rsidRPr="00CF7E1B" w14:paraId="7257C2DF" w14:textId="77777777" w:rsidTr="00D43DDC">
        <w:trPr>
          <w:cantSplit/>
          <w:trHeight w:val="23"/>
        </w:trPr>
        <w:tc>
          <w:tcPr>
            <w:tcW w:w="737" w:type="pct"/>
            <w:tcBorders>
              <w:top w:val="nil"/>
              <w:left w:val="single" w:sz="2" w:space="0" w:color="auto"/>
              <w:bottom w:val="nil"/>
              <w:right w:val="single" w:sz="2" w:space="0" w:color="auto"/>
            </w:tcBorders>
          </w:tcPr>
          <w:p w14:paraId="052FB3A9" w14:textId="77777777" w:rsidR="000F475E" w:rsidRPr="002D20CA" w:rsidRDefault="000F475E" w:rsidP="000F475E">
            <w:pPr>
              <w:pStyle w:val="TableReference"/>
              <w:tabs>
                <w:tab w:val="left" w:pos="3306"/>
              </w:tabs>
              <w:spacing w:before="40"/>
              <w:rPr>
                <w:color w:val="7030A0"/>
                <w:sz w:val="14"/>
              </w:rPr>
            </w:pPr>
          </w:p>
        </w:tc>
        <w:tc>
          <w:tcPr>
            <w:tcW w:w="4263" w:type="pct"/>
            <w:gridSpan w:val="6"/>
            <w:tcBorders>
              <w:top w:val="nil"/>
              <w:left w:val="single" w:sz="2" w:space="0" w:color="auto"/>
              <w:bottom w:val="nil"/>
              <w:right w:val="nil"/>
            </w:tcBorders>
            <w:vAlign w:val="bottom"/>
          </w:tcPr>
          <w:p w14:paraId="04C27F36" w14:textId="0729A432" w:rsidR="000F475E" w:rsidRPr="002D20CA" w:rsidRDefault="000F475E" w:rsidP="000F475E">
            <w:pPr>
              <w:spacing w:after="60"/>
              <w:jc w:val="both"/>
              <w:rPr>
                <w:rFonts w:cs="Calibri"/>
                <w:sz w:val="18"/>
                <w:szCs w:val="18"/>
              </w:rPr>
            </w:pPr>
            <w:r w:rsidRPr="002D20CA">
              <w:rPr>
                <w:rFonts w:cs="Calibri"/>
                <w:sz w:val="18"/>
                <w:szCs w:val="18"/>
              </w:rPr>
              <w:t>Annual leave liabilities have been estimated on the assumption they will be wholly settled within three years.</w:t>
            </w:r>
            <w:r>
              <w:rPr>
                <w:rFonts w:cs="Calibri"/>
                <w:sz w:val="18"/>
                <w:szCs w:val="18"/>
              </w:rPr>
              <w:t xml:space="preserve"> </w:t>
            </w:r>
            <w:r w:rsidRPr="002D20CA">
              <w:rPr>
                <w:rFonts w:cs="Calibri"/>
                <w:sz w:val="18"/>
                <w:szCs w:val="18"/>
              </w:rPr>
              <w:t>This financial year the rate used to estimate the present value of future:</w:t>
            </w:r>
          </w:p>
          <w:p w14:paraId="3496E793" w14:textId="3959214D" w:rsidR="000F475E" w:rsidRPr="002D20CA" w:rsidRDefault="000F475E" w:rsidP="000F475E">
            <w:pPr>
              <w:numPr>
                <w:ilvl w:val="0"/>
                <w:numId w:val="40"/>
              </w:numPr>
              <w:spacing w:after="60"/>
              <w:ind w:left="604" w:hanging="284"/>
              <w:jc w:val="both"/>
              <w:rPr>
                <w:rFonts w:cs="Calibri"/>
                <w:sz w:val="18"/>
                <w:szCs w:val="18"/>
              </w:rPr>
            </w:pPr>
            <w:r w:rsidRPr="002D20CA">
              <w:rPr>
                <w:rFonts w:cs="Calibri"/>
                <w:sz w:val="18"/>
                <w:szCs w:val="18"/>
              </w:rPr>
              <w:t>annual leave payments is XX% (</w:t>
            </w:r>
            <w:r w:rsidRPr="00984C72">
              <w:rPr>
                <w:rFonts w:cs="Calibri"/>
                <w:color w:val="FF0000"/>
                <w:sz w:val="18"/>
                <w:szCs w:val="18"/>
              </w:rPr>
              <w:t xml:space="preserve">101.8% </w:t>
            </w:r>
            <w:r w:rsidRPr="00984C72">
              <w:rPr>
                <w:rFonts w:cs="Calibri"/>
                <w:strike/>
                <w:color w:val="FF0000"/>
                <w:sz w:val="18"/>
                <w:szCs w:val="18"/>
              </w:rPr>
              <w:t>100.2%</w:t>
            </w:r>
            <w:r w:rsidRPr="00984C72">
              <w:rPr>
                <w:rFonts w:cs="Calibri"/>
                <w:color w:val="FF0000"/>
                <w:sz w:val="18"/>
                <w:szCs w:val="18"/>
              </w:rPr>
              <w:t xml:space="preserve"> </w:t>
            </w:r>
            <w:r w:rsidRPr="002D20CA">
              <w:rPr>
                <w:rFonts w:cs="Calibri"/>
                <w:sz w:val="18"/>
                <w:szCs w:val="18"/>
              </w:rPr>
              <w:t>in the previous financial year); and</w:t>
            </w:r>
          </w:p>
          <w:p w14:paraId="120C063B" w14:textId="0D921117" w:rsidR="000F475E" w:rsidRPr="002D20CA" w:rsidRDefault="000F475E" w:rsidP="000F475E">
            <w:pPr>
              <w:numPr>
                <w:ilvl w:val="0"/>
                <w:numId w:val="40"/>
              </w:numPr>
              <w:spacing w:after="120"/>
              <w:ind w:left="602" w:hanging="284"/>
              <w:jc w:val="both"/>
              <w:rPr>
                <w:rFonts w:cs="Calibri"/>
                <w:sz w:val="18"/>
                <w:szCs w:val="18"/>
              </w:rPr>
            </w:pPr>
            <w:r w:rsidRPr="002D20CA">
              <w:rPr>
                <w:rFonts w:cs="Calibri"/>
                <w:sz w:val="18"/>
                <w:szCs w:val="18"/>
              </w:rPr>
              <w:t>payments for long service leave is XX% (</w:t>
            </w:r>
            <w:r w:rsidRPr="00D92794">
              <w:rPr>
                <w:rFonts w:cs="Calibri"/>
                <w:color w:val="FF0000"/>
                <w:sz w:val="18"/>
                <w:szCs w:val="18"/>
              </w:rPr>
              <w:t xml:space="preserve">95.3% </w:t>
            </w:r>
            <w:r w:rsidRPr="00D92794">
              <w:rPr>
                <w:rFonts w:cs="Calibri"/>
                <w:strike/>
                <w:color w:val="FF0000"/>
                <w:sz w:val="18"/>
                <w:szCs w:val="18"/>
              </w:rPr>
              <w:t>108.7%</w:t>
            </w:r>
            <w:r w:rsidRPr="002D20CA">
              <w:rPr>
                <w:rFonts w:cs="Calibri"/>
                <w:sz w:val="18"/>
                <w:szCs w:val="18"/>
              </w:rPr>
              <w:t xml:space="preserve"> in the previous financial year).</w:t>
            </w:r>
          </w:p>
        </w:tc>
      </w:tr>
      <w:tr w:rsidR="000F475E" w:rsidRPr="00CF7E1B" w14:paraId="265D918D" w14:textId="77777777" w:rsidTr="00D43DDC">
        <w:trPr>
          <w:cantSplit/>
          <w:trHeight w:val="23"/>
        </w:trPr>
        <w:tc>
          <w:tcPr>
            <w:tcW w:w="737" w:type="pct"/>
            <w:tcBorders>
              <w:top w:val="nil"/>
              <w:left w:val="single" w:sz="2" w:space="0" w:color="auto"/>
              <w:bottom w:val="nil"/>
              <w:right w:val="single" w:sz="2" w:space="0" w:color="auto"/>
            </w:tcBorders>
          </w:tcPr>
          <w:p w14:paraId="55A4B1C5" w14:textId="36A4962C" w:rsidR="000F475E" w:rsidRPr="002D20CA" w:rsidRDefault="000F475E" w:rsidP="000F475E">
            <w:pPr>
              <w:pStyle w:val="TableReference"/>
              <w:tabs>
                <w:tab w:val="left" w:pos="3306"/>
              </w:tabs>
              <w:spacing w:before="40"/>
              <w:rPr>
                <w:color w:val="7030A0"/>
                <w:sz w:val="14"/>
              </w:rPr>
            </w:pPr>
            <w:r w:rsidRPr="002D20CA">
              <w:rPr>
                <w:color w:val="7030A0"/>
                <w:sz w:val="14"/>
              </w:rPr>
              <w:t>AASB 119.60, 66 &amp; 156</w:t>
            </w:r>
          </w:p>
        </w:tc>
        <w:tc>
          <w:tcPr>
            <w:tcW w:w="4263" w:type="pct"/>
            <w:gridSpan w:val="6"/>
            <w:tcBorders>
              <w:top w:val="nil"/>
              <w:left w:val="single" w:sz="2" w:space="0" w:color="auto"/>
              <w:bottom w:val="nil"/>
              <w:right w:val="nil"/>
            </w:tcBorders>
            <w:vAlign w:val="bottom"/>
          </w:tcPr>
          <w:p w14:paraId="2A44A43D" w14:textId="4BC0C51B" w:rsidR="000F475E" w:rsidRPr="002D20CA" w:rsidRDefault="000F475E" w:rsidP="000F475E">
            <w:pPr>
              <w:spacing w:after="120"/>
              <w:jc w:val="both"/>
              <w:rPr>
                <w:rFonts w:cs="Calibri"/>
                <w:sz w:val="18"/>
                <w:szCs w:val="18"/>
              </w:rPr>
            </w:pPr>
            <w:r w:rsidRPr="002D20CA">
              <w:rPr>
                <w:rFonts w:cs="Calibri"/>
                <w:sz w:val="18"/>
                <w:szCs w:val="18"/>
              </w:rPr>
              <w:t>The long service leave liability is estimated with reference to the minimum period of qualifying service. For employees with less than the required minimum period of 7 years of qualifying service, the probability that employees will reach the required minimum period has been taken into account in estimating the provision for long service leave and applicable on-costs.</w:t>
            </w:r>
          </w:p>
        </w:tc>
      </w:tr>
      <w:tr w:rsidR="000F475E" w:rsidRPr="00CF7E1B" w14:paraId="3959A88A" w14:textId="77777777" w:rsidTr="00D43DDC">
        <w:trPr>
          <w:cantSplit/>
          <w:trHeight w:val="23"/>
        </w:trPr>
        <w:tc>
          <w:tcPr>
            <w:tcW w:w="737" w:type="pct"/>
            <w:tcBorders>
              <w:top w:val="nil"/>
              <w:left w:val="single" w:sz="2" w:space="0" w:color="auto"/>
              <w:bottom w:val="nil"/>
              <w:right w:val="single" w:sz="2" w:space="0" w:color="auto"/>
            </w:tcBorders>
          </w:tcPr>
          <w:p w14:paraId="6E05B415" w14:textId="77777777" w:rsidR="000F475E" w:rsidRPr="002D20CA" w:rsidRDefault="000F475E" w:rsidP="000F475E">
            <w:pPr>
              <w:pStyle w:val="TableReference"/>
              <w:tabs>
                <w:tab w:val="left" w:pos="3306"/>
              </w:tabs>
              <w:spacing w:before="40"/>
              <w:rPr>
                <w:color w:val="7030A0"/>
                <w:sz w:val="14"/>
              </w:rPr>
            </w:pPr>
          </w:p>
        </w:tc>
        <w:tc>
          <w:tcPr>
            <w:tcW w:w="4263" w:type="pct"/>
            <w:gridSpan w:val="6"/>
            <w:tcBorders>
              <w:top w:val="nil"/>
              <w:left w:val="single" w:sz="2" w:space="0" w:color="auto"/>
              <w:bottom w:val="nil"/>
              <w:right w:val="nil"/>
            </w:tcBorders>
            <w:vAlign w:val="bottom"/>
          </w:tcPr>
          <w:p w14:paraId="6BDA8628" w14:textId="5504C448" w:rsidR="000F475E" w:rsidRPr="002D20CA" w:rsidRDefault="000F475E" w:rsidP="000F475E">
            <w:pPr>
              <w:spacing w:after="120"/>
              <w:jc w:val="both"/>
              <w:rPr>
                <w:rFonts w:cs="Calibri"/>
                <w:sz w:val="18"/>
                <w:szCs w:val="18"/>
              </w:rPr>
            </w:pPr>
            <w:r w:rsidRPr="002D20CA">
              <w:rPr>
                <w:rFonts w:cs="Calibri"/>
                <w:sz w:val="18"/>
                <w:szCs w:val="18"/>
              </w:rPr>
              <w:t>On-costs only become payable if the employee takes annual and long service leave while in-service. The probability that employees will take annual and long service leave while in</w:t>
            </w:r>
            <w:r w:rsidR="00D32240">
              <w:rPr>
                <w:rFonts w:cs="Calibri"/>
                <w:sz w:val="18"/>
                <w:szCs w:val="18"/>
              </w:rPr>
              <w:t>-</w:t>
            </w:r>
            <w:r w:rsidRPr="002D20CA">
              <w:rPr>
                <w:rFonts w:cs="Calibri"/>
                <w:sz w:val="18"/>
                <w:szCs w:val="18"/>
              </w:rPr>
              <w:t>service has been taken into account in estimating the liability for on-costs.</w:t>
            </w:r>
          </w:p>
        </w:tc>
      </w:tr>
      <w:tr w:rsidR="00BB4F53" w:rsidRPr="00CF7E1B" w14:paraId="7E1FDC0F" w14:textId="77777777" w:rsidTr="00D43DDC">
        <w:trPr>
          <w:cantSplit/>
          <w:trHeight w:val="23"/>
        </w:trPr>
        <w:tc>
          <w:tcPr>
            <w:tcW w:w="737" w:type="pct"/>
            <w:tcBorders>
              <w:top w:val="nil"/>
              <w:left w:val="single" w:sz="2" w:space="0" w:color="auto"/>
              <w:bottom w:val="nil"/>
              <w:right w:val="single" w:sz="2" w:space="0" w:color="auto"/>
            </w:tcBorders>
          </w:tcPr>
          <w:p w14:paraId="62696CF3" w14:textId="77777777" w:rsidR="00BB4F53" w:rsidRPr="002D20CA" w:rsidRDefault="00BB4F53" w:rsidP="00BB4F53">
            <w:pPr>
              <w:pStyle w:val="TableReference"/>
              <w:tabs>
                <w:tab w:val="left" w:pos="3306"/>
              </w:tabs>
              <w:spacing w:before="40"/>
              <w:rPr>
                <w:color w:val="7030A0"/>
                <w:sz w:val="14"/>
              </w:rPr>
            </w:pPr>
          </w:p>
        </w:tc>
        <w:tc>
          <w:tcPr>
            <w:tcW w:w="4263" w:type="pct"/>
            <w:gridSpan w:val="6"/>
            <w:tcBorders>
              <w:top w:val="nil"/>
              <w:left w:val="single" w:sz="2" w:space="0" w:color="auto"/>
              <w:bottom w:val="nil"/>
              <w:right w:val="nil"/>
            </w:tcBorders>
            <w:vAlign w:val="bottom"/>
          </w:tcPr>
          <w:p w14:paraId="01859E8B" w14:textId="5E07D5D0" w:rsidR="00BB4F53" w:rsidRPr="002D20CA" w:rsidRDefault="00BB4F53" w:rsidP="00BB4F53">
            <w:pPr>
              <w:spacing w:after="120"/>
              <w:jc w:val="both"/>
              <w:rPr>
                <w:rFonts w:cs="Calibri"/>
                <w:sz w:val="18"/>
                <w:szCs w:val="18"/>
              </w:rPr>
            </w:pPr>
            <w:r w:rsidRPr="002D20CA">
              <w:rPr>
                <w:rFonts w:cs="Calibri"/>
                <w:sz w:val="18"/>
                <w:szCs w:val="18"/>
              </w:rPr>
              <w:t>Significant judgements have been applied in estimating the annual and long service leave liabilities, given that ‘</w:t>
            </w:r>
            <w:r w:rsidRPr="002D20CA">
              <w:rPr>
                <w:sz w:val="18"/>
                <w:szCs w:val="18"/>
              </w:rPr>
              <w:t>Burley Griffin</w:t>
            </w:r>
            <w:r w:rsidRPr="002D20CA">
              <w:rPr>
                <w:rFonts w:cs="Calibri"/>
                <w:sz w:val="18"/>
                <w:szCs w:val="18"/>
              </w:rPr>
              <w:t xml:space="preserve"> Agency’ uses the Whole-of-Government present value, probability and on-cost factors.</w:t>
            </w:r>
            <w:r>
              <w:rPr>
                <w:rFonts w:cs="Calibri"/>
                <w:sz w:val="18"/>
                <w:szCs w:val="18"/>
              </w:rPr>
              <w:t xml:space="preserve"> </w:t>
            </w:r>
            <w:r w:rsidRPr="002D20CA">
              <w:rPr>
                <w:rFonts w:cs="Calibri"/>
                <w:sz w:val="18"/>
                <w:szCs w:val="18"/>
              </w:rPr>
              <w:t>These factors are issued by ACT Treasury and apply to all ACT Government Agencies. ACT Treasury organises an actuarial review to be undertaken every three by the Australian Government Actuary to estimate each of these factors.</w:t>
            </w:r>
            <w:r>
              <w:rPr>
                <w:rFonts w:cs="Calibri"/>
                <w:sz w:val="18"/>
                <w:szCs w:val="18"/>
              </w:rPr>
              <w:t xml:space="preserve"> </w:t>
            </w:r>
            <w:r w:rsidRPr="002D20CA">
              <w:rPr>
                <w:rFonts w:cs="Calibri"/>
                <w:sz w:val="18"/>
                <w:szCs w:val="18"/>
              </w:rPr>
              <w:t xml:space="preserve">The latest assessment was undertaken in December 2021, with the next review expected to be undertaken by </w:t>
            </w:r>
            <w:r w:rsidRPr="00055382">
              <w:rPr>
                <w:rFonts w:cs="Calibri"/>
                <w:strike/>
                <w:color w:val="FF0000"/>
                <w:sz w:val="18"/>
                <w:szCs w:val="18"/>
              </w:rPr>
              <w:t>early</w:t>
            </w:r>
            <w:r w:rsidRPr="00055382">
              <w:rPr>
                <w:rFonts w:cs="Calibri"/>
                <w:color w:val="FF0000"/>
                <w:sz w:val="18"/>
                <w:szCs w:val="18"/>
              </w:rPr>
              <w:t xml:space="preserve"> late</w:t>
            </w:r>
            <w:r>
              <w:rPr>
                <w:rFonts w:cs="Calibri"/>
                <w:sz w:val="18"/>
                <w:szCs w:val="18"/>
              </w:rPr>
              <w:t xml:space="preserve"> </w:t>
            </w:r>
            <w:r w:rsidRPr="002D20CA">
              <w:rPr>
                <w:rFonts w:cs="Calibri"/>
                <w:sz w:val="18"/>
                <w:szCs w:val="18"/>
              </w:rPr>
              <w:t>202</w:t>
            </w:r>
            <w:r>
              <w:rPr>
                <w:rFonts w:cs="Calibri"/>
                <w:sz w:val="18"/>
                <w:szCs w:val="18"/>
              </w:rPr>
              <w:t>4</w:t>
            </w:r>
            <w:r w:rsidRPr="002D20CA">
              <w:rPr>
                <w:rFonts w:cs="Calibri"/>
                <w:sz w:val="18"/>
                <w:szCs w:val="18"/>
              </w:rPr>
              <w:t>.</w:t>
            </w:r>
          </w:p>
        </w:tc>
      </w:tr>
      <w:tr w:rsidR="00BB4F53" w:rsidRPr="00CF7E1B" w14:paraId="22447B7B" w14:textId="77777777" w:rsidTr="00D43DDC">
        <w:trPr>
          <w:cantSplit/>
          <w:trHeight w:val="23"/>
        </w:trPr>
        <w:tc>
          <w:tcPr>
            <w:tcW w:w="737" w:type="pct"/>
            <w:tcBorders>
              <w:top w:val="nil"/>
              <w:left w:val="single" w:sz="2" w:space="0" w:color="auto"/>
              <w:bottom w:val="nil"/>
              <w:right w:val="single" w:sz="2" w:space="0" w:color="auto"/>
            </w:tcBorders>
          </w:tcPr>
          <w:p w14:paraId="5DB99222" w14:textId="77777777" w:rsidR="00BB4F53" w:rsidRPr="002D20CA" w:rsidRDefault="00BB4F53" w:rsidP="00BB4F53">
            <w:pPr>
              <w:pStyle w:val="TableReference"/>
              <w:tabs>
                <w:tab w:val="left" w:pos="3306"/>
              </w:tabs>
              <w:spacing w:before="40"/>
              <w:rPr>
                <w:rFonts w:cs="Calibri"/>
                <w:color w:val="7030A0"/>
                <w:sz w:val="14"/>
              </w:rPr>
            </w:pPr>
            <w:r w:rsidRPr="002D20CA">
              <w:rPr>
                <w:color w:val="7030A0"/>
                <w:sz w:val="14"/>
              </w:rPr>
              <w:t>AASB 101.69</w:t>
            </w:r>
          </w:p>
        </w:tc>
        <w:tc>
          <w:tcPr>
            <w:tcW w:w="4263" w:type="pct"/>
            <w:gridSpan w:val="6"/>
            <w:tcBorders>
              <w:top w:val="nil"/>
              <w:left w:val="single" w:sz="2" w:space="0" w:color="auto"/>
              <w:bottom w:val="nil"/>
              <w:right w:val="nil"/>
            </w:tcBorders>
            <w:vAlign w:val="bottom"/>
          </w:tcPr>
          <w:p w14:paraId="33280B41" w14:textId="77777777" w:rsidR="00BB4F53" w:rsidRPr="002D20CA" w:rsidRDefault="00BB4F53" w:rsidP="00BB4F53">
            <w:pPr>
              <w:spacing w:after="120"/>
              <w:jc w:val="both"/>
              <w:rPr>
                <w:rFonts w:cs="Calibri"/>
                <w:sz w:val="18"/>
                <w:szCs w:val="18"/>
              </w:rPr>
            </w:pPr>
            <w:r w:rsidRPr="002D20CA">
              <w:rPr>
                <w:rFonts w:cs="Calibri"/>
                <w:sz w:val="18"/>
                <w:szCs w:val="18"/>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tc>
      </w:tr>
      <w:tr w:rsidR="00BB4F53" w:rsidRPr="00CF7E1B" w14:paraId="655A02DE" w14:textId="77777777" w:rsidTr="00D43DDC">
        <w:trPr>
          <w:cantSplit/>
          <w:trHeight w:val="23"/>
        </w:trPr>
        <w:tc>
          <w:tcPr>
            <w:tcW w:w="737" w:type="pct"/>
            <w:tcBorders>
              <w:top w:val="nil"/>
              <w:left w:val="single" w:sz="2" w:space="0" w:color="auto"/>
              <w:bottom w:val="nil"/>
              <w:right w:val="single" w:sz="2" w:space="0" w:color="auto"/>
            </w:tcBorders>
          </w:tcPr>
          <w:p w14:paraId="3841E05F" w14:textId="77777777" w:rsidR="00BB4F53" w:rsidRPr="002D20CA" w:rsidRDefault="00BB4F53" w:rsidP="00BB4F53">
            <w:pPr>
              <w:pStyle w:val="TableReference"/>
              <w:tabs>
                <w:tab w:val="left" w:pos="3306"/>
              </w:tabs>
              <w:spacing w:before="40"/>
              <w:rPr>
                <w:color w:val="7030A0"/>
                <w:sz w:val="14"/>
              </w:rPr>
            </w:pPr>
          </w:p>
        </w:tc>
        <w:tc>
          <w:tcPr>
            <w:tcW w:w="4263" w:type="pct"/>
            <w:gridSpan w:val="6"/>
            <w:tcBorders>
              <w:top w:val="nil"/>
              <w:left w:val="single" w:sz="2" w:space="0" w:color="auto"/>
              <w:bottom w:val="nil"/>
              <w:right w:val="nil"/>
            </w:tcBorders>
          </w:tcPr>
          <w:p w14:paraId="52496950" w14:textId="07C2ECC0" w:rsidR="00BB4F53" w:rsidRPr="002D20CA" w:rsidRDefault="00BB4F53" w:rsidP="00BB4F53">
            <w:pPr>
              <w:jc w:val="both"/>
              <w:rPr>
                <w:rFonts w:cs="Calibri"/>
                <w:sz w:val="18"/>
                <w:szCs w:val="18"/>
              </w:rPr>
            </w:pPr>
            <w:r w:rsidRPr="002D20CA">
              <w:rPr>
                <w:rFonts w:cs="Calibri"/>
                <w:i/>
                <w:iCs/>
                <w:sz w:val="18"/>
                <w:szCs w:val="18"/>
              </w:rPr>
              <w:t>Superannuation Liability</w:t>
            </w:r>
          </w:p>
        </w:tc>
      </w:tr>
      <w:tr w:rsidR="00BB4F53" w:rsidRPr="00CF7E1B" w14:paraId="43D9C1F8" w14:textId="77777777" w:rsidTr="00D43DDC">
        <w:trPr>
          <w:cantSplit/>
          <w:trHeight w:val="23"/>
        </w:trPr>
        <w:tc>
          <w:tcPr>
            <w:tcW w:w="737" w:type="pct"/>
            <w:tcBorders>
              <w:top w:val="nil"/>
              <w:left w:val="single" w:sz="2" w:space="0" w:color="auto"/>
              <w:bottom w:val="nil"/>
              <w:right w:val="single" w:sz="2" w:space="0" w:color="auto"/>
            </w:tcBorders>
          </w:tcPr>
          <w:p w14:paraId="492CF290" w14:textId="77777777" w:rsidR="00BB4F53" w:rsidRPr="002D20CA" w:rsidRDefault="00BB4F53" w:rsidP="00BB4F53">
            <w:pPr>
              <w:pStyle w:val="TableReference"/>
              <w:tabs>
                <w:tab w:val="left" w:pos="3306"/>
              </w:tabs>
              <w:spacing w:before="40"/>
              <w:rPr>
                <w:color w:val="7030A0"/>
                <w:sz w:val="14"/>
              </w:rPr>
            </w:pPr>
          </w:p>
        </w:tc>
        <w:tc>
          <w:tcPr>
            <w:tcW w:w="4263" w:type="pct"/>
            <w:gridSpan w:val="6"/>
            <w:tcBorders>
              <w:top w:val="nil"/>
              <w:left w:val="single" w:sz="2" w:space="0" w:color="auto"/>
              <w:bottom w:val="nil"/>
              <w:right w:val="nil"/>
            </w:tcBorders>
            <w:vAlign w:val="bottom"/>
          </w:tcPr>
          <w:p w14:paraId="5C625813" w14:textId="6C27D567" w:rsidR="00BB4F53" w:rsidRPr="002D20CA" w:rsidRDefault="00BB4F53" w:rsidP="00BB4F53">
            <w:pPr>
              <w:jc w:val="both"/>
              <w:rPr>
                <w:rFonts w:cs="Calibri"/>
                <w:sz w:val="18"/>
                <w:szCs w:val="18"/>
              </w:rPr>
            </w:pPr>
            <w:r w:rsidRPr="002D20CA">
              <w:rPr>
                <w:rFonts w:cs="Calibri"/>
                <w:sz w:val="18"/>
                <w:szCs w:val="18"/>
              </w:rPr>
              <w:t>The employer superannuation benefits payable to ‘</w:t>
            </w:r>
            <w:r w:rsidRPr="002D20CA">
              <w:rPr>
                <w:rFonts w:asciiTheme="minorHAnsi" w:hAnsiTheme="minorHAnsi" w:cstheme="minorHAnsi"/>
                <w:sz w:val="18"/>
                <w:szCs w:val="18"/>
              </w:rPr>
              <w:t xml:space="preserve">Burley Griffin </w:t>
            </w:r>
            <w:r w:rsidRPr="002D20CA">
              <w:rPr>
                <w:rFonts w:cs="Calibri"/>
                <w:sz w:val="18"/>
                <w:szCs w:val="18"/>
              </w:rPr>
              <w:t>Agency’ employees, who are members of the defined benefit CSS or PSS Schemes, are recognised in the financial statements of the Superannuation Provision Account.</w:t>
            </w:r>
            <w:r>
              <w:rPr>
                <w:sz w:val="18"/>
                <w:szCs w:val="18"/>
              </w:rPr>
              <w:t xml:space="preserve"> </w:t>
            </w:r>
            <w:r w:rsidRPr="002D20CA">
              <w:rPr>
                <w:sz w:val="18"/>
                <w:szCs w:val="18"/>
              </w:rPr>
              <w:t xml:space="preserve"> </w:t>
            </w:r>
          </w:p>
        </w:tc>
      </w:tr>
      <w:tr w:rsidR="00BB4F53" w:rsidRPr="00CF7E1B" w14:paraId="3135F39D" w14:textId="77777777" w:rsidTr="00D43DDC">
        <w:trPr>
          <w:cantSplit/>
          <w:trHeight w:val="23"/>
        </w:trPr>
        <w:tc>
          <w:tcPr>
            <w:tcW w:w="737" w:type="pct"/>
            <w:tcBorders>
              <w:top w:val="nil"/>
              <w:left w:val="single" w:sz="2" w:space="0" w:color="auto"/>
              <w:bottom w:val="nil"/>
              <w:right w:val="single" w:sz="2" w:space="0" w:color="auto"/>
            </w:tcBorders>
          </w:tcPr>
          <w:p w14:paraId="1AB84205" w14:textId="77777777" w:rsidR="00BB4F53" w:rsidRPr="002D20CA" w:rsidRDefault="00BB4F53" w:rsidP="00BB4F53">
            <w:pPr>
              <w:pStyle w:val="TableReference"/>
              <w:tabs>
                <w:tab w:val="left" w:pos="3306"/>
              </w:tabs>
              <w:spacing w:before="40"/>
              <w:rPr>
                <w:rFonts w:cs="Calibri"/>
                <w:color w:val="7030A0"/>
                <w:sz w:val="16"/>
                <w:szCs w:val="16"/>
              </w:rPr>
            </w:pPr>
          </w:p>
        </w:tc>
        <w:tc>
          <w:tcPr>
            <w:tcW w:w="4263" w:type="pct"/>
            <w:gridSpan w:val="6"/>
            <w:tcBorders>
              <w:top w:val="nil"/>
              <w:left w:val="single" w:sz="2" w:space="0" w:color="auto"/>
              <w:bottom w:val="nil"/>
              <w:right w:val="nil"/>
            </w:tcBorders>
          </w:tcPr>
          <w:p w14:paraId="29C9790F" w14:textId="49B62D9F" w:rsidR="00BB4F53" w:rsidRPr="006F6F51" w:rsidRDefault="00BB4F53" w:rsidP="00BB4F53">
            <w:pPr>
              <w:pStyle w:val="TableTitle"/>
              <w:tabs>
                <w:tab w:val="left" w:pos="3306"/>
              </w:tabs>
              <w:jc w:val="left"/>
              <w:rPr>
                <w:strike/>
                <w:color w:val="FF0000"/>
              </w:rPr>
            </w:pPr>
            <w:r w:rsidRPr="006F6F51">
              <w:rPr>
                <w:strike/>
                <w:color w:val="FF0000"/>
              </w:rPr>
              <w:t>COVID-19 Impact</w:t>
            </w:r>
          </w:p>
        </w:tc>
      </w:tr>
      <w:tr w:rsidR="00BB4F53" w:rsidRPr="00CF7E1B" w14:paraId="3043CAF0" w14:textId="77777777" w:rsidTr="00D43DDC">
        <w:trPr>
          <w:cantSplit/>
          <w:trHeight w:val="23"/>
        </w:trPr>
        <w:tc>
          <w:tcPr>
            <w:tcW w:w="737" w:type="pct"/>
            <w:tcBorders>
              <w:top w:val="nil"/>
              <w:left w:val="single" w:sz="2" w:space="0" w:color="auto"/>
              <w:bottom w:val="nil"/>
              <w:right w:val="single" w:sz="2" w:space="0" w:color="auto"/>
            </w:tcBorders>
          </w:tcPr>
          <w:p w14:paraId="7DCFAC97" w14:textId="77777777" w:rsidR="00BB4F53" w:rsidRPr="002D20CA" w:rsidRDefault="00BB4F53" w:rsidP="00BB4F53">
            <w:pPr>
              <w:pStyle w:val="TableReference"/>
              <w:tabs>
                <w:tab w:val="left" w:pos="3306"/>
              </w:tabs>
              <w:spacing w:before="40"/>
              <w:rPr>
                <w:rFonts w:cs="Calibri"/>
                <w:color w:val="7030A0"/>
                <w:sz w:val="16"/>
                <w:szCs w:val="16"/>
              </w:rPr>
            </w:pPr>
          </w:p>
        </w:tc>
        <w:tc>
          <w:tcPr>
            <w:tcW w:w="4263" w:type="pct"/>
            <w:gridSpan w:val="6"/>
            <w:tcBorders>
              <w:top w:val="nil"/>
              <w:left w:val="single" w:sz="2" w:space="0" w:color="auto"/>
              <w:bottom w:val="nil"/>
              <w:right w:val="nil"/>
            </w:tcBorders>
            <w:vAlign w:val="bottom"/>
          </w:tcPr>
          <w:p w14:paraId="231D25E7" w14:textId="698EC2A0" w:rsidR="00BB4F53" w:rsidRPr="006F6F51" w:rsidRDefault="00BB4F53" w:rsidP="00BB4F53">
            <w:pPr>
              <w:pStyle w:val="TableText"/>
              <w:tabs>
                <w:tab w:val="left" w:pos="3306"/>
              </w:tabs>
              <w:spacing w:before="0"/>
              <w:jc w:val="both"/>
              <w:rPr>
                <w:rFonts w:cs="Calibri"/>
                <w:strike/>
                <w:color w:val="FF0000"/>
              </w:rPr>
            </w:pPr>
            <w:r w:rsidRPr="006F6F51">
              <w:rPr>
                <w:strike/>
                <w:color w:val="FF0000"/>
              </w:rPr>
              <w:t>As part of the ACT Government’s response to the COVID-19 pandemic a ‘Jobs for Canberrans’ program was established to provide secure work opportunities for Canberrans who have relied on casual work and are not eligible for the Australian Government’s wage subsidy scheme. This program has had a material impact on employee expenses with an additional 27 staff being employed throughout 2021</w:t>
            </w:r>
            <w:r w:rsidRPr="006F6F51">
              <w:rPr>
                <w:strike/>
                <w:color w:val="FF0000"/>
              </w:rPr>
              <w:noBreakHyphen/>
              <w:t>22 under this program at a cost of $xxx.</w:t>
            </w:r>
          </w:p>
        </w:tc>
      </w:tr>
      <w:tr w:rsidR="00BB4F53" w:rsidRPr="00CF7E1B" w14:paraId="7AF558C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9FC2F52" w14:textId="77777777" w:rsidR="00BB4F53" w:rsidRPr="002D20CA" w:rsidRDefault="00BB4F53" w:rsidP="00BB4F53">
            <w:pPr>
              <w:rPr>
                <w:rFonts w:cs="Calibri"/>
                <w:strike/>
                <w:color w:val="7030A0"/>
                <w:sz w:val="16"/>
              </w:rPr>
            </w:pPr>
          </w:p>
        </w:tc>
        <w:tc>
          <w:tcPr>
            <w:tcW w:w="2862" w:type="pct"/>
            <w:tcBorders>
              <w:top w:val="nil"/>
              <w:left w:val="single" w:sz="2" w:space="0" w:color="auto"/>
              <w:bottom w:val="nil"/>
              <w:right w:val="nil"/>
            </w:tcBorders>
            <w:vAlign w:val="bottom"/>
          </w:tcPr>
          <w:p w14:paraId="3AB03821" w14:textId="77777777" w:rsidR="00BB4F53" w:rsidRPr="002D20CA" w:rsidRDefault="00BB4F53" w:rsidP="00BB4F53">
            <w:pPr>
              <w:pStyle w:val="TableTitle"/>
              <w:tabs>
                <w:tab w:val="left" w:pos="3306"/>
              </w:tabs>
              <w:rPr>
                <w:rFonts w:cs="Calibri"/>
                <w:strike/>
              </w:rPr>
            </w:pPr>
          </w:p>
        </w:tc>
        <w:tc>
          <w:tcPr>
            <w:tcW w:w="734" w:type="pct"/>
            <w:gridSpan w:val="2"/>
            <w:tcBorders>
              <w:top w:val="nil"/>
              <w:left w:val="nil"/>
              <w:bottom w:val="nil"/>
              <w:right w:val="nil"/>
            </w:tcBorders>
          </w:tcPr>
          <w:p w14:paraId="742DAE3B" w14:textId="0A173AEF" w:rsidR="00BB4F53" w:rsidRPr="002D20CA" w:rsidRDefault="00BB4F53" w:rsidP="00BB4F53">
            <w:pPr>
              <w:pStyle w:val="TableTitle"/>
              <w:tabs>
                <w:tab w:val="left" w:pos="3306"/>
              </w:tabs>
              <w:rPr>
                <w:rFonts w:cs="Calibri"/>
              </w:rPr>
            </w:pPr>
            <w:r w:rsidRPr="002D20CA">
              <w:rPr>
                <w:rFonts w:cs="Calibri"/>
              </w:rPr>
              <w:t>202</w:t>
            </w:r>
            <w:r>
              <w:rPr>
                <w:rFonts w:cs="Calibri"/>
              </w:rPr>
              <w:t>3</w:t>
            </w:r>
          </w:p>
          <w:p w14:paraId="15660D94" w14:textId="17821535" w:rsidR="00BB4F53" w:rsidRPr="002D20CA" w:rsidRDefault="00BB4F53" w:rsidP="00BB4F53">
            <w:pPr>
              <w:pStyle w:val="TableTitle"/>
              <w:tabs>
                <w:tab w:val="left" w:pos="3306"/>
              </w:tabs>
              <w:rPr>
                <w:rFonts w:cs="Calibri"/>
              </w:rPr>
            </w:pPr>
            <w:r w:rsidRPr="002D20CA">
              <w:rPr>
                <w:rFonts w:cs="Calibri"/>
              </w:rPr>
              <w:t>$’000</w:t>
            </w:r>
          </w:p>
        </w:tc>
        <w:tc>
          <w:tcPr>
            <w:tcW w:w="598" w:type="pct"/>
            <w:tcBorders>
              <w:top w:val="nil"/>
              <w:left w:val="nil"/>
              <w:bottom w:val="nil"/>
              <w:right w:val="nil"/>
            </w:tcBorders>
          </w:tcPr>
          <w:p w14:paraId="4D3B0FA7" w14:textId="081128A0" w:rsidR="00BB4F53" w:rsidRPr="0009580B" w:rsidRDefault="00BB4F53" w:rsidP="00BB4F53">
            <w:pPr>
              <w:pStyle w:val="TableTitle"/>
              <w:tabs>
                <w:tab w:val="left" w:pos="3306"/>
              </w:tabs>
              <w:rPr>
                <w:rFonts w:cs="Calibri"/>
              </w:rPr>
            </w:pPr>
            <w:r w:rsidRPr="002D20CA">
              <w:rPr>
                <w:rFonts w:cs="Calibri"/>
              </w:rPr>
              <w:t>202</w:t>
            </w:r>
            <w:r>
              <w:rPr>
                <w:rFonts w:cs="Calibri"/>
              </w:rPr>
              <w:t>2</w:t>
            </w:r>
          </w:p>
          <w:p w14:paraId="0723941A" w14:textId="6DD4578D" w:rsidR="00BB4F53" w:rsidRPr="002D20CA" w:rsidRDefault="00BB4F53" w:rsidP="00BB4F53">
            <w:pPr>
              <w:pStyle w:val="TableTitle"/>
              <w:tabs>
                <w:tab w:val="left" w:pos="3306"/>
              </w:tabs>
              <w:rPr>
                <w:rFonts w:cs="Calibri"/>
              </w:rPr>
            </w:pPr>
            <w:r w:rsidRPr="002D20CA">
              <w:rPr>
                <w:rFonts w:cs="Calibri"/>
              </w:rPr>
              <w:t>$’000</w:t>
            </w:r>
          </w:p>
        </w:tc>
      </w:tr>
      <w:tr w:rsidR="00BB4F53" w:rsidRPr="00CF7E1B" w14:paraId="50BCD606"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61AE90EC" w14:textId="77777777" w:rsidR="00BB4F53" w:rsidRPr="002D20CA" w:rsidRDefault="00BB4F53" w:rsidP="00BB4F53">
            <w:pPr>
              <w:pStyle w:val="TableReference"/>
              <w:tabs>
                <w:tab w:val="left" w:pos="3306"/>
              </w:tabs>
              <w:spacing w:before="40"/>
              <w:rPr>
                <w:rFonts w:cs="Calibri"/>
                <w:color w:val="7030A0"/>
                <w:sz w:val="14"/>
              </w:rPr>
            </w:pPr>
            <w:r w:rsidRPr="002D20CA">
              <w:rPr>
                <w:rFonts w:cs="Calibri"/>
                <w:color w:val="7030A0"/>
                <w:sz w:val="14"/>
              </w:rPr>
              <w:t>ACT Accounting Policy</w:t>
            </w:r>
          </w:p>
        </w:tc>
        <w:tc>
          <w:tcPr>
            <w:tcW w:w="2862" w:type="pct"/>
            <w:tcBorders>
              <w:top w:val="nil"/>
              <w:left w:val="single" w:sz="2" w:space="0" w:color="auto"/>
              <w:bottom w:val="nil"/>
              <w:right w:val="nil"/>
            </w:tcBorders>
            <w:vAlign w:val="bottom"/>
          </w:tcPr>
          <w:p w14:paraId="00FA93CA" w14:textId="77777777" w:rsidR="00BB4F53" w:rsidRPr="002D20CA" w:rsidRDefault="00BB4F53" w:rsidP="00BB4F53">
            <w:pPr>
              <w:pStyle w:val="TableText"/>
              <w:tabs>
                <w:tab w:val="left" w:pos="3306"/>
              </w:tabs>
              <w:spacing w:before="0"/>
              <w:rPr>
                <w:rFonts w:cs="Calibri"/>
                <w:b/>
                <w:bCs/>
              </w:rPr>
            </w:pPr>
            <w:r w:rsidRPr="002D20CA">
              <w:rPr>
                <w:rFonts w:cs="Calibri"/>
                <w:b/>
                <w:bCs/>
              </w:rPr>
              <w:t>Current Employee Benefits</w:t>
            </w:r>
          </w:p>
        </w:tc>
        <w:tc>
          <w:tcPr>
            <w:tcW w:w="734" w:type="pct"/>
            <w:gridSpan w:val="2"/>
            <w:tcBorders>
              <w:top w:val="nil"/>
              <w:left w:val="nil"/>
              <w:bottom w:val="nil"/>
              <w:right w:val="nil"/>
            </w:tcBorders>
            <w:vAlign w:val="bottom"/>
          </w:tcPr>
          <w:p w14:paraId="28046EFF" w14:textId="77777777"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4D22F278" w14:textId="77777777" w:rsidR="00BB4F53" w:rsidRPr="002D20CA" w:rsidRDefault="00BB4F53" w:rsidP="00BB4F53">
            <w:pPr>
              <w:pStyle w:val="TableText"/>
              <w:tabs>
                <w:tab w:val="left" w:pos="3306"/>
              </w:tabs>
              <w:jc w:val="right"/>
              <w:rPr>
                <w:rFonts w:cs="Calibri"/>
              </w:rPr>
            </w:pPr>
          </w:p>
        </w:tc>
      </w:tr>
      <w:tr w:rsidR="00BB4F53" w:rsidRPr="00CF7E1B" w14:paraId="3B2A3481"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76B800A"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721BF3FE" w14:textId="77777777" w:rsidR="00BB4F53" w:rsidRPr="002D20CA" w:rsidRDefault="00BB4F53" w:rsidP="00BB4F53">
            <w:pPr>
              <w:pStyle w:val="TableText"/>
              <w:tabs>
                <w:tab w:val="left" w:pos="3306"/>
              </w:tabs>
              <w:rPr>
                <w:rFonts w:cs="Calibri"/>
              </w:rPr>
            </w:pPr>
            <w:r w:rsidRPr="002D20CA">
              <w:rPr>
                <w:rFonts w:cs="Calibri"/>
              </w:rPr>
              <w:t>Annual Leave</w:t>
            </w:r>
          </w:p>
        </w:tc>
        <w:tc>
          <w:tcPr>
            <w:tcW w:w="734" w:type="pct"/>
            <w:gridSpan w:val="2"/>
            <w:tcBorders>
              <w:top w:val="nil"/>
              <w:left w:val="nil"/>
              <w:bottom w:val="nil"/>
              <w:right w:val="nil"/>
            </w:tcBorders>
            <w:vAlign w:val="bottom"/>
          </w:tcPr>
          <w:p w14:paraId="356C5AEC" w14:textId="08665085"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18E8EF1F" w14:textId="68BF27CA" w:rsidR="00BB4F53" w:rsidRPr="002D20CA" w:rsidRDefault="00BB4F53" w:rsidP="00BB4F53">
            <w:pPr>
              <w:pStyle w:val="TableText"/>
              <w:tabs>
                <w:tab w:val="left" w:pos="3306"/>
              </w:tabs>
              <w:jc w:val="right"/>
              <w:rPr>
                <w:rFonts w:cs="Calibri"/>
              </w:rPr>
            </w:pPr>
          </w:p>
        </w:tc>
      </w:tr>
      <w:tr w:rsidR="00BB4F53" w:rsidRPr="00CF7E1B" w14:paraId="69B7D307"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D2D1433"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256CD27A" w14:textId="4696A53C" w:rsidR="00BB4F53" w:rsidRPr="002D20CA" w:rsidRDefault="00BB4F53" w:rsidP="00BB4F53">
            <w:pPr>
              <w:pStyle w:val="TableText"/>
              <w:tabs>
                <w:tab w:val="left" w:pos="3306"/>
              </w:tabs>
              <w:rPr>
                <w:rFonts w:cs="Calibri"/>
              </w:rPr>
            </w:pPr>
            <w:r w:rsidRPr="002D20CA">
              <w:rPr>
                <w:rFonts w:cs="Calibri"/>
              </w:rPr>
              <w:t>Long Service Leave</w:t>
            </w:r>
            <w:r w:rsidRPr="002D20CA">
              <w:rPr>
                <w:rFonts w:cs="Calibri"/>
                <w:vertAlign w:val="superscript"/>
              </w:rPr>
              <w:t>a</w:t>
            </w:r>
          </w:p>
        </w:tc>
        <w:tc>
          <w:tcPr>
            <w:tcW w:w="734" w:type="pct"/>
            <w:gridSpan w:val="2"/>
            <w:tcBorders>
              <w:top w:val="nil"/>
              <w:left w:val="nil"/>
              <w:bottom w:val="nil"/>
              <w:right w:val="nil"/>
            </w:tcBorders>
            <w:vAlign w:val="bottom"/>
          </w:tcPr>
          <w:p w14:paraId="5AD36604" w14:textId="1F92A772"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7AFD7D2B" w14:textId="582BB384" w:rsidR="00BB4F53" w:rsidRPr="002D20CA" w:rsidRDefault="00BB4F53" w:rsidP="00BB4F53">
            <w:pPr>
              <w:pStyle w:val="TableText"/>
              <w:tabs>
                <w:tab w:val="left" w:pos="3306"/>
              </w:tabs>
              <w:jc w:val="right"/>
              <w:rPr>
                <w:rFonts w:cs="Calibri"/>
              </w:rPr>
            </w:pPr>
          </w:p>
        </w:tc>
      </w:tr>
      <w:tr w:rsidR="00BB4F53" w:rsidRPr="00CF7E1B" w14:paraId="2CC42772"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C27AFD9"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2991FEC9" w14:textId="77777777" w:rsidR="00BB4F53" w:rsidRPr="002D20CA" w:rsidRDefault="00BB4F53" w:rsidP="00BB4F53">
            <w:pPr>
              <w:pStyle w:val="TableText"/>
              <w:tabs>
                <w:tab w:val="left" w:pos="3306"/>
              </w:tabs>
              <w:rPr>
                <w:rFonts w:cs="Calibri"/>
              </w:rPr>
            </w:pPr>
            <w:r w:rsidRPr="002D20CA">
              <w:rPr>
                <w:rFonts w:cs="Calibri"/>
              </w:rPr>
              <w:t>Accrued Salaries</w:t>
            </w:r>
          </w:p>
        </w:tc>
        <w:tc>
          <w:tcPr>
            <w:tcW w:w="734" w:type="pct"/>
            <w:gridSpan w:val="2"/>
            <w:tcBorders>
              <w:top w:val="nil"/>
              <w:left w:val="nil"/>
              <w:bottom w:val="nil"/>
              <w:right w:val="nil"/>
            </w:tcBorders>
            <w:vAlign w:val="bottom"/>
          </w:tcPr>
          <w:p w14:paraId="60E82E86" w14:textId="0C1A813B"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464DABC9" w14:textId="582E87BF" w:rsidR="00BB4F53" w:rsidRPr="002D20CA" w:rsidRDefault="00BB4F53" w:rsidP="00BB4F53">
            <w:pPr>
              <w:pStyle w:val="TableText"/>
              <w:tabs>
                <w:tab w:val="left" w:pos="3306"/>
              </w:tabs>
              <w:jc w:val="right"/>
              <w:rPr>
                <w:rFonts w:cs="Calibri"/>
              </w:rPr>
            </w:pPr>
          </w:p>
        </w:tc>
      </w:tr>
      <w:tr w:rsidR="00BB4F53" w:rsidRPr="00CF7E1B" w14:paraId="255341FB"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C2A09B1"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73C2BDDD" w14:textId="6CBE21EA" w:rsidR="00BB4F53" w:rsidRPr="002D20CA" w:rsidRDefault="00BB4F53" w:rsidP="00BB4F53">
            <w:pPr>
              <w:pStyle w:val="TableText"/>
              <w:tabs>
                <w:tab w:val="left" w:pos="3306"/>
              </w:tabs>
              <w:rPr>
                <w:rFonts w:cs="Calibri"/>
              </w:rPr>
            </w:pPr>
            <w:r w:rsidRPr="002D20CA">
              <w:rPr>
                <w:rFonts w:cs="Calibri"/>
              </w:rPr>
              <w:t>Termination Benefits due to Restructure</w:t>
            </w:r>
            <w:r w:rsidRPr="002D20CA">
              <w:rPr>
                <w:rFonts w:cs="Calibri"/>
                <w:vertAlign w:val="superscript"/>
              </w:rPr>
              <w:t>b</w:t>
            </w:r>
          </w:p>
        </w:tc>
        <w:tc>
          <w:tcPr>
            <w:tcW w:w="734" w:type="pct"/>
            <w:gridSpan w:val="2"/>
            <w:tcBorders>
              <w:top w:val="nil"/>
              <w:left w:val="nil"/>
              <w:bottom w:val="nil"/>
              <w:right w:val="nil"/>
            </w:tcBorders>
            <w:vAlign w:val="bottom"/>
          </w:tcPr>
          <w:p w14:paraId="10FABD27" w14:textId="788AA4C9"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7E372A00" w14:textId="6FDC7BEA" w:rsidR="00BB4F53" w:rsidRPr="002D20CA" w:rsidRDefault="00BB4F53" w:rsidP="00BB4F53">
            <w:pPr>
              <w:pStyle w:val="TableText"/>
              <w:tabs>
                <w:tab w:val="left" w:pos="3306"/>
              </w:tabs>
              <w:jc w:val="right"/>
              <w:rPr>
                <w:rFonts w:cs="Calibri"/>
              </w:rPr>
            </w:pPr>
          </w:p>
        </w:tc>
      </w:tr>
      <w:tr w:rsidR="00BB4F53" w:rsidRPr="00CF7E1B" w14:paraId="6A33A66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616F6F4"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3A0CAE08" w14:textId="77777777" w:rsidR="00BB4F53" w:rsidRPr="002D20CA" w:rsidRDefault="00BB4F53" w:rsidP="00BB4F53">
            <w:pPr>
              <w:pStyle w:val="TableText"/>
              <w:tabs>
                <w:tab w:val="left" w:pos="3306"/>
              </w:tabs>
              <w:rPr>
                <w:rFonts w:cs="Calibri"/>
              </w:rPr>
            </w:pPr>
            <w:r w:rsidRPr="002D20CA">
              <w:rPr>
                <w:rFonts w:cs="Calibri"/>
              </w:rPr>
              <w:t>Other Benefits</w:t>
            </w:r>
          </w:p>
        </w:tc>
        <w:tc>
          <w:tcPr>
            <w:tcW w:w="734" w:type="pct"/>
            <w:gridSpan w:val="2"/>
            <w:tcBorders>
              <w:top w:val="nil"/>
              <w:left w:val="nil"/>
              <w:bottom w:val="single" w:sz="2" w:space="0" w:color="auto"/>
              <w:right w:val="nil"/>
            </w:tcBorders>
            <w:vAlign w:val="bottom"/>
          </w:tcPr>
          <w:p w14:paraId="137D3603" w14:textId="384ED13C" w:rsidR="00BB4F53" w:rsidRPr="002D20CA" w:rsidRDefault="00BB4F53" w:rsidP="00BB4F53">
            <w:pPr>
              <w:pStyle w:val="TableText"/>
              <w:tabs>
                <w:tab w:val="left" w:pos="3306"/>
              </w:tabs>
              <w:jc w:val="right"/>
              <w:rPr>
                <w:rFonts w:cs="Calibri"/>
              </w:rPr>
            </w:pPr>
          </w:p>
        </w:tc>
        <w:tc>
          <w:tcPr>
            <w:tcW w:w="598" w:type="pct"/>
            <w:tcBorders>
              <w:top w:val="nil"/>
              <w:left w:val="nil"/>
              <w:bottom w:val="single" w:sz="2" w:space="0" w:color="auto"/>
              <w:right w:val="nil"/>
            </w:tcBorders>
            <w:vAlign w:val="bottom"/>
          </w:tcPr>
          <w:p w14:paraId="458DC10B" w14:textId="79E098B2" w:rsidR="00BB4F53" w:rsidRPr="002D20CA" w:rsidRDefault="00BB4F53" w:rsidP="00BB4F53">
            <w:pPr>
              <w:pStyle w:val="TableText"/>
              <w:tabs>
                <w:tab w:val="left" w:pos="3306"/>
              </w:tabs>
              <w:jc w:val="right"/>
              <w:rPr>
                <w:rFonts w:cs="Calibri"/>
              </w:rPr>
            </w:pPr>
          </w:p>
        </w:tc>
      </w:tr>
      <w:tr w:rsidR="00BB4F53" w:rsidRPr="00CF7E1B" w14:paraId="38E6C326"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A847EDC"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2803A0E7" w14:textId="77777777" w:rsidR="00BB4F53" w:rsidRPr="002D20CA" w:rsidRDefault="00BB4F53" w:rsidP="00BB4F53">
            <w:pPr>
              <w:pStyle w:val="TableText"/>
              <w:tabs>
                <w:tab w:val="left" w:pos="3306"/>
              </w:tabs>
              <w:rPr>
                <w:rFonts w:cs="Calibri"/>
                <w:b/>
                <w:bCs/>
              </w:rPr>
            </w:pPr>
            <w:r w:rsidRPr="002D20CA">
              <w:rPr>
                <w:rFonts w:cs="Calibri"/>
                <w:b/>
                <w:bCs/>
              </w:rPr>
              <w:t xml:space="preserve">Total Current Employee Benefits </w:t>
            </w:r>
          </w:p>
        </w:tc>
        <w:tc>
          <w:tcPr>
            <w:tcW w:w="734" w:type="pct"/>
            <w:gridSpan w:val="2"/>
            <w:tcBorders>
              <w:top w:val="single" w:sz="2" w:space="0" w:color="auto"/>
              <w:left w:val="nil"/>
              <w:bottom w:val="single" w:sz="2" w:space="0" w:color="auto"/>
              <w:right w:val="nil"/>
            </w:tcBorders>
            <w:vAlign w:val="bottom"/>
          </w:tcPr>
          <w:p w14:paraId="2E4095BC" w14:textId="0652A5B3" w:rsidR="00BB4F53" w:rsidRPr="002D20CA" w:rsidRDefault="00BB4F53" w:rsidP="00BB4F53">
            <w:pPr>
              <w:pStyle w:val="TableText"/>
              <w:tabs>
                <w:tab w:val="left" w:pos="3306"/>
              </w:tabs>
              <w:jc w:val="right"/>
              <w:rPr>
                <w:rFonts w:cs="Calibri"/>
                <w:b/>
                <w:bCs/>
              </w:rPr>
            </w:pPr>
          </w:p>
        </w:tc>
        <w:tc>
          <w:tcPr>
            <w:tcW w:w="598" w:type="pct"/>
            <w:tcBorders>
              <w:top w:val="single" w:sz="2" w:space="0" w:color="auto"/>
              <w:left w:val="nil"/>
              <w:bottom w:val="single" w:sz="2" w:space="0" w:color="auto"/>
              <w:right w:val="nil"/>
            </w:tcBorders>
            <w:vAlign w:val="bottom"/>
          </w:tcPr>
          <w:p w14:paraId="7EBD22A3" w14:textId="42BDCC47" w:rsidR="00BB4F53" w:rsidRPr="002D20CA" w:rsidRDefault="00BB4F53" w:rsidP="00BB4F53">
            <w:pPr>
              <w:pStyle w:val="TableText"/>
              <w:tabs>
                <w:tab w:val="left" w:pos="3306"/>
              </w:tabs>
              <w:jc w:val="right"/>
              <w:rPr>
                <w:rFonts w:cs="Calibri"/>
                <w:b/>
                <w:bCs/>
              </w:rPr>
            </w:pPr>
          </w:p>
        </w:tc>
      </w:tr>
      <w:tr w:rsidR="00BB4F53" w:rsidRPr="000F475E" w14:paraId="29ABF02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7D94D11" w14:textId="77777777" w:rsidR="00BB4F53" w:rsidRPr="000F475E" w:rsidRDefault="00BB4F53" w:rsidP="00BB4F53">
            <w:pPr>
              <w:pStyle w:val="TableReference"/>
              <w:tabs>
                <w:tab w:val="left" w:pos="3306"/>
              </w:tabs>
              <w:rPr>
                <w:rFonts w:cs="Calibri"/>
                <w:color w:val="7030A0"/>
                <w:szCs w:val="12"/>
              </w:rPr>
            </w:pPr>
          </w:p>
        </w:tc>
        <w:tc>
          <w:tcPr>
            <w:tcW w:w="2862" w:type="pct"/>
            <w:tcBorders>
              <w:top w:val="nil"/>
              <w:left w:val="single" w:sz="2" w:space="0" w:color="auto"/>
              <w:bottom w:val="nil"/>
              <w:right w:val="nil"/>
            </w:tcBorders>
            <w:vAlign w:val="bottom"/>
          </w:tcPr>
          <w:p w14:paraId="366E4ADC" w14:textId="77777777" w:rsidR="00BB4F53" w:rsidRPr="000F475E" w:rsidRDefault="00BB4F53" w:rsidP="00BB4F53">
            <w:pPr>
              <w:pStyle w:val="TableText"/>
              <w:tabs>
                <w:tab w:val="left" w:pos="3306"/>
              </w:tabs>
              <w:spacing w:before="0"/>
              <w:rPr>
                <w:rFonts w:cs="Calibri"/>
                <w:sz w:val="12"/>
                <w:szCs w:val="12"/>
              </w:rPr>
            </w:pPr>
          </w:p>
        </w:tc>
        <w:tc>
          <w:tcPr>
            <w:tcW w:w="734" w:type="pct"/>
            <w:gridSpan w:val="2"/>
            <w:tcBorders>
              <w:top w:val="single" w:sz="2" w:space="0" w:color="auto"/>
              <w:left w:val="nil"/>
              <w:bottom w:val="nil"/>
              <w:right w:val="nil"/>
            </w:tcBorders>
            <w:vAlign w:val="bottom"/>
          </w:tcPr>
          <w:p w14:paraId="403AB0EA" w14:textId="77777777" w:rsidR="00BB4F53" w:rsidRPr="000F475E" w:rsidRDefault="00BB4F53" w:rsidP="00BB4F53">
            <w:pPr>
              <w:pStyle w:val="TableText"/>
              <w:tabs>
                <w:tab w:val="left" w:pos="3306"/>
              </w:tabs>
              <w:spacing w:before="0"/>
              <w:jc w:val="right"/>
              <w:rPr>
                <w:rFonts w:cs="Calibri"/>
                <w:sz w:val="12"/>
                <w:szCs w:val="12"/>
              </w:rPr>
            </w:pPr>
          </w:p>
        </w:tc>
        <w:tc>
          <w:tcPr>
            <w:tcW w:w="598" w:type="pct"/>
            <w:tcBorders>
              <w:top w:val="single" w:sz="2" w:space="0" w:color="auto"/>
              <w:left w:val="nil"/>
              <w:bottom w:val="nil"/>
              <w:right w:val="nil"/>
            </w:tcBorders>
            <w:vAlign w:val="bottom"/>
          </w:tcPr>
          <w:p w14:paraId="26A1D66E" w14:textId="77777777" w:rsidR="00BB4F53" w:rsidRPr="000F475E" w:rsidRDefault="00BB4F53" w:rsidP="00BB4F53">
            <w:pPr>
              <w:pStyle w:val="TableText"/>
              <w:tabs>
                <w:tab w:val="left" w:pos="3306"/>
              </w:tabs>
              <w:spacing w:before="0"/>
              <w:jc w:val="right"/>
              <w:rPr>
                <w:rFonts w:cs="Calibri"/>
                <w:sz w:val="12"/>
                <w:szCs w:val="12"/>
              </w:rPr>
            </w:pPr>
          </w:p>
        </w:tc>
      </w:tr>
      <w:tr w:rsidR="00BB4F53" w:rsidRPr="00CF7E1B" w14:paraId="34666E5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4282EB4" w14:textId="77777777" w:rsidR="00BB4F53" w:rsidRPr="002D20CA" w:rsidRDefault="00BB4F53" w:rsidP="00BB4F53">
            <w:pPr>
              <w:pStyle w:val="TableReference"/>
              <w:tabs>
                <w:tab w:val="left" w:pos="3306"/>
              </w:tabs>
              <w:spacing w:before="40"/>
              <w:rPr>
                <w:rFonts w:cs="Calibri"/>
                <w:color w:val="7030A0"/>
                <w:sz w:val="14"/>
              </w:rPr>
            </w:pPr>
            <w:r w:rsidRPr="002D20CA">
              <w:rPr>
                <w:rFonts w:cs="Calibri"/>
                <w:color w:val="7030A0"/>
                <w:sz w:val="14"/>
              </w:rPr>
              <w:t>ACT Accounting Policy</w:t>
            </w:r>
          </w:p>
        </w:tc>
        <w:tc>
          <w:tcPr>
            <w:tcW w:w="2862" w:type="pct"/>
            <w:tcBorders>
              <w:top w:val="nil"/>
              <w:left w:val="single" w:sz="2" w:space="0" w:color="auto"/>
              <w:bottom w:val="nil"/>
              <w:right w:val="nil"/>
            </w:tcBorders>
            <w:vAlign w:val="bottom"/>
          </w:tcPr>
          <w:p w14:paraId="54948DE0" w14:textId="77777777" w:rsidR="00BB4F53" w:rsidRPr="002D20CA" w:rsidRDefault="00BB4F53" w:rsidP="00BB4F53">
            <w:pPr>
              <w:pStyle w:val="TableText"/>
              <w:tabs>
                <w:tab w:val="left" w:pos="3306"/>
              </w:tabs>
              <w:rPr>
                <w:rFonts w:cs="Calibri"/>
                <w:b/>
                <w:bCs/>
              </w:rPr>
            </w:pPr>
            <w:r w:rsidRPr="002D20CA">
              <w:rPr>
                <w:rFonts w:cs="Calibri"/>
                <w:b/>
                <w:bCs/>
              </w:rPr>
              <w:t>Non-Current Employee Benefits</w:t>
            </w:r>
          </w:p>
        </w:tc>
        <w:tc>
          <w:tcPr>
            <w:tcW w:w="734" w:type="pct"/>
            <w:gridSpan w:val="2"/>
            <w:tcBorders>
              <w:top w:val="nil"/>
              <w:left w:val="nil"/>
              <w:bottom w:val="nil"/>
              <w:right w:val="nil"/>
            </w:tcBorders>
            <w:vAlign w:val="bottom"/>
          </w:tcPr>
          <w:p w14:paraId="6213A616" w14:textId="77777777"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26D7806C" w14:textId="77777777" w:rsidR="00BB4F53" w:rsidRPr="002D20CA" w:rsidRDefault="00BB4F53" w:rsidP="00BB4F53">
            <w:pPr>
              <w:pStyle w:val="TableText"/>
              <w:tabs>
                <w:tab w:val="left" w:pos="3306"/>
              </w:tabs>
              <w:jc w:val="right"/>
              <w:rPr>
                <w:rFonts w:cs="Calibri"/>
              </w:rPr>
            </w:pPr>
          </w:p>
        </w:tc>
      </w:tr>
      <w:tr w:rsidR="00BB4F53" w:rsidRPr="00CF7E1B" w14:paraId="344181FF"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8A33DBE"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098488D4" w14:textId="5527F8B4" w:rsidR="00BB4F53" w:rsidRPr="002D20CA" w:rsidRDefault="00BB4F53" w:rsidP="00BB4F53">
            <w:pPr>
              <w:pStyle w:val="TableText"/>
              <w:tabs>
                <w:tab w:val="left" w:pos="3306"/>
              </w:tabs>
              <w:rPr>
                <w:rFonts w:cs="Calibri"/>
              </w:rPr>
            </w:pPr>
            <w:r w:rsidRPr="002D20CA">
              <w:rPr>
                <w:rFonts w:cs="Calibri"/>
              </w:rPr>
              <w:t>Long Service Leave</w:t>
            </w:r>
            <w:r w:rsidRPr="002D20CA">
              <w:rPr>
                <w:rFonts w:cs="Calibri"/>
                <w:vertAlign w:val="superscript"/>
              </w:rPr>
              <w:t>a</w:t>
            </w:r>
          </w:p>
        </w:tc>
        <w:tc>
          <w:tcPr>
            <w:tcW w:w="734" w:type="pct"/>
            <w:gridSpan w:val="2"/>
            <w:tcBorders>
              <w:top w:val="nil"/>
              <w:left w:val="nil"/>
              <w:bottom w:val="nil"/>
              <w:right w:val="nil"/>
            </w:tcBorders>
            <w:vAlign w:val="bottom"/>
          </w:tcPr>
          <w:p w14:paraId="3C81E896" w14:textId="6C425F77" w:rsidR="00BB4F53" w:rsidRPr="002D20CA" w:rsidRDefault="00BB4F53" w:rsidP="00BB4F53">
            <w:pPr>
              <w:pStyle w:val="TableText"/>
              <w:tabs>
                <w:tab w:val="left" w:pos="3306"/>
              </w:tabs>
              <w:jc w:val="right"/>
              <w:rPr>
                <w:rFonts w:cs="Calibri"/>
              </w:rPr>
            </w:pPr>
          </w:p>
        </w:tc>
        <w:tc>
          <w:tcPr>
            <w:tcW w:w="598" w:type="pct"/>
            <w:tcBorders>
              <w:top w:val="nil"/>
              <w:left w:val="nil"/>
              <w:bottom w:val="nil"/>
              <w:right w:val="nil"/>
            </w:tcBorders>
            <w:vAlign w:val="bottom"/>
          </w:tcPr>
          <w:p w14:paraId="5EC4857A" w14:textId="2BAB78B4" w:rsidR="00BB4F53" w:rsidRPr="002D20CA" w:rsidRDefault="00BB4F53" w:rsidP="00BB4F53">
            <w:pPr>
              <w:pStyle w:val="TableText"/>
              <w:tabs>
                <w:tab w:val="left" w:pos="3306"/>
              </w:tabs>
              <w:jc w:val="right"/>
              <w:rPr>
                <w:rFonts w:cs="Calibri"/>
              </w:rPr>
            </w:pPr>
          </w:p>
        </w:tc>
      </w:tr>
      <w:tr w:rsidR="00BB4F53" w:rsidRPr="00CF7E1B" w14:paraId="7C7B6D6F"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024E3F6"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324A236B" w14:textId="77777777" w:rsidR="00BB4F53" w:rsidRPr="002D20CA" w:rsidRDefault="00BB4F53" w:rsidP="00BB4F53">
            <w:pPr>
              <w:pStyle w:val="TableText"/>
              <w:tabs>
                <w:tab w:val="left" w:pos="3306"/>
              </w:tabs>
              <w:rPr>
                <w:rFonts w:cs="Calibri"/>
              </w:rPr>
            </w:pPr>
            <w:r w:rsidRPr="002D20CA">
              <w:rPr>
                <w:rFonts w:cs="Calibri"/>
              </w:rPr>
              <w:t>Other Benefits</w:t>
            </w:r>
          </w:p>
        </w:tc>
        <w:tc>
          <w:tcPr>
            <w:tcW w:w="734" w:type="pct"/>
            <w:gridSpan w:val="2"/>
            <w:tcBorders>
              <w:top w:val="nil"/>
              <w:left w:val="nil"/>
              <w:bottom w:val="single" w:sz="2" w:space="0" w:color="auto"/>
              <w:right w:val="nil"/>
            </w:tcBorders>
            <w:vAlign w:val="bottom"/>
          </w:tcPr>
          <w:p w14:paraId="613D8B8C" w14:textId="65FB5C70" w:rsidR="00BB4F53" w:rsidRPr="002D20CA" w:rsidRDefault="00BB4F53" w:rsidP="00BB4F53">
            <w:pPr>
              <w:pStyle w:val="TableText"/>
              <w:tabs>
                <w:tab w:val="left" w:pos="3306"/>
              </w:tabs>
              <w:jc w:val="right"/>
              <w:rPr>
                <w:rFonts w:cs="Calibri"/>
              </w:rPr>
            </w:pPr>
          </w:p>
        </w:tc>
        <w:tc>
          <w:tcPr>
            <w:tcW w:w="598" w:type="pct"/>
            <w:tcBorders>
              <w:top w:val="nil"/>
              <w:left w:val="nil"/>
              <w:bottom w:val="single" w:sz="2" w:space="0" w:color="auto"/>
              <w:right w:val="nil"/>
            </w:tcBorders>
            <w:vAlign w:val="bottom"/>
          </w:tcPr>
          <w:p w14:paraId="111F653C" w14:textId="49553C69" w:rsidR="00BB4F53" w:rsidRPr="002D20CA" w:rsidRDefault="00BB4F53" w:rsidP="00BB4F53">
            <w:pPr>
              <w:pStyle w:val="TableText"/>
              <w:tabs>
                <w:tab w:val="left" w:pos="3306"/>
              </w:tabs>
              <w:jc w:val="right"/>
              <w:rPr>
                <w:rFonts w:cs="Calibri"/>
              </w:rPr>
            </w:pPr>
          </w:p>
        </w:tc>
      </w:tr>
      <w:tr w:rsidR="00BB4F53" w:rsidRPr="00CF7E1B" w14:paraId="70269912"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62235D5" w14:textId="77777777" w:rsidR="00BB4F53" w:rsidRPr="002D20CA" w:rsidRDefault="00BB4F53" w:rsidP="00BB4F53">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0978059F" w14:textId="77777777" w:rsidR="00BB4F53" w:rsidRPr="002D20CA" w:rsidRDefault="00BB4F53" w:rsidP="00BB4F53">
            <w:pPr>
              <w:pStyle w:val="TableText"/>
              <w:tabs>
                <w:tab w:val="left" w:pos="3306"/>
              </w:tabs>
              <w:rPr>
                <w:rFonts w:cs="Calibri"/>
                <w:b/>
                <w:bCs/>
              </w:rPr>
            </w:pPr>
            <w:r w:rsidRPr="002D20CA">
              <w:rPr>
                <w:rFonts w:cs="Calibri"/>
                <w:b/>
                <w:bCs/>
              </w:rPr>
              <w:t>Total Non-Current Employee Benefits</w:t>
            </w:r>
          </w:p>
        </w:tc>
        <w:tc>
          <w:tcPr>
            <w:tcW w:w="734" w:type="pct"/>
            <w:gridSpan w:val="2"/>
            <w:tcBorders>
              <w:top w:val="single" w:sz="2" w:space="0" w:color="auto"/>
              <w:left w:val="nil"/>
              <w:bottom w:val="single" w:sz="2" w:space="0" w:color="auto"/>
              <w:right w:val="nil"/>
            </w:tcBorders>
            <w:vAlign w:val="bottom"/>
          </w:tcPr>
          <w:p w14:paraId="5C7C650C" w14:textId="2634EBD3" w:rsidR="00BB4F53" w:rsidRPr="002D20CA" w:rsidRDefault="00BB4F53" w:rsidP="00BB4F53">
            <w:pPr>
              <w:pStyle w:val="TableText"/>
              <w:tabs>
                <w:tab w:val="left" w:pos="3306"/>
              </w:tabs>
              <w:jc w:val="right"/>
              <w:rPr>
                <w:rFonts w:cs="Calibri"/>
                <w:b/>
                <w:bCs/>
              </w:rPr>
            </w:pPr>
          </w:p>
        </w:tc>
        <w:tc>
          <w:tcPr>
            <w:tcW w:w="598" w:type="pct"/>
            <w:tcBorders>
              <w:top w:val="single" w:sz="2" w:space="0" w:color="auto"/>
              <w:left w:val="nil"/>
              <w:bottom w:val="single" w:sz="2" w:space="0" w:color="auto"/>
              <w:right w:val="nil"/>
            </w:tcBorders>
            <w:vAlign w:val="bottom"/>
          </w:tcPr>
          <w:p w14:paraId="2B3D77B8" w14:textId="77161BC9" w:rsidR="00BB4F53" w:rsidRPr="002D20CA" w:rsidRDefault="00BB4F53" w:rsidP="00BB4F53">
            <w:pPr>
              <w:pStyle w:val="TableText"/>
              <w:tabs>
                <w:tab w:val="left" w:pos="3306"/>
              </w:tabs>
              <w:jc w:val="right"/>
              <w:rPr>
                <w:rFonts w:cs="Calibri"/>
                <w:b/>
                <w:bCs/>
              </w:rPr>
            </w:pPr>
          </w:p>
        </w:tc>
      </w:tr>
      <w:tr w:rsidR="00BB4F53" w:rsidRPr="00CF7E1B" w14:paraId="68FDA864"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C21E55E" w14:textId="77777777" w:rsidR="00BB4F53" w:rsidRPr="002D20CA" w:rsidRDefault="00BB4F53" w:rsidP="00BB4F53">
            <w:pPr>
              <w:pStyle w:val="TableReference"/>
              <w:tabs>
                <w:tab w:val="left" w:pos="3306"/>
              </w:tabs>
              <w:spacing w:before="40"/>
              <w:rPr>
                <w:rFonts w:cs="Calibri"/>
                <w:color w:val="7030A0"/>
                <w:sz w:val="14"/>
              </w:rPr>
            </w:pPr>
            <w:r w:rsidRPr="002D20CA">
              <w:rPr>
                <w:rFonts w:cs="Calibri"/>
                <w:color w:val="7030A0"/>
                <w:sz w:val="14"/>
              </w:rPr>
              <w:t xml:space="preserve"> </w:t>
            </w:r>
          </w:p>
        </w:tc>
        <w:tc>
          <w:tcPr>
            <w:tcW w:w="2862" w:type="pct"/>
            <w:tcBorders>
              <w:top w:val="nil"/>
              <w:left w:val="single" w:sz="2" w:space="0" w:color="auto"/>
              <w:bottom w:val="nil"/>
              <w:right w:val="nil"/>
            </w:tcBorders>
            <w:vAlign w:val="bottom"/>
          </w:tcPr>
          <w:p w14:paraId="7B691B11" w14:textId="77777777" w:rsidR="00BB4F53" w:rsidRPr="002D20CA" w:rsidRDefault="00BB4F53" w:rsidP="00BB4F53">
            <w:pPr>
              <w:pStyle w:val="TableText"/>
              <w:tabs>
                <w:tab w:val="left" w:pos="3306"/>
              </w:tabs>
              <w:rPr>
                <w:rFonts w:cs="Calibri"/>
                <w:b/>
                <w:bCs/>
              </w:rPr>
            </w:pPr>
            <w:r w:rsidRPr="002D20CA">
              <w:rPr>
                <w:rFonts w:cs="Calibri"/>
                <w:b/>
                <w:bCs/>
              </w:rPr>
              <w:t>Total Employee Benefits</w:t>
            </w:r>
          </w:p>
        </w:tc>
        <w:tc>
          <w:tcPr>
            <w:tcW w:w="734" w:type="pct"/>
            <w:gridSpan w:val="2"/>
            <w:tcBorders>
              <w:top w:val="single" w:sz="2" w:space="0" w:color="auto"/>
              <w:left w:val="nil"/>
              <w:bottom w:val="double" w:sz="4" w:space="0" w:color="auto"/>
              <w:right w:val="nil"/>
            </w:tcBorders>
            <w:vAlign w:val="bottom"/>
          </w:tcPr>
          <w:p w14:paraId="0A4045CD" w14:textId="7A004FFE" w:rsidR="00BB4F53" w:rsidRPr="002D20CA" w:rsidRDefault="00BB4F53" w:rsidP="00BB4F53">
            <w:pPr>
              <w:pStyle w:val="TableText"/>
              <w:tabs>
                <w:tab w:val="left" w:pos="3306"/>
              </w:tabs>
              <w:jc w:val="right"/>
              <w:rPr>
                <w:rFonts w:cs="Calibri"/>
                <w:b/>
                <w:bCs/>
              </w:rPr>
            </w:pPr>
          </w:p>
        </w:tc>
        <w:tc>
          <w:tcPr>
            <w:tcW w:w="598" w:type="pct"/>
            <w:tcBorders>
              <w:top w:val="single" w:sz="2" w:space="0" w:color="auto"/>
              <w:left w:val="nil"/>
              <w:bottom w:val="double" w:sz="4" w:space="0" w:color="auto"/>
              <w:right w:val="nil"/>
            </w:tcBorders>
            <w:vAlign w:val="bottom"/>
          </w:tcPr>
          <w:p w14:paraId="5EC28F3B" w14:textId="5747D697" w:rsidR="00BB4F53" w:rsidRPr="002D20CA" w:rsidRDefault="00BB4F53" w:rsidP="00BB4F53">
            <w:pPr>
              <w:pStyle w:val="TableText"/>
              <w:tabs>
                <w:tab w:val="left" w:pos="3306"/>
              </w:tabs>
              <w:jc w:val="right"/>
              <w:rPr>
                <w:rFonts w:cs="Calibri"/>
                <w:b/>
                <w:bCs/>
              </w:rPr>
            </w:pPr>
          </w:p>
        </w:tc>
      </w:tr>
      <w:tr w:rsidR="00D43DDC" w:rsidRPr="00BB4F53" w14:paraId="02F07AA2"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6414E93" w14:textId="04D6F901" w:rsidR="00D43DDC" w:rsidRPr="00BB4F53" w:rsidRDefault="00D43DDC" w:rsidP="00D43DDC">
            <w:pPr>
              <w:pStyle w:val="TableReference"/>
              <w:tabs>
                <w:tab w:val="left" w:pos="3306"/>
              </w:tabs>
              <w:spacing w:before="240" w:after="240"/>
              <w:rPr>
                <w:rFonts w:cs="Calibri"/>
                <w:color w:val="7030A0"/>
                <w:sz w:val="24"/>
                <w:szCs w:val="24"/>
              </w:rPr>
            </w:pPr>
            <w:r w:rsidRPr="002D20CA">
              <w:rPr>
                <w:rFonts w:cs="Calibri"/>
                <w:b/>
                <w:color w:val="7030A0"/>
                <w:sz w:val="22"/>
                <w:szCs w:val="22"/>
              </w:rPr>
              <w:t>Reference</w:t>
            </w:r>
          </w:p>
        </w:tc>
        <w:tc>
          <w:tcPr>
            <w:tcW w:w="4194" w:type="pct"/>
            <w:gridSpan w:val="4"/>
            <w:tcBorders>
              <w:top w:val="nil"/>
              <w:left w:val="single" w:sz="2" w:space="0" w:color="auto"/>
              <w:bottom w:val="nil"/>
              <w:right w:val="nil"/>
            </w:tcBorders>
            <w:vAlign w:val="bottom"/>
          </w:tcPr>
          <w:p w14:paraId="627022B6" w14:textId="461B5FEC" w:rsidR="00D43DDC" w:rsidRPr="00BB4F53" w:rsidRDefault="00D43DDC" w:rsidP="00D43DDC">
            <w:pPr>
              <w:pStyle w:val="TableText"/>
              <w:tabs>
                <w:tab w:val="left" w:pos="3306"/>
              </w:tabs>
              <w:spacing w:before="240" w:after="240"/>
              <w:rPr>
                <w:rFonts w:ascii="Arial" w:hAnsi="Arial"/>
                <w:b/>
                <w:bCs/>
                <w:caps/>
                <w:sz w:val="24"/>
                <w:szCs w:val="24"/>
              </w:rPr>
            </w:pPr>
            <w:r w:rsidRPr="000F475E">
              <w:rPr>
                <w:rFonts w:ascii="Arial" w:hAnsi="Arial"/>
                <w:b/>
                <w:bCs/>
                <w:caps/>
                <w:sz w:val="32"/>
                <w:szCs w:val="24"/>
              </w:rPr>
              <w:t>Note 27.  Employee Benefits - Continued</w:t>
            </w:r>
          </w:p>
        </w:tc>
      </w:tr>
      <w:tr w:rsidR="00D43DDC" w:rsidRPr="00CF7E1B" w14:paraId="3FFEC2B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3E9FB52"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125B3BB4" w14:textId="77777777" w:rsidR="00D43DDC" w:rsidRPr="002D20CA" w:rsidRDefault="00D43DDC" w:rsidP="00D43DDC">
            <w:pPr>
              <w:pStyle w:val="TableText"/>
              <w:tabs>
                <w:tab w:val="left" w:pos="3306"/>
              </w:tabs>
              <w:rPr>
                <w:rFonts w:cs="Calibri"/>
                <w:bCs/>
              </w:rPr>
            </w:pPr>
            <w:r w:rsidRPr="002D20CA">
              <w:rPr>
                <w:rFonts w:cs="Calibri"/>
                <w:b/>
                <w:bCs/>
              </w:rPr>
              <w:t>Estimate of when Leave is Payable</w:t>
            </w:r>
          </w:p>
        </w:tc>
        <w:tc>
          <w:tcPr>
            <w:tcW w:w="734" w:type="pct"/>
            <w:gridSpan w:val="2"/>
            <w:tcBorders>
              <w:top w:val="nil"/>
              <w:left w:val="nil"/>
              <w:bottom w:val="nil"/>
              <w:right w:val="nil"/>
            </w:tcBorders>
            <w:vAlign w:val="bottom"/>
          </w:tcPr>
          <w:p w14:paraId="510E23BC" w14:textId="77777777" w:rsidR="00D43DDC" w:rsidRPr="002D20CA" w:rsidRDefault="00D43DDC" w:rsidP="00D43DDC">
            <w:pPr>
              <w:pStyle w:val="TableText"/>
              <w:tabs>
                <w:tab w:val="left" w:pos="3306"/>
              </w:tabs>
              <w:jc w:val="right"/>
              <w:rPr>
                <w:rFonts w:cs="Calibri"/>
                <w:b/>
                <w:bCs/>
              </w:rPr>
            </w:pPr>
          </w:p>
        </w:tc>
        <w:tc>
          <w:tcPr>
            <w:tcW w:w="598" w:type="pct"/>
            <w:tcBorders>
              <w:top w:val="nil"/>
              <w:left w:val="nil"/>
              <w:bottom w:val="nil"/>
              <w:right w:val="nil"/>
            </w:tcBorders>
            <w:vAlign w:val="bottom"/>
          </w:tcPr>
          <w:p w14:paraId="267DB7BE" w14:textId="77777777" w:rsidR="00D43DDC" w:rsidRPr="002D20CA" w:rsidRDefault="00D43DDC" w:rsidP="00D43DDC">
            <w:pPr>
              <w:pStyle w:val="TableText"/>
              <w:tabs>
                <w:tab w:val="left" w:pos="3306"/>
              </w:tabs>
              <w:jc w:val="right"/>
              <w:rPr>
                <w:rFonts w:cs="Calibri"/>
                <w:b/>
                <w:bCs/>
              </w:rPr>
            </w:pPr>
          </w:p>
        </w:tc>
      </w:tr>
      <w:tr w:rsidR="00D43DDC" w:rsidRPr="00CF7E1B" w14:paraId="2122C56A"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B801C3A" w14:textId="77777777" w:rsidR="00D43DDC" w:rsidRPr="002D20CA" w:rsidRDefault="00D43DDC" w:rsidP="00D43DDC">
            <w:pPr>
              <w:pStyle w:val="TableReference"/>
              <w:tabs>
                <w:tab w:val="left" w:pos="3306"/>
              </w:tabs>
              <w:spacing w:before="40"/>
              <w:rPr>
                <w:rFonts w:cs="Calibri"/>
                <w:color w:val="7030A0"/>
                <w:sz w:val="14"/>
              </w:rPr>
            </w:pPr>
            <w:r w:rsidRPr="002D20CA">
              <w:rPr>
                <w:rFonts w:cs="Calibri"/>
                <w:color w:val="7030A0"/>
                <w:sz w:val="14"/>
              </w:rPr>
              <w:t>AASB 101.61(a)</w:t>
            </w:r>
          </w:p>
        </w:tc>
        <w:tc>
          <w:tcPr>
            <w:tcW w:w="2862" w:type="pct"/>
            <w:tcBorders>
              <w:top w:val="nil"/>
              <w:left w:val="single" w:sz="2" w:space="0" w:color="auto"/>
              <w:bottom w:val="nil"/>
              <w:right w:val="nil"/>
            </w:tcBorders>
            <w:vAlign w:val="bottom"/>
          </w:tcPr>
          <w:p w14:paraId="6CC7B6AF" w14:textId="77777777" w:rsidR="00D43DDC" w:rsidRPr="002D20CA" w:rsidRDefault="00D43DDC" w:rsidP="00D43DDC">
            <w:pPr>
              <w:pStyle w:val="TableText"/>
              <w:tabs>
                <w:tab w:val="left" w:pos="3306"/>
              </w:tabs>
              <w:rPr>
                <w:rFonts w:cs="Calibri"/>
                <w:b/>
                <w:bCs/>
              </w:rPr>
            </w:pPr>
            <w:r w:rsidRPr="002D20CA">
              <w:rPr>
                <w:rFonts w:cs="Calibri"/>
                <w:b/>
                <w:bCs/>
              </w:rPr>
              <w:t>Estimated Amount Payable within 12 Months</w:t>
            </w:r>
          </w:p>
        </w:tc>
        <w:tc>
          <w:tcPr>
            <w:tcW w:w="734" w:type="pct"/>
            <w:gridSpan w:val="2"/>
            <w:tcBorders>
              <w:top w:val="nil"/>
              <w:left w:val="nil"/>
              <w:bottom w:val="nil"/>
              <w:right w:val="nil"/>
            </w:tcBorders>
            <w:vAlign w:val="bottom"/>
          </w:tcPr>
          <w:p w14:paraId="44B83AB4" w14:textId="77777777" w:rsidR="00D43DDC" w:rsidRPr="002D20CA" w:rsidRDefault="00D43DDC" w:rsidP="00D43DDC">
            <w:pPr>
              <w:pStyle w:val="TableText"/>
              <w:tabs>
                <w:tab w:val="left" w:pos="3306"/>
              </w:tabs>
              <w:jc w:val="right"/>
              <w:rPr>
                <w:rFonts w:cs="Calibri"/>
                <w:b/>
                <w:bCs/>
              </w:rPr>
            </w:pPr>
          </w:p>
        </w:tc>
        <w:tc>
          <w:tcPr>
            <w:tcW w:w="598" w:type="pct"/>
            <w:tcBorders>
              <w:top w:val="nil"/>
              <w:left w:val="nil"/>
              <w:bottom w:val="nil"/>
              <w:right w:val="nil"/>
            </w:tcBorders>
            <w:vAlign w:val="bottom"/>
          </w:tcPr>
          <w:p w14:paraId="6AB0F137" w14:textId="77777777" w:rsidR="00D43DDC" w:rsidRPr="002D20CA" w:rsidRDefault="00D43DDC" w:rsidP="00D43DDC">
            <w:pPr>
              <w:pStyle w:val="TableText"/>
              <w:tabs>
                <w:tab w:val="left" w:pos="3306"/>
              </w:tabs>
              <w:jc w:val="right"/>
              <w:rPr>
                <w:rFonts w:cs="Calibri"/>
                <w:b/>
                <w:bCs/>
              </w:rPr>
            </w:pPr>
          </w:p>
        </w:tc>
      </w:tr>
      <w:tr w:rsidR="00D43DDC" w:rsidRPr="00CF7E1B" w14:paraId="59F873B8"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DFC45B4"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620AEE31" w14:textId="77777777" w:rsidR="00D43DDC" w:rsidRPr="002D20CA" w:rsidRDefault="00D43DDC" w:rsidP="00D43DDC">
            <w:pPr>
              <w:pStyle w:val="TableText"/>
              <w:tabs>
                <w:tab w:val="left" w:pos="3306"/>
              </w:tabs>
              <w:rPr>
                <w:rFonts w:cs="Calibri"/>
              </w:rPr>
            </w:pPr>
            <w:r w:rsidRPr="002D20CA">
              <w:rPr>
                <w:rFonts w:cs="Calibri"/>
              </w:rPr>
              <w:t>Annual Leave</w:t>
            </w:r>
          </w:p>
        </w:tc>
        <w:tc>
          <w:tcPr>
            <w:tcW w:w="734" w:type="pct"/>
            <w:gridSpan w:val="2"/>
            <w:tcBorders>
              <w:top w:val="nil"/>
              <w:left w:val="nil"/>
              <w:bottom w:val="nil"/>
              <w:right w:val="nil"/>
            </w:tcBorders>
            <w:vAlign w:val="bottom"/>
          </w:tcPr>
          <w:p w14:paraId="5860CBE7" w14:textId="08351EB5"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147B51A9" w14:textId="7909CE1D" w:rsidR="00D43DDC" w:rsidRPr="002D20CA" w:rsidRDefault="00D43DDC" w:rsidP="00D43DDC">
            <w:pPr>
              <w:pStyle w:val="TableText"/>
              <w:tabs>
                <w:tab w:val="left" w:pos="3306"/>
              </w:tabs>
              <w:jc w:val="right"/>
              <w:rPr>
                <w:rFonts w:cs="Calibri"/>
              </w:rPr>
            </w:pPr>
          </w:p>
        </w:tc>
      </w:tr>
      <w:tr w:rsidR="00D43DDC" w:rsidRPr="00CF7E1B" w14:paraId="6D3C78A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B7C43F2"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5947562E" w14:textId="77777777" w:rsidR="00D43DDC" w:rsidRPr="002D20CA" w:rsidRDefault="00D43DDC" w:rsidP="00D43DDC">
            <w:pPr>
              <w:pStyle w:val="TableText"/>
              <w:tabs>
                <w:tab w:val="left" w:pos="3306"/>
              </w:tabs>
              <w:rPr>
                <w:rFonts w:cs="Calibri"/>
              </w:rPr>
            </w:pPr>
            <w:r w:rsidRPr="002D20CA">
              <w:rPr>
                <w:rFonts w:cs="Calibri"/>
              </w:rPr>
              <w:t>Long Service Leave</w:t>
            </w:r>
          </w:p>
        </w:tc>
        <w:tc>
          <w:tcPr>
            <w:tcW w:w="734" w:type="pct"/>
            <w:gridSpan w:val="2"/>
            <w:tcBorders>
              <w:top w:val="nil"/>
              <w:left w:val="nil"/>
              <w:bottom w:val="nil"/>
              <w:right w:val="nil"/>
            </w:tcBorders>
            <w:vAlign w:val="bottom"/>
          </w:tcPr>
          <w:p w14:paraId="20C2168D" w14:textId="6C412389"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50E7F205" w14:textId="78E7B614" w:rsidR="00D43DDC" w:rsidRPr="002D20CA" w:rsidRDefault="00D43DDC" w:rsidP="00D43DDC">
            <w:pPr>
              <w:pStyle w:val="TableText"/>
              <w:tabs>
                <w:tab w:val="left" w:pos="3306"/>
              </w:tabs>
              <w:jc w:val="right"/>
              <w:rPr>
                <w:rFonts w:cs="Calibri"/>
              </w:rPr>
            </w:pPr>
          </w:p>
        </w:tc>
      </w:tr>
      <w:tr w:rsidR="00D43DDC" w:rsidRPr="00CF7E1B" w14:paraId="03DADC3D"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3ED08B7"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777425ED" w14:textId="77777777" w:rsidR="00D43DDC" w:rsidRPr="002D20CA" w:rsidRDefault="00D43DDC" w:rsidP="00D43DDC">
            <w:pPr>
              <w:pStyle w:val="TableText"/>
              <w:tabs>
                <w:tab w:val="left" w:pos="3306"/>
              </w:tabs>
              <w:rPr>
                <w:rFonts w:cs="Calibri"/>
              </w:rPr>
            </w:pPr>
            <w:r w:rsidRPr="002D20CA">
              <w:rPr>
                <w:rFonts w:cs="Calibri"/>
              </w:rPr>
              <w:t>Accrued Salaries</w:t>
            </w:r>
          </w:p>
        </w:tc>
        <w:tc>
          <w:tcPr>
            <w:tcW w:w="734" w:type="pct"/>
            <w:gridSpan w:val="2"/>
            <w:tcBorders>
              <w:top w:val="nil"/>
              <w:left w:val="nil"/>
              <w:bottom w:val="nil"/>
              <w:right w:val="nil"/>
            </w:tcBorders>
            <w:vAlign w:val="bottom"/>
          </w:tcPr>
          <w:p w14:paraId="3DDFDFF2" w14:textId="2085C950"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509F21A7" w14:textId="19FD2BCB" w:rsidR="00D43DDC" w:rsidRPr="002D20CA" w:rsidRDefault="00D43DDC" w:rsidP="00D43DDC">
            <w:pPr>
              <w:pStyle w:val="TableText"/>
              <w:tabs>
                <w:tab w:val="left" w:pos="3306"/>
              </w:tabs>
              <w:jc w:val="right"/>
              <w:rPr>
                <w:rFonts w:cs="Calibri"/>
              </w:rPr>
            </w:pPr>
          </w:p>
        </w:tc>
      </w:tr>
      <w:tr w:rsidR="00D43DDC" w:rsidRPr="00CF7E1B" w14:paraId="6B3AECD1"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E3FB818"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6D8669CD" w14:textId="77777777" w:rsidR="00D43DDC" w:rsidRPr="002D20CA" w:rsidRDefault="00D43DDC" w:rsidP="00D43DDC">
            <w:pPr>
              <w:pStyle w:val="TableText"/>
              <w:tabs>
                <w:tab w:val="left" w:pos="3306"/>
              </w:tabs>
              <w:rPr>
                <w:rFonts w:cs="Calibri"/>
              </w:rPr>
            </w:pPr>
            <w:r w:rsidRPr="002D20CA">
              <w:rPr>
                <w:rFonts w:cs="Calibri"/>
              </w:rPr>
              <w:t>Termination Benefits due to Restructure</w:t>
            </w:r>
          </w:p>
        </w:tc>
        <w:tc>
          <w:tcPr>
            <w:tcW w:w="734" w:type="pct"/>
            <w:gridSpan w:val="2"/>
            <w:tcBorders>
              <w:top w:val="nil"/>
              <w:left w:val="nil"/>
              <w:bottom w:val="nil"/>
              <w:right w:val="nil"/>
            </w:tcBorders>
            <w:vAlign w:val="bottom"/>
          </w:tcPr>
          <w:p w14:paraId="5895CBB1" w14:textId="66833472"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05B426A3" w14:textId="4788CF3D" w:rsidR="00D43DDC" w:rsidRPr="002D20CA" w:rsidRDefault="00D43DDC" w:rsidP="00D43DDC">
            <w:pPr>
              <w:pStyle w:val="TableText"/>
              <w:tabs>
                <w:tab w:val="left" w:pos="3306"/>
              </w:tabs>
              <w:jc w:val="right"/>
              <w:rPr>
                <w:rFonts w:cs="Calibri"/>
              </w:rPr>
            </w:pPr>
          </w:p>
        </w:tc>
      </w:tr>
      <w:tr w:rsidR="00D43DDC" w:rsidRPr="00CF7E1B" w14:paraId="08D2B26A"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E9BF135"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4F814BA7" w14:textId="77777777" w:rsidR="00D43DDC" w:rsidRPr="002D20CA" w:rsidRDefault="00D43DDC" w:rsidP="00D43DDC">
            <w:pPr>
              <w:pStyle w:val="TableText"/>
              <w:tabs>
                <w:tab w:val="left" w:pos="3306"/>
              </w:tabs>
              <w:rPr>
                <w:rFonts w:cs="Calibri"/>
              </w:rPr>
            </w:pPr>
            <w:r w:rsidRPr="002D20CA">
              <w:rPr>
                <w:rFonts w:cs="Calibri"/>
              </w:rPr>
              <w:t>Other Benefits</w:t>
            </w:r>
          </w:p>
        </w:tc>
        <w:tc>
          <w:tcPr>
            <w:tcW w:w="734" w:type="pct"/>
            <w:gridSpan w:val="2"/>
            <w:tcBorders>
              <w:top w:val="nil"/>
              <w:left w:val="nil"/>
              <w:bottom w:val="single" w:sz="4" w:space="0" w:color="auto"/>
              <w:right w:val="nil"/>
            </w:tcBorders>
            <w:vAlign w:val="bottom"/>
          </w:tcPr>
          <w:p w14:paraId="2E4037DC" w14:textId="0DAA0CD9" w:rsidR="00D43DDC" w:rsidRPr="002D20CA" w:rsidRDefault="00D43DDC" w:rsidP="00D43DDC">
            <w:pPr>
              <w:pStyle w:val="TableText"/>
              <w:tabs>
                <w:tab w:val="left" w:pos="3306"/>
              </w:tabs>
              <w:jc w:val="right"/>
              <w:rPr>
                <w:rFonts w:cs="Calibri"/>
              </w:rPr>
            </w:pPr>
          </w:p>
        </w:tc>
        <w:tc>
          <w:tcPr>
            <w:tcW w:w="598" w:type="pct"/>
            <w:tcBorders>
              <w:top w:val="nil"/>
              <w:left w:val="nil"/>
              <w:bottom w:val="single" w:sz="4" w:space="0" w:color="auto"/>
              <w:right w:val="nil"/>
            </w:tcBorders>
            <w:vAlign w:val="bottom"/>
          </w:tcPr>
          <w:p w14:paraId="70ABC5DD" w14:textId="527FD8B9" w:rsidR="00D43DDC" w:rsidRPr="002D20CA" w:rsidRDefault="00D43DDC" w:rsidP="00D43DDC">
            <w:pPr>
              <w:pStyle w:val="TableText"/>
              <w:tabs>
                <w:tab w:val="left" w:pos="3306"/>
              </w:tabs>
              <w:jc w:val="right"/>
              <w:rPr>
                <w:rFonts w:cs="Calibri"/>
              </w:rPr>
            </w:pPr>
          </w:p>
        </w:tc>
      </w:tr>
      <w:tr w:rsidR="00D43DDC" w:rsidRPr="00CF7E1B" w14:paraId="5A16F7C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6133B31"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7AD2807E" w14:textId="77777777" w:rsidR="00D43DDC" w:rsidRPr="002D20CA" w:rsidRDefault="00D43DDC" w:rsidP="00D43DDC">
            <w:pPr>
              <w:pStyle w:val="TableText"/>
              <w:tabs>
                <w:tab w:val="left" w:pos="3306"/>
              </w:tabs>
              <w:rPr>
                <w:rFonts w:cs="Calibri"/>
                <w:b/>
                <w:bCs/>
              </w:rPr>
            </w:pPr>
            <w:r w:rsidRPr="002D20CA">
              <w:rPr>
                <w:rFonts w:cs="Calibri"/>
                <w:b/>
                <w:bCs/>
              </w:rPr>
              <w:t>Total Employee Benefits Payable within 12 Months</w:t>
            </w:r>
          </w:p>
        </w:tc>
        <w:tc>
          <w:tcPr>
            <w:tcW w:w="734" w:type="pct"/>
            <w:gridSpan w:val="2"/>
            <w:tcBorders>
              <w:top w:val="single" w:sz="4" w:space="0" w:color="auto"/>
              <w:left w:val="nil"/>
              <w:bottom w:val="single" w:sz="4" w:space="0" w:color="auto"/>
              <w:right w:val="nil"/>
            </w:tcBorders>
            <w:vAlign w:val="bottom"/>
          </w:tcPr>
          <w:p w14:paraId="78985CBA" w14:textId="6B0D02AB" w:rsidR="00D43DDC" w:rsidRPr="002D20CA" w:rsidRDefault="00D43DDC" w:rsidP="00D43DDC">
            <w:pPr>
              <w:pStyle w:val="TableText"/>
              <w:tabs>
                <w:tab w:val="left" w:pos="3306"/>
              </w:tabs>
              <w:jc w:val="right"/>
              <w:rPr>
                <w:rFonts w:cs="Calibri"/>
                <w:b/>
                <w:bCs/>
              </w:rPr>
            </w:pPr>
          </w:p>
        </w:tc>
        <w:tc>
          <w:tcPr>
            <w:tcW w:w="598" w:type="pct"/>
            <w:tcBorders>
              <w:top w:val="single" w:sz="4" w:space="0" w:color="auto"/>
              <w:left w:val="nil"/>
              <w:bottom w:val="single" w:sz="4" w:space="0" w:color="auto"/>
              <w:right w:val="nil"/>
            </w:tcBorders>
            <w:vAlign w:val="bottom"/>
          </w:tcPr>
          <w:p w14:paraId="082A4EA0" w14:textId="4FBB99ED" w:rsidR="00D43DDC" w:rsidRPr="002D20CA" w:rsidRDefault="00D43DDC" w:rsidP="00D43DDC">
            <w:pPr>
              <w:pStyle w:val="TableText"/>
              <w:tabs>
                <w:tab w:val="left" w:pos="3306"/>
              </w:tabs>
              <w:jc w:val="right"/>
              <w:rPr>
                <w:rFonts w:cs="Calibri"/>
                <w:b/>
                <w:bCs/>
              </w:rPr>
            </w:pPr>
          </w:p>
        </w:tc>
      </w:tr>
      <w:tr w:rsidR="00D43DDC" w:rsidRPr="00CF7E1B" w14:paraId="08DE175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E2BD10D"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31FFB810" w14:textId="77777777" w:rsidR="00D43DDC" w:rsidRPr="002D20CA" w:rsidRDefault="00D43DDC" w:rsidP="00D43DDC">
            <w:pPr>
              <w:pStyle w:val="TableText"/>
              <w:tabs>
                <w:tab w:val="left" w:pos="3306"/>
              </w:tabs>
              <w:rPr>
                <w:rFonts w:cs="Calibri"/>
                <w:b/>
                <w:bCs/>
              </w:rPr>
            </w:pPr>
          </w:p>
        </w:tc>
        <w:tc>
          <w:tcPr>
            <w:tcW w:w="734" w:type="pct"/>
            <w:gridSpan w:val="2"/>
            <w:tcBorders>
              <w:top w:val="single" w:sz="4" w:space="0" w:color="auto"/>
              <w:left w:val="nil"/>
              <w:bottom w:val="nil"/>
              <w:right w:val="nil"/>
            </w:tcBorders>
            <w:vAlign w:val="bottom"/>
          </w:tcPr>
          <w:p w14:paraId="3A451D92" w14:textId="77777777" w:rsidR="00D43DDC" w:rsidRPr="002D20CA" w:rsidRDefault="00D43DDC" w:rsidP="00D43DDC">
            <w:pPr>
              <w:pStyle w:val="TableText"/>
              <w:tabs>
                <w:tab w:val="left" w:pos="3306"/>
              </w:tabs>
              <w:jc w:val="right"/>
              <w:rPr>
                <w:rFonts w:cs="Calibri"/>
                <w:b/>
                <w:bCs/>
              </w:rPr>
            </w:pPr>
          </w:p>
        </w:tc>
        <w:tc>
          <w:tcPr>
            <w:tcW w:w="598" w:type="pct"/>
            <w:tcBorders>
              <w:top w:val="single" w:sz="4" w:space="0" w:color="auto"/>
              <w:left w:val="nil"/>
              <w:bottom w:val="nil"/>
              <w:right w:val="nil"/>
            </w:tcBorders>
            <w:vAlign w:val="bottom"/>
          </w:tcPr>
          <w:p w14:paraId="088C4920" w14:textId="77777777" w:rsidR="00D43DDC" w:rsidRPr="002D20CA" w:rsidRDefault="00D43DDC" w:rsidP="00D43DDC">
            <w:pPr>
              <w:pStyle w:val="TableText"/>
              <w:tabs>
                <w:tab w:val="left" w:pos="3306"/>
              </w:tabs>
              <w:jc w:val="right"/>
              <w:rPr>
                <w:rFonts w:cs="Calibri"/>
                <w:b/>
                <w:bCs/>
              </w:rPr>
            </w:pPr>
          </w:p>
        </w:tc>
      </w:tr>
      <w:tr w:rsidR="00D43DDC" w:rsidRPr="00CF7E1B" w14:paraId="3040E3E7"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B32E9E1" w14:textId="77777777" w:rsidR="00D43DDC" w:rsidRPr="002D20CA" w:rsidRDefault="00D43DDC" w:rsidP="00D43DDC">
            <w:pPr>
              <w:pStyle w:val="TableReference"/>
              <w:tabs>
                <w:tab w:val="left" w:pos="3306"/>
              </w:tabs>
              <w:spacing w:before="40"/>
              <w:rPr>
                <w:rFonts w:cs="Calibri"/>
                <w:color w:val="7030A0"/>
                <w:sz w:val="14"/>
              </w:rPr>
            </w:pPr>
            <w:r w:rsidRPr="002D20CA">
              <w:rPr>
                <w:rFonts w:cs="Calibri"/>
                <w:color w:val="7030A0"/>
                <w:sz w:val="14"/>
              </w:rPr>
              <w:t>AASB 101.61(b)</w:t>
            </w:r>
          </w:p>
        </w:tc>
        <w:tc>
          <w:tcPr>
            <w:tcW w:w="2862" w:type="pct"/>
            <w:tcBorders>
              <w:top w:val="nil"/>
              <w:left w:val="single" w:sz="2" w:space="0" w:color="auto"/>
              <w:bottom w:val="nil"/>
              <w:right w:val="nil"/>
            </w:tcBorders>
            <w:vAlign w:val="bottom"/>
          </w:tcPr>
          <w:p w14:paraId="7B43452F" w14:textId="77777777" w:rsidR="00D43DDC" w:rsidRPr="002D20CA" w:rsidRDefault="00D43DDC" w:rsidP="00D43DDC">
            <w:pPr>
              <w:pStyle w:val="TableText"/>
              <w:tabs>
                <w:tab w:val="left" w:pos="3306"/>
              </w:tabs>
              <w:rPr>
                <w:rFonts w:cs="Calibri"/>
                <w:b/>
                <w:bCs/>
              </w:rPr>
            </w:pPr>
            <w:r w:rsidRPr="002D20CA">
              <w:rPr>
                <w:rFonts w:cs="Calibri"/>
                <w:b/>
                <w:bCs/>
              </w:rPr>
              <w:t>Estimated Amount Payable after 12 Months</w:t>
            </w:r>
          </w:p>
        </w:tc>
        <w:tc>
          <w:tcPr>
            <w:tcW w:w="734" w:type="pct"/>
            <w:gridSpan w:val="2"/>
            <w:tcBorders>
              <w:top w:val="nil"/>
              <w:left w:val="nil"/>
              <w:bottom w:val="nil"/>
              <w:right w:val="nil"/>
            </w:tcBorders>
            <w:vAlign w:val="bottom"/>
          </w:tcPr>
          <w:p w14:paraId="5EC22438" w14:textId="77777777" w:rsidR="00D43DDC" w:rsidRPr="002D20CA" w:rsidRDefault="00D43DDC" w:rsidP="00D43DDC">
            <w:pPr>
              <w:pStyle w:val="TableText"/>
              <w:tabs>
                <w:tab w:val="left" w:pos="3306"/>
              </w:tabs>
              <w:jc w:val="right"/>
              <w:rPr>
                <w:rFonts w:cs="Calibri"/>
                <w:b/>
                <w:bCs/>
              </w:rPr>
            </w:pPr>
          </w:p>
        </w:tc>
        <w:tc>
          <w:tcPr>
            <w:tcW w:w="598" w:type="pct"/>
            <w:tcBorders>
              <w:top w:val="nil"/>
              <w:left w:val="nil"/>
              <w:bottom w:val="nil"/>
              <w:right w:val="nil"/>
            </w:tcBorders>
            <w:vAlign w:val="bottom"/>
          </w:tcPr>
          <w:p w14:paraId="58F453D4" w14:textId="77777777" w:rsidR="00D43DDC" w:rsidRPr="002D20CA" w:rsidRDefault="00D43DDC" w:rsidP="00D43DDC">
            <w:pPr>
              <w:pStyle w:val="TableText"/>
              <w:tabs>
                <w:tab w:val="left" w:pos="3306"/>
              </w:tabs>
              <w:jc w:val="right"/>
              <w:rPr>
                <w:rFonts w:cs="Calibri"/>
                <w:b/>
                <w:bCs/>
              </w:rPr>
            </w:pPr>
          </w:p>
        </w:tc>
      </w:tr>
      <w:tr w:rsidR="00D43DDC" w:rsidRPr="00CF7E1B" w14:paraId="18A8C23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473E05F"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2C7372FB" w14:textId="77777777" w:rsidR="00D43DDC" w:rsidRPr="002D20CA" w:rsidRDefault="00D43DDC" w:rsidP="00D43DDC">
            <w:pPr>
              <w:pStyle w:val="TableText"/>
              <w:tabs>
                <w:tab w:val="left" w:pos="3306"/>
              </w:tabs>
              <w:rPr>
                <w:rFonts w:cs="Calibri"/>
              </w:rPr>
            </w:pPr>
            <w:r w:rsidRPr="002D20CA">
              <w:rPr>
                <w:rFonts w:cs="Calibri"/>
              </w:rPr>
              <w:t>Long Service Leave</w:t>
            </w:r>
          </w:p>
        </w:tc>
        <w:tc>
          <w:tcPr>
            <w:tcW w:w="734" w:type="pct"/>
            <w:gridSpan w:val="2"/>
            <w:tcBorders>
              <w:top w:val="nil"/>
              <w:left w:val="nil"/>
              <w:bottom w:val="nil"/>
              <w:right w:val="nil"/>
            </w:tcBorders>
            <w:vAlign w:val="bottom"/>
          </w:tcPr>
          <w:p w14:paraId="640ED22F" w14:textId="592D5859"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27A24E76" w14:textId="6D2C57B3" w:rsidR="00D43DDC" w:rsidRPr="002D20CA" w:rsidRDefault="00D43DDC" w:rsidP="00D43DDC">
            <w:pPr>
              <w:pStyle w:val="TableText"/>
              <w:tabs>
                <w:tab w:val="left" w:pos="3306"/>
              </w:tabs>
              <w:jc w:val="right"/>
              <w:rPr>
                <w:rFonts w:cs="Calibri"/>
              </w:rPr>
            </w:pPr>
          </w:p>
        </w:tc>
      </w:tr>
      <w:tr w:rsidR="00D43DDC" w:rsidRPr="00CF7E1B" w14:paraId="1179BE20"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D304892"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605CDB89" w14:textId="77777777" w:rsidR="00D43DDC" w:rsidRPr="002D20CA" w:rsidRDefault="00D43DDC" w:rsidP="00D43DDC">
            <w:pPr>
              <w:pStyle w:val="TableText"/>
              <w:tabs>
                <w:tab w:val="left" w:pos="3306"/>
              </w:tabs>
              <w:rPr>
                <w:rFonts w:cs="Calibri"/>
              </w:rPr>
            </w:pPr>
            <w:r w:rsidRPr="002D20CA">
              <w:rPr>
                <w:rFonts w:cs="Calibri"/>
              </w:rPr>
              <w:t>Annual Leave</w:t>
            </w:r>
          </w:p>
        </w:tc>
        <w:tc>
          <w:tcPr>
            <w:tcW w:w="734" w:type="pct"/>
            <w:gridSpan w:val="2"/>
            <w:tcBorders>
              <w:top w:val="nil"/>
              <w:left w:val="nil"/>
              <w:bottom w:val="nil"/>
              <w:right w:val="nil"/>
            </w:tcBorders>
            <w:vAlign w:val="bottom"/>
          </w:tcPr>
          <w:p w14:paraId="655EF015" w14:textId="0198C000" w:rsidR="00D43DDC" w:rsidRPr="002D20CA"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062D4341" w14:textId="3BA344F2" w:rsidR="00D43DDC" w:rsidRPr="002D20CA" w:rsidRDefault="00D43DDC" w:rsidP="00D43DDC">
            <w:pPr>
              <w:pStyle w:val="TableText"/>
              <w:tabs>
                <w:tab w:val="left" w:pos="3306"/>
              </w:tabs>
              <w:jc w:val="right"/>
              <w:rPr>
                <w:rFonts w:cs="Calibri"/>
              </w:rPr>
            </w:pPr>
          </w:p>
        </w:tc>
      </w:tr>
      <w:tr w:rsidR="00D43DDC" w:rsidRPr="00CF7E1B" w14:paraId="338C53BE"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67F9D3B"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68BF9E79" w14:textId="77777777" w:rsidR="00D43DDC" w:rsidRPr="002D20CA" w:rsidRDefault="00D43DDC" w:rsidP="00D43DDC">
            <w:pPr>
              <w:pStyle w:val="TableText"/>
              <w:tabs>
                <w:tab w:val="left" w:pos="3306"/>
              </w:tabs>
              <w:rPr>
                <w:rFonts w:cs="Calibri"/>
              </w:rPr>
            </w:pPr>
            <w:r w:rsidRPr="002D20CA">
              <w:rPr>
                <w:rFonts w:cs="Calibri"/>
              </w:rPr>
              <w:t>Other Benefits</w:t>
            </w:r>
          </w:p>
        </w:tc>
        <w:tc>
          <w:tcPr>
            <w:tcW w:w="734" w:type="pct"/>
            <w:gridSpan w:val="2"/>
            <w:tcBorders>
              <w:top w:val="nil"/>
              <w:left w:val="nil"/>
              <w:bottom w:val="single" w:sz="4" w:space="0" w:color="auto"/>
              <w:right w:val="nil"/>
            </w:tcBorders>
            <w:vAlign w:val="bottom"/>
          </w:tcPr>
          <w:p w14:paraId="1A2F7116" w14:textId="167BB253" w:rsidR="00D43DDC" w:rsidRPr="002D20CA" w:rsidRDefault="00D43DDC" w:rsidP="00D43DDC">
            <w:pPr>
              <w:pStyle w:val="TableText"/>
              <w:tabs>
                <w:tab w:val="left" w:pos="3306"/>
              </w:tabs>
              <w:jc w:val="right"/>
              <w:rPr>
                <w:rFonts w:cs="Calibri"/>
              </w:rPr>
            </w:pPr>
          </w:p>
        </w:tc>
        <w:tc>
          <w:tcPr>
            <w:tcW w:w="598" w:type="pct"/>
            <w:tcBorders>
              <w:top w:val="nil"/>
              <w:left w:val="nil"/>
              <w:bottom w:val="single" w:sz="4" w:space="0" w:color="auto"/>
              <w:right w:val="nil"/>
            </w:tcBorders>
            <w:vAlign w:val="bottom"/>
          </w:tcPr>
          <w:p w14:paraId="29120667" w14:textId="5C0A696F" w:rsidR="00D43DDC" w:rsidRPr="002D20CA" w:rsidRDefault="00D43DDC" w:rsidP="00D43DDC">
            <w:pPr>
              <w:pStyle w:val="TableText"/>
              <w:tabs>
                <w:tab w:val="left" w:pos="3306"/>
              </w:tabs>
              <w:jc w:val="right"/>
              <w:rPr>
                <w:rFonts w:cs="Calibri"/>
              </w:rPr>
            </w:pPr>
          </w:p>
        </w:tc>
      </w:tr>
      <w:tr w:rsidR="00D43DDC" w:rsidRPr="00CF7E1B" w14:paraId="017EF375"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9756DF3"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1907D986" w14:textId="77777777" w:rsidR="00D43DDC" w:rsidRPr="002D20CA" w:rsidRDefault="00D43DDC" w:rsidP="00D43DDC">
            <w:pPr>
              <w:pStyle w:val="TableText"/>
              <w:tabs>
                <w:tab w:val="left" w:pos="3306"/>
              </w:tabs>
              <w:rPr>
                <w:rFonts w:cs="Calibri"/>
                <w:b/>
                <w:bCs/>
              </w:rPr>
            </w:pPr>
            <w:r w:rsidRPr="002D20CA">
              <w:rPr>
                <w:rFonts w:cs="Calibri"/>
                <w:b/>
                <w:bCs/>
              </w:rPr>
              <w:t>Total Employee Benefits Payable after 12 Months</w:t>
            </w:r>
          </w:p>
        </w:tc>
        <w:tc>
          <w:tcPr>
            <w:tcW w:w="734" w:type="pct"/>
            <w:gridSpan w:val="2"/>
            <w:tcBorders>
              <w:top w:val="single" w:sz="4" w:space="0" w:color="auto"/>
              <w:left w:val="nil"/>
              <w:bottom w:val="single" w:sz="4" w:space="0" w:color="auto"/>
              <w:right w:val="nil"/>
            </w:tcBorders>
            <w:vAlign w:val="bottom"/>
          </w:tcPr>
          <w:p w14:paraId="5D309FC7" w14:textId="79EC9E06" w:rsidR="00D43DDC" w:rsidRPr="002D20CA" w:rsidRDefault="00D43DDC" w:rsidP="00D43DDC">
            <w:pPr>
              <w:pStyle w:val="TableText"/>
              <w:tabs>
                <w:tab w:val="left" w:pos="3306"/>
              </w:tabs>
              <w:jc w:val="right"/>
              <w:rPr>
                <w:rFonts w:cs="Calibri"/>
                <w:b/>
                <w:bCs/>
              </w:rPr>
            </w:pPr>
          </w:p>
        </w:tc>
        <w:tc>
          <w:tcPr>
            <w:tcW w:w="598" w:type="pct"/>
            <w:tcBorders>
              <w:top w:val="single" w:sz="4" w:space="0" w:color="auto"/>
              <w:left w:val="nil"/>
              <w:bottom w:val="single" w:sz="4" w:space="0" w:color="auto"/>
              <w:right w:val="nil"/>
            </w:tcBorders>
            <w:vAlign w:val="bottom"/>
          </w:tcPr>
          <w:p w14:paraId="2D6E74AE" w14:textId="2274E7C8" w:rsidR="00D43DDC" w:rsidRPr="002D20CA" w:rsidRDefault="00D43DDC" w:rsidP="00D43DDC">
            <w:pPr>
              <w:pStyle w:val="TableText"/>
              <w:tabs>
                <w:tab w:val="left" w:pos="3306"/>
              </w:tabs>
              <w:jc w:val="right"/>
              <w:rPr>
                <w:rFonts w:cs="Calibri"/>
                <w:b/>
                <w:bCs/>
              </w:rPr>
            </w:pPr>
          </w:p>
        </w:tc>
      </w:tr>
      <w:tr w:rsidR="00D43DDC" w:rsidRPr="00CF7E1B" w14:paraId="2CE210A5"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9BB04BB" w14:textId="77777777" w:rsidR="00D43DDC" w:rsidRPr="002D20CA" w:rsidRDefault="00D43DDC" w:rsidP="00D43DDC">
            <w:pPr>
              <w:pStyle w:val="TableReference"/>
              <w:tabs>
                <w:tab w:val="left" w:pos="3306"/>
              </w:tabs>
              <w:spacing w:before="40"/>
              <w:rPr>
                <w:rFonts w:cs="Calibri"/>
                <w:color w:val="7030A0"/>
                <w:sz w:val="14"/>
              </w:rPr>
            </w:pPr>
          </w:p>
        </w:tc>
        <w:tc>
          <w:tcPr>
            <w:tcW w:w="2862" w:type="pct"/>
            <w:tcBorders>
              <w:top w:val="nil"/>
              <w:left w:val="single" w:sz="2" w:space="0" w:color="auto"/>
              <w:bottom w:val="nil"/>
              <w:right w:val="nil"/>
            </w:tcBorders>
            <w:vAlign w:val="bottom"/>
          </w:tcPr>
          <w:p w14:paraId="76B154AB" w14:textId="77777777" w:rsidR="00D43DDC" w:rsidRPr="002D20CA" w:rsidRDefault="00D43DDC" w:rsidP="00D43DDC">
            <w:pPr>
              <w:pStyle w:val="TableText"/>
              <w:tabs>
                <w:tab w:val="left" w:pos="3306"/>
              </w:tabs>
              <w:rPr>
                <w:rFonts w:cs="Calibri"/>
                <w:b/>
                <w:bCs/>
              </w:rPr>
            </w:pPr>
            <w:r w:rsidRPr="002D20CA">
              <w:rPr>
                <w:rFonts w:cs="Calibri"/>
                <w:b/>
                <w:bCs/>
              </w:rPr>
              <w:t>Total Employee Benefits</w:t>
            </w:r>
          </w:p>
        </w:tc>
        <w:tc>
          <w:tcPr>
            <w:tcW w:w="734" w:type="pct"/>
            <w:gridSpan w:val="2"/>
            <w:tcBorders>
              <w:top w:val="single" w:sz="4" w:space="0" w:color="auto"/>
              <w:left w:val="nil"/>
              <w:bottom w:val="double" w:sz="4" w:space="0" w:color="auto"/>
              <w:right w:val="nil"/>
            </w:tcBorders>
            <w:vAlign w:val="bottom"/>
          </w:tcPr>
          <w:p w14:paraId="0C0A230E" w14:textId="49D75EA9" w:rsidR="00D43DDC" w:rsidRPr="002D20CA" w:rsidRDefault="00D43DDC" w:rsidP="00D43DDC">
            <w:pPr>
              <w:pStyle w:val="TableText"/>
              <w:tabs>
                <w:tab w:val="left" w:pos="3306"/>
              </w:tabs>
              <w:jc w:val="right"/>
              <w:rPr>
                <w:rFonts w:cs="Calibri"/>
                <w:b/>
                <w:bCs/>
              </w:rPr>
            </w:pPr>
          </w:p>
        </w:tc>
        <w:tc>
          <w:tcPr>
            <w:tcW w:w="598" w:type="pct"/>
            <w:tcBorders>
              <w:top w:val="single" w:sz="4" w:space="0" w:color="auto"/>
              <w:left w:val="nil"/>
              <w:bottom w:val="double" w:sz="4" w:space="0" w:color="auto"/>
              <w:right w:val="nil"/>
            </w:tcBorders>
            <w:vAlign w:val="bottom"/>
          </w:tcPr>
          <w:p w14:paraId="7BEF782B" w14:textId="05773921" w:rsidR="00D43DDC" w:rsidRPr="002D20CA" w:rsidRDefault="00D43DDC" w:rsidP="00D43DDC">
            <w:pPr>
              <w:pStyle w:val="TableText"/>
              <w:tabs>
                <w:tab w:val="left" w:pos="3306"/>
              </w:tabs>
              <w:jc w:val="right"/>
              <w:rPr>
                <w:rFonts w:cs="Calibri"/>
                <w:b/>
                <w:bCs/>
              </w:rPr>
            </w:pPr>
          </w:p>
        </w:tc>
      </w:tr>
      <w:tr w:rsidR="00D43DDC" w:rsidRPr="00CF7E1B" w14:paraId="53DA9B1A"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7A549B4"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vAlign w:val="bottom"/>
          </w:tcPr>
          <w:p w14:paraId="1B096E56" w14:textId="77777777" w:rsidR="00D43DDC" w:rsidRPr="002D20CA" w:rsidRDefault="00D43DDC" w:rsidP="00D43DDC">
            <w:pPr>
              <w:pStyle w:val="TableText"/>
              <w:tabs>
                <w:tab w:val="left" w:pos="3306"/>
              </w:tabs>
              <w:jc w:val="both"/>
              <w:rPr>
                <w:rFonts w:cs="Calibri"/>
              </w:rPr>
            </w:pPr>
          </w:p>
        </w:tc>
      </w:tr>
      <w:tr w:rsidR="00D43DDC" w:rsidRPr="00CF7E1B" w14:paraId="4C45E220"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47D27B0"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vAlign w:val="bottom"/>
          </w:tcPr>
          <w:p w14:paraId="50684C59" w14:textId="4ABF67C6" w:rsidR="00D43DDC" w:rsidRPr="002D20CA" w:rsidRDefault="00D43DDC" w:rsidP="00D43DDC">
            <w:pPr>
              <w:pStyle w:val="TableText"/>
              <w:tabs>
                <w:tab w:val="left" w:pos="3306"/>
              </w:tabs>
              <w:spacing w:after="120"/>
              <w:jc w:val="both"/>
              <w:rPr>
                <w:rFonts w:cs="Calibri"/>
              </w:rPr>
            </w:pPr>
            <w:r w:rsidRPr="002D20CA">
              <w:rPr>
                <w:rFonts w:cs="Calibri"/>
              </w:rPr>
              <w:t>As at 30 June 202</w:t>
            </w:r>
            <w:r>
              <w:rPr>
                <w:rFonts w:cs="Calibri"/>
              </w:rPr>
              <w:t>3</w:t>
            </w:r>
            <w:r w:rsidRPr="002D20CA">
              <w:rPr>
                <w:rFonts w:cs="Calibri"/>
              </w:rPr>
              <w:t xml:space="preserve"> the Agency employed 947 full time equivalent (FTE) staff.</w:t>
            </w:r>
            <w:r>
              <w:rPr>
                <w:rFonts w:cs="Calibri"/>
              </w:rPr>
              <w:t xml:space="preserve"> </w:t>
            </w:r>
            <w:r w:rsidRPr="002D20CA">
              <w:rPr>
                <w:rFonts w:cs="Calibri"/>
              </w:rPr>
              <w:t xml:space="preserve">There were 927 FTE staff </w:t>
            </w:r>
            <w:r w:rsidRPr="00FE0E6D">
              <w:rPr>
                <w:rFonts w:cs="Calibri"/>
              </w:rPr>
              <w:t>at 30 June 2022.</w:t>
            </w:r>
          </w:p>
        </w:tc>
      </w:tr>
      <w:tr w:rsidR="00D43DDC" w:rsidRPr="00CF7E1B" w14:paraId="79A863DE" w14:textId="77777777" w:rsidTr="00D43DDC">
        <w:trPr>
          <w:gridAfter w:val="2"/>
          <w:wAfter w:w="69" w:type="pct"/>
          <w:cantSplit/>
          <w:trHeight w:val="404"/>
        </w:trPr>
        <w:tc>
          <w:tcPr>
            <w:tcW w:w="737" w:type="pct"/>
            <w:tcBorders>
              <w:top w:val="nil"/>
              <w:left w:val="single" w:sz="2" w:space="0" w:color="auto"/>
              <w:bottom w:val="nil"/>
              <w:right w:val="single" w:sz="2" w:space="0" w:color="auto"/>
            </w:tcBorders>
          </w:tcPr>
          <w:p w14:paraId="3000BFC4"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vAlign w:val="center"/>
          </w:tcPr>
          <w:p w14:paraId="27C98963" w14:textId="259AC5C4" w:rsidR="00D43DDC" w:rsidRPr="002D20CA" w:rsidRDefault="00D43DDC" w:rsidP="00D43DDC">
            <w:pPr>
              <w:pStyle w:val="TableText"/>
              <w:tabs>
                <w:tab w:val="left" w:pos="3306"/>
              </w:tabs>
              <w:spacing w:before="0" w:after="120"/>
              <w:ind w:left="176" w:hanging="176"/>
              <w:jc w:val="both"/>
              <w:rPr>
                <w:rFonts w:cs="Calibri"/>
                <w:highlight w:val="cyan"/>
              </w:rPr>
            </w:pPr>
            <w:r w:rsidRPr="002D20CA">
              <w:rPr>
                <w:rFonts w:cs="Calibri"/>
              </w:rPr>
              <w:t xml:space="preserve">a) The increase in Long Service Leave liability of $xxx is due to the present value percentage changing from </w:t>
            </w:r>
            <w:r w:rsidRPr="00984C72">
              <w:rPr>
                <w:rFonts w:cs="Calibri"/>
                <w:color w:val="FF0000"/>
              </w:rPr>
              <w:t xml:space="preserve">95.3% </w:t>
            </w:r>
            <w:r w:rsidRPr="00D92794">
              <w:rPr>
                <w:rFonts w:cs="Calibri"/>
                <w:strike/>
                <w:color w:val="FF0000"/>
              </w:rPr>
              <w:t>108.7%</w:t>
            </w:r>
            <w:r w:rsidRPr="002D20CA">
              <w:rPr>
                <w:rFonts w:cs="Calibri"/>
              </w:rPr>
              <w:t xml:space="preserve"> to [XX%*].</w:t>
            </w:r>
            <w:r>
              <w:rPr>
                <w:rFonts w:cs="Calibri"/>
              </w:rPr>
              <w:t xml:space="preserve"> </w:t>
            </w:r>
            <w:r w:rsidRPr="002D20CA">
              <w:rPr>
                <w:rFonts w:cs="Calibri"/>
              </w:rPr>
              <w:t>*Percentage to be provided in early July each year.</w:t>
            </w:r>
          </w:p>
        </w:tc>
      </w:tr>
      <w:tr w:rsidR="00D43DDC" w:rsidRPr="00CF7E1B" w14:paraId="5623A5C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C0C31BC" w14:textId="77777777" w:rsidR="00D43DDC" w:rsidRPr="002D20CA" w:rsidRDefault="00D43DDC" w:rsidP="00D43DDC">
            <w:pPr>
              <w:pStyle w:val="TableReference"/>
              <w:tabs>
                <w:tab w:val="left" w:pos="3306"/>
              </w:tabs>
              <w:spacing w:before="40"/>
              <w:rPr>
                <w:rFonts w:cs="Calibri"/>
                <w:color w:val="7030A0"/>
                <w:sz w:val="16"/>
                <w:szCs w:val="16"/>
              </w:rPr>
            </w:pPr>
          </w:p>
        </w:tc>
        <w:tc>
          <w:tcPr>
            <w:tcW w:w="4194" w:type="pct"/>
            <w:gridSpan w:val="4"/>
            <w:tcBorders>
              <w:top w:val="nil"/>
              <w:left w:val="single" w:sz="2" w:space="0" w:color="auto"/>
              <w:bottom w:val="nil"/>
              <w:right w:val="nil"/>
            </w:tcBorders>
            <w:vAlign w:val="bottom"/>
          </w:tcPr>
          <w:p w14:paraId="0ADCDD54" w14:textId="47B8C518" w:rsidR="00D43DDC" w:rsidRPr="002D20CA" w:rsidRDefault="00D43DDC" w:rsidP="00D43DDC">
            <w:pPr>
              <w:pStyle w:val="TableText"/>
              <w:tabs>
                <w:tab w:val="left" w:pos="3306"/>
              </w:tabs>
              <w:spacing w:before="0" w:after="120"/>
              <w:ind w:left="176" w:hanging="176"/>
              <w:jc w:val="both"/>
              <w:rPr>
                <w:rFonts w:cs="Calibri"/>
                <w:b/>
                <w:bCs/>
              </w:rPr>
            </w:pPr>
            <w:r w:rsidRPr="002D20CA">
              <w:rPr>
                <w:rFonts w:cs="Calibri"/>
              </w:rPr>
              <w:t>b) The increase in the provision for termination benefits of $xxx relates to the restructuring of a maintenance division, which will affect 60 employees.</w:t>
            </w:r>
            <w:r>
              <w:rPr>
                <w:rFonts w:cs="Calibri"/>
              </w:rPr>
              <w:t xml:space="preserve"> </w:t>
            </w:r>
            <w:r w:rsidRPr="002D20CA">
              <w:rPr>
                <w:rFonts w:cs="Calibri"/>
              </w:rPr>
              <w:t xml:space="preserve">See Note 28 </w:t>
            </w:r>
            <w:r w:rsidRPr="002D20CA">
              <w:rPr>
                <w:rFonts w:cs="Calibri"/>
                <w:i/>
              </w:rPr>
              <w:t>Other Provisions</w:t>
            </w:r>
            <w:r w:rsidRPr="002D20CA">
              <w:rPr>
                <w:rFonts w:cs="Calibri"/>
              </w:rPr>
              <w:t>.</w:t>
            </w:r>
          </w:p>
        </w:tc>
      </w:tr>
      <w:tr w:rsidR="00D43DDC" w:rsidRPr="00CF7E1B" w14:paraId="1F280B8B" w14:textId="77777777" w:rsidTr="00D43DDC">
        <w:trPr>
          <w:gridAfter w:val="2"/>
          <w:wAfter w:w="69" w:type="pct"/>
          <w:cantSplit/>
          <w:trHeight w:val="454"/>
        </w:trPr>
        <w:tc>
          <w:tcPr>
            <w:tcW w:w="737" w:type="pct"/>
            <w:tcBorders>
              <w:top w:val="nil"/>
              <w:left w:val="single" w:sz="2" w:space="0" w:color="auto"/>
              <w:bottom w:val="nil"/>
              <w:right w:val="single" w:sz="2" w:space="0" w:color="auto"/>
            </w:tcBorders>
          </w:tcPr>
          <w:p w14:paraId="1AE22D75" w14:textId="21051A66" w:rsidR="00D43DDC" w:rsidRPr="002D20CA" w:rsidRDefault="00D43DDC" w:rsidP="00D43DDC">
            <w:pPr>
              <w:pStyle w:val="TableReference"/>
              <w:tabs>
                <w:tab w:val="left" w:pos="3306"/>
              </w:tabs>
              <w:spacing w:before="240" w:after="240"/>
              <w:rPr>
                <w:rFonts w:cs="Calibri"/>
                <w:b/>
                <w:color w:val="7030A0"/>
                <w:sz w:val="22"/>
                <w:szCs w:val="22"/>
              </w:rPr>
            </w:pPr>
          </w:p>
        </w:tc>
        <w:tc>
          <w:tcPr>
            <w:tcW w:w="4194" w:type="pct"/>
            <w:gridSpan w:val="4"/>
            <w:tcBorders>
              <w:top w:val="nil"/>
              <w:left w:val="single" w:sz="2" w:space="0" w:color="auto"/>
              <w:bottom w:val="nil"/>
              <w:right w:val="nil"/>
            </w:tcBorders>
            <w:shd w:val="clear" w:color="auto" w:fill="7030A0"/>
            <w:vAlign w:val="bottom"/>
          </w:tcPr>
          <w:p w14:paraId="71F6ABC1" w14:textId="04A46BDD" w:rsidR="00D43DDC" w:rsidRPr="002D20CA" w:rsidRDefault="00D43DDC" w:rsidP="00D43DDC">
            <w:pPr>
              <w:pStyle w:val="CommentaryTitle"/>
              <w:spacing w:before="240" w:after="240"/>
              <w:rPr>
                <w:rFonts w:cs="Calibri"/>
                <w:color w:val="FFFFFF" w:themeColor="background1"/>
                <w:sz w:val="28"/>
                <w:szCs w:val="28"/>
              </w:rPr>
            </w:pPr>
            <w:bookmarkStart w:id="702" w:name="_Toc163106372"/>
            <w:r w:rsidRPr="002D20CA">
              <w:rPr>
                <w:rFonts w:cs="Calibri"/>
                <w:color w:val="FFFFFF" w:themeColor="background1"/>
                <w:sz w:val="28"/>
                <w:szCs w:val="28"/>
              </w:rPr>
              <w:t>Commentary - Note 27: Employee Benefits</w:t>
            </w:r>
            <w:bookmarkEnd w:id="702"/>
          </w:p>
        </w:tc>
      </w:tr>
      <w:tr w:rsidR="00D43DDC" w:rsidRPr="00CF7E1B" w14:paraId="41018092"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E4F93DC" w14:textId="2C5D6DE0" w:rsidR="00D43DDC" w:rsidRPr="002D20CA" w:rsidRDefault="00D43DDC" w:rsidP="00D43DDC">
            <w:pPr>
              <w:pStyle w:val="TableReference"/>
              <w:tabs>
                <w:tab w:val="left" w:pos="3306"/>
              </w:tabs>
              <w:spacing w:before="40"/>
              <w:rPr>
                <w:rFonts w:cs="Calibri"/>
                <w:color w:val="7030A0"/>
                <w:sz w:val="14"/>
              </w:rPr>
            </w:pPr>
            <w:r w:rsidRPr="002D20CA">
              <w:rPr>
                <w:rFonts w:cs="Calibri"/>
                <w:color w:val="7030A0"/>
                <w:sz w:val="14"/>
              </w:rPr>
              <w:t>AASB 137.5(b)</w:t>
            </w:r>
          </w:p>
        </w:tc>
        <w:tc>
          <w:tcPr>
            <w:tcW w:w="4194" w:type="pct"/>
            <w:gridSpan w:val="4"/>
            <w:tcBorders>
              <w:top w:val="nil"/>
              <w:left w:val="single" w:sz="2" w:space="0" w:color="auto"/>
              <w:bottom w:val="nil"/>
              <w:right w:val="nil"/>
            </w:tcBorders>
            <w:shd w:val="clear" w:color="auto" w:fill="7030A0"/>
            <w:vAlign w:val="bottom"/>
          </w:tcPr>
          <w:p w14:paraId="2DE839E3" w14:textId="77777777" w:rsidR="00D43DDC" w:rsidRPr="002D20CA" w:rsidRDefault="00D43DDC" w:rsidP="00D43DDC">
            <w:pPr>
              <w:pStyle w:val="CommentaryText"/>
              <w:rPr>
                <w:rFonts w:cs="Calibri"/>
                <w:color w:val="FFFFFF" w:themeColor="background1"/>
                <w:sz w:val="18"/>
                <w:szCs w:val="18"/>
              </w:rPr>
            </w:pPr>
            <w:r w:rsidRPr="002D20CA">
              <w:rPr>
                <w:rFonts w:cs="Calibri"/>
                <w:color w:val="FFFFFF" w:themeColor="background1"/>
                <w:sz w:val="18"/>
                <w:szCs w:val="18"/>
              </w:rPr>
              <w:t xml:space="preserve">AASB 137 </w:t>
            </w:r>
            <w:r w:rsidRPr="002D20CA">
              <w:rPr>
                <w:rFonts w:cs="Calibri"/>
                <w:i/>
                <w:iCs/>
                <w:color w:val="FFFFFF" w:themeColor="background1"/>
                <w:sz w:val="18"/>
                <w:szCs w:val="18"/>
              </w:rPr>
              <w:t>Provisions, Contingent Assets and Contingent Liabilities</w:t>
            </w:r>
            <w:r w:rsidRPr="002D20CA">
              <w:rPr>
                <w:rFonts w:cs="Calibri"/>
                <w:color w:val="FFFFFF" w:themeColor="background1"/>
                <w:sz w:val="18"/>
                <w:szCs w:val="18"/>
              </w:rPr>
              <w:t xml:space="preserve"> does not apply to employee benefit provisions and therefore the disclosure requirements in that standard do not have to be applied to employee benefits.</w:t>
            </w:r>
          </w:p>
        </w:tc>
      </w:tr>
      <w:tr w:rsidR="00D43DDC" w:rsidRPr="00CF7E1B" w14:paraId="4D38747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C928100"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5B6BAF7F" w14:textId="77777777" w:rsidR="00D43DDC" w:rsidRPr="00C87392" w:rsidRDefault="00D43DDC" w:rsidP="00D43DDC">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Annual Leave and Long Service Leave Liabilities</w:t>
            </w:r>
          </w:p>
        </w:tc>
      </w:tr>
      <w:tr w:rsidR="00D43DDC" w:rsidRPr="00CF7E1B" w14:paraId="3E2A803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9D84D67" w14:textId="77777777" w:rsidR="00D43DDC" w:rsidRPr="002D20CA" w:rsidRDefault="00D43DDC" w:rsidP="00D43DDC">
            <w:pPr>
              <w:pStyle w:val="TableReference"/>
              <w:tabs>
                <w:tab w:val="left" w:pos="3306"/>
              </w:tabs>
              <w:spacing w:before="40"/>
              <w:rPr>
                <w:rFonts w:cs="Calibri"/>
                <w:color w:val="7030A0"/>
                <w:sz w:val="14"/>
              </w:rPr>
            </w:pPr>
          </w:p>
          <w:p w14:paraId="4A1E11EE" w14:textId="77777777" w:rsidR="00D43DDC" w:rsidRPr="002D20CA" w:rsidRDefault="00D43DDC" w:rsidP="00D43DDC">
            <w:pPr>
              <w:pStyle w:val="TableReference"/>
              <w:tabs>
                <w:tab w:val="left" w:pos="3306"/>
              </w:tabs>
              <w:rPr>
                <w:rFonts w:cs="Calibri"/>
                <w:color w:val="7030A0"/>
                <w:sz w:val="14"/>
              </w:rPr>
            </w:pPr>
          </w:p>
          <w:p w14:paraId="40568137" w14:textId="77777777" w:rsidR="00D43DDC" w:rsidRPr="002D20CA" w:rsidRDefault="00D43DDC" w:rsidP="00D43DDC">
            <w:pPr>
              <w:pStyle w:val="TableReference"/>
              <w:tabs>
                <w:tab w:val="left" w:pos="3306"/>
              </w:tabs>
              <w:rPr>
                <w:rFonts w:cs="Calibri"/>
                <w:color w:val="7030A0"/>
                <w:sz w:val="14"/>
              </w:rPr>
            </w:pPr>
            <w:r w:rsidRPr="002D20CA">
              <w:rPr>
                <w:rFonts w:cs="Calibri"/>
                <w:color w:val="7030A0"/>
                <w:sz w:val="14"/>
              </w:rPr>
              <w:t>AASB 101.69</w:t>
            </w:r>
          </w:p>
        </w:tc>
        <w:tc>
          <w:tcPr>
            <w:tcW w:w="4194" w:type="pct"/>
            <w:gridSpan w:val="4"/>
            <w:tcBorders>
              <w:top w:val="nil"/>
              <w:left w:val="single" w:sz="2" w:space="0" w:color="auto"/>
              <w:bottom w:val="nil"/>
              <w:right w:val="nil"/>
            </w:tcBorders>
            <w:shd w:val="clear" w:color="auto" w:fill="7030A0"/>
            <w:vAlign w:val="bottom"/>
          </w:tcPr>
          <w:p w14:paraId="51A8041B" w14:textId="77777777" w:rsidR="00D43DDC" w:rsidRPr="00C87392" w:rsidRDefault="00D43DDC" w:rsidP="00D43DDC">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 xml:space="preserve">Classification </w:t>
            </w:r>
          </w:p>
          <w:p w14:paraId="35B25394" w14:textId="32CAB628" w:rsidR="00D43DDC" w:rsidRPr="002D20CA" w:rsidRDefault="00D43DDC" w:rsidP="00D43DDC">
            <w:pPr>
              <w:pStyle w:val="TableText"/>
              <w:autoSpaceDE w:val="0"/>
              <w:autoSpaceDN w:val="0"/>
              <w:adjustRightInd w:val="0"/>
              <w:spacing w:before="0" w:after="40"/>
              <w:jc w:val="both"/>
              <w:rPr>
                <w:rFonts w:cs="Calibri"/>
                <w:color w:val="FFFFFF" w:themeColor="background1"/>
              </w:rPr>
            </w:pPr>
            <w:r w:rsidRPr="002D20CA">
              <w:rPr>
                <w:rFonts w:cs="Calibri"/>
                <w:color w:val="FFFFFF" w:themeColor="background1"/>
              </w:rPr>
              <w:t>A liability is required to be classified as current when it satisfies any of the following criteria:</w:t>
            </w:r>
          </w:p>
          <w:p w14:paraId="153D3174" w14:textId="14BF0DE1" w:rsidR="00D43DDC"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expected to be settled in the agency’s normal operating cycle;</w:t>
            </w:r>
          </w:p>
          <w:p w14:paraId="679EFD10" w14:textId="0EE7E03C" w:rsidR="00D43DDC"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held primarily for the purpose of being traded;</w:t>
            </w:r>
          </w:p>
          <w:p w14:paraId="595F4B6B" w14:textId="242F0312" w:rsidR="00D43DDC" w:rsidRDefault="00D43DDC" w:rsidP="00D43DDC">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due to be settled within 12 months after the reporting date; or</w:t>
            </w:r>
          </w:p>
          <w:p w14:paraId="74460B40" w14:textId="4D13C4C4" w:rsidR="00D43DDC" w:rsidRPr="002D20CA" w:rsidRDefault="00D43DDC" w:rsidP="00D43DDC">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the agency does not have an unconditional right to defer settlement of the liability for at least 12 months after the reporting date.</w:t>
            </w:r>
          </w:p>
        </w:tc>
      </w:tr>
      <w:tr w:rsidR="00D43DDC" w:rsidRPr="00CF7E1B" w14:paraId="69BEE74B"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8B5A841"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4C04A871" w14:textId="0F06A426" w:rsidR="00D43DDC" w:rsidRPr="002D20CA" w:rsidRDefault="00D43DDC" w:rsidP="00D43DDC">
            <w:pPr>
              <w:autoSpaceDE w:val="0"/>
              <w:autoSpaceDN w:val="0"/>
              <w:adjustRightInd w:val="0"/>
              <w:spacing w:after="120"/>
              <w:jc w:val="both"/>
              <w:rPr>
                <w:rFonts w:cs="Calibri"/>
                <w:color w:val="FFFFFF" w:themeColor="background1"/>
                <w:sz w:val="18"/>
                <w:szCs w:val="18"/>
              </w:rPr>
            </w:pPr>
            <w:r w:rsidRPr="002D20CA">
              <w:rPr>
                <w:rFonts w:cs="Calibri"/>
                <w:color w:val="FFFFFF" w:themeColor="background1"/>
                <w:sz w:val="18"/>
                <w:szCs w:val="18"/>
              </w:rPr>
              <w:t>All other liabilities shall be classified as non-current.</w:t>
            </w:r>
          </w:p>
        </w:tc>
      </w:tr>
      <w:tr w:rsidR="00D43DDC" w:rsidRPr="00CF7E1B" w14:paraId="742B7D2E"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B978869" w14:textId="77777777" w:rsidR="00D43DDC" w:rsidRPr="002D20CA" w:rsidRDefault="00D43DDC" w:rsidP="00D43DDC">
            <w:pPr>
              <w:pStyle w:val="TableReference"/>
              <w:tabs>
                <w:tab w:val="left" w:pos="3306"/>
              </w:tabs>
              <w:spacing w:before="40"/>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5F58FE95" w14:textId="5A55BB43" w:rsidR="00D43DDC" w:rsidRPr="002D20CA" w:rsidRDefault="00D43DDC" w:rsidP="00D43DDC">
            <w:pPr>
              <w:pStyle w:val="TableText"/>
              <w:autoSpaceDE w:val="0"/>
              <w:autoSpaceDN w:val="0"/>
              <w:adjustRightInd w:val="0"/>
              <w:spacing w:before="0" w:after="120"/>
              <w:jc w:val="both"/>
              <w:rPr>
                <w:rFonts w:cs="Calibri"/>
                <w:b/>
                <w:bCs/>
                <w:color w:val="FFFFFF" w:themeColor="background1"/>
              </w:rPr>
            </w:pPr>
            <w:r w:rsidRPr="002D20CA">
              <w:rPr>
                <w:rFonts w:cs="Calibri"/>
                <w:color w:val="FFFFFF" w:themeColor="background1"/>
              </w:rPr>
              <w:t>The effect of the last bullet point above is that all annual leave and unconditional long service leave is to be classified as current.</w:t>
            </w:r>
            <w:r>
              <w:rPr>
                <w:rFonts w:cs="Calibri"/>
                <w:color w:val="FFFFFF" w:themeColor="background1"/>
              </w:rPr>
              <w:t xml:space="preserve"> </w:t>
            </w:r>
            <w:r w:rsidRPr="002D20CA">
              <w:rPr>
                <w:rFonts w:cs="Calibri"/>
                <w:color w:val="FFFFFF" w:themeColor="background1"/>
              </w:rPr>
              <w:t>An agency does not have an unconditional right to defer the payment of annual leave or unconditional long service leave.</w:t>
            </w:r>
            <w:r>
              <w:rPr>
                <w:rFonts w:cs="Calibri"/>
                <w:color w:val="FFFFFF" w:themeColor="background1"/>
              </w:rPr>
              <w:t xml:space="preserve"> </w:t>
            </w:r>
            <w:r w:rsidRPr="002D20CA">
              <w:rPr>
                <w:rFonts w:cs="Calibri"/>
                <w:color w:val="FFFFFF" w:themeColor="background1"/>
              </w:rPr>
              <w:t>For example, the meeting of these obligations could not be deferred if the employee were to resign.</w:t>
            </w:r>
            <w:r>
              <w:rPr>
                <w:rFonts w:cs="Calibri"/>
                <w:color w:val="FFFFFF" w:themeColor="background1"/>
              </w:rPr>
              <w:t xml:space="preserve"> </w:t>
            </w:r>
            <w:r w:rsidRPr="002D20CA">
              <w:rPr>
                <w:rFonts w:cs="Calibri"/>
                <w:color w:val="FFFFFF" w:themeColor="background1"/>
              </w:rPr>
              <w:t>This leave is required to be classified as current when the employee is entitled to the leave rather than when the leave is expected to be taken.</w:t>
            </w:r>
          </w:p>
        </w:tc>
      </w:tr>
      <w:tr w:rsidR="00D43DDC" w:rsidRPr="00CF7E1B" w14:paraId="4D2C939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vAlign w:val="bottom"/>
          </w:tcPr>
          <w:p w14:paraId="7F84F85E" w14:textId="77777777" w:rsidR="00D43DDC" w:rsidRPr="002D20CA"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2B39382B" w14:textId="43FD9549" w:rsidR="00D43DDC" w:rsidRPr="002D20CA" w:rsidRDefault="00D43DDC" w:rsidP="00D43DDC">
            <w:pPr>
              <w:tabs>
                <w:tab w:val="left" w:pos="3306"/>
              </w:tabs>
              <w:jc w:val="both"/>
              <w:rPr>
                <w:rFonts w:cs="Calibri"/>
                <w:b/>
                <w:bCs/>
                <w:color w:val="FFFFFF" w:themeColor="background1"/>
                <w:sz w:val="18"/>
                <w:szCs w:val="18"/>
              </w:rPr>
            </w:pPr>
            <w:r w:rsidRPr="002D20CA">
              <w:rPr>
                <w:rFonts w:cs="Calibri"/>
                <w:color w:val="FFFFFF" w:themeColor="background1"/>
                <w:sz w:val="18"/>
                <w:szCs w:val="18"/>
              </w:rPr>
              <w:t>Conditional long service leave is classified as a non-current liability as an agency has an unconditional right to defer settlement of the liability for at least 12 months.</w:t>
            </w:r>
            <w:r>
              <w:rPr>
                <w:rFonts w:cs="Calibri"/>
                <w:color w:val="FFFFFF" w:themeColor="background1"/>
                <w:sz w:val="18"/>
                <w:szCs w:val="18"/>
              </w:rPr>
              <w:t xml:space="preserve"> </w:t>
            </w:r>
            <w:r w:rsidRPr="002D20CA">
              <w:rPr>
                <w:rFonts w:cs="Calibri"/>
                <w:color w:val="FFFFFF" w:themeColor="background1"/>
                <w:sz w:val="18"/>
                <w:szCs w:val="18"/>
              </w:rPr>
              <w:t>Agencies should refer to the requirements of their workplace agreements to determine whether leave is conditional or unconditional.</w:t>
            </w:r>
            <w:r>
              <w:rPr>
                <w:rFonts w:cs="Calibri"/>
                <w:color w:val="FFFFFF" w:themeColor="background1"/>
                <w:sz w:val="18"/>
                <w:szCs w:val="18"/>
              </w:rPr>
              <w:t xml:space="preserve"> </w:t>
            </w:r>
            <w:r w:rsidRPr="002D20CA">
              <w:rPr>
                <w:rFonts w:cs="Calibri"/>
                <w:color w:val="FFFFFF" w:themeColor="background1"/>
                <w:sz w:val="18"/>
                <w:szCs w:val="18"/>
              </w:rPr>
              <w:t>For example, for most agencies, employees with a service period of between 1 and 6 years would have conditional long service leave which is to be classified as non-current.</w:t>
            </w:r>
          </w:p>
        </w:tc>
      </w:tr>
      <w:tr w:rsidR="00D43DDC" w:rsidRPr="00CF7E1B" w14:paraId="3ED031EB" w14:textId="77777777" w:rsidTr="00D43DDC">
        <w:trPr>
          <w:gridAfter w:val="2"/>
          <w:wAfter w:w="69" w:type="pct"/>
          <w:cantSplit/>
          <w:trHeight w:val="23"/>
        </w:trPr>
        <w:tc>
          <w:tcPr>
            <w:tcW w:w="737" w:type="pct"/>
            <w:tcBorders>
              <w:top w:val="nil"/>
              <w:left w:val="single" w:sz="2" w:space="0" w:color="auto"/>
              <w:bottom w:val="nil"/>
              <w:right w:val="single" w:sz="2" w:space="0" w:color="auto"/>
            </w:tcBorders>
            <w:vAlign w:val="bottom"/>
          </w:tcPr>
          <w:p w14:paraId="422652F5" w14:textId="77777777" w:rsidR="00D43DDC" w:rsidRPr="002D20CA"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534951B3" w14:textId="77777777" w:rsidR="00D43DDC" w:rsidRPr="00C87392" w:rsidRDefault="00D43DDC" w:rsidP="00D43DDC">
            <w:pPr>
              <w:pStyle w:val="TableText"/>
              <w:autoSpaceDE w:val="0"/>
              <w:autoSpaceDN w:val="0"/>
              <w:adjustRightInd w:val="0"/>
              <w:spacing w:before="120" w:after="40"/>
              <w:jc w:val="both"/>
              <w:rPr>
                <w:rFonts w:cs="Calibri"/>
                <w:b/>
                <w:bCs/>
                <w:color w:val="FFFFFF" w:themeColor="background1"/>
                <w:sz w:val="20"/>
                <w:szCs w:val="20"/>
              </w:rPr>
            </w:pPr>
            <w:r w:rsidRPr="00C87392">
              <w:rPr>
                <w:rFonts w:cs="Calibri"/>
                <w:b/>
                <w:bCs/>
                <w:color w:val="FFFFFF" w:themeColor="background1"/>
                <w:sz w:val="20"/>
                <w:szCs w:val="20"/>
              </w:rPr>
              <w:t>Termination Benefits</w:t>
            </w:r>
          </w:p>
        </w:tc>
      </w:tr>
      <w:tr w:rsidR="00D43DDC" w:rsidRPr="00CF7E1B" w14:paraId="1084EC20" w14:textId="77777777" w:rsidTr="00C573EF">
        <w:trPr>
          <w:gridAfter w:val="2"/>
          <w:wAfter w:w="69" w:type="pct"/>
          <w:cantSplit/>
          <w:trHeight w:val="23"/>
        </w:trPr>
        <w:tc>
          <w:tcPr>
            <w:tcW w:w="737" w:type="pct"/>
            <w:tcBorders>
              <w:top w:val="nil"/>
              <w:left w:val="single" w:sz="2" w:space="0" w:color="auto"/>
              <w:bottom w:val="nil"/>
              <w:right w:val="single" w:sz="2" w:space="0" w:color="auto"/>
            </w:tcBorders>
            <w:vAlign w:val="bottom"/>
          </w:tcPr>
          <w:p w14:paraId="5417E1CE" w14:textId="77777777" w:rsidR="00D43DDC" w:rsidRPr="002D20CA" w:rsidRDefault="00D43DDC" w:rsidP="00D43DDC">
            <w:pPr>
              <w:pStyle w:val="TableReference"/>
              <w:tabs>
                <w:tab w:val="left" w:pos="3306"/>
              </w:tabs>
              <w:rPr>
                <w:rFonts w:cs="Calibri"/>
                <w:color w:val="7030A0"/>
                <w:sz w:val="14"/>
              </w:rPr>
            </w:pPr>
            <w:r w:rsidRPr="002D20CA">
              <w:rPr>
                <w:rFonts w:cs="Calibri"/>
                <w:color w:val="7030A0"/>
                <w:sz w:val="14"/>
              </w:rPr>
              <w:t>AASB 119.159</w:t>
            </w:r>
          </w:p>
          <w:p w14:paraId="333E8915" w14:textId="77777777" w:rsidR="00D43DDC" w:rsidRPr="002D20CA" w:rsidRDefault="00D43DDC" w:rsidP="00D43DDC">
            <w:pPr>
              <w:pStyle w:val="TableReference"/>
              <w:tabs>
                <w:tab w:val="left" w:pos="3306"/>
              </w:tabs>
              <w:rPr>
                <w:rFonts w:cs="Calibri"/>
                <w:color w:val="7030A0"/>
                <w:sz w:val="14"/>
              </w:rPr>
            </w:pPr>
            <w:r w:rsidRPr="002D20CA">
              <w:rPr>
                <w:rFonts w:cs="Calibri"/>
                <w:color w:val="7030A0"/>
                <w:sz w:val="14"/>
              </w:rPr>
              <w:t>AASB 119.162&amp;163</w:t>
            </w:r>
          </w:p>
          <w:p w14:paraId="011DBE07" w14:textId="77777777" w:rsidR="00D43DDC" w:rsidRPr="002D20CA" w:rsidRDefault="00D43DDC" w:rsidP="00D43DDC">
            <w:pPr>
              <w:pStyle w:val="TableReference"/>
              <w:tabs>
                <w:tab w:val="left" w:pos="3306"/>
              </w:tabs>
              <w:rPr>
                <w:rFonts w:cs="Calibri"/>
                <w:color w:val="7030A0"/>
                <w:sz w:val="14"/>
              </w:rPr>
            </w:pPr>
          </w:p>
          <w:p w14:paraId="6D0FCC63" w14:textId="77777777" w:rsidR="00D43DDC" w:rsidRPr="002D20CA"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shd w:val="clear" w:color="auto" w:fill="7030A0"/>
            <w:vAlign w:val="bottom"/>
          </w:tcPr>
          <w:p w14:paraId="1220D480" w14:textId="418ABAED" w:rsidR="00D43DDC" w:rsidRPr="002D20CA" w:rsidRDefault="00D43DDC" w:rsidP="00D43DDC">
            <w:pPr>
              <w:pStyle w:val="CommentaryText"/>
              <w:rPr>
                <w:rFonts w:cs="Calibri"/>
                <w:b/>
                <w:bCs/>
                <w:color w:val="FFFFFF" w:themeColor="background1"/>
                <w:sz w:val="18"/>
                <w:szCs w:val="18"/>
              </w:rPr>
            </w:pPr>
            <w:r w:rsidRPr="002D20CA">
              <w:rPr>
                <w:rFonts w:cs="Calibri"/>
                <w:color w:val="FFFFFF" w:themeColor="background1"/>
                <w:sz w:val="18"/>
                <w:szCs w:val="18"/>
              </w:rPr>
              <w:t>A termination benefit only arises if it is provided in direct exchange for the termination of employment; not on any other exchange (e.g. benefits cannot include provisions for future services by an employee). A benefit that is in any way dependent upon providing services in the future is not a termination benefit.</w:t>
            </w:r>
            <w:r>
              <w:rPr>
                <w:rFonts w:cs="Calibri"/>
                <w:color w:val="FFFFFF" w:themeColor="background1"/>
                <w:sz w:val="18"/>
                <w:szCs w:val="18"/>
              </w:rPr>
              <w:t xml:space="preserve"> </w:t>
            </w:r>
          </w:p>
        </w:tc>
      </w:tr>
      <w:tr w:rsidR="00D43DDC" w:rsidRPr="00CF7E1B" w14:paraId="07CC8A4F" w14:textId="77777777" w:rsidTr="00C573EF">
        <w:trPr>
          <w:gridAfter w:val="2"/>
          <w:wAfter w:w="69" w:type="pct"/>
          <w:cantSplit/>
          <w:trHeight w:val="23"/>
        </w:trPr>
        <w:tc>
          <w:tcPr>
            <w:tcW w:w="737" w:type="pct"/>
            <w:tcBorders>
              <w:top w:val="nil"/>
              <w:left w:val="nil"/>
              <w:bottom w:val="nil"/>
              <w:right w:val="nil"/>
            </w:tcBorders>
            <w:vAlign w:val="bottom"/>
          </w:tcPr>
          <w:p w14:paraId="46037F11" w14:textId="77777777" w:rsidR="00D43DDC" w:rsidRPr="002D20CA" w:rsidRDefault="00D43DDC" w:rsidP="00D43DDC">
            <w:pPr>
              <w:pStyle w:val="TableReference"/>
              <w:tabs>
                <w:tab w:val="left" w:pos="3306"/>
              </w:tabs>
              <w:rPr>
                <w:rFonts w:cs="Calibri"/>
                <w:color w:val="7030A0"/>
                <w:sz w:val="14"/>
              </w:rPr>
            </w:pPr>
          </w:p>
        </w:tc>
        <w:tc>
          <w:tcPr>
            <w:tcW w:w="4194" w:type="pct"/>
            <w:gridSpan w:val="4"/>
            <w:tcBorders>
              <w:top w:val="nil"/>
              <w:left w:val="nil"/>
              <w:bottom w:val="nil"/>
              <w:right w:val="nil"/>
            </w:tcBorders>
            <w:shd w:val="clear" w:color="auto" w:fill="auto"/>
            <w:vAlign w:val="bottom"/>
          </w:tcPr>
          <w:p w14:paraId="0F2E8C64" w14:textId="77777777" w:rsidR="00D43DDC" w:rsidRPr="002D20CA" w:rsidRDefault="00D43DDC" w:rsidP="00D43DDC">
            <w:pPr>
              <w:pStyle w:val="CommentaryText"/>
              <w:rPr>
                <w:rFonts w:cs="Calibri"/>
                <w:color w:val="FFFFFF" w:themeColor="background1"/>
                <w:sz w:val="18"/>
                <w:szCs w:val="18"/>
              </w:rPr>
            </w:pPr>
          </w:p>
        </w:tc>
      </w:tr>
      <w:tr w:rsidR="00D43DDC" w:rsidRPr="00CF7E1B" w14:paraId="63302A5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6120A20E" w14:textId="5521EC29" w:rsidR="00D43DDC" w:rsidRPr="000627F8" w:rsidRDefault="00C573EF" w:rsidP="00D43DDC">
            <w:pPr>
              <w:pStyle w:val="TableReference"/>
              <w:tabs>
                <w:tab w:val="left" w:pos="3306"/>
              </w:tabs>
              <w:spacing w:before="240" w:after="240"/>
              <w:rPr>
                <w:rFonts w:cs="Calibri"/>
                <w:b/>
                <w:color w:val="7030A0"/>
                <w:sz w:val="22"/>
                <w:szCs w:val="22"/>
              </w:rPr>
            </w:pPr>
            <w:bookmarkStart w:id="703" w:name="ProvisionsOther" w:colFirst="1" w:colLast="1"/>
            <w:r w:rsidRPr="002D20CA">
              <w:rPr>
                <w:rFonts w:cs="Calibri"/>
                <w:b/>
                <w:color w:val="7030A0"/>
                <w:sz w:val="22"/>
                <w:szCs w:val="22"/>
              </w:rPr>
              <w:t>Reference</w:t>
            </w:r>
          </w:p>
        </w:tc>
        <w:tc>
          <w:tcPr>
            <w:tcW w:w="4194" w:type="pct"/>
            <w:gridSpan w:val="4"/>
            <w:tcBorders>
              <w:top w:val="nil"/>
              <w:left w:val="single" w:sz="2" w:space="0" w:color="auto"/>
              <w:bottom w:val="nil"/>
              <w:right w:val="nil"/>
            </w:tcBorders>
            <w:vAlign w:val="bottom"/>
          </w:tcPr>
          <w:p w14:paraId="3BF5E3C7" w14:textId="51641522" w:rsidR="00D43DDC" w:rsidRPr="00CF7E1B" w:rsidRDefault="00D43DDC" w:rsidP="00D43DDC">
            <w:pPr>
              <w:pStyle w:val="Heading1"/>
              <w:numPr>
                <w:ilvl w:val="0"/>
                <w:numId w:val="0"/>
              </w:numPr>
            </w:pPr>
            <w:bookmarkStart w:id="704" w:name="_Toc400627352"/>
            <w:bookmarkStart w:id="705" w:name="_Toc132743819"/>
            <w:r w:rsidRPr="002D20CA">
              <w:t>Note 28.</w:t>
            </w:r>
            <w:r>
              <w:t xml:space="preserve"> </w:t>
            </w:r>
            <w:r w:rsidRPr="002D20CA">
              <w:t xml:space="preserve"> Other Provisions</w:t>
            </w:r>
            <w:bookmarkEnd w:id="704"/>
            <w:bookmarkEnd w:id="705"/>
          </w:p>
        </w:tc>
      </w:tr>
      <w:bookmarkEnd w:id="703"/>
      <w:tr w:rsidR="00D43DDC" w:rsidRPr="00CF7E1B" w14:paraId="5B06469A"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6633DD4" w14:textId="77777777" w:rsidR="00D43DDC" w:rsidRPr="000627F8" w:rsidRDefault="00D43DDC" w:rsidP="00D43DDC">
            <w:pPr>
              <w:pStyle w:val="TableReference"/>
              <w:tabs>
                <w:tab w:val="left" w:pos="3306"/>
              </w:tabs>
              <w:rPr>
                <w:rFonts w:cs="Calibri"/>
                <w:b/>
                <w:color w:val="7030A0"/>
                <w:sz w:val="20"/>
                <w:szCs w:val="20"/>
              </w:rPr>
            </w:pPr>
          </w:p>
        </w:tc>
        <w:tc>
          <w:tcPr>
            <w:tcW w:w="4194" w:type="pct"/>
            <w:gridSpan w:val="4"/>
            <w:tcBorders>
              <w:top w:val="nil"/>
              <w:left w:val="single" w:sz="2" w:space="0" w:color="auto"/>
              <w:bottom w:val="nil"/>
              <w:right w:val="nil"/>
            </w:tcBorders>
            <w:vAlign w:val="bottom"/>
          </w:tcPr>
          <w:p w14:paraId="5847F170" w14:textId="7A6CA70B" w:rsidR="00D43DDC" w:rsidRPr="000627F8" w:rsidRDefault="00D43DDC" w:rsidP="00D43DDC">
            <w:pPr>
              <w:pStyle w:val="CommentaryHeading"/>
              <w:tabs>
                <w:tab w:val="left" w:pos="3306"/>
              </w:tabs>
              <w:spacing w:before="0" w:after="0"/>
              <w:rPr>
                <w:i/>
                <w:iCs/>
                <w:sz w:val="18"/>
              </w:rPr>
            </w:pPr>
            <w:r w:rsidRPr="000627F8">
              <w:rPr>
                <w:rFonts w:cs="Calibri"/>
                <w:sz w:val="18"/>
              </w:rPr>
              <w:t>Description and Material Accounting Policies Relating to Other Provisions</w:t>
            </w:r>
          </w:p>
        </w:tc>
      </w:tr>
      <w:tr w:rsidR="00D43DDC" w:rsidRPr="00CF7E1B" w14:paraId="79CCE4F8"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0CC8410" w14:textId="77777777" w:rsidR="00D43DDC" w:rsidRPr="000627F8" w:rsidRDefault="00D43DDC" w:rsidP="00D43DDC">
            <w:pPr>
              <w:pStyle w:val="TableReference"/>
              <w:tabs>
                <w:tab w:val="left" w:pos="3306"/>
              </w:tabs>
              <w:rPr>
                <w:rFonts w:cs="Calibri"/>
                <w:b/>
                <w:color w:val="7030A0"/>
                <w:sz w:val="20"/>
                <w:szCs w:val="20"/>
              </w:rPr>
            </w:pPr>
          </w:p>
        </w:tc>
        <w:tc>
          <w:tcPr>
            <w:tcW w:w="4194" w:type="pct"/>
            <w:gridSpan w:val="4"/>
            <w:tcBorders>
              <w:top w:val="nil"/>
              <w:left w:val="single" w:sz="2" w:space="0" w:color="auto"/>
              <w:bottom w:val="nil"/>
              <w:right w:val="nil"/>
            </w:tcBorders>
            <w:vAlign w:val="bottom"/>
          </w:tcPr>
          <w:p w14:paraId="30F31DD9" w14:textId="5620578A" w:rsidR="00D43DDC" w:rsidRPr="000627F8" w:rsidRDefault="00D43DDC" w:rsidP="00D43DDC">
            <w:pPr>
              <w:pStyle w:val="CommentaryHeading"/>
              <w:tabs>
                <w:tab w:val="left" w:pos="3306"/>
              </w:tabs>
              <w:spacing w:before="0" w:after="0"/>
              <w:jc w:val="both"/>
              <w:rPr>
                <w:rFonts w:cs="Calibri"/>
                <w:sz w:val="18"/>
              </w:rPr>
            </w:pPr>
            <w:r w:rsidRPr="000627F8">
              <w:rPr>
                <w:rFonts w:cs="Calibri"/>
                <w:b w:val="0"/>
                <w:bCs w:val="0"/>
                <w:sz w:val="18"/>
              </w:rPr>
              <w:t>Provisions are recognised when ‘</w:t>
            </w:r>
            <w:r w:rsidRPr="000627F8">
              <w:rPr>
                <w:b w:val="0"/>
                <w:bCs w:val="0"/>
                <w:sz w:val="18"/>
              </w:rPr>
              <w:t>Burley Griffin</w:t>
            </w:r>
            <w:r w:rsidRPr="000627F8">
              <w:rPr>
                <w:bCs w:val="0"/>
                <w:sz w:val="18"/>
              </w:rPr>
              <w:t xml:space="preserve"> </w:t>
            </w:r>
            <w:r w:rsidRPr="000627F8">
              <w:rPr>
                <w:rFonts w:cs="Calibri"/>
                <w:b w:val="0"/>
                <w:bCs w:val="0"/>
                <w:sz w:val="18"/>
              </w:rPr>
              <w:t>Agency’ has a present legal or constructive obligation, it is probable that an outflow of resources will be required to settle the obligation and a reliable estimate can be made of the amount of the obligation.</w:t>
            </w:r>
          </w:p>
        </w:tc>
      </w:tr>
      <w:tr w:rsidR="00D43DDC" w:rsidRPr="00CF7E1B" w14:paraId="1279A5CD"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AEC12B1" w14:textId="77777777" w:rsidR="00D43DDC" w:rsidRPr="000627F8" w:rsidRDefault="00D43DDC" w:rsidP="00D43DDC">
            <w:pPr>
              <w:pStyle w:val="TableReference"/>
              <w:tabs>
                <w:tab w:val="left" w:pos="3306"/>
              </w:tabs>
              <w:rPr>
                <w:rFonts w:cs="Calibri"/>
                <w:b/>
                <w:color w:val="7030A0"/>
                <w:sz w:val="20"/>
                <w:szCs w:val="20"/>
              </w:rPr>
            </w:pPr>
          </w:p>
        </w:tc>
        <w:tc>
          <w:tcPr>
            <w:tcW w:w="4194" w:type="pct"/>
            <w:gridSpan w:val="4"/>
            <w:tcBorders>
              <w:top w:val="nil"/>
              <w:left w:val="single" w:sz="2" w:space="0" w:color="auto"/>
              <w:bottom w:val="nil"/>
              <w:right w:val="nil"/>
            </w:tcBorders>
            <w:vAlign w:val="bottom"/>
          </w:tcPr>
          <w:p w14:paraId="4D961A3E" w14:textId="22A41DA8" w:rsidR="00D43DDC" w:rsidRPr="000627F8" w:rsidRDefault="00D43DDC" w:rsidP="00D43DDC">
            <w:pPr>
              <w:pStyle w:val="CommentaryHeading"/>
              <w:tabs>
                <w:tab w:val="left" w:pos="3306"/>
              </w:tabs>
              <w:spacing w:after="0"/>
              <w:rPr>
                <w:rFonts w:cs="Calibri"/>
                <w:b w:val="0"/>
                <w:bCs w:val="0"/>
                <w:i/>
                <w:iCs/>
                <w:sz w:val="18"/>
              </w:rPr>
            </w:pPr>
            <w:r w:rsidRPr="000627F8">
              <w:rPr>
                <w:rFonts w:cs="Calibri"/>
                <w:b w:val="0"/>
                <w:bCs w:val="0"/>
                <w:i/>
                <w:iCs/>
                <w:sz w:val="18"/>
              </w:rPr>
              <w:t>Provision for Restructuring</w:t>
            </w:r>
          </w:p>
        </w:tc>
      </w:tr>
      <w:tr w:rsidR="00D43DDC" w:rsidRPr="00D876C9" w14:paraId="5B08869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4D969CE" w14:textId="77777777" w:rsidR="00D43DDC" w:rsidRPr="000627F8" w:rsidRDefault="00D43DDC" w:rsidP="00D43DDC">
            <w:pPr>
              <w:pStyle w:val="TableReference"/>
              <w:tabs>
                <w:tab w:val="left" w:pos="3306"/>
              </w:tabs>
              <w:spacing w:before="40"/>
              <w:rPr>
                <w:rFonts w:cs="Calibri"/>
                <w:color w:val="7030A0"/>
                <w:sz w:val="14"/>
              </w:rPr>
            </w:pPr>
            <w:r w:rsidRPr="000627F8">
              <w:rPr>
                <w:rFonts w:cs="Calibri"/>
                <w:color w:val="7030A0"/>
                <w:sz w:val="14"/>
              </w:rPr>
              <w:t xml:space="preserve">AASB 137.85(a) &amp;(b) </w:t>
            </w:r>
          </w:p>
          <w:p w14:paraId="6560AABB" w14:textId="77777777" w:rsidR="00D43DDC" w:rsidRPr="000627F8" w:rsidRDefault="00D43DDC" w:rsidP="00D43DDC">
            <w:pPr>
              <w:pStyle w:val="TableReference"/>
              <w:tabs>
                <w:tab w:val="left" w:pos="3306"/>
              </w:tabs>
              <w:spacing w:before="240" w:after="240"/>
              <w:rPr>
                <w:rFonts w:cs="Calibri"/>
                <w:b/>
                <w:color w:val="7030A0"/>
                <w:sz w:val="20"/>
                <w:szCs w:val="20"/>
              </w:rPr>
            </w:pPr>
          </w:p>
        </w:tc>
        <w:tc>
          <w:tcPr>
            <w:tcW w:w="4194" w:type="pct"/>
            <w:gridSpan w:val="4"/>
            <w:tcBorders>
              <w:top w:val="nil"/>
              <w:left w:val="single" w:sz="2" w:space="0" w:color="auto"/>
              <w:bottom w:val="nil"/>
              <w:right w:val="nil"/>
            </w:tcBorders>
            <w:vAlign w:val="bottom"/>
          </w:tcPr>
          <w:p w14:paraId="4882BFE5" w14:textId="3109F0EA" w:rsidR="00D43DDC" w:rsidRPr="00EC1A8A" w:rsidRDefault="00D43DDC" w:rsidP="00D43DDC">
            <w:pPr>
              <w:spacing w:after="120"/>
              <w:jc w:val="both"/>
              <w:rPr>
                <w:b/>
                <w:bCs/>
                <w:caps/>
                <w:sz w:val="18"/>
                <w:szCs w:val="18"/>
              </w:rPr>
            </w:pPr>
            <w:bookmarkStart w:id="706" w:name="_Toc98763150"/>
            <w:r w:rsidRPr="00EC1A8A">
              <w:rPr>
                <w:sz w:val="18"/>
                <w:szCs w:val="18"/>
              </w:rPr>
              <w:t>In May 2020, the Agency announced publicly that it would be undertaking a restructuring of a maintenance division that would result in the closure of the division and in 60 employees being made redundant. A detailed formal restructuring plan has been prepared that outlines the timeframe of the restructure along with the cost, division concerned (and its location) and the number of redundant staff. Restructuring is expected to be completed towards the end of the next reporting period.</w:t>
            </w:r>
            <w:bookmarkEnd w:id="706"/>
          </w:p>
        </w:tc>
      </w:tr>
      <w:tr w:rsidR="00D43DDC" w:rsidRPr="00CF7E1B" w14:paraId="11D07A9C"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C0DEBE7" w14:textId="6DDDFE29" w:rsidR="00D43DDC" w:rsidRPr="000627F8" w:rsidRDefault="00D43DDC" w:rsidP="00D43DDC">
            <w:pPr>
              <w:pStyle w:val="TableReference"/>
              <w:tabs>
                <w:tab w:val="left" w:pos="3306"/>
              </w:tabs>
              <w:rPr>
                <w:rFonts w:cs="Calibri"/>
                <w:b/>
                <w:color w:val="7030A0"/>
                <w:sz w:val="14"/>
              </w:rPr>
            </w:pPr>
            <w:r w:rsidRPr="000627F8">
              <w:rPr>
                <w:color w:val="7030A0"/>
                <w:sz w:val="14"/>
              </w:rPr>
              <w:t>AASB 137.72</w:t>
            </w:r>
          </w:p>
        </w:tc>
        <w:tc>
          <w:tcPr>
            <w:tcW w:w="4194" w:type="pct"/>
            <w:gridSpan w:val="4"/>
            <w:tcBorders>
              <w:top w:val="nil"/>
              <w:left w:val="single" w:sz="2" w:space="0" w:color="auto"/>
              <w:bottom w:val="nil"/>
              <w:right w:val="nil"/>
            </w:tcBorders>
            <w:vAlign w:val="bottom"/>
          </w:tcPr>
          <w:p w14:paraId="0D1FA382" w14:textId="7AF65A8D" w:rsidR="00D43DDC" w:rsidRPr="00EC1A8A" w:rsidRDefault="00D43DDC" w:rsidP="00D43DDC">
            <w:pPr>
              <w:spacing w:after="120"/>
              <w:jc w:val="both"/>
              <w:rPr>
                <w:b/>
                <w:bCs/>
                <w:caps/>
                <w:sz w:val="18"/>
                <w:szCs w:val="18"/>
              </w:rPr>
            </w:pPr>
            <w:bookmarkStart w:id="707" w:name="_Toc98763151"/>
            <w:r w:rsidRPr="00EC1A8A">
              <w:rPr>
                <w:sz w:val="18"/>
                <w:szCs w:val="18"/>
              </w:rPr>
              <w:t>The provision for restructuring is recognised at the point in time when a formal detailed plan has been completed and ‘Burley Griffin Agency’ has raised a valid expectation, in those affected, that the restructuring will occur. A valid expectation is usually raised when the agency announces the main features of the plan to those affected or where it starts to implement the plan.</w:t>
            </w:r>
            <w:bookmarkEnd w:id="707"/>
          </w:p>
        </w:tc>
      </w:tr>
      <w:tr w:rsidR="00D43DDC" w:rsidRPr="00CF7E1B" w14:paraId="1A307026" w14:textId="77777777" w:rsidTr="00D43DDC">
        <w:trPr>
          <w:gridAfter w:val="2"/>
          <w:wAfter w:w="69" w:type="pct"/>
          <w:cantSplit/>
          <w:trHeight w:val="266"/>
        </w:trPr>
        <w:tc>
          <w:tcPr>
            <w:tcW w:w="737" w:type="pct"/>
            <w:tcBorders>
              <w:top w:val="nil"/>
              <w:left w:val="single" w:sz="2" w:space="0" w:color="auto"/>
              <w:bottom w:val="nil"/>
              <w:right w:val="single" w:sz="2" w:space="0" w:color="auto"/>
            </w:tcBorders>
          </w:tcPr>
          <w:p w14:paraId="7DD89D54" w14:textId="77777777" w:rsidR="00D43DDC" w:rsidRPr="000627F8" w:rsidRDefault="00D43DDC" w:rsidP="00D43DDC">
            <w:pPr>
              <w:pStyle w:val="TableReference"/>
              <w:tabs>
                <w:tab w:val="left" w:pos="3306"/>
              </w:tabs>
              <w:rPr>
                <w:rFonts w:cs="Calibri"/>
                <w:b/>
                <w:color w:val="7030A0"/>
                <w:sz w:val="20"/>
                <w:szCs w:val="20"/>
              </w:rPr>
            </w:pPr>
          </w:p>
        </w:tc>
        <w:tc>
          <w:tcPr>
            <w:tcW w:w="4194" w:type="pct"/>
            <w:gridSpan w:val="4"/>
            <w:tcBorders>
              <w:top w:val="nil"/>
              <w:left w:val="single" w:sz="2" w:space="0" w:color="auto"/>
              <w:bottom w:val="nil"/>
              <w:right w:val="nil"/>
            </w:tcBorders>
            <w:vAlign w:val="bottom"/>
          </w:tcPr>
          <w:p w14:paraId="7A188843" w14:textId="2E6A32E8" w:rsidR="00D43DDC" w:rsidRPr="00B76E60" w:rsidRDefault="00D43DDC" w:rsidP="00D43DDC">
            <w:pPr>
              <w:rPr>
                <w:b/>
                <w:bCs/>
                <w:i/>
                <w:iCs/>
                <w:caps/>
                <w:sz w:val="18"/>
                <w:szCs w:val="18"/>
              </w:rPr>
            </w:pPr>
            <w:bookmarkStart w:id="708" w:name="_Toc98763152"/>
            <w:r w:rsidRPr="00B76E60">
              <w:rPr>
                <w:i/>
                <w:iCs/>
                <w:sz w:val="18"/>
                <w:szCs w:val="18"/>
              </w:rPr>
              <w:t>Provision for Restoration of Contaminated Site</w:t>
            </w:r>
            <w:bookmarkEnd w:id="708"/>
          </w:p>
        </w:tc>
      </w:tr>
      <w:tr w:rsidR="00D43DDC" w:rsidRPr="00CF7E1B" w14:paraId="4D6D4672"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636A564D" w14:textId="6B0628CF" w:rsidR="00D43DDC" w:rsidRPr="000627F8" w:rsidRDefault="00D43DDC" w:rsidP="00D43DDC">
            <w:pPr>
              <w:pStyle w:val="TableReference"/>
              <w:tabs>
                <w:tab w:val="left" w:pos="3306"/>
              </w:tabs>
              <w:spacing w:before="60"/>
              <w:rPr>
                <w:rFonts w:cs="Calibri"/>
                <w:color w:val="7030A0"/>
                <w:sz w:val="14"/>
              </w:rPr>
            </w:pPr>
            <w:r w:rsidRPr="000627F8">
              <w:rPr>
                <w:rFonts w:cs="Calibri"/>
                <w:color w:val="7030A0"/>
                <w:sz w:val="14"/>
              </w:rPr>
              <w:t>AASB 137.85(a) &amp;(b)</w:t>
            </w:r>
          </w:p>
        </w:tc>
        <w:tc>
          <w:tcPr>
            <w:tcW w:w="4194" w:type="pct"/>
            <w:gridSpan w:val="4"/>
            <w:tcBorders>
              <w:top w:val="nil"/>
              <w:left w:val="single" w:sz="2" w:space="0" w:color="auto"/>
              <w:bottom w:val="nil"/>
              <w:right w:val="nil"/>
            </w:tcBorders>
          </w:tcPr>
          <w:p w14:paraId="017DAD48" w14:textId="689BDAE3" w:rsidR="00D43DDC" w:rsidRPr="000627F8" w:rsidRDefault="00D43DDC" w:rsidP="00D43DDC">
            <w:pPr>
              <w:pStyle w:val="TableText"/>
              <w:spacing w:before="0" w:after="120"/>
              <w:jc w:val="both"/>
              <w:rPr>
                <w:rFonts w:cs="Calibri"/>
              </w:rPr>
            </w:pPr>
            <w:r w:rsidRPr="000627F8">
              <w:rPr>
                <w:rFonts w:cs="Calibri"/>
              </w:rPr>
              <w:t>In November 2019, it was discovered that waste had leaked from containers and contaminated the area in which they were buried and also contaminated nearby farmland.</w:t>
            </w:r>
            <w:r>
              <w:rPr>
                <w:rFonts w:cs="Calibri"/>
              </w:rPr>
              <w:t xml:space="preserve"> </w:t>
            </w:r>
            <w:r w:rsidRPr="000627F8">
              <w:rPr>
                <w:rFonts w:cs="Calibri"/>
              </w:rPr>
              <w:t>The Agency has undertaken to clean up the contaminated area where the waste was buried and has therefore taken up a provision for the restoration of this contaminated site as the clean-up of this site is expected to be performed over the next two years.</w:t>
            </w:r>
            <w:r>
              <w:rPr>
                <w:rFonts w:cs="Calibri"/>
              </w:rPr>
              <w:t xml:space="preserve"> </w:t>
            </w:r>
          </w:p>
        </w:tc>
      </w:tr>
      <w:tr w:rsidR="00D43DDC" w:rsidRPr="00CF7E1B" w14:paraId="400FB067"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5787356" w14:textId="77777777" w:rsidR="00D43DDC" w:rsidRPr="000627F8" w:rsidRDefault="00D43DDC" w:rsidP="00D43DDC">
            <w:pPr>
              <w:pStyle w:val="TableReference"/>
              <w:tabs>
                <w:tab w:val="left" w:pos="3306"/>
              </w:tabs>
              <w:spacing w:before="60"/>
              <w:rPr>
                <w:rFonts w:cs="Calibri"/>
                <w:color w:val="7030A0"/>
                <w:sz w:val="14"/>
              </w:rPr>
            </w:pPr>
          </w:p>
        </w:tc>
        <w:tc>
          <w:tcPr>
            <w:tcW w:w="4194" w:type="pct"/>
            <w:gridSpan w:val="4"/>
            <w:tcBorders>
              <w:top w:val="nil"/>
              <w:left w:val="single" w:sz="2" w:space="0" w:color="auto"/>
              <w:bottom w:val="nil"/>
              <w:right w:val="nil"/>
            </w:tcBorders>
          </w:tcPr>
          <w:p w14:paraId="28EDA640" w14:textId="4A269DB4" w:rsidR="00D43DDC" w:rsidRPr="000627F8" w:rsidRDefault="00D43DDC" w:rsidP="00D43DDC">
            <w:pPr>
              <w:pStyle w:val="TableText"/>
              <w:spacing w:before="0" w:after="120"/>
              <w:jc w:val="both"/>
              <w:rPr>
                <w:rFonts w:cs="Calibri"/>
              </w:rPr>
            </w:pPr>
            <w:r w:rsidRPr="000627F8">
              <w:rPr>
                <w:rFonts w:cs="Calibri"/>
              </w:rPr>
              <w:t>This provision has been measured based on the Agency’s best estimate of the cost to remediate the site.</w:t>
            </w:r>
            <w:r>
              <w:rPr>
                <w:rFonts w:cs="Calibri"/>
              </w:rPr>
              <w:t xml:space="preserve"> </w:t>
            </w:r>
            <w:r w:rsidRPr="000627F8">
              <w:rPr>
                <w:rFonts w:cs="Calibri"/>
              </w:rPr>
              <w:t>Given that this will take place over a two year period, the present value of this cost estimate has been used as the initial value of the provision.</w:t>
            </w:r>
          </w:p>
        </w:tc>
      </w:tr>
      <w:tr w:rsidR="00D43DDC" w:rsidRPr="00CF7E1B" w14:paraId="5B760B35"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133B1EC" w14:textId="5453B428" w:rsidR="00D43DDC" w:rsidRPr="000627F8" w:rsidRDefault="00D43DDC" w:rsidP="00D43DDC">
            <w:pPr>
              <w:pStyle w:val="TableReference"/>
              <w:tabs>
                <w:tab w:val="left" w:pos="3306"/>
              </w:tabs>
              <w:spacing w:before="40"/>
              <w:rPr>
                <w:rFonts w:cs="Calibri"/>
                <w:b/>
                <w:color w:val="7030A0"/>
                <w:sz w:val="20"/>
                <w:szCs w:val="20"/>
              </w:rPr>
            </w:pPr>
            <w:r w:rsidRPr="000627F8">
              <w:rPr>
                <w:rFonts w:cs="Calibri"/>
                <w:color w:val="7030A0"/>
                <w:sz w:val="14"/>
              </w:rPr>
              <w:t>AASB 137.88</w:t>
            </w:r>
          </w:p>
        </w:tc>
        <w:tc>
          <w:tcPr>
            <w:tcW w:w="4194" w:type="pct"/>
            <w:gridSpan w:val="4"/>
            <w:tcBorders>
              <w:top w:val="nil"/>
              <w:left w:val="single" w:sz="2" w:space="0" w:color="auto"/>
              <w:bottom w:val="nil"/>
              <w:right w:val="nil"/>
            </w:tcBorders>
            <w:vAlign w:val="bottom"/>
          </w:tcPr>
          <w:p w14:paraId="073D731E" w14:textId="432965DC" w:rsidR="00D43DDC" w:rsidRPr="00B76E60" w:rsidRDefault="00D43DDC" w:rsidP="00D43DDC">
            <w:pPr>
              <w:spacing w:after="120"/>
              <w:jc w:val="both"/>
              <w:rPr>
                <w:sz w:val="18"/>
                <w:szCs w:val="18"/>
              </w:rPr>
            </w:pPr>
            <w:bookmarkStart w:id="709" w:name="_Toc98763153"/>
            <w:r w:rsidRPr="00B76E60">
              <w:rPr>
                <w:sz w:val="18"/>
                <w:szCs w:val="18"/>
              </w:rPr>
              <w:t xml:space="preserve">There are currently court proceedings under way to determine the Agency’s liability in relation to the farmland (see Note 33 </w:t>
            </w:r>
            <w:r w:rsidRPr="00B76E60">
              <w:rPr>
                <w:i/>
                <w:iCs/>
                <w:sz w:val="18"/>
                <w:szCs w:val="18"/>
              </w:rPr>
              <w:t>Contingent Liabilities and Contingent Assets</w:t>
            </w:r>
            <w:r w:rsidRPr="00B76E60">
              <w:rPr>
                <w:sz w:val="18"/>
                <w:szCs w:val="18"/>
              </w:rPr>
              <w:t>).</w:t>
            </w:r>
            <w:bookmarkEnd w:id="709"/>
          </w:p>
        </w:tc>
      </w:tr>
      <w:tr w:rsidR="00D43DDC" w:rsidRPr="00CF7E1B" w14:paraId="610C929F"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19DD5D2" w14:textId="77777777" w:rsidR="00D43DDC" w:rsidRPr="000627F8"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tcPr>
          <w:p w14:paraId="3F209BFA" w14:textId="602A1E6D" w:rsidR="00D43DDC" w:rsidRPr="00865E48" w:rsidRDefault="00D43DDC" w:rsidP="00D43DDC">
            <w:pPr>
              <w:jc w:val="both"/>
              <w:rPr>
                <w:b/>
                <w:bCs/>
                <w:i/>
                <w:iCs/>
                <w:caps/>
                <w:color w:val="2E74B5" w:themeColor="accent1" w:themeShade="BF"/>
                <w:sz w:val="18"/>
                <w:szCs w:val="18"/>
              </w:rPr>
            </w:pPr>
            <w:bookmarkStart w:id="710" w:name="_Toc98763154"/>
            <w:r w:rsidRPr="00865E48">
              <w:rPr>
                <w:i/>
                <w:iCs/>
                <w:color w:val="2E74B5" w:themeColor="accent1" w:themeShade="BF"/>
                <w:sz w:val="18"/>
                <w:szCs w:val="18"/>
              </w:rPr>
              <w:t>Provision for Dividend [This disclosure is primarily for territory authorities]</w:t>
            </w:r>
            <w:bookmarkEnd w:id="710"/>
          </w:p>
        </w:tc>
      </w:tr>
      <w:tr w:rsidR="00D43DDC" w:rsidRPr="00CF7E1B" w14:paraId="01DE129E"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7276CD7" w14:textId="77804838" w:rsidR="00D43DDC" w:rsidRPr="000627F8" w:rsidRDefault="00D43DDC" w:rsidP="00D43DDC">
            <w:pPr>
              <w:pStyle w:val="TableReference"/>
              <w:tabs>
                <w:tab w:val="left" w:pos="3306"/>
              </w:tabs>
              <w:rPr>
                <w:rFonts w:cs="Calibri"/>
                <w:color w:val="7030A0"/>
                <w:sz w:val="14"/>
              </w:rPr>
            </w:pPr>
            <w:r w:rsidRPr="000627F8">
              <w:rPr>
                <w:rFonts w:cs="Calibri"/>
                <w:color w:val="7030A0"/>
                <w:sz w:val="14"/>
              </w:rPr>
              <w:t>AASB 137.85</w:t>
            </w:r>
          </w:p>
        </w:tc>
        <w:tc>
          <w:tcPr>
            <w:tcW w:w="4194" w:type="pct"/>
            <w:gridSpan w:val="4"/>
            <w:tcBorders>
              <w:top w:val="nil"/>
              <w:left w:val="single" w:sz="2" w:space="0" w:color="auto"/>
              <w:bottom w:val="nil"/>
              <w:right w:val="nil"/>
            </w:tcBorders>
          </w:tcPr>
          <w:p w14:paraId="5E872688" w14:textId="0CC05241" w:rsidR="00D43DDC" w:rsidRPr="00865E48" w:rsidRDefault="00D43DDC" w:rsidP="00D43DDC">
            <w:pPr>
              <w:spacing w:after="120"/>
              <w:jc w:val="both"/>
              <w:rPr>
                <w:b/>
                <w:bCs/>
                <w:caps/>
                <w:sz w:val="18"/>
                <w:szCs w:val="18"/>
              </w:rPr>
            </w:pPr>
            <w:bookmarkStart w:id="711" w:name="_Toc98763155"/>
            <w:r w:rsidRPr="00DF58F6">
              <w:rPr>
                <w:color w:val="2E74B5" w:themeColor="accent1" w:themeShade="BF"/>
                <w:sz w:val="18"/>
                <w:szCs w:val="18"/>
              </w:rPr>
              <w:t>The Agency has proposed a final dividend of $xxx and this amount was appropriately authorised to be paid before the end of the reporting period. The amount will be paid to the ACT Government in July 2023.</w:t>
            </w:r>
            <w:bookmarkEnd w:id="711"/>
          </w:p>
        </w:tc>
      </w:tr>
      <w:tr w:rsidR="00D43DDC" w:rsidRPr="00CF7E1B" w14:paraId="01D9E0D0"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DE08F1E" w14:textId="77777777" w:rsidR="00D43DDC" w:rsidRPr="000627F8"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vAlign w:val="bottom"/>
          </w:tcPr>
          <w:p w14:paraId="1ADF4154" w14:textId="58C4655E" w:rsidR="00D43DDC" w:rsidRPr="00E41488" w:rsidRDefault="00D43DDC" w:rsidP="00D43DDC">
            <w:pPr>
              <w:jc w:val="both"/>
              <w:rPr>
                <w:b/>
                <w:bCs/>
                <w:i/>
                <w:iCs/>
                <w:caps/>
                <w:sz w:val="18"/>
                <w:szCs w:val="18"/>
              </w:rPr>
            </w:pPr>
            <w:bookmarkStart w:id="712" w:name="_Toc98763156"/>
            <w:r w:rsidRPr="00E41488">
              <w:rPr>
                <w:i/>
                <w:iCs/>
                <w:sz w:val="18"/>
                <w:szCs w:val="18"/>
              </w:rPr>
              <w:t>Provision for Make Good</w:t>
            </w:r>
            <w:bookmarkEnd w:id="712"/>
          </w:p>
        </w:tc>
      </w:tr>
      <w:tr w:rsidR="00D43DDC" w:rsidRPr="00CF7E1B" w14:paraId="3121B8E9"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646EBFCA" w14:textId="77777777" w:rsidR="00D43DDC" w:rsidRPr="000627F8" w:rsidRDefault="00D43DDC" w:rsidP="00D43DDC">
            <w:pPr>
              <w:pStyle w:val="TableReference"/>
              <w:tabs>
                <w:tab w:val="left" w:pos="3306"/>
              </w:tabs>
              <w:spacing w:before="180"/>
              <w:rPr>
                <w:rFonts w:cs="Calibri"/>
                <w:color w:val="7030A0"/>
                <w:sz w:val="14"/>
              </w:rPr>
            </w:pPr>
            <w:r w:rsidRPr="000627F8">
              <w:rPr>
                <w:rFonts w:cs="Calibri"/>
                <w:color w:val="7030A0"/>
                <w:sz w:val="14"/>
              </w:rPr>
              <w:t xml:space="preserve">AASB 137.85(a) &amp;(b) </w:t>
            </w:r>
          </w:p>
          <w:p w14:paraId="0DD12F70" w14:textId="77777777" w:rsidR="00D43DDC" w:rsidRPr="000627F8" w:rsidRDefault="00D43DDC" w:rsidP="00D43DDC">
            <w:pPr>
              <w:pStyle w:val="TableReference"/>
              <w:tabs>
                <w:tab w:val="left" w:pos="3306"/>
              </w:tabs>
              <w:rPr>
                <w:rFonts w:cs="Calibri"/>
                <w:color w:val="7030A0"/>
                <w:sz w:val="14"/>
              </w:rPr>
            </w:pPr>
          </w:p>
        </w:tc>
        <w:tc>
          <w:tcPr>
            <w:tcW w:w="4194" w:type="pct"/>
            <w:gridSpan w:val="4"/>
            <w:tcBorders>
              <w:top w:val="nil"/>
              <w:left w:val="single" w:sz="2" w:space="0" w:color="auto"/>
              <w:bottom w:val="nil"/>
              <w:right w:val="nil"/>
            </w:tcBorders>
            <w:vAlign w:val="bottom"/>
          </w:tcPr>
          <w:p w14:paraId="2D159C81" w14:textId="4CF6829A" w:rsidR="00D43DDC" w:rsidRPr="000627F8" w:rsidRDefault="00D43DDC" w:rsidP="00D43DDC">
            <w:pPr>
              <w:pStyle w:val="TableText"/>
              <w:spacing w:before="0" w:after="120"/>
              <w:jc w:val="both"/>
              <w:rPr>
                <w:rFonts w:cs="Calibri"/>
              </w:rPr>
            </w:pPr>
            <w:r w:rsidRPr="000627F8">
              <w:rPr>
                <w:rFonts w:cs="Calibri"/>
              </w:rPr>
              <w:t>On 1 July 2016 the Agency entered into a lease agreement for some office space in Civic.</w:t>
            </w:r>
            <w:r>
              <w:rPr>
                <w:rFonts w:cs="Calibri"/>
              </w:rPr>
              <w:t xml:space="preserve"> </w:t>
            </w:r>
            <w:r w:rsidRPr="000627F8">
              <w:rPr>
                <w:rFonts w:cs="Calibri"/>
              </w:rPr>
              <w:t>There are clauses within the lease agreement which require the Agency, upon cessation of the tenancy, to return the office space to the condition it was in before it was leased (this is referred to as ‘make good’).</w:t>
            </w:r>
            <w:r>
              <w:rPr>
                <w:rFonts w:cs="Calibri"/>
              </w:rPr>
              <w:t xml:space="preserve"> </w:t>
            </w:r>
            <w:r w:rsidRPr="000627F8">
              <w:rPr>
                <w:rFonts w:cs="Calibri"/>
              </w:rPr>
              <w:t>The tenancy runs for 10 years.</w:t>
            </w:r>
            <w:r>
              <w:rPr>
                <w:rFonts w:cs="Calibri"/>
              </w:rPr>
              <w:t xml:space="preserve"> </w:t>
            </w:r>
          </w:p>
        </w:tc>
      </w:tr>
      <w:tr w:rsidR="00D43DDC" w:rsidRPr="00CF7E1B" w14:paraId="6ED7604E"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105B3C2" w14:textId="77777777" w:rsidR="00D43DDC" w:rsidRPr="000627F8" w:rsidRDefault="00D43DDC" w:rsidP="00D43DDC">
            <w:pPr>
              <w:pStyle w:val="TableReference"/>
              <w:tabs>
                <w:tab w:val="left" w:pos="3306"/>
              </w:tabs>
              <w:spacing w:before="180"/>
              <w:rPr>
                <w:rFonts w:cs="Calibri"/>
                <w:color w:val="7030A0"/>
                <w:sz w:val="14"/>
              </w:rPr>
            </w:pPr>
          </w:p>
        </w:tc>
        <w:tc>
          <w:tcPr>
            <w:tcW w:w="4194" w:type="pct"/>
            <w:gridSpan w:val="4"/>
            <w:tcBorders>
              <w:top w:val="nil"/>
              <w:left w:val="single" w:sz="2" w:space="0" w:color="auto"/>
              <w:bottom w:val="nil"/>
              <w:right w:val="nil"/>
            </w:tcBorders>
            <w:vAlign w:val="bottom"/>
          </w:tcPr>
          <w:p w14:paraId="42CDDE56" w14:textId="1D1F7A58" w:rsidR="00D43DDC" w:rsidRPr="000627F8" w:rsidRDefault="00D43DDC" w:rsidP="00D43DDC">
            <w:pPr>
              <w:pStyle w:val="TableText"/>
              <w:spacing w:before="0" w:after="120"/>
              <w:jc w:val="both"/>
              <w:rPr>
                <w:rFonts w:cs="Calibri"/>
              </w:rPr>
            </w:pPr>
            <w:r w:rsidRPr="000627F8">
              <w:rPr>
                <w:rFonts w:cs="Calibri"/>
              </w:rPr>
              <w:t xml:space="preserve">The Provision for Make Good is measured at </w:t>
            </w:r>
            <w:r w:rsidRPr="000627F8">
              <w:t>the present value of the estimated expenditure required to remove the leasehold improvements.</w:t>
            </w:r>
            <w:r>
              <w:t xml:space="preserve"> </w:t>
            </w:r>
            <w:r w:rsidRPr="000627F8">
              <w:t xml:space="preserve">This is calculated </w:t>
            </w:r>
            <w:r w:rsidRPr="000627F8">
              <w:rPr>
                <w:rFonts w:cs="Calibri"/>
              </w:rPr>
              <w:t>by discounting it nominal value using a rate that reflects a current market assessment of the risk specific to the liability.</w:t>
            </w:r>
            <w:r>
              <w:rPr>
                <w:rFonts w:cs="Calibri"/>
              </w:rPr>
              <w:t xml:space="preserve"> </w:t>
            </w:r>
            <w:r w:rsidRPr="000627F8">
              <w:rPr>
                <w:rFonts w:cs="Calibri"/>
              </w:rPr>
              <w:t xml:space="preserve">This </w:t>
            </w:r>
            <w:r w:rsidRPr="000627F8">
              <w:t>initial estimate of the restoration costs has been capitalised into the cost of the building.</w:t>
            </w:r>
          </w:p>
        </w:tc>
      </w:tr>
      <w:tr w:rsidR="00D43DDC" w:rsidRPr="00CF7E1B" w14:paraId="633A0831"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5009B500" w14:textId="77777777" w:rsidR="00D43DDC" w:rsidRPr="000627F8" w:rsidRDefault="00D43DDC" w:rsidP="00D43DDC">
            <w:pPr>
              <w:pStyle w:val="TableReference"/>
              <w:tabs>
                <w:tab w:val="left" w:pos="3306"/>
              </w:tabs>
              <w:spacing w:before="180"/>
              <w:rPr>
                <w:rFonts w:cs="Calibri"/>
                <w:color w:val="7030A0"/>
                <w:sz w:val="14"/>
              </w:rPr>
            </w:pPr>
          </w:p>
        </w:tc>
        <w:tc>
          <w:tcPr>
            <w:tcW w:w="4194" w:type="pct"/>
            <w:gridSpan w:val="4"/>
            <w:tcBorders>
              <w:top w:val="nil"/>
              <w:left w:val="single" w:sz="2" w:space="0" w:color="auto"/>
              <w:bottom w:val="nil"/>
              <w:right w:val="nil"/>
            </w:tcBorders>
            <w:vAlign w:val="bottom"/>
          </w:tcPr>
          <w:p w14:paraId="1F7193A6" w14:textId="29C7288C" w:rsidR="00D43DDC" w:rsidRPr="000627F8" w:rsidRDefault="00D43DDC" w:rsidP="00D43DDC">
            <w:pPr>
              <w:pStyle w:val="TableText"/>
              <w:spacing w:before="0" w:after="180"/>
              <w:jc w:val="both"/>
              <w:rPr>
                <w:rFonts w:cs="Calibri"/>
              </w:rPr>
            </w:pPr>
            <w:r w:rsidRPr="000627F8">
              <w:rPr>
                <w:rFonts w:cs="Calibri"/>
              </w:rPr>
              <w:t>On 1 July 2016 the Agency also constructed $xxx of leasehold improvements in the building.</w:t>
            </w:r>
            <w:r>
              <w:rPr>
                <w:rFonts w:cs="Calibri"/>
              </w:rPr>
              <w:t xml:space="preserve"> </w:t>
            </w:r>
            <w:r w:rsidRPr="000627F8">
              <w:rPr>
                <w:rFonts w:cs="Calibri"/>
              </w:rPr>
              <w:t>On that date the estimated costs to make good those improvements were $xxx.</w:t>
            </w:r>
            <w:r>
              <w:rPr>
                <w:rFonts w:cs="Calibri"/>
              </w:rPr>
              <w:t xml:space="preserve"> </w:t>
            </w:r>
            <w:r w:rsidRPr="000627F8">
              <w:rPr>
                <w:rFonts w:cs="Calibri"/>
              </w:rPr>
              <w:t>At 30 June 2026 (the end of the 10 years tenancy) the approximate cost would be $xxx to meet the make good obligation.</w:t>
            </w:r>
            <w:r>
              <w:rPr>
                <w:rFonts w:cs="Calibri"/>
              </w:rPr>
              <w:t xml:space="preserve"> </w:t>
            </w:r>
            <w:r w:rsidRPr="000627F8">
              <w:rPr>
                <w:rFonts w:cs="Calibri"/>
              </w:rPr>
              <w:t xml:space="preserve">The present value of $xxx, using the 10 year Government bond rate as </w:t>
            </w:r>
            <w:r w:rsidRPr="00984C72">
              <w:rPr>
                <w:rFonts w:cs="Calibri"/>
              </w:rPr>
              <w:t>at 1 July 2016</w:t>
            </w:r>
            <w:r w:rsidRPr="000627F8">
              <w:rPr>
                <w:rFonts w:cs="Calibri"/>
              </w:rPr>
              <w:t xml:space="preserve"> (XX%), is approximately $xxx.</w:t>
            </w:r>
            <w:r>
              <w:rPr>
                <w:rFonts w:cs="Calibri"/>
              </w:rPr>
              <w:t xml:space="preserve">  </w:t>
            </w:r>
          </w:p>
        </w:tc>
      </w:tr>
      <w:tr w:rsidR="00D43DDC" w:rsidRPr="00CF7E1B" w14:paraId="009B65D1"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49D4949C" w14:textId="77777777" w:rsidR="00D43DDC" w:rsidRPr="000627F8" w:rsidRDefault="00D43DDC" w:rsidP="00D43DDC">
            <w:pPr>
              <w:pStyle w:val="TableReference"/>
              <w:tabs>
                <w:tab w:val="left" w:pos="3306"/>
              </w:tabs>
              <w:spacing w:before="40"/>
              <w:rPr>
                <w:rFonts w:cs="Calibri"/>
                <w:color w:val="7030A0"/>
                <w:sz w:val="16"/>
                <w:szCs w:val="16"/>
              </w:rPr>
            </w:pPr>
          </w:p>
        </w:tc>
        <w:tc>
          <w:tcPr>
            <w:tcW w:w="2995" w:type="pct"/>
            <w:gridSpan w:val="2"/>
            <w:tcBorders>
              <w:top w:val="nil"/>
              <w:left w:val="single" w:sz="2" w:space="0" w:color="auto"/>
              <w:bottom w:val="nil"/>
              <w:right w:val="nil"/>
            </w:tcBorders>
            <w:vAlign w:val="bottom"/>
          </w:tcPr>
          <w:p w14:paraId="7B55F212" w14:textId="77777777" w:rsidR="00D43DDC" w:rsidRPr="000627F8" w:rsidRDefault="00D43DDC" w:rsidP="00D43DDC">
            <w:pPr>
              <w:pStyle w:val="TableText"/>
              <w:tabs>
                <w:tab w:val="left" w:pos="3306"/>
              </w:tabs>
              <w:rPr>
                <w:rFonts w:cs="Calibri"/>
                <w:b/>
                <w:bCs/>
              </w:rPr>
            </w:pPr>
          </w:p>
        </w:tc>
        <w:tc>
          <w:tcPr>
            <w:tcW w:w="601" w:type="pct"/>
            <w:tcBorders>
              <w:top w:val="nil"/>
              <w:left w:val="nil"/>
              <w:bottom w:val="nil"/>
              <w:right w:val="nil"/>
            </w:tcBorders>
            <w:shd w:val="clear" w:color="auto" w:fill="auto"/>
            <w:vAlign w:val="bottom"/>
          </w:tcPr>
          <w:p w14:paraId="2B348EBB" w14:textId="1F275B53" w:rsidR="00D43DDC" w:rsidRPr="007D0487" w:rsidRDefault="00D43DDC" w:rsidP="00D43DDC">
            <w:pPr>
              <w:pStyle w:val="TableTitle"/>
              <w:tabs>
                <w:tab w:val="left" w:pos="3306"/>
              </w:tabs>
              <w:rPr>
                <w:rFonts w:cs="Calibri"/>
              </w:rPr>
            </w:pPr>
            <w:r w:rsidRPr="007D0487">
              <w:rPr>
                <w:rFonts w:cs="Calibri"/>
              </w:rPr>
              <w:t>202</w:t>
            </w:r>
            <w:r>
              <w:rPr>
                <w:rFonts w:cs="Calibri"/>
              </w:rPr>
              <w:t>3</w:t>
            </w:r>
          </w:p>
          <w:p w14:paraId="1A546EE2" w14:textId="77777777" w:rsidR="00D43DDC" w:rsidRPr="007D0487" w:rsidRDefault="00D43DDC" w:rsidP="00D43DDC">
            <w:pPr>
              <w:pStyle w:val="TableTitle"/>
              <w:tabs>
                <w:tab w:val="left" w:pos="3306"/>
              </w:tabs>
              <w:rPr>
                <w:rFonts w:cs="Calibri"/>
              </w:rPr>
            </w:pPr>
            <w:r w:rsidRPr="007D0487">
              <w:rPr>
                <w:rFonts w:cs="Calibri"/>
              </w:rPr>
              <w:t>$’000</w:t>
            </w:r>
          </w:p>
        </w:tc>
        <w:tc>
          <w:tcPr>
            <w:tcW w:w="598" w:type="pct"/>
            <w:tcBorders>
              <w:top w:val="nil"/>
              <w:left w:val="nil"/>
              <w:bottom w:val="nil"/>
              <w:right w:val="nil"/>
            </w:tcBorders>
            <w:shd w:val="clear" w:color="auto" w:fill="auto"/>
            <w:vAlign w:val="bottom"/>
          </w:tcPr>
          <w:p w14:paraId="342E8A80" w14:textId="19C182D1" w:rsidR="00D43DDC" w:rsidRPr="007D0487" w:rsidRDefault="00D43DDC" w:rsidP="00D43DDC">
            <w:pPr>
              <w:pStyle w:val="TableTitle"/>
              <w:tabs>
                <w:tab w:val="left" w:pos="3306"/>
              </w:tabs>
              <w:rPr>
                <w:rFonts w:cs="Calibri"/>
              </w:rPr>
            </w:pPr>
            <w:r w:rsidRPr="007D0487">
              <w:rPr>
                <w:rFonts w:cs="Calibri"/>
              </w:rPr>
              <w:t>202</w:t>
            </w:r>
            <w:r>
              <w:rPr>
                <w:rFonts w:cs="Calibri"/>
              </w:rPr>
              <w:t>2</w:t>
            </w:r>
          </w:p>
          <w:p w14:paraId="78842564" w14:textId="77777777" w:rsidR="00D43DDC" w:rsidRPr="007D0487" w:rsidRDefault="00D43DDC" w:rsidP="00D43DDC">
            <w:pPr>
              <w:pStyle w:val="TableTitle"/>
              <w:tabs>
                <w:tab w:val="left" w:pos="3306"/>
              </w:tabs>
              <w:rPr>
                <w:rFonts w:cs="Calibri"/>
              </w:rPr>
            </w:pPr>
            <w:r w:rsidRPr="007D0487">
              <w:rPr>
                <w:rFonts w:cs="Calibri"/>
              </w:rPr>
              <w:t>$’000</w:t>
            </w:r>
          </w:p>
        </w:tc>
      </w:tr>
      <w:tr w:rsidR="00D43DDC" w:rsidRPr="00CF7E1B" w14:paraId="531099D1"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649DB966" w14:textId="4C95D714" w:rsidR="00D43DDC" w:rsidRPr="000627F8" w:rsidRDefault="00D43DDC" w:rsidP="00D43DDC">
            <w:pPr>
              <w:pStyle w:val="TableReference"/>
              <w:tabs>
                <w:tab w:val="left" w:pos="3306"/>
              </w:tabs>
              <w:spacing w:before="60"/>
              <w:rPr>
                <w:rFonts w:cs="Calibri"/>
                <w:strike/>
                <w:color w:val="7030A0"/>
                <w:sz w:val="14"/>
              </w:rPr>
            </w:pPr>
          </w:p>
        </w:tc>
        <w:tc>
          <w:tcPr>
            <w:tcW w:w="2995" w:type="pct"/>
            <w:gridSpan w:val="2"/>
            <w:tcBorders>
              <w:top w:val="nil"/>
              <w:left w:val="single" w:sz="2" w:space="0" w:color="auto"/>
              <w:bottom w:val="nil"/>
              <w:right w:val="nil"/>
            </w:tcBorders>
            <w:vAlign w:val="bottom"/>
          </w:tcPr>
          <w:p w14:paraId="11DE59EC" w14:textId="77777777" w:rsidR="00D43DDC" w:rsidRPr="000627F8" w:rsidRDefault="00D43DDC" w:rsidP="00D43DDC">
            <w:pPr>
              <w:pStyle w:val="TableText"/>
              <w:tabs>
                <w:tab w:val="left" w:pos="3306"/>
              </w:tabs>
              <w:rPr>
                <w:rFonts w:cs="Calibri"/>
                <w:b/>
                <w:bCs/>
              </w:rPr>
            </w:pPr>
            <w:r w:rsidRPr="000627F8">
              <w:rPr>
                <w:rFonts w:cs="Calibri"/>
                <w:b/>
                <w:bCs/>
              </w:rPr>
              <w:t>Current Other Provisions</w:t>
            </w:r>
          </w:p>
        </w:tc>
        <w:tc>
          <w:tcPr>
            <w:tcW w:w="601" w:type="pct"/>
            <w:tcBorders>
              <w:top w:val="nil"/>
              <w:left w:val="nil"/>
              <w:bottom w:val="nil"/>
              <w:right w:val="nil"/>
            </w:tcBorders>
            <w:vAlign w:val="bottom"/>
          </w:tcPr>
          <w:p w14:paraId="1A2C65D7" w14:textId="77777777" w:rsidR="00D43DDC" w:rsidRPr="000627F8"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344B97F0" w14:textId="77777777" w:rsidR="00D43DDC" w:rsidRPr="000627F8" w:rsidRDefault="00D43DDC" w:rsidP="00D43DDC">
            <w:pPr>
              <w:pStyle w:val="TableText"/>
              <w:tabs>
                <w:tab w:val="left" w:pos="3306"/>
              </w:tabs>
              <w:jc w:val="right"/>
              <w:rPr>
                <w:rFonts w:cs="Calibri"/>
              </w:rPr>
            </w:pPr>
          </w:p>
        </w:tc>
      </w:tr>
      <w:tr w:rsidR="00D43DDC" w:rsidRPr="00CF7E1B" w14:paraId="7CD0D937"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EE9D9A4" w14:textId="15D83898"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2C4F45F1" w14:textId="77777777" w:rsidR="00D43DDC" w:rsidRPr="000627F8" w:rsidRDefault="00D43DDC" w:rsidP="00D43DDC">
            <w:pPr>
              <w:pStyle w:val="TableText"/>
              <w:tabs>
                <w:tab w:val="left" w:pos="3306"/>
              </w:tabs>
              <w:rPr>
                <w:rFonts w:cs="Calibri"/>
              </w:rPr>
            </w:pPr>
            <w:r w:rsidRPr="000627F8">
              <w:rPr>
                <w:rFonts w:cs="Calibri"/>
              </w:rPr>
              <w:t>Provision for Restoration of Contaminated Site</w:t>
            </w:r>
          </w:p>
        </w:tc>
        <w:tc>
          <w:tcPr>
            <w:tcW w:w="601" w:type="pct"/>
            <w:tcBorders>
              <w:top w:val="nil"/>
              <w:left w:val="nil"/>
              <w:bottom w:val="nil"/>
              <w:right w:val="nil"/>
            </w:tcBorders>
            <w:vAlign w:val="bottom"/>
          </w:tcPr>
          <w:p w14:paraId="783AEE76" w14:textId="67E185BE" w:rsidR="00D43DDC" w:rsidRPr="000627F8"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07DB22C0" w14:textId="0AF4AEC6" w:rsidR="00D43DDC" w:rsidRPr="000627F8" w:rsidRDefault="00D43DDC" w:rsidP="00D43DDC">
            <w:pPr>
              <w:pStyle w:val="TableText"/>
              <w:tabs>
                <w:tab w:val="left" w:pos="3306"/>
              </w:tabs>
              <w:jc w:val="right"/>
              <w:rPr>
                <w:rFonts w:cs="Calibri"/>
              </w:rPr>
            </w:pPr>
          </w:p>
        </w:tc>
      </w:tr>
      <w:tr w:rsidR="00D43DDC" w:rsidRPr="00CF7E1B" w14:paraId="260E0C8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32A1F65" w14:textId="1154400D"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32034ED1" w14:textId="77777777" w:rsidR="00D43DDC" w:rsidRPr="000627F8" w:rsidRDefault="00D43DDC" w:rsidP="00D43DDC">
            <w:pPr>
              <w:pStyle w:val="TableText"/>
              <w:tabs>
                <w:tab w:val="left" w:pos="3306"/>
              </w:tabs>
              <w:rPr>
                <w:rFonts w:cs="Calibri"/>
              </w:rPr>
            </w:pPr>
            <w:r w:rsidRPr="000627F8">
              <w:rPr>
                <w:rFonts w:cs="Calibri"/>
              </w:rPr>
              <w:t>Provision for Restructuring</w:t>
            </w:r>
          </w:p>
        </w:tc>
        <w:tc>
          <w:tcPr>
            <w:tcW w:w="601" w:type="pct"/>
            <w:tcBorders>
              <w:top w:val="nil"/>
              <w:left w:val="nil"/>
              <w:bottom w:val="nil"/>
              <w:right w:val="nil"/>
            </w:tcBorders>
            <w:vAlign w:val="bottom"/>
          </w:tcPr>
          <w:p w14:paraId="43F37BC5" w14:textId="6A5C3061" w:rsidR="00D43DDC" w:rsidRPr="000627F8"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6EE01838" w14:textId="51D4C37B" w:rsidR="00D43DDC" w:rsidRPr="000627F8" w:rsidRDefault="00D43DDC" w:rsidP="00D43DDC">
            <w:pPr>
              <w:pStyle w:val="TableText"/>
              <w:tabs>
                <w:tab w:val="left" w:pos="3306"/>
              </w:tabs>
              <w:jc w:val="right"/>
              <w:rPr>
                <w:rFonts w:cs="Calibri"/>
              </w:rPr>
            </w:pPr>
          </w:p>
        </w:tc>
      </w:tr>
      <w:tr w:rsidR="00D43DDC" w:rsidRPr="00CF7E1B" w14:paraId="2FC4359B"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3D49C315" w14:textId="6829E898"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51CDC263" w14:textId="00A1EC3C" w:rsidR="00D43DDC" w:rsidRPr="00CF7E1B" w:rsidRDefault="00D43DDC" w:rsidP="00D43DDC">
            <w:pPr>
              <w:pStyle w:val="TableText"/>
              <w:tabs>
                <w:tab w:val="left" w:pos="3306"/>
              </w:tabs>
              <w:rPr>
                <w:rFonts w:cs="Calibri"/>
              </w:rPr>
            </w:pPr>
            <w:r w:rsidRPr="000627F8">
              <w:rPr>
                <w:rFonts w:cs="Calibri"/>
                <w:color w:val="2E74B5" w:themeColor="accent1" w:themeShade="BF"/>
              </w:rPr>
              <w:t xml:space="preserve">Provision for Dividend </w:t>
            </w:r>
            <w:r w:rsidRPr="000627F8">
              <w:rPr>
                <w:color w:val="2E74B5" w:themeColor="accent1" w:themeShade="BF"/>
              </w:rPr>
              <w:t xml:space="preserve">[This line item is primarily for </w:t>
            </w:r>
            <w:r>
              <w:rPr>
                <w:color w:val="2E74B5" w:themeColor="accent1" w:themeShade="BF"/>
              </w:rPr>
              <w:t>t</w:t>
            </w:r>
            <w:r w:rsidRPr="000627F8">
              <w:rPr>
                <w:color w:val="2E74B5" w:themeColor="accent1" w:themeShade="BF"/>
              </w:rPr>
              <w:t xml:space="preserve">erritory </w:t>
            </w:r>
            <w:r>
              <w:rPr>
                <w:color w:val="2E74B5" w:themeColor="accent1" w:themeShade="BF"/>
              </w:rPr>
              <w:t>a</w:t>
            </w:r>
            <w:r w:rsidRPr="000627F8">
              <w:rPr>
                <w:color w:val="2E74B5" w:themeColor="accent1" w:themeShade="BF"/>
              </w:rPr>
              <w:t>uthorities]</w:t>
            </w:r>
          </w:p>
        </w:tc>
        <w:tc>
          <w:tcPr>
            <w:tcW w:w="601" w:type="pct"/>
            <w:tcBorders>
              <w:top w:val="nil"/>
              <w:left w:val="nil"/>
              <w:bottom w:val="single" w:sz="2" w:space="0" w:color="auto"/>
              <w:right w:val="nil"/>
            </w:tcBorders>
            <w:vAlign w:val="bottom"/>
          </w:tcPr>
          <w:p w14:paraId="5DA72DEC" w14:textId="77777777" w:rsidR="00D43DDC" w:rsidRPr="00CF7E1B" w:rsidRDefault="00D43DDC" w:rsidP="00D43DDC">
            <w:pPr>
              <w:pStyle w:val="TableText"/>
              <w:tabs>
                <w:tab w:val="left" w:pos="3306"/>
              </w:tabs>
              <w:jc w:val="right"/>
              <w:rPr>
                <w:rFonts w:cs="Calibri"/>
              </w:rPr>
            </w:pPr>
          </w:p>
        </w:tc>
        <w:tc>
          <w:tcPr>
            <w:tcW w:w="598" w:type="pct"/>
            <w:tcBorders>
              <w:top w:val="nil"/>
              <w:left w:val="nil"/>
              <w:bottom w:val="single" w:sz="2" w:space="0" w:color="auto"/>
              <w:right w:val="nil"/>
            </w:tcBorders>
            <w:vAlign w:val="bottom"/>
          </w:tcPr>
          <w:p w14:paraId="7199AE64" w14:textId="77777777" w:rsidR="00D43DDC" w:rsidRPr="00CF7E1B" w:rsidRDefault="00D43DDC" w:rsidP="00D43DDC">
            <w:pPr>
              <w:pStyle w:val="TableText"/>
              <w:tabs>
                <w:tab w:val="left" w:pos="3306"/>
              </w:tabs>
              <w:jc w:val="right"/>
              <w:rPr>
                <w:rFonts w:cs="Calibri"/>
              </w:rPr>
            </w:pPr>
          </w:p>
        </w:tc>
      </w:tr>
      <w:tr w:rsidR="00D43DDC" w:rsidRPr="00CF7E1B" w14:paraId="69B2FBE0"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402D449" w14:textId="77777777" w:rsidR="00D43DDC" w:rsidRPr="000627F8" w:rsidRDefault="00D43DDC" w:rsidP="00D43DDC">
            <w:pPr>
              <w:pStyle w:val="TableReference"/>
              <w:tabs>
                <w:tab w:val="left" w:pos="3306"/>
              </w:tabs>
              <w:spacing w:before="40"/>
              <w:rPr>
                <w:rFonts w:cs="Calibri"/>
                <w:color w:val="7030A0"/>
                <w:sz w:val="16"/>
                <w:szCs w:val="16"/>
              </w:rPr>
            </w:pPr>
          </w:p>
        </w:tc>
        <w:tc>
          <w:tcPr>
            <w:tcW w:w="2995" w:type="pct"/>
            <w:gridSpan w:val="2"/>
            <w:tcBorders>
              <w:top w:val="nil"/>
              <w:left w:val="single" w:sz="2" w:space="0" w:color="auto"/>
              <w:bottom w:val="nil"/>
              <w:right w:val="nil"/>
            </w:tcBorders>
            <w:vAlign w:val="bottom"/>
          </w:tcPr>
          <w:p w14:paraId="7B96AE10" w14:textId="77777777" w:rsidR="00D43DDC" w:rsidRPr="00CF7E1B" w:rsidRDefault="00D43DDC" w:rsidP="00D43DDC">
            <w:pPr>
              <w:pStyle w:val="TableText"/>
              <w:tabs>
                <w:tab w:val="left" w:pos="3306"/>
              </w:tabs>
              <w:rPr>
                <w:rFonts w:cs="Calibri"/>
                <w:b/>
                <w:bCs/>
              </w:rPr>
            </w:pPr>
            <w:r w:rsidRPr="00CF7E1B">
              <w:rPr>
                <w:rFonts w:cs="Calibri"/>
                <w:b/>
                <w:bCs/>
              </w:rPr>
              <w:t>Total Current Other Provisions</w:t>
            </w:r>
          </w:p>
        </w:tc>
        <w:tc>
          <w:tcPr>
            <w:tcW w:w="601" w:type="pct"/>
            <w:tcBorders>
              <w:top w:val="single" w:sz="2" w:space="0" w:color="auto"/>
              <w:left w:val="nil"/>
              <w:bottom w:val="single" w:sz="2" w:space="0" w:color="auto"/>
              <w:right w:val="nil"/>
            </w:tcBorders>
            <w:vAlign w:val="bottom"/>
          </w:tcPr>
          <w:p w14:paraId="5EA088D5" w14:textId="6A4C4C7B" w:rsidR="00D43DDC" w:rsidRPr="00CF7E1B" w:rsidRDefault="00D43DDC" w:rsidP="00D43DDC">
            <w:pPr>
              <w:pStyle w:val="TableText"/>
              <w:tabs>
                <w:tab w:val="left" w:pos="3306"/>
              </w:tabs>
              <w:jc w:val="right"/>
              <w:rPr>
                <w:rFonts w:cs="Calibri"/>
                <w:b/>
                <w:bCs/>
              </w:rPr>
            </w:pPr>
          </w:p>
        </w:tc>
        <w:tc>
          <w:tcPr>
            <w:tcW w:w="598" w:type="pct"/>
            <w:tcBorders>
              <w:top w:val="single" w:sz="2" w:space="0" w:color="auto"/>
              <w:left w:val="nil"/>
              <w:bottom w:val="single" w:sz="2" w:space="0" w:color="auto"/>
              <w:right w:val="nil"/>
            </w:tcBorders>
            <w:vAlign w:val="bottom"/>
          </w:tcPr>
          <w:p w14:paraId="4FAE384F" w14:textId="6DB8EC40" w:rsidR="00D43DDC" w:rsidRPr="00CF7E1B" w:rsidRDefault="00D43DDC" w:rsidP="00D43DDC">
            <w:pPr>
              <w:pStyle w:val="TableText"/>
              <w:tabs>
                <w:tab w:val="left" w:pos="3306"/>
              </w:tabs>
              <w:jc w:val="right"/>
              <w:rPr>
                <w:rFonts w:cs="Calibri"/>
                <w:b/>
                <w:bCs/>
              </w:rPr>
            </w:pPr>
          </w:p>
        </w:tc>
      </w:tr>
      <w:tr w:rsidR="00D43DDC" w:rsidRPr="00CF7E1B" w14:paraId="3EAA0993"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2759DAA" w14:textId="77777777" w:rsidR="00D43DDC" w:rsidRPr="000627F8" w:rsidRDefault="00D43DDC" w:rsidP="00D43DDC">
            <w:pPr>
              <w:pStyle w:val="TableReference"/>
              <w:tabs>
                <w:tab w:val="left" w:pos="3306"/>
              </w:tabs>
              <w:spacing w:before="40"/>
              <w:rPr>
                <w:rFonts w:cs="Calibri"/>
                <w:color w:val="7030A0"/>
                <w:sz w:val="16"/>
                <w:szCs w:val="16"/>
              </w:rPr>
            </w:pPr>
          </w:p>
        </w:tc>
        <w:tc>
          <w:tcPr>
            <w:tcW w:w="2995" w:type="pct"/>
            <w:gridSpan w:val="2"/>
            <w:tcBorders>
              <w:top w:val="nil"/>
              <w:left w:val="single" w:sz="2" w:space="0" w:color="auto"/>
              <w:bottom w:val="nil"/>
              <w:right w:val="nil"/>
            </w:tcBorders>
            <w:vAlign w:val="bottom"/>
          </w:tcPr>
          <w:p w14:paraId="452E3BB4" w14:textId="77777777" w:rsidR="00D43DDC" w:rsidRPr="00CF7E1B" w:rsidRDefault="00D43DDC" w:rsidP="00D43DDC">
            <w:pPr>
              <w:pStyle w:val="TableText"/>
              <w:tabs>
                <w:tab w:val="left" w:pos="3306"/>
              </w:tabs>
              <w:rPr>
                <w:rFonts w:cs="Calibri"/>
              </w:rPr>
            </w:pPr>
          </w:p>
        </w:tc>
        <w:tc>
          <w:tcPr>
            <w:tcW w:w="601" w:type="pct"/>
            <w:tcBorders>
              <w:top w:val="single" w:sz="2" w:space="0" w:color="auto"/>
              <w:left w:val="nil"/>
              <w:bottom w:val="nil"/>
              <w:right w:val="nil"/>
            </w:tcBorders>
            <w:vAlign w:val="bottom"/>
          </w:tcPr>
          <w:p w14:paraId="19B54408" w14:textId="77777777" w:rsidR="00D43DDC" w:rsidRPr="00CF7E1B" w:rsidRDefault="00D43DDC" w:rsidP="00D43DDC">
            <w:pPr>
              <w:pStyle w:val="TableText"/>
              <w:tabs>
                <w:tab w:val="left" w:pos="3306"/>
              </w:tabs>
              <w:jc w:val="right"/>
              <w:rPr>
                <w:rFonts w:cs="Calibri"/>
              </w:rPr>
            </w:pPr>
          </w:p>
        </w:tc>
        <w:tc>
          <w:tcPr>
            <w:tcW w:w="598" w:type="pct"/>
            <w:tcBorders>
              <w:top w:val="single" w:sz="2" w:space="0" w:color="auto"/>
              <w:left w:val="nil"/>
              <w:bottom w:val="nil"/>
              <w:right w:val="nil"/>
            </w:tcBorders>
            <w:vAlign w:val="bottom"/>
          </w:tcPr>
          <w:p w14:paraId="59FFA000" w14:textId="77777777" w:rsidR="00D43DDC" w:rsidRPr="00CF7E1B" w:rsidRDefault="00D43DDC" w:rsidP="00D43DDC">
            <w:pPr>
              <w:pStyle w:val="TableText"/>
              <w:tabs>
                <w:tab w:val="left" w:pos="3306"/>
              </w:tabs>
              <w:jc w:val="right"/>
              <w:rPr>
                <w:rFonts w:cs="Calibri"/>
              </w:rPr>
            </w:pPr>
          </w:p>
        </w:tc>
      </w:tr>
      <w:tr w:rsidR="00D43DDC" w:rsidRPr="00CF7E1B" w14:paraId="7F370766"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1C3E239F" w14:textId="2B68F24C" w:rsidR="00D43DDC" w:rsidRPr="000627F8" w:rsidRDefault="00D43DDC" w:rsidP="00D43DDC">
            <w:pPr>
              <w:pStyle w:val="TableReference"/>
              <w:tabs>
                <w:tab w:val="left" w:pos="3306"/>
              </w:tabs>
              <w:spacing w:before="60"/>
              <w:rPr>
                <w:rFonts w:cs="Calibri"/>
                <w:strike/>
                <w:color w:val="7030A0"/>
                <w:sz w:val="14"/>
              </w:rPr>
            </w:pPr>
          </w:p>
        </w:tc>
        <w:tc>
          <w:tcPr>
            <w:tcW w:w="2995" w:type="pct"/>
            <w:gridSpan w:val="2"/>
            <w:tcBorders>
              <w:top w:val="nil"/>
              <w:left w:val="single" w:sz="2" w:space="0" w:color="auto"/>
              <w:bottom w:val="nil"/>
              <w:right w:val="nil"/>
            </w:tcBorders>
            <w:vAlign w:val="bottom"/>
          </w:tcPr>
          <w:p w14:paraId="16E94EB9" w14:textId="77777777" w:rsidR="00D43DDC" w:rsidRPr="00CF7E1B" w:rsidRDefault="00D43DDC" w:rsidP="00D43DDC">
            <w:pPr>
              <w:pStyle w:val="TableText"/>
              <w:tabs>
                <w:tab w:val="left" w:pos="3306"/>
              </w:tabs>
              <w:rPr>
                <w:rFonts w:cs="Calibri"/>
                <w:b/>
                <w:bCs/>
              </w:rPr>
            </w:pPr>
            <w:r w:rsidRPr="00CF7E1B">
              <w:rPr>
                <w:rFonts w:cs="Calibri"/>
                <w:b/>
                <w:bCs/>
              </w:rPr>
              <w:t>Non-Current Other Provisions</w:t>
            </w:r>
          </w:p>
        </w:tc>
        <w:tc>
          <w:tcPr>
            <w:tcW w:w="601" w:type="pct"/>
            <w:tcBorders>
              <w:top w:val="nil"/>
              <w:left w:val="nil"/>
              <w:bottom w:val="nil"/>
              <w:right w:val="nil"/>
            </w:tcBorders>
            <w:vAlign w:val="bottom"/>
          </w:tcPr>
          <w:p w14:paraId="0F7DDF62" w14:textId="77777777" w:rsidR="00D43DDC" w:rsidRPr="00CF7E1B"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6AEF73B6" w14:textId="77777777" w:rsidR="00D43DDC" w:rsidRPr="00CF7E1B" w:rsidRDefault="00D43DDC" w:rsidP="00D43DDC">
            <w:pPr>
              <w:pStyle w:val="TableText"/>
              <w:tabs>
                <w:tab w:val="left" w:pos="3306"/>
              </w:tabs>
              <w:jc w:val="right"/>
              <w:rPr>
                <w:rFonts w:cs="Calibri"/>
              </w:rPr>
            </w:pPr>
          </w:p>
        </w:tc>
      </w:tr>
      <w:tr w:rsidR="00D43DDC" w:rsidRPr="00CF7E1B" w14:paraId="0ADB9668"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7D23BEAD" w14:textId="24699916"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5F56DEF8" w14:textId="77777777" w:rsidR="00D43DDC" w:rsidRPr="00CF7E1B" w:rsidRDefault="00D43DDC" w:rsidP="00D43DDC">
            <w:pPr>
              <w:pStyle w:val="TableText"/>
              <w:tabs>
                <w:tab w:val="left" w:pos="3306"/>
              </w:tabs>
              <w:rPr>
                <w:rFonts w:cs="Calibri"/>
              </w:rPr>
            </w:pPr>
            <w:r w:rsidRPr="00CF7E1B">
              <w:rPr>
                <w:rFonts w:cs="Calibri"/>
              </w:rPr>
              <w:t>Provision for Restoration of Contaminated Site</w:t>
            </w:r>
          </w:p>
        </w:tc>
        <w:tc>
          <w:tcPr>
            <w:tcW w:w="601" w:type="pct"/>
            <w:tcBorders>
              <w:top w:val="nil"/>
              <w:left w:val="nil"/>
              <w:bottom w:val="nil"/>
              <w:right w:val="nil"/>
            </w:tcBorders>
            <w:vAlign w:val="bottom"/>
          </w:tcPr>
          <w:p w14:paraId="22B4AE22" w14:textId="1D5BFEDD" w:rsidR="00D43DDC" w:rsidRPr="00CF7E1B"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08890042" w14:textId="0C1F06FE" w:rsidR="00D43DDC" w:rsidRPr="00CF7E1B" w:rsidRDefault="00D43DDC" w:rsidP="00D43DDC">
            <w:pPr>
              <w:pStyle w:val="TableText"/>
              <w:tabs>
                <w:tab w:val="left" w:pos="3306"/>
              </w:tabs>
              <w:jc w:val="right"/>
              <w:rPr>
                <w:rFonts w:cs="Calibri"/>
              </w:rPr>
            </w:pPr>
          </w:p>
        </w:tc>
      </w:tr>
      <w:tr w:rsidR="00D43DDC" w:rsidRPr="00CF7E1B" w14:paraId="1D20B2B5"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525D0A0" w14:textId="020AF82D"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36C1507C" w14:textId="77777777" w:rsidR="00D43DDC" w:rsidRPr="00CF7E1B" w:rsidRDefault="00D43DDC" w:rsidP="00D43DDC">
            <w:pPr>
              <w:pStyle w:val="TableText"/>
              <w:tabs>
                <w:tab w:val="left" w:pos="3306"/>
              </w:tabs>
              <w:rPr>
                <w:rFonts w:cs="Calibri"/>
              </w:rPr>
            </w:pPr>
            <w:r w:rsidRPr="00CF7E1B">
              <w:rPr>
                <w:rFonts w:cs="Calibri"/>
              </w:rPr>
              <w:t>Provision for Restructuring</w:t>
            </w:r>
          </w:p>
        </w:tc>
        <w:tc>
          <w:tcPr>
            <w:tcW w:w="601" w:type="pct"/>
            <w:tcBorders>
              <w:top w:val="nil"/>
              <w:left w:val="nil"/>
              <w:bottom w:val="nil"/>
              <w:right w:val="nil"/>
            </w:tcBorders>
            <w:vAlign w:val="bottom"/>
          </w:tcPr>
          <w:p w14:paraId="31396E07" w14:textId="44E27F7D" w:rsidR="00D43DDC" w:rsidRPr="00CF7E1B" w:rsidRDefault="00D43DDC" w:rsidP="00D43DDC">
            <w:pPr>
              <w:pStyle w:val="TableText"/>
              <w:tabs>
                <w:tab w:val="left" w:pos="3306"/>
              </w:tabs>
              <w:jc w:val="right"/>
              <w:rPr>
                <w:rFonts w:cs="Calibri"/>
              </w:rPr>
            </w:pPr>
          </w:p>
        </w:tc>
        <w:tc>
          <w:tcPr>
            <w:tcW w:w="598" w:type="pct"/>
            <w:tcBorders>
              <w:top w:val="nil"/>
              <w:left w:val="nil"/>
              <w:bottom w:val="nil"/>
              <w:right w:val="nil"/>
            </w:tcBorders>
            <w:vAlign w:val="bottom"/>
          </w:tcPr>
          <w:p w14:paraId="033ED93D" w14:textId="6D4D2DCA" w:rsidR="00D43DDC" w:rsidRPr="00CF7E1B" w:rsidRDefault="00D43DDC" w:rsidP="00D43DDC">
            <w:pPr>
              <w:pStyle w:val="TableText"/>
              <w:tabs>
                <w:tab w:val="left" w:pos="3306"/>
              </w:tabs>
              <w:jc w:val="right"/>
              <w:rPr>
                <w:rFonts w:cs="Calibri"/>
              </w:rPr>
            </w:pPr>
          </w:p>
        </w:tc>
      </w:tr>
      <w:tr w:rsidR="00D43DDC" w:rsidRPr="00CF7E1B" w14:paraId="6A0CD5A7"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A74906B" w14:textId="7CD4D8FF" w:rsidR="00D43DDC" w:rsidRPr="000627F8" w:rsidRDefault="00D43DDC" w:rsidP="00D43DDC">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2995" w:type="pct"/>
            <w:gridSpan w:val="2"/>
            <w:tcBorders>
              <w:top w:val="nil"/>
              <w:left w:val="single" w:sz="2" w:space="0" w:color="auto"/>
              <w:bottom w:val="nil"/>
              <w:right w:val="nil"/>
            </w:tcBorders>
            <w:vAlign w:val="bottom"/>
          </w:tcPr>
          <w:p w14:paraId="34D50801" w14:textId="77777777" w:rsidR="00D43DDC" w:rsidRPr="00CF7E1B" w:rsidRDefault="00D43DDC" w:rsidP="00D43DDC">
            <w:pPr>
              <w:pStyle w:val="TableText"/>
              <w:tabs>
                <w:tab w:val="left" w:pos="3306"/>
              </w:tabs>
              <w:rPr>
                <w:rFonts w:cs="Calibri"/>
              </w:rPr>
            </w:pPr>
            <w:r w:rsidRPr="00CF7E1B">
              <w:rPr>
                <w:rFonts w:cs="Calibri"/>
              </w:rPr>
              <w:t>Provision for Make Good</w:t>
            </w:r>
          </w:p>
        </w:tc>
        <w:tc>
          <w:tcPr>
            <w:tcW w:w="601" w:type="pct"/>
            <w:tcBorders>
              <w:top w:val="nil"/>
              <w:left w:val="nil"/>
              <w:bottom w:val="single" w:sz="2" w:space="0" w:color="auto"/>
              <w:right w:val="nil"/>
            </w:tcBorders>
            <w:vAlign w:val="bottom"/>
          </w:tcPr>
          <w:p w14:paraId="6BA0CB81" w14:textId="369C2606" w:rsidR="00D43DDC" w:rsidRPr="00CF7E1B" w:rsidRDefault="00D43DDC" w:rsidP="00D43DDC">
            <w:pPr>
              <w:pStyle w:val="TableText"/>
              <w:tabs>
                <w:tab w:val="left" w:pos="3306"/>
              </w:tabs>
              <w:jc w:val="right"/>
              <w:rPr>
                <w:rFonts w:cs="Calibri"/>
              </w:rPr>
            </w:pPr>
          </w:p>
        </w:tc>
        <w:tc>
          <w:tcPr>
            <w:tcW w:w="598" w:type="pct"/>
            <w:tcBorders>
              <w:top w:val="nil"/>
              <w:left w:val="nil"/>
              <w:bottom w:val="single" w:sz="2" w:space="0" w:color="auto"/>
              <w:right w:val="nil"/>
            </w:tcBorders>
            <w:vAlign w:val="bottom"/>
          </w:tcPr>
          <w:p w14:paraId="12ABF619" w14:textId="4041C7D6" w:rsidR="00D43DDC" w:rsidRPr="00CF7E1B" w:rsidRDefault="00D43DDC" w:rsidP="00D43DDC">
            <w:pPr>
              <w:pStyle w:val="TableText"/>
              <w:tabs>
                <w:tab w:val="left" w:pos="3306"/>
              </w:tabs>
              <w:jc w:val="right"/>
              <w:rPr>
                <w:rFonts w:cs="Calibri"/>
              </w:rPr>
            </w:pPr>
          </w:p>
        </w:tc>
      </w:tr>
      <w:tr w:rsidR="00D43DDC" w:rsidRPr="00CF7E1B" w14:paraId="3FBDD308"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096D46D5" w14:textId="77777777" w:rsidR="00D43DDC" w:rsidRPr="000627F8" w:rsidRDefault="00D43DDC" w:rsidP="00D43DDC">
            <w:pPr>
              <w:pStyle w:val="TableReference"/>
              <w:tabs>
                <w:tab w:val="left" w:pos="3306"/>
              </w:tabs>
              <w:spacing w:before="40"/>
              <w:rPr>
                <w:rFonts w:cs="Calibri"/>
                <w:color w:val="7030A0"/>
                <w:sz w:val="16"/>
                <w:szCs w:val="16"/>
              </w:rPr>
            </w:pPr>
          </w:p>
        </w:tc>
        <w:tc>
          <w:tcPr>
            <w:tcW w:w="2995" w:type="pct"/>
            <w:gridSpan w:val="2"/>
            <w:tcBorders>
              <w:top w:val="nil"/>
              <w:left w:val="single" w:sz="2" w:space="0" w:color="auto"/>
              <w:bottom w:val="nil"/>
              <w:right w:val="nil"/>
            </w:tcBorders>
            <w:vAlign w:val="bottom"/>
          </w:tcPr>
          <w:p w14:paraId="404300B7" w14:textId="77777777" w:rsidR="00D43DDC" w:rsidRPr="00CF7E1B" w:rsidRDefault="00D43DDC" w:rsidP="00D43DDC">
            <w:pPr>
              <w:pStyle w:val="TableText"/>
              <w:tabs>
                <w:tab w:val="left" w:pos="3306"/>
              </w:tabs>
              <w:rPr>
                <w:rFonts w:cs="Calibri"/>
                <w:b/>
                <w:bCs/>
              </w:rPr>
            </w:pPr>
            <w:r w:rsidRPr="00CF7E1B">
              <w:rPr>
                <w:rFonts w:cs="Calibri"/>
                <w:b/>
                <w:bCs/>
              </w:rPr>
              <w:t>Total Non-Current Other Provisions</w:t>
            </w:r>
          </w:p>
        </w:tc>
        <w:tc>
          <w:tcPr>
            <w:tcW w:w="601" w:type="pct"/>
            <w:tcBorders>
              <w:top w:val="single" w:sz="2" w:space="0" w:color="auto"/>
              <w:left w:val="nil"/>
              <w:bottom w:val="single" w:sz="2" w:space="0" w:color="auto"/>
              <w:right w:val="nil"/>
            </w:tcBorders>
            <w:vAlign w:val="bottom"/>
          </w:tcPr>
          <w:p w14:paraId="657F542E" w14:textId="7A28FF06" w:rsidR="00D43DDC" w:rsidRPr="00CF7E1B" w:rsidRDefault="00D43DDC" w:rsidP="00D43DDC">
            <w:pPr>
              <w:pStyle w:val="TableText"/>
              <w:tabs>
                <w:tab w:val="left" w:pos="3306"/>
              </w:tabs>
              <w:jc w:val="right"/>
              <w:rPr>
                <w:rFonts w:cs="Calibri"/>
                <w:b/>
                <w:bCs/>
              </w:rPr>
            </w:pPr>
          </w:p>
        </w:tc>
        <w:tc>
          <w:tcPr>
            <w:tcW w:w="598" w:type="pct"/>
            <w:tcBorders>
              <w:top w:val="single" w:sz="2" w:space="0" w:color="auto"/>
              <w:left w:val="nil"/>
              <w:bottom w:val="single" w:sz="2" w:space="0" w:color="auto"/>
              <w:right w:val="nil"/>
            </w:tcBorders>
            <w:vAlign w:val="bottom"/>
          </w:tcPr>
          <w:p w14:paraId="60CD5189" w14:textId="1F6B8062" w:rsidR="00D43DDC" w:rsidRPr="00CF7E1B" w:rsidRDefault="00D43DDC" w:rsidP="00D43DDC">
            <w:pPr>
              <w:pStyle w:val="TableText"/>
              <w:tabs>
                <w:tab w:val="left" w:pos="3306"/>
              </w:tabs>
              <w:jc w:val="right"/>
              <w:rPr>
                <w:rFonts w:cs="Calibri"/>
                <w:b/>
                <w:bCs/>
              </w:rPr>
            </w:pPr>
          </w:p>
        </w:tc>
      </w:tr>
      <w:tr w:rsidR="00D43DDC" w:rsidRPr="00CF7E1B" w14:paraId="6610A02F" w14:textId="77777777" w:rsidTr="00D43DDC">
        <w:trPr>
          <w:gridAfter w:val="2"/>
          <w:wAfter w:w="69" w:type="pct"/>
          <w:cantSplit/>
          <w:trHeight w:val="23"/>
        </w:trPr>
        <w:tc>
          <w:tcPr>
            <w:tcW w:w="737" w:type="pct"/>
            <w:tcBorders>
              <w:top w:val="nil"/>
              <w:left w:val="single" w:sz="2" w:space="0" w:color="auto"/>
              <w:bottom w:val="nil"/>
              <w:right w:val="single" w:sz="2" w:space="0" w:color="auto"/>
            </w:tcBorders>
          </w:tcPr>
          <w:p w14:paraId="220F3E98" w14:textId="77777777" w:rsidR="00D43DDC" w:rsidRPr="000627F8" w:rsidRDefault="00D43DDC" w:rsidP="00D43DDC">
            <w:pPr>
              <w:pStyle w:val="TableReference"/>
              <w:tabs>
                <w:tab w:val="left" w:pos="3306"/>
              </w:tabs>
              <w:spacing w:before="40"/>
              <w:rPr>
                <w:rFonts w:cs="Calibri"/>
                <w:color w:val="7030A0"/>
                <w:sz w:val="16"/>
                <w:szCs w:val="16"/>
              </w:rPr>
            </w:pPr>
          </w:p>
        </w:tc>
        <w:tc>
          <w:tcPr>
            <w:tcW w:w="2995" w:type="pct"/>
            <w:gridSpan w:val="2"/>
            <w:tcBorders>
              <w:top w:val="nil"/>
              <w:left w:val="single" w:sz="2" w:space="0" w:color="auto"/>
              <w:bottom w:val="nil"/>
              <w:right w:val="nil"/>
            </w:tcBorders>
            <w:vAlign w:val="bottom"/>
          </w:tcPr>
          <w:p w14:paraId="3DE11EAB" w14:textId="77777777" w:rsidR="00D43DDC" w:rsidRPr="00CF7E1B" w:rsidRDefault="00D43DDC" w:rsidP="00D43DDC">
            <w:pPr>
              <w:pStyle w:val="TableText"/>
              <w:tabs>
                <w:tab w:val="left" w:pos="3306"/>
              </w:tabs>
              <w:rPr>
                <w:rFonts w:cs="Calibri"/>
                <w:b/>
                <w:bCs/>
              </w:rPr>
            </w:pPr>
            <w:r w:rsidRPr="00CF7E1B">
              <w:rPr>
                <w:rFonts w:cs="Calibri"/>
                <w:b/>
                <w:bCs/>
              </w:rPr>
              <w:t xml:space="preserve">Total Other Provisions </w:t>
            </w:r>
          </w:p>
        </w:tc>
        <w:tc>
          <w:tcPr>
            <w:tcW w:w="601" w:type="pct"/>
            <w:tcBorders>
              <w:top w:val="single" w:sz="2" w:space="0" w:color="auto"/>
              <w:left w:val="nil"/>
              <w:bottom w:val="double" w:sz="4" w:space="0" w:color="auto"/>
              <w:right w:val="nil"/>
            </w:tcBorders>
            <w:vAlign w:val="bottom"/>
          </w:tcPr>
          <w:p w14:paraId="00624A9C" w14:textId="6C18E4DE" w:rsidR="00D43DDC" w:rsidRPr="00CF7E1B" w:rsidRDefault="00D43DDC" w:rsidP="00D43DDC">
            <w:pPr>
              <w:pStyle w:val="TableText"/>
              <w:tabs>
                <w:tab w:val="left" w:pos="3306"/>
              </w:tabs>
              <w:jc w:val="right"/>
              <w:rPr>
                <w:rFonts w:cs="Calibri"/>
                <w:b/>
                <w:bCs/>
              </w:rPr>
            </w:pPr>
          </w:p>
        </w:tc>
        <w:tc>
          <w:tcPr>
            <w:tcW w:w="598" w:type="pct"/>
            <w:tcBorders>
              <w:top w:val="single" w:sz="2" w:space="0" w:color="auto"/>
              <w:left w:val="nil"/>
              <w:bottom w:val="double" w:sz="4" w:space="0" w:color="auto"/>
              <w:right w:val="nil"/>
            </w:tcBorders>
            <w:vAlign w:val="bottom"/>
          </w:tcPr>
          <w:p w14:paraId="55D4F6E5" w14:textId="11CC77B4" w:rsidR="00D43DDC" w:rsidRPr="00CF7E1B" w:rsidRDefault="00D43DDC" w:rsidP="00D43DDC">
            <w:pPr>
              <w:pStyle w:val="TableText"/>
              <w:tabs>
                <w:tab w:val="left" w:pos="3306"/>
              </w:tabs>
              <w:jc w:val="right"/>
              <w:rPr>
                <w:rFonts w:cs="Calibri"/>
                <w:b/>
                <w:bCs/>
              </w:rPr>
            </w:pPr>
          </w:p>
        </w:tc>
      </w:tr>
    </w:tbl>
    <w:p w14:paraId="09BC1C48" w14:textId="77777777" w:rsidR="00E63454" w:rsidRDefault="00E63454">
      <w:pPr>
        <w:rPr>
          <w:rFonts w:cs="Calibri"/>
          <w:b/>
          <w:bCs/>
        </w:rPr>
        <w:sectPr w:rsidR="00E63454" w:rsidSect="008E65BF">
          <w:footnotePr>
            <w:numRestart w:val="eachPage"/>
          </w:footnotePr>
          <w:pgSz w:w="11907" w:h="16840" w:code="9"/>
          <w:pgMar w:top="567" w:right="680" w:bottom="567" w:left="680" w:header="720" w:footer="313" w:gutter="0"/>
          <w:cols w:space="720"/>
          <w:docGrid w:linePitch="326"/>
        </w:sectPr>
      </w:pPr>
    </w:p>
    <w:p w14:paraId="6C252ABE" w14:textId="4FCE4818" w:rsidR="006F7D34" w:rsidRDefault="006F7D34">
      <w:pPr>
        <w:rPr>
          <w:rFonts w:cs="Calibri"/>
          <w:b/>
          <w:bCs/>
        </w:rPr>
      </w:pPr>
    </w:p>
    <w:tbl>
      <w:tblPr>
        <w:tblStyle w:val="TableGrid"/>
        <w:tblW w:w="15309" w:type="dxa"/>
        <w:tblInd w:w="137" w:type="dxa"/>
        <w:tblBorders>
          <w:top w:val="none" w:sz="0" w:space="0" w:color="auto"/>
          <w:bottom w:val="none" w:sz="0" w:space="0" w:color="auto"/>
          <w:insideH w:val="none" w:sz="0" w:space="0" w:color="auto"/>
        </w:tblBorders>
        <w:tblLook w:val="04A0" w:firstRow="1" w:lastRow="0" w:firstColumn="1" w:lastColumn="0" w:noHBand="0" w:noVBand="1"/>
      </w:tblPr>
      <w:tblGrid>
        <w:gridCol w:w="1559"/>
        <w:gridCol w:w="4820"/>
        <w:gridCol w:w="2268"/>
        <w:gridCol w:w="2268"/>
        <w:gridCol w:w="2126"/>
        <w:gridCol w:w="2268"/>
      </w:tblGrid>
      <w:tr w:rsidR="00C53155" w14:paraId="1E0D4347" w14:textId="77777777" w:rsidTr="0004564D">
        <w:tc>
          <w:tcPr>
            <w:tcW w:w="1559" w:type="dxa"/>
            <w:tcBorders>
              <w:left w:val="single" w:sz="4" w:space="0" w:color="auto"/>
              <w:right w:val="single" w:sz="4" w:space="0" w:color="auto"/>
            </w:tcBorders>
          </w:tcPr>
          <w:p w14:paraId="57325187" w14:textId="59663CB4" w:rsidR="00C53155" w:rsidRPr="000627F8" w:rsidRDefault="00C53155" w:rsidP="00C53155">
            <w:pPr>
              <w:spacing w:before="240" w:after="240"/>
              <w:rPr>
                <w:rFonts w:cs="Calibri"/>
                <w:b/>
                <w:bCs/>
                <w:color w:val="7030A0"/>
              </w:rPr>
            </w:pPr>
            <w:r w:rsidRPr="000627F8">
              <w:rPr>
                <w:rFonts w:cs="Calibri"/>
                <w:b/>
                <w:color w:val="7030A0"/>
                <w:szCs w:val="22"/>
              </w:rPr>
              <w:t>Reference</w:t>
            </w:r>
          </w:p>
        </w:tc>
        <w:tc>
          <w:tcPr>
            <w:tcW w:w="13750" w:type="dxa"/>
            <w:gridSpan w:val="5"/>
            <w:tcBorders>
              <w:left w:val="single" w:sz="4" w:space="0" w:color="auto"/>
              <w:right w:val="nil"/>
            </w:tcBorders>
          </w:tcPr>
          <w:p w14:paraId="630DA8B0" w14:textId="25102768" w:rsidR="00C53155" w:rsidRPr="000627F8" w:rsidRDefault="00C53155" w:rsidP="00C53155">
            <w:pPr>
              <w:spacing w:before="240" w:after="240"/>
              <w:rPr>
                <w:rFonts w:cs="Calibri"/>
                <w:b/>
                <w:bCs/>
              </w:rPr>
            </w:pPr>
            <w:r w:rsidRPr="000627F8">
              <w:rPr>
                <w:rFonts w:ascii="Arial Bold" w:hAnsi="Arial Bold" w:cs="Arial"/>
                <w:b/>
                <w:caps/>
                <w:sz w:val="32"/>
                <w:szCs w:val="32"/>
              </w:rPr>
              <w:t>Note 28.</w:t>
            </w:r>
            <w:r w:rsidR="00FA7C77">
              <w:rPr>
                <w:rFonts w:ascii="Arial Bold" w:hAnsi="Arial Bold" w:cs="Arial"/>
                <w:b/>
                <w:caps/>
                <w:sz w:val="32"/>
                <w:szCs w:val="32"/>
              </w:rPr>
              <w:t xml:space="preserve"> </w:t>
            </w:r>
            <w:r w:rsidRPr="000627F8">
              <w:rPr>
                <w:rFonts w:ascii="Arial Bold" w:hAnsi="Arial Bold" w:cs="Arial"/>
                <w:b/>
                <w:caps/>
                <w:sz w:val="32"/>
                <w:szCs w:val="32"/>
              </w:rPr>
              <w:t xml:space="preserve"> Other Provisions – Continued</w:t>
            </w:r>
          </w:p>
        </w:tc>
      </w:tr>
      <w:tr w:rsidR="00C53155" w14:paraId="44A8B575" w14:textId="77777777" w:rsidTr="0004564D">
        <w:tc>
          <w:tcPr>
            <w:tcW w:w="1559" w:type="dxa"/>
            <w:tcBorders>
              <w:left w:val="single" w:sz="4" w:space="0" w:color="auto"/>
              <w:right w:val="single" w:sz="4" w:space="0" w:color="auto"/>
            </w:tcBorders>
          </w:tcPr>
          <w:p w14:paraId="13741462" w14:textId="77777777" w:rsidR="00C53155" w:rsidRPr="000627F8" w:rsidRDefault="00C53155">
            <w:pPr>
              <w:rPr>
                <w:rFonts w:cs="Calibri"/>
                <w:b/>
                <w:bCs/>
                <w:color w:val="7030A0"/>
              </w:rPr>
            </w:pPr>
          </w:p>
        </w:tc>
        <w:tc>
          <w:tcPr>
            <w:tcW w:w="13750" w:type="dxa"/>
            <w:gridSpan w:val="5"/>
            <w:tcBorders>
              <w:left w:val="single" w:sz="4" w:space="0" w:color="auto"/>
              <w:right w:val="nil"/>
            </w:tcBorders>
          </w:tcPr>
          <w:p w14:paraId="29EB5856" w14:textId="3C4D49B8" w:rsidR="00C53155" w:rsidRPr="000627F8" w:rsidRDefault="00C53155">
            <w:pPr>
              <w:rPr>
                <w:rFonts w:cs="Calibri"/>
                <w:b/>
                <w:bCs/>
              </w:rPr>
            </w:pPr>
            <w:r w:rsidRPr="000627F8">
              <w:rPr>
                <w:b/>
                <w:sz w:val="18"/>
                <w:szCs w:val="18"/>
              </w:rPr>
              <w:t>Reconciliation of Other Provisions – 202</w:t>
            </w:r>
            <w:r w:rsidR="007D0487">
              <w:rPr>
                <w:b/>
                <w:sz w:val="18"/>
                <w:szCs w:val="18"/>
              </w:rPr>
              <w:t>2</w:t>
            </w:r>
            <w:r w:rsidRPr="000627F8">
              <w:rPr>
                <w:b/>
                <w:sz w:val="18"/>
                <w:szCs w:val="18"/>
              </w:rPr>
              <w:t>-2</w:t>
            </w:r>
            <w:r w:rsidR="007D0487">
              <w:rPr>
                <w:b/>
                <w:sz w:val="18"/>
                <w:szCs w:val="18"/>
              </w:rPr>
              <w:t>3</w:t>
            </w:r>
          </w:p>
        </w:tc>
      </w:tr>
      <w:tr w:rsidR="00EB1058" w14:paraId="0BD16A06" w14:textId="77777777" w:rsidTr="0004564D">
        <w:tc>
          <w:tcPr>
            <w:tcW w:w="1559" w:type="dxa"/>
            <w:tcBorders>
              <w:left w:val="single" w:sz="4" w:space="0" w:color="auto"/>
              <w:right w:val="single" w:sz="4" w:space="0" w:color="auto"/>
            </w:tcBorders>
          </w:tcPr>
          <w:p w14:paraId="0E5D88EC" w14:textId="77777777" w:rsidR="00EB1058" w:rsidRPr="000627F8" w:rsidRDefault="00EB1058" w:rsidP="00E63454">
            <w:pPr>
              <w:rPr>
                <w:rFonts w:cs="Calibri"/>
                <w:b/>
                <w:bCs/>
                <w:color w:val="7030A0"/>
              </w:rPr>
            </w:pPr>
          </w:p>
        </w:tc>
        <w:tc>
          <w:tcPr>
            <w:tcW w:w="4820" w:type="dxa"/>
            <w:tcBorders>
              <w:left w:val="single" w:sz="4" w:space="0" w:color="auto"/>
              <w:right w:val="nil"/>
            </w:tcBorders>
          </w:tcPr>
          <w:p w14:paraId="355A905D" w14:textId="77777777" w:rsidR="00EB1058" w:rsidRPr="000627F8" w:rsidRDefault="00EB1058" w:rsidP="00E63454">
            <w:pPr>
              <w:rPr>
                <w:rFonts w:cs="Calibri"/>
                <w:b/>
                <w:bCs/>
              </w:rPr>
            </w:pPr>
          </w:p>
        </w:tc>
        <w:tc>
          <w:tcPr>
            <w:tcW w:w="8930" w:type="dxa"/>
            <w:gridSpan w:val="4"/>
            <w:tcBorders>
              <w:left w:val="nil"/>
              <w:bottom w:val="single" w:sz="4" w:space="0" w:color="auto"/>
              <w:right w:val="nil"/>
            </w:tcBorders>
            <w:vAlign w:val="center"/>
          </w:tcPr>
          <w:p w14:paraId="67DFB28B" w14:textId="270A6748" w:rsidR="00EB1058" w:rsidRPr="000627F8" w:rsidRDefault="00EB1058" w:rsidP="00EB1058">
            <w:pPr>
              <w:jc w:val="center"/>
              <w:rPr>
                <w:rFonts w:asciiTheme="minorHAnsi" w:hAnsiTheme="minorHAnsi" w:cstheme="minorHAnsi"/>
                <w:b/>
                <w:bCs/>
                <w:sz w:val="18"/>
                <w:szCs w:val="18"/>
              </w:rPr>
            </w:pPr>
            <w:r w:rsidRPr="000627F8">
              <w:rPr>
                <w:rFonts w:asciiTheme="minorHAnsi" w:hAnsiTheme="minorHAnsi" w:cstheme="minorHAnsi"/>
                <w:b/>
                <w:bCs/>
                <w:sz w:val="18"/>
                <w:szCs w:val="18"/>
              </w:rPr>
              <w:t>Provision for:</w:t>
            </w:r>
          </w:p>
        </w:tc>
      </w:tr>
      <w:tr w:rsidR="00E63454" w14:paraId="446F2116" w14:textId="77777777" w:rsidTr="0004564D">
        <w:tc>
          <w:tcPr>
            <w:tcW w:w="1559" w:type="dxa"/>
            <w:tcBorders>
              <w:left w:val="single" w:sz="4" w:space="0" w:color="auto"/>
              <w:right w:val="single" w:sz="4" w:space="0" w:color="auto"/>
            </w:tcBorders>
          </w:tcPr>
          <w:p w14:paraId="2AB84171"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79B35481" w14:textId="77777777" w:rsidR="00E63454" w:rsidRPr="000627F8" w:rsidRDefault="00E63454" w:rsidP="00E63454">
            <w:pPr>
              <w:rPr>
                <w:rFonts w:cs="Calibri"/>
                <w:b/>
                <w:bCs/>
              </w:rPr>
            </w:pPr>
          </w:p>
        </w:tc>
        <w:tc>
          <w:tcPr>
            <w:tcW w:w="2268" w:type="dxa"/>
            <w:tcBorders>
              <w:top w:val="single" w:sz="4" w:space="0" w:color="auto"/>
              <w:left w:val="nil"/>
              <w:right w:val="nil"/>
            </w:tcBorders>
            <w:vAlign w:val="bottom"/>
          </w:tcPr>
          <w:p w14:paraId="6FBDCB80" w14:textId="68D9D4FF" w:rsidR="00E63454" w:rsidRPr="000627F8" w:rsidRDefault="00E63454" w:rsidP="00E63454">
            <w:pPr>
              <w:jc w:val="right"/>
              <w:rPr>
                <w:rFonts w:cs="Calibri"/>
                <w:b/>
                <w:bCs/>
              </w:rPr>
            </w:pPr>
            <w:r w:rsidRPr="000627F8">
              <w:rPr>
                <w:rFonts w:asciiTheme="minorHAnsi" w:hAnsiTheme="minorHAnsi" w:cstheme="minorHAnsi"/>
                <w:b/>
                <w:bCs/>
                <w:sz w:val="18"/>
                <w:szCs w:val="18"/>
              </w:rPr>
              <w:t>Restructuring</w:t>
            </w:r>
          </w:p>
        </w:tc>
        <w:tc>
          <w:tcPr>
            <w:tcW w:w="2268" w:type="dxa"/>
            <w:tcBorders>
              <w:top w:val="single" w:sz="4" w:space="0" w:color="auto"/>
              <w:left w:val="nil"/>
              <w:right w:val="nil"/>
            </w:tcBorders>
            <w:vAlign w:val="bottom"/>
          </w:tcPr>
          <w:p w14:paraId="5F34EA67" w14:textId="78F2C792" w:rsidR="00E63454" w:rsidRPr="000627F8" w:rsidRDefault="00E63454" w:rsidP="00E63454">
            <w:pPr>
              <w:jc w:val="right"/>
              <w:rPr>
                <w:rFonts w:cs="Calibri"/>
                <w:b/>
                <w:bCs/>
              </w:rPr>
            </w:pPr>
            <w:r w:rsidRPr="000627F8">
              <w:rPr>
                <w:rFonts w:asciiTheme="minorHAnsi" w:hAnsiTheme="minorHAnsi" w:cstheme="minorHAnsi"/>
                <w:b/>
                <w:bCs/>
                <w:sz w:val="18"/>
                <w:szCs w:val="18"/>
              </w:rPr>
              <w:t>Restoration of Contaminated Site</w:t>
            </w:r>
          </w:p>
        </w:tc>
        <w:tc>
          <w:tcPr>
            <w:tcW w:w="2126" w:type="dxa"/>
            <w:tcBorders>
              <w:top w:val="single" w:sz="4" w:space="0" w:color="auto"/>
              <w:left w:val="nil"/>
              <w:right w:val="nil"/>
            </w:tcBorders>
            <w:vAlign w:val="bottom"/>
          </w:tcPr>
          <w:p w14:paraId="0C1169D5" w14:textId="14DF2DF8" w:rsidR="00E63454" w:rsidRPr="000627F8" w:rsidRDefault="00E63454" w:rsidP="00E63454">
            <w:pPr>
              <w:jc w:val="right"/>
              <w:rPr>
                <w:rFonts w:cs="Calibri"/>
                <w:b/>
                <w:bCs/>
              </w:rPr>
            </w:pPr>
            <w:r w:rsidRPr="000627F8">
              <w:rPr>
                <w:rFonts w:asciiTheme="minorHAnsi" w:hAnsiTheme="minorHAnsi" w:cstheme="minorHAnsi"/>
                <w:b/>
                <w:bCs/>
                <w:sz w:val="18"/>
                <w:szCs w:val="18"/>
              </w:rPr>
              <w:t>Make Good</w:t>
            </w:r>
          </w:p>
        </w:tc>
        <w:tc>
          <w:tcPr>
            <w:tcW w:w="2268" w:type="dxa"/>
            <w:tcBorders>
              <w:top w:val="single" w:sz="4" w:space="0" w:color="auto"/>
              <w:left w:val="nil"/>
              <w:right w:val="nil"/>
            </w:tcBorders>
            <w:vAlign w:val="bottom"/>
          </w:tcPr>
          <w:p w14:paraId="1315BFE3" w14:textId="50F3355F" w:rsidR="00E63454" w:rsidRPr="000627F8" w:rsidRDefault="00E63454" w:rsidP="00E63454">
            <w:pPr>
              <w:jc w:val="right"/>
              <w:rPr>
                <w:rFonts w:cs="Calibri"/>
                <w:b/>
                <w:bCs/>
              </w:rPr>
            </w:pPr>
            <w:r w:rsidRPr="000627F8">
              <w:rPr>
                <w:rFonts w:asciiTheme="minorHAnsi" w:hAnsiTheme="minorHAnsi" w:cstheme="minorHAnsi"/>
                <w:b/>
                <w:bCs/>
                <w:sz w:val="18"/>
                <w:szCs w:val="18"/>
              </w:rPr>
              <w:t>Dividends</w:t>
            </w:r>
          </w:p>
        </w:tc>
      </w:tr>
      <w:tr w:rsidR="00E63454" w14:paraId="6383FD3D" w14:textId="77777777" w:rsidTr="0004564D">
        <w:tc>
          <w:tcPr>
            <w:tcW w:w="1559" w:type="dxa"/>
            <w:tcBorders>
              <w:left w:val="single" w:sz="4" w:space="0" w:color="auto"/>
              <w:right w:val="single" w:sz="4" w:space="0" w:color="auto"/>
            </w:tcBorders>
          </w:tcPr>
          <w:p w14:paraId="7655169D"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39518C22" w14:textId="77777777" w:rsidR="00E63454" w:rsidRPr="000627F8" w:rsidRDefault="00E63454" w:rsidP="00E63454">
            <w:pPr>
              <w:rPr>
                <w:rFonts w:cs="Calibri"/>
                <w:b/>
                <w:bCs/>
              </w:rPr>
            </w:pPr>
          </w:p>
        </w:tc>
        <w:tc>
          <w:tcPr>
            <w:tcW w:w="2268" w:type="dxa"/>
            <w:tcBorders>
              <w:left w:val="nil"/>
              <w:right w:val="nil"/>
            </w:tcBorders>
            <w:vAlign w:val="bottom"/>
          </w:tcPr>
          <w:p w14:paraId="0879BB03" w14:textId="357F7DEC" w:rsidR="00E63454" w:rsidRPr="000627F8" w:rsidRDefault="00E63454" w:rsidP="00E63454">
            <w:pPr>
              <w:jc w:val="right"/>
              <w:rPr>
                <w:rFonts w:cs="Calibri"/>
                <w:b/>
                <w:bCs/>
                <w:sz w:val="18"/>
                <w:szCs w:val="18"/>
              </w:rPr>
            </w:pPr>
            <w:r w:rsidRPr="000627F8">
              <w:rPr>
                <w:rFonts w:cs="Calibri"/>
                <w:b/>
                <w:bCs/>
                <w:sz w:val="18"/>
                <w:szCs w:val="18"/>
              </w:rPr>
              <w:t>$’000</w:t>
            </w:r>
          </w:p>
        </w:tc>
        <w:tc>
          <w:tcPr>
            <w:tcW w:w="2268" w:type="dxa"/>
            <w:tcBorders>
              <w:left w:val="nil"/>
              <w:right w:val="nil"/>
            </w:tcBorders>
            <w:vAlign w:val="bottom"/>
          </w:tcPr>
          <w:p w14:paraId="41082095" w14:textId="6FAA93D1" w:rsidR="00E63454" w:rsidRPr="000627F8" w:rsidRDefault="00E63454" w:rsidP="00E63454">
            <w:pPr>
              <w:jc w:val="right"/>
              <w:rPr>
                <w:rFonts w:cs="Calibri"/>
                <w:b/>
                <w:bCs/>
              </w:rPr>
            </w:pPr>
            <w:r w:rsidRPr="000627F8">
              <w:rPr>
                <w:rFonts w:cs="Calibri"/>
                <w:b/>
                <w:bCs/>
                <w:sz w:val="18"/>
                <w:szCs w:val="18"/>
              </w:rPr>
              <w:t>$’000</w:t>
            </w:r>
          </w:p>
        </w:tc>
        <w:tc>
          <w:tcPr>
            <w:tcW w:w="2126" w:type="dxa"/>
            <w:tcBorders>
              <w:left w:val="nil"/>
              <w:right w:val="nil"/>
            </w:tcBorders>
            <w:vAlign w:val="bottom"/>
          </w:tcPr>
          <w:p w14:paraId="6FD6BA56" w14:textId="7DF5A7D1" w:rsidR="00E63454" w:rsidRPr="000627F8" w:rsidRDefault="00E63454" w:rsidP="00E63454">
            <w:pPr>
              <w:jc w:val="right"/>
              <w:rPr>
                <w:rFonts w:cs="Calibri"/>
                <w:b/>
                <w:bCs/>
              </w:rPr>
            </w:pPr>
            <w:r w:rsidRPr="000627F8">
              <w:rPr>
                <w:rFonts w:cs="Calibri"/>
                <w:b/>
                <w:bCs/>
                <w:sz w:val="18"/>
                <w:szCs w:val="18"/>
              </w:rPr>
              <w:t>$’000</w:t>
            </w:r>
          </w:p>
        </w:tc>
        <w:tc>
          <w:tcPr>
            <w:tcW w:w="2268" w:type="dxa"/>
            <w:tcBorders>
              <w:left w:val="nil"/>
              <w:right w:val="nil"/>
            </w:tcBorders>
            <w:vAlign w:val="bottom"/>
          </w:tcPr>
          <w:p w14:paraId="1BB756A7" w14:textId="5433F689" w:rsidR="00E63454" w:rsidRPr="000627F8" w:rsidRDefault="00E63454" w:rsidP="00E63454">
            <w:pPr>
              <w:jc w:val="right"/>
              <w:rPr>
                <w:rFonts w:cs="Calibri"/>
                <w:b/>
                <w:bCs/>
              </w:rPr>
            </w:pPr>
            <w:r w:rsidRPr="000627F8">
              <w:rPr>
                <w:rFonts w:cs="Calibri"/>
                <w:b/>
                <w:bCs/>
                <w:sz w:val="18"/>
                <w:szCs w:val="18"/>
              </w:rPr>
              <w:t>$’000</w:t>
            </w:r>
          </w:p>
        </w:tc>
      </w:tr>
      <w:tr w:rsidR="00E63454" w14:paraId="2D00E237" w14:textId="77777777" w:rsidTr="0004564D">
        <w:tc>
          <w:tcPr>
            <w:tcW w:w="1559" w:type="dxa"/>
            <w:tcBorders>
              <w:left w:val="single" w:sz="4" w:space="0" w:color="auto"/>
              <w:right w:val="single" w:sz="4" w:space="0" w:color="auto"/>
            </w:tcBorders>
          </w:tcPr>
          <w:p w14:paraId="5996EC51" w14:textId="604AF38D" w:rsidR="00E63454" w:rsidRPr="000627F8" w:rsidRDefault="00E63454" w:rsidP="00E63454">
            <w:pPr>
              <w:rPr>
                <w:rFonts w:cs="Calibri"/>
                <w:b/>
                <w:bCs/>
                <w:color w:val="7030A0"/>
              </w:rPr>
            </w:pPr>
            <w:r w:rsidRPr="000627F8">
              <w:rPr>
                <w:rFonts w:cs="Calibri"/>
                <w:color w:val="7030A0"/>
                <w:sz w:val="14"/>
                <w:szCs w:val="14"/>
              </w:rPr>
              <w:t>AASB 137.84 (a)</w:t>
            </w:r>
          </w:p>
        </w:tc>
        <w:tc>
          <w:tcPr>
            <w:tcW w:w="4820" w:type="dxa"/>
            <w:tcBorders>
              <w:left w:val="single" w:sz="4" w:space="0" w:color="auto"/>
              <w:right w:val="nil"/>
            </w:tcBorders>
          </w:tcPr>
          <w:p w14:paraId="0DF4D37E" w14:textId="7EFEA102" w:rsidR="00E63454" w:rsidRPr="000627F8" w:rsidRDefault="00E63454" w:rsidP="00E63454">
            <w:pPr>
              <w:rPr>
                <w:rFonts w:cs="Calibri"/>
                <w:b/>
                <w:bCs/>
              </w:rPr>
            </w:pPr>
            <w:r w:rsidRPr="000627F8">
              <w:rPr>
                <w:rFonts w:asciiTheme="minorHAnsi" w:hAnsiTheme="minorHAnsi" w:cstheme="minorHAnsi"/>
                <w:sz w:val="18"/>
                <w:szCs w:val="18"/>
              </w:rPr>
              <w:t>Provision at the Beginning of the Reporting Period</w:t>
            </w:r>
          </w:p>
        </w:tc>
        <w:tc>
          <w:tcPr>
            <w:tcW w:w="2268" w:type="dxa"/>
            <w:tcBorders>
              <w:left w:val="nil"/>
              <w:right w:val="nil"/>
            </w:tcBorders>
          </w:tcPr>
          <w:p w14:paraId="04624A1D" w14:textId="77777777" w:rsidR="00E63454" w:rsidRPr="000627F8" w:rsidRDefault="00E63454" w:rsidP="00E63454">
            <w:pPr>
              <w:rPr>
                <w:rFonts w:cs="Calibri"/>
                <w:b/>
                <w:bCs/>
              </w:rPr>
            </w:pPr>
          </w:p>
        </w:tc>
        <w:tc>
          <w:tcPr>
            <w:tcW w:w="2268" w:type="dxa"/>
            <w:tcBorders>
              <w:left w:val="nil"/>
              <w:right w:val="nil"/>
            </w:tcBorders>
          </w:tcPr>
          <w:p w14:paraId="49C1FCFF" w14:textId="77777777" w:rsidR="00E63454" w:rsidRPr="000627F8" w:rsidRDefault="00E63454" w:rsidP="00E63454">
            <w:pPr>
              <w:rPr>
                <w:rFonts w:cs="Calibri"/>
                <w:b/>
                <w:bCs/>
              </w:rPr>
            </w:pPr>
          </w:p>
        </w:tc>
        <w:tc>
          <w:tcPr>
            <w:tcW w:w="2126" w:type="dxa"/>
            <w:tcBorders>
              <w:left w:val="nil"/>
              <w:right w:val="nil"/>
            </w:tcBorders>
          </w:tcPr>
          <w:p w14:paraId="3213A0E6" w14:textId="77777777" w:rsidR="00E63454" w:rsidRPr="000627F8" w:rsidRDefault="00E63454" w:rsidP="00E63454">
            <w:pPr>
              <w:rPr>
                <w:rFonts w:cs="Calibri"/>
                <w:b/>
                <w:bCs/>
              </w:rPr>
            </w:pPr>
          </w:p>
        </w:tc>
        <w:tc>
          <w:tcPr>
            <w:tcW w:w="2268" w:type="dxa"/>
            <w:tcBorders>
              <w:left w:val="nil"/>
              <w:right w:val="nil"/>
            </w:tcBorders>
          </w:tcPr>
          <w:p w14:paraId="36105E5D" w14:textId="77777777" w:rsidR="00E63454" w:rsidRPr="000627F8" w:rsidRDefault="00E63454" w:rsidP="00E63454">
            <w:pPr>
              <w:rPr>
                <w:rFonts w:cs="Calibri"/>
                <w:b/>
                <w:bCs/>
              </w:rPr>
            </w:pPr>
          </w:p>
        </w:tc>
      </w:tr>
      <w:tr w:rsidR="00E63454" w14:paraId="49004C4C" w14:textId="77777777" w:rsidTr="0004564D">
        <w:tc>
          <w:tcPr>
            <w:tcW w:w="1559" w:type="dxa"/>
            <w:tcBorders>
              <w:left w:val="single" w:sz="4" w:space="0" w:color="auto"/>
              <w:right w:val="single" w:sz="4" w:space="0" w:color="auto"/>
            </w:tcBorders>
          </w:tcPr>
          <w:p w14:paraId="15F315F3" w14:textId="5671AA04" w:rsidR="00E63454" w:rsidRPr="000627F8" w:rsidRDefault="00E63454" w:rsidP="00E63454">
            <w:pPr>
              <w:rPr>
                <w:rFonts w:cs="Calibri"/>
                <w:b/>
                <w:bCs/>
                <w:color w:val="7030A0"/>
              </w:rPr>
            </w:pPr>
            <w:r w:rsidRPr="000627F8">
              <w:rPr>
                <w:rFonts w:cs="Calibri"/>
                <w:color w:val="7030A0"/>
                <w:sz w:val="14"/>
                <w:szCs w:val="14"/>
              </w:rPr>
              <w:t>AASB 137.84 (b)</w:t>
            </w:r>
          </w:p>
        </w:tc>
        <w:tc>
          <w:tcPr>
            <w:tcW w:w="4820" w:type="dxa"/>
            <w:tcBorders>
              <w:left w:val="single" w:sz="4" w:space="0" w:color="auto"/>
              <w:right w:val="nil"/>
            </w:tcBorders>
          </w:tcPr>
          <w:p w14:paraId="299DC712" w14:textId="47CF37A6" w:rsidR="00E63454" w:rsidRPr="000627F8" w:rsidRDefault="00E63454" w:rsidP="00E63454">
            <w:pPr>
              <w:rPr>
                <w:rFonts w:cs="Calibri"/>
                <w:b/>
                <w:bCs/>
              </w:rPr>
            </w:pPr>
            <w:r w:rsidRPr="000627F8">
              <w:rPr>
                <w:rFonts w:asciiTheme="minorHAnsi" w:hAnsiTheme="minorHAnsi" w:cstheme="minorHAnsi"/>
                <w:sz w:val="18"/>
                <w:szCs w:val="18"/>
              </w:rPr>
              <w:t>Additional Provision Recognised</w:t>
            </w:r>
          </w:p>
        </w:tc>
        <w:tc>
          <w:tcPr>
            <w:tcW w:w="2268" w:type="dxa"/>
            <w:tcBorders>
              <w:left w:val="nil"/>
              <w:right w:val="nil"/>
            </w:tcBorders>
          </w:tcPr>
          <w:p w14:paraId="24EAD56F" w14:textId="77777777" w:rsidR="00E63454" w:rsidRPr="000627F8" w:rsidRDefault="00E63454" w:rsidP="00E63454">
            <w:pPr>
              <w:rPr>
                <w:rFonts w:cs="Calibri"/>
                <w:b/>
                <w:bCs/>
              </w:rPr>
            </w:pPr>
          </w:p>
        </w:tc>
        <w:tc>
          <w:tcPr>
            <w:tcW w:w="2268" w:type="dxa"/>
            <w:tcBorders>
              <w:left w:val="nil"/>
              <w:right w:val="nil"/>
            </w:tcBorders>
          </w:tcPr>
          <w:p w14:paraId="600AB945" w14:textId="77777777" w:rsidR="00E63454" w:rsidRPr="000627F8" w:rsidRDefault="00E63454" w:rsidP="00E63454">
            <w:pPr>
              <w:rPr>
                <w:rFonts w:cs="Calibri"/>
                <w:b/>
                <w:bCs/>
              </w:rPr>
            </w:pPr>
          </w:p>
        </w:tc>
        <w:tc>
          <w:tcPr>
            <w:tcW w:w="2126" w:type="dxa"/>
            <w:tcBorders>
              <w:left w:val="nil"/>
              <w:right w:val="nil"/>
            </w:tcBorders>
          </w:tcPr>
          <w:p w14:paraId="167283E1" w14:textId="77777777" w:rsidR="00E63454" w:rsidRPr="000627F8" w:rsidRDefault="00E63454" w:rsidP="00E63454">
            <w:pPr>
              <w:rPr>
                <w:rFonts w:cs="Calibri"/>
                <w:b/>
                <w:bCs/>
              </w:rPr>
            </w:pPr>
          </w:p>
        </w:tc>
        <w:tc>
          <w:tcPr>
            <w:tcW w:w="2268" w:type="dxa"/>
            <w:tcBorders>
              <w:left w:val="nil"/>
              <w:right w:val="nil"/>
            </w:tcBorders>
          </w:tcPr>
          <w:p w14:paraId="423A1339" w14:textId="77777777" w:rsidR="00E63454" w:rsidRPr="000627F8" w:rsidRDefault="00E63454" w:rsidP="00E63454">
            <w:pPr>
              <w:rPr>
                <w:rFonts w:cs="Calibri"/>
                <w:b/>
                <w:bCs/>
              </w:rPr>
            </w:pPr>
          </w:p>
        </w:tc>
      </w:tr>
      <w:tr w:rsidR="00E63454" w14:paraId="7D2C9EE1" w14:textId="77777777" w:rsidTr="0004564D">
        <w:tc>
          <w:tcPr>
            <w:tcW w:w="1559" w:type="dxa"/>
            <w:tcBorders>
              <w:left w:val="single" w:sz="4" w:space="0" w:color="auto"/>
              <w:right w:val="single" w:sz="4" w:space="0" w:color="auto"/>
            </w:tcBorders>
          </w:tcPr>
          <w:p w14:paraId="2B7BCA3D" w14:textId="2845958C" w:rsidR="00E63454" w:rsidRPr="000627F8" w:rsidRDefault="00E63454" w:rsidP="00E63454">
            <w:pPr>
              <w:rPr>
                <w:rFonts w:cs="Calibri"/>
                <w:b/>
                <w:bCs/>
                <w:color w:val="7030A0"/>
              </w:rPr>
            </w:pPr>
            <w:r w:rsidRPr="000627F8">
              <w:rPr>
                <w:rFonts w:cs="Calibri"/>
                <w:color w:val="7030A0"/>
                <w:sz w:val="14"/>
                <w:szCs w:val="14"/>
              </w:rPr>
              <w:t>ASB 137.84(c)</w:t>
            </w:r>
          </w:p>
        </w:tc>
        <w:tc>
          <w:tcPr>
            <w:tcW w:w="4820" w:type="dxa"/>
            <w:tcBorders>
              <w:left w:val="single" w:sz="4" w:space="0" w:color="auto"/>
              <w:right w:val="nil"/>
            </w:tcBorders>
          </w:tcPr>
          <w:p w14:paraId="470A5CB4" w14:textId="4DC72705" w:rsidR="00E63454" w:rsidRPr="000627F8" w:rsidRDefault="00E63454" w:rsidP="00E63454">
            <w:pPr>
              <w:rPr>
                <w:rFonts w:cs="Calibri"/>
                <w:b/>
                <w:bCs/>
              </w:rPr>
            </w:pPr>
            <w:r w:rsidRPr="000627F8">
              <w:rPr>
                <w:rFonts w:asciiTheme="minorHAnsi" w:hAnsiTheme="minorHAnsi" w:cstheme="minorHAnsi"/>
                <w:sz w:val="18"/>
                <w:szCs w:val="18"/>
              </w:rPr>
              <w:t>Reduction in Provision as a Result of Payments</w:t>
            </w:r>
          </w:p>
        </w:tc>
        <w:tc>
          <w:tcPr>
            <w:tcW w:w="2268" w:type="dxa"/>
            <w:tcBorders>
              <w:left w:val="nil"/>
              <w:right w:val="nil"/>
            </w:tcBorders>
          </w:tcPr>
          <w:p w14:paraId="7393375C" w14:textId="77777777" w:rsidR="00E63454" w:rsidRPr="000627F8" w:rsidRDefault="00E63454" w:rsidP="00E63454">
            <w:pPr>
              <w:rPr>
                <w:rFonts w:cs="Calibri"/>
                <w:b/>
                <w:bCs/>
              </w:rPr>
            </w:pPr>
          </w:p>
        </w:tc>
        <w:tc>
          <w:tcPr>
            <w:tcW w:w="2268" w:type="dxa"/>
            <w:tcBorders>
              <w:left w:val="nil"/>
              <w:right w:val="nil"/>
            </w:tcBorders>
          </w:tcPr>
          <w:p w14:paraId="71BFB9AF" w14:textId="77777777" w:rsidR="00E63454" w:rsidRPr="000627F8" w:rsidRDefault="00E63454" w:rsidP="00E63454">
            <w:pPr>
              <w:rPr>
                <w:rFonts w:cs="Calibri"/>
                <w:b/>
                <w:bCs/>
              </w:rPr>
            </w:pPr>
          </w:p>
        </w:tc>
        <w:tc>
          <w:tcPr>
            <w:tcW w:w="2126" w:type="dxa"/>
            <w:tcBorders>
              <w:left w:val="nil"/>
              <w:right w:val="nil"/>
            </w:tcBorders>
          </w:tcPr>
          <w:p w14:paraId="634352C0" w14:textId="77777777" w:rsidR="00E63454" w:rsidRPr="000627F8" w:rsidRDefault="00E63454" w:rsidP="00E63454">
            <w:pPr>
              <w:rPr>
                <w:rFonts w:cs="Calibri"/>
                <w:b/>
                <w:bCs/>
              </w:rPr>
            </w:pPr>
          </w:p>
        </w:tc>
        <w:tc>
          <w:tcPr>
            <w:tcW w:w="2268" w:type="dxa"/>
            <w:tcBorders>
              <w:left w:val="nil"/>
              <w:right w:val="nil"/>
            </w:tcBorders>
          </w:tcPr>
          <w:p w14:paraId="28CA8A69" w14:textId="77777777" w:rsidR="00E63454" w:rsidRPr="000627F8" w:rsidRDefault="00E63454" w:rsidP="00E63454">
            <w:pPr>
              <w:rPr>
                <w:rFonts w:cs="Calibri"/>
                <w:b/>
                <w:bCs/>
              </w:rPr>
            </w:pPr>
          </w:p>
        </w:tc>
      </w:tr>
      <w:tr w:rsidR="00E63454" w14:paraId="544502BE" w14:textId="77777777" w:rsidTr="0004564D">
        <w:tc>
          <w:tcPr>
            <w:tcW w:w="1559" w:type="dxa"/>
            <w:tcBorders>
              <w:left w:val="single" w:sz="4" w:space="0" w:color="auto"/>
              <w:right w:val="single" w:sz="4" w:space="0" w:color="auto"/>
            </w:tcBorders>
          </w:tcPr>
          <w:p w14:paraId="33D81B8B" w14:textId="3104074F" w:rsidR="00E63454" w:rsidRPr="000627F8" w:rsidRDefault="00E63454" w:rsidP="00E63454">
            <w:pPr>
              <w:rPr>
                <w:rFonts w:cs="Calibri"/>
                <w:b/>
                <w:bCs/>
                <w:color w:val="7030A0"/>
              </w:rPr>
            </w:pPr>
            <w:r w:rsidRPr="000627F8">
              <w:rPr>
                <w:rFonts w:cs="Calibri"/>
                <w:color w:val="7030A0"/>
                <w:sz w:val="14"/>
                <w:szCs w:val="14"/>
              </w:rPr>
              <w:t>ASB 137.84(c)</w:t>
            </w:r>
          </w:p>
        </w:tc>
        <w:tc>
          <w:tcPr>
            <w:tcW w:w="4820" w:type="dxa"/>
            <w:tcBorders>
              <w:left w:val="single" w:sz="4" w:space="0" w:color="auto"/>
              <w:right w:val="nil"/>
            </w:tcBorders>
          </w:tcPr>
          <w:p w14:paraId="04A57C71" w14:textId="29CB1FA2" w:rsidR="00E63454" w:rsidRPr="000627F8" w:rsidRDefault="00E63454" w:rsidP="00E63454">
            <w:pPr>
              <w:rPr>
                <w:rFonts w:cs="Calibri"/>
                <w:b/>
                <w:bCs/>
              </w:rPr>
            </w:pPr>
            <w:r w:rsidRPr="000627F8">
              <w:rPr>
                <w:rFonts w:asciiTheme="minorHAnsi" w:hAnsiTheme="minorHAnsi" w:cstheme="minorHAnsi"/>
                <w:sz w:val="18"/>
                <w:szCs w:val="18"/>
              </w:rPr>
              <w:t>Reduction in Provision due to a Change in Accounting Estimate</w:t>
            </w:r>
          </w:p>
        </w:tc>
        <w:tc>
          <w:tcPr>
            <w:tcW w:w="2268" w:type="dxa"/>
            <w:tcBorders>
              <w:left w:val="nil"/>
              <w:right w:val="nil"/>
            </w:tcBorders>
          </w:tcPr>
          <w:p w14:paraId="5BA39F77" w14:textId="77777777" w:rsidR="00E63454" w:rsidRPr="000627F8" w:rsidRDefault="00E63454" w:rsidP="00E63454">
            <w:pPr>
              <w:rPr>
                <w:rFonts w:cs="Calibri"/>
                <w:b/>
                <w:bCs/>
              </w:rPr>
            </w:pPr>
          </w:p>
        </w:tc>
        <w:tc>
          <w:tcPr>
            <w:tcW w:w="2268" w:type="dxa"/>
            <w:tcBorders>
              <w:left w:val="nil"/>
              <w:right w:val="nil"/>
            </w:tcBorders>
          </w:tcPr>
          <w:p w14:paraId="2F297CB6" w14:textId="77777777" w:rsidR="00E63454" w:rsidRPr="000627F8" w:rsidRDefault="00E63454" w:rsidP="00E63454">
            <w:pPr>
              <w:rPr>
                <w:rFonts w:cs="Calibri"/>
                <w:b/>
                <w:bCs/>
              </w:rPr>
            </w:pPr>
          </w:p>
        </w:tc>
        <w:tc>
          <w:tcPr>
            <w:tcW w:w="2126" w:type="dxa"/>
            <w:tcBorders>
              <w:left w:val="nil"/>
              <w:right w:val="nil"/>
            </w:tcBorders>
          </w:tcPr>
          <w:p w14:paraId="65A21BD8" w14:textId="77777777" w:rsidR="00E63454" w:rsidRPr="000627F8" w:rsidRDefault="00E63454" w:rsidP="00E63454">
            <w:pPr>
              <w:rPr>
                <w:rFonts w:cs="Calibri"/>
                <w:b/>
                <w:bCs/>
              </w:rPr>
            </w:pPr>
          </w:p>
        </w:tc>
        <w:tc>
          <w:tcPr>
            <w:tcW w:w="2268" w:type="dxa"/>
            <w:tcBorders>
              <w:left w:val="nil"/>
              <w:right w:val="nil"/>
            </w:tcBorders>
          </w:tcPr>
          <w:p w14:paraId="1713237C" w14:textId="77777777" w:rsidR="00E63454" w:rsidRPr="000627F8" w:rsidRDefault="00E63454" w:rsidP="00E63454">
            <w:pPr>
              <w:rPr>
                <w:rFonts w:cs="Calibri"/>
                <w:b/>
                <w:bCs/>
              </w:rPr>
            </w:pPr>
          </w:p>
        </w:tc>
      </w:tr>
      <w:tr w:rsidR="00E63454" w14:paraId="63158917" w14:textId="77777777" w:rsidTr="0004564D">
        <w:tc>
          <w:tcPr>
            <w:tcW w:w="1559" w:type="dxa"/>
            <w:tcBorders>
              <w:left w:val="single" w:sz="4" w:space="0" w:color="auto"/>
              <w:right w:val="single" w:sz="4" w:space="0" w:color="auto"/>
            </w:tcBorders>
          </w:tcPr>
          <w:p w14:paraId="768723CA" w14:textId="2DD6B750" w:rsidR="00E63454" w:rsidRPr="000627F8" w:rsidRDefault="00E63454" w:rsidP="00E63454">
            <w:pPr>
              <w:rPr>
                <w:rFonts w:cs="Calibri"/>
                <w:b/>
                <w:bCs/>
                <w:color w:val="7030A0"/>
              </w:rPr>
            </w:pPr>
            <w:r w:rsidRPr="000627F8">
              <w:rPr>
                <w:rFonts w:cs="Calibri"/>
                <w:color w:val="7030A0"/>
                <w:sz w:val="14"/>
                <w:szCs w:val="14"/>
              </w:rPr>
              <w:t>AASB 137.84(d)</w:t>
            </w:r>
          </w:p>
        </w:tc>
        <w:tc>
          <w:tcPr>
            <w:tcW w:w="4820" w:type="dxa"/>
            <w:tcBorders>
              <w:left w:val="single" w:sz="4" w:space="0" w:color="auto"/>
              <w:right w:val="nil"/>
            </w:tcBorders>
          </w:tcPr>
          <w:p w14:paraId="3974E462" w14:textId="12ADD7BE" w:rsidR="00E63454" w:rsidRPr="000627F8" w:rsidRDefault="00E63454" w:rsidP="00E63454">
            <w:pPr>
              <w:rPr>
                <w:rFonts w:cs="Calibri"/>
                <w:b/>
                <w:bCs/>
              </w:rPr>
            </w:pPr>
            <w:r w:rsidRPr="000627F8">
              <w:rPr>
                <w:rFonts w:cstheme="minorHAnsi"/>
                <w:sz w:val="18"/>
                <w:szCs w:val="18"/>
              </w:rPr>
              <w:t>Provision reversed during the Year</w:t>
            </w:r>
          </w:p>
        </w:tc>
        <w:tc>
          <w:tcPr>
            <w:tcW w:w="2268" w:type="dxa"/>
            <w:tcBorders>
              <w:left w:val="nil"/>
              <w:right w:val="nil"/>
            </w:tcBorders>
          </w:tcPr>
          <w:p w14:paraId="546A61EF" w14:textId="77777777" w:rsidR="00E63454" w:rsidRPr="000627F8" w:rsidRDefault="00E63454" w:rsidP="00E63454">
            <w:pPr>
              <w:rPr>
                <w:rFonts w:cs="Calibri"/>
                <w:b/>
                <w:bCs/>
              </w:rPr>
            </w:pPr>
          </w:p>
        </w:tc>
        <w:tc>
          <w:tcPr>
            <w:tcW w:w="2268" w:type="dxa"/>
            <w:tcBorders>
              <w:left w:val="nil"/>
              <w:right w:val="nil"/>
            </w:tcBorders>
          </w:tcPr>
          <w:p w14:paraId="103C01F7" w14:textId="77777777" w:rsidR="00E63454" w:rsidRPr="000627F8" w:rsidRDefault="00E63454" w:rsidP="00E63454">
            <w:pPr>
              <w:rPr>
                <w:rFonts w:cs="Calibri"/>
                <w:b/>
                <w:bCs/>
              </w:rPr>
            </w:pPr>
          </w:p>
        </w:tc>
        <w:tc>
          <w:tcPr>
            <w:tcW w:w="2126" w:type="dxa"/>
            <w:tcBorders>
              <w:left w:val="nil"/>
              <w:right w:val="nil"/>
            </w:tcBorders>
          </w:tcPr>
          <w:p w14:paraId="69242909" w14:textId="77777777" w:rsidR="00E63454" w:rsidRPr="000627F8" w:rsidRDefault="00E63454" w:rsidP="00E63454">
            <w:pPr>
              <w:rPr>
                <w:rFonts w:cs="Calibri"/>
                <w:b/>
                <w:bCs/>
              </w:rPr>
            </w:pPr>
          </w:p>
        </w:tc>
        <w:tc>
          <w:tcPr>
            <w:tcW w:w="2268" w:type="dxa"/>
            <w:tcBorders>
              <w:left w:val="nil"/>
              <w:right w:val="nil"/>
            </w:tcBorders>
          </w:tcPr>
          <w:p w14:paraId="2B4722FA" w14:textId="77777777" w:rsidR="00E63454" w:rsidRPr="000627F8" w:rsidRDefault="00E63454" w:rsidP="00E63454">
            <w:pPr>
              <w:rPr>
                <w:rFonts w:cs="Calibri"/>
                <w:b/>
                <w:bCs/>
              </w:rPr>
            </w:pPr>
          </w:p>
        </w:tc>
      </w:tr>
      <w:tr w:rsidR="00E63454" w14:paraId="37E52F04" w14:textId="77777777" w:rsidTr="0004564D">
        <w:tc>
          <w:tcPr>
            <w:tcW w:w="1559" w:type="dxa"/>
            <w:tcBorders>
              <w:left w:val="single" w:sz="4" w:space="0" w:color="auto"/>
              <w:right w:val="single" w:sz="4" w:space="0" w:color="auto"/>
            </w:tcBorders>
          </w:tcPr>
          <w:p w14:paraId="4C392101" w14:textId="68B33D85" w:rsidR="00E63454" w:rsidRPr="000627F8" w:rsidRDefault="00E63454" w:rsidP="00E63454">
            <w:pPr>
              <w:rPr>
                <w:rFonts w:cs="Calibri"/>
                <w:b/>
                <w:bCs/>
                <w:color w:val="7030A0"/>
              </w:rPr>
            </w:pPr>
            <w:r w:rsidRPr="000627F8">
              <w:rPr>
                <w:rFonts w:cs="Calibri"/>
                <w:color w:val="7030A0"/>
                <w:sz w:val="14"/>
                <w:szCs w:val="14"/>
              </w:rPr>
              <w:t>AASB 137.84(e)</w:t>
            </w:r>
          </w:p>
        </w:tc>
        <w:tc>
          <w:tcPr>
            <w:tcW w:w="4820" w:type="dxa"/>
            <w:tcBorders>
              <w:left w:val="single" w:sz="4" w:space="0" w:color="auto"/>
              <w:right w:val="nil"/>
            </w:tcBorders>
          </w:tcPr>
          <w:p w14:paraId="46B4018C" w14:textId="485F4AA5" w:rsidR="00E63454" w:rsidRPr="000627F8" w:rsidRDefault="00E63454" w:rsidP="00E63454">
            <w:pPr>
              <w:rPr>
                <w:rFonts w:cs="Calibri"/>
                <w:b/>
                <w:bCs/>
              </w:rPr>
            </w:pPr>
            <w:r w:rsidRPr="000627F8">
              <w:rPr>
                <w:rFonts w:asciiTheme="minorHAnsi" w:hAnsiTheme="minorHAnsi" w:cstheme="minorHAnsi"/>
                <w:sz w:val="18"/>
                <w:szCs w:val="18"/>
              </w:rPr>
              <w:t>Unwinding of discount or change in discount rate</w:t>
            </w:r>
          </w:p>
        </w:tc>
        <w:tc>
          <w:tcPr>
            <w:tcW w:w="2268" w:type="dxa"/>
            <w:tcBorders>
              <w:left w:val="nil"/>
              <w:bottom w:val="single" w:sz="4" w:space="0" w:color="auto"/>
              <w:right w:val="nil"/>
            </w:tcBorders>
          </w:tcPr>
          <w:p w14:paraId="02AC3E1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24D5BC5D" w14:textId="77777777" w:rsidR="00E63454" w:rsidRPr="000627F8" w:rsidRDefault="00E63454" w:rsidP="00E63454">
            <w:pPr>
              <w:rPr>
                <w:rFonts w:cs="Calibri"/>
                <w:b/>
                <w:bCs/>
              </w:rPr>
            </w:pPr>
          </w:p>
        </w:tc>
        <w:tc>
          <w:tcPr>
            <w:tcW w:w="2126" w:type="dxa"/>
            <w:tcBorders>
              <w:left w:val="nil"/>
              <w:bottom w:val="single" w:sz="4" w:space="0" w:color="auto"/>
              <w:right w:val="nil"/>
            </w:tcBorders>
          </w:tcPr>
          <w:p w14:paraId="36A7F96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6516D48E" w14:textId="77777777" w:rsidR="00E63454" w:rsidRPr="000627F8" w:rsidRDefault="00E63454" w:rsidP="00E63454">
            <w:pPr>
              <w:rPr>
                <w:rFonts w:cs="Calibri"/>
                <w:b/>
                <w:bCs/>
              </w:rPr>
            </w:pPr>
          </w:p>
        </w:tc>
      </w:tr>
      <w:tr w:rsidR="00E63454" w14:paraId="60402FDF" w14:textId="77777777" w:rsidTr="0004564D">
        <w:tc>
          <w:tcPr>
            <w:tcW w:w="1559" w:type="dxa"/>
            <w:tcBorders>
              <w:left w:val="single" w:sz="4" w:space="0" w:color="auto"/>
              <w:right w:val="single" w:sz="4" w:space="0" w:color="auto"/>
            </w:tcBorders>
          </w:tcPr>
          <w:p w14:paraId="072AAA29" w14:textId="77777777" w:rsidR="00E63454" w:rsidRPr="000627F8" w:rsidRDefault="00E63454" w:rsidP="00E63454">
            <w:pPr>
              <w:rPr>
                <w:rFonts w:cs="Calibri"/>
                <w:color w:val="7030A0"/>
                <w:sz w:val="14"/>
                <w:szCs w:val="14"/>
              </w:rPr>
            </w:pPr>
            <w:r w:rsidRPr="000627F8">
              <w:rPr>
                <w:rFonts w:cs="Calibri"/>
                <w:color w:val="7030A0"/>
                <w:sz w:val="14"/>
                <w:szCs w:val="14"/>
              </w:rPr>
              <w:t>AASB 137.84 (a)</w:t>
            </w:r>
          </w:p>
          <w:p w14:paraId="6E4987B7" w14:textId="3F324916" w:rsidR="00EB1058" w:rsidRPr="000627F8" w:rsidRDefault="00EB1058" w:rsidP="00E63454">
            <w:pPr>
              <w:rPr>
                <w:rFonts w:cs="Calibri"/>
                <w:b/>
                <w:bCs/>
                <w:color w:val="7030A0"/>
              </w:rPr>
            </w:pPr>
          </w:p>
        </w:tc>
        <w:tc>
          <w:tcPr>
            <w:tcW w:w="4820" w:type="dxa"/>
            <w:tcBorders>
              <w:left w:val="single" w:sz="4" w:space="0" w:color="auto"/>
              <w:right w:val="nil"/>
            </w:tcBorders>
          </w:tcPr>
          <w:p w14:paraId="15E85A77" w14:textId="3D6F8E2D" w:rsidR="00E63454" w:rsidRPr="000627F8" w:rsidRDefault="00E63454" w:rsidP="00E63454">
            <w:pPr>
              <w:rPr>
                <w:rFonts w:cs="Calibri"/>
                <w:b/>
                <w:bCs/>
              </w:rPr>
            </w:pPr>
            <w:r w:rsidRPr="000627F8">
              <w:rPr>
                <w:b/>
                <w:bCs/>
                <w:sz w:val="18"/>
                <w:szCs w:val="18"/>
              </w:rPr>
              <w:t>Provision at the End of the Reporting Period</w:t>
            </w:r>
          </w:p>
        </w:tc>
        <w:tc>
          <w:tcPr>
            <w:tcW w:w="2268" w:type="dxa"/>
            <w:tcBorders>
              <w:top w:val="single" w:sz="4" w:space="0" w:color="auto"/>
              <w:left w:val="nil"/>
              <w:bottom w:val="double" w:sz="4" w:space="0" w:color="auto"/>
              <w:right w:val="nil"/>
            </w:tcBorders>
          </w:tcPr>
          <w:p w14:paraId="0DE338C3"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610546C9" w14:textId="77777777" w:rsidR="00E63454" w:rsidRPr="000627F8" w:rsidRDefault="00E63454" w:rsidP="00E63454">
            <w:pPr>
              <w:rPr>
                <w:rFonts w:cs="Calibri"/>
                <w:b/>
                <w:bCs/>
              </w:rPr>
            </w:pPr>
          </w:p>
        </w:tc>
        <w:tc>
          <w:tcPr>
            <w:tcW w:w="2126" w:type="dxa"/>
            <w:tcBorders>
              <w:top w:val="single" w:sz="4" w:space="0" w:color="auto"/>
              <w:left w:val="nil"/>
              <w:bottom w:val="double" w:sz="4" w:space="0" w:color="auto"/>
              <w:right w:val="nil"/>
            </w:tcBorders>
          </w:tcPr>
          <w:p w14:paraId="227984D5"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2AE9A3DD" w14:textId="77777777" w:rsidR="00E63454" w:rsidRPr="000627F8" w:rsidRDefault="00E63454" w:rsidP="00E63454">
            <w:pPr>
              <w:rPr>
                <w:rFonts w:cs="Calibri"/>
                <w:b/>
                <w:bCs/>
              </w:rPr>
            </w:pPr>
          </w:p>
        </w:tc>
      </w:tr>
    </w:tbl>
    <w:p w14:paraId="071C3ECA" w14:textId="61A1787D" w:rsidR="00E63454" w:rsidRDefault="00E63454">
      <w:pPr>
        <w:rPr>
          <w:rFonts w:cs="Calibri"/>
          <w:b/>
          <w:bCs/>
        </w:rPr>
      </w:pPr>
    </w:p>
    <w:p w14:paraId="0A983A97" w14:textId="0D0C6AE8" w:rsidR="00E63454" w:rsidRDefault="00E63454">
      <w:pPr>
        <w:rPr>
          <w:rFonts w:cs="Calibri"/>
          <w:b/>
          <w:bCs/>
        </w:rPr>
      </w:pPr>
    </w:p>
    <w:p w14:paraId="56CCC1FA" w14:textId="083A88B6" w:rsidR="00E63454" w:rsidRDefault="00E63454">
      <w:pPr>
        <w:rPr>
          <w:rFonts w:cs="Calibri"/>
          <w:b/>
          <w:bCs/>
        </w:rPr>
      </w:pPr>
    </w:p>
    <w:p w14:paraId="489B6F61" w14:textId="0E0CBE19" w:rsidR="00E63454" w:rsidRDefault="00E63454">
      <w:pPr>
        <w:rPr>
          <w:rFonts w:cs="Calibri"/>
          <w:b/>
          <w:bCs/>
        </w:rPr>
      </w:pPr>
    </w:p>
    <w:p w14:paraId="19E5811A" w14:textId="149688E2" w:rsidR="00E63454" w:rsidRDefault="00E63454">
      <w:pPr>
        <w:rPr>
          <w:rFonts w:cs="Calibri"/>
          <w:b/>
          <w:bCs/>
        </w:rPr>
      </w:pPr>
    </w:p>
    <w:p w14:paraId="6E0DEFAF" w14:textId="27B10583" w:rsidR="00E63454" w:rsidRDefault="00E63454">
      <w:pPr>
        <w:rPr>
          <w:rFonts w:cs="Calibri"/>
          <w:b/>
          <w:bCs/>
        </w:rPr>
      </w:pPr>
    </w:p>
    <w:p w14:paraId="4D2D2CA9" w14:textId="59172077" w:rsidR="00E63454" w:rsidRDefault="00E63454">
      <w:pPr>
        <w:rPr>
          <w:rFonts w:cs="Calibri"/>
          <w:b/>
          <w:bCs/>
        </w:rPr>
      </w:pPr>
    </w:p>
    <w:p w14:paraId="67456399" w14:textId="6C0AD3C6" w:rsidR="00E63454" w:rsidRDefault="00E63454">
      <w:pPr>
        <w:rPr>
          <w:rFonts w:cs="Calibri"/>
          <w:b/>
          <w:bCs/>
        </w:rPr>
      </w:pPr>
    </w:p>
    <w:p w14:paraId="766B420C" w14:textId="0BD1AE97" w:rsidR="00E63454" w:rsidRDefault="00E63454">
      <w:pPr>
        <w:rPr>
          <w:rFonts w:cs="Calibri"/>
          <w:b/>
          <w:bCs/>
        </w:rPr>
      </w:pPr>
    </w:p>
    <w:p w14:paraId="06237D73" w14:textId="1A9046CC" w:rsidR="00E63454" w:rsidRDefault="00E63454">
      <w:pPr>
        <w:rPr>
          <w:rFonts w:cs="Calibri"/>
          <w:b/>
          <w:bCs/>
        </w:rPr>
      </w:pPr>
    </w:p>
    <w:p w14:paraId="2BF8C56B" w14:textId="01BA7463" w:rsidR="00E63454" w:rsidRDefault="00E63454">
      <w:pPr>
        <w:rPr>
          <w:rFonts w:cs="Calibri"/>
          <w:b/>
          <w:bCs/>
        </w:rPr>
      </w:pPr>
    </w:p>
    <w:p w14:paraId="690FBD9F" w14:textId="1BEA7DCB" w:rsidR="00E63454" w:rsidRDefault="00E63454">
      <w:pPr>
        <w:rPr>
          <w:rFonts w:cs="Calibri"/>
          <w:b/>
          <w:bCs/>
        </w:rPr>
      </w:pPr>
    </w:p>
    <w:p w14:paraId="0DE896FC" w14:textId="2EF50AE7" w:rsidR="00E63454" w:rsidRDefault="00E63454">
      <w:pPr>
        <w:rPr>
          <w:rFonts w:cs="Calibri"/>
          <w:b/>
          <w:bCs/>
        </w:rPr>
      </w:pPr>
    </w:p>
    <w:p w14:paraId="09B01318" w14:textId="42D924A9" w:rsidR="00E63454" w:rsidRDefault="00E63454">
      <w:pPr>
        <w:rPr>
          <w:rFonts w:cs="Calibri"/>
          <w:b/>
          <w:bCs/>
        </w:rPr>
      </w:pPr>
    </w:p>
    <w:p w14:paraId="1F602FED" w14:textId="481B6A58" w:rsidR="00E63454" w:rsidRDefault="00E63454">
      <w:pPr>
        <w:rPr>
          <w:rFonts w:cs="Calibri"/>
          <w:b/>
          <w:bCs/>
        </w:rPr>
      </w:pPr>
    </w:p>
    <w:p w14:paraId="62865E71" w14:textId="77777777" w:rsidR="00E63454" w:rsidRDefault="00E63454">
      <w:pPr>
        <w:rPr>
          <w:rFonts w:cs="Calibri"/>
          <w:b/>
          <w:bCs/>
        </w:rPr>
        <w:sectPr w:rsidR="00E63454" w:rsidSect="00E63454">
          <w:footnotePr>
            <w:numRestart w:val="eachPage"/>
          </w:footnotePr>
          <w:pgSz w:w="16840" w:h="11907" w:orient="landscape" w:code="9"/>
          <w:pgMar w:top="680" w:right="567" w:bottom="680" w:left="567" w:header="720" w:footer="313" w:gutter="0"/>
          <w:cols w:space="720"/>
          <w:docGrid w:linePitch="326"/>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144FF" w:rsidRPr="00CF7E1B" w14:paraId="51DD7123" w14:textId="77777777" w:rsidTr="0004564D">
        <w:trPr>
          <w:trHeight w:val="397"/>
        </w:trPr>
        <w:tc>
          <w:tcPr>
            <w:tcW w:w="1560" w:type="dxa"/>
            <w:tcBorders>
              <w:left w:val="single" w:sz="2" w:space="0" w:color="auto"/>
              <w:right w:val="single" w:sz="2" w:space="0" w:color="auto"/>
            </w:tcBorders>
          </w:tcPr>
          <w:p w14:paraId="0358BBC2" w14:textId="0A8BBD44" w:rsidR="000144FF" w:rsidRPr="000627F8" w:rsidRDefault="000627F8" w:rsidP="009F29A6">
            <w:pPr>
              <w:pStyle w:val="TableReference"/>
              <w:tabs>
                <w:tab w:val="left" w:pos="3306"/>
              </w:tabs>
              <w:spacing w:before="240" w:after="240"/>
              <w:rPr>
                <w:rFonts w:cs="Calibri"/>
                <w:color w:val="7030A0"/>
                <w:sz w:val="22"/>
                <w:szCs w:val="22"/>
              </w:rPr>
            </w:pPr>
            <w:r w:rsidRPr="000627F8">
              <w:rPr>
                <w:rFonts w:cs="Calibri"/>
                <w:b/>
                <w:color w:val="7030A0"/>
                <w:sz w:val="22"/>
                <w:szCs w:val="22"/>
              </w:rPr>
              <w:t>Reference</w:t>
            </w:r>
          </w:p>
        </w:tc>
        <w:tc>
          <w:tcPr>
            <w:tcW w:w="8930" w:type="dxa"/>
            <w:tcBorders>
              <w:left w:val="single" w:sz="2" w:space="0" w:color="auto"/>
            </w:tcBorders>
            <w:shd w:val="clear" w:color="auto" w:fill="7030A0"/>
          </w:tcPr>
          <w:p w14:paraId="7E27A477" w14:textId="3077FA2F" w:rsidR="000144FF" w:rsidRPr="002D20CA" w:rsidRDefault="000144FF" w:rsidP="009F29A6">
            <w:pPr>
              <w:pStyle w:val="CommentaryTitle"/>
              <w:pageBreakBefore w:val="0"/>
              <w:tabs>
                <w:tab w:val="left" w:pos="3306"/>
              </w:tabs>
              <w:spacing w:before="240" w:after="240"/>
              <w:rPr>
                <w:rFonts w:cs="Calibri"/>
                <w:color w:val="FFFFFF" w:themeColor="background1"/>
                <w:sz w:val="28"/>
                <w:szCs w:val="28"/>
              </w:rPr>
            </w:pPr>
            <w:bookmarkStart w:id="713" w:name="_Toc163106374"/>
            <w:r w:rsidRPr="002D20CA">
              <w:rPr>
                <w:rFonts w:cs="Calibri"/>
                <w:color w:val="FFFFFF" w:themeColor="background1"/>
                <w:sz w:val="28"/>
                <w:szCs w:val="28"/>
              </w:rPr>
              <w:t xml:space="preserve">Commentary </w:t>
            </w:r>
            <w:r w:rsidRPr="002D20CA">
              <w:rPr>
                <w:rFonts w:cs="Calibri"/>
                <w:color w:val="FFFFFF" w:themeColor="background1"/>
                <w:sz w:val="28"/>
                <w:szCs w:val="28"/>
              </w:rPr>
              <w:sym w:font="Symbol" w:char="F02D"/>
            </w:r>
            <w:r w:rsidRPr="002D20CA">
              <w:rPr>
                <w:rFonts w:cs="Calibri"/>
                <w:color w:val="FFFFFF" w:themeColor="background1"/>
                <w:sz w:val="28"/>
                <w:szCs w:val="28"/>
              </w:rPr>
              <w:t xml:space="preserve"> Note </w:t>
            </w:r>
            <w:r w:rsidR="001101E3" w:rsidRPr="002D20CA">
              <w:rPr>
                <w:rFonts w:cs="Calibri"/>
                <w:color w:val="FFFFFF" w:themeColor="background1"/>
                <w:sz w:val="28"/>
                <w:szCs w:val="28"/>
              </w:rPr>
              <w:t>28</w:t>
            </w:r>
            <w:r w:rsidRPr="002D20CA">
              <w:rPr>
                <w:rFonts w:cs="Calibri"/>
                <w:color w:val="FFFFFF" w:themeColor="background1"/>
                <w:sz w:val="28"/>
                <w:szCs w:val="28"/>
              </w:rPr>
              <w:t>: Other Provisions</w:t>
            </w:r>
            <w:bookmarkEnd w:id="713"/>
          </w:p>
        </w:tc>
      </w:tr>
      <w:tr w:rsidR="000144FF" w:rsidRPr="00CF7E1B" w14:paraId="5BFDC157" w14:textId="77777777" w:rsidTr="0004564D">
        <w:trPr>
          <w:trHeight w:val="283"/>
        </w:trPr>
        <w:tc>
          <w:tcPr>
            <w:tcW w:w="1560" w:type="dxa"/>
            <w:tcBorders>
              <w:left w:val="single" w:sz="2" w:space="0" w:color="auto"/>
              <w:right w:val="single" w:sz="2" w:space="0" w:color="auto"/>
            </w:tcBorders>
          </w:tcPr>
          <w:p w14:paraId="4F193D3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85</w:t>
            </w:r>
          </w:p>
          <w:p w14:paraId="164F092E" w14:textId="77777777" w:rsidR="000144FF" w:rsidRPr="000627F8" w:rsidRDefault="000144FF">
            <w:pPr>
              <w:pStyle w:val="TableReference"/>
              <w:tabs>
                <w:tab w:val="left" w:pos="3306"/>
              </w:tabs>
              <w:rPr>
                <w:rFonts w:cs="Calibri"/>
                <w:color w:val="7030A0"/>
                <w:sz w:val="14"/>
              </w:rPr>
            </w:pPr>
          </w:p>
          <w:p w14:paraId="711FF024" w14:textId="77777777" w:rsidR="000144FF" w:rsidRPr="000627F8" w:rsidRDefault="000144FF">
            <w:pPr>
              <w:pStyle w:val="TableReference"/>
              <w:tabs>
                <w:tab w:val="left" w:pos="3306"/>
              </w:tabs>
              <w:rPr>
                <w:rFonts w:cs="Calibri"/>
                <w:color w:val="7030A0"/>
                <w:sz w:val="14"/>
              </w:rPr>
            </w:pPr>
          </w:p>
          <w:p w14:paraId="714C8B63" w14:textId="77777777" w:rsidR="000144FF" w:rsidRPr="000627F8" w:rsidRDefault="000144FF">
            <w:pPr>
              <w:pStyle w:val="TableReference"/>
              <w:tabs>
                <w:tab w:val="left" w:pos="3306"/>
              </w:tabs>
              <w:rPr>
                <w:rFonts w:cs="Calibri"/>
                <w:color w:val="7030A0"/>
                <w:sz w:val="14"/>
              </w:rPr>
            </w:pPr>
          </w:p>
          <w:p w14:paraId="208C4DFA" w14:textId="77777777" w:rsidR="000144FF" w:rsidRPr="000627F8" w:rsidRDefault="000144FF">
            <w:pPr>
              <w:pStyle w:val="TableReference"/>
              <w:tabs>
                <w:tab w:val="left" w:pos="3306"/>
              </w:tabs>
              <w:rPr>
                <w:rFonts w:cs="Calibri"/>
                <w:color w:val="7030A0"/>
                <w:sz w:val="14"/>
              </w:rPr>
            </w:pPr>
          </w:p>
          <w:p w14:paraId="5DB71546" w14:textId="77777777" w:rsidR="000144FF" w:rsidRPr="000627F8" w:rsidRDefault="000144FF">
            <w:pPr>
              <w:pStyle w:val="TableReference"/>
              <w:tabs>
                <w:tab w:val="left" w:pos="3306"/>
              </w:tabs>
              <w:rPr>
                <w:rFonts w:cs="Calibri"/>
                <w:color w:val="7030A0"/>
                <w:sz w:val="14"/>
              </w:rPr>
            </w:pPr>
          </w:p>
          <w:p w14:paraId="53B81378" w14:textId="02EA8EDB" w:rsidR="000144FF" w:rsidRPr="000627F8" w:rsidRDefault="000144FF">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57CFB1CB" w14:textId="77777777" w:rsidR="000144FF" w:rsidRPr="002D20CA" w:rsidRDefault="000144FF" w:rsidP="00351FC3">
            <w:pPr>
              <w:pStyle w:val="CommentaryText"/>
              <w:tabs>
                <w:tab w:val="left" w:pos="3306"/>
              </w:tabs>
              <w:spacing w:after="40"/>
              <w:rPr>
                <w:rFonts w:cs="Calibri"/>
                <w:color w:val="FFFFFF" w:themeColor="background1"/>
                <w:sz w:val="18"/>
                <w:szCs w:val="18"/>
              </w:rPr>
            </w:pPr>
            <w:r w:rsidRPr="002D20CA">
              <w:rPr>
                <w:rFonts w:cs="Calibri"/>
                <w:color w:val="FFFFFF" w:themeColor="background1"/>
                <w:sz w:val="18"/>
                <w:szCs w:val="18"/>
              </w:rPr>
              <w:t>For each class of provision the following must be disclosed:</w:t>
            </w:r>
          </w:p>
          <w:p w14:paraId="55E4925C" w14:textId="77777777" w:rsidR="000144FF" w:rsidRPr="002D20CA" w:rsidRDefault="000144F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 brief description of the nature of the obligation and the expected timing of any resulting outflow of economic benefits;</w:t>
            </w:r>
          </w:p>
          <w:p w14:paraId="3CCFB68D" w14:textId="49225D53" w:rsidR="000144FF" w:rsidRPr="002D20CA" w:rsidRDefault="000144F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an indication of the uncertainties about the amount or timing of those outflows.</w:t>
            </w:r>
            <w:r w:rsidR="00FA7C77">
              <w:rPr>
                <w:rFonts w:cs="Calibri"/>
                <w:color w:val="FFFFFF" w:themeColor="background1"/>
                <w:sz w:val="18"/>
                <w:szCs w:val="18"/>
              </w:rPr>
              <w:t xml:space="preserve"> </w:t>
            </w:r>
            <w:r w:rsidRPr="002D20CA">
              <w:rPr>
                <w:rFonts w:cs="Calibri"/>
                <w:color w:val="FFFFFF" w:themeColor="background1"/>
                <w:sz w:val="18"/>
                <w:szCs w:val="18"/>
              </w:rPr>
              <w:t xml:space="preserve">Where necessary to provide adequate information,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 </w:t>
            </w:r>
            <w:r w:rsidRPr="002D20CA">
              <w:rPr>
                <w:rFonts w:cs="Calibri"/>
                <w:color w:val="FFFFFF" w:themeColor="background1"/>
                <w:sz w:val="18"/>
                <w:szCs w:val="18"/>
              </w:rPr>
              <w:t>shall disclose the major assumptions made concerning future events;</w:t>
            </w:r>
            <w:r w:rsidR="00514D82" w:rsidRPr="002D20CA">
              <w:rPr>
                <w:rFonts w:cs="Calibri"/>
                <w:color w:val="FFFFFF" w:themeColor="background1"/>
                <w:sz w:val="18"/>
                <w:szCs w:val="18"/>
              </w:rPr>
              <w:t xml:space="preserve"> and</w:t>
            </w:r>
          </w:p>
          <w:p w14:paraId="0D21927F" w14:textId="5788CE5E" w:rsidR="000A26E7" w:rsidRPr="002D20CA" w:rsidRDefault="000144FF"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 xml:space="preserve">the amount of any related estimated reimbursement, stating the amount of any asset recognised for </w:t>
            </w:r>
            <w:r w:rsidR="00514D82" w:rsidRPr="002D20CA">
              <w:rPr>
                <w:rFonts w:cs="Calibri"/>
                <w:color w:val="FFFFFF" w:themeColor="background1"/>
                <w:sz w:val="18"/>
                <w:szCs w:val="18"/>
              </w:rPr>
              <w:t>that expected reimbursement.</w:t>
            </w:r>
          </w:p>
        </w:tc>
      </w:tr>
      <w:tr w:rsidR="00AC7522" w:rsidRPr="00CF7E1B" w14:paraId="79CE87FA" w14:textId="77777777" w:rsidTr="0004564D">
        <w:trPr>
          <w:trHeight w:val="283"/>
        </w:trPr>
        <w:tc>
          <w:tcPr>
            <w:tcW w:w="1560" w:type="dxa"/>
            <w:tcBorders>
              <w:left w:val="single" w:sz="2" w:space="0" w:color="auto"/>
              <w:right w:val="single" w:sz="2" w:space="0" w:color="auto"/>
            </w:tcBorders>
          </w:tcPr>
          <w:p w14:paraId="55C56F4C" w14:textId="7B771C9B" w:rsidR="00AC7522" w:rsidRPr="000627F8" w:rsidRDefault="00AC7522">
            <w:pPr>
              <w:pStyle w:val="TableReference"/>
              <w:tabs>
                <w:tab w:val="left" w:pos="3306"/>
              </w:tabs>
              <w:spacing w:before="60"/>
              <w:rPr>
                <w:rFonts w:cs="Calibri"/>
                <w:color w:val="7030A0"/>
                <w:sz w:val="14"/>
              </w:rPr>
            </w:pPr>
            <w:r w:rsidRPr="000627F8">
              <w:rPr>
                <w:rFonts w:cs="Calibri"/>
                <w:color w:val="7030A0"/>
                <w:sz w:val="14"/>
              </w:rPr>
              <w:t>AASB 137.84</w:t>
            </w:r>
          </w:p>
        </w:tc>
        <w:tc>
          <w:tcPr>
            <w:tcW w:w="8930" w:type="dxa"/>
            <w:tcBorders>
              <w:left w:val="single" w:sz="2" w:space="0" w:color="auto"/>
            </w:tcBorders>
            <w:shd w:val="clear" w:color="auto" w:fill="7030A0"/>
          </w:tcPr>
          <w:p w14:paraId="5B7621DC" w14:textId="77777777" w:rsidR="00AC7522" w:rsidRPr="002D20CA" w:rsidRDefault="00AC7522" w:rsidP="00351FC3">
            <w:pPr>
              <w:pStyle w:val="Commentary-Bullet"/>
              <w:numPr>
                <w:ilvl w:val="0"/>
                <w:numId w:val="0"/>
              </w:numPr>
              <w:spacing w:after="40"/>
              <w:rPr>
                <w:rFonts w:cs="Calibri"/>
                <w:color w:val="FFFFFF" w:themeColor="background1"/>
                <w:sz w:val="18"/>
                <w:szCs w:val="18"/>
              </w:rPr>
            </w:pPr>
            <w:r w:rsidRPr="002D20CA">
              <w:rPr>
                <w:rFonts w:cs="Calibri"/>
                <w:color w:val="FFFFFF" w:themeColor="background1"/>
                <w:sz w:val="18"/>
                <w:szCs w:val="18"/>
              </w:rPr>
              <w:t>Movements during the reporting period for each class of provision must be disclosed for the current year only (i.e. comparative information is not required) showing separately:</w:t>
            </w:r>
          </w:p>
          <w:p w14:paraId="5DFDD474"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the carrying amount at the beginning and end of the reporting period;</w:t>
            </w:r>
          </w:p>
          <w:p w14:paraId="6DCC56AE"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additional provisions made in the period (including increases to existing provisions);</w:t>
            </w:r>
          </w:p>
          <w:p w14:paraId="53264AAB"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amounts incurred or charged against the provision during the reporting period;</w:t>
            </w:r>
          </w:p>
          <w:p w14:paraId="7F0B6CE4" w14:textId="192D78A8"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unused amounts reversed during the reporting period; and</w:t>
            </w:r>
          </w:p>
          <w:p w14:paraId="124B9CE4" w14:textId="745D60CF" w:rsidR="00AC7522" w:rsidRPr="002D20CA" w:rsidRDefault="00AC7522"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increases during the period in the discounted amount arising from the passage of time and the effect of any changes in the discount rate.</w:t>
            </w:r>
          </w:p>
        </w:tc>
      </w:tr>
      <w:tr w:rsidR="00AC7522" w:rsidRPr="00CF7E1B" w14:paraId="6FF1269B" w14:textId="77777777" w:rsidTr="0004564D">
        <w:trPr>
          <w:trHeight w:val="283"/>
        </w:trPr>
        <w:tc>
          <w:tcPr>
            <w:tcW w:w="1560" w:type="dxa"/>
            <w:tcBorders>
              <w:left w:val="single" w:sz="2" w:space="0" w:color="auto"/>
              <w:right w:val="single" w:sz="2" w:space="0" w:color="auto"/>
            </w:tcBorders>
          </w:tcPr>
          <w:p w14:paraId="009DCD8E" w14:textId="77777777" w:rsidR="00AC7522" w:rsidRPr="000627F8" w:rsidRDefault="00AC752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0E36D9E" w14:textId="72C70689" w:rsidR="00AC7522" w:rsidRPr="002D20CA" w:rsidRDefault="00AC752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above movements must be separately shown for each provision reconciliation where there are material amounts to be disclosed.</w:t>
            </w:r>
          </w:p>
        </w:tc>
      </w:tr>
      <w:tr w:rsidR="000144FF" w:rsidRPr="00CF7E1B" w14:paraId="64EDE41B" w14:textId="77777777" w:rsidTr="0004564D">
        <w:trPr>
          <w:trHeight w:val="937"/>
        </w:trPr>
        <w:tc>
          <w:tcPr>
            <w:tcW w:w="1560" w:type="dxa"/>
            <w:tcBorders>
              <w:left w:val="single" w:sz="2" w:space="0" w:color="auto"/>
              <w:right w:val="single" w:sz="2" w:space="0" w:color="auto"/>
            </w:tcBorders>
          </w:tcPr>
          <w:p w14:paraId="30EF1114"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92</w:t>
            </w:r>
          </w:p>
        </w:tc>
        <w:tc>
          <w:tcPr>
            <w:tcW w:w="8930" w:type="dxa"/>
            <w:tcBorders>
              <w:left w:val="single" w:sz="2" w:space="0" w:color="auto"/>
            </w:tcBorders>
            <w:shd w:val="clear" w:color="auto" w:fill="7030A0"/>
          </w:tcPr>
          <w:p w14:paraId="5E6F0A60" w14:textId="64888D2A" w:rsidR="000144FF" w:rsidRPr="002D20CA" w:rsidRDefault="000144F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In extremely rare cases, where disclosure of information regarding provisions, contingent liabilities or contingent assets is expected to seriously prejudice the position of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in a dispute with other parties,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need not disclose the information.</w:t>
            </w:r>
            <w:r w:rsidR="00FA7C77">
              <w:rPr>
                <w:rFonts w:cs="Calibri"/>
                <w:color w:val="FFFFFF" w:themeColor="background1"/>
                <w:sz w:val="18"/>
                <w:szCs w:val="18"/>
              </w:rPr>
              <w:t xml:space="preserve"> </w:t>
            </w:r>
            <w:r w:rsidRPr="002D20CA">
              <w:rPr>
                <w:rFonts w:cs="Calibri"/>
                <w:color w:val="FFFFFF" w:themeColor="background1"/>
                <w:sz w:val="18"/>
                <w:szCs w:val="18"/>
              </w:rPr>
              <w:t xml:space="preserve">However,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must provide information regarding the general nature of the dispute, together with the reason for non-disclosure.</w:t>
            </w:r>
          </w:p>
        </w:tc>
      </w:tr>
      <w:tr w:rsidR="000144FF" w:rsidRPr="00CF7E1B" w14:paraId="68DAB2E3" w14:textId="77777777" w:rsidTr="0004564D">
        <w:trPr>
          <w:trHeight w:hRule="exact" w:val="237"/>
        </w:trPr>
        <w:tc>
          <w:tcPr>
            <w:tcW w:w="1560" w:type="dxa"/>
            <w:tcBorders>
              <w:left w:val="single" w:sz="2" w:space="0" w:color="auto"/>
              <w:right w:val="single" w:sz="2" w:space="0" w:color="auto"/>
            </w:tcBorders>
            <w:vAlign w:val="bottom"/>
          </w:tcPr>
          <w:p w14:paraId="72EB8362" w14:textId="77777777" w:rsidR="000144FF" w:rsidRPr="000627F8" w:rsidRDefault="000144FF" w:rsidP="002E4C57">
            <w:pPr>
              <w:pStyle w:val="TableReference"/>
              <w:tabs>
                <w:tab w:val="left" w:pos="3306"/>
              </w:tabs>
              <w:rPr>
                <w:rFonts w:cs="Calibri"/>
                <w:color w:val="7030A0"/>
                <w:sz w:val="16"/>
                <w:szCs w:val="16"/>
              </w:rPr>
            </w:pPr>
          </w:p>
        </w:tc>
        <w:tc>
          <w:tcPr>
            <w:tcW w:w="8930" w:type="dxa"/>
            <w:tcBorders>
              <w:left w:val="single" w:sz="2" w:space="0" w:color="auto"/>
            </w:tcBorders>
            <w:shd w:val="clear" w:color="auto" w:fill="7030A0"/>
            <w:vAlign w:val="bottom"/>
          </w:tcPr>
          <w:p w14:paraId="501C4D9F" w14:textId="77777777" w:rsidR="000144FF" w:rsidRPr="00BB2E31" w:rsidRDefault="006D0B2B" w:rsidP="00C87FF4">
            <w:pPr>
              <w:pStyle w:val="CommentaryHeading"/>
              <w:spacing w:before="0" w:after="40"/>
              <w:rPr>
                <w:rFonts w:cs="Calibri"/>
                <w:color w:val="FFFFFF" w:themeColor="background1"/>
                <w:szCs w:val="20"/>
              </w:rPr>
            </w:pPr>
            <w:r w:rsidRPr="00BB2E31">
              <w:rPr>
                <w:rFonts w:cs="Calibri"/>
                <w:color w:val="FFFFFF" w:themeColor="background1"/>
                <w:szCs w:val="20"/>
              </w:rPr>
              <w:t>Onerous Contracts</w:t>
            </w:r>
          </w:p>
        </w:tc>
      </w:tr>
      <w:tr w:rsidR="000144FF" w:rsidRPr="00CF7E1B" w14:paraId="032840F2" w14:textId="77777777" w:rsidTr="0004564D">
        <w:trPr>
          <w:trHeight w:val="283"/>
        </w:trPr>
        <w:tc>
          <w:tcPr>
            <w:tcW w:w="1560" w:type="dxa"/>
            <w:tcBorders>
              <w:left w:val="single" w:sz="2" w:space="0" w:color="auto"/>
              <w:right w:val="single" w:sz="2" w:space="0" w:color="auto"/>
            </w:tcBorders>
          </w:tcPr>
          <w:p w14:paraId="290D9E69" w14:textId="77777777" w:rsidR="000144FF" w:rsidRPr="000627F8" w:rsidRDefault="000144FF" w:rsidP="002E4C57">
            <w:pPr>
              <w:pStyle w:val="TableReference"/>
              <w:tabs>
                <w:tab w:val="left" w:pos="3306"/>
              </w:tabs>
              <w:spacing w:before="24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66 &amp; 68</w:t>
            </w:r>
          </w:p>
        </w:tc>
        <w:tc>
          <w:tcPr>
            <w:tcW w:w="8930" w:type="dxa"/>
            <w:tcBorders>
              <w:left w:val="single" w:sz="2" w:space="0" w:color="auto"/>
            </w:tcBorders>
            <w:shd w:val="clear" w:color="auto" w:fill="7030A0"/>
          </w:tcPr>
          <w:p w14:paraId="5A6C2DDC" w14:textId="3D3F9AD2" w:rsidR="000144FF" w:rsidRPr="002D20CA" w:rsidRDefault="000144FF" w:rsidP="00635724">
            <w:pPr>
              <w:spacing w:after="120"/>
              <w:jc w:val="both"/>
              <w:rPr>
                <w:color w:val="FFFFFF" w:themeColor="background1"/>
                <w:sz w:val="18"/>
                <w:szCs w:val="18"/>
              </w:rPr>
            </w:pPr>
            <w:r w:rsidRPr="002D20CA">
              <w:rPr>
                <w:rFonts w:cs="Calibri"/>
                <w:color w:val="FFFFFF" w:themeColor="background1"/>
                <w:sz w:val="18"/>
                <w:szCs w:val="18"/>
              </w:rPr>
              <w:t>An onerous contract is a contract in which the unavoidable costs of meeting the obligation under the contract exceed the economic benefits expected to be received under it.</w:t>
            </w:r>
            <w:r w:rsidR="00FA7C77">
              <w:rPr>
                <w:rFonts w:cs="Calibri"/>
                <w:color w:val="FFFFFF" w:themeColor="background1"/>
                <w:sz w:val="18"/>
                <w:szCs w:val="18"/>
              </w:rPr>
              <w:t xml:space="preserve"> </w:t>
            </w:r>
            <w:r w:rsidRPr="002D20CA">
              <w:rPr>
                <w:rFonts w:cs="Calibri"/>
                <w:color w:val="FFFFFF" w:themeColor="background1"/>
                <w:sz w:val="18"/>
                <w:szCs w:val="18"/>
              </w:rPr>
              <w:t>The present obligation under an onerous contract shall be recognised and measured as a provision</w:t>
            </w:r>
            <w:r w:rsidR="00635724" w:rsidRPr="002D20CA">
              <w:rPr>
                <w:rFonts w:cs="Calibri"/>
                <w:color w:val="FFFFFF" w:themeColor="background1"/>
                <w:sz w:val="18"/>
                <w:szCs w:val="18"/>
              </w:rPr>
              <w:t xml:space="preserve">. </w:t>
            </w:r>
            <w:r w:rsidR="00ED10FE" w:rsidRPr="002D20CA">
              <w:rPr>
                <w:color w:val="FFFFFF" w:themeColor="background1"/>
                <w:sz w:val="18"/>
                <w:szCs w:val="18"/>
              </w:rPr>
              <w:t>Where the impact of COVID-19 results in increased costs to meet, or reduced benefits from, an executory contract, management need to assess whether the contract has become onerous and a provision needs to be recognised.</w:t>
            </w:r>
          </w:p>
        </w:tc>
      </w:tr>
      <w:tr w:rsidR="000144FF" w:rsidRPr="00CF7E1B" w14:paraId="7A543C6D" w14:textId="77777777" w:rsidTr="0004564D">
        <w:trPr>
          <w:trHeight w:hRule="exact" w:val="256"/>
        </w:trPr>
        <w:tc>
          <w:tcPr>
            <w:tcW w:w="1560" w:type="dxa"/>
            <w:tcBorders>
              <w:left w:val="single" w:sz="2" w:space="0" w:color="auto"/>
              <w:right w:val="single" w:sz="2" w:space="0" w:color="auto"/>
            </w:tcBorders>
          </w:tcPr>
          <w:p w14:paraId="3A50263B" w14:textId="77777777" w:rsidR="000144FF" w:rsidRPr="000627F8"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FD7869F" w14:textId="77777777" w:rsidR="000144FF" w:rsidRPr="00BB2E31" w:rsidRDefault="000144FF" w:rsidP="00C87FF4">
            <w:pPr>
              <w:pStyle w:val="CommentaryHeading"/>
              <w:spacing w:before="0" w:after="40"/>
              <w:jc w:val="both"/>
              <w:rPr>
                <w:rFonts w:cs="Calibri"/>
                <w:color w:val="FFFFFF" w:themeColor="background1"/>
                <w:szCs w:val="20"/>
              </w:rPr>
            </w:pPr>
            <w:r w:rsidRPr="00BB2E31">
              <w:rPr>
                <w:rFonts w:cs="Calibri"/>
                <w:color w:val="FFFFFF" w:themeColor="background1"/>
                <w:szCs w:val="20"/>
              </w:rPr>
              <w:t>Restructuring and Sale of an Operation</w:t>
            </w:r>
          </w:p>
        </w:tc>
      </w:tr>
      <w:tr w:rsidR="000144FF" w:rsidRPr="00CF7E1B" w14:paraId="7D54C0FF" w14:textId="77777777" w:rsidTr="0004564D">
        <w:trPr>
          <w:trHeight w:val="590"/>
        </w:trPr>
        <w:tc>
          <w:tcPr>
            <w:tcW w:w="1560" w:type="dxa"/>
            <w:tcBorders>
              <w:left w:val="single" w:sz="2" w:space="0" w:color="auto"/>
              <w:right w:val="single" w:sz="2" w:space="0" w:color="auto"/>
            </w:tcBorders>
          </w:tcPr>
          <w:p w14:paraId="0C9F2A6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78</w:t>
            </w:r>
          </w:p>
        </w:tc>
        <w:tc>
          <w:tcPr>
            <w:tcW w:w="8930" w:type="dxa"/>
            <w:tcBorders>
              <w:left w:val="single" w:sz="2" w:space="0" w:color="auto"/>
            </w:tcBorders>
            <w:shd w:val="clear" w:color="auto" w:fill="7030A0"/>
          </w:tcPr>
          <w:p w14:paraId="512B186C" w14:textId="77777777" w:rsidR="000144FF" w:rsidRPr="002D20CA" w:rsidRDefault="000144FF" w:rsidP="00C7130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Where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restructuring its operations and as part of the restructuring is selling that operation, no obligation arises for the sale until there is a binding sale agreement as well as a constructive obligation.</w:t>
            </w:r>
          </w:p>
        </w:tc>
      </w:tr>
      <w:tr w:rsidR="00461D2E" w:rsidRPr="00CF7E1B" w14:paraId="030B68A5" w14:textId="77777777" w:rsidTr="0004564D">
        <w:trPr>
          <w:trHeight w:val="254"/>
        </w:trPr>
        <w:tc>
          <w:tcPr>
            <w:tcW w:w="1560" w:type="dxa"/>
            <w:tcBorders>
              <w:left w:val="single" w:sz="2" w:space="0" w:color="auto"/>
              <w:right w:val="single" w:sz="2" w:space="0" w:color="auto"/>
            </w:tcBorders>
          </w:tcPr>
          <w:p w14:paraId="377CE7B4" w14:textId="77777777" w:rsidR="00461D2E" w:rsidRPr="000627F8" w:rsidRDefault="00461D2E">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DD1C1FA" w14:textId="77777777" w:rsidR="00461D2E" w:rsidRPr="00BB2E31" w:rsidRDefault="00461D2E" w:rsidP="00A7430F">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Recognition of Liabilities</w:t>
            </w:r>
          </w:p>
        </w:tc>
      </w:tr>
      <w:tr w:rsidR="00461D2E" w:rsidRPr="00CF7E1B" w14:paraId="44648152" w14:textId="77777777" w:rsidTr="0004564D">
        <w:trPr>
          <w:trHeight w:val="23"/>
        </w:trPr>
        <w:tc>
          <w:tcPr>
            <w:tcW w:w="1560" w:type="dxa"/>
            <w:tcBorders>
              <w:left w:val="single" w:sz="2" w:space="0" w:color="auto"/>
              <w:right w:val="single" w:sz="2" w:space="0" w:color="auto"/>
            </w:tcBorders>
          </w:tcPr>
          <w:p w14:paraId="67BA26BB" w14:textId="77777777" w:rsidR="00461D2E" w:rsidRPr="000627F8" w:rsidRDefault="00461D2E">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26.1</w:t>
            </w:r>
          </w:p>
        </w:tc>
        <w:tc>
          <w:tcPr>
            <w:tcW w:w="8930" w:type="dxa"/>
            <w:tcBorders>
              <w:left w:val="single" w:sz="2" w:space="0" w:color="auto"/>
            </w:tcBorders>
            <w:shd w:val="clear" w:color="auto" w:fill="7030A0"/>
          </w:tcPr>
          <w:p w14:paraId="6B6CB4E4" w14:textId="3D9814A6" w:rsidR="00461D2E" w:rsidRPr="002D20CA" w:rsidRDefault="00461D2E" w:rsidP="00E75B85">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intention to make payments to other parties, whether advised in the form of a government budget policy, election promise or statement of intent, does not of itself create a present obligation which is binding.</w:t>
            </w:r>
            <w:r w:rsidR="00FA7C77">
              <w:rPr>
                <w:rFonts w:cs="Calibri"/>
                <w:color w:val="FFFFFF" w:themeColor="background1"/>
                <w:sz w:val="18"/>
                <w:szCs w:val="18"/>
              </w:rPr>
              <w:t xml:space="preserve"> </w:t>
            </w:r>
            <w:r w:rsidRPr="002D20CA">
              <w:rPr>
                <w:rFonts w:cs="Calibri"/>
                <w:color w:val="FFFFFF" w:themeColor="background1"/>
                <w:sz w:val="18"/>
                <w:szCs w:val="18"/>
              </w:rPr>
              <w:t xml:space="preserve">A liability would be recognised only when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committed in the sense that it has little or no discretion to avoid the sacrifice of future economic benefits.</w:t>
            </w:r>
            <w:r w:rsidR="00FA7C77">
              <w:rPr>
                <w:rFonts w:cs="Calibri"/>
                <w:color w:val="FFFFFF" w:themeColor="background1"/>
                <w:sz w:val="18"/>
                <w:szCs w:val="18"/>
              </w:rPr>
              <w:t xml:space="preserve"> </w:t>
            </w:r>
            <w:r w:rsidRPr="002D20CA">
              <w:rPr>
                <w:rFonts w:cs="Calibri"/>
                <w:color w:val="FFFFFF" w:themeColor="background1"/>
                <w:sz w:val="18"/>
                <w:szCs w:val="18"/>
              </w:rPr>
              <w:t>For example, a government does not have a present obligation to sacrifice future economic benefits for social welfare payments that might arise in future reporting periods.</w:t>
            </w:r>
            <w:r w:rsidR="00FA7C77">
              <w:rPr>
                <w:rFonts w:cs="Calibri"/>
                <w:color w:val="FFFFFF" w:themeColor="background1"/>
                <w:sz w:val="18"/>
                <w:szCs w:val="18"/>
              </w:rPr>
              <w:t xml:space="preserve"> </w:t>
            </w:r>
            <w:r w:rsidRPr="002D20CA">
              <w:rPr>
                <w:rFonts w:cs="Calibri"/>
                <w:color w:val="FFFFFF" w:themeColor="background1"/>
                <w:sz w:val="18"/>
                <w:szCs w:val="18"/>
              </w:rPr>
              <w:t>A present obligation for social welfare payments arises only when entitlement conditions are satisfied for payment during a particular payment period.</w:t>
            </w:r>
            <w:r w:rsidR="00FA7C77">
              <w:rPr>
                <w:rFonts w:cs="Calibri"/>
                <w:color w:val="FFFFFF" w:themeColor="background1"/>
                <w:sz w:val="18"/>
                <w:szCs w:val="18"/>
              </w:rPr>
              <w:t xml:space="preserve"> </w:t>
            </w:r>
            <w:r w:rsidRPr="002D20CA">
              <w:rPr>
                <w:rFonts w:cs="Calibri"/>
                <w:color w:val="FFFFFF" w:themeColor="background1"/>
                <w:sz w:val="18"/>
                <w:szCs w:val="18"/>
              </w:rPr>
              <w:t>Similarly, a government does not have a present obligation to sacrifice future economic benefits under multi-year public policy agreements until the grantee meets conditions such as grant eligibility criteria, or has provided the services or facilities required under the grant agreement.</w:t>
            </w:r>
            <w:r w:rsidR="00FA7C77">
              <w:rPr>
                <w:rFonts w:cs="Calibri"/>
                <w:color w:val="FFFFFF" w:themeColor="background1"/>
                <w:sz w:val="18"/>
                <w:szCs w:val="18"/>
              </w:rPr>
              <w:t xml:space="preserve"> </w:t>
            </w:r>
            <w:r w:rsidRPr="002D20CA">
              <w:rPr>
                <w:rFonts w:cs="Calibri"/>
                <w:color w:val="FFFFFF" w:themeColor="background1"/>
                <w:sz w:val="18"/>
                <w:szCs w:val="18"/>
              </w:rPr>
              <w:t>In such cases, only amounts outstanding in relation to current or previous periods satisfy the definition of liabilities.</w:t>
            </w:r>
          </w:p>
        </w:tc>
      </w:tr>
      <w:tr w:rsidR="00B47BD1" w:rsidRPr="00CF7E1B" w14:paraId="23ECF1A7" w14:textId="77777777" w:rsidTr="0004564D">
        <w:trPr>
          <w:trHeight w:val="1561"/>
        </w:trPr>
        <w:tc>
          <w:tcPr>
            <w:tcW w:w="1560" w:type="dxa"/>
            <w:tcBorders>
              <w:left w:val="single" w:sz="2" w:space="0" w:color="auto"/>
              <w:right w:val="single" w:sz="2" w:space="0" w:color="auto"/>
            </w:tcBorders>
          </w:tcPr>
          <w:p w14:paraId="5EC1EF3E" w14:textId="77777777" w:rsidR="00B47BD1" w:rsidRPr="000627F8" w:rsidRDefault="00B47BD1">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26.2</w:t>
            </w:r>
          </w:p>
        </w:tc>
        <w:tc>
          <w:tcPr>
            <w:tcW w:w="8930" w:type="dxa"/>
            <w:tcBorders>
              <w:left w:val="single" w:sz="2" w:space="0" w:color="auto"/>
            </w:tcBorders>
            <w:shd w:val="clear" w:color="auto" w:fill="7030A0"/>
          </w:tcPr>
          <w:p w14:paraId="5104102A" w14:textId="2C10B6FB" w:rsidR="00B47BD1" w:rsidRPr="002D20CA" w:rsidRDefault="000D673B" w:rsidP="00514D8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S</w:t>
            </w:r>
            <w:r w:rsidR="00B47BD1" w:rsidRPr="002D20CA">
              <w:rPr>
                <w:rFonts w:cs="Calibri"/>
                <w:color w:val="FFFFFF" w:themeColor="background1"/>
                <w:sz w:val="18"/>
                <w:szCs w:val="18"/>
              </w:rPr>
              <w:t>uch transactions or events may give rise to legal, social, political or economic consequences which leave little, if any, discretion to avoid a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In such circumstances, the definition of a liability is satisfied.</w:t>
            </w:r>
            <w:r w:rsidR="00FA7C77">
              <w:rPr>
                <w:rFonts w:cs="Calibri"/>
                <w:color w:val="FFFFFF" w:themeColor="background1"/>
                <w:sz w:val="18"/>
                <w:szCs w:val="18"/>
              </w:rPr>
              <w:t xml:space="preserve"> </w:t>
            </w:r>
            <w:r w:rsidR="00B47BD1" w:rsidRPr="002D20CA">
              <w:rPr>
                <w:rFonts w:cs="Calibri"/>
                <w:color w:val="FFFFFF" w:themeColor="background1"/>
                <w:sz w:val="18"/>
                <w:szCs w:val="18"/>
              </w:rPr>
              <w:t>An example of such an event is the occurrence of a disaster, where a government has a clear and formal policy to provide financial aid to victims of such disasters.</w:t>
            </w:r>
            <w:r w:rsidR="00FA7C77">
              <w:rPr>
                <w:rFonts w:cs="Calibri"/>
                <w:color w:val="FFFFFF" w:themeColor="background1"/>
                <w:sz w:val="18"/>
                <w:szCs w:val="18"/>
              </w:rPr>
              <w:t xml:space="preserve"> </w:t>
            </w:r>
            <w:r w:rsidR="00B47BD1" w:rsidRPr="002D20CA">
              <w:rPr>
                <w:rFonts w:cs="Calibri"/>
                <w:color w:val="FFFFFF" w:themeColor="background1"/>
                <w:sz w:val="18"/>
                <w:szCs w:val="18"/>
              </w:rPr>
              <w:t>In this circumstance, the government has little discretion to avoid the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However, the liability is recognised only when the amount of financial aid to be provided can be measured reliably.</w:t>
            </w:r>
          </w:p>
        </w:tc>
      </w:tr>
      <w:tr w:rsidR="00A7430F" w:rsidRPr="00CF7E1B" w14:paraId="0620F053" w14:textId="77777777" w:rsidTr="00A7430F">
        <w:trPr>
          <w:trHeight w:val="272"/>
        </w:trPr>
        <w:tc>
          <w:tcPr>
            <w:tcW w:w="1560" w:type="dxa"/>
            <w:tcBorders>
              <w:left w:val="single" w:sz="2" w:space="0" w:color="auto"/>
              <w:right w:val="single" w:sz="2" w:space="0" w:color="auto"/>
            </w:tcBorders>
          </w:tcPr>
          <w:p w14:paraId="6B3F9F80" w14:textId="77777777" w:rsidR="00A7430F" w:rsidRPr="000627F8" w:rsidRDefault="00A7430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02D6D11D" w14:textId="3C38B929" w:rsidR="00A7430F" w:rsidRPr="0007146C" w:rsidRDefault="00A7430F" w:rsidP="00A7430F">
            <w:pPr>
              <w:pStyle w:val="CommentaryText"/>
              <w:tabs>
                <w:tab w:val="left" w:pos="3306"/>
              </w:tabs>
              <w:spacing w:after="40"/>
              <w:rPr>
                <w:rFonts w:cs="Calibri"/>
                <w:color w:val="FF0000"/>
                <w:sz w:val="18"/>
                <w:szCs w:val="18"/>
              </w:rPr>
            </w:pPr>
            <w:r w:rsidRPr="0007146C">
              <w:rPr>
                <w:rFonts w:cs="Calibri"/>
                <w:b/>
                <w:color w:val="FF0000"/>
                <w:szCs w:val="20"/>
              </w:rPr>
              <w:t>Provision for Make Good</w:t>
            </w:r>
          </w:p>
        </w:tc>
      </w:tr>
      <w:tr w:rsidR="00A7430F" w:rsidRPr="00CF7E1B" w14:paraId="2713E782" w14:textId="77777777" w:rsidTr="00A7430F">
        <w:trPr>
          <w:trHeight w:val="272"/>
        </w:trPr>
        <w:tc>
          <w:tcPr>
            <w:tcW w:w="1560" w:type="dxa"/>
            <w:tcBorders>
              <w:left w:val="single" w:sz="2" w:space="0" w:color="auto"/>
              <w:right w:val="single" w:sz="2" w:space="0" w:color="auto"/>
            </w:tcBorders>
          </w:tcPr>
          <w:p w14:paraId="14C8CA9F" w14:textId="77777777" w:rsidR="00A7430F" w:rsidRPr="000627F8" w:rsidRDefault="00A7430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611E1E4" w14:textId="77919517" w:rsidR="00A7430F" w:rsidRPr="0007146C" w:rsidRDefault="00A7430F" w:rsidP="00514D82">
            <w:pPr>
              <w:pStyle w:val="CommentaryText"/>
              <w:tabs>
                <w:tab w:val="left" w:pos="3306"/>
              </w:tabs>
              <w:rPr>
                <w:rFonts w:cs="Calibri"/>
                <w:color w:val="FF0000"/>
                <w:sz w:val="18"/>
                <w:szCs w:val="18"/>
              </w:rPr>
            </w:pPr>
            <w:r w:rsidRPr="0007146C">
              <w:rPr>
                <w:rFonts w:cs="Calibri"/>
                <w:color w:val="FF0000"/>
                <w:sz w:val="18"/>
                <w:szCs w:val="18"/>
              </w:rPr>
              <w:t xml:space="preserve">Where an agency is leasing a building through the ACT Property Group (ACTPG), it is recommended that the agency </w:t>
            </w:r>
            <w:r w:rsidR="005337F1" w:rsidRPr="0007146C">
              <w:rPr>
                <w:rFonts w:cs="Calibri"/>
                <w:color w:val="FF0000"/>
                <w:sz w:val="18"/>
                <w:szCs w:val="18"/>
              </w:rPr>
              <w:t xml:space="preserve">contact ACTPG to </w:t>
            </w:r>
            <w:r w:rsidRPr="0007146C">
              <w:rPr>
                <w:rFonts w:cs="Calibri"/>
                <w:color w:val="FF0000"/>
                <w:sz w:val="18"/>
                <w:szCs w:val="18"/>
              </w:rPr>
              <w:t xml:space="preserve">confirm whether there are any requirements </w:t>
            </w:r>
            <w:r w:rsidR="005337F1" w:rsidRPr="0007146C">
              <w:rPr>
                <w:rFonts w:cs="Calibri"/>
                <w:color w:val="FF0000"/>
                <w:sz w:val="18"/>
                <w:szCs w:val="18"/>
              </w:rPr>
              <w:t>at the end of the lease</w:t>
            </w:r>
            <w:r w:rsidR="007604B9" w:rsidRPr="0007146C">
              <w:rPr>
                <w:rFonts w:cs="Calibri"/>
                <w:color w:val="FF0000"/>
                <w:sz w:val="18"/>
                <w:szCs w:val="18"/>
              </w:rPr>
              <w:t xml:space="preserve"> term</w:t>
            </w:r>
            <w:r w:rsidR="005337F1" w:rsidRPr="0007146C">
              <w:rPr>
                <w:rFonts w:cs="Calibri"/>
                <w:color w:val="FF0000"/>
                <w:sz w:val="18"/>
                <w:szCs w:val="18"/>
              </w:rPr>
              <w:t xml:space="preserve"> </w:t>
            </w:r>
            <w:r w:rsidRPr="0007146C">
              <w:rPr>
                <w:rFonts w:cs="Calibri"/>
                <w:color w:val="FF0000"/>
                <w:sz w:val="18"/>
                <w:szCs w:val="18"/>
              </w:rPr>
              <w:t xml:space="preserve">around returning the building to the condition it was in </w:t>
            </w:r>
            <w:r w:rsidR="005337F1" w:rsidRPr="0007146C">
              <w:rPr>
                <w:rFonts w:cs="Calibri"/>
                <w:color w:val="FF0000"/>
                <w:sz w:val="18"/>
                <w:szCs w:val="18"/>
              </w:rPr>
              <w:t xml:space="preserve">prior to the commencement of the lease, and if so, </w:t>
            </w:r>
            <w:r w:rsidRPr="0007146C">
              <w:rPr>
                <w:rFonts w:cs="Calibri"/>
                <w:color w:val="FF0000"/>
                <w:sz w:val="18"/>
                <w:szCs w:val="18"/>
              </w:rPr>
              <w:t>who is response for</w:t>
            </w:r>
            <w:r w:rsidR="005337F1" w:rsidRPr="0007146C">
              <w:rPr>
                <w:rFonts w:cs="Calibri"/>
                <w:color w:val="FF0000"/>
                <w:sz w:val="18"/>
                <w:szCs w:val="18"/>
              </w:rPr>
              <w:t xml:space="preserve"> undertaking this</w:t>
            </w:r>
            <w:r w:rsidR="007604B9" w:rsidRPr="0007146C">
              <w:rPr>
                <w:rFonts w:cs="Calibri"/>
                <w:color w:val="FF0000"/>
                <w:sz w:val="18"/>
                <w:szCs w:val="18"/>
              </w:rPr>
              <w:t xml:space="preserve"> work</w:t>
            </w:r>
            <w:r w:rsidR="005337F1" w:rsidRPr="0007146C">
              <w:rPr>
                <w:rFonts w:cs="Calibri"/>
                <w:color w:val="FF0000"/>
                <w:sz w:val="18"/>
                <w:szCs w:val="18"/>
              </w:rPr>
              <w:t xml:space="preserve"> (ie whether it is the agency’s responsibility or ACTPGs responsibility).  Where it is the agency’s responsibility to return the building to the condition it was in prior to the lease then the agency should recognise a Provision for Make Good, where appropriate.</w:t>
            </w:r>
          </w:p>
        </w:tc>
      </w:tr>
    </w:tbl>
    <w:p w14:paraId="5F4C4B0E" w14:textId="2C83C161" w:rsidR="000627F8" w:rsidRDefault="000627F8">
      <w:r>
        <w:br w:type="page"/>
      </w: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676"/>
        <w:gridCol w:w="1824"/>
        <w:gridCol w:w="1430"/>
      </w:tblGrid>
      <w:tr w:rsidR="00B47BD1" w:rsidRPr="00CF7E1B" w14:paraId="221EC423" w14:textId="77777777" w:rsidTr="0004564D">
        <w:trPr>
          <w:cantSplit/>
          <w:trHeight w:val="119"/>
        </w:trPr>
        <w:tc>
          <w:tcPr>
            <w:tcW w:w="1560" w:type="dxa"/>
            <w:tcBorders>
              <w:top w:val="nil"/>
              <w:left w:val="single" w:sz="2" w:space="0" w:color="auto"/>
              <w:bottom w:val="nil"/>
              <w:right w:val="single" w:sz="2" w:space="0" w:color="auto"/>
            </w:tcBorders>
          </w:tcPr>
          <w:p w14:paraId="05D46B89" w14:textId="77777777" w:rsidR="00B47BD1" w:rsidRPr="002D20CA" w:rsidRDefault="00B44DA7" w:rsidP="00514D82">
            <w:pPr>
              <w:pStyle w:val="TableReference"/>
              <w:tabs>
                <w:tab w:val="left" w:pos="3306"/>
              </w:tabs>
              <w:spacing w:before="240" w:after="240"/>
              <w:rPr>
                <w:rFonts w:cs="Calibri"/>
                <w:b/>
                <w:color w:val="7030A0"/>
                <w:sz w:val="22"/>
                <w:szCs w:val="22"/>
              </w:rPr>
            </w:pPr>
            <w:bookmarkStart w:id="714" w:name="LiabilitiesOther" w:colFirst="1" w:colLast="1"/>
            <w:r w:rsidRPr="002D20CA">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412E23C3" w14:textId="31C0CD6A" w:rsidR="00B47BD1" w:rsidRPr="002D20CA" w:rsidRDefault="00B578B1" w:rsidP="00514D82">
            <w:pPr>
              <w:pStyle w:val="Heading1"/>
              <w:numPr>
                <w:ilvl w:val="0"/>
                <w:numId w:val="0"/>
              </w:numPr>
            </w:pPr>
            <w:bookmarkStart w:id="715" w:name="_Toc400627353"/>
            <w:bookmarkStart w:id="716" w:name="_Toc132743820"/>
            <w:r w:rsidRPr="002D20CA">
              <w:t xml:space="preserve">Note </w:t>
            </w:r>
            <w:r w:rsidR="001101E3" w:rsidRPr="002D20CA">
              <w:t>29</w:t>
            </w:r>
            <w:r w:rsidR="00B47BD1" w:rsidRPr="002D20CA">
              <w:t>.</w:t>
            </w:r>
            <w:r w:rsidR="00FA7C77">
              <w:t xml:space="preserve"> </w:t>
            </w:r>
            <w:r w:rsidRPr="002D20CA">
              <w:t xml:space="preserve"> </w:t>
            </w:r>
            <w:r w:rsidR="00B47BD1" w:rsidRPr="002D20CA">
              <w:t>Other Liabilities</w:t>
            </w:r>
            <w:bookmarkEnd w:id="715"/>
            <w:bookmarkEnd w:id="716"/>
            <w:r w:rsidR="00E00DEC" w:rsidRPr="002D20CA">
              <w:t xml:space="preserve"> </w:t>
            </w:r>
          </w:p>
        </w:tc>
      </w:tr>
      <w:tr w:rsidR="009058D2" w:rsidRPr="00CF7E1B" w14:paraId="4A925CF4" w14:textId="77777777" w:rsidTr="0004564D">
        <w:trPr>
          <w:cantSplit/>
          <w:trHeight w:val="119"/>
        </w:trPr>
        <w:tc>
          <w:tcPr>
            <w:tcW w:w="1560" w:type="dxa"/>
            <w:tcBorders>
              <w:top w:val="nil"/>
              <w:left w:val="single" w:sz="2" w:space="0" w:color="auto"/>
              <w:bottom w:val="nil"/>
              <w:right w:val="single" w:sz="2" w:space="0" w:color="auto"/>
            </w:tcBorders>
          </w:tcPr>
          <w:p w14:paraId="4BF5202B"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15DFECF6" w14:textId="499A6AEA" w:rsidR="009058D2" w:rsidRPr="0028231E" w:rsidRDefault="00E364D6" w:rsidP="0028231E">
            <w:pPr>
              <w:jc w:val="both"/>
              <w:rPr>
                <w:b/>
                <w:bCs/>
                <w:caps/>
                <w:sz w:val="18"/>
                <w:szCs w:val="18"/>
              </w:rPr>
            </w:pPr>
            <w:bookmarkStart w:id="717" w:name="_Toc98763159"/>
            <w:r w:rsidRPr="0028231E">
              <w:rPr>
                <w:b/>
                <w:bCs/>
                <w:sz w:val="18"/>
                <w:szCs w:val="18"/>
              </w:rPr>
              <w:t xml:space="preserve">Description and </w:t>
            </w:r>
            <w:r w:rsidR="009058D2" w:rsidRPr="0028231E">
              <w:rPr>
                <w:b/>
                <w:bCs/>
                <w:sz w:val="18"/>
                <w:szCs w:val="18"/>
              </w:rPr>
              <w:t>Material Accounting Policies Relating to Other Liabilities</w:t>
            </w:r>
            <w:bookmarkEnd w:id="717"/>
          </w:p>
        </w:tc>
      </w:tr>
      <w:tr w:rsidR="009058D2" w:rsidRPr="00CF7E1B" w14:paraId="49F3A8C0" w14:textId="77777777" w:rsidTr="0004564D">
        <w:trPr>
          <w:cantSplit/>
          <w:trHeight w:val="119"/>
        </w:trPr>
        <w:tc>
          <w:tcPr>
            <w:tcW w:w="1560" w:type="dxa"/>
            <w:tcBorders>
              <w:top w:val="nil"/>
              <w:left w:val="single" w:sz="2" w:space="0" w:color="auto"/>
              <w:bottom w:val="nil"/>
              <w:right w:val="single" w:sz="2" w:space="0" w:color="auto"/>
            </w:tcBorders>
          </w:tcPr>
          <w:p w14:paraId="0DDE94C1"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2EFD640A" w14:textId="78DB4BE0" w:rsidR="009058D2" w:rsidRPr="002D20CA" w:rsidRDefault="009058D2" w:rsidP="009058D2">
            <w:pPr>
              <w:pStyle w:val="Appxhead3"/>
              <w:spacing w:before="0" w:after="0"/>
              <w:rPr>
                <w:rFonts w:ascii="Calibri" w:hAnsi="Calibri" w:cs="Calibri"/>
                <w:b w:val="0"/>
                <w:i/>
                <w:smallCaps w:val="0"/>
                <w:sz w:val="18"/>
                <w:szCs w:val="18"/>
              </w:rPr>
            </w:pPr>
            <w:r w:rsidRPr="002D20CA">
              <w:rPr>
                <w:rFonts w:ascii="Calibri" w:hAnsi="Calibri" w:cs="Calibri"/>
                <w:b w:val="0"/>
                <w:i/>
                <w:smallCaps w:val="0"/>
                <w:sz w:val="18"/>
                <w:szCs w:val="18"/>
              </w:rPr>
              <w:t>Revenue Received in Advance</w:t>
            </w:r>
          </w:p>
        </w:tc>
      </w:tr>
      <w:tr w:rsidR="009058D2" w:rsidRPr="00CF7E1B" w14:paraId="546EA32D" w14:textId="77777777" w:rsidTr="0004564D">
        <w:trPr>
          <w:cantSplit/>
          <w:trHeight w:val="119"/>
        </w:trPr>
        <w:tc>
          <w:tcPr>
            <w:tcW w:w="1560" w:type="dxa"/>
            <w:tcBorders>
              <w:top w:val="nil"/>
              <w:left w:val="single" w:sz="2" w:space="0" w:color="auto"/>
              <w:bottom w:val="nil"/>
              <w:right w:val="single" w:sz="2" w:space="0" w:color="auto"/>
            </w:tcBorders>
          </w:tcPr>
          <w:p w14:paraId="5B7B28F0" w14:textId="31D98337" w:rsidR="009058D2" w:rsidRPr="002D20CA" w:rsidRDefault="009058D2" w:rsidP="009058D2">
            <w:pPr>
              <w:pStyle w:val="TableReference"/>
              <w:tabs>
                <w:tab w:val="left" w:pos="3306"/>
              </w:tabs>
              <w:rPr>
                <w:rFonts w:cs="Calibri"/>
                <w:b/>
                <w:color w:val="7030A0"/>
                <w:sz w:val="14"/>
              </w:rPr>
            </w:pPr>
            <w:r w:rsidRPr="002D20CA">
              <w:rPr>
                <w:snapToGrid w:val="0"/>
                <w:color w:val="7030A0"/>
                <w:sz w:val="14"/>
              </w:rPr>
              <w:t>AASB 101.77 &amp; 78</w:t>
            </w:r>
          </w:p>
        </w:tc>
        <w:tc>
          <w:tcPr>
            <w:tcW w:w="8930" w:type="dxa"/>
            <w:gridSpan w:val="3"/>
            <w:tcBorders>
              <w:top w:val="nil"/>
              <w:left w:val="single" w:sz="2" w:space="0" w:color="auto"/>
              <w:bottom w:val="nil"/>
              <w:right w:val="nil"/>
            </w:tcBorders>
            <w:vAlign w:val="bottom"/>
          </w:tcPr>
          <w:p w14:paraId="1EDE6252" w14:textId="1391047B" w:rsidR="009058D2" w:rsidRPr="002D20CA" w:rsidRDefault="009058D2" w:rsidP="00B45353">
            <w:pPr>
              <w:jc w:val="both"/>
              <w:rPr>
                <w:rFonts w:cs="Calibri"/>
                <w:iCs/>
                <w:sz w:val="18"/>
                <w:szCs w:val="18"/>
              </w:rPr>
            </w:pPr>
            <w:r w:rsidRPr="002D20CA">
              <w:rPr>
                <w:rFonts w:cs="Calibri"/>
                <w:iCs/>
                <w:sz w:val="18"/>
                <w:szCs w:val="18"/>
              </w:rPr>
              <w:t>Revenue received in advance is recognised as a liability if there is a present obligation to return the funds received, otherwise all are recorded as revenue.</w:t>
            </w:r>
            <w:r w:rsidR="00FA7C77">
              <w:t xml:space="preserve"> </w:t>
            </w:r>
            <w:r w:rsidR="00BE43E5" w:rsidRPr="002D20CA">
              <w:rPr>
                <w:sz w:val="18"/>
                <w:szCs w:val="18"/>
              </w:rPr>
              <w:t>Revenue received in advance arises from transactions that are not contracts with customers.</w:t>
            </w:r>
          </w:p>
        </w:tc>
      </w:tr>
      <w:tr w:rsidR="00B45353" w:rsidRPr="00CF7E1B" w14:paraId="6533514F" w14:textId="77777777" w:rsidTr="0004564D">
        <w:trPr>
          <w:cantSplit/>
          <w:trHeight w:val="119"/>
        </w:trPr>
        <w:tc>
          <w:tcPr>
            <w:tcW w:w="1560" w:type="dxa"/>
            <w:tcBorders>
              <w:top w:val="nil"/>
              <w:left w:val="single" w:sz="2" w:space="0" w:color="auto"/>
              <w:bottom w:val="nil"/>
              <w:right w:val="single" w:sz="2" w:space="0" w:color="auto"/>
            </w:tcBorders>
          </w:tcPr>
          <w:p w14:paraId="10ED27F9"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752345A2" w14:textId="6DF51B83" w:rsidR="00B45353" w:rsidRPr="002D20CA" w:rsidRDefault="00B45353" w:rsidP="00B45353">
            <w:pPr>
              <w:spacing w:before="120"/>
              <w:rPr>
                <w:rFonts w:cs="Calibri"/>
                <w:iCs/>
                <w:sz w:val="18"/>
                <w:szCs w:val="18"/>
              </w:rPr>
            </w:pPr>
            <w:r w:rsidRPr="002D20CA">
              <w:rPr>
                <w:rFonts w:cs="Calibri"/>
                <w:i/>
                <w:sz w:val="18"/>
                <w:szCs w:val="18"/>
              </w:rPr>
              <w:t>Rent Received in Advance</w:t>
            </w:r>
          </w:p>
        </w:tc>
      </w:tr>
      <w:tr w:rsidR="00B45353" w:rsidRPr="00CF7E1B" w14:paraId="503F5180" w14:textId="77777777" w:rsidTr="0004564D">
        <w:trPr>
          <w:cantSplit/>
          <w:trHeight w:val="119"/>
        </w:trPr>
        <w:tc>
          <w:tcPr>
            <w:tcW w:w="1560" w:type="dxa"/>
            <w:tcBorders>
              <w:top w:val="nil"/>
              <w:left w:val="single" w:sz="2" w:space="0" w:color="auto"/>
              <w:bottom w:val="nil"/>
              <w:right w:val="single" w:sz="2" w:space="0" w:color="auto"/>
            </w:tcBorders>
          </w:tcPr>
          <w:p w14:paraId="494EBC5A"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6C9CA3A8" w14:textId="0F053279" w:rsidR="00B45353" w:rsidRPr="002D20CA" w:rsidRDefault="00493022" w:rsidP="00C6573A">
            <w:pPr>
              <w:jc w:val="both"/>
              <w:rPr>
                <w:rFonts w:cs="Calibri"/>
                <w:iCs/>
                <w:sz w:val="18"/>
                <w:szCs w:val="18"/>
              </w:rPr>
            </w:pPr>
            <w:r w:rsidRPr="002D20CA">
              <w:rPr>
                <w:sz w:val="18"/>
                <w:szCs w:val="18"/>
              </w:rPr>
              <w:t>‘</w:t>
            </w:r>
            <w:r w:rsidR="00BB42C1" w:rsidRPr="002D20CA">
              <w:rPr>
                <w:sz w:val="18"/>
                <w:szCs w:val="18"/>
              </w:rPr>
              <w:t>Burley Griffin</w:t>
            </w:r>
            <w:r w:rsidR="00BB42C1" w:rsidRPr="002D20CA">
              <w:rPr>
                <w:bCs/>
                <w:sz w:val="18"/>
                <w:szCs w:val="18"/>
              </w:rPr>
              <w:t xml:space="preserve"> </w:t>
            </w:r>
            <w:r w:rsidRPr="002D20CA">
              <w:rPr>
                <w:sz w:val="18"/>
                <w:szCs w:val="18"/>
              </w:rPr>
              <w:t>Agency’ charges rent on its commercial investment property buildings monthly in advance.</w:t>
            </w:r>
            <w:r w:rsidR="00FA7C77">
              <w:rPr>
                <w:sz w:val="18"/>
                <w:szCs w:val="18"/>
              </w:rPr>
              <w:t xml:space="preserve"> </w:t>
            </w:r>
            <w:r w:rsidRPr="002D20CA">
              <w:rPr>
                <w:sz w:val="18"/>
                <w:szCs w:val="18"/>
              </w:rPr>
              <w:t>Before the end of the financial year ‘</w:t>
            </w:r>
            <w:r w:rsidR="00BB42C1" w:rsidRPr="002D20CA">
              <w:rPr>
                <w:sz w:val="18"/>
                <w:szCs w:val="18"/>
              </w:rPr>
              <w:t>Burley Griffin</w:t>
            </w:r>
            <w:r w:rsidRPr="002D20CA">
              <w:rPr>
                <w:sz w:val="18"/>
                <w:szCs w:val="18"/>
              </w:rPr>
              <w:t xml:space="preserve"> Agency’ had received the rent for its commercial properties for July 202</w:t>
            </w:r>
            <w:r w:rsidR="007D0487">
              <w:rPr>
                <w:sz w:val="18"/>
                <w:szCs w:val="18"/>
              </w:rPr>
              <w:t>3</w:t>
            </w:r>
            <w:r w:rsidRPr="002D20CA">
              <w:rPr>
                <w:sz w:val="18"/>
                <w:szCs w:val="18"/>
              </w:rPr>
              <w:t xml:space="preserve"> and as such has recognised this r</w:t>
            </w:r>
            <w:r w:rsidR="00B45353" w:rsidRPr="002D20CA">
              <w:rPr>
                <w:sz w:val="18"/>
                <w:szCs w:val="18"/>
              </w:rPr>
              <w:t xml:space="preserve">ent </w:t>
            </w:r>
            <w:r w:rsidRPr="002D20CA">
              <w:rPr>
                <w:sz w:val="18"/>
                <w:szCs w:val="18"/>
              </w:rPr>
              <w:t>as a liability at 30 June 202</w:t>
            </w:r>
            <w:r w:rsidR="007D0487">
              <w:rPr>
                <w:sz w:val="18"/>
                <w:szCs w:val="18"/>
              </w:rPr>
              <w:t>3</w:t>
            </w:r>
            <w:r w:rsidRPr="002D20CA">
              <w:rPr>
                <w:sz w:val="18"/>
                <w:szCs w:val="18"/>
              </w:rPr>
              <w:t>.</w:t>
            </w:r>
            <w:r w:rsidR="00B45353" w:rsidRPr="002D20CA">
              <w:rPr>
                <w:rFonts w:cs="Calibri"/>
                <w:iCs/>
                <w:sz w:val="18"/>
                <w:szCs w:val="18"/>
              </w:rPr>
              <w:t xml:space="preserve"> </w:t>
            </w:r>
          </w:p>
        </w:tc>
      </w:tr>
      <w:tr w:rsidR="00063921" w:rsidRPr="00CF7E1B" w14:paraId="52D6B317" w14:textId="77777777" w:rsidTr="0004564D">
        <w:trPr>
          <w:cantSplit/>
          <w:trHeight w:val="119"/>
        </w:trPr>
        <w:tc>
          <w:tcPr>
            <w:tcW w:w="1560" w:type="dxa"/>
            <w:tcBorders>
              <w:top w:val="nil"/>
              <w:left w:val="single" w:sz="2" w:space="0" w:color="auto"/>
              <w:bottom w:val="nil"/>
              <w:right w:val="single" w:sz="2" w:space="0" w:color="auto"/>
            </w:tcBorders>
          </w:tcPr>
          <w:p w14:paraId="2B6195FF" w14:textId="77777777" w:rsidR="00063921" w:rsidRPr="002D20CA" w:rsidRDefault="00063921"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59C417ED" w14:textId="32A646A9" w:rsidR="00063921" w:rsidRPr="002D20CA" w:rsidRDefault="00063921" w:rsidP="00E364D6">
            <w:pPr>
              <w:spacing w:before="120"/>
              <w:jc w:val="both"/>
              <w:rPr>
                <w:rFonts w:cs="Calibri"/>
                <w:i/>
                <w:sz w:val="18"/>
                <w:szCs w:val="18"/>
              </w:rPr>
            </w:pPr>
            <w:r w:rsidRPr="002D20CA">
              <w:rPr>
                <w:rFonts w:cs="Calibri"/>
                <w:i/>
                <w:sz w:val="18"/>
                <w:szCs w:val="18"/>
              </w:rPr>
              <w:t>Service Concession Unearned Revenue Liability</w:t>
            </w:r>
          </w:p>
        </w:tc>
      </w:tr>
      <w:tr w:rsidR="009A3E96" w:rsidRPr="00CF7E1B" w14:paraId="57E5D6AE" w14:textId="77777777" w:rsidTr="0004564D">
        <w:trPr>
          <w:cantSplit/>
          <w:trHeight w:val="119"/>
        </w:trPr>
        <w:tc>
          <w:tcPr>
            <w:tcW w:w="1560" w:type="dxa"/>
            <w:tcBorders>
              <w:top w:val="nil"/>
              <w:left w:val="single" w:sz="2" w:space="0" w:color="auto"/>
              <w:bottom w:val="nil"/>
              <w:right w:val="single" w:sz="2" w:space="0" w:color="auto"/>
            </w:tcBorders>
          </w:tcPr>
          <w:p w14:paraId="20CB311F" w14:textId="77777777" w:rsidR="009A3E96" w:rsidRPr="002D20CA" w:rsidRDefault="009A3E96"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2E28377F" w14:textId="6A8FA4B8" w:rsidR="009A3E96" w:rsidRPr="002D20CA" w:rsidRDefault="009A3E96" w:rsidP="00E364D6">
            <w:pPr>
              <w:spacing w:after="120"/>
              <w:jc w:val="both"/>
              <w:rPr>
                <w:rFonts w:cs="Calibri"/>
                <w:i/>
                <w:sz w:val="18"/>
                <w:szCs w:val="18"/>
              </w:rPr>
            </w:pPr>
            <w:r w:rsidRPr="002D20CA">
              <w:rPr>
                <w:sz w:val="18"/>
                <w:szCs w:val="18"/>
              </w:rPr>
              <w:t xml:space="preserve">As part of the arrangements </w:t>
            </w:r>
            <w:r w:rsidR="009B4B7E">
              <w:rPr>
                <w:sz w:val="18"/>
                <w:szCs w:val="18"/>
              </w:rPr>
              <w:t xml:space="preserve">with ‘Example Metro’, </w:t>
            </w:r>
            <w:r w:rsidRPr="002D20CA">
              <w:rPr>
                <w:sz w:val="18"/>
                <w:szCs w:val="18"/>
              </w:rPr>
              <w:t>‘</w:t>
            </w:r>
            <w:r w:rsidR="00BB42C1" w:rsidRPr="002D20CA">
              <w:rPr>
                <w:sz w:val="18"/>
                <w:szCs w:val="18"/>
              </w:rPr>
              <w:t>Burley Griffin</w:t>
            </w:r>
            <w:r w:rsidRPr="002D20CA">
              <w:rPr>
                <w:sz w:val="18"/>
                <w:szCs w:val="18"/>
              </w:rPr>
              <w:t xml:space="preserve"> Agency’ has taken up a service concession arrangement </w:t>
            </w:r>
            <w:r w:rsidR="00E364D6" w:rsidRPr="002D20CA">
              <w:rPr>
                <w:rFonts w:cs="Calibri"/>
                <w:iCs/>
                <w:sz w:val="18"/>
                <w:szCs w:val="18"/>
              </w:rPr>
              <w:t>Unearned Revenue</w:t>
            </w:r>
            <w:r w:rsidR="00E364D6" w:rsidRPr="002D20CA">
              <w:rPr>
                <w:rFonts w:cs="Calibri"/>
                <w:i/>
                <w:sz w:val="18"/>
                <w:szCs w:val="18"/>
              </w:rPr>
              <w:t xml:space="preserve"> </w:t>
            </w:r>
            <w:r w:rsidRPr="002D20CA">
              <w:rPr>
                <w:sz w:val="18"/>
                <w:szCs w:val="18"/>
              </w:rPr>
              <w:t>liability.</w:t>
            </w:r>
            <w:r w:rsidR="00FA7C77">
              <w:rPr>
                <w:sz w:val="18"/>
                <w:szCs w:val="18"/>
              </w:rPr>
              <w:t xml:space="preserve"> </w:t>
            </w:r>
            <w:r w:rsidRPr="002D20CA">
              <w:rPr>
                <w:sz w:val="18"/>
                <w:szCs w:val="18"/>
              </w:rPr>
              <w:t xml:space="preserve">For more information in relation to service concession arrangements refer to Note </w:t>
            </w:r>
            <w:r w:rsidR="009B4B7E">
              <w:rPr>
                <w:sz w:val="18"/>
                <w:szCs w:val="18"/>
              </w:rPr>
              <w:t>39</w:t>
            </w:r>
            <w:r w:rsidRPr="002D20CA">
              <w:rPr>
                <w:sz w:val="18"/>
                <w:szCs w:val="18"/>
              </w:rPr>
              <w:t xml:space="preserve"> </w:t>
            </w:r>
            <w:r w:rsidRPr="009B4B7E">
              <w:rPr>
                <w:i/>
                <w:iCs/>
                <w:sz w:val="18"/>
                <w:szCs w:val="18"/>
              </w:rPr>
              <w:t>Service Concession Arrangement</w:t>
            </w:r>
            <w:r w:rsidR="00D70F08">
              <w:rPr>
                <w:i/>
                <w:iCs/>
                <w:sz w:val="18"/>
                <w:szCs w:val="18"/>
              </w:rPr>
              <w:t>s</w:t>
            </w:r>
            <w:r w:rsidRPr="002D20CA">
              <w:rPr>
                <w:sz w:val="18"/>
                <w:szCs w:val="18"/>
              </w:rPr>
              <w:t>.</w:t>
            </w:r>
          </w:p>
        </w:tc>
      </w:tr>
      <w:bookmarkEnd w:id="714"/>
      <w:tr w:rsidR="00736294" w:rsidRPr="00CF7E1B" w14:paraId="3CFE21D3" w14:textId="77777777" w:rsidTr="0004564D">
        <w:trPr>
          <w:cantSplit/>
          <w:trHeight w:val="119"/>
        </w:trPr>
        <w:tc>
          <w:tcPr>
            <w:tcW w:w="1560" w:type="dxa"/>
            <w:tcBorders>
              <w:top w:val="nil"/>
              <w:left w:val="single" w:sz="2" w:space="0" w:color="auto"/>
              <w:bottom w:val="nil"/>
              <w:right w:val="single" w:sz="2" w:space="0" w:color="auto"/>
            </w:tcBorders>
          </w:tcPr>
          <w:p w14:paraId="314F9138"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5482E7A9" w14:textId="6AB78BA5" w:rsidR="00736294" w:rsidRPr="002D20CA" w:rsidRDefault="00736294" w:rsidP="00736294">
            <w:pPr>
              <w:spacing w:before="120"/>
              <w:jc w:val="both"/>
              <w:rPr>
                <w:rFonts w:cs="Calibri"/>
                <w:i/>
                <w:sz w:val="18"/>
                <w:szCs w:val="18"/>
              </w:rPr>
            </w:pPr>
            <w:r w:rsidRPr="002D20CA">
              <w:rPr>
                <w:rFonts w:cs="Calibri"/>
                <w:i/>
                <w:sz w:val="18"/>
                <w:szCs w:val="18"/>
              </w:rPr>
              <w:t>Liabilities Arising from Assets being Constructed or Acquired which will be Controlled by the Agency</w:t>
            </w:r>
          </w:p>
        </w:tc>
      </w:tr>
      <w:tr w:rsidR="00736294" w:rsidRPr="00CF7E1B" w14:paraId="2551A439" w14:textId="77777777" w:rsidTr="0004564D">
        <w:trPr>
          <w:cantSplit/>
          <w:trHeight w:val="119"/>
        </w:trPr>
        <w:tc>
          <w:tcPr>
            <w:tcW w:w="1560" w:type="dxa"/>
            <w:tcBorders>
              <w:top w:val="nil"/>
              <w:left w:val="single" w:sz="2" w:space="0" w:color="auto"/>
              <w:bottom w:val="nil"/>
              <w:right w:val="single" w:sz="2" w:space="0" w:color="auto"/>
            </w:tcBorders>
          </w:tcPr>
          <w:p w14:paraId="52FF15FF"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1058.32</w:t>
            </w:r>
          </w:p>
          <w:p w14:paraId="1EFBB78C"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1058.35</w:t>
            </w:r>
          </w:p>
          <w:p w14:paraId="3F145474"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09F8B558" w14:textId="1F83A5D8" w:rsidR="00736294" w:rsidRPr="002D20CA" w:rsidRDefault="00751795" w:rsidP="000627F8">
            <w:pPr>
              <w:spacing w:after="120"/>
              <w:jc w:val="both"/>
              <w:rPr>
                <w:sz w:val="18"/>
                <w:szCs w:val="18"/>
              </w:rPr>
            </w:pPr>
            <w:r w:rsidRPr="002D20CA">
              <w:rPr>
                <w:rFonts w:cs="Calibri"/>
                <w:iCs/>
                <w:sz w:val="18"/>
                <w:szCs w:val="18"/>
              </w:rPr>
              <w:t>L</w:t>
            </w:r>
            <w:r w:rsidR="00736294" w:rsidRPr="002D20CA">
              <w:rPr>
                <w:rFonts w:cs="Calibri"/>
                <w:iCs/>
                <w:sz w:val="18"/>
                <w:szCs w:val="18"/>
              </w:rPr>
              <w:t>iabilities relat</w:t>
            </w:r>
            <w:r w:rsidRPr="002D20CA">
              <w:rPr>
                <w:rFonts w:cs="Calibri"/>
                <w:iCs/>
                <w:sz w:val="18"/>
                <w:szCs w:val="18"/>
              </w:rPr>
              <w:t xml:space="preserve">ing </w:t>
            </w:r>
            <w:r w:rsidR="00736294" w:rsidRPr="002D20CA">
              <w:rPr>
                <w:rFonts w:cs="Calibri"/>
                <w:iCs/>
                <w:sz w:val="18"/>
                <w:szCs w:val="18"/>
              </w:rPr>
              <w:t>to funds received in advance</w:t>
            </w:r>
            <w:r w:rsidR="00736294" w:rsidRPr="002D20CA">
              <w:rPr>
                <w:sz w:val="18"/>
                <w:szCs w:val="18"/>
              </w:rPr>
              <w:t xml:space="preserve"> from the Commonwealth Government </w:t>
            </w:r>
            <w:r w:rsidR="00736294" w:rsidRPr="002D20CA">
              <w:rPr>
                <w:rFonts w:cs="Calibri"/>
                <w:iCs/>
                <w:sz w:val="18"/>
                <w:szCs w:val="18"/>
              </w:rPr>
              <w:t>for the construction of ABC highway which will be controlled by the Agency when complete.</w:t>
            </w:r>
            <w:r w:rsidR="00FA7C77">
              <w:rPr>
                <w:rFonts w:cs="Calibri"/>
                <w:iCs/>
                <w:sz w:val="18"/>
                <w:szCs w:val="18"/>
              </w:rPr>
              <w:t xml:space="preserve"> </w:t>
            </w:r>
            <w:r w:rsidR="00736294" w:rsidRPr="002D20CA">
              <w:rPr>
                <w:rFonts w:cs="Calibri"/>
                <w:iCs/>
                <w:sz w:val="18"/>
                <w:szCs w:val="18"/>
              </w:rPr>
              <w:t xml:space="preserve">The liability </w:t>
            </w:r>
            <w:r w:rsidR="002B0071" w:rsidRPr="002D20CA">
              <w:rPr>
                <w:rFonts w:cs="Calibri"/>
                <w:iCs/>
                <w:sz w:val="18"/>
                <w:szCs w:val="18"/>
              </w:rPr>
              <w:t>is</w:t>
            </w:r>
            <w:r w:rsidR="00736294" w:rsidRPr="002D20CA">
              <w:rPr>
                <w:rFonts w:cs="Calibri"/>
                <w:iCs/>
                <w:sz w:val="18"/>
                <w:szCs w:val="18"/>
              </w:rPr>
              <w:t xml:space="preserve"> reduc</w:t>
            </w:r>
            <w:r w:rsidR="002B0071" w:rsidRPr="002D20CA">
              <w:rPr>
                <w:rFonts w:cs="Calibri"/>
                <w:iCs/>
                <w:sz w:val="18"/>
                <w:szCs w:val="18"/>
              </w:rPr>
              <w:t>ing</w:t>
            </w:r>
            <w:r w:rsidR="00736294" w:rsidRPr="002D20CA">
              <w:rPr>
                <w:rFonts w:cs="Calibri"/>
                <w:iCs/>
                <w:sz w:val="18"/>
                <w:szCs w:val="18"/>
              </w:rPr>
              <w:t xml:space="preserve"> as revenue is recognised on a costs incurred basis over the course of construction in accordance with the satisfaction of the performance obligation which is over time as the Agency receives the benefit as the work is performed.</w:t>
            </w:r>
          </w:p>
        </w:tc>
      </w:tr>
      <w:tr w:rsidR="00736294" w:rsidRPr="00CF7E1B" w14:paraId="1771D843" w14:textId="77777777" w:rsidTr="0004564D">
        <w:trPr>
          <w:cantSplit/>
          <w:trHeight w:val="290"/>
        </w:trPr>
        <w:tc>
          <w:tcPr>
            <w:tcW w:w="1560" w:type="dxa"/>
            <w:tcBorders>
              <w:top w:val="nil"/>
              <w:left w:val="single" w:sz="2" w:space="0" w:color="auto"/>
              <w:bottom w:val="nil"/>
              <w:right w:val="single" w:sz="2" w:space="0" w:color="auto"/>
            </w:tcBorders>
          </w:tcPr>
          <w:p w14:paraId="11573375" w14:textId="77777777" w:rsidR="00736294" w:rsidRPr="002D20CA" w:rsidRDefault="00736294" w:rsidP="00736294">
            <w:pPr>
              <w:pStyle w:val="TableReference"/>
              <w:tabs>
                <w:tab w:val="left" w:pos="3306"/>
              </w:tabs>
              <w:spacing w:before="40"/>
              <w:rPr>
                <w:rFonts w:cs="Calibri"/>
                <w:color w:val="7030A0"/>
                <w:sz w:val="16"/>
                <w:szCs w:val="16"/>
              </w:rPr>
            </w:pPr>
          </w:p>
        </w:tc>
        <w:tc>
          <w:tcPr>
            <w:tcW w:w="5676" w:type="dxa"/>
            <w:tcBorders>
              <w:top w:val="nil"/>
              <w:left w:val="single" w:sz="2" w:space="0" w:color="auto"/>
              <w:bottom w:val="nil"/>
              <w:right w:val="nil"/>
            </w:tcBorders>
            <w:vAlign w:val="bottom"/>
          </w:tcPr>
          <w:p w14:paraId="595DC095" w14:textId="77777777" w:rsidR="00736294" w:rsidRPr="002D20CA" w:rsidRDefault="00736294" w:rsidP="00736294">
            <w:pPr>
              <w:pStyle w:val="TableTitle"/>
              <w:tabs>
                <w:tab w:val="left" w:pos="3306"/>
              </w:tabs>
              <w:rPr>
                <w:rFonts w:cs="Calibri"/>
              </w:rPr>
            </w:pPr>
          </w:p>
        </w:tc>
        <w:tc>
          <w:tcPr>
            <w:tcW w:w="1824" w:type="dxa"/>
            <w:tcBorders>
              <w:top w:val="nil"/>
              <w:left w:val="nil"/>
              <w:bottom w:val="nil"/>
              <w:right w:val="nil"/>
            </w:tcBorders>
            <w:vAlign w:val="bottom"/>
          </w:tcPr>
          <w:p w14:paraId="7CB1ECFE" w14:textId="7918098B" w:rsidR="00736294" w:rsidRPr="002D20CA" w:rsidRDefault="00736294" w:rsidP="00736294">
            <w:pPr>
              <w:pStyle w:val="TableTitle"/>
              <w:tabs>
                <w:tab w:val="left" w:pos="3306"/>
              </w:tabs>
              <w:rPr>
                <w:rFonts w:cs="Calibri"/>
              </w:rPr>
            </w:pPr>
            <w:r w:rsidRPr="002D20CA">
              <w:rPr>
                <w:rFonts w:cs="Calibri"/>
              </w:rPr>
              <w:t>202</w:t>
            </w:r>
            <w:r w:rsidR="007D0487">
              <w:rPr>
                <w:rFonts w:cs="Calibri"/>
              </w:rPr>
              <w:t>3</w:t>
            </w:r>
          </w:p>
          <w:p w14:paraId="50DDB672" w14:textId="77777777" w:rsidR="00736294" w:rsidRPr="002D20CA" w:rsidRDefault="00736294" w:rsidP="00736294">
            <w:pPr>
              <w:pStyle w:val="TableTitle"/>
              <w:tabs>
                <w:tab w:val="left" w:pos="3306"/>
              </w:tabs>
              <w:rPr>
                <w:rFonts w:cs="Calibri"/>
              </w:rPr>
            </w:pPr>
            <w:r w:rsidRPr="002D20CA">
              <w:rPr>
                <w:rFonts w:cs="Calibri"/>
              </w:rPr>
              <w:t>$’000</w:t>
            </w:r>
          </w:p>
        </w:tc>
        <w:tc>
          <w:tcPr>
            <w:tcW w:w="1430" w:type="dxa"/>
            <w:tcBorders>
              <w:top w:val="nil"/>
              <w:left w:val="nil"/>
              <w:bottom w:val="nil"/>
              <w:right w:val="nil"/>
            </w:tcBorders>
            <w:vAlign w:val="bottom"/>
          </w:tcPr>
          <w:p w14:paraId="64AD1C16" w14:textId="045F85EF" w:rsidR="00736294" w:rsidRPr="002D20CA" w:rsidRDefault="00736294" w:rsidP="00736294">
            <w:pPr>
              <w:pStyle w:val="TableTitle"/>
              <w:tabs>
                <w:tab w:val="left" w:pos="3306"/>
              </w:tabs>
              <w:rPr>
                <w:rFonts w:cs="Calibri"/>
              </w:rPr>
            </w:pPr>
            <w:r w:rsidRPr="002D20CA">
              <w:rPr>
                <w:rFonts w:cs="Calibri"/>
              </w:rPr>
              <w:t>202</w:t>
            </w:r>
            <w:r w:rsidR="007D0487">
              <w:rPr>
                <w:rFonts w:cs="Calibri"/>
              </w:rPr>
              <w:t>2</w:t>
            </w:r>
          </w:p>
          <w:p w14:paraId="601B6EAD" w14:textId="77777777" w:rsidR="00736294" w:rsidRPr="002D20CA" w:rsidRDefault="00736294" w:rsidP="00736294">
            <w:pPr>
              <w:pStyle w:val="TableTitle"/>
              <w:tabs>
                <w:tab w:val="left" w:pos="3306"/>
              </w:tabs>
              <w:rPr>
                <w:rFonts w:cs="Calibri"/>
              </w:rPr>
            </w:pPr>
            <w:r w:rsidRPr="002D20CA">
              <w:rPr>
                <w:rFonts w:cs="Calibri"/>
              </w:rPr>
              <w:t>$’000</w:t>
            </w:r>
          </w:p>
        </w:tc>
      </w:tr>
      <w:tr w:rsidR="00736294" w:rsidRPr="00CF7E1B" w14:paraId="1AD91184" w14:textId="77777777" w:rsidTr="0004564D">
        <w:trPr>
          <w:cantSplit/>
          <w:trHeight w:val="23"/>
        </w:trPr>
        <w:tc>
          <w:tcPr>
            <w:tcW w:w="1560" w:type="dxa"/>
            <w:tcBorders>
              <w:top w:val="nil"/>
              <w:left w:val="single" w:sz="2" w:space="0" w:color="auto"/>
              <w:bottom w:val="nil"/>
              <w:right w:val="single" w:sz="2" w:space="0" w:color="auto"/>
            </w:tcBorders>
          </w:tcPr>
          <w:p w14:paraId="05824E05"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72F7DAD3" w14:textId="77777777" w:rsidR="00736294" w:rsidRPr="002D20CA" w:rsidRDefault="00736294" w:rsidP="00736294">
            <w:pPr>
              <w:pStyle w:val="TableText"/>
              <w:tabs>
                <w:tab w:val="left" w:pos="3306"/>
              </w:tabs>
              <w:rPr>
                <w:rFonts w:cs="Calibri"/>
                <w:b/>
                <w:bCs/>
              </w:rPr>
            </w:pPr>
            <w:r w:rsidRPr="002D20CA">
              <w:rPr>
                <w:rFonts w:cs="Calibri"/>
                <w:b/>
                <w:bCs/>
              </w:rPr>
              <w:t>Current Other Liabilities</w:t>
            </w:r>
          </w:p>
        </w:tc>
        <w:tc>
          <w:tcPr>
            <w:tcW w:w="1824" w:type="dxa"/>
            <w:tcBorders>
              <w:top w:val="nil"/>
              <w:left w:val="nil"/>
              <w:bottom w:val="nil"/>
              <w:right w:val="nil"/>
            </w:tcBorders>
            <w:vAlign w:val="bottom"/>
          </w:tcPr>
          <w:p w14:paraId="2992B5A8"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7C4FC22C" w14:textId="77777777" w:rsidR="00736294" w:rsidRPr="002D20CA" w:rsidRDefault="00736294" w:rsidP="00736294">
            <w:pPr>
              <w:pStyle w:val="TableText"/>
              <w:tabs>
                <w:tab w:val="left" w:pos="3306"/>
              </w:tabs>
              <w:jc w:val="right"/>
              <w:rPr>
                <w:rFonts w:cs="Calibri"/>
              </w:rPr>
            </w:pPr>
          </w:p>
        </w:tc>
      </w:tr>
      <w:tr w:rsidR="00736294" w:rsidRPr="00CF7E1B" w14:paraId="2FF66006" w14:textId="77777777" w:rsidTr="0004564D">
        <w:trPr>
          <w:cantSplit/>
          <w:trHeight w:val="23"/>
        </w:trPr>
        <w:tc>
          <w:tcPr>
            <w:tcW w:w="1560" w:type="dxa"/>
            <w:tcBorders>
              <w:top w:val="nil"/>
              <w:left w:val="single" w:sz="2" w:space="0" w:color="auto"/>
              <w:bottom w:val="nil"/>
              <w:right w:val="single" w:sz="2" w:space="0" w:color="auto"/>
            </w:tcBorders>
          </w:tcPr>
          <w:p w14:paraId="1481AE6D"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4E0D4B49" w14:textId="77777777" w:rsidR="00736294" w:rsidRPr="002D20CA" w:rsidRDefault="00736294" w:rsidP="00736294">
            <w:pPr>
              <w:pStyle w:val="TableText"/>
              <w:tabs>
                <w:tab w:val="left" w:pos="3306"/>
              </w:tabs>
              <w:rPr>
                <w:rFonts w:cs="Calibri"/>
              </w:rPr>
            </w:pPr>
            <w:r w:rsidRPr="002D20CA">
              <w:rPr>
                <w:rFonts w:cs="Calibri"/>
              </w:rPr>
              <w:t xml:space="preserve">Revenue Received in Advance </w:t>
            </w:r>
          </w:p>
        </w:tc>
        <w:tc>
          <w:tcPr>
            <w:tcW w:w="1824" w:type="dxa"/>
            <w:tcBorders>
              <w:top w:val="nil"/>
              <w:left w:val="nil"/>
              <w:bottom w:val="nil"/>
              <w:right w:val="nil"/>
            </w:tcBorders>
            <w:vAlign w:val="bottom"/>
          </w:tcPr>
          <w:p w14:paraId="6F0E187E" w14:textId="719A2304"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0ACE85F9" w14:textId="00986653" w:rsidR="00736294" w:rsidRPr="002D20CA" w:rsidRDefault="00736294" w:rsidP="00736294">
            <w:pPr>
              <w:pStyle w:val="TableText"/>
              <w:tabs>
                <w:tab w:val="left" w:pos="3306"/>
              </w:tabs>
              <w:jc w:val="right"/>
              <w:rPr>
                <w:rFonts w:cs="Calibri"/>
              </w:rPr>
            </w:pPr>
          </w:p>
        </w:tc>
      </w:tr>
      <w:tr w:rsidR="00736294" w:rsidRPr="00CF7E1B" w14:paraId="6F58C86B" w14:textId="77777777" w:rsidTr="0004564D">
        <w:trPr>
          <w:cantSplit/>
          <w:trHeight w:val="23"/>
        </w:trPr>
        <w:tc>
          <w:tcPr>
            <w:tcW w:w="1560" w:type="dxa"/>
            <w:tcBorders>
              <w:top w:val="nil"/>
              <w:left w:val="single" w:sz="2" w:space="0" w:color="auto"/>
              <w:bottom w:val="nil"/>
              <w:right w:val="single" w:sz="2" w:space="0" w:color="auto"/>
            </w:tcBorders>
          </w:tcPr>
          <w:p w14:paraId="19CE935C"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24F7E759" w14:textId="77777777" w:rsidR="00736294" w:rsidRPr="002D20CA" w:rsidRDefault="00736294" w:rsidP="00736294">
            <w:pPr>
              <w:pStyle w:val="TableText"/>
              <w:tabs>
                <w:tab w:val="left" w:pos="3306"/>
              </w:tabs>
              <w:rPr>
                <w:rFonts w:cs="Calibri"/>
              </w:rPr>
            </w:pPr>
            <w:r w:rsidRPr="002D20CA">
              <w:rPr>
                <w:rFonts w:cs="Calibri"/>
              </w:rPr>
              <w:t xml:space="preserve">Rent Received in Advance </w:t>
            </w:r>
          </w:p>
        </w:tc>
        <w:tc>
          <w:tcPr>
            <w:tcW w:w="1824" w:type="dxa"/>
            <w:tcBorders>
              <w:top w:val="nil"/>
              <w:left w:val="nil"/>
              <w:bottom w:val="nil"/>
              <w:right w:val="nil"/>
            </w:tcBorders>
            <w:vAlign w:val="bottom"/>
          </w:tcPr>
          <w:p w14:paraId="5572FA47" w14:textId="0B05C439"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36F8516E" w14:textId="413E3861" w:rsidR="00736294" w:rsidRPr="002D20CA" w:rsidRDefault="00736294" w:rsidP="00736294">
            <w:pPr>
              <w:pStyle w:val="TableText"/>
              <w:tabs>
                <w:tab w:val="left" w:pos="3306"/>
              </w:tabs>
              <w:jc w:val="right"/>
              <w:rPr>
                <w:rFonts w:cs="Calibri"/>
              </w:rPr>
            </w:pPr>
          </w:p>
        </w:tc>
      </w:tr>
      <w:tr w:rsidR="00736294" w:rsidRPr="00CF7E1B" w14:paraId="4F2EC30D" w14:textId="77777777" w:rsidTr="0004564D">
        <w:trPr>
          <w:cantSplit/>
          <w:trHeight w:val="23"/>
        </w:trPr>
        <w:tc>
          <w:tcPr>
            <w:tcW w:w="1560" w:type="dxa"/>
            <w:tcBorders>
              <w:top w:val="nil"/>
              <w:left w:val="single" w:sz="2" w:space="0" w:color="auto"/>
              <w:bottom w:val="nil"/>
              <w:right w:val="single" w:sz="2" w:space="0" w:color="auto"/>
            </w:tcBorders>
          </w:tcPr>
          <w:p w14:paraId="3C0D9A72"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0EADEB4" w14:textId="57C9BF28" w:rsidR="00736294" w:rsidRPr="002D20CA" w:rsidRDefault="00736294" w:rsidP="00736294">
            <w:pPr>
              <w:pStyle w:val="TableText"/>
              <w:tabs>
                <w:tab w:val="left" w:pos="3306"/>
              </w:tabs>
              <w:rPr>
                <w:rFonts w:cs="Calibri"/>
              </w:rPr>
            </w:pPr>
            <w:r w:rsidRPr="002D20CA">
              <w:rPr>
                <w:rFonts w:cs="Calibri"/>
              </w:rPr>
              <w:t>Liabilities under Transfers to Acquire or Construct Non-Financial Assets to be Controlled by the Agency</w:t>
            </w:r>
          </w:p>
        </w:tc>
        <w:tc>
          <w:tcPr>
            <w:tcW w:w="1824" w:type="dxa"/>
            <w:tcBorders>
              <w:top w:val="nil"/>
              <w:left w:val="nil"/>
              <w:bottom w:val="nil"/>
              <w:right w:val="nil"/>
            </w:tcBorders>
            <w:vAlign w:val="bottom"/>
          </w:tcPr>
          <w:p w14:paraId="7D6E90AE" w14:textId="77457028"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15B155A1" w14:textId="77777777" w:rsidR="00736294" w:rsidRPr="002D20CA" w:rsidRDefault="00736294" w:rsidP="00736294">
            <w:pPr>
              <w:pStyle w:val="TableText"/>
              <w:tabs>
                <w:tab w:val="left" w:pos="3306"/>
              </w:tabs>
              <w:jc w:val="right"/>
              <w:rPr>
                <w:rFonts w:cs="Calibri"/>
              </w:rPr>
            </w:pPr>
          </w:p>
        </w:tc>
      </w:tr>
      <w:tr w:rsidR="00736294" w:rsidRPr="00CF7E1B" w14:paraId="31B5BAD6" w14:textId="77777777" w:rsidTr="0004564D">
        <w:trPr>
          <w:cantSplit/>
          <w:trHeight w:val="23"/>
        </w:trPr>
        <w:tc>
          <w:tcPr>
            <w:tcW w:w="1560" w:type="dxa"/>
            <w:tcBorders>
              <w:top w:val="nil"/>
              <w:left w:val="single" w:sz="2" w:space="0" w:color="auto"/>
              <w:bottom w:val="nil"/>
              <w:right w:val="single" w:sz="2" w:space="0" w:color="auto"/>
            </w:tcBorders>
          </w:tcPr>
          <w:p w14:paraId="71935C30"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3D44866A" w14:textId="7CD2F742"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nil"/>
              <w:right w:val="nil"/>
            </w:tcBorders>
            <w:vAlign w:val="bottom"/>
          </w:tcPr>
          <w:p w14:paraId="08E5566B"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61310C67" w14:textId="77777777" w:rsidR="00736294" w:rsidRPr="002D20CA" w:rsidRDefault="00736294" w:rsidP="00736294">
            <w:pPr>
              <w:pStyle w:val="TableText"/>
              <w:tabs>
                <w:tab w:val="left" w:pos="3306"/>
              </w:tabs>
              <w:jc w:val="right"/>
              <w:rPr>
                <w:rFonts w:cs="Calibri"/>
              </w:rPr>
            </w:pPr>
          </w:p>
        </w:tc>
      </w:tr>
      <w:tr w:rsidR="00736294" w:rsidRPr="00CF7E1B" w14:paraId="5A7A0415" w14:textId="77777777" w:rsidTr="0004564D">
        <w:trPr>
          <w:cantSplit/>
          <w:trHeight w:val="23"/>
        </w:trPr>
        <w:tc>
          <w:tcPr>
            <w:tcW w:w="1560" w:type="dxa"/>
            <w:tcBorders>
              <w:top w:val="nil"/>
              <w:left w:val="single" w:sz="2" w:space="0" w:color="auto"/>
              <w:bottom w:val="nil"/>
              <w:right w:val="single" w:sz="2" w:space="0" w:color="auto"/>
            </w:tcBorders>
          </w:tcPr>
          <w:p w14:paraId="4FFDA117"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5019C140" w14:textId="77777777" w:rsidR="00736294" w:rsidRPr="002D20CA" w:rsidRDefault="00736294" w:rsidP="00736294">
            <w:pPr>
              <w:pStyle w:val="TableText"/>
              <w:tabs>
                <w:tab w:val="left" w:pos="3306"/>
              </w:tabs>
              <w:rPr>
                <w:rFonts w:cs="Calibri"/>
              </w:rPr>
            </w:pPr>
            <w:r w:rsidRPr="002D20CA">
              <w:rPr>
                <w:rFonts w:cs="Calibri"/>
              </w:rPr>
              <w:t>Other</w:t>
            </w:r>
          </w:p>
        </w:tc>
        <w:tc>
          <w:tcPr>
            <w:tcW w:w="1824" w:type="dxa"/>
            <w:tcBorders>
              <w:top w:val="nil"/>
              <w:left w:val="nil"/>
              <w:bottom w:val="single" w:sz="2" w:space="0" w:color="auto"/>
              <w:right w:val="nil"/>
            </w:tcBorders>
            <w:vAlign w:val="bottom"/>
          </w:tcPr>
          <w:p w14:paraId="0717A28C" w14:textId="3B4BBBCE" w:rsidR="00736294" w:rsidRPr="002D20CA" w:rsidRDefault="00736294" w:rsidP="00736294">
            <w:pPr>
              <w:pStyle w:val="TableText"/>
              <w:tabs>
                <w:tab w:val="left" w:pos="3306"/>
              </w:tabs>
              <w:jc w:val="right"/>
              <w:rPr>
                <w:rFonts w:cs="Calibri"/>
              </w:rPr>
            </w:pPr>
          </w:p>
        </w:tc>
        <w:tc>
          <w:tcPr>
            <w:tcW w:w="1430" w:type="dxa"/>
            <w:tcBorders>
              <w:top w:val="nil"/>
              <w:left w:val="nil"/>
              <w:bottom w:val="single" w:sz="2" w:space="0" w:color="auto"/>
              <w:right w:val="nil"/>
            </w:tcBorders>
            <w:vAlign w:val="bottom"/>
          </w:tcPr>
          <w:p w14:paraId="30C396B9" w14:textId="3DECAA3D" w:rsidR="00736294" w:rsidRPr="002D20CA" w:rsidRDefault="00736294" w:rsidP="00736294">
            <w:pPr>
              <w:pStyle w:val="TableText"/>
              <w:tabs>
                <w:tab w:val="left" w:pos="3306"/>
              </w:tabs>
              <w:jc w:val="right"/>
              <w:rPr>
                <w:rFonts w:cs="Calibri"/>
              </w:rPr>
            </w:pPr>
          </w:p>
        </w:tc>
      </w:tr>
      <w:tr w:rsidR="00736294" w:rsidRPr="00CF7E1B" w14:paraId="79F2362B" w14:textId="77777777" w:rsidTr="0004564D">
        <w:trPr>
          <w:cantSplit/>
          <w:trHeight w:val="23"/>
        </w:trPr>
        <w:tc>
          <w:tcPr>
            <w:tcW w:w="1560" w:type="dxa"/>
            <w:tcBorders>
              <w:top w:val="nil"/>
              <w:left w:val="single" w:sz="2" w:space="0" w:color="auto"/>
              <w:bottom w:val="nil"/>
              <w:right w:val="single" w:sz="2" w:space="0" w:color="auto"/>
            </w:tcBorders>
          </w:tcPr>
          <w:p w14:paraId="15FB8168"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A03C35" w14:textId="77777777" w:rsidR="00736294" w:rsidRPr="002D20CA" w:rsidRDefault="00736294" w:rsidP="00751795">
            <w:pPr>
              <w:pStyle w:val="TableText"/>
              <w:tabs>
                <w:tab w:val="left" w:pos="3306"/>
              </w:tabs>
              <w:spacing w:after="120"/>
              <w:rPr>
                <w:rFonts w:cs="Calibri"/>
                <w:b/>
                <w:bCs/>
              </w:rPr>
            </w:pPr>
            <w:r w:rsidRPr="002D20CA">
              <w:rPr>
                <w:rFonts w:cs="Calibri"/>
                <w:b/>
                <w:bCs/>
              </w:rPr>
              <w:t>Total Current Other Liabilities</w:t>
            </w:r>
          </w:p>
        </w:tc>
        <w:tc>
          <w:tcPr>
            <w:tcW w:w="1824" w:type="dxa"/>
            <w:tcBorders>
              <w:top w:val="single" w:sz="2" w:space="0" w:color="auto"/>
              <w:left w:val="nil"/>
              <w:bottom w:val="single" w:sz="2" w:space="0" w:color="auto"/>
              <w:right w:val="nil"/>
            </w:tcBorders>
            <w:vAlign w:val="bottom"/>
          </w:tcPr>
          <w:p w14:paraId="5A32BDC1" w14:textId="71A722FE"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single" w:sz="2" w:space="0" w:color="auto"/>
              <w:right w:val="nil"/>
            </w:tcBorders>
            <w:vAlign w:val="bottom"/>
          </w:tcPr>
          <w:p w14:paraId="67A682BB" w14:textId="637098EA" w:rsidR="00736294" w:rsidRPr="002D20CA" w:rsidRDefault="00736294" w:rsidP="00736294">
            <w:pPr>
              <w:pStyle w:val="TableText"/>
              <w:tabs>
                <w:tab w:val="left" w:pos="3306"/>
              </w:tabs>
              <w:jc w:val="right"/>
              <w:rPr>
                <w:rFonts w:cs="Calibri"/>
                <w:b/>
                <w:bCs/>
              </w:rPr>
            </w:pPr>
          </w:p>
        </w:tc>
      </w:tr>
      <w:tr w:rsidR="00736294" w:rsidRPr="00CF7E1B" w14:paraId="0AB0970F" w14:textId="77777777" w:rsidTr="0004564D">
        <w:trPr>
          <w:cantSplit/>
          <w:trHeight w:val="23"/>
        </w:trPr>
        <w:tc>
          <w:tcPr>
            <w:tcW w:w="1560" w:type="dxa"/>
            <w:tcBorders>
              <w:top w:val="nil"/>
              <w:left w:val="single" w:sz="2" w:space="0" w:color="auto"/>
              <w:bottom w:val="nil"/>
              <w:right w:val="single" w:sz="2" w:space="0" w:color="auto"/>
            </w:tcBorders>
          </w:tcPr>
          <w:p w14:paraId="5C150196"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2CEABBF9" w14:textId="77777777" w:rsidR="00736294" w:rsidRPr="002D20CA" w:rsidRDefault="00736294" w:rsidP="00736294">
            <w:pPr>
              <w:pStyle w:val="TableText"/>
              <w:tabs>
                <w:tab w:val="left" w:pos="3306"/>
              </w:tabs>
              <w:rPr>
                <w:rFonts w:cs="Calibri"/>
                <w:b/>
                <w:bCs/>
              </w:rPr>
            </w:pPr>
            <w:r w:rsidRPr="002D20CA">
              <w:rPr>
                <w:rFonts w:cs="Calibri"/>
                <w:b/>
                <w:bCs/>
              </w:rPr>
              <w:t>Non-Current Other Liabilities</w:t>
            </w:r>
          </w:p>
        </w:tc>
        <w:tc>
          <w:tcPr>
            <w:tcW w:w="1824" w:type="dxa"/>
            <w:tcBorders>
              <w:top w:val="single" w:sz="2" w:space="0" w:color="auto"/>
              <w:left w:val="nil"/>
              <w:bottom w:val="nil"/>
              <w:right w:val="nil"/>
            </w:tcBorders>
            <w:vAlign w:val="bottom"/>
          </w:tcPr>
          <w:p w14:paraId="443A0930" w14:textId="77777777" w:rsidR="00736294" w:rsidRPr="002D20CA" w:rsidRDefault="00736294" w:rsidP="00736294">
            <w:pPr>
              <w:pStyle w:val="TableText"/>
              <w:tabs>
                <w:tab w:val="left" w:pos="3306"/>
              </w:tabs>
              <w:jc w:val="right"/>
              <w:rPr>
                <w:rFonts w:cs="Calibri"/>
              </w:rPr>
            </w:pPr>
          </w:p>
        </w:tc>
        <w:tc>
          <w:tcPr>
            <w:tcW w:w="1430" w:type="dxa"/>
            <w:tcBorders>
              <w:top w:val="single" w:sz="2" w:space="0" w:color="auto"/>
              <w:left w:val="nil"/>
              <w:bottom w:val="nil"/>
              <w:right w:val="nil"/>
            </w:tcBorders>
            <w:vAlign w:val="bottom"/>
          </w:tcPr>
          <w:p w14:paraId="017F4617" w14:textId="77777777" w:rsidR="00736294" w:rsidRPr="002D20CA" w:rsidRDefault="00736294" w:rsidP="00736294">
            <w:pPr>
              <w:pStyle w:val="TableText"/>
              <w:tabs>
                <w:tab w:val="left" w:pos="3306"/>
              </w:tabs>
              <w:jc w:val="right"/>
              <w:rPr>
                <w:rFonts w:cs="Calibri"/>
              </w:rPr>
            </w:pPr>
          </w:p>
        </w:tc>
      </w:tr>
      <w:tr w:rsidR="00736294" w:rsidRPr="00CF7E1B" w14:paraId="629A9142" w14:textId="77777777" w:rsidTr="0004564D">
        <w:trPr>
          <w:cantSplit/>
          <w:trHeight w:val="23"/>
        </w:trPr>
        <w:tc>
          <w:tcPr>
            <w:tcW w:w="1560" w:type="dxa"/>
            <w:tcBorders>
              <w:top w:val="nil"/>
              <w:left w:val="single" w:sz="2" w:space="0" w:color="auto"/>
              <w:bottom w:val="nil"/>
              <w:right w:val="single" w:sz="2" w:space="0" w:color="auto"/>
            </w:tcBorders>
          </w:tcPr>
          <w:p w14:paraId="339FBE7E"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125BB4EA" w14:textId="34EAB399" w:rsidR="00736294" w:rsidRPr="002D20CA" w:rsidRDefault="00736294" w:rsidP="00736294">
            <w:pPr>
              <w:pStyle w:val="TableText"/>
              <w:tabs>
                <w:tab w:val="left" w:pos="3306"/>
              </w:tabs>
              <w:rPr>
                <w:rFonts w:cs="Calibri"/>
              </w:rPr>
            </w:pPr>
            <w:r w:rsidRPr="002D20CA">
              <w:rPr>
                <w:rFonts w:cs="Calibri"/>
              </w:rPr>
              <w:t>Revenue Received in Advance</w:t>
            </w:r>
            <w:r w:rsidR="00FA7C77">
              <w:rPr>
                <w:rFonts w:cs="Calibri"/>
              </w:rPr>
              <w:t xml:space="preserve"> </w:t>
            </w:r>
            <w:r w:rsidRPr="002D20CA">
              <w:rPr>
                <w:rFonts w:cs="Calibri"/>
              </w:rPr>
              <w:t xml:space="preserve"> </w:t>
            </w:r>
          </w:p>
        </w:tc>
        <w:tc>
          <w:tcPr>
            <w:tcW w:w="1824" w:type="dxa"/>
            <w:tcBorders>
              <w:top w:val="nil"/>
              <w:left w:val="nil"/>
              <w:bottom w:val="nil"/>
              <w:right w:val="nil"/>
            </w:tcBorders>
            <w:vAlign w:val="bottom"/>
          </w:tcPr>
          <w:p w14:paraId="63383BA0" w14:textId="103CF20A"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7F545DAC" w14:textId="33F6703F" w:rsidR="00736294" w:rsidRPr="002D20CA" w:rsidRDefault="00736294" w:rsidP="00736294">
            <w:pPr>
              <w:pStyle w:val="TableText"/>
              <w:tabs>
                <w:tab w:val="left" w:pos="3306"/>
              </w:tabs>
              <w:jc w:val="right"/>
              <w:rPr>
                <w:rFonts w:cs="Calibri"/>
              </w:rPr>
            </w:pPr>
          </w:p>
        </w:tc>
      </w:tr>
      <w:tr w:rsidR="00736294" w:rsidRPr="00CF7E1B" w14:paraId="628B3ED2" w14:textId="77777777" w:rsidTr="0004564D">
        <w:trPr>
          <w:cantSplit/>
          <w:trHeight w:val="23"/>
        </w:trPr>
        <w:tc>
          <w:tcPr>
            <w:tcW w:w="1560" w:type="dxa"/>
            <w:tcBorders>
              <w:top w:val="nil"/>
              <w:left w:val="single" w:sz="2" w:space="0" w:color="auto"/>
              <w:bottom w:val="nil"/>
              <w:right w:val="single" w:sz="2" w:space="0" w:color="auto"/>
            </w:tcBorders>
          </w:tcPr>
          <w:p w14:paraId="4FC9B029"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0777F82E" w14:textId="36A2C8EC"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single" w:sz="2" w:space="0" w:color="auto"/>
              <w:right w:val="nil"/>
            </w:tcBorders>
            <w:vAlign w:val="bottom"/>
          </w:tcPr>
          <w:p w14:paraId="2078A3AD" w14:textId="77777777" w:rsidR="00736294" w:rsidRPr="002D20CA" w:rsidRDefault="00736294" w:rsidP="00736294">
            <w:pPr>
              <w:pStyle w:val="TableText"/>
              <w:tabs>
                <w:tab w:val="left" w:pos="3306"/>
              </w:tabs>
              <w:jc w:val="right"/>
              <w:rPr>
                <w:rFonts w:cs="Calibri"/>
                <w:strike/>
              </w:rPr>
            </w:pPr>
          </w:p>
        </w:tc>
        <w:tc>
          <w:tcPr>
            <w:tcW w:w="1430" w:type="dxa"/>
            <w:tcBorders>
              <w:top w:val="nil"/>
              <w:left w:val="nil"/>
              <w:bottom w:val="single" w:sz="2" w:space="0" w:color="auto"/>
              <w:right w:val="nil"/>
            </w:tcBorders>
            <w:vAlign w:val="bottom"/>
          </w:tcPr>
          <w:p w14:paraId="4F2BE8B5" w14:textId="77777777" w:rsidR="00736294" w:rsidRPr="002D20CA" w:rsidRDefault="00736294" w:rsidP="00736294">
            <w:pPr>
              <w:pStyle w:val="TableText"/>
              <w:tabs>
                <w:tab w:val="left" w:pos="3306"/>
              </w:tabs>
              <w:jc w:val="right"/>
              <w:rPr>
                <w:rFonts w:cs="Calibri"/>
              </w:rPr>
            </w:pPr>
          </w:p>
        </w:tc>
      </w:tr>
      <w:tr w:rsidR="00736294" w:rsidRPr="00CF7E1B" w14:paraId="71FBB7FA" w14:textId="77777777" w:rsidTr="0004564D">
        <w:trPr>
          <w:cantSplit/>
          <w:trHeight w:val="23"/>
        </w:trPr>
        <w:tc>
          <w:tcPr>
            <w:tcW w:w="1560" w:type="dxa"/>
            <w:tcBorders>
              <w:top w:val="nil"/>
              <w:left w:val="single" w:sz="2" w:space="0" w:color="auto"/>
              <w:bottom w:val="nil"/>
              <w:right w:val="single" w:sz="2" w:space="0" w:color="auto"/>
            </w:tcBorders>
          </w:tcPr>
          <w:p w14:paraId="5EC381E4"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0D5AFDC5" w14:textId="77777777" w:rsidR="00736294" w:rsidRPr="002D20CA" w:rsidRDefault="00736294" w:rsidP="00736294">
            <w:pPr>
              <w:pStyle w:val="TableText"/>
              <w:tabs>
                <w:tab w:val="left" w:pos="3306"/>
              </w:tabs>
              <w:rPr>
                <w:rFonts w:cs="Calibri"/>
                <w:b/>
                <w:bCs/>
              </w:rPr>
            </w:pPr>
            <w:r w:rsidRPr="002D20CA">
              <w:rPr>
                <w:rFonts w:cs="Calibri"/>
                <w:b/>
                <w:bCs/>
              </w:rPr>
              <w:t>Total Non-Current Other Liabilities</w:t>
            </w:r>
          </w:p>
        </w:tc>
        <w:tc>
          <w:tcPr>
            <w:tcW w:w="1824" w:type="dxa"/>
            <w:tcBorders>
              <w:top w:val="single" w:sz="2" w:space="0" w:color="auto"/>
              <w:left w:val="nil"/>
              <w:bottom w:val="single" w:sz="2" w:space="0" w:color="auto"/>
              <w:right w:val="nil"/>
            </w:tcBorders>
            <w:vAlign w:val="bottom"/>
          </w:tcPr>
          <w:p w14:paraId="76C61E4B" w14:textId="55AEBF98" w:rsidR="00736294" w:rsidRPr="002D20CA" w:rsidRDefault="00736294" w:rsidP="00736294">
            <w:pPr>
              <w:pStyle w:val="TableText"/>
              <w:tabs>
                <w:tab w:val="left" w:pos="3306"/>
              </w:tabs>
              <w:jc w:val="right"/>
              <w:rPr>
                <w:rFonts w:cs="Calibri"/>
                <w:b/>
                <w:bCs/>
                <w:strike/>
              </w:rPr>
            </w:pPr>
          </w:p>
        </w:tc>
        <w:tc>
          <w:tcPr>
            <w:tcW w:w="1430" w:type="dxa"/>
            <w:tcBorders>
              <w:top w:val="single" w:sz="2" w:space="0" w:color="auto"/>
              <w:left w:val="nil"/>
              <w:bottom w:val="single" w:sz="2" w:space="0" w:color="auto"/>
              <w:right w:val="nil"/>
            </w:tcBorders>
            <w:vAlign w:val="bottom"/>
          </w:tcPr>
          <w:p w14:paraId="29851823" w14:textId="0D1E123F" w:rsidR="00736294" w:rsidRPr="002D20CA" w:rsidRDefault="00736294" w:rsidP="00736294">
            <w:pPr>
              <w:pStyle w:val="TableText"/>
              <w:tabs>
                <w:tab w:val="left" w:pos="3306"/>
              </w:tabs>
              <w:jc w:val="right"/>
              <w:rPr>
                <w:rFonts w:cs="Calibri"/>
                <w:b/>
                <w:bCs/>
              </w:rPr>
            </w:pPr>
          </w:p>
        </w:tc>
      </w:tr>
      <w:tr w:rsidR="00736294" w:rsidRPr="00CF7E1B" w14:paraId="62BB378F" w14:textId="77777777" w:rsidTr="0004564D">
        <w:trPr>
          <w:cantSplit/>
          <w:trHeight w:val="23"/>
        </w:trPr>
        <w:tc>
          <w:tcPr>
            <w:tcW w:w="1560" w:type="dxa"/>
            <w:tcBorders>
              <w:top w:val="nil"/>
              <w:left w:val="single" w:sz="2" w:space="0" w:color="auto"/>
              <w:bottom w:val="nil"/>
              <w:right w:val="single" w:sz="2" w:space="0" w:color="auto"/>
            </w:tcBorders>
          </w:tcPr>
          <w:p w14:paraId="60CDD3AD"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533E7661" w14:textId="77777777" w:rsidR="00736294" w:rsidRPr="002D20CA" w:rsidRDefault="00736294" w:rsidP="00736294">
            <w:pPr>
              <w:pStyle w:val="TableText"/>
              <w:tabs>
                <w:tab w:val="left" w:pos="3306"/>
              </w:tabs>
              <w:rPr>
                <w:rFonts w:cs="Calibri"/>
                <w:b/>
                <w:bCs/>
              </w:rPr>
            </w:pPr>
            <w:r w:rsidRPr="002D20CA">
              <w:rPr>
                <w:rFonts w:cs="Calibri"/>
                <w:b/>
                <w:bCs/>
              </w:rPr>
              <w:t>Total Other Liabilities</w:t>
            </w:r>
          </w:p>
        </w:tc>
        <w:tc>
          <w:tcPr>
            <w:tcW w:w="1824" w:type="dxa"/>
            <w:tcBorders>
              <w:top w:val="single" w:sz="2" w:space="0" w:color="auto"/>
              <w:left w:val="nil"/>
              <w:bottom w:val="double" w:sz="4" w:space="0" w:color="auto"/>
              <w:right w:val="nil"/>
            </w:tcBorders>
            <w:vAlign w:val="bottom"/>
          </w:tcPr>
          <w:p w14:paraId="1E503B9C" w14:textId="0E5C3FC0"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double" w:sz="4" w:space="0" w:color="auto"/>
              <w:right w:val="nil"/>
            </w:tcBorders>
            <w:vAlign w:val="bottom"/>
          </w:tcPr>
          <w:p w14:paraId="070B9762" w14:textId="2BF919B7" w:rsidR="00736294" w:rsidRPr="002D20CA" w:rsidRDefault="00736294" w:rsidP="00736294">
            <w:pPr>
              <w:pStyle w:val="TableText"/>
              <w:tabs>
                <w:tab w:val="left" w:pos="3306"/>
              </w:tabs>
              <w:jc w:val="right"/>
              <w:rPr>
                <w:rFonts w:cs="Calibri"/>
                <w:b/>
                <w:bCs/>
              </w:rPr>
            </w:pPr>
          </w:p>
        </w:tc>
      </w:tr>
      <w:tr w:rsidR="00736294" w:rsidRPr="00CF7E1B" w14:paraId="0657E7B2" w14:textId="77777777" w:rsidTr="0004564D">
        <w:trPr>
          <w:cantSplit/>
          <w:trHeight w:val="23"/>
        </w:trPr>
        <w:tc>
          <w:tcPr>
            <w:tcW w:w="1560" w:type="dxa"/>
            <w:tcBorders>
              <w:top w:val="nil"/>
              <w:left w:val="single" w:sz="2" w:space="0" w:color="auto"/>
              <w:bottom w:val="nil"/>
              <w:right w:val="single" w:sz="2" w:space="0" w:color="auto"/>
            </w:tcBorders>
          </w:tcPr>
          <w:p w14:paraId="24E127B3"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BCB625" w14:textId="77777777" w:rsidR="00736294" w:rsidRPr="002D20CA" w:rsidRDefault="00736294" w:rsidP="00736294">
            <w:pPr>
              <w:pStyle w:val="TableText"/>
              <w:tabs>
                <w:tab w:val="left" w:pos="3306"/>
              </w:tabs>
              <w:rPr>
                <w:rFonts w:cs="Calibri"/>
                <w:b/>
                <w:bCs/>
              </w:rPr>
            </w:pPr>
          </w:p>
        </w:tc>
        <w:tc>
          <w:tcPr>
            <w:tcW w:w="1824" w:type="dxa"/>
            <w:tcBorders>
              <w:top w:val="double" w:sz="4" w:space="0" w:color="auto"/>
              <w:left w:val="nil"/>
              <w:bottom w:val="nil"/>
              <w:right w:val="nil"/>
            </w:tcBorders>
            <w:vAlign w:val="bottom"/>
          </w:tcPr>
          <w:p w14:paraId="1EA4AB85" w14:textId="77777777" w:rsidR="00736294" w:rsidRPr="002D20CA" w:rsidRDefault="00736294" w:rsidP="00736294">
            <w:pPr>
              <w:pStyle w:val="TableText"/>
              <w:tabs>
                <w:tab w:val="left" w:pos="3306"/>
              </w:tabs>
              <w:jc w:val="right"/>
              <w:rPr>
                <w:rFonts w:cs="Calibri"/>
                <w:b/>
                <w:bCs/>
              </w:rPr>
            </w:pPr>
          </w:p>
        </w:tc>
        <w:tc>
          <w:tcPr>
            <w:tcW w:w="1430" w:type="dxa"/>
            <w:tcBorders>
              <w:top w:val="double" w:sz="4" w:space="0" w:color="auto"/>
              <w:left w:val="nil"/>
              <w:bottom w:val="nil"/>
              <w:right w:val="nil"/>
            </w:tcBorders>
            <w:vAlign w:val="bottom"/>
          </w:tcPr>
          <w:p w14:paraId="2E54CD62" w14:textId="77777777" w:rsidR="00736294" w:rsidRPr="002D20CA" w:rsidRDefault="00736294" w:rsidP="00736294">
            <w:pPr>
              <w:pStyle w:val="TableText"/>
              <w:tabs>
                <w:tab w:val="left" w:pos="3306"/>
              </w:tabs>
              <w:jc w:val="right"/>
              <w:rPr>
                <w:rFonts w:cs="Calibri"/>
                <w:b/>
                <w:bCs/>
              </w:rPr>
            </w:pPr>
          </w:p>
        </w:tc>
      </w:tr>
      <w:tr w:rsidR="00736294" w:rsidRPr="00CF7E1B" w14:paraId="6E7C1757" w14:textId="77777777" w:rsidTr="0004564D">
        <w:trPr>
          <w:cantSplit/>
          <w:trHeight w:val="23"/>
        </w:trPr>
        <w:tc>
          <w:tcPr>
            <w:tcW w:w="1560" w:type="dxa"/>
            <w:tcBorders>
              <w:top w:val="nil"/>
              <w:left w:val="single" w:sz="2" w:space="0" w:color="auto"/>
              <w:bottom w:val="nil"/>
              <w:right w:val="single" w:sz="2" w:space="0" w:color="auto"/>
            </w:tcBorders>
          </w:tcPr>
          <w:p w14:paraId="1A63A382" w14:textId="77777777" w:rsidR="00736294" w:rsidRPr="002D20CA" w:rsidRDefault="00736294" w:rsidP="00736294">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4B85FE5D" w14:textId="348AB832" w:rsidR="00736294" w:rsidRPr="002D20CA" w:rsidRDefault="00C958E9" w:rsidP="00055382">
            <w:pPr>
              <w:pStyle w:val="TableText"/>
              <w:tabs>
                <w:tab w:val="left" w:pos="3306"/>
              </w:tabs>
              <w:spacing w:before="120" w:after="60"/>
              <w:rPr>
                <w:rFonts w:cs="Calibri"/>
                <w:b/>
                <w:bCs/>
              </w:rPr>
            </w:pPr>
            <w:r w:rsidRPr="002D20CA">
              <w:rPr>
                <w:rFonts w:cs="Calibri"/>
                <w:b/>
                <w:bCs/>
              </w:rPr>
              <w:t>Reconciliation</w:t>
            </w:r>
            <w:r w:rsidR="00736294" w:rsidRPr="002D20CA">
              <w:rPr>
                <w:rFonts w:cs="Calibri"/>
                <w:b/>
                <w:bCs/>
              </w:rPr>
              <w:t xml:space="preserve"> of Unearned Capital Grants arising from the transfer to acquire or construct non-financial assets to be controlled by ‘</w:t>
            </w:r>
            <w:r w:rsidR="00BB42C1" w:rsidRPr="002D20CA">
              <w:rPr>
                <w:b/>
                <w:bCs/>
              </w:rPr>
              <w:t>Burley Griffin</w:t>
            </w:r>
            <w:r w:rsidR="00736294" w:rsidRPr="002D20CA">
              <w:rPr>
                <w:rFonts w:cs="Calibri"/>
                <w:b/>
                <w:bCs/>
              </w:rPr>
              <w:t xml:space="preserve"> Agency’</w:t>
            </w:r>
          </w:p>
        </w:tc>
      </w:tr>
      <w:tr w:rsidR="00736294" w:rsidRPr="00CF7E1B" w14:paraId="147DF5BA" w14:textId="77777777" w:rsidTr="0004564D">
        <w:trPr>
          <w:cantSplit/>
          <w:trHeight w:val="23"/>
        </w:trPr>
        <w:tc>
          <w:tcPr>
            <w:tcW w:w="1560" w:type="dxa"/>
            <w:tcBorders>
              <w:top w:val="nil"/>
              <w:left w:val="single" w:sz="2" w:space="0" w:color="auto"/>
              <w:bottom w:val="nil"/>
              <w:right w:val="single" w:sz="2" w:space="0" w:color="auto"/>
            </w:tcBorders>
          </w:tcPr>
          <w:p w14:paraId="185C9C4A" w14:textId="29C096EC"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33E474F0" w14:textId="1CDC0253" w:rsidR="00736294" w:rsidRPr="002D20CA" w:rsidRDefault="00736294" w:rsidP="00736294">
            <w:pPr>
              <w:pStyle w:val="TableText"/>
              <w:tabs>
                <w:tab w:val="left" w:pos="3306"/>
              </w:tabs>
              <w:rPr>
                <w:rFonts w:cs="Calibri"/>
                <w:b/>
                <w:bCs/>
              </w:rPr>
            </w:pPr>
            <w:r w:rsidRPr="002D20CA">
              <w:t>Unearned grants to Acquire or Construct Assets at the beginning of the Financial Year</w:t>
            </w:r>
          </w:p>
        </w:tc>
        <w:tc>
          <w:tcPr>
            <w:tcW w:w="1824" w:type="dxa"/>
            <w:tcBorders>
              <w:top w:val="nil"/>
              <w:left w:val="nil"/>
              <w:bottom w:val="nil"/>
              <w:right w:val="nil"/>
            </w:tcBorders>
            <w:vAlign w:val="bottom"/>
          </w:tcPr>
          <w:p w14:paraId="5E66E70D"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2CBAC756" w14:textId="77777777" w:rsidR="00736294" w:rsidRPr="002D20CA" w:rsidRDefault="00736294" w:rsidP="00736294">
            <w:pPr>
              <w:pStyle w:val="TableText"/>
              <w:tabs>
                <w:tab w:val="left" w:pos="3306"/>
              </w:tabs>
              <w:jc w:val="right"/>
              <w:rPr>
                <w:rFonts w:cs="Calibri"/>
                <w:b/>
                <w:bCs/>
              </w:rPr>
            </w:pPr>
          </w:p>
        </w:tc>
      </w:tr>
      <w:tr w:rsidR="00736294" w:rsidRPr="00CF7E1B" w14:paraId="1D80E0B6" w14:textId="77777777" w:rsidTr="0004564D">
        <w:trPr>
          <w:cantSplit/>
          <w:trHeight w:val="23"/>
        </w:trPr>
        <w:tc>
          <w:tcPr>
            <w:tcW w:w="1560" w:type="dxa"/>
            <w:tcBorders>
              <w:top w:val="nil"/>
              <w:left w:val="single" w:sz="2" w:space="0" w:color="auto"/>
              <w:bottom w:val="nil"/>
              <w:right w:val="single" w:sz="2" w:space="0" w:color="auto"/>
            </w:tcBorders>
          </w:tcPr>
          <w:p w14:paraId="6716FD46" w14:textId="56F7941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7FF5672" w14:textId="71DB98BD" w:rsidR="00736294" w:rsidRPr="002D20CA" w:rsidRDefault="00736294" w:rsidP="00736294">
            <w:pPr>
              <w:pStyle w:val="TableText"/>
              <w:tabs>
                <w:tab w:val="left" w:pos="3306"/>
              </w:tabs>
              <w:rPr>
                <w:rFonts w:cs="Calibri"/>
                <w:b/>
                <w:bCs/>
              </w:rPr>
            </w:pPr>
            <w:r w:rsidRPr="002D20CA">
              <w:t xml:space="preserve">Add: Grant receipts received during the financial year </w:t>
            </w:r>
            <w:r w:rsidR="002B0071" w:rsidRPr="002D20CA">
              <w:t>for capital works</w:t>
            </w:r>
          </w:p>
        </w:tc>
        <w:tc>
          <w:tcPr>
            <w:tcW w:w="1824" w:type="dxa"/>
            <w:tcBorders>
              <w:top w:val="nil"/>
              <w:left w:val="nil"/>
              <w:bottom w:val="nil"/>
              <w:right w:val="nil"/>
            </w:tcBorders>
            <w:vAlign w:val="bottom"/>
          </w:tcPr>
          <w:p w14:paraId="19A44276"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4D9663D6" w14:textId="77777777" w:rsidR="00736294" w:rsidRPr="002D20CA" w:rsidRDefault="00736294" w:rsidP="00736294">
            <w:pPr>
              <w:pStyle w:val="TableText"/>
              <w:tabs>
                <w:tab w:val="left" w:pos="3306"/>
              </w:tabs>
              <w:jc w:val="right"/>
              <w:rPr>
                <w:rFonts w:cs="Calibri"/>
                <w:b/>
                <w:bCs/>
              </w:rPr>
            </w:pPr>
          </w:p>
        </w:tc>
      </w:tr>
      <w:tr w:rsidR="00736294" w:rsidRPr="00CF7E1B" w14:paraId="343CEF13" w14:textId="77777777" w:rsidTr="0004564D">
        <w:trPr>
          <w:cantSplit/>
          <w:trHeight w:val="23"/>
        </w:trPr>
        <w:tc>
          <w:tcPr>
            <w:tcW w:w="1560" w:type="dxa"/>
            <w:tcBorders>
              <w:top w:val="nil"/>
              <w:left w:val="single" w:sz="2" w:space="0" w:color="auto"/>
              <w:bottom w:val="nil"/>
              <w:right w:val="single" w:sz="2" w:space="0" w:color="auto"/>
            </w:tcBorders>
          </w:tcPr>
          <w:p w14:paraId="2799C911" w14:textId="72FA1F6F"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51C35F2D" w14:textId="1479B80E" w:rsidR="00736294" w:rsidRPr="002D20CA" w:rsidRDefault="00736294" w:rsidP="00736294">
            <w:pPr>
              <w:pStyle w:val="TableText"/>
              <w:tabs>
                <w:tab w:val="left" w:pos="3306"/>
              </w:tabs>
              <w:rPr>
                <w:rFonts w:cs="Calibri"/>
                <w:b/>
                <w:bCs/>
              </w:rPr>
            </w:pPr>
            <w:r w:rsidRPr="002D20CA">
              <w:t>Less: Recognition of grant income for capital works completed during the financial year</w:t>
            </w:r>
          </w:p>
        </w:tc>
        <w:tc>
          <w:tcPr>
            <w:tcW w:w="1824" w:type="dxa"/>
            <w:tcBorders>
              <w:top w:val="nil"/>
              <w:left w:val="nil"/>
              <w:bottom w:val="single" w:sz="4" w:space="0" w:color="auto"/>
              <w:right w:val="nil"/>
            </w:tcBorders>
            <w:vAlign w:val="bottom"/>
          </w:tcPr>
          <w:p w14:paraId="4F273590"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single" w:sz="4" w:space="0" w:color="auto"/>
              <w:right w:val="nil"/>
            </w:tcBorders>
            <w:vAlign w:val="bottom"/>
          </w:tcPr>
          <w:p w14:paraId="2E3EA497" w14:textId="77777777" w:rsidR="00736294" w:rsidRPr="002D20CA" w:rsidRDefault="00736294" w:rsidP="00736294">
            <w:pPr>
              <w:pStyle w:val="TableText"/>
              <w:tabs>
                <w:tab w:val="left" w:pos="3306"/>
              </w:tabs>
              <w:jc w:val="right"/>
              <w:rPr>
                <w:rFonts w:cs="Calibri"/>
                <w:b/>
                <w:bCs/>
              </w:rPr>
            </w:pPr>
          </w:p>
        </w:tc>
      </w:tr>
      <w:tr w:rsidR="00736294" w:rsidRPr="00CF7E1B" w14:paraId="4C815EB0" w14:textId="77777777" w:rsidTr="007604B9">
        <w:trPr>
          <w:cantSplit/>
          <w:trHeight w:val="23"/>
        </w:trPr>
        <w:tc>
          <w:tcPr>
            <w:tcW w:w="1560" w:type="dxa"/>
            <w:tcBorders>
              <w:top w:val="nil"/>
              <w:left w:val="single" w:sz="2" w:space="0" w:color="auto"/>
              <w:bottom w:val="nil"/>
              <w:right w:val="single" w:sz="2" w:space="0" w:color="auto"/>
            </w:tcBorders>
          </w:tcPr>
          <w:p w14:paraId="2EB6751F" w14:textId="0094CBA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28B7EF52" w14:textId="48C92763" w:rsidR="00736294" w:rsidRPr="002D20CA" w:rsidRDefault="00736294" w:rsidP="00736294">
            <w:pPr>
              <w:pStyle w:val="TableText"/>
              <w:tabs>
                <w:tab w:val="left" w:pos="3306"/>
              </w:tabs>
              <w:rPr>
                <w:rFonts w:cs="Calibri"/>
                <w:b/>
                <w:bCs/>
              </w:rPr>
            </w:pPr>
            <w:r w:rsidRPr="002D20CA">
              <w:rPr>
                <w:b/>
                <w:bCs/>
              </w:rPr>
              <w:t>Total unearned grants to Acquire or Construct Assets at the end of the Financial Year</w:t>
            </w:r>
          </w:p>
        </w:tc>
        <w:tc>
          <w:tcPr>
            <w:tcW w:w="1824" w:type="dxa"/>
            <w:tcBorders>
              <w:top w:val="single" w:sz="4" w:space="0" w:color="auto"/>
              <w:left w:val="nil"/>
              <w:bottom w:val="double" w:sz="4" w:space="0" w:color="auto"/>
              <w:right w:val="nil"/>
            </w:tcBorders>
            <w:vAlign w:val="bottom"/>
          </w:tcPr>
          <w:p w14:paraId="3364D416" w14:textId="77777777" w:rsidR="00736294" w:rsidRPr="002D20CA" w:rsidRDefault="00736294" w:rsidP="00736294">
            <w:pPr>
              <w:pStyle w:val="TableText"/>
              <w:tabs>
                <w:tab w:val="left" w:pos="3306"/>
              </w:tabs>
              <w:jc w:val="right"/>
              <w:rPr>
                <w:rFonts w:cs="Calibri"/>
                <w:b/>
                <w:bCs/>
              </w:rPr>
            </w:pPr>
          </w:p>
        </w:tc>
        <w:tc>
          <w:tcPr>
            <w:tcW w:w="1430" w:type="dxa"/>
            <w:tcBorders>
              <w:top w:val="single" w:sz="4" w:space="0" w:color="auto"/>
              <w:left w:val="nil"/>
              <w:bottom w:val="double" w:sz="4" w:space="0" w:color="auto"/>
              <w:right w:val="nil"/>
            </w:tcBorders>
            <w:vAlign w:val="bottom"/>
          </w:tcPr>
          <w:p w14:paraId="3E292BC8" w14:textId="77777777" w:rsidR="00736294" w:rsidRPr="002D20CA" w:rsidRDefault="00736294" w:rsidP="00736294">
            <w:pPr>
              <w:pStyle w:val="TableText"/>
              <w:tabs>
                <w:tab w:val="left" w:pos="3306"/>
              </w:tabs>
              <w:jc w:val="right"/>
              <w:rPr>
                <w:rFonts w:cs="Calibri"/>
                <w:b/>
                <w:bCs/>
              </w:rPr>
            </w:pPr>
          </w:p>
        </w:tc>
      </w:tr>
      <w:tr w:rsidR="007604B9" w:rsidRPr="00CF7E1B" w14:paraId="651771A9" w14:textId="77777777" w:rsidTr="007604B9">
        <w:trPr>
          <w:cantSplit/>
          <w:trHeight w:val="23"/>
        </w:trPr>
        <w:tc>
          <w:tcPr>
            <w:tcW w:w="1560" w:type="dxa"/>
            <w:tcBorders>
              <w:top w:val="nil"/>
              <w:left w:val="single" w:sz="2" w:space="0" w:color="auto"/>
              <w:bottom w:val="nil"/>
              <w:right w:val="single" w:sz="2" w:space="0" w:color="auto"/>
            </w:tcBorders>
          </w:tcPr>
          <w:p w14:paraId="4BDA5ACE" w14:textId="77777777" w:rsidR="007604B9" w:rsidRPr="002D20CA" w:rsidRDefault="007604B9"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12DA6210" w14:textId="77777777" w:rsidR="007604B9" w:rsidRPr="002D20CA" w:rsidRDefault="007604B9" w:rsidP="00736294">
            <w:pPr>
              <w:pStyle w:val="TableText"/>
              <w:tabs>
                <w:tab w:val="left" w:pos="3306"/>
              </w:tabs>
              <w:rPr>
                <w:b/>
                <w:bCs/>
              </w:rPr>
            </w:pPr>
          </w:p>
        </w:tc>
        <w:tc>
          <w:tcPr>
            <w:tcW w:w="1824" w:type="dxa"/>
            <w:tcBorders>
              <w:top w:val="double" w:sz="4" w:space="0" w:color="auto"/>
              <w:left w:val="nil"/>
              <w:bottom w:val="nil"/>
              <w:right w:val="nil"/>
            </w:tcBorders>
            <w:vAlign w:val="bottom"/>
          </w:tcPr>
          <w:p w14:paraId="5EF0AF64" w14:textId="77777777" w:rsidR="007604B9" w:rsidRPr="002D20CA" w:rsidRDefault="007604B9" w:rsidP="00736294">
            <w:pPr>
              <w:pStyle w:val="TableText"/>
              <w:tabs>
                <w:tab w:val="left" w:pos="3306"/>
              </w:tabs>
              <w:jc w:val="right"/>
              <w:rPr>
                <w:rFonts w:cs="Calibri"/>
                <w:b/>
                <w:bCs/>
              </w:rPr>
            </w:pPr>
          </w:p>
        </w:tc>
        <w:tc>
          <w:tcPr>
            <w:tcW w:w="1430" w:type="dxa"/>
            <w:tcBorders>
              <w:top w:val="double" w:sz="4" w:space="0" w:color="auto"/>
              <w:left w:val="nil"/>
              <w:bottom w:val="nil"/>
              <w:right w:val="nil"/>
            </w:tcBorders>
            <w:vAlign w:val="bottom"/>
          </w:tcPr>
          <w:p w14:paraId="52857647" w14:textId="77777777" w:rsidR="007604B9" w:rsidRPr="002D20CA" w:rsidRDefault="007604B9" w:rsidP="00736294">
            <w:pPr>
              <w:pStyle w:val="TableText"/>
              <w:tabs>
                <w:tab w:val="left" w:pos="3306"/>
              </w:tabs>
              <w:jc w:val="right"/>
              <w:rPr>
                <w:rFonts w:cs="Calibri"/>
                <w:b/>
                <w:bCs/>
              </w:rPr>
            </w:pPr>
          </w:p>
        </w:tc>
      </w:tr>
      <w:tr w:rsidR="007604B9" w:rsidRPr="002D20CA" w14:paraId="1F307B42" w14:textId="77777777" w:rsidTr="00CA6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97"/>
        </w:trPr>
        <w:tc>
          <w:tcPr>
            <w:tcW w:w="1560" w:type="dxa"/>
            <w:tcBorders>
              <w:left w:val="single" w:sz="2" w:space="0" w:color="auto"/>
              <w:right w:val="single" w:sz="2" w:space="0" w:color="auto"/>
            </w:tcBorders>
          </w:tcPr>
          <w:p w14:paraId="48C6F209" w14:textId="4F704180" w:rsidR="007604B9" w:rsidRPr="000627F8" w:rsidRDefault="007604B9" w:rsidP="00CA65D1">
            <w:pPr>
              <w:pStyle w:val="TableReference"/>
              <w:tabs>
                <w:tab w:val="left" w:pos="3306"/>
              </w:tabs>
              <w:spacing w:before="240" w:after="240"/>
              <w:rPr>
                <w:rFonts w:cs="Calibri"/>
                <w:color w:val="7030A0"/>
                <w:sz w:val="22"/>
                <w:szCs w:val="22"/>
              </w:rPr>
            </w:pPr>
          </w:p>
        </w:tc>
        <w:tc>
          <w:tcPr>
            <w:tcW w:w="8930" w:type="dxa"/>
            <w:gridSpan w:val="3"/>
            <w:tcBorders>
              <w:left w:val="single" w:sz="2" w:space="0" w:color="auto"/>
            </w:tcBorders>
            <w:shd w:val="clear" w:color="auto" w:fill="7030A0"/>
          </w:tcPr>
          <w:p w14:paraId="1340274D" w14:textId="13A78DDF" w:rsidR="007604B9" w:rsidRPr="0007146C" w:rsidRDefault="007604B9" w:rsidP="00CA65D1">
            <w:pPr>
              <w:pStyle w:val="CommentaryTitle"/>
              <w:pageBreakBefore w:val="0"/>
              <w:tabs>
                <w:tab w:val="left" w:pos="3306"/>
              </w:tabs>
              <w:spacing w:before="240" w:after="240"/>
              <w:rPr>
                <w:rFonts w:cs="Calibri"/>
                <w:color w:val="FFFFFF" w:themeColor="background1"/>
                <w:sz w:val="28"/>
                <w:szCs w:val="28"/>
              </w:rPr>
            </w:pPr>
            <w:r w:rsidRPr="0007146C">
              <w:rPr>
                <w:rFonts w:cs="Calibri"/>
                <w:color w:val="FF0000"/>
                <w:sz w:val="28"/>
                <w:szCs w:val="28"/>
              </w:rPr>
              <w:t xml:space="preserve">Commentary </w:t>
            </w:r>
            <w:r w:rsidRPr="0007146C">
              <w:rPr>
                <w:rFonts w:cs="Calibri"/>
                <w:color w:val="FF0000"/>
                <w:sz w:val="28"/>
                <w:szCs w:val="28"/>
              </w:rPr>
              <w:sym w:font="Symbol" w:char="F02D"/>
            </w:r>
            <w:r w:rsidRPr="0007146C">
              <w:rPr>
                <w:rFonts w:cs="Calibri"/>
                <w:color w:val="FF0000"/>
                <w:sz w:val="28"/>
                <w:szCs w:val="28"/>
              </w:rPr>
              <w:t xml:space="preserve"> Note 29: Other Liabilities</w:t>
            </w:r>
          </w:p>
        </w:tc>
      </w:tr>
      <w:tr w:rsidR="007604B9" w:rsidRPr="002D20CA" w14:paraId="09D5FDBC" w14:textId="77777777" w:rsidTr="00CA6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BCA48B9" w14:textId="77777777" w:rsidR="007604B9" w:rsidRPr="000627F8" w:rsidRDefault="007604B9" w:rsidP="00CA65D1">
            <w:pPr>
              <w:pStyle w:val="TableReference"/>
              <w:tabs>
                <w:tab w:val="left" w:pos="3306"/>
              </w:tabs>
              <w:rPr>
                <w:rFonts w:cs="Calibri"/>
                <w:color w:val="7030A0"/>
                <w:sz w:val="14"/>
              </w:rPr>
            </w:pPr>
          </w:p>
          <w:p w14:paraId="728F9B77" w14:textId="77777777" w:rsidR="007604B9" w:rsidRPr="000627F8" w:rsidRDefault="007604B9"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71DEC26F" w14:textId="749C4DCC" w:rsidR="007604B9" w:rsidRPr="0007146C" w:rsidRDefault="00DC671B" w:rsidP="007604B9">
            <w:pPr>
              <w:pStyle w:val="CommentaryText"/>
              <w:tabs>
                <w:tab w:val="left" w:pos="3306"/>
              </w:tabs>
              <w:spacing w:after="40"/>
              <w:rPr>
                <w:rFonts w:cs="Calibri"/>
                <w:b/>
                <w:bCs/>
                <w:color w:val="FF0000"/>
                <w:szCs w:val="20"/>
              </w:rPr>
            </w:pPr>
            <w:r w:rsidRPr="0007146C">
              <w:rPr>
                <w:rFonts w:cs="Calibri"/>
                <w:b/>
                <w:bCs/>
                <w:color w:val="FF0000"/>
                <w:szCs w:val="20"/>
              </w:rPr>
              <w:t>Revenue Received in Advance</w:t>
            </w:r>
          </w:p>
        </w:tc>
      </w:tr>
      <w:tr w:rsidR="00DC671B" w:rsidRPr="002D20CA" w14:paraId="77B605BE" w14:textId="77777777" w:rsidTr="00CA6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7BECCF02" w14:textId="77777777" w:rsidR="00DC671B" w:rsidRPr="000627F8" w:rsidRDefault="00DC671B"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46CE699A" w14:textId="68ECDCC0" w:rsidR="00DC671B" w:rsidRPr="0007146C" w:rsidRDefault="00436AF5" w:rsidP="007604B9">
            <w:pPr>
              <w:pStyle w:val="CommentaryText"/>
              <w:tabs>
                <w:tab w:val="left" w:pos="3306"/>
              </w:tabs>
              <w:spacing w:after="40"/>
              <w:rPr>
                <w:rFonts w:cs="Calibri"/>
                <w:color w:val="FF0000"/>
                <w:sz w:val="18"/>
                <w:szCs w:val="18"/>
              </w:rPr>
            </w:pPr>
            <w:r w:rsidRPr="0007146C">
              <w:rPr>
                <w:rFonts w:cs="Calibri"/>
                <w:color w:val="FF0000"/>
                <w:sz w:val="18"/>
                <w:szCs w:val="18"/>
              </w:rPr>
              <w:t xml:space="preserve">Both Revenue Received in Advance and Contract Liabilities arise when a </w:t>
            </w:r>
            <w:r w:rsidR="0026376D" w:rsidRPr="0007146C">
              <w:rPr>
                <w:rFonts w:cs="Calibri"/>
                <w:color w:val="FF0000"/>
                <w:sz w:val="18"/>
                <w:szCs w:val="18"/>
              </w:rPr>
              <w:t xml:space="preserve">customer </w:t>
            </w:r>
            <w:r w:rsidRPr="0007146C">
              <w:rPr>
                <w:rFonts w:cs="Calibri"/>
                <w:color w:val="FF0000"/>
                <w:sz w:val="18"/>
                <w:szCs w:val="18"/>
              </w:rPr>
              <w:t>pays consideration to an agency before the agency has delivered the good</w:t>
            </w:r>
            <w:r w:rsidR="00E97F5D" w:rsidRPr="0007146C">
              <w:rPr>
                <w:rFonts w:cs="Calibri"/>
                <w:color w:val="FF0000"/>
                <w:sz w:val="18"/>
                <w:szCs w:val="18"/>
              </w:rPr>
              <w:t>s</w:t>
            </w:r>
            <w:r w:rsidR="0026376D" w:rsidRPr="0007146C">
              <w:rPr>
                <w:rFonts w:cs="Calibri"/>
                <w:color w:val="FF0000"/>
                <w:sz w:val="18"/>
                <w:szCs w:val="18"/>
              </w:rPr>
              <w:t xml:space="preserve"> or</w:t>
            </w:r>
            <w:r w:rsidRPr="0007146C">
              <w:rPr>
                <w:rFonts w:cs="Calibri"/>
                <w:color w:val="FF0000"/>
                <w:sz w:val="18"/>
                <w:szCs w:val="18"/>
              </w:rPr>
              <w:t xml:space="preserve"> provided the service</w:t>
            </w:r>
            <w:r w:rsidR="00E97F5D" w:rsidRPr="0007146C">
              <w:rPr>
                <w:rFonts w:cs="Calibri"/>
                <w:color w:val="FF0000"/>
                <w:sz w:val="18"/>
                <w:szCs w:val="18"/>
              </w:rPr>
              <w:t>s</w:t>
            </w:r>
            <w:r w:rsidRPr="0007146C">
              <w:rPr>
                <w:rFonts w:cs="Calibri"/>
                <w:color w:val="FF0000"/>
                <w:sz w:val="18"/>
                <w:szCs w:val="18"/>
              </w:rPr>
              <w:t xml:space="preserve">. The distinction between the two for the purpose of the Model Financial Statements is that Revenue Received in Advance is not provided under a contract, </w:t>
            </w:r>
            <w:r w:rsidR="00E97F5D" w:rsidRPr="0007146C">
              <w:rPr>
                <w:rFonts w:cs="Calibri"/>
                <w:color w:val="FF0000"/>
                <w:sz w:val="18"/>
                <w:szCs w:val="18"/>
              </w:rPr>
              <w:t>whereas</w:t>
            </w:r>
            <w:r w:rsidRPr="0007146C">
              <w:rPr>
                <w:rFonts w:cs="Calibri"/>
                <w:color w:val="FF0000"/>
                <w:sz w:val="18"/>
                <w:szCs w:val="18"/>
              </w:rPr>
              <w:t xml:space="preserve">, a contract liability is. It is not anticipated that Revenue Received in Advance would occur </w:t>
            </w:r>
            <w:r w:rsidR="00E97F5D" w:rsidRPr="0007146C">
              <w:rPr>
                <w:rFonts w:cs="Calibri"/>
                <w:color w:val="FF0000"/>
                <w:sz w:val="18"/>
                <w:szCs w:val="18"/>
              </w:rPr>
              <w:t xml:space="preserve">very </w:t>
            </w:r>
            <w:r w:rsidRPr="0007146C">
              <w:rPr>
                <w:rFonts w:cs="Calibri"/>
                <w:color w:val="FF0000"/>
                <w:sz w:val="18"/>
                <w:szCs w:val="18"/>
              </w:rPr>
              <w:t xml:space="preserve">often, but where it does agencies should disclose it in this </w:t>
            </w:r>
            <w:r w:rsidR="00E97F5D" w:rsidRPr="0007146C">
              <w:rPr>
                <w:rFonts w:cs="Calibri"/>
                <w:color w:val="FF0000"/>
                <w:sz w:val="18"/>
                <w:szCs w:val="18"/>
              </w:rPr>
              <w:t>n</w:t>
            </w:r>
            <w:r w:rsidRPr="0007146C">
              <w:rPr>
                <w:rFonts w:cs="Calibri"/>
                <w:color w:val="FF0000"/>
                <w:sz w:val="18"/>
                <w:szCs w:val="18"/>
              </w:rPr>
              <w:t xml:space="preserve">ote, rather than in the Payables note as a contract liability. </w:t>
            </w:r>
          </w:p>
        </w:tc>
      </w:tr>
    </w:tbl>
    <w:p w14:paraId="1109F99E" w14:textId="77777777" w:rsidR="002C6F4A" w:rsidRPr="00CF7E1B" w:rsidRDefault="002C6F4A" w:rsidP="002C6F4A">
      <w:pPr>
        <w:jc w:val="center"/>
        <w:rPr>
          <w:rFonts w:cs="Calibri"/>
        </w:rPr>
        <w:sectPr w:rsidR="002C6F4A" w:rsidRPr="00CF7E1B" w:rsidSect="008E65BF">
          <w:footnotePr>
            <w:numRestart w:val="eachPage"/>
          </w:footnotePr>
          <w:pgSz w:w="11907" w:h="16840" w:code="9"/>
          <w:pgMar w:top="567" w:right="680" w:bottom="567" w:left="680" w:header="720" w:footer="313" w:gutter="0"/>
          <w:cols w:space="720"/>
          <w:docGrid w:linePitch="326"/>
        </w:sectPr>
      </w:pPr>
    </w:p>
    <w:tbl>
      <w:tblPr>
        <w:tblW w:w="10638" w:type="dxa"/>
        <w:tblInd w:w="-3" w:type="dxa"/>
        <w:tblLayout w:type="fixed"/>
        <w:tblLook w:val="00A0" w:firstRow="1" w:lastRow="0" w:firstColumn="1" w:lastColumn="0" w:noHBand="0" w:noVBand="0"/>
      </w:tblPr>
      <w:tblGrid>
        <w:gridCol w:w="1560"/>
        <w:gridCol w:w="2655"/>
        <w:gridCol w:w="463"/>
        <w:gridCol w:w="1843"/>
        <w:gridCol w:w="142"/>
        <w:gridCol w:w="1701"/>
        <w:gridCol w:w="425"/>
        <w:gridCol w:w="142"/>
        <w:gridCol w:w="66"/>
        <w:gridCol w:w="1493"/>
        <w:gridCol w:w="148"/>
      </w:tblGrid>
      <w:tr w:rsidR="00C441BB" w:rsidRPr="00C441BB" w14:paraId="114B9666" w14:textId="77777777" w:rsidTr="00AC6E38">
        <w:trPr>
          <w:gridAfter w:val="1"/>
          <w:wAfter w:w="148" w:type="dxa"/>
          <w:trHeight w:val="431"/>
        </w:trPr>
        <w:tc>
          <w:tcPr>
            <w:tcW w:w="1560" w:type="dxa"/>
            <w:tcBorders>
              <w:left w:val="single" w:sz="2" w:space="0" w:color="auto"/>
              <w:right w:val="single" w:sz="2" w:space="0" w:color="auto"/>
            </w:tcBorders>
          </w:tcPr>
          <w:p w14:paraId="64D2A713" w14:textId="77777777" w:rsidR="00516149" w:rsidRPr="003329B4" w:rsidRDefault="00877D2B" w:rsidP="00F700E5">
            <w:pPr>
              <w:spacing w:before="240"/>
              <w:rPr>
                <w:rFonts w:cs="Calibri"/>
                <w:b/>
                <w:color w:val="7030A0"/>
                <w:szCs w:val="22"/>
              </w:rPr>
            </w:pPr>
            <w:bookmarkStart w:id="718" w:name="RestructAAO" w:colFirst="1" w:colLast="1"/>
            <w:r w:rsidRPr="003329B4">
              <w:rPr>
                <w:rFonts w:cs="Calibri"/>
                <w:b/>
                <w:color w:val="7030A0"/>
                <w:szCs w:val="22"/>
              </w:rPr>
              <w:t>Reference</w:t>
            </w:r>
          </w:p>
        </w:tc>
        <w:tc>
          <w:tcPr>
            <w:tcW w:w="8930" w:type="dxa"/>
            <w:gridSpan w:val="9"/>
            <w:tcBorders>
              <w:left w:val="single" w:sz="2" w:space="0" w:color="auto"/>
            </w:tcBorders>
          </w:tcPr>
          <w:p w14:paraId="00608143" w14:textId="2228A40B" w:rsidR="00516149" w:rsidRPr="00C441BB" w:rsidRDefault="00F700E5" w:rsidP="00514D82">
            <w:pPr>
              <w:pStyle w:val="Heading1"/>
              <w:numPr>
                <w:ilvl w:val="0"/>
                <w:numId w:val="0"/>
              </w:numPr>
            </w:pPr>
            <w:bookmarkStart w:id="719" w:name="_Toc400627356"/>
            <w:bookmarkStart w:id="720" w:name="_Toc132743821"/>
            <w:r w:rsidRPr="00C441BB">
              <w:t>Note</w:t>
            </w:r>
            <w:r w:rsidR="0098345C" w:rsidRPr="00C441BB">
              <w:t xml:space="preserve"> </w:t>
            </w:r>
            <w:r w:rsidR="003334D4" w:rsidRPr="00C441BB">
              <w:t>30</w:t>
            </w:r>
            <w:r w:rsidR="0098345C" w:rsidRPr="00C441BB">
              <w:t>.</w:t>
            </w:r>
            <w:r w:rsidR="00FA7C77">
              <w:t xml:space="preserve"> </w:t>
            </w:r>
            <w:r w:rsidR="0098345C" w:rsidRPr="00C441BB">
              <w:t>R</w:t>
            </w:r>
            <w:r w:rsidR="00B11FCA" w:rsidRPr="00C441BB">
              <w:t>estructure</w:t>
            </w:r>
            <w:r w:rsidR="0098345C" w:rsidRPr="00C441BB">
              <w:t xml:space="preserve"> </w:t>
            </w:r>
            <w:r w:rsidR="00B11FCA" w:rsidRPr="00C441BB">
              <w:t xml:space="preserve">of </w:t>
            </w:r>
            <w:r w:rsidR="0098345C" w:rsidRPr="00C441BB">
              <w:t>A</w:t>
            </w:r>
            <w:r w:rsidR="00B11FCA" w:rsidRPr="00C441BB">
              <w:t>dministrative</w:t>
            </w:r>
            <w:r w:rsidR="0098345C" w:rsidRPr="00C441BB">
              <w:t xml:space="preserve"> A</w:t>
            </w:r>
            <w:r w:rsidR="00B11FCA" w:rsidRPr="00C441BB">
              <w:t>rrangements</w:t>
            </w:r>
            <w:r w:rsidR="00B77CBD" w:rsidRPr="00C441BB">
              <w:t xml:space="preserve"> </w:t>
            </w:r>
            <w:r w:rsidR="00DB02DF" w:rsidRPr="00C441BB">
              <w:t>[</w:t>
            </w:r>
            <w:r w:rsidR="004E43B2" w:rsidRPr="00C441BB">
              <w:t>Directorate</w:t>
            </w:r>
            <w:r w:rsidR="00234822" w:rsidRPr="00C441BB">
              <w:t>s Only]</w:t>
            </w:r>
            <w:bookmarkEnd w:id="719"/>
            <w:bookmarkEnd w:id="720"/>
          </w:p>
        </w:tc>
      </w:tr>
      <w:tr w:rsidR="00835D5D" w:rsidRPr="00C441BB" w14:paraId="2E6BCFD6" w14:textId="77777777" w:rsidTr="00AC6E38">
        <w:trPr>
          <w:gridAfter w:val="1"/>
          <w:wAfter w:w="148" w:type="dxa"/>
        </w:trPr>
        <w:tc>
          <w:tcPr>
            <w:tcW w:w="1560" w:type="dxa"/>
            <w:tcBorders>
              <w:left w:val="single" w:sz="2" w:space="0" w:color="auto"/>
              <w:right w:val="single" w:sz="2" w:space="0" w:color="auto"/>
            </w:tcBorders>
          </w:tcPr>
          <w:p w14:paraId="595FA92A" w14:textId="77777777" w:rsidR="00835D5D" w:rsidRPr="0007146C" w:rsidRDefault="00835D5D" w:rsidP="00DA032C">
            <w:pPr>
              <w:spacing w:before="120"/>
              <w:rPr>
                <w:rFonts w:cs="Calibri"/>
                <w:color w:val="7030A0"/>
                <w:sz w:val="14"/>
                <w:szCs w:val="14"/>
              </w:rPr>
            </w:pPr>
          </w:p>
        </w:tc>
        <w:tc>
          <w:tcPr>
            <w:tcW w:w="8930" w:type="dxa"/>
            <w:gridSpan w:val="9"/>
            <w:tcBorders>
              <w:left w:val="single" w:sz="2" w:space="0" w:color="auto"/>
            </w:tcBorders>
            <w:vAlign w:val="center"/>
          </w:tcPr>
          <w:p w14:paraId="45E99E54" w14:textId="679FCE3C" w:rsidR="00DA032C" w:rsidRPr="0007146C" w:rsidRDefault="00835D5D" w:rsidP="00DA032C">
            <w:pPr>
              <w:pStyle w:val="pf0"/>
              <w:spacing w:before="0" w:beforeAutospacing="0" w:after="40" w:afterAutospacing="0"/>
              <w:jc w:val="both"/>
              <w:rPr>
                <w:rFonts w:asciiTheme="minorHAnsi" w:hAnsiTheme="minorHAnsi" w:cstheme="minorHAnsi"/>
                <w:b/>
                <w:bCs/>
                <w:color w:val="FF0000"/>
                <w:sz w:val="18"/>
                <w:szCs w:val="18"/>
              </w:rPr>
            </w:pPr>
            <w:r w:rsidRPr="0007146C">
              <w:rPr>
                <w:rFonts w:asciiTheme="minorHAnsi" w:hAnsiTheme="minorHAnsi" w:cstheme="minorHAnsi"/>
                <w:b/>
                <w:bCs/>
                <w:color w:val="FF0000"/>
                <w:sz w:val="18"/>
                <w:szCs w:val="18"/>
              </w:rPr>
              <w:t>Description and Material Accounting Policies Relating to Restructure of Administrative Arrangements</w:t>
            </w:r>
          </w:p>
        </w:tc>
      </w:tr>
      <w:tr w:rsidR="00DA032C" w:rsidRPr="00C441BB" w14:paraId="601D1586" w14:textId="77777777" w:rsidTr="00AC6E38">
        <w:trPr>
          <w:gridAfter w:val="1"/>
          <w:wAfter w:w="148" w:type="dxa"/>
        </w:trPr>
        <w:tc>
          <w:tcPr>
            <w:tcW w:w="1560" w:type="dxa"/>
            <w:tcBorders>
              <w:left w:val="single" w:sz="2" w:space="0" w:color="auto"/>
              <w:right w:val="single" w:sz="2" w:space="0" w:color="auto"/>
            </w:tcBorders>
          </w:tcPr>
          <w:p w14:paraId="6CE5765C" w14:textId="139457D4" w:rsidR="00DA032C" w:rsidRPr="0007146C" w:rsidRDefault="00DA032C" w:rsidP="00AC6E38">
            <w:pPr>
              <w:spacing w:before="40"/>
              <w:rPr>
                <w:rFonts w:cs="Calibri"/>
                <w:color w:val="7030A0"/>
                <w:sz w:val="14"/>
                <w:szCs w:val="14"/>
              </w:rPr>
            </w:pPr>
            <w:r w:rsidRPr="0007146C">
              <w:rPr>
                <w:rFonts w:cs="Calibri"/>
                <w:color w:val="FF0000"/>
                <w:sz w:val="14"/>
                <w:szCs w:val="14"/>
              </w:rPr>
              <w:t>AASB 1004</w:t>
            </w:r>
            <w:r w:rsidR="00AC6E38" w:rsidRPr="0007146C">
              <w:rPr>
                <w:rFonts w:cs="Calibri"/>
                <w:color w:val="FF0000"/>
                <w:sz w:val="14"/>
                <w:szCs w:val="14"/>
              </w:rPr>
              <w:t xml:space="preserve"> Appendix A</w:t>
            </w:r>
          </w:p>
        </w:tc>
        <w:tc>
          <w:tcPr>
            <w:tcW w:w="8930" w:type="dxa"/>
            <w:gridSpan w:val="9"/>
            <w:tcBorders>
              <w:left w:val="single" w:sz="2" w:space="0" w:color="auto"/>
            </w:tcBorders>
            <w:vAlign w:val="center"/>
          </w:tcPr>
          <w:p w14:paraId="39FAA873" w14:textId="1A55C629" w:rsidR="00DA032C" w:rsidRPr="0007146C" w:rsidRDefault="00DA032C" w:rsidP="00283F26">
            <w:pPr>
              <w:pStyle w:val="pf0"/>
              <w:spacing w:before="0" w:beforeAutospacing="0" w:after="40" w:afterAutospacing="0"/>
              <w:jc w:val="both"/>
              <w:rPr>
                <w:rFonts w:asciiTheme="minorHAnsi" w:hAnsiTheme="minorHAnsi" w:cstheme="minorHAnsi"/>
                <w:b/>
                <w:bCs/>
                <w:color w:val="FF0000"/>
                <w:sz w:val="18"/>
                <w:szCs w:val="18"/>
              </w:rPr>
            </w:pPr>
            <w:r w:rsidRPr="0007146C">
              <w:rPr>
                <w:rFonts w:asciiTheme="minorHAnsi" w:hAnsiTheme="minorHAnsi" w:cstheme="minorHAnsi"/>
                <w:color w:val="FF0000"/>
                <w:sz w:val="18"/>
                <w:szCs w:val="18"/>
              </w:rPr>
              <w:t>A restructure of administrative arrangements (AAs) is the reallocation or reorganisation of assets, liabilities, activities and responsibilities amongst the agencies that the government controls that occurs as a consequence of a rearrangement in the way in which activities and responsibilities are prescribed under legislation or other authority are allocated between the government’s controlled agencies.</w:t>
            </w:r>
          </w:p>
        </w:tc>
      </w:tr>
      <w:tr w:rsidR="00835D5D" w:rsidRPr="00C441BB" w14:paraId="3D819DFE" w14:textId="77777777" w:rsidTr="00AC6E38">
        <w:trPr>
          <w:gridAfter w:val="1"/>
          <w:wAfter w:w="148" w:type="dxa"/>
        </w:trPr>
        <w:tc>
          <w:tcPr>
            <w:tcW w:w="1560" w:type="dxa"/>
            <w:tcBorders>
              <w:left w:val="single" w:sz="2" w:space="0" w:color="auto"/>
              <w:right w:val="single" w:sz="2" w:space="0" w:color="auto"/>
            </w:tcBorders>
            <w:vAlign w:val="center"/>
          </w:tcPr>
          <w:p w14:paraId="4075FB6C" w14:textId="77777777" w:rsidR="00835D5D" w:rsidRPr="0007146C" w:rsidRDefault="00835D5D" w:rsidP="00835D5D">
            <w:pPr>
              <w:spacing w:before="120"/>
              <w:rPr>
                <w:rFonts w:cs="Calibri"/>
                <w:color w:val="7030A0"/>
                <w:sz w:val="14"/>
                <w:szCs w:val="14"/>
              </w:rPr>
            </w:pPr>
          </w:p>
        </w:tc>
        <w:tc>
          <w:tcPr>
            <w:tcW w:w="8930" w:type="dxa"/>
            <w:gridSpan w:val="9"/>
            <w:tcBorders>
              <w:left w:val="single" w:sz="2" w:space="0" w:color="auto"/>
            </w:tcBorders>
            <w:vAlign w:val="center"/>
          </w:tcPr>
          <w:p w14:paraId="093B2831" w14:textId="6D08C35D" w:rsidR="00835D5D" w:rsidRPr="0007146C" w:rsidRDefault="00835D5D" w:rsidP="00283F26">
            <w:pPr>
              <w:pStyle w:val="TableText"/>
              <w:spacing w:before="0" w:after="120"/>
              <w:jc w:val="both"/>
              <w:rPr>
                <w:rFonts w:asciiTheme="minorHAnsi" w:hAnsiTheme="minorHAnsi" w:cstheme="minorHAnsi"/>
                <w:b/>
                <w:color w:val="FF0000"/>
              </w:rPr>
            </w:pPr>
            <w:r w:rsidRPr="0007146C">
              <w:rPr>
                <w:rFonts w:asciiTheme="minorHAnsi" w:hAnsiTheme="minorHAnsi" w:cstheme="minorHAnsi"/>
                <w:color w:val="FF0000"/>
                <w:lang w:eastAsia="en-AU"/>
              </w:rPr>
              <w:t>AAs do not apply to the transfer of individual asset</w:t>
            </w:r>
            <w:r w:rsidR="00283F26" w:rsidRPr="0007146C">
              <w:rPr>
                <w:rFonts w:asciiTheme="minorHAnsi" w:hAnsiTheme="minorHAnsi" w:cstheme="minorHAnsi"/>
                <w:color w:val="FF0000"/>
                <w:lang w:eastAsia="en-AU"/>
              </w:rPr>
              <w:t>s</w:t>
            </w:r>
            <w:r w:rsidRPr="0007146C">
              <w:rPr>
                <w:rFonts w:asciiTheme="minorHAnsi" w:hAnsiTheme="minorHAnsi" w:cstheme="minorHAnsi"/>
                <w:color w:val="FF0000"/>
                <w:lang w:eastAsia="en-AU"/>
              </w:rPr>
              <w:t xml:space="preserve"> between agencies, but instead they involve the transfer of an integrated set of activities, mainly for the purpose of reducing overall costs or providing other economic benefits to the </w:t>
            </w:r>
            <w:r w:rsidR="007E06A2" w:rsidRPr="0007146C">
              <w:rPr>
                <w:rFonts w:asciiTheme="minorHAnsi" w:hAnsiTheme="minorHAnsi" w:cstheme="minorHAnsi"/>
                <w:color w:val="FF0000"/>
                <w:lang w:eastAsia="en-AU"/>
              </w:rPr>
              <w:t>c</w:t>
            </w:r>
            <w:r w:rsidRPr="0007146C">
              <w:rPr>
                <w:rFonts w:asciiTheme="minorHAnsi" w:hAnsiTheme="minorHAnsi" w:cstheme="minorHAnsi"/>
                <w:color w:val="FF0000"/>
                <w:lang w:eastAsia="en-AU"/>
              </w:rPr>
              <w:t>ommunity</w:t>
            </w:r>
            <w:r w:rsidR="00283F26" w:rsidRPr="0007146C">
              <w:rPr>
                <w:rFonts w:asciiTheme="minorHAnsi" w:hAnsiTheme="minorHAnsi" w:cstheme="minorHAnsi"/>
                <w:color w:val="FF0000"/>
                <w:lang w:eastAsia="en-AU"/>
              </w:rPr>
              <w:t>.</w:t>
            </w:r>
            <w:r w:rsidRPr="0007146C">
              <w:rPr>
                <w:rFonts w:asciiTheme="minorHAnsi" w:hAnsiTheme="minorHAnsi" w:cstheme="minorHAnsi"/>
                <w:color w:val="FF0000"/>
                <w:lang w:eastAsia="en-AU"/>
              </w:rPr>
              <w:t xml:space="preserve"> </w:t>
            </w:r>
            <w:r w:rsidR="00283F26" w:rsidRPr="0007146C">
              <w:rPr>
                <w:rFonts w:asciiTheme="minorHAnsi" w:hAnsiTheme="minorHAnsi" w:cstheme="minorHAnsi"/>
                <w:color w:val="FF0000"/>
                <w:lang w:eastAsia="en-AU"/>
              </w:rPr>
              <w:t>T</w:t>
            </w:r>
            <w:r w:rsidRPr="0007146C">
              <w:rPr>
                <w:rFonts w:asciiTheme="minorHAnsi" w:hAnsiTheme="minorHAnsi" w:cstheme="minorHAnsi"/>
                <w:color w:val="FF0000"/>
                <w:lang w:eastAsia="en-AU"/>
              </w:rPr>
              <w:t>hey involve a discrete function being transferred between agencies. As such, AAs often involve the transfer of appropriations, staff, bank accounts, assets and liabilities.</w:t>
            </w:r>
          </w:p>
        </w:tc>
      </w:tr>
      <w:tr w:rsidR="00835D5D" w:rsidRPr="00C441BB" w14:paraId="2D1D4DF1" w14:textId="77777777" w:rsidTr="00AC6E38">
        <w:trPr>
          <w:gridAfter w:val="1"/>
          <w:wAfter w:w="148" w:type="dxa"/>
        </w:trPr>
        <w:tc>
          <w:tcPr>
            <w:tcW w:w="1560" w:type="dxa"/>
            <w:tcBorders>
              <w:left w:val="single" w:sz="2" w:space="0" w:color="auto"/>
              <w:right w:val="single" w:sz="2" w:space="0" w:color="auto"/>
            </w:tcBorders>
            <w:vAlign w:val="center"/>
          </w:tcPr>
          <w:p w14:paraId="4EA7F02E" w14:textId="77777777" w:rsidR="00835D5D" w:rsidRPr="0007146C" w:rsidRDefault="00835D5D" w:rsidP="00835D5D">
            <w:pPr>
              <w:spacing w:before="120"/>
              <w:rPr>
                <w:rFonts w:cs="Calibri"/>
                <w:color w:val="7030A0"/>
                <w:sz w:val="14"/>
                <w:szCs w:val="14"/>
              </w:rPr>
            </w:pPr>
          </w:p>
        </w:tc>
        <w:tc>
          <w:tcPr>
            <w:tcW w:w="8930" w:type="dxa"/>
            <w:gridSpan w:val="9"/>
            <w:tcBorders>
              <w:left w:val="single" w:sz="2" w:space="0" w:color="auto"/>
            </w:tcBorders>
            <w:vAlign w:val="center"/>
          </w:tcPr>
          <w:p w14:paraId="1BB5EBA1" w14:textId="148892FA" w:rsidR="00835D5D" w:rsidRPr="0007146C" w:rsidRDefault="00835D5D" w:rsidP="00283F26">
            <w:pPr>
              <w:pStyle w:val="TableText"/>
              <w:spacing w:before="0" w:after="120"/>
              <w:jc w:val="both"/>
              <w:rPr>
                <w:rFonts w:asciiTheme="minorHAnsi" w:hAnsiTheme="minorHAnsi" w:cstheme="minorHAnsi"/>
                <w:b/>
                <w:color w:val="FF0000"/>
              </w:rPr>
            </w:pPr>
            <w:r w:rsidRPr="0007146C">
              <w:rPr>
                <w:rFonts w:asciiTheme="minorHAnsi" w:hAnsiTheme="minorHAnsi" w:cstheme="minorHAnsi"/>
                <w:color w:val="FF0000"/>
                <w:lang w:eastAsia="en-AU"/>
              </w:rPr>
              <w:t>AA transfers are classified as contributions by/distribution to owners and as such are accounted for as an equity transfer. AA transfers are measured at the carrying value recorded by the transferor immediately prior to the transfer.</w:t>
            </w:r>
          </w:p>
        </w:tc>
      </w:tr>
      <w:bookmarkEnd w:id="718"/>
      <w:tr w:rsidR="00C441BB" w:rsidRPr="00C441BB" w14:paraId="636E3CF0" w14:textId="77777777" w:rsidTr="00AC6E38">
        <w:trPr>
          <w:gridAfter w:val="1"/>
          <w:wAfter w:w="148" w:type="dxa"/>
        </w:trPr>
        <w:tc>
          <w:tcPr>
            <w:tcW w:w="1560" w:type="dxa"/>
            <w:tcBorders>
              <w:left w:val="single" w:sz="2" w:space="0" w:color="auto"/>
              <w:right w:val="single" w:sz="2" w:space="0" w:color="auto"/>
            </w:tcBorders>
            <w:vAlign w:val="center"/>
          </w:tcPr>
          <w:p w14:paraId="1BD57D3B" w14:textId="77777777" w:rsidR="00516149" w:rsidRPr="003329B4" w:rsidRDefault="00C2563B" w:rsidP="00835D5D">
            <w:pPr>
              <w:spacing w:before="120"/>
              <w:rPr>
                <w:rFonts w:cs="Calibri"/>
                <w:color w:val="7030A0"/>
                <w:sz w:val="14"/>
                <w:szCs w:val="14"/>
              </w:rPr>
            </w:pPr>
            <w:r w:rsidRPr="003329B4">
              <w:rPr>
                <w:rFonts w:cs="Calibri"/>
                <w:color w:val="7030A0"/>
                <w:sz w:val="14"/>
                <w:szCs w:val="14"/>
              </w:rPr>
              <w:t>AASB 1004</w:t>
            </w:r>
            <w:r w:rsidR="00D65811" w:rsidRPr="003329B4">
              <w:rPr>
                <w:rFonts w:cs="Calibri"/>
                <w:color w:val="7030A0"/>
                <w:sz w:val="14"/>
                <w:szCs w:val="14"/>
              </w:rPr>
              <w:t>.</w:t>
            </w:r>
            <w:r w:rsidRPr="003329B4">
              <w:rPr>
                <w:rFonts w:cs="Calibri"/>
                <w:color w:val="7030A0"/>
                <w:sz w:val="14"/>
                <w:szCs w:val="14"/>
              </w:rPr>
              <w:t>57</w:t>
            </w:r>
          </w:p>
        </w:tc>
        <w:tc>
          <w:tcPr>
            <w:tcW w:w="8930" w:type="dxa"/>
            <w:gridSpan w:val="9"/>
            <w:tcBorders>
              <w:left w:val="single" w:sz="2" w:space="0" w:color="auto"/>
            </w:tcBorders>
            <w:vAlign w:val="center"/>
          </w:tcPr>
          <w:p w14:paraId="68320ECA" w14:textId="514879E2" w:rsidR="00516149" w:rsidRPr="00C441BB" w:rsidRDefault="005C7646" w:rsidP="00732C8E">
            <w:pPr>
              <w:pStyle w:val="TableText"/>
              <w:spacing w:before="0"/>
              <w:rPr>
                <w:rFonts w:cs="Calibri"/>
                <w:b/>
              </w:rPr>
            </w:pPr>
            <w:bookmarkStart w:id="721" w:name="_Hlk90633313"/>
            <w:r w:rsidRPr="00C441BB">
              <w:rPr>
                <w:rFonts w:cs="Calibri"/>
                <w:b/>
              </w:rPr>
              <w:t>Restructures of Administrative Arrangements</w:t>
            </w:r>
            <w:r w:rsidR="006376DE" w:rsidRPr="00C441BB">
              <w:rPr>
                <w:rFonts w:cs="Calibri"/>
                <w:b/>
              </w:rPr>
              <w:t xml:space="preserve"> </w:t>
            </w:r>
            <w:bookmarkEnd w:id="721"/>
            <w:r w:rsidR="00B45353" w:rsidRPr="00C441BB">
              <w:rPr>
                <w:rFonts w:cs="Calibri"/>
                <w:b/>
              </w:rPr>
              <w:t>202</w:t>
            </w:r>
            <w:r w:rsidR="007D0487">
              <w:rPr>
                <w:rFonts w:cs="Calibri"/>
                <w:b/>
              </w:rPr>
              <w:t>2</w:t>
            </w:r>
            <w:r w:rsidR="00B45353" w:rsidRPr="00C441BB">
              <w:rPr>
                <w:rFonts w:cs="Calibri"/>
                <w:b/>
              </w:rPr>
              <w:t>-2</w:t>
            </w:r>
            <w:r w:rsidR="007D0487">
              <w:rPr>
                <w:rFonts w:cs="Calibri"/>
                <w:b/>
              </w:rPr>
              <w:t>3</w:t>
            </w:r>
          </w:p>
        </w:tc>
      </w:tr>
      <w:tr w:rsidR="00C441BB" w:rsidRPr="00C441BB" w14:paraId="6B0E5850" w14:textId="77777777" w:rsidTr="00AC6E38">
        <w:trPr>
          <w:gridAfter w:val="1"/>
          <w:wAfter w:w="148" w:type="dxa"/>
          <w:trHeight w:val="1972"/>
        </w:trPr>
        <w:tc>
          <w:tcPr>
            <w:tcW w:w="1560" w:type="dxa"/>
            <w:tcBorders>
              <w:left w:val="single" w:sz="2" w:space="0" w:color="auto"/>
              <w:right w:val="single" w:sz="2" w:space="0" w:color="auto"/>
            </w:tcBorders>
          </w:tcPr>
          <w:p w14:paraId="1724B010" w14:textId="77777777" w:rsidR="00516149" w:rsidRPr="003329B4" w:rsidRDefault="00516149" w:rsidP="00B44DA7">
            <w:pPr>
              <w:pStyle w:val="TableReference"/>
              <w:tabs>
                <w:tab w:val="left" w:pos="3306"/>
              </w:tabs>
              <w:spacing w:before="240"/>
              <w:rPr>
                <w:rFonts w:cs="Calibri"/>
                <w:color w:val="7030A0"/>
                <w:sz w:val="14"/>
              </w:rPr>
            </w:pPr>
          </w:p>
        </w:tc>
        <w:tc>
          <w:tcPr>
            <w:tcW w:w="8930" w:type="dxa"/>
            <w:gridSpan w:val="9"/>
            <w:tcBorders>
              <w:left w:val="single" w:sz="2" w:space="0" w:color="auto"/>
            </w:tcBorders>
          </w:tcPr>
          <w:p w14:paraId="3E981299" w14:textId="04E2C77A" w:rsidR="00516149" w:rsidRPr="00C441BB" w:rsidRDefault="00C2563B" w:rsidP="000627F8">
            <w:pPr>
              <w:pStyle w:val="TableText"/>
              <w:tabs>
                <w:tab w:val="left" w:pos="3306"/>
              </w:tabs>
              <w:spacing w:before="0" w:after="60"/>
              <w:jc w:val="both"/>
              <w:rPr>
                <w:rFonts w:cs="Calibri"/>
                <w:bCs/>
              </w:rPr>
            </w:pPr>
            <w:r w:rsidRPr="00C441BB">
              <w:rPr>
                <w:rFonts w:cs="Calibri"/>
              </w:rPr>
              <w:t xml:space="preserve">On 7 January </w:t>
            </w:r>
            <w:r w:rsidR="00D167F7" w:rsidRPr="00C441BB">
              <w:rPr>
                <w:rFonts w:cs="Calibri"/>
              </w:rPr>
              <w:t>202</w:t>
            </w:r>
            <w:r w:rsidR="007D0487">
              <w:rPr>
                <w:rFonts w:cs="Calibri"/>
              </w:rPr>
              <w:t>3</w:t>
            </w:r>
            <w:r w:rsidR="00BB1A8A" w:rsidRPr="00C441BB">
              <w:rPr>
                <w:rFonts w:cs="Calibri"/>
              </w:rPr>
              <w:t>,</w:t>
            </w:r>
            <w:r w:rsidRPr="00C441BB">
              <w:rPr>
                <w:rFonts w:cs="Calibri"/>
              </w:rPr>
              <w:t xml:space="preserve"> a restructuring of administrative arrangements occurred between ‘</w:t>
            </w:r>
            <w:bookmarkStart w:id="722" w:name="_Hlk89158679"/>
            <w:r w:rsidR="00BB42C1" w:rsidRPr="00C441BB">
              <w:t>Burley Griffin</w:t>
            </w:r>
            <w:bookmarkEnd w:id="722"/>
            <w:r w:rsidRPr="00C441BB">
              <w:rPr>
                <w:rFonts w:cs="Calibri"/>
              </w:rPr>
              <w:t xml:space="preserve"> </w:t>
            </w:r>
            <w:r w:rsidR="00B96D8D" w:rsidRPr="00C441BB">
              <w:rPr>
                <w:rFonts w:cs="Calibri"/>
              </w:rPr>
              <w:t>Agency</w:t>
            </w:r>
            <w:r w:rsidRPr="00C441BB">
              <w:rPr>
                <w:rFonts w:cs="Calibri"/>
              </w:rPr>
              <w:t xml:space="preserve">’ and ABC </w:t>
            </w:r>
            <w:r w:rsidR="004E43B2" w:rsidRPr="00C441BB">
              <w:rPr>
                <w:rFonts w:cs="Calibri"/>
              </w:rPr>
              <w:t>Directorate</w:t>
            </w:r>
            <w:r w:rsidRPr="00C441BB">
              <w:rPr>
                <w:rFonts w:cs="Calibri"/>
              </w:rPr>
              <w:t xml:space="preserve"> involving a Heritage and Environment division.</w:t>
            </w:r>
            <w:r w:rsidR="00FA7C77">
              <w:rPr>
                <w:rFonts w:cs="Calibri"/>
              </w:rPr>
              <w:t xml:space="preserve"> </w:t>
            </w:r>
            <w:r w:rsidR="0090687E" w:rsidRPr="00C441BB">
              <w:rPr>
                <w:rFonts w:cs="Calibri"/>
              </w:rPr>
              <w:t xml:space="preserve">The Heritage and Environment division is a separate output </w:t>
            </w:r>
            <w:r w:rsidR="00BF3BC0" w:rsidRPr="00C441BB">
              <w:rPr>
                <w:rFonts w:cs="Calibri"/>
              </w:rPr>
              <w:t xml:space="preserve">which has been incorporated into </w:t>
            </w:r>
            <w:r w:rsidR="00BF3BC0" w:rsidRPr="00C441BB">
              <w:rPr>
                <w:rFonts w:asciiTheme="minorHAnsi" w:hAnsiTheme="minorHAnsi" w:cstheme="minorHAnsi"/>
              </w:rPr>
              <w:t>Output Class 3 – Environment and Heritage within ‘</w:t>
            </w:r>
            <w:r w:rsidR="00BB42C1" w:rsidRPr="00C441BB">
              <w:t>Burley Griffin</w:t>
            </w:r>
            <w:r w:rsidR="00BF3BC0" w:rsidRPr="00C441BB">
              <w:rPr>
                <w:rFonts w:asciiTheme="minorHAnsi" w:hAnsiTheme="minorHAnsi" w:cstheme="minorHAnsi"/>
              </w:rPr>
              <w:t xml:space="preserve"> Agency’</w:t>
            </w:r>
            <w:r w:rsidR="00BF3BC0" w:rsidRPr="00C441BB">
              <w:rPr>
                <w:rFonts w:cs="Calibri"/>
              </w:rPr>
              <w:t>.</w:t>
            </w:r>
            <w:r w:rsidR="00FA7C77">
              <w:rPr>
                <w:rFonts w:cs="Calibri"/>
              </w:rPr>
              <w:t xml:space="preserve"> </w:t>
            </w:r>
            <w:r w:rsidR="0090687E" w:rsidRPr="00C441BB">
              <w:rPr>
                <w:rFonts w:cs="Calibri"/>
              </w:rPr>
              <w:t xml:space="preserve"> </w:t>
            </w:r>
            <w:r w:rsidRPr="00C441BB">
              <w:rPr>
                <w:rFonts w:cs="Calibri"/>
              </w:rPr>
              <w:t>The heritage function is responsible for the development of heritage policy as well as the maintenance of a number of large heritage assets.</w:t>
            </w:r>
            <w:r w:rsidR="00FA7C77">
              <w:rPr>
                <w:rFonts w:cs="Calibri"/>
              </w:rPr>
              <w:t xml:space="preserve"> </w:t>
            </w:r>
            <w:r w:rsidRPr="00C441BB">
              <w:rPr>
                <w:rFonts w:cs="Calibri"/>
              </w:rPr>
              <w:t xml:space="preserve">The 180 employees and the </w:t>
            </w:r>
            <w:r w:rsidR="00944372" w:rsidRPr="00C441BB">
              <w:rPr>
                <w:rFonts w:cs="Calibri"/>
              </w:rPr>
              <w:t xml:space="preserve">large </w:t>
            </w:r>
            <w:r w:rsidRPr="00C441BB">
              <w:rPr>
                <w:rFonts w:cs="Calibri"/>
              </w:rPr>
              <w:t>heritage assets attached to this function were transferred to ‘</w:t>
            </w:r>
            <w:r w:rsidR="00BB42C1" w:rsidRPr="00C441BB">
              <w:t>Burley Griffin</w:t>
            </w:r>
            <w:r w:rsidR="00BB42C1" w:rsidRPr="00C441BB">
              <w:rPr>
                <w:bCs/>
              </w:rPr>
              <w:t xml:space="preserve"> </w:t>
            </w:r>
            <w:r w:rsidR="00B96D8D" w:rsidRPr="00C441BB">
              <w:rPr>
                <w:rFonts w:cs="Calibri"/>
              </w:rPr>
              <w:t>Agency</w:t>
            </w:r>
            <w:r w:rsidRPr="00C441BB">
              <w:rPr>
                <w:rFonts w:cs="Calibri"/>
              </w:rPr>
              <w:t>’ as part of this restructuring of administrative arrangements.</w:t>
            </w:r>
            <w:r w:rsidR="00FA7C77">
              <w:rPr>
                <w:rFonts w:cs="Calibri"/>
              </w:rPr>
              <w:t xml:space="preserve"> </w:t>
            </w:r>
            <w:r w:rsidRPr="00C441BB">
              <w:rPr>
                <w:rFonts w:cs="Calibri"/>
              </w:rPr>
              <w:t>The environment function is responsible for the development of policy frameworks and providing advice on the management and protection of the environment.</w:t>
            </w:r>
            <w:r w:rsidR="00FA7C77">
              <w:rPr>
                <w:rFonts w:cs="Calibri"/>
              </w:rPr>
              <w:t xml:space="preserve"> </w:t>
            </w:r>
            <w:r w:rsidRPr="00C441BB">
              <w:rPr>
                <w:rFonts w:cs="Calibri"/>
              </w:rPr>
              <w:t>It also administers a small grants program for organisations operating in an environmentally friendly manner.</w:t>
            </w:r>
            <w:r w:rsidR="00FA7C77">
              <w:rPr>
                <w:rFonts w:cs="Calibri"/>
              </w:rPr>
              <w:t xml:space="preserve"> </w:t>
            </w:r>
            <w:r w:rsidRPr="00C441BB">
              <w:rPr>
                <w:rFonts w:cs="Calibri"/>
              </w:rPr>
              <w:t xml:space="preserve">The transfer of this function involved 90 staff </w:t>
            </w:r>
            <w:r w:rsidR="008A57CF" w:rsidRPr="00C441BB">
              <w:rPr>
                <w:rFonts w:cs="Calibri"/>
              </w:rPr>
              <w:t xml:space="preserve">moving </w:t>
            </w:r>
            <w:r w:rsidRPr="00C441BB">
              <w:rPr>
                <w:rFonts w:cs="Calibri"/>
              </w:rPr>
              <w:t>to ‘</w:t>
            </w:r>
            <w:r w:rsidR="00BB42C1" w:rsidRPr="00C441BB">
              <w:t>Burley Griffin</w:t>
            </w:r>
            <w:r w:rsidR="00BB42C1" w:rsidRPr="00C441BB">
              <w:rPr>
                <w:bCs/>
              </w:rPr>
              <w:t xml:space="preserve"> </w:t>
            </w:r>
            <w:r w:rsidR="00B96D8D" w:rsidRPr="00C441BB">
              <w:rPr>
                <w:rFonts w:cs="Calibri"/>
              </w:rPr>
              <w:t>Agency</w:t>
            </w:r>
            <w:r w:rsidRPr="00C441BB">
              <w:rPr>
                <w:rFonts w:cs="Calibri"/>
              </w:rPr>
              <w:t>’.</w:t>
            </w:r>
          </w:p>
        </w:tc>
      </w:tr>
      <w:tr w:rsidR="00C441BB" w:rsidRPr="00C441BB" w14:paraId="44C32C64" w14:textId="77777777" w:rsidTr="00AC6E38">
        <w:trPr>
          <w:gridAfter w:val="1"/>
          <w:wAfter w:w="148" w:type="dxa"/>
          <w:trHeight w:val="255"/>
        </w:trPr>
        <w:tc>
          <w:tcPr>
            <w:tcW w:w="1560" w:type="dxa"/>
            <w:tcBorders>
              <w:left w:val="single" w:sz="2" w:space="0" w:color="auto"/>
              <w:right w:val="single" w:sz="2" w:space="0" w:color="auto"/>
            </w:tcBorders>
            <w:vAlign w:val="center"/>
          </w:tcPr>
          <w:p w14:paraId="0BA175C1"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vAlign w:val="center"/>
          </w:tcPr>
          <w:p w14:paraId="4C2F119A" w14:textId="77777777" w:rsidR="00516149" w:rsidRPr="00C441BB" w:rsidRDefault="000F7396" w:rsidP="009D37DE">
            <w:pPr>
              <w:spacing w:before="60"/>
              <w:jc w:val="both"/>
              <w:rPr>
                <w:rFonts w:cs="Calibri"/>
                <w:sz w:val="18"/>
                <w:szCs w:val="18"/>
              </w:rPr>
            </w:pPr>
            <w:r w:rsidRPr="00C441BB">
              <w:rPr>
                <w:rFonts w:cs="Calibri"/>
                <w:b/>
                <w:bCs/>
                <w:sz w:val="18"/>
                <w:szCs w:val="18"/>
              </w:rPr>
              <w:t>Income and Expenses</w:t>
            </w:r>
          </w:p>
        </w:tc>
      </w:tr>
      <w:tr w:rsidR="00C441BB" w:rsidRPr="00C441BB" w14:paraId="21A2692E" w14:textId="77777777" w:rsidTr="00AC6E38">
        <w:trPr>
          <w:gridAfter w:val="1"/>
          <w:wAfter w:w="148" w:type="dxa"/>
          <w:trHeight w:val="831"/>
        </w:trPr>
        <w:tc>
          <w:tcPr>
            <w:tcW w:w="1560" w:type="dxa"/>
            <w:tcBorders>
              <w:left w:val="single" w:sz="2" w:space="0" w:color="auto"/>
              <w:right w:val="single" w:sz="2" w:space="0" w:color="auto"/>
            </w:tcBorders>
          </w:tcPr>
          <w:p w14:paraId="0E8AE44E"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tcPr>
          <w:p w14:paraId="01652E00" w14:textId="49ECFA30" w:rsidR="00516149" w:rsidRPr="00C441BB" w:rsidRDefault="000F7396" w:rsidP="00DA5B5A">
            <w:pPr>
              <w:spacing w:before="60" w:after="60"/>
              <w:jc w:val="both"/>
              <w:rPr>
                <w:rFonts w:cs="Calibri"/>
                <w:sz w:val="18"/>
                <w:szCs w:val="18"/>
              </w:rPr>
            </w:pPr>
            <w:r w:rsidRPr="00C441BB">
              <w:rPr>
                <w:rFonts w:cs="Calibri"/>
                <w:sz w:val="18"/>
                <w:szCs w:val="18"/>
              </w:rPr>
              <w:t>The following table shows the income and expense</w:t>
            </w:r>
            <w:r w:rsidR="00BB1A8A" w:rsidRPr="00C441BB">
              <w:rPr>
                <w:rFonts w:cs="Calibri"/>
                <w:sz w:val="18"/>
                <w:szCs w:val="18"/>
              </w:rPr>
              <w:t>s</w:t>
            </w:r>
            <w:r w:rsidRPr="00C441BB">
              <w:rPr>
                <w:rFonts w:cs="Calibri"/>
                <w:sz w:val="18"/>
                <w:szCs w:val="18"/>
              </w:rPr>
              <w:t xml:space="preserve"> associated with the Heritage and Environment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for the year ended 30 June</w:t>
            </w:r>
            <w:r w:rsidR="008F739F" w:rsidRPr="00C441BB">
              <w:rPr>
                <w:rFonts w:cs="Calibri"/>
                <w:sz w:val="18"/>
                <w:szCs w:val="18"/>
              </w:rPr>
              <w:t xml:space="preserve"> </w:t>
            </w:r>
            <w:r w:rsidR="008A57CF" w:rsidRPr="00C441BB">
              <w:rPr>
                <w:rFonts w:cs="Calibri"/>
                <w:sz w:val="18"/>
                <w:szCs w:val="18"/>
              </w:rPr>
              <w:t>202</w:t>
            </w:r>
            <w:r w:rsidR="007D0487">
              <w:rPr>
                <w:rFonts w:cs="Calibri"/>
                <w:sz w:val="18"/>
                <w:szCs w:val="18"/>
              </w:rPr>
              <w:t>3</w:t>
            </w:r>
            <w:r w:rsidRPr="00C441BB">
              <w:rPr>
                <w:rFonts w:cs="Calibri"/>
                <w:sz w:val="18"/>
                <w:szCs w:val="18"/>
              </w:rPr>
              <w:t>.</w:t>
            </w:r>
            <w:r w:rsidR="00FA7C77">
              <w:rPr>
                <w:rFonts w:cs="Calibri"/>
                <w:sz w:val="18"/>
                <w:szCs w:val="18"/>
              </w:rPr>
              <w:t xml:space="preserve"> </w:t>
            </w:r>
            <w:r w:rsidRPr="00C441BB">
              <w:rPr>
                <w:rFonts w:cs="Calibri"/>
                <w:sz w:val="18"/>
                <w:szCs w:val="18"/>
              </w:rPr>
              <w:t>It also shows the income and expense</w:t>
            </w:r>
            <w:r w:rsidR="001D5872" w:rsidRPr="00C441BB">
              <w:rPr>
                <w:rFonts w:cs="Calibri"/>
                <w:sz w:val="18"/>
                <w:szCs w:val="18"/>
              </w:rPr>
              <w:t>s</w:t>
            </w:r>
            <w:r w:rsidRPr="00C441BB">
              <w:rPr>
                <w:rFonts w:cs="Calibri"/>
                <w:sz w:val="18"/>
                <w:szCs w:val="18"/>
              </w:rPr>
              <w:t xml:space="preserve"> relating to when the division</w:t>
            </w:r>
            <w:r w:rsidR="007F56D7" w:rsidRPr="00C441BB">
              <w:rPr>
                <w:rFonts w:cs="Calibri"/>
                <w:sz w:val="18"/>
                <w:szCs w:val="18"/>
              </w:rPr>
              <w:t xml:space="preserve"> belonged to ABC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ABC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 xml:space="preserve">’. Finally, the table shows </w:t>
            </w:r>
            <w:r w:rsidRPr="00C441BB">
              <w:rPr>
                <w:rFonts w:cs="Calibri"/>
                <w:sz w:val="18"/>
                <w:szCs w:val="18"/>
              </w:rPr>
              <w:t>the total income and expenses of the division for the whole financial year.</w:t>
            </w:r>
            <w:r w:rsidR="00FA7C77">
              <w:rPr>
                <w:rFonts w:cs="Calibri"/>
                <w:sz w:val="18"/>
                <w:szCs w:val="18"/>
              </w:rPr>
              <w:t xml:space="preserve"> </w:t>
            </w:r>
          </w:p>
        </w:tc>
      </w:tr>
      <w:tr w:rsidR="00C441BB" w:rsidRPr="00C441BB" w14:paraId="3EA1F219" w14:textId="77777777" w:rsidTr="00AC6E38">
        <w:trPr>
          <w:gridAfter w:val="1"/>
          <w:wAfter w:w="148" w:type="dxa"/>
          <w:trHeight w:val="1272"/>
        </w:trPr>
        <w:tc>
          <w:tcPr>
            <w:tcW w:w="1560" w:type="dxa"/>
            <w:tcBorders>
              <w:left w:val="single" w:sz="2" w:space="0" w:color="auto"/>
              <w:right w:val="single" w:sz="2" w:space="0" w:color="auto"/>
            </w:tcBorders>
            <w:vAlign w:val="bottom"/>
          </w:tcPr>
          <w:p w14:paraId="4F55F1D9" w14:textId="77777777" w:rsidR="002D20CA" w:rsidRPr="003329B4" w:rsidRDefault="002D20CA" w:rsidP="009D37DE">
            <w:pPr>
              <w:jc w:val="right"/>
              <w:rPr>
                <w:rFonts w:cs="Calibri"/>
                <w:color w:val="7030A0"/>
                <w:sz w:val="14"/>
                <w:szCs w:val="14"/>
              </w:rPr>
            </w:pPr>
          </w:p>
        </w:tc>
        <w:tc>
          <w:tcPr>
            <w:tcW w:w="3118" w:type="dxa"/>
            <w:gridSpan w:val="2"/>
            <w:tcBorders>
              <w:left w:val="single" w:sz="2" w:space="0" w:color="auto"/>
            </w:tcBorders>
            <w:shd w:val="clear" w:color="auto" w:fill="auto"/>
            <w:vAlign w:val="bottom"/>
          </w:tcPr>
          <w:p w14:paraId="2F2BE8D3" w14:textId="77777777" w:rsidR="002D20CA" w:rsidRPr="00C441BB" w:rsidRDefault="002D20CA" w:rsidP="009D37DE">
            <w:pPr>
              <w:pStyle w:val="TableText"/>
              <w:tabs>
                <w:tab w:val="left" w:pos="3306"/>
              </w:tabs>
              <w:jc w:val="right"/>
              <w:rPr>
                <w:rFonts w:cs="Calibri"/>
                <w:b/>
                <w:bCs/>
              </w:rPr>
            </w:pPr>
          </w:p>
        </w:tc>
        <w:tc>
          <w:tcPr>
            <w:tcW w:w="1985" w:type="dxa"/>
            <w:gridSpan w:val="2"/>
            <w:shd w:val="clear" w:color="auto" w:fill="auto"/>
            <w:vAlign w:val="bottom"/>
          </w:tcPr>
          <w:p w14:paraId="52E81E69" w14:textId="77777777" w:rsidR="002D20CA" w:rsidRPr="00C441BB" w:rsidRDefault="002D20CA" w:rsidP="009D37DE">
            <w:pPr>
              <w:pStyle w:val="TableText"/>
              <w:tabs>
                <w:tab w:val="left" w:pos="3306"/>
              </w:tabs>
              <w:jc w:val="right"/>
              <w:rPr>
                <w:rFonts w:cs="Calibri"/>
                <w:b/>
                <w:bCs/>
              </w:rPr>
            </w:pPr>
            <w:r w:rsidRPr="00C441BB">
              <w:rPr>
                <w:rFonts w:cs="Calibri"/>
                <w:b/>
                <w:bCs/>
              </w:rPr>
              <w:t xml:space="preserve">Amounts Relating to when the Function was held by ABC Directorate </w:t>
            </w:r>
          </w:p>
          <w:p w14:paraId="17DBB175" w14:textId="677B5318" w:rsidR="002D20CA" w:rsidRPr="00C441BB" w:rsidRDefault="002D20CA" w:rsidP="009D37DE">
            <w:pPr>
              <w:pStyle w:val="TableText"/>
              <w:tabs>
                <w:tab w:val="left" w:pos="3306"/>
              </w:tabs>
              <w:spacing w:before="0"/>
              <w:jc w:val="right"/>
              <w:rPr>
                <w:rFonts w:cs="Calibri"/>
                <w:b/>
                <w:bCs/>
              </w:rPr>
            </w:pPr>
            <w:r w:rsidRPr="00C441BB">
              <w:rPr>
                <w:rFonts w:cs="Calibri"/>
                <w:b/>
                <w:bCs/>
              </w:rPr>
              <w:t>July 202</w:t>
            </w:r>
            <w:r w:rsidR="007D0487">
              <w:rPr>
                <w:rFonts w:cs="Calibri"/>
                <w:b/>
                <w:bCs/>
              </w:rPr>
              <w:t>2</w:t>
            </w:r>
            <w:r w:rsidRPr="00C441BB">
              <w:rPr>
                <w:rFonts w:cs="Calibri"/>
                <w:b/>
                <w:bCs/>
              </w:rPr>
              <w:t xml:space="preserve"> to Jan 202</w:t>
            </w:r>
            <w:r w:rsidR="007D0487">
              <w:rPr>
                <w:rFonts w:cs="Calibri"/>
                <w:b/>
                <w:bCs/>
              </w:rPr>
              <w:t>3</w:t>
            </w:r>
          </w:p>
          <w:p w14:paraId="428FBC12" w14:textId="62338F32"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2126" w:type="dxa"/>
            <w:gridSpan w:val="2"/>
            <w:shd w:val="clear" w:color="auto" w:fill="auto"/>
            <w:vAlign w:val="bottom"/>
          </w:tcPr>
          <w:p w14:paraId="06E44F1D" w14:textId="77777777" w:rsidR="002D20CA" w:rsidRPr="00C441BB" w:rsidRDefault="002D20CA" w:rsidP="009D37DE">
            <w:pPr>
              <w:pStyle w:val="TableText"/>
              <w:tabs>
                <w:tab w:val="left" w:pos="3306"/>
              </w:tabs>
              <w:jc w:val="right"/>
              <w:rPr>
                <w:rFonts w:cs="Calibri"/>
                <w:b/>
                <w:bCs/>
              </w:rPr>
            </w:pPr>
            <w:r w:rsidRPr="00C441BB">
              <w:rPr>
                <w:rFonts w:cs="Calibri"/>
                <w:b/>
                <w:bCs/>
              </w:rPr>
              <w:t>Amounts Relating to when the Function was held by ‘</w:t>
            </w:r>
            <w:r w:rsidRPr="00C441BB">
              <w:rPr>
                <w:b/>
                <w:bCs/>
              </w:rPr>
              <w:t>Burley Griffin</w:t>
            </w:r>
            <w:r w:rsidRPr="00C441BB">
              <w:rPr>
                <w:rFonts w:cs="Calibri"/>
                <w:b/>
                <w:bCs/>
              </w:rPr>
              <w:t xml:space="preserve"> Agency’</w:t>
            </w:r>
          </w:p>
          <w:p w14:paraId="23D53328" w14:textId="46DFD59F" w:rsidR="002D20CA" w:rsidRPr="00C441BB" w:rsidRDefault="002D20CA" w:rsidP="009D37DE">
            <w:pPr>
              <w:pStyle w:val="TableText"/>
              <w:tabs>
                <w:tab w:val="left" w:pos="3306"/>
              </w:tabs>
              <w:spacing w:before="0"/>
              <w:jc w:val="right"/>
              <w:rPr>
                <w:rFonts w:cs="Calibri"/>
                <w:b/>
                <w:bCs/>
              </w:rPr>
            </w:pPr>
            <w:r w:rsidRPr="00C441BB">
              <w:rPr>
                <w:rFonts w:cs="Calibri"/>
                <w:b/>
                <w:bCs/>
              </w:rPr>
              <w:t>Jan 202</w:t>
            </w:r>
            <w:r w:rsidR="007D0487">
              <w:rPr>
                <w:rFonts w:cs="Calibri"/>
                <w:b/>
                <w:bCs/>
              </w:rPr>
              <w:t>3</w:t>
            </w:r>
            <w:r w:rsidRPr="00C441BB">
              <w:rPr>
                <w:rFonts w:cs="Calibri"/>
                <w:b/>
                <w:bCs/>
              </w:rPr>
              <w:t xml:space="preserve"> to June 202</w:t>
            </w:r>
            <w:r w:rsidR="007D0487">
              <w:rPr>
                <w:rFonts w:cs="Calibri"/>
                <w:b/>
                <w:bCs/>
              </w:rPr>
              <w:t>3</w:t>
            </w:r>
          </w:p>
          <w:p w14:paraId="1F2EDB14" w14:textId="4518381C"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1701" w:type="dxa"/>
            <w:gridSpan w:val="3"/>
            <w:vAlign w:val="bottom"/>
          </w:tcPr>
          <w:p w14:paraId="073F5065" w14:textId="77777777" w:rsidR="002D20CA" w:rsidRPr="00C441BB" w:rsidRDefault="002D20CA" w:rsidP="009D37DE">
            <w:pPr>
              <w:pStyle w:val="TableText"/>
              <w:tabs>
                <w:tab w:val="left" w:pos="3306"/>
              </w:tabs>
              <w:jc w:val="right"/>
              <w:rPr>
                <w:rFonts w:cs="Calibri"/>
                <w:b/>
                <w:bCs/>
              </w:rPr>
            </w:pPr>
            <w:r w:rsidRPr="00C441BB">
              <w:rPr>
                <w:rFonts w:cs="Calibri"/>
                <w:b/>
                <w:bCs/>
              </w:rPr>
              <w:t>Total</w:t>
            </w:r>
          </w:p>
          <w:p w14:paraId="5C201BED" w14:textId="3CE88BB4" w:rsidR="002D20CA" w:rsidRPr="00C441BB" w:rsidRDefault="002D20CA" w:rsidP="009D37DE">
            <w:pPr>
              <w:pStyle w:val="TableText"/>
              <w:tabs>
                <w:tab w:val="left" w:pos="3306"/>
              </w:tabs>
              <w:jc w:val="right"/>
              <w:rPr>
                <w:rFonts w:cs="Calibri"/>
                <w:b/>
                <w:bCs/>
              </w:rPr>
            </w:pPr>
            <w:r w:rsidRPr="00C441BB">
              <w:rPr>
                <w:rFonts w:cs="Calibri"/>
                <w:b/>
                <w:bCs/>
              </w:rPr>
              <w:t>202</w:t>
            </w:r>
            <w:r w:rsidR="007D0487">
              <w:rPr>
                <w:rFonts w:cs="Calibri"/>
                <w:b/>
                <w:bCs/>
              </w:rPr>
              <w:t>3</w:t>
            </w:r>
          </w:p>
          <w:p w14:paraId="0245653C" w14:textId="56DC3E78" w:rsidR="002D20CA" w:rsidRPr="00C441BB" w:rsidRDefault="002D20CA" w:rsidP="00BF3BC0">
            <w:pPr>
              <w:pStyle w:val="TableText"/>
              <w:tabs>
                <w:tab w:val="left" w:pos="3306"/>
              </w:tabs>
              <w:jc w:val="right"/>
              <w:rPr>
                <w:rFonts w:cs="Calibri"/>
                <w:b/>
                <w:bCs/>
              </w:rPr>
            </w:pPr>
            <w:r w:rsidRPr="00C441BB">
              <w:rPr>
                <w:rFonts w:cs="Calibri"/>
                <w:b/>
                <w:bCs/>
              </w:rPr>
              <w:t>$’000</w:t>
            </w:r>
          </w:p>
        </w:tc>
      </w:tr>
      <w:tr w:rsidR="00C441BB" w:rsidRPr="00C441BB" w14:paraId="5DD74CF8" w14:textId="77777777" w:rsidTr="00AC6E38">
        <w:trPr>
          <w:gridAfter w:val="1"/>
          <w:wAfter w:w="148" w:type="dxa"/>
        </w:trPr>
        <w:tc>
          <w:tcPr>
            <w:tcW w:w="1560" w:type="dxa"/>
            <w:tcBorders>
              <w:left w:val="single" w:sz="2" w:space="0" w:color="auto"/>
              <w:right w:val="single" w:sz="2" w:space="0" w:color="auto"/>
            </w:tcBorders>
          </w:tcPr>
          <w:p w14:paraId="7D7E71C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76DF71B9" w14:textId="5AF6160C" w:rsidR="0012172E" w:rsidRPr="00C441BB" w:rsidRDefault="0012172E" w:rsidP="00BF3BC0">
            <w:pPr>
              <w:pStyle w:val="TableText"/>
              <w:tabs>
                <w:tab w:val="left" w:pos="3306"/>
              </w:tabs>
              <w:rPr>
                <w:rFonts w:cs="Calibri"/>
                <w:b/>
                <w:bCs/>
                <w:strike/>
              </w:rPr>
            </w:pPr>
            <w:r w:rsidRPr="00C441BB">
              <w:rPr>
                <w:rFonts w:cs="Calibri"/>
                <w:b/>
                <w:bCs/>
              </w:rPr>
              <w:t xml:space="preserve">Income </w:t>
            </w:r>
          </w:p>
        </w:tc>
        <w:tc>
          <w:tcPr>
            <w:tcW w:w="1985" w:type="dxa"/>
            <w:gridSpan w:val="2"/>
            <w:shd w:val="clear" w:color="auto" w:fill="auto"/>
            <w:vAlign w:val="bottom"/>
          </w:tcPr>
          <w:p w14:paraId="751ABA6B" w14:textId="77777777" w:rsidR="0012172E" w:rsidRPr="00C441BB" w:rsidRDefault="0012172E" w:rsidP="00BF3BC0">
            <w:pPr>
              <w:pStyle w:val="TableText"/>
              <w:tabs>
                <w:tab w:val="left" w:pos="3306"/>
              </w:tabs>
              <w:jc w:val="right"/>
              <w:rPr>
                <w:rFonts w:cs="Calibri"/>
                <w:b/>
                <w:bCs/>
              </w:rPr>
            </w:pPr>
          </w:p>
        </w:tc>
        <w:tc>
          <w:tcPr>
            <w:tcW w:w="2126" w:type="dxa"/>
            <w:gridSpan w:val="2"/>
            <w:shd w:val="clear" w:color="auto" w:fill="auto"/>
            <w:vAlign w:val="bottom"/>
          </w:tcPr>
          <w:p w14:paraId="1D6E9096" w14:textId="77777777" w:rsidR="0012172E" w:rsidRPr="00C441BB" w:rsidRDefault="0012172E" w:rsidP="00BF3BC0">
            <w:pPr>
              <w:pStyle w:val="TableText"/>
              <w:tabs>
                <w:tab w:val="left" w:pos="3306"/>
              </w:tabs>
              <w:jc w:val="right"/>
              <w:rPr>
                <w:rFonts w:cs="Calibri"/>
                <w:b/>
                <w:bCs/>
              </w:rPr>
            </w:pPr>
          </w:p>
        </w:tc>
        <w:tc>
          <w:tcPr>
            <w:tcW w:w="1701" w:type="dxa"/>
            <w:gridSpan w:val="3"/>
          </w:tcPr>
          <w:p w14:paraId="42D9701E" w14:textId="77777777" w:rsidR="0012172E" w:rsidRPr="00C441BB" w:rsidRDefault="0012172E" w:rsidP="00BF3BC0">
            <w:pPr>
              <w:pStyle w:val="TableText"/>
              <w:tabs>
                <w:tab w:val="left" w:pos="3306"/>
              </w:tabs>
              <w:jc w:val="right"/>
              <w:rPr>
                <w:rFonts w:cs="Calibri"/>
                <w:b/>
                <w:bCs/>
              </w:rPr>
            </w:pPr>
          </w:p>
        </w:tc>
      </w:tr>
      <w:tr w:rsidR="00C441BB" w:rsidRPr="00C441BB" w14:paraId="72551457" w14:textId="77777777" w:rsidTr="00AC6E38">
        <w:trPr>
          <w:gridAfter w:val="1"/>
          <w:wAfter w:w="148" w:type="dxa"/>
        </w:trPr>
        <w:tc>
          <w:tcPr>
            <w:tcW w:w="1560" w:type="dxa"/>
            <w:tcBorders>
              <w:left w:val="single" w:sz="2" w:space="0" w:color="auto"/>
              <w:right w:val="single" w:sz="2" w:space="0" w:color="auto"/>
            </w:tcBorders>
          </w:tcPr>
          <w:p w14:paraId="27B0A87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3F3C16C1" w14:textId="67F8D6E8" w:rsidR="0012172E" w:rsidRPr="00C441BB" w:rsidRDefault="0012172E" w:rsidP="00BF3BC0">
            <w:pPr>
              <w:pStyle w:val="TableText"/>
              <w:tabs>
                <w:tab w:val="left" w:pos="3306"/>
              </w:tabs>
              <w:rPr>
                <w:rFonts w:cs="Calibri"/>
                <w:bCs/>
                <w:strike/>
              </w:rPr>
            </w:pPr>
            <w:r w:rsidRPr="00C441BB">
              <w:rPr>
                <w:rFonts w:cs="Calibri"/>
                <w:bCs/>
              </w:rPr>
              <w:t>Controlled Recurrent Payments</w:t>
            </w:r>
          </w:p>
        </w:tc>
        <w:tc>
          <w:tcPr>
            <w:tcW w:w="1985" w:type="dxa"/>
            <w:gridSpan w:val="2"/>
            <w:tcBorders>
              <w:bottom w:val="single" w:sz="2" w:space="0" w:color="auto"/>
            </w:tcBorders>
            <w:shd w:val="clear" w:color="auto" w:fill="auto"/>
            <w:vAlign w:val="bottom"/>
          </w:tcPr>
          <w:p w14:paraId="7F41BA0F" w14:textId="2435C996"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shd w:val="clear" w:color="auto" w:fill="auto"/>
            <w:vAlign w:val="bottom"/>
          </w:tcPr>
          <w:p w14:paraId="178BCA63" w14:textId="02B9927F"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7E66CB9" w14:textId="77777777" w:rsidR="0012172E" w:rsidRPr="00C441BB" w:rsidRDefault="0012172E" w:rsidP="00BF3BC0">
            <w:pPr>
              <w:pStyle w:val="TableText"/>
              <w:tabs>
                <w:tab w:val="left" w:pos="3306"/>
              </w:tabs>
              <w:jc w:val="right"/>
              <w:rPr>
                <w:rFonts w:cs="Calibri"/>
                <w:bCs/>
              </w:rPr>
            </w:pPr>
          </w:p>
        </w:tc>
      </w:tr>
      <w:tr w:rsidR="00C441BB" w:rsidRPr="00C441BB" w14:paraId="337AA56E" w14:textId="77777777" w:rsidTr="00AC6E38">
        <w:trPr>
          <w:gridAfter w:val="1"/>
          <w:wAfter w:w="148" w:type="dxa"/>
        </w:trPr>
        <w:tc>
          <w:tcPr>
            <w:tcW w:w="1560" w:type="dxa"/>
            <w:tcBorders>
              <w:left w:val="single" w:sz="2" w:space="0" w:color="auto"/>
              <w:right w:val="single" w:sz="2" w:space="0" w:color="auto"/>
            </w:tcBorders>
          </w:tcPr>
          <w:p w14:paraId="44FA3BF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4EDBAEBA" w14:textId="1FE5C92E" w:rsidR="0012172E" w:rsidRPr="00C441BB" w:rsidRDefault="0012172E" w:rsidP="00BF3BC0">
            <w:pPr>
              <w:pStyle w:val="TableText"/>
              <w:tabs>
                <w:tab w:val="left" w:pos="3306"/>
              </w:tabs>
              <w:rPr>
                <w:rFonts w:cs="Calibri"/>
                <w:b/>
                <w:bCs/>
              </w:rPr>
            </w:pPr>
            <w:r w:rsidRPr="00C441BB">
              <w:rPr>
                <w:rFonts w:cs="Calibri"/>
                <w:b/>
                <w:bCs/>
              </w:rPr>
              <w:t xml:space="preserve">Total Income </w:t>
            </w:r>
          </w:p>
        </w:tc>
        <w:tc>
          <w:tcPr>
            <w:tcW w:w="1985" w:type="dxa"/>
            <w:gridSpan w:val="2"/>
            <w:tcBorders>
              <w:top w:val="single" w:sz="2" w:space="0" w:color="auto"/>
              <w:bottom w:val="double" w:sz="4" w:space="0" w:color="auto"/>
            </w:tcBorders>
            <w:shd w:val="clear" w:color="auto" w:fill="auto"/>
            <w:vAlign w:val="bottom"/>
          </w:tcPr>
          <w:p w14:paraId="5CCAE54B" w14:textId="7C42D2B5"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shd w:val="clear" w:color="auto" w:fill="auto"/>
            <w:vAlign w:val="bottom"/>
          </w:tcPr>
          <w:p w14:paraId="6ECB5246" w14:textId="4CA8A15A"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704E1EAE" w14:textId="77777777" w:rsidR="0012172E" w:rsidRPr="00C441BB" w:rsidRDefault="0012172E" w:rsidP="00BF3BC0">
            <w:pPr>
              <w:pStyle w:val="TableText"/>
              <w:tabs>
                <w:tab w:val="left" w:pos="3306"/>
              </w:tabs>
              <w:jc w:val="right"/>
              <w:rPr>
                <w:rFonts w:cs="Calibri"/>
                <w:b/>
                <w:bCs/>
              </w:rPr>
            </w:pPr>
          </w:p>
        </w:tc>
      </w:tr>
      <w:tr w:rsidR="00C441BB" w:rsidRPr="00C441BB" w14:paraId="00503B83" w14:textId="77777777" w:rsidTr="00AC6E38">
        <w:trPr>
          <w:gridAfter w:val="1"/>
          <w:wAfter w:w="148" w:type="dxa"/>
        </w:trPr>
        <w:tc>
          <w:tcPr>
            <w:tcW w:w="1560" w:type="dxa"/>
            <w:tcBorders>
              <w:left w:val="single" w:sz="2" w:space="0" w:color="auto"/>
              <w:right w:val="single" w:sz="2" w:space="0" w:color="auto"/>
            </w:tcBorders>
          </w:tcPr>
          <w:p w14:paraId="03292F5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5E0A409F" w14:textId="77777777" w:rsidR="0012172E" w:rsidRPr="00C441BB" w:rsidRDefault="0012172E" w:rsidP="00BF3BC0">
            <w:pPr>
              <w:pStyle w:val="TableText"/>
              <w:tabs>
                <w:tab w:val="left" w:pos="3306"/>
              </w:tabs>
              <w:rPr>
                <w:rFonts w:cs="Calibri"/>
                <w:b/>
                <w:bCs/>
              </w:rPr>
            </w:pPr>
            <w:r w:rsidRPr="00C441BB">
              <w:rPr>
                <w:rFonts w:cs="Calibri"/>
                <w:b/>
                <w:bCs/>
              </w:rPr>
              <w:t>Expenses</w:t>
            </w:r>
          </w:p>
        </w:tc>
        <w:tc>
          <w:tcPr>
            <w:tcW w:w="1985" w:type="dxa"/>
            <w:gridSpan w:val="2"/>
            <w:tcBorders>
              <w:top w:val="double" w:sz="4" w:space="0" w:color="auto"/>
            </w:tcBorders>
            <w:shd w:val="clear" w:color="auto" w:fill="auto"/>
            <w:vAlign w:val="bottom"/>
          </w:tcPr>
          <w:p w14:paraId="4A5E050E" w14:textId="77777777" w:rsidR="0012172E" w:rsidRPr="00C441BB" w:rsidRDefault="0012172E" w:rsidP="00BF3BC0">
            <w:pPr>
              <w:pStyle w:val="TableText"/>
              <w:tabs>
                <w:tab w:val="left" w:pos="3306"/>
              </w:tabs>
              <w:jc w:val="right"/>
              <w:rPr>
                <w:rFonts w:cs="Calibri"/>
                <w:b/>
                <w:bCs/>
              </w:rPr>
            </w:pPr>
          </w:p>
        </w:tc>
        <w:tc>
          <w:tcPr>
            <w:tcW w:w="2126" w:type="dxa"/>
            <w:gridSpan w:val="2"/>
            <w:tcBorders>
              <w:top w:val="double" w:sz="4" w:space="0" w:color="auto"/>
            </w:tcBorders>
            <w:shd w:val="clear" w:color="auto" w:fill="auto"/>
            <w:vAlign w:val="bottom"/>
          </w:tcPr>
          <w:p w14:paraId="13F4CD25" w14:textId="77777777" w:rsidR="0012172E" w:rsidRPr="00C441BB" w:rsidRDefault="0012172E" w:rsidP="00BF3BC0">
            <w:pPr>
              <w:pStyle w:val="TableText"/>
              <w:tabs>
                <w:tab w:val="left" w:pos="3306"/>
              </w:tabs>
              <w:jc w:val="right"/>
              <w:rPr>
                <w:rFonts w:cs="Calibri"/>
                <w:b/>
                <w:bCs/>
              </w:rPr>
            </w:pPr>
          </w:p>
        </w:tc>
        <w:tc>
          <w:tcPr>
            <w:tcW w:w="1701" w:type="dxa"/>
            <w:gridSpan w:val="3"/>
            <w:tcBorders>
              <w:top w:val="double" w:sz="4" w:space="0" w:color="auto"/>
            </w:tcBorders>
          </w:tcPr>
          <w:p w14:paraId="0017EF35" w14:textId="77777777" w:rsidR="0012172E" w:rsidRPr="00C441BB" w:rsidRDefault="0012172E" w:rsidP="00BF3BC0">
            <w:pPr>
              <w:pStyle w:val="TableText"/>
              <w:tabs>
                <w:tab w:val="left" w:pos="3306"/>
              </w:tabs>
              <w:jc w:val="right"/>
              <w:rPr>
                <w:rFonts w:cs="Calibri"/>
                <w:b/>
                <w:bCs/>
              </w:rPr>
            </w:pPr>
          </w:p>
        </w:tc>
      </w:tr>
      <w:tr w:rsidR="00C441BB" w:rsidRPr="00C441BB" w14:paraId="7E8D8489" w14:textId="77777777" w:rsidTr="00AC6E38">
        <w:trPr>
          <w:gridAfter w:val="1"/>
          <w:wAfter w:w="148" w:type="dxa"/>
          <w:trHeight w:val="199"/>
        </w:trPr>
        <w:tc>
          <w:tcPr>
            <w:tcW w:w="1560" w:type="dxa"/>
            <w:tcBorders>
              <w:left w:val="single" w:sz="2" w:space="0" w:color="auto"/>
              <w:right w:val="single" w:sz="2" w:space="0" w:color="auto"/>
            </w:tcBorders>
          </w:tcPr>
          <w:p w14:paraId="2107C02C"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tcPr>
          <w:p w14:paraId="41641893" w14:textId="77777777" w:rsidR="0012172E" w:rsidRPr="00C441BB" w:rsidRDefault="0012172E" w:rsidP="00BF3BC0">
            <w:pPr>
              <w:pStyle w:val="TableText"/>
              <w:tabs>
                <w:tab w:val="left" w:pos="3306"/>
              </w:tabs>
              <w:rPr>
                <w:rFonts w:cs="Calibri"/>
                <w:bCs/>
              </w:rPr>
            </w:pPr>
            <w:r w:rsidRPr="00C441BB">
              <w:rPr>
                <w:rFonts w:cs="Calibri"/>
                <w:bCs/>
              </w:rPr>
              <w:t>Employee Expenses</w:t>
            </w:r>
          </w:p>
        </w:tc>
        <w:tc>
          <w:tcPr>
            <w:tcW w:w="1985" w:type="dxa"/>
            <w:gridSpan w:val="2"/>
            <w:shd w:val="clear" w:color="auto" w:fill="auto"/>
          </w:tcPr>
          <w:p w14:paraId="380F974B" w14:textId="1A64D2EB" w:rsidR="0012172E" w:rsidRPr="00C441BB" w:rsidRDefault="0012172E" w:rsidP="00BF3BC0">
            <w:pPr>
              <w:pStyle w:val="TableText"/>
              <w:tabs>
                <w:tab w:val="left" w:pos="3306"/>
              </w:tabs>
              <w:rPr>
                <w:rFonts w:cs="Calibri"/>
                <w:bCs/>
              </w:rPr>
            </w:pPr>
          </w:p>
        </w:tc>
        <w:tc>
          <w:tcPr>
            <w:tcW w:w="2126" w:type="dxa"/>
            <w:gridSpan w:val="2"/>
            <w:shd w:val="clear" w:color="auto" w:fill="auto"/>
          </w:tcPr>
          <w:p w14:paraId="492BF48F" w14:textId="7FA93BB7" w:rsidR="0012172E" w:rsidRPr="00C441BB" w:rsidRDefault="0012172E" w:rsidP="00BF3BC0">
            <w:pPr>
              <w:pStyle w:val="TableText"/>
              <w:tabs>
                <w:tab w:val="left" w:pos="3306"/>
              </w:tabs>
              <w:rPr>
                <w:rFonts w:cs="Calibri"/>
                <w:bCs/>
              </w:rPr>
            </w:pPr>
          </w:p>
        </w:tc>
        <w:tc>
          <w:tcPr>
            <w:tcW w:w="1701" w:type="dxa"/>
            <w:gridSpan w:val="3"/>
          </w:tcPr>
          <w:p w14:paraId="11E4CB1C" w14:textId="77777777" w:rsidR="0012172E" w:rsidRPr="00C441BB" w:rsidRDefault="0012172E" w:rsidP="00BF3BC0">
            <w:pPr>
              <w:pStyle w:val="TableText"/>
              <w:tabs>
                <w:tab w:val="left" w:pos="3306"/>
              </w:tabs>
              <w:rPr>
                <w:rFonts w:cs="Calibri"/>
                <w:bCs/>
              </w:rPr>
            </w:pPr>
          </w:p>
        </w:tc>
      </w:tr>
      <w:tr w:rsidR="00C441BB" w:rsidRPr="00C441BB" w14:paraId="05310AF6" w14:textId="77777777" w:rsidTr="00AC6E38">
        <w:trPr>
          <w:gridAfter w:val="1"/>
          <w:wAfter w:w="148" w:type="dxa"/>
        </w:trPr>
        <w:tc>
          <w:tcPr>
            <w:tcW w:w="1560" w:type="dxa"/>
            <w:tcBorders>
              <w:left w:val="single" w:sz="2" w:space="0" w:color="auto"/>
              <w:right w:val="single" w:sz="2" w:space="0" w:color="auto"/>
            </w:tcBorders>
          </w:tcPr>
          <w:p w14:paraId="16227CB9"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44178FE9" w14:textId="77777777" w:rsidR="0012172E" w:rsidRPr="00D32240" w:rsidRDefault="0012172E" w:rsidP="00BF3BC0">
            <w:pPr>
              <w:pStyle w:val="TableText"/>
              <w:tabs>
                <w:tab w:val="left" w:pos="3306"/>
              </w:tabs>
              <w:rPr>
                <w:rFonts w:cs="Calibri"/>
                <w:bCs/>
                <w:strike/>
              </w:rPr>
            </w:pPr>
            <w:r w:rsidRPr="00055382">
              <w:rPr>
                <w:rFonts w:cs="Calibri"/>
                <w:bCs/>
                <w:strike/>
                <w:color w:val="FF0000"/>
              </w:rPr>
              <w:t>Superannuation Expenses</w:t>
            </w:r>
          </w:p>
        </w:tc>
        <w:tc>
          <w:tcPr>
            <w:tcW w:w="1985" w:type="dxa"/>
            <w:gridSpan w:val="2"/>
            <w:shd w:val="clear" w:color="auto" w:fill="auto"/>
            <w:vAlign w:val="bottom"/>
          </w:tcPr>
          <w:p w14:paraId="56F8BB27" w14:textId="45AF6A13" w:rsidR="0012172E" w:rsidRPr="00C441BB" w:rsidRDefault="0012172E" w:rsidP="00BF3BC0">
            <w:pPr>
              <w:pStyle w:val="TableText"/>
              <w:tabs>
                <w:tab w:val="left" w:pos="3306"/>
              </w:tabs>
              <w:jc w:val="right"/>
              <w:rPr>
                <w:rFonts w:cs="Calibri"/>
                <w:bCs/>
              </w:rPr>
            </w:pPr>
          </w:p>
        </w:tc>
        <w:tc>
          <w:tcPr>
            <w:tcW w:w="2126" w:type="dxa"/>
            <w:gridSpan w:val="2"/>
            <w:shd w:val="clear" w:color="auto" w:fill="auto"/>
            <w:vAlign w:val="bottom"/>
          </w:tcPr>
          <w:p w14:paraId="1F30BB62" w14:textId="719D96CF" w:rsidR="0012172E" w:rsidRPr="00C441BB" w:rsidRDefault="0012172E" w:rsidP="00BF3BC0">
            <w:pPr>
              <w:pStyle w:val="TableText"/>
              <w:tabs>
                <w:tab w:val="left" w:pos="3306"/>
              </w:tabs>
              <w:jc w:val="right"/>
              <w:rPr>
                <w:rFonts w:cs="Calibri"/>
                <w:bCs/>
              </w:rPr>
            </w:pPr>
          </w:p>
        </w:tc>
        <w:tc>
          <w:tcPr>
            <w:tcW w:w="1701" w:type="dxa"/>
            <w:gridSpan w:val="3"/>
          </w:tcPr>
          <w:p w14:paraId="5E6FFE79" w14:textId="77777777" w:rsidR="0012172E" w:rsidRPr="00C441BB" w:rsidRDefault="0012172E" w:rsidP="00BF3BC0">
            <w:pPr>
              <w:pStyle w:val="TableText"/>
              <w:tabs>
                <w:tab w:val="left" w:pos="3306"/>
              </w:tabs>
              <w:jc w:val="right"/>
              <w:rPr>
                <w:rFonts w:cs="Calibri"/>
                <w:bCs/>
              </w:rPr>
            </w:pPr>
          </w:p>
        </w:tc>
      </w:tr>
      <w:tr w:rsidR="00C441BB" w:rsidRPr="00C441BB" w14:paraId="4AEA8F63" w14:textId="77777777" w:rsidTr="00AC6E38">
        <w:trPr>
          <w:gridAfter w:val="1"/>
          <w:wAfter w:w="148" w:type="dxa"/>
        </w:trPr>
        <w:tc>
          <w:tcPr>
            <w:tcW w:w="1560" w:type="dxa"/>
            <w:tcBorders>
              <w:left w:val="single" w:sz="2" w:space="0" w:color="auto"/>
              <w:right w:val="single" w:sz="2" w:space="0" w:color="auto"/>
            </w:tcBorders>
          </w:tcPr>
          <w:p w14:paraId="457E380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1637B138" w14:textId="77777777" w:rsidR="0012172E" w:rsidRPr="00C441BB" w:rsidRDefault="0012172E" w:rsidP="00BF3BC0">
            <w:pPr>
              <w:pStyle w:val="TableText"/>
              <w:tabs>
                <w:tab w:val="left" w:pos="3306"/>
              </w:tabs>
              <w:rPr>
                <w:rFonts w:cs="Calibri"/>
                <w:bCs/>
              </w:rPr>
            </w:pPr>
            <w:r w:rsidRPr="00C441BB">
              <w:rPr>
                <w:rFonts w:cs="Calibri"/>
                <w:bCs/>
              </w:rPr>
              <w:t>Supplies and Services</w:t>
            </w:r>
          </w:p>
        </w:tc>
        <w:tc>
          <w:tcPr>
            <w:tcW w:w="1985" w:type="dxa"/>
            <w:gridSpan w:val="2"/>
            <w:shd w:val="clear" w:color="auto" w:fill="auto"/>
            <w:vAlign w:val="bottom"/>
          </w:tcPr>
          <w:p w14:paraId="71967AEC" w14:textId="06ACC9F9" w:rsidR="0012172E" w:rsidRPr="00C441BB" w:rsidRDefault="0012172E" w:rsidP="00BF3BC0">
            <w:pPr>
              <w:pStyle w:val="TableText"/>
              <w:tabs>
                <w:tab w:val="left" w:pos="3306"/>
              </w:tabs>
              <w:jc w:val="right"/>
              <w:rPr>
                <w:rFonts w:cs="Calibri"/>
                <w:bCs/>
              </w:rPr>
            </w:pPr>
          </w:p>
        </w:tc>
        <w:tc>
          <w:tcPr>
            <w:tcW w:w="2126" w:type="dxa"/>
            <w:gridSpan w:val="2"/>
            <w:shd w:val="clear" w:color="auto" w:fill="auto"/>
            <w:vAlign w:val="bottom"/>
          </w:tcPr>
          <w:p w14:paraId="34F697D0" w14:textId="1489D493" w:rsidR="0012172E" w:rsidRPr="00C441BB" w:rsidRDefault="0012172E" w:rsidP="00BF3BC0">
            <w:pPr>
              <w:pStyle w:val="TableText"/>
              <w:tabs>
                <w:tab w:val="left" w:pos="3306"/>
              </w:tabs>
              <w:jc w:val="right"/>
              <w:rPr>
                <w:rFonts w:cs="Calibri"/>
                <w:bCs/>
              </w:rPr>
            </w:pPr>
          </w:p>
        </w:tc>
        <w:tc>
          <w:tcPr>
            <w:tcW w:w="1701" w:type="dxa"/>
            <w:gridSpan w:val="3"/>
          </w:tcPr>
          <w:p w14:paraId="697E4E9A" w14:textId="77777777" w:rsidR="0012172E" w:rsidRPr="00C441BB" w:rsidRDefault="0012172E" w:rsidP="00BF3BC0">
            <w:pPr>
              <w:pStyle w:val="TableText"/>
              <w:tabs>
                <w:tab w:val="left" w:pos="3306"/>
              </w:tabs>
              <w:jc w:val="right"/>
              <w:rPr>
                <w:rFonts w:cs="Calibri"/>
                <w:bCs/>
              </w:rPr>
            </w:pPr>
          </w:p>
        </w:tc>
      </w:tr>
      <w:tr w:rsidR="00C441BB" w:rsidRPr="00C441BB" w14:paraId="42488C62" w14:textId="77777777" w:rsidTr="00AC6E38">
        <w:trPr>
          <w:gridAfter w:val="1"/>
          <w:wAfter w:w="148" w:type="dxa"/>
        </w:trPr>
        <w:tc>
          <w:tcPr>
            <w:tcW w:w="1560" w:type="dxa"/>
            <w:tcBorders>
              <w:left w:val="single" w:sz="2" w:space="0" w:color="auto"/>
              <w:right w:val="single" w:sz="2" w:space="0" w:color="auto"/>
            </w:tcBorders>
          </w:tcPr>
          <w:p w14:paraId="238BB3E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4180ED06" w14:textId="77777777" w:rsidR="0012172E" w:rsidRPr="00C441BB" w:rsidRDefault="0012172E" w:rsidP="00BF3BC0">
            <w:pPr>
              <w:pStyle w:val="TableText"/>
              <w:tabs>
                <w:tab w:val="left" w:pos="3306"/>
              </w:tabs>
              <w:rPr>
                <w:rFonts w:cs="Calibri"/>
                <w:bCs/>
              </w:rPr>
            </w:pPr>
            <w:r w:rsidRPr="00C441BB">
              <w:rPr>
                <w:rFonts w:cs="Calibri"/>
                <w:bCs/>
              </w:rPr>
              <w:t>Depreciation and Amortisation</w:t>
            </w:r>
          </w:p>
        </w:tc>
        <w:tc>
          <w:tcPr>
            <w:tcW w:w="1985" w:type="dxa"/>
            <w:gridSpan w:val="2"/>
            <w:shd w:val="clear" w:color="auto" w:fill="auto"/>
            <w:vAlign w:val="bottom"/>
          </w:tcPr>
          <w:p w14:paraId="0A11C5B1" w14:textId="343E1C01" w:rsidR="0012172E" w:rsidRPr="00C441BB" w:rsidRDefault="0012172E" w:rsidP="00BF3BC0">
            <w:pPr>
              <w:pStyle w:val="TableText"/>
              <w:tabs>
                <w:tab w:val="left" w:pos="3306"/>
              </w:tabs>
              <w:jc w:val="right"/>
              <w:rPr>
                <w:rFonts w:cs="Calibri"/>
                <w:bCs/>
              </w:rPr>
            </w:pPr>
          </w:p>
        </w:tc>
        <w:tc>
          <w:tcPr>
            <w:tcW w:w="2126" w:type="dxa"/>
            <w:gridSpan w:val="2"/>
            <w:shd w:val="clear" w:color="auto" w:fill="auto"/>
            <w:vAlign w:val="bottom"/>
          </w:tcPr>
          <w:p w14:paraId="66D9C7DA" w14:textId="2BF6C05B" w:rsidR="0012172E" w:rsidRPr="00C441BB" w:rsidRDefault="0012172E" w:rsidP="00BF3BC0">
            <w:pPr>
              <w:pStyle w:val="TableText"/>
              <w:tabs>
                <w:tab w:val="left" w:pos="3306"/>
              </w:tabs>
              <w:jc w:val="right"/>
              <w:rPr>
                <w:rFonts w:cs="Calibri"/>
                <w:bCs/>
              </w:rPr>
            </w:pPr>
          </w:p>
        </w:tc>
        <w:tc>
          <w:tcPr>
            <w:tcW w:w="1701" w:type="dxa"/>
            <w:gridSpan w:val="3"/>
          </w:tcPr>
          <w:p w14:paraId="13ED7343" w14:textId="77777777" w:rsidR="0012172E" w:rsidRPr="00C441BB" w:rsidRDefault="0012172E" w:rsidP="00BF3BC0">
            <w:pPr>
              <w:pStyle w:val="TableText"/>
              <w:tabs>
                <w:tab w:val="left" w:pos="3306"/>
              </w:tabs>
              <w:jc w:val="right"/>
              <w:rPr>
                <w:rFonts w:cs="Calibri"/>
                <w:bCs/>
              </w:rPr>
            </w:pPr>
          </w:p>
        </w:tc>
      </w:tr>
      <w:tr w:rsidR="00C441BB" w:rsidRPr="00C441BB" w14:paraId="42233176" w14:textId="77777777" w:rsidTr="00AC6E38">
        <w:trPr>
          <w:gridAfter w:val="1"/>
          <w:wAfter w:w="148" w:type="dxa"/>
        </w:trPr>
        <w:tc>
          <w:tcPr>
            <w:tcW w:w="1560" w:type="dxa"/>
            <w:tcBorders>
              <w:left w:val="single" w:sz="2" w:space="0" w:color="auto"/>
              <w:right w:val="single" w:sz="2" w:space="0" w:color="auto"/>
            </w:tcBorders>
          </w:tcPr>
          <w:p w14:paraId="743E719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1A981CC6" w14:textId="77777777" w:rsidR="0012172E" w:rsidRPr="00C441BB" w:rsidRDefault="0012172E" w:rsidP="00BF3BC0">
            <w:pPr>
              <w:pStyle w:val="TableText"/>
              <w:tabs>
                <w:tab w:val="left" w:pos="3306"/>
              </w:tabs>
              <w:rPr>
                <w:rFonts w:cs="Calibri"/>
                <w:bCs/>
              </w:rPr>
            </w:pPr>
            <w:r w:rsidRPr="00C441BB">
              <w:rPr>
                <w:rFonts w:cs="Calibri"/>
                <w:bCs/>
              </w:rPr>
              <w:t>Grants and Purchased Services</w:t>
            </w:r>
          </w:p>
        </w:tc>
        <w:tc>
          <w:tcPr>
            <w:tcW w:w="1985" w:type="dxa"/>
            <w:gridSpan w:val="2"/>
            <w:tcBorders>
              <w:bottom w:val="single" w:sz="2" w:space="0" w:color="auto"/>
            </w:tcBorders>
            <w:shd w:val="clear" w:color="auto" w:fill="auto"/>
            <w:vAlign w:val="bottom"/>
          </w:tcPr>
          <w:p w14:paraId="5894A1E2" w14:textId="4CAC9314"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shd w:val="clear" w:color="auto" w:fill="auto"/>
            <w:vAlign w:val="bottom"/>
          </w:tcPr>
          <w:p w14:paraId="59133FA7" w14:textId="20829576"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2EA1691" w14:textId="77777777" w:rsidR="0012172E" w:rsidRPr="00C441BB" w:rsidRDefault="0012172E" w:rsidP="00BF3BC0">
            <w:pPr>
              <w:pStyle w:val="TableText"/>
              <w:tabs>
                <w:tab w:val="left" w:pos="3306"/>
              </w:tabs>
              <w:jc w:val="right"/>
              <w:rPr>
                <w:rFonts w:cs="Calibri"/>
                <w:bCs/>
              </w:rPr>
            </w:pPr>
          </w:p>
        </w:tc>
      </w:tr>
      <w:tr w:rsidR="00C441BB" w:rsidRPr="00C441BB" w14:paraId="48BE2EF8" w14:textId="77777777" w:rsidTr="00AC6E38">
        <w:trPr>
          <w:gridAfter w:val="1"/>
          <w:wAfter w:w="148" w:type="dxa"/>
        </w:trPr>
        <w:tc>
          <w:tcPr>
            <w:tcW w:w="1560" w:type="dxa"/>
            <w:tcBorders>
              <w:left w:val="single" w:sz="2" w:space="0" w:color="auto"/>
              <w:right w:val="single" w:sz="2" w:space="0" w:color="auto"/>
            </w:tcBorders>
          </w:tcPr>
          <w:p w14:paraId="5B2D594D"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75C7CC37" w14:textId="77777777" w:rsidR="0012172E" w:rsidRPr="00C441BB" w:rsidRDefault="0012172E" w:rsidP="00BF3BC0">
            <w:pPr>
              <w:pStyle w:val="TableText"/>
              <w:tabs>
                <w:tab w:val="left" w:pos="3306"/>
              </w:tabs>
              <w:rPr>
                <w:rFonts w:cs="Calibri"/>
                <w:b/>
                <w:bCs/>
              </w:rPr>
            </w:pPr>
            <w:r w:rsidRPr="00C441BB">
              <w:rPr>
                <w:rFonts w:cs="Calibri"/>
                <w:b/>
                <w:bCs/>
              </w:rPr>
              <w:t>Total Expenses</w:t>
            </w:r>
          </w:p>
        </w:tc>
        <w:tc>
          <w:tcPr>
            <w:tcW w:w="1985" w:type="dxa"/>
            <w:gridSpan w:val="2"/>
            <w:tcBorders>
              <w:top w:val="single" w:sz="2" w:space="0" w:color="auto"/>
              <w:bottom w:val="double" w:sz="4" w:space="0" w:color="auto"/>
            </w:tcBorders>
            <w:shd w:val="clear" w:color="auto" w:fill="auto"/>
            <w:vAlign w:val="bottom"/>
          </w:tcPr>
          <w:p w14:paraId="0CF253BE" w14:textId="324A56E7"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shd w:val="clear" w:color="auto" w:fill="auto"/>
            <w:vAlign w:val="bottom"/>
          </w:tcPr>
          <w:p w14:paraId="478359F1" w14:textId="12AA8203"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29AF9D4E" w14:textId="77777777" w:rsidR="0012172E" w:rsidRPr="00C441BB" w:rsidRDefault="0012172E" w:rsidP="00BF3BC0">
            <w:pPr>
              <w:pStyle w:val="TableText"/>
              <w:tabs>
                <w:tab w:val="left" w:pos="3306"/>
              </w:tabs>
              <w:jc w:val="right"/>
              <w:rPr>
                <w:rFonts w:cs="Calibri"/>
                <w:b/>
                <w:bCs/>
              </w:rPr>
            </w:pPr>
          </w:p>
        </w:tc>
      </w:tr>
      <w:tr w:rsidR="00C441BB" w:rsidRPr="00C441BB" w14:paraId="169CBC76" w14:textId="77777777" w:rsidTr="00AC6E38">
        <w:trPr>
          <w:gridAfter w:val="1"/>
          <w:wAfter w:w="148" w:type="dxa"/>
          <w:trHeight w:hRule="exact" w:val="297"/>
        </w:trPr>
        <w:tc>
          <w:tcPr>
            <w:tcW w:w="1560" w:type="dxa"/>
            <w:tcBorders>
              <w:left w:val="single" w:sz="2" w:space="0" w:color="auto"/>
              <w:right w:val="single" w:sz="2" w:space="0" w:color="auto"/>
            </w:tcBorders>
          </w:tcPr>
          <w:p w14:paraId="431CCE8A" w14:textId="77777777" w:rsidR="00BF3BC0" w:rsidRPr="003329B4" w:rsidRDefault="00BF3BC0" w:rsidP="00BF3BC0">
            <w:pPr>
              <w:rPr>
                <w:color w:val="7030A0"/>
                <w:sz w:val="14"/>
                <w:szCs w:val="14"/>
              </w:rPr>
            </w:pPr>
          </w:p>
        </w:tc>
        <w:tc>
          <w:tcPr>
            <w:tcW w:w="8930" w:type="dxa"/>
            <w:gridSpan w:val="9"/>
            <w:tcBorders>
              <w:left w:val="single" w:sz="2" w:space="0" w:color="auto"/>
            </w:tcBorders>
            <w:shd w:val="clear" w:color="auto" w:fill="auto"/>
            <w:vAlign w:val="bottom"/>
          </w:tcPr>
          <w:p w14:paraId="432C53EE" w14:textId="77777777" w:rsidR="00BF3BC0" w:rsidRPr="00C441BB" w:rsidRDefault="00BF3BC0" w:rsidP="00BF3BC0">
            <w:pPr>
              <w:pStyle w:val="TableText"/>
              <w:tabs>
                <w:tab w:val="left" w:pos="3306"/>
              </w:tabs>
              <w:jc w:val="right"/>
              <w:rPr>
                <w:rFonts w:cs="Calibri"/>
                <w:b/>
                <w:bCs/>
              </w:rPr>
            </w:pPr>
          </w:p>
        </w:tc>
      </w:tr>
      <w:tr w:rsidR="00C441BB" w:rsidRPr="00C441BB" w14:paraId="6CCB7A89" w14:textId="77777777" w:rsidTr="00AC6E38">
        <w:trPr>
          <w:gridAfter w:val="1"/>
          <w:wAfter w:w="148" w:type="dxa"/>
        </w:trPr>
        <w:tc>
          <w:tcPr>
            <w:tcW w:w="1560" w:type="dxa"/>
            <w:tcBorders>
              <w:left w:val="single" w:sz="2" w:space="0" w:color="auto"/>
              <w:right w:val="single" w:sz="2" w:space="0" w:color="auto"/>
            </w:tcBorders>
            <w:vAlign w:val="center"/>
          </w:tcPr>
          <w:p w14:paraId="15F6BD08" w14:textId="77777777" w:rsidR="00BF3BC0" w:rsidRPr="003329B4" w:rsidRDefault="00BF3BC0" w:rsidP="00BF3BC0">
            <w:pPr>
              <w:rPr>
                <w:rFonts w:cs="Calibri"/>
                <w:color w:val="7030A0"/>
                <w:sz w:val="14"/>
                <w:szCs w:val="14"/>
              </w:rPr>
            </w:pPr>
          </w:p>
        </w:tc>
        <w:tc>
          <w:tcPr>
            <w:tcW w:w="8930" w:type="dxa"/>
            <w:gridSpan w:val="9"/>
            <w:tcBorders>
              <w:left w:val="single" w:sz="2" w:space="0" w:color="auto"/>
            </w:tcBorders>
          </w:tcPr>
          <w:p w14:paraId="35BE9E4B" w14:textId="77777777" w:rsidR="00BF3BC0" w:rsidRPr="00C441BB" w:rsidRDefault="00BF3BC0" w:rsidP="00AC6E38">
            <w:pPr>
              <w:pStyle w:val="TableText"/>
              <w:spacing w:before="0" w:after="240"/>
              <w:rPr>
                <w:rFonts w:cs="Calibri"/>
              </w:rPr>
            </w:pPr>
            <w:r w:rsidRPr="00C441BB">
              <w:rPr>
                <w:rFonts w:cs="Calibri"/>
              </w:rPr>
              <w:t>Details of the Assets and Liabilities transferred are presented below.</w:t>
            </w:r>
          </w:p>
        </w:tc>
      </w:tr>
      <w:tr w:rsidR="00BF3BC0" w:rsidRPr="00CF7E1B" w14:paraId="4D009A24" w14:textId="77777777" w:rsidTr="00AC6E38">
        <w:trPr>
          <w:trHeight w:val="281"/>
        </w:trPr>
        <w:tc>
          <w:tcPr>
            <w:tcW w:w="1560" w:type="dxa"/>
            <w:tcBorders>
              <w:left w:val="single" w:sz="2" w:space="0" w:color="auto"/>
              <w:right w:val="single" w:sz="2" w:space="0" w:color="auto"/>
            </w:tcBorders>
            <w:vAlign w:val="center"/>
          </w:tcPr>
          <w:p w14:paraId="2E2CAD1D" w14:textId="77777777" w:rsidR="00BF3BC0" w:rsidRPr="003329B4" w:rsidRDefault="00BF3BC0" w:rsidP="00BF3BC0">
            <w:pPr>
              <w:rPr>
                <w:rFonts w:cs="Calibri"/>
                <w:color w:val="7030A0"/>
                <w:sz w:val="14"/>
                <w:szCs w:val="14"/>
              </w:rPr>
            </w:pPr>
            <w:r w:rsidRPr="003329B4">
              <w:rPr>
                <w:rFonts w:cs="Calibri"/>
                <w:color w:val="7030A0"/>
                <w:sz w:val="14"/>
                <w:szCs w:val="14"/>
              </w:rPr>
              <w:t>AASB 1004.57</w:t>
            </w:r>
          </w:p>
        </w:tc>
        <w:tc>
          <w:tcPr>
            <w:tcW w:w="9078" w:type="dxa"/>
            <w:gridSpan w:val="10"/>
            <w:tcBorders>
              <w:left w:val="single" w:sz="2" w:space="0" w:color="auto"/>
            </w:tcBorders>
            <w:vAlign w:val="center"/>
          </w:tcPr>
          <w:p w14:paraId="02FA078F" w14:textId="2B8C9254" w:rsidR="00BF3BC0" w:rsidRPr="00C441BB" w:rsidRDefault="00BF3BC0" w:rsidP="00BF3BC0">
            <w:pPr>
              <w:pStyle w:val="TableText"/>
              <w:spacing w:before="0"/>
              <w:rPr>
                <w:rFonts w:cs="Calibri"/>
                <w:b/>
              </w:rPr>
            </w:pPr>
            <w:r w:rsidRPr="00C441BB">
              <w:rPr>
                <w:rFonts w:cs="Calibri"/>
                <w:b/>
              </w:rPr>
              <w:t>Restructures of Administrative Arrangements 202</w:t>
            </w:r>
            <w:r w:rsidR="007D0487">
              <w:rPr>
                <w:rFonts w:cs="Calibri"/>
                <w:b/>
              </w:rPr>
              <w:t>1</w:t>
            </w:r>
            <w:r w:rsidRPr="00C441BB">
              <w:rPr>
                <w:rFonts w:cs="Calibri"/>
                <w:b/>
              </w:rPr>
              <w:t>-2</w:t>
            </w:r>
            <w:r w:rsidR="007D0487">
              <w:rPr>
                <w:rFonts w:cs="Calibri"/>
                <w:b/>
              </w:rPr>
              <w:t>2</w:t>
            </w:r>
          </w:p>
        </w:tc>
      </w:tr>
      <w:tr w:rsidR="00BF3BC0" w:rsidRPr="00CF7E1B" w14:paraId="2C84A529" w14:textId="77777777" w:rsidTr="00AC6E38">
        <w:trPr>
          <w:trHeight w:val="347"/>
        </w:trPr>
        <w:tc>
          <w:tcPr>
            <w:tcW w:w="1560" w:type="dxa"/>
            <w:tcBorders>
              <w:left w:val="single" w:sz="2" w:space="0" w:color="auto"/>
              <w:right w:val="single" w:sz="2" w:space="0" w:color="auto"/>
            </w:tcBorders>
          </w:tcPr>
          <w:p w14:paraId="2B2642D4" w14:textId="77777777" w:rsidR="00BF3BC0" w:rsidRPr="003329B4" w:rsidRDefault="00BF3BC0" w:rsidP="00BF3BC0">
            <w:pPr>
              <w:pStyle w:val="TableReference"/>
              <w:tabs>
                <w:tab w:val="left" w:pos="3306"/>
              </w:tabs>
              <w:spacing w:before="60"/>
              <w:rPr>
                <w:rFonts w:cs="Calibri"/>
                <w:color w:val="7030A0"/>
                <w:sz w:val="14"/>
              </w:rPr>
            </w:pPr>
          </w:p>
        </w:tc>
        <w:tc>
          <w:tcPr>
            <w:tcW w:w="9078" w:type="dxa"/>
            <w:gridSpan w:val="10"/>
            <w:tcBorders>
              <w:left w:val="single" w:sz="2" w:space="0" w:color="auto"/>
            </w:tcBorders>
          </w:tcPr>
          <w:p w14:paraId="7672C88C" w14:textId="7B2ADB69" w:rsidR="006B17A4" w:rsidRPr="007403CD" w:rsidRDefault="00BF3BC0" w:rsidP="007403CD">
            <w:pPr>
              <w:pStyle w:val="TableText"/>
              <w:tabs>
                <w:tab w:val="left" w:pos="3306"/>
              </w:tabs>
              <w:spacing w:before="0" w:after="120"/>
              <w:jc w:val="both"/>
              <w:rPr>
                <w:rFonts w:cs="Calibri"/>
              </w:rPr>
            </w:pPr>
            <w:r w:rsidRPr="00C441BB">
              <w:rPr>
                <w:rFonts w:cs="Calibri"/>
              </w:rPr>
              <w:t>On 1 June 202</w:t>
            </w:r>
            <w:r w:rsidR="007D0487">
              <w:rPr>
                <w:rFonts w:cs="Calibri"/>
              </w:rPr>
              <w:t>2</w:t>
            </w:r>
            <w:r w:rsidRPr="00C441BB">
              <w:rPr>
                <w:rFonts w:cs="Calibri"/>
              </w:rPr>
              <w:t>, a restructuring of administrative arrangements occurred between ‘</w:t>
            </w:r>
            <w:r w:rsidR="00BB42C1" w:rsidRPr="00C441BB">
              <w:t>Burley Griffin</w:t>
            </w:r>
            <w:r w:rsidRPr="00C441BB">
              <w:rPr>
                <w:rFonts w:cs="Calibri"/>
              </w:rPr>
              <w:t xml:space="preserve"> Agency’ and XYZ Directorate involving a Heritage division.</w:t>
            </w:r>
            <w:r w:rsidR="00FA7C77">
              <w:rPr>
                <w:rFonts w:cs="Calibri"/>
              </w:rPr>
              <w:t xml:space="preserve"> </w:t>
            </w:r>
            <w:r w:rsidRPr="00C441BB">
              <w:rPr>
                <w:rFonts w:cs="Calibri"/>
              </w:rPr>
              <w:t>The XYZ heritage function is responsible for the management and maintenance of a number of large heritage assets, which are used for educational purposes for ACT Government schools.</w:t>
            </w:r>
            <w:r w:rsidR="00FA7C77">
              <w:rPr>
                <w:rFonts w:cs="Calibri"/>
              </w:rPr>
              <w:t xml:space="preserve"> </w:t>
            </w:r>
            <w:r w:rsidRPr="00C441BB">
              <w:rPr>
                <w:rFonts w:cs="Calibri"/>
              </w:rPr>
              <w:t xml:space="preserve">There were </w:t>
            </w:r>
            <w:r w:rsidR="00DE1E5D">
              <w:rPr>
                <w:rFonts w:cs="Calibri"/>
              </w:rPr>
              <w:t>five</w:t>
            </w:r>
            <w:r w:rsidRPr="00C441BB">
              <w:rPr>
                <w:rFonts w:cs="Calibri"/>
              </w:rPr>
              <w:t xml:space="preserve"> employees and the heritage assets attached to this function were transferred to ‘</w:t>
            </w:r>
            <w:r w:rsidR="00BB42C1" w:rsidRPr="00C441BB">
              <w:t>Burley Griffin</w:t>
            </w:r>
            <w:r w:rsidR="00BB42C1" w:rsidRPr="00C441BB">
              <w:rPr>
                <w:bCs/>
              </w:rPr>
              <w:t xml:space="preserve"> </w:t>
            </w:r>
            <w:r w:rsidRPr="00C441BB">
              <w:rPr>
                <w:rFonts w:cs="Calibri"/>
              </w:rPr>
              <w:t>Agency’ as part of this restructuring of administrative arrangements.</w:t>
            </w:r>
          </w:p>
        </w:tc>
      </w:tr>
      <w:tr w:rsidR="00EB52FE" w:rsidRPr="00CF7E1B" w14:paraId="2F23A759" w14:textId="77777777" w:rsidTr="00AC6E38">
        <w:trPr>
          <w:gridAfter w:val="1"/>
          <w:wAfter w:w="148" w:type="dxa"/>
          <w:trHeight w:val="498"/>
        </w:trPr>
        <w:tc>
          <w:tcPr>
            <w:tcW w:w="1560" w:type="dxa"/>
            <w:tcBorders>
              <w:left w:val="single" w:sz="2" w:space="0" w:color="auto"/>
              <w:right w:val="single" w:sz="2" w:space="0" w:color="auto"/>
            </w:tcBorders>
          </w:tcPr>
          <w:p w14:paraId="44F81AA1" w14:textId="77777777" w:rsidR="00EB52FE" w:rsidRPr="00732C8E" w:rsidRDefault="00877D2B" w:rsidP="00514D82">
            <w:pPr>
              <w:spacing w:before="240" w:after="240"/>
              <w:rPr>
                <w:rFonts w:cs="Calibri"/>
                <w:szCs w:val="22"/>
              </w:rPr>
            </w:pPr>
            <w:r w:rsidRPr="003329B4">
              <w:rPr>
                <w:rFonts w:cs="Calibri"/>
                <w:b/>
                <w:color w:val="7030A0"/>
                <w:szCs w:val="22"/>
              </w:rPr>
              <w:t>Reference</w:t>
            </w:r>
          </w:p>
        </w:tc>
        <w:tc>
          <w:tcPr>
            <w:tcW w:w="8930" w:type="dxa"/>
            <w:gridSpan w:val="9"/>
            <w:tcBorders>
              <w:left w:val="single" w:sz="2" w:space="0" w:color="auto"/>
            </w:tcBorders>
          </w:tcPr>
          <w:p w14:paraId="7D227D08" w14:textId="7CCF1D76" w:rsidR="00EB52FE" w:rsidRPr="00C441BB" w:rsidRDefault="00514D82" w:rsidP="00514D82">
            <w:pPr>
              <w:spacing w:before="240" w:after="240"/>
              <w:rPr>
                <w:rFonts w:ascii="Arial Bold" w:hAnsi="Arial Bold" w:cs="Arial"/>
                <w:b/>
                <w:caps/>
                <w:sz w:val="32"/>
                <w:szCs w:val="32"/>
              </w:rPr>
            </w:pPr>
            <w:r w:rsidRPr="00C441BB">
              <w:rPr>
                <w:rFonts w:ascii="Arial Bold" w:hAnsi="Arial Bold" w:cs="Arial"/>
                <w:b/>
                <w:caps/>
                <w:sz w:val="32"/>
                <w:szCs w:val="32"/>
              </w:rPr>
              <w:t xml:space="preserve">Note </w:t>
            </w:r>
            <w:r w:rsidR="003334D4" w:rsidRPr="00C441BB">
              <w:rPr>
                <w:rFonts w:ascii="Arial Bold" w:hAnsi="Arial Bold" w:cs="Arial"/>
                <w:b/>
                <w:caps/>
                <w:sz w:val="32"/>
                <w:szCs w:val="32"/>
              </w:rPr>
              <w:t>30</w:t>
            </w:r>
            <w:r w:rsidRPr="00C441BB">
              <w:rPr>
                <w:rFonts w:ascii="Arial Bold" w:hAnsi="Arial Bold" w:cs="Arial"/>
                <w:b/>
                <w:caps/>
                <w:sz w:val="32"/>
                <w:szCs w:val="32"/>
              </w:rPr>
              <w:t>.</w:t>
            </w:r>
            <w:r w:rsidR="00FA7C77">
              <w:rPr>
                <w:rFonts w:ascii="Arial Bold" w:hAnsi="Arial Bold" w:cs="Arial"/>
                <w:b/>
                <w:caps/>
                <w:sz w:val="32"/>
                <w:szCs w:val="32"/>
              </w:rPr>
              <w:t xml:space="preserve"> </w:t>
            </w:r>
            <w:r w:rsidRPr="00C441BB">
              <w:rPr>
                <w:rFonts w:ascii="Arial Bold" w:hAnsi="Arial Bold" w:cs="Arial"/>
                <w:b/>
                <w:caps/>
                <w:sz w:val="32"/>
                <w:szCs w:val="32"/>
              </w:rPr>
              <w:t xml:space="preserve">Restructure of Administrative Arrangements </w:t>
            </w:r>
            <w:r w:rsidR="00DB02DF" w:rsidRPr="00C441BB">
              <w:rPr>
                <w:rFonts w:ascii="Arial Bold" w:hAnsi="Arial Bold" w:cs="Arial"/>
                <w:b/>
                <w:caps/>
                <w:sz w:val="32"/>
                <w:szCs w:val="32"/>
              </w:rPr>
              <w:t>[</w:t>
            </w:r>
            <w:r w:rsidRPr="00C441BB">
              <w:rPr>
                <w:rFonts w:ascii="Arial Bold" w:hAnsi="Arial Bold" w:cs="Arial"/>
                <w:b/>
                <w:caps/>
                <w:sz w:val="32"/>
                <w:szCs w:val="32"/>
              </w:rPr>
              <w:t xml:space="preserve">Directorates Only] </w:t>
            </w:r>
            <w:r w:rsidR="00BB2E31">
              <w:rPr>
                <w:rFonts w:ascii="Arial Bold" w:hAnsi="Arial Bold" w:cs="Arial"/>
                <w:b/>
                <w:caps/>
                <w:sz w:val="32"/>
                <w:szCs w:val="32"/>
              </w:rPr>
              <w:t>–</w:t>
            </w:r>
            <w:r w:rsidRPr="00C441BB">
              <w:rPr>
                <w:rFonts w:ascii="Arial Bold" w:hAnsi="Arial Bold" w:cs="Arial"/>
                <w:b/>
                <w:caps/>
                <w:sz w:val="32"/>
                <w:szCs w:val="32"/>
              </w:rPr>
              <w:t xml:space="preserve"> Continued</w:t>
            </w:r>
            <w:r w:rsidR="00BB2E31">
              <w:rPr>
                <w:rFonts w:ascii="Arial Bold" w:hAnsi="Arial Bold" w:cs="Arial"/>
                <w:b/>
                <w:caps/>
                <w:sz w:val="32"/>
                <w:szCs w:val="32"/>
              </w:rPr>
              <w:t xml:space="preserve"> </w:t>
            </w:r>
          </w:p>
        </w:tc>
      </w:tr>
      <w:tr w:rsidR="006376DE" w:rsidRPr="00CF7E1B" w14:paraId="6BE69073" w14:textId="77777777" w:rsidTr="00AC6E38">
        <w:trPr>
          <w:gridAfter w:val="1"/>
          <w:wAfter w:w="148" w:type="dxa"/>
          <w:trHeight w:val="255"/>
        </w:trPr>
        <w:tc>
          <w:tcPr>
            <w:tcW w:w="1560" w:type="dxa"/>
            <w:tcBorders>
              <w:left w:val="single" w:sz="2" w:space="0" w:color="auto"/>
              <w:right w:val="single" w:sz="2" w:space="0" w:color="auto"/>
            </w:tcBorders>
            <w:vAlign w:val="center"/>
          </w:tcPr>
          <w:p w14:paraId="05D7DC86" w14:textId="77777777" w:rsidR="006376DE" w:rsidRPr="00877D2B" w:rsidRDefault="006376DE" w:rsidP="00B11FCA">
            <w:pPr>
              <w:rPr>
                <w:rFonts w:cs="Calibri"/>
                <w:sz w:val="16"/>
              </w:rPr>
            </w:pPr>
          </w:p>
        </w:tc>
        <w:tc>
          <w:tcPr>
            <w:tcW w:w="8930" w:type="dxa"/>
            <w:gridSpan w:val="9"/>
            <w:tcBorders>
              <w:left w:val="single" w:sz="2" w:space="0" w:color="auto"/>
            </w:tcBorders>
            <w:vAlign w:val="center"/>
          </w:tcPr>
          <w:p w14:paraId="4533B654" w14:textId="77777777" w:rsidR="006376DE" w:rsidRPr="00C441BB" w:rsidRDefault="006376DE" w:rsidP="00BF3BC0">
            <w:pPr>
              <w:spacing w:before="120" w:after="120"/>
              <w:jc w:val="both"/>
              <w:rPr>
                <w:rFonts w:cs="Calibri"/>
                <w:sz w:val="18"/>
                <w:szCs w:val="18"/>
              </w:rPr>
            </w:pPr>
            <w:r w:rsidRPr="00C441BB">
              <w:rPr>
                <w:rFonts w:cs="Calibri"/>
                <w:b/>
                <w:bCs/>
                <w:sz w:val="18"/>
                <w:szCs w:val="18"/>
              </w:rPr>
              <w:t>Income and Expenses</w:t>
            </w:r>
          </w:p>
        </w:tc>
      </w:tr>
      <w:tr w:rsidR="006376DE" w:rsidRPr="00CF7E1B" w14:paraId="0644A0CD" w14:textId="77777777" w:rsidTr="00AC6E38">
        <w:trPr>
          <w:gridAfter w:val="1"/>
          <w:wAfter w:w="148" w:type="dxa"/>
          <w:trHeight w:val="1022"/>
        </w:trPr>
        <w:tc>
          <w:tcPr>
            <w:tcW w:w="1560" w:type="dxa"/>
            <w:tcBorders>
              <w:left w:val="single" w:sz="2" w:space="0" w:color="auto"/>
              <w:right w:val="single" w:sz="2" w:space="0" w:color="auto"/>
            </w:tcBorders>
          </w:tcPr>
          <w:p w14:paraId="0740871D" w14:textId="77777777" w:rsidR="006376DE" w:rsidRPr="00877D2B" w:rsidRDefault="006376DE" w:rsidP="00B11FCA">
            <w:pPr>
              <w:rPr>
                <w:rFonts w:cs="Calibri"/>
                <w:sz w:val="16"/>
              </w:rPr>
            </w:pPr>
          </w:p>
        </w:tc>
        <w:tc>
          <w:tcPr>
            <w:tcW w:w="8930" w:type="dxa"/>
            <w:gridSpan w:val="9"/>
            <w:tcBorders>
              <w:left w:val="single" w:sz="2" w:space="0" w:color="auto"/>
            </w:tcBorders>
          </w:tcPr>
          <w:p w14:paraId="518C1669" w14:textId="53072E8A" w:rsidR="006376DE" w:rsidRPr="00C441BB" w:rsidRDefault="006376DE" w:rsidP="00DA5B5A">
            <w:pPr>
              <w:jc w:val="both"/>
              <w:rPr>
                <w:rFonts w:cs="Calibri"/>
                <w:sz w:val="18"/>
                <w:szCs w:val="18"/>
              </w:rPr>
            </w:pPr>
            <w:r w:rsidRPr="00C441BB">
              <w:rPr>
                <w:rFonts w:cs="Calibri"/>
                <w:sz w:val="18"/>
                <w:szCs w:val="18"/>
              </w:rPr>
              <w:t>The following table shows the income and expense items associated with the Heritage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xml:space="preserve">’ for the year ended </w:t>
            </w:r>
            <w:r w:rsidRPr="0002512F">
              <w:rPr>
                <w:rFonts w:cs="Calibri"/>
                <w:sz w:val="18"/>
                <w:szCs w:val="18"/>
              </w:rPr>
              <w:t>30 June</w:t>
            </w:r>
            <w:r w:rsidR="00241082" w:rsidRPr="0002512F">
              <w:rPr>
                <w:rFonts w:cs="Calibri"/>
                <w:sz w:val="18"/>
                <w:szCs w:val="18"/>
              </w:rPr>
              <w:t xml:space="preserve"> </w:t>
            </w:r>
            <w:r w:rsidR="005E3DFA" w:rsidRPr="0002512F">
              <w:rPr>
                <w:rFonts w:cs="Calibri"/>
                <w:sz w:val="18"/>
                <w:szCs w:val="18"/>
              </w:rPr>
              <w:t>202</w:t>
            </w:r>
            <w:r w:rsidR="0002512F">
              <w:rPr>
                <w:rFonts w:cs="Calibri"/>
                <w:sz w:val="18"/>
                <w:szCs w:val="18"/>
              </w:rPr>
              <w:t>2</w:t>
            </w:r>
            <w:r w:rsidRPr="00C441BB">
              <w:rPr>
                <w:rFonts w:cs="Calibri"/>
                <w:sz w:val="18"/>
                <w:szCs w:val="18"/>
              </w:rPr>
              <w:t>.</w:t>
            </w:r>
            <w:r w:rsidR="00FA7C77">
              <w:rPr>
                <w:rFonts w:cs="Calibri"/>
                <w:sz w:val="18"/>
                <w:szCs w:val="18"/>
              </w:rPr>
              <w:t xml:space="preserve"> </w:t>
            </w:r>
            <w:r w:rsidRPr="00C441BB">
              <w:rPr>
                <w:rFonts w:cs="Calibri"/>
                <w:sz w:val="18"/>
                <w:szCs w:val="18"/>
              </w:rPr>
              <w:t xml:space="preserve">It also shows the income and expenses relating to when the division belonged to </w:t>
            </w:r>
            <w:r w:rsidR="00246DEB"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w:t>
            </w:r>
            <w:r w:rsidR="00F32A6E"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 Finally, the table shows</w:t>
            </w:r>
            <w:r w:rsidRPr="00C441BB">
              <w:rPr>
                <w:rFonts w:cs="Calibri"/>
                <w:sz w:val="18"/>
                <w:szCs w:val="18"/>
              </w:rPr>
              <w:t xml:space="preserve"> the total income and expenses of the division for the whole financial year.</w:t>
            </w:r>
            <w:r w:rsidR="00FA7C77">
              <w:rPr>
                <w:rFonts w:cs="Calibri"/>
                <w:sz w:val="18"/>
                <w:szCs w:val="18"/>
              </w:rPr>
              <w:t xml:space="preserve"> </w:t>
            </w:r>
          </w:p>
        </w:tc>
      </w:tr>
      <w:tr w:rsidR="00BB62BB" w:rsidRPr="00CF7E1B" w14:paraId="698A9644" w14:textId="77777777" w:rsidTr="00AC6E38">
        <w:trPr>
          <w:gridAfter w:val="1"/>
          <w:wAfter w:w="148" w:type="dxa"/>
          <w:trHeight w:val="1225"/>
        </w:trPr>
        <w:tc>
          <w:tcPr>
            <w:tcW w:w="1560" w:type="dxa"/>
            <w:tcBorders>
              <w:left w:val="single" w:sz="2" w:space="0" w:color="auto"/>
              <w:bottom w:val="nil"/>
              <w:right w:val="single" w:sz="2" w:space="0" w:color="auto"/>
            </w:tcBorders>
            <w:vAlign w:val="bottom"/>
          </w:tcPr>
          <w:p w14:paraId="11D9861B" w14:textId="77777777" w:rsidR="00BB62BB" w:rsidRPr="00877D2B" w:rsidRDefault="00BB62BB" w:rsidP="009D37DE">
            <w:pPr>
              <w:rPr>
                <w:rFonts w:cs="Calibri"/>
                <w:sz w:val="16"/>
              </w:rPr>
            </w:pPr>
          </w:p>
        </w:tc>
        <w:tc>
          <w:tcPr>
            <w:tcW w:w="2655" w:type="dxa"/>
            <w:tcBorders>
              <w:left w:val="single" w:sz="2" w:space="0" w:color="auto"/>
            </w:tcBorders>
            <w:shd w:val="clear" w:color="auto" w:fill="auto"/>
            <w:vAlign w:val="bottom"/>
          </w:tcPr>
          <w:p w14:paraId="60FA8509" w14:textId="77777777" w:rsidR="00BB62BB" w:rsidRPr="00C441BB" w:rsidRDefault="00BB62BB" w:rsidP="00301C2A">
            <w:pPr>
              <w:pStyle w:val="TableText"/>
              <w:tabs>
                <w:tab w:val="left" w:pos="3306"/>
              </w:tabs>
              <w:rPr>
                <w:rFonts w:cs="Calibri"/>
                <w:b/>
                <w:bCs/>
              </w:rPr>
            </w:pPr>
          </w:p>
        </w:tc>
        <w:tc>
          <w:tcPr>
            <w:tcW w:w="2448" w:type="dxa"/>
            <w:gridSpan w:val="3"/>
            <w:shd w:val="clear" w:color="auto" w:fill="auto"/>
            <w:vAlign w:val="bottom"/>
          </w:tcPr>
          <w:p w14:paraId="1FB7A018" w14:textId="5B449D3B" w:rsidR="00BB62BB" w:rsidRPr="00C441BB" w:rsidRDefault="00BB62BB" w:rsidP="00207BB9">
            <w:pPr>
              <w:jc w:val="right"/>
              <w:rPr>
                <w:rFonts w:cs="Calibri"/>
                <w:b/>
                <w:bCs/>
                <w:sz w:val="18"/>
                <w:szCs w:val="18"/>
              </w:rPr>
            </w:pPr>
            <w:r w:rsidRPr="00C441BB">
              <w:rPr>
                <w:rFonts w:cs="Calibri"/>
                <w:b/>
                <w:bCs/>
                <w:sz w:val="18"/>
                <w:szCs w:val="18"/>
              </w:rPr>
              <w:t xml:space="preserve">Amounts Relating to </w:t>
            </w:r>
          </w:p>
          <w:p w14:paraId="63899E7B" w14:textId="3023D0F3" w:rsidR="00BB62BB" w:rsidRPr="00C441BB" w:rsidRDefault="00BB62BB" w:rsidP="00207BB9">
            <w:pPr>
              <w:jc w:val="right"/>
              <w:rPr>
                <w:rFonts w:cs="Calibri"/>
                <w:b/>
                <w:bCs/>
                <w:sz w:val="18"/>
                <w:szCs w:val="18"/>
              </w:rPr>
            </w:pPr>
            <w:r w:rsidRPr="00C441BB">
              <w:rPr>
                <w:rFonts w:cs="Calibri"/>
                <w:b/>
                <w:bCs/>
                <w:sz w:val="18"/>
                <w:szCs w:val="18"/>
              </w:rPr>
              <w:t>when the Function was held by the XYZ Directorate July 202</w:t>
            </w:r>
            <w:r w:rsidR="0002512F">
              <w:rPr>
                <w:rFonts w:cs="Calibri"/>
                <w:b/>
                <w:bCs/>
                <w:sz w:val="18"/>
                <w:szCs w:val="18"/>
              </w:rPr>
              <w:t>1</w:t>
            </w:r>
            <w:r w:rsidRPr="00C441BB">
              <w:rPr>
                <w:rFonts w:cs="Calibri"/>
                <w:b/>
                <w:bCs/>
                <w:sz w:val="18"/>
                <w:szCs w:val="18"/>
              </w:rPr>
              <w:t xml:space="preserve"> to May 202</w:t>
            </w:r>
            <w:r w:rsidR="0002512F">
              <w:rPr>
                <w:rFonts w:cs="Calibri"/>
                <w:b/>
                <w:bCs/>
                <w:sz w:val="18"/>
                <w:szCs w:val="18"/>
              </w:rPr>
              <w:t>2</w:t>
            </w:r>
          </w:p>
          <w:p w14:paraId="05CE9233" w14:textId="3191B977"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2268" w:type="dxa"/>
            <w:gridSpan w:val="3"/>
            <w:shd w:val="clear" w:color="auto" w:fill="auto"/>
            <w:vAlign w:val="bottom"/>
          </w:tcPr>
          <w:p w14:paraId="517BA52E" w14:textId="7E0022A9" w:rsidR="00BB62BB" w:rsidRPr="00C441BB" w:rsidRDefault="00BB62BB" w:rsidP="00207BB9">
            <w:pPr>
              <w:pStyle w:val="TableText"/>
              <w:tabs>
                <w:tab w:val="left" w:pos="3306"/>
              </w:tabs>
              <w:jc w:val="right"/>
              <w:rPr>
                <w:rFonts w:cs="Calibri"/>
                <w:b/>
                <w:bCs/>
              </w:rPr>
            </w:pPr>
            <w:r w:rsidRPr="00C441BB">
              <w:rPr>
                <w:rFonts w:cs="Calibri"/>
                <w:b/>
                <w:bCs/>
              </w:rPr>
              <w:t>Amounts Relating to when the Function was held by ‘</w:t>
            </w:r>
            <w:r w:rsidRPr="00C441BB">
              <w:rPr>
                <w:b/>
                <w:bCs/>
              </w:rPr>
              <w:t xml:space="preserve">Burley Griffin </w:t>
            </w:r>
            <w:r w:rsidRPr="00C441BB">
              <w:rPr>
                <w:rFonts w:cs="Calibri"/>
                <w:b/>
                <w:bCs/>
              </w:rPr>
              <w:t>Agency’ June 202</w:t>
            </w:r>
            <w:r w:rsidR="0002512F">
              <w:rPr>
                <w:rFonts w:cs="Calibri"/>
                <w:b/>
                <w:bCs/>
              </w:rPr>
              <w:t>2</w:t>
            </w:r>
            <w:r w:rsidRPr="00C441BB">
              <w:rPr>
                <w:rFonts w:cs="Calibri"/>
                <w:b/>
                <w:bCs/>
              </w:rPr>
              <w:t xml:space="preserve"> to June</w:t>
            </w:r>
            <w:r w:rsidR="0002512F">
              <w:rPr>
                <w:rFonts w:cs="Calibri"/>
                <w:b/>
                <w:bCs/>
              </w:rPr>
              <w:t xml:space="preserve"> </w:t>
            </w:r>
            <w:r w:rsidRPr="00C441BB">
              <w:rPr>
                <w:rFonts w:cs="Calibri"/>
                <w:b/>
                <w:bCs/>
              </w:rPr>
              <w:t>202</w:t>
            </w:r>
            <w:r w:rsidR="0002512F">
              <w:rPr>
                <w:rFonts w:cs="Calibri"/>
                <w:b/>
                <w:bCs/>
              </w:rPr>
              <w:t>2</w:t>
            </w:r>
          </w:p>
          <w:p w14:paraId="60CB5F87" w14:textId="0F7CB985"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1559" w:type="dxa"/>
            <w:gridSpan w:val="2"/>
            <w:tcBorders>
              <w:bottom w:val="nil"/>
            </w:tcBorders>
            <w:shd w:val="clear" w:color="auto" w:fill="auto"/>
            <w:vAlign w:val="bottom"/>
          </w:tcPr>
          <w:p w14:paraId="73CE437F" w14:textId="77777777" w:rsidR="00BB62BB" w:rsidRPr="00C441BB" w:rsidRDefault="00BB62BB" w:rsidP="00B83922">
            <w:pPr>
              <w:pStyle w:val="TableText"/>
              <w:tabs>
                <w:tab w:val="left" w:pos="3306"/>
              </w:tabs>
              <w:jc w:val="right"/>
              <w:rPr>
                <w:rFonts w:cs="Calibri"/>
                <w:b/>
                <w:bCs/>
              </w:rPr>
            </w:pPr>
            <w:r w:rsidRPr="00C441BB">
              <w:rPr>
                <w:rFonts w:cs="Calibri"/>
                <w:b/>
                <w:bCs/>
              </w:rPr>
              <w:t>Total</w:t>
            </w:r>
          </w:p>
          <w:p w14:paraId="4B005E97" w14:textId="0C014AA4" w:rsidR="00BB62BB" w:rsidRPr="00C441BB" w:rsidRDefault="00BB62BB" w:rsidP="00B83922">
            <w:pPr>
              <w:pStyle w:val="TableText"/>
              <w:tabs>
                <w:tab w:val="left" w:pos="3306"/>
              </w:tabs>
              <w:jc w:val="right"/>
              <w:rPr>
                <w:rFonts w:cs="Calibri"/>
                <w:b/>
                <w:bCs/>
              </w:rPr>
            </w:pPr>
            <w:r w:rsidRPr="00C441BB">
              <w:rPr>
                <w:rFonts w:cs="Calibri"/>
                <w:b/>
                <w:bCs/>
              </w:rPr>
              <w:t>202</w:t>
            </w:r>
            <w:r w:rsidR="0002512F">
              <w:rPr>
                <w:rFonts w:cs="Calibri"/>
                <w:b/>
                <w:bCs/>
              </w:rPr>
              <w:t>2</w:t>
            </w:r>
          </w:p>
          <w:p w14:paraId="751CB64D" w14:textId="68399FA5" w:rsidR="00BB62BB" w:rsidRPr="00C441BB" w:rsidRDefault="00BB62BB" w:rsidP="00301C2A">
            <w:pPr>
              <w:pStyle w:val="TableText"/>
              <w:tabs>
                <w:tab w:val="left" w:pos="3306"/>
              </w:tabs>
              <w:jc w:val="right"/>
              <w:rPr>
                <w:rFonts w:cs="Calibri"/>
                <w:b/>
                <w:bCs/>
              </w:rPr>
            </w:pPr>
            <w:r w:rsidRPr="00C441BB">
              <w:rPr>
                <w:rFonts w:cs="Calibri"/>
                <w:b/>
                <w:bCs/>
              </w:rPr>
              <w:t>$’000</w:t>
            </w:r>
          </w:p>
        </w:tc>
      </w:tr>
      <w:tr w:rsidR="0009715B" w:rsidRPr="00CF7E1B" w14:paraId="206BB233" w14:textId="77777777" w:rsidTr="00AC6E38">
        <w:trPr>
          <w:gridAfter w:val="1"/>
          <w:wAfter w:w="148" w:type="dxa"/>
        </w:trPr>
        <w:tc>
          <w:tcPr>
            <w:tcW w:w="1560" w:type="dxa"/>
            <w:tcBorders>
              <w:left w:val="single" w:sz="2" w:space="0" w:color="auto"/>
              <w:right w:val="single" w:sz="2" w:space="0" w:color="auto"/>
            </w:tcBorders>
          </w:tcPr>
          <w:p w14:paraId="3348E684"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0EC014F9" w14:textId="7C818576" w:rsidR="006376DE" w:rsidRPr="00C441BB" w:rsidRDefault="00836128" w:rsidP="00301C2A">
            <w:pPr>
              <w:pStyle w:val="TableText"/>
              <w:tabs>
                <w:tab w:val="left" w:pos="3306"/>
              </w:tabs>
              <w:rPr>
                <w:rFonts w:cs="Calibri"/>
                <w:b/>
                <w:bCs/>
              </w:rPr>
            </w:pPr>
            <w:r w:rsidRPr="00C441BB">
              <w:rPr>
                <w:rFonts w:cs="Calibri"/>
                <w:b/>
                <w:bCs/>
              </w:rPr>
              <w:t>Income</w:t>
            </w:r>
          </w:p>
        </w:tc>
        <w:tc>
          <w:tcPr>
            <w:tcW w:w="2448" w:type="dxa"/>
            <w:gridSpan w:val="3"/>
            <w:shd w:val="clear" w:color="auto" w:fill="auto"/>
            <w:vAlign w:val="bottom"/>
          </w:tcPr>
          <w:p w14:paraId="79F13EB7" w14:textId="77777777" w:rsidR="006376DE" w:rsidRPr="00C441BB" w:rsidRDefault="006376DE" w:rsidP="00301C2A">
            <w:pPr>
              <w:pStyle w:val="TableText"/>
              <w:tabs>
                <w:tab w:val="left" w:pos="3306"/>
              </w:tabs>
              <w:jc w:val="right"/>
              <w:rPr>
                <w:rFonts w:cs="Calibri"/>
                <w:b/>
                <w:bCs/>
              </w:rPr>
            </w:pPr>
          </w:p>
        </w:tc>
        <w:tc>
          <w:tcPr>
            <w:tcW w:w="2268" w:type="dxa"/>
            <w:gridSpan w:val="3"/>
            <w:shd w:val="clear" w:color="auto" w:fill="auto"/>
            <w:vAlign w:val="bottom"/>
          </w:tcPr>
          <w:p w14:paraId="36FFDD67"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10DD9A0E" w14:textId="77777777" w:rsidR="006376DE" w:rsidRPr="00C441BB" w:rsidRDefault="006376DE" w:rsidP="00301C2A">
            <w:pPr>
              <w:pStyle w:val="TableText"/>
              <w:tabs>
                <w:tab w:val="left" w:pos="3306"/>
              </w:tabs>
              <w:jc w:val="right"/>
              <w:rPr>
                <w:rFonts w:cs="Calibri"/>
                <w:b/>
                <w:bCs/>
              </w:rPr>
            </w:pPr>
          </w:p>
        </w:tc>
      </w:tr>
      <w:tr w:rsidR="0009715B" w:rsidRPr="00CF7E1B" w14:paraId="791A671C" w14:textId="77777777" w:rsidTr="00AC6E38">
        <w:trPr>
          <w:gridAfter w:val="1"/>
          <w:wAfter w:w="148" w:type="dxa"/>
        </w:trPr>
        <w:tc>
          <w:tcPr>
            <w:tcW w:w="1560" w:type="dxa"/>
            <w:tcBorders>
              <w:left w:val="single" w:sz="2" w:space="0" w:color="auto"/>
              <w:right w:val="single" w:sz="2" w:space="0" w:color="auto"/>
            </w:tcBorders>
          </w:tcPr>
          <w:p w14:paraId="397ACAE8"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36C70059" w14:textId="77777777" w:rsidR="006376DE" w:rsidRPr="00C441BB" w:rsidRDefault="005E413E" w:rsidP="00CA46FE">
            <w:pPr>
              <w:pStyle w:val="TableText"/>
              <w:tabs>
                <w:tab w:val="left" w:pos="3306"/>
              </w:tabs>
              <w:rPr>
                <w:rFonts w:cs="Calibri"/>
                <w:bCs/>
                <w:strike/>
              </w:rPr>
            </w:pPr>
            <w:r w:rsidRPr="00C441BB">
              <w:rPr>
                <w:rFonts w:cs="Calibri"/>
                <w:bCs/>
              </w:rPr>
              <w:t xml:space="preserve">Controlled </w:t>
            </w:r>
            <w:r w:rsidR="00CA46FE" w:rsidRPr="00C441BB">
              <w:rPr>
                <w:rFonts w:cs="Calibri"/>
                <w:bCs/>
              </w:rPr>
              <w:t>R</w:t>
            </w:r>
            <w:r w:rsidRPr="00C441BB">
              <w:rPr>
                <w:rFonts w:cs="Calibri"/>
                <w:bCs/>
              </w:rPr>
              <w:t>ecurrent Payments</w:t>
            </w:r>
          </w:p>
        </w:tc>
        <w:tc>
          <w:tcPr>
            <w:tcW w:w="2448" w:type="dxa"/>
            <w:gridSpan w:val="3"/>
            <w:shd w:val="clear" w:color="auto" w:fill="auto"/>
            <w:vAlign w:val="bottom"/>
          </w:tcPr>
          <w:p w14:paraId="0B65168D" w14:textId="2720FC47"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401EC5E3" w14:textId="0B390FD4"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79A64D0" w14:textId="68F49D07" w:rsidR="006376DE" w:rsidRPr="00C441BB" w:rsidRDefault="006376DE" w:rsidP="00301C2A">
            <w:pPr>
              <w:pStyle w:val="TableText"/>
              <w:tabs>
                <w:tab w:val="left" w:pos="3306"/>
              </w:tabs>
              <w:jc w:val="right"/>
              <w:rPr>
                <w:rFonts w:cs="Calibri"/>
                <w:bCs/>
              </w:rPr>
            </w:pPr>
          </w:p>
        </w:tc>
      </w:tr>
      <w:tr w:rsidR="0009715B" w:rsidRPr="00CF7E1B" w14:paraId="2AF05CD3" w14:textId="77777777" w:rsidTr="00AC6E38">
        <w:trPr>
          <w:gridAfter w:val="1"/>
          <w:wAfter w:w="148" w:type="dxa"/>
        </w:trPr>
        <w:tc>
          <w:tcPr>
            <w:tcW w:w="1560" w:type="dxa"/>
            <w:tcBorders>
              <w:left w:val="single" w:sz="2" w:space="0" w:color="auto"/>
              <w:right w:val="single" w:sz="2" w:space="0" w:color="auto"/>
            </w:tcBorders>
          </w:tcPr>
          <w:p w14:paraId="03F4AC0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5C774535" w14:textId="7FB47109" w:rsidR="006376DE" w:rsidRPr="00C441BB" w:rsidRDefault="006376DE" w:rsidP="00301C2A">
            <w:pPr>
              <w:pStyle w:val="TableText"/>
              <w:tabs>
                <w:tab w:val="left" w:pos="3306"/>
              </w:tabs>
              <w:rPr>
                <w:rFonts w:cs="Calibri"/>
                <w:b/>
                <w:bCs/>
              </w:rPr>
            </w:pPr>
            <w:r w:rsidRPr="00C441BB">
              <w:rPr>
                <w:rFonts w:cs="Calibri"/>
                <w:b/>
                <w:bCs/>
              </w:rPr>
              <w:t xml:space="preserve">Total </w:t>
            </w:r>
            <w:r w:rsidR="00836128" w:rsidRPr="00C441BB">
              <w:rPr>
                <w:rFonts w:cs="Calibri"/>
                <w:b/>
                <w:bCs/>
              </w:rPr>
              <w:t>Income</w:t>
            </w:r>
          </w:p>
        </w:tc>
        <w:tc>
          <w:tcPr>
            <w:tcW w:w="2448" w:type="dxa"/>
            <w:gridSpan w:val="3"/>
            <w:tcBorders>
              <w:top w:val="single" w:sz="4" w:space="0" w:color="auto"/>
              <w:bottom w:val="double" w:sz="4" w:space="0" w:color="auto"/>
            </w:tcBorders>
            <w:shd w:val="clear" w:color="auto" w:fill="auto"/>
            <w:vAlign w:val="bottom"/>
          </w:tcPr>
          <w:p w14:paraId="66A6DE7B" w14:textId="356C727B"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shd w:val="clear" w:color="auto" w:fill="auto"/>
            <w:vAlign w:val="bottom"/>
          </w:tcPr>
          <w:p w14:paraId="2AB1F63E" w14:textId="03282051"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08406F09" w14:textId="377AF57A" w:rsidR="006376DE" w:rsidRPr="00C441BB" w:rsidRDefault="006376DE" w:rsidP="00301C2A">
            <w:pPr>
              <w:pStyle w:val="TableText"/>
              <w:tabs>
                <w:tab w:val="left" w:pos="3306"/>
              </w:tabs>
              <w:jc w:val="right"/>
              <w:rPr>
                <w:rFonts w:cs="Calibri"/>
                <w:b/>
                <w:bCs/>
              </w:rPr>
            </w:pPr>
          </w:p>
        </w:tc>
      </w:tr>
      <w:tr w:rsidR="0009715B" w:rsidRPr="00CF7E1B" w14:paraId="5D294BDF" w14:textId="77777777" w:rsidTr="00AC6E38">
        <w:trPr>
          <w:gridAfter w:val="1"/>
          <w:wAfter w:w="148" w:type="dxa"/>
          <w:trHeight w:hRule="exact" w:val="113"/>
        </w:trPr>
        <w:tc>
          <w:tcPr>
            <w:tcW w:w="1560" w:type="dxa"/>
            <w:tcBorders>
              <w:left w:val="single" w:sz="2" w:space="0" w:color="auto"/>
              <w:right w:val="single" w:sz="2" w:space="0" w:color="auto"/>
            </w:tcBorders>
          </w:tcPr>
          <w:p w14:paraId="6225D91A"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61069B1A" w14:textId="77777777" w:rsidR="006376DE" w:rsidRPr="00C441BB" w:rsidRDefault="006376DE" w:rsidP="00301C2A">
            <w:pPr>
              <w:pStyle w:val="TableText"/>
              <w:tabs>
                <w:tab w:val="left" w:pos="3306"/>
              </w:tabs>
              <w:rPr>
                <w:rFonts w:cs="Calibri"/>
                <w:b/>
                <w:bCs/>
              </w:rPr>
            </w:pPr>
          </w:p>
        </w:tc>
        <w:tc>
          <w:tcPr>
            <w:tcW w:w="2448" w:type="dxa"/>
            <w:gridSpan w:val="3"/>
            <w:tcBorders>
              <w:top w:val="double" w:sz="4" w:space="0" w:color="auto"/>
            </w:tcBorders>
            <w:shd w:val="clear" w:color="auto" w:fill="auto"/>
            <w:vAlign w:val="bottom"/>
          </w:tcPr>
          <w:p w14:paraId="55791A6C" w14:textId="77777777" w:rsidR="006376DE" w:rsidRPr="00C441BB" w:rsidRDefault="006376DE" w:rsidP="00301C2A">
            <w:pPr>
              <w:pStyle w:val="TableText"/>
              <w:tabs>
                <w:tab w:val="left" w:pos="3306"/>
              </w:tabs>
              <w:jc w:val="right"/>
              <w:rPr>
                <w:rFonts w:cs="Calibri"/>
                <w:b/>
                <w:bCs/>
              </w:rPr>
            </w:pPr>
          </w:p>
        </w:tc>
        <w:tc>
          <w:tcPr>
            <w:tcW w:w="2268" w:type="dxa"/>
            <w:gridSpan w:val="3"/>
            <w:tcBorders>
              <w:top w:val="double" w:sz="4" w:space="0" w:color="auto"/>
            </w:tcBorders>
            <w:shd w:val="clear" w:color="auto" w:fill="auto"/>
            <w:vAlign w:val="bottom"/>
          </w:tcPr>
          <w:p w14:paraId="21F7833E" w14:textId="77777777" w:rsidR="006376DE" w:rsidRPr="00C441BB" w:rsidRDefault="006376DE" w:rsidP="00301C2A">
            <w:pPr>
              <w:pStyle w:val="TableText"/>
              <w:tabs>
                <w:tab w:val="left" w:pos="3306"/>
              </w:tabs>
              <w:jc w:val="right"/>
              <w:rPr>
                <w:rFonts w:cs="Calibri"/>
                <w:b/>
                <w:bCs/>
              </w:rPr>
            </w:pPr>
          </w:p>
        </w:tc>
        <w:tc>
          <w:tcPr>
            <w:tcW w:w="1559" w:type="dxa"/>
            <w:gridSpan w:val="2"/>
            <w:tcBorders>
              <w:top w:val="double" w:sz="4" w:space="0" w:color="auto"/>
            </w:tcBorders>
            <w:shd w:val="clear" w:color="auto" w:fill="auto"/>
            <w:vAlign w:val="bottom"/>
          </w:tcPr>
          <w:p w14:paraId="2F72AB7B" w14:textId="77777777" w:rsidR="006376DE" w:rsidRPr="00C441BB" w:rsidRDefault="006376DE" w:rsidP="00301C2A">
            <w:pPr>
              <w:pStyle w:val="TableText"/>
              <w:tabs>
                <w:tab w:val="left" w:pos="3306"/>
              </w:tabs>
              <w:jc w:val="right"/>
              <w:rPr>
                <w:rFonts w:cs="Calibri"/>
                <w:b/>
                <w:bCs/>
              </w:rPr>
            </w:pPr>
          </w:p>
        </w:tc>
      </w:tr>
      <w:tr w:rsidR="0009715B" w:rsidRPr="00CF7E1B" w14:paraId="7EF67539" w14:textId="77777777" w:rsidTr="00AC6E38">
        <w:trPr>
          <w:gridAfter w:val="1"/>
          <w:wAfter w:w="148" w:type="dxa"/>
        </w:trPr>
        <w:tc>
          <w:tcPr>
            <w:tcW w:w="1560" w:type="dxa"/>
            <w:tcBorders>
              <w:left w:val="single" w:sz="2" w:space="0" w:color="auto"/>
              <w:right w:val="single" w:sz="2" w:space="0" w:color="auto"/>
            </w:tcBorders>
          </w:tcPr>
          <w:p w14:paraId="1450A113"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440216D" w14:textId="77777777" w:rsidR="006376DE" w:rsidRPr="00C441BB" w:rsidRDefault="006376DE" w:rsidP="00301C2A">
            <w:pPr>
              <w:pStyle w:val="TableText"/>
              <w:tabs>
                <w:tab w:val="left" w:pos="3306"/>
              </w:tabs>
              <w:rPr>
                <w:rFonts w:cs="Calibri"/>
                <w:b/>
                <w:bCs/>
              </w:rPr>
            </w:pPr>
            <w:r w:rsidRPr="00C441BB">
              <w:rPr>
                <w:rFonts w:cs="Calibri"/>
                <w:b/>
                <w:bCs/>
              </w:rPr>
              <w:t>Expenses</w:t>
            </w:r>
          </w:p>
        </w:tc>
        <w:tc>
          <w:tcPr>
            <w:tcW w:w="2448" w:type="dxa"/>
            <w:gridSpan w:val="3"/>
            <w:shd w:val="clear" w:color="auto" w:fill="auto"/>
            <w:vAlign w:val="bottom"/>
          </w:tcPr>
          <w:p w14:paraId="5B4F5665" w14:textId="77777777" w:rsidR="006376DE" w:rsidRPr="00C441BB" w:rsidRDefault="006376DE" w:rsidP="00301C2A">
            <w:pPr>
              <w:pStyle w:val="TableText"/>
              <w:tabs>
                <w:tab w:val="left" w:pos="3306"/>
              </w:tabs>
              <w:jc w:val="right"/>
              <w:rPr>
                <w:rFonts w:cs="Calibri"/>
                <w:b/>
                <w:bCs/>
              </w:rPr>
            </w:pPr>
          </w:p>
        </w:tc>
        <w:tc>
          <w:tcPr>
            <w:tcW w:w="2268" w:type="dxa"/>
            <w:gridSpan w:val="3"/>
            <w:shd w:val="clear" w:color="auto" w:fill="auto"/>
            <w:vAlign w:val="bottom"/>
          </w:tcPr>
          <w:p w14:paraId="0DB24E04"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0C67A375" w14:textId="77777777" w:rsidR="006376DE" w:rsidRPr="00C441BB" w:rsidRDefault="006376DE" w:rsidP="00301C2A">
            <w:pPr>
              <w:pStyle w:val="TableText"/>
              <w:tabs>
                <w:tab w:val="left" w:pos="3306"/>
              </w:tabs>
              <w:jc w:val="right"/>
              <w:rPr>
                <w:rFonts w:cs="Calibri"/>
                <w:b/>
                <w:bCs/>
              </w:rPr>
            </w:pPr>
          </w:p>
        </w:tc>
      </w:tr>
      <w:tr w:rsidR="0009715B" w:rsidRPr="00CF7E1B" w14:paraId="6F9678EF" w14:textId="77777777" w:rsidTr="00AC6E38">
        <w:trPr>
          <w:gridAfter w:val="1"/>
          <w:wAfter w:w="148" w:type="dxa"/>
        </w:trPr>
        <w:tc>
          <w:tcPr>
            <w:tcW w:w="1560" w:type="dxa"/>
            <w:tcBorders>
              <w:left w:val="single" w:sz="2" w:space="0" w:color="auto"/>
              <w:right w:val="single" w:sz="2" w:space="0" w:color="auto"/>
            </w:tcBorders>
          </w:tcPr>
          <w:p w14:paraId="4DF954B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132CA5D" w14:textId="77777777" w:rsidR="006376DE" w:rsidRPr="00C441BB" w:rsidRDefault="006376DE" w:rsidP="00301C2A">
            <w:pPr>
              <w:pStyle w:val="TableText"/>
              <w:tabs>
                <w:tab w:val="left" w:pos="3306"/>
              </w:tabs>
              <w:rPr>
                <w:rFonts w:cs="Calibri"/>
                <w:bCs/>
              </w:rPr>
            </w:pPr>
            <w:r w:rsidRPr="00C441BB">
              <w:rPr>
                <w:rFonts w:cs="Calibri"/>
                <w:bCs/>
              </w:rPr>
              <w:t>Employee Expenses</w:t>
            </w:r>
          </w:p>
        </w:tc>
        <w:tc>
          <w:tcPr>
            <w:tcW w:w="2448" w:type="dxa"/>
            <w:gridSpan w:val="3"/>
            <w:shd w:val="clear" w:color="auto" w:fill="auto"/>
            <w:vAlign w:val="bottom"/>
          </w:tcPr>
          <w:p w14:paraId="448A373D" w14:textId="33710272"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0575F6E8" w14:textId="2AE522B3"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198DCA4C" w14:textId="1C70B53A" w:rsidR="006376DE" w:rsidRPr="00C441BB" w:rsidRDefault="006376DE" w:rsidP="00301C2A">
            <w:pPr>
              <w:pStyle w:val="TableText"/>
              <w:tabs>
                <w:tab w:val="left" w:pos="3306"/>
              </w:tabs>
              <w:jc w:val="right"/>
              <w:rPr>
                <w:rFonts w:cs="Calibri"/>
                <w:bCs/>
              </w:rPr>
            </w:pPr>
          </w:p>
        </w:tc>
      </w:tr>
      <w:tr w:rsidR="0009715B" w:rsidRPr="00CF7E1B" w14:paraId="3FBDF554" w14:textId="77777777" w:rsidTr="00AC6E38">
        <w:trPr>
          <w:gridAfter w:val="1"/>
          <w:wAfter w:w="148" w:type="dxa"/>
        </w:trPr>
        <w:tc>
          <w:tcPr>
            <w:tcW w:w="1560" w:type="dxa"/>
            <w:tcBorders>
              <w:left w:val="single" w:sz="2" w:space="0" w:color="auto"/>
              <w:right w:val="single" w:sz="2" w:space="0" w:color="auto"/>
            </w:tcBorders>
          </w:tcPr>
          <w:p w14:paraId="7AAA52E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33C095D" w14:textId="77777777" w:rsidR="006376DE" w:rsidRPr="00C441BB" w:rsidRDefault="006376DE" w:rsidP="00301C2A">
            <w:pPr>
              <w:pStyle w:val="TableText"/>
              <w:tabs>
                <w:tab w:val="left" w:pos="3306"/>
              </w:tabs>
              <w:rPr>
                <w:rFonts w:cs="Calibri"/>
                <w:bCs/>
              </w:rPr>
            </w:pPr>
            <w:r w:rsidRPr="00C441BB">
              <w:rPr>
                <w:rFonts w:cs="Calibri"/>
                <w:bCs/>
              </w:rPr>
              <w:t>Superannuation Expenses</w:t>
            </w:r>
          </w:p>
        </w:tc>
        <w:tc>
          <w:tcPr>
            <w:tcW w:w="2448" w:type="dxa"/>
            <w:gridSpan w:val="3"/>
            <w:shd w:val="clear" w:color="auto" w:fill="auto"/>
            <w:vAlign w:val="bottom"/>
          </w:tcPr>
          <w:p w14:paraId="614028B3" w14:textId="732351F8"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756634DD" w14:textId="370C6FA1"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6D06FA51" w14:textId="1177ABF4" w:rsidR="006376DE" w:rsidRPr="00C441BB" w:rsidRDefault="006376DE" w:rsidP="00301C2A">
            <w:pPr>
              <w:pStyle w:val="TableText"/>
              <w:tabs>
                <w:tab w:val="left" w:pos="3306"/>
              </w:tabs>
              <w:jc w:val="right"/>
              <w:rPr>
                <w:rFonts w:cs="Calibri"/>
                <w:bCs/>
              </w:rPr>
            </w:pPr>
          </w:p>
        </w:tc>
      </w:tr>
      <w:tr w:rsidR="0009715B" w:rsidRPr="00CF7E1B" w14:paraId="0843B7AB" w14:textId="77777777" w:rsidTr="00AC6E38">
        <w:trPr>
          <w:gridAfter w:val="1"/>
          <w:wAfter w:w="148" w:type="dxa"/>
        </w:trPr>
        <w:tc>
          <w:tcPr>
            <w:tcW w:w="1560" w:type="dxa"/>
            <w:tcBorders>
              <w:left w:val="single" w:sz="2" w:space="0" w:color="auto"/>
              <w:right w:val="single" w:sz="2" w:space="0" w:color="auto"/>
            </w:tcBorders>
          </w:tcPr>
          <w:p w14:paraId="757973C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F5A7D97" w14:textId="77777777" w:rsidR="006376DE" w:rsidRPr="00C441BB" w:rsidRDefault="006376DE" w:rsidP="00301C2A">
            <w:pPr>
              <w:pStyle w:val="TableText"/>
              <w:tabs>
                <w:tab w:val="left" w:pos="3306"/>
              </w:tabs>
              <w:rPr>
                <w:rFonts w:cs="Calibri"/>
                <w:bCs/>
              </w:rPr>
            </w:pPr>
            <w:r w:rsidRPr="00C441BB">
              <w:rPr>
                <w:rFonts w:cs="Calibri"/>
                <w:bCs/>
              </w:rPr>
              <w:t>Supplies and Services</w:t>
            </w:r>
          </w:p>
        </w:tc>
        <w:tc>
          <w:tcPr>
            <w:tcW w:w="2448" w:type="dxa"/>
            <w:gridSpan w:val="3"/>
            <w:shd w:val="clear" w:color="auto" w:fill="auto"/>
            <w:vAlign w:val="bottom"/>
          </w:tcPr>
          <w:p w14:paraId="5D90F8F9" w14:textId="22FECAD0"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1DAC509C" w14:textId="575CED0C"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69D3694" w14:textId="2D0C992C" w:rsidR="006376DE" w:rsidRPr="00C441BB" w:rsidRDefault="006376DE" w:rsidP="00301C2A">
            <w:pPr>
              <w:pStyle w:val="TableText"/>
              <w:tabs>
                <w:tab w:val="left" w:pos="3306"/>
              </w:tabs>
              <w:jc w:val="right"/>
              <w:rPr>
                <w:rFonts w:cs="Calibri"/>
                <w:bCs/>
              </w:rPr>
            </w:pPr>
          </w:p>
        </w:tc>
      </w:tr>
      <w:tr w:rsidR="0009715B" w:rsidRPr="00CF7E1B" w14:paraId="5D0C099B" w14:textId="77777777" w:rsidTr="00AC6E38">
        <w:trPr>
          <w:gridAfter w:val="1"/>
          <w:wAfter w:w="148" w:type="dxa"/>
        </w:trPr>
        <w:tc>
          <w:tcPr>
            <w:tcW w:w="1560" w:type="dxa"/>
            <w:tcBorders>
              <w:left w:val="single" w:sz="2" w:space="0" w:color="auto"/>
              <w:right w:val="single" w:sz="2" w:space="0" w:color="auto"/>
            </w:tcBorders>
          </w:tcPr>
          <w:p w14:paraId="28E9BDD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2A23B239" w14:textId="77777777" w:rsidR="006376DE" w:rsidRPr="00C441BB" w:rsidRDefault="006376DE" w:rsidP="00301C2A">
            <w:pPr>
              <w:pStyle w:val="TableText"/>
              <w:tabs>
                <w:tab w:val="left" w:pos="3306"/>
              </w:tabs>
              <w:rPr>
                <w:rFonts w:cs="Calibri"/>
                <w:bCs/>
              </w:rPr>
            </w:pPr>
            <w:r w:rsidRPr="00C441BB">
              <w:rPr>
                <w:rFonts w:cs="Calibri"/>
                <w:bCs/>
              </w:rPr>
              <w:t>Depreciation and Amortisation</w:t>
            </w:r>
          </w:p>
        </w:tc>
        <w:tc>
          <w:tcPr>
            <w:tcW w:w="2448" w:type="dxa"/>
            <w:gridSpan w:val="3"/>
            <w:shd w:val="clear" w:color="auto" w:fill="auto"/>
            <w:vAlign w:val="bottom"/>
          </w:tcPr>
          <w:p w14:paraId="3679107F" w14:textId="04C45F07"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5D7A9F2B" w14:textId="4DB06FF8"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443915F4" w14:textId="23B76528" w:rsidR="006376DE" w:rsidRPr="00C441BB" w:rsidRDefault="006376DE" w:rsidP="00301C2A">
            <w:pPr>
              <w:pStyle w:val="TableText"/>
              <w:tabs>
                <w:tab w:val="left" w:pos="3306"/>
              </w:tabs>
              <w:jc w:val="right"/>
              <w:rPr>
                <w:rFonts w:cs="Calibri"/>
                <w:bCs/>
              </w:rPr>
            </w:pPr>
          </w:p>
        </w:tc>
      </w:tr>
      <w:tr w:rsidR="0009715B" w:rsidRPr="00CF7E1B" w14:paraId="6F7D9D3B" w14:textId="77777777" w:rsidTr="00AC6E38">
        <w:trPr>
          <w:gridAfter w:val="1"/>
          <w:wAfter w:w="148" w:type="dxa"/>
        </w:trPr>
        <w:tc>
          <w:tcPr>
            <w:tcW w:w="1560" w:type="dxa"/>
            <w:tcBorders>
              <w:left w:val="single" w:sz="2" w:space="0" w:color="auto"/>
              <w:right w:val="single" w:sz="2" w:space="0" w:color="auto"/>
            </w:tcBorders>
          </w:tcPr>
          <w:p w14:paraId="31D96297"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BA8082E" w14:textId="77777777" w:rsidR="006376DE" w:rsidRPr="00C441BB" w:rsidRDefault="006376DE" w:rsidP="00301C2A">
            <w:pPr>
              <w:pStyle w:val="TableText"/>
              <w:tabs>
                <w:tab w:val="left" w:pos="3306"/>
              </w:tabs>
              <w:rPr>
                <w:rFonts w:cs="Calibri"/>
                <w:bCs/>
              </w:rPr>
            </w:pPr>
            <w:r w:rsidRPr="00C441BB">
              <w:rPr>
                <w:rFonts w:cs="Calibri"/>
                <w:bCs/>
              </w:rPr>
              <w:t>Grants and Purchased Services</w:t>
            </w:r>
          </w:p>
        </w:tc>
        <w:tc>
          <w:tcPr>
            <w:tcW w:w="2448" w:type="dxa"/>
            <w:gridSpan w:val="3"/>
            <w:shd w:val="clear" w:color="auto" w:fill="auto"/>
            <w:vAlign w:val="bottom"/>
          </w:tcPr>
          <w:p w14:paraId="784EB7EE" w14:textId="111C7C3F"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7EF322F6" w14:textId="1530EDB9"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50914129" w14:textId="7C7E5287" w:rsidR="006376DE" w:rsidRPr="00C441BB" w:rsidRDefault="006376DE" w:rsidP="00301C2A">
            <w:pPr>
              <w:pStyle w:val="TableText"/>
              <w:tabs>
                <w:tab w:val="left" w:pos="3306"/>
              </w:tabs>
              <w:jc w:val="right"/>
              <w:rPr>
                <w:rFonts w:cs="Calibri"/>
                <w:bCs/>
              </w:rPr>
            </w:pPr>
          </w:p>
        </w:tc>
      </w:tr>
      <w:tr w:rsidR="0009715B" w:rsidRPr="00CF7E1B" w14:paraId="012CAF70" w14:textId="77777777" w:rsidTr="00AC6E38">
        <w:trPr>
          <w:gridAfter w:val="1"/>
          <w:wAfter w:w="148" w:type="dxa"/>
          <w:trHeight w:hRule="exact" w:val="113"/>
        </w:trPr>
        <w:tc>
          <w:tcPr>
            <w:tcW w:w="1560" w:type="dxa"/>
            <w:tcBorders>
              <w:left w:val="single" w:sz="2" w:space="0" w:color="auto"/>
              <w:right w:val="single" w:sz="2" w:space="0" w:color="auto"/>
            </w:tcBorders>
          </w:tcPr>
          <w:p w14:paraId="4105CA62"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1631E573" w14:textId="77777777" w:rsidR="006376DE" w:rsidRPr="00C441BB" w:rsidRDefault="006376DE" w:rsidP="00301C2A">
            <w:pPr>
              <w:pStyle w:val="TableText"/>
              <w:tabs>
                <w:tab w:val="left" w:pos="3306"/>
              </w:tabs>
              <w:spacing w:before="0"/>
              <w:rPr>
                <w:rFonts w:cs="Calibri"/>
                <w:b/>
                <w:bCs/>
                <w:sz w:val="12"/>
                <w:szCs w:val="12"/>
              </w:rPr>
            </w:pPr>
          </w:p>
        </w:tc>
        <w:tc>
          <w:tcPr>
            <w:tcW w:w="2448" w:type="dxa"/>
            <w:gridSpan w:val="3"/>
            <w:tcBorders>
              <w:bottom w:val="single" w:sz="4" w:space="0" w:color="auto"/>
            </w:tcBorders>
            <w:shd w:val="clear" w:color="auto" w:fill="auto"/>
            <w:vAlign w:val="bottom"/>
          </w:tcPr>
          <w:p w14:paraId="133C2A12" w14:textId="77777777" w:rsidR="006376DE" w:rsidRPr="00C441BB" w:rsidRDefault="006376DE" w:rsidP="00301C2A">
            <w:pPr>
              <w:pStyle w:val="TableText"/>
              <w:tabs>
                <w:tab w:val="left" w:pos="3306"/>
              </w:tabs>
              <w:spacing w:before="0"/>
              <w:jc w:val="right"/>
              <w:rPr>
                <w:rFonts w:cs="Calibri"/>
                <w:b/>
                <w:bCs/>
                <w:sz w:val="12"/>
                <w:szCs w:val="12"/>
              </w:rPr>
            </w:pPr>
          </w:p>
        </w:tc>
        <w:tc>
          <w:tcPr>
            <w:tcW w:w="2268" w:type="dxa"/>
            <w:gridSpan w:val="3"/>
            <w:tcBorders>
              <w:bottom w:val="single" w:sz="4" w:space="0" w:color="auto"/>
            </w:tcBorders>
            <w:shd w:val="clear" w:color="auto" w:fill="auto"/>
            <w:vAlign w:val="bottom"/>
          </w:tcPr>
          <w:p w14:paraId="0626BE59" w14:textId="77777777" w:rsidR="006376DE" w:rsidRPr="00C441BB" w:rsidRDefault="006376DE" w:rsidP="00301C2A">
            <w:pPr>
              <w:pStyle w:val="TableText"/>
              <w:tabs>
                <w:tab w:val="left" w:pos="3306"/>
              </w:tabs>
              <w:spacing w:before="0"/>
              <w:jc w:val="right"/>
              <w:rPr>
                <w:rFonts w:cs="Calibri"/>
                <w:b/>
                <w:bCs/>
                <w:sz w:val="12"/>
                <w:szCs w:val="12"/>
              </w:rPr>
            </w:pPr>
          </w:p>
        </w:tc>
        <w:tc>
          <w:tcPr>
            <w:tcW w:w="1559" w:type="dxa"/>
            <w:gridSpan w:val="2"/>
            <w:tcBorders>
              <w:bottom w:val="single" w:sz="4" w:space="0" w:color="auto"/>
            </w:tcBorders>
            <w:shd w:val="clear" w:color="auto" w:fill="auto"/>
            <w:vAlign w:val="bottom"/>
          </w:tcPr>
          <w:p w14:paraId="17610C97" w14:textId="77777777" w:rsidR="006376DE" w:rsidRPr="00C441BB" w:rsidRDefault="006376DE" w:rsidP="00301C2A">
            <w:pPr>
              <w:pStyle w:val="TableText"/>
              <w:tabs>
                <w:tab w:val="left" w:pos="3306"/>
              </w:tabs>
              <w:spacing w:before="0"/>
              <w:jc w:val="right"/>
              <w:rPr>
                <w:rFonts w:cs="Calibri"/>
                <w:b/>
                <w:bCs/>
                <w:sz w:val="12"/>
                <w:szCs w:val="12"/>
              </w:rPr>
            </w:pPr>
          </w:p>
        </w:tc>
      </w:tr>
      <w:tr w:rsidR="0009715B" w:rsidRPr="00CF7E1B" w14:paraId="2EC9F0B1" w14:textId="77777777" w:rsidTr="00AC6E38">
        <w:trPr>
          <w:gridAfter w:val="1"/>
          <w:wAfter w:w="148" w:type="dxa"/>
        </w:trPr>
        <w:tc>
          <w:tcPr>
            <w:tcW w:w="1560" w:type="dxa"/>
            <w:tcBorders>
              <w:left w:val="single" w:sz="2" w:space="0" w:color="auto"/>
              <w:right w:val="single" w:sz="2" w:space="0" w:color="auto"/>
            </w:tcBorders>
          </w:tcPr>
          <w:p w14:paraId="2A53001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D37C9ED" w14:textId="77777777" w:rsidR="006376DE" w:rsidRPr="00C441BB" w:rsidRDefault="006376DE" w:rsidP="00301C2A">
            <w:pPr>
              <w:pStyle w:val="TableText"/>
              <w:tabs>
                <w:tab w:val="left" w:pos="3306"/>
              </w:tabs>
              <w:rPr>
                <w:rFonts w:cs="Calibri"/>
                <w:b/>
                <w:bCs/>
              </w:rPr>
            </w:pPr>
            <w:r w:rsidRPr="00C441BB">
              <w:rPr>
                <w:rFonts w:cs="Calibri"/>
                <w:b/>
                <w:bCs/>
              </w:rPr>
              <w:t>Total Expenses</w:t>
            </w:r>
          </w:p>
        </w:tc>
        <w:tc>
          <w:tcPr>
            <w:tcW w:w="2448" w:type="dxa"/>
            <w:gridSpan w:val="3"/>
            <w:tcBorders>
              <w:top w:val="single" w:sz="4" w:space="0" w:color="auto"/>
              <w:bottom w:val="double" w:sz="4" w:space="0" w:color="auto"/>
            </w:tcBorders>
            <w:shd w:val="clear" w:color="auto" w:fill="auto"/>
            <w:vAlign w:val="bottom"/>
          </w:tcPr>
          <w:p w14:paraId="704A5E53" w14:textId="37DA1678"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shd w:val="clear" w:color="auto" w:fill="auto"/>
            <w:vAlign w:val="bottom"/>
          </w:tcPr>
          <w:p w14:paraId="70119AC6" w14:textId="35D4980E"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6E6B8B3F" w14:textId="0CD72C8B" w:rsidR="006376DE" w:rsidRPr="00C441BB" w:rsidRDefault="006376DE" w:rsidP="00301C2A">
            <w:pPr>
              <w:pStyle w:val="TableText"/>
              <w:tabs>
                <w:tab w:val="left" w:pos="3306"/>
              </w:tabs>
              <w:jc w:val="right"/>
              <w:rPr>
                <w:rFonts w:cs="Calibri"/>
                <w:b/>
                <w:bCs/>
              </w:rPr>
            </w:pPr>
          </w:p>
        </w:tc>
      </w:tr>
      <w:tr w:rsidR="006376DE" w:rsidRPr="00CF7E1B" w14:paraId="034ECF91" w14:textId="77777777" w:rsidTr="00AC6E38">
        <w:trPr>
          <w:gridAfter w:val="1"/>
          <w:wAfter w:w="148" w:type="dxa"/>
        </w:trPr>
        <w:tc>
          <w:tcPr>
            <w:tcW w:w="1560" w:type="dxa"/>
            <w:tcBorders>
              <w:left w:val="single" w:sz="2" w:space="0" w:color="auto"/>
              <w:right w:val="single" w:sz="2" w:space="0" w:color="auto"/>
            </w:tcBorders>
          </w:tcPr>
          <w:p w14:paraId="14237312" w14:textId="77777777" w:rsidR="006376DE" w:rsidRPr="00877D2B" w:rsidRDefault="006376DE" w:rsidP="002C6F4A">
            <w:pPr>
              <w:rPr>
                <w:rFonts w:cs="Calibri"/>
                <w:sz w:val="16"/>
              </w:rPr>
            </w:pPr>
          </w:p>
        </w:tc>
        <w:tc>
          <w:tcPr>
            <w:tcW w:w="8930" w:type="dxa"/>
            <w:gridSpan w:val="9"/>
            <w:tcBorders>
              <w:left w:val="single" w:sz="2" w:space="0" w:color="auto"/>
            </w:tcBorders>
            <w:vAlign w:val="bottom"/>
          </w:tcPr>
          <w:p w14:paraId="2F0238EE" w14:textId="77777777" w:rsidR="006376DE" w:rsidRPr="00C441BB" w:rsidRDefault="006376DE" w:rsidP="00301C2A">
            <w:pPr>
              <w:pStyle w:val="TableText"/>
              <w:tabs>
                <w:tab w:val="left" w:pos="3306"/>
              </w:tabs>
              <w:rPr>
                <w:rFonts w:cs="Calibri"/>
                <w:b/>
                <w:bCs/>
              </w:rPr>
            </w:pPr>
          </w:p>
        </w:tc>
      </w:tr>
      <w:tr w:rsidR="00E40F69" w:rsidRPr="00CF7E1B" w14:paraId="019D85A3" w14:textId="77777777" w:rsidTr="00AC6E38">
        <w:trPr>
          <w:gridAfter w:val="1"/>
          <w:wAfter w:w="148" w:type="dxa"/>
        </w:trPr>
        <w:tc>
          <w:tcPr>
            <w:tcW w:w="1560" w:type="dxa"/>
            <w:tcBorders>
              <w:left w:val="single" w:sz="2" w:space="0" w:color="auto"/>
              <w:right w:val="single" w:sz="2" w:space="0" w:color="auto"/>
            </w:tcBorders>
          </w:tcPr>
          <w:p w14:paraId="017D9DA2" w14:textId="77777777" w:rsidR="00E40F69" w:rsidRPr="00877D2B" w:rsidRDefault="00E40F69" w:rsidP="002C6F4A">
            <w:pPr>
              <w:rPr>
                <w:rFonts w:cs="Calibri"/>
                <w:sz w:val="16"/>
              </w:rPr>
            </w:pPr>
          </w:p>
        </w:tc>
        <w:tc>
          <w:tcPr>
            <w:tcW w:w="8930" w:type="dxa"/>
            <w:gridSpan w:val="9"/>
            <w:tcBorders>
              <w:left w:val="single" w:sz="2" w:space="0" w:color="auto"/>
            </w:tcBorders>
            <w:vAlign w:val="bottom"/>
          </w:tcPr>
          <w:p w14:paraId="4B150CEC" w14:textId="77777777" w:rsidR="00E40F69" w:rsidRPr="00C441BB" w:rsidRDefault="00E40F69" w:rsidP="00301C2A">
            <w:pPr>
              <w:pStyle w:val="TableText"/>
              <w:tabs>
                <w:tab w:val="left" w:pos="3306"/>
              </w:tabs>
              <w:spacing w:before="0" w:after="120"/>
              <w:rPr>
                <w:rFonts w:cs="Calibri"/>
                <w:b/>
                <w:bCs/>
              </w:rPr>
            </w:pPr>
            <w:r w:rsidRPr="00C441BB">
              <w:rPr>
                <w:rFonts w:cs="Calibri"/>
                <w:b/>
                <w:bCs/>
              </w:rPr>
              <w:t>Assets and Liabilities</w:t>
            </w:r>
          </w:p>
        </w:tc>
      </w:tr>
      <w:tr w:rsidR="00E40F69" w:rsidRPr="00CF7E1B" w14:paraId="354B791F" w14:textId="77777777" w:rsidTr="00AC6E38">
        <w:trPr>
          <w:gridAfter w:val="1"/>
          <w:wAfter w:w="148" w:type="dxa"/>
          <w:trHeight w:val="450"/>
        </w:trPr>
        <w:tc>
          <w:tcPr>
            <w:tcW w:w="1560" w:type="dxa"/>
            <w:tcBorders>
              <w:left w:val="single" w:sz="2" w:space="0" w:color="auto"/>
              <w:right w:val="single" w:sz="2" w:space="0" w:color="auto"/>
            </w:tcBorders>
          </w:tcPr>
          <w:p w14:paraId="131C5EA9" w14:textId="24C3D5B6" w:rsidR="00E40F69" w:rsidRPr="007403CD" w:rsidRDefault="007403CD" w:rsidP="002C6F4A">
            <w:pPr>
              <w:rPr>
                <w:rFonts w:cs="Calibri"/>
                <w:sz w:val="14"/>
                <w:szCs w:val="14"/>
              </w:rPr>
            </w:pPr>
            <w:r w:rsidRPr="007403CD">
              <w:rPr>
                <w:rFonts w:cs="Calibri"/>
                <w:color w:val="FF0000"/>
                <w:sz w:val="14"/>
                <w:szCs w:val="14"/>
              </w:rPr>
              <w:t>ACT Accounting Policy</w:t>
            </w:r>
          </w:p>
        </w:tc>
        <w:tc>
          <w:tcPr>
            <w:tcW w:w="8930" w:type="dxa"/>
            <w:gridSpan w:val="9"/>
            <w:tcBorders>
              <w:left w:val="single" w:sz="2" w:space="0" w:color="auto"/>
            </w:tcBorders>
            <w:vAlign w:val="bottom"/>
          </w:tcPr>
          <w:p w14:paraId="426845D3" w14:textId="288B7C1A" w:rsidR="00E40F69" w:rsidRPr="00C441BB" w:rsidRDefault="007403CD" w:rsidP="00301C2A">
            <w:pPr>
              <w:pStyle w:val="TableText"/>
              <w:tabs>
                <w:tab w:val="left" w:pos="3306"/>
              </w:tabs>
              <w:spacing w:before="0" w:after="120"/>
              <w:jc w:val="both"/>
              <w:rPr>
                <w:rFonts w:cs="Calibri"/>
                <w:bCs/>
              </w:rPr>
            </w:pPr>
            <w:r w:rsidRPr="007403CD">
              <w:rPr>
                <w:rFonts w:cs="Calibri"/>
                <w:color w:val="FF0000"/>
              </w:rPr>
              <w:t xml:space="preserve">Assets and liabilities transferred as part of </w:t>
            </w:r>
            <w:r>
              <w:rPr>
                <w:rFonts w:cs="Calibri"/>
                <w:color w:val="FF0000"/>
              </w:rPr>
              <w:t>a</w:t>
            </w:r>
            <w:r w:rsidRPr="007403CD">
              <w:rPr>
                <w:rFonts w:cs="Calibri"/>
                <w:color w:val="FF0000"/>
              </w:rPr>
              <w:t xml:space="preserve"> </w:t>
            </w:r>
            <w:r w:rsidR="00035833" w:rsidRPr="00035833">
              <w:rPr>
                <w:rFonts w:cs="Calibri"/>
                <w:bCs/>
                <w:color w:val="FF0000"/>
              </w:rPr>
              <w:t xml:space="preserve">restructuring of </w:t>
            </w:r>
            <w:r w:rsidR="00035833">
              <w:rPr>
                <w:rFonts w:cs="Calibri"/>
                <w:color w:val="FF0000"/>
              </w:rPr>
              <w:t>a</w:t>
            </w:r>
            <w:r w:rsidR="001247EF">
              <w:rPr>
                <w:rFonts w:cs="Calibri"/>
                <w:color w:val="FF0000"/>
              </w:rPr>
              <w:t xml:space="preserve">dministrative </w:t>
            </w:r>
            <w:r w:rsidR="00035833">
              <w:rPr>
                <w:rFonts w:cs="Calibri"/>
                <w:color w:val="FF0000"/>
              </w:rPr>
              <w:t>a</w:t>
            </w:r>
            <w:r w:rsidR="001247EF">
              <w:rPr>
                <w:rFonts w:cs="Calibri"/>
                <w:color w:val="FF0000"/>
              </w:rPr>
              <w:t xml:space="preserve">rrangement </w:t>
            </w:r>
            <w:r w:rsidRPr="007403CD">
              <w:rPr>
                <w:rFonts w:cs="Calibri"/>
                <w:color w:val="FF0000"/>
              </w:rPr>
              <w:t>are recognised by ‘Burley Griffin Agency’ at the transferor’s carrying amount.</w:t>
            </w:r>
            <w:r>
              <w:rPr>
                <w:rFonts w:cs="Calibri"/>
                <w:color w:val="FF0000"/>
              </w:rPr>
              <w:t xml:space="preserve"> The amounts are agreed with the transferor prior to the transfer. </w:t>
            </w:r>
            <w:r w:rsidR="00E40F69" w:rsidRPr="00C441BB">
              <w:rPr>
                <w:rFonts w:cs="Calibri"/>
                <w:bCs/>
              </w:rPr>
              <w:t>The assets and liabilities transferred as part of the restructuring of administrative arrangements at the date</w:t>
            </w:r>
            <w:r w:rsidR="00246DEB" w:rsidRPr="00C441BB">
              <w:rPr>
                <w:rFonts w:cs="Calibri"/>
                <w:bCs/>
              </w:rPr>
              <w:t>s</w:t>
            </w:r>
            <w:r w:rsidR="00E40F69" w:rsidRPr="00C441BB">
              <w:rPr>
                <w:rFonts w:cs="Calibri"/>
                <w:bCs/>
              </w:rPr>
              <w:t xml:space="preserve"> of transfer </w:t>
            </w:r>
            <w:r w:rsidR="009B0564" w:rsidRPr="00C441BB">
              <w:rPr>
                <w:rFonts w:cs="Calibri"/>
                <w:bCs/>
              </w:rPr>
              <w:t>were</w:t>
            </w:r>
            <w:r w:rsidR="00E40F69" w:rsidRPr="00C441BB">
              <w:rPr>
                <w:rFonts w:cs="Calibri"/>
                <w:bCs/>
              </w:rPr>
              <w:t xml:space="preserve"> as follows:</w:t>
            </w:r>
          </w:p>
        </w:tc>
      </w:tr>
      <w:tr w:rsidR="0009715B" w:rsidRPr="00CF7E1B" w14:paraId="62399F1F" w14:textId="77777777" w:rsidTr="00AC6E38">
        <w:trPr>
          <w:gridAfter w:val="1"/>
          <w:wAfter w:w="148" w:type="dxa"/>
          <w:trHeight w:hRule="exact" w:val="515"/>
        </w:trPr>
        <w:tc>
          <w:tcPr>
            <w:tcW w:w="1560" w:type="dxa"/>
            <w:tcBorders>
              <w:left w:val="single" w:sz="2" w:space="0" w:color="auto"/>
              <w:right w:val="single" w:sz="2" w:space="0" w:color="auto"/>
            </w:tcBorders>
            <w:vAlign w:val="center"/>
          </w:tcPr>
          <w:p w14:paraId="2B7264BE" w14:textId="77777777" w:rsidR="001551A2" w:rsidRPr="00877D2B" w:rsidRDefault="001551A2" w:rsidP="00301C2A">
            <w:pPr>
              <w:jc w:val="center"/>
              <w:rPr>
                <w:rFonts w:cs="Calibri"/>
                <w:sz w:val="16"/>
              </w:rPr>
            </w:pPr>
          </w:p>
        </w:tc>
        <w:tc>
          <w:tcPr>
            <w:tcW w:w="4961" w:type="dxa"/>
            <w:gridSpan w:val="3"/>
            <w:tcBorders>
              <w:left w:val="single" w:sz="2" w:space="0" w:color="auto"/>
            </w:tcBorders>
            <w:shd w:val="clear" w:color="auto" w:fill="auto"/>
            <w:vAlign w:val="center"/>
          </w:tcPr>
          <w:p w14:paraId="5E8F95A1" w14:textId="77777777" w:rsidR="001551A2" w:rsidRPr="00301C2A" w:rsidRDefault="001551A2" w:rsidP="005E3DFA">
            <w:pPr>
              <w:pStyle w:val="TableText"/>
              <w:tabs>
                <w:tab w:val="left" w:pos="3306"/>
              </w:tabs>
              <w:jc w:val="center"/>
              <w:rPr>
                <w:rFonts w:cs="Calibri"/>
                <w:b/>
                <w:bCs/>
              </w:rPr>
            </w:pPr>
          </w:p>
        </w:tc>
        <w:tc>
          <w:tcPr>
            <w:tcW w:w="1843" w:type="dxa"/>
            <w:gridSpan w:val="2"/>
            <w:shd w:val="clear" w:color="auto" w:fill="auto"/>
          </w:tcPr>
          <w:p w14:paraId="456C1BB4" w14:textId="77777777" w:rsidR="001551A2" w:rsidRPr="00C441BB" w:rsidRDefault="001551A2" w:rsidP="005E3DFA">
            <w:pPr>
              <w:pStyle w:val="TableText"/>
              <w:tabs>
                <w:tab w:val="left" w:pos="1659"/>
              </w:tabs>
              <w:ind w:left="-278" w:right="-387"/>
              <w:jc w:val="center"/>
              <w:rPr>
                <w:rFonts w:cs="Calibri"/>
                <w:b/>
                <w:bCs/>
              </w:rPr>
            </w:pPr>
            <w:r w:rsidRPr="00C441BB">
              <w:rPr>
                <w:rFonts w:cs="Calibri"/>
                <w:b/>
                <w:bCs/>
              </w:rPr>
              <w:t>Transferred Amounts</w:t>
            </w:r>
          </w:p>
          <w:p w14:paraId="5F6F968A" w14:textId="10CBDC95" w:rsidR="001551A2" w:rsidRPr="00C441BB" w:rsidRDefault="005E3DFA" w:rsidP="005E3DFA">
            <w:pPr>
              <w:pStyle w:val="TableText"/>
              <w:tabs>
                <w:tab w:val="left" w:pos="3306"/>
              </w:tabs>
              <w:jc w:val="right"/>
              <w:rPr>
                <w:rFonts w:cs="Calibri"/>
                <w:b/>
                <w:bCs/>
              </w:rPr>
            </w:pPr>
            <w:r w:rsidRPr="00C441BB">
              <w:rPr>
                <w:rFonts w:cs="Calibri"/>
                <w:b/>
                <w:bCs/>
              </w:rPr>
              <w:t>202</w:t>
            </w:r>
            <w:r w:rsidR="0002512F">
              <w:rPr>
                <w:rFonts w:cs="Calibri"/>
                <w:b/>
                <w:bCs/>
              </w:rPr>
              <w:t>2</w:t>
            </w:r>
            <w:r w:rsidRPr="00C441BB">
              <w:rPr>
                <w:rFonts w:cs="Calibri"/>
                <w:b/>
                <w:bCs/>
              </w:rPr>
              <w:t>-2</w:t>
            </w:r>
            <w:r w:rsidR="0002512F">
              <w:rPr>
                <w:rFonts w:cs="Calibri"/>
                <w:b/>
                <w:bCs/>
              </w:rPr>
              <w:t>3</w:t>
            </w:r>
          </w:p>
        </w:tc>
        <w:tc>
          <w:tcPr>
            <w:tcW w:w="2126" w:type="dxa"/>
            <w:gridSpan w:val="4"/>
            <w:shd w:val="clear" w:color="auto" w:fill="auto"/>
          </w:tcPr>
          <w:p w14:paraId="2D5CF542" w14:textId="7BCBFCD0" w:rsidR="001551A2" w:rsidRPr="00C441BB" w:rsidRDefault="001551A2" w:rsidP="00C441BB">
            <w:pPr>
              <w:pStyle w:val="TableText"/>
              <w:tabs>
                <w:tab w:val="left" w:pos="1659"/>
              </w:tabs>
              <w:jc w:val="right"/>
              <w:rPr>
                <w:rFonts w:cs="Calibri"/>
                <w:b/>
                <w:bCs/>
                <w:strike/>
              </w:rPr>
            </w:pPr>
            <w:r w:rsidRPr="00C441BB">
              <w:rPr>
                <w:rFonts w:cs="Calibri"/>
                <w:b/>
                <w:bCs/>
              </w:rPr>
              <w:t>Transferred Amounts</w:t>
            </w:r>
            <w:r w:rsidR="00D23D0B" w:rsidRPr="00C441BB">
              <w:rPr>
                <w:rFonts w:cs="Calibri"/>
                <w:b/>
                <w:bCs/>
              </w:rPr>
              <w:t xml:space="preserve"> </w:t>
            </w:r>
            <w:r w:rsidR="005E3DFA" w:rsidRPr="00C441BB">
              <w:rPr>
                <w:rFonts w:cs="Calibri"/>
                <w:b/>
                <w:bCs/>
              </w:rPr>
              <w:t>202</w:t>
            </w:r>
            <w:r w:rsidR="0002512F">
              <w:rPr>
                <w:rFonts w:cs="Calibri"/>
                <w:b/>
                <w:bCs/>
              </w:rPr>
              <w:t>1</w:t>
            </w:r>
            <w:r w:rsidR="005E3DFA" w:rsidRPr="00C441BB">
              <w:rPr>
                <w:rFonts w:cs="Calibri"/>
                <w:b/>
                <w:bCs/>
              </w:rPr>
              <w:t>-2</w:t>
            </w:r>
            <w:r w:rsidR="0002512F">
              <w:rPr>
                <w:rFonts w:cs="Calibri"/>
                <w:b/>
                <w:bCs/>
              </w:rPr>
              <w:t>2</w:t>
            </w:r>
          </w:p>
        </w:tc>
      </w:tr>
      <w:tr w:rsidR="0009715B" w:rsidRPr="00CF7E1B" w14:paraId="57088B11" w14:textId="77777777" w:rsidTr="00AC6E38">
        <w:trPr>
          <w:gridAfter w:val="1"/>
          <w:wAfter w:w="148" w:type="dxa"/>
          <w:trHeight w:hRule="exact" w:val="227"/>
        </w:trPr>
        <w:tc>
          <w:tcPr>
            <w:tcW w:w="1560" w:type="dxa"/>
            <w:tcBorders>
              <w:left w:val="single" w:sz="2" w:space="0" w:color="auto"/>
              <w:right w:val="single" w:sz="2" w:space="0" w:color="auto"/>
            </w:tcBorders>
          </w:tcPr>
          <w:p w14:paraId="579A404D"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3A1B438" w14:textId="77777777" w:rsidR="001551A2" w:rsidRPr="00301C2A" w:rsidRDefault="001551A2" w:rsidP="00301C2A">
            <w:pPr>
              <w:pStyle w:val="TableText"/>
              <w:tabs>
                <w:tab w:val="left" w:pos="3306"/>
              </w:tabs>
              <w:jc w:val="right"/>
              <w:rPr>
                <w:rFonts w:cs="Calibri"/>
                <w:b/>
                <w:bCs/>
              </w:rPr>
            </w:pPr>
          </w:p>
        </w:tc>
        <w:tc>
          <w:tcPr>
            <w:tcW w:w="1843" w:type="dxa"/>
            <w:gridSpan w:val="2"/>
            <w:shd w:val="clear" w:color="auto" w:fill="auto"/>
            <w:vAlign w:val="center"/>
          </w:tcPr>
          <w:p w14:paraId="7D8BB7E9" w14:textId="77777777" w:rsidR="001551A2" w:rsidRPr="00C441BB" w:rsidRDefault="003C1381" w:rsidP="00301C2A">
            <w:pPr>
              <w:pStyle w:val="TableText"/>
              <w:jc w:val="right"/>
              <w:rPr>
                <w:rFonts w:cs="Calibri"/>
                <w:b/>
                <w:bCs/>
              </w:rPr>
            </w:pPr>
            <w:r w:rsidRPr="00C441BB">
              <w:rPr>
                <w:rFonts w:cs="Calibri"/>
                <w:b/>
                <w:bCs/>
              </w:rPr>
              <w:t>$’000</w:t>
            </w:r>
          </w:p>
        </w:tc>
        <w:tc>
          <w:tcPr>
            <w:tcW w:w="2126" w:type="dxa"/>
            <w:gridSpan w:val="4"/>
            <w:shd w:val="clear" w:color="auto" w:fill="auto"/>
            <w:vAlign w:val="center"/>
          </w:tcPr>
          <w:p w14:paraId="741B513D" w14:textId="77777777" w:rsidR="001551A2" w:rsidRPr="00C441BB" w:rsidRDefault="003C1381" w:rsidP="00301C2A">
            <w:pPr>
              <w:pStyle w:val="TableText"/>
              <w:jc w:val="right"/>
              <w:rPr>
                <w:rFonts w:cs="Calibri"/>
                <w:b/>
                <w:bCs/>
              </w:rPr>
            </w:pPr>
            <w:r w:rsidRPr="00C441BB">
              <w:rPr>
                <w:rFonts w:cs="Calibri"/>
                <w:b/>
                <w:bCs/>
              </w:rPr>
              <w:t>$’000</w:t>
            </w:r>
          </w:p>
        </w:tc>
      </w:tr>
      <w:tr w:rsidR="0009715B" w:rsidRPr="00CF7E1B" w14:paraId="46E08B1D" w14:textId="77777777" w:rsidTr="00AC6E38">
        <w:trPr>
          <w:gridAfter w:val="1"/>
          <w:wAfter w:w="148" w:type="dxa"/>
          <w:trHeight w:hRule="exact" w:val="227"/>
        </w:trPr>
        <w:tc>
          <w:tcPr>
            <w:tcW w:w="1560" w:type="dxa"/>
            <w:tcBorders>
              <w:left w:val="single" w:sz="2" w:space="0" w:color="auto"/>
              <w:right w:val="single" w:sz="2" w:space="0" w:color="auto"/>
            </w:tcBorders>
          </w:tcPr>
          <w:p w14:paraId="7DCBF964"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152B78F4" w14:textId="77777777" w:rsidR="001551A2" w:rsidRPr="00301C2A" w:rsidRDefault="001551A2" w:rsidP="00301C2A">
            <w:pPr>
              <w:pStyle w:val="TableText"/>
              <w:tabs>
                <w:tab w:val="left" w:pos="3306"/>
              </w:tabs>
              <w:rPr>
                <w:rFonts w:cs="Calibri"/>
                <w:b/>
                <w:bCs/>
              </w:rPr>
            </w:pPr>
            <w:r w:rsidRPr="00301C2A">
              <w:rPr>
                <w:rFonts w:cs="Calibri"/>
                <w:b/>
                <w:szCs w:val="16"/>
              </w:rPr>
              <w:t>Assets</w:t>
            </w:r>
          </w:p>
        </w:tc>
        <w:tc>
          <w:tcPr>
            <w:tcW w:w="1843" w:type="dxa"/>
            <w:gridSpan w:val="2"/>
            <w:shd w:val="clear" w:color="auto" w:fill="auto"/>
            <w:vAlign w:val="bottom"/>
          </w:tcPr>
          <w:p w14:paraId="3FCBD36D" w14:textId="77777777" w:rsidR="001551A2" w:rsidRPr="00301C2A" w:rsidRDefault="001551A2" w:rsidP="00301C2A">
            <w:pPr>
              <w:pStyle w:val="TableText"/>
              <w:jc w:val="right"/>
              <w:rPr>
                <w:rFonts w:cs="Calibri"/>
                <w:b/>
                <w:bCs/>
              </w:rPr>
            </w:pPr>
          </w:p>
        </w:tc>
        <w:tc>
          <w:tcPr>
            <w:tcW w:w="2126" w:type="dxa"/>
            <w:gridSpan w:val="4"/>
            <w:shd w:val="clear" w:color="auto" w:fill="auto"/>
            <w:vAlign w:val="bottom"/>
          </w:tcPr>
          <w:p w14:paraId="097ACB93" w14:textId="77777777" w:rsidR="001551A2" w:rsidRPr="00C441BB" w:rsidRDefault="001551A2" w:rsidP="00301C2A">
            <w:pPr>
              <w:pStyle w:val="TableText"/>
              <w:jc w:val="right"/>
              <w:rPr>
                <w:rFonts w:cs="Calibri"/>
                <w:b/>
                <w:bCs/>
              </w:rPr>
            </w:pPr>
          </w:p>
        </w:tc>
      </w:tr>
      <w:tr w:rsidR="0009715B" w:rsidRPr="00CF7E1B" w14:paraId="587C22C9" w14:textId="77777777" w:rsidTr="00AC6E38">
        <w:trPr>
          <w:gridAfter w:val="1"/>
          <w:wAfter w:w="148" w:type="dxa"/>
          <w:trHeight w:hRule="exact" w:val="227"/>
        </w:trPr>
        <w:tc>
          <w:tcPr>
            <w:tcW w:w="1560" w:type="dxa"/>
            <w:tcBorders>
              <w:left w:val="single" w:sz="2" w:space="0" w:color="auto"/>
              <w:right w:val="single" w:sz="2" w:space="0" w:color="auto"/>
            </w:tcBorders>
          </w:tcPr>
          <w:p w14:paraId="2F45A0AB"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1D317E64" w14:textId="77777777" w:rsidR="001551A2" w:rsidRPr="00301C2A" w:rsidRDefault="001551A2" w:rsidP="00104F61">
            <w:pPr>
              <w:pStyle w:val="TableText"/>
              <w:tabs>
                <w:tab w:val="left" w:pos="3306"/>
              </w:tabs>
              <w:rPr>
                <w:rFonts w:cs="Calibri"/>
                <w:b/>
                <w:bCs/>
              </w:rPr>
            </w:pPr>
            <w:r w:rsidRPr="00301C2A">
              <w:rPr>
                <w:rFonts w:cs="Calibri"/>
                <w:szCs w:val="16"/>
              </w:rPr>
              <w:t>Cash and Cash Equivalents</w:t>
            </w:r>
          </w:p>
        </w:tc>
        <w:tc>
          <w:tcPr>
            <w:tcW w:w="1843" w:type="dxa"/>
            <w:gridSpan w:val="2"/>
            <w:shd w:val="clear" w:color="auto" w:fill="auto"/>
            <w:vAlign w:val="bottom"/>
          </w:tcPr>
          <w:p w14:paraId="0ECA73A2" w14:textId="164AC9A6" w:rsidR="001551A2" w:rsidRPr="00301C2A" w:rsidRDefault="001551A2" w:rsidP="00301C2A">
            <w:pPr>
              <w:pStyle w:val="TableText"/>
              <w:jc w:val="right"/>
              <w:rPr>
                <w:rFonts w:cs="Calibri"/>
                <w:bCs/>
              </w:rPr>
            </w:pPr>
          </w:p>
        </w:tc>
        <w:tc>
          <w:tcPr>
            <w:tcW w:w="2126" w:type="dxa"/>
            <w:gridSpan w:val="4"/>
            <w:shd w:val="clear" w:color="auto" w:fill="auto"/>
            <w:vAlign w:val="bottom"/>
          </w:tcPr>
          <w:p w14:paraId="07C2D543" w14:textId="00C164F5" w:rsidR="001551A2" w:rsidRPr="00C441BB" w:rsidRDefault="001551A2" w:rsidP="00301C2A">
            <w:pPr>
              <w:pStyle w:val="TableText"/>
              <w:jc w:val="right"/>
              <w:rPr>
                <w:rFonts w:cs="Calibri"/>
                <w:bCs/>
              </w:rPr>
            </w:pPr>
          </w:p>
        </w:tc>
      </w:tr>
      <w:tr w:rsidR="0009715B" w:rsidRPr="00CF7E1B" w14:paraId="6F1FD288" w14:textId="77777777" w:rsidTr="00AC6E38">
        <w:trPr>
          <w:gridAfter w:val="1"/>
          <w:wAfter w:w="148" w:type="dxa"/>
          <w:trHeight w:hRule="exact" w:val="227"/>
        </w:trPr>
        <w:tc>
          <w:tcPr>
            <w:tcW w:w="1560" w:type="dxa"/>
            <w:tcBorders>
              <w:left w:val="single" w:sz="2" w:space="0" w:color="auto"/>
              <w:right w:val="single" w:sz="2" w:space="0" w:color="auto"/>
            </w:tcBorders>
          </w:tcPr>
          <w:p w14:paraId="2D4F62BF"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98BF82D" w14:textId="77777777" w:rsidR="001551A2" w:rsidRPr="00301C2A" w:rsidRDefault="001551A2" w:rsidP="00104F61">
            <w:pPr>
              <w:pStyle w:val="TableText"/>
              <w:tabs>
                <w:tab w:val="left" w:pos="3306"/>
              </w:tabs>
              <w:rPr>
                <w:rFonts w:cs="Calibri"/>
                <w:b/>
                <w:bCs/>
              </w:rPr>
            </w:pPr>
            <w:r w:rsidRPr="00301C2A">
              <w:rPr>
                <w:rFonts w:cs="Calibri"/>
                <w:szCs w:val="16"/>
              </w:rPr>
              <w:t>Receivables</w:t>
            </w:r>
          </w:p>
        </w:tc>
        <w:tc>
          <w:tcPr>
            <w:tcW w:w="1843" w:type="dxa"/>
            <w:gridSpan w:val="2"/>
            <w:shd w:val="clear" w:color="auto" w:fill="auto"/>
            <w:vAlign w:val="bottom"/>
          </w:tcPr>
          <w:p w14:paraId="69BCB86D" w14:textId="38E597A9" w:rsidR="001551A2" w:rsidRPr="00301C2A" w:rsidRDefault="001551A2" w:rsidP="00301C2A">
            <w:pPr>
              <w:pStyle w:val="TableText"/>
              <w:jc w:val="right"/>
              <w:rPr>
                <w:rFonts w:cs="Calibri"/>
                <w:bCs/>
              </w:rPr>
            </w:pPr>
          </w:p>
        </w:tc>
        <w:tc>
          <w:tcPr>
            <w:tcW w:w="2126" w:type="dxa"/>
            <w:gridSpan w:val="4"/>
            <w:shd w:val="clear" w:color="auto" w:fill="auto"/>
            <w:vAlign w:val="bottom"/>
          </w:tcPr>
          <w:p w14:paraId="07FC24E3" w14:textId="4E269316" w:rsidR="001551A2" w:rsidRPr="00C441BB" w:rsidRDefault="001551A2" w:rsidP="00301C2A">
            <w:pPr>
              <w:pStyle w:val="TableText"/>
              <w:jc w:val="right"/>
              <w:rPr>
                <w:rFonts w:cs="Calibri"/>
                <w:bCs/>
              </w:rPr>
            </w:pPr>
          </w:p>
        </w:tc>
      </w:tr>
      <w:tr w:rsidR="0009715B" w:rsidRPr="00CF7E1B" w14:paraId="501E5F4A" w14:textId="77777777" w:rsidTr="00AC6E38">
        <w:trPr>
          <w:gridAfter w:val="1"/>
          <w:wAfter w:w="148" w:type="dxa"/>
          <w:trHeight w:hRule="exact" w:val="227"/>
        </w:trPr>
        <w:tc>
          <w:tcPr>
            <w:tcW w:w="1560" w:type="dxa"/>
            <w:tcBorders>
              <w:left w:val="single" w:sz="2" w:space="0" w:color="auto"/>
              <w:right w:val="single" w:sz="2" w:space="0" w:color="auto"/>
            </w:tcBorders>
          </w:tcPr>
          <w:p w14:paraId="32DCA2D8"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56000A0" w14:textId="77777777" w:rsidR="001551A2" w:rsidRPr="00301C2A" w:rsidRDefault="001551A2" w:rsidP="00104F61">
            <w:pPr>
              <w:pStyle w:val="TableText"/>
              <w:tabs>
                <w:tab w:val="left" w:pos="3306"/>
              </w:tabs>
              <w:rPr>
                <w:rFonts w:cs="Calibri"/>
                <w:b/>
                <w:bCs/>
              </w:rPr>
            </w:pPr>
            <w:r w:rsidRPr="00301C2A">
              <w:rPr>
                <w:rFonts w:cs="Calibri"/>
                <w:szCs w:val="16"/>
              </w:rPr>
              <w:t>Land</w:t>
            </w:r>
          </w:p>
        </w:tc>
        <w:tc>
          <w:tcPr>
            <w:tcW w:w="1843" w:type="dxa"/>
            <w:gridSpan w:val="2"/>
            <w:shd w:val="clear" w:color="auto" w:fill="auto"/>
            <w:vAlign w:val="bottom"/>
          </w:tcPr>
          <w:p w14:paraId="5F04D0E4" w14:textId="75B1B660" w:rsidR="001551A2" w:rsidRPr="00301C2A" w:rsidRDefault="001551A2" w:rsidP="00301C2A">
            <w:pPr>
              <w:pStyle w:val="TableText"/>
              <w:jc w:val="right"/>
              <w:rPr>
                <w:rFonts w:cs="Calibri"/>
                <w:bCs/>
              </w:rPr>
            </w:pPr>
          </w:p>
        </w:tc>
        <w:tc>
          <w:tcPr>
            <w:tcW w:w="2126" w:type="dxa"/>
            <w:gridSpan w:val="4"/>
            <w:shd w:val="clear" w:color="auto" w:fill="auto"/>
            <w:vAlign w:val="bottom"/>
          </w:tcPr>
          <w:p w14:paraId="56CEA1B4" w14:textId="5AF7F653" w:rsidR="001551A2" w:rsidRPr="00C441BB" w:rsidRDefault="001551A2" w:rsidP="00301C2A">
            <w:pPr>
              <w:pStyle w:val="TableText"/>
              <w:jc w:val="right"/>
              <w:rPr>
                <w:rFonts w:cs="Calibri"/>
                <w:bCs/>
              </w:rPr>
            </w:pPr>
          </w:p>
        </w:tc>
      </w:tr>
      <w:tr w:rsidR="0009715B" w:rsidRPr="00CF7E1B" w14:paraId="04D9802A" w14:textId="77777777" w:rsidTr="00AC6E38">
        <w:trPr>
          <w:gridAfter w:val="1"/>
          <w:wAfter w:w="148" w:type="dxa"/>
          <w:trHeight w:hRule="exact" w:val="298"/>
        </w:trPr>
        <w:tc>
          <w:tcPr>
            <w:tcW w:w="1560" w:type="dxa"/>
            <w:tcBorders>
              <w:left w:val="single" w:sz="2" w:space="0" w:color="auto"/>
              <w:right w:val="single" w:sz="2" w:space="0" w:color="auto"/>
            </w:tcBorders>
          </w:tcPr>
          <w:p w14:paraId="75EAAD0D"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46FDBCCA" w14:textId="39BFE121" w:rsidR="001551A2" w:rsidRPr="00301C2A" w:rsidRDefault="001551A2" w:rsidP="00104F61">
            <w:pPr>
              <w:pStyle w:val="TableText"/>
              <w:tabs>
                <w:tab w:val="left" w:pos="3306"/>
              </w:tabs>
              <w:rPr>
                <w:rFonts w:cs="Calibri"/>
                <w:b/>
                <w:bCs/>
              </w:rPr>
            </w:pPr>
            <w:r w:rsidRPr="00104F61">
              <w:rPr>
                <w:rFonts w:cs="Calibri"/>
                <w:bCs/>
                <w:strike/>
                <w:color w:val="FF0000"/>
              </w:rPr>
              <w:t>Community and</w:t>
            </w:r>
            <w:r w:rsidRPr="00104F61">
              <w:rPr>
                <w:rFonts w:cs="Calibri"/>
                <w:bCs/>
                <w:color w:val="FF0000"/>
              </w:rPr>
              <w:t xml:space="preserve"> </w:t>
            </w:r>
            <w:r w:rsidRPr="00301C2A">
              <w:rPr>
                <w:rFonts w:cs="Calibri"/>
                <w:bCs/>
              </w:rPr>
              <w:t xml:space="preserve">Heritage </w:t>
            </w:r>
            <w:r w:rsidR="00104F61" w:rsidRPr="005408A6">
              <w:rPr>
                <w:rFonts w:cs="Calibri"/>
                <w:color w:val="FF0000"/>
              </w:rPr>
              <w:t xml:space="preserve">and </w:t>
            </w:r>
            <w:r w:rsidR="00104F61">
              <w:rPr>
                <w:rFonts w:cs="Calibri"/>
                <w:color w:val="FF0000"/>
              </w:rPr>
              <w:t>C</w:t>
            </w:r>
            <w:r w:rsidR="00104F61" w:rsidRPr="005408A6">
              <w:rPr>
                <w:rFonts w:cs="Calibri"/>
                <w:color w:val="FF0000"/>
              </w:rPr>
              <w:t xml:space="preserve">ommunity </w:t>
            </w:r>
            <w:r w:rsidRPr="00301C2A">
              <w:rPr>
                <w:rFonts w:cs="Calibri"/>
                <w:bCs/>
              </w:rPr>
              <w:t>Assets</w:t>
            </w:r>
          </w:p>
        </w:tc>
        <w:tc>
          <w:tcPr>
            <w:tcW w:w="1843" w:type="dxa"/>
            <w:gridSpan w:val="2"/>
            <w:tcBorders>
              <w:bottom w:val="single" w:sz="2" w:space="0" w:color="auto"/>
            </w:tcBorders>
            <w:shd w:val="clear" w:color="auto" w:fill="auto"/>
            <w:vAlign w:val="bottom"/>
          </w:tcPr>
          <w:p w14:paraId="0F406EF9" w14:textId="54E401B1" w:rsidR="001551A2" w:rsidRPr="00301C2A" w:rsidRDefault="001551A2" w:rsidP="00301C2A">
            <w:pPr>
              <w:pStyle w:val="TableText"/>
              <w:jc w:val="right"/>
              <w:rPr>
                <w:rFonts w:cs="Calibri"/>
                <w:bCs/>
              </w:rPr>
            </w:pPr>
          </w:p>
        </w:tc>
        <w:tc>
          <w:tcPr>
            <w:tcW w:w="2126" w:type="dxa"/>
            <w:gridSpan w:val="4"/>
            <w:tcBorders>
              <w:bottom w:val="single" w:sz="2" w:space="0" w:color="auto"/>
            </w:tcBorders>
            <w:shd w:val="clear" w:color="auto" w:fill="auto"/>
            <w:vAlign w:val="bottom"/>
          </w:tcPr>
          <w:p w14:paraId="35EDF4EA" w14:textId="457FDA3C" w:rsidR="001551A2" w:rsidRPr="00C441BB" w:rsidRDefault="001551A2" w:rsidP="00301C2A">
            <w:pPr>
              <w:pStyle w:val="TableText"/>
              <w:jc w:val="right"/>
              <w:rPr>
                <w:rFonts w:cs="Calibri"/>
                <w:bCs/>
              </w:rPr>
            </w:pPr>
          </w:p>
        </w:tc>
      </w:tr>
      <w:tr w:rsidR="0009715B" w:rsidRPr="00CF7E1B" w14:paraId="462DE46F" w14:textId="77777777" w:rsidTr="00AC6E38">
        <w:trPr>
          <w:gridAfter w:val="1"/>
          <w:wAfter w:w="148" w:type="dxa"/>
        </w:trPr>
        <w:tc>
          <w:tcPr>
            <w:tcW w:w="1560" w:type="dxa"/>
            <w:tcBorders>
              <w:left w:val="single" w:sz="2" w:space="0" w:color="auto"/>
              <w:right w:val="single" w:sz="2" w:space="0" w:color="auto"/>
            </w:tcBorders>
          </w:tcPr>
          <w:p w14:paraId="6ED7C187"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662845A9" w14:textId="77777777" w:rsidR="001551A2" w:rsidRPr="00301C2A" w:rsidRDefault="003C1381" w:rsidP="00301C2A">
            <w:pPr>
              <w:pStyle w:val="TableText"/>
              <w:tabs>
                <w:tab w:val="left" w:pos="3306"/>
              </w:tabs>
              <w:rPr>
                <w:rFonts w:cs="Calibri"/>
                <w:b/>
                <w:bCs/>
              </w:rPr>
            </w:pPr>
            <w:r w:rsidRPr="00301C2A">
              <w:rPr>
                <w:rFonts w:cs="Calibri"/>
                <w:b/>
                <w:szCs w:val="16"/>
              </w:rPr>
              <w:t>Total</w:t>
            </w:r>
            <w:r w:rsidR="001551A2" w:rsidRPr="00301C2A">
              <w:rPr>
                <w:rFonts w:cs="Calibri"/>
                <w:b/>
                <w:szCs w:val="16"/>
              </w:rPr>
              <w:t xml:space="preserve"> Assets</w:t>
            </w:r>
            <w:r w:rsidRPr="00301C2A">
              <w:rPr>
                <w:rFonts w:cs="Calibri"/>
                <w:b/>
                <w:szCs w:val="16"/>
              </w:rPr>
              <w:t xml:space="preserve"> Transferred</w:t>
            </w:r>
          </w:p>
        </w:tc>
        <w:tc>
          <w:tcPr>
            <w:tcW w:w="1843" w:type="dxa"/>
            <w:gridSpan w:val="2"/>
            <w:tcBorders>
              <w:top w:val="single" w:sz="2" w:space="0" w:color="auto"/>
            </w:tcBorders>
            <w:shd w:val="clear" w:color="auto" w:fill="auto"/>
            <w:vAlign w:val="bottom"/>
          </w:tcPr>
          <w:p w14:paraId="32055AB5" w14:textId="3DA794A9" w:rsidR="001551A2" w:rsidRPr="00301C2A" w:rsidRDefault="001551A2" w:rsidP="00301C2A">
            <w:pPr>
              <w:pStyle w:val="TableText"/>
              <w:jc w:val="right"/>
              <w:rPr>
                <w:rFonts w:cs="Calibri"/>
                <w:b/>
                <w:bCs/>
              </w:rPr>
            </w:pPr>
          </w:p>
        </w:tc>
        <w:tc>
          <w:tcPr>
            <w:tcW w:w="2126" w:type="dxa"/>
            <w:gridSpan w:val="4"/>
            <w:tcBorders>
              <w:top w:val="single" w:sz="2" w:space="0" w:color="auto"/>
            </w:tcBorders>
            <w:shd w:val="clear" w:color="auto" w:fill="auto"/>
            <w:vAlign w:val="bottom"/>
          </w:tcPr>
          <w:p w14:paraId="1275A454" w14:textId="5DE88E4A" w:rsidR="001551A2" w:rsidRPr="00C441BB" w:rsidRDefault="001551A2" w:rsidP="00301C2A">
            <w:pPr>
              <w:pStyle w:val="TableText"/>
              <w:jc w:val="right"/>
              <w:rPr>
                <w:rFonts w:cs="Calibri"/>
                <w:b/>
                <w:bCs/>
              </w:rPr>
            </w:pPr>
          </w:p>
        </w:tc>
      </w:tr>
      <w:tr w:rsidR="0009715B" w:rsidRPr="00CF7E1B" w14:paraId="28E016F3" w14:textId="77777777" w:rsidTr="00AC6E38">
        <w:trPr>
          <w:gridAfter w:val="1"/>
          <w:wAfter w:w="148" w:type="dxa"/>
          <w:trHeight w:hRule="exact" w:val="225"/>
        </w:trPr>
        <w:tc>
          <w:tcPr>
            <w:tcW w:w="1560" w:type="dxa"/>
            <w:tcBorders>
              <w:left w:val="single" w:sz="2" w:space="0" w:color="auto"/>
              <w:right w:val="single" w:sz="2" w:space="0" w:color="auto"/>
            </w:tcBorders>
          </w:tcPr>
          <w:p w14:paraId="69A15FD2" w14:textId="77777777" w:rsidR="001551A2" w:rsidRPr="00877D2B" w:rsidRDefault="001551A2" w:rsidP="002C6F4A">
            <w:pPr>
              <w:rPr>
                <w:rFonts w:cs="Calibri"/>
                <w:sz w:val="16"/>
              </w:rPr>
            </w:pPr>
          </w:p>
        </w:tc>
        <w:tc>
          <w:tcPr>
            <w:tcW w:w="7437" w:type="dxa"/>
            <w:gridSpan w:val="8"/>
            <w:tcBorders>
              <w:left w:val="single" w:sz="2" w:space="0" w:color="auto"/>
            </w:tcBorders>
            <w:shd w:val="clear" w:color="auto" w:fill="auto"/>
            <w:vAlign w:val="bottom"/>
          </w:tcPr>
          <w:p w14:paraId="6EE5F1E6" w14:textId="77777777" w:rsidR="001551A2" w:rsidRPr="00C441BB" w:rsidRDefault="001551A2" w:rsidP="00301C2A">
            <w:pPr>
              <w:pStyle w:val="TableText"/>
              <w:tabs>
                <w:tab w:val="left" w:pos="3306"/>
              </w:tabs>
              <w:rPr>
                <w:rFonts w:cs="Calibri"/>
                <w:bCs/>
              </w:rPr>
            </w:pPr>
          </w:p>
        </w:tc>
        <w:tc>
          <w:tcPr>
            <w:tcW w:w="1493" w:type="dxa"/>
            <w:shd w:val="clear" w:color="auto" w:fill="auto"/>
            <w:vAlign w:val="bottom"/>
          </w:tcPr>
          <w:p w14:paraId="067DF301" w14:textId="77777777" w:rsidR="001551A2" w:rsidRPr="00C441BB" w:rsidRDefault="001551A2" w:rsidP="00301C2A">
            <w:pPr>
              <w:pStyle w:val="TableText"/>
              <w:tabs>
                <w:tab w:val="left" w:pos="3306"/>
              </w:tabs>
              <w:jc w:val="right"/>
              <w:rPr>
                <w:rFonts w:cs="Calibri"/>
                <w:b/>
                <w:bCs/>
              </w:rPr>
            </w:pPr>
          </w:p>
        </w:tc>
      </w:tr>
      <w:tr w:rsidR="0009715B" w:rsidRPr="00CF7E1B" w14:paraId="615FC065" w14:textId="77777777" w:rsidTr="00AC6E38">
        <w:trPr>
          <w:gridAfter w:val="1"/>
          <w:wAfter w:w="148" w:type="dxa"/>
          <w:trHeight w:val="301"/>
        </w:trPr>
        <w:tc>
          <w:tcPr>
            <w:tcW w:w="1560" w:type="dxa"/>
            <w:tcBorders>
              <w:left w:val="single" w:sz="2" w:space="0" w:color="auto"/>
              <w:right w:val="single" w:sz="2" w:space="0" w:color="auto"/>
            </w:tcBorders>
          </w:tcPr>
          <w:p w14:paraId="37DD3AD9"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3D27771E" w14:textId="77777777" w:rsidR="001551A2" w:rsidRPr="00301C2A" w:rsidRDefault="001551A2" w:rsidP="00301C2A">
            <w:pPr>
              <w:pStyle w:val="TableText"/>
              <w:tabs>
                <w:tab w:val="left" w:pos="3306"/>
              </w:tabs>
              <w:rPr>
                <w:rFonts w:cs="Calibri"/>
                <w:bCs/>
              </w:rPr>
            </w:pPr>
            <w:r w:rsidRPr="00301C2A">
              <w:rPr>
                <w:rFonts w:cs="Calibri"/>
                <w:b/>
                <w:szCs w:val="16"/>
              </w:rPr>
              <w:t>Liabilities</w:t>
            </w:r>
          </w:p>
        </w:tc>
        <w:tc>
          <w:tcPr>
            <w:tcW w:w="1843" w:type="dxa"/>
            <w:gridSpan w:val="2"/>
            <w:shd w:val="clear" w:color="auto" w:fill="auto"/>
            <w:vAlign w:val="bottom"/>
          </w:tcPr>
          <w:p w14:paraId="2E117D09" w14:textId="77777777" w:rsidR="001551A2" w:rsidRPr="00301C2A" w:rsidRDefault="001551A2" w:rsidP="00301C2A">
            <w:pPr>
              <w:pStyle w:val="TableText"/>
              <w:ind w:left="-51" w:firstLine="51"/>
              <w:jc w:val="right"/>
              <w:rPr>
                <w:rFonts w:cs="Calibri"/>
                <w:b/>
                <w:bCs/>
              </w:rPr>
            </w:pPr>
          </w:p>
        </w:tc>
        <w:tc>
          <w:tcPr>
            <w:tcW w:w="2126" w:type="dxa"/>
            <w:gridSpan w:val="4"/>
            <w:shd w:val="clear" w:color="auto" w:fill="auto"/>
            <w:vAlign w:val="bottom"/>
          </w:tcPr>
          <w:p w14:paraId="6FF69284" w14:textId="77777777" w:rsidR="001551A2" w:rsidRPr="00C441BB" w:rsidRDefault="001551A2" w:rsidP="00301C2A">
            <w:pPr>
              <w:pStyle w:val="TableText"/>
              <w:ind w:left="-51" w:firstLine="51"/>
              <w:jc w:val="right"/>
              <w:rPr>
                <w:rFonts w:cs="Calibri"/>
                <w:b/>
                <w:bCs/>
              </w:rPr>
            </w:pPr>
          </w:p>
        </w:tc>
      </w:tr>
      <w:tr w:rsidR="0009715B" w:rsidRPr="00CF7E1B" w14:paraId="672CA1F2" w14:textId="77777777" w:rsidTr="00AC6E38">
        <w:trPr>
          <w:gridAfter w:val="1"/>
          <w:wAfter w:w="148" w:type="dxa"/>
          <w:trHeight w:val="270"/>
        </w:trPr>
        <w:tc>
          <w:tcPr>
            <w:tcW w:w="1560" w:type="dxa"/>
            <w:tcBorders>
              <w:left w:val="single" w:sz="2" w:space="0" w:color="auto"/>
              <w:right w:val="single" w:sz="2" w:space="0" w:color="auto"/>
            </w:tcBorders>
          </w:tcPr>
          <w:p w14:paraId="3164D901"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04E5CDF0" w14:textId="77777777" w:rsidR="001551A2" w:rsidRPr="00301C2A" w:rsidRDefault="001551A2" w:rsidP="00301C2A">
            <w:pPr>
              <w:pStyle w:val="TableText"/>
              <w:tabs>
                <w:tab w:val="left" w:pos="3306"/>
              </w:tabs>
              <w:rPr>
                <w:rFonts w:cs="Calibri"/>
                <w:b/>
                <w:bCs/>
              </w:rPr>
            </w:pPr>
            <w:r w:rsidRPr="00301C2A">
              <w:rPr>
                <w:rFonts w:cs="Calibri"/>
                <w:szCs w:val="16"/>
              </w:rPr>
              <w:t>Payables</w:t>
            </w:r>
          </w:p>
        </w:tc>
        <w:tc>
          <w:tcPr>
            <w:tcW w:w="1843" w:type="dxa"/>
            <w:gridSpan w:val="2"/>
            <w:shd w:val="clear" w:color="auto" w:fill="auto"/>
            <w:vAlign w:val="bottom"/>
          </w:tcPr>
          <w:p w14:paraId="7F1A2A1B" w14:textId="2D03D8CB" w:rsidR="001551A2" w:rsidRPr="00301C2A" w:rsidRDefault="001551A2" w:rsidP="00301C2A">
            <w:pPr>
              <w:pStyle w:val="TableText"/>
              <w:ind w:left="-51" w:firstLine="51"/>
              <w:jc w:val="right"/>
              <w:rPr>
                <w:rFonts w:cs="Calibri"/>
                <w:bCs/>
              </w:rPr>
            </w:pPr>
          </w:p>
        </w:tc>
        <w:tc>
          <w:tcPr>
            <w:tcW w:w="2126" w:type="dxa"/>
            <w:gridSpan w:val="4"/>
            <w:shd w:val="clear" w:color="auto" w:fill="auto"/>
            <w:vAlign w:val="bottom"/>
          </w:tcPr>
          <w:p w14:paraId="29CE374F" w14:textId="60FEE0D3" w:rsidR="001551A2" w:rsidRPr="00C441BB" w:rsidRDefault="001551A2" w:rsidP="00301C2A">
            <w:pPr>
              <w:pStyle w:val="TableText"/>
              <w:ind w:left="-51" w:firstLine="51"/>
              <w:jc w:val="right"/>
              <w:rPr>
                <w:rFonts w:cs="Calibri"/>
                <w:bCs/>
              </w:rPr>
            </w:pPr>
          </w:p>
        </w:tc>
      </w:tr>
      <w:tr w:rsidR="0009715B" w:rsidRPr="00CF7E1B" w14:paraId="1E5AA7D1" w14:textId="77777777" w:rsidTr="00AC6E38">
        <w:trPr>
          <w:gridAfter w:val="1"/>
          <w:wAfter w:w="148" w:type="dxa"/>
          <w:trHeight w:val="270"/>
        </w:trPr>
        <w:tc>
          <w:tcPr>
            <w:tcW w:w="1560" w:type="dxa"/>
            <w:tcBorders>
              <w:left w:val="single" w:sz="2" w:space="0" w:color="auto"/>
              <w:right w:val="single" w:sz="2" w:space="0" w:color="auto"/>
            </w:tcBorders>
          </w:tcPr>
          <w:p w14:paraId="364DAF5C"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D4D2C38" w14:textId="77777777" w:rsidR="001551A2" w:rsidRPr="00301C2A" w:rsidRDefault="001551A2" w:rsidP="00301C2A">
            <w:pPr>
              <w:pStyle w:val="TableText"/>
              <w:tabs>
                <w:tab w:val="left" w:pos="3306"/>
              </w:tabs>
              <w:rPr>
                <w:rFonts w:cs="Calibri"/>
                <w:b/>
                <w:bCs/>
              </w:rPr>
            </w:pPr>
            <w:r w:rsidRPr="00301C2A">
              <w:rPr>
                <w:rFonts w:cs="Calibri"/>
                <w:szCs w:val="16"/>
              </w:rPr>
              <w:t>Employee Benefits</w:t>
            </w:r>
          </w:p>
        </w:tc>
        <w:tc>
          <w:tcPr>
            <w:tcW w:w="1843" w:type="dxa"/>
            <w:gridSpan w:val="2"/>
            <w:tcBorders>
              <w:bottom w:val="single" w:sz="2" w:space="0" w:color="auto"/>
            </w:tcBorders>
            <w:shd w:val="clear" w:color="auto" w:fill="auto"/>
            <w:vAlign w:val="bottom"/>
          </w:tcPr>
          <w:p w14:paraId="74A64B57" w14:textId="39CA355E" w:rsidR="001551A2" w:rsidRPr="00301C2A" w:rsidRDefault="001551A2" w:rsidP="00301C2A">
            <w:pPr>
              <w:pStyle w:val="TableText"/>
              <w:ind w:left="-51" w:firstLine="51"/>
              <w:jc w:val="right"/>
              <w:rPr>
                <w:rFonts w:cs="Calibri"/>
                <w:bCs/>
              </w:rPr>
            </w:pPr>
          </w:p>
        </w:tc>
        <w:tc>
          <w:tcPr>
            <w:tcW w:w="2126" w:type="dxa"/>
            <w:gridSpan w:val="4"/>
            <w:tcBorders>
              <w:bottom w:val="single" w:sz="2" w:space="0" w:color="auto"/>
            </w:tcBorders>
            <w:shd w:val="clear" w:color="auto" w:fill="auto"/>
            <w:vAlign w:val="bottom"/>
          </w:tcPr>
          <w:p w14:paraId="2AA53122" w14:textId="07A0AAEF" w:rsidR="001551A2" w:rsidRPr="00C441BB" w:rsidRDefault="001551A2" w:rsidP="00301C2A">
            <w:pPr>
              <w:pStyle w:val="TableText"/>
              <w:ind w:left="-51" w:firstLine="51"/>
              <w:jc w:val="right"/>
              <w:rPr>
                <w:rFonts w:cs="Calibri"/>
                <w:bCs/>
              </w:rPr>
            </w:pPr>
          </w:p>
        </w:tc>
      </w:tr>
      <w:tr w:rsidR="0009715B" w:rsidRPr="00CF7E1B" w14:paraId="4373668F" w14:textId="77777777" w:rsidTr="00AC6E38">
        <w:trPr>
          <w:gridAfter w:val="1"/>
          <w:wAfter w:w="148" w:type="dxa"/>
          <w:trHeight w:val="270"/>
        </w:trPr>
        <w:tc>
          <w:tcPr>
            <w:tcW w:w="1560" w:type="dxa"/>
            <w:tcBorders>
              <w:left w:val="single" w:sz="2" w:space="0" w:color="auto"/>
              <w:right w:val="single" w:sz="2" w:space="0" w:color="auto"/>
            </w:tcBorders>
          </w:tcPr>
          <w:p w14:paraId="16E4B4D3"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EF9C975" w14:textId="77777777" w:rsidR="001551A2" w:rsidRPr="00301C2A" w:rsidRDefault="003C1381" w:rsidP="00301C2A">
            <w:pPr>
              <w:pStyle w:val="TableText"/>
              <w:tabs>
                <w:tab w:val="left" w:pos="3306"/>
              </w:tabs>
              <w:rPr>
                <w:rFonts w:cs="Calibri"/>
                <w:b/>
                <w:bCs/>
              </w:rPr>
            </w:pPr>
            <w:r w:rsidRPr="00301C2A">
              <w:rPr>
                <w:rFonts w:cs="Calibri"/>
                <w:b/>
                <w:bCs/>
              </w:rPr>
              <w:t>Total</w:t>
            </w:r>
            <w:r w:rsidR="001551A2" w:rsidRPr="00301C2A">
              <w:rPr>
                <w:rFonts w:cs="Calibri"/>
                <w:b/>
                <w:bCs/>
              </w:rPr>
              <w:t xml:space="preserve"> Liabilities </w:t>
            </w:r>
            <w:r w:rsidRPr="00301C2A">
              <w:rPr>
                <w:rFonts w:cs="Calibri"/>
                <w:b/>
                <w:bCs/>
              </w:rPr>
              <w:t>Transferred</w:t>
            </w:r>
          </w:p>
        </w:tc>
        <w:tc>
          <w:tcPr>
            <w:tcW w:w="1843" w:type="dxa"/>
            <w:gridSpan w:val="2"/>
            <w:tcBorders>
              <w:top w:val="single" w:sz="2" w:space="0" w:color="auto"/>
              <w:bottom w:val="single" w:sz="2" w:space="0" w:color="auto"/>
            </w:tcBorders>
            <w:shd w:val="clear" w:color="auto" w:fill="auto"/>
            <w:vAlign w:val="bottom"/>
          </w:tcPr>
          <w:p w14:paraId="2FB2804C" w14:textId="25D61D0B" w:rsidR="001551A2" w:rsidRPr="00301C2A" w:rsidRDefault="001551A2" w:rsidP="00301C2A">
            <w:pPr>
              <w:pStyle w:val="TableText"/>
              <w:jc w:val="right"/>
              <w:rPr>
                <w:rFonts w:cs="Calibri"/>
                <w:b/>
                <w:bCs/>
                <w:spacing w:val="-3"/>
              </w:rPr>
            </w:pPr>
          </w:p>
        </w:tc>
        <w:tc>
          <w:tcPr>
            <w:tcW w:w="2126" w:type="dxa"/>
            <w:gridSpan w:val="4"/>
            <w:tcBorders>
              <w:top w:val="single" w:sz="2" w:space="0" w:color="auto"/>
              <w:bottom w:val="single" w:sz="2" w:space="0" w:color="auto"/>
            </w:tcBorders>
            <w:shd w:val="clear" w:color="auto" w:fill="auto"/>
            <w:vAlign w:val="bottom"/>
          </w:tcPr>
          <w:p w14:paraId="6DF0A193" w14:textId="1D6E26E0" w:rsidR="001551A2" w:rsidRPr="00C441BB" w:rsidRDefault="001551A2" w:rsidP="00301C2A">
            <w:pPr>
              <w:pStyle w:val="FootnoteText"/>
              <w:tabs>
                <w:tab w:val="left" w:pos="3306"/>
              </w:tabs>
              <w:ind w:left="-51" w:firstLine="51"/>
              <w:jc w:val="right"/>
              <w:rPr>
                <w:rFonts w:cs="Calibri"/>
                <w:b/>
                <w:bCs/>
                <w:color w:val="auto"/>
                <w:sz w:val="18"/>
                <w:szCs w:val="18"/>
              </w:rPr>
            </w:pPr>
          </w:p>
        </w:tc>
      </w:tr>
      <w:tr w:rsidR="0009715B" w:rsidRPr="00164947" w14:paraId="1734FCE7" w14:textId="77777777" w:rsidTr="00AC6E38">
        <w:trPr>
          <w:gridAfter w:val="1"/>
          <w:wAfter w:w="148" w:type="dxa"/>
          <w:trHeight w:val="270"/>
        </w:trPr>
        <w:tc>
          <w:tcPr>
            <w:tcW w:w="1560" w:type="dxa"/>
            <w:tcBorders>
              <w:left w:val="single" w:sz="2" w:space="0" w:color="auto"/>
              <w:right w:val="single" w:sz="2" w:space="0" w:color="auto"/>
            </w:tcBorders>
            <w:vAlign w:val="center"/>
          </w:tcPr>
          <w:p w14:paraId="4BAB7342" w14:textId="77777777" w:rsidR="00C64B1A" w:rsidRPr="00877D2B" w:rsidRDefault="00C64B1A" w:rsidP="00301C2A">
            <w:pPr>
              <w:jc w:val="right"/>
              <w:rPr>
                <w:rFonts w:cs="Calibri"/>
                <w:sz w:val="16"/>
              </w:rPr>
            </w:pPr>
          </w:p>
        </w:tc>
        <w:tc>
          <w:tcPr>
            <w:tcW w:w="4961" w:type="dxa"/>
            <w:gridSpan w:val="3"/>
            <w:tcBorders>
              <w:left w:val="single" w:sz="2" w:space="0" w:color="auto"/>
            </w:tcBorders>
            <w:vAlign w:val="center"/>
          </w:tcPr>
          <w:p w14:paraId="0B718545" w14:textId="77777777" w:rsidR="00C64B1A" w:rsidRPr="00164947" w:rsidRDefault="003C1381" w:rsidP="00301C2A">
            <w:pPr>
              <w:pStyle w:val="FootnoteText"/>
              <w:tabs>
                <w:tab w:val="left" w:pos="3306"/>
              </w:tabs>
              <w:rPr>
                <w:rFonts w:cs="Calibri"/>
                <w:b/>
                <w:bCs/>
                <w:color w:val="auto"/>
                <w:sz w:val="18"/>
                <w:szCs w:val="18"/>
              </w:rPr>
            </w:pPr>
            <w:r w:rsidRPr="00164947">
              <w:rPr>
                <w:rFonts w:cs="Calibri"/>
                <w:b/>
                <w:bCs/>
                <w:color w:val="auto"/>
                <w:sz w:val="18"/>
                <w:szCs w:val="18"/>
              </w:rPr>
              <w:t>Total</w:t>
            </w:r>
            <w:r w:rsidR="00C64B1A" w:rsidRPr="00164947">
              <w:rPr>
                <w:rFonts w:cs="Calibri"/>
                <w:b/>
                <w:bCs/>
                <w:color w:val="auto"/>
                <w:sz w:val="18"/>
                <w:szCs w:val="18"/>
              </w:rPr>
              <w:t xml:space="preserve"> Net Assets </w:t>
            </w:r>
            <w:r w:rsidRPr="00164947">
              <w:rPr>
                <w:rFonts w:cs="Calibri"/>
                <w:b/>
                <w:bCs/>
                <w:color w:val="auto"/>
                <w:sz w:val="18"/>
                <w:szCs w:val="18"/>
              </w:rPr>
              <w:t>Transferred</w:t>
            </w:r>
          </w:p>
        </w:tc>
        <w:tc>
          <w:tcPr>
            <w:tcW w:w="1843" w:type="dxa"/>
            <w:gridSpan w:val="2"/>
            <w:tcBorders>
              <w:top w:val="single" w:sz="2" w:space="0" w:color="auto"/>
              <w:bottom w:val="double" w:sz="4" w:space="0" w:color="auto"/>
            </w:tcBorders>
            <w:shd w:val="clear" w:color="auto" w:fill="auto"/>
            <w:vAlign w:val="center"/>
          </w:tcPr>
          <w:p w14:paraId="1D1256D3" w14:textId="7EE28D2A" w:rsidR="00C64B1A" w:rsidRPr="00164947" w:rsidRDefault="00C64B1A" w:rsidP="00301C2A">
            <w:pPr>
              <w:pStyle w:val="FootnoteText"/>
              <w:tabs>
                <w:tab w:val="left" w:pos="3306"/>
              </w:tabs>
              <w:ind w:left="-51" w:firstLine="51"/>
              <w:jc w:val="right"/>
              <w:rPr>
                <w:rFonts w:cs="Calibri"/>
                <w:b/>
                <w:bCs/>
                <w:color w:val="auto"/>
                <w:sz w:val="18"/>
                <w:szCs w:val="18"/>
              </w:rPr>
            </w:pPr>
          </w:p>
        </w:tc>
        <w:tc>
          <w:tcPr>
            <w:tcW w:w="2126" w:type="dxa"/>
            <w:gridSpan w:val="4"/>
            <w:tcBorders>
              <w:top w:val="single" w:sz="2" w:space="0" w:color="auto"/>
              <w:bottom w:val="double" w:sz="4" w:space="0" w:color="auto"/>
            </w:tcBorders>
            <w:shd w:val="clear" w:color="auto" w:fill="auto"/>
            <w:vAlign w:val="center"/>
          </w:tcPr>
          <w:p w14:paraId="63999D50" w14:textId="2224F548" w:rsidR="00C64B1A" w:rsidRPr="00C441BB" w:rsidRDefault="00C64B1A" w:rsidP="00301C2A">
            <w:pPr>
              <w:pStyle w:val="FootnoteText"/>
              <w:tabs>
                <w:tab w:val="left" w:pos="3306"/>
              </w:tabs>
              <w:ind w:left="-51" w:firstLine="51"/>
              <w:jc w:val="right"/>
              <w:rPr>
                <w:rFonts w:cs="Calibri"/>
                <w:b/>
                <w:bCs/>
                <w:color w:val="auto"/>
                <w:sz w:val="18"/>
                <w:szCs w:val="18"/>
              </w:rPr>
            </w:pPr>
          </w:p>
        </w:tc>
      </w:tr>
      <w:tr w:rsidR="00FF61FB" w:rsidRPr="00164947" w14:paraId="30257C2D" w14:textId="77777777" w:rsidTr="00AC6E38">
        <w:trPr>
          <w:gridAfter w:val="1"/>
          <w:wAfter w:w="148" w:type="dxa"/>
          <w:trHeight w:val="270"/>
        </w:trPr>
        <w:tc>
          <w:tcPr>
            <w:tcW w:w="1560" w:type="dxa"/>
            <w:tcBorders>
              <w:left w:val="single" w:sz="2" w:space="0" w:color="auto"/>
              <w:right w:val="single" w:sz="2" w:space="0" w:color="auto"/>
            </w:tcBorders>
            <w:vAlign w:val="center"/>
          </w:tcPr>
          <w:p w14:paraId="39C4020F" w14:textId="77777777" w:rsidR="00FF61FB" w:rsidRPr="00877D2B" w:rsidRDefault="00FF61FB" w:rsidP="00301C2A">
            <w:pPr>
              <w:jc w:val="right"/>
              <w:rPr>
                <w:rFonts w:cs="Calibri"/>
                <w:sz w:val="16"/>
              </w:rPr>
            </w:pPr>
          </w:p>
        </w:tc>
        <w:tc>
          <w:tcPr>
            <w:tcW w:w="4961" w:type="dxa"/>
            <w:gridSpan w:val="3"/>
            <w:tcBorders>
              <w:left w:val="single" w:sz="2" w:space="0" w:color="auto"/>
            </w:tcBorders>
            <w:vAlign w:val="center"/>
          </w:tcPr>
          <w:p w14:paraId="2F8FBBB0" w14:textId="77777777" w:rsidR="00FF61FB" w:rsidRPr="00164947" w:rsidRDefault="00FF61FB" w:rsidP="00301C2A">
            <w:pPr>
              <w:pStyle w:val="FootnoteText"/>
              <w:tabs>
                <w:tab w:val="left" w:pos="3306"/>
              </w:tabs>
              <w:rPr>
                <w:rFonts w:cs="Calibri"/>
                <w:b/>
                <w:bCs/>
                <w:color w:val="auto"/>
                <w:sz w:val="18"/>
                <w:szCs w:val="18"/>
              </w:rPr>
            </w:pPr>
          </w:p>
        </w:tc>
        <w:tc>
          <w:tcPr>
            <w:tcW w:w="1843" w:type="dxa"/>
            <w:gridSpan w:val="2"/>
            <w:tcBorders>
              <w:top w:val="double" w:sz="4" w:space="0" w:color="auto"/>
            </w:tcBorders>
            <w:shd w:val="clear" w:color="auto" w:fill="auto"/>
            <w:vAlign w:val="center"/>
          </w:tcPr>
          <w:p w14:paraId="3820184B" w14:textId="77777777" w:rsidR="00FF61FB" w:rsidRPr="00164947" w:rsidRDefault="00FF61FB" w:rsidP="00301C2A">
            <w:pPr>
              <w:pStyle w:val="FootnoteText"/>
              <w:tabs>
                <w:tab w:val="left" w:pos="3306"/>
              </w:tabs>
              <w:ind w:left="-51" w:firstLine="51"/>
              <w:jc w:val="right"/>
              <w:rPr>
                <w:rFonts w:cs="Calibri"/>
                <w:b/>
                <w:bCs/>
                <w:color w:val="auto"/>
                <w:sz w:val="18"/>
                <w:szCs w:val="18"/>
              </w:rPr>
            </w:pPr>
          </w:p>
        </w:tc>
        <w:tc>
          <w:tcPr>
            <w:tcW w:w="2126" w:type="dxa"/>
            <w:gridSpan w:val="4"/>
            <w:tcBorders>
              <w:top w:val="double" w:sz="4" w:space="0" w:color="auto"/>
            </w:tcBorders>
            <w:shd w:val="clear" w:color="auto" w:fill="auto"/>
            <w:vAlign w:val="center"/>
          </w:tcPr>
          <w:p w14:paraId="4250C86B" w14:textId="77777777" w:rsidR="00FF61FB" w:rsidRPr="00164947" w:rsidRDefault="00FF61FB" w:rsidP="00301C2A">
            <w:pPr>
              <w:pStyle w:val="FootnoteText"/>
              <w:tabs>
                <w:tab w:val="left" w:pos="3306"/>
              </w:tabs>
              <w:ind w:left="-51" w:firstLine="51"/>
              <w:jc w:val="right"/>
              <w:rPr>
                <w:rFonts w:cs="Calibri"/>
                <w:b/>
                <w:bCs/>
                <w:color w:val="auto"/>
                <w:sz w:val="18"/>
                <w:szCs w:val="18"/>
              </w:rPr>
            </w:pPr>
          </w:p>
        </w:tc>
      </w:tr>
    </w:tbl>
    <w:p w14:paraId="66D6E08A" w14:textId="77777777" w:rsidR="009602E4" w:rsidRDefault="009602E4">
      <w:pPr>
        <w:rPr>
          <w:rFonts w:cs="Calibri"/>
        </w:rPr>
      </w:pPr>
      <w:r w:rsidRPr="00CF7E1B">
        <w:rPr>
          <w:rFonts w:cs="Calibri"/>
        </w:rPr>
        <w:br w:type="page"/>
      </w:r>
    </w:p>
    <w:tbl>
      <w:tblPr>
        <w:tblW w:w="10490" w:type="dxa"/>
        <w:tblInd w:w="-3" w:type="dxa"/>
        <w:tblLook w:val="00A0" w:firstRow="1" w:lastRow="0" w:firstColumn="1" w:lastColumn="0" w:noHBand="0" w:noVBand="0"/>
      </w:tblPr>
      <w:tblGrid>
        <w:gridCol w:w="1560"/>
        <w:gridCol w:w="8930"/>
      </w:tblGrid>
      <w:tr w:rsidR="001551A2" w:rsidRPr="00CF7E1B" w14:paraId="765606CD" w14:textId="77777777" w:rsidTr="0004564D">
        <w:trPr>
          <w:trHeight w:val="476"/>
        </w:trPr>
        <w:tc>
          <w:tcPr>
            <w:tcW w:w="1560" w:type="dxa"/>
            <w:tcBorders>
              <w:left w:val="single" w:sz="2" w:space="0" w:color="auto"/>
              <w:right w:val="single" w:sz="2" w:space="0" w:color="auto"/>
            </w:tcBorders>
          </w:tcPr>
          <w:p w14:paraId="74E45194" w14:textId="77777777" w:rsidR="001551A2" w:rsidRPr="00C441BB" w:rsidRDefault="00877D2B" w:rsidP="009F29A6">
            <w:pPr>
              <w:spacing w:before="240" w:after="240"/>
              <w:rPr>
                <w:rFonts w:cs="Calibri"/>
                <w:color w:val="7030A0"/>
                <w:szCs w:val="22"/>
              </w:rPr>
            </w:pPr>
            <w:r w:rsidRPr="00C441BB">
              <w:rPr>
                <w:rFonts w:cs="Calibri"/>
                <w:b/>
                <w:color w:val="7030A0"/>
                <w:szCs w:val="22"/>
              </w:rPr>
              <w:t>Reference</w:t>
            </w:r>
          </w:p>
        </w:tc>
        <w:tc>
          <w:tcPr>
            <w:tcW w:w="8930" w:type="dxa"/>
            <w:tcBorders>
              <w:left w:val="single" w:sz="2" w:space="0" w:color="auto"/>
            </w:tcBorders>
            <w:shd w:val="clear" w:color="auto" w:fill="7030A0"/>
          </w:tcPr>
          <w:p w14:paraId="761A9F16" w14:textId="426B073A" w:rsidR="001551A2" w:rsidRPr="00C441BB" w:rsidRDefault="001551A2" w:rsidP="009F29A6">
            <w:pPr>
              <w:pStyle w:val="CommentaryHeading"/>
              <w:spacing w:before="240" w:after="240"/>
              <w:rPr>
                <w:rFonts w:cs="Calibri"/>
                <w:color w:val="FFFFFF" w:themeColor="background1"/>
                <w:sz w:val="28"/>
                <w:szCs w:val="28"/>
              </w:rPr>
            </w:pPr>
            <w:r w:rsidRPr="00C441BB">
              <w:rPr>
                <w:rFonts w:cs="Calibri"/>
                <w:color w:val="FFFFFF" w:themeColor="background1"/>
                <w:sz w:val="28"/>
                <w:szCs w:val="28"/>
              </w:rPr>
              <w:t xml:space="preserve">Commentary – Note </w:t>
            </w:r>
            <w:r w:rsidR="003334D4" w:rsidRPr="00C441BB">
              <w:rPr>
                <w:rFonts w:cs="Calibri"/>
                <w:color w:val="FFFFFF" w:themeColor="background1"/>
                <w:sz w:val="28"/>
                <w:szCs w:val="28"/>
              </w:rPr>
              <w:t>30</w:t>
            </w:r>
            <w:r w:rsidRPr="00C441BB">
              <w:rPr>
                <w:rFonts w:cs="Calibri"/>
                <w:color w:val="FFFFFF" w:themeColor="background1"/>
                <w:sz w:val="28"/>
                <w:szCs w:val="28"/>
              </w:rPr>
              <w:t>: Restructure of Administrative Arrangements</w:t>
            </w:r>
            <w:r w:rsidR="00234822" w:rsidRPr="00C441BB">
              <w:rPr>
                <w:rFonts w:cs="Calibri"/>
                <w:color w:val="FFFFFF" w:themeColor="background1"/>
                <w:sz w:val="28"/>
                <w:szCs w:val="28"/>
              </w:rPr>
              <w:t xml:space="preserve"> [</w:t>
            </w:r>
            <w:r w:rsidR="004E43B2" w:rsidRPr="00C441BB">
              <w:rPr>
                <w:rFonts w:cs="Calibri"/>
                <w:color w:val="FFFFFF" w:themeColor="background1"/>
                <w:sz w:val="28"/>
                <w:szCs w:val="28"/>
              </w:rPr>
              <w:t>Directorate</w:t>
            </w:r>
            <w:r w:rsidR="00234822" w:rsidRPr="00C441BB">
              <w:rPr>
                <w:rFonts w:cs="Calibri"/>
                <w:color w:val="FFFFFF" w:themeColor="background1"/>
                <w:sz w:val="28"/>
                <w:szCs w:val="28"/>
              </w:rPr>
              <w:t>s Only]</w:t>
            </w:r>
          </w:p>
        </w:tc>
      </w:tr>
      <w:tr w:rsidR="001551A2" w:rsidRPr="00CF7E1B" w14:paraId="59802D1A" w14:textId="77777777" w:rsidTr="0004564D">
        <w:trPr>
          <w:trHeight w:val="1168"/>
        </w:trPr>
        <w:tc>
          <w:tcPr>
            <w:tcW w:w="1560" w:type="dxa"/>
            <w:tcBorders>
              <w:left w:val="single" w:sz="2" w:space="0" w:color="auto"/>
              <w:right w:val="single" w:sz="2" w:space="0" w:color="auto"/>
            </w:tcBorders>
          </w:tcPr>
          <w:p w14:paraId="17285549"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BC29</w:t>
            </w:r>
          </w:p>
        </w:tc>
        <w:tc>
          <w:tcPr>
            <w:tcW w:w="8930" w:type="dxa"/>
            <w:tcBorders>
              <w:left w:val="single" w:sz="2" w:space="0" w:color="auto"/>
            </w:tcBorders>
            <w:shd w:val="clear" w:color="auto" w:fill="7030A0"/>
          </w:tcPr>
          <w:p w14:paraId="015CA059" w14:textId="5502C25E" w:rsidR="001551A2" w:rsidRPr="00C441BB" w:rsidRDefault="001551A2" w:rsidP="00AC7522">
            <w:pPr>
              <w:autoSpaceDE w:val="0"/>
              <w:autoSpaceDN w:val="0"/>
              <w:adjustRightInd w:val="0"/>
              <w:spacing w:after="120"/>
              <w:jc w:val="both"/>
              <w:rPr>
                <w:rFonts w:cs="Calibri"/>
                <w:color w:val="FFFFFF" w:themeColor="background1"/>
                <w:sz w:val="18"/>
                <w:szCs w:val="18"/>
              </w:rPr>
            </w:pPr>
            <w:r w:rsidRPr="00C441BB">
              <w:rPr>
                <w:rFonts w:cs="Calibri"/>
                <w:color w:val="FFFFFF" w:themeColor="background1"/>
                <w:sz w:val="18"/>
                <w:szCs w:val="18"/>
              </w:rPr>
              <w:t xml:space="preserve">The basis of conclusion in AASB 1004 </w:t>
            </w:r>
            <w:r w:rsidR="00AC3EE6" w:rsidRPr="00C441BB">
              <w:rPr>
                <w:rFonts w:cs="Calibri"/>
                <w:i/>
                <w:color w:val="FFFFFF" w:themeColor="background1"/>
                <w:sz w:val="18"/>
                <w:szCs w:val="18"/>
              </w:rPr>
              <w:t xml:space="preserve">Contributions </w:t>
            </w:r>
            <w:r w:rsidRPr="00C441BB">
              <w:rPr>
                <w:rFonts w:cs="Calibri"/>
                <w:color w:val="FFFFFF" w:themeColor="background1"/>
                <w:sz w:val="18"/>
                <w:szCs w:val="18"/>
              </w:rPr>
              <w:t xml:space="preserve">states that the scope of the requirements relating to restructures of </w:t>
            </w:r>
            <w:r w:rsidR="003E4C5B" w:rsidRPr="00C441BB">
              <w:rPr>
                <w:rFonts w:cs="Calibri"/>
                <w:color w:val="FFFFFF" w:themeColor="background1"/>
                <w:sz w:val="18"/>
                <w:szCs w:val="18"/>
              </w:rPr>
              <w:t>A</w:t>
            </w:r>
            <w:r w:rsidRPr="00C441BB">
              <w:rPr>
                <w:rFonts w:cs="Calibri"/>
                <w:color w:val="FFFFFF" w:themeColor="background1"/>
                <w:sz w:val="18"/>
                <w:szCs w:val="18"/>
              </w:rPr>
              <w:t xml:space="preserve">dministrative </w:t>
            </w:r>
            <w:r w:rsidR="003E4C5B" w:rsidRPr="00C441BB">
              <w:rPr>
                <w:rFonts w:cs="Calibri"/>
                <w:color w:val="FFFFFF" w:themeColor="background1"/>
                <w:sz w:val="18"/>
                <w:szCs w:val="18"/>
              </w:rPr>
              <w:t>A</w:t>
            </w:r>
            <w:r w:rsidRPr="00C441BB">
              <w:rPr>
                <w:rFonts w:cs="Calibri"/>
                <w:color w:val="FFFFFF" w:themeColor="background1"/>
                <w:sz w:val="18"/>
                <w:szCs w:val="18"/>
              </w:rPr>
              <w:t>rrangement</w:t>
            </w:r>
            <w:r w:rsidR="00FD4B5D" w:rsidRPr="00C441BB">
              <w:rPr>
                <w:rFonts w:cs="Calibri"/>
                <w:color w:val="FFFFFF" w:themeColor="background1"/>
                <w:sz w:val="18"/>
                <w:szCs w:val="18"/>
              </w:rPr>
              <w:t>s</w:t>
            </w:r>
            <w:r w:rsidR="003E4C5B" w:rsidRPr="00C441BB">
              <w:rPr>
                <w:rFonts w:cs="Calibri"/>
                <w:color w:val="FFFFFF" w:themeColor="background1"/>
                <w:sz w:val="18"/>
                <w:szCs w:val="18"/>
              </w:rPr>
              <w:t xml:space="preserve"> </w:t>
            </w:r>
            <w:r w:rsidR="00EC750B" w:rsidRPr="00C441BB">
              <w:rPr>
                <w:rFonts w:cs="Calibri"/>
                <w:color w:val="FFFFFF" w:themeColor="background1"/>
                <w:sz w:val="18"/>
                <w:szCs w:val="18"/>
              </w:rPr>
              <w:t>(AAs)</w:t>
            </w:r>
            <w:r w:rsidRPr="00C441BB">
              <w:rPr>
                <w:rFonts w:cs="Calibri"/>
                <w:color w:val="FFFFFF" w:themeColor="background1"/>
                <w:sz w:val="18"/>
                <w:szCs w:val="18"/>
              </w:rPr>
              <w:t xml:space="preserve"> is limited to the transfer of a business (as defined in AASB 3</w:t>
            </w:r>
            <w:r w:rsidR="00582C5C" w:rsidRPr="00C441BB">
              <w:rPr>
                <w:rFonts w:cs="Calibri"/>
                <w:color w:val="FFFFFF" w:themeColor="background1"/>
                <w:sz w:val="18"/>
                <w:szCs w:val="18"/>
              </w:rPr>
              <w:t xml:space="preserve"> </w:t>
            </w:r>
            <w:r w:rsidR="00582C5C" w:rsidRPr="00C441BB">
              <w:rPr>
                <w:rFonts w:cs="Calibri"/>
                <w:i/>
                <w:color w:val="FFFFFF" w:themeColor="background1"/>
                <w:sz w:val="18"/>
                <w:szCs w:val="18"/>
              </w:rPr>
              <w:t>Business Combinations</w:t>
            </w:r>
            <w:r w:rsidRPr="00C441BB">
              <w:rPr>
                <w:rFonts w:cs="Calibri"/>
                <w:color w:val="FFFFFF" w:themeColor="background1"/>
                <w:sz w:val="18"/>
                <w:szCs w:val="18"/>
              </w:rPr>
              <w:t>). 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requirements do not apply where, for example, an individual asset or a group of assets that are not a business are transferred.</w:t>
            </w:r>
            <w:r w:rsidR="00FA7C77">
              <w:rPr>
                <w:rFonts w:cs="Calibri"/>
                <w:color w:val="FFFFFF" w:themeColor="background1"/>
                <w:sz w:val="18"/>
                <w:szCs w:val="18"/>
              </w:rPr>
              <w:t xml:space="preserve"> </w:t>
            </w:r>
            <w:r w:rsidRPr="00C441BB">
              <w:rPr>
                <w:rFonts w:cs="Calibri"/>
                <w:color w:val="FFFFFF" w:themeColor="background1"/>
                <w:sz w:val="18"/>
                <w:szCs w:val="18"/>
              </w:rPr>
              <w:t>Therefore</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example disclosures in this note do not have to be applied in the situation where an individual asset or a group of assets that are not a business are transferred as part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EC750B" w:rsidRPr="00C441BB">
              <w:rPr>
                <w:rFonts w:cs="Calibri"/>
                <w:color w:val="FFFFFF" w:themeColor="background1"/>
                <w:sz w:val="18"/>
                <w:szCs w:val="18"/>
              </w:rPr>
              <w:t>AA</w:t>
            </w:r>
            <w:r w:rsidRPr="00C441BB">
              <w:rPr>
                <w:rFonts w:cs="Calibri"/>
                <w:color w:val="FFFFFF" w:themeColor="background1"/>
                <w:sz w:val="18"/>
                <w:szCs w:val="18"/>
              </w:rPr>
              <w:t>.</w:t>
            </w:r>
            <w:r w:rsidR="00FA7C77">
              <w:rPr>
                <w:rFonts w:cs="Calibri"/>
                <w:color w:val="FFFFFF" w:themeColor="background1"/>
                <w:sz w:val="18"/>
                <w:szCs w:val="18"/>
              </w:rPr>
              <w:t xml:space="preserve"> </w:t>
            </w:r>
            <w:r w:rsidRPr="00C441BB">
              <w:rPr>
                <w:rFonts w:cs="Calibri"/>
                <w:color w:val="FFFFFF" w:themeColor="background1"/>
                <w:sz w:val="18"/>
                <w:szCs w:val="18"/>
              </w:rPr>
              <w:t xml:space="preserve"> </w:t>
            </w:r>
          </w:p>
        </w:tc>
      </w:tr>
      <w:tr w:rsidR="001551A2" w:rsidRPr="00CF7E1B" w14:paraId="181D484A" w14:textId="77777777" w:rsidTr="00F62B4D">
        <w:trPr>
          <w:trHeight w:val="463"/>
        </w:trPr>
        <w:tc>
          <w:tcPr>
            <w:tcW w:w="1560" w:type="dxa"/>
            <w:tcBorders>
              <w:left w:val="single" w:sz="2" w:space="0" w:color="auto"/>
              <w:right w:val="single" w:sz="2" w:space="0" w:color="auto"/>
            </w:tcBorders>
          </w:tcPr>
          <w:p w14:paraId="159F9424" w14:textId="53D75CDA" w:rsidR="001551A2" w:rsidRPr="00C441BB" w:rsidRDefault="001551A2" w:rsidP="00AC7522">
            <w:pPr>
              <w:pStyle w:val="TableReference"/>
              <w:tabs>
                <w:tab w:val="left" w:pos="3306"/>
              </w:tabs>
              <w:spacing w:before="60"/>
              <w:rPr>
                <w:rFonts w:cs="Calibri"/>
                <w:color w:val="7030A0"/>
                <w:sz w:val="14"/>
              </w:rPr>
            </w:pPr>
            <w:r w:rsidRPr="00C441BB">
              <w:rPr>
                <w:rFonts w:cs="Calibri"/>
                <w:color w:val="7030A0"/>
                <w:sz w:val="14"/>
              </w:rPr>
              <w:t>AASB 3 Appendix A Defined Terms</w:t>
            </w:r>
          </w:p>
        </w:tc>
        <w:tc>
          <w:tcPr>
            <w:tcW w:w="8930" w:type="dxa"/>
            <w:tcBorders>
              <w:left w:val="single" w:sz="2" w:space="0" w:color="auto"/>
            </w:tcBorders>
            <w:shd w:val="clear" w:color="auto" w:fill="7030A0"/>
          </w:tcPr>
          <w:p w14:paraId="0F5056C4" w14:textId="6B8DAA70" w:rsidR="001551A2" w:rsidRPr="00C441BB" w:rsidRDefault="001551A2" w:rsidP="00FF61FB">
            <w:pPr>
              <w:pStyle w:val="Default"/>
              <w:spacing w:after="60"/>
              <w:jc w:val="both"/>
              <w:rPr>
                <w:rFonts w:ascii="Calibri" w:hAnsi="Calibri" w:cs="Calibri"/>
                <w:bCs/>
                <w:color w:val="FFFFFF" w:themeColor="background1"/>
                <w:sz w:val="18"/>
                <w:szCs w:val="18"/>
                <w:lang w:eastAsia="en-US"/>
              </w:rPr>
            </w:pPr>
            <w:r w:rsidRPr="00C441BB">
              <w:rPr>
                <w:rFonts w:ascii="Calibri" w:hAnsi="Calibri" w:cs="Calibri"/>
                <w:bCs/>
                <w:color w:val="FFFFFF" w:themeColor="background1"/>
                <w:sz w:val="18"/>
                <w:szCs w:val="18"/>
                <w:lang w:eastAsia="en-US"/>
              </w:rPr>
              <w:t xml:space="preserve">AASB 3 defines a business as an integrated set of activities and assets </w:t>
            </w:r>
            <w:r w:rsidR="00CD3019" w:rsidRPr="00C441BB">
              <w:rPr>
                <w:rFonts w:ascii="Calibri" w:hAnsi="Calibri" w:cs="Calibri"/>
                <w:bCs/>
                <w:color w:val="FFFFFF" w:themeColor="background1"/>
                <w:sz w:val="18"/>
                <w:szCs w:val="18"/>
                <w:lang w:eastAsia="en-US"/>
              </w:rPr>
              <w:t xml:space="preserve">that is capable of being </w:t>
            </w:r>
            <w:r w:rsidRPr="00C441BB">
              <w:rPr>
                <w:rFonts w:ascii="Calibri" w:hAnsi="Calibri" w:cs="Calibri"/>
                <w:bCs/>
                <w:color w:val="FFFFFF" w:themeColor="background1"/>
                <w:sz w:val="18"/>
                <w:szCs w:val="18"/>
                <w:lang w:eastAsia="en-US"/>
              </w:rPr>
              <w:t xml:space="preserve">conducted and managed for the purpose of providing: </w:t>
            </w:r>
          </w:p>
        </w:tc>
      </w:tr>
      <w:tr w:rsidR="00AC7522" w:rsidRPr="00CF7E1B" w14:paraId="6865361B" w14:textId="77777777" w:rsidTr="0004564D">
        <w:trPr>
          <w:trHeight w:val="425"/>
        </w:trPr>
        <w:tc>
          <w:tcPr>
            <w:tcW w:w="1560" w:type="dxa"/>
            <w:tcBorders>
              <w:left w:val="single" w:sz="2" w:space="0" w:color="auto"/>
              <w:right w:val="single" w:sz="2" w:space="0" w:color="auto"/>
            </w:tcBorders>
          </w:tcPr>
          <w:p w14:paraId="40A595F0"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0CE005F" w14:textId="49F0F11C" w:rsidR="00C96ECF" w:rsidRPr="00C441BB" w:rsidRDefault="00AC7522" w:rsidP="00CB31DE">
            <w:pPr>
              <w:pStyle w:val="DefinePoint"/>
              <w:numPr>
                <w:ilvl w:val="0"/>
                <w:numId w:val="67"/>
              </w:numPr>
              <w:spacing w:after="40"/>
              <w:ind w:left="452"/>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 return in the form of dividends; or</w:t>
            </w:r>
          </w:p>
          <w:p w14:paraId="2B75FC85" w14:textId="085CEC19" w:rsidR="00AC7522" w:rsidRPr="00C441BB" w:rsidRDefault="00AC7522" w:rsidP="00CB31DE">
            <w:pPr>
              <w:pStyle w:val="DefinePoint"/>
              <w:numPr>
                <w:ilvl w:val="0"/>
                <w:numId w:val="67"/>
              </w:numPr>
              <w:ind w:left="452" w:hanging="357"/>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lower costs or other economic benefits directly to investors or other owners, members or participants.</w:t>
            </w:r>
          </w:p>
        </w:tc>
      </w:tr>
      <w:tr w:rsidR="00AC7522" w:rsidRPr="00CF7E1B" w14:paraId="6D80BBCF" w14:textId="77777777" w:rsidTr="0004564D">
        <w:trPr>
          <w:trHeight w:val="992"/>
        </w:trPr>
        <w:tc>
          <w:tcPr>
            <w:tcW w:w="1560" w:type="dxa"/>
            <w:tcBorders>
              <w:left w:val="single" w:sz="2" w:space="0" w:color="auto"/>
              <w:right w:val="single" w:sz="2" w:space="0" w:color="auto"/>
            </w:tcBorders>
          </w:tcPr>
          <w:p w14:paraId="1B876899" w14:textId="5FF51D7E" w:rsidR="00AC7522" w:rsidRPr="00C441BB" w:rsidRDefault="00AC7522" w:rsidP="00301C2A">
            <w:pPr>
              <w:pStyle w:val="TableReference"/>
              <w:tabs>
                <w:tab w:val="left" w:pos="3306"/>
              </w:tabs>
              <w:spacing w:before="60"/>
              <w:rPr>
                <w:rFonts w:cs="Calibri"/>
                <w:color w:val="7030A0"/>
                <w:sz w:val="14"/>
              </w:rPr>
            </w:pPr>
            <w:r w:rsidRPr="00C441BB">
              <w:rPr>
                <w:rFonts w:cs="Calibri"/>
                <w:color w:val="7030A0"/>
                <w:sz w:val="14"/>
              </w:rPr>
              <w:t>ACT Disclosure Policy</w:t>
            </w:r>
          </w:p>
        </w:tc>
        <w:tc>
          <w:tcPr>
            <w:tcW w:w="8930" w:type="dxa"/>
            <w:tcBorders>
              <w:left w:val="single" w:sz="2" w:space="0" w:color="auto"/>
            </w:tcBorders>
            <w:shd w:val="clear" w:color="auto" w:fill="7030A0"/>
          </w:tcPr>
          <w:p w14:paraId="34C465C3" w14:textId="2B26E2E8" w:rsidR="00AC7522" w:rsidRPr="00C441BB" w:rsidRDefault="00AC7522" w:rsidP="00301C2A">
            <w:pPr>
              <w:pStyle w:val="Default"/>
              <w:spacing w:after="12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As AAs involve a transfer of an integrated set of activities mainly for the purpose of reducing overall costs or providing other economic benefits to the Community (members or participants) and because AAs are a discrete function transferred between agencies, it is considered that all AAs of this nature will satisfy the definition of a business under AASB 3.</w:t>
            </w:r>
            <w:r w:rsidR="00FA7C77">
              <w:rPr>
                <w:rFonts w:ascii="Calibri" w:hAnsi="Calibri" w:cs="Calibri"/>
                <w:color w:val="FFFFFF" w:themeColor="background1"/>
                <w:sz w:val="18"/>
                <w:szCs w:val="18"/>
                <w:lang w:eastAsia="en-US"/>
              </w:rPr>
              <w:t xml:space="preserve">  </w:t>
            </w:r>
          </w:p>
        </w:tc>
      </w:tr>
      <w:tr w:rsidR="006A0B78" w:rsidRPr="00CF7E1B" w14:paraId="6E008DC4" w14:textId="77777777" w:rsidTr="0004564D">
        <w:trPr>
          <w:trHeight w:val="992"/>
        </w:trPr>
        <w:tc>
          <w:tcPr>
            <w:tcW w:w="1560" w:type="dxa"/>
            <w:tcBorders>
              <w:left w:val="single" w:sz="2" w:space="0" w:color="auto"/>
              <w:right w:val="single" w:sz="2" w:space="0" w:color="auto"/>
            </w:tcBorders>
          </w:tcPr>
          <w:p w14:paraId="1F99CFEC" w14:textId="77777777" w:rsidR="006A0B78" w:rsidRPr="00C441BB" w:rsidRDefault="006A0B7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6FFEDFA" w14:textId="7F91E4EB" w:rsidR="006A0B78" w:rsidRPr="00C441BB" w:rsidRDefault="006A0B78" w:rsidP="00DD1056">
            <w:pPr>
              <w:pStyle w:val="Default"/>
              <w:spacing w:after="6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 xml:space="preserve">Examples of </w:t>
            </w:r>
            <w:r w:rsidR="00035833" w:rsidRPr="00735969">
              <w:rPr>
                <w:rFonts w:ascii="Calibri" w:hAnsi="Calibri" w:cs="Calibri"/>
                <w:color w:val="FF0000"/>
                <w:sz w:val="18"/>
                <w:szCs w:val="18"/>
                <w:lang w:eastAsia="en-US"/>
              </w:rPr>
              <w:t>AAs</w:t>
            </w:r>
            <w:r w:rsidR="00035833" w:rsidRPr="00735969">
              <w:rPr>
                <w:rFonts w:ascii="Calibri" w:hAnsi="Calibri" w:cs="Calibri"/>
                <w:color w:val="FFFFFF" w:themeColor="background1"/>
                <w:sz w:val="18"/>
                <w:szCs w:val="18"/>
                <w:lang w:eastAsia="en-US"/>
              </w:rPr>
              <w:t xml:space="preserve"> </w:t>
            </w:r>
            <w:r w:rsidR="00035833" w:rsidRPr="00735969">
              <w:rPr>
                <w:rFonts w:ascii="Calibri" w:hAnsi="Calibri" w:cs="Calibri"/>
                <w:strike/>
                <w:color w:val="FF0000"/>
                <w:sz w:val="18"/>
                <w:szCs w:val="18"/>
                <w:lang w:eastAsia="en-US"/>
              </w:rPr>
              <w:t xml:space="preserve">restructures of </w:t>
            </w:r>
            <w:r w:rsidRPr="00735969">
              <w:rPr>
                <w:rFonts w:ascii="Calibri" w:hAnsi="Calibri" w:cs="Calibri"/>
                <w:strike/>
                <w:color w:val="FF0000"/>
                <w:sz w:val="18"/>
                <w:szCs w:val="18"/>
                <w:lang w:eastAsia="en-US"/>
              </w:rPr>
              <w:t>administrative arrangements</w:t>
            </w:r>
            <w:r w:rsidRPr="00035833">
              <w:rPr>
                <w:rFonts w:ascii="Calibri" w:hAnsi="Calibri" w:cs="Calibri"/>
                <w:color w:val="FF0000"/>
                <w:sz w:val="18"/>
                <w:szCs w:val="18"/>
                <w:lang w:eastAsia="en-US"/>
              </w:rPr>
              <w:t xml:space="preserve"> </w:t>
            </w:r>
            <w:r w:rsidRPr="00C441BB">
              <w:rPr>
                <w:rFonts w:ascii="Calibri" w:hAnsi="Calibri" w:cs="Calibri"/>
                <w:color w:val="FFFFFF" w:themeColor="background1"/>
                <w:sz w:val="18"/>
                <w:szCs w:val="18"/>
                <w:lang w:eastAsia="en-US"/>
              </w:rPr>
              <w:t xml:space="preserve">are as follows: </w:t>
            </w:r>
          </w:p>
          <w:p w14:paraId="30F2C976" w14:textId="2B546EBB" w:rsidR="000565D7"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a</w:t>
            </w:r>
            <w:r w:rsidR="000565D7" w:rsidRPr="00C441BB">
              <w:rPr>
                <w:rFonts w:cs="Calibri"/>
                <w:color w:val="FFFFFF" w:themeColor="background1"/>
                <w:sz w:val="18"/>
                <w:szCs w:val="18"/>
              </w:rPr>
              <w:t xml:space="preserve"> new agency is created and assets and liabilities are transferred to this new agency from one or more government controlled agencies; </w:t>
            </w:r>
          </w:p>
          <w:p w14:paraId="1D07E910" w14:textId="76058574" w:rsidR="000565D7"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t</w:t>
            </w:r>
            <w:r w:rsidR="000565D7" w:rsidRPr="00C441BB">
              <w:rPr>
                <w:rFonts w:cs="Calibri"/>
                <w:color w:val="FFFFFF" w:themeColor="background1"/>
                <w:sz w:val="18"/>
                <w:szCs w:val="18"/>
              </w:rPr>
              <w:t xml:space="preserve">wo or more agencies are merged together; </w:t>
            </w:r>
          </w:p>
          <w:p w14:paraId="6E0FAC14" w14:textId="6E617DB8" w:rsidR="00DD1056"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d</w:t>
            </w:r>
            <w:r w:rsidR="00DD1056" w:rsidRPr="00C441BB">
              <w:rPr>
                <w:rFonts w:cs="Calibri"/>
                <w:color w:val="FFFFFF" w:themeColor="background1"/>
                <w:sz w:val="18"/>
                <w:szCs w:val="18"/>
              </w:rPr>
              <w:t>ividing a single agency into two or more new agencies;</w:t>
            </w:r>
          </w:p>
          <w:p w14:paraId="1D3253D3" w14:textId="628F6B6B" w:rsidR="006A0B78"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c</w:t>
            </w:r>
            <w:r w:rsidR="000565D7" w:rsidRPr="00C441BB">
              <w:rPr>
                <w:rFonts w:cs="Calibri"/>
                <w:color w:val="FFFFFF" w:themeColor="background1"/>
                <w:sz w:val="18"/>
                <w:szCs w:val="18"/>
              </w:rPr>
              <w:t xml:space="preserve">essation </w:t>
            </w:r>
            <w:r w:rsidR="006A0B78" w:rsidRPr="00C441BB">
              <w:rPr>
                <w:rFonts w:cs="Calibri"/>
                <w:color w:val="FFFFFF" w:themeColor="background1"/>
                <w:sz w:val="18"/>
                <w:szCs w:val="18"/>
              </w:rPr>
              <w:t xml:space="preserve">of an agency </w:t>
            </w:r>
            <w:r w:rsidR="000565D7" w:rsidRPr="00C441BB">
              <w:rPr>
                <w:rFonts w:cs="Calibri"/>
                <w:color w:val="FFFFFF" w:themeColor="background1"/>
                <w:sz w:val="18"/>
                <w:szCs w:val="18"/>
              </w:rPr>
              <w:t xml:space="preserve">and the </w:t>
            </w:r>
            <w:r w:rsidR="006A0B78" w:rsidRPr="00C441BB">
              <w:rPr>
                <w:rFonts w:cs="Calibri"/>
                <w:color w:val="FFFFFF" w:themeColor="background1"/>
                <w:sz w:val="18"/>
                <w:szCs w:val="18"/>
              </w:rPr>
              <w:t xml:space="preserve">net assets are transferred to another government controlled agency; </w:t>
            </w:r>
            <w:r w:rsidR="00DD1056" w:rsidRPr="00C441BB">
              <w:rPr>
                <w:rFonts w:cs="Calibri"/>
                <w:color w:val="FFFFFF" w:themeColor="background1"/>
                <w:sz w:val="18"/>
                <w:szCs w:val="18"/>
              </w:rPr>
              <w:t>and</w:t>
            </w:r>
          </w:p>
          <w:p w14:paraId="6ACA4D33" w14:textId="2D13B390" w:rsidR="006A0B78" w:rsidRPr="00C441BB" w:rsidRDefault="00765C5E"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C441BB">
              <w:rPr>
                <w:rFonts w:cs="Calibri"/>
                <w:color w:val="FFFFFF" w:themeColor="background1"/>
                <w:sz w:val="18"/>
                <w:szCs w:val="18"/>
              </w:rPr>
              <w:t>t</w:t>
            </w:r>
            <w:r w:rsidR="00DD1056" w:rsidRPr="00C441BB">
              <w:rPr>
                <w:rFonts w:cs="Calibri"/>
                <w:color w:val="FFFFFF" w:themeColor="background1"/>
                <w:sz w:val="18"/>
                <w:szCs w:val="18"/>
              </w:rPr>
              <w:t>ransfer of function</w:t>
            </w:r>
            <w:r w:rsidR="00B4241D" w:rsidRPr="00B4241D">
              <w:rPr>
                <w:rFonts w:cs="Calibri"/>
                <w:color w:val="FFFFFF" w:themeColor="background1"/>
                <w:sz w:val="18"/>
                <w:szCs w:val="18"/>
              </w:rPr>
              <w:t xml:space="preserve"> </w:t>
            </w:r>
            <w:r w:rsidR="00B4241D" w:rsidRPr="00B4241D">
              <w:rPr>
                <w:rFonts w:cs="Calibri"/>
                <w:color w:val="FF0000"/>
                <w:sz w:val="18"/>
                <w:szCs w:val="18"/>
              </w:rPr>
              <w:t>between existing agencies due to Government decisions</w:t>
            </w:r>
            <w:r w:rsidR="00DD1056" w:rsidRPr="00C441BB">
              <w:rPr>
                <w:rFonts w:cs="Calibri"/>
                <w:color w:val="FFFFFF" w:themeColor="background1"/>
                <w:sz w:val="18"/>
                <w:szCs w:val="18"/>
              </w:rPr>
              <w:t>.</w:t>
            </w:r>
          </w:p>
        </w:tc>
      </w:tr>
      <w:tr w:rsidR="001551A2" w:rsidRPr="00CF7E1B" w14:paraId="119217E3" w14:textId="77777777" w:rsidTr="0004564D">
        <w:trPr>
          <w:trHeight w:hRule="exact" w:val="230"/>
        </w:trPr>
        <w:tc>
          <w:tcPr>
            <w:tcW w:w="1560" w:type="dxa"/>
            <w:tcBorders>
              <w:left w:val="single" w:sz="2" w:space="0" w:color="auto"/>
              <w:right w:val="single" w:sz="2" w:space="0" w:color="auto"/>
            </w:tcBorders>
          </w:tcPr>
          <w:p w14:paraId="721AF56C" w14:textId="77777777" w:rsidR="001551A2" w:rsidRPr="00C441BB" w:rsidRDefault="001551A2" w:rsidP="002C6F4A">
            <w:pPr>
              <w:rPr>
                <w:rFonts w:cs="Calibri"/>
                <w:color w:val="7030A0"/>
                <w:sz w:val="14"/>
                <w:szCs w:val="14"/>
              </w:rPr>
            </w:pPr>
          </w:p>
        </w:tc>
        <w:tc>
          <w:tcPr>
            <w:tcW w:w="8930" w:type="dxa"/>
            <w:tcBorders>
              <w:left w:val="single" w:sz="2" w:space="0" w:color="auto"/>
            </w:tcBorders>
            <w:shd w:val="clear" w:color="auto" w:fill="7030A0"/>
          </w:tcPr>
          <w:p w14:paraId="0F4628A6" w14:textId="77777777" w:rsidR="001551A2" w:rsidRPr="00BB2E31" w:rsidRDefault="001551A2" w:rsidP="00C87FF4">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 xml:space="preserve">Accounting Treatment of Transferred Assets and Liabilities </w:t>
            </w:r>
          </w:p>
        </w:tc>
      </w:tr>
      <w:tr w:rsidR="001551A2" w:rsidRPr="00CF7E1B" w14:paraId="6E13BBF6" w14:textId="77777777" w:rsidTr="00C87FF4">
        <w:trPr>
          <w:trHeight w:val="465"/>
        </w:trPr>
        <w:tc>
          <w:tcPr>
            <w:tcW w:w="1560" w:type="dxa"/>
            <w:tcBorders>
              <w:left w:val="single" w:sz="2" w:space="0" w:color="auto"/>
              <w:right w:val="single" w:sz="2" w:space="0" w:color="auto"/>
            </w:tcBorders>
          </w:tcPr>
          <w:p w14:paraId="2CAB200E"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54-56</w:t>
            </w:r>
          </w:p>
        </w:tc>
        <w:tc>
          <w:tcPr>
            <w:tcW w:w="8930" w:type="dxa"/>
            <w:tcBorders>
              <w:left w:val="single" w:sz="2" w:space="0" w:color="auto"/>
            </w:tcBorders>
            <w:shd w:val="clear" w:color="auto" w:fill="7030A0"/>
          </w:tcPr>
          <w:p w14:paraId="3BF98297" w14:textId="53552A29" w:rsidR="001551A2" w:rsidRPr="00C441BB" w:rsidRDefault="001551A2" w:rsidP="00C87FF4">
            <w:pPr>
              <w:pStyle w:val="CommentaryText"/>
              <w:tabs>
                <w:tab w:val="left" w:pos="3306"/>
              </w:tabs>
              <w:spacing w:after="40"/>
              <w:rPr>
                <w:rFonts w:cs="Calibri"/>
                <w:color w:val="FFFFFF" w:themeColor="background1"/>
                <w:sz w:val="18"/>
                <w:szCs w:val="18"/>
              </w:rPr>
            </w:pPr>
            <w:r w:rsidRPr="00C441BB">
              <w:rPr>
                <w:rFonts w:cs="Calibri"/>
                <w:color w:val="FFFFFF" w:themeColor="background1"/>
                <w:sz w:val="18"/>
                <w:szCs w:val="18"/>
              </w:rPr>
              <w:t>AASB 1004 states that assets and/or liabilities transferred as part of a</w:t>
            </w:r>
            <w:r w:rsidR="00EC750B" w:rsidRPr="00C441BB">
              <w:rPr>
                <w:rFonts w:cs="Calibri"/>
                <w:color w:val="FFFFFF" w:themeColor="background1"/>
                <w:sz w:val="18"/>
                <w:szCs w:val="18"/>
              </w:rPr>
              <w:t>n AA</w:t>
            </w:r>
            <w:r w:rsidRPr="00C441BB">
              <w:rPr>
                <w:rFonts w:cs="Calibri"/>
                <w:color w:val="FFFFFF" w:themeColor="background1"/>
                <w:sz w:val="18"/>
                <w:szCs w:val="18"/>
              </w:rPr>
              <w:t xml:space="preserve"> should be treated as a contribution by owners or a distribution to owners.</w:t>
            </w:r>
            <w:r w:rsidR="00FA7C77">
              <w:rPr>
                <w:rFonts w:cs="Calibri"/>
                <w:color w:val="FFFFFF" w:themeColor="background1"/>
                <w:sz w:val="18"/>
                <w:szCs w:val="18"/>
              </w:rPr>
              <w:t xml:space="preserve"> </w:t>
            </w:r>
            <w:r w:rsidRPr="00C441BB">
              <w:rPr>
                <w:rFonts w:cs="Calibri"/>
                <w:color w:val="FFFFFF" w:themeColor="background1"/>
                <w:sz w:val="18"/>
                <w:szCs w:val="18"/>
              </w:rPr>
              <w:t>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transfer</w:t>
            </w:r>
            <w:r w:rsidR="005D62D3" w:rsidRPr="00C441BB">
              <w:rPr>
                <w:rFonts w:cs="Calibri"/>
                <w:color w:val="FFFFFF" w:themeColor="background1"/>
                <w:sz w:val="18"/>
                <w:szCs w:val="18"/>
              </w:rPr>
              <w:t>s</w:t>
            </w:r>
            <w:r w:rsidRPr="00C441BB">
              <w:rPr>
                <w:rFonts w:cs="Calibri"/>
                <w:color w:val="FFFFFF" w:themeColor="background1"/>
                <w:sz w:val="18"/>
                <w:szCs w:val="18"/>
              </w:rPr>
              <w:t xml:space="preserve"> should be recognised directly in equity.</w:t>
            </w:r>
            <w:r w:rsidR="00FA7C77">
              <w:rPr>
                <w:rFonts w:cs="Calibri"/>
                <w:color w:val="FFFFFF" w:themeColor="background1"/>
                <w:sz w:val="18"/>
                <w:szCs w:val="18"/>
              </w:rPr>
              <w:t xml:space="preserve"> </w:t>
            </w:r>
          </w:p>
        </w:tc>
      </w:tr>
      <w:tr w:rsidR="001551A2" w:rsidRPr="00CF7E1B" w14:paraId="5087F3FB" w14:textId="77777777" w:rsidTr="00C87FF4">
        <w:trPr>
          <w:trHeight w:hRule="exact" w:val="348"/>
        </w:trPr>
        <w:tc>
          <w:tcPr>
            <w:tcW w:w="1560" w:type="dxa"/>
            <w:tcBorders>
              <w:left w:val="single" w:sz="2" w:space="0" w:color="auto"/>
              <w:right w:val="single" w:sz="2" w:space="0" w:color="auto"/>
            </w:tcBorders>
          </w:tcPr>
          <w:p w14:paraId="7C9676B3" w14:textId="77777777" w:rsidR="001551A2" w:rsidRPr="00C441BB" w:rsidRDefault="001551A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3549FEC" w14:textId="77777777" w:rsidR="001551A2" w:rsidRPr="00BB2E31" w:rsidRDefault="001551A2" w:rsidP="00C87FF4">
            <w:pPr>
              <w:pStyle w:val="CommentaryText"/>
              <w:tabs>
                <w:tab w:val="left" w:pos="3306"/>
              </w:tabs>
              <w:spacing w:before="120" w:after="40"/>
              <w:rPr>
                <w:rFonts w:cs="Calibri"/>
                <w:b/>
                <w:color w:val="FFFFFF" w:themeColor="background1"/>
                <w:szCs w:val="20"/>
              </w:rPr>
            </w:pPr>
            <w:r w:rsidRPr="00BB2E31">
              <w:rPr>
                <w:rFonts w:cs="Calibri"/>
                <w:b/>
                <w:color w:val="FFFFFF" w:themeColor="background1"/>
                <w:szCs w:val="20"/>
              </w:rPr>
              <w:t>Disclosure of Transferred Income and Expenses</w:t>
            </w:r>
          </w:p>
        </w:tc>
      </w:tr>
      <w:tr w:rsidR="001551A2" w:rsidRPr="00CF7E1B" w14:paraId="6D8566A0" w14:textId="77777777" w:rsidTr="0004564D">
        <w:trPr>
          <w:trHeight w:val="998"/>
        </w:trPr>
        <w:tc>
          <w:tcPr>
            <w:tcW w:w="1560" w:type="dxa"/>
            <w:tcBorders>
              <w:left w:val="single" w:sz="2" w:space="0" w:color="auto"/>
              <w:right w:val="single" w:sz="2" w:space="0" w:color="auto"/>
            </w:tcBorders>
          </w:tcPr>
          <w:p w14:paraId="0AA7B675"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57</w:t>
            </w:r>
          </w:p>
        </w:tc>
        <w:tc>
          <w:tcPr>
            <w:tcW w:w="8930" w:type="dxa"/>
            <w:tcBorders>
              <w:left w:val="single" w:sz="2" w:space="0" w:color="auto"/>
            </w:tcBorders>
            <w:shd w:val="clear" w:color="auto" w:fill="7030A0"/>
          </w:tcPr>
          <w:p w14:paraId="5F0F6AE9" w14:textId="77777777" w:rsidR="001551A2" w:rsidRPr="00C441BB" w:rsidRDefault="001551A2" w:rsidP="00AB7CCD">
            <w:pPr>
              <w:pStyle w:val="CommentaryText"/>
              <w:tabs>
                <w:tab w:val="left" w:pos="3306"/>
              </w:tabs>
              <w:spacing w:after="0"/>
              <w:rPr>
                <w:rFonts w:cs="Calibri"/>
                <w:color w:val="FFFFFF" w:themeColor="background1"/>
                <w:sz w:val="18"/>
                <w:szCs w:val="18"/>
              </w:rPr>
            </w:pPr>
            <w:r w:rsidRPr="00C441BB">
              <w:rPr>
                <w:rFonts w:cs="Calibri"/>
                <w:color w:val="FFFFFF" w:themeColor="background1"/>
                <w:sz w:val="18"/>
                <w:szCs w:val="18"/>
              </w:rPr>
              <w:t>AASB 1004 states that when activities are transferred as a consequence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FD4B5D" w:rsidRPr="00C441BB">
              <w:rPr>
                <w:rFonts w:cs="Calibri"/>
                <w:color w:val="FFFFFF" w:themeColor="background1"/>
                <w:sz w:val="18"/>
                <w:szCs w:val="18"/>
              </w:rPr>
              <w:t>AA</w:t>
            </w:r>
            <w:r w:rsidRPr="00C441BB">
              <w:rPr>
                <w:rFonts w:cs="Calibri"/>
                <w:color w:val="FFFFFF" w:themeColor="background1"/>
                <w:sz w:val="18"/>
                <w:szCs w:val="18"/>
              </w:rPr>
              <w:t xml:space="preserve">, </w:t>
            </w:r>
            <w:r w:rsidR="00EC750B" w:rsidRPr="00C441BB">
              <w:rPr>
                <w:rFonts w:cs="Calibri"/>
                <w:color w:val="FFFFFF" w:themeColor="background1"/>
                <w:sz w:val="18"/>
                <w:szCs w:val="18"/>
              </w:rPr>
              <w:t xml:space="preserve">the transferee </w:t>
            </w:r>
            <w:r w:rsidR="00D65811" w:rsidRPr="00C441BB">
              <w:rPr>
                <w:rFonts w:cs="Calibri"/>
                <w:color w:val="FFFFFF" w:themeColor="background1"/>
                <w:sz w:val="18"/>
                <w:szCs w:val="18"/>
              </w:rPr>
              <w:t>agency</w:t>
            </w:r>
            <w:r w:rsidRPr="00C441BB">
              <w:rPr>
                <w:rFonts w:cs="Calibri"/>
                <w:color w:val="FFFFFF" w:themeColor="background1"/>
                <w:sz w:val="18"/>
                <w:szCs w:val="18"/>
              </w:rPr>
              <w:t xml:space="preserve"> shall disclose the expenses and income attributable to the transferred activities for the reporting period, showing separa</w:t>
            </w:r>
            <w:r w:rsidR="001A6CDA" w:rsidRPr="00C441BB">
              <w:rPr>
                <w:rFonts w:cs="Calibri"/>
                <w:color w:val="FFFFFF" w:themeColor="background1"/>
                <w:sz w:val="18"/>
                <w:szCs w:val="18"/>
              </w:rPr>
              <w:t>tely those expenses and</w:t>
            </w:r>
            <w:r w:rsidRPr="00C441BB">
              <w:rPr>
                <w:rFonts w:cs="Calibri"/>
                <w:color w:val="FFFFFF" w:themeColor="background1"/>
                <w:sz w:val="18"/>
                <w:szCs w:val="18"/>
              </w:rPr>
              <w:t xml:space="preserve"> income recognised by the transferor during the reporting period. If disclosure of this information would be impracticable, that fact shall be disclosed, together with an explanation of why this is the case.</w:t>
            </w:r>
          </w:p>
        </w:tc>
      </w:tr>
      <w:tr w:rsidR="00AC7522" w:rsidRPr="00CF7E1B" w14:paraId="3084AAFB" w14:textId="77777777" w:rsidTr="00C87FF4">
        <w:trPr>
          <w:trHeight w:val="336"/>
        </w:trPr>
        <w:tc>
          <w:tcPr>
            <w:tcW w:w="1560" w:type="dxa"/>
            <w:tcBorders>
              <w:left w:val="single" w:sz="2" w:space="0" w:color="auto"/>
              <w:right w:val="single" w:sz="2" w:space="0" w:color="auto"/>
            </w:tcBorders>
          </w:tcPr>
          <w:p w14:paraId="18DA05A3"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7F1700BF" w14:textId="40359A3D" w:rsidR="00AC7522" w:rsidRPr="00BB2E31" w:rsidRDefault="00AC7522" w:rsidP="00C87FF4">
            <w:pPr>
              <w:pStyle w:val="TableText"/>
              <w:tabs>
                <w:tab w:val="left" w:pos="3306"/>
              </w:tabs>
              <w:spacing w:before="120" w:after="40"/>
              <w:jc w:val="both"/>
              <w:rPr>
                <w:rFonts w:cs="Calibri"/>
                <w:color w:val="FFFFFF" w:themeColor="background1"/>
                <w:sz w:val="20"/>
                <w:szCs w:val="20"/>
              </w:rPr>
            </w:pPr>
            <w:r w:rsidRPr="00BB2E31">
              <w:rPr>
                <w:rFonts w:cs="Calibri"/>
                <w:b/>
                <w:color w:val="FFFFFF" w:themeColor="background1"/>
                <w:sz w:val="20"/>
                <w:szCs w:val="20"/>
              </w:rPr>
              <w:t>Disclosure of Comparative Information</w:t>
            </w:r>
          </w:p>
        </w:tc>
      </w:tr>
      <w:tr w:rsidR="00AC7522" w:rsidRPr="00CF7E1B" w14:paraId="35EBE06E" w14:textId="77777777" w:rsidTr="0004564D">
        <w:tc>
          <w:tcPr>
            <w:tcW w:w="1560" w:type="dxa"/>
            <w:tcBorders>
              <w:left w:val="single" w:sz="2" w:space="0" w:color="auto"/>
              <w:right w:val="single" w:sz="2" w:space="0" w:color="auto"/>
            </w:tcBorders>
          </w:tcPr>
          <w:p w14:paraId="1774C171" w14:textId="77777777" w:rsidR="00AC7522" w:rsidRPr="00C441BB" w:rsidRDefault="00AC7522" w:rsidP="00AC7522">
            <w:pPr>
              <w:pStyle w:val="TableReference"/>
              <w:tabs>
                <w:tab w:val="left" w:pos="3306"/>
              </w:tabs>
              <w:spacing w:before="60"/>
              <w:rPr>
                <w:rFonts w:cs="Calibri"/>
                <w:color w:val="7030A0"/>
                <w:sz w:val="14"/>
              </w:rPr>
            </w:pPr>
            <w:r w:rsidRPr="00C441BB">
              <w:rPr>
                <w:rFonts w:cs="Calibri"/>
                <w:color w:val="7030A0"/>
                <w:sz w:val="14"/>
              </w:rPr>
              <w:t>AASB 101.38</w:t>
            </w:r>
          </w:p>
          <w:p w14:paraId="418309A3" w14:textId="77777777" w:rsidR="00AC7522" w:rsidRPr="00C441BB" w:rsidRDefault="00AC7522" w:rsidP="00AC7522">
            <w:pPr>
              <w:pStyle w:val="TableReference"/>
              <w:tabs>
                <w:tab w:val="left" w:pos="3306"/>
              </w:tabs>
              <w:spacing w:before="60"/>
              <w:rPr>
                <w:rFonts w:cs="Calibri"/>
                <w:color w:val="7030A0"/>
                <w:sz w:val="14"/>
              </w:rPr>
            </w:pPr>
            <w:r w:rsidRPr="00C441BB">
              <w:rPr>
                <w:rFonts w:cs="Calibri"/>
                <w:color w:val="7030A0"/>
                <w:sz w:val="14"/>
              </w:rPr>
              <w:t>AASB 1004.57</w:t>
            </w:r>
          </w:p>
          <w:p w14:paraId="12F9A3B5"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E0A22F6" w14:textId="6580EB07" w:rsidR="00AC7522" w:rsidRPr="00C441BB" w:rsidRDefault="00F65D19" w:rsidP="00C87FF4">
            <w:pPr>
              <w:pStyle w:val="TableText"/>
              <w:tabs>
                <w:tab w:val="left" w:pos="3306"/>
              </w:tabs>
              <w:spacing w:before="0" w:after="120"/>
              <w:jc w:val="both"/>
              <w:rPr>
                <w:rFonts w:cs="Calibri"/>
                <w:color w:val="FFFFFF" w:themeColor="background1"/>
              </w:rPr>
            </w:pPr>
            <w:r w:rsidRPr="00C441BB">
              <w:rPr>
                <w:rFonts w:cs="Calibri"/>
                <w:color w:val="FFFFFF" w:themeColor="background1"/>
              </w:rPr>
              <w:t>C</w:t>
            </w:r>
            <w:r w:rsidR="00AC7522" w:rsidRPr="00C441BB">
              <w:rPr>
                <w:rFonts w:cs="Calibri"/>
                <w:color w:val="FFFFFF" w:themeColor="background1"/>
              </w:rPr>
              <w:t xml:space="preserve">omparative information </w:t>
            </w:r>
            <w:r w:rsidRPr="00C441BB">
              <w:rPr>
                <w:rFonts w:cs="Calibri"/>
                <w:color w:val="FFFFFF" w:themeColor="background1"/>
              </w:rPr>
              <w:t xml:space="preserve">is required to </w:t>
            </w:r>
            <w:r w:rsidR="00AC7522" w:rsidRPr="00C441BB">
              <w:rPr>
                <w:rFonts w:cs="Calibri"/>
                <w:color w:val="FFFFFF" w:themeColor="background1"/>
              </w:rPr>
              <w:t>be disclosed in respect of the prior reporting period for all amounts included in the financial statements, except where another Australian Accounting Standard permits or requires otherwise.</w:t>
            </w:r>
            <w:r w:rsidR="00FA7C77">
              <w:rPr>
                <w:rFonts w:cs="Calibri"/>
                <w:color w:val="FFFFFF" w:themeColor="background1"/>
              </w:rPr>
              <w:t xml:space="preserve"> </w:t>
            </w:r>
            <w:r w:rsidR="00AC7522" w:rsidRPr="00C441BB">
              <w:rPr>
                <w:rFonts w:cs="Calibri"/>
                <w:color w:val="FFFFFF" w:themeColor="background1"/>
              </w:rPr>
              <w:t>AASB 1004 does not specifically address the need for comparative figures for an AA; however, as stated above, the disclosure of income and expenses relating to an AA is not required where it is impractical to provide this information</w:t>
            </w:r>
            <w:r w:rsidR="00DB75E7" w:rsidRPr="00C441BB">
              <w:rPr>
                <w:rFonts w:cs="Calibri"/>
                <w:color w:val="FFFFFF" w:themeColor="background1"/>
              </w:rPr>
              <w:t>.</w:t>
            </w:r>
          </w:p>
        </w:tc>
      </w:tr>
      <w:tr w:rsidR="00AC7522" w:rsidRPr="00CF7E1B" w14:paraId="7F7FED0E" w14:textId="77777777" w:rsidTr="0004564D">
        <w:tc>
          <w:tcPr>
            <w:tcW w:w="1560" w:type="dxa"/>
            <w:tcBorders>
              <w:left w:val="single" w:sz="2" w:space="0" w:color="auto"/>
              <w:right w:val="single" w:sz="2" w:space="0" w:color="auto"/>
            </w:tcBorders>
          </w:tcPr>
          <w:p w14:paraId="16FF32C4" w14:textId="3D3A0597" w:rsidR="00AC7522" w:rsidRPr="00C441BB" w:rsidRDefault="00AC7522" w:rsidP="00301C2A">
            <w:pPr>
              <w:pStyle w:val="TableReference"/>
              <w:tabs>
                <w:tab w:val="left" w:pos="3306"/>
              </w:tabs>
              <w:spacing w:before="60"/>
              <w:rPr>
                <w:rFonts w:cs="Calibri"/>
                <w:color w:val="7030A0"/>
                <w:sz w:val="14"/>
              </w:rPr>
            </w:pPr>
            <w:r w:rsidRPr="00C441BB">
              <w:rPr>
                <w:rFonts w:cs="Calibri"/>
                <w:color w:val="7030A0"/>
                <w:sz w:val="14"/>
              </w:rPr>
              <w:t>AASB 101.7 &amp; 43</w:t>
            </w:r>
          </w:p>
        </w:tc>
        <w:tc>
          <w:tcPr>
            <w:tcW w:w="8930" w:type="dxa"/>
            <w:tcBorders>
              <w:left w:val="single" w:sz="2" w:space="0" w:color="auto"/>
            </w:tcBorders>
            <w:shd w:val="clear" w:color="auto" w:fill="7030A0"/>
            <w:vAlign w:val="bottom"/>
          </w:tcPr>
          <w:p w14:paraId="574B516F" w14:textId="57CFC453" w:rsidR="00AC7522" w:rsidRPr="00C441BB" w:rsidRDefault="00AC7522"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Further, in some circumstances, it may be impracticable to reclassify comparative information for a particular prior period to achieve comparability with the current period.</w:t>
            </w:r>
            <w:r w:rsidR="00FA7C77">
              <w:rPr>
                <w:rFonts w:cs="Calibri"/>
                <w:color w:val="FFFFFF" w:themeColor="background1"/>
              </w:rPr>
              <w:t xml:space="preserve"> </w:t>
            </w:r>
            <w:r w:rsidRPr="00C441BB">
              <w:rPr>
                <w:rFonts w:cs="Calibri"/>
                <w:color w:val="FFFFFF" w:themeColor="background1"/>
              </w:rPr>
              <w:t>AASB 101 states that a requirement is impracticable when the directorate cannot apply it after making every reasonable effort to do so.</w:t>
            </w:r>
            <w:r w:rsidR="00FA7C77">
              <w:rPr>
                <w:rFonts w:cs="Calibri"/>
                <w:color w:val="FFFFFF" w:themeColor="background1"/>
              </w:rPr>
              <w:t xml:space="preserve"> </w:t>
            </w:r>
            <w:r w:rsidRPr="00C441BB">
              <w:rPr>
                <w:rFonts w:cs="Calibri"/>
                <w:color w:val="FFFFFF" w:themeColor="background1"/>
              </w:rPr>
              <w:t>It is likely that agencies will be able to provide income and expense figures for the comparative year where an entire output class is transferred as part of an AA.</w:t>
            </w:r>
            <w:r w:rsidR="00FA7C77">
              <w:rPr>
                <w:rFonts w:cs="Calibri"/>
                <w:color w:val="FFFFFF" w:themeColor="background1"/>
              </w:rPr>
              <w:t xml:space="preserve"> </w:t>
            </w:r>
            <w:r w:rsidRPr="00C441BB">
              <w:rPr>
                <w:rFonts w:cs="Calibri"/>
                <w:color w:val="FFFFFF" w:themeColor="background1"/>
              </w:rPr>
              <w:t>However, it is unlikely that comparative figures can be provided where only part of an output class is transferred as part of an AA (note that a reasonable effort must be made).</w:t>
            </w:r>
            <w:r w:rsidR="00FA7C77">
              <w:rPr>
                <w:rFonts w:cs="Calibri"/>
                <w:color w:val="FFFFFF" w:themeColor="background1"/>
              </w:rPr>
              <w:t xml:space="preserve"> </w:t>
            </w:r>
            <w:r w:rsidRPr="00C441BB">
              <w:rPr>
                <w:rFonts w:cs="Calibri"/>
                <w:color w:val="FFFFFF" w:themeColor="background1"/>
              </w:rPr>
              <w:t xml:space="preserve"> </w:t>
            </w:r>
          </w:p>
        </w:tc>
      </w:tr>
      <w:tr w:rsidR="000848D8" w:rsidRPr="00CF7E1B" w14:paraId="3884335B" w14:textId="77777777" w:rsidTr="0004564D">
        <w:tc>
          <w:tcPr>
            <w:tcW w:w="1560" w:type="dxa"/>
            <w:tcBorders>
              <w:left w:val="single" w:sz="2" w:space="0" w:color="auto"/>
              <w:right w:val="single" w:sz="2" w:space="0" w:color="auto"/>
            </w:tcBorders>
          </w:tcPr>
          <w:p w14:paraId="56B54E21" w14:textId="77777777" w:rsidR="000848D8" w:rsidRPr="00C441BB" w:rsidRDefault="000848D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4833490" w14:textId="5A57EA34" w:rsidR="000848D8" w:rsidRPr="00C441BB" w:rsidRDefault="000848D8"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The example provided in the Model for 202</w:t>
            </w:r>
            <w:r w:rsidR="0002512F">
              <w:rPr>
                <w:rFonts w:cs="Calibri"/>
                <w:color w:val="FFFFFF" w:themeColor="background1"/>
              </w:rPr>
              <w:t>3</w:t>
            </w:r>
            <w:r w:rsidRPr="00C441BB">
              <w:rPr>
                <w:rFonts w:cs="Calibri"/>
                <w:color w:val="FFFFFF" w:themeColor="background1"/>
              </w:rPr>
              <w:t xml:space="preserve"> involved the transfer of a Heritage and Environment division between ‘</w:t>
            </w:r>
            <w:r w:rsidRPr="00C441BB">
              <w:rPr>
                <w:color w:val="FFFFFF" w:themeColor="background1"/>
              </w:rPr>
              <w:t>Burley Griffin</w:t>
            </w:r>
            <w:r w:rsidRPr="00C441BB">
              <w:rPr>
                <w:rFonts w:cs="Calibri"/>
                <w:color w:val="FFFFFF" w:themeColor="background1"/>
              </w:rPr>
              <w:t xml:space="preserve"> Agency’ and ABC Directorate.</w:t>
            </w:r>
            <w:r w:rsidR="00FA7C77">
              <w:rPr>
                <w:rFonts w:cs="Calibri"/>
                <w:color w:val="FFFFFF" w:themeColor="background1"/>
              </w:rPr>
              <w:t xml:space="preserve"> </w:t>
            </w:r>
            <w:r w:rsidRPr="00C441BB">
              <w:rPr>
                <w:rFonts w:cs="Calibri"/>
                <w:color w:val="FFFFFF" w:themeColor="background1"/>
              </w:rPr>
              <w:t>Given this is the transfer of a separate output, rather than an Output Class, comparatives have not been disclosed.</w:t>
            </w:r>
          </w:p>
        </w:tc>
      </w:tr>
    </w:tbl>
    <w:p w14:paraId="2FBC99E0" w14:textId="77777777" w:rsidR="00516149" w:rsidRPr="00CF7E1B" w:rsidRDefault="00516149" w:rsidP="002C6F4A">
      <w:pPr>
        <w:rPr>
          <w:rFonts w:cs="Calibri"/>
        </w:rPr>
        <w:sectPr w:rsidR="00516149" w:rsidRPr="00CF7E1B" w:rsidSect="004514CD">
          <w:footnotePr>
            <w:numRestart w:val="eachPage"/>
          </w:footnotePr>
          <w:pgSz w:w="11907" w:h="16840" w:code="9"/>
          <w:pgMar w:top="567" w:right="680" w:bottom="567" w:left="680" w:header="720" w:footer="720" w:gutter="0"/>
          <w:cols w:space="720"/>
        </w:sectPr>
      </w:pPr>
    </w:p>
    <w:tbl>
      <w:tblPr>
        <w:tblW w:w="1049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2301"/>
        <w:gridCol w:w="890"/>
        <w:gridCol w:w="1028"/>
        <w:gridCol w:w="243"/>
        <w:gridCol w:w="1032"/>
        <w:gridCol w:w="319"/>
        <w:gridCol w:w="814"/>
        <w:gridCol w:w="746"/>
        <w:gridCol w:w="387"/>
        <w:gridCol w:w="1172"/>
      </w:tblGrid>
      <w:tr w:rsidR="00E75710" w:rsidRPr="00CF7E1B" w14:paraId="715FB40B" w14:textId="77777777" w:rsidTr="00A41D42">
        <w:trPr>
          <w:cantSplit/>
          <w:trHeight w:val="119"/>
        </w:trPr>
        <w:tc>
          <w:tcPr>
            <w:tcW w:w="1561" w:type="dxa"/>
            <w:tcBorders>
              <w:top w:val="nil"/>
              <w:left w:val="single" w:sz="2" w:space="0" w:color="auto"/>
              <w:bottom w:val="nil"/>
              <w:right w:val="single" w:sz="2" w:space="0" w:color="auto"/>
            </w:tcBorders>
          </w:tcPr>
          <w:p w14:paraId="3967E2FF" w14:textId="77777777" w:rsidR="00E75710" w:rsidRPr="00470415" w:rsidRDefault="007E1584" w:rsidP="006E51FA">
            <w:pPr>
              <w:pStyle w:val="Reference"/>
              <w:spacing w:before="240" w:after="240"/>
              <w:rPr>
                <w:rFonts w:cs="Calibri"/>
                <w:color w:val="7030A0"/>
                <w:sz w:val="22"/>
                <w:szCs w:val="22"/>
              </w:rPr>
            </w:pPr>
            <w:bookmarkStart w:id="723" w:name="FinanInstrument" w:colFirst="1" w:colLast="1"/>
            <w:r w:rsidRPr="00470415">
              <w:rPr>
                <w:rFonts w:cs="Calibri"/>
                <w:color w:val="7030A0"/>
                <w:sz w:val="22"/>
                <w:szCs w:val="22"/>
              </w:rPr>
              <w:t>Reference</w:t>
            </w:r>
          </w:p>
        </w:tc>
        <w:tc>
          <w:tcPr>
            <w:tcW w:w="8932" w:type="dxa"/>
            <w:gridSpan w:val="10"/>
            <w:tcBorders>
              <w:top w:val="nil"/>
              <w:left w:val="single" w:sz="2" w:space="0" w:color="auto"/>
              <w:bottom w:val="nil"/>
              <w:right w:val="nil"/>
            </w:tcBorders>
            <w:vAlign w:val="bottom"/>
          </w:tcPr>
          <w:p w14:paraId="617C1C8A" w14:textId="4EA4C887" w:rsidR="00E75710" w:rsidRPr="00470415" w:rsidRDefault="00F700E5" w:rsidP="00392B65">
            <w:pPr>
              <w:pStyle w:val="Heading1"/>
              <w:numPr>
                <w:ilvl w:val="0"/>
                <w:numId w:val="0"/>
              </w:numPr>
            </w:pPr>
            <w:bookmarkStart w:id="724" w:name="_Toc400627357"/>
            <w:bookmarkStart w:id="725" w:name="_Toc132743822"/>
            <w:r w:rsidRPr="00470415">
              <w:t>Note</w:t>
            </w:r>
            <w:r w:rsidR="007E1584" w:rsidRPr="00470415">
              <w:t xml:space="preserve"> </w:t>
            </w:r>
            <w:r w:rsidR="003334D4" w:rsidRPr="00470415">
              <w:t>31</w:t>
            </w:r>
            <w:r w:rsidR="007E1584" w:rsidRPr="00470415">
              <w:t>.</w:t>
            </w:r>
            <w:r w:rsidR="00FA7C77">
              <w:t xml:space="preserve"> </w:t>
            </w:r>
            <w:r w:rsidRPr="00470415">
              <w:t xml:space="preserve"> </w:t>
            </w:r>
            <w:r w:rsidR="007E1584" w:rsidRPr="00470415">
              <w:t>Financial Instruments</w:t>
            </w:r>
            <w:bookmarkEnd w:id="724"/>
            <w:bookmarkEnd w:id="725"/>
          </w:p>
        </w:tc>
      </w:tr>
      <w:tr w:rsidR="00BE6754" w:rsidRPr="00CF7E1B" w14:paraId="4CF3E136" w14:textId="77777777" w:rsidTr="00A41D42">
        <w:trPr>
          <w:cantSplit/>
          <w:trHeight w:val="119"/>
        </w:trPr>
        <w:tc>
          <w:tcPr>
            <w:tcW w:w="1561" w:type="dxa"/>
            <w:tcBorders>
              <w:top w:val="nil"/>
              <w:left w:val="single" w:sz="2" w:space="0" w:color="auto"/>
              <w:bottom w:val="nil"/>
              <w:right w:val="single" w:sz="2" w:space="0" w:color="auto"/>
            </w:tcBorders>
            <w:vAlign w:val="bottom"/>
          </w:tcPr>
          <w:p w14:paraId="41C90C13" w14:textId="77777777" w:rsidR="00BE6754" w:rsidRPr="00470415" w:rsidRDefault="00BE6754" w:rsidP="00BE6754">
            <w:pPr>
              <w:pStyle w:val="Reference"/>
              <w:rPr>
                <w:rFonts w:cs="Calibri"/>
                <w:color w:val="7030A0"/>
                <w:sz w:val="22"/>
                <w:szCs w:val="22"/>
              </w:rPr>
            </w:pPr>
          </w:p>
        </w:tc>
        <w:tc>
          <w:tcPr>
            <w:tcW w:w="8932" w:type="dxa"/>
            <w:gridSpan w:val="10"/>
            <w:tcBorders>
              <w:top w:val="nil"/>
              <w:left w:val="single" w:sz="2" w:space="0" w:color="auto"/>
              <w:bottom w:val="nil"/>
              <w:right w:val="nil"/>
            </w:tcBorders>
            <w:vAlign w:val="bottom"/>
          </w:tcPr>
          <w:p w14:paraId="58E10E71" w14:textId="7F8883A2" w:rsidR="00BE6754" w:rsidRPr="00470415" w:rsidRDefault="00BE6754" w:rsidP="00BE6754">
            <w:pPr>
              <w:rPr>
                <w:b/>
                <w:bCs/>
                <w:sz w:val="18"/>
                <w:szCs w:val="18"/>
              </w:rPr>
            </w:pPr>
            <w:r w:rsidRPr="00470415">
              <w:rPr>
                <w:b/>
                <w:bCs/>
                <w:sz w:val="18"/>
                <w:szCs w:val="18"/>
              </w:rPr>
              <w:t>Material Accounting Policies Relating to Financial Instruments</w:t>
            </w:r>
          </w:p>
        </w:tc>
      </w:tr>
      <w:bookmarkEnd w:id="723"/>
      <w:tr w:rsidR="007F2C2B" w:rsidRPr="00CF7E1B" w14:paraId="5730779C" w14:textId="77777777" w:rsidTr="00A41D42">
        <w:trPr>
          <w:cantSplit/>
          <w:trHeight w:val="722"/>
        </w:trPr>
        <w:tc>
          <w:tcPr>
            <w:tcW w:w="1561" w:type="dxa"/>
            <w:tcBorders>
              <w:top w:val="nil"/>
              <w:left w:val="single" w:sz="2" w:space="0" w:color="auto"/>
              <w:bottom w:val="nil"/>
              <w:right w:val="single" w:sz="2" w:space="0" w:color="auto"/>
            </w:tcBorders>
            <w:vAlign w:val="bottom"/>
          </w:tcPr>
          <w:p w14:paraId="7F8B08FF" w14:textId="77777777" w:rsidR="007F2C2B" w:rsidRPr="00470415" w:rsidRDefault="007F2C2B" w:rsidP="00B66BEB">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13E51A59" w14:textId="50550A95" w:rsidR="007F2C2B" w:rsidRPr="00470415" w:rsidRDefault="007F2C2B" w:rsidP="00BE6754">
            <w:pPr>
              <w:spacing w:after="120"/>
              <w:jc w:val="both"/>
              <w:rPr>
                <w:rFonts w:cs="Calibri"/>
                <w:sz w:val="18"/>
                <w:szCs w:val="18"/>
              </w:rPr>
            </w:pPr>
            <w:r w:rsidRPr="00470415">
              <w:rPr>
                <w:rFonts w:cs="Calibri"/>
                <w:sz w:val="18"/>
                <w:szCs w:val="18"/>
              </w:rPr>
              <w:t xml:space="preserve">Details of the </w:t>
            </w:r>
            <w:r w:rsidR="0006055F" w:rsidRPr="00470415">
              <w:rPr>
                <w:rFonts w:cs="Calibri"/>
                <w:sz w:val="18"/>
                <w:szCs w:val="18"/>
              </w:rPr>
              <w:t xml:space="preserve">material accounting </w:t>
            </w:r>
            <w:r w:rsidRPr="00470415">
              <w:rPr>
                <w:rFonts w:cs="Calibri"/>
                <w:sz w:val="18"/>
                <w:szCs w:val="18"/>
              </w:rPr>
              <w:t>policies and methods adopted, including the criteria for recognition, the basis of measurement, and the basis on which income and expenses are recognised, with respect to each class of financial asset and financial liability are disclosed in the note to which they relate.</w:t>
            </w:r>
            <w:r w:rsidR="00FA7C77">
              <w:rPr>
                <w:rFonts w:cs="Calibri"/>
                <w:sz w:val="18"/>
                <w:szCs w:val="18"/>
              </w:rPr>
              <w:t xml:space="preserve"> </w:t>
            </w:r>
            <w:r w:rsidR="00BE6754" w:rsidRPr="00470415">
              <w:rPr>
                <w:rFonts w:cs="Calibri"/>
                <w:sz w:val="18"/>
                <w:szCs w:val="18"/>
              </w:rPr>
              <w:t>In addition to these policies, the following are also accounting policies relating to financial assets</w:t>
            </w:r>
            <w:r w:rsidR="0058636C" w:rsidRPr="00470415">
              <w:rPr>
                <w:rFonts w:cs="Calibri"/>
                <w:sz w:val="18"/>
                <w:szCs w:val="18"/>
              </w:rPr>
              <w:t xml:space="preserve"> and liabilities</w:t>
            </w:r>
            <w:r w:rsidR="00BE6754" w:rsidRPr="00470415">
              <w:rPr>
                <w:rFonts w:cs="Calibri"/>
                <w:sz w:val="18"/>
                <w:szCs w:val="18"/>
              </w:rPr>
              <w:t xml:space="preserve">. </w:t>
            </w:r>
          </w:p>
        </w:tc>
      </w:tr>
      <w:tr w:rsidR="0006055F" w:rsidRPr="004914DB" w14:paraId="0E50CFE2" w14:textId="77777777" w:rsidTr="00A41D42">
        <w:trPr>
          <w:cantSplit/>
          <w:trHeight w:val="299"/>
        </w:trPr>
        <w:tc>
          <w:tcPr>
            <w:tcW w:w="1561" w:type="dxa"/>
            <w:tcBorders>
              <w:top w:val="nil"/>
              <w:left w:val="single" w:sz="2" w:space="0" w:color="auto"/>
              <w:bottom w:val="nil"/>
              <w:right w:val="single" w:sz="2" w:space="0" w:color="auto"/>
            </w:tcBorders>
            <w:vAlign w:val="bottom"/>
          </w:tcPr>
          <w:p w14:paraId="1FB46DE0" w14:textId="77777777" w:rsidR="0006055F" w:rsidRPr="00470415" w:rsidRDefault="0006055F" w:rsidP="009A0F2F">
            <w:pPr>
              <w:pStyle w:val="Reference"/>
              <w:rPr>
                <w:rFonts w:cs="Calibri"/>
                <w:b w:val="0"/>
                <w:bCs w:val="0"/>
                <w:color w:val="7030A0"/>
                <w:sz w:val="14"/>
                <w:szCs w:val="14"/>
              </w:rPr>
            </w:pPr>
            <w:r w:rsidRPr="00470415">
              <w:rPr>
                <w:rFonts w:cs="Calibri"/>
                <w:b w:val="0"/>
                <w:bCs w:val="0"/>
                <w:color w:val="7030A0"/>
                <w:sz w:val="14"/>
                <w:szCs w:val="14"/>
              </w:rPr>
              <w:t>AASB 9.4.1.1</w:t>
            </w:r>
          </w:p>
        </w:tc>
        <w:tc>
          <w:tcPr>
            <w:tcW w:w="8932" w:type="dxa"/>
            <w:gridSpan w:val="10"/>
            <w:tcBorders>
              <w:top w:val="nil"/>
              <w:left w:val="single" w:sz="2" w:space="0" w:color="auto"/>
              <w:bottom w:val="nil"/>
              <w:right w:val="nil"/>
            </w:tcBorders>
            <w:vAlign w:val="bottom"/>
          </w:tcPr>
          <w:p w14:paraId="67E7E950" w14:textId="5606826E" w:rsidR="0006055F" w:rsidRPr="00470415" w:rsidRDefault="0006055F" w:rsidP="00BE6754">
            <w:pPr>
              <w:spacing w:after="40"/>
              <w:jc w:val="both"/>
              <w:rPr>
                <w:rFonts w:cs="Calibri"/>
                <w:sz w:val="18"/>
                <w:szCs w:val="18"/>
              </w:rPr>
            </w:pPr>
            <w:r w:rsidRPr="00470415">
              <w:rPr>
                <w:rFonts w:cs="Calibri"/>
                <w:sz w:val="18"/>
                <w:szCs w:val="18"/>
              </w:rPr>
              <w:t xml:space="preserve">Financial assets </w:t>
            </w:r>
            <w:r w:rsidR="001247EF" w:rsidRPr="00735969">
              <w:rPr>
                <w:rFonts w:cs="Calibri"/>
                <w:color w:val="FF0000"/>
                <w:sz w:val="18"/>
                <w:szCs w:val="18"/>
              </w:rPr>
              <w:t xml:space="preserve">are </w:t>
            </w:r>
            <w:r w:rsidRPr="00735969">
              <w:rPr>
                <w:rFonts w:cs="Calibri"/>
                <w:strike/>
                <w:color w:val="FF0000"/>
                <w:sz w:val="18"/>
                <w:szCs w:val="18"/>
              </w:rPr>
              <w:t>as</w:t>
            </w:r>
            <w:r w:rsidRPr="001247EF">
              <w:rPr>
                <w:rFonts w:cs="Calibri"/>
                <w:color w:val="FF0000"/>
                <w:sz w:val="18"/>
                <w:szCs w:val="18"/>
              </w:rPr>
              <w:t xml:space="preserve"> </w:t>
            </w:r>
            <w:r w:rsidRPr="00470415">
              <w:rPr>
                <w:rFonts w:cs="Calibri"/>
                <w:sz w:val="18"/>
                <w:szCs w:val="18"/>
              </w:rPr>
              <w:t>subsequently measured at amortised cost, fair value through other comprehensive income or fair value through profit or loss on the basis of both:</w:t>
            </w:r>
          </w:p>
          <w:p w14:paraId="46EE9215" w14:textId="77777777" w:rsidR="0006055F" w:rsidRPr="00470415" w:rsidRDefault="0006055F" w:rsidP="00CB31DE">
            <w:pPr>
              <w:pStyle w:val="ListParagraph"/>
              <w:numPr>
                <w:ilvl w:val="0"/>
                <w:numId w:val="48"/>
              </w:numPr>
              <w:spacing w:after="40"/>
              <w:contextualSpacing w:val="0"/>
              <w:jc w:val="both"/>
              <w:rPr>
                <w:rFonts w:cs="Calibri"/>
                <w:sz w:val="18"/>
                <w:szCs w:val="18"/>
              </w:rPr>
            </w:pPr>
            <w:r w:rsidRPr="00470415">
              <w:rPr>
                <w:rFonts w:cs="Calibri"/>
                <w:sz w:val="18"/>
                <w:szCs w:val="18"/>
              </w:rPr>
              <w:t>the business model for managing the financial assets; and</w:t>
            </w:r>
          </w:p>
          <w:p w14:paraId="4966F84F" w14:textId="77777777" w:rsidR="0006055F" w:rsidRPr="00470415" w:rsidRDefault="0006055F" w:rsidP="00CB31DE">
            <w:pPr>
              <w:pStyle w:val="ListParagraph"/>
              <w:numPr>
                <w:ilvl w:val="0"/>
                <w:numId w:val="48"/>
              </w:numPr>
              <w:spacing w:after="120"/>
              <w:ind w:left="714" w:hanging="357"/>
              <w:contextualSpacing w:val="0"/>
              <w:jc w:val="both"/>
              <w:rPr>
                <w:rFonts w:cs="Calibri"/>
                <w:sz w:val="18"/>
                <w:szCs w:val="18"/>
              </w:rPr>
            </w:pPr>
            <w:r w:rsidRPr="00470415">
              <w:rPr>
                <w:rFonts w:cs="Calibri"/>
                <w:sz w:val="18"/>
                <w:szCs w:val="18"/>
              </w:rPr>
              <w:t>the contractual cash flow characteristics of the financial assets.</w:t>
            </w:r>
          </w:p>
        </w:tc>
      </w:tr>
      <w:tr w:rsidR="0006055F" w:rsidRPr="007F2C2B" w14:paraId="3F61AA2B" w14:textId="77777777" w:rsidTr="00A41D42">
        <w:trPr>
          <w:cantSplit/>
          <w:trHeight w:val="299"/>
        </w:trPr>
        <w:tc>
          <w:tcPr>
            <w:tcW w:w="1561" w:type="dxa"/>
            <w:tcBorders>
              <w:top w:val="nil"/>
              <w:left w:val="single" w:sz="2" w:space="0" w:color="auto"/>
              <w:bottom w:val="nil"/>
              <w:right w:val="single" w:sz="2" w:space="0" w:color="auto"/>
            </w:tcBorders>
            <w:vAlign w:val="bottom"/>
          </w:tcPr>
          <w:p w14:paraId="4D43DB21" w14:textId="77777777" w:rsidR="0006055F" w:rsidRPr="00470415" w:rsidRDefault="0006055F" w:rsidP="009A0F2F">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3F3A6C83" w14:textId="5D0D2136" w:rsidR="0006055F" w:rsidRPr="00470415" w:rsidRDefault="0006055F" w:rsidP="00192FCF">
            <w:pPr>
              <w:spacing w:after="60"/>
              <w:jc w:val="both"/>
              <w:rPr>
                <w:rFonts w:cs="Calibri"/>
                <w:sz w:val="18"/>
                <w:szCs w:val="18"/>
              </w:rPr>
            </w:pPr>
            <w:r w:rsidRPr="00470415">
              <w:rPr>
                <w:rFonts w:cs="Calibri"/>
                <w:sz w:val="18"/>
                <w:szCs w:val="18"/>
              </w:rPr>
              <w:t>The following are the classification of ‘Burley Griffin Agency’s’ financial assets under AASB 9:</w:t>
            </w:r>
          </w:p>
        </w:tc>
      </w:tr>
      <w:tr w:rsidR="0006055F" w:rsidRPr="00B24233" w14:paraId="5888070C" w14:textId="77777777" w:rsidTr="00A41D42">
        <w:trPr>
          <w:cantSplit/>
          <w:trHeight w:val="23"/>
        </w:trPr>
        <w:tc>
          <w:tcPr>
            <w:tcW w:w="1561" w:type="dxa"/>
            <w:tcBorders>
              <w:top w:val="nil"/>
              <w:left w:val="single" w:sz="2" w:space="0" w:color="auto"/>
              <w:bottom w:val="nil"/>
              <w:right w:val="single" w:sz="2" w:space="0" w:color="auto"/>
            </w:tcBorders>
            <w:vAlign w:val="bottom"/>
          </w:tcPr>
          <w:p w14:paraId="20C9FF8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vAlign w:val="bottom"/>
          </w:tcPr>
          <w:p w14:paraId="005C9199" w14:textId="77777777" w:rsidR="0006055F" w:rsidRPr="00192FCF" w:rsidRDefault="0006055F" w:rsidP="00192FCF">
            <w:pPr>
              <w:spacing w:after="60"/>
              <w:rPr>
                <w:b/>
                <w:bCs/>
                <w:caps/>
                <w:sz w:val="18"/>
                <w:szCs w:val="18"/>
              </w:rPr>
            </w:pPr>
            <w:bookmarkStart w:id="726" w:name="_Toc98763162"/>
            <w:r w:rsidRPr="00192FCF">
              <w:rPr>
                <w:b/>
                <w:bCs/>
                <w:sz w:val="18"/>
                <w:szCs w:val="18"/>
              </w:rPr>
              <w:t>Items</w:t>
            </w:r>
            <w:bookmarkEnd w:id="726"/>
          </w:p>
        </w:tc>
        <w:tc>
          <w:tcPr>
            <w:tcW w:w="2161" w:type="dxa"/>
            <w:gridSpan w:val="3"/>
            <w:tcBorders>
              <w:top w:val="nil"/>
              <w:left w:val="nil"/>
              <w:bottom w:val="nil"/>
              <w:right w:val="nil"/>
            </w:tcBorders>
            <w:vAlign w:val="bottom"/>
          </w:tcPr>
          <w:p w14:paraId="7A4A4CDB" w14:textId="77777777" w:rsidR="0006055F" w:rsidRPr="00192FCF" w:rsidRDefault="0006055F" w:rsidP="00DF58F6">
            <w:pPr>
              <w:jc w:val="center"/>
              <w:rPr>
                <w:b/>
                <w:bCs/>
                <w:caps/>
                <w:sz w:val="18"/>
                <w:szCs w:val="18"/>
              </w:rPr>
            </w:pPr>
            <w:bookmarkStart w:id="727" w:name="_Toc98763163"/>
            <w:r w:rsidRPr="00192FCF">
              <w:rPr>
                <w:b/>
                <w:bCs/>
                <w:sz w:val="18"/>
                <w:szCs w:val="18"/>
              </w:rPr>
              <w:t>Business Model</w:t>
            </w:r>
            <w:bookmarkEnd w:id="727"/>
          </w:p>
          <w:p w14:paraId="0F736932" w14:textId="77777777" w:rsidR="0006055F" w:rsidRPr="00192FCF" w:rsidRDefault="0006055F" w:rsidP="00192FCF">
            <w:pPr>
              <w:spacing w:after="60"/>
              <w:jc w:val="center"/>
              <w:rPr>
                <w:b/>
                <w:bCs/>
                <w:caps/>
                <w:sz w:val="18"/>
                <w:szCs w:val="18"/>
              </w:rPr>
            </w:pPr>
            <w:bookmarkStart w:id="728" w:name="_Toc98763164"/>
            <w:r w:rsidRPr="00192FCF">
              <w:rPr>
                <w:b/>
                <w:bCs/>
                <w:sz w:val="18"/>
                <w:szCs w:val="18"/>
              </w:rPr>
              <w:t>Held to collect principal and interest/sell</w:t>
            </w:r>
            <w:bookmarkEnd w:id="728"/>
          </w:p>
        </w:tc>
        <w:tc>
          <w:tcPr>
            <w:tcW w:w="2165" w:type="dxa"/>
            <w:gridSpan w:val="3"/>
            <w:tcBorders>
              <w:top w:val="nil"/>
              <w:left w:val="nil"/>
              <w:bottom w:val="nil"/>
              <w:right w:val="nil"/>
            </w:tcBorders>
            <w:vAlign w:val="bottom"/>
          </w:tcPr>
          <w:p w14:paraId="599759C9" w14:textId="77777777" w:rsidR="0006055F" w:rsidRPr="00192FCF" w:rsidRDefault="0006055F" w:rsidP="00192FCF">
            <w:pPr>
              <w:spacing w:after="60"/>
              <w:jc w:val="center"/>
              <w:rPr>
                <w:b/>
                <w:bCs/>
                <w:caps/>
                <w:sz w:val="18"/>
                <w:szCs w:val="18"/>
              </w:rPr>
            </w:pPr>
            <w:bookmarkStart w:id="729" w:name="_Toc98763165"/>
            <w:r w:rsidRPr="00192FCF">
              <w:rPr>
                <w:b/>
                <w:bCs/>
                <w:sz w:val="18"/>
                <w:szCs w:val="18"/>
              </w:rPr>
              <w:t>Solely for payment of Principal and Interest SPPI Test (basic lending characteristics)</w:t>
            </w:r>
            <w:bookmarkEnd w:id="729"/>
          </w:p>
        </w:tc>
        <w:tc>
          <w:tcPr>
            <w:tcW w:w="2305" w:type="dxa"/>
            <w:gridSpan w:val="3"/>
            <w:tcBorders>
              <w:top w:val="nil"/>
              <w:left w:val="nil"/>
              <w:bottom w:val="nil"/>
              <w:right w:val="nil"/>
            </w:tcBorders>
            <w:vAlign w:val="bottom"/>
          </w:tcPr>
          <w:p w14:paraId="1E5C5DD2" w14:textId="77777777" w:rsidR="0006055F" w:rsidRPr="00192FCF" w:rsidRDefault="0006055F" w:rsidP="00192FCF">
            <w:pPr>
              <w:spacing w:after="60"/>
              <w:jc w:val="center"/>
              <w:rPr>
                <w:b/>
                <w:bCs/>
                <w:caps/>
                <w:sz w:val="18"/>
                <w:szCs w:val="18"/>
              </w:rPr>
            </w:pPr>
            <w:bookmarkStart w:id="730" w:name="_Toc98763166"/>
            <w:r w:rsidRPr="00192FCF">
              <w:rPr>
                <w:b/>
                <w:bCs/>
                <w:sz w:val="18"/>
                <w:szCs w:val="18"/>
              </w:rPr>
              <w:t>Classification</w:t>
            </w:r>
            <w:bookmarkEnd w:id="730"/>
          </w:p>
        </w:tc>
      </w:tr>
      <w:tr w:rsidR="0006055F" w:rsidRPr="00B24233" w14:paraId="74E0A546" w14:textId="77777777" w:rsidTr="00A41D42">
        <w:trPr>
          <w:cantSplit/>
          <w:trHeight w:val="23"/>
        </w:trPr>
        <w:tc>
          <w:tcPr>
            <w:tcW w:w="1561" w:type="dxa"/>
            <w:tcBorders>
              <w:top w:val="nil"/>
              <w:left w:val="single" w:sz="2" w:space="0" w:color="auto"/>
              <w:bottom w:val="nil"/>
              <w:right w:val="single" w:sz="2" w:space="0" w:color="auto"/>
            </w:tcBorders>
            <w:vAlign w:val="bottom"/>
          </w:tcPr>
          <w:p w14:paraId="75833551"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45A15C16" w14:textId="77777777" w:rsidR="0006055F" w:rsidRPr="00470415" w:rsidRDefault="0006055F" w:rsidP="0058636C">
            <w:pPr>
              <w:spacing w:after="40"/>
              <w:rPr>
                <w:sz w:val="18"/>
                <w:szCs w:val="18"/>
              </w:rPr>
            </w:pPr>
            <w:r w:rsidRPr="00470415">
              <w:rPr>
                <w:sz w:val="18"/>
                <w:szCs w:val="18"/>
              </w:rPr>
              <w:t>Cash and Cash Equivalents</w:t>
            </w:r>
          </w:p>
        </w:tc>
        <w:tc>
          <w:tcPr>
            <w:tcW w:w="2161" w:type="dxa"/>
            <w:gridSpan w:val="3"/>
            <w:tcBorders>
              <w:top w:val="nil"/>
              <w:left w:val="nil"/>
              <w:bottom w:val="nil"/>
              <w:right w:val="nil"/>
            </w:tcBorders>
          </w:tcPr>
          <w:p w14:paraId="5A5694FA"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69E249E"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3BEFAD85"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A916505" w14:textId="77777777" w:rsidTr="00A41D42">
        <w:trPr>
          <w:cantSplit/>
          <w:trHeight w:val="23"/>
        </w:trPr>
        <w:tc>
          <w:tcPr>
            <w:tcW w:w="1561" w:type="dxa"/>
            <w:tcBorders>
              <w:top w:val="nil"/>
              <w:left w:val="single" w:sz="2" w:space="0" w:color="auto"/>
              <w:bottom w:val="nil"/>
              <w:right w:val="single" w:sz="2" w:space="0" w:color="auto"/>
            </w:tcBorders>
            <w:vAlign w:val="bottom"/>
          </w:tcPr>
          <w:p w14:paraId="6931661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27265D58" w14:textId="6F057B39" w:rsidR="0006055F" w:rsidRPr="00470415" w:rsidRDefault="00523CDC" w:rsidP="0058636C">
            <w:pPr>
              <w:spacing w:after="40"/>
              <w:rPr>
                <w:sz w:val="18"/>
                <w:szCs w:val="18"/>
              </w:rPr>
            </w:pPr>
            <w:r w:rsidRPr="00470415">
              <w:rPr>
                <w:sz w:val="18"/>
                <w:szCs w:val="18"/>
              </w:rPr>
              <w:t xml:space="preserve">Accounts </w:t>
            </w:r>
            <w:r w:rsidR="0006055F" w:rsidRPr="00470415">
              <w:rPr>
                <w:sz w:val="18"/>
                <w:szCs w:val="18"/>
              </w:rPr>
              <w:t>Receivables</w:t>
            </w:r>
          </w:p>
        </w:tc>
        <w:tc>
          <w:tcPr>
            <w:tcW w:w="2161" w:type="dxa"/>
            <w:gridSpan w:val="3"/>
            <w:tcBorders>
              <w:top w:val="nil"/>
              <w:left w:val="nil"/>
              <w:bottom w:val="nil"/>
              <w:right w:val="nil"/>
            </w:tcBorders>
          </w:tcPr>
          <w:p w14:paraId="05D7BC68"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063A78A"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4A1F3718"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0D18599B" w14:textId="77777777" w:rsidTr="00A41D42">
        <w:trPr>
          <w:cantSplit/>
          <w:trHeight w:val="23"/>
        </w:trPr>
        <w:tc>
          <w:tcPr>
            <w:tcW w:w="1561" w:type="dxa"/>
            <w:tcBorders>
              <w:top w:val="nil"/>
              <w:left w:val="single" w:sz="2" w:space="0" w:color="auto"/>
              <w:bottom w:val="nil"/>
              <w:right w:val="single" w:sz="2" w:space="0" w:color="auto"/>
            </w:tcBorders>
            <w:vAlign w:val="bottom"/>
          </w:tcPr>
          <w:p w14:paraId="26DD275E"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0D3BFD9E" w14:textId="77777777" w:rsidR="0006055F" w:rsidRPr="00470415" w:rsidRDefault="0006055F" w:rsidP="0058636C">
            <w:pPr>
              <w:spacing w:after="40"/>
              <w:rPr>
                <w:sz w:val="18"/>
                <w:szCs w:val="18"/>
              </w:rPr>
            </w:pPr>
            <w:r w:rsidRPr="00470415">
              <w:rPr>
                <w:sz w:val="18"/>
                <w:szCs w:val="18"/>
              </w:rPr>
              <w:t>Accrued Revenue</w:t>
            </w:r>
          </w:p>
        </w:tc>
        <w:tc>
          <w:tcPr>
            <w:tcW w:w="2161" w:type="dxa"/>
            <w:gridSpan w:val="3"/>
            <w:tcBorders>
              <w:top w:val="nil"/>
              <w:left w:val="nil"/>
              <w:bottom w:val="nil"/>
              <w:right w:val="nil"/>
            </w:tcBorders>
          </w:tcPr>
          <w:p w14:paraId="517D6047"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51E36161"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B1B9B0F"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412F34B" w14:textId="77777777" w:rsidTr="00A41D42">
        <w:trPr>
          <w:cantSplit/>
          <w:trHeight w:val="23"/>
        </w:trPr>
        <w:tc>
          <w:tcPr>
            <w:tcW w:w="1561" w:type="dxa"/>
            <w:tcBorders>
              <w:top w:val="nil"/>
              <w:left w:val="single" w:sz="2" w:space="0" w:color="auto"/>
              <w:bottom w:val="nil"/>
              <w:right w:val="single" w:sz="2" w:space="0" w:color="auto"/>
            </w:tcBorders>
            <w:vAlign w:val="bottom"/>
          </w:tcPr>
          <w:p w14:paraId="7A3249E6"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7649FE67" w14:textId="77777777" w:rsidR="0006055F" w:rsidRPr="00470415" w:rsidRDefault="0006055F" w:rsidP="0058636C">
            <w:pPr>
              <w:spacing w:after="40"/>
              <w:rPr>
                <w:sz w:val="18"/>
                <w:szCs w:val="18"/>
              </w:rPr>
            </w:pPr>
            <w:r w:rsidRPr="00470415">
              <w:rPr>
                <w:sz w:val="18"/>
                <w:szCs w:val="18"/>
              </w:rPr>
              <w:t>Loans Receivable</w:t>
            </w:r>
          </w:p>
        </w:tc>
        <w:tc>
          <w:tcPr>
            <w:tcW w:w="2161" w:type="dxa"/>
            <w:gridSpan w:val="3"/>
            <w:tcBorders>
              <w:top w:val="nil"/>
              <w:left w:val="nil"/>
              <w:bottom w:val="nil"/>
              <w:right w:val="nil"/>
            </w:tcBorders>
          </w:tcPr>
          <w:p w14:paraId="0FB1AD62"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2E5534BC"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5D4E99D" w14:textId="77777777" w:rsidR="0006055F" w:rsidRPr="00470415" w:rsidRDefault="0006055F" w:rsidP="0058636C">
            <w:pPr>
              <w:spacing w:after="40"/>
              <w:jc w:val="center"/>
              <w:rPr>
                <w:sz w:val="18"/>
                <w:szCs w:val="18"/>
              </w:rPr>
            </w:pPr>
            <w:r w:rsidRPr="00470415">
              <w:rPr>
                <w:sz w:val="18"/>
                <w:szCs w:val="18"/>
              </w:rPr>
              <w:t>Amortised cost</w:t>
            </w:r>
          </w:p>
        </w:tc>
      </w:tr>
      <w:tr w:rsidR="00523CDC" w:rsidRPr="00B24233" w14:paraId="0A6AFB60" w14:textId="77777777" w:rsidTr="00A41D42">
        <w:trPr>
          <w:cantSplit/>
          <w:trHeight w:val="23"/>
        </w:trPr>
        <w:tc>
          <w:tcPr>
            <w:tcW w:w="1561" w:type="dxa"/>
            <w:tcBorders>
              <w:top w:val="nil"/>
              <w:left w:val="single" w:sz="2" w:space="0" w:color="auto"/>
              <w:bottom w:val="nil"/>
              <w:right w:val="single" w:sz="2" w:space="0" w:color="auto"/>
            </w:tcBorders>
            <w:vAlign w:val="bottom"/>
          </w:tcPr>
          <w:p w14:paraId="640F9867"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45569CD5" w14:textId="06B89626" w:rsidR="00523CDC" w:rsidRPr="00470415" w:rsidRDefault="00523CDC" w:rsidP="00523CDC">
            <w:pPr>
              <w:spacing w:after="40"/>
              <w:rPr>
                <w:sz w:val="18"/>
                <w:szCs w:val="18"/>
              </w:rPr>
            </w:pPr>
            <w:r w:rsidRPr="00470415">
              <w:rPr>
                <w:sz w:val="18"/>
                <w:szCs w:val="18"/>
              </w:rPr>
              <w:t>Contract Assets</w:t>
            </w:r>
          </w:p>
        </w:tc>
        <w:tc>
          <w:tcPr>
            <w:tcW w:w="2161" w:type="dxa"/>
            <w:gridSpan w:val="3"/>
            <w:tcBorders>
              <w:top w:val="nil"/>
              <w:left w:val="nil"/>
              <w:bottom w:val="nil"/>
              <w:right w:val="nil"/>
            </w:tcBorders>
          </w:tcPr>
          <w:p w14:paraId="26CB630F" w14:textId="2AEFBCE0" w:rsidR="00523CDC" w:rsidRPr="00470415" w:rsidRDefault="00523CDC" w:rsidP="00523CD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63A3FB75" w14:textId="4A2D98B8" w:rsidR="00523CDC" w:rsidRPr="00470415" w:rsidRDefault="00523CDC" w:rsidP="00523CD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24F29C82" w14:textId="52489F4A" w:rsidR="00523CDC" w:rsidRPr="00470415" w:rsidRDefault="00523CDC" w:rsidP="00523CDC">
            <w:pPr>
              <w:spacing w:after="40"/>
              <w:jc w:val="center"/>
              <w:rPr>
                <w:sz w:val="18"/>
                <w:szCs w:val="18"/>
              </w:rPr>
            </w:pPr>
            <w:r w:rsidRPr="00470415">
              <w:rPr>
                <w:sz w:val="18"/>
                <w:szCs w:val="18"/>
              </w:rPr>
              <w:t>Amortised cost</w:t>
            </w:r>
          </w:p>
        </w:tc>
      </w:tr>
      <w:tr w:rsidR="00523CDC" w:rsidRPr="00B24233" w14:paraId="77BA74F6" w14:textId="77777777" w:rsidTr="00A41D42">
        <w:trPr>
          <w:cantSplit/>
          <w:trHeight w:val="23"/>
        </w:trPr>
        <w:tc>
          <w:tcPr>
            <w:tcW w:w="1561" w:type="dxa"/>
            <w:tcBorders>
              <w:top w:val="nil"/>
              <w:left w:val="single" w:sz="2" w:space="0" w:color="auto"/>
              <w:bottom w:val="nil"/>
              <w:right w:val="single" w:sz="2" w:space="0" w:color="auto"/>
            </w:tcBorders>
            <w:vAlign w:val="bottom"/>
          </w:tcPr>
          <w:p w14:paraId="060C5420"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2203F4DE" w14:textId="77777777" w:rsidR="00523CDC" w:rsidRPr="00470415" w:rsidRDefault="00523CDC" w:rsidP="00523CDC">
            <w:pPr>
              <w:spacing w:after="120"/>
              <w:rPr>
                <w:sz w:val="18"/>
                <w:szCs w:val="18"/>
              </w:rPr>
            </w:pPr>
            <w:r w:rsidRPr="00470415">
              <w:rPr>
                <w:sz w:val="18"/>
                <w:szCs w:val="18"/>
              </w:rPr>
              <w:t>Investments with the TBA</w:t>
            </w:r>
          </w:p>
        </w:tc>
        <w:tc>
          <w:tcPr>
            <w:tcW w:w="2161" w:type="dxa"/>
            <w:gridSpan w:val="3"/>
            <w:tcBorders>
              <w:top w:val="nil"/>
              <w:left w:val="nil"/>
              <w:bottom w:val="nil"/>
              <w:right w:val="nil"/>
            </w:tcBorders>
          </w:tcPr>
          <w:p w14:paraId="0CD5A6B1" w14:textId="77777777" w:rsidR="00523CDC" w:rsidRPr="00470415" w:rsidRDefault="00523CDC" w:rsidP="00523CDC">
            <w:pPr>
              <w:spacing w:after="40"/>
              <w:jc w:val="center"/>
              <w:rPr>
                <w:sz w:val="18"/>
                <w:szCs w:val="18"/>
              </w:rPr>
            </w:pPr>
            <w:r w:rsidRPr="00470415">
              <w:rPr>
                <w:sz w:val="18"/>
                <w:szCs w:val="18"/>
              </w:rPr>
              <w:t>Held to collect /&amp; sell</w:t>
            </w:r>
          </w:p>
        </w:tc>
        <w:tc>
          <w:tcPr>
            <w:tcW w:w="2165" w:type="dxa"/>
            <w:gridSpan w:val="3"/>
            <w:tcBorders>
              <w:top w:val="nil"/>
              <w:left w:val="nil"/>
              <w:bottom w:val="nil"/>
              <w:right w:val="nil"/>
            </w:tcBorders>
          </w:tcPr>
          <w:p w14:paraId="7B68970F" w14:textId="77777777" w:rsidR="00523CDC" w:rsidRPr="00470415" w:rsidRDefault="00523CDC" w:rsidP="00523CDC">
            <w:pPr>
              <w:spacing w:after="40"/>
              <w:jc w:val="center"/>
              <w:rPr>
                <w:sz w:val="18"/>
                <w:szCs w:val="18"/>
              </w:rPr>
            </w:pPr>
            <w:r w:rsidRPr="00470415">
              <w:rPr>
                <w:sz w:val="18"/>
                <w:szCs w:val="18"/>
              </w:rPr>
              <w:t>No</w:t>
            </w:r>
          </w:p>
        </w:tc>
        <w:tc>
          <w:tcPr>
            <w:tcW w:w="2305" w:type="dxa"/>
            <w:gridSpan w:val="3"/>
            <w:tcBorders>
              <w:top w:val="nil"/>
              <w:left w:val="nil"/>
              <w:bottom w:val="nil"/>
              <w:right w:val="nil"/>
            </w:tcBorders>
          </w:tcPr>
          <w:p w14:paraId="76781494" w14:textId="77777777" w:rsidR="00523CDC" w:rsidRPr="00470415" w:rsidRDefault="00523CDC" w:rsidP="00523CDC">
            <w:pPr>
              <w:spacing w:after="40"/>
              <w:jc w:val="center"/>
              <w:rPr>
                <w:sz w:val="18"/>
                <w:szCs w:val="18"/>
              </w:rPr>
            </w:pPr>
            <w:r w:rsidRPr="00470415">
              <w:rPr>
                <w:sz w:val="18"/>
                <w:szCs w:val="18"/>
              </w:rPr>
              <w:t>FVTPL</w:t>
            </w:r>
          </w:p>
        </w:tc>
      </w:tr>
      <w:tr w:rsidR="00523CDC" w:rsidRPr="00CF7E1B" w14:paraId="57790751" w14:textId="77777777" w:rsidTr="00A41D42">
        <w:trPr>
          <w:cantSplit/>
          <w:trHeight w:val="23"/>
        </w:trPr>
        <w:tc>
          <w:tcPr>
            <w:tcW w:w="1561" w:type="dxa"/>
            <w:tcBorders>
              <w:top w:val="nil"/>
              <w:left w:val="single" w:sz="2" w:space="0" w:color="auto"/>
              <w:bottom w:val="nil"/>
              <w:right w:val="single" w:sz="2" w:space="0" w:color="auto"/>
            </w:tcBorders>
          </w:tcPr>
          <w:p w14:paraId="472603AB" w14:textId="77777777" w:rsidR="00523CDC" w:rsidRPr="00470415" w:rsidRDefault="00523CDC" w:rsidP="00523CDC">
            <w:pPr>
              <w:pStyle w:val="Reference"/>
              <w:rPr>
                <w:rFonts w:cs="Calibri"/>
                <w:color w:val="7030A0"/>
                <w:sz w:val="16"/>
                <w:szCs w:val="16"/>
              </w:rPr>
            </w:pPr>
            <w:r w:rsidRPr="00470415">
              <w:rPr>
                <w:b w:val="0"/>
                <w:bCs w:val="0"/>
                <w:color w:val="7030A0"/>
                <w:sz w:val="14"/>
                <w:szCs w:val="14"/>
              </w:rPr>
              <w:t>AASB 9.4.2.1</w:t>
            </w:r>
          </w:p>
        </w:tc>
        <w:tc>
          <w:tcPr>
            <w:tcW w:w="8932" w:type="dxa"/>
            <w:gridSpan w:val="10"/>
            <w:tcBorders>
              <w:top w:val="nil"/>
              <w:left w:val="single" w:sz="2" w:space="0" w:color="auto"/>
              <w:bottom w:val="nil"/>
              <w:right w:val="nil"/>
            </w:tcBorders>
            <w:vAlign w:val="bottom"/>
          </w:tcPr>
          <w:p w14:paraId="18678C2B" w14:textId="77777777" w:rsidR="00523CDC" w:rsidRPr="00470415" w:rsidRDefault="00523CDC" w:rsidP="00523CDC">
            <w:pPr>
              <w:rPr>
                <w:rFonts w:cs="Calibri"/>
              </w:rPr>
            </w:pPr>
            <w:r w:rsidRPr="00470415">
              <w:rPr>
                <w:sz w:val="18"/>
                <w:szCs w:val="18"/>
              </w:rPr>
              <w:t>Financial liabilities are measured at amortised cost.</w:t>
            </w:r>
          </w:p>
        </w:tc>
      </w:tr>
      <w:tr w:rsidR="00523CDC" w:rsidRPr="00CF7E1B" w14:paraId="77E97947" w14:textId="77777777" w:rsidTr="00A41D42">
        <w:trPr>
          <w:cantSplit/>
          <w:trHeight w:val="23"/>
        </w:trPr>
        <w:tc>
          <w:tcPr>
            <w:tcW w:w="1561" w:type="dxa"/>
            <w:tcBorders>
              <w:top w:val="nil"/>
              <w:left w:val="single" w:sz="2" w:space="0" w:color="auto"/>
              <w:bottom w:val="nil"/>
              <w:right w:val="single" w:sz="2" w:space="0" w:color="auto"/>
            </w:tcBorders>
          </w:tcPr>
          <w:p w14:paraId="00857753" w14:textId="02AEE3E2" w:rsidR="00523CDC" w:rsidRPr="00470415" w:rsidRDefault="00523CDC" w:rsidP="00523CDC">
            <w:pPr>
              <w:pStyle w:val="Reference"/>
              <w:rPr>
                <w:rFonts w:cs="Calibri"/>
                <w:b w:val="0"/>
                <w:bCs w:val="0"/>
                <w:color w:val="7030A0"/>
                <w:sz w:val="16"/>
                <w:szCs w:val="16"/>
              </w:rPr>
            </w:pPr>
          </w:p>
        </w:tc>
        <w:tc>
          <w:tcPr>
            <w:tcW w:w="8932" w:type="dxa"/>
            <w:gridSpan w:val="10"/>
            <w:tcBorders>
              <w:top w:val="nil"/>
              <w:left w:val="single" w:sz="2" w:space="0" w:color="auto"/>
              <w:bottom w:val="nil"/>
              <w:right w:val="nil"/>
            </w:tcBorders>
          </w:tcPr>
          <w:p w14:paraId="26D942EE" w14:textId="228B92FB" w:rsidR="00523CDC" w:rsidRPr="00470415" w:rsidRDefault="00523CDC" w:rsidP="00523CDC">
            <w:pPr>
              <w:pStyle w:val="TableText"/>
              <w:spacing w:before="120"/>
              <w:jc w:val="both"/>
              <w:rPr>
                <w:rFonts w:cs="Calibri"/>
                <w:szCs w:val="16"/>
              </w:rPr>
            </w:pPr>
            <w:bookmarkStart w:id="731" w:name="_Toc48468665"/>
            <w:bookmarkStart w:id="732" w:name="_Toc49155765"/>
            <w:bookmarkStart w:id="733" w:name="_Toc49224182"/>
            <w:r w:rsidRPr="00470415">
              <w:rPr>
                <w:rFonts w:cs="Calibri"/>
                <w:b/>
                <w:szCs w:val="20"/>
              </w:rPr>
              <w:t>Interest Rate Risk</w:t>
            </w:r>
            <w:bookmarkEnd w:id="731"/>
            <w:bookmarkEnd w:id="732"/>
            <w:bookmarkEnd w:id="733"/>
          </w:p>
        </w:tc>
      </w:tr>
      <w:tr w:rsidR="00523CDC" w:rsidRPr="00CF7E1B" w14:paraId="4AF73FFC" w14:textId="77777777" w:rsidTr="00A41D42">
        <w:trPr>
          <w:cantSplit/>
          <w:trHeight w:val="23"/>
        </w:trPr>
        <w:tc>
          <w:tcPr>
            <w:tcW w:w="1561" w:type="dxa"/>
            <w:tcBorders>
              <w:top w:val="nil"/>
              <w:left w:val="single" w:sz="2" w:space="0" w:color="auto"/>
              <w:bottom w:val="nil"/>
              <w:right w:val="single" w:sz="2" w:space="0" w:color="auto"/>
            </w:tcBorders>
          </w:tcPr>
          <w:p w14:paraId="50317DBA" w14:textId="68845650"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tcPr>
          <w:p w14:paraId="15B1397D" w14:textId="1762558F" w:rsidR="00523CDC" w:rsidRPr="00470415" w:rsidRDefault="00523CDC" w:rsidP="00523CDC">
            <w:pPr>
              <w:pStyle w:val="TableText"/>
              <w:spacing w:before="0" w:after="120"/>
              <w:jc w:val="both"/>
              <w:rPr>
                <w:rFonts w:cs="Calibri"/>
              </w:rPr>
            </w:pPr>
            <w:r w:rsidRPr="00470415">
              <w:rPr>
                <w:rFonts w:cs="Calibri"/>
              </w:rPr>
              <w:t>Interest rate risk is the risk that the fair value or future cash flows of a financial instrument will fluctuate because of changes in market interest rates.</w:t>
            </w:r>
          </w:p>
        </w:tc>
      </w:tr>
      <w:tr w:rsidR="00523CDC" w:rsidRPr="00CF7E1B" w14:paraId="3F892A46" w14:textId="77777777" w:rsidTr="00A41D42">
        <w:trPr>
          <w:cantSplit/>
          <w:trHeight w:val="23"/>
        </w:trPr>
        <w:tc>
          <w:tcPr>
            <w:tcW w:w="1561" w:type="dxa"/>
            <w:tcBorders>
              <w:top w:val="nil"/>
              <w:left w:val="single" w:sz="2" w:space="0" w:color="auto"/>
              <w:bottom w:val="nil"/>
              <w:right w:val="single" w:sz="2" w:space="0" w:color="auto"/>
            </w:tcBorders>
          </w:tcPr>
          <w:p w14:paraId="5D7D5ACA"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w:t>
            </w:r>
          </w:p>
          <w:p w14:paraId="15EFD4DD"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2CC5E905" w14:textId="5678D2E1" w:rsidR="00523CDC" w:rsidRPr="00470415" w:rsidRDefault="00523CDC" w:rsidP="00523CDC">
            <w:pPr>
              <w:pStyle w:val="TableText"/>
              <w:spacing w:before="0" w:after="120"/>
              <w:jc w:val="both"/>
              <w:rPr>
                <w:rFonts w:cs="Calibri"/>
              </w:rPr>
            </w:pPr>
            <w:r w:rsidRPr="00470415">
              <w:rPr>
                <w:rFonts w:cs="Calibri"/>
              </w:rPr>
              <w:t>A greater proportion of financial assets are held in floating interest rate arrangements, compared to financial liabilities that are subject to floating interest rates.</w:t>
            </w:r>
            <w:r w:rsidR="00FA7C77">
              <w:rPr>
                <w:rFonts w:cs="Calibri"/>
              </w:rPr>
              <w:t xml:space="preserve"> </w:t>
            </w:r>
            <w:r w:rsidRPr="00470415">
              <w:rPr>
                <w:rFonts w:cs="Calibri"/>
              </w:rPr>
              <w:t>This means that the Agency is not significantly exposed to movements in interest payable; however, it is exposed to movements in interest receivable.</w:t>
            </w:r>
            <w:r w:rsidR="00FA7C77">
              <w:rPr>
                <w:rFonts w:cs="Calibri"/>
              </w:rPr>
              <w:t xml:space="preserve"> </w:t>
            </w:r>
            <w:r w:rsidRPr="00470415">
              <w:rPr>
                <w:rFonts w:cs="Calibri"/>
              </w:rPr>
              <w:t xml:space="preserve">Interest </w:t>
            </w:r>
            <w:r w:rsidRPr="00735969">
              <w:rPr>
                <w:rFonts w:cs="Calibri"/>
              </w:rPr>
              <w:t xml:space="preserve">rates have </w:t>
            </w:r>
            <w:r w:rsidR="00AB7CCD" w:rsidRPr="00735969">
              <w:rPr>
                <w:rFonts w:cs="Calibri"/>
                <w:color w:val="FF0000"/>
              </w:rPr>
              <w:t>increased</w:t>
            </w:r>
            <w:r w:rsidR="00AB7CCD" w:rsidRPr="00735969">
              <w:rPr>
                <w:rFonts w:cs="Calibri"/>
              </w:rPr>
              <w:t xml:space="preserve"> </w:t>
            </w:r>
            <w:r w:rsidRPr="00735969">
              <w:rPr>
                <w:rFonts w:cs="Calibri"/>
                <w:strike/>
                <w:color w:val="FF0000"/>
              </w:rPr>
              <w:t>been stable</w:t>
            </w:r>
            <w:r w:rsidRPr="00735969">
              <w:rPr>
                <w:rFonts w:cs="Calibri"/>
                <w:color w:val="FF0000"/>
              </w:rPr>
              <w:t xml:space="preserve"> </w:t>
            </w:r>
            <w:r w:rsidRPr="00735969">
              <w:rPr>
                <w:rFonts w:cs="Calibri"/>
              </w:rPr>
              <w:t xml:space="preserve">during the </w:t>
            </w:r>
            <w:r w:rsidR="00735969" w:rsidRPr="00735969">
              <w:rPr>
                <w:rFonts w:cs="Calibri"/>
                <w:color w:val="FF0000"/>
              </w:rPr>
              <w:t>financial</w:t>
            </w:r>
            <w:r w:rsidR="00735969" w:rsidRPr="00735969">
              <w:rPr>
                <w:rFonts w:cs="Calibri"/>
              </w:rPr>
              <w:t xml:space="preserve"> </w:t>
            </w:r>
            <w:r w:rsidRPr="00735969">
              <w:rPr>
                <w:rFonts w:cs="Calibri"/>
              </w:rPr>
              <w:t>year ended 30 June 202</w:t>
            </w:r>
            <w:r w:rsidR="0002512F" w:rsidRPr="00735969">
              <w:rPr>
                <w:rFonts w:cs="Calibri"/>
              </w:rPr>
              <w:t>3</w:t>
            </w:r>
            <w:r w:rsidRPr="00735969">
              <w:rPr>
                <w:rFonts w:cs="Calibri"/>
              </w:rPr>
              <w:t xml:space="preserve"> and, as such, have resulted in </w:t>
            </w:r>
            <w:r w:rsidR="00AB7CCD" w:rsidRPr="00735969">
              <w:rPr>
                <w:rFonts w:cs="Calibri"/>
                <w:color w:val="FF0000"/>
              </w:rPr>
              <w:t xml:space="preserve">an </w:t>
            </w:r>
            <w:r w:rsidRPr="00735969">
              <w:rPr>
                <w:rFonts w:cs="Calibri"/>
                <w:strike/>
                <w:color w:val="FF0000"/>
              </w:rPr>
              <w:t>no</w:t>
            </w:r>
            <w:r w:rsidRPr="00735969">
              <w:rPr>
                <w:rFonts w:cs="Calibri"/>
                <w:color w:val="FF0000"/>
              </w:rPr>
              <w:t xml:space="preserve"> </w:t>
            </w:r>
            <w:r w:rsidRPr="00735969">
              <w:rPr>
                <w:rFonts w:cs="Calibri"/>
              </w:rPr>
              <w:t>increase in</w:t>
            </w:r>
            <w:r w:rsidRPr="00470415">
              <w:rPr>
                <w:rFonts w:cs="Calibri"/>
              </w:rPr>
              <w:t xml:space="preserve"> the amount of interest received.</w:t>
            </w:r>
          </w:p>
        </w:tc>
      </w:tr>
      <w:tr w:rsidR="00523CDC" w:rsidRPr="00CF7E1B" w14:paraId="14DC6B67" w14:textId="77777777" w:rsidTr="00A41D42">
        <w:trPr>
          <w:cantSplit/>
          <w:trHeight w:val="23"/>
        </w:trPr>
        <w:tc>
          <w:tcPr>
            <w:tcW w:w="1561" w:type="dxa"/>
            <w:tcBorders>
              <w:top w:val="nil"/>
              <w:left w:val="single" w:sz="2" w:space="0" w:color="auto"/>
              <w:bottom w:val="nil"/>
              <w:right w:val="single" w:sz="2" w:space="0" w:color="auto"/>
            </w:tcBorders>
          </w:tcPr>
          <w:p w14:paraId="2BF74EB0" w14:textId="0A690CD5" w:rsidR="00523CDC" w:rsidRPr="00470415" w:rsidRDefault="00523CDC" w:rsidP="00523CDC">
            <w:pPr>
              <w:pStyle w:val="Reference"/>
              <w:spacing w:before="60"/>
              <w:rPr>
                <w:rFonts w:cs="Calibri"/>
                <w:b w:val="0"/>
                <w:bCs w:val="0"/>
                <w:color w:val="7030A0"/>
                <w:sz w:val="14"/>
                <w:szCs w:val="14"/>
              </w:rPr>
            </w:pPr>
            <w:r w:rsidRPr="00470415">
              <w:rPr>
                <w:rFonts w:cs="Calibri"/>
                <w:b w:val="0"/>
                <w:bCs w:val="0"/>
                <w:color w:val="7030A0"/>
                <w:sz w:val="14"/>
                <w:szCs w:val="14"/>
              </w:rPr>
              <w:t>AASB 7.33(b) &amp;(c)</w:t>
            </w:r>
          </w:p>
        </w:tc>
        <w:tc>
          <w:tcPr>
            <w:tcW w:w="8932" w:type="dxa"/>
            <w:gridSpan w:val="10"/>
            <w:tcBorders>
              <w:top w:val="nil"/>
              <w:left w:val="single" w:sz="2" w:space="0" w:color="auto"/>
              <w:bottom w:val="nil"/>
              <w:right w:val="nil"/>
            </w:tcBorders>
          </w:tcPr>
          <w:p w14:paraId="499283F0" w14:textId="06046B14" w:rsidR="00523CDC" w:rsidRPr="00470415" w:rsidRDefault="00523CDC" w:rsidP="00523CDC">
            <w:pPr>
              <w:pStyle w:val="TableText"/>
              <w:spacing w:before="0" w:after="120"/>
              <w:jc w:val="both"/>
              <w:rPr>
                <w:rFonts w:cs="Calibri"/>
              </w:rPr>
            </w:pPr>
            <w:r w:rsidRPr="00470415">
              <w:rPr>
                <w:rFonts w:cs="Calibri"/>
                <w:szCs w:val="16"/>
              </w:rPr>
              <w:t>Interest rate risk for financial assets is managed by ‘</w:t>
            </w:r>
            <w:r w:rsidRPr="00470415">
              <w:t>Burley Griffin</w:t>
            </w:r>
            <w:r w:rsidRPr="00470415">
              <w:rPr>
                <w:bCs/>
              </w:rPr>
              <w:t xml:space="preserve"> </w:t>
            </w:r>
            <w:r w:rsidRPr="00470415">
              <w:rPr>
                <w:rFonts w:cs="Calibri"/>
                <w:szCs w:val="16"/>
              </w:rPr>
              <w:t>Agency’ by trying to hold only floating interest rate investments that are low risk.</w:t>
            </w:r>
            <w:r w:rsidR="00FA7C77">
              <w:rPr>
                <w:rFonts w:cs="Calibri"/>
                <w:szCs w:val="16"/>
              </w:rPr>
              <w:t xml:space="preserve"> </w:t>
            </w:r>
            <w:r w:rsidRPr="00470415">
              <w:rPr>
                <w:rFonts w:cs="Calibri"/>
                <w:szCs w:val="16"/>
              </w:rPr>
              <w:t xml:space="preserve">Interest rate risk for financial liabilities is managed by the Agency </w:t>
            </w:r>
            <w:r w:rsidRPr="00470415">
              <w:t xml:space="preserve">mainly by having fixed rate or non-interest-bearing financial liabilities with relatively even maturity profiles, which limits the </w:t>
            </w:r>
            <w:r w:rsidRPr="00735969">
              <w:t xml:space="preserve">exposure </w:t>
            </w:r>
            <w:r w:rsidRPr="00735969">
              <w:rPr>
                <w:strike/>
                <w:color w:val="FF0000"/>
              </w:rPr>
              <w:t>to</w:t>
            </w:r>
            <w:r w:rsidRPr="00470415">
              <w:t xml:space="preserve"> of the Agency to movements in interest rates.</w:t>
            </w:r>
            <w:r w:rsidR="00FA7C77">
              <w:t xml:space="preserve"> </w:t>
            </w:r>
            <w:r w:rsidRPr="00470415">
              <w:rPr>
                <w:rFonts w:cs="Calibri"/>
                <w:lang w:eastAsia="en-AU"/>
              </w:rPr>
              <w:t>There have been no changes in risk exposure or processes for managing risk since last financial reporting period.</w:t>
            </w:r>
          </w:p>
        </w:tc>
      </w:tr>
      <w:tr w:rsidR="00523CDC" w:rsidRPr="00CF7E1B" w14:paraId="70E9BD63" w14:textId="77777777" w:rsidTr="00A41D42">
        <w:trPr>
          <w:cantSplit/>
          <w:trHeight w:val="20"/>
        </w:trPr>
        <w:tc>
          <w:tcPr>
            <w:tcW w:w="1561" w:type="dxa"/>
            <w:tcBorders>
              <w:top w:val="nil"/>
              <w:left w:val="single" w:sz="2" w:space="0" w:color="auto"/>
              <w:bottom w:val="nil"/>
              <w:right w:val="single" w:sz="2" w:space="0" w:color="auto"/>
            </w:tcBorders>
            <w:vAlign w:val="bottom"/>
          </w:tcPr>
          <w:p w14:paraId="52DE8A4F"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3E6CD9BB" w14:textId="77777777" w:rsidR="00523CDC" w:rsidRPr="00470415" w:rsidRDefault="00523CDC" w:rsidP="0089048D">
            <w:pPr>
              <w:tabs>
                <w:tab w:val="left" w:pos="3306"/>
              </w:tabs>
              <w:rPr>
                <w:rFonts w:cs="Calibri"/>
                <w:i/>
                <w:sz w:val="18"/>
                <w:szCs w:val="18"/>
              </w:rPr>
            </w:pPr>
            <w:r w:rsidRPr="00470415">
              <w:rPr>
                <w:rFonts w:cs="Calibri"/>
                <w:i/>
                <w:sz w:val="18"/>
                <w:szCs w:val="18"/>
              </w:rPr>
              <w:t>Sensitivity Analysis</w:t>
            </w:r>
          </w:p>
        </w:tc>
      </w:tr>
      <w:tr w:rsidR="00523CDC" w:rsidRPr="00CF7E1B" w14:paraId="62755AA8" w14:textId="77777777" w:rsidTr="00A41D42">
        <w:trPr>
          <w:cantSplit/>
          <w:trHeight w:val="20"/>
        </w:trPr>
        <w:tc>
          <w:tcPr>
            <w:tcW w:w="1561" w:type="dxa"/>
            <w:tcBorders>
              <w:top w:val="nil"/>
              <w:left w:val="single" w:sz="2" w:space="0" w:color="auto"/>
              <w:bottom w:val="nil"/>
              <w:right w:val="single" w:sz="2" w:space="0" w:color="auto"/>
            </w:tcBorders>
            <w:vAlign w:val="bottom"/>
          </w:tcPr>
          <w:p w14:paraId="521372BA"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4F253BD6" w14:textId="18A87634" w:rsidR="00523CDC" w:rsidRPr="00470415" w:rsidRDefault="00523CDC" w:rsidP="00523CDC">
            <w:pPr>
              <w:pStyle w:val="TableText"/>
              <w:spacing w:before="0" w:after="120"/>
              <w:jc w:val="both"/>
              <w:rPr>
                <w:rFonts w:cs="Calibri"/>
              </w:rPr>
            </w:pPr>
            <w:r w:rsidRPr="00470415">
              <w:rPr>
                <w:rFonts w:cs="Calibri"/>
              </w:rPr>
              <w:t>A sensitivity analysis has not been undertaken for the interest rate risk of the Agency as it has been determined that the possible impact on income and expenses or total equity from fluctuations in interest rates is immaterial.</w:t>
            </w:r>
            <w:r w:rsidR="00FA7C77">
              <w:rPr>
                <w:rFonts w:cs="Calibri"/>
              </w:rPr>
              <w:t xml:space="preserve"> </w:t>
            </w:r>
          </w:p>
        </w:tc>
      </w:tr>
      <w:tr w:rsidR="00523CDC" w:rsidRPr="00CF7E1B" w14:paraId="14D567CD" w14:textId="77777777" w:rsidTr="00A41D42">
        <w:trPr>
          <w:cantSplit/>
          <w:trHeight w:val="23"/>
        </w:trPr>
        <w:tc>
          <w:tcPr>
            <w:tcW w:w="1561" w:type="dxa"/>
            <w:tcBorders>
              <w:top w:val="nil"/>
              <w:left w:val="single" w:sz="2" w:space="0" w:color="auto"/>
              <w:bottom w:val="nil"/>
              <w:right w:val="single" w:sz="2" w:space="0" w:color="auto"/>
            </w:tcBorders>
            <w:vAlign w:val="center"/>
          </w:tcPr>
          <w:p w14:paraId="6DEA687C" w14:textId="6838BFDC"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54B73E14" w14:textId="45BAD6E7" w:rsidR="00523CDC" w:rsidRPr="00470415" w:rsidRDefault="00523CDC" w:rsidP="0002512F">
            <w:pPr>
              <w:pStyle w:val="TableText"/>
              <w:spacing w:before="0"/>
              <w:jc w:val="both"/>
              <w:rPr>
                <w:rFonts w:cs="Calibri"/>
              </w:rPr>
            </w:pPr>
            <w:bookmarkStart w:id="734" w:name="_Toc48468686"/>
            <w:bookmarkStart w:id="735" w:name="_Toc49155785"/>
            <w:bookmarkStart w:id="736" w:name="_Toc49224202"/>
            <w:r w:rsidRPr="00470415">
              <w:rPr>
                <w:rFonts w:cs="Calibri"/>
                <w:b/>
                <w:szCs w:val="20"/>
              </w:rPr>
              <w:t>Credit Risk</w:t>
            </w:r>
            <w:bookmarkEnd w:id="734"/>
            <w:bookmarkEnd w:id="735"/>
            <w:bookmarkEnd w:id="736"/>
          </w:p>
        </w:tc>
      </w:tr>
      <w:tr w:rsidR="00523CDC" w:rsidRPr="00CF7E1B" w14:paraId="2C7A5341" w14:textId="77777777" w:rsidTr="00A41D42">
        <w:trPr>
          <w:cantSplit/>
          <w:trHeight w:val="23"/>
        </w:trPr>
        <w:tc>
          <w:tcPr>
            <w:tcW w:w="1561" w:type="dxa"/>
            <w:tcBorders>
              <w:top w:val="nil"/>
              <w:left w:val="single" w:sz="2" w:space="0" w:color="auto"/>
              <w:bottom w:val="nil"/>
              <w:right w:val="single" w:sz="2" w:space="0" w:color="auto"/>
            </w:tcBorders>
          </w:tcPr>
          <w:p w14:paraId="46F7FD00" w14:textId="642555F4"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p w14:paraId="777FFBD0" w14:textId="5BC245AE"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7.33(a)&amp;34(c)</w:t>
            </w:r>
          </w:p>
          <w:p w14:paraId="03EC584C"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7.36(a)</w:t>
            </w:r>
          </w:p>
          <w:p w14:paraId="1D04074C" w14:textId="7907EA93"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7.35K</w:t>
            </w:r>
          </w:p>
          <w:p w14:paraId="5BCE7787"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ACC58E0" w14:textId="26B3F9FC" w:rsidR="00523CDC" w:rsidRPr="00470415" w:rsidRDefault="00523CDC" w:rsidP="00735969">
            <w:pPr>
              <w:pStyle w:val="TableText"/>
              <w:spacing w:before="0"/>
              <w:jc w:val="both"/>
              <w:rPr>
                <w:rFonts w:cs="Calibri"/>
              </w:rPr>
            </w:pPr>
            <w:r w:rsidRPr="00470415">
              <w:rPr>
                <w:rFonts w:cs="Calibri"/>
              </w:rPr>
              <w:t>Credit risk is the risk that one party to a financial instrument will fail to discharge an obligation and cause the other party to incur a financial loss.</w:t>
            </w:r>
            <w:r w:rsidR="00FA7C77">
              <w:rPr>
                <w:rFonts w:cs="Calibri"/>
              </w:rPr>
              <w:t xml:space="preserve"> </w:t>
            </w:r>
            <w:r w:rsidRPr="00470415">
              <w:rPr>
                <w:rFonts w:cs="Calibri"/>
              </w:rPr>
              <w:t>The Agency’s credit risk is limited to the amount of the financial assets it holds net of any provision for impairment, and the amount of a guarantee provided to ‘Example Borrower’ (for further details see Note</w:t>
            </w:r>
            <w:r w:rsidR="00470415">
              <w:rPr>
                <w:rFonts w:cs="Calibri"/>
              </w:rPr>
              <w:t> </w:t>
            </w:r>
            <w:r w:rsidRPr="00470415">
              <w:rPr>
                <w:rFonts w:cs="Calibri"/>
              </w:rPr>
              <w:t xml:space="preserve">33 </w:t>
            </w:r>
            <w:r w:rsidRPr="00470415">
              <w:rPr>
                <w:rFonts w:cs="Calibri"/>
                <w:i/>
              </w:rPr>
              <w:t>Contingent Liabilities and Contingent Assets</w:t>
            </w:r>
            <w:r w:rsidRPr="00470415">
              <w:rPr>
                <w:rFonts w:cs="Calibri"/>
              </w:rPr>
              <w:t>).</w:t>
            </w:r>
            <w:r w:rsidR="00FA7C77">
              <w:rPr>
                <w:rFonts w:cs="Calibri"/>
              </w:rPr>
              <w:t xml:space="preserve"> </w:t>
            </w:r>
            <w:r w:rsidRPr="00DD45C3">
              <w:rPr>
                <w:rFonts w:cs="Calibri"/>
                <w:strike/>
                <w:color w:val="FF0000"/>
              </w:rPr>
              <w:t>Further,</w:t>
            </w:r>
            <w:r w:rsidRPr="00470415">
              <w:rPr>
                <w:rFonts w:cs="Calibri"/>
              </w:rPr>
              <w:t xml:space="preserve"> </w:t>
            </w:r>
            <w:r w:rsidRPr="00DD45C3">
              <w:rPr>
                <w:rFonts w:cs="Calibri"/>
                <w:strike/>
                <w:color w:val="538135" w:themeColor="accent6" w:themeShade="BF"/>
              </w:rPr>
              <w:t>i</w:t>
            </w:r>
            <w:r w:rsidRPr="00DD45C3">
              <w:rPr>
                <w:rFonts w:asciiTheme="minorHAnsi" w:hAnsiTheme="minorHAnsi" w:cstheme="minorHAnsi"/>
                <w:strike/>
                <w:color w:val="538135" w:themeColor="accent6" w:themeShade="BF"/>
              </w:rPr>
              <w:t>nter-agency receivables between ACT Government agencies are generally expected to have low credit risks.</w:t>
            </w:r>
            <w:r w:rsidR="00FA7C77" w:rsidRPr="00DD45C3">
              <w:rPr>
                <w:rFonts w:asciiTheme="minorHAnsi" w:hAnsiTheme="minorHAnsi" w:cstheme="minorHAnsi"/>
                <w:strike/>
                <w:color w:val="538135" w:themeColor="accent6" w:themeShade="BF"/>
              </w:rPr>
              <w:t xml:space="preserve"> </w:t>
            </w:r>
            <w:r w:rsidRPr="00DD45C3">
              <w:rPr>
                <w:rFonts w:cs="Calibri"/>
                <w:strike/>
                <w:color w:val="538135" w:themeColor="accent6" w:themeShade="BF"/>
              </w:rPr>
              <w:t>The Agency expects to collect all financial assets that are not past due or impaired.</w:t>
            </w:r>
          </w:p>
        </w:tc>
      </w:tr>
      <w:tr w:rsidR="005451BC" w:rsidRPr="00CF7E1B" w14:paraId="51951FF2" w14:textId="77777777" w:rsidTr="00A41D42">
        <w:trPr>
          <w:cantSplit/>
          <w:trHeight w:val="23"/>
        </w:trPr>
        <w:tc>
          <w:tcPr>
            <w:tcW w:w="1561" w:type="dxa"/>
            <w:tcBorders>
              <w:top w:val="nil"/>
              <w:left w:val="single" w:sz="2" w:space="0" w:color="auto"/>
              <w:bottom w:val="nil"/>
              <w:right w:val="single" w:sz="2" w:space="0" w:color="auto"/>
            </w:tcBorders>
          </w:tcPr>
          <w:p w14:paraId="1B976DBB" w14:textId="77777777" w:rsidR="005451BC" w:rsidRPr="00470415" w:rsidRDefault="005451B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B5972C8" w14:textId="52D5D782" w:rsidR="005451BC" w:rsidRPr="00984C72" w:rsidRDefault="005451BC" w:rsidP="00984C7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sz w:val="18"/>
                <w:szCs w:val="18"/>
              </w:rPr>
            </w:pPr>
            <w:r w:rsidRPr="00984C72">
              <w:rPr>
                <w:rFonts w:asciiTheme="minorHAnsi" w:hAnsiTheme="minorHAnsi" w:cstheme="minorHAnsi"/>
                <w:color w:val="FF0000"/>
                <w:sz w:val="18"/>
                <w:szCs w:val="18"/>
              </w:rPr>
              <w:t xml:space="preserve">Credit risk is managed by ‘Burley Griffin Agency’ for cash at bank by holding bank balances with the ACT Government’s bank, Westpac Banking Corporation (Westpac). Westpac holds a AA issuer credit rating with Standard and Poors. A </w:t>
            </w:r>
            <w:r w:rsidR="00A41D42">
              <w:rPr>
                <w:rFonts w:asciiTheme="minorHAnsi" w:hAnsiTheme="minorHAnsi" w:cstheme="minorHAnsi"/>
                <w:color w:val="FF0000"/>
                <w:sz w:val="18"/>
                <w:szCs w:val="18"/>
              </w:rPr>
              <w:t>‘</w:t>
            </w:r>
            <w:r w:rsidRPr="00984C72">
              <w:rPr>
                <w:rFonts w:asciiTheme="minorHAnsi" w:hAnsiTheme="minorHAnsi" w:cstheme="minorHAnsi"/>
                <w:color w:val="FF0000"/>
                <w:sz w:val="18"/>
                <w:szCs w:val="18"/>
              </w:rPr>
              <w:t>AA</w:t>
            </w:r>
            <w:r w:rsidR="00A41D42">
              <w:rPr>
                <w:rFonts w:asciiTheme="minorHAnsi" w:hAnsiTheme="minorHAnsi" w:cstheme="minorHAnsi"/>
                <w:color w:val="FF0000"/>
                <w:sz w:val="18"/>
                <w:szCs w:val="18"/>
              </w:rPr>
              <w:t>’</w:t>
            </w:r>
            <w:r w:rsidRPr="00984C72">
              <w:rPr>
                <w:rFonts w:asciiTheme="minorHAnsi" w:hAnsiTheme="minorHAnsi" w:cstheme="minorHAnsi"/>
                <w:color w:val="FF0000"/>
                <w:sz w:val="18"/>
                <w:szCs w:val="18"/>
              </w:rPr>
              <w:t xml:space="preserve"> credit rating is defined as </w:t>
            </w:r>
            <w:r w:rsidR="00A41D42">
              <w:rPr>
                <w:rFonts w:asciiTheme="minorHAnsi" w:hAnsiTheme="minorHAnsi" w:cstheme="minorHAnsi"/>
                <w:color w:val="FF0000"/>
                <w:sz w:val="18"/>
                <w:szCs w:val="18"/>
              </w:rPr>
              <w:t xml:space="preserve">a </w:t>
            </w:r>
            <w:r w:rsidRPr="00984C72">
              <w:rPr>
                <w:rFonts w:asciiTheme="minorHAnsi" w:hAnsiTheme="minorHAnsi" w:cstheme="minorHAnsi"/>
                <w:color w:val="FF0000"/>
                <w:sz w:val="18"/>
                <w:szCs w:val="18"/>
              </w:rPr>
              <w:t>‘very strong capacity to meet financial commitments’.</w:t>
            </w:r>
          </w:p>
        </w:tc>
      </w:tr>
      <w:tr w:rsidR="00A41D42" w:rsidRPr="00CF7E1B" w14:paraId="21DB5993" w14:textId="77777777" w:rsidTr="00A41D42">
        <w:trPr>
          <w:cantSplit/>
          <w:trHeight w:val="23"/>
        </w:trPr>
        <w:tc>
          <w:tcPr>
            <w:tcW w:w="1561" w:type="dxa"/>
            <w:tcBorders>
              <w:top w:val="nil"/>
              <w:left w:val="single" w:sz="2" w:space="0" w:color="auto"/>
              <w:bottom w:val="nil"/>
              <w:right w:val="single" w:sz="2" w:space="0" w:color="auto"/>
            </w:tcBorders>
          </w:tcPr>
          <w:p w14:paraId="0B60A1F1" w14:textId="77777777" w:rsidR="00A41D42" w:rsidRPr="00470415" w:rsidRDefault="00A41D42" w:rsidP="00717EB2">
            <w:pPr>
              <w:pStyle w:val="Reference"/>
              <w:spacing w:after="120"/>
              <w:rPr>
                <w:rFonts w:cs="Calibri"/>
                <w:b w:val="0"/>
                <w:bCs w:val="0"/>
                <w:color w:val="7030A0"/>
                <w:sz w:val="14"/>
                <w:szCs w:val="14"/>
              </w:rPr>
            </w:pPr>
          </w:p>
        </w:tc>
        <w:tc>
          <w:tcPr>
            <w:tcW w:w="8932" w:type="dxa"/>
            <w:gridSpan w:val="10"/>
            <w:tcBorders>
              <w:top w:val="nil"/>
              <w:left w:val="single" w:sz="2" w:space="0" w:color="auto"/>
              <w:bottom w:val="nil"/>
              <w:right w:val="nil"/>
            </w:tcBorders>
          </w:tcPr>
          <w:p w14:paraId="15315D77" w14:textId="52F1B79A" w:rsidR="00A41D42" w:rsidRPr="00984C72" w:rsidRDefault="00A41D42" w:rsidP="00717EB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color w:val="FF0000"/>
                <w:sz w:val="18"/>
                <w:szCs w:val="18"/>
              </w:rPr>
            </w:pPr>
            <w:r w:rsidRPr="00984C72">
              <w:rPr>
                <w:rFonts w:asciiTheme="minorHAnsi" w:hAnsiTheme="minorHAnsi" w:cstheme="minorHAnsi"/>
                <w:color w:val="FF0000"/>
                <w:sz w:val="18"/>
                <w:szCs w:val="18"/>
              </w:rPr>
              <w:t>‘Burley Griffin Agency's’ receivables are predominantly from other ACT Government entities and the Commonwealth Government</w:t>
            </w:r>
            <w:r w:rsidRPr="00DD45C3">
              <w:rPr>
                <w:rFonts w:asciiTheme="minorHAnsi" w:hAnsiTheme="minorHAnsi" w:cstheme="minorHAnsi"/>
                <w:color w:val="FF0000"/>
                <w:sz w:val="18"/>
                <w:szCs w:val="18"/>
              </w:rPr>
              <w:t xml:space="preserve">. </w:t>
            </w:r>
            <w:r>
              <w:rPr>
                <w:rFonts w:cs="Calibri"/>
                <w:color w:val="538135" w:themeColor="accent6" w:themeShade="BF"/>
                <w:sz w:val="18"/>
                <w:szCs w:val="18"/>
              </w:rPr>
              <w:t>I</w:t>
            </w:r>
            <w:r w:rsidRPr="00DD45C3">
              <w:rPr>
                <w:rFonts w:asciiTheme="minorHAnsi" w:hAnsiTheme="minorHAnsi" w:cstheme="minorHAnsi"/>
                <w:color w:val="538135" w:themeColor="accent6" w:themeShade="BF"/>
                <w:sz w:val="18"/>
                <w:szCs w:val="18"/>
              </w:rPr>
              <w:t xml:space="preserve">nter-agency receivables between ACT Government agencies are generally expected to have low credit risks. </w:t>
            </w:r>
            <w:r w:rsidRPr="00984C72">
              <w:rPr>
                <w:rFonts w:asciiTheme="minorHAnsi" w:hAnsiTheme="minorHAnsi" w:cstheme="minorHAnsi"/>
                <w:color w:val="FF0000"/>
                <w:sz w:val="18"/>
                <w:szCs w:val="18"/>
              </w:rPr>
              <w:t xml:space="preserve">As the Commonwealth Government has a AAA credit rating, it is considered that there is a very low risk of default for those receivables. </w:t>
            </w:r>
            <w:r w:rsidRPr="00DD45C3">
              <w:rPr>
                <w:rFonts w:cs="Calibri"/>
                <w:color w:val="538135" w:themeColor="accent6" w:themeShade="BF"/>
                <w:sz w:val="18"/>
                <w:szCs w:val="18"/>
              </w:rPr>
              <w:t>The Agency expects to collect all financial assets that are not past due or impaired.</w:t>
            </w:r>
          </w:p>
        </w:tc>
      </w:tr>
      <w:tr w:rsidR="00DD45C3" w:rsidRPr="00CF7E1B" w14:paraId="0F3DAC56" w14:textId="77777777" w:rsidTr="00A41D42">
        <w:trPr>
          <w:cantSplit/>
          <w:trHeight w:val="23"/>
        </w:trPr>
        <w:tc>
          <w:tcPr>
            <w:tcW w:w="1561" w:type="dxa"/>
            <w:tcBorders>
              <w:top w:val="nil"/>
              <w:left w:val="single" w:sz="2" w:space="0" w:color="auto"/>
              <w:bottom w:val="nil"/>
              <w:right w:val="single" w:sz="2" w:space="0" w:color="auto"/>
            </w:tcBorders>
            <w:vAlign w:val="center"/>
          </w:tcPr>
          <w:p w14:paraId="755830FC" w14:textId="77777777" w:rsidR="00DD45C3" w:rsidRPr="00470415" w:rsidRDefault="00DD45C3" w:rsidP="00BA0A51">
            <w:pPr>
              <w:pStyle w:val="Reference"/>
              <w:spacing w:before="240" w:after="240"/>
              <w:rPr>
                <w:rFonts w:cs="Calibri"/>
                <w:b w:val="0"/>
                <w:bCs w:val="0"/>
                <w:color w:val="7030A0"/>
                <w:sz w:val="14"/>
                <w:szCs w:val="14"/>
              </w:rPr>
            </w:pPr>
            <w:r w:rsidRPr="00470415">
              <w:rPr>
                <w:rFonts w:cs="Calibri"/>
                <w:color w:val="7030A0"/>
              </w:rPr>
              <w:br w:type="page"/>
            </w:r>
            <w:r w:rsidRPr="00470415">
              <w:rPr>
                <w:rFonts w:cs="Calibri"/>
                <w:color w:val="7030A0"/>
                <w:sz w:val="22"/>
                <w:szCs w:val="22"/>
              </w:rPr>
              <w:t>Reference</w:t>
            </w:r>
          </w:p>
        </w:tc>
        <w:tc>
          <w:tcPr>
            <w:tcW w:w="8932" w:type="dxa"/>
            <w:gridSpan w:val="10"/>
            <w:tcBorders>
              <w:top w:val="nil"/>
              <w:left w:val="single" w:sz="2" w:space="0" w:color="auto"/>
              <w:bottom w:val="nil"/>
              <w:right w:val="nil"/>
            </w:tcBorders>
            <w:vAlign w:val="bottom"/>
          </w:tcPr>
          <w:p w14:paraId="535C1926" w14:textId="77777777" w:rsidR="00DD45C3" w:rsidRPr="00470415" w:rsidRDefault="00DD45C3" w:rsidP="00BA0A51">
            <w:pPr>
              <w:pStyle w:val="TableText"/>
              <w:spacing w:before="240" w:after="240"/>
              <w:jc w:val="both"/>
              <w:rPr>
                <w:rFonts w:cs="Calibri"/>
              </w:rPr>
            </w:pPr>
            <w:r w:rsidRPr="00470415">
              <w:rPr>
                <w:rFonts w:ascii="Arial" w:hAnsi="Arial" w:cs="Arial"/>
                <w:b/>
                <w:sz w:val="32"/>
                <w:szCs w:val="32"/>
              </w:rPr>
              <w:t>NOTE 31.</w:t>
            </w:r>
            <w:r>
              <w:rPr>
                <w:rFonts w:ascii="Arial" w:hAnsi="Arial" w:cs="Arial"/>
                <w:b/>
                <w:sz w:val="32"/>
                <w:szCs w:val="32"/>
              </w:rPr>
              <w:t xml:space="preserve"> </w:t>
            </w:r>
            <w:r w:rsidRPr="00470415">
              <w:rPr>
                <w:rFonts w:ascii="Arial" w:hAnsi="Arial" w:cs="Arial"/>
                <w:b/>
                <w:sz w:val="32"/>
                <w:szCs w:val="32"/>
              </w:rPr>
              <w:t xml:space="preserve"> FINANCIAL INSTRUMENTS – CONTINUED </w:t>
            </w:r>
          </w:p>
        </w:tc>
      </w:tr>
      <w:tr w:rsidR="00523CDC" w:rsidRPr="00CF7E1B" w14:paraId="59AB012C" w14:textId="77777777" w:rsidTr="00A41D42">
        <w:trPr>
          <w:cantSplit/>
          <w:trHeight w:val="23"/>
        </w:trPr>
        <w:tc>
          <w:tcPr>
            <w:tcW w:w="1561" w:type="dxa"/>
            <w:tcBorders>
              <w:top w:val="nil"/>
              <w:left w:val="single" w:sz="2" w:space="0" w:color="auto"/>
              <w:bottom w:val="nil"/>
              <w:right w:val="single" w:sz="2" w:space="0" w:color="auto"/>
            </w:tcBorders>
          </w:tcPr>
          <w:p w14:paraId="157479B0"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7.35K</w:t>
            </w:r>
          </w:p>
          <w:p w14:paraId="376B5EAF"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7.35F</w:t>
            </w:r>
          </w:p>
          <w:p w14:paraId="68F512E9"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CE35E72" w14:textId="0563DA82" w:rsidR="00523CDC" w:rsidRPr="00470415" w:rsidRDefault="00523CDC" w:rsidP="00523CDC">
            <w:pPr>
              <w:pStyle w:val="TableText"/>
              <w:spacing w:before="0" w:after="120"/>
              <w:jc w:val="both"/>
              <w:rPr>
                <w:rFonts w:cs="Calibri"/>
              </w:rPr>
            </w:pPr>
            <w:r w:rsidRPr="00470415">
              <w:rPr>
                <w:rFonts w:cs="Calibri"/>
              </w:rPr>
              <w:t>Credit risk for loans receivable is managed by ensuring that these loans are secured by a mortgage over the land and buildings the loans were given for, as some individuals receiving these loans have poor credit history.</w:t>
            </w:r>
            <w:r w:rsidR="00FA7C77">
              <w:rPr>
                <w:rFonts w:cs="Calibri"/>
              </w:rPr>
              <w:t xml:space="preserve"> </w:t>
            </w:r>
            <w:r w:rsidRPr="00470415">
              <w:rPr>
                <w:rFonts w:cs="Calibri"/>
              </w:rPr>
              <w:t xml:space="preserve">There is no other collateral held as security for financial assets. </w:t>
            </w:r>
          </w:p>
        </w:tc>
      </w:tr>
      <w:tr w:rsidR="00523CDC" w:rsidRPr="00CF7E1B" w14:paraId="5BF068E5" w14:textId="77777777" w:rsidTr="00A41D42">
        <w:trPr>
          <w:cantSplit/>
          <w:trHeight w:val="23"/>
        </w:trPr>
        <w:tc>
          <w:tcPr>
            <w:tcW w:w="1561" w:type="dxa"/>
            <w:tcBorders>
              <w:top w:val="nil"/>
              <w:left w:val="single" w:sz="2" w:space="0" w:color="auto"/>
              <w:bottom w:val="nil"/>
              <w:right w:val="single" w:sz="2" w:space="0" w:color="auto"/>
            </w:tcBorders>
          </w:tcPr>
          <w:p w14:paraId="5DA0F312"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7.33(b)&amp;(c)</w:t>
            </w:r>
          </w:p>
          <w:p w14:paraId="5639823D" w14:textId="77777777" w:rsidR="00523CDC" w:rsidRPr="00470415" w:rsidRDefault="00523CDC" w:rsidP="00523CDC">
            <w:pPr>
              <w:pStyle w:val="Reference"/>
              <w:spacing w:before="40"/>
              <w:rPr>
                <w:rFonts w:cs="Calibri"/>
                <w:b w:val="0"/>
                <w:bCs w:val="0"/>
                <w:color w:val="7030A0"/>
                <w:sz w:val="14"/>
                <w:szCs w:val="14"/>
              </w:rPr>
            </w:pPr>
          </w:p>
        </w:tc>
        <w:tc>
          <w:tcPr>
            <w:tcW w:w="8932" w:type="dxa"/>
            <w:gridSpan w:val="10"/>
            <w:tcBorders>
              <w:top w:val="nil"/>
              <w:left w:val="single" w:sz="2" w:space="0" w:color="auto"/>
              <w:bottom w:val="nil"/>
              <w:right w:val="nil"/>
            </w:tcBorders>
          </w:tcPr>
          <w:p w14:paraId="77463872" w14:textId="55A2EF75" w:rsidR="00523CDC" w:rsidRPr="00470415" w:rsidRDefault="00523CDC" w:rsidP="00523CDC">
            <w:pPr>
              <w:pStyle w:val="TableText"/>
              <w:spacing w:before="0" w:after="120"/>
              <w:jc w:val="both"/>
              <w:rPr>
                <w:rFonts w:cs="Calibri"/>
              </w:rPr>
            </w:pPr>
            <w:r w:rsidRPr="00470415">
              <w:rPr>
                <w:rFonts w:cs="Calibri"/>
              </w:rPr>
              <w:t>The Agency also manages the credit risk for receivables</w:t>
            </w:r>
            <w:r w:rsidR="00461FCA" w:rsidRPr="00470415">
              <w:rPr>
                <w:rFonts w:cs="Calibri"/>
              </w:rPr>
              <w:t>,</w:t>
            </w:r>
            <w:r w:rsidRPr="00470415">
              <w:rPr>
                <w:rFonts w:cs="Calibri"/>
              </w:rPr>
              <w:t xml:space="preserve"> loan receiv</w:t>
            </w:r>
            <w:r w:rsidR="00393369" w:rsidRPr="00470415">
              <w:rPr>
                <w:rFonts w:cs="Calibri"/>
              </w:rPr>
              <w:t>a</w:t>
            </w:r>
            <w:r w:rsidRPr="00470415">
              <w:rPr>
                <w:rFonts w:cs="Calibri"/>
              </w:rPr>
              <w:t xml:space="preserve">bles </w:t>
            </w:r>
            <w:r w:rsidR="00461FCA" w:rsidRPr="00470415">
              <w:rPr>
                <w:rFonts w:cs="Calibri"/>
              </w:rPr>
              <w:t xml:space="preserve">and contract assets </w:t>
            </w:r>
            <w:r w:rsidRPr="00470415">
              <w:rPr>
                <w:rFonts w:cs="Calibri"/>
              </w:rPr>
              <w:t>by undertaking an assessment of the credit worthiness of debtors as well as an analysis of the concentration of credit risk to ensure that it is not too high.</w:t>
            </w:r>
            <w:r w:rsidR="00FA7C77">
              <w:rPr>
                <w:rFonts w:cs="Calibri"/>
              </w:rPr>
              <w:t xml:space="preserve"> </w:t>
            </w:r>
            <w:r w:rsidRPr="00470415">
              <w:rPr>
                <w:rFonts w:cs="Calibri"/>
              </w:rPr>
              <w:t>No concentration of credit risk was identified in this analysis.</w:t>
            </w:r>
          </w:p>
        </w:tc>
      </w:tr>
      <w:tr w:rsidR="00523CDC" w:rsidRPr="00CF7E1B" w14:paraId="63D32736" w14:textId="77777777" w:rsidTr="00A41D42">
        <w:trPr>
          <w:cantSplit/>
          <w:trHeight w:val="23"/>
        </w:trPr>
        <w:tc>
          <w:tcPr>
            <w:tcW w:w="1561" w:type="dxa"/>
            <w:tcBorders>
              <w:top w:val="nil"/>
              <w:left w:val="single" w:sz="2" w:space="0" w:color="auto"/>
              <w:bottom w:val="nil"/>
              <w:right w:val="single" w:sz="2" w:space="0" w:color="auto"/>
            </w:tcBorders>
          </w:tcPr>
          <w:p w14:paraId="00B30611" w14:textId="729A2F84"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7.35F(a)</w:t>
            </w:r>
          </w:p>
        </w:tc>
        <w:tc>
          <w:tcPr>
            <w:tcW w:w="8932" w:type="dxa"/>
            <w:gridSpan w:val="10"/>
            <w:tcBorders>
              <w:top w:val="nil"/>
              <w:left w:val="single" w:sz="2" w:space="0" w:color="auto"/>
              <w:bottom w:val="nil"/>
              <w:right w:val="nil"/>
            </w:tcBorders>
          </w:tcPr>
          <w:p w14:paraId="6EFC659D" w14:textId="74F0F0F7" w:rsidR="00523CDC" w:rsidRPr="00470415" w:rsidRDefault="00523CDC" w:rsidP="00523CDC">
            <w:pPr>
              <w:pStyle w:val="TableText"/>
              <w:spacing w:before="0" w:after="120"/>
              <w:jc w:val="both"/>
              <w:rPr>
                <w:rFonts w:cs="Calibri"/>
              </w:rPr>
            </w:pPr>
            <w:r w:rsidRPr="00470415">
              <w:rPr>
                <w:rFonts w:cs="Calibri"/>
                <w:lang w:eastAsia="en-AU"/>
              </w:rPr>
              <w:t>There have been no significant changes in credit risk exposure since last reporting period.</w:t>
            </w:r>
          </w:p>
        </w:tc>
      </w:tr>
      <w:tr w:rsidR="00BE01D4" w:rsidRPr="00CF7E1B" w14:paraId="00672299" w14:textId="77777777" w:rsidTr="00A41D42">
        <w:trPr>
          <w:cantSplit/>
          <w:trHeight w:val="23"/>
        </w:trPr>
        <w:tc>
          <w:tcPr>
            <w:tcW w:w="1561" w:type="dxa"/>
            <w:tcBorders>
              <w:top w:val="nil"/>
              <w:left w:val="single" w:sz="2" w:space="0" w:color="auto"/>
              <w:bottom w:val="nil"/>
              <w:right w:val="single" w:sz="2" w:space="0" w:color="auto"/>
            </w:tcBorders>
          </w:tcPr>
          <w:p w14:paraId="7FD449F9" w14:textId="2052EC6A" w:rsidR="00BE01D4" w:rsidRPr="00470415" w:rsidRDefault="00BE01D4" w:rsidP="00BE01D4">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0E26C52E" w14:textId="5520D7B2" w:rsidR="00DD45C3" w:rsidRPr="00DD45C3" w:rsidRDefault="00BE01D4" w:rsidP="00DD45C3">
            <w:pPr>
              <w:pStyle w:val="TableText"/>
              <w:spacing w:before="0" w:after="120"/>
              <w:jc w:val="both"/>
              <w:rPr>
                <w:rFonts w:cs="Calibri"/>
                <w:color w:val="FF0000"/>
              </w:rPr>
            </w:pPr>
            <w:r w:rsidRPr="00470415">
              <w:rPr>
                <w:rFonts w:cs="Calibri"/>
              </w:rPr>
              <w:t xml:space="preserve">Accounts </w:t>
            </w:r>
            <w:r w:rsidRPr="00DD45C3">
              <w:rPr>
                <w:rFonts w:cs="Calibri"/>
                <w:strike/>
                <w:color w:val="FF0000"/>
              </w:rPr>
              <w:t xml:space="preserve">and loans </w:t>
            </w:r>
            <w:r w:rsidRPr="00DD45C3">
              <w:rPr>
                <w:rFonts w:cs="Calibri"/>
              </w:rPr>
              <w:t>receivable</w:t>
            </w:r>
            <w:r w:rsidRPr="00DD45C3">
              <w:rPr>
                <w:rFonts w:cs="Calibri"/>
                <w:strike/>
                <w:color w:val="FF0000"/>
              </w:rPr>
              <w:t>s</w:t>
            </w:r>
            <w:r w:rsidRPr="00DD45C3">
              <w:rPr>
                <w:rFonts w:cs="Calibri"/>
                <w:color w:val="FF0000"/>
              </w:rPr>
              <w:t xml:space="preserve"> </w:t>
            </w:r>
            <w:r w:rsidRPr="00DD45C3">
              <w:rPr>
                <w:rFonts w:cs="Calibri"/>
                <w:strike/>
                <w:color w:val="FF0000"/>
              </w:rPr>
              <w:t>as well as</w:t>
            </w:r>
            <w:r w:rsidRPr="00DD45C3">
              <w:rPr>
                <w:rFonts w:cs="Calibri"/>
              </w:rPr>
              <w:t xml:space="preserve"> </w:t>
            </w:r>
            <w:r w:rsidR="00DD45C3" w:rsidRPr="00DD45C3">
              <w:rPr>
                <w:rFonts w:cs="Calibri"/>
                <w:color w:val="FF0000"/>
              </w:rPr>
              <w:t>and</w:t>
            </w:r>
            <w:r w:rsidR="00DD45C3">
              <w:rPr>
                <w:rFonts w:cs="Calibri"/>
              </w:rPr>
              <w:t xml:space="preserve"> </w:t>
            </w:r>
            <w:r w:rsidRPr="00470415">
              <w:rPr>
                <w:rFonts w:cs="Calibri"/>
              </w:rPr>
              <w:t>contract assets are always measured at lifetime expected credit losses (the simplified approach</w:t>
            </w:r>
            <w:r w:rsidRPr="00DD45C3">
              <w:rPr>
                <w:rFonts w:cs="Calibri"/>
              </w:rPr>
              <w:t>).</w:t>
            </w:r>
            <w:r w:rsidR="00DD45C3" w:rsidRPr="00DD45C3">
              <w:rPr>
                <w:rFonts w:cs="Calibri"/>
              </w:rPr>
              <w:t xml:space="preserve"> </w:t>
            </w:r>
            <w:r w:rsidR="00DD45C3" w:rsidRPr="00DD45C3">
              <w:rPr>
                <w:rFonts w:cs="Calibri"/>
                <w:color w:val="FF0000"/>
              </w:rPr>
              <w:t xml:space="preserve">Loans receivable are measured at an amount equal to </w:t>
            </w:r>
            <w:r w:rsidR="00E45617">
              <w:rPr>
                <w:rFonts w:cs="Calibri"/>
                <w:color w:val="FF0000"/>
              </w:rPr>
              <w:t xml:space="preserve">the </w:t>
            </w:r>
            <w:r w:rsidR="00DD45C3" w:rsidRPr="00DD45C3">
              <w:rPr>
                <w:rFonts w:cs="Calibri"/>
                <w:color w:val="FF0000"/>
              </w:rPr>
              <w:t xml:space="preserve">12 months expected credit losses (the general approach), unless there has been a significant increase in credit risk since initial recognition. Where there has been a significant increase in credit risk since initial recognition, an amount equal to the lifetime expected credit losses </w:t>
            </w:r>
            <w:r w:rsidR="00DD45C3">
              <w:rPr>
                <w:rFonts w:cs="Calibri"/>
                <w:color w:val="FF0000"/>
              </w:rPr>
              <w:t xml:space="preserve">is </w:t>
            </w:r>
            <w:r w:rsidR="00DD45C3" w:rsidRPr="00DD45C3">
              <w:rPr>
                <w:rFonts w:cs="Calibri"/>
                <w:color w:val="FF0000"/>
              </w:rPr>
              <w:t>used to determine the expected credit loss allowance.</w:t>
            </w:r>
          </w:p>
        </w:tc>
      </w:tr>
      <w:tr w:rsidR="00BE01D4" w:rsidRPr="00CF7E1B" w14:paraId="07FBE3B1" w14:textId="77777777" w:rsidTr="00A41D42">
        <w:trPr>
          <w:cantSplit/>
          <w:trHeight w:val="20"/>
        </w:trPr>
        <w:tc>
          <w:tcPr>
            <w:tcW w:w="1561" w:type="dxa"/>
            <w:tcBorders>
              <w:top w:val="nil"/>
              <w:left w:val="single" w:sz="2" w:space="0" w:color="auto"/>
              <w:bottom w:val="nil"/>
              <w:right w:val="single" w:sz="2" w:space="0" w:color="auto"/>
            </w:tcBorders>
            <w:vAlign w:val="center"/>
          </w:tcPr>
          <w:p w14:paraId="3878024F" w14:textId="77777777"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6EFD56E8" w14:textId="77777777" w:rsidR="00BE01D4" w:rsidRPr="00470415" w:rsidRDefault="00BE01D4" w:rsidP="00BE01D4">
            <w:pPr>
              <w:spacing w:after="40"/>
              <w:rPr>
                <w:rFonts w:cs="Calibri"/>
                <w:b/>
                <w:sz w:val="18"/>
                <w:szCs w:val="20"/>
              </w:rPr>
            </w:pPr>
            <w:r w:rsidRPr="00470415">
              <w:rPr>
                <w:rFonts w:cs="Calibri"/>
                <w:b/>
                <w:sz w:val="18"/>
                <w:szCs w:val="20"/>
              </w:rPr>
              <w:t>Liquidity Risk</w:t>
            </w:r>
          </w:p>
        </w:tc>
      </w:tr>
      <w:tr w:rsidR="00BE01D4" w:rsidRPr="00CF7E1B" w14:paraId="13587547" w14:textId="77777777" w:rsidTr="00A41D42">
        <w:trPr>
          <w:cantSplit/>
          <w:trHeight w:val="23"/>
        </w:trPr>
        <w:tc>
          <w:tcPr>
            <w:tcW w:w="1561" w:type="dxa"/>
            <w:tcBorders>
              <w:top w:val="nil"/>
              <w:left w:val="single" w:sz="2" w:space="0" w:color="auto"/>
              <w:bottom w:val="nil"/>
              <w:right w:val="single" w:sz="2" w:space="0" w:color="auto"/>
            </w:tcBorders>
          </w:tcPr>
          <w:p w14:paraId="655AB5DF"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 &amp; 39(b)</w:t>
            </w:r>
          </w:p>
        </w:tc>
        <w:tc>
          <w:tcPr>
            <w:tcW w:w="8932" w:type="dxa"/>
            <w:gridSpan w:val="10"/>
            <w:tcBorders>
              <w:top w:val="nil"/>
              <w:left w:val="single" w:sz="2" w:space="0" w:color="auto"/>
              <w:bottom w:val="nil"/>
              <w:right w:val="nil"/>
            </w:tcBorders>
            <w:vAlign w:val="bottom"/>
          </w:tcPr>
          <w:p w14:paraId="64000B2B" w14:textId="2C6F9C95" w:rsidR="00BE01D4" w:rsidRPr="00470415" w:rsidRDefault="00BE01D4" w:rsidP="00BE01D4">
            <w:pPr>
              <w:pStyle w:val="TableText"/>
              <w:spacing w:before="0" w:after="120"/>
              <w:jc w:val="both"/>
              <w:rPr>
                <w:rFonts w:cs="Calibri"/>
              </w:rPr>
            </w:pPr>
            <w:r w:rsidRPr="00470415">
              <w:rPr>
                <w:rFonts w:cs="Calibri"/>
              </w:rPr>
              <w:t>Liquidity risk is the risk that the Agency will encounter difficulties in meeting obligations associated with financial liabilities that are settled by delivering cash or another financial asset.</w:t>
            </w:r>
            <w:r w:rsidR="00FA7C77">
              <w:rPr>
                <w:rFonts w:cs="Calibri"/>
              </w:rPr>
              <w:t xml:space="preserve"> </w:t>
            </w:r>
            <w:r w:rsidRPr="00470415">
              <w:rPr>
                <w:rFonts w:cs="Calibri"/>
              </w:rPr>
              <w:t>To limit its exposure to liquidity risk, the Agency ensures that it does not have a large portion of its financial liabilities maturing in any one reporting period and that, at any particular point in time, it has a sufficient amount of current financial assets to meet its current financial liabilities.</w:t>
            </w:r>
            <w:r w:rsidR="00FA7C77">
              <w:rPr>
                <w:rFonts w:cs="Calibri"/>
              </w:rPr>
              <w:t xml:space="preserve"> </w:t>
            </w:r>
            <w:r w:rsidRPr="00470415">
              <w:rPr>
                <w:rFonts w:cs="Calibri"/>
              </w:rPr>
              <w:t>Also, the Agency is able to draw down additional Controlled Recurrent Payments in the next reporting period to cover its financial liabilities when they fall due.</w:t>
            </w:r>
            <w:r w:rsidR="00FA7C77">
              <w:rPr>
                <w:rFonts w:cs="Calibri"/>
              </w:rPr>
              <w:t xml:space="preserve"> </w:t>
            </w:r>
            <w:r w:rsidRPr="00470415">
              <w:rPr>
                <w:rFonts w:cs="Calibri"/>
              </w:rPr>
              <w:t>This ensures the Agency has enough liquidity to meet its emerging financial liabilities.</w:t>
            </w:r>
            <w:r w:rsidR="00FA7C77">
              <w:rPr>
                <w:rFonts w:cs="Calibri"/>
              </w:rPr>
              <w:t xml:space="preserve"> </w:t>
            </w:r>
            <w:r w:rsidRPr="00470415">
              <w:rPr>
                <w:rFonts w:cs="Calibri"/>
              </w:rPr>
              <w:t xml:space="preserve">See the maturity analysis below for further details of when financial liabilities mature. </w:t>
            </w:r>
          </w:p>
          <w:p w14:paraId="70B964AF" w14:textId="77777777" w:rsidR="00BE01D4" w:rsidRPr="00470415" w:rsidRDefault="00BE01D4" w:rsidP="00BE01D4">
            <w:pPr>
              <w:pStyle w:val="TableText"/>
              <w:spacing w:before="0" w:after="120"/>
              <w:jc w:val="both"/>
              <w:rPr>
                <w:rFonts w:cs="Calibri"/>
              </w:rPr>
            </w:pPr>
            <w:r w:rsidRPr="00470415">
              <w:rPr>
                <w:rFonts w:cs="Calibri"/>
              </w:rPr>
              <w:t xml:space="preserve">The Agency’s exposure to liquidity risk and the management of this risk has not changed since the previous reporting period. </w:t>
            </w:r>
          </w:p>
        </w:tc>
      </w:tr>
      <w:tr w:rsidR="00BE01D4" w:rsidRPr="00CF7E1B" w14:paraId="14E14EB1" w14:textId="77777777" w:rsidTr="00A41D42">
        <w:trPr>
          <w:cantSplit/>
          <w:trHeight w:val="23"/>
        </w:trPr>
        <w:tc>
          <w:tcPr>
            <w:tcW w:w="1561" w:type="dxa"/>
            <w:tcBorders>
              <w:top w:val="nil"/>
              <w:left w:val="single" w:sz="2" w:space="0" w:color="auto"/>
              <w:bottom w:val="nil"/>
              <w:right w:val="single" w:sz="2" w:space="0" w:color="auto"/>
            </w:tcBorders>
            <w:vAlign w:val="center"/>
          </w:tcPr>
          <w:p w14:paraId="078C1E2D" w14:textId="1049CC21"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256E55E1" w14:textId="77777777" w:rsidR="00BE01D4" w:rsidRPr="00470415" w:rsidRDefault="00BE01D4" w:rsidP="0092574F">
            <w:pPr>
              <w:rPr>
                <w:rFonts w:cs="Calibri"/>
                <w:b/>
                <w:sz w:val="20"/>
                <w:szCs w:val="20"/>
              </w:rPr>
            </w:pPr>
            <w:r w:rsidRPr="00470415">
              <w:rPr>
                <w:rFonts w:cs="Calibri"/>
                <w:b/>
                <w:sz w:val="18"/>
                <w:szCs w:val="20"/>
              </w:rPr>
              <w:t>Price Risk</w:t>
            </w:r>
          </w:p>
        </w:tc>
      </w:tr>
      <w:tr w:rsidR="00BE01D4" w:rsidRPr="00CF7E1B" w14:paraId="6269243B" w14:textId="77777777" w:rsidTr="00A41D42">
        <w:trPr>
          <w:cantSplit/>
          <w:trHeight w:val="23"/>
        </w:trPr>
        <w:tc>
          <w:tcPr>
            <w:tcW w:w="1561" w:type="dxa"/>
            <w:tcBorders>
              <w:top w:val="nil"/>
              <w:left w:val="single" w:sz="2" w:space="0" w:color="auto"/>
              <w:bottom w:val="nil"/>
              <w:right w:val="single" w:sz="2" w:space="0" w:color="auto"/>
            </w:tcBorders>
          </w:tcPr>
          <w:p w14:paraId="22948763"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w:t>
            </w:r>
          </w:p>
        </w:tc>
        <w:tc>
          <w:tcPr>
            <w:tcW w:w="8932" w:type="dxa"/>
            <w:gridSpan w:val="10"/>
            <w:tcBorders>
              <w:top w:val="nil"/>
              <w:left w:val="single" w:sz="2" w:space="0" w:color="auto"/>
              <w:bottom w:val="nil"/>
              <w:right w:val="nil"/>
            </w:tcBorders>
            <w:vAlign w:val="bottom"/>
          </w:tcPr>
          <w:p w14:paraId="2E789141" w14:textId="3A94119C" w:rsidR="00BE01D4" w:rsidRPr="00470415" w:rsidRDefault="00BE01D4" w:rsidP="00BE01D4">
            <w:pPr>
              <w:pStyle w:val="TableText"/>
              <w:spacing w:before="0" w:after="120"/>
              <w:jc w:val="both"/>
              <w:rPr>
                <w:rFonts w:cs="Calibri"/>
                <w:strike/>
              </w:rPr>
            </w:pPr>
            <w:r w:rsidRPr="00470415">
              <w:rPr>
                <w:rFonts w:cs="Calibri"/>
              </w:rPr>
              <w:t>Price risk is the risk that the fair value or future cash flows of a financial instrument will fluctuate because of changes in market prices. The only price risk which the Agency is exposed to results from its investment with the Territory Banking Account.</w:t>
            </w:r>
            <w:r w:rsidR="00FA7C77">
              <w:rPr>
                <w:rFonts w:cs="Calibri"/>
              </w:rPr>
              <w:t xml:space="preserve"> </w:t>
            </w:r>
            <w:r w:rsidRPr="00470415">
              <w:rPr>
                <w:rFonts w:cs="Calibri"/>
              </w:rPr>
              <w:t>Agency investors have ‘Investment Unit Holdings’ with the Territory Banking Account that fluctuates in value.</w:t>
            </w:r>
            <w:r w:rsidR="00FA7C77">
              <w:rPr>
                <w:rFonts w:cs="Calibri"/>
              </w:rPr>
              <w:t xml:space="preserve"> </w:t>
            </w:r>
            <w:r w:rsidRPr="00470415">
              <w:rPr>
                <w:rFonts w:cs="Calibri"/>
              </w:rPr>
              <w:t>The price fluctuations in the units of the investment are caused by movements in the underlying investment portfolio.</w:t>
            </w:r>
          </w:p>
        </w:tc>
      </w:tr>
      <w:tr w:rsidR="00BE01D4" w:rsidRPr="00CF7E1B" w14:paraId="1DF87970" w14:textId="77777777" w:rsidTr="00A41D42">
        <w:trPr>
          <w:cantSplit/>
          <w:trHeight w:val="23"/>
        </w:trPr>
        <w:tc>
          <w:tcPr>
            <w:tcW w:w="1561" w:type="dxa"/>
            <w:tcBorders>
              <w:top w:val="nil"/>
              <w:left w:val="single" w:sz="2" w:space="0" w:color="auto"/>
              <w:bottom w:val="nil"/>
              <w:right w:val="single" w:sz="2" w:space="0" w:color="auto"/>
            </w:tcBorders>
          </w:tcPr>
          <w:p w14:paraId="2ADB4A2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39B98A39" w14:textId="2AFC3222" w:rsidR="00BE01D4" w:rsidRPr="00470415" w:rsidRDefault="00BE01D4" w:rsidP="00BE01D4">
            <w:pPr>
              <w:spacing w:after="120"/>
              <w:jc w:val="both"/>
              <w:rPr>
                <w:rFonts w:cs="Calibri"/>
                <w:sz w:val="18"/>
                <w:szCs w:val="18"/>
              </w:rPr>
            </w:pPr>
            <w:r w:rsidRPr="00470415">
              <w:rPr>
                <w:rFonts w:cs="Calibri"/>
                <w:sz w:val="18"/>
                <w:szCs w:val="18"/>
              </w:rPr>
              <w:t>The underlying investment portfolio exposures include the financial risks associated with cash, money market securities, fixed rate bonds (domestic and international) and equities (domestic and international)</w:t>
            </w:r>
            <w:r w:rsidR="00E45617">
              <w:rPr>
                <w:rFonts w:cs="Calibri"/>
                <w:sz w:val="18"/>
                <w:szCs w:val="18"/>
              </w:rPr>
              <w:t>,</w:t>
            </w:r>
            <w:r w:rsidRPr="00470415">
              <w:rPr>
                <w:rFonts w:cs="Calibri"/>
              </w:rPr>
              <w:t xml:space="preserve"> </w:t>
            </w:r>
            <w:r w:rsidRPr="00470415">
              <w:rPr>
                <w:rFonts w:cs="Calibri"/>
                <w:sz w:val="18"/>
                <w:szCs w:val="18"/>
              </w:rPr>
              <w:t>private equity, property and infrastructure. Investment exposures are maintained in line with a strategic asset allocation structured to achieve the Agency’s long-term investment objective within acceptable risk tolerances.</w:t>
            </w:r>
            <w:r w:rsidR="00FA7C77">
              <w:rPr>
                <w:rFonts w:cs="Calibri"/>
                <w:sz w:val="18"/>
                <w:szCs w:val="18"/>
              </w:rPr>
              <w:t xml:space="preserve"> </w:t>
            </w:r>
            <w:r w:rsidRPr="00470415">
              <w:rPr>
                <w:rFonts w:cs="Calibri"/>
                <w:sz w:val="18"/>
                <w:szCs w:val="18"/>
              </w:rPr>
              <w:t>Under the investment structure, investments are diversified by geography, sector and financial instrument type to manage the risks associated with changing financial and economic conditions.</w:t>
            </w:r>
            <w:r w:rsidR="00FA7C77">
              <w:rPr>
                <w:rFonts w:cs="Calibri"/>
                <w:sz w:val="18"/>
                <w:szCs w:val="18"/>
              </w:rPr>
              <w:t xml:space="preserve"> </w:t>
            </w:r>
            <w:r w:rsidRPr="00470415">
              <w:rPr>
                <w:rFonts w:cs="Calibri"/>
                <w:sz w:val="18"/>
                <w:szCs w:val="18"/>
              </w:rPr>
              <w:t>More detail can be found in the financial statements of the Territory Banking Account.</w:t>
            </w:r>
          </w:p>
        </w:tc>
      </w:tr>
      <w:tr w:rsidR="00BE01D4" w:rsidRPr="00CF7E1B" w14:paraId="2E80ECA6" w14:textId="77777777" w:rsidTr="00A41D42">
        <w:trPr>
          <w:cantSplit/>
          <w:trHeight w:val="23"/>
        </w:trPr>
        <w:tc>
          <w:tcPr>
            <w:tcW w:w="1561" w:type="dxa"/>
            <w:tcBorders>
              <w:top w:val="nil"/>
              <w:left w:val="single" w:sz="2" w:space="0" w:color="auto"/>
              <w:bottom w:val="nil"/>
              <w:right w:val="single" w:sz="2" w:space="0" w:color="auto"/>
            </w:tcBorders>
          </w:tcPr>
          <w:p w14:paraId="06B5AD12"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02BD2D56" w14:textId="7F91EEFF" w:rsidR="00BE01D4" w:rsidRPr="00470415" w:rsidRDefault="00BE01D4" w:rsidP="00BE01D4">
            <w:pPr>
              <w:pStyle w:val="TableText"/>
              <w:spacing w:before="0" w:after="120"/>
              <w:jc w:val="both"/>
              <w:rPr>
                <w:rFonts w:cs="Calibri"/>
                <w:lang w:eastAsia="en-AU"/>
              </w:rPr>
            </w:pPr>
            <w:r w:rsidRPr="00470415">
              <w:rPr>
                <w:rFonts w:cs="Calibri"/>
                <w:lang w:eastAsia="en-AU"/>
              </w:rPr>
              <w:t>The Agency’s exposure to price risk and the management of this risk has not changed since last reporting period.</w:t>
            </w:r>
          </w:p>
        </w:tc>
      </w:tr>
      <w:tr w:rsidR="00BE01D4" w:rsidRPr="00CF7E1B" w14:paraId="4AB2CDD7" w14:textId="77777777" w:rsidTr="00A41D42">
        <w:trPr>
          <w:cantSplit/>
          <w:trHeight w:val="23"/>
        </w:trPr>
        <w:tc>
          <w:tcPr>
            <w:tcW w:w="1561" w:type="dxa"/>
            <w:tcBorders>
              <w:top w:val="nil"/>
              <w:left w:val="single" w:sz="2" w:space="0" w:color="auto"/>
              <w:bottom w:val="nil"/>
              <w:right w:val="single" w:sz="2" w:space="0" w:color="auto"/>
            </w:tcBorders>
          </w:tcPr>
          <w:p w14:paraId="7222FAD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42FEF967" w14:textId="2BEE5518" w:rsidR="00BE01D4" w:rsidRPr="00470415" w:rsidRDefault="00BE01D4" w:rsidP="00205583">
            <w:pPr>
              <w:pStyle w:val="TableText"/>
              <w:spacing w:before="0"/>
              <w:jc w:val="both"/>
              <w:rPr>
                <w:rFonts w:cs="Calibri"/>
              </w:rPr>
            </w:pPr>
            <w:r w:rsidRPr="00470415">
              <w:rPr>
                <w:rFonts w:cs="Calibri"/>
                <w:i/>
              </w:rPr>
              <w:t>Sensitivity Analysis</w:t>
            </w:r>
          </w:p>
        </w:tc>
      </w:tr>
      <w:tr w:rsidR="00BE01D4" w:rsidRPr="00CF7E1B" w14:paraId="0F0FA8F6" w14:textId="77777777" w:rsidTr="00A41D42">
        <w:trPr>
          <w:cantSplit/>
          <w:trHeight w:val="23"/>
        </w:trPr>
        <w:tc>
          <w:tcPr>
            <w:tcW w:w="1561" w:type="dxa"/>
            <w:tcBorders>
              <w:top w:val="nil"/>
              <w:left w:val="single" w:sz="2" w:space="0" w:color="auto"/>
              <w:bottom w:val="nil"/>
              <w:right w:val="single" w:sz="2" w:space="0" w:color="auto"/>
            </w:tcBorders>
          </w:tcPr>
          <w:p w14:paraId="31E7653C"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15238771" w14:textId="5DA5AC6B" w:rsidR="00BE01D4" w:rsidRPr="00470415" w:rsidRDefault="00BE01D4" w:rsidP="00205583">
            <w:pPr>
              <w:pStyle w:val="TableText"/>
              <w:spacing w:before="0"/>
              <w:jc w:val="both"/>
              <w:rPr>
                <w:rFonts w:cs="Calibri"/>
              </w:rPr>
            </w:pPr>
            <w:r w:rsidRPr="00470415">
              <w:rPr>
                <w:rFonts w:cs="Calibri"/>
              </w:rPr>
              <w:t>A sensitivity analysis has not been undertaken for the price risk of the Agency as it has been determined that the possible impact on profit and loss or total equity from fluctuations in price is immaterial.</w:t>
            </w:r>
          </w:p>
        </w:tc>
      </w:tr>
      <w:tr w:rsidR="00BE01D4" w:rsidRPr="00CF7E1B" w14:paraId="04B4EF41" w14:textId="77777777" w:rsidTr="00A41D42">
        <w:trPr>
          <w:cantSplit/>
          <w:trHeight w:val="23"/>
        </w:trPr>
        <w:tc>
          <w:tcPr>
            <w:tcW w:w="1561" w:type="dxa"/>
            <w:tcBorders>
              <w:top w:val="nil"/>
              <w:left w:val="single" w:sz="2" w:space="0" w:color="auto"/>
              <w:bottom w:val="nil"/>
              <w:right w:val="single" w:sz="2" w:space="0" w:color="auto"/>
            </w:tcBorders>
            <w:vAlign w:val="bottom"/>
          </w:tcPr>
          <w:p w14:paraId="5928FCAD" w14:textId="5CC4D053" w:rsidR="00BE01D4" w:rsidRPr="00470415" w:rsidRDefault="00BE01D4" w:rsidP="00BE01D4">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14726C64" w14:textId="77777777" w:rsidR="00BE01D4" w:rsidRPr="00470415" w:rsidRDefault="00BE01D4" w:rsidP="00BE01D4">
            <w:pPr>
              <w:spacing w:before="120"/>
              <w:jc w:val="both"/>
              <w:rPr>
                <w:rFonts w:cs="Calibri"/>
                <w:b/>
                <w:sz w:val="18"/>
                <w:szCs w:val="20"/>
              </w:rPr>
            </w:pPr>
            <w:bookmarkStart w:id="737" w:name="_Toc48468691"/>
            <w:bookmarkStart w:id="738" w:name="_Toc49155788"/>
            <w:bookmarkStart w:id="739" w:name="_Toc49224205"/>
            <w:r w:rsidRPr="00470415">
              <w:rPr>
                <w:rFonts w:cs="Calibri"/>
                <w:b/>
                <w:sz w:val="18"/>
                <w:szCs w:val="20"/>
              </w:rPr>
              <w:t>Fair Value of Financial Assets and Liabilities</w:t>
            </w:r>
            <w:bookmarkEnd w:id="737"/>
            <w:bookmarkEnd w:id="738"/>
            <w:bookmarkEnd w:id="739"/>
            <w:r w:rsidRPr="00470415">
              <w:rPr>
                <w:rFonts w:cs="Calibri"/>
                <w:b/>
                <w:sz w:val="18"/>
                <w:szCs w:val="20"/>
              </w:rPr>
              <w:t xml:space="preserve"> </w:t>
            </w:r>
          </w:p>
        </w:tc>
      </w:tr>
      <w:tr w:rsidR="00BE01D4" w:rsidRPr="00CF7E1B" w14:paraId="606F2FF3" w14:textId="77777777" w:rsidTr="00A41D42">
        <w:trPr>
          <w:cantSplit/>
          <w:trHeight w:val="23"/>
        </w:trPr>
        <w:tc>
          <w:tcPr>
            <w:tcW w:w="1561" w:type="dxa"/>
            <w:tcBorders>
              <w:top w:val="nil"/>
              <w:left w:val="single" w:sz="2" w:space="0" w:color="auto"/>
              <w:bottom w:val="nil"/>
              <w:right w:val="single" w:sz="2" w:space="0" w:color="auto"/>
            </w:tcBorders>
          </w:tcPr>
          <w:p w14:paraId="2C4B498F" w14:textId="38ABBA6B" w:rsidR="00BE01D4" w:rsidRPr="00470415" w:rsidRDefault="00BE01D4" w:rsidP="00BE01D4">
            <w:pPr>
              <w:pStyle w:val="Reference"/>
              <w:rPr>
                <w:rFonts w:cs="Calibri"/>
                <w:b w:val="0"/>
                <w:bCs w:val="0"/>
                <w:color w:val="7030A0"/>
                <w:sz w:val="14"/>
                <w:szCs w:val="14"/>
              </w:rPr>
            </w:pPr>
            <w:r w:rsidRPr="00470415">
              <w:rPr>
                <w:rFonts w:cs="Calibri"/>
                <w:b w:val="0"/>
                <w:bCs w:val="0"/>
                <w:color w:val="7030A0"/>
                <w:sz w:val="14"/>
                <w:szCs w:val="14"/>
              </w:rPr>
              <w:t>AASB 7.29(a)</w:t>
            </w:r>
          </w:p>
        </w:tc>
        <w:tc>
          <w:tcPr>
            <w:tcW w:w="8932" w:type="dxa"/>
            <w:gridSpan w:val="10"/>
            <w:tcBorders>
              <w:top w:val="nil"/>
              <w:left w:val="single" w:sz="2" w:space="0" w:color="auto"/>
              <w:bottom w:val="nil"/>
              <w:right w:val="nil"/>
            </w:tcBorders>
            <w:vAlign w:val="bottom"/>
          </w:tcPr>
          <w:p w14:paraId="5F51CE96" w14:textId="64FD48F7" w:rsidR="00BE01D4" w:rsidRPr="00470415" w:rsidRDefault="00BE01D4" w:rsidP="00A41D42">
            <w:pPr>
              <w:jc w:val="both"/>
              <w:rPr>
                <w:rFonts w:cs="Calibri"/>
                <w:strike/>
                <w:sz w:val="18"/>
                <w:szCs w:val="20"/>
              </w:rPr>
            </w:pPr>
            <w:r w:rsidRPr="00470415">
              <w:rPr>
                <w:rFonts w:cs="Calibri"/>
                <w:sz w:val="18"/>
                <w:szCs w:val="18"/>
              </w:rPr>
              <w:t>The carrying amount of financial assets and financial liabilities of ‘</w:t>
            </w:r>
            <w:r w:rsidRPr="00470415">
              <w:rPr>
                <w:sz w:val="18"/>
                <w:szCs w:val="18"/>
              </w:rPr>
              <w:t>Burley Griffin</w:t>
            </w:r>
            <w:r w:rsidRPr="00470415">
              <w:rPr>
                <w:rFonts w:cs="Calibri"/>
                <w:sz w:val="18"/>
                <w:szCs w:val="18"/>
              </w:rPr>
              <w:t xml:space="preserve"> Agency’ approximate their fair value with the exception of Investments with the Territory Banking Account.</w:t>
            </w:r>
            <w:r w:rsidR="00FA7C77">
              <w:rPr>
                <w:rFonts w:cs="Calibri"/>
                <w:sz w:val="18"/>
                <w:szCs w:val="18"/>
              </w:rPr>
              <w:t xml:space="preserve"> </w:t>
            </w:r>
            <w:r w:rsidRPr="00470415">
              <w:rPr>
                <w:rFonts w:cs="Calibri"/>
                <w:sz w:val="18"/>
                <w:szCs w:val="18"/>
              </w:rPr>
              <w:t>The below table shows the difference between the carrying amount and fair value of these investments:</w:t>
            </w:r>
            <w:r w:rsidRPr="0009580B">
              <w:rPr>
                <w:rFonts w:cs="Calibri"/>
                <w:sz w:val="18"/>
                <w:szCs w:val="20"/>
              </w:rPr>
              <w:t xml:space="preserve"> </w:t>
            </w:r>
          </w:p>
        </w:tc>
      </w:tr>
      <w:tr w:rsidR="00BE01D4" w:rsidRPr="00CF7E1B" w14:paraId="6F4BED5E" w14:textId="77777777" w:rsidTr="00A41D42">
        <w:trPr>
          <w:cantSplit/>
          <w:trHeight w:val="492"/>
        </w:trPr>
        <w:tc>
          <w:tcPr>
            <w:tcW w:w="1561" w:type="dxa"/>
            <w:tcBorders>
              <w:top w:val="nil"/>
              <w:left w:val="single" w:sz="2" w:space="0" w:color="auto"/>
              <w:bottom w:val="nil"/>
              <w:right w:val="single" w:sz="2" w:space="0" w:color="auto"/>
            </w:tcBorders>
          </w:tcPr>
          <w:p w14:paraId="248F66DA"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2C69906A" w14:textId="77777777" w:rsidR="00BE01D4" w:rsidRPr="00470415" w:rsidRDefault="00BE01D4" w:rsidP="00BE01D4">
            <w:pPr>
              <w:pStyle w:val="TableText"/>
              <w:tabs>
                <w:tab w:val="left" w:pos="3306"/>
              </w:tabs>
              <w:rPr>
                <w:rFonts w:cs="Calibri"/>
              </w:rPr>
            </w:pPr>
          </w:p>
        </w:tc>
        <w:tc>
          <w:tcPr>
            <w:tcW w:w="1028" w:type="dxa"/>
            <w:tcBorders>
              <w:top w:val="nil"/>
              <w:left w:val="nil"/>
              <w:bottom w:val="nil"/>
              <w:right w:val="nil"/>
            </w:tcBorders>
          </w:tcPr>
          <w:p w14:paraId="68D5F677" w14:textId="77777777" w:rsidR="00BE01D4" w:rsidRPr="00470415" w:rsidRDefault="00BE01D4" w:rsidP="00BE01D4">
            <w:pPr>
              <w:pStyle w:val="TableTitle"/>
              <w:tabs>
                <w:tab w:val="left" w:pos="3306"/>
              </w:tabs>
              <w:jc w:val="center"/>
              <w:rPr>
                <w:rFonts w:cs="Calibri"/>
              </w:rPr>
            </w:pPr>
            <w:r w:rsidRPr="00470415">
              <w:rPr>
                <w:rFonts w:cs="Calibri"/>
              </w:rPr>
              <w:t>Note No.</w:t>
            </w:r>
          </w:p>
        </w:tc>
        <w:tc>
          <w:tcPr>
            <w:tcW w:w="1275" w:type="dxa"/>
            <w:gridSpan w:val="2"/>
            <w:tcBorders>
              <w:top w:val="nil"/>
              <w:left w:val="nil"/>
              <w:bottom w:val="nil"/>
              <w:right w:val="nil"/>
            </w:tcBorders>
          </w:tcPr>
          <w:p w14:paraId="735D29C4" w14:textId="77777777" w:rsidR="00BE01D4" w:rsidRPr="00470415" w:rsidRDefault="00BE01D4" w:rsidP="00BE01D4">
            <w:pPr>
              <w:pStyle w:val="TableTitle"/>
              <w:tabs>
                <w:tab w:val="left" w:pos="3306"/>
              </w:tabs>
              <w:rPr>
                <w:rFonts w:cs="Calibri"/>
              </w:rPr>
            </w:pPr>
            <w:r w:rsidRPr="00470415">
              <w:rPr>
                <w:rFonts w:cs="Calibri"/>
              </w:rPr>
              <w:t xml:space="preserve">Carrying Amount </w:t>
            </w:r>
          </w:p>
          <w:p w14:paraId="58182BAE" w14:textId="302B2EAA" w:rsidR="00BE01D4" w:rsidRPr="00470415" w:rsidRDefault="00BE01D4" w:rsidP="00BE01D4">
            <w:pPr>
              <w:pStyle w:val="TableTitle"/>
              <w:tabs>
                <w:tab w:val="left" w:pos="3306"/>
              </w:tabs>
              <w:rPr>
                <w:rFonts w:cs="Calibri"/>
              </w:rPr>
            </w:pPr>
            <w:r w:rsidRPr="00470415">
              <w:rPr>
                <w:rFonts w:cs="Calibri"/>
              </w:rPr>
              <w:t>202</w:t>
            </w:r>
            <w:r w:rsidR="0002512F">
              <w:rPr>
                <w:rFonts w:cs="Calibri"/>
              </w:rPr>
              <w:t>3</w:t>
            </w:r>
          </w:p>
          <w:p w14:paraId="32508635" w14:textId="77777777" w:rsidR="00BE01D4" w:rsidRPr="00470415" w:rsidRDefault="00BE01D4" w:rsidP="00BE01D4">
            <w:pPr>
              <w:pStyle w:val="TableTitle"/>
              <w:tabs>
                <w:tab w:val="left" w:pos="3306"/>
              </w:tabs>
              <w:rPr>
                <w:rFonts w:cs="Calibri"/>
              </w:rPr>
            </w:pPr>
            <w:r w:rsidRPr="00470415">
              <w:rPr>
                <w:rFonts w:cs="Calibri"/>
              </w:rPr>
              <w:t xml:space="preserve">$’000 </w:t>
            </w:r>
          </w:p>
        </w:tc>
        <w:tc>
          <w:tcPr>
            <w:tcW w:w="1133" w:type="dxa"/>
            <w:gridSpan w:val="2"/>
            <w:tcBorders>
              <w:top w:val="nil"/>
              <w:left w:val="nil"/>
              <w:bottom w:val="nil"/>
              <w:right w:val="nil"/>
            </w:tcBorders>
            <w:vAlign w:val="bottom"/>
          </w:tcPr>
          <w:p w14:paraId="56396A7B" w14:textId="77777777" w:rsidR="00BE01D4" w:rsidRPr="00470415" w:rsidRDefault="00BE01D4" w:rsidP="00BE01D4">
            <w:pPr>
              <w:pStyle w:val="TableTitle"/>
              <w:tabs>
                <w:tab w:val="left" w:pos="3306"/>
              </w:tabs>
              <w:rPr>
                <w:rFonts w:cs="Calibri"/>
              </w:rPr>
            </w:pPr>
            <w:r w:rsidRPr="00470415">
              <w:rPr>
                <w:rFonts w:cs="Calibri"/>
              </w:rPr>
              <w:t>Fair Value</w:t>
            </w:r>
          </w:p>
          <w:p w14:paraId="73B6D89B" w14:textId="2BAC965C" w:rsidR="00BE01D4" w:rsidRPr="00470415" w:rsidRDefault="00BE01D4" w:rsidP="00BE01D4">
            <w:pPr>
              <w:pStyle w:val="TableTitle"/>
              <w:rPr>
                <w:rFonts w:cs="Calibri"/>
              </w:rPr>
            </w:pPr>
            <w:r w:rsidRPr="00470415">
              <w:rPr>
                <w:rFonts w:cs="Calibri"/>
              </w:rPr>
              <w:t>202</w:t>
            </w:r>
            <w:r w:rsidR="0002512F">
              <w:rPr>
                <w:rFonts w:cs="Calibri"/>
              </w:rPr>
              <w:t>3</w:t>
            </w:r>
          </w:p>
          <w:p w14:paraId="48A0B00A" w14:textId="77777777" w:rsidR="00BE01D4" w:rsidRPr="00470415" w:rsidRDefault="00BE01D4" w:rsidP="00BE01D4">
            <w:pPr>
              <w:pStyle w:val="TableTitle"/>
              <w:rPr>
                <w:rFonts w:cs="Calibri"/>
              </w:rPr>
            </w:pPr>
            <w:r w:rsidRPr="00470415">
              <w:rPr>
                <w:rFonts w:cs="Calibri"/>
              </w:rPr>
              <w:t>$’000</w:t>
            </w:r>
          </w:p>
        </w:tc>
        <w:tc>
          <w:tcPr>
            <w:tcW w:w="1133" w:type="dxa"/>
            <w:gridSpan w:val="2"/>
            <w:tcBorders>
              <w:top w:val="nil"/>
              <w:left w:val="nil"/>
              <w:bottom w:val="nil"/>
              <w:right w:val="nil"/>
            </w:tcBorders>
            <w:vAlign w:val="bottom"/>
          </w:tcPr>
          <w:p w14:paraId="578E41AE" w14:textId="77777777" w:rsidR="00BE01D4" w:rsidRPr="00470415" w:rsidRDefault="00BE01D4" w:rsidP="00BE01D4">
            <w:pPr>
              <w:pStyle w:val="TableTitle"/>
              <w:tabs>
                <w:tab w:val="left" w:pos="3306"/>
              </w:tabs>
              <w:rPr>
                <w:rFonts w:cs="Calibri"/>
              </w:rPr>
            </w:pPr>
            <w:bookmarkStart w:id="740" w:name="_Toc48468692"/>
            <w:bookmarkStart w:id="741" w:name="_Toc49155789"/>
            <w:bookmarkStart w:id="742" w:name="_Toc49224206"/>
            <w:r w:rsidRPr="00470415">
              <w:rPr>
                <w:rFonts w:cs="Calibri"/>
              </w:rPr>
              <w:t>Carrying Amount</w:t>
            </w:r>
          </w:p>
          <w:bookmarkEnd w:id="740"/>
          <w:bookmarkEnd w:id="741"/>
          <w:bookmarkEnd w:id="742"/>
          <w:p w14:paraId="077A8615" w14:textId="4EA3F5FD" w:rsidR="00BE01D4" w:rsidRPr="00470415" w:rsidRDefault="00BE01D4" w:rsidP="00BE01D4">
            <w:pPr>
              <w:pStyle w:val="TableTitle"/>
              <w:tabs>
                <w:tab w:val="left" w:pos="3306"/>
              </w:tabs>
              <w:rPr>
                <w:rFonts w:cs="Calibri"/>
              </w:rPr>
            </w:pPr>
            <w:r w:rsidRPr="00470415">
              <w:rPr>
                <w:rFonts w:cs="Calibri"/>
              </w:rPr>
              <w:t>202</w:t>
            </w:r>
            <w:r w:rsidR="00D55D52">
              <w:rPr>
                <w:rFonts w:cs="Calibri"/>
              </w:rPr>
              <w:t>2</w:t>
            </w:r>
          </w:p>
          <w:p w14:paraId="02768D41" w14:textId="77777777" w:rsidR="00BE01D4" w:rsidRPr="00470415" w:rsidRDefault="00BE01D4" w:rsidP="00BE01D4">
            <w:pPr>
              <w:pStyle w:val="TableTitle"/>
              <w:tabs>
                <w:tab w:val="left" w:pos="3306"/>
              </w:tabs>
              <w:rPr>
                <w:rFonts w:cs="Calibri"/>
              </w:rPr>
            </w:pPr>
            <w:r w:rsidRPr="00470415">
              <w:rPr>
                <w:rFonts w:cs="Calibri"/>
              </w:rPr>
              <w:t>$’000</w:t>
            </w:r>
          </w:p>
        </w:tc>
        <w:tc>
          <w:tcPr>
            <w:tcW w:w="1172" w:type="dxa"/>
            <w:tcBorders>
              <w:top w:val="nil"/>
              <w:left w:val="nil"/>
              <w:bottom w:val="nil"/>
              <w:right w:val="nil"/>
            </w:tcBorders>
            <w:vAlign w:val="bottom"/>
          </w:tcPr>
          <w:p w14:paraId="19159DE1" w14:textId="77777777" w:rsidR="00BE01D4" w:rsidRPr="00470415" w:rsidRDefault="00BE01D4" w:rsidP="00BE01D4">
            <w:pPr>
              <w:pStyle w:val="TableTitle"/>
              <w:tabs>
                <w:tab w:val="left" w:pos="3306"/>
              </w:tabs>
              <w:ind w:right="39"/>
              <w:rPr>
                <w:rFonts w:cs="Calibri"/>
              </w:rPr>
            </w:pPr>
            <w:r w:rsidRPr="00470415">
              <w:rPr>
                <w:rFonts w:cs="Calibri"/>
              </w:rPr>
              <w:t>Fair Value</w:t>
            </w:r>
          </w:p>
          <w:p w14:paraId="6D567B1B" w14:textId="1AFDAD5D" w:rsidR="00BE01D4" w:rsidRPr="00470415" w:rsidRDefault="00BE01D4" w:rsidP="00BE01D4">
            <w:pPr>
              <w:pStyle w:val="TableTitle"/>
              <w:tabs>
                <w:tab w:val="left" w:pos="3306"/>
              </w:tabs>
              <w:ind w:right="39"/>
              <w:rPr>
                <w:rFonts w:cs="Calibri"/>
              </w:rPr>
            </w:pPr>
            <w:r w:rsidRPr="00470415">
              <w:rPr>
                <w:rFonts w:cs="Calibri"/>
              </w:rPr>
              <w:t>202</w:t>
            </w:r>
            <w:r w:rsidR="00D55D52">
              <w:rPr>
                <w:rFonts w:cs="Calibri"/>
              </w:rPr>
              <w:t>2</w:t>
            </w:r>
          </w:p>
          <w:p w14:paraId="29BDBEC2" w14:textId="77777777" w:rsidR="00BE01D4" w:rsidRPr="00470415" w:rsidRDefault="00BE01D4" w:rsidP="00BE01D4">
            <w:pPr>
              <w:pStyle w:val="TableTitle"/>
              <w:tabs>
                <w:tab w:val="left" w:pos="3306"/>
              </w:tabs>
              <w:ind w:right="39"/>
              <w:rPr>
                <w:rFonts w:cs="Calibri"/>
              </w:rPr>
            </w:pPr>
            <w:r w:rsidRPr="00470415">
              <w:rPr>
                <w:rFonts w:cs="Calibri"/>
              </w:rPr>
              <w:t>$’000</w:t>
            </w:r>
          </w:p>
        </w:tc>
      </w:tr>
      <w:tr w:rsidR="00BE01D4" w:rsidRPr="00CF7E1B" w14:paraId="04E93F39" w14:textId="77777777" w:rsidTr="00A41D42">
        <w:trPr>
          <w:cantSplit/>
          <w:trHeight w:val="23"/>
        </w:trPr>
        <w:tc>
          <w:tcPr>
            <w:tcW w:w="1561" w:type="dxa"/>
            <w:tcBorders>
              <w:top w:val="nil"/>
              <w:left w:val="single" w:sz="2" w:space="0" w:color="auto"/>
              <w:bottom w:val="nil"/>
              <w:right w:val="single" w:sz="2" w:space="0" w:color="auto"/>
            </w:tcBorders>
          </w:tcPr>
          <w:p w14:paraId="4EDE27A2"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3BA34EB0" w14:textId="77777777" w:rsidR="00BE01D4" w:rsidRPr="00470415" w:rsidRDefault="00BE01D4" w:rsidP="00BE01D4">
            <w:pPr>
              <w:pStyle w:val="TableText"/>
              <w:tabs>
                <w:tab w:val="left" w:pos="3306"/>
              </w:tabs>
              <w:rPr>
                <w:rFonts w:cs="Calibri"/>
                <w:b/>
                <w:bCs/>
              </w:rPr>
            </w:pPr>
            <w:bookmarkStart w:id="743" w:name="_Toc48468694"/>
            <w:bookmarkStart w:id="744" w:name="_Toc49155791"/>
            <w:bookmarkStart w:id="745" w:name="_Toc49224208"/>
            <w:r w:rsidRPr="00470415">
              <w:rPr>
                <w:rFonts w:cs="Calibri"/>
                <w:b/>
                <w:bCs/>
              </w:rPr>
              <w:t>Financial Assets</w:t>
            </w:r>
            <w:bookmarkEnd w:id="743"/>
            <w:bookmarkEnd w:id="744"/>
            <w:bookmarkEnd w:id="745"/>
          </w:p>
        </w:tc>
        <w:tc>
          <w:tcPr>
            <w:tcW w:w="1028" w:type="dxa"/>
            <w:tcBorders>
              <w:top w:val="nil"/>
              <w:left w:val="nil"/>
              <w:bottom w:val="nil"/>
              <w:right w:val="nil"/>
            </w:tcBorders>
          </w:tcPr>
          <w:p w14:paraId="030E91CE" w14:textId="77777777" w:rsidR="00BE01D4" w:rsidRPr="00470415" w:rsidRDefault="00BE01D4" w:rsidP="00BE01D4">
            <w:pPr>
              <w:pStyle w:val="TableText"/>
              <w:tabs>
                <w:tab w:val="left" w:pos="3306"/>
              </w:tabs>
              <w:jc w:val="center"/>
              <w:rPr>
                <w:rFonts w:cs="Calibri"/>
              </w:rPr>
            </w:pPr>
          </w:p>
        </w:tc>
        <w:tc>
          <w:tcPr>
            <w:tcW w:w="1275" w:type="dxa"/>
            <w:gridSpan w:val="2"/>
            <w:tcBorders>
              <w:top w:val="nil"/>
              <w:left w:val="nil"/>
              <w:bottom w:val="nil"/>
              <w:right w:val="nil"/>
            </w:tcBorders>
          </w:tcPr>
          <w:p w14:paraId="60FC3379"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tcPr>
          <w:p w14:paraId="464F862C"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vAlign w:val="bottom"/>
          </w:tcPr>
          <w:p w14:paraId="73DB0EF6" w14:textId="77777777" w:rsidR="00BE01D4" w:rsidRPr="00470415" w:rsidRDefault="00BE01D4" w:rsidP="00BE01D4">
            <w:pPr>
              <w:pStyle w:val="TableText"/>
              <w:tabs>
                <w:tab w:val="left" w:pos="3306"/>
              </w:tabs>
              <w:jc w:val="right"/>
              <w:rPr>
                <w:rFonts w:cs="Calibri"/>
              </w:rPr>
            </w:pPr>
          </w:p>
        </w:tc>
        <w:tc>
          <w:tcPr>
            <w:tcW w:w="1172" w:type="dxa"/>
            <w:tcBorders>
              <w:top w:val="nil"/>
              <w:left w:val="nil"/>
              <w:bottom w:val="nil"/>
              <w:right w:val="nil"/>
            </w:tcBorders>
            <w:vAlign w:val="bottom"/>
          </w:tcPr>
          <w:p w14:paraId="35D9F06C" w14:textId="77777777" w:rsidR="00BE01D4" w:rsidRPr="00470415" w:rsidRDefault="00BE01D4" w:rsidP="00BE01D4">
            <w:pPr>
              <w:pStyle w:val="TableText"/>
              <w:tabs>
                <w:tab w:val="left" w:pos="3306"/>
              </w:tabs>
              <w:jc w:val="right"/>
              <w:rPr>
                <w:rFonts w:cs="Calibri"/>
              </w:rPr>
            </w:pPr>
          </w:p>
        </w:tc>
      </w:tr>
      <w:tr w:rsidR="00BE01D4" w:rsidRPr="00CF7E1B" w14:paraId="321E9E94" w14:textId="77777777" w:rsidTr="00A41D42">
        <w:trPr>
          <w:cantSplit/>
          <w:trHeight w:val="23"/>
        </w:trPr>
        <w:tc>
          <w:tcPr>
            <w:tcW w:w="1561" w:type="dxa"/>
            <w:tcBorders>
              <w:top w:val="nil"/>
              <w:left w:val="single" w:sz="2" w:space="0" w:color="auto"/>
              <w:bottom w:val="nil"/>
              <w:right w:val="single" w:sz="2" w:space="0" w:color="auto"/>
            </w:tcBorders>
          </w:tcPr>
          <w:p w14:paraId="032B14F9" w14:textId="77777777" w:rsidR="00BE01D4" w:rsidRPr="00470415" w:rsidRDefault="00BE01D4" w:rsidP="00BE01D4">
            <w:pPr>
              <w:pStyle w:val="CommentaryReference"/>
              <w:rPr>
                <w:rFonts w:cs="Calibri"/>
                <w:color w:val="7030A0"/>
                <w:szCs w:val="14"/>
              </w:rPr>
            </w:pPr>
          </w:p>
        </w:tc>
        <w:tc>
          <w:tcPr>
            <w:tcW w:w="3191" w:type="dxa"/>
            <w:gridSpan w:val="2"/>
            <w:tcBorders>
              <w:top w:val="nil"/>
              <w:left w:val="single" w:sz="2" w:space="0" w:color="auto"/>
              <w:bottom w:val="nil"/>
              <w:right w:val="nil"/>
            </w:tcBorders>
            <w:vAlign w:val="bottom"/>
          </w:tcPr>
          <w:p w14:paraId="26D04ED4" w14:textId="77777777" w:rsidR="00BE01D4" w:rsidRPr="00470415" w:rsidRDefault="00BE01D4" w:rsidP="00BE01D4">
            <w:pPr>
              <w:pStyle w:val="CommentaryReference"/>
              <w:rPr>
                <w:rFonts w:cs="Calibri"/>
              </w:rPr>
            </w:pPr>
          </w:p>
        </w:tc>
        <w:tc>
          <w:tcPr>
            <w:tcW w:w="1028" w:type="dxa"/>
            <w:tcBorders>
              <w:top w:val="nil"/>
              <w:left w:val="nil"/>
              <w:bottom w:val="nil"/>
              <w:right w:val="nil"/>
            </w:tcBorders>
          </w:tcPr>
          <w:p w14:paraId="206CE19A" w14:textId="77777777" w:rsidR="00BE01D4" w:rsidRPr="00470415" w:rsidRDefault="00BE01D4" w:rsidP="00BE01D4">
            <w:pPr>
              <w:pStyle w:val="CommentaryReference"/>
              <w:jc w:val="center"/>
              <w:rPr>
                <w:rFonts w:cs="Calibri"/>
              </w:rPr>
            </w:pPr>
          </w:p>
        </w:tc>
        <w:tc>
          <w:tcPr>
            <w:tcW w:w="1275" w:type="dxa"/>
            <w:gridSpan w:val="2"/>
            <w:tcBorders>
              <w:top w:val="nil"/>
              <w:left w:val="nil"/>
              <w:bottom w:val="nil"/>
              <w:right w:val="nil"/>
            </w:tcBorders>
          </w:tcPr>
          <w:p w14:paraId="0C179F7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tcPr>
          <w:p w14:paraId="014DA63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vAlign w:val="bottom"/>
          </w:tcPr>
          <w:p w14:paraId="1AEE9434" w14:textId="77777777" w:rsidR="00BE01D4" w:rsidRPr="00470415" w:rsidRDefault="00BE01D4" w:rsidP="00BE01D4">
            <w:pPr>
              <w:pStyle w:val="CommentaryReference"/>
              <w:rPr>
                <w:rFonts w:cs="Calibri"/>
              </w:rPr>
            </w:pPr>
          </w:p>
        </w:tc>
        <w:tc>
          <w:tcPr>
            <w:tcW w:w="1172" w:type="dxa"/>
            <w:tcBorders>
              <w:top w:val="nil"/>
              <w:left w:val="nil"/>
              <w:bottom w:val="nil"/>
              <w:right w:val="nil"/>
            </w:tcBorders>
            <w:vAlign w:val="bottom"/>
          </w:tcPr>
          <w:p w14:paraId="4DB84AE9" w14:textId="77777777" w:rsidR="00BE01D4" w:rsidRPr="00470415" w:rsidRDefault="00BE01D4" w:rsidP="00BE01D4">
            <w:pPr>
              <w:pStyle w:val="CommentaryReference"/>
              <w:rPr>
                <w:rFonts w:cs="Calibri"/>
              </w:rPr>
            </w:pPr>
          </w:p>
        </w:tc>
      </w:tr>
      <w:tr w:rsidR="00BE01D4" w:rsidRPr="00CF7E1B" w14:paraId="0C265070" w14:textId="77777777" w:rsidTr="00A41D42">
        <w:trPr>
          <w:cantSplit/>
          <w:trHeight w:val="23"/>
        </w:trPr>
        <w:tc>
          <w:tcPr>
            <w:tcW w:w="1561" w:type="dxa"/>
            <w:tcBorders>
              <w:top w:val="nil"/>
              <w:left w:val="single" w:sz="2" w:space="0" w:color="auto"/>
              <w:bottom w:val="nil"/>
              <w:right w:val="single" w:sz="2" w:space="0" w:color="auto"/>
            </w:tcBorders>
          </w:tcPr>
          <w:p w14:paraId="6A654E3B"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4B771FB3" w14:textId="450F38A3" w:rsidR="00BE01D4" w:rsidRPr="00470415" w:rsidRDefault="00BE01D4" w:rsidP="00BE01D4">
            <w:pPr>
              <w:pStyle w:val="TableText"/>
              <w:tabs>
                <w:tab w:val="left" w:pos="3306"/>
              </w:tabs>
              <w:rPr>
                <w:rFonts w:cs="Calibri"/>
              </w:rPr>
            </w:pPr>
            <w:r w:rsidRPr="00470415">
              <w:rPr>
                <w:rFonts w:cs="Calibri"/>
              </w:rPr>
              <w:t xml:space="preserve">Investments </w:t>
            </w:r>
          </w:p>
        </w:tc>
        <w:tc>
          <w:tcPr>
            <w:tcW w:w="1028" w:type="dxa"/>
            <w:tcBorders>
              <w:top w:val="nil"/>
              <w:left w:val="nil"/>
              <w:bottom w:val="nil"/>
              <w:right w:val="nil"/>
            </w:tcBorders>
          </w:tcPr>
          <w:p w14:paraId="3407EFF1" w14:textId="28AD57CA" w:rsidR="00BE01D4" w:rsidRPr="00470415" w:rsidRDefault="00BE01D4" w:rsidP="00BE01D4">
            <w:pPr>
              <w:pStyle w:val="TableText"/>
              <w:tabs>
                <w:tab w:val="left" w:pos="3306"/>
              </w:tabs>
              <w:jc w:val="center"/>
              <w:rPr>
                <w:rFonts w:cs="Calibri"/>
                <w:strike/>
              </w:rPr>
            </w:pPr>
            <w:r w:rsidRPr="00470415">
              <w:rPr>
                <w:rFonts w:cs="Calibri"/>
              </w:rPr>
              <w:t>15</w:t>
            </w:r>
          </w:p>
        </w:tc>
        <w:tc>
          <w:tcPr>
            <w:tcW w:w="1275" w:type="dxa"/>
            <w:gridSpan w:val="2"/>
            <w:tcBorders>
              <w:top w:val="nil"/>
              <w:left w:val="nil"/>
              <w:bottom w:val="single" w:sz="2" w:space="0" w:color="auto"/>
              <w:right w:val="nil"/>
            </w:tcBorders>
            <w:vAlign w:val="bottom"/>
          </w:tcPr>
          <w:p w14:paraId="2F8CC931" w14:textId="700D3D15"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470F3212" w14:textId="4C7999C7"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2D00AB24" w14:textId="3EB8A408" w:rsidR="00BE01D4" w:rsidRPr="00470415" w:rsidRDefault="00BE01D4" w:rsidP="00BE01D4">
            <w:pPr>
              <w:pStyle w:val="TableText"/>
              <w:tabs>
                <w:tab w:val="left" w:pos="3306"/>
              </w:tabs>
              <w:jc w:val="right"/>
              <w:rPr>
                <w:rFonts w:cs="Calibri"/>
                <w:strike/>
              </w:rPr>
            </w:pPr>
          </w:p>
        </w:tc>
        <w:tc>
          <w:tcPr>
            <w:tcW w:w="1172" w:type="dxa"/>
            <w:tcBorders>
              <w:top w:val="nil"/>
              <w:left w:val="nil"/>
              <w:bottom w:val="single" w:sz="2" w:space="0" w:color="auto"/>
              <w:right w:val="nil"/>
            </w:tcBorders>
            <w:vAlign w:val="bottom"/>
          </w:tcPr>
          <w:p w14:paraId="0DB24C50" w14:textId="3BA4DCD5" w:rsidR="00BE01D4" w:rsidRPr="00470415" w:rsidRDefault="00BE01D4" w:rsidP="00BE01D4">
            <w:pPr>
              <w:pStyle w:val="TableText"/>
              <w:tabs>
                <w:tab w:val="left" w:pos="3306"/>
              </w:tabs>
              <w:jc w:val="right"/>
              <w:rPr>
                <w:rFonts w:cs="Calibri"/>
                <w:strike/>
              </w:rPr>
            </w:pPr>
          </w:p>
        </w:tc>
      </w:tr>
      <w:tr w:rsidR="00BE01D4" w:rsidRPr="00CF7E1B" w14:paraId="5607A486" w14:textId="77777777" w:rsidTr="00A41D42">
        <w:trPr>
          <w:cantSplit/>
          <w:trHeight w:val="23"/>
        </w:trPr>
        <w:tc>
          <w:tcPr>
            <w:tcW w:w="1561" w:type="dxa"/>
            <w:tcBorders>
              <w:top w:val="nil"/>
              <w:left w:val="single" w:sz="2" w:space="0" w:color="auto"/>
              <w:bottom w:val="nil"/>
              <w:right w:val="single" w:sz="2" w:space="0" w:color="auto"/>
            </w:tcBorders>
          </w:tcPr>
          <w:p w14:paraId="55CFAEA2"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1B6B629B" w14:textId="77777777" w:rsidR="00BE01D4" w:rsidRPr="00470415" w:rsidRDefault="00BE01D4" w:rsidP="00BE01D4">
            <w:pPr>
              <w:pStyle w:val="TableText"/>
              <w:tabs>
                <w:tab w:val="left" w:pos="3306"/>
              </w:tabs>
              <w:rPr>
                <w:rFonts w:cs="Calibri"/>
                <w:b/>
                <w:bCs/>
              </w:rPr>
            </w:pPr>
            <w:r w:rsidRPr="00470415">
              <w:rPr>
                <w:rFonts w:cs="Calibri"/>
                <w:b/>
                <w:bCs/>
              </w:rPr>
              <w:t>Total Financial Assets</w:t>
            </w:r>
          </w:p>
        </w:tc>
        <w:tc>
          <w:tcPr>
            <w:tcW w:w="1028" w:type="dxa"/>
            <w:tcBorders>
              <w:top w:val="nil"/>
              <w:left w:val="nil"/>
              <w:bottom w:val="nil"/>
              <w:right w:val="nil"/>
            </w:tcBorders>
          </w:tcPr>
          <w:p w14:paraId="01B2A16A" w14:textId="77777777" w:rsidR="00BE01D4" w:rsidRPr="00470415" w:rsidRDefault="00BE01D4" w:rsidP="00BE01D4">
            <w:pPr>
              <w:pStyle w:val="TableText"/>
              <w:tabs>
                <w:tab w:val="left" w:pos="3306"/>
              </w:tabs>
              <w:jc w:val="center"/>
              <w:rPr>
                <w:rFonts w:cs="Calibri"/>
                <w:b/>
                <w:bCs/>
              </w:rPr>
            </w:pPr>
          </w:p>
        </w:tc>
        <w:tc>
          <w:tcPr>
            <w:tcW w:w="1275" w:type="dxa"/>
            <w:gridSpan w:val="2"/>
            <w:tcBorders>
              <w:top w:val="single" w:sz="2" w:space="0" w:color="auto"/>
              <w:left w:val="nil"/>
              <w:bottom w:val="double" w:sz="4" w:space="0" w:color="auto"/>
              <w:right w:val="nil"/>
            </w:tcBorders>
          </w:tcPr>
          <w:p w14:paraId="3CE70F76" w14:textId="26248BB1"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tcPr>
          <w:p w14:paraId="0749054E" w14:textId="3E1AD32F"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vAlign w:val="bottom"/>
          </w:tcPr>
          <w:p w14:paraId="175D26E1" w14:textId="5A565C2B" w:rsidR="00BE01D4" w:rsidRPr="00470415" w:rsidRDefault="00BE01D4" w:rsidP="00BE01D4">
            <w:pPr>
              <w:pStyle w:val="TableText"/>
              <w:tabs>
                <w:tab w:val="left" w:pos="3306"/>
              </w:tabs>
              <w:jc w:val="right"/>
              <w:rPr>
                <w:rFonts w:cs="Calibri"/>
                <w:b/>
                <w:bCs/>
              </w:rPr>
            </w:pPr>
          </w:p>
        </w:tc>
        <w:tc>
          <w:tcPr>
            <w:tcW w:w="1172" w:type="dxa"/>
            <w:tcBorders>
              <w:top w:val="single" w:sz="2" w:space="0" w:color="auto"/>
              <w:left w:val="nil"/>
              <w:bottom w:val="double" w:sz="4" w:space="0" w:color="auto"/>
              <w:right w:val="nil"/>
            </w:tcBorders>
            <w:vAlign w:val="bottom"/>
          </w:tcPr>
          <w:p w14:paraId="6BA93949" w14:textId="77001C9B" w:rsidR="00BE01D4" w:rsidRPr="00470415" w:rsidRDefault="00BE01D4" w:rsidP="00BE01D4">
            <w:pPr>
              <w:pStyle w:val="TableText"/>
              <w:tabs>
                <w:tab w:val="left" w:pos="3306"/>
              </w:tabs>
              <w:jc w:val="right"/>
              <w:rPr>
                <w:rFonts w:cs="Calibri"/>
                <w:b/>
                <w:bCs/>
              </w:rPr>
            </w:pPr>
          </w:p>
        </w:tc>
      </w:tr>
      <w:tr w:rsidR="00470415" w:rsidRPr="00470415" w14:paraId="3372B4A1"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171D143C" w14:textId="407E5927" w:rsidR="00B44DA7" w:rsidRPr="00470415" w:rsidRDefault="00416D13" w:rsidP="00B44DA7">
            <w:pPr>
              <w:pStyle w:val="TableReference"/>
              <w:tabs>
                <w:tab w:val="left" w:pos="3306"/>
              </w:tabs>
              <w:spacing w:before="240"/>
              <w:rPr>
                <w:rFonts w:cs="Calibri"/>
                <w:color w:val="7030A0"/>
                <w:sz w:val="14"/>
              </w:rPr>
            </w:pPr>
            <w:r>
              <w:rPr>
                <w:b/>
                <w:bCs/>
              </w:rPr>
              <w:br w:type="page"/>
            </w:r>
          </w:p>
        </w:tc>
        <w:tc>
          <w:tcPr>
            <w:tcW w:w="8932" w:type="dxa"/>
            <w:gridSpan w:val="10"/>
            <w:tcBorders>
              <w:top w:val="nil"/>
              <w:left w:val="single" w:sz="2" w:space="0" w:color="auto"/>
              <w:bottom w:val="nil"/>
              <w:right w:val="nil"/>
            </w:tcBorders>
            <w:vAlign w:val="bottom"/>
          </w:tcPr>
          <w:p w14:paraId="519DF2A6" w14:textId="77777777" w:rsidR="00B44DA7" w:rsidRPr="00470415" w:rsidRDefault="00B44DA7" w:rsidP="00BB2E31">
            <w:pPr>
              <w:pStyle w:val="TableTitle"/>
              <w:tabs>
                <w:tab w:val="left" w:pos="3306"/>
              </w:tabs>
              <w:jc w:val="left"/>
              <w:rPr>
                <w:rFonts w:cs="Calibri"/>
              </w:rPr>
            </w:pPr>
            <w:r w:rsidRPr="00470415">
              <w:rPr>
                <w:rFonts w:cs="Calibri"/>
              </w:rPr>
              <w:t>Fair Value Hierarchy</w:t>
            </w:r>
            <w:r w:rsidR="00506EA7" w:rsidRPr="00470415">
              <w:rPr>
                <w:rFonts w:cs="Calibri"/>
              </w:rPr>
              <w:t xml:space="preserve"> </w:t>
            </w:r>
          </w:p>
        </w:tc>
      </w:tr>
      <w:tr w:rsidR="00470415" w:rsidRPr="00470415" w14:paraId="02504917" w14:textId="77777777" w:rsidTr="00A41D42">
        <w:tblPrEx>
          <w:jc w:val="right"/>
          <w:tblInd w:w="0" w:type="dxa"/>
        </w:tblPrEx>
        <w:trPr>
          <w:cantSplit/>
          <w:trHeight w:val="796"/>
          <w:jc w:val="right"/>
        </w:trPr>
        <w:tc>
          <w:tcPr>
            <w:tcW w:w="1561" w:type="dxa"/>
            <w:tcBorders>
              <w:top w:val="nil"/>
              <w:left w:val="single" w:sz="2" w:space="0" w:color="auto"/>
              <w:bottom w:val="nil"/>
              <w:right w:val="single" w:sz="2" w:space="0" w:color="auto"/>
            </w:tcBorders>
          </w:tcPr>
          <w:p w14:paraId="5324BEDF" w14:textId="77777777" w:rsidR="00682C7B" w:rsidRPr="00470415" w:rsidRDefault="00682C7B" w:rsidP="00E95202">
            <w:pPr>
              <w:pStyle w:val="TableReference"/>
              <w:tabs>
                <w:tab w:val="left" w:pos="3306"/>
              </w:tabs>
              <w:spacing w:before="40"/>
              <w:rPr>
                <w:rFonts w:cs="Calibri"/>
                <w:color w:val="7030A0"/>
                <w:sz w:val="14"/>
              </w:rPr>
            </w:pPr>
            <w:r w:rsidRPr="00470415">
              <w:rPr>
                <w:rFonts w:cs="Calibri"/>
                <w:color w:val="7030A0"/>
                <w:sz w:val="14"/>
              </w:rPr>
              <w:t>AASB 7.29(a)</w:t>
            </w:r>
          </w:p>
        </w:tc>
        <w:tc>
          <w:tcPr>
            <w:tcW w:w="8932" w:type="dxa"/>
            <w:gridSpan w:val="10"/>
            <w:tcBorders>
              <w:top w:val="nil"/>
              <w:left w:val="single" w:sz="2" w:space="0" w:color="auto"/>
              <w:bottom w:val="nil"/>
              <w:right w:val="nil"/>
            </w:tcBorders>
          </w:tcPr>
          <w:p w14:paraId="43BB44EE" w14:textId="55B2F08C" w:rsidR="00E87D49" w:rsidRPr="00470415" w:rsidRDefault="00E87D49" w:rsidP="00C6573A">
            <w:pPr>
              <w:pStyle w:val="TableTitle"/>
              <w:tabs>
                <w:tab w:val="left" w:pos="3306"/>
              </w:tabs>
              <w:jc w:val="both"/>
              <w:rPr>
                <w:rFonts w:cs="Calibri"/>
              </w:rPr>
            </w:pPr>
            <w:r w:rsidRPr="00470415">
              <w:rPr>
                <w:rFonts w:cs="Calibri"/>
                <w:b w:val="0"/>
                <w:bCs w:val="0"/>
              </w:rPr>
              <w:t xml:space="preserve">The carrying amount of financial assets measured at fair value are summarised in the table below. </w:t>
            </w:r>
            <w:r w:rsidRPr="00470415">
              <w:rPr>
                <w:rFonts w:cs="Calibri"/>
                <w:b w:val="0"/>
              </w:rPr>
              <w:t>All other financial assets and liabilities are measured, subsequent to initial recognition, at amortised cost and as such are not included in the table below.</w:t>
            </w:r>
          </w:p>
        </w:tc>
      </w:tr>
      <w:tr w:rsidR="00A41D42" w:rsidRPr="00470415" w14:paraId="3DBF84DF" w14:textId="77777777" w:rsidTr="00A41D42">
        <w:tblPrEx>
          <w:jc w:val="right"/>
          <w:tblInd w:w="0" w:type="dxa"/>
        </w:tblPrEx>
        <w:trPr>
          <w:cantSplit/>
          <w:trHeight w:val="392"/>
          <w:jc w:val="right"/>
        </w:trPr>
        <w:tc>
          <w:tcPr>
            <w:tcW w:w="1561" w:type="dxa"/>
            <w:tcBorders>
              <w:top w:val="nil"/>
              <w:left w:val="single" w:sz="2" w:space="0" w:color="auto"/>
              <w:bottom w:val="nil"/>
              <w:right w:val="single" w:sz="2" w:space="0" w:color="auto"/>
            </w:tcBorders>
          </w:tcPr>
          <w:p w14:paraId="62CC559E" w14:textId="7D2A82D4" w:rsidR="00A41D42" w:rsidRPr="00A41D42" w:rsidRDefault="00A41D42" w:rsidP="00A41D42">
            <w:pPr>
              <w:pStyle w:val="TableReference"/>
              <w:tabs>
                <w:tab w:val="left" w:pos="3306"/>
              </w:tabs>
              <w:spacing w:before="240" w:after="240"/>
              <w:rPr>
                <w:rFonts w:cs="Calibri"/>
                <w:b/>
                <w:bCs/>
                <w:color w:val="7030A0"/>
                <w:sz w:val="22"/>
                <w:szCs w:val="22"/>
              </w:rPr>
            </w:pPr>
            <w:r w:rsidRPr="00A41D42">
              <w:rPr>
                <w:rFonts w:cs="Calibri"/>
                <w:b/>
                <w:bCs/>
                <w:color w:val="7030A0"/>
                <w:sz w:val="22"/>
                <w:szCs w:val="22"/>
              </w:rPr>
              <w:br w:type="page"/>
              <w:t>Reference</w:t>
            </w:r>
          </w:p>
        </w:tc>
        <w:tc>
          <w:tcPr>
            <w:tcW w:w="8932" w:type="dxa"/>
            <w:gridSpan w:val="10"/>
            <w:tcBorders>
              <w:top w:val="nil"/>
              <w:left w:val="single" w:sz="2" w:space="0" w:color="auto"/>
              <w:bottom w:val="nil"/>
              <w:right w:val="nil"/>
            </w:tcBorders>
            <w:vAlign w:val="bottom"/>
          </w:tcPr>
          <w:p w14:paraId="53FD76B3" w14:textId="62EA001E" w:rsidR="00A41D42" w:rsidRPr="00470415" w:rsidRDefault="00A41D42" w:rsidP="00A41D42">
            <w:pPr>
              <w:pStyle w:val="TableTitle"/>
              <w:tabs>
                <w:tab w:val="left" w:pos="3306"/>
              </w:tabs>
              <w:spacing w:before="240" w:after="240"/>
              <w:jc w:val="both"/>
              <w:rPr>
                <w:rFonts w:cs="Calibri"/>
                <w:b w:val="0"/>
                <w:bCs w:val="0"/>
              </w:rPr>
            </w:pPr>
            <w:r w:rsidRPr="00470415">
              <w:rPr>
                <w:rFonts w:ascii="Arial" w:hAnsi="Arial" w:cs="Arial"/>
                <w:sz w:val="32"/>
                <w:szCs w:val="32"/>
              </w:rPr>
              <w:t>NOTE 31.</w:t>
            </w:r>
            <w:r>
              <w:rPr>
                <w:rFonts w:ascii="Arial" w:hAnsi="Arial" w:cs="Arial"/>
                <w:sz w:val="32"/>
                <w:szCs w:val="32"/>
              </w:rPr>
              <w:t xml:space="preserve"> </w:t>
            </w:r>
            <w:r w:rsidRPr="00470415">
              <w:rPr>
                <w:rFonts w:ascii="Arial" w:hAnsi="Arial" w:cs="Arial"/>
                <w:sz w:val="32"/>
                <w:szCs w:val="32"/>
              </w:rPr>
              <w:t xml:space="preserve"> FINANCIAL INSTRUMENTS – CONTINUED</w:t>
            </w:r>
          </w:p>
        </w:tc>
      </w:tr>
      <w:tr w:rsidR="00A41D42" w:rsidRPr="00470415" w14:paraId="73F7C186"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D1096AD" w14:textId="77777777" w:rsidR="00A41D42" w:rsidRPr="00470415" w:rsidRDefault="00A41D42" w:rsidP="00A41D42">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607141D7" w14:textId="77777777" w:rsidR="00A41D42" w:rsidRPr="00470415" w:rsidRDefault="00A41D42" w:rsidP="00A41D42">
            <w:pPr>
              <w:pStyle w:val="TableTitle"/>
              <w:tabs>
                <w:tab w:val="left" w:pos="3306"/>
              </w:tabs>
              <w:rPr>
                <w:rFonts w:cs="Calibri"/>
              </w:rPr>
            </w:pPr>
          </w:p>
        </w:tc>
      </w:tr>
      <w:tr w:rsidR="00A41D42" w:rsidRPr="00470415" w14:paraId="448B0E90"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2C82B84"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543A27EA" w14:textId="0392DE57" w:rsidR="00A41D42" w:rsidRPr="00470415" w:rsidRDefault="00A41D42" w:rsidP="00A41D42">
            <w:pPr>
              <w:pStyle w:val="TableTitle"/>
              <w:tabs>
                <w:tab w:val="left" w:pos="3306"/>
              </w:tabs>
              <w:jc w:val="left"/>
              <w:rPr>
                <w:rFonts w:cs="Calibri"/>
              </w:rPr>
            </w:pPr>
          </w:p>
        </w:tc>
        <w:tc>
          <w:tcPr>
            <w:tcW w:w="3119" w:type="dxa"/>
            <w:gridSpan w:val="4"/>
            <w:tcBorders>
              <w:top w:val="nil"/>
              <w:left w:val="nil"/>
              <w:bottom w:val="single" w:sz="4" w:space="0" w:color="auto"/>
              <w:right w:val="nil"/>
            </w:tcBorders>
            <w:vAlign w:val="bottom"/>
          </w:tcPr>
          <w:p w14:paraId="561A285B" w14:textId="4149AFD7" w:rsidR="00A41D42" w:rsidRPr="00470415" w:rsidRDefault="00A41D42" w:rsidP="00A41D42">
            <w:pPr>
              <w:pStyle w:val="TableTitle"/>
              <w:tabs>
                <w:tab w:val="left" w:pos="3306"/>
              </w:tabs>
              <w:jc w:val="center"/>
              <w:rPr>
                <w:rFonts w:cs="Calibri"/>
              </w:rPr>
            </w:pPr>
            <w:r w:rsidRPr="00470415">
              <w:rPr>
                <w:rFonts w:cs="Calibri"/>
              </w:rPr>
              <w:t>Classification According to the Fair Value Hierarchy</w:t>
            </w:r>
          </w:p>
        </w:tc>
      </w:tr>
      <w:tr w:rsidR="00A41D42" w:rsidRPr="00470415" w14:paraId="6F9A4C26"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5BA8C8C"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00AE8F5C" w14:textId="77777777" w:rsidR="00A41D42" w:rsidRPr="00470415" w:rsidRDefault="00A41D42" w:rsidP="00A41D42">
            <w:pPr>
              <w:pStyle w:val="TableTitle"/>
              <w:tabs>
                <w:tab w:val="left" w:pos="3306"/>
              </w:tabs>
              <w:rPr>
                <w:rFonts w:cs="Calibri"/>
              </w:rPr>
            </w:pPr>
          </w:p>
        </w:tc>
        <w:tc>
          <w:tcPr>
            <w:tcW w:w="1560" w:type="dxa"/>
            <w:gridSpan w:val="2"/>
            <w:tcBorders>
              <w:top w:val="single" w:sz="4" w:space="0" w:color="auto"/>
              <w:left w:val="nil"/>
              <w:bottom w:val="nil"/>
              <w:right w:val="nil"/>
            </w:tcBorders>
            <w:vAlign w:val="bottom"/>
          </w:tcPr>
          <w:p w14:paraId="1F842855" w14:textId="77777777" w:rsidR="00A41D42" w:rsidRPr="00470415" w:rsidRDefault="00A41D42" w:rsidP="00A41D42">
            <w:pPr>
              <w:pStyle w:val="TableTitle"/>
              <w:tabs>
                <w:tab w:val="left" w:pos="3306"/>
              </w:tabs>
              <w:rPr>
                <w:rFonts w:cs="Calibri"/>
              </w:rPr>
            </w:pPr>
            <w:r w:rsidRPr="00470415">
              <w:rPr>
                <w:rFonts w:cs="Calibri"/>
              </w:rPr>
              <w:t>Level 2</w:t>
            </w:r>
          </w:p>
          <w:p w14:paraId="2C0C02D9" w14:textId="77777777" w:rsidR="00A41D42" w:rsidRPr="00470415" w:rsidRDefault="00A41D42" w:rsidP="00A41D42">
            <w:pPr>
              <w:pStyle w:val="TableTitle"/>
              <w:tabs>
                <w:tab w:val="left" w:pos="3306"/>
              </w:tabs>
              <w:rPr>
                <w:rFonts w:cs="Calibri"/>
              </w:rPr>
            </w:pPr>
            <w:r w:rsidRPr="00470415">
              <w:rPr>
                <w:rFonts w:cs="Calibri"/>
              </w:rPr>
              <w:t>$’000</w:t>
            </w:r>
          </w:p>
        </w:tc>
        <w:tc>
          <w:tcPr>
            <w:tcW w:w="1559" w:type="dxa"/>
            <w:gridSpan w:val="2"/>
            <w:tcBorders>
              <w:top w:val="single" w:sz="4" w:space="0" w:color="auto"/>
              <w:left w:val="nil"/>
              <w:bottom w:val="nil"/>
              <w:right w:val="nil"/>
            </w:tcBorders>
            <w:vAlign w:val="bottom"/>
          </w:tcPr>
          <w:p w14:paraId="512D09C4" w14:textId="77777777" w:rsidR="00A41D42" w:rsidRPr="00470415" w:rsidRDefault="00A41D42" w:rsidP="00A41D42">
            <w:pPr>
              <w:pStyle w:val="TableTitle"/>
              <w:tabs>
                <w:tab w:val="left" w:pos="3306"/>
              </w:tabs>
              <w:rPr>
                <w:rFonts w:cs="Calibri"/>
              </w:rPr>
            </w:pPr>
            <w:r w:rsidRPr="00470415">
              <w:rPr>
                <w:rFonts w:cs="Calibri"/>
              </w:rPr>
              <w:t>Total</w:t>
            </w:r>
          </w:p>
          <w:p w14:paraId="47DC75A6" w14:textId="77777777" w:rsidR="00A41D42" w:rsidRPr="00470415" w:rsidRDefault="00A41D42" w:rsidP="00A41D42">
            <w:pPr>
              <w:pStyle w:val="TableTitle"/>
              <w:tabs>
                <w:tab w:val="left" w:pos="3306"/>
              </w:tabs>
              <w:rPr>
                <w:rFonts w:cs="Calibri"/>
              </w:rPr>
            </w:pPr>
            <w:r w:rsidRPr="00470415">
              <w:rPr>
                <w:rFonts w:cs="Calibri"/>
              </w:rPr>
              <w:t>$’000</w:t>
            </w:r>
          </w:p>
        </w:tc>
      </w:tr>
      <w:tr w:rsidR="00A41D42" w:rsidRPr="00470415" w14:paraId="5EA05C62"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78616B29"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4C590033" w14:textId="784E774F" w:rsidR="00A41D42" w:rsidRPr="00470415" w:rsidRDefault="00A41D42" w:rsidP="00A41D42">
            <w:pPr>
              <w:pStyle w:val="TableTitle"/>
              <w:tabs>
                <w:tab w:val="left" w:pos="3306"/>
              </w:tabs>
              <w:jc w:val="left"/>
              <w:rPr>
                <w:rFonts w:cs="Calibri"/>
              </w:rPr>
            </w:pPr>
            <w:r w:rsidRPr="00470415">
              <w:rPr>
                <w:rFonts w:cs="Calibri"/>
              </w:rPr>
              <w:t>202</w:t>
            </w:r>
            <w:r>
              <w:rPr>
                <w:rFonts w:cs="Calibri"/>
              </w:rPr>
              <w:t>3</w:t>
            </w:r>
          </w:p>
        </w:tc>
        <w:tc>
          <w:tcPr>
            <w:tcW w:w="1560" w:type="dxa"/>
            <w:gridSpan w:val="2"/>
            <w:tcBorders>
              <w:top w:val="nil"/>
              <w:left w:val="nil"/>
              <w:bottom w:val="nil"/>
              <w:right w:val="nil"/>
            </w:tcBorders>
            <w:vAlign w:val="bottom"/>
          </w:tcPr>
          <w:p w14:paraId="251B9710" w14:textId="77777777" w:rsidR="00A41D42" w:rsidRPr="00470415" w:rsidRDefault="00A41D42" w:rsidP="00A41D42">
            <w:pPr>
              <w:pStyle w:val="TableTitle"/>
              <w:tabs>
                <w:tab w:val="left" w:pos="3306"/>
              </w:tabs>
              <w:rPr>
                <w:rFonts w:cs="Calibri"/>
              </w:rPr>
            </w:pPr>
          </w:p>
        </w:tc>
        <w:tc>
          <w:tcPr>
            <w:tcW w:w="1559" w:type="dxa"/>
            <w:gridSpan w:val="2"/>
            <w:tcBorders>
              <w:top w:val="nil"/>
              <w:left w:val="nil"/>
              <w:bottom w:val="nil"/>
              <w:right w:val="nil"/>
            </w:tcBorders>
            <w:vAlign w:val="bottom"/>
          </w:tcPr>
          <w:p w14:paraId="57E7471F" w14:textId="77777777" w:rsidR="00A41D42" w:rsidRPr="00470415" w:rsidRDefault="00A41D42" w:rsidP="00A41D42">
            <w:pPr>
              <w:pStyle w:val="TableTitle"/>
              <w:tabs>
                <w:tab w:val="left" w:pos="3306"/>
              </w:tabs>
              <w:rPr>
                <w:rFonts w:cs="Calibri"/>
              </w:rPr>
            </w:pPr>
          </w:p>
        </w:tc>
      </w:tr>
      <w:tr w:rsidR="00A41D42" w:rsidRPr="00470415" w14:paraId="70A40AE4"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D684EC2"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5A2332D" w14:textId="77777777" w:rsidR="00A41D42" w:rsidRPr="00470415" w:rsidRDefault="00A41D42" w:rsidP="00A41D42">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090FDD90" w14:textId="77777777" w:rsidR="00A41D42" w:rsidRPr="00470415" w:rsidRDefault="00A41D42" w:rsidP="00A41D42">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31194A" w14:textId="77777777" w:rsidR="00A41D42" w:rsidRPr="00470415" w:rsidRDefault="00A41D42" w:rsidP="00A41D42">
            <w:pPr>
              <w:pStyle w:val="TableText"/>
              <w:tabs>
                <w:tab w:val="left" w:pos="3306"/>
              </w:tabs>
              <w:jc w:val="right"/>
              <w:rPr>
                <w:rFonts w:cs="Calibri"/>
              </w:rPr>
            </w:pPr>
          </w:p>
        </w:tc>
      </w:tr>
      <w:tr w:rsidR="00A41D42" w:rsidRPr="00470415" w14:paraId="2B27A5A1"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6042B2F4"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9D82AA8" w14:textId="77777777" w:rsidR="00A41D42" w:rsidRPr="00470415" w:rsidRDefault="00A41D42" w:rsidP="00A41D42">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37CAE03C" w14:textId="77777777" w:rsidR="00A41D42" w:rsidRPr="00470415" w:rsidRDefault="00A41D42" w:rsidP="00A41D42">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65633CFD" w14:textId="77777777" w:rsidR="00A41D42" w:rsidRPr="00470415" w:rsidRDefault="00A41D42" w:rsidP="00A41D42">
            <w:pPr>
              <w:pStyle w:val="TableText"/>
              <w:tabs>
                <w:tab w:val="left" w:pos="3306"/>
              </w:tabs>
              <w:jc w:val="right"/>
              <w:rPr>
                <w:rFonts w:cs="Calibri"/>
              </w:rPr>
            </w:pPr>
          </w:p>
        </w:tc>
      </w:tr>
      <w:tr w:rsidR="00A41D42" w:rsidRPr="00470415" w14:paraId="576C75B3"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B09E4A9" w14:textId="77777777" w:rsidR="00A41D42" w:rsidRPr="00470415" w:rsidRDefault="00A41D42" w:rsidP="00A41D42">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tcPr>
          <w:p w14:paraId="3595F2B3" w14:textId="49DCBBA6" w:rsidR="00A41D42" w:rsidRPr="00470415" w:rsidRDefault="00A41D42" w:rsidP="00A41D42">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2DEC9232" w14:textId="29BEE46E" w:rsidR="00A41D42" w:rsidRPr="00470415" w:rsidRDefault="00A41D42" w:rsidP="00A41D42">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19E73F1A" w14:textId="603343DA" w:rsidR="00A41D42" w:rsidRPr="00470415" w:rsidRDefault="00A41D42" w:rsidP="00A41D42">
            <w:pPr>
              <w:pStyle w:val="TableText"/>
              <w:tabs>
                <w:tab w:val="left" w:pos="3306"/>
              </w:tabs>
              <w:jc w:val="right"/>
              <w:rPr>
                <w:rFonts w:cs="Calibri"/>
                <w:strike/>
              </w:rPr>
            </w:pPr>
          </w:p>
        </w:tc>
      </w:tr>
      <w:tr w:rsidR="00A41D42" w:rsidRPr="00470415" w14:paraId="228D8541"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C26844F"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CAEA6B5" w14:textId="2406339D" w:rsidR="00A41D42" w:rsidRPr="00DE1E5D" w:rsidRDefault="00A41D42" w:rsidP="00A41D42">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1D5D9E22" w14:textId="2801C64C" w:rsidR="00A41D42" w:rsidRPr="00470415" w:rsidRDefault="00A41D42" w:rsidP="00A41D42">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23DAF8F5" w14:textId="43ABCA60" w:rsidR="00A41D42" w:rsidRPr="00470415" w:rsidRDefault="00A41D42" w:rsidP="00A41D42">
            <w:pPr>
              <w:pStyle w:val="TableText"/>
              <w:tabs>
                <w:tab w:val="left" w:pos="3306"/>
              </w:tabs>
              <w:jc w:val="right"/>
              <w:rPr>
                <w:rFonts w:cs="Calibri"/>
                <w:strike/>
              </w:rPr>
            </w:pPr>
          </w:p>
        </w:tc>
      </w:tr>
      <w:tr w:rsidR="00A41D42" w:rsidRPr="00470415" w14:paraId="5A497781"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A3DD592" w14:textId="77777777" w:rsidR="00A41D42" w:rsidRPr="00470415" w:rsidRDefault="00A41D42" w:rsidP="00A41D42">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21371C68" w14:textId="77777777" w:rsidR="00A41D42" w:rsidRPr="00470415" w:rsidRDefault="00A41D42" w:rsidP="00A41D42">
            <w:pPr>
              <w:pStyle w:val="TableText"/>
              <w:tabs>
                <w:tab w:val="left" w:pos="3306"/>
              </w:tabs>
              <w:jc w:val="right"/>
              <w:rPr>
                <w:rFonts w:cs="Calibri"/>
              </w:rPr>
            </w:pPr>
          </w:p>
        </w:tc>
      </w:tr>
      <w:tr w:rsidR="00A41D42" w:rsidRPr="00470415" w14:paraId="2493D4A7"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F7A72C5"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791C06A" w14:textId="4E222BAA" w:rsidR="00A41D42" w:rsidRPr="00470415" w:rsidRDefault="00A41D42" w:rsidP="00A41D42">
            <w:pPr>
              <w:pStyle w:val="TableTitle"/>
              <w:tabs>
                <w:tab w:val="left" w:pos="3306"/>
              </w:tabs>
              <w:jc w:val="left"/>
              <w:rPr>
                <w:rFonts w:cs="Calibri"/>
              </w:rPr>
            </w:pPr>
            <w:r w:rsidRPr="00470415">
              <w:rPr>
                <w:rFonts w:cs="Calibri"/>
              </w:rPr>
              <w:t>202</w:t>
            </w:r>
            <w:r>
              <w:rPr>
                <w:rFonts w:cs="Calibri"/>
              </w:rPr>
              <w:t>2</w:t>
            </w:r>
          </w:p>
        </w:tc>
        <w:tc>
          <w:tcPr>
            <w:tcW w:w="3119" w:type="dxa"/>
            <w:gridSpan w:val="4"/>
            <w:tcBorders>
              <w:top w:val="nil"/>
              <w:left w:val="nil"/>
              <w:bottom w:val="nil"/>
              <w:right w:val="nil"/>
            </w:tcBorders>
            <w:vAlign w:val="bottom"/>
          </w:tcPr>
          <w:p w14:paraId="1D8F7BFA" w14:textId="77777777" w:rsidR="00A41D42" w:rsidRPr="00470415" w:rsidRDefault="00A41D42" w:rsidP="00A41D42">
            <w:pPr>
              <w:pStyle w:val="TableTitle"/>
              <w:tabs>
                <w:tab w:val="left" w:pos="3306"/>
              </w:tabs>
              <w:jc w:val="center"/>
              <w:rPr>
                <w:rFonts w:cs="Calibri"/>
                <w:strike/>
              </w:rPr>
            </w:pPr>
          </w:p>
        </w:tc>
      </w:tr>
      <w:tr w:rsidR="00A41D42" w:rsidRPr="007E1584" w14:paraId="0C99FD4D"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651D24C"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1BFDA054" w14:textId="77777777" w:rsidR="00A41D42" w:rsidRPr="00470415" w:rsidRDefault="00A41D42" w:rsidP="00A41D42">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4E0220DE" w14:textId="77777777" w:rsidR="00A41D42" w:rsidRPr="00470415" w:rsidRDefault="00A41D42" w:rsidP="00A41D42">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B3BC3D" w14:textId="77777777" w:rsidR="00A41D42" w:rsidRPr="00470415" w:rsidRDefault="00A41D42" w:rsidP="00A41D42">
            <w:pPr>
              <w:pStyle w:val="TableText"/>
              <w:tabs>
                <w:tab w:val="left" w:pos="3306"/>
              </w:tabs>
              <w:jc w:val="right"/>
              <w:rPr>
                <w:rFonts w:cs="Calibri"/>
              </w:rPr>
            </w:pPr>
          </w:p>
        </w:tc>
      </w:tr>
      <w:tr w:rsidR="00A41D42" w:rsidRPr="007E1584" w14:paraId="27599973"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A9735F6"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65FDE0AD" w14:textId="77777777" w:rsidR="00A41D42" w:rsidRPr="00470415" w:rsidRDefault="00A41D42" w:rsidP="00A41D42">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60A8ADD1" w14:textId="77777777" w:rsidR="00A41D42" w:rsidRPr="00470415" w:rsidRDefault="00A41D42" w:rsidP="00A41D42">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211CF8" w14:textId="77777777" w:rsidR="00A41D42" w:rsidRPr="00470415" w:rsidRDefault="00A41D42" w:rsidP="00A41D42">
            <w:pPr>
              <w:pStyle w:val="TableText"/>
              <w:tabs>
                <w:tab w:val="left" w:pos="3306"/>
              </w:tabs>
              <w:rPr>
                <w:rFonts w:cs="Calibri"/>
              </w:rPr>
            </w:pPr>
          </w:p>
        </w:tc>
      </w:tr>
      <w:tr w:rsidR="00A41D42" w:rsidRPr="007E1584" w14:paraId="3CD10616"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3360A4EC" w14:textId="145E2DB7" w:rsidR="00A41D42" w:rsidRPr="00470415" w:rsidRDefault="00A41D42" w:rsidP="00A41D42">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vAlign w:val="bottom"/>
          </w:tcPr>
          <w:p w14:paraId="1DA3CAE7" w14:textId="2EBFC787" w:rsidR="00A41D42" w:rsidRPr="00470415" w:rsidRDefault="00A41D42" w:rsidP="00A41D42">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69EE3146" w14:textId="48C155C3" w:rsidR="00A41D42" w:rsidRPr="00470415" w:rsidRDefault="00A41D42" w:rsidP="00A41D42">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71E53BA5" w14:textId="77777777" w:rsidR="00A41D42" w:rsidRPr="00470415" w:rsidRDefault="00A41D42" w:rsidP="00A41D42">
            <w:pPr>
              <w:pStyle w:val="TableText"/>
              <w:tabs>
                <w:tab w:val="left" w:pos="3306"/>
              </w:tabs>
              <w:jc w:val="right"/>
              <w:rPr>
                <w:rFonts w:cs="Calibri"/>
              </w:rPr>
            </w:pPr>
          </w:p>
        </w:tc>
      </w:tr>
      <w:tr w:rsidR="00A41D42" w:rsidRPr="007E1584" w14:paraId="2D7192C6" w14:textId="77777777" w:rsidTr="00A41D42">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48FD386" w14:textId="77777777" w:rsidR="00A41D42" w:rsidRPr="00470415" w:rsidRDefault="00A41D42" w:rsidP="00A41D42">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CB2A7A8" w14:textId="10276426" w:rsidR="00A41D42" w:rsidRPr="00DE1E5D" w:rsidRDefault="00A41D42" w:rsidP="00A41D42">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2FACB523" w14:textId="3D400481" w:rsidR="00A41D42" w:rsidRPr="00470415" w:rsidRDefault="00A41D42" w:rsidP="00A41D42">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0FADDCB4" w14:textId="39BA5AF4" w:rsidR="00A41D42" w:rsidRPr="00470415" w:rsidRDefault="00A41D42" w:rsidP="00A41D42">
            <w:pPr>
              <w:pStyle w:val="TableText"/>
              <w:tabs>
                <w:tab w:val="left" w:pos="3306"/>
              </w:tabs>
              <w:jc w:val="right"/>
              <w:rPr>
                <w:rFonts w:cs="Calibri"/>
              </w:rPr>
            </w:pPr>
          </w:p>
        </w:tc>
      </w:tr>
    </w:tbl>
    <w:p w14:paraId="62558A39" w14:textId="77777777" w:rsidR="00914619" w:rsidRPr="007E1584" w:rsidRDefault="00914619">
      <w:pPr>
        <w:rPr>
          <w:rFonts w:cs="Calibri"/>
          <w:b/>
          <w:bCs/>
        </w:rPr>
      </w:pPr>
    </w:p>
    <w:p w14:paraId="06A4A14D" w14:textId="77777777" w:rsidR="00914619" w:rsidRPr="00CF7E1B" w:rsidRDefault="00914619">
      <w:pPr>
        <w:rPr>
          <w:rFonts w:cs="Calibri"/>
          <w:b/>
          <w:bCs/>
        </w:rPr>
        <w:sectPr w:rsidR="00914619" w:rsidRPr="00CF7E1B" w:rsidSect="004514CD">
          <w:footnotePr>
            <w:numRestart w:val="eachPage"/>
          </w:footnotePr>
          <w:pgSz w:w="11907" w:h="16840" w:code="9"/>
          <w:pgMar w:top="567" w:right="680" w:bottom="567" w:left="680" w:header="720" w:footer="720" w:gutter="0"/>
          <w:cols w:space="720"/>
        </w:sectPr>
      </w:pPr>
    </w:p>
    <w:tbl>
      <w:tblPr>
        <w:tblW w:w="1542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2"/>
        <w:gridCol w:w="4021"/>
        <w:gridCol w:w="709"/>
        <w:gridCol w:w="992"/>
        <w:gridCol w:w="1134"/>
        <w:gridCol w:w="1172"/>
        <w:gridCol w:w="1663"/>
        <w:gridCol w:w="1418"/>
        <w:gridCol w:w="1417"/>
        <w:gridCol w:w="1246"/>
      </w:tblGrid>
      <w:tr w:rsidR="000144FF" w:rsidRPr="00CF7E1B" w14:paraId="349A918B" w14:textId="77777777" w:rsidTr="0004564D">
        <w:trPr>
          <w:cantSplit/>
          <w:trHeight w:val="23"/>
        </w:trPr>
        <w:tc>
          <w:tcPr>
            <w:tcW w:w="1652" w:type="dxa"/>
            <w:tcBorders>
              <w:top w:val="nil"/>
              <w:left w:val="single" w:sz="2" w:space="0" w:color="auto"/>
              <w:bottom w:val="nil"/>
              <w:right w:val="single" w:sz="2" w:space="0" w:color="auto"/>
            </w:tcBorders>
          </w:tcPr>
          <w:p w14:paraId="6AFD37C3" w14:textId="77777777" w:rsidR="000144FF" w:rsidRPr="00470415" w:rsidRDefault="007E1584" w:rsidP="00B37875">
            <w:pPr>
              <w:pStyle w:val="TableReference"/>
              <w:tabs>
                <w:tab w:val="left" w:pos="3306"/>
              </w:tabs>
              <w:spacing w:before="240" w:after="240"/>
              <w:rPr>
                <w:rFonts w:cs="Calibri"/>
                <w:b/>
                <w:color w:val="7030A0"/>
                <w:sz w:val="22"/>
                <w:szCs w:val="22"/>
              </w:rPr>
            </w:pPr>
            <w:bookmarkStart w:id="746" w:name="_Hlk90370910"/>
            <w:r w:rsidRPr="00470415">
              <w:rPr>
                <w:rFonts w:cs="Calibri"/>
                <w:b/>
                <w:color w:val="7030A0"/>
                <w:sz w:val="22"/>
                <w:szCs w:val="22"/>
              </w:rPr>
              <w:t>Reference</w:t>
            </w:r>
          </w:p>
        </w:tc>
        <w:tc>
          <w:tcPr>
            <w:tcW w:w="13772" w:type="dxa"/>
            <w:gridSpan w:val="9"/>
            <w:tcBorders>
              <w:top w:val="nil"/>
              <w:left w:val="single" w:sz="2" w:space="0" w:color="auto"/>
              <w:bottom w:val="nil"/>
              <w:right w:val="nil"/>
            </w:tcBorders>
            <w:vAlign w:val="bottom"/>
          </w:tcPr>
          <w:p w14:paraId="0F5114E0" w14:textId="27D74716" w:rsidR="000144FF" w:rsidRPr="00470415" w:rsidRDefault="00B37875" w:rsidP="00B37875">
            <w:pPr>
              <w:spacing w:before="240" w:after="240"/>
              <w:rPr>
                <w:b/>
              </w:rPr>
            </w:pPr>
            <w:r w:rsidRPr="00470415">
              <w:rPr>
                <w:rFonts w:ascii="Arial" w:hAnsi="Arial" w:cs="Arial"/>
                <w:b/>
                <w:sz w:val="32"/>
                <w:szCs w:val="32"/>
              </w:rPr>
              <w:t xml:space="preserve">NOTE </w:t>
            </w:r>
            <w:r w:rsidR="003334D4"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0144FF" w:rsidRPr="00CF7E1B" w14:paraId="38AF557B" w14:textId="77777777" w:rsidTr="0004564D">
        <w:trPr>
          <w:cantSplit/>
          <w:trHeight w:val="23"/>
        </w:trPr>
        <w:tc>
          <w:tcPr>
            <w:tcW w:w="1652" w:type="dxa"/>
            <w:tcBorders>
              <w:top w:val="nil"/>
              <w:left w:val="single" w:sz="2" w:space="0" w:color="auto"/>
              <w:bottom w:val="nil"/>
              <w:right w:val="single" w:sz="2" w:space="0" w:color="auto"/>
            </w:tcBorders>
          </w:tcPr>
          <w:p w14:paraId="28CE55DE" w14:textId="1F0FBE49" w:rsidR="00A0144A" w:rsidRPr="00470415" w:rsidRDefault="002629C0">
            <w:pPr>
              <w:pStyle w:val="TableReference"/>
              <w:tabs>
                <w:tab w:val="left" w:pos="3306"/>
              </w:tabs>
              <w:spacing w:before="40"/>
              <w:rPr>
                <w:rFonts w:cs="Calibri"/>
                <w:color w:val="7030A0"/>
                <w:sz w:val="14"/>
              </w:rPr>
            </w:pPr>
            <w:r w:rsidRPr="00470415">
              <w:rPr>
                <w:rFonts w:cs="Calibri"/>
                <w:color w:val="7030A0"/>
                <w:sz w:val="14"/>
              </w:rPr>
              <w:t>AASB 7.</w:t>
            </w:r>
            <w:r w:rsidR="00AE4817" w:rsidRPr="00470415">
              <w:rPr>
                <w:rFonts w:cs="Calibri"/>
                <w:color w:val="7030A0"/>
                <w:sz w:val="14"/>
              </w:rPr>
              <w:t xml:space="preserve">39(a) </w:t>
            </w:r>
          </w:p>
          <w:p w14:paraId="0EC0ED5C" w14:textId="77777777" w:rsidR="00A0144A" w:rsidRPr="00470415" w:rsidRDefault="00AE4817">
            <w:pPr>
              <w:pStyle w:val="TableReference"/>
              <w:tabs>
                <w:tab w:val="left" w:pos="3306"/>
              </w:tabs>
              <w:spacing w:before="4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3772" w:type="dxa"/>
            <w:gridSpan w:val="9"/>
            <w:tcBorders>
              <w:top w:val="nil"/>
              <w:left w:val="single" w:sz="2" w:space="0" w:color="auto"/>
              <w:bottom w:val="nil"/>
              <w:right w:val="nil"/>
            </w:tcBorders>
            <w:vAlign w:val="bottom"/>
          </w:tcPr>
          <w:p w14:paraId="1A5E8F62" w14:textId="5397FF5A" w:rsidR="000144FF" w:rsidRPr="00470415" w:rsidRDefault="000144FF" w:rsidP="00B37875">
            <w:pPr>
              <w:pStyle w:val="TableText"/>
              <w:spacing w:before="0" w:after="120"/>
              <w:jc w:val="both"/>
              <w:rPr>
                <w:rFonts w:cs="Calibri"/>
              </w:rPr>
            </w:pPr>
            <w:r w:rsidRPr="00470415">
              <w:rPr>
                <w:rFonts w:cs="Calibri"/>
              </w:rPr>
              <w:t>The following table set</w:t>
            </w:r>
            <w:r w:rsidR="00DE1E5D">
              <w:rPr>
                <w:rFonts w:cs="Calibri"/>
              </w:rPr>
              <w:t>s</w:t>
            </w:r>
            <w:r w:rsidRPr="00470415">
              <w:rPr>
                <w:rFonts w:cs="Calibri"/>
              </w:rPr>
              <w:t xml:space="preserve"> out the </w:t>
            </w:r>
            <w:r w:rsidR="00B96D8D" w:rsidRPr="00470415">
              <w:rPr>
                <w:rFonts w:cs="Calibri"/>
              </w:rPr>
              <w:t>Agency</w:t>
            </w:r>
            <w:r w:rsidRPr="00470415">
              <w:rPr>
                <w:rFonts w:cs="Calibri"/>
              </w:rPr>
              <w:t xml:space="preserve">’s </w:t>
            </w:r>
            <w:r w:rsidR="005956AD" w:rsidRPr="00470415">
              <w:rPr>
                <w:rFonts w:cs="Calibri"/>
              </w:rPr>
              <w:t xml:space="preserve">maturity analysis </w:t>
            </w:r>
            <w:r w:rsidR="00AE4817" w:rsidRPr="00470415">
              <w:rPr>
                <w:rFonts w:cs="Calibri"/>
              </w:rPr>
              <w:t xml:space="preserve">for financial liabilities as well as the </w:t>
            </w:r>
            <w:r w:rsidRPr="00470415">
              <w:rPr>
                <w:rFonts w:cs="Calibri"/>
              </w:rPr>
              <w:t>exposure to interest rates, including the weighted average interest rates by maturity period as at 30 June</w:t>
            </w:r>
            <w:r w:rsidR="00663F03" w:rsidRPr="00470415">
              <w:rPr>
                <w:rFonts w:cs="Calibri"/>
              </w:rPr>
              <w:t xml:space="preserve"> </w:t>
            </w:r>
            <w:r w:rsidR="005E3DFA" w:rsidRPr="00470415">
              <w:rPr>
                <w:rFonts w:cs="Calibri"/>
              </w:rPr>
              <w:t>202</w:t>
            </w:r>
            <w:r w:rsidR="00D55D52">
              <w:rPr>
                <w:rFonts w:cs="Calibri"/>
              </w:rPr>
              <w:t>3</w:t>
            </w:r>
            <w:r w:rsidRPr="00470415">
              <w:rPr>
                <w:rFonts w:cs="Calibri"/>
              </w:rPr>
              <w:t>.</w:t>
            </w:r>
            <w:r w:rsidR="00A0144A" w:rsidRPr="00470415">
              <w:rPr>
                <w:rFonts w:cs="Calibri"/>
              </w:rPr>
              <w:t xml:space="preserve"> </w:t>
            </w:r>
            <w:r w:rsidR="000031C3" w:rsidRPr="00470415">
              <w:rPr>
                <w:rFonts w:cs="Calibri"/>
              </w:rPr>
              <w:t>Except for</w:t>
            </w:r>
            <w:r w:rsidR="00496D98" w:rsidRPr="00470415">
              <w:rPr>
                <w:rFonts w:cs="Calibri"/>
              </w:rPr>
              <w:t xml:space="preserve"> </w:t>
            </w:r>
            <w:r w:rsidR="000031C3" w:rsidRPr="00470415">
              <w:rPr>
                <w:rFonts w:cs="Calibri"/>
              </w:rPr>
              <w:t xml:space="preserve">non-current payables, </w:t>
            </w:r>
            <w:r w:rsidR="00A0144A" w:rsidRPr="00470415">
              <w:rPr>
                <w:rFonts w:cs="Calibri"/>
              </w:rPr>
              <w:t xml:space="preserve">financial </w:t>
            </w:r>
            <w:r w:rsidR="00810B4A" w:rsidRPr="00470415">
              <w:rPr>
                <w:rFonts w:cs="Calibri"/>
              </w:rPr>
              <w:t>l</w:t>
            </w:r>
            <w:r w:rsidR="00A0144A" w:rsidRPr="00470415">
              <w:rPr>
                <w:rFonts w:cs="Calibri"/>
              </w:rPr>
              <w:t>iabilities</w:t>
            </w:r>
            <w:r w:rsidR="004B3E25"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737BEB" w:rsidRPr="00470415">
              <w:rPr>
                <w:rFonts w:cs="Calibri"/>
              </w:rPr>
              <w:t>All amounts appearing in the following maturity analysis are shown on an undiscounted cash flow basis.</w:t>
            </w:r>
          </w:p>
        </w:tc>
      </w:tr>
      <w:tr w:rsidR="000144FF" w:rsidRPr="00CF7E1B" w14:paraId="34F3085F" w14:textId="77777777" w:rsidTr="0004564D">
        <w:trPr>
          <w:cantSplit/>
          <w:trHeight w:val="23"/>
        </w:trPr>
        <w:tc>
          <w:tcPr>
            <w:tcW w:w="1652" w:type="dxa"/>
            <w:tcBorders>
              <w:top w:val="nil"/>
              <w:left w:val="single" w:sz="2" w:space="0" w:color="auto"/>
              <w:bottom w:val="nil"/>
              <w:right w:val="single" w:sz="2" w:space="0" w:color="auto"/>
            </w:tcBorders>
          </w:tcPr>
          <w:p w14:paraId="396F0FF9" w14:textId="77777777" w:rsidR="000144FF" w:rsidRPr="00470415" w:rsidRDefault="000144FF">
            <w:pPr>
              <w:pStyle w:val="TableReference"/>
              <w:tabs>
                <w:tab w:val="left" w:pos="3306"/>
              </w:tabs>
              <w:spacing w:before="40"/>
              <w:rPr>
                <w:rFonts w:cs="Calibri"/>
                <w:color w:val="7030A0"/>
                <w:sz w:val="14"/>
              </w:rPr>
            </w:pPr>
          </w:p>
        </w:tc>
        <w:tc>
          <w:tcPr>
            <w:tcW w:w="13772" w:type="dxa"/>
            <w:gridSpan w:val="9"/>
            <w:tcBorders>
              <w:top w:val="nil"/>
              <w:left w:val="single" w:sz="2" w:space="0" w:color="auto"/>
              <w:bottom w:val="nil"/>
              <w:right w:val="nil"/>
            </w:tcBorders>
            <w:vAlign w:val="bottom"/>
          </w:tcPr>
          <w:p w14:paraId="74C49773" w14:textId="781F0248" w:rsidR="000144FF" w:rsidRPr="00470415" w:rsidRDefault="007624E9">
            <w:pPr>
              <w:pStyle w:val="TableReference"/>
              <w:rPr>
                <w:rFonts w:cs="Calibri"/>
                <w:b/>
                <w:bCs/>
                <w:color w:val="auto"/>
                <w:sz w:val="18"/>
                <w:szCs w:val="18"/>
              </w:rPr>
            </w:pPr>
            <w:r w:rsidRPr="00470415">
              <w:rPr>
                <w:rFonts w:cs="Calibri"/>
                <w:b/>
                <w:bCs/>
                <w:color w:val="auto"/>
                <w:sz w:val="18"/>
                <w:szCs w:val="18"/>
              </w:rPr>
              <w:t>202</w:t>
            </w:r>
            <w:r w:rsidR="00D55D52">
              <w:rPr>
                <w:rFonts w:cs="Calibri"/>
                <w:b/>
                <w:bCs/>
                <w:color w:val="auto"/>
                <w:sz w:val="18"/>
                <w:szCs w:val="18"/>
              </w:rPr>
              <w:t>3</w:t>
            </w:r>
          </w:p>
        </w:tc>
      </w:tr>
      <w:tr w:rsidR="005956AD" w:rsidRPr="00CF7E1B" w14:paraId="7C1E2266" w14:textId="77777777" w:rsidTr="0004564D">
        <w:trPr>
          <w:cantSplit/>
          <w:trHeight w:val="23"/>
        </w:trPr>
        <w:tc>
          <w:tcPr>
            <w:tcW w:w="1652" w:type="dxa"/>
            <w:tcBorders>
              <w:top w:val="nil"/>
              <w:left w:val="single" w:sz="2" w:space="0" w:color="auto"/>
              <w:bottom w:val="nil"/>
              <w:right w:val="single" w:sz="2" w:space="0" w:color="auto"/>
            </w:tcBorders>
          </w:tcPr>
          <w:p w14:paraId="6A94E612" w14:textId="77777777" w:rsidR="005956AD" w:rsidRPr="00470415" w:rsidRDefault="005956AD">
            <w:pPr>
              <w:pStyle w:val="TableReference"/>
              <w:tabs>
                <w:tab w:val="left" w:pos="3306"/>
              </w:tabs>
              <w:spacing w:before="40"/>
              <w:rPr>
                <w:rFonts w:cs="Calibri"/>
                <w:color w:val="7030A0"/>
                <w:sz w:val="14"/>
              </w:rPr>
            </w:pPr>
          </w:p>
        </w:tc>
        <w:tc>
          <w:tcPr>
            <w:tcW w:w="5722" w:type="dxa"/>
            <w:gridSpan w:val="3"/>
            <w:tcBorders>
              <w:top w:val="nil"/>
              <w:left w:val="single" w:sz="2" w:space="0" w:color="auto"/>
              <w:bottom w:val="nil"/>
              <w:right w:val="nil"/>
            </w:tcBorders>
            <w:vAlign w:val="bottom"/>
          </w:tcPr>
          <w:p w14:paraId="6D4B3E44" w14:textId="77777777" w:rsidR="005956AD" w:rsidRPr="00470415" w:rsidRDefault="005956AD" w:rsidP="00920DE4">
            <w:pPr>
              <w:pStyle w:val="TableTitle"/>
              <w:tabs>
                <w:tab w:val="left" w:pos="3306"/>
              </w:tabs>
              <w:ind w:right="999"/>
              <w:rPr>
                <w:rFonts w:cs="Calibri"/>
              </w:rPr>
            </w:pPr>
          </w:p>
        </w:tc>
        <w:tc>
          <w:tcPr>
            <w:tcW w:w="1134" w:type="dxa"/>
            <w:tcBorders>
              <w:top w:val="nil"/>
              <w:left w:val="nil"/>
              <w:bottom w:val="nil"/>
              <w:right w:val="nil"/>
            </w:tcBorders>
            <w:vAlign w:val="bottom"/>
          </w:tcPr>
          <w:p w14:paraId="7AA0AEF6" w14:textId="77777777" w:rsidR="005956AD" w:rsidRPr="00470415" w:rsidRDefault="005956AD" w:rsidP="005956AD">
            <w:pPr>
              <w:pStyle w:val="TableTitle"/>
              <w:tabs>
                <w:tab w:val="left" w:pos="3306"/>
              </w:tabs>
              <w:rPr>
                <w:rFonts w:cs="Calibri"/>
              </w:rPr>
            </w:pPr>
          </w:p>
        </w:tc>
        <w:tc>
          <w:tcPr>
            <w:tcW w:w="4253" w:type="dxa"/>
            <w:gridSpan w:val="3"/>
            <w:tcBorders>
              <w:top w:val="nil"/>
              <w:left w:val="nil"/>
              <w:bottom w:val="single" w:sz="2" w:space="0" w:color="auto"/>
              <w:right w:val="nil"/>
            </w:tcBorders>
            <w:vAlign w:val="bottom"/>
          </w:tcPr>
          <w:p w14:paraId="016501BE" w14:textId="77777777" w:rsidR="005956AD" w:rsidRPr="00470415" w:rsidRDefault="005956AD">
            <w:pPr>
              <w:pStyle w:val="TableTitle"/>
              <w:tabs>
                <w:tab w:val="left" w:pos="3306"/>
              </w:tabs>
              <w:jc w:val="center"/>
              <w:rPr>
                <w:rFonts w:cs="Calibri"/>
              </w:rPr>
            </w:pPr>
            <w:r w:rsidRPr="00470415">
              <w:rPr>
                <w:rFonts w:cs="Calibri"/>
              </w:rPr>
              <w:t>Fixed Interest Maturing In:</w:t>
            </w:r>
          </w:p>
        </w:tc>
        <w:tc>
          <w:tcPr>
            <w:tcW w:w="2663" w:type="dxa"/>
            <w:gridSpan w:val="2"/>
            <w:tcBorders>
              <w:top w:val="nil"/>
              <w:left w:val="nil"/>
              <w:bottom w:val="nil"/>
              <w:right w:val="nil"/>
            </w:tcBorders>
            <w:vAlign w:val="bottom"/>
          </w:tcPr>
          <w:p w14:paraId="1B007891" w14:textId="77777777" w:rsidR="005956AD" w:rsidRPr="00470415" w:rsidRDefault="005956AD">
            <w:pPr>
              <w:pStyle w:val="TableTitle"/>
              <w:tabs>
                <w:tab w:val="left" w:pos="3306"/>
              </w:tabs>
              <w:rPr>
                <w:rFonts w:cs="Calibri"/>
              </w:rPr>
            </w:pPr>
          </w:p>
        </w:tc>
      </w:tr>
      <w:tr w:rsidR="00B876DB" w:rsidRPr="00CF7E1B" w14:paraId="5460BDC1" w14:textId="77777777" w:rsidTr="0004564D">
        <w:trPr>
          <w:cantSplit/>
          <w:trHeight w:val="20"/>
        </w:trPr>
        <w:tc>
          <w:tcPr>
            <w:tcW w:w="1652" w:type="dxa"/>
            <w:tcBorders>
              <w:top w:val="nil"/>
              <w:left w:val="single" w:sz="2" w:space="0" w:color="auto"/>
              <w:bottom w:val="nil"/>
              <w:right w:val="single" w:sz="2" w:space="0" w:color="auto"/>
            </w:tcBorders>
          </w:tcPr>
          <w:p w14:paraId="2B1A9296" w14:textId="77777777" w:rsidR="00B876DB" w:rsidRPr="00470415" w:rsidRDefault="00B876DB">
            <w:pPr>
              <w:pStyle w:val="TableReference"/>
              <w:tabs>
                <w:tab w:val="left" w:pos="3306"/>
              </w:tabs>
              <w:spacing w:before="40"/>
              <w:rPr>
                <w:rFonts w:cs="Calibri"/>
                <w:color w:val="7030A0"/>
                <w:sz w:val="14"/>
              </w:rPr>
            </w:pPr>
            <w:r w:rsidRPr="00470415">
              <w:rPr>
                <w:rFonts w:cs="Calibri"/>
                <w:color w:val="7030A0"/>
                <w:sz w:val="14"/>
              </w:rPr>
              <w:t>AASB 7.B11</w:t>
            </w:r>
          </w:p>
        </w:tc>
        <w:tc>
          <w:tcPr>
            <w:tcW w:w="4021" w:type="dxa"/>
            <w:tcBorders>
              <w:top w:val="nil"/>
              <w:left w:val="single" w:sz="2" w:space="0" w:color="auto"/>
              <w:bottom w:val="nil"/>
              <w:right w:val="nil"/>
            </w:tcBorders>
            <w:vAlign w:val="bottom"/>
          </w:tcPr>
          <w:p w14:paraId="35765989" w14:textId="77777777" w:rsidR="00B876DB" w:rsidRPr="00470415" w:rsidRDefault="00B876DB">
            <w:pPr>
              <w:pStyle w:val="TableTitle"/>
              <w:tabs>
                <w:tab w:val="left" w:pos="3306"/>
              </w:tabs>
              <w:rPr>
                <w:rFonts w:cs="Calibri"/>
                <w:b w:val="0"/>
                <w:bCs w:val="0"/>
              </w:rPr>
            </w:pPr>
          </w:p>
        </w:tc>
        <w:tc>
          <w:tcPr>
            <w:tcW w:w="709" w:type="dxa"/>
            <w:tcBorders>
              <w:top w:val="nil"/>
              <w:left w:val="nil"/>
              <w:bottom w:val="nil"/>
              <w:right w:val="nil"/>
            </w:tcBorders>
            <w:vAlign w:val="bottom"/>
          </w:tcPr>
          <w:p w14:paraId="1855BCD5" w14:textId="77777777" w:rsidR="00B876DB" w:rsidRPr="00470415" w:rsidRDefault="00B876DB" w:rsidP="002F567C">
            <w:pPr>
              <w:pStyle w:val="TableTitle"/>
              <w:tabs>
                <w:tab w:val="left" w:pos="3306"/>
              </w:tabs>
              <w:rPr>
                <w:rFonts w:cs="Calibri"/>
              </w:rPr>
            </w:pPr>
            <w:r w:rsidRPr="00470415">
              <w:rPr>
                <w:rFonts w:cs="Calibri"/>
              </w:rPr>
              <w:t>Note</w:t>
            </w:r>
          </w:p>
        </w:tc>
        <w:tc>
          <w:tcPr>
            <w:tcW w:w="992" w:type="dxa"/>
            <w:tcBorders>
              <w:top w:val="nil"/>
              <w:left w:val="nil"/>
              <w:bottom w:val="nil"/>
              <w:right w:val="nil"/>
            </w:tcBorders>
            <w:vAlign w:val="bottom"/>
          </w:tcPr>
          <w:p w14:paraId="2C39E59C" w14:textId="1126EC4E" w:rsidR="00B876DB" w:rsidRPr="00470415" w:rsidRDefault="00F873A4" w:rsidP="002F567C">
            <w:pPr>
              <w:pStyle w:val="TableTitle"/>
              <w:tabs>
                <w:tab w:val="left" w:pos="3306"/>
              </w:tabs>
              <w:jc w:val="center"/>
              <w:rPr>
                <w:rFonts w:cs="Calibri"/>
              </w:rPr>
            </w:pPr>
            <w:r w:rsidRPr="00470415">
              <w:rPr>
                <w:rFonts w:cs="Calibri"/>
              </w:rPr>
              <w:t>Weighted Average Int</w:t>
            </w:r>
            <w:r w:rsidR="00920DE4" w:rsidRPr="00470415">
              <w:rPr>
                <w:rFonts w:cs="Calibri"/>
              </w:rPr>
              <w:t>erest</w:t>
            </w:r>
            <w:r w:rsidRPr="00470415">
              <w:rPr>
                <w:rFonts w:cs="Calibri"/>
              </w:rPr>
              <w:t xml:space="preserve"> Rate</w:t>
            </w:r>
          </w:p>
        </w:tc>
        <w:tc>
          <w:tcPr>
            <w:tcW w:w="1134" w:type="dxa"/>
            <w:tcBorders>
              <w:top w:val="nil"/>
              <w:left w:val="nil"/>
              <w:bottom w:val="nil"/>
              <w:right w:val="nil"/>
            </w:tcBorders>
            <w:vAlign w:val="bottom"/>
          </w:tcPr>
          <w:p w14:paraId="442A6E49" w14:textId="77777777" w:rsidR="00B876DB" w:rsidRPr="00470415" w:rsidRDefault="00B876DB" w:rsidP="00DB02DF">
            <w:pPr>
              <w:pStyle w:val="TableTitle"/>
              <w:tabs>
                <w:tab w:val="left" w:pos="3306"/>
              </w:tabs>
              <w:rPr>
                <w:rFonts w:cs="Calibri"/>
              </w:rPr>
            </w:pPr>
            <w:bookmarkStart w:id="747" w:name="_Toc48468666"/>
            <w:bookmarkStart w:id="748" w:name="_Toc49155766"/>
            <w:bookmarkStart w:id="749" w:name="_Toc49224183"/>
            <w:r w:rsidRPr="00470415">
              <w:rPr>
                <w:rFonts w:cs="Calibri"/>
              </w:rPr>
              <w:t>Floating Interest Rate</w:t>
            </w:r>
            <w:bookmarkEnd w:id="747"/>
            <w:bookmarkEnd w:id="748"/>
            <w:bookmarkEnd w:id="749"/>
          </w:p>
        </w:tc>
        <w:tc>
          <w:tcPr>
            <w:tcW w:w="1172" w:type="dxa"/>
            <w:tcBorders>
              <w:top w:val="single" w:sz="2" w:space="0" w:color="auto"/>
              <w:left w:val="nil"/>
              <w:bottom w:val="nil"/>
              <w:right w:val="nil"/>
            </w:tcBorders>
            <w:vAlign w:val="bottom"/>
          </w:tcPr>
          <w:p w14:paraId="2AD5AD7A" w14:textId="77777777" w:rsidR="00B876DB" w:rsidRPr="00470415" w:rsidRDefault="00B876DB" w:rsidP="00DB02DF">
            <w:pPr>
              <w:pStyle w:val="TableTitle"/>
              <w:tabs>
                <w:tab w:val="left" w:pos="3306"/>
              </w:tabs>
              <w:rPr>
                <w:rFonts w:cs="Calibri"/>
              </w:rPr>
            </w:pPr>
            <w:r w:rsidRPr="00470415">
              <w:rPr>
                <w:rFonts w:cs="Calibri"/>
              </w:rPr>
              <w:t>1 Year or Less</w:t>
            </w:r>
          </w:p>
        </w:tc>
        <w:tc>
          <w:tcPr>
            <w:tcW w:w="1663" w:type="dxa"/>
            <w:tcBorders>
              <w:top w:val="single" w:sz="2" w:space="0" w:color="auto"/>
              <w:left w:val="nil"/>
              <w:bottom w:val="nil"/>
              <w:right w:val="nil"/>
            </w:tcBorders>
            <w:vAlign w:val="bottom"/>
          </w:tcPr>
          <w:p w14:paraId="626CFBAF" w14:textId="77777777" w:rsidR="00B876DB" w:rsidRPr="00470415" w:rsidRDefault="00B876DB" w:rsidP="00DB02DF">
            <w:pPr>
              <w:pStyle w:val="TableTitle"/>
              <w:tabs>
                <w:tab w:val="left" w:pos="3306"/>
              </w:tabs>
              <w:rPr>
                <w:rFonts w:cs="Calibri"/>
              </w:rPr>
            </w:pPr>
            <w:r w:rsidRPr="00470415">
              <w:rPr>
                <w:rFonts w:cs="Calibri"/>
              </w:rPr>
              <w:t>Over 1 Year to 5 Years</w:t>
            </w:r>
          </w:p>
        </w:tc>
        <w:tc>
          <w:tcPr>
            <w:tcW w:w="1418" w:type="dxa"/>
            <w:tcBorders>
              <w:top w:val="single" w:sz="2" w:space="0" w:color="auto"/>
              <w:left w:val="nil"/>
              <w:bottom w:val="nil"/>
              <w:right w:val="nil"/>
            </w:tcBorders>
            <w:vAlign w:val="bottom"/>
          </w:tcPr>
          <w:p w14:paraId="0A0044AA" w14:textId="77777777" w:rsidR="00B876DB" w:rsidRPr="00470415" w:rsidRDefault="00B876DB" w:rsidP="00DB02DF">
            <w:pPr>
              <w:pStyle w:val="TableTitle"/>
              <w:tabs>
                <w:tab w:val="left" w:pos="3306"/>
              </w:tabs>
              <w:rPr>
                <w:rFonts w:cs="Calibri"/>
              </w:rPr>
            </w:pPr>
            <w:r w:rsidRPr="00470415">
              <w:rPr>
                <w:rFonts w:cs="Calibri"/>
              </w:rPr>
              <w:t>Over 5 Years</w:t>
            </w:r>
          </w:p>
        </w:tc>
        <w:tc>
          <w:tcPr>
            <w:tcW w:w="1417" w:type="dxa"/>
            <w:tcBorders>
              <w:top w:val="nil"/>
              <w:left w:val="nil"/>
              <w:bottom w:val="nil"/>
              <w:right w:val="nil"/>
            </w:tcBorders>
            <w:vAlign w:val="bottom"/>
          </w:tcPr>
          <w:p w14:paraId="4756EA4D" w14:textId="77777777" w:rsidR="00B876DB" w:rsidRPr="00470415" w:rsidRDefault="00B876DB" w:rsidP="00DB02DF">
            <w:pPr>
              <w:pStyle w:val="TableTitle"/>
              <w:tabs>
                <w:tab w:val="left" w:pos="3306"/>
              </w:tabs>
              <w:rPr>
                <w:rFonts w:cs="Calibri"/>
              </w:rPr>
            </w:pPr>
            <w:r w:rsidRPr="00470415">
              <w:rPr>
                <w:rFonts w:cs="Calibri"/>
              </w:rPr>
              <w:t>Non-Interest Bearing</w:t>
            </w:r>
          </w:p>
        </w:tc>
        <w:tc>
          <w:tcPr>
            <w:tcW w:w="1246" w:type="dxa"/>
            <w:tcBorders>
              <w:top w:val="nil"/>
              <w:left w:val="nil"/>
              <w:bottom w:val="nil"/>
              <w:right w:val="nil"/>
            </w:tcBorders>
            <w:vAlign w:val="bottom"/>
          </w:tcPr>
          <w:p w14:paraId="6C675CD1" w14:textId="77777777" w:rsidR="00B876DB" w:rsidRPr="00470415" w:rsidRDefault="00B876DB" w:rsidP="002F567C">
            <w:pPr>
              <w:pStyle w:val="TableTitle"/>
              <w:tabs>
                <w:tab w:val="left" w:pos="3306"/>
              </w:tabs>
              <w:rPr>
                <w:rFonts w:cs="Calibri"/>
              </w:rPr>
            </w:pPr>
            <w:r w:rsidRPr="00470415">
              <w:rPr>
                <w:rFonts w:cs="Calibri"/>
              </w:rPr>
              <w:t>Total</w:t>
            </w:r>
          </w:p>
        </w:tc>
      </w:tr>
      <w:tr w:rsidR="00B876DB" w:rsidRPr="00CF7E1B" w14:paraId="2AB58CB3" w14:textId="77777777" w:rsidTr="0004564D">
        <w:trPr>
          <w:cantSplit/>
          <w:trHeight w:val="20"/>
        </w:trPr>
        <w:tc>
          <w:tcPr>
            <w:tcW w:w="1652" w:type="dxa"/>
            <w:tcBorders>
              <w:top w:val="nil"/>
              <w:left w:val="single" w:sz="2" w:space="0" w:color="auto"/>
              <w:bottom w:val="nil"/>
              <w:right w:val="single" w:sz="2" w:space="0" w:color="auto"/>
            </w:tcBorders>
          </w:tcPr>
          <w:p w14:paraId="1E5C6A76"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5A6CE012" w14:textId="77777777" w:rsidR="00B876DB" w:rsidRPr="00470415" w:rsidRDefault="00B876DB">
            <w:pPr>
              <w:pStyle w:val="TableText"/>
              <w:tabs>
                <w:tab w:val="left" w:pos="3306"/>
              </w:tabs>
              <w:rPr>
                <w:rFonts w:cs="Calibri"/>
                <w:b/>
                <w:bCs/>
              </w:rPr>
            </w:pPr>
          </w:p>
        </w:tc>
        <w:tc>
          <w:tcPr>
            <w:tcW w:w="709" w:type="dxa"/>
            <w:tcBorders>
              <w:top w:val="nil"/>
              <w:left w:val="nil"/>
              <w:bottom w:val="nil"/>
              <w:right w:val="nil"/>
            </w:tcBorders>
            <w:vAlign w:val="bottom"/>
          </w:tcPr>
          <w:p w14:paraId="1DDCFD04" w14:textId="77777777" w:rsidR="00B876DB" w:rsidRPr="00470415" w:rsidRDefault="009770A4" w:rsidP="002F567C">
            <w:pPr>
              <w:pStyle w:val="TableText"/>
              <w:tabs>
                <w:tab w:val="left" w:pos="3306"/>
              </w:tabs>
              <w:jc w:val="right"/>
              <w:rPr>
                <w:rFonts w:cs="Calibri"/>
                <w:b/>
              </w:rPr>
            </w:pPr>
            <w:r w:rsidRPr="00470415">
              <w:rPr>
                <w:rFonts w:cs="Calibri"/>
                <w:b/>
              </w:rPr>
              <w:t>No.</w:t>
            </w:r>
          </w:p>
        </w:tc>
        <w:tc>
          <w:tcPr>
            <w:tcW w:w="992" w:type="dxa"/>
            <w:tcBorders>
              <w:top w:val="nil"/>
              <w:left w:val="nil"/>
              <w:bottom w:val="nil"/>
              <w:right w:val="nil"/>
            </w:tcBorders>
            <w:vAlign w:val="bottom"/>
          </w:tcPr>
          <w:p w14:paraId="41E33A33" w14:textId="7534CE1A" w:rsidR="00B876DB" w:rsidRPr="00470415" w:rsidRDefault="00E63323" w:rsidP="00E63323">
            <w:pPr>
              <w:pStyle w:val="TableText"/>
              <w:tabs>
                <w:tab w:val="left" w:pos="3306"/>
              </w:tabs>
              <w:jc w:val="center"/>
              <w:rPr>
                <w:rFonts w:cs="Calibri"/>
              </w:rPr>
            </w:pPr>
            <w:r w:rsidRPr="00470415">
              <w:rPr>
                <w:rFonts w:cs="Calibri"/>
              </w:rPr>
              <w:t>%</w:t>
            </w:r>
          </w:p>
        </w:tc>
        <w:tc>
          <w:tcPr>
            <w:tcW w:w="1134" w:type="dxa"/>
            <w:tcBorders>
              <w:top w:val="nil"/>
              <w:left w:val="nil"/>
              <w:bottom w:val="nil"/>
              <w:right w:val="nil"/>
            </w:tcBorders>
            <w:vAlign w:val="bottom"/>
          </w:tcPr>
          <w:p w14:paraId="453C95C3"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172" w:type="dxa"/>
            <w:tcBorders>
              <w:top w:val="nil"/>
              <w:left w:val="nil"/>
              <w:bottom w:val="nil"/>
              <w:right w:val="nil"/>
            </w:tcBorders>
          </w:tcPr>
          <w:p w14:paraId="404A2E82"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663" w:type="dxa"/>
            <w:tcBorders>
              <w:top w:val="nil"/>
              <w:left w:val="nil"/>
              <w:bottom w:val="nil"/>
              <w:right w:val="nil"/>
            </w:tcBorders>
            <w:vAlign w:val="bottom"/>
          </w:tcPr>
          <w:p w14:paraId="78E714CE" w14:textId="77777777" w:rsidR="00B876DB" w:rsidRPr="00470415" w:rsidRDefault="00B876DB" w:rsidP="002F567C">
            <w:pPr>
              <w:pStyle w:val="TableText"/>
              <w:tabs>
                <w:tab w:val="left" w:pos="3306"/>
              </w:tabs>
              <w:jc w:val="right"/>
              <w:rPr>
                <w:rFonts w:cs="Calibri"/>
                <w:b/>
              </w:rPr>
            </w:pPr>
            <w:bookmarkStart w:id="750" w:name="_Toc48468668"/>
            <w:bookmarkStart w:id="751" w:name="_Toc49155768"/>
            <w:bookmarkStart w:id="752" w:name="_Toc49224185"/>
            <w:r w:rsidRPr="00470415">
              <w:rPr>
                <w:rFonts w:cs="Calibri"/>
                <w:b/>
              </w:rPr>
              <w:t>$’000</w:t>
            </w:r>
            <w:bookmarkEnd w:id="750"/>
            <w:bookmarkEnd w:id="751"/>
            <w:bookmarkEnd w:id="752"/>
          </w:p>
        </w:tc>
        <w:tc>
          <w:tcPr>
            <w:tcW w:w="1418" w:type="dxa"/>
            <w:tcBorders>
              <w:top w:val="nil"/>
              <w:left w:val="nil"/>
              <w:bottom w:val="nil"/>
              <w:right w:val="nil"/>
            </w:tcBorders>
            <w:vAlign w:val="bottom"/>
          </w:tcPr>
          <w:p w14:paraId="54160C09" w14:textId="77777777" w:rsidR="00B876DB" w:rsidRPr="00470415" w:rsidRDefault="00B876DB" w:rsidP="002F567C">
            <w:pPr>
              <w:pStyle w:val="TableText"/>
              <w:tabs>
                <w:tab w:val="left" w:pos="3306"/>
              </w:tabs>
              <w:jc w:val="right"/>
              <w:rPr>
                <w:rFonts w:cs="Calibri"/>
                <w:b/>
              </w:rPr>
            </w:pPr>
            <w:bookmarkStart w:id="753" w:name="_Toc48468669"/>
            <w:bookmarkStart w:id="754" w:name="_Toc49155769"/>
            <w:bookmarkStart w:id="755" w:name="_Toc49224186"/>
            <w:r w:rsidRPr="00470415">
              <w:rPr>
                <w:rFonts w:cs="Calibri"/>
                <w:b/>
              </w:rPr>
              <w:t>$’000</w:t>
            </w:r>
            <w:bookmarkEnd w:id="753"/>
            <w:bookmarkEnd w:id="754"/>
            <w:bookmarkEnd w:id="755"/>
          </w:p>
        </w:tc>
        <w:tc>
          <w:tcPr>
            <w:tcW w:w="1417" w:type="dxa"/>
            <w:tcBorders>
              <w:top w:val="nil"/>
              <w:left w:val="nil"/>
              <w:bottom w:val="nil"/>
              <w:right w:val="nil"/>
            </w:tcBorders>
            <w:vAlign w:val="bottom"/>
          </w:tcPr>
          <w:p w14:paraId="6CD89001" w14:textId="77777777" w:rsidR="00B876DB" w:rsidRPr="00470415" w:rsidRDefault="00B876DB" w:rsidP="002F567C">
            <w:pPr>
              <w:pStyle w:val="TableText"/>
              <w:tabs>
                <w:tab w:val="left" w:pos="3306"/>
              </w:tabs>
              <w:jc w:val="right"/>
              <w:rPr>
                <w:rFonts w:cs="Calibri"/>
                <w:b/>
              </w:rPr>
            </w:pPr>
            <w:bookmarkStart w:id="756" w:name="_Toc48468670"/>
            <w:bookmarkStart w:id="757" w:name="_Toc49155770"/>
            <w:bookmarkStart w:id="758" w:name="_Toc49224187"/>
            <w:r w:rsidRPr="00470415">
              <w:rPr>
                <w:rFonts w:cs="Calibri"/>
                <w:b/>
              </w:rPr>
              <w:t>$’000</w:t>
            </w:r>
            <w:bookmarkEnd w:id="756"/>
            <w:bookmarkEnd w:id="757"/>
            <w:bookmarkEnd w:id="758"/>
          </w:p>
        </w:tc>
        <w:tc>
          <w:tcPr>
            <w:tcW w:w="1246" w:type="dxa"/>
            <w:tcBorders>
              <w:top w:val="nil"/>
              <w:left w:val="nil"/>
              <w:bottom w:val="nil"/>
              <w:right w:val="nil"/>
            </w:tcBorders>
            <w:vAlign w:val="bottom"/>
          </w:tcPr>
          <w:p w14:paraId="4B19754B" w14:textId="77777777" w:rsidR="00B876DB" w:rsidRPr="00470415" w:rsidRDefault="00B876DB" w:rsidP="002F567C">
            <w:pPr>
              <w:pStyle w:val="TableText"/>
              <w:tabs>
                <w:tab w:val="left" w:pos="3306"/>
              </w:tabs>
              <w:jc w:val="right"/>
              <w:rPr>
                <w:rFonts w:cs="Calibri"/>
                <w:b/>
              </w:rPr>
            </w:pPr>
            <w:bookmarkStart w:id="759" w:name="_Toc48468671"/>
            <w:bookmarkStart w:id="760" w:name="_Toc49155771"/>
            <w:bookmarkStart w:id="761" w:name="_Toc49224188"/>
            <w:r w:rsidRPr="00470415">
              <w:rPr>
                <w:rFonts w:cs="Calibri"/>
                <w:b/>
              </w:rPr>
              <w:t>$’000</w:t>
            </w:r>
            <w:bookmarkEnd w:id="759"/>
            <w:bookmarkEnd w:id="760"/>
            <w:bookmarkEnd w:id="761"/>
          </w:p>
        </w:tc>
      </w:tr>
      <w:tr w:rsidR="00B876DB" w:rsidRPr="00CF7E1B" w14:paraId="12BAE38F" w14:textId="77777777" w:rsidTr="0004564D">
        <w:trPr>
          <w:cantSplit/>
          <w:trHeight w:val="20"/>
        </w:trPr>
        <w:tc>
          <w:tcPr>
            <w:tcW w:w="1652" w:type="dxa"/>
            <w:tcBorders>
              <w:top w:val="nil"/>
              <w:left w:val="single" w:sz="2" w:space="0" w:color="auto"/>
              <w:bottom w:val="nil"/>
              <w:right w:val="single" w:sz="2" w:space="0" w:color="auto"/>
            </w:tcBorders>
          </w:tcPr>
          <w:p w14:paraId="41AC7525"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016E3BC" w14:textId="77777777" w:rsidR="00B876DB" w:rsidRPr="00470415" w:rsidRDefault="00B876DB">
            <w:pPr>
              <w:pStyle w:val="TableText"/>
              <w:tabs>
                <w:tab w:val="left" w:pos="3306"/>
              </w:tabs>
              <w:rPr>
                <w:rFonts w:cs="Calibri"/>
                <w:b/>
                <w:bCs/>
              </w:rPr>
            </w:pPr>
            <w:bookmarkStart w:id="762" w:name="_Toc48468673"/>
            <w:bookmarkStart w:id="763" w:name="_Toc49155773"/>
            <w:bookmarkStart w:id="764" w:name="_Toc49224190"/>
            <w:r w:rsidRPr="00470415">
              <w:rPr>
                <w:rFonts w:cs="Calibri"/>
                <w:b/>
                <w:bCs/>
              </w:rPr>
              <w:t>Financial Liabilities</w:t>
            </w:r>
            <w:bookmarkEnd w:id="762"/>
            <w:bookmarkEnd w:id="763"/>
            <w:bookmarkEnd w:id="764"/>
          </w:p>
        </w:tc>
        <w:tc>
          <w:tcPr>
            <w:tcW w:w="709" w:type="dxa"/>
            <w:tcBorders>
              <w:top w:val="nil"/>
              <w:left w:val="nil"/>
              <w:bottom w:val="nil"/>
              <w:right w:val="nil"/>
            </w:tcBorders>
            <w:vAlign w:val="bottom"/>
          </w:tcPr>
          <w:p w14:paraId="592B6E39" w14:textId="77777777" w:rsidR="00B876DB" w:rsidRPr="00470415" w:rsidRDefault="00B876DB">
            <w:pPr>
              <w:pStyle w:val="TableText"/>
              <w:tabs>
                <w:tab w:val="left" w:pos="3306"/>
              </w:tabs>
              <w:jc w:val="center"/>
              <w:rPr>
                <w:rFonts w:cs="Calibri"/>
                <w:strike/>
              </w:rPr>
            </w:pPr>
          </w:p>
        </w:tc>
        <w:tc>
          <w:tcPr>
            <w:tcW w:w="992" w:type="dxa"/>
            <w:tcBorders>
              <w:top w:val="nil"/>
              <w:left w:val="nil"/>
              <w:bottom w:val="nil"/>
              <w:right w:val="nil"/>
            </w:tcBorders>
            <w:vAlign w:val="bottom"/>
          </w:tcPr>
          <w:p w14:paraId="7230731F"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47BD541D" w14:textId="77777777"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tcPr>
          <w:p w14:paraId="4550AD15" w14:textId="77777777"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430CE295" w14:textId="77777777"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605D53CE" w14:textId="77777777"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7764F254" w14:textId="77777777"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76B18150" w14:textId="77777777" w:rsidR="00B876DB" w:rsidRPr="00470415" w:rsidRDefault="00B876DB">
            <w:pPr>
              <w:pStyle w:val="TableText"/>
              <w:tabs>
                <w:tab w:val="left" w:pos="3306"/>
              </w:tabs>
              <w:jc w:val="right"/>
              <w:rPr>
                <w:rFonts w:cs="Calibri"/>
              </w:rPr>
            </w:pPr>
          </w:p>
        </w:tc>
      </w:tr>
      <w:tr w:rsidR="00B876DB" w:rsidRPr="00CF7E1B" w14:paraId="62D8E7AD" w14:textId="77777777" w:rsidTr="0004564D">
        <w:trPr>
          <w:cantSplit/>
          <w:trHeight w:val="20"/>
        </w:trPr>
        <w:tc>
          <w:tcPr>
            <w:tcW w:w="1652" w:type="dxa"/>
            <w:tcBorders>
              <w:top w:val="nil"/>
              <w:left w:val="single" w:sz="2" w:space="0" w:color="auto"/>
              <w:bottom w:val="nil"/>
              <w:right w:val="single" w:sz="2" w:space="0" w:color="auto"/>
            </w:tcBorders>
          </w:tcPr>
          <w:p w14:paraId="26B8A46A"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4884A95" w14:textId="73DB61B0" w:rsidR="00B876DB" w:rsidRPr="00470415" w:rsidRDefault="00B876DB">
            <w:pPr>
              <w:pStyle w:val="TableText"/>
              <w:tabs>
                <w:tab w:val="left" w:pos="3306"/>
              </w:tabs>
              <w:rPr>
                <w:rFonts w:cs="Calibri"/>
              </w:rPr>
            </w:pPr>
            <w:r w:rsidRPr="0007146C">
              <w:rPr>
                <w:rFonts w:cs="Calibri"/>
              </w:rPr>
              <w:t>Payables</w:t>
            </w:r>
            <w:r w:rsidR="005559F1" w:rsidRPr="005559F1">
              <w:rPr>
                <w:rFonts w:cs="Calibri"/>
                <w:b/>
                <w:bCs/>
                <w:color w:val="FF0000"/>
              </w:rPr>
              <w:t xml:space="preserve"> </w:t>
            </w:r>
          </w:p>
        </w:tc>
        <w:tc>
          <w:tcPr>
            <w:tcW w:w="709" w:type="dxa"/>
            <w:tcBorders>
              <w:top w:val="nil"/>
              <w:left w:val="nil"/>
              <w:bottom w:val="nil"/>
              <w:right w:val="nil"/>
            </w:tcBorders>
            <w:vAlign w:val="bottom"/>
          </w:tcPr>
          <w:p w14:paraId="4BA1E1F6" w14:textId="251641A9" w:rsidR="00B876DB" w:rsidRPr="00470415" w:rsidRDefault="003334D4" w:rsidP="006E1C8E">
            <w:pPr>
              <w:pStyle w:val="TableText"/>
              <w:tabs>
                <w:tab w:val="left" w:pos="3306"/>
              </w:tabs>
              <w:jc w:val="center"/>
              <w:rPr>
                <w:rFonts w:cs="Calibri"/>
                <w:strike/>
              </w:rPr>
            </w:pPr>
            <w:r w:rsidRPr="00470415">
              <w:rPr>
                <w:rFonts w:cs="Calibri"/>
              </w:rPr>
              <w:t>24</w:t>
            </w:r>
          </w:p>
        </w:tc>
        <w:tc>
          <w:tcPr>
            <w:tcW w:w="992" w:type="dxa"/>
            <w:tcBorders>
              <w:top w:val="nil"/>
              <w:left w:val="nil"/>
              <w:bottom w:val="nil"/>
              <w:right w:val="nil"/>
            </w:tcBorders>
            <w:vAlign w:val="bottom"/>
          </w:tcPr>
          <w:p w14:paraId="1C667E2D"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230335BA" w14:textId="45641E3F"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tcPr>
          <w:p w14:paraId="4D30EEF2" w14:textId="340F2DFD"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694B939A" w14:textId="7167BECA"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136A650C" w14:textId="2A3C9689"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73B338A0" w14:textId="1C209D3B"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3D9045F7" w14:textId="3230FB2C" w:rsidR="00B876DB" w:rsidRPr="00470415" w:rsidRDefault="00B876DB">
            <w:pPr>
              <w:pStyle w:val="TableText"/>
              <w:tabs>
                <w:tab w:val="left" w:pos="3306"/>
              </w:tabs>
              <w:jc w:val="right"/>
              <w:rPr>
                <w:rFonts w:cs="Calibri"/>
              </w:rPr>
            </w:pPr>
          </w:p>
        </w:tc>
      </w:tr>
      <w:tr w:rsidR="00D12083" w:rsidRPr="00CF7E1B" w14:paraId="0E320C11" w14:textId="77777777" w:rsidTr="0004564D">
        <w:trPr>
          <w:cantSplit/>
          <w:trHeight w:val="20"/>
        </w:trPr>
        <w:tc>
          <w:tcPr>
            <w:tcW w:w="1652" w:type="dxa"/>
            <w:tcBorders>
              <w:top w:val="nil"/>
              <w:left w:val="single" w:sz="2" w:space="0" w:color="auto"/>
              <w:bottom w:val="nil"/>
              <w:right w:val="single" w:sz="2" w:space="0" w:color="auto"/>
            </w:tcBorders>
          </w:tcPr>
          <w:p w14:paraId="00A0258F" w14:textId="77777777" w:rsidR="00D12083" w:rsidRPr="00470415" w:rsidRDefault="00D12083">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ACD9F2A" w14:textId="7315ED0D" w:rsidR="00D12083" w:rsidRPr="005559F1" w:rsidRDefault="00D12083">
            <w:pPr>
              <w:pStyle w:val="TableText"/>
              <w:tabs>
                <w:tab w:val="left" w:pos="3306"/>
              </w:tabs>
              <w:rPr>
                <w:rFonts w:cs="Calibri"/>
                <w:strike/>
                <w:color w:val="FF0000"/>
              </w:rPr>
            </w:pPr>
            <w:r w:rsidRPr="005559F1">
              <w:rPr>
                <w:rFonts w:cs="Calibri"/>
                <w:strike/>
                <w:color w:val="FF0000"/>
              </w:rPr>
              <w:t>Contract Liabilities</w:t>
            </w:r>
          </w:p>
        </w:tc>
        <w:tc>
          <w:tcPr>
            <w:tcW w:w="709" w:type="dxa"/>
            <w:tcBorders>
              <w:top w:val="nil"/>
              <w:left w:val="nil"/>
              <w:bottom w:val="nil"/>
              <w:right w:val="nil"/>
            </w:tcBorders>
            <w:vAlign w:val="bottom"/>
          </w:tcPr>
          <w:p w14:paraId="5D5FDB49" w14:textId="45362AE9" w:rsidR="00D12083" w:rsidRPr="005559F1" w:rsidRDefault="003334D4" w:rsidP="006E1C8E">
            <w:pPr>
              <w:pStyle w:val="TableText"/>
              <w:tabs>
                <w:tab w:val="left" w:pos="3306"/>
              </w:tabs>
              <w:jc w:val="center"/>
              <w:rPr>
                <w:rFonts w:cs="Calibri"/>
                <w:strike/>
                <w:color w:val="FF0000"/>
              </w:rPr>
            </w:pPr>
            <w:r w:rsidRPr="005559F1">
              <w:rPr>
                <w:rFonts w:cs="Calibri"/>
                <w:strike/>
                <w:color w:val="FF0000"/>
              </w:rPr>
              <w:t>24</w:t>
            </w:r>
          </w:p>
        </w:tc>
        <w:tc>
          <w:tcPr>
            <w:tcW w:w="992" w:type="dxa"/>
            <w:tcBorders>
              <w:top w:val="nil"/>
              <w:left w:val="nil"/>
              <w:bottom w:val="nil"/>
              <w:right w:val="nil"/>
            </w:tcBorders>
            <w:vAlign w:val="bottom"/>
          </w:tcPr>
          <w:p w14:paraId="416C5A5F" w14:textId="77777777" w:rsidR="00D12083" w:rsidRPr="00470415" w:rsidRDefault="00D12083">
            <w:pPr>
              <w:pStyle w:val="TableText"/>
              <w:tabs>
                <w:tab w:val="left" w:pos="3306"/>
              </w:tabs>
              <w:jc w:val="center"/>
              <w:rPr>
                <w:rFonts w:cs="Calibri"/>
                <w:strike/>
              </w:rPr>
            </w:pPr>
          </w:p>
        </w:tc>
        <w:tc>
          <w:tcPr>
            <w:tcW w:w="1134" w:type="dxa"/>
            <w:tcBorders>
              <w:top w:val="nil"/>
              <w:left w:val="nil"/>
              <w:bottom w:val="nil"/>
              <w:right w:val="nil"/>
            </w:tcBorders>
            <w:vAlign w:val="bottom"/>
          </w:tcPr>
          <w:p w14:paraId="74D3BE62" w14:textId="77777777" w:rsidR="00D12083" w:rsidRPr="00470415" w:rsidRDefault="00D12083">
            <w:pPr>
              <w:pStyle w:val="TableText"/>
              <w:tabs>
                <w:tab w:val="left" w:pos="3306"/>
              </w:tabs>
              <w:jc w:val="right"/>
              <w:rPr>
                <w:rFonts w:cs="Calibri"/>
              </w:rPr>
            </w:pPr>
          </w:p>
        </w:tc>
        <w:tc>
          <w:tcPr>
            <w:tcW w:w="1172" w:type="dxa"/>
            <w:tcBorders>
              <w:top w:val="nil"/>
              <w:left w:val="nil"/>
              <w:bottom w:val="nil"/>
              <w:right w:val="nil"/>
            </w:tcBorders>
          </w:tcPr>
          <w:p w14:paraId="7A3BA790" w14:textId="77777777" w:rsidR="00D12083" w:rsidRPr="00470415" w:rsidRDefault="00D12083">
            <w:pPr>
              <w:pStyle w:val="TableText"/>
              <w:tabs>
                <w:tab w:val="left" w:pos="3306"/>
              </w:tabs>
              <w:jc w:val="right"/>
              <w:rPr>
                <w:rFonts w:cs="Calibri"/>
              </w:rPr>
            </w:pPr>
          </w:p>
        </w:tc>
        <w:tc>
          <w:tcPr>
            <w:tcW w:w="1663" w:type="dxa"/>
            <w:tcBorders>
              <w:top w:val="nil"/>
              <w:left w:val="nil"/>
              <w:bottom w:val="nil"/>
              <w:right w:val="nil"/>
            </w:tcBorders>
            <w:vAlign w:val="bottom"/>
          </w:tcPr>
          <w:p w14:paraId="5D984A27" w14:textId="77777777" w:rsidR="00D12083" w:rsidRPr="00470415" w:rsidRDefault="00D12083">
            <w:pPr>
              <w:pStyle w:val="TableText"/>
              <w:tabs>
                <w:tab w:val="left" w:pos="3306"/>
              </w:tabs>
              <w:jc w:val="right"/>
              <w:rPr>
                <w:rFonts w:cs="Calibri"/>
              </w:rPr>
            </w:pPr>
          </w:p>
        </w:tc>
        <w:tc>
          <w:tcPr>
            <w:tcW w:w="1418" w:type="dxa"/>
            <w:tcBorders>
              <w:top w:val="nil"/>
              <w:left w:val="nil"/>
              <w:bottom w:val="nil"/>
              <w:right w:val="nil"/>
            </w:tcBorders>
            <w:vAlign w:val="bottom"/>
          </w:tcPr>
          <w:p w14:paraId="3661AA56" w14:textId="77777777" w:rsidR="00D12083" w:rsidRPr="00470415" w:rsidRDefault="00D12083">
            <w:pPr>
              <w:pStyle w:val="TableText"/>
              <w:tabs>
                <w:tab w:val="left" w:pos="3306"/>
              </w:tabs>
              <w:jc w:val="right"/>
              <w:rPr>
                <w:rFonts w:cs="Calibri"/>
              </w:rPr>
            </w:pPr>
          </w:p>
        </w:tc>
        <w:tc>
          <w:tcPr>
            <w:tcW w:w="1417" w:type="dxa"/>
            <w:tcBorders>
              <w:top w:val="nil"/>
              <w:left w:val="nil"/>
              <w:bottom w:val="nil"/>
              <w:right w:val="nil"/>
            </w:tcBorders>
            <w:vAlign w:val="bottom"/>
          </w:tcPr>
          <w:p w14:paraId="5BD07BDC" w14:textId="77777777" w:rsidR="00D12083" w:rsidRPr="00470415" w:rsidRDefault="00D12083">
            <w:pPr>
              <w:pStyle w:val="TableText"/>
              <w:tabs>
                <w:tab w:val="left" w:pos="3306"/>
              </w:tabs>
              <w:jc w:val="right"/>
              <w:rPr>
                <w:rFonts w:cs="Calibri"/>
              </w:rPr>
            </w:pPr>
          </w:p>
        </w:tc>
        <w:tc>
          <w:tcPr>
            <w:tcW w:w="1246" w:type="dxa"/>
            <w:tcBorders>
              <w:top w:val="nil"/>
              <w:left w:val="nil"/>
              <w:bottom w:val="nil"/>
              <w:right w:val="nil"/>
            </w:tcBorders>
            <w:vAlign w:val="bottom"/>
          </w:tcPr>
          <w:p w14:paraId="682C7FDC" w14:textId="77777777" w:rsidR="00D12083" w:rsidRPr="00470415" w:rsidRDefault="00D12083">
            <w:pPr>
              <w:pStyle w:val="TableText"/>
              <w:tabs>
                <w:tab w:val="left" w:pos="3306"/>
              </w:tabs>
              <w:jc w:val="right"/>
              <w:rPr>
                <w:rFonts w:cs="Calibri"/>
              </w:rPr>
            </w:pPr>
          </w:p>
        </w:tc>
      </w:tr>
      <w:tr w:rsidR="00B876DB" w:rsidRPr="00CF7E1B" w14:paraId="018A8B02" w14:textId="77777777" w:rsidTr="0004564D">
        <w:trPr>
          <w:cantSplit/>
          <w:trHeight w:val="20"/>
        </w:trPr>
        <w:tc>
          <w:tcPr>
            <w:tcW w:w="1652" w:type="dxa"/>
            <w:tcBorders>
              <w:top w:val="nil"/>
              <w:left w:val="single" w:sz="2" w:space="0" w:color="auto"/>
              <w:bottom w:val="nil"/>
              <w:right w:val="single" w:sz="2" w:space="0" w:color="auto"/>
            </w:tcBorders>
          </w:tcPr>
          <w:p w14:paraId="363CB49C"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51E99991" w14:textId="77777777" w:rsidR="00B876DB" w:rsidRPr="00470415" w:rsidRDefault="00B876DB">
            <w:pPr>
              <w:pStyle w:val="TableText"/>
              <w:tabs>
                <w:tab w:val="left" w:pos="3306"/>
              </w:tabs>
              <w:rPr>
                <w:rFonts w:cs="Calibri"/>
              </w:rPr>
            </w:pPr>
            <w:r w:rsidRPr="00470415">
              <w:rPr>
                <w:rFonts w:cs="Calibri"/>
              </w:rPr>
              <w:t>ACT Government Borrowings</w:t>
            </w:r>
          </w:p>
        </w:tc>
        <w:tc>
          <w:tcPr>
            <w:tcW w:w="709" w:type="dxa"/>
            <w:tcBorders>
              <w:top w:val="nil"/>
              <w:left w:val="nil"/>
              <w:bottom w:val="nil"/>
              <w:right w:val="nil"/>
            </w:tcBorders>
            <w:vAlign w:val="bottom"/>
          </w:tcPr>
          <w:p w14:paraId="09B521CD" w14:textId="29D102BE" w:rsidR="00B876DB" w:rsidRPr="00470415" w:rsidRDefault="003334D4">
            <w:pPr>
              <w:pStyle w:val="TableText"/>
              <w:tabs>
                <w:tab w:val="left" w:pos="3306"/>
              </w:tabs>
              <w:jc w:val="center"/>
              <w:rPr>
                <w:rFonts w:cs="Calibri"/>
                <w:strike/>
              </w:rPr>
            </w:pPr>
            <w:r w:rsidRPr="00470415">
              <w:rPr>
                <w:rFonts w:cs="Calibri"/>
              </w:rPr>
              <w:t>25</w:t>
            </w:r>
          </w:p>
        </w:tc>
        <w:tc>
          <w:tcPr>
            <w:tcW w:w="992" w:type="dxa"/>
            <w:tcBorders>
              <w:top w:val="nil"/>
              <w:left w:val="nil"/>
              <w:bottom w:val="nil"/>
              <w:right w:val="nil"/>
            </w:tcBorders>
            <w:vAlign w:val="bottom"/>
          </w:tcPr>
          <w:p w14:paraId="04DE6BF3" w14:textId="3511B5F4"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63DFFEC6" w14:textId="5754DA15"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vAlign w:val="bottom"/>
          </w:tcPr>
          <w:p w14:paraId="233DE64C" w14:textId="12A4CCE3"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18B8A876" w14:textId="0B31DAD5"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7F2368D7" w14:textId="5BCE0F67"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0C7A063B" w14:textId="0B692571"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404DBE4E" w14:textId="2CE940D6" w:rsidR="00B876DB" w:rsidRPr="00470415" w:rsidRDefault="00B876DB">
            <w:pPr>
              <w:pStyle w:val="TableText"/>
              <w:tabs>
                <w:tab w:val="left" w:pos="3306"/>
              </w:tabs>
              <w:jc w:val="right"/>
              <w:rPr>
                <w:rFonts w:cs="Calibri"/>
              </w:rPr>
            </w:pPr>
          </w:p>
        </w:tc>
      </w:tr>
      <w:tr w:rsidR="00B876DB" w:rsidRPr="00CF7E1B" w14:paraId="5285B1B8" w14:textId="77777777" w:rsidTr="0004564D">
        <w:trPr>
          <w:cantSplit/>
          <w:trHeight w:val="20"/>
        </w:trPr>
        <w:tc>
          <w:tcPr>
            <w:tcW w:w="1652" w:type="dxa"/>
            <w:tcBorders>
              <w:top w:val="nil"/>
              <w:left w:val="single" w:sz="2" w:space="0" w:color="auto"/>
              <w:bottom w:val="nil"/>
              <w:right w:val="single" w:sz="2" w:space="0" w:color="auto"/>
            </w:tcBorders>
          </w:tcPr>
          <w:p w14:paraId="3B0388F2"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2C0AA1F4" w14:textId="0C8FF33D" w:rsidR="00B876DB" w:rsidRPr="00470415" w:rsidRDefault="00B876DB">
            <w:pPr>
              <w:pStyle w:val="TableText"/>
              <w:tabs>
                <w:tab w:val="left" w:pos="3306"/>
              </w:tabs>
              <w:rPr>
                <w:rFonts w:cs="Calibri"/>
              </w:rPr>
            </w:pPr>
            <w:r w:rsidRPr="00470415">
              <w:rPr>
                <w:rFonts w:cs="Calibri"/>
              </w:rPr>
              <w:t>Commonwealth</w:t>
            </w:r>
            <w:r w:rsidR="00496D98" w:rsidRPr="00470415">
              <w:rPr>
                <w:rFonts w:cs="Calibri"/>
              </w:rPr>
              <w:t xml:space="preserve"> Borrowings</w:t>
            </w:r>
          </w:p>
        </w:tc>
        <w:tc>
          <w:tcPr>
            <w:tcW w:w="709" w:type="dxa"/>
            <w:tcBorders>
              <w:top w:val="nil"/>
              <w:left w:val="nil"/>
              <w:bottom w:val="nil"/>
              <w:right w:val="nil"/>
            </w:tcBorders>
            <w:vAlign w:val="bottom"/>
          </w:tcPr>
          <w:p w14:paraId="2EF3DE31" w14:textId="3C75B185" w:rsidR="00B876DB" w:rsidRPr="00470415" w:rsidRDefault="003334D4">
            <w:pPr>
              <w:pStyle w:val="TableText"/>
              <w:tabs>
                <w:tab w:val="left" w:pos="3306"/>
              </w:tabs>
              <w:jc w:val="center"/>
              <w:rPr>
                <w:rFonts w:cs="Calibri"/>
                <w:strike/>
              </w:rPr>
            </w:pPr>
            <w:r w:rsidRPr="00470415">
              <w:rPr>
                <w:rFonts w:cs="Calibri"/>
              </w:rPr>
              <w:t>25</w:t>
            </w:r>
          </w:p>
        </w:tc>
        <w:tc>
          <w:tcPr>
            <w:tcW w:w="992" w:type="dxa"/>
            <w:tcBorders>
              <w:top w:val="nil"/>
              <w:left w:val="nil"/>
              <w:bottom w:val="nil"/>
              <w:right w:val="nil"/>
            </w:tcBorders>
            <w:vAlign w:val="bottom"/>
          </w:tcPr>
          <w:p w14:paraId="5C9FBB64" w14:textId="037E1202" w:rsidR="00B876DB" w:rsidRPr="00470415" w:rsidRDefault="00B876DB" w:rsidP="003D6BD3">
            <w:pPr>
              <w:pStyle w:val="TableText"/>
              <w:tabs>
                <w:tab w:val="left" w:pos="3306"/>
              </w:tabs>
              <w:jc w:val="center"/>
              <w:rPr>
                <w:rFonts w:cs="Calibri"/>
                <w:strike/>
              </w:rPr>
            </w:pPr>
          </w:p>
        </w:tc>
        <w:tc>
          <w:tcPr>
            <w:tcW w:w="1134" w:type="dxa"/>
            <w:tcBorders>
              <w:top w:val="nil"/>
              <w:left w:val="nil"/>
              <w:bottom w:val="nil"/>
              <w:right w:val="nil"/>
            </w:tcBorders>
            <w:vAlign w:val="bottom"/>
          </w:tcPr>
          <w:p w14:paraId="76E4D101" w14:textId="377667A6"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vAlign w:val="bottom"/>
          </w:tcPr>
          <w:p w14:paraId="4332FFDC" w14:textId="605EFF56"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168E755D" w14:textId="3C032995"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72392D79" w14:textId="5A7E5802"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1692801C" w14:textId="3044CD22"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0D495D1C" w14:textId="6D3F4B9E" w:rsidR="00B876DB" w:rsidRPr="00470415" w:rsidRDefault="00B876DB">
            <w:pPr>
              <w:pStyle w:val="TableText"/>
              <w:tabs>
                <w:tab w:val="left" w:pos="3306"/>
              </w:tabs>
              <w:jc w:val="right"/>
              <w:rPr>
                <w:rFonts w:cs="Calibri"/>
              </w:rPr>
            </w:pPr>
          </w:p>
        </w:tc>
      </w:tr>
      <w:tr w:rsidR="005701A3" w:rsidRPr="00CF7E1B" w14:paraId="4C541E3E" w14:textId="77777777" w:rsidTr="0004564D">
        <w:trPr>
          <w:cantSplit/>
          <w:trHeight w:val="20"/>
        </w:trPr>
        <w:tc>
          <w:tcPr>
            <w:tcW w:w="1652" w:type="dxa"/>
            <w:tcBorders>
              <w:top w:val="nil"/>
              <w:left w:val="single" w:sz="2" w:space="0" w:color="auto"/>
              <w:bottom w:val="nil"/>
              <w:right w:val="single" w:sz="2" w:space="0" w:color="auto"/>
            </w:tcBorders>
          </w:tcPr>
          <w:p w14:paraId="31769508" w14:textId="77777777" w:rsidR="005701A3" w:rsidRPr="00470415" w:rsidRDefault="005701A3">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tcPr>
          <w:p w14:paraId="2D4021C2" w14:textId="15D82240" w:rsidR="005701A3" w:rsidRPr="00470415" w:rsidRDefault="005701A3" w:rsidP="00DB02DF">
            <w:pPr>
              <w:pStyle w:val="TableText"/>
              <w:tabs>
                <w:tab w:val="left" w:pos="3306"/>
              </w:tabs>
              <w:rPr>
                <w:rFonts w:cs="Calibri"/>
              </w:rPr>
            </w:pPr>
            <w:r w:rsidRPr="00470415">
              <w:rPr>
                <w:rFonts w:cs="Calibri"/>
              </w:rPr>
              <w:t>Service Concession Arrangement Financial Liability</w:t>
            </w:r>
          </w:p>
        </w:tc>
        <w:tc>
          <w:tcPr>
            <w:tcW w:w="709" w:type="dxa"/>
            <w:tcBorders>
              <w:top w:val="nil"/>
              <w:left w:val="nil"/>
              <w:bottom w:val="nil"/>
              <w:right w:val="nil"/>
            </w:tcBorders>
          </w:tcPr>
          <w:p w14:paraId="105BDEC1" w14:textId="3C7EAB33" w:rsidR="005701A3" w:rsidRPr="00470415" w:rsidRDefault="00876887" w:rsidP="00DB02DF">
            <w:pPr>
              <w:pStyle w:val="TableText"/>
              <w:tabs>
                <w:tab w:val="left" w:pos="3306"/>
              </w:tabs>
              <w:jc w:val="center"/>
              <w:rPr>
                <w:rFonts w:cs="Calibri"/>
              </w:rPr>
            </w:pPr>
            <w:r w:rsidRPr="00470415">
              <w:rPr>
                <w:rFonts w:cs="Calibri"/>
              </w:rPr>
              <w:t>39</w:t>
            </w:r>
          </w:p>
        </w:tc>
        <w:tc>
          <w:tcPr>
            <w:tcW w:w="992" w:type="dxa"/>
            <w:tcBorders>
              <w:top w:val="nil"/>
              <w:left w:val="nil"/>
              <w:bottom w:val="nil"/>
              <w:right w:val="nil"/>
            </w:tcBorders>
            <w:vAlign w:val="bottom"/>
          </w:tcPr>
          <w:p w14:paraId="2F7D4C55" w14:textId="77777777" w:rsidR="005701A3" w:rsidRPr="00470415" w:rsidRDefault="005701A3">
            <w:pPr>
              <w:pStyle w:val="TableText"/>
              <w:tabs>
                <w:tab w:val="left" w:pos="3306"/>
              </w:tabs>
              <w:jc w:val="center"/>
              <w:rPr>
                <w:rFonts w:cs="Calibri"/>
                <w:strike/>
              </w:rPr>
            </w:pPr>
          </w:p>
        </w:tc>
        <w:tc>
          <w:tcPr>
            <w:tcW w:w="1134" w:type="dxa"/>
            <w:tcBorders>
              <w:top w:val="nil"/>
              <w:left w:val="nil"/>
              <w:bottom w:val="nil"/>
              <w:right w:val="nil"/>
            </w:tcBorders>
            <w:vAlign w:val="bottom"/>
          </w:tcPr>
          <w:p w14:paraId="74E637E3" w14:textId="77777777" w:rsidR="005701A3" w:rsidRPr="00470415" w:rsidRDefault="005701A3">
            <w:pPr>
              <w:pStyle w:val="TableText"/>
              <w:tabs>
                <w:tab w:val="left" w:pos="3306"/>
              </w:tabs>
              <w:jc w:val="right"/>
              <w:rPr>
                <w:rFonts w:cs="Calibri"/>
              </w:rPr>
            </w:pPr>
          </w:p>
        </w:tc>
        <w:tc>
          <w:tcPr>
            <w:tcW w:w="1172" w:type="dxa"/>
            <w:tcBorders>
              <w:top w:val="nil"/>
              <w:left w:val="nil"/>
              <w:bottom w:val="nil"/>
              <w:right w:val="nil"/>
            </w:tcBorders>
          </w:tcPr>
          <w:p w14:paraId="3EFAE598" w14:textId="77777777" w:rsidR="005701A3" w:rsidRPr="00470415" w:rsidRDefault="005701A3">
            <w:pPr>
              <w:pStyle w:val="TableText"/>
              <w:tabs>
                <w:tab w:val="left" w:pos="3306"/>
              </w:tabs>
              <w:jc w:val="right"/>
              <w:rPr>
                <w:rFonts w:cs="Calibri"/>
              </w:rPr>
            </w:pPr>
          </w:p>
        </w:tc>
        <w:tc>
          <w:tcPr>
            <w:tcW w:w="1663" w:type="dxa"/>
            <w:tcBorders>
              <w:top w:val="nil"/>
              <w:left w:val="nil"/>
              <w:bottom w:val="nil"/>
              <w:right w:val="nil"/>
            </w:tcBorders>
            <w:vAlign w:val="bottom"/>
          </w:tcPr>
          <w:p w14:paraId="3A46C1E0" w14:textId="77777777" w:rsidR="005701A3" w:rsidRPr="00470415" w:rsidRDefault="005701A3">
            <w:pPr>
              <w:pStyle w:val="TableText"/>
              <w:tabs>
                <w:tab w:val="left" w:pos="3306"/>
              </w:tabs>
              <w:jc w:val="right"/>
              <w:rPr>
                <w:rFonts w:cs="Calibri"/>
              </w:rPr>
            </w:pPr>
          </w:p>
        </w:tc>
        <w:tc>
          <w:tcPr>
            <w:tcW w:w="1418" w:type="dxa"/>
            <w:tcBorders>
              <w:top w:val="nil"/>
              <w:left w:val="nil"/>
              <w:bottom w:val="nil"/>
              <w:right w:val="nil"/>
            </w:tcBorders>
            <w:vAlign w:val="bottom"/>
          </w:tcPr>
          <w:p w14:paraId="4788770E" w14:textId="77777777" w:rsidR="005701A3" w:rsidRPr="00470415" w:rsidRDefault="005701A3">
            <w:pPr>
              <w:pStyle w:val="TableText"/>
              <w:tabs>
                <w:tab w:val="left" w:pos="3306"/>
              </w:tabs>
              <w:jc w:val="right"/>
              <w:rPr>
                <w:rFonts w:cs="Calibri"/>
              </w:rPr>
            </w:pPr>
          </w:p>
        </w:tc>
        <w:tc>
          <w:tcPr>
            <w:tcW w:w="1417" w:type="dxa"/>
            <w:tcBorders>
              <w:top w:val="nil"/>
              <w:left w:val="nil"/>
              <w:bottom w:val="nil"/>
              <w:right w:val="nil"/>
            </w:tcBorders>
            <w:vAlign w:val="bottom"/>
          </w:tcPr>
          <w:p w14:paraId="594C3544" w14:textId="77777777" w:rsidR="005701A3" w:rsidRPr="00470415" w:rsidRDefault="005701A3">
            <w:pPr>
              <w:pStyle w:val="TableText"/>
              <w:tabs>
                <w:tab w:val="left" w:pos="3306"/>
              </w:tabs>
              <w:jc w:val="right"/>
              <w:rPr>
                <w:rFonts w:cs="Calibri"/>
              </w:rPr>
            </w:pPr>
          </w:p>
        </w:tc>
        <w:tc>
          <w:tcPr>
            <w:tcW w:w="1246" w:type="dxa"/>
            <w:tcBorders>
              <w:top w:val="nil"/>
              <w:left w:val="nil"/>
              <w:bottom w:val="nil"/>
              <w:right w:val="nil"/>
            </w:tcBorders>
            <w:vAlign w:val="bottom"/>
          </w:tcPr>
          <w:p w14:paraId="5BA46218" w14:textId="77777777" w:rsidR="005701A3" w:rsidRPr="00470415" w:rsidRDefault="005701A3">
            <w:pPr>
              <w:pStyle w:val="TableText"/>
              <w:tabs>
                <w:tab w:val="left" w:pos="3306"/>
              </w:tabs>
              <w:jc w:val="right"/>
              <w:rPr>
                <w:rFonts w:cs="Calibri"/>
              </w:rPr>
            </w:pPr>
          </w:p>
        </w:tc>
      </w:tr>
      <w:tr w:rsidR="00B876DB" w:rsidRPr="00CF7E1B" w14:paraId="3B390FEA" w14:textId="77777777" w:rsidTr="0004564D">
        <w:trPr>
          <w:cantSplit/>
          <w:trHeight w:val="20"/>
        </w:trPr>
        <w:tc>
          <w:tcPr>
            <w:tcW w:w="1652" w:type="dxa"/>
            <w:tcBorders>
              <w:top w:val="nil"/>
              <w:left w:val="single" w:sz="2" w:space="0" w:color="auto"/>
              <w:bottom w:val="nil"/>
              <w:right w:val="single" w:sz="2" w:space="0" w:color="auto"/>
            </w:tcBorders>
          </w:tcPr>
          <w:p w14:paraId="2534B3AD" w14:textId="6314E288" w:rsidR="00E63323" w:rsidRPr="00470415" w:rsidRDefault="003F7173">
            <w:pPr>
              <w:pStyle w:val="TableReference"/>
              <w:tabs>
                <w:tab w:val="left" w:pos="3306"/>
              </w:tabs>
              <w:spacing w:before="60"/>
              <w:rPr>
                <w:rFonts w:cs="Calibri"/>
                <w:color w:val="7030A0"/>
                <w:sz w:val="14"/>
              </w:rPr>
            </w:pPr>
            <w:r w:rsidRPr="00470415">
              <w:rPr>
                <w:rFonts w:cs="Calibri"/>
                <w:color w:val="7030A0"/>
                <w:sz w:val="14"/>
              </w:rPr>
              <w:t>AASB 16.58</w:t>
            </w:r>
          </w:p>
          <w:p w14:paraId="09DF7922" w14:textId="0645273A" w:rsidR="00B876DB" w:rsidRPr="00470415" w:rsidRDefault="00B876DB" w:rsidP="00E63323">
            <w:pPr>
              <w:pStyle w:val="TableReference"/>
              <w:tabs>
                <w:tab w:val="left" w:pos="3306"/>
              </w:tabs>
              <w:rPr>
                <w:rFonts w:cs="Calibri"/>
                <w:strike/>
                <w:color w:val="7030A0"/>
                <w:sz w:val="14"/>
              </w:rPr>
            </w:pPr>
          </w:p>
        </w:tc>
        <w:tc>
          <w:tcPr>
            <w:tcW w:w="4021" w:type="dxa"/>
            <w:tcBorders>
              <w:top w:val="nil"/>
              <w:left w:val="single" w:sz="2" w:space="0" w:color="auto"/>
              <w:bottom w:val="nil"/>
              <w:right w:val="nil"/>
            </w:tcBorders>
          </w:tcPr>
          <w:p w14:paraId="5D36D26F" w14:textId="2252F6A8" w:rsidR="00B876DB" w:rsidRPr="00470415" w:rsidRDefault="00B876DB">
            <w:pPr>
              <w:pStyle w:val="TableText"/>
              <w:tabs>
                <w:tab w:val="left" w:pos="3306"/>
              </w:tabs>
              <w:rPr>
                <w:rFonts w:cs="Calibri"/>
              </w:rPr>
            </w:pPr>
            <w:r w:rsidRPr="00470415">
              <w:rPr>
                <w:rFonts w:cs="Calibri"/>
              </w:rPr>
              <w:t>Lease</w:t>
            </w:r>
            <w:r w:rsidR="003F7173" w:rsidRPr="00470415">
              <w:rPr>
                <w:rFonts w:cs="Calibri"/>
              </w:rPr>
              <w:t xml:space="preserve"> </w:t>
            </w:r>
            <w:r w:rsidR="007D0986" w:rsidRPr="00470415">
              <w:rPr>
                <w:rFonts w:cs="Calibri"/>
              </w:rPr>
              <w:t xml:space="preserve">Liabilities </w:t>
            </w:r>
          </w:p>
        </w:tc>
        <w:tc>
          <w:tcPr>
            <w:tcW w:w="709" w:type="dxa"/>
            <w:tcBorders>
              <w:top w:val="nil"/>
              <w:left w:val="nil"/>
              <w:bottom w:val="nil"/>
              <w:right w:val="nil"/>
            </w:tcBorders>
          </w:tcPr>
          <w:p w14:paraId="1B33D84C" w14:textId="1289ECA1" w:rsidR="00B876DB" w:rsidRPr="00470415" w:rsidRDefault="003334D4" w:rsidP="002D3527">
            <w:pPr>
              <w:pStyle w:val="TableText"/>
              <w:tabs>
                <w:tab w:val="left" w:pos="3306"/>
              </w:tabs>
              <w:jc w:val="center"/>
              <w:rPr>
                <w:rFonts w:cs="Calibri"/>
                <w:strike/>
              </w:rPr>
            </w:pPr>
            <w:r w:rsidRPr="00470415">
              <w:rPr>
                <w:rFonts w:cs="Calibri"/>
              </w:rPr>
              <w:t>26</w:t>
            </w:r>
          </w:p>
        </w:tc>
        <w:tc>
          <w:tcPr>
            <w:tcW w:w="992" w:type="dxa"/>
            <w:tcBorders>
              <w:top w:val="nil"/>
              <w:left w:val="nil"/>
              <w:bottom w:val="nil"/>
              <w:right w:val="nil"/>
            </w:tcBorders>
          </w:tcPr>
          <w:p w14:paraId="2EFDABA2" w14:textId="1C3EDCA0" w:rsidR="00B876DB" w:rsidRPr="00470415" w:rsidRDefault="00B876DB" w:rsidP="002D3527">
            <w:pPr>
              <w:pStyle w:val="TableText"/>
              <w:tabs>
                <w:tab w:val="left" w:pos="3306"/>
              </w:tabs>
              <w:jc w:val="center"/>
              <w:rPr>
                <w:rFonts w:cs="Calibri"/>
                <w:strike/>
              </w:rPr>
            </w:pPr>
          </w:p>
        </w:tc>
        <w:tc>
          <w:tcPr>
            <w:tcW w:w="1134" w:type="dxa"/>
            <w:tcBorders>
              <w:top w:val="nil"/>
              <w:left w:val="nil"/>
              <w:bottom w:val="single" w:sz="2" w:space="0" w:color="auto"/>
              <w:right w:val="nil"/>
            </w:tcBorders>
            <w:vAlign w:val="bottom"/>
          </w:tcPr>
          <w:p w14:paraId="54AE3F64" w14:textId="541061EB" w:rsidR="00B876DB" w:rsidRPr="00470415" w:rsidRDefault="00B876DB">
            <w:pPr>
              <w:pStyle w:val="TableText"/>
              <w:tabs>
                <w:tab w:val="left" w:pos="3306"/>
              </w:tabs>
              <w:jc w:val="right"/>
              <w:rPr>
                <w:rFonts w:cs="Calibri"/>
              </w:rPr>
            </w:pPr>
          </w:p>
        </w:tc>
        <w:tc>
          <w:tcPr>
            <w:tcW w:w="1172" w:type="dxa"/>
            <w:tcBorders>
              <w:top w:val="nil"/>
              <w:left w:val="nil"/>
              <w:bottom w:val="single" w:sz="2" w:space="0" w:color="auto"/>
              <w:right w:val="nil"/>
            </w:tcBorders>
          </w:tcPr>
          <w:p w14:paraId="3BC2BB7E" w14:textId="284E0486" w:rsidR="00B876DB" w:rsidRPr="00470415" w:rsidRDefault="00B876DB">
            <w:pPr>
              <w:pStyle w:val="TableText"/>
              <w:tabs>
                <w:tab w:val="left" w:pos="3306"/>
              </w:tabs>
              <w:jc w:val="right"/>
              <w:rPr>
                <w:rFonts w:cs="Calibri"/>
              </w:rPr>
            </w:pPr>
          </w:p>
        </w:tc>
        <w:tc>
          <w:tcPr>
            <w:tcW w:w="1663" w:type="dxa"/>
            <w:tcBorders>
              <w:top w:val="nil"/>
              <w:left w:val="nil"/>
              <w:bottom w:val="single" w:sz="2" w:space="0" w:color="auto"/>
              <w:right w:val="nil"/>
            </w:tcBorders>
            <w:vAlign w:val="bottom"/>
          </w:tcPr>
          <w:p w14:paraId="389F9449" w14:textId="6E6809D4" w:rsidR="00B876DB" w:rsidRPr="00470415" w:rsidRDefault="00B876DB">
            <w:pPr>
              <w:pStyle w:val="TableText"/>
              <w:tabs>
                <w:tab w:val="left" w:pos="3306"/>
              </w:tabs>
              <w:jc w:val="right"/>
              <w:rPr>
                <w:rFonts w:cs="Calibri"/>
              </w:rPr>
            </w:pPr>
          </w:p>
        </w:tc>
        <w:tc>
          <w:tcPr>
            <w:tcW w:w="1418" w:type="dxa"/>
            <w:tcBorders>
              <w:top w:val="nil"/>
              <w:left w:val="nil"/>
              <w:bottom w:val="single" w:sz="2" w:space="0" w:color="auto"/>
              <w:right w:val="nil"/>
            </w:tcBorders>
            <w:vAlign w:val="bottom"/>
          </w:tcPr>
          <w:p w14:paraId="5D08813F" w14:textId="0F5942E5" w:rsidR="00B876DB" w:rsidRPr="00470415" w:rsidRDefault="00B876DB">
            <w:pPr>
              <w:pStyle w:val="TableText"/>
              <w:tabs>
                <w:tab w:val="left" w:pos="3306"/>
              </w:tabs>
              <w:jc w:val="right"/>
              <w:rPr>
                <w:rFonts w:cs="Calibri"/>
              </w:rPr>
            </w:pPr>
          </w:p>
        </w:tc>
        <w:tc>
          <w:tcPr>
            <w:tcW w:w="1417" w:type="dxa"/>
            <w:tcBorders>
              <w:top w:val="nil"/>
              <w:left w:val="nil"/>
              <w:bottom w:val="single" w:sz="2" w:space="0" w:color="auto"/>
              <w:right w:val="nil"/>
            </w:tcBorders>
            <w:vAlign w:val="bottom"/>
          </w:tcPr>
          <w:p w14:paraId="2A5327BA" w14:textId="3F82934A" w:rsidR="00B876DB" w:rsidRPr="00470415" w:rsidRDefault="00B876DB">
            <w:pPr>
              <w:pStyle w:val="TableText"/>
              <w:tabs>
                <w:tab w:val="left" w:pos="3306"/>
              </w:tabs>
              <w:jc w:val="right"/>
              <w:rPr>
                <w:rFonts w:cs="Calibri"/>
              </w:rPr>
            </w:pPr>
          </w:p>
        </w:tc>
        <w:tc>
          <w:tcPr>
            <w:tcW w:w="1246" w:type="dxa"/>
            <w:tcBorders>
              <w:top w:val="nil"/>
              <w:left w:val="nil"/>
              <w:bottom w:val="single" w:sz="2" w:space="0" w:color="auto"/>
              <w:right w:val="nil"/>
            </w:tcBorders>
            <w:vAlign w:val="bottom"/>
          </w:tcPr>
          <w:p w14:paraId="5327DC3E" w14:textId="72FBC35C" w:rsidR="00B876DB" w:rsidRPr="00470415" w:rsidRDefault="00B876DB">
            <w:pPr>
              <w:pStyle w:val="TableText"/>
              <w:tabs>
                <w:tab w:val="left" w:pos="3306"/>
              </w:tabs>
              <w:jc w:val="right"/>
              <w:rPr>
                <w:rFonts w:cs="Calibri"/>
              </w:rPr>
            </w:pPr>
          </w:p>
        </w:tc>
      </w:tr>
      <w:tr w:rsidR="00B876DB" w:rsidRPr="00CF7E1B" w14:paraId="7B63DFE3" w14:textId="77777777" w:rsidTr="0004564D">
        <w:trPr>
          <w:cantSplit/>
          <w:trHeight w:val="20"/>
        </w:trPr>
        <w:tc>
          <w:tcPr>
            <w:tcW w:w="1652" w:type="dxa"/>
            <w:tcBorders>
              <w:top w:val="nil"/>
              <w:left w:val="single" w:sz="2" w:space="0" w:color="auto"/>
              <w:bottom w:val="nil"/>
              <w:right w:val="single" w:sz="2" w:space="0" w:color="auto"/>
            </w:tcBorders>
          </w:tcPr>
          <w:p w14:paraId="1724523C" w14:textId="77777777" w:rsidR="00B876DB" w:rsidRPr="00470415" w:rsidRDefault="00B876DB">
            <w:pPr>
              <w:pStyle w:val="TableReference"/>
              <w:tabs>
                <w:tab w:val="left" w:pos="3306"/>
              </w:tabs>
              <w:spacing w:before="40"/>
              <w:rPr>
                <w:rFonts w:cs="Calibri"/>
                <w:color w:val="7030A0"/>
                <w:sz w:val="14"/>
              </w:rPr>
            </w:pPr>
          </w:p>
        </w:tc>
        <w:tc>
          <w:tcPr>
            <w:tcW w:w="4021" w:type="dxa"/>
            <w:tcBorders>
              <w:top w:val="nil"/>
              <w:left w:val="single" w:sz="2" w:space="0" w:color="auto"/>
              <w:bottom w:val="nil"/>
              <w:right w:val="nil"/>
            </w:tcBorders>
            <w:vAlign w:val="bottom"/>
          </w:tcPr>
          <w:p w14:paraId="6773938C" w14:textId="77777777" w:rsidR="00B876DB" w:rsidRPr="00470415" w:rsidRDefault="00B876DB">
            <w:pPr>
              <w:pStyle w:val="TableText"/>
              <w:tabs>
                <w:tab w:val="left" w:pos="3306"/>
              </w:tabs>
              <w:rPr>
                <w:rFonts w:cs="Calibri"/>
                <w:b/>
                <w:bCs/>
              </w:rPr>
            </w:pPr>
            <w:r w:rsidRPr="00470415">
              <w:rPr>
                <w:rFonts w:cs="Calibri"/>
                <w:b/>
                <w:bCs/>
              </w:rPr>
              <w:t>Total Financial Liabilities</w:t>
            </w:r>
          </w:p>
        </w:tc>
        <w:tc>
          <w:tcPr>
            <w:tcW w:w="709" w:type="dxa"/>
            <w:tcBorders>
              <w:top w:val="nil"/>
              <w:left w:val="nil"/>
              <w:bottom w:val="nil"/>
              <w:right w:val="nil"/>
            </w:tcBorders>
            <w:vAlign w:val="bottom"/>
          </w:tcPr>
          <w:p w14:paraId="57F05433" w14:textId="77777777" w:rsidR="00B876DB" w:rsidRPr="00470415" w:rsidRDefault="00B876DB">
            <w:pPr>
              <w:pStyle w:val="TableText"/>
              <w:tabs>
                <w:tab w:val="left" w:pos="3306"/>
              </w:tabs>
              <w:jc w:val="center"/>
              <w:rPr>
                <w:rFonts w:cs="Calibri"/>
              </w:rPr>
            </w:pPr>
          </w:p>
        </w:tc>
        <w:tc>
          <w:tcPr>
            <w:tcW w:w="992" w:type="dxa"/>
            <w:tcBorders>
              <w:top w:val="nil"/>
              <w:left w:val="nil"/>
              <w:bottom w:val="nil"/>
              <w:right w:val="nil"/>
            </w:tcBorders>
            <w:vAlign w:val="bottom"/>
          </w:tcPr>
          <w:p w14:paraId="39DB0969" w14:textId="77777777" w:rsidR="00B876DB" w:rsidRPr="00470415" w:rsidRDefault="00B876DB">
            <w:pPr>
              <w:pStyle w:val="TableText"/>
              <w:tabs>
                <w:tab w:val="left" w:pos="3306"/>
              </w:tabs>
              <w:jc w:val="center"/>
              <w:rPr>
                <w:rFonts w:cs="Calibri"/>
              </w:rPr>
            </w:pPr>
          </w:p>
        </w:tc>
        <w:tc>
          <w:tcPr>
            <w:tcW w:w="1134" w:type="dxa"/>
            <w:tcBorders>
              <w:top w:val="single" w:sz="2" w:space="0" w:color="auto"/>
              <w:left w:val="nil"/>
              <w:bottom w:val="double" w:sz="4" w:space="0" w:color="auto"/>
              <w:right w:val="nil"/>
            </w:tcBorders>
            <w:vAlign w:val="bottom"/>
          </w:tcPr>
          <w:p w14:paraId="2304D5AA" w14:textId="03EBB601" w:rsidR="00B876DB" w:rsidRPr="00470415" w:rsidRDefault="00B876DB">
            <w:pPr>
              <w:pStyle w:val="TableText"/>
              <w:tabs>
                <w:tab w:val="left" w:pos="3306"/>
              </w:tabs>
              <w:jc w:val="right"/>
              <w:rPr>
                <w:rFonts w:cs="Calibri"/>
                <w:b/>
                <w:bCs/>
              </w:rPr>
            </w:pPr>
          </w:p>
        </w:tc>
        <w:tc>
          <w:tcPr>
            <w:tcW w:w="1172" w:type="dxa"/>
            <w:tcBorders>
              <w:top w:val="single" w:sz="2" w:space="0" w:color="auto"/>
              <w:left w:val="nil"/>
              <w:bottom w:val="double" w:sz="4" w:space="0" w:color="auto"/>
              <w:right w:val="nil"/>
            </w:tcBorders>
            <w:vAlign w:val="bottom"/>
          </w:tcPr>
          <w:p w14:paraId="0B85B068" w14:textId="3114BEE2" w:rsidR="00B876DB" w:rsidRPr="00470415" w:rsidRDefault="00B876DB">
            <w:pPr>
              <w:pStyle w:val="TableText"/>
              <w:tabs>
                <w:tab w:val="left" w:pos="3306"/>
              </w:tabs>
              <w:jc w:val="right"/>
              <w:rPr>
                <w:rFonts w:cs="Calibri"/>
                <w:b/>
                <w:bCs/>
              </w:rPr>
            </w:pPr>
          </w:p>
        </w:tc>
        <w:tc>
          <w:tcPr>
            <w:tcW w:w="1663" w:type="dxa"/>
            <w:tcBorders>
              <w:top w:val="single" w:sz="2" w:space="0" w:color="auto"/>
              <w:left w:val="nil"/>
              <w:bottom w:val="double" w:sz="4" w:space="0" w:color="auto"/>
              <w:right w:val="nil"/>
            </w:tcBorders>
            <w:vAlign w:val="bottom"/>
          </w:tcPr>
          <w:p w14:paraId="22CD2A80" w14:textId="2F718554" w:rsidR="00B876DB" w:rsidRPr="00470415" w:rsidRDefault="00B876DB">
            <w:pPr>
              <w:pStyle w:val="TableText"/>
              <w:tabs>
                <w:tab w:val="left" w:pos="3306"/>
              </w:tabs>
              <w:jc w:val="right"/>
              <w:rPr>
                <w:rFonts w:cs="Calibri"/>
                <w:b/>
                <w:bCs/>
              </w:rPr>
            </w:pPr>
          </w:p>
        </w:tc>
        <w:tc>
          <w:tcPr>
            <w:tcW w:w="1418" w:type="dxa"/>
            <w:tcBorders>
              <w:top w:val="single" w:sz="2" w:space="0" w:color="auto"/>
              <w:left w:val="nil"/>
              <w:bottom w:val="double" w:sz="4" w:space="0" w:color="auto"/>
              <w:right w:val="nil"/>
            </w:tcBorders>
            <w:vAlign w:val="bottom"/>
          </w:tcPr>
          <w:p w14:paraId="33E42420" w14:textId="1CB38E94" w:rsidR="00B876DB" w:rsidRPr="00470415" w:rsidRDefault="00B876DB">
            <w:pPr>
              <w:pStyle w:val="TableText"/>
              <w:tabs>
                <w:tab w:val="left" w:pos="3306"/>
              </w:tabs>
              <w:jc w:val="right"/>
              <w:rPr>
                <w:rFonts w:cs="Calibri"/>
                <w:b/>
                <w:bCs/>
              </w:rPr>
            </w:pPr>
          </w:p>
        </w:tc>
        <w:tc>
          <w:tcPr>
            <w:tcW w:w="1417" w:type="dxa"/>
            <w:tcBorders>
              <w:top w:val="single" w:sz="2" w:space="0" w:color="auto"/>
              <w:left w:val="nil"/>
              <w:bottom w:val="double" w:sz="4" w:space="0" w:color="auto"/>
              <w:right w:val="nil"/>
            </w:tcBorders>
            <w:vAlign w:val="bottom"/>
          </w:tcPr>
          <w:p w14:paraId="524ABF3C" w14:textId="1775C92D" w:rsidR="00B876DB" w:rsidRPr="00470415" w:rsidRDefault="00B876DB">
            <w:pPr>
              <w:pStyle w:val="TableText"/>
              <w:tabs>
                <w:tab w:val="left" w:pos="3306"/>
              </w:tabs>
              <w:jc w:val="right"/>
              <w:rPr>
                <w:rFonts w:cs="Calibri"/>
                <w:b/>
                <w:bCs/>
              </w:rPr>
            </w:pPr>
          </w:p>
        </w:tc>
        <w:tc>
          <w:tcPr>
            <w:tcW w:w="1246" w:type="dxa"/>
            <w:tcBorders>
              <w:top w:val="single" w:sz="2" w:space="0" w:color="auto"/>
              <w:left w:val="nil"/>
              <w:bottom w:val="double" w:sz="4" w:space="0" w:color="auto"/>
              <w:right w:val="nil"/>
            </w:tcBorders>
            <w:vAlign w:val="bottom"/>
          </w:tcPr>
          <w:p w14:paraId="189731F2" w14:textId="13895B07" w:rsidR="00B876DB" w:rsidRPr="00470415" w:rsidRDefault="00B876DB">
            <w:pPr>
              <w:pStyle w:val="TableText"/>
              <w:tabs>
                <w:tab w:val="left" w:pos="3306"/>
              </w:tabs>
              <w:jc w:val="right"/>
              <w:rPr>
                <w:rFonts w:cs="Calibri"/>
                <w:b/>
                <w:bCs/>
              </w:rPr>
            </w:pPr>
          </w:p>
        </w:tc>
      </w:tr>
      <w:bookmarkEnd w:id="746"/>
    </w:tbl>
    <w:p w14:paraId="05B8632A" w14:textId="77777777" w:rsidR="000144FF" w:rsidRPr="00DB5C0E" w:rsidRDefault="000144FF">
      <w:pPr>
        <w:rPr>
          <w:rFonts w:cs="Calibri"/>
          <w:szCs w:val="22"/>
        </w:rPr>
        <w:sectPr w:rsidR="000144FF" w:rsidRPr="00DB5C0E" w:rsidSect="004514CD">
          <w:footnotePr>
            <w:numRestart w:val="eachPage"/>
          </w:footnotePr>
          <w:pgSz w:w="16840" w:h="11907" w:orient="landscape" w:code="9"/>
          <w:pgMar w:top="680" w:right="567" w:bottom="680" w:left="567" w:header="720" w:footer="720" w:gutter="0"/>
          <w:cols w:space="720"/>
        </w:sectPr>
      </w:pPr>
    </w:p>
    <w:p w14:paraId="0DC0FD88" w14:textId="0193C6E0" w:rsidR="00810B4A" w:rsidRDefault="00810B4A">
      <w:pPr>
        <w:rPr>
          <w:rFonts w:cs="Calibri"/>
          <w:szCs w:val="24"/>
        </w:rPr>
      </w:pPr>
      <w:r>
        <w:rPr>
          <w:rFonts w:cs="Calibri"/>
          <w:szCs w:val="24"/>
        </w:rPr>
        <w:br w:type="page"/>
      </w:r>
    </w:p>
    <w:tbl>
      <w:tblPr>
        <w:tblW w:w="156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3909"/>
        <w:gridCol w:w="627"/>
        <w:gridCol w:w="961"/>
        <w:gridCol w:w="1484"/>
        <w:gridCol w:w="6"/>
        <w:gridCol w:w="1476"/>
        <w:gridCol w:w="1539"/>
        <w:gridCol w:w="1368"/>
        <w:gridCol w:w="6"/>
        <w:gridCol w:w="1419"/>
        <w:gridCol w:w="1250"/>
        <w:gridCol w:w="61"/>
      </w:tblGrid>
      <w:tr w:rsidR="00470415" w:rsidRPr="00470415" w14:paraId="466DD7AB"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64930F8E" w14:textId="77777777" w:rsidR="000144FF" w:rsidRPr="00470415" w:rsidRDefault="007E1584" w:rsidP="004E2AC4">
            <w:pPr>
              <w:pStyle w:val="TableReference"/>
              <w:tabs>
                <w:tab w:val="left" w:pos="3306"/>
              </w:tabs>
              <w:spacing w:before="240" w:after="240"/>
              <w:rPr>
                <w:rFonts w:cs="Calibri"/>
                <w:b/>
                <w:color w:val="7030A0"/>
                <w:sz w:val="22"/>
                <w:szCs w:val="22"/>
              </w:rPr>
            </w:pPr>
            <w:bookmarkStart w:id="765" w:name="_Hlk90370656"/>
            <w:r w:rsidRPr="00470415">
              <w:rPr>
                <w:rFonts w:cs="Calibri"/>
                <w:b/>
                <w:color w:val="7030A0"/>
                <w:sz w:val="22"/>
                <w:szCs w:val="22"/>
              </w:rPr>
              <w:t>Reference</w:t>
            </w:r>
          </w:p>
        </w:tc>
        <w:tc>
          <w:tcPr>
            <w:tcW w:w="14045" w:type="dxa"/>
            <w:gridSpan w:val="11"/>
            <w:tcBorders>
              <w:top w:val="nil"/>
              <w:left w:val="single" w:sz="2" w:space="0" w:color="auto"/>
              <w:bottom w:val="nil"/>
              <w:right w:val="nil"/>
            </w:tcBorders>
            <w:vAlign w:val="bottom"/>
          </w:tcPr>
          <w:p w14:paraId="78C8B251" w14:textId="68FBE9CD" w:rsidR="000144FF" w:rsidRPr="00470415" w:rsidRDefault="004E2AC4" w:rsidP="004E2AC4">
            <w:pPr>
              <w:spacing w:before="240" w:after="240"/>
              <w:rPr>
                <w:b/>
              </w:rPr>
            </w:pPr>
            <w:r w:rsidRPr="00470415">
              <w:rPr>
                <w:rFonts w:ascii="Arial" w:hAnsi="Arial" w:cs="Arial"/>
                <w:b/>
                <w:sz w:val="32"/>
                <w:szCs w:val="32"/>
              </w:rPr>
              <w:t xml:space="preserve">NOTE </w:t>
            </w:r>
            <w:r w:rsidR="003D49A5"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470415" w:rsidRPr="00470415" w14:paraId="65D201DC"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1247CB5A" w14:textId="36362963" w:rsidR="002629C0" w:rsidRPr="00470415" w:rsidRDefault="002629C0" w:rsidP="002629C0">
            <w:pPr>
              <w:pStyle w:val="TableReference"/>
              <w:tabs>
                <w:tab w:val="left" w:pos="3306"/>
              </w:tabs>
              <w:spacing w:before="40"/>
              <w:rPr>
                <w:rFonts w:cs="Calibri"/>
                <w:color w:val="7030A0"/>
                <w:sz w:val="14"/>
              </w:rPr>
            </w:pPr>
            <w:r w:rsidRPr="00470415">
              <w:rPr>
                <w:rFonts w:cs="Calibri"/>
                <w:color w:val="7030A0"/>
                <w:sz w:val="14"/>
              </w:rPr>
              <w:t>AASB 7.34(a)</w:t>
            </w:r>
            <w:r w:rsidR="00FA7C77">
              <w:rPr>
                <w:rFonts w:cs="Calibri"/>
                <w:color w:val="7030A0"/>
                <w:sz w:val="14"/>
              </w:rPr>
              <w:t xml:space="preserve"> </w:t>
            </w:r>
          </w:p>
          <w:p w14:paraId="7A90B0A1" w14:textId="77777777" w:rsidR="002629C0" w:rsidRPr="00470415" w:rsidRDefault="002629C0" w:rsidP="002629C0">
            <w:pPr>
              <w:pStyle w:val="TableReference"/>
              <w:tabs>
                <w:tab w:val="left" w:pos="3306"/>
              </w:tabs>
              <w:spacing w:before="80"/>
              <w:rPr>
                <w:rFonts w:cs="Calibri"/>
                <w:color w:val="7030A0"/>
                <w:sz w:val="14"/>
              </w:rPr>
            </w:pPr>
            <w:r w:rsidRPr="00470415">
              <w:rPr>
                <w:rFonts w:cs="Calibri"/>
                <w:color w:val="7030A0"/>
                <w:sz w:val="14"/>
              </w:rPr>
              <w:t xml:space="preserve">AASB 7.39(a) </w:t>
            </w:r>
          </w:p>
          <w:p w14:paraId="7BD82A80" w14:textId="28FC8540" w:rsidR="000144FF" w:rsidRPr="00470415" w:rsidRDefault="00AE4817" w:rsidP="002629C0">
            <w:pPr>
              <w:pStyle w:val="TableReference"/>
              <w:tabs>
                <w:tab w:val="left" w:pos="3306"/>
              </w:tabs>
              <w:spacing w:before="8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4045" w:type="dxa"/>
            <w:gridSpan w:val="11"/>
            <w:tcBorders>
              <w:top w:val="nil"/>
              <w:left w:val="single" w:sz="2" w:space="0" w:color="auto"/>
              <w:bottom w:val="nil"/>
              <w:right w:val="nil"/>
            </w:tcBorders>
            <w:vAlign w:val="bottom"/>
          </w:tcPr>
          <w:p w14:paraId="2EE36CCF" w14:textId="2CEC966A" w:rsidR="000144FF" w:rsidRPr="00470415" w:rsidRDefault="000144FF" w:rsidP="00DA5B5A">
            <w:pPr>
              <w:pStyle w:val="TableText"/>
              <w:spacing w:before="0" w:after="120"/>
              <w:jc w:val="both"/>
              <w:rPr>
                <w:rFonts w:cs="Calibri"/>
              </w:rPr>
            </w:pPr>
            <w:r w:rsidRPr="00470415">
              <w:rPr>
                <w:rFonts w:cs="Calibri"/>
              </w:rPr>
              <w:t xml:space="preserve">The following table sets out the </w:t>
            </w:r>
            <w:r w:rsidR="00B96D8D" w:rsidRPr="00470415">
              <w:rPr>
                <w:rFonts w:cs="Calibri"/>
              </w:rPr>
              <w:t>Agency</w:t>
            </w:r>
            <w:r w:rsidRPr="00470415">
              <w:rPr>
                <w:rFonts w:cs="Calibri"/>
              </w:rPr>
              <w:t xml:space="preserve">’s </w:t>
            </w:r>
            <w:r w:rsidR="00AE4817" w:rsidRPr="00470415">
              <w:rPr>
                <w:rFonts w:cs="Calibri"/>
              </w:rPr>
              <w:t xml:space="preserve">maturity analysis for financial liabilities as well as the </w:t>
            </w:r>
            <w:r w:rsidRPr="00470415">
              <w:rPr>
                <w:rFonts w:cs="Calibri"/>
              </w:rPr>
              <w:t>exposure to interest rates, including the weighted average interest rates by maturity period as at 30 June</w:t>
            </w:r>
            <w:r w:rsidR="00615F4A" w:rsidRPr="00470415">
              <w:rPr>
                <w:rFonts w:cs="Calibri"/>
              </w:rPr>
              <w:t xml:space="preserve"> </w:t>
            </w:r>
            <w:r w:rsidR="005E3DFA" w:rsidRPr="00470415">
              <w:rPr>
                <w:rFonts w:cs="Calibri"/>
              </w:rPr>
              <w:t>202</w:t>
            </w:r>
            <w:r w:rsidR="00D55D52">
              <w:rPr>
                <w:rFonts w:cs="Calibri"/>
              </w:rPr>
              <w:t>2</w:t>
            </w:r>
            <w:r w:rsidRPr="00470415">
              <w:rPr>
                <w:rFonts w:cs="Calibri"/>
              </w:rPr>
              <w:t>.</w:t>
            </w:r>
            <w:r w:rsidR="00A0144A" w:rsidRPr="00470415">
              <w:rPr>
                <w:rFonts w:cs="Calibri"/>
              </w:rPr>
              <w:t xml:space="preserve"> </w:t>
            </w:r>
            <w:r w:rsidR="0048448D" w:rsidRPr="00470415">
              <w:rPr>
                <w:rFonts w:cs="Calibri"/>
              </w:rPr>
              <w:t xml:space="preserve">Except for non-current payables, </w:t>
            </w:r>
            <w:r w:rsidR="00A0144A" w:rsidRPr="00470415">
              <w:rPr>
                <w:rFonts w:cs="Calibri"/>
              </w:rPr>
              <w:t>financial liabilities</w:t>
            </w:r>
            <w:r w:rsidR="001604D1"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D97209" w:rsidRPr="00470415">
              <w:rPr>
                <w:rFonts w:cs="Calibri"/>
              </w:rPr>
              <w:t>All amounts appearing in the following maturity analysis are shown on an undiscounted cash flow basis.</w:t>
            </w:r>
          </w:p>
        </w:tc>
      </w:tr>
      <w:tr w:rsidR="00470415" w:rsidRPr="00470415" w14:paraId="657C4EAA"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449E4BC2" w14:textId="77777777" w:rsidR="000144FF" w:rsidRPr="00470415" w:rsidRDefault="000144FF">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07CD2E77" w14:textId="0E438FF0" w:rsidR="000144FF" w:rsidRPr="00470415" w:rsidRDefault="005E3DFA">
            <w:pPr>
              <w:pStyle w:val="CommentaryReference"/>
              <w:rPr>
                <w:rFonts w:cs="Calibri"/>
                <w:b/>
                <w:sz w:val="18"/>
                <w:szCs w:val="18"/>
              </w:rPr>
            </w:pPr>
            <w:r w:rsidRPr="00470415">
              <w:rPr>
                <w:rFonts w:cs="Calibri"/>
                <w:b/>
                <w:bCs/>
                <w:sz w:val="18"/>
                <w:szCs w:val="18"/>
              </w:rPr>
              <w:t>202</w:t>
            </w:r>
            <w:r w:rsidR="00D55D52">
              <w:rPr>
                <w:rFonts w:cs="Calibri"/>
                <w:b/>
                <w:bCs/>
                <w:sz w:val="18"/>
                <w:szCs w:val="18"/>
              </w:rPr>
              <w:t>2</w:t>
            </w:r>
          </w:p>
        </w:tc>
      </w:tr>
      <w:tr w:rsidR="00470415" w:rsidRPr="00470415" w14:paraId="2C027FA1"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017FCD3D" w14:textId="77777777" w:rsidR="00810B4A" w:rsidRPr="00470415" w:rsidRDefault="00810B4A">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1EF1597B" w14:textId="77777777" w:rsidR="00810B4A" w:rsidRPr="00470415" w:rsidRDefault="00810B4A">
            <w:pPr>
              <w:pStyle w:val="CommentaryReference"/>
              <w:rPr>
                <w:rFonts w:cs="Calibri"/>
                <w:b/>
                <w:bCs/>
                <w:sz w:val="18"/>
                <w:szCs w:val="18"/>
              </w:rPr>
            </w:pPr>
          </w:p>
        </w:tc>
      </w:tr>
      <w:tr w:rsidR="00470415" w:rsidRPr="00470415" w14:paraId="3D176D6D" w14:textId="77777777" w:rsidTr="0004564D">
        <w:trPr>
          <w:gridAfter w:val="1"/>
          <w:wAfter w:w="61" w:type="dxa"/>
          <w:cantSplit/>
          <w:trHeight w:val="204"/>
        </w:trPr>
        <w:tc>
          <w:tcPr>
            <w:tcW w:w="1563" w:type="dxa"/>
            <w:tcBorders>
              <w:top w:val="nil"/>
              <w:left w:val="single" w:sz="2" w:space="0" w:color="auto"/>
              <w:bottom w:val="nil"/>
              <w:right w:val="single" w:sz="2" w:space="0" w:color="auto"/>
            </w:tcBorders>
          </w:tcPr>
          <w:p w14:paraId="6CE2BBE0" w14:textId="77777777" w:rsidR="000144FF" w:rsidRPr="00470415" w:rsidRDefault="000144FF">
            <w:pPr>
              <w:pStyle w:val="TableReference"/>
              <w:tabs>
                <w:tab w:val="left" w:pos="3306"/>
              </w:tabs>
              <w:spacing w:before="40"/>
              <w:rPr>
                <w:rFonts w:cs="Calibri"/>
                <w:color w:val="7030A0"/>
                <w:sz w:val="14"/>
              </w:rPr>
            </w:pPr>
          </w:p>
        </w:tc>
        <w:tc>
          <w:tcPr>
            <w:tcW w:w="6987" w:type="dxa"/>
            <w:gridSpan w:val="5"/>
            <w:tcBorders>
              <w:top w:val="nil"/>
              <w:left w:val="single" w:sz="2" w:space="0" w:color="auto"/>
              <w:bottom w:val="nil"/>
              <w:right w:val="nil"/>
            </w:tcBorders>
            <w:vAlign w:val="bottom"/>
          </w:tcPr>
          <w:p w14:paraId="514E84B3" w14:textId="77777777" w:rsidR="000144FF" w:rsidRPr="004E2AC4" w:rsidRDefault="000144FF">
            <w:pPr>
              <w:pStyle w:val="TableTitle"/>
              <w:tabs>
                <w:tab w:val="left" w:pos="3306"/>
              </w:tabs>
              <w:rPr>
                <w:rFonts w:cs="Calibri"/>
                <w:b w:val="0"/>
                <w:bCs w:val="0"/>
              </w:rPr>
            </w:pPr>
          </w:p>
        </w:tc>
        <w:tc>
          <w:tcPr>
            <w:tcW w:w="4389" w:type="dxa"/>
            <w:gridSpan w:val="4"/>
            <w:tcBorders>
              <w:top w:val="nil"/>
              <w:left w:val="nil"/>
              <w:bottom w:val="single" w:sz="4" w:space="0" w:color="auto"/>
              <w:right w:val="nil"/>
            </w:tcBorders>
            <w:vAlign w:val="bottom"/>
          </w:tcPr>
          <w:p w14:paraId="4C459879" w14:textId="77777777" w:rsidR="000144FF" w:rsidRPr="00470415" w:rsidRDefault="000144FF" w:rsidP="000B294B">
            <w:pPr>
              <w:pStyle w:val="TableTitle"/>
              <w:ind w:left="504"/>
              <w:jc w:val="center"/>
              <w:rPr>
                <w:rFonts w:cs="Calibri"/>
              </w:rPr>
            </w:pPr>
            <w:r w:rsidRPr="00470415">
              <w:rPr>
                <w:rFonts w:cs="Calibri"/>
              </w:rPr>
              <w:t>Fixed Interest Maturing In:</w:t>
            </w:r>
          </w:p>
        </w:tc>
        <w:tc>
          <w:tcPr>
            <w:tcW w:w="2669" w:type="dxa"/>
            <w:gridSpan w:val="2"/>
            <w:tcBorders>
              <w:top w:val="nil"/>
              <w:left w:val="nil"/>
              <w:bottom w:val="nil"/>
              <w:right w:val="nil"/>
            </w:tcBorders>
            <w:vAlign w:val="bottom"/>
          </w:tcPr>
          <w:p w14:paraId="24F744CF" w14:textId="77777777" w:rsidR="000144FF" w:rsidRPr="00470415" w:rsidRDefault="000144FF">
            <w:pPr>
              <w:pStyle w:val="TableTitle"/>
              <w:tabs>
                <w:tab w:val="left" w:pos="3306"/>
              </w:tabs>
              <w:rPr>
                <w:rFonts w:cs="Calibri"/>
                <w:b w:val="0"/>
                <w:bCs w:val="0"/>
              </w:rPr>
            </w:pPr>
          </w:p>
        </w:tc>
      </w:tr>
      <w:tr w:rsidR="005A6741" w:rsidRPr="00CF7E1B" w14:paraId="7EBFE021"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6CDB93A" w14:textId="77777777" w:rsidR="005A6741" w:rsidRPr="00470415" w:rsidRDefault="005A6741">
            <w:pPr>
              <w:pStyle w:val="TableReference"/>
              <w:tabs>
                <w:tab w:val="left" w:pos="3306"/>
              </w:tabs>
              <w:spacing w:before="40"/>
              <w:rPr>
                <w:rFonts w:cs="Calibri"/>
                <w:color w:val="7030A0"/>
                <w:sz w:val="14"/>
              </w:rPr>
            </w:pPr>
            <w:r w:rsidRPr="00470415">
              <w:rPr>
                <w:rFonts w:cs="Calibri"/>
                <w:color w:val="7030A0"/>
                <w:sz w:val="14"/>
              </w:rPr>
              <w:t>AASB 7.B11</w:t>
            </w:r>
          </w:p>
        </w:tc>
        <w:tc>
          <w:tcPr>
            <w:tcW w:w="3909" w:type="dxa"/>
            <w:tcBorders>
              <w:top w:val="nil"/>
              <w:left w:val="single" w:sz="2" w:space="0" w:color="auto"/>
              <w:bottom w:val="nil"/>
              <w:right w:val="nil"/>
            </w:tcBorders>
            <w:vAlign w:val="bottom"/>
          </w:tcPr>
          <w:p w14:paraId="5D47BC9C" w14:textId="77777777" w:rsidR="005A6741" w:rsidRPr="00470415" w:rsidRDefault="005A6741" w:rsidP="000D7B08">
            <w:pPr>
              <w:pStyle w:val="TableTitle"/>
              <w:tabs>
                <w:tab w:val="left" w:pos="3306"/>
              </w:tabs>
              <w:jc w:val="left"/>
              <w:rPr>
                <w:rFonts w:cs="Calibri"/>
                <w:b w:val="0"/>
                <w:bCs w:val="0"/>
              </w:rPr>
            </w:pPr>
          </w:p>
        </w:tc>
        <w:tc>
          <w:tcPr>
            <w:tcW w:w="627" w:type="dxa"/>
            <w:tcBorders>
              <w:top w:val="nil"/>
              <w:left w:val="nil"/>
              <w:bottom w:val="nil"/>
              <w:right w:val="nil"/>
            </w:tcBorders>
            <w:vAlign w:val="bottom"/>
          </w:tcPr>
          <w:p w14:paraId="241BA502" w14:textId="77777777" w:rsidR="005A6741" w:rsidRPr="00470415" w:rsidRDefault="005A6741">
            <w:pPr>
              <w:pStyle w:val="TableTitle"/>
              <w:tabs>
                <w:tab w:val="left" w:pos="3306"/>
              </w:tabs>
              <w:jc w:val="center"/>
              <w:rPr>
                <w:rFonts w:cs="Calibri"/>
              </w:rPr>
            </w:pPr>
            <w:r w:rsidRPr="00470415">
              <w:rPr>
                <w:rFonts w:cs="Calibri"/>
              </w:rPr>
              <w:t>Note</w:t>
            </w:r>
          </w:p>
        </w:tc>
        <w:tc>
          <w:tcPr>
            <w:tcW w:w="961" w:type="dxa"/>
            <w:tcBorders>
              <w:top w:val="nil"/>
              <w:left w:val="nil"/>
              <w:bottom w:val="nil"/>
              <w:right w:val="nil"/>
            </w:tcBorders>
          </w:tcPr>
          <w:p w14:paraId="53960CA0" w14:textId="77777777" w:rsidR="005A6741" w:rsidRPr="00470415" w:rsidRDefault="005A6741" w:rsidP="002F567C">
            <w:pPr>
              <w:pStyle w:val="TableTitle"/>
              <w:tabs>
                <w:tab w:val="left" w:pos="3306"/>
              </w:tabs>
              <w:jc w:val="center"/>
              <w:rPr>
                <w:rFonts w:cs="Calibri"/>
              </w:rPr>
            </w:pPr>
            <w:r w:rsidRPr="00470415">
              <w:rPr>
                <w:rFonts w:cs="Calibri"/>
              </w:rPr>
              <w:t>Weighted Average Interest Rate</w:t>
            </w:r>
          </w:p>
        </w:tc>
        <w:tc>
          <w:tcPr>
            <w:tcW w:w="1484" w:type="dxa"/>
            <w:tcBorders>
              <w:top w:val="nil"/>
              <w:left w:val="nil"/>
              <w:bottom w:val="nil"/>
              <w:right w:val="nil"/>
            </w:tcBorders>
            <w:vAlign w:val="bottom"/>
          </w:tcPr>
          <w:p w14:paraId="3E6F3A3B" w14:textId="77777777" w:rsidR="005A6741" w:rsidRPr="00470415" w:rsidRDefault="005A6741" w:rsidP="00DB02DF">
            <w:pPr>
              <w:pStyle w:val="TableTitle"/>
              <w:tabs>
                <w:tab w:val="left" w:pos="3306"/>
              </w:tabs>
              <w:rPr>
                <w:rFonts w:cs="Calibri"/>
              </w:rPr>
            </w:pPr>
            <w:r w:rsidRPr="00470415">
              <w:rPr>
                <w:rFonts w:cs="Calibri"/>
              </w:rPr>
              <w:t>Floating Interest Rate</w:t>
            </w:r>
          </w:p>
        </w:tc>
        <w:tc>
          <w:tcPr>
            <w:tcW w:w="1482" w:type="dxa"/>
            <w:gridSpan w:val="2"/>
            <w:tcBorders>
              <w:top w:val="single" w:sz="2" w:space="0" w:color="auto"/>
              <w:left w:val="nil"/>
              <w:bottom w:val="nil"/>
              <w:right w:val="nil"/>
            </w:tcBorders>
            <w:vAlign w:val="bottom"/>
          </w:tcPr>
          <w:p w14:paraId="4C19B6AF" w14:textId="77777777" w:rsidR="005A6741" w:rsidRPr="00470415" w:rsidRDefault="005A6741" w:rsidP="00DB02DF">
            <w:pPr>
              <w:pStyle w:val="TableTitle"/>
              <w:tabs>
                <w:tab w:val="left" w:pos="3306"/>
              </w:tabs>
              <w:rPr>
                <w:rFonts w:cs="Calibri"/>
              </w:rPr>
            </w:pPr>
            <w:r w:rsidRPr="00470415">
              <w:rPr>
                <w:rFonts w:cs="Calibri"/>
              </w:rPr>
              <w:t>1 Year or Less</w:t>
            </w:r>
          </w:p>
        </w:tc>
        <w:tc>
          <w:tcPr>
            <w:tcW w:w="1539" w:type="dxa"/>
            <w:tcBorders>
              <w:top w:val="single" w:sz="2" w:space="0" w:color="auto"/>
              <w:left w:val="nil"/>
              <w:bottom w:val="nil"/>
              <w:right w:val="nil"/>
            </w:tcBorders>
            <w:vAlign w:val="bottom"/>
          </w:tcPr>
          <w:p w14:paraId="11823BD5" w14:textId="77777777" w:rsidR="005A6741" w:rsidRPr="00470415" w:rsidRDefault="005A6741" w:rsidP="00DB02DF">
            <w:pPr>
              <w:pStyle w:val="TableTitle"/>
              <w:tabs>
                <w:tab w:val="left" w:pos="3306"/>
              </w:tabs>
              <w:rPr>
                <w:rFonts w:cs="Calibri"/>
              </w:rPr>
            </w:pPr>
            <w:r w:rsidRPr="00470415">
              <w:rPr>
                <w:rFonts w:cs="Calibri"/>
              </w:rPr>
              <w:t>Over 1 Year to 5 Years</w:t>
            </w:r>
          </w:p>
        </w:tc>
        <w:tc>
          <w:tcPr>
            <w:tcW w:w="1368" w:type="dxa"/>
            <w:tcBorders>
              <w:top w:val="single" w:sz="2" w:space="0" w:color="auto"/>
              <w:left w:val="nil"/>
              <w:bottom w:val="nil"/>
              <w:right w:val="nil"/>
            </w:tcBorders>
            <w:vAlign w:val="bottom"/>
          </w:tcPr>
          <w:p w14:paraId="4C3E0F34" w14:textId="77777777" w:rsidR="005A6741" w:rsidRPr="00470415" w:rsidRDefault="005A6741" w:rsidP="00DB02DF">
            <w:pPr>
              <w:pStyle w:val="TableTitle"/>
              <w:tabs>
                <w:tab w:val="left" w:pos="3306"/>
              </w:tabs>
              <w:rPr>
                <w:rFonts w:cs="Calibri"/>
              </w:rPr>
            </w:pPr>
            <w:r w:rsidRPr="00470415">
              <w:rPr>
                <w:rFonts w:cs="Calibri"/>
              </w:rPr>
              <w:t>Over 5 Years</w:t>
            </w:r>
          </w:p>
        </w:tc>
        <w:tc>
          <w:tcPr>
            <w:tcW w:w="1425" w:type="dxa"/>
            <w:gridSpan w:val="2"/>
            <w:tcBorders>
              <w:top w:val="nil"/>
              <w:left w:val="nil"/>
              <w:bottom w:val="nil"/>
              <w:right w:val="nil"/>
            </w:tcBorders>
            <w:vAlign w:val="bottom"/>
          </w:tcPr>
          <w:p w14:paraId="03DA19E8" w14:textId="77777777" w:rsidR="005A6741" w:rsidRPr="00470415" w:rsidRDefault="005A6741" w:rsidP="00DB02DF">
            <w:pPr>
              <w:pStyle w:val="TableTitle"/>
              <w:tabs>
                <w:tab w:val="left" w:pos="3306"/>
              </w:tabs>
              <w:rPr>
                <w:rFonts w:cs="Calibri"/>
              </w:rPr>
            </w:pPr>
            <w:r w:rsidRPr="00470415">
              <w:rPr>
                <w:rFonts w:cs="Calibri"/>
              </w:rPr>
              <w:t>Non-Interest Bearing</w:t>
            </w:r>
          </w:p>
        </w:tc>
        <w:tc>
          <w:tcPr>
            <w:tcW w:w="1311" w:type="dxa"/>
            <w:gridSpan w:val="2"/>
            <w:tcBorders>
              <w:top w:val="nil"/>
              <w:left w:val="nil"/>
              <w:bottom w:val="nil"/>
              <w:right w:val="nil"/>
            </w:tcBorders>
            <w:vAlign w:val="bottom"/>
          </w:tcPr>
          <w:p w14:paraId="61208EDA" w14:textId="77777777" w:rsidR="005A6741" w:rsidRPr="00470415" w:rsidRDefault="005A6741">
            <w:pPr>
              <w:pStyle w:val="TableTitle"/>
              <w:tabs>
                <w:tab w:val="left" w:pos="3306"/>
              </w:tabs>
              <w:rPr>
                <w:rFonts w:cs="Calibri"/>
                <w:b w:val="0"/>
                <w:bCs w:val="0"/>
              </w:rPr>
            </w:pPr>
          </w:p>
          <w:p w14:paraId="39153C87" w14:textId="77777777" w:rsidR="005A6741" w:rsidRPr="00470415" w:rsidRDefault="005A6741">
            <w:pPr>
              <w:pStyle w:val="TableTitle"/>
              <w:tabs>
                <w:tab w:val="left" w:pos="3306"/>
              </w:tabs>
              <w:rPr>
                <w:rFonts w:cs="Calibri"/>
              </w:rPr>
            </w:pPr>
            <w:r w:rsidRPr="00470415">
              <w:rPr>
                <w:rFonts w:cs="Calibri"/>
              </w:rPr>
              <w:t>Total</w:t>
            </w:r>
          </w:p>
        </w:tc>
      </w:tr>
      <w:tr w:rsidR="005A6741" w:rsidRPr="00CF7E1B" w14:paraId="59554CD7"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2065112"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760D569" w14:textId="77777777" w:rsidR="005A6741" w:rsidRPr="00470415" w:rsidRDefault="005A6741">
            <w:pPr>
              <w:pStyle w:val="TableTitle"/>
              <w:tabs>
                <w:tab w:val="left" w:pos="3306"/>
              </w:tabs>
              <w:rPr>
                <w:rFonts w:cs="Calibri"/>
                <w:b w:val="0"/>
                <w:bCs w:val="0"/>
              </w:rPr>
            </w:pPr>
          </w:p>
        </w:tc>
        <w:tc>
          <w:tcPr>
            <w:tcW w:w="627" w:type="dxa"/>
            <w:tcBorders>
              <w:top w:val="nil"/>
              <w:left w:val="nil"/>
              <w:bottom w:val="nil"/>
              <w:right w:val="nil"/>
            </w:tcBorders>
            <w:vAlign w:val="bottom"/>
          </w:tcPr>
          <w:p w14:paraId="08E80DFD" w14:textId="77777777" w:rsidR="005A6741" w:rsidRPr="00470415" w:rsidRDefault="009770A4">
            <w:pPr>
              <w:pStyle w:val="TableTitle"/>
              <w:tabs>
                <w:tab w:val="left" w:pos="3306"/>
              </w:tabs>
              <w:jc w:val="center"/>
              <w:rPr>
                <w:rFonts w:cs="Calibri"/>
                <w:bCs w:val="0"/>
              </w:rPr>
            </w:pPr>
            <w:r w:rsidRPr="00470415">
              <w:rPr>
                <w:rFonts w:cs="Calibri"/>
                <w:bCs w:val="0"/>
              </w:rPr>
              <w:t>No.</w:t>
            </w:r>
          </w:p>
        </w:tc>
        <w:tc>
          <w:tcPr>
            <w:tcW w:w="961" w:type="dxa"/>
            <w:tcBorders>
              <w:top w:val="nil"/>
              <w:left w:val="nil"/>
              <w:bottom w:val="nil"/>
              <w:right w:val="nil"/>
            </w:tcBorders>
          </w:tcPr>
          <w:p w14:paraId="496D6B84" w14:textId="223BBB65" w:rsidR="005A6741" w:rsidRPr="00470415" w:rsidRDefault="00372554" w:rsidP="00372554">
            <w:pPr>
              <w:pStyle w:val="TableTitle"/>
              <w:tabs>
                <w:tab w:val="left" w:pos="3306"/>
              </w:tabs>
              <w:jc w:val="center"/>
              <w:rPr>
                <w:rFonts w:cs="Calibri"/>
              </w:rPr>
            </w:pPr>
            <w:r w:rsidRPr="00470415">
              <w:rPr>
                <w:rFonts w:cs="Calibri"/>
              </w:rPr>
              <w:t>%</w:t>
            </w:r>
          </w:p>
        </w:tc>
        <w:tc>
          <w:tcPr>
            <w:tcW w:w="1484" w:type="dxa"/>
            <w:tcBorders>
              <w:top w:val="nil"/>
              <w:left w:val="nil"/>
              <w:bottom w:val="nil"/>
              <w:right w:val="nil"/>
            </w:tcBorders>
            <w:vAlign w:val="bottom"/>
          </w:tcPr>
          <w:p w14:paraId="05C2812C" w14:textId="77777777" w:rsidR="005A6741" w:rsidRPr="00470415" w:rsidRDefault="005A6741">
            <w:pPr>
              <w:pStyle w:val="TableTitle"/>
              <w:tabs>
                <w:tab w:val="left" w:pos="3306"/>
              </w:tabs>
              <w:rPr>
                <w:rFonts w:cs="Calibri"/>
              </w:rPr>
            </w:pPr>
            <w:bookmarkStart w:id="766" w:name="_Toc48468677"/>
            <w:bookmarkStart w:id="767" w:name="_Toc49155776"/>
            <w:bookmarkStart w:id="768" w:name="_Toc49224193"/>
            <w:r w:rsidRPr="00470415">
              <w:rPr>
                <w:rFonts w:cs="Calibri"/>
              </w:rPr>
              <w:t>$’000</w:t>
            </w:r>
            <w:bookmarkEnd w:id="766"/>
            <w:bookmarkEnd w:id="767"/>
            <w:bookmarkEnd w:id="768"/>
          </w:p>
        </w:tc>
        <w:tc>
          <w:tcPr>
            <w:tcW w:w="1482" w:type="dxa"/>
            <w:gridSpan w:val="2"/>
            <w:tcBorders>
              <w:top w:val="nil"/>
              <w:left w:val="nil"/>
              <w:bottom w:val="nil"/>
              <w:right w:val="nil"/>
            </w:tcBorders>
          </w:tcPr>
          <w:p w14:paraId="11E21CC6" w14:textId="77777777" w:rsidR="005A6741" w:rsidRPr="00470415" w:rsidRDefault="005A6741">
            <w:pPr>
              <w:pStyle w:val="TableTitle"/>
              <w:tabs>
                <w:tab w:val="left" w:pos="3306"/>
              </w:tabs>
              <w:rPr>
                <w:rFonts w:cs="Calibri"/>
              </w:rPr>
            </w:pPr>
            <w:r w:rsidRPr="00470415">
              <w:rPr>
                <w:rFonts w:cs="Calibri"/>
              </w:rPr>
              <w:t>$’000</w:t>
            </w:r>
          </w:p>
        </w:tc>
        <w:tc>
          <w:tcPr>
            <w:tcW w:w="1539" w:type="dxa"/>
            <w:tcBorders>
              <w:top w:val="nil"/>
              <w:left w:val="nil"/>
              <w:bottom w:val="nil"/>
              <w:right w:val="nil"/>
            </w:tcBorders>
            <w:vAlign w:val="bottom"/>
          </w:tcPr>
          <w:p w14:paraId="2A769CB7" w14:textId="77777777" w:rsidR="005A6741" w:rsidRPr="00470415" w:rsidRDefault="005A6741">
            <w:pPr>
              <w:pStyle w:val="TableTitle"/>
              <w:tabs>
                <w:tab w:val="left" w:pos="3306"/>
              </w:tabs>
              <w:rPr>
                <w:rFonts w:cs="Calibri"/>
              </w:rPr>
            </w:pPr>
            <w:bookmarkStart w:id="769" w:name="_Toc48468679"/>
            <w:bookmarkStart w:id="770" w:name="_Toc49155778"/>
            <w:bookmarkStart w:id="771" w:name="_Toc49224195"/>
            <w:r w:rsidRPr="00470415">
              <w:rPr>
                <w:rFonts w:cs="Calibri"/>
              </w:rPr>
              <w:t>$’000</w:t>
            </w:r>
            <w:bookmarkEnd w:id="769"/>
            <w:bookmarkEnd w:id="770"/>
            <w:bookmarkEnd w:id="771"/>
          </w:p>
        </w:tc>
        <w:tc>
          <w:tcPr>
            <w:tcW w:w="1368" w:type="dxa"/>
            <w:tcBorders>
              <w:top w:val="nil"/>
              <w:left w:val="nil"/>
              <w:bottom w:val="nil"/>
              <w:right w:val="nil"/>
            </w:tcBorders>
            <w:vAlign w:val="bottom"/>
          </w:tcPr>
          <w:p w14:paraId="2366E895" w14:textId="77777777" w:rsidR="005A6741" w:rsidRPr="00470415" w:rsidRDefault="005A6741">
            <w:pPr>
              <w:pStyle w:val="TableTitle"/>
              <w:tabs>
                <w:tab w:val="left" w:pos="3306"/>
              </w:tabs>
              <w:rPr>
                <w:rFonts w:cs="Calibri"/>
              </w:rPr>
            </w:pPr>
            <w:bookmarkStart w:id="772" w:name="_Toc48468680"/>
            <w:bookmarkStart w:id="773" w:name="_Toc49155779"/>
            <w:bookmarkStart w:id="774" w:name="_Toc49224196"/>
            <w:r w:rsidRPr="00470415">
              <w:rPr>
                <w:rFonts w:cs="Calibri"/>
              </w:rPr>
              <w:t>$’000</w:t>
            </w:r>
            <w:bookmarkEnd w:id="772"/>
            <w:bookmarkEnd w:id="773"/>
            <w:bookmarkEnd w:id="774"/>
          </w:p>
        </w:tc>
        <w:tc>
          <w:tcPr>
            <w:tcW w:w="1425" w:type="dxa"/>
            <w:gridSpan w:val="2"/>
            <w:tcBorders>
              <w:top w:val="nil"/>
              <w:left w:val="nil"/>
              <w:bottom w:val="nil"/>
              <w:right w:val="nil"/>
            </w:tcBorders>
            <w:vAlign w:val="bottom"/>
          </w:tcPr>
          <w:p w14:paraId="3DF55646" w14:textId="77777777" w:rsidR="005A6741" w:rsidRPr="00470415" w:rsidRDefault="005A6741">
            <w:pPr>
              <w:pStyle w:val="TableTitle"/>
              <w:tabs>
                <w:tab w:val="left" w:pos="3306"/>
              </w:tabs>
              <w:rPr>
                <w:rFonts w:cs="Calibri"/>
              </w:rPr>
            </w:pPr>
            <w:bookmarkStart w:id="775" w:name="_Toc48468681"/>
            <w:bookmarkStart w:id="776" w:name="_Toc49155780"/>
            <w:bookmarkStart w:id="777" w:name="_Toc49224197"/>
            <w:r w:rsidRPr="00470415">
              <w:rPr>
                <w:rFonts w:cs="Calibri"/>
              </w:rPr>
              <w:t>$’000</w:t>
            </w:r>
            <w:bookmarkEnd w:id="775"/>
            <w:bookmarkEnd w:id="776"/>
            <w:bookmarkEnd w:id="777"/>
          </w:p>
        </w:tc>
        <w:tc>
          <w:tcPr>
            <w:tcW w:w="1311" w:type="dxa"/>
            <w:gridSpan w:val="2"/>
            <w:tcBorders>
              <w:top w:val="nil"/>
              <w:left w:val="nil"/>
              <w:bottom w:val="nil"/>
              <w:right w:val="nil"/>
            </w:tcBorders>
            <w:vAlign w:val="bottom"/>
          </w:tcPr>
          <w:p w14:paraId="07FB9379" w14:textId="77777777" w:rsidR="005A6741" w:rsidRPr="00470415" w:rsidRDefault="005A6741">
            <w:pPr>
              <w:pStyle w:val="TableTitle"/>
              <w:tabs>
                <w:tab w:val="left" w:pos="3306"/>
              </w:tabs>
              <w:rPr>
                <w:rFonts w:cs="Calibri"/>
              </w:rPr>
            </w:pPr>
            <w:bookmarkStart w:id="778" w:name="_Toc48468682"/>
            <w:bookmarkStart w:id="779" w:name="_Toc49155781"/>
            <w:bookmarkStart w:id="780" w:name="_Toc49224198"/>
            <w:r w:rsidRPr="00470415">
              <w:rPr>
                <w:rFonts w:cs="Calibri"/>
              </w:rPr>
              <w:t>$’000</w:t>
            </w:r>
            <w:bookmarkEnd w:id="778"/>
            <w:bookmarkEnd w:id="779"/>
            <w:bookmarkEnd w:id="780"/>
          </w:p>
        </w:tc>
      </w:tr>
      <w:tr w:rsidR="005A6741" w:rsidRPr="00CF7E1B" w14:paraId="3B45DEA5"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70B1BCEA"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DA95DCF" w14:textId="77777777" w:rsidR="005A6741" w:rsidRPr="00470415" w:rsidRDefault="005A6741">
            <w:pPr>
              <w:pStyle w:val="TableTitle"/>
              <w:tabs>
                <w:tab w:val="left" w:pos="3306"/>
              </w:tabs>
              <w:spacing w:before="40"/>
              <w:jc w:val="left"/>
              <w:rPr>
                <w:rFonts w:cs="Calibri"/>
              </w:rPr>
            </w:pPr>
            <w:bookmarkStart w:id="781" w:name="_Toc48468684"/>
            <w:bookmarkStart w:id="782" w:name="_Toc49155783"/>
            <w:bookmarkStart w:id="783" w:name="_Toc49224200"/>
            <w:r w:rsidRPr="00470415">
              <w:rPr>
                <w:rFonts w:cs="Calibri"/>
              </w:rPr>
              <w:t>Financial Liabilities</w:t>
            </w:r>
            <w:bookmarkEnd w:id="781"/>
            <w:bookmarkEnd w:id="782"/>
            <w:bookmarkEnd w:id="783"/>
          </w:p>
        </w:tc>
        <w:tc>
          <w:tcPr>
            <w:tcW w:w="627" w:type="dxa"/>
            <w:tcBorders>
              <w:top w:val="nil"/>
              <w:left w:val="nil"/>
              <w:bottom w:val="nil"/>
              <w:right w:val="nil"/>
            </w:tcBorders>
            <w:vAlign w:val="bottom"/>
          </w:tcPr>
          <w:p w14:paraId="1580B155" w14:textId="77777777" w:rsidR="005A6741" w:rsidRPr="00470415" w:rsidRDefault="005A6741">
            <w:pPr>
              <w:pStyle w:val="TableTitle"/>
              <w:tabs>
                <w:tab w:val="left" w:pos="3306"/>
              </w:tabs>
              <w:jc w:val="center"/>
              <w:rPr>
                <w:rFonts w:cs="Calibri"/>
                <w:b w:val="0"/>
                <w:bCs w:val="0"/>
                <w:strike/>
              </w:rPr>
            </w:pPr>
          </w:p>
        </w:tc>
        <w:tc>
          <w:tcPr>
            <w:tcW w:w="961" w:type="dxa"/>
            <w:tcBorders>
              <w:top w:val="nil"/>
              <w:left w:val="nil"/>
              <w:bottom w:val="nil"/>
              <w:right w:val="nil"/>
            </w:tcBorders>
          </w:tcPr>
          <w:p w14:paraId="051FC959" w14:textId="77777777" w:rsidR="005A6741" w:rsidRPr="00470415" w:rsidRDefault="005A6741">
            <w:pPr>
              <w:pStyle w:val="TableTitle"/>
              <w:tabs>
                <w:tab w:val="left" w:pos="3306"/>
              </w:tabs>
              <w:rPr>
                <w:rFonts w:cs="Calibri"/>
                <w:b w:val="0"/>
                <w:bCs w:val="0"/>
              </w:rPr>
            </w:pPr>
          </w:p>
        </w:tc>
        <w:tc>
          <w:tcPr>
            <w:tcW w:w="1484" w:type="dxa"/>
            <w:tcBorders>
              <w:top w:val="nil"/>
              <w:left w:val="nil"/>
              <w:bottom w:val="nil"/>
              <w:right w:val="nil"/>
            </w:tcBorders>
            <w:vAlign w:val="bottom"/>
          </w:tcPr>
          <w:p w14:paraId="2F7C090A" w14:textId="77777777"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tcPr>
          <w:p w14:paraId="447396D4" w14:textId="77777777"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216E26D3" w14:textId="77777777"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19D41E08" w14:textId="77777777"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990E747" w14:textId="77777777"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47058ED8" w14:textId="77777777" w:rsidR="005A6741" w:rsidRPr="00470415" w:rsidRDefault="005A6741">
            <w:pPr>
              <w:pStyle w:val="TableTitle"/>
              <w:tabs>
                <w:tab w:val="left" w:pos="3306"/>
              </w:tabs>
              <w:rPr>
                <w:rFonts w:cs="Calibri"/>
                <w:b w:val="0"/>
                <w:bCs w:val="0"/>
              </w:rPr>
            </w:pPr>
          </w:p>
        </w:tc>
      </w:tr>
      <w:tr w:rsidR="005A6741" w:rsidRPr="00CF7E1B" w14:paraId="513332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027B222F"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48DB0811" w14:textId="423F9CB1" w:rsidR="005A6741" w:rsidRPr="00470415" w:rsidRDefault="005A6741">
            <w:pPr>
              <w:pStyle w:val="TableTitle"/>
              <w:tabs>
                <w:tab w:val="left" w:pos="3306"/>
              </w:tabs>
              <w:spacing w:before="40"/>
              <w:jc w:val="left"/>
              <w:rPr>
                <w:rFonts w:cs="Calibri"/>
                <w:b w:val="0"/>
                <w:bCs w:val="0"/>
              </w:rPr>
            </w:pPr>
            <w:r w:rsidRPr="0007146C">
              <w:rPr>
                <w:rFonts w:cs="Calibri"/>
                <w:b w:val="0"/>
                <w:bCs w:val="0"/>
              </w:rPr>
              <w:t>Payables</w:t>
            </w:r>
            <w:r w:rsidR="005559F1" w:rsidRPr="00470415">
              <w:rPr>
                <w:rFonts w:cs="Calibri"/>
                <w:b w:val="0"/>
                <w:bCs w:val="0"/>
              </w:rPr>
              <w:t xml:space="preserve"> </w:t>
            </w:r>
          </w:p>
        </w:tc>
        <w:tc>
          <w:tcPr>
            <w:tcW w:w="627" w:type="dxa"/>
            <w:tcBorders>
              <w:top w:val="nil"/>
              <w:left w:val="nil"/>
              <w:bottom w:val="nil"/>
              <w:right w:val="nil"/>
            </w:tcBorders>
            <w:vAlign w:val="bottom"/>
          </w:tcPr>
          <w:p w14:paraId="15D1475A" w14:textId="4255A923" w:rsidR="005A6741" w:rsidRPr="00470415" w:rsidRDefault="00F06360" w:rsidP="006E1C8E">
            <w:pPr>
              <w:pStyle w:val="TableTitle"/>
              <w:tabs>
                <w:tab w:val="left" w:pos="3306"/>
              </w:tabs>
              <w:jc w:val="center"/>
              <w:rPr>
                <w:rFonts w:cs="Calibri"/>
                <w:b w:val="0"/>
                <w:bCs w:val="0"/>
                <w:strike/>
              </w:rPr>
            </w:pPr>
            <w:r w:rsidRPr="00470415">
              <w:rPr>
                <w:rFonts w:cs="Calibri"/>
                <w:b w:val="0"/>
                <w:bCs w:val="0"/>
              </w:rPr>
              <w:t>24</w:t>
            </w:r>
          </w:p>
        </w:tc>
        <w:tc>
          <w:tcPr>
            <w:tcW w:w="961" w:type="dxa"/>
            <w:tcBorders>
              <w:top w:val="nil"/>
              <w:left w:val="nil"/>
              <w:bottom w:val="nil"/>
              <w:right w:val="nil"/>
            </w:tcBorders>
          </w:tcPr>
          <w:p w14:paraId="18AB03A4" w14:textId="77777777" w:rsidR="005A6741" w:rsidRPr="00470415" w:rsidRDefault="005A6741">
            <w:pPr>
              <w:pStyle w:val="TableTitle"/>
              <w:tabs>
                <w:tab w:val="left" w:pos="3306"/>
              </w:tabs>
              <w:rPr>
                <w:rFonts w:cs="Calibri"/>
                <w:b w:val="0"/>
                <w:bCs w:val="0"/>
              </w:rPr>
            </w:pPr>
          </w:p>
        </w:tc>
        <w:tc>
          <w:tcPr>
            <w:tcW w:w="1484" w:type="dxa"/>
            <w:tcBorders>
              <w:top w:val="nil"/>
              <w:left w:val="nil"/>
              <w:bottom w:val="nil"/>
              <w:right w:val="nil"/>
            </w:tcBorders>
            <w:vAlign w:val="bottom"/>
          </w:tcPr>
          <w:p w14:paraId="73B76A0A" w14:textId="42F71D9B"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tcPr>
          <w:p w14:paraId="5E6BFC10" w14:textId="3DC4D39E"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6FB1EA85" w14:textId="70EC8C07"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177EE20F" w14:textId="08A30467"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9B32918" w14:textId="563D4C40"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693C8124" w14:textId="781B9C04" w:rsidR="005A6741" w:rsidRPr="00470415" w:rsidRDefault="005A6741">
            <w:pPr>
              <w:pStyle w:val="TableTitle"/>
              <w:tabs>
                <w:tab w:val="left" w:pos="3306"/>
              </w:tabs>
              <w:rPr>
                <w:rFonts w:cs="Calibri"/>
                <w:b w:val="0"/>
                <w:bCs w:val="0"/>
              </w:rPr>
            </w:pPr>
          </w:p>
        </w:tc>
      </w:tr>
      <w:tr w:rsidR="00D12083" w:rsidRPr="00CF7E1B" w14:paraId="07FC2F57"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8ACC108" w14:textId="77777777" w:rsidR="00D12083" w:rsidRPr="00470415" w:rsidRDefault="00D12083">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06761179" w14:textId="0690E2EF" w:rsidR="00D12083" w:rsidRPr="005559F1" w:rsidRDefault="00D12083">
            <w:pPr>
              <w:pStyle w:val="TableTitle"/>
              <w:tabs>
                <w:tab w:val="left" w:pos="3306"/>
              </w:tabs>
              <w:spacing w:before="40"/>
              <w:jc w:val="left"/>
              <w:rPr>
                <w:rFonts w:cs="Calibri"/>
                <w:b w:val="0"/>
                <w:bCs w:val="0"/>
                <w:strike/>
              </w:rPr>
            </w:pPr>
            <w:r w:rsidRPr="005559F1">
              <w:rPr>
                <w:rFonts w:cs="Calibri"/>
                <w:b w:val="0"/>
                <w:bCs w:val="0"/>
                <w:strike/>
                <w:color w:val="FF0000"/>
              </w:rPr>
              <w:t>Contract Liabilities</w:t>
            </w:r>
          </w:p>
        </w:tc>
        <w:tc>
          <w:tcPr>
            <w:tcW w:w="627" w:type="dxa"/>
            <w:tcBorders>
              <w:top w:val="nil"/>
              <w:left w:val="nil"/>
              <w:bottom w:val="nil"/>
              <w:right w:val="nil"/>
            </w:tcBorders>
            <w:vAlign w:val="bottom"/>
          </w:tcPr>
          <w:p w14:paraId="7A88FFF5" w14:textId="610BBE91" w:rsidR="00D12083" w:rsidRPr="005559F1" w:rsidRDefault="00F06360" w:rsidP="006E1C8E">
            <w:pPr>
              <w:pStyle w:val="TableTitle"/>
              <w:tabs>
                <w:tab w:val="left" w:pos="3306"/>
              </w:tabs>
              <w:jc w:val="center"/>
              <w:rPr>
                <w:rFonts w:cs="Calibri"/>
                <w:b w:val="0"/>
                <w:bCs w:val="0"/>
                <w:strike/>
                <w:color w:val="FF0000"/>
              </w:rPr>
            </w:pPr>
            <w:r w:rsidRPr="005559F1">
              <w:rPr>
                <w:rFonts w:cs="Calibri"/>
                <w:b w:val="0"/>
                <w:bCs w:val="0"/>
                <w:strike/>
                <w:color w:val="FF0000"/>
              </w:rPr>
              <w:t>24</w:t>
            </w:r>
          </w:p>
        </w:tc>
        <w:tc>
          <w:tcPr>
            <w:tcW w:w="961" w:type="dxa"/>
            <w:tcBorders>
              <w:top w:val="nil"/>
              <w:left w:val="nil"/>
              <w:bottom w:val="nil"/>
              <w:right w:val="nil"/>
            </w:tcBorders>
          </w:tcPr>
          <w:p w14:paraId="74D05243" w14:textId="77777777" w:rsidR="00D12083" w:rsidRPr="00470415" w:rsidRDefault="00D12083">
            <w:pPr>
              <w:pStyle w:val="TableTitle"/>
              <w:tabs>
                <w:tab w:val="left" w:pos="3306"/>
              </w:tabs>
              <w:rPr>
                <w:rFonts w:cs="Calibri"/>
                <w:b w:val="0"/>
                <w:bCs w:val="0"/>
              </w:rPr>
            </w:pPr>
          </w:p>
        </w:tc>
        <w:tc>
          <w:tcPr>
            <w:tcW w:w="1484" w:type="dxa"/>
            <w:tcBorders>
              <w:top w:val="nil"/>
              <w:left w:val="nil"/>
              <w:bottom w:val="nil"/>
              <w:right w:val="nil"/>
            </w:tcBorders>
            <w:vAlign w:val="bottom"/>
          </w:tcPr>
          <w:p w14:paraId="76F0C2B5" w14:textId="77777777" w:rsidR="00D12083" w:rsidRPr="00470415" w:rsidRDefault="00D12083">
            <w:pPr>
              <w:pStyle w:val="TableTitle"/>
              <w:tabs>
                <w:tab w:val="left" w:pos="3306"/>
              </w:tabs>
              <w:rPr>
                <w:rFonts w:cs="Calibri"/>
                <w:b w:val="0"/>
                <w:bCs w:val="0"/>
              </w:rPr>
            </w:pPr>
          </w:p>
        </w:tc>
        <w:tc>
          <w:tcPr>
            <w:tcW w:w="1482" w:type="dxa"/>
            <w:gridSpan w:val="2"/>
            <w:tcBorders>
              <w:top w:val="nil"/>
              <w:left w:val="nil"/>
              <w:bottom w:val="nil"/>
              <w:right w:val="nil"/>
            </w:tcBorders>
          </w:tcPr>
          <w:p w14:paraId="0D6A8907" w14:textId="77777777" w:rsidR="00D12083" w:rsidRPr="00470415" w:rsidRDefault="00D12083">
            <w:pPr>
              <w:pStyle w:val="TableTitle"/>
              <w:tabs>
                <w:tab w:val="left" w:pos="3306"/>
              </w:tabs>
              <w:rPr>
                <w:rFonts w:cs="Calibri"/>
                <w:b w:val="0"/>
                <w:bCs w:val="0"/>
              </w:rPr>
            </w:pPr>
          </w:p>
        </w:tc>
        <w:tc>
          <w:tcPr>
            <w:tcW w:w="1539" w:type="dxa"/>
            <w:tcBorders>
              <w:top w:val="nil"/>
              <w:left w:val="nil"/>
              <w:bottom w:val="nil"/>
              <w:right w:val="nil"/>
            </w:tcBorders>
            <w:vAlign w:val="bottom"/>
          </w:tcPr>
          <w:p w14:paraId="4B177AFA" w14:textId="77777777" w:rsidR="00D12083" w:rsidRPr="00470415" w:rsidRDefault="00D12083">
            <w:pPr>
              <w:pStyle w:val="TableTitle"/>
              <w:tabs>
                <w:tab w:val="left" w:pos="3306"/>
              </w:tabs>
              <w:rPr>
                <w:rFonts w:cs="Calibri"/>
                <w:b w:val="0"/>
                <w:bCs w:val="0"/>
              </w:rPr>
            </w:pPr>
          </w:p>
        </w:tc>
        <w:tc>
          <w:tcPr>
            <w:tcW w:w="1368" w:type="dxa"/>
            <w:tcBorders>
              <w:top w:val="nil"/>
              <w:left w:val="nil"/>
              <w:bottom w:val="nil"/>
              <w:right w:val="nil"/>
            </w:tcBorders>
            <w:vAlign w:val="bottom"/>
          </w:tcPr>
          <w:p w14:paraId="5ED5B3D1" w14:textId="77777777" w:rsidR="00D12083" w:rsidRPr="00470415" w:rsidRDefault="00D1208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7604173" w14:textId="77777777" w:rsidR="00D12083" w:rsidRPr="00470415" w:rsidRDefault="00D12083">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52BBC187" w14:textId="77777777" w:rsidR="00D12083" w:rsidRPr="00470415" w:rsidRDefault="00D12083">
            <w:pPr>
              <w:pStyle w:val="TableTitle"/>
              <w:tabs>
                <w:tab w:val="left" w:pos="3306"/>
              </w:tabs>
              <w:rPr>
                <w:rFonts w:cs="Calibri"/>
                <w:b w:val="0"/>
                <w:bCs w:val="0"/>
              </w:rPr>
            </w:pPr>
          </w:p>
        </w:tc>
      </w:tr>
      <w:tr w:rsidR="005A6741" w:rsidRPr="00CF7E1B" w14:paraId="329558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34383036"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A9E5DB5" w14:textId="77777777" w:rsidR="005A6741" w:rsidRPr="00470415" w:rsidRDefault="005A6741">
            <w:pPr>
              <w:pStyle w:val="TableTitle"/>
              <w:tabs>
                <w:tab w:val="left" w:pos="3306"/>
              </w:tabs>
              <w:spacing w:before="40"/>
              <w:jc w:val="left"/>
              <w:rPr>
                <w:rFonts w:cs="Calibri"/>
                <w:b w:val="0"/>
                <w:bCs w:val="0"/>
              </w:rPr>
            </w:pPr>
            <w:r w:rsidRPr="00470415">
              <w:rPr>
                <w:rFonts w:cs="Calibri"/>
                <w:b w:val="0"/>
                <w:bCs w:val="0"/>
              </w:rPr>
              <w:t>ACT Government Borrowings</w:t>
            </w:r>
          </w:p>
        </w:tc>
        <w:tc>
          <w:tcPr>
            <w:tcW w:w="627" w:type="dxa"/>
            <w:tcBorders>
              <w:top w:val="nil"/>
              <w:left w:val="nil"/>
              <w:bottom w:val="nil"/>
              <w:right w:val="nil"/>
            </w:tcBorders>
            <w:vAlign w:val="bottom"/>
          </w:tcPr>
          <w:p w14:paraId="587DDDA4" w14:textId="0A73C073" w:rsidR="005A6741" w:rsidRPr="00470415" w:rsidRDefault="00F06360">
            <w:pPr>
              <w:pStyle w:val="TableTitle"/>
              <w:tabs>
                <w:tab w:val="left" w:pos="3306"/>
              </w:tabs>
              <w:jc w:val="center"/>
              <w:rPr>
                <w:rFonts w:cs="Calibri"/>
                <w:b w:val="0"/>
                <w:bCs w:val="0"/>
                <w:strike/>
              </w:rPr>
            </w:pPr>
            <w:r w:rsidRPr="00470415">
              <w:rPr>
                <w:rFonts w:cs="Calibri"/>
                <w:b w:val="0"/>
                <w:bCs w:val="0"/>
              </w:rPr>
              <w:t>25</w:t>
            </w:r>
          </w:p>
        </w:tc>
        <w:tc>
          <w:tcPr>
            <w:tcW w:w="961" w:type="dxa"/>
            <w:tcBorders>
              <w:top w:val="nil"/>
              <w:left w:val="nil"/>
              <w:bottom w:val="nil"/>
              <w:right w:val="nil"/>
            </w:tcBorders>
          </w:tcPr>
          <w:p w14:paraId="6FACC434" w14:textId="7C50E956" w:rsidR="005A6741" w:rsidRPr="00470415" w:rsidRDefault="005A6741">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51EFE0BF" w14:textId="5BD454CE"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7A8DE1EA" w14:textId="7D69B867"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3020C8BE" w14:textId="71FC76E2"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74C1E8E0" w14:textId="4DC74DB2"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E0FE0FF" w14:textId="03F449FE"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523767C9" w14:textId="1E60D5BC" w:rsidR="005A6741" w:rsidRPr="00470415" w:rsidRDefault="005A6741">
            <w:pPr>
              <w:pStyle w:val="TableTitle"/>
              <w:tabs>
                <w:tab w:val="left" w:pos="3306"/>
              </w:tabs>
              <w:rPr>
                <w:rFonts w:cs="Calibri"/>
                <w:b w:val="0"/>
                <w:bCs w:val="0"/>
              </w:rPr>
            </w:pPr>
          </w:p>
        </w:tc>
      </w:tr>
      <w:tr w:rsidR="005A6741" w:rsidRPr="00CF7E1B" w14:paraId="1002D76D"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683F359"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2F1B6677" w14:textId="77777777" w:rsidR="005A6741" w:rsidRPr="00470415" w:rsidRDefault="005A6741">
            <w:pPr>
              <w:pStyle w:val="TableTitle"/>
              <w:tabs>
                <w:tab w:val="left" w:pos="3306"/>
              </w:tabs>
              <w:spacing w:before="40"/>
              <w:jc w:val="left"/>
              <w:rPr>
                <w:rFonts w:cs="Calibri"/>
                <w:b w:val="0"/>
                <w:bCs w:val="0"/>
              </w:rPr>
            </w:pPr>
            <w:r w:rsidRPr="00470415">
              <w:rPr>
                <w:rFonts w:cs="Calibri"/>
                <w:b w:val="0"/>
                <w:bCs w:val="0"/>
              </w:rPr>
              <w:t>Commonwealth Borrowings</w:t>
            </w:r>
          </w:p>
        </w:tc>
        <w:tc>
          <w:tcPr>
            <w:tcW w:w="627" w:type="dxa"/>
            <w:tcBorders>
              <w:top w:val="nil"/>
              <w:left w:val="nil"/>
              <w:bottom w:val="nil"/>
              <w:right w:val="nil"/>
            </w:tcBorders>
            <w:vAlign w:val="bottom"/>
          </w:tcPr>
          <w:p w14:paraId="4936A17F" w14:textId="52DB0236" w:rsidR="005A6741" w:rsidRPr="00470415" w:rsidRDefault="00F06360">
            <w:pPr>
              <w:pStyle w:val="TableTitle"/>
              <w:tabs>
                <w:tab w:val="left" w:pos="3306"/>
              </w:tabs>
              <w:jc w:val="center"/>
              <w:rPr>
                <w:rFonts w:cs="Calibri"/>
                <w:b w:val="0"/>
                <w:bCs w:val="0"/>
                <w:strike/>
              </w:rPr>
            </w:pPr>
            <w:r w:rsidRPr="00470415">
              <w:rPr>
                <w:rFonts w:cs="Calibri"/>
                <w:b w:val="0"/>
                <w:bCs w:val="0"/>
              </w:rPr>
              <w:t>25</w:t>
            </w:r>
          </w:p>
        </w:tc>
        <w:tc>
          <w:tcPr>
            <w:tcW w:w="961" w:type="dxa"/>
            <w:tcBorders>
              <w:top w:val="nil"/>
              <w:left w:val="nil"/>
              <w:bottom w:val="nil"/>
              <w:right w:val="nil"/>
            </w:tcBorders>
          </w:tcPr>
          <w:p w14:paraId="4FDE5CCD" w14:textId="4714897E" w:rsidR="005A6741" w:rsidRPr="00470415" w:rsidRDefault="005A6741">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209B123F" w14:textId="749D3544"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7817B255" w14:textId="7C08B1E2"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4021509A" w14:textId="3EB9E165"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591E092C" w14:textId="2811676F"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052C608" w14:textId="036DD858"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32841412" w14:textId="7BC659BE" w:rsidR="005A6741" w:rsidRPr="00470415" w:rsidRDefault="005A6741">
            <w:pPr>
              <w:pStyle w:val="TableTitle"/>
              <w:tabs>
                <w:tab w:val="left" w:pos="3306"/>
              </w:tabs>
              <w:rPr>
                <w:rFonts w:cs="Calibri"/>
                <w:b w:val="0"/>
                <w:bCs w:val="0"/>
              </w:rPr>
            </w:pPr>
          </w:p>
        </w:tc>
      </w:tr>
      <w:tr w:rsidR="009B7948" w:rsidRPr="00CF7E1B" w14:paraId="0E9FFA6A"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552183C" w14:textId="77777777" w:rsidR="009B7948" w:rsidRPr="00470415" w:rsidRDefault="009B7948" w:rsidP="009B7948">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0978763D" w14:textId="1688E421" w:rsidR="009B7948" w:rsidRPr="00470415" w:rsidRDefault="009B7948" w:rsidP="009B7948">
            <w:pPr>
              <w:pStyle w:val="TableTitle"/>
              <w:tabs>
                <w:tab w:val="left" w:pos="3306"/>
              </w:tabs>
              <w:spacing w:before="40"/>
              <w:jc w:val="left"/>
              <w:rPr>
                <w:rFonts w:cs="Calibri"/>
                <w:b w:val="0"/>
                <w:bCs w:val="0"/>
              </w:rPr>
            </w:pPr>
            <w:r w:rsidRPr="00470415">
              <w:rPr>
                <w:rFonts w:cs="Calibri"/>
                <w:b w:val="0"/>
                <w:bCs w:val="0"/>
              </w:rPr>
              <w:t>Service Concession Arrangement Financial Liability</w:t>
            </w:r>
          </w:p>
        </w:tc>
        <w:tc>
          <w:tcPr>
            <w:tcW w:w="627" w:type="dxa"/>
            <w:tcBorders>
              <w:top w:val="nil"/>
              <w:left w:val="nil"/>
              <w:bottom w:val="nil"/>
              <w:right w:val="nil"/>
            </w:tcBorders>
            <w:vAlign w:val="bottom"/>
          </w:tcPr>
          <w:p w14:paraId="6D5CBDBA" w14:textId="4BEE2228" w:rsidR="009B7948" w:rsidRPr="00470415" w:rsidRDefault="009B7948" w:rsidP="009B7948">
            <w:pPr>
              <w:pStyle w:val="TableTitle"/>
              <w:tabs>
                <w:tab w:val="left" w:pos="3306"/>
              </w:tabs>
              <w:jc w:val="center"/>
              <w:rPr>
                <w:rFonts w:cs="Calibri"/>
                <w:b w:val="0"/>
                <w:bCs w:val="0"/>
                <w:strike/>
              </w:rPr>
            </w:pPr>
            <w:r w:rsidRPr="00470415">
              <w:rPr>
                <w:rFonts w:cs="Calibri"/>
                <w:b w:val="0"/>
                <w:bCs w:val="0"/>
              </w:rPr>
              <w:t>39</w:t>
            </w:r>
          </w:p>
        </w:tc>
        <w:tc>
          <w:tcPr>
            <w:tcW w:w="961" w:type="dxa"/>
            <w:tcBorders>
              <w:top w:val="nil"/>
              <w:left w:val="nil"/>
              <w:bottom w:val="nil"/>
              <w:right w:val="nil"/>
            </w:tcBorders>
          </w:tcPr>
          <w:p w14:paraId="19E771EC" w14:textId="77777777" w:rsidR="009B7948" w:rsidRPr="00470415" w:rsidRDefault="009B7948" w:rsidP="009B7948">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5F0A2D32" w14:textId="77777777" w:rsidR="009B7948" w:rsidRPr="00470415" w:rsidRDefault="009B7948" w:rsidP="009B7948">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2474B56D" w14:textId="77777777" w:rsidR="009B7948" w:rsidRPr="00470415" w:rsidRDefault="009B7948" w:rsidP="009B7948">
            <w:pPr>
              <w:pStyle w:val="TableTitle"/>
              <w:tabs>
                <w:tab w:val="left" w:pos="3306"/>
              </w:tabs>
              <w:rPr>
                <w:rFonts w:cs="Calibri"/>
                <w:b w:val="0"/>
                <w:bCs w:val="0"/>
              </w:rPr>
            </w:pPr>
          </w:p>
        </w:tc>
        <w:tc>
          <w:tcPr>
            <w:tcW w:w="1539" w:type="dxa"/>
            <w:tcBorders>
              <w:top w:val="nil"/>
              <w:left w:val="nil"/>
              <w:bottom w:val="nil"/>
              <w:right w:val="nil"/>
            </w:tcBorders>
            <w:vAlign w:val="bottom"/>
          </w:tcPr>
          <w:p w14:paraId="2C60DD68" w14:textId="77777777" w:rsidR="009B7948" w:rsidRPr="00470415" w:rsidRDefault="009B7948" w:rsidP="009B7948">
            <w:pPr>
              <w:pStyle w:val="TableTitle"/>
              <w:tabs>
                <w:tab w:val="left" w:pos="3306"/>
              </w:tabs>
              <w:rPr>
                <w:rFonts w:cs="Calibri"/>
                <w:b w:val="0"/>
                <w:bCs w:val="0"/>
              </w:rPr>
            </w:pPr>
          </w:p>
        </w:tc>
        <w:tc>
          <w:tcPr>
            <w:tcW w:w="1368" w:type="dxa"/>
            <w:tcBorders>
              <w:top w:val="nil"/>
              <w:left w:val="nil"/>
              <w:bottom w:val="nil"/>
              <w:right w:val="nil"/>
            </w:tcBorders>
            <w:vAlign w:val="bottom"/>
          </w:tcPr>
          <w:p w14:paraId="1B1AAB36" w14:textId="77777777" w:rsidR="009B7948" w:rsidRPr="00470415" w:rsidRDefault="009B7948" w:rsidP="009B7948">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6926F495" w14:textId="77777777" w:rsidR="009B7948" w:rsidRPr="00470415" w:rsidRDefault="009B7948" w:rsidP="009B7948">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1681DA4A" w14:textId="77777777" w:rsidR="009B7948" w:rsidRPr="00470415" w:rsidRDefault="009B7948" w:rsidP="009B7948">
            <w:pPr>
              <w:pStyle w:val="TableTitle"/>
              <w:tabs>
                <w:tab w:val="left" w:pos="3306"/>
              </w:tabs>
              <w:rPr>
                <w:rFonts w:cs="Calibri"/>
                <w:b w:val="0"/>
                <w:bCs w:val="0"/>
              </w:rPr>
            </w:pPr>
          </w:p>
        </w:tc>
      </w:tr>
      <w:tr w:rsidR="009B7948" w:rsidRPr="00CF7E1B" w14:paraId="019F4324"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04C6DDE" w14:textId="749D1DA5" w:rsidR="009B7948" w:rsidRPr="00470415" w:rsidRDefault="009B7948" w:rsidP="009B7948">
            <w:pPr>
              <w:pStyle w:val="TableReference"/>
              <w:tabs>
                <w:tab w:val="left" w:pos="3306"/>
              </w:tabs>
              <w:rPr>
                <w:rFonts w:cs="Calibri"/>
                <w:color w:val="7030A0"/>
                <w:sz w:val="14"/>
              </w:rPr>
            </w:pPr>
            <w:r w:rsidRPr="00470415">
              <w:rPr>
                <w:rFonts w:cs="Calibri"/>
                <w:color w:val="7030A0"/>
                <w:sz w:val="14"/>
              </w:rPr>
              <w:t>AASB 16.58</w:t>
            </w:r>
          </w:p>
        </w:tc>
        <w:tc>
          <w:tcPr>
            <w:tcW w:w="3909" w:type="dxa"/>
            <w:tcBorders>
              <w:top w:val="nil"/>
              <w:left w:val="single" w:sz="2" w:space="0" w:color="auto"/>
              <w:bottom w:val="nil"/>
              <w:right w:val="nil"/>
            </w:tcBorders>
          </w:tcPr>
          <w:p w14:paraId="1F1FBC49" w14:textId="77777777" w:rsidR="009B7948" w:rsidRPr="00470415" w:rsidRDefault="009B7948" w:rsidP="009B7948">
            <w:pPr>
              <w:pStyle w:val="TableTitle"/>
              <w:tabs>
                <w:tab w:val="left" w:pos="3306"/>
              </w:tabs>
              <w:jc w:val="left"/>
              <w:rPr>
                <w:rFonts w:cs="Calibri"/>
                <w:b w:val="0"/>
                <w:bCs w:val="0"/>
              </w:rPr>
            </w:pPr>
            <w:r w:rsidRPr="00470415">
              <w:rPr>
                <w:rFonts w:cs="Calibri"/>
                <w:b w:val="0"/>
                <w:bCs w:val="0"/>
              </w:rPr>
              <w:t>Finance Leases</w:t>
            </w:r>
          </w:p>
        </w:tc>
        <w:tc>
          <w:tcPr>
            <w:tcW w:w="627" w:type="dxa"/>
            <w:tcBorders>
              <w:top w:val="nil"/>
              <w:left w:val="nil"/>
              <w:bottom w:val="nil"/>
              <w:right w:val="nil"/>
            </w:tcBorders>
          </w:tcPr>
          <w:p w14:paraId="1F86FFCF" w14:textId="59E62D02" w:rsidR="009B7948" w:rsidRPr="00470415" w:rsidRDefault="009B7948" w:rsidP="009B7948">
            <w:pPr>
              <w:pStyle w:val="TableTitle"/>
              <w:tabs>
                <w:tab w:val="left" w:pos="3306"/>
              </w:tabs>
              <w:jc w:val="center"/>
              <w:rPr>
                <w:rFonts w:cs="Calibri"/>
                <w:b w:val="0"/>
                <w:bCs w:val="0"/>
                <w:strike/>
              </w:rPr>
            </w:pPr>
            <w:r w:rsidRPr="00470415">
              <w:rPr>
                <w:rFonts w:cs="Calibri"/>
                <w:b w:val="0"/>
                <w:bCs w:val="0"/>
              </w:rPr>
              <w:t>26</w:t>
            </w:r>
          </w:p>
        </w:tc>
        <w:tc>
          <w:tcPr>
            <w:tcW w:w="961" w:type="dxa"/>
            <w:tcBorders>
              <w:top w:val="nil"/>
              <w:left w:val="nil"/>
              <w:bottom w:val="nil"/>
              <w:right w:val="nil"/>
            </w:tcBorders>
          </w:tcPr>
          <w:p w14:paraId="19106006" w14:textId="5C9A82B8" w:rsidR="009B7948" w:rsidRPr="00470415" w:rsidRDefault="009B7948" w:rsidP="009B7948">
            <w:pPr>
              <w:pStyle w:val="TableTitle"/>
              <w:tabs>
                <w:tab w:val="left" w:pos="3306"/>
              </w:tabs>
              <w:jc w:val="left"/>
              <w:rPr>
                <w:rFonts w:cs="Calibri"/>
                <w:b w:val="0"/>
                <w:bCs w:val="0"/>
                <w:strike/>
              </w:rPr>
            </w:pPr>
          </w:p>
        </w:tc>
        <w:tc>
          <w:tcPr>
            <w:tcW w:w="1484" w:type="dxa"/>
            <w:tcBorders>
              <w:top w:val="nil"/>
              <w:left w:val="nil"/>
              <w:bottom w:val="single" w:sz="2" w:space="0" w:color="auto"/>
              <w:right w:val="nil"/>
            </w:tcBorders>
          </w:tcPr>
          <w:p w14:paraId="24408605" w14:textId="69AD22ED" w:rsidR="009B7948" w:rsidRPr="00470415" w:rsidRDefault="009B7948" w:rsidP="009B7948">
            <w:pPr>
              <w:pStyle w:val="TableTitle"/>
              <w:tabs>
                <w:tab w:val="left" w:pos="3306"/>
              </w:tabs>
              <w:jc w:val="left"/>
              <w:rPr>
                <w:rFonts w:cs="Calibri"/>
                <w:b w:val="0"/>
                <w:bCs w:val="0"/>
              </w:rPr>
            </w:pPr>
          </w:p>
        </w:tc>
        <w:tc>
          <w:tcPr>
            <w:tcW w:w="1482" w:type="dxa"/>
            <w:gridSpan w:val="2"/>
            <w:tcBorders>
              <w:top w:val="nil"/>
              <w:left w:val="nil"/>
              <w:bottom w:val="single" w:sz="2" w:space="0" w:color="auto"/>
              <w:right w:val="nil"/>
            </w:tcBorders>
          </w:tcPr>
          <w:p w14:paraId="5A623E5D" w14:textId="3FFD0B73" w:rsidR="009B7948" w:rsidRPr="00470415" w:rsidRDefault="009B7948" w:rsidP="009B7948">
            <w:pPr>
              <w:pStyle w:val="TableTitle"/>
              <w:tabs>
                <w:tab w:val="left" w:pos="3306"/>
              </w:tabs>
              <w:jc w:val="left"/>
              <w:rPr>
                <w:rFonts w:cs="Calibri"/>
                <w:b w:val="0"/>
                <w:bCs w:val="0"/>
              </w:rPr>
            </w:pPr>
          </w:p>
        </w:tc>
        <w:tc>
          <w:tcPr>
            <w:tcW w:w="1539" w:type="dxa"/>
            <w:tcBorders>
              <w:top w:val="nil"/>
              <w:left w:val="nil"/>
              <w:bottom w:val="single" w:sz="2" w:space="0" w:color="auto"/>
              <w:right w:val="nil"/>
            </w:tcBorders>
          </w:tcPr>
          <w:p w14:paraId="05FF59BE" w14:textId="17F57E5A" w:rsidR="009B7948" w:rsidRPr="00470415" w:rsidRDefault="009B7948" w:rsidP="009B7948">
            <w:pPr>
              <w:pStyle w:val="TableTitle"/>
              <w:tabs>
                <w:tab w:val="left" w:pos="3306"/>
              </w:tabs>
              <w:jc w:val="left"/>
              <w:rPr>
                <w:rFonts w:cs="Calibri"/>
                <w:b w:val="0"/>
                <w:bCs w:val="0"/>
              </w:rPr>
            </w:pPr>
          </w:p>
        </w:tc>
        <w:tc>
          <w:tcPr>
            <w:tcW w:w="1368" w:type="dxa"/>
            <w:tcBorders>
              <w:top w:val="nil"/>
              <w:left w:val="nil"/>
              <w:bottom w:val="single" w:sz="2" w:space="0" w:color="auto"/>
              <w:right w:val="nil"/>
            </w:tcBorders>
          </w:tcPr>
          <w:p w14:paraId="30228D57" w14:textId="184E8949" w:rsidR="009B7948" w:rsidRPr="00470415" w:rsidRDefault="009B7948" w:rsidP="009B7948">
            <w:pPr>
              <w:pStyle w:val="TableTitle"/>
              <w:tabs>
                <w:tab w:val="left" w:pos="3306"/>
              </w:tabs>
              <w:jc w:val="left"/>
              <w:rPr>
                <w:rFonts w:cs="Calibri"/>
                <w:b w:val="0"/>
                <w:bCs w:val="0"/>
              </w:rPr>
            </w:pPr>
          </w:p>
        </w:tc>
        <w:tc>
          <w:tcPr>
            <w:tcW w:w="1425" w:type="dxa"/>
            <w:gridSpan w:val="2"/>
            <w:tcBorders>
              <w:top w:val="nil"/>
              <w:left w:val="nil"/>
              <w:bottom w:val="single" w:sz="2" w:space="0" w:color="auto"/>
              <w:right w:val="nil"/>
            </w:tcBorders>
          </w:tcPr>
          <w:p w14:paraId="389508BD" w14:textId="082F43F3" w:rsidR="009B7948" w:rsidRPr="00470415" w:rsidRDefault="009B7948" w:rsidP="009B7948">
            <w:pPr>
              <w:pStyle w:val="TableTitle"/>
              <w:tabs>
                <w:tab w:val="left" w:pos="3306"/>
              </w:tabs>
              <w:jc w:val="left"/>
              <w:rPr>
                <w:rFonts w:cs="Calibri"/>
                <w:b w:val="0"/>
                <w:bCs w:val="0"/>
              </w:rPr>
            </w:pPr>
          </w:p>
        </w:tc>
        <w:tc>
          <w:tcPr>
            <w:tcW w:w="1311" w:type="dxa"/>
            <w:gridSpan w:val="2"/>
            <w:tcBorders>
              <w:top w:val="nil"/>
              <w:left w:val="nil"/>
              <w:bottom w:val="single" w:sz="2" w:space="0" w:color="auto"/>
              <w:right w:val="nil"/>
            </w:tcBorders>
          </w:tcPr>
          <w:p w14:paraId="487D1519" w14:textId="46035060" w:rsidR="009B7948" w:rsidRPr="00470415" w:rsidRDefault="009B7948" w:rsidP="009B7948">
            <w:pPr>
              <w:pStyle w:val="TableTitle"/>
              <w:tabs>
                <w:tab w:val="left" w:pos="3306"/>
              </w:tabs>
              <w:jc w:val="left"/>
              <w:rPr>
                <w:rFonts w:cs="Calibri"/>
                <w:b w:val="0"/>
                <w:bCs w:val="0"/>
              </w:rPr>
            </w:pPr>
          </w:p>
        </w:tc>
      </w:tr>
      <w:tr w:rsidR="009B7948" w:rsidRPr="00CF7E1B" w14:paraId="1543DF4C"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5DF7480" w14:textId="77777777" w:rsidR="009B7948" w:rsidRPr="00464854" w:rsidRDefault="009B7948" w:rsidP="009B7948">
            <w:pPr>
              <w:pStyle w:val="TableReference"/>
              <w:tabs>
                <w:tab w:val="left" w:pos="3306"/>
              </w:tabs>
              <w:spacing w:before="40"/>
              <w:rPr>
                <w:rFonts w:cs="Calibri"/>
                <w:color w:val="auto"/>
                <w:sz w:val="14"/>
              </w:rPr>
            </w:pPr>
          </w:p>
        </w:tc>
        <w:tc>
          <w:tcPr>
            <w:tcW w:w="3909" w:type="dxa"/>
            <w:tcBorders>
              <w:top w:val="nil"/>
              <w:left w:val="single" w:sz="2" w:space="0" w:color="auto"/>
              <w:bottom w:val="nil"/>
              <w:right w:val="nil"/>
            </w:tcBorders>
            <w:vAlign w:val="bottom"/>
          </w:tcPr>
          <w:p w14:paraId="788523B8" w14:textId="77777777" w:rsidR="009B7948" w:rsidRPr="00470415" w:rsidRDefault="009B7948" w:rsidP="009B7948">
            <w:pPr>
              <w:pStyle w:val="TableTitle"/>
              <w:tabs>
                <w:tab w:val="left" w:pos="3306"/>
              </w:tabs>
              <w:spacing w:before="40"/>
              <w:jc w:val="left"/>
              <w:rPr>
                <w:rFonts w:cs="Calibri"/>
              </w:rPr>
            </w:pPr>
            <w:r w:rsidRPr="00470415">
              <w:rPr>
                <w:rFonts w:cs="Calibri"/>
              </w:rPr>
              <w:t xml:space="preserve">Total Financial Liabilities </w:t>
            </w:r>
          </w:p>
        </w:tc>
        <w:tc>
          <w:tcPr>
            <w:tcW w:w="627" w:type="dxa"/>
            <w:tcBorders>
              <w:top w:val="nil"/>
              <w:left w:val="nil"/>
              <w:bottom w:val="nil"/>
              <w:right w:val="nil"/>
            </w:tcBorders>
            <w:vAlign w:val="bottom"/>
          </w:tcPr>
          <w:p w14:paraId="26B8519E" w14:textId="77777777" w:rsidR="009B7948" w:rsidRPr="00470415" w:rsidRDefault="009B7948" w:rsidP="009B7948">
            <w:pPr>
              <w:pStyle w:val="TableTitle"/>
              <w:tabs>
                <w:tab w:val="left" w:pos="3306"/>
              </w:tabs>
              <w:rPr>
                <w:rFonts w:cs="Calibri"/>
                <w:b w:val="0"/>
                <w:bCs w:val="0"/>
              </w:rPr>
            </w:pPr>
          </w:p>
        </w:tc>
        <w:tc>
          <w:tcPr>
            <w:tcW w:w="961" w:type="dxa"/>
            <w:tcBorders>
              <w:top w:val="nil"/>
              <w:left w:val="nil"/>
              <w:bottom w:val="nil"/>
              <w:right w:val="nil"/>
            </w:tcBorders>
          </w:tcPr>
          <w:p w14:paraId="081FD2F9" w14:textId="77777777" w:rsidR="009B7948" w:rsidRPr="00470415" w:rsidRDefault="009B7948" w:rsidP="009B7948">
            <w:pPr>
              <w:pStyle w:val="TableTitle"/>
              <w:tabs>
                <w:tab w:val="left" w:pos="3306"/>
              </w:tabs>
              <w:rPr>
                <w:rFonts w:cs="Calibri"/>
              </w:rPr>
            </w:pPr>
          </w:p>
        </w:tc>
        <w:tc>
          <w:tcPr>
            <w:tcW w:w="1484" w:type="dxa"/>
            <w:tcBorders>
              <w:top w:val="single" w:sz="2" w:space="0" w:color="auto"/>
              <w:left w:val="nil"/>
              <w:bottom w:val="double" w:sz="4" w:space="0" w:color="auto"/>
              <w:right w:val="nil"/>
            </w:tcBorders>
            <w:vAlign w:val="bottom"/>
          </w:tcPr>
          <w:p w14:paraId="47ED5341" w14:textId="111188EC" w:rsidR="009B7948" w:rsidRPr="00470415" w:rsidRDefault="009B7948" w:rsidP="009B7948">
            <w:pPr>
              <w:pStyle w:val="TableTitle"/>
              <w:tabs>
                <w:tab w:val="left" w:pos="3306"/>
              </w:tabs>
              <w:rPr>
                <w:rFonts w:cs="Calibri"/>
              </w:rPr>
            </w:pPr>
          </w:p>
        </w:tc>
        <w:tc>
          <w:tcPr>
            <w:tcW w:w="1482" w:type="dxa"/>
            <w:gridSpan w:val="2"/>
            <w:tcBorders>
              <w:top w:val="single" w:sz="2" w:space="0" w:color="auto"/>
              <w:left w:val="nil"/>
              <w:bottom w:val="double" w:sz="4" w:space="0" w:color="auto"/>
              <w:right w:val="nil"/>
            </w:tcBorders>
            <w:vAlign w:val="bottom"/>
          </w:tcPr>
          <w:p w14:paraId="769FB250" w14:textId="736BFE8E" w:rsidR="009B7948" w:rsidRPr="00470415" w:rsidRDefault="009B7948" w:rsidP="009B7948">
            <w:pPr>
              <w:pStyle w:val="TableTitle"/>
              <w:tabs>
                <w:tab w:val="left" w:pos="3306"/>
              </w:tabs>
              <w:rPr>
                <w:rFonts w:cs="Calibri"/>
              </w:rPr>
            </w:pPr>
          </w:p>
        </w:tc>
        <w:tc>
          <w:tcPr>
            <w:tcW w:w="1539" w:type="dxa"/>
            <w:tcBorders>
              <w:top w:val="single" w:sz="2" w:space="0" w:color="auto"/>
              <w:left w:val="nil"/>
              <w:bottom w:val="double" w:sz="4" w:space="0" w:color="auto"/>
              <w:right w:val="nil"/>
            </w:tcBorders>
            <w:vAlign w:val="bottom"/>
          </w:tcPr>
          <w:p w14:paraId="67888EC3" w14:textId="2EAE652B" w:rsidR="009B7948" w:rsidRPr="00470415" w:rsidRDefault="009B7948" w:rsidP="009B7948">
            <w:pPr>
              <w:pStyle w:val="TableTitle"/>
              <w:tabs>
                <w:tab w:val="left" w:pos="3306"/>
              </w:tabs>
              <w:rPr>
                <w:rFonts w:cs="Calibri"/>
              </w:rPr>
            </w:pPr>
          </w:p>
        </w:tc>
        <w:tc>
          <w:tcPr>
            <w:tcW w:w="1368" w:type="dxa"/>
            <w:tcBorders>
              <w:top w:val="single" w:sz="2" w:space="0" w:color="auto"/>
              <w:left w:val="nil"/>
              <w:bottom w:val="double" w:sz="4" w:space="0" w:color="auto"/>
              <w:right w:val="nil"/>
            </w:tcBorders>
            <w:vAlign w:val="bottom"/>
          </w:tcPr>
          <w:p w14:paraId="7CD9B7A9" w14:textId="7AD3E969" w:rsidR="009B7948" w:rsidRPr="00470415" w:rsidRDefault="009B7948" w:rsidP="009B7948">
            <w:pPr>
              <w:pStyle w:val="TableTitle"/>
              <w:tabs>
                <w:tab w:val="left" w:pos="3306"/>
              </w:tabs>
              <w:rPr>
                <w:rFonts w:cs="Calibri"/>
              </w:rPr>
            </w:pPr>
          </w:p>
        </w:tc>
        <w:tc>
          <w:tcPr>
            <w:tcW w:w="1425" w:type="dxa"/>
            <w:gridSpan w:val="2"/>
            <w:tcBorders>
              <w:top w:val="single" w:sz="2" w:space="0" w:color="auto"/>
              <w:left w:val="nil"/>
              <w:bottom w:val="double" w:sz="4" w:space="0" w:color="auto"/>
              <w:right w:val="nil"/>
            </w:tcBorders>
            <w:vAlign w:val="bottom"/>
          </w:tcPr>
          <w:p w14:paraId="4767D304" w14:textId="555D640B" w:rsidR="009B7948" w:rsidRPr="00470415" w:rsidRDefault="009B7948" w:rsidP="009B7948">
            <w:pPr>
              <w:pStyle w:val="TableTitle"/>
              <w:tabs>
                <w:tab w:val="left" w:pos="3306"/>
              </w:tabs>
              <w:rPr>
                <w:rFonts w:cs="Calibri"/>
              </w:rPr>
            </w:pPr>
          </w:p>
        </w:tc>
        <w:tc>
          <w:tcPr>
            <w:tcW w:w="1311" w:type="dxa"/>
            <w:gridSpan w:val="2"/>
            <w:tcBorders>
              <w:top w:val="single" w:sz="2" w:space="0" w:color="auto"/>
              <w:left w:val="nil"/>
              <w:bottom w:val="double" w:sz="4" w:space="0" w:color="auto"/>
              <w:right w:val="nil"/>
            </w:tcBorders>
            <w:vAlign w:val="bottom"/>
          </w:tcPr>
          <w:p w14:paraId="75172DC5" w14:textId="3221CA5F" w:rsidR="009B7948" w:rsidRPr="00470415" w:rsidRDefault="009B7948" w:rsidP="009B7948">
            <w:pPr>
              <w:pStyle w:val="TableTitle"/>
              <w:tabs>
                <w:tab w:val="left" w:pos="3306"/>
              </w:tabs>
              <w:rPr>
                <w:rFonts w:cs="Calibri"/>
              </w:rPr>
            </w:pPr>
          </w:p>
        </w:tc>
      </w:tr>
      <w:bookmarkEnd w:id="765"/>
    </w:tbl>
    <w:p w14:paraId="6E2A1B43" w14:textId="77777777" w:rsidR="000144FF" w:rsidRPr="00CF7E1B" w:rsidRDefault="000144FF">
      <w:pPr>
        <w:rPr>
          <w:rFonts w:cs="Calibri"/>
        </w:rPr>
        <w:sectPr w:rsidR="000144FF" w:rsidRPr="00CF7E1B" w:rsidSect="004514CD">
          <w:footnotePr>
            <w:numRestart w:val="eachPage"/>
          </w:footnotePr>
          <w:type w:val="continuous"/>
          <w:pgSz w:w="16840" w:h="11907" w:orient="landscape" w:code="9"/>
          <w:pgMar w:top="680" w:right="567" w:bottom="680" w:left="567" w:header="720" w:footer="720" w:gutter="0"/>
          <w:cols w:space="720"/>
        </w:sectPr>
      </w:pP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790"/>
        <w:gridCol w:w="1722"/>
        <w:gridCol w:w="1418"/>
      </w:tblGrid>
      <w:tr w:rsidR="007B56BE" w:rsidRPr="00CF7E1B" w14:paraId="58C252C3" w14:textId="77777777" w:rsidTr="0004564D">
        <w:trPr>
          <w:trHeight w:val="23"/>
        </w:trPr>
        <w:tc>
          <w:tcPr>
            <w:tcW w:w="1560" w:type="dxa"/>
            <w:tcBorders>
              <w:top w:val="nil"/>
              <w:left w:val="single" w:sz="2" w:space="0" w:color="auto"/>
              <w:bottom w:val="nil"/>
              <w:right w:val="single" w:sz="2" w:space="0" w:color="auto"/>
            </w:tcBorders>
          </w:tcPr>
          <w:p w14:paraId="1431C6E7" w14:textId="77777777" w:rsidR="007B56BE" w:rsidRPr="00E03D2C" w:rsidRDefault="007E1584" w:rsidP="004E2AC4">
            <w:pPr>
              <w:pStyle w:val="TableReference"/>
              <w:tabs>
                <w:tab w:val="left" w:pos="3306"/>
              </w:tabs>
              <w:spacing w:before="240" w:after="240"/>
              <w:rPr>
                <w:rFonts w:cs="Calibri"/>
                <w:b/>
                <w:color w:val="7030A0"/>
                <w:sz w:val="22"/>
                <w:szCs w:val="22"/>
              </w:rPr>
            </w:pPr>
            <w:r w:rsidRPr="00E03D2C">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54A85499" w14:textId="54EDED79" w:rsidR="007B56BE" w:rsidRPr="00470415" w:rsidRDefault="004E2AC4" w:rsidP="004E2AC4">
            <w:pPr>
              <w:spacing w:before="240" w:after="240"/>
              <w:rPr>
                <w:b/>
              </w:rPr>
            </w:pPr>
            <w:r w:rsidRPr="00470415">
              <w:rPr>
                <w:rFonts w:ascii="Arial" w:hAnsi="Arial" w:cs="Arial"/>
                <w:b/>
                <w:sz w:val="32"/>
                <w:szCs w:val="32"/>
              </w:rPr>
              <w:t xml:space="preserve">NOTE </w:t>
            </w:r>
            <w:r w:rsidR="00594D6E"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7B56BE" w:rsidRPr="00CF7E1B" w14:paraId="5526E3BA" w14:textId="77777777" w:rsidTr="0004564D">
        <w:trPr>
          <w:trHeight w:val="23"/>
        </w:trPr>
        <w:tc>
          <w:tcPr>
            <w:tcW w:w="1560" w:type="dxa"/>
            <w:tcBorders>
              <w:top w:val="nil"/>
              <w:left w:val="single" w:sz="2" w:space="0" w:color="auto"/>
              <w:bottom w:val="nil"/>
              <w:right w:val="single" w:sz="2" w:space="0" w:color="auto"/>
            </w:tcBorders>
          </w:tcPr>
          <w:p w14:paraId="31EDF33C" w14:textId="77777777" w:rsidR="007B56BE" w:rsidRPr="00E03D2C" w:rsidRDefault="007B56BE"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109909F5" w14:textId="77777777" w:rsidR="007B56BE" w:rsidRPr="00470415" w:rsidRDefault="007B56BE" w:rsidP="009542FF">
            <w:pPr>
              <w:pStyle w:val="TableTitle"/>
              <w:tabs>
                <w:tab w:val="left" w:pos="3306"/>
              </w:tabs>
              <w:rPr>
                <w:rFonts w:cs="Calibri"/>
              </w:rPr>
            </w:pPr>
          </w:p>
        </w:tc>
        <w:tc>
          <w:tcPr>
            <w:tcW w:w="1722" w:type="dxa"/>
            <w:tcBorders>
              <w:top w:val="nil"/>
              <w:left w:val="nil"/>
              <w:bottom w:val="nil"/>
              <w:right w:val="nil"/>
            </w:tcBorders>
            <w:vAlign w:val="bottom"/>
          </w:tcPr>
          <w:p w14:paraId="5A1FC894" w14:textId="65D2AD1B" w:rsidR="007B56BE" w:rsidRPr="00470415" w:rsidRDefault="007624E9" w:rsidP="002F567C">
            <w:pPr>
              <w:pStyle w:val="TableTitle"/>
              <w:tabs>
                <w:tab w:val="left" w:pos="3306"/>
              </w:tabs>
              <w:rPr>
                <w:rFonts w:cs="Calibri"/>
              </w:rPr>
            </w:pPr>
            <w:r w:rsidRPr="00470415">
              <w:rPr>
                <w:rFonts w:cs="Calibri"/>
              </w:rPr>
              <w:t>202</w:t>
            </w:r>
            <w:r w:rsidR="00D55D52">
              <w:rPr>
                <w:rFonts w:cs="Calibri"/>
              </w:rPr>
              <w:t>3</w:t>
            </w:r>
          </w:p>
          <w:p w14:paraId="105EC809" w14:textId="77777777" w:rsidR="007B56BE" w:rsidRPr="00470415" w:rsidRDefault="007B56BE" w:rsidP="002F567C">
            <w:pPr>
              <w:pStyle w:val="TableTitle"/>
              <w:tabs>
                <w:tab w:val="left" w:pos="3306"/>
              </w:tabs>
              <w:rPr>
                <w:rFonts w:cs="Calibri"/>
              </w:rPr>
            </w:pPr>
            <w:r w:rsidRPr="00470415">
              <w:rPr>
                <w:rFonts w:cs="Calibri"/>
              </w:rPr>
              <w:t>$’000</w:t>
            </w:r>
          </w:p>
        </w:tc>
        <w:tc>
          <w:tcPr>
            <w:tcW w:w="1418" w:type="dxa"/>
            <w:tcBorders>
              <w:top w:val="nil"/>
              <w:left w:val="nil"/>
              <w:bottom w:val="nil"/>
              <w:right w:val="nil"/>
            </w:tcBorders>
            <w:vAlign w:val="bottom"/>
          </w:tcPr>
          <w:p w14:paraId="675AB0EB" w14:textId="06FE57B5" w:rsidR="00BB2E31" w:rsidRDefault="005E3DFA" w:rsidP="002F567C">
            <w:pPr>
              <w:pStyle w:val="TableTitle"/>
              <w:tabs>
                <w:tab w:val="left" w:pos="3306"/>
              </w:tabs>
              <w:rPr>
                <w:rFonts w:cs="Calibri"/>
              </w:rPr>
            </w:pPr>
            <w:r w:rsidRPr="00470415">
              <w:rPr>
                <w:rFonts w:cs="Calibri"/>
              </w:rPr>
              <w:t>202</w:t>
            </w:r>
            <w:r w:rsidR="00D55D52">
              <w:rPr>
                <w:rFonts w:cs="Calibri"/>
              </w:rPr>
              <w:t>2</w:t>
            </w:r>
            <w:r w:rsidR="00FA7C77">
              <w:rPr>
                <w:rFonts w:cs="Calibri"/>
              </w:rPr>
              <w:t xml:space="preserve">     </w:t>
            </w:r>
          </w:p>
          <w:p w14:paraId="1121B4EF" w14:textId="37AF9E5A" w:rsidR="007B56BE" w:rsidRPr="00470415" w:rsidRDefault="00810B4A" w:rsidP="002F567C">
            <w:pPr>
              <w:pStyle w:val="TableTitle"/>
              <w:tabs>
                <w:tab w:val="left" w:pos="3306"/>
              </w:tabs>
              <w:rPr>
                <w:rFonts w:cs="Calibri"/>
              </w:rPr>
            </w:pPr>
            <w:r w:rsidRPr="00470415">
              <w:rPr>
                <w:rFonts w:cs="Calibri"/>
              </w:rPr>
              <w:t xml:space="preserve"> </w:t>
            </w:r>
            <w:r w:rsidR="007B56BE" w:rsidRPr="00470415">
              <w:rPr>
                <w:rFonts w:cs="Calibri"/>
              </w:rPr>
              <w:t>$’000</w:t>
            </w:r>
          </w:p>
        </w:tc>
      </w:tr>
      <w:tr w:rsidR="007B56BE" w:rsidRPr="00CF7E1B" w14:paraId="75F47EDD" w14:textId="77777777" w:rsidTr="0004564D">
        <w:trPr>
          <w:trHeight w:val="23"/>
        </w:trPr>
        <w:tc>
          <w:tcPr>
            <w:tcW w:w="1560" w:type="dxa"/>
            <w:tcBorders>
              <w:top w:val="nil"/>
              <w:left w:val="single" w:sz="2" w:space="0" w:color="auto"/>
              <w:bottom w:val="nil"/>
              <w:right w:val="single" w:sz="2" w:space="0" w:color="auto"/>
            </w:tcBorders>
          </w:tcPr>
          <w:p w14:paraId="4FFB4B88"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68D8EFF" w14:textId="77777777" w:rsidR="007B56BE" w:rsidRPr="00470415" w:rsidRDefault="00E56EEC" w:rsidP="002C6003">
            <w:pPr>
              <w:pStyle w:val="TableText"/>
              <w:tabs>
                <w:tab w:val="left" w:pos="3306"/>
              </w:tabs>
              <w:spacing w:before="0" w:after="120"/>
              <w:rPr>
                <w:rFonts w:cs="Calibri"/>
                <w:b/>
              </w:rPr>
            </w:pPr>
            <w:r w:rsidRPr="00470415">
              <w:rPr>
                <w:rFonts w:cs="Calibri"/>
                <w:b/>
              </w:rPr>
              <w:t>Carrying A</w:t>
            </w:r>
            <w:r w:rsidR="007B56BE" w:rsidRPr="00470415">
              <w:rPr>
                <w:rFonts w:cs="Calibri"/>
                <w:b/>
              </w:rPr>
              <w:t>mount of</w:t>
            </w:r>
            <w:r w:rsidRPr="00470415">
              <w:rPr>
                <w:rFonts w:cs="Calibri"/>
                <w:b/>
              </w:rPr>
              <w:t xml:space="preserve"> Each C</w:t>
            </w:r>
            <w:r w:rsidR="00F95FBA" w:rsidRPr="00470415">
              <w:rPr>
                <w:rFonts w:cs="Calibri"/>
                <w:b/>
              </w:rPr>
              <w:t xml:space="preserve">ategory </w:t>
            </w:r>
            <w:r w:rsidRPr="00470415">
              <w:rPr>
                <w:rFonts w:cs="Calibri"/>
                <w:b/>
              </w:rPr>
              <w:t>of</w:t>
            </w:r>
            <w:r w:rsidR="007B56BE" w:rsidRPr="00470415">
              <w:rPr>
                <w:rFonts w:cs="Calibri"/>
                <w:b/>
              </w:rPr>
              <w:t xml:space="preserve"> Financial Asset and Financial Liabilit</w:t>
            </w:r>
            <w:r w:rsidRPr="00470415">
              <w:rPr>
                <w:rFonts w:cs="Calibri"/>
                <w:b/>
              </w:rPr>
              <w:t>y</w:t>
            </w:r>
            <w:r w:rsidR="000D529F" w:rsidRPr="00470415">
              <w:rPr>
                <w:rFonts w:cs="Calibri"/>
                <w:b/>
              </w:rPr>
              <w:t xml:space="preserve"> </w:t>
            </w:r>
          </w:p>
        </w:tc>
        <w:tc>
          <w:tcPr>
            <w:tcW w:w="1722" w:type="dxa"/>
            <w:tcBorders>
              <w:top w:val="nil"/>
              <w:left w:val="nil"/>
              <w:bottom w:val="nil"/>
              <w:right w:val="nil"/>
            </w:tcBorders>
            <w:vAlign w:val="bottom"/>
          </w:tcPr>
          <w:p w14:paraId="2FB3D0B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05B9F21" w14:textId="77777777" w:rsidR="007B56BE" w:rsidRPr="00470415" w:rsidRDefault="007B56BE" w:rsidP="009542FF">
            <w:pPr>
              <w:pStyle w:val="TableText"/>
              <w:tabs>
                <w:tab w:val="left" w:pos="3306"/>
              </w:tabs>
              <w:jc w:val="right"/>
              <w:rPr>
                <w:rFonts w:cs="Calibri"/>
              </w:rPr>
            </w:pPr>
          </w:p>
        </w:tc>
      </w:tr>
      <w:tr w:rsidR="007B56BE" w:rsidRPr="00CF7E1B" w14:paraId="57F68466" w14:textId="77777777" w:rsidTr="0004564D">
        <w:trPr>
          <w:trHeight w:val="23"/>
        </w:trPr>
        <w:tc>
          <w:tcPr>
            <w:tcW w:w="1560" w:type="dxa"/>
            <w:tcBorders>
              <w:top w:val="nil"/>
              <w:left w:val="single" w:sz="2" w:space="0" w:color="auto"/>
              <w:bottom w:val="nil"/>
              <w:right w:val="single" w:sz="2" w:space="0" w:color="auto"/>
            </w:tcBorders>
          </w:tcPr>
          <w:p w14:paraId="3FB3E83C"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3E11AB0" w14:textId="77777777" w:rsidR="007B56BE" w:rsidRPr="00470415" w:rsidRDefault="007B56BE" w:rsidP="009542FF">
            <w:pPr>
              <w:pStyle w:val="TableText"/>
              <w:tabs>
                <w:tab w:val="left" w:pos="3306"/>
              </w:tabs>
              <w:rPr>
                <w:rFonts w:cs="Calibri"/>
                <w:b/>
              </w:rPr>
            </w:pPr>
            <w:r w:rsidRPr="00470415">
              <w:rPr>
                <w:rFonts w:cs="Calibri"/>
                <w:b/>
              </w:rPr>
              <w:t>Financial Assets</w:t>
            </w:r>
          </w:p>
        </w:tc>
        <w:tc>
          <w:tcPr>
            <w:tcW w:w="1722" w:type="dxa"/>
            <w:tcBorders>
              <w:top w:val="nil"/>
              <w:left w:val="nil"/>
              <w:bottom w:val="nil"/>
              <w:right w:val="nil"/>
            </w:tcBorders>
            <w:vAlign w:val="bottom"/>
          </w:tcPr>
          <w:p w14:paraId="1DC9CA6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1676E12" w14:textId="77777777" w:rsidR="007B56BE" w:rsidRPr="00470415" w:rsidRDefault="007B56BE" w:rsidP="009542FF">
            <w:pPr>
              <w:pStyle w:val="TableText"/>
              <w:tabs>
                <w:tab w:val="left" w:pos="3306"/>
              </w:tabs>
              <w:jc w:val="right"/>
              <w:rPr>
                <w:rFonts w:cs="Calibri"/>
              </w:rPr>
            </w:pPr>
          </w:p>
        </w:tc>
      </w:tr>
      <w:tr w:rsidR="007B56BE" w:rsidRPr="00CF7E1B" w14:paraId="3608F36E" w14:textId="77777777" w:rsidTr="0004564D">
        <w:trPr>
          <w:trHeight w:val="23"/>
        </w:trPr>
        <w:tc>
          <w:tcPr>
            <w:tcW w:w="1560" w:type="dxa"/>
            <w:tcBorders>
              <w:top w:val="nil"/>
              <w:left w:val="single" w:sz="2" w:space="0" w:color="auto"/>
              <w:bottom w:val="nil"/>
              <w:right w:val="single" w:sz="2" w:space="0" w:color="auto"/>
            </w:tcBorders>
          </w:tcPr>
          <w:p w14:paraId="2742316C" w14:textId="77777777" w:rsidR="007B56BE" w:rsidRPr="00E03D2C" w:rsidRDefault="007B56BE"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D001B7" w:rsidRPr="00E03D2C">
              <w:rPr>
                <w:rFonts w:cs="Calibri"/>
                <w:color w:val="7030A0"/>
                <w:sz w:val="14"/>
              </w:rPr>
              <w:t>(</w:t>
            </w:r>
            <w:r w:rsidRPr="00E03D2C">
              <w:rPr>
                <w:rFonts w:cs="Calibri"/>
                <w:color w:val="7030A0"/>
                <w:sz w:val="14"/>
              </w:rPr>
              <w:t>a)</w:t>
            </w:r>
          </w:p>
        </w:tc>
        <w:tc>
          <w:tcPr>
            <w:tcW w:w="5790" w:type="dxa"/>
            <w:tcBorders>
              <w:top w:val="nil"/>
              <w:left w:val="single" w:sz="2" w:space="0" w:color="auto"/>
              <w:bottom w:val="nil"/>
              <w:right w:val="nil"/>
            </w:tcBorders>
            <w:vAlign w:val="bottom"/>
          </w:tcPr>
          <w:p w14:paraId="316EB315" w14:textId="0C7FC7DE" w:rsidR="007B56BE" w:rsidRPr="00470415" w:rsidRDefault="007B56BE" w:rsidP="002B6D05">
            <w:pPr>
              <w:pStyle w:val="TableText"/>
              <w:tabs>
                <w:tab w:val="left" w:pos="3306"/>
              </w:tabs>
              <w:rPr>
                <w:rFonts w:cs="Calibri"/>
              </w:rPr>
            </w:pPr>
            <w:r w:rsidRPr="00470415">
              <w:rPr>
                <w:rFonts w:cs="Calibri"/>
              </w:rPr>
              <w:t xml:space="preserve">Financial Assets </w:t>
            </w:r>
            <w:r w:rsidR="002B6D05" w:rsidRPr="00470415">
              <w:rPr>
                <w:rFonts w:cs="Calibri"/>
              </w:rPr>
              <w:t>M</w:t>
            </w:r>
            <w:r w:rsidR="000D37BB" w:rsidRPr="00470415">
              <w:rPr>
                <w:rFonts w:cs="Calibri"/>
              </w:rPr>
              <w:t>easured at</w:t>
            </w:r>
            <w:r w:rsidRPr="00470415">
              <w:rPr>
                <w:rFonts w:cs="Calibri"/>
              </w:rPr>
              <w:t xml:space="preserve"> Fair Value through the Profit and Loss</w:t>
            </w:r>
            <w:r w:rsidR="002626C5" w:rsidRPr="00470415">
              <w:rPr>
                <w:rFonts w:cs="Calibri"/>
              </w:rPr>
              <w:t xml:space="preserve"> </w:t>
            </w:r>
            <w:r w:rsidR="002626C5" w:rsidRPr="00470415">
              <w:rPr>
                <w:rFonts w:cs="Calibri"/>
              </w:rPr>
              <w:sym w:font="Symbol" w:char="F02D"/>
            </w:r>
            <w:r w:rsidR="00FA7C77">
              <w:rPr>
                <w:rFonts w:cs="Calibri"/>
              </w:rPr>
              <w:t xml:space="preserve"> </w:t>
            </w:r>
            <w:r w:rsidR="002626C5" w:rsidRPr="00470415">
              <w:rPr>
                <w:rFonts w:cs="Calibri"/>
              </w:rPr>
              <w:t>Designated upon Initial Recognition</w:t>
            </w:r>
          </w:p>
        </w:tc>
        <w:tc>
          <w:tcPr>
            <w:tcW w:w="1722" w:type="dxa"/>
            <w:tcBorders>
              <w:top w:val="nil"/>
              <w:left w:val="nil"/>
              <w:bottom w:val="nil"/>
              <w:right w:val="nil"/>
            </w:tcBorders>
            <w:vAlign w:val="bottom"/>
          </w:tcPr>
          <w:p w14:paraId="7ED904F7"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6A07DDA" w14:textId="77777777" w:rsidR="007B56BE" w:rsidRPr="00470415" w:rsidRDefault="007B56BE" w:rsidP="009542FF">
            <w:pPr>
              <w:pStyle w:val="TableText"/>
              <w:tabs>
                <w:tab w:val="left" w:pos="3306"/>
              </w:tabs>
              <w:jc w:val="right"/>
              <w:rPr>
                <w:rFonts w:cs="Calibri"/>
              </w:rPr>
            </w:pPr>
          </w:p>
        </w:tc>
      </w:tr>
      <w:tr w:rsidR="00B70538" w:rsidRPr="00CF7E1B" w14:paraId="4B087FF8" w14:textId="77777777" w:rsidTr="0004564D">
        <w:trPr>
          <w:trHeight w:val="23"/>
        </w:trPr>
        <w:tc>
          <w:tcPr>
            <w:tcW w:w="1560" w:type="dxa"/>
            <w:tcBorders>
              <w:top w:val="nil"/>
              <w:left w:val="single" w:sz="2" w:space="0" w:color="auto"/>
              <w:bottom w:val="nil"/>
              <w:right w:val="single" w:sz="2" w:space="0" w:color="auto"/>
            </w:tcBorders>
          </w:tcPr>
          <w:p w14:paraId="289CA23F" w14:textId="77777777" w:rsidR="00B70538" w:rsidRPr="00E03D2C" w:rsidRDefault="008907E8" w:rsidP="00490815">
            <w:pPr>
              <w:pStyle w:val="TableReference"/>
              <w:tabs>
                <w:tab w:val="left" w:pos="3306"/>
              </w:tabs>
              <w:spacing w:before="60"/>
              <w:rPr>
                <w:rFonts w:cs="Calibri"/>
                <w:strike/>
                <w:color w:val="7030A0"/>
                <w:sz w:val="14"/>
              </w:rPr>
            </w:pPr>
            <w:r w:rsidRPr="00E03D2C">
              <w:rPr>
                <w:rFonts w:cs="Calibri"/>
                <w:color w:val="7030A0"/>
                <w:sz w:val="14"/>
              </w:rPr>
              <w:t>AASB7.8(f)</w:t>
            </w:r>
          </w:p>
        </w:tc>
        <w:tc>
          <w:tcPr>
            <w:tcW w:w="5790" w:type="dxa"/>
            <w:tcBorders>
              <w:top w:val="nil"/>
              <w:left w:val="single" w:sz="2" w:space="0" w:color="auto"/>
              <w:bottom w:val="nil"/>
              <w:right w:val="nil"/>
            </w:tcBorders>
            <w:vAlign w:val="bottom"/>
          </w:tcPr>
          <w:p w14:paraId="1C091D9C" w14:textId="77777777" w:rsidR="00B70538" w:rsidRPr="00470415" w:rsidRDefault="00222AEE" w:rsidP="002B6D05">
            <w:pPr>
              <w:pStyle w:val="TableText"/>
              <w:tabs>
                <w:tab w:val="left" w:pos="3306"/>
              </w:tabs>
              <w:rPr>
                <w:rFonts w:cs="Calibri"/>
              </w:rPr>
            </w:pPr>
            <w:r w:rsidRPr="00470415">
              <w:rPr>
                <w:rFonts w:cs="Calibri"/>
              </w:rPr>
              <w:t>Financial</w:t>
            </w:r>
            <w:r w:rsidR="000D37BB" w:rsidRPr="00470415">
              <w:rPr>
                <w:rFonts w:cs="Calibri"/>
              </w:rPr>
              <w:t xml:space="preserve"> Assets </w:t>
            </w:r>
            <w:r w:rsidR="002B6D05" w:rsidRPr="00470415">
              <w:rPr>
                <w:rFonts w:cs="Calibri"/>
              </w:rPr>
              <w:t>M</w:t>
            </w:r>
            <w:r w:rsidR="009770A4" w:rsidRPr="00470415">
              <w:rPr>
                <w:rFonts w:cs="Calibri"/>
              </w:rPr>
              <w:t>easured at Amortised Cost</w:t>
            </w:r>
          </w:p>
        </w:tc>
        <w:tc>
          <w:tcPr>
            <w:tcW w:w="1722" w:type="dxa"/>
            <w:tcBorders>
              <w:top w:val="nil"/>
              <w:left w:val="nil"/>
              <w:bottom w:val="nil"/>
              <w:right w:val="nil"/>
            </w:tcBorders>
            <w:vAlign w:val="bottom"/>
          </w:tcPr>
          <w:p w14:paraId="24C1B188" w14:textId="47ACC42D" w:rsidR="00B70538" w:rsidRPr="00470415" w:rsidRDefault="00B70538" w:rsidP="00490815">
            <w:pPr>
              <w:pStyle w:val="TableText"/>
              <w:tabs>
                <w:tab w:val="left" w:pos="3306"/>
              </w:tabs>
              <w:jc w:val="right"/>
              <w:rPr>
                <w:rFonts w:cs="Calibri"/>
                <w:strike/>
              </w:rPr>
            </w:pPr>
          </w:p>
        </w:tc>
        <w:tc>
          <w:tcPr>
            <w:tcW w:w="1418" w:type="dxa"/>
            <w:tcBorders>
              <w:top w:val="nil"/>
              <w:left w:val="nil"/>
              <w:bottom w:val="nil"/>
              <w:right w:val="nil"/>
            </w:tcBorders>
            <w:vAlign w:val="bottom"/>
          </w:tcPr>
          <w:p w14:paraId="35C4694D" w14:textId="376563A7" w:rsidR="00B70538" w:rsidRPr="00470415" w:rsidRDefault="00B70538" w:rsidP="00E91368">
            <w:pPr>
              <w:pStyle w:val="TableText"/>
              <w:tabs>
                <w:tab w:val="left" w:pos="3306"/>
              </w:tabs>
              <w:jc w:val="right"/>
              <w:rPr>
                <w:rFonts w:cs="Calibri"/>
              </w:rPr>
            </w:pPr>
          </w:p>
        </w:tc>
      </w:tr>
      <w:tr w:rsidR="00B70538" w:rsidRPr="00CF7E1B" w14:paraId="06F886B0" w14:textId="77777777" w:rsidTr="0004564D">
        <w:trPr>
          <w:trHeight w:val="233"/>
        </w:trPr>
        <w:tc>
          <w:tcPr>
            <w:tcW w:w="1560" w:type="dxa"/>
            <w:tcBorders>
              <w:top w:val="nil"/>
              <w:left w:val="single" w:sz="2" w:space="0" w:color="auto"/>
              <w:bottom w:val="nil"/>
              <w:right w:val="single" w:sz="2" w:space="0" w:color="auto"/>
            </w:tcBorders>
          </w:tcPr>
          <w:p w14:paraId="2022347F"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B44B916" w14:textId="77777777" w:rsidR="00B70538" w:rsidRPr="00470415" w:rsidRDefault="00B70538" w:rsidP="009542FF">
            <w:pPr>
              <w:pStyle w:val="TableText"/>
              <w:tabs>
                <w:tab w:val="left" w:pos="3306"/>
              </w:tabs>
              <w:spacing w:before="0"/>
              <w:rPr>
                <w:rFonts w:cs="Calibri"/>
                <w:b/>
                <w:bCs/>
              </w:rPr>
            </w:pPr>
          </w:p>
        </w:tc>
        <w:tc>
          <w:tcPr>
            <w:tcW w:w="1722" w:type="dxa"/>
            <w:tcBorders>
              <w:top w:val="nil"/>
              <w:left w:val="nil"/>
              <w:bottom w:val="nil"/>
              <w:right w:val="nil"/>
            </w:tcBorders>
            <w:vAlign w:val="bottom"/>
          </w:tcPr>
          <w:p w14:paraId="767D6FBC" w14:textId="77777777" w:rsidR="00B70538" w:rsidRPr="00470415" w:rsidRDefault="00B70538" w:rsidP="009542FF">
            <w:pPr>
              <w:pStyle w:val="TableText"/>
              <w:tabs>
                <w:tab w:val="left" w:pos="3306"/>
              </w:tabs>
              <w:spacing w:before="0"/>
              <w:jc w:val="center"/>
              <w:rPr>
                <w:rFonts w:cs="Calibri"/>
                <w:b/>
                <w:bCs/>
              </w:rPr>
            </w:pPr>
          </w:p>
        </w:tc>
        <w:tc>
          <w:tcPr>
            <w:tcW w:w="1418" w:type="dxa"/>
            <w:tcBorders>
              <w:top w:val="nil"/>
              <w:left w:val="nil"/>
              <w:bottom w:val="nil"/>
              <w:right w:val="nil"/>
            </w:tcBorders>
            <w:vAlign w:val="bottom"/>
          </w:tcPr>
          <w:p w14:paraId="45346AF8" w14:textId="77777777" w:rsidR="00B70538" w:rsidRPr="00470415" w:rsidRDefault="00B70538" w:rsidP="009542FF">
            <w:pPr>
              <w:pStyle w:val="TableText"/>
              <w:tabs>
                <w:tab w:val="left" w:pos="3306"/>
              </w:tabs>
              <w:spacing w:before="0"/>
              <w:jc w:val="center"/>
              <w:rPr>
                <w:rFonts w:cs="Calibri"/>
                <w:b/>
                <w:bCs/>
              </w:rPr>
            </w:pPr>
          </w:p>
        </w:tc>
      </w:tr>
      <w:tr w:rsidR="00B70538" w:rsidRPr="00CF7E1B" w14:paraId="5F3C1454" w14:textId="77777777" w:rsidTr="0004564D">
        <w:trPr>
          <w:trHeight w:val="23"/>
        </w:trPr>
        <w:tc>
          <w:tcPr>
            <w:tcW w:w="1560" w:type="dxa"/>
            <w:tcBorders>
              <w:top w:val="nil"/>
              <w:left w:val="single" w:sz="2" w:space="0" w:color="auto"/>
              <w:bottom w:val="nil"/>
              <w:right w:val="single" w:sz="2" w:space="0" w:color="auto"/>
            </w:tcBorders>
          </w:tcPr>
          <w:p w14:paraId="0753B235"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30E84B6F" w14:textId="77777777" w:rsidR="00B70538" w:rsidRPr="00470415" w:rsidRDefault="00B70538" w:rsidP="009542FF">
            <w:pPr>
              <w:pStyle w:val="TableText"/>
              <w:tabs>
                <w:tab w:val="left" w:pos="3306"/>
              </w:tabs>
              <w:rPr>
                <w:rFonts w:cs="Calibri"/>
                <w:b/>
              </w:rPr>
            </w:pPr>
            <w:r w:rsidRPr="00470415">
              <w:rPr>
                <w:rFonts w:cs="Calibri"/>
                <w:b/>
              </w:rPr>
              <w:t>Financial Liabilities</w:t>
            </w:r>
          </w:p>
        </w:tc>
        <w:tc>
          <w:tcPr>
            <w:tcW w:w="1722" w:type="dxa"/>
            <w:tcBorders>
              <w:top w:val="nil"/>
              <w:left w:val="nil"/>
              <w:bottom w:val="nil"/>
              <w:right w:val="nil"/>
            </w:tcBorders>
            <w:vAlign w:val="bottom"/>
          </w:tcPr>
          <w:p w14:paraId="5AA2B34B"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EC53983" w14:textId="77777777" w:rsidR="00B70538" w:rsidRPr="00470415" w:rsidRDefault="00B70538" w:rsidP="009542FF">
            <w:pPr>
              <w:pStyle w:val="TableText"/>
              <w:tabs>
                <w:tab w:val="left" w:pos="3306"/>
              </w:tabs>
              <w:jc w:val="right"/>
              <w:rPr>
                <w:rFonts w:cs="Calibri"/>
              </w:rPr>
            </w:pPr>
          </w:p>
        </w:tc>
      </w:tr>
      <w:tr w:rsidR="00B70538" w:rsidRPr="00CF7E1B" w14:paraId="069D90EE" w14:textId="77777777" w:rsidTr="0004564D">
        <w:trPr>
          <w:trHeight w:val="23"/>
        </w:trPr>
        <w:tc>
          <w:tcPr>
            <w:tcW w:w="1560" w:type="dxa"/>
            <w:tcBorders>
              <w:top w:val="nil"/>
              <w:left w:val="single" w:sz="2" w:space="0" w:color="auto"/>
              <w:bottom w:val="nil"/>
              <w:right w:val="single" w:sz="2" w:space="0" w:color="auto"/>
            </w:tcBorders>
          </w:tcPr>
          <w:p w14:paraId="1EE4CE22" w14:textId="77777777" w:rsidR="00B70538" w:rsidRPr="00E03D2C" w:rsidRDefault="00B70538" w:rsidP="00490815">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490815" w:rsidRPr="00E03D2C">
              <w:rPr>
                <w:rFonts w:cs="Calibri"/>
                <w:color w:val="7030A0"/>
                <w:sz w:val="14"/>
              </w:rPr>
              <w:t xml:space="preserve"> </w:t>
            </w:r>
            <w:r w:rsidR="008907E8" w:rsidRPr="00E03D2C">
              <w:rPr>
                <w:rFonts w:cs="Calibri"/>
                <w:color w:val="7030A0"/>
                <w:sz w:val="14"/>
              </w:rPr>
              <w:t>(g)</w:t>
            </w:r>
          </w:p>
        </w:tc>
        <w:tc>
          <w:tcPr>
            <w:tcW w:w="5790" w:type="dxa"/>
            <w:tcBorders>
              <w:top w:val="nil"/>
              <w:left w:val="single" w:sz="2" w:space="0" w:color="auto"/>
              <w:bottom w:val="nil"/>
              <w:right w:val="nil"/>
            </w:tcBorders>
            <w:vAlign w:val="bottom"/>
          </w:tcPr>
          <w:p w14:paraId="4AC4AC3E" w14:textId="77777777" w:rsidR="00B70538" w:rsidRPr="00470415" w:rsidRDefault="00B70538" w:rsidP="009542FF">
            <w:pPr>
              <w:pStyle w:val="TableText"/>
              <w:tabs>
                <w:tab w:val="left" w:pos="3306"/>
              </w:tabs>
              <w:rPr>
                <w:rFonts w:cs="Calibri"/>
              </w:rPr>
            </w:pPr>
            <w:r w:rsidRPr="00470415">
              <w:rPr>
                <w:rFonts w:cs="Calibri"/>
              </w:rPr>
              <w:t xml:space="preserve">Financial Liabilities </w:t>
            </w:r>
            <w:r w:rsidR="00D52567" w:rsidRPr="00470415">
              <w:rPr>
                <w:rFonts w:cs="Calibri"/>
              </w:rPr>
              <w:t>M</w:t>
            </w:r>
            <w:r w:rsidRPr="00470415">
              <w:rPr>
                <w:rFonts w:cs="Calibri"/>
              </w:rPr>
              <w:t>easured at Amortised Cost</w:t>
            </w:r>
          </w:p>
        </w:tc>
        <w:tc>
          <w:tcPr>
            <w:tcW w:w="1722" w:type="dxa"/>
            <w:tcBorders>
              <w:top w:val="nil"/>
              <w:left w:val="nil"/>
              <w:bottom w:val="nil"/>
              <w:right w:val="nil"/>
            </w:tcBorders>
            <w:vAlign w:val="bottom"/>
          </w:tcPr>
          <w:p w14:paraId="7610A1B5" w14:textId="68AC042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77189F20" w14:textId="49EEC944" w:rsidR="00B70538" w:rsidRPr="00470415" w:rsidRDefault="00B70538" w:rsidP="009542FF">
            <w:pPr>
              <w:pStyle w:val="TableText"/>
              <w:tabs>
                <w:tab w:val="left" w:pos="3306"/>
              </w:tabs>
              <w:jc w:val="right"/>
              <w:rPr>
                <w:rFonts w:cs="Calibri"/>
              </w:rPr>
            </w:pPr>
          </w:p>
        </w:tc>
      </w:tr>
      <w:tr w:rsidR="00B70538" w:rsidRPr="00CF7E1B" w14:paraId="0C050807" w14:textId="77777777" w:rsidTr="0004564D">
        <w:trPr>
          <w:trHeight w:val="302"/>
        </w:trPr>
        <w:tc>
          <w:tcPr>
            <w:tcW w:w="1560" w:type="dxa"/>
            <w:tcBorders>
              <w:top w:val="nil"/>
              <w:left w:val="single" w:sz="2" w:space="0" w:color="auto"/>
              <w:bottom w:val="nil"/>
              <w:right w:val="single" w:sz="2" w:space="0" w:color="auto"/>
            </w:tcBorders>
          </w:tcPr>
          <w:p w14:paraId="65CDA924"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1DDEAA23" w14:textId="77777777" w:rsidR="00B70538" w:rsidRPr="00470415" w:rsidRDefault="00B70538" w:rsidP="009542FF">
            <w:pPr>
              <w:pStyle w:val="TableText"/>
              <w:tabs>
                <w:tab w:val="left" w:pos="3306"/>
              </w:tabs>
              <w:spacing w:before="0"/>
              <w:rPr>
                <w:rFonts w:cs="Calibri"/>
              </w:rPr>
            </w:pPr>
          </w:p>
        </w:tc>
        <w:tc>
          <w:tcPr>
            <w:tcW w:w="1722" w:type="dxa"/>
            <w:tcBorders>
              <w:top w:val="nil"/>
              <w:left w:val="nil"/>
              <w:bottom w:val="nil"/>
              <w:right w:val="nil"/>
            </w:tcBorders>
            <w:vAlign w:val="bottom"/>
          </w:tcPr>
          <w:p w14:paraId="0231D550" w14:textId="77777777" w:rsidR="00B70538" w:rsidRPr="00470415" w:rsidRDefault="00B70538" w:rsidP="009542FF">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4CD1144F" w14:textId="77777777" w:rsidR="00B70538" w:rsidRPr="00470415" w:rsidRDefault="00B70538" w:rsidP="009542FF">
            <w:pPr>
              <w:pStyle w:val="TableText"/>
              <w:tabs>
                <w:tab w:val="left" w:pos="3306"/>
              </w:tabs>
              <w:spacing w:before="0"/>
              <w:jc w:val="right"/>
              <w:rPr>
                <w:rFonts w:cs="Calibri"/>
              </w:rPr>
            </w:pPr>
          </w:p>
        </w:tc>
      </w:tr>
      <w:tr w:rsidR="00C05069" w:rsidRPr="00CF7E1B" w14:paraId="0F024374" w14:textId="77777777" w:rsidTr="0004564D">
        <w:trPr>
          <w:trHeight w:val="23"/>
        </w:trPr>
        <w:tc>
          <w:tcPr>
            <w:tcW w:w="1560" w:type="dxa"/>
            <w:tcBorders>
              <w:top w:val="nil"/>
              <w:left w:val="single" w:sz="2" w:space="0" w:color="auto"/>
              <w:bottom w:val="nil"/>
              <w:right w:val="single" w:sz="2" w:space="0" w:color="auto"/>
            </w:tcBorders>
          </w:tcPr>
          <w:p w14:paraId="3811992F" w14:textId="77777777" w:rsidR="00C05069" w:rsidRPr="00E03D2C" w:rsidRDefault="00C05069"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162E7319" w14:textId="70090F4F" w:rsidR="00C05069" w:rsidRPr="00470415" w:rsidRDefault="007139BC" w:rsidP="00382D79">
            <w:pPr>
              <w:pStyle w:val="TableText"/>
              <w:tabs>
                <w:tab w:val="left" w:pos="3306"/>
              </w:tabs>
              <w:spacing w:before="0" w:after="120"/>
              <w:jc w:val="both"/>
              <w:rPr>
                <w:rFonts w:cs="Calibri"/>
              </w:rPr>
            </w:pPr>
            <w:r w:rsidRPr="00470415">
              <w:rPr>
                <w:rFonts w:cs="Calibri"/>
              </w:rPr>
              <w:t>T</w:t>
            </w:r>
            <w:r w:rsidR="00E86599" w:rsidRPr="00470415">
              <w:rPr>
                <w:rFonts w:cs="Calibri"/>
              </w:rPr>
              <w:t xml:space="preserve">he </w:t>
            </w:r>
            <w:r w:rsidR="00B96D8D" w:rsidRPr="00470415">
              <w:rPr>
                <w:rFonts w:cs="Calibri"/>
              </w:rPr>
              <w:t>Agency</w:t>
            </w:r>
            <w:r w:rsidR="00C05069" w:rsidRPr="00470415">
              <w:rPr>
                <w:rFonts w:cs="Calibri"/>
              </w:rPr>
              <w:t xml:space="preserve"> does not have any financial liabilities in the </w:t>
            </w:r>
            <w:r w:rsidR="001138CE" w:rsidRPr="00470415">
              <w:rPr>
                <w:rFonts w:cs="Calibri"/>
              </w:rPr>
              <w:t>‘</w:t>
            </w:r>
            <w:r w:rsidR="009E568D" w:rsidRPr="00470415">
              <w:rPr>
                <w:rFonts w:cs="Calibri"/>
              </w:rPr>
              <w:t>Financial Liabilities at Fai</w:t>
            </w:r>
            <w:r w:rsidR="001138CE" w:rsidRPr="00470415">
              <w:rPr>
                <w:rFonts w:cs="Calibri"/>
              </w:rPr>
              <w:t>r Value through Profit and Loss’</w:t>
            </w:r>
            <w:r w:rsidR="00875EF9" w:rsidRPr="00470415">
              <w:rPr>
                <w:rFonts w:cs="Calibri"/>
              </w:rPr>
              <w:t xml:space="preserve"> category</w:t>
            </w:r>
            <w:r w:rsidR="009E568D" w:rsidRPr="00470415">
              <w:rPr>
                <w:rFonts w:cs="Calibri"/>
              </w:rPr>
              <w:t xml:space="preserve"> and</w:t>
            </w:r>
            <w:r w:rsidR="001138CE" w:rsidRPr="00470415">
              <w:rPr>
                <w:rFonts w:cs="Calibri"/>
              </w:rPr>
              <w:t>,</w:t>
            </w:r>
            <w:r w:rsidR="009E568D" w:rsidRPr="00470415">
              <w:rPr>
                <w:rFonts w:cs="Calibri"/>
              </w:rPr>
              <w:t xml:space="preserve"> as such</w:t>
            </w:r>
            <w:r w:rsidR="001138CE" w:rsidRPr="00470415">
              <w:rPr>
                <w:rFonts w:cs="Calibri"/>
              </w:rPr>
              <w:t>,</w:t>
            </w:r>
            <w:r w:rsidR="009E568D" w:rsidRPr="00470415">
              <w:rPr>
                <w:rFonts w:cs="Calibri"/>
              </w:rPr>
              <w:t xml:space="preserve"> this category is not included above.</w:t>
            </w:r>
            <w:r w:rsidR="00FA7C77">
              <w:rPr>
                <w:rFonts w:cs="Calibri"/>
              </w:rPr>
              <w:t xml:space="preserve"> </w:t>
            </w:r>
          </w:p>
        </w:tc>
      </w:tr>
      <w:tr w:rsidR="009E568D" w:rsidRPr="00CF7E1B" w14:paraId="36666E29" w14:textId="77777777" w:rsidTr="0004564D">
        <w:trPr>
          <w:trHeight w:val="23"/>
        </w:trPr>
        <w:tc>
          <w:tcPr>
            <w:tcW w:w="1560" w:type="dxa"/>
            <w:tcBorders>
              <w:top w:val="nil"/>
              <w:left w:val="single" w:sz="2" w:space="0" w:color="auto"/>
              <w:bottom w:val="nil"/>
              <w:right w:val="single" w:sz="2" w:space="0" w:color="auto"/>
            </w:tcBorders>
          </w:tcPr>
          <w:p w14:paraId="64E2638C"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5C11EAB8" w14:textId="77777777" w:rsidR="009E568D" w:rsidRPr="00470415" w:rsidRDefault="009E568D" w:rsidP="009542FF">
            <w:pPr>
              <w:pStyle w:val="TableText"/>
              <w:tabs>
                <w:tab w:val="left" w:pos="3306"/>
              </w:tabs>
              <w:jc w:val="right"/>
              <w:rPr>
                <w:rFonts w:cs="Calibri"/>
              </w:rPr>
            </w:pPr>
          </w:p>
        </w:tc>
      </w:tr>
      <w:tr w:rsidR="009E568D" w:rsidRPr="00CF7E1B" w14:paraId="43CCEB99" w14:textId="77777777" w:rsidTr="0004564D">
        <w:trPr>
          <w:trHeight w:val="23"/>
        </w:trPr>
        <w:tc>
          <w:tcPr>
            <w:tcW w:w="1560" w:type="dxa"/>
            <w:tcBorders>
              <w:top w:val="nil"/>
              <w:left w:val="single" w:sz="2" w:space="0" w:color="auto"/>
              <w:bottom w:val="nil"/>
              <w:right w:val="single" w:sz="2" w:space="0" w:color="auto"/>
            </w:tcBorders>
          </w:tcPr>
          <w:p w14:paraId="129CE228"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279CC20B" w14:textId="32E167F7" w:rsidR="009E568D" w:rsidRPr="00470415" w:rsidRDefault="009E568D" w:rsidP="00E45617">
            <w:pPr>
              <w:pStyle w:val="TableText"/>
              <w:tabs>
                <w:tab w:val="left" w:pos="3306"/>
              </w:tabs>
              <w:spacing w:before="0" w:after="40"/>
              <w:rPr>
                <w:rFonts w:cs="Calibri"/>
              </w:rPr>
            </w:pPr>
            <w:r w:rsidRPr="00470415">
              <w:rPr>
                <w:rFonts w:cs="Calibri"/>
                <w:b/>
                <w:bCs/>
              </w:rPr>
              <w:t>Gains</w:t>
            </w:r>
            <w:r w:rsidR="003A69E5" w:rsidRPr="00470415">
              <w:rPr>
                <w:rFonts w:cs="Calibri"/>
                <w:b/>
                <w:bCs/>
              </w:rPr>
              <w:t xml:space="preserve">/(Losses) </w:t>
            </w:r>
            <w:r w:rsidRPr="00470415">
              <w:rPr>
                <w:rFonts w:cs="Calibri"/>
                <w:b/>
                <w:bCs/>
              </w:rPr>
              <w:t>on</w:t>
            </w:r>
            <w:r w:rsidR="00E56EEC" w:rsidRPr="00470415">
              <w:rPr>
                <w:rFonts w:cs="Calibri"/>
                <w:b/>
                <w:bCs/>
              </w:rPr>
              <w:t xml:space="preserve"> Each Ca</w:t>
            </w:r>
            <w:r w:rsidR="00F95FBA" w:rsidRPr="00470415">
              <w:rPr>
                <w:rFonts w:cs="Calibri"/>
                <w:b/>
                <w:bCs/>
              </w:rPr>
              <w:t>tegory</w:t>
            </w:r>
            <w:r w:rsidR="00E56EEC" w:rsidRPr="00470415">
              <w:rPr>
                <w:rFonts w:cs="Calibri"/>
                <w:b/>
                <w:bCs/>
              </w:rPr>
              <w:t xml:space="preserve"> of</w:t>
            </w:r>
            <w:r w:rsidRPr="00470415">
              <w:rPr>
                <w:rFonts w:cs="Calibri"/>
                <w:b/>
                <w:bCs/>
              </w:rPr>
              <w:t xml:space="preserve"> </w:t>
            </w:r>
            <w:r w:rsidRPr="00470415">
              <w:rPr>
                <w:rFonts w:cs="Calibri"/>
                <w:b/>
              </w:rPr>
              <w:t>Financial Asset and Financial Liabilit</w:t>
            </w:r>
            <w:r w:rsidR="00E56EEC" w:rsidRPr="00470415">
              <w:rPr>
                <w:rFonts w:cs="Calibri"/>
                <w:b/>
              </w:rPr>
              <w:t>y</w:t>
            </w:r>
          </w:p>
        </w:tc>
      </w:tr>
      <w:tr w:rsidR="00B70538" w:rsidRPr="00CF7E1B" w14:paraId="1326BFE7" w14:textId="77777777" w:rsidTr="0004564D">
        <w:trPr>
          <w:trHeight w:val="23"/>
        </w:trPr>
        <w:tc>
          <w:tcPr>
            <w:tcW w:w="1560" w:type="dxa"/>
            <w:tcBorders>
              <w:top w:val="nil"/>
              <w:left w:val="single" w:sz="2" w:space="0" w:color="auto"/>
              <w:bottom w:val="nil"/>
              <w:right w:val="single" w:sz="2" w:space="0" w:color="auto"/>
            </w:tcBorders>
          </w:tcPr>
          <w:p w14:paraId="277730FD"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229F1CAC" w14:textId="3881452A" w:rsidR="00B70538" w:rsidRPr="00470415" w:rsidRDefault="00B70538" w:rsidP="009542FF">
            <w:pPr>
              <w:pStyle w:val="TableText"/>
              <w:tabs>
                <w:tab w:val="left" w:pos="3306"/>
              </w:tabs>
              <w:rPr>
                <w:rFonts w:cs="Calibri"/>
                <w:b/>
              </w:rPr>
            </w:pPr>
            <w:r w:rsidRPr="00470415">
              <w:rPr>
                <w:rFonts w:cs="Calibri"/>
                <w:b/>
              </w:rPr>
              <w:t>Gains</w:t>
            </w:r>
            <w:r w:rsidR="003A69E5" w:rsidRPr="00470415">
              <w:rPr>
                <w:rFonts w:cs="Calibri"/>
                <w:b/>
              </w:rPr>
              <w:t xml:space="preserve">/(Losses) </w:t>
            </w:r>
            <w:r w:rsidRPr="00470415">
              <w:rPr>
                <w:rFonts w:cs="Calibri"/>
                <w:b/>
              </w:rPr>
              <w:t xml:space="preserve">on Financial Assets </w:t>
            </w:r>
          </w:p>
        </w:tc>
        <w:tc>
          <w:tcPr>
            <w:tcW w:w="1722" w:type="dxa"/>
            <w:tcBorders>
              <w:top w:val="nil"/>
              <w:left w:val="nil"/>
              <w:bottom w:val="nil"/>
              <w:right w:val="nil"/>
            </w:tcBorders>
            <w:vAlign w:val="bottom"/>
          </w:tcPr>
          <w:p w14:paraId="4D1BC641"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3D91884D" w14:textId="77777777" w:rsidR="00B70538" w:rsidRPr="00470415" w:rsidRDefault="00B70538" w:rsidP="009542FF">
            <w:pPr>
              <w:pStyle w:val="TableText"/>
              <w:tabs>
                <w:tab w:val="left" w:pos="3306"/>
              </w:tabs>
              <w:jc w:val="right"/>
              <w:rPr>
                <w:rFonts w:cs="Calibri"/>
              </w:rPr>
            </w:pPr>
          </w:p>
        </w:tc>
      </w:tr>
      <w:tr w:rsidR="00B70538" w:rsidRPr="00CF7E1B" w14:paraId="75CFD671" w14:textId="77777777" w:rsidTr="0004564D">
        <w:trPr>
          <w:trHeight w:val="23"/>
        </w:trPr>
        <w:tc>
          <w:tcPr>
            <w:tcW w:w="1560" w:type="dxa"/>
            <w:tcBorders>
              <w:top w:val="nil"/>
              <w:left w:val="single" w:sz="2" w:space="0" w:color="auto"/>
              <w:bottom w:val="nil"/>
              <w:right w:val="single" w:sz="2" w:space="0" w:color="auto"/>
            </w:tcBorders>
          </w:tcPr>
          <w:p w14:paraId="509CB0CC"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26375E93" w14:textId="77777777" w:rsidR="00B70538" w:rsidRPr="00470415" w:rsidRDefault="00B70538" w:rsidP="009542FF">
            <w:pPr>
              <w:pStyle w:val="TableText"/>
              <w:tabs>
                <w:tab w:val="left" w:pos="3306"/>
              </w:tabs>
              <w:rPr>
                <w:rFonts w:cs="Calibri"/>
              </w:rPr>
            </w:pPr>
            <w:r w:rsidRPr="00470415">
              <w:rPr>
                <w:rFonts w:cs="Calibri"/>
              </w:rPr>
              <w:t>Financial Assets at Fair Value through the Profit and Loss</w:t>
            </w:r>
          </w:p>
        </w:tc>
        <w:tc>
          <w:tcPr>
            <w:tcW w:w="1722" w:type="dxa"/>
            <w:tcBorders>
              <w:top w:val="nil"/>
              <w:left w:val="nil"/>
              <w:bottom w:val="nil"/>
              <w:right w:val="nil"/>
            </w:tcBorders>
            <w:vAlign w:val="bottom"/>
          </w:tcPr>
          <w:p w14:paraId="3533E66C"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31B9FD8" w14:textId="77777777" w:rsidR="00B70538" w:rsidRPr="00470415" w:rsidRDefault="00B70538" w:rsidP="009542FF">
            <w:pPr>
              <w:pStyle w:val="TableText"/>
              <w:tabs>
                <w:tab w:val="left" w:pos="3306"/>
              </w:tabs>
              <w:jc w:val="right"/>
              <w:rPr>
                <w:rFonts w:cs="Calibri"/>
              </w:rPr>
            </w:pPr>
          </w:p>
        </w:tc>
      </w:tr>
      <w:tr w:rsidR="00B70538" w:rsidRPr="00CF7E1B" w14:paraId="6C3D6B51" w14:textId="77777777" w:rsidTr="0004564D">
        <w:trPr>
          <w:trHeight w:val="23"/>
        </w:trPr>
        <w:tc>
          <w:tcPr>
            <w:tcW w:w="1560" w:type="dxa"/>
            <w:tcBorders>
              <w:top w:val="nil"/>
              <w:left w:val="single" w:sz="2" w:space="0" w:color="auto"/>
              <w:bottom w:val="nil"/>
              <w:right w:val="single" w:sz="2" w:space="0" w:color="auto"/>
            </w:tcBorders>
          </w:tcPr>
          <w:p w14:paraId="41629700"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7E47AED7" w14:textId="77777777" w:rsidR="00B70538" w:rsidRPr="00470415" w:rsidRDefault="00B70538" w:rsidP="000A5097">
            <w:pPr>
              <w:pStyle w:val="TableText"/>
              <w:tabs>
                <w:tab w:val="left" w:pos="633"/>
                <w:tab w:val="left" w:pos="3306"/>
              </w:tabs>
              <w:rPr>
                <w:rFonts w:cs="Calibri"/>
              </w:rPr>
            </w:pPr>
            <w:r w:rsidRPr="00470415">
              <w:rPr>
                <w:rFonts w:cs="Calibri"/>
              </w:rPr>
              <w:t>Designated upon Initial Recognition</w:t>
            </w:r>
          </w:p>
        </w:tc>
        <w:tc>
          <w:tcPr>
            <w:tcW w:w="1722" w:type="dxa"/>
            <w:tcBorders>
              <w:top w:val="nil"/>
              <w:left w:val="nil"/>
              <w:bottom w:val="nil"/>
              <w:right w:val="nil"/>
            </w:tcBorders>
            <w:vAlign w:val="bottom"/>
          </w:tcPr>
          <w:p w14:paraId="1F0B7820" w14:textId="624C80A1"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160C2D95" w14:textId="2A282CD4" w:rsidR="00B70538" w:rsidRPr="00470415" w:rsidRDefault="00B70538" w:rsidP="009542FF">
            <w:pPr>
              <w:pStyle w:val="TableText"/>
              <w:tabs>
                <w:tab w:val="left" w:pos="3306"/>
              </w:tabs>
              <w:jc w:val="right"/>
              <w:rPr>
                <w:rFonts w:cs="Calibri"/>
              </w:rPr>
            </w:pPr>
          </w:p>
        </w:tc>
      </w:tr>
      <w:tr w:rsidR="00B70538" w:rsidRPr="00CF7E1B" w14:paraId="1DE5E854" w14:textId="77777777" w:rsidTr="0004564D">
        <w:trPr>
          <w:trHeight w:val="207"/>
        </w:trPr>
        <w:tc>
          <w:tcPr>
            <w:tcW w:w="1560" w:type="dxa"/>
            <w:tcBorders>
              <w:top w:val="nil"/>
              <w:left w:val="single" w:sz="2" w:space="0" w:color="auto"/>
              <w:bottom w:val="nil"/>
              <w:right w:val="single" w:sz="2" w:space="0" w:color="auto"/>
            </w:tcBorders>
          </w:tcPr>
          <w:p w14:paraId="0B4AF97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651FC03" w14:textId="77777777" w:rsidR="00B70538" w:rsidRPr="00470415" w:rsidRDefault="00B70538" w:rsidP="00127864">
            <w:pPr>
              <w:pStyle w:val="TableText"/>
              <w:tabs>
                <w:tab w:val="left" w:pos="3306"/>
              </w:tabs>
              <w:spacing w:before="0"/>
              <w:rPr>
                <w:rFonts w:cs="Calibri"/>
                <w:b/>
                <w:bCs/>
              </w:rPr>
            </w:pPr>
          </w:p>
        </w:tc>
        <w:tc>
          <w:tcPr>
            <w:tcW w:w="1722" w:type="dxa"/>
            <w:tcBorders>
              <w:top w:val="nil"/>
              <w:left w:val="nil"/>
              <w:bottom w:val="nil"/>
              <w:right w:val="nil"/>
            </w:tcBorders>
            <w:vAlign w:val="bottom"/>
          </w:tcPr>
          <w:p w14:paraId="223DE37F" w14:textId="77777777" w:rsidR="00B70538" w:rsidRPr="00470415" w:rsidRDefault="00B70538" w:rsidP="00127864">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3B4D41E6" w14:textId="77777777" w:rsidR="00B70538" w:rsidRPr="00470415" w:rsidRDefault="00B70538" w:rsidP="00127864">
            <w:pPr>
              <w:pStyle w:val="TableText"/>
              <w:tabs>
                <w:tab w:val="left" w:pos="3306"/>
              </w:tabs>
              <w:spacing w:before="0"/>
              <w:jc w:val="right"/>
              <w:rPr>
                <w:rFonts w:cs="Calibri"/>
              </w:rPr>
            </w:pPr>
          </w:p>
        </w:tc>
      </w:tr>
      <w:tr w:rsidR="00B70538" w:rsidRPr="00CF7E1B" w14:paraId="2B96C017" w14:textId="77777777" w:rsidTr="0004564D">
        <w:trPr>
          <w:trHeight w:val="23"/>
        </w:trPr>
        <w:tc>
          <w:tcPr>
            <w:tcW w:w="1560" w:type="dxa"/>
            <w:tcBorders>
              <w:top w:val="nil"/>
              <w:left w:val="single" w:sz="2" w:space="0" w:color="auto"/>
              <w:bottom w:val="nil"/>
              <w:right w:val="single" w:sz="2" w:space="0" w:color="auto"/>
            </w:tcBorders>
          </w:tcPr>
          <w:p w14:paraId="180E94D7"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0270CA09" w14:textId="77777777" w:rsidR="00B70538" w:rsidRPr="00470415" w:rsidRDefault="00B70538" w:rsidP="003A69E5">
            <w:pPr>
              <w:pStyle w:val="TableText"/>
              <w:tabs>
                <w:tab w:val="left" w:pos="3306"/>
              </w:tabs>
              <w:rPr>
                <w:rFonts w:cs="Calibri"/>
                <w:b/>
              </w:rPr>
            </w:pPr>
            <w:r w:rsidRPr="00470415">
              <w:rPr>
                <w:rFonts w:cs="Calibri"/>
                <w:b/>
              </w:rPr>
              <w:t>Gains</w:t>
            </w:r>
            <w:r w:rsidR="003A69E5" w:rsidRPr="00470415">
              <w:rPr>
                <w:rFonts w:cs="Calibri"/>
                <w:b/>
              </w:rPr>
              <w:t>/(Losses)</w:t>
            </w:r>
            <w:r w:rsidRPr="00470415">
              <w:rPr>
                <w:rFonts w:cs="Calibri"/>
                <w:b/>
              </w:rPr>
              <w:t xml:space="preserve"> on Financial Liabilities</w:t>
            </w:r>
          </w:p>
        </w:tc>
        <w:tc>
          <w:tcPr>
            <w:tcW w:w="1722" w:type="dxa"/>
            <w:tcBorders>
              <w:top w:val="nil"/>
              <w:left w:val="nil"/>
              <w:bottom w:val="nil"/>
              <w:right w:val="nil"/>
            </w:tcBorders>
            <w:vAlign w:val="bottom"/>
          </w:tcPr>
          <w:p w14:paraId="3C036B26"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A326D44" w14:textId="77777777" w:rsidR="00B70538" w:rsidRPr="00470415" w:rsidRDefault="00B70538" w:rsidP="009542FF">
            <w:pPr>
              <w:pStyle w:val="TableText"/>
              <w:tabs>
                <w:tab w:val="left" w:pos="3306"/>
              </w:tabs>
              <w:jc w:val="right"/>
              <w:rPr>
                <w:rFonts w:cs="Calibri"/>
              </w:rPr>
            </w:pPr>
          </w:p>
        </w:tc>
      </w:tr>
      <w:tr w:rsidR="00B70538" w:rsidRPr="00CF7E1B" w14:paraId="0B97040C" w14:textId="77777777" w:rsidTr="0004564D">
        <w:trPr>
          <w:trHeight w:val="23"/>
        </w:trPr>
        <w:tc>
          <w:tcPr>
            <w:tcW w:w="1560" w:type="dxa"/>
            <w:tcBorders>
              <w:top w:val="nil"/>
              <w:left w:val="single" w:sz="2" w:space="0" w:color="auto"/>
              <w:bottom w:val="nil"/>
              <w:right w:val="single" w:sz="2" w:space="0" w:color="auto"/>
            </w:tcBorders>
          </w:tcPr>
          <w:p w14:paraId="51540BE5"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20(a)(v)</w:t>
            </w:r>
          </w:p>
        </w:tc>
        <w:tc>
          <w:tcPr>
            <w:tcW w:w="5790" w:type="dxa"/>
            <w:tcBorders>
              <w:top w:val="nil"/>
              <w:left w:val="single" w:sz="2" w:space="0" w:color="auto"/>
              <w:bottom w:val="nil"/>
              <w:right w:val="nil"/>
            </w:tcBorders>
            <w:vAlign w:val="bottom"/>
          </w:tcPr>
          <w:p w14:paraId="20592C5B" w14:textId="77777777" w:rsidR="00B70538" w:rsidRPr="00470415" w:rsidRDefault="001138CE" w:rsidP="009542FF">
            <w:pPr>
              <w:pStyle w:val="TableText"/>
              <w:tabs>
                <w:tab w:val="left" w:pos="3306"/>
              </w:tabs>
              <w:rPr>
                <w:rFonts w:cs="Calibri"/>
              </w:rPr>
            </w:pPr>
            <w:r w:rsidRPr="00470415">
              <w:rPr>
                <w:rFonts w:cs="Calibri"/>
              </w:rPr>
              <w:t>Financial Liabilities M</w:t>
            </w:r>
            <w:r w:rsidR="00B70538" w:rsidRPr="00470415">
              <w:rPr>
                <w:rFonts w:cs="Calibri"/>
              </w:rPr>
              <w:t>easured at Amortised Cost</w:t>
            </w:r>
          </w:p>
        </w:tc>
        <w:tc>
          <w:tcPr>
            <w:tcW w:w="1722" w:type="dxa"/>
            <w:tcBorders>
              <w:top w:val="nil"/>
              <w:left w:val="nil"/>
              <w:bottom w:val="nil"/>
              <w:right w:val="nil"/>
            </w:tcBorders>
            <w:vAlign w:val="bottom"/>
          </w:tcPr>
          <w:p w14:paraId="18076292" w14:textId="56A875FE" w:rsidR="00B70538" w:rsidRPr="00470415" w:rsidRDefault="00B70538" w:rsidP="009542FF">
            <w:pPr>
              <w:pStyle w:val="TableText"/>
              <w:tabs>
                <w:tab w:val="left" w:pos="3306"/>
              </w:tabs>
              <w:jc w:val="right"/>
              <w:rPr>
                <w:rFonts w:cs="Calibri"/>
                <w:strike/>
              </w:rPr>
            </w:pPr>
          </w:p>
        </w:tc>
        <w:tc>
          <w:tcPr>
            <w:tcW w:w="1418" w:type="dxa"/>
            <w:tcBorders>
              <w:top w:val="nil"/>
              <w:left w:val="nil"/>
              <w:bottom w:val="nil"/>
              <w:right w:val="nil"/>
            </w:tcBorders>
            <w:vAlign w:val="bottom"/>
          </w:tcPr>
          <w:p w14:paraId="6E5D47C3" w14:textId="43315576" w:rsidR="00B70538" w:rsidRPr="00470415" w:rsidRDefault="00B70538" w:rsidP="009542FF">
            <w:pPr>
              <w:pStyle w:val="TableText"/>
              <w:tabs>
                <w:tab w:val="left" w:pos="3306"/>
              </w:tabs>
              <w:jc w:val="right"/>
              <w:rPr>
                <w:rFonts w:cs="Calibri"/>
                <w:strike/>
              </w:rPr>
            </w:pPr>
          </w:p>
        </w:tc>
      </w:tr>
      <w:tr w:rsidR="00B70538" w:rsidRPr="00CF7E1B" w14:paraId="103D9E8F" w14:textId="77777777" w:rsidTr="0004564D">
        <w:trPr>
          <w:trHeight w:val="162"/>
        </w:trPr>
        <w:tc>
          <w:tcPr>
            <w:tcW w:w="1560" w:type="dxa"/>
            <w:tcBorders>
              <w:top w:val="nil"/>
              <w:left w:val="single" w:sz="2" w:space="0" w:color="auto"/>
              <w:bottom w:val="nil"/>
              <w:right w:val="single" w:sz="2" w:space="0" w:color="auto"/>
            </w:tcBorders>
          </w:tcPr>
          <w:p w14:paraId="3B82EBB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289AB862" w14:textId="77777777" w:rsidR="00B70538" w:rsidRPr="00470415" w:rsidRDefault="00B70538" w:rsidP="00127864">
            <w:pPr>
              <w:pStyle w:val="TableText"/>
              <w:tabs>
                <w:tab w:val="left" w:pos="3306"/>
              </w:tabs>
              <w:spacing w:before="0"/>
              <w:rPr>
                <w:rFonts w:cs="Calibri"/>
                <w:sz w:val="20"/>
                <w:szCs w:val="20"/>
              </w:rPr>
            </w:pPr>
          </w:p>
        </w:tc>
        <w:tc>
          <w:tcPr>
            <w:tcW w:w="1722" w:type="dxa"/>
            <w:tcBorders>
              <w:top w:val="nil"/>
              <w:left w:val="nil"/>
              <w:bottom w:val="nil"/>
              <w:right w:val="nil"/>
            </w:tcBorders>
            <w:vAlign w:val="bottom"/>
          </w:tcPr>
          <w:p w14:paraId="52A051B4" w14:textId="77777777" w:rsidR="00B70538" w:rsidRPr="00470415" w:rsidRDefault="00B70538" w:rsidP="00127864">
            <w:pPr>
              <w:pStyle w:val="TableText"/>
              <w:tabs>
                <w:tab w:val="left" w:pos="3306"/>
              </w:tabs>
              <w:spacing w:before="0"/>
              <w:jc w:val="right"/>
              <w:rPr>
                <w:rFonts w:cs="Calibri"/>
                <w:sz w:val="20"/>
                <w:szCs w:val="20"/>
              </w:rPr>
            </w:pPr>
          </w:p>
        </w:tc>
        <w:tc>
          <w:tcPr>
            <w:tcW w:w="1418" w:type="dxa"/>
            <w:tcBorders>
              <w:top w:val="nil"/>
              <w:left w:val="nil"/>
              <w:bottom w:val="nil"/>
              <w:right w:val="nil"/>
            </w:tcBorders>
            <w:vAlign w:val="bottom"/>
          </w:tcPr>
          <w:p w14:paraId="6B6B58E1" w14:textId="77777777" w:rsidR="00B70538" w:rsidRPr="00470415" w:rsidRDefault="00B70538" w:rsidP="00127864">
            <w:pPr>
              <w:pStyle w:val="TableText"/>
              <w:tabs>
                <w:tab w:val="left" w:pos="3306"/>
              </w:tabs>
              <w:spacing w:before="0"/>
              <w:jc w:val="right"/>
              <w:rPr>
                <w:rFonts w:cs="Calibri"/>
                <w:sz w:val="20"/>
                <w:szCs w:val="20"/>
              </w:rPr>
            </w:pPr>
          </w:p>
        </w:tc>
      </w:tr>
      <w:tr w:rsidR="00B70538" w:rsidRPr="00CF7E1B" w14:paraId="1996AE2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483"/>
          <w:tblHeader/>
        </w:trPr>
        <w:tc>
          <w:tcPr>
            <w:tcW w:w="1560" w:type="dxa"/>
            <w:tcBorders>
              <w:left w:val="single" w:sz="2" w:space="0" w:color="auto"/>
              <w:right w:val="single" w:sz="2" w:space="0" w:color="auto"/>
            </w:tcBorders>
          </w:tcPr>
          <w:p w14:paraId="26F8A04E" w14:textId="77777777" w:rsidR="00B70538" w:rsidRPr="00E03D2C" w:rsidRDefault="00B70538" w:rsidP="00C24DC3">
            <w:pPr>
              <w:pStyle w:val="TableReference"/>
              <w:tabs>
                <w:tab w:val="left" w:pos="3306"/>
              </w:tabs>
              <w:spacing w:before="240" w:after="240"/>
              <w:rPr>
                <w:rFonts w:cs="Calibri"/>
                <w:color w:val="7030A0"/>
                <w:sz w:val="14"/>
              </w:rPr>
            </w:pPr>
            <w:r w:rsidRPr="00E03D2C">
              <w:rPr>
                <w:rFonts w:cs="Calibri"/>
                <w:color w:val="7030A0"/>
                <w:sz w:val="14"/>
              </w:rPr>
              <w:br w:type="page"/>
            </w:r>
          </w:p>
        </w:tc>
        <w:tc>
          <w:tcPr>
            <w:tcW w:w="8930" w:type="dxa"/>
            <w:gridSpan w:val="3"/>
            <w:tcBorders>
              <w:left w:val="single" w:sz="2" w:space="0" w:color="auto"/>
            </w:tcBorders>
            <w:shd w:val="clear" w:color="auto" w:fill="7030A0"/>
          </w:tcPr>
          <w:p w14:paraId="2B2A8756" w14:textId="72A00BE2" w:rsidR="00B70538" w:rsidRPr="00E03D2C" w:rsidRDefault="00B70538" w:rsidP="00C24DC3">
            <w:pPr>
              <w:pStyle w:val="CommentaryTitle"/>
              <w:pageBreakBefore w:val="0"/>
              <w:tabs>
                <w:tab w:val="left" w:pos="3306"/>
              </w:tabs>
              <w:spacing w:before="240" w:after="240"/>
              <w:rPr>
                <w:rFonts w:cs="Calibri"/>
                <w:color w:val="FFFFFF" w:themeColor="background1"/>
                <w:sz w:val="28"/>
                <w:szCs w:val="28"/>
              </w:rPr>
            </w:pPr>
            <w:bookmarkStart w:id="784" w:name="_Toc50440389"/>
            <w:bookmarkStart w:id="785" w:name="_Toc163106379"/>
            <w:r w:rsidRPr="00E03D2C">
              <w:rPr>
                <w:rFonts w:cs="Calibri"/>
                <w:color w:val="FFFFFF" w:themeColor="background1"/>
                <w:sz w:val="28"/>
                <w:szCs w:val="28"/>
              </w:rPr>
              <w:t xml:space="preserve">Commentary </w:t>
            </w:r>
            <w:r w:rsidRPr="00E03D2C">
              <w:rPr>
                <w:rFonts w:cs="Calibri"/>
                <w:color w:val="FFFFFF" w:themeColor="background1"/>
                <w:sz w:val="28"/>
                <w:szCs w:val="28"/>
              </w:rPr>
              <w:sym w:font="Symbol" w:char="F02D"/>
            </w:r>
            <w:r w:rsidR="00074BF9" w:rsidRPr="00E03D2C">
              <w:rPr>
                <w:rFonts w:cs="Calibri"/>
                <w:color w:val="FFFFFF" w:themeColor="background1"/>
                <w:sz w:val="28"/>
                <w:szCs w:val="28"/>
              </w:rPr>
              <w:t xml:space="preserve"> Note </w:t>
            </w:r>
            <w:r w:rsidR="00594D6E" w:rsidRPr="00E03D2C">
              <w:rPr>
                <w:rFonts w:cs="Calibri"/>
                <w:color w:val="FFFFFF" w:themeColor="background1"/>
                <w:sz w:val="28"/>
                <w:szCs w:val="28"/>
              </w:rPr>
              <w:t>31</w:t>
            </w:r>
            <w:r w:rsidRPr="00E03D2C">
              <w:rPr>
                <w:rFonts w:cs="Calibri"/>
                <w:color w:val="FFFFFF" w:themeColor="background1"/>
                <w:sz w:val="28"/>
                <w:szCs w:val="28"/>
              </w:rPr>
              <w:t>: Financial Instruments</w:t>
            </w:r>
            <w:bookmarkEnd w:id="784"/>
            <w:bookmarkEnd w:id="785"/>
          </w:p>
        </w:tc>
      </w:tr>
      <w:tr w:rsidR="00E76015" w:rsidRPr="00CF7E1B" w14:paraId="3C53B0F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17"/>
        </w:trPr>
        <w:tc>
          <w:tcPr>
            <w:tcW w:w="1560" w:type="dxa"/>
            <w:tcBorders>
              <w:left w:val="single" w:sz="2" w:space="0" w:color="auto"/>
              <w:right w:val="single" w:sz="2" w:space="0" w:color="auto"/>
            </w:tcBorders>
          </w:tcPr>
          <w:p w14:paraId="09AB4B3A"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7.42D</w:t>
            </w:r>
          </w:p>
          <w:p w14:paraId="60BD6B4E"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DCA7E14" w14:textId="1EA94750" w:rsidR="00E76015" w:rsidRPr="00E03D2C" w:rsidRDefault="00E76015" w:rsidP="006E51FA">
            <w:pPr>
              <w:pStyle w:val="CommentaryHeading"/>
              <w:tabs>
                <w:tab w:val="left" w:pos="3306"/>
              </w:tabs>
              <w:spacing w:before="0" w:after="180"/>
              <w:jc w:val="both"/>
              <w:rPr>
                <w:rFonts w:cs="Calibri"/>
                <w:b w:val="0"/>
                <w:bCs w:val="0"/>
                <w:color w:val="FFFFFF" w:themeColor="background1"/>
                <w:sz w:val="18"/>
              </w:rPr>
            </w:pPr>
            <w:r w:rsidRPr="00E03D2C">
              <w:rPr>
                <w:b w:val="0"/>
                <w:bCs w:val="0"/>
                <w:color w:val="FFFFFF" w:themeColor="background1"/>
                <w:sz w:val="18"/>
              </w:rPr>
              <w:t>The note included in the Model represents the minimum disclosures by way of example only. Each agency needs to consider their specific financial instruments and modify the disclosures accordingly.</w:t>
            </w:r>
          </w:p>
        </w:tc>
      </w:tr>
      <w:tr w:rsidR="00E76015" w:rsidRPr="00CF7E1B" w14:paraId="129A25DB" w14:textId="77777777" w:rsidTr="00C8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70"/>
        </w:trPr>
        <w:tc>
          <w:tcPr>
            <w:tcW w:w="1560" w:type="dxa"/>
            <w:tcBorders>
              <w:left w:val="single" w:sz="2" w:space="0" w:color="auto"/>
              <w:right w:val="single" w:sz="2" w:space="0" w:color="auto"/>
            </w:tcBorders>
          </w:tcPr>
          <w:p w14:paraId="44A40C0C"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46F0831" w14:textId="77777777" w:rsidR="00E76015" w:rsidRPr="00BB2E31" w:rsidRDefault="00E76015" w:rsidP="00C87FF4">
            <w:pPr>
              <w:pStyle w:val="CommentaryHeading"/>
              <w:tabs>
                <w:tab w:val="left" w:pos="3306"/>
              </w:tabs>
              <w:spacing w:before="0" w:after="40"/>
              <w:rPr>
                <w:rFonts w:cs="Calibri"/>
                <w:color w:val="FFFFFF" w:themeColor="background1"/>
                <w:szCs w:val="20"/>
              </w:rPr>
            </w:pPr>
            <w:r w:rsidRPr="00BB2E31">
              <w:rPr>
                <w:rFonts w:cs="Calibri"/>
                <w:color w:val="FFFFFF" w:themeColor="background1"/>
                <w:szCs w:val="20"/>
              </w:rPr>
              <w:t>Definitions</w:t>
            </w:r>
          </w:p>
        </w:tc>
      </w:tr>
      <w:tr w:rsidR="00E76015" w:rsidRPr="00CF7E1B" w14:paraId="02FAECD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EAB052C"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1F22ED1" w14:textId="77777777" w:rsidR="00E76015" w:rsidRPr="00E03D2C" w:rsidRDefault="00E76015" w:rsidP="00C87FF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asset’ means any asset that is:</w:t>
            </w:r>
          </w:p>
        </w:tc>
      </w:tr>
      <w:tr w:rsidR="00E76015" w:rsidRPr="00CF7E1B" w14:paraId="53600363"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5D5ABB"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B6EBB95"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cash;</w:t>
            </w:r>
          </w:p>
          <w:p w14:paraId="121F3972"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receive cash or another financial asset from another entity;</w:t>
            </w:r>
          </w:p>
          <w:p w14:paraId="52EB76B2"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exchange financial assets or financial liabilities with another entity under conditions that are potentially favourable to the entity; or</w:t>
            </w:r>
          </w:p>
          <w:p w14:paraId="2E3571EB" w14:textId="77777777" w:rsidR="00E76015" w:rsidRPr="00E03D2C" w:rsidRDefault="00E7601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an equity instrument of another entity.</w:t>
            </w:r>
          </w:p>
        </w:tc>
      </w:tr>
      <w:tr w:rsidR="00E76015" w:rsidRPr="00CF7E1B" w14:paraId="23397F5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AC784B0" w14:textId="5BC8CA18"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03CB243A" w14:textId="08480160"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instrument’ means any contract that gives rise to a financial asset of one entity and a financial liability or equity instrument of another entity.</w:t>
            </w:r>
          </w:p>
        </w:tc>
      </w:tr>
      <w:tr w:rsidR="00E76015" w:rsidRPr="00CF7E1B" w14:paraId="5D0D1F8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1C94E367" w14:textId="5EBCB3BB"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132.AG15</w:t>
            </w:r>
          </w:p>
        </w:tc>
        <w:tc>
          <w:tcPr>
            <w:tcW w:w="8930" w:type="dxa"/>
            <w:gridSpan w:val="3"/>
            <w:tcBorders>
              <w:left w:val="single" w:sz="2" w:space="0" w:color="auto"/>
            </w:tcBorders>
            <w:shd w:val="clear" w:color="auto" w:fill="7030A0"/>
          </w:tcPr>
          <w:p w14:paraId="16E4A7FC" w14:textId="72257919"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Examples of financial instruments include primary instruments, such as receivables, payables and equity securities, and derivative financial instruments, such as financial options, futures and forwards, interest rate swaps and currency swaps.</w:t>
            </w:r>
          </w:p>
        </w:tc>
      </w:tr>
      <w:tr w:rsidR="00E76015" w:rsidRPr="00CF7E1B" w14:paraId="6599271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D7F8C3"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B6F32D8"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liability’ means any liability that is a contractual obligation:</w:t>
            </w:r>
          </w:p>
          <w:p w14:paraId="03FE78CA"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to deliver cash or another financial asset to another entity; or</w:t>
            </w:r>
          </w:p>
          <w:p w14:paraId="546C9B93" w14:textId="77777777" w:rsidR="00E76015" w:rsidRPr="00E03D2C" w:rsidRDefault="00E7601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to exchange financial assets or financial liabilities with another entity under conditions that are potentially unfavourable to the entity.</w:t>
            </w:r>
          </w:p>
        </w:tc>
      </w:tr>
      <w:tr w:rsidR="00E76015" w:rsidRPr="00CF7E1B" w14:paraId="18976414"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F7DDBF9"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5A6CBCE4"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‘Equity Instrument’ means any contract that evidences a residual interest in the assets of an entity after deducting all its liabilities.</w:t>
            </w:r>
          </w:p>
        </w:tc>
      </w:tr>
      <w:tr w:rsidR="00810B4A" w:rsidRPr="00574DE1" w14:paraId="4C0141E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0C9F34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132.13</w:t>
            </w:r>
          </w:p>
          <w:p w14:paraId="3E86C77B" w14:textId="77777777" w:rsidR="00810B4A" w:rsidRPr="00E03D2C" w:rsidRDefault="00810B4A" w:rsidP="009A0F2F">
            <w:pPr>
              <w:pStyle w:val="TableReference"/>
              <w:tabs>
                <w:tab w:val="left" w:pos="3306"/>
              </w:tabs>
              <w:spacing w:before="60"/>
              <w:rPr>
                <w:rFonts w:cs="Calibri"/>
                <w:color w:val="7030A0"/>
                <w:sz w:val="14"/>
              </w:rPr>
            </w:pPr>
          </w:p>
          <w:p w14:paraId="539F879C" w14:textId="77777777" w:rsidR="00810B4A" w:rsidRPr="00E03D2C" w:rsidRDefault="00810B4A" w:rsidP="009A0F2F">
            <w:pPr>
              <w:pStyle w:val="TableReference"/>
              <w:tabs>
                <w:tab w:val="left" w:pos="3306"/>
              </w:tabs>
              <w:spacing w:before="60"/>
              <w:rPr>
                <w:rFonts w:cs="Calibri"/>
                <w:color w:val="7030A0"/>
                <w:sz w:val="14"/>
              </w:rPr>
            </w:pPr>
          </w:p>
          <w:p w14:paraId="2A2241EA" w14:textId="77777777" w:rsidR="00810B4A" w:rsidRPr="00E03D2C" w:rsidRDefault="00810B4A" w:rsidP="009A0F2F">
            <w:pPr>
              <w:pStyle w:val="TableReference"/>
              <w:tabs>
                <w:tab w:val="left" w:pos="3306"/>
              </w:tabs>
              <w:spacing w:before="60"/>
              <w:rPr>
                <w:rFonts w:cs="Calibri"/>
                <w:color w:val="7030A0"/>
                <w:sz w:val="14"/>
              </w:rPr>
            </w:pPr>
          </w:p>
          <w:p w14:paraId="7F478A77" w14:textId="77777777" w:rsidR="00810B4A" w:rsidRPr="00E03D2C" w:rsidRDefault="00810B4A" w:rsidP="009A0F2F">
            <w:pPr>
              <w:pStyle w:val="TableReference"/>
              <w:tabs>
                <w:tab w:val="left" w:pos="3306"/>
              </w:tabs>
              <w:spacing w:before="60"/>
              <w:rPr>
                <w:rFonts w:cs="Calibri"/>
                <w:color w:val="7030A0"/>
                <w:sz w:val="14"/>
              </w:rPr>
            </w:pPr>
          </w:p>
          <w:p w14:paraId="7697FCF9"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132.AG12</w:t>
            </w:r>
          </w:p>
        </w:tc>
        <w:tc>
          <w:tcPr>
            <w:tcW w:w="8930" w:type="dxa"/>
            <w:gridSpan w:val="3"/>
            <w:tcBorders>
              <w:left w:val="single" w:sz="2" w:space="0" w:color="auto"/>
            </w:tcBorders>
            <w:shd w:val="clear" w:color="auto" w:fill="7030A0"/>
          </w:tcPr>
          <w:p w14:paraId="3FD0E580" w14:textId="76F0254A" w:rsidR="00810B4A" w:rsidRPr="00E03D2C" w:rsidRDefault="00810B4A" w:rsidP="009A0F2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terms ‘contract’ and ‘contractual’ refer to an agreement between two or more parties that has clear economic consequences that the parties have little, if any, discretion to avoid, usually because the agreement is enforceable at law.</w:t>
            </w:r>
            <w:r w:rsidR="00FA7C77">
              <w:rPr>
                <w:rFonts w:cs="Calibri"/>
                <w:color w:val="FFFFFF" w:themeColor="background1"/>
                <w:sz w:val="18"/>
                <w:szCs w:val="18"/>
              </w:rPr>
              <w:t xml:space="preserve"> </w:t>
            </w:r>
            <w:r w:rsidRPr="00E03D2C">
              <w:rPr>
                <w:rFonts w:cs="Calibri"/>
                <w:color w:val="FFFFFF" w:themeColor="background1"/>
                <w:sz w:val="18"/>
                <w:szCs w:val="18"/>
              </w:rPr>
              <w:t>Contracts, and thus financial instruments, may take a variety of forms and need not be in writing. In taking up accruals for financial instruments, only those that have a contractual basis should be recognised. Also, in government, certain rights to receive or pay cash may not be contractual and therefore in these situations, the requirements above will not apply. For example, the rights or obligations may have their source in legislation such as in the case of taxation receivables, GST receivables or levy receivables.</w:t>
            </w:r>
          </w:p>
        </w:tc>
      </w:tr>
    </w:tbl>
    <w:p w14:paraId="5972F350" w14:textId="77777777" w:rsidR="00A832C5" w:rsidRDefault="00A832C5"/>
    <w:tbl>
      <w:tblPr>
        <w:tblW w:w="10490" w:type="dxa"/>
        <w:tblInd w:w="-3" w:type="dxa"/>
        <w:shd w:val="clear" w:color="auto" w:fill="CCFFCC"/>
        <w:tblLayout w:type="fixed"/>
        <w:tblLook w:val="00A0" w:firstRow="1" w:lastRow="0" w:firstColumn="1" w:lastColumn="0" w:noHBand="0" w:noVBand="0"/>
      </w:tblPr>
      <w:tblGrid>
        <w:gridCol w:w="1560"/>
        <w:gridCol w:w="8930"/>
      </w:tblGrid>
      <w:tr w:rsidR="00074BF9" w:rsidRPr="00CF7E1B" w14:paraId="3CEBF2E0" w14:textId="77777777" w:rsidTr="00C24DC3">
        <w:trPr>
          <w:trHeight w:val="542"/>
        </w:trPr>
        <w:tc>
          <w:tcPr>
            <w:tcW w:w="1560" w:type="dxa"/>
            <w:tcBorders>
              <w:left w:val="single" w:sz="2" w:space="0" w:color="auto"/>
              <w:right w:val="single" w:sz="2" w:space="0" w:color="auto"/>
            </w:tcBorders>
          </w:tcPr>
          <w:p w14:paraId="730343D1" w14:textId="77777777" w:rsidR="00074BF9" w:rsidRPr="00E03D2C" w:rsidRDefault="004B3E25" w:rsidP="00C24DC3">
            <w:pPr>
              <w:pStyle w:val="TableReference"/>
              <w:tabs>
                <w:tab w:val="left" w:pos="3306"/>
              </w:tabs>
              <w:spacing w:before="240"/>
              <w:rPr>
                <w:rFonts w:cs="Calibri"/>
                <w:b/>
                <w:color w:val="7030A0"/>
                <w:sz w:val="22"/>
                <w:szCs w:val="22"/>
              </w:rPr>
            </w:pPr>
            <w:r w:rsidRPr="00E03D2C">
              <w:rPr>
                <w:rFonts w:cs="Calibri"/>
                <w:color w:val="7030A0"/>
                <w:sz w:val="22"/>
                <w:szCs w:val="22"/>
              </w:rPr>
              <w:br w:type="page"/>
            </w:r>
            <w:r w:rsidR="007E1584" w:rsidRPr="00E03D2C">
              <w:rPr>
                <w:rFonts w:cs="Calibri"/>
                <w:b/>
                <w:color w:val="7030A0"/>
                <w:sz w:val="22"/>
                <w:szCs w:val="22"/>
              </w:rPr>
              <w:t>Reference</w:t>
            </w:r>
          </w:p>
        </w:tc>
        <w:tc>
          <w:tcPr>
            <w:tcW w:w="8930" w:type="dxa"/>
            <w:tcBorders>
              <w:left w:val="single" w:sz="2" w:space="0" w:color="auto"/>
            </w:tcBorders>
            <w:shd w:val="clear" w:color="auto" w:fill="7030A0"/>
          </w:tcPr>
          <w:p w14:paraId="5F4D8B75" w14:textId="22C3CC59" w:rsidR="00074BF9" w:rsidRPr="00E03D2C" w:rsidRDefault="00074BF9" w:rsidP="00C24DC3">
            <w:pPr>
              <w:pStyle w:val="CommentaryText"/>
              <w:tabs>
                <w:tab w:val="left" w:pos="3306"/>
              </w:tabs>
              <w:spacing w:before="240" w:after="0"/>
              <w:rPr>
                <w:rFonts w:cs="Calibri"/>
                <w:b/>
                <w:color w:val="FFFFFF" w:themeColor="background1"/>
                <w:sz w:val="28"/>
                <w:szCs w:val="28"/>
              </w:rPr>
            </w:pPr>
            <w:r w:rsidRPr="00E03D2C">
              <w:rPr>
                <w:rFonts w:cs="Calibri"/>
                <w:b/>
                <w:color w:val="FFFFFF" w:themeColor="background1"/>
                <w:sz w:val="28"/>
                <w:szCs w:val="28"/>
              </w:rPr>
              <w:t xml:space="preserve">Commentary </w:t>
            </w:r>
            <w:r w:rsidR="006B38C1" w:rsidRPr="00E03D2C">
              <w:rPr>
                <w:rFonts w:cs="Calibri"/>
                <w:b/>
                <w:color w:val="FFFFFF" w:themeColor="background1"/>
                <w:sz w:val="28"/>
                <w:szCs w:val="28"/>
              </w:rPr>
              <w:t xml:space="preserve">– </w:t>
            </w:r>
            <w:r w:rsidRPr="00E03D2C">
              <w:rPr>
                <w:rFonts w:cs="Calibri"/>
                <w:b/>
                <w:color w:val="FFFFFF" w:themeColor="background1"/>
                <w:sz w:val="28"/>
                <w:szCs w:val="28"/>
              </w:rPr>
              <w:t xml:space="preserve">Note </w:t>
            </w:r>
            <w:r w:rsidR="0007497D" w:rsidRPr="00E03D2C">
              <w:rPr>
                <w:rFonts w:cs="Calibri"/>
                <w:b/>
                <w:color w:val="FFFFFF" w:themeColor="background1"/>
                <w:sz w:val="28"/>
                <w:szCs w:val="28"/>
              </w:rPr>
              <w:t>31</w:t>
            </w:r>
            <w:r w:rsidRPr="00E03D2C">
              <w:rPr>
                <w:rFonts w:cs="Calibri"/>
                <w:b/>
                <w:color w:val="FFFFFF" w:themeColor="background1"/>
                <w:sz w:val="28"/>
                <w:szCs w:val="28"/>
              </w:rPr>
              <w:t xml:space="preserve">: Financial Instruments </w:t>
            </w:r>
            <w:r w:rsidR="006B38C1" w:rsidRPr="00E03D2C">
              <w:rPr>
                <w:rFonts w:cs="Calibri"/>
                <w:b/>
                <w:color w:val="FFFFFF" w:themeColor="background1"/>
                <w:sz w:val="28"/>
                <w:szCs w:val="28"/>
              </w:rPr>
              <w:t>–</w:t>
            </w:r>
            <w:r w:rsidR="00E82A6C" w:rsidRPr="00E03D2C">
              <w:rPr>
                <w:rFonts w:cs="Calibri"/>
                <w:b/>
                <w:color w:val="FFFFFF" w:themeColor="background1"/>
                <w:sz w:val="28"/>
                <w:szCs w:val="28"/>
              </w:rPr>
              <w:t xml:space="preserve"> Continued</w:t>
            </w:r>
            <w:r w:rsidR="006B38C1" w:rsidRPr="00E03D2C">
              <w:rPr>
                <w:rFonts w:cs="Calibri"/>
                <w:b/>
                <w:color w:val="FFFFFF" w:themeColor="background1"/>
                <w:sz w:val="28"/>
                <w:szCs w:val="28"/>
              </w:rPr>
              <w:t xml:space="preserve"> </w:t>
            </w:r>
          </w:p>
        </w:tc>
      </w:tr>
      <w:tr w:rsidR="00B70538" w:rsidRPr="00CF7E1B" w14:paraId="490C9B28" w14:textId="77777777" w:rsidTr="00C24DC3">
        <w:trPr>
          <w:trHeight w:hRule="exact" w:val="510"/>
        </w:trPr>
        <w:tc>
          <w:tcPr>
            <w:tcW w:w="1560" w:type="dxa"/>
            <w:tcBorders>
              <w:left w:val="single" w:sz="2" w:space="0" w:color="auto"/>
              <w:right w:val="single" w:sz="2" w:space="0" w:color="auto"/>
            </w:tcBorders>
          </w:tcPr>
          <w:p w14:paraId="1B9509B5" w14:textId="77777777" w:rsidR="00B70538" w:rsidRPr="00E03D2C" w:rsidRDefault="00B70538" w:rsidP="00C24DC3">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3FA21BAD" w14:textId="77777777" w:rsidR="00B70538" w:rsidRPr="00BB2E31" w:rsidRDefault="00B70538" w:rsidP="00C24DC3">
            <w:pPr>
              <w:pStyle w:val="CommentaryHeading"/>
              <w:tabs>
                <w:tab w:val="left" w:pos="3306"/>
              </w:tabs>
              <w:spacing w:before="240" w:after="40"/>
              <w:rPr>
                <w:rFonts w:cs="Calibri"/>
                <w:color w:val="FFFFFF" w:themeColor="background1"/>
                <w:szCs w:val="20"/>
              </w:rPr>
            </w:pPr>
            <w:r w:rsidRPr="00BB2E31">
              <w:rPr>
                <w:rFonts w:cs="Calibri"/>
                <w:color w:val="FFFFFF" w:themeColor="background1"/>
                <w:szCs w:val="20"/>
              </w:rPr>
              <w:t>Disclosures</w:t>
            </w:r>
            <w:r w:rsidR="00F836DA" w:rsidRPr="00BB2E31">
              <w:rPr>
                <w:rFonts w:cs="Calibri"/>
                <w:color w:val="FFFFFF" w:themeColor="background1"/>
                <w:szCs w:val="20"/>
              </w:rPr>
              <w:t xml:space="preserve"> – Quantitative and Qualitative</w:t>
            </w:r>
          </w:p>
        </w:tc>
      </w:tr>
      <w:tr w:rsidR="00B70538" w:rsidRPr="00CF7E1B" w14:paraId="293086D7" w14:textId="77777777" w:rsidTr="0004564D">
        <w:trPr>
          <w:trHeight w:val="1275"/>
        </w:trPr>
        <w:tc>
          <w:tcPr>
            <w:tcW w:w="1560" w:type="dxa"/>
            <w:tcBorders>
              <w:left w:val="single" w:sz="2" w:space="0" w:color="auto"/>
              <w:right w:val="single" w:sz="2" w:space="0" w:color="auto"/>
            </w:tcBorders>
          </w:tcPr>
          <w:p w14:paraId="03A9292C"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 xml:space="preserve">ACT </w:t>
            </w:r>
            <w:r w:rsidR="00AA6CC1" w:rsidRPr="00E03D2C">
              <w:rPr>
                <w:rFonts w:cs="Calibri"/>
                <w:color w:val="7030A0"/>
                <w:sz w:val="14"/>
              </w:rPr>
              <w:t>Disclosure</w:t>
            </w:r>
            <w:r w:rsidRPr="00E03D2C">
              <w:rPr>
                <w:rFonts w:cs="Calibri"/>
                <w:color w:val="7030A0"/>
                <w:sz w:val="14"/>
              </w:rPr>
              <w:t xml:space="preserve"> Policy</w:t>
            </w:r>
          </w:p>
        </w:tc>
        <w:tc>
          <w:tcPr>
            <w:tcW w:w="8930" w:type="dxa"/>
            <w:tcBorders>
              <w:left w:val="single" w:sz="2" w:space="0" w:color="auto"/>
            </w:tcBorders>
            <w:shd w:val="clear" w:color="auto" w:fill="7030A0"/>
          </w:tcPr>
          <w:p w14:paraId="0B9D3615" w14:textId="407B652D" w:rsidR="00B70538" w:rsidRPr="00E03D2C" w:rsidRDefault="00B70538" w:rsidP="00D50EA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ACT </w:t>
            </w:r>
            <w:r w:rsidR="00EB0FF3" w:rsidRPr="00E03D2C">
              <w:rPr>
                <w:rFonts w:cs="Calibri"/>
                <w:color w:val="FFFFFF" w:themeColor="background1"/>
                <w:sz w:val="18"/>
                <w:szCs w:val="18"/>
              </w:rPr>
              <w:t>Disclosure</w:t>
            </w:r>
            <w:r w:rsidRPr="00E03D2C">
              <w:rPr>
                <w:rFonts w:cs="Calibri"/>
                <w:color w:val="FFFFFF" w:themeColor="background1"/>
                <w:sz w:val="18"/>
                <w:szCs w:val="18"/>
              </w:rPr>
              <w:t xml:space="preserve"> Policy requires disclosure of the terms, conditions, timing, accounting policies and certainty of future cash flow for each class of financial asset, financial liability and equity instrument, so that the significance of financial instruments can be determined. Most of these disclosures have not been included in the financial instruments note, instead they have been included in other notes within the Model</w:t>
            </w:r>
            <w:r w:rsidR="00FD4B5D" w:rsidRPr="00E03D2C">
              <w:rPr>
                <w:rFonts w:cs="Calibri"/>
                <w:color w:val="FFFFFF" w:themeColor="background1"/>
                <w:sz w:val="18"/>
                <w:szCs w:val="18"/>
              </w:rPr>
              <w:t>s</w:t>
            </w:r>
            <w:r w:rsidRPr="00E03D2C">
              <w:rPr>
                <w:rFonts w:cs="Calibri"/>
                <w:color w:val="FFFFFF" w:themeColor="background1"/>
                <w:sz w:val="18"/>
                <w:szCs w:val="18"/>
              </w:rPr>
              <w:t xml:space="preserve">. Where an instrument is individually </w:t>
            </w:r>
            <w:r w:rsidR="00DE1E5D">
              <w:rPr>
                <w:rFonts w:cs="Calibri"/>
                <w:color w:val="FFFFFF" w:themeColor="background1"/>
                <w:sz w:val="18"/>
                <w:szCs w:val="18"/>
              </w:rPr>
              <w:t>material</w:t>
            </w:r>
            <w:r w:rsidRPr="00E03D2C">
              <w:rPr>
                <w:rFonts w:cs="Calibri"/>
                <w:color w:val="FFFFFF" w:themeColor="background1"/>
                <w:sz w:val="18"/>
                <w:szCs w:val="18"/>
              </w:rPr>
              <w:t>, its terms and conditions should be disclosed.</w:t>
            </w:r>
          </w:p>
        </w:tc>
      </w:tr>
      <w:tr w:rsidR="00B70538" w:rsidRPr="00CF7E1B" w14:paraId="02326730" w14:textId="77777777" w:rsidTr="0004564D">
        <w:trPr>
          <w:trHeight w:val="283"/>
        </w:trPr>
        <w:tc>
          <w:tcPr>
            <w:tcW w:w="1560" w:type="dxa"/>
            <w:tcBorders>
              <w:left w:val="single" w:sz="2" w:space="0" w:color="auto"/>
              <w:right w:val="single" w:sz="2" w:space="0" w:color="auto"/>
            </w:tcBorders>
          </w:tcPr>
          <w:p w14:paraId="45B1BD52"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25, 31, 32, 33, 34, 36 &amp; 39</w:t>
            </w:r>
          </w:p>
          <w:p w14:paraId="020E2B3C" w14:textId="77777777" w:rsidR="00B70538" w:rsidRPr="00E03D2C" w:rsidRDefault="00B70538" w:rsidP="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9FEE20A" w14:textId="4C91C2E9" w:rsidR="00B70538" w:rsidRPr="00E03D2C" w:rsidRDefault="00B70538" w:rsidP="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9578C9" w:rsidRPr="00E03D2C">
              <w:rPr>
                <w:rFonts w:cs="Calibri"/>
                <w:i/>
                <w:color w:val="FFFFFF" w:themeColor="background1"/>
                <w:sz w:val="18"/>
                <w:szCs w:val="18"/>
              </w:rPr>
              <w:t xml:space="preserve">Financial Instruments: Disclosures </w:t>
            </w:r>
            <w:r w:rsidRPr="00E03D2C">
              <w:rPr>
                <w:rFonts w:cs="Calibri"/>
                <w:color w:val="FFFFFF" w:themeColor="background1"/>
                <w:sz w:val="18"/>
                <w:szCs w:val="18"/>
              </w:rPr>
              <w:t>requires disclosur</w:t>
            </w:r>
            <w:r w:rsidR="003C01D8" w:rsidRPr="00E03D2C">
              <w:rPr>
                <w:rFonts w:cs="Calibri"/>
                <w:color w:val="FFFFFF" w:themeColor="background1"/>
                <w:sz w:val="18"/>
                <w:szCs w:val="18"/>
              </w:rPr>
              <w:t xml:space="preserve">e of information about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’s exposure to credit risk, market risk (which includes interest rate risk, currency risk and price risk), </w:t>
            </w:r>
            <w:r w:rsidR="00AE7553" w:rsidRPr="00E03D2C">
              <w:rPr>
                <w:rFonts w:cs="Calibri"/>
                <w:color w:val="FFFFFF" w:themeColor="background1"/>
                <w:sz w:val="18"/>
                <w:szCs w:val="18"/>
              </w:rPr>
              <w:t xml:space="preserve">foreign currency risk, </w:t>
            </w:r>
            <w:r w:rsidRPr="00E03D2C">
              <w:rPr>
                <w:rFonts w:cs="Calibri"/>
                <w:color w:val="FFFFFF" w:themeColor="background1"/>
                <w:sz w:val="18"/>
                <w:szCs w:val="18"/>
              </w:rPr>
              <w:t>liquidity risk and also fair value for each class of financial asset and financial liability. The fair value for each class of financial asset and financial liability should be disclosed in such a way that they can be compared with the corresponding carrying amount in the Balance Sheet.</w:t>
            </w:r>
            <w:r w:rsidR="00341DD1" w:rsidRPr="00E03D2C">
              <w:rPr>
                <w:rFonts w:cs="Calibri"/>
                <w:color w:val="FFFFFF" w:themeColor="background1"/>
                <w:sz w:val="18"/>
                <w:szCs w:val="18"/>
              </w:rPr>
              <w:t xml:space="preserve"> The only risk applying to investment</w:t>
            </w:r>
            <w:r w:rsidR="0013084B" w:rsidRPr="00E03D2C">
              <w:rPr>
                <w:rFonts w:cs="Calibri"/>
                <w:color w:val="FFFFFF" w:themeColor="background1"/>
                <w:sz w:val="18"/>
                <w:szCs w:val="18"/>
              </w:rPr>
              <w:t>s</w:t>
            </w:r>
            <w:r w:rsidR="00341DD1" w:rsidRPr="00E03D2C">
              <w:rPr>
                <w:rFonts w:cs="Calibri"/>
                <w:color w:val="FFFFFF" w:themeColor="background1"/>
                <w:sz w:val="18"/>
                <w:szCs w:val="18"/>
              </w:rPr>
              <w:t xml:space="preserve"> with the Territory Banking Account is price risk.</w:t>
            </w:r>
            <w:r w:rsidR="00FA7C77">
              <w:rPr>
                <w:rFonts w:cs="Calibri"/>
                <w:color w:val="FFFFFF" w:themeColor="background1"/>
                <w:sz w:val="18"/>
                <w:szCs w:val="18"/>
              </w:rPr>
              <w:t xml:space="preserve"> </w:t>
            </w:r>
            <w:r w:rsidR="00341DD1" w:rsidRPr="00E03D2C">
              <w:rPr>
                <w:rFonts w:cs="Calibri"/>
                <w:color w:val="FFFFFF" w:themeColor="background1"/>
                <w:sz w:val="18"/>
                <w:szCs w:val="18"/>
              </w:rPr>
              <w:t>Interest rate risk and credit risk are not applicable.</w:t>
            </w:r>
          </w:p>
        </w:tc>
      </w:tr>
      <w:tr w:rsidR="00E95202" w:rsidRPr="00CF7E1B" w14:paraId="2F6A0D31" w14:textId="77777777" w:rsidTr="0004564D">
        <w:trPr>
          <w:trHeight w:val="283"/>
        </w:trPr>
        <w:tc>
          <w:tcPr>
            <w:tcW w:w="1560" w:type="dxa"/>
            <w:tcBorders>
              <w:left w:val="single" w:sz="2" w:space="0" w:color="auto"/>
              <w:right w:val="single" w:sz="2" w:space="0" w:color="auto"/>
            </w:tcBorders>
          </w:tcPr>
          <w:p w14:paraId="53CA7068" w14:textId="77777777"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 32A</w:t>
            </w:r>
          </w:p>
          <w:p w14:paraId="52128AD4"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C64BB16" w14:textId="77E0E4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Providing qualitative disclosures in the context of quantitative disclosures enables users to link related disclosures and hence form an overall view of the nature and extent of risks arising from financial instruments.</w:t>
            </w:r>
          </w:p>
        </w:tc>
      </w:tr>
      <w:tr w:rsidR="00E95202" w:rsidRPr="00CF7E1B" w14:paraId="267C00B0" w14:textId="77777777" w:rsidTr="0004564D">
        <w:trPr>
          <w:trHeight w:val="283"/>
        </w:trPr>
        <w:tc>
          <w:tcPr>
            <w:tcW w:w="1560" w:type="dxa"/>
            <w:tcBorders>
              <w:left w:val="single" w:sz="2" w:space="0" w:color="auto"/>
              <w:right w:val="single" w:sz="2" w:space="0" w:color="auto"/>
            </w:tcBorders>
          </w:tcPr>
          <w:p w14:paraId="4609CD6E" w14:textId="3BD9A9B3"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7.36</w:t>
            </w:r>
          </w:p>
          <w:p w14:paraId="65179EA1"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62D64AC" w14:textId="42B336B1"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holds collateral or other credit enhancements, it will need to disclose the extent to which those arrangements financially mitigate the credit risk by class of instrument (whether or not the carrying amount reflects the maximum exposure to credit risk). Disclosure of amounts that best represent an agency’s maximum exposure to credit risk from its financial instruments will not be required for those instruments whose carrying amount reflects this. Agencies will not need to disclose the carrying amounts of financial assets for which the terms have been renegotiated, which would otherwise be past due or impaired. For those financial assets that is either past due but not impaired, or which have been individually impaired, agencies need not separately disclose details about any associated collateral or other credit enhancements held by the agency. </w:t>
            </w:r>
          </w:p>
        </w:tc>
      </w:tr>
      <w:tr w:rsidR="00E95202" w:rsidRPr="00CF7E1B" w14:paraId="6DF3513A" w14:textId="77777777" w:rsidTr="0004564D">
        <w:trPr>
          <w:trHeight w:val="283"/>
        </w:trPr>
        <w:tc>
          <w:tcPr>
            <w:tcW w:w="1560" w:type="dxa"/>
            <w:tcBorders>
              <w:left w:val="single" w:sz="2" w:space="0" w:color="auto"/>
              <w:right w:val="single" w:sz="2" w:space="0" w:color="auto"/>
            </w:tcBorders>
          </w:tcPr>
          <w:p w14:paraId="5C3D652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AASB 7.29(a)</w:t>
            </w:r>
          </w:p>
          <w:p w14:paraId="3A5F23C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ACT Disclosure Policy</w:t>
            </w:r>
          </w:p>
          <w:p w14:paraId="4BA2A12D"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90E2021" w14:textId="46F9B2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Where the carrying amount of financial instruments such as short-term trade receivables and payables is a reasonable approximation of their fair value, AASB 7 states that no disclosure of the fair value is required. However, ACT Disclosure Policy requires these amounts be disclosed in an agency’s financial statements for ease of comparability.</w:t>
            </w:r>
          </w:p>
        </w:tc>
      </w:tr>
      <w:tr w:rsidR="00B70538" w:rsidRPr="00CF7E1B" w14:paraId="0737BAB7" w14:textId="77777777" w:rsidTr="0004564D">
        <w:trPr>
          <w:trHeight w:val="283"/>
        </w:trPr>
        <w:tc>
          <w:tcPr>
            <w:tcW w:w="1560" w:type="dxa"/>
            <w:tcBorders>
              <w:left w:val="single" w:sz="2" w:space="0" w:color="auto"/>
              <w:right w:val="single" w:sz="2" w:space="0" w:color="auto"/>
            </w:tcBorders>
          </w:tcPr>
          <w:p w14:paraId="62AD4FD6" w14:textId="77777777" w:rsidR="00B70538" w:rsidRPr="00E03D2C" w:rsidRDefault="00B70538"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14(a) &amp;</w:t>
            </w:r>
            <w:r w:rsidR="00BA15CC" w:rsidRPr="00E03D2C">
              <w:rPr>
                <w:rFonts w:cs="Calibri"/>
                <w:color w:val="7030A0"/>
                <w:sz w:val="14"/>
              </w:rPr>
              <w:t xml:space="preserve"> </w:t>
            </w:r>
            <w:r w:rsidR="00D001B7" w:rsidRPr="00E03D2C">
              <w:rPr>
                <w:rFonts w:cs="Calibri"/>
                <w:color w:val="7030A0"/>
                <w:sz w:val="14"/>
              </w:rPr>
              <w:t>(</w:t>
            </w:r>
            <w:r w:rsidRPr="00E03D2C">
              <w:rPr>
                <w:rFonts w:cs="Calibri"/>
                <w:color w:val="7030A0"/>
                <w:sz w:val="14"/>
              </w:rPr>
              <w:t>b)</w:t>
            </w:r>
          </w:p>
        </w:tc>
        <w:tc>
          <w:tcPr>
            <w:tcW w:w="8930" w:type="dxa"/>
            <w:tcBorders>
              <w:left w:val="single" w:sz="2" w:space="0" w:color="auto"/>
            </w:tcBorders>
            <w:shd w:val="clear" w:color="auto" w:fill="7030A0"/>
          </w:tcPr>
          <w:p w14:paraId="2DDCB5D0" w14:textId="77777777" w:rsidR="00B70538" w:rsidRPr="00E03D2C" w:rsidRDefault="00B96D8D" w:rsidP="002F045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Pr="00E03D2C">
              <w:rPr>
                <w:rFonts w:cs="Calibri"/>
                <w:color w:val="FFFFFF" w:themeColor="background1"/>
                <w:sz w:val="18"/>
                <w:szCs w:val="18"/>
              </w:rPr>
              <w:t>gency</w:t>
            </w:r>
            <w:r w:rsidR="00B70538" w:rsidRPr="00E03D2C">
              <w:rPr>
                <w:rFonts w:cs="Calibri"/>
                <w:color w:val="FFFFFF" w:themeColor="background1"/>
                <w:sz w:val="18"/>
                <w:szCs w:val="18"/>
              </w:rPr>
              <w:t xml:space="preserve"> shall disclose the carrying amount of financial assets pledged as collateral for liabilities and contingent liabilities, and any material terms and conditions relating to assets pledged as collateral.</w:t>
            </w:r>
          </w:p>
        </w:tc>
      </w:tr>
      <w:tr w:rsidR="00B70538" w:rsidRPr="00CF7E1B" w14:paraId="66763511" w14:textId="77777777" w:rsidTr="0004564D">
        <w:trPr>
          <w:trHeight w:val="119"/>
        </w:trPr>
        <w:tc>
          <w:tcPr>
            <w:tcW w:w="1560" w:type="dxa"/>
            <w:tcBorders>
              <w:left w:val="single" w:sz="2" w:space="0" w:color="auto"/>
              <w:right w:val="single" w:sz="2" w:space="0" w:color="auto"/>
            </w:tcBorders>
          </w:tcPr>
          <w:p w14:paraId="0002C345" w14:textId="73C28F6C" w:rsidR="00B70538" w:rsidRPr="00E03D2C" w:rsidRDefault="0037254A" w:rsidP="00204902">
            <w:pPr>
              <w:pStyle w:val="TableReference"/>
              <w:tabs>
                <w:tab w:val="left" w:pos="3306"/>
              </w:tabs>
              <w:spacing w:before="60"/>
              <w:rPr>
                <w:rFonts w:cs="Calibri"/>
                <w:color w:val="7030A0"/>
                <w:sz w:val="14"/>
              </w:rPr>
            </w:pPr>
            <w:r w:rsidRPr="00E03D2C">
              <w:rPr>
                <w:rFonts w:cs="Calibri"/>
                <w:color w:val="7030A0"/>
                <w:sz w:val="14"/>
              </w:rPr>
              <w:t>AASB 7</w:t>
            </w:r>
            <w:r w:rsidR="00CB4F78" w:rsidRPr="00E03D2C">
              <w:rPr>
                <w:rFonts w:cs="Calibri"/>
                <w:color w:val="7030A0"/>
                <w:sz w:val="14"/>
              </w:rPr>
              <w:t>.</w:t>
            </w:r>
            <w:r w:rsidRPr="00E03D2C">
              <w:rPr>
                <w:rFonts w:cs="Calibri"/>
                <w:color w:val="7030A0"/>
                <w:sz w:val="14"/>
              </w:rPr>
              <w:t xml:space="preserve">42A, 42B </w:t>
            </w:r>
            <w:r w:rsidR="00204902" w:rsidRPr="00E03D2C">
              <w:rPr>
                <w:rFonts w:cs="Calibri"/>
                <w:color w:val="7030A0"/>
                <w:sz w:val="14"/>
              </w:rPr>
              <w:t>&amp;</w:t>
            </w:r>
            <w:r w:rsidRPr="00E03D2C">
              <w:rPr>
                <w:rFonts w:cs="Calibri"/>
                <w:color w:val="7030A0"/>
                <w:sz w:val="14"/>
              </w:rPr>
              <w:t xml:space="preserve"> 42C</w:t>
            </w:r>
          </w:p>
        </w:tc>
        <w:tc>
          <w:tcPr>
            <w:tcW w:w="8930" w:type="dxa"/>
            <w:tcBorders>
              <w:left w:val="single" w:sz="2" w:space="0" w:color="auto"/>
            </w:tcBorders>
            <w:shd w:val="clear" w:color="auto" w:fill="7030A0"/>
          </w:tcPr>
          <w:p w14:paraId="0509D7CE" w14:textId="77777777" w:rsidR="00B70538" w:rsidRPr="00E03D2C" w:rsidRDefault="00BA0A76" w:rsidP="002D3527">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There are additional disclosures for transfers of financial assets where an asset is not derecognised in its entirety or the asset is derecognised in its entirety but the transferor retains some continuing involvement. An agency transfers a financial asset when it:</w:t>
            </w:r>
          </w:p>
          <w:p w14:paraId="65A8B3FB" w14:textId="77777777" w:rsidR="00BA0A76" w:rsidRPr="00E03D2C" w:rsidRDefault="00BA0A76"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transfers contractual rights to receive cash flows from the asset; or</w:t>
            </w:r>
          </w:p>
          <w:p w14:paraId="140D8A10" w14:textId="77777777" w:rsidR="00BA0A76" w:rsidRPr="00E03D2C" w:rsidRDefault="00BA0A76"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retains contractual rights to cash flows </w:t>
            </w:r>
            <w:r w:rsidR="004A02E4" w:rsidRPr="00E03D2C">
              <w:rPr>
                <w:rFonts w:cs="Calibri"/>
                <w:color w:val="FFFFFF" w:themeColor="background1"/>
                <w:sz w:val="18"/>
                <w:szCs w:val="18"/>
              </w:rPr>
              <w:t>from an asset but assumes a contractual obligation to pay those cash flows to one or more recipients.</w:t>
            </w:r>
          </w:p>
        </w:tc>
      </w:tr>
      <w:tr w:rsidR="00810B4A" w:rsidRPr="00CF7E1B" w14:paraId="35F2DD6C" w14:textId="77777777" w:rsidTr="0004564D">
        <w:trPr>
          <w:trHeight w:val="119"/>
        </w:trPr>
        <w:tc>
          <w:tcPr>
            <w:tcW w:w="1560" w:type="dxa"/>
            <w:tcBorders>
              <w:left w:val="single" w:sz="2" w:space="0" w:color="auto"/>
              <w:right w:val="single" w:sz="2" w:space="0" w:color="auto"/>
            </w:tcBorders>
          </w:tcPr>
          <w:p w14:paraId="1D32DB8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7.39</w:t>
            </w:r>
          </w:p>
          <w:p w14:paraId="431C9E1D" w14:textId="77777777" w:rsidR="00810B4A" w:rsidRPr="00E03D2C" w:rsidRDefault="00810B4A" w:rsidP="009A0F2F">
            <w:pPr>
              <w:pStyle w:val="TableReference"/>
              <w:tabs>
                <w:tab w:val="left" w:pos="3306"/>
              </w:tabs>
              <w:spacing w:before="60"/>
              <w:rPr>
                <w:rFonts w:cs="Calibri"/>
                <w:color w:val="7030A0"/>
                <w:sz w:val="14"/>
              </w:rPr>
            </w:pPr>
          </w:p>
          <w:p w14:paraId="3BEA90BB"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7.B11E</w:t>
            </w:r>
          </w:p>
          <w:p w14:paraId="30BF39BD" w14:textId="77777777" w:rsidR="00810B4A" w:rsidRPr="00E03D2C" w:rsidRDefault="00810B4A" w:rsidP="009A0F2F">
            <w:pPr>
              <w:pStyle w:val="TableReference"/>
              <w:tabs>
                <w:tab w:val="left" w:pos="3306"/>
              </w:tabs>
              <w:spacing w:before="60"/>
              <w:rPr>
                <w:rFonts w:cs="Calibri"/>
                <w:color w:val="7030A0"/>
                <w:sz w:val="14"/>
              </w:rPr>
            </w:pPr>
          </w:p>
          <w:p w14:paraId="3316DF6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tcBorders>
              <w:left w:val="single" w:sz="2" w:space="0" w:color="auto"/>
            </w:tcBorders>
            <w:shd w:val="clear" w:color="auto" w:fill="7030A0"/>
          </w:tcPr>
          <w:p w14:paraId="0F8540CC" w14:textId="77777777" w:rsidR="00810B4A" w:rsidRPr="00BB2E31" w:rsidRDefault="00810B4A" w:rsidP="00C87FF4">
            <w:pPr>
              <w:pStyle w:val="CommentaryText"/>
              <w:tabs>
                <w:tab w:val="left" w:pos="3306"/>
              </w:tabs>
              <w:spacing w:after="40"/>
              <w:rPr>
                <w:rFonts w:cs="Calibri"/>
                <w:b/>
                <w:bCs/>
                <w:color w:val="FFFFFF" w:themeColor="background1"/>
                <w:szCs w:val="20"/>
              </w:rPr>
            </w:pPr>
            <w:r w:rsidRPr="00BB2E31">
              <w:rPr>
                <w:rFonts w:cs="Calibri"/>
                <w:b/>
                <w:bCs/>
                <w:color w:val="FFFFFF" w:themeColor="background1"/>
                <w:szCs w:val="20"/>
              </w:rPr>
              <w:t xml:space="preserve">Maturity Analysis </w:t>
            </w:r>
          </w:p>
          <w:p w14:paraId="06138570" w14:textId="4DC24A5D" w:rsidR="00810B4A" w:rsidRPr="00E03D2C" w:rsidRDefault="00810B4A" w:rsidP="00810B4A">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AASB 7 requires undiscounted amounts to be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This means that in a number of cases the amount included in the Balance Sheet for a financial asset or financial liability will be different to the amount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Note that for agencies that have ACT Government borrowings and Commonwealth Government borrowings, the amortised cost for these items approximates their costs and as such there will be no difference between the amount in the Balance Sheet and the amount in the maturity analysis.</w:t>
            </w:r>
          </w:p>
        </w:tc>
      </w:tr>
      <w:tr w:rsidR="00810B4A" w:rsidRPr="00CF7E1B" w14:paraId="370EF218" w14:textId="77777777" w:rsidTr="0004564D">
        <w:trPr>
          <w:trHeight w:val="119"/>
        </w:trPr>
        <w:tc>
          <w:tcPr>
            <w:tcW w:w="1560" w:type="dxa"/>
            <w:tcBorders>
              <w:left w:val="single" w:sz="2" w:space="0" w:color="auto"/>
              <w:right w:val="single" w:sz="2" w:space="0" w:color="auto"/>
            </w:tcBorders>
          </w:tcPr>
          <w:p w14:paraId="412559DE"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w:t>
            </w:r>
          </w:p>
          <w:p w14:paraId="50F56720" w14:textId="77777777" w:rsidR="00810B4A" w:rsidRPr="00E03D2C" w:rsidRDefault="00810B4A" w:rsidP="009A0F2F">
            <w:pPr>
              <w:pStyle w:val="TableReference"/>
              <w:tabs>
                <w:tab w:val="left" w:pos="3306"/>
              </w:tabs>
              <w:spacing w:before="60"/>
              <w:rPr>
                <w:rFonts w:cs="Calibri"/>
                <w:color w:val="7030A0"/>
                <w:sz w:val="14"/>
              </w:rPr>
            </w:pPr>
          </w:p>
          <w:p w14:paraId="7182096B" w14:textId="77777777" w:rsidR="00810B4A" w:rsidRPr="00E03D2C" w:rsidRDefault="00810B4A" w:rsidP="009A0F2F">
            <w:pPr>
              <w:pStyle w:val="TableReference"/>
              <w:tabs>
                <w:tab w:val="left" w:pos="3306"/>
              </w:tabs>
              <w:spacing w:before="60"/>
              <w:rPr>
                <w:rFonts w:cs="Calibri"/>
                <w:color w:val="7030A0"/>
                <w:sz w:val="14"/>
              </w:rPr>
            </w:pPr>
          </w:p>
          <w:p w14:paraId="24B04310" w14:textId="77777777" w:rsidR="00810B4A" w:rsidRPr="00E03D2C" w:rsidRDefault="00810B4A" w:rsidP="009A0F2F">
            <w:pPr>
              <w:pStyle w:val="TableReference"/>
              <w:tabs>
                <w:tab w:val="left" w:pos="3306"/>
              </w:tabs>
              <w:spacing w:before="60"/>
              <w:rPr>
                <w:rFonts w:cs="Calibri"/>
                <w:color w:val="7030A0"/>
                <w:sz w:val="14"/>
              </w:rPr>
            </w:pPr>
          </w:p>
          <w:p w14:paraId="19097396" w14:textId="77777777" w:rsidR="00810B4A" w:rsidRPr="00E03D2C" w:rsidRDefault="00810B4A" w:rsidP="009A0F2F">
            <w:pPr>
              <w:pStyle w:val="TableReference"/>
              <w:tabs>
                <w:tab w:val="left" w:pos="3306"/>
              </w:tabs>
              <w:spacing w:before="60"/>
              <w:rPr>
                <w:rFonts w:cs="Calibri"/>
                <w:color w:val="7030A0"/>
                <w:sz w:val="14"/>
              </w:rPr>
            </w:pPr>
          </w:p>
          <w:p w14:paraId="1AA412DE" w14:textId="77777777" w:rsidR="00810B4A" w:rsidRPr="00E03D2C" w:rsidRDefault="00810B4A"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3748C2B" w14:textId="2211E8BB"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AASB 7 provides an example of the time bands to include in the maturity analysis required by the standard.</w:t>
            </w:r>
            <w:r w:rsidR="00FA7C77">
              <w:rPr>
                <w:rFonts w:cs="Calibri"/>
                <w:color w:val="FFFFFF" w:themeColor="background1"/>
                <w:sz w:val="18"/>
                <w:szCs w:val="18"/>
              </w:rPr>
              <w:t xml:space="preserve"> </w:t>
            </w:r>
            <w:r w:rsidRPr="00E03D2C">
              <w:rPr>
                <w:rFonts w:cs="Calibri"/>
                <w:color w:val="FFFFFF" w:themeColor="background1"/>
                <w:sz w:val="18"/>
                <w:szCs w:val="18"/>
              </w:rPr>
              <w:t>These time bands are as follows:</w:t>
            </w:r>
          </w:p>
          <w:p w14:paraId="493205F8"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not later than one month;</w:t>
            </w:r>
          </w:p>
          <w:p w14:paraId="1F1BC55A"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one month and not later than three months;</w:t>
            </w:r>
          </w:p>
          <w:p w14:paraId="076EC166"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three months and not later than one year; and</w:t>
            </w:r>
          </w:p>
          <w:p w14:paraId="3EFE2645" w14:textId="77777777" w:rsidR="00810B4A" w:rsidRPr="00E03D2C" w:rsidRDefault="00810B4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later than one year and not later than five years.</w:t>
            </w:r>
          </w:p>
        </w:tc>
      </w:tr>
      <w:tr w:rsidR="00810B4A" w:rsidRPr="00CF7E1B" w14:paraId="5312127D" w14:textId="77777777" w:rsidTr="0004564D">
        <w:trPr>
          <w:trHeight w:val="119"/>
        </w:trPr>
        <w:tc>
          <w:tcPr>
            <w:tcW w:w="1560" w:type="dxa"/>
            <w:tcBorders>
              <w:left w:val="single" w:sz="2" w:space="0" w:color="auto"/>
              <w:right w:val="single" w:sz="2" w:space="0" w:color="auto"/>
            </w:tcBorders>
          </w:tcPr>
          <w:p w14:paraId="536A5211" w14:textId="77777777" w:rsidR="00810B4A" w:rsidRPr="00E03D2C" w:rsidRDefault="00810B4A" w:rsidP="00810B4A">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tcBorders>
              <w:left w:val="single" w:sz="2" w:space="0" w:color="auto"/>
            </w:tcBorders>
            <w:shd w:val="clear" w:color="auto" w:fill="7030A0"/>
          </w:tcPr>
          <w:p w14:paraId="30DB3DBA" w14:textId="164198F9"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It is considered that these are not the most appropriate time bands for ACT Government agencies as the public sector is not as focused on the short-term liquidity of its financial assets and liabilities.</w:t>
            </w:r>
            <w:r w:rsidR="00FA7C77">
              <w:rPr>
                <w:rFonts w:cs="Calibri"/>
                <w:color w:val="FFFFFF" w:themeColor="background1"/>
                <w:sz w:val="18"/>
                <w:szCs w:val="18"/>
              </w:rPr>
              <w:t xml:space="preserve"> </w:t>
            </w:r>
            <w:r w:rsidRPr="00E03D2C">
              <w:rPr>
                <w:rFonts w:cs="Calibri"/>
                <w:color w:val="FFFFFF" w:themeColor="background1"/>
                <w:sz w:val="18"/>
                <w:szCs w:val="18"/>
              </w:rPr>
              <w:t>As such, ACT Disclosure Policy requires agencies to use three time bands which are as follows:</w:t>
            </w:r>
          </w:p>
          <w:p w14:paraId="65DBE375"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one year or less;</w:t>
            </w:r>
          </w:p>
          <w:p w14:paraId="3FB1E602"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over one year to five years; and</w:t>
            </w:r>
          </w:p>
          <w:p w14:paraId="26D1A0C9" w14:textId="77777777" w:rsidR="00810B4A" w:rsidRPr="00E03D2C" w:rsidRDefault="00810B4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over five years.</w:t>
            </w:r>
          </w:p>
        </w:tc>
      </w:tr>
    </w:tbl>
    <w:p w14:paraId="56F52450" w14:textId="053F574D" w:rsidR="006B38C1" w:rsidRDefault="006B38C1">
      <w:pPr>
        <w:rPr>
          <w:rFonts w:cs="Calibri"/>
          <w:sz w:val="20"/>
          <w:szCs w:val="20"/>
        </w:rPr>
      </w:pPr>
    </w:p>
    <w:p w14:paraId="6A04E230" w14:textId="77777777" w:rsidR="006B38C1" w:rsidRDefault="006B38C1">
      <w:pPr>
        <w:rPr>
          <w:rFonts w:cs="Calibri"/>
          <w:sz w:val="20"/>
          <w:szCs w:val="20"/>
        </w:rPr>
      </w:pPr>
      <w:r>
        <w:rPr>
          <w:rFonts w:cs="Calibri"/>
          <w:sz w:val="20"/>
          <w:szCs w:val="20"/>
        </w:rP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D176CD" w:rsidRPr="00CF7E1B" w14:paraId="110592CB" w14:textId="77777777" w:rsidTr="00E90FFF">
        <w:trPr>
          <w:trHeight w:val="400"/>
        </w:trPr>
        <w:tc>
          <w:tcPr>
            <w:tcW w:w="1560" w:type="dxa"/>
            <w:tcBorders>
              <w:left w:val="single" w:sz="2" w:space="0" w:color="auto"/>
              <w:right w:val="single" w:sz="2" w:space="0" w:color="auto"/>
            </w:tcBorders>
          </w:tcPr>
          <w:p w14:paraId="157F06A1" w14:textId="77777777" w:rsidR="00D176CD" w:rsidRPr="00E03D2C" w:rsidRDefault="00D50EA5" w:rsidP="00C24DC3">
            <w:pPr>
              <w:pStyle w:val="TableReference"/>
              <w:tabs>
                <w:tab w:val="left" w:pos="3306"/>
              </w:tabs>
              <w:spacing w:before="240" w:after="240"/>
              <w:rPr>
                <w:rFonts w:cs="Calibri"/>
                <w:color w:val="7030A0"/>
                <w:sz w:val="22"/>
                <w:szCs w:val="22"/>
              </w:rPr>
            </w:pPr>
            <w:r w:rsidRPr="00E03D2C">
              <w:rPr>
                <w:rFonts w:cs="Calibri"/>
                <w:b/>
                <w:bCs/>
                <w:color w:val="7030A0"/>
                <w:sz w:val="22"/>
                <w:szCs w:val="22"/>
              </w:rPr>
              <w:t>Reference</w:t>
            </w:r>
          </w:p>
        </w:tc>
        <w:tc>
          <w:tcPr>
            <w:tcW w:w="8930" w:type="dxa"/>
            <w:tcBorders>
              <w:left w:val="single" w:sz="2" w:space="0" w:color="auto"/>
            </w:tcBorders>
            <w:shd w:val="clear" w:color="auto" w:fill="7030A0"/>
          </w:tcPr>
          <w:p w14:paraId="452E01BD" w14:textId="15B0096B" w:rsidR="00D176CD" w:rsidRPr="00E03D2C" w:rsidRDefault="006B38C1" w:rsidP="00C24DC3">
            <w:pPr>
              <w:pStyle w:val="CommentaryText"/>
              <w:tabs>
                <w:tab w:val="left" w:pos="3306"/>
              </w:tabs>
              <w:spacing w:before="240" w:after="240"/>
              <w:rPr>
                <w:rFonts w:cs="Calibri"/>
                <w:b/>
                <w:color w:val="FFFFFF" w:themeColor="background1"/>
                <w:sz w:val="28"/>
                <w:szCs w:val="28"/>
              </w:rPr>
            </w:pPr>
            <w:r w:rsidRPr="00E03D2C">
              <w:rPr>
                <w:rFonts w:cs="Calibri"/>
                <w:b/>
                <w:color w:val="FFFFFF" w:themeColor="background1"/>
                <w:sz w:val="28"/>
                <w:szCs w:val="28"/>
              </w:rPr>
              <w:t xml:space="preserve">Commentary – Note </w:t>
            </w:r>
            <w:r w:rsidR="0007497D" w:rsidRPr="00E03D2C">
              <w:rPr>
                <w:rFonts w:cs="Calibri"/>
                <w:b/>
                <w:color w:val="FFFFFF" w:themeColor="background1"/>
                <w:sz w:val="28"/>
                <w:szCs w:val="28"/>
              </w:rPr>
              <w:t>31</w:t>
            </w:r>
            <w:r w:rsidRPr="00E03D2C">
              <w:rPr>
                <w:rFonts w:cs="Calibri"/>
                <w:b/>
                <w:color w:val="FFFFFF" w:themeColor="background1"/>
                <w:sz w:val="28"/>
                <w:szCs w:val="28"/>
              </w:rPr>
              <w:t>: Financial Instruments – Continued</w:t>
            </w:r>
          </w:p>
        </w:tc>
      </w:tr>
      <w:tr w:rsidR="00B70538" w:rsidRPr="00CF7E1B" w14:paraId="3D3D546D" w14:textId="77777777" w:rsidTr="00C24DC3">
        <w:trPr>
          <w:trHeight w:val="337"/>
        </w:trPr>
        <w:tc>
          <w:tcPr>
            <w:tcW w:w="1560" w:type="dxa"/>
            <w:tcBorders>
              <w:left w:val="single" w:sz="2" w:space="0" w:color="auto"/>
              <w:right w:val="single" w:sz="2" w:space="0" w:color="auto"/>
            </w:tcBorders>
          </w:tcPr>
          <w:p w14:paraId="1023158E" w14:textId="77777777" w:rsidR="00B70538" w:rsidRPr="00E03D2C" w:rsidRDefault="00B70538" w:rsidP="00F76201">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2CFE923F" w14:textId="77777777" w:rsidR="00B70538" w:rsidRPr="00A41A54" w:rsidRDefault="00B70538" w:rsidP="00C24DC3">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Sensitivity Analysis</w:t>
            </w:r>
          </w:p>
        </w:tc>
      </w:tr>
      <w:tr w:rsidR="00B70538" w:rsidRPr="00CF7E1B" w14:paraId="72ADF27E" w14:textId="77777777" w:rsidTr="0004564D">
        <w:trPr>
          <w:trHeight w:val="119"/>
        </w:trPr>
        <w:tc>
          <w:tcPr>
            <w:tcW w:w="1560" w:type="dxa"/>
            <w:tcBorders>
              <w:left w:val="single" w:sz="2" w:space="0" w:color="auto"/>
              <w:right w:val="single" w:sz="2" w:space="0" w:color="auto"/>
            </w:tcBorders>
          </w:tcPr>
          <w:p w14:paraId="74DCB5C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35BD59" w14:textId="07FC300C" w:rsidR="00B70538" w:rsidRPr="00E03D2C" w:rsidRDefault="00B70538" w:rsidP="00165A1A">
            <w:pPr>
              <w:autoSpaceDE w:val="0"/>
              <w:autoSpaceDN w:val="0"/>
              <w:adjustRightInd w:val="0"/>
              <w:spacing w:after="120"/>
              <w:jc w:val="both"/>
              <w:rPr>
                <w:rFonts w:cs="Calibri"/>
                <w:color w:val="FFFFFF" w:themeColor="background1"/>
                <w:sz w:val="18"/>
                <w:szCs w:val="18"/>
              </w:rPr>
            </w:pPr>
            <w:r w:rsidRPr="00E03D2C">
              <w:rPr>
                <w:rFonts w:cs="Calibri"/>
                <w:color w:val="FFFFFF" w:themeColor="background1"/>
                <w:sz w:val="18"/>
                <w:szCs w:val="18"/>
              </w:rPr>
              <w:t xml:space="preserve">AASB 7 requires a sensitivity analysis to be undertaken for each type of market risk to which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is exposed at the repor</w:t>
            </w:r>
            <w:r w:rsidR="00E56EEC" w:rsidRPr="00E03D2C">
              <w:rPr>
                <w:rFonts w:cs="Calibri"/>
                <w:color w:val="FFFFFF" w:themeColor="background1"/>
                <w:sz w:val="18"/>
                <w:szCs w:val="18"/>
              </w:rPr>
              <w:t>ting date, showing how profit and</w:t>
            </w:r>
            <w:r w:rsidRPr="00E03D2C">
              <w:rPr>
                <w:rFonts w:cs="Calibri"/>
                <w:color w:val="FFFFFF" w:themeColor="background1"/>
                <w:sz w:val="18"/>
                <w:szCs w:val="18"/>
              </w:rPr>
              <w:t xml:space="preserve"> loss and equity would have been affected by changes in the relevant risk variable that were reasonably possible at that date.</w:t>
            </w:r>
            <w:r w:rsidR="00FA7C77">
              <w:rPr>
                <w:rFonts w:cs="Calibri"/>
                <w:color w:val="FFFFFF" w:themeColor="background1"/>
                <w:sz w:val="18"/>
                <w:szCs w:val="18"/>
              </w:rPr>
              <w:t xml:space="preserve"> </w:t>
            </w:r>
            <w:r w:rsidRPr="00E03D2C">
              <w:rPr>
                <w:rFonts w:cs="Calibri"/>
                <w:color w:val="FFFFFF" w:themeColor="background1"/>
                <w:sz w:val="18"/>
                <w:szCs w:val="18"/>
              </w:rPr>
              <w:t>Market risk includes interest rate risk, price risk and foreign currency risk.</w:t>
            </w:r>
            <w:r w:rsidR="00FA7C77">
              <w:rPr>
                <w:rFonts w:cs="Calibri"/>
                <w:color w:val="FFFFFF" w:themeColor="background1"/>
                <w:sz w:val="18"/>
                <w:szCs w:val="18"/>
              </w:rPr>
              <w:t xml:space="preserve">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must also disclose the methods and assumptions used in preparing the sensitivity analysis and changes from the previous period in the methods and assumptions used, and the reasons for such changes.</w:t>
            </w:r>
          </w:p>
        </w:tc>
      </w:tr>
      <w:tr w:rsidR="00B70538" w:rsidRPr="00CF7E1B" w14:paraId="4F42BDFE" w14:textId="77777777" w:rsidTr="0004564D">
        <w:trPr>
          <w:trHeight w:val="119"/>
        </w:trPr>
        <w:tc>
          <w:tcPr>
            <w:tcW w:w="1560" w:type="dxa"/>
            <w:tcBorders>
              <w:left w:val="single" w:sz="2" w:space="0" w:color="auto"/>
              <w:right w:val="single" w:sz="2" w:space="0" w:color="auto"/>
            </w:tcBorders>
          </w:tcPr>
          <w:p w14:paraId="163CD2F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755B77" w14:textId="77777777" w:rsidR="00B70538" w:rsidRPr="00E03D2C" w:rsidRDefault="00B70538" w:rsidP="00E90FFF">
            <w:pPr>
              <w:autoSpaceDE w:val="0"/>
              <w:autoSpaceDN w:val="0"/>
              <w:adjustRightInd w:val="0"/>
              <w:jc w:val="both"/>
              <w:rPr>
                <w:rFonts w:cs="Calibri"/>
                <w:color w:val="FFFFFF" w:themeColor="background1"/>
                <w:sz w:val="18"/>
                <w:szCs w:val="18"/>
              </w:rPr>
            </w:pPr>
            <w:r w:rsidRPr="00E03D2C">
              <w:rPr>
                <w:rFonts w:cs="Calibri"/>
                <w:color w:val="FFFFFF" w:themeColor="background1"/>
                <w:sz w:val="18"/>
                <w:szCs w:val="18"/>
              </w:rPr>
              <w:t xml:space="preserve">Note that a sensitivity analysis, as disclosed in the Model, does not need to be undertaken for the interest rate risk or price risk, if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has determined that the possible impact on profit and loss or total equity from fluctuations in interest rates or pric</w:t>
            </w:r>
            <w:r w:rsidR="00165A1A" w:rsidRPr="00E03D2C">
              <w:rPr>
                <w:rFonts w:cs="Calibri"/>
                <w:color w:val="FFFFFF" w:themeColor="background1"/>
                <w:sz w:val="18"/>
                <w:szCs w:val="18"/>
              </w:rPr>
              <w:t>e respectively is immaterial.</w:t>
            </w:r>
          </w:p>
        </w:tc>
      </w:tr>
      <w:tr w:rsidR="00B70538" w:rsidRPr="00CF7E1B" w14:paraId="0482B1C1" w14:textId="77777777" w:rsidTr="00E90FFF">
        <w:trPr>
          <w:trHeight w:val="370"/>
        </w:trPr>
        <w:tc>
          <w:tcPr>
            <w:tcW w:w="1560" w:type="dxa"/>
            <w:tcBorders>
              <w:left w:val="single" w:sz="2" w:space="0" w:color="auto"/>
              <w:right w:val="single" w:sz="2" w:space="0" w:color="auto"/>
            </w:tcBorders>
          </w:tcPr>
          <w:p w14:paraId="4E7FAA57" w14:textId="77777777" w:rsidR="00B70538" w:rsidRPr="00E03D2C" w:rsidRDefault="00B70538" w:rsidP="00165A1A">
            <w:pPr>
              <w:pStyle w:val="TableReference"/>
              <w:tabs>
                <w:tab w:val="left" w:pos="3306"/>
              </w:tabs>
              <w:spacing w:after="120"/>
              <w:rPr>
                <w:rFonts w:cs="Calibri"/>
                <w:color w:val="7030A0"/>
                <w:sz w:val="14"/>
              </w:rPr>
            </w:pPr>
          </w:p>
        </w:tc>
        <w:tc>
          <w:tcPr>
            <w:tcW w:w="8930" w:type="dxa"/>
            <w:tcBorders>
              <w:left w:val="single" w:sz="2" w:space="0" w:color="auto"/>
            </w:tcBorders>
            <w:shd w:val="clear" w:color="auto" w:fill="7030A0"/>
          </w:tcPr>
          <w:p w14:paraId="12B6A91E" w14:textId="77777777" w:rsidR="00B70538" w:rsidRPr="00A41A54" w:rsidRDefault="00B70538" w:rsidP="00C87FF4">
            <w:pPr>
              <w:pStyle w:val="CommentaryText"/>
              <w:tabs>
                <w:tab w:val="left" w:pos="3306"/>
              </w:tabs>
              <w:spacing w:before="120" w:after="40"/>
              <w:rPr>
                <w:rFonts w:cs="Calibri"/>
                <w:color w:val="FFFFFF" w:themeColor="background1"/>
                <w:szCs w:val="20"/>
              </w:rPr>
            </w:pPr>
            <w:r w:rsidRPr="00A41A54">
              <w:rPr>
                <w:rFonts w:cs="Calibri"/>
                <w:b/>
                <w:color w:val="FFFFFF" w:themeColor="background1"/>
                <w:szCs w:val="20"/>
              </w:rPr>
              <w:t xml:space="preserve">Carrying Amount </w:t>
            </w:r>
            <w:r w:rsidR="00E56EEC" w:rsidRPr="00A41A54">
              <w:rPr>
                <w:rFonts w:cs="Calibri"/>
                <w:b/>
                <w:color w:val="FFFFFF" w:themeColor="background1"/>
                <w:szCs w:val="20"/>
              </w:rPr>
              <w:t xml:space="preserve">of and Gains on </w:t>
            </w:r>
            <w:r w:rsidRPr="00A41A54">
              <w:rPr>
                <w:rFonts w:cs="Calibri"/>
                <w:b/>
                <w:color w:val="FFFFFF" w:themeColor="background1"/>
                <w:szCs w:val="20"/>
              </w:rPr>
              <w:t>Financial Assets and Financial Liabilities</w:t>
            </w:r>
          </w:p>
        </w:tc>
      </w:tr>
      <w:tr w:rsidR="00B70538" w:rsidRPr="00CF7E1B" w14:paraId="2C30DDA5" w14:textId="77777777" w:rsidTr="0004564D">
        <w:trPr>
          <w:trHeight w:val="283"/>
        </w:trPr>
        <w:tc>
          <w:tcPr>
            <w:tcW w:w="1560" w:type="dxa"/>
            <w:tcBorders>
              <w:left w:val="single" w:sz="2" w:space="0" w:color="auto"/>
              <w:right w:val="single" w:sz="2" w:space="0" w:color="auto"/>
            </w:tcBorders>
          </w:tcPr>
          <w:p w14:paraId="24E9E207"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p>
          <w:p w14:paraId="3B90E0C3" w14:textId="77777777" w:rsidR="00B70538" w:rsidRPr="00E03D2C" w:rsidRDefault="00E87D49">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w:t>
            </w:r>
          </w:p>
          <w:p w14:paraId="400B77D9" w14:textId="77777777" w:rsidR="00B70538" w:rsidRPr="00E03D2C" w:rsidRDefault="00B70538">
            <w:pPr>
              <w:pStyle w:val="TableReference"/>
              <w:tabs>
                <w:tab w:val="left" w:pos="3306"/>
              </w:tabs>
              <w:spacing w:before="60"/>
              <w:rPr>
                <w:rFonts w:cs="Calibri"/>
                <w:color w:val="7030A0"/>
                <w:sz w:val="14"/>
              </w:rPr>
            </w:pPr>
          </w:p>
          <w:p w14:paraId="1301A5F6" w14:textId="77777777" w:rsidR="00B70538" w:rsidRPr="00E03D2C" w:rsidRDefault="00B70538">
            <w:pPr>
              <w:pStyle w:val="TableReference"/>
              <w:tabs>
                <w:tab w:val="left" w:pos="3306"/>
              </w:tabs>
              <w:spacing w:before="60"/>
              <w:rPr>
                <w:rFonts w:cs="Calibri"/>
                <w:color w:val="7030A0"/>
                <w:sz w:val="14"/>
              </w:rPr>
            </w:pPr>
          </w:p>
          <w:p w14:paraId="414897F2" w14:textId="77777777" w:rsidR="00B70538" w:rsidRPr="00E03D2C" w:rsidRDefault="00B70538">
            <w:pPr>
              <w:pStyle w:val="TableReference"/>
              <w:tabs>
                <w:tab w:val="left" w:pos="3306"/>
              </w:tabs>
              <w:spacing w:before="60"/>
              <w:rPr>
                <w:rFonts w:cs="Calibri"/>
                <w:color w:val="7030A0"/>
                <w:sz w:val="14"/>
              </w:rPr>
            </w:pPr>
          </w:p>
          <w:p w14:paraId="18FA06FE" w14:textId="77777777" w:rsidR="00B70538" w:rsidRPr="00E03D2C" w:rsidRDefault="00B70538">
            <w:pPr>
              <w:pStyle w:val="TableReference"/>
              <w:tabs>
                <w:tab w:val="left" w:pos="3306"/>
              </w:tabs>
              <w:spacing w:before="60"/>
              <w:rPr>
                <w:rFonts w:cs="Calibri"/>
                <w:color w:val="7030A0"/>
                <w:sz w:val="14"/>
              </w:rPr>
            </w:pPr>
          </w:p>
          <w:p w14:paraId="4AEAFD36" w14:textId="77777777" w:rsidR="00494B0F" w:rsidRPr="00E03D2C" w:rsidRDefault="00494B0F">
            <w:pPr>
              <w:pStyle w:val="TableReference"/>
              <w:tabs>
                <w:tab w:val="left" w:pos="3306"/>
              </w:tabs>
              <w:spacing w:before="60"/>
              <w:rPr>
                <w:rFonts w:cs="Calibri"/>
                <w:color w:val="7030A0"/>
                <w:sz w:val="14"/>
              </w:rPr>
            </w:pPr>
          </w:p>
          <w:p w14:paraId="3400F0A3" w14:textId="77777777" w:rsidR="00494B0F" w:rsidRPr="00E03D2C" w:rsidRDefault="00494B0F">
            <w:pPr>
              <w:pStyle w:val="TableReference"/>
              <w:tabs>
                <w:tab w:val="left" w:pos="3306"/>
              </w:tabs>
              <w:spacing w:before="60"/>
              <w:rPr>
                <w:rFonts w:cs="Calibri"/>
                <w:color w:val="7030A0"/>
                <w:sz w:val="14"/>
              </w:rPr>
            </w:pPr>
          </w:p>
          <w:p w14:paraId="137DE360" w14:textId="77777777" w:rsidR="00B70538" w:rsidRPr="00E03D2C" w:rsidRDefault="00B70538"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F88A3E7" w14:textId="77777777" w:rsidR="00B70538" w:rsidRPr="00E03D2C" w:rsidRDefault="00B70538"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requires the carrying amount </w:t>
            </w:r>
            <w:r w:rsidR="00671BB9" w:rsidRPr="00E03D2C">
              <w:rPr>
                <w:rFonts w:cs="Calibri"/>
                <w:color w:val="FFFFFF" w:themeColor="background1"/>
                <w:sz w:val="18"/>
                <w:szCs w:val="18"/>
              </w:rPr>
              <w:t>and g</w:t>
            </w:r>
            <w:r w:rsidR="00E56EEC" w:rsidRPr="00E03D2C">
              <w:rPr>
                <w:rFonts w:cs="Calibri"/>
                <w:color w:val="FFFFFF" w:themeColor="background1"/>
                <w:sz w:val="18"/>
                <w:szCs w:val="18"/>
              </w:rPr>
              <w:t xml:space="preserve">ains </w:t>
            </w:r>
            <w:r w:rsidRPr="00E03D2C">
              <w:rPr>
                <w:rFonts w:cs="Calibri"/>
                <w:color w:val="FFFFFF" w:themeColor="background1"/>
                <w:sz w:val="18"/>
                <w:szCs w:val="18"/>
              </w:rPr>
              <w:t>to be disclosed for the following c</w:t>
            </w:r>
            <w:r w:rsidR="00E56EEC" w:rsidRPr="00E03D2C">
              <w:rPr>
                <w:rFonts w:cs="Calibri"/>
                <w:color w:val="FFFFFF" w:themeColor="background1"/>
                <w:sz w:val="18"/>
                <w:szCs w:val="18"/>
              </w:rPr>
              <w:t>lass</w:t>
            </w:r>
            <w:r w:rsidR="00671BB9" w:rsidRPr="00E03D2C">
              <w:rPr>
                <w:rFonts w:cs="Calibri"/>
                <w:color w:val="FFFFFF" w:themeColor="background1"/>
                <w:sz w:val="18"/>
                <w:szCs w:val="18"/>
              </w:rPr>
              <w:t>es</w:t>
            </w:r>
            <w:r w:rsidRPr="00E03D2C">
              <w:rPr>
                <w:rFonts w:cs="Calibri"/>
                <w:color w:val="FFFFFF" w:themeColor="background1"/>
                <w:sz w:val="18"/>
                <w:szCs w:val="18"/>
              </w:rPr>
              <w:t xml:space="preserve"> of financial assets and financial liabilities:</w:t>
            </w:r>
          </w:p>
          <w:p w14:paraId="1804C071" w14:textId="77777777" w:rsidR="00B70538" w:rsidRPr="00E03D2C" w:rsidRDefault="00B7053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at Fair Value through the Profit and Loss</w:t>
            </w:r>
            <w:r w:rsidR="00D728FD" w:rsidRPr="00E03D2C">
              <w:rPr>
                <w:rFonts w:cs="Calibri"/>
                <w:color w:val="FFFFFF" w:themeColor="background1"/>
                <w:sz w:val="18"/>
                <w:szCs w:val="18"/>
              </w:rPr>
              <w:t xml:space="preserve"> s</w:t>
            </w:r>
            <w:r w:rsidR="00E31A72" w:rsidRPr="00E03D2C">
              <w:rPr>
                <w:rFonts w:cs="Calibri"/>
                <w:color w:val="FFFFFF" w:themeColor="background1"/>
                <w:sz w:val="18"/>
                <w:szCs w:val="18"/>
              </w:rPr>
              <w:t>how</w:t>
            </w:r>
            <w:r w:rsidR="004E6C00" w:rsidRPr="00E03D2C">
              <w:rPr>
                <w:rFonts w:cs="Calibri"/>
                <w:color w:val="FFFFFF" w:themeColor="background1"/>
                <w:sz w:val="18"/>
                <w:szCs w:val="18"/>
              </w:rPr>
              <w:t>ing</w:t>
            </w:r>
            <w:r w:rsidR="00E31A72" w:rsidRPr="00E03D2C">
              <w:rPr>
                <w:rFonts w:cs="Calibri"/>
                <w:color w:val="FFFFFF" w:themeColor="background1"/>
                <w:sz w:val="18"/>
                <w:szCs w:val="18"/>
              </w:rPr>
              <w:t xml:space="preserve"> separately those </w:t>
            </w:r>
            <w:r w:rsidR="00D728FD" w:rsidRPr="00E03D2C">
              <w:rPr>
                <w:rFonts w:cs="Calibri"/>
                <w:color w:val="FFFFFF" w:themeColor="background1"/>
                <w:sz w:val="18"/>
                <w:szCs w:val="18"/>
              </w:rPr>
              <w:t>d</w:t>
            </w:r>
            <w:r w:rsidRPr="00E03D2C">
              <w:rPr>
                <w:rFonts w:cs="Calibri"/>
                <w:color w:val="FFFFFF" w:themeColor="background1"/>
                <w:sz w:val="18"/>
                <w:szCs w:val="18"/>
              </w:rPr>
              <w:t>esignated upon Initial Recognition at Fair Value through Profit and Loss</w:t>
            </w:r>
            <w:r w:rsidR="00671BB9" w:rsidRPr="00E03D2C">
              <w:rPr>
                <w:rFonts w:cs="Calibri"/>
                <w:color w:val="FFFFFF" w:themeColor="background1"/>
                <w:sz w:val="18"/>
                <w:szCs w:val="18"/>
              </w:rPr>
              <w:t>;</w:t>
            </w:r>
          </w:p>
          <w:p w14:paraId="09577BA2" w14:textId="73B13242" w:rsidR="00D728FD" w:rsidRPr="00E03D2C" w:rsidRDefault="00D728FD"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at Fair Value through the Profit and Loss show</w:t>
            </w:r>
            <w:r w:rsidR="004E6C00" w:rsidRPr="00E03D2C">
              <w:rPr>
                <w:rFonts w:cs="Calibri"/>
                <w:color w:val="FFFFFF" w:themeColor="background1"/>
                <w:sz w:val="18"/>
                <w:szCs w:val="18"/>
              </w:rPr>
              <w:t>ing</w:t>
            </w:r>
            <w:r w:rsidRPr="00E03D2C">
              <w:rPr>
                <w:rFonts w:cs="Calibri"/>
                <w:color w:val="FFFFFF" w:themeColor="background1"/>
                <w:sz w:val="18"/>
                <w:szCs w:val="18"/>
              </w:rPr>
              <w:t xml:space="preserve"> separately those designated upon Initial Recognition at Fair Value through Profit and Loss;</w:t>
            </w:r>
          </w:p>
          <w:p w14:paraId="7C2E9B63" w14:textId="0C202AE1" w:rsidR="00650DF8" w:rsidRPr="00E03D2C" w:rsidRDefault="00650DF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measured at Amortised Cost;</w:t>
            </w:r>
          </w:p>
          <w:p w14:paraId="230C253F" w14:textId="5AC025A1" w:rsidR="00650DF8" w:rsidRPr="00E03D2C" w:rsidRDefault="00650DF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measured at Amortised Cost; and</w:t>
            </w:r>
          </w:p>
          <w:p w14:paraId="5229E487" w14:textId="01BF7E7E" w:rsidR="00494B0F" w:rsidRPr="00E03D2C" w:rsidRDefault="00650DF8"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Financial Assets measured at Fair Value through Other Comprehensive Income.</w:t>
            </w:r>
          </w:p>
        </w:tc>
      </w:tr>
      <w:tr w:rsidR="00F42E0A" w:rsidRPr="00CF7E1B" w14:paraId="09AABA90" w14:textId="77777777" w:rsidTr="0004564D">
        <w:trPr>
          <w:trHeight w:val="283"/>
        </w:trPr>
        <w:tc>
          <w:tcPr>
            <w:tcW w:w="1560" w:type="dxa"/>
            <w:tcBorders>
              <w:left w:val="single" w:sz="2" w:space="0" w:color="auto"/>
              <w:right w:val="single" w:sz="2" w:space="0" w:color="auto"/>
            </w:tcBorders>
          </w:tcPr>
          <w:p w14:paraId="63EAD5A4" w14:textId="77777777" w:rsidR="00F42E0A" w:rsidRPr="00E03D2C" w:rsidRDefault="00F42E0A" w:rsidP="00F42E0A">
            <w:pPr>
              <w:pStyle w:val="TableReference"/>
              <w:tabs>
                <w:tab w:val="left" w:pos="3306"/>
              </w:tabs>
              <w:spacing w:before="60"/>
              <w:rPr>
                <w:rFonts w:cs="Calibri"/>
                <w:color w:val="7030A0"/>
                <w:sz w:val="14"/>
              </w:rPr>
            </w:pPr>
            <w:r w:rsidRPr="00E03D2C">
              <w:rPr>
                <w:rFonts w:cs="Calibri"/>
                <w:color w:val="7030A0"/>
                <w:sz w:val="14"/>
              </w:rPr>
              <w:t>ACT Disclosure Policy</w:t>
            </w:r>
          </w:p>
          <w:p w14:paraId="158182D2" w14:textId="77777777" w:rsidR="00F42E0A" w:rsidRPr="00E03D2C" w:rsidRDefault="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4847C8C" w14:textId="590D89D0" w:rsidR="00F42E0A" w:rsidRPr="00E03D2C" w:rsidRDefault="00F42E0A" w:rsidP="00411210">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AASB 7 allows this above disclosure to be included in either the financial statements or in the notes.</w:t>
            </w:r>
            <w:r w:rsidR="00FA7C77">
              <w:rPr>
                <w:rFonts w:cs="Calibri"/>
                <w:color w:val="FFFFFF" w:themeColor="background1"/>
                <w:sz w:val="18"/>
                <w:szCs w:val="18"/>
              </w:rPr>
              <w:t xml:space="preserve"> </w:t>
            </w:r>
            <w:r w:rsidRPr="00E03D2C">
              <w:rPr>
                <w:rFonts w:cs="Calibri"/>
                <w:color w:val="FFFFFF" w:themeColor="background1"/>
                <w:sz w:val="18"/>
                <w:szCs w:val="18"/>
              </w:rPr>
              <w:t>ACT Disclosure Policy requires this disclosure to be included in the notes.</w:t>
            </w:r>
          </w:p>
        </w:tc>
      </w:tr>
      <w:tr w:rsidR="00D011AB" w:rsidRPr="00CF7E1B" w14:paraId="1E21F19C" w14:textId="77777777" w:rsidTr="0004564D">
        <w:trPr>
          <w:trHeight w:val="282"/>
        </w:trPr>
        <w:tc>
          <w:tcPr>
            <w:tcW w:w="1560" w:type="dxa"/>
            <w:tcBorders>
              <w:left w:val="single" w:sz="2" w:space="0" w:color="auto"/>
              <w:right w:val="single" w:sz="2" w:space="0" w:color="auto"/>
            </w:tcBorders>
          </w:tcPr>
          <w:p w14:paraId="3112CF26" w14:textId="0F13E45E" w:rsidR="00D011AB" w:rsidRPr="00E03D2C" w:rsidRDefault="00D011AB" w:rsidP="00EF015C">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B7224C2" w14:textId="24331C5E" w:rsidR="00D011AB" w:rsidRPr="00E03D2C" w:rsidRDefault="00D011AB"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Note however that most ACT Government agencies will not have all these categories of financial assets and liabilities and as such will not need to disclose all these categories.</w:t>
            </w:r>
            <w:r w:rsidR="00FA7C77">
              <w:rPr>
                <w:rFonts w:cs="Calibri"/>
                <w:color w:val="FFFFFF" w:themeColor="background1"/>
                <w:sz w:val="18"/>
                <w:szCs w:val="18"/>
              </w:rPr>
              <w:t xml:space="preserve"> </w:t>
            </w:r>
            <w:r w:rsidRPr="00E03D2C">
              <w:rPr>
                <w:rFonts w:cs="Calibri"/>
                <w:color w:val="FFFFFF" w:themeColor="background1"/>
                <w:sz w:val="18"/>
                <w:szCs w:val="18"/>
              </w:rPr>
              <w:t xml:space="preserve">Most agencies will only have the following categories: </w:t>
            </w:r>
          </w:p>
          <w:p w14:paraId="34F8D59C" w14:textId="2D211236" w:rsidR="00D011AB" w:rsidRPr="00E03D2C" w:rsidRDefault="00D011AB"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Designated upon Initial Recognition at Fair Value through Profit and Loss (e.g. Investment</w:t>
            </w:r>
            <w:r w:rsidR="00DA5693" w:rsidRPr="00E03D2C">
              <w:rPr>
                <w:rFonts w:cs="Calibri"/>
                <w:color w:val="FFFFFF" w:themeColor="background1"/>
                <w:sz w:val="18"/>
                <w:szCs w:val="18"/>
              </w:rPr>
              <w:t>s</w:t>
            </w:r>
            <w:r w:rsidRPr="00E03D2C">
              <w:rPr>
                <w:rFonts w:cs="Calibri"/>
                <w:color w:val="FFFFFF" w:themeColor="background1"/>
                <w:sz w:val="18"/>
                <w:szCs w:val="18"/>
              </w:rPr>
              <w:t xml:space="preserve"> </w:t>
            </w:r>
            <w:r w:rsidR="00881F01" w:rsidRPr="00E03D2C">
              <w:rPr>
                <w:rFonts w:cs="Calibri"/>
                <w:color w:val="FFFFFF" w:themeColor="background1"/>
                <w:sz w:val="18"/>
                <w:szCs w:val="18"/>
              </w:rPr>
              <w:t xml:space="preserve">with </w:t>
            </w:r>
            <w:r w:rsidRPr="00E03D2C">
              <w:rPr>
                <w:rFonts w:cs="Calibri"/>
                <w:color w:val="FFFFFF" w:themeColor="background1"/>
                <w:sz w:val="18"/>
                <w:szCs w:val="18"/>
              </w:rPr>
              <w:t xml:space="preserve">the </w:t>
            </w:r>
            <w:r w:rsidR="00881F01" w:rsidRPr="00E03D2C">
              <w:rPr>
                <w:rFonts w:cs="Calibri"/>
                <w:color w:val="FFFFFF" w:themeColor="background1"/>
                <w:sz w:val="18"/>
                <w:szCs w:val="18"/>
              </w:rPr>
              <w:t>Banking Account</w:t>
            </w:r>
            <w:r w:rsidRPr="00E03D2C">
              <w:rPr>
                <w:rFonts w:cs="Calibri"/>
                <w:color w:val="FFFFFF" w:themeColor="background1"/>
                <w:sz w:val="18"/>
                <w:szCs w:val="18"/>
              </w:rPr>
              <w:t>);</w:t>
            </w:r>
            <w:r w:rsidR="00DA5693" w:rsidRPr="00E03D2C">
              <w:rPr>
                <w:rFonts w:cs="Calibri"/>
                <w:color w:val="FFFFFF" w:themeColor="background1"/>
                <w:sz w:val="18"/>
                <w:szCs w:val="18"/>
              </w:rPr>
              <w:t xml:space="preserve"> and</w:t>
            </w:r>
          </w:p>
          <w:p w14:paraId="49277ED0" w14:textId="7BD8B1E5" w:rsidR="00D011AB" w:rsidRPr="00E03D2C" w:rsidRDefault="00D011AB"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Financial </w:t>
            </w:r>
            <w:r w:rsidR="00DA5693" w:rsidRPr="00E03D2C">
              <w:rPr>
                <w:rFonts w:cs="Calibri"/>
                <w:color w:val="FFFFFF" w:themeColor="background1"/>
                <w:sz w:val="18"/>
                <w:szCs w:val="18"/>
              </w:rPr>
              <w:t xml:space="preserve">Assets and </w:t>
            </w:r>
            <w:r w:rsidRPr="00E03D2C">
              <w:rPr>
                <w:rFonts w:cs="Calibri"/>
                <w:color w:val="FFFFFF" w:themeColor="background1"/>
                <w:sz w:val="18"/>
                <w:szCs w:val="18"/>
              </w:rPr>
              <w:t>Liabilities measured at Amortised Cost.</w:t>
            </w:r>
            <w:r w:rsidR="00FA7C77">
              <w:rPr>
                <w:rFonts w:cs="Calibri"/>
                <w:color w:val="FFFFFF" w:themeColor="background1"/>
                <w:sz w:val="18"/>
                <w:szCs w:val="18"/>
              </w:rPr>
              <w:t xml:space="preserve"> </w:t>
            </w:r>
          </w:p>
          <w:p w14:paraId="0B38D3CC" w14:textId="5512696E" w:rsidR="00D011AB" w:rsidRPr="00E03D2C" w:rsidRDefault="00D011AB" w:rsidP="00494B0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As such</w:t>
            </w:r>
            <w:r w:rsidR="00327A39" w:rsidRPr="00E03D2C">
              <w:rPr>
                <w:rFonts w:cs="Calibri"/>
                <w:color w:val="FFFFFF" w:themeColor="background1"/>
                <w:sz w:val="18"/>
                <w:szCs w:val="18"/>
              </w:rPr>
              <w:t>,</w:t>
            </w:r>
            <w:r w:rsidRPr="00E03D2C">
              <w:rPr>
                <w:rFonts w:cs="Calibri"/>
                <w:color w:val="FFFFFF" w:themeColor="background1"/>
                <w:sz w:val="18"/>
                <w:szCs w:val="18"/>
              </w:rPr>
              <w:t xml:space="preserve"> these are the only categories which have been included in the Model.</w:t>
            </w:r>
          </w:p>
        </w:tc>
      </w:tr>
      <w:tr w:rsidR="00D011AB" w:rsidRPr="00CF7E1B" w14:paraId="0B97DC5A" w14:textId="77777777" w:rsidTr="0004564D">
        <w:trPr>
          <w:trHeight w:val="282"/>
        </w:trPr>
        <w:tc>
          <w:tcPr>
            <w:tcW w:w="1560" w:type="dxa"/>
            <w:tcBorders>
              <w:left w:val="single" w:sz="2" w:space="0" w:color="auto"/>
              <w:right w:val="single" w:sz="2" w:space="0" w:color="auto"/>
            </w:tcBorders>
          </w:tcPr>
          <w:p w14:paraId="173E9F81" w14:textId="77777777" w:rsidR="00EF015C" w:rsidRPr="00E03D2C" w:rsidRDefault="00EF015C" w:rsidP="003973ED">
            <w:pPr>
              <w:pStyle w:val="TableReference"/>
              <w:tabs>
                <w:tab w:val="left" w:pos="3306"/>
              </w:tabs>
              <w:spacing w:before="80"/>
              <w:rPr>
                <w:rFonts w:cs="Calibri"/>
                <w:color w:val="7030A0"/>
                <w:sz w:val="14"/>
              </w:rPr>
            </w:pPr>
          </w:p>
          <w:p w14:paraId="5879C352" w14:textId="77777777" w:rsidR="00EF015C" w:rsidRPr="00E03D2C" w:rsidRDefault="00EF015C" w:rsidP="003973ED">
            <w:pPr>
              <w:pStyle w:val="TableReference"/>
              <w:tabs>
                <w:tab w:val="left" w:pos="3306"/>
              </w:tabs>
              <w:spacing w:before="80"/>
              <w:rPr>
                <w:rFonts w:cs="Calibri"/>
                <w:color w:val="7030A0"/>
                <w:sz w:val="14"/>
              </w:rPr>
            </w:pPr>
          </w:p>
          <w:p w14:paraId="5247081D" w14:textId="77777777" w:rsidR="00D011AB" w:rsidRPr="00E03D2C" w:rsidRDefault="00FC7C48" w:rsidP="003973ED">
            <w:pPr>
              <w:pStyle w:val="TableReference"/>
              <w:tabs>
                <w:tab w:val="left" w:pos="3306"/>
              </w:tabs>
              <w:spacing w:before="80"/>
              <w:rPr>
                <w:rFonts w:cs="Calibri"/>
                <w:color w:val="7030A0"/>
                <w:sz w:val="14"/>
              </w:rPr>
            </w:pPr>
            <w:r w:rsidRPr="00E03D2C">
              <w:rPr>
                <w:rFonts w:cs="Calibri"/>
                <w:color w:val="7030A0"/>
                <w:sz w:val="14"/>
              </w:rPr>
              <w:t>AASB 9</w:t>
            </w:r>
          </w:p>
          <w:p w14:paraId="0A0F2CE3" w14:textId="5384F28A" w:rsidR="00A2128F" w:rsidRPr="00E03D2C" w:rsidRDefault="00A2128F" w:rsidP="003973ED">
            <w:pPr>
              <w:pStyle w:val="TableReference"/>
              <w:tabs>
                <w:tab w:val="left" w:pos="3306"/>
              </w:tabs>
              <w:spacing w:before="80"/>
              <w:rPr>
                <w:rFonts w:cs="Calibri"/>
                <w:color w:val="7030A0"/>
                <w:sz w:val="14"/>
              </w:rPr>
            </w:pPr>
            <w:r w:rsidRPr="00E03D2C">
              <w:rPr>
                <w:rFonts w:cs="Calibri"/>
                <w:color w:val="7030A0"/>
                <w:sz w:val="14"/>
              </w:rPr>
              <w:t>AASB 2014-7</w:t>
            </w:r>
          </w:p>
          <w:p w14:paraId="0339A69B" w14:textId="77777777" w:rsidR="00F179FC" w:rsidRPr="00E03D2C" w:rsidRDefault="00F179FC" w:rsidP="003973ED">
            <w:pPr>
              <w:pStyle w:val="TableReference"/>
              <w:tabs>
                <w:tab w:val="left" w:pos="3306"/>
              </w:tabs>
              <w:spacing w:before="80"/>
              <w:rPr>
                <w:rFonts w:cs="Calibri"/>
                <w:color w:val="7030A0"/>
                <w:sz w:val="14"/>
              </w:rPr>
            </w:pPr>
            <w:r w:rsidRPr="00E03D2C">
              <w:rPr>
                <w:rFonts w:cs="Calibri"/>
                <w:color w:val="7030A0"/>
                <w:sz w:val="14"/>
              </w:rPr>
              <w:t>AASB 7</w:t>
            </w:r>
            <w:r w:rsidR="00113427" w:rsidRPr="00E03D2C">
              <w:rPr>
                <w:rFonts w:cs="Calibri"/>
                <w:color w:val="7030A0"/>
                <w:sz w:val="14"/>
              </w:rPr>
              <w:t xml:space="preserve">.35M-N </w:t>
            </w:r>
          </w:p>
          <w:p w14:paraId="55B94D3E" w14:textId="77777777" w:rsidR="00D011AB" w:rsidRPr="00E03D2C" w:rsidRDefault="00D011AB" w:rsidP="003973ED">
            <w:pPr>
              <w:pStyle w:val="TableReference"/>
              <w:tabs>
                <w:tab w:val="left" w:pos="3306"/>
              </w:tabs>
              <w:spacing w:before="80"/>
              <w:rPr>
                <w:rFonts w:cs="Calibri"/>
                <w:color w:val="7030A0"/>
                <w:sz w:val="14"/>
              </w:rPr>
            </w:pPr>
            <w:r w:rsidRPr="00E03D2C">
              <w:rPr>
                <w:rFonts w:cs="Calibri"/>
                <w:color w:val="7030A0"/>
                <w:sz w:val="14"/>
              </w:rPr>
              <w:t>AASB 7.36</w:t>
            </w:r>
          </w:p>
          <w:p w14:paraId="40D52190" w14:textId="77777777" w:rsidR="00917C70" w:rsidRPr="0009580B" w:rsidRDefault="00917C70" w:rsidP="003973ED">
            <w:pPr>
              <w:pStyle w:val="TableReference"/>
              <w:tabs>
                <w:tab w:val="left" w:pos="3306"/>
              </w:tabs>
              <w:spacing w:before="80"/>
              <w:rPr>
                <w:rFonts w:cs="Calibri"/>
                <w:color w:val="7030A0"/>
                <w:sz w:val="14"/>
              </w:rPr>
            </w:pPr>
          </w:p>
          <w:p w14:paraId="4B755A38" w14:textId="77777777" w:rsidR="00917C70" w:rsidRPr="00E03D2C" w:rsidRDefault="00917C70" w:rsidP="003973ED">
            <w:pPr>
              <w:pStyle w:val="TableReference"/>
              <w:tabs>
                <w:tab w:val="left" w:pos="3306"/>
              </w:tabs>
              <w:spacing w:before="80"/>
              <w:rPr>
                <w:rFonts w:cs="Calibri"/>
                <w:color w:val="7030A0"/>
                <w:sz w:val="14"/>
              </w:rPr>
            </w:pPr>
            <w:r w:rsidRPr="00E03D2C">
              <w:rPr>
                <w:rFonts w:cs="Calibri"/>
                <w:color w:val="7030A0"/>
                <w:sz w:val="14"/>
              </w:rPr>
              <w:t>AASB 7.35M-N</w:t>
            </w:r>
          </w:p>
          <w:p w14:paraId="7012E611" w14:textId="77777777" w:rsidR="00B16216" w:rsidRPr="00E03D2C" w:rsidRDefault="00B16216" w:rsidP="00222AEE">
            <w:pPr>
              <w:pStyle w:val="TableReference"/>
              <w:tabs>
                <w:tab w:val="left" w:pos="3306"/>
              </w:tabs>
              <w:spacing w:before="80"/>
              <w:rPr>
                <w:rFonts w:cs="Calibri"/>
                <w:color w:val="7030A0"/>
                <w:sz w:val="14"/>
              </w:rPr>
            </w:pPr>
            <w:r w:rsidRPr="00E03D2C">
              <w:rPr>
                <w:rFonts w:cs="Calibri"/>
                <w:color w:val="7030A0"/>
                <w:sz w:val="14"/>
              </w:rPr>
              <w:t>Financial Framework Memo 2018/23 see Appendix B</w:t>
            </w:r>
          </w:p>
        </w:tc>
        <w:tc>
          <w:tcPr>
            <w:tcW w:w="8930" w:type="dxa"/>
            <w:tcBorders>
              <w:left w:val="single" w:sz="2" w:space="0" w:color="auto"/>
            </w:tcBorders>
            <w:shd w:val="clear" w:color="auto" w:fill="7030A0"/>
          </w:tcPr>
          <w:p w14:paraId="2010FE35" w14:textId="77777777" w:rsidR="00D011AB" w:rsidRPr="00A41A54" w:rsidRDefault="00D011AB"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Credit Risk</w:t>
            </w:r>
          </w:p>
          <w:p w14:paraId="46F4FD9D" w14:textId="3E638A03" w:rsidR="00D011AB" w:rsidRPr="00E03D2C" w:rsidRDefault="00D011AB" w:rsidP="00616AAB">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AASB 7 requires</w:t>
            </w:r>
            <w:r w:rsidR="00327A39" w:rsidRPr="00E03D2C">
              <w:rPr>
                <w:rFonts w:cs="Calibri"/>
                <w:color w:val="FFFFFF" w:themeColor="background1"/>
                <w:sz w:val="18"/>
                <w:szCs w:val="18"/>
              </w:rPr>
              <w:t>,</w:t>
            </w:r>
            <w:r w:rsidRPr="00E03D2C">
              <w:rPr>
                <w:rFonts w:cs="Calibri"/>
                <w:color w:val="FFFFFF" w:themeColor="background1"/>
                <w:sz w:val="18"/>
                <w:szCs w:val="18"/>
              </w:rPr>
              <w:t xml:space="preserve"> </w:t>
            </w:r>
            <w:r w:rsidR="00F179FC" w:rsidRPr="00E03D2C">
              <w:rPr>
                <w:rFonts w:cs="Calibri"/>
                <w:color w:val="FFFFFF" w:themeColor="background1"/>
                <w:sz w:val="18"/>
                <w:szCs w:val="18"/>
              </w:rPr>
              <w:t>for all financial instruments</w:t>
            </w:r>
            <w:r w:rsidR="002C6003" w:rsidRPr="00E03D2C">
              <w:rPr>
                <w:rFonts w:cs="Calibri"/>
                <w:color w:val="FFFFFF" w:themeColor="background1"/>
                <w:sz w:val="18"/>
                <w:szCs w:val="18"/>
              </w:rPr>
              <w:t xml:space="preserve"> </w:t>
            </w:r>
            <w:r w:rsidR="00F179FC" w:rsidRPr="00E03D2C">
              <w:rPr>
                <w:rFonts w:cs="Calibri"/>
                <w:color w:val="FFFFFF" w:themeColor="background1"/>
                <w:sz w:val="18"/>
                <w:szCs w:val="18"/>
              </w:rPr>
              <w:t xml:space="preserve">within its scope, </w:t>
            </w:r>
            <w:r w:rsidR="002C6003" w:rsidRPr="00E03D2C">
              <w:rPr>
                <w:rFonts w:cs="Calibri"/>
                <w:color w:val="FFFFFF" w:themeColor="background1"/>
                <w:sz w:val="18"/>
                <w:szCs w:val="18"/>
              </w:rPr>
              <w:t>(except those</w:t>
            </w:r>
            <w:r w:rsidR="00F179FC" w:rsidRPr="00E03D2C">
              <w:rPr>
                <w:rFonts w:cs="Calibri"/>
                <w:color w:val="FFFFFF" w:themeColor="background1"/>
                <w:sz w:val="18"/>
                <w:szCs w:val="18"/>
              </w:rPr>
              <w:t xml:space="preserve"> to which the impairment requirements in AASB 9 are not applied</w:t>
            </w:r>
            <w:r w:rsidR="002C6003" w:rsidRPr="00E03D2C">
              <w:rPr>
                <w:rFonts w:cs="Calibri"/>
                <w:color w:val="FFFFFF" w:themeColor="background1"/>
                <w:sz w:val="18"/>
                <w:szCs w:val="18"/>
              </w:rPr>
              <w:t>)</w:t>
            </w:r>
            <w:r w:rsidR="00F179FC" w:rsidRPr="00E03D2C">
              <w:rPr>
                <w:rFonts w:cs="Calibri"/>
                <w:color w:val="FFFFFF" w:themeColor="background1"/>
                <w:sz w:val="18"/>
                <w:szCs w:val="18"/>
              </w:rPr>
              <w:t xml:space="preserve"> </w:t>
            </w:r>
            <w:r w:rsidRPr="00E03D2C">
              <w:rPr>
                <w:rFonts w:cs="Calibri"/>
                <w:color w:val="FFFFFF" w:themeColor="background1"/>
                <w:sz w:val="18"/>
                <w:szCs w:val="18"/>
              </w:rPr>
              <w:t>the disclosure by class of financial instrument of the amount that best represents an agency’s maximum exposure to credit risk at the end of the reporting period without taking account of any collateral held or other credit enhancements. This disclosure is not required for financial instruments whose carrying amount best represents the maximum exposure to credit risk. Also required is a description of collateral held as security and other credit enhancements</w:t>
            </w:r>
            <w:r w:rsidR="00F179FC" w:rsidRPr="00E03D2C">
              <w:rPr>
                <w:rFonts w:cs="Calibri"/>
                <w:color w:val="FFFFFF" w:themeColor="background1"/>
                <w:sz w:val="18"/>
                <w:szCs w:val="18"/>
              </w:rPr>
              <w:t xml:space="preserve"> </w:t>
            </w:r>
            <w:r w:rsidRPr="00E03D2C">
              <w:rPr>
                <w:rFonts w:cs="Calibri"/>
                <w:color w:val="FFFFFF" w:themeColor="background1"/>
                <w:sz w:val="18"/>
                <w:szCs w:val="18"/>
              </w:rPr>
              <w:t>and their financial effect</w:t>
            </w:r>
            <w:r w:rsidR="00F179FC" w:rsidRPr="00E03D2C">
              <w:rPr>
                <w:rFonts w:cs="Calibri"/>
                <w:color w:val="FFFFFF" w:themeColor="background1"/>
                <w:sz w:val="18"/>
                <w:szCs w:val="18"/>
              </w:rPr>
              <w:t>.</w:t>
            </w:r>
            <w:r w:rsidRPr="00E03D2C">
              <w:rPr>
                <w:rFonts w:cs="Calibri"/>
                <w:color w:val="FFFFFF" w:themeColor="background1"/>
                <w:sz w:val="18"/>
                <w:szCs w:val="18"/>
              </w:rPr>
              <w:t xml:space="preserve"> </w:t>
            </w:r>
          </w:p>
          <w:p w14:paraId="33422525" w14:textId="0BB261E5" w:rsidR="00D011AB" w:rsidRPr="00E03D2C" w:rsidRDefault="00917C70" w:rsidP="00F42E0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Agencies should disc</w:t>
            </w:r>
            <w:r w:rsidR="00B16216" w:rsidRPr="00E03D2C">
              <w:rPr>
                <w:rFonts w:cs="Calibri"/>
                <w:color w:val="FFFFFF" w:themeColor="background1"/>
                <w:sz w:val="18"/>
                <w:szCs w:val="18"/>
              </w:rPr>
              <w:t>l</w:t>
            </w:r>
            <w:r w:rsidRPr="00E03D2C">
              <w:rPr>
                <w:rFonts w:cs="Calibri"/>
                <w:color w:val="FFFFFF" w:themeColor="background1"/>
                <w:sz w:val="18"/>
                <w:szCs w:val="18"/>
              </w:rPr>
              <w:t xml:space="preserve">ose by credit risk rating grades the gross carrying amount of financial assets </w:t>
            </w:r>
            <w:r w:rsidR="00B16216" w:rsidRPr="00E03D2C">
              <w:rPr>
                <w:rFonts w:cs="Calibri"/>
                <w:color w:val="FFFFFF" w:themeColor="background1"/>
                <w:sz w:val="18"/>
                <w:szCs w:val="18"/>
              </w:rPr>
              <w:t>and the exposure to credit risk on loan commitments and financial guarantee contracts. Fo</w:t>
            </w:r>
            <w:r w:rsidR="002C6003" w:rsidRPr="00E03D2C">
              <w:rPr>
                <w:rFonts w:cs="Calibri"/>
                <w:color w:val="FFFFFF" w:themeColor="background1"/>
                <w:sz w:val="18"/>
                <w:szCs w:val="18"/>
              </w:rPr>
              <w:t>r</w:t>
            </w:r>
            <w:r w:rsidR="00B16216" w:rsidRPr="00E03D2C">
              <w:rPr>
                <w:rFonts w:cs="Calibri"/>
                <w:color w:val="FFFFFF" w:themeColor="background1"/>
                <w:sz w:val="18"/>
                <w:szCs w:val="18"/>
              </w:rPr>
              <w:t xml:space="preserve"> trade receivables</w:t>
            </w:r>
            <w:r w:rsidR="00327A39" w:rsidRPr="00E03D2C">
              <w:rPr>
                <w:rFonts w:cs="Calibri"/>
                <w:color w:val="FFFFFF" w:themeColor="background1"/>
                <w:sz w:val="18"/>
                <w:szCs w:val="18"/>
              </w:rPr>
              <w:t>,</w:t>
            </w:r>
            <w:r w:rsidR="00B16216" w:rsidRPr="00E03D2C">
              <w:rPr>
                <w:rFonts w:cs="Calibri"/>
                <w:color w:val="FFFFFF" w:themeColor="background1"/>
                <w:sz w:val="18"/>
                <w:szCs w:val="18"/>
              </w:rPr>
              <w:t xml:space="preserve"> contract assets and lease receivables to which an agency applies AASB 9.5.5.15</w:t>
            </w:r>
            <w:r w:rsidR="00643BBA" w:rsidRPr="00E03D2C">
              <w:rPr>
                <w:rFonts w:cs="Calibri"/>
                <w:color w:val="FFFFFF" w:themeColor="background1"/>
                <w:sz w:val="18"/>
                <w:szCs w:val="18"/>
              </w:rPr>
              <w:t xml:space="preserve"> (i.e. the simplified approach, measuring the loss allowance at an amount equal to lifetime expected credit losses</w:t>
            </w:r>
            <w:r w:rsidR="006D73C5" w:rsidRPr="00E03D2C">
              <w:rPr>
                <w:rFonts w:cs="Calibri"/>
                <w:color w:val="FFFFFF" w:themeColor="background1"/>
                <w:sz w:val="18"/>
                <w:szCs w:val="18"/>
              </w:rPr>
              <w:t>) the</w:t>
            </w:r>
            <w:r w:rsidR="00B16216" w:rsidRPr="00E03D2C">
              <w:rPr>
                <w:rFonts w:cs="Calibri"/>
                <w:color w:val="FFFFFF" w:themeColor="background1"/>
                <w:sz w:val="18"/>
                <w:szCs w:val="18"/>
              </w:rPr>
              <w:t xml:space="preserve"> information may be based on a provision matrix. </w:t>
            </w:r>
          </w:p>
        </w:tc>
      </w:tr>
      <w:tr w:rsidR="00F42E0A" w:rsidRPr="00CF7E1B" w14:paraId="1ACE1FB5" w14:textId="77777777" w:rsidTr="0004564D">
        <w:trPr>
          <w:trHeight w:val="282"/>
        </w:trPr>
        <w:tc>
          <w:tcPr>
            <w:tcW w:w="1560" w:type="dxa"/>
            <w:tcBorders>
              <w:left w:val="single" w:sz="2" w:space="0" w:color="auto"/>
              <w:right w:val="single" w:sz="2" w:space="0" w:color="auto"/>
            </w:tcBorders>
          </w:tcPr>
          <w:p w14:paraId="2EAE29C6" w14:textId="77777777" w:rsidR="00F42E0A" w:rsidRPr="00E03D2C" w:rsidRDefault="00F42E0A" w:rsidP="003973ED">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6A856705" w14:textId="1C943019" w:rsidR="00F42E0A" w:rsidRPr="00A41A54" w:rsidRDefault="00F42E0A"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Concentration of Credit Risk</w:t>
            </w:r>
          </w:p>
        </w:tc>
      </w:tr>
      <w:tr w:rsidR="00D011AB" w:rsidRPr="00CF7E1B" w14:paraId="380A0B6E" w14:textId="77777777" w:rsidTr="0004564D">
        <w:trPr>
          <w:trHeight w:val="282"/>
        </w:trPr>
        <w:tc>
          <w:tcPr>
            <w:tcW w:w="1560" w:type="dxa"/>
            <w:tcBorders>
              <w:left w:val="single" w:sz="2" w:space="0" w:color="auto"/>
              <w:right w:val="single" w:sz="2" w:space="0" w:color="auto"/>
            </w:tcBorders>
          </w:tcPr>
          <w:p w14:paraId="5BED2F5A" w14:textId="77777777" w:rsidR="00D011AB" w:rsidRPr="00E03D2C" w:rsidRDefault="00D011AB">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53E748D" w14:textId="461731FA" w:rsidR="008940CF" w:rsidRPr="00E03D2C" w:rsidRDefault="00D011AB" w:rsidP="008A113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expression ‘Concentration of Credit Risk’ used in the Financial Instruments note above refers to credit risk being focused in one area.</w:t>
            </w:r>
            <w:r w:rsidR="00FA7C77">
              <w:rPr>
                <w:rFonts w:cs="Calibri"/>
                <w:color w:val="FFFFFF" w:themeColor="background1"/>
                <w:sz w:val="18"/>
                <w:szCs w:val="18"/>
              </w:rPr>
              <w:t xml:space="preserve"> </w:t>
            </w:r>
            <w:r w:rsidRPr="00E03D2C">
              <w:rPr>
                <w:rFonts w:cs="Calibri"/>
                <w:color w:val="FFFFFF" w:themeColor="background1"/>
                <w:sz w:val="18"/>
                <w:szCs w:val="18"/>
              </w:rPr>
              <w:t>For example, a high concentration of credit risk would occur when all receivables held by an agency are with one debtor. On the other hand, a low concentration of credit risk would occur when all receivables held by an agency are with a large number of unrelated debtors.</w:t>
            </w:r>
          </w:p>
        </w:tc>
      </w:tr>
      <w:tr w:rsidR="006B57F7" w:rsidRPr="00CF7E1B" w14:paraId="7166CEA1" w14:textId="77777777" w:rsidTr="0004564D">
        <w:trPr>
          <w:trHeight w:val="282"/>
        </w:trPr>
        <w:tc>
          <w:tcPr>
            <w:tcW w:w="1560" w:type="dxa"/>
            <w:tcBorders>
              <w:left w:val="single" w:sz="2" w:space="0" w:color="auto"/>
              <w:right w:val="single" w:sz="2" w:space="0" w:color="auto"/>
            </w:tcBorders>
          </w:tcPr>
          <w:p w14:paraId="423293C1" w14:textId="77777777" w:rsidR="00327A39" w:rsidRPr="00E03D2C" w:rsidRDefault="006B57F7">
            <w:pPr>
              <w:pStyle w:val="TableReference"/>
              <w:tabs>
                <w:tab w:val="left" w:pos="3306"/>
              </w:tabs>
              <w:spacing w:before="60"/>
              <w:rPr>
                <w:rFonts w:cs="Calibri"/>
                <w:color w:val="7030A0"/>
                <w:sz w:val="14"/>
              </w:rPr>
            </w:pPr>
            <w:r w:rsidRPr="00E03D2C">
              <w:rPr>
                <w:rFonts w:cs="Calibri"/>
                <w:color w:val="7030A0"/>
                <w:sz w:val="14"/>
              </w:rPr>
              <w:t>AASB 7.7</w:t>
            </w:r>
          </w:p>
          <w:p w14:paraId="74655C5D" w14:textId="3B206D1D" w:rsidR="006B57F7" w:rsidRPr="00E03D2C" w:rsidRDefault="00327A39">
            <w:pPr>
              <w:pStyle w:val="TableReference"/>
              <w:tabs>
                <w:tab w:val="left" w:pos="3306"/>
              </w:tabs>
              <w:spacing w:before="60"/>
              <w:rPr>
                <w:rFonts w:cs="Calibri"/>
                <w:color w:val="7030A0"/>
                <w:sz w:val="14"/>
              </w:rPr>
            </w:pPr>
            <w:r w:rsidRPr="00E03D2C">
              <w:rPr>
                <w:rFonts w:cs="Calibri"/>
                <w:color w:val="7030A0"/>
                <w:sz w:val="14"/>
              </w:rPr>
              <w:t>AASB 7.</w:t>
            </w:r>
            <w:r w:rsidR="006B57F7" w:rsidRPr="00E03D2C">
              <w:rPr>
                <w:rFonts w:cs="Calibri"/>
                <w:color w:val="7030A0"/>
                <w:sz w:val="14"/>
              </w:rPr>
              <w:t>31</w:t>
            </w:r>
          </w:p>
          <w:p w14:paraId="19F8D4FA" w14:textId="77777777" w:rsidR="00EF015C" w:rsidRPr="00E03D2C" w:rsidRDefault="00EF015C"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A0F308A" w14:textId="77777777" w:rsidR="006B57F7" w:rsidRPr="00E03D2C" w:rsidRDefault="006B57F7" w:rsidP="006B57F7">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AASB 7 sets out detailed requirements regarding the agency’s obligations to report the identification and management of financial risks. The standard requires the following:</w:t>
            </w:r>
          </w:p>
          <w:p w14:paraId="33C62767" w14:textId="77777777" w:rsidR="006B57F7" w:rsidRPr="00E03D2C" w:rsidRDefault="006B57F7"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Qualitative </w:t>
            </w:r>
            <w:r w:rsidR="00655DBA" w:rsidRPr="00E03D2C">
              <w:rPr>
                <w:rFonts w:cs="Calibri"/>
                <w:color w:val="FFFFFF" w:themeColor="background1"/>
                <w:sz w:val="18"/>
                <w:szCs w:val="18"/>
              </w:rPr>
              <w:t xml:space="preserve">and quantitative </w:t>
            </w:r>
            <w:r w:rsidR="006D73C5" w:rsidRPr="00E03D2C">
              <w:rPr>
                <w:rFonts w:cs="Calibri"/>
                <w:color w:val="FFFFFF" w:themeColor="background1"/>
                <w:sz w:val="18"/>
                <w:szCs w:val="18"/>
              </w:rPr>
              <w:t>disclosures</w:t>
            </w:r>
            <w:r w:rsidR="004E6C00" w:rsidRPr="00E03D2C">
              <w:rPr>
                <w:rFonts w:cs="Calibri"/>
                <w:color w:val="FFFFFF" w:themeColor="background1"/>
                <w:sz w:val="18"/>
                <w:szCs w:val="18"/>
              </w:rPr>
              <w:t xml:space="preserve"> </w:t>
            </w:r>
            <w:r w:rsidR="00655DBA" w:rsidRPr="00E03D2C">
              <w:rPr>
                <w:rFonts w:cs="Calibri"/>
                <w:color w:val="FFFFFF" w:themeColor="background1"/>
                <w:sz w:val="18"/>
                <w:szCs w:val="18"/>
              </w:rPr>
              <w:t xml:space="preserve">for each type of risk (e.g. credit </w:t>
            </w:r>
            <w:r w:rsidR="006D73C5" w:rsidRPr="00E03D2C">
              <w:rPr>
                <w:rFonts w:cs="Calibri"/>
                <w:color w:val="FFFFFF" w:themeColor="background1"/>
                <w:sz w:val="18"/>
                <w:szCs w:val="18"/>
              </w:rPr>
              <w:t>risk</w:t>
            </w:r>
            <w:r w:rsidR="00655DBA" w:rsidRPr="00E03D2C">
              <w:rPr>
                <w:rFonts w:cs="Calibri"/>
                <w:color w:val="FFFFFF" w:themeColor="background1"/>
                <w:sz w:val="18"/>
                <w:szCs w:val="18"/>
              </w:rPr>
              <w:t>, liquidity risk, and market risk) that the agency is exposed to;</w:t>
            </w:r>
          </w:p>
          <w:p w14:paraId="53E26B44" w14:textId="77777777" w:rsidR="00655DBA" w:rsidRPr="00E03D2C" w:rsidRDefault="00655DB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Qualitative disclosures on:</w:t>
            </w:r>
          </w:p>
          <w:p w14:paraId="3039E92B"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the exposures to risk and how they arise;</w:t>
            </w:r>
          </w:p>
          <w:p w14:paraId="38B2EBD1"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the objectives, policies and processes for </w:t>
            </w:r>
            <w:r w:rsidR="006D73C5" w:rsidRPr="00E03D2C">
              <w:rPr>
                <w:rFonts w:cs="Calibri"/>
                <w:color w:val="FFFFFF" w:themeColor="background1"/>
                <w:sz w:val="18"/>
                <w:szCs w:val="18"/>
              </w:rPr>
              <w:t>managing</w:t>
            </w:r>
            <w:r w:rsidRPr="00E03D2C">
              <w:rPr>
                <w:rFonts w:cs="Calibri"/>
                <w:color w:val="FFFFFF" w:themeColor="background1"/>
                <w:sz w:val="18"/>
                <w:szCs w:val="18"/>
              </w:rPr>
              <w:t xml:space="preserve"> the risk and the methods used to measure the risk; and</w:t>
            </w:r>
          </w:p>
          <w:p w14:paraId="430D788F"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any changes in theses from the previous period. </w:t>
            </w:r>
          </w:p>
          <w:p w14:paraId="1B3F95E9" w14:textId="60172A8C" w:rsidR="006B57F7" w:rsidRPr="00E03D2C" w:rsidRDefault="00655DB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Quantitative disclosures </w:t>
            </w:r>
            <w:r w:rsidR="00D728FD" w:rsidRPr="00E03D2C">
              <w:rPr>
                <w:rFonts w:cs="Calibri"/>
                <w:color w:val="FFFFFF" w:themeColor="background1"/>
                <w:sz w:val="18"/>
                <w:szCs w:val="18"/>
              </w:rPr>
              <w:t xml:space="preserve">- </w:t>
            </w:r>
            <w:r w:rsidRPr="00E03D2C">
              <w:rPr>
                <w:rFonts w:cs="Calibri"/>
                <w:color w:val="FFFFFF" w:themeColor="background1"/>
                <w:sz w:val="18"/>
                <w:szCs w:val="18"/>
              </w:rPr>
              <w:t xml:space="preserve">summary </w:t>
            </w:r>
            <w:r w:rsidR="00D728FD" w:rsidRPr="00E03D2C">
              <w:rPr>
                <w:rFonts w:cs="Calibri"/>
                <w:color w:val="FFFFFF" w:themeColor="background1"/>
                <w:sz w:val="18"/>
                <w:szCs w:val="18"/>
              </w:rPr>
              <w:t xml:space="preserve">of </w:t>
            </w:r>
            <w:r w:rsidR="003E11FE" w:rsidRPr="00E03D2C">
              <w:rPr>
                <w:rFonts w:cs="Calibri"/>
                <w:color w:val="FFFFFF" w:themeColor="background1"/>
                <w:sz w:val="18"/>
                <w:szCs w:val="18"/>
              </w:rPr>
              <w:t>quantitative</w:t>
            </w:r>
            <w:r w:rsidRPr="00E03D2C">
              <w:rPr>
                <w:rFonts w:cs="Calibri"/>
                <w:color w:val="FFFFFF" w:themeColor="background1"/>
                <w:sz w:val="18"/>
                <w:szCs w:val="18"/>
              </w:rPr>
              <w:t xml:space="preserve"> dat</w:t>
            </w:r>
            <w:r w:rsidR="004E6C00" w:rsidRPr="00E03D2C">
              <w:rPr>
                <w:rFonts w:cs="Calibri"/>
                <w:color w:val="FFFFFF" w:themeColor="background1"/>
                <w:sz w:val="18"/>
                <w:szCs w:val="18"/>
              </w:rPr>
              <w:t>a</w:t>
            </w:r>
            <w:r w:rsidRPr="00E03D2C">
              <w:rPr>
                <w:rFonts w:cs="Calibri"/>
                <w:color w:val="FFFFFF" w:themeColor="background1"/>
                <w:sz w:val="18"/>
                <w:szCs w:val="18"/>
              </w:rPr>
              <w:t xml:space="preserve"> about the agency’s exposure to a particular risk at the end of the reporting period, including concentrations of risk.</w:t>
            </w:r>
          </w:p>
        </w:tc>
      </w:tr>
    </w:tbl>
    <w:p w14:paraId="20C824AF" w14:textId="77777777" w:rsidR="00A41A54" w:rsidRDefault="00A41A54">
      <w:r>
        <w:br w:type="page"/>
      </w:r>
    </w:p>
    <w:tbl>
      <w:tblPr>
        <w:tblW w:w="19962" w:type="dxa"/>
        <w:tblInd w:w="-7" w:type="dxa"/>
        <w:shd w:val="clear" w:color="auto" w:fill="CCFFCC"/>
        <w:tblLayout w:type="fixed"/>
        <w:tblLook w:val="00A0" w:firstRow="1" w:lastRow="0" w:firstColumn="1" w:lastColumn="0" w:noHBand="0" w:noVBand="0"/>
      </w:tblPr>
      <w:tblGrid>
        <w:gridCol w:w="1562"/>
        <w:gridCol w:w="3020"/>
        <w:gridCol w:w="240"/>
        <w:gridCol w:w="1843"/>
        <w:gridCol w:w="633"/>
        <w:gridCol w:w="75"/>
        <w:gridCol w:w="210"/>
        <w:gridCol w:w="76"/>
        <w:gridCol w:w="29"/>
        <w:gridCol w:w="113"/>
        <w:gridCol w:w="848"/>
        <w:gridCol w:w="143"/>
        <w:gridCol w:w="141"/>
        <w:gridCol w:w="75"/>
        <w:gridCol w:w="210"/>
        <w:gridCol w:w="1129"/>
        <w:gridCol w:w="147"/>
        <w:gridCol w:w="140"/>
        <w:gridCol w:w="9328"/>
      </w:tblGrid>
      <w:tr w:rsidR="00470415" w:rsidRPr="00CF7E1B" w14:paraId="63444E22" w14:textId="77777777" w:rsidTr="005F6493">
        <w:trPr>
          <w:gridAfter w:val="2"/>
          <w:wAfter w:w="9468" w:type="dxa"/>
          <w:trHeight w:val="282"/>
        </w:trPr>
        <w:tc>
          <w:tcPr>
            <w:tcW w:w="1562" w:type="dxa"/>
            <w:tcBorders>
              <w:left w:val="single" w:sz="2" w:space="0" w:color="auto"/>
              <w:right w:val="single" w:sz="2" w:space="0" w:color="auto"/>
            </w:tcBorders>
          </w:tcPr>
          <w:p w14:paraId="3F2E254F" w14:textId="5CE037C3" w:rsidR="00470415" w:rsidRPr="00470415" w:rsidRDefault="00470415" w:rsidP="00C24DC3">
            <w:pPr>
              <w:pStyle w:val="TableReference"/>
              <w:tabs>
                <w:tab w:val="left" w:pos="3306"/>
              </w:tabs>
              <w:spacing w:before="240" w:after="240"/>
              <w:rPr>
                <w:rFonts w:cs="Calibri"/>
                <w:b/>
                <w:bCs/>
                <w:color w:val="auto"/>
                <w:sz w:val="22"/>
                <w:szCs w:val="22"/>
              </w:rPr>
            </w:pPr>
            <w:r w:rsidRPr="00810B4A">
              <w:rPr>
                <w:rFonts w:cs="Calibri"/>
                <w:color w:val="auto"/>
                <w:sz w:val="14"/>
              </w:rPr>
              <w:br w:type="page"/>
            </w:r>
            <w:r w:rsidRPr="00470415">
              <w:rPr>
                <w:rFonts w:cs="Calibri"/>
                <w:b/>
                <w:bCs/>
                <w:color w:val="7030A0"/>
                <w:sz w:val="22"/>
                <w:szCs w:val="22"/>
              </w:rPr>
              <w:t>Reference</w:t>
            </w:r>
          </w:p>
        </w:tc>
        <w:tc>
          <w:tcPr>
            <w:tcW w:w="8932" w:type="dxa"/>
            <w:gridSpan w:val="16"/>
            <w:tcBorders>
              <w:left w:val="single" w:sz="2" w:space="0" w:color="auto"/>
            </w:tcBorders>
            <w:shd w:val="clear" w:color="auto" w:fill="7030A0"/>
          </w:tcPr>
          <w:p w14:paraId="685A177F" w14:textId="65C4523E" w:rsidR="00470415" w:rsidRPr="00E03D2C" w:rsidRDefault="00470415" w:rsidP="00C24DC3">
            <w:pPr>
              <w:pStyle w:val="CommentaryText"/>
              <w:tabs>
                <w:tab w:val="left" w:pos="3306"/>
              </w:tabs>
              <w:spacing w:before="240" w:after="240"/>
              <w:rPr>
                <w:rFonts w:cs="Calibri"/>
                <w:color w:val="FFFFFF" w:themeColor="background1"/>
                <w:sz w:val="18"/>
                <w:szCs w:val="18"/>
              </w:rPr>
            </w:pPr>
            <w:r w:rsidRPr="00E03D2C">
              <w:rPr>
                <w:rFonts w:cs="Calibri"/>
                <w:b/>
                <w:color w:val="FFFFFF" w:themeColor="background1"/>
                <w:sz w:val="28"/>
                <w:szCs w:val="28"/>
              </w:rPr>
              <w:t>Commentary – Note 31: Financial Instruments – Continued</w:t>
            </w:r>
          </w:p>
        </w:tc>
      </w:tr>
      <w:tr w:rsidR="00470415" w:rsidRPr="00CF7E1B" w14:paraId="0CDB7225" w14:textId="77777777" w:rsidTr="005F6493">
        <w:trPr>
          <w:gridAfter w:val="2"/>
          <w:wAfter w:w="9468" w:type="dxa"/>
          <w:trHeight w:val="282"/>
        </w:trPr>
        <w:tc>
          <w:tcPr>
            <w:tcW w:w="1562" w:type="dxa"/>
            <w:tcBorders>
              <w:left w:val="single" w:sz="2" w:space="0" w:color="auto"/>
              <w:right w:val="single" w:sz="2" w:space="0" w:color="auto"/>
            </w:tcBorders>
          </w:tcPr>
          <w:p w14:paraId="16AF039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16"/>
            <w:tcBorders>
              <w:left w:val="single" w:sz="2" w:space="0" w:color="auto"/>
            </w:tcBorders>
            <w:shd w:val="clear" w:color="auto" w:fill="7030A0"/>
          </w:tcPr>
          <w:p w14:paraId="40E79E69" w14:textId="77777777" w:rsidR="00470415" w:rsidRPr="00E03D2C" w:rsidRDefault="00470415" w:rsidP="00470415">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Agencies should include disclosures that enable financial statement users to:</w:t>
            </w:r>
          </w:p>
          <w:p w14:paraId="10B4F4F2" w14:textId="01209004" w:rsidR="00470415" w:rsidRPr="00E03D2C" w:rsidRDefault="004704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understand the relationship between transferred financial assets not derecognised in their entirety and associated liabilities; and</w:t>
            </w:r>
          </w:p>
          <w:p w14:paraId="5329FCFE" w14:textId="09259061" w:rsidR="00470415" w:rsidRPr="00E03D2C" w:rsidRDefault="004704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evaluate the nature and risks associated with derecognised financial assets.</w:t>
            </w:r>
          </w:p>
        </w:tc>
      </w:tr>
      <w:tr w:rsidR="00470415" w:rsidRPr="00CF7E1B" w14:paraId="35130640" w14:textId="77777777" w:rsidTr="005F6493">
        <w:trPr>
          <w:gridAfter w:val="2"/>
          <w:wAfter w:w="9468" w:type="dxa"/>
          <w:trHeight w:val="282"/>
        </w:trPr>
        <w:tc>
          <w:tcPr>
            <w:tcW w:w="1562" w:type="dxa"/>
            <w:tcBorders>
              <w:left w:val="single" w:sz="2" w:space="0" w:color="auto"/>
              <w:right w:val="single" w:sz="2" w:space="0" w:color="auto"/>
            </w:tcBorders>
          </w:tcPr>
          <w:p w14:paraId="3F1E539C"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16"/>
            <w:tcBorders>
              <w:left w:val="single" w:sz="2" w:space="0" w:color="auto"/>
            </w:tcBorders>
            <w:shd w:val="clear" w:color="auto" w:fill="7030A0"/>
          </w:tcPr>
          <w:p w14:paraId="097A54C7" w14:textId="4E636FB8" w:rsidR="00470415" w:rsidRPr="00C87FF4" w:rsidRDefault="00470415" w:rsidP="00C87FF4">
            <w:pPr>
              <w:pStyle w:val="CommentaryText"/>
              <w:tabs>
                <w:tab w:val="left" w:pos="3306"/>
              </w:tabs>
              <w:spacing w:before="120" w:after="40"/>
              <w:rPr>
                <w:rFonts w:cs="Calibri"/>
                <w:color w:val="FFFFFF" w:themeColor="background1"/>
                <w:szCs w:val="20"/>
              </w:rPr>
            </w:pPr>
            <w:r w:rsidRPr="00C87FF4">
              <w:rPr>
                <w:rFonts w:cs="Calibri"/>
                <w:b/>
                <w:color w:val="FFFFFF" w:themeColor="background1"/>
                <w:szCs w:val="20"/>
              </w:rPr>
              <w:t>Fair Value Disclosures</w:t>
            </w:r>
          </w:p>
        </w:tc>
      </w:tr>
      <w:tr w:rsidR="00470415" w:rsidRPr="00164947" w14:paraId="31D05F48" w14:textId="77777777" w:rsidTr="005F6493">
        <w:trPr>
          <w:gridAfter w:val="2"/>
          <w:wAfter w:w="9468" w:type="dxa"/>
          <w:trHeight w:val="282"/>
        </w:trPr>
        <w:tc>
          <w:tcPr>
            <w:tcW w:w="1562" w:type="dxa"/>
            <w:tcBorders>
              <w:left w:val="single" w:sz="2" w:space="0" w:color="auto"/>
              <w:right w:val="single" w:sz="2" w:space="0" w:color="auto"/>
            </w:tcBorders>
          </w:tcPr>
          <w:p w14:paraId="1011DF2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16"/>
            <w:tcBorders>
              <w:left w:val="single" w:sz="2" w:space="0" w:color="auto"/>
            </w:tcBorders>
            <w:shd w:val="clear" w:color="auto" w:fill="7030A0"/>
          </w:tcPr>
          <w:p w14:paraId="77C3E90C" w14:textId="5E46BDD0" w:rsidR="00470415" w:rsidRPr="00E03D2C" w:rsidRDefault="00470415" w:rsidP="00B330C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does not have any financial assets or liabilities at fair value, it is not required to include a fair value hierarchy disclosure. A detailed discussion of the concepts, methodologies and disclosures relating to AASB 13 </w:t>
            </w:r>
            <w:r w:rsidRPr="00E03D2C">
              <w:rPr>
                <w:rFonts w:cs="Calibri"/>
                <w:i/>
                <w:color w:val="FFFFFF" w:themeColor="background1"/>
                <w:sz w:val="18"/>
                <w:szCs w:val="18"/>
              </w:rPr>
              <w:t>Fair Value Measurement</w:t>
            </w:r>
            <w:r w:rsidRPr="00E03D2C">
              <w:rPr>
                <w:rFonts w:cs="Calibri"/>
                <w:color w:val="FFFFFF" w:themeColor="background1"/>
                <w:sz w:val="18"/>
                <w:szCs w:val="18"/>
              </w:rPr>
              <w:t xml:space="preserve"> is found in the Commentary to Note 19 </w:t>
            </w:r>
            <w:r w:rsidRPr="00E03D2C">
              <w:rPr>
                <w:rFonts w:cs="Calibri"/>
                <w:i/>
                <w:color w:val="FFFFFF" w:themeColor="background1"/>
                <w:sz w:val="18"/>
                <w:szCs w:val="18"/>
              </w:rPr>
              <w:t>Property, Plant and Equipment</w:t>
            </w:r>
            <w:r w:rsidRPr="00E03D2C">
              <w:rPr>
                <w:rFonts w:cs="Calibri"/>
                <w:color w:val="FFFFFF" w:themeColor="background1"/>
                <w:sz w:val="18"/>
                <w:szCs w:val="18"/>
              </w:rPr>
              <w:t>.</w:t>
            </w:r>
          </w:p>
        </w:tc>
      </w:tr>
      <w:tr w:rsidR="00205583" w:rsidRPr="00CF7E1B" w14:paraId="50CE6B5F" w14:textId="77777777" w:rsidTr="005F6493">
        <w:tblPrEx>
          <w:shd w:val="clear" w:color="auto" w:fill="auto"/>
        </w:tblPrEx>
        <w:trPr>
          <w:gridAfter w:val="2"/>
          <w:wAfter w:w="9468" w:type="dxa"/>
          <w:trHeight w:val="20"/>
        </w:trPr>
        <w:tc>
          <w:tcPr>
            <w:tcW w:w="1562" w:type="dxa"/>
            <w:tcBorders>
              <w:left w:val="single" w:sz="2" w:space="0" w:color="auto"/>
              <w:right w:val="single" w:sz="2" w:space="0" w:color="auto"/>
            </w:tcBorders>
          </w:tcPr>
          <w:p w14:paraId="488DB204" w14:textId="77777777" w:rsidR="00205583" w:rsidRPr="00E03D2C" w:rsidRDefault="00205583" w:rsidP="00205583">
            <w:pPr>
              <w:pStyle w:val="TableReference"/>
              <w:tabs>
                <w:tab w:val="left" w:pos="3306"/>
              </w:tabs>
              <w:rPr>
                <w:rFonts w:cs="Calibri"/>
                <w:b/>
                <w:color w:val="7030A0"/>
                <w:sz w:val="22"/>
                <w:szCs w:val="22"/>
              </w:rPr>
            </w:pPr>
          </w:p>
        </w:tc>
        <w:tc>
          <w:tcPr>
            <w:tcW w:w="8932" w:type="dxa"/>
            <w:gridSpan w:val="16"/>
            <w:tcBorders>
              <w:left w:val="single" w:sz="2" w:space="0" w:color="auto"/>
            </w:tcBorders>
            <w:vAlign w:val="bottom"/>
          </w:tcPr>
          <w:p w14:paraId="7EF3248F" w14:textId="77777777" w:rsidR="00205583" w:rsidRPr="00205583" w:rsidRDefault="00205583" w:rsidP="00205583">
            <w:pPr>
              <w:pStyle w:val="Heading1"/>
              <w:numPr>
                <w:ilvl w:val="0"/>
                <w:numId w:val="0"/>
              </w:numPr>
              <w:spacing w:before="0" w:after="0"/>
              <w:rPr>
                <w:rFonts w:asciiTheme="minorHAnsi" w:hAnsiTheme="minorHAnsi" w:cstheme="minorHAnsi"/>
                <w:sz w:val="18"/>
                <w:szCs w:val="18"/>
              </w:rPr>
            </w:pPr>
          </w:p>
        </w:tc>
      </w:tr>
      <w:tr w:rsidR="000144FF" w:rsidRPr="00CF7E1B" w14:paraId="5530FF6D" w14:textId="77777777" w:rsidTr="005F6493">
        <w:tblPrEx>
          <w:shd w:val="clear" w:color="auto" w:fill="auto"/>
        </w:tblPrEx>
        <w:trPr>
          <w:gridAfter w:val="2"/>
          <w:wAfter w:w="9468" w:type="dxa"/>
          <w:trHeight w:val="20"/>
        </w:trPr>
        <w:tc>
          <w:tcPr>
            <w:tcW w:w="1562" w:type="dxa"/>
            <w:tcBorders>
              <w:left w:val="single" w:sz="2" w:space="0" w:color="auto"/>
              <w:right w:val="single" w:sz="2" w:space="0" w:color="auto"/>
            </w:tcBorders>
          </w:tcPr>
          <w:p w14:paraId="45AAF97C" w14:textId="5AEC4AFB" w:rsidR="000144FF" w:rsidRPr="00E03D2C" w:rsidRDefault="000144FF" w:rsidP="00F700E5">
            <w:pPr>
              <w:pStyle w:val="TableReference"/>
              <w:tabs>
                <w:tab w:val="left" w:pos="3306"/>
              </w:tabs>
              <w:spacing w:before="240" w:after="240"/>
              <w:rPr>
                <w:rFonts w:cs="Calibri"/>
                <w:b/>
                <w:color w:val="7030A0"/>
                <w:sz w:val="22"/>
                <w:szCs w:val="22"/>
              </w:rPr>
            </w:pPr>
            <w:bookmarkStart w:id="786" w:name="Commitments" w:colFirst="1" w:colLast="1"/>
          </w:p>
        </w:tc>
        <w:tc>
          <w:tcPr>
            <w:tcW w:w="8932" w:type="dxa"/>
            <w:gridSpan w:val="16"/>
            <w:tcBorders>
              <w:left w:val="single" w:sz="2" w:space="0" w:color="auto"/>
            </w:tcBorders>
            <w:vAlign w:val="bottom"/>
          </w:tcPr>
          <w:p w14:paraId="4B31EBD4" w14:textId="2914A090" w:rsidR="000144FF" w:rsidRPr="00E03D2C" w:rsidRDefault="00F700E5" w:rsidP="00643401">
            <w:pPr>
              <w:pStyle w:val="Heading1"/>
              <w:numPr>
                <w:ilvl w:val="0"/>
                <w:numId w:val="0"/>
              </w:numPr>
              <w:rPr>
                <w:b w:val="0"/>
              </w:rPr>
            </w:pPr>
            <w:bookmarkStart w:id="787" w:name="_Toc48468701"/>
            <w:bookmarkStart w:id="788" w:name="_Toc49155796"/>
            <w:bookmarkStart w:id="789" w:name="_Toc49224211"/>
            <w:bookmarkStart w:id="790" w:name="_Ref50365684"/>
            <w:bookmarkStart w:id="791" w:name="_Toc50440390"/>
            <w:bookmarkStart w:id="792" w:name="_Ref50524232"/>
            <w:bookmarkStart w:id="793" w:name="_Toc400627358"/>
            <w:bookmarkStart w:id="794" w:name="_Toc132743823"/>
            <w:r w:rsidRPr="00E03D2C">
              <w:t>Note</w:t>
            </w:r>
            <w:r w:rsidR="00DF144A" w:rsidRPr="00E03D2C">
              <w:t xml:space="preserve"> </w:t>
            </w:r>
            <w:r w:rsidR="0007497D" w:rsidRPr="00E03D2C">
              <w:t>32</w:t>
            </w:r>
            <w:r w:rsidR="00DF144A" w:rsidRPr="00E03D2C">
              <w:t>.</w:t>
            </w:r>
            <w:r w:rsidR="00065B2B" w:rsidRPr="00E03D2C">
              <w:t xml:space="preserve"> </w:t>
            </w:r>
            <w:r w:rsidR="00E464CB" w:rsidRPr="00E03D2C">
              <w:t>Cap</w:t>
            </w:r>
            <w:r w:rsidR="00A31142" w:rsidRPr="00E03D2C">
              <w:t>it</w:t>
            </w:r>
            <w:r w:rsidR="00E464CB" w:rsidRPr="00E03D2C">
              <w:t xml:space="preserve">al and Other Expenditure </w:t>
            </w:r>
            <w:r w:rsidR="000144FF" w:rsidRPr="00E03D2C">
              <w:t>Commitments</w:t>
            </w:r>
            <w:bookmarkEnd w:id="787"/>
            <w:bookmarkEnd w:id="788"/>
            <w:bookmarkEnd w:id="789"/>
            <w:bookmarkEnd w:id="790"/>
            <w:bookmarkEnd w:id="791"/>
            <w:bookmarkEnd w:id="792"/>
            <w:bookmarkEnd w:id="793"/>
            <w:bookmarkEnd w:id="794"/>
            <w:r w:rsidR="00FA7C77">
              <w:t xml:space="preserve"> </w:t>
            </w:r>
          </w:p>
        </w:tc>
      </w:tr>
      <w:tr w:rsidR="00916FA5" w:rsidRPr="00CF7E1B" w14:paraId="3D5FE048" w14:textId="77777777" w:rsidTr="005F6493">
        <w:tblPrEx>
          <w:shd w:val="clear" w:color="auto" w:fill="auto"/>
        </w:tblPrEx>
        <w:trPr>
          <w:gridAfter w:val="2"/>
          <w:wAfter w:w="9468" w:type="dxa"/>
          <w:trHeight w:val="20"/>
        </w:trPr>
        <w:tc>
          <w:tcPr>
            <w:tcW w:w="1562" w:type="dxa"/>
            <w:tcBorders>
              <w:left w:val="single" w:sz="2" w:space="0" w:color="auto"/>
              <w:bottom w:val="nil"/>
              <w:right w:val="single" w:sz="2" w:space="0" w:color="auto"/>
            </w:tcBorders>
          </w:tcPr>
          <w:p w14:paraId="34F0BCDC"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16"/>
            <w:tcBorders>
              <w:left w:val="single" w:sz="2" w:space="0" w:color="auto"/>
              <w:bottom w:val="nil"/>
            </w:tcBorders>
            <w:vAlign w:val="bottom"/>
          </w:tcPr>
          <w:p w14:paraId="1D00A8FE" w14:textId="5C6A4503" w:rsidR="00916FA5" w:rsidRPr="0007146C" w:rsidRDefault="00916FA5" w:rsidP="00916FA5">
            <w:pPr>
              <w:pStyle w:val="TableText"/>
              <w:tabs>
                <w:tab w:val="left" w:pos="3306"/>
              </w:tabs>
              <w:rPr>
                <w:rFonts w:cs="Calibri"/>
              </w:rPr>
            </w:pPr>
            <w:r w:rsidRPr="0007146C">
              <w:rPr>
                <w:rFonts w:asciiTheme="minorHAnsi" w:hAnsiTheme="minorHAnsi" w:cstheme="minorHAnsi"/>
                <w:b/>
                <w:bCs/>
                <w:color w:val="FF0000"/>
                <w:lang w:eastAsia="en-AU"/>
              </w:rPr>
              <w:t>Description and Material Accounting Policies Relating to Capital and Other Expenditure Commitments</w:t>
            </w:r>
          </w:p>
        </w:tc>
      </w:tr>
      <w:tr w:rsidR="00916FA5" w:rsidRPr="00CF7E1B" w14:paraId="797B0DEB" w14:textId="77777777" w:rsidTr="005F6493">
        <w:tblPrEx>
          <w:shd w:val="clear" w:color="auto" w:fill="auto"/>
        </w:tblPrEx>
        <w:trPr>
          <w:gridAfter w:val="2"/>
          <w:wAfter w:w="9468" w:type="dxa"/>
          <w:trHeight w:val="20"/>
        </w:trPr>
        <w:tc>
          <w:tcPr>
            <w:tcW w:w="1562" w:type="dxa"/>
            <w:tcBorders>
              <w:left w:val="single" w:sz="2" w:space="0" w:color="auto"/>
              <w:bottom w:val="nil"/>
              <w:right w:val="single" w:sz="2" w:space="0" w:color="auto"/>
            </w:tcBorders>
          </w:tcPr>
          <w:p w14:paraId="0C2A8738"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16"/>
            <w:tcBorders>
              <w:left w:val="single" w:sz="2" w:space="0" w:color="auto"/>
              <w:bottom w:val="nil"/>
            </w:tcBorders>
          </w:tcPr>
          <w:p w14:paraId="434642BC" w14:textId="47F70CE6" w:rsidR="00916FA5" w:rsidRPr="0007146C" w:rsidRDefault="00916FA5" w:rsidP="00916FA5">
            <w:pPr>
              <w:spacing w:after="120"/>
              <w:jc w:val="both"/>
              <w:rPr>
                <w:rFonts w:cs="Calibri"/>
                <w:color w:val="FF0000"/>
                <w:sz w:val="18"/>
                <w:szCs w:val="18"/>
              </w:rPr>
            </w:pPr>
            <w:r w:rsidRPr="0007146C">
              <w:rPr>
                <w:rFonts w:cs="Calibri"/>
                <w:color w:val="FF0000"/>
                <w:sz w:val="18"/>
                <w:szCs w:val="18"/>
              </w:rPr>
              <w:t>Commitments are a firm intention, but not a present obligation, at the end of the reporting period to incur future expenditure. As such, commitments do not constitute a liability. Commitments usually arise from contracts, but can arise from other things like placing an order.</w:t>
            </w:r>
          </w:p>
        </w:tc>
      </w:tr>
      <w:tr w:rsidR="00916FA5" w:rsidRPr="00CF7E1B" w14:paraId="25096D16" w14:textId="77777777" w:rsidTr="005F6493">
        <w:tblPrEx>
          <w:shd w:val="clear" w:color="auto" w:fill="auto"/>
        </w:tblPrEx>
        <w:trPr>
          <w:gridAfter w:val="2"/>
          <w:wAfter w:w="9468" w:type="dxa"/>
          <w:trHeight w:val="20"/>
        </w:trPr>
        <w:tc>
          <w:tcPr>
            <w:tcW w:w="1562" w:type="dxa"/>
            <w:tcBorders>
              <w:left w:val="single" w:sz="2" w:space="0" w:color="auto"/>
              <w:bottom w:val="nil"/>
              <w:right w:val="single" w:sz="2" w:space="0" w:color="auto"/>
            </w:tcBorders>
          </w:tcPr>
          <w:p w14:paraId="7AE8FE84"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16"/>
            <w:tcBorders>
              <w:left w:val="single" w:sz="2" w:space="0" w:color="auto"/>
              <w:bottom w:val="nil"/>
            </w:tcBorders>
          </w:tcPr>
          <w:p w14:paraId="7448B9B6" w14:textId="617A27C2" w:rsidR="00916FA5" w:rsidRPr="0007146C" w:rsidRDefault="00916FA5" w:rsidP="00916FA5">
            <w:pPr>
              <w:pStyle w:val="TableText"/>
              <w:tabs>
                <w:tab w:val="left" w:pos="3306"/>
              </w:tabs>
              <w:spacing w:before="0" w:after="120"/>
              <w:jc w:val="both"/>
              <w:rPr>
                <w:rFonts w:cs="Calibri"/>
                <w:color w:val="FF0000"/>
              </w:rPr>
            </w:pPr>
            <w:r w:rsidRPr="0007146C">
              <w:rPr>
                <w:rFonts w:cs="Calibri"/>
                <w:color w:val="FF0000"/>
              </w:rPr>
              <w:t>Commitments are measured at their nominal value and are inclusive of GST.</w:t>
            </w:r>
          </w:p>
        </w:tc>
      </w:tr>
      <w:bookmarkEnd w:id="786"/>
      <w:tr w:rsidR="000144FF" w:rsidRPr="00CF7E1B" w14:paraId="4C6149C9" w14:textId="77777777" w:rsidTr="005F6493">
        <w:tblPrEx>
          <w:shd w:val="clear" w:color="auto" w:fill="auto"/>
        </w:tblPrEx>
        <w:trPr>
          <w:gridAfter w:val="2"/>
          <w:wAfter w:w="9468" w:type="dxa"/>
          <w:trHeight w:val="20"/>
        </w:trPr>
        <w:tc>
          <w:tcPr>
            <w:tcW w:w="1562" w:type="dxa"/>
            <w:tcBorders>
              <w:left w:val="single" w:sz="2" w:space="0" w:color="auto"/>
              <w:bottom w:val="nil"/>
              <w:right w:val="single" w:sz="2" w:space="0" w:color="auto"/>
            </w:tcBorders>
          </w:tcPr>
          <w:p w14:paraId="53C3E984"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9"/>
            <w:tcBorders>
              <w:left w:val="single" w:sz="2" w:space="0" w:color="auto"/>
              <w:bottom w:val="nil"/>
              <w:right w:val="nil"/>
            </w:tcBorders>
            <w:vAlign w:val="bottom"/>
          </w:tcPr>
          <w:p w14:paraId="1DE23C88" w14:textId="77777777" w:rsidR="000144FF" w:rsidRPr="00E03D2C" w:rsidRDefault="000144FF" w:rsidP="00A84FFC">
            <w:pPr>
              <w:pStyle w:val="TableText"/>
              <w:tabs>
                <w:tab w:val="left" w:pos="3306"/>
              </w:tabs>
              <w:spacing w:before="0" w:after="120"/>
              <w:rPr>
                <w:rFonts w:cs="Calibri"/>
                <w:b/>
                <w:bCs/>
              </w:rPr>
            </w:pPr>
            <w:r w:rsidRPr="00E03D2C">
              <w:rPr>
                <w:rFonts w:cs="Calibri"/>
                <w:b/>
                <w:bCs/>
              </w:rPr>
              <w:t>Capital Commitments</w:t>
            </w:r>
          </w:p>
        </w:tc>
        <w:tc>
          <w:tcPr>
            <w:tcW w:w="1417" w:type="dxa"/>
            <w:gridSpan w:val="5"/>
            <w:tcBorders>
              <w:left w:val="nil"/>
              <w:bottom w:val="nil"/>
              <w:right w:val="nil"/>
            </w:tcBorders>
            <w:vAlign w:val="bottom"/>
          </w:tcPr>
          <w:p w14:paraId="0B38DD24" w14:textId="77777777" w:rsidR="000144FF" w:rsidRPr="00E03D2C" w:rsidRDefault="000144FF">
            <w:pPr>
              <w:pStyle w:val="TableText"/>
              <w:tabs>
                <w:tab w:val="left" w:pos="3306"/>
              </w:tabs>
              <w:jc w:val="right"/>
              <w:rPr>
                <w:rFonts w:cs="Calibri"/>
              </w:rPr>
            </w:pPr>
          </w:p>
        </w:tc>
        <w:tc>
          <w:tcPr>
            <w:tcW w:w="1276" w:type="dxa"/>
            <w:gridSpan w:val="2"/>
            <w:tcBorders>
              <w:left w:val="nil"/>
              <w:bottom w:val="nil"/>
            </w:tcBorders>
            <w:vAlign w:val="bottom"/>
          </w:tcPr>
          <w:p w14:paraId="1F88563E" w14:textId="77777777" w:rsidR="000144FF" w:rsidRPr="00E03D2C" w:rsidRDefault="000144FF">
            <w:pPr>
              <w:pStyle w:val="TableText"/>
              <w:tabs>
                <w:tab w:val="left" w:pos="3306"/>
              </w:tabs>
              <w:jc w:val="right"/>
              <w:rPr>
                <w:rFonts w:cs="Calibri"/>
              </w:rPr>
            </w:pPr>
          </w:p>
        </w:tc>
      </w:tr>
      <w:tr w:rsidR="000144FF" w:rsidRPr="00CF7E1B" w14:paraId="1DCD0CE9"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4B5885E0" w14:textId="77777777" w:rsidR="000144FF" w:rsidRPr="00E03D2C" w:rsidRDefault="000144FF">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tcBorders>
            <w:vAlign w:val="bottom"/>
          </w:tcPr>
          <w:p w14:paraId="1E14C4C2" w14:textId="77777777" w:rsidR="000144FF" w:rsidRPr="00E03D2C" w:rsidRDefault="000144FF" w:rsidP="00A84FFC">
            <w:pPr>
              <w:pStyle w:val="TableText"/>
              <w:tabs>
                <w:tab w:val="left" w:pos="3306"/>
              </w:tabs>
              <w:spacing w:before="0" w:after="120"/>
              <w:rPr>
                <w:rFonts w:cs="Calibri"/>
              </w:rPr>
            </w:pPr>
            <w:r w:rsidRPr="00E03D2C">
              <w:rPr>
                <w:rFonts w:cs="Calibri"/>
              </w:rPr>
              <w:t>Capital commitments contracted at reporting date that have not been recognised as liabilities are as follows:</w:t>
            </w:r>
          </w:p>
        </w:tc>
      </w:tr>
      <w:tr w:rsidR="000144FF" w:rsidRPr="00CF7E1B" w14:paraId="247CF1BB"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5E751697" w14:textId="77777777" w:rsidR="00A84FFC" w:rsidRPr="00E03D2C" w:rsidRDefault="00A84FFC">
            <w:pPr>
              <w:pStyle w:val="TableReference"/>
              <w:tabs>
                <w:tab w:val="left" w:pos="3306"/>
              </w:tabs>
              <w:spacing w:before="40"/>
              <w:rPr>
                <w:rFonts w:cs="Calibri"/>
                <w:color w:val="7030A0"/>
                <w:sz w:val="14"/>
              </w:rPr>
            </w:pPr>
          </w:p>
          <w:p w14:paraId="4CF097CA"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116</w:t>
            </w:r>
            <w:r w:rsidR="00D65811" w:rsidRPr="00E03D2C">
              <w:rPr>
                <w:rFonts w:cs="Calibri"/>
                <w:color w:val="7030A0"/>
                <w:sz w:val="14"/>
              </w:rPr>
              <w:t>.</w:t>
            </w:r>
            <w:r w:rsidRPr="00E03D2C">
              <w:rPr>
                <w:rFonts w:cs="Calibri"/>
                <w:color w:val="7030A0"/>
                <w:sz w:val="14"/>
              </w:rPr>
              <w:t>74</w:t>
            </w:r>
            <w:r w:rsidR="00D001B7" w:rsidRPr="00E03D2C">
              <w:rPr>
                <w:rFonts w:cs="Calibri"/>
                <w:color w:val="7030A0"/>
                <w:sz w:val="14"/>
              </w:rPr>
              <w:t>(</w:t>
            </w:r>
            <w:r w:rsidRPr="00E03D2C">
              <w:rPr>
                <w:rFonts w:cs="Calibri"/>
                <w:color w:val="7030A0"/>
                <w:sz w:val="14"/>
              </w:rPr>
              <w:t>c)</w:t>
            </w:r>
          </w:p>
        </w:tc>
        <w:tc>
          <w:tcPr>
            <w:tcW w:w="6239" w:type="dxa"/>
            <w:gridSpan w:val="9"/>
            <w:tcBorders>
              <w:top w:val="nil"/>
              <w:left w:val="single" w:sz="2" w:space="0" w:color="auto"/>
              <w:bottom w:val="nil"/>
              <w:right w:val="nil"/>
            </w:tcBorders>
            <w:vAlign w:val="bottom"/>
          </w:tcPr>
          <w:p w14:paraId="44FC00AA" w14:textId="6FBFE2A0"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Property, Plant and Equipment</w:t>
            </w:r>
          </w:p>
        </w:tc>
        <w:tc>
          <w:tcPr>
            <w:tcW w:w="1417" w:type="dxa"/>
            <w:gridSpan w:val="5"/>
            <w:tcBorders>
              <w:top w:val="nil"/>
              <w:left w:val="nil"/>
              <w:bottom w:val="nil"/>
              <w:right w:val="nil"/>
            </w:tcBorders>
            <w:vAlign w:val="bottom"/>
          </w:tcPr>
          <w:p w14:paraId="12B26343" w14:textId="25F44C92" w:rsidR="000144FF" w:rsidRPr="00E03D2C" w:rsidRDefault="007624E9">
            <w:pPr>
              <w:pStyle w:val="TableTitle"/>
              <w:tabs>
                <w:tab w:val="left" w:pos="3306"/>
              </w:tabs>
              <w:rPr>
                <w:rFonts w:cs="Calibri"/>
              </w:rPr>
            </w:pPr>
            <w:bookmarkStart w:id="795" w:name="_Toc48468702"/>
            <w:bookmarkStart w:id="796" w:name="_Toc49224212"/>
            <w:r w:rsidRPr="00E03D2C">
              <w:rPr>
                <w:rFonts w:cs="Calibri"/>
              </w:rPr>
              <w:t>202</w:t>
            </w:r>
            <w:r w:rsidR="00CC4706">
              <w:rPr>
                <w:rFonts w:cs="Calibri"/>
              </w:rPr>
              <w:t>3</w:t>
            </w:r>
          </w:p>
          <w:bookmarkEnd w:id="795"/>
          <w:bookmarkEnd w:id="796"/>
          <w:p w14:paraId="6096AB39" w14:textId="77777777" w:rsidR="000144FF" w:rsidRPr="00E03D2C" w:rsidRDefault="000144FF">
            <w:pPr>
              <w:pStyle w:val="TableTitle"/>
              <w:tabs>
                <w:tab w:val="left" w:pos="3306"/>
              </w:tabs>
              <w:rPr>
                <w:rFonts w:cs="Calibri"/>
              </w:rPr>
            </w:pPr>
            <w:r w:rsidRPr="00E03D2C">
              <w:rPr>
                <w:rFonts w:cs="Calibri"/>
              </w:rPr>
              <w:t>$’000</w:t>
            </w:r>
          </w:p>
        </w:tc>
        <w:tc>
          <w:tcPr>
            <w:tcW w:w="1276" w:type="dxa"/>
            <w:gridSpan w:val="2"/>
            <w:tcBorders>
              <w:top w:val="nil"/>
              <w:left w:val="nil"/>
              <w:bottom w:val="nil"/>
            </w:tcBorders>
            <w:vAlign w:val="bottom"/>
          </w:tcPr>
          <w:p w14:paraId="700FB62B" w14:textId="76BEFC2C" w:rsidR="00B330CA" w:rsidRDefault="005E3DFA">
            <w:pPr>
              <w:pStyle w:val="TableTitle"/>
              <w:tabs>
                <w:tab w:val="left" w:pos="3306"/>
              </w:tabs>
              <w:rPr>
                <w:rFonts w:cs="Calibri"/>
              </w:rPr>
            </w:pPr>
            <w:r w:rsidRPr="00E03D2C">
              <w:rPr>
                <w:rFonts w:cs="Calibri"/>
              </w:rPr>
              <w:t>202</w:t>
            </w:r>
            <w:r w:rsidR="00CC4706">
              <w:rPr>
                <w:rFonts w:cs="Calibri"/>
              </w:rPr>
              <w:t>2</w:t>
            </w:r>
            <w:r w:rsidR="00FA7C77">
              <w:rPr>
                <w:rFonts w:cs="Calibri"/>
              </w:rPr>
              <w:t xml:space="preserve">   </w:t>
            </w:r>
            <w:r w:rsidR="00E03D2C" w:rsidRPr="00E03D2C">
              <w:rPr>
                <w:rFonts w:cs="Calibri"/>
              </w:rPr>
              <w:t xml:space="preserve"> </w:t>
            </w:r>
          </w:p>
          <w:p w14:paraId="4960DFF7" w14:textId="7353C73F" w:rsidR="000144FF" w:rsidRPr="00E03D2C" w:rsidRDefault="000144FF">
            <w:pPr>
              <w:pStyle w:val="TableTitle"/>
              <w:tabs>
                <w:tab w:val="left" w:pos="3306"/>
              </w:tabs>
              <w:rPr>
                <w:rFonts w:cs="Calibri"/>
              </w:rPr>
            </w:pPr>
            <w:r w:rsidRPr="00E03D2C">
              <w:rPr>
                <w:rFonts w:cs="Calibri"/>
              </w:rPr>
              <w:t>$’000</w:t>
            </w:r>
          </w:p>
        </w:tc>
      </w:tr>
      <w:tr w:rsidR="000144FF" w:rsidRPr="00CF7E1B" w14:paraId="5298EDBE"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68525518"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39976278" w14:textId="77777777" w:rsidR="000144FF" w:rsidRPr="00E03D2C" w:rsidRDefault="000144FF">
            <w:pPr>
              <w:pStyle w:val="TableText"/>
              <w:tabs>
                <w:tab w:val="left" w:pos="3306"/>
              </w:tabs>
              <w:rPr>
                <w:rFonts w:cs="Calibri"/>
              </w:rPr>
            </w:pPr>
            <w:r w:rsidRPr="00E03D2C">
              <w:rPr>
                <w:rFonts w:cs="Calibri"/>
              </w:rPr>
              <w:t>Payable:</w:t>
            </w:r>
          </w:p>
        </w:tc>
        <w:tc>
          <w:tcPr>
            <w:tcW w:w="1417" w:type="dxa"/>
            <w:gridSpan w:val="5"/>
            <w:tcBorders>
              <w:top w:val="nil"/>
              <w:left w:val="nil"/>
              <w:bottom w:val="nil"/>
              <w:right w:val="nil"/>
            </w:tcBorders>
            <w:vAlign w:val="bottom"/>
          </w:tcPr>
          <w:p w14:paraId="7FA96CE2" w14:textId="77777777"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21C30B65" w14:textId="77777777" w:rsidR="000144FF" w:rsidRPr="00E03D2C" w:rsidRDefault="000144FF">
            <w:pPr>
              <w:pStyle w:val="TableText"/>
              <w:tabs>
                <w:tab w:val="left" w:pos="3306"/>
              </w:tabs>
              <w:jc w:val="right"/>
              <w:rPr>
                <w:rFonts w:cs="Calibri"/>
              </w:rPr>
            </w:pPr>
          </w:p>
        </w:tc>
      </w:tr>
      <w:tr w:rsidR="000144FF" w:rsidRPr="00CF7E1B" w14:paraId="22A49B21"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4FE579E0"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9"/>
            <w:tcBorders>
              <w:top w:val="nil"/>
              <w:left w:val="single" w:sz="2" w:space="0" w:color="auto"/>
              <w:bottom w:val="nil"/>
              <w:right w:val="nil"/>
            </w:tcBorders>
            <w:vAlign w:val="bottom"/>
          </w:tcPr>
          <w:p w14:paraId="318156C6" w14:textId="500819F9" w:rsidR="000144FF" w:rsidRPr="00E03D2C" w:rsidRDefault="000144FF">
            <w:pPr>
              <w:pStyle w:val="TableText"/>
              <w:tabs>
                <w:tab w:val="left" w:pos="3306"/>
              </w:tabs>
              <w:rPr>
                <w:rFonts w:cs="Calibri"/>
              </w:rPr>
            </w:pPr>
            <w:r w:rsidRPr="00E03D2C">
              <w:rPr>
                <w:rFonts w:cs="Calibri"/>
              </w:rPr>
              <w:t>Within one yea</w:t>
            </w:r>
            <w:r w:rsidR="00EB55EE" w:rsidRPr="00E03D2C">
              <w:rPr>
                <w:rFonts w:cs="Calibri"/>
              </w:rPr>
              <w:t>r</w:t>
            </w:r>
          </w:p>
        </w:tc>
        <w:tc>
          <w:tcPr>
            <w:tcW w:w="1417" w:type="dxa"/>
            <w:gridSpan w:val="5"/>
            <w:tcBorders>
              <w:top w:val="nil"/>
              <w:left w:val="nil"/>
              <w:bottom w:val="nil"/>
              <w:right w:val="nil"/>
            </w:tcBorders>
            <w:vAlign w:val="bottom"/>
          </w:tcPr>
          <w:p w14:paraId="49EABFF2" w14:textId="1E6E0C18"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4DD294D5" w14:textId="2BEF827F" w:rsidR="000144FF" w:rsidRPr="00E03D2C" w:rsidRDefault="000144FF">
            <w:pPr>
              <w:pStyle w:val="TableText"/>
              <w:tabs>
                <w:tab w:val="left" w:pos="3306"/>
              </w:tabs>
              <w:jc w:val="right"/>
              <w:rPr>
                <w:rFonts w:cs="Calibri"/>
              </w:rPr>
            </w:pPr>
          </w:p>
        </w:tc>
      </w:tr>
      <w:tr w:rsidR="000144FF" w:rsidRPr="00CF7E1B" w14:paraId="57FF745B"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1FDFFC1C"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9"/>
            <w:tcBorders>
              <w:top w:val="nil"/>
              <w:left w:val="single" w:sz="2" w:space="0" w:color="auto"/>
              <w:bottom w:val="nil"/>
              <w:right w:val="nil"/>
            </w:tcBorders>
            <w:vAlign w:val="bottom"/>
          </w:tcPr>
          <w:p w14:paraId="6ED77DB5"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gridSpan w:val="5"/>
            <w:tcBorders>
              <w:top w:val="nil"/>
              <w:left w:val="nil"/>
              <w:bottom w:val="nil"/>
              <w:right w:val="nil"/>
            </w:tcBorders>
            <w:vAlign w:val="bottom"/>
          </w:tcPr>
          <w:p w14:paraId="5BFE8A27" w14:textId="74266557"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4F06EEAE" w14:textId="7ED2B2E8" w:rsidR="000144FF" w:rsidRPr="00E03D2C" w:rsidRDefault="000144FF">
            <w:pPr>
              <w:pStyle w:val="TableText"/>
              <w:tabs>
                <w:tab w:val="left" w:pos="3306"/>
              </w:tabs>
              <w:jc w:val="right"/>
              <w:rPr>
                <w:rFonts w:cs="Calibri"/>
              </w:rPr>
            </w:pPr>
          </w:p>
        </w:tc>
      </w:tr>
      <w:tr w:rsidR="000144FF" w:rsidRPr="00CF7E1B" w14:paraId="55A4936D"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7E1FBD84"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9"/>
            <w:tcBorders>
              <w:top w:val="nil"/>
              <w:left w:val="single" w:sz="2" w:space="0" w:color="auto"/>
              <w:bottom w:val="nil"/>
              <w:right w:val="nil"/>
            </w:tcBorders>
            <w:vAlign w:val="bottom"/>
          </w:tcPr>
          <w:p w14:paraId="22B677D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gridSpan w:val="5"/>
            <w:tcBorders>
              <w:top w:val="nil"/>
              <w:left w:val="nil"/>
              <w:bottom w:val="single" w:sz="4" w:space="0" w:color="auto"/>
              <w:right w:val="nil"/>
            </w:tcBorders>
            <w:vAlign w:val="bottom"/>
          </w:tcPr>
          <w:p w14:paraId="4D1FB1B1" w14:textId="348B4185" w:rsidR="000144FF" w:rsidRPr="00E03D2C" w:rsidRDefault="000144FF">
            <w:pPr>
              <w:pStyle w:val="TableText"/>
              <w:tabs>
                <w:tab w:val="left" w:pos="3306"/>
              </w:tabs>
              <w:jc w:val="right"/>
              <w:rPr>
                <w:rFonts w:cs="Calibri"/>
              </w:rPr>
            </w:pPr>
          </w:p>
        </w:tc>
        <w:tc>
          <w:tcPr>
            <w:tcW w:w="1276" w:type="dxa"/>
            <w:gridSpan w:val="2"/>
            <w:tcBorders>
              <w:top w:val="nil"/>
              <w:left w:val="nil"/>
              <w:bottom w:val="single" w:sz="4" w:space="0" w:color="auto"/>
            </w:tcBorders>
            <w:vAlign w:val="bottom"/>
          </w:tcPr>
          <w:p w14:paraId="53F0BD8C" w14:textId="000AAC93" w:rsidR="000144FF" w:rsidRPr="00E03D2C" w:rsidRDefault="000144FF">
            <w:pPr>
              <w:pStyle w:val="TableText"/>
              <w:tabs>
                <w:tab w:val="left" w:pos="3306"/>
              </w:tabs>
              <w:jc w:val="right"/>
              <w:rPr>
                <w:rFonts w:cs="Calibri"/>
              </w:rPr>
            </w:pPr>
          </w:p>
        </w:tc>
      </w:tr>
      <w:tr w:rsidR="000144FF" w:rsidRPr="00CF7E1B" w14:paraId="59759296"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25B8A832"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381959B6" w14:textId="7174FF47" w:rsidR="000144FF" w:rsidRPr="00E03D2C" w:rsidRDefault="000144FF">
            <w:pPr>
              <w:pStyle w:val="TableText"/>
              <w:tabs>
                <w:tab w:val="left" w:pos="3306"/>
              </w:tabs>
              <w:rPr>
                <w:rFonts w:cs="Calibri"/>
                <w:b/>
                <w:iCs/>
              </w:rPr>
            </w:pPr>
            <w:r w:rsidRPr="00E03D2C">
              <w:rPr>
                <w:rFonts w:cs="Calibri"/>
                <w:b/>
                <w:iCs/>
              </w:rPr>
              <w:t>Total Capital Commitments</w:t>
            </w:r>
            <w:r w:rsidR="00E45617">
              <w:rPr>
                <w:rFonts w:cs="Calibri"/>
                <w:b/>
                <w:iCs/>
              </w:rPr>
              <w:t xml:space="preserve"> </w:t>
            </w:r>
            <w:r w:rsidRPr="00E03D2C">
              <w:rPr>
                <w:rFonts w:cs="Calibri"/>
                <w:b/>
                <w:iCs/>
              </w:rPr>
              <w:t xml:space="preserve">- Property, Plant and Equipment </w:t>
            </w:r>
          </w:p>
        </w:tc>
        <w:tc>
          <w:tcPr>
            <w:tcW w:w="1417" w:type="dxa"/>
            <w:gridSpan w:val="5"/>
            <w:tcBorders>
              <w:top w:val="single" w:sz="4" w:space="0" w:color="auto"/>
              <w:left w:val="nil"/>
              <w:bottom w:val="single" w:sz="4" w:space="0" w:color="auto"/>
              <w:right w:val="nil"/>
            </w:tcBorders>
            <w:vAlign w:val="bottom"/>
          </w:tcPr>
          <w:p w14:paraId="3F9362E6" w14:textId="60948AA5" w:rsidR="000144FF" w:rsidRPr="00E03D2C" w:rsidRDefault="000144FF">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tcBorders>
            <w:vAlign w:val="bottom"/>
          </w:tcPr>
          <w:p w14:paraId="1445EBD9" w14:textId="5D5D550C" w:rsidR="000144FF" w:rsidRPr="00E03D2C" w:rsidRDefault="000144FF">
            <w:pPr>
              <w:pStyle w:val="TableText"/>
              <w:tabs>
                <w:tab w:val="left" w:pos="3306"/>
              </w:tabs>
              <w:jc w:val="right"/>
              <w:rPr>
                <w:rFonts w:cs="Calibri"/>
                <w:b/>
                <w:bCs/>
              </w:rPr>
            </w:pPr>
          </w:p>
        </w:tc>
      </w:tr>
      <w:tr w:rsidR="000144FF" w:rsidRPr="00CF7E1B" w14:paraId="1FDE960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0E856B86"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2F7A9DCA" w14:textId="77777777" w:rsidR="000144FF" w:rsidRPr="00E03D2C" w:rsidRDefault="000144FF">
            <w:pPr>
              <w:pStyle w:val="TableText"/>
              <w:tabs>
                <w:tab w:val="left" w:pos="3306"/>
              </w:tabs>
              <w:rPr>
                <w:rFonts w:cs="Calibri"/>
              </w:rPr>
            </w:pPr>
          </w:p>
        </w:tc>
        <w:tc>
          <w:tcPr>
            <w:tcW w:w="1417" w:type="dxa"/>
            <w:gridSpan w:val="5"/>
            <w:tcBorders>
              <w:top w:val="single" w:sz="4" w:space="0" w:color="auto"/>
              <w:left w:val="nil"/>
              <w:bottom w:val="nil"/>
              <w:right w:val="nil"/>
            </w:tcBorders>
            <w:vAlign w:val="bottom"/>
          </w:tcPr>
          <w:p w14:paraId="0E042B5F" w14:textId="77777777" w:rsidR="000144FF" w:rsidRPr="00E03D2C" w:rsidRDefault="000144FF">
            <w:pPr>
              <w:pStyle w:val="TableText"/>
              <w:tabs>
                <w:tab w:val="left" w:pos="3306"/>
              </w:tabs>
              <w:jc w:val="right"/>
              <w:rPr>
                <w:rFonts w:cs="Calibri"/>
              </w:rPr>
            </w:pPr>
          </w:p>
        </w:tc>
        <w:tc>
          <w:tcPr>
            <w:tcW w:w="1276" w:type="dxa"/>
            <w:gridSpan w:val="2"/>
            <w:tcBorders>
              <w:top w:val="single" w:sz="4" w:space="0" w:color="auto"/>
              <w:left w:val="nil"/>
              <w:bottom w:val="nil"/>
            </w:tcBorders>
            <w:vAlign w:val="bottom"/>
          </w:tcPr>
          <w:p w14:paraId="51009EF2" w14:textId="77777777" w:rsidR="000144FF" w:rsidRPr="00E03D2C" w:rsidRDefault="000144FF">
            <w:pPr>
              <w:pStyle w:val="TableText"/>
              <w:tabs>
                <w:tab w:val="left" w:pos="3306"/>
              </w:tabs>
              <w:jc w:val="right"/>
              <w:rPr>
                <w:rFonts w:cs="Calibri"/>
              </w:rPr>
            </w:pPr>
          </w:p>
        </w:tc>
      </w:tr>
      <w:tr w:rsidR="000144FF" w:rsidRPr="00CF7E1B" w14:paraId="56C36FD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92EB53B"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138</w:t>
            </w:r>
            <w:r w:rsidR="00D65811" w:rsidRPr="00E03D2C">
              <w:rPr>
                <w:rFonts w:cs="Calibri"/>
                <w:color w:val="7030A0"/>
                <w:sz w:val="14"/>
              </w:rPr>
              <w:t>.</w:t>
            </w:r>
            <w:r w:rsidRPr="00E03D2C">
              <w:rPr>
                <w:rFonts w:cs="Calibri"/>
                <w:color w:val="7030A0"/>
                <w:sz w:val="14"/>
              </w:rPr>
              <w:t>122</w:t>
            </w:r>
            <w:r w:rsidR="00D001B7" w:rsidRPr="00E03D2C">
              <w:rPr>
                <w:rFonts w:cs="Calibri"/>
                <w:color w:val="7030A0"/>
                <w:sz w:val="14"/>
              </w:rPr>
              <w:t>(</w:t>
            </w:r>
            <w:r w:rsidRPr="00E03D2C">
              <w:rPr>
                <w:rFonts w:cs="Calibri"/>
                <w:color w:val="7030A0"/>
                <w:sz w:val="14"/>
              </w:rPr>
              <w:t>e)</w:t>
            </w:r>
          </w:p>
        </w:tc>
        <w:tc>
          <w:tcPr>
            <w:tcW w:w="6239" w:type="dxa"/>
            <w:gridSpan w:val="9"/>
            <w:tcBorders>
              <w:top w:val="nil"/>
              <w:left w:val="single" w:sz="2" w:space="0" w:color="auto"/>
              <w:bottom w:val="nil"/>
              <w:right w:val="nil"/>
            </w:tcBorders>
            <w:vAlign w:val="bottom"/>
          </w:tcPr>
          <w:p w14:paraId="4FEB69BB" w14:textId="539354CD"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Intangible Assets </w:t>
            </w:r>
          </w:p>
        </w:tc>
        <w:tc>
          <w:tcPr>
            <w:tcW w:w="1417" w:type="dxa"/>
            <w:gridSpan w:val="5"/>
            <w:tcBorders>
              <w:top w:val="nil"/>
              <w:left w:val="nil"/>
              <w:bottom w:val="nil"/>
              <w:right w:val="nil"/>
            </w:tcBorders>
            <w:vAlign w:val="bottom"/>
          </w:tcPr>
          <w:p w14:paraId="154407D9" w14:textId="77777777"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6DEDCC4C" w14:textId="77777777" w:rsidR="000144FF" w:rsidRPr="00E03D2C" w:rsidRDefault="000144FF">
            <w:pPr>
              <w:pStyle w:val="TableText"/>
              <w:tabs>
                <w:tab w:val="left" w:pos="3306"/>
              </w:tabs>
              <w:jc w:val="right"/>
              <w:rPr>
                <w:rFonts w:cs="Calibri"/>
              </w:rPr>
            </w:pPr>
          </w:p>
        </w:tc>
      </w:tr>
      <w:tr w:rsidR="000144FF" w:rsidRPr="00CF7E1B" w14:paraId="41C4EC2E"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22A6DBEF" w14:textId="23761694" w:rsidR="000144FF" w:rsidRPr="00E03D2C" w:rsidRDefault="00FA7C77">
            <w:pPr>
              <w:pStyle w:val="TableReference"/>
              <w:tabs>
                <w:tab w:val="left" w:pos="3306"/>
              </w:tabs>
              <w:spacing w:before="40"/>
              <w:rPr>
                <w:rFonts w:cs="Calibri"/>
                <w:color w:val="7030A0"/>
                <w:sz w:val="14"/>
              </w:rPr>
            </w:pPr>
            <w:r>
              <w:rPr>
                <w:rFonts w:cs="Calibri"/>
                <w:color w:val="7030A0"/>
                <w:sz w:val="14"/>
              </w:rPr>
              <w:t xml:space="preserve"> </w:t>
            </w:r>
          </w:p>
        </w:tc>
        <w:tc>
          <w:tcPr>
            <w:tcW w:w="6239" w:type="dxa"/>
            <w:gridSpan w:val="9"/>
            <w:tcBorders>
              <w:top w:val="nil"/>
              <w:left w:val="single" w:sz="2" w:space="0" w:color="auto"/>
              <w:bottom w:val="nil"/>
              <w:right w:val="nil"/>
            </w:tcBorders>
            <w:vAlign w:val="bottom"/>
          </w:tcPr>
          <w:p w14:paraId="76501C37" w14:textId="77777777" w:rsidR="000144FF" w:rsidRPr="00E03D2C" w:rsidRDefault="000144FF">
            <w:pPr>
              <w:pStyle w:val="TableText"/>
              <w:tabs>
                <w:tab w:val="left" w:pos="3306"/>
              </w:tabs>
              <w:rPr>
                <w:rFonts w:cs="Calibri"/>
              </w:rPr>
            </w:pPr>
            <w:r w:rsidRPr="00E03D2C">
              <w:rPr>
                <w:rFonts w:cs="Calibri"/>
              </w:rPr>
              <w:t>Payable:</w:t>
            </w:r>
          </w:p>
        </w:tc>
        <w:tc>
          <w:tcPr>
            <w:tcW w:w="1417" w:type="dxa"/>
            <w:gridSpan w:val="5"/>
            <w:tcBorders>
              <w:top w:val="nil"/>
              <w:left w:val="nil"/>
              <w:right w:val="nil"/>
            </w:tcBorders>
            <w:vAlign w:val="bottom"/>
          </w:tcPr>
          <w:p w14:paraId="7A575340" w14:textId="77777777" w:rsidR="000144FF" w:rsidRPr="00E03D2C" w:rsidRDefault="000144FF">
            <w:pPr>
              <w:pStyle w:val="TableText"/>
              <w:tabs>
                <w:tab w:val="left" w:pos="3306"/>
              </w:tabs>
              <w:jc w:val="right"/>
              <w:rPr>
                <w:rFonts w:cs="Calibri"/>
              </w:rPr>
            </w:pPr>
          </w:p>
        </w:tc>
        <w:tc>
          <w:tcPr>
            <w:tcW w:w="1276" w:type="dxa"/>
            <w:gridSpan w:val="2"/>
            <w:tcBorders>
              <w:top w:val="nil"/>
              <w:left w:val="nil"/>
            </w:tcBorders>
            <w:vAlign w:val="bottom"/>
          </w:tcPr>
          <w:p w14:paraId="0321C666" w14:textId="77777777" w:rsidR="000144FF" w:rsidRPr="00E03D2C" w:rsidRDefault="000144FF">
            <w:pPr>
              <w:pStyle w:val="TableText"/>
              <w:tabs>
                <w:tab w:val="left" w:pos="3306"/>
              </w:tabs>
              <w:jc w:val="right"/>
              <w:rPr>
                <w:rFonts w:cs="Calibri"/>
              </w:rPr>
            </w:pPr>
          </w:p>
        </w:tc>
      </w:tr>
      <w:tr w:rsidR="000144FF" w:rsidRPr="00CF7E1B" w14:paraId="7AA5C30B"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AA5723C"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9"/>
            <w:tcBorders>
              <w:top w:val="nil"/>
              <w:left w:val="single" w:sz="2" w:space="0" w:color="auto"/>
              <w:right w:val="nil"/>
            </w:tcBorders>
            <w:vAlign w:val="bottom"/>
          </w:tcPr>
          <w:p w14:paraId="781C4A40"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gridSpan w:val="5"/>
            <w:tcBorders>
              <w:top w:val="nil"/>
              <w:left w:val="nil"/>
              <w:right w:val="nil"/>
            </w:tcBorders>
            <w:vAlign w:val="bottom"/>
          </w:tcPr>
          <w:p w14:paraId="70596D03" w14:textId="00F761E4" w:rsidR="000144FF" w:rsidRPr="00E03D2C" w:rsidRDefault="000144FF">
            <w:pPr>
              <w:pStyle w:val="TableText"/>
              <w:tabs>
                <w:tab w:val="left" w:pos="3306"/>
              </w:tabs>
              <w:jc w:val="right"/>
              <w:rPr>
                <w:rFonts w:cs="Calibri"/>
              </w:rPr>
            </w:pPr>
          </w:p>
        </w:tc>
        <w:tc>
          <w:tcPr>
            <w:tcW w:w="1276" w:type="dxa"/>
            <w:gridSpan w:val="2"/>
            <w:tcBorders>
              <w:top w:val="nil"/>
              <w:left w:val="nil"/>
            </w:tcBorders>
            <w:vAlign w:val="bottom"/>
          </w:tcPr>
          <w:p w14:paraId="31B7FE5B" w14:textId="3D97BB40" w:rsidR="000144FF" w:rsidRPr="00E03D2C" w:rsidRDefault="000144FF">
            <w:pPr>
              <w:pStyle w:val="TableText"/>
              <w:tabs>
                <w:tab w:val="left" w:pos="3306"/>
              </w:tabs>
              <w:jc w:val="right"/>
              <w:rPr>
                <w:rFonts w:cs="Calibri"/>
              </w:rPr>
            </w:pPr>
          </w:p>
        </w:tc>
      </w:tr>
      <w:tr w:rsidR="000144FF" w:rsidRPr="00CF7E1B" w14:paraId="1312D1C0"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443882F8"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9"/>
            <w:tcBorders>
              <w:top w:val="nil"/>
              <w:left w:val="single" w:sz="2" w:space="0" w:color="auto"/>
              <w:right w:val="nil"/>
            </w:tcBorders>
            <w:vAlign w:val="bottom"/>
          </w:tcPr>
          <w:p w14:paraId="4705353E"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gridSpan w:val="5"/>
            <w:tcBorders>
              <w:top w:val="nil"/>
              <w:left w:val="nil"/>
              <w:right w:val="nil"/>
            </w:tcBorders>
            <w:vAlign w:val="bottom"/>
          </w:tcPr>
          <w:p w14:paraId="2DD85A80" w14:textId="34C2E74F" w:rsidR="000144FF" w:rsidRPr="00E03D2C" w:rsidRDefault="000144FF">
            <w:pPr>
              <w:pStyle w:val="TableText"/>
              <w:tabs>
                <w:tab w:val="left" w:pos="3306"/>
              </w:tabs>
              <w:jc w:val="right"/>
              <w:rPr>
                <w:rFonts w:cs="Calibri"/>
              </w:rPr>
            </w:pPr>
          </w:p>
        </w:tc>
        <w:tc>
          <w:tcPr>
            <w:tcW w:w="1276" w:type="dxa"/>
            <w:gridSpan w:val="2"/>
            <w:tcBorders>
              <w:top w:val="nil"/>
              <w:left w:val="nil"/>
            </w:tcBorders>
            <w:vAlign w:val="bottom"/>
          </w:tcPr>
          <w:p w14:paraId="6014A535" w14:textId="2D7320ED" w:rsidR="000144FF" w:rsidRPr="00E03D2C" w:rsidRDefault="000144FF">
            <w:pPr>
              <w:pStyle w:val="TableText"/>
              <w:tabs>
                <w:tab w:val="left" w:pos="3306"/>
              </w:tabs>
              <w:jc w:val="right"/>
              <w:rPr>
                <w:rFonts w:cs="Calibri"/>
              </w:rPr>
            </w:pPr>
          </w:p>
        </w:tc>
      </w:tr>
      <w:tr w:rsidR="000144FF" w:rsidRPr="00CF7E1B" w14:paraId="739A1F0D"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54057104"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9"/>
            <w:tcBorders>
              <w:top w:val="nil"/>
              <w:left w:val="single" w:sz="2" w:space="0" w:color="auto"/>
              <w:right w:val="nil"/>
            </w:tcBorders>
            <w:vAlign w:val="bottom"/>
          </w:tcPr>
          <w:p w14:paraId="6FCD7E1E"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gridSpan w:val="5"/>
            <w:tcBorders>
              <w:top w:val="nil"/>
              <w:left w:val="nil"/>
              <w:bottom w:val="single" w:sz="4" w:space="0" w:color="auto"/>
              <w:right w:val="nil"/>
            </w:tcBorders>
            <w:vAlign w:val="bottom"/>
          </w:tcPr>
          <w:p w14:paraId="396C32AB" w14:textId="49206F7B" w:rsidR="000144FF" w:rsidRPr="00E03D2C" w:rsidRDefault="000144FF">
            <w:pPr>
              <w:pStyle w:val="TableText"/>
              <w:tabs>
                <w:tab w:val="left" w:pos="3306"/>
              </w:tabs>
              <w:jc w:val="right"/>
              <w:rPr>
                <w:rFonts w:cs="Calibri"/>
              </w:rPr>
            </w:pPr>
          </w:p>
        </w:tc>
        <w:tc>
          <w:tcPr>
            <w:tcW w:w="1276" w:type="dxa"/>
            <w:gridSpan w:val="2"/>
            <w:tcBorders>
              <w:top w:val="nil"/>
              <w:left w:val="nil"/>
              <w:bottom w:val="single" w:sz="4" w:space="0" w:color="auto"/>
            </w:tcBorders>
            <w:vAlign w:val="bottom"/>
          </w:tcPr>
          <w:p w14:paraId="06E0A803" w14:textId="3430A46B" w:rsidR="000144FF" w:rsidRPr="00E03D2C" w:rsidRDefault="000144FF">
            <w:pPr>
              <w:pStyle w:val="TableText"/>
              <w:tabs>
                <w:tab w:val="left" w:pos="3306"/>
              </w:tabs>
              <w:jc w:val="right"/>
              <w:rPr>
                <w:rFonts w:cs="Calibri"/>
              </w:rPr>
            </w:pPr>
          </w:p>
        </w:tc>
      </w:tr>
      <w:tr w:rsidR="000144FF" w:rsidRPr="00CF7E1B" w14:paraId="7BBC2DB3"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7AA63D1D"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right w:val="nil"/>
            </w:tcBorders>
            <w:vAlign w:val="bottom"/>
          </w:tcPr>
          <w:p w14:paraId="56838A6E" w14:textId="414FAA1F" w:rsidR="000144FF" w:rsidRPr="00E03D2C" w:rsidRDefault="000144FF">
            <w:pPr>
              <w:pStyle w:val="TableText"/>
              <w:tabs>
                <w:tab w:val="left" w:pos="3306"/>
              </w:tabs>
              <w:rPr>
                <w:rFonts w:cs="Calibri"/>
                <w:b/>
                <w:iCs/>
              </w:rPr>
            </w:pPr>
            <w:r w:rsidRPr="00E03D2C">
              <w:rPr>
                <w:rFonts w:cs="Calibri"/>
                <w:b/>
                <w:iCs/>
              </w:rPr>
              <w:t>Total Capital Commitments - Intangible Asset</w:t>
            </w:r>
            <w:r w:rsidR="00607914" w:rsidRPr="00E03D2C">
              <w:rPr>
                <w:rFonts w:cs="Calibri"/>
                <w:b/>
                <w:iCs/>
              </w:rPr>
              <w:t>s</w:t>
            </w:r>
            <w:r w:rsidRPr="00E03D2C">
              <w:rPr>
                <w:rFonts w:cs="Calibri"/>
                <w:b/>
                <w:iCs/>
              </w:rPr>
              <w:t xml:space="preserve"> </w:t>
            </w:r>
          </w:p>
        </w:tc>
        <w:tc>
          <w:tcPr>
            <w:tcW w:w="1417" w:type="dxa"/>
            <w:gridSpan w:val="5"/>
            <w:tcBorders>
              <w:top w:val="single" w:sz="4" w:space="0" w:color="auto"/>
              <w:left w:val="nil"/>
              <w:bottom w:val="single" w:sz="4" w:space="0" w:color="auto"/>
              <w:right w:val="nil"/>
            </w:tcBorders>
            <w:vAlign w:val="bottom"/>
          </w:tcPr>
          <w:p w14:paraId="0F627269" w14:textId="46353549" w:rsidR="000144FF" w:rsidRPr="00E03D2C" w:rsidRDefault="000144FF">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tcBorders>
            <w:vAlign w:val="bottom"/>
          </w:tcPr>
          <w:p w14:paraId="4ECBCE75" w14:textId="7C619244" w:rsidR="000144FF" w:rsidRPr="00E03D2C" w:rsidRDefault="000144FF">
            <w:pPr>
              <w:pStyle w:val="TableText"/>
              <w:tabs>
                <w:tab w:val="left" w:pos="3306"/>
              </w:tabs>
              <w:jc w:val="right"/>
              <w:rPr>
                <w:rFonts w:cs="Calibri"/>
                <w:b/>
                <w:bCs/>
              </w:rPr>
            </w:pPr>
          </w:p>
        </w:tc>
      </w:tr>
      <w:tr w:rsidR="000144FF" w:rsidRPr="00CF7E1B" w14:paraId="2F263CFC"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527DC31C"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right w:val="nil"/>
            </w:tcBorders>
            <w:vAlign w:val="bottom"/>
          </w:tcPr>
          <w:p w14:paraId="3DB2E0EA" w14:textId="77777777" w:rsidR="000144FF" w:rsidRPr="00E03D2C" w:rsidRDefault="000144FF">
            <w:pPr>
              <w:pStyle w:val="TableText"/>
              <w:tabs>
                <w:tab w:val="left" w:pos="3306"/>
              </w:tabs>
              <w:rPr>
                <w:rFonts w:cs="Calibri"/>
                <w:b/>
                <w:bCs/>
              </w:rPr>
            </w:pPr>
            <w:r w:rsidRPr="00E03D2C">
              <w:rPr>
                <w:rFonts w:cs="Calibri"/>
                <w:b/>
                <w:bCs/>
              </w:rPr>
              <w:t>Total Capital Commitments</w:t>
            </w:r>
          </w:p>
        </w:tc>
        <w:tc>
          <w:tcPr>
            <w:tcW w:w="1417" w:type="dxa"/>
            <w:gridSpan w:val="5"/>
            <w:tcBorders>
              <w:top w:val="single" w:sz="4" w:space="0" w:color="auto"/>
              <w:left w:val="nil"/>
              <w:bottom w:val="double" w:sz="4" w:space="0" w:color="auto"/>
              <w:right w:val="nil"/>
            </w:tcBorders>
            <w:vAlign w:val="bottom"/>
          </w:tcPr>
          <w:p w14:paraId="126B3F63" w14:textId="6E940F3A" w:rsidR="000144FF" w:rsidRPr="00E03D2C" w:rsidRDefault="000144FF">
            <w:pPr>
              <w:pStyle w:val="TableText"/>
              <w:tabs>
                <w:tab w:val="left" w:pos="3306"/>
              </w:tabs>
              <w:jc w:val="right"/>
              <w:rPr>
                <w:rFonts w:cs="Calibri"/>
                <w:b/>
                <w:bCs/>
              </w:rPr>
            </w:pPr>
          </w:p>
        </w:tc>
        <w:tc>
          <w:tcPr>
            <w:tcW w:w="1276" w:type="dxa"/>
            <w:gridSpan w:val="2"/>
            <w:tcBorders>
              <w:top w:val="single" w:sz="4" w:space="0" w:color="auto"/>
              <w:left w:val="nil"/>
              <w:bottom w:val="double" w:sz="4" w:space="0" w:color="auto"/>
            </w:tcBorders>
            <w:vAlign w:val="bottom"/>
          </w:tcPr>
          <w:p w14:paraId="376B6C4B" w14:textId="024A11A8" w:rsidR="000144FF" w:rsidRPr="00E03D2C" w:rsidRDefault="000144FF">
            <w:pPr>
              <w:pStyle w:val="TableText"/>
              <w:tabs>
                <w:tab w:val="left" w:pos="3306"/>
              </w:tabs>
              <w:jc w:val="right"/>
              <w:rPr>
                <w:rFonts w:cs="Calibri"/>
                <w:b/>
                <w:bCs/>
              </w:rPr>
            </w:pPr>
          </w:p>
        </w:tc>
      </w:tr>
      <w:tr w:rsidR="000144FF" w:rsidRPr="00CF7E1B" w14:paraId="49FACED8"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68FE4AD0" w14:textId="77777777" w:rsidR="006137DE" w:rsidRPr="00E03D2C" w:rsidRDefault="006137DE">
            <w:pPr>
              <w:pStyle w:val="TableReference"/>
              <w:tabs>
                <w:tab w:val="left" w:pos="3306"/>
              </w:tabs>
              <w:spacing w:before="40"/>
              <w:rPr>
                <w:rFonts w:cs="Calibri"/>
                <w:color w:val="7030A0"/>
                <w:sz w:val="14"/>
              </w:rPr>
            </w:pPr>
          </w:p>
        </w:tc>
        <w:tc>
          <w:tcPr>
            <w:tcW w:w="6239" w:type="dxa"/>
            <w:gridSpan w:val="9"/>
            <w:tcBorders>
              <w:left w:val="single" w:sz="2" w:space="0" w:color="auto"/>
              <w:right w:val="nil"/>
            </w:tcBorders>
            <w:vAlign w:val="bottom"/>
          </w:tcPr>
          <w:p w14:paraId="7E890166" w14:textId="77777777" w:rsidR="000144FF" w:rsidRPr="00E03D2C" w:rsidRDefault="000144FF">
            <w:pPr>
              <w:pStyle w:val="TableText"/>
              <w:tabs>
                <w:tab w:val="left" w:pos="3306"/>
              </w:tabs>
              <w:rPr>
                <w:rFonts w:cs="Calibri"/>
                <w:b/>
                <w:bCs/>
                <w:sz w:val="14"/>
              </w:rPr>
            </w:pPr>
            <w:r w:rsidRPr="00E03D2C">
              <w:rPr>
                <w:rFonts w:cs="Calibri"/>
                <w:b/>
                <w:bCs/>
                <w:sz w:val="14"/>
              </w:rPr>
              <w:t xml:space="preserve"> </w:t>
            </w:r>
          </w:p>
        </w:tc>
        <w:tc>
          <w:tcPr>
            <w:tcW w:w="1417" w:type="dxa"/>
            <w:gridSpan w:val="5"/>
            <w:tcBorders>
              <w:top w:val="double" w:sz="4" w:space="0" w:color="auto"/>
              <w:left w:val="nil"/>
              <w:right w:val="nil"/>
            </w:tcBorders>
            <w:vAlign w:val="bottom"/>
          </w:tcPr>
          <w:p w14:paraId="69079F36" w14:textId="77777777" w:rsidR="000144FF" w:rsidRPr="00E03D2C" w:rsidRDefault="000144FF">
            <w:pPr>
              <w:pStyle w:val="TableText"/>
              <w:tabs>
                <w:tab w:val="left" w:pos="3306"/>
              </w:tabs>
              <w:jc w:val="right"/>
              <w:rPr>
                <w:rFonts w:cs="Calibri"/>
                <w:b/>
                <w:bCs/>
                <w:sz w:val="14"/>
              </w:rPr>
            </w:pPr>
          </w:p>
        </w:tc>
        <w:tc>
          <w:tcPr>
            <w:tcW w:w="1276" w:type="dxa"/>
            <w:gridSpan w:val="2"/>
            <w:tcBorders>
              <w:top w:val="double" w:sz="4" w:space="0" w:color="auto"/>
              <w:left w:val="nil"/>
            </w:tcBorders>
            <w:vAlign w:val="bottom"/>
          </w:tcPr>
          <w:p w14:paraId="6473CFE1" w14:textId="77777777" w:rsidR="000144FF" w:rsidRPr="00E03D2C" w:rsidRDefault="000144FF">
            <w:pPr>
              <w:pStyle w:val="TableText"/>
              <w:tabs>
                <w:tab w:val="left" w:pos="3306"/>
              </w:tabs>
              <w:jc w:val="right"/>
              <w:rPr>
                <w:rFonts w:cs="Calibri"/>
                <w:b/>
                <w:bCs/>
                <w:sz w:val="14"/>
              </w:rPr>
            </w:pPr>
          </w:p>
        </w:tc>
      </w:tr>
      <w:tr w:rsidR="000144FF" w:rsidRPr="00CF7E1B" w14:paraId="72327033"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5DE01B9" w14:textId="77777777" w:rsidR="000144FF" w:rsidRPr="00E03D2C" w:rsidRDefault="009B5164" w:rsidP="003973ED">
            <w:pPr>
              <w:pStyle w:val="TableReference"/>
              <w:tabs>
                <w:tab w:val="left" w:pos="3306"/>
              </w:tabs>
              <w:spacing w:before="40"/>
              <w:rPr>
                <w:rFonts w:cs="Calibri"/>
                <w:color w:val="7030A0"/>
                <w:sz w:val="14"/>
              </w:rPr>
            </w:pPr>
            <w:r w:rsidRPr="00E03D2C">
              <w:rPr>
                <w:rFonts w:cs="Calibri"/>
                <w:color w:val="7030A0"/>
                <w:sz w:val="14"/>
              </w:rPr>
              <w:t>ACT Disclosure Policy</w:t>
            </w:r>
          </w:p>
        </w:tc>
        <w:tc>
          <w:tcPr>
            <w:tcW w:w="6239" w:type="dxa"/>
            <w:gridSpan w:val="9"/>
            <w:tcBorders>
              <w:top w:val="nil"/>
              <w:left w:val="single" w:sz="2" w:space="0" w:color="auto"/>
              <w:bottom w:val="nil"/>
              <w:right w:val="nil"/>
            </w:tcBorders>
            <w:vAlign w:val="bottom"/>
          </w:tcPr>
          <w:p w14:paraId="20F4D41A" w14:textId="77777777" w:rsidR="000144FF" w:rsidRPr="00E03D2C" w:rsidRDefault="000144FF" w:rsidP="00A84FFC">
            <w:pPr>
              <w:pStyle w:val="TableText"/>
              <w:tabs>
                <w:tab w:val="left" w:pos="3306"/>
              </w:tabs>
              <w:spacing w:before="0" w:after="120"/>
              <w:rPr>
                <w:rFonts w:cs="Calibri"/>
                <w:b/>
                <w:bCs/>
              </w:rPr>
            </w:pPr>
            <w:bookmarkStart w:id="797" w:name="_Toc48468704"/>
            <w:bookmarkStart w:id="798" w:name="_Toc49155798"/>
            <w:bookmarkStart w:id="799" w:name="_Toc49224214"/>
            <w:r w:rsidRPr="00E03D2C">
              <w:rPr>
                <w:rFonts w:cs="Calibri"/>
                <w:b/>
                <w:bCs/>
              </w:rPr>
              <w:t>Other Commitments</w:t>
            </w:r>
            <w:bookmarkEnd w:id="797"/>
            <w:bookmarkEnd w:id="798"/>
            <w:bookmarkEnd w:id="799"/>
            <w:r w:rsidRPr="00E03D2C">
              <w:rPr>
                <w:rFonts w:cs="Calibri"/>
                <w:b/>
                <w:bCs/>
              </w:rPr>
              <w:t xml:space="preserve"> </w:t>
            </w:r>
          </w:p>
        </w:tc>
        <w:tc>
          <w:tcPr>
            <w:tcW w:w="1417" w:type="dxa"/>
            <w:gridSpan w:val="5"/>
            <w:tcBorders>
              <w:top w:val="nil"/>
              <w:left w:val="nil"/>
              <w:bottom w:val="nil"/>
              <w:right w:val="nil"/>
            </w:tcBorders>
            <w:vAlign w:val="bottom"/>
          </w:tcPr>
          <w:p w14:paraId="6B799E44" w14:textId="77777777"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33B99914" w14:textId="77777777" w:rsidR="000144FF" w:rsidRPr="00E03D2C" w:rsidRDefault="000144FF">
            <w:pPr>
              <w:pStyle w:val="TableText"/>
              <w:tabs>
                <w:tab w:val="left" w:pos="3306"/>
              </w:tabs>
              <w:jc w:val="right"/>
              <w:rPr>
                <w:rFonts w:cs="Calibri"/>
              </w:rPr>
            </w:pPr>
          </w:p>
        </w:tc>
      </w:tr>
      <w:tr w:rsidR="000144FF" w:rsidRPr="00CF7E1B" w14:paraId="57CDFF8C"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14074FDD" w14:textId="77777777" w:rsidR="000144FF" w:rsidRPr="00E03D2C" w:rsidRDefault="000144FF" w:rsidP="003973ED">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tcBorders>
            <w:vAlign w:val="bottom"/>
          </w:tcPr>
          <w:p w14:paraId="778F8429" w14:textId="77777777" w:rsidR="000144FF" w:rsidRPr="00E03D2C" w:rsidRDefault="000144FF" w:rsidP="00ED446B">
            <w:pPr>
              <w:pStyle w:val="TableText"/>
              <w:tabs>
                <w:tab w:val="left" w:pos="3306"/>
              </w:tabs>
              <w:spacing w:before="0"/>
              <w:rPr>
                <w:rFonts w:cs="Calibri"/>
              </w:rPr>
            </w:pPr>
            <w:r w:rsidRPr="00E03D2C">
              <w:rPr>
                <w:rFonts w:cs="Calibri"/>
              </w:rPr>
              <w:t xml:space="preserve">Other commitments contracted at reporting date </w:t>
            </w:r>
            <w:r w:rsidR="006F3697" w:rsidRPr="00E03D2C">
              <w:rPr>
                <w:rFonts w:cs="Calibri"/>
              </w:rPr>
              <w:t xml:space="preserve">but </w:t>
            </w:r>
            <w:r w:rsidRPr="00E03D2C">
              <w:rPr>
                <w:rFonts w:cs="Calibri"/>
              </w:rPr>
              <w:t xml:space="preserve">not recognised as liabilities, are payable as follows: </w:t>
            </w:r>
          </w:p>
        </w:tc>
      </w:tr>
      <w:tr w:rsidR="000144FF" w:rsidRPr="00CF7E1B" w14:paraId="06A01CCB"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14D17202"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420F6987"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gridSpan w:val="5"/>
            <w:tcBorders>
              <w:top w:val="nil"/>
              <w:left w:val="nil"/>
              <w:bottom w:val="nil"/>
              <w:right w:val="nil"/>
            </w:tcBorders>
            <w:vAlign w:val="bottom"/>
          </w:tcPr>
          <w:p w14:paraId="64503FB9" w14:textId="7C5DBC6E" w:rsidR="000144FF" w:rsidRPr="00E03D2C" w:rsidRDefault="000144FF">
            <w:pPr>
              <w:pStyle w:val="TableText"/>
              <w:tabs>
                <w:tab w:val="left" w:pos="3306"/>
              </w:tabs>
              <w:jc w:val="right"/>
              <w:rPr>
                <w:rFonts w:cs="Calibri"/>
              </w:rPr>
            </w:pPr>
          </w:p>
        </w:tc>
        <w:tc>
          <w:tcPr>
            <w:tcW w:w="1276" w:type="dxa"/>
            <w:gridSpan w:val="2"/>
            <w:tcBorders>
              <w:top w:val="nil"/>
              <w:left w:val="nil"/>
              <w:bottom w:val="nil"/>
            </w:tcBorders>
            <w:vAlign w:val="bottom"/>
          </w:tcPr>
          <w:p w14:paraId="75A99AAF" w14:textId="411922ED" w:rsidR="000144FF" w:rsidRPr="00E03D2C" w:rsidRDefault="000144FF">
            <w:pPr>
              <w:pStyle w:val="TableText"/>
              <w:tabs>
                <w:tab w:val="left" w:pos="3306"/>
              </w:tabs>
              <w:jc w:val="right"/>
              <w:rPr>
                <w:rFonts w:cs="Calibri"/>
              </w:rPr>
            </w:pPr>
          </w:p>
        </w:tc>
      </w:tr>
      <w:tr w:rsidR="000144FF" w:rsidRPr="00CF7E1B" w14:paraId="5EC93250"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477D5CE8"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2F61FCDC"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gridSpan w:val="5"/>
            <w:tcBorders>
              <w:top w:val="nil"/>
              <w:left w:val="nil"/>
              <w:right w:val="nil"/>
            </w:tcBorders>
            <w:vAlign w:val="bottom"/>
          </w:tcPr>
          <w:p w14:paraId="5D2E4FD3" w14:textId="70C6F9E6" w:rsidR="000144FF" w:rsidRPr="00E03D2C" w:rsidRDefault="000144FF">
            <w:pPr>
              <w:pStyle w:val="TableText"/>
              <w:tabs>
                <w:tab w:val="left" w:pos="3306"/>
              </w:tabs>
              <w:jc w:val="right"/>
              <w:rPr>
                <w:rFonts w:cs="Calibri"/>
              </w:rPr>
            </w:pPr>
          </w:p>
        </w:tc>
        <w:tc>
          <w:tcPr>
            <w:tcW w:w="1276" w:type="dxa"/>
            <w:gridSpan w:val="2"/>
            <w:tcBorders>
              <w:top w:val="nil"/>
              <w:left w:val="nil"/>
            </w:tcBorders>
            <w:vAlign w:val="bottom"/>
          </w:tcPr>
          <w:p w14:paraId="54B92B91" w14:textId="3312BC1A" w:rsidR="000144FF" w:rsidRPr="00E03D2C" w:rsidRDefault="000144FF">
            <w:pPr>
              <w:pStyle w:val="TableText"/>
              <w:tabs>
                <w:tab w:val="left" w:pos="3306"/>
              </w:tabs>
              <w:jc w:val="right"/>
              <w:rPr>
                <w:rFonts w:cs="Calibri"/>
              </w:rPr>
            </w:pPr>
          </w:p>
        </w:tc>
      </w:tr>
      <w:tr w:rsidR="000144FF" w:rsidRPr="00CF7E1B" w14:paraId="60C967B4"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679C22B1"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top w:val="nil"/>
              <w:left w:val="single" w:sz="2" w:space="0" w:color="auto"/>
              <w:right w:val="nil"/>
            </w:tcBorders>
            <w:vAlign w:val="bottom"/>
          </w:tcPr>
          <w:p w14:paraId="6BEBD54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gridSpan w:val="5"/>
            <w:tcBorders>
              <w:top w:val="nil"/>
              <w:left w:val="nil"/>
              <w:bottom w:val="single" w:sz="4" w:space="0" w:color="auto"/>
              <w:right w:val="nil"/>
            </w:tcBorders>
            <w:vAlign w:val="bottom"/>
          </w:tcPr>
          <w:p w14:paraId="516159EF" w14:textId="3E1857B5" w:rsidR="000144FF" w:rsidRPr="00E03D2C" w:rsidRDefault="000144FF">
            <w:pPr>
              <w:pStyle w:val="TableText"/>
              <w:tabs>
                <w:tab w:val="left" w:pos="3306"/>
              </w:tabs>
              <w:jc w:val="right"/>
              <w:rPr>
                <w:rFonts w:cs="Calibri"/>
              </w:rPr>
            </w:pPr>
          </w:p>
        </w:tc>
        <w:tc>
          <w:tcPr>
            <w:tcW w:w="1276" w:type="dxa"/>
            <w:gridSpan w:val="2"/>
            <w:tcBorders>
              <w:top w:val="nil"/>
              <w:left w:val="nil"/>
              <w:bottom w:val="single" w:sz="4" w:space="0" w:color="auto"/>
            </w:tcBorders>
            <w:vAlign w:val="bottom"/>
          </w:tcPr>
          <w:p w14:paraId="1EC40390" w14:textId="1C6DDF33" w:rsidR="000144FF" w:rsidRPr="00E03D2C" w:rsidRDefault="000144FF">
            <w:pPr>
              <w:pStyle w:val="TableText"/>
              <w:tabs>
                <w:tab w:val="left" w:pos="3306"/>
              </w:tabs>
              <w:jc w:val="right"/>
              <w:rPr>
                <w:rFonts w:cs="Calibri"/>
              </w:rPr>
            </w:pPr>
          </w:p>
        </w:tc>
      </w:tr>
      <w:tr w:rsidR="000144FF" w:rsidRPr="00CF7E1B" w14:paraId="383D07C0"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299C4DAB"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left w:val="single" w:sz="2" w:space="0" w:color="auto"/>
              <w:right w:val="nil"/>
            </w:tcBorders>
            <w:vAlign w:val="bottom"/>
          </w:tcPr>
          <w:p w14:paraId="6C5C5476" w14:textId="77777777" w:rsidR="000144FF" w:rsidRPr="00E03D2C" w:rsidRDefault="000144FF">
            <w:pPr>
              <w:pStyle w:val="TableText"/>
              <w:tabs>
                <w:tab w:val="left" w:pos="3306"/>
              </w:tabs>
              <w:rPr>
                <w:rFonts w:cs="Calibri"/>
                <w:b/>
                <w:bCs/>
              </w:rPr>
            </w:pPr>
            <w:r w:rsidRPr="00E03D2C">
              <w:rPr>
                <w:rFonts w:cs="Calibri"/>
                <w:b/>
                <w:bCs/>
              </w:rPr>
              <w:t>Total Other Commitments</w:t>
            </w:r>
          </w:p>
        </w:tc>
        <w:tc>
          <w:tcPr>
            <w:tcW w:w="1417" w:type="dxa"/>
            <w:gridSpan w:val="5"/>
            <w:tcBorders>
              <w:top w:val="single" w:sz="4" w:space="0" w:color="auto"/>
              <w:left w:val="nil"/>
              <w:bottom w:val="double" w:sz="4" w:space="0" w:color="auto"/>
              <w:right w:val="nil"/>
            </w:tcBorders>
            <w:vAlign w:val="bottom"/>
          </w:tcPr>
          <w:p w14:paraId="2D212DAD" w14:textId="08C88A79" w:rsidR="000144FF" w:rsidRPr="00E03D2C" w:rsidRDefault="000144FF">
            <w:pPr>
              <w:pStyle w:val="TableText"/>
              <w:tabs>
                <w:tab w:val="left" w:pos="3306"/>
              </w:tabs>
              <w:jc w:val="right"/>
              <w:rPr>
                <w:rFonts w:cs="Calibri"/>
                <w:b/>
                <w:bCs/>
              </w:rPr>
            </w:pPr>
          </w:p>
        </w:tc>
        <w:tc>
          <w:tcPr>
            <w:tcW w:w="1276" w:type="dxa"/>
            <w:gridSpan w:val="2"/>
            <w:tcBorders>
              <w:top w:val="single" w:sz="4" w:space="0" w:color="auto"/>
              <w:left w:val="nil"/>
              <w:bottom w:val="double" w:sz="4" w:space="0" w:color="auto"/>
            </w:tcBorders>
            <w:vAlign w:val="bottom"/>
          </w:tcPr>
          <w:p w14:paraId="6CE21498" w14:textId="46E98CBA" w:rsidR="000144FF" w:rsidRPr="00E03D2C" w:rsidRDefault="000144FF">
            <w:pPr>
              <w:pStyle w:val="TableText"/>
              <w:tabs>
                <w:tab w:val="left" w:pos="3306"/>
              </w:tabs>
              <w:jc w:val="right"/>
              <w:rPr>
                <w:rFonts w:cs="Calibri"/>
                <w:b/>
                <w:bCs/>
              </w:rPr>
            </w:pPr>
          </w:p>
        </w:tc>
      </w:tr>
      <w:tr w:rsidR="000144FF" w:rsidRPr="00CF7E1B" w14:paraId="2359B850"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185F2665" w14:textId="77777777" w:rsidR="000144FF" w:rsidRPr="00E03D2C" w:rsidRDefault="000144FF">
            <w:pPr>
              <w:pStyle w:val="TableReference"/>
              <w:tabs>
                <w:tab w:val="left" w:pos="3306"/>
              </w:tabs>
              <w:spacing w:before="40"/>
              <w:rPr>
                <w:rFonts w:cs="Calibri"/>
                <w:color w:val="7030A0"/>
                <w:sz w:val="14"/>
              </w:rPr>
            </w:pPr>
          </w:p>
        </w:tc>
        <w:tc>
          <w:tcPr>
            <w:tcW w:w="6239" w:type="dxa"/>
            <w:gridSpan w:val="9"/>
            <w:tcBorders>
              <w:left w:val="single" w:sz="2" w:space="0" w:color="auto"/>
              <w:bottom w:val="nil"/>
              <w:right w:val="nil"/>
            </w:tcBorders>
            <w:vAlign w:val="bottom"/>
          </w:tcPr>
          <w:p w14:paraId="1550BBC6" w14:textId="77777777" w:rsidR="000144FF" w:rsidRPr="00E03D2C" w:rsidRDefault="000144FF">
            <w:pPr>
              <w:pStyle w:val="TableText"/>
              <w:tabs>
                <w:tab w:val="left" w:pos="3306"/>
              </w:tabs>
              <w:rPr>
                <w:rFonts w:cs="Calibri"/>
                <w:sz w:val="14"/>
              </w:rPr>
            </w:pPr>
          </w:p>
        </w:tc>
        <w:tc>
          <w:tcPr>
            <w:tcW w:w="1417" w:type="dxa"/>
            <w:gridSpan w:val="5"/>
            <w:tcBorders>
              <w:top w:val="double" w:sz="4" w:space="0" w:color="auto"/>
              <w:left w:val="nil"/>
              <w:right w:val="nil"/>
            </w:tcBorders>
            <w:vAlign w:val="bottom"/>
          </w:tcPr>
          <w:p w14:paraId="55404E8E" w14:textId="77777777" w:rsidR="000144FF" w:rsidRPr="00E03D2C" w:rsidRDefault="000144FF">
            <w:pPr>
              <w:pStyle w:val="TableText"/>
              <w:tabs>
                <w:tab w:val="left" w:pos="3306"/>
              </w:tabs>
              <w:jc w:val="right"/>
              <w:rPr>
                <w:rFonts w:cs="Calibri"/>
                <w:sz w:val="14"/>
              </w:rPr>
            </w:pPr>
          </w:p>
        </w:tc>
        <w:tc>
          <w:tcPr>
            <w:tcW w:w="1276" w:type="dxa"/>
            <w:gridSpan w:val="2"/>
            <w:tcBorders>
              <w:top w:val="double" w:sz="4" w:space="0" w:color="auto"/>
              <w:left w:val="nil"/>
            </w:tcBorders>
            <w:vAlign w:val="bottom"/>
          </w:tcPr>
          <w:p w14:paraId="1F127D32" w14:textId="77777777" w:rsidR="000144FF" w:rsidRPr="00E03D2C" w:rsidRDefault="000144FF">
            <w:pPr>
              <w:pStyle w:val="TableText"/>
              <w:tabs>
                <w:tab w:val="left" w:pos="3306"/>
              </w:tabs>
              <w:jc w:val="right"/>
              <w:rPr>
                <w:rFonts w:cs="Calibri"/>
                <w:sz w:val="14"/>
              </w:rPr>
            </w:pPr>
          </w:p>
        </w:tc>
      </w:tr>
      <w:tr w:rsidR="00F9354D" w:rsidRPr="00CF7E1B" w14:paraId="140BC8F4"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0786B5F8" w14:textId="77777777" w:rsidR="00F9354D" w:rsidRPr="00E03D2C" w:rsidRDefault="00F9354D">
            <w:pPr>
              <w:pStyle w:val="TableReference"/>
              <w:tabs>
                <w:tab w:val="left" w:pos="3306"/>
              </w:tabs>
              <w:spacing w:before="40"/>
              <w:rPr>
                <w:rFonts w:cs="Calibri"/>
                <w:color w:val="7030A0"/>
                <w:sz w:val="14"/>
              </w:rPr>
            </w:pPr>
          </w:p>
        </w:tc>
        <w:tc>
          <w:tcPr>
            <w:tcW w:w="6239" w:type="dxa"/>
            <w:gridSpan w:val="9"/>
            <w:tcBorders>
              <w:left w:val="single" w:sz="2" w:space="0" w:color="auto"/>
              <w:bottom w:val="nil"/>
              <w:right w:val="nil"/>
            </w:tcBorders>
            <w:vAlign w:val="bottom"/>
          </w:tcPr>
          <w:p w14:paraId="55FFAC0E" w14:textId="3C93D855" w:rsidR="00F9354D" w:rsidRPr="00E03D2C" w:rsidRDefault="00F9354D" w:rsidP="00F9354D">
            <w:pPr>
              <w:pStyle w:val="TableText"/>
              <w:tabs>
                <w:tab w:val="left" w:pos="3306"/>
              </w:tabs>
              <w:spacing w:before="240"/>
              <w:rPr>
                <w:rFonts w:cs="Calibri"/>
                <w:sz w:val="14"/>
              </w:rPr>
            </w:pPr>
            <w:r w:rsidRPr="00E03D2C">
              <w:rPr>
                <w:rFonts w:cs="Calibri"/>
                <w:b/>
              </w:rPr>
              <w:t>Public Private Partnerships (PPP)</w:t>
            </w:r>
            <w:r w:rsidRPr="00E03D2C">
              <w:rPr>
                <w:b/>
                <w:bCs/>
              </w:rPr>
              <w:t xml:space="preserve"> Commitments</w:t>
            </w:r>
          </w:p>
        </w:tc>
        <w:tc>
          <w:tcPr>
            <w:tcW w:w="1417" w:type="dxa"/>
            <w:gridSpan w:val="5"/>
            <w:tcBorders>
              <w:left w:val="nil"/>
              <w:right w:val="nil"/>
            </w:tcBorders>
            <w:vAlign w:val="bottom"/>
          </w:tcPr>
          <w:p w14:paraId="4C78816F" w14:textId="77777777" w:rsidR="00F9354D" w:rsidRPr="00E03D2C" w:rsidRDefault="00F9354D">
            <w:pPr>
              <w:pStyle w:val="TableText"/>
              <w:tabs>
                <w:tab w:val="left" w:pos="3306"/>
              </w:tabs>
              <w:jc w:val="right"/>
              <w:rPr>
                <w:rFonts w:cs="Calibri"/>
                <w:sz w:val="14"/>
              </w:rPr>
            </w:pPr>
          </w:p>
        </w:tc>
        <w:tc>
          <w:tcPr>
            <w:tcW w:w="1276" w:type="dxa"/>
            <w:gridSpan w:val="2"/>
            <w:tcBorders>
              <w:left w:val="nil"/>
            </w:tcBorders>
            <w:vAlign w:val="bottom"/>
          </w:tcPr>
          <w:p w14:paraId="460A4BD3" w14:textId="77777777" w:rsidR="00F9354D" w:rsidRPr="00E03D2C" w:rsidRDefault="00F9354D">
            <w:pPr>
              <w:pStyle w:val="TableText"/>
              <w:tabs>
                <w:tab w:val="left" w:pos="3306"/>
              </w:tabs>
              <w:jc w:val="right"/>
              <w:rPr>
                <w:rFonts w:cs="Calibri"/>
                <w:sz w:val="14"/>
              </w:rPr>
            </w:pPr>
          </w:p>
        </w:tc>
      </w:tr>
      <w:tr w:rsidR="009025F5" w:rsidRPr="00CF7E1B" w14:paraId="3F790CC1"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4C4D2E2"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9"/>
            <w:tcBorders>
              <w:left w:val="single" w:sz="2" w:space="0" w:color="auto"/>
              <w:bottom w:val="nil"/>
              <w:right w:val="nil"/>
            </w:tcBorders>
            <w:vAlign w:val="bottom"/>
          </w:tcPr>
          <w:p w14:paraId="7DDAFBDE" w14:textId="6270C06B" w:rsidR="009025F5" w:rsidRPr="00E03D2C" w:rsidRDefault="0009630F" w:rsidP="00F9354D">
            <w:pPr>
              <w:pStyle w:val="TableText"/>
              <w:tabs>
                <w:tab w:val="left" w:pos="3306"/>
              </w:tabs>
              <w:spacing w:before="80"/>
              <w:rPr>
                <w:rFonts w:cs="Calibri"/>
                <w:i/>
                <w:iCs/>
                <w:sz w:val="14"/>
              </w:rPr>
            </w:pPr>
            <w:r w:rsidRPr="00E03D2C">
              <w:rPr>
                <w:i/>
                <w:iCs/>
              </w:rPr>
              <w:t xml:space="preserve">PPP Commitments Relating to </w:t>
            </w:r>
            <w:r w:rsidR="009025F5" w:rsidRPr="00E03D2C">
              <w:rPr>
                <w:i/>
                <w:iCs/>
              </w:rPr>
              <w:t xml:space="preserve">Service Concession Arrangement </w:t>
            </w:r>
          </w:p>
        </w:tc>
        <w:tc>
          <w:tcPr>
            <w:tcW w:w="1417" w:type="dxa"/>
            <w:gridSpan w:val="5"/>
            <w:tcBorders>
              <w:left w:val="nil"/>
              <w:right w:val="nil"/>
            </w:tcBorders>
            <w:vAlign w:val="bottom"/>
          </w:tcPr>
          <w:p w14:paraId="54FD76B2" w14:textId="77777777" w:rsidR="009025F5" w:rsidRPr="00E03D2C" w:rsidRDefault="009025F5" w:rsidP="009025F5">
            <w:pPr>
              <w:pStyle w:val="TableText"/>
              <w:tabs>
                <w:tab w:val="left" w:pos="3306"/>
              </w:tabs>
              <w:jc w:val="right"/>
              <w:rPr>
                <w:rFonts w:cs="Calibri"/>
                <w:sz w:val="14"/>
              </w:rPr>
            </w:pPr>
          </w:p>
        </w:tc>
        <w:tc>
          <w:tcPr>
            <w:tcW w:w="1276" w:type="dxa"/>
            <w:gridSpan w:val="2"/>
            <w:tcBorders>
              <w:left w:val="nil"/>
            </w:tcBorders>
            <w:vAlign w:val="bottom"/>
          </w:tcPr>
          <w:p w14:paraId="1ABF7F08" w14:textId="77777777" w:rsidR="009025F5" w:rsidRPr="00E03D2C" w:rsidRDefault="009025F5" w:rsidP="009025F5">
            <w:pPr>
              <w:pStyle w:val="TableText"/>
              <w:tabs>
                <w:tab w:val="left" w:pos="3306"/>
              </w:tabs>
              <w:jc w:val="right"/>
              <w:rPr>
                <w:rFonts w:cs="Calibri"/>
                <w:sz w:val="14"/>
              </w:rPr>
            </w:pPr>
          </w:p>
        </w:tc>
      </w:tr>
      <w:tr w:rsidR="009025F5" w:rsidRPr="00CF7E1B" w14:paraId="0EDAAF00"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021B2EBE"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16"/>
            <w:tcBorders>
              <w:left w:val="single" w:sz="2" w:space="0" w:color="auto"/>
              <w:bottom w:val="nil"/>
            </w:tcBorders>
          </w:tcPr>
          <w:p w14:paraId="166D8C0C" w14:textId="16DA7FA5" w:rsidR="009025F5" w:rsidRPr="00E03D2C" w:rsidRDefault="009025F5" w:rsidP="00EB55EE">
            <w:pPr>
              <w:pStyle w:val="TableText"/>
              <w:tabs>
                <w:tab w:val="left" w:pos="3306"/>
              </w:tabs>
              <w:spacing w:after="60"/>
              <w:jc w:val="both"/>
            </w:pPr>
            <w:r w:rsidRPr="00E03D2C">
              <w:t>Service Concession Arrangement Commitments relate to the operational expenditure ‘</w:t>
            </w:r>
            <w:r w:rsidR="003B044B" w:rsidRPr="00E03D2C">
              <w:t>Burley Griffin</w:t>
            </w:r>
            <w:r w:rsidR="003B044B" w:rsidRPr="00E03D2C">
              <w:rPr>
                <w:bCs/>
              </w:rPr>
              <w:t xml:space="preserve"> </w:t>
            </w:r>
            <w:r w:rsidRPr="00E03D2C">
              <w:t>Agency’ is required to make to ‘Example Metro’ over the remaining term of the service concession arrangement.</w:t>
            </w:r>
            <w:r w:rsidR="00FA7C77">
              <w:t xml:space="preserve"> </w:t>
            </w:r>
            <w:r w:rsidRPr="00E03D2C">
              <w:t>Commitments for the capital component have been recorded on the balance sheet and therefore no capital commitments have been disclosed in this commitment note.</w:t>
            </w:r>
          </w:p>
          <w:p w14:paraId="76C8C280" w14:textId="0F32434A" w:rsidR="009025F5" w:rsidRPr="00E03D2C" w:rsidRDefault="009025F5" w:rsidP="00F9354D">
            <w:pPr>
              <w:spacing w:after="120"/>
              <w:jc w:val="both"/>
            </w:pPr>
            <w:r w:rsidRPr="00E03D2C">
              <w:rPr>
                <w:rFonts w:cs="Calibri"/>
                <w:sz w:val="18"/>
                <w:szCs w:val="18"/>
              </w:rPr>
              <w:t xml:space="preserve">For more information in relation to service concession arrangements refer to Note </w:t>
            </w:r>
            <w:r w:rsidR="007F20A7">
              <w:rPr>
                <w:rFonts w:cs="Calibri"/>
                <w:sz w:val="18"/>
                <w:szCs w:val="18"/>
              </w:rPr>
              <w:t>39</w:t>
            </w:r>
            <w:r w:rsidRPr="00E03D2C">
              <w:rPr>
                <w:rFonts w:cs="Calibri"/>
                <w:sz w:val="18"/>
                <w:szCs w:val="18"/>
              </w:rPr>
              <w:t xml:space="preserve"> </w:t>
            </w:r>
            <w:r w:rsidRPr="007F20A7">
              <w:rPr>
                <w:rFonts w:cs="Calibri"/>
                <w:i/>
                <w:iCs/>
                <w:sz w:val="18"/>
                <w:szCs w:val="18"/>
              </w:rPr>
              <w:t>Service Concession Arrangements</w:t>
            </w:r>
            <w:r w:rsidRPr="00E03D2C">
              <w:rPr>
                <w:rFonts w:cs="Calibri"/>
                <w:sz w:val="18"/>
                <w:szCs w:val="18"/>
              </w:rPr>
              <w:t>.</w:t>
            </w:r>
          </w:p>
        </w:tc>
      </w:tr>
      <w:tr w:rsidR="00221E00" w:rsidRPr="00CF7E1B" w14:paraId="25A4A62D"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7CAD2C36" w14:textId="21E4427B" w:rsidR="00221E00" w:rsidRPr="00E03D2C" w:rsidRDefault="00221E00" w:rsidP="00221E00">
            <w:pPr>
              <w:pStyle w:val="TableReference"/>
              <w:tabs>
                <w:tab w:val="left" w:pos="3306"/>
              </w:tabs>
              <w:spacing w:before="240" w:after="240"/>
              <w:rPr>
                <w:rFonts w:cs="Calibri"/>
                <w:color w:val="7030A0"/>
                <w:sz w:val="14"/>
              </w:rPr>
            </w:pPr>
            <w:r w:rsidRPr="00F33E86">
              <w:rPr>
                <w:rFonts w:cs="Calibri"/>
                <w:b/>
                <w:color w:val="7030A0"/>
                <w:sz w:val="22"/>
                <w:szCs w:val="22"/>
              </w:rPr>
              <w:t>Reference</w:t>
            </w:r>
          </w:p>
        </w:tc>
        <w:tc>
          <w:tcPr>
            <w:tcW w:w="8932" w:type="dxa"/>
            <w:gridSpan w:val="16"/>
            <w:tcBorders>
              <w:left w:val="single" w:sz="2" w:space="0" w:color="auto"/>
              <w:bottom w:val="nil"/>
            </w:tcBorders>
            <w:vAlign w:val="bottom"/>
          </w:tcPr>
          <w:p w14:paraId="1A861A1E" w14:textId="4CD728BF" w:rsidR="00221E00" w:rsidRPr="00E03D2C" w:rsidRDefault="00221E00" w:rsidP="00221E00">
            <w:pPr>
              <w:pStyle w:val="Heading1"/>
              <w:numPr>
                <w:ilvl w:val="0"/>
                <w:numId w:val="0"/>
              </w:numPr>
              <w:rPr>
                <w:i/>
                <w:iCs/>
              </w:rPr>
            </w:pPr>
            <w:bookmarkStart w:id="800" w:name="_Toc131164525"/>
            <w:bookmarkStart w:id="801" w:name="_Toc131591790"/>
            <w:bookmarkStart w:id="802" w:name="_Toc132743824"/>
            <w:r w:rsidRPr="00221E00">
              <w:t>Note 32. Capital and Other Expenditure Commitments – Continued</w:t>
            </w:r>
            <w:bookmarkEnd w:id="800"/>
            <w:bookmarkEnd w:id="801"/>
            <w:bookmarkEnd w:id="802"/>
            <w:r>
              <w:t xml:space="preserve"> </w:t>
            </w:r>
          </w:p>
        </w:tc>
      </w:tr>
      <w:tr w:rsidR="00221E00" w:rsidRPr="00CF7E1B" w14:paraId="44F3E97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88D3B37"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16"/>
            <w:tcBorders>
              <w:left w:val="single" w:sz="2" w:space="0" w:color="auto"/>
              <w:bottom w:val="nil"/>
            </w:tcBorders>
          </w:tcPr>
          <w:p w14:paraId="1D258F37" w14:textId="2CB1BEE4" w:rsidR="00221E00" w:rsidRPr="00E03D2C" w:rsidRDefault="00221E00" w:rsidP="00221E00">
            <w:pPr>
              <w:pStyle w:val="TableText"/>
              <w:tabs>
                <w:tab w:val="left" w:pos="3306"/>
              </w:tabs>
              <w:jc w:val="both"/>
            </w:pPr>
            <w:r w:rsidRPr="00E03D2C">
              <w:rPr>
                <w:i/>
                <w:iCs/>
              </w:rPr>
              <w:t>PPP Commitments Relating to Non-Service Concession Arrangement</w:t>
            </w:r>
          </w:p>
        </w:tc>
      </w:tr>
      <w:tr w:rsidR="00221E00" w:rsidRPr="00CF7E1B" w14:paraId="30ECB0AE"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211DB88C"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16"/>
            <w:tcBorders>
              <w:left w:val="single" w:sz="2" w:space="0" w:color="auto"/>
              <w:bottom w:val="nil"/>
            </w:tcBorders>
          </w:tcPr>
          <w:p w14:paraId="3F9378DF" w14:textId="06EC794A" w:rsidR="00221E00" w:rsidRPr="002E2594" w:rsidRDefault="00221E00" w:rsidP="00221E00">
            <w:pPr>
              <w:pStyle w:val="TableText"/>
              <w:tabs>
                <w:tab w:val="left" w:pos="3306"/>
              </w:tabs>
              <w:spacing w:after="60"/>
              <w:jc w:val="both"/>
            </w:pPr>
            <w:r>
              <w:t xml:space="preserve">The facilities management and support service fees included in the PPP agreement with ‘Example Private Sector Entity’, as outlined in Note 26 </w:t>
            </w:r>
            <w:r w:rsidRPr="007F20A7">
              <w:rPr>
                <w:i/>
                <w:iCs/>
              </w:rPr>
              <w:t>Lease Liabilities</w:t>
            </w:r>
            <w:r>
              <w:t xml:space="preserve">, have been disclosed as an Operational Commitment. </w:t>
            </w:r>
          </w:p>
          <w:p w14:paraId="0C3D90E7" w14:textId="0A281AA9" w:rsidR="00221E00" w:rsidRPr="00E03D2C" w:rsidRDefault="00221E00" w:rsidP="00221E00">
            <w:pPr>
              <w:pStyle w:val="TableText"/>
              <w:tabs>
                <w:tab w:val="left" w:pos="3306"/>
              </w:tabs>
              <w:spacing w:after="60"/>
              <w:jc w:val="both"/>
            </w:pPr>
          </w:p>
        </w:tc>
      </w:tr>
      <w:tr w:rsidR="00B330CA" w:rsidRPr="00CF7E1B" w14:paraId="4A3E2294"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779FEB74" w14:textId="77777777" w:rsidR="00B330CA" w:rsidRPr="00E03D2C" w:rsidRDefault="00B330CA" w:rsidP="00DA5473">
            <w:pPr>
              <w:pStyle w:val="TableReference"/>
              <w:tabs>
                <w:tab w:val="left" w:pos="3306"/>
              </w:tabs>
              <w:spacing w:before="40"/>
              <w:rPr>
                <w:rFonts w:cs="Calibri"/>
                <w:color w:val="7030A0"/>
                <w:sz w:val="14"/>
              </w:rPr>
            </w:pPr>
          </w:p>
          <w:p w14:paraId="4D18BDD2" w14:textId="34486C45" w:rsidR="00B330CA" w:rsidRPr="00E03D2C" w:rsidRDefault="00B330CA" w:rsidP="00DA5473">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right w:val="nil"/>
            </w:tcBorders>
            <w:vAlign w:val="bottom"/>
          </w:tcPr>
          <w:p w14:paraId="493704B8" w14:textId="4CC1723D" w:rsidR="00B330CA" w:rsidRPr="00E03D2C" w:rsidRDefault="00B330CA" w:rsidP="00DA5473">
            <w:pPr>
              <w:pStyle w:val="TableText"/>
              <w:tabs>
                <w:tab w:val="left" w:pos="3306"/>
              </w:tabs>
              <w:rPr>
                <w:rFonts w:cs="Calibri"/>
                <w:b/>
                <w:iCs/>
              </w:rPr>
            </w:pPr>
          </w:p>
        </w:tc>
        <w:tc>
          <w:tcPr>
            <w:tcW w:w="1417" w:type="dxa"/>
            <w:gridSpan w:val="5"/>
            <w:tcBorders>
              <w:top w:val="nil"/>
              <w:left w:val="nil"/>
              <w:bottom w:val="nil"/>
              <w:right w:val="nil"/>
            </w:tcBorders>
            <w:vAlign w:val="bottom"/>
          </w:tcPr>
          <w:p w14:paraId="5EBCE21B" w14:textId="18B3E358" w:rsidR="00B330CA" w:rsidRPr="00E03D2C" w:rsidRDefault="00B330CA" w:rsidP="00DA5473">
            <w:pPr>
              <w:pStyle w:val="TableTitle"/>
              <w:tabs>
                <w:tab w:val="left" w:pos="3306"/>
              </w:tabs>
              <w:rPr>
                <w:rFonts w:cs="Calibri"/>
              </w:rPr>
            </w:pPr>
            <w:r w:rsidRPr="00E03D2C">
              <w:rPr>
                <w:rFonts w:cs="Calibri"/>
              </w:rPr>
              <w:t>202</w:t>
            </w:r>
            <w:r w:rsidR="00CC4706">
              <w:rPr>
                <w:rFonts w:cs="Calibri"/>
              </w:rPr>
              <w:t>3</w:t>
            </w:r>
          </w:p>
          <w:p w14:paraId="0F3B08CB" w14:textId="77777777" w:rsidR="00B330CA" w:rsidRPr="00E03D2C" w:rsidRDefault="00B330CA" w:rsidP="00DA5473">
            <w:pPr>
              <w:pStyle w:val="TableTitle"/>
              <w:tabs>
                <w:tab w:val="left" w:pos="3306"/>
              </w:tabs>
              <w:rPr>
                <w:rFonts w:cs="Calibri"/>
              </w:rPr>
            </w:pPr>
            <w:r w:rsidRPr="00E03D2C">
              <w:rPr>
                <w:rFonts w:cs="Calibri"/>
              </w:rPr>
              <w:t>$’000</w:t>
            </w:r>
          </w:p>
        </w:tc>
        <w:tc>
          <w:tcPr>
            <w:tcW w:w="1276" w:type="dxa"/>
            <w:gridSpan w:val="2"/>
            <w:tcBorders>
              <w:top w:val="nil"/>
              <w:left w:val="nil"/>
              <w:bottom w:val="nil"/>
            </w:tcBorders>
            <w:vAlign w:val="bottom"/>
          </w:tcPr>
          <w:p w14:paraId="66CD0532" w14:textId="5D95675E" w:rsidR="00B330CA" w:rsidRDefault="00B330CA" w:rsidP="00DA5473">
            <w:pPr>
              <w:pStyle w:val="TableTitle"/>
              <w:tabs>
                <w:tab w:val="left" w:pos="3306"/>
              </w:tabs>
              <w:rPr>
                <w:rFonts w:cs="Calibri"/>
              </w:rPr>
            </w:pPr>
            <w:r w:rsidRPr="00E03D2C">
              <w:rPr>
                <w:rFonts w:cs="Calibri"/>
              </w:rPr>
              <w:t>202</w:t>
            </w:r>
            <w:r w:rsidR="00CC4706">
              <w:rPr>
                <w:rFonts w:cs="Calibri"/>
              </w:rPr>
              <w:t>2</w:t>
            </w:r>
            <w:r>
              <w:rPr>
                <w:rFonts w:cs="Calibri"/>
              </w:rPr>
              <w:t xml:space="preserve">   </w:t>
            </w:r>
            <w:r w:rsidRPr="00E03D2C">
              <w:rPr>
                <w:rFonts w:cs="Calibri"/>
              </w:rPr>
              <w:t xml:space="preserve"> </w:t>
            </w:r>
          </w:p>
          <w:p w14:paraId="624D4ADE" w14:textId="77777777" w:rsidR="00B330CA" w:rsidRPr="00E03D2C" w:rsidRDefault="00B330CA" w:rsidP="00DA5473">
            <w:pPr>
              <w:pStyle w:val="TableTitle"/>
              <w:tabs>
                <w:tab w:val="left" w:pos="3306"/>
              </w:tabs>
              <w:rPr>
                <w:rFonts w:cs="Calibri"/>
              </w:rPr>
            </w:pPr>
            <w:r w:rsidRPr="00E03D2C">
              <w:rPr>
                <w:rFonts w:cs="Calibri"/>
              </w:rPr>
              <w:t>$’000</w:t>
            </w:r>
          </w:p>
        </w:tc>
      </w:tr>
      <w:tr w:rsidR="009025F5" w:rsidRPr="00CF7E1B" w14:paraId="5A64475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09F33F1C" w14:textId="36057798" w:rsidR="009025F5" w:rsidRPr="00E03D2C" w:rsidRDefault="009025F5" w:rsidP="009025F5">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tcBorders>
            <w:vAlign w:val="bottom"/>
          </w:tcPr>
          <w:p w14:paraId="53C8D370" w14:textId="5ECB0762" w:rsidR="009025F5" w:rsidRPr="00E03D2C" w:rsidRDefault="00F9354D" w:rsidP="009025F5">
            <w:pPr>
              <w:pStyle w:val="TableText"/>
              <w:tabs>
                <w:tab w:val="left" w:pos="3306"/>
              </w:tabs>
              <w:spacing w:before="240"/>
              <w:rPr>
                <w:rFonts w:cs="Calibri"/>
                <w:b/>
                <w:bCs/>
                <w:strike/>
              </w:rPr>
            </w:pPr>
            <w:r w:rsidRPr="00E03D2C">
              <w:rPr>
                <w:rFonts w:cs="Calibri"/>
                <w:b/>
              </w:rPr>
              <w:t>PPP</w:t>
            </w:r>
            <w:r w:rsidRPr="00E03D2C">
              <w:rPr>
                <w:b/>
                <w:bCs/>
              </w:rPr>
              <w:t xml:space="preserve"> </w:t>
            </w:r>
            <w:r w:rsidR="009025F5" w:rsidRPr="00E03D2C">
              <w:rPr>
                <w:b/>
                <w:bCs/>
              </w:rPr>
              <w:t>Operational Commitments</w:t>
            </w:r>
          </w:p>
        </w:tc>
      </w:tr>
      <w:tr w:rsidR="009025F5" w:rsidRPr="00CF7E1B" w14:paraId="7DA946F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AA1E800"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tcBorders>
            <w:vAlign w:val="bottom"/>
          </w:tcPr>
          <w:p w14:paraId="704E0F2E" w14:textId="5242979A" w:rsidR="009025F5" w:rsidRPr="00E03D2C" w:rsidRDefault="009025F5" w:rsidP="009025F5">
            <w:pPr>
              <w:pStyle w:val="TableText"/>
              <w:tabs>
                <w:tab w:val="left" w:pos="3306"/>
              </w:tabs>
              <w:rPr>
                <w:rFonts w:cs="Calibri"/>
                <w:b/>
                <w:bCs/>
                <w:strike/>
              </w:rPr>
            </w:pPr>
            <w:r w:rsidRPr="00E03D2C">
              <w:t>Payable:</w:t>
            </w:r>
          </w:p>
        </w:tc>
      </w:tr>
      <w:tr w:rsidR="009025F5" w:rsidRPr="00CF7E1B" w14:paraId="31944FBC"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291E6C02"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tcBorders>
            <w:vAlign w:val="bottom"/>
          </w:tcPr>
          <w:p w14:paraId="2BA3E228" w14:textId="7DFF0EFD" w:rsidR="009025F5" w:rsidRPr="00E03D2C" w:rsidRDefault="009025F5" w:rsidP="009025F5">
            <w:pPr>
              <w:pStyle w:val="TableText"/>
              <w:tabs>
                <w:tab w:val="left" w:pos="3306"/>
              </w:tabs>
              <w:rPr>
                <w:rFonts w:cs="Calibri"/>
                <w:b/>
                <w:bCs/>
                <w:strike/>
              </w:rPr>
            </w:pPr>
            <w:r w:rsidRPr="00E03D2C">
              <w:t>Within one year</w:t>
            </w:r>
          </w:p>
        </w:tc>
        <w:tc>
          <w:tcPr>
            <w:tcW w:w="1417" w:type="dxa"/>
            <w:gridSpan w:val="5"/>
            <w:tcBorders>
              <w:top w:val="nil"/>
              <w:bottom w:val="nil"/>
            </w:tcBorders>
            <w:vAlign w:val="bottom"/>
          </w:tcPr>
          <w:p w14:paraId="4927F105" w14:textId="77777777" w:rsidR="009025F5" w:rsidRPr="00E03D2C" w:rsidRDefault="009025F5" w:rsidP="009025F5">
            <w:pPr>
              <w:pStyle w:val="TableText"/>
              <w:tabs>
                <w:tab w:val="left" w:pos="3306"/>
              </w:tabs>
              <w:rPr>
                <w:rFonts w:cs="Calibri"/>
                <w:b/>
                <w:bCs/>
                <w:strike/>
              </w:rPr>
            </w:pPr>
          </w:p>
        </w:tc>
        <w:tc>
          <w:tcPr>
            <w:tcW w:w="1276" w:type="dxa"/>
            <w:gridSpan w:val="2"/>
            <w:tcBorders>
              <w:top w:val="nil"/>
              <w:bottom w:val="nil"/>
            </w:tcBorders>
            <w:vAlign w:val="bottom"/>
          </w:tcPr>
          <w:p w14:paraId="0F224A98" w14:textId="54D28778" w:rsidR="009025F5" w:rsidRPr="00E03D2C" w:rsidRDefault="009025F5" w:rsidP="009025F5">
            <w:pPr>
              <w:pStyle w:val="TableText"/>
              <w:tabs>
                <w:tab w:val="left" w:pos="3306"/>
              </w:tabs>
              <w:rPr>
                <w:rFonts w:cs="Calibri"/>
                <w:b/>
                <w:bCs/>
                <w:strike/>
              </w:rPr>
            </w:pPr>
          </w:p>
        </w:tc>
      </w:tr>
      <w:tr w:rsidR="009025F5" w:rsidRPr="00CF7E1B" w14:paraId="290878C9"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5D3AA8CA"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tcBorders>
            <w:vAlign w:val="bottom"/>
          </w:tcPr>
          <w:p w14:paraId="2E6A47AB" w14:textId="4C7F93D0" w:rsidR="009025F5" w:rsidRPr="00E03D2C" w:rsidRDefault="009025F5" w:rsidP="009025F5">
            <w:pPr>
              <w:pStyle w:val="TableText"/>
              <w:tabs>
                <w:tab w:val="left" w:pos="3306"/>
              </w:tabs>
              <w:rPr>
                <w:rFonts w:cs="Calibri"/>
                <w:b/>
                <w:bCs/>
                <w:strike/>
              </w:rPr>
            </w:pPr>
            <w:r w:rsidRPr="00E03D2C">
              <w:t>Later than one year but not later than five years</w:t>
            </w:r>
          </w:p>
        </w:tc>
        <w:tc>
          <w:tcPr>
            <w:tcW w:w="1417" w:type="dxa"/>
            <w:gridSpan w:val="5"/>
            <w:tcBorders>
              <w:top w:val="nil"/>
              <w:bottom w:val="nil"/>
            </w:tcBorders>
            <w:vAlign w:val="bottom"/>
          </w:tcPr>
          <w:p w14:paraId="3E4C3AD8" w14:textId="77777777" w:rsidR="009025F5" w:rsidRPr="00E03D2C" w:rsidRDefault="009025F5" w:rsidP="009025F5">
            <w:pPr>
              <w:pStyle w:val="TableText"/>
              <w:tabs>
                <w:tab w:val="left" w:pos="3306"/>
              </w:tabs>
              <w:rPr>
                <w:rFonts w:cs="Calibri"/>
                <w:b/>
                <w:bCs/>
                <w:strike/>
              </w:rPr>
            </w:pPr>
          </w:p>
        </w:tc>
        <w:tc>
          <w:tcPr>
            <w:tcW w:w="1276" w:type="dxa"/>
            <w:gridSpan w:val="2"/>
            <w:tcBorders>
              <w:top w:val="nil"/>
              <w:bottom w:val="nil"/>
            </w:tcBorders>
            <w:vAlign w:val="bottom"/>
          </w:tcPr>
          <w:p w14:paraId="0D7A5480" w14:textId="77777777" w:rsidR="009025F5" w:rsidRPr="00E03D2C" w:rsidRDefault="009025F5" w:rsidP="009025F5">
            <w:pPr>
              <w:pStyle w:val="TableText"/>
              <w:tabs>
                <w:tab w:val="left" w:pos="3306"/>
              </w:tabs>
              <w:rPr>
                <w:rFonts w:cs="Calibri"/>
                <w:b/>
                <w:bCs/>
                <w:strike/>
              </w:rPr>
            </w:pPr>
          </w:p>
        </w:tc>
      </w:tr>
      <w:tr w:rsidR="009025F5" w:rsidRPr="00CF7E1B" w14:paraId="2E868D6F"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3632F33E"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tcBorders>
            <w:vAlign w:val="bottom"/>
          </w:tcPr>
          <w:p w14:paraId="5BAA6BBC" w14:textId="0958C769" w:rsidR="009025F5" w:rsidRPr="00E03D2C" w:rsidRDefault="009025F5" w:rsidP="009025F5">
            <w:pPr>
              <w:pStyle w:val="TableText"/>
              <w:tabs>
                <w:tab w:val="left" w:pos="3306"/>
              </w:tabs>
              <w:rPr>
                <w:rFonts w:cs="Calibri"/>
                <w:b/>
                <w:bCs/>
                <w:strike/>
              </w:rPr>
            </w:pPr>
            <w:r w:rsidRPr="00E03D2C">
              <w:t>Later than five years</w:t>
            </w:r>
          </w:p>
        </w:tc>
        <w:tc>
          <w:tcPr>
            <w:tcW w:w="1417" w:type="dxa"/>
            <w:gridSpan w:val="5"/>
            <w:tcBorders>
              <w:top w:val="nil"/>
              <w:bottom w:val="single" w:sz="4" w:space="0" w:color="auto"/>
            </w:tcBorders>
            <w:vAlign w:val="bottom"/>
          </w:tcPr>
          <w:p w14:paraId="33F3FFD0" w14:textId="77777777" w:rsidR="009025F5" w:rsidRPr="00E03D2C" w:rsidRDefault="009025F5" w:rsidP="009025F5">
            <w:pPr>
              <w:pStyle w:val="TableText"/>
              <w:tabs>
                <w:tab w:val="left" w:pos="3306"/>
              </w:tabs>
              <w:rPr>
                <w:rFonts w:cs="Calibri"/>
                <w:b/>
                <w:bCs/>
                <w:strike/>
              </w:rPr>
            </w:pPr>
          </w:p>
        </w:tc>
        <w:tc>
          <w:tcPr>
            <w:tcW w:w="1276" w:type="dxa"/>
            <w:gridSpan w:val="2"/>
            <w:tcBorders>
              <w:top w:val="nil"/>
              <w:bottom w:val="single" w:sz="4" w:space="0" w:color="auto"/>
            </w:tcBorders>
            <w:vAlign w:val="bottom"/>
          </w:tcPr>
          <w:p w14:paraId="32A99359" w14:textId="77777777" w:rsidR="009025F5" w:rsidRPr="00E03D2C" w:rsidRDefault="009025F5" w:rsidP="009025F5">
            <w:pPr>
              <w:pStyle w:val="TableText"/>
              <w:tabs>
                <w:tab w:val="left" w:pos="3306"/>
              </w:tabs>
              <w:rPr>
                <w:rFonts w:cs="Calibri"/>
                <w:b/>
                <w:bCs/>
                <w:strike/>
              </w:rPr>
            </w:pPr>
          </w:p>
        </w:tc>
      </w:tr>
      <w:tr w:rsidR="009025F5" w:rsidRPr="00CF7E1B" w14:paraId="06261874"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5E58B750"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9"/>
            <w:tcBorders>
              <w:top w:val="nil"/>
              <w:left w:val="single" w:sz="2" w:space="0" w:color="auto"/>
              <w:bottom w:val="nil"/>
            </w:tcBorders>
            <w:vAlign w:val="bottom"/>
          </w:tcPr>
          <w:p w14:paraId="0C7D502F" w14:textId="702565F1" w:rsidR="009025F5" w:rsidRPr="00E03D2C" w:rsidRDefault="009025F5" w:rsidP="009025F5">
            <w:pPr>
              <w:pStyle w:val="TableText"/>
              <w:tabs>
                <w:tab w:val="left" w:pos="3306"/>
              </w:tabs>
              <w:rPr>
                <w:rFonts w:cs="Calibri"/>
                <w:b/>
                <w:bCs/>
                <w:strike/>
              </w:rPr>
            </w:pPr>
            <w:r w:rsidRPr="00E03D2C">
              <w:rPr>
                <w:b/>
                <w:bCs/>
              </w:rPr>
              <w:t>Total Service Concession Arrangement Operational Commitments</w:t>
            </w:r>
          </w:p>
        </w:tc>
        <w:tc>
          <w:tcPr>
            <w:tcW w:w="1417" w:type="dxa"/>
            <w:gridSpan w:val="5"/>
            <w:tcBorders>
              <w:top w:val="single" w:sz="4" w:space="0" w:color="auto"/>
              <w:bottom w:val="double" w:sz="4" w:space="0" w:color="auto"/>
            </w:tcBorders>
            <w:vAlign w:val="bottom"/>
          </w:tcPr>
          <w:p w14:paraId="3E79BF91" w14:textId="77777777" w:rsidR="009025F5" w:rsidRPr="00E03D2C" w:rsidRDefault="009025F5" w:rsidP="009025F5">
            <w:pPr>
              <w:pStyle w:val="TableText"/>
              <w:tabs>
                <w:tab w:val="left" w:pos="3306"/>
              </w:tabs>
              <w:rPr>
                <w:rFonts w:cs="Calibri"/>
                <w:b/>
                <w:bCs/>
                <w:strike/>
              </w:rPr>
            </w:pPr>
          </w:p>
        </w:tc>
        <w:tc>
          <w:tcPr>
            <w:tcW w:w="1276" w:type="dxa"/>
            <w:gridSpan w:val="2"/>
            <w:tcBorders>
              <w:top w:val="single" w:sz="4" w:space="0" w:color="auto"/>
              <w:bottom w:val="double" w:sz="4" w:space="0" w:color="auto"/>
            </w:tcBorders>
            <w:vAlign w:val="bottom"/>
          </w:tcPr>
          <w:p w14:paraId="5FB6E2C2" w14:textId="77777777" w:rsidR="009025F5" w:rsidRPr="00E03D2C" w:rsidRDefault="009025F5" w:rsidP="009025F5">
            <w:pPr>
              <w:pStyle w:val="TableText"/>
              <w:tabs>
                <w:tab w:val="left" w:pos="3306"/>
              </w:tabs>
              <w:rPr>
                <w:rFonts w:cs="Calibri"/>
                <w:b/>
                <w:bCs/>
                <w:strike/>
              </w:rPr>
            </w:pPr>
          </w:p>
        </w:tc>
      </w:tr>
      <w:tr w:rsidR="00F9354D" w:rsidRPr="00C24DC3" w14:paraId="620C25EE"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4C67D72C" w14:textId="77777777" w:rsidR="00F9354D" w:rsidRPr="00C24DC3" w:rsidRDefault="00F9354D" w:rsidP="00C24DC3">
            <w:pPr>
              <w:pStyle w:val="TableReference"/>
              <w:tabs>
                <w:tab w:val="left" w:pos="3306"/>
              </w:tabs>
              <w:rPr>
                <w:rFonts w:cs="Calibri"/>
                <w:color w:val="7030A0"/>
                <w:szCs w:val="12"/>
              </w:rPr>
            </w:pPr>
          </w:p>
        </w:tc>
        <w:tc>
          <w:tcPr>
            <w:tcW w:w="8932" w:type="dxa"/>
            <w:gridSpan w:val="16"/>
            <w:tcBorders>
              <w:top w:val="nil"/>
              <w:left w:val="single" w:sz="2" w:space="0" w:color="auto"/>
              <w:bottom w:val="nil"/>
            </w:tcBorders>
            <w:vAlign w:val="bottom"/>
          </w:tcPr>
          <w:p w14:paraId="46B67DFD" w14:textId="77777777" w:rsidR="00F9354D" w:rsidRPr="00C24DC3" w:rsidRDefault="00F9354D" w:rsidP="00C24DC3">
            <w:pPr>
              <w:pStyle w:val="TableText"/>
              <w:tabs>
                <w:tab w:val="left" w:pos="3306"/>
              </w:tabs>
              <w:spacing w:before="0"/>
              <w:rPr>
                <w:rFonts w:cs="Calibri"/>
                <w:b/>
                <w:bCs/>
                <w:strike/>
                <w:sz w:val="12"/>
                <w:szCs w:val="12"/>
              </w:rPr>
            </w:pPr>
          </w:p>
        </w:tc>
      </w:tr>
      <w:tr w:rsidR="00F9354D" w:rsidRPr="00CF7E1B" w14:paraId="52F84675"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796EDB54" w14:textId="77777777" w:rsidR="00F9354D" w:rsidRPr="00E03D2C" w:rsidRDefault="00F9354D" w:rsidP="00F9354D">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tcBorders>
            <w:vAlign w:val="bottom"/>
          </w:tcPr>
          <w:p w14:paraId="2CE11BE7" w14:textId="77777777" w:rsidR="00F9354D" w:rsidRPr="00E03D2C" w:rsidRDefault="00F9354D" w:rsidP="00C6164F">
            <w:pPr>
              <w:pStyle w:val="TableText"/>
              <w:spacing w:before="0"/>
              <w:jc w:val="both"/>
              <w:rPr>
                <w:rFonts w:cs="Calibri"/>
              </w:rPr>
            </w:pPr>
            <w:r w:rsidRPr="00E03D2C">
              <w:rPr>
                <w:rFonts w:cs="Calibri"/>
              </w:rPr>
              <w:t>All amounts shown in the commitment note are inclusive of GST.</w:t>
            </w:r>
          </w:p>
        </w:tc>
      </w:tr>
      <w:tr w:rsidR="0077399A" w:rsidRPr="00221E00" w14:paraId="46B580FA" w14:textId="77777777" w:rsidTr="005F6493">
        <w:tblPrEx>
          <w:shd w:val="clear" w:color="auto" w:fill="auto"/>
        </w:tblPrEx>
        <w:trPr>
          <w:gridAfter w:val="2"/>
          <w:wAfter w:w="9468" w:type="dxa"/>
          <w:trHeight w:val="20"/>
        </w:trPr>
        <w:tc>
          <w:tcPr>
            <w:tcW w:w="1562" w:type="dxa"/>
            <w:tcBorders>
              <w:top w:val="nil"/>
              <w:left w:val="single" w:sz="2" w:space="0" w:color="auto"/>
              <w:bottom w:val="nil"/>
              <w:right w:val="single" w:sz="2" w:space="0" w:color="auto"/>
            </w:tcBorders>
          </w:tcPr>
          <w:p w14:paraId="0050F228" w14:textId="77777777" w:rsidR="0077399A" w:rsidRPr="00221E00" w:rsidRDefault="0077399A" w:rsidP="00C24DC3">
            <w:pPr>
              <w:pStyle w:val="TableReference"/>
              <w:tabs>
                <w:tab w:val="left" w:pos="3306"/>
              </w:tabs>
              <w:rPr>
                <w:rFonts w:cs="Calibri"/>
                <w:color w:val="7030A0"/>
                <w:sz w:val="20"/>
                <w:szCs w:val="20"/>
              </w:rPr>
            </w:pPr>
          </w:p>
        </w:tc>
        <w:tc>
          <w:tcPr>
            <w:tcW w:w="8932" w:type="dxa"/>
            <w:gridSpan w:val="16"/>
            <w:tcBorders>
              <w:top w:val="nil"/>
              <w:left w:val="single" w:sz="2" w:space="0" w:color="auto"/>
              <w:bottom w:val="nil"/>
            </w:tcBorders>
            <w:vAlign w:val="bottom"/>
          </w:tcPr>
          <w:p w14:paraId="3C6696D7" w14:textId="77777777" w:rsidR="0077399A" w:rsidRPr="00221E00" w:rsidRDefault="0077399A" w:rsidP="00C24DC3">
            <w:pPr>
              <w:pStyle w:val="TableText"/>
              <w:spacing w:before="0"/>
              <w:jc w:val="both"/>
              <w:rPr>
                <w:rFonts w:cs="Calibri"/>
                <w:sz w:val="20"/>
                <w:szCs w:val="20"/>
              </w:rPr>
            </w:pPr>
          </w:p>
        </w:tc>
      </w:tr>
      <w:tr w:rsidR="00632BD7" w:rsidRPr="00CF7E1B" w14:paraId="396EE2FB" w14:textId="77777777" w:rsidTr="005F6493">
        <w:tblPrEx>
          <w:shd w:val="clear" w:color="auto" w:fill="auto"/>
        </w:tblPrEx>
        <w:trPr>
          <w:gridAfter w:val="2"/>
          <w:wAfter w:w="9468" w:type="dxa"/>
          <w:trHeight w:val="20"/>
        </w:trPr>
        <w:tc>
          <w:tcPr>
            <w:tcW w:w="1562" w:type="dxa"/>
            <w:tcBorders>
              <w:left w:val="single" w:sz="2" w:space="0" w:color="auto"/>
              <w:right w:val="single" w:sz="2" w:space="0" w:color="auto"/>
            </w:tcBorders>
          </w:tcPr>
          <w:p w14:paraId="4902EC94" w14:textId="25E98D9B" w:rsidR="00632BD7" w:rsidRPr="00E03D2C" w:rsidRDefault="004B3E25" w:rsidP="00C24DC3">
            <w:pPr>
              <w:pStyle w:val="TableReference"/>
              <w:tabs>
                <w:tab w:val="left" w:pos="3306"/>
              </w:tabs>
              <w:spacing w:before="120" w:after="240"/>
              <w:rPr>
                <w:rFonts w:cs="Calibri"/>
                <w:b/>
                <w:color w:val="7030A0"/>
                <w:sz w:val="22"/>
                <w:szCs w:val="22"/>
              </w:rPr>
            </w:pPr>
            <w:r w:rsidRPr="00E03D2C">
              <w:rPr>
                <w:color w:val="7030A0"/>
              </w:rPr>
              <w:br w:type="page"/>
            </w:r>
          </w:p>
        </w:tc>
        <w:tc>
          <w:tcPr>
            <w:tcW w:w="8932" w:type="dxa"/>
            <w:gridSpan w:val="16"/>
            <w:tcBorders>
              <w:left w:val="single" w:sz="2" w:space="0" w:color="auto"/>
            </w:tcBorders>
            <w:shd w:val="clear" w:color="auto" w:fill="7030A0"/>
            <w:vAlign w:val="bottom"/>
          </w:tcPr>
          <w:p w14:paraId="103AC39C" w14:textId="189FDB57" w:rsidR="00632BD7" w:rsidRPr="00F33E86" w:rsidRDefault="00643401" w:rsidP="00C24DC3">
            <w:pPr>
              <w:pStyle w:val="CommentaryTitle"/>
              <w:pageBreakBefore w:val="0"/>
              <w:tabs>
                <w:tab w:val="left" w:pos="3306"/>
              </w:tabs>
              <w:spacing w:after="240"/>
              <w:rPr>
                <w:rFonts w:cs="Calibri"/>
                <w:color w:val="FFFFFF" w:themeColor="background1"/>
                <w:sz w:val="28"/>
                <w:szCs w:val="28"/>
              </w:rPr>
            </w:pPr>
            <w:bookmarkStart w:id="803" w:name="_Toc50440391"/>
            <w:bookmarkStart w:id="804" w:name="_Toc163106382"/>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w:t>
            </w:r>
            <w:r w:rsidR="0007497D" w:rsidRPr="00F33E86">
              <w:rPr>
                <w:rFonts w:cs="Calibri"/>
                <w:color w:val="FFFFFF" w:themeColor="background1"/>
                <w:sz w:val="28"/>
                <w:szCs w:val="28"/>
              </w:rPr>
              <w:t>32</w:t>
            </w:r>
            <w:r w:rsidRPr="00F33E86">
              <w:rPr>
                <w:rFonts w:cs="Calibri"/>
                <w:color w:val="FFFFFF" w:themeColor="background1"/>
                <w:sz w:val="28"/>
                <w:szCs w:val="28"/>
              </w:rPr>
              <w:t>:</w:t>
            </w:r>
            <w:r w:rsidR="000C4F52" w:rsidRPr="00F33E86">
              <w:rPr>
                <w:rFonts w:cs="Calibri"/>
                <w:color w:val="FFFFFF" w:themeColor="background1"/>
                <w:sz w:val="28"/>
                <w:szCs w:val="28"/>
              </w:rPr>
              <w:t xml:space="preserve"> Capital and Other Expenditure</w:t>
            </w:r>
            <w:r w:rsidRPr="00F33E86">
              <w:rPr>
                <w:rFonts w:cs="Calibri"/>
                <w:color w:val="FFFFFF" w:themeColor="background1"/>
                <w:sz w:val="28"/>
                <w:szCs w:val="28"/>
              </w:rPr>
              <w:t xml:space="preserve"> Commitments</w:t>
            </w:r>
            <w:bookmarkEnd w:id="803"/>
            <w:bookmarkEnd w:id="804"/>
          </w:p>
        </w:tc>
      </w:tr>
      <w:tr w:rsidR="00632BD7" w:rsidRPr="00CF7E1B" w14:paraId="1DDCDF70" w14:textId="77777777" w:rsidTr="005F6493">
        <w:trPr>
          <w:gridAfter w:val="2"/>
          <w:wAfter w:w="9468" w:type="dxa"/>
          <w:trHeight w:val="283"/>
        </w:trPr>
        <w:tc>
          <w:tcPr>
            <w:tcW w:w="1562" w:type="dxa"/>
            <w:tcBorders>
              <w:left w:val="single" w:sz="2" w:space="0" w:color="auto"/>
              <w:right w:val="single" w:sz="2" w:space="0" w:color="auto"/>
            </w:tcBorders>
          </w:tcPr>
          <w:p w14:paraId="6E069092" w14:textId="77777777" w:rsidR="00632BD7" w:rsidRPr="00E03D2C" w:rsidRDefault="00632BD7">
            <w:pPr>
              <w:pStyle w:val="TableReference"/>
              <w:tabs>
                <w:tab w:val="left" w:pos="3306"/>
              </w:tabs>
              <w:rPr>
                <w:rFonts w:cs="Calibri"/>
                <w:color w:val="7030A0"/>
                <w:sz w:val="14"/>
              </w:rPr>
            </w:pPr>
          </w:p>
          <w:p w14:paraId="0CE525A2" w14:textId="77777777" w:rsidR="00632BD7" w:rsidRPr="00E03D2C" w:rsidRDefault="00632BD7">
            <w:pPr>
              <w:pStyle w:val="TableReference"/>
              <w:tabs>
                <w:tab w:val="left" w:pos="3306"/>
              </w:tabs>
              <w:rPr>
                <w:rFonts w:cs="Calibri"/>
                <w:color w:val="7030A0"/>
                <w:sz w:val="14"/>
              </w:rPr>
            </w:pPr>
          </w:p>
          <w:p w14:paraId="59C2DF80" w14:textId="77777777" w:rsidR="00632BD7" w:rsidRPr="00E03D2C" w:rsidRDefault="00632BD7">
            <w:pPr>
              <w:pStyle w:val="TableReference"/>
              <w:tabs>
                <w:tab w:val="left" w:pos="3306"/>
              </w:tabs>
              <w:rPr>
                <w:rFonts w:cs="Calibri"/>
                <w:color w:val="7030A0"/>
                <w:sz w:val="14"/>
              </w:rPr>
            </w:pPr>
            <w:r w:rsidRPr="00E03D2C">
              <w:rPr>
                <w:rFonts w:cs="Calibri"/>
                <w:color w:val="7030A0"/>
                <w:sz w:val="14"/>
              </w:rPr>
              <w:t>ACT Disclosure Policy</w:t>
            </w:r>
          </w:p>
        </w:tc>
        <w:tc>
          <w:tcPr>
            <w:tcW w:w="8932" w:type="dxa"/>
            <w:gridSpan w:val="16"/>
            <w:tcBorders>
              <w:left w:val="single" w:sz="2" w:space="0" w:color="auto"/>
            </w:tcBorders>
            <w:shd w:val="clear" w:color="auto" w:fill="7030A0"/>
          </w:tcPr>
          <w:p w14:paraId="719F0E1E" w14:textId="77777777" w:rsidR="00632BD7" w:rsidRPr="00B330CA" w:rsidRDefault="00632BD7" w:rsidP="00C87FF4">
            <w:pPr>
              <w:pStyle w:val="CommentaryTitle"/>
              <w:pageBreakBefore w:val="0"/>
              <w:tabs>
                <w:tab w:val="left" w:pos="3306"/>
              </w:tabs>
              <w:spacing w:before="0" w:after="40"/>
              <w:rPr>
                <w:rFonts w:cs="Calibri"/>
                <w:color w:val="FFFFFF" w:themeColor="background1"/>
                <w:sz w:val="20"/>
                <w:szCs w:val="20"/>
              </w:rPr>
            </w:pPr>
            <w:r w:rsidRPr="00B330CA">
              <w:rPr>
                <w:rFonts w:cs="Calibri"/>
                <w:color w:val="FFFFFF" w:themeColor="background1"/>
                <w:sz w:val="20"/>
                <w:szCs w:val="20"/>
              </w:rPr>
              <w:t>Time Bands</w:t>
            </w:r>
          </w:p>
          <w:p w14:paraId="7DED90E7" w14:textId="17C9557E" w:rsidR="00632BD7" w:rsidRPr="00F33E86" w:rsidRDefault="00982FF2" w:rsidP="00C6164F">
            <w:pPr>
              <w:pStyle w:val="CommentaryTitle"/>
              <w:pageBreakBefore w:val="0"/>
              <w:tabs>
                <w:tab w:val="left" w:pos="3306"/>
              </w:tabs>
              <w:spacing w:before="0" w:after="120"/>
              <w:jc w:val="both"/>
              <w:rPr>
                <w:rFonts w:cs="Calibri"/>
                <w:b w:val="0"/>
                <w:color w:val="FFFFFF" w:themeColor="background1"/>
                <w:sz w:val="18"/>
                <w:szCs w:val="18"/>
              </w:rPr>
            </w:pPr>
            <w:r w:rsidRPr="00F33E86">
              <w:rPr>
                <w:rFonts w:cs="Calibri"/>
                <w:b w:val="0"/>
                <w:color w:val="FFFFFF" w:themeColor="background1"/>
                <w:sz w:val="18"/>
                <w:szCs w:val="18"/>
              </w:rPr>
              <w:t>Whilst there is no requirement in the accounting standards to disclose cap</w:t>
            </w:r>
            <w:r w:rsidR="00462131" w:rsidRPr="00F33E86">
              <w:rPr>
                <w:rFonts w:cs="Calibri"/>
                <w:b w:val="0"/>
                <w:color w:val="FFFFFF" w:themeColor="background1"/>
                <w:sz w:val="18"/>
                <w:szCs w:val="18"/>
              </w:rPr>
              <w:t>it</w:t>
            </w:r>
            <w:r w:rsidRPr="00F33E86">
              <w:rPr>
                <w:rFonts w:cs="Calibri"/>
                <w:b w:val="0"/>
                <w:color w:val="FFFFFF" w:themeColor="background1"/>
                <w:sz w:val="18"/>
                <w:szCs w:val="18"/>
              </w:rPr>
              <w:t>al and expenditure commitments by time bands, ACT Disclosure Policy requires this since it is considered to provide useful information to the users of financial statements.</w:t>
            </w:r>
          </w:p>
        </w:tc>
      </w:tr>
      <w:tr w:rsidR="004A2379" w:rsidRPr="00CF7E1B" w14:paraId="4B140628" w14:textId="77777777" w:rsidTr="005F6493">
        <w:trPr>
          <w:gridAfter w:val="2"/>
          <w:wAfter w:w="9468" w:type="dxa"/>
          <w:trHeight w:val="283"/>
        </w:trPr>
        <w:tc>
          <w:tcPr>
            <w:tcW w:w="1562" w:type="dxa"/>
            <w:tcBorders>
              <w:left w:val="single" w:sz="2" w:space="0" w:color="auto"/>
              <w:right w:val="single" w:sz="2" w:space="0" w:color="auto"/>
            </w:tcBorders>
          </w:tcPr>
          <w:p w14:paraId="3FD6FAB6" w14:textId="77777777" w:rsidR="004A2379" w:rsidRPr="00E03D2C" w:rsidRDefault="004A2379">
            <w:pPr>
              <w:pStyle w:val="TableReference"/>
              <w:tabs>
                <w:tab w:val="left" w:pos="3306"/>
              </w:tabs>
              <w:rPr>
                <w:rFonts w:cs="Calibri"/>
                <w:color w:val="7030A0"/>
                <w:sz w:val="14"/>
              </w:rPr>
            </w:pPr>
          </w:p>
        </w:tc>
        <w:tc>
          <w:tcPr>
            <w:tcW w:w="8932" w:type="dxa"/>
            <w:gridSpan w:val="16"/>
            <w:tcBorders>
              <w:left w:val="single" w:sz="2" w:space="0" w:color="auto"/>
            </w:tcBorders>
            <w:shd w:val="clear" w:color="auto" w:fill="7030A0"/>
          </w:tcPr>
          <w:p w14:paraId="355CFAF3" w14:textId="77777777" w:rsidR="004A2379" w:rsidRPr="00B330CA" w:rsidRDefault="004A2379" w:rsidP="00C87FF4">
            <w:pPr>
              <w:pStyle w:val="Commentary-Bullet"/>
              <w:numPr>
                <w:ilvl w:val="0"/>
                <w:numId w:val="0"/>
              </w:numPr>
              <w:tabs>
                <w:tab w:val="num" w:pos="459"/>
              </w:tabs>
              <w:spacing w:after="40"/>
              <w:ind w:left="357" w:hanging="357"/>
              <w:rPr>
                <w:rFonts w:cs="Calibri"/>
                <w:b/>
                <w:color w:val="FFFFFF" w:themeColor="background1"/>
                <w:szCs w:val="20"/>
              </w:rPr>
            </w:pPr>
            <w:r w:rsidRPr="00B330CA">
              <w:rPr>
                <w:rFonts w:cs="Calibri"/>
                <w:b/>
                <w:color w:val="FFFFFF" w:themeColor="background1"/>
                <w:szCs w:val="20"/>
              </w:rPr>
              <w:t>Public Private Partnerships</w:t>
            </w:r>
          </w:p>
        </w:tc>
      </w:tr>
      <w:tr w:rsidR="004A2379" w:rsidRPr="00CF7E1B" w14:paraId="63145EFF" w14:textId="77777777" w:rsidTr="005F6493">
        <w:trPr>
          <w:gridAfter w:val="2"/>
          <w:wAfter w:w="9468" w:type="dxa"/>
          <w:trHeight w:val="283"/>
        </w:trPr>
        <w:tc>
          <w:tcPr>
            <w:tcW w:w="1562" w:type="dxa"/>
            <w:tcBorders>
              <w:left w:val="single" w:sz="2" w:space="0" w:color="auto"/>
              <w:right w:val="single" w:sz="2" w:space="0" w:color="auto"/>
            </w:tcBorders>
          </w:tcPr>
          <w:p w14:paraId="5A3D0A1E" w14:textId="77777777" w:rsidR="004A2379" w:rsidRPr="00E03D2C" w:rsidRDefault="00E3743B" w:rsidP="00E3743B">
            <w:pPr>
              <w:pStyle w:val="TableReference"/>
              <w:tabs>
                <w:tab w:val="left" w:pos="3306"/>
              </w:tabs>
              <w:rPr>
                <w:rFonts w:cs="Calibri"/>
                <w:color w:val="7030A0"/>
                <w:sz w:val="14"/>
              </w:rPr>
            </w:pPr>
            <w:r w:rsidRPr="00E03D2C">
              <w:rPr>
                <w:rFonts w:cs="Calibri"/>
                <w:color w:val="7030A0"/>
                <w:sz w:val="14"/>
              </w:rPr>
              <w:t>ACT Accounting Policy</w:t>
            </w:r>
          </w:p>
        </w:tc>
        <w:tc>
          <w:tcPr>
            <w:tcW w:w="8932" w:type="dxa"/>
            <w:gridSpan w:val="16"/>
            <w:tcBorders>
              <w:left w:val="single" w:sz="2" w:space="0" w:color="auto"/>
            </w:tcBorders>
            <w:shd w:val="clear" w:color="auto" w:fill="7030A0"/>
          </w:tcPr>
          <w:p w14:paraId="72B9F5B7" w14:textId="4813EE93" w:rsidR="004A2379" w:rsidRPr="00F33E86" w:rsidRDefault="004A2379" w:rsidP="00B26109">
            <w:pPr>
              <w:pStyle w:val="Commentary-Bullet"/>
              <w:numPr>
                <w:ilvl w:val="0"/>
                <w:numId w:val="0"/>
              </w:numPr>
              <w:spacing w:after="120"/>
              <w:rPr>
                <w:rFonts w:cs="Calibri"/>
                <w:color w:val="FFFFFF" w:themeColor="background1"/>
                <w:sz w:val="18"/>
                <w:szCs w:val="18"/>
              </w:rPr>
            </w:pPr>
            <w:r w:rsidRPr="00F33E86">
              <w:rPr>
                <w:rFonts w:cs="Calibri"/>
                <w:color w:val="FFFFFF" w:themeColor="background1"/>
                <w:sz w:val="18"/>
                <w:szCs w:val="18"/>
              </w:rPr>
              <w:t xml:space="preserve">Agencies that have entered into Public Private Partnerships will </w:t>
            </w:r>
            <w:r w:rsidR="00B26109" w:rsidRPr="00F33E86">
              <w:rPr>
                <w:rFonts w:cs="Calibri"/>
                <w:color w:val="FFFFFF" w:themeColor="background1"/>
                <w:sz w:val="18"/>
                <w:szCs w:val="18"/>
              </w:rPr>
              <w:t>disclose</w:t>
            </w:r>
            <w:r w:rsidRPr="00F33E86">
              <w:rPr>
                <w:rFonts w:cs="Calibri"/>
                <w:color w:val="FFFFFF" w:themeColor="background1"/>
                <w:sz w:val="18"/>
                <w:szCs w:val="18"/>
              </w:rPr>
              <w:t xml:space="preserve"> the commitments under these arrangements, including lease commitments </w:t>
            </w:r>
            <w:r w:rsidR="00E3743B" w:rsidRPr="00F33E86">
              <w:rPr>
                <w:rFonts w:cs="Calibri"/>
                <w:color w:val="FFFFFF" w:themeColor="background1"/>
                <w:sz w:val="18"/>
                <w:szCs w:val="18"/>
              </w:rPr>
              <w:t>(minimum lease payments and finances charges) and capital and operating commitments.</w:t>
            </w:r>
            <w:r w:rsidR="00FA7C77">
              <w:rPr>
                <w:rFonts w:cs="Calibri"/>
                <w:color w:val="FFFFFF" w:themeColor="background1"/>
                <w:sz w:val="18"/>
                <w:szCs w:val="18"/>
              </w:rPr>
              <w:t xml:space="preserve"> </w:t>
            </w:r>
            <w:r w:rsidRPr="00F33E86">
              <w:rPr>
                <w:rFonts w:cs="Calibri"/>
                <w:color w:val="FFFFFF" w:themeColor="background1"/>
                <w:sz w:val="18"/>
                <w:szCs w:val="18"/>
              </w:rPr>
              <w:t xml:space="preserve"> </w:t>
            </w:r>
          </w:p>
        </w:tc>
      </w:tr>
      <w:tr w:rsidR="009B1F1A" w:rsidRPr="00CF7E1B" w14:paraId="3E5A1A2B" w14:textId="77777777" w:rsidTr="005F6493">
        <w:trPr>
          <w:gridAfter w:val="2"/>
          <w:wAfter w:w="9468" w:type="dxa"/>
          <w:trHeight w:val="283"/>
        </w:trPr>
        <w:tc>
          <w:tcPr>
            <w:tcW w:w="1562" w:type="dxa"/>
            <w:tcBorders>
              <w:left w:val="single" w:sz="2" w:space="0" w:color="auto"/>
              <w:right w:val="single" w:sz="2" w:space="0" w:color="auto"/>
            </w:tcBorders>
          </w:tcPr>
          <w:p w14:paraId="1F8D3DAC" w14:textId="77777777" w:rsidR="009B1F1A" w:rsidRPr="00E03D2C" w:rsidRDefault="009B1F1A">
            <w:pPr>
              <w:pStyle w:val="TableReference"/>
              <w:tabs>
                <w:tab w:val="left" w:pos="3306"/>
              </w:tabs>
              <w:rPr>
                <w:rFonts w:cs="Calibri"/>
                <w:color w:val="7030A0"/>
                <w:sz w:val="16"/>
                <w:szCs w:val="16"/>
              </w:rPr>
            </w:pPr>
          </w:p>
        </w:tc>
        <w:tc>
          <w:tcPr>
            <w:tcW w:w="8932" w:type="dxa"/>
            <w:gridSpan w:val="16"/>
            <w:tcBorders>
              <w:left w:val="single" w:sz="2" w:space="0" w:color="auto"/>
            </w:tcBorders>
            <w:shd w:val="clear" w:color="auto" w:fill="7030A0"/>
          </w:tcPr>
          <w:p w14:paraId="0883AB95" w14:textId="77777777" w:rsidR="009B1F1A" w:rsidRPr="00B330CA" w:rsidRDefault="009B1F1A" w:rsidP="00C87FF4">
            <w:pPr>
              <w:pStyle w:val="Commentary-Bullet"/>
              <w:numPr>
                <w:ilvl w:val="0"/>
                <w:numId w:val="0"/>
              </w:numPr>
              <w:spacing w:after="40"/>
              <w:ind w:left="414" w:hanging="357"/>
              <w:rPr>
                <w:rFonts w:cs="Calibri"/>
                <w:b/>
                <w:color w:val="FFFFFF" w:themeColor="background1"/>
                <w:szCs w:val="20"/>
              </w:rPr>
            </w:pPr>
            <w:r w:rsidRPr="00B330CA">
              <w:rPr>
                <w:rFonts w:cs="Calibri"/>
                <w:b/>
                <w:color w:val="FFFFFF" w:themeColor="background1"/>
                <w:szCs w:val="20"/>
              </w:rPr>
              <w:t>No Material Commitments</w:t>
            </w:r>
          </w:p>
        </w:tc>
      </w:tr>
      <w:tr w:rsidR="009B1F1A" w:rsidRPr="00CF7E1B" w14:paraId="6E5E12F7" w14:textId="77777777" w:rsidTr="005F6493">
        <w:trPr>
          <w:gridAfter w:val="2"/>
          <w:wAfter w:w="9468" w:type="dxa"/>
          <w:trHeight w:val="283"/>
        </w:trPr>
        <w:tc>
          <w:tcPr>
            <w:tcW w:w="1562" w:type="dxa"/>
            <w:tcBorders>
              <w:left w:val="single" w:sz="2" w:space="0" w:color="auto"/>
              <w:right w:val="single" w:sz="2" w:space="0" w:color="auto"/>
            </w:tcBorders>
          </w:tcPr>
          <w:p w14:paraId="21AAAF73" w14:textId="77777777" w:rsidR="009B1F1A" w:rsidRPr="00E03D2C" w:rsidRDefault="009B1F1A">
            <w:pPr>
              <w:pStyle w:val="TableReference"/>
              <w:tabs>
                <w:tab w:val="left" w:pos="3306"/>
              </w:tabs>
              <w:rPr>
                <w:rFonts w:cs="Calibri"/>
                <w:color w:val="7030A0"/>
                <w:sz w:val="16"/>
                <w:szCs w:val="16"/>
              </w:rPr>
            </w:pPr>
          </w:p>
        </w:tc>
        <w:tc>
          <w:tcPr>
            <w:tcW w:w="8932" w:type="dxa"/>
            <w:gridSpan w:val="16"/>
            <w:tcBorders>
              <w:left w:val="single" w:sz="2" w:space="0" w:color="auto"/>
            </w:tcBorders>
            <w:shd w:val="clear" w:color="auto" w:fill="7030A0"/>
          </w:tcPr>
          <w:p w14:paraId="2C19A1B9" w14:textId="77777777" w:rsidR="009B1F1A" w:rsidRPr="00F33E86" w:rsidRDefault="009B1F1A" w:rsidP="009B1F1A">
            <w:pPr>
              <w:pStyle w:val="Commentary-Bullet"/>
              <w:numPr>
                <w:ilvl w:val="0"/>
                <w:numId w:val="0"/>
              </w:numPr>
              <w:spacing w:after="120"/>
              <w:ind w:left="417" w:hanging="360"/>
              <w:rPr>
                <w:rFonts w:cs="Calibri"/>
                <w:color w:val="FFFFFF" w:themeColor="background1"/>
                <w:sz w:val="18"/>
                <w:szCs w:val="18"/>
              </w:rPr>
            </w:pPr>
            <w:r w:rsidRPr="00F33E86">
              <w:rPr>
                <w:rFonts w:cs="Calibri"/>
                <w:color w:val="FFFFFF" w:themeColor="background1"/>
                <w:sz w:val="18"/>
                <w:szCs w:val="18"/>
              </w:rPr>
              <w:t>If an agency has no material commitments, this note can be excluded.</w:t>
            </w:r>
          </w:p>
        </w:tc>
      </w:tr>
      <w:tr w:rsidR="00221E00" w:rsidRPr="00CF7E1B" w14:paraId="458D4B2A" w14:textId="77777777" w:rsidTr="005F6493">
        <w:trPr>
          <w:gridAfter w:val="2"/>
          <w:wAfter w:w="9468" w:type="dxa"/>
          <w:trHeight w:val="283"/>
        </w:trPr>
        <w:tc>
          <w:tcPr>
            <w:tcW w:w="1562" w:type="dxa"/>
            <w:tcBorders>
              <w:left w:val="single" w:sz="2" w:space="0" w:color="auto"/>
              <w:right w:val="single" w:sz="2" w:space="0" w:color="auto"/>
            </w:tcBorders>
          </w:tcPr>
          <w:p w14:paraId="646D081B" w14:textId="77777777" w:rsidR="00221E00" w:rsidRPr="00E03D2C" w:rsidRDefault="00221E00">
            <w:pPr>
              <w:pStyle w:val="TableReference"/>
              <w:tabs>
                <w:tab w:val="left" w:pos="3306"/>
              </w:tabs>
              <w:rPr>
                <w:rFonts w:cs="Calibri"/>
                <w:color w:val="7030A0"/>
                <w:sz w:val="16"/>
                <w:szCs w:val="16"/>
              </w:rPr>
            </w:pPr>
          </w:p>
        </w:tc>
        <w:tc>
          <w:tcPr>
            <w:tcW w:w="8932" w:type="dxa"/>
            <w:gridSpan w:val="16"/>
            <w:tcBorders>
              <w:left w:val="single" w:sz="2" w:space="0" w:color="auto"/>
            </w:tcBorders>
            <w:shd w:val="clear" w:color="auto" w:fill="auto"/>
          </w:tcPr>
          <w:p w14:paraId="45DCE014" w14:textId="77777777" w:rsidR="00221E00" w:rsidRPr="00F33E86" w:rsidRDefault="00221E00" w:rsidP="009B1F1A">
            <w:pPr>
              <w:pStyle w:val="Commentary-Bullet"/>
              <w:numPr>
                <w:ilvl w:val="0"/>
                <w:numId w:val="0"/>
              </w:numPr>
              <w:spacing w:after="120"/>
              <w:ind w:left="417" w:hanging="360"/>
              <w:rPr>
                <w:rFonts w:cs="Calibri"/>
                <w:color w:val="FFFFFF" w:themeColor="background1"/>
                <w:sz w:val="18"/>
                <w:szCs w:val="18"/>
              </w:rPr>
            </w:pPr>
          </w:p>
        </w:tc>
      </w:tr>
      <w:tr w:rsidR="000144FF" w:rsidRPr="00CF7E1B" w14:paraId="6E24BE3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0D1276D0" w14:textId="113D8F0C" w:rsidR="000144FF" w:rsidRPr="00F33E86" w:rsidRDefault="000144FF" w:rsidP="00F700E5">
            <w:pPr>
              <w:pStyle w:val="TableReference"/>
              <w:tabs>
                <w:tab w:val="left" w:pos="3306"/>
              </w:tabs>
              <w:spacing w:before="240"/>
              <w:rPr>
                <w:rFonts w:cs="Calibri"/>
                <w:b/>
                <w:color w:val="7030A0"/>
                <w:sz w:val="22"/>
                <w:szCs w:val="22"/>
              </w:rPr>
            </w:pPr>
            <w:bookmarkStart w:id="805" w:name="ContingentLiabAndAssets" w:colFirst="1" w:colLast="1"/>
          </w:p>
        </w:tc>
        <w:tc>
          <w:tcPr>
            <w:tcW w:w="8932" w:type="dxa"/>
            <w:gridSpan w:val="16"/>
            <w:tcBorders>
              <w:top w:val="nil"/>
              <w:left w:val="single" w:sz="2" w:space="0" w:color="auto"/>
              <w:bottom w:val="nil"/>
              <w:right w:val="nil"/>
            </w:tcBorders>
          </w:tcPr>
          <w:p w14:paraId="1864CD4D" w14:textId="051370BC" w:rsidR="000144FF" w:rsidRPr="00F33E86" w:rsidRDefault="00F700E5" w:rsidP="00DC5C39">
            <w:pPr>
              <w:pStyle w:val="Heading1"/>
              <w:numPr>
                <w:ilvl w:val="0"/>
                <w:numId w:val="0"/>
              </w:numPr>
            </w:pPr>
            <w:bookmarkStart w:id="806" w:name="_Toc49224221"/>
            <w:bookmarkStart w:id="807" w:name="_Ref50365693"/>
            <w:bookmarkStart w:id="808" w:name="_Toc50440392"/>
            <w:bookmarkStart w:id="809" w:name="_Ref50524242"/>
            <w:bookmarkStart w:id="810" w:name="_Toc400627359"/>
            <w:bookmarkStart w:id="811" w:name="_Toc132743825"/>
            <w:r w:rsidRPr="00F33E86">
              <w:t>Note</w:t>
            </w:r>
            <w:r w:rsidR="00794322" w:rsidRPr="00F33E86">
              <w:t xml:space="preserve"> </w:t>
            </w:r>
            <w:r w:rsidR="0007497D" w:rsidRPr="00F33E86">
              <w:t>33</w:t>
            </w:r>
            <w:r w:rsidR="00794322" w:rsidRPr="00F33E86">
              <w:t>.</w:t>
            </w:r>
            <w:r w:rsidR="00FA7C77">
              <w:t xml:space="preserve"> </w:t>
            </w:r>
            <w:r w:rsidRPr="00F33E86">
              <w:t xml:space="preserve"> </w:t>
            </w:r>
            <w:r w:rsidR="00421579" w:rsidRPr="00F33E86">
              <w:t>C</w:t>
            </w:r>
            <w:r w:rsidR="000144FF" w:rsidRPr="00F33E86">
              <w:t>ontingent Liabilities and Contingent Assets</w:t>
            </w:r>
            <w:bookmarkEnd w:id="806"/>
            <w:bookmarkEnd w:id="807"/>
            <w:bookmarkEnd w:id="808"/>
            <w:bookmarkEnd w:id="809"/>
            <w:bookmarkEnd w:id="810"/>
            <w:bookmarkEnd w:id="811"/>
          </w:p>
        </w:tc>
      </w:tr>
      <w:tr w:rsidR="00BD13B2" w:rsidRPr="00CF7E1B" w14:paraId="53032F6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438A59AE"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16"/>
            <w:tcBorders>
              <w:top w:val="nil"/>
              <w:left w:val="single" w:sz="2" w:space="0" w:color="auto"/>
              <w:bottom w:val="nil"/>
              <w:right w:val="nil"/>
            </w:tcBorders>
          </w:tcPr>
          <w:p w14:paraId="2D9F4ABE" w14:textId="36CC3985" w:rsidR="00BD13B2" w:rsidRPr="00F33E86" w:rsidRDefault="00A46357" w:rsidP="00DC5C39">
            <w:pPr>
              <w:pStyle w:val="TableTitle"/>
              <w:jc w:val="both"/>
              <w:rPr>
                <w:rFonts w:cs="Calibri"/>
                <w:bCs w:val="0"/>
                <w:iCs/>
              </w:rPr>
            </w:pPr>
            <w:r w:rsidRPr="00F33E86">
              <w:t>Material Accounting Policies Relating to Contingent Liabilities and Contingent Assets</w:t>
            </w:r>
          </w:p>
        </w:tc>
      </w:tr>
      <w:tr w:rsidR="00BD13B2" w:rsidRPr="00CF7E1B" w14:paraId="3E8551F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43E2FDD4"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16"/>
            <w:tcBorders>
              <w:top w:val="nil"/>
              <w:left w:val="single" w:sz="2" w:space="0" w:color="auto"/>
              <w:bottom w:val="nil"/>
              <w:right w:val="nil"/>
            </w:tcBorders>
          </w:tcPr>
          <w:p w14:paraId="763085AE" w14:textId="6DDD09F2" w:rsidR="00BD13B2" w:rsidRPr="00F33E86" w:rsidRDefault="00BD13B2" w:rsidP="00DC5C39">
            <w:pPr>
              <w:pStyle w:val="TableTitle"/>
              <w:jc w:val="both"/>
              <w:rPr>
                <w:rFonts w:cs="Calibri"/>
                <w:b w:val="0"/>
                <w:bCs w:val="0"/>
                <w:iCs/>
              </w:rPr>
            </w:pPr>
            <w:r w:rsidRPr="00F33E86">
              <w:rPr>
                <w:b w:val="0"/>
                <w:bCs w:val="0"/>
              </w:rPr>
              <w:t xml:space="preserve">Contingent </w:t>
            </w:r>
            <w:r w:rsidR="00336100" w:rsidRPr="00F33E86">
              <w:rPr>
                <w:b w:val="0"/>
                <w:bCs w:val="0"/>
              </w:rPr>
              <w:t xml:space="preserve">liabilities </w:t>
            </w:r>
            <w:r w:rsidRPr="00F33E86">
              <w:rPr>
                <w:b w:val="0"/>
                <w:bCs w:val="0"/>
              </w:rPr>
              <w:t xml:space="preserve">and </w:t>
            </w:r>
            <w:r w:rsidR="00336100" w:rsidRPr="00F33E86">
              <w:rPr>
                <w:b w:val="0"/>
                <w:bCs w:val="0"/>
              </w:rPr>
              <w:t xml:space="preserve">contingent assets </w:t>
            </w:r>
            <w:r w:rsidRPr="00F33E86">
              <w:rPr>
                <w:b w:val="0"/>
                <w:bCs w:val="0"/>
              </w:rPr>
              <w:t xml:space="preserve">are not recognised in the </w:t>
            </w:r>
            <w:r w:rsidR="00336100" w:rsidRPr="00F33E86">
              <w:rPr>
                <w:b w:val="0"/>
                <w:bCs w:val="0"/>
              </w:rPr>
              <w:t xml:space="preserve">Balance Sheet </w:t>
            </w:r>
            <w:r w:rsidR="00A46357" w:rsidRPr="00F33E86">
              <w:rPr>
                <w:b w:val="0"/>
                <w:bCs w:val="0"/>
              </w:rPr>
              <w:t xml:space="preserve">due to </w:t>
            </w:r>
            <w:r w:rsidR="00A9529E" w:rsidRPr="00F33E86">
              <w:rPr>
                <w:b w:val="0"/>
                <w:bCs w:val="0"/>
              </w:rPr>
              <w:t xml:space="preserve">the </w:t>
            </w:r>
            <w:r w:rsidR="00A46357" w:rsidRPr="00F33E86">
              <w:rPr>
                <w:b w:val="0"/>
                <w:bCs w:val="0"/>
              </w:rPr>
              <w:t>uncertainty regarding any possible amount or timing of any underlying claim or obligation</w:t>
            </w:r>
            <w:r w:rsidR="00A9529E" w:rsidRPr="00F33E86">
              <w:rPr>
                <w:b w:val="0"/>
                <w:bCs w:val="0"/>
              </w:rPr>
              <w:t>.</w:t>
            </w:r>
            <w:r w:rsidR="00FA7C77">
              <w:rPr>
                <w:b w:val="0"/>
                <w:bCs w:val="0"/>
              </w:rPr>
              <w:t xml:space="preserve"> </w:t>
            </w:r>
            <w:r w:rsidR="00A9529E" w:rsidRPr="00F33E86">
              <w:rPr>
                <w:b w:val="0"/>
                <w:bCs w:val="0"/>
              </w:rPr>
              <w:t xml:space="preserve">Instead they are </w:t>
            </w:r>
            <w:r w:rsidRPr="00F33E86">
              <w:rPr>
                <w:b w:val="0"/>
                <w:bCs w:val="0"/>
              </w:rPr>
              <w:t>disclosed and, if quantifiable, the best estimate is disclosed</w:t>
            </w:r>
            <w:r w:rsidR="00336100" w:rsidRPr="00F33E86">
              <w:rPr>
                <w:b w:val="0"/>
                <w:bCs w:val="0"/>
              </w:rPr>
              <w:t>.</w:t>
            </w:r>
          </w:p>
        </w:tc>
      </w:tr>
      <w:bookmarkEnd w:id="805"/>
      <w:tr w:rsidR="000144FF" w:rsidRPr="00CF7E1B" w14:paraId="473DF8A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12A31E01" w14:textId="77777777" w:rsidR="000144FF" w:rsidRPr="00F33E86" w:rsidRDefault="000144FF">
            <w:pPr>
              <w:pStyle w:val="TableReference"/>
              <w:tabs>
                <w:tab w:val="left" w:pos="3306"/>
              </w:tabs>
              <w:spacing w:before="60"/>
              <w:rPr>
                <w:rFonts w:cs="Calibri"/>
                <w:color w:val="7030A0"/>
                <w:sz w:val="16"/>
                <w:szCs w:val="16"/>
              </w:rPr>
            </w:pPr>
          </w:p>
        </w:tc>
        <w:tc>
          <w:tcPr>
            <w:tcW w:w="8932" w:type="dxa"/>
            <w:gridSpan w:val="16"/>
            <w:tcBorders>
              <w:top w:val="nil"/>
              <w:left w:val="single" w:sz="2" w:space="0" w:color="auto"/>
              <w:bottom w:val="nil"/>
              <w:right w:val="nil"/>
            </w:tcBorders>
          </w:tcPr>
          <w:p w14:paraId="16C2B8F3" w14:textId="77777777" w:rsidR="000144FF" w:rsidRPr="00F33E86" w:rsidRDefault="000144FF" w:rsidP="00BD13B2">
            <w:pPr>
              <w:pStyle w:val="TableTitle"/>
              <w:spacing w:before="120"/>
              <w:jc w:val="both"/>
              <w:rPr>
                <w:rFonts w:cs="Calibri"/>
                <w:bCs w:val="0"/>
                <w:iCs/>
              </w:rPr>
            </w:pPr>
            <w:r w:rsidRPr="00F33E86">
              <w:rPr>
                <w:rFonts w:cs="Calibri"/>
                <w:bCs w:val="0"/>
                <w:iCs/>
              </w:rPr>
              <w:t>Contamination of Land</w:t>
            </w:r>
          </w:p>
        </w:tc>
      </w:tr>
      <w:tr w:rsidR="0049731D" w:rsidRPr="00CF7E1B" w14:paraId="3EB2E59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7ECD21AE" w14:textId="77777777" w:rsidR="0049731D" w:rsidRPr="00F33E86" w:rsidRDefault="0049731D" w:rsidP="0049731D">
            <w:pPr>
              <w:pStyle w:val="TableReference"/>
              <w:tabs>
                <w:tab w:val="left" w:pos="3306"/>
              </w:tabs>
              <w:spacing w:before="60"/>
              <w:rPr>
                <w:rFonts w:cs="Calibri"/>
                <w:color w:val="7030A0"/>
                <w:sz w:val="14"/>
              </w:rPr>
            </w:pPr>
            <w:r w:rsidRPr="00F33E86">
              <w:rPr>
                <w:rFonts w:cs="Calibri"/>
                <w:color w:val="7030A0"/>
                <w:sz w:val="14"/>
              </w:rPr>
              <w:t>AASB 137.86</w:t>
            </w:r>
          </w:p>
          <w:p w14:paraId="5449C8F6" w14:textId="77777777" w:rsidR="0049731D" w:rsidRPr="00F33E86" w:rsidRDefault="0049731D">
            <w:pPr>
              <w:pStyle w:val="TableReference"/>
              <w:tabs>
                <w:tab w:val="left" w:pos="3306"/>
              </w:tabs>
              <w:spacing w:before="60"/>
              <w:rPr>
                <w:rFonts w:cs="Calibri"/>
                <w:color w:val="7030A0"/>
                <w:sz w:val="14"/>
              </w:rPr>
            </w:pPr>
          </w:p>
        </w:tc>
        <w:tc>
          <w:tcPr>
            <w:tcW w:w="8932" w:type="dxa"/>
            <w:gridSpan w:val="16"/>
            <w:tcBorders>
              <w:top w:val="nil"/>
              <w:left w:val="single" w:sz="2" w:space="0" w:color="auto"/>
              <w:bottom w:val="nil"/>
              <w:right w:val="nil"/>
            </w:tcBorders>
          </w:tcPr>
          <w:p w14:paraId="2DAF71F1" w14:textId="409236BA" w:rsidR="0049731D" w:rsidRPr="00F33E86" w:rsidRDefault="0049731D" w:rsidP="00C6164F">
            <w:pPr>
              <w:pStyle w:val="TableText"/>
              <w:spacing w:before="0" w:after="80"/>
              <w:jc w:val="both"/>
              <w:rPr>
                <w:rFonts w:cs="Calibri"/>
              </w:rPr>
            </w:pPr>
            <w:r w:rsidRPr="00F33E86">
              <w:rPr>
                <w:rFonts w:cs="Calibri"/>
              </w:rPr>
              <w:t xml:space="preserve">During July </w:t>
            </w:r>
            <w:r w:rsidR="00226363" w:rsidRPr="00F33E86">
              <w:rPr>
                <w:rFonts w:cs="Calibri"/>
              </w:rPr>
              <w:t>202</w:t>
            </w:r>
            <w:r w:rsidR="00CC4706">
              <w:rPr>
                <w:rFonts w:cs="Calibri"/>
              </w:rPr>
              <w:t>2</w:t>
            </w:r>
            <w:r w:rsidRPr="00F33E86">
              <w:rPr>
                <w:rFonts w:cs="Calibri"/>
              </w:rPr>
              <w:t>, the Agency disposed of waste material by burying it in landfill.</w:t>
            </w:r>
            <w:r w:rsidR="00FA7C77">
              <w:rPr>
                <w:rFonts w:cs="Calibri"/>
              </w:rPr>
              <w:t xml:space="preserve"> </w:t>
            </w:r>
            <w:r w:rsidRPr="00F33E86">
              <w:rPr>
                <w:rFonts w:cs="Calibri"/>
              </w:rPr>
              <w:t xml:space="preserve">In November </w:t>
            </w:r>
            <w:r w:rsidR="00226363" w:rsidRPr="00F33E86">
              <w:rPr>
                <w:rFonts w:cs="Calibri"/>
              </w:rPr>
              <w:t>202</w:t>
            </w:r>
            <w:r w:rsidR="00CC4706">
              <w:rPr>
                <w:rFonts w:cs="Calibri"/>
              </w:rPr>
              <w:t>2</w:t>
            </w:r>
            <w:r w:rsidRPr="00F33E86">
              <w:rPr>
                <w:rFonts w:cs="Calibri"/>
              </w:rPr>
              <w:t>, it was discovered that the waste had leaked from the containers and contaminated the area in which it was buried.</w:t>
            </w:r>
            <w:r w:rsidR="00FA7C77">
              <w:rPr>
                <w:rFonts w:cs="Calibri"/>
              </w:rPr>
              <w:t xml:space="preserve"> </w:t>
            </w:r>
            <w:r w:rsidRPr="00F33E86">
              <w:rPr>
                <w:rFonts w:cs="Calibri"/>
              </w:rPr>
              <w:t>The Agency has undertaken to clean up the contaminated area where the waste was buried.</w:t>
            </w:r>
            <w:r w:rsidR="00FA7C77">
              <w:rPr>
                <w:rFonts w:cs="Calibri"/>
              </w:rPr>
              <w:t xml:space="preserve"> </w:t>
            </w:r>
            <w:r w:rsidRPr="00F33E86">
              <w:rPr>
                <w:rFonts w:cs="Calibri"/>
              </w:rPr>
              <w:t>The clean-up of the contaminated area will be completed over the next two years at an approximate cost of $xxx.</w:t>
            </w:r>
            <w:r w:rsidR="00FA7C77">
              <w:rPr>
                <w:rFonts w:cs="Calibri"/>
              </w:rPr>
              <w:t xml:space="preserve"> </w:t>
            </w:r>
            <w:r w:rsidRPr="00F33E86">
              <w:rPr>
                <w:rFonts w:cs="Calibri"/>
              </w:rPr>
              <w:t xml:space="preserve">This amount has been recognised as a provision (for further details see Note </w:t>
            </w:r>
            <w:r w:rsidR="0007497D" w:rsidRPr="00F33E86">
              <w:rPr>
                <w:rFonts w:cs="Calibri"/>
              </w:rPr>
              <w:t>28</w:t>
            </w:r>
            <w:r w:rsidRPr="00F33E86">
              <w:rPr>
                <w:rFonts w:cs="Calibri"/>
                <w:i/>
              </w:rPr>
              <w:t xml:space="preserve"> Other Provisions</w:t>
            </w:r>
            <w:r w:rsidRPr="00F33E86">
              <w:rPr>
                <w:rFonts w:cs="Calibri"/>
              </w:rPr>
              <w:t>).</w:t>
            </w:r>
          </w:p>
        </w:tc>
      </w:tr>
      <w:tr w:rsidR="0049731D" w:rsidRPr="00CF7E1B" w14:paraId="60A7DEF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593"/>
        </w:trPr>
        <w:tc>
          <w:tcPr>
            <w:tcW w:w="1562" w:type="dxa"/>
            <w:tcBorders>
              <w:top w:val="nil"/>
              <w:left w:val="single" w:sz="2" w:space="0" w:color="auto"/>
              <w:bottom w:val="nil"/>
              <w:right w:val="single" w:sz="2" w:space="0" w:color="auto"/>
            </w:tcBorders>
          </w:tcPr>
          <w:p w14:paraId="6E01AE5D" w14:textId="169CEC19" w:rsidR="0049731D" w:rsidRPr="00F33E86" w:rsidRDefault="0049731D" w:rsidP="0049731D">
            <w:pPr>
              <w:pStyle w:val="TableReference"/>
              <w:tabs>
                <w:tab w:val="left" w:pos="3306"/>
              </w:tabs>
              <w:rPr>
                <w:rFonts w:cs="Calibri"/>
                <w:color w:val="7030A0"/>
                <w:sz w:val="14"/>
              </w:rPr>
            </w:pPr>
            <w:r w:rsidRPr="00F33E86">
              <w:rPr>
                <w:rFonts w:cs="Calibri"/>
                <w:color w:val="7030A0"/>
                <w:sz w:val="14"/>
              </w:rPr>
              <w:t>AASB 137.88</w:t>
            </w:r>
          </w:p>
        </w:tc>
        <w:tc>
          <w:tcPr>
            <w:tcW w:w="8932" w:type="dxa"/>
            <w:gridSpan w:val="16"/>
            <w:tcBorders>
              <w:top w:val="nil"/>
              <w:left w:val="single" w:sz="2" w:space="0" w:color="auto"/>
              <w:bottom w:val="nil"/>
              <w:right w:val="nil"/>
            </w:tcBorders>
          </w:tcPr>
          <w:p w14:paraId="518B1B6C" w14:textId="4434C9A9" w:rsidR="0049731D" w:rsidRPr="00F33E86" w:rsidRDefault="0049731D" w:rsidP="00C6164F">
            <w:pPr>
              <w:pStyle w:val="TableText"/>
              <w:spacing w:before="0" w:after="60"/>
              <w:jc w:val="both"/>
              <w:rPr>
                <w:rFonts w:cs="Calibri"/>
              </w:rPr>
            </w:pPr>
            <w:r w:rsidRPr="00F33E86">
              <w:rPr>
                <w:rFonts w:cs="Calibri"/>
              </w:rPr>
              <w:t>The Agency considers that the environmental impact of the leak will be minimal because of the short amount of time between the waste being buried and the contamination being discovered and also the prompt response to commence the clean-up.</w:t>
            </w:r>
            <w:r w:rsidR="00FA7C77">
              <w:rPr>
                <w:rFonts w:cs="Calibri"/>
              </w:rPr>
              <w:t xml:space="preserve"> </w:t>
            </w:r>
            <w:r w:rsidRPr="00F33E86">
              <w:rPr>
                <w:rFonts w:cs="Calibri"/>
              </w:rPr>
              <w:t>The Agency is investigating the matter to determine what caused the incident.</w:t>
            </w:r>
            <w:r w:rsidR="00FA7C77">
              <w:rPr>
                <w:rFonts w:cs="Calibri"/>
              </w:rPr>
              <w:t xml:space="preserve"> </w:t>
            </w:r>
          </w:p>
        </w:tc>
      </w:tr>
      <w:tr w:rsidR="00C6164F" w:rsidRPr="00735969" w14:paraId="71F843F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7C00CB8E" w14:textId="77777777" w:rsidR="00C6164F" w:rsidRPr="00F33E86" w:rsidRDefault="00C6164F" w:rsidP="0049731D">
            <w:pPr>
              <w:pStyle w:val="TableReference"/>
              <w:tabs>
                <w:tab w:val="left" w:pos="3306"/>
              </w:tabs>
              <w:rPr>
                <w:rFonts w:cs="Calibri"/>
                <w:color w:val="7030A0"/>
                <w:sz w:val="14"/>
              </w:rPr>
            </w:pPr>
          </w:p>
        </w:tc>
        <w:tc>
          <w:tcPr>
            <w:tcW w:w="8932" w:type="dxa"/>
            <w:gridSpan w:val="16"/>
            <w:tcBorders>
              <w:top w:val="nil"/>
              <w:left w:val="single" w:sz="2" w:space="0" w:color="auto"/>
              <w:bottom w:val="nil"/>
              <w:right w:val="nil"/>
            </w:tcBorders>
          </w:tcPr>
          <w:p w14:paraId="458DF4E1" w14:textId="03C19BE1" w:rsidR="00C6164F" w:rsidRPr="00735969" w:rsidRDefault="00C6164F" w:rsidP="0049731D">
            <w:pPr>
              <w:pStyle w:val="TableText"/>
              <w:spacing w:before="0"/>
              <w:jc w:val="both"/>
              <w:rPr>
                <w:rFonts w:cs="Calibri"/>
                <w:color w:val="FF0000"/>
              </w:rPr>
            </w:pPr>
            <w:r w:rsidRPr="00735969">
              <w:rPr>
                <w:rFonts w:cs="Calibri"/>
                <w:color w:val="FF0000"/>
              </w:rPr>
              <w:t>It was alleged that the waste also contaminated nearby farmland. In May 2023 the owner of the farmland brought judicial proceedings against ‘Burley Griffin Agency’. At 30 June 2023 the outcome of the proceedings against the agency was unclear.  The financial ramifications of the proceedings for the agency were also unclear. An accurate estimate of the potential amount payable as at the reporting date, as a result of the court action, could therefore not be measured.</w:t>
            </w:r>
          </w:p>
        </w:tc>
      </w:tr>
      <w:tr w:rsidR="00221E00" w:rsidRPr="00735969" w14:paraId="4AA8A37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76A4F1FE" w14:textId="68B44E9F" w:rsidR="00221E00" w:rsidRPr="00F33E86" w:rsidRDefault="00221E00" w:rsidP="00221E00">
            <w:pPr>
              <w:pStyle w:val="TableReference"/>
              <w:tabs>
                <w:tab w:val="left" w:pos="3306"/>
              </w:tabs>
              <w:spacing w:before="240" w:after="240"/>
              <w:rPr>
                <w:rFonts w:cs="Calibri"/>
                <w:color w:val="7030A0"/>
                <w:sz w:val="14"/>
              </w:rPr>
            </w:pPr>
            <w:r>
              <w:br w:type="page"/>
            </w:r>
            <w:r w:rsidRPr="00F33E86">
              <w:rPr>
                <w:rFonts w:cs="Calibri"/>
                <w:b/>
                <w:color w:val="7030A0"/>
                <w:sz w:val="22"/>
                <w:szCs w:val="22"/>
              </w:rPr>
              <w:t>Reference</w:t>
            </w:r>
          </w:p>
        </w:tc>
        <w:tc>
          <w:tcPr>
            <w:tcW w:w="8932" w:type="dxa"/>
            <w:gridSpan w:val="16"/>
            <w:tcBorders>
              <w:top w:val="nil"/>
              <w:left w:val="single" w:sz="2" w:space="0" w:color="auto"/>
              <w:bottom w:val="nil"/>
              <w:right w:val="nil"/>
            </w:tcBorders>
          </w:tcPr>
          <w:p w14:paraId="30E48AAC" w14:textId="68392012" w:rsidR="00221E00" w:rsidRPr="00735969" w:rsidRDefault="00221E00" w:rsidP="00221E00">
            <w:pPr>
              <w:pStyle w:val="TableText"/>
              <w:spacing w:before="240" w:after="240"/>
              <w:jc w:val="both"/>
              <w:rPr>
                <w:rFonts w:cs="Calibri"/>
                <w:color w:val="FF0000"/>
              </w:rPr>
            </w:pPr>
            <w:r w:rsidRPr="00221E00">
              <w:rPr>
                <w:rFonts w:ascii="Arial" w:hAnsi="Arial"/>
                <w:b/>
                <w:bCs/>
                <w:caps/>
                <w:sz w:val="32"/>
                <w:szCs w:val="24"/>
              </w:rPr>
              <w:t>Note 33.  Contingent Liabilities and Contingent Assets – Continued</w:t>
            </w:r>
            <w:r>
              <w:t xml:space="preserve"> </w:t>
            </w:r>
          </w:p>
        </w:tc>
      </w:tr>
      <w:tr w:rsidR="00221E00" w:rsidRPr="00CF7E1B" w14:paraId="42DFE60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5B49806E"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top w:val="nil"/>
              <w:left w:val="single" w:sz="2" w:space="0" w:color="auto"/>
              <w:bottom w:val="nil"/>
              <w:right w:val="nil"/>
            </w:tcBorders>
          </w:tcPr>
          <w:p w14:paraId="2DD0EB4E" w14:textId="6D6B6BF5" w:rsidR="00221E00" w:rsidRPr="00F33E86" w:rsidRDefault="00221E00" w:rsidP="00221E00">
            <w:pPr>
              <w:spacing w:before="120"/>
              <w:jc w:val="both"/>
              <w:rPr>
                <w:rFonts w:cs="Calibri"/>
                <w:b/>
                <w:sz w:val="18"/>
                <w:szCs w:val="18"/>
              </w:rPr>
            </w:pPr>
            <w:r w:rsidRPr="00F33E86">
              <w:rPr>
                <w:rFonts w:cs="Calibri"/>
                <w:b/>
                <w:sz w:val="18"/>
                <w:szCs w:val="18"/>
              </w:rPr>
              <w:t>Legal Claims</w:t>
            </w:r>
          </w:p>
        </w:tc>
      </w:tr>
      <w:tr w:rsidR="00221E00" w:rsidRPr="00CF7E1B" w14:paraId="17720F9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29C62F40"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p w14:paraId="31985D6D"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tcPr>
          <w:p w14:paraId="3D44E781" w14:textId="7EDB75FB" w:rsidR="00221E00" w:rsidRPr="00F33E86" w:rsidRDefault="00221E00" w:rsidP="00221E00">
            <w:pPr>
              <w:pStyle w:val="TableText"/>
              <w:jc w:val="both"/>
              <w:rPr>
                <w:rFonts w:cs="Calibri"/>
              </w:rPr>
            </w:pPr>
            <w:r w:rsidRPr="00F33E86">
              <w:rPr>
                <w:rFonts w:cs="Calibri"/>
              </w:rPr>
              <w:t>‘</w:t>
            </w:r>
            <w:r w:rsidRPr="00F33E86">
              <w:t>Burley Griffin</w:t>
            </w:r>
            <w:r w:rsidRPr="00F33E86">
              <w:rPr>
                <w:bCs/>
              </w:rPr>
              <w:t xml:space="preserve"> </w:t>
            </w:r>
            <w:r w:rsidRPr="00F33E86">
              <w:rPr>
                <w:rFonts w:cs="Calibri"/>
              </w:rPr>
              <w:t>Agency’ is subject to 15 legal claims (202</w:t>
            </w:r>
            <w:r>
              <w:rPr>
                <w:rFonts w:cs="Calibri"/>
              </w:rPr>
              <w:t>2</w:t>
            </w:r>
            <w:r w:rsidRPr="00F33E86">
              <w:rPr>
                <w:rFonts w:cs="Calibri"/>
              </w:rPr>
              <w:t xml:space="preserve"> – 13 legal claims).</w:t>
            </w:r>
            <w:r>
              <w:rPr>
                <w:rFonts w:cs="Calibri"/>
              </w:rPr>
              <w:t xml:space="preserve"> </w:t>
            </w:r>
            <w:r w:rsidRPr="00F33E86">
              <w:rPr>
                <w:rFonts w:cs="Calibri"/>
              </w:rPr>
              <w:t>‘</w:t>
            </w:r>
            <w:r w:rsidRPr="00F33E86">
              <w:t>Burley Griffin</w:t>
            </w:r>
            <w:r w:rsidRPr="00F33E86">
              <w:rPr>
                <w:bCs/>
              </w:rPr>
              <w:t xml:space="preserve"> </w:t>
            </w:r>
            <w:r w:rsidRPr="00F33E86">
              <w:rPr>
                <w:rFonts w:cs="Calibri"/>
              </w:rPr>
              <w:t>Agency’ is potentially liable for $xxx (202</w:t>
            </w:r>
            <w:r>
              <w:rPr>
                <w:rFonts w:cs="Calibri"/>
              </w:rPr>
              <w:t>2</w:t>
            </w:r>
            <w:r w:rsidRPr="00F33E86">
              <w:rPr>
                <w:rFonts w:cs="Calibri"/>
              </w:rPr>
              <w:t xml:space="preserve"> </w:t>
            </w:r>
            <w:r w:rsidRPr="00F33E86">
              <w:rPr>
                <w:rFonts w:cs="Calibri"/>
              </w:rPr>
              <w:softHyphen/>
              <w:t>$xxx) which represents the excess amount payable on these actions as ‘</w:t>
            </w:r>
            <w:r w:rsidRPr="00F33E86">
              <w:t>Burley Griffin</w:t>
            </w:r>
            <w:r w:rsidRPr="00F33E86">
              <w:rPr>
                <w:bCs/>
              </w:rPr>
              <w:t xml:space="preserve"> </w:t>
            </w:r>
            <w:r w:rsidRPr="00F33E86">
              <w:rPr>
                <w:rFonts w:cs="Calibri"/>
              </w:rPr>
              <w:t>Agency’ is covered by the ACT Insurance Authority (ACTIA).</w:t>
            </w:r>
            <w:r>
              <w:rPr>
                <w:rFonts w:cs="Calibri"/>
              </w:rPr>
              <w:t xml:space="preserve"> </w:t>
            </w:r>
            <w:r w:rsidRPr="00F33E86">
              <w:rPr>
                <w:rFonts w:cs="Calibri"/>
              </w:rPr>
              <w:t>If ‘</w:t>
            </w:r>
            <w:r w:rsidRPr="00F33E86">
              <w:t>Burley Griffin</w:t>
            </w:r>
            <w:r w:rsidRPr="00F33E86">
              <w:rPr>
                <w:bCs/>
              </w:rPr>
              <w:t xml:space="preserve"> </w:t>
            </w:r>
            <w:r w:rsidRPr="00F33E86">
              <w:rPr>
                <w:rFonts w:cs="Calibri"/>
              </w:rPr>
              <w:t>Agency’</w:t>
            </w:r>
            <w:r>
              <w:rPr>
                <w:rFonts w:cs="Calibri"/>
              </w:rPr>
              <w:t>,</w:t>
            </w:r>
            <w:r w:rsidRPr="00F33E86">
              <w:rPr>
                <w:rFonts w:cs="Calibri"/>
              </w:rPr>
              <w:t xml:space="preserve"> under the arrangements with ACTIA</w:t>
            </w:r>
            <w:r>
              <w:rPr>
                <w:rFonts w:cs="Calibri"/>
              </w:rPr>
              <w:t>,</w:t>
            </w:r>
            <w:r w:rsidRPr="00F33E86">
              <w:rPr>
                <w:rFonts w:cs="Calibri"/>
              </w:rPr>
              <w:t xml:space="preserve"> pays the full amount of a successful claim, the amount less the excess </w:t>
            </w:r>
            <w:r w:rsidRPr="00735969">
              <w:rPr>
                <w:rFonts w:cs="Calibri"/>
                <w:strike/>
                <w:color w:val="FF0000"/>
              </w:rPr>
              <w:t>amount</w:t>
            </w:r>
            <w:r w:rsidRPr="00F33E86">
              <w:rPr>
                <w:rFonts w:cs="Calibri"/>
              </w:rPr>
              <w:t xml:space="preserve"> ($xxx per claim) is reimbursed to ‘</w:t>
            </w:r>
            <w:r w:rsidRPr="00F33E86">
              <w:t>Burley Griffin</w:t>
            </w:r>
            <w:r w:rsidRPr="00F33E86">
              <w:rPr>
                <w:bCs/>
              </w:rPr>
              <w:t xml:space="preserve"> </w:t>
            </w:r>
            <w:r w:rsidRPr="00F33E86">
              <w:rPr>
                <w:rFonts w:cs="Calibri"/>
              </w:rPr>
              <w:t>Agency’ by ACTIA.</w:t>
            </w:r>
            <w:r>
              <w:rPr>
                <w:rFonts w:cs="Calibri"/>
              </w:rPr>
              <w:t xml:space="preserve"> </w:t>
            </w:r>
            <w:r w:rsidRPr="00F33E86">
              <w:rPr>
                <w:rFonts w:cs="Calibri"/>
              </w:rPr>
              <w:t>The estimated actuarially assessed liability covered by ACTIA is included in ACTIA’s financial statements.</w:t>
            </w:r>
          </w:p>
        </w:tc>
      </w:tr>
      <w:tr w:rsidR="00221E00" w:rsidRPr="00CF7E1B" w14:paraId="519A10B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0DCCD186"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tcPr>
          <w:p w14:paraId="058EC7F7" w14:textId="77777777" w:rsidR="00221E00" w:rsidRPr="00F33E86" w:rsidRDefault="00221E00" w:rsidP="00221E00">
            <w:pPr>
              <w:pStyle w:val="TableTitle"/>
              <w:spacing w:before="120"/>
              <w:jc w:val="both"/>
              <w:rPr>
                <w:rFonts w:cs="Calibri"/>
                <w:bCs w:val="0"/>
                <w:iCs/>
              </w:rPr>
            </w:pPr>
            <w:r w:rsidRPr="00F33E86">
              <w:rPr>
                <w:rFonts w:cs="Calibri"/>
                <w:bCs w:val="0"/>
                <w:iCs/>
              </w:rPr>
              <w:t>Guarantees</w:t>
            </w:r>
          </w:p>
        </w:tc>
      </w:tr>
      <w:tr w:rsidR="00221E00" w:rsidRPr="00CF7E1B" w14:paraId="14F6A48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1E8123D7"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137.86</w:t>
            </w:r>
          </w:p>
          <w:p w14:paraId="5B48A846"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7.35K</w:t>
            </w:r>
          </w:p>
        </w:tc>
        <w:tc>
          <w:tcPr>
            <w:tcW w:w="8932" w:type="dxa"/>
            <w:gridSpan w:val="16"/>
            <w:tcBorders>
              <w:top w:val="nil"/>
              <w:left w:val="single" w:sz="2" w:space="0" w:color="auto"/>
              <w:bottom w:val="nil"/>
              <w:right w:val="nil"/>
            </w:tcBorders>
          </w:tcPr>
          <w:p w14:paraId="0D6C75FA" w14:textId="5EC7004B" w:rsidR="00221E00" w:rsidRPr="00F33E86" w:rsidRDefault="00221E00" w:rsidP="00221E00">
            <w:pPr>
              <w:pStyle w:val="TableText"/>
              <w:spacing w:before="0"/>
              <w:jc w:val="both"/>
              <w:rPr>
                <w:rFonts w:cs="Calibri"/>
              </w:rPr>
            </w:pPr>
            <w:r w:rsidRPr="00F33E86">
              <w:rPr>
                <w:rFonts w:cs="Calibri"/>
              </w:rPr>
              <w:t>The Agency has guaranteed a loan taken out in April 202</w:t>
            </w:r>
            <w:r>
              <w:rPr>
                <w:rFonts w:cs="Calibri"/>
              </w:rPr>
              <w:t>3</w:t>
            </w:r>
            <w:r w:rsidRPr="00F33E86">
              <w:rPr>
                <w:rFonts w:cs="Calibri"/>
              </w:rPr>
              <w:t xml:space="preserve"> by ‘Example Borrower’ for an amount of $xxx.</w:t>
            </w:r>
          </w:p>
        </w:tc>
      </w:tr>
      <w:tr w:rsidR="00221E00" w:rsidRPr="00CF7E1B" w14:paraId="0BA1C1D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55139FEB" w14:textId="01A573F7" w:rsidR="00221E00" w:rsidRPr="00F33E86" w:rsidRDefault="00221E00" w:rsidP="00221E00">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tcPr>
          <w:p w14:paraId="6CEAED62" w14:textId="4792BF11" w:rsidR="00221E00" w:rsidRPr="00F33E86" w:rsidRDefault="00221E00" w:rsidP="00221E00">
            <w:pPr>
              <w:pStyle w:val="TableText"/>
              <w:jc w:val="both"/>
              <w:rPr>
                <w:rFonts w:cs="Calibri"/>
                <w:b/>
              </w:rPr>
            </w:pPr>
            <w:r w:rsidRPr="00F33E86">
              <w:rPr>
                <w:rFonts w:cs="Calibri"/>
                <w:b/>
                <w:iCs/>
              </w:rPr>
              <w:t>Joint Ventures</w:t>
            </w:r>
          </w:p>
        </w:tc>
      </w:tr>
      <w:tr w:rsidR="00221E00" w:rsidRPr="00CF7E1B" w14:paraId="170FBBD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261E83F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tcPr>
          <w:p w14:paraId="7BB98427" w14:textId="56D8C8F8" w:rsidR="00221E00" w:rsidRPr="00F33E86" w:rsidRDefault="00221E00" w:rsidP="00221E00">
            <w:pPr>
              <w:pStyle w:val="TableText"/>
              <w:spacing w:before="0" w:after="120"/>
              <w:jc w:val="both"/>
              <w:rPr>
                <w:rFonts w:cs="Calibri"/>
              </w:rPr>
            </w:pPr>
            <w:r w:rsidRPr="00F33E86">
              <w:rPr>
                <w:rFonts w:cs="Calibri"/>
              </w:rPr>
              <w:t xml:space="preserve">For contingent liabilities relating to joint ventures see Note 34 </w:t>
            </w:r>
            <w:r w:rsidRPr="00F33E86">
              <w:rPr>
                <w:rFonts w:cs="Calibri"/>
                <w:i/>
              </w:rPr>
              <w:t>Interest in a Joint</w:t>
            </w:r>
            <w:r w:rsidRPr="00F33E86">
              <w:rPr>
                <w:rFonts w:cs="Calibri"/>
              </w:rPr>
              <w:t xml:space="preserve"> </w:t>
            </w:r>
            <w:r w:rsidRPr="00F33E86">
              <w:rPr>
                <w:rFonts w:cs="Calibri"/>
                <w:i/>
              </w:rPr>
              <w:t>Venture</w:t>
            </w:r>
            <w:r w:rsidRPr="00F33E86">
              <w:rPr>
                <w:rFonts w:cs="Calibri"/>
              </w:rPr>
              <w:t>.</w:t>
            </w:r>
          </w:p>
        </w:tc>
      </w:tr>
      <w:tr w:rsidR="00221E00" w:rsidRPr="00CF7E1B" w14:paraId="73A8D13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4093151D" w14:textId="77777777" w:rsidR="00221E00" w:rsidRPr="00F33E86" w:rsidRDefault="00221E00" w:rsidP="00221E00">
            <w:pPr>
              <w:pStyle w:val="TableReference"/>
              <w:tabs>
                <w:tab w:val="left" w:pos="3306"/>
              </w:tabs>
              <w:rPr>
                <w:rFonts w:cs="Calibri"/>
                <w:color w:val="7030A0"/>
                <w:sz w:val="14"/>
              </w:rPr>
            </w:pPr>
          </w:p>
        </w:tc>
        <w:tc>
          <w:tcPr>
            <w:tcW w:w="8932" w:type="dxa"/>
            <w:gridSpan w:val="16"/>
            <w:tcBorders>
              <w:top w:val="nil"/>
              <w:left w:val="single" w:sz="2" w:space="0" w:color="auto"/>
              <w:bottom w:val="nil"/>
              <w:right w:val="nil"/>
            </w:tcBorders>
          </w:tcPr>
          <w:p w14:paraId="659DD95E" w14:textId="77777777" w:rsidR="00221E00" w:rsidRPr="00F33E86" w:rsidRDefault="00221E00" w:rsidP="00221E00">
            <w:pPr>
              <w:pStyle w:val="TableText"/>
              <w:spacing w:before="0"/>
              <w:jc w:val="both"/>
              <w:rPr>
                <w:rFonts w:cs="Calibri"/>
                <w:b/>
                <w:bCs/>
              </w:rPr>
            </w:pPr>
            <w:bookmarkStart w:id="812" w:name="_Toc48468720"/>
            <w:bookmarkStart w:id="813" w:name="_Toc49155808"/>
            <w:bookmarkStart w:id="814" w:name="_Toc49224223"/>
            <w:r w:rsidRPr="00F33E86">
              <w:rPr>
                <w:rFonts w:cs="Calibri"/>
                <w:b/>
                <w:bCs/>
              </w:rPr>
              <w:t>Contingent Assets</w:t>
            </w:r>
            <w:bookmarkEnd w:id="812"/>
            <w:bookmarkEnd w:id="813"/>
            <w:bookmarkEnd w:id="814"/>
            <w:r w:rsidRPr="00F33E86">
              <w:rPr>
                <w:rFonts w:cs="Calibri"/>
                <w:b/>
                <w:bCs/>
              </w:rPr>
              <w:t xml:space="preserve"> </w:t>
            </w:r>
          </w:p>
        </w:tc>
      </w:tr>
      <w:tr w:rsidR="00221E00" w:rsidRPr="00CF7E1B" w14:paraId="447FAD7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2E6E7A81"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137.89</w:t>
            </w:r>
          </w:p>
        </w:tc>
        <w:tc>
          <w:tcPr>
            <w:tcW w:w="8932" w:type="dxa"/>
            <w:gridSpan w:val="16"/>
            <w:tcBorders>
              <w:top w:val="nil"/>
              <w:left w:val="single" w:sz="2" w:space="0" w:color="auto"/>
              <w:bottom w:val="nil"/>
              <w:right w:val="nil"/>
            </w:tcBorders>
          </w:tcPr>
          <w:p w14:paraId="5F5E6CC5" w14:textId="5B87D804" w:rsidR="00221E00" w:rsidRPr="00F33E86" w:rsidRDefault="00221E00" w:rsidP="00221E00">
            <w:pPr>
              <w:jc w:val="both"/>
              <w:rPr>
                <w:rFonts w:cs="Calibri"/>
                <w:sz w:val="18"/>
                <w:szCs w:val="18"/>
              </w:rPr>
            </w:pPr>
            <w:r w:rsidRPr="00F33E86">
              <w:rPr>
                <w:rFonts w:cs="Calibri"/>
                <w:sz w:val="18"/>
                <w:szCs w:val="18"/>
              </w:rPr>
              <w:t>The only contingent assets as at 30 June 202</w:t>
            </w:r>
            <w:r>
              <w:rPr>
                <w:rFonts w:cs="Calibri"/>
                <w:sz w:val="18"/>
                <w:szCs w:val="18"/>
              </w:rPr>
              <w:t>3</w:t>
            </w:r>
            <w:r w:rsidRPr="00F33E86">
              <w:rPr>
                <w:rFonts w:cs="Calibri"/>
                <w:sz w:val="18"/>
                <w:szCs w:val="18"/>
              </w:rPr>
              <w:t xml:space="preserve"> relate to ‘</w:t>
            </w:r>
            <w:r w:rsidRPr="00F33E86">
              <w:rPr>
                <w:sz w:val="18"/>
                <w:szCs w:val="18"/>
              </w:rPr>
              <w:t>Burley Griffin</w:t>
            </w:r>
            <w:r w:rsidRPr="00F33E86">
              <w:rPr>
                <w:bCs/>
                <w:sz w:val="18"/>
                <w:szCs w:val="18"/>
              </w:rPr>
              <w:t xml:space="preserve"> </w:t>
            </w:r>
            <w:r w:rsidRPr="00F33E86">
              <w:rPr>
                <w:rFonts w:cs="Calibri"/>
                <w:sz w:val="18"/>
                <w:szCs w:val="18"/>
              </w:rPr>
              <w:t>Agency’s’ insurance arrangements where reimbursement from ACTIA occurs (see Legal Claims above).</w:t>
            </w:r>
            <w:r>
              <w:rPr>
                <w:rFonts w:cs="Calibri"/>
                <w:sz w:val="18"/>
                <w:szCs w:val="18"/>
              </w:rPr>
              <w:t xml:space="preserve"> </w:t>
            </w:r>
          </w:p>
        </w:tc>
      </w:tr>
      <w:tr w:rsidR="00221E00" w:rsidRPr="00CF7E1B" w14:paraId="6FA405A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Pr>
        <w:tc>
          <w:tcPr>
            <w:tcW w:w="1562" w:type="dxa"/>
            <w:tcBorders>
              <w:top w:val="nil"/>
              <w:left w:val="single" w:sz="2" w:space="0" w:color="auto"/>
              <w:bottom w:val="nil"/>
              <w:right w:val="single" w:sz="2" w:space="0" w:color="auto"/>
            </w:tcBorders>
          </w:tcPr>
          <w:p w14:paraId="712E774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tcPr>
          <w:p w14:paraId="1EA3092F" w14:textId="77777777" w:rsidR="00221E00" w:rsidRPr="00CF7E1B" w:rsidRDefault="00221E00" w:rsidP="00221E00">
            <w:pPr>
              <w:pStyle w:val="TableText"/>
              <w:rPr>
                <w:rFonts w:cs="Calibri"/>
              </w:rPr>
            </w:pPr>
          </w:p>
        </w:tc>
      </w:tr>
      <w:tr w:rsidR="00221E00" w:rsidRPr="00CF7E1B" w14:paraId="0CBCFAC7" w14:textId="77777777" w:rsidTr="005F6493">
        <w:trPr>
          <w:gridAfter w:val="2"/>
          <w:wAfter w:w="9468" w:type="dxa"/>
          <w:trHeight w:val="283"/>
        </w:trPr>
        <w:tc>
          <w:tcPr>
            <w:tcW w:w="1562" w:type="dxa"/>
            <w:tcBorders>
              <w:left w:val="single" w:sz="2" w:space="0" w:color="auto"/>
              <w:right w:val="single" w:sz="2" w:space="0" w:color="auto"/>
            </w:tcBorders>
          </w:tcPr>
          <w:p w14:paraId="02798647" w14:textId="77777777" w:rsidR="00221E00" w:rsidRPr="00F33E86" w:rsidRDefault="00221E00" w:rsidP="00221E00">
            <w:pPr>
              <w:pStyle w:val="TableReference"/>
              <w:tabs>
                <w:tab w:val="left" w:pos="3306"/>
              </w:tabs>
              <w:spacing w:before="240" w:after="240"/>
              <w:rPr>
                <w:rFonts w:cs="Calibri"/>
                <w:color w:val="7030A0"/>
                <w:sz w:val="14"/>
              </w:rPr>
            </w:pPr>
          </w:p>
        </w:tc>
        <w:tc>
          <w:tcPr>
            <w:tcW w:w="8932" w:type="dxa"/>
            <w:gridSpan w:val="16"/>
            <w:tcBorders>
              <w:left w:val="single" w:sz="2" w:space="0" w:color="auto"/>
            </w:tcBorders>
            <w:shd w:val="clear" w:color="auto" w:fill="7030A0"/>
          </w:tcPr>
          <w:p w14:paraId="0B2104AC" w14:textId="2616D1D3" w:rsidR="00221E00" w:rsidRPr="00F33E86" w:rsidRDefault="00221E00" w:rsidP="00221E00">
            <w:pPr>
              <w:pStyle w:val="CommentaryTitle"/>
              <w:pageBreakBefore w:val="0"/>
              <w:tabs>
                <w:tab w:val="left" w:pos="3306"/>
              </w:tabs>
              <w:spacing w:before="240" w:after="240"/>
              <w:rPr>
                <w:rFonts w:cs="Calibri"/>
                <w:color w:val="FFFFFF" w:themeColor="background1"/>
                <w:sz w:val="28"/>
                <w:szCs w:val="28"/>
              </w:rPr>
            </w:pPr>
            <w:bookmarkStart w:id="815" w:name="_Toc50440393"/>
            <w:bookmarkStart w:id="816" w:name="_Toc163106384"/>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33: </w:t>
            </w:r>
            <w:bookmarkEnd w:id="815"/>
            <w:r w:rsidRPr="00F33E86">
              <w:rPr>
                <w:rFonts w:cs="Calibri"/>
                <w:color w:val="FFFFFF" w:themeColor="background1"/>
                <w:sz w:val="28"/>
                <w:szCs w:val="28"/>
              </w:rPr>
              <w:t>Contingent Liabilities and Contingent Assets</w:t>
            </w:r>
            <w:bookmarkEnd w:id="816"/>
          </w:p>
        </w:tc>
      </w:tr>
      <w:tr w:rsidR="00221E00" w:rsidRPr="00CF7E1B" w14:paraId="3E29D349" w14:textId="77777777" w:rsidTr="005F6493">
        <w:trPr>
          <w:gridAfter w:val="2"/>
          <w:wAfter w:w="9468" w:type="dxa"/>
          <w:trHeight w:val="283"/>
        </w:trPr>
        <w:tc>
          <w:tcPr>
            <w:tcW w:w="1562" w:type="dxa"/>
            <w:tcBorders>
              <w:left w:val="single" w:sz="2" w:space="0" w:color="auto"/>
              <w:right w:val="single" w:sz="2" w:space="0" w:color="auto"/>
            </w:tcBorders>
          </w:tcPr>
          <w:p w14:paraId="48ED68EB" w14:textId="77777777" w:rsidR="00221E00" w:rsidRPr="00F33E86" w:rsidRDefault="00221E00" w:rsidP="00221E00">
            <w:pPr>
              <w:pStyle w:val="TableReference"/>
              <w:tabs>
                <w:tab w:val="left" w:pos="3306"/>
              </w:tabs>
              <w:rPr>
                <w:rFonts w:cs="Calibri"/>
                <w:color w:val="7030A0"/>
                <w:sz w:val="14"/>
              </w:rPr>
            </w:pPr>
          </w:p>
        </w:tc>
        <w:tc>
          <w:tcPr>
            <w:tcW w:w="8932" w:type="dxa"/>
            <w:gridSpan w:val="16"/>
            <w:tcBorders>
              <w:left w:val="single" w:sz="2" w:space="0" w:color="auto"/>
            </w:tcBorders>
            <w:shd w:val="clear" w:color="auto" w:fill="7030A0"/>
          </w:tcPr>
          <w:p w14:paraId="56DED8A3" w14:textId="77777777" w:rsidR="00221E00" w:rsidRPr="00B330CA" w:rsidRDefault="00221E00" w:rsidP="00221E00">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Definitions</w:t>
            </w:r>
          </w:p>
        </w:tc>
      </w:tr>
      <w:tr w:rsidR="00221E00" w:rsidRPr="00CF7E1B" w14:paraId="3F7798B6" w14:textId="77777777" w:rsidTr="005F6493">
        <w:trPr>
          <w:gridAfter w:val="2"/>
          <w:wAfter w:w="9468" w:type="dxa"/>
          <w:trHeight w:val="23"/>
        </w:trPr>
        <w:tc>
          <w:tcPr>
            <w:tcW w:w="1562" w:type="dxa"/>
            <w:tcBorders>
              <w:left w:val="single" w:sz="2" w:space="0" w:color="auto"/>
              <w:right w:val="single" w:sz="2" w:space="0" w:color="auto"/>
            </w:tcBorders>
          </w:tcPr>
          <w:p w14:paraId="659B6AD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137.10</w:t>
            </w:r>
          </w:p>
          <w:p w14:paraId="165E9359" w14:textId="77777777" w:rsidR="00221E00" w:rsidRPr="00F33E86" w:rsidRDefault="00221E00" w:rsidP="00221E00">
            <w:pPr>
              <w:pStyle w:val="TableReference"/>
              <w:tabs>
                <w:tab w:val="left" w:pos="3306"/>
              </w:tabs>
              <w:spacing w:before="60"/>
              <w:rPr>
                <w:rFonts w:cs="Calibri"/>
                <w:color w:val="7030A0"/>
                <w:sz w:val="14"/>
              </w:rPr>
            </w:pPr>
          </w:p>
          <w:p w14:paraId="562BDE09" w14:textId="6C3201B1"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6BF1E70B"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A contingent liability is:</w:t>
            </w:r>
          </w:p>
          <w:p w14:paraId="3A3980CA"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possible obligation that arises from past events and whose existence will be confirmed only by the occurrence or non-occurrence of one or more uncertain future events not wholly within the control of the agency; or</w:t>
            </w:r>
          </w:p>
          <w:p w14:paraId="4B0E9F85"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present obligation that arises from past events but is not recognised because:</w:t>
            </w:r>
          </w:p>
          <w:p w14:paraId="0B0A9EDD" w14:textId="77777777" w:rsidR="00221E00" w:rsidRPr="00F33E86" w:rsidRDefault="00221E00" w:rsidP="00221E00">
            <w:pPr>
              <w:pStyle w:val="Commentary-Bullet"/>
              <w:numPr>
                <w:ilvl w:val="1"/>
                <w:numId w:val="1"/>
              </w:numPr>
              <w:tabs>
                <w:tab w:val="clear" w:pos="751"/>
              </w:tabs>
              <w:spacing w:after="40"/>
              <w:ind w:left="1030" w:hanging="425"/>
              <w:rPr>
                <w:rFonts w:cs="Calibri"/>
                <w:color w:val="FFFFFF" w:themeColor="background1"/>
                <w:sz w:val="18"/>
                <w:szCs w:val="18"/>
              </w:rPr>
            </w:pPr>
            <w:r w:rsidRPr="00F33E86">
              <w:rPr>
                <w:rFonts w:cs="Calibri"/>
                <w:color w:val="FFFFFF" w:themeColor="background1"/>
                <w:sz w:val="18"/>
                <w:szCs w:val="18"/>
              </w:rPr>
              <w:t>it is not probable that an outflow of resources embodying economic benefits will be required to settle the obligation; or</w:t>
            </w:r>
          </w:p>
          <w:p w14:paraId="2F072087" w14:textId="0A64EC32" w:rsidR="00221E00" w:rsidRPr="00F33E86" w:rsidRDefault="00221E00" w:rsidP="00221E00">
            <w:pPr>
              <w:pStyle w:val="CommentaryText"/>
              <w:numPr>
                <w:ilvl w:val="1"/>
                <w:numId w:val="1"/>
              </w:numPr>
              <w:tabs>
                <w:tab w:val="clear" w:pos="751"/>
                <w:tab w:val="left" w:pos="3306"/>
              </w:tabs>
              <w:spacing w:after="0"/>
              <w:ind w:left="1030" w:hanging="433"/>
              <w:rPr>
                <w:rFonts w:cs="Calibri"/>
                <w:color w:val="FFFFFF" w:themeColor="background1"/>
                <w:sz w:val="18"/>
                <w:szCs w:val="18"/>
              </w:rPr>
            </w:pPr>
            <w:r w:rsidRPr="00F33E86">
              <w:rPr>
                <w:rFonts w:cs="Calibri"/>
                <w:color w:val="FFFFFF" w:themeColor="background1"/>
                <w:sz w:val="18"/>
                <w:szCs w:val="18"/>
              </w:rPr>
              <w:t>the amount of the obligation cannot be measured with sufficient reliability.</w:t>
            </w:r>
          </w:p>
        </w:tc>
      </w:tr>
      <w:tr w:rsidR="00221E00" w:rsidRPr="00CF7E1B" w14:paraId="79FF55E0" w14:textId="77777777" w:rsidTr="005F6493">
        <w:trPr>
          <w:gridAfter w:val="2"/>
          <w:wAfter w:w="9468" w:type="dxa"/>
          <w:trHeight w:val="23"/>
        </w:trPr>
        <w:tc>
          <w:tcPr>
            <w:tcW w:w="1562" w:type="dxa"/>
            <w:tcBorders>
              <w:left w:val="single" w:sz="2" w:space="0" w:color="auto"/>
              <w:right w:val="single" w:sz="2" w:space="0" w:color="auto"/>
            </w:tcBorders>
          </w:tcPr>
          <w:p w14:paraId="5F7529B6" w14:textId="5577E706" w:rsidR="00221E00" w:rsidRPr="00F33E86" w:rsidRDefault="00221E00" w:rsidP="00221E00">
            <w:pPr>
              <w:pStyle w:val="TableReference"/>
              <w:tabs>
                <w:tab w:val="left" w:pos="3306"/>
              </w:tabs>
              <w:spacing w:before="180"/>
              <w:rPr>
                <w:rFonts w:cs="Calibri"/>
                <w:color w:val="7030A0"/>
                <w:sz w:val="14"/>
              </w:rPr>
            </w:pPr>
            <w:r w:rsidRPr="00F33E86">
              <w:rPr>
                <w:rFonts w:cs="Calibri"/>
                <w:color w:val="7030A0"/>
                <w:sz w:val="14"/>
              </w:rPr>
              <w:t>AASB 137.10</w:t>
            </w:r>
          </w:p>
        </w:tc>
        <w:tc>
          <w:tcPr>
            <w:tcW w:w="8932" w:type="dxa"/>
            <w:gridSpan w:val="16"/>
            <w:tcBorders>
              <w:left w:val="single" w:sz="2" w:space="0" w:color="auto"/>
            </w:tcBorders>
            <w:shd w:val="clear" w:color="auto" w:fill="7030A0"/>
          </w:tcPr>
          <w:p w14:paraId="2CCE1B70" w14:textId="2CC87620" w:rsidR="00221E00" w:rsidRPr="00F33E86" w:rsidRDefault="00221E00" w:rsidP="00221E00">
            <w:pPr>
              <w:pStyle w:val="CommentaryText"/>
              <w:tabs>
                <w:tab w:val="left" w:pos="3306"/>
              </w:tabs>
              <w:spacing w:before="120"/>
              <w:rPr>
                <w:rFonts w:cs="Calibri"/>
                <w:color w:val="FFFFFF" w:themeColor="background1"/>
                <w:sz w:val="18"/>
                <w:szCs w:val="18"/>
              </w:rPr>
            </w:pPr>
            <w:r w:rsidRPr="00F33E86">
              <w:rPr>
                <w:rFonts w:cs="Calibri"/>
                <w:color w:val="FFFFFF" w:themeColor="background1"/>
                <w:sz w:val="18"/>
                <w:szCs w:val="18"/>
              </w:rPr>
              <w:t>A contingent asset is a possible asset that arises from past events, whose existence will be confirmed only by the occurrence or non-occurrence of one or more uncertain future events not wholly within the control of the agency.</w:t>
            </w:r>
          </w:p>
        </w:tc>
      </w:tr>
      <w:tr w:rsidR="00221E00" w:rsidRPr="00CF7E1B" w14:paraId="10DD2C59" w14:textId="77777777" w:rsidTr="005F6493">
        <w:trPr>
          <w:gridAfter w:val="2"/>
          <w:wAfter w:w="9468" w:type="dxa"/>
          <w:trHeight w:val="283"/>
        </w:trPr>
        <w:tc>
          <w:tcPr>
            <w:tcW w:w="1562" w:type="dxa"/>
            <w:tcBorders>
              <w:left w:val="single" w:sz="2" w:space="0" w:color="auto"/>
              <w:right w:val="single" w:sz="2" w:space="0" w:color="auto"/>
            </w:tcBorders>
          </w:tcPr>
          <w:p w14:paraId="0D9A67D2"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778DAAC5" w14:textId="77777777" w:rsidR="00221E00" w:rsidRPr="00B330CA" w:rsidRDefault="00221E00" w:rsidP="00221E00">
            <w:pPr>
              <w:pStyle w:val="CommentaryHeading"/>
              <w:spacing w:after="40"/>
              <w:ind w:left="34"/>
              <w:rPr>
                <w:rFonts w:cs="Calibri"/>
                <w:color w:val="FFFFFF" w:themeColor="background1"/>
                <w:szCs w:val="20"/>
              </w:rPr>
            </w:pPr>
            <w:r w:rsidRPr="00B330CA">
              <w:rPr>
                <w:rFonts w:cs="Calibri"/>
                <w:color w:val="FFFFFF" w:themeColor="background1"/>
                <w:szCs w:val="20"/>
              </w:rPr>
              <w:t>Disclosure of Contingent Liability</w:t>
            </w:r>
          </w:p>
        </w:tc>
      </w:tr>
      <w:tr w:rsidR="00221E00" w:rsidRPr="00CF7E1B" w14:paraId="027F423E" w14:textId="77777777" w:rsidTr="005F6493">
        <w:trPr>
          <w:gridAfter w:val="2"/>
          <w:wAfter w:w="9468" w:type="dxa"/>
          <w:trHeight w:val="283"/>
        </w:trPr>
        <w:tc>
          <w:tcPr>
            <w:tcW w:w="1562" w:type="dxa"/>
            <w:tcBorders>
              <w:left w:val="single" w:sz="2" w:space="0" w:color="auto"/>
              <w:right w:val="single" w:sz="2" w:space="0" w:color="auto"/>
            </w:tcBorders>
          </w:tcPr>
          <w:p w14:paraId="0FFB11A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137.86</w:t>
            </w:r>
          </w:p>
          <w:p w14:paraId="2DE0D370" w14:textId="77777777" w:rsidR="00221E00" w:rsidRPr="00F33E86" w:rsidRDefault="00221E00" w:rsidP="00221E00">
            <w:pPr>
              <w:pStyle w:val="TableReference"/>
              <w:tabs>
                <w:tab w:val="left" w:pos="3306"/>
              </w:tabs>
              <w:spacing w:before="60"/>
              <w:rPr>
                <w:rFonts w:cs="Calibri"/>
                <w:color w:val="7030A0"/>
                <w:sz w:val="14"/>
              </w:rPr>
            </w:pPr>
          </w:p>
          <w:p w14:paraId="251C4A2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495490AE" w14:textId="77777777" w:rsidR="00221E00" w:rsidRPr="00F33E86" w:rsidRDefault="00221E00" w:rsidP="00221E00">
            <w:pPr>
              <w:pStyle w:val="CommentaryText"/>
              <w:spacing w:after="40"/>
              <w:ind w:left="34"/>
              <w:rPr>
                <w:rFonts w:cs="Calibri"/>
                <w:color w:val="FFFFFF" w:themeColor="background1"/>
                <w:sz w:val="18"/>
                <w:szCs w:val="18"/>
              </w:rPr>
            </w:pPr>
            <w:r w:rsidRPr="00F33E86">
              <w:rPr>
                <w:rFonts w:cs="Calibri"/>
                <w:color w:val="FFFFFF" w:themeColor="background1"/>
                <w:sz w:val="18"/>
                <w:szCs w:val="18"/>
              </w:rPr>
              <w:t>For each class of contingent liability, an agency shall disclose at the reporting date, unless the possibility of any outflow in settlement is remote, a brief description of the nature of the liability and where practicable:</w:t>
            </w:r>
          </w:p>
          <w:p w14:paraId="4C3F41FF"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estimate of its financial effect;</w:t>
            </w:r>
          </w:p>
          <w:p w14:paraId="31D3A4DC"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indication of the uncertainties relating to the amount or timing of any outflow; and</w:t>
            </w:r>
          </w:p>
          <w:p w14:paraId="1F6861DE" w14:textId="77777777" w:rsidR="00221E00" w:rsidRPr="00F33E86" w:rsidRDefault="00221E00" w:rsidP="00221E00">
            <w:pPr>
              <w:pStyle w:val="CommentaryText"/>
              <w:numPr>
                <w:ilvl w:val="1"/>
                <w:numId w:val="2"/>
              </w:numPr>
              <w:ind w:left="607" w:hanging="284"/>
              <w:rPr>
                <w:rFonts w:cs="Calibri"/>
                <w:color w:val="FFFFFF" w:themeColor="background1"/>
                <w:sz w:val="18"/>
                <w:szCs w:val="18"/>
              </w:rPr>
            </w:pPr>
            <w:r w:rsidRPr="00F33E86">
              <w:rPr>
                <w:rFonts w:cs="Calibri"/>
                <w:color w:val="FFFFFF" w:themeColor="background1"/>
                <w:sz w:val="18"/>
                <w:szCs w:val="18"/>
              </w:rPr>
              <w:t>the possibility of any reimbursement.</w:t>
            </w:r>
          </w:p>
        </w:tc>
      </w:tr>
      <w:tr w:rsidR="00221E00" w:rsidRPr="00CF7E1B" w14:paraId="4EB52FB6" w14:textId="77777777" w:rsidTr="005F6493">
        <w:trPr>
          <w:gridAfter w:val="2"/>
          <w:wAfter w:w="9468" w:type="dxa"/>
          <w:trHeight w:val="283"/>
        </w:trPr>
        <w:tc>
          <w:tcPr>
            <w:tcW w:w="1562" w:type="dxa"/>
            <w:tcBorders>
              <w:left w:val="single" w:sz="2" w:space="0" w:color="auto"/>
              <w:right w:val="single" w:sz="2" w:space="0" w:color="auto"/>
            </w:tcBorders>
          </w:tcPr>
          <w:p w14:paraId="671CE7AA"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137.89</w:t>
            </w:r>
          </w:p>
        </w:tc>
        <w:tc>
          <w:tcPr>
            <w:tcW w:w="8932" w:type="dxa"/>
            <w:gridSpan w:val="16"/>
            <w:tcBorders>
              <w:left w:val="single" w:sz="2" w:space="0" w:color="auto"/>
            </w:tcBorders>
            <w:shd w:val="clear" w:color="auto" w:fill="7030A0"/>
          </w:tcPr>
          <w:p w14:paraId="5AF045DE"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Where an inflow of economic benefits is probable, an agency shall disclose a brief description of the nature of the contingent assets at the reporting date, and, where practicable, an estimate of the financial effect.</w:t>
            </w:r>
          </w:p>
        </w:tc>
      </w:tr>
      <w:tr w:rsidR="00221E00" w:rsidRPr="00CF7E1B" w14:paraId="76BCC1A6" w14:textId="77777777" w:rsidTr="005F6493">
        <w:trPr>
          <w:gridAfter w:val="2"/>
          <w:wAfter w:w="9468" w:type="dxa"/>
          <w:trHeight w:val="283"/>
        </w:trPr>
        <w:tc>
          <w:tcPr>
            <w:tcW w:w="1562" w:type="dxa"/>
            <w:tcBorders>
              <w:left w:val="single" w:sz="2" w:space="0" w:color="auto"/>
              <w:right w:val="single" w:sz="2" w:space="0" w:color="auto"/>
            </w:tcBorders>
          </w:tcPr>
          <w:p w14:paraId="17F43FB2"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137.91</w:t>
            </w:r>
          </w:p>
        </w:tc>
        <w:tc>
          <w:tcPr>
            <w:tcW w:w="8932" w:type="dxa"/>
            <w:gridSpan w:val="16"/>
            <w:tcBorders>
              <w:left w:val="single" w:sz="2" w:space="0" w:color="auto"/>
            </w:tcBorders>
            <w:shd w:val="clear" w:color="auto" w:fill="7030A0"/>
          </w:tcPr>
          <w:p w14:paraId="103C5CB2"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rPr>
              <w:t>Where information regarding contingent liabilities and contingent assets is not disclosed because it is not practicable to do so, that fact must be stated.</w:t>
            </w:r>
          </w:p>
        </w:tc>
      </w:tr>
      <w:tr w:rsidR="00221E00" w:rsidRPr="00CF7E1B" w14:paraId="7622BD09" w14:textId="77777777" w:rsidTr="005F6493">
        <w:trPr>
          <w:gridAfter w:val="2"/>
          <w:wAfter w:w="9468" w:type="dxa"/>
          <w:trHeight w:val="283"/>
        </w:trPr>
        <w:tc>
          <w:tcPr>
            <w:tcW w:w="1562" w:type="dxa"/>
            <w:tcBorders>
              <w:left w:val="single" w:sz="2" w:space="0" w:color="auto"/>
              <w:right w:val="single" w:sz="2" w:space="0" w:color="auto"/>
            </w:tcBorders>
          </w:tcPr>
          <w:p w14:paraId="7620A7A3"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5DCBFFD7" w14:textId="325A5B6B" w:rsidR="00221E00" w:rsidRPr="00B330CA" w:rsidRDefault="00221E00" w:rsidP="00221E00">
            <w:pPr>
              <w:pStyle w:val="CommentaryText"/>
              <w:spacing w:after="40"/>
              <w:ind w:left="34"/>
              <w:rPr>
                <w:rFonts w:cs="Calibri"/>
                <w:b/>
                <w:bCs/>
                <w:color w:val="FFFFFF" w:themeColor="background1"/>
                <w:szCs w:val="20"/>
              </w:rPr>
            </w:pPr>
            <w:r w:rsidRPr="00B330CA">
              <w:rPr>
                <w:rFonts w:cs="Calibri"/>
                <w:b/>
                <w:bCs/>
                <w:color w:val="FFFFFF" w:themeColor="background1"/>
                <w:szCs w:val="20"/>
              </w:rPr>
              <w:t>Contingent Liability Relating to Legal Action</w:t>
            </w:r>
          </w:p>
        </w:tc>
      </w:tr>
      <w:tr w:rsidR="00221E00" w:rsidRPr="00CF7E1B" w14:paraId="79CB3F42" w14:textId="77777777" w:rsidTr="005F6493">
        <w:trPr>
          <w:gridAfter w:val="2"/>
          <w:wAfter w:w="9468" w:type="dxa"/>
          <w:trHeight w:val="283"/>
        </w:trPr>
        <w:tc>
          <w:tcPr>
            <w:tcW w:w="1562" w:type="dxa"/>
            <w:tcBorders>
              <w:left w:val="single" w:sz="2" w:space="0" w:color="auto"/>
              <w:right w:val="single" w:sz="2" w:space="0" w:color="auto"/>
            </w:tcBorders>
          </w:tcPr>
          <w:p w14:paraId="02FFF666" w14:textId="00C0C8A1"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16"/>
            <w:tcBorders>
              <w:left w:val="single" w:sz="2" w:space="0" w:color="auto"/>
            </w:tcBorders>
            <w:shd w:val="clear" w:color="auto" w:fill="7030A0"/>
          </w:tcPr>
          <w:p w14:paraId="309C5DE7" w14:textId="12DEEE63"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The estimated contingent liability for legal action relating to an agency should be included in this note.</w:t>
            </w:r>
            <w:r>
              <w:rPr>
                <w:rFonts w:cs="Calibri"/>
                <w:color w:val="FFFFFF" w:themeColor="background1"/>
                <w:sz w:val="18"/>
                <w:szCs w:val="18"/>
                <w:lang w:val="en-US"/>
              </w:rPr>
              <w:t xml:space="preserve"> </w:t>
            </w:r>
            <w:r w:rsidRPr="00F33E86">
              <w:rPr>
                <w:rFonts w:cs="Calibri"/>
                <w:color w:val="FFFFFF" w:themeColor="background1"/>
                <w:sz w:val="18"/>
                <w:szCs w:val="18"/>
                <w:lang w:val="en-US"/>
              </w:rPr>
              <w:t>Where legal services are undertaken by the Government Solicitors Office, they will provide the number of legal matters that occurred throughout the financial year and the estimated amount possibly payable under each legal matter. The note explanation should reflect the insurance arrangement that the agency has with ACTIA.</w:t>
            </w:r>
          </w:p>
        </w:tc>
      </w:tr>
      <w:tr w:rsidR="00221E00" w:rsidRPr="00CF7E1B" w14:paraId="60CB2F9D" w14:textId="77777777" w:rsidTr="005F6493">
        <w:trPr>
          <w:gridAfter w:val="2"/>
          <w:wAfter w:w="9468" w:type="dxa"/>
          <w:trHeight w:val="283"/>
        </w:trPr>
        <w:tc>
          <w:tcPr>
            <w:tcW w:w="1562" w:type="dxa"/>
            <w:tcBorders>
              <w:left w:val="single" w:sz="2" w:space="0" w:color="auto"/>
              <w:right w:val="single" w:sz="2" w:space="0" w:color="auto"/>
            </w:tcBorders>
          </w:tcPr>
          <w:p w14:paraId="79042525"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2F12015E"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Disclosure that Might Seriously Prejudice the Position of the Agency</w:t>
            </w:r>
          </w:p>
        </w:tc>
      </w:tr>
      <w:tr w:rsidR="00221E00" w:rsidRPr="00CF7E1B" w14:paraId="51F79522" w14:textId="77777777" w:rsidTr="005F6493">
        <w:trPr>
          <w:gridAfter w:val="2"/>
          <w:wAfter w:w="9468" w:type="dxa"/>
          <w:trHeight w:val="283"/>
        </w:trPr>
        <w:tc>
          <w:tcPr>
            <w:tcW w:w="1562" w:type="dxa"/>
            <w:tcBorders>
              <w:left w:val="single" w:sz="2" w:space="0" w:color="auto"/>
              <w:right w:val="single" w:sz="2" w:space="0" w:color="auto"/>
            </w:tcBorders>
          </w:tcPr>
          <w:p w14:paraId="6DEE8A4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137.92</w:t>
            </w:r>
          </w:p>
        </w:tc>
        <w:tc>
          <w:tcPr>
            <w:tcW w:w="8932" w:type="dxa"/>
            <w:gridSpan w:val="16"/>
            <w:tcBorders>
              <w:left w:val="single" w:sz="2" w:space="0" w:color="auto"/>
            </w:tcBorders>
            <w:shd w:val="clear" w:color="auto" w:fill="7030A0"/>
          </w:tcPr>
          <w:p w14:paraId="733BA360" w14:textId="02B7C94A" w:rsidR="00221E00" w:rsidRPr="00F33E86" w:rsidRDefault="00221E00" w:rsidP="00221E00">
            <w:pPr>
              <w:pStyle w:val="CommentaryText"/>
              <w:rPr>
                <w:rFonts w:cs="Calibri"/>
                <w:color w:val="FFFFFF" w:themeColor="background1"/>
                <w:sz w:val="18"/>
                <w:szCs w:val="18"/>
              </w:rPr>
            </w:pPr>
            <w:r w:rsidRPr="00F33E86">
              <w:rPr>
                <w:rFonts w:cs="Calibri"/>
                <w:color w:val="FFFFFF" w:themeColor="background1"/>
                <w:sz w:val="18"/>
                <w:szCs w:val="18"/>
              </w:rPr>
              <w:t>In extremely rare cases, disclosure of some or all of the information regarding contingent liabilities and contingent assets may seriously prejudice the position of the agency, and where this is the case, the agency need not disclose that information.</w:t>
            </w:r>
            <w:r>
              <w:rPr>
                <w:rFonts w:cs="Calibri"/>
                <w:color w:val="FFFFFF" w:themeColor="background1"/>
                <w:sz w:val="18"/>
                <w:szCs w:val="18"/>
              </w:rPr>
              <w:t xml:space="preserve"> </w:t>
            </w:r>
            <w:r w:rsidRPr="00F33E86">
              <w:rPr>
                <w:rFonts w:cs="Calibri"/>
                <w:color w:val="FFFFFF" w:themeColor="background1"/>
                <w:sz w:val="18"/>
                <w:szCs w:val="18"/>
              </w:rPr>
              <w:t>However, the agency must provide information regarding the general nature of the dispute, together with the reason for non-disclosure.</w:t>
            </w:r>
          </w:p>
        </w:tc>
      </w:tr>
      <w:tr w:rsidR="00221E00" w:rsidRPr="00CF7E1B" w14:paraId="509A2231" w14:textId="77777777" w:rsidTr="005F6493">
        <w:trPr>
          <w:gridAfter w:val="2"/>
          <w:wAfter w:w="9468" w:type="dxa"/>
          <w:trHeight w:val="283"/>
        </w:trPr>
        <w:tc>
          <w:tcPr>
            <w:tcW w:w="1562" w:type="dxa"/>
            <w:tcBorders>
              <w:left w:val="single" w:sz="2" w:space="0" w:color="auto"/>
              <w:right w:val="single" w:sz="2" w:space="0" w:color="auto"/>
            </w:tcBorders>
          </w:tcPr>
          <w:p w14:paraId="69A6AD54" w14:textId="20ECDD10" w:rsidR="00221E00" w:rsidRPr="00F33E86" w:rsidRDefault="00221E00" w:rsidP="00221E00">
            <w:pPr>
              <w:pStyle w:val="TableReference"/>
              <w:tabs>
                <w:tab w:val="left" w:pos="3306"/>
              </w:tabs>
              <w:spacing w:before="240" w:after="240"/>
              <w:rPr>
                <w:rFonts w:cs="Calibri"/>
                <w:color w:val="7030A0"/>
                <w:sz w:val="14"/>
              </w:rPr>
            </w:pPr>
            <w:r>
              <w:br w:type="page"/>
            </w:r>
            <w:r w:rsidRPr="00F33E86">
              <w:rPr>
                <w:rFonts w:cs="Calibri"/>
                <w:b/>
                <w:color w:val="7030A0"/>
                <w:sz w:val="22"/>
                <w:szCs w:val="22"/>
              </w:rPr>
              <w:t>Reference</w:t>
            </w:r>
          </w:p>
        </w:tc>
        <w:tc>
          <w:tcPr>
            <w:tcW w:w="8932" w:type="dxa"/>
            <w:gridSpan w:val="16"/>
            <w:tcBorders>
              <w:left w:val="single" w:sz="2" w:space="0" w:color="auto"/>
            </w:tcBorders>
            <w:shd w:val="clear" w:color="auto" w:fill="7030A0"/>
          </w:tcPr>
          <w:p w14:paraId="3A5456FE" w14:textId="39E96EA7" w:rsidR="00221E00" w:rsidRPr="00F33E86" w:rsidRDefault="00221E00" w:rsidP="00221E00">
            <w:pPr>
              <w:pStyle w:val="CommentaryText"/>
              <w:spacing w:before="240" w:after="240"/>
              <w:rPr>
                <w:rFonts w:cs="Calibri"/>
                <w:color w:val="FFFFFF" w:themeColor="background1"/>
                <w:sz w:val="18"/>
                <w:szCs w:val="18"/>
              </w:rPr>
            </w:pPr>
            <w:r w:rsidRPr="00221E00">
              <w:rPr>
                <w:rFonts w:cs="Calibri"/>
                <w:b/>
                <w:bCs/>
                <w:color w:val="FFFFFF" w:themeColor="background1"/>
                <w:sz w:val="28"/>
                <w:szCs w:val="28"/>
              </w:rPr>
              <w:t xml:space="preserve">Commentary </w:t>
            </w:r>
            <w:r w:rsidRPr="00221E00">
              <w:rPr>
                <w:rFonts w:cs="Calibri"/>
                <w:b/>
                <w:bCs/>
                <w:color w:val="FFFFFF" w:themeColor="background1"/>
                <w:sz w:val="28"/>
                <w:szCs w:val="28"/>
              </w:rPr>
              <w:sym w:font="Symbol" w:char="F02D"/>
            </w:r>
            <w:r w:rsidRPr="00221E00">
              <w:rPr>
                <w:rFonts w:cs="Calibri"/>
                <w:b/>
                <w:bCs/>
                <w:color w:val="FFFFFF" w:themeColor="background1"/>
                <w:sz w:val="28"/>
                <w:szCs w:val="28"/>
              </w:rPr>
              <w:t xml:space="preserve"> Note 33: Contingent Liabilities and Contingent Assets – Continued</w:t>
            </w:r>
            <w:r>
              <w:rPr>
                <w:rFonts w:cs="Calibri"/>
                <w:color w:val="FFFFFF" w:themeColor="background1"/>
                <w:sz w:val="28"/>
                <w:szCs w:val="28"/>
              </w:rPr>
              <w:t xml:space="preserve"> </w:t>
            </w:r>
          </w:p>
        </w:tc>
      </w:tr>
      <w:tr w:rsidR="00221E00" w:rsidRPr="00CF7E1B" w14:paraId="63A20CE9" w14:textId="77777777" w:rsidTr="005F6493">
        <w:trPr>
          <w:gridAfter w:val="2"/>
          <w:wAfter w:w="9468" w:type="dxa"/>
          <w:trHeight w:val="283"/>
        </w:trPr>
        <w:tc>
          <w:tcPr>
            <w:tcW w:w="1562" w:type="dxa"/>
            <w:tcBorders>
              <w:left w:val="single" w:sz="2" w:space="0" w:color="auto"/>
              <w:right w:val="single" w:sz="2" w:space="0" w:color="auto"/>
            </w:tcBorders>
          </w:tcPr>
          <w:p w14:paraId="24CBEEE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3E97E111"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Guarantees</w:t>
            </w:r>
          </w:p>
        </w:tc>
      </w:tr>
      <w:tr w:rsidR="00221E00" w:rsidRPr="00CF7E1B" w14:paraId="79E55B94" w14:textId="77777777" w:rsidTr="005F6493">
        <w:trPr>
          <w:gridAfter w:val="2"/>
          <w:wAfter w:w="9468" w:type="dxa"/>
          <w:trHeight w:val="283"/>
        </w:trPr>
        <w:tc>
          <w:tcPr>
            <w:tcW w:w="1562" w:type="dxa"/>
            <w:tcBorders>
              <w:left w:val="single" w:sz="2" w:space="0" w:color="auto"/>
              <w:right w:val="single" w:sz="2" w:space="0" w:color="auto"/>
            </w:tcBorders>
          </w:tcPr>
          <w:p w14:paraId="5AD6284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FMA Section 47 &amp; 60</w:t>
            </w:r>
          </w:p>
          <w:p w14:paraId="64D3F944"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16"/>
            <w:tcBorders>
              <w:left w:val="single" w:sz="2" w:space="0" w:color="auto"/>
            </w:tcBorders>
            <w:shd w:val="clear" w:color="auto" w:fill="7030A0"/>
          </w:tcPr>
          <w:p w14:paraId="330E9EDD"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It is ACT Disclosure Policy that agencies disclose any guarantees and undertakings given by them, including guarantees or undertakings in respect of (but not restricted to) loans, interest payments or overdrafts of the agency which:</w:t>
            </w:r>
          </w:p>
          <w:p w14:paraId="52F1531C"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are within the responsibility of the Minister to whom the agency is responsible;</w:t>
            </w:r>
          </w:p>
          <w:p w14:paraId="0F0E3650"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relate to the functional responsibilities of the agency; and</w:t>
            </w:r>
          </w:p>
          <w:p w14:paraId="2F464613" w14:textId="77777777" w:rsidR="00221E00" w:rsidRPr="00F33E86" w:rsidRDefault="00221E00" w:rsidP="00221E00">
            <w:pPr>
              <w:pStyle w:val="Commentary-Bullet"/>
              <w:tabs>
                <w:tab w:val="clear" w:pos="502"/>
              </w:tabs>
              <w:spacing w:after="120"/>
              <w:ind w:left="604" w:hanging="454"/>
              <w:rPr>
                <w:rFonts w:cs="Calibri"/>
                <w:color w:val="FFFFFF" w:themeColor="background1"/>
                <w:sz w:val="18"/>
                <w:szCs w:val="18"/>
              </w:rPr>
            </w:pPr>
            <w:r w:rsidRPr="00F33E86">
              <w:rPr>
                <w:rFonts w:cs="Calibri"/>
                <w:color w:val="FFFFFF" w:themeColor="background1"/>
                <w:sz w:val="18"/>
                <w:szCs w:val="18"/>
              </w:rPr>
              <w:t>are not required to be shown as liabilities in either the Balance Sheet or the Statement of Assets and Liabilities Held on Behalf of the Territory.</w:t>
            </w:r>
          </w:p>
          <w:p w14:paraId="35FB046B" w14:textId="77777777"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color w:val="FFFFFF" w:themeColor="background1"/>
                <w:sz w:val="18"/>
              </w:rPr>
              <w:t>Guarantees that are provided by agencies that are within the policy responsibility of their portfolio must be disclosed in their financial statements.</w:t>
            </w:r>
          </w:p>
        </w:tc>
      </w:tr>
      <w:tr w:rsidR="00221E00" w:rsidRPr="00CF7E1B" w14:paraId="39CB5A48" w14:textId="77777777" w:rsidTr="005F6493">
        <w:trPr>
          <w:gridAfter w:val="2"/>
          <w:wAfter w:w="9468" w:type="dxa"/>
          <w:trHeight w:val="283"/>
        </w:trPr>
        <w:tc>
          <w:tcPr>
            <w:tcW w:w="1562" w:type="dxa"/>
            <w:tcBorders>
              <w:left w:val="single" w:sz="2" w:space="0" w:color="auto"/>
              <w:right w:val="single" w:sz="2" w:space="0" w:color="auto"/>
            </w:tcBorders>
          </w:tcPr>
          <w:p w14:paraId="6EF72D61" w14:textId="0BE7EB32" w:rsidR="00221E00" w:rsidRPr="00F33E86" w:rsidRDefault="00221E00" w:rsidP="00221E00">
            <w:pPr>
              <w:pStyle w:val="TableReference"/>
              <w:tabs>
                <w:tab w:val="left" w:pos="3306"/>
              </w:tabs>
              <w:spacing w:before="120"/>
              <w:rPr>
                <w:rFonts w:cs="Calibri"/>
                <w:color w:val="7030A0"/>
                <w:sz w:val="14"/>
              </w:rPr>
            </w:pPr>
          </w:p>
        </w:tc>
        <w:tc>
          <w:tcPr>
            <w:tcW w:w="8932" w:type="dxa"/>
            <w:gridSpan w:val="16"/>
            <w:tcBorders>
              <w:left w:val="single" w:sz="2" w:space="0" w:color="auto"/>
            </w:tcBorders>
            <w:shd w:val="clear" w:color="auto" w:fill="7030A0"/>
          </w:tcPr>
          <w:p w14:paraId="1B94E2BE" w14:textId="77777777" w:rsidR="00221E00" w:rsidRPr="00B330CA" w:rsidRDefault="00221E00" w:rsidP="00221E00">
            <w:pPr>
              <w:pStyle w:val="CommentaryHeading"/>
              <w:spacing w:after="40"/>
              <w:jc w:val="both"/>
              <w:rPr>
                <w:rFonts w:cs="Calibri"/>
                <w:color w:val="FFFFFF" w:themeColor="background1"/>
                <w:szCs w:val="20"/>
              </w:rPr>
            </w:pPr>
            <w:r w:rsidRPr="00B330CA">
              <w:rPr>
                <w:rFonts w:cs="Calibri"/>
                <w:color w:val="FFFFFF" w:themeColor="background1"/>
                <w:szCs w:val="20"/>
              </w:rPr>
              <w:t>Disclosure Presentation</w:t>
            </w:r>
          </w:p>
        </w:tc>
      </w:tr>
      <w:tr w:rsidR="00221E00" w:rsidRPr="00CF7E1B" w14:paraId="486C51A1" w14:textId="77777777" w:rsidTr="005F6493">
        <w:trPr>
          <w:gridAfter w:val="2"/>
          <w:wAfter w:w="9468" w:type="dxa"/>
          <w:trHeight w:val="283"/>
        </w:trPr>
        <w:tc>
          <w:tcPr>
            <w:tcW w:w="1562" w:type="dxa"/>
            <w:tcBorders>
              <w:left w:val="single" w:sz="2" w:space="0" w:color="auto"/>
              <w:right w:val="single" w:sz="2" w:space="0" w:color="auto"/>
            </w:tcBorders>
          </w:tcPr>
          <w:p w14:paraId="49534C08"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16"/>
            <w:tcBorders>
              <w:left w:val="single" w:sz="2" w:space="0" w:color="auto"/>
            </w:tcBorders>
            <w:shd w:val="clear" w:color="auto" w:fill="7030A0"/>
          </w:tcPr>
          <w:p w14:paraId="1B989A83" w14:textId="03CEA122"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bCs w:val="0"/>
                <w:color w:val="FFFFFF" w:themeColor="background1"/>
                <w:sz w:val="18"/>
              </w:rPr>
              <w:t xml:space="preserve">Where an Agency considers it practical and more informative, a tabular (rather than a narrative) presentation of the disclosure of contingent liabilities and contingent assets could be presented, showing quantifiable amounts of relevant </w:t>
            </w:r>
            <w:r w:rsidRPr="00735969">
              <w:rPr>
                <w:rFonts w:cs="Calibri"/>
                <w:b w:val="0"/>
                <w:bCs w:val="0"/>
                <w:color w:val="FFFFFF" w:themeColor="background1"/>
                <w:sz w:val="18"/>
              </w:rPr>
              <w:t xml:space="preserve">categories as at the reporting date </w:t>
            </w:r>
            <w:r w:rsidRPr="00735969">
              <w:rPr>
                <w:rFonts w:cs="Calibri"/>
                <w:b w:val="0"/>
                <w:bCs w:val="0"/>
                <w:color w:val="FF0000"/>
                <w:sz w:val="18"/>
              </w:rPr>
              <w:t xml:space="preserve">and for the comparative period (ie </w:t>
            </w:r>
            <w:r w:rsidRPr="00735969">
              <w:rPr>
                <w:rFonts w:cs="Calibri"/>
                <w:b w:val="0"/>
                <w:bCs w:val="0"/>
                <w:strike/>
                <w:color w:val="FF0000"/>
                <w:sz w:val="18"/>
              </w:rPr>
              <w:t>and</w:t>
            </w:r>
            <w:r>
              <w:rPr>
                <w:rFonts w:cs="Calibri"/>
                <w:b w:val="0"/>
                <w:bCs w:val="0"/>
                <w:color w:val="FF0000"/>
                <w:sz w:val="18"/>
              </w:rPr>
              <w:t xml:space="preserve"> </w:t>
            </w:r>
            <w:r w:rsidRPr="00F33E86">
              <w:rPr>
                <w:rFonts w:cs="Calibri"/>
                <w:b w:val="0"/>
                <w:bCs w:val="0"/>
                <w:color w:val="FFFFFF" w:themeColor="background1"/>
                <w:sz w:val="18"/>
              </w:rPr>
              <w:t xml:space="preserve">the immediately previous reporting </w:t>
            </w:r>
            <w:r w:rsidRPr="00735969">
              <w:rPr>
                <w:rFonts w:cs="Calibri"/>
                <w:b w:val="0"/>
                <w:bCs w:val="0"/>
                <w:color w:val="FFFFFF" w:themeColor="background1"/>
                <w:sz w:val="18"/>
              </w:rPr>
              <w:t>date</w:t>
            </w:r>
            <w:r w:rsidRPr="00735969">
              <w:rPr>
                <w:rFonts w:cs="Calibri"/>
                <w:b w:val="0"/>
                <w:bCs w:val="0"/>
                <w:color w:val="FF0000"/>
                <w:sz w:val="18"/>
              </w:rPr>
              <w:t>)</w:t>
            </w:r>
            <w:r w:rsidRPr="00735969">
              <w:rPr>
                <w:rFonts w:cs="Calibri"/>
                <w:b w:val="0"/>
                <w:bCs w:val="0"/>
                <w:color w:val="FFFFFF" w:themeColor="background1"/>
                <w:sz w:val="18"/>
              </w:rPr>
              <w:t>.</w:t>
            </w:r>
          </w:p>
        </w:tc>
      </w:tr>
      <w:tr w:rsidR="00221E00" w:rsidRPr="00CF7E1B" w14:paraId="07DB13AD" w14:textId="77777777" w:rsidTr="005F6493">
        <w:trPr>
          <w:gridAfter w:val="2"/>
          <w:wAfter w:w="9468" w:type="dxa"/>
          <w:trHeight w:val="283"/>
        </w:trPr>
        <w:tc>
          <w:tcPr>
            <w:tcW w:w="1562" w:type="dxa"/>
            <w:tcBorders>
              <w:left w:val="single" w:sz="2" w:space="0" w:color="auto"/>
              <w:right w:val="single" w:sz="2" w:space="0" w:color="auto"/>
            </w:tcBorders>
          </w:tcPr>
          <w:p w14:paraId="7E84769C"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16"/>
            <w:tcBorders>
              <w:left w:val="single" w:sz="2" w:space="0" w:color="auto"/>
            </w:tcBorders>
            <w:shd w:val="clear" w:color="auto" w:fill="7030A0"/>
          </w:tcPr>
          <w:p w14:paraId="3AC738CE" w14:textId="77777777" w:rsidR="00221E00" w:rsidRPr="00C87FF4" w:rsidRDefault="00221E00" w:rsidP="00221E00">
            <w:pPr>
              <w:pStyle w:val="CommentaryHeading"/>
              <w:spacing w:after="40"/>
              <w:jc w:val="both"/>
              <w:rPr>
                <w:rFonts w:cs="Calibri"/>
                <w:bCs w:val="0"/>
                <w:color w:val="FFFFFF" w:themeColor="background1"/>
                <w:szCs w:val="20"/>
              </w:rPr>
            </w:pPr>
            <w:r w:rsidRPr="00C87FF4">
              <w:rPr>
                <w:rFonts w:cs="Calibri"/>
                <w:color w:val="FFFFFF" w:themeColor="background1"/>
                <w:szCs w:val="20"/>
              </w:rPr>
              <w:t>No Material Contingent Liabilities and Contingent Assets</w:t>
            </w:r>
          </w:p>
        </w:tc>
      </w:tr>
      <w:tr w:rsidR="00221E00" w:rsidRPr="00CF7E1B" w14:paraId="00FF3F2B" w14:textId="77777777" w:rsidTr="005F6493">
        <w:trPr>
          <w:gridAfter w:val="2"/>
          <w:wAfter w:w="9468" w:type="dxa"/>
          <w:trHeight w:val="283"/>
        </w:trPr>
        <w:tc>
          <w:tcPr>
            <w:tcW w:w="1562" w:type="dxa"/>
            <w:tcBorders>
              <w:left w:val="single" w:sz="2" w:space="0" w:color="auto"/>
              <w:right w:val="single" w:sz="2" w:space="0" w:color="auto"/>
            </w:tcBorders>
          </w:tcPr>
          <w:p w14:paraId="7A8E8958"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16"/>
            <w:tcBorders>
              <w:left w:val="single" w:sz="2" w:space="0" w:color="auto"/>
            </w:tcBorders>
            <w:shd w:val="clear" w:color="auto" w:fill="7030A0"/>
          </w:tcPr>
          <w:p w14:paraId="4937E955" w14:textId="77777777" w:rsidR="00221E00" w:rsidRPr="00F33E86" w:rsidRDefault="00221E00" w:rsidP="00221E00">
            <w:pPr>
              <w:pStyle w:val="CommentaryHeading"/>
              <w:spacing w:before="0" w:after="120"/>
              <w:jc w:val="both"/>
              <w:rPr>
                <w:rFonts w:cs="Calibri"/>
                <w:b w:val="0"/>
                <w:bCs w:val="0"/>
                <w:color w:val="FFFFFF" w:themeColor="background1"/>
                <w:sz w:val="18"/>
              </w:rPr>
            </w:pPr>
            <w:r w:rsidRPr="00F33E86">
              <w:rPr>
                <w:rFonts w:cs="Calibri"/>
                <w:b w:val="0"/>
                <w:color w:val="FFFFFF" w:themeColor="background1"/>
                <w:sz w:val="18"/>
              </w:rPr>
              <w:t>If an agency has no material contingent assets and contingent liabilities, this note can be excluded.</w:t>
            </w:r>
          </w:p>
        </w:tc>
      </w:tr>
      <w:tr w:rsidR="00221E00" w:rsidRPr="00CF7E1B" w14:paraId="371969A3" w14:textId="77777777" w:rsidTr="005F6493">
        <w:trPr>
          <w:gridAfter w:val="2"/>
          <w:wAfter w:w="9468" w:type="dxa"/>
          <w:trHeight w:val="283"/>
        </w:trPr>
        <w:tc>
          <w:tcPr>
            <w:tcW w:w="1562" w:type="dxa"/>
            <w:tcBorders>
              <w:left w:val="single" w:sz="2" w:space="0" w:color="auto"/>
              <w:right w:val="single" w:sz="2" w:space="0" w:color="auto"/>
            </w:tcBorders>
          </w:tcPr>
          <w:p w14:paraId="1C082E01"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16"/>
            <w:tcBorders>
              <w:left w:val="single" w:sz="2" w:space="0" w:color="auto"/>
            </w:tcBorders>
            <w:shd w:val="clear" w:color="auto" w:fill="auto"/>
          </w:tcPr>
          <w:p w14:paraId="00D99AEF" w14:textId="77777777" w:rsidR="00221E00" w:rsidRPr="00F33E86" w:rsidRDefault="00221E00" w:rsidP="00221E00">
            <w:pPr>
              <w:pStyle w:val="CommentaryHeading"/>
              <w:spacing w:before="0" w:after="120"/>
              <w:jc w:val="both"/>
              <w:rPr>
                <w:rFonts w:cs="Calibri"/>
                <w:b w:val="0"/>
                <w:color w:val="FFFFFF" w:themeColor="background1"/>
                <w:sz w:val="18"/>
              </w:rPr>
            </w:pPr>
          </w:p>
        </w:tc>
      </w:tr>
      <w:tr w:rsidR="00221E00" w:rsidRPr="00CF7E1B" w14:paraId="7306AD5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22F9AFD" w14:textId="70F58B3F" w:rsidR="00221E00" w:rsidRPr="006C2572" w:rsidRDefault="00221E00" w:rsidP="00221E00">
            <w:pPr>
              <w:pStyle w:val="TableReference"/>
              <w:tabs>
                <w:tab w:val="left" w:pos="3306"/>
              </w:tabs>
              <w:spacing w:before="240"/>
              <w:rPr>
                <w:rFonts w:cs="Calibri"/>
                <w:b/>
                <w:color w:val="7030A0"/>
                <w:sz w:val="22"/>
                <w:szCs w:val="22"/>
              </w:rPr>
            </w:pPr>
            <w:bookmarkStart w:id="817" w:name="JointContEnt" w:colFirst="1" w:colLast="1"/>
          </w:p>
        </w:tc>
        <w:tc>
          <w:tcPr>
            <w:tcW w:w="8932" w:type="dxa"/>
            <w:gridSpan w:val="16"/>
            <w:tcBorders>
              <w:top w:val="nil"/>
              <w:left w:val="single" w:sz="2" w:space="0" w:color="auto"/>
              <w:bottom w:val="nil"/>
              <w:right w:val="nil"/>
            </w:tcBorders>
            <w:vAlign w:val="bottom"/>
          </w:tcPr>
          <w:p w14:paraId="6759971A" w14:textId="412B0817" w:rsidR="00221E00" w:rsidRPr="006C2572" w:rsidRDefault="00221E00" w:rsidP="00221E00">
            <w:pPr>
              <w:pStyle w:val="Heading1"/>
              <w:numPr>
                <w:ilvl w:val="0"/>
                <w:numId w:val="0"/>
              </w:numPr>
            </w:pPr>
            <w:bookmarkStart w:id="818" w:name="_Toc48468726"/>
            <w:bookmarkStart w:id="819" w:name="_Toc49155812"/>
            <w:bookmarkStart w:id="820" w:name="_Toc49224225"/>
            <w:bookmarkStart w:id="821" w:name="_Ref50365242"/>
            <w:bookmarkStart w:id="822" w:name="_Ref50365713"/>
            <w:bookmarkStart w:id="823" w:name="_Toc50440394"/>
            <w:bookmarkStart w:id="824" w:name="_Ref50524254"/>
            <w:bookmarkStart w:id="825" w:name="_Toc400627360"/>
            <w:bookmarkStart w:id="826" w:name="InterestJointVenture"/>
            <w:bookmarkStart w:id="827" w:name="_Toc132743826"/>
            <w:r w:rsidRPr="006C2572">
              <w:t>Note 34.</w:t>
            </w:r>
            <w:r>
              <w:t xml:space="preserve"> </w:t>
            </w:r>
            <w:r w:rsidRPr="006C2572">
              <w:t xml:space="preserve"> Interest in a Joint</w:t>
            </w:r>
            <w:bookmarkEnd w:id="818"/>
            <w:bookmarkEnd w:id="819"/>
            <w:bookmarkEnd w:id="820"/>
            <w:bookmarkEnd w:id="821"/>
            <w:bookmarkEnd w:id="822"/>
            <w:bookmarkEnd w:id="823"/>
            <w:bookmarkEnd w:id="824"/>
            <w:bookmarkEnd w:id="825"/>
            <w:r w:rsidRPr="006C2572">
              <w:t xml:space="preserve"> Venture</w:t>
            </w:r>
            <w:bookmarkEnd w:id="826"/>
            <w:bookmarkEnd w:id="827"/>
          </w:p>
        </w:tc>
      </w:tr>
      <w:bookmarkEnd w:id="817"/>
      <w:tr w:rsidR="00221E00" w:rsidRPr="00CF7E1B" w14:paraId="6EC2190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7A98EA5" w14:textId="77777777" w:rsidR="00221E00" w:rsidRPr="006C2572" w:rsidRDefault="00221E00" w:rsidP="00221E00">
            <w:pPr>
              <w:pStyle w:val="TableReference"/>
              <w:tabs>
                <w:tab w:val="left" w:pos="3306"/>
              </w:tabs>
              <w:rPr>
                <w:rFonts w:cs="Calibri"/>
                <w:b/>
                <w:color w:val="7030A0"/>
                <w:sz w:val="20"/>
                <w:szCs w:val="20"/>
              </w:rPr>
            </w:pPr>
          </w:p>
        </w:tc>
        <w:tc>
          <w:tcPr>
            <w:tcW w:w="8932" w:type="dxa"/>
            <w:gridSpan w:val="16"/>
            <w:tcBorders>
              <w:top w:val="nil"/>
              <w:left w:val="single" w:sz="2" w:space="0" w:color="auto"/>
              <w:bottom w:val="nil"/>
              <w:right w:val="nil"/>
            </w:tcBorders>
          </w:tcPr>
          <w:p w14:paraId="4ED22429" w14:textId="0169DE39" w:rsidR="00221E00" w:rsidRPr="0028231E" w:rsidRDefault="00221E00" w:rsidP="00221E00">
            <w:pPr>
              <w:jc w:val="both"/>
              <w:rPr>
                <w:b/>
                <w:bCs/>
                <w:caps/>
                <w:sz w:val="18"/>
                <w:szCs w:val="18"/>
              </w:rPr>
            </w:pPr>
            <w:bookmarkStart w:id="828" w:name="_Toc98763172"/>
            <w:r w:rsidRPr="0028231E">
              <w:rPr>
                <w:b/>
                <w:bCs/>
                <w:sz w:val="18"/>
                <w:szCs w:val="18"/>
              </w:rPr>
              <w:t>Description and Material Accounting Policies Relating to Interest in a Joint Venture</w:t>
            </w:r>
            <w:bookmarkEnd w:id="828"/>
          </w:p>
        </w:tc>
      </w:tr>
      <w:tr w:rsidR="00221E00" w:rsidRPr="00CF7E1B" w14:paraId="170D51B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2E2340A" w14:textId="761972A4" w:rsidR="00221E00" w:rsidRPr="006C2572" w:rsidRDefault="00221E00" w:rsidP="00221E00">
            <w:pPr>
              <w:pStyle w:val="TableReference"/>
              <w:tabs>
                <w:tab w:val="left" w:pos="3306"/>
              </w:tabs>
              <w:rPr>
                <w:rFonts w:cs="Calibri"/>
                <w:b/>
                <w:color w:val="7030A0"/>
                <w:sz w:val="20"/>
                <w:szCs w:val="20"/>
              </w:rPr>
            </w:pPr>
            <w:r w:rsidRPr="006C2572">
              <w:rPr>
                <w:color w:val="7030A0"/>
                <w:sz w:val="14"/>
              </w:rPr>
              <w:t>AASB 11.14</w:t>
            </w:r>
          </w:p>
        </w:tc>
        <w:tc>
          <w:tcPr>
            <w:tcW w:w="8932" w:type="dxa"/>
            <w:gridSpan w:val="16"/>
            <w:tcBorders>
              <w:top w:val="nil"/>
              <w:left w:val="single" w:sz="2" w:space="0" w:color="auto"/>
              <w:bottom w:val="nil"/>
              <w:right w:val="nil"/>
            </w:tcBorders>
          </w:tcPr>
          <w:p w14:paraId="6AF368EE" w14:textId="3675D6D5" w:rsidR="00221E00" w:rsidRPr="00192FCF" w:rsidRDefault="00221E00" w:rsidP="00221E00">
            <w:pPr>
              <w:spacing w:after="120"/>
              <w:jc w:val="both"/>
              <w:rPr>
                <w:b/>
                <w:bCs/>
                <w:caps/>
                <w:sz w:val="18"/>
                <w:szCs w:val="18"/>
              </w:rPr>
            </w:pPr>
            <w:bookmarkStart w:id="829" w:name="_Toc98763173"/>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829"/>
          </w:p>
        </w:tc>
      </w:tr>
      <w:tr w:rsidR="00221E00" w:rsidRPr="00CF7E1B" w14:paraId="6FE0889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233D357"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11.16</w:t>
            </w:r>
          </w:p>
          <w:p w14:paraId="793FA56A"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12.21(a)</w:t>
            </w:r>
          </w:p>
          <w:p w14:paraId="19B9DA88" w14:textId="77777777" w:rsidR="00221E00" w:rsidRPr="006C2572" w:rsidRDefault="00221E00" w:rsidP="00221E00">
            <w:pPr>
              <w:pStyle w:val="TableReference"/>
              <w:tabs>
                <w:tab w:val="left" w:pos="3306"/>
              </w:tabs>
              <w:spacing w:before="60"/>
              <w:rPr>
                <w:rFonts w:cs="Calibri"/>
                <w:color w:val="7030A0"/>
                <w:sz w:val="16"/>
                <w:szCs w:val="16"/>
              </w:rPr>
            </w:pPr>
            <w:r w:rsidRPr="006C2572">
              <w:rPr>
                <w:rFonts w:cs="Calibri"/>
                <w:color w:val="7030A0"/>
                <w:sz w:val="14"/>
              </w:rPr>
              <w:t>AASB 12.21(b)(i)</w:t>
            </w:r>
          </w:p>
        </w:tc>
        <w:tc>
          <w:tcPr>
            <w:tcW w:w="8932" w:type="dxa"/>
            <w:gridSpan w:val="16"/>
            <w:tcBorders>
              <w:top w:val="nil"/>
              <w:left w:val="single" w:sz="2" w:space="0" w:color="auto"/>
              <w:bottom w:val="nil"/>
              <w:right w:val="nil"/>
            </w:tcBorders>
            <w:vAlign w:val="bottom"/>
          </w:tcPr>
          <w:p w14:paraId="0A01532D" w14:textId="0F2F70BA" w:rsidR="00221E00" w:rsidRPr="006C2572" w:rsidRDefault="00221E00" w:rsidP="00221E00">
            <w:pPr>
              <w:pStyle w:val="TableText"/>
              <w:spacing w:before="0" w:after="120"/>
              <w:jc w:val="both"/>
              <w:rPr>
                <w:rFonts w:cs="Calibri"/>
              </w:rPr>
            </w:pPr>
            <w:r w:rsidRPr="00735969">
              <w:rPr>
                <w:rFonts w:cs="Calibri"/>
                <w:strike/>
                <w:color w:val="FF0000"/>
              </w:rPr>
              <w:t>The</w:t>
            </w:r>
            <w:r w:rsidRPr="00735969">
              <w:rPr>
                <w:rFonts w:cs="Calibri"/>
                <w:color w:val="FF0000"/>
              </w:rPr>
              <w:t xml:space="preserve"> ‘Burley Griffin </w:t>
            </w:r>
            <w:r w:rsidRPr="00735969">
              <w:rPr>
                <w:rFonts w:cs="Calibri"/>
              </w:rPr>
              <w:t>Agency</w:t>
            </w:r>
            <w:r w:rsidRPr="00735969">
              <w:rPr>
                <w:rFonts w:cs="Calibri"/>
                <w:color w:val="FF0000"/>
              </w:rPr>
              <w:t>’</w:t>
            </w:r>
            <w:r w:rsidRPr="006C2572">
              <w:rPr>
                <w:rFonts w:cs="Calibri"/>
              </w:rPr>
              <w:t xml:space="preserve"> was involved in a joint venture during 202</w:t>
            </w:r>
            <w:r>
              <w:rPr>
                <w:rFonts w:cs="Calibri"/>
              </w:rPr>
              <w:t>2</w:t>
            </w:r>
            <w:r w:rsidRPr="006C2572">
              <w:rPr>
                <w:rFonts w:cs="Calibri"/>
              </w:rPr>
              <w:t>-2</w:t>
            </w:r>
            <w:r>
              <w:rPr>
                <w:rFonts w:cs="Calibri"/>
              </w:rPr>
              <w:t>3</w:t>
            </w:r>
            <w:r w:rsidRPr="006C2572">
              <w:rPr>
                <w:rFonts w:cs="Calibri"/>
              </w:rPr>
              <w:t xml:space="preserve"> called </w:t>
            </w:r>
            <w:bookmarkStart w:id="830" w:name="_Hlk90633530"/>
            <w:r w:rsidRPr="006C2572">
              <w:rPr>
                <w:rFonts w:cs="Calibri"/>
              </w:rPr>
              <w:t>‘Example Joint Venture Entity’</w:t>
            </w:r>
            <w:bookmarkEnd w:id="830"/>
            <w:r w:rsidRPr="006C2572">
              <w:rPr>
                <w:rFonts w:cs="Calibri"/>
              </w:rPr>
              <w:t>.</w:t>
            </w:r>
            <w:r>
              <w:rPr>
                <w:rFonts w:cs="Calibri"/>
              </w:rPr>
              <w:t xml:space="preserve"> </w:t>
            </w:r>
            <w:r w:rsidRPr="006C2572">
              <w:rPr>
                <w:rFonts w:cs="Calibri"/>
              </w:rPr>
              <w:t>‘Example Joint Venture Entity’s’ principal activity is the development of land for the construction of a residential development.</w:t>
            </w:r>
            <w:r>
              <w:rPr>
                <w:rFonts w:cs="Calibri"/>
              </w:rPr>
              <w:t xml:space="preserve"> </w:t>
            </w:r>
            <w:r w:rsidRPr="006C2572">
              <w:rPr>
                <w:rFonts w:cs="Calibri"/>
              </w:rPr>
              <w:t>The principal place of business is the Australian Capital Territory.</w:t>
            </w:r>
            <w:r>
              <w:rPr>
                <w:rFonts w:cs="Calibri"/>
              </w:rPr>
              <w:t xml:space="preserve"> </w:t>
            </w:r>
            <w:r w:rsidRPr="006C2572">
              <w:rPr>
                <w:rFonts w:cs="Calibri"/>
              </w:rPr>
              <w:t>There are two venturers involved in ‘Example Joint Venture Entity’, the Agency and ‘Example Venturer’, each has a 50% ownership interest and voting power in the joint venture.</w:t>
            </w:r>
            <w:r>
              <w:rPr>
                <w:rFonts w:cs="Calibri"/>
              </w:rPr>
              <w:t xml:space="preserve"> </w:t>
            </w:r>
            <w:r w:rsidRPr="006C2572">
              <w:rPr>
                <w:rFonts w:cs="Calibri"/>
              </w:rPr>
              <w:t>The reporting date of the Agency and ‘Example Joint Venture Entity’ is 30 June each year.</w:t>
            </w:r>
            <w:r>
              <w:rPr>
                <w:rFonts w:cs="Calibri"/>
              </w:rPr>
              <w:t xml:space="preserve"> </w:t>
            </w:r>
          </w:p>
        </w:tc>
      </w:tr>
      <w:tr w:rsidR="00221E00" w:rsidRPr="00CF7E1B" w14:paraId="6B2E4A7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194"/>
        </w:trPr>
        <w:tc>
          <w:tcPr>
            <w:tcW w:w="1562" w:type="dxa"/>
            <w:tcBorders>
              <w:top w:val="nil"/>
              <w:left w:val="single" w:sz="2" w:space="0" w:color="auto"/>
              <w:bottom w:val="nil"/>
              <w:right w:val="single" w:sz="2" w:space="0" w:color="auto"/>
            </w:tcBorders>
          </w:tcPr>
          <w:p w14:paraId="264F88DE" w14:textId="77777777" w:rsidR="00221E00" w:rsidRPr="006C2572" w:rsidRDefault="00221E00" w:rsidP="00221E00">
            <w:pPr>
              <w:pStyle w:val="TableReference"/>
              <w:tabs>
                <w:tab w:val="left" w:pos="3306"/>
              </w:tabs>
              <w:spacing w:before="40"/>
              <w:rPr>
                <w:color w:val="7030A0"/>
                <w:sz w:val="14"/>
              </w:rPr>
            </w:pPr>
            <w:r w:rsidRPr="006C2572">
              <w:rPr>
                <w:color w:val="7030A0"/>
                <w:sz w:val="14"/>
              </w:rPr>
              <w:t xml:space="preserve">AASB 11.16, </w:t>
            </w:r>
          </w:p>
          <w:p w14:paraId="4D1B8B1A" w14:textId="54428463" w:rsidR="00221E00" w:rsidRPr="006C2572" w:rsidRDefault="00221E00" w:rsidP="00221E00">
            <w:pPr>
              <w:pStyle w:val="TableReference"/>
              <w:tabs>
                <w:tab w:val="left" w:pos="3306"/>
              </w:tabs>
              <w:spacing w:before="40"/>
              <w:rPr>
                <w:rFonts w:cs="Calibri"/>
                <w:color w:val="7030A0"/>
                <w:sz w:val="16"/>
                <w:szCs w:val="16"/>
              </w:rPr>
            </w:pPr>
            <w:r w:rsidRPr="006C2572">
              <w:rPr>
                <w:color w:val="7030A0"/>
                <w:sz w:val="14"/>
              </w:rPr>
              <w:t>AASB 128.10</w:t>
            </w:r>
          </w:p>
        </w:tc>
        <w:tc>
          <w:tcPr>
            <w:tcW w:w="8932" w:type="dxa"/>
            <w:gridSpan w:val="16"/>
            <w:tcBorders>
              <w:top w:val="nil"/>
              <w:left w:val="single" w:sz="2" w:space="0" w:color="auto"/>
              <w:bottom w:val="nil"/>
              <w:right w:val="nil"/>
            </w:tcBorders>
          </w:tcPr>
          <w:p w14:paraId="6BB3C8E1" w14:textId="0B1A1A49" w:rsidR="00221E00" w:rsidRPr="006C2572" w:rsidRDefault="00221E00" w:rsidP="00221E00">
            <w:pPr>
              <w:pStyle w:val="TableText"/>
              <w:spacing w:before="0" w:after="120"/>
              <w:jc w:val="both"/>
              <w:rPr>
                <w:rFonts w:cs="Calibri"/>
              </w:rPr>
            </w:pPr>
            <w:r w:rsidRPr="006C2572">
              <w:rPr>
                <w:rFonts w:cs="Calibri"/>
              </w:rPr>
              <w:t>‘</w:t>
            </w:r>
            <w:r w:rsidRPr="006C2572">
              <w:t>Burley Griffin</w:t>
            </w:r>
            <w:r w:rsidRPr="006C2572">
              <w:rPr>
                <w:bCs/>
              </w:rPr>
              <w:t xml:space="preserve"> </w:t>
            </w:r>
            <w:r w:rsidRPr="006C2572">
              <w:rPr>
                <w:rFonts w:cs="Calibri"/>
              </w:rPr>
              <w:t>Agency’ uses the equity method to account for its interest in its joint venture. Under the equity method, on initial recognition, the investment in a joint venture is recognised at cost and the carrying amount is increased or decreased to recognise the ‘Burley Griffin Agency’s’ share of the profit or loss of the joint venture after the date of acquisition. The ‘Burley Griffin Agency’s’ share of the joint venture’s profit or loss is recognised in the Operating Statement. Distributions received from a joint venture reduce the carrying amount of the investment.</w:t>
            </w:r>
            <w:r>
              <w:rPr>
                <w:rFonts w:cs="Calibri"/>
              </w:rPr>
              <w:t xml:space="preserve"> </w:t>
            </w:r>
            <w:r w:rsidRPr="006C2572">
              <w:rPr>
                <w:rFonts w:cs="Calibri"/>
              </w:rPr>
              <w:t>Adjustments to the carrying amount may also be necessary in the proportionate interest in the joint venture arising from changes in the joint venture’s other comprehensive income including revaluation of property, plant and equipment. The ‘Burley Griffin Agency’s’ share</w:t>
            </w:r>
            <w:r>
              <w:rPr>
                <w:rFonts w:cs="Calibri"/>
              </w:rPr>
              <w:t xml:space="preserve"> </w:t>
            </w:r>
            <w:r w:rsidRPr="006C2572">
              <w:rPr>
                <w:rFonts w:cs="Calibri"/>
              </w:rPr>
              <w:t>of changes is recognised in other comprehensive income.</w:t>
            </w:r>
          </w:p>
        </w:tc>
      </w:tr>
      <w:tr w:rsidR="00221E00" w:rsidRPr="00CF7E1B" w14:paraId="06F7475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194"/>
        </w:trPr>
        <w:tc>
          <w:tcPr>
            <w:tcW w:w="1562" w:type="dxa"/>
            <w:tcBorders>
              <w:top w:val="nil"/>
              <w:left w:val="single" w:sz="2" w:space="0" w:color="auto"/>
              <w:bottom w:val="nil"/>
              <w:right w:val="single" w:sz="2" w:space="0" w:color="auto"/>
            </w:tcBorders>
          </w:tcPr>
          <w:p w14:paraId="72DC2BEF" w14:textId="5D40E595" w:rsidR="00221E00" w:rsidRPr="006C2572" w:rsidRDefault="00221E00" w:rsidP="00221E00">
            <w:pPr>
              <w:pStyle w:val="TableReference"/>
              <w:tabs>
                <w:tab w:val="left" w:pos="3306"/>
              </w:tabs>
              <w:spacing w:before="40"/>
              <w:rPr>
                <w:rFonts w:cs="Calibri"/>
                <w:color w:val="7030A0"/>
                <w:sz w:val="14"/>
              </w:rPr>
            </w:pPr>
            <w:r w:rsidRPr="006C2572">
              <w:rPr>
                <w:color w:val="7030A0"/>
                <w:sz w:val="14"/>
              </w:rPr>
              <w:t>AASB 128.28-30</w:t>
            </w:r>
          </w:p>
        </w:tc>
        <w:tc>
          <w:tcPr>
            <w:tcW w:w="8932" w:type="dxa"/>
            <w:gridSpan w:val="16"/>
            <w:tcBorders>
              <w:top w:val="nil"/>
              <w:left w:val="single" w:sz="2" w:space="0" w:color="auto"/>
              <w:bottom w:val="nil"/>
              <w:right w:val="nil"/>
            </w:tcBorders>
          </w:tcPr>
          <w:p w14:paraId="6FB34923" w14:textId="419D20CF" w:rsidR="00221E00" w:rsidRPr="006C2572" w:rsidRDefault="00221E00" w:rsidP="00221E00">
            <w:pPr>
              <w:jc w:val="both"/>
              <w:rPr>
                <w:sz w:val="18"/>
                <w:szCs w:val="18"/>
              </w:rPr>
            </w:pPr>
            <w:r w:rsidRPr="006C2572">
              <w:rPr>
                <w:sz w:val="18"/>
                <w:szCs w:val="18"/>
              </w:rPr>
              <w:t xml:space="preserve">Gains and losses resulting from ‘upstream’ (joint venture to </w:t>
            </w:r>
            <w:r w:rsidRPr="006C2572">
              <w:rPr>
                <w:rFonts w:cs="Calibri"/>
                <w:sz w:val="18"/>
                <w:szCs w:val="18"/>
              </w:rPr>
              <w:t>‘Burley Griffin Agency’</w:t>
            </w:r>
            <w:r w:rsidRPr="006C2572">
              <w:rPr>
                <w:sz w:val="18"/>
                <w:szCs w:val="18"/>
              </w:rPr>
              <w:t>) and ‘downstream’ (</w:t>
            </w:r>
            <w:r w:rsidRPr="006C2572">
              <w:rPr>
                <w:rFonts w:cs="Calibri"/>
                <w:sz w:val="18"/>
                <w:szCs w:val="18"/>
              </w:rPr>
              <w:t>‘Burley Griffin Agency’</w:t>
            </w:r>
            <w:r w:rsidRPr="006C2572">
              <w:rPr>
                <w:sz w:val="18"/>
                <w:szCs w:val="18"/>
              </w:rPr>
              <w:t xml:space="preserve"> to joint venture) transactions are eliminated to the extent of </w:t>
            </w:r>
            <w:r w:rsidRPr="006C2572">
              <w:rPr>
                <w:rFonts w:cs="Calibri"/>
                <w:sz w:val="18"/>
                <w:szCs w:val="18"/>
              </w:rPr>
              <w:t>‘Burley Griffin Agency’s’</w:t>
            </w:r>
            <w:r w:rsidRPr="006C2572">
              <w:rPr>
                <w:sz w:val="18"/>
                <w:szCs w:val="18"/>
              </w:rPr>
              <w:t xml:space="preserve"> interest in the joint venture.</w:t>
            </w:r>
            <w:r>
              <w:rPr>
                <w:sz w:val="18"/>
                <w:szCs w:val="18"/>
              </w:rPr>
              <w:t xml:space="preserve"> </w:t>
            </w:r>
            <w:r w:rsidRPr="006C2572">
              <w:rPr>
                <w:sz w:val="18"/>
                <w:szCs w:val="18"/>
              </w:rPr>
              <w:t>However, unrealised losses are not eliminated to the extent that the transaction provides evidence of a reduction in the net realisable value or in the recoverable amount of the assets transferred.</w:t>
            </w:r>
            <w:r>
              <w:rPr>
                <w:sz w:val="18"/>
                <w:szCs w:val="18"/>
              </w:rPr>
              <w:t xml:space="preserve"> </w:t>
            </w:r>
            <w:r w:rsidRPr="006C2572">
              <w:rPr>
                <w:sz w:val="18"/>
                <w:szCs w:val="18"/>
              </w:rPr>
              <w:t>Contributions of non-monetary assets to a joint venture in exchange for an equity interest are also accounted for in accordance with these requirements.</w:t>
            </w:r>
          </w:p>
          <w:p w14:paraId="2B5C1751" w14:textId="77777777" w:rsidR="00221E00" w:rsidRPr="006C2572" w:rsidRDefault="00221E00" w:rsidP="00221E00">
            <w:pPr>
              <w:pStyle w:val="TableText"/>
              <w:spacing w:before="0"/>
              <w:rPr>
                <w:rFonts w:cs="Calibri"/>
              </w:rPr>
            </w:pPr>
          </w:p>
        </w:tc>
      </w:tr>
      <w:tr w:rsidR="00221E00" w:rsidRPr="00CF7E1B" w14:paraId="4E3E329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480"/>
        </w:trPr>
        <w:tc>
          <w:tcPr>
            <w:tcW w:w="1562" w:type="dxa"/>
            <w:tcBorders>
              <w:top w:val="nil"/>
              <w:left w:val="single" w:sz="2" w:space="0" w:color="auto"/>
              <w:bottom w:val="nil"/>
              <w:right w:val="single" w:sz="2" w:space="0" w:color="auto"/>
            </w:tcBorders>
            <w:vAlign w:val="center"/>
          </w:tcPr>
          <w:p w14:paraId="50965ADA" w14:textId="1DB2B5A0" w:rsidR="00221E00" w:rsidRPr="006C2572" w:rsidRDefault="00221E00" w:rsidP="00221E00">
            <w:pPr>
              <w:pStyle w:val="TableReference"/>
              <w:tabs>
                <w:tab w:val="left" w:pos="3306"/>
              </w:tabs>
              <w:rPr>
                <w:rFonts w:cs="Calibri"/>
                <w:color w:val="7030A0"/>
                <w:sz w:val="14"/>
              </w:rPr>
            </w:pPr>
            <w:r w:rsidRPr="006C2572">
              <w:rPr>
                <w:rFonts w:cs="Calibri"/>
                <w:color w:val="7030A0"/>
                <w:sz w:val="14"/>
              </w:rPr>
              <w:t>AASB 12.B12,B13</w:t>
            </w:r>
          </w:p>
        </w:tc>
        <w:tc>
          <w:tcPr>
            <w:tcW w:w="6021" w:type="dxa"/>
            <w:gridSpan w:val="6"/>
            <w:tcBorders>
              <w:top w:val="nil"/>
              <w:left w:val="single" w:sz="2" w:space="0" w:color="auto"/>
              <w:bottom w:val="nil"/>
              <w:right w:val="nil"/>
            </w:tcBorders>
            <w:vAlign w:val="center"/>
          </w:tcPr>
          <w:p w14:paraId="33284220" w14:textId="77777777" w:rsidR="00221E00" w:rsidRPr="006C2572" w:rsidRDefault="00221E00" w:rsidP="00221E00">
            <w:pPr>
              <w:pStyle w:val="TableText"/>
              <w:tabs>
                <w:tab w:val="left" w:pos="3306"/>
              </w:tabs>
              <w:spacing w:before="0"/>
              <w:rPr>
                <w:rFonts w:cs="Calibri"/>
                <w:b/>
              </w:rPr>
            </w:pPr>
            <w:r w:rsidRPr="006C2572">
              <w:rPr>
                <w:rFonts w:cs="Calibri"/>
                <w:b/>
              </w:rPr>
              <w:t>Summarised Operating Statement of ‘Example Joint Venture Entity’</w:t>
            </w:r>
          </w:p>
        </w:tc>
        <w:tc>
          <w:tcPr>
            <w:tcW w:w="1635" w:type="dxa"/>
            <w:gridSpan w:val="8"/>
            <w:tcBorders>
              <w:top w:val="nil"/>
              <w:left w:val="nil"/>
              <w:bottom w:val="nil"/>
              <w:right w:val="nil"/>
            </w:tcBorders>
            <w:vAlign w:val="bottom"/>
          </w:tcPr>
          <w:p w14:paraId="2A7D92CE" w14:textId="0D821CB3" w:rsidR="00221E00" w:rsidRPr="006C2572" w:rsidRDefault="00221E00" w:rsidP="00221E00">
            <w:pPr>
              <w:pStyle w:val="TableTitle"/>
              <w:tabs>
                <w:tab w:val="left" w:pos="3306"/>
              </w:tabs>
              <w:rPr>
                <w:rFonts w:cs="Calibri"/>
              </w:rPr>
            </w:pPr>
            <w:r w:rsidRPr="006C2572">
              <w:rPr>
                <w:rFonts w:cs="Calibri"/>
              </w:rPr>
              <w:t>202</w:t>
            </w:r>
            <w:r>
              <w:rPr>
                <w:rFonts w:cs="Calibri"/>
              </w:rPr>
              <w:t>3</w:t>
            </w:r>
          </w:p>
          <w:p w14:paraId="2E759FC3" w14:textId="77777777" w:rsidR="00221E00" w:rsidRPr="006C2572" w:rsidRDefault="00221E00" w:rsidP="00221E00">
            <w:pPr>
              <w:pStyle w:val="TableTitle"/>
              <w:tabs>
                <w:tab w:val="left" w:pos="3306"/>
              </w:tabs>
              <w:rPr>
                <w:rFonts w:cs="Calibri"/>
              </w:rPr>
            </w:pPr>
            <w:r w:rsidRPr="006C2572">
              <w:rPr>
                <w:rFonts w:cs="Calibri"/>
              </w:rPr>
              <w:t>$’000</w:t>
            </w:r>
          </w:p>
        </w:tc>
        <w:tc>
          <w:tcPr>
            <w:tcW w:w="1276" w:type="dxa"/>
            <w:gridSpan w:val="2"/>
            <w:tcBorders>
              <w:top w:val="nil"/>
              <w:left w:val="nil"/>
              <w:bottom w:val="nil"/>
              <w:right w:val="nil"/>
            </w:tcBorders>
            <w:vAlign w:val="bottom"/>
          </w:tcPr>
          <w:p w14:paraId="717EB4C8" w14:textId="663F047F" w:rsidR="00221E00" w:rsidRPr="006C2572" w:rsidRDefault="00221E00" w:rsidP="00221E00">
            <w:pPr>
              <w:pStyle w:val="TableTitle"/>
              <w:tabs>
                <w:tab w:val="left" w:pos="3306"/>
              </w:tabs>
              <w:rPr>
                <w:rFonts w:cs="Calibri"/>
              </w:rPr>
            </w:pPr>
            <w:r w:rsidRPr="006C2572">
              <w:rPr>
                <w:rFonts w:cs="Calibri"/>
              </w:rPr>
              <w:t>202</w:t>
            </w:r>
            <w:r>
              <w:rPr>
                <w:rFonts w:cs="Calibri"/>
              </w:rPr>
              <w:t>2</w:t>
            </w:r>
          </w:p>
          <w:p w14:paraId="24EA5EA9" w14:textId="77777777" w:rsidR="00221E00" w:rsidRPr="006C2572" w:rsidRDefault="00221E00" w:rsidP="00221E00">
            <w:pPr>
              <w:pStyle w:val="TableTitle"/>
              <w:tabs>
                <w:tab w:val="left" w:pos="3306"/>
              </w:tabs>
              <w:rPr>
                <w:rFonts w:cs="Calibri"/>
              </w:rPr>
            </w:pPr>
            <w:r w:rsidRPr="006C2572">
              <w:rPr>
                <w:rFonts w:cs="Calibri"/>
              </w:rPr>
              <w:t>$’000</w:t>
            </w:r>
          </w:p>
        </w:tc>
      </w:tr>
      <w:tr w:rsidR="00221E00" w:rsidRPr="00CF7E1B" w14:paraId="36A37A8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25EA5E9" w14:textId="6BEE7C16"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12.B12(b)(v)</w:t>
            </w:r>
          </w:p>
        </w:tc>
        <w:tc>
          <w:tcPr>
            <w:tcW w:w="6021" w:type="dxa"/>
            <w:gridSpan w:val="6"/>
            <w:tcBorders>
              <w:top w:val="nil"/>
              <w:left w:val="single" w:sz="2" w:space="0" w:color="auto"/>
              <w:bottom w:val="nil"/>
              <w:right w:val="nil"/>
            </w:tcBorders>
            <w:vAlign w:val="bottom"/>
          </w:tcPr>
          <w:p w14:paraId="640FC298" w14:textId="77777777" w:rsidR="00221E00" w:rsidRPr="006C2572" w:rsidRDefault="00221E00" w:rsidP="00221E00">
            <w:pPr>
              <w:pStyle w:val="TableText"/>
              <w:tabs>
                <w:tab w:val="left" w:pos="3306"/>
              </w:tabs>
              <w:rPr>
                <w:rFonts w:cs="Calibri"/>
              </w:rPr>
            </w:pPr>
            <w:r w:rsidRPr="006C2572">
              <w:rPr>
                <w:rFonts w:cs="Calibri"/>
              </w:rPr>
              <w:t>Revenue</w:t>
            </w:r>
          </w:p>
        </w:tc>
        <w:tc>
          <w:tcPr>
            <w:tcW w:w="1635" w:type="dxa"/>
            <w:gridSpan w:val="8"/>
            <w:tcBorders>
              <w:top w:val="nil"/>
              <w:left w:val="nil"/>
              <w:bottom w:val="nil"/>
              <w:right w:val="nil"/>
            </w:tcBorders>
            <w:vAlign w:val="bottom"/>
          </w:tcPr>
          <w:p w14:paraId="4BA93116" w14:textId="3C23CEB8" w:rsidR="00221E00" w:rsidRPr="006C2572" w:rsidRDefault="00221E00" w:rsidP="00221E00">
            <w:pPr>
              <w:pStyle w:val="TableText"/>
              <w:tabs>
                <w:tab w:val="left" w:pos="3306"/>
              </w:tabs>
              <w:jc w:val="right"/>
              <w:rPr>
                <w:rFonts w:cs="Calibri"/>
                <w:strike/>
              </w:rPr>
            </w:pPr>
          </w:p>
        </w:tc>
        <w:tc>
          <w:tcPr>
            <w:tcW w:w="1276" w:type="dxa"/>
            <w:gridSpan w:val="2"/>
            <w:tcBorders>
              <w:top w:val="nil"/>
              <w:left w:val="nil"/>
              <w:bottom w:val="nil"/>
              <w:right w:val="nil"/>
            </w:tcBorders>
            <w:vAlign w:val="bottom"/>
          </w:tcPr>
          <w:p w14:paraId="34CCFA1A" w14:textId="4F2E3E96" w:rsidR="00221E00" w:rsidRPr="006C2572" w:rsidRDefault="00221E00" w:rsidP="00221E00">
            <w:pPr>
              <w:pStyle w:val="TableText"/>
              <w:tabs>
                <w:tab w:val="left" w:pos="3306"/>
              </w:tabs>
              <w:jc w:val="right"/>
              <w:rPr>
                <w:rFonts w:cs="Calibri"/>
                <w:strike/>
              </w:rPr>
            </w:pPr>
          </w:p>
        </w:tc>
      </w:tr>
      <w:tr w:rsidR="00221E00" w:rsidRPr="00CF7E1B" w14:paraId="60A99E1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89F9682" w14:textId="77777777" w:rsidR="00221E00" w:rsidRPr="006C2572" w:rsidRDefault="00221E00" w:rsidP="00221E00">
            <w:pPr>
              <w:pStyle w:val="TableReference"/>
              <w:tabs>
                <w:tab w:val="left" w:pos="3306"/>
              </w:tabs>
              <w:spacing w:before="60"/>
              <w:rPr>
                <w:rFonts w:cs="Calibri"/>
                <w:strike/>
                <w:color w:val="7030A0"/>
                <w:sz w:val="14"/>
              </w:rPr>
            </w:pPr>
          </w:p>
        </w:tc>
        <w:tc>
          <w:tcPr>
            <w:tcW w:w="6021" w:type="dxa"/>
            <w:gridSpan w:val="6"/>
            <w:tcBorders>
              <w:top w:val="nil"/>
              <w:left w:val="single" w:sz="2" w:space="0" w:color="auto"/>
              <w:bottom w:val="nil"/>
              <w:right w:val="nil"/>
            </w:tcBorders>
            <w:vAlign w:val="bottom"/>
          </w:tcPr>
          <w:p w14:paraId="5D5DC56D" w14:textId="77777777" w:rsidR="00221E00" w:rsidRPr="006C2572" w:rsidRDefault="00221E00" w:rsidP="00221E00">
            <w:pPr>
              <w:pStyle w:val="TableText"/>
              <w:tabs>
                <w:tab w:val="left" w:pos="3306"/>
              </w:tabs>
              <w:rPr>
                <w:rFonts w:cs="Calibri"/>
              </w:rPr>
            </w:pPr>
            <w:r w:rsidRPr="006C2572">
              <w:rPr>
                <w:rFonts w:cs="Calibri"/>
              </w:rPr>
              <w:t>Expenses</w:t>
            </w:r>
          </w:p>
        </w:tc>
        <w:tc>
          <w:tcPr>
            <w:tcW w:w="1635" w:type="dxa"/>
            <w:gridSpan w:val="8"/>
            <w:tcBorders>
              <w:top w:val="nil"/>
              <w:left w:val="nil"/>
              <w:bottom w:val="single" w:sz="4" w:space="0" w:color="auto"/>
              <w:right w:val="nil"/>
            </w:tcBorders>
            <w:vAlign w:val="bottom"/>
          </w:tcPr>
          <w:p w14:paraId="716BDC62" w14:textId="4FF49D8F" w:rsidR="00221E00" w:rsidRPr="006C2572" w:rsidRDefault="00221E00" w:rsidP="00221E00">
            <w:pPr>
              <w:pStyle w:val="TableText"/>
              <w:tabs>
                <w:tab w:val="left" w:pos="3306"/>
              </w:tabs>
              <w:jc w:val="right"/>
              <w:rPr>
                <w:rFonts w:cs="Calibri"/>
                <w:strike/>
              </w:rPr>
            </w:pPr>
          </w:p>
        </w:tc>
        <w:tc>
          <w:tcPr>
            <w:tcW w:w="1276" w:type="dxa"/>
            <w:gridSpan w:val="2"/>
            <w:tcBorders>
              <w:top w:val="nil"/>
              <w:left w:val="nil"/>
              <w:bottom w:val="single" w:sz="4" w:space="0" w:color="auto"/>
              <w:right w:val="nil"/>
            </w:tcBorders>
            <w:vAlign w:val="bottom"/>
          </w:tcPr>
          <w:p w14:paraId="51F28A1F" w14:textId="44BE3499" w:rsidR="00221E00" w:rsidRPr="006C2572" w:rsidRDefault="00221E00" w:rsidP="00221E00">
            <w:pPr>
              <w:pStyle w:val="TableText"/>
              <w:tabs>
                <w:tab w:val="left" w:pos="3306"/>
              </w:tabs>
              <w:jc w:val="right"/>
              <w:rPr>
                <w:rFonts w:cs="Calibri"/>
                <w:strike/>
              </w:rPr>
            </w:pPr>
          </w:p>
        </w:tc>
      </w:tr>
      <w:tr w:rsidR="00221E00" w:rsidRPr="00CF7E1B" w14:paraId="3666BDD1"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623394A" w14:textId="7777777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gridSpan w:val="6"/>
            <w:tcBorders>
              <w:top w:val="nil"/>
              <w:left w:val="single" w:sz="2" w:space="0" w:color="auto"/>
              <w:bottom w:val="nil"/>
              <w:right w:val="nil"/>
            </w:tcBorders>
            <w:vAlign w:val="bottom"/>
          </w:tcPr>
          <w:p w14:paraId="7059B0A9" w14:textId="67C7BF53" w:rsidR="00221E00" w:rsidRPr="006C2572" w:rsidRDefault="00221E00" w:rsidP="00221E00">
            <w:pPr>
              <w:pStyle w:val="TableText"/>
              <w:tabs>
                <w:tab w:val="left" w:pos="3306"/>
              </w:tabs>
              <w:rPr>
                <w:rFonts w:cs="Calibri"/>
                <w:b/>
                <w:bCs/>
              </w:rPr>
            </w:pPr>
            <w:r w:rsidRPr="006C2572">
              <w:rPr>
                <w:rFonts w:cs="Calibri"/>
                <w:b/>
                <w:bCs/>
              </w:rPr>
              <w:t>Operating Profit Before Income Tax</w:t>
            </w:r>
          </w:p>
        </w:tc>
        <w:tc>
          <w:tcPr>
            <w:tcW w:w="1635" w:type="dxa"/>
            <w:gridSpan w:val="8"/>
            <w:tcBorders>
              <w:top w:val="single" w:sz="4" w:space="0" w:color="auto"/>
              <w:left w:val="nil"/>
              <w:bottom w:val="single" w:sz="4" w:space="0" w:color="auto"/>
              <w:right w:val="nil"/>
            </w:tcBorders>
            <w:vAlign w:val="bottom"/>
          </w:tcPr>
          <w:p w14:paraId="3BDB28FF" w14:textId="102F5AE7" w:rsidR="00221E00" w:rsidRPr="006C2572" w:rsidRDefault="00221E00" w:rsidP="00221E00">
            <w:pPr>
              <w:pStyle w:val="TableText"/>
              <w:tabs>
                <w:tab w:val="left" w:pos="3306"/>
              </w:tabs>
              <w:jc w:val="right"/>
              <w:rPr>
                <w:rFonts w:cs="Calibri"/>
                <w:b/>
                <w:bCs/>
                <w:strike/>
              </w:rPr>
            </w:pPr>
          </w:p>
        </w:tc>
        <w:tc>
          <w:tcPr>
            <w:tcW w:w="1276" w:type="dxa"/>
            <w:gridSpan w:val="2"/>
            <w:tcBorders>
              <w:top w:val="single" w:sz="4" w:space="0" w:color="auto"/>
              <w:left w:val="nil"/>
              <w:bottom w:val="single" w:sz="4" w:space="0" w:color="auto"/>
              <w:right w:val="nil"/>
            </w:tcBorders>
            <w:vAlign w:val="bottom"/>
          </w:tcPr>
          <w:p w14:paraId="61C0A42A" w14:textId="764D57D4" w:rsidR="00221E00" w:rsidRPr="006C2572" w:rsidRDefault="00221E00" w:rsidP="00221E00">
            <w:pPr>
              <w:pStyle w:val="TableText"/>
              <w:tabs>
                <w:tab w:val="left" w:pos="3306"/>
              </w:tabs>
              <w:jc w:val="right"/>
              <w:rPr>
                <w:rFonts w:cs="Calibri"/>
                <w:b/>
                <w:bCs/>
                <w:strike/>
              </w:rPr>
            </w:pPr>
          </w:p>
        </w:tc>
      </w:tr>
      <w:tr w:rsidR="00221E00" w:rsidRPr="00CF7E1B" w14:paraId="62D25DF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AAB7842" w14:textId="71B4981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12.B13(g)</w:t>
            </w:r>
          </w:p>
        </w:tc>
        <w:tc>
          <w:tcPr>
            <w:tcW w:w="6021" w:type="dxa"/>
            <w:gridSpan w:val="6"/>
            <w:tcBorders>
              <w:top w:val="nil"/>
              <w:left w:val="single" w:sz="2" w:space="0" w:color="auto"/>
              <w:bottom w:val="nil"/>
              <w:right w:val="nil"/>
            </w:tcBorders>
            <w:vAlign w:val="bottom"/>
          </w:tcPr>
          <w:p w14:paraId="3F31373F" w14:textId="7D971D0E" w:rsidR="00221E00" w:rsidRPr="006C2572" w:rsidRDefault="00221E00" w:rsidP="00221E00">
            <w:pPr>
              <w:pStyle w:val="TableText"/>
              <w:tabs>
                <w:tab w:val="left" w:pos="3306"/>
              </w:tabs>
              <w:rPr>
                <w:rFonts w:cs="Calibri"/>
                <w:b/>
                <w:bCs/>
              </w:rPr>
            </w:pPr>
            <w:r w:rsidRPr="006C2572">
              <w:t>Income Tax Expense</w:t>
            </w:r>
          </w:p>
        </w:tc>
        <w:tc>
          <w:tcPr>
            <w:tcW w:w="1635" w:type="dxa"/>
            <w:gridSpan w:val="8"/>
            <w:tcBorders>
              <w:top w:val="single" w:sz="4" w:space="0" w:color="auto"/>
              <w:left w:val="nil"/>
              <w:bottom w:val="single" w:sz="4" w:space="0" w:color="auto"/>
              <w:right w:val="nil"/>
            </w:tcBorders>
            <w:vAlign w:val="bottom"/>
          </w:tcPr>
          <w:p w14:paraId="5E21395C" w14:textId="77777777" w:rsidR="00221E00" w:rsidRPr="006C2572" w:rsidRDefault="00221E00" w:rsidP="00221E00">
            <w:pPr>
              <w:pStyle w:val="TableText"/>
              <w:tabs>
                <w:tab w:val="left" w:pos="3306"/>
              </w:tabs>
              <w:jc w:val="right"/>
              <w:rPr>
                <w:rFonts w:cs="Calibri"/>
                <w:b/>
                <w:bCs/>
                <w:strike/>
              </w:rPr>
            </w:pPr>
          </w:p>
        </w:tc>
        <w:tc>
          <w:tcPr>
            <w:tcW w:w="1276" w:type="dxa"/>
            <w:gridSpan w:val="2"/>
            <w:tcBorders>
              <w:top w:val="single" w:sz="4" w:space="0" w:color="auto"/>
              <w:left w:val="nil"/>
              <w:bottom w:val="single" w:sz="4" w:space="0" w:color="auto"/>
              <w:right w:val="nil"/>
            </w:tcBorders>
            <w:vAlign w:val="bottom"/>
          </w:tcPr>
          <w:p w14:paraId="3BA27795" w14:textId="77777777" w:rsidR="00221E00" w:rsidRPr="006C2572" w:rsidRDefault="00221E00" w:rsidP="00221E00">
            <w:pPr>
              <w:pStyle w:val="TableText"/>
              <w:tabs>
                <w:tab w:val="left" w:pos="3306"/>
              </w:tabs>
              <w:jc w:val="right"/>
              <w:rPr>
                <w:rFonts w:cs="Calibri"/>
                <w:b/>
                <w:bCs/>
                <w:strike/>
              </w:rPr>
            </w:pPr>
          </w:p>
        </w:tc>
      </w:tr>
      <w:tr w:rsidR="00221E00" w:rsidRPr="00CF7E1B" w14:paraId="61C6114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5AA2E2F" w14:textId="371B445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gridSpan w:val="6"/>
            <w:tcBorders>
              <w:top w:val="nil"/>
              <w:left w:val="single" w:sz="2" w:space="0" w:color="auto"/>
              <w:bottom w:val="nil"/>
              <w:right w:val="nil"/>
            </w:tcBorders>
            <w:vAlign w:val="bottom"/>
          </w:tcPr>
          <w:p w14:paraId="0CBA7D05" w14:textId="7BC7C49F" w:rsidR="00221E00" w:rsidRPr="006C2572" w:rsidRDefault="00221E00" w:rsidP="00221E00">
            <w:pPr>
              <w:pStyle w:val="TableText"/>
              <w:tabs>
                <w:tab w:val="left" w:pos="3306"/>
              </w:tabs>
              <w:rPr>
                <w:rFonts w:cs="Calibri"/>
                <w:b/>
                <w:bCs/>
              </w:rPr>
            </w:pPr>
            <w:r w:rsidRPr="006C2572">
              <w:rPr>
                <w:b/>
                <w:bCs/>
              </w:rPr>
              <w:t>Operating Profit/(Loss) After Income Tax</w:t>
            </w:r>
          </w:p>
        </w:tc>
        <w:tc>
          <w:tcPr>
            <w:tcW w:w="1635" w:type="dxa"/>
            <w:gridSpan w:val="8"/>
            <w:tcBorders>
              <w:top w:val="single" w:sz="4" w:space="0" w:color="auto"/>
              <w:left w:val="nil"/>
              <w:bottom w:val="single" w:sz="4" w:space="0" w:color="auto"/>
              <w:right w:val="nil"/>
            </w:tcBorders>
            <w:vAlign w:val="bottom"/>
          </w:tcPr>
          <w:p w14:paraId="695AE847" w14:textId="77777777" w:rsidR="00221E00" w:rsidRPr="006C2572" w:rsidRDefault="00221E00" w:rsidP="00221E00">
            <w:pPr>
              <w:pStyle w:val="TableText"/>
              <w:tabs>
                <w:tab w:val="left" w:pos="3306"/>
              </w:tabs>
              <w:jc w:val="right"/>
              <w:rPr>
                <w:rFonts w:cs="Calibri"/>
                <w:b/>
                <w:bCs/>
                <w:strike/>
              </w:rPr>
            </w:pPr>
          </w:p>
        </w:tc>
        <w:tc>
          <w:tcPr>
            <w:tcW w:w="1276" w:type="dxa"/>
            <w:gridSpan w:val="2"/>
            <w:tcBorders>
              <w:top w:val="single" w:sz="4" w:space="0" w:color="auto"/>
              <w:left w:val="nil"/>
              <w:bottom w:val="single" w:sz="4" w:space="0" w:color="auto"/>
              <w:right w:val="nil"/>
            </w:tcBorders>
            <w:vAlign w:val="bottom"/>
          </w:tcPr>
          <w:p w14:paraId="5F8DE639" w14:textId="77777777" w:rsidR="00221E00" w:rsidRPr="006C2572" w:rsidRDefault="00221E00" w:rsidP="00221E00">
            <w:pPr>
              <w:pStyle w:val="TableText"/>
              <w:tabs>
                <w:tab w:val="left" w:pos="3306"/>
              </w:tabs>
              <w:jc w:val="right"/>
              <w:rPr>
                <w:rFonts w:cs="Calibri"/>
                <w:b/>
                <w:bCs/>
                <w:strike/>
              </w:rPr>
            </w:pPr>
          </w:p>
        </w:tc>
      </w:tr>
      <w:tr w:rsidR="00221E00" w:rsidRPr="00900DB6" w14:paraId="238C244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E8CDD9C" w14:textId="2C198A4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12.B12(b)(viii)</w:t>
            </w:r>
          </w:p>
        </w:tc>
        <w:tc>
          <w:tcPr>
            <w:tcW w:w="6021" w:type="dxa"/>
            <w:gridSpan w:val="6"/>
            <w:tcBorders>
              <w:top w:val="nil"/>
              <w:left w:val="single" w:sz="2" w:space="0" w:color="auto"/>
              <w:bottom w:val="nil"/>
              <w:right w:val="nil"/>
            </w:tcBorders>
            <w:vAlign w:val="bottom"/>
          </w:tcPr>
          <w:p w14:paraId="1D1E659E" w14:textId="77777777" w:rsidR="00221E00" w:rsidRPr="006C2572" w:rsidRDefault="00221E00" w:rsidP="00221E00">
            <w:pPr>
              <w:pStyle w:val="TableText"/>
              <w:tabs>
                <w:tab w:val="left" w:pos="3306"/>
              </w:tabs>
              <w:rPr>
                <w:rFonts w:cs="Calibri"/>
                <w:sz w:val="14"/>
              </w:rPr>
            </w:pPr>
            <w:r w:rsidRPr="006C2572">
              <w:rPr>
                <w:rFonts w:cs="Calibri"/>
              </w:rPr>
              <w:t>Other Comprehensive</w:t>
            </w:r>
            <w:r w:rsidRPr="006C2572">
              <w:rPr>
                <w:rFonts w:cs="Calibri"/>
                <w:sz w:val="14"/>
              </w:rPr>
              <w:t xml:space="preserve"> </w:t>
            </w:r>
            <w:r w:rsidRPr="006C2572">
              <w:rPr>
                <w:rFonts w:cs="Calibri"/>
              </w:rPr>
              <w:t>Income</w:t>
            </w:r>
          </w:p>
        </w:tc>
        <w:tc>
          <w:tcPr>
            <w:tcW w:w="1635" w:type="dxa"/>
            <w:gridSpan w:val="8"/>
            <w:tcBorders>
              <w:top w:val="single" w:sz="4" w:space="0" w:color="auto"/>
              <w:left w:val="nil"/>
              <w:bottom w:val="single" w:sz="4" w:space="0" w:color="auto"/>
              <w:right w:val="nil"/>
            </w:tcBorders>
            <w:vAlign w:val="bottom"/>
          </w:tcPr>
          <w:p w14:paraId="322D1DDD" w14:textId="5151129B" w:rsidR="00221E00" w:rsidRPr="006C2572" w:rsidRDefault="00221E00" w:rsidP="00221E00">
            <w:pPr>
              <w:pStyle w:val="TableText"/>
              <w:tabs>
                <w:tab w:val="left" w:pos="3306"/>
              </w:tabs>
              <w:jc w:val="right"/>
              <w:rPr>
                <w:rFonts w:cs="Calibri"/>
                <w:bCs/>
              </w:rPr>
            </w:pPr>
          </w:p>
        </w:tc>
        <w:tc>
          <w:tcPr>
            <w:tcW w:w="1276" w:type="dxa"/>
            <w:gridSpan w:val="2"/>
            <w:tcBorders>
              <w:top w:val="single" w:sz="4" w:space="0" w:color="auto"/>
              <w:left w:val="nil"/>
              <w:bottom w:val="single" w:sz="4" w:space="0" w:color="auto"/>
              <w:right w:val="nil"/>
            </w:tcBorders>
            <w:vAlign w:val="bottom"/>
          </w:tcPr>
          <w:p w14:paraId="07DF7B5C" w14:textId="03BEFF34" w:rsidR="00221E00" w:rsidRPr="006C2572" w:rsidRDefault="00221E00" w:rsidP="00221E00">
            <w:pPr>
              <w:pStyle w:val="TableText"/>
              <w:tabs>
                <w:tab w:val="left" w:pos="3306"/>
              </w:tabs>
              <w:jc w:val="right"/>
              <w:rPr>
                <w:rFonts w:cs="Calibri"/>
              </w:rPr>
            </w:pPr>
          </w:p>
        </w:tc>
      </w:tr>
      <w:tr w:rsidR="00221E00" w:rsidRPr="00CF7E1B" w14:paraId="19F2D87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257B56B"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12.B12(b)(ix)</w:t>
            </w:r>
          </w:p>
        </w:tc>
        <w:tc>
          <w:tcPr>
            <w:tcW w:w="6021" w:type="dxa"/>
            <w:gridSpan w:val="6"/>
            <w:tcBorders>
              <w:top w:val="nil"/>
              <w:left w:val="single" w:sz="2" w:space="0" w:color="auto"/>
              <w:bottom w:val="nil"/>
              <w:right w:val="nil"/>
            </w:tcBorders>
            <w:vAlign w:val="bottom"/>
          </w:tcPr>
          <w:p w14:paraId="09D7A19E" w14:textId="77777777" w:rsidR="00221E00" w:rsidRPr="006C2572" w:rsidRDefault="00221E00" w:rsidP="00221E00">
            <w:pPr>
              <w:pStyle w:val="TableText"/>
              <w:tabs>
                <w:tab w:val="left" w:pos="3306"/>
              </w:tabs>
              <w:rPr>
                <w:rFonts w:cs="Calibri"/>
                <w:b/>
                <w:bCs/>
              </w:rPr>
            </w:pPr>
            <w:r w:rsidRPr="006C2572">
              <w:rPr>
                <w:rFonts w:cs="Calibri"/>
                <w:b/>
                <w:bCs/>
              </w:rPr>
              <w:t>Total Comprehensive Income</w:t>
            </w:r>
          </w:p>
        </w:tc>
        <w:tc>
          <w:tcPr>
            <w:tcW w:w="1635" w:type="dxa"/>
            <w:gridSpan w:val="8"/>
            <w:tcBorders>
              <w:top w:val="single" w:sz="4" w:space="0" w:color="auto"/>
              <w:left w:val="nil"/>
              <w:bottom w:val="double" w:sz="4" w:space="0" w:color="auto"/>
              <w:right w:val="nil"/>
            </w:tcBorders>
            <w:vAlign w:val="bottom"/>
          </w:tcPr>
          <w:p w14:paraId="305FD269" w14:textId="731CA937" w:rsidR="00221E00" w:rsidRPr="006C2572" w:rsidRDefault="00221E00" w:rsidP="00221E00">
            <w:pPr>
              <w:pStyle w:val="TableText"/>
              <w:tabs>
                <w:tab w:val="left" w:pos="3306"/>
              </w:tabs>
              <w:jc w:val="right"/>
              <w:rPr>
                <w:rFonts w:cs="Calibri"/>
                <w:b/>
              </w:rPr>
            </w:pPr>
          </w:p>
        </w:tc>
        <w:tc>
          <w:tcPr>
            <w:tcW w:w="1276" w:type="dxa"/>
            <w:gridSpan w:val="2"/>
            <w:tcBorders>
              <w:top w:val="single" w:sz="4" w:space="0" w:color="auto"/>
              <w:left w:val="nil"/>
              <w:bottom w:val="double" w:sz="4" w:space="0" w:color="auto"/>
              <w:right w:val="nil"/>
            </w:tcBorders>
            <w:vAlign w:val="bottom"/>
          </w:tcPr>
          <w:p w14:paraId="6717DFD5" w14:textId="2E439E4D" w:rsidR="00221E00" w:rsidRPr="006C2572" w:rsidRDefault="00221E00" w:rsidP="00221E00">
            <w:pPr>
              <w:pStyle w:val="TableText"/>
              <w:tabs>
                <w:tab w:val="left" w:pos="3306"/>
              </w:tabs>
              <w:jc w:val="right"/>
              <w:rPr>
                <w:rFonts w:cs="Calibri"/>
                <w:b/>
              </w:rPr>
            </w:pPr>
          </w:p>
        </w:tc>
      </w:tr>
      <w:tr w:rsidR="00221E00" w:rsidRPr="00CF7E1B" w14:paraId="581E2D3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53ECA20" w14:textId="4DC41CDE" w:rsidR="00221E00" w:rsidRPr="006C2572" w:rsidRDefault="00221E00" w:rsidP="005F6493">
            <w:pPr>
              <w:pStyle w:val="TableReference"/>
              <w:tabs>
                <w:tab w:val="left" w:pos="3306"/>
              </w:tabs>
              <w:spacing w:before="240" w:after="240"/>
              <w:rPr>
                <w:rFonts w:cs="Calibri"/>
                <w:color w:val="7030A0"/>
                <w:sz w:val="14"/>
              </w:rPr>
            </w:pPr>
            <w:r w:rsidRPr="006C2572">
              <w:rPr>
                <w:rFonts w:cs="Calibri"/>
                <w:b/>
                <w:color w:val="7030A0"/>
                <w:sz w:val="22"/>
                <w:szCs w:val="22"/>
              </w:rPr>
              <w:t>Reference</w:t>
            </w:r>
          </w:p>
        </w:tc>
        <w:tc>
          <w:tcPr>
            <w:tcW w:w="8932" w:type="dxa"/>
            <w:gridSpan w:val="16"/>
            <w:tcBorders>
              <w:top w:val="nil"/>
              <w:left w:val="single" w:sz="2" w:space="0" w:color="auto"/>
              <w:bottom w:val="nil"/>
              <w:right w:val="nil"/>
            </w:tcBorders>
            <w:vAlign w:val="bottom"/>
          </w:tcPr>
          <w:p w14:paraId="7EB746A5" w14:textId="38EA395C" w:rsidR="00221E00" w:rsidRPr="006C2572" w:rsidRDefault="00221E00" w:rsidP="005F6493">
            <w:pPr>
              <w:pStyle w:val="Heading1"/>
              <w:numPr>
                <w:ilvl w:val="0"/>
                <w:numId w:val="0"/>
              </w:numPr>
              <w:rPr>
                <w:rFonts w:cs="Calibri"/>
              </w:rPr>
            </w:pPr>
            <w:bookmarkStart w:id="831" w:name="_Toc131164528"/>
            <w:bookmarkStart w:id="832" w:name="_Toc131591793"/>
            <w:bookmarkStart w:id="833" w:name="_Toc132743827"/>
            <w:r w:rsidRPr="007D2948">
              <w:t>Note 34.</w:t>
            </w:r>
            <w:r>
              <w:t xml:space="preserve"> </w:t>
            </w:r>
            <w:r w:rsidRPr="007D2948">
              <w:t xml:space="preserve"> Interest in a Joint Venture</w:t>
            </w:r>
            <w:r w:rsidRPr="00221E00">
              <w:t xml:space="preserve"> – C</w:t>
            </w:r>
            <w:r w:rsidR="005F6493">
              <w:t>ontinued</w:t>
            </w:r>
            <w:bookmarkEnd w:id="831"/>
            <w:bookmarkEnd w:id="832"/>
            <w:bookmarkEnd w:id="833"/>
            <w:r>
              <w:rPr>
                <w:rFonts w:cs="Arial"/>
                <w:szCs w:val="32"/>
              </w:rPr>
              <w:t xml:space="preserve"> </w:t>
            </w:r>
          </w:p>
        </w:tc>
      </w:tr>
      <w:tr w:rsidR="005F6493" w:rsidRPr="00CF7E1B" w14:paraId="1DBD533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128"/>
        </w:trPr>
        <w:tc>
          <w:tcPr>
            <w:tcW w:w="1562" w:type="dxa"/>
            <w:tcBorders>
              <w:top w:val="nil"/>
              <w:left w:val="single" w:sz="2" w:space="0" w:color="auto"/>
              <w:bottom w:val="nil"/>
              <w:right w:val="single" w:sz="2" w:space="0" w:color="auto"/>
            </w:tcBorders>
          </w:tcPr>
          <w:p w14:paraId="7981A786" w14:textId="77777777" w:rsidR="005F6493" w:rsidRPr="006C2572" w:rsidRDefault="005F6493" w:rsidP="00CA65D1">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bottom"/>
          </w:tcPr>
          <w:p w14:paraId="7E04B46A" w14:textId="77777777" w:rsidR="005F6493" w:rsidRPr="007D2948" w:rsidRDefault="005F6493" w:rsidP="00CA65D1">
            <w:pPr>
              <w:pStyle w:val="TableText"/>
              <w:tabs>
                <w:tab w:val="left" w:pos="3306"/>
              </w:tabs>
              <w:jc w:val="right"/>
              <w:rPr>
                <w:rFonts w:cs="Calibri"/>
              </w:rPr>
            </w:pPr>
          </w:p>
        </w:tc>
        <w:tc>
          <w:tcPr>
            <w:tcW w:w="1559" w:type="dxa"/>
            <w:gridSpan w:val="7"/>
            <w:tcBorders>
              <w:top w:val="nil"/>
              <w:left w:val="nil"/>
              <w:bottom w:val="nil"/>
              <w:right w:val="nil"/>
            </w:tcBorders>
            <w:vAlign w:val="bottom"/>
          </w:tcPr>
          <w:p w14:paraId="158A46B7" w14:textId="77777777" w:rsidR="005F6493" w:rsidRPr="007D2948" w:rsidRDefault="005F6493" w:rsidP="00CA65D1">
            <w:pPr>
              <w:pStyle w:val="TableTitle"/>
              <w:tabs>
                <w:tab w:val="left" w:pos="3306"/>
              </w:tabs>
              <w:rPr>
                <w:rFonts w:cs="Calibri"/>
              </w:rPr>
            </w:pPr>
            <w:r w:rsidRPr="007D2948">
              <w:rPr>
                <w:rFonts w:cs="Calibri"/>
              </w:rPr>
              <w:t>202</w:t>
            </w:r>
            <w:r>
              <w:rPr>
                <w:rFonts w:cs="Calibri"/>
              </w:rPr>
              <w:t>3</w:t>
            </w:r>
          </w:p>
          <w:p w14:paraId="74C785DC" w14:textId="77777777" w:rsidR="005F6493" w:rsidRPr="007D2948" w:rsidRDefault="005F6493" w:rsidP="00CA65D1">
            <w:pPr>
              <w:pStyle w:val="TableText"/>
              <w:tabs>
                <w:tab w:val="left" w:pos="3306"/>
              </w:tabs>
              <w:jc w:val="right"/>
              <w:rPr>
                <w:rFonts w:cs="Calibri"/>
              </w:rPr>
            </w:pPr>
            <w:r w:rsidRPr="007D2948">
              <w:rPr>
                <w:rFonts w:cs="Calibri"/>
                <w:b/>
              </w:rPr>
              <w:t>$’000</w:t>
            </w:r>
          </w:p>
        </w:tc>
        <w:tc>
          <w:tcPr>
            <w:tcW w:w="1276" w:type="dxa"/>
            <w:gridSpan w:val="2"/>
            <w:tcBorders>
              <w:top w:val="nil"/>
              <w:left w:val="nil"/>
              <w:bottom w:val="nil"/>
              <w:right w:val="nil"/>
            </w:tcBorders>
            <w:vAlign w:val="bottom"/>
          </w:tcPr>
          <w:p w14:paraId="25674FA5" w14:textId="77777777" w:rsidR="005F6493" w:rsidRDefault="005F6493" w:rsidP="00CA65D1">
            <w:pPr>
              <w:pStyle w:val="TableText"/>
              <w:tabs>
                <w:tab w:val="left" w:pos="3306"/>
              </w:tabs>
              <w:jc w:val="right"/>
              <w:rPr>
                <w:rFonts w:cs="Calibri"/>
                <w:b/>
                <w:bCs/>
              </w:rPr>
            </w:pPr>
            <w:r w:rsidRPr="007D2948">
              <w:rPr>
                <w:rFonts w:cs="Calibri"/>
                <w:b/>
                <w:bCs/>
              </w:rPr>
              <w:t>202</w:t>
            </w:r>
            <w:r>
              <w:rPr>
                <w:rFonts w:cs="Calibri"/>
                <w:b/>
                <w:bCs/>
              </w:rPr>
              <w:t xml:space="preserve">2   </w:t>
            </w:r>
          </w:p>
          <w:p w14:paraId="07673733" w14:textId="77777777" w:rsidR="005F6493" w:rsidRPr="007D2948" w:rsidRDefault="005F6493" w:rsidP="00CA65D1">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5F6493" w:rsidRPr="00CF7E1B" w14:paraId="5AE7278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467A1F4" w14:textId="77777777" w:rsidR="005F6493" w:rsidRPr="006C2572" w:rsidRDefault="005F6493" w:rsidP="00221E00">
            <w:pPr>
              <w:pStyle w:val="TableReference"/>
              <w:tabs>
                <w:tab w:val="left" w:pos="3306"/>
              </w:tabs>
              <w:spacing w:before="60"/>
              <w:rPr>
                <w:rFonts w:cs="Calibri"/>
                <w:color w:val="7030A0"/>
                <w:sz w:val="14"/>
              </w:rPr>
            </w:pPr>
            <w:r w:rsidRPr="006C2572">
              <w:rPr>
                <w:rFonts w:cs="Calibri"/>
                <w:color w:val="7030A0"/>
                <w:sz w:val="14"/>
              </w:rPr>
              <w:t>AASB 12.B13</w:t>
            </w:r>
          </w:p>
        </w:tc>
        <w:tc>
          <w:tcPr>
            <w:tcW w:w="8932" w:type="dxa"/>
            <w:gridSpan w:val="16"/>
            <w:tcBorders>
              <w:top w:val="nil"/>
              <w:left w:val="single" w:sz="2" w:space="0" w:color="auto"/>
              <w:bottom w:val="nil"/>
              <w:right w:val="nil"/>
            </w:tcBorders>
          </w:tcPr>
          <w:p w14:paraId="7F6EDB7C" w14:textId="545617FC" w:rsidR="005F6493" w:rsidRPr="006C2572" w:rsidRDefault="005F6493" w:rsidP="005F6493">
            <w:pPr>
              <w:pStyle w:val="TableText"/>
              <w:tabs>
                <w:tab w:val="left" w:pos="3306"/>
              </w:tabs>
              <w:rPr>
                <w:rFonts w:cs="Calibri"/>
              </w:rPr>
            </w:pPr>
            <w:r w:rsidRPr="006C2572">
              <w:rPr>
                <w:rFonts w:cs="Calibri"/>
                <w:bCs/>
              </w:rPr>
              <w:t>The above Operating Profit /(Loss) includes the following:</w:t>
            </w:r>
          </w:p>
        </w:tc>
      </w:tr>
      <w:tr w:rsidR="00221E00" w:rsidRPr="00CF7E1B" w14:paraId="7C38AF4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0E4F74E" w14:textId="6AD9D8D8"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12.B13(d)</w:t>
            </w:r>
          </w:p>
        </w:tc>
        <w:tc>
          <w:tcPr>
            <w:tcW w:w="6021" w:type="dxa"/>
            <w:gridSpan w:val="6"/>
            <w:tcBorders>
              <w:top w:val="nil"/>
              <w:left w:val="single" w:sz="2" w:space="0" w:color="auto"/>
              <w:bottom w:val="nil"/>
              <w:right w:val="nil"/>
            </w:tcBorders>
            <w:vAlign w:val="bottom"/>
          </w:tcPr>
          <w:p w14:paraId="1AF05630" w14:textId="77777777" w:rsidR="00221E00" w:rsidRPr="006C2572" w:rsidRDefault="00221E00" w:rsidP="00221E00">
            <w:pPr>
              <w:pStyle w:val="TableText"/>
              <w:tabs>
                <w:tab w:val="left" w:pos="3306"/>
              </w:tabs>
              <w:rPr>
                <w:rFonts w:cs="Calibri"/>
                <w:bCs/>
              </w:rPr>
            </w:pPr>
            <w:r w:rsidRPr="006C2572">
              <w:rPr>
                <w:rFonts w:cs="Calibri"/>
                <w:bCs/>
              </w:rPr>
              <w:t>Depreciation and Amortisation</w:t>
            </w:r>
          </w:p>
        </w:tc>
        <w:tc>
          <w:tcPr>
            <w:tcW w:w="1635" w:type="dxa"/>
            <w:gridSpan w:val="8"/>
            <w:tcBorders>
              <w:top w:val="nil"/>
              <w:left w:val="nil"/>
              <w:bottom w:val="nil"/>
              <w:right w:val="nil"/>
            </w:tcBorders>
            <w:vAlign w:val="bottom"/>
          </w:tcPr>
          <w:p w14:paraId="112723D1" w14:textId="38F7A2D3" w:rsidR="00221E00" w:rsidRPr="006C2572" w:rsidRDefault="00221E00" w:rsidP="00221E00">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2595BB21" w14:textId="2D949A7E" w:rsidR="00221E00" w:rsidRPr="006C2572" w:rsidRDefault="00221E00" w:rsidP="00221E00">
            <w:pPr>
              <w:pStyle w:val="TableText"/>
              <w:tabs>
                <w:tab w:val="left" w:pos="3306"/>
              </w:tabs>
              <w:jc w:val="right"/>
              <w:rPr>
                <w:rFonts w:cs="Calibri"/>
              </w:rPr>
            </w:pPr>
          </w:p>
        </w:tc>
      </w:tr>
      <w:tr w:rsidR="00221E00" w:rsidRPr="00CF7E1B" w14:paraId="49AE1B6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5A97C9B" w14:textId="4260D2A0"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12.B13(e)</w:t>
            </w:r>
          </w:p>
        </w:tc>
        <w:tc>
          <w:tcPr>
            <w:tcW w:w="6021" w:type="dxa"/>
            <w:gridSpan w:val="6"/>
            <w:tcBorders>
              <w:top w:val="nil"/>
              <w:left w:val="single" w:sz="2" w:space="0" w:color="auto"/>
              <w:bottom w:val="nil"/>
              <w:right w:val="nil"/>
            </w:tcBorders>
            <w:vAlign w:val="bottom"/>
          </w:tcPr>
          <w:p w14:paraId="721E0E29" w14:textId="77777777" w:rsidR="00221E00" w:rsidRPr="006C2572" w:rsidRDefault="00221E00" w:rsidP="00221E00">
            <w:pPr>
              <w:pStyle w:val="TableText"/>
              <w:tabs>
                <w:tab w:val="left" w:pos="3306"/>
              </w:tabs>
              <w:rPr>
                <w:rFonts w:cs="Calibri"/>
                <w:bCs/>
              </w:rPr>
            </w:pPr>
            <w:r w:rsidRPr="006C2572">
              <w:rPr>
                <w:rFonts w:cs="Calibri"/>
                <w:bCs/>
              </w:rPr>
              <w:t>Interest Income</w:t>
            </w:r>
          </w:p>
        </w:tc>
        <w:tc>
          <w:tcPr>
            <w:tcW w:w="1635" w:type="dxa"/>
            <w:gridSpan w:val="8"/>
            <w:tcBorders>
              <w:top w:val="nil"/>
              <w:left w:val="nil"/>
              <w:bottom w:val="nil"/>
              <w:right w:val="nil"/>
            </w:tcBorders>
            <w:vAlign w:val="bottom"/>
          </w:tcPr>
          <w:p w14:paraId="06124285" w14:textId="7D0035E2" w:rsidR="00221E00" w:rsidRPr="006C2572" w:rsidRDefault="00221E00" w:rsidP="00221E00">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058E931B" w14:textId="0F2E4455" w:rsidR="00221E00" w:rsidRPr="006C2572" w:rsidRDefault="00221E00" w:rsidP="00221E00">
            <w:pPr>
              <w:pStyle w:val="TableText"/>
              <w:tabs>
                <w:tab w:val="left" w:pos="3306"/>
              </w:tabs>
              <w:jc w:val="right"/>
              <w:rPr>
                <w:rFonts w:cs="Calibri"/>
              </w:rPr>
            </w:pPr>
          </w:p>
        </w:tc>
      </w:tr>
      <w:tr w:rsidR="00221E00" w:rsidRPr="00CF7E1B" w14:paraId="04651D4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75EC2F2"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12.B13(f)</w:t>
            </w:r>
          </w:p>
        </w:tc>
        <w:tc>
          <w:tcPr>
            <w:tcW w:w="6021" w:type="dxa"/>
            <w:gridSpan w:val="6"/>
            <w:tcBorders>
              <w:top w:val="nil"/>
              <w:left w:val="single" w:sz="2" w:space="0" w:color="auto"/>
              <w:bottom w:val="nil"/>
              <w:right w:val="nil"/>
            </w:tcBorders>
            <w:vAlign w:val="bottom"/>
          </w:tcPr>
          <w:p w14:paraId="4969870B" w14:textId="77777777" w:rsidR="00221E00" w:rsidRPr="006C2572" w:rsidRDefault="00221E00" w:rsidP="00221E00">
            <w:pPr>
              <w:pStyle w:val="TableText"/>
              <w:tabs>
                <w:tab w:val="left" w:pos="3306"/>
              </w:tabs>
              <w:rPr>
                <w:rFonts w:cs="Calibri"/>
                <w:bCs/>
              </w:rPr>
            </w:pPr>
            <w:r w:rsidRPr="006C2572">
              <w:rPr>
                <w:rFonts w:cs="Calibri"/>
                <w:bCs/>
              </w:rPr>
              <w:t>Interest Expense</w:t>
            </w:r>
          </w:p>
        </w:tc>
        <w:tc>
          <w:tcPr>
            <w:tcW w:w="1635" w:type="dxa"/>
            <w:gridSpan w:val="8"/>
            <w:tcBorders>
              <w:top w:val="nil"/>
              <w:left w:val="nil"/>
              <w:bottom w:val="nil"/>
              <w:right w:val="nil"/>
            </w:tcBorders>
            <w:vAlign w:val="bottom"/>
          </w:tcPr>
          <w:p w14:paraId="706E959F" w14:textId="490A11BD" w:rsidR="00221E00" w:rsidRPr="006C2572" w:rsidRDefault="00221E00" w:rsidP="00221E00">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5D6EF2CA" w14:textId="0C202A79" w:rsidR="00221E00" w:rsidRPr="006C2572" w:rsidRDefault="00221E00" w:rsidP="00221E00">
            <w:pPr>
              <w:pStyle w:val="TableText"/>
              <w:tabs>
                <w:tab w:val="left" w:pos="3306"/>
              </w:tabs>
              <w:jc w:val="right"/>
              <w:rPr>
                <w:rFonts w:cs="Calibri"/>
              </w:rPr>
            </w:pPr>
          </w:p>
        </w:tc>
      </w:tr>
      <w:tr w:rsidR="00221E00" w:rsidRPr="00CF7E1B" w14:paraId="2A7765B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621FEB8" w14:textId="77777777" w:rsidR="00221E00" w:rsidRPr="006C2572" w:rsidRDefault="00221E00" w:rsidP="00221E00">
            <w:pPr>
              <w:pStyle w:val="TableReference"/>
              <w:tabs>
                <w:tab w:val="left" w:pos="3306"/>
              </w:tabs>
              <w:spacing w:before="60"/>
              <w:rPr>
                <w:rFonts w:cs="Calibri"/>
                <w:color w:val="7030A0"/>
                <w:sz w:val="14"/>
              </w:rPr>
            </w:pPr>
          </w:p>
        </w:tc>
        <w:tc>
          <w:tcPr>
            <w:tcW w:w="6021" w:type="dxa"/>
            <w:gridSpan w:val="6"/>
            <w:tcBorders>
              <w:top w:val="nil"/>
              <w:left w:val="single" w:sz="2" w:space="0" w:color="auto"/>
              <w:bottom w:val="nil"/>
              <w:right w:val="nil"/>
            </w:tcBorders>
            <w:vAlign w:val="bottom"/>
          </w:tcPr>
          <w:p w14:paraId="5135BA53" w14:textId="77777777" w:rsidR="00221E00" w:rsidRPr="006C2572" w:rsidRDefault="00221E00" w:rsidP="00221E00">
            <w:pPr>
              <w:pStyle w:val="TableText"/>
              <w:tabs>
                <w:tab w:val="left" w:pos="3306"/>
              </w:tabs>
              <w:rPr>
                <w:rFonts w:cs="Calibri"/>
                <w:bCs/>
              </w:rPr>
            </w:pPr>
          </w:p>
        </w:tc>
        <w:tc>
          <w:tcPr>
            <w:tcW w:w="1635" w:type="dxa"/>
            <w:gridSpan w:val="8"/>
            <w:tcBorders>
              <w:top w:val="nil"/>
              <w:left w:val="nil"/>
              <w:bottom w:val="nil"/>
              <w:right w:val="nil"/>
            </w:tcBorders>
            <w:vAlign w:val="bottom"/>
          </w:tcPr>
          <w:p w14:paraId="1539E80F" w14:textId="77777777" w:rsidR="00221E00" w:rsidRPr="006C2572" w:rsidRDefault="00221E00" w:rsidP="00221E00">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9883C1F" w14:textId="77777777" w:rsidR="00221E00" w:rsidRPr="006C2572" w:rsidRDefault="00221E00" w:rsidP="00221E00">
            <w:pPr>
              <w:pStyle w:val="TableText"/>
              <w:tabs>
                <w:tab w:val="left" w:pos="3306"/>
              </w:tabs>
              <w:jc w:val="right"/>
              <w:rPr>
                <w:rFonts w:cs="Calibri"/>
              </w:rPr>
            </w:pPr>
          </w:p>
        </w:tc>
      </w:tr>
      <w:tr w:rsidR="00221E00" w:rsidRPr="00CF7E1B" w14:paraId="546E5BDC"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1856835" w14:textId="77777777" w:rsidR="00221E00" w:rsidRPr="006C2572" w:rsidRDefault="00221E00" w:rsidP="00221E00">
            <w:pPr>
              <w:pStyle w:val="TableReference"/>
              <w:tabs>
                <w:tab w:val="left" w:pos="3306"/>
              </w:tabs>
              <w:spacing w:before="60"/>
              <w:rPr>
                <w:rFonts w:cs="Calibri"/>
                <w:color w:val="7030A0"/>
                <w:sz w:val="14"/>
              </w:rPr>
            </w:pPr>
          </w:p>
        </w:tc>
        <w:tc>
          <w:tcPr>
            <w:tcW w:w="6021" w:type="dxa"/>
            <w:gridSpan w:val="6"/>
            <w:tcBorders>
              <w:top w:val="nil"/>
              <w:left w:val="single" w:sz="2" w:space="0" w:color="auto"/>
              <w:bottom w:val="nil"/>
              <w:right w:val="nil"/>
            </w:tcBorders>
            <w:vAlign w:val="bottom"/>
          </w:tcPr>
          <w:p w14:paraId="35FB8D79" w14:textId="362DD660" w:rsidR="00221E00" w:rsidRPr="006C2572" w:rsidRDefault="00221E00" w:rsidP="00221E00">
            <w:pPr>
              <w:pStyle w:val="TableText"/>
              <w:tabs>
                <w:tab w:val="left" w:pos="3306"/>
              </w:tabs>
              <w:rPr>
                <w:rFonts w:cs="Calibri"/>
              </w:rPr>
            </w:pPr>
            <w:r w:rsidRPr="006C2572">
              <w:rPr>
                <w:rFonts w:cs="Calibri"/>
              </w:rPr>
              <w:t>‘</w:t>
            </w:r>
            <w:r w:rsidRPr="006C2572">
              <w:t>Burley Griffin</w:t>
            </w:r>
            <w:r w:rsidRPr="006C2572">
              <w:rPr>
                <w:rFonts w:cs="Calibri"/>
              </w:rPr>
              <w:t xml:space="preserve"> Agency’ Share of the Joint Venture Operating Profit (50%)</w:t>
            </w:r>
          </w:p>
        </w:tc>
        <w:tc>
          <w:tcPr>
            <w:tcW w:w="1635" w:type="dxa"/>
            <w:gridSpan w:val="8"/>
            <w:tcBorders>
              <w:top w:val="nil"/>
              <w:left w:val="nil"/>
              <w:bottom w:val="nil"/>
              <w:right w:val="nil"/>
            </w:tcBorders>
            <w:vAlign w:val="bottom"/>
          </w:tcPr>
          <w:p w14:paraId="0E6F3B18" w14:textId="0BF77657" w:rsidR="00221E00" w:rsidRPr="006C2572" w:rsidRDefault="00221E00" w:rsidP="00221E00">
            <w:pPr>
              <w:pStyle w:val="TableText"/>
              <w:tabs>
                <w:tab w:val="left" w:pos="3306"/>
              </w:tabs>
              <w:jc w:val="right"/>
              <w:rPr>
                <w:rFonts w:cs="Calibri"/>
                <w:b/>
              </w:rPr>
            </w:pPr>
          </w:p>
        </w:tc>
        <w:tc>
          <w:tcPr>
            <w:tcW w:w="1276" w:type="dxa"/>
            <w:gridSpan w:val="2"/>
            <w:tcBorders>
              <w:top w:val="nil"/>
              <w:left w:val="nil"/>
              <w:bottom w:val="nil"/>
              <w:right w:val="nil"/>
            </w:tcBorders>
            <w:vAlign w:val="bottom"/>
          </w:tcPr>
          <w:p w14:paraId="5C3ABCEB" w14:textId="225758D4" w:rsidR="00221E00" w:rsidRPr="006C2572" w:rsidRDefault="00221E00" w:rsidP="00221E00">
            <w:pPr>
              <w:pStyle w:val="TableText"/>
              <w:tabs>
                <w:tab w:val="left" w:pos="3306"/>
              </w:tabs>
              <w:jc w:val="right"/>
              <w:rPr>
                <w:rFonts w:cs="Calibri"/>
                <w:b/>
              </w:rPr>
            </w:pPr>
          </w:p>
        </w:tc>
      </w:tr>
      <w:tr w:rsidR="00221E00" w:rsidRPr="00CF7E1B" w14:paraId="0D84F36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vAlign w:val="bottom"/>
          </w:tcPr>
          <w:p w14:paraId="28C6F49E" w14:textId="77777777" w:rsidR="00221E00" w:rsidRPr="006C2572" w:rsidRDefault="00221E00" w:rsidP="00221E00">
            <w:pPr>
              <w:pStyle w:val="TableReference"/>
              <w:tabs>
                <w:tab w:val="left" w:pos="3306"/>
              </w:tabs>
              <w:spacing w:before="60"/>
              <w:rPr>
                <w:rFonts w:cs="Calibri"/>
                <w:color w:val="7030A0"/>
                <w:sz w:val="14"/>
              </w:rPr>
            </w:pPr>
          </w:p>
        </w:tc>
        <w:tc>
          <w:tcPr>
            <w:tcW w:w="6021" w:type="dxa"/>
            <w:gridSpan w:val="6"/>
            <w:tcBorders>
              <w:top w:val="nil"/>
              <w:left w:val="single" w:sz="2" w:space="0" w:color="auto"/>
              <w:bottom w:val="nil"/>
              <w:right w:val="nil"/>
            </w:tcBorders>
            <w:vAlign w:val="bottom"/>
          </w:tcPr>
          <w:p w14:paraId="73A3283D" w14:textId="2B5DCC68" w:rsidR="00221E00" w:rsidRPr="006C2572" w:rsidRDefault="00221E00" w:rsidP="005F6493">
            <w:pPr>
              <w:pStyle w:val="TableText"/>
              <w:tabs>
                <w:tab w:val="left" w:pos="3306"/>
              </w:tabs>
              <w:spacing w:after="120"/>
              <w:rPr>
                <w:rFonts w:cs="Calibri"/>
              </w:rPr>
            </w:pPr>
            <w:r w:rsidRPr="006C2572">
              <w:rPr>
                <w:rFonts w:cs="Calibri"/>
              </w:rPr>
              <w:t>’</w:t>
            </w:r>
            <w:r w:rsidRPr="006C2572">
              <w:t>Burley Griffin</w:t>
            </w:r>
            <w:r w:rsidRPr="006C2572">
              <w:rPr>
                <w:rFonts w:cs="Calibri"/>
              </w:rPr>
              <w:t xml:space="preserve"> Agency’ Share of Joint Venture Other Comprehensive Income (50%)</w:t>
            </w:r>
          </w:p>
        </w:tc>
        <w:tc>
          <w:tcPr>
            <w:tcW w:w="1635" w:type="dxa"/>
            <w:gridSpan w:val="8"/>
            <w:tcBorders>
              <w:top w:val="nil"/>
              <w:left w:val="nil"/>
              <w:bottom w:val="nil"/>
              <w:right w:val="nil"/>
            </w:tcBorders>
            <w:vAlign w:val="bottom"/>
          </w:tcPr>
          <w:p w14:paraId="554B9A01" w14:textId="669F2946" w:rsidR="00221E00" w:rsidRPr="006C2572" w:rsidRDefault="00221E00" w:rsidP="00221E00">
            <w:pPr>
              <w:pStyle w:val="TableText"/>
              <w:tabs>
                <w:tab w:val="left" w:pos="3306"/>
              </w:tabs>
              <w:spacing w:before="0"/>
              <w:jc w:val="right"/>
              <w:rPr>
                <w:rFonts w:cs="Calibri"/>
                <w:b/>
              </w:rPr>
            </w:pPr>
          </w:p>
        </w:tc>
        <w:tc>
          <w:tcPr>
            <w:tcW w:w="1276" w:type="dxa"/>
            <w:gridSpan w:val="2"/>
            <w:tcBorders>
              <w:top w:val="nil"/>
              <w:left w:val="nil"/>
              <w:bottom w:val="nil"/>
              <w:right w:val="nil"/>
            </w:tcBorders>
            <w:vAlign w:val="bottom"/>
          </w:tcPr>
          <w:p w14:paraId="505FFD4B" w14:textId="2F83995C" w:rsidR="00221E00" w:rsidRPr="006C2572" w:rsidRDefault="00221E00" w:rsidP="00221E00">
            <w:pPr>
              <w:pStyle w:val="TableText"/>
              <w:tabs>
                <w:tab w:val="left" w:pos="3306"/>
              </w:tabs>
              <w:jc w:val="right"/>
              <w:rPr>
                <w:rFonts w:cs="Calibri"/>
                <w:b/>
              </w:rPr>
            </w:pPr>
          </w:p>
        </w:tc>
      </w:tr>
      <w:tr w:rsidR="00BB55EB" w:rsidRPr="00CF7E1B" w14:paraId="1E3BF9A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60A2D008" w14:textId="137C4744"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12.B12,B13</w:t>
            </w:r>
          </w:p>
        </w:tc>
        <w:tc>
          <w:tcPr>
            <w:tcW w:w="6097" w:type="dxa"/>
            <w:gridSpan w:val="7"/>
            <w:tcBorders>
              <w:top w:val="nil"/>
              <w:left w:val="single" w:sz="2" w:space="0" w:color="auto"/>
              <w:bottom w:val="nil"/>
              <w:right w:val="nil"/>
            </w:tcBorders>
            <w:vAlign w:val="center"/>
          </w:tcPr>
          <w:p w14:paraId="6113A4FC" w14:textId="42D074E4" w:rsidR="00BB55EB" w:rsidRPr="006C2572" w:rsidRDefault="00BB55EB" w:rsidP="00BB55EB">
            <w:pPr>
              <w:pStyle w:val="TableText"/>
              <w:tabs>
                <w:tab w:val="left" w:pos="3306"/>
              </w:tabs>
              <w:rPr>
                <w:rFonts w:cs="Calibri"/>
                <w:b/>
                <w:bCs/>
              </w:rPr>
            </w:pPr>
            <w:r w:rsidRPr="006C2572">
              <w:rPr>
                <w:rFonts w:cs="Calibri"/>
                <w:b/>
                <w:bCs/>
              </w:rPr>
              <w:t xml:space="preserve">Summarised Balance Sheet of </w:t>
            </w:r>
            <w:r w:rsidR="007B19EB" w:rsidRPr="006C2572">
              <w:rPr>
                <w:rFonts w:cs="Calibri"/>
                <w:b/>
                <w:bCs/>
              </w:rPr>
              <w:t>‘</w:t>
            </w:r>
            <w:r w:rsidRPr="006C2572">
              <w:rPr>
                <w:rFonts w:cs="Calibri"/>
                <w:b/>
                <w:bCs/>
              </w:rPr>
              <w:t>Example Joint Venture Entity’</w:t>
            </w:r>
          </w:p>
        </w:tc>
        <w:tc>
          <w:tcPr>
            <w:tcW w:w="1559" w:type="dxa"/>
            <w:gridSpan w:val="7"/>
            <w:tcBorders>
              <w:top w:val="nil"/>
              <w:left w:val="nil"/>
              <w:bottom w:val="nil"/>
              <w:right w:val="nil"/>
            </w:tcBorders>
            <w:vAlign w:val="bottom"/>
          </w:tcPr>
          <w:p w14:paraId="49AD4ED5" w14:textId="77777777"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18B621D0" w14:textId="77777777" w:rsidR="00BB55EB" w:rsidRPr="006C2572" w:rsidRDefault="00BB55EB" w:rsidP="00BB55EB">
            <w:pPr>
              <w:pStyle w:val="TableText"/>
              <w:tabs>
                <w:tab w:val="left" w:pos="3306"/>
              </w:tabs>
              <w:jc w:val="right"/>
              <w:rPr>
                <w:rFonts w:cs="Calibri"/>
              </w:rPr>
            </w:pPr>
          </w:p>
        </w:tc>
      </w:tr>
      <w:tr w:rsidR="00BB55EB" w:rsidRPr="00CF7E1B" w14:paraId="1EF33E4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DE4AA38"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center"/>
          </w:tcPr>
          <w:p w14:paraId="4863158A" w14:textId="77777777" w:rsidR="00BB55EB" w:rsidRPr="007B76DA" w:rsidRDefault="00BB55EB" w:rsidP="00BB55EB">
            <w:pPr>
              <w:pStyle w:val="TableText"/>
              <w:tabs>
                <w:tab w:val="left" w:pos="3306"/>
              </w:tabs>
              <w:rPr>
                <w:rFonts w:cs="Calibri"/>
                <w:b/>
                <w:bCs/>
              </w:rPr>
            </w:pPr>
            <w:r w:rsidRPr="007B76DA">
              <w:rPr>
                <w:rFonts w:cs="Calibri"/>
                <w:b/>
                <w:bCs/>
              </w:rPr>
              <w:t>Current Assets</w:t>
            </w:r>
            <w:r w:rsidRPr="007B76DA">
              <w:rPr>
                <w:rFonts w:cs="Calibri"/>
                <w:b/>
                <w:bCs/>
                <w:strike/>
                <w:color w:val="FF0000"/>
              </w:rPr>
              <w:t>:</w:t>
            </w:r>
          </w:p>
        </w:tc>
        <w:tc>
          <w:tcPr>
            <w:tcW w:w="1559" w:type="dxa"/>
            <w:gridSpan w:val="7"/>
            <w:tcBorders>
              <w:top w:val="nil"/>
              <w:left w:val="nil"/>
              <w:bottom w:val="nil"/>
              <w:right w:val="nil"/>
            </w:tcBorders>
            <w:vAlign w:val="bottom"/>
          </w:tcPr>
          <w:p w14:paraId="1C3E17E4" w14:textId="77777777"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1527479E" w14:textId="77777777" w:rsidR="00BB55EB" w:rsidRPr="006C2572" w:rsidRDefault="00BB55EB" w:rsidP="00BB55EB">
            <w:pPr>
              <w:pStyle w:val="TableText"/>
              <w:tabs>
                <w:tab w:val="left" w:pos="3306"/>
              </w:tabs>
              <w:jc w:val="right"/>
              <w:rPr>
                <w:rFonts w:cs="Calibri"/>
              </w:rPr>
            </w:pPr>
          </w:p>
        </w:tc>
      </w:tr>
      <w:tr w:rsidR="00343B5F" w:rsidRPr="00CF7E1B" w14:paraId="366F0CC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216FCE34" w14:textId="3C8A33E2" w:rsidR="00343B5F" w:rsidRPr="006C2572" w:rsidRDefault="00343B5F" w:rsidP="00BB55EB">
            <w:pPr>
              <w:pStyle w:val="TableReference"/>
              <w:tabs>
                <w:tab w:val="left" w:pos="3306"/>
              </w:tabs>
              <w:spacing w:before="60"/>
              <w:rPr>
                <w:rFonts w:cs="Calibri"/>
                <w:color w:val="7030A0"/>
                <w:sz w:val="14"/>
              </w:rPr>
            </w:pPr>
            <w:r w:rsidRPr="007B76DA">
              <w:rPr>
                <w:rFonts w:cs="Calibri"/>
                <w:color w:val="FF0000"/>
                <w:sz w:val="14"/>
              </w:rPr>
              <w:t>AASB 12.B13(a)</w:t>
            </w:r>
          </w:p>
        </w:tc>
        <w:tc>
          <w:tcPr>
            <w:tcW w:w="6097" w:type="dxa"/>
            <w:gridSpan w:val="7"/>
            <w:tcBorders>
              <w:top w:val="nil"/>
              <w:left w:val="single" w:sz="2" w:space="0" w:color="auto"/>
              <w:bottom w:val="nil"/>
              <w:right w:val="nil"/>
            </w:tcBorders>
            <w:vAlign w:val="center"/>
          </w:tcPr>
          <w:p w14:paraId="59466453" w14:textId="6D151DB4" w:rsidR="00343B5F" w:rsidRPr="0007146C" w:rsidRDefault="00343B5F" w:rsidP="00BB55EB">
            <w:pPr>
              <w:pStyle w:val="TableText"/>
              <w:tabs>
                <w:tab w:val="left" w:pos="3306"/>
              </w:tabs>
              <w:rPr>
                <w:rFonts w:cs="Calibri"/>
                <w:bCs/>
              </w:rPr>
            </w:pPr>
            <w:r w:rsidRPr="0007146C">
              <w:rPr>
                <w:rFonts w:cs="Calibri"/>
                <w:color w:val="538135" w:themeColor="accent6" w:themeShade="BF"/>
              </w:rPr>
              <w:t>Cash and Cash Equivalents</w:t>
            </w:r>
          </w:p>
        </w:tc>
        <w:tc>
          <w:tcPr>
            <w:tcW w:w="1559" w:type="dxa"/>
            <w:gridSpan w:val="7"/>
            <w:tcBorders>
              <w:top w:val="nil"/>
              <w:left w:val="nil"/>
              <w:bottom w:val="nil"/>
              <w:right w:val="nil"/>
            </w:tcBorders>
            <w:vAlign w:val="bottom"/>
          </w:tcPr>
          <w:p w14:paraId="7C83B045" w14:textId="77777777" w:rsidR="00343B5F" w:rsidRPr="006C2572" w:rsidRDefault="00343B5F"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30E4B63" w14:textId="77777777" w:rsidR="00343B5F" w:rsidRPr="006C2572" w:rsidRDefault="00343B5F" w:rsidP="00BB55EB">
            <w:pPr>
              <w:pStyle w:val="TableText"/>
              <w:tabs>
                <w:tab w:val="left" w:pos="3306"/>
              </w:tabs>
              <w:jc w:val="right"/>
              <w:rPr>
                <w:rFonts w:cs="Calibri"/>
              </w:rPr>
            </w:pPr>
          </w:p>
        </w:tc>
      </w:tr>
      <w:tr w:rsidR="00BB55EB" w:rsidRPr="00CF7E1B" w14:paraId="4B7EC841"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4AA223B"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center"/>
          </w:tcPr>
          <w:p w14:paraId="3DF020DA" w14:textId="3E953A9C" w:rsidR="00BB55EB" w:rsidRPr="0007146C" w:rsidRDefault="00BB55EB" w:rsidP="00BB55EB">
            <w:pPr>
              <w:pStyle w:val="TableText"/>
              <w:tabs>
                <w:tab w:val="left" w:pos="3306"/>
              </w:tabs>
              <w:rPr>
                <w:rFonts w:cs="Calibri"/>
                <w:bCs/>
              </w:rPr>
            </w:pPr>
            <w:r w:rsidRPr="0007146C">
              <w:rPr>
                <w:rFonts w:cs="Calibri"/>
                <w:bCs/>
              </w:rPr>
              <w:t xml:space="preserve">Current Assets </w:t>
            </w:r>
            <w:r w:rsidR="00C6164F" w:rsidRPr="0007146C">
              <w:rPr>
                <w:rFonts w:cs="Calibri"/>
                <w:bCs/>
                <w:color w:val="FF0000"/>
              </w:rPr>
              <w:t>(</w:t>
            </w:r>
            <w:r w:rsidRPr="0007146C">
              <w:rPr>
                <w:rFonts w:cs="Calibri"/>
                <w:bCs/>
                <w:strike/>
                <w:color w:val="FF0000"/>
              </w:rPr>
              <w:t>Other</w:t>
            </w:r>
            <w:r w:rsidR="003C2240" w:rsidRPr="0007146C">
              <w:rPr>
                <w:rFonts w:cs="Calibri"/>
                <w:bCs/>
                <w:strike/>
                <w:color w:val="FF0000"/>
              </w:rPr>
              <w:t xml:space="preserve"> </w:t>
            </w:r>
            <w:r w:rsidR="003C2240" w:rsidRPr="0007146C">
              <w:rPr>
                <w:rFonts w:cs="Calibri"/>
                <w:bCs/>
                <w:color w:val="FF0000"/>
              </w:rPr>
              <w:t xml:space="preserve">excluding </w:t>
            </w:r>
            <w:r w:rsidR="003C2240" w:rsidRPr="0007146C">
              <w:rPr>
                <w:rFonts w:cs="Calibri"/>
                <w:color w:val="FF0000"/>
              </w:rPr>
              <w:t>Cash and Cash Equivalents)</w:t>
            </w:r>
          </w:p>
        </w:tc>
        <w:tc>
          <w:tcPr>
            <w:tcW w:w="1559" w:type="dxa"/>
            <w:gridSpan w:val="7"/>
            <w:tcBorders>
              <w:top w:val="nil"/>
              <w:left w:val="nil"/>
              <w:bottom w:val="nil"/>
              <w:right w:val="nil"/>
            </w:tcBorders>
            <w:vAlign w:val="bottom"/>
          </w:tcPr>
          <w:p w14:paraId="402928EE" w14:textId="175B7659"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06141538" w14:textId="02FF4DE2" w:rsidR="00BB55EB" w:rsidRPr="006C2572" w:rsidRDefault="00BB55EB" w:rsidP="00BB55EB">
            <w:pPr>
              <w:pStyle w:val="TableText"/>
              <w:tabs>
                <w:tab w:val="left" w:pos="3306"/>
              </w:tabs>
              <w:jc w:val="right"/>
              <w:rPr>
                <w:rFonts w:cs="Calibri"/>
              </w:rPr>
            </w:pPr>
          </w:p>
        </w:tc>
      </w:tr>
      <w:tr w:rsidR="00BB55EB" w:rsidRPr="00CF7E1B" w14:paraId="046D1E2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9D54752" w14:textId="634DD8FC" w:rsidR="00BB55EB" w:rsidRPr="006C2572" w:rsidRDefault="00BB55EB" w:rsidP="00BB55EB">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center"/>
          </w:tcPr>
          <w:p w14:paraId="661DE93B" w14:textId="77777777" w:rsidR="00BB55EB" w:rsidRPr="0007146C" w:rsidRDefault="00BB55EB" w:rsidP="00BB55EB">
            <w:pPr>
              <w:pStyle w:val="TableText"/>
              <w:tabs>
                <w:tab w:val="left" w:pos="3306"/>
              </w:tabs>
              <w:rPr>
                <w:rFonts w:cs="Calibri"/>
                <w:bCs/>
                <w:strike/>
              </w:rPr>
            </w:pPr>
            <w:r w:rsidRPr="0007146C">
              <w:rPr>
                <w:rFonts w:cs="Calibri"/>
                <w:strike/>
                <w:color w:val="538135" w:themeColor="accent6" w:themeShade="BF"/>
              </w:rPr>
              <w:t>Cash and Cash Equivalents</w:t>
            </w:r>
          </w:p>
        </w:tc>
        <w:tc>
          <w:tcPr>
            <w:tcW w:w="1559" w:type="dxa"/>
            <w:gridSpan w:val="7"/>
            <w:tcBorders>
              <w:top w:val="nil"/>
              <w:left w:val="nil"/>
              <w:bottom w:val="single" w:sz="4" w:space="0" w:color="auto"/>
              <w:right w:val="nil"/>
            </w:tcBorders>
            <w:vAlign w:val="bottom"/>
          </w:tcPr>
          <w:p w14:paraId="24897179" w14:textId="3C2C079A"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47D2FE28" w14:textId="2AD8045C" w:rsidR="00BB55EB" w:rsidRPr="006C2572" w:rsidRDefault="00BB55EB" w:rsidP="00BB55EB">
            <w:pPr>
              <w:pStyle w:val="TableText"/>
              <w:tabs>
                <w:tab w:val="left" w:pos="3306"/>
              </w:tabs>
              <w:jc w:val="right"/>
              <w:rPr>
                <w:rFonts w:cs="Calibri"/>
              </w:rPr>
            </w:pPr>
          </w:p>
        </w:tc>
      </w:tr>
      <w:tr w:rsidR="00BB55EB" w:rsidRPr="00CF7E1B" w14:paraId="030E0E3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692A5492" w14:textId="77777777" w:rsidR="00BB55EB" w:rsidRPr="006C2572" w:rsidRDefault="00BB55EB" w:rsidP="00BB55EB">
            <w:pPr>
              <w:pStyle w:val="TableReference"/>
              <w:tabs>
                <w:tab w:val="left" w:pos="3306"/>
              </w:tabs>
              <w:spacing w:before="60"/>
              <w:rPr>
                <w:rFonts w:cs="Calibri"/>
                <w:b/>
                <w:color w:val="7030A0"/>
                <w:sz w:val="14"/>
              </w:rPr>
            </w:pPr>
            <w:r w:rsidRPr="006C2572">
              <w:rPr>
                <w:rFonts w:cs="Calibri"/>
                <w:color w:val="7030A0"/>
                <w:sz w:val="14"/>
              </w:rPr>
              <w:t>AASB 12.B12(b)(i), B13(a)</w:t>
            </w:r>
          </w:p>
        </w:tc>
        <w:tc>
          <w:tcPr>
            <w:tcW w:w="6097" w:type="dxa"/>
            <w:gridSpan w:val="7"/>
            <w:tcBorders>
              <w:top w:val="nil"/>
              <w:left w:val="single" w:sz="2" w:space="0" w:color="auto"/>
              <w:bottom w:val="nil"/>
              <w:right w:val="nil"/>
            </w:tcBorders>
            <w:vAlign w:val="bottom"/>
          </w:tcPr>
          <w:p w14:paraId="17FB4ACB" w14:textId="77777777" w:rsidR="00BB55EB" w:rsidRPr="006C2572" w:rsidRDefault="00BB55EB" w:rsidP="00BB55EB">
            <w:pPr>
              <w:pStyle w:val="TableText"/>
              <w:tabs>
                <w:tab w:val="left" w:pos="3306"/>
              </w:tabs>
              <w:rPr>
                <w:rFonts w:cs="Calibri"/>
                <w:b/>
              </w:rPr>
            </w:pPr>
            <w:r w:rsidRPr="006C2572">
              <w:rPr>
                <w:rFonts w:cs="Calibri"/>
                <w:b/>
              </w:rPr>
              <w:t>Total Current Assets</w:t>
            </w:r>
          </w:p>
        </w:tc>
        <w:tc>
          <w:tcPr>
            <w:tcW w:w="1559" w:type="dxa"/>
            <w:gridSpan w:val="7"/>
            <w:tcBorders>
              <w:top w:val="single" w:sz="4" w:space="0" w:color="auto"/>
              <w:left w:val="nil"/>
              <w:bottom w:val="single" w:sz="4" w:space="0" w:color="auto"/>
              <w:right w:val="nil"/>
            </w:tcBorders>
            <w:vAlign w:val="bottom"/>
          </w:tcPr>
          <w:p w14:paraId="1E711ADA" w14:textId="441FD455" w:rsidR="00BB55EB" w:rsidRPr="006C2572" w:rsidRDefault="00BB55EB" w:rsidP="00BB55EB">
            <w:pPr>
              <w:pStyle w:val="TableText"/>
              <w:tabs>
                <w:tab w:val="left" w:pos="3306"/>
              </w:tabs>
              <w:jc w:val="right"/>
              <w:rPr>
                <w:rFonts w:cs="Calibri"/>
                <w:strike/>
              </w:rPr>
            </w:pPr>
          </w:p>
        </w:tc>
        <w:tc>
          <w:tcPr>
            <w:tcW w:w="1276" w:type="dxa"/>
            <w:gridSpan w:val="2"/>
            <w:tcBorders>
              <w:top w:val="single" w:sz="4" w:space="0" w:color="auto"/>
              <w:left w:val="nil"/>
              <w:bottom w:val="single" w:sz="4" w:space="0" w:color="auto"/>
              <w:right w:val="nil"/>
            </w:tcBorders>
            <w:vAlign w:val="bottom"/>
          </w:tcPr>
          <w:p w14:paraId="741FCD26" w14:textId="002C720C" w:rsidR="00BB55EB" w:rsidRPr="006C2572" w:rsidRDefault="00BB55EB" w:rsidP="00BB55EB">
            <w:pPr>
              <w:pStyle w:val="TableText"/>
              <w:tabs>
                <w:tab w:val="left" w:pos="3306"/>
              </w:tabs>
              <w:jc w:val="right"/>
              <w:rPr>
                <w:rFonts w:cs="Calibri"/>
                <w:strike/>
              </w:rPr>
            </w:pPr>
          </w:p>
        </w:tc>
      </w:tr>
      <w:tr w:rsidR="00BB55EB" w:rsidRPr="00CF7E1B" w14:paraId="0218B5A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4D44EF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7"/>
            <w:tcBorders>
              <w:top w:val="nil"/>
              <w:left w:val="single" w:sz="2" w:space="0" w:color="auto"/>
              <w:bottom w:val="nil"/>
              <w:right w:val="nil"/>
            </w:tcBorders>
            <w:vAlign w:val="bottom"/>
          </w:tcPr>
          <w:p w14:paraId="6896D54D" w14:textId="77777777" w:rsidR="00BB55EB" w:rsidRPr="006C2572" w:rsidRDefault="00BB55EB" w:rsidP="00BB55EB">
            <w:pPr>
              <w:pStyle w:val="TableText"/>
              <w:tabs>
                <w:tab w:val="left" w:pos="3306"/>
              </w:tabs>
              <w:rPr>
                <w:rFonts w:cs="Calibri"/>
              </w:rPr>
            </w:pPr>
          </w:p>
        </w:tc>
        <w:tc>
          <w:tcPr>
            <w:tcW w:w="1559" w:type="dxa"/>
            <w:gridSpan w:val="7"/>
            <w:tcBorders>
              <w:top w:val="single" w:sz="4" w:space="0" w:color="auto"/>
              <w:left w:val="nil"/>
              <w:bottom w:val="single" w:sz="4" w:space="0" w:color="auto"/>
              <w:right w:val="nil"/>
            </w:tcBorders>
            <w:vAlign w:val="bottom"/>
          </w:tcPr>
          <w:p w14:paraId="7D81D5AB" w14:textId="77777777" w:rsidR="00BB55EB" w:rsidRPr="006C2572" w:rsidRDefault="00BB55EB" w:rsidP="00BB55EB">
            <w:pPr>
              <w:pStyle w:val="TableText"/>
              <w:tabs>
                <w:tab w:val="left" w:pos="3306"/>
              </w:tabs>
              <w:jc w:val="right"/>
              <w:rPr>
                <w:rFonts w:cs="Calibri"/>
              </w:rPr>
            </w:pPr>
          </w:p>
        </w:tc>
        <w:tc>
          <w:tcPr>
            <w:tcW w:w="1276" w:type="dxa"/>
            <w:gridSpan w:val="2"/>
            <w:tcBorders>
              <w:top w:val="single" w:sz="4" w:space="0" w:color="auto"/>
              <w:left w:val="nil"/>
              <w:bottom w:val="single" w:sz="4" w:space="0" w:color="auto"/>
              <w:right w:val="nil"/>
            </w:tcBorders>
            <w:vAlign w:val="bottom"/>
          </w:tcPr>
          <w:p w14:paraId="78EEF422" w14:textId="77777777" w:rsidR="00BB55EB" w:rsidRPr="006C2572" w:rsidRDefault="00BB55EB" w:rsidP="00BB55EB">
            <w:pPr>
              <w:pStyle w:val="TableText"/>
              <w:tabs>
                <w:tab w:val="left" w:pos="3306"/>
              </w:tabs>
              <w:jc w:val="right"/>
              <w:rPr>
                <w:rFonts w:cs="Calibri"/>
              </w:rPr>
            </w:pPr>
          </w:p>
        </w:tc>
      </w:tr>
      <w:tr w:rsidR="00BB55EB" w:rsidRPr="00CF7E1B" w14:paraId="61C8239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08FDF13C" w14:textId="52D7B772"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12.B12(b)(ii)</w:t>
            </w:r>
          </w:p>
        </w:tc>
        <w:tc>
          <w:tcPr>
            <w:tcW w:w="6097" w:type="dxa"/>
            <w:gridSpan w:val="7"/>
            <w:tcBorders>
              <w:top w:val="nil"/>
              <w:left w:val="single" w:sz="2" w:space="0" w:color="auto"/>
              <w:bottom w:val="nil"/>
              <w:right w:val="nil"/>
            </w:tcBorders>
            <w:vAlign w:val="bottom"/>
          </w:tcPr>
          <w:p w14:paraId="111C404D" w14:textId="77777777" w:rsidR="00BB55EB" w:rsidRPr="006C2572" w:rsidRDefault="00BB55EB" w:rsidP="00BB55EB">
            <w:pPr>
              <w:pStyle w:val="TableText"/>
              <w:tabs>
                <w:tab w:val="left" w:pos="3306"/>
              </w:tabs>
              <w:rPr>
                <w:rFonts w:cs="Calibri"/>
                <w:b/>
              </w:rPr>
            </w:pPr>
            <w:r w:rsidRPr="006C2572">
              <w:rPr>
                <w:rFonts w:cs="Calibri"/>
                <w:b/>
              </w:rPr>
              <w:t>Non-Current Assets</w:t>
            </w:r>
          </w:p>
        </w:tc>
        <w:tc>
          <w:tcPr>
            <w:tcW w:w="1559" w:type="dxa"/>
            <w:gridSpan w:val="7"/>
            <w:tcBorders>
              <w:top w:val="single" w:sz="4" w:space="0" w:color="auto"/>
              <w:left w:val="nil"/>
              <w:bottom w:val="single" w:sz="4" w:space="0" w:color="auto"/>
              <w:right w:val="nil"/>
            </w:tcBorders>
            <w:vAlign w:val="bottom"/>
          </w:tcPr>
          <w:p w14:paraId="03DB889B" w14:textId="663F7BA9" w:rsidR="00BB55EB" w:rsidRPr="006C2572" w:rsidRDefault="00BB55EB" w:rsidP="00BB55EB">
            <w:pPr>
              <w:pStyle w:val="TableText"/>
              <w:tabs>
                <w:tab w:val="left" w:pos="3306"/>
              </w:tabs>
              <w:jc w:val="right"/>
              <w:rPr>
                <w:rFonts w:cs="Calibri"/>
              </w:rPr>
            </w:pPr>
          </w:p>
        </w:tc>
        <w:tc>
          <w:tcPr>
            <w:tcW w:w="1276" w:type="dxa"/>
            <w:gridSpan w:val="2"/>
            <w:tcBorders>
              <w:top w:val="single" w:sz="4" w:space="0" w:color="auto"/>
              <w:left w:val="nil"/>
              <w:bottom w:val="single" w:sz="4" w:space="0" w:color="auto"/>
              <w:right w:val="nil"/>
            </w:tcBorders>
            <w:vAlign w:val="bottom"/>
          </w:tcPr>
          <w:p w14:paraId="18146735" w14:textId="14218D89" w:rsidR="00BB55EB" w:rsidRPr="006C2572" w:rsidRDefault="00BB55EB" w:rsidP="00BB55EB">
            <w:pPr>
              <w:pStyle w:val="TableText"/>
              <w:tabs>
                <w:tab w:val="left" w:pos="3306"/>
              </w:tabs>
              <w:jc w:val="right"/>
              <w:rPr>
                <w:rFonts w:cs="Calibri"/>
              </w:rPr>
            </w:pPr>
          </w:p>
        </w:tc>
      </w:tr>
      <w:tr w:rsidR="00BB55EB" w:rsidRPr="00CF7E1B" w14:paraId="4FA214A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60B7845" w14:textId="77777777" w:rsidR="00BB55EB" w:rsidRPr="006C2572" w:rsidRDefault="00BB55EB" w:rsidP="00BB55EB">
            <w:pPr>
              <w:pStyle w:val="TableReference"/>
              <w:tabs>
                <w:tab w:val="left" w:pos="3306"/>
              </w:tabs>
              <w:spacing w:before="40"/>
              <w:rPr>
                <w:rFonts w:cs="Calibri"/>
                <w:color w:val="7030A0"/>
                <w:sz w:val="16"/>
                <w:szCs w:val="16"/>
              </w:rPr>
            </w:pPr>
          </w:p>
        </w:tc>
        <w:tc>
          <w:tcPr>
            <w:tcW w:w="6097" w:type="dxa"/>
            <w:gridSpan w:val="7"/>
            <w:tcBorders>
              <w:top w:val="nil"/>
              <w:left w:val="single" w:sz="2" w:space="0" w:color="auto"/>
              <w:bottom w:val="nil"/>
              <w:right w:val="nil"/>
            </w:tcBorders>
            <w:vAlign w:val="bottom"/>
          </w:tcPr>
          <w:p w14:paraId="1111C7A3" w14:textId="77777777" w:rsidR="00BB55EB" w:rsidRPr="006C2572" w:rsidRDefault="00BB55EB" w:rsidP="00BB55EB">
            <w:pPr>
              <w:pStyle w:val="TableText"/>
              <w:tabs>
                <w:tab w:val="left" w:pos="3306"/>
              </w:tabs>
              <w:rPr>
                <w:rFonts w:cs="Calibri"/>
                <w:b/>
                <w:bCs/>
              </w:rPr>
            </w:pPr>
            <w:r w:rsidRPr="006C2572">
              <w:rPr>
                <w:rFonts w:cs="Calibri"/>
                <w:b/>
                <w:bCs/>
              </w:rPr>
              <w:t>Total Assets</w:t>
            </w:r>
          </w:p>
        </w:tc>
        <w:tc>
          <w:tcPr>
            <w:tcW w:w="1559" w:type="dxa"/>
            <w:gridSpan w:val="7"/>
            <w:tcBorders>
              <w:top w:val="single" w:sz="4" w:space="0" w:color="auto"/>
              <w:left w:val="nil"/>
              <w:bottom w:val="single" w:sz="4" w:space="0" w:color="auto"/>
              <w:right w:val="nil"/>
            </w:tcBorders>
            <w:vAlign w:val="bottom"/>
          </w:tcPr>
          <w:p w14:paraId="72246026" w14:textId="11B54884" w:rsidR="00BB55EB" w:rsidRPr="006C2572" w:rsidRDefault="00BB55EB" w:rsidP="00BB55EB">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right w:val="nil"/>
            </w:tcBorders>
            <w:vAlign w:val="bottom"/>
          </w:tcPr>
          <w:p w14:paraId="78898AE3" w14:textId="2C77F9C2" w:rsidR="00BB55EB" w:rsidRPr="006C2572" w:rsidRDefault="00BB55EB" w:rsidP="00BB55EB">
            <w:pPr>
              <w:pStyle w:val="TableText"/>
              <w:tabs>
                <w:tab w:val="left" w:pos="3306"/>
              </w:tabs>
              <w:jc w:val="right"/>
              <w:rPr>
                <w:rFonts w:cs="Calibri"/>
                <w:b/>
                <w:bCs/>
              </w:rPr>
            </w:pPr>
          </w:p>
        </w:tc>
      </w:tr>
      <w:tr w:rsidR="00BB55EB" w:rsidRPr="00CF7E1B" w14:paraId="04DB732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8005EE9"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7"/>
            <w:tcBorders>
              <w:top w:val="nil"/>
              <w:left w:val="single" w:sz="2" w:space="0" w:color="auto"/>
              <w:bottom w:val="nil"/>
              <w:right w:val="nil"/>
            </w:tcBorders>
            <w:vAlign w:val="bottom"/>
          </w:tcPr>
          <w:p w14:paraId="6145C23F" w14:textId="77777777" w:rsidR="00BB55EB" w:rsidRPr="006C2572" w:rsidRDefault="00BB55EB" w:rsidP="00BB55EB">
            <w:pPr>
              <w:pStyle w:val="TableText"/>
              <w:tabs>
                <w:tab w:val="left" w:pos="3306"/>
              </w:tabs>
              <w:rPr>
                <w:rFonts w:cs="Calibri"/>
              </w:rPr>
            </w:pPr>
          </w:p>
        </w:tc>
        <w:tc>
          <w:tcPr>
            <w:tcW w:w="1559" w:type="dxa"/>
            <w:gridSpan w:val="7"/>
            <w:tcBorders>
              <w:top w:val="single" w:sz="4" w:space="0" w:color="auto"/>
              <w:left w:val="nil"/>
              <w:bottom w:val="nil"/>
              <w:right w:val="nil"/>
            </w:tcBorders>
            <w:vAlign w:val="bottom"/>
          </w:tcPr>
          <w:p w14:paraId="4C39CE2B" w14:textId="77777777" w:rsidR="00BB55EB" w:rsidRPr="006C2572" w:rsidRDefault="00BB55EB" w:rsidP="00BB55EB">
            <w:pPr>
              <w:pStyle w:val="TableText"/>
              <w:tabs>
                <w:tab w:val="left" w:pos="3306"/>
              </w:tabs>
              <w:jc w:val="right"/>
              <w:rPr>
                <w:rFonts w:cs="Calibri"/>
              </w:rPr>
            </w:pPr>
          </w:p>
        </w:tc>
        <w:tc>
          <w:tcPr>
            <w:tcW w:w="1276" w:type="dxa"/>
            <w:gridSpan w:val="2"/>
            <w:tcBorders>
              <w:top w:val="single" w:sz="4" w:space="0" w:color="auto"/>
              <w:left w:val="nil"/>
              <w:bottom w:val="nil"/>
              <w:right w:val="nil"/>
            </w:tcBorders>
            <w:vAlign w:val="bottom"/>
          </w:tcPr>
          <w:p w14:paraId="60A714F2" w14:textId="77777777" w:rsidR="00BB55EB" w:rsidRPr="006C2572" w:rsidRDefault="00BB55EB" w:rsidP="00BB55EB">
            <w:pPr>
              <w:pStyle w:val="TableText"/>
              <w:tabs>
                <w:tab w:val="left" w:pos="3306"/>
              </w:tabs>
              <w:jc w:val="right"/>
              <w:rPr>
                <w:rFonts w:cs="Calibri"/>
              </w:rPr>
            </w:pPr>
          </w:p>
        </w:tc>
      </w:tr>
      <w:tr w:rsidR="00BB55EB" w:rsidRPr="00CF7E1B" w14:paraId="75603CD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1DCDCC7"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7"/>
            <w:tcBorders>
              <w:top w:val="nil"/>
              <w:left w:val="single" w:sz="2" w:space="0" w:color="auto"/>
              <w:bottom w:val="nil"/>
              <w:right w:val="nil"/>
            </w:tcBorders>
            <w:vAlign w:val="bottom"/>
          </w:tcPr>
          <w:p w14:paraId="410EC10B" w14:textId="346B793D" w:rsidR="00BB55EB" w:rsidRPr="006C2572" w:rsidRDefault="00BB55EB" w:rsidP="00BB55EB">
            <w:pPr>
              <w:pStyle w:val="TableText"/>
              <w:tabs>
                <w:tab w:val="left" w:pos="3306"/>
              </w:tabs>
              <w:rPr>
                <w:rFonts w:cs="Calibri"/>
                <w:b/>
              </w:rPr>
            </w:pPr>
            <w:r w:rsidRPr="006C2572">
              <w:rPr>
                <w:rFonts w:cs="Calibri"/>
                <w:b/>
              </w:rPr>
              <w:t xml:space="preserve">Current </w:t>
            </w:r>
            <w:r w:rsidRPr="007B76DA">
              <w:rPr>
                <w:rFonts w:cs="Calibri"/>
                <w:b/>
              </w:rPr>
              <w:t>Liabilities</w:t>
            </w:r>
            <w:r w:rsidR="00C6164F" w:rsidRPr="007B76DA">
              <w:rPr>
                <w:rFonts w:cs="Calibri"/>
                <w:b/>
                <w:strike/>
                <w:color w:val="FF0000"/>
              </w:rPr>
              <w:t>:</w:t>
            </w:r>
          </w:p>
        </w:tc>
        <w:tc>
          <w:tcPr>
            <w:tcW w:w="1559" w:type="dxa"/>
            <w:gridSpan w:val="7"/>
            <w:tcBorders>
              <w:top w:val="nil"/>
              <w:left w:val="nil"/>
              <w:bottom w:val="nil"/>
              <w:right w:val="nil"/>
            </w:tcBorders>
            <w:vAlign w:val="bottom"/>
          </w:tcPr>
          <w:p w14:paraId="6E109B7C" w14:textId="77777777"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0E29D1BF" w14:textId="77777777" w:rsidR="00BB55EB" w:rsidRPr="006C2572" w:rsidRDefault="00BB55EB" w:rsidP="00BB55EB">
            <w:pPr>
              <w:pStyle w:val="TableText"/>
              <w:tabs>
                <w:tab w:val="left" w:pos="3306"/>
              </w:tabs>
              <w:jc w:val="right"/>
              <w:rPr>
                <w:rFonts w:cs="Calibri"/>
              </w:rPr>
            </w:pPr>
          </w:p>
        </w:tc>
      </w:tr>
      <w:tr w:rsidR="00BB55EB" w:rsidRPr="00CF7E1B" w14:paraId="72318CB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080BD8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7"/>
            <w:tcBorders>
              <w:top w:val="nil"/>
              <w:left w:val="single" w:sz="2" w:space="0" w:color="auto"/>
              <w:bottom w:val="nil"/>
              <w:right w:val="nil"/>
            </w:tcBorders>
            <w:vAlign w:val="bottom"/>
          </w:tcPr>
          <w:p w14:paraId="496F4EEB" w14:textId="6E9E21E7" w:rsidR="00BB55EB" w:rsidRPr="006C2572" w:rsidRDefault="00BB55EB" w:rsidP="00BB55EB">
            <w:pPr>
              <w:pStyle w:val="TableText"/>
              <w:tabs>
                <w:tab w:val="left" w:pos="3306"/>
              </w:tabs>
              <w:rPr>
                <w:rFonts w:cs="Calibri"/>
              </w:rPr>
            </w:pPr>
            <w:r w:rsidRPr="007B76DA">
              <w:rPr>
                <w:rFonts w:cs="Calibri"/>
              </w:rPr>
              <w:t xml:space="preserve">Current </w:t>
            </w:r>
            <w:r w:rsidR="003C2240" w:rsidRPr="007B76DA">
              <w:rPr>
                <w:rFonts w:cs="Calibri"/>
                <w:color w:val="FF0000"/>
              </w:rPr>
              <w:t xml:space="preserve">Non-Financial </w:t>
            </w:r>
            <w:r w:rsidR="003C2240" w:rsidRPr="007B76DA">
              <w:rPr>
                <w:rFonts w:cs="Calibri"/>
              </w:rPr>
              <w:t>L</w:t>
            </w:r>
            <w:r w:rsidRPr="007B76DA">
              <w:rPr>
                <w:rFonts w:cs="Calibri"/>
              </w:rPr>
              <w:t xml:space="preserve">iabilities </w:t>
            </w:r>
            <w:r w:rsidRPr="007B76DA">
              <w:rPr>
                <w:rFonts w:cs="Calibri"/>
                <w:strike/>
                <w:color w:val="FF0000"/>
              </w:rPr>
              <w:t>other</w:t>
            </w:r>
            <w:r w:rsidRPr="006C2572">
              <w:rPr>
                <w:rFonts w:cs="Calibri"/>
              </w:rPr>
              <w:t xml:space="preserve"> </w:t>
            </w:r>
          </w:p>
        </w:tc>
        <w:tc>
          <w:tcPr>
            <w:tcW w:w="1559" w:type="dxa"/>
            <w:gridSpan w:val="7"/>
            <w:tcBorders>
              <w:top w:val="nil"/>
              <w:left w:val="nil"/>
              <w:bottom w:val="nil"/>
              <w:right w:val="nil"/>
            </w:tcBorders>
            <w:vAlign w:val="bottom"/>
          </w:tcPr>
          <w:p w14:paraId="4E335A8C" w14:textId="417AD8AA"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23258A26" w14:textId="72ABBCE7" w:rsidR="00BB55EB" w:rsidRPr="006C2572" w:rsidRDefault="00BB55EB" w:rsidP="00BB55EB">
            <w:pPr>
              <w:pStyle w:val="TableText"/>
              <w:tabs>
                <w:tab w:val="left" w:pos="3306"/>
              </w:tabs>
              <w:jc w:val="right"/>
              <w:rPr>
                <w:rFonts w:cs="Calibri"/>
              </w:rPr>
            </w:pPr>
          </w:p>
        </w:tc>
      </w:tr>
      <w:tr w:rsidR="00BB55EB" w:rsidRPr="00CF7E1B" w14:paraId="463AE0E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1F17D62" w14:textId="5D3C2BE6" w:rsidR="00BB55EB" w:rsidRPr="007B76DA" w:rsidRDefault="00C6164F" w:rsidP="00BB55EB">
            <w:pPr>
              <w:pStyle w:val="TableReference"/>
              <w:tabs>
                <w:tab w:val="left" w:pos="3306"/>
              </w:tabs>
              <w:spacing w:before="60"/>
              <w:rPr>
                <w:rFonts w:cs="Calibri"/>
                <w:color w:val="7030A0"/>
                <w:sz w:val="16"/>
                <w:szCs w:val="16"/>
              </w:rPr>
            </w:pPr>
            <w:r w:rsidRPr="007B76DA">
              <w:rPr>
                <w:rFonts w:cs="Calibri"/>
                <w:color w:val="FF0000"/>
                <w:sz w:val="14"/>
              </w:rPr>
              <w:t>AASB 12.B13(b)</w:t>
            </w:r>
          </w:p>
        </w:tc>
        <w:tc>
          <w:tcPr>
            <w:tcW w:w="6097" w:type="dxa"/>
            <w:gridSpan w:val="7"/>
            <w:tcBorders>
              <w:top w:val="nil"/>
              <w:left w:val="single" w:sz="2" w:space="0" w:color="auto"/>
              <w:bottom w:val="nil"/>
              <w:right w:val="nil"/>
            </w:tcBorders>
            <w:vAlign w:val="bottom"/>
          </w:tcPr>
          <w:p w14:paraId="58641E7F" w14:textId="060232EF" w:rsidR="00BB55EB" w:rsidRPr="006C2572" w:rsidRDefault="00BB55EB" w:rsidP="00BB55EB">
            <w:pPr>
              <w:pStyle w:val="TableText"/>
              <w:tabs>
                <w:tab w:val="left" w:pos="3306"/>
              </w:tabs>
              <w:rPr>
                <w:rFonts w:cs="Calibri"/>
              </w:rPr>
            </w:pPr>
            <w:r w:rsidRPr="006C2572">
              <w:rPr>
                <w:rFonts w:cs="Calibri"/>
              </w:rPr>
              <w:t xml:space="preserve">Current </w:t>
            </w:r>
            <w:r w:rsidR="003C2240">
              <w:rPr>
                <w:rFonts w:cs="Calibri"/>
              </w:rPr>
              <w:t>F</w:t>
            </w:r>
            <w:r w:rsidRPr="006C2572">
              <w:rPr>
                <w:rFonts w:cs="Calibri"/>
              </w:rPr>
              <w:t xml:space="preserve">inancial </w:t>
            </w:r>
            <w:r w:rsidR="003C2240">
              <w:rPr>
                <w:rFonts w:cs="Calibri"/>
              </w:rPr>
              <w:t>L</w:t>
            </w:r>
            <w:r w:rsidRPr="006C2572">
              <w:rPr>
                <w:rFonts w:cs="Calibri"/>
              </w:rPr>
              <w:t xml:space="preserve">iabilities excluding </w:t>
            </w:r>
            <w:r w:rsidR="003C2240">
              <w:rPr>
                <w:rFonts w:cs="Calibri"/>
              </w:rPr>
              <w:t>T</w:t>
            </w:r>
            <w:r w:rsidRPr="006C2572">
              <w:rPr>
                <w:rFonts w:cs="Calibri"/>
              </w:rPr>
              <w:t xml:space="preserve">rade and </w:t>
            </w:r>
            <w:r w:rsidR="003C2240">
              <w:rPr>
                <w:rFonts w:cs="Calibri"/>
              </w:rPr>
              <w:t>O</w:t>
            </w:r>
            <w:r w:rsidRPr="006C2572">
              <w:rPr>
                <w:rFonts w:cs="Calibri"/>
              </w:rPr>
              <w:t xml:space="preserve">ther </w:t>
            </w:r>
            <w:r w:rsidR="003C2240">
              <w:rPr>
                <w:rFonts w:cs="Calibri"/>
              </w:rPr>
              <w:t>P</w:t>
            </w:r>
            <w:r w:rsidRPr="006C2572">
              <w:rPr>
                <w:rFonts w:cs="Calibri"/>
              </w:rPr>
              <w:t xml:space="preserve">ayables and </w:t>
            </w:r>
            <w:r w:rsidR="003C2240">
              <w:rPr>
                <w:rFonts w:cs="Calibri"/>
              </w:rPr>
              <w:t>P</w:t>
            </w:r>
            <w:r w:rsidRPr="006C2572">
              <w:rPr>
                <w:rFonts w:cs="Calibri"/>
              </w:rPr>
              <w:t>rovisions</w:t>
            </w:r>
          </w:p>
        </w:tc>
        <w:tc>
          <w:tcPr>
            <w:tcW w:w="1559" w:type="dxa"/>
            <w:gridSpan w:val="7"/>
            <w:tcBorders>
              <w:top w:val="nil"/>
              <w:left w:val="nil"/>
              <w:bottom w:val="nil"/>
              <w:right w:val="nil"/>
            </w:tcBorders>
            <w:vAlign w:val="bottom"/>
          </w:tcPr>
          <w:p w14:paraId="13F2DEC2" w14:textId="683FA16E" w:rsidR="00BB55EB" w:rsidRPr="006C2572" w:rsidRDefault="00BB55EB" w:rsidP="00BB55EB">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7586C2D" w14:textId="20D6B738" w:rsidR="00BB55EB" w:rsidRPr="006C2572" w:rsidRDefault="00BB55EB" w:rsidP="00BB55EB">
            <w:pPr>
              <w:pStyle w:val="TableText"/>
              <w:tabs>
                <w:tab w:val="left" w:pos="3306"/>
              </w:tabs>
              <w:jc w:val="right"/>
              <w:rPr>
                <w:rFonts w:cs="Calibri"/>
              </w:rPr>
            </w:pPr>
          </w:p>
        </w:tc>
      </w:tr>
      <w:tr w:rsidR="003C2240" w:rsidRPr="00CF7E1B" w14:paraId="1090EDF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FA5F024" w14:textId="77777777" w:rsidR="003C2240" w:rsidRPr="00C6164F" w:rsidRDefault="003C2240" w:rsidP="00BB55EB">
            <w:pPr>
              <w:pStyle w:val="TableReference"/>
              <w:tabs>
                <w:tab w:val="left" w:pos="3306"/>
              </w:tabs>
              <w:spacing w:before="60"/>
              <w:rPr>
                <w:rFonts w:cs="Calibri"/>
                <w:color w:val="FF0000"/>
                <w:sz w:val="14"/>
                <w:highlight w:val="cyan"/>
              </w:rPr>
            </w:pPr>
          </w:p>
        </w:tc>
        <w:tc>
          <w:tcPr>
            <w:tcW w:w="6097" w:type="dxa"/>
            <w:gridSpan w:val="7"/>
            <w:tcBorders>
              <w:top w:val="nil"/>
              <w:left w:val="single" w:sz="2" w:space="0" w:color="auto"/>
              <w:bottom w:val="nil"/>
              <w:right w:val="nil"/>
            </w:tcBorders>
            <w:vAlign w:val="bottom"/>
          </w:tcPr>
          <w:p w14:paraId="3BFA68EC" w14:textId="2846EE7C" w:rsidR="003C2240" w:rsidRPr="006C2572" w:rsidRDefault="003C2240" w:rsidP="00BB55EB">
            <w:pPr>
              <w:pStyle w:val="TableText"/>
              <w:tabs>
                <w:tab w:val="left" w:pos="3306"/>
              </w:tabs>
              <w:rPr>
                <w:rFonts w:cs="Calibri"/>
              </w:rPr>
            </w:pPr>
            <w:r w:rsidRPr="007B76DA">
              <w:rPr>
                <w:rFonts w:cs="Calibri"/>
                <w:color w:val="FF0000"/>
              </w:rPr>
              <w:t>Current Trade and Other Payables and Provisions</w:t>
            </w:r>
          </w:p>
        </w:tc>
        <w:tc>
          <w:tcPr>
            <w:tcW w:w="1559" w:type="dxa"/>
            <w:gridSpan w:val="7"/>
            <w:tcBorders>
              <w:top w:val="nil"/>
              <w:left w:val="nil"/>
              <w:bottom w:val="single" w:sz="4" w:space="0" w:color="auto"/>
              <w:right w:val="nil"/>
            </w:tcBorders>
            <w:vAlign w:val="bottom"/>
          </w:tcPr>
          <w:p w14:paraId="10980964" w14:textId="77777777" w:rsidR="003C2240" w:rsidRPr="006C2572" w:rsidRDefault="003C2240" w:rsidP="00BB55EB">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3AD0B22" w14:textId="77777777" w:rsidR="003C2240" w:rsidRPr="006C2572" w:rsidRDefault="003C2240" w:rsidP="00BB55EB">
            <w:pPr>
              <w:pStyle w:val="TableText"/>
              <w:tabs>
                <w:tab w:val="left" w:pos="3306"/>
              </w:tabs>
              <w:jc w:val="right"/>
              <w:rPr>
                <w:rFonts w:cs="Calibri"/>
              </w:rPr>
            </w:pPr>
          </w:p>
        </w:tc>
      </w:tr>
      <w:tr w:rsidR="00BB55EB" w:rsidRPr="00CF7E1B" w14:paraId="122E139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3"/>
        </w:trPr>
        <w:tc>
          <w:tcPr>
            <w:tcW w:w="1562" w:type="dxa"/>
            <w:tcBorders>
              <w:top w:val="nil"/>
              <w:left w:val="single" w:sz="2" w:space="0" w:color="auto"/>
              <w:bottom w:val="nil"/>
              <w:right w:val="single" w:sz="2" w:space="0" w:color="auto"/>
            </w:tcBorders>
          </w:tcPr>
          <w:p w14:paraId="5BD3B11F" w14:textId="04F14139" w:rsidR="00BB55EB" w:rsidRPr="006C2572" w:rsidRDefault="00BB55EB" w:rsidP="00BB55EB">
            <w:pPr>
              <w:pStyle w:val="TableReference"/>
              <w:tabs>
                <w:tab w:val="left" w:pos="3306"/>
              </w:tabs>
              <w:spacing w:before="60"/>
              <w:rPr>
                <w:rFonts w:cs="Calibri"/>
                <w:color w:val="7030A0"/>
                <w:sz w:val="14"/>
              </w:rPr>
            </w:pPr>
            <w:r w:rsidRPr="007B76DA">
              <w:rPr>
                <w:rFonts w:cs="Calibri"/>
                <w:color w:val="7030A0"/>
                <w:sz w:val="14"/>
              </w:rPr>
              <w:t>AASB 12</w:t>
            </w:r>
            <w:r w:rsidR="00C6164F" w:rsidRPr="007B76DA">
              <w:rPr>
                <w:rFonts w:cs="Calibri"/>
                <w:color w:val="FF0000"/>
                <w:sz w:val="14"/>
              </w:rPr>
              <w:t>.</w:t>
            </w:r>
            <w:r w:rsidRPr="007B76DA">
              <w:rPr>
                <w:rFonts w:cs="Calibri"/>
                <w:color w:val="7030A0"/>
                <w:sz w:val="14"/>
              </w:rPr>
              <w:t>B12(b)(iii)</w:t>
            </w:r>
            <w:r w:rsidRPr="007B76DA">
              <w:rPr>
                <w:rFonts w:cs="Calibri"/>
                <w:strike/>
                <w:color w:val="FF0000"/>
                <w:sz w:val="14"/>
              </w:rPr>
              <w:t>,</w:t>
            </w:r>
            <w:r w:rsidR="00C958E9" w:rsidRPr="007B76DA">
              <w:rPr>
                <w:rFonts w:cs="Calibri"/>
                <w:color w:val="7030A0"/>
                <w:sz w:val="14"/>
              </w:rPr>
              <w:t xml:space="preserve"> </w:t>
            </w:r>
            <w:r w:rsidRPr="007B76DA">
              <w:rPr>
                <w:rFonts w:cs="Calibri"/>
                <w:strike/>
                <w:color w:val="FF0000"/>
                <w:sz w:val="14"/>
              </w:rPr>
              <w:t>B13 (b)</w:t>
            </w:r>
          </w:p>
        </w:tc>
        <w:tc>
          <w:tcPr>
            <w:tcW w:w="6097" w:type="dxa"/>
            <w:gridSpan w:val="7"/>
            <w:tcBorders>
              <w:top w:val="nil"/>
              <w:left w:val="single" w:sz="2" w:space="0" w:color="auto"/>
              <w:bottom w:val="nil"/>
              <w:right w:val="nil"/>
            </w:tcBorders>
            <w:vAlign w:val="center"/>
          </w:tcPr>
          <w:p w14:paraId="633EE7F9" w14:textId="77777777" w:rsidR="00BB55EB" w:rsidRPr="006C2572" w:rsidRDefault="00BB55EB" w:rsidP="00C6164F">
            <w:pPr>
              <w:pStyle w:val="TableText"/>
              <w:tabs>
                <w:tab w:val="left" w:pos="3306"/>
              </w:tabs>
              <w:spacing w:before="0"/>
              <w:rPr>
                <w:rFonts w:cs="Calibri"/>
                <w:b/>
              </w:rPr>
            </w:pPr>
            <w:r w:rsidRPr="006C2572">
              <w:rPr>
                <w:rFonts w:cs="Calibri"/>
                <w:b/>
              </w:rPr>
              <w:t>Total Current Liabilities</w:t>
            </w:r>
          </w:p>
        </w:tc>
        <w:tc>
          <w:tcPr>
            <w:tcW w:w="1559" w:type="dxa"/>
            <w:gridSpan w:val="7"/>
            <w:tcBorders>
              <w:top w:val="single" w:sz="4" w:space="0" w:color="auto"/>
              <w:left w:val="nil"/>
              <w:bottom w:val="single" w:sz="4" w:space="0" w:color="auto"/>
              <w:right w:val="nil"/>
            </w:tcBorders>
            <w:vAlign w:val="bottom"/>
          </w:tcPr>
          <w:p w14:paraId="7F562301" w14:textId="43748670" w:rsidR="00BB55EB" w:rsidRPr="006C2572" w:rsidRDefault="00BB55EB" w:rsidP="00BB55EB">
            <w:pPr>
              <w:pStyle w:val="TableText"/>
              <w:tabs>
                <w:tab w:val="left" w:pos="3306"/>
              </w:tabs>
              <w:jc w:val="right"/>
              <w:rPr>
                <w:rFonts w:cs="Calibri"/>
                <w:strike/>
              </w:rPr>
            </w:pPr>
          </w:p>
        </w:tc>
        <w:tc>
          <w:tcPr>
            <w:tcW w:w="1276" w:type="dxa"/>
            <w:gridSpan w:val="2"/>
            <w:tcBorders>
              <w:top w:val="single" w:sz="4" w:space="0" w:color="auto"/>
              <w:left w:val="nil"/>
              <w:bottom w:val="single" w:sz="4" w:space="0" w:color="auto"/>
              <w:right w:val="nil"/>
            </w:tcBorders>
            <w:vAlign w:val="bottom"/>
          </w:tcPr>
          <w:p w14:paraId="2689DE9E" w14:textId="6C20DABD" w:rsidR="00BB55EB" w:rsidRPr="006C2572" w:rsidRDefault="00BB55EB" w:rsidP="00BB55EB">
            <w:pPr>
              <w:pStyle w:val="TableText"/>
              <w:tabs>
                <w:tab w:val="left" w:pos="3306"/>
              </w:tabs>
              <w:jc w:val="right"/>
              <w:rPr>
                <w:rFonts w:cs="Calibri"/>
                <w:strike/>
              </w:rPr>
            </w:pPr>
          </w:p>
        </w:tc>
      </w:tr>
      <w:tr w:rsidR="007D2948" w:rsidRPr="00CF7E1B" w14:paraId="32061E0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260F6562"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bottom"/>
          </w:tcPr>
          <w:p w14:paraId="37B12B02" w14:textId="77777777" w:rsidR="007D2948" w:rsidRPr="007B76DA" w:rsidRDefault="007D2948" w:rsidP="007D2948">
            <w:pPr>
              <w:pStyle w:val="TableText"/>
              <w:tabs>
                <w:tab w:val="left" w:pos="3306"/>
              </w:tabs>
              <w:rPr>
                <w:rFonts w:cs="Calibri"/>
                <w:b/>
              </w:rPr>
            </w:pPr>
            <w:r w:rsidRPr="007B76DA">
              <w:rPr>
                <w:rFonts w:cs="Calibri"/>
                <w:b/>
              </w:rPr>
              <w:t>Non-Current Liabilities</w:t>
            </w:r>
            <w:r w:rsidRPr="007B76DA">
              <w:rPr>
                <w:rFonts w:cs="Calibri"/>
                <w:b/>
                <w:strike/>
                <w:color w:val="FF0000"/>
              </w:rPr>
              <w:t>:</w:t>
            </w:r>
          </w:p>
        </w:tc>
        <w:tc>
          <w:tcPr>
            <w:tcW w:w="1559" w:type="dxa"/>
            <w:gridSpan w:val="7"/>
            <w:tcBorders>
              <w:top w:val="nil"/>
              <w:left w:val="nil"/>
              <w:bottom w:val="nil"/>
              <w:right w:val="nil"/>
            </w:tcBorders>
            <w:vAlign w:val="bottom"/>
          </w:tcPr>
          <w:p w14:paraId="22CBAD5E" w14:textId="77777777"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7AC6A71E" w14:textId="77777777" w:rsidR="007D2948" w:rsidRPr="007D2948" w:rsidRDefault="007D2948" w:rsidP="007D2948">
            <w:pPr>
              <w:pStyle w:val="TableText"/>
              <w:tabs>
                <w:tab w:val="left" w:pos="3306"/>
              </w:tabs>
              <w:jc w:val="right"/>
              <w:rPr>
                <w:rFonts w:cs="Calibri"/>
              </w:rPr>
            </w:pPr>
          </w:p>
        </w:tc>
      </w:tr>
      <w:tr w:rsidR="007D2948" w:rsidRPr="00CF7E1B" w14:paraId="7099A1E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2FBB2E17"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7"/>
            <w:tcBorders>
              <w:top w:val="nil"/>
              <w:left w:val="single" w:sz="2" w:space="0" w:color="auto"/>
              <w:bottom w:val="nil"/>
              <w:right w:val="nil"/>
            </w:tcBorders>
            <w:vAlign w:val="bottom"/>
          </w:tcPr>
          <w:p w14:paraId="3AE3F4A2" w14:textId="0A57A828" w:rsidR="007D2948" w:rsidRPr="007B76DA" w:rsidRDefault="007D2948" w:rsidP="007D2948">
            <w:pPr>
              <w:pStyle w:val="TableText"/>
              <w:tabs>
                <w:tab w:val="left" w:pos="3306"/>
              </w:tabs>
              <w:rPr>
                <w:rFonts w:cs="Calibri"/>
              </w:rPr>
            </w:pPr>
            <w:r w:rsidRPr="007B76DA">
              <w:rPr>
                <w:rFonts w:cs="Calibri"/>
              </w:rPr>
              <w:t xml:space="preserve">Non-current </w:t>
            </w:r>
            <w:r w:rsidR="003C2240" w:rsidRPr="007B76DA">
              <w:rPr>
                <w:rFonts w:cs="Calibri"/>
                <w:color w:val="FF0000"/>
              </w:rPr>
              <w:t>Non-Financial</w:t>
            </w:r>
            <w:r w:rsidR="003C2240" w:rsidRPr="007B76DA">
              <w:rPr>
                <w:rFonts w:cs="Calibri"/>
              </w:rPr>
              <w:t xml:space="preserve"> </w:t>
            </w:r>
            <w:r w:rsidRPr="007B76DA">
              <w:rPr>
                <w:rFonts w:cs="Calibri"/>
              </w:rPr>
              <w:t xml:space="preserve">liabilities </w:t>
            </w:r>
            <w:r w:rsidRPr="007B76DA">
              <w:rPr>
                <w:rFonts w:cs="Calibri"/>
                <w:strike/>
                <w:color w:val="FF0000"/>
              </w:rPr>
              <w:t>other</w:t>
            </w:r>
          </w:p>
        </w:tc>
        <w:tc>
          <w:tcPr>
            <w:tcW w:w="1559" w:type="dxa"/>
            <w:gridSpan w:val="7"/>
            <w:tcBorders>
              <w:top w:val="nil"/>
              <w:left w:val="nil"/>
              <w:bottom w:val="nil"/>
              <w:right w:val="nil"/>
            </w:tcBorders>
            <w:vAlign w:val="bottom"/>
          </w:tcPr>
          <w:p w14:paraId="562CC13E" w14:textId="5011B719"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0DFE51ED" w14:textId="6856413D" w:rsidR="007D2948" w:rsidRPr="007D2948" w:rsidRDefault="007D2948" w:rsidP="007D2948">
            <w:pPr>
              <w:pStyle w:val="TableText"/>
              <w:tabs>
                <w:tab w:val="left" w:pos="3306"/>
              </w:tabs>
              <w:jc w:val="right"/>
              <w:rPr>
                <w:rFonts w:cs="Calibri"/>
              </w:rPr>
            </w:pPr>
          </w:p>
        </w:tc>
      </w:tr>
      <w:tr w:rsidR="007D2948" w:rsidRPr="00CF7E1B" w14:paraId="77967CD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0E3F1BB" w14:textId="107DA5F7" w:rsidR="007D2948" w:rsidRPr="007B76DA" w:rsidRDefault="007D2948" w:rsidP="007D2948">
            <w:pPr>
              <w:pStyle w:val="TableReference"/>
              <w:tabs>
                <w:tab w:val="left" w:pos="3306"/>
              </w:tabs>
              <w:spacing w:before="60"/>
              <w:rPr>
                <w:rFonts w:cs="Calibri"/>
                <w:color w:val="7030A0"/>
                <w:sz w:val="14"/>
              </w:rPr>
            </w:pPr>
            <w:r w:rsidRPr="007B76DA">
              <w:rPr>
                <w:rFonts w:cs="Calibri"/>
                <w:strike/>
                <w:color w:val="538135" w:themeColor="accent6" w:themeShade="BF"/>
                <w:sz w:val="14"/>
              </w:rPr>
              <w:t>AASB 12</w:t>
            </w:r>
            <w:r w:rsidR="00C6164F" w:rsidRPr="007B76DA">
              <w:rPr>
                <w:rFonts w:cs="Calibri"/>
                <w:strike/>
                <w:color w:val="538135" w:themeColor="accent6" w:themeShade="BF"/>
                <w:sz w:val="14"/>
              </w:rPr>
              <w:t>.</w:t>
            </w:r>
            <w:r w:rsidRPr="007B76DA">
              <w:rPr>
                <w:rFonts w:cs="Calibri"/>
                <w:strike/>
                <w:color w:val="538135" w:themeColor="accent6" w:themeShade="BF"/>
                <w:sz w:val="14"/>
              </w:rPr>
              <w:t>B12(b)(iv)</w:t>
            </w:r>
            <w:r w:rsidRPr="007B76DA">
              <w:rPr>
                <w:rFonts w:cs="Calibri"/>
                <w:strike/>
                <w:color w:val="7030A0"/>
                <w:sz w:val="14"/>
              </w:rPr>
              <w:t>,</w:t>
            </w:r>
            <w:r w:rsidRPr="007B76DA">
              <w:rPr>
                <w:rFonts w:cs="Calibri"/>
                <w:color w:val="7030A0"/>
                <w:sz w:val="14"/>
              </w:rPr>
              <w:t xml:space="preserve"> </w:t>
            </w:r>
            <w:r w:rsidR="00C6164F" w:rsidRPr="007B76DA">
              <w:rPr>
                <w:rFonts w:cs="Calibri"/>
                <w:color w:val="FF0000"/>
                <w:sz w:val="14"/>
              </w:rPr>
              <w:t>AASB 12.</w:t>
            </w:r>
            <w:r w:rsidRPr="007B76DA">
              <w:rPr>
                <w:rFonts w:cs="Calibri"/>
                <w:color w:val="7030A0"/>
                <w:sz w:val="14"/>
              </w:rPr>
              <w:t>B13(c)</w:t>
            </w:r>
          </w:p>
        </w:tc>
        <w:tc>
          <w:tcPr>
            <w:tcW w:w="6097" w:type="dxa"/>
            <w:gridSpan w:val="7"/>
            <w:tcBorders>
              <w:top w:val="nil"/>
              <w:left w:val="single" w:sz="2" w:space="0" w:color="auto"/>
              <w:bottom w:val="nil"/>
              <w:right w:val="nil"/>
            </w:tcBorders>
            <w:vAlign w:val="bottom"/>
          </w:tcPr>
          <w:p w14:paraId="53BD6760" w14:textId="1CA987E6" w:rsidR="007D2948" w:rsidRPr="007B76DA" w:rsidRDefault="007D2948" w:rsidP="007D2948">
            <w:pPr>
              <w:pStyle w:val="TableText"/>
              <w:tabs>
                <w:tab w:val="left" w:pos="3306"/>
              </w:tabs>
              <w:rPr>
                <w:rFonts w:cs="Calibri"/>
              </w:rPr>
            </w:pPr>
            <w:r w:rsidRPr="007B76DA">
              <w:rPr>
                <w:rFonts w:cs="Calibri"/>
              </w:rPr>
              <w:t xml:space="preserve">Non-current </w:t>
            </w:r>
            <w:r w:rsidR="003C2240" w:rsidRPr="007B76DA">
              <w:rPr>
                <w:rFonts w:cs="Calibri"/>
              </w:rPr>
              <w:t>F</w:t>
            </w:r>
            <w:r w:rsidRPr="007B76DA">
              <w:rPr>
                <w:rFonts w:cs="Calibri"/>
              </w:rPr>
              <w:t xml:space="preserve">inancial </w:t>
            </w:r>
            <w:r w:rsidR="003C2240" w:rsidRPr="007B76DA">
              <w:rPr>
                <w:rFonts w:cs="Calibri"/>
              </w:rPr>
              <w:t>L</w:t>
            </w:r>
            <w:r w:rsidRPr="007B76DA">
              <w:rPr>
                <w:rFonts w:cs="Calibri"/>
              </w:rPr>
              <w:t xml:space="preserve">iabilities excluding </w:t>
            </w:r>
            <w:r w:rsidR="003C2240" w:rsidRPr="007B76DA">
              <w:rPr>
                <w:rFonts w:cs="Calibri"/>
              </w:rPr>
              <w:t>T</w:t>
            </w:r>
            <w:r w:rsidRPr="007B76DA">
              <w:rPr>
                <w:rFonts w:cs="Calibri"/>
              </w:rPr>
              <w:t xml:space="preserve">rade and </w:t>
            </w:r>
            <w:r w:rsidR="003C2240" w:rsidRPr="007B76DA">
              <w:rPr>
                <w:rFonts w:cs="Calibri"/>
              </w:rPr>
              <w:t>O</w:t>
            </w:r>
            <w:r w:rsidRPr="007B76DA">
              <w:rPr>
                <w:rFonts w:cs="Calibri"/>
              </w:rPr>
              <w:t xml:space="preserve">ther </w:t>
            </w:r>
            <w:r w:rsidR="003C2240" w:rsidRPr="007B76DA">
              <w:rPr>
                <w:rFonts w:cs="Calibri"/>
              </w:rPr>
              <w:t>P</w:t>
            </w:r>
            <w:r w:rsidRPr="007B76DA">
              <w:rPr>
                <w:rFonts w:cs="Calibri"/>
              </w:rPr>
              <w:t xml:space="preserve">ayables and </w:t>
            </w:r>
            <w:r w:rsidR="003C2240" w:rsidRPr="007B76DA">
              <w:rPr>
                <w:rFonts w:cs="Calibri"/>
              </w:rPr>
              <w:t>P</w:t>
            </w:r>
            <w:r w:rsidRPr="007B76DA">
              <w:rPr>
                <w:rFonts w:cs="Calibri"/>
              </w:rPr>
              <w:t xml:space="preserve">rovisions </w:t>
            </w:r>
          </w:p>
        </w:tc>
        <w:tc>
          <w:tcPr>
            <w:tcW w:w="1559" w:type="dxa"/>
            <w:gridSpan w:val="7"/>
            <w:tcBorders>
              <w:top w:val="nil"/>
              <w:left w:val="nil"/>
              <w:bottom w:val="nil"/>
              <w:right w:val="nil"/>
            </w:tcBorders>
            <w:vAlign w:val="bottom"/>
          </w:tcPr>
          <w:p w14:paraId="2433C2EA" w14:textId="613B5CDF"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70C95A34" w14:textId="52AA102C" w:rsidR="007D2948" w:rsidRPr="007D2948" w:rsidRDefault="007D2948" w:rsidP="007D2948">
            <w:pPr>
              <w:pStyle w:val="TableText"/>
              <w:tabs>
                <w:tab w:val="left" w:pos="3306"/>
              </w:tabs>
              <w:jc w:val="right"/>
              <w:rPr>
                <w:rFonts w:cs="Calibri"/>
              </w:rPr>
            </w:pPr>
          </w:p>
        </w:tc>
      </w:tr>
      <w:tr w:rsidR="003C2240" w:rsidRPr="00CF7E1B" w14:paraId="6A89163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35598E03" w14:textId="77777777" w:rsidR="003C2240" w:rsidRPr="007B76DA" w:rsidRDefault="003C2240" w:rsidP="007D2948">
            <w:pPr>
              <w:pStyle w:val="TableReference"/>
              <w:tabs>
                <w:tab w:val="left" w:pos="3306"/>
              </w:tabs>
              <w:spacing w:before="60"/>
              <w:rPr>
                <w:rFonts w:cs="Calibri"/>
                <w:strike/>
                <w:color w:val="538135" w:themeColor="accent6" w:themeShade="BF"/>
                <w:sz w:val="14"/>
              </w:rPr>
            </w:pPr>
          </w:p>
        </w:tc>
        <w:tc>
          <w:tcPr>
            <w:tcW w:w="6097" w:type="dxa"/>
            <w:gridSpan w:val="7"/>
            <w:tcBorders>
              <w:top w:val="nil"/>
              <w:left w:val="single" w:sz="2" w:space="0" w:color="auto"/>
              <w:bottom w:val="nil"/>
              <w:right w:val="nil"/>
            </w:tcBorders>
            <w:vAlign w:val="bottom"/>
          </w:tcPr>
          <w:p w14:paraId="47A9E759" w14:textId="4EDACA9A" w:rsidR="003C2240" w:rsidRPr="007B76DA" w:rsidRDefault="003C2240" w:rsidP="007D2948">
            <w:pPr>
              <w:pStyle w:val="TableText"/>
              <w:tabs>
                <w:tab w:val="left" w:pos="3306"/>
              </w:tabs>
              <w:rPr>
                <w:rFonts w:cs="Calibri"/>
              </w:rPr>
            </w:pPr>
            <w:r w:rsidRPr="007B76DA">
              <w:rPr>
                <w:rFonts w:cs="Calibri"/>
                <w:color w:val="FF0000"/>
              </w:rPr>
              <w:t>Non-Current Trade and Other Payables and Provisions</w:t>
            </w:r>
          </w:p>
        </w:tc>
        <w:tc>
          <w:tcPr>
            <w:tcW w:w="1559" w:type="dxa"/>
            <w:gridSpan w:val="7"/>
            <w:tcBorders>
              <w:top w:val="nil"/>
              <w:left w:val="nil"/>
              <w:bottom w:val="single" w:sz="4" w:space="0" w:color="auto"/>
              <w:right w:val="nil"/>
            </w:tcBorders>
            <w:vAlign w:val="bottom"/>
          </w:tcPr>
          <w:p w14:paraId="5C1D2E80" w14:textId="77777777" w:rsidR="003C2240" w:rsidRPr="007D2948" w:rsidRDefault="003C2240" w:rsidP="007D2948">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668DD74A" w14:textId="77777777" w:rsidR="003C2240" w:rsidRPr="007D2948" w:rsidRDefault="003C2240" w:rsidP="007D2948">
            <w:pPr>
              <w:pStyle w:val="TableText"/>
              <w:tabs>
                <w:tab w:val="left" w:pos="3306"/>
              </w:tabs>
              <w:jc w:val="right"/>
              <w:rPr>
                <w:rFonts w:cs="Calibri"/>
              </w:rPr>
            </w:pPr>
          </w:p>
        </w:tc>
      </w:tr>
      <w:tr w:rsidR="007D2948" w:rsidRPr="00D86B46" w14:paraId="5FF4EBC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634133C7" w14:textId="64A3DFE0" w:rsidR="007D2948" w:rsidRPr="007B76DA" w:rsidRDefault="00C6164F" w:rsidP="007D2948">
            <w:pPr>
              <w:pStyle w:val="TableReference"/>
              <w:tabs>
                <w:tab w:val="left" w:pos="3306"/>
              </w:tabs>
              <w:spacing w:before="60"/>
              <w:rPr>
                <w:rFonts w:cs="Calibri"/>
                <w:b/>
                <w:color w:val="7030A0"/>
                <w:sz w:val="16"/>
                <w:szCs w:val="16"/>
              </w:rPr>
            </w:pPr>
            <w:r w:rsidRPr="007B76DA">
              <w:rPr>
                <w:rFonts w:cs="Calibri"/>
                <w:color w:val="538135" w:themeColor="accent6" w:themeShade="BF"/>
                <w:sz w:val="14"/>
              </w:rPr>
              <w:t>AASB 12.B12(b)(iv)</w:t>
            </w:r>
          </w:p>
        </w:tc>
        <w:tc>
          <w:tcPr>
            <w:tcW w:w="6097" w:type="dxa"/>
            <w:gridSpan w:val="7"/>
            <w:tcBorders>
              <w:top w:val="nil"/>
              <w:left w:val="single" w:sz="2" w:space="0" w:color="auto"/>
              <w:bottom w:val="nil"/>
              <w:right w:val="nil"/>
            </w:tcBorders>
            <w:vAlign w:val="bottom"/>
          </w:tcPr>
          <w:p w14:paraId="576C3F1F" w14:textId="77777777" w:rsidR="007D2948" w:rsidRPr="007B76DA" w:rsidRDefault="007D2948" w:rsidP="007D2948">
            <w:pPr>
              <w:pStyle w:val="TableText"/>
              <w:tabs>
                <w:tab w:val="left" w:pos="3306"/>
              </w:tabs>
              <w:rPr>
                <w:rFonts w:cs="Calibri"/>
                <w:b/>
              </w:rPr>
            </w:pPr>
            <w:r w:rsidRPr="007B76DA">
              <w:rPr>
                <w:rFonts w:cs="Calibri"/>
                <w:b/>
              </w:rPr>
              <w:t>Total Non-Current Liabilities</w:t>
            </w:r>
          </w:p>
        </w:tc>
        <w:tc>
          <w:tcPr>
            <w:tcW w:w="1559" w:type="dxa"/>
            <w:gridSpan w:val="7"/>
            <w:tcBorders>
              <w:top w:val="single" w:sz="4" w:space="0" w:color="auto"/>
              <w:left w:val="nil"/>
              <w:bottom w:val="single" w:sz="4" w:space="0" w:color="auto"/>
              <w:right w:val="nil"/>
            </w:tcBorders>
            <w:vAlign w:val="bottom"/>
          </w:tcPr>
          <w:p w14:paraId="6EBE5C54" w14:textId="29AC5513" w:rsidR="007D2948" w:rsidRPr="007D2948" w:rsidRDefault="007D2948" w:rsidP="007D2948">
            <w:pPr>
              <w:pStyle w:val="TableText"/>
              <w:tabs>
                <w:tab w:val="left" w:pos="3306"/>
              </w:tabs>
              <w:jc w:val="right"/>
              <w:rPr>
                <w:rFonts w:cs="Calibri"/>
                <w:b/>
                <w:strike/>
              </w:rPr>
            </w:pPr>
          </w:p>
        </w:tc>
        <w:tc>
          <w:tcPr>
            <w:tcW w:w="1276" w:type="dxa"/>
            <w:gridSpan w:val="2"/>
            <w:tcBorders>
              <w:top w:val="single" w:sz="4" w:space="0" w:color="auto"/>
              <w:left w:val="nil"/>
              <w:bottom w:val="single" w:sz="4" w:space="0" w:color="auto"/>
              <w:right w:val="nil"/>
            </w:tcBorders>
            <w:vAlign w:val="bottom"/>
          </w:tcPr>
          <w:p w14:paraId="17E8FB14" w14:textId="3D66BEA3" w:rsidR="007D2948" w:rsidRPr="007D2948" w:rsidRDefault="007D2948" w:rsidP="007D2948">
            <w:pPr>
              <w:pStyle w:val="TableText"/>
              <w:tabs>
                <w:tab w:val="left" w:pos="3306"/>
              </w:tabs>
              <w:jc w:val="right"/>
              <w:rPr>
                <w:rFonts w:cs="Calibri"/>
                <w:b/>
                <w:strike/>
              </w:rPr>
            </w:pPr>
          </w:p>
        </w:tc>
      </w:tr>
      <w:tr w:rsidR="007D2948" w:rsidRPr="00CF7E1B" w14:paraId="0A0BD29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EBA0880" w14:textId="77777777" w:rsidR="007D2948" w:rsidRPr="004E5074" w:rsidRDefault="007D2948" w:rsidP="007D2948">
            <w:pPr>
              <w:pStyle w:val="TableReference"/>
              <w:tabs>
                <w:tab w:val="left" w:pos="3306"/>
              </w:tabs>
              <w:spacing w:before="40"/>
              <w:rPr>
                <w:rFonts w:cs="Calibri"/>
                <w:color w:val="7030A0"/>
                <w:sz w:val="16"/>
                <w:szCs w:val="16"/>
              </w:rPr>
            </w:pPr>
          </w:p>
        </w:tc>
        <w:tc>
          <w:tcPr>
            <w:tcW w:w="6097" w:type="dxa"/>
            <w:gridSpan w:val="7"/>
            <w:tcBorders>
              <w:top w:val="nil"/>
              <w:left w:val="single" w:sz="2" w:space="0" w:color="auto"/>
              <w:bottom w:val="nil"/>
              <w:right w:val="nil"/>
            </w:tcBorders>
            <w:vAlign w:val="bottom"/>
          </w:tcPr>
          <w:p w14:paraId="61E4D7B0" w14:textId="77777777" w:rsidR="007D2948" w:rsidRPr="007D2948" w:rsidRDefault="007D2948" w:rsidP="007D2948">
            <w:pPr>
              <w:pStyle w:val="TableText"/>
              <w:tabs>
                <w:tab w:val="left" w:pos="3306"/>
              </w:tabs>
              <w:rPr>
                <w:rFonts w:cs="Calibri"/>
                <w:b/>
                <w:bCs/>
              </w:rPr>
            </w:pPr>
            <w:r w:rsidRPr="007D2948">
              <w:rPr>
                <w:rFonts w:cs="Calibri"/>
                <w:b/>
                <w:bCs/>
              </w:rPr>
              <w:t>Total Liabilities</w:t>
            </w:r>
          </w:p>
        </w:tc>
        <w:tc>
          <w:tcPr>
            <w:tcW w:w="1559" w:type="dxa"/>
            <w:gridSpan w:val="7"/>
            <w:tcBorders>
              <w:top w:val="single" w:sz="4" w:space="0" w:color="auto"/>
              <w:left w:val="nil"/>
              <w:bottom w:val="single" w:sz="4" w:space="0" w:color="auto"/>
              <w:right w:val="nil"/>
            </w:tcBorders>
            <w:vAlign w:val="bottom"/>
          </w:tcPr>
          <w:p w14:paraId="233355D4" w14:textId="1DE0A52B" w:rsidR="007D2948" w:rsidRPr="007D2948" w:rsidRDefault="007D2948" w:rsidP="007D2948">
            <w:pPr>
              <w:pStyle w:val="TableText"/>
              <w:tabs>
                <w:tab w:val="left" w:pos="3306"/>
              </w:tabs>
              <w:jc w:val="right"/>
              <w:rPr>
                <w:rFonts w:cs="Calibri"/>
                <w:b/>
                <w:bCs/>
                <w:strike/>
              </w:rPr>
            </w:pPr>
          </w:p>
        </w:tc>
        <w:tc>
          <w:tcPr>
            <w:tcW w:w="1276" w:type="dxa"/>
            <w:gridSpan w:val="2"/>
            <w:tcBorders>
              <w:top w:val="single" w:sz="4" w:space="0" w:color="auto"/>
              <w:left w:val="nil"/>
              <w:bottom w:val="single" w:sz="4" w:space="0" w:color="auto"/>
              <w:right w:val="nil"/>
            </w:tcBorders>
            <w:vAlign w:val="bottom"/>
          </w:tcPr>
          <w:p w14:paraId="03706629" w14:textId="534875EB" w:rsidR="007D2948" w:rsidRPr="007D2948" w:rsidRDefault="007D2948" w:rsidP="007D2948">
            <w:pPr>
              <w:pStyle w:val="TableText"/>
              <w:tabs>
                <w:tab w:val="left" w:pos="3306"/>
              </w:tabs>
              <w:jc w:val="right"/>
              <w:rPr>
                <w:rFonts w:cs="Calibri"/>
                <w:b/>
                <w:bCs/>
                <w:strike/>
              </w:rPr>
            </w:pPr>
          </w:p>
        </w:tc>
      </w:tr>
      <w:tr w:rsidR="007D2948" w:rsidRPr="00CF7E1B" w14:paraId="49451361"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8C5A9FD" w14:textId="77777777" w:rsidR="007D2948" w:rsidRPr="004E5074" w:rsidRDefault="007D2948" w:rsidP="007D2948">
            <w:pPr>
              <w:pStyle w:val="TableReference"/>
              <w:tabs>
                <w:tab w:val="left" w:pos="3306"/>
              </w:tabs>
              <w:spacing w:before="40"/>
              <w:rPr>
                <w:rFonts w:cs="Calibri"/>
                <w:color w:val="7030A0"/>
                <w:sz w:val="16"/>
                <w:szCs w:val="16"/>
              </w:rPr>
            </w:pPr>
          </w:p>
        </w:tc>
        <w:tc>
          <w:tcPr>
            <w:tcW w:w="6097" w:type="dxa"/>
            <w:gridSpan w:val="7"/>
            <w:tcBorders>
              <w:top w:val="nil"/>
              <w:left w:val="single" w:sz="2" w:space="0" w:color="auto"/>
              <w:bottom w:val="nil"/>
              <w:right w:val="nil"/>
            </w:tcBorders>
            <w:vAlign w:val="bottom"/>
          </w:tcPr>
          <w:p w14:paraId="52174D04" w14:textId="77777777" w:rsidR="007D2948" w:rsidRPr="007D2948" w:rsidRDefault="007D2948" w:rsidP="007D2948">
            <w:pPr>
              <w:pStyle w:val="TableText"/>
              <w:tabs>
                <w:tab w:val="left" w:pos="3306"/>
              </w:tabs>
              <w:rPr>
                <w:rFonts w:cs="Calibri"/>
                <w:b/>
                <w:bCs/>
              </w:rPr>
            </w:pPr>
            <w:r w:rsidRPr="007D2948">
              <w:rPr>
                <w:rFonts w:cs="Calibri"/>
                <w:b/>
                <w:bCs/>
              </w:rPr>
              <w:t>Total Net Assets of ‘Example Joint Venture Entity’</w:t>
            </w:r>
          </w:p>
        </w:tc>
        <w:tc>
          <w:tcPr>
            <w:tcW w:w="1559" w:type="dxa"/>
            <w:gridSpan w:val="7"/>
            <w:tcBorders>
              <w:top w:val="single" w:sz="4" w:space="0" w:color="auto"/>
              <w:left w:val="nil"/>
              <w:bottom w:val="double" w:sz="4" w:space="0" w:color="auto"/>
              <w:right w:val="nil"/>
            </w:tcBorders>
            <w:vAlign w:val="bottom"/>
          </w:tcPr>
          <w:p w14:paraId="62F260E7" w14:textId="36F9DD9C" w:rsidR="007D2948" w:rsidRPr="007D2948" w:rsidRDefault="007D2948" w:rsidP="007D2948">
            <w:pPr>
              <w:pStyle w:val="TableText"/>
              <w:tabs>
                <w:tab w:val="left" w:pos="3306"/>
              </w:tabs>
              <w:jc w:val="right"/>
              <w:rPr>
                <w:rFonts w:cs="Calibri"/>
                <w:b/>
                <w:bCs/>
                <w:strike/>
              </w:rPr>
            </w:pPr>
          </w:p>
        </w:tc>
        <w:tc>
          <w:tcPr>
            <w:tcW w:w="1276" w:type="dxa"/>
            <w:gridSpan w:val="2"/>
            <w:tcBorders>
              <w:top w:val="single" w:sz="4" w:space="0" w:color="auto"/>
              <w:left w:val="nil"/>
              <w:bottom w:val="double" w:sz="4" w:space="0" w:color="auto"/>
              <w:right w:val="nil"/>
            </w:tcBorders>
            <w:vAlign w:val="bottom"/>
          </w:tcPr>
          <w:p w14:paraId="077C5E94" w14:textId="4E2D3292" w:rsidR="007D2948" w:rsidRPr="007D2948" w:rsidRDefault="007D2948" w:rsidP="007D2948">
            <w:pPr>
              <w:pStyle w:val="TableText"/>
              <w:tabs>
                <w:tab w:val="left" w:pos="3306"/>
              </w:tabs>
              <w:jc w:val="right"/>
              <w:rPr>
                <w:rFonts w:cs="Calibri"/>
                <w:b/>
                <w:bCs/>
                <w:strike/>
              </w:rPr>
            </w:pPr>
          </w:p>
        </w:tc>
      </w:tr>
      <w:tr w:rsidR="007D2948" w:rsidRPr="000577B3" w14:paraId="1677873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A4E50A5" w14:textId="0CF288BE" w:rsidR="007D2948" w:rsidRPr="004E5074" w:rsidRDefault="007D2948" w:rsidP="007D2948">
            <w:pPr>
              <w:pStyle w:val="TableReference"/>
              <w:tabs>
                <w:tab w:val="left" w:pos="3306"/>
              </w:tabs>
              <w:spacing w:after="120"/>
              <w:rPr>
                <w:rFonts w:cs="Calibri"/>
                <w:b/>
                <w:color w:val="7030A0"/>
                <w:sz w:val="22"/>
                <w:szCs w:val="22"/>
              </w:rPr>
            </w:pPr>
          </w:p>
        </w:tc>
        <w:tc>
          <w:tcPr>
            <w:tcW w:w="8932" w:type="dxa"/>
            <w:gridSpan w:val="16"/>
            <w:tcBorders>
              <w:top w:val="nil"/>
              <w:left w:val="single" w:sz="2" w:space="0" w:color="auto"/>
              <w:bottom w:val="nil"/>
              <w:right w:val="nil"/>
            </w:tcBorders>
            <w:vAlign w:val="center"/>
          </w:tcPr>
          <w:p w14:paraId="2978B2FE" w14:textId="7267A359" w:rsidR="007D2948" w:rsidRPr="007D2948" w:rsidRDefault="007D2948" w:rsidP="007D2948">
            <w:pPr>
              <w:pStyle w:val="TableTitle"/>
              <w:tabs>
                <w:tab w:val="left" w:pos="3306"/>
              </w:tabs>
              <w:spacing w:after="120"/>
              <w:jc w:val="left"/>
              <w:rPr>
                <w:rFonts w:ascii="Arial" w:hAnsi="Arial" w:cs="Arial"/>
                <w:sz w:val="32"/>
                <w:szCs w:val="32"/>
              </w:rPr>
            </w:pPr>
          </w:p>
        </w:tc>
      </w:tr>
      <w:tr w:rsidR="007D2948" w:rsidRPr="00CF7E1B" w14:paraId="2E7D1A0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028B8475" w14:textId="77777777" w:rsidR="007D2948" w:rsidRPr="004E5074" w:rsidRDefault="007D2948" w:rsidP="007D2948">
            <w:pPr>
              <w:pStyle w:val="TableReference"/>
              <w:tabs>
                <w:tab w:val="left" w:pos="3306"/>
              </w:tabs>
              <w:spacing w:before="40" w:after="240"/>
              <w:rPr>
                <w:rFonts w:cs="Calibri"/>
                <w:color w:val="7030A0"/>
                <w:sz w:val="14"/>
              </w:rPr>
            </w:pPr>
            <w:r w:rsidRPr="004E5074">
              <w:rPr>
                <w:rFonts w:cs="Calibri"/>
                <w:color w:val="7030A0"/>
                <w:sz w:val="14"/>
              </w:rPr>
              <w:t>AASB 12.B14(b)</w:t>
            </w:r>
          </w:p>
        </w:tc>
        <w:tc>
          <w:tcPr>
            <w:tcW w:w="6097" w:type="dxa"/>
            <w:gridSpan w:val="7"/>
            <w:tcBorders>
              <w:top w:val="nil"/>
              <w:left w:val="single" w:sz="2" w:space="0" w:color="auto"/>
              <w:bottom w:val="nil"/>
              <w:right w:val="nil"/>
            </w:tcBorders>
            <w:vAlign w:val="bottom"/>
          </w:tcPr>
          <w:p w14:paraId="3D651B73" w14:textId="30AC3695" w:rsidR="007D2948" w:rsidRPr="007D2948" w:rsidRDefault="007D2948" w:rsidP="007D2948">
            <w:pPr>
              <w:pStyle w:val="TableText"/>
              <w:tabs>
                <w:tab w:val="left" w:pos="3306"/>
              </w:tabs>
              <w:spacing w:before="120"/>
              <w:rPr>
                <w:rFonts w:cs="Calibri"/>
              </w:rPr>
            </w:pPr>
            <w:r w:rsidRPr="007D2948">
              <w:rPr>
                <w:rFonts w:cs="Calibri"/>
                <w:b/>
              </w:rPr>
              <w:t>A reconciliation of the above summarised information to the carrying amount of the investment in ‘Example Joint Venture Entity’ is set out below</w:t>
            </w:r>
            <w:r w:rsidRPr="007D2948">
              <w:rPr>
                <w:rFonts w:cs="Calibri"/>
              </w:rPr>
              <w:t>:</w:t>
            </w:r>
          </w:p>
        </w:tc>
        <w:tc>
          <w:tcPr>
            <w:tcW w:w="1559" w:type="dxa"/>
            <w:gridSpan w:val="7"/>
            <w:tcBorders>
              <w:top w:val="nil"/>
              <w:left w:val="nil"/>
              <w:bottom w:val="nil"/>
              <w:right w:val="nil"/>
            </w:tcBorders>
            <w:vAlign w:val="bottom"/>
          </w:tcPr>
          <w:p w14:paraId="6A9B48E8" w14:textId="62AA1BA4" w:rsidR="007D2948" w:rsidRPr="007D2948" w:rsidRDefault="007D2948" w:rsidP="007D2948">
            <w:pPr>
              <w:pStyle w:val="TableText"/>
              <w:tabs>
                <w:tab w:val="left" w:pos="3306"/>
              </w:tabs>
              <w:jc w:val="right"/>
              <w:rPr>
                <w:rFonts w:cs="Calibri"/>
                <w:b/>
                <w:sz w:val="14"/>
              </w:rPr>
            </w:pPr>
          </w:p>
        </w:tc>
        <w:tc>
          <w:tcPr>
            <w:tcW w:w="1276" w:type="dxa"/>
            <w:gridSpan w:val="2"/>
            <w:tcBorders>
              <w:top w:val="nil"/>
              <w:left w:val="nil"/>
              <w:bottom w:val="nil"/>
              <w:right w:val="nil"/>
            </w:tcBorders>
            <w:vAlign w:val="bottom"/>
          </w:tcPr>
          <w:p w14:paraId="216EB0B0" w14:textId="379177B5" w:rsidR="007D2948" w:rsidRPr="007D2948" w:rsidRDefault="007D2948" w:rsidP="007D2948">
            <w:pPr>
              <w:pStyle w:val="TableText"/>
              <w:tabs>
                <w:tab w:val="left" w:pos="3306"/>
              </w:tabs>
              <w:jc w:val="right"/>
              <w:rPr>
                <w:rFonts w:cs="Calibri"/>
                <w:b/>
                <w:sz w:val="14"/>
              </w:rPr>
            </w:pPr>
          </w:p>
        </w:tc>
      </w:tr>
      <w:tr w:rsidR="007D2948" w:rsidRPr="00CF7E1B" w14:paraId="5A48E3E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05CE42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56A86814" w14:textId="77777777" w:rsidR="007D2948" w:rsidRPr="007D2948" w:rsidRDefault="007D2948" w:rsidP="007D2948">
            <w:pPr>
              <w:pStyle w:val="TableText"/>
              <w:tabs>
                <w:tab w:val="left" w:pos="3306"/>
              </w:tabs>
              <w:rPr>
                <w:rFonts w:cs="Calibri"/>
                <w:sz w:val="14"/>
              </w:rPr>
            </w:pPr>
            <w:r w:rsidRPr="007D2948">
              <w:rPr>
                <w:rFonts w:cs="Calibri"/>
              </w:rPr>
              <w:t>Total Net Assets of ‘Example Joint Venture Entity’</w:t>
            </w:r>
          </w:p>
        </w:tc>
        <w:tc>
          <w:tcPr>
            <w:tcW w:w="1559" w:type="dxa"/>
            <w:gridSpan w:val="7"/>
            <w:tcBorders>
              <w:top w:val="nil"/>
              <w:left w:val="nil"/>
              <w:bottom w:val="nil"/>
              <w:right w:val="nil"/>
            </w:tcBorders>
            <w:vAlign w:val="bottom"/>
          </w:tcPr>
          <w:p w14:paraId="15ADB9E9" w14:textId="5E343F23"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4C1CFAC" w14:textId="2AB789F5" w:rsidR="007D2948" w:rsidRPr="007D2948" w:rsidRDefault="007D2948" w:rsidP="007D2948">
            <w:pPr>
              <w:pStyle w:val="TableText"/>
              <w:tabs>
                <w:tab w:val="left" w:pos="3306"/>
              </w:tabs>
              <w:jc w:val="right"/>
              <w:rPr>
                <w:rFonts w:cs="Calibri"/>
              </w:rPr>
            </w:pPr>
          </w:p>
        </w:tc>
      </w:tr>
      <w:tr w:rsidR="007D2948" w:rsidRPr="00CF7E1B" w14:paraId="23AD2F0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395B2C3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79BD29E0" w14:textId="57A83698" w:rsidR="007D2948" w:rsidRPr="007D2948" w:rsidRDefault="007D2948" w:rsidP="007D2948">
            <w:pPr>
              <w:pStyle w:val="TableText"/>
              <w:tabs>
                <w:tab w:val="left" w:pos="3306"/>
              </w:tabs>
              <w:rPr>
                <w:rFonts w:cs="Calibri"/>
              </w:rPr>
            </w:pPr>
            <w:r w:rsidRPr="007D2948">
              <w:rPr>
                <w:rFonts w:cs="Calibri"/>
              </w:rPr>
              <w:t>Proportion of Ownership of ‘Example Joint Venture Entity’</w:t>
            </w:r>
          </w:p>
        </w:tc>
        <w:tc>
          <w:tcPr>
            <w:tcW w:w="1559" w:type="dxa"/>
            <w:gridSpan w:val="7"/>
            <w:tcBorders>
              <w:top w:val="nil"/>
              <w:left w:val="nil"/>
              <w:bottom w:val="single" w:sz="4" w:space="0" w:color="auto"/>
              <w:right w:val="nil"/>
            </w:tcBorders>
            <w:vAlign w:val="bottom"/>
          </w:tcPr>
          <w:p w14:paraId="68FC7108" w14:textId="2F1D1699"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7892715" w14:textId="15671854" w:rsidR="007D2948" w:rsidRPr="007D2948" w:rsidRDefault="007D2948" w:rsidP="007D2948">
            <w:pPr>
              <w:pStyle w:val="TableText"/>
              <w:tabs>
                <w:tab w:val="left" w:pos="3306"/>
              </w:tabs>
              <w:jc w:val="right"/>
              <w:rPr>
                <w:rFonts w:cs="Calibri"/>
              </w:rPr>
            </w:pPr>
          </w:p>
        </w:tc>
      </w:tr>
      <w:tr w:rsidR="007D2948" w:rsidRPr="00CF7E1B" w14:paraId="25CD374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45F2676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7F74B86B" w14:textId="178CFC4C" w:rsidR="007D2948" w:rsidRPr="007D2948" w:rsidRDefault="007D2948" w:rsidP="007D2948">
            <w:pPr>
              <w:pStyle w:val="TableText"/>
              <w:tabs>
                <w:tab w:val="left" w:pos="3306"/>
              </w:tabs>
              <w:rPr>
                <w:rFonts w:cs="Calibri"/>
                <w:b/>
              </w:rPr>
            </w:pPr>
            <w:r w:rsidRPr="007D2948">
              <w:rPr>
                <w:rFonts w:cs="Calibri"/>
                <w:b/>
              </w:rPr>
              <w:t>Carrying Amount of Investment in ‘Example Joint Venture Entity’</w:t>
            </w:r>
          </w:p>
        </w:tc>
        <w:tc>
          <w:tcPr>
            <w:tcW w:w="1559" w:type="dxa"/>
            <w:gridSpan w:val="7"/>
            <w:tcBorders>
              <w:top w:val="single" w:sz="4" w:space="0" w:color="auto"/>
              <w:left w:val="nil"/>
              <w:bottom w:val="single" w:sz="4" w:space="0" w:color="auto"/>
              <w:right w:val="nil"/>
            </w:tcBorders>
            <w:vAlign w:val="bottom"/>
          </w:tcPr>
          <w:p w14:paraId="3BD3EC50" w14:textId="2639633D" w:rsidR="007D2948" w:rsidRPr="007D2948" w:rsidRDefault="007D2948" w:rsidP="007D2948">
            <w:pPr>
              <w:pStyle w:val="TableText"/>
              <w:tabs>
                <w:tab w:val="left" w:pos="3306"/>
              </w:tabs>
              <w:jc w:val="right"/>
              <w:rPr>
                <w:rFonts w:cs="Calibri"/>
                <w:b/>
              </w:rPr>
            </w:pPr>
          </w:p>
        </w:tc>
        <w:tc>
          <w:tcPr>
            <w:tcW w:w="1276" w:type="dxa"/>
            <w:gridSpan w:val="2"/>
            <w:tcBorders>
              <w:top w:val="single" w:sz="4" w:space="0" w:color="auto"/>
              <w:left w:val="nil"/>
              <w:bottom w:val="single" w:sz="4" w:space="0" w:color="auto"/>
              <w:right w:val="nil"/>
            </w:tcBorders>
            <w:vAlign w:val="bottom"/>
          </w:tcPr>
          <w:p w14:paraId="4C1D9440" w14:textId="09F8BB62" w:rsidR="007D2948" w:rsidRPr="007D2948" w:rsidRDefault="007D2948" w:rsidP="007D2948">
            <w:pPr>
              <w:pStyle w:val="TableText"/>
              <w:tabs>
                <w:tab w:val="left" w:pos="3306"/>
              </w:tabs>
              <w:jc w:val="right"/>
              <w:rPr>
                <w:rFonts w:cs="Calibri"/>
                <w:b/>
              </w:rPr>
            </w:pPr>
          </w:p>
        </w:tc>
      </w:tr>
      <w:tr w:rsidR="007D2948" w:rsidRPr="00CF7E1B" w14:paraId="2F8A939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4CCDE147"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114835C4" w14:textId="77777777" w:rsidR="007D2948" w:rsidRPr="007D2948" w:rsidRDefault="007D2948" w:rsidP="007D2948">
            <w:pPr>
              <w:pStyle w:val="TableText"/>
              <w:tabs>
                <w:tab w:val="left" w:pos="3306"/>
              </w:tabs>
              <w:rPr>
                <w:rFonts w:cs="Calibri"/>
                <w:b/>
              </w:rPr>
            </w:pPr>
          </w:p>
        </w:tc>
        <w:tc>
          <w:tcPr>
            <w:tcW w:w="1559" w:type="dxa"/>
            <w:gridSpan w:val="7"/>
            <w:tcBorders>
              <w:top w:val="single" w:sz="4" w:space="0" w:color="auto"/>
              <w:left w:val="nil"/>
              <w:bottom w:val="nil"/>
              <w:right w:val="nil"/>
            </w:tcBorders>
            <w:vAlign w:val="bottom"/>
          </w:tcPr>
          <w:p w14:paraId="1A4352EF" w14:textId="77777777" w:rsidR="007D2948" w:rsidRPr="007D2948" w:rsidRDefault="007D2948" w:rsidP="007D2948">
            <w:pPr>
              <w:pStyle w:val="TableText"/>
              <w:tabs>
                <w:tab w:val="left" w:pos="3306"/>
              </w:tabs>
              <w:jc w:val="right"/>
              <w:rPr>
                <w:rFonts w:cs="Calibri"/>
                <w:b/>
              </w:rPr>
            </w:pPr>
          </w:p>
        </w:tc>
        <w:tc>
          <w:tcPr>
            <w:tcW w:w="1276" w:type="dxa"/>
            <w:gridSpan w:val="2"/>
            <w:tcBorders>
              <w:top w:val="single" w:sz="4" w:space="0" w:color="auto"/>
              <w:left w:val="nil"/>
              <w:bottom w:val="nil"/>
              <w:right w:val="nil"/>
            </w:tcBorders>
            <w:vAlign w:val="bottom"/>
          </w:tcPr>
          <w:p w14:paraId="23D14D2E" w14:textId="77777777" w:rsidR="007D2948" w:rsidRPr="007D2948" w:rsidRDefault="007D2948" w:rsidP="007D2948">
            <w:pPr>
              <w:pStyle w:val="TableText"/>
              <w:tabs>
                <w:tab w:val="left" w:pos="3306"/>
              </w:tabs>
              <w:jc w:val="right"/>
              <w:rPr>
                <w:rFonts w:cs="Calibri"/>
                <w:b/>
              </w:rPr>
            </w:pPr>
          </w:p>
        </w:tc>
      </w:tr>
      <w:tr w:rsidR="007D2948" w:rsidRPr="00CF7E1B" w14:paraId="7CF27C5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24CABF8"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12.B12(a)</w:t>
            </w:r>
          </w:p>
        </w:tc>
        <w:tc>
          <w:tcPr>
            <w:tcW w:w="8932" w:type="dxa"/>
            <w:gridSpan w:val="16"/>
            <w:tcBorders>
              <w:top w:val="nil"/>
              <w:left w:val="single" w:sz="2" w:space="0" w:color="auto"/>
              <w:bottom w:val="nil"/>
              <w:right w:val="nil"/>
            </w:tcBorders>
          </w:tcPr>
          <w:p w14:paraId="42FCF291" w14:textId="26D7A16C" w:rsidR="007D2948" w:rsidRPr="007D2948" w:rsidRDefault="007D2948" w:rsidP="007D2948">
            <w:pPr>
              <w:pStyle w:val="TableText"/>
              <w:tabs>
                <w:tab w:val="left" w:pos="3306"/>
              </w:tabs>
              <w:rPr>
                <w:rFonts w:cs="Calibri"/>
                <w:b/>
              </w:rPr>
            </w:pPr>
            <w:r w:rsidRPr="007D2948">
              <w:rPr>
                <w:rFonts w:cs="Calibri"/>
              </w:rPr>
              <w:t>No dividends were received from ‘Example Joint Venture Entity’ in 202</w:t>
            </w:r>
            <w:r w:rsidR="00C85B7F">
              <w:rPr>
                <w:rFonts w:cs="Calibri"/>
              </w:rPr>
              <w:t>2</w:t>
            </w:r>
            <w:r w:rsidRPr="007D2948">
              <w:rPr>
                <w:rFonts w:cs="Calibri"/>
              </w:rPr>
              <w:t>-2</w:t>
            </w:r>
            <w:r w:rsidR="00C85B7F">
              <w:rPr>
                <w:rFonts w:cs="Calibri"/>
              </w:rPr>
              <w:t>3</w:t>
            </w:r>
            <w:r w:rsidRPr="007D2948">
              <w:rPr>
                <w:rFonts w:cs="Calibri"/>
              </w:rPr>
              <w:t xml:space="preserve"> or 202</w:t>
            </w:r>
            <w:r w:rsidR="00C85B7F">
              <w:rPr>
                <w:rFonts w:cs="Calibri"/>
              </w:rPr>
              <w:t>1</w:t>
            </w:r>
            <w:r w:rsidRPr="007D2948">
              <w:rPr>
                <w:rFonts w:cs="Calibri"/>
              </w:rPr>
              <w:t>-2</w:t>
            </w:r>
            <w:r w:rsidR="00C85B7F">
              <w:rPr>
                <w:rFonts w:cs="Calibri"/>
              </w:rPr>
              <w:t>2</w:t>
            </w:r>
            <w:r w:rsidRPr="007D2948">
              <w:rPr>
                <w:rFonts w:cs="Calibri"/>
              </w:rPr>
              <w:t>.</w:t>
            </w:r>
          </w:p>
        </w:tc>
      </w:tr>
      <w:tr w:rsidR="007D2948" w:rsidRPr="00CF7E1B" w14:paraId="5E7C0AE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D99035F"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12.21(b)(iii)</w:t>
            </w:r>
          </w:p>
        </w:tc>
        <w:tc>
          <w:tcPr>
            <w:tcW w:w="8932" w:type="dxa"/>
            <w:gridSpan w:val="16"/>
            <w:tcBorders>
              <w:top w:val="nil"/>
              <w:left w:val="single" w:sz="2" w:space="0" w:color="auto"/>
              <w:bottom w:val="nil"/>
              <w:right w:val="nil"/>
            </w:tcBorders>
          </w:tcPr>
          <w:p w14:paraId="53C59899" w14:textId="2852C016" w:rsidR="007D2948" w:rsidRPr="007D2948" w:rsidRDefault="007D2948" w:rsidP="007D2948">
            <w:pPr>
              <w:pStyle w:val="TableText"/>
              <w:tabs>
                <w:tab w:val="left" w:pos="3306"/>
              </w:tabs>
              <w:rPr>
                <w:rFonts w:cs="Calibri"/>
                <w:b/>
              </w:rPr>
            </w:pPr>
            <w:r w:rsidRPr="007D2948">
              <w:rPr>
                <w:rFonts w:cs="Calibri"/>
              </w:rPr>
              <w:t>‘Example Joint Venture Entity’ is not listed on the stock exchange and has no quoted market price.</w:t>
            </w:r>
          </w:p>
        </w:tc>
      </w:tr>
      <w:tr w:rsidR="007D2948" w:rsidRPr="00CF7E1B" w14:paraId="3240B8A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7BA701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266C1DF2" w14:textId="77777777" w:rsidR="007D2948" w:rsidRPr="007D2948" w:rsidRDefault="007D2948" w:rsidP="007D2948">
            <w:pPr>
              <w:pStyle w:val="TableText"/>
              <w:tabs>
                <w:tab w:val="left" w:pos="3306"/>
              </w:tabs>
              <w:rPr>
                <w:rFonts w:cs="Calibri"/>
              </w:rPr>
            </w:pPr>
          </w:p>
        </w:tc>
        <w:tc>
          <w:tcPr>
            <w:tcW w:w="1559" w:type="dxa"/>
            <w:gridSpan w:val="7"/>
            <w:tcBorders>
              <w:top w:val="nil"/>
              <w:left w:val="nil"/>
              <w:bottom w:val="nil"/>
              <w:right w:val="nil"/>
            </w:tcBorders>
            <w:vAlign w:val="bottom"/>
          </w:tcPr>
          <w:p w14:paraId="1CC587BC" w14:textId="77777777" w:rsidR="007D2948" w:rsidRPr="007D2948" w:rsidRDefault="007D2948" w:rsidP="007D2948">
            <w:pPr>
              <w:pStyle w:val="TableText"/>
              <w:tabs>
                <w:tab w:val="left" w:pos="3306"/>
              </w:tabs>
              <w:jc w:val="right"/>
              <w:rPr>
                <w:rFonts w:cs="Calibri"/>
                <w:b/>
              </w:rPr>
            </w:pPr>
          </w:p>
        </w:tc>
        <w:tc>
          <w:tcPr>
            <w:tcW w:w="1276" w:type="dxa"/>
            <w:gridSpan w:val="2"/>
            <w:tcBorders>
              <w:top w:val="nil"/>
              <w:left w:val="nil"/>
              <w:bottom w:val="nil"/>
              <w:right w:val="nil"/>
            </w:tcBorders>
            <w:vAlign w:val="bottom"/>
          </w:tcPr>
          <w:p w14:paraId="60F50153" w14:textId="77777777" w:rsidR="007D2948" w:rsidRPr="007D2948" w:rsidRDefault="007D2948" w:rsidP="007D2948">
            <w:pPr>
              <w:pStyle w:val="TableText"/>
              <w:tabs>
                <w:tab w:val="left" w:pos="3306"/>
              </w:tabs>
              <w:jc w:val="right"/>
              <w:rPr>
                <w:rFonts w:cs="Calibri"/>
                <w:b/>
              </w:rPr>
            </w:pPr>
          </w:p>
        </w:tc>
      </w:tr>
      <w:tr w:rsidR="007D2948" w:rsidRPr="00CF7E1B" w14:paraId="09092DF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77F9916C"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3C4CCE80" w14:textId="77777777" w:rsidR="007D2948" w:rsidRPr="007D2948" w:rsidRDefault="007D2948" w:rsidP="007D2948">
            <w:pPr>
              <w:pStyle w:val="TableText"/>
              <w:tabs>
                <w:tab w:val="left" w:pos="3306"/>
              </w:tabs>
              <w:rPr>
                <w:rFonts w:cs="Calibri"/>
                <w:b/>
              </w:rPr>
            </w:pPr>
            <w:r w:rsidRPr="007D2948">
              <w:rPr>
                <w:rFonts w:cs="Calibri"/>
                <w:b/>
              </w:rPr>
              <w:t>Risks Associated with Interest in Joint Venture</w:t>
            </w:r>
          </w:p>
        </w:tc>
        <w:tc>
          <w:tcPr>
            <w:tcW w:w="1559" w:type="dxa"/>
            <w:gridSpan w:val="7"/>
            <w:tcBorders>
              <w:top w:val="nil"/>
              <w:left w:val="nil"/>
              <w:bottom w:val="nil"/>
              <w:right w:val="nil"/>
            </w:tcBorders>
            <w:vAlign w:val="bottom"/>
          </w:tcPr>
          <w:p w14:paraId="699ADE7D" w14:textId="77777777" w:rsidR="007D2948" w:rsidRPr="007D2948" w:rsidRDefault="007D2948" w:rsidP="007D2948">
            <w:pPr>
              <w:pStyle w:val="TableText"/>
              <w:tabs>
                <w:tab w:val="left" w:pos="3306"/>
              </w:tabs>
              <w:jc w:val="right"/>
              <w:rPr>
                <w:rFonts w:cs="Calibri"/>
                <w:b/>
              </w:rPr>
            </w:pPr>
          </w:p>
        </w:tc>
        <w:tc>
          <w:tcPr>
            <w:tcW w:w="1276" w:type="dxa"/>
            <w:gridSpan w:val="2"/>
            <w:tcBorders>
              <w:top w:val="nil"/>
              <w:left w:val="nil"/>
              <w:bottom w:val="nil"/>
              <w:right w:val="nil"/>
            </w:tcBorders>
            <w:vAlign w:val="bottom"/>
          </w:tcPr>
          <w:p w14:paraId="75564104" w14:textId="77777777" w:rsidR="007D2948" w:rsidRPr="007D2948" w:rsidRDefault="007D2948" w:rsidP="007D2948">
            <w:pPr>
              <w:pStyle w:val="TableText"/>
              <w:tabs>
                <w:tab w:val="left" w:pos="3306"/>
              </w:tabs>
              <w:jc w:val="right"/>
              <w:rPr>
                <w:rFonts w:cs="Calibri"/>
                <w:b/>
              </w:rPr>
            </w:pPr>
          </w:p>
        </w:tc>
      </w:tr>
      <w:tr w:rsidR="007D2948" w:rsidRPr="00CF7E1B" w14:paraId="3CA3A59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2690FA4" w14:textId="52B0924D"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12.23(a), B(18)</w:t>
            </w:r>
          </w:p>
        </w:tc>
        <w:tc>
          <w:tcPr>
            <w:tcW w:w="6097" w:type="dxa"/>
            <w:gridSpan w:val="7"/>
            <w:tcBorders>
              <w:top w:val="nil"/>
              <w:left w:val="single" w:sz="2" w:space="0" w:color="auto"/>
              <w:bottom w:val="nil"/>
              <w:right w:val="nil"/>
            </w:tcBorders>
            <w:vAlign w:val="bottom"/>
          </w:tcPr>
          <w:p w14:paraId="2389E643" w14:textId="77777777" w:rsidR="007D2948" w:rsidRPr="007D2948" w:rsidRDefault="007D2948" w:rsidP="007D2948">
            <w:pPr>
              <w:pStyle w:val="TableText"/>
              <w:tabs>
                <w:tab w:val="left" w:pos="3306"/>
              </w:tabs>
              <w:rPr>
                <w:rFonts w:cs="Calibri"/>
                <w:b/>
                <w:bCs/>
              </w:rPr>
            </w:pPr>
            <w:bookmarkStart w:id="834" w:name="_Toc48468736"/>
            <w:bookmarkStart w:id="835" w:name="_Toc49155818"/>
            <w:bookmarkStart w:id="836" w:name="_Toc49224231"/>
            <w:r w:rsidRPr="007D2948">
              <w:rPr>
                <w:rFonts w:cs="Calibri"/>
                <w:b/>
                <w:bCs/>
              </w:rPr>
              <w:t>Commitments relating to the Joint Venture</w:t>
            </w:r>
            <w:bookmarkEnd w:id="834"/>
            <w:bookmarkEnd w:id="835"/>
            <w:bookmarkEnd w:id="836"/>
          </w:p>
        </w:tc>
        <w:tc>
          <w:tcPr>
            <w:tcW w:w="1559" w:type="dxa"/>
            <w:gridSpan w:val="7"/>
            <w:tcBorders>
              <w:top w:val="nil"/>
              <w:left w:val="nil"/>
              <w:bottom w:val="nil"/>
              <w:right w:val="nil"/>
            </w:tcBorders>
            <w:vAlign w:val="bottom"/>
          </w:tcPr>
          <w:p w14:paraId="7C537074" w14:textId="77777777" w:rsidR="007D2948" w:rsidRPr="007D2948" w:rsidRDefault="007D2948" w:rsidP="007D2948">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280E035C" w14:textId="77777777" w:rsidR="007D2948" w:rsidRPr="007D2948" w:rsidRDefault="007D2948" w:rsidP="007D2948">
            <w:pPr>
              <w:pStyle w:val="TableText"/>
              <w:tabs>
                <w:tab w:val="left" w:pos="3306"/>
              </w:tabs>
              <w:jc w:val="right"/>
              <w:rPr>
                <w:rFonts w:cs="Calibri"/>
              </w:rPr>
            </w:pPr>
          </w:p>
        </w:tc>
      </w:tr>
      <w:tr w:rsidR="007D2948" w:rsidRPr="00CF7E1B" w14:paraId="3A48E0B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6D1411B4"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 (B19)(a)</w:t>
            </w:r>
          </w:p>
        </w:tc>
        <w:tc>
          <w:tcPr>
            <w:tcW w:w="8932" w:type="dxa"/>
            <w:gridSpan w:val="16"/>
            <w:tcBorders>
              <w:top w:val="nil"/>
              <w:left w:val="single" w:sz="2" w:space="0" w:color="auto"/>
              <w:bottom w:val="nil"/>
              <w:right w:val="nil"/>
            </w:tcBorders>
          </w:tcPr>
          <w:p w14:paraId="0E6B026E" w14:textId="39586089" w:rsidR="007D2948" w:rsidRPr="007D2948" w:rsidRDefault="007D2948" w:rsidP="007D2948">
            <w:pPr>
              <w:pStyle w:val="TableText"/>
              <w:tabs>
                <w:tab w:val="left" w:pos="3306"/>
              </w:tabs>
              <w:rPr>
                <w:rFonts w:cs="Calibri"/>
                <w:strike/>
              </w:rPr>
            </w:pPr>
            <w:r w:rsidRPr="007D2948">
              <w:rPr>
                <w:rFonts w:cs="Calibri"/>
              </w:rPr>
              <w:t>Commitments to provide funding for joint venture’s capital commitments, if called</w:t>
            </w:r>
            <w:r w:rsidR="00C85B7F">
              <w:rPr>
                <w:rFonts w:cs="Calibri"/>
              </w:rPr>
              <w:t>.</w:t>
            </w:r>
          </w:p>
        </w:tc>
      </w:tr>
      <w:tr w:rsidR="007D2948" w:rsidRPr="00CF7E1B" w14:paraId="2A14008C"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8E2CE5D"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50138A7E" w14:textId="77777777" w:rsidR="007D2948" w:rsidRPr="007D2948" w:rsidRDefault="007D2948" w:rsidP="007D2948">
            <w:pPr>
              <w:pStyle w:val="TableText"/>
              <w:tabs>
                <w:tab w:val="left" w:pos="3306"/>
              </w:tabs>
              <w:rPr>
                <w:rFonts w:cs="Calibri"/>
              </w:rPr>
            </w:pPr>
          </w:p>
        </w:tc>
        <w:tc>
          <w:tcPr>
            <w:tcW w:w="1559" w:type="dxa"/>
            <w:gridSpan w:val="7"/>
            <w:tcBorders>
              <w:top w:val="nil"/>
              <w:left w:val="nil"/>
              <w:bottom w:val="nil"/>
              <w:right w:val="nil"/>
            </w:tcBorders>
            <w:vAlign w:val="bottom"/>
          </w:tcPr>
          <w:p w14:paraId="18B4F345" w14:textId="77777777" w:rsidR="007D2948" w:rsidRPr="007D2948" w:rsidRDefault="007D2948" w:rsidP="007D2948">
            <w:pPr>
              <w:pStyle w:val="TableText"/>
              <w:tabs>
                <w:tab w:val="left" w:pos="3306"/>
              </w:tabs>
              <w:jc w:val="right"/>
              <w:rPr>
                <w:rFonts w:cs="Calibri"/>
                <w:sz w:val="14"/>
              </w:rPr>
            </w:pPr>
          </w:p>
        </w:tc>
        <w:tc>
          <w:tcPr>
            <w:tcW w:w="1276" w:type="dxa"/>
            <w:gridSpan w:val="2"/>
            <w:tcBorders>
              <w:top w:val="nil"/>
              <w:left w:val="nil"/>
              <w:bottom w:val="nil"/>
              <w:right w:val="nil"/>
            </w:tcBorders>
            <w:vAlign w:val="bottom"/>
          </w:tcPr>
          <w:p w14:paraId="70E55C54" w14:textId="77777777" w:rsidR="007D2948" w:rsidRPr="007D2948" w:rsidRDefault="007D2948" w:rsidP="007D2948">
            <w:pPr>
              <w:pStyle w:val="TableText"/>
              <w:tabs>
                <w:tab w:val="left" w:pos="3306"/>
              </w:tabs>
              <w:jc w:val="right"/>
              <w:rPr>
                <w:rFonts w:cs="Calibri"/>
                <w:sz w:val="14"/>
              </w:rPr>
            </w:pPr>
          </w:p>
        </w:tc>
      </w:tr>
      <w:tr w:rsidR="005F6493" w:rsidRPr="00CF7E1B" w14:paraId="266D918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4187A222" w14:textId="53D33A35" w:rsidR="005F6493" w:rsidRPr="004E5074" w:rsidRDefault="005F6493" w:rsidP="005F6493">
            <w:pPr>
              <w:pStyle w:val="TableReference"/>
              <w:tabs>
                <w:tab w:val="left" w:pos="3306"/>
              </w:tabs>
              <w:spacing w:before="240" w:after="240"/>
              <w:rPr>
                <w:rFonts w:cs="Calibri"/>
                <w:color w:val="7030A0"/>
                <w:sz w:val="14"/>
              </w:rPr>
            </w:pPr>
            <w:r w:rsidRPr="006C2572">
              <w:rPr>
                <w:rFonts w:cs="Calibri"/>
                <w:b/>
                <w:color w:val="7030A0"/>
                <w:sz w:val="22"/>
                <w:szCs w:val="22"/>
              </w:rPr>
              <w:t>Reference</w:t>
            </w:r>
          </w:p>
        </w:tc>
        <w:tc>
          <w:tcPr>
            <w:tcW w:w="8932" w:type="dxa"/>
            <w:gridSpan w:val="16"/>
            <w:tcBorders>
              <w:top w:val="nil"/>
              <w:left w:val="single" w:sz="2" w:space="0" w:color="auto"/>
              <w:bottom w:val="nil"/>
              <w:right w:val="nil"/>
            </w:tcBorders>
          </w:tcPr>
          <w:p w14:paraId="5A69C313" w14:textId="696CE781" w:rsidR="005F6493" w:rsidRPr="007D2948" w:rsidRDefault="005F6493" w:rsidP="005F6493">
            <w:pPr>
              <w:pStyle w:val="Heading1"/>
              <w:numPr>
                <w:ilvl w:val="0"/>
                <w:numId w:val="0"/>
              </w:numPr>
              <w:rPr>
                <w:rFonts w:cs="Calibri"/>
                <w:sz w:val="14"/>
              </w:rPr>
            </w:pPr>
            <w:bookmarkStart w:id="837" w:name="_Toc131164529"/>
            <w:bookmarkStart w:id="838" w:name="_Toc131591794"/>
            <w:bookmarkStart w:id="839" w:name="_Toc132743828"/>
            <w:r w:rsidRPr="007D2948">
              <w:t>Note 34.</w:t>
            </w:r>
            <w:r>
              <w:t xml:space="preserve"> </w:t>
            </w:r>
            <w:r w:rsidRPr="007D2948">
              <w:t xml:space="preserve"> Interest in a Joint Venture</w:t>
            </w:r>
            <w:r w:rsidRPr="00221E00">
              <w:t xml:space="preserve"> – C</w:t>
            </w:r>
            <w:r>
              <w:t>ontinued</w:t>
            </w:r>
            <w:bookmarkEnd w:id="837"/>
            <w:bookmarkEnd w:id="838"/>
            <w:bookmarkEnd w:id="839"/>
            <w:r>
              <w:rPr>
                <w:rFonts w:cs="Arial"/>
                <w:szCs w:val="32"/>
              </w:rPr>
              <w:t xml:space="preserve"> </w:t>
            </w:r>
          </w:p>
        </w:tc>
      </w:tr>
      <w:tr w:rsidR="005F6493" w:rsidRPr="00CF7E1B" w14:paraId="6E9DB3CC"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5C65C26A" w14:textId="77777777" w:rsidR="005F6493" w:rsidRPr="004E5074" w:rsidRDefault="005F6493" w:rsidP="005F6493">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46E04841" w14:textId="77777777" w:rsidR="005F6493" w:rsidRPr="007D2948" w:rsidRDefault="005F6493" w:rsidP="005F6493">
            <w:pPr>
              <w:pStyle w:val="TableText"/>
              <w:tabs>
                <w:tab w:val="left" w:pos="3306"/>
              </w:tabs>
              <w:spacing w:before="0"/>
              <w:rPr>
                <w:rFonts w:cs="Calibri"/>
                <w:b/>
                <w:bCs/>
              </w:rPr>
            </w:pPr>
            <w:bookmarkStart w:id="840" w:name="_Toc48468735"/>
            <w:bookmarkStart w:id="841" w:name="_Toc49155817"/>
            <w:bookmarkStart w:id="842" w:name="_Toc49224230"/>
            <w:r w:rsidRPr="007D2948">
              <w:rPr>
                <w:rFonts w:cs="Calibri"/>
                <w:b/>
                <w:bCs/>
              </w:rPr>
              <w:t>Contingent Liabilities</w:t>
            </w:r>
            <w:bookmarkEnd w:id="840"/>
            <w:bookmarkEnd w:id="841"/>
            <w:bookmarkEnd w:id="842"/>
          </w:p>
        </w:tc>
        <w:tc>
          <w:tcPr>
            <w:tcW w:w="1559" w:type="dxa"/>
            <w:gridSpan w:val="7"/>
            <w:tcBorders>
              <w:top w:val="nil"/>
              <w:left w:val="nil"/>
              <w:bottom w:val="nil"/>
              <w:right w:val="nil"/>
            </w:tcBorders>
            <w:vAlign w:val="bottom"/>
          </w:tcPr>
          <w:p w14:paraId="2540C719" w14:textId="77777777" w:rsidR="005F6493" w:rsidRPr="007D2948" w:rsidRDefault="005F6493" w:rsidP="005F6493">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122C99F" w14:textId="77777777" w:rsidR="005F6493" w:rsidRPr="007D2948" w:rsidRDefault="005F6493" w:rsidP="005F6493">
            <w:pPr>
              <w:pStyle w:val="TableText"/>
              <w:tabs>
                <w:tab w:val="left" w:pos="3306"/>
              </w:tabs>
              <w:jc w:val="right"/>
              <w:rPr>
                <w:rFonts w:cs="Calibri"/>
              </w:rPr>
            </w:pPr>
          </w:p>
        </w:tc>
      </w:tr>
      <w:tr w:rsidR="005F6493" w:rsidRPr="00CF7E1B" w14:paraId="5482CB9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33078D8D" w14:textId="77777777" w:rsidR="005F6493" w:rsidRPr="004E5074" w:rsidRDefault="005F6493" w:rsidP="005F6493">
            <w:pPr>
              <w:pStyle w:val="TableReference"/>
              <w:tabs>
                <w:tab w:val="left" w:pos="3306"/>
              </w:tabs>
              <w:spacing w:before="40"/>
              <w:rPr>
                <w:rFonts w:cs="Calibri"/>
                <w:color w:val="7030A0"/>
                <w:sz w:val="14"/>
              </w:rPr>
            </w:pPr>
          </w:p>
        </w:tc>
        <w:tc>
          <w:tcPr>
            <w:tcW w:w="8932" w:type="dxa"/>
            <w:gridSpan w:val="16"/>
            <w:tcBorders>
              <w:top w:val="nil"/>
              <w:left w:val="single" w:sz="2" w:space="0" w:color="auto"/>
              <w:bottom w:val="nil"/>
              <w:right w:val="nil"/>
            </w:tcBorders>
            <w:vAlign w:val="bottom"/>
          </w:tcPr>
          <w:p w14:paraId="43CE1830" w14:textId="3A8E9E4D" w:rsidR="005F6493" w:rsidRPr="007D2948" w:rsidRDefault="005F6493" w:rsidP="005F6493">
            <w:pPr>
              <w:pStyle w:val="CommentaryText"/>
              <w:tabs>
                <w:tab w:val="left" w:pos="3306"/>
              </w:tabs>
              <w:spacing w:before="120" w:after="0"/>
              <w:rPr>
                <w:rFonts w:cs="Calibri"/>
                <w:sz w:val="18"/>
              </w:rPr>
            </w:pPr>
            <w:r w:rsidRPr="007D2948">
              <w:rPr>
                <w:rFonts w:cs="Calibri"/>
                <w:sz w:val="18"/>
              </w:rPr>
              <w:t xml:space="preserve">The Agency has the following contingent liabilities, which it believes will not result in any material </w:t>
            </w:r>
            <w:r w:rsidRPr="007B76DA">
              <w:rPr>
                <w:rFonts w:cs="Calibri"/>
                <w:sz w:val="18"/>
              </w:rPr>
              <w:t>losses</w:t>
            </w:r>
            <w:r w:rsidRPr="007B76DA">
              <w:rPr>
                <w:rFonts w:cs="Calibri"/>
                <w:color w:val="FF0000"/>
                <w:sz w:val="18"/>
              </w:rPr>
              <w:t>:</w:t>
            </w:r>
            <w:r w:rsidRPr="007B76DA">
              <w:rPr>
                <w:rFonts w:cs="Calibri"/>
                <w:strike/>
                <w:color w:val="FF0000"/>
                <w:sz w:val="18"/>
              </w:rPr>
              <w:t>.</w:t>
            </w:r>
            <w:r>
              <w:rPr>
                <w:rFonts w:cs="Calibri"/>
                <w:sz w:val="18"/>
              </w:rPr>
              <w:t xml:space="preserve"> </w:t>
            </w:r>
          </w:p>
        </w:tc>
      </w:tr>
      <w:tr w:rsidR="005F6493" w:rsidRPr="00CF7E1B" w14:paraId="476BE45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38C95E1C" w14:textId="77777777" w:rsidR="005F6493" w:rsidRPr="004E5074" w:rsidRDefault="005F6493" w:rsidP="005F6493">
            <w:pPr>
              <w:pStyle w:val="TableReference"/>
              <w:tabs>
                <w:tab w:val="left" w:pos="3306"/>
              </w:tabs>
              <w:spacing w:before="40"/>
              <w:rPr>
                <w:rFonts w:cs="Calibri"/>
                <w:color w:val="7030A0"/>
                <w:sz w:val="14"/>
              </w:rPr>
            </w:pPr>
            <w:r w:rsidRPr="004E5074">
              <w:rPr>
                <w:rFonts w:cs="Calibri"/>
                <w:color w:val="7030A0"/>
                <w:sz w:val="14"/>
              </w:rPr>
              <w:t>AASB 12.23(b)</w:t>
            </w:r>
          </w:p>
        </w:tc>
        <w:tc>
          <w:tcPr>
            <w:tcW w:w="6097" w:type="dxa"/>
            <w:gridSpan w:val="7"/>
            <w:tcBorders>
              <w:top w:val="nil"/>
              <w:left w:val="single" w:sz="2" w:space="0" w:color="auto"/>
              <w:bottom w:val="nil"/>
              <w:right w:val="nil"/>
            </w:tcBorders>
            <w:vAlign w:val="bottom"/>
          </w:tcPr>
          <w:p w14:paraId="202C347C" w14:textId="77777777" w:rsidR="005F6493" w:rsidRPr="007D2948" w:rsidRDefault="005F6493" w:rsidP="005F6493">
            <w:pPr>
              <w:pStyle w:val="TableText"/>
              <w:tabs>
                <w:tab w:val="left" w:pos="3306"/>
              </w:tabs>
              <w:rPr>
                <w:rFonts w:cs="Calibri"/>
              </w:rPr>
            </w:pPr>
            <w:r w:rsidRPr="007D2948">
              <w:rPr>
                <w:rFonts w:cs="Calibri"/>
              </w:rPr>
              <w:t xml:space="preserve">Contingent Liability arising from the Agency’s interest in the Joint Venture </w:t>
            </w:r>
          </w:p>
        </w:tc>
        <w:tc>
          <w:tcPr>
            <w:tcW w:w="1559" w:type="dxa"/>
            <w:gridSpan w:val="7"/>
            <w:tcBorders>
              <w:top w:val="nil"/>
              <w:left w:val="nil"/>
              <w:bottom w:val="nil"/>
              <w:right w:val="nil"/>
            </w:tcBorders>
            <w:vAlign w:val="bottom"/>
          </w:tcPr>
          <w:p w14:paraId="5AE64A7E" w14:textId="7F871B86" w:rsidR="005F6493" w:rsidRPr="007D2948" w:rsidRDefault="005F6493" w:rsidP="005F6493">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FC4AE9F" w14:textId="672B346D" w:rsidR="005F6493" w:rsidRPr="007D2948" w:rsidRDefault="005F6493" w:rsidP="005F6493">
            <w:pPr>
              <w:pStyle w:val="TableText"/>
              <w:tabs>
                <w:tab w:val="left" w:pos="3306"/>
              </w:tabs>
              <w:jc w:val="right"/>
              <w:rPr>
                <w:rFonts w:cs="Calibri"/>
              </w:rPr>
            </w:pPr>
          </w:p>
        </w:tc>
      </w:tr>
      <w:tr w:rsidR="005F6493" w:rsidRPr="00CF7E1B" w14:paraId="580D5FB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1241B54" w14:textId="77777777" w:rsidR="005F6493" w:rsidRPr="004E5074" w:rsidRDefault="005F6493" w:rsidP="005F6493">
            <w:pPr>
              <w:pStyle w:val="TableReference"/>
              <w:tabs>
                <w:tab w:val="left" w:pos="3306"/>
              </w:tabs>
              <w:spacing w:before="60"/>
              <w:rPr>
                <w:rFonts w:cs="Calibri"/>
                <w:color w:val="7030A0"/>
                <w:sz w:val="14"/>
              </w:rPr>
            </w:pPr>
            <w:r w:rsidRPr="004E5074">
              <w:rPr>
                <w:rFonts w:cs="Calibri"/>
                <w:color w:val="7030A0"/>
                <w:sz w:val="14"/>
              </w:rPr>
              <w:t>AASB 12.23(b</w:t>
            </w:r>
          </w:p>
        </w:tc>
        <w:tc>
          <w:tcPr>
            <w:tcW w:w="6097" w:type="dxa"/>
            <w:gridSpan w:val="7"/>
            <w:tcBorders>
              <w:top w:val="nil"/>
              <w:left w:val="single" w:sz="2" w:space="0" w:color="auto"/>
              <w:bottom w:val="nil"/>
              <w:right w:val="nil"/>
            </w:tcBorders>
            <w:vAlign w:val="bottom"/>
          </w:tcPr>
          <w:p w14:paraId="313915B2" w14:textId="77777777" w:rsidR="005F6493" w:rsidRPr="007D2948" w:rsidRDefault="005F6493" w:rsidP="005F6493">
            <w:pPr>
              <w:pStyle w:val="TableText"/>
              <w:tabs>
                <w:tab w:val="left" w:pos="3306"/>
              </w:tabs>
              <w:rPr>
                <w:rFonts w:cs="Calibri"/>
              </w:rPr>
            </w:pPr>
            <w:r w:rsidRPr="007D2948">
              <w:rPr>
                <w:rFonts w:cs="Calibri"/>
              </w:rPr>
              <w:t>Contingent Liability arising from the Agency being liable for liabilities of ‘Example Venturer’</w:t>
            </w:r>
          </w:p>
        </w:tc>
        <w:tc>
          <w:tcPr>
            <w:tcW w:w="1559" w:type="dxa"/>
            <w:gridSpan w:val="7"/>
            <w:tcBorders>
              <w:top w:val="nil"/>
              <w:left w:val="nil"/>
              <w:bottom w:val="nil"/>
              <w:right w:val="nil"/>
            </w:tcBorders>
            <w:vAlign w:val="bottom"/>
          </w:tcPr>
          <w:p w14:paraId="76021FA2" w14:textId="66812C27" w:rsidR="005F6493" w:rsidRPr="007D2948" w:rsidRDefault="005F6493" w:rsidP="005F6493">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A847F1D" w14:textId="7D37F364" w:rsidR="005F6493" w:rsidRPr="007D2948" w:rsidRDefault="005F6493" w:rsidP="005F6493">
            <w:pPr>
              <w:pStyle w:val="TableText"/>
              <w:tabs>
                <w:tab w:val="left" w:pos="3306"/>
              </w:tabs>
              <w:jc w:val="right"/>
              <w:rPr>
                <w:rFonts w:cs="Calibri"/>
              </w:rPr>
            </w:pPr>
          </w:p>
        </w:tc>
      </w:tr>
      <w:tr w:rsidR="005F6493" w:rsidRPr="00CF7E1B" w14:paraId="1AC68FF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41DC3B4" w14:textId="77777777" w:rsidR="005F6493" w:rsidRPr="004E5074" w:rsidRDefault="005F6493" w:rsidP="005F6493">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54E98A29" w14:textId="77777777" w:rsidR="005F6493" w:rsidRPr="007D2948" w:rsidRDefault="005F6493" w:rsidP="005F6493">
            <w:pPr>
              <w:pStyle w:val="TableText"/>
              <w:tabs>
                <w:tab w:val="left" w:pos="3306"/>
              </w:tabs>
              <w:rPr>
                <w:rFonts w:cs="Calibri"/>
                <w:b/>
                <w:bCs/>
              </w:rPr>
            </w:pPr>
            <w:r w:rsidRPr="007D2948">
              <w:rPr>
                <w:rFonts w:cs="Calibri"/>
                <w:b/>
                <w:bCs/>
              </w:rPr>
              <w:t>Total Contingent Liabilities</w:t>
            </w:r>
          </w:p>
        </w:tc>
        <w:tc>
          <w:tcPr>
            <w:tcW w:w="1559" w:type="dxa"/>
            <w:gridSpan w:val="7"/>
            <w:tcBorders>
              <w:top w:val="single" w:sz="2" w:space="0" w:color="auto"/>
              <w:left w:val="nil"/>
              <w:bottom w:val="single" w:sz="2" w:space="0" w:color="auto"/>
              <w:right w:val="nil"/>
            </w:tcBorders>
            <w:vAlign w:val="bottom"/>
          </w:tcPr>
          <w:p w14:paraId="1E662276" w14:textId="64D7CCA3" w:rsidR="005F6493" w:rsidRPr="007D2948" w:rsidRDefault="005F6493" w:rsidP="005F6493">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4F44BAFE" w14:textId="0487B282" w:rsidR="005F6493" w:rsidRPr="007D2948" w:rsidRDefault="005F6493" w:rsidP="005F6493">
            <w:pPr>
              <w:pStyle w:val="TableText"/>
              <w:tabs>
                <w:tab w:val="left" w:pos="3306"/>
              </w:tabs>
              <w:jc w:val="right"/>
              <w:rPr>
                <w:rFonts w:cs="Calibri"/>
                <w:b/>
                <w:bCs/>
              </w:rPr>
            </w:pPr>
          </w:p>
        </w:tc>
      </w:tr>
      <w:tr w:rsidR="005F6493" w:rsidRPr="00CF7E1B" w14:paraId="4D3E402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cantSplit/>
          <w:trHeight w:val="23"/>
        </w:trPr>
        <w:tc>
          <w:tcPr>
            <w:tcW w:w="1562" w:type="dxa"/>
            <w:tcBorders>
              <w:top w:val="nil"/>
              <w:left w:val="single" w:sz="2" w:space="0" w:color="auto"/>
              <w:bottom w:val="nil"/>
              <w:right w:val="single" w:sz="2" w:space="0" w:color="auto"/>
            </w:tcBorders>
          </w:tcPr>
          <w:p w14:paraId="1FD5AFBC" w14:textId="77777777" w:rsidR="005F6493" w:rsidRPr="004E5074" w:rsidRDefault="005F6493" w:rsidP="005F6493">
            <w:pPr>
              <w:pStyle w:val="TableReference"/>
              <w:tabs>
                <w:tab w:val="left" w:pos="3306"/>
              </w:tabs>
              <w:spacing w:before="40"/>
              <w:rPr>
                <w:rFonts w:cs="Calibri"/>
                <w:color w:val="7030A0"/>
                <w:sz w:val="14"/>
              </w:rPr>
            </w:pPr>
          </w:p>
        </w:tc>
        <w:tc>
          <w:tcPr>
            <w:tcW w:w="6097" w:type="dxa"/>
            <w:gridSpan w:val="7"/>
            <w:tcBorders>
              <w:top w:val="nil"/>
              <w:left w:val="single" w:sz="2" w:space="0" w:color="auto"/>
              <w:bottom w:val="nil"/>
              <w:right w:val="nil"/>
            </w:tcBorders>
            <w:vAlign w:val="bottom"/>
          </w:tcPr>
          <w:p w14:paraId="63C37B2A" w14:textId="77777777" w:rsidR="005F6493" w:rsidRPr="007D2948" w:rsidRDefault="005F6493" w:rsidP="005F6493">
            <w:pPr>
              <w:pStyle w:val="TableText"/>
              <w:tabs>
                <w:tab w:val="left" w:pos="3306"/>
              </w:tabs>
              <w:rPr>
                <w:rFonts w:cs="Calibri"/>
                <w:b/>
                <w:bCs/>
              </w:rPr>
            </w:pPr>
          </w:p>
        </w:tc>
        <w:tc>
          <w:tcPr>
            <w:tcW w:w="1559" w:type="dxa"/>
            <w:gridSpan w:val="7"/>
            <w:tcBorders>
              <w:top w:val="single" w:sz="2" w:space="0" w:color="auto"/>
              <w:left w:val="nil"/>
              <w:bottom w:val="nil"/>
              <w:right w:val="nil"/>
            </w:tcBorders>
            <w:vAlign w:val="bottom"/>
          </w:tcPr>
          <w:p w14:paraId="5D58D91E" w14:textId="77777777" w:rsidR="005F6493" w:rsidRPr="007D2948" w:rsidRDefault="005F6493" w:rsidP="005F6493">
            <w:pPr>
              <w:pStyle w:val="TableText"/>
              <w:tabs>
                <w:tab w:val="left" w:pos="3306"/>
              </w:tabs>
              <w:jc w:val="right"/>
              <w:rPr>
                <w:rFonts w:cs="Calibri"/>
                <w:b/>
                <w:bCs/>
              </w:rPr>
            </w:pPr>
          </w:p>
        </w:tc>
        <w:tc>
          <w:tcPr>
            <w:tcW w:w="1276" w:type="dxa"/>
            <w:gridSpan w:val="2"/>
            <w:tcBorders>
              <w:top w:val="single" w:sz="2" w:space="0" w:color="auto"/>
              <w:left w:val="nil"/>
              <w:bottom w:val="nil"/>
              <w:right w:val="nil"/>
            </w:tcBorders>
            <w:vAlign w:val="bottom"/>
          </w:tcPr>
          <w:p w14:paraId="348E2C17" w14:textId="77777777" w:rsidR="005F6493" w:rsidRPr="007D2948" w:rsidRDefault="005F6493" w:rsidP="005F6493">
            <w:pPr>
              <w:pStyle w:val="TableText"/>
              <w:tabs>
                <w:tab w:val="left" w:pos="3306"/>
              </w:tabs>
              <w:jc w:val="right"/>
              <w:rPr>
                <w:rFonts w:cs="Calibri"/>
                <w:b/>
                <w:bCs/>
              </w:rPr>
            </w:pPr>
          </w:p>
        </w:tc>
      </w:tr>
      <w:tr w:rsidR="007D2948" w:rsidRPr="00CF7E1B" w14:paraId="524BFBA1" w14:textId="77777777" w:rsidTr="005F6493">
        <w:trPr>
          <w:gridAfter w:val="2"/>
          <w:wAfter w:w="9468" w:type="dxa"/>
          <w:trHeight w:val="283"/>
        </w:trPr>
        <w:tc>
          <w:tcPr>
            <w:tcW w:w="1562" w:type="dxa"/>
            <w:tcBorders>
              <w:left w:val="single" w:sz="2" w:space="0" w:color="auto"/>
              <w:right w:val="single" w:sz="2" w:space="0" w:color="auto"/>
            </w:tcBorders>
          </w:tcPr>
          <w:p w14:paraId="758ACA86" w14:textId="6830E5AC" w:rsidR="007D2948" w:rsidRPr="004E5074" w:rsidRDefault="007D2948" w:rsidP="00C24DC3">
            <w:pPr>
              <w:pStyle w:val="TableReference"/>
              <w:tabs>
                <w:tab w:val="left" w:pos="3306"/>
              </w:tabs>
              <w:spacing w:before="240" w:after="240"/>
              <w:rPr>
                <w:rFonts w:cs="Calibri"/>
                <w:b/>
                <w:color w:val="7030A0"/>
                <w:sz w:val="14"/>
              </w:rPr>
            </w:pPr>
            <w:r w:rsidRPr="004E5074">
              <w:rPr>
                <w:rFonts w:cs="Calibri"/>
                <w:color w:val="7030A0"/>
                <w:sz w:val="14"/>
              </w:rPr>
              <w:t xml:space="preserve"> </w:t>
            </w:r>
          </w:p>
        </w:tc>
        <w:tc>
          <w:tcPr>
            <w:tcW w:w="8932" w:type="dxa"/>
            <w:gridSpan w:val="16"/>
            <w:tcBorders>
              <w:left w:val="single" w:sz="2" w:space="0" w:color="auto"/>
            </w:tcBorders>
            <w:shd w:val="clear" w:color="auto" w:fill="7030A0"/>
          </w:tcPr>
          <w:p w14:paraId="68885C5B" w14:textId="521F22A1" w:rsidR="007D2948" w:rsidRPr="007D2948" w:rsidRDefault="007D2948" w:rsidP="00C24DC3">
            <w:pPr>
              <w:pStyle w:val="CommentaryTitle"/>
              <w:pageBreakBefore w:val="0"/>
              <w:tabs>
                <w:tab w:val="left" w:pos="3306"/>
              </w:tabs>
              <w:spacing w:before="240" w:after="240"/>
              <w:rPr>
                <w:rFonts w:cs="Calibri"/>
                <w:color w:val="FFFFFF" w:themeColor="background1"/>
                <w:sz w:val="28"/>
                <w:szCs w:val="28"/>
              </w:rPr>
            </w:pPr>
            <w:bookmarkStart w:id="843" w:name="_Toc50440395"/>
            <w:bookmarkStart w:id="844" w:name="_Toc163106387"/>
            <w:r w:rsidRPr="007D2948">
              <w:rPr>
                <w:rFonts w:cs="Calibri"/>
                <w:color w:val="FFFFFF" w:themeColor="background1"/>
                <w:sz w:val="28"/>
                <w:szCs w:val="28"/>
              </w:rPr>
              <w:t xml:space="preserve">Commentary </w:t>
            </w:r>
            <w:r w:rsidRPr="007D2948">
              <w:rPr>
                <w:rFonts w:cs="Calibri"/>
                <w:color w:val="FFFFFF" w:themeColor="background1"/>
                <w:sz w:val="28"/>
                <w:szCs w:val="28"/>
              </w:rPr>
              <w:sym w:font="Symbol" w:char="F02D"/>
            </w:r>
            <w:r w:rsidRPr="007D2948">
              <w:rPr>
                <w:rFonts w:cs="Calibri"/>
                <w:color w:val="FFFFFF" w:themeColor="background1"/>
                <w:sz w:val="28"/>
                <w:szCs w:val="28"/>
              </w:rPr>
              <w:t xml:space="preserve"> Note 34: Interest in a Joint</w:t>
            </w:r>
            <w:bookmarkEnd w:id="843"/>
            <w:bookmarkEnd w:id="844"/>
            <w:r w:rsidRPr="007D2948">
              <w:rPr>
                <w:rFonts w:cs="Calibri"/>
                <w:color w:val="FFFFFF" w:themeColor="background1"/>
                <w:sz w:val="28"/>
                <w:szCs w:val="28"/>
              </w:rPr>
              <w:t xml:space="preserve"> Venture</w:t>
            </w:r>
          </w:p>
        </w:tc>
      </w:tr>
      <w:tr w:rsidR="007D2948" w:rsidRPr="00CF7E1B" w14:paraId="38C62141" w14:textId="77777777" w:rsidTr="005F6493">
        <w:trPr>
          <w:gridAfter w:val="2"/>
          <w:wAfter w:w="9468" w:type="dxa"/>
          <w:trHeight w:val="283"/>
        </w:trPr>
        <w:tc>
          <w:tcPr>
            <w:tcW w:w="1562" w:type="dxa"/>
            <w:tcBorders>
              <w:left w:val="single" w:sz="2" w:space="0" w:color="auto"/>
              <w:right w:val="single" w:sz="2" w:space="0" w:color="auto"/>
            </w:tcBorders>
          </w:tcPr>
          <w:p w14:paraId="73D44EDE" w14:textId="77777777" w:rsidR="007D2948" w:rsidRPr="00B330CA" w:rsidRDefault="007D2948" w:rsidP="007D2948">
            <w:pPr>
              <w:pStyle w:val="TableReference"/>
              <w:tabs>
                <w:tab w:val="left" w:pos="3306"/>
              </w:tabs>
              <w:rPr>
                <w:rFonts w:cs="Calibri"/>
                <w:color w:val="7030A0"/>
                <w:sz w:val="20"/>
                <w:szCs w:val="20"/>
              </w:rPr>
            </w:pPr>
          </w:p>
        </w:tc>
        <w:tc>
          <w:tcPr>
            <w:tcW w:w="8932" w:type="dxa"/>
            <w:gridSpan w:val="16"/>
            <w:tcBorders>
              <w:left w:val="single" w:sz="2" w:space="0" w:color="auto"/>
            </w:tcBorders>
            <w:shd w:val="clear" w:color="auto" w:fill="7030A0"/>
          </w:tcPr>
          <w:p w14:paraId="32E29049" w14:textId="77777777" w:rsidR="007D2948" w:rsidRPr="00B330CA" w:rsidRDefault="007D2948" w:rsidP="00C87FF4">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w:t>
            </w:r>
          </w:p>
        </w:tc>
      </w:tr>
      <w:tr w:rsidR="007D2948" w:rsidRPr="00CF7E1B" w14:paraId="6FE4720D" w14:textId="77777777" w:rsidTr="005F6493">
        <w:trPr>
          <w:gridAfter w:val="2"/>
          <w:wAfter w:w="9468" w:type="dxa"/>
          <w:trHeight w:val="283"/>
        </w:trPr>
        <w:tc>
          <w:tcPr>
            <w:tcW w:w="1562" w:type="dxa"/>
            <w:tcBorders>
              <w:left w:val="single" w:sz="2" w:space="0" w:color="auto"/>
              <w:right w:val="single" w:sz="2" w:space="0" w:color="auto"/>
            </w:tcBorders>
          </w:tcPr>
          <w:p w14:paraId="23F68133" w14:textId="77777777"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AASB 11.16</w:t>
            </w:r>
          </w:p>
        </w:tc>
        <w:tc>
          <w:tcPr>
            <w:tcW w:w="8932" w:type="dxa"/>
            <w:gridSpan w:val="16"/>
            <w:tcBorders>
              <w:left w:val="single" w:sz="2" w:space="0" w:color="auto"/>
            </w:tcBorders>
            <w:shd w:val="clear" w:color="auto" w:fill="7030A0"/>
          </w:tcPr>
          <w:p w14:paraId="42C7390D" w14:textId="54D4C7E1" w:rsidR="007D2948" w:rsidRPr="007D2948" w:rsidRDefault="007D2948" w:rsidP="007D2948">
            <w:pPr>
              <w:pStyle w:val="Commentary-Bullet"/>
              <w:numPr>
                <w:ilvl w:val="0"/>
                <w:numId w:val="0"/>
              </w:numPr>
              <w:spacing w:after="120"/>
              <w:rPr>
                <w:rFonts w:cs="Calibri"/>
                <w:color w:val="FFFFFF" w:themeColor="background1"/>
                <w:sz w:val="18"/>
                <w:szCs w:val="18"/>
              </w:rPr>
            </w:pPr>
            <w:r w:rsidRPr="007D2948">
              <w:rPr>
                <w:rFonts w:cs="Calibri"/>
                <w:color w:val="FFFFFF" w:themeColor="background1"/>
                <w:sz w:val="18"/>
                <w:szCs w:val="18"/>
              </w:rPr>
              <w:t>A joint venture is a joint arrangement whereby the parties that have joint control of the arrangement have rights to the net assets of the arrangement.</w:t>
            </w:r>
            <w:r w:rsidR="00FA7C77">
              <w:rPr>
                <w:rFonts w:cs="Calibri"/>
                <w:color w:val="FFFFFF" w:themeColor="background1"/>
                <w:sz w:val="18"/>
                <w:szCs w:val="18"/>
              </w:rPr>
              <w:t xml:space="preserve"> </w:t>
            </w:r>
            <w:r w:rsidRPr="007D2948">
              <w:rPr>
                <w:rFonts w:cs="Calibri"/>
                <w:color w:val="FFFFFF" w:themeColor="background1"/>
                <w:sz w:val="18"/>
                <w:szCs w:val="18"/>
              </w:rPr>
              <w:t>Those parties are called joint venturers.</w:t>
            </w:r>
          </w:p>
        </w:tc>
      </w:tr>
      <w:tr w:rsidR="007D2948" w:rsidRPr="00CF7E1B" w14:paraId="531226B4" w14:textId="77777777" w:rsidTr="005F6493">
        <w:trPr>
          <w:gridAfter w:val="2"/>
          <w:wAfter w:w="9468" w:type="dxa"/>
          <w:trHeight w:val="283"/>
        </w:trPr>
        <w:tc>
          <w:tcPr>
            <w:tcW w:w="1562" w:type="dxa"/>
            <w:tcBorders>
              <w:left w:val="single" w:sz="2" w:space="0" w:color="auto"/>
              <w:right w:val="single" w:sz="2" w:space="0" w:color="auto"/>
            </w:tcBorders>
          </w:tcPr>
          <w:p w14:paraId="763B49C4" w14:textId="77777777" w:rsidR="007D2948" w:rsidRPr="004E5074" w:rsidRDefault="007D2948" w:rsidP="007D2948">
            <w:pPr>
              <w:pStyle w:val="TableReference"/>
              <w:tabs>
                <w:tab w:val="left" w:pos="3306"/>
              </w:tabs>
              <w:spacing w:before="60"/>
              <w:rPr>
                <w:rFonts w:cs="Calibri"/>
                <w:strike/>
                <w:color w:val="7030A0"/>
                <w:sz w:val="14"/>
              </w:rPr>
            </w:pPr>
          </w:p>
        </w:tc>
        <w:tc>
          <w:tcPr>
            <w:tcW w:w="8932" w:type="dxa"/>
            <w:gridSpan w:val="16"/>
            <w:tcBorders>
              <w:left w:val="single" w:sz="2" w:space="0" w:color="auto"/>
            </w:tcBorders>
            <w:shd w:val="clear" w:color="auto" w:fill="7030A0"/>
          </w:tcPr>
          <w:p w14:paraId="5B89DDE3" w14:textId="77777777" w:rsidR="007D2948" w:rsidRPr="00C87FF4" w:rsidRDefault="007D2948" w:rsidP="00C87FF4">
            <w:pPr>
              <w:autoSpaceDE w:val="0"/>
              <w:autoSpaceDN w:val="0"/>
              <w:adjustRightInd w:val="0"/>
              <w:spacing w:after="40"/>
              <w:jc w:val="both"/>
              <w:rPr>
                <w:rFonts w:cs="Calibri"/>
                <w:strike/>
                <w:color w:val="FFFFFF" w:themeColor="background1"/>
                <w:sz w:val="20"/>
                <w:szCs w:val="20"/>
              </w:rPr>
            </w:pPr>
            <w:r w:rsidRPr="00C87FF4">
              <w:rPr>
                <w:rFonts w:cs="Calibri"/>
                <w:color w:val="FFFFFF" w:themeColor="background1"/>
                <w:sz w:val="20"/>
                <w:szCs w:val="20"/>
              </w:rPr>
              <w:t>N</w:t>
            </w:r>
            <w:r w:rsidRPr="00C87FF4">
              <w:rPr>
                <w:rFonts w:cs="Calibri"/>
                <w:b/>
                <w:bCs/>
                <w:color w:val="FFFFFF" w:themeColor="background1"/>
                <w:sz w:val="20"/>
                <w:szCs w:val="20"/>
              </w:rPr>
              <w:t>ature, Extent and Financial Effects of an Agency’s Interests in Joint Arrangements</w:t>
            </w:r>
          </w:p>
        </w:tc>
      </w:tr>
      <w:tr w:rsidR="007D2948" w:rsidRPr="00CF7E1B" w14:paraId="57904595" w14:textId="77777777" w:rsidTr="005F6493">
        <w:trPr>
          <w:gridAfter w:val="2"/>
          <w:wAfter w:w="9468" w:type="dxa"/>
          <w:trHeight w:val="2143"/>
        </w:trPr>
        <w:tc>
          <w:tcPr>
            <w:tcW w:w="1562" w:type="dxa"/>
            <w:tcBorders>
              <w:left w:val="single" w:sz="2" w:space="0" w:color="auto"/>
              <w:right w:val="single" w:sz="2" w:space="0" w:color="auto"/>
            </w:tcBorders>
          </w:tcPr>
          <w:p w14:paraId="13AC337B" w14:textId="77777777"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 xml:space="preserve">AASB 12.21(a) </w:t>
            </w:r>
          </w:p>
          <w:p w14:paraId="19A9D024" w14:textId="77777777" w:rsidR="007D2948" w:rsidRPr="004E5074" w:rsidRDefault="007D2948" w:rsidP="007D2948">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7B6BA105" w14:textId="018BEC2C" w:rsidR="007D2948" w:rsidRPr="007D2948" w:rsidRDefault="007D2948" w:rsidP="007D2948">
            <w:pPr>
              <w:autoSpaceDE w:val="0"/>
              <w:autoSpaceDN w:val="0"/>
              <w:adjustRightInd w:val="0"/>
              <w:jc w:val="both"/>
              <w:rPr>
                <w:rFonts w:cs="Calibri"/>
                <w:color w:val="FFFFFF" w:themeColor="background1"/>
                <w:sz w:val="18"/>
                <w:szCs w:val="18"/>
              </w:rPr>
            </w:pPr>
            <w:r w:rsidRPr="007D2948">
              <w:rPr>
                <w:rFonts w:cs="Calibri"/>
                <w:color w:val="FFFFFF" w:themeColor="background1"/>
                <w:sz w:val="18"/>
                <w:szCs w:val="18"/>
              </w:rPr>
              <w:t xml:space="preserve">Where a joint arrangement is material to an agency </w:t>
            </w:r>
            <w:r w:rsidR="00C61909">
              <w:rPr>
                <w:rFonts w:cs="Calibri"/>
                <w:color w:val="FFFFFF" w:themeColor="background1"/>
                <w:sz w:val="18"/>
                <w:szCs w:val="18"/>
              </w:rPr>
              <w:t>the</w:t>
            </w:r>
            <w:r w:rsidRPr="007D2948">
              <w:rPr>
                <w:rFonts w:cs="Calibri"/>
                <w:color w:val="FFFFFF" w:themeColor="background1"/>
                <w:sz w:val="18"/>
                <w:szCs w:val="18"/>
              </w:rPr>
              <w:t xml:space="preserve"> agency shall disclose:</w:t>
            </w:r>
          </w:p>
          <w:p w14:paraId="6B0D4329" w14:textId="77777777"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name of the joint arrangement;</w:t>
            </w:r>
          </w:p>
          <w:p w14:paraId="76D66FF5" w14:textId="77777777"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nature of the agency’s relationship with the joint arrangement (by, for example, describing the nature of the activities of the joint arrangement and whether they are strategic to the agency’s activities;</w:t>
            </w:r>
          </w:p>
          <w:p w14:paraId="1B91F1C8" w14:textId="3E411F69" w:rsidR="007D2948" w:rsidRPr="007B76DA"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principal place of business and country of incorporation, if applicable and different from the principal place of business of the joint arrangement; </w:t>
            </w:r>
            <w:r w:rsidRPr="007B76DA">
              <w:rPr>
                <w:rFonts w:cs="Calibri"/>
                <w:strike/>
                <w:color w:val="FF0000"/>
                <w:sz w:val="18"/>
                <w:szCs w:val="18"/>
              </w:rPr>
              <w:t>and</w:t>
            </w:r>
            <w:r w:rsidRPr="007B76DA">
              <w:rPr>
                <w:rFonts w:cs="Calibri"/>
                <w:color w:val="FFFFFF" w:themeColor="background1"/>
                <w:sz w:val="18"/>
                <w:szCs w:val="18"/>
              </w:rPr>
              <w:t xml:space="preserve"> </w:t>
            </w:r>
          </w:p>
          <w:p w14:paraId="48F54F29" w14:textId="58C3EB14"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proportion of ownership interest or participating share held by the entity and, if different the proportion of voting rights held</w:t>
            </w:r>
            <w:r w:rsidR="00C61909">
              <w:rPr>
                <w:rFonts w:cs="Calibri"/>
                <w:color w:val="FFFFFF" w:themeColor="background1"/>
                <w:sz w:val="18"/>
                <w:szCs w:val="18"/>
              </w:rPr>
              <w:t>,</w:t>
            </w:r>
            <w:r w:rsidRPr="007D2948">
              <w:rPr>
                <w:rFonts w:cs="Calibri"/>
                <w:color w:val="FFFFFF" w:themeColor="background1"/>
                <w:sz w:val="18"/>
                <w:szCs w:val="18"/>
              </w:rPr>
              <w:t xml:space="preserve"> if applicable;</w:t>
            </w:r>
          </w:p>
          <w:p w14:paraId="22A2B897" w14:textId="24E56A7E" w:rsidR="007D2948" w:rsidRPr="00B330CA" w:rsidRDefault="007D2948" w:rsidP="00B330CA">
            <w:pPr>
              <w:pStyle w:val="Commentary-Bullet"/>
              <w:tabs>
                <w:tab w:val="clear" w:pos="502"/>
              </w:tabs>
              <w:spacing w:after="40"/>
              <w:ind w:left="604" w:hanging="454"/>
              <w:rPr>
                <w:rFonts w:cs="Calibri"/>
                <w:color w:val="FFFFFF" w:themeColor="background1"/>
                <w:sz w:val="18"/>
                <w:szCs w:val="18"/>
              </w:rPr>
            </w:pPr>
            <w:r w:rsidRPr="00B330CA">
              <w:rPr>
                <w:rFonts w:cs="Calibri"/>
                <w:color w:val="FFFFFF" w:themeColor="background1"/>
                <w:sz w:val="18"/>
                <w:szCs w:val="18"/>
              </w:rPr>
              <w:t xml:space="preserve">whether the investment in the joint venture is measured using the equity method or at fair </w:t>
            </w:r>
            <w:r w:rsidRPr="007B76DA">
              <w:rPr>
                <w:rFonts w:cs="Calibri"/>
                <w:color w:val="FFFFFF" w:themeColor="background1"/>
                <w:sz w:val="18"/>
                <w:szCs w:val="18"/>
              </w:rPr>
              <w:t>value</w:t>
            </w:r>
            <w:r w:rsidR="00532C2F" w:rsidRPr="007B76DA">
              <w:rPr>
                <w:rFonts w:cs="Calibri"/>
                <w:color w:val="FF0000"/>
                <w:sz w:val="18"/>
                <w:szCs w:val="18"/>
              </w:rPr>
              <w:t>; and</w:t>
            </w:r>
            <w:r w:rsidRPr="007B76DA">
              <w:rPr>
                <w:rFonts w:cs="Calibri"/>
                <w:strike/>
                <w:color w:val="FF0000"/>
                <w:sz w:val="18"/>
                <w:szCs w:val="18"/>
              </w:rPr>
              <w:t>.</w:t>
            </w:r>
            <w:r w:rsidR="00FA7C77" w:rsidRPr="00532C2F">
              <w:rPr>
                <w:rFonts w:cs="Calibri"/>
                <w:strike/>
                <w:color w:val="FF0000"/>
                <w:sz w:val="18"/>
                <w:szCs w:val="18"/>
              </w:rPr>
              <w:t xml:space="preserve"> </w:t>
            </w:r>
            <w:r w:rsidRPr="00B330CA">
              <w:rPr>
                <w:rFonts w:cs="Calibri"/>
                <w:color w:val="FFFFFF" w:themeColor="background1"/>
                <w:sz w:val="18"/>
                <w:szCs w:val="18"/>
              </w:rPr>
              <w:t xml:space="preserve"> </w:t>
            </w:r>
          </w:p>
        </w:tc>
      </w:tr>
      <w:tr w:rsidR="007D2948" w:rsidRPr="00CF7E1B" w14:paraId="17B4C8A9" w14:textId="77777777" w:rsidTr="005F6493">
        <w:trPr>
          <w:gridAfter w:val="2"/>
          <w:wAfter w:w="9468" w:type="dxa"/>
          <w:trHeight w:val="283"/>
        </w:trPr>
        <w:tc>
          <w:tcPr>
            <w:tcW w:w="1562" w:type="dxa"/>
            <w:tcBorders>
              <w:left w:val="single" w:sz="2" w:space="0" w:color="auto"/>
              <w:right w:val="single" w:sz="2" w:space="0" w:color="auto"/>
            </w:tcBorders>
          </w:tcPr>
          <w:p w14:paraId="3B5CC685" w14:textId="77777777" w:rsidR="007D2948" w:rsidRPr="004E5074" w:rsidRDefault="007D2948" w:rsidP="007D2948">
            <w:pPr>
              <w:pStyle w:val="TableReference"/>
              <w:tabs>
                <w:tab w:val="left" w:pos="3306"/>
              </w:tabs>
              <w:spacing w:before="60"/>
              <w:rPr>
                <w:rFonts w:cs="Calibri"/>
                <w:color w:val="7030A0"/>
                <w:sz w:val="14"/>
              </w:rPr>
            </w:pPr>
          </w:p>
          <w:p w14:paraId="2843879C" w14:textId="77777777" w:rsidR="007D2948" w:rsidRPr="004E5074" w:rsidRDefault="007D2948" w:rsidP="007D2948">
            <w:pPr>
              <w:pStyle w:val="TableReference"/>
              <w:tabs>
                <w:tab w:val="left" w:pos="3306"/>
              </w:tabs>
              <w:spacing w:before="60"/>
              <w:rPr>
                <w:rFonts w:cs="Calibri"/>
                <w:color w:val="7030A0"/>
                <w:sz w:val="14"/>
              </w:rPr>
            </w:pPr>
          </w:p>
          <w:p w14:paraId="05C6E499" w14:textId="77777777" w:rsidR="007D2948" w:rsidRPr="004E5074" w:rsidRDefault="007D2948" w:rsidP="007D2948">
            <w:pPr>
              <w:pStyle w:val="TableReference"/>
              <w:tabs>
                <w:tab w:val="left" w:pos="3306"/>
              </w:tabs>
              <w:spacing w:before="60"/>
              <w:rPr>
                <w:rFonts w:cs="Calibri"/>
                <w:color w:val="7030A0"/>
                <w:sz w:val="14"/>
              </w:rPr>
            </w:pPr>
          </w:p>
          <w:p w14:paraId="3B7D9C78" w14:textId="77777777" w:rsidR="007D2948" w:rsidRPr="004E5074" w:rsidRDefault="007D2948" w:rsidP="007D2948">
            <w:pPr>
              <w:pStyle w:val="TableReference"/>
              <w:tabs>
                <w:tab w:val="left" w:pos="3306"/>
              </w:tabs>
              <w:spacing w:before="60"/>
              <w:rPr>
                <w:rFonts w:cs="Calibri"/>
                <w:color w:val="7030A0"/>
                <w:sz w:val="14"/>
              </w:rPr>
            </w:pPr>
          </w:p>
          <w:p w14:paraId="5C532CAC" w14:textId="77777777" w:rsidR="007D2948" w:rsidRPr="004E5074" w:rsidRDefault="007D2948" w:rsidP="007D2948">
            <w:pPr>
              <w:pStyle w:val="TableReference"/>
              <w:tabs>
                <w:tab w:val="left" w:pos="3306"/>
              </w:tabs>
              <w:spacing w:before="60"/>
              <w:rPr>
                <w:rFonts w:cs="Calibri"/>
                <w:color w:val="7030A0"/>
                <w:sz w:val="14"/>
              </w:rPr>
            </w:pPr>
          </w:p>
          <w:p w14:paraId="6C886F60" w14:textId="77777777" w:rsidR="007D2948" w:rsidRPr="004E5074" w:rsidRDefault="007D2948" w:rsidP="007D2948">
            <w:pPr>
              <w:pStyle w:val="TableReference"/>
              <w:tabs>
                <w:tab w:val="left" w:pos="3306"/>
              </w:tabs>
              <w:spacing w:before="60"/>
              <w:rPr>
                <w:rFonts w:cs="Calibri"/>
                <w:color w:val="7030A0"/>
                <w:sz w:val="14"/>
              </w:rPr>
            </w:pPr>
          </w:p>
          <w:p w14:paraId="42A51E9B" w14:textId="77777777" w:rsidR="007D2948" w:rsidRPr="004E5074" w:rsidRDefault="007D2948" w:rsidP="007D2948">
            <w:pPr>
              <w:pStyle w:val="TableReference"/>
              <w:tabs>
                <w:tab w:val="left" w:pos="3306"/>
              </w:tabs>
              <w:spacing w:before="60"/>
              <w:rPr>
                <w:rFonts w:cs="Calibri"/>
                <w:color w:val="7030A0"/>
                <w:sz w:val="14"/>
              </w:rPr>
            </w:pPr>
          </w:p>
          <w:p w14:paraId="2AB0B69C" w14:textId="5393EEAF" w:rsidR="007D2948" w:rsidRPr="004E5074" w:rsidRDefault="007D2948" w:rsidP="007D2948">
            <w:pPr>
              <w:pStyle w:val="TableReference"/>
              <w:tabs>
                <w:tab w:val="left" w:pos="3306"/>
              </w:tabs>
              <w:spacing w:before="120"/>
              <w:rPr>
                <w:rFonts w:cs="Calibri"/>
                <w:color w:val="7030A0"/>
                <w:sz w:val="14"/>
              </w:rPr>
            </w:pPr>
            <w:r w:rsidRPr="004E5074">
              <w:rPr>
                <w:rFonts w:cs="Calibri"/>
                <w:color w:val="7030A0"/>
                <w:sz w:val="14"/>
              </w:rPr>
              <w:t>AASB 12.21(b) B12, B13</w:t>
            </w:r>
          </w:p>
          <w:p w14:paraId="7A63AE0A" w14:textId="585A4780" w:rsidR="007D2948" w:rsidRPr="004E5074" w:rsidRDefault="007D2948" w:rsidP="007D2948">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3CEF9EA7" w14:textId="77777777" w:rsidR="00190479" w:rsidRDefault="007D2948"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summarised financial </w:t>
            </w:r>
            <w:r w:rsidRPr="00190479">
              <w:rPr>
                <w:rFonts w:cs="Calibri"/>
                <w:color w:val="FFFFFF" w:themeColor="background1"/>
                <w:sz w:val="18"/>
                <w:szCs w:val="18"/>
              </w:rPr>
              <w:t>information about the joint venture, including but not limited to:</w:t>
            </w:r>
          </w:p>
          <w:p w14:paraId="7F2F17CB" w14:textId="6AFF747F" w:rsidR="007D2948" w:rsidRDefault="00190479" w:rsidP="00CB31DE">
            <w:pPr>
              <w:numPr>
                <w:ilvl w:val="1"/>
                <w:numId w:val="31"/>
              </w:numPr>
              <w:autoSpaceDE w:val="0"/>
              <w:autoSpaceDN w:val="0"/>
              <w:adjustRightInd w:val="0"/>
              <w:spacing w:after="40"/>
              <w:ind w:left="1019"/>
              <w:jc w:val="both"/>
              <w:rPr>
                <w:rFonts w:cs="Calibri"/>
                <w:color w:val="FFFFFF" w:themeColor="background1"/>
                <w:sz w:val="18"/>
                <w:szCs w:val="18"/>
              </w:rPr>
            </w:pPr>
            <w:r>
              <w:rPr>
                <w:rFonts w:cs="Calibri"/>
                <w:color w:val="FFFFFF" w:themeColor="background1"/>
                <w:sz w:val="18"/>
                <w:szCs w:val="18"/>
              </w:rPr>
              <w:t>c</w:t>
            </w:r>
            <w:r w:rsidR="007D2948" w:rsidRPr="00190479">
              <w:rPr>
                <w:rFonts w:cs="Calibri"/>
                <w:color w:val="FFFFFF" w:themeColor="background1"/>
                <w:sz w:val="18"/>
                <w:szCs w:val="18"/>
              </w:rPr>
              <w:t>urrent assets;</w:t>
            </w:r>
          </w:p>
          <w:p w14:paraId="4CB0C48D" w14:textId="7D806B3B"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assets;</w:t>
            </w:r>
          </w:p>
          <w:p w14:paraId="34712E2A" w14:textId="15AA8B56"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liabilities;</w:t>
            </w:r>
          </w:p>
          <w:p w14:paraId="7504CC09" w14:textId="4F5D7C60"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liabilities;</w:t>
            </w:r>
          </w:p>
          <w:p w14:paraId="541459BF" w14:textId="5F035092"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revenue;</w:t>
            </w:r>
          </w:p>
          <w:p w14:paraId="2BC3E48E" w14:textId="1452E9AA"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p>
          <w:p w14:paraId="6930548D" w14:textId="32509EAB" w:rsidR="007D2948" w:rsidRPr="00190479"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color w:val="FFFFFF" w:themeColor="background1"/>
                <w:sz w:val="18"/>
                <w:szCs w:val="18"/>
              </w:rPr>
              <w:t>post-tax profit or loss from discontinued operations;</w:t>
            </w:r>
          </w:p>
          <w:p w14:paraId="1523F235" w14:textId="5ABEC9F9" w:rsidR="007D2948"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other comprehensive income; </w:t>
            </w:r>
          </w:p>
          <w:p w14:paraId="46B48DE8" w14:textId="00C99C42" w:rsidR="007D2948" w:rsidRPr="00190479" w:rsidRDefault="007D2948"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total comprehensive income</w:t>
            </w:r>
            <w:r w:rsidR="00B330CA">
              <w:rPr>
                <w:rFonts w:cs="Calibri"/>
                <w:color w:val="FFFFFF" w:themeColor="background1"/>
                <w:sz w:val="18"/>
                <w:szCs w:val="18"/>
              </w:rPr>
              <w:t>;</w:t>
            </w:r>
          </w:p>
        </w:tc>
      </w:tr>
      <w:tr w:rsidR="001950C9" w:rsidRPr="00CF7E1B" w14:paraId="33AD2F63" w14:textId="77777777" w:rsidTr="005F6493">
        <w:trPr>
          <w:gridAfter w:val="2"/>
          <w:wAfter w:w="9468" w:type="dxa"/>
          <w:trHeight w:val="283"/>
        </w:trPr>
        <w:tc>
          <w:tcPr>
            <w:tcW w:w="1562" w:type="dxa"/>
            <w:tcBorders>
              <w:left w:val="single" w:sz="2" w:space="0" w:color="auto"/>
              <w:right w:val="single" w:sz="2" w:space="0" w:color="auto"/>
            </w:tcBorders>
          </w:tcPr>
          <w:p w14:paraId="0DAEEE04" w14:textId="77777777" w:rsidR="001950C9" w:rsidRPr="004E5074" w:rsidRDefault="001950C9" w:rsidP="006F4A63">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406F4D74" w14:textId="502237D7" w:rsidR="001950C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cash and cash equivalents;</w:t>
            </w:r>
          </w:p>
          <w:p w14:paraId="08FB3967" w14:textId="08DF056B" w:rsidR="001950C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financial liabilities (excluding trade and other payables and provisions);</w:t>
            </w:r>
          </w:p>
          <w:p w14:paraId="6EF4CDF4" w14:textId="0793A5A2" w:rsidR="006F4A63" w:rsidRDefault="006F4A63"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financial liabilities (excluding trade and other payables and provisions)</w:t>
            </w:r>
            <w:r w:rsidR="000969A3" w:rsidRPr="00190479">
              <w:rPr>
                <w:rFonts w:cs="Calibri"/>
                <w:color w:val="FFFFFF" w:themeColor="background1"/>
                <w:sz w:val="18"/>
                <w:szCs w:val="18"/>
              </w:rPr>
              <w:t>;</w:t>
            </w:r>
          </w:p>
          <w:p w14:paraId="28D5EB3A" w14:textId="74C76E6D" w:rsidR="001950C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depreciation and amortisation;</w:t>
            </w:r>
          </w:p>
          <w:p w14:paraId="31ADDC80" w14:textId="72E350F5" w:rsidR="001950C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income;</w:t>
            </w:r>
            <w:r w:rsidR="00FA7C77">
              <w:rPr>
                <w:rFonts w:cs="Calibri"/>
                <w:color w:val="FFFFFF" w:themeColor="background1"/>
                <w:sz w:val="18"/>
                <w:szCs w:val="18"/>
              </w:rPr>
              <w:t xml:space="preserve"> </w:t>
            </w:r>
          </w:p>
          <w:p w14:paraId="49771C4E" w14:textId="5723A331" w:rsidR="001950C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expense</w:t>
            </w:r>
            <w:r w:rsidR="006F4A63" w:rsidRPr="00190479">
              <w:rPr>
                <w:rFonts w:cs="Calibri"/>
                <w:color w:val="FFFFFF" w:themeColor="background1"/>
                <w:sz w:val="18"/>
                <w:szCs w:val="18"/>
              </w:rPr>
              <w:t>; and</w:t>
            </w:r>
          </w:p>
          <w:p w14:paraId="75F0D876" w14:textId="36466FFD" w:rsidR="006F4A63" w:rsidRPr="00190479" w:rsidRDefault="006F4A63"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income tax expense or income.</w:t>
            </w:r>
          </w:p>
        </w:tc>
      </w:tr>
      <w:tr w:rsidR="001950C9" w:rsidRPr="00CF7E1B" w14:paraId="64C026DE" w14:textId="77777777" w:rsidTr="005F6493">
        <w:trPr>
          <w:gridAfter w:val="2"/>
          <w:wAfter w:w="9468" w:type="dxa"/>
          <w:trHeight w:val="283"/>
        </w:trPr>
        <w:tc>
          <w:tcPr>
            <w:tcW w:w="1562" w:type="dxa"/>
            <w:tcBorders>
              <w:left w:val="single" w:sz="2" w:space="0" w:color="auto"/>
              <w:right w:val="single" w:sz="2" w:space="0" w:color="auto"/>
            </w:tcBorders>
          </w:tcPr>
          <w:p w14:paraId="15FFC102" w14:textId="77777777"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AASB12.21(c), B16</w:t>
            </w:r>
          </w:p>
        </w:tc>
        <w:tc>
          <w:tcPr>
            <w:tcW w:w="8932" w:type="dxa"/>
            <w:gridSpan w:val="16"/>
            <w:tcBorders>
              <w:left w:val="single" w:sz="2" w:space="0" w:color="auto"/>
            </w:tcBorders>
            <w:shd w:val="clear" w:color="auto" w:fill="7030A0"/>
          </w:tcPr>
          <w:p w14:paraId="0F9C2D9D" w14:textId="1F750CC0" w:rsidR="001950C9" w:rsidRPr="004E5074" w:rsidRDefault="001950C9" w:rsidP="00FF1470">
            <w:pPr>
              <w:autoSpaceDE w:val="0"/>
              <w:autoSpaceDN w:val="0"/>
              <w:adjustRightInd w:val="0"/>
              <w:jc w:val="both"/>
              <w:rPr>
                <w:rFonts w:cs="Calibri"/>
                <w:color w:val="FFFFFF" w:themeColor="background1"/>
                <w:sz w:val="18"/>
                <w:szCs w:val="18"/>
              </w:rPr>
            </w:pPr>
            <w:r w:rsidRPr="004E5074">
              <w:rPr>
                <w:rFonts w:cs="Calibri"/>
                <w:color w:val="FFFFFF" w:themeColor="background1"/>
                <w:sz w:val="18"/>
                <w:szCs w:val="18"/>
              </w:rPr>
              <w:t>Where a joint venture(s) is(are) immaterial to an agency</w:t>
            </w:r>
            <w:r w:rsidR="006F4A63" w:rsidRPr="004E5074">
              <w:rPr>
                <w:rFonts w:cs="Calibri"/>
                <w:color w:val="FFFFFF" w:themeColor="background1"/>
                <w:sz w:val="18"/>
                <w:szCs w:val="18"/>
              </w:rPr>
              <w:t>:</w:t>
            </w:r>
          </w:p>
          <w:p w14:paraId="758EA93D"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disclose, in aggregate, the carrying amount of its interests in all individually immaterial joint ventures that are accounted for using the equity method; and</w:t>
            </w:r>
          </w:p>
          <w:p w14:paraId="57FD91D1" w14:textId="77777777" w:rsidR="00190479"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also disclose separately the aggregate amount of its share of those joint ventures’:</w:t>
            </w:r>
          </w:p>
          <w:p w14:paraId="6F2F0A05" w14:textId="43E8E09C" w:rsidR="001950C9" w:rsidRPr="00190479"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r w:rsidR="00580C81" w:rsidRPr="00190479">
              <w:rPr>
                <w:rFonts w:cs="Calibri"/>
                <w:color w:val="FFFFFF" w:themeColor="background1"/>
                <w:sz w:val="18"/>
                <w:szCs w:val="18"/>
              </w:rPr>
              <w:t>;</w:t>
            </w:r>
          </w:p>
          <w:p w14:paraId="7AA05008" w14:textId="77777777" w:rsidR="001950C9" w:rsidRPr="004E5074"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profit or loss from discontinued operations</w:t>
            </w:r>
            <w:r w:rsidR="00580C81" w:rsidRPr="004E5074">
              <w:rPr>
                <w:rFonts w:cs="Calibri"/>
                <w:color w:val="FFFFFF" w:themeColor="background1"/>
                <w:sz w:val="18"/>
                <w:szCs w:val="18"/>
              </w:rPr>
              <w:t>;</w:t>
            </w:r>
          </w:p>
          <w:p w14:paraId="732B4A99" w14:textId="77777777" w:rsidR="001950C9" w:rsidRPr="004E5074" w:rsidRDefault="001950C9" w:rsidP="00CB31DE">
            <w:pPr>
              <w:numPr>
                <w:ilvl w:val="1"/>
                <w:numId w:val="31"/>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other comprehensive income</w:t>
            </w:r>
            <w:r w:rsidR="00580C81" w:rsidRPr="004E5074">
              <w:rPr>
                <w:rFonts w:cs="Calibri"/>
                <w:color w:val="FFFFFF" w:themeColor="background1"/>
                <w:sz w:val="18"/>
                <w:szCs w:val="18"/>
              </w:rPr>
              <w:t>; and</w:t>
            </w:r>
          </w:p>
          <w:p w14:paraId="5ED9CDFC" w14:textId="1485CCD6" w:rsidR="001950C9" w:rsidRPr="004E5074" w:rsidRDefault="00580C81" w:rsidP="00CB31DE">
            <w:pPr>
              <w:numPr>
                <w:ilvl w:val="1"/>
                <w:numId w:val="31"/>
              </w:numPr>
              <w:autoSpaceDE w:val="0"/>
              <w:autoSpaceDN w:val="0"/>
              <w:adjustRightInd w:val="0"/>
              <w:spacing w:after="40"/>
              <w:ind w:left="1019"/>
              <w:jc w:val="both"/>
              <w:rPr>
                <w:rFonts w:cs="Calibri"/>
                <w:b/>
                <w:color w:val="FFFFFF" w:themeColor="background1"/>
                <w:sz w:val="18"/>
                <w:szCs w:val="18"/>
              </w:rPr>
            </w:pPr>
            <w:r w:rsidRPr="004E5074">
              <w:rPr>
                <w:rFonts w:cs="Calibri"/>
                <w:color w:val="FFFFFF" w:themeColor="background1"/>
                <w:sz w:val="18"/>
                <w:szCs w:val="18"/>
              </w:rPr>
              <w:t>t</w:t>
            </w:r>
            <w:r w:rsidR="001950C9" w:rsidRPr="004E5074">
              <w:rPr>
                <w:rFonts w:cs="Calibri"/>
                <w:color w:val="FFFFFF" w:themeColor="background1"/>
                <w:sz w:val="18"/>
                <w:szCs w:val="18"/>
              </w:rPr>
              <w:t>otal comprehensive income.</w:t>
            </w:r>
          </w:p>
        </w:tc>
      </w:tr>
      <w:tr w:rsidR="005F6493" w:rsidRPr="00CF7E1B" w14:paraId="26C180B9" w14:textId="77777777" w:rsidTr="005F6493">
        <w:trPr>
          <w:gridAfter w:val="2"/>
          <w:wAfter w:w="9468" w:type="dxa"/>
          <w:trHeight w:val="283"/>
        </w:trPr>
        <w:tc>
          <w:tcPr>
            <w:tcW w:w="1562" w:type="dxa"/>
            <w:tcBorders>
              <w:left w:val="single" w:sz="2" w:space="0" w:color="auto"/>
              <w:right w:val="single" w:sz="2" w:space="0" w:color="auto"/>
            </w:tcBorders>
          </w:tcPr>
          <w:p w14:paraId="1C1D05E3" w14:textId="77777777" w:rsidR="005F6493" w:rsidRPr="004E5074" w:rsidRDefault="005F6493" w:rsidP="005F6493">
            <w:pPr>
              <w:pStyle w:val="TableReference"/>
              <w:tabs>
                <w:tab w:val="left" w:pos="3306"/>
              </w:tabs>
              <w:rPr>
                <w:rFonts w:cs="Calibri"/>
                <w:color w:val="7030A0"/>
                <w:sz w:val="14"/>
              </w:rPr>
            </w:pPr>
          </w:p>
        </w:tc>
        <w:tc>
          <w:tcPr>
            <w:tcW w:w="8932" w:type="dxa"/>
            <w:gridSpan w:val="16"/>
            <w:tcBorders>
              <w:left w:val="single" w:sz="2" w:space="0" w:color="auto"/>
            </w:tcBorders>
            <w:shd w:val="clear" w:color="auto" w:fill="7030A0"/>
          </w:tcPr>
          <w:p w14:paraId="207795FB" w14:textId="77777777" w:rsidR="005F6493" w:rsidRPr="005F6493" w:rsidRDefault="005F6493" w:rsidP="005F6493">
            <w:pPr>
              <w:autoSpaceDE w:val="0"/>
              <w:autoSpaceDN w:val="0"/>
              <w:adjustRightInd w:val="0"/>
              <w:jc w:val="both"/>
              <w:rPr>
                <w:rFonts w:cs="Calibri"/>
                <w:b/>
                <w:bCs/>
                <w:color w:val="FFFFFF" w:themeColor="background1"/>
                <w:sz w:val="28"/>
                <w:szCs w:val="28"/>
              </w:rPr>
            </w:pPr>
          </w:p>
        </w:tc>
      </w:tr>
      <w:tr w:rsidR="005F6493" w:rsidRPr="00CF7E1B" w14:paraId="39DE649A" w14:textId="77777777" w:rsidTr="005F6493">
        <w:trPr>
          <w:gridAfter w:val="2"/>
          <w:wAfter w:w="9468" w:type="dxa"/>
          <w:trHeight w:val="283"/>
        </w:trPr>
        <w:tc>
          <w:tcPr>
            <w:tcW w:w="1562" w:type="dxa"/>
            <w:tcBorders>
              <w:left w:val="single" w:sz="2" w:space="0" w:color="auto"/>
              <w:right w:val="single" w:sz="2" w:space="0" w:color="auto"/>
            </w:tcBorders>
          </w:tcPr>
          <w:p w14:paraId="493F5909" w14:textId="16082AAB" w:rsidR="005F6493" w:rsidRPr="004E5074" w:rsidRDefault="005F6493" w:rsidP="005F6493">
            <w:pPr>
              <w:pStyle w:val="TableReference"/>
              <w:tabs>
                <w:tab w:val="left" w:pos="3306"/>
              </w:tabs>
              <w:spacing w:before="240" w:after="240"/>
              <w:rPr>
                <w:rFonts w:cs="Calibri"/>
                <w:color w:val="7030A0"/>
                <w:sz w:val="14"/>
              </w:rPr>
            </w:pPr>
            <w:r w:rsidRPr="004E5074">
              <w:rPr>
                <w:rFonts w:cs="Calibri"/>
                <w:color w:val="7030A0"/>
                <w:sz w:val="14"/>
              </w:rPr>
              <w:t xml:space="preserve"> </w:t>
            </w:r>
            <w:r w:rsidRPr="00F33E86">
              <w:rPr>
                <w:rFonts w:cs="Calibri"/>
                <w:b/>
                <w:color w:val="7030A0"/>
                <w:sz w:val="22"/>
                <w:szCs w:val="22"/>
              </w:rPr>
              <w:t>Reference</w:t>
            </w:r>
          </w:p>
        </w:tc>
        <w:tc>
          <w:tcPr>
            <w:tcW w:w="8932" w:type="dxa"/>
            <w:gridSpan w:val="16"/>
            <w:tcBorders>
              <w:left w:val="single" w:sz="2" w:space="0" w:color="auto"/>
            </w:tcBorders>
            <w:shd w:val="clear" w:color="auto" w:fill="7030A0"/>
          </w:tcPr>
          <w:p w14:paraId="1E478C4F" w14:textId="52599D3D" w:rsidR="005F6493" w:rsidRPr="00B330CA" w:rsidRDefault="005F6493" w:rsidP="005F6493">
            <w:pPr>
              <w:autoSpaceDE w:val="0"/>
              <w:autoSpaceDN w:val="0"/>
              <w:adjustRightInd w:val="0"/>
              <w:spacing w:before="240" w:after="240"/>
              <w:jc w:val="both"/>
              <w:rPr>
                <w:rFonts w:cs="Calibri"/>
                <w:b/>
                <w:color w:val="FFFFFF" w:themeColor="background1"/>
                <w:sz w:val="20"/>
                <w:szCs w:val="20"/>
              </w:rPr>
            </w:pPr>
            <w:r w:rsidRPr="005F6493">
              <w:rPr>
                <w:rFonts w:cs="Calibri"/>
                <w:b/>
                <w:bCs/>
                <w:color w:val="FFFFFF" w:themeColor="background1"/>
                <w:sz w:val="28"/>
                <w:szCs w:val="28"/>
              </w:rPr>
              <w:t xml:space="preserve">Commentary </w:t>
            </w:r>
            <w:r w:rsidRPr="005F6493">
              <w:rPr>
                <w:rFonts w:cs="Calibri"/>
                <w:b/>
                <w:bCs/>
                <w:color w:val="FFFFFF" w:themeColor="background1"/>
                <w:sz w:val="28"/>
                <w:szCs w:val="28"/>
              </w:rPr>
              <w:sym w:font="Symbol" w:char="F02D"/>
            </w:r>
            <w:r w:rsidRPr="005F6493">
              <w:rPr>
                <w:rFonts w:cs="Calibri"/>
                <w:b/>
                <w:bCs/>
                <w:color w:val="FFFFFF" w:themeColor="background1"/>
                <w:sz w:val="28"/>
                <w:szCs w:val="28"/>
              </w:rPr>
              <w:t xml:space="preserve"> Note 34: Interest in a Joint Venture – Continued</w:t>
            </w:r>
            <w:r>
              <w:rPr>
                <w:rFonts w:cs="Calibri"/>
                <w:color w:val="FFFFFF" w:themeColor="background1"/>
                <w:sz w:val="28"/>
                <w:szCs w:val="28"/>
              </w:rPr>
              <w:t xml:space="preserve"> </w:t>
            </w:r>
          </w:p>
        </w:tc>
      </w:tr>
      <w:tr w:rsidR="005F6493" w:rsidRPr="00CF7E1B" w14:paraId="4C98F024" w14:textId="77777777" w:rsidTr="005F6493">
        <w:trPr>
          <w:gridAfter w:val="2"/>
          <w:wAfter w:w="9468" w:type="dxa"/>
          <w:trHeight w:val="283"/>
        </w:trPr>
        <w:tc>
          <w:tcPr>
            <w:tcW w:w="1562" w:type="dxa"/>
            <w:tcBorders>
              <w:left w:val="single" w:sz="2" w:space="0" w:color="auto"/>
              <w:right w:val="single" w:sz="2" w:space="0" w:color="auto"/>
            </w:tcBorders>
          </w:tcPr>
          <w:p w14:paraId="3AA00930" w14:textId="77777777" w:rsidR="005F6493" w:rsidRPr="004E5074" w:rsidRDefault="005F6493" w:rsidP="005F6493">
            <w:pPr>
              <w:pStyle w:val="TableReference"/>
              <w:tabs>
                <w:tab w:val="left" w:pos="3306"/>
              </w:tabs>
              <w:spacing w:before="60"/>
              <w:rPr>
                <w:rFonts w:cs="Calibri"/>
                <w:color w:val="7030A0"/>
                <w:sz w:val="14"/>
              </w:rPr>
            </w:pPr>
          </w:p>
        </w:tc>
        <w:tc>
          <w:tcPr>
            <w:tcW w:w="8932" w:type="dxa"/>
            <w:gridSpan w:val="16"/>
            <w:tcBorders>
              <w:left w:val="single" w:sz="2" w:space="0" w:color="auto"/>
            </w:tcBorders>
            <w:shd w:val="clear" w:color="auto" w:fill="7030A0"/>
          </w:tcPr>
          <w:p w14:paraId="288D378D" w14:textId="77777777" w:rsidR="005F6493" w:rsidRPr="00B330CA" w:rsidRDefault="005F6493" w:rsidP="005F6493">
            <w:pPr>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Significant Restrictions on the Ability of Joint Ventures to Transfer Funds to the Agency</w:t>
            </w:r>
          </w:p>
        </w:tc>
      </w:tr>
      <w:tr w:rsidR="005F6493" w:rsidRPr="00CF7E1B" w14:paraId="6009C9E4" w14:textId="77777777" w:rsidTr="005F6493">
        <w:trPr>
          <w:gridAfter w:val="2"/>
          <w:wAfter w:w="9468" w:type="dxa"/>
          <w:trHeight w:val="283"/>
        </w:trPr>
        <w:tc>
          <w:tcPr>
            <w:tcW w:w="1562" w:type="dxa"/>
            <w:tcBorders>
              <w:left w:val="single" w:sz="2" w:space="0" w:color="auto"/>
              <w:right w:val="single" w:sz="2" w:space="0" w:color="auto"/>
            </w:tcBorders>
          </w:tcPr>
          <w:p w14:paraId="22417FB4" w14:textId="77777777" w:rsidR="005F6493" w:rsidRPr="004E5074" w:rsidRDefault="005F6493" w:rsidP="005F6493">
            <w:pPr>
              <w:pStyle w:val="TableReference"/>
              <w:tabs>
                <w:tab w:val="left" w:pos="3306"/>
              </w:tabs>
              <w:spacing w:before="60"/>
              <w:rPr>
                <w:rFonts w:cs="Calibri"/>
                <w:color w:val="7030A0"/>
                <w:sz w:val="14"/>
              </w:rPr>
            </w:pPr>
            <w:r w:rsidRPr="004E5074">
              <w:rPr>
                <w:rFonts w:cs="Calibri"/>
                <w:color w:val="7030A0"/>
                <w:sz w:val="14"/>
              </w:rPr>
              <w:t>AASB 12.22(a)</w:t>
            </w:r>
          </w:p>
        </w:tc>
        <w:tc>
          <w:tcPr>
            <w:tcW w:w="8932" w:type="dxa"/>
            <w:gridSpan w:val="16"/>
            <w:tcBorders>
              <w:left w:val="single" w:sz="2" w:space="0" w:color="auto"/>
            </w:tcBorders>
            <w:shd w:val="clear" w:color="auto" w:fill="7030A0"/>
          </w:tcPr>
          <w:p w14:paraId="45CCE213" w14:textId="77777777" w:rsidR="005F6493" w:rsidRPr="004E5074" w:rsidRDefault="005F6493" w:rsidP="005F6493">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 xml:space="preserve">An agency shall also disclose the nature and extent of any significant restrictions (e.g. resulting from borrowing arrangements, regulatory requirements or contractual arrangements between investors with joint control of or significant influence over a joint venture) on the ability of joint ventures to transfer funds to the agency in the form of cash dividends, or to repay loans or advances made by the agency. </w:t>
            </w:r>
          </w:p>
        </w:tc>
      </w:tr>
      <w:tr w:rsidR="001950C9" w:rsidRPr="00CF7E1B" w14:paraId="0998C3AF" w14:textId="77777777" w:rsidTr="005F6493">
        <w:trPr>
          <w:gridAfter w:val="2"/>
          <w:wAfter w:w="9468" w:type="dxa"/>
          <w:trHeight w:val="283"/>
        </w:trPr>
        <w:tc>
          <w:tcPr>
            <w:tcW w:w="1562" w:type="dxa"/>
            <w:tcBorders>
              <w:left w:val="single" w:sz="2" w:space="0" w:color="auto"/>
              <w:right w:val="single" w:sz="2" w:space="0" w:color="auto"/>
            </w:tcBorders>
          </w:tcPr>
          <w:p w14:paraId="72932B9B" w14:textId="33DBD87F" w:rsidR="001950C9" w:rsidRPr="00B330CA" w:rsidRDefault="001950C9" w:rsidP="00063FFB">
            <w:pPr>
              <w:pStyle w:val="TableReference"/>
              <w:tabs>
                <w:tab w:val="left" w:pos="3306"/>
              </w:tabs>
              <w:spacing w:before="60"/>
              <w:rPr>
                <w:rFonts w:cs="Calibri"/>
                <w:strike/>
                <w:color w:val="7030A0"/>
                <w:sz w:val="20"/>
                <w:szCs w:val="20"/>
              </w:rPr>
            </w:pPr>
          </w:p>
        </w:tc>
        <w:tc>
          <w:tcPr>
            <w:tcW w:w="8932" w:type="dxa"/>
            <w:gridSpan w:val="16"/>
            <w:tcBorders>
              <w:left w:val="single" w:sz="2" w:space="0" w:color="auto"/>
            </w:tcBorders>
            <w:shd w:val="clear" w:color="auto" w:fill="7030A0"/>
          </w:tcPr>
          <w:p w14:paraId="12FCDC36" w14:textId="77777777" w:rsidR="001950C9" w:rsidRPr="00B330CA" w:rsidRDefault="001950C9" w:rsidP="00C87FF4">
            <w:pPr>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 xml:space="preserve">Risks </w:t>
            </w:r>
            <w:r w:rsidR="005A6256" w:rsidRPr="00B330CA">
              <w:rPr>
                <w:rFonts w:cs="Calibri"/>
                <w:b/>
                <w:color w:val="FFFFFF" w:themeColor="background1"/>
                <w:sz w:val="20"/>
                <w:szCs w:val="20"/>
              </w:rPr>
              <w:t>A</w:t>
            </w:r>
            <w:r w:rsidRPr="00B330CA">
              <w:rPr>
                <w:rFonts w:cs="Calibri"/>
                <w:b/>
                <w:color w:val="FFFFFF" w:themeColor="background1"/>
                <w:sz w:val="20"/>
                <w:szCs w:val="20"/>
              </w:rPr>
              <w:t xml:space="preserve">ssociated with an </w:t>
            </w:r>
            <w:r w:rsidR="005A6256" w:rsidRPr="00B330CA">
              <w:rPr>
                <w:rFonts w:cs="Calibri"/>
                <w:b/>
                <w:color w:val="FFFFFF" w:themeColor="background1"/>
                <w:sz w:val="20"/>
                <w:szCs w:val="20"/>
              </w:rPr>
              <w:t>A</w:t>
            </w:r>
            <w:r w:rsidRPr="00B330CA">
              <w:rPr>
                <w:rFonts w:cs="Calibri"/>
                <w:b/>
                <w:color w:val="FFFFFF" w:themeColor="background1"/>
                <w:sz w:val="20"/>
                <w:szCs w:val="20"/>
              </w:rPr>
              <w:t xml:space="preserve">gency’s </w:t>
            </w:r>
            <w:r w:rsidR="005A6256" w:rsidRPr="00B330CA">
              <w:rPr>
                <w:rFonts w:cs="Calibri"/>
                <w:b/>
                <w:color w:val="FFFFFF" w:themeColor="background1"/>
                <w:sz w:val="20"/>
                <w:szCs w:val="20"/>
              </w:rPr>
              <w:t>I</w:t>
            </w:r>
            <w:r w:rsidRPr="00B330CA">
              <w:rPr>
                <w:rFonts w:cs="Calibri"/>
                <w:b/>
                <w:color w:val="FFFFFF" w:themeColor="background1"/>
                <w:sz w:val="20"/>
                <w:szCs w:val="20"/>
              </w:rPr>
              <w:t xml:space="preserve">nterests in </w:t>
            </w:r>
            <w:r w:rsidR="005A6256" w:rsidRPr="00B330CA">
              <w:rPr>
                <w:rFonts w:cs="Calibri"/>
                <w:b/>
                <w:color w:val="FFFFFF" w:themeColor="background1"/>
                <w:sz w:val="20"/>
                <w:szCs w:val="20"/>
              </w:rPr>
              <w:t>J</w:t>
            </w:r>
            <w:r w:rsidRPr="00B330CA">
              <w:rPr>
                <w:rFonts w:cs="Calibri"/>
                <w:b/>
                <w:color w:val="FFFFFF" w:themeColor="background1"/>
                <w:sz w:val="20"/>
                <w:szCs w:val="20"/>
              </w:rPr>
              <w:t xml:space="preserve">oint </w:t>
            </w:r>
            <w:r w:rsidR="005A6256" w:rsidRPr="00B330CA">
              <w:rPr>
                <w:rFonts w:cs="Calibri"/>
                <w:b/>
                <w:color w:val="FFFFFF" w:themeColor="background1"/>
                <w:sz w:val="20"/>
                <w:szCs w:val="20"/>
              </w:rPr>
              <w:t>V</w:t>
            </w:r>
            <w:r w:rsidRPr="00B330CA">
              <w:rPr>
                <w:rFonts w:cs="Calibri"/>
                <w:b/>
                <w:color w:val="FFFFFF" w:themeColor="background1"/>
                <w:sz w:val="20"/>
                <w:szCs w:val="20"/>
              </w:rPr>
              <w:t>entures</w:t>
            </w:r>
          </w:p>
        </w:tc>
      </w:tr>
      <w:tr w:rsidR="001950C9" w:rsidRPr="00CF7E1B" w14:paraId="359683B0" w14:textId="77777777" w:rsidTr="005F6493">
        <w:trPr>
          <w:gridAfter w:val="2"/>
          <w:wAfter w:w="9468" w:type="dxa"/>
          <w:trHeight w:val="283"/>
        </w:trPr>
        <w:tc>
          <w:tcPr>
            <w:tcW w:w="1562" w:type="dxa"/>
            <w:tcBorders>
              <w:left w:val="single" w:sz="2" w:space="0" w:color="auto"/>
              <w:right w:val="single" w:sz="2" w:space="0" w:color="auto"/>
            </w:tcBorders>
          </w:tcPr>
          <w:p w14:paraId="4497CFAA" w14:textId="6F487F02"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 12. 23(a</w:t>
            </w:r>
            <w:r w:rsidR="00C958E9" w:rsidRPr="004E5074">
              <w:rPr>
                <w:rFonts w:cs="Calibri"/>
                <w:color w:val="7030A0"/>
                <w:sz w:val="14"/>
              </w:rPr>
              <w:t>), B</w:t>
            </w:r>
            <w:r w:rsidRPr="004E5074">
              <w:rPr>
                <w:rFonts w:cs="Calibri"/>
                <w:color w:val="7030A0"/>
                <w:sz w:val="14"/>
              </w:rPr>
              <w:t>(18)</w:t>
            </w:r>
          </w:p>
          <w:p w14:paraId="0F06845A" w14:textId="77777777" w:rsidR="001950C9" w:rsidRPr="004E5074" w:rsidRDefault="001950C9" w:rsidP="00063FFB">
            <w:pPr>
              <w:pStyle w:val="TableReference"/>
              <w:tabs>
                <w:tab w:val="left" w:pos="3306"/>
              </w:tabs>
              <w:spacing w:before="60"/>
              <w:rPr>
                <w:rFonts w:cs="Calibri"/>
                <w:strike/>
                <w:color w:val="7030A0"/>
                <w:sz w:val="14"/>
              </w:rPr>
            </w:pPr>
            <w:r w:rsidRPr="004E5074">
              <w:rPr>
                <w:rFonts w:cs="Calibri"/>
                <w:color w:val="7030A0"/>
                <w:sz w:val="14"/>
              </w:rPr>
              <w:t>AASB 12 (B19)(a), (b)</w:t>
            </w:r>
          </w:p>
        </w:tc>
        <w:tc>
          <w:tcPr>
            <w:tcW w:w="8932" w:type="dxa"/>
            <w:gridSpan w:val="16"/>
            <w:tcBorders>
              <w:left w:val="single" w:sz="2" w:space="0" w:color="auto"/>
            </w:tcBorders>
            <w:shd w:val="clear" w:color="auto" w:fill="7030A0"/>
          </w:tcPr>
          <w:p w14:paraId="08103123" w14:textId="11E9A43F" w:rsidR="001950C9" w:rsidRPr="004E5074" w:rsidRDefault="001950C9" w:rsidP="006225F5">
            <w:pPr>
              <w:autoSpaceDE w:val="0"/>
              <w:autoSpaceDN w:val="0"/>
              <w:adjustRightInd w:val="0"/>
              <w:spacing w:after="40"/>
              <w:jc w:val="both"/>
              <w:rPr>
                <w:rFonts w:cs="Calibri"/>
                <w:color w:val="FFFFFF" w:themeColor="background1"/>
                <w:sz w:val="18"/>
                <w:szCs w:val="18"/>
              </w:rPr>
            </w:pPr>
            <w:r w:rsidRPr="004E5074">
              <w:rPr>
                <w:rFonts w:cs="Calibri"/>
                <w:color w:val="FFFFFF" w:themeColor="background1"/>
                <w:sz w:val="18"/>
                <w:szCs w:val="18"/>
              </w:rPr>
              <w:t>Agencies should disclose commitments relating to its joint ventures (including its share of commitments made with other investors with joint control of a joint venture) separately from the amount of other commitments.</w:t>
            </w:r>
            <w:r w:rsidR="00FA7C77">
              <w:rPr>
                <w:rFonts w:cs="Calibri"/>
                <w:color w:val="FFFFFF" w:themeColor="background1"/>
                <w:sz w:val="18"/>
                <w:szCs w:val="18"/>
              </w:rPr>
              <w:t xml:space="preserve"> </w:t>
            </w:r>
            <w:r w:rsidRPr="004E5074">
              <w:rPr>
                <w:rFonts w:cs="Calibri"/>
                <w:color w:val="FFFFFF" w:themeColor="background1"/>
                <w:sz w:val="18"/>
                <w:szCs w:val="18"/>
              </w:rPr>
              <w:t>Examples of such commitments include:</w:t>
            </w:r>
          </w:p>
          <w:p w14:paraId="7039C748"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unrecognised commitments to contribute funding or resources as a result of the constitution, capital intensive projects, unconditional purchase obligations, or unrecognised commitments to provide financial support; and</w:t>
            </w:r>
          </w:p>
          <w:p w14:paraId="739EFE81"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unrecognised commitments to acquire another party’s ownership interest (or a portion of that ownership interest) in a joint venture if a particular event occurs or does not occur in the future. </w:t>
            </w:r>
          </w:p>
        </w:tc>
      </w:tr>
      <w:tr w:rsidR="001950C9" w:rsidRPr="00CF7E1B" w14:paraId="0F8B3590" w14:textId="77777777" w:rsidTr="005F6493">
        <w:trPr>
          <w:gridAfter w:val="2"/>
          <w:wAfter w:w="9468" w:type="dxa"/>
          <w:trHeight w:val="283"/>
        </w:trPr>
        <w:tc>
          <w:tcPr>
            <w:tcW w:w="1562" w:type="dxa"/>
            <w:tcBorders>
              <w:left w:val="single" w:sz="2" w:space="0" w:color="auto"/>
              <w:right w:val="single" w:sz="2" w:space="0" w:color="auto"/>
            </w:tcBorders>
          </w:tcPr>
          <w:p w14:paraId="6A46D545" w14:textId="77777777"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 12.23(b)</w:t>
            </w:r>
          </w:p>
        </w:tc>
        <w:tc>
          <w:tcPr>
            <w:tcW w:w="8932" w:type="dxa"/>
            <w:gridSpan w:val="16"/>
            <w:tcBorders>
              <w:left w:val="single" w:sz="2" w:space="0" w:color="auto"/>
            </w:tcBorders>
            <w:shd w:val="clear" w:color="auto" w:fill="7030A0"/>
          </w:tcPr>
          <w:p w14:paraId="3A70AC35" w14:textId="77777777" w:rsidR="001950C9" w:rsidRPr="004E5074" w:rsidRDefault="001950C9" w:rsidP="00A039D1">
            <w:pPr>
              <w:autoSpaceDE w:val="0"/>
              <w:autoSpaceDN w:val="0"/>
              <w:adjustRightInd w:val="0"/>
              <w:spacing w:after="120"/>
              <w:jc w:val="both"/>
              <w:rPr>
                <w:rFonts w:cs="Calibri"/>
                <w:strike/>
                <w:color w:val="FFFFFF" w:themeColor="background1"/>
                <w:sz w:val="18"/>
                <w:szCs w:val="18"/>
              </w:rPr>
            </w:pPr>
            <w:r w:rsidRPr="004E5074">
              <w:rPr>
                <w:rFonts w:cs="Calibri"/>
                <w:color w:val="FFFFFF" w:themeColor="background1"/>
                <w:sz w:val="18"/>
                <w:szCs w:val="18"/>
              </w:rPr>
              <w:t xml:space="preserve">Agencies should disclose contingent liabilities incurred relating to its interests in joint ventures (including its share of contingent liabilities incurred jointly with other investors with joint control of, or significant influence over the joint ventures), separately from the amount of other contingent liabilities, unless the probability of loss is remote. </w:t>
            </w:r>
          </w:p>
        </w:tc>
      </w:tr>
      <w:tr w:rsidR="005C79BC" w:rsidRPr="00CF7E1B" w14:paraId="506ABB9F" w14:textId="77777777" w:rsidTr="005F6493">
        <w:trPr>
          <w:gridAfter w:val="2"/>
          <w:wAfter w:w="9468" w:type="dxa"/>
          <w:trHeight w:val="283"/>
        </w:trPr>
        <w:tc>
          <w:tcPr>
            <w:tcW w:w="1562" w:type="dxa"/>
            <w:tcBorders>
              <w:left w:val="single" w:sz="2" w:space="0" w:color="auto"/>
              <w:right w:val="single" w:sz="2" w:space="0" w:color="auto"/>
            </w:tcBorders>
          </w:tcPr>
          <w:p w14:paraId="2AC080BF" w14:textId="77777777" w:rsidR="005C79BC" w:rsidRPr="004E5074" w:rsidRDefault="005C79BC" w:rsidP="00063FFB">
            <w:pPr>
              <w:pStyle w:val="TableReference"/>
              <w:tabs>
                <w:tab w:val="left" w:pos="3306"/>
              </w:tabs>
              <w:spacing w:before="60"/>
              <w:rPr>
                <w:rFonts w:cs="Calibri"/>
                <w:color w:val="7030A0"/>
                <w:sz w:val="16"/>
                <w:szCs w:val="16"/>
              </w:rPr>
            </w:pPr>
          </w:p>
        </w:tc>
        <w:tc>
          <w:tcPr>
            <w:tcW w:w="8932" w:type="dxa"/>
            <w:gridSpan w:val="16"/>
            <w:tcBorders>
              <w:left w:val="single" w:sz="2" w:space="0" w:color="auto"/>
            </w:tcBorders>
            <w:shd w:val="clear" w:color="auto" w:fill="7030A0"/>
          </w:tcPr>
          <w:p w14:paraId="3617F6FB" w14:textId="0B7DD75B" w:rsidR="005C79BC" w:rsidRPr="00B330CA" w:rsidRDefault="00C958E9" w:rsidP="00C87FF4">
            <w:pPr>
              <w:autoSpaceDE w:val="0"/>
              <w:autoSpaceDN w:val="0"/>
              <w:adjustRightInd w:val="0"/>
              <w:spacing w:after="40"/>
              <w:jc w:val="both"/>
              <w:rPr>
                <w:rFonts w:cs="Calibri"/>
                <w:b/>
                <w:bCs/>
                <w:color w:val="FFFFFF" w:themeColor="background1"/>
                <w:sz w:val="20"/>
                <w:szCs w:val="20"/>
              </w:rPr>
            </w:pPr>
            <w:r w:rsidRPr="00B330CA">
              <w:rPr>
                <w:rFonts w:cs="Calibri"/>
                <w:b/>
                <w:bCs/>
                <w:color w:val="FFFFFF" w:themeColor="background1"/>
                <w:sz w:val="20"/>
                <w:szCs w:val="20"/>
              </w:rPr>
              <w:t>Territory</w:t>
            </w:r>
            <w:r w:rsidR="005C79BC" w:rsidRPr="00B330CA">
              <w:rPr>
                <w:rFonts w:cs="Calibri"/>
                <w:b/>
                <w:bCs/>
                <w:color w:val="FFFFFF" w:themeColor="background1"/>
                <w:sz w:val="20"/>
                <w:szCs w:val="20"/>
              </w:rPr>
              <w:t xml:space="preserve"> Authority Commentary</w:t>
            </w:r>
          </w:p>
        </w:tc>
      </w:tr>
      <w:tr w:rsidR="005C79BC" w:rsidRPr="00CF7E1B" w14:paraId="001FE2BE" w14:textId="77777777" w:rsidTr="005F6493">
        <w:trPr>
          <w:gridAfter w:val="2"/>
          <w:wAfter w:w="9468" w:type="dxa"/>
          <w:trHeight w:val="283"/>
        </w:trPr>
        <w:tc>
          <w:tcPr>
            <w:tcW w:w="1562" w:type="dxa"/>
            <w:tcBorders>
              <w:left w:val="single" w:sz="2" w:space="0" w:color="auto"/>
              <w:right w:val="single" w:sz="2" w:space="0" w:color="auto"/>
            </w:tcBorders>
          </w:tcPr>
          <w:p w14:paraId="0EC2BA02" w14:textId="77777777" w:rsidR="005C79BC" w:rsidRPr="004E5074" w:rsidRDefault="005C79BC" w:rsidP="00063FFB">
            <w:pPr>
              <w:pStyle w:val="TableReference"/>
              <w:tabs>
                <w:tab w:val="left" w:pos="3306"/>
              </w:tabs>
              <w:spacing w:before="60"/>
              <w:rPr>
                <w:rFonts w:cs="Calibri"/>
                <w:color w:val="7030A0"/>
                <w:sz w:val="16"/>
                <w:szCs w:val="16"/>
              </w:rPr>
            </w:pPr>
          </w:p>
        </w:tc>
        <w:tc>
          <w:tcPr>
            <w:tcW w:w="8932" w:type="dxa"/>
            <w:gridSpan w:val="16"/>
            <w:tcBorders>
              <w:left w:val="single" w:sz="2" w:space="0" w:color="auto"/>
            </w:tcBorders>
            <w:shd w:val="clear" w:color="auto" w:fill="7030A0"/>
          </w:tcPr>
          <w:p w14:paraId="5F66A6F5" w14:textId="616F74C0" w:rsidR="005C79BC" w:rsidRPr="004E5074" w:rsidRDefault="005C79BC" w:rsidP="00A039D1">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For-profit territory authorities with interests in a joint venture (which operates on a for-profit basis), may likely be required to pay income tax. Where this is the case, the operating profit/(loss), both before and after income tax, should be disclosed.</w:t>
            </w:r>
          </w:p>
        </w:tc>
      </w:tr>
      <w:tr w:rsidR="000144FF" w:rsidRPr="00CF7E1B" w14:paraId="46593E1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8770FA0" w14:textId="442C4218" w:rsidR="000144FF" w:rsidRPr="00C85324" w:rsidRDefault="000144FF" w:rsidP="005B1145">
            <w:pPr>
              <w:pStyle w:val="TableReference"/>
              <w:tabs>
                <w:tab w:val="left" w:pos="3306"/>
              </w:tabs>
              <w:spacing w:before="240" w:after="240"/>
              <w:rPr>
                <w:rFonts w:cs="Calibri"/>
                <w:b/>
                <w:color w:val="7030A0"/>
                <w:sz w:val="22"/>
                <w:szCs w:val="22"/>
              </w:rPr>
            </w:pPr>
            <w:bookmarkStart w:id="845" w:name="JointContOperat" w:colFirst="1" w:colLast="1"/>
          </w:p>
        </w:tc>
        <w:tc>
          <w:tcPr>
            <w:tcW w:w="8932" w:type="dxa"/>
            <w:gridSpan w:val="16"/>
            <w:tcBorders>
              <w:top w:val="nil"/>
              <w:left w:val="single" w:sz="2" w:space="0" w:color="auto"/>
              <w:bottom w:val="nil"/>
              <w:right w:val="nil"/>
            </w:tcBorders>
            <w:vAlign w:val="bottom"/>
          </w:tcPr>
          <w:p w14:paraId="7A9F24F1" w14:textId="29BB0EA7" w:rsidR="000144FF" w:rsidRPr="00C85324" w:rsidRDefault="00F700E5" w:rsidP="00765B24">
            <w:pPr>
              <w:pStyle w:val="Heading1"/>
              <w:numPr>
                <w:ilvl w:val="0"/>
                <w:numId w:val="0"/>
              </w:numPr>
            </w:pPr>
            <w:bookmarkStart w:id="846" w:name="_Toc49224233"/>
            <w:bookmarkStart w:id="847" w:name="_Ref50365721"/>
            <w:bookmarkStart w:id="848" w:name="_Toc50440396"/>
            <w:bookmarkStart w:id="849" w:name="_Ref50524263"/>
            <w:bookmarkStart w:id="850" w:name="_Toc400627361"/>
            <w:bookmarkStart w:id="851" w:name="InterestJointOperation"/>
            <w:bookmarkStart w:id="852" w:name="_Toc132743829"/>
            <w:r w:rsidRPr="00C85324">
              <w:t xml:space="preserve">Note </w:t>
            </w:r>
            <w:r w:rsidR="00364EB1" w:rsidRPr="00C85324">
              <w:t>35</w:t>
            </w:r>
            <w:r w:rsidR="00794322" w:rsidRPr="00C85324">
              <w:rPr>
                <w:rFonts w:ascii="Arial Bold" w:hAnsi="Arial Bold"/>
              </w:rPr>
              <w:t>.</w:t>
            </w:r>
            <w:r w:rsidR="00FA7C77">
              <w:t xml:space="preserve"> </w:t>
            </w:r>
            <w:r w:rsidRPr="00C85324">
              <w:t xml:space="preserve"> </w:t>
            </w:r>
            <w:r w:rsidR="000144FF" w:rsidRPr="00C85324">
              <w:t>Interest in A Joint</w:t>
            </w:r>
            <w:r w:rsidR="00636663" w:rsidRPr="00C85324">
              <w:t xml:space="preserve"> </w:t>
            </w:r>
            <w:r w:rsidR="000144FF" w:rsidRPr="00C85324">
              <w:t>Operation</w:t>
            </w:r>
            <w:bookmarkEnd w:id="846"/>
            <w:bookmarkEnd w:id="847"/>
            <w:bookmarkEnd w:id="848"/>
            <w:bookmarkEnd w:id="849"/>
            <w:bookmarkEnd w:id="850"/>
            <w:bookmarkEnd w:id="851"/>
            <w:bookmarkEnd w:id="852"/>
          </w:p>
        </w:tc>
      </w:tr>
      <w:tr w:rsidR="00EA2CB7" w:rsidRPr="00CF7E1B" w14:paraId="59D6634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BCDEE67" w14:textId="77777777" w:rsidR="00EA2CB7" w:rsidRPr="00C85324" w:rsidRDefault="00EA2CB7" w:rsidP="00EA2CB7">
            <w:pPr>
              <w:pStyle w:val="TableReference"/>
              <w:tabs>
                <w:tab w:val="left" w:pos="3306"/>
              </w:tabs>
              <w:rPr>
                <w:rFonts w:cs="Calibri"/>
                <w:b/>
                <w:color w:val="7030A0"/>
                <w:sz w:val="20"/>
                <w:szCs w:val="20"/>
              </w:rPr>
            </w:pPr>
          </w:p>
        </w:tc>
        <w:tc>
          <w:tcPr>
            <w:tcW w:w="8932" w:type="dxa"/>
            <w:gridSpan w:val="16"/>
            <w:tcBorders>
              <w:top w:val="nil"/>
              <w:left w:val="single" w:sz="2" w:space="0" w:color="auto"/>
              <w:bottom w:val="nil"/>
              <w:right w:val="nil"/>
            </w:tcBorders>
            <w:vAlign w:val="bottom"/>
          </w:tcPr>
          <w:p w14:paraId="063FD4E1" w14:textId="754E0185" w:rsidR="00EA2CB7" w:rsidRPr="00C85324" w:rsidRDefault="00D73DE9" w:rsidP="00D73DE9">
            <w:pPr>
              <w:rPr>
                <w:b/>
                <w:bCs/>
                <w:sz w:val="18"/>
                <w:szCs w:val="18"/>
              </w:rPr>
            </w:pPr>
            <w:r w:rsidRPr="00C85324">
              <w:rPr>
                <w:b/>
                <w:bCs/>
                <w:sz w:val="18"/>
                <w:szCs w:val="18"/>
              </w:rPr>
              <w:t>Description and Material Accounting Policies Relating to Interest in a Joint Operation</w:t>
            </w:r>
          </w:p>
        </w:tc>
      </w:tr>
      <w:tr w:rsidR="00D73DE9" w:rsidRPr="00CF7E1B" w14:paraId="2126889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33211D3" w14:textId="38D1361D" w:rsidR="00D73DE9" w:rsidRPr="00C85324" w:rsidRDefault="00D73DE9" w:rsidP="00EA2CB7">
            <w:pPr>
              <w:pStyle w:val="TableReference"/>
              <w:tabs>
                <w:tab w:val="left" w:pos="3306"/>
              </w:tabs>
              <w:rPr>
                <w:rFonts w:cs="Calibri"/>
                <w:b/>
                <w:color w:val="7030A0"/>
                <w:sz w:val="20"/>
                <w:szCs w:val="20"/>
              </w:rPr>
            </w:pPr>
            <w:r w:rsidRPr="00C85324">
              <w:rPr>
                <w:color w:val="7030A0"/>
                <w:sz w:val="14"/>
              </w:rPr>
              <w:t>AASB11.14</w:t>
            </w:r>
          </w:p>
        </w:tc>
        <w:tc>
          <w:tcPr>
            <w:tcW w:w="8932" w:type="dxa"/>
            <w:gridSpan w:val="16"/>
            <w:tcBorders>
              <w:top w:val="nil"/>
              <w:left w:val="single" w:sz="2" w:space="0" w:color="auto"/>
              <w:bottom w:val="nil"/>
              <w:right w:val="nil"/>
            </w:tcBorders>
            <w:vAlign w:val="bottom"/>
          </w:tcPr>
          <w:p w14:paraId="12E2C830" w14:textId="59C7C547" w:rsidR="00D73DE9" w:rsidRPr="00192FCF" w:rsidRDefault="00D73DE9" w:rsidP="00192FCF">
            <w:pPr>
              <w:spacing w:after="120"/>
              <w:jc w:val="both"/>
              <w:rPr>
                <w:b/>
                <w:bCs/>
                <w:caps/>
                <w:sz w:val="18"/>
                <w:szCs w:val="18"/>
              </w:rPr>
            </w:pPr>
            <w:bookmarkStart w:id="853" w:name="_Toc98763176"/>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853"/>
          </w:p>
        </w:tc>
      </w:tr>
      <w:bookmarkEnd w:id="845"/>
      <w:tr w:rsidR="000144FF" w:rsidRPr="00CF7E1B" w14:paraId="6875642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8B0D572" w14:textId="77777777" w:rsidR="000144FF" w:rsidRPr="00C85324" w:rsidRDefault="003D25E1">
            <w:pPr>
              <w:pStyle w:val="TableReference"/>
              <w:tabs>
                <w:tab w:val="left" w:pos="3306"/>
              </w:tabs>
              <w:spacing w:before="60"/>
              <w:rPr>
                <w:rFonts w:cs="Calibri"/>
                <w:color w:val="7030A0"/>
                <w:sz w:val="14"/>
              </w:rPr>
            </w:pPr>
            <w:r w:rsidRPr="00C85324">
              <w:rPr>
                <w:rFonts w:cs="Calibri"/>
                <w:color w:val="7030A0"/>
                <w:sz w:val="14"/>
              </w:rPr>
              <w:t xml:space="preserve">ACT </w:t>
            </w:r>
            <w:r w:rsidR="001B6146" w:rsidRPr="00C85324">
              <w:rPr>
                <w:rFonts w:cs="Calibri"/>
                <w:color w:val="7030A0"/>
                <w:sz w:val="14"/>
              </w:rPr>
              <w:t>Disclosure</w:t>
            </w:r>
            <w:r w:rsidRPr="00C85324">
              <w:rPr>
                <w:rFonts w:cs="Calibri"/>
                <w:color w:val="7030A0"/>
                <w:sz w:val="14"/>
              </w:rPr>
              <w:t xml:space="preserve"> Policy</w:t>
            </w:r>
          </w:p>
          <w:p w14:paraId="62F95A5E" w14:textId="77777777" w:rsidR="00CC6645" w:rsidRPr="00C85324" w:rsidRDefault="00CC6645">
            <w:pPr>
              <w:pStyle w:val="TableReference"/>
              <w:tabs>
                <w:tab w:val="left" w:pos="3306"/>
              </w:tabs>
              <w:spacing w:before="60"/>
              <w:rPr>
                <w:rFonts w:cs="Calibri"/>
                <w:color w:val="7030A0"/>
                <w:sz w:val="16"/>
                <w:szCs w:val="16"/>
              </w:rPr>
            </w:pPr>
            <w:r w:rsidRPr="00C85324">
              <w:rPr>
                <w:rFonts w:cs="Calibri"/>
                <w:color w:val="7030A0"/>
                <w:sz w:val="14"/>
              </w:rPr>
              <w:t>AASB 12.21(a)</w:t>
            </w:r>
          </w:p>
        </w:tc>
        <w:tc>
          <w:tcPr>
            <w:tcW w:w="8932" w:type="dxa"/>
            <w:gridSpan w:val="16"/>
            <w:tcBorders>
              <w:top w:val="nil"/>
              <w:left w:val="single" w:sz="2" w:space="0" w:color="auto"/>
              <w:bottom w:val="nil"/>
              <w:right w:val="nil"/>
            </w:tcBorders>
            <w:vAlign w:val="bottom"/>
          </w:tcPr>
          <w:p w14:paraId="130CADD4" w14:textId="1E51C463" w:rsidR="000144FF" w:rsidRPr="00C85324" w:rsidRDefault="000144FF" w:rsidP="00D73DE9">
            <w:pPr>
              <w:pStyle w:val="TableText"/>
              <w:spacing w:before="0" w:after="120"/>
              <w:jc w:val="both"/>
              <w:rPr>
                <w:rFonts w:cs="Calibri"/>
              </w:rPr>
            </w:pPr>
            <w:r w:rsidRPr="007B76DA">
              <w:rPr>
                <w:rFonts w:cs="Calibri"/>
                <w:strike/>
                <w:color w:val="FF0000"/>
              </w:rPr>
              <w:t>The</w:t>
            </w:r>
            <w:r w:rsidRPr="007B76DA">
              <w:rPr>
                <w:rFonts w:cs="Calibri"/>
              </w:rPr>
              <w:t xml:space="preserve"> </w:t>
            </w:r>
            <w:r w:rsidR="00532C2F" w:rsidRPr="007B76DA">
              <w:rPr>
                <w:rFonts w:cs="Calibri"/>
                <w:color w:val="FF0000"/>
              </w:rPr>
              <w:t xml:space="preserve">‘Burley Griffin </w:t>
            </w:r>
            <w:r w:rsidR="00B96D8D" w:rsidRPr="007B76DA">
              <w:rPr>
                <w:rFonts w:cs="Calibri"/>
              </w:rPr>
              <w:t>Agency</w:t>
            </w:r>
            <w:r w:rsidR="00013477" w:rsidRPr="007B76DA">
              <w:rPr>
                <w:rFonts w:cs="Calibri"/>
                <w:color w:val="FF0000"/>
              </w:rPr>
              <w:t>’</w:t>
            </w:r>
            <w:r w:rsidRPr="007B76DA">
              <w:rPr>
                <w:rFonts w:cs="Calibri"/>
              </w:rPr>
              <w:t xml:space="preserve"> was</w:t>
            </w:r>
            <w:r w:rsidRPr="00C85324">
              <w:rPr>
                <w:rFonts w:cs="Calibri"/>
              </w:rPr>
              <w:t xml:space="preserve"> involved in one joint</w:t>
            </w:r>
            <w:r w:rsidR="001950C9" w:rsidRPr="00C85324">
              <w:rPr>
                <w:rFonts w:cs="Calibri"/>
              </w:rPr>
              <w:t xml:space="preserve"> </w:t>
            </w:r>
            <w:r w:rsidRPr="00C85324">
              <w:rPr>
                <w:rFonts w:cs="Calibri"/>
              </w:rPr>
              <w:t xml:space="preserve">operation during </w:t>
            </w:r>
            <w:r w:rsidR="00631FF2" w:rsidRPr="00C85324">
              <w:rPr>
                <w:rFonts w:cs="Calibri"/>
              </w:rPr>
              <w:t>202</w:t>
            </w:r>
            <w:r w:rsidR="00C85B7F">
              <w:rPr>
                <w:rFonts w:cs="Calibri"/>
              </w:rPr>
              <w:t>3</w:t>
            </w:r>
            <w:r w:rsidRPr="00C85324">
              <w:rPr>
                <w:rFonts w:cs="Calibri"/>
              </w:rPr>
              <w:t xml:space="preserve"> called ‘Example Joint Operation’.</w:t>
            </w:r>
            <w:r w:rsidR="00FA7C77">
              <w:rPr>
                <w:rFonts w:cs="Calibri"/>
              </w:rPr>
              <w:t xml:space="preserve"> </w:t>
            </w:r>
            <w:r w:rsidRPr="00C85324">
              <w:rPr>
                <w:rFonts w:cs="Calibri"/>
              </w:rPr>
              <w:t>‘Example Joint Operation’s’ principal activity is the development and construction of footpaths, cycle paths and other infrastructure.</w:t>
            </w:r>
            <w:r w:rsidR="00FA7C77">
              <w:rPr>
                <w:rFonts w:cs="Calibri"/>
              </w:rPr>
              <w:t xml:space="preserve"> </w:t>
            </w:r>
            <w:r w:rsidR="00CA3FB8" w:rsidRPr="00C85324">
              <w:rPr>
                <w:rFonts w:cs="Calibri"/>
              </w:rPr>
              <w:t xml:space="preserve">The principal place of business is </w:t>
            </w:r>
            <w:r w:rsidR="00A559D2" w:rsidRPr="00C85324">
              <w:rPr>
                <w:rFonts w:cs="Calibri"/>
              </w:rPr>
              <w:t xml:space="preserve">the </w:t>
            </w:r>
            <w:r w:rsidR="00CA3FB8" w:rsidRPr="00C85324">
              <w:rPr>
                <w:rFonts w:cs="Calibri"/>
              </w:rPr>
              <w:t>Australian Capital Territory.</w:t>
            </w:r>
            <w:r w:rsidRPr="00C85324">
              <w:rPr>
                <w:rFonts w:cs="Calibri"/>
              </w:rPr>
              <w:t xml:space="preserve"> ‘Example </w:t>
            </w:r>
            <w:r w:rsidR="00441443" w:rsidRPr="00C85324">
              <w:rPr>
                <w:rFonts w:cs="Calibri"/>
              </w:rPr>
              <w:t>Private Company</w:t>
            </w:r>
            <w:r w:rsidRPr="00C85324">
              <w:rPr>
                <w:rFonts w:cs="Calibri"/>
              </w:rPr>
              <w:t>’ is the other venturer involved in ‘Example Joint Operation’.</w:t>
            </w:r>
            <w:r w:rsidR="00FA7C77">
              <w:rPr>
                <w:rFonts w:cs="Calibri"/>
              </w:rPr>
              <w:t xml:space="preserve"> </w:t>
            </w:r>
            <w:r w:rsidRPr="00C85324">
              <w:rPr>
                <w:rFonts w:cs="Calibri"/>
              </w:rPr>
              <w:t xml:space="preserve">The </w:t>
            </w:r>
            <w:r w:rsidR="00B96D8D" w:rsidRPr="00C85324">
              <w:rPr>
                <w:rFonts w:cs="Calibri"/>
              </w:rPr>
              <w:t>Agency</w:t>
            </w:r>
            <w:r w:rsidRPr="00C85324">
              <w:rPr>
                <w:rFonts w:cs="Calibri"/>
              </w:rPr>
              <w:t xml:space="preserve"> and ‘Example </w:t>
            </w:r>
            <w:r w:rsidR="00441443" w:rsidRPr="00C85324">
              <w:rPr>
                <w:rFonts w:cs="Calibri"/>
              </w:rPr>
              <w:t>Private Company</w:t>
            </w:r>
            <w:r w:rsidRPr="00C85324">
              <w:rPr>
                <w:rFonts w:cs="Calibri"/>
              </w:rPr>
              <w:t>’ each have a 50% interest in the output of the jointly controlled operation.</w:t>
            </w:r>
          </w:p>
        </w:tc>
      </w:tr>
      <w:tr w:rsidR="003C6984" w:rsidRPr="00CF7E1B" w14:paraId="4670517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D039970" w14:textId="3AF98A56" w:rsidR="003C6984" w:rsidRPr="00C85324" w:rsidRDefault="003C6984" w:rsidP="003C6984">
            <w:pPr>
              <w:pStyle w:val="TableReference"/>
              <w:tabs>
                <w:tab w:val="left" w:pos="3306"/>
              </w:tabs>
              <w:spacing w:before="60"/>
              <w:rPr>
                <w:rFonts w:cs="Calibri"/>
                <w:color w:val="7030A0"/>
                <w:sz w:val="14"/>
              </w:rPr>
            </w:pPr>
            <w:r w:rsidRPr="00C85324">
              <w:rPr>
                <w:color w:val="7030A0"/>
                <w:sz w:val="14"/>
              </w:rPr>
              <w:t>AASB 11.20</w:t>
            </w:r>
          </w:p>
        </w:tc>
        <w:tc>
          <w:tcPr>
            <w:tcW w:w="8932" w:type="dxa"/>
            <w:gridSpan w:val="16"/>
            <w:tcBorders>
              <w:top w:val="nil"/>
              <w:left w:val="single" w:sz="2" w:space="0" w:color="auto"/>
              <w:bottom w:val="nil"/>
              <w:right w:val="nil"/>
            </w:tcBorders>
            <w:vAlign w:val="bottom"/>
          </w:tcPr>
          <w:p w14:paraId="3E2256FF" w14:textId="219F8A82" w:rsidR="003C6984" w:rsidRPr="00C85324" w:rsidRDefault="003C6984" w:rsidP="003C6984">
            <w:pPr>
              <w:jc w:val="both"/>
              <w:rPr>
                <w:rFonts w:cs="Calibri"/>
                <w:sz w:val="18"/>
                <w:szCs w:val="18"/>
              </w:rPr>
            </w:pPr>
            <w:r w:rsidRPr="00C85324">
              <w:rPr>
                <w:rFonts w:cs="Calibri"/>
                <w:sz w:val="18"/>
                <w:szCs w:val="18"/>
              </w:rPr>
              <w:t>The share of assets, liabilities, income and expenses of the jointly controlled operation has been incorporated in the financial statements of the ‘</w:t>
            </w:r>
            <w:r w:rsidR="003B044B" w:rsidRPr="00C85324">
              <w:rPr>
                <w:sz w:val="18"/>
                <w:szCs w:val="18"/>
              </w:rPr>
              <w:t>Burley Griffin</w:t>
            </w:r>
            <w:r w:rsidR="003B044B" w:rsidRPr="00C85324">
              <w:rPr>
                <w:bCs/>
                <w:sz w:val="18"/>
                <w:szCs w:val="18"/>
              </w:rPr>
              <w:t xml:space="preserve"> </w:t>
            </w:r>
            <w:r w:rsidRPr="00C85324">
              <w:rPr>
                <w:rFonts w:cs="Calibri"/>
                <w:sz w:val="18"/>
                <w:szCs w:val="18"/>
              </w:rPr>
              <w:t>Agency’ under the appropriate headings.</w:t>
            </w:r>
            <w:r w:rsidR="00FA7C77">
              <w:rPr>
                <w:rFonts w:cs="Calibri"/>
                <w:sz w:val="18"/>
                <w:szCs w:val="18"/>
              </w:rPr>
              <w:t xml:space="preserve"> </w:t>
            </w:r>
            <w:r w:rsidR="00D73DE9" w:rsidRPr="00C85324">
              <w:rPr>
                <w:rFonts w:cs="Calibri"/>
                <w:sz w:val="18"/>
                <w:szCs w:val="18"/>
              </w:rPr>
              <w:t>These items have also been separately disclosed below to show the amounts specifically relating to the Joint Operation.</w:t>
            </w:r>
            <w:r w:rsidR="00FA7C77">
              <w:rPr>
                <w:rFonts w:cs="Calibri"/>
                <w:sz w:val="18"/>
                <w:szCs w:val="18"/>
              </w:rPr>
              <w:t xml:space="preserve"> </w:t>
            </w:r>
          </w:p>
        </w:tc>
      </w:tr>
      <w:tr w:rsidR="003C6984" w:rsidRPr="00CF7E1B" w14:paraId="1F82EF8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480"/>
        </w:trPr>
        <w:tc>
          <w:tcPr>
            <w:tcW w:w="1562" w:type="dxa"/>
            <w:tcBorders>
              <w:top w:val="nil"/>
              <w:left w:val="single" w:sz="2" w:space="0" w:color="auto"/>
              <w:bottom w:val="nil"/>
              <w:right w:val="single" w:sz="2" w:space="0" w:color="auto"/>
            </w:tcBorders>
          </w:tcPr>
          <w:p w14:paraId="7A8FE03D" w14:textId="77777777" w:rsidR="003C6984" w:rsidRPr="00C85324" w:rsidRDefault="003C6984" w:rsidP="003C6984">
            <w:pPr>
              <w:pStyle w:val="TableReference"/>
              <w:tabs>
                <w:tab w:val="left" w:pos="3306"/>
              </w:tabs>
              <w:rPr>
                <w:rFonts w:cs="Calibri"/>
                <w:color w:val="7030A0"/>
                <w:sz w:val="16"/>
                <w:szCs w:val="16"/>
              </w:rPr>
            </w:pPr>
          </w:p>
        </w:tc>
        <w:tc>
          <w:tcPr>
            <w:tcW w:w="5736" w:type="dxa"/>
            <w:gridSpan w:val="4"/>
            <w:tcBorders>
              <w:top w:val="nil"/>
              <w:left w:val="single" w:sz="2" w:space="0" w:color="auto"/>
              <w:bottom w:val="nil"/>
              <w:right w:val="nil"/>
            </w:tcBorders>
            <w:vAlign w:val="bottom"/>
          </w:tcPr>
          <w:p w14:paraId="7C9A8D93" w14:textId="77777777" w:rsidR="003C6984" w:rsidRPr="00C85324" w:rsidRDefault="003C6984" w:rsidP="003C6984">
            <w:pPr>
              <w:pStyle w:val="TableText"/>
              <w:tabs>
                <w:tab w:val="left" w:pos="3306"/>
              </w:tabs>
              <w:spacing w:before="0"/>
              <w:rPr>
                <w:rFonts w:cs="Calibri"/>
              </w:rPr>
            </w:pPr>
          </w:p>
        </w:tc>
        <w:tc>
          <w:tcPr>
            <w:tcW w:w="1494" w:type="dxa"/>
            <w:gridSpan w:val="7"/>
            <w:tcBorders>
              <w:top w:val="nil"/>
              <w:left w:val="nil"/>
              <w:bottom w:val="nil"/>
              <w:right w:val="nil"/>
            </w:tcBorders>
            <w:vAlign w:val="bottom"/>
          </w:tcPr>
          <w:p w14:paraId="503645B3" w14:textId="2AA5ED58" w:rsidR="003C6984" w:rsidRPr="00C85324" w:rsidRDefault="003C6984" w:rsidP="003C6984">
            <w:pPr>
              <w:pStyle w:val="TableTitle"/>
              <w:tabs>
                <w:tab w:val="left" w:pos="3306"/>
              </w:tabs>
              <w:rPr>
                <w:rFonts w:cs="Calibri"/>
              </w:rPr>
            </w:pPr>
            <w:bookmarkStart w:id="854" w:name="_Toc48468742"/>
            <w:bookmarkStart w:id="855" w:name="_Toc49155822"/>
            <w:bookmarkStart w:id="856" w:name="_Toc49224234"/>
            <w:r w:rsidRPr="00C85324">
              <w:rPr>
                <w:rFonts w:cs="Calibri"/>
              </w:rPr>
              <w:t>202</w:t>
            </w:r>
            <w:r w:rsidR="00C85B7F">
              <w:rPr>
                <w:rFonts w:cs="Calibri"/>
              </w:rPr>
              <w:t>3</w:t>
            </w:r>
          </w:p>
          <w:bookmarkEnd w:id="854"/>
          <w:bookmarkEnd w:id="855"/>
          <w:bookmarkEnd w:id="856"/>
          <w:p w14:paraId="4D1CC343" w14:textId="77777777" w:rsidR="003C6984" w:rsidRPr="00C85324" w:rsidRDefault="003C6984" w:rsidP="003C6984">
            <w:pPr>
              <w:pStyle w:val="TableTitle"/>
              <w:tabs>
                <w:tab w:val="left" w:pos="3306"/>
              </w:tabs>
              <w:rPr>
                <w:rFonts w:cs="Calibri"/>
              </w:rPr>
            </w:pPr>
            <w:r w:rsidRPr="00C85324">
              <w:rPr>
                <w:rFonts w:cs="Calibri"/>
              </w:rPr>
              <w:t>$’000</w:t>
            </w:r>
          </w:p>
        </w:tc>
        <w:tc>
          <w:tcPr>
            <w:tcW w:w="1702" w:type="dxa"/>
            <w:gridSpan w:val="5"/>
            <w:tcBorders>
              <w:top w:val="nil"/>
              <w:left w:val="nil"/>
              <w:bottom w:val="nil"/>
              <w:right w:val="nil"/>
            </w:tcBorders>
            <w:vAlign w:val="bottom"/>
          </w:tcPr>
          <w:p w14:paraId="637BB602" w14:textId="1EAA82B8" w:rsidR="003C6984" w:rsidRPr="00C85324" w:rsidRDefault="003C6984" w:rsidP="003C6984">
            <w:pPr>
              <w:pStyle w:val="TableTitle"/>
              <w:tabs>
                <w:tab w:val="left" w:pos="3306"/>
              </w:tabs>
              <w:rPr>
                <w:rFonts w:cs="Calibri"/>
              </w:rPr>
            </w:pPr>
            <w:r w:rsidRPr="00C85324">
              <w:rPr>
                <w:rFonts w:cs="Calibri"/>
              </w:rPr>
              <w:t>202</w:t>
            </w:r>
            <w:r w:rsidR="00C85B7F">
              <w:rPr>
                <w:rFonts w:cs="Calibri"/>
              </w:rPr>
              <w:t>2</w:t>
            </w:r>
          </w:p>
          <w:p w14:paraId="1C024E4F" w14:textId="77777777" w:rsidR="003C6984" w:rsidRPr="00C85324" w:rsidRDefault="003C6984" w:rsidP="003C6984">
            <w:pPr>
              <w:pStyle w:val="TableTitle"/>
              <w:tabs>
                <w:tab w:val="left" w:pos="3306"/>
              </w:tabs>
              <w:rPr>
                <w:rFonts w:cs="Calibri"/>
              </w:rPr>
            </w:pPr>
            <w:r w:rsidRPr="00C85324">
              <w:rPr>
                <w:rFonts w:cs="Calibri"/>
              </w:rPr>
              <w:t>$’000</w:t>
            </w:r>
          </w:p>
        </w:tc>
      </w:tr>
      <w:tr w:rsidR="003C6984" w:rsidRPr="00CF7E1B" w14:paraId="482CF24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D2C3581"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240D94CB" w14:textId="77777777" w:rsidR="003C6984" w:rsidRPr="00C85324" w:rsidRDefault="003C6984" w:rsidP="003C6984">
            <w:pPr>
              <w:pStyle w:val="TableText"/>
              <w:tabs>
                <w:tab w:val="left" w:pos="3306"/>
              </w:tabs>
              <w:rPr>
                <w:rFonts w:cs="Calibri"/>
                <w:b/>
                <w:bCs/>
              </w:rPr>
            </w:pPr>
            <w:r w:rsidRPr="00C85324">
              <w:rPr>
                <w:rFonts w:cs="Calibri"/>
                <w:b/>
                <w:bCs/>
              </w:rPr>
              <w:t>Assets Employed in the Jointly Controlled Operation</w:t>
            </w:r>
          </w:p>
        </w:tc>
        <w:tc>
          <w:tcPr>
            <w:tcW w:w="1494" w:type="dxa"/>
            <w:gridSpan w:val="7"/>
            <w:tcBorders>
              <w:top w:val="nil"/>
              <w:left w:val="nil"/>
              <w:bottom w:val="nil"/>
              <w:right w:val="nil"/>
            </w:tcBorders>
            <w:vAlign w:val="bottom"/>
          </w:tcPr>
          <w:p w14:paraId="3811FE32"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551A4D3" w14:textId="77777777" w:rsidR="003C6984" w:rsidRPr="00C85324" w:rsidRDefault="003C6984" w:rsidP="003C6984">
            <w:pPr>
              <w:pStyle w:val="TableText"/>
              <w:tabs>
                <w:tab w:val="left" w:pos="3306"/>
              </w:tabs>
              <w:jc w:val="right"/>
              <w:rPr>
                <w:rFonts w:cs="Calibri"/>
              </w:rPr>
            </w:pPr>
          </w:p>
        </w:tc>
      </w:tr>
      <w:tr w:rsidR="003C6984" w:rsidRPr="00CF7E1B" w14:paraId="3257FE4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F56FCB5"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47299C12" w14:textId="77777777" w:rsidR="003C6984" w:rsidRPr="00C85324" w:rsidRDefault="003C6984" w:rsidP="003C6984">
            <w:pPr>
              <w:pStyle w:val="TableText"/>
              <w:tabs>
                <w:tab w:val="left" w:pos="3306"/>
              </w:tabs>
              <w:rPr>
                <w:rFonts w:cs="Calibri"/>
                <w:b/>
                <w:bCs/>
              </w:rPr>
            </w:pPr>
            <w:bookmarkStart w:id="857" w:name="_Toc48468743"/>
            <w:bookmarkStart w:id="858" w:name="_Toc49155823"/>
            <w:bookmarkStart w:id="859" w:name="_Toc49224235"/>
            <w:r w:rsidRPr="00C85324">
              <w:rPr>
                <w:rFonts w:cs="Calibri"/>
                <w:b/>
                <w:bCs/>
              </w:rPr>
              <w:t>Current Assets</w:t>
            </w:r>
            <w:bookmarkEnd w:id="857"/>
            <w:bookmarkEnd w:id="858"/>
            <w:bookmarkEnd w:id="859"/>
          </w:p>
        </w:tc>
        <w:tc>
          <w:tcPr>
            <w:tcW w:w="1494" w:type="dxa"/>
            <w:gridSpan w:val="7"/>
            <w:tcBorders>
              <w:top w:val="nil"/>
              <w:left w:val="nil"/>
              <w:bottom w:val="nil"/>
              <w:right w:val="nil"/>
            </w:tcBorders>
            <w:vAlign w:val="bottom"/>
          </w:tcPr>
          <w:p w14:paraId="2255432B"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3BFEA04A" w14:textId="77777777" w:rsidR="003C6984" w:rsidRPr="00C85324" w:rsidRDefault="003C6984" w:rsidP="003C6984">
            <w:pPr>
              <w:pStyle w:val="TableText"/>
              <w:tabs>
                <w:tab w:val="left" w:pos="3306"/>
              </w:tabs>
              <w:jc w:val="right"/>
              <w:rPr>
                <w:rFonts w:cs="Calibri"/>
              </w:rPr>
            </w:pPr>
          </w:p>
        </w:tc>
      </w:tr>
      <w:tr w:rsidR="003C6984" w:rsidRPr="00CF7E1B" w14:paraId="57EB76A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4C33AB1"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00AF8207" w14:textId="77777777" w:rsidR="003C6984" w:rsidRPr="00C85324" w:rsidRDefault="003C6984" w:rsidP="003C6984">
            <w:pPr>
              <w:pStyle w:val="TableText"/>
              <w:tabs>
                <w:tab w:val="left" w:pos="3306"/>
              </w:tabs>
              <w:rPr>
                <w:rFonts w:cs="Calibri"/>
              </w:rPr>
            </w:pPr>
            <w:r w:rsidRPr="00C85324">
              <w:rPr>
                <w:rFonts w:cs="Calibri"/>
              </w:rPr>
              <w:t>Cash and Cash Equivalents</w:t>
            </w:r>
          </w:p>
        </w:tc>
        <w:tc>
          <w:tcPr>
            <w:tcW w:w="1494" w:type="dxa"/>
            <w:gridSpan w:val="7"/>
            <w:tcBorders>
              <w:top w:val="nil"/>
              <w:left w:val="nil"/>
              <w:bottom w:val="nil"/>
              <w:right w:val="nil"/>
            </w:tcBorders>
            <w:vAlign w:val="bottom"/>
          </w:tcPr>
          <w:p w14:paraId="681C0568" w14:textId="36C763F5"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16084FD6" w14:textId="6C0FD766" w:rsidR="003C6984" w:rsidRPr="00C85324" w:rsidRDefault="003C6984" w:rsidP="003C6984">
            <w:pPr>
              <w:pStyle w:val="TableText"/>
              <w:tabs>
                <w:tab w:val="left" w:pos="3306"/>
              </w:tabs>
              <w:jc w:val="right"/>
              <w:rPr>
                <w:rFonts w:cs="Calibri"/>
              </w:rPr>
            </w:pPr>
          </w:p>
        </w:tc>
      </w:tr>
      <w:tr w:rsidR="003C6984" w:rsidRPr="00CF7E1B" w14:paraId="2C52C3C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F3370BA"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73789923" w14:textId="77777777" w:rsidR="003C6984" w:rsidRPr="00C85324" w:rsidRDefault="003C6984" w:rsidP="003C6984">
            <w:pPr>
              <w:pStyle w:val="TableText"/>
              <w:tabs>
                <w:tab w:val="left" w:pos="3306"/>
              </w:tabs>
              <w:rPr>
                <w:rFonts w:cs="Calibri"/>
              </w:rPr>
            </w:pPr>
            <w:r w:rsidRPr="00C85324">
              <w:rPr>
                <w:rFonts w:cs="Calibri"/>
              </w:rPr>
              <w:t>Receivables</w:t>
            </w:r>
          </w:p>
        </w:tc>
        <w:tc>
          <w:tcPr>
            <w:tcW w:w="1494" w:type="dxa"/>
            <w:gridSpan w:val="7"/>
            <w:tcBorders>
              <w:top w:val="nil"/>
              <w:left w:val="nil"/>
              <w:bottom w:val="nil"/>
              <w:right w:val="nil"/>
            </w:tcBorders>
            <w:vAlign w:val="bottom"/>
          </w:tcPr>
          <w:p w14:paraId="7497C06F" w14:textId="6B8E3700"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CBE51BD" w14:textId="1A528A3E" w:rsidR="003C6984" w:rsidRPr="00C85324" w:rsidRDefault="003C6984" w:rsidP="003C6984">
            <w:pPr>
              <w:pStyle w:val="TableText"/>
              <w:tabs>
                <w:tab w:val="left" w:pos="3306"/>
              </w:tabs>
              <w:jc w:val="right"/>
              <w:rPr>
                <w:rFonts w:cs="Calibri"/>
              </w:rPr>
            </w:pPr>
          </w:p>
        </w:tc>
      </w:tr>
      <w:tr w:rsidR="003C6984" w:rsidRPr="00CF7E1B" w14:paraId="4807230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E2CCC4E"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17A6BC95" w14:textId="77777777" w:rsidR="003C6984" w:rsidRPr="00C85324" w:rsidRDefault="003C6984" w:rsidP="003C6984">
            <w:pPr>
              <w:pStyle w:val="TableText"/>
              <w:tabs>
                <w:tab w:val="left" w:pos="3306"/>
              </w:tabs>
              <w:rPr>
                <w:rFonts w:cs="Calibri"/>
              </w:rPr>
            </w:pPr>
            <w:r w:rsidRPr="00C85324">
              <w:rPr>
                <w:rFonts w:cs="Calibri"/>
              </w:rPr>
              <w:t xml:space="preserve">Other </w:t>
            </w:r>
          </w:p>
        </w:tc>
        <w:tc>
          <w:tcPr>
            <w:tcW w:w="1494" w:type="dxa"/>
            <w:gridSpan w:val="7"/>
            <w:tcBorders>
              <w:top w:val="nil"/>
              <w:left w:val="nil"/>
              <w:bottom w:val="single" w:sz="2" w:space="0" w:color="auto"/>
              <w:right w:val="nil"/>
            </w:tcBorders>
            <w:vAlign w:val="bottom"/>
          </w:tcPr>
          <w:p w14:paraId="729D5780" w14:textId="547CA962"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1932AC42" w14:textId="49E0E9F8" w:rsidR="003C6984" w:rsidRPr="00C85324" w:rsidRDefault="003C6984" w:rsidP="003C6984">
            <w:pPr>
              <w:pStyle w:val="TableText"/>
              <w:tabs>
                <w:tab w:val="left" w:pos="3306"/>
              </w:tabs>
              <w:jc w:val="right"/>
              <w:rPr>
                <w:rFonts w:cs="Calibri"/>
              </w:rPr>
            </w:pPr>
          </w:p>
        </w:tc>
      </w:tr>
      <w:tr w:rsidR="003C6984" w:rsidRPr="00CF7E1B" w14:paraId="3E20840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4D7FFE9"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7D818035" w14:textId="77777777" w:rsidR="003C6984" w:rsidRPr="00C85324" w:rsidRDefault="003C6984" w:rsidP="003C6984">
            <w:pPr>
              <w:pStyle w:val="TableText"/>
              <w:tabs>
                <w:tab w:val="left" w:pos="3306"/>
              </w:tabs>
              <w:rPr>
                <w:rFonts w:cs="Calibri"/>
                <w:b/>
                <w:bCs/>
              </w:rPr>
            </w:pPr>
            <w:r w:rsidRPr="00C85324">
              <w:rPr>
                <w:rFonts w:cs="Calibri"/>
                <w:b/>
                <w:bCs/>
              </w:rPr>
              <w:t>Total Current Assets</w:t>
            </w:r>
          </w:p>
        </w:tc>
        <w:tc>
          <w:tcPr>
            <w:tcW w:w="1494" w:type="dxa"/>
            <w:gridSpan w:val="7"/>
            <w:tcBorders>
              <w:top w:val="single" w:sz="2" w:space="0" w:color="auto"/>
              <w:left w:val="nil"/>
              <w:bottom w:val="single" w:sz="2" w:space="0" w:color="auto"/>
              <w:right w:val="nil"/>
            </w:tcBorders>
            <w:vAlign w:val="bottom"/>
          </w:tcPr>
          <w:p w14:paraId="6C20670A" w14:textId="7F651EDE" w:rsidR="003C6984" w:rsidRPr="00C85324" w:rsidRDefault="003C6984" w:rsidP="003C6984">
            <w:pPr>
              <w:pStyle w:val="TableText"/>
              <w:tabs>
                <w:tab w:val="left" w:pos="3306"/>
              </w:tabs>
              <w:jc w:val="right"/>
              <w:rPr>
                <w:rFonts w:cs="Calibri"/>
                <w:b/>
                <w:bCs/>
              </w:rPr>
            </w:pPr>
          </w:p>
        </w:tc>
        <w:tc>
          <w:tcPr>
            <w:tcW w:w="1702" w:type="dxa"/>
            <w:gridSpan w:val="5"/>
            <w:tcBorders>
              <w:top w:val="single" w:sz="2" w:space="0" w:color="auto"/>
              <w:left w:val="nil"/>
              <w:bottom w:val="single" w:sz="2" w:space="0" w:color="auto"/>
              <w:right w:val="nil"/>
            </w:tcBorders>
            <w:vAlign w:val="bottom"/>
          </w:tcPr>
          <w:p w14:paraId="321DD927" w14:textId="4D7AE9B8" w:rsidR="003C6984" w:rsidRPr="00C85324" w:rsidRDefault="003C6984" w:rsidP="003C6984">
            <w:pPr>
              <w:pStyle w:val="TableText"/>
              <w:tabs>
                <w:tab w:val="left" w:pos="3306"/>
              </w:tabs>
              <w:jc w:val="right"/>
              <w:rPr>
                <w:rFonts w:cs="Calibri"/>
                <w:b/>
                <w:bCs/>
              </w:rPr>
            </w:pPr>
          </w:p>
        </w:tc>
      </w:tr>
      <w:tr w:rsidR="003C6984" w:rsidRPr="00CF7E1B" w14:paraId="3BB931C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00752E93"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A887BD2" w14:textId="77777777" w:rsidR="003C6984" w:rsidRPr="00C85324" w:rsidRDefault="003C6984" w:rsidP="003C6984">
            <w:pPr>
              <w:pStyle w:val="TableText"/>
              <w:tabs>
                <w:tab w:val="left" w:pos="3306"/>
              </w:tabs>
              <w:rPr>
                <w:rFonts w:cs="Calibri"/>
              </w:rPr>
            </w:pPr>
          </w:p>
        </w:tc>
        <w:tc>
          <w:tcPr>
            <w:tcW w:w="1494" w:type="dxa"/>
            <w:gridSpan w:val="7"/>
            <w:tcBorders>
              <w:top w:val="single" w:sz="2" w:space="0" w:color="auto"/>
              <w:left w:val="nil"/>
              <w:bottom w:val="nil"/>
              <w:right w:val="nil"/>
            </w:tcBorders>
            <w:vAlign w:val="bottom"/>
          </w:tcPr>
          <w:p w14:paraId="5102E687" w14:textId="77777777" w:rsidR="003C6984" w:rsidRPr="00C85324" w:rsidRDefault="003C6984" w:rsidP="003C6984">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7752BA12" w14:textId="77777777" w:rsidR="003C6984" w:rsidRPr="00C85324" w:rsidRDefault="003C6984" w:rsidP="003C6984">
            <w:pPr>
              <w:pStyle w:val="TableText"/>
              <w:tabs>
                <w:tab w:val="left" w:pos="3306"/>
              </w:tabs>
              <w:jc w:val="right"/>
              <w:rPr>
                <w:rFonts w:cs="Calibri"/>
              </w:rPr>
            </w:pPr>
          </w:p>
        </w:tc>
      </w:tr>
      <w:tr w:rsidR="003C6984" w:rsidRPr="00CF7E1B" w14:paraId="2DB1B05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AB7BF90"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063CE576" w14:textId="77777777" w:rsidR="003C6984" w:rsidRPr="00C85324" w:rsidRDefault="003C6984" w:rsidP="003C6984">
            <w:pPr>
              <w:pStyle w:val="TableText"/>
              <w:tabs>
                <w:tab w:val="left" w:pos="3306"/>
              </w:tabs>
              <w:rPr>
                <w:rFonts w:cs="Calibri"/>
                <w:b/>
                <w:bCs/>
              </w:rPr>
            </w:pPr>
            <w:bookmarkStart w:id="860" w:name="_Toc48468744"/>
            <w:bookmarkStart w:id="861" w:name="_Toc49155824"/>
            <w:bookmarkStart w:id="862" w:name="_Toc49224236"/>
            <w:r w:rsidRPr="00C85324">
              <w:rPr>
                <w:rFonts w:cs="Calibri"/>
                <w:b/>
                <w:bCs/>
              </w:rPr>
              <w:t>Non-Current Assets</w:t>
            </w:r>
            <w:bookmarkEnd w:id="860"/>
            <w:bookmarkEnd w:id="861"/>
            <w:bookmarkEnd w:id="862"/>
          </w:p>
        </w:tc>
        <w:tc>
          <w:tcPr>
            <w:tcW w:w="1494" w:type="dxa"/>
            <w:gridSpan w:val="7"/>
            <w:tcBorders>
              <w:top w:val="nil"/>
              <w:left w:val="nil"/>
              <w:bottom w:val="nil"/>
              <w:right w:val="nil"/>
            </w:tcBorders>
            <w:vAlign w:val="bottom"/>
          </w:tcPr>
          <w:p w14:paraId="693B93CA"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DA1A7DE" w14:textId="77777777" w:rsidR="003C6984" w:rsidRPr="00C85324" w:rsidRDefault="003C6984" w:rsidP="003C6984">
            <w:pPr>
              <w:pStyle w:val="TableText"/>
              <w:tabs>
                <w:tab w:val="left" w:pos="3306"/>
              </w:tabs>
              <w:jc w:val="right"/>
              <w:rPr>
                <w:rFonts w:cs="Calibri"/>
              </w:rPr>
            </w:pPr>
          </w:p>
        </w:tc>
      </w:tr>
      <w:tr w:rsidR="003C6984" w:rsidRPr="00CF7E1B" w14:paraId="64A984A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4C5BD8A"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01050DC2" w14:textId="77777777" w:rsidR="003C6984" w:rsidRPr="00C85324" w:rsidRDefault="003C6984" w:rsidP="003C6984">
            <w:pPr>
              <w:pStyle w:val="TableText"/>
              <w:tabs>
                <w:tab w:val="left" w:pos="3306"/>
              </w:tabs>
              <w:rPr>
                <w:rFonts w:cs="Calibri"/>
                <w:b/>
                <w:iCs/>
              </w:rPr>
            </w:pPr>
            <w:r w:rsidRPr="00C85324">
              <w:rPr>
                <w:rFonts w:cs="Calibri"/>
                <w:b/>
                <w:iCs/>
              </w:rPr>
              <w:t xml:space="preserve">Land </w:t>
            </w:r>
          </w:p>
        </w:tc>
        <w:tc>
          <w:tcPr>
            <w:tcW w:w="1494" w:type="dxa"/>
            <w:gridSpan w:val="7"/>
            <w:tcBorders>
              <w:top w:val="nil"/>
              <w:left w:val="nil"/>
              <w:bottom w:val="nil"/>
              <w:right w:val="nil"/>
            </w:tcBorders>
            <w:vAlign w:val="bottom"/>
          </w:tcPr>
          <w:p w14:paraId="39ED8EEA"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9906CC4" w14:textId="77777777" w:rsidR="003C6984" w:rsidRPr="00C85324" w:rsidRDefault="003C6984" w:rsidP="003C6984">
            <w:pPr>
              <w:pStyle w:val="TableText"/>
              <w:tabs>
                <w:tab w:val="left" w:pos="3306"/>
              </w:tabs>
              <w:jc w:val="right"/>
              <w:rPr>
                <w:rFonts w:cs="Calibri"/>
              </w:rPr>
            </w:pPr>
          </w:p>
        </w:tc>
      </w:tr>
      <w:tr w:rsidR="003C6984" w:rsidRPr="00CF7E1B" w14:paraId="2BC1C0B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651DDC4"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1DB59AC5"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gridSpan w:val="7"/>
            <w:tcBorders>
              <w:top w:val="nil"/>
              <w:left w:val="nil"/>
              <w:bottom w:val="single" w:sz="2" w:space="0" w:color="auto"/>
              <w:right w:val="nil"/>
            </w:tcBorders>
            <w:vAlign w:val="bottom"/>
          </w:tcPr>
          <w:p w14:paraId="5AFF46FD" w14:textId="67376F2E"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0E53466F" w14:textId="655E217C" w:rsidR="003C6984" w:rsidRPr="00C85324" w:rsidRDefault="003C6984" w:rsidP="003C6984">
            <w:pPr>
              <w:pStyle w:val="TableText"/>
              <w:tabs>
                <w:tab w:val="left" w:pos="3306"/>
              </w:tabs>
              <w:jc w:val="right"/>
              <w:rPr>
                <w:rFonts w:cs="Calibri"/>
              </w:rPr>
            </w:pPr>
          </w:p>
        </w:tc>
      </w:tr>
      <w:tr w:rsidR="003C6984" w:rsidRPr="00CF7E1B" w14:paraId="357E0EA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30B8672"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C31AC51" w14:textId="77777777" w:rsidR="003C6984" w:rsidRPr="00C85324" w:rsidRDefault="003C6984" w:rsidP="003C6984">
            <w:pPr>
              <w:pStyle w:val="TableText"/>
              <w:tabs>
                <w:tab w:val="left" w:pos="3306"/>
              </w:tabs>
              <w:rPr>
                <w:rFonts w:cs="Calibri"/>
                <w:b/>
                <w:iCs/>
              </w:rPr>
            </w:pPr>
            <w:r w:rsidRPr="00C85324">
              <w:rPr>
                <w:rFonts w:cs="Calibri"/>
                <w:b/>
                <w:iCs/>
              </w:rPr>
              <w:t xml:space="preserve">Total Land at </w:t>
            </w:r>
            <w:r w:rsidRPr="00C85324">
              <w:rPr>
                <w:rFonts w:cs="Calibri"/>
                <w:b/>
              </w:rPr>
              <w:t>Fair Value</w:t>
            </w:r>
          </w:p>
        </w:tc>
        <w:tc>
          <w:tcPr>
            <w:tcW w:w="1494" w:type="dxa"/>
            <w:gridSpan w:val="7"/>
            <w:tcBorders>
              <w:top w:val="single" w:sz="2" w:space="0" w:color="auto"/>
              <w:left w:val="nil"/>
              <w:bottom w:val="nil"/>
              <w:right w:val="nil"/>
            </w:tcBorders>
            <w:vAlign w:val="bottom"/>
          </w:tcPr>
          <w:p w14:paraId="08AC5E4B" w14:textId="2C760C4C" w:rsidR="003C6984" w:rsidRPr="00C85324" w:rsidRDefault="003C6984" w:rsidP="003C6984">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57AA25EE" w14:textId="54B12F72" w:rsidR="003C6984" w:rsidRPr="00C85324" w:rsidRDefault="003C6984" w:rsidP="003C6984">
            <w:pPr>
              <w:pStyle w:val="TableText"/>
              <w:tabs>
                <w:tab w:val="left" w:pos="3306"/>
              </w:tabs>
              <w:jc w:val="right"/>
              <w:rPr>
                <w:rFonts w:cs="Calibri"/>
              </w:rPr>
            </w:pPr>
          </w:p>
        </w:tc>
      </w:tr>
      <w:tr w:rsidR="003C6984" w:rsidRPr="00CF7E1B" w14:paraId="417CAF7C"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003F0EF"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723ECE5F" w14:textId="77777777" w:rsidR="003C6984" w:rsidRPr="00C85324" w:rsidRDefault="003C6984" w:rsidP="003C6984">
            <w:pPr>
              <w:pStyle w:val="TableText"/>
              <w:tabs>
                <w:tab w:val="left" w:pos="3306"/>
              </w:tabs>
              <w:rPr>
                <w:rFonts w:cs="Calibri"/>
                <w:i/>
                <w:iCs/>
              </w:rPr>
            </w:pPr>
          </w:p>
        </w:tc>
        <w:tc>
          <w:tcPr>
            <w:tcW w:w="1494" w:type="dxa"/>
            <w:gridSpan w:val="7"/>
            <w:tcBorders>
              <w:top w:val="nil"/>
              <w:left w:val="nil"/>
              <w:bottom w:val="nil"/>
              <w:right w:val="nil"/>
            </w:tcBorders>
            <w:vAlign w:val="bottom"/>
          </w:tcPr>
          <w:p w14:paraId="6E8012A3"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4257E86F" w14:textId="77777777" w:rsidR="003C6984" w:rsidRPr="00C85324" w:rsidRDefault="003C6984" w:rsidP="003C6984">
            <w:pPr>
              <w:pStyle w:val="TableText"/>
              <w:tabs>
                <w:tab w:val="left" w:pos="3306"/>
              </w:tabs>
              <w:jc w:val="right"/>
              <w:rPr>
                <w:rFonts w:cs="Calibri"/>
              </w:rPr>
            </w:pPr>
          </w:p>
        </w:tc>
      </w:tr>
      <w:tr w:rsidR="003C6984" w:rsidRPr="00CF7E1B" w14:paraId="0E3845B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764F49F" w14:textId="77777777" w:rsidR="003C6984" w:rsidRPr="00C85324" w:rsidRDefault="003C6984" w:rsidP="003C6984">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27096A07" w14:textId="77777777" w:rsidR="003C6984" w:rsidRPr="00C85324" w:rsidRDefault="003C6984" w:rsidP="003C6984">
            <w:pPr>
              <w:pStyle w:val="TableText"/>
              <w:tabs>
                <w:tab w:val="left" w:pos="3306"/>
              </w:tabs>
              <w:rPr>
                <w:rFonts w:cs="Calibri"/>
                <w:b/>
                <w:iCs/>
              </w:rPr>
            </w:pPr>
            <w:r w:rsidRPr="00C85324">
              <w:rPr>
                <w:rFonts w:cs="Calibri"/>
                <w:b/>
                <w:iCs/>
              </w:rPr>
              <w:t>Buildings</w:t>
            </w:r>
          </w:p>
        </w:tc>
        <w:tc>
          <w:tcPr>
            <w:tcW w:w="1494" w:type="dxa"/>
            <w:gridSpan w:val="7"/>
            <w:tcBorders>
              <w:top w:val="nil"/>
              <w:left w:val="nil"/>
              <w:bottom w:val="nil"/>
              <w:right w:val="nil"/>
            </w:tcBorders>
            <w:vAlign w:val="bottom"/>
          </w:tcPr>
          <w:p w14:paraId="2F356875"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EF52925" w14:textId="77777777" w:rsidR="003C6984" w:rsidRPr="00C85324" w:rsidRDefault="003C6984" w:rsidP="003C6984">
            <w:pPr>
              <w:pStyle w:val="TableText"/>
              <w:tabs>
                <w:tab w:val="left" w:pos="3306"/>
              </w:tabs>
              <w:jc w:val="right"/>
              <w:rPr>
                <w:rFonts w:cs="Calibri"/>
              </w:rPr>
            </w:pPr>
          </w:p>
        </w:tc>
      </w:tr>
      <w:tr w:rsidR="003C6984" w:rsidRPr="00CF7E1B" w14:paraId="6297A85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FD725B8"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1BCECC14"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gridSpan w:val="7"/>
            <w:tcBorders>
              <w:top w:val="nil"/>
              <w:left w:val="nil"/>
              <w:bottom w:val="nil"/>
              <w:right w:val="nil"/>
            </w:tcBorders>
            <w:vAlign w:val="bottom"/>
          </w:tcPr>
          <w:p w14:paraId="6777D2A3" w14:textId="0A80BC43"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AD899F8" w14:textId="47C277F5" w:rsidR="003C6984" w:rsidRPr="00C85324" w:rsidRDefault="003C6984" w:rsidP="003C6984">
            <w:pPr>
              <w:pStyle w:val="TableText"/>
              <w:tabs>
                <w:tab w:val="left" w:pos="3306"/>
              </w:tabs>
              <w:jc w:val="right"/>
              <w:rPr>
                <w:rFonts w:cs="Calibri"/>
              </w:rPr>
            </w:pPr>
          </w:p>
        </w:tc>
      </w:tr>
      <w:tr w:rsidR="003C6984" w:rsidRPr="00CF7E1B" w14:paraId="6260BC5C"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F22FFED"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CC128E0"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gridSpan w:val="7"/>
            <w:tcBorders>
              <w:top w:val="nil"/>
              <w:left w:val="nil"/>
              <w:bottom w:val="nil"/>
              <w:right w:val="nil"/>
            </w:tcBorders>
            <w:vAlign w:val="bottom"/>
          </w:tcPr>
          <w:p w14:paraId="0949E3EF" w14:textId="60650835"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2B9F108" w14:textId="07C30A0B" w:rsidR="003C6984" w:rsidRPr="00C85324" w:rsidRDefault="003C6984" w:rsidP="003C6984">
            <w:pPr>
              <w:pStyle w:val="TableText"/>
              <w:tabs>
                <w:tab w:val="left" w:pos="3306"/>
              </w:tabs>
              <w:jc w:val="right"/>
              <w:rPr>
                <w:rFonts w:cs="Calibri"/>
              </w:rPr>
            </w:pPr>
          </w:p>
        </w:tc>
      </w:tr>
      <w:tr w:rsidR="003C6984" w:rsidRPr="00CF7E1B" w14:paraId="0FB224F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4270A63"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58C64032"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gridSpan w:val="7"/>
            <w:tcBorders>
              <w:top w:val="nil"/>
              <w:left w:val="nil"/>
              <w:bottom w:val="single" w:sz="2" w:space="0" w:color="auto"/>
              <w:right w:val="nil"/>
            </w:tcBorders>
            <w:vAlign w:val="bottom"/>
          </w:tcPr>
          <w:p w14:paraId="48999BE6" w14:textId="49CFA54A"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47FEA94F" w14:textId="1EF8CCA5" w:rsidR="003C6984" w:rsidRPr="00C85324" w:rsidRDefault="003C6984" w:rsidP="003C6984">
            <w:pPr>
              <w:pStyle w:val="TableText"/>
              <w:tabs>
                <w:tab w:val="left" w:pos="3306"/>
              </w:tabs>
              <w:jc w:val="right"/>
              <w:rPr>
                <w:rFonts w:cs="Calibri"/>
              </w:rPr>
            </w:pPr>
          </w:p>
        </w:tc>
      </w:tr>
      <w:tr w:rsidR="003C6984" w:rsidRPr="00CF7E1B" w14:paraId="1D21147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041462A" w14:textId="77777777" w:rsidR="003C6984" w:rsidRPr="00C85324" w:rsidRDefault="003C6984" w:rsidP="003C6984">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32D8DB4" w14:textId="77777777" w:rsidR="003C6984" w:rsidRPr="00C85324" w:rsidRDefault="003C6984" w:rsidP="003C6984">
            <w:pPr>
              <w:pStyle w:val="TableText"/>
              <w:tabs>
                <w:tab w:val="left" w:pos="3306"/>
              </w:tabs>
              <w:rPr>
                <w:rFonts w:cs="Calibri"/>
                <w:b/>
                <w:iCs/>
              </w:rPr>
            </w:pPr>
            <w:r w:rsidRPr="00C85324">
              <w:rPr>
                <w:rFonts w:cs="Calibri"/>
                <w:b/>
                <w:iCs/>
              </w:rPr>
              <w:t xml:space="preserve">Total Buildings at </w:t>
            </w:r>
            <w:r w:rsidRPr="00C85324">
              <w:rPr>
                <w:rFonts w:cs="Calibri"/>
                <w:b/>
              </w:rPr>
              <w:t>Fair Value</w:t>
            </w:r>
          </w:p>
        </w:tc>
        <w:tc>
          <w:tcPr>
            <w:tcW w:w="1494" w:type="dxa"/>
            <w:gridSpan w:val="7"/>
            <w:tcBorders>
              <w:top w:val="single" w:sz="2" w:space="0" w:color="auto"/>
              <w:left w:val="nil"/>
              <w:bottom w:val="nil"/>
              <w:right w:val="nil"/>
            </w:tcBorders>
            <w:vAlign w:val="bottom"/>
          </w:tcPr>
          <w:p w14:paraId="25A20111" w14:textId="5E625036" w:rsidR="003C6984" w:rsidRPr="00C85324" w:rsidRDefault="003C6984" w:rsidP="003C6984">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530FB860" w14:textId="3E04EF6F" w:rsidR="003C6984" w:rsidRPr="00C85324" w:rsidRDefault="003C6984" w:rsidP="003C6984">
            <w:pPr>
              <w:pStyle w:val="TableText"/>
              <w:tabs>
                <w:tab w:val="left" w:pos="3306"/>
              </w:tabs>
              <w:jc w:val="right"/>
              <w:rPr>
                <w:rFonts w:cs="Calibri"/>
              </w:rPr>
            </w:pPr>
          </w:p>
        </w:tc>
      </w:tr>
      <w:tr w:rsidR="000A1EDA" w:rsidRPr="00CF7E1B" w14:paraId="587D18B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0A8FD496" w14:textId="102AF094" w:rsidR="000A1EDA" w:rsidRPr="00C85324" w:rsidRDefault="000A1EDA" w:rsidP="00DA5473">
            <w:pPr>
              <w:pStyle w:val="TableReference"/>
              <w:tabs>
                <w:tab w:val="left" w:pos="3306"/>
              </w:tabs>
              <w:spacing w:before="240" w:after="240"/>
              <w:rPr>
                <w:rFonts w:cs="Calibri"/>
                <w:b/>
                <w:color w:val="7030A0"/>
                <w:sz w:val="22"/>
                <w:szCs w:val="22"/>
              </w:rPr>
            </w:pPr>
            <w:r w:rsidRPr="006C2572">
              <w:rPr>
                <w:rFonts w:cs="Calibri"/>
                <w:b/>
                <w:color w:val="7030A0"/>
                <w:sz w:val="22"/>
                <w:szCs w:val="22"/>
              </w:rPr>
              <w:t>Reference</w:t>
            </w:r>
          </w:p>
        </w:tc>
        <w:tc>
          <w:tcPr>
            <w:tcW w:w="8930" w:type="dxa"/>
            <w:gridSpan w:val="16"/>
            <w:tcBorders>
              <w:top w:val="nil"/>
              <w:left w:val="single" w:sz="2" w:space="0" w:color="auto"/>
              <w:bottom w:val="nil"/>
              <w:right w:val="nil"/>
            </w:tcBorders>
            <w:vAlign w:val="bottom"/>
          </w:tcPr>
          <w:p w14:paraId="4ADB41EE" w14:textId="4E4E83F6" w:rsidR="000A1EDA" w:rsidRPr="00C85324" w:rsidRDefault="000A1EDA" w:rsidP="00DA5473">
            <w:pPr>
              <w:pStyle w:val="Heading1"/>
              <w:numPr>
                <w:ilvl w:val="0"/>
                <w:numId w:val="0"/>
              </w:numPr>
            </w:pPr>
            <w:bookmarkStart w:id="863" w:name="_Toc98763177"/>
            <w:bookmarkStart w:id="864" w:name="_Toc127733878"/>
            <w:bookmarkStart w:id="865" w:name="_Toc131164531"/>
            <w:bookmarkStart w:id="866" w:name="_Toc131591796"/>
            <w:bookmarkStart w:id="867" w:name="_Toc132743830"/>
            <w:r w:rsidRPr="00C85324">
              <w:t>Note 35</w:t>
            </w:r>
            <w:r w:rsidRPr="00C85324">
              <w:rPr>
                <w:rFonts w:ascii="Arial Bold" w:hAnsi="Arial Bold"/>
              </w:rPr>
              <w:t>.</w:t>
            </w:r>
            <w:r>
              <w:t xml:space="preserve"> </w:t>
            </w:r>
            <w:r w:rsidRPr="00C85324">
              <w:t xml:space="preserve"> Interest in A Joint Operation</w:t>
            </w:r>
            <w:r>
              <w:t xml:space="preserve"> – Continued</w:t>
            </w:r>
            <w:bookmarkEnd w:id="863"/>
            <w:bookmarkEnd w:id="864"/>
            <w:bookmarkEnd w:id="865"/>
            <w:bookmarkEnd w:id="866"/>
            <w:bookmarkEnd w:id="867"/>
            <w:r>
              <w:t xml:space="preserve"> </w:t>
            </w:r>
          </w:p>
        </w:tc>
      </w:tr>
      <w:tr w:rsidR="000A1EDA" w:rsidRPr="00CF7E1B" w14:paraId="702511A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480"/>
        </w:trPr>
        <w:tc>
          <w:tcPr>
            <w:tcW w:w="1562" w:type="dxa"/>
            <w:tcBorders>
              <w:top w:val="nil"/>
              <w:left w:val="single" w:sz="2" w:space="0" w:color="auto"/>
              <w:bottom w:val="nil"/>
              <w:right w:val="single" w:sz="2" w:space="0" w:color="auto"/>
            </w:tcBorders>
          </w:tcPr>
          <w:p w14:paraId="78DD277D" w14:textId="77777777" w:rsidR="000A1EDA" w:rsidRPr="00C85324" w:rsidRDefault="000A1EDA" w:rsidP="00DA5473">
            <w:pPr>
              <w:pStyle w:val="TableReference"/>
              <w:tabs>
                <w:tab w:val="left" w:pos="3306"/>
              </w:tabs>
              <w:rPr>
                <w:rFonts w:cs="Calibri"/>
                <w:color w:val="7030A0"/>
                <w:sz w:val="16"/>
                <w:szCs w:val="16"/>
              </w:rPr>
            </w:pPr>
          </w:p>
        </w:tc>
        <w:tc>
          <w:tcPr>
            <w:tcW w:w="5734" w:type="dxa"/>
            <w:gridSpan w:val="4"/>
            <w:tcBorders>
              <w:top w:val="nil"/>
              <w:left w:val="single" w:sz="2" w:space="0" w:color="auto"/>
              <w:bottom w:val="nil"/>
              <w:right w:val="nil"/>
            </w:tcBorders>
            <w:vAlign w:val="bottom"/>
          </w:tcPr>
          <w:p w14:paraId="5740DAFF" w14:textId="77777777" w:rsidR="000A1EDA" w:rsidRPr="00C85324" w:rsidRDefault="000A1EDA" w:rsidP="00DA5473">
            <w:pPr>
              <w:pStyle w:val="TableText"/>
              <w:tabs>
                <w:tab w:val="left" w:pos="3306"/>
              </w:tabs>
              <w:spacing w:before="0"/>
              <w:rPr>
                <w:rFonts w:cs="Calibri"/>
              </w:rPr>
            </w:pPr>
          </w:p>
        </w:tc>
        <w:tc>
          <w:tcPr>
            <w:tcW w:w="1494" w:type="dxa"/>
            <w:gridSpan w:val="7"/>
            <w:tcBorders>
              <w:top w:val="nil"/>
              <w:left w:val="nil"/>
              <w:bottom w:val="nil"/>
              <w:right w:val="nil"/>
            </w:tcBorders>
            <w:vAlign w:val="bottom"/>
          </w:tcPr>
          <w:p w14:paraId="6E1E5AC0" w14:textId="6BA465A9" w:rsidR="000A1EDA" w:rsidRPr="00C85324" w:rsidRDefault="000A1EDA" w:rsidP="00DA5473">
            <w:pPr>
              <w:pStyle w:val="TableTitle"/>
              <w:tabs>
                <w:tab w:val="left" w:pos="3306"/>
              </w:tabs>
              <w:rPr>
                <w:rFonts w:cs="Calibri"/>
              </w:rPr>
            </w:pPr>
            <w:r w:rsidRPr="00C85324">
              <w:rPr>
                <w:rFonts w:cs="Calibri"/>
              </w:rPr>
              <w:t>202</w:t>
            </w:r>
            <w:r w:rsidR="00C85B7F">
              <w:rPr>
                <w:rFonts w:cs="Calibri"/>
              </w:rPr>
              <w:t>3</w:t>
            </w:r>
          </w:p>
          <w:p w14:paraId="1D8C6A18" w14:textId="77777777" w:rsidR="000A1EDA" w:rsidRPr="00C85324" w:rsidRDefault="000A1EDA" w:rsidP="00DA5473">
            <w:pPr>
              <w:pStyle w:val="TableTitle"/>
              <w:tabs>
                <w:tab w:val="left" w:pos="3306"/>
              </w:tabs>
              <w:rPr>
                <w:rFonts w:cs="Calibri"/>
              </w:rPr>
            </w:pPr>
            <w:r w:rsidRPr="00C85324">
              <w:rPr>
                <w:rFonts w:cs="Calibri"/>
              </w:rPr>
              <w:t>$’000</w:t>
            </w:r>
          </w:p>
        </w:tc>
        <w:tc>
          <w:tcPr>
            <w:tcW w:w="1702" w:type="dxa"/>
            <w:gridSpan w:val="5"/>
            <w:tcBorders>
              <w:top w:val="nil"/>
              <w:left w:val="nil"/>
              <w:bottom w:val="nil"/>
              <w:right w:val="nil"/>
            </w:tcBorders>
            <w:vAlign w:val="bottom"/>
          </w:tcPr>
          <w:p w14:paraId="2ECED564" w14:textId="620121A0" w:rsidR="000A1EDA" w:rsidRPr="00C85324" w:rsidRDefault="000A1EDA" w:rsidP="00DA5473">
            <w:pPr>
              <w:pStyle w:val="TableTitle"/>
              <w:tabs>
                <w:tab w:val="left" w:pos="3306"/>
              </w:tabs>
              <w:rPr>
                <w:rFonts w:cs="Calibri"/>
              </w:rPr>
            </w:pPr>
            <w:r w:rsidRPr="00C85324">
              <w:rPr>
                <w:rFonts w:cs="Calibri"/>
              </w:rPr>
              <w:t>202</w:t>
            </w:r>
            <w:r w:rsidR="00C85B7F">
              <w:rPr>
                <w:rFonts w:cs="Calibri"/>
              </w:rPr>
              <w:t>2</w:t>
            </w:r>
          </w:p>
          <w:p w14:paraId="4FDD196C" w14:textId="77777777" w:rsidR="000A1EDA" w:rsidRPr="00C85324" w:rsidRDefault="000A1EDA" w:rsidP="00DA5473">
            <w:pPr>
              <w:pStyle w:val="TableTitle"/>
              <w:tabs>
                <w:tab w:val="left" w:pos="3306"/>
              </w:tabs>
              <w:rPr>
                <w:rFonts w:cs="Calibri"/>
              </w:rPr>
            </w:pPr>
            <w:r w:rsidRPr="00C85324">
              <w:rPr>
                <w:rFonts w:cs="Calibri"/>
              </w:rPr>
              <w:t>$’000</w:t>
            </w:r>
          </w:p>
        </w:tc>
      </w:tr>
      <w:tr w:rsidR="003C6984" w:rsidRPr="00CF7E1B" w14:paraId="5DEC73E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0AB77DA8" w14:textId="70F05D92"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3C5C52A6" w14:textId="77777777" w:rsidR="003C6984" w:rsidRPr="00C85324" w:rsidRDefault="003C6984" w:rsidP="003C6984">
            <w:pPr>
              <w:pStyle w:val="TableText"/>
              <w:tabs>
                <w:tab w:val="left" w:pos="3306"/>
              </w:tabs>
              <w:rPr>
                <w:rFonts w:cs="Calibri"/>
                <w:b/>
                <w:iCs/>
              </w:rPr>
            </w:pPr>
            <w:r w:rsidRPr="00C85324">
              <w:rPr>
                <w:rFonts w:cs="Calibri"/>
                <w:b/>
                <w:iCs/>
              </w:rPr>
              <w:t>Plant and Equipment</w:t>
            </w:r>
          </w:p>
        </w:tc>
        <w:tc>
          <w:tcPr>
            <w:tcW w:w="1494" w:type="dxa"/>
            <w:gridSpan w:val="7"/>
            <w:tcBorders>
              <w:top w:val="nil"/>
              <w:left w:val="nil"/>
              <w:bottom w:val="nil"/>
              <w:right w:val="nil"/>
            </w:tcBorders>
            <w:vAlign w:val="bottom"/>
          </w:tcPr>
          <w:p w14:paraId="3CDB821F"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4C1BB49B" w14:textId="77777777" w:rsidR="003C6984" w:rsidRPr="00C85324" w:rsidRDefault="003C6984" w:rsidP="003C6984">
            <w:pPr>
              <w:pStyle w:val="TableText"/>
              <w:tabs>
                <w:tab w:val="left" w:pos="3306"/>
              </w:tabs>
              <w:jc w:val="right"/>
              <w:rPr>
                <w:rFonts w:cs="Calibri"/>
              </w:rPr>
            </w:pPr>
          </w:p>
        </w:tc>
      </w:tr>
      <w:tr w:rsidR="003C6984" w:rsidRPr="00CF7E1B" w14:paraId="2A95127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32642D9"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7DDF5CF0" w14:textId="77777777" w:rsidR="003C6984" w:rsidRPr="00C85324" w:rsidRDefault="003C6984" w:rsidP="003C6984">
            <w:pPr>
              <w:pStyle w:val="TableText"/>
              <w:tabs>
                <w:tab w:val="left" w:pos="3306"/>
              </w:tabs>
              <w:rPr>
                <w:rFonts w:cs="Calibri"/>
              </w:rPr>
            </w:pPr>
            <w:r w:rsidRPr="00C85324">
              <w:rPr>
                <w:rFonts w:cs="Calibri"/>
              </w:rPr>
              <w:t>At Cost</w:t>
            </w:r>
          </w:p>
        </w:tc>
        <w:tc>
          <w:tcPr>
            <w:tcW w:w="1494" w:type="dxa"/>
            <w:gridSpan w:val="7"/>
            <w:tcBorders>
              <w:top w:val="nil"/>
              <w:left w:val="nil"/>
              <w:bottom w:val="nil"/>
              <w:right w:val="nil"/>
            </w:tcBorders>
            <w:vAlign w:val="bottom"/>
          </w:tcPr>
          <w:p w14:paraId="7CFD68C8" w14:textId="6FA68151"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0A9BBC4" w14:textId="7CAC0E1E" w:rsidR="003C6984" w:rsidRPr="00C85324" w:rsidRDefault="003C6984" w:rsidP="003C6984">
            <w:pPr>
              <w:pStyle w:val="TableText"/>
              <w:tabs>
                <w:tab w:val="left" w:pos="3306"/>
              </w:tabs>
              <w:jc w:val="right"/>
              <w:rPr>
                <w:rFonts w:cs="Calibri"/>
              </w:rPr>
            </w:pPr>
          </w:p>
        </w:tc>
      </w:tr>
      <w:tr w:rsidR="003C6984" w:rsidRPr="00CF7E1B" w14:paraId="6248D62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3F224EA"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6B7EFBFF"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gridSpan w:val="7"/>
            <w:tcBorders>
              <w:top w:val="nil"/>
              <w:left w:val="nil"/>
              <w:bottom w:val="nil"/>
              <w:right w:val="nil"/>
            </w:tcBorders>
            <w:vAlign w:val="bottom"/>
          </w:tcPr>
          <w:p w14:paraId="0196616C" w14:textId="037F7D1A"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01242269" w14:textId="61BBFA55" w:rsidR="003C6984" w:rsidRPr="00C85324" w:rsidRDefault="003C6984" w:rsidP="003C6984">
            <w:pPr>
              <w:pStyle w:val="TableText"/>
              <w:tabs>
                <w:tab w:val="left" w:pos="3306"/>
              </w:tabs>
              <w:jc w:val="right"/>
              <w:rPr>
                <w:rFonts w:cs="Calibri"/>
              </w:rPr>
            </w:pPr>
          </w:p>
        </w:tc>
      </w:tr>
      <w:tr w:rsidR="003C6984" w:rsidRPr="00CF7E1B" w14:paraId="392A239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F4BC056"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381E76A3"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gridSpan w:val="7"/>
            <w:tcBorders>
              <w:top w:val="nil"/>
              <w:left w:val="nil"/>
              <w:bottom w:val="single" w:sz="2" w:space="0" w:color="auto"/>
              <w:right w:val="nil"/>
            </w:tcBorders>
            <w:vAlign w:val="bottom"/>
          </w:tcPr>
          <w:p w14:paraId="03BA2B6D" w14:textId="09461F9B"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1820B0C5" w14:textId="4CEF0957" w:rsidR="003C6984" w:rsidRPr="00C85324" w:rsidRDefault="003C6984" w:rsidP="003C6984">
            <w:pPr>
              <w:pStyle w:val="TableText"/>
              <w:tabs>
                <w:tab w:val="left" w:pos="3306"/>
              </w:tabs>
              <w:jc w:val="right"/>
              <w:rPr>
                <w:rFonts w:cs="Calibri"/>
              </w:rPr>
            </w:pPr>
          </w:p>
        </w:tc>
      </w:tr>
      <w:tr w:rsidR="003C6984" w:rsidRPr="00CF7E1B" w14:paraId="4AD8F40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0A3861C"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3C5CB37E" w14:textId="77777777" w:rsidR="003C6984" w:rsidRPr="00C85324" w:rsidRDefault="003C6984" w:rsidP="003C6984">
            <w:pPr>
              <w:pStyle w:val="TableText"/>
              <w:tabs>
                <w:tab w:val="left" w:pos="3306"/>
              </w:tabs>
              <w:rPr>
                <w:rFonts w:cs="Calibri"/>
                <w:b/>
                <w:iCs/>
              </w:rPr>
            </w:pPr>
            <w:r w:rsidRPr="00C85324">
              <w:rPr>
                <w:rFonts w:cs="Calibri"/>
                <w:b/>
                <w:iCs/>
              </w:rPr>
              <w:t xml:space="preserve">Total Plant and Equipment at </w:t>
            </w:r>
            <w:r w:rsidRPr="00C85324">
              <w:rPr>
                <w:rFonts w:cs="Calibri"/>
                <w:b/>
              </w:rPr>
              <w:t>Cost</w:t>
            </w:r>
          </w:p>
        </w:tc>
        <w:tc>
          <w:tcPr>
            <w:tcW w:w="1494" w:type="dxa"/>
            <w:gridSpan w:val="7"/>
            <w:tcBorders>
              <w:top w:val="single" w:sz="2" w:space="0" w:color="auto"/>
              <w:left w:val="nil"/>
              <w:bottom w:val="nil"/>
              <w:right w:val="nil"/>
            </w:tcBorders>
            <w:vAlign w:val="bottom"/>
          </w:tcPr>
          <w:p w14:paraId="4B5EC203" w14:textId="7C5FA948" w:rsidR="003C6984" w:rsidRPr="00C85324" w:rsidRDefault="003C6984" w:rsidP="003C6984">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0D45D3BF" w14:textId="62373E58" w:rsidR="003C6984" w:rsidRPr="00C85324" w:rsidRDefault="003C6984" w:rsidP="003C6984">
            <w:pPr>
              <w:pStyle w:val="TableText"/>
              <w:tabs>
                <w:tab w:val="left" w:pos="3306"/>
              </w:tabs>
              <w:jc w:val="right"/>
              <w:rPr>
                <w:rFonts w:cs="Calibri"/>
              </w:rPr>
            </w:pPr>
          </w:p>
        </w:tc>
      </w:tr>
      <w:tr w:rsidR="003C6984" w:rsidRPr="00CF7E1B" w14:paraId="63D8181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00162F0C"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6E17A0EB" w14:textId="77777777" w:rsidR="003C6984" w:rsidRPr="00C85324" w:rsidRDefault="003C6984" w:rsidP="003C6984">
            <w:pPr>
              <w:pStyle w:val="TableText"/>
              <w:tabs>
                <w:tab w:val="left" w:pos="3306"/>
              </w:tabs>
              <w:rPr>
                <w:rFonts w:cs="Calibri"/>
              </w:rPr>
            </w:pPr>
          </w:p>
        </w:tc>
        <w:tc>
          <w:tcPr>
            <w:tcW w:w="1494" w:type="dxa"/>
            <w:gridSpan w:val="7"/>
            <w:tcBorders>
              <w:top w:val="nil"/>
              <w:left w:val="nil"/>
              <w:bottom w:val="nil"/>
              <w:right w:val="nil"/>
            </w:tcBorders>
            <w:vAlign w:val="bottom"/>
          </w:tcPr>
          <w:p w14:paraId="1B85551B"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51EA620" w14:textId="77777777" w:rsidR="003C6984" w:rsidRPr="00C85324" w:rsidRDefault="003C6984" w:rsidP="003C6984">
            <w:pPr>
              <w:pStyle w:val="TableText"/>
              <w:tabs>
                <w:tab w:val="left" w:pos="3306"/>
              </w:tabs>
              <w:jc w:val="right"/>
              <w:rPr>
                <w:rFonts w:cs="Calibri"/>
              </w:rPr>
            </w:pPr>
          </w:p>
        </w:tc>
      </w:tr>
      <w:tr w:rsidR="003C6984" w:rsidRPr="00CF7E1B" w14:paraId="3CD85F3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4218EA9"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466AD4D7" w14:textId="77777777" w:rsidR="003C6984" w:rsidRPr="00C85324" w:rsidRDefault="003C6984" w:rsidP="003C6984">
            <w:pPr>
              <w:pStyle w:val="TableText"/>
              <w:tabs>
                <w:tab w:val="left" w:pos="3306"/>
              </w:tabs>
              <w:rPr>
                <w:rFonts w:cs="Calibri"/>
                <w:b/>
                <w:iCs/>
              </w:rPr>
            </w:pPr>
            <w:r w:rsidRPr="00C85324">
              <w:rPr>
                <w:rFonts w:cs="Calibri"/>
                <w:b/>
                <w:iCs/>
              </w:rPr>
              <w:t>Infrastructure Assets</w:t>
            </w:r>
          </w:p>
        </w:tc>
        <w:tc>
          <w:tcPr>
            <w:tcW w:w="1494" w:type="dxa"/>
            <w:gridSpan w:val="7"/>
            <w:tcBorders>
              <w:top w:val="nil"/>
              <w:left w:val="nil"/>
              <w:bottom w:val="nil"/>
              <w:right w:val="nil"/>
            </w:tcBorders>
            <w:vAlign w:val="bottom"/>
          </w:tcPr>
          <w:p w14:paraId="0B74283B" w14:textId="77777777"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02381709" w14:textId="77777777" w:rsidR="003C6984" w:rsidRPr="00C85324" w:rsidRDefault="003C6984" w:rsidP="003C6984">
            <w:pPr>
              <w:pStyle w:val="TableText"/>
              <w:tabs>
                <w:tab w:val="left" w:pos="3306"/>
              </w:tabs>
              <w:jc w:val="right"/>
              <w:rPr>
                <w:rFonts w:cs="Calibri"/>
              </w:rPr>
            </w:pPr>
          </w:p>
        </w:tc>
      </w:tr>
      <w:tr w:rsidR="003C6984" w:rsidRPr="00CF7E1B" w14:paraId="57B0A7B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3C92ACE"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677BF44E"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gridSpan w:val="7"/>
            <w:tcBorders>
              <w:top w:val="nil"/>
              <w:left w:val="nil"/>
              <w:bottom w:val="nil"/>
              <w:right w:val="nil"/>
            </w:tcBorders>
            <w:vAlign w:val="bottom"/>
          </w:tcPr>
          <w:p w14:paraId="19583B84" w14:textId="55FDEC60"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8EFEEFF" w14:textId="7CEE1DE6" w:rsidR="003C6984" w:rsidRPr="00C85324" w:rsidRDefault="003C6984" w:rsidP="003C6984">
            <w:pPr>
              <w:pStyle w:val="TableText"/>
              <w:tabs>
                <w:tab w:val="left" w:pos="3306"/>
              </w:tabs>
              <w:jc w:val="right"/>
              <w:rPr>
                <w:rFonts w:cs="Calibri"/>
              </w:rPr>
            </w:pPr>
          </w:p>
        </w:tc>
      </w:tr>
      <w:tr w:rsidR="003C6984" w:rsidRPr="00CF7E1B" w14:paraId="20D2166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F200E93"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7BDBDC1D"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gridSpan w:val="7"/>
            <w:tcBorders>
              <w:top w:val="nil"/>
              <w:left w:val="nil"/>
              <w:bottom w:val="nil"/>
              <w:right w:val="nil"/>
            </w:tcBorders>
            <w:vAlign w:val="bottom"/>
          </w:tcPr>
          <w:p w14:paraId="3C984603" w14:textId="10C2BCCF"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38C2B622" w14:textId="09620767" w:rsidR="003C6984" w:rsidRPr="00C85324" w:rsidRDefault="003C6984" w:rsidP="003C6984">
            <w:pPr>
              <w:pStyle w:val="TableText"/>
              <w:tabs>
                <w:tab w:val="left" w:pos="3306"/>
              </w:tabs>
              <w:jc w:val="right"/>
              <w:rPr>
                <w:rFonts w:cs="Calibri"/>
              </w:rPr>
            </w:pPr>
          </w:p>
        </w:tc>
      </w:tr>
      <w:tr w:rsidR="003C6984" w:rsidRPr="00CF7E1B" w14:paraId="6F317F7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6B28EBD"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7B1AC545"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gridSpan w:val="7"/>
            <w:tcBorders>
              <w:top w:val="nil"/>
              <w:left w:val="nil"/>
              <w:bottom w:val="single" w:sz="2" w:space="0" w:color="auto"/>
              <w:right w:val="nil"/>
            </w:tcBorders>
            <w:vAlign w:val="bottom"/>
          </w:tcPr>
          <w:p w14:paraId="4D0ED563" w14:textId="28A876EB" w:rsidR="003C6984" w:rsidRPr="00C85324" w:rsidRDefault="003C6984" w:rsidP="003C6984">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4D1D1167" w14:textId="19D20221" w:rsidR="003C6984" w:rsidRPr="00C85324" w:rsidRDefault="003C6984" w:rsidP="003C6984">
            <w:pPr>
              <w:pStyle w:val="TableText"/>
              <w:tabs>
                <w:tab w:val="left" w:pos="3306"/>
              </w:tabs>
              <w:jc w:val="right"/>
              <w:rPr>
                <w:rFonts w:cs="Calibri"/>
              </w:rPr>
            </w:pPr>
          </w:p>
        </w:tc>
      </w:tr>
      <w:tr w:rsidR="003C6984" w:rsidRPr="00CF7E1B" w14:paraId="10495DC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89"/>
        </w:trPr>
        <w:tc>
          <w:tcPr>
            <w:tcW w:w="1562" w:type="dxa"/>
            <w:tcBorders>
              <w:top w:val="nil"/>
              <w:left w:val="single" w:sz="2" w:space="0" w:color="auto"/>
              <w:bottom w:val="nil"/>
              <w:right w:val="single" w:sz="2" w:space="0" w:color="auto"/>
            </w:tcBorders>
          </w:tcPr>
          <w:p w14:paraId="58F423BD"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290C0153" w14:textId="77777777" w:rsidR="003C6984" w:rsidRPr="00C85324" w:rsidRDefault="003C6984" w:rsidP="003C6984">
            <w:pPr>
              <w:pStyle w:val="TableText"/>
              <w:tabs>
                <w:tab w:val="left" w:pos="3306"/>
              </w:tabs>
              <w:rPr>
                <w:rFonts w:cs="Calibri"/>
                <w:b/>
                <w:iCs/>
              </w:rPr>
            </w:pPr>
            <w:r w:rsidRPr="00C85324">
              <w:rPr>
                <w:rFonts w:cs="Calibri"/>
                <w:b/>
                <w:iCs/>
              </w:rPr>
              <w:t xml:space="preserve">Total Infrastructure Assets at </w:t>
            </w:r>
            <w:r w:rsidRPr="00C85324">
              <w:rPr>
                <w:rFonts w:cs="Calibri"/>
                <w:b/>
              </w:rPr>
              <w:t>Fair Value</w:t>
            </w:r>
          </w:p>
        </w:tc>
        <w:tc>
          <w:tcPr>
            <w:tcW w:w="1494" w:type="dxa"/>
            <w:gridSpan w:val="7"/>
            <w:tcBorders>
              <w:top w:val="single" w:sz="2" w:space="0" w:color="auto"/>
              <w:left w:val="nil"/>
              <w:bottom w:val="single" w:sz="2" w:space="0" w:color="auto"/>
              <w:right w:val="nil"/>
            </w:tcBorders>
            <w:vAlign w:val="bottom"/>
          </w:tcPr>
          <w:p w14:paraId="4C9B83B3" w14:textId="7162D415" w:rsidR="003C6984" w:rsidRPr="00C85324" w:rsidRDefault="003C6984" w:rsidP="003C6984">
            <w:pPr>
              <w:pStyle w:val="TableText"/>
              <w:tabs>
                <w:tab w:val="left" w:pos="3306"/>
              </w:tabs>
              <w:jc w:val="right"/>
              <w:rPr>
                <w:rFonts w:cs="Calibri"/>
              </w:rPr>
            </w:pPr>
          </w:p>
        </w:tc>
        <w:tc>
          <w:tcPr>
            <w:tcW w:w="1702" w:type="dxa"/>
            <w:gridSpan w:val="5"/>
            <w:tcBorders>
              <w:top w:val="single" w:sz="2" w:space="0" w:color="auto"/>
              <w:left w:val="nil"/>
              <w:bottom w:val="single" w:sz="2" w:space="0" w:color="auto"/>
              <w:right w:val="nil"/>
            </w:tcBorders>
            <w:vAlign w:val="bottom"/>
          </w:tcPr>
          <w:p w14:paraId="05184CDD" w14:textId="61E6E16C" w:rsidR="003C6984" w:rsidRPr="00C85324" w:rsidRDefault="003C6984" w:rsidP="003C6984">
            <w:pPr>
              <w:pStyle w:val="TableText"/>
              <w:tabs>
                <w:tab w:val="left" w:pos="3306"/>
              </w:tabs>
              <w:jc w:val="right"/>
              <w:rPr>
                <w:rFonts w:cs="Calibri"/>
              </w:rPr>
            </w:pPr>
          </w:p>
        </w:tc>
      </w:tr>
      <w:tr w:rsidR="003C6984" w:rsidRPr="00CF7E1B" w14:paraId="1F46CFE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E384F63"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gridSpan w:val="4"/>
            <w:tcBorders>
              <w:top w:val="nil"/>
              <w:left w:val="single" w:sz="2" w:space="0" w:color="auto"/>
              <w:bottom w:val="nil"/>
              <w:right w:val="nil"/>
            </w:tcBorders>
            <w:vAlign w:val="bottom"/>
          </w:tcPr>
          <w:p w14:paraId="014A7AC9" w14:textId="77777777" w:rsidR="003C6984" w:rsidRPr="00C85324" w:rsidRDefault="003C6984" w:rsidP="003C6984">
            <w:pPr>
              <w:pStyle w:val="TableText"/>
              <w:tabs>
                <w:tab w:val="left" w:pos="3306"/>
              </w:tabs>
              <w:rPr>
                <w:rFonts w:cs="Calibri"/>
                <w:b/>
                <w:bCs/>
              </w:rPr>
            </w:pPr>
            <w:r w:rsidRPr="00C85324">
              <w:rPr>
                <w:rFonts w:cs="Calibri"/>
                <w:b/>
                <w:bCs/>
              </w:rPr>
              <w:t>Total Non-Current Assets</w:t>
            </w:r>
          </w:p>
        </w:tc>
        <w:tc>
          <w:tcPr>
            <w:tcW w:w="1494" w:type="dxa"/>
            <w:gridSpan w:val="7"/>
            <w:tcBorders>
              <w:top w:val="single" w:sz="2" w:space="0" w:color="auto"/>
              <w:left w:val="nil"/>
              <w:bottom w:val="single" w:sz="2" w:space="0" w:color="auto"/>
              <w:right w:val="nil"/>
            </w:tcBorders>
            <w:vAlign w:val="bottom"/>
          </w:tcPr>
          <w:p w14:paraId="21552133" w14:textId="7D3A726B" w:rsidR="003C6984" w:rsidRPr="00C85324" w:rsidRDefault="003C6984" w:rsidP="003C6984">
            <w:pPr>
              <w:pStyle w:val="TableText"/>
              <w:tabs>
                <w:tab w:val="left" w:pos="3306"/>
              </w:tabs>
              <w:jc w:val="right"/>
              <w:rPr>
                <w:rFonts w:cs="Calibri"/>
                <w:b/>
                <w:bCs/>
              </w:rPr>
            </w:pPr>
          </w:p>
        </w:tc>
        <w:tc>
          <w:tcPr>
            <w:tcW w:w="1702" w:type="dxa"/>
            <w:gridSpan w:val="5"/>
            <w:tcBorders>
              <w:top w:val="single" w:sz="2" w:space="0" w:color="auto"/>
              <w:left w:val="nil"/>
              <w:bottom w:val="single" w:sz="2" w:space="0" w:color="auto"/>
              <w:right w:val="nil"/>
            </w:tcBorders>
            <w:vAlign w:val="bottom"/>
          </w:tcPr>
          <w:p w14:paraId="59E77380" w14:textId="776F2063" w:rsidR="003C6984" w:rsidRPr="00C85324" w:rsidRDefault="003C6984" w:rsidP="003C6984">
            <w:pPr>
              <w:pStyle w:val="TableText"/>
              <w:tabs>
                <w:tab w:val="left" w:pos="3306"/>
              </w:tabs>
              <w:jc w:val="right"/>
              <w:rPr>
                <w:rFonts w:cs="Calibri"/>
                <w:b/>
                <w:bCs/>
              </w:rPr>
            </w:pPr>
          </w:p>
        </w:tc>
      </w:tr>
      <w:tr w:rsidR="003C6984" w:rsidRPr="00CF7E1B" w14:paraId="7724993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1020A8F"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165BD0EA" w14:textId="77777777" w:rsidR="003C6984" w:rsidRPr="00C85324" w:rsidRDefault="003C6984" w:rsidP="003C6984">
            <w:pPr>
              <w:pStyle w:val="TableText"/>
              <w:tabs>
                <w:tab w:val="left" w:pos="3306"/>
              </w:tabs>
              <w:rPr>
                <w:rFonts w:cs="Calibri"/>
                <w:b/>
                <w:bCs/>
              </w:rPr>
            </w:pPr>
            <w:r w:rsidRPr="00C85324">
              <w:rPr>
                <w:rFonts w:cs="Calibri"/>
                <w:b/>
                <w:bCs/>
              </w:rPr>
              <w:t>Total Assets</w:t>
            </w:r>
          </w:p>
        </w:tc>
        <w:tc>
          <w:tcPr>
            <w:tcW w:w="1494" w:type="dxa"/>
            <w:gridSpan w:val="7"/>
            <w:tcBorders>
              <w:top w:val="single" w:sz="2" w:space="0" w:color="auto"/>
              <w:left w:val="nil"/>
              <w:bottom w:val="double" w:sz="4" w:space="0" w:color="auto"/>
              <w:right w:val="nil"/>
            </w:tcBorders>
            <w:vAlign w:val="bottom"/>
          </w:tcPr>
          <w:p w14:paraId="5B6A66FD" w14:textId="4950450C" w:rsidR="003C6984" w:rsidRPr="00C85324" w:rsidRDefault="003C6984" w:rsidP="003C6984">
            <w:pPr>
              <w:pStyle w:val="TableText"/>
              <w:tabs>
                <w:tab w:val="left" w:pos="3306"/>
              </w:tabs>
              <w:jc w:val="right"/>
              <w:rPr>
                <w:rFonts w:cs="Calibri"/>
                <w:b/>
                <w:bCs/>
              </w:rPr>
            </w:pPr>
          </w:p>
        </w:tc>
        <w:tc>
          <w:tcPr>
            <w:tcW w:w="1702" w:type="dxa"/>
            <w:gridSpan w:val="5"/>
            <w:tcBorders>
              <w:top w:val="single" w:sz="2" w:space="0" w:color="auto"/>
              <w:left w:val="nil"/>
              <w:bottom w:val="double" w:sz="4" w:space="0" w:color="auto"/>
              <w:right w:val="nil"/>
            </w:tcBorders>
            <w:vAlign w:val="bottom"/>
          </w:tcPr>
          <w:p w14:paraId="1BFDEAC7" w14:textId="464467D6" w:rsidR="003C6984" w:rsidRPr="00C85324" w:rsidRDefault="003C6984" w:rsidP="003C6984">
            <w:pPr>
              <w:pStyle w:val="TableText"/>
              <w:tabs>
                <w:tab w:val="left" w:pos="3306"/>
              </w:tabs>
              <w:jc w:val="right"/>
              <w:rPr>
                <w:rFonts w:cs="Calibri"/>
                <w:b/>
                <w:bCs/>
              </w:rPr>
            </w:pPr>
          </w:p>
        </w:tc>
      </w:tr>
      <w:tr w:rsidR="000A1EDA" w:rsidRPr="00CF7E1B" w14:paraId="1C64F29D"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C4CCE76" w14:textId="77777777" w:rsidR="000A1EDA" w:rsidRPr="00C85324" w:rsidRDefault="000A1EDA" w:rsidP="003C6984">
            <w:pPr>
              <w:pStyle w:val="TableReference"/>
              <w:tabs>
                <w:tab w:val="left" w:pos="3306"/>
              </w:tabs>
              <w:spacing w:before="60"/>
              <w:rPr>
                <w:rFonts w:cs="Calibri"/>
                <w:color w:val="7030A0"/>
                <w:sz w:val="16"/>
                <w:szCs w:val="16"/>
              </w:rPr>
            </w:pPr>
          </w:p>
        </w:tc>
        <w:tc>
          <w:tcPr>
            <w:tcW w:w="5734" w:type="dxa"/>
            <w:gridSpan w:val="4"/>
            <w:tcBorders>
              <w:top w:val="nil"/>
              <w:left w:val="single" w:sz="2" w:space="0" w:color="auto"/>
              <w:bottom w:val="nil"/>
              <w:right w:val="nil"/>
            </w:tcBorders>
            <w:vAlign w:val="bottom"/>
          </w:tcPr>
          <w:p w14:paraId="699960BA" w14:textId="77777777" w:rsidR="000A1EDA" w:rsidRPr="00C85324" w:rsidRDefault="000A1EDA" w:rsidP="003C6984">
            <w:pPr>
              <w:pStyle w:val="TableText"/>
              <w:tabs>
                <w:tab w:val="left" w:pos="3306"/>
              </w:tabs>
              <w:rPr>
                <w:rFonts w:cs="Calibri"/>
                <w:b/>
                <w:bCs/>
              </w:rPr>
            </w:pPr>
          </w:p>
        </w:tc>
        <w:tc>
          <w:tcPr>
            <w:tcW w:w="1494" w:type="dxa"/>
            <w:gridSpan w:val="7"/>
            <w:tcBorders>
              <w:top w:val="double" w:sz="4" w:space="0" w:color="auto"/>
              <w:left w:val="nil"/>
              <w:bottom w:val="nil"/>
              <w:right w:val="nil"/>
            </w:tcBorders>
            <w:vAlign w:val="bottom"/>
          </w:tcPr>
          <w:p w14:paraId="3C20B3EF" w14:textId="77777777" w:rsidR="000A1EDA" w:rsidRPr="00C85324" w:rsidRDefault="000A1EDA" w:rsidP="003C6984">
            <w:pPr>
              <w:pStyle w:val="TableText"/>
              <w:tabs>
                <w:tab w:val="left" w:pos="3306"/>
              </w:tabs>
              <w:jc w:val="right"/>
              <w:rPr>
                <w:rFonts w:cs="Calibri"/>
                <w:b/>
                <w:bCs/>
              </w:rPr>
            </w:pPr>
          </w:p>
        </w:tc>
        <w:tc>
          <w:tcPr>
            <w:tcW w:w="1702" w:type="dxa"/>
            <w:gridSpan w:val="5"/>
            <w:tcBorders>
              <w:top w:val="double" w:sz="4" w:space="0" w:color="auto"/>
              <w:left w:val="nil"/>
              <w:bottom w:val="nil"/>
              <w:right w:val="nil"/>
            </w:tcBorders>
            <w:vAlign w:val="bottom"/>
          </w:tcPr>
          <w:p w14:paraId="4DA3B509" w14:textId="77777777" w:rsidR="000A1EDA" w:rsidRPr="00C85324" w:rsidRDefault="000A1EDA" w:rsidP="003C6984">
            <w:pPr>
              <w:pStyle w:val="TableText"/>
              <w:tabs>
                <w:tab w:val="left" w:pos="3306"/>
              </w:tabs>
              <w:jc w:val="right"/>
              <w:rPr>
                <w:rFonts w:cs="Calibri"/>
                <w:b/>
                <w:bCs/>
              </w:rPr>
            </w:pPr>
          </w:p>
        </w:tc>
      </w:tr>
      <w:tr w:rsidR="000144FF" w:rsidRPr="00CF7E1B" w14:paraId="1D92C1BD" w14:textId="77777777" w:rsidTr="005F6493">
        <w:trPr>
          <w:gridAfter w:val="2"/>
          <w:wAfter w:w="9468" w:type="dxa"/>
          <w:trHeight w:val="687"/>
        </w:trPr>
        <w:tc>
          <w:tcPr>
            <w:tcW w:w="1562" w:type="dxa"/>
            <w:tcBorders>
              <w:left w:val="single" w:sz="2" w:space="0" w:color="auto"/>
              <w:right w:val="single" w:sz="2" w:space="0" w:color="auto"/>
            </w:tcBorders>
          </w:tcPr>
          <w:p w14:paraId="64B1465E" w14:textId="09C7BA54" w:rsidR="000144FF" w:rsidRPr="00C85324" w:rsidRDefault="000144FF" w:rsidP="00C24DC3">
            <w:pPr>
              <w:pStyle w:val="CommentaryTitle"/>
              <w:pageBreakBefore w:val="0"/>
              <w:tabs>
                <w:tab w:val="left" w:pos="3306"/>
              </w:tabs>
              <w:spacing w:before="240" w:after="240"/>
              <w:rPr>
                <w:rFonts w:cs="Calibri"/>
                <w:color w:val="7030A0"/>
                <w:szCs w:val="22"/>
              </w:rPr>
            </w:pPr>
            <w:r w:rsidRPr="00C85324">
              <w:rPr>
                <w:rFonts w:cs="Calibri"/>
                <w:color w:val="7030A0"/>
              </w:rPr>
              <w:br w:type="page"/>
            </w:r>
          </w:p>
        </w:tc>
        <w:tc>
          <w:tcPr>
            <w:tcW w:w="8930" w:type="dxa"/>
            <w:gridSpan w:val="16"/>
            <w:tcBorders>
              <w:left w:val="single" w:sz="2" w:space="0" w:color="auto"/>
            </w:tcBorders>
            <w:shd w:val="clear" w:color="auto" w:fill="7030A0"/>
          </w:tcPr>
          <w:p w14:paraId="7FE55FA2" w14:textId="6DD56BE3" w:rsidR="000144FF" w:rsidRPr="00C85324" w:rsidRDefault="000144FF" w:rsidP="00C24DC3">
            <w:pPr>
              <w:pStyle w:val="CommentaryTitle"/>
              <w:pageBreakBefore w:val="0"/>
              <w:tabs>
                <w:tab w:val="left" w:pos="3306"/>
              </w:tabs>
              <w:spacing w:before="240" w:after="240"/>
              <w:rPr>
                <w:rFonts w:cs="Calibri"/>
                <w:color w:val="FFFFFF" w:themeColor="background1"/>
                <w:sz w:val="28"/>
                <w:szCs w:val="28"/>
              </w:rPr>
            </w:pPr>
            <w:bookmarkStart w:id="868" w:name="_Toc50440397"/>
            <w:bookmarkStart w:id="869" w:name="_Toc163106389"/>
            <w:r w:rsidRPr="00C85324">
              <w:rPr>
                <w:rFonts w:cs="Calibri"/>
                <w:color w:val="FFFFFF" w:themeColor="background1"/>
                <w:sz w:val="28"/>
                <w:szCs w:val="28"/>
              </w:rPr>
              <w:t xml:space="preserve">Commentary </w:t>
            </w:r>
            <w:r w:rsidRPr="00C85324">
              <w:rPr>
                <w:rFonts w:cs="Calibri"/>
                <w:color w:val="FFFFFF" w:themeColor="background1"/>
                <w:sz w:val="28"/>
                <w:szCs w:val="28"/>
              </w:rPr>
              <w:sym w:font="Symbol" w:char="F02D"/>
            </w:r>
            <w:r w:rsidR="00794322" w:rsidRPr="00C85324">
              <w:rPr>
                <w:rFonts w:cs="Calibri"/>
                <w:color w:val="FFFFFF" w:themeColor="background1"/>
                <w:sz w:val="28"/>
                <w:szCs w:val="28"/>
              </w:rPr>
              <w:t xml:space="preserve"> Note </w:t>
            </w:r>
            <w:r w:rsidR="00364EB1" w:rsidRPr="00C85324">
              <w:rPr>
                <w:rFonts w:cs="Calibri"/>
                <w:color w:val="FFFFFF" w:themeColor="background1"/>
                <w:sz w:val="28"/>
                <w:szCs w:val="28"/>
              </w:rPr>
              <w:t>35</w:t>
            </w:r>
            <w:r w:rsidRPr="00C85324">
              <w:rPr>
                <w:rFonts w:cs="Calibri"/>
                <w:color w:val="FFFFFF" w:themeColor="background1"/>
                <w:sz w:val="28"/>
                <w:szCs w:val="28"/>
              </w:rPr>
              <w:t>: Interest in a Joint</w:t>
            </w:r>
            <w:r w:rsidR="001950C9" w:rsidRPr="00C85324">
              <w:rPr>
                <w:rFonts w:cs="Calibri"/>
                <w:color w:val="FFFFFF" w:themeColor="background1"/>
                <w:sz w:val="28"/>
                <w:szCs w:val="28"/>
              </w:rPr>
              <w:t xml:space="preserve"> </w:t>
            </w:r>
            <w:r w:rsidRPr="00C85324">
              <w:rPr>
                <w:rFonts w:cs="Calibri"/>
                <w:color w:val="FFFFFF" w:themeColor="background1"/>
                <w:sz w:val="28"/>
                <w:szCs w:val="28"/>
              </w:rPr>
              <w:t>Operation</w:t>
            </w:r>
            <w:bookmarkEnd w:id="868"/>
            <w:bookmarkEnd w:id="869"/>
          </w:p>
        </w:tc>
      </w:tr>
      <w:tr w:rsidR="000144FF" w:rsidRPr="00CF7E1B" w14:paraId="5B59575D" w14:textId="77777777" w:rsidTr="005F6493">
        <w:trPr>
          <w:gridAfter w:val="2"/>
          <w:wAfter w:w="9468" w:type="dxa"/>
          <w:trHeight w:val="283"/>
        </w:trPr>
        <w:tc>
          <w:tcPr>
            <w:tcW w:w="1562" w:type="dxa"/>
            <w:tcBorders>
              <w:left w:val="single" w:sz="2" w:space="0" w:color="auto"/>
              <w:right w:val="single" w:sz="2" w:space="0" w:color="auto"/>
            </w:tcBorders>
          </w:tcPr>
          <w:p w14:paraId="221F3B1D" w14:textId="77777777" w:rsidR="000144FF" w:rsidRPr="00C85324" w:rsidRDefault="000144FF" w:rsidP="00527F06">
            <w:pPr>
              <w:pStyle w:val="CommentaryReference"/>
              <w:tabs>
                <w:tab w:val="left" w:pos="3306"/>
              </w:tabs>
              <w:rPr>
                <w:rFonts w:cs="Calibri"/>
                <w:color w:val="7030A0"/>
              </w:rPr>
            </w:pPr>
          </w:p>
        </w:tc>
        <w:tc>
          <w:tcPr>
            <w:tcW w:w="8930" w:type="dxa"/>
            <w:gridSpan w:val="16"/>
            <w:tcBorders>
              <w:left w:val="single" w:sz="2" w:space="0" w:color="auto"/>
            </w:tcBorders>
            <w:shd w:val="clear" w:color="auto" w:fill="7030A0"/>
          </w:tcPr>
          <w:p w14:paraId="232B9E01" w14:textId="77777777" w:rsidR="000144FF" w:rsidRPr="000A1EDA" w:rsidRDefault="000144FF" w:rsidP="00C87FF4">
            <w:pPr>
              <w:pStyle w:val="CommentaryHeading"/>
              <w:tabs>
                <w:tab w:val="left" w:pos="3306"/>
              </w:tabs>
              <w:spacing w:before="0" w:after="40"/>
              <w:rPr>
                <w:rFonts w:cs="Calibri"/>
                <w:color w:val="FFFFFF" w:themeColor="background1"/>
                <w:szCs w:val="20"/>
              </w:rPr>
            </w:pPr>
            <w:r w:rsidRPr="000A1EDA">
              <w:rPr>
                <w:rFonts w:cs="Calibri"/>
                <w:color w:val="FFFFFF" w:themeColor="background1"/>
                <w:szCs w:val="20"/>
              </w:rPr>
              <w:t>Definition</w:t>
            </w:r>
          </w:p>
        </w:tc>
      </w:tr>
      <w:tr w:rsidR="000144FF" w:rsidRPr="00CF7E1B" w14:paraId="169AD279" w14:textId="77777777" w:rsidTr="005F6493">
        <w:trPr>
          <w:gridAfter w:val="2"/>
          <w:wAfter w:w="9468" w:type="dxa"/>
          <w:trHeight w:val="283"/>
        </w:trPr>
        <w:tc>
          <w:tcPr>
            <w:tcW w:w="1562" w:type="dxa"/>
            <w:tcBorders>
              <w:left w:val="single" w:sz="2" w:space="0" w:color="auto"/>
              <w:right w:val="single" w:sz="2" w:space="0" w:color="auto"/>
            </w:tcBorders>
          </w:tcPr>
          <w:p w14:paraId="0D79842C" w14:textId="77777777" w:rsidR="00783D2E" w:rsidRPr="00C85324" w:rsidRDefault="00783D2E">
            <w:pPr>
              <w:pStyle w:val="CommentaryReference"/>
              <w:tabs>
                <w:tab w:val="left" w:pos="3306"/>
              </w:tabs>
              <w:spacing w:before="60"/>
              <w:rPr>
                <w:rFonts w:cs="Calibri"/>
                <w:color w:val="7030A0"/>
                <w:szCs w:val="14"/>
              </w:rPr>
            </w:pPr>
            <w:r w:rsidRPr="00C85324">
              <w:rPr>
                <w:rFonts w:cs="Calibri"/>
                <w:color w:val="7030A0"/>
                <w:szCs w:val="14"/>
              </w:rPr>
              <w:t>AASB 11.15</w:t>
            </w:r>
          </w:p>
        </w:tc>
        <w:tc>
          <w:tcPr>
            <w:tcW w:w="8930" w:type="dxa"/>
            <w:gridSpan w:val="16"/>
            <w:tcBorders>
              <w:left w:val="single" w:sz="2" w:space="0" w:color="auto"/>
            </w:tcBorders>
            <w:shd w:val="clear" w:color="auto" w:fill="7030A0"/>
          </w:tcPr>
          <w:p w14:paraId="09D0495B" w14:textId="4B718876" w:rsidR="000144FF" w:rsidRPr="00C85324" w:rsidRDefault="00783D2E" w:rsidP="00765B24">
            <w:pPr>
              <w:pStyle w:val="Default"/>
              <w:spacing w:after="120"/>
              <w:jc w:val="both"/>
              <w:rPr>
                <w:rFonts w:cs="Calibri"/>
                <w:color w:val="FFFFFF" w:themeColor="background1"/>
                <w:sz w:val="18"/>
                <w:szCs w:val="18"/>
              </w:rPr>
            </w:pPr>
            <w:r w:rsidRPr="00C85324">
              <w:rPr>
                <w:rFonts w:ascii="Calibri" w:hAnsi="Calibri" w:cs="Calibri"/>
                <w:color w:val="FFFFFF" w:themeColor="background1"/>
                <w:sz w:val="18"/>
                <w:szCs w:val="18"/>
                <w:lang w:eastAsia="en-US"/>
              </w:rPr>
              <w:t>A joint operation is a joint arrangement whereby the parties that have joint control of the arrangement have rights to the assets, and obligations for the liabilities, relating to the arrangement.</w:t>
            </w:r>
            <w:r w:rsidR="00FA7C77">
              <w:rPr>
                <w:rFonts w:ascii="Calibri" w:hAnsi="Calibri" w:cs="Calibri"/>
                <w:color w:val="FFFFFF" w:themeColor="background1"/>
                <w:sz w:val="18"/>
                <w:szCs w:val="18"/>
                <w:lang w:eastAsia="en-US"/>
              </w:rPr>
              <w:t xml:space="preserve"> </w:t>
            </w:r>
            <w:r w:rsidRPr="00C85324">
              <w:rPr>
                <w:rFonts w:ascii="Calibri" w:hAnsi="Calibri" w:cs="Calibri"/>
                <w:color w:val="FFFFFF" w:themeColor="background1"/>
                <w:sz w:val="18"/>
                <w:szCs w:val="18"/>
                <w:lang w:eastAsia="en-US"/>
              </w:rPr>
              <w:t>Those parties are called joint operators.</w:t>
            </w:r>
            <w:r w:rsidR="00FA7C77">
              <w:rPr>
                <w:rFonts w:cs="Calibri"/>
                <w:color w:val="FFFFFF" w:themeColor="background1"/>
                <w:sz w:val="18"/>
                <w:szCs w:val="18"/>
              </w:rPr>
              <w:t xml:space="preserve"> </w:t>
            </w:r>
          </w:p>
        </w:tc>
      </w:tr>
      <w:tr w:rsidR="009030F8" w:rsidRPr="00CF7E1B" w14:paraId="619D4F48" w14:textId="77777777" w:rsidTr="005F6493">
        <w:trPr>
          <w:gridAfter w:val="2"/>
          <w:wAfter w:w="9468" w:type="dxa"/>
          <w:trHeight w:val="283"/>
        </w:trPr>
        <w:tc>
          <w:tcPr>
            <w:tcW w:w="1562" w:type="dxa"/>
            <w:tcBorders>
              <w:left w:val="single" w:sz="2" w:space="0" w:color="auto"/>
              <w:right w:val="single" w:sz="2" w:space="0" w:color="auto"/>
            </w:tcBorders>
          </w:tcPr>
          <w:p w14:paraId="535E3B2D" w14:textId="77777777" w:rsidR="00887060" w:rsidRDefault="00887060" w:rsidP="001D0AD0">
            <w:pPr>
              <w:pStyle w:val="TableReference"/>
              <w:tabs>
                <w:tab w:val="left" w:pos="3306"/>
              </w:tabs>
              <w:spacing w:before="60"/>
              <w:rPr>
                <w:rFonts w:cs="Calibri"/>
                <w:color w:val="7030A0"/>
                <w:sz w:val="14"/>
              </w:rPr>
            </w:pPr>
          </w:p>
          <w:p w14:paraId="4EAFDCE5" w14:textId="577C3731" w:rsidR="009030F8" w:rsidRPr="00C85324" w:rsidRDefault="009030F8" w:rsidP="001D0AD0">
            <w:pPr>
              <w:pStyle w:val="TableReference"/>
              <w:tabs>
                <w:tab w:val="left" w:pos="3306"/>
              </w:tabs>
              <w:spacing w:before="60"/>
              <w:rPr>
                <w:rFonts w:cs="Calibri"/>
                <w:color w:val="7030A0"/>
                <w:sz w:val="14"/>
              </w:rPr>
            </w:pPr>
            <w:r w:rsidRPr="00C85324">
              <w:rPr>
                <w:rFonts w:cs="Calibri"/>
                <w:color w:val="7030A0"/>
                <w:sz w:val="14"/>
              </w:rPr>
              <w:t>AASB 12.21(a)</w:t>
            </w:r>
          </w:p>
        </w:tc>
        <w:tc>
          <w:tcPr>
            <w:tcW w:w="8930" w:type="dxa"/>
            <w:gridSpan w:val="16"/>
            <w:tcBorders>
              <w:left w:val="single" w:sz="2" w:space="0" w:color="auto"/>
            </w:tcBorders>
            <w:shd w:val="clear" w:color="auto" w:fill="7030A0"/>
          </w:tcPr>
          <w:p w14:paraId="52E933FC" w14:textId="63272F1E" w:rsidR="00887060" w:rsidRPr="00887060" w:rsidRDefault="00887060" w:rsidP="00C87FF4">
            <w:pPr>
              <w:autoSpaceDE w:val="0"/>
              <w:autoSpaceDN w:val="0"/>
              <w:adjustRightInd w:val="0"/>
              <w:spacing w:after="40"/>
              <w:jc w:val="both"/>
              <w:rPr>
                <w:rFonts w:cs="Calibri"/>
                <w:b/>
                <w:bCs/>
                <w:color w:val="FFFFFF" w:themeColor="background1"/>
                <w:sz w:val="20"/>
                <w:szCs w:val="20"/>
              </w:rPr>
            </w:pPr>
            <w:r w:rsidRPr="00887060">
              <w:rPr>
                <w:rFonts w:cs="Calibri"/>
                <w:b/>
                <w:bCs/>
                <w:color w:val="FFFFFF" w:themeColor="background1"/>
                <w:sz w:val="20"/>
                <w:szCs w:val="20"/>
              </w:rPr>
              <w:t>Nature, Extent and Financial Effects of an Agency’s Interests in Joint Arrangements</w:t>
            </w:r>
          </w:p>
          <w:p w14:paraId="4BBA2F28" w14:textId="5C340679" w:rsidR="009030F8" w:rsidRPr="00C85324" w:rsidRDefault="009030F8" w:rsidP="00441443">
            <w:pPr>
              <w:autoSpaceDE w:val="0"/>
              <w:autoSpaceDN w:val="0"/>
              <w:adjustRightInd w:val="0"/>
              <w:spacing w:after="40"/>
              <w:jc w:val="both"/>
              <w:rPr>
                <w:rFonts w:cs="Calibri"/>
                <w:color w:val="FFFFFF" w:themeColor="background1"/>
                <w:sz w:val="18"/>
                <w:szCs w:val="18"/>
              </w:rPr>
            </w:pPr>
            <w:r w:rsidRPr="00C85324">
              <w:rPr>
                <w:rFonts w:cs="Calibri"/>
                <w:color w:val="FFFFFF" w:themeColor="background1"/>
                <w:sz w:val="18"/>
                <w:szCs w:val="18"/>
              </w:rPr>
              <w:t>Where a joint arrangement is material to an agency</w:t>
            </w:r>
            <w:r w:rsidR="00441443" w:rsidRPr="00C85324">
              <w:rPr>
                <w:rFonts w:cs="Calibri"/>
                <w:color w:val="FFFFFF" w:themeColor="background1"/>
                <w:sz w:val="18"/>
                <w:szCs w:val="18"/>
              </w:rPr>
              <w:t>,</w:t>
            </w:r>
            <w:r w:rsidRPr="00C85324">
              <w:rPr>
                <w:rFonts w:cs="Calibri"/>
                <w:color w:val="FFFFFF" w:themeColor="background1"/>
                <w:sz w:val="18"/>
                <w:szCs w:val="18"/>
              </w:rPr>
              <w:t xml:space="preserve"> an agency shall disclose:</w:t>
            </w:r>
          </w:p>
          <w:p w14:paraId="40AFF5EF"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name of the joint arrangement;</w:t>
            </w:r>
          </w:p>
          <w:p w14:paraId="397ABAF3" w14:textId="6EA67DB6" w:rsidR="009030F8" w:rsidRPr="00077947"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nature of the agency’s relationship with the joint arrangement (by, for example, describing the nature of the activities of the joint arrangement and whether they are strategic to the agency’s </w:t>
            </w:r>
            <w:r w:rsidRPr="00077947">
              <w:rPr>
                <w:rFonts w:cs="Calibri"/>
                <w:color w:val="FFFFFF" w:themeColor="background1"/>
                <w:sz w:val="18"/>
                <w:szCs w:val="18"/>
              </w:rPr>
              <w:t>activities</w:t>
            </w:r>
            <w:r w:rsidR="00013477" w:rsidRPr="00077947">
              <w:rPr>
                <w:rFonts w:cs="Calibri"/>
                <w:color w:val="FF0000"/>
                <w:sz w:val="18"/>
                <w:szCs w:val="18"/>
              </w:rPr>
              <w:t>)</w:t>
            </w:r>
            <w:r w:rsidRPr="00077947">
              <w:rPr>
                <w:rFonts w:cs="Calibri"/>
                <w:color w:val="FFFFFF" w:themeColor="background1"/>
                <w:sz w:val="18"/>
                <w:szCs w:val="18"/>
              </w:rPr>
              <w:t>;</w:t>
            </w:r>
          </w:p>
          <w:p w14:paraId="3462D00C"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principal place of business (and country of incorporation, if applicable and different from the principal place of business) of the joint arrangement; and </w:t>
            </w:r>
          </w:p>
          <w:p w14:paraId="4DD4390C" w14:textId="6ED37CBA"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proportion of ownership interest or participating share held by the entity and, if different the proportion of voting rights held (if applicable)</w:t>
            </w:r>
            <w:r w:rsidR="00765B24" w:rsidRPr="00C85324">
              <w:rPr>
                <w:rFonts w:cs="Calibri"/>
                <w:color w:val="FFFFFF" w:themeColor="background1"/>
                <w:sz w:val="18"/>
                <w:szCs w:val="18"/>
              </w:rPr>
              <w:t>.</w:t>
            </w:r>
          </w:p>
        </w:tc>
      </w:tr>
      <w:tr w:rsidR="009030F8" w:rsidRPr="00CF7E1B" w14:paraId="2BC2819A" w14:textId="77777777" w:rsidTr="005F6493">
        <w:trPr>
          <w:gridAfter w:val="2"/>
          <w:wAfter w:w="9468" w:type="dxa"/>
          <w:trHeight w:val="283"/>
        </w:trPr>
        <w:tc>
          <w:tcPr>
            <w:tcW w:w="1562" w:type="dxa"/>
            <w:tcBorders>
              <w:left w:val="single" w:sz="2" w:space="0" w:color="auto"/>
              <w:right w:val="single" w:sz="2" w:space="0" w:color="auto"/>
            </w:tcBorders>
          </w:tcPr>
          <w:p w14:paraId="6AF779C2" w14:textId="2ECB5120" w:rsidR="009030F8" w:rsidRPr="00C85324" w:rsidRDefault="009030F8" w:rsidP="00783D2E">
            <w:pPr>
              <w:pStyle w:val="CommentaryReference"/>
              <w:tabs>
                <w:tab w:val="left" w:pos="3306"/>
              </w:tabs>
              <w:spacing w:before="60"/>
              <w:rPr>
                <w:rFonts w:cs="Calibri"/>
                <w:color w:val="7030A0"/>
                <w:szCs w:val="14"/>
              </w:rPr>
            </w:pPr>
            <w:r w:rsidRPr="00C85324">
              <w:rPr>
                <w:rFonts w:cs="Calibri"/>
                <w:color w:val="7030A0"/>
                <w:szCs w:val="14"/>
              </w:rPr>
              <w:t>AASB 11.20</w:t>
            </w:r>
          </w:p>
          <w:p w14:paraId="33070A4D" w14:textId="77777777" w:rsidR="009030F8" w:rsidRPr="00C85324" w:rsidRDefault="009030F8" w:rsidP="00783D2E">
            <w:pPr>
              <w:pStyle w:val="CommentaryReference"/>
              <w:tabs>
                <w:tab w:val="left" w:pos="3306"/>
              </w:tabs>
              <w:spacing w:before="60"/>
              <w:rPr>
                <w:rFonts w:cs="Calibri"/>
                <w:color w:val="7030A0"/>
                <w:szCs w:val="14"/>
              </w:rPr>
            </w:pPr>
          </w:p>
          <w:p w14:paraId="30230B82" w14:textId="77777777" w:rsidR="009030F8" w:rsidRPr="00C85324" w:rsidRDefault="009030F8" w:rsidP="00783D2E">
            <w:pPr>
              <w:pStyle w:val="CommentaryReference"/>
              <w:tabs>
                <w:tab w:val="left" w:pos="3306"/>
              </w:tabs>
              <w:spacing w:before="60"/>
              <w:rPr>
                <w:rFonts w:cs="Calibri"/>
                <w:color w:val="7030A0"/>
                <w:szCs w:val="14"/>
              </w:rPr>
            </w:pPr>
          </w:p>
          <w:p w14:paraId="4B7D4468" w14:textId="77777777" w:rsidR="009030F8" w:rsidRPr="00C85324" w:rsidRDefault="009030F8" w:rsidP="00783D2E">
            <w:pPr>
              <w:pStyle w:val="CommentaryReference"/>
              <w:tabs>
                <w:tab w:val="left" w:pos="3306"/>
              </w:tabs>
              <w:spacing w:before="60"/>
              <w:rPr>
                <w:rFonts w:cs="Calibri"/>
                <w:color w:val="7030A0"/>
                <w:szCs w:val="14"/>
              </w:rPr>
            </w:pPr>
          </w:p>
          <w:p w14:paraId="1FB61CE1" w14:textId="77777777" w:rsidR="009030F8" w:rsidRPr="00C85324" w:rsidRDefault="009030F8" w:rsidP="00783D2E">
            <w:pPr>
              <w:pStyle w:val="CommentaryReference"/>
              <w:tabs>
                <w:tab w:val="left" w:pos="3306"/>
              </w:tabs>
              <w:spacing w:before="60"/>
              <w:rPr>
                <w:rFonts w:cs="Calibri"/>
                <w:color w:val="7030A0"/>
                <w:szCs w:val="14"/>
              </w:rPr>
            </w:pPr>
          </w:p>
          <w:p w14:paraId="287EA813" w14:textId="77777777" w:rsidR="009030F8" w:rsidRPr="00C85324" w:rsidRDefault="009030F8" w:rsidP="00783D2E">
            <w:pPr>
              <w:pStyle w:val="CommentaryReference"/>
              <w:tabs>
                <w:tab w:val="left" w:pos="3306"/>
              </w:tabs>
              <w:spacing w:before="60"/>
              <w:rPr>
                <w:rFonts w:cs="Calibri"/>
                <w:color w:val="7030A0"/>
                <w:szCs w:val="14"/>
              </w:rPr>
            </w:pPr>
          </w:p>
          <w:p w14:paraId="1E02AD8E" w14:textId="77777777" w:rsidR="009030F8" w:rsidRPr="00C85324" w:rsidRDefault="009030F8" w:rsidP="00783D2E">
            <w:pPr>
              <w:pStyle w:val="CommentaryReference"/>
              <w:tabs>
                <w:tab w:val="left" w:pos="3306"/>
              </w:tabs>
              <w:spacing w:before="60"/>
              <w:rPr>
                <w:rFonts w:cs="Calibri"/>
                <w:color w:val="7030A0"/>
                <w:szCs w:val="14"/>
              </w:rPr>
            </w:pPr>
          </w:p>
          <w:p w14:paraId="1C422DA0" w14:textId="77777777" w:rsidR="009030F8" w:rsidRPr="00C85324" w:rsidRDefault="009030F8" w:rsidP="00783D2E">
            <w:pPr>
              <w:pStyle w:val="CommentaryReference"/>
              <w:tabs>
                <w:tab w:val="left" w:pos="3306"/>
              </w:tabs>
              <w:spacing w:before="60"/>
              <w:rPr>
                <w:rFonts w:cs="Calibri"/>
                <w:color w:val="7030A0"/>
                <w:szCs w:val="14"/>
              </w:rPr>
            </w:pPr>
            <w:r w:rsidRPr="00C85324">
              <w:rPr>
                <w:rFonts w:cs="Calibri"/>
                <w:color w:val="7030A0"/>
                <w:szCs w:val="14"/>
              </w:rPr>
              <w:t>AASB 11.21</w:t>
            </w:r>
          </w:p>
          <w:p w14:paraId="31DD24DF" w14:textId="77777777" w:rsidR="009030F8" w:rsidRPr="00C85324" w:rsidRDefault="009030F8" w:rsidP="00783D2E">
            <w:pPr>
              <w:pStyle w:val="CommentaryReference"/>
              <w:tabs>
                <w:tab w:val="left" w:pos="3306"/>
              </w:tabs>
              <w:spacing w:before="60"/>
              <w:rPr>
                <w:rFonts w:cs="Calibri"/>
                <w:color w:val="7030A0"/>
                <w:szCs w:val="14"/>
              </w:rPr>
            </w:pPr>
          </w:p>
        </w:tc>
        <w:tc>
          <w:tcPr>
            <w:tcW w:w="8930" w:type="dxa"/>
            <w:gridSpan w:val="16"/>
            <w:tcBorders>
              <w:left w:val="single" w:sz="2" w:space="0" w:color="auto"/>
            </w:tcBorders>
            <w:shd w:val="clear" w:color="auto" w:fill="7030A0"/>
          </w:tcPr>
          <w:p w14:paraId="0BDC5F5F" w14:textId="050E044E" w:rsidR="009030F8" w:rsidRPr="00C85324" w:rsidRDefault="009030F8" w:rsidP="00441443">
            <w:pPr>
              <w:pStyle w:val="CommentaryText"/>
              <w:tabs>
                <w:tab w:val="left" w:pos="3306"/>
              </w:tabs>
              <w:spacing w:after="40"/>
              <w:rPr>
                <w:rFonts w:cs="Calibri"/>
                <w:color w:val="FFFFFF" w:themeColor="background1"/>
                <w:sz w:val="18"/>
                <w:szCs w:val="18"/>
              </w:rPr>
            </w:pPr>
            <w:r w:rsidRPr="00C85324">
              <w:rPr>
                <w:rFonts w:cs="Calibri"/>
                <w:color w:val="FFFFFF" w:themeColor="background1"/>
                <w:sz w:val="18"/>
                <w:szCs w:val="18"/>
              </w:rPr>
              <w:t>A joint operator shall recognise in relation to its interests in a joint operation:</w:t>
            </w:r>
          </w:p>
          <w:p w14:paraId="2043899E"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assets, including its share of any assets held jointly;</w:t>
            </w:r>
          </w:p>
          <w:p w14:paraId="5A033E86"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liabilities, including its share of any liabilities incurred jointly;</w:t>
            </w:r>
          </w:p>
          <w:p w14:paraId="49828980"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revenue from the sale of its share of the output arising from the joint operation; </w:t>
            </w:r>
          </w:p>
          <w:p w14:paraId="2FE1BFC7"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share of the revenue from the sale of the output by the by the joint operation; and</w:t>
            </w:r>
          </w:p>
          <w:p w14:paraId="02870BB0"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expenses, including its share of any expenses incurred jointly.</w:t>
            </w:r>
          </w:p>
          <w:p w14:paraId="11D822FA" w14:textId="77777777" w:rsidR="009030F8" w:rsidRPr="00C85324" w:rsidRDefault="009030F8" w:rsidP="00A70781">
            <w:pPr>
              <w:pStyle w:val="Commentary-Bullet"/>
              <w:numPr>
                <w:ilvl w:val="0"/>
                <w:numId w:val="0"/>
              </w:numPr>
              <w:spacing w:after="120"/>
              <w:rPr>
                <w:rFonts w:cs="Calibri"/>
                <w:color w:val="FFFFFF" w:themeColor="background1"/>
                <w:sz w:val="18"/>
                <w:szCs w:val="18"/>
              </w:rPr>
            </w:pPr>
            <w:r w:rsidRPr="00C85324">
              <w:rPr>
                <w:rFonts w:cs="Calibri"/>
                <w:color w:val="FFFFFF" w:themeColor="background1"/>
                <w:sz w:val="18"/>
                <w:szCs w:val="18"/>
              </w:rPr>
              <w:t>A joint operator shall account for the assets, liabilities, revenues and expenses relating to its interests in a joint operation in accordance with the accounting standards applicable to the particular assets, liabilities, revenues and expenses.</w:t>
            </w:r>
          </w:p>
        </w:tc>
      </w:tr>
      <w:tr w:rsidR="00CD4C96" w:rsidRPr="00416D13" w14:paraId="602499E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3"/>
          <w:wAfter w:w="9613" w:type="dxa"/>
          <w:trHeight w:val="23"/>
        </w:trPr>
        <w:tc>
          <w:tcPr>
            <w:tcW w:w="1562" w:type="dxa"/>
            <w:tcBorders>
              <w:top w:val="nil"/>
              <w:left w:val="single" w:sz="2" w:space="0" w:color="auto"/>
              <w:bottom w:val="nil"/>
              <w:right w:val="single" w:sz="2" w:space="0" w:color="auto"/>
            </w:tcBorders>
          </w:tcPr>
          <w:p w14:paraId="10773930" w14:textId="2C996517" w:rsidR="00CD4C96" w:rsidRPr="00416D13" w:rsidRDefault="00CD4C96" w:rsidP="00E22A2F">
            <w:pPr>
              <w:pStyle w:val="TableReference"/>
              <w:tabs>
                <w:tab w:val="left" w:pos="3306"/>
              </w:tabs>
              <w:spacing w:before="240" w:after="240"/>
              <w:rPr>
                <w:rFonts w:cs="Calibri"/>
                <w:b/>
                <w:color w:val="auto"/>
                <w:sz w:val="20"/>
                <w:szCs w:val="20"/>
              </w:rPr>
            </w:pPr>
            <w:bookmarkStart w:id="870" w:name="ThirdPartyMonies" w:colFirst="1" w:colLast="1"/>
          </w:p>
        </w:tc>
        <w:tc>
          <w:tcPr>
            <w:tcW w:w="8785" w:type="dxa"/>
            <w:gridSpan w:val="15"/>
            <w:tcBorders>
              <w:top w:val="nil"/>
              <w:left w:val="single" w:sz="2" w:space="0" w:color="auto"/>
              <w:bottom w:val="nil"/>
              <w:right w:val="nil"/>
            </w:tcBorders>
            <w:vAlign w:val="bottom"/>
          </w:tcPr>
          <w:p w14:paraId="48D9A1E5" w14:textId="0288269A" w:rsidR="00CD4C96" w:rsidRPr="00416D13" w:rsidRDefault="00CD4C96" w:rsidP="00E22A2F">
            <w:pPr>
              <w:pStyle w:val="Heading1"/>
              <w:numPr>
                <w:ilvl w:val="0"/>
                <w:numId w:val="0"/>
              </w:numPr>
            </w:pPr>
            <w:bookmarkStart w:id="871" w:name="_Toc49224243"/>
            <w:bookmarkStart w:id="872" w:name="_Ref50365741"/>
            <w:bookmarkStart w:id="873" w:name="_Toc50440400"/>
            <w:bookmarkStart w:id="874" w:name="_Ref50524282"/>
            <w:bookmarkStart w:id="875" w:name="_Toc400627363"/>
            <w:bookmarkStart w:id="876" w:name="_Toc132743831"/>
            <w:r w:rsidRPr="00416D13">
              <w:t xml:space="preserve">Note </w:t>
            </w:r>
            <w:r>
              <w:t>36</w:t>
            </w:r>
            <w:r w:rsidRPr="00416D13">
              <w:t>.</w:t>
            </w:r>
            <w:r w:rsidR="00FA7C77">
              <w:t xml:space="preserve"> </w:t>
            </w:r>
            <w:r w:rsidRPr="00416D13">
              <w:t xml:space="preserve"> Events </w:t>
            </w:r>
            <w:r w:rsidRPr="00CD4C96">
              <w:t>after</w:t>
            </w:r>
            <w:bookmarkEnd w:id="871"/>
            <w:bookmarkEnd w:id="872"/>
            <w:bookmarkEnd w:id="873"/>
            <w:bookmarkEnd w:id="874"/>
            <w:bookmarkEnd w:id="875"/>
            <w:r w:rsidRPr="00CD4C96">
              <w:t xml:space="preserve"> the Reporting Period</w:t>
            </w:r>
            <w:bookmarkEnd w:id="876"/>
          </w:p>
        </w:tc>
      </w:tr>
      <w:tr w:rsidR="00CD4C96" w:rsidRPr="00574DE1" w14:paraId="4234EA8E"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3"/>
          <w:wAfter w:w="9613" w:type="dxa"/>
          <w:trHeight w:val="23"/>
        </w:trPr>
        <w:tc>
          <w:tcPr>
            <w:tcW w:w="1562" w:type="dxa"/>
            <w:tcBorders>
              <w:top w:val="nil"/>
              <w:left w:val="single" w:sz="2" w:space="0" w:color="auto"/>
              <w:bottom w:val="nil"/>
              <w:right w:val="single" w:sz="2" w:space="0" w:color="auto"/>
            </w:tcBorders>
          </w:tcPr>
          <w:p w14:paraId="773134FE" w14:textId="77777777" w:rsidR="00CD4C96" w:rsidRPr="009025F5" w:rsidRDefault="00CD4C96" w:rsidP="00E22A2F">
            <w:pPr>
              <w:pStyle w:val="TableReference"/>
              <w:tabs>
                <w:tab w:val="left" w:pos="3306"/>
              </w:tabs>
              <w:rPr>
                <w:rFonts w:cs="Calibri"/>
                <w:color w:val="auto"/>
                <w:sz w:val="14"/>
              </w:rPr>
            </w:pPr>
          </w:p>
        </w:tc>
        <w:tc>
          <w:tcPr>
            <w:tcW w:w="8785" w:type="dxa"/>
            <w:gridSpan w:val="15"/>
            <w:tcBorders>
              <w:top w:val="nil"/>
              <w:left w:val="single" w:sz="2" w:space="0" w:color="auto"/>
              <w:bottom w:val="nil"/>
              <w:right w:val="nil"/>
            </w:tcBorders>
            <w:vAlign w:val="bottom"/>
          </w:tcPr>
          <w:p w14:paraId="35CADAB4" w14:textId="77777777" w:rsidR="00CD4C96" w:rsidRPr="00CD4C96" w:rsidRDefault="00CD4C96" w:rsidP="00E22A2F">
            <w:pPr>
              <w:rPr>
                <w:b/>
                <w:bCs/>
                <w:sz w:val="18"/>
                <w:szCs w:val="18"/>
              </w:rPr>
            </w:pPr>
            <w:r w:rsidRPr="00CD4C96">
              <w:rPr>
                <w:b/>
                <w:bCs/>
                <w:sz w:val="18"/>
                <w:szCs w:val="18"/>
              </w:rPr>
              <w:t>Administrative Arrangement After the Reporting Period</w:t>
            </w:r>
          </w:p>
        </w:tc>
      </w:tr>
      <w:tr w:rsidR="00CD4C96" w:rsidRPr="00416D13" w14:paraId="087D407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3"/>
          <w:wAfter w:w="9613" w:type="dxa"/>
          <w:trHeight w:val="23"/>
        </w:trPr>
        <w:tc>
          <w:tcPr>
            <w:tcW w:w="1562" w:type="dxa"/>
            <w:tcBorders>
              <w:top w:val="nil"/>
              <w:left w:val="single" w:sz="2" w:space="0" w:color="auto"/>
              <w:bottom w:val="nil"/>
              <w:right w:val="single" w:sz="2" w:space="0" w:color="auto"/>
            </w:tcBorders>
          </w:tcPr>
          <w:p w14:paraId="03172826" w14:textId="77777777" w:rsidR="00CD4C96" w:rsidRPr="00CD4C96" w:rsidRDefault="00CD4C96" w:rsidP="00CD4C96">
            <w:pPr>
              <w:pStyle w:val="TableReference"/>
              <w:tabs>
                <w:tab w:val="left" w:pos="3306"/>
              </w:tabs>
              <w:spacing w:before="60"/>
              <w:rPr>
                <w:color w:val="7030A0"/>
                <w:sz w:val="14"/>
              </w:rPr>
            </w:pPr>
            <w:r w:rsidRPr="00CD4C96">
              <w:rPr>
                <w:color w:val="7030A0"/>
                <w:sz w:val="14"/>
              </w:rPr>
              <w:t>AASB 110.21(a)</w:t>
            </w:r>
          </w:p>
          <w:p w14:paraId="2A6BF620" w14:textId="77777777" w:rsidR="00CD4C96" w:rsidRPr="00CD4C96" w:rsidRDefault="00CD4C96" w:rsidP="00CD4C96">
            <w:pPr>
              <w:pStyle w:val="TableReference"/>
              <w:tabs>
                <w:tab w:val="left" w:pos="3306"/>
              </w:tabs>
              <w:spacing w:before="60"/>
              <w:rPr>
                <w:color w:val="7030A0"/>
                <w:sz w:val="14"/>
              </w:rPr>
            </w:pPr>
          </w:p>
          <w:p w14:paraId="0ACDE593" w14:textId="77777777" w:rsidR="00CD4C96" w:rsidRPr="00CD4C96" w:rsidRDefault="00CD4C96" w:rsidP="00CD4C96">
            <w:pPr>
              <w:pStyle w:val="TableReference"/>
              <w:tabs>
                <w:tab w:val="left" w:pos="3306"/>
              </w:tabs>
              <w:spacing w:before="60"/>
              <w:rPr>
                <w:color w:val="7030A0"/>
                <w:sz w:val="14"/>
              </w:rPr>
            </w:pPr>
          </w:p>
          <w:p w14:paraId="17ECE882" w14:textId="77777777" w:rsidR="00CD4C96" w:rsidRPr="00CD4C96" w:rsidRDefault="00CD4C96" w:rsidP="00CD4C96">
            <w:pPr>
              <w:pStyle w:val="TableReference"/>
              <w:tabs>
                <w:tab w:val="left" w:pos="3306"/>
              </w:tabs>
              <w:spacing w:before="60"/>
              <w:rPr>
                <w:color w:val="7030A0"/>
                <w:sz w:val="14"/>
              </w:rPr>
            </w:pPr>
          </w:p>
        </w:tc>
        <w:tc>
          <w:tcPr>
            <w:tcW w:w="8785" w:type="dxa"/>
            <w:gridSpan w:val="15"/>
            <w:tcBorders>
              <w:top w:val="nil"/>
              <w:left w:val="single" w:sz="2" w:space="0" w:color="auto"/>
              <w:bottom w:val="nil"/>
              <w:right w:val="nil"/>
            </w:tcBorders>
            <w:vAlign w:val="bottom"/>
          </w:tcPr>
          <w:p w14:paraId="76A08E3A" w14:textId="59BF1BE3" w:rsidR="00CD4C96" w:rsidRPr="00416D13" w:rsidRDefault="00CD4C96" w:rsidP="00E22A2F">
            <w:pPr>
              <w:pStyle w:val="TableText"/>
              <w:spacing w:before="0" w:after="120"/>
              <w:jc w:val="both"/>
              <w:rPr>
                <w:rFonts w:cs="Calibri"/>
              </w:rPr>
            </w:pPr>
            <w:r w:rsidRPr="00416D13">
              <w:rPr>
                <w:rFonts w:cs="Calibri"/>
              </w:rPr>
              <w:t xml:space="preserve">On </w:t>
            </w:r>
            <w:r w:rsidRPr="00C65FC2">
              <w:rPr>
                <w:rFonts w:cs="Calibri"/>
              </w:rPr>
              <w:t>1 July 202</w:t>
            </w:r>
            <w:r w:rsidR="00C85B7F">
              <w:rPr>
                <w:rFonts w:cs="Calibri"/>
              </w:rPr>
              <w:t>3</w:t>
            </w:r>
            <w:r w:rsidRPr="00C65FC2">
              <w:rPr>
                <w:rFonts w:cs="Calibri"/>
              </w:rPr>
              <w:t xml:space="preserve">, the Executive </w:t>
            </w:r>
            <w:r w:rsidRPr="00416D13">
              <w:rPr>
                <w:rFonts w:cs="Calibri"/>
              </w:rPr>
              <w:t xml:space="preserve">approved an administrative arrangement that involved restructuring </w:t>
            </w:r>
            <w:r>
              <w:rPr>
                <w:rFonts w:cs="Calibri"/>
              </w:rPr>
              <w:t>‘Burley Griffin Agency’</w:t>
            </w:r>
            <w:r w:rsidRPr="00416D13">
              <w:rPr>
                <w:rFonts w:cs="Calibri"/>
              </w:rPr>
              <w:t xml:space="preserve"> by moving its land and planning division to ‘Receiving Directorate’. The movement of the land and planning division was undertaken because it was considered that this function was more closely aligned with the existing functions of ‘Receiving Directorate’.</w:t>
            </w:r>
            <w:r w:rsidR="00FA7C77">
              <w:rPr>
                <w:rFonts w:cs="Calibri"/>
              </w:rPr>
              <w:t xml:space="preserve"> </w:t>
            </w:r>
            <w:r w:rsidRPr="00416D13">
              <w:rPr>
                <w:rFonts w:cs="Calibri"/>
              </w:rPr>
              <w:t>The financial effect of the administrative arrangement is not reflected in the financial statements.</w:t>
            </w:r>
            <w:r w:rsidR="00FA7C77">
              <w:rPr>
                <w:rFonts w:cs="Calibri"/>
              </w:rPr>
              <w:t xml:space="preserve">  </w:t>
            </w:r>
          </w:p>
        </w:tc>
      </w:tr>
      <w:tr w:rsidR="00CD4C96" w:rsidRPr="00416D13" w14:paraId="3ADFCD8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3"/>
          <w:wAfter w:w="9613" w:type="dxa"/>
          <w:trHeight w:val="23"/>
        </w:trPr>
        <w:tc>
          <w:tcPr>
            <w:tcW w:w="1562" w:type="dxa"/>
            <w:tcBorders>
              <w:top w:val="nil"/>
              <w:left w:val="single" w:sz="2" w:space="0" w:color="auto"/>
              <w:bottom w:val="nil"/>
              <w:right w:val="single" w:sz="2" w:space="0" w:color="auto"/>
            </w:tcBorders>
          </w:tcPr>
          <w:p w14:paraId="481E85DF" w14:textId="77777777" w:rsidR="00CD4C96" w:rsidRPr="00CD4C96" w:rsidRDefault="00CD4C96" w:rsidP="00CD4C96">
            <w:pPr>
              <w:pStyle w:val="TableReference"/>
              <w:tabs>
                <w:tab w:val="left" w:pos="3306"/>
              </w:tabs>
              <w:spacing w:before="60"/>
              <w:rPr>
                <w:color w:val="7030A0"/>
                <w:sz w:val="14"/>
              </w:rPr>
            </w:pPr>
            <w:r w:rsidRPr="00CD4C96">
              <w:rPr>
                <w:color w:val="7030A0"/>
                <w:sz w:val="14"/>
              </w:rPr>
              <w:t>AASB 110.21(b)</w:t>
            </w:r>
          </w:p>
        </w:tc>
        <w:tc>
          <w:tcPr>
            <w:tcW w:w="8785" w:type="dxa"/>
            <w:gridSpan w:val="15"/>
            <w:tcBorders>
              <w:top w:val="nil"/>
              <w:left w:val="single" w:sz="2" w:space="0" w:color="auto"/>
              <w:bottom w:val="nil"/>
              <w:right w:val="nil"/>
            </w:tcBorders>
            <w:vAlign w:val="bottom"/>
          </w:tcPr>
          <w:p w14:paraId="56028CC9" w14:textId="723A07F0" w:rsidR="00CD4C96" w:rsidRPr="00416D13" w:rsidRDefault="00CD4C96" w:rsidP="00E22A2F">
            <w:pPr>
              <w:pStyle w:val="TableText"/>
              <w:spacing w:before="0" w:after="120"/>
              <w:jc w:val="both"/>
              <w:rPr>
                <w:rFonts w:cs="Calibri"/>
              </w:rPr>
            </w:pPr>
            <w:r w:rsidRPr="00416D13">
              <w:rPr>
                <w:rFonts w:cs="Calibri"/>
              </w:rPr>
              <w:t xml:space="preserve">The total value of net assets transferred between the </w:t>
            </w:r>
            <w:r w:rsidR="00C65FC2">
              <w:rPr>
                <w:rFonts w:cs="Calibri"/>
              </w:rPr>
              <w:t xml:space="preserve">‘Burley Griffin </w:t>
            </w:r>
            <w:r w:rsidRPr="00416D13">
              <w:rPr>
                <w:rFonts w:cs="Calibri"/>
              </w:rPr>
              <w:t>Agency</w:t>
            </w:r>
            <w:r w:rsidR="00C65FC2">
              <w:rPr>
                <w:rFonts w:cs="Calibri"/>
              </w:rPr>
              <w:t>’</w:t>
            </w:r>
            <w:r w:rsidRPr="00416D13">
              <w:rPr>
                <w:rFonts w:cs="Calibri"/>
              </w:rPr>
              <w:t xml:space="preserve"> and ‘Receiving Directorate’ after the reporting period was $</w:t>
            </w:r>
            <w:r w:rsidR="000E5C59" w:rsidRPr="000E5C59">
              <w:rPr>
                <w:rFonts w:cs="Calibri"/>
                <w:color w:val="FF0000"/>
              </w:rPr>
              <w:t>xxx</w:t>
            </w:r>
            <w:r w:rsidRPr="000E5C59">
              <w:rPr>
                <w:rFonts w:cs="Calibri"/>
                <w:strike/>
                <w:color w:val="FF0000"/>
              </w:rPr>
              <w:t>000,000</w:t>
            </w:r>
            <w:r w:rsidRPr="00416D13">
              <w:rPr>
                <w:rFonts w:cs="Calibri"/>
              </w:rPr>
              <w:t xml:space="preserve">. </w:t>
            </w:r>
          </w:p>
        </w:tc>
      </w:tr>
      <w:tr w:rsidR="00CD4C96" w:rsidRPr="00416D13" w14:paraId="7AB21A77"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1E765A79" w14:textId="4E43DC71" w:rsidR="00CD4C96" w:rsidRPr="000A1EDA" w:rsidRDefault="000A1EDA" w:rsidP="00C24DC3">
            <w:pPr>
              <w:pStyle w:val="TableReference"/>
              <w:tabs>
                <w:tab w:val="left" w:pos="3306"/>
              </w:tabs>
              <w:spacing w:before="240" w:after="240"/>
              <w:rPr>
                <w:b/>
                <w:bCs/>
                <w:color w:val="7030A0"/>
                <w:sz w:val="22"/>
                <w:szCs w:val="22"/>
              </w:rPr>
            </w:pPr>
            <w:r w:rsidRPr="000A1EDA">
              <w:rPr>
                <w:rFonts w:cs="Calibri"/>
                <w:b/>
                <w:bCs/>
                <w:color w:val="7030A0"/>
                <w:sz w:val="22"/>
                <w:szCs w:val="22"/>
              </w:rPr>
              <w:t>Reference</w:t>
            </w:r>
          </w:p>
        </w:tc>
        <w:tc>
          <w:tcPr>
            <w:tcW w:w="8785" w:type="dxa"/>
            <w:gridSpan w:val="15"/>
            <w:tcBorders>
              <w:left w:val="single" w:sz="2" w:space="0" w:color="auto"/>
            </w:tcBorders>
            <w:shd w:val="clear" w:color="auto" w:fill="7030A0"/>
          </w:tcPr>
          <w:p w14:paraId="3D798A0E" w14:textId="03B5E651" w:rsidR="00CD4C96" w:rsidRPr="00416D13" w:rsidRDefault="00CD4C96" w:rsidP="00C24DC3">
            <w:pPr>
              <w:pStyle w:val="CommentaryTitle"/>
              <w:tabs>
                <w:tab w:val="left" w:pos="3306"/>
              </w:tabs>
              <w:spacing w:before="240" w:after="240"/>
              <w:rPr>
                <w:rFonts w:cs="Calibri"/>
              </w:rPr>
            </w:pPr>
            <w:bookmarkStart w:id="877" w:name="_Toc50440401"/>
            <w:bookmarkStart w:id="878" w:name="_Toc163106393"/>
            <w:r w:rsidRPr="00C65FC2">
              <w:rPr>
                <w:rFonts w:cs="Calibri"/>
                <w:color w:val="FFFFFF" w:themeColor="background1"/>
                <w:sz w:val="28"/>
                <w:szCs w:val="28"/>
              </w:rPr>
              <w:t xml:space="preserve">Commentary </w:t>
            </w:r>
            <w:r w:rsidRPr="00C65FC2">
              <w:rPr>
                <w:rFonts w:cs="Calibri"/>
                <w:color w:val="FFFFFF" w:themeColor="background1"/>
                <w:sz w:val="28"/>
                <w:szCs w:val="28"/>
              </w:rPr>
              <w:sym w:font="Symbol" w:char="F02D"/>
            </w:r>
            <w:r w:rsidRPr="00C65FC2">
              <w:rPr>
                <w:rFonts w:cs="Calibri"/>
                <w:color w:val="FFFFFF" w:themeColor="background1"/>
                <w:sz w:val="28"/>
                <w:szCs w:val="28"/>
              </w:rPr>
              <w:t xml:space="preserve"> Note </w:t>
            </w:r>
            <w:r w:rsidR="00C65FC2">
              <w:rPr>
                <w:rFonts w:cs="Calibri"/>
                <w:color w:val="FFFFFF" w:themeColor="background1"/>
                <w:sz w:val="28"/>
                <w:szCs w:val="28"/>
              </w:rPr>
              <w:t>3</w:t>
            </w:r>
            <w:r w:rsidRPr="00C65FC2">
              <w:rPr>
                <w:rFonts w:cs="Calibri"/>
                <w:color w:val="FFFFFF" w:themeColor="background1"/>
                <w:sz w:val="28"/>
                <w:szCs w:val="28"/>
              </w:rPr>
              <w:t xml:space="preserve">6: Events after the </w:t>
            </w:r>
            <w:bookmarkEnd w:id="877"/>
            <w:bookmarkEnd w:id="878"/>
            <w:r w:rsidRPr="00C65FC2">
              <w:rPr>
                <w:rFonts w:cs="Calibri"/>
                <w:color w:val="FFFFFF" w:themeColor="background1"/>
                <w:sz w:val="28"/>
                <w:szCs w:val="28"/>
              </w:rPr>
              <w:t>Reporting Period</w:t>
            </w:r>
            <w:r w:rsidRPr="00416D13">
              <w:rPr>
                <w:rFonts w:cs="Calibri"/>
              </w:rPr>
              <w:t xml:space="preserve"> </w:t>
            </w:r>
          </w:p>
        </w:tc>
      </w:tr>
      <w:tr w:rsidR="00CD4C96" w:rsidRPr="009025F5" w14:paraId="0F3CB77F"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1DAE5034"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110.3</w:t>
            </w:r>
          </w:p>
        </w:tc>
        <w:tc>
          <w:tcPr>
            <w:tcW w:w="8785" w:type="dxa"/>
            <w:gridSpan w:val="15"/>
            <w:tcBorders>
              <w:left w:val="single" w:sz="2" w:space="0" w:color="auto"/>
            </w:tcBorders>
            <w:shd w:val="clear" w:color="auto" w:fill="7030A0"/>
          </w:tcPr>
          <w:p w14:paraId="43478FDD" w14:textId="6FAC9E50"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Events after the reporting period are those events, favourable and unfavourable, that occur between the reporting period and the date when the financial statements are authorised for issue.</w:t>
            </w:r>
            <w:r w:rsidR="00FA7C77">
              <w:rPr>
                <w:rFonts w:cs="Calibri"/>
                <w:color w:val="FFFFFF" w:themeColor="background1"/>
                <w:sz w:val="18"/>
                <w:szCs w:val="18"/>
              </w:rPr>
              <w:t xml:space="preserve"> </w:t>
            </w:r>
            <w:r w:rsidRPr="00C65FC2">
              <w:rPr>
                <w:rFonts w:cs="Calibri"/>
                <w:color w:val="FFFFFF" w:themeColor="background1"/>
                <w:sz w:val="18"/>
                <w:szCs w:val="18"/>
              </w:rPr>
              <w:t>Two types of events can be identified:</w:t>
            </w:r>
          </w:p>
          <w:p w14:paraId="2B66FB3C"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 xml:space="preserve">those that provide evidence of conditions that existed at the end of the reporting period (adjusting events after the reporting period); and </w:t>
            </w:r>
          </w:p>
          <w:p w14:paraId="28C1007E"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those that are indicative of conditions that arose after the reporting period (non-adjusting events after the reporting period).</w:t>
            </w:r>
          </w:p>
        </w:tc>
      </w:tr>
      <w:tr w:rsidR="00CD4C96" w:rsidRPr="009025F5" w14:paraId="5219638A"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27582ED2"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110.8 &amp; 9</w:t>
            </w:r>
          </w:p>
          <w:p w14:paraId="7D090427" w14:textId="77777777" w:rsidR="00CD4C96" w:rsidRPr="00CD4C96" w:rsidRDefault="00CD4C96" w:rsidP="00E22A2F">
            <w:pPr>
              <w:pStyle w:val="TableReference"/>
              <w:tabs>
                <w:tab w:val="left" w:pos="3306"/>
              </w:tabs>
              <w:rPr>
                <w:color w:val="7030A0"/>
                <w:sz w:val="14"/>
              </w:rPr>
            </w:pPr>
          </w:p>
          <w:p w14:paraId="5DF15283" w14:textId="77777777" w:rsidR="00CD4C96" w:rsidRPr="00CD4C96" w:rsidRDefault="00CD4C96" w:rsidP="00E22A2F">
            <w:pPr>
              <w:pStyle w:val="TableReference"/>
              <w:tabs>
                <w:tab w:val="left" w:pos="3306"/>
              </w:tabs>
              <w:rPr>
                <w:color w:val="7030A0"/>
                <w:sz w:val="14"/>
              </w:rPr>
            </w:pPr>
          </w:p>
          <w:p w14:paraId="0DF75FA8" w14:textId="77777777" w:rsidR="00CD4C96" w:rsidRPr="00CD4C96" w:rsidRDefault="00CD4C96" w:rsidP="00E22A2F">
            <w:pPr>
              <w:pStyle w:val="TableReference"/>
              <w:tabs>
                <w:tab w:val="left" w:pos="3306"/>
              </w:tabs>
              <w:rPr>
                <w:color w:val="7030A0"/>
                <w:sz w:val="14"/>
              </w:rPr>
            </w:pPr>
          </w:p>
          <w:p w14:paraId="661D715E" w14:textId="77777777" w:rsidR="00CD4C96" w:rsidRPr="00CD4C96" w:rsidRDefault="00CD4C96" w:rsidP="00E22A2F">
            <w:pPr>
              <w:pStyle w:val="TableReference"/>
              <w:tabs>
                <w:tab w:val="left" w:pos="3306"/>
              </w:tabs>
              <w:rPr>
                <w:color w:val="7030A0"/>
                <w:sz w:val="14"/>
              </w:rPr>
            </w:pPr>
          </w:p>
          <w:p w14:paraId="12930BFA" w14:textId="77777777" w:rsidR="00CD4C96" w:rsidRPr="00CD4C96" w:rsidRDefault="00CD4C96" w:rsidP="00E22A2F">
            <w:pPr>
              <w:pStyle w:val="TableReference"/>
              <w:tabs>
                <w:tab w:val="left" w:pos="3306"/>
              </w:tabs>
              <w:rPr>
                <w:color w:val="7030A0"/>
                <w:sz w:val="14"/>
              </w:rPr>
            </w:pPr>
          </w:p>
          <w:p w14:paraId="2E3F2DB8" w14:textId="77777777" w:rsidR="00CD4C96" w:rsidRPr="00CD4C96" w:rsidRDefault="00CD4C96" w:rsidP="00E22A2F">
            <w:pPr>
              <w:pStyle w:val="TableReference"/>
              <w:tabs>
                <w:tab w:val="left" w:pos="3306"/>
              </w:tabs>
              <w:rPr>
                <w:color w:val="7030A0"/>
                <w:sz w:val="14"/>
              </w:rPr>
            </w:pPr>
          </w:p>
          <w:p w14:paraId="48C9B2A7" w14:textId="77777777" w:rsidR="00CD4C96" w:rsidRPr="00CD4C96" w:rsidRDefault="00CD4C96" w:rsidP="00E22A2F">
            <w:pPr>
              <w:pStyle w:val="TableReference"/>
              <w:tabs>
                <w:tab w:val="left" w:pos="3306"/>
              </w:tabs>
              <w:rPr>
                <w:color w:val="7030A0"/>
                <w:sz w:val="14"/>
              </w:rPr>
            </w:pPr>
          </w:p>
          <w:p w14:paraId="7CD77D17" w14:textId="77777777" w:rsidR="00CD4C96" w:rsidRPr="00CD4C96" w:rsidRDefault="00CD4C96" w:rsidP="00E22A2F">
            <w:pPr>
              <w:pStyle w:val="TableReference"/>
              <w:tabs>
                <w:tab w:val="left" w:pos="3306"/>
              </w:tabs>
              <w:rPr>
                <w:color w:val="7030A0"/>
                <w:sz w:val="14"/>
              </w:rPr>
            </w:pPr>
          </w:p>
          <w:p w14:paraId="71E6E60C" w14:textId="77777777" w:rsidR="00CD4C96" w:rsidRPr="00CD4C96" w:rsidRDefault="00CD4C96" w:rsidP="00E22A2F">
            <w:pPr>
              <w:pStyle w:val="TableReference"/>
              <w:tabs>
                <w:tab w:val="left" w:pos="3306"/>
              </w:tabs>
              <w:rPr>
                <w:color w:val="7030A0"/>
                <w:sz w:val="14"/>
              </w:rPr>
            </w:pPr>
            <w:r w:rsidRPr="00CD4C96">
              <w:rPr>
                <w:color w:val="7030A0"/>
                <w:sz w:val="14"/>
              </w:rPr>
              <w:t>AASB 110.10 &amp; 11</w:t>
            </w:r>
          </w:p>
        </w:tc>
        <w:tc>
          <w:tcPr>
            <w:tcW w:w="8785" w:type="dxa"/>
            <w:gridSpan w:val="15"/>
            <w:tcBorders>
              <w:left w:val="single" w:sz="2" w:space="0" w:color="auto"/>
            </w:tcBorders>
            <w:shd w:val="clear" w:color="auto" w:fill="7030A0"/>
          </w:tcPr>
          <w:p w14:paraId="42143C97" w14:textId="42BF8053"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Adjusting events after the reporting period – involve an agency adjusting the amounts recognised in its financial statements for that adjusting event.</w:t>
            </w:r>
            <w:r w:rsidR="00FA7C77">
              <w:rPr>
                <w:rFonts w:cs="Calibri"/>
                <w:color w:val="FFFFFF" w:themeColor="background1"/>
                <w:sz w:val="18"/>
                <w:szCs w:val="18"/>
              </w:rPr>
              <w:t xml:space="preserve"> </w:t>
            </w:r>
            <w:r w:rsidRPr="00C65FC2">
              <w:rPr>
                <w:rFonts w:cs="Calibri"/>
                <w:color w:val="FFFFFF" w:themeColor="background1"/>
                <w:sz w:val="18"/>
                <w:szCs w:val="18"/>
              </w:rPr>
              <w:t>An example of an adjusting event is the settlement after the reporting period of a court case that confirms the agency had a present obligation at the end of the reporting period.</w:t>
            </w:r>
            <w:r w:rsidR="00FA7C77">
              <w:rPr>
                <w:rFonts w:cs="Calibri"/>
                <w:color w:val="FFFFFF" w:themeColor="background1"/>
                <w:sz w:val="18"/>
                <w:szCs w:val="18"/>
              </w:rPr>
              <w:t xml:space="preserve"> </w:t>
            </w:r>
            <w:r w:rsidRPr="00C65FC2">
              <w:rPr>
                <w:rFonts w:cs="Calibri"/>
                <w:color w:val="FFFFFF" w:themeColor="background1"/>
                <w:sz w:val="18"/>
                <w:szCs w:val="18"/>
              </w:rPr>
              <w:t>The agency would therefore have to make the appropriate adjustment in its financial statements for the result of the court case.</w:t>
            </w:r>
          </w:p>
          <w:p w14:paraId="1D654BCB" w14:textId="07E7C47F"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Non-adjusting events after the reporting period – involve the disclosure of the event; however, no adjustment is made to amounts recognised in the financial report.</w:t>
            </w:r>
            <w:r w:rsidR="00FA7C77">
              <w:rPr>
                <w:rFonts w:cs="Calibri"/>
                <w:color w:val="FFFFFF" w:themeColor="background1"/>
                <w:sz w:val="18"/>
                <w:szCs w:val="18"/>
              </w:rPr>
              <w:t xml:space="preserve"> </w:t>
            </w:r>
            <w:r w:rsidRPr="00C65FC2">
              <w:rPr>
                <w:rFonts w:cs="Calibri"/>
                <w:color w:val="FFFFFF" w:themeColor="background1"/>
                <w:sz w:val="18"/>
                <w:szCs w:val="18"/>
              </w:rPr>
              <w:t>An example of a non-adjusting event is a decline in market value of investments between the end of the reporting period and the date when the financial report is authorised for issue. The decline in market value does not normally relate to the condition of the investments at the end of the</w:t>
            </w:r>
            <w:r w:rsidR="00FA7C77">
              <w:rPr>
                <w:rFonts w:cs="Calibri"/>
                <w:color w:val="FFFFFF" w:themeColor="background1"/>
                <w:sz w:val="18"/>
                <w:szCs w:val="18"/>
              </w:rPr>
              <w:t xml:space="preserve"> </w:t>
            </w:r>
            <w:r w:rsidRPr="00C65FC2">
              <w:rPr>
                <w:rFonts w:cs="Calibri"/>
                <w:color w:val="FFFFFF" w:themeColor="background1"/>
                <w:sz w:val="18"/>
                <w:szCs w:val="18"/>
              </w:rPr>
              <w:t>reporting period, but reflects circumstances that have arisen subsequently.</w:t>
            </w:r>
          </w:p>
        </w:tc>
      </w:tr>
      <w:tr w:rsidR="00CD4C96" w:rsidRPr="009025F5" w14:paraId="016DD91D"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330C9933"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110.19</w:t>
            </w:r>
          </w:p>
        </w:tc>
        <w:tc>
          <w:tcPr>
            <w:tcW w:w="8785" w:type="dxa"/>
            <w:gridSpan w:val="15"/>
            <w:tcBorders>
              <w:left w:val="single" w:sz="2" w:space="0" w:color="auto"/>
            </w:tcBorders>
            <w:shd w:val="clear" w:color="auto" w:fill="7030A0"/>
          </w:tcPr>
          <w:p w14:paraId="055DFADE" w14:textId="77777777"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If an agency receives information after the reporting period about conditions that existed at the end of the reporting period, disclosures relating to those conditions should be updated in light of the new information.</w:t>
            </w:r>
          </w:p>
        </w:tc>
      </w:tr>
      <w:tr w:rsidR="00CD4C96" w:rsidRPr="009025F5" w14:paraId="26B5F6F9"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6E2EE56E"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110.21</w:t>
            </w:r>
          </w:p>
        </w:tc>
        <w:tc>
          <w:tcPr>
            <w:tcW w:w="8785" w:type="dxa"/>
            <w:gridSpan w:val="15"/>
            <w:tcBorders>
              <w:left w:val="single" w:sz="2" w:space="0" w:color="auto"/>
            </w:tcBorders>
            <w:shd w:val="clear" w:color="auto" w:fill="7030A0"/>
          </w:tcPr>
          <w:p w14:paraId="18249A23" w14:textId="77777777" w:rsidR="00CD4C96" w:rsidRPr="00C65FC2" w:rsidRDefault="00CD4C96" w:rsidP="00C87FF4">
            <w:pPr>
              <w:pStyle w:val="CommentaryText"/>
              <w:tabs>
                <w:tab w:val="left" w:pos="3306"/>
              </w:tabs>
              <w:spacing w:after="40"/>
              <w:rPr>
                <w:rFonts w:cs="Calibri"/>
                <w:color w:val="FFFFFF" w:themeColor="background1"/>
                <w:sz w:val="18"/>
                <w:szCs w:val="18"/>
              </w:rPr>
            </w:pPr>
            <w:r w:rsidRPr="00C65FC2">
              <w:rPr>
                <w:rFonts w:cs="Calibri"/>
                <w:color w:val="FFFFFF" w:themeColor="background1"/>
                <w:sz w:val="18"/>
                <w:szCs w:val="18"/>
              </w:rPr>
              <w:t>AASB 110 Events after the Reporting Period requires the following information to be disclosed for each material category of non-adjusting event after the reporting period:</w:t>
            </w:r>
          </w:p>
          <w:p w14:paraId="4F39E264"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the nature of the event; and</w:t>
            </w:r>
          </w:p>
          <w:p w14:paraId="7AAF0093"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an estimate of its financial effect or a statement that such an estimate cannot be made.</w:t>
            </w:r>
          </w:p>
        </w:tc>
      </w:tr>
      <w:tr w:rsidR="00CD4C96" w:rsidRPr="009025F5" w14:paraId="68865680" w14:textId="77777777" w:rsidTr="005F6493">
        <w:tblPrEx>
          <w:shd w:val="clear" w:color="auto" w:fill="auto"/>
        </w:tblPrEx>
        <w:trPr>
          <w:gridAfter w:val="3"/>
          <w:wAfter w:w="9613" w:type="dxa"/>
          <w:trHeight w:val="283"/>
        </w:trPr>
        <w:tc>
          <w:tcPr>
            <w:tcW w:w="1562" w:type="dxa"/>
            <w:tcBorders>
              <w:left w:val="single" w:sz="2" w:space="0" w:color="auto"/>
              <w:right w:val="single" w:sz="2" w:space="0" w:color="auto"/>
            </w:tcBorders>
          </w:tcPr>
          <w:p w14:paraId="2DD073C4" w14:textId="77777777" w:rsidR="00CD4C96" w:rsidRPr="00416D13" w:rsidRDefault="00CD4C96" w:rsidP="00E22A2F">
            <w:pPr>
              <w:pStyle w:val="TableReference"/>
              <w:tabs>
                <w:tab w:val="left" w:pos="3306"/>
              </w:tabs>
              <w:spacing w:before="60"/>
              <w:rPr>
                <w:rFonts w:cs="Calibri"/>
                <w:color w:val="auto"/>
                <w:sz w:val="16"/>
                <w:szCs w:val="16"/>
              </w:rPr>
            </w:pPr>
          </w:p>
        </w:tc>
        <w:tc>
          <w:tcPr>
            <w:tcW w:w="8785" w:type="dxa"/>
            <w:gridSpan w:val="15"/>
            <w:tcBorders>
              <w:left w:val="single" w:sz="2" w:space="0" w:color="auto"/>
            </w:tcBorders>
            <w:shd w:val="clear" w:color="auto" w:fill="7030A0"/>
          </w:tcPr>
          <w:p w14:paraId="30F600B8" w14:textId="77777777" w:rsidR="00CD4C96" w:rsidRPr="00C65FC2" w:rsidRDefault="00CD4C96" w:rsidP="00E22A2F">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 xml:space="preserve">If an agency does not have any material events occurring after the reporting period, then this note can be excluded. </w:t>
            </w:r>
          </w:p>
        </w:tc>
      </w:tr>
      <w:tr w:rsidR="000144FF" w:rsidRPr="00CF7E1B" w14:paraId="083308C1"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17E937F" w14:textId="795426F5" w:rsidR="000144FF" w:rsidRPr="00B01585" w:rsidRDefault="000144FF" w:rsidP="005B1145">
            <w:pPr>
              <w:pStyle w:val="TableReference"/>
              <w:tabs>
                <w:tab w:val="left" w:pos="3306"/>
              </w:tabs>
              <w:spacing w:before="240" w:after="240"/>
              <w:rPr>
                <w:rFonts w:cs="Calibri"/>
                <w:b/>
                <w:color w:val="7030A0"/>
                <w:sz w:val="22"/>
                <w:szCs w:val="22"/>
              </w:rPr>
            </w:pPr>
          </w:p>
        </w:tc>
        <w:tc>
          <w:tcPr>
            <w:tcW w:w="8930" w:type="dxa"/>
            <w:gridSpan w:val="16"/>
            <w:tcBorders>
              <w:top w:val="nil"/>
              <w:left w:val="single" w:sz="2" w:space="0" w:color="auto"/>
              <w:bottom w:val="nil"/>
              <w:right w:val="nil"/>
            </w:tcBorders>
            <w:vAlign w:val="bottom"/>
          </w:tcPr>
          <w:p w14:paraId="3FED2862" w14:textId="3A4CDA64" w:rsidR="000144FF" w:rsidRPr="00B01585" w:rsidRDefault="00D52141" w:rsidP="000C4F43">
            <w:pPr>
              <w:pStyle w:val="Heading1"/>
              <w:numPr>
                <w:ilvl w:val="0"/>
                <w:numId w:val="0"/>
              </w:numPr>
            </w:pPr>
            <w:bookmarkStart w:id="879" w:name="_Toc49224245"/>
            <w:bookmarkStart w:id="880" w:name="_Ref50365756"/>
            <w:bookmarkStart w:id="881" w:name="_Toc50440402"/>
            <w:bookmarkStart w:id="882" w:name="_Ref50524291"/>
            <w:bookmarkStart w:id="883" w:name="_Toc400627364"/>
            <w:bookmarkStart w:id="884" w:name="_Toc132743832"/>
            <w:r w:rsidRPr="00B01585">
              <w:t>Note</w:t>
            </w:r>
            <w:r w:rsidR="00106CCB" w:rsidRPr="00B01585">
              <w:t xml:space="preserve"> </w:t>
            </w:r>
            <w:r w:rsidR="00364EB1" w:rsidRPr="00B01585">
              <w:t>3</w:t>
            </w:r>
            <w:r w:rsidR="0057601E" w:rsidRPr="00B01585">
              <w:t>7</w:t>
            </w:r>
            <w:r w:rsidR="00106CCB" w:rsidRPr="00B01585">
              <w:t>.</w:t>
            </w:r>
            <w:r w:rsidR="00FA7C77">
              <w:t xml:space="preserve"> </w:t>
            </w:r>
            <w:r w:rsidRPr="00B01585">
              <w:t xml:space="preserve"> </w:t>
            </w:r>
            <w:r w:rsidR="000144FF" w:rsidRPr="00B01585">
              <w:t>Third Party Monies</w:t>
            </w:r>
            <w:bookmarkEnd w:id="879"/>
            <w:bookmarkEnd w:id="880"/>
            <w:bookmarkEnd w:id="881"/>
            <w:bookmarkEnd w:id="882"/>
            <w:bookmarkEnd w:id="883"/>
            <w:bookmarkEnd w:id="884"/>
          </w:p>
        </w:tc>
      </w:tr>
      <w:tr w:rsidR="008636EA" w:rsidRPr="00CF7E1B" w14:paraId="5930C02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B733055" w14:textId="77777777" w:rsidR="008636EA" w:rsidRPr="00B01585" w:rsidRDefault="008636EA" w:rsidP="00300197">
            <w:pPr>
              <w:pStyle w:val="TableReference"/>
              <w:tabs>
                <w:tab w:val="left" w:pos="3306"/>
              </w:tabs>
              <w:rPr>
                <w:rFonts w:cs="Calibri"/>
                <w:b/>
                <w:color w:val="7030A0"/>
                <w:sz w:val="20"/>
                <w:szCs w:val="20"/>
              </w:rPr>
            </w:pPr>
          </w:p>
        </w:tc>
        <w:tc>
          <w:tcPr>
            <w:tcW w:w="8930" w:type="dxa"/>
            <w:gridSpan w:val="16"/>
            <w:tcBorders>
              <w:top w:val="nil"/>
              <w:left w:val="single" w:sz="2" w:space="0" w:color="auto"/>
              <w:bottom w:val="nil"/>
              <w:right w:val="nil"/>
            </w:tcBorders>
            <w:vAlign w:val="bottom"/>
          </w:tcPr>
          <w:p w14:paraId="1D12115C" w14:textId="60F6A926" w:rsidR="008636EA" w:rsidRPr="00B01585" w:rsidRDefault="00226A74" w:rsidP="0057497D">
            <w:pPr>
              <w:spacing w:after="40"/>
              <w:rPr>
                <w:b/>
                <w:bCs/>
                <w:sz w:val="18"/>
                <w:szCs w:val="18"/>
              </w:rPr>
            </w:pPr>
            <w:r w:rsidRPr="00B01585">
              <w:rPr>
                <w:b/>
                <w:bCs/>
                <w:sz w:val="18"/>
                <w:szCs w:val="18"/>
              </w:rPr>
              <w:t>Description and Material Accounting Policies Relating to Third Party Monies</w:t>
            </w:r>
          </w:p>
        </w:tc>
      </w:tr>
      <w:tr w:rsidR="004B0AA0" w:rsidRPr="00CF7E1B" w14:paraId="6EAD5FC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B69E16E" w14:textId="77777777" w:rsidR="004B0AA0" w:rsidRPr="00B01585" w:rsidRDefault="004B0AA0" w:rsidP="00D52141">
            <w:pPr>
              <w:pStyle w:val="TableReference"/>
              <w:tabs>
                <w:tab w:val="left" w:pos="3306"/>
              </w:tabs>
              <w:spacing w:before="240"/>
              <w:rPr>
                <w:rFonts w:cs="Calibri"/>
                <w:b/>
                <w:color w:val="7030A0"/>
                <w:sz w:val="20"/>
                <w:szCs w:val="20"/>
              </w:rPr>
            </w:pPr>
          </w:p>
        </w:tc>
        <w:tc>
          <w:tcPr>
            <w:tcW w:w="8930" w:type="dxa"/>
            <w:gridSpan w:val="16"/>
            <w:tcBorders>
              <w:top w:val="nil"/>
              <w:left w:val="single" w:sz="2" w:space="0" w:color="auto"/>
              <w:bottom w:val="nil"/>
              <w:right w:val="nil"/>
            </w:tcBorders>
            <w:vAlign w:val="bottom"/>
          </w:tcPr>
          <w:p w14:paraId="17FA0C0F" w14:textId="0D8E6C42" w:rsidR="004B0AA0" w:rsidRPr="00B01585" w:rsidRDefault="004B0AA0" w:rsidP="0057497D">
            <w:pPr>
              <w:spacing w:after="120"/>
              <w:jc w:val="both"/>
              <w:rPr>
                <w:rFonts w:cs="Calibri"/>
                <w:caps/>
                <w:sz w:val="18"/>
                <w:szCs w:val="18"/>
              </w:rPr>
            </w:pPr>
            <w:r w:rsidRPr="00B01585">
              <w:rPr>
                <w:sz w:val="18"/>
                <w:szCs w:val="18"/>
              </w:rPr>
              <w:t>‘</w:t>
            </w:r>
            <w:r w:rsidR="003B044B" w:rsidRPr="00B01585">
              <w:rPr>
                <w:sz w:val="18"/>
                <w:szCs w:val="18"/>
              </w:rPr>
              <w:t>Burley Griffin</w:t>
            </w:r>
            <w:r w:rsidRPr="00B01585">
              <w:rPr>
                <w:sz w:val="18"/>
                <w:szCs w:val="18"/>
              </w:rPr>
              <w:t xml:space="preserve"> Agency’ holds </w:t>
            </w:r>
            <w:r w:rsidR="000623AF" w:rsidRPr="00B01585">
              <w:rPr>
                <w:sz w:val="18"/>
                <w:szCs w:val="18"/>
              </w:rPr>
              <w:t xml:space="preserve">security deposits </w:t>
            </w:r>
            <w:r w:rsidRPr="00B01585">
              <w:rPr>
                <w:sz w:val="18"/>
                <w:szCs w:val="18"/>
              </w:rPr>
              <w:t xml:space="preserve">for ‘Example Trust’ and also </w:t>
            </w:r>
            <w:r w:rsidR="000623AF" w:rsidRPr="00B01585">
              <w:rPr>
                <w:sz w:val="18"/>
                <w:szCs w:val="18"/>
              </w:rPr>
              <w:t>for contractors</w:t>
            </w:r>
            <w:r w:rsidRPr="00B01585">
              <w:rPr>
                <w:sz w:val="18"/>
                <w:szCs w:val="18"/>
              </w:rPr>
              <w:t xml:space="preserve">. There are no additional assets and liabilities other than cash in relation to </w:t>
            </w:r>
            <w:r w:rsidR="000623AF" w:rsidRPr="00B01585">
              <w:rPr>
                <w:sz w:val="18"/>
                <w:szCs w:val="18"/>
              </w:rPr>
              <w:t>these security deposits</w:t>
            </w:r>
            <w:r w:rsidRPr="00B01585">
              <w:rPr>
                <w:sz w:val="18"/>
                <w:szCs w:val="18"/>
              </w:rPr>
              <w:t>. Therefore</w:t>
            </w:r>
            <w:r w:rsidR="00A219CF" w:rsidRPr="00B01585">
              <w:rPr>
                <w:sz w:val="18"/>
                <w:szCs w:val="18"/>
              </w:rPr>
              <w:t>,</w:t>
            </w:r>
            <w:r w:rsidRPr="00B01585">
              <w:rPr>
                <w:sz w:val="18"/>
                <w:szCs w:val="18"/>
              </w:rPr>
              <w:t xml:space="preserve"> the below information o</w:t>
            </w:r>
            <w:r w:rsidRPr="00B01585">
              <w:rPr>
                <w:rFonts w:cs="Calibri"/>
                <w:sz w:val="18"/>
                <w:szCs w:val="18"/>
              </w:rPr>
              <w:t>nly provides cash disclosure</w:t>
            </w:r>
            <w:r w:rsidR="008636EA" w:rsidRPr="00B01585">
              <w:rPr>
                <w:rFonts w:cs="Calibri"/>
                <w:sz w:val="18"/>
                <w:szCs w:val="18"/>
              </w:rPr>
              <w:t>s</w:t>
            </w:r>
            <w:r w:rsidRPr="00B01585">
              <w:rPr>
                <w:rFonts w:cs="Calibri"/>
                <w:sz w:val="18"/>
                <w:szCs w:val="18"/>
              </w:rPr>
              <w:t xml:space="preserve"> of the trust activities during the year, and financial position at the reporting date.</w:t>
            </w:r>
            <w:r w:rsidR="008636EA" w:rsidRPr="00B01585">
              <w:rPr>
                <w:rFonts w:cs="Calibri"/>
              </w:rPr>
              <w:t xml:space="preserve"> </w:t>
            </w:r>
            <w:r w:rsidR="008636EA" w:rsidRPr="00B01585">
              <w:rPr>
                <w:rFonts w:cs="Calibri"/>
                <w:sz w:val="18"/>
                <w:szCs w:val="18"/>
              </w:rPr>
              <w:t>In both cases a trust</w:t>
            </w:r>
            <w:r w:rsidR="008636EA" w:rsidRPr="00B01585">
              <w:rPr>
                <w:sz w:val="18"/>
                <w:szCs w:val="18"/>
              </w:rPr>
              <w:t xml:space="preserve"> bank account has been set up in accordance with </w:t>
            </w:r>
            <w:r w:rsidR="008636EA" w:rsidRPr="00B01585">
              <w:rPr>
                <w:rFonts w:cs="Calibri"/>
                <w:sz w:val="18"/>
                <w:szCs w:val="18"/>
              </w:rPr>
              <w:t>section 51 of the</w:t>
            </w:r>
            <w:r w:rsidR="008636EA" w:rsidRPr="00B01585">
              <w:rPr>
                <w:sz w:val="18"/>
                <w:szCs w:val="18"/>
              </w:rPr>
              <w:t xml:space="preserve"> Financial Management Act to collect and hold the deposits.</w:t>
            </w:r>
          </w:p>
        </w:tc>
      </w:tr>
      <w:bookmarkEnd w:id="870"/>
      <w:tr w:rsidR="000144FF" w:rsidRPr="00CF7E1B" w14:paraId="125B834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8E37CBA" w14:textId="77777777" w:rsidR="000144FF" w:rsidRPr="00B01585" w:rsidRDefault="000144FF">
            <w:pPr>
              <w:pStyle w:val="TableReference"/>
              <w:tabs>
                <w:tab w:val="left" w:pos="3306"/>
              </w:tabs>
              <w:spacing w:before="40"/>
              <w:rPr>
                <w:rFonts w:cs="Calibri"/>
                <w:color w:val="7030A0"/>
                <w:sz w:val="14"/>
              </w:rPr>
            </w:pPr>
            <w:r w:rsidRPr="00B01585">
              <w:rPr>
                <w:rFonts w:cs="Calibri"/>
                <w:color w:val="7030A0"/>
                <w:sz w:val="14"/>
              </w:rPr>
              <w:t xml:space="preserve"> ACT </w:t>
            </w:r>
            <w:r w:rsidR="001B6146" w:rsidRPr="00B01585">
              <w:rPr>
                <w:rFonts w:cs="Calibri"/>
                <w:color w:val="7030A0"/>
                <w:sz w:val="14"/>
              </w:rPr>
              <w:t>Disclosure</w:t>
            </w:r>
            <w:r w:rsidRPr="00B01585">
              <w:rPr>
                <w:rFonts w:cs="Calibri"/>
                <w:color w:val="7030A0"/>
                <w:sz w:val="14"/>
              </w:rPr>
              <w:t xml:space="preserve"> Policy</w:t>
            </w:r>
          </w:p>
        </w:tc>
        <w:tc>
          <w:tcPr>
            <w:tcW w:w="8930" w:type="dxa"/>
            <w:gridSpan w:val="16"/>
            <w:tcBorders>
              <w:top w:val="nil"/>
              <w:left w:val="single" w:sz="2" w:space="0" w:color="auto"/>
              <w:bottom w:val="nil"/>
              <w:right w:val="nil"/>
            </w:tcBorders>
            <w:vAlign w:val="bottom"/>
          </w:tcPr>
          <w:p w14:paraId="3A34B048" w14:textId="0D8FE192" w:rsidR="000144FF" w:rsidRPr="00B01585" w:rsidRDefault="004B0AA0" w:rsidP="004B0AA0">
            <w:pPr>
              <w:rPr>
                <w:i/>
                <w:iCs/>
                <w:sz w:val="18"/>
                <w:szCs w:val="18"/>
              </w:rPr>
            </w:pPr>
            <w:r w:rsidRPr="00B01585">
              <w:rPr>
                <w:rFonts w:cs="Calibri"/>
                <w:i/>
                <w:iCs/>
                <w:sz w:val="18"/>
                <w:szCs w:val="18"/>
              </w:rPr>
              <w:t>Security Deposits Held for ‘Example Trust’</w:t>
            </w:r>
          </w:p>
        </w:tc>
      </w:tr>
      <w:tr w:rsidR="004B0AA0" w:rsidRPr="00CF7E1B" w14:paraId="10EC7173"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263C92B" w14:textId="77777777" w:rsidR="004B0AA0" w:rsidRPr="00B01585" w:rsidRDefault="004B0AA0">
            <w:pPr>
              <w:pStyle w:val="TableReference"/>
              <w:tabs>
                <w:tab w:val="left" w:pos="3306"/>
              </w:tabs>
              <w:spacing w:before="40"/>
              <w:rPr>
                <w:rFonts w:cs="Calibri"/>
                <w:color w:val="7030A0"/>
                <w:sz w:val="14"/>
              </w:rPr>
            </w:pPr>
          </w:p>
        </w:tc>
        <w:tc>
          <w:tcPr>
            <w:tcW w:w="8930" w:type="dxa"/>
            <w:gridSpan w:val="16"/>
            <w:tcBorders>
              <w:top w:val="nil"/>
              <w:left w:val="single" w:sz="2" w:space="0" w:color="auto"/>
              <w:bottom w:val="nil"/>
              <w:right w:val="nil"/>
            </w:tcBorders>
            <w:vAlign w:val="bottom"/>
          </w:tcPr>
          <w:p w14:paraId="09294FF0" w14:textId="5C8122CB" w:rsidR="004B0AA0" w:rsidRPr="00B01585" w:rsidRDefault="004B0AA0" w:rsidP="0057497D">
            <w:pPr>
              <w:pStyle w:val="TableText"/>
              <w:spacing w:before="0" w:after="120"/>
              <w:jc w:val="both"/>
              <w:rPr>
                <w:rFonts w:cs="Calibri"/>
              </w:rPr>
            </w:pPr>
            <w:r w:rsidRPr="00B01585">
              <w:rPr>
                <w:rFonts w:cs="Calibri"/>
              </w:rPr>
              <w:t>The Agency holds security deposits as a custodian of ‘Example Trust’.</w:t>
            </w:r>
            <w:r w:rsidR="00FA7C77">
              <w:t xml:space="preserve"> </w:t>
            </w:r>
            <w:r w:rsidRPr="00B01585">
              <w:t>As such, these trust monies cannot be used to achieve the agency’s own objectives and therefore are not recognised in the financial statements.</w:t>
            </w:r>
            <w:r w:rsidR="00FA7C77">
              <w:t xml:space="preserve"> </w:t>
            </w:r>
          </w:p>
        </w:tc>
      </w:tr>
      <w:tr w:rsidR="0057497D" w:rsidRPr="00CF7E1B" w14:paraId="6B8A4CD8"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6A1D275F" w14:textId="77777777" w:rsidR="0057497D" w:rsidRPr="00B01585" w:rsidRDefault="0057497D" w:rsidP="0057497D">
            <w:pPr>
              <w:pStyle w:val="TableReference"/>
              <w:tabs>
                <w:tab w:val="left" w:pos="3306"/>
              </w:tabs>
              <w:spacing w:before="40"/>
              <w:rPr>
                <w:rFonts w:cs="Calibri"/>
                <w:color w:val="7030A0"/>
                <w:sz w:val="14"/>
              </w:rPr>
            </w:pPr>
          </w:p>
        </w:tc>
        <w:tc>
          <w:tcPr>
            <w:tcW w:w="8930" w:type="dxa"/>
            <w:gridSpan w:val="16"/>
            <w:tcBorders>
              <w:top w:val="nil"/>
              <w:left w:val="single" w:sz="2" w:space="0" w:color="auto"/>
              <w:bottom w:val="nil"/>
              <w:right w:val="nil"/>
            </w:tcBorders>
          </w:tcPr>
          <w:p w14:paraId="7B7C5308" w14:textId="42B5B8C8" w:rsidR="0057497D" w:rsidRPr="00B01585" w:rsidRDefault="0057497D" w:rsidP="0057497D">
            <w:pPr>
              <w:pStyle w:val="TableText"/>
              <w:spacing w:before="0"/>
              <w:jc w:val="both"/>
              <w:rPr>
                <w:rFonts w:cs="Calibri"/>
              </w:rPr>
            </w:pPr>
            <w:r w:rsidRPr="00B01585">
              <w:rPr>
                <w:rFonts w:cs="Calibri"/>
                <w:i/>
                <w:iCs/>
              </w:rPr>
              <w:t xml:space="preserve">Third Party Monies held as Security Deposits from Contractors </w:t>
            </w:r>
          </w:p>
        </w:tc>
      </w:tr>
      <w:tr w:rsidR="0057497D" w:rsidRPr="00CF7E1B" w14:paraId="4697F5F5"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vAlign w:val="center"/>
          </w:tcPr>
          <w:p w14:paraId="65412DBC" w14:textId="507E9E35" w:rsidR="0057497D" w:rsidRPr="00B01585" w:rsidRDefault="0057497D" w:rsidP="0057497D">
            <w:pPr>
              <w:pStyle w:val="TableReference"/>
              <w:tabs>
                <w:tab w:val="left" w:pos="3306"/>
              </w:tabs>
              <w:spacing w:before="40"/>
              <w:rPr>
                <w:rFonts w:cs="Calibri"/>
                <w:color w:val="7030A0"/>
                <w:sz w:val="14"/>
              </w:rPr>
            </w:pPr>
            <w:r w:rsidRPr="00B01585">
              <w:rPr>
                <w:rFonts w:cs="Calibri"/>
                <w:color w:val="7030A0"/>
                <w:sz w:val="14"/>
              </w:rPr>
              <w:t>ACT Disclosure Policy</w:t>
            </w:r>
          </w:p>
        </w:tc>
        <w:tc>
          <w:tcPr>
            <w:tcW w:w="8930" w:type="dxa"/>
            <w:gridSpan w:val="16"/>
            <w:tcBorders>
              <w:top w:val="nil"/>
              <w:left w:val="single" w:sz="2" w:space="0" w:color="auto"/>
              <w:bottom w:val="nil"/>
              <w:right w:val="nil"/>
            </w:tcBorders>
            <w:vAlign w:val="bottom"/>
          </w:tcPr>
          <w:p w14:paraId="108482BB" w14:textId="54BA8E14" w:rsidR="0057497D" w:rsidRPr="00B01585" w:rsidRDefault="0057497D" w:rsidP="0057497D">
            <w:pPr>
              <w:pStyle w:val="TableText"/>
              <w:spacing w:before="0" w:after="120"/>
              <w:jc w:val="both"/>
              <w:rPr>
                <w:rFonts w:cs="Calibri"/>
              </w:rPr>
            </w:pPr>
            <w:r w:rsidRPr="00B01585">
              <w:rPr>
                <w:rFonts w:cs="Calibri"/>
              </w:rPr>
              <w:t xml:space="preserve">The Agency holds a security deposit for a contractor who is using the Agency’s machinery to perform works in progress for the Agency. </w:t>
            </w:r>
            <w:r w:rsidR="00013477" w:rsidRPr="007B76DA">
              <w:rPr>
                <w:rFonts w:cs="Calibri"/>
                <w:color w:val="FF0000"/>
              </w:rPr>
              <w:t>While the machinery is being used by the contractor</w:t>
            </w:r>
            <w:r w:rsidR="006D3EC5" w:rsidRPr="007B76DA">
              <w:rPr>
                <w:rFonts w:cs="Calibri"/>
                <w:color w:val="FF0000"/>
              </w:rPr>
              <w:t>,</w:t>
            </w:r>
            <w:r w:rsidR="00013477" w:rsidRPr="007B76DA">
              <w:rPr>
                <w:rFonts w:cs="Calibri"/>
                <w:color w:val="FF0000"/>
              </w:rPr>
              <w:t xml:space="preserve"> the</w:t>
            </w:r>
            <w:r w:rsidR="00013477" w:rsidRPr="007B76DA">
              <w:rPr>
                <w:color w:val="FF0000"/>
              </w:rPr>
              <w:t xml:space="preserve"> </w:t>
            </w:r>
            <w:r w:rsidR="00013477" w:rsidRPr="007B76DA">
              <w:rPr>
                <w:rFonts w:cs="Calibri"/>
                <w:color w:val="FF0000"/>
              </w:rPr>
              <w:t>security deposit</w:t>
            </w:r>
            <w:r w:rsidR="00013477" w:rsidRPr="007B76DA">
              <w:rPr>
                <w:color w:val="FF0000"/>
              </w:rPr>
              <w:t xml:space="preserve"> cannot be used to achieve ‘Burley Griffin Agency’s’ own objectives and therefore are not recognised in the agency’s financial statements.</w:t>
            </w:r>
            <w:r w:rsidR="00013477" w:rsidRPr="00013477">
              <w:rPr>
                <w:color w:val="FF0000"/>
              </w:rPr>
              <w:t xml:space="preserve"> </w:t>
            </w:r>
            <w:r w:rsidRPr="00B01585">
              <w:rPr>
                <w:rFonts w:cs="Calibri"/>
              </w:rPr>
              <w:t>Where the machinery is returned to ‘</w:t>
            </w:r>
            <w:r w:rsidRPr="00B01585">
              <w:t>Burley Griffin</w:t>
            </w:r>
            <w:r w:rsidRPr="00B01585">
              <w:rPr>
                <w:rFonts w:cs="Calibri"/>
              </w:rPr>
              <w:t xml:space="preserve"> Agency’ in good working order the security deposit is returned to the contractor.</w:t>
            </w:r>
            <w:r w:rsidR="00FA7C77">
              <w:rPr>
                <w:rFonts w:cs="Calibri"/>
              </w:rPr>
              <w:t xml:space="preserve"> </w:t>
            </w:r>
            <w:r w:rsidRPr="00B01585">
              <w:rPr>
                <w:rFonts w:cs="Calibri"/>
              </w:rPr>
              <w:t xml:space="preserve">However, if the machinery is damaged upon return to the </w:t>
            </w:r>
            <w:r w:rsidR="00C958E9" w:rsidRPr="00B01585">
              <w:rPr>
                <w:rFonts w:cs="Calibri"/>
              </w:rPr>
              <w:t>agency,</w:t>
            </w:r>
            <w:r w:rsidRPr="00B01585">
              <w:rPr>
                <w:rFonts w:cs="Calibri"/>
              </w:rPr>
              <w:t xml:space="preserve"> then some or all of the security deposit is withheld and used by the agency to repair the machinery.</w:t>
            </w:r>
            <w:r w:rsidR="00FA7C77">
              <w:rPr>
                <w:rFonts w:cs="Calibri"/>
              </w:rPr>
              <w:t xml:space="preserve"> </w:t>
            </w:r>
            <w:r w:rsidRPr="00B01585">
              <w:rPr>
                <w:rFonts w:cs="Calibri"/>
              </w:rPr>
              <w:t xml:space="preserve"> </w:t>
            </w:r>
          </w:p>
        </w:tc>
      </w:tr>
      <w:tr w:rsidR="0057497D" w:rsidRPr="00CF7E1B" w14:paraId="11F7607A"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480"/>
        </w:trPr>
        <w:tc>
          <w:tcPr>
            <w:tcW w:w="1562" w:type="dxa"/>
            <w:tcBorders>
              <w:top w:val="nil"/>
              <w:left w:val="single" w:sz="2" w:space="0" w:color="auto"/>
              <w:bottom w:val="nil"/>
              <w:right w:val="single" w:sz="2" w:space="0" w:color="auto"/>
            </w:tcBorders>
          </w:tcPr>
          <w:p w14:paraId="5BC86C26"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32E9C579" w14:textId="77777777" w:rsidR="0057497D" w:rsidRPr="00B01585" w:rsidRDefault="0057497D" w:rsidP="0057497D">
            <w:pPr>
              <w:pStyle w:val="TableText"/>
              <w:tabs>
                <w:tab w:val="left" w:pos="3306"/>
              </w:tabs>
              <w:rPr>
                <w:rFonts w:cs="Calibri"/>
              </w:rPr>
            </w:pPr>
          </w:p>
        </w:tc>
        <w:tc>
          <w:tcPr>
            <w:tcW w:w="1320" w:type="dxa"/>
            <w:gridSpan w:val="5"/>
            <w:tcBorders>
              <w:top w:val="nil"/>
              <w:left w:val="nil"/>
              <w:bottom w:val="nil"/>
              <w:right w:val="nil"/>
            </w:tcBorders>
            <w:vAlign w:val="bottom"/>
          </w:tcPr>
          <w:p w14:paraId="4D497A5D" w14:textId="25F6D984" w:rsidR="0057497D" w:rsidRPr="00B01585" w:rsidRDefault="0057497D" w:rsidP="0057497D">
            <w:pPr>
              <w:pStyle w:val="TableTitle"/>
              <w:tabs>
                <w:tab w:val="left" w:pos="3306"/>
              </w:tabs>
              <w:rPr>
                <w:rFonts w:cs="Calibri"/>
              </w:rPr>
            </w:pPr>
            <w:r w:rsidRPr="00B01585">
              <w:rPr>
                <w:rFonts w:cs="Calibri"/>
              </w:rPr>
              <w:t>202</w:t>
            </w:r>
            <w:r w:rsidR="00C85B7F">
              <w:rPr>
                <w:rFonts w:cs="Calibri"/>
              </w:rPr>
              <w:t>3</w:t>
            </w:r>
          </w:p>
          <w:p w14:paraId="16E81F99" w14:textId="77777777" w:rsidR="0057497D" w:rsidRPr="00B01585" w:rsidRDefault="0057497D" w:rsidP="0057497D">
            <w:pPr>
              <w:pStyle w:val="TableTitle"/>
              <w:tabs>
                <w:tab w:val="left" w:pos="3306"/>
              </w:tabs>
              <w:rPr>
                <w:rFonts w:cs="Calibri"/>
              </w:rPr>
            </w:pPr>
            <w:r w:rsidRPr="00B01585">
              <w:rPr>
                <w:rFonts w:cs="Calibri"/>
              </w:rPr>
              <w:t>$’000</w:t>
            </w:r>
          </w:p>
        </w:tc>
        <w:tc>
          <w:tcPr>
            <w:tcW w:w="1484" w:type="dxa"/>
            <w:gridSpan w:val="3"/>
            <w:tcBorders>
              <w:top w:val="nil"/>
              <w:left w:val="nil"/>
              <w:bottom w:val="nil"/>
              <w:right w:val="nil"/>
            </w:tcBorders>
            <w:vAlign w:val="bottom"/>
          </w:tcPr>
          <w:p w14:paraId="6210F3F1" w14:textId="3D25B2A4" w:rsidR="0057497D" w:rsidRPr="00B01585" w:rsidRDefault="0057497D" w:rsidP="0057497D">
            <w:pPr>
              <w:pStyle w:val="TableTitle"/>
              <w:tabs>
                <w:tab w:val="left" w:pos="3306"/>
              </w:tabs>
              <w:rPr>
                <w:rFonts w:cs="Calibri"/>
              </w:rPr>
            </w:pPr>
            <w:r w:rsidRPr="00B01585">
              <w:rPr>
                <w:rFonts w:cs="Calibri"/>
              </w:rPr>
              <w:t>202</w:t>
            </w:r>
            <w:r w:rsidR="00C85B7F">
              <w:rPr>
                <w:rFonts w:cs="Calibri"/>
              </w:rPr>
              <w:t>2</w:t>
            </w:r>
          </w:p>
          <w:p w14:paraId="3F6B49B4" w14:textId="77777777" w:rsidR="0057497D" w:rsidRPr="00B01585" w:rsidRDefault="0057497D" w:rsidP="0057497D">
            <w:pPr>
              <w:pStyle w:val="TableTitle"/>
              <w:tabs>
                <w:tab w:val="left" w:pos="3306"/>
              </w:tabs>
              <w:rPr>
                <w:rFonts w:cs="Calibri"/>
              </w:rPr>
            </w:pPr>
            <w:r w:rsidRPr="00B01585">
              <w:rPr>
                <w:rFonts w:cs="Calibri"/>
              </w:rPr>
              <w:t>$’000</w:t>
            </w:r>
          </w:p>
        </w:tc>
      </w:tr>
      <w:tr w:rsidR="0057497D" w:rsidRPr="00CF7E1B" w14:paraId="332EB75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5A3CD2E1"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6A72E22B" w14:textId="77777777" w:rsidR="0057497D" w:rsidRPr="00B01585" w:rsidRDefault="0057497D" w:rsidP="0057497D">
            <w:pPr>
              <w:pStyle w:val="TableText"/>
              <w:tabs>
                <w:tab w:val="left" w:pos="3306"/>
              </w:tabs>
              <w:rPr>
                <w:rFonts w:cs="Calibri"/>
                <w:b/>
                <w:bCs/>
              </w:rPr>
            </w:pPr>
            <w:bookmarkStart w:id="885" w:name="_Toc48468759"/>
            <w:bookmarkStart w:id="886" w:name="_Toc49155836"/>
            <w:bookmarkStart w:id="887" w:name="_Toc49224246"/>
            <w:r w:rsidRPr="00B01585">
              <w:rPr>
                <w:rFonts w:cs="Calibri"/>
                <w:b/>
                <w:bCs/>
              </w:rPr>
              <w:t>Security Deposits Held for ‘Example Trust’</w:t>
            </w:r>
            <w:bookmarkEnd w:id="885"/>
            <w:bookmarkEnd w:id="886"/>
            <w:bookmarkEnd w:id="887"/>
            <w:r w:rsidRPr="00B01585">
              <w:rPr>
                <w:rFonts w:cs="Calibri"/>
                <w:b/>
                <w:bCs/>
              </w:rPr>
              <w:t xml:space="preserve"> </w:t>
            </w:r>
          </w:p>
        </w:tc>
        <w:tc>
          <w:tcPr>
            <w:tcW w:w="1320" w:type="dxa"/>
            <w:gridSpan w:val="5"/>
            <w:tcBorders>
              <w:top w:val="nil"/>
              <w:left w:val="nil"/>
              <w:bottom w:val="nil"/>
              <w:right w:val="nil"/>
            </w:tcBorders>
            <w:vAlign w:val="bottom"/>
          </w:tcPr>
          <w:p w14:paraId="545B830E" w14:textId="77777777"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nil"/>
              <w:right w:val="nil"/>
            </w:tcBorders>
            <w:vAlign w:val="bottom"/>
          </w:tcPr>
          <w:p w14:paraId="55BF9E74" w14:textId="77777777" w:rsidR="0057497D" w:rsidRPr="00B01585" w:rsidRDefault="0057497D" w:rsidP="0057497D">
            <w:pPr>
              <w:pStyle w:val="TableText"/>
              <w:tabs>
                <w:tab w:val="left" w:pos="3306"/>
              </w:tabs>
              <w:jc w:val="right"/>
              <w:rPr>
                <w:rFonts w:cs="Calibri"/>
              </w:rPr>
            </w:pPr>
          </w:p>
        </w:tc>
      </w:tr>
      <w:tr w:rsidR="0057497D" w:rsidRPr="00CF7E1B" w14:paraId="6BF19A9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23C2700"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78B0ECC9" w14:textId="77777777" w:rsidR="0057497D" w:rsidRPr="00B01585" w:rsidRDefault="0057497D" w:rsidP="0057497D">
            <w:pPr>
              <w:pStyle w:val="TableText"/>
              <w:tabs>
                <w:tab w:val="left" w:pos="3306"/>
              </w:tabs>
              <w:rPr>
                <w:rFonts w:cs="Calibri"/>
              </w:rPr>
            </w:pPr>
            <w:r w:rsidRPr="00B01585">
              <w:rPr>
                <w:rFonts w:cs="Calibri"/>
              </w:rPr>
              <w:t>Balance at the Beginning of the Reporting Period</w:t>
            </w:r>
          </w:p>
        </w:tc>
        <w:tc>
          <w:tcPr>
            <w:tcW w:w="1320" w:type="dxa"/>
            <w:gridSpan w:val="5"/>
            <w:tcBorders>
              <w:top w:val="nil"/>
              <w:left w:val="nil"/>
              <w:bottom w:val="nil"/>
              <w:right w:val="nil"/>
            </w:tcBorders>
            <w:vAlign w:val="bottom"/>
          </w:tcPr>
          <w:p w14:paraId="3678C74B" w14:textId="35D6F465" w:rsidR="0057497D" w:rsidRPr="00B01585" w:rsidRDefault="0057497D" w:rsidP="0057497D">
            <w:pPr>
              <w:pStyle w:val="TableText"/>
              <w:tabs>
                <w:tab w:val="left" w:pos="3306"/>
              </w:tabs>
              <w:jc w:val="right"/>
              <w:rPr>
                <w:rFonts w:cs="Calibri"/>
                <w:b/>
                <w:bCs/>
              </w:rPr>
            </w:pPr>
          </w:p>
        </w:tc>
        <w:tc>
          <w:tcPr>
            <w:tcW w:w="1484" w:type="dxa"/>
            <w:gridSpan w:val="3"/>
            <w:tcBorders>
              <w:top w:val="nil"/>
              <w:left w:val="nil"/>
              <w:bottom w:val="nil"/>
              <w:right w:val="nil"/>
            </w:tcBorders>
            <w:vAlign w:val="bottom"/>
          </w:tcPr>
          <w:p w14:paraId="52824DDB" w14:textId="1390D20D" w:rsidR="0057497D" w:rsidRPr="00B01585" w:rsidRDefault="0057497D" w:rsidP="0057497D">
            <w:pPr>
              <w:pStyle w:val="TableText"/>
              <w:tabs>
                <w:tab w:val="left" w:pos="3306"/>
              </w:tabs>
              <w:jc w:val="right"/>
              <w:rPr>
                <w:rFonts w:cs="Calibri"/>
                <w:b/>
                <w:bCs/>
              </w:rPr>
            </w:pPr>
          </w:p>
        </w:tc>
      </w:tr>
      <w:tr w:rsidR="0057497D" w:rsidRPr="00CF7E1B" w14:paraId="5B1822E4"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2EC41FAB"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34FFBF5C" w14:textId="77777777" w:rsidR="0057497D" w:rsidRPr="00B01585" w:rsidRDefault="0057497D" w:rsidP="0057497D">
            <w:pPr>
              <w:pStyle w:val="TableText"/>
              <w:tabs>
                <w:tab w:val="left" w:pos="3306"/>
              </w:tabs>
              <w:rPr>
                <w:rFonts w:cs="Calibri"/>
              </w:rPr>
            </w:pPr>
            <w:r w:rsidRPr="00B01585">
              <w:rPr>
                <w:rFonts w:cs="Calibri"/>
              </w:rPr>
              <w:t>Cash Receipts</w:t>
            </w:r>
          </w:p>
        </w:tc>
        <w:tc>
          <w:tcPr>
            <w:tcW w:w="1320" w:type="dxa"/>
            <w:gridSpan w:val="5"/>
            <w:tcBorders>
              <w:top w:val="nil"/>
              <w:left w:val="nil"/>
              <w:bottom w:val="nil"/>
              <w:right w:val="nil"/>
            </w:tcBorders>
            <w:vAlign w:val="bottom"/>
          </w:tcPr>
          <w:p w14:paraId="525CF6E6" w14:textId="1F60F5CC"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nil"/>
              <w:right w:val="nil"/>
            </w:tcBorders>
            <w:vAlign w:val="bottom"/>
          </w:tcPr>
          <w:p w14:paraId="5378C486" w14:textId="126A9EF6" w:rsidR="0057497D" w:rsidRPr="00B01585" w:rsidRDefault="0057497D" w:rsidP="0057497D">
            <w:pPr>
              <w:pStyle w:val="TableText"/>
              <w:tabs>
                <w:tab w:val="left" w:pos="3306"/>
              </w:tabs>
              <w:jc w:val="right"/>
              <w:rPr>
                <w:rFonts w:cs="Calibri"/>
              </w:rPr>
            </w:pPr>
          </w:p>
        </w:tc>
      </w:tr>
      <w:tr w:rsidR="0057497D" w:rsidRPr="00CF7E1B" w14:paraId="1172E4AB"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7FF795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2EDEE9C1" w14:textId="77777777" w:rsidR="0057497D" w:rsidRPr="00B01585" w:rsidRDefault="0057497D" w:rsidP="0057497D">
            <w:pPr>
              <w:pStyle w:val="TableText"/>
              <w:tabs>
                <w:tab w:val="left" w:pos="3306"/>
              </w:tabs>
              <w:rPr>
                <w:rFonts w:cs="Calibri"/>
              </w:rPr>
            </w:pPr>
            <w:r w:rsidRPr="00B01585">
              <w:rPr>
                <w:rFonts w:cs="Calibri"/>
              </w:rPr>
              <w:t>Cash Payments</w:t>
            </w:r>
          </w:p>
        </w:tc>
        <w:tc>
          <w:tcPr>
            <w:tcW w:w="1320" w:type="dxa"/>
            <w:gridSpan w:val="5"/>
            <w:tcBorders>
              <w:top w:val="nil"/>
              <w:left w:val="nil"/>
              <w:bottom w:val="single" w:sz="2" w:space="0" w:color="auto"/>
              <w:right w:val="nil"/>
            </w:tcBorders>
            <w:vAlign w:val="bottom"/>
          </w:tcPr>
          <w:p w14:paraId="38BA6136" w14:textId="6A8209FF"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single" w:sz="2" w:space="0" w:color="auto"/>
              <w:right w:val="nil"/>
            </w:tcBorders>
            <w:vAlign w:val="bottom"/>
          </w:tcPr>
          <w:p w14:paraId="61303520" w14:textId="65C24FF3" w:rsidR="0057497D" w:rsidRPr="00B01585" w:rsidRDefault="0057497D" w:rsidP="0057497D">
            <w:pPr>
              <w:pStyle w:val="TableText"/>
              <w:tabs>
                <w:tab w:val="left" w:pos="3306"/>
              </w:tabs>
              <w:jc w:val="right"/>
              <w:rPr>
                <w:rFonts w:cs="Calibri"/>
              </w:rPr>
            </w:pPr>
          </w:p>
        </w:tc>
      </w:tr>
      <w:tr w:rsidR="0057497D" w:rsidRPr="00CF7E1B" w14:paraId="668CD94F"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FBB3801"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4C606DEE" w14:textId="77777777" w:rsidR="0057497D" w:rsidRPr="00B01585" w:rsidRDefault="0057497D" w:rsidP="0057497D">
            <w:pPr>
              <w:pStyle w:val="TableText"/>
              <w:tabs>
                <w:tab w:val="left" w:pos="3306"/>
              </w:tabs>
              <w:rPr>
                <w:rFonts w:cs="Calibri"/>
                <w:b/>
                <w:bCs/>
              </w:rPr>
            </w:pPr>
            <w:r w:rsidRPr="00B01585">
              <w:rPr>
                <w:rFonts w:cs="Calibri"/>
                <w:b/>
                <w:bCs/>
              </w:rPr>
              <w:t>Balance at the End of the Reporting Period</w:t>
            </w:r>
          </w:p>
        </w:tc>
        <w:tc>
          <w:tcPr>
            <w:tcW w:w="1320" w:type="dxa"/>
            <w:gridSpan w:val="5"/>
            <w:tcBorders>
              <w:top w:val="single" w:sz="2" w:space="0" w:color="auto"/>
              <w:left w:val="nil"/>
              <w:bottom w:val="single" w:sz="2" w:space="0" w:color="auto"/>
              <w:right w:val="nil"/>
            </w:tcBorders>
            <w:vAlign w:val="bottom"/>
          </w:tcPr>
          <w:p w14:paraId="2A662F22" w14:textId="6C02F5E0" w:rsidR="0057497D" w:rsidRPr="00B01585" w:rsidRDefault="0057497D" w:rsidP="0057497D">
            <w:pPr>
              <w:pStyle w:val="TableText"/>
              <w:tabs>
                <w:tab w:val="left" w:pos="3306"/>
              </w:tabs>
              <w:jc w:val="right"/>
              <w:rPr>
                <w:rFonts w:cs="Calibri"/>
                <w:b/>
                <w:bCs/>
              </w:rPr>
            </w:pPr>
          </w:p>
        </w:tc>
        <w:tc>
          <w:tcPr>
            <w:tcW w:w="1484" w:type="dxa"/>
            <w:gridSpan w:val="3"/>
            <w:tcBorders>
              <w:top w:val="single" w:sz="2" w:space="0" w:color="auto"/>
              <w:left w:val="nil"/>
              <w:bottom w:val="single" w:sz="2" w:space="0" w:color="auto"/>
              <w:right w:val="nil"/>
            </w:tcBorders>
            <w:vAlign w:val="bottom"/>
          </w:tcPr>
          <w:p w14:paraId="2D2B05DE" w14:textId="19C66AFC" w:rsidR="0057497D" w:rsidRPr="00B01585" w:rsidRDefault="0057497D" w:rsidP="0057497D">
            <w:pPr>
              <w:pStyle w:val="TableText"/>
              <w:tabs>
                <w:tab w:val="left" w:pos="3306"/>
              </w:tabs>
              <w:jc w:val="right"/>
              <w:rPr>
                <w:rFonts w:cs="Calibri"/>
                <w:b/>
                <w:bCs/>
              </w:rPr>
            </w:pPr>
          </w:p>
        </w:tc>
      </w:tr>
      <w:tr w:rsidR="0057497D" w:rsidRPr="00CF7E1B" w14:paraId="00A93EF6"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04C0C11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71BC3604" w14:textId="77777777" w:rsidR="0057497D" w:rsidRPr="00B01585" w:rsidRDefault="0057497D" w:rsidP="0057497D">
            <w:pPr>
              <w:pStyle w:val="TableText"/>
              <w:tabs>
                <w:tab w:val="left" w:pos="3306"/>
              </w:tabs>
              <w:rPr>
                <w:rFonts w:cs="Calibri"/>
                <w:b/>
                <w:bCs/>
              </w:rPr>
            </w:pPr>
          </w:p>
        </w:tc>
        <w:tc>
          <w:tcPr>
            <w:tcW w:w="1320" w:type="dxa"/>
            <w:gridSpan w:val="5"/>
            <w:tcBorders>
              <w:top w:val="single" w:sz="2" w:space="0" w:color="auto"/>
              <w:left w:val="nil"/>
              <w:bottom w:val="nil"/>
              <w:right w:val="nil"/>
            </w:tcBorders>
            <w:vAlign w:val="bottom"/>
          </w:tcPr>
          <w:p w14:paraId="5C712D2A" w14:textId="77777777" w:rsidR="0057497D" w:rsidRPr="00B01585" w:rsidRDefault="0057497D" w:rsidP="0057497D">
            <w:pPr>
              <w:pStyle w:val="TableText"/>
              <w:tabs>
                <w:tab w:val="left" w:pos="3306"/>
              </w:tabs>
              <w:jc w:val="right"/>
              <w:rPr>
                <w:rFonts w:cs="Calibri"/>
                <w:b/>
                <w:bCs/>
              </w:rPr>
            </w:pPr>
          </w:p>
        </w:tc>
        <w:tc>
          <w:tcPr>
            <w:tcW w:w="1484" w:type="dxa"/>
            <w:gridSpan w:val="3"/>
            <w:tcBorders>
              <w:top w:val="single" w:sz="2" w:space="0" w:color="auto"/>
              <w:left w:val="nil"/>
              <w:bottom w:val="nil"/>
              <w:right w:val="nil"/>
            </w:tcBorders>
            <w:vAlign w:val="bottom"/>
          </w:tcPr>
          <w:p w14:paraId="7CDE8BE1" w14:textId="77777777" w:rsidR="0057497D" w:rsidRPr="00B01585" w:rsidRDefault="0057497D" w:rsidP="0057497D">
            <w:pPr>
              <w:pStyle w:val="TableText"/>
              <w:tabs>
                <w:tab w:val="left" w:pos="3306"/>
              </w:tabs>
              <w:jc w:val="right"/>
              <w:rPr>
                <w:rFonts w:cs="Calibri"/>
                <w:b/>
                <w:bCs/>
              </w:rPr>
            </w:pPr>
          </w:p>
        </w:tc>
      </w:tr>
      <w:tr w:rsidR="0057497D" w:rsidRPr="00CF7E1B" w14:paraId="10CA25E2"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9E6198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1B6E1B6C" w14:textId="77777777" w:rsidR="0057497D" w:rsidRPr="00B01585" w:rsidRDefault="0057497D" w:rsidP="0057497D">
            <w:pPr>
              <w:pStyle w:val="TableText"/>
              <w:tabs>
                <w:tab w:val="left" w:pos="3306"/>
              </w:tabs>
              <w:rPr>
                <w:rFonts w:cs="Calibri"/>
                <w:b/>
                <w:bCs/>
              </w:rPr>
            </w:pPr>
            <w:bookmarkStart w:id="888" w:name="_Toc48468760"/>
            <w:bookmarkStart w:id="889" w:name="_Toc49155837"/>
            <w:bookmarkStart w:id="890" w:name="_Toc49224247"/>
            <w:r w:rsidRPr="00B01585">
              <w:rPr>
                <w:rFonts w:cs="Calibri"/>
                <w:b/>
                <w:bCs/>
              </w:rPr>
              <w:t xml:space="preserve">Security Deposits Held – </w:t>
            </w:r>
            <w:bookmarkEnd w:id="888"/>
            <w:bookmarkEnd w:id="889"/>
            <w:bookmarkEnd w:id="890"/>
            <w:r w:rsidRPr="00B01585">
              <w:rPr>
                <w:rFonts w:cs="Calibri"/>
                <w:b/>
                <w:bCs/>
              </w:rPr>
              <w:t>Contractors</w:t>
            </w:r>
          </w:p>
        </w:tc>
        <w:tc>
          <w:tcPr>
            <w:tcW w:w="1320" w:type="dxa"/>
            <w:gridSpan w:val="5"/>
            <w:tcBorders>
              <w:top w:val="nil"/>
              <w:left w:val="nil"/>
              <w:bottom w:val="nil"/>
              <w:right w:val="nil"/>
            </w:tcBorders>
            <w:vAlign w:val="bottom"/>
          </w:tcPr>
          <w:p w14:paraId="6A1ECDBB" w14:textId="77777777"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nil"/>
              <w:right w:val="nil"/>
            </w:tcBorders>
            <w:vAlign w:val="bottom"/>
          </w:tcPr>
          <w:p w14:paraId="3AC7746C" w14:textId="77777777" w:rsidR="0057497D" w:rsidRPr="00B01585" w:rsidRDefault="0057497D" w:rsidP="0057497D">
            <w:pPr>
              <w:pStyle w:val="TableText"/>
              <w:tabs>
                <w:tab w:val="left" w:pos="3306"/>
              </w:tabs>
              <w:jc w:val="right"/>
              <w:rPr>
                <w:rFonts w:cs="Calibri"/>
              </w:rPr>
            </w:pPr>
          </w:p>
        </w:tc>
      </w:tr>
      <w:tr w:rsidR="0057497D" w:rsidRPr="00CF7E1B" w14:paraId="31328CA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361C0FFE"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6D9E4249" w14:textId="77777777" w:rsidR="0057497D" w:rsidRPr="00B01585" w:rsidRDefault="0057497D" w:rsidP="0057497D">
            <w:pPr>
              <w:pStyle w:val="TableText"/>
              <w:tabs>
                <w:tab w:val="left" w:pos="3306"/>
              </w:tabs>
              <w:rPr>
                <w:rFonts w:cs="Calibri"/>
              </w:rPr>
            </w:pPr>
            <w:r w:rsidRPr="00B01585">
              <w:rPr>
                <w:rFonts w:cs="Calibri"/>
              </w:rPr>
              <w:t xml:space="preserve">Balance at the Beginning of the Reporting Period </w:t>
            </w:r>
          </w:p>
        </w:tc>
        <w:tc>
          <w:tcPr>
            <w:tcW w:w="1320" w:type="dxa"/>
            <w:gridSpan w:val="5"/>
            <w:tcBorders>
              <w:top w:val="nil"/>
              <w:left w:val="nil"/>
              <w:bottom w:val="nil"/>
              <w:right w:val="nil"/>
            </w:tcBorders>
            <w:vAlign w:val="bottom"/>
          </w:tcPr>
          <w:p w14:paraId="6B61E181" w14:textId="27F0212E" w:rsidR="0057497D" w:rsidRPr="00B01585" w:rsidRDefault="0057497D" w:rsidP="0057497D">
            <w:pPr>
              <w:pStyle w:val="TableText"/>
              <w:tabs>
                <w:tab w:val="left" w:pos="3306"/>
              </w:tabs>
              <w:jc w:val="right"/>
              <w:rPr>
                <w:rFonts w:cs="Calibri"/>
                <w:b/>
                <w:bCs/>
              </w:rPr>
            </w:pPr>
          </w:p>
        </w:tc>
        <w:tc>
          <w:tcPr>
            <w:tcW w:w="1484" w:type="dxa"/>
            <w:gridSpan w:val="3"/>
            <w:tcBorders>
              <w:top w:val="nil"/>
              <w:left w:val="nil"/>
              <w:bottom w:val="nil"/>
              <w:right w:val="nil"/>
            </w:tcBorders>
            <w:vAlign w:val="bottom"/>
          </w:tcPr>
          <w:p w14:paraId="2514FCCA" w14:textId="489F7248" w:rsidR="0057497D" w:rsidRPr="00B01585" w:rsidRDefault="0057497D" w:rsidP="0057497D">
            <w:pPr>
              <w:pStyle w:val="TableText"/>
              <w:tabs>
                <w:tab w:val="left" w:pos="3306"/>
              </w:tabs>
              <w:jc w:val="right"/>
              <w:rPr>
                <w:rFonts w:cs="Calibri"/>
                <w:b/>
                <w:bCs/>
              </w:rPr>
            </w:pPr>
          </w:p>
        </w:tc>
      </w:tr>
      <w:tr w:rsidR="0057497D" w:rsidRPr="00CF7E1B" w14:paraId="040EFCC9"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7B4AB024"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7B544E3C" w14:textId="77777777" w:rsidR="0057497D" w:rsidRPr="00B01585" w:rsidRDefault="0057497D" w:rsidP="0057497D">
            <w:pPr>
              <w:pStyle w:val="TableText"/>
              <w:tabs>
                <w:tab w:val="left" w:pos="3306"/>
              </w:tabs>
              <w:rPr>
                <w:rFonts w:cs="Calibri"/>
              </w:rPr>
            </w:pPr>
            <w:r w:rsidRPr="00B01585">
              <w:rPr>
                <w:rFonts w:cs="Calibri"/>
              </w:rPr>
              <w:t>Cash Receipts</w:t>
            </w:r>
          </w:p>
        </w:tc>
        <w:tc>
          <w:tcPr>
            <w:tcW w:w="1320" w:type="dxa"/>
            <w:gridSpan w:val="5"/>
            <w:tcBorders>
              <w:top w:val="nil"/>
              <w:left w:val="nil"/>
              <w:bottom w:val="nil"/>
              <w:right w:val="nil"/>
            </w:tcBorders>
            <w:vAlign w:val="bottom"/>
          </w:tcPr>
          <w:p w14:paraId="6C4A490F" w14:textId="1E4FB11A"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nil"/>
              <w:right w:val="nil"/>
            </w:tcBorders>
            <w:vAlign w:val="bottom"/>
          </w:tcPr>
          <w:p w14:paraId="78E1A8A0" w14:textId="4235A034" w:rsidR="0057497D" w:rsidRPr="00B01585" w:rsidRDefault="0057497D" w:rsidP="0057497D">
            <w:pPr>
              <w:pStyle w:val="TableText"/>
              <w:tabs>
                <w:tab w:val="left" w:pos="3306"/>
              </w:tabs>
              <w:jc w:val="right"/>
              <w:rPr>
                <w:rFonts w:cs="Calibri"/>
              </w:rPr>
            </w:pPr>
          </w:p>
        </w:tc>
      </w:tr>
      <w:tr w:rsidR="0057497D" w:rsidRPr="00CF7E1B" w14:paraId="27204D37"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4E046BD5"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1AA9A8CB" w14:textId="77777777" w:rsidR="0057497D" w:rsidRPr="00B01585" w:rsidRDefault="0057497D" w:rsidP="0057497D">
            <w:pPr>
              <w:pStyle w:val="TableText"/>
              <w:tabs>
                <w:tab w:val="left" w:pos="3306"/>
              </w:tabs>
              <w:rPr>
                <w:rFonts w:cs="Calibri"/>
              </w:rPr>
            </w:pPr>
            <w:r w:rsidRPr="00B01585">
              <w:rPr>
                <w:rFonts w:cs="Calibri"/>
              </w:rPr>
              <w:t>Cash Payments</w:t>
            </w:r>
          </w:p>
        </w:tc>
        <w:tc>
          <w:tcPr>
            <w:tcW w:w="1320" w:type="dxa"/>
            <w:gridSpan w:val="5"/>
            <w:tcBorders>
              <w:top w:val="nil"/>
              <w:left w:val="nil"/>
              <w:bottom w:val="single" w:sz="2" w:space="0" w:color="auto"/>
              <w:right w:val="nil"/>
            </w:tcBorders>
            <w:vAlign w:val="bottom"/>
          </w:tcPr>
          <w:p w14:paraId="79BD2220" w14:textId="1928B359" w:rsidR="0057497D" w:rsidRPr="00B01585" w:rsidRDefault="0057497D" w:rsidP="0057497D">
            <w:pPr>
              <w:pStyle w:val="TableText"/>
              <w:tabs>
                <w:tab w:val="left" w:pos="3306"/>
              </w:tabs>
              <w:jc w:val="right"/>
              <w:rPr>
                <w:rFonts w:cs="Calibri"/>
              </w:rPr>
            </w:pPr>
          </w:p>
        </w:tc>
        <w:tc>
          <w:tcPr>
            <w:tcW w:w="1484" w:type="dxa"/>
            <w:gridSpan w:val="3"/>
            <w:tcBorders>
              <w:top w:val="nil"/>
              <w:left w:val="nil"/>
              <w:bottom w:val="single" w:sz="2" w:space="0" w:color="auto"/>
              <w:right w:val="nil"/>
            </w:tcBorders>
            <w:vAlign w:val="bottom"/>
          </w:tcPr>
          <w:p w14:paraId="67D3102C" w14:textId="7249ED7C" w:rsidR="0057497D" w:rsidRPr="00B01585" w:rsidRDefault="0057497D" w:rsidP="0057497D">
            <w:pPr>
              <w:pStyle w:val="TableText"/>
              <w:tabs>
                <w:tab w:val="left" w:pos="3306"/>
              </w:tabs>
              <w:jc w:val="right"/>
              <w:rPr>
                <w:rFonts w:cs="Calibri"/>
              </w:rPr>
            </w:pPr>
          </w:p>
        </w:tc>
      </w:tr>
      <w:tr w:rsidR="0057497D" w:rsidRPr="00CF7E1B" w14:paraId="13B1932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D3EF9AB"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13FCE1ED" w14:textId="77777777" w:rsidR="0057497D" w:rsidRPr="00B01585" w:rsidRDefault="0057497D" w:rsidP="0057497D">
            <w:pPr>
              <w:pStyle w:val="TableText"/>
              <w:tabs>
                <w:tab w:val="left" w:pos="3306"/>
              </w:tabs>
              <w:rPr>
                <w:rFonts w:cs="Calibri"/>
                <w:b/>
                <w:bCs/>
              </w:rPr>
            </w:pPr>
            <w:r w:rsidRPr="00B01585">
              <w:rPr>
                <w:rFonts w:cs="Calibri"/>
                <w:b/>
                <w:bCs/>
              </w:rPr>
              <w:t xml:space="preserve">Balance at the End of the Reporting Period </w:t>
            </w:r>
          </w:p>
        </w:tc>
        <w:tc>
          <w:tcPr>
            <w:tcW w:w="1320" w:type="dxa"/>
            <w:gridSpan w:val="5"/>
            <w:tcBorders>
              <w:top w:val="single" w:sz="2" w:space="0" w:color="auto"/>
              <w:left w:val="nil"/>
              <w:bottom w:val="single" w:sz="2" w:space="0" w:color="auto"/>
              <w:right w:val="nil"/>
            </w:tcBorders>
            <w:vAlign w:val="bottom"/>
          </w:tcPr>
          <w:p w14:paraId="6773FB8A" w14:textId="2BE19D90" w:rsidR="0057497D" w:rsidRPr="00B01585" w:rsidRDefault="0057497D" w:rsidP="0057497D">
            <w:pPr>
              <w:pStyle w:val="TableText"/>
              <w:tabs>
                <w:tab w:val="left" w:pos="3306"/>
              </w:tabs>
              <w:jc w:val="right"/>
              <w:rPr>
                <w:rFonts w:cs="Calibri"/>
                <w:b/>
                <w:bCs/>
              </w:rPr>
            </w:pPr>
          </w:p>
        </w:tc>
        <w:tc>
          <w:tcPr>
            <w:tcW w:w="1484" w:type="dxa"/>
            <w:gridSpan w:val="3"/>
            <w:tcBorders>
              <w:top w:val="single" w:sz="2" w:space="0" w:color="auto"/>
              <w:left w:val="nil"/>
              <w:bottom w:val="single" w:sz="2" w:space="0" w:color="auto"/>
              <w:right w:val="nil"/>
            </w:tcBorders>
            <w:vAlign w:val="bottom"/>
          </w:tcPr>
          <w:p w14:paraId="6785D10B" w14:textId="49751634" w:rsidR="0057497D" w:rsidRPr="00B01585" w:rsidRDefault="0057497D" w:rsidP="0057497D">
            <w:pPr>
              <w:pStyle w:val="TableText"/>
              <w:tabs>
                <w:tab w:val="left" w:pos="3306"/>
              </w:tabs>
              <w:jc w:val="right"/>
              <w:rPr>
                <w:rFonts w:cs="Calibri"/>
                <w:b/>
                <w:bCs/>
              </w:rPr>
            </w:pPr>
          </w:p>
        </w:tc>
      </w:tr>
      <w:tr w:rsidR="0057497D" w:rsidRPr="00CF7E1B" w14:paraId="381E6C50" w14:textId="77777777" w:rsidTr="005F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468" w:type="dxa"/>
          <w:trHeight w:val="23"/>
        </w:trPr>
        <w:tc>
          <w:tcPr>
            <w:tcW w:w="1562" w:type="dxa"/>
            <w:tcBorders>
              <w:top w:val="nil"/>
              <w:left w:val="single" w:sz="2" w:space="0" w:color="auto"/>
              <w:bottom w:val="nil"/>
              <w:right w:val="single" w:sz="2" w:space="0" w:color="auto"/>
            </w:tcBorders>
          </w:tcPr>
          <w:p w14:paraId="1E65FD55"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8"/>
            <w:tcBorders>
              <w:top w:val="nil"/>
              <w:left w:val="single" w:sz="2" w:space="0" w:color="auto"/>
              <w:bottom w:val="nil"/>
              <w:right w:val="nil"/>
            </w:tcBorders>
            <w:vAlign w:val="bottom"/>
          </w:tcPr>
          <w:p w14:paraId="49B45D07" w14:textId="77777777" w:rsidR="0057497D" w:rsidRPr="00B01585" w:rsidRDefault="0057497D" w:rsidP="0057497D">
            <w:pPr>
              <w:pStyle w:val="TableText"/>
              <w:tabs>
                <w:tab w:val="left" w:pos="3306"/>
              </w:tabs>
              <w:rPr>
                <w:rFonts w:cs="Calibri"/>
                <w:b/>
                <w:bCs/>
              </w:rPr>
            </w:pPr>
            <w:r w:rsidRPr="00B01585">
              <w:rPr>
                <w:rFonts w:cs="Calibri"/>
                <w:b/>
                <w:bCs/>
              </w:rPr>
              <w:t>Total Third Party Monies</w:t>
            </w:r>
          </w:p>
        </w:tc>
        <w:tc>
          <w:tcPr>
            <w:tcW w:w="1320" w:type="dxa"/>
            <w:gridSpan w:val="5"/>
            <w:tcBorders>
              <w:top w:val="single" w:sz="2" w:space="0" w:color="auto"/>
              <w:left w:val="nil"/>
              <w:bottom w:val="double" w:sz="4" w:space="0" w:color="auto"/>
              <w:right w:val="nil"/>
            </w:tcBorders>
            <w:vAlign w:val="bottom"/>
          </w:tcPr>
          <w:p w14:paraId="2761A365" w14:textId="36ABD63E" w:rsidR="0057497D" w:rsidRPr="00B01585" w:rsidRDefault="0057497D" w:rsidP="0057497D">
            <w:pPr>
              <w:pStyle w:val="TableText"/>
              <w:tabs>
                <w:tab w:val="left" w:pos="3306"/>
              </w:tabs>
              <w:jc w:val="right"/>
              <w:rPr>
                <w:rFonts w:cs="Calibri"/>
                <w:b/>
                <w:bCs/>
              </w:rPr>
            </w:pPr>
          </w:p>
        </w:tc>
        <w:tc>
          <w:tcPr>
            <w:tcW w:w="1484" w:type="dxa"/>
            <w:gridSpan w:val="3"/>
            <w:tcBorders>
              <w:top w:val="single" w:sz="2" w:space="0" w:color="auto"/>
              <w:left w:val="nil"/>
              <w:bottom w:val="double" w:sz="4" w:space="0" w:color="auto"/>
              <w:right w:val="nil"/>
            </w:tcBorders>
            <w:vAlign w:val="bottom"/>
          </w:tcPr>
          <w:p w14:paraId="67C628F7" w14:textId="09665A88" w:rsidR="0057497D" w:rsidRPr="00B01585" w:rsidRDefault="0057497D" w:rsidP="0057497D">
            <w:pPr>
              <w:pStyle w:val="TableText"/>
              <w:tabs>
                <w:tab w:val="left" w:pos="3306"/>
              </w:tabs>
              <w:jc w:val="right"/>
              <w:rPr>
                <w:rFonts w:cs="Calibri"/>
                <w:b/>
                <w:bCs/>
              </w:rPr>
            </w:pPr>
          </w:p>
        </w:tc>
      </w:tr>
      <w:tr w:rsidR="0057497D" w:rsidRPr="00CF7E1B" w14:paraId="6028E567" w14:textId="77777777" w:rsidTr="005F6493">
        <w:trPr>
          <w:gridAfter w:val="1"/>
          <w:wAfter w:w="9326" w:type="dxa"/>
          <w:trHeight w:val="283"/>
        </w:trPr>
        <w:tc>
          <w:tcPr>
            <w:tcW w:w="1562" w:type="dxa"/>
            <w:tcBorders>
              <w:left w:val="single" w:sz="2" w:space="0" w:color="auto"/>
              <w:right w:val="single" w:sz="2" w:space="0" w:color="auto"/>
            </w:tcBorders>
          </w:tcPr>
          <w:p w14:paraId="79E81DD6" w14:textId="07C410BF" w:rsidR="0057497D" w:rsidRPr="00B01585" w:rsidRDefault="00AA7D16" w:rsidP="00C24DC3">
            <w:pPr>
              <w:pStyle w:val="TableReference"/>
              <w:tabs>
                <w:tab w:val="left" w:pos="3306"/>
              </w:tabs>
              <w:spacing w:before="180" w:after="180"/>
              <w:rPr>
                <w:rFonts w:cs="Calibri"/>
                <w:color w:val="7030A0"/>
                <w:sz w:val="14"/>
              </w:rPr>
            </w:pPr>
            <w:r>
              <w:br w:type="page"/>
            </w:r>
            <w:r w:rsidR="000A1EDA" w:rsidRPr="000A1EDA">
              <w:rPr>
                <w:rFonts w:cs="Calibri"/>
                <w:b/>
                <w:bCs/>
                <w:color w:val="7030A0"/>
                <w:sz w:val="22"/>
                <w:szCs w:val="22"/>
              </w:rPr>
              <w:t>Reference</w:t>
            </w:r>
          </w:p>
        </w:tc>
        <w:tc>
          <w:tcPr>
            <w:tcW w:w="9072" w:type="dxa"/>
            <w:gridSpan w:val="17"/>
            <w:tcBorders>
              <w:left w:val="single" w:sz="2" w:space="0" w:color="auto"/>
            </w:tcBorders>
            <w:shd w:val="clear" w:color="auto" w:fill="7030A0"/>
          </w:tcPr>
          <w:p w14:paraId="58CD89B6" w14:textId="0DFFDBB1" w:rsidR="0057497D" w:rsidRPr="00B01585" w:rsidRDefault="0057497D" w:rsidP="00C24DC3">
            <w:pPr>
              <w:pStyle w:val="CommentaryTitle"/>
              <w:tabs>
                <w:tab w:val="left" w:pos="3306"/>
              </w:tabs>
              <w:spacing w:before="180" w:after="180"/>
              <w:rPr>
                <w:rFonts w:cs="Calibri"/>
                <w:color w:val="FFFFFF" w:themeColor="background1"/>
                <w:sz w:val="28"/>
                <w:szCs w:val="28"/>
              </w:rPr>
            </w:pPr>
            <w:bookmarkStart w:id="891" w:name="_Toc50440403"/>
            <w:bookmarkStart w:id="892" w:name="_Toc163106395"/>
            <w:r w:rsidRPr="00B01585">
              <w:rPr>
                <w:rFonts w:cs="Calibri"/>
                <w:color w:val="FFFFFF" w:themeColor="background1"/>
                <w:sz w:val="28"/>
                <w:szCs w:val="28"/>
              </w:rPr>
              <w:t xml:space="preserve">Commentary </w:t>
            </w:r>
            <w:r w:rsidRPr="00B01585">
              <w:rPr>
                <w:rFonts w:cs="Calibri"/>
                <w:color w:val="FFFFFF" w:themeColor="background1"/>
                <w:sz w:val="28"/>
                <w:szCs w:val="28"/>
              </w:rPr>
              <w:sym w:font="Symbol" w:char="F02D"/>
            </w:r>
            <w:r w:rsidRPr="00B01585">
              <w:rPr>
                <w:rFonts w:cs="Calibri"/>
                <w:color w:val="FFFFFF" w:themeColor="background1"/>
                <w:sz w:val="28"/>
                <w:szCs w:val="28"/>
              </w:rPr>
              <w:t xml:space="preserve"> Note 3</w:t>
            </w:r>
            <w:r w:rsidR="0057601E" w:rsidRPr="00B01585">
              <w:rPr>
                <w:rFonts w:cs="Calibri"/>
                <w:color w:val="FFFFFF" w:themeColor="background1"/>
                <w:sz w:val="28"/>
                <w:szCs w:val="28"/>
              </w:rPr>
              <w:t>7</w:t>
            </w:r>
            <w:r w:rsidRPr="00B01585">
              <w:rPr>
                <w:rFonts w:cs="Calibri"/>
                <w:color w:val="FFFFFF" w:themeColor="background1"/>
                <w:sz w:val="28"/>
                <w:szCs w:val="28"/>
              </w:rPr>
              <w:t>: Third Party Monies</w:t>
            </w:r>
            <w:bookmarkEnd w:id="891"/>
            <w:bookmarkEnd w:id="892"/>
          </w:p>
        </w:tc>
      </w:tr>
      <w:tr w:rsidR="0057497D" w:rsidRPr="00CF7E1B" w14:paraId="6F91FD99" w14:textId="77777777" w:rsidTr="005F6493">
        <w:trPr>
          <w:gridAfter w:val="1"/>
          <w:wAfter w:w="9326" w:type="dxa"/>
          <w:trHeight w:val="283"/>
        </w:trPr>
        <w:tc>
          <w:tcPr>
            <w:tcW w:w="1562" w:type="dxa"/>
            <w:tcBorders>
              <w:left w:val="single" w:sz="2" w:space="0" w:color="auto"/>
              <w:right w:val="single" w:sz="2" w:space="0" w:color="auto"/>
            </w:tcBorders>
          </w:tcPr>
          <w:p w14:paraId="1BF59BE7" w14:textId="77777777" w:rsidR="0057497D" w:rsidRPr="00B01585" w:rsidRDefault="0057497D" w:rsidP="0057497D">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17"/>
            <w:tcBorders>
              <w:left w:val="single" w:sz="2" w:space="0" w:color="auto"/>
            </w:tcBorders>
            <w:shd w:val="clear" w:color="auto" w:fill="7030A0"/>
          </w:tcPr>
          <w:p w14:paraId="386AAD95" w14:textId="6B36A31F" w:rsidR="0057497D" w:rsidRPr="00B01585" w:rsidRDefault="00105406" w:rsidP="00035833">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A</w:t>
            </w:r>
            <w:r w:rsidR="0057497D" w:rsidRPr="00B01585">
              <w:rPr>
                <w:rFonts w:cs="Calibri"/>
                <w:color w:val="FFFFFF" w:themeColor="background1"/>
                <w:sz w:val="18"/>
                <w:szCs w:val="18"/>
              </w:rPr>
              <w:t xml:space="preserve">gencies </w:t>
            </w:r>
            <w:r w:rsidRPr="00B01585">
              <w:rPr>
                <w:rFonts w:cs="Calibri"/>
                <w:color w:val="FFFFFF" w:themeColor="background1"/>
                <w:sz w:val="18"/>
                <w:szCs w:val="18"/>
              </w:rPr>
              <w:t xml:space="preserve">are required </w:t>
            </w:r>
            <w:r w:rsidR="0057497D" w:rsidRPr="00B01585">
              <w:rPr>
                <w:rFonts w:cs="Calibri"/>
                <w:color w:val="FFFFFF" w:themeColor="background1"/>
                <w:sz w:val="18"/>
                <w:szCs w:val="18"/>
              </w:rPr>
              <w:t>to include a note on third party monies held.</w:t>
            </w:r>
            <w:r w:rsidR="00FA7C77">
              <w:rPr>
                <w:rFonts w:cs="Calibri"/>
                <w:color w:val="FFFFFF" w:themeColor="background1"/>
                <w:sz w:val="18"/>
                <w:szCs w:val="18"/>
              </w:rPr>
              <w:t xml:space="preserve"> </w:t>
            </w:r>
            <w:r w:rsidR="0057497D" w:rsidRPr="00B01585">
              <w:rPr>
                <w:rFonts w:cs="Calibri"/>
                <w:color w:val="FFFFFF" w:themeColor="background1"/>
                <w:sz w:val="18"/>
                <w:szCs w:val="18"/>
              </w:rPr>
              <w:t xml:space="preserve">The information should include </w:t>
            </w:r>
            <w:r w:rsidRPr="00B01585">
              <w:rPr>
                <w:rFonts w:cs="Calibri"/>
                <w:color w:val="FFFFFF" w:themeColor="background1"/>
                <w:sz w:val="18"/>
                <w:szCs w:val="18"/>
              </w:rPr>
              <w:t xml:space="preserve">third party </w:t>
            </w:r>
            <w:r w:rsidR="0057497D" w:rsidRPr="00B01585">
              <w:rPr>
                <w:rFonts w:cs="Calibri"/>
                <w:color w:val="FFFFFF" w:themeColor="background1"/>
                <w:sz w:val="18"/>
                <w:szCs w:val="18"/>
              </w:rPr>
              <w:t>monies held at the end of the reporting period and the purpose for which the monies are held.</w:t>
            </w:r>
          </w:p>
        </w:tc>
      </w:tr>
      <w:tr w:rsidR="0057497D" w:rsidRPr="00CF7E1B" w14:paraId="5BA0D4F8" w14:textId="77777777" w:rsidTr="005F6493">
        <w:trPr>
          <w:gridAfter w:val="1"/>
          <w:wAfter w:w="9326" w:type="dxa"/>
          <w:trHeight w:val="283"/>
        </w:trPr>
        <w:tc>
          <w:tcPr>
            <w:tcW w:w="1562" w:type="dxa"/>
            <w:tcBorders>
              <w:left w:val="single" w:sz="2" w:space="0" w:color="auto"/>
              <w:right w:val="single" w:sz="2" w:space="0" w:color="auto"/>
            </w:tcBorders>
          </w:tcPr>
          <w:p w14:paraId="4EBAD9EE" w14:textId="77777777" w:rsidR="0057497D" w:rsidRPr="00B01585" w:rsidRDefault="0057497D" w:rsidP="0057497D">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17"/>
            <w:tcBorders>
              <w:left w:val="single" w:sz="2" w:space="0" w:color="auto"/>
            </w:tcBorders>
            <w:shd w:val="clear" w:color="auto" w:fill="7030A0"/>
          </w:tcPr>
          <w:p w14:paraId="71476955" w14:textId="2FD557E5" w:rsidR="0057497D" w:rsidRPr="00B01585" w:rsidRDefault="0057497D" w:rsidP="00D239F9">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Where a trust has assets and liabilities (other than cash), the financial statements should include an accrual presentation of that trusts activities during the year and financial position at the reporting date.</w:t>
            </w:r>
            <w:r w:rsidR="00FA7C77">
              <w:rPr>
                <w:rFonts w:cs="Calibri"/>
                <w:color w:val="FFFFFF" w:themeColor="background1"/>
                <w:sz w:val="18"/>
                <w:szCs w:val="18"/>
              </w:rPr>
              <w:t xml:space="preserve"> </w:t>
            </w:r>
            <w:r w:rsidRPr="00B01585">
              <w:rPr>
                <w:rFonts w:cs="Calibri"/>
                <w:color w:val="FFFFFF" w:themeColor="background1"/>
                <w:sz w:val="18"/>
                <w:szCs w:val="18"/>
              </w:rPr>
              <w:t xml:space="preserve">If a trust has no assets or liabilities apart from cash, the financial statements need only provide cash disclosure of the </w:t>
            </w:r>
            <w:r w:rsidR="00C958E9" w:rsidRPr="00B01585">
              <w:rPr>
                <w:rFonts w:cs="Calibri"/>
                <w:color w:val="FFFFFF" w:themeColor="background1"/>
                <w:sz w:val="18"/>
                <w:szCs w:val="18"/>
              </w:rPr>
              <w:t>trust’s</w:t>
            </w:r>
            <w:r w:rsidRPr="00B01585">
              <w:rPr>
                <w:rFonts w:cs="Calibri"/>
                <w:color w:val="FFFFFF" w:themeColor="background1"/>
                <w:sz w:val="18"/>
                <w:szCs w:val="18"/>
              </w:rPr>
              <w:t xml:space="preserve"> activities during the year, and financial position at the reporting date.</w:t>
            </w:r>
          </w:p>
        </w:tc>
      </w:tr>
      <w:tr w:rsidR="00127C71" w:rsidRPr="00CF7E1B" w14:paraId="3871208F" w14:textId="77777777" w:rsidTr="005F6493">
        <w:trPr>
          <w:gridAfter w:val="1"/>
          <w:wAfter w:w="9326" w:type="dxa"/>
          <w:trHeight w:val="216"/>
        </w:trPr>
        <w:tc>
          <w:tcPr>
            <w:tcW w:w="1562" w:type="dxa"/>
            <w:tcBorders>
              <w:left w:val="single" w:sz="2" w:space="0" w:color="auto"/>
              <w:right w:val="single" w:sz="2" w:space="0" w:color="auto"/>
            </w:tcBorders>
          </w:tcPr>
          <w:p w14:paraId="25FBF4F5" w14:textId="77777777" w:rsidR="00127C71" w:rsidRPr="00B01585" w:rsidRDefault="00127C71" w:rsidP="0057497D">
            <w:pPr>
              <w:pStyle w:val="TableReference"/>
              <w:tabs>
                <w:tab w:val="left" w:pos="3306"/>
              </w:tabs>
              <w:spacing w:before="60"/>
              <w:rPr>
                <w:rFonts w:cs="Calibri"/>
                <w:color w:val="7030A0"/>
                <w:sz w:val="14"/>
              </w:rPr>
            </w:pPr>
          </w:p>
        </w:tc>
        <w:tc>
          <w:tcPr>
            <w:tcW w:w="9072" w:type="dxa"/>
            <w:gridSpan w:val="17"/>
            <w:tcBorders>
              <w:left w:val="single" w:sz="2" w:space="0" w:color="auto"/>
            </w:tcBorders>
            <w:shd w:val="clear" w:color="auto" w:fill="7030A0"/>
          </w:tcPr>
          <w:p w14:paraId="4DF12DA6" w14:textId="2DC33EF4" w:rsidR="00127C71" w:rsidRPr="00127C71" w:rsidRDefault="00127C71" w:rsidP="007B76DA">
            <w:pPr>
              <w:pStyle w:val="CommentaryText"/>
              <w:tabs>
                <w:tab w:val="left" w:pos="3306"/>
              </w:tabs>
              <w:spacing w:after="0"/>
              <w:rPr>
                <w:rFonts w:cs="Calibri"/>
                <w:b/>
                <w:bCs/>
                <w:color w:val="FFFFFF" w:themeColor="background1"/>
                <w:szCs w:val="20"/>
              </w:rPr>
            </w:pPr>
            <w:r w:rsidRPr="007B76DA">
              <w:rPr>
                <w:rFonts w:cs="Calibri"/>
                <w:b/>
                <w:bCs/>
                <w:color w:val="FF0000"/>
                <w:szCs w:val="20"/>
              </w:rPr>
              <w:t>Control</w:t>
            </w:r>
          </w:p>
        </w:tc>
      </w:tr>
      <w:tr w:rsidR="0057497D" w:rsidRPr="00CF7E1B" w14:paraId="58B2F1D1" w14:textId="77777777" w:rsidTr="005F6493">
        <w:tblPrEx>
          <w:shd w:val="clear" w:color="auto" w:fill="auto"/>
        </w:tblPrEx>
        <w:trPr>
          <w:gridAfter w:val="1"/>
          <w:wAfter w:w="9326" w:type="dxa"/>
          <w:trHeight w:val="23"/>
        </w:trPr>
        <w:tc>
          <w:tcPr>
            <w:tcW w:w="1562" w:type="dxa"/>
            <w:tcBorders>
              <w:top w:val="nil"/>
              <w:left w:val="single" w:sz="2" w:space="0" w:color="auto"/>
              <w:bottom w:val="nil"/>
              <w:right w:val="single" w:sz="2" w:space="0" w:color="auto"/>
            </w:tcBorders>
            <w:vAlign w:val="center"/>
          </w:tcPr>
          <w:p w14:paraId="441707EF" w14:textId="77777777" w:rsidR="0057497D" w:rsidRPr="00B01585" w:rsidRDefault="0057497D" w:rsidP="0057497D">
            <w:pPr>
              <w:pStyle w:val="TableReference"/>
              <w:tabs>
                <w:tab w:val="left" w:pos="3306"/>
              </w:tabs>
              <w:rPr>
                <w:rFonts w:cs="Calibri"/>
                <w:color w:val="7030A0"/>
                <w:sz w:val="14"/>
              </w:rPr>
            </w:pPr>
            <w:r w:rsidRPr="00B01585">
              <w:rPr>
                <w:rFonts w:cs="Calibri"/>
                <w:color w:val="7030A0"/>
                <w:sz w:val="14"/>
              </w:rPr>
              <w:t>AASB 10.6</w:t>
            </w:r>
          </w:p>
          <w:p w14:paraId="42982D7F" w14:textId="77777777" w:rsidR="0057497D" w:rsidRPr="00B01585" w:rsidRDefault="0057497D" w:rsidP="0057497D">
            <w:pPr>
              <w:pStyle w:val="TableReference"/>
              <w:tabs>
                <w:tab w:val="left" w:pos="3306"/>
              </w:tabs>
              <w:rPr>
                <w:rFonts w:cs="Calibri"/>
                <w:color w:val="7030A0"/>
                <w:sz w:val="14"/>
              </w:rPr>
            </w:pPr>
            <w:r w:rsidRPr="00B01585">
              <w:rPr>
                <w:rFonts w:cs="Calibri"/>
                <w:color w:val="7030A0"/>
                <w:sz w:val="14"/>
              </w:rPr>
              <w:t>AASB 10.5-18</w:t>
            </w:r>
          </w:p>
        </w:tc>
        <w:tc>
          <w:tcPr>
            <w:tcW w:w="9072" w:type="dxa"/>
            <w:gridSpan w:val="17"/>
            <w:tcBorders>
              <w:left w:val="single" w:sz="2" w:space="0" w:color="auto"/>
            </w:tcBorders>
            <w:shd w:val="clear" w:color="auto" w:fill="7030A0"/>
            <w:vAlign w:val="bottom"/>
          </w:tcPr>
          <w:p w14:paraId="63163A86" w14:textId="77777777" w:rsidR="0057497D" w:rsidRPr="00B01585" w:rsidRDefault="0057497D" w:rsidP="00035833">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Assets held in trust for the benefit of other parties are not controlled by the agency.</w:t>
            </w:r>
          </w:p>
          <w:p w14:paraId="66D01B44" w14:textId="7002041B" w:rsidR="0057497D" w:rsidRPr="00B01585" w:rsidRDefault="0057497D" w:rsidP="007B76DA">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 xml:space="preserve">The definition of control in AASB 10 </w:t>
            </w:r>
            <w:r w:rsidRPr="00B01585">
              <w:rPr>
                <w:rFonts w:cs="Calibri"/>
                <w:i/>
                <w:color w:val="FFFFFF" w:themeColor="background1"/>
                <w:sz w:val="18"/>
                <w:szCs w:val="18"/>
              </w:rPr>
              <w:t>Consolidated Financial Statements</w:t>
            </w:r>
            <w:r w:rsidRPr="00B01585">
              <w:rPr>
                <w:rFonts w:cs="Calibri"/>
                <w:color w:val="FFFFFF" w:themeColor="background1"/>
                <w:sz w:val="18"/>
                <w:szCs w:val="18"/>
              </w:rPr>
              <w:t xml:space="preserve"> is that an investor controls an investee when it is exposed, or has rights, to variable returns from its involvement with the investee and has the ability to affect those returns through its power over the investee.</w:t>
            </w:r>
            <w:r w:rsidR="00FA7C77">
              <w:rPr>
                <w:rFonts w:cs="Calibri"/>
                <w:color w:val="FFFFFF" w:themeColor="background1"/>
                <w:sz w:val="18"/>
                <w:szCs w:val="18"/>
              </w:rPr>
              <w:t xml:space="preserve"> </w:t>
            </w:r>
            <w:r w:rsidRPr="00B01585">
              <w:rPr>
                <w:rFonts w:cs="Calibri"/>
                <w:color w:val="FFFFFF" w:themeColor="background1"/>
                <w:sz w:val="18"/>
                <w:szCs w:val="18"/>
              </w:rPr>
              <w:t>Depending upon the circumstances, it may be that an agency has control of the trust funds and relevant trust assets and should consolidate them into its financial statements.</w:t>
            </w:r>
          </w:p>
        </w:tc>
      </w:tr>
      <w:tr w:rsidR="00127C71" w:rsidRPr="00CF7E1B" w14:paraId="17723919" w14:textId="77777777" w:rsidTr="005F6493">
        <w:tblPrEx>
          <w:shd w:val="clear" w:color="auto" w:fill="auto"/>
        </w:tblPrEx>
        <w:trPr>
          <w:gridAfter w:val="1"/>
          <w:wAfter w:w="9326" w:type="dxa"/>
          <w:trHeight w:val="23"/>
        </w:trPr>
        <w:tc>
          <w:tcPr>
            <w:tcW w:w="1562" w:type="dxa"/>
            <w:tcBorders>
              <w:top w:val="nil"/>
              <w:left w:val="single" w:sz="2" w:space="0" w:color="auto"/>
              <w:bottom w:val="nil"/>
              <w:right w:val="single" w:sz="2" w:space="0" w:color="auto"/>
            </w:tcBorders>
          </w:tcPr>
          <w:p w14:paraId="4FAAE74B" w14:textId="16758860" w:rsidR="00127C71" w:rsidRPr="007B76DA" w:rsidRDefault="00127C71" w:rsidP="00127C71">
            <w:pPr>
              <w:pStyle w:val="TableReference"/>
              <w:tabs>
                <w:tab w:val="left" w:pos="3306"/>
              </w:tabs>
              <w:spacing w:before="60"/>
              <w:rPr>
                <w:rFonts w:cs="Calibri"/>
                <w:color w:val="FF0000"/>
                <w:sz w:val="14"/>
              </w:rPr>
            </w:pPr>
            <w:r w:rsidRPr="007B76DA">
              <w:rPr>
                <w:rFonts w:cs="Calibri"/>
                <w:color w:val="FF0000"/>
                <w:sz w:val="14"/>
              </w:rPr>
              <w:t>AASB 15.33</w:t>
            </w:r>
          </w:p>
        </w:tc>
        <w:tc>
          <w:tcPr>
            <w:tcW w:w="9072" w:type="dxa"/>
            <w:gridSpan w:val="17"/>
            <w:tcBorders>
              <w:left w:val="single" w:sz="2" w:space="0" w:color="auto"/>
            </w:tcBorders>
            <w:shd w:val="clear" w:color="auto" w:fill="7030A0"/>
            <w:vAlign w:val="bottom"/>
          </w:tcPr>
          <w:p w14:paraId="6A77F801" w14:textId="12CDA27D" w:rsidR="00127C71" w:rsidRPr="007B76DA" w:rsidRDefault="00127C71" w:rsidP="00D239F9">
            <w:pPr>
              <w:pStyle w:val="CommentaryText"/>
              <w:tabs>
                <w:tab w:val="left" w:pos="3306"/>
              </w:tabs>
              <w:rPr>
                <w:rFonts w:cs="Calibri"/>
                <w:color w:val="FFFFFF" w:themeColor="background1"/>
                <w:sz w:val="18"/>
                <w:szCs w:val="18"/>
              </w:rPr>
            </w:pPr>
            <w:r w:rsidRPr="007B76DA">
              <w:rPr>
                <w:rFonts w:cs="Calibri"/>
                <w:color w:val="FF0000"/>
                <w:sz w:val="18"/>
                <w:szCs w:val="18"/>
              </w:rPr>
              <w:t xml:space="preserve">AASB 15 </w:t>
            </w:r>
            <w:r w:rsidRPr="007B76DA">
              <w:rPr>
                <w:rFonts w:cs="Calibri"/>
                <w:i/>
                <w:iCs/>
                <w:color w:val="FF0000"/>
                <w:sz w:val="18"/>
                <w:szCs w:val="18"/>
              </w:rPr>
              <w:t>Revenue from Contracts with Customers</w:t>
            </w:r>
            <w:r w:rsidRPr="007B76DA">
              <w:rPr>
                <w:rFonts w:cs="Calibri"/>
                <w:color w:val="FF0000"/>
                <w:sz w:val="18"/>
                <w:szCs w:val="18"/>
              </w:rPr>
              <w:t xml:space="preserve"> outlines certain elements which may indicate that an agency has control over an asset. In particular, if an agency has control of an asset it can direct the use of, and obtain substantially all of the remaining benefits from the asset. Control can also be demonstrated by being able to prevent other entities from directing and using the asset for their own benefit.</w:t>
            </w:r>
          </w:p>
        </w:tc>
      </w:tr>
      <w:tr w:rsidR="00BA2EB3" w:rsidRPr="001950C9" w14:paraId="358568DD"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vAlign w:val="center"/>
          </w:tcPr>
          <w:p w14:paraId="624F69BB" w14:textId="064D2374" w:rsidR="00BA2EB3" w:rsidRPr="00686828" w:rsidRDefault="00BA2EB3" w:rsidP="005B1145">
            <w:pPr>
              <w:pStyle w:val="TableReference"/>
              <w:tabs>
                <w:tab w:val="left" w:pos="3306"/>
              </w:tabs>
              <w:spacing w:before="240" w:after="240"/>
              <w:rPr>
                <w:rFonts w:cs="Calibri"/>
                <w:b/>
                <w:color w:val="7030A0"/>
                <w:sz w:val="22"/>
                <w:szCs w:val="22"/>
              </w:rPr>
            </w:pPr>
            <w:r w:rsidRPr="00686828">
              <w:rPr>
                <w:rFonts w:cs="Calibri"/>
                <w:color w:val="7030A0"/>
                <w:sz w:val="16"/>
                <w:szCs w:val="16"/>
              </w:rPr>
              <w:br w:type="page"/>
            </w:r>
          </w:p>
        </w:tc>
        <w:tc>
          <w:tcPr>
            <w:tcW w:w="9072" w:type="dxa"/>
            <w:gridSpan w:val="17"/>
            <w:tcBorders>
              <w:left w:val="single" w:sz="2" w:space="0" w:color="auto"/>
            </w:tcBorders>
            <w:shd w:val="clear" w:color="auto" w:fill="auto"/>
            <w:vAlign w:val="bottom"/>
          </w:tcPr>
          <w:p w14:paraId="1B981C61" w14:textId="63505C3F" w:rsidR="00BA2EB3" w:rsidRPr="00B01585" w:rsidRDefault="00BA2EB3" w:rsidP="000C4F43">
            <w:pPr>
              <w:pStyle w:val="Heading1"/>
              <w:numPr>
                <w:ilvl w:val="0"/>
                <w:numId w:val="0"/>
              </w:numPr>
              <w:ind w:left="34"/>
            </w:pPr>
            <w:bookmarkStart w:id="893" w:name="RelatedPartyDisclosure"/>
            <w:bookmarkStart w:id="894" w:name="_Toc132743833"/>
            <w:r w:rsidRPr="00B01585">
              <w:t xml:space="preserve">Note </w:t>
            </w:r>
            <w:r w:rsidR="004E3426" w:rsidRPr="00B01585">
              <w:t>3</w:t>
            </w:r>
            <w:r w:rsidR="0057601E" w:rsidRPr="00B01585">
              <w:t>8</w:t>
            </w:r>
            <w:r w:rsidRPr="00B01585">
              <w:t>.</w:t>
            </w:r>
            <w:r w:rsidR="00FA7C77">
              <w:t xml:space="preserve"> </w:t>
            </w:r>
            <w:r w:rsidRPr="00B01585">
              <w:t xml:space="preserve"> Related Party</w:t>
            </w:r>
            <w:r w:rsidR="00403D5A" w:rsidRPr="00B01585">
              <w:t xml:space="preserve"> Disclosures</w:t>
            </w:r>
            <w:bookmarkEnd w:id="893"/>
            <w:bookmarkEnd w:id="894"/>
          </w:p>
        </w:tc>
      </w:tr>
      <w:tr w:rsidR="0082581E" w:rsidRPr="001950C9" w14:paraId="458EDDD7"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5A14C5E4" w14:textId="28FE9083" w:rsidR="0082581E" w:rsidRPr="00686828" w:rsidRDefault="0082581E" w:rsidP="00C85324">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1B5C78B1" w14:textId="4C1A8666" w:rsidR="0082581E" w:rsidRPr="00B01585" w:rsidRDefault="007672D1" w:rsidP="007672D1">
            <w:pPr>
              <w:jc w:val="both"/>
              <w:rPr>
                <w:sz w:val="18"/>
                <w:szCs w:val="18"/>
              </w:rPr>
            </w:pPr>
            <w:r w:rsidRPr="00B01585">
              <w:rPr>
                <w:b/>
                <w:bCs/>
                <w:sz w:val="18"/>
                <w:szCs w:val="18"/>
              </w:rPr>
              <w:t>Description and Material Accounting Policies Relating to Related Party Disclosures</w:t>
            </w:r>
          </w:p>
        </w:tc>
      </w:tr>
      <w:tr w:rsidR="007672D1" w:rsidRPr="001950C9" w14:paraId="1CEF6632"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3040B15C" w14:textId="48FAB8D9" w:rsidR="007672D1" w:rsidRPr="00686828" w:rsidRDefault="007672D1" w:rsidP="007672D1">
            <w:pPr>
              <w:pStyle w:val="TableReference"/>
              <w:tabs>
                <w:tab w:val="left" w:pos="3306"/>
              </w:tabs>
              <w:rPr>
                <w:rFonts w:cs="Calibri"/>
                <w:color w:val="7030A0"/>
                <w:sz w:val="14"/>
              </w:rPr>
            </w:pPr>
            <w:r w:rsidRPr="00686828">
              <w:rPr>
                <w:rFonts w:cs="Calibri"/>
                <w:color w:val="7030A0"/>
                <w:sz w:val="14"/>
              </w:rPr>
              <w:t>AASB 124.9</w:t>
            </w:r>
          </w:p>
        </w:tc>
        <w:tc>
          <w:tcPr>
            <w:tcW w:w="9072" w:type="dxa"/>
            <w:gridSpan w:val="17"/>
            <w:tcBorders>
              <w:left w:val="single" w:sz="2" w:space="0" w:color="auto"/>
            </w:tcBorders>
            <w:shd w:val="clear" w:color="auto" w:fill="auto"/>
            <w:vAlign w:val="bottom"/>
          </w:tcPr>
          <w:p w14:paraId="3CE0F3A2" w14:textId="438A1D7F" w:rsidR="007672D1" w:rsidRPr="00B01585" w:rsidRDefault="007672D1" w:rsidP="007672D1">
            <w:pPr>
              <w:spacing w:after="120"/>
              <w:jc w:val="both"/>
              <w:rPr>
                <w:sz w:val="18"/>
                <w:szCs w:val="18"/>
              </w:rPr>
            </w:pPr>
            <w:r w:rsidRPr="00B01585">
              <w:rPr>
                <w:sz w:val="18"/>
                <w:szCs w:val="18"/>
              </w:rPr>
              <w:t>A related party is a person that controls or has significant influence over the reporting entity, or is a member of the Key Management Personnel (KMP) of the reporting entity or its parent entity, and includes their close family members and entities in which the KMP and/or their close family members individually or jointly have controlling interests.</w:t>
            </w:r>
          </w:p>
        </w:tc>
      </w:tr>
      <w:tr w:rsidR="007672D1" w:rsidRPr="001950C9" w14:paraId="43BBC269"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1A615AD2" w14:textId="77777777" w:rsidR="007672D1" w:rsidRPr="00686828" w:rsidRDefault="007672D1" w:rsidP="007672D1">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23E5D8D2" w14:textId="5866A236" w:rsidR="007672D1" w:rsidRPr="00B01585" w:rsidRDefault="007672D1" w:rsidP="007672D1">
            <w:pPr>
              <w:spacing w:after="120"/>
              <w:jc w:val="both"/>
              <w:rPr>
                <w:sz w:val="18"/>
                <w:szCs w:val="18"/>
              </w:rPr>
            </w:pPr>
            <w:r w:rsidRPr="00B01585">
              <w:rPr>
                <w:sz w:val="18"/>
                <w:szCs w:val="18"/>
              </w:rPr>
              <w:t>KMP are those persons having authority and responsibility for planning, directing and controlling the activities of the ‘</w:t>
            </w:r>
            <w:r w:rsidR="003B044B" w:rsidRPr="00B01585">
              <w:rPr>
                <w:sz w:val="18"/>
                <w:szCs w:val="18"/>
              </w:rPr>
              <w:t>Burley Griffin</w:t>
            </w:r>
            <w:r w:rsidR="003B044B" w:rsidRPr="00B01585">
              <w:rPr>
                <w:bCs/>
                <w:sz w:val="18"/>
                <w:szCs w:val="18"/>
              </w:rPr>
              <w:t xml:space="preserve"> </w:t>
            </w:r>
            <w:r w:rsidRPr="00B01585">
              <w:rPr>
                <w:sz w:val="18"/>
                <w:szCs w:val="18"/>
              </w:rPr>
              <w:t>Agency’, directly or indirectly.</w:t>
            </w:r>
          </w:p>
        </w:tc>
      </w:tr>
      <w:tr w:rsidR="007672D1" w:rsidRPr="001950C9" w14:paraId="3C27A60D"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04383D5C" w14:textId="77777777" w:rsidR="007672D1" w:rsidRPr="00686828" w:rsidRDefault="007672D1" w:rsidP="007672D1">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7C96B195" w14:textId="3C41E6D4" w:rsidR="007672D1" w:rsidRPr="00B01585" w:rsidRDefault="007672D1" w:rsidP="007672D1">
            <w:pPr>
              <w:spacing w:after="120"/>
              <w:jc w:val="both"/>
              <w:rPr>
                <w:sz w:val="18"/>
                <w:szCs w:val="18"/>
              </w:rPr>
            </w:pPr>
            <w:r w:rsidRPr="00B01585">
              <w:rPr>
                <w:sz w:val="18"/>
                <w:szCs w:val="18"/>
              </w:rPr>
              <w:t>KMP of the ‘</w:t>
            </w:r>
            <w:r w:rsidR="003B044B" w:rsidRPr="00B01585">
              <w:rPr>
                <w:sz w:val="18"/>
                <w:szCs w:val="18"/>
              </w:rPr>
              <w:t>Burley Griffin</w:t>
            </w:r>
            <w:r w:rsidR="003B044B" w:rsidRPr="00B01585">
              <w:rPr>
                <w:bCs/>
                <w:sz w:val="18"/>
                <w:szCs w:val="18"/>
              </w:rPr>
              <w:t xml:space="preserve"> </w:t>
            </w:r>
            <w:r w:rsidR="0022564C" w:rsidRPr="00B01585">
              <w:rPr>
                <w:bCs/>
                <w:sz w:val="18"/>
                <w:szCs w:val="18"/>
              </w:rPr>
              <w:t>A</w:t>
            </w:r>
            <w:r w:rsidRPr="00B01585">
              <w:rPr>
                <w:sz w:val="18"/>
                <w:szCs w:val="18"/>
              </w:rPr>
              <w:t>gency’ are the Portfolio Minister, Director-General and certain members of the Senior Management Team.</w:t>
            </w:r>
          </w:p>
        </w:tc>
      </w:tr>
      <w:tr w:rsidR="007672D1" w:rsidRPr="001950C9" w14:paraId="56491A01"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6E26BDAD" w14:textId="77777777" w:rsidR="007672D1" w:rsidRPr="00686828" w:rsidRDefault="007672D1" w:rsidP="007672D1">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5F478869" w14:textId="27E58BCC" w:rsidR="007672D1" w:rsidRPr="00B01585" w:rsidRDefault="007672D1" w:rsidP="007672D1">
            <w:pPr>
              <w:spacing w:after="120"/>
              <w:jc w:val="both"/>
              <w:rPr>
                <w:sz w:val="18"/>
                <w:szCs w:val="18"/>
              </w:rPr>
            </w:pPr>
            <w:r w:rsidRPr="00B01585">
              <w:rPr>
                <w:sz w:val="18"/>
                <w:szCs w:val="18"/>
              </w:rPr>
              <w:t>The Head of Service and the ACT Executive comprising the Cabinet Ministers are KMP of the ACT Government and therefore related parties of ‘</w:t>
            </w:r>
            <w:r w:rsidR="003B044B" w:rsidRPr="00B01585">
              <w:rPr>
                <w:sz w:val="18"/>
                <w:szCs w:val="18"/>
              </w:rPr>
              <w:t>Burley Griffin</w:t>
            </w:r>
            <w:r w:rsidR="003B044B" w:rsidRPr="00B01585">
              <w:rPr>
                <w:bCs/>
                <w:sz w:val="18"/>
                <w:szCs w:val="18"/>
              </w:rPr>
              <w:t xml:space="preserve"> </w:t>
            </w:r>
            <w:r w:rsidRPr="00B01585">
              <w:rPr>
                <w:sz w:val="18"/>
                <w:szCs w:val="18"/>
              </w:rPr>
              <w:t>Agency’.</w:t>
            </w:r>
          </w:p>
        </w:tc>
      </w:tr>
      <w:tr w:rsidR="007672D1" w:rsidRPr="001950C9" w14:paraId="40843B09"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tcPr>
          <w:p w14:paraId="059C5D8F" w14:textId="77777777" w:rsidR="007672D1" w:rsidRPr="00686828" w:rsidRDefault="007672D1" w:rsidP="007672D1">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5ABDDAEA" w14:textId="37A9D910" w:rsidR="007672D1" w:rsidRPr="00B01585" w:rsidRDefault="007672D1" w:rsidP="007672D1">
            <w:pPr>
              <w:jc w:val="both"/>
              <w:rPr>
                <w:sz w:val="18"/>
                <w:szCs w:val="18"/>
              </w:rPr>
            </w:pPr>
            <w:r w:rsidRPr="00B01585">
              <w:rPr>
                <w:sz w:val="18"/>
                <w:szCs w:val="18"/>
              </w:rPr>
              <w:t>This note does not include typical citizen transactions between the KMP and ‘</w:t>
            </w:r>
            <w:r w:rsidR="003B044B" w:rsidRPr="00B01585">
              <w:rPr>
                <w:sz w:val="18"/>
                <w:szCs w:val="18"/>
              </w:rPr>
              <w:t>Burley Griffin</w:t>
            </w:r>
            <w:r w:rsidR="003B044B" w:rsidRPr="00B01585">
              <w:rPr>
                <w:bCs/>
                <w:sz w:val="18"/>
                <w:szCs w:val="18"/>
              </w:rPr>
              <w:t xml:space="preserve"> </w:t>
            </w:r>
            <w:r w:rsidRPr="00B01585">
              <w:rPr>
                <w:sz w:val="18"/>
                <w:szCs w:val="18"/>
              </w:rPr>
              <w:t>Agency’ that occur on terms and conditions no different to those applying to the general public.</w:t>
            </w:r>
          </w:p>
        </w:tc>
      </w:tr>
      <w:tr w:rsidR="00E85339" w:rsidRPr="001950C9" w14:paraId="4FDC1592"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vAlign w:val="bottom"/>
          </w:tcPr>
          <w:p w14:paraId="14E15C25" w14:textId="77777777" w:rsidR="00E85339" w:rsidRPr="00686828" w:rsidRDefault="00E85339" w:rsidP="00BA2EB3">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2498C585" w14:textId="477AEB85" w:rsidR="00E85339" w:rsidRPr="00B01585" w:rsidRDefault="00332E05" w:rsidP="007672D1">
            <w:pPr>
              <w:spacing w:before="180"/>
              <w:jc w:val="both"/>
              <w:rPr>
                <w:b/>
                <w:sz w:val="18"/>
                <w:szCs w:val="18"/>
              </w:rPr>
            </w:pPr>
            <w:r w:rsidRPr="00B01585">
              <w:rPr>
                <w:b/>
                <w:sz w:val="18"/>
                <w:szCs w:val="18"/>
              </w:rPr>
              <w:t xml:space="preserve">(A) </w:t>
            </w:r>
            <w:r w:rsidR="00773A89" w:rsidRPr="00B01585">
              <w:rPr>
                <w:b/>
                <w:sz w:val="18"/>
                <w:szCs w:val="18"/>
              </w:rPr>
              <w:t>Controlling Entity</w:t>
            </w:r>
          </w:p>
          <w:p w14:paraId="13DE3D23" w14:textId="2968F1FE" w:rsidR="00E85339" w:rsidRPr="00B01585" w:rsidRDefault="00BA2144" w:rsidP="000C4F43">
            <w:pPr>
              <w:jc w:val="both"/>
              <w:rPr>
                <w:sz w:val="18"/>
                <w:szCs w:val="18"/>
              </w:rPr>
            </w:pPr>
            <w:r w:rsidRPr="00B01585">
              <w:rPr>
                <w:sz w:val="18"/>
                <w:szCs w:val="18"/>
              </w:rPr>
              <w:t>‘</w:t>
            </w:r>
            <w:r w:rsidR="003B044B" w:rsidRPr="00B01585">
              <w:rPr>
                <w:sz w:val="18"/>
                <w:szCs w:val="18"/>
              </w:rPr>
              <w:t>Burley Griffin</w:t>
            </w:r>
            <w:r w:rsidR="003B044B" w:rsidRPr="00B01585">
              <w:rPr>
                <w:bCs/>
                <w:sz w:val="18"/>
                <w:szCs w:val="18"/>
              </w:rPr>
              <w:t xml:space="preserve"> </w:t>
            </w:r>
            <w:r w:rsidR="00E85339" w:rsidRPr="00B01585">
              <w:rPr>
                <w:sz w:val="18"/>
                <w:szCs w:val="18"/>
              </w:rPr>
              <w:t>Agency</w:t>
            </w:r>
            <w:r w:rsidRPr="00B01585">
              <w:rPr>
                <w:sz w:val="18"/>
                <w:szCs w:val="18"/>
              </w:rPr>
              <w:t>’</w:t>
            </w:r>
            <w:r w:rsidR="00E85339" w:rsidRPr="00B01585">
              <w:rPr>
                <w:sz w:val="18"/>
                <w:szCs w:val="18"/>
              </w:rPr>
              <w:t xml:space="preserve"> is an ACT Government controlled entity.</w:t>
            </w:r>
          </w:p>
        </w:tc>
      </w:tr>
      <w:tr w:rsidR="00E85339" w:rsidRPr="001950C9" w14:paraId="503CDC9E" w14:textId="77777777" w:rsidTr="005F6493">
        <w:tblPrEx>
          <w:shd w:val="clear" w:color="auto" w:fill="auto"/>
        </w:tblPrEx>
        <w:trPr>
          <w:gridAfter w:val="1"/>
          <w:wAfter w:w="9326" w:type="dxa"/>
          <w:trHeight w:val="23"/>
        </w:trPr>
        <w:tc>
          <w:tcPr>
            <w:tcW w:w="1562" w:type="dxa"/>
            <w:tcBorders>
              <w:left w:val="single" w:sz="2" w:space="0" w:color="auto"/>
              <w:right w:val="single" w:sz="2" w:space="0" w:color="auto"/>
            </w:tcBorders>
            <w:vAlign w:val="center"/>
          </w:tcPr>
          <w:p w14:paraId="4934622C" w14:textId="1DC713CA" w:rsidR="005E7597" w:rsidRPr="00686828" w:rsidRDefault="005E7597" w:rsidP="005E7597">
            <w:pPr>
              <w:pStyle w:val="TableReference"/>
              <w:tabs>
                <w:tab w:val="left" w:pos="3306"/>
              </w:tabs>
              <w:spacing w:after="240"/>
              <w:rPr>
                <w:rFonts w:cs="Calibri"/>
                <w:color w:val="7030A0"/>
                <w:sz w:val="14"/>
              </w:rPr>
            </w:pPr>
            <w:r w:rsidRPr="00686828">
              <w:rPr>
                <w:rFonts w:cs="Calibri"/>
                <w:color w:val="7030A0"/>
                <w:sz w:val="14"/>
              </w:rPr>
              <w:t>AASB</w:t>
            </w:r>
            <w:r w:rsidR="002E25E6" w:rsidRPr="00686828">
              <w:rPr>
                <w:rFonts w:cs="Calibri"/>
                <w:color w:val="7030A0"/>
                <w:sz w:val="14"/>
              </w:rPr>
              <w:t xml:space="preserve"> </w:t>
            </w:r>
            <w:r w:rsidRPr="00686828">
              <w:rPr>
                <w:rFonts w:cs="Calibri"/>
                <w:color w:val="7030A0"/>
                <w:sz w:val="14"/>
              </w:rPr>
              <w:t xml:space="preserve">124.9 Compensation defined </w:t>
            </w:r>
          </w:p>
          <w:p w14:paraId="79A70D8B" w14:textId="77777777" w:rsidR="00E85339" w:rsidRPr="00686828" w:rsidRDefault="00E85339" w:rsidP="005E7597">
            <w:pPr>
              <w:pStyle w:val="TableReference"/>
              <w:tabs>
                <w:tab w:val="left" w:pos="3306"/>
              </w:tabs>
              <w:rPr>
                <w:rFonts w:cs="Calibri"/>
                <w:color w:val="7030A0"/>
                <w:sz w:val="14"/>
              </w:rPr>
            </w:pPr>
          </w:p>
          <w:p w14:paraId="18BF8C5A" w14:textId="77777777" w:rsidR="00F12490" w:rsidRPr="00686828" w:rsidRDefault="00F12490" w:rsidP="005E7597">
            <w:pPr>
              <w:pStyle w:val="TableReference"/>
              <w:tabs>
                <w:tab w:val="left" w:pos="3306"/>
              </w:tabs>
              <w:rPr>
                <w:rFonts w:cs="Calibri"/>
                <w:color w:val="7030A0"/>
                <w:sz w:val="14"/>
              </w:rPr>
            </w:pPr>
          </w:p>
          <w:p w14:paraId="0778201B" w14:textId="77777777" w:rsidR="00F12490" w:rsidRPr="00686828" w:rsidRDefault="00F12490" w:rsidP="005E7597">
            <w:pPr>
              <w:pStyle w:val="TableReference"/>
              <w:tabs>
                <w:tab w:val="left" w:pos="3306"/>
              </w:tabs>
              <w:rPr>
                <w:rFonts w:cs="Calibri"/>
                <w:color w:val="7030A0"/>
                <w:sz w:val="14"/>
              </w:rPr>
            </w:pPr>
          </w:p>
        </w:tc>
        <w:tc>
          <w:tcPr>
            <w:tcW w:w="9072" w:type="dxa"/>
            <w:gridSpan w:val="17"/>
            <w:tcBorders>
              <w:left w:val="single" w:sz="2" w:space="0" w:color="auto"/>
            </w:tcBorders>
            <w:shd w:val="clear" w:color="auto" w:fill="auto"/>
            <w:vAlign w:val="bottom"/>
          </w:tcPr>
          <w:p w14:paraId="26746342" w14:textId="47F3E9AD" w:rsidR="00E85339" w:rsidRPr="00B01585" w:rsidRDefault="00332E05" w:rsidP="007672D1">
            <w:pPr>
              <w:spacing w:before="180"/>
              <w:jc w:val="both"/>
              <w:rPr>
                <w:b/>
                <w:sz w:val="18"/>
                <w:szCs w:val="18"/>
              </w:rPr>
            </w:pPr>
            <w:r w:rsidRPr="00B01585">
              <w:rPr>
                <w:b/>
                <w:sz w:val="18"/>
                <w:szCs w:val="18"/>
              </w:rPr>
              <w:t xml:space="preserve">(B) </w:t>
            </w:r>
            <w:r w:rsidR="00773A89" w:rsidRPr="00B01585">
              <w:rPr>
                <w:b/>
                <w:sz w:val="18"/>
                <w:szCs w:val="18"/>
              </w:rPr>
              <w:t>Key Management Personnel</w:t>
            </w:r>
          </w:p>
          <w:p w14:paraId="5A109E56" w14:textId="77777777" w:rsidR="00E85339" w:rsidRPr="00B01585" w:rsidRDefault="00332E05" w:rsidP="00035833">
            <w:pPr>
              <w:jc w:val="both"/>
              <w:rPr>
                <w:bCs/>
                <w:i/>
                <w:iCs/>
                <w:sz w:val="18"/>
                <w:szCs w:val="18"/>
              </w:rPr>
            </w:pPr>
            <w:r w:rsidRPr="00B01585">
              <w:rPr>
                <w:bCs/>
                <w:i/>
                <w:iCs/>
                <w:sz w:val="18"/>
                <w:szCs w:val="18"/>
              </w:rPr>
              <w:t xml:space="preserve">B.1 </w:t>
            </w:r>
            <w:r w:rsidR="00E85339" w:rsidRPr="00B01585">
              <w:rPr>
                <w:bCs/>
                <w:i/>
                <w:iCs/>
                <w:sz w:val="18"/>
                <w:szCs w:val="18"/>
              </w:rPr>
              <w:t>Compensation</w:t>
            </w:r>
            <w:r w:rsidR="00C00CD2" w:rsidRPr="00B01585">
              <w:rPr>
                <w:bCs/>
                <w:i/>
                <w:iCs/>
                <w:sz w:val="18"/>
                <w:szCs w:val="18"/>
              </w:rPr>
              <w:t xml:space="preserve"> of Key Management Personnel</w:t>
            </w:r>
          </w:p>
          <w:p w14:paraId="4A972E65" w14:textId="2A145EFC" w:rsidR="00C00CD2" w:rsidRPr="00B01585" w:rsidRDefault="00C00CD2" w:rsidP="000C4F43">
            <w:pPr>
              <w:spacing w:after="120"/>
              <w:jc w:val="both"/>
              <w:rPr>
                <w:sz w:val="18"/>
                <w:szCs w:val="18"/>
              </w:rPr>
            </w:pPr>
            <w:r w:rsidRPr="00B01585">
              <w:rPr>
                <w:sz w:val="18"/>
                <w:szCs w:val="18"/>
              </w:rPr>
              <w:t>Compensation of all Cabinet Ministers, including the Portfolio Minister, is disclosed in the note on related party disclosures included in the ACT</w:t>
            </w:r>
            <w:r w:rsidR="00E04F3C" w:rsidRPr="00B01585">
              <w:rPr>
                <w:sz w:val="18"/>
                <w:szCs w:val="18"/>
              </w:rPr>
              <w:t xml:space="preserve"> </w:t>
            </w:r>
            <w:r w:rsidRPr="00B01585">
              <w:rPr>
                <w:sz w:val="18"/>
                <w:szCs w:val="18"/>
              </w:rPr>
              <w:t xml:space="preserve">Executive’s financial statements for the year ended 30 June </w:t>
            </w:r>
            <w:r w:rsidR="007672D1" w:rsidRPr="00B01585">
              <w:rPr>
                <w:sz w:val="18"/>
                <w:szCs w:val="18"/>
              </w:rPr>
              <w:t>202</w:t>
            </w:r>
            <w:r w:rsidR="00C85B7F">
              <w:rPr>
                <w:sz w:val="18"/>
                <w:szCs w:val="18"/>
              </w:rPr>
              <w:t>3</w:t>
            </w:r>
            <w:r w:rsidRPr="00B01585">
              <w:rPr>
                <w:sz w:val="18"/>
                <w:szCs w:val="18"/>
              </w:rPr>
              <w:t>.</w:t>
            </w:r>
          </w:p>
          <w:p w14:paraId="1C990EDB" w14:textId="343669E4" w:rsidR="00C00CD2" w:rsidRPr="00B01585" w:rsidRDefault="00C00CD2" w:rsidP="000C4F43">
            <w:pPr>
              <w:spacing w:after="120"/>
              <w:jc w:val="both"/>
              <w:rPr>
                <w:sz w:val="18"/>
                <w:szCs w:val="18"/>
              </w:rPr>
            </w:pPr>
            <w:r w:rsidRPr="00B01585">
              <w:rPr>
                <w:sz w:val="18"/>
                <w:szCs w:val="18"/>
              </w:rPr>
              <w:t xml:space="preserve">Compensation of the Head of Service is included in the note on related party disclosures included in the Chief Minister, Treasury and Economic Development Directorate’s (CMTEDD) financial statements for the year ended 30 June </w:t>
            </w:r>
            <w:r w:rsidR="007672D1" w:rsidRPr="00B01585">
              <w:rPr>
                <w:sz w:val="18"/>
                <w:szCs w:val="18"/>
              </w:rPr>
              <w:t>202</w:t>
            </w:r>
            <w:r w:rsidR="00C85B7F">
              <w:rPr>
                <w:sz w:val="18"/>
                <w:szCs w:val="18"/>
              </w:rPr>
              <w:t>3</w:t>
            </w:r>
            <w:r w:rsidRPr="00B01585">
              <w:rPr>
                <w:sz w:val="18"/>
                <w:szCs w:val="18"/>
              </w:rPr>
              <w:t>.</w:t>
            </w:r>
          </w:p>
          <w:p w14:paraId="22D46E90" w14:textId="66215214" w:rsidR="00C00CD2" w:rsidRPr="00B01585" w:rsidRDefault="00C00CD2" w:rsidP="00035833">
            <w:pPr>
              <w:spacing w:after="60"/>
              <w:jc w:val="both"/>
              <w:rPr>
                <w:sz w:val="18"/>
                <w:szCs w:val="18"/>
                <w:highlight w:val="yellow"/>
              </w:rPr>
            </w:pPr>
            <w:r w:rsidRPr="00B01585">
              <w:rPr>
                <w:sz w:val="18"/>
                <w:szCs w:val="18"/>
              </w:rPr>
              <w:t>Two of the KMP of ‘</w:t>
            </w:r>
            <w:r w:rsidR="003B044B" w:rsidRPr="00B01585">
              <w:rPr>
                <w:sz w:val="18"/>
                <w:szCs w:val="18"/>
              </w:rPr>
              <w:t>Burley Griffin</w:t>
            </w:r>
            <w:r w:rsidR="003B044B" w:rsidRPr="00B01585">
              <w:rPr>
                <w:bCs/>
                <w:sz w:val="18"/>
                <w:szCs w:val="18"/>
              </w:rPr>
              <w:t xml:space="preserve"> </w:t>
            </w:r>
            <w:r w:rsidRPr="00B01585">
              <w:rPr>
                <w:sz w:val="18"/>
                <w:szCs w:val="18"/>
              </w:rPr>
              <w:t>Agency’ are employees of CMTEDD and are compensated by CMTEDD.</w:t>
            </w:r>
            <w:r w:rsidR="00FA7C77">
              <w:rPr>
                <w:sz w:val="18"/>
                <w:szCs w:val="18"/>
              </w:rPr>
              <w:t xml:space="preserve"> </w:t>
            </w:r>
            <w:r w:rsidR="001044B1" w:rsidRPr="00B01585">
              <w:rPr>
                <w:sz w:val="18"/>
                <w:szCs w:val="18"/>
              </w:rPr>
              <w:t xml:space="preserve">The first of these </w:t>
            </w:r>
            <w:r w:rsidR="001E78CA" w:rsidRPr="00B01585">
              <w:rPr>
                <w:sz w:val="18"/>
                <w:szCs w:val="18"/>
              </w:rPr>
              <w:t>was both a KMP of ‘Burley Griffin Agency’ and CMTEDD simultaneously throughout the current financial year.</w:t>
            </w:r>
            <w:r w:rsidR="00FA7C77">
              <w:rPr>
                <w:sz w:val="18"/>
                <w:szCs w:val="18"/>
              </w:rPr>
              <w:t xml:space="preserve"> </w:t>
            </w:r>
            <w:r w:rsidR="001E78CA" w:rsidRPr="00B01585">
              <w:rPr>
                <w:sz w:val="18"/>
                <w:szCs w:val="18"/>
              </w:rPr>
              <w:t xml:space="preserve">The compensation relating to this </w:t>
            </w:r>
            <w:r w:rsidR="00F605A5" w:rsidRPr="00B01585">
              <w:rPr>
                <w:sz w:val="18"/>
                <w:szCs w:val="18"/>
              </w:rPr>
              <w:t>KMP</w:t>
            </w:r>
            <w:r w:rsidR="001E78CA" w:rsidRPr="00B01585">
              <w:rPr>
                <w:sz w:val="18"/>
                <w:szCs w:val="18"/>
              </w:rPr>
              <w:t xml:space="preserve"> is included in CMTEDD</w:t>
            </w:r>
            <w:r w:rsidR="00F605A5" w:rsidRPr="00B01585">
              <w:rPr>
                <w:sz w:val="18"/>
                <w:szCs w:val="18"/>
              </w:rPr>
              <w:t>s</w:t>
            </w:r>
            <w:r w:rsidR="001E78CA" w:rsidRPr="00B01585">
              <w:rPr>
                <w:sz w:val="18"/>
                <w:szCs w:val="18"/>
              </w:rPr>
              <w:t xml:space="preserve"> </w:t>
            </w:r>
            <w:r w:rsidR="00F605A5" w:rsidRPr="00B01585">
              <w:rPr>
                <w:sz w:val="18"/>
                <w:szCs w:val="18"/>
              </w:rPr>
              <w:t>f</w:t>
            </w:r>
            <w:r w:rsidR="001E78CA" w:rsidRPr="00B01585">
              <w:rPr>
                <w:sz w:val="18"/>
                <w:szCs w:val="18"/>
              </w:rPr>
              <w:t xml:space="preserve">inancial </w:t>
            </w:r>
            <w:r w:rsidR="00E94919" w:rsidRPr="0007146C">
              <w:rPr>
                <w:sz w:val="18"/>
                <w:szCs w:val="18"/>
              </w:rPr>
              <w:t>s</w:t>
            </w:r>
            <w:r w:rsidR="001E78CA" w:rsidRPr="0007146C">
              <w:rPr>
                <w:sz w:val="18"/>
                <w:szCs w:val="18"/>
              </w:rPr>
              <w:t>tatemen</w:t>
            </w:r>
            <w:r w:rsidR="00077947" w:rsidRPr="0007146C">
              <w:rPr>
                <w:sz w:val="18"/>
                <w:szCs w:val="18"/>
              </w:rPr>
              <w:t>t</w:t>
            </w:r>
            <w:r w:rsidR="001E78CA" w:rsidRPr="0007146C">
              <w:rPr>
                <w:sz w:val="18"/>
                <w:szCs w:val="18"/>
              </w:rPr>
              <w:t>s</w:t>
            </w:r>
            <w:r w:rsidR="00454DAF" w:rsidRPr="0007146C">
              <w:rPr>
                <w:sz w:val="18"/>
                <w:szCs w:val="18"/>
              </w:rPr>
              <w:t>,</w:t>
            </w:r>
            <w:r w:rsidR="001E78CA" w:rsidRPr="00B01585">
              <w:rPr>
                <w:sz w:val="18"/>
                <w:szCs w:val="18"/>
              </w:rPr>
              <w:t xml:space="preserve"> and as such</w:t>
            </w:r>
            <w:r w:rsidR="00454DAF" w:rsidRPr="00B01585">
              <w:rPr>
                <w:sz w:val="18"/>
                <w:szCs w:val="18"/>
              </w:rPr>
              <w:t>,</w:t>
            </w:r>
            <w:r w:rsidR="001E78CA" w:rsidRPr="00B01585">
              <w:rPr>
                <w:sz w:val="18"/>
                <w:szCs w:val="18"/>
              </w:rPr>
              <w:t xml:space="preserve"> is not included in </w:t>
            </w:r>
            <w:r w:rsidR="00F605A5" w:rsidRPr="00B01585">
              <w:rPr>
                <w:sz w:val="18"/>
                <w:szCs w:val="18"/>
              </w:rPr>
              <w:t>this note</w:t>
            </w:r>
            <w:r w:rsidR="001E78CA" w:rsidRPr="00B01585">
              <w:rPr>
                <w:sz w:val="18"/>
                <w:szCs w:val="18"/>
              </w:rPr>
              <w:t xml:space="preserve">. </w:t>
            </w:r>
            <w:r w:rsidR="001044B1" w:rsidRPr="00B01585">
              <w:rPr>
                <w:sz w:val="18"/>
                <w:szCs w:val="18"/>
              </w:rPr>
              <w:t>The second KMP</w:t>
            </w:r>
            <w:r w:rsidR="00907607" w:rsidRPr="00B01585">
              <w:rPr>
                <w:sz w:val="18"/>
                <w:szCs w:val="18"/>
              </w:rPr>
              <w:t xml:space="preserve"> worked for ‘Burley Griffin Agency’</w:t>
            </w:r>
            <w:r w:rsidR="0061352E" w:rsidRPr="00B01585">
              <w:rPr>
                <w:sz w:val="18"/>
                <w:szCs w:val="18"/>
              </w:rPr>
              <w:t xml:space="preserve"> </w:t>
            </w:r>
            <w:r w:rsidR="004F3213" w:rsidRPr="00B01585">
              <w:rPr>
                <w:sz w:val="18"/>
                <w:szCs w:val="18"/>
              </w:rPr>
              <w:t xml:space="preserve">on secondment </w:t>
            </w:r>
            <w:r w:rsidR="00F605A5" w:rsidRPr="00B01585">
              <w:rPr>
                <w:sz w:val="18"/>
                <w:szCs w:val="18"/>
              </w:rPr>
              <w:t xml:space="preserve">from CMTEDD </w:t>
            </w:r>
            <w:r w:rsidR="0061352E" w:rsidRPr="00B01585">
              <w:rPr>
                <w:sz w:val="18"/>
                <w:szCs w:val="18"/>
              </w:rPr>
              <w:t xml:space="preserve">for </w:t>
            </w:r>
            <w:r w:rsidR="00F605A5" w:rsidRPr="00B01585">
              <w:rPr>
                <w:sz w:val="18"/>
                <w:szCs w:val="18"/>
              </w:rPr>
              <w:t>6 months o</w:t>
            </w:r>
            <w:r w:rsidR="0061352E" w:rsidRPr="00B01585">
              <w:rPr>
                <w:sz w:val="18"/>
                <w:szCs w:val="18"/>
              </w:rPr>
              <w:t>f the current financial year</w:t>
            </w:r>
            <w:r w:rsidR="00454DAF" w:rsidRPr="00B01585">
              <w:rPr>
                <w:sz w:val="18"/>
                <w:szCs w:val="18"/>
              </w:rPr>
              <w:t>,</w:t>
            </w:r>
            <w:r w:rsidR="0061352E" w:rsidRPr="00B01585">
              <w:rPr>
                <w:sz w:val="18"/>
                <w:szCs w:val="18"/>
              </w:rPr>
              <w:t xml:space="preserve"> </w:t>
            </w:r>
            <w:r w:rsidR="004F3213" w:rsidRPr="00B01585">
              <w:rPr>
                <w:sz w:val="18"/>
                <w:szCs w:val="18"/>
              </w:rPr>
              <w:t>and as such</w:t>
            </w:r>
            <w:r w:rsidR="00454DAF" w:rsidRPr="00B01585">
              <w:rPr>
                <w:sz w:val="18"/>
                <w:szCs w:val="18"/>
              </w:rPr>
              <w:t>,</w:t>
            </w:r>
            <w:r w:rsidR="004F3213" w:rsidRPr="00B01585">
              <w:rPr>
                <w:sz w:val="18"/>
                <w:szCs w:val="18"/>
              </w:rPr>
              <w:t xml:space="preserve"> the</w:t>
            </w:r>
            <w:r w:rsidR="0061352E" w:rsidRPr="00B01585">
              <w:rPr>
                <w:sz w:val="18"/>
                <w:szCs w:val="18"/>
              </w:rPr>
              <w:t xml:space="preserve"> amount of their</w:t>
            </w:r>
            <w:r w:rsidR="004F3213" w:rsidRPr="00B01585">
              <w:rPr>
                <w:sz w:val="18"/>
                <w:szCs w:val="18"/>
              </w:rPr>
              <w:t xml:space="preserve"> remuneration </w:t>
            </w:r>
            <w:r w:rsidR="0061352E" w:rsidRPr="00B01585">
              <w:rPr>
                <w:sz w:val="18"/>
                <w:szCs w:val="18"/>
              </w:rPr>
              <w:t>while on secondment is included in the table below.</w:t>
            </w:r>
            <w:r w:rsidR="00FA7C77">
              <w:rPr>
                <w:sz w:val="18"/>
                <w:szCs w:val="18"/>
              </w:rPr>
              <w:t xml:space="preserve"> </w:t>
            </w:r>
            <w:r w:rsidR="00F605A5" w:rsidRPr="00B01585">
              <w:rPr>
                <w:sz w:val="18"/>
                <w:szCs w:val="18"/>
              </w:rPr>
              <w:t>The compensation</w:t>
            </w:r>
            <w:r w:rsidR="0061352E" w:rsidRPr="00B01585">
              <w:rPr>
                <w:sz w:val="18"/>
                <w:szCs w:val="18"/>
              </w:rPr>
              <w:t xml:space="preserve"> </w:t>
            </w:r>
            <w:r w:rsidR="00F605A5" w:rsidRPr="00B01585">
              <w:rPr>
                <w:sz w:val="18"/>
                <w:szCs w:val="18"/>
              </w:rPr>
              <w:t xml:space="preserve">for the other 6 months of the financial </w:t>
            </w:r>
            <w:r w:rsidR="00454DAF" w:rsidRPr="00B01585">
              <w:rPr>
                <w:sz w:val="18"/>
                <w:szCs w:val="18"/>
              </w:rPr>
              <w:t xml:space="preserve">year </w:t>
            </w:r>
            <w:r w:rsidR="00F605A5" w:rsidRPr="00B01585">
              <w:rPr>
                <w:sz w:val="18"/>
                <w:szCs w:val="18"/>
              </w:rPr>
              <w:t xml:space="preserve">the KMP was </w:t>
            </w:r>
            <w:r w:rsidR="0061352E" w:rsidRPr="00B01585">
              <w:rPr>
                <w:sz w:val="18"/>
                <w:szCs w:val="18"/>
              </w:rPr>
              <w:t xml:space="preserve">not on secondment </w:t>
            </w:r>
            <w:r w:rsidR="00F605A5" w:rsidRPr="00B01585">
              <w:rPr>
                <w:sz w:val="18"/>
                <w:szCs w:val="18"/>
              </w:rPr>
              <w:t>is</w:t>
            </w:r>
            <w:r w:rsidR="0061352E" w:rsidRPr="00B01585">
              <w:rPr>
                <w:sz w:val="18"/>
                <w:szCs w:val="18"/>
              </w:rPr>
              <w:t xml:space="preserve"> included in the CMTEDD financial statements.</w:t>
            </w:r>
            <w:r w:rsidR="00FA7C77">
              <w:rPr>
                <w:sz w:val="18"/>
                <w:szCs w:val="18"/>
              </w:rPr>
              <w:t xml:space="preserve"> </w:t>
            </w:r>
          </w:p>
          <w:p w14:paraId="4AA25251" w14:textId="76815223" w:rsidR="00E85339" w:rsidRPr="00B01585" w:rsidRDefault="00E85339" w:rsidP="00035833">
            <w:pPr>
              <w:jc w:val="both"/>
              <w:rPr>
                <w:sz w:val="18"/>
                <w:szCs w:val="18"/>
              </w:rPr>
            </w:pPr>
            <w:r w:rsidRPr="00B01585">
              <w:rPr>
                <w:sz w:val="18"/>
                <w:szCs w:val="18"/>
              </w:rPr>
              <w:t>Compensation by ‘</w:t>
            </w:r>
            <w:r w:rsidR="003B044B" w:rsidRPr="00B01585">
              <w:rPr>
                <w:sz w:val="18"/>
                <w:szCs w:val="18"/>
              </w:rPr>
              <w:t>Burley Griffin</w:t>
            </w:r>
            <w:r w:rsidRPr="00B01585">
              <w:rPr>
                <w:sz w:val="18"/>
                <w:szCs w:val="18"/>
              </w:rPr>
              <w:t xml:space="preserve"> Agency’ </w:t>
            </w:r>
            <w:r w:rsidR="00C00CD2" w:rsidRPr="00B01585">
              <w:rPr>
                <w:sz w:val="18"/>
                <w:szCs w:val="18"/>
              </w:rPr>
              <w:t>to KMP is</w:t>
            </w:r>
            <w:r w:rsidRPr="00B01585">
              <w:rPr>
                <w:sz w:val="18"/>
                <w:szCs w:val="18"/>
              </w:rPr>
              <w:t xml:space="preserve"> set out below</w:t>
            </w:r>
            <w:r w:rsidR="00736911" w:rsidRPr="00B01585">
              <w:rPr>
                <w:sz w:val="18"/>
                <w:szCs w:val="18"/>
              </w:rPr>
              <w:t>:</w:t>
            </w:r>
            <w:r w:rsidRPr="00B01585">
              <w:rPr>
                <w:sz w:val="18"/>
                <w:szCs w:val="18"/>
              </w:rPr>
              <w:t xml:space="preserve"> </w:t>
            </w:r>
          </w:p>
        </w:tc>
      </w:tr>
      <w:tr w:rsidR="00677FFD" w:rsidRPr="001950C9" w14:paraId="1910A50E"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7534F689"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4E86BB8C" w14:textId="77777777" w:rsidR="00677FFD" w:rsidRPr="00B01585" w:rsidRDefault="00677FFD" w:rsidP="00677FFD">
            <w:pPr>
              <w:rPr>
                <w:b/>
                <w:sz w:val="18"/>
                <w:szCs w:val="18"/>
              </w:rPr>
            </w:pPr>
          </w:p>
        </w:tc>
        <w:tc>
          <w:tcPr>
            <w:tcW w:w="1560" w:type="dxa"/>
            <w:gridSpan w:val="7"/>
            <w:shd w:val="clear" w:color="auto" w:fill="auto"/>
            <w:vAlign w:val="bottom"/>
          </w:tcPr>
          <w:p w14:paraId="21D5BB02" w14:textId="733C22E4" w:rsidR="00677FFD" w:rsidRPr="00B01585" w:rsidRDefault="00677FFD" w:rsidP="00677FFD">
            <w:pPr>
              <w:jc w:val="right"/>
              <w:rPr>
                <w:b/>
                <w:sz w:val="18"/>
                <w:szCs w:val="18"/>
              </w:rPr>
            </w:pPr>
            <w:r w:rsidRPr="00B01585">
              <w:rPr>
                <w:rFonts w:cs="Calibri"/>
                <w:b/>
                <w:bCs/>
                <w:sz w:val="18"/>
                <w:szCs w:val="18"/>
              </w:rPr>
              <w:t>202</w:t>
            </w:r>
            <w:r w:rsidR="00C85B7F">
              <w:rPr>
                <w:rFonts w:cs="Calibri"/>
                <w:b/>
                <w:bCs/>
                <w:sz w:val="18"/>
                <w:szCs w:val="18"/>
              </w:rPr>
              <w:t>3</w:t>
            </w:r>
            <w:r w:rsidR="00FA7C77">
              <w:rPr>
                <w:sz w:val="18"/>
                <w:szCs w:val="18"/>
              </w:rPr>
              <w:t xml:space="preserve"> </w:t>
            </w:r>
            <w:r w:rsidR="00FA7C77">
              <w:rPr>
                <w:sz w:val="18"/>
                <w:szCs w:val="18"/>
                <w:bdr w:val="single" w:sz="4" w:space="0" w:color="auto"/>
              </w:rPr>
              <w:t xml:space="preserve">                                                  </w:t>
            </w:r>
            <w:r w:rsidRPr="00B01585">
              <w:rPr>
                <w:sz w:val="18"/>
                <w:szCs w:val="18"/>
                <w:bdr w:val="single" w:sz="4" w:space="0" w:color="auto"/>
              </w:rPr>
              <w:t xml:space="preserve"> </w:t>
            </w:r>
            <w:r w:rsidRPr="00B01585">
              <w:rPr>
                <w:b/>
                <w:sz w:val="18"/>
                <w:szCs w:val="18"/>
              </w:rPr>
              <w:t>$’000</w:t>
            </w:r>
          </w:p>
        </w:tc>
        <w:tc>
          <w:tcPr>
            <w:tcW w:w="1701" w:type="dxa"/>
            <w:gridSpan w:val="5"/>
            <w:shd w:val="clear" w:color="auto" w:fill="auto"/>
            <w:vAlign w:val="bottom"/>
          </w:tcPr>
          <w:p w14:paraId="055894F0" w14:textId="36B2CECC" w:rsidR="00677FFD" w:rsidRPr="00B01585" w:rsidRDefault="00677FFD" w:rsidP="00677FFD">
            <w:pPr>
              <w:jc w:val="right"/>
              <w:rPr>
                <w:b/>
                <w:sz w:val="18"/>
                <w:szCs w:val="18"/>
              </w:rPr>
            </w:pPr>
            <w:r w:rsidRPr="00B01585">
              <w:rPr>
                <w:b/>
                <w:sz w:val="18"/>
                <w:szCs w:val="18"/>
              </w:rPr>
              <w:t>202</w:t>
            </w:r>
            <w:r w:rsidR="00C85B7F">
              <w:rPr>
                <w:b/>
                <w:sz w:val="18"/>
                <w:szCs w:val="18"/>
              </w:rPr>
              <w:t>2</w:t>
            </w:r>
          </w:p>
          <w:p w14:paraId="0BE2DBA3" w14:textId="32565C02" w:rsidR="00677FFD" w:rsidRPr="00B01585" w:rsidRDefault="00677FFD" w:rsidP="00677FFD">
            <w:pPr>
              <w:jc w:val="right"/>
              <w:rPr>
                <w:b/>
                <w:sz w:val="18"/>
                <w:szCs w:val="18"/>
              </w:rPr>
            </w:pPr>
            <w:r w:rsidRPr="00B01585">
              <w:rPr>
                <w:b/>
                <w:sz w:val="18"/>
                <w:szCs w:val="18"/>
              </w:rPr>
              <w:t>$’000</w:t>
            </w:r>
          </w:p>
        </w:tc>
      </w:tr>
      <w:tr w:rsidR="00677FFD" w:rsidRPr="001950C9" w14:paraId="1C0B9175"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1FC2D40C"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104D90A7" w14:textId="0B088A4E" w:rsidR="00677FFD" w:rsidRPr="00B01585" w:rsidRDefault="00677FFD" w:rsidP="00677FFD">
            <w:pPr>
              <w:rPr>
                <w:b/>
                <w:sz w:val="18"/>
                <w:szCs w:val="18"/>
              </w:rPr>
            </w:pPr>
            <w:r w:rsidRPr="00B01585">
              <w:rPr>
                <w:sz w:val="18"/>
                <w:szCs w:val="18"/>
              </w:rPr>
              <w:t>Short-term employee benefits</w:t>
            </w:r>
          </w:p>
        </w:tc>
        <w:tc>
          <w:tcPr>
            <w:tcW w:w="1560" w:type="dxa"/>
            <w:gridSpan w:val="7"/>
            <w:shd w:val="clear" w:color="auto" w:fill="auto"/>
            <w:vAlign w:val="bottom"/>
          </w:tcPr>
          <w:p w14:paraId="0AB3044E" w14:textId="77777777" w:rsidR="00677FFD" w:rsidRPr="00B01585" w:rsidRDefault="00677FFD" w:rsidP="00677FFD">
            <w:pPr>
              <w:rPr>
                <w:b/>
                <w:sz w:val="18"/>
                <w:szCs w:val="18"/>
              </w:rPr>
            </w:pPr>
          </w:p>
        </w:tc>
        <w:tc>
          <w:tcPr>
            <w:tcW w:w="1701" w:type="dxa"/>
            <w:gridSpan w:val="5"/>
            <w:shd w:val="clear" w:color="auto" w:fill="auto"/>
            <w:vAlign w:val="bottom"/>
          </w:tcPr>
          <w:p w14:paraId="10B8C934" w14:textId="77777777" w:rsidR="00677FFD" w:rsidRPr="00B01585" w:rsidRDefault="00677FFD" w:rsidP="00677FFD">
            <w:pPr>
              <w:rPr>
                <w:b/>
                <w:sz w:val="18"/>
                <w:szCs w:val="18"/>
              </w:rPr>
            </w:pPr>
          </w:p>
        </w:tc>
      </w:tr>
      <w:tr w:rsidR="00677FFD" w:rsidRPr="001950C9" w14:paraId="1DE64C95"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28013C4D"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52730D0B" w14:textId="1D7F2FEA" w:rsidR="00677FFD" w:rsidRPr="00B01585" w:rsidRDefault="00677FFD" w:rsidP="00677FFD">
            <w:pPr>
              <w:rPr>
                <w:b/>
                <w:sz w:val="18"/>
                <w:szCs w:val="18"/>
              </w:rPr>
            </w:pPr>
            <w:r w:rsidRPr="00B01585">
              <w:rPr>
                <w:sz w:val="18"/>
                <w:szCs w:val="18"/>
              </w:rPr>
              <w:t>Post-employment benefits</w:t>
            </w:r>
          </w:p>
        </w:tc>
        <w:tc>
          <w:tcPr>
            <w:tcW w:w="1560" w:type="dxa"/>
            <w:gridSpan w:val="7"/>
            <w:shd w:val="clear" w:color="auto" w:fill="auto"/>
            <w:vAlign w:val="bottom"/>
          </w:tcPr>
          <w:p w14:paraId="22C84C3E" w14:textId="77777777" w:rsidR="00677FFD" w:rsidRPr="00B01585" w:rsidRDefault="00677FFD" w:rsidP="00677FFD">
            <w:pPr>
              <w:rPr>
                <w:b/>
                <w:sz w:val="18"/>
                <w:szCs w:val="18"/>
              </w:rPr>
            </w:pPr>
          </w:p>
        </w:tc>
        <w:tc>
          <w:tcPr>
            <w:tcW w:w="1701" w:type="dxa"/>
            <w:gridSpan w:val="5"/>
            <w:shd w:val="clear" w:color="auto" w:fill="auto"/>
            <w:vAlign w:val="bottom"/>
          </w:tcPr>
          <w:p w14:paraId="7921B9EA" w14:textId="77777777" w:rsidR="00677FFD" w:rsidRPr="00B01585" w:rsidRDefault="00677FFD" w:rsidP="00677FFD">
            <w:pPr>
              <w:rPr>
                <w:b/>
                <w:sz w:val="18"/>
                <w:szCs w:val="18"/>
              </w:rPr>
            </w:pPr>
          </w:p>
        </w:tc>
      </w:tr>
      <w:tr w:rsidR="00677FFD" w:rsidRPr="001950C9" w14:paraId="6956DD1D"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739C1202"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456BBB35" w14:textId="764F9E2D" w:rsidR="00677FFD" w:rsidRPr="00B01585" w:rsidRDefault="00677FFD" w:rsidP="00677FFD">
            <w:pPr>
              <w:rPr>
                <w:b/>
                <w:sz w:val="18"/>
                <w:szCs w:val="18"/>
              </w:rPr>
            </w:pPr>
            <w:r w:rsidRPr="00B01585">
              <w:rPr>
                <w:sz w:val="18"/>
                <w:szCs w:val="18"/>
              </w:rPr>
              <w:t>Other long-term benefits</w:t>
            </w:r>
          </w:p>
        </w:tc>
        <w:tc>
          <w:tcPr>
            <w:tcW w:w="1560" w:type="dxa"/>
            <w:gridSpan w:val="7"/>
            <w:shd w:val="clear" w:color="auto" w:fill="auto"/>
            <w:vAlign w:val="bottom"/>
          </w:tcPr>
          <w:p w14:paraId="50F9AA0F" w14:textId="77777777" w:rsidR="00677FFD" w:rsidRPr="00B01585" w:rsidRDefault="00677FFD" w:rsidP="00677FFD">
            <w:pPr>
              <w:rPr>
                <w:b/>
                <w:sz w:val="18"/>
                <w:szCs w:val="18"/>
              </w:rPr>
            </w:pPr>
          </w:p>
        </w:tc>
        <w:tc>
          <w:tcPr>
            <w:tcW w:w="1701" w:type="dxa"/>
            <w:gridSpan w:val="5"/>
            <w:shd w:val="clear" w:color="auto" w:fill="auto"/>
            <w:vAlign w:val="bottom"/>
          </w:tcPr>
          <w:p w14:paraId="14FDD812" w14:textId="77777777" w:rsidR="00677FFD" w:rsidRPr="00B01585" w:rsidRDefault="00677FFD" w:rsidP="00677FFD">
            <w:pPr>
              <w:rPr>
                <w:b/>
                <w:sz w:val="18"/>
                <w:szCs w:val="18"/>
              </w:rPr>
            </w:pPr>
          </w:p>
        </w:tc>
      </w:tr>
      <w:tr w:rsidR="00677FFD" w:rsidRPr="001950C9" w14:paraId="64EC2302"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6F9498CE"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32B714F1" w14:textId="34F71763" w:rsidR="00677FFD" w:rsidRPr="00B01585" w:rsidRDefault="00677FFD" w:rsidP="00677FFD">
            <w:pPr>
              <w:rPr>
                <w:b/>
                <w:sz w:val="18"/>
                <w:szCs w:val="18"/>
              </w:rPr>
            </w:pPr>
            <w:r w:rsidRPr="00B01585">
              <w:rPr>
                <w:sz w:val="18"/>
                <w:szCs w:val="18"/>
              </w:rPr>
              <w:t>Termination benefits</w:t>
            </w:r>
          </w:p>
        </w:tc>
        <w:tc>
          <w:tcPr>
            <w:tcW w:w="1560" w:type="dxa"/>
            <w:gridSpan w:val="7"/>
            <w:shd w:val="clear" w:color="auto" w:fill="auto"/>
            <w:vAlign w:val="bottom"/>
          </w:tcPr>
          <w:p w14:paraId="34AB3000" w14:textId="77777777" w:rsidR="00677FFD" w:rsidRPr="00B01585" w:rsidRDefault="00677FFD" w:rsidP="00677FFD">
            <w:pPr>
              <w:rPr>
                <w:b/>
                <w:sz w:val="18"/>
                <w:szCs w:val="18"/>
              </w:rPr>
            </w:pPr>
          </w:p>
        </w:tc>
        <w:tc>
          <w:tcPr>
            <w:tcW w:w="1701" w:type="dxa"/>
            <w:gridSpan w:val="5"/>
            <w:shd w:val="clear" w:color="auto" w:fill="auto"/>
            <w:vAlign w:val="bottom"/>
          </w:tcPr>
          <w:p w14:paraId="265D50A9" w14:textId="77777777" w:rsidR="00677FFD" w:rsidRPr="00B01585" w:rsidRDefault="00677FFD" w:rsidP="00677FFD">
            <w:pPr>
              <w:rPr>
                <w:b/>
                <w:sz w:val="18"/>
                <w:szCs w:val="18"/>
              </w:rPr>
            </w:pPr>
          </w:p>
        </w:tc>
      </w:tr>
      <w:tr w:rsidR="00677FFD" w:rsidRPr="001950C9" w14:paraId="730E5520" w14:textId="77777777" w:rsidTr="005F6493">
        <w:tblPrEx>
          <w:shd w:val="clear" w:color="auto" w:fill="auto"/>
        </w:tblPrEx>
        <w:trPr>
          <w:gridAfter w:val="1"/>
          <w:wAfter w:w="9326" w:type="dxa"/>
          <w:trHeight w:val="127"/>
        </w:trPr>
        <w:tc>
          <w:tcPr>
            <w:tcW w:w="1562" w:type="dxa"/>
            <w:tcBorders>
              <w:left w:val="single" w:sz="2" w:space="0" w:color="auto"/>
              <w:right w:val="single" w:sz="2" w:space="0" w:color="auto"/>
            </w:tcBorders>
            <w:vAlign w:val="bottom"/>
          </w:tcPr>
          <w:p w14:paraId="2907385D"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150A1C3B" w14:textId="0E0BD34C" w:rsidR="00677FFD" w:rsidRPr="00B01585" w:rsidRDefault="00677FFD" w:rsidP="00035833">
            <w:pPr>
              <w:rPr>
                <w:b/>
                <w:sz w:val="18"/>
                <w:szCs w:val="18"/>
              </w:rPr>
            </w:pPr>
            <w:r w:rsidRPr="00B01585">
              <w:rPr>
                <w:sz w:val="18"/>
                <w:szCs w:val="18"/>
              </w:rPr>
              <w:t>Board member fees</w:t>
            </w:r>
          </w:p>
        </w:tc>
        <w:tc>
          <w:tcPr>
            <w:tcW w:w="1560" w:type="dxa"/>
            <w:gridSpan w:val="7"/>
            <w:tcBorders>
              <w:bottom w:val="single" w:sz="4" w:space="0" w:color="auto"/>
            </w:tcBorders>
            <w:shd w:val="clear" w:color="auto" w:fill="auto"/>
            <w:vAlign w:val="bottom"/>
          </w:tcPr>
          <w:p w14:paraId="3FE9D21C" w14:textId="77777777" w:rsidR="00677FFD" w:rsidRPr="00B01585" w:rsidRDefault="00677FFD" w:rsidP="00677FFD">
            <w:pPr>
              <w:rPr>
                <w:b/>
                <w:sz w:val="18"/>
                <w:szCs w:val="18"/>
              </w:rPr>
            </w:pPr>
          </w:p>
        </w:tc>
        <w:tc>
          <w:tcPr>
            <w:tcW w:w="1701" w:type="dxa"/>
            <w:gridSpan w:val="5"/>
            <w:tcBorders>
              <w:bottom w:val="single" w:sz="4" w:space="0" w:color="auto"/>
            </w:tcBorders>
            <w:shd w:val="clear" w:color="auto" w:fill="auto"/>
            <w:vAlign w:val="bottom"/>
          </w:tcPr>
          <w:p w14:paraId="082E4B60" w14:textId="77777777" w:rsidR="00677FFD" w:rsidRPr="00B01585" w:rsidRDefault="00677FFD" w:rsidP="00677FFD">
            <w:pPr>
              <w:rPr>
                <w:b/>
                <w:sz w:val="18"/>
                <w:szCs w:val="18"/>
              </w:rPr>
            </w:pPr>
          </w:p>
        </w:tc>
      </w:tr>
      <w:tr w:rsidR="00677FFD" w:rsidRPr="001950C9" w14:paraId="6A0983EE" w14:textId="77777777" w:rsidTr="005F6493">
        <w:tblPrEx>
          <w:shd w:val="clear" w:color="auto" w:fill="auto"/>
        </w:tblPrEx>
        <w:trPr>
          <w:gridAfter w:val="1"/>
          <w:wAfter w:w="9326" w:type="dxa"/>
          <w:trHeight w:val="277"/>
        </w:trPr>
        <w:tc>
          <w:tcPr>
            <w:tcW w:w="1562" w:type="dxa"/>
            <w:tcBorders>
              <w:left w:val="single" w:sz="2" w:space="0" w:color="auto"/>
              <w:right w:val="single" w:sz="2" w:space="0" w:color="auto"/>
            </w:tcBorders>
            <w:vAlign w:val="bottom"/>
          </w:tcPr>
          <w:p w14:paraId="544D4492" w14:textId="7EEE690E" w:rsidR="00677FFD" w:rsidRPr="00686828" w:rsidRDefault="00677FFD" w:rsidP="00677FFD">
            <w:pPr>
              <w:pStyle w:val="TableReference"/>
              <w:tabs>
                <w:tab w:val="left" w:pos="3306"/>
              </w:tabs>
              <w:rPr>
                <w:rFonts w:cs="Calibri"/>
                <w:color w:val="7030A0"/>
                <w:sz w:val="18"/>
                <w:szCs w:val="18"/>
              </w:rPr>
            </w:pPr>
            <w:r w:rsidRPr="00686828">
              <w:rPr>
                <w:rFonts w:cs="Calibri"/>
                <w:color w:val="7030A0"/>
                <w:sz w:val="14"/>
              </w:rPr>
              <w:t>AASB 124.17</w:t>
            </w:r>
          </w:p>
        </w:tc>
        <w:tc>
          <w:tcPr>
            <w:tcW w:w="5811" w:type="dxa"/>
            <w:gridSpan w:val="5"/>
            <w:tcBorders>
              <w:left w:val="single" w:sz="2" w:space="0" w:color="auto"/>
            </w:tcBorders>
            <w:shd w:val="clear" w:color="auto" w:fill="auto"/>
            <w:vAlign w:val="bottom"/>
          </w:tcPr>
          <w:p w14:paraId="334C82CF" w14:textId="461FE800" w:rsidR="00677FFD" w:rsidRPr="00B01585" w:rsidRDefault="00677FFD" w:rsidP="00035833">
            <w:pPr>
              <w:rPr>
                <w:b/>
                <w:sz w:val="18"/>
                <w:szCs w:val="18"/>
              </w:rPr>
            </w:pPr>
            <w:r w:rsidRPr="00B01585">
              <w:rPr>
                <w:b/>
                <w:sz w:val="18"/>
                <w:szCs w:val="18"/>
              </w:rPr>
              <w:t>Total Compensation to KMP</w:t>
            </w:r>
          </w:p>
        </w:tc>
        <w:tc>
          <w:tcPr>
            <w:tcW w:w="1560" w:type="dxa"/>
            <w:gridSpan w:val="7"/>
            <w:tcBorders>
              <w:top w:val="single" w:sz="4" w:space="0" w:color="auto"/>
              <w:bottom w:val="double" w:sz="4" w:space="0" w:color="auto"/>
            </w:tcBorders>
            <w:shd w:val="clear" w:color="auto" w:fill="auto"/>
            <w:vAlign w:val="bottom"/>
          </w:tcPr>
          <w:p w14:paraId="19431D03" w14:textId="77777777" w:rsidR="00677FFD" w:rsidRPr="00B01585" w:rsidRDefault="00677FFD" w:rsidP="00677FFD">
            <w:pPr>
              <w:rPr>
                <w:b/>
                <w:sz w:val="18"/>
                <w:szCs w:val="18"/>
              </w:rPr>
            </w:pPr>
          </w:p>
        </w:tc>
        <w:tc>
          <w:tcPr>
            <w:tcW w:w="1701" w:type="dxa"/>
            <w:gridSpan w:val="5"/>
            <w:tcBorders>
              <w:top w:val="single" w:sz="4" w:space="0" w:color="auto"/>
              <w:bottom w:val="double" w:sz="4" w:space="0" w:color="auto"/>
            </w:tcBorders>
            <w:shd w:val="clear" w:color="auto" w:fill="auto"/>
            <w:vAlign w:val="bottom"/>
          </w:tcPr>
          <w:p w14:paraId="3EBCBF73" w14:textId="77777777" w:rsidR="00677FFD" w:rsidRPr="00B01585" w:rsidRDefault="00677FFD" w:rsidP="00677FFD">
            <w:pPr>
              <w:rPr>
                <w:b/>
                <w:sz w:val="18"/>
                <w:szCs w:val="18"/>
              </w:rPr>
            </w:pPr>
          </w:p>
        </w:tc>
      </w:tr>
      <w:tr w:rsidR="000A1EDA" w:rsidRPr="001950C9" w14:paraId="3EC3BDC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EEFC5CE" w14:textId="77777777" w:rsidR="000A1EDA" w:rsidRPr="00B01585" w:rsidRDefault="000A1EDA" w:rsidP="00DA5473">
            <w:pPr>
              <w:pStyle w:val="TableReference"/>
              <w:tabs>
                <w:tab w:val="left" w:pos="3306"/>
              </w:tabs>
              <w:spacing w:before="240" w:after="240"/>
              <w:rPr>
                <w:rFonts w:cs="Calibri"/>
                <w:b/>
                <w:color w:val="7030A0"/>
                <w:sz w:val="22"/>
                <w:szCs w:val="22"/>
              </w:rPr>
            </w:pPr>
            <w:r w:rsidRPr="00B01585">
              <w:rPr>
                <w:color w:val="7030A0"/>
                <w:sz w:val="24"/>
                <w:szCs w:val="16"/>
              </w:rPr>
              <w:br w:type="page"/>
            </w:r>
            <w:r w:rsidRPr="00B01585">
              <w:rPr>
                <w:b/>
                <w:color w:val="7030A0"/>
                <w:sz w:val="22"/>
                <w:szCs w:val="22"/>
              </w:rPr>
              <w:t>Reference</w:t>
            </w:r>
          </w:p>
        </w:tc>
        <w:tc>
          <w:tcPr>
            <w:tcW w:w="9072" w:type="dxa"/>
            <w:gridSpan w:val="17"/>
            <w:tcBorders>
              <w:left w:val="single" w:sz="4" w:space="0" w:color="auto"/>
            </w:tcBorders>
            <w:shd w:val="clear" w:color="auto" w:fill="auto"/>
            <w:vAlign w:val="bottom"/>
          </w:tcPr>
          <w:p w14:paraId="6F843A76" w14:textId="77777777" w:rsidR="000A1EDA" w:rsidRPr="0051081B" w:rsidRDefault="000A1EDA" w:rsidP="00DA5473">
            <w:pPr>
              <w:spacing w:before="240" w:after="240"/>
              <w:rPr>
                <w:rFonts w:ascii="Arial" w:hAnsi="Arial" w:cs="Arial"/>
                <w:b/>
                <w:sz w:val="32"/>
                <w:szCs w:val="32"/>
              </w:rPr>
            </w:pPr>
            <w:r w:rsidRPr="0051081B">
              <w:rPr>
                <w:rFonts w:ascii="Arial" w:hAnsi="Arial" w:cs="Arial"/>
                <w:b/>
                <w:sz w:val="32"/>
                <w:szCs w:val="32"/>
              </w:rPr>
              <w:t>NOTE 38.</w:t>
            </w:r>
            <w:r>
              <w:rPr>
                <w:rFonts w:ascii="Arial" w:hAnsi="Arial" w:cs="Arial"/>
                <w:b/>
                <w:sz w:val="32"/>
                <w:szCs w:val="32"/>
              </w:rPr>
              <w:t xml:space="preserve"> </w:t>
            </w:r>
            <w:r w:rsidRPr="0051081B">
              <w:rPr>
                <w:rFonts w:ascii="Arial" w:hAnsi="Arial" w:cs="Arial"/>
                <w:b/>
                <w:sz w:val="32"/>
                <w:szCs w:val="32"/>
              </w:rPr>
              <w:t xml:space="preserve"> RELATED PARTY DISCLOSURES – CONTINUED </w:t>
            </w:r>
          </w:p>
        </w:tc>
      </w:tr>
      <w:tr w:rsidR="00F12490" w:rsidRPr="00DD48C5" w14:paraId="448F6CA2"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21340B1" w14:textId="7A72B643" w:rsidR="00F12490" w:rsidRPr="00686828" w:rsidRDefault="00F12490" w:rsidP="00F12490">
            <w:pPr>
              <w:pStyle w:val="TableReference"/>
              <w:tabs>
                <w:tab w:val="left" w:pos="3306"/>
              </w:tabs>
              <w:spacing w:before="240"/>
              <w:rPr>
                <w:rFonts w:cs="Calibri"/>
                <w:color w:val="7030A0"/>
                <w:sz w:val="14"/>
              </w:rPr>
            </w:pPr>
            <w:r w:rsidRPr="00686828">
              <w:rPr>
                <w:rFonts w:cs="Calibri"/>
                <w:color w:val="7030A0"/>
                <w:sz w:val="14"/>
              </w:rPr>
              <w:t>AASB</w:t>
            </w:r>
            <w:r w:rsidR="002E25E6" w:rsidRPr="00686828">
              <w:rPr>
                <w:rFonts w:cs="Calibri"/>
                <w:color w:val="7030A0"/>
                <w:sz w:val="14"/>
              </w:rPr>
              <w:t xml:space="preserve"> </w:t>
            </w:r>
            <w:r w:rsidRPr="00686828">
              <w:rPr>
                <w:rFonts w:cs="Calibri"/>
                <w:color w:val="7030A0"/>
                <w:sz w:val="14"/>
              </w:rPr>
              <w:t>124.18 to 21</w:t>
            </w:r>
          </w:p>
        </w:tc>
        <w:tc>
          <w:tcPr>
            <w:tcW w:w="9072" w:type="dxa"/>
            <w:gridSpan w:val="17"/>
            <w:tcBorders>
              <w:left w:val="single" w:sz="4" w:space="0" w:color="auto"/>
            </w:tcBorders>
            <w:shd w:val="clear" w:color="auto" w:fill="auto"/>
            <w:vAlign w:val="bottom"/>
          </w:tcPr>
          <w:p w14:paraId="77A59A71" w14:textId="77777777" w:rsidR="00F12490" w:rsidRPr="00B01585" w:rsidRDefault="00F12490" w:rsidP="007672D1">
            <w:pPr>
              <w:spacing w:before="180"/>
              <w:rPr>
                <w:bCs/>
                <w:i/>
                <w:iCs/>
                <w:sz w:val="18"/>
                <w:szCs w:val="18"/>
              </w:rPr>
            </w:pPr>
            <w:r w:rsidRPr="00B01585">
              <w:rPr>
                <w:bCs/>
                <w:i/>
                <w:iCs/>
                <w:sz w:val="18"/>
                <w:szCs w:val="18"/>
              </w:rPr>
              <w:t>B.2 Transactions with Key Management Personnel</w:t>
            </w:r>
          </w:p>
          <w:p w14:paraId="2722E095" w14:textId="65DCC3D5" w:rsidR="0022564C" w:rsidRPr="0009580B" w:rsidRDefault="009573A0" w:rsidP="0022564C">
            <w:pPr>
              <w:spacing w:after="120"/>
              <w:jc w:val="both"/>
            </w:pPr>
            <w:r w:rsidRPr="00B01585">
              <w:rPr>
                <w:sz w:val="18"/>
                <w:szCs w:val="18"/>
              </w:rPr>
              <w:t>No disclosure is required for typical citizen transactions between the KMP and ‘</w:t>
            </w:r>
            <w:r w:rsidR="003B044B" w:rsidRPr="00B01585">
              <w:rPr>
                <w:sz w:val="18"/>
                <w:szCs w:val="18"/>
              </w:rPr>
              <w:t>Burley Griffin</w:t>
            </w:r>
            <w:r w:rsidRPr="00B01585">
              <w:rPr>
                <w:sz w:val="18"/>
                <w:szCs w:val="18"/>
              </w:rPr>
              <w:t xml:space="preserve"> Agency’ that occur on terms and conditions no different to those applying to the general public, where no discretion is applied and no influence is exerted by the related parties over the terms and conditions of these transactions. </w:t>
            </w:r>
          </w:p>
          <w:p w14:paraId="000E6D9A" w14:textId="2E328253" w:rsidR="00F12490" w:rsidRPr="00B01585" w:rsidRDefault="00F12490" w:rsidP="000C4F43">
            <w:pPr>
              <w:jc w:val="both"/>
              <w:rPr>
                <w:strike/>
              </w:rPr>
            </w:pPr>
          </w:p>
        </w:tc>
      </w:tr>
      <w:tr w:rsidR="001D0585" w:rsidRPr="001950C9" w14:paraId="7D1CAAE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E2315B3" w14:textId="77777777" w:rsidR="001D0585" w:rsidRPr="00B01585" w:rsidRDefault="001D0585" w:rsidP="00BA2144">
            <w:pPr>
              <w:pStyle w:val="TableReference"/>
              <w:tabs>
                <w:tab w:val="left" w:pos="3306"/>
              </w:tabs>
              <w:rPr>
                <w:rFonts w:cs="Calibri"/>
                <w:color w:val="7030A0"/>
                <w:sz w:val="18"/>
                <w:szCs w:val="18"/>
              </w:rPr>
            </w:pPr>
          </w:p>
        </w:tc>
        <w:tc>
          <w:tcPr>
            <w:tcW w:w="9072" w:type="dxa"/>
            <w:gridSpan w:val="17"/>
            <w:tcBorders>
              <w:left w:val="single" w:sz="4" w:space="0" w:color="auto"/>
            </w:tcBorders>
            <w:shd w:val="clear" w:color="auto" w:fill="auto"/>
            <w:vAlign w:val="bottom"/>
          </w:tcPr>
          <w:p w14:paraId="23047581" w14:textId="77777777" w:rsidR="001D0585" w:rsidRPr="0051081B" w:rsidRDefault="001D0585" w:rsidP="009153D1">
            <w:pPr>
              <w:ind w:left="318" w:hanging="318"/>
              <w:rPr>
                <w:bCs/>
                <w:i/>
                <w:iCs/>
                <w:sz w:val="18"/>
                <w:szCs w:val="18"/>
              </w:rPr>
            </w:pPr>
            <w:r w:rsidRPr="0051081B">
              <w:rPr>
                <w:bCs/>
                <w:i/>
                <w:iCs/>
                <w:sz w:val="18"/>
                <w:szCs w:val="18"/>
              </w:rPr>
              <w:t xml:space="preserve">B.3 Transactions with parties </w:t>
            </w:r>
            <w:r w:rsidR="009153D1" w:rsidRPr="0051081B">
              <w:rPr>
                <w:bCs/>
                <w:i/>
                <w:iCs/>
                <w:sz w:val="18"/>
                <w:szCs w:val="18"/>
              </w:rPr>
              <w:t>related to Key Management Personnel</w:t>
            </w:r>
            <w:r w:rsidRPr="0051081B">
              <w:rPr>
                <w:bCs/>
                <w:i/>
                <w:iCs/>
                <w:sz w:val="18"/>
                <w:szCs w:val="18"/>
              </w:rPr>
              <w:t xml:space="preserve"> </w:t>
            </w:r>
          </w:p>
        </w:tc>
      </w:tr>
      <w:tr w:rsidR="00CE0ABF" w:rsidRPr="001950C9" w14:paraId="5A50A28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AF661A3" w14:textId="13CEEEDD" w:rsidR="00CE0ABF" w:rsidRPr="00B01585" w:rsidRDefault="00CE0ABF" w:rsidP="00101D48">
            <w:pPr>
              <w:pStyle w:val="TableReference"/>
              <w:tabs>
                <w:tab w:val="left" w:pos="3306"/>
              </w:tabs>
              <w:rPr>
                <w:rFonts w:cs="Calibri"/>
                <w:color w:val="7030A0"/>
                <w:sz w:val="14"/>
              </w:rPr>
            </w:pPr>
            <w:r w:rsidRPr="00B01585">
              <w:rPr>
                <w:rFonts w:cs="Calibri"/>
                <w:color w:val="7030A0"/>
                <w:sz w:val="14"/>
              </w:rPr>
              <w:t>AASB 124.18 to 21</w:t>
            </w:r>
          </w:p>
        </w:tc>
        <w:tc>
          <w:tcPr>
            <w:tcW w:w="9072" w:type="dxa"/>
            <w:gridSpan w:val="17"/>
            <w:tcBorders>
              <w:left w:val="single" w:sz="4" w:space="0" w:color="auto"/>
            </w:tcBorders>
            <w:shd w:val="clear" w:color="auto" w:fill="auto"/>
            <w:vAlign w:val="bottom"/>
          </w:tcPr>
          <w:p w14:paraId="290C5CCB" w14:textId="0D8B39CF" w:rsidR="00CE0ABF" w:rsidRPr="0051081B" w:rsidRDefault="00CE0ABF" w:rsidP="00524980">
            <w:pPr>
              <w:spacing w:after="120"/>
              <w:jc w:val="both"/>
              <w:rPr>
                <w:sz w:val="18"/>
                <w:szCs w:val="18"/>
              </w:rPr>
            </w:pPr>
            <w:r w:rsidRPr="0051081B">
              <w:rPr>
                <w:sz w:val="18"/>
                <w:szCs w:val="18"/>
              </w:rPr>
              <w:t>The following transactions that were material to the financial statements of the ‘</w:t>
            </w:r>
            <w:r w:rsidR="003B044B" w:rsidRPr="0051081B">
              <w:rPr>
                <w:sz w:val="18"/>
                <w:szCs w:val="18"/>
              </w:rPr>
              <w:t>Burley Griffin</w:t>
            </w:r>
            <w:r w:rsidR="003B044B" w:rsidRPr="0051081B">
              <w:rPr>
                <w:bCs/>
                <w:sz w:val="18"/>
                <w:szCs w:val="18"/>
              </w:rPr>
              <w:t xml:space="preserve"> </w:t>
            </w:r>
            <w:r w:rsidRPr="0051081B">
              <w:rPr>
                <w:sz w:val="18"/>
                <w:szCs w:val="18"/>
              </w:rPr>
              <w:t>Agency’ occurred with parties related to KMP including transactions with KMP’s close family members or other related entities:</w:t>
            </w:r>
          </w:p>
        </w:tc>
      </w:tr>
      <w:tr w:rsidR="00CE0ABF" w:rsidRPr="001950C9" w14:paraId="6613EE49"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3244CE5"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AA3235F" w14:textId="70F4D985" w:rsidR="00CE0ABF" w:rsidRPr="0051081B" w:rsidRDefault="00CE0ABF" w:rsidP="000C4F43">
            <w:pPr>
              <w:jc w:val="both"/>
              <w:rPr>
                <w:sz w:val="18"/>
                <w:szCs w:val="18"/>
              </w:rPr>
            </w:pPr>
          </w:p>
        </w:tc>
        <w:tc>
          <w:tcPr>
            <w:tcW w:w="1843" w:type="dxa"/>
            <w:shd w:val="clear" w:color="auto" w:fill="auto"/>
            <w:vAlign w:val="bottom"/>
          </w:tcPr>
          <w:p w14:paraId="7F90B1B3" w14:textId="7D055E07" w:rsidR="00CE0ABF" w:rsidRPr="0051081B" w:rsidRDefault="00CE0ABF" w:rsidP="002C7BA0">
            <w:pPr>
              <w:jc w:val="right"/>
              <w:rPr>
                <w:b/>
                <w:sz w:val="18"/>
                <w:szCs w:val="18"/>
              </w:rPr>
            </w:pPr>
            <w:r w:rsidRPr="0051081B">
              <w:rPr>
                <w:b/>
                <w:sz w:val="18"/>
                <w:szCs w:val="18"/>
              </w:rPr>
              <w:t>Transaction value</w:t>
            </w:r>
          </w:p>
        </w:tc>
        <w:tc>
          <w:tcPr>
            <w:tcW w:w="1984" w:type="dxa"/>
            <w:gridSpan w:val="7"/>
            <w:shd w:val="clear" w:color="auto" w:fill="auto"/>
            <w:vAlign w:val="bottom"/>
          </w:tcPr>
          <w:p w14:paraId="19718DDA" w14:textId="77777777" w:rsidR="00CE0ABF" w:rsidRPr="0051081B" w:rsidRDefault="00CE0ABF" w:rsidP="00CE0ABF">
            <w:pPr>
              <w:jc w:val="right"/>
              <w:rPr>
                <w:b/>
                <w:sz w:val="18"/>
                <w:szCs w:val="18"/>
              </w:rPr>
            </w:pPr>
            <w:r w:rsidRPr="0051081B">
              <w:rPr>
                <w:b/>
                <w:sz w:val="18"/>
                <w:szCs w:val="18"/>
              </w:rPr>
              <w:t>Amount of</w:t>
            </w:r>
          </w:p>
          <w:p w14:paraId="6CFE1716" w14:textId="2F78ECB5" w:rsidR="00CE0ABF" w:rsidRPr="0051081B" w:rsidRDefault="00CE0ABF" w:rsidP="002C7BA0">
            <w:pPr>
              <w:jc w:val="right"/>
              <w:rPr>
                <w:b/>
                <w:sz w:val="18"/>
                <w:szCs w:val="18"/>
              </w:rPr>
            </w:pPr>
            <w:r w:rsidRPr="0051081B">
              <w:rPr>
                <w:b/>
                <w:sz w:val="18"/>
                <w:szCs w:val="18"/>
              </w:rPr>
              <w:t>receivable/(payable)</w:t>
            </w:r>
          </w:p>
        </w:tc>
        <w:tc>
          <w:tcPr>
            <w:tcW w:w="1985" w:type="dxa"/>
            <w:gridSpan w:val="7"/>
            <w:shd w:val="clear" w:color="auto" w:fill="auto"/>
            <w:vAlign w:val="bottom"/>
          </w:tcPr>
          <w:p w14:paraId="52A6DA5C" w14:textId="5EE01B8B" w:rsidR="00CE0ABF" w:rsidRPr="0051081B" w:rsidRDefault="00CE0ABF" w:rsidP="002C7BA0">
            <w:pPr>
              <w:jc w:val="right"/>
              <w:rPr>
                <w:b/>
                <w:sz w:val="18"/>
                <w:szCs w:val="18"/>
              </w:rPr>
            </w:pPr>
            <w:r w:rsidRPr="0051081B">
              <w:rPr>
                <w:b/>
                <w:sz w:val="18"/>
                <w:szCs w:val="18"/>
              </w:rPr>
              <w:t>Amount Committed</w:t>
            </w:r>
          </w:p>
        </w:tc>
      </w:tr>
      <w:tr w:rsidR="00CE0ABF" w:rsidRPr="001950C9" w14:paraId="2F81B40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1AF6DDF"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216B8C2" w14:textId="59E75F77" w:rsidR="00CE0ABF" w:rsidRPr="0051081B" w:rsidRDefault="00CE0ABF" w:rsidP="00524980">
            <w:pPr>
              <w:spacing w:before="120" w:after="120"/>
              <w:jc w:val="both"/>
              <w:rPr>
                <w:b/>
                <w:bCs/>
                <w:sz w:val="18"/>
                <w:szCs w:val="18"/>
              </w:rPr>
            </w:pPr>
            <w:r w:rsidRPr="0051081B">
              <w:rPr>
                <w:b/>
                <w:bCs/>
                <w:sz w:val="18"/>
                <w:szCs w:val="18"/>
              </w:rPr>
              <w:t>202</w:t>
            </w:r>
            <w:r w:rsidR="00D57EB3">
              <w:rPr>
                <w:b/>
                <w:bCs/>
                <w:sz w:val="18"/>
                <w:szCs w:val="18"/>
              </w:rPr>
              <w:t>3</w:t>
            </w:r>
          </w:p>
        </w:tc>
        <w:tc>
          <w:tcPr>
            <w:tcW w:w="1843" w:type="dxa"/>
            <w:shd w:val="clear" w:color="auto" w:fill="auto"/>
          </w:tcPr>
          <w:p w14:paraId="1CBAE5E3" w14:textId="312022D5" w:rsidR="00CE0ABF" w:rsidRPr="0051081B" w:rsidRDefault="00CE0ABF" w:rsidP="00524980">
            <w:pPr>
              <w:jc w:val="right"/>
              <w:rPr>
                <w:sz w:val="18"/>
                <w:szCs w:val="18"/>
              </w:rPr>
            </w:pPr>
            <w:r w:rsidRPr="0051081B">
              <w:rPr>
                <w:b/>
                <w:sz w:val="18"/>
                <w:szCs w:val="18"/>
              </w:rPr>
              <w:t>$’000</w:t>
            </w:r>
          </w:p>
        </w:tc>
        <w:tc>
          <w:tcPr>
            <w:tcW w:w="1984" w:type="dxa"/>
            <w:gridSpan w:val="7"/>
            <w:shd w:val="clear" w:color="auto" w:fill="auto"/>
          </w:tcPr>
          <w:p w14:paraId="4911EF29" w14:textId="08085BE1" w:rsidR="00CE0ABF" w:rsidRPr="0051081B" w:rsidRDefault="00CE0ABF" w:rsidP="00524980">
            <w:pPr>
              <w:jc w:val="right"/>
              <w:rPr>
                <w:sz w:val="18"/>
                <w:szCs w:val="18"/>
              </w:rPr>
            </w:pPr>
            <w:r w:rsidRPr="0051081B">
              <w:rPr>
                <w:b/>
                <w:sz w:val="18"/>
                <w:szCs w:val="18"/>
              </w:rPr>
              <w:t>$’000</w:t>
            </w:r>
          </w:p>
        </w:tc>
        <w:tc>
          <w:tcPr>
            <w:tcW w:w="1985" w:type="dxa"/>
            <w:gridSpan w:val="7"/>
            <w:shd w:val="clear" w:color="auto" w:fill="auto"/>
          </w:tcPr>
          <w:p w14:paraId="5010CC7D" w14:textId="06DFA3D9" w:rsidR="00CE0ABF" w:rsidRPr="0051081B" w:rsidRDefault="00CE0ABF" w:rsidP="00524980">
            <w:pPr>
              <w:jc w:val="right"/>
              <w:rPr>
                <w:sz w:val="18"/>
                <w:szCs w:val="18"/>
              </w:rPr>
            </w:pPr>
            <w:r w:rsidRPr="0051081B">
              <w:rPr>
                <w:b/>
                <w:sz w:val="18"/>
                <w:szCs w:val="18"/>
              </w:rPr>
              <w:t>$’000</w:t>
            </w:r>
          </w:p>
        </w:tc>
      </w:tr>
      <w:tr w:rsidR="00CE0ABF" w:rsidRPr="001950C9" w14:paraId="4560828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747E750"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C81DDC6" w14:textId="27F4FD75" w:rsidR="00CE0ABF" w:rsidRPr="0051081B" w:rsidRDefault="00CE0ABF" w:rsidP="000C4F43">
            <w:pPr>
              <w:jc w:val="both"/>
              <w:rPr>
                <w:sz w:val="18"/>
                <w:szCs w:val="18"/>
              </w:rPr>
            </w:pPr>
            <w:r w:rsidRPr="0051081B">
              <w:rPr>
                <w:b/>
                <w:sz w:val="18"/>
                <w:szCs w:val="18"/>
              </w:rPr>
              <w:t>Nature of transaction</w:t>
            </w:r>
          </w:p>
        </w:tc>
        <w:tc>
          <w:tcPr>
            <w:tcW w:w="1843" w:type="dxa"/>
            <w:shd w:val="clear" w:color="auto" w:fill="auto"/>
            <w:vAlign w:val="bottom"/>
          </w:tcPr>
          <w:p w14:paraId="2D25DC7B" w14:textId="77777777" w:rsidR="00CE0ABF" w:rsidRPr="0051081B" w:rsidRDefault="00CE0ABF" w:rsidP="000C4F43">
            <w:pPr>
              <w:jc w:val="both"/>
              <w:rPr>
                <w:sz w:val="18"/>
                <w:szCs w:val="18"/>
              </w:rPr>
            </w:pPr>
          </w:p>
        </w:tc>
        <w:tc>
          <w:tcPr>
            <w:tcW w:w="1984" w:type="dxa"/>
            <w:gridSpan w:val="7"/>
            <w:shd w:val="clear" w:color="auto" w:fill="auto"/>
            <w:vAlign w:val="bottom"/>
          </w:tcPr>
          <w:p w14:paraId="20883593" w14:textId="77777777" w:rsidR="00CE0ABF" w:rsidRPr="0051081B" w:rsidRDefault="00CE0ABF" w:rsidP="000C4F43">
            <w:pPr>
              <w:jc w:val="both"/>
              <w:rPr>
                <w:sz w:val="18"/>
                <w:szCs w:val="18"/>
              </w:rPr>
            </w:pPr>
          </w:p>
        </w:tc>
        <w:tc>
          <w:tcPr>
            <w:tcW w:w="1985" w:type="dxa"/>
            <w:gridSpan w:val="7"/>
            <w:shd w:val="clear" w:color="auto" w:fill="auto"/>
            <w:vAlign w:val="bottom"/>
          </w:tcPr>
          <w:p w14:paraId="247C088B" w14:textId="77777777" w:rsidR="00CE0ABF" w:rsidRPr="0051081B" w:rsidRDefault="00CE0ABF" w:rsidP="000C4F43">
            <w:pPr>
              <w:jc w:val="both"/>
              <w:rPr>
                <w:sz w:val="18"/>
                <w:szCs w:val="18"/>
              </w:rPr>
            </w:pPr>
          </w:p>
        </w:tc>
      </w:tr>
      <w:tr w:rsidR="00CE0ABF" w:rsidRPr="001950C9" w14:paraId="5932D2B8"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86D2A33"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2EF8A70B" w14:textId="0C3EB0B8" w:rsidR="00CE0ABF" w:rsidRPr="0051081B" w:rsidRDefault="00CE0ABF" w:rsidP="00CE0ABF">
            <w:pPr>
              <w:spacing w:before="120"/>
              <w:jc w:val="both"/>
              <w:rPr>
                <w:bCs/>
                <w:i/>
                <w:iCs/>
                <w:sz w:val="18"/>
                <w:szCs w:val="18"/>
              </w:rPr>
            </w:pPr>
            <w:r w:rsidRPr="0051081B">
              <w:rPr>
                <w:bCs/>
                <w:i/>
                <w:iCs/>
                <w:sz w:val="18"/>
                <w:szCs w:val="18"/>
              </w:rPr>
              <w:t>Purchase or Sale of Goods</w:t>
            </w:r>
          </w:p>
        </w:tc>
        <w:tc>
          <w:tcPr>
            <w:tcW w:w="1843" w:type="dxa"/>
            <w:shd w:val="clear" w:color="auto" w:fill="auto"/>
            <w:vAlign w:val="bottom"/>
          </w:tcPr>
          <w:p w14:paraId="142D1389" w14:textId="77777777" w:rsidR="00CE0ABF" w:rsidRPr="0051081B" w:rsidRDefault="00CE0ABF" w:rsidP="000C4F43">
            <w:pPr>
              <w:jc w:val="both"/>
              <w:rPr>
                <w:sz w:val="18"/>
                <w:szCs w:val="18"/>
              </w:rPr>
            </w:pPr>
          </w:p>
        </w:tc>
        <w:tc>
          <w:tcPr>
            <w:tcW w:w="1984" w:type="dxa"/>
            <w:gridSpan w:val="7"/>
            <w:shd w:val="clear" w:color="auto" w:fill="auto"/>
            <w:vAlign w:val="bottom"/>
          </w:tcPr>
          <w:p w14:paraId="20532DA3" w14:textId="77777777" w:rsidR="00CE0ABF" w:rsidRPr="0051081B" w:rsidRDefault="00CE0ABF" w:rsidP="000C4F43">
            <w:pPr>
              <w:jc w:val="both"/>
              <w:rPr>
                <w:sz w:val="18"/>
                <w:szCs w:val="18"/>
              </w:rPr>
            </w:pPr>
          </w:p>
        </w:tc>
        <w:tc>
          <w:tcPr>
            <w:tcW w:w="1985" w:type="dxa"/>
            <w:gridSpan w:val="7"/>
            <w:shd w:val="clear" w:color="auto" w:fill="auto"/>
            <w:vAlign w:val="bottom"/>
          </w:tcPr>
          <w:p w14:paraId="320A88E7" w14:textId="77777777" w:rsidR="00CE0ABF" w:rsidRPr="0051081B" w:rsidRDefault="00CE0ABF" w:rsidP="000C4F43">
            <w:pPr>
              <w:jc w:val="both"/>
              <w:rPr>
                <w:sz w:val="18"/>
                <w:szCs w:val="18"/>
              </w:rPr>
            </w:pPr>
          </w:p>
        </w:tc>
      </w:tr>
      <w:tr w:rsidR="00CE0ABF" w:rsidRPr="001950C9" w14:paraId="1F18143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05DBEB7"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776A298D" w14:textId="6F8B7414" w:rsidR="00CE0ABF" w:rsidRPr="0051081B" w:rsidRDefault="00CE0ABF" w:rsidP="000C4F43">
            <w:pPr>
              <w:jc w:val="both"/>
              <w:rPr>
                <w:sz w:val="18"/>
                <w:szCs w:val="18"/>
              </w:rPr>
            </w:pPr>
            <w:r w:rsidRPr="0051081B">
              <w:rPr>
                <w:sz w:val="18"/>
                <w:szCs w:val="18"/>
              </w:rPr>
              <w:t>Equipment purchased</w:t>
            </w:r>
            <w:r w:rsidRPr="0051081B">
              <w:rPr>
                <w:sz w:val="18"/>
                <w:szCs w:val="18"/>
                <w:vertAlign w:val="superscript"/>
              </w:rPr>
              <w:t>1</w:t>
            </w:r>
          </w:p>
        </w:tc>
        <w:tc>
          <w:tcPr>
            <w:tcW w:w="1843" w:type="dxa"/>
            <w:shd w:val="clear" w:color="auto" w:fill="auto"/>
            <w:vAlign w:val="bottom"/>
          </w:tcPr>
          <w:p w14:paraId="3EC8F378" w14:textId="77777777" w:rsidR="00CE0ABF" w:rsidRPr="0051081B" w:rsidRDefault="00CE0ABF" w:rsidP="000C4F43">
            <w:pPr>
              <w:jc w:val="both"/>
              <w:rPr>
                <w:sz w:val="18"/>
                <w:szCs w:val="18"/>
              </w:rPr>
            </w:pPr>
          </w:p>
        </w:tc>
        <w:tc>
          <w:tcPr>
            <w:tcW w:w="1984" w:type="dxa"/>
            <w:gridSpan w:val="7"/>
            <w:shd w:val="clear" w:color="auto" w:fill="auto"/>
            <w:vAlign w:val="bottom"/>
          </w:tcPr>
          <w:p w14:paraId="3E311624" w14:textId="77777777" w:rsidR="00CE0ABF" w:rsidRPr="0051081B" w:rsidRDefault="00CE0ABF" w:rsidP="000C4F43">
            <w:pPr>
              <w:jc w:val="both"/>
              <w:rPr>
                <w:sz w:val="18"/>
                <w:szCs w:val="18"/>
              </w:rPr>
            </w:pPr>
          </w:p>
        </w:tc>
        <w:tc>
          <w:tcPr>
            <w:tcW w:w="1985" w:type="dxa"/>
            <w:gridSpan w:val="7"/>
            <w:shd w:val="clear" w:color="auto" w:fill="auto"/>
            <w:vAlign w:val="bottom"/>
          </w:tcPr>
          <w:p w14:paraId="7C2B2ADB" w14:textId="77777777" w:rsidR="00CE0ABF" w:rsidRPr="0051081B" w:rsidRDefault="00CE0ABF" w:rsidP="000C4F43">
            <w:pPr>
              <w:jc w:val="both"/>
              <w:rPr>
                <w:sz w:val="18"/>
                <w:szCs w:val="18"/>
              </w:rPr>
            </w:pPr>
          </w:p>
        </w:tc>
      </w:tr>
      <w:tr w:rsidR="00CE0ABF" w:rsidRPr="001950C9" w14:paraId="29F8795D"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0E8C7D4"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7D46AF1C" w14:textId="7BBF7283" w:rsidR="00CE0ABF" w:rsidRPr="0051081B" w:rsidRDefault="00CE0ABF" w:rsidP="00CE0ABF">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1BB8ADA0" w14:textId="77777777" w:rsidR="00CE0ABF" w:rsidRPr="0051081B" w:rsidRDefault="00CE0ABF" w:rsidP="000C4F43">
            <w:pPr>
              <w:jc w:val="both"/>
              <w:rPr>
                <w:sz w:val="18"/>
                <w:szCs w:val="18"/>
              </w:rPr>
            </w:pPr>
          </w:p>
        </w:tc>
        <w:tc>
          <w:tcPr>
            <w:tcW w:w="1984" w:type="dxa"/>
            <w:gridSpan w:val="7"/>
            <w:shd w:val="clear" w:color="auto" w:fill="auto"/>
            <w:vAlign w:val="bottom"/>
          </w:tcPr>
          <w:p w14:paraId="16E99A16" w14:textId="77777777" w:rsidR="00CE0ABF" w:rsidRPr="0051081B" w:rsidRDefault="00CE0ABF" w:rsidP="000C4F43">
            <w:pPr>
              <w:jc w:val="both"/>
              <w:rPr>
                <w:sz w:val="18"/>
                <w:szCs w:val="18"/>
              </w:rPr>
            </w:pPr>
          </w:p>
        </w:tc>
        <w:tc>
          <w:tcPr>
            <w:tcW w:w="1985" w:type="dxa"/>
            <w:gridSpan w:val="7"/>
            <w:shd w:val="clear" w:color="auto" w:fill="auto"/>
            <w:vAlign w:val="bottom"/>
          </w:tcPr>
          <w:p w14:paraId="1AC8F1FF" w14:textId="77777777" w:rsidR="00CE0ABF" w:rsidRPr="0051081B" w:rsidRDefault="00CE0ABF" w:rsidP="000C4F43">
            <w:pPr>
              <w:jc w:val="both"/>
              <w:rPr>
                <w:sz w:val="18"/>
                <w:szCs w:val="18"/>
              </w:rPr>
            </w:pPr>
          </w:p>
        </w:tc>
      </w:tr>
      <w:tr w:rsidR="00CE0ABF" w:rsidRPr="001950C9" w14:paraId="31DDA5A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A484360"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14DBDD3" w14:textId="0EB14072" w:rsidR="00CE0ABF" w:rsidRPr="0051081B" w:rsidRDefault="00CE0ABF" w:rsidP="000C4F43">
            <w:pPr>
              <w:jc w:val="both"/>
              <w:rPr>
                <w:sz w:val="18"/>
                <w:szCs w:val="18"/>
              </w:rPr>
            </w:pPr>
            <w:r w:rsidRPr="0051081B">
              <w:rPr>
                <w:sz w:val="18"/>
                <w:szCs w:val="18"/>
              </w:rPr>
              <w:t>Services received (aggregate)</w:t>
            </w:r>
            <w:r w:rsidRPr="0051081B">
              <w:rPr>
                <w:sz w:val="18"/>
                <w:szCs w:val="18"/>
                <w:vertAlign w:val="superscript"/>
              </w:rPr>
              <w:t>1,2</w:t>
            </w:r>
          </w:p>
        </w:tc>
        <w:tc>
          <w:tcPr>
            <w:tcW w:w="1843" w:type="dxa"/>
            <w:shd w:val="clear" w:color="auto" w:fill="auto"/>
            <w:vAlign w:val="bottom"/>
          </w:tcPr>
          <w:p w14:paraId="5E781C8B" w14:textId="77777777" w:rsidR="00CE0ABF" w:rsidRPr="0051081B" w:rsidRDefault="00CE0ABF" w:rsidP="000C4F43">
            <w:pPr>
              <w:jc w:val="both"/>
              <w:rPr>
                <w:sz w:val="18"/>
                <w:szCs w:val="18"/>
              </w:rPr>
            </w:pPr>
          </w:p>
        </w:tc>
        <w:tc>
          <w:tcPr>
            <w:tcW w:w="1984" w:type="dxa"/>
            <w:gridSpan w:val="7"/>
            <w:shd w:val="clear" w:color="auto" w:fill="auto"/>
            <w:vAlign w:val="bottom"/>
          </w:tcPr>
          <w:p w14:paraId="40EBF8FB" w14:textId="77777777" w:rsidR="00CE0ABF" w:rsidRPr="0051081B" w:rsidRDefault="00CE0ABF" w:rsidP="000C4F43">
            <w:pPr>
              <w:jc w:val="both"/>
              <w:rPr>
                <w:sz w:val="18"/>
                <w:szCs w:val="18"/>
              </w:rPr>
            </w:pPr>
          </w:p>
        </w:tc>
        <w:tc>
          <w:tcPr>
            <w:tcW w:w="1985" w:type="dxa"/>
            <w:gridSpan w:val="7"/>
            <w:shd w:val="clear" w:color="auto" w:fill="auto"/>
            <w:vAlign w:val="bottom"/>
          </w:tcPr>
          <w:p w14:paraId="37BB9205" w14:textId="77777777" w:rsidR="00CE0ABF" w:rsidRPr="0051081B" w:rsidRDefault="00CE0ABF" w:rsidP="000C4F43">
            <w:pPr>
              <w:jc w:val="both"/>
              <w:rPr>
                <w:sz w:val="18"/>
                <w:szCs w:val="18"/>
              </w:rPr>
            </w:pPr>
          </w:p>
        </w:tc>
      </w:tr>
      <w:tr w:rsidR="00CE0ABF" w:rsidRPr="001950C9" w14:paraId="5EB05391"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0E99C34"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D1A7405" w14:textId="77777777" w:rsidR="00CE0ABF" w:rsidRPr="0051081B" w:rsidRDefault="00CE0ABF" w:rsidP="000C4F43">
            <w:pPr>
              <w:jc w:val="both"/>
              <w:rPr>
                <w:sz w:val="18"/>
                <w:szCs w:val="18"/>
              </w:rPr>
            </w:pPr>
          </w:p>
        </w:tc>
        <w:tc>
          <w:tcPr>
            <w:tcW w:w="1843" w:type="dxa"/>
            <w:shd w:val="clear" w:color="auto" w:fill="auto"/>
            <w:vAlign w:val="bottom"/>
          </w:tcPr>
          <w:p w14:paraId="0AE1CAD9" w14:textId="77777777" w:rsidR="00CE0ABF" w:rsidRPr="0051081B" w:rsidRDefault="00CE0ABF" w:rsidP="000C4F43">
            <w:pPr>
              <w:jc w:val="both"/>
              <w:rPr>
                <w:sz w:val="18"/>
                <w:szCs w:val="18"/>
              </w:rPr>
            </w:pPr>
          </w:p>
        </w:tc>
        <w:tc>
          <w:tcPr>
            <w:tcW w:w="1984" w:type="dxa"/>
            <w:gridSpan w:val="7"/>
            <w:shd w:val="clear" w:color="auto" w:fill="auto"/>
            <w:vAlign w:val="bottom"/>
          </w:tcPr>
          <w:p w14:paraId="132F90F2" w14:textId="77777777" w:rsidR="00CE0ABF" w:rsidRPr="0051081B" w:rsidRDefault="00CE0ABF" w:rsidP="000C4F43">
            <w:pPr>
              <w:jc w:val="both"/>
              <w:rPr>
                <w:sz w:val="18"/>
                <w:szCs w:val="18"/>
              </w:rPr>
            </w:pPr>
          </w:p>
        </w:tc>
        <w:tc>
          <w:tcPr>
            <w:tcW w:w="1985" w:type="dxa"/>
            <w:gridSpan w:val="7"/>
            <w:shd w:val="clear" w:color="auto" w:fill="auto"/>
            <w:vAlign w:val="bottom"/>
          </w:tcPr>
          <w:p w14:paraId="22D84A8A" w14:textId="77777777" w:rsidR="00CE0ABF" w:rsidRPr="0051081B" w:rsidRDefault="00CE0ABF" w:rsidP="000C4F43">
            <w:pPr>
              <w:jc w:val="both"/>
              <w:rPr>
                <w:sz w:val="18"/>
                <w:szCs w:val="18"/>
              </w:rPr>
            </w:pPr>
          </w:p>
        </w:tc>
      </w:tr>
      <w:tr w:rsidR="00CE0ABF" w:rsidRPr="001950C9" w14:paraId="768D2DAC"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1B204E3" w14:textId="77777777" w:rsidR="00CE0ABF" w:rsidRPr="00B01585" w:rsidRDefault="00CE0ABF" w:rsidP="00101D48">
            <w:pPr>
              <w:pStyle w:val="TableReference"/>
              <w:tabs>
                <w:tab w:val="left" w:pos="3306"/>
              </w:tabs>
              <w:rPr>
                <w:rFonts w:cs="Calibri"/>
                <w:color w:val="7030A0"/>
                <w:sz w:val="14"/>
              </w:rPr>
            </w:pPr>
          </w:p>
        </w:tc>
        <w:tc>
          <w:tcPr>
            <w:tcW w:w="9072" w:type="dxa"/>
            <w:gridSpan w:val="17"/>
            <w:vMerge w:val="restart"/>
            <w:tcBorders>
              <w:left w:val="single" w:sz="4" w:space="0" w:color="auto"/>
            </w:tcBorders>
            <w:shd w:val="clear" w:color="auto" w:fill="auto"/>
            <w:vAlign w:val="bottom"/>
          </w:tcPr>
          <w:p w14:paraId="52A18B1E" w14:textId="2CA35319" w:rsidR="00CE0ABF" w:rsidRPr="0051081B" w:rsidRDefault="00CE0ABF" w:rsidP="00CE0ABF">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w:t>
            </w:r>
            <w:r w:rsidR="003B044B" w:rsidRPr="0051081B">
              <w:rPr>
                <w:sz w:val="18"/>
                <w:szCs w:val="18"/>
              </w:rPr>
              <w:t>Burley Griffin</w:t>
            </w:r>
            <w:r w:rsidR="003B044B" w:rsidRPr="0051081B">
              <w:rPr>
                <w:bCs/>
                <w:sz w:val="18"/>
                <w:szCs w:val="18"/>
              </w:rPr>
              <w:t xml:space="preserve"> </w:t>
            </w:r>
            <w:r w:rsidRPr="0051081B">
              <w:rPr>
                <w:sz w:val="18"/>
                <w:szCs w:val="18"/>
              </w:rPr>
              <w:t xml:space="preserve">Agency’. </w:t>
            </w:r>
          </w:p>
          <w:p w14:paraId="39D33461" w14:textId="3E755F24" w:rsidR="00CE0ABF" w:rsidRPr="0051081B" w:rsidRDefault="00CE0ABF" w:rsidP="00CE0ABF">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w:t>
            </w:r>
            <w:r w:rsidR="003B044B" w:rsidRPr="0051081B">
              <w:rPr>
                <w:sz w:val="18"/>
                <w:szCs w:val="18"/>
              </w:rPr>
              <w:t>Burley Griffin</w:t>
            </w:r>
            <w:r w:rsidRPr="0051081B">
              <w:rPr>
                <w:sz w:val="18"/>
                <w:szCs w:val="18"/>
              </w:rPr>
              <w:t xml:space="preserve"> Agency’.</w:t>
            </w:r>
          </w:p>
        </w:tc>
      </w:tr>
      <w:tr w:rsidR="00CE0ABF" w:rsidRPr="001950C9" w14:paraId="773E50BF"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72145B3" w14:textId="77777777" w:rsidR="00CE0ABF" w:rsidRPr="00B01585" w:rsidRDefault="00CE0ABF" w:rsidP="00101D48">
            <w:pPr>
              <w:pStyle w:val="TableReference"/>
              <w:tabs>
                <w:tab w:val="left" w:pos="3306"/>
              </w:tabs>
              <w:rPr>
                <w:rFonts w:cs="Calibri"/>
                <w:color w:val="7030A0"/>
                <w:sz w:val="14"/>
              </w:rPr>
            </w:pPr>
          </w:p>
        </w:tc>
        <w:tc>
          <w:tcPr>
            <w:tcW w:w="9072" w:type="dxa"/>
            <w:gridSpan w:val="17"/>
            <w:vMerge/>
            <w:tcBorders>
              <w:left w:val="single" w:sz="4" w:space="0" w:color="auto"/>
            </w:tcBorders>
            <w:shd w:val="clear" w:color="auto" w:fill="auto"/>
            <w:vAlign w:val="bottom"/>
          </w:tcPr>
          <w:p w14:paraId="0AE11063" w14:textId="77777777" w:rsidR="00CE0ABF" w:rsidRPr="0051081B" w:rsidRDefault="00CE0ABF" w:rsidP="000C4F43">
            <w:pPr>
              <w:jc w:val="both"/>
              <w:rPr>
                <w:sz w:val="18"/>
                <w:szCs w:val="18"/>
              </w:rPr>
            </w:pPr>
          </w:p>
        </w:tc>
      </w:tr>
      <w:tr w:rsidR="00CE0ABF" w:rsidRPr="001950C9" w14:paraId="3AB503FB"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986ED20" w14:textId="77777777" w:rsidR="00CE0ABF" w:rsidRPr="00B01585" w:rsidRDefault="00CE0ABF" w:rsidP="00101D48">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5843C3A2" w14:textId="0F35EDDE" w:rsidR="00CE0ABF" w:rsidRPr="0051081B" w:rsidRDefault="00CE0ABF" w:rsidP="000C4F43">
            <w:pPr>
              <w:jc w:val="both"/>
              <w:rPr>
                <w:sz w:val="18"/>
                <w:szCs w:val="18"/>
              </w:rPr>
            </w:pPr>
            <w:r w:rsidRPr="0051081B">
              <w:rPr>
                <w:sz w:val="18"/>
                <w:szCs w:val="18"/>
              </w:rPr>
              <w:t>No allowances for doubtful debts or bad debts expenses in relation to related party transactions were recorded during the current reporting period.</w:t>
            </w:r>
          </w:p>
        </w:tc>
      </w:tr>
      <w:tr w:rsidR="00CE0ABF" w:rsidRPr="001950C9" w14:paraId="1D35BBDB"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CAF0030" w14:textId="77777777" w:rsidR="00CE0ABF" w:rsidRPr="00B01585" w:rsidRDefault="00CE0ABF" w:rsidP="00101D48">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00A6E1EC" w14:textId="77777777" w:rsidR="00CE0ABF" w:rsidRPr="0051081B" w:rsidRDefault="00CE0ABF" w:rsidP="000C4F43">
            <w:pPr>
              <w:jc w:val="both"/>
              <w:rPr>
                <w:sz w:val="18"/>
                <w:szCs w:val="18"/>
              </w:rPr>
            </w:pPr>
          </w:p>
        </w:tc>
      </w:tr>
      <w:tr w:rsidR="00CE0ABF" w:rsidRPr="001950C9" w14:paraId="2F36425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6CB8215"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284A59B0" w14:textId="4E3A9458" w:rsidR="00CE0ABF" w:rsidRPr="0051081B" w:rsidRDefault="00CE0ABF" w:rsidP="00524980">
            <w:pPr>
              <w:spacing w:before="120" w:after="120"/>
              <w:jc w:val="both"/>
              <w:rPr>
                <w:b/>
                <w:bCs/>
                <w:sz w:val="18"/>
                <w:szCs w:val="18"/>
              </w:rPr>
            </w:pPr>
            <w:r w:rsidRPr="0051081B">
              <w:rPr>
                <w:b/>
                <w:bCs/>
                <w:sz w:val="18"/>
                <w:szCs w:val="18"/>
              </w:rPr>
              <w:t>202</w:t>
            </w:r>
            <w:r w:rsidR="00D57EB3">
              <w:rPr>
                <w:b/>
                <w:bCs/>
                <w:sz w:val="18"/>
                <w:szCs w:val="18"/>
              </w:rPr>
              <w:t>2</w:t>
            </w:r>
          </w:p>
        </w:tc>
        <w:tc>
          <w:tcPr>
            <w:tcW w:w="1843" w:type="dxa"/>
            <w:shd w:val="clear" w:color="auto" w:fill="auto"/>
            <w:vAlign w:val="bottom"/>
          </w:tcPr>
          <w:p w14:paraId="475F8AA8" w14:textId="2C2B3159" w:rsidR="00CE0ABF" w:rsidRPr="0051081B" w:rsidRDefault="00CE0ABF" w:rsidP="00CE0ABF">
            <w:pPr>
              <w:jc w:val="right"/>
              <w:rPr>
                <w:strike/>
                <w:sz w:val="18"/>
                <w:szCs w:val="18"/>
              </w:rPr>
            </w:pPr>
          </w:p>
        </w:tc>
        <w:tc>
          <w:tcPr>
            <w:tcW w:w="1984" w:type="dxa"/>
            <w:gridSpan w:val="7"/>
            <w:shd w:val="clear" w:color="auto" w:fill="auto"/>
            <w:vAlign w:val="bottom"/>
          </w:tcPr>
          <w:p w14:paraId="37572114" w14:textId="4C09B9D6" w:rsidR="00CE0ABF" w:rsidRPr="0051081B" w:rsidRDefault="00CE0ABF" w:rsidP="00CE0ABF">
            <w:pPr>
              <w:jc w:val="right"/>
              <w:rPr>
                <w:strike/>
                <w:sz w:val="18"/>
                <w:szCs w:val="18"/>
              </w:rPr>
            </w:pPr>
          </w:p>
        </w:tc>
        <w:tc>
          <w:tcPr>
            <w:tcW w:w="1985" w:type="dxa"/>
            <w:gridSpan w:val="7"/>
            <w:shd w:val="clear" w:color="auto" w:fill="auto"/>
            <w:vAlign w:val="bottom"/>
          </w:tcPr>
          <w:p w14:paraId="249CD223" w14:textId="199A35AC" w:rsidR="00CE0ABF" w:rsidRPr="0051081B" w:rsidRDefault="00CE0ABF" w:rsidP="00CE0ABF">
            <w:pPr>
              <w:jc w:val="right"/>
              <w:rPr>
                <w:strike/>
                <w:sz w:val="18"/>
                <w:szCs w:val="18"/>
              </w:rPr>
            </w:pPr>
          </w:p>
        </w:tc>
      </w:tr>
      <w:tr w:rsidR="00CE0ABF" w:rsidRPr="001950C9" w14:paraId="5E8359A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27CFED2"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0487657" w14:textId="3D12CB40" w:rsidR="00CE0ABF" w:rsidRPr="0051081B" w:rsidRDefault="00CE0ABF" w:rsidP="000C4F43">
            <w:pPr>
              <w:jc w:val="both"/>
              <w:rPr>
                <w:b/>
                <w:sz w:val="18"/>
                <w:szCs w:val="18"/>
              </w:rPr>
            </w:pPr>
            <w:r w:rsidRPr="0051081B">
              <w:rPr>
                <w:b/>
                <w:sz w:val="18"/>
                <w:szCs w:val="18"/>
              </w:rPr>
              <w:t>Nature of transaction</w:t>
            </w:r>
          </w:p>
        </w:tc>
        <w:tc>
          <w:tcPr>
            <w:tcW w:w="1843" w:type="dxa"/>
            <w:shd w:val="clear" w:color="auto" w:fill="auto"/>
            <w:vAlign w:val="bottom"/>
          </w:tcPr>
          <w:p w14:paraId="46F095FD" w14:textId="77777777" w:rsidR="00CE0ABF" w:rsidRPr="0051081B" w:rsidRDefault="00CE0ABF" w:rsidP="000C4F43">
            <w:pPr>
              <w:jc w:val="both"/>
              <w:rPr>
                <w:sz w:val="18"/>
                <w:szCs w:val="18"/>
              </w:rPr>
            </w:pPr>
          </w:p>
        </w:tc>
        <w:tc>
          <w:tcPr>
            <w:tcW w:w="1984" w:type="dxa"/>
            <w:gridSpan w:val="7"/>
            <w:shd w:val="clear" w:color="auto" w:fill="auto"/>
            <w:vAlign w:val="bottom"/>
          </w:tcPr>
          <w:p w14:paraId="16B6E61A" w14:textId="77777777" w:rsidR="00CE0ABF" w:rsidRPr="0051081B" w:rsidRDefault="00CE0ABF" w:rsidP="000C4F43">
            <w:pPr>
              <w:jc w:val="both"/>
              <w:rPr>
                <w:sz w:val="18"/>
                <w:szCs w:val="18"/>
              </w:rPr>
            </w:pPr>
          </w:p>
        </w:tc>
        <w:tc>
          <w:tcPr>
            <w:tcW w:w="1985" w:type="dxa"/>
            <w:gridSpan w:val="7"/>
            <w:shd w:val="clear" w:color="auto" w:fill="auto"/>
            <w:vAlign w:val="bottom"/>
          </w:tcPr>
          <w:p w14:paraId="01A62919" w14:textId="77777777" w:rsidR="00CE0ABF" w:rsidRPr="0051081B" w:rsidRDefault="00CE0ABF" w:rsidP="000C4F43">
            <w:pPr>
              <w:jc w:val="both"/>
              <w:rPr>
                <w:sz w:val="18"/>
                <w:szCs w:val="18"/>
              </w:rPr>
            </w:pPr>
          </w:p>
        </w:tc>
      </w:tr>
      <w:tr w:rsidR="00CE0ABF" w:rsidRPr="001950C9" w14:paraId="039BECC4"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5DB76B26"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0968B9C" w14:textId="4E4AC4ED" w:rsidR="00CE0ABF" w:rsidRPr="0051081B" w:rsidRDefault="00CE0ABF" w:rsidP="00035833">
            <w:pPr>
              <w:spacing w:before="60"/>
              <w:jc w:val="both"/>
              <w:rPr>
                <w:bCs/>
                <w:i/>
                <w:iCs/>
                <w:sz w:val="18"/>
                <w:szCs w:val="18"/>
              </w:rPr>
            </w:pPr>
            <w:r w:rsidRPr="0051081B">
              <w:rPr>
                <w:bCs/>
                <w:i/>
                <w:iCs/>
                <w:sz w:val="18"/>
                <w:szCs w:val="18"/>
              </w:rPr>
              <w:t>Purchase or Sale of Goods</w:t>
            </w:r>
          </w:p>
        </w:tc>
        <w:tc>
          <w:tcPr>
            <w:tcW w:w="1843" w:type="dxa"/>
            <w:shd w:val="clear" w:color="auto" w:fill="auto"/>
            <w:vAlign w:val="bottom"/>
          </w:tcPr>
          <w:p w14:paraId="0A76D4B7" w14:textId="77777777" w:rsidR="00CE0ABF" w:rsidRPr="0051081B" w:rsidRDefault="00CE0ABF" w:rsidP="000C4F43">
            <w:pPr>
              <w:jc w:val="both"/>
              <w:rPr>
                <w:sz w:val="18"/>
                <w:szCs w:val="18"/>
              </w:rPr>
            </w:pPr>
          </w:p>
        </w:tc>
        <w:tc>
          <w:tcPr>
            <w:tcW w:w="1984" w:type="dxa"/>
            <w:gridSpan w:val="7"/>
            <w:shd w:val="clear" w:color="auto" w:fill="auto"/>
            <w:vAlign w:val="bottom"/>
          </w:tcPr>
          <w:p w14:paraId="0BCB1952" w14:textId="77777777" w:rsidR="00CE0ABF" w:rsidRPr="0051081B" w:rsidRDefault="00CE0ABF" w:rsidP="000C4F43">
            <w:pPr>
              <w:jc w:val="both"/>
              <w:rPr>
                <w:sz w:val="18"/>
                <w:szCs w:val="18"/>
              </w:rPr>
            </w:pPr>
          </w:p>
        </w:tc>
        <w:tc>
          <w:tcPr>
            <w:tcW w:w="1985" w:type="dxa"/>
            <w:gridSpan w:val="7"/>
            <w:shd w:val="clear" w:color="auto" w:fill="auto"/>
            <w:vAlign w:val="bottom"/>
          </w:tcPr>
          <w:p w14:paraId="0997120B" w14:textId="77777777" w:rsidR="00CE0ABF" w:rsidRPr="0051081B" w:rsidRDefault="00CE0ABF" w:rsidP="000C4F43">
            <w:pPr>
              <w:jc w:val="both"/>
              <w:rPr>
                <w:sz w:val="18"/>
                <w:szCs w:val="18"/>
              </w:rPr>
            </w:pPr>
          </w:p>
        </w:tc>
      </w:tr>
      <w:tr w:rsidR="00CE0ABF" w:rsidRPr="001950C9" w14:paraId="73F7776B"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5A41093"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21CC5C5" w14:textId="49E37FBE" w:rsidR="00CE0ABF" w:rsidRPr="0051081B" w:rsidRDefault="00CE0ABF" w:rsidP="000C4F43">
            <w:pPr>
              <w:jc w:val="both"/>
              <w:rPr>
                <w:sz w:val="18"/>
                <w:szCs w:val="18"/>
              </w:rPr>
            </w:pPr>
            <w:r w:rsidRPr="0051081B">
              <w:rPr>
                <w:sz w:val="18"/>
                <w:szCs w:val="18"/>
              </w:rPr>
              <w:t xml:space="preserve">Equipment purchased </w:t>
            </w:r>
            <w:r w:rsidRPr="0051081B">
              <w:rPr>
                <w:b/>
                <w:sz w:val="18"/>
                <w:szCs w:val="18"/>
                <w:vertAlign w:val="superscript"/>
              </w:rPr>
              <w:t>1</w:t>
            </w:r>
          </w:p>
        </w:tc>
        <w:tc>
          <w:tcPr>
            <w:tcW w:w="1843" w:type="dxa"/>
            <w:shd w:val="clear" w:color="auto" w:fill="auto"/>
            <w:vAlign w:val="bottom"/>
          </w:tcPr>
          <w:p w14:paraId="04DC05C4" w14:textId="77777777" w:rsidR="00CE0ABF" w:rsidRPr="0051081B" w:rsidRDefault="00CE0ABF" w:rsidP="000C4F43">
            <w:pPr>
              <w:jc w:val="both"/>
              <w:rPr>
                <w:sz w:val="18"/>
                <w:szCs w:val="18"/>
              </w:rPr>
            </w:pPr>
          </w:p>
        </w:tc>
        <w:tc>
          <w:tcPr>
            <w:tcW w:w="1984" w:type="dxa"/>
            <w:gridSpan w:val="7"/>
            <w:shd w:val="clear" w:color="auto" w:fill="auto"/>
            <w:vAlign w:val="bottom"/>
          </w:tcPr>
          <w:p w14:paraId="07D5D299" w14:textId="77777777" w:rsidR="00CE0ABF" w:rsidRPr="0051081B" w:rsidRDefault="00CE0ABF" w:rsidP="000C4F43">
            <w:pPr>
              <w:jc w:val="both"/>
              <w:rPr>
                <w:sz w:val="18"/>
                <w:szCs w:val="18"/>
              </w:rPr>
            </w:pPr>
          </w:p>
        </w:tc>
        <w:tc>
          <w:tcPr>
            <w:tcW w:w="1985" w:type="dxa"/>
            <w:gridSpan w:val="7"/>
            <w:shd w:val="clear" w:color="auto" w:fill="auto"/>
            <w:vAlign w:val="bottom"/>
          </w:tcPr>
          <w:p w14:paraId="30FCF95F" w14:textId="77777777" w:rsidR="00CE0ABF" w:rsidRPr="0051081B" w:rsidRDefault="00CE0ABF" w:rsidP="000C4F43">
            <w:pPr>
              <w:jc w:val="both"/>
              <w:rPr>
                <w:sz w:val="18"/>
                <w:szCs w:val="18"/>
              </w:rPr>
            </w:pPr>
          </w:p>
        </w:tc>
      </w:tr>
      <w:tr w:rsidR="00CE0ABF" w:rsidRPr="001950C9" w14:paraId="71BB368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65291FB"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8B72FC9" w14:textId="12F8FAC0" w:rsidR="00CE0ABF" w:rsidRPr="0051081B" w:rsidRDefault="00CE0ABF" w:rsidP="00CE0ABF">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56B1178C" w14:textId="77777777" w:rsidR="00CE0ABF" w:rsidRPr="0051081B" w:rsidRDefault="00CE0ABF" w:rsidP="000C4F43">
            <w:pPr>
              <w:jc w:val="both"/>
              <w:rPr>
                <w:sz w:val="18"/>
                <w:szCs w:val="18"/>
              </w:rPr>
            </w:pPr>
          </w:p>
        </w:tc>
        <w:tc>
          <w:tcPr>
            <w:tcW w:w="1984" w:type="dxa"/>
            <w:gridSpan w:val="7"/>
            <w:shd w:val="clear" w:color="auto" w:fill="auto"/>
            <w:vAlign w:val="bottom"/>
          </w:tcPr>
          <w:p w14:paraId="62E1346B" w14:textId="77777777" w:rsidR="00CE0ABF" w:rsidRPr="0051081B" w:rsidRDefault="00CE0ABF" w:rsidP="000C4F43">
            <w:pPr>
              <w:jc w:val="both"/>
              <w:rPr>
                <w:sz w:val="18"/>
                <w:szCs w:val="18"/>
              </w:rPr>
            </w:pPr>
          </w:p>
        </w:tc>
        <w:tc>
          <w:tcPr>
            <w:tcW w:w="1985" w:type="dxa"/>
            <w:gridSpan w:val="7"/>
            <w:shd w:val="clear" w:color="auto" w:fill="auto"/>
            <w:vAlign w:val="bottom"/>
          </w:tcPr>
          <w:p w14:paraId="74A4CF8C" w14:textId="77777777" w:rsidR="00CE0ABF" w:rsidRPr="0051081B" w:rsidRDefault="00CE0ABF" w:rsidP="000C4F43">
            <w:pPr>
              <w:jc w:val="both"/>
              <w:rPr>
                <w:sz w:val="18"/>
                <w:szCs w:val="18"/>
              </w:rPr>
            </w:pPr>
          </w:p>
        </w:tc>
      </w:tr>
      <w:tr w:rsidR="00CE0ABF" w:rsidRPr="001950C9" w14:paraId="0CCE63C2"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FD8374E"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4CE77D7" w14:textId="0166FC2A" w:rsidR="00CE0ABF" w:rsidRPr="0051081B" w:rsidRDefault="00CE0ABF" w:rsidP="000C4F43">
            <w:pPr>
              <w:jc w:val="both"/>
              <w:rPr>
                <w:sz w:val="18"/>
                <w:szCs w:val="18"/>
              </w:rPr>
            </w:pPr>
            <w:r w:rsidRPr="0051081B">
              <w:rPr>
                <w:sz w:val="18"/>
                <w:szCs w:val="18"/>
              </w:rPr>
              <w:t xml:space="preserve">Services received (aggregate) </w:t>
            </w:r>
            <w:r w:rsidRPr="0051081B">
              <w:rPr>
                <w:b/>
                <w:sz w:val="18"/>
                <w:szCs w:val="18"/>
                <w:vertAlign w:val="superscript"/>
              </w:rPr>
              <w:t>1,2</w:t>
            </w:r>
          </w:p>
        </w:tc>
        <w:tc>
          <w:tcPr>
            <w:tcW w:w="1843" w:type="dxa"/>
            <w:shd w:val="clear" w:color="auto" w:fill="auto"/>
            <w:vAlign w:val="bottom"/>
          </w:tcPr>
          <w:p w14:paraId="4FD8380A" w14:textId="77777777" w:rsidR="00CE0ABF" w:rsidRPr="0051081B" w:rsidRDefault="00CE0ABF" w:rsidP="000C4F43">
            <w:pPr>
              <w:jc w:val="both"/>
              <w:rPr>
                <w:sz w:val="18"/>
                <w:szCs w:val="18"/>
              </w:rPr>
            </w:pPr>
          </w:p>
        </w:tc>
        <w:tc>
          <w:tcPr>
            <w:tcW w:w="1984" w:type="dxa"/>
            <w:gridSpan w:val="7"/>
            <w:shd w:val="clear" w:color="auto" w:fill="auto"/>
            <w:vAlign w:val="bottom"/>
          </w:tcPr>
          <w:p w14:paraId="34EAB5AB" w14:textId="77777777" w:rsidR="00CE0ABF" w:rsidRPr="0051081B" w:rsidRDefault="00CE0ABF" w:rsidP="000C4F43">
            <w:pPr>
              <w:jc w:val="both"/>
              <w:rPr>
                <w:sz w:val="18"/>
                <w:szCs w:val="18"/>
              </w:rPr>
            </w:pPr>
          </w:p>
        </w:tc>
        <w:tc>
          <w:tcPr>
            <w:tcW w:w="1985" w:type="dxa"/>
            <w:gridSpan w:val="7"/>
            <w:shd w:val="clear" w:color="auto" w:fill="auto"/>
            <w:vAlign w:val="bottom"/>
          </w:tcPr>
          <w:p w14:paraId="2B483963" w14:textId="77777777" w:rsidR="00CE0ABF" w:rsidRPr="0051081B" w:rsidRDefault="00CE0ABF" w:rsidP="000C4F43">
            <w:pPr>
              <w:jc w:val="both"/>
              <w:rPr>
                <w:sz w:val="18"/>
                <w:szCs w:val="18"/>
              </w:rPr>
            </w:pPr>
          </w:p>
        </w:tc>
      </w:tr>
      <w:tr w:rsidR="00CE0ABF" w:rsidRPr="001950C9" w14:paraId="64751BD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5186D27" w14:textId="77777777" w:rsidR="00CE0ABF" w:rsidRPr="00B01585" w:rsidRDefault="00CE0ABF" w:rsidP="00101D48">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5206A1A" w14:textId="77777777" w:rsidR="00CE0ABF" w:rsidRPr="0051081B" w:rsidRDefault="00CE0ABF" w:rsidP="000C4F43">
            <w:pPr>
              <w:jc w:val="both"/>
              <w:rPr>
                <w:sz w:val="18"/>
                <w:szCs w:val="18"/>
              </w:rPr>
            </w:pPr>
          </w:p>
        </w:tc>
        <w:tc>
          <w:tcPr>
            <w:tcW w:w="1843" w:type="dxa"/>
            <w:shd w:val="clear" w:color="auto" w:fill="auto"/>
            <w:vAlign w:val="bottom"/>
          </w:tcPr>
          <w:p w14:paraId="079347E2" w14:textId="77777777" w:rsidR="00CE0ABF" w:rsidRPr="0051081B" w:rsidRDefault="00CE0ABF" w:rsidP="000C4F43">
            <w:pPr>
              <w:jc w:val="both"/>
              <w:rPr>
                <w:sz w:val="18"/>
                <w:szCs w:val="18"/>
              </w:rPr>
            </w:pPr>
          </w:p>
        </w:tc>
        <w:tc>
          <w:tcPr>
            <w:tcW w:w="1984" w:type="dxa"/>
            <w:gridSpan w:val="7"/>
            <w:shd w:val="clear" w:color="auto" w:fill="auto"/>
            <w:vAlign w:val="bottom"/>
          </w:tcPr>
          <w:p w14:paraId="383953D0" w14:textId="77777777" w:rsidR="00CE0ABF" w:rsidRPr="0051081B" w:rsidRDefault="00CE0ABF" w:rsidP="000C4F43">
            <w:pPr>
              <w:jc w:val="both"/>
              <w:rPr>
                <w:sz w:val="18"/>
                <w:szCs w:val="18"/>
              </w:rPr>
            </w:pPr>
          </w:p>
        </w:tc>
        <w:tc>
          <w:tcPr>
            <w:tcW w:w="1985" w:type="dxa"/>
            <w:gridSpan w:val="7"/>
            <w:shd w:val="clear" w:color="auto" w:fill="auto"/>
            <w:vAlign w:val="bottom"/>
          </w:tcPr>
          <w:p w14:paraId="0A511A92" w14:textId="77777777" w:rsidR="00CE0ABF" w:rsidRPr="0051081B" w:rsidRDefault="00CE0ABF" w:rsidP="000C4F43">
            <w:pPr>
              <w:jc w:val="both"/>
              <w:rPr>
                <w:sz w:val="18"/>
                <w:szCs w:val="18"/>
              </w:rPr>
            </w:pPr>
          </w:p>
        </w:tc>
      </w:tr>
      <w:tr w:rsidR="00CE0ABF" w:rsidRPr="001950C9" w14:paraId="78A49854"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52831440" w14:textId="77777777" w:rsidR="00CE0ABF" w:rsidRPr="00B01585" w:rsidRDefault="00CE0ABF" w:rsidP="00101D48">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392646C2" w14:textId="2CE0674C" w:rsidR="00CE0ABF" w:rsidRPr="0051081B" w:rsidRDefault="00CE0ABF" w:rsidP="00524980">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w:t>
            </w:r>
            <w:r w:rsidR="008A2B0F" w:rsidRPr="0051081B">
              <w:rPr>
                <w:sz w:val="18"/>
                <w:szCs w:val="18"/>
              </w:rPr>
              <w:t>Burley Griffin</w:t>
            </w:r>
            <w:r w:rsidR="008A2B0F" w:rsidRPr="0051081B">
              <w:rPr>
                <w:bCs/>
                <w:sz w:val="18"/>
                <w:szCs w:val="18"/>
              </w:rPr>
              <w:t xml:space="preserve"> </w:t>
            </w:r>
            <w:r w:rsidRPr="0051081B">
              <w:rPr>
                <w:sz w:val="18"/>
                <w:szCs w:val="18"/>
              </w:rPr>
              <w:t xml:space="preserve">Agency’. </w:t>
            </w:r>
          </w:p>
          <w:p w14:paraId="192341EB" w14:textId="162896EB" w:rsidR="00CE0ABF" w:rsidRPr="0051081B" w:rsidRDefault="00CE0ABF" w:rsidP="00CE0ABF">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w:t>
            </w:r>
            <w:r w:rsidR="008A2B0F" w:rsidRPr="0051081B">
              <w:rPr>
                <w:sz w:val="18"/>
                <w:szCs w:val="18"/>
              </w:rPr>
              <w:t>Burley Griffin</w:t>
            </w:r>
            <w:r w:rsidRPr="0051081B">
              <w:rPr>
                <w:sz w:val="18"/>
                <w:szCs w:val="18"/>
              </w:rPr>
              <w:t xml:space="preserve"> Agency’.</w:t>
            </w:r>
          </w:p>
        </w:tc>
      </w:tr>
      <w:tr w:rsidR="00CE0ABF" w:rsidRPr="001950C9" w14:paraId="354FF9EF"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C592CF7" w14:textId="77777777" w:rsidR="00CE0ABF" w:rsidRPr="00B01585" w:rsidRDefault="00CE0ABF" w:rsidP="00101D48">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041F06AE" w14:textId="77777777" w:rsidR="00CE0ABF" w:rsidRPr="0051081B" w:rsidRDefault="00CE0ABF" w:rsidP="000C4F43">
            <w:pPr>
              <w:jc w:val="both"/>
              <w:rPr>
                <w:sz w:val="18"/>
                <w:szCs w:val="18"/>
              </w:rPr>
            </w:pPr>
          </w:p>
        </w:tc>
      </w:tr>
      <w:tr w:rsidR="00E85339" w:rsidRPr="001950C9" w14:paraId="4085ADC3"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65A60523" w14:textId="77777777" w:rsidR="00E85339" w:rsidRPr="00B01585" w:rsidRDefault="00E85339" w:rsidP="00BA2EB3">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2D2005A7" w14:textId="08448F97" w:rsidR="00E85339" w:rsidRPr="0051081B" w:rsidRDefault="00332E05" w:rsidP="00035833">
            <w:pPr>
              <w:spacing w:before="120"/>
              <w:rPr>
                <w:sz w:val="18"/>
                <w:szCs w:val="18"/>
              </w:rPr>
            </w:pPr>
            <w:r w:rsidRPr="0051081B">
              <w:rPr>
                <w:b/>
                <w:sz w:val="18"/>
                <w:szCs w:val="18"/>
              </w:rPr>
              <w:t xml:space="preserve">(C) </w:t>
            </w:r>
            <w:r w:rsidR="007672D1" w:rsidRPr="0051081B">
              <w:rPr>
                <w:b/>
                <w:sz w:val="18"/>
                <w:szCs w:val="18"/>
              </w:rPr>
              <w:t>Transactions with other ACT Government Controlled Entities</w:t>
            </w:r>
          </w:p>
        </w:tc>
      </w:tr>
      <w:tr w:rsidR="005E2DD8" w:rsidRPr="001950C9" w14:paraId="3EAE65C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9A9A8A4" w14:textId="7C4B3E93" w:rsidR="005E2DD8" w:rsidRPr="00B01585" w:rsidRDefault="002B22EC" w:rsidP="00BA2144">
            <w:pPr>
              <w:pStyle w:val="TableReference"/>
              <w:tabs>
                <w:tab w:val="left" w:pos="3306"/>
              </w:tabs>
              <w:rPr>
                <w:rFonts w:cs="Calibri"/>
                <w:color w:val="7030A0"/>
                <w:sz w:val="14"/>
              </w:rPr>
            </w:pPr>
            <w:r w:rsidRPr="00B01585">
              <w:rPr>
                <w:rFonts w:cs="Calibri"/>
                <w:color w:val="7030A0"/>
                <w:sz w:val="14"/>
              </w:rPr>
              <w:t>AASB 124.25-27</w:t>
            </w:r>
          </w:p>
        </w:tc>
        <w:tc>
          <w:tcPr>
            <w:tcW w:w="9072" w:type="dxa"/>
            <w:gridSpan w:val="17"/>
            <w:tcBorders>
              <w:left w:val="single" w:sz="4" w:space="0" w:color="auto"/>
            </w:tcBorders>
            <w:shd w:val="clear" w:color="auto" w:fill="auto"/>
            <w:vAlign w:val="bottom"/>
          </w:tcPr>
          <w:p w14:paraId="1CB74A69" w14:textId="413DCD08" w:rsidR="005E2DD8" w:rsidRPr="0051081B" w:rsidRDefault="005E2DD8" w:rsidP="00BA6793">
            <w:pPr>
              <w:spacing w:after="120"/>
              <w:jc w:val="both"/>
              <w:rPr>
                <w:sz w:val="18"/>
                <w:szCs w:val="18"/>
              </w:rPr>
            </w:pPr>
            <w:r w:rsidRPr="0051081B">
              <w:rPr>
                <w:sz w:val="18"/>
                <w:szCs w:val="18"/>
              </w:rPr>
              <w:t>‘Burley Griffin Agency’ has entered into transactions with other ACT Government entities in 202</w:t>
            </w:r>
            <w:r w:rsidR="00D57EB3">
              <w:rPr>
                <w:sz w:val="18"/>
                <w:szCs w:val="18"/>
              </w:rPr>
              <w:t>3</w:t>
            </w:r>
            <w:r w:rsidRPr="0051081B">
              <w:rPr>
                <w:sz w:val="18"/>
                <w:szCs w:val="18"/>
              </w:rPr>
              <w:t xml:space="preserve"> and 202</w:t>
            </w:r>
            <w:r w:rsidR="00D57EB3">
              <w:rPr>
                <w:sz w:val="18"/>
                <w:szCs w:val="18"/>
              </w:rPr>
              <w:t>2</w:t>
            </w:r>
            <w:r w:rsidRPr="0051081B">
              <w:rPr>
                <w:sz w:val="18"/>
                <w:szCs w:val="18"/>
              </w:rPr>
              <w:t xml:space="preserve"> consistent with day-to-day business operations provided under varying terms and conditions. The notes to the Financial Statements provide the details of transactions with other ACT Government Entities.</w:t>
            </w:r>
            <w:r w:rsidR="00FA7C77">
              <w:rPr>
                <w:sz w:val="18"/>
                <w:szCs w:val="18"/>
              </w:rPr>
              <w:t xml:space="preserve"> </w:t>
            </w:r>
            <w:r w:rsidRPr="0051081B">
              <w:rPr>
                <w:sz w:val="18"/>
                <w:szCs w:val="18"/>
              </w:rPr>
              <w:t xml:space="preserve">Below is a summary of </w:t>
            </w:r>
            <w:r w:rsidR="00BD3F29" w:rsidRPr="0051081B">
              <w:rPr>
                <w:sz w:val="18"/>
                <w:szCs w:val="18"/>
              </w:rPr>
              <w:t xml:space="preserve">the Material </w:t>
            </w:r>
            <w:r w:rsidRPr="0051081B">
              <w:rPr>
                <w:sz w:val="18"/>
                <w:szCs w:val="18"/>
              </w:rPr>
              <w:t>transactions with Other ACT Government Entities.</w:t>
            </w:r>
          </w:p>
        </w:tc>
      </w:tr>
      <w:tr w:rsidR="005E2DD8" w:rsidRPr="001950C9" w14:paraId="026C2BF3"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C150B85" w14:textId="77777777" w:rsidR="005E2DD8" w:rsidRPr="00B01585" w:rsidRDefault="005E2DD8"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4E67E294" w14:textId="21C47605" w:rsidR="005E2DD8" w:rsidRPr="0051081B" w:rsidRDefault="005E2DD8" w:rsidP="00BA6793">
            <w:pPr>
              <w:spacing w:after="40"/>
              <w:jc w:val="both"/>
              <w:rPr>
                <w:sz w:val="18"/>
                <w:szCs w:val="18"/>
              </w:rPr>
            </w:pPr>
            <w:r w:rsidRPr="0051081B">
              <w:rPr>
                <w:i/>
                <w:iCs/>
                <w:sz w:val="18"/>
                <w:szCs w:val="18"/>
              </w:rPr>
              <w:t>Revenue</w:t>
            </w:r>
          </w:p>
        </w:tc>
      </w:tr>
      <w:tr w:rsidR="005E2DD8" w:rsidRPr="001950C9" w14:paraId="76A5A431"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5A442BAB" w14:textId="77777777" w:rsidR="005E2DD8" w:rsidRPr="00B01585" w:rsidRDefault="005E2DD8"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044C1A9D" w14:textId="25A1ECD8" w:rsidR="005E2DD8" w:rsidRPr="0051081B" w:rsidRDefault="005E2DD8" w:rsidP="00CB31DE">
            <w:pPr>
              <w:pStyle w:val="ListParagraph"/>
              <w:numPr>
                <w:ilvl w:val="0"/>
                <w:numId w:val="69"/>
              </w:numPr>
              <w:spacing w:after="40"/>
              <w:ind w:left="601" w:hanging="357"/>
              <w:contextualSpacing w:val="0"/>
              <w:jc w:val="both"/>
              <w:rPr>
                <w:sz w:val="18"/>
                <w:szCs w:val="18"/>
              </w:rPr>
            </w:pPr>
            <w:r w:rsidRPr="0051081B">
              <w:rPr>
                <w:sz w:val="18"/>
                <w:szCs w:val="18"/>
              </w:rPr>
              <w:t xml:space="preserve">Appropriation (Statement of Appropriation) </w:t>
            </w:r>
            <w:r w:rsidR="00035833" w:rsidRPr="0051081B">
              <w:rPr>
                <w:sz w:val="18"/>
                <w:szCs w:val="18"/>
              </w:rPr>
              <w:t>–</w:t>
            </w:r>
            <w:r w:rsidRPr="0051081B">
              <w:t xml:space="preserve"> </w:t>
            </w:r>
            <w:r w:rsidRPr="0051081B">
              <w:rPr>
                <w:sz w:val="18"/>
                <w:szCs w:val="18"/>
              </w:rPr>
              <w:t xml:space="preserve">The </w:t>
            </w:r>
            <w:r w:rsidR="00485AA5" w:rsidRPr="0051081B">
              <w:rPr>
                <w:sz w:val="18"/>
                <w:szCs w:val="18"/>
              </w:rPr>
              <w:t>A</w:t>
            </w:r>
            <w:r w:rsidRPr="0051081B">
              <w:rPr>
                <w:sz w:val="18"/>
                <w:szCs w:val="18"/>
              </w:rPr>
              <w:t>genc</w:t>
            </w:r>
            <w:r w:rsidR="00485AA5" w:rsidRPr="0051081B">
              <w:rPr>
                <w:sz w:val="18"/>
                <w:szCs w:val="18"/>
              </w:rPr>
              <w:t>y’</w:t>
            </w:r>
            <w:r w:rsidRPr="0051081B">
              <w:rPr>
                <w:sz w:val="18"/>
                <w:szCs w:val="18"/>
              </w:rPr>
              <w:t>s main ongoing source of funding is received from the ACT Government through the Territory Banking Account.</w:t>
            </w:r>
            <w:r w:rsidR="00FA7C77">
              <w:rPr>
                <w:sz w:val="18"/>
                <w:szCs w:val="18"/>
              </w:rPr>
              <w:t xml:space="preserve"> </w:t>
            </w:r>
            <w:r w:rsidRPr="0051081B">
              <w:rPr>
                <w:sz w:val="18"/>
                <w:szCs w:val="18"/>
              </w:rPr>
              <w:t>This funding is in the form of Controlled Recurrent Payment appropriation and Capital Injection appropriation.</w:t>
            </w:r>
            <w:r w:rsidR="00FA7C77">
              <w:rPr>
                <w:sz w:val="18"/>
                <w:szCs w:val="18"/>
              </w:rPr>
              <w:t xml:space="preserve"> </w:t>
            </w:r>
          </w:p>
        </w:tc>
      </w:tr>
      <w:tr w:rsidR="005E2DD8" w:rsidRPr="001950C9" w14:paraId="6D7F597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772B02D" w14:textId="77777777" w:rsidR="005E2DD8" w:rsidRPr="00B01585" w:rsidRDefault="005E2DD8"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15DD7FDF" w14:textId="52AB5965" w:rsidR="005E2DD8" w:rsidRPr="0051081B" w:rsidRDefault="005E2DD8" w:rsidP="00CB31DE">
            <w:pPr>
              <w:pStyle w:val="ListParagraph"/>
              <w:numPr>
                <w:ilvl w:val="0"/>
                <w:numId w:val="69"/>
              </w:numPr>
              <w:spacing w:after="40"/>
              <w:ind w:left="601" w:hanging="357"/>
              <w:contextualSpacing w:val="0"/>
              <w:jc w:val="both"/>
              <w:rPr>
                <w:sz w:val="18"/>
                <w:szCs w:val="18"/>
              </w:rPr>
            </w:pPr>
            <w:r w:rsidRPr="0051081B">
              <w:rPr>
                <w:sz w:val="18"/>
                <w:szCs w:val="18"/>
              </w:rPr>
              <w:t>Sales of Goods and Services from Contracts</w:t>
            </w:r>
            <w:r w:rsidR="00C61909">
              <w:rPr>
                <w:sz w:val="18"/>
                <w:szCs w:val="18"/>
              </w:rPr>
              <w:t xml:space="preserve"> with Customers</w:t>
            </w:r>
            <w:r w:rsidRPr="0051081B">
              <w:rPr>
                <w:sz w:val="18"/>
                <w:szCs w:val="18"/>
              </w:rPr>
              <w:t xml:space="preserve"> (Note 5) </w:t>
            </w:r>
            <w:r w:rsidR="00485AA5" w:rsidRPr="0051081B">
              <w:rPr>
                <w:sz w:val="18"/>
                <w:szCs w:val="18"/>
              </w:rPr>
              <w:t>–</w:t>
            </w:r>
            <w:r w:rsidR="00140C8A" w:rsidRPr="0051081B">
              <w:rPr>
                <w:sz w:val="18"/>
                <w:szCs w:val="18"/>
              </w:rPr>
              <w:t xml:space="preserve"> </w:t>
            </w:r>
            <w:r w:rsidR="00485AA5" w:rsidRPr="0051081B">
              <w:rPr>
                <w:sz w:val="18"/>
                <w:szCs w:val="18"/>
              </w:rPr>
              <w:t>The Agency receive</w:t>
            </w:r>
            <w:r w:rsidR="00CD19DC" w:rsidRPr="0051081B">
              <w:rPr>
                <w:sz w:val="18"/>
                <w:szCs w:val="18"/>
              </w:rPr>
              <w:t>d</w:t>
            </w:r>
            <w:r w:rsidR="00485AA5" w:rsidRPr="0051081B">
              <w:rPr>
                <w:sz w:val="18"/>
                <w:szCs w:val="18"/>
              </w:rPr>
              <w:t xml:space="preserve"> </w:t>
            </w:r>
            <w:r w:rsidR="00D4476D" w:rsidRPr="0051081B">
              <w:rPr>
                <w:sz w:val="18"/>
                <w:szCs w:val="18"/>
              </w:rPr>
              <w:t>$xxx</w:t>
            </w:r>
            <w:r w:rsidR="00914A27" w:rsidRPr="0051081B">
              <w:rPr>
                <w:sz w:val="18"/>
                <w:szCs w:val="18"/>
              </w:rPr>
              <w:t xml:space="preserve"> in 202</w:t>
            </w:r>
            <w:r w:rsidR="00D57EB3">
              <w:rPr>
                <w:sz w:val="18"/>
                <w:szCs w:val="18"/>
              </w:rPr>
              <w:t>3</w:t>
            </w:r>
            <w:r w:rsidR="00D4476D" w:rsidRPr="0051081B">
              <w:rPr>
                <w:sz w:val="18"/>
                <w:szCs w:val="18"/>
              </w:rPr>
              <w:t xml:space="preserve"> </w:t>
            </w:r>
            <w:r w:rsidR="00914A27" w:rsidRPr="0051081B">
              <w:rPr>
                <w:sz w:val="18"/>
                <w:szCs w:val="18"/>
              </w:rPr>
              <w:t>for</w:t>
            </w:r>
            <w:r w:rsidR="00D4476D" w:rsidRPr="0051081B">
              <w:rPr>
                <w:sz w:val="18"/>
                <w:szCs w:val="18"/>
              </w:rPr>
              <w:t xml:space="preserve"> </w:t>
            </w:r>
            <w:r w:rsidR="00485AA5" w:rsidRPr="0051081B">
              <w:rPr>
                <w:sz w:val="18"/>
                <w:szCs w:val="18"/>
              </w:rPr>
              <w:t xml:space="preserve">revenue from other ACT </w:t>
            </w:r>
            <w:r w:rsidR="00C958E9" w:rsidRPr="0051081B">
              <w:rPr>
                <w:sz w:val="18"/>
                <w:szCs w:val="18"/>
              </w:rPr>
              <w:t>Government</w:t>
            </w:r>
            <w:r w:rsidR="00485AA5" w:rsidRPr="0051081B">
              <w:rPr>
                <w:sz w:val="18"/>
                <w:szCs w:val="18"/>
              </w:rPr>
              <w:t xml:space="preserve"> Entities for undertaking </w:t>
            </w:r>
            <w:r w:rsidRPr="0051081B">
              <w:rPr>
                <w:sz w:val="18"/>
                <w:szCs w:val="18"/>
              </w:rPr>
              <w:t xml:space="preserve">the management of government owned commercial buildings, government office accommodation, multi-purpose buildings and leases of commercial buildings on behalf of the Territory. </w:t>
            </w:r>
          </w:p>
        </w:tc>
      </w:tr>
      <w:tr w:rsidR="000A1EDA" w:rsidRPr="001950C9" w14:paraId="0262F72B" w14:textId="77777777" w:rsidTr="00AF4715">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6170DE1" w14:textId="77777777" w:rsidR="000A1EDA" w:rsidRPr="00B01585" w:rsidRDefault="000A1EDA" w:rsidP="00AF4715">
            <w:pPr>
              <w:pStyle w:val="TableReference"/>
              <w:tabs>
                <w:tab w:val="left" w:pos="3306"/>
              </w:tabs>
              <w:spacing w:before="240" w:after="240"/>
              <w:rPr>
                <w:rFonts w:cs="Calibri"/>
                <w:color w:val="7030A0"/>
                <w:sz w:val="14"/>
              </w:rPr>
            </w:pPr>
            <w:r w:rsidRPr="00B01585">
              <w:rPr>
                <w:color w:val="7030A0"/>
                <w:sz w:val="24"/>
                <w:szCs w:val="16"/>
              </w:rPr>
              <w:br w:type="page"/>
            </w:r>
            <w:r w:rsidRPr="00B01585">
              <w:rPr>
                <w:b/>
                <w:color w:val="7030A0"/>
                <w:sz w:val="22"/>
                <w:szCs w:val="22"/>
              </w:rPr>
              <w:t>Reference</w:t>
            </w:r>
          </w:p>
        </w:tc>
        <w:tc>
          <w:tcPr>
            <w:tcW w:w="9072" w:type="dxa"/>
            <w:gridSpan w:val="17"/>
            <w:tcBorders>
              <w:left w:val="single" w:sz="4" w:space="0" w:color="auto"/>
            </w:tcBorders>
            <w:shd w:val="clear" w:color="auto" w:fill="auto"/>
          </w:tcPr>
          <w:p w14:paraId="5D7C3DFD" w14:textId="77777777" w:rsidR="000A1EDA" w:rsidRPr="0051081B" w:rsidRDefault="000A1EDA" w:rsidP="00AF4715">
            <w:pPr>
              <w:spacing w:before="240" w:after="240"/>
              <w:rPr>
                <w:sz w:val="18"/>
                <w:szCs w:val="18"/>
              </w:rPr>
            </w:pPr>
            <w:r w:rsidRPr="0051081B">
              <w:rPr>
                <w:rFonts w:ascii="Arial" w:hAnsi="Arial" w:cs="Arial"/>
                <w:b/>
                <w:sz w:val="32"/>
                <w:szCs w:val="32"/>
              </w:rPr>
              <w:t>NOTE 38.</w:t>
            </w:r>
            <w:r>
              <w:rPr>
                <w:rFonts w:ascii="Arial" w:hAnsi="Arial" w:cs="Arial"/>
                <w:b/>
                <w:sz w:val="32"/>
                <w:szCs w:val="32"/>
              </w:rPr>
              <w:t xml:space="preserve"> </w:t>
            </w:r>
            <w:r w:rsidRPr="0051081B">
              <w:rPr>
                <w:rFonts w:ascii="Arial" w:hAnsi="Arial" w:cs="Arial"/>
                <w:b/>
                <w:sz w:val="32"/>
                <w:szCs w:val="32"/>
              </w:rPr>
              <w:t xml:space="preserve"> RELATED PARTY DISCLOSURES – CONTINUED </w:t>
            </w:r>
          </w:p>
        </w:tc>
      </w:tr>
      <w:tr w:rsidR="005E2DD8" w:rsidRPr="001950C9" w14:paraId="2FD1C9D0"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3CE9D80A" w14:textId="77777777" w:rsidR="005E2DD8" w:rsidRPr="00B01585" w:rsidRDefault="005E2DD8"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7211CC26" w14:textId="77EA5A0B" w:rsidR="005E2DD8" w:rsidRPr="0051081B" w:rsidRDefault="00140C8A" w:rsidP="00CB31DE">
            <w:pPr>
              <w:pStyle w:val="ListParagraph"/>
              <w:numPr>
                <w:ilvl w:val="0"/>
                <w:numId w:val="69"/>
              </w:numPr>
              <w:spacing w:after="40"/>
              <w:ind w:left="604"/>
              <w:contextualSpacing w:val="0"/>
              <w:jc w:val="both"/>
              <w:rPr>
                <w:sz w:val="18"/>
                <w:szCs w:val="18"/>
              </w:rPr>
            </w:pPr>
            <w:r w:rsidRPr="0051081B">
              <w:rPr>
                <w:sz w:val="18"/>
                <w:szCs w:val="18"/>
              </w:rPr>
              <w:t xml:space="preserve">Resources Received Free of Charge (Note 6) – The agency </w:t>
            </w:r>
            <w:r w:rsidR="00914A27" w:rsidRPr="0051081B">
              <w:rPr>
                <w:sz w:val="18"/>
                <w:szCs w:val="18"/>
              </w:rPr>
              <w:t>received $xxx in 202</w:t>
            </w:r>
            <w:r w:rsidR="00D57EB3">
              <w:rPr>
                <w:sz w:val="18"/>
                <w:szCs w:val="18"/>
              </w:rPr>
              <w:t>3</w:t>
            </w:r>
            <w:r w:rsidR="00914A27" w:rsidRPr="0051081B">
              <w:rPr>
                <w:sz w:val="18"/>
                <w:szCs w:val="18"/>
              </w:rPr>
              <w:t xml:space="preserve"> for </w:t>
            </w:r>
            <w:r w:rsidRPr="0051081B">
              <w:rPr>
                <w:sz w:val="18"/>
                <w:szCs w:val="18"/>
              </w:rPr>
              <w:t xml:space="preserve">legal services free of charge from the Government Solicitors Office, </w:t>
            </w:r>
            <w:r w:rsidR="000D72C3">
              <w:rPr>
                <w:sz w:val="18"/>
                <w:szCs w:val="18"/>
              </w:rPr>
              <w:t>v</w:t>
            </w:r>
            <w:r w:rsidRPr="0051081B">
              <w:rPr>
                <w:sz w:val="18"/>
                <w:szCs w:val="18"/>
              </w:rPr>
              <w:t xml:space="preserve">olunteer services from </w:t>
            </w:r>
            <w:r w:rsidR="000D72C3">
              <w:rPr>
                <w:sz w:val="18"/>
                <w:szCs w:val="18"/>
              </w:rPr>
              <w:t>o</w:t>
            </w:r>
            <w:r w:rsidRPr="0051081B">
              <w:rPr>
                <w:sz w:val="18"/>
                <w:szCs w:val="18"/>
              </w:rPr>
              <w:t xml:space="preserve">ther </w:t>
            </w:r>
            <w:r w:rsidR="000D72C3">
              <w:rPr>
                <w:sz w:val="18"/>
                <w:szCs w:val="18"/>
              </w:rPr>
              <w:t>d</w:t>
            </w:r>
            <w:r w:rsidRPr="0051081B">
              <w:rPr>
                <w:sz w:val="18"/>
                <w:szCs w:val="18"/>
              </w:rPr>
              <w:t xml:space="preserve">irectorate staff, and </w:t>
            </w:r>
            <w:r w:rsidR="000D72C3">
              <w:rPr>
                <w:sz w:val="18"/>
                <w:szCs w:val="18"/>
              </w:rPr>
              <w:t>f</w:t>
            </w:r>
            <w:r w:rsidRPr="0051081B">
              <w:rPr>
                <w:sz w:val="18"/>
                <w:szCs w:val="18"/>
              </w:rPr>
              <w:t xml:space="preserve">inance and </w:t>
            </w:r>
            <w:r w:rsidR="000D72C3">
              <w:rPr>
                <w:sz w:val="18"/>
                <w:szCs w:val="18"/>
              </w:rPr>
              <w:t>h</w:t>
            </w:r>
            <w:r w:rsidRPr="0051081B">
              <w:rPr>
                <w:sz w:val="18"/>
                <w:szCs w:val="18"/>
              </w:rPr>
              <w:t xml:space="preserve">uman </w:t>
            </w:r>
            <w:r w:rsidR="000D72C3">
              <w:rPr>
                <w:sz w:val="18"/>
                <w:szCs w:val="18"/>
              </w:rPr>
              <w:t>r</w:t>
            </w:r>
            <w:r w:rsidRPr="0051081B">
              <w:rPr>
                <w:sz w:val="18"/>
                <w:szCs w:val="18"/>
              </w:rPr>
              <w:t>esources services free of charge from Shared Shares.</w:t>
            </w:r>
          </w:p>
        </w:tc>
      </w:tr>
      <w:tr w:rsidR="005E2DD8" w:rsidRPr="001950C9" w14:paraId="33140D29"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3EDBB243" w14:textId="77777777" w:rsidR="005E2DD8" w:rsidRPr="00B01585" w:rsidRDefault="005E2DD8"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0D528DBC" w14:textId="7034DDC3" w:rsidR="005E2DD8" w:rsidRPr="0051081B" w:rsidRDefault="00140C8A" w:rsidP="00CB31DE">
            <w:pPr>
              <w:pStyle w:val="ListParagraph"/>
              <w:numPr>
                <w:ilvl w:val="0"/>
                <w:numId w:val="69"/>
              </w:numPr>
              <w:spacing w:after="40"/>
              <w:ind w:left="604"/>
              <w:contextualSpacing w:val="0"/>
              <w:jc w:val="both"/>
              <w:rPr>
                <w:sz w:val="18"/>
                <w:szCs w:val="18"/>
              </w:rPr>
            </w:pPr>
            <w:r w:rsidRPr="0051081B">
              <w:rPr>
                <w:sz w:val="18"/>
                <w:szCs w:val="18"/>
              </w:rPr>
              <w:t xml:space="preserve">Distribution </w:t>
            </w:r>
            <w:r w:rsidR="003377CB" w:rsidRPr="0051081B">
              <w:rPr>
                <w:sz w:val="18"/>
                <w:szCs w:val="18"/>
              </w:rPr>
              <w:t>R</w:t>
            </w:r>
            <w:r w:rsidRPr="0051081B">
              <w:rPr>
                <w:sz w:val="18"/>
                <w:szCs w:val="18"/>
              </w:rPr>
              <w:t>evenue from TBA (</w:t>
            </w:r>
            <w:r w:rsidR="003377CB" w:rsidRPr="0051081B">
              <w:rPr>
                <w:sz w:val="18"/>
                <w:szCs w:val="18"/>
              </w:rPr>
              <w:t>N</w:t>
            </w:r>
            <w:r w:rsidRPr="0051081B">
              <w:rPr>
                <w:sz w:val="18"/>
                <w:szCs w:val="18"/>
              </w:rPr>
              <w:t xml:space="preserve">ote 7) – The agency </w:t>
            </w:r>
            <w:r w:rsidR="00914A27" w:rsidRPr="0051081B">
              <w:rPr>
                <w:sz w:val="18"/>
                <w:szCs w:val="18"/>
              </w:rPr>
              <w:t>received $xxx in 202</w:t>
            </w:r>
            <w:r w:rsidR="00D57EB3">
              <w:rPr>
                <w:sz w:val="18"/>
                <w:szCs w:val="18"/>
              </w:rPr>
              <w:t>3</w:t>
            </w:r>
            <w:r w:rsidR="00914A27" w:rsidRPr="0051081B">
              <w:rPr>
                <w:sz w:val="18"/>
                <w:szCs w:val="18"/>
              </w:rPr>
              <w:t xml:space="preserve"> for</w:t>
            </w:r>
            <w:r w:rsidR="00E473EA" w:rsidRPr="0051081B">
              <w:rPr>
                <w:sz w:val="18"/>
                <w:szCs w:val="18"/>
              </w:rPr>
              <w:t xml:space="preserve"> investment distribution from </w:t>
            </w:r>
            <w:r w:rsidR="00AB56E8" w:rsidRPr="0051081B">
              <w:rPr>
                <w:sz w:val="18"/>
                <w:szCs w:val="18"/>
              </w:rPr>
              <w:t>the Territory Banking Account</w:t>
            </w:r>
            <w:r w:rsidR="00E473EA" w:rsidRPr="0051081B">
              <w:rPr>
                <w:sz w:val="18"/>
                <w:szCs w:val="18"/>
              </w:rPr>
              <w:t>.</w:t>
            </w:r>
            <w:r w:rsidR="00AB56E8" w:rsidRPr="0051081B">
              <w:rPr>
                <w:sz w:val="18"/>
                <w:szCs w:val="18"/>
              </w:rPr>
              <w:t xml:space="preserve"> </w:t>
            </w:r>
          </w:p>
        </w:tc>
      </w:tr>
      <w:tr w:rsidR="00F75C65" w:rsidRPr="001950C9" w14:paraId="32866C24"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5E14AB06" w14:textId="77777777" w:rsidR="00F75C65" w:rsidRPr="00B01585" w:rsidRDefault="00F75C65" w:rsidP="00BA2144">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59F1F665" w14:textId="1F852EE2" w:rsidR="00F75C65" w:rsidRPr="0051081B" w:rsidRDefault="00F75C65" w:rsidP="00CB31DE">
            <w:pPr>
              <w:pStyle w:val="ListParagraph"/>
              <w:numPr>
                <w:ilvl w:val="0"/>
                <w:numId w:val="69"/>
              </w:numPr>
              <w:spacing w:after="40"/>
              <w:ind w:left="604"/>
              <w:contextualSpacing w:val="0"/>
              <w:jc w:val="both"/>
              <w:rPr>
                <w:sz w:val="18"/>
                <w:szCs w:val="18"/>
              </w:rPr>
            </w:pPr>
            <w:r w:rsidRPr="0051081B">
              <w:rPr>
                <w:sz w:val="18"/>
                <w:szCs w:val="18"/>
              </w:rPr>
              <w:t xml:space="preserve">Gains from Disposals, Derecognition and Remeasurement of Assets (Note 8) </w:t>
            </w:r>
            <w:r w:rsidR="00035833" w:rsidRPr="0051081B">
              <w:rPr>
                <w:sz w:val="18"/>
                <w:szCs w:val="18"/>
              </w:rPr>
              <w:t>–</w:t>
            </w:r>
            <w:r w:rsidRPr="0051081B">
              <w:rPr>
                <w:sz w:val="18"/>
                <w:szCs w:val="18"/>
              </w:rPr>
              <w:t xml:space="preserve"> The Agency made</w:t>
            </w:r>
            <w:r w:rsidR="00914A27" w:rsidRPr="0051081B">
              <w:rPr>
                <w:sz w:val="18"/>
                <w:szCs w:val="18"/>
              </w:rPr>
              <w:t xml:space="preserve"> $xxx in 202</w:t>
            </w:r>
            <w:r w:rsidR="00D57EB3">
              <w:rPr>
                <w:sz w:val="18"/>
                <w:szCs w:val="18"/>
              </w:rPr>
              <w:t>3</w:t>
            </w:r>
            <w:r w:rsidR="00914A27" w:rsidRPr="0051081B">
              <w:rPr>
                <w:sz w:val="18"/>
                <w:szCs w:val="18"/>
              </w:rPr>
              <w:t xml:space="preserve"> for</w:t>
            </w:r>
            <w:r w:rsidRPr="0051081B">
              <w:rPr>
                <w:sz w:val="18"/>
                <w:szCs w:val="18"/>
              </w:rPr>
              <w:t xml:space="preserve"> Gains from the disposal of investments with the Territory Banking Account. </w:t>
            </w:r>
          </w:p>
        </w:tc>
      </w:tr>
      <w:tr w:rsidR="0051081B" w:rsidRPr="001950C9" w14:paraId="53D1582F"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A51C7E1"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7E6DC2A6" w14:textId="1DCDA59B" w:rsidR="0051081B" w:rsidRPr="0051081B" w:rsidRDefault="0051081B" w:rsidP="00CB31DE">
            <w:pPr>
              <w:pStyle w:val="ListParagraph"/>
              <w:numPr>
                <w:ilvl w:val="0"/>
                <w:numId w:val="69"/>
              </w:numPr>
              <w:spacing w:after="40"/>
              <w:ind w:left="604"/>
              <w:contextualSpacing w:val="0"/>
              <w:jc w:val="both"/>
              <w:rPr>
                <w:sz w:val="18"/>
                <w:szCs w:val="18"/>
              </w:rPr>
            </w:pPr>
            <w:r w:rsidRPr="0051081B">
              <w:rPr>
                <w:sz w:val="18"/>
                <w:szCs w:val="18"/>
              </w:rPr>
              <w:t>Other Income (Note 9) – The agency received $xxx in 202</w:t>
            </w:r>
            <w:r w:rsidR="00D57EB3">
              <w:rPr>
                <w:sz w:val="18"/>
                <w:szCs w:val="18"/>
              </w:rPr>
              <w:t>3</w:t>
            </w:r>
            <w:r w:rsidRPr="0051081B">
              <w:rPr>
                <w:sz w:val="18"/>
                <w:szCs w:val="18"/>
              </w:rPr>
              <w:t xml:space="preserve"> for insurance recoveries from the ACT Insurance Authority.</w:t>
            </w:r>
          </w:p>
        </w:tc>
      </w:tr>
      <w:tr w:rsidR="0051081B" w:rsidRPr="001950C9" w14:paraId="1D52704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53E47CA5"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7F8E9E0E" w14:textId="461A5B48" w:rsidR="0051081B" w:rsidRPr="0051081B" w:rsidRDefault="0051081B" w:rsidP="0051081B">
            <w:pPr>
              <w:jc w:val="both"/>
              <w:rPr>
                <w:i/>
                <w:iCs/>
                <w:sz w:val="18"/>
                <w:szCs w:val="18"/>
              </w:rPr>
            </w:pPr>
            <w:r w:rsidRPr="0051081B">
              <w:rPr>
                <w:i/>
                <w:iCs/>
                <w:sz w:val="18"/>
                <w:szCs w:val="18"/>
              </w:rPr>
              <w:t>Expenses</w:t>
            </w:r>
          </w:p>
        </w:tc>
      </w:tr>
      <w:tr w:rsidR="0051081B" w:rsidRPr="001950C9" w14:paraId="4B8D17D2"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B38E80D"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612B0C8B" w14:textId="23F2110F"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Supplies and Services (Note 11) – The Agency paid $xxx in 202</w:t>
            </w:r>
            <w:r w:rsidR="00D57EB3">
              <w:rPr>
                <w:sz w:val="18"/>
                <w:szCs w:val="18"/>
              </w:rPr>
              <w:t>3</w:t>
            </w:r>
            <w:r w:rsidRPr="0051081B">
              <w:rPr>
                <w:sz w:val="18"/>
                <w:szCs w:val="18"/>
              </w:rPr>
              <w:t xml:space="preserve"> to the ACT </w:t>
            </w:r>
            <w:r w:rsidR="00173796">
              <w:rPr>
                <w:sz w:val="18"/>
                <w:szCs w:val="18"/>
              </w:rPr>
              <w:t>Audit Office</w:t>
            </w:r>
            <w:r w:rsidRPr="0051081B">
              <w:rPr>
                <w:sz w:val="18"/>
                <w:szCs w:val="18"/>
              </w:rPr>
              <w:t xml:space="preserve"> for audit services, pays insurance premiums to the ACT Insurance Authority and pays Shared Services for IT services and equipment. </w:t>
            </w:r>
          </w:p>
        </w:tc>
      </w:tr>
      <w:tr w:rsidR="0051081B" w:rsidRPr="001950C9" w14:paraId="3A3A3EBF"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3ACD9AF6"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7CBEAE86" w14:textId="090390DC"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Grants and Purchased Services (</w:t>
            </w:r>
            <w:r w:rsidR="00C61909">
              <w:rPr>
                <w:sz w:val="18"/>
                <w:szCs w:val="18"/>
              </w:rPr>
              <w:t>N</w:t>
            </w:r>
            <w:r w:rsidRPr="0051081B">
              <w:rPr>
                <w:sz w:val="18"/>
                <w:szCs w:val="18"/>
              </w:rPr>
              <w:t>ote 12) – The Agency provided $xxx in grants to other ACT Government Agencies for general assistance or for a particular purpose.</w:t>
            </w:r>
          </w:p>
        </w:tc>
      </w:tr>
      <w:tr w:rsidR="0051081B" w:rsidRPr="001950C9" w14:paraId="4AC2CA4A"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035B1DE"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23DDE604" w14:textId="4A59A867" w:rsidR="0051081B" w:rsidRDefault="0051081B" w:rsidP="00CB31DE">
            <w:pPr>
              <w:pStyle w:val="ListParagraph"/>
              <w:numPr>
                <w:ilvl w:val="0"/>
                <w:numId w:val="69"/>
              </w:numPr>
              <w:ind w:left="601" w:hanging="386"/>
              <w:contextualSpacing w:val="0"/>
              <w:jc w:val="both"/>
              <w:rPr>
                <w:sz w:val="18"/>
                <w:szCs w:val="18"/>
              </w:rPr>
            </w:pPr>
            <w:r w:rsidRPr="0051081B">
              <w:rPr>
                <w:sz w:val="18"/>
                <w:szCs w:val="18"/>
              </w:rPr>
              <w:t>Other Expenses (Note 14) – The Agency made losses of $xxx in 202</w:t>
            </w:r>
            <w:r w:rsidR="00D57EB3">
              <w:rPr>
                <w:sz w:val="18"/>
                <w:szCs w:val="18"/>
              </w:rPr>
              <w:t>3</w:t>
            </w:r>
            <w:r w:rsidRPr="0051081B">
              <w:rPr>
                <w:sz w:val="18"/>
                <w:szCs w:val="18"/>
              </w:rPr>
              <w:t xml:space="preserve"> from assets donated to Other ACT Government Agencies.</w:t>
            </w:r>
          </w:p>
          <w:p w14:paraId="46F54772" w14:textId="241B8133" w:rsidR="007235D1" w:rsidRPr="0092724F" w:rsidRDefault="0092724F" w:rsidP="00205583">
            <w:pPr>
              <w:pStyle w:val="ListParagraph"/>
              <w:numPr>
                <w:ilvl w:val="0"/>
                <w:numId w:val="69"/>
              </w:numPr>
              <w:pBdr>
                <w:top w:val="nil"/>
                <w:left w:val="nil"/>
                <w:bottom w:val="nil"/>
                <w:right w:val="nil"/>
                <w:between w:val="nil"/>
                <w:bar w:val="nil"/>
              </w:pBdr>
              <w:spacing w:after="120"/>
              <w:ind w:left="601" w:hanging="357"/>
              <w:contextualSpacing w:val="0"/>
              <w:jc w:val="both"/>
              <w:rPr>
                <w:sz w:val="18"/>
                <w:szCs w:val="18"/>
              </w:rPr>
            </w:pPr>
            <w:r w:rsidRPr="0092724F">
              <w:rPr>
                <w:color w:val="FF0000"/>
                <w:sz w:val="18"/>
                <w:szCs w:val="18"/>
              </w:rPr>
              <w:t xml:space="preserve">Transfer Payments to Government – Territorial – The </w:t>
            </w:r>
            <w:r w:rsidR="000D72C3">
              <w:rPr>
                <w:color w:val="FF0000"/>
                <w:sz w:val="18"/>
                <w:szCs w:val="18"/>
              </w:rPr>
              <w:t>d</w:t>
            </w:r>
            <w:r w:rsidRPr="0092724F">
              <w:rPr>
                <w:color w:val="FF0000"/>
                <w:sz w:val="18"/>
                <w:szCs w:val="18"/>
              </w:rPr>
              <w:t xml:space="preserve">irectorate collects Commonwealth Government Grants, rates, taxes, fees and fines on behalf of the Territory which it then transfers back to Government. The transfer of these funds back to Government is made through the Territory Banking Account. The </w:t>
            </w:r>
            <w:r w:rsidR="000D72C3">
              <w:rPr>
                <w:color w:val="FF0000"/>
                <w:sz w:val="18"/>
                <w:szCs w:val="18"/>
              </w:rPr>
              <w:t>d</w:t>
            </w:r>
            <w:r w:rsidRPr="0092724F">
              <w:rPr>
                <w:color w:val="FF0000"/>
                <w:sz w:val="18"/>
                <w:szCs w:val="18"/>
              </w:rPr>
              <w:t>irectorate transferred $xxx to the Territory Banking Account in 2023.</w:t>
            </w:r>
          </w:p>
        </w:tc>
      </w:tr>
      <w:tr w:rsidR="0051081B" w:rsidRPr="001950C9" w14:paraId="54CD5BD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EA8645C"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6D1EE1E7" w14:textId="7CB61E3D" w:rsidR="0051081B" w:rsidRPr="0051081B" w:rsidRDefault="0051081B" w:rsidP="0051081B">
            <w:pPr>
              <w:jc w:val="both"/>
              <w:rPr>
                <w:i/>
                <w:iCs/>
                <w:sz w:val="18"/>
                <w:szCs w:val="18"/>
              </w:rPr>
            </w:pPr>
            <w:r w:rsidRPr="0051081B">
              <w:rPr>
                <w:i/>
                <w:iCs/>
                <w:sz w:val="18"/>
                <w:szCs w:val="18"/>
              </w:rPr>
              <w:t>Assets</w:t>
            </w:r>
          </w:p>
        </w:tc>
      </w:tr>
      <w:tr w:rsidR="0051081B" w:rsidRPr="001950C9" w14:paraId="190B2155"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7D17B30"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2A6FAB4B" w14:textId="63C2F2D1"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Cash and Investments (Note 15) – The Agency holds $xxx in ‘investment unit holdings’ with the Territory Banking Account at the end of 202</w:t>
            </w:r>
            <w:r w:rsidR="00D57EB3">
              <w:rPr>
                <w:sz w:val="18"/>
                <w:szCs w:val="18"/>
              </w:rPr>
              <w:t>3</w:t>
            </w:r>
            <w:r w:rsidRPr="0051081B">
              <w:rPr>
                <w:sz w:val="18"/>
                <w:szCs w:val="18"/>
              </w:rPr>
              <w:t>.</w:t>
            </w:r>
          </w:p>
        </w:tc>
      </w:tr>
      <w:tr w:rsidR="0051081B" w:rsidRPr="001950C9" w14:paraId="4934179F"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D850E08"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4477F663" w14:textId="5BA1B737"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 xml:space="preserve">Receivables </w:t>
            </w:r>
            <w:r w:rsidRPr="000E5C59">
              <w:rPr>
                <w:strike/>
                <w:color w:val="FF0000"/>
                <w:sz w:val="18"/>
                <w:szCs w:val="18"/>
              </w:rPr>
              <w:t>and Contract Assets</w:t>
            </w:r>
            <w:r w:rsidRPr="000E5C59">
              <w:rPr>
                <w:color w:val="FF0000"/>
                <w:sz w:val="18"/>
                <w:szCs w:val="18"/>
              </w:rPr>
              <w:t xml:space="preserve"> </w:t>
            </w:r>
            <w:r w:rsidRPr="0051081B">
              <w:rPr>
                <w:sz w:val="18"/>
                <w:szCs w:val="18"/>
              </w:rPr>
              <w:t>(Note 16) – The Agency has $xxx in accounts receivables and Property Management Service Contract Assets with other ACT Government Entities at the end of 202</w:t>
            </w:r>
            <w:r w:rsidR="00D57EB3">
              <w:rPr>
                <w:sz w:val="18"/>
                <w:szCs w:val="18"/>
              </w:rPr>
              <w:t>3</w:t>
            </w:r>
            <w:r w:rsidRPr="0051081B">
              <w:rPr>
                <w:sz w:val="18"/>
                <w:szCs w:val="18"/>
              </w:rPr>
              <w:t>.</w:t>
            </w:r>
            <w:r w:rsidR="00FA7C77">
              <w:rPr>
                <w:sz w:val="18"/>
                <w:szCs w:val="18"/>
              </w:rPr>
              <w:t xml:space="preserve"> </w:t>
            </w:r>
          </w:p>
        </w:tc>
      </w:tr>
      <w:tr w:rsidR="0051081B" w:rsidRPr="001950C9" w14:paraId="509F14EA"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BDFB109"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5F977637" w14:textId="244D74C5" w:rsidR="0051081B" w:rsidRPr="0051081B" w:rsidRDefault="0051081B" w:rsidP="00CB31DE">
            <w:pPr>
              <w:pStyle w:val="ListParagraph"/>
              <w:numPr>
                <w:ilvl w:val="0"/>
                <w:numId w:val="69"/>
              </w:numPr>
              <w:spacing w:after="120"/>
              <w:ind w:left="601" w:hanging="357"/>
              <w:contextualSpacing w:val="0"/>
              <w:jc w:val="both"/>
              <w:rPr>
                <w:sz w:val="18"/>
                <w:szCs w:val="18"/>
              </w:rPr>
            </w:pPr>
            <w:r w:rsidRPr="0051081B">
              <w:rPr>
                <w:sz w:val="18"/>
                <w:szCs w:val="18"/>
              </w:rPr>
              <w:t xml:space="preserve">Inventories </w:t>
            </w:r>
            <w:r w:rsidR="00C61909">
              <w:rPr>
                <w:sz w:val="18"/>
                <w:szCs w:val="18"/>
              </w:rPr>
              <w:t xml:space="preserve">(Note 17) </w:t>
            </w:r>
            <w:r w:rsidRPr="0051081B">
              <w:rPr>
                <w:sz w:val="18"/>
                <w:szCs w:val="18"/>
              </w:rPr>
              <w:t>– The Agency provides inventories to Other ACT Government Agencies.</w:t>
            </w:r>
          </w:p>
        </w:tc>
      </w:tr>
      <w:tr w:rsidR="0051081B" w:rsidRPr="001950C9" w14:paraId="147B3940"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B9AE632"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207DC855" w14:textId="2A26F867" w:rsidR="0051081B" w:rsidRPr="0051081B" w:rsidRDefault="0051081B" w:rsidP="0051081B">
            <w:pPr>
              <w:spacing w:after="40"/>
              <w:jc w:val="both"/>
              <w:rPr>
                <w:i/>
                <w:iCs/>
                <w:sz w:val="18"/>
                <w:szCs w:val="18"/>
              </w:rPr>
            </w:pPr>
            <w:r w:rsidRPr="0051081B">
              <w:rPr>
                <w:i/>
                <w:iCs/>
                <w:sz w:val="18"/>
                <w:szCs w:val="18"/>
              </w:rPr>
              <w:t>Liabilities</w:t>
            </w:r>
          </w:p>
        </w:tc>
      </w:tr>
      <w:tr w:rsidR="00CC497E" w:rsidRPr="001950C9" w14:paraId="72FF35EC"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3C69355" w14:textId="77777777" w:rsidR="00CC497E" w:rsidRPr="00B01585" w:rsidRDefault="00CC497E"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240F1E04" w14:textId="1D6B009A" w:rsidR="00CC497E" w:rsidRPr="000A5409" w:rsidRDefault="000A5409" w:rsidP="007A77E6">
            <w:pPr>
              <w:pStyle w:val="ListParagraph"/>
              <w:numPr>
                <w:ilvl w:val="0"/>
                <w:numId w:val="78"/>
              </w:numPr>
              <w:spacing w:after="40"/>
              <w:ind w:left="603"/>
              <w:jc w:val="both"/>
              <w:rPr>
                <w:sz w:val="18"/>
                <w:szCs w:val="18"/>
              </w:rPr>
            </w:pPr>
            <w:r w:rsidRPr="0007146C">
              <w:rPr>
                <w:color w:val="FF0000"/>
                <w:sz w:val="18"/>
                <w:szCs w:val="18"/>
              </w:rPr>
              <w:t>Payables</w:t>
            </w:r>
            <w:r w:rsidR="00077947" w:rsidRPr="0007146C">
              <w:rPr>
                <w:color w:val="FF0000"/>
                <w:sz w:val="18"/>
                <w:szCs w:val="18"/>
              </w:rPr>
              <w:t xml:space="preserve"> </w:t>
            </w:r>
            <w:r w:rsidRPr="0007146C">
              <w:rPr>
                <w:color w:val="FF0000"/>
                <w:sz w:val="18"/>
                <w:szCs w:val="18"/>
              </w:rPr>
              <w:t>(</w:t>
            </w:r>
            <w:r w:rsidRPr="00784C98">
              <w:rPr>
                <w:color w:val="FF0000"/>
                <w:sz w:val="18"/>
                <w:szCs w:val="18"/>
              </w:rPr>
              <w:t>Note</w:t>
            </w:r>
            <w:r w:rsidR="0089510E" w:rsidRPr="00784C98">
              <w:rPr>
                <w:color w:val="FF0000"/>
                <w:sz w:val="18"/>
                <w:szCs w:val="18"/>
              </w:rPr>
              <w:t xml:space="preserve"> 24) </w:t>
            </w:r>
            <w:r w:rsidR="00035833" w:rsidRPr="00035833">
              <w:rPr>
                <w:color w:val="FF0000"/>
                <w:sz w:val="18"/>
                <w:szCs w:val="18"/>
              </w:rPr>
              <w:t>–</w:t>
            </w:r>
            <w:r w:rsidR="0089510E" w:rsidRPr="00784C98">
              <w:rPr>
                <w:color w:val="FF0000"/>
                <w:sz w:val="18"/>
                <w:szCs w:val="18"/>
              </w:rPr>
              <w:t xml:space="preserve"> </w:t>
            </w:r>
            <w:r w:rsidR="00784C98" w:rsidRPr="00784C98">
              <w:rPr>
                <w:color w:val="FF0000"/>
                <w:sz w:val="18"/>
                <w:szCs w:val="18"/>
              </w:rPr>
              <w:t>The Agency has $xxx in accounts payable and accrued expenses with other ACT Government Entities at the end of 202</w:t>
            </w:r>
            <w:r w:rsidR="00784C98">
              <w:rPr>
                <w:color w:val="FF0000"/>
                <w:sz w:val="18"/>
                <w:szCs w:val="18"/>
              </w:rPr>
              <w:t>3.</w:t>
            </w:r>
            <w:r w:rsidR="0089510E">
              <w:rPr>
                <w:sz w:val="18"/>
                <w:szCs w:val="18"/>
              </w:rPr>
              <w:t xml:space="preserve"> </w:t>
            </w:r>
            <w:r w:rsidRPr="000A5409">
              <w:rPr>
                <w:sz w:val="18"/>
                <w:szCs w:val="18"/>
              </w:rPr>
              <w:t xml:space="preserve"> </w:t>
            </w:r>
          </w:p>
        </w:tc>
      </w:tr>
      <w:tr w:rsidR="0051081B" w:rsidRPr="001950C9" w14:paraId="410EF4BE"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46714DA"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5197A12C" w14:textId="753612B9"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 xml:space="preserve">Borrowings </w:t>
            </w:r>
            <w:r w:rsidR="00C61909">
              <w:rPr>
                <w:sz w:val="18"/>
                <w:szCs w:val="18"/>
              </w:rPr>
              <w:t xml:space="preserve">(Note 25) </w:t>
            </w:r>
            <w:r w:rsidRPr="0051081B">
              <w:rPr>
                <w:sz w:val="18"/>
                <w:szCs w:val="18"/>
              </w:rPr>
              <w:t>– The Agency holds $xxx in ACT Government Borrowing through the Territory Banking Account at the end of 202</w:t>
            </w:r>
            <w:r w:rsidR="00D57EB3">
              <w:rPr>
                <w:sz w:val="18"/>
                <w:szCs w:val="18"/>
              </w:rPr>
              <w:t>3</w:t>
            </w:r>
            <w:r w:rsidRPr="0051081B">
              <w:rPr>
                <w:sz w:val="18"/>
                <w:szCs w:val="18"/>
              </w:rPr>
              <w:t xml:space="preserve">. </w:t>
            </w:r>
          </w:p>
        </w:tc>
      </w:tr>
      <w:tr w:rsidR="0051081B" w:rsidRPr="001950C9" w14:paraId="140F8642"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DE64914"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368E819F" w14:textId="7C6F2F28" w:rsidR="0051081B" w:rsidRPr="0051081B" w:rsidRDefault="0051081B" w:rsidP="00CB31DE">
            <w:pPr>
              <w:pStyle w:val="ListParagraph"/>
              <w:numPr>
                <w:ilvl w:val="0"/>
                <w:numId w:val="69"/>
              </w:numPr>
              <w:spacing w:after="120"/>
              <w:ind w:left="601" w:hanging="357"/>
              <w:contextualSpacing w:val="0"/>
              <w:jc w:val="both"/>
              <w:rPr>
                <w:sz w:val="18"/>
                <w:szCs w:val="18"/>
              </w:rPr>
            </w:pPr>
            <w:r w:rsidRPr="0051081B">
              <w:rPr>
                <w:sz w:val="18"/>
                <w:szCs w:val="18"/>
              </w:rPr>
              <w:t xml:space="preserve">Employee Benefits (Note 27) – Superannuation liabilities of $xxx for ‘Burley Griffin Agency’ staff that are part of the CSS and PSS are held by the Superannuation Provision Account. </w:t>
            </w:r>
          </w:p>
        </w:tc>
      </w:tr>
      <w:tr w:rsidR="0051081B" w:rsidRPr="001950C9" w14:paraId="25D1A695"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3E11DF4"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1E470684" w14:textId="6AD7E5EB" w:rsidR="0051081B" w:rsidRPr="0051081B" w:rsidRDefault="0051081B" w:rsidP="0051081B">
            <w:pPr>
              <w:spacing w:after="40"/>
              <w:jc w:val="both"/>
              <w:rPr>
                <w:i/>
                <w:iCs/>
                <w:sz w:val="18"/>
                <w:szCs w:val="18"/>
              </w:rPr>
            </w:pPr>
            <w:r w:rsidRPr="0051081B">
              <w:rPr>
                <w:i/>
                <w:iCs/>
                <w:sz w:val="18"/>
                <w:szCs w:val="18"/>
              </w:rPr>
              <w:t>Other</w:t>
            </w:r>
          </w:p>
        </w:tc>
      </w:tr>
      <w:tr w:rsidR="0051081B" w:rsidRPr="001950C9" w14:paraId="741A4B3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8D19D51"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6C8CE42C" w14:textId="3488902F"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 xml:space="preserve">Restructures of Administrative Arrangements (Note 30) </w:t>
            </w:r>
            <w:r w:rsidR="00035833" w:rsidRPr="0051081B">
              <w:rPr>
                <w:sz w:val="18"/>
                <w:szCs w:val="18"/>
              </w:rPr>
              <w:t>–</w:t>
            </w:r>
            <w:r w:rsidRPr="0051081B">
              <w:rPr>
                <w:sz w:val="18"/>
                <w:szCs w:val="18"/>
              </w:rPr>
              <w:t xml:space="preserve"> Restructures of </w:t>
            </w:r>
            <w:r w:rsidR="00035833">
              <w:rPr>
                <w:sz w:val="18"/>
                <w:szCs w:val="18"/>
              </w:rPr>
              <w:t>a</w:t>
            </w:r>
            <w:r w:rsidRPr="0051081B">
              <w:rPr>
                <w:sz w:val="18"/>
                <w:szCs w:val="18"/>
              </w:rPr>
              <w:t xml:space="preserve">dministrative </w:t>
            </w:r>
            <w:r w:rsidR="00035833" w:rsidRPr="00D239F9">
              <w:rPr>
                <w:sz w:val="18"/>
                <w:szCs w:val="18"/>
              </w:rPr>
              <w:t>a</w:t>
            </w:r>
            <w:r w:rsidRPr="00D239F9">
              <w:rPr>
                <w:sz w:val="18"/>
                <w:szCs w:val="18"/>
              </w:rPr>
              <w:t xml:space="preserve">rrangements </w:t>
            </w:r>
            <w:r w:rsidRPr="00D239F9">
              <w:rPr>
                <w:strike/>
                <w:color w:val="FF0000"/>
                <w:sz w:val="18"/>
                <w:szCs w:val="18"/>
              </w:rPr>
              <w:t>has</w:t>
            </w:r>
            <w:r w:rsidRPr="00D239F9">
              <w:rPr>
                <w:sz w:val="18"/>
                <w:szCs w:val="18"/>
              </w:rPr>
              <w:t xml:space="preserve"> occur</w:t>
            </w:r>
            <w:r w:rsidR="00035833" w:rsidRPr="00D239F9">
              <w:rPr>
                <w:color w:val="FF0000"/>
                <w:sz w:val="18"/>
                <w:szCs w:val="18"/>
              </w:rPr>
              <w:t>red</w:t>
            </w:r>
            <w:r w:rsidRPr="00D239F9">
              <w:rPr>
                <w:sz w:val="18"/>
                <w:szCs w:val="18"/>
              </w:rPr>
              <w:t xml:space="preserve"> with the ABC Directora</w:t>
            </w:r>
            <w:r w:rsidRPr="0051081B">
              <w:rPr>
                <w:sz w:val="18"/>
                <w:szCs w:val="18"/>
              </w:rPr>
              <w:t>te in 202</w:t>
            </w:r>
            <w:r w:rsidR="00D57EB3">
              <w:rPr>
                <w:sz w:val="18"/>
                <w:szCs w:val="18"/>
              </w:rPr>
              <w:t>3</w:t>
            </w:r>
            <w:r w:rsidRPr="0051081B">
              <w:rPr>
                <w:sz w:val="18"/>
                <w:szCs w:val="18"/>
              </w:rPr>
              <w:t xml:space="preserve"> and XYZ Directorate in 202</w:t>
            </w:r>
            <w:r w:rsidR="00D57EB3">
              <w:rPr>
                <w:sz w:val="18"/>
                <w:szCs w:val="18"/>
              </w:rPr>
              <w:t>2</w:t>
            </w:r>
            <w:r w:rsidRPr="0051081B">
              <w:rPr>
                <w:sz w:val="18"/>
                <w:szCs w:val="18"/>
              </w:rPr>
              <w:t>.</w:t>
            </w:r>
          </w:p>
        </w:tc>
      </w:tr>
      <w:tr w:rsidR="0051081B" w:rsidRPr="001950C9" w14:paraId="31D2607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93416D9"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0E5D715B" w14:textId="32141277" w:rsidR="0051081B" w:rsidRPr="0051081B" w:rsidRDefault="0051081B" w:rsidP="00CB31DE">
            <w:pPr>
              <w:pStyle w:val="ListParagraph"/>
              <w:numPr>
                <w:ilvl w:val="0"/>
                <w:numId w:val="69"/>
              </w:numPr>
              <w:spacing w:after="40"/>
              <w:ind w:left="601" w:hanging="357"/>
              <w:contextualSpacing w:val="0"/>
              <w:jc w:val="both"/>
              <w:rPr>
                <w:sz w:val="18"/>
                <w:szCs w:val="18"/>
              </w:rPr>
            </w:pPr>
            <w:r w:rsidRPr="0051081B">
              <w:rPr>
                <w:sz w:val="18"/>
                <w:szCs w:val="18"/>
              </w:rPr>
              <w:t xml:space="preserve">Interest in a Joint Venture (Note 34) – The Agency has a 50% ownership interest in ‘Example Joint Venture Entity’. </w:t>
            </w:r>
          </w:p>
        </w:tc>
      </w:tr>
      <w:tr w:rsidR="0051081B" w:rsidRPr="001950C9" w14:paraId="0AF467CD"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7487D8A"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auto"/>
            <w:vAlign w:val="bottom"/>
          </w:tcPr>
          <w:p w14:paraId="74FDA10A" w14:textId="538C1B4F" w:rsidR="0051081B" w:rsidRPr="0051081B" w:rsidRDefault="0051081B" w:rsidP="00CB31DE">
            <w:pPr>
              <w:pStyle w:val="ListParagraph"/>
              <w:numPr>
                <w:ilvl w:val="0"/>
                <w:numId w:val="69"/>
              </w:numPr>
              <w:ind w:left="604"/>
              <w:jc w:val="both"/>
              <w:rPr>
                <w:sz w:val="18"/>
                <w:szCs w:val="18"/>
              </w:rPr>
            </w:pPr>
            <w:r w:rsidRPr="0051081B">
              <w:rPr>
                <w:sz w:val="18"/>
                <w:szCs w:val="18"/>
              </w:rPr>
              <w:t xml:space="preserve">Events After the Reporting Period (Note 36) </w:t>
            </w:r>
            <w:r w:rsidR="00035833" w:rsidRPr="0051081B">
              <w:rPr>
                <w:sz w:val="18"/>
                <w:szCs w:val="18"/>
              </w:rPr>
              <w:t>–</w:t>
            </w:r>
            <w:r w:rsidRPr="0051081B">
              <w:rPr>
                <w:sz w:val="18"/>
                <w:szCs w:val="18"/>
              </w:rPr>
              <w:t xml:space="preserve"> On 1 July 202</w:t>
            </w:r>
            <w:r w:rsidR="00D57EB3">
              <w:rPr>
                <w:sz w:val="18"/>
                <w:szCs w:val="18"/>
              </w:rPr>
              <w:t>3</w:t>
            </w:r>
            <w:r w:rsidRPr="0051081B">
              <w:rPr>
                <w:sz w:val="18"/>
                <w:szCs w:val="18"/>
              </w:rPr>
              <w:t xml:space="preserve"> there was an administrative arrangement that involved moving a land and planning division from the Agency to ‘Receiving Directorate’. </w:t>
            </w:r>
          </w:p>
          <w:p w14:paraId="2304D1E1" w14:textId="77777777" w:rsidR="0051081B" w:rsidRPr="0051081B" w:rsidRDefault="0051081B" w:rsidP="0051081B">
            <w:pPr>
              <w:ind w:left="604"/>
              <w:jc w:val="both"/>
              <w:rPr>
                <w:sz w:val="18"/>
                <w:szCs w:val="18"/>
              </w:rPr>
            </w:pPr>
          </w:p>
        </w:tc>
      </w:tr>
      <w:tr w:rsidR="0051081B" w:rsidRPr="001950C9" w14:paraId="0500AEE4"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shd w:val="clear" w:color="auto" w:fill="auto"/>
          </w:tcPr>
          <w:p w14:paraId="01F2354B" w14:textId="77777777" w:rsidR="0051081B" w:rsidRPr="00B01585" w:rsidRDefault="0051081B" w:rsidP="00C24DC3">
            <w:pPr>
              <w:pStyle w:val="TableReference"/>
              <w:tabs>
                <w:tab w:val="left" w:pos="3306"/>
              </w:tabs>
              <w:spacing w:before="240" w:after="240"/>
              <w:rPr>
                <w:rFonts w:cs="Calibri"/>
                <w:color w:val="7030A0"/>
                <w:sz w:val="14"/>
              </w:rPr>
            </w:pPr>
          </w:p>
        </w:tc>
        <w:tc>
          <w:tcPr>
            <w:tcW w:w="9072" w:type="dxa"/>
            <w:gridSpan w:val="17"/>
            <w:tcBorders>
              <w:left w:val="single" w:sz="4" w:space="0" w:color="auto"/>
            </w:tcBorders>
            <w:shd w:val="clear" w:color="auto" w:fill="7030A0"/>
            <w:vAlign w:val="bottom"/>
          </w:tcPr>
          <w:p w14:paraId="78FFB647" w14:textId="590A2069" w:rsidR="0051081B" w:rsidRPr="0051081B" w:rsidRDefault="0051081B" w:rsidP="00C24DC3">
            <w:pPr>
              <w:spacing w:before="240" w:after="240"/>
              <w:rPr>
                <w:b/>
                <w:color w:val="FFFFFF" w:themeColor="background1"/>
                <w:sz w:val="28"/>
                <w:szCs w:val="28"/>
              </w:rPr>
            </w:pPr>
            <w:r w:rsidRPr="0051081B">
              <w:rPr>
                <w:b/>
                <w:color w:val="FFFFFF" w:themeColor="background1"/>
                <w:sz w:val="28"/>
                <w:szCs w:val="28"/>
              </w:rPr>
              <w:t>Commentary – Note 38: Related Party Disclosures</w:t>
            </w:r>
          </w:p>
        </w:tc>
      </w:tr>
      <w:tr w:rsidR="0051081B" w:rsidRPr="001950C9" w14:paraId="4FDD873A"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shd w:val="clear" w:color="auto" w:fill="auto"/>
          </w:tcPr>
          <w:p w14:paraId="48570C41"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7030A0"/>
            <w:vAlign w:val="bottom"/>
          </w:tcPr>
          <w:p w14:paraId="4E7DEC42" w14:textId="267D5B3C" w:rsidR="0051081B" w:rsidRPr="0051081B" w:rsidRDefault="0051081B" w:rsidP="0051081B">
            <w:pPr>
              <w:spacing w:after="120"/>
              <w:jc w:val="both"/>
              <w:rPr>
                <w:b/>
                <w:color w:val="FFFFFF" w:themeColor="background1"/>
              </w:rPr>
            </w:pPr>
            <w:r w:rsidRPr="0051081B">
              <w:rPr>
                <w:color w:val="FFFFFF" w:themeColor="background1"/>
                <w:sz w:val="18"/>
                <w:szCs w:val="18"/>
              </w:rPr>
              <w:t>If there are no material transactions under B.2, B.3 or C then no disclosures need to be made in this note.</w:t>
            </w:r>
          </w:p>
        </w:tc>
      </w:tr>
      <w:tr w:rsidR="0051081B" w:rsidRPr="001950C9" w14:paraId="2D6320A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shd w:val="clear" w:color="auto" w:fill="auto"/>
          </w:tcPr>
          <w:p w14:paraId="119C910B" w14:textId="77777777" w:rsidR="0051081B" w:rsidRPr="00B01585" w:rsidRDefault="0051081B" w:rsidP="0051081B">
            <w:pPr>
              <w:pStyle w:val="TableReference"/>
              <w:tabs>
                <w:tab w:val="left" w:pos="3306"/>
              </w:tabs>
              <w:rPr>
                <w:rFonts w:cs="Calibri"/>
                <w:color w:val="7030A0"/>
                <w:sz w:val="14"/>
              </w:rPr>
            </w:pPr>
          </w:p>
        </w:tc>
        <w:tc>
          <w:tcPr>
            <w:tcW w:w="9072" w:type="dxa"/>
            <w:gridSpan w:val="17"/>
            <w:tcBorders>
              <w:left w:val="single" w:sz="4" w:space="0" w:color="auto"/>
            </w:tcBorders>
            <w:shd w:val="clear" w:color="auto" w:fill="7030A0"/>
            <w:vAlign w:val="bottom"/>
          </w:tcPr>
          <w:p w14:paraId="3E751994" w14:textId="4874E64A" w:rsidR="0051081B" w:rsidRPr="0051081B" w:rsidRDefault="0051081B" w:rsidP="0051081B">
            <w:pPr>
              <w:spacing w:after="120"/>
              <w:jc w:val="both"/>
              <w:rPr>
                <w:color w:val="FFFFFF" w:themeColor="background1"/>
                <w:sz w:val="18"/>
                <w:szCs w:val="18"/>
              </w:rPr>
            </w:pPr>
            <w:r w:rsidRPr="0051081B">
              <w:rPr>
                <w:color w:val="FFFFFF" w:themeColor="background1"/>
                <w:sz w:val="18"/>
                <w:szCs w:val="18"/>
              </w:rPr>
              <w:t>The disclosure in section C above for ‘Burley Griffin Agency’ is an example only. Agencies should highlight only the material transactions with other ACT Government Entities in this Note.</w:t>
            </w:r>
          </w:p>
        </w:tc>
      </w:tr>
      <w:tr w:rsidR="0051081B" w:rsidRPr="001950C9" w14:paraId="16E959E1"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shd w:val="clear" w:color="auto" w:fill="auto"/>
          </w:tcPr>
          <w:p w14:paraId="0642264A" w14:textId="36467175" w:rsidR="0051081B" w:rsidRPr="00B01585" w:rsidRDefault="0051081B" w:rsidP="0051081B">
            <w:pPr>
              <w:pStyle w:val="TableReference"/>
              <w:tabs>
                <w:tab w:val="left" w:pos="3306"/>
              </w:tabs>
              <w:spacing w:after="240"/>
              <w:rPr>
                <w:rFonts w:cs="Calibri"/>
                <w:color w:val="7030A0"/>
                <w:sz w:val="14"/>
              </w:rPr>
            </w:pPr>
            <w:r w:rsidRPr="00B01585">
              <w:rPr>
                <w:rFonts w:cs="Calibri"/>
                <w:color w:val="7030A0"/>
                <w:sz w:val="14"/>
              </w:rPr>
              <w:t>AASB 124.1</w:t>
            </w:r>
          </w:p>
        </w:tc>
        <w:tc>
          <w:tcPr>
            <w:tcW w:w="9072" w:type="dxa"/>
            <w:gridSpan w:val="17"/>
            <w:tcBorders>
              <w:left w:val="single" w:sz="4" w:space="0" w:color="auto"/>
            </w:tcBorders>
            <w:shd w:val="clear" w:color="auto" w:fill="7030A0"/>
            <w:vAlign w:val="bottom"/>
          </w:tcPr>
          <w:p w14:paraId="32C3A6F8" w14:textId="4C687AE8" w:rsidR="0051081B" w:rsidRPr="0051081B" w:rsidRDefault="0051081B" w:rsidP="0051081B">
            <w:pPr>
              <w:tabs>
                <w:tab w:val="left" w:pos="1985"/>
              </w:tabs>
              <w:spacing w:after="120"/>
              <w:jc w:val="both"/>
              <w:rPr>
                <w:color w:val="FFFFFF" w:themeColor="background1"/>
                <w:sz w:val="18"/>
                <w:szCs w:val="18"/>
              </w:rPr>
            </w:pPr>
            <w:r w:rsidRPr="0051081B">
              <w:rPr>
                <w:rFonts w:cs="Calibri"/>
                <w:color w:val="FFFFFF" w:themeColor="background1"/>
                <w:sz w:val="18"/>
                <w:szCs w:val="18"/>
              </w:rPr>
              <w:t>The objective of AASB 124 is to ensure that an agency’s financial statements contain the disclosures necessary to draw attention to the possibility that its financial position and profit or loss may have been affected by the existence of related parties and by transactions and outstanding balances, including commitments, with such parties.</w:t>
            </w:r>
            <w:r w:rsidR="00FA7C77">
              <w:rPr>
                <w:rFonts w:cs="Calibri"/>
                <w:color w:val="FFFFFF" w:themeColor="background1"/>
                <w:sz w:val="18"/>
                <w:szCs w:val="18"/>
              </w:rPr>
              <w:t xml:space="preserve"> </w:t>
            </w:r>
          </w:p>
        </w:tc>
      </w:tr>
      <w:tr w:rsidR="0051081B" w:rsidRPr="001950C9" w14:paraId="0E5A40DD" w14:textId="77777777" w:rsidTr="005F6493">
        <w:tblPrEx>
          <w:shd w:val="clear" w:color="auto" w:fill="auto"/>
        </w:tblPrEx>
        <w:trPr>
          <w:cantSplit/>
          <w:trHeight w:val="23"/>
        </w:trPr>
        <w:tc>
          <w:tcPr>
            <w:tcW w:w="1562" w:type="dxa"/>
            <w:tcBorders>
              <w:left w:val="single" w:sz="4" w:space="0" w:color="auto"/>
              <w:right w:val="single" w:sz="4" w:space="0" w:color="auto"/>
            </w:tcBorders>
            <w:shd w:val="clear" w:color="auto" w:fill="auto"/>
          </w:tcPr>
          <w:p w14:paraId="10C088F0" w14:textId="77777777" w:rsidR="0051081B" w:rsidRPr="00B01585" w:rsidRDefault="0051081B" w:rsidP="0051081B">
            <w:pPr>
              <w:pStyle w:val="TableReference"/>
              <w:tabs>
                <w:tab w:val="left" w:pos="3306"/>
              </w:tabs>
              <w:spacing w:before="40" w:after="240"/>
              <w:rPr>
                <w:rFonts w:cs="Calibri"/>
                <w:color w:val="7030A0"/>
                <w:sz w:val="14"/>
              </w:rPr>
            </w:pPr>
            <w:r w:rsidRPr="00B01585">
              <w:rPr>
                <w:rFonts w:cs="Calibri"/>
                <w:color w:val="7030A0"/>
                <w:sz w:val="14"/>
              </w:rPr>
              <w:t>AASB124.9</w:t>
            </w:r>
          </w:p>
        </w:tc>
        <w:tc>
          <w:tcPr>
            <w:tcW w:w="9072" w:type="dxa"/>
            <w:gridSpan w:val="17"/>
            <w:tcBorders>
              <w:left w:val="single" w:sz="4" w:space="0" w:color="auto"/>
            </w:tcBorders>
            <w:shd w:val="clear" w:color="auto" w:fill="7030A0"/>
            <w:vAlign w:val="bottom"/>
          </w:tcPr>
          <w:p w14:paraId="45520759" w14:textId="32562DA9" w:rsidR="0051081B" w:rsidRPr="0051081B" w:rsidRDefault="0051081B" w:rsidP="0051081B">
            <w:pPr>
              <w:spacing w:after="120"/>
              <w:jc w:val="both"/>
              <w:rPr>
                <w:bCs/>
                <w:strike/>
                <w:color w:val="FFFFFF" w:themeColor="background1"/>
                <w:sz w:val="18"/>
                <w:szCs w:val="18"/>
              </w:rPr>
            </w:pPr>
            <w:r w:rsidRPr="0051081B">
              <w:rPr>
                <w:bCs/>
                <w:iCs/>
                <w:color w:val="FFFFFF" w:themeColor="background1"/>
                <w:sz w:val="18"/>
                <w:szCs w:val="18"/>
              </w:rPr>
              <w:t xml:space="preserve">Key management personnel </w:t>
            </w:r>
            <w:r w:rsidRPr="0051081B">
              <w:rPr>
                <w:bCs/>
                <w:color w:val="FFFFFF" w:themeColor="background1"/>
                <w:sz w:val="18"/>
                <w:szCs w:val="18"/>
              </w:rPr>
              <w:t>are those persons having authority and responsibility for planning, directing and controlling the activities of the entity, directly or indirectly,</w:t>
            </w:r>
            <w:r w:rsidR="00FA7C77">
              <w:rPr>
                <w:bCs/>
                <w:color w:val="FFFFFF" w:themeColor="background1"/>
                <w:sz w:val="18"/>
                <w:szCs w:val="18"/>
              </w:rPr>
              <w:t xml:space="preserve"> </w:t>
            </w:r>
            <w:r w:rsidRPr="0051081B">
              <w:rPr>
                <w:bCs/>
                <w:color w:val="FFFFFF" w:themeColor="background1"/>
                <w:sz w:val="18"/>
                <w:szCs w:val="18"/>
              </w:rPr>
              <w:t>including any director (whether executive or otherwise) of that entity.</w:t>
            </w:r>
          </w:p>
        </w:tc>
        <w:tc>
          <w:tcPr>
            <w:tcW w:w="9326" w:type="dxa"/>
            <w:vAlign w:val="bottom"/>
          </w:tcPr>
          <w:p w14:paraId="76F0C8F4" w14:textId="77777777" w:rsidR="0051081B" w:rsidRPr="009872F6" w:rsidRDefault="0051081B" w:rsidP="0051081B">
            <w:pPr>
              <w:autoSpaceDE w:val="0"/>
              <w:autoSpaceDN w:val="0"/>
              <w:adjustRightInd w:val="0"/>
              <w:spacing w:after="120"/>
              <w:rPr>
                <w:b/>
                <w:sz w:val="20"/>
                <w:szCs w:val="20"/>
              </w:rPr>
            </w:pPr>
          </w:p>
        </w:tc>
      </w:tr>
      <w:tr w:rsidR="0051081B" w:rsidRPr="001950C9" w14:paraId="4B6B0200"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9C95591" w14:textId="77777777" w:rsidR="0051081B" w:rsidRPr="00B01585" w:rsidRDefault="0051081B" w:rsidP="0051081B">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3BE49669" w14:textId="57A2EF8F" w:rsidR="0051081B" w:rsidRPr="0051081B" w:rsidRDefault="0051081B" w:rsidP="0051081B">
            <w:pPr>
              <w:autoSpaceDE w:val="0"/>
              <w:autoSpaceDN w:val="0"/>
              <w:adjustRightInd w:val="0"/>
              <w:spacing w:after="120"/>
              <w:jc w:val="both"/>
              <w:rPr>
                <w:b/>
                <w:color w:val="FFFFFF" w:themeColor="background1"/>
                <w:sz w:val="18"/>
                <w:szCs w:val="18"/>
              </w:rPr>
            </w:pPr>
            <w:r w:rsidRPr="0051081B">
              <w:rPr>
                <w:color w:val="FFFFFF" w:themeColor="background1"/>
                <w:sz w:val="18"/>
                <w:szCs w:val="18"/>
              </w:rPr>
              <w:t>Primarily, this Standard requires disclosure of summarised details about KMP remuneration, and certain transactions with related parties, in ACT Government controlled entities’ financial statements.</w:t>
            </w:r>
          </w:p>
        </w:tc>
      </w:tr>
      <w:tr w:rsidR="00784C98" w:rsidRPr="001950C9" w14:paraId="2CCCC80E" w14:textId="77777777" w:rsidTr="00AF4715">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4B8E012" w14:textId="0414F1A0" w:rsidR="00784C98" w:rsidRPr="00B01585" w:rsidRDefault="00784C98" w:rsidP="00AF4715">
            <w:pPr>
              <w:pStyle w:val="TableReference"/>
              <w:tabs>
                <w:tab w:val="left" w:pos="3306"/>
              </w:tabs>
              <w:spacing w:before="240" w:after="240"/>
              <w:rPr>
                <w:rFonts w:cs="Calibri"/>
                <w:color w:val="7030A0"/>
                <w:sz w:val="14"/>
              </w:rPr>
            </w:pPr>
            <w:r>
              <w:br w:type="page"/>
            </w:r>
            <w:r w:rsidRPr="001D7D76">
              <w:rPr>
                <w:b/>
                <w:color w:val="7030A0"/>
                <w:sz w:val="22"/>
                <w:szCs w:val="22"/>
              </w:rPr>
              <w:t>Reference</w:t>
            </w:r>
          </w:p>
        </w:tc>
        <w:tc>
          <w:tcPr>
            <w:tcW w:w="9072" w:type="dxa"/>
            <w:gridSpan w:val="17"/>
            <w:tcBorders>
              <w:left w:val="single" w:sz="4" w:space="0" w:color="auto"/>
            </w:tcBorders>
            <w:shd w:val="clear" w:color="auto" w:fill="7030A0"/>
          </w:tcPr>
          <w:p w14:paraId="6378CFE7" w14:textId="32863AE7" w:rsidR="00784C98" w:rsidRPr="0051081B" w:rsidRDefault="00784C98" w:rsidP="00AF4715">
            <w:pPr>
              <w:autoSpaceDE w:val="0"/>
              <w:autoSpaceDN w:val="0"/>
              <w:adjustRightInd w:val="0"/>
              <w:spacing w:before="240" w:after="240"/>
              <w:rPr>
                <w:rFonts w:cs="Calibri"/>
                <w:color w:val="FFFFFF" w:themeColor="background1"/>
                <w:sz w:val="18"/>
                <w:szCs w:val="18"/>
                <w:lang w:eastAsia="en-AU"/>
              </w:rPr>
            </w:pPr>
            <w:r w:rsidRPr="001D7D76">
              <w:rPr>
                <w:b/>
                <w:color w:val="FFFFFF" w:themeColor="background1"/>
                <w:sz w:val="28"/>
                <w:szCs w:val="28"/>
              </w:rPr>
              <w:t>Commentary – Note 38: Related Party Disclosures</w:t>
            </w:r>
            <w:r>
              <w:rPr>
                <w:b/>
                <w:color w:val="FFFFFF" w:themeColor="background1"/>
                <w:sz w:val="28"/>
                <w:szCs w:val="28"/>
              </w:rPr>
              <w:t xml:space="preserve"> – Continued </w:t>
            </w:r>
          </w:p>
        </w:tc>
      </w:tr>
      <w:tr w:rsidR="00784C98" w:rsidRPr="001950C9" w14:paraId="280A4EDC"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3389B41" w14:textId="77777777" w:rsidR="00784C98" w:rsidRPr="00B01585"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0DA903FA" w14:textId="5811D9A9" w:rsidR="00784C98" w:rsidRPr="0051081B" w:rsidRDefault="00784C98" w:rsidP="00784C98">
            <w:pPr>
              <w:autoSpaceDE w:val="0"/>
              <w:autoSpaceDN w:val="0"/>
              <w:adjustRightInd w:val="0"/>
              <w:spacing w:after="120"/>
              <w:jc w:val="both"/>
              <w:rPr>
                <w:b/>
                <w:color w:val="FFFFFF" w:themeColor="background1"/>
                <w:sz w:val="18"/>
                <w:szCs w:val="18"/>
              </w:rPr>
            </w:pPr>
            <w:r w:rsidRPr="0051081B">
              <w:rPr>
                <w:rFonts w:cs="Calibri"/>
                <w:color w:val="FFFFFF" w:themeColor="background1"/>
                <w:sz w:val="18"/>
                <w:szCs w:val="18"/>
                <w:lang w:eastAsia="en-AU"/>
              </w:rPr>
              <w:t>The ACT Executive comprising the Chief Minister and Ministers appointed by the Chief Minister</w:t>
            </w:r>
            <w:r w:rsidRPr="0051081B">
              <w:rPr>
                <w:color w:val="FFFFFF" w:themeColor="background1"/>
                <w:sz w:val="18"/>
                <w:szCs w:val="18"/>
              </w:rPr>
              <w:t>, is the principal decision-making body for the ACT Government and is therefore KMP of the ACT Government (i.e. Whole of Government and the General Government Sector reporting entities).</w:t>
            </w:r>
            <w:r>
              <w:rPr>
                <w:color w:val="FFFFFF" w:themeColor="background1"/>
                <w:sz w:val="18"/>
                <w:szCs w:val="18"/>
              </w:rPr>
              <w:t xml:space="preserve"> </w:t>
            </w:r>
            <w:r w:rsidRPr="0051081B">
              <w:rPr>
                <w:color w:val="FFFFFF" w:themeColor="background1"/>
                <w:sz w:val="18"/>
                <w:szCs w:val="18"/>
              </w:rPr>
              <w:t>As KMP of the ACT Government (i.e. the parent) the Cabinet Ministers are deemed related parties of all ACT Government controlled entities.</w:t>
            </w:r>
          </w:p>
        </w:tc>
      </w:tr>
      <w:tr w:rsidR="00784C98" w:rsidRPr="001950C9" w14:paraId="57FC96C9"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E801AE0" w14:textId="77777777" w:rsidR="00784C98" w:rsidRPr="00B01585"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0393CBC2" w14:textId="5F306E91" w:rsidR="00784C98" w:rsidRPr="0051081B" w:rsidRDefault="00784C98" w:rsidP="00784C98">
            <w:pPr>
              <w:autoSpaceDE w:val="0"/>
              <w:autoSpaceDN w:val="0"/>
              <w:adjustRightInd w:val="0"/>
              <w:spacing w:after="120"/>
              <w:jc w:val="both"/>
              <w:rPr>
                <w:rFonts w:cs="Calibri"/>
                <w:color w:val="FFFFFF" w:themeColor="background1"/>
                <w:sz w:val="18"/>
                <w:szCs w:val="18"/>
                <w:lang w:eastAsia="en-AU"/>
              </w:rPr>
            </w:pPr>
            <w:r w:rsidRPr="0051081B">
              <w:rPr>
                <w:rFonts w:cs="Calibri"/>
                <w:color w:val="FFFFFF" w:themeColor="background1"/>
                <w:sz w:val="18"/>
                <w:szCs w:val="18"/>
                <w:lang w:eastAsia="en-AU"/>
              </w:rPr>
              <w:t xml:space="preserve">Portfolio Ministers are deemed </w:t>
            </w:r>
            <w:r w:rsidRPr="0051081B">
              <w:rPr>
                <w:color w:val="FFFFFF" w:themeColor="background1"/>
                <w:sz w:val="18"/>
                <w:szCs w:val="18"/>
              </w:rPr>
              <w:t>KMP of the ACT Government controlled entities within their portfolio.</w:t>
            </w:r>
            <w:r>
              <w:rPr>
                <w:color w:val="FFFFFF" w:themeColor="background1"/>
                <w:sz w:val="18"/>
                <w:szCs w:val="18"/>
              </w:rPr>
              <w:t xml:space="preserve"> </w:t>
            </w:r>
          </w:p>
        </w:tc>
      </w:tr>
      <w:tr w:rsidR="00784C98" w:rsidRPr="001950C9" w14:paraId="428635F7"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10317789" w14:textId="2A251CFD"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43878F03" w14:textId="2DD87318" w:rsidR="00784C98" w:rsidRPr="001D7D76" w:rsidRDefault="00784C98" w:rsidP="00784C98">
            <w:pPr>
              <w:spacing w:after="120"/>
              <w:jc w:val="both"/>
              <w:rPr>
                <w:color w:val="FFFFFF" w:themeColor="background1"/>
                <w:sz w:val="18"/>
                <w:szCs w:val="18"/>
              </w:rPr>
            </w:pPr>
            <w:r w:rsidRPr="001D7D76">
              <w:rPr>
                <w:color w:val="FFFFFF" w:themeColor="background1"/>
                <w:sz w:val="18"/>
                <w:szCs w:val="18"/>
              </w:rPr>
              <w:t>In relation to territory-owned corporations, Ministers holding shares on behalf of the ACT Government may not necessarily have the authority and responsibility over the entity and the shares are not held beneficially by the Ministers.</w:t>
            </w:r>
            <w:r>
              <w:rPr>
                <w:color w:val="FFFFFF" w:themeColor="background1"/>
                <w:sz w:val="18"/>
                <w:szCs w:val="18"/>
              </w:rPr>
              <w:t xml:space="preserve"> </w:t>
            </w:r>
            <w:r w:rsidRPr="001D7D76">
              <w:rPr>
                <w:color w:val="FFFFFF" w:themeColor="background1"/>
                <w:sz w:val="18"/>
                <w:szCs w:val="18"/>
              </w:rPr>
              <w:t>Therefore, shareholding Ministers may not necessarily be KMP of the relevant territory-owned corporation.</w:t>
            </w:r>
            <w:r>
              <w:rPr>
                <w:color w:val="FFFFFF" w:themeColor="background1"/>
                <w:sz w:val="18"/>
                <w:szCs w:val="18"/>
              </w:rPr>
              <w:t xml:space="preserve"> </w:t>
            </w:r>
            <w:r w:rsidRPr="001D7D76">
              <w:rPr>
                <w:color w:val="FFFFFF" w:themeColor="background1"/>
                <w:sz w:val="18"/>
                <w:szCs w:val="18"/>
              </w:rPr>
              <w:t>Regardless of whether shareholding Ministers are KMP, they will still be related party of the territory-owned corporations, as they are KMP of the parent (i.e. ACT Government) in their capacity as Cabinet Minister.</w:t>
            </w:r>
          </w:p>
        </w:tc>
      </w:tr>
      <w:tr w:rsidR="00784C98" w:rsidRPr="001950C9" w14:paraId="7B4E8C75"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2166C189"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7E1B6069" w14:textId="080546BF" w:rsidR="00784C98" w:rsidRPr="001D7D76" w:rsidRDefault="00784C98" w:rsidP="00784C98">
            <w:pPr>
              <w:jc w:val="both"/>
              <w:rPr>
                <w:color w:val="FFFFFF" w:themeColor="background1"/>
                <w:sz w:val="18"/>
                <w:szCs w:val="18"/>
              </w:rPr>
            </w:pPr>
            <w:r w:rsidRPr="001D7D76">
              <w:rPr>
                <w:color w:val="FFFFFF" w:themeColor="background1"/>
                <w:sz w:val="18"/>
                <w:szCs w:val="18"/>
              </w:rPr>
              <w:t xml:space="preserve">The Head of Service, being responsible for the service as a whole, is also a KMP of the ACT Government (i.e. Whole of Government and General Government Sector reporting entities) and is therefore a related party of all ACT Government controlled entities. </w:t>
            </w:r>
          </w:p>
        </w:tc>
      </w:tr>
      <w:tr w:rsidR="00784C98" w:rsidRPr="001950C9" w14:paraId="51E910C8"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5613F0A1"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56032681" w14:textId="76156055" w:rsidR="00784C98" w:rsidRPr="001D7D76" w:rsidRDefault="00784C98" w:rsidP="00784C98">
            <w:pPr>
              <w:spacing w:before="120"/>
              <w:jc w:val="both"/>
              <w:rPr>
                <w:color w:val="FFFFFF" w:themeColor="background1"/>
                <w:sz w:val="18"/>
                <w:szCs w:val="18"/>
              </w:rPr>
            </w:pPr>
            <w:r w:rsidRPr="001D7D76">
              <w:rPr>
                <w:color w:val="FFFFFF" w:themeColor="background1"/>
                <w:sz w:val="18"/>
                <w:szCs w:val="18"/>
              </w:rPr>
              <w:t>Directors-General and Chief Executive Officers are deemed KMP of the relevant ACT Government controlled entities under their responsibility.</w:t>
            </w:r>
            <w:r>
              <w:rPr>
                <w:color w:val="FFFFFF" w:themeColor="background1"/>
                <w:sz w:val="18"/>
                <w:szCs w:val="18"/>
              </w:rPr>
              <w:t xml:space="preserve"> </w:t>
            </w:r>
            <w:r w:rsidRPr="001D7D76">
              <w:rPr>
                <w:color w:val="FFFFFF" w:themeColor="background1"/>
                <w:sz w:val="18"/>
                <w:szCs w:val="18"/>
              </w:rPr>
              <w:t>Governing Boards of territory authorities are KMP of their territory authority.</w:t>
            </w:r>
          </w:p>
        </w:tc>
      </w:tr>
      <w:tr w:rsidR="00784C98" w:rsidRPr="001950C9" w14:paraId="552B5E4D"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35F181B7"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0D0A09EC" w14:textId="60152EEE" w:rsidR="00784C98" w:rsidRPr="001D7D76" w:rsidRDefault="00784C98" w:rsidP="00784C98">
            <w:pPr>
              <w:spacing w:before="120"/>
              <w:jc w:val="both"/>
              <w:rPr>
                <w:color w:val="FFFFFF" w:themeColor="background1"/>
                <w:sz w:val="18"/>
                <w:szCs w:val="18"/>
              </w:rPr>
            </w:pPr>
            <w:r w:rsidRPr="001D7D76">
              <w:rPr>
                <w:color w:val="FFFFFF" w:themeColor="background1"/>
                <w:sz w:val="18"/>
                <w:szCs w:val="18"/>
              </w:rPr>
              <w:t>Officers of the Assembly are deemed KMP of their relevant entity.</w:t>
            </w:r>
            <w:r>
              <w:rPr>
                <w:color w:val="FFFFFF" w:themeColor="background1"/>
                <w:sz w:val="18"/>
                <w:szCs w:val="18"/>
              </w:rPr>
              <w:t xml:space="preserve"> </w:t>
            </w:r>
            <w:r w:rsidRPr="001D7D76">
              <w:rPr>
                <w:color w:val="FFFFFF" w:themeColor="background1"/>
                <w:sz w:val="18"/>
                <w:szCs w:val="18"/>
              </w:rPr>
              <w:t>Other staff may be assessed to fall within the scope of the KMP definition.</w:t>
            </w:r>
          </w:p>
        </w:tc>
      </w:tr>
      <w:tr w:rsidR="00784C98" w:rsidRPr="001950C9" w14:paraId="4F5E6638"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79AE9805"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3A0AE776" w14:textId="10719735" w:rsidR="00784C98" w:rsidRPr="001D7D76" w:rsidRDefault="00784C98" w:rsidP="00784C98">
            <w:pPr>
              <w:spacing w:before="120" w:after="120"/>
              <w:jc w:val="both"/>
              <w:rPr>
                <w:color w:val="FFFFFF" w:themeColor="background1"/>
                <w:sz w:val="18"/>
                <w:szCs w:val="18"/>
              </w:rPr>
            </w:pPr>
            <w:r w:rsidRPr="001D7D76">
              <w:rPr>
                <w:color w:val="FFFFFF" w:themeColor="background1"/>
                <w:sz w:val="18"/>
                <w:szCs w:val="18"/>
              </w:rPr>
              <w:t>Close family members of these KMP, including any entities in which they have controlling interests (individually or jointly), are related parties of the relevant ACT Government controlled entities.</w:t>
            </w:r>
          </w:p>
        </w:tc>
      </w:tr>
      <w:tr w:rsidR="00784C98" w:rsidRPr="001950C9" w14:paraId="46D75DED"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31D11056"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2742C048" w14:textId="74486577" w:rsidR="00784C98" w:rsidRPr="001D7D76" w:rsidRDefault="00784C98" w:rsidP="00784C98">
            <w:pPr>
              <w:spacing w:after="120"/>
              <w:rPr>
                <w:color w:val="FFFFFF" w:themeColor="background1"/>
                <w:sz w:val="18"/>
                <w:szCs w:val="18"/>
              </w:rPr>
            </w:pPr>
            <w:r w:rsidRPr="001D7D76">
              <w:rPr>
                <w:color w:val="FFFFFF" w:themeColor="background1"/>
                <w:sz w:val="18"/>
                <w:szCs w:val="18"/>
              </w:rPr>
              <w:t>Data Collection Forms should be used by agencies to collect the related party transaction information from KMP, required by the Standard.</w:t>
            </w:r>
            <w:r>
              <w:rPr>
                <w:color w:val="FFFFFF" w:themeColor="background1"/>
                <w:sz w:val="18"/>
                <w:szCs w:val="18"/>
              </w:rPr>
              <w:t xml:space="preserve"> </w:t>
            </w:r>
            <w:r w:rsidRPr="001D7D76">
              <w:rPr>
                <w:color w:val="FFFFFF" w:themeColor="background1"/>
                <w:sz w:val="18"/>
                <w:szCs w:val="18"/>
              </w:rPr>
              <w:t xml:space="preserve">These forms can be obtained from the ACT Accounting website at </w:t>
            </w:r>
            <w:hyperlink r:id="rId42" w:history="1">
              <w:r w:rsidRPr="001D7D76">
                <w:rPr>
                  <w:rStyle w:val="Hyperlink"/>
                  <w:rFonts w:cs="Calibri"/>
                  <w:color w:val="FFFFFF" w:themeColor="background1"/>
                  <w:sz w:val="18"/>
                  <w:szCs w:val="18"/>
                </w:rPr>
                <w:t>https://treasury.act.gov.au/accounting</w:t>
              </w:r>
            </w:hyperlink>
            <w:r w:rsidRPr="001D7D76">
              <w:rPr>
                <w:rStyle w:val="Hyperlink"/>
                <w:rFonts w:cs="Calibri"/>
                <w:color w:val="FFFFFF" w:themeColor="background1"/>
                <w:sz w:val="18"/>
                <w:szCs w:val="18"/>
              </w:rPr>
              <w:t>.</w:t>
            </w:r>
            <w:r>
              <w:rPr>
                <w:color w:val="FFFFFF" w:themeColor="background1"/>
                <w:sz w:val="18"/>
                <w:szCs w:val="18"/>
              </w:rPr>
              <w:t xml:space="preserve"> </w:t>
            </w:r>
            <w:r w:rsidRPr="001D7D76">
              <w:rPr>
                <w:color w:val="FFFFFF" w:themeColor="background1"/>
                <w:sz w:val="18"/>
                <w:szCs w:val="18"/>
              </w:rPr>
              <w:t xml:space="preserve"> </w:t>
            </w:r>
          </w:p>
        </w:tc>
      </w:tr>
      <w:tr w:rsidR="00784C98" w:rsidRPr="001950C9" w14:paraId="749B8E4B"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1B56DC3E"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6E4BFFA7" w14:textId="77777777" w:rsidR="00784C98" w:rsidRPr="000A1EDA" w:rsidRDefault="00784C98" w:rsidP="00C87FF4">
            <w:pPr>
              <w:spacing w:after="40"/>
              <w:jc w:val="both"/>
              <w:rPr>
                <w:b/>
                <w:bCs/>
                <w:color w:val="FFFFFF" w:themeColor="background1"/>
                <w:sz w:val="20"/>
                <w:szCs w:val="20"/>
              </w:rPr>
            </w:pPr>
            <w:r w:rsidRPr="000A1EDA">
              <w:rPr>
                <w:b/>
                <w:bCs/>
                <w:color w:val="FFFFFF" w:themeColor="background1"/>
                <w:sz w:val="20"/>
                <w:szCs w:val="20"/>
              </w:rPr>
              <w:t>Compensation of Key Management Personnel</w:t>
            </w:r>
          </w:p>
        </w:tc>
      </w:tr>
      <w:tr w:rsidR="00784C98" w:rsidRPr="001950C9" w14:paraId="6150C419"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EAED15B" w14:textId="77777777" w:rsidR="00784C98" w:rsidRPr="001D7D76" w:rsidRDefault="00784C98" w:rsidP="00784C98">
            <w:pPr>
              <w:pStyle w:val="TableReference"/>
              <w:tabs>
                <w:tab w:val="left" w:pos="3306"/>
              </w:tabs>
              <w:rPr>
                <w:rFonts w:cs="Calibri"/>
                <w:color w:val="7030A0"/>
                <w:sz w:val="14"/>
              </w:rPr>
            </w:pPr>
            <w:r w:rsidRPr="001D7D76">
              <w:rPr>
                <w:rFonts w:cs="Calibri"/>
                <w:color w:val="7030A0"/>
                <w:sz w:val="14"/>
              </w:rPr>
              <w:t>AASB 124.9</w:t>
            </w:r>
          </w:p>
        </w:tc>
        <w:tc>
          <w:tcPr>
            <w:tcW w:w="9072" w:type="dxa"/>
            <w:gridSpan w:val="17"/>
            <w:tcBorders>
              <w:left w:val="single" w:sz="4" w:space="0" w:color="auto"/>
            </w:tcBorders>
            <w:shd w:val="clear" w:color="auto" w:fill="7030A0"/>
          </w:tcPr>
          <w:p w14:paraId="63A23825" w14:textId="77777777" w:rsidR="00784C98" w:rsidRPr="001D7D76" w:rsidRDefault="00784C98" w:rsidP="00784C98">
            <w:pPr>
              <w:spacing w:after="120"/>
              <w:rPr>
                <w:color w:val="FFFFFF" w:themeColor="background1"/>
                <w:sz w:val="18"/>
                <w:szCs w:val="18"/>
              </w:rPr>
            </w:pPr>
            <w:r w:rsidRPr="001D7D76">
              <w:rPr>
                <w:color w:val="FFFFFF" w:themeColor="background1"/>
                <w:sz w:val="18"/>
                <w:szCs w:val="18"/>
              </w:rPr>
              <w:t xml:space="preserve">Compensation includes all employee benefits (as defined in AASB 119 </w:t>
            </w:r>
            <w:r w:rsidRPr="001D7D76">
              <w:rPr>
                <w:i/>
                <w:iCs/>
                <w:color w:val="FFFFFF" w:themeColor="background1"/>
                <w:sz w:val="18"/>
                <w:szCs w:val="18"/>
              </w:rPr>
              <w:t>Employee Benefits</w:t>
            </w:r>
            <w:r w:rsidRPr="001D7D76">
              <w:rPr>
                <w:color w:val="FFFFFF" w:themeColor="background1"/>
                <w:sz w:val="18"/>
                <w:szCs w:val="18"/>
              </w:rPr>
              <w:t>).</w:t>
            </w:r>
          </w:p>
        </w:tc>
      </w:tr>
      <w:tr w:rsidR="00784C98" w:rsidRPr="001950C9" w14:paraId="5F19B075"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vAlign w:val="bottom"/>
          </w:tcPr>
          <w:p w14:paraId="727FD90F"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2DB6F675" w14:textId="3C234FCC" w:rsidR="00784C98" w:rsidRPr="001D7D76" w:rsidRDefault="00784C98" w:rsidP="00784C98">
            <w:pPr>
              <w:spacing w:after="120"/>
              <w:jc w:val="both"/>
              <w:rPr>
                <w:color w:val="FFFFFF" w:themeColor="background1"/>
                <w:sz w:val="18"/>
                <w:szCs w:val="18"/>
              </w:rPr>
            </w:pPr>
            <w:r w:rsidRPr="001D7D76">
              <w:rPr>
                <w:color w:val="FFFFFF" w:themeColor="background1"/>
                <w:sz w:val="18"/>
                <w:szCs w:val="18"/>
              </w:rPr>
              <w:t>As a guide, the following expenses are to be included for the year or for that part of the year during which the employee was a KMP:</w:t>
            </w:r>
          </w:p>
        </w:tc>
      </w:tr>
      <w:tr w:rsidR="00784C98" w:rsidRPr="001950C9" w14:paraId="3E5A1080" w14:textId="77777777" w:rsidTr="005F6493">
        <w:tblPrEx>
          <w:shd w:val="clear" w:color="auto" w:fill="auto"/>
        </w:tblPrEx>
        <w:trPr>
          <w:gridAfter w:val="1"/>
          <w:wAfter w:w="9326" w:type="dxa"/>
          <w:cantSplit/>
          <w:trHeight w:val="1478"/>
        </w:trPr>
        <w:tc>
          <w:tcPr>
            <w:tcW w:w="1562" w:type="dxa"/>
            <w:tcBorders>
              <w:left w:val="single" w:sz="4" w:space="0" w:color="auto"/>
              <w:right w:val="single" w:sz="4" w:space="0" w:color="auto"/>
            </w:tcBorders>
          </w:tcPr>
          <w:p w14:paraId="77935D0E" w14:textId="77777777" w:rsidR="00784C98" w:rsidRPr="001D7D76" w:rsidRDefault="00784C98" w:rsidP="00C24DC3">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tcPr>
          <w:p w14:paraId="6B65D925" w14:textId="77777777" w:rsidR="00784C98" w:rsidRPr="001D7D76" w:rsidRDefault="00784C98" w:rsidP="00784C98">
            <w:pPr>
              <w:pStyle w:val="Default"/>
              <w:spacing w:after="120"/>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Short-term employee benefits</w:t>
            </w:r>
          </w:p>
        </w:tc>
        <w:tc>
          <w:tcPr>
            <w:tcW w:w="6052" w:type="dxa"/>
            <w:gridSpan w:val="16"/>
            <w:shd w:val="clear" w:color="auto" w:fill="7030A0"/>
            <w:vAlign w:val="bottom"/>
          </w:tcPr>
          <w:p w14:paraId="3D485268" w14:textId="34CC3C9E" w:rsidR="00784C98" w:rsidRPr="001D7D76" w:rsidRDefault="00784C98" w:rsidP="00784C98">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Salaries and wages, overtime, allowances, penalties</w:t>
            </w:r>
            <w:r>
              <w:rPr>
                <w:rFonts w:ascii="Calibri" w:hAnsi="Calibri"/>
                <w:color w:val="FFFFFF" w:themeColor="background1"/>
                <w:sz w:val="18"/>
                <w:szCs w:val="18"/>
                <w:lang w:eastAsia="en-US"/>
              </w:rPr>
              <w:t>;</w:t>
            </w:r>
          </w:p>
          <w:p w14:paraId="1A8E4443" w14:textId="05611EF8" w:rsidR="00784C98" w:rsidRPr="001D7D76" w:rsidRDefault="00784C98" w:rsidP="00784C98">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Annual, personal,</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maternity leave</w:t>
            </w:r>
            <w:r>
              <w:rPr>
                <w:rFonts w:ascii="Calibri" w:hAnsi="Calibri"/>
                <w:color w:val="FFFFFF" w:themeColor="background1"/>
                <w:sz w:val="18"/>
                <w:szCs w:val="18"/>
                <w:lang w:eastAsia="en-US"/>
              </w:rPr>
              <w:t xml:space="preserve"> and</w:t>
            </w:r>
            <w:r w:rsidRPr="001D7D76">
              <w:rPr>
                <w:rFonts w:ascii="Calibri" w:hAnsi="Calibri"/>
                <w:color w:val="FFFFFF" w:themeColor="background1"/>
                <w:sz w:val="18"/>
                <w:szCs w:val="18"/>
                <w:lang w:eastAsia="en-US"/>
              </w:rPr>
              <w:t xml:space="preserve"> leave loading</w:t>
            </w:r>
            <w:r>
              <w:rPr>
                <w:rFonts w:ascii="Calibri" w:hAnsi="Calibri"/>
                <w:color w:val="FFFFFF" w:themeColor="background1"/>
                <w:sz w:val="18"/>
                <w:szCs w:val="18"/>
                <w:lang w:eastAsia="en-US"/>
              </w:rPr>
              <w:t>;</w:t>
            </w:r>
          </w:p>
          <w:p w14:paraId="5EDD8811" w14:textId="55979F6F" w:rsidR="00784C98" w:rsidRPr="001D7D76" w:rsidRDefault="00784C98" w:rsidP="00784C98">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employee benefits (including motor vehicle lease payments, and non-monetary benefits)</w:t>
            </w:r>
            <w:r>
              <w:rPr>
                <w:rFonts w:ascii="Calibri" w:hAnsi="Calibri"/>
                <w:color w:val="FFFFFF" w:themeColor="background1"/>
                <w:sz w:val="18"/>
                <w:szCs w:val="18"/>
                <w:lang w:eastAsia="en-US"/>
              </w:rPr>
              <w:t>; and</w:t>
            </w:r>
          </w:p>
          <w:p w14:paraId="73B9EA2F" w14:textId="61D01691" w:rsidR="00784C98" w:rsidRPr="001D7D76" w:rsidRDefault="00784C98" w:rsidP="00C24DC3">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Remuneration paid to KMP who are contractors through external service providers</w:t>
            </w:r>
            <w:r>
              <w:rPr>
                <w:rFonts w:ascii="Calibri" w:hAnsi="Calibri"/>
                <w:color w:val="FFFFFF" w:themeColor="background1"/>
                <w:sz w:val="18"/>
                <w:szCs w:val="18"/>
                <w:lang w:eastAsia="en-US"/>
              </w:rPr>
              <w:t>.</w:t>
            </w:r>
          </w:p>
        </w:tc>
      </w:tr>
      <w:tr w:rsidR="00784C98" w:rsidRPr="001950C9" w14:paraId="5B2D83EF" w14:textId="77777777" w:rsidTr="005F6493">
        <w:tblPrEx>
          <w:shd w:val="clear" w:color="auto" w:fill="auto"/>
        </w:tblPrEx>
        <w:trPr>
          <w:gridAfter w:val="1"/>
          <w:wAfter w:w="9326" w:type="dxa"/>
          <w:cantSplit/>
          <w:trHeight w:val="283"/>
        </w:trPr>
        <w:tc>
          <w:tcPr>
            <w:tcW w:w="1562" w:type="dxa"/>
            <w:tcBorders>
              <w:left w:val="single" w:sz="4" w:space="0" w:color="auto"/>
              <w:right w:val="single" w:sz="4" w:space="0" w:color="auto"/>
            </w:tcBorders>
          </w:tcPr>
          <w:p w14:paraId="2037C90E" w14:textId="77777777" w:rsidR="00784C98" w:rsidRPr="001D7D76" w:rsidRDefault="00784C98" w:rsidP="00C24DC3">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1728EDAA" w14:textId="281160C0" w:rsidR="00784C98" w:rsidRPr="001D7D76" w:rsidRDefault="00784C98" w:rsidP="00784C98">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Post-employment benefits</w:t>
            </w:r>
          </w:p>
        </w:tc>
        <w:tc>
          <w:tcPr>
            <w:tcW w:w="6052" w:type="dxa"/>
            <w:gridSpan w:val="16"/>
            <w:shd w:val="clear" w:color="auto" w:fill="7030A0"/>
            <w:vAlign w:val="bottom"/>
          </w:tcPr>
          <w:p w14:paraId="1832427D" w14:textId="06FEA088" w:rsidR="00784C98" w:rsidRPr="001D7D76" w:rsidRDefault="00784C98" w:rsidP="00C24DC3">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Contribution to superannuation and productivity benefit</w:t>
            </w:r>
            <w:r>
              <w:rPr>
                <w:rFonts w:ascii="Calibri" w:hAnsi="Calibri"/>
                <w:color w:val="FFFFFF" w:themeColor="background1"/>
                <w:sz w:val="18"/>
                <w:szCs w:val="18"/>
                <w:lang w:eastAsia="en-US"/>
              </w:rPr>
              <w:t>.</w:t>
            </w:r>
          </w:p>
        </w:tc>
      </w:tr>
      <w:tr w:rsidR="00784C98" w:rsidRPr="001950C9" w14:paraId="044FB8FA"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7C2B4F72" w14:textId="77777777" w:rsidR="00784C98" w:rsidRPr="001D7D76" w:rsidRDefault="00784C98" w:rsidP="00C24DC3">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2493D0A3" w14:textId="77777777" w:rsidR="00784C98" w:rsidRPr="001D7D76" w:rsidRDefault="00784C98" w:rsidP="00784C98">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long-term benefits</w:t>
            </w:r>
          </w:p>
        </w:tc>
        <w:tc>
          <w:tcPr>
            <w:tcW w:w="6052" w:type="dxa"/>
            <w:gridSpan w:val="16"/>
            <w:shd w:val="clear" w:color="auto" w:fill="7030A0"/>
            <w:vAlign w:val="bottom"/>
          </w:tcPr>
          <w:p w14:paraId="55B7B962" w14:textId="71612B70" w:rsidR="00784C98" w:rsidRPr="001D7D76" w:rsidRDefault="00784C98" w:rsidP="00C24DC3">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Increase in long service leave provision</w:t>
            </w:r>
            <w:r>
              <w:rPr>
                <w:rFonts w:ascii="Calibri" w:hAnsi="Calibri"/>
                <w:color w:val="FFFFFF" w:themeColor="background1"/>
                <w:sz w:val="18"/>
                <w:szCs w:val="18"/>
                <w:lang w:eastAsia="en-US"/>
              </w:rPr>
              <w:t>.</w:t>
            </w:r>
          </w:p>
        </w:tc>
      </w:tr>
      <w:tr w:rsidR="00784C98" w:rsidRPr="001950C9" w14:paraId="75D0E1A0"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0177F02B" w14:textId="77777777" w:rsidR="00784C98" w:rsidRPr="001D7D76" w:rsidRDefault="00784C98" w:rsidP="00C24DC3">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71454E93" w14:textId="77777777" w:rsidR="00784C98" w:rsidRPr="001D7D76" w:rsidRDefault="00784C98" w:rsidP="00784C98">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benefits</w:t>
            </w:r>
          </w:p>
        </w:tc>
        <w:tc>
          <w:tcPr>
            <w:tcW w:w="6052" w:type="dxa"/>
            <w:gridSpan w:val="16"/>
            <w:shd w:val="clear" w:color="auto" w:fill="7030A0"/>
            <w:vAlign w:val="bottom"/>
          </w:tcPr>
          <w:p w14:paraId="0AE45D03" w14:textId="37CC6412" w:rsidR="00784C98" w:rsidRPr="001D7D76" w:rsidRDefault="00784C98" w:rsidP="00C24DC3">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payouts including redundancy payments</w:t>
            </w:r>
            <w:r>
              <w:rPr>
                <w:rFonts w:ascii="Calibri" w:hAnsi="Calibri"/>
                <w:color w:val="FFFFFF" w:themeColor="background1"/>
                <w:sz w:val="18"/>
                <w:szCs w:val="18"/>
                <w:lang w:eastAsia="en-US"/>
              </w:rPr>
              <w:t>.</w:t>
            </w:r>
          </w:p>
        </w:tc>
      </w:tr>
      <w:tr w:rsidR="00784C98" w:rsidRPr="001950C9" w14:paraId="620EC071"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96CB766" w14:textId="77777777" w:rsidR="00784C98" w:rsidRPr="001D7D76" w:rsidRDefault="00784C98" w:rsidP="00C24DC3">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0AC4C310" w14:textId="77777777" w:rsidR="00784C98" w:rsidRPr="001D7D76" w:rsidRDefault="00784C98" w:rsidP="00784C98">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Board member fees</w:t>
            </w:r>
          </w:p>
        </w:tc>
        <w:tc>
          <w:tcPr>
            <w:tcW w:w="6052" w:type="dxa"/>
            <w:gridSpan w:val="16"/>
            <w:shd w:val="clear" w:color="auto" w:fill="7030A0"/>
            <w:vAlign w:val="bottom"/>
          </w:tcPr>
          <w:p w14:paraId="397BEBB8" w14:textId="3727CE19" w:rsidR="00784C98" w:rsidRPr="001D7D76" w:rsidRDefault="00784C98" w:rsidP="00C24DC3">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For territory authorities</w:t>
            </w:r>
            <w:r>
              <w:rPr>
                <w:rFonts w:ascii="Calibri" w:hAnsi="Calibri"/>
                <w:color w:val="FFFFFF" w:themeColor="background1"/>
                <w:sz w:val="18"/>
                <w:szCs w:val="18"/>
                <w:lang w:eastAsia="en-US"/>
              </w:rPr>
              <w:t>.</w:t>
            </w:r>
          </w:p>
        </w:tc>
      </w:tr>
      <w:tr w:rsidR="00784C98" w:rsidRPr="001950C9" w14:paraId="4F043896"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39A42261"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68C7AB51" w14:textId="32C4DA95" w:rsidR="00784C98" w:rsidRPr="001D7D76" w:rsidRDefault="00784C98" w:rsidP="00784C98">
            <w:pPr>
              <w:pStyle w:val="Default"/>
              <w:spacing w:before="12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Reimbursement of business-related expenses (such as travel to attend a business meeting) is not compensation for the purpose of related party disclosures.</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However, a benefit provided to a KMP that is personal in nature is compensation.</w:t>
            </w:r>
          </w:p>
        </w:tc>
      </w:tr>
      <w:tr w:rsidR="00784C98" w:rsidRPr="001950C9" w14:paraId="0B150F88"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C3B05B4"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0F56AC1A" w14:textId="03D5A50D" w:rsidR="00784C98" w:rsidRPr="001D7D76" w:rsidRDefault="00784C98" w:rsidP="00784C98">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Any monetary or non-monetary benefits, for instance, the provision of a car or car park, (together with any FBT) provided by ‘</w:t>
            </w:r>
            <w:r w:rsidRPr="001D7D76">
              <w:rPr>
                <w:rFonts w:asciiTheme="minorHAnsi" w:hAnsiTheme="minorHAnsi" w:cstheme="minorHAnsi"/>
                <w:color w:val="FFFFFF" w:themeColor="background1"/>
                <w:sz w:val="18"/>
                <w:szCs w:val="18"/>
              </w:rPr>
              <w:t>Burley Griffin</w:t>
            </w:r>
            <w:r w:rsidRPr="001D7D76">
              <w:rPr>
                <w:rFonts w:asciiTheme="minorHAnsi" w:hAnsiTheme="minorHAnsi" w:cstheme="minorHAnsi"/>
                <w:bCs/>
                <w:color w:val="FFFFFF" w:themeColor="background1"/>
                <w:sz w:val="18"/>
                <w:szCs w:val="18"/>
              </w:rPr>
              <w:t xml:space="preserve"> </w:t>
            </w:r>
            <w:r w:rsidRPr="001D7D76">
              <w:rPr>
                <w:rFonts w:ascii="Calibri" w:hAnsi="Calibri"/>
                <w:color w:val="FFFFFF" w:themeColor="background1"/>
                <w:sz w:val="18"/>
                <w:szCs w:val="18"/>
                <w:lang w:eastAsia="en-US"/>
              </w:rPr>
              <w:t>Agency’ to a KMP will also need to be included here.</w:t>
            </w:r>
            <w:r>
              <w:rPr>
                <w:rFonts w:ascii="Calibri" w:hAnsi="Calibri"/>
                <w:color w:val="FFFFFF" w:themeColor="background1"/>
                <w:sz w:val="18"/>
                <w:szCs w:val="18"/>
                <w:lang w:eastAsia="en-US"/>
              </w:rPr>
              <w:t xml:space="preserve"> </w:t>
            </w:r>
          </w:p>
        </w:tc>
      </w:tr>
      <w:tr w:rsidR="00784C98" w:rsidRPr="001950C9" w14:paraId="62E2D239"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66FC759C"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7E38C4CC" w14:textId="4149FF0B" w:rsidR="00784C98" w:rsidRPr="001D7D76" w:rsidRDefault="00784C98" w:rsidP="00784C98">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Compensation to KMP must be disclosed regardless of the materiality of the amount to the financial statements. Transactions with KMP and other related parties need to be disclosed only if they are material to the financial statements. The April 2017 AASB Agenda Decision </w:t>
            </w:r>
            <w:r w:rsidRPr="001D7D76">
              <w:rPr>
                <w:rFonts w:ascii="Calibri" w:hAnsi="Calibri"/>
                <w:i/>
                <w:iCs/>
                <w:color w:val="FFFFFF" w:themeColor="background1"/>
                <w:sz w:val="18"/>
                <w:szCs w:val="18"/>
                <w:lang w:eastAsia="en-US"/>
              </w:rPr>
              <w:t xml:space="preserve">Materiality of Key Management Personnel Related Party Transactions of Not-for-Profit Public Sector Entities </w:t>
            </w:r>
            <w:r w:rsidRPr="001D7D76">
              <w:rPr>
                <w:rFonts w:ascii="Calibri" w:hAnsi="Calibri"/>
                <w:color w:val="FFFFFF" w:themeColor="background1"/>
                <w:sz w:val="18"/>
                <w:szCs w:val="18"/>
                <w:lang w:eastAsia="en-US"/>
              </w:rPr>
              <w:t>provides guidance on the relevant materiality considerations.</w:t>
            </w:r>
            <w:r w:rsidRPr="001D7D76">
              <w:rPr>
                <w:rFonts w:asciiTheme="minorHAnsi" w:hAnsiTheme="minorHAnsi" w:cstheme="minorHAnsi"/>
                <w:color w:val="FFFFFF" w:themeColor="background1"/>
                <w:sz w:val="18"/>
                <w:szCs w:val="18"/>
              </w:rPr>
              <w:t xml:space="preserve"> It is not expected that agencies will have material transactions with KMP. If they do, they should make the relevant disclosures in a similar format to the table in B.3.</w:t>
            </w:r>
          </w:p>
        </w:tc>
      </w:tr>
      <w:tr w:rsidR="00784C98" w:rsidRPr="001950C9" w14:paraId="61EC61F1" w14:textId="77777777" w:rsidTr="005F6493">
        <w:tblPrEx>
          <w:shd w:val="clear" w:color="auto" w:fill="auto"/>
        </w:tblPrEx>
        <w:trPr>
          <w:gridAfter w:val="1"/>
          <w:wAfter w:w="9326" w:type="dxa"/>
          <w:cantSplit/>
          <w:trHeight w:val="23"/>
        </w:trPr>
        <w:tc>
          <w:tcPr>
            <w:tcW w:w="1562" w:type="dxa"/>
            <w:tcBorders>
              <w:left w:val="single" w:sz="4" w:space="0" w:color="auto"/>
              <w:right w:val="single" w:sz="4" w:space="0" w:color="auto"/>
            </w:tcBorders>
          </w:tcPr>
          <w:p w14:paraId="42E8C3A4" w14:textId="77777777" w:rsidR="00784C98" w:rsidRPr="001D7D76" w:rsidRDefault="00784C98" w:rsidP="00784C98">
            <w:pPr>
              <w:pStyle w:val="TableReference"/>
              <w:tabs>
                <w:tab w:val="left" w:pos="3306"/>
              </w:tabs>
              <w:spacing w:after="240"/>
              <w:rPr>
                <w:rFonts w:cs="Calibri"/>
                <w:color w:val="7030A0"/>
                <w:sz w:val="14"/>
              </w:rPr>
            </w:pPr>
          </w:p>
        </w:tc>
        <w:tc>
          <w:tcPr>
            <w:tcW w:w="9072" w:type="dxa"/>
            <w:gridSpan w:val="17"/>
            <w:tcBorders>
              <w:left w:val="single" w:sz="4" w:space="0" w:color="auto"/>
            </w:tcBorders>
            <w:shd w:val="clear" w:color="auto" w:fill="7030A0"/>
            <w:vAlign w:val="bottom"/>
          </w:tcPr>
          <w:p w14:paraId="76A6392D" w14:textId="735E1F6C" w:rsidR="00784C98" w:rsidRPr="001D7D76" w:rsidRDefault="00784C98" w:rsidP="00784C98">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Shared Services Finance will be providing reports for compensation to KMP for agencies whose payroll is managed by them.</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These agencies still also need to consider any compensation to its KMP that may have been processed through the Accounts Payable module.</w:t>
            </w:r>
          </w:p>
        </w:tc>
      </w:tr>
    </w:tbl>
    <w:p w14:paraId="052CEDF0" w14:textId="4F6624E4" w:rsidR="000A1EDA" w:rsidRDefault="000A1EDA"/>
    <w:tbl>
      <w:tblPr>
        <w:tblW w:w="10634" w:type="dxa"/>
        <w:tblInd w:w="-7" w:type="dxa"/>
        <w:tblLayout w:type="fixed"/>
        <w:tblLook w:val="00A0" w:firstRow="1" w:lastRow="0" w:firstColumn="1" w:lastColumn="0" w:noHBand="0" w:noVBand="0"/>
      </w:tblPr>
      <w:tblGrid>
        <w:gridCol w:w="1562"/>
        <w:gridCol w:w="9072"/>
      </w:tblGrid>
      <w:tr w:rsidR="001D7D76" w:rsidRPr="0009630F" w14:paraId="065795C8" w14:textId="77777777" w:rsidTr="00AF4715">
        <w:trPr>
          <w:cantSplit/>
          <w:trHeight w:val="23"/>
        </w:trPr>
        <w:tc>
          <w:tcPr>
            <w:tcW w:w="1562" w:type="dxa"/>
            <w:tcBorders>
              <w:left w:val="single" w:sz="4" w:space="0" w:color="auto"/>
              <w:right w:val="single" w:sz="4" w:space="0" w:color="auto"/>
            </w:tcBorders>
          </w:tcPr>
          <w:p w14:paraId="50B6BDF0" w14:textId="20E17AB3" w:rsidR="001D7D76" w:rsidRPr="001D7D76" w:rsidRDefault="001D7D76" w:rsidP="00AF4715">
            <w:pPr>
              <w:pStyle w:val="TableReference"/>
              <w:tabs>
                <w:tab w:val="left" w:pos="3306"/>
              </w:tabs>
              <w:spacing w:before="240" w:after="240"/>
              <w:rPr>
                <w:rFonts w:cs="Calibri"/>
                <w:b/>
                <w:strike/>
                <w:color w:val="7030A0"/>
                <w:sz w:val="22"/>
                <w:szCs w:val="22"/>
              </w:rPr>
            </w:pPr>
            <w:r w:rsidRPr="001D7D76">
              <w:rPr>
                <w:color w:val="7030A0"/>
              </w:rPr>
              <w:br w:type="page"/>
            </w:r>
            <w:r w:rsidRPr="001D7D76">
              <w:rPr>
                <w:rFonts w:cs="Calibri"/>
                <w:b/>
                <w:color w:val="7030A0"/>
                <w:sz w:val="22"/>
                <w:szCs w:val="22"/>
              </w:rPr>
              <w:t>Reference</w:t>
            </w:r>
          </w:p>
        </w:tc>
        <w:tc>
          <w:tcPr>
            <w:tcW w:w="9072" w:type="dxa"/>
            <w:tcBorders>
              <w:left w:val="single" w:sz="4" w:space="0" w:color="auto"/>
            </w:tcBorders>
            <w:shd w:val="clear" w:color="auto" w:fill="7030A0"/>
          </w:tcPr>
          <w:p w14:paraId="0DA176CF" w14:textId="359BC69E" w:rsidR="001D7D76" w:rsidRPr="001D7D76" w:rsidRDefault="001D7D76" w:rsidP="00AF4715">
            <w:pPr>
              <w:spacing w:before="240" w:after="240"/>
              <w:rPr>
                <w:b/>
                <w:strike/>
                <w:color w:val="FFFFFF" w:themeColor="background1"/>
                <w:sz w:val="28"/>
                <w:szCs w:val="28"/>
              </w:rPr>
            </w:pPr>
            <w:r w:rsidRPr="001D7D76">
              <w:rPr>
                <w:b/>
                <w:color w:val="FFFFFF" w:themeColor="background1"/>
                <w:sz w:val="28"/>
                <w:szCs w:val="28"/>
              </w:rPr>
              <w:t>Commentary – Note 38: Related Party Disclosures – Continued</w:t>
            </w:r>
          </w:p>
        </w:tc>
      </w:tr>
      <w:tr w:rsidR="000F06FC" w:rsidRPr="001950C9" w14:paraId="0F1E8958" w14:textId="77777777" w:rsidTr="00784C98">
        <w:trPr>
          <w:cantSplit/>
          <w:trHeight w:val="23"/>
        </w:trPr>
        <w:tc>
          <w:tcPr>
            <w:tcW w:w="1562" w:type="dxa"/>
            <w:tcBorders>
              <w:left w:val="single" w:sz="4" w:space="0" w:color="auto"/>
              <w:right w:val="single" w:sz="4" w:space="0" w:color="auto"/>
            </w:tcBorders>
          </w:tcPr>
          <w:p w14:paraId="284AAB3E" w14:textId="77777777" w:rsidR="000F06FC" w:rsidRPr="001D7D76" w:rsidRDefault="000F06FC" w:rsidP="000F06FC">
            <w:pPr>
              <w:pStyle w:val="TableReference"/>
              <w:tabs>
                <w:tab w:val="left" w:pos="3306"/>
              </w:tabs>
              <w:spacing w:before="60"/>
              <w:rPr>
                <w:color w:val="7030A0"/>
                <w:sz w:val="14"/>
              </w:rPr>
            </w:pPr>
          </w:p>
        </w:tc>
        <w:tc>
          <w:tcPr>
            <w:tcW w:w="9072" w:type="dxa"/>
            <w:tcBorders>
              <w:left w:val="single" w:sz="4" w:space="0" w:color="auto"/>
            </w:tcBorders>
            <w:shd w:val="clear" w:color="auto" w:fill="7030A0"/>
            <w:vAlign w:val="bottom"/>
          </w:tcPr>
          <w:p w14:paraId="5398270A" w14:textId="22333AFC" w:rsidR="000F06FC" w:rsidRPr="000A1EDA" w:rsidRDefault="000F06FC" w:rsidP="00C87FF4">
            <w:pPr>
              <w:pStyle w:val="Default"/>
              <w:spacing w:after="40"/>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w:t>
            </w:r>
          </w:p>
        </w:tc>
      </w:tr>
      <w:tr w:rsidR="00CA2B85" w:rsidRPr="001950C9" w14:paraId="3ADCF63F" w14:textId="77777777" w:rsidTr="00784C98">
        <w:trPr>
          <w:cantSplit/>
          <w:trHeight w:val="23"/>
        </w:trPr>
        <w:tc>
          <w:tcPr>
            <w:tcW w:w="1562" w:type="dxa"/>
            <w:tcBorders>
              <w:left w:val="single" w:sz="4" w:space="0" w:color="auto"/>
              <w:right w:val="single" w:sz="4" w:space="0" w:color="auto"/>
            </w:tcBorders>
          </w:tcPr>
          <w:p w14:paraId="6919BE12" w14:textId="44E46EBD" w:rsidR="000F06FC" w:rsidRPr="001D7D76" w:rsidRDefault="005E7597" w:rsidP="0009630F">
            <w:pPr>
              <w:pStyle w:val="TableReference"/>
              <w:tabs>
                <w:tab w:val="left" w:pos="3306"/>
              </w:tabs>
              <w:spacing w:before="60"/>
              <w:rPr>
                <w:color w:val="7030A0"/>
                <w:sz w:val="14"/>
              </w:rPr>
            </w:pPr>
            <w:r w:rsidRPr="001D7D76">
              <w:rPr>
                <w:color w:val="7030A0"/>
                <w:sz w:val="14"/>
              </w:rPr>
              <w:t>AASB 124.19</w:t>
            </w:r>
          </w:p>
        </w:tc>
        <w:tc>
          <w:tcPr>
            <w:tcW w:w="9072" w:type="dxa"/>
            <w:tcBorders>
              <w:left w:val="single" w:sz="4" w:space="0" w:color="auto"/>
            </w:tcBorders>
            <w:shd w:val="clear" w:color="auto" w:fill="7030A0"/>
            <w:vAlign w:val="bottom"/>
          </w:tcPr>
          <w:p w14:paraId="089D928D" w14:textId="25FAE729" w:rsidR="00CA2B85" w:rsidRPr="001D7D76" w:rsidRDefault="000F06FC"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w:t>
            </w:r>
            <w:r w:rsidR="00CA2B85" w:rsidRPr="001D7D76">
              <w:rPr>
                <w:rFonts w:ascii="Calibri" w:hAnsi="Calibri"/>
                <w:color w:val="FFFFFF" w:themeColor="background1"/>
                <w:sz w:val="18"/>
                <w:szCs w:val="18"/>
                <w:lang w:eastAsia="en-US"/>
              </w:rPr>
              <w:t xml:space="preserve">isclosures required by </w:t>
            </w:r>
            <w:r w:rsidR="0009630F" w:rsidRPr="001D7D76">
              <w:rPr>
                <w:rFonts w:ascii="Calibri" w:hAnsi="Calibri"/>
                <w:color w:val="FFFFFF" w:themeColor="background1"/>
                <w:sz w:val="18"/>
                <w:szCs w:val="18"/>
                <w:lang w:eastAsia="en-US"/>
              </w:rPr>
              <w:t xml:space="preserve">AASB 124 </w:t>
            </w:r>
            <w:r w:rsidR="00CA2B85" w:rsidRPr="001D7D76">
              <w:rPr>
                <w:rFonts w:ascii="Calibri" w:hAnsi="Calibri"/>
                <w:color w:val="FFFFFF" w:themeColor="background1"/>
                <w:sz w:val="18"/>
                <w:szCs w:val="18"/>
                <w:lang w:eastAsia="en-US"/>
              </w:rPr>
              <w:t xml:space="preserve">paragraph 18 </w:t>
            </w:r>
            <w:r w:rsidRPr="001D7D76">
              <w:rPr>
                <w:rFonts w:ascii="Calibri" w:hAnsi="Calibri"/>
                <w:color w:val="FFFFFF" w:themeColor="background1"/>
                <w:sz w:val="18"/>
                <w:szCs w:val="18"/>
                <w:lang w:eastAsia="en-US"/>
              </w:rPr>
              <w:t xml:space="preserve">regarding the nature of the related party relationship as well as information about those transactions and outstanding balances, including commitments, necessary for users to understand the potential effect of the relationship </w:t>
            </w:r>
            <w:r w:rsidR="00CA2B85" w:rsidRPr="001D7D76">
              <w:rPr>
                <w:rFonts w:ascii="Calibri" w:hAnsi="Calibri"/>
                <w:color w:val="FFFFFF" w:themeColor="background1"/>
                <w:sz w:val="18"/>
                <w:szCs w:val="18"/>
                <w:lang w:eastAsia="en-US"/>
              </w:rPr>
              <w:t xml:space="preserve">shall be made separately for each of the following categories: </w:t>
            </w:r>
          </w:p>
          <w:p w14:paraId="200BD483"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the parent; </w:t>
            </w:r>
          </w:p>
          <w:p w14:paraId="00E45C4B"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entities with joint control of, or significant influence over, the entity; </w:t>
            </w:r>
          </w:p>
          <w:p w14:paraId="53B54D4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subsidiaries; </w:t>
            </w:r>
          </w:p>
          <w:p w14:paraId="6D62D185"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associates; </w:t>
            </w:r>
          </w:p>
          <w:p w14:paraId="030CC51F"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joint ventures in which the entity is </w:t>
            </w:r>
            <w:r w:rsidR="0082581E" w:rsidRPr="001D7D76">
              <w:rPr>
                <w:rFonts w:ascii="Calibri" w:hAnsi="Calibri"/>
                <w:color w:val="FFFFFF" w:themeColor="background1"/>
                <w:sz w:val="18"/>
                <w:szCs w:val="18"/>
                <w:lang w:eastAsia="en-US"/>
              </w:rPr>
              <w:t xml:space="preserve">in </w:t>
            </w:r>
            <w:r w:rsidRPr="001D7D76">
              <w:rPr>
                <w:rFonts w:ascii="Calibri" w:hAnsi="Calibri"/>
                <w:color w:val="FFFFFF" w:themeColor="background1"/>
                <w:sz w:val="18"/>
                <w:szCs w:val="18"/>
                <w:lang w:eastAsia="en-US"/>
              </w:rPr>
              <w:t xml:space="preserve">a joint venture; </w:t>
            </w:r>
          </w:p>
          <w:p w14:paraId="1BF2D5A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(f) key management personnel of the entity or its parent; and </w:t>
            </w:r>
          </w:p>
          <w:p w14:paraId="416AD793" w14:textId="6688D274" w:rsidR="00CA2B85" w:rsidRPr="001D7D76" w:rsidRDefault="00CA2B85"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rPr>
              <w:t>(g) other related parties.</w:t>
            </w:r>
          </w:p>
        </w:tc>
      </w:tr>
      <w:tr w:rsidR="00AE1455" w:rsidRPr="001950C9" w14:paraId="38039039" w14:textId="77777777" w:rsidTr="00784C98">
        <w:trPr>
          <w:cantSplit/>
          <w:trHeight w:val="23"/>
        </w:trPr>
        <w:tc>
          <w:tcPr>
            <w:tcW w:w="1562" w:type="dxa"/>
            <w:tcBorders>
              <w:left w:val="single" w:sz="4" w:space="0" w:color="auto"/>
              <w:right w:val="single" w:sz="4" w:space="0" w:color="auto"/>
            </w:tcBorders>
          </w:tcPr>
          <w:p w14:paraId="49DFB28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124.21</w:t>
            </w:r>
          </w:p>
        </w:tc>
        <w:tc>
          <w:tcPr>
            <w:tcW w:w="9072" w:type="dxa"/>
            <w:tcBorders>
              <w:left w:val="single" w:sz="4" w:space="0" w:color="auto"/>
            </w:tcBorders>
            <w:shd w:val="clear" w:color="auto" w:fill="7030A0"/>
            <w:vAlign w:val="bottom"/>
          </w:tcPr>
          <w:p w14:paraId="25D1484D" w14:textId="7B5B915D" w:rsidR="005E7597" w:rsidRPr="001D7D76" w:rsidRDefault="005E7597"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Disclosures under each of the above categories of related parties need to be separately identified by the type of transaction</w:t>
            </w:r>
            <w:r w:rsidR="00BA2144" w:rsidRPr="001D7D76">
              <w:rPr>
                <w:rFonts w:ascii="Calibri" w:hAnsi="Calibri"/>
                <w:color w:val="FFFFFF" w:themeColor="background1"/>
                <w:sz w:val="18"/>
                <w:szCs w:val="18"/>
                <w:lang w:eastAsia="en-US"/>
              </w:rPr>
              <w:t>.</w:t>
            </w:r>
            <w:r w:rsidR="00FA7C77">
              <w:rPr>
                <w:rFonts w:ascii="Calibri" w:hAnsi="Calibri"/>
                <w:color w:val="FFFFFF" w:themeColor="background1"/>
                <w:sz w:val="18"/>
                <w:szCs w:val="18"/>
                <w:lang w:eastAsia="en-US"/>
              </w:rPr>
              <w:t xml:space="preserve"> </w:t>
            </w:r>
            <w:r w:rsidR="00BA2144" w:rsidRPr="001D7D76">
              <w:rPr>
                <w:rFonts w:ascii="Calibri" w:hAnsi="Calibri"/>
                <w:color w:val="FFFFFF" w:themeColor="background1"/>
                <w:sz w:val="18"/>
                <w:szCs w:val="18"/>
                <w:lang w:eastAsia="en-US"/>
              </w:rPr>
              <w:t>T</w:t>
            </w:r>
            <w:r w:rsidRPr="001D7D76">
              <w:rPr>
                <w:rFonts w:ascii="Calibri" w:hAnsi="Calibri"/>
                <w:color w:val="FFFFFF" w:themeColor="background1"/>
                <w:sz w:val="18"/>
                <w:szCs w:val="18"/>
                <w:lang w:eastAsia="en-US"/>
              </w:rPr>
              <w:t xml:space="preserve">he following are examples of transactions that are disclosed </w:t>
            </w:r>
            <w:r w:rsidR="00AF4882" w:rsidRPr="001D7D76">
              <w:rPr>
                <w:rFonts w:ascii="Calibri" w:hAnsi="Calibri"/>
                <w:color w:val="FFFFFF" w:themeColor="background1"/>
                <w:sz w:val="18"/>
                <w:szCs w:val="18"/>
                <w:lang w:eastAsia="en-US"/>
              </w:rPr>
              <w:t xml:space="preserve">in the financial statements </w:t>
            </w:r>
            <w:r w:rsidRPr="001D7D76">
              <w:rPr>
                <w:rFonts w:ascii="Calibri" w:hAnsi="Calibri"/>
                <w:color w:val="FFFFFF" w:themeColor="background1"/>
                <w:sz w:val="18"/>
                <w:szCs w:val="18"/>
                <w:lang w:eastAsia="en-US"/>
              </w:rPr>
              <w:t>if they are with a related party:</w:t>
            </w:r>
          </w:p>
          <w:p w14:paraId="68CF8896"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(a) purchases or sales of goods (finished or unfinished);</w:t>
            </w:r>
          </w:p>
          <w:p w14:paraId="7CB7E1C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(b) purchases or sales of property and other assets;</w:t>
            </w:r>
          </w:p>
          <w:p w14:paraId="355E19E4"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(c) rendering or receiving of services; </w:t>
            </w:r>
          </w:p>
          <w:p w14:paraId="7613FE17"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(d) leases;</w:t>
            </w:r>
          </w:p>
          <w:p w14:paraId="7807B662"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(e) transfers of research and development;</w:t>
            </w:r>
          </w:p>
          <w:p w14:paraId="5AECBB85"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(f) transfers under licence agreements;</w:t>
            </w:r>
          </w:p>
          <w:p w14:paraId="46E2C923"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(g) transfers under finance arrangements (including loans and equity contributions in cash or in kind);</w:t>
            </w:r>
          </w:p>
          <w:p w14:paraId="054B2C2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(h) provision of guarantees or collateral;</w:t>
            </w:r>
          </w:p>
          <w:p w14:paraId="2FEA290A"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(i) commitments to do something if a particular event occurs or does not occur in the future, including executory contracts (recognised and unrecognised); and</w:t>
            </w:r>
          </w:p>
          <w:p w14:paraId="00CF9E96" w14:textId="5195AB0A" w:rsidR="00AE1455" w:rsidRPr="001D7D76" w:rsidRDefault="005E7597" w:rsidP="000A1EDA">
            <w:pPr>
              <w:autoSpaceDE w:val="0"/>
              <w:autoSpaceDN w:val="0"/>
              <w:adjustRightInd w:val="0"/>
              <w:spacing w:after="120"/>
              <w:ind w:left="310" w:hanging="284"/>
              <w:jc w:val="both"/>
              <w:rPr>
                <w:color w:val="FFFFFF" w:themeColor="background1"/>
                <w:sz w:val="18"/>
                <w:szCs w:val="18"/>
              </w:rPr>
            </w:pPr>
            <w:r w:rsidRPr="001D7D76">
              <w:rPr>
                <w:color w:val="FFFFFF" w:themeColor="background1"/>
                <w:sz w:val="18"/>
                <w:szCs w:val="18"/>
              </w:rPr>
              <w:t>(j) settlement of liabilities on behalf of the entity or by the entity on behalf of that related party.</w:t>
            </w:r>
          </w:p>
        </w:tc>
      </w:tr>
      <w:tr w:rsidR="00CE7A35" w:rsidRPr="001950C9" w14:paraId="524E0825" w14:textId="77777777" w:rsidTr="00784C98">
        <w:trPr>
          <w:cantSplit/>
          <w:trHeight w:val="23"/>
        </w:trPr>
        <w:tc>
          <w:tcPr>
            <w:tcW w:w="1562" w:type="dxa"/>
            <w:tcBorders>
              <w:left w:val="single" w:sz="4" w:space="0" w:color="auto"/>
              <w:right w:val="single" w:sz="4" w:space="0" w:color="auto"/>
            </w:tcBorders>
          </w:tcPr>
          <w:p w14:paraId="731EC206" w14:textId="77777777" w:rsidR="00CE7A35" w:rsidRPr="001D7D76" w:rsidRDefault="00CE7A35" w:rsidP="00CE7A35">
            <w:pPr>
              <w:pStyle w:val="TableReference"/>
              <w:tabs>
                <w:tab w:val="left" w:pos="3306"/>
              </w:tabs>
              <w:rPr>
                <w:color w:val="7030A0"/>
                <w:sz w:val="14"/>
              </w:rPr>
            </w:pPr>
          </w:p>
        </w:tc>
        <w:tc>
          <w:tcPr>
            <w:tcW w:w="9072" w:type="dxa"/>
            <w:tcBorders>
              <w:left w:val="single" w:sz="4" w:space="0" w:color="auto"/>
            </w:tcBorders>
            <w:shd w:val="clear" w:color="auto" w:fill="7030A0"/>
            <w:vAlign w:val="bottom"/>
          </w:tcPr>
          <w:p w14:paraId="7E0649E6" w14:textId="16E8ED5A"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Agencies need to exercise judgement in assessing what information warrants disclosure.</w:t>
            </w:r>
            <w:r w:rsidR="00FA7C77">
              <w:rPr>
                <w:rFonts w:ascii="Calibri" w:hAnsi="Calibri"/>
                <w:color w:val="FFFFFF" w:themeColor="background1"/>
                <w:sz w:val="18"/>
                <w:szCs w:val="18"/>
                <w:lang w:eastAsia="en-US"/>
              </w:rPr>
              <w:t xml:space="preserve"> </w:t>
            </w:r>
          </w:p>
        </w:tc>
      </w:tr>
      <w:tr w:rsidR="00CE7A35" w:rsidRPr="001950C9" w14:paraId="4DD2B63C" w14:textId="77777777" w:rsidTr="00784C98">
        <w:trPr>
          <w:cantSplit/>
          <w:trHeight w:val="23"/>
        </w:trPr>
        <w:tc>
          <w:tcPr>
            <w:tcW w:w="1562" w:type="dxa"/>
            <w:tcBorders>
              <w:left w:val="single" w:sz="4" w:space="0" w:color="auto"/>
              <w:right w:val="single" w:sz="4" w:space="0" w:color="auto"/>
            </w:tcBorders>
          </w:tcPr>
          <w:p w14:paraId="3D99FCAE" w14:textId="77777777" w:rsidR="00CE7A35" w:rsidRPr="001D7D76" w:rsidRDefault="00CE7A35" w:rsidP="00CE7A35">
            <w:pPr>
              <w:pStyle w:val="TableReference"/>
              <w:tabs>
                <w:tab w:val="left" w:pos="3306"/>
              </w:tabs>
              <w:rPr>
                <w:color w:val="7030A0"/>
                <w:sz w:val="14"/>
              </w:rPr>
            </w:pPr>
          </w:p>
        </w:tc>
        <w:tc>
          <w:tcPr>
            <w:tcW w:w="9072" w:type="dxa"/>
            <w:tcBorders>
              <w:left w:val="single" w:sz="4" w:space="0" w:color="auto"/>
            </w:tcBorders>
            <w:shd w:val="clear" w:color="auto" w:fill="7030A0"/>
            <w:vAlign w:val="bottom"/>
          </w:tcPr>
          <w:p w14:paraId="577F6857" w14:textId="0274A37C"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Items of a similar nature can be aggregated, except where separate disclosure is necessary for understanding the effects of related party transactions on the entity’s financial statements.</w:t>
            </w:r>
          </w:p>
        </w:tc>
      </w:tr>
      <w:tr w:rsidR="00AE1455" w:rsidRPr="001950C9" w14:paraId="3493C25C" w14:textId="77777777" w:rsidTr="00784C98">
        <w:trPr>
          <w:cantSplit/>
          <w:trHeight w:val="23"/>
        </w:trPr>
        <w:tc>
          <w:tcPr>
            <w:tcW w:w="1562" w:type="dxa"/>
            <w:tcBorders>
              <w:left w:val="single" w:sz="4" w:space="0" w:color="auto"/>
              <w:right w:val="single" w:sz="4" w:space="0" w:color="auto"/>
            </w:tcBorders>
          </w:tcPr>
          <w:p w14:paraId="7BC0A93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124.27</w:t>
            </w:r>
          </w:p>
        </w:tc>
        <w:tc>
          <w:tcPr>
            <w:tcW w:w="9072" w:type="dxa"/>
            <w:tcBorders>
              <w:left w:val="single" w:sz="4" w:space="0" w:color="auto"/>
            </w:tcBorders>
            <w:shd w:val="clear" w:color="auto" w:fill="7030A0"/>
            <w:vAlign w:val="bottom"/>
          </w:tcPr>
          <w:p w14:paraId="29292F86" w14:textId="0D57752A" w:rsidR="005E7597" w:rsidRPr="001D7D76" w:rsidRDefault="00BA2144"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w:t>
            </w:r>
            <w:r w:rsidR="005E7597" w:rsidRPr="001D7D76">
              <w:rPr>
                <w:rFonts w:ascii="Calibri" w:hAnsi="Calibri"/>
                <w:color w:val="FFFFFF" w:themeColor="background1"/>
                <w:sz w:val="18"/>
                <w:szCs w:val="18"/>
                <w:lang w:eastAsia="en-US"/>
              </w:rPr>
              <w:t xml:space="preserve">n using judgement to determine the level of detail to be disclosed in accordance with the requirements in </w:t>
            </w:r>
            <w:r w:rsidR="0009630F" w:rsidRPr="001D7D76">
              <w:rPr>
                <w:rFonts w:ascii="Calibri" w:hAnsi="Calibri"/>
                <w:color w:val="FFFFFF" w:themeColor="background1"/>
                <w:sz w:val="18"/>
                <w:szCs w:val="18"/>
                <w:lang w:eastAsia="en-US"/>
              </w:rPr>
              <w:t xml:space="preserve">AASB 124 </w:t>
            </w:r>
            <w:r w:rsidR="005E7597" w:rsidRPr="001D7D76">
              <w:rPr>
                <w:rFonts w:ascii="Calibri" w:hAnsi="Calibri"/>
                <w:color w:val="FFFFFF" w:themeColor="background1"/>
                <w:sz w:val="18"/>
                <w:szCs w:val="18"/>
                <w:lang w:eastAsia="en-US"/>
              </w:rPr>
              <w:t xml:space="preserve">paragraph 26(b), the reporting entity </w:t>
            </w:r>
            <w:r w:rsidR="00AF4882" w:rsidRPr="001D7D76">
              <w:rPr>
                <w:rFonts w:ascii="Calibri" w:hAnsi="Calibri"/>
                <w:color w:val="FFFFFF" w:themeColor="background1"/>
                <w:sz w:val="18"/>
                <w:szCs w:val="18"/>
                <w:lang w:eastAsia="en-US"/>
              </w:rPr>
              <w:t>must</w:t>
            </w:r>
            <w:r w:rsidR="005E7597" w:rsidRPr="001D7D76">
              <w:rPr>
                <w:rFonts w:ascii="Calibri" w:hAnsi="Calibri"/>
                <w:color w:val="FFFFFF" w:themeColor="background1"/>
                <w:sz w:val="18"/>
                <w:szCs w:val="18"/>
                <w:lang w:eastAsia="en-US"/>
              </w:rPr>
              <w:t xml:space="preserve"> consider the closeness of the related party relationship and other factors relevant in establishing the level of significance of the transaction such as whether it is: </w:t>
            </w:r>
          </w:p>
          <w:p w14:paraId="2C110185"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significant in terms of size; </w:t>
            </w:r>
          </w:p>
          <w:p w14:paraId="23741CFE"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carried out on non-market terms; </w:t>
            </w:r>
          </w:p>
          <w:p w14:paraId="3888EF4D"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outside normal day-to-day business operations, such as the purchase and sale of businesses; </w:t>
            </w:r>
          </w:p>
          <w:p w14:paraId="78512B32"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disclosed to regulatory or supervisory authorities; </w:t>
            </w:r>
          </w:p>
          <w:p w14:paraId="5CF30F47"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reported to senior management; </w:t>
            </w:r>
            <w:r w:rsidR="00AF4882" w:rsidRPr="001D7D76">
              <w:rPr>
                <w:rFonts w:ascii="Calibri" w:hAnsi="Calibri"/>
                <w:color w:val="FFFFFF" w:themeColor="background1"/>
                <w:sz w:val="18"/>
                <w:szCs w:val="18"/>
                <w:lang w:eastAsia="en-US"/>
              </w:rPr>
              <w:t>and</w:t>
            </w:r>
          </w:p>
          <w:p w14:paraId="10D41E1C" w14:textId="146F6E11" w:rsidR="00AE1455" w:rsidRPr="001D7D76" w:rsidRDefault="005E7597"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 subject to shareholder approval (in this context Ministerial approval).</w:t>
            </w:r>
          </w:p>
        </w:tc>
      </w:tr>
      <w:tr w:rsidR="00CE7A35" w:rsidRPr="001950C9" w14:paraId="275C1502" w14:textId="77777777" w:rsidTr="00784C98">
        <w:trPr>
          <w:cantSplit/>
          <w:trHeight w:val="23"/>
        </w:trPr>
        <w:tc>
          <w:tcPr>
            <w:tcW w:w="1562" w:type="dxa"/>
            <w:tcBorders>
              <w:left w:val="single" w:sz="4" w:space="0" w:color="auto"/>
              <w:right w:val="single" w:sz="4" w:space="0" w:color="auto"/>
            </w:tcBorders>
          </w:tcPr>
          <w:p w14:paraId="2A8264CC" w14:textId="77777777" w:rsidR="00CE7A35" w:rsidRPr="001D7D76" w:rsidRDefault="00CE7A35" w:rsidP="005E7597">
            <w:pPr>
              <w:pStyle w:val="TableReference"/>
              <w:tabs>
                <w:tab w:val="left" w:pos="3306"/>
              </w:tabs>
              <w:spacing w:after="240"/>
              <w:rPr>
                <w:color w:val="7030A0"/>
                <w:sz w:val="14"/>
              </w:rPr>
            </w:pPr>
          </w:p>
        </w:tc>
        <w:tc>
          <w:tcPr>
            <w:tcW w:w="9072" w:type="dxa"/>
            <w:tcBorders>
              <w:left w:val="single" w:sz="4" w:space="0" w:color="auto"/>
            </w:tcBorders>
            <w:shd w:val="clear" w:color="auto" w:fill="7030A0"/>
            <w:vAlign w:val="bottom"/>
          </w:tcPr>
          <w:p w14:paraId="6761A0A0" w14:textId="1CF9AC84"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Transactions conducted on normal terms and conditions with KMP and other related parties may or may not be material for inclusion in the </w:t>
            </w:r>
            <w:r w:rsidRPr="001D7D76">
              <w:rPr>
                <w:rFonts w:ascii="Calibri" w:hAnsi="Calibri"/>
                <w:noProof/>
                <w:color w:val="FFFFFF" w:themeColor="background1"/>
                <w:sz w:val="18"/>
                <w:szCs w:val="18"/>
              </w:rPr>
              <w:t>note.</w:t>
            </w:r>
            <w:r w:rsidR="00FA7C77">
              <w:rPr>
                <w:rFonts w:ascii="Calibri" w:hAnsi="Calibri"/>
                <w:noProof/>
                <w:color w:val="FFFFFF" w:themeColor="background1"/>
                <w:sz w:val="18"/>
                <w:szCs w:val="18"/>
              </w:rPr>
              <w:t xml:space="preserve"> </w:t>
            </w:r>
            <w:r w:rsidRPr="001D7D76">
              <w:rPr>
                <w:rFonts w:ascii="Calibri" w:hAnsi="Calibri"/>
                <w:noProof/>
                <w:color w:val="FFFFFF" w:themeColor="background1"/>
                <w:sz w:val="18"/>
                <w:szCs w:val="18"/>
              </w:rPr>
              <w:t>However, if the terms and conditions of the transaction are different to those applying to the general public, the transaction is more likely to be included in the note regardless of the underlying transaction amount.</w:t>
            </w:r>
          </w:p>
        </w:tc>
      </w:tr>
      <w:tr w:rsidR="00CE7A35" w:rsidRPr="001950C9" w14:paraId="54FF0F2E" w14:textId="77777777" w:rsidTr="00784C98">
        <w:trPr>
          <w:cantSplit/>
          <w:trHeight w:val="23"/>
        </w:trPr>
        <w:tc>
          <w:tcPr>
            <w:tcW w:w="1562" w:type="dxa"/>
            <w:tcBorders>
              <w:left w:val="single" w:sz="4" w:space="0" w:color="auto"/>
              <w:right w:val="single" w:sz="4" w:space="0" w:color="auto"/>
            </w:tcBorders>
            <w:vAlign w:val="bottom"/>
          </w:tcPr>
          <w:p w14:paraId="6830EE42" w14:textId="77777777" w:rsidR="00CE7A35" w:rsidRPr="001D7D76" w:rsidRDefault="00CE7A35" w:rsidP="0082581E">
            <w:pPr>
              <w:pStyle w:val="TableReference"/>
              <w:tabs>
                <w:tab w:val="left" w:pos="3306"/>
              </w:tabs>
              <w:spacing w:after="240"/>
              <w:rPr>
                <w:rFonts w:cs="Calibri"/>
                <w:color w:val="7030A0"/>
                <w:sz w:val="16"/>
                <w:szCs w:val="16"/>
              </w:rPr>
            </w:pPr>
          </w:p>
        </w:tc>
        <w:tc>
          <w:tcPr>
            <w:tcW w:w="9072" w:type="dxa"/>
            <w:tcBorders>
              <w:left w:val="single" w:sz="4" w:space="0" w:color="auto"/>
            </w:tcBorders>
            <w:shd w:val="clear" w:color="auto" w:fill="7030A0"/>
            <w:vAlign w:val="bottom"/>
          </w:tcPr>
          <w:p w14:paraId="383143B4" w14:textId="32BF76A6" w:rsidR="00CE7A35" w:rsidRPr="001D7D76" w:rsidRDefault="00CE7A35" w:rsidP="00BC2389">
            <w:pPr>
              <w:pStyle w:val="Default"/>
              <w:spacing w:after="120"/>
              <w:jc w:val="both"/>
              <w:rPr>
                <w:rFonts w:ascii="Calibri" w:hAnsi="Calibri"/>
                <w:b/>
                <w:color w:val="FFFFFF" w:themeColor="background1"/>
                <w:sz w:val="18"/>
                <w:szCs w:val="18"/>
                <w:lang w:eastAsia="en-US"/>
              </w:rPr>
            </w:pPr>
            <w:r w:rsidRPr="001D7D76">
              <w:rPr>
                <w:rFonts w:ascii="Calibri" w:hAnsi="Calibri"/>
                <w:color w:val="FFFFFF" w:themeColor="background1"/>
                <w:sz w:val="18"/>
                <w:szCs w:val="18"/>
                <w:lang w:eastAsia="en-US"/>
              </w:rPr>
              <w:t xml:space="preserve">Names of close family members and entities controlled (or jointly controlled) by the KMP or the KMP’s close family members </w:t>
            </w:r>
            <w:r w:rsidRPr="001D7D76">
              <w:rPr>
                <w:rFonts w:ascii="Calibri" w:hAnsi="Calibri"/>
                <w:color w:val="FFFFFF" w:themeColor="background1"/>
                <w:sz w:val="18"/>
                <w:szCs w:val="18"/>
                <w:u w:val="single"/>
                <w:lang w:eastAsia="en-US"/>
              </w:rPr>
              <w:t>are not to be disclosed</w:t>
            </w:r>
            <w:r w:rsidRPr="001D7D76">
              <w:rPr>
                <w:rFonts w:ascii="Calibri" w:hAnsi="Calibri"/>
                <w:color w:val="FFFFFF" w:themeColor="background1"/>
                <w:sz w:val="18"/>
                <w:szCs w:val="18"/>
                <w:lang w:eastAsia="en-US"/>
              </w:rPr>
              <w:t xml:space="preserve"> in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Where, the information in the draft disclosure enables the KMP or their close family member(s) to be identified, the KMP and the affected family member must be given the opportunity to review the disclosure prepared for the financial statements and given the opportunity to request that the disclosure be corrected, amended or withdrawn. </w:t>
            </w:r>
          </w:p>
        </w:tc>
      </w:tr>
    </w:tbl>
    <w:p w14:paraId="75ED6853"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3968"/>
        <w:gridCol w:w="137"/>
        <w:gridCol w:w="1136"/>
        <w:gridCol w:w="144"/>
        <w:gridCol w:w="708"/>
        <w:gridCol w:w="566"/>
        <w:gridCol w:w="144"/>
        <w:gridCol w:w="140"/>
        <w:gridCol w:w="996"/>
        <w:gridCol w:w="138"/>
        <w:gridCol w:w="143"/>
        <w:gridCol w:w="711"/>
      </w:tblGrid>
      <w:tr w:rsidR="001D7D76" w:rsidRPr="001950C9" w14:paraId="517137BD" w14:textId="77777777" w:rsidTr="00AF4715">
        <w:trPr>
          <w:cantSplit/>
          <w:trHeight w:val="23"/>
        </w:trPr>
        <w:tc>
          <w:tcPr>
            <w:tcW w:w="1561" w:type="dxa"/>
            <w:tcBorders>
              <w:left w:val="single" w:sz="4" w:space="0" w:color="auto"/>
              <w:right w:val="single" w:sz="4" w:space="0" w:color="auto"/>
            </w:tcBorders>
          </w:tcPr>
          <w:p w14:paraId="681EC117" w14:textId="32CCCD51" w:rsidR="001D7D76" w:rsidRPr="001D7D76" w:rsidRDefault="001D7D76" w:rsidP="00AF4715">
            <w:pPr>
              <w:pStyle w:val="TableReference"/>
              <w:tabs>
                <w:tab w:val="left" w:pos="3306"/>
              </w:tabs>
              <w:spacing w:before="240" w:after="240"/>
              <w:rPr>
                <w:rFonts w:cs="Calibri"/>
                <w:color w:val="7030A0"/>
                <w:sz w:val="16"/>
                <w:szCs w:val="16"/>
              </w:rPr>
            </w:pPr>
            <w:r w:rsidRPr="001D7D76">
              <w:rPr>
                <w:color w:val="7030A0"/>
              </w:rPr>
              <w:br w:type="page"/>
            </w:r>
            <w:r w:rsidRPr="001D7D76">
              <w:rPr>
                <w:rFonts w:cs="Calibri"/>
                <w:b/>
                <w:color w:val="7030A0"/>
                <w:sz w:val="22"/>
                <w:szCs w:val="22"/>
              </w:rPr>
              <w:t>Reference</w:t>
            </w:r>
          </w:p>
        </w:tc>
        <w:tc>
          <w:tcPr>
            <w:tcW w:w="8931" w:type="dxa"/>
            <w:gridSpan w:val="12"/>
            <w:tcBorders>
              <w:left w:val="single" w:sz="4" w:space="0" w:color="auto"/>
            </w:tcBorders>
            <w:shd w:val="clear" w:color="auto" w:fill="7030A0"/>
          </w:tcPr>
          <w:p w14:paraId="7EE27A0D" w14:textId="03BF29FC" w:rsidR="001D7D76" w:rsidRPr="001D7D76" w:rsidRDefault="001D7D76" w:rsidP="00AF4715">
            <w:pPr>
              <w:pStyle w:val="Default"/>
              <w:spacing w:before="240" w:after="240"/>
              <w:rPr>
                <w:rFonts w:ascii="Calibri" w:hAnsi="Calibri"/>
                <w:color w:val="FFFFFF" w:themeColor="background1"/>
                <w:sz w:val="18"/>
                <w:szCs w:val="18"/>
                <w:lang w:eastAsia="en-US"/>
              </w:rPr>
            </w:pPr>
            <w:r w:rsidRPr="001D7D76">
              <w:rPr>
                <w:rFonts w:ascii="Calibri" w:hAnsi="Calibri"/>
                <w:b/>
                <w:color w:val="FFFFFF" w:themeColor="background1"/>
                <w:sz w:val="28"/>
                <w:szCs w:val="28"/>
                <w:lang w:eastAsia="en-US"/>
              </w:rPr>
              <w:t>Commentary – Note 38: Related Party Disclosures – Continued</w:t>
            </w:r>
          </w:p>
        </w:tc>
      </w:tr>
      <w:tr w:rsidR="000A1EDA" w:rsidRPr="001950C9" w14:paraId="1B7B0A59" w14:textId="77777777" w:rsidTr="00C87FF4">
        <w:trPr>
          <w:cantSplit/>
          <w:trHeight w:val="394"/>
        </w:trPr>
        <w:tc>
          <w:tcPr>
            <w:tcW w:w="1561" w:type="dxa"/>
            <w:tcBorders>
              <w:left w:val="single" w:sz="4" w:space="0" w:color="auto"/>
              <w:right w:val="single" w:sz="4" w:space="0" w:color="auto"/>
            </w:tcBorders>
            <w:vAlign w:val="center"/>
          </w:tcPr>
          <w:p w14:paraId="7E7D2DB0" w14:textId="77777777" w:rsidR="000A1EDA" w:rsidRPr="001D7D76" w:rsidRDefault="000A1EDA" w:rsidP="00C87FF4">
            <w:pPr>
              <w:pStyle w:val="TableReference"/>
              <w:tabs>
                <w:tab w:val="left" w:pos="3306"/>
              </w:tabs>
              <w:rPr>
                <w:rFonts w:cs="Calibri"/>
                <w:color w:val="7030A0"/>
                <w:sz w:val="16"/>
                <w:szCs w:val="16"/>
              </w:rPr>
            </w:pPr>
            <w:r w:rsidRPr="001D7D76">
              <w:rPr>
                <w:color w:val="7030A0"/>
              </w:rPr>
              <w:br w:type="page"/>
            </w:r>
          </w:p>
        </w:tc>
        <w:tc>
          <w:tcPr>
            <w:tcW w:w="8931" w:type="dxa"/>
            <w:gridSpan w:val="12"/>
            <w:tcBorders>
              <w:left w:val="single" w:sz="4" w:space="0" w:color="auto"/>
            </w:tcBorders>
            <w:shd w:val="clear" w:color="auto" w:fill="7030A0"/>
            <w:vAlign w:val="center"/>
          </w:tcPr>
          <w:p w14:paraId="234EA775" w14:textId="77777777" w:rsidR="000A1EDA" w:rsidRPr="000A1EDA" w:rsidRDefault="000A1EDA" w:rsidP="00C87FF4">
            <w:pPr>
              <w:pStyle w:val="Default"/>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 – Continued</w:t>
            </w:r>
          </w:p>
        </w:tc>
      </w:tr>
      <w:tr w:rsidR="001D7D76" w:rsidRPr="001950C9" w14:paraId="53CE7718" w14:textId="77777777" w:rsidTr="0004564D">
        <w:trPr>
          <w:cantSplit/>
          <w:trHeight w:val="23"/>
        </w:trPr>
        <w:tc>
          <w:tcPr>
            <w:tcW w:w="1561" w:type="dxa"/>
            <w:tcBorders>
              <w:left w:val="single" w:sz="4" w:space="0" w:color="auto"/>
              <w:right w:val="single" w:sz="4" w:space="0" w:color="auto"/>
            </w:tcBorders>
          </w:tcPr>
          <w:p w14:paraId="77BB46C7"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2"/>
            <w:tcBorders>
              <w:left w:val="single" w:sz="4" w:space="0" w:color="auto"/>
            </w:tcBorders>
            <w:shd w:val="clear" w:color="auto" w:fill="7030A0"/>
            <w:vAlign w:val="bottom"/>
          </w:tcPr>
          <w:p w14:paraId="66DB1741" w14:textId="4D20ED32" w:rsidR="001D7D76" w:rsidRPr="001D7D76" w:rsidRDefault="001D7D76" w:rsidP="00C87FF4">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Not all information collected from KMP needs to be disclosed in the financial statements. Disclosure is not required where the transactions are not material to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 xml:space="preserve"> As a guide, the disclosure of transactions with other related parties in the Example Note is based on the following information:</w:t>
            </w:r>
          </w:p>
          <w:p w14:paraId="7E1804BB" w14:textId="1D7F21B8" w:rsidR="001D7D76" w:rsidRPr="001D7D76" w:rsidRDefault="001D7D76" w:rsidP="00CB31DE">
            <w:pPr>
              <w:pStyle w:val="Default"/>
              <w:numPr>
                <w:ilvl w:val="0"/>
                <w:numId w:val="44"/>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Equipment purchased - $</w:t>
            </w:r>
            <w:r w:rsidR="00436BDE">
              <w:rPr>
                <w:rFonts w:ascii="Calibri" w:hAnsi="Calibri"/>
                <w:color w:val="FFFFFF" w:themeColor="background1"/>
                <w:sz w:val="18"/>
                <w:szCs w:val="18"/>
                <w:lang w:eastAsia="en-US"/>
              </w:rPr>
              <w:t>xx</w:t>
            </w:r>
            <w:r w:rsidRPr="001D7D76">
              <w:rPr>
                <w:rFonts w:ascii="Calibri" w:hAnsi="Calibri"/>
                <w:color w:val="FFFFFF" w:themeColor="background1"/>
                <w:sz w:val="18"/>
                <w:szCs w:val="18"/>
                <w:lang w:eastAsia="en-US"/>
              </w:rPr>
              <w:t xml:space="preserve">x </w:t>
            </w:r>
          </w:p>
          <w:p w14:paraId="66974211" w14:textId="484A7B6C" w:rsidR="001D7D76" w:rsidRPr="001D7D76" w:rsidRDefault="001D7D76" w:rsidP="000A1EDA">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Separate disclosure of the individual transaction is made where it is significantly material to the financial statements or is unusual by nature.</w:t>
            </w:r>
          </w:p>
        </w:tc>
      </w:tr>
      <w:tr w:rsidR="001D7D76" w:rsidRPr="001950C9" w14:paraId="6CC554B7" w14:textId="77777777" w:rsidTr="0004564D">
        <w:trPr>
          <w:cantSplit/>
          <w:trHeight w:val="23"/>
        </w:trPr>
        <w:tc>
          <w:tcPr>
            <w:tcW w:w="1561" w:type="dxa"/>
            <w:tcBorders>
              <w:left w:val="single" w:sz="4" w:space="0" w:color="auto"/>
              <w:right w:val="single" w:sz="4" w:space="0" w:color="auto"/>
            </w:tcBorders>
          </w:tcPr>
          <w:p w14:paraId="4516C066"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2"/>
            <w:tcBorders>
              <w:left w:val="single" w:sz="4" w:space="0" w:color="auto"/>
            </w:tcBorders>
            <w:shd w:val="clear" w:color="auto" w:fill="7030A0"/>
            <w:vAlign w:val="bottom"/>
          </w:tcPr>
          <w:p w14:paraId="3557D40D" w14:textId="77777777" w:rsidR="001D7D76" w:rsidRPr="001D7D76" w:rsidRDefault="001D7D76" w:rsidP="00CB31DE">
            <w:pPr>
              <w:pStyle w:val="Default"/>
              <w:numPr>
                <w:ilvl w:val="0"/>
                <w:numId w:val="44"/>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Services received - $xxx </w:t>
            </w:r>
          </w:p>
          <w:p w14:paraId="7CAAFB44" w14:textId="77777777" w:rsidR="001D7D76" w:rsidRDefault="001D7D76" w:rsidP="000A1EDA">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Represents the aggregate value of a number of transactions that are individually material for the reporting entity but may not be sufficiently material (as in the previous example) or unusual in nature to require separate disclosure.</w:t>
            </w:r>
          </w:p>
          <w:p w14:paraId="14DFE79E" w14:textId="2980C8B9" w:rsidR="00294E29" w:rsidRPr="000A1EDA" w:rsidRDefault="00294E29" w:rsidP="00C87FF4">
            <w:pPr>
              <w:pStyle w:val="Default"/>
              <w:spacing w:after="40"/>
              <w:rPr>
                <w:rFonts w:ascii="Calibri" w:hAnsi="Calibri"/>
                <w:b/>
                <w:bCs/>
                <w:color w:val="FFFFFF" w:themeColor="background1"/>
                <w:sz w:val="20"/>
                <w:szCs w:val="20"/>
                <w:lang w:eastAsia="en-US"/>
              </w:rPr>
            </w:pPr>
            <w:r w:rsidRPr="000A1EDA">
              <w:rPr>
                <w:rFonts w:ascii="Calibri" w:hAnsi="Calibri"/>
                <w:b/>
                <w:bCs/>
                <w:color w:val="FFFFFF" w:themeColor="background1"/>
                <w:sz w:val="20"/>
                <w:szCs w:val="20"/>
                <w:lang w:eastAsia="en-US"/>
              </w:rPr>
              <w:t>Territory Authority Commentary</w:t>
            </w:r>
          </w:p>
        </w:tc>
      </w:tr>
      <w:tr w:rsidR="001D7D76" w:rsidRPr="001950C9" w14:paraId="1AF1C557" w14:textId="77777777" w:rsidTr="0004564D">
        <w:trPr>
          <w:cantSplit/>
          <w:trHeight w:val="23"/>
        </w:trPr>
        <w:tc>
          <w:tcPr>
            <w:tcW w:w="1561" w:type="dxa"/>
            <w:tcBorders>
              <w:left w:val="single" w:sz="4" w:space="0" w:color="auto"/>
              <w:right w:val="single" w:sz="4" w:space="0" w:color="auto"/>
            </w:tcBorders>
            <w:vAlign w:val="bottom"/>
          </w:tcPr>
          <w:p w14:paraId="3DE5CBCB"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2"/>
            <w:tcBorders>
              <w:left w:val="single" w:sz="4" w:space="0" w:color="auto"/>
            </w:tcBorders>
            <w:shd w:val="clear" w:color="auto" w:fill="7030A0"/>
            <w:vAlign w:val="bottom"/>
          </w:tcPr>
          <w:p w14:paraId="33C80197" w14:textId="287EF796" w:rsidR="001D7D76" w:rsidRPr="00294E29" w:rsidRDefault="00294E29" w:rsidP="00687D08">
            <w:pPr>
              <w:pStyle w:val="Default"/>
              <w:spacing w:after="120"/>
              <w:jc w:val="both"/>
              <w:rPr>
                <w:rFonts w:asciiTheme="minorHAnsi" w:hAnsiTheme="minorHAnsi" w:cstheme="minorHAnsi"/>
                <w:b/>
                <w:color w:val="FFFFFF" w:themeColor="background1"/>
                <w:sz w:val="18"/>
                <w:szCs w:val="18"/>
                <w:lang w:eastAsia="en-US"/>
              </w:rPr>
            </w:pPr>
            <w:r w:rsidRPr="00294E29">
              <w:rPr>
                <w:rFonts w:asciiTheme="minorHAnsi" w:hAnsiTheme="minorHAnsi" w:cstheme="minorHAnsi"/>
                <w:color w:val="FFFFFF" w:themeColor="background1"/>
                <w:sz w:val="18"/>
                <w:szCs w:val="18"/>
              </w:rPr>
              <w:t>Territory authorities need to consider their enacting legislation and specific circumstances in assessing whether the relevant Portfolio Minister is a KMP.</w:t>
            </w:r>
            <w:r w:rsidR="00FA7C77">
              <w:rPr>
                <w:rFonts w:asciiTheme="minorHAnsi" w:hAnsiTheme="minorHAnsi" w:cstheme="minorHAnsi"/>
                <w:color w:val="FFFFFF" w:themeColor="background1"/>
                <w:sz w:val="18"/>
                <w:szCs w:val="18"/>
              </w:rPr>
              <w:t xml:space="preserve"> </w:t>
            </w:r>
            <w:r w:rsidRPr="00294E29">
              <w:rPr>
                <w:rFonts w:asciiTheme="minorHAnsi" w:hAnsiTheme="minorHAnsi" w:cstheme="minorHAnsi"/>
                <w:color w:val="FFFFFF" w:themeColor="background1"/>
                <w:sz w:val="18"/>
                <w:szCs w:val="18"/>
              </w:rPr>
              <w:t>Considerations may include the existence of a governing board responsible for the management of the territory authority.</w:t>
            </w:r>
          </w:p>
        </w:tc>
      </w:tr>
      <w:tr w:rsidR="00976DE1" w:rsidRPr="001950C9" w14:paraId="03648F8C" w14:textId="77777777" w:rsidTr="0004564D">
        <w:trPr>
          <w:cantSplit/>
          <w:trHeight w:val="23"/>
        </w:trPr>
        <w:tc>
          <w:tcPr>
            <w:tcW w:w="1561" w:type="dxa"/>
            <w:tcBorders>
              <w:left w:val="single" w:sz="4" w:space="0" w:color="auto"/>
              <w:right w:val="single" w:sz="4" w:space="0" w:color="auto"/>
            </w:tcBorders>
            <w:vAlign w:val="bottom"/>
          </w:tcPr>
          <w:p w14:paraId="30AB4223" w14:textId="219749DD" w:rsidR="00976DE1" w:rsidRPr="00FA0C47" w:rsidRDefault="00976DE1" w:rsidP="005B1145">
            <w:pPr>
              <w:pStyle w:val="TableReference"/>
              <w:tabs>
                <w:tab w:val="left" w:pos="3306"/>
              </w:tabs>
              <w:spacing w:before="240" w:after="240"/>
              <w:rPr>
                <w:rFonts w:cs="Calibri"/>
                <w:b/>
                <w:color w:val="7030A0"/>
                <w:sz w:val="22"/>
                <w:szCs w:val="22"/>
              </w:rPr>
            </w:pPr>
          </w:p>
        </w:tc>
        <w:tc>
          <w:tcPr>
            <w:tcW w:w="8931" w:type="dxa"/>
            <w:gridSpan w:val="12"/>
            <w:tcBorders>
              <w:left w:val="single" w:sz="4" w:space="0" w:color="auto"/>
            </w:tcBorders>
            <w:shd w:val="clear" w:color="auto" w:fill="auto"/>
            <w:vAlign w:val="bottom"/>
          </w:tcPr>
          <w:p w14:paraId="35150B70" w14:textId="66A520DF" w:rsidR="00976DE1" w:rsidRPr="001D7D76" w:rsidRDefault="00976DE1" w:rsidP="00C11EE4">
            <w:pPr>
              <w:pStyle w:val="Heading1"/>
              <w:numPr>
                <w:ilvl w:val="0"/>
                <w:numId w:val="0"/>
              </w:numPr>
              <w:ind w:left="1134" w:hanging="1134"/>
            </w:pPr>
            <w:bookmarkStart w:id="895" w:name="_Toc132743834"/>
            <w:r w:rsidRPr="001D7D76">
              <w:t xml:space="preserve">Note </w:t>
            </w:r>
            <w:r w:rsidR="00A03437" w:rsidRPr="001D7D76">
              <w:t xml:space="preserve">39 </w:t>
            </w:r>
            <w:r w:rsidRPr="001D7D76">
              <w:t>Service Concession Arrangements</w:t>
            </w:r>
            <w:bookmarkEnd w:id="895"/>
          </w:p>
        </w:tc>
      </w:tr>
      <w:tr w:rsidR="00976DE1" w:rsidRPr="00381D99" w14:paraId="640FAA92" w14:textId="77777777" w:rsidTr="0004564D">
        <w:trPr>
          <w:cantSplit/>
          <w:trHeight w:val="273"/>
        </w:trPr>
        <w:tc>
          <w:tcPr>
            <w:tcW w:w="1561" w:type="dxa"/>
            <w:tcBorders>
              <w:left w:val="single" w:sz="4" w:space="0" w:color="auto"/>
              <w:right w:val="single" w:sz="4" w:space="0" w:color="auto"/>
            </w:tcBorders>
          </w:tcPr>
          <w:p w14:paraId="43E3A8C1" w14:textId="77777777" w:rsidR="00976DE1" w:rsidRPr="00FA0C47" w:rsidRDefault="00976DE1" w:rsidP="00C11EE4">
            <w:pPr>
              <w:pStyle w:val="TableReference"/>
              <w:tabs>
                <w:tab w:val="left" w:pos="3306"/>
              </w:tabs>
              <w:rPr>
                <w:rFonts w:cs="Calibri"/>
                <w:color w:val="7030A0"/>
                <w:sz w:val="14"/>
              </w:rPr>
            </w:pPr>
            <w:r w:rsidRPr="00FA0C47">
              <w:rPr>
                <w:rFonts w:cs="Calibri"/>
                <w:color w:val="7030A0"/>
                <w:sz w:val="14"/>
              </w:rPr>
              <w:t>AASB 1059.28</w:t>
            </w:r>
          </w:p>
        </w:tc>
        <w:tc>
          <w:tcPr>
            <w:tcW w:w="8931" w:type="dxa"/>
            <w:gridSpan w:val="12"/>
            <w:tcBorders>
              <w:left w:val="single" w:sz="4" w:space="0" w:color="auto"/>
            </w:tcBorders>
            <w:shd w:val="clear" w:color="auto" w:fill="auto"/>
            <w:vAlign w:val="center"/>
          </w:tcPr>
          <w:p w14:paraId="0FCDC51D" w14:textId="77777777" w:rsidR="00976DE1" w:rsidRPr="001D7D76" w:rsidRDefault="00976DE1" w:rsidP="00C11EE4">
            <w:pPr>
              <w:autoSpaceDE w:val="0"/>
              <w:autoSpaceDN w:val="0"/>
              <w:adjustRightInd w:val="0"/>
              <w:rPr>
                <w:b/>
                <w:sz w:val="18"/>
                <w:szCs w:val="18"/>
              </w:rPr>
            </w:pPr>
            <w:r w:rsidRPr="001D7D76">
              <w:rPr>
                <w:b/>
                <w:sz w:val="18"/>
                <w:szCs w:val="18"/>
              </w:rPr>
              <w:t xml:space="preserve">Light Rail Service Concession Arrangement </w:t>
            </w:r>
          </w:p>
        </w:tc>
      </w:tr>
      <w:tr w:rsidR="00976DE1" w:rsidRPr="00381D99" w14:paraId="5F93595C" w14:textId="77777777" w:rsidTr="0004564D">
        <w:trPr>
          <w:cantSplit/>
          <w:trHeight w:val="404"/>
        </w:trPr>
        <w:tc>
          <w:tcPr>
            <w:tcW w:w="1561" w:type="dxa"/>
            <w:tcBorders>
              <w:left w:val="single" w:sz="4" w:space="0" w:color="auto"/>
              <w:right w:val="single" w:sz="4" w:space="0" w:color="auto"/>
            </w:tcBorders>
          </w:tcPr>
          <w:p w14:paraId="480F965B" w14:textId="77777777" w:rsidR="00976DE1" w:rsidRPr="00FA0C47" w:rsidRDefault="00976DE1"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center"/>
          </w:tcPr>
          <w:p w14:paraId="1907E971" w14:textId="77777777" w:rsidR="00976DE1" w:rsidRPr="001D7D76" w:rsidRDefault="00976DE1" w:rsidP="00C11EE4">
            <w:pPr>
              <w:autoSpaceDE w:val="0"/>
              <w:autoSpaceDN w:val="0"/>
              <w:adjustRightInd w:val="0"/>
              <w:rPr>
                <w:b/>
                <w:sz w:val="18"/>
                <w:szCs w:val="18"/>
              </w:rPr>
            </w:pPr>
            <w:r w:rsidRPr="001D7D76">
              <w:rPr>
                <w:b/>
                <w:sz w:val="18"/>
                <w:szCs w:val="18"/>
              </w:rPr>
              <w:t>Background</w:t>
            </w:r>
          </w:p>
        </w:tc>
      </w:tr>
      <w:tr w:rsidR="00976DE1" w:rsidRPr="00381D99" w14:paraId="772876B2" w14:textId="77777777" w:rsidTr="0004564D">
        <w:trPr>
          <w:cantSplit/>
          <w:trHeight w:val="452"/>
        </w:trPr>
        <w:tc>
          <w:tcPr>
            <w:tcW w:w="1561" w:type="dxa"/>
            <w:tcBorders>
              <w:left w:val="single" w:sz="4" w:space="0" w:color="auto"/>
              <w:right w:val="single" w:sz="4" w:space="0" w:color="auto"/>
            </w:tcBorders>
          </w:tcPr>
          <w:p w14:paraId="32D7F8F0" w14:textId="77777777" w:rsidR="00976DE1" w:rsidRPr="00FA0C47" w:rsidRDefault="00976DE1"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4CEE9073" w14:textId="034379A3" w:rsidR="00976DE1" w:rsidRPr="001D7D76" w:rsidRDefault="00CE7A35" w:rsidP="002F040C">
            <w:pPr>
              <w:spacing w:after="120"/>
              <w:jc w:val="both"/>
              <w:rPr>
                <w:sz w:val="18"/>
                <w:szCs w:val="18"/>
              </w:rPr>
            </w:pPr>
            <w:r w:rsidRPr="001D7D76">
              <w:rPr>
                <w:sz w:val="18"/>
                <w:szCs w:val="18"/>
              </w:rPr>
              <w:t>‘</w:t>
            </w:r>
            <w:r w:rsidR="008A2B0F" w:rsidRPr="001D7D76">
              <w:rPr>
                <w:sz w:val="18"/>
                <w:szCs w:val="18"/>
              </w:rPr>
              <w:t>Burley Griffin</w:t>
            </w:r>
            <w:r w:rsidRPr="001D7D76">
              <w:rPr>
                <w:sz w:val="18"/>
                <w:szCs w:val="18"/>
              </w:rPr>
              <w:t xml:space="preserve"> Agency’ undertake</w:t>
            </w:r>
            <w:r w:rsidR="00487079" w:rsidRPr="001D7D76">
              <w:rPr>
                <w:sz w:val="18"/>
                <w:szCs w:val="18"/>
              </w:rPr>
              <w:t>s</w:t>
            </w:r>
            <w:r w:rsidRPr="001D7D76">
              <w:rPr>
                <w:sz w:val="18"/>
                <w:szCs w:val="18"/>
              </w:rPr>
              <w:t xml:space="preserve"> a</w:t>
            </w:r>
            <w:r w:rsidR="00487079" w:rsidRPr="001D7D76">
              <w:rPr>
                <w:sz w:val="18"/>
                <w:szCs w:val="18"/>
              </w:rPr>
              <w:t>n</w:t>
            </w:r>
            <w:r w:rsidRPr="001D7D76">
              <w:rPr>
                <w:sz w:val="18"/>
                <w:szCs w:val="18"/>
              </w:rPr>
              <w:t xml:space="preserve"> </w:t>
            </w:r>
            <w:r w:rsidR="00487079" w:rsidRPr="001D7D76">
              <w:rPr>
                <w:sz w:val="18"/>
                <w:szCs w:val="18"/>
              </w:rPr>
              <w:t xml:space="preserve">annual </w:t>
            </w:r>
            <w:r w:rsidRPr="001D7D76">
              <w:rPr>
                <w:sz w:val="18"/>
                <w:szCs w:val="18"/>
              </w:rPr>
              <w:t xml:space="preserve">review to assess whether </w:t>
            </w:r>
            <w:r w:rsidR="002E00A3" w:rsidRPr="001D7D76">
              <w:rPr>
                <w:sz w:val="18"/>
                <w:szCs w:val="18"/>
              </w:rPr>
              <w:t xml:space="preserve">there </w:t>
            </w:r>
            <w:r w:rsidR="00C958E9" w:rsidRPr="001D7D76">
              <w:rPr>
                <w:sz w:val="18"/>
                <w:szCs w:val="18"/>
              </w:rPr>
              <w:t>have</w:t>
            </w:r>
            <w:r w:rsidRPr="001D7D76">
              <w:rPr>
                <w:sz w:val="18"/>
                <w:szCs w:val="18"/>
              </w:rPr>
              <w:t xml:space="preserve"> </w:t>
            </w:r>
            <w:r w:rsidR="002E00A3" w:rsidRPr="001D7D76">
              <w:rPr>
                <w:sz w:val="18"/>
                <w:szCs w:val="18"/>
              </w:rPr>
              <w:t xml:space="preserve">been any </w:t>
            </w:r>
            <w:r w:rsidR="00767F6D" w:rsidRPr="001D7D76">
              <w:rPr>
                <w:sz w:val="18"/>
                <w:szCs w:val="18"/>
              </w:rPr>
              <w:t>changes to</w:t>
            </w:r>
            <w:r w:rsidR="005D4088" w:rsidRPr="001D7D76">
              <w:rPr>
                <w:sz w:val="18"/>
                <w:szCs w:val="18"/>
              </w:rPr>
              <w:t xml:space="preserve"> </w:t>
            </w:r>
            <w:r w:rsidR="002E00A3" w:rsidRPr="001D7D76">
              <w:rPr>
                <w:sz w:val="18"/>
                <w:szCs w:val="18"/>
              </w:rPr>
              <w:t xml:space="preserve">the </w:t>
            </w:r>
            <w:r w:rsidR="005D4088" w:rsidRPr="001D7D76">
              <w:rPr>
                <w:sz w:val="18"/>
                <w:szCs w:val="18"/>
              </w:rPr>
              <w:t>existing</w:t>
            </w:r>
            <w:r w:rsidR="00767F6D" w:rsidRPr="001D7D76">
              <w:rPr>
                <w:sz w:val="18"/>
                <w:szCs w:val="18"/>
              </w:rPr>
              <w:t xml:space="preserve"> </w:t>
            </w:r>
            <w:r w:rsidRPr="001D7D76">
              <w:rPr>
                <w:sz w:val="18"/>
                <w:szCs w:val="18"/>
              </w:rPr>
              <w:t>service concession arrangement</w:t>
            </w:r>
            <w:r w:rsidR="002E00A3" w:rsidRPr="001D7D76">
              <w:rPr>
                <w:sz w:val="18"/>
                <w:szCs w:val="18"/>
              </w:rPr>
              <w:t xml:space="preserve"> and whether there </w:t>
            </w:r>
            <w:r w:rsidR="00294E29">
              <w:rPr>
                <w:sz w:val="18"/>
                <w:szCs w:val="18"/>
              </w:rPr>
              <w:t>are</w:t>
            </w:r>
            <w:r w:rsidR="002E00A3" w:rsidRPr="001D7D76">
              <w:rPr>
                <w:sz w:val="18"/>
                <w:szCs w:val="18"/>
              </w:rPr>
              <w:t xml:space="preserve"> any new Service Concession Arrangements</w:t>
            </w:r>
            <w:r w:rsidRPr="001D7D76">
              <w:rPr>
                <w:sz w:val="18"/>
                <w:szCs w:val="18"/>
              </w:rPr>
              <w:t>.</w:t>
            </w:r>
            <w:r w:rsidR="00FA7C77">
              <w:rPr>
                <w:sz w:val="18"/>
                <w:szCs w:val="18"/>
              </w:rPr>
              <w:t xml:space="preserve"> </w:t>
            </w:r>
            <w:r w:rsidR="001227E7" w:rsidRPr="001D7D76">
              <w:rPr>
                <w:sz w:val="18"/>
                <w:szCs w:val="18"/>
              </w:rPr>
              <w:t>This review also involves</w:t>
            </w:r>
            <w:r w:rsidR="002E00A3" w:rsidRPr="001D7D76">
              <w:rPr>
                <w:sz w:val="18"/>
                <w:szCs w:val="18"/>
              </w:rPr>
              <w:t xml:space="preserve"> </w:t>
            </w:r>
            <w:r w:rsidRPr="001D7D76">
              <w:rPr>
                <w:sz w:val="18"/>
                <w:szCs w:val="18"/>
              </w:rPr>
              <w:t>contacting business units across ‘</w:t>
            </w:r>
            <w:r w:rsidR="008A2B0F" w:rsidRPr="001D7D76">
              <w:rPr>
                <w:sz w:val="18"/>
                <w:szCs w:val="18"/>
              </w:rPr>
              <w:t>Burley Griffin</w:t>
            </w:r>
            <w:r w:rsidRPr="001D7D76">
              <w:rPr>
                <w:sz w:val="18"/>
                <w:szCs w:val="18"/>
              </w:rPr>
              <w:t xml:space="preserve"> Agency’ to obtain information about </w:t>
            </w:r>
            <w:r w:rsidR="005D4088" w:rsidRPr="001D7D76">
              <w:rPr>
                <w:sz w:val="18"/>
                <w:szCs w:val="18"/>
              </w:rPr>
              <w:t xml:space="preserve">any new </w:t>
            </w:r>
            <w:r w:rsidRPr="001D7D76">
              <w:rPr>
                <w:sz w:val="18"/>
                <w:szCs w:val="18"/>
              </w:rPr>
              <w:t xml:space="preserve">contracts, leasing agreements, Public Private Partnerships (PPPs), and other arrangements in order to make an assessment about whether any of these arrangements </w:t>
            </w:r>
            <w:r w:rsidR="001227E7" w:rsidRPr="001D7D76">
              <w:rPr>
                <w:sz w:val="18"/>
                <w:szCs w:val="18"/>
              </w:rPr>
              <w:t xml:space="preserve">fall </w:t>
            </w:r>
            <w:r w:rsidRPr="001D7D76">
              <w:rPr>
                <w:sz w:val="18"/>
                <w:szCs w:val="18"/>
              </w:rPr>
              <w:t>within the scope of AASB 1059.</w:t>
            </w:r>
            <w:r w:rsidR="00FA7C77">
              <w:rPr>
                <w:sz w:val="18"/>
                <w:szCs w:val="18"/>
              </w:rPr>
              <w:t xml:space="preserve"> </w:t>
            </w:r>
            <w:r w:rsidRPr="001D7D76">
              <w:rPr>
                <w:sz w:val="18"/>
                <w:szCs w:val="18"/>
              </w:rPr>
              <w:t xml:space="preserve">After this </w:t>
            </w:r>
            <w:r w:rsidR="00F830CC" w:rsidRPr="001D7D76">
              <w:rPr>
                <w:sz w:val="18"/>
                <w:szCs w:val="18"/>
              </w:rPr>
              <w:t xml:space="preserve">year’s </w:t>
            </w:r>
            <w:r w:rsidRPr="001D7D76">
              <w:rPr>
                <w:sz w:val="18"/>
                <w:szCs w:val="18"/>
              </w:rPr>
              <w:t>assessment ‘</w:t>
            </w:r>
            <w:r w:rsidR="008A2B0F" w:rsidRPr="001D7D76">
              <w:rPr>
                <w:sz w:val="18"/>
                <w:szCs w:val="18"/>
              </w:rPr>
              <w:t>Burley Griffin</w:t>
            </w:r>
            <w:r w:rsidRPr="001D7D76">
              <w:rPr>
                <w:sz w:val="18"/>
                <w:szCs w:val="18"/>
              </w:rPr>
              <w:t xml:space="preserve"> Agency’ determined that </w:t>
            </w:r>
            <w:r w:rsidR="00F830CC" w:rsidRPr="001D7D76">
              <w:rPr>
                <w:sz w:val="18"/>
                <w:szCs w:val="18"/>
              </w:rPr>
              <w:t xml:space="preserve">there were no new </w:t>
            </w:r>
            <w:r w:rsidR="001227E7" w:rsidRPr="001D7D76">
              <w:rPr>
                <w:sz w:val="18"/>
                <w:szCs w:val="18"/>
              </w:rPr>
              <w:t>Service Concession A</w:t>
            </w:r>
            <w:r w:rsidR="002E00A3" w:rsidRPr="001D7D76">
              <w:rPr>
                <w:sz w:val="18"/>
                <w:szCs w:val="18"/>
              </w:rPr>
              <w:t>rrangements and there w</w:t>
            </w:r>
            <w:r w:rsidR="001227E7" w:rsidRPr="001D7D76">
              <w:rPr>
                <w:sz w:val="18"/>
                <w:szCs w:val="18"/>
              </w:rPr>
              <w:t>ere</w:t>
            </w:r>
            <w:r w:rsidR="002E00A3" w:rsidRPr="001D7D76">
              <w:rPr>
                <w:sz w:val="18"/>
                <w:szCs w:val="18"/>
              </w:rPr>
              <w:t xml:space="preserve"> no changes to the </w:t>
            </w:r>
            <w:r w:rsidRPr="001D7D76">
              <w:rPr>
                <w:sz w:val="18"/>
                <w:szCs w:val="18"/>
              </w:rPr>
              <w:t xml:space="preserve">one </w:t>
            </w:r>
            <w:r w:rsidR="002E00A3" w:rsidRPr="001D7D76">
              <w:rPr>
                <w:sz w:val="18"/>
                <w:szCs w:val="18"/>
              </w:rPr>
              <w:t xml:space="preserve">existing </w:t>
            </w:r>
            <w:r w:rsidR="001227E7" w:rsidRPr="001D7D76">
              <w:rPr>
                <w:sz w:val="18"/>
                <w:szCs w:val="18"/>
              </w:rPr>
              <w:t>Service Concession A</w:t>
            </w:r>
            <w:r w:rsidRPr="001D7D76">
              <w:rPr>
                <w:sz w:val="18"/>
                <w:szCs w:val="18"/>
              </w:rPr>
              <w:t>rrangement</w:t>
            </w:r>
            <w:r w:rsidR="000F67C4" w:rsidRPr="001D7D76">
              <w:rPr>
                <w:sz w:val="18"/>
                <w:szCs w:val="18"/>
              </w:rPr>
              <w:t>.</w:t>
            </w:r>
          </w:p>
        </w:tc>
      </w:tr>
      <w:tr w:rsidR="00CE7A35" w:rsidRPr="00381D99" w14:paraId="1E8AD9CA" w14:textId="77777777" w:rsidTr="0004564D">
        <w:trPr>
          <w:cantSplit/>
          <w:trHeight w:val="452"/>
        </w:trPr>
        <w:tc>
          <w:tcPr>
            <w:tcW w:w="1561" w:type="dxa"/>
            <w:tcBorders>
              <w:left w:val="single" w:sz="4" w:space="0" w:color="auto"/>
              <w:right w:val="single" w:sz="4" w:space="0" w:color="auto"/>
            </w:tcBorders>
          </w:tcPr>
          <w:p w14:paraId="791E14E0"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1213D97A" w14:textId="18E0A70E" w:rsidR="00CE7A35" w:rsidRPr="001D7D76" w:rsidRDefault="00CE7A35" w:rsidP="002F040C">
            <w:pPr>
              <w:spacing w:after="120"/>
              <w:jc w:val="both"/>
              <w:rPr>
                <w:sz w:val="18"/>
                <w:szCs w:val="18"/>
              </w:rPr>
            </w:pPr>
            <w:r w:rsidRPr="001D7D76">
              <w:rPr>
                <w:sz w:val="18"/>
                <w:szCs w:val="18"/>
              </w:rPr>
              <w:t>On 25 May 2016 ‘</w:t>
            </w:r>
            <w:r w:rsidR="008A2B0F" w:rsidRPr="001D7D76">
              <w:rPr>
                <w:sz w:val="18"/>
                <w:szCs w:val="18"/>
              </w:rPr>
              <w:t>Burley Griffin</w:t>
            </w:r>
            <w:r w:rsidRPr="001D7D76">
              <w:rPr>
                <w:sz w:val="18"/>
                <w:szCs w:val="18"/>
              </w:rPr>
              <w:t xml:space="preserve"> Agency’ (grantor) entered into a 20-year Public Private Partnership (PPP) with ‘Example Metro’ (operator) to construct, deliver, maintain and operate light rail infrastructure assets, light rail plant and equipment, and light rail building assets over the term of the contract.</w:t>
            </w:r>
            <w:r w:rsidR="00FA7C77">
              <w:rPr>
                <w:sz w:val="18"/>
                <w:szCs w:val="18"/>
              </w:rPr>
              <w:t xml:space="preserve"> </w:t>
            </w:r>
            <w:r w:rsidRPr="001D7D76">
              <w:rPr>
                <w:sz w:val="18"/>
                <w:szCs w:val="18"/>
              </w:rPr>
              <w:t>These assets have been constructed on Territory land.</w:t>
            </w:r>
            <w:r w:rsidR="00FA7C77">
              <w:rPr>
                <w:sz w:val="18"/>
                <w:szCs w:val="18"/>
              </w:rPr>
              <w:t xml:space="preserve"> </w:t>
            </w:r>
            <w:r w:rsidRPr="001D7D76">
              <w:rPr>
                <w:sz w:val="18"/>
                <w:szCs w:val="18"/>
              </w:rPr>
              <w:t>The assets are made up of a 12km light rail track from Canberra City to Gungahlin, comprising 13 stops, 14 Light Rail Vehicles and one maintenance depot.</w:t>
            </w:r>
            <w:r w:rsidR="00FA7C77">
              <w:rPr>
                <w:sz w:val="18"/>
                <w:szCs w:val="18"/>
              </w:rPr>
              <w:t xml:space="preserve"> </w:t>
            </w:r>
            <w:r w:rsidRPr="001D7D76">
              <w:rPr>
                <w:sz w:val="18"/>
                <w:szCs w:val="18"/>
              </w:rPr>
              <w:t>Construction was completed and the light rail services commenced for public passenger operations on 20 April 2019.</w:t>
            </w:r>
            <w:r w:rsidR="00FA7C77">
              <w:rPr>
                <w:sz w:val="18"/>
                <w:szCs w:val="18"/>
              </w:rPr>
              <w:t xml:space="preserve"> </w:t>
            </w:r>
            <w:r w:rsidRPr="001D7D76">
              <w:rPr>
                <w:sz w:val="18"/>
                <w:szCs w:val="18"/>
              </w:rPr>
              <w:t>There were no existing assets of the grantor or operator being utilised in this service concession arrangement.</w:t>
            </w:r>
          </w:p>
        </w:tc>
      </w:tr>
      <w:tr w:rsidR="00CE7A35" w:rsidRPr="00381D99" w14:paraId="7C543D2B" w14:textId="77777777" w:rsidTr="0004564D">
        <w:trPr>
          <w:cantSplit/>
          <w:trHeight w:val="452"/>
        </w:trPr>
        <w:tc>
          <w:tcPr>
            <w:tcW w:w="1561" w:type="dxa"/>
            <w:tcBorders>
              <w:left w:val="single" w:sz="4" w:space="0" w:color="auto"/>
              <w:right w:val="single" w:sz="4" w:space="0" w:color="auto"/>
            </w:tcBorders>
          </w:tcPr>
          <w:p w14:paraId="656D696A"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3171F86D" w14:textId="73D44E83" w:rsidR="00CE7A35" w:rsidRPr="001D7D76" w:rsidRDefault="00CE7A35" w:rsidP="002F040C">
            <w:pPr>
              <w:spacing w:after="120"/>
              <w:jc w:val="both"/>
              <w:rPr>
                <w:sz w:val="18"/>
                <w:szCs w:val="18"/>
              </w:rPr>
            </w:pPr>
            <w:r w:rsidRPr="001D7D76">
              <w:rPr>
                <w:sz w:val="18"/>
                <w:szCs w:val="18"/>
              </w:rPr>
              <w:t>Under the terms of the arrangement ‘</w:t>
            </w:r>
            <w:r w:rsidR="008A2B0F" w:rsidRPr="001D7D76">
              <w:rPr>
                <w:sz w:val="18"/>
                <w:szCs w:val="18"/>
              </w:rPr>
              <w:t>Burley Griffin</w:t>
            </w:r>
            <w:r w:rsidRPr="001D7D76">
              <w:rPr>
                <w:sz w:val="18"/>
                <w:szCs w:val="18"/>
              </w:rPr>
              <w:t xml:space="preserve"> Agency’ retains the significant residual interest in the assets at the end of the 20-year term.</w:t>
            </w:r>
          </w:p>
        </w:tc>
      </w:tr>
      <w:tr w:rsidR="00CE7A35" w:rsidRPr="00381D99" w14:paraId="38A7A637" w14:textId="77777777" w:rsidTr="0004564D">
        <w:trPr>
          <w:cantSplit/>
          <w:trHeight w:val="452"/>
        </w:trPr>
        <w:tc>
          <w:tcPr>
            <w:tcW w:w="1561" w:type="dxa"/>
            <w:tcBorders>
              <w:left w:val="single" w:sz="4" w:space="0" w:color="auto"/>
              <w:right w:val="single" w:sz="4" w:space="0" w:color="auto"/>
            </w:tcBorders>
          </w:tcPr>
          <w:p w14:paraId="15F9A94D"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332A7A12" w14:textId="299B9549" w:rsidR="00CE7A35" w:rsidRPr="001D7D76" w:rsidRDefault="00CE7A35" w:rsidP="00CE7A35">
            <w:pPr>
              <w:jc w:val="both"/>
              <w:rPr>
                <w:sz w:val="18"/>
                <w:szCs w:val="18"/>
              </w:rPr>
            </w:pPr>
            <w:r w:rsidRPr="001D7D76">
              <w:rPr>
                <w:sz w:val="18"/>
                <w:szCs w:val="18"/>
              </w:rPr>
              <w:t>‘Example Metro’ is responsible for the management, recruitment, training, and determining the adequate number of staff to run light rail operations.</w:t>
            </w:r>
            <w:r w:rsidR="00FA7C77">
              <w:rPr>
                <w:sz w:val="18"/>
                <w:szCs w:val="18"/>
              </w:rPr>
              <w:t xml:space="preserve"> </w:t>
            </w:r>
            <w:r w:rsidRPr="001D7D76">
              <w:rPr>
                <w:sz w:val="18"/>
                <w:szCs w:val="18"/>
              </w:rPr>
              <w:t>These staff ensure the timely delivery of public transport services to ACT residents and are all employed by ‘Example Metro’.</w:t>
            </w:r>
            <w:r w:rsidR="00FA7C77">
              <w:rPr>
                <w:sz w:val="18"/>
                <w:szCs w:val="18"/>
              </w:rPr>
              <w:t xml:space="preserve"> </w:t>
            </w:r>
            <w:r w:rsidRPr="001D7D76">
              <w:rPr>
                <w:sz w:val="18"/>
                <w:szCs w:val="18"/>
              </w:rPr>
              <w:t>‘Example Metro’ is solely responsible for all aspects of asset management activities for light rail vehicles, tracks and electrical equipment.</w:t>
            </w:r>
            <w:r w:rsidR="00FA7C77">
              <w:rPr>
                <w:sz w:val="18"/>
                <w:szCs w:val="18"/>
              </w:rPr>
              <w:t xml:space="preserve"> </w:t>
            </w:r>
            <w:r w:rsidRPr="001D7D76">
              <w:rPr>
                <w:sz w:val="18"/>
                <w:szCs w:val="18"/>
              </w:rPr>
              <w:t xml:space="preserve">It is also required to manage, at its own discretion, all aspects of an operations control centre (OCC) on a continuous 24 hours per day, seven days a week basis. The OCC centrally manages the following functions: </w:t>
            </w:r>
          </w:p>
          <w:p w14:paraId="7F99E2C2" w14:textId="7B84A81B"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o</w:t>
            </w:r>
            <w:r w:rsidR="00CE7A35" w:rsidRPr="001D7D76">
              <w:rPr>
                <w:rFonts w:asciiTheme="minorHAnsi" w:eastAsiaTheme="minorHAnsi" w:hAnsiTheme="minorHAnsi" w:cstheme="minorBidi"/>
                <w:sz w:val="18"/>
                <w:szCs w:val="18"/>
              </w:rPr>
              <w:t xml:space="preserve">perations; </w:t>
            </w:r>
          </w:p>
          <w:p w14:paraId="4D9D2958" w14:textId="391D00F2"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p</w:t>
            </w:r>
            <w:r w:rsidR="00CE7A35" w:rsidRPr="001D7D76">
              <w:rPr>
                <w:rFonts w:asciiTheme="minorHAnsi" w:eastAsiaTheme="minorHAnsi" w:hAnsiTheme="minorHAnsi" w:cstheme="minorBidi"/>
                <w:sz w:val="18"/>
                <w:szCs w:val="18"/>
              </w:rPr>
              <w:t xml:space="preserve">ower supply management; </w:t>
            </w:r>
          </w:p>
          <w:p w14:paraId="2147F6C1" w14:textId="078461BF"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c</w:t>
            </w:r>
            <w:r w:rsidR="00CE7A35" w:rsidRPr="001D7D76">
              <w:rPr>
                <w:rFonts w:asciiTheme="minorHAnsi" w:eastAsiaTheme="minorHAnsi" w:hAnsiTheme="minorHAnsi" w:cstheme="minorBidi"/>
                <w:sz w:val="18"/>
                <w:szCs w:val="18"/>
              </w:rPr>
              <w:t xml:space="preserve">ommunications, both internal and external; </w:t>
            </w:r>
          </w:p>
          <w:p w14:paraId="60D1FF29" w14:textId="1BC1D048"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w:t>
            </w:r>
            <w:r w:rsidR="00CE7A35" w:rsidRPr="001D7D76">
              <w:rPr>
                <w:rFonts w:asciiTheme="minorHAnsi" w:eastAsiaTheme="minorHAnsi" w:hAnsiTheme="minorHAnsi" w:cstheme="minorBidi"/>
                <w:sz w:val="18"/>
                <w:szCs w:val="18"/>
              </w:rPr>
              <w:t>mergency Help Point response;</w:t>
            </w:r>
          </w:p>
          <w:p w14:paraId="7336B8CF" w14:textId="01484DE8"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w:t>
            </w:r>
            <w:r w:rsidR="00CE7A35" w:rsidRPr="001D7D76">
              <w:rPr>
                <w:rFonts w:asciiTheme="minorHAnsi" w:eastAsiaTheme="minorHAnsi" w:hAnsiTheme="minorHAnsi" w:cstheme="minorBidi"/>
                <w:sz w:val="18"/>
                <w:szCs w:val="18"/>
              </w:rPr>
              <w:t>ecurity and access control;</w:t>
            </w:r>
          </w:p>
          <w:p w14:paraId="155CD324" w14:textId="5C98952F" w:rsidR="00CE7A35" w:rsidRPr="001D7D76" w:rsidRDefault="00577144" w:rsidP="00CB31DE">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w:t>
            </w:r>
            <w:r w:rsidR="00CE7A35" w:rsidRPr="001D7D76">
              <w:rPr>
                <w:rFonts w:asciiTheme="minorHAnsi" w:eastAsiaTheme="minorHAnsi" w:hAnsiTheme="minorHAnsi" w:cstheme="minorBidi"/>
                <w:sz w:val="18"/>
                <w:szCs w:val="18"/>
              </w:rPr>
              <w:t>mergency response and management; and</w:t>
            </w:r>
          </w:p>
          <w:p w14:paraId="25E0B5B5" w14:textId="6AE749FA" w:rsidR="00CE7A35" w:rsidRPr="001D7D76" w:rsidRDefault="00577144" w:rsidP="00CB31DE">
            <w:pPr>
              <w:pStyle w:val="ListParagraph"/>
              <w:numPr>
                <w:ilvl w:val="0"/>
                <w:numId w:val="59"/>
              </w:numPr>
              <w:spacing w:after="120"/>
              <w:ind w:left="714" w:hanging="357"/>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w:t>
            </w:r>
            <w:r w:rsidR="00CE7A35" w:rsidRPr="001D7D76">
              <w:rPr>
                <w:rFonts w:asciiTheme="minorHAnsi" w:eastAsiaTheme="minorHAnsi" w:hAnsiTheme="minorHAnsi" w:cstheme="minorBidi"/>
                <w:sz w:val="18"/>
                <w:szCs w:val="18"/>
              </w:rPr>
              <w:t>ystem alarm monitoring and fault response.</w:t>
            </w:r>
          </w:p>
        </w:tc>
      </w:tr>
      <w:tr w:rsidR="00CE7A35" w:rsidRPr="00381D99" w14:paraId="3B6DBBA0" w14:textId="77777777" w:rsidTr="0004564D">
        <w:trPr>
          <w:cantSplit/>
          <w:trHeight w:val="452"/>
        </w:trPr>
        <w:tc>
          <w:tcPr>
            <w:tcW w:w="1561" w:type="dxa"/>
            <w:tcBorders>
              <w:left w:val="single" w:sz="4" w:space="0" w:color="auto"/>
              <w:right w:val="single" w:sz="4" w:space="0" w:color="auto"/>
            </w:tcBorders>
          </w:tcPr>
          <w:p w14:paraId="6E47E447"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570D7C7D" w14:textId="174A634B" w:rsidR="00CE7A35" w:rsidRPr="001D7D76" w:rsidRDefault="00CE7A35" w:rsidP="002F040C">
            <w:pPr>
              <w:spacing w:after="120"/>
              <w:jc w:val="both"/>
              <w:rPr>
                <w:sz w:val="18"/>
                <w:szCs w:val="18"/>
              </w:rPr>
            </w:pPr>
            <w:r w:rsidRPr="001D7D76">
              <w:rPr>
                <w:sz w:val="18"/>
                <w:szCs w:val="18"/>
              </w:rPr>
              <w:t>Over the life of the contract ‘</w:t>
            </w:r>
            <w:r w:rsidR="008A2B0F" w:rsidRPr="001D7D76">
              <w:rPr>
                <w:sz w:val="18"/>
                <w:szCs w:val="18"/>
              </w:rPr>
              <w:t>Burley Griffin</w:t>
            </w:r>
            <w:r w:rsidRPr="001D7D76">
              <w:rPr>
                <w:sz w:val="18"/>
                <w:szCs w:val="18"/>
              </w:rPr>
              <w:t xml:space="preserve"> Agency’ has granted ‘Example Metro’ the right to charge third-party users of the light rail and will also have to make monthly service payments to ‘Example Metro’ when light rail fare revenue is below an agreed monthly amount.</w:t>
            </w:r>
            <w:r w:rsidR="00FA7C77">
              <w:rPr>
                <w:sz w:val="18"/>
                <w:szCs w:val="18"/>
              </w:rPr>
              <w:t xml:space="preserve"> </w:t>
            </w:r>
            <w:r w:rsidRPr="001D7D76">
              <w:rPr>
                <w:sz w:val="18"/>
                <w:szCs w:val="18"/>
              </w:rPr>
              <w:t>These amounts are split between the component related to the design and construction or upgrading of the assets and ongoing operation and maintenance of the assets.</w:t>
            </w:r>
            <w:r w:rsidR="00FA7C77">
              <w:rPr>
                <w:sz w:val="18"/>
                <w:szCs w:val="18"/>
              </w:rPr>
              <w:t xml:space="preserve"> </w:t>
            </w:r>
            <w:r w:rsidRPr="001D7D76">
              <w:rPr>
                <w:sz w:val="18"/>
                <w:szCs w:val="18"/>
              </w:rPr>
              <w:t>The future compensation payable is estimated based on projected population increases over the term of the contract.</w:t>
            </w:r>
          </w:p>
        </w:tc>
      </w:tr>
      <w:tr w:rsidR="000A1EDA" w:rsidRPr="00381D99" w14:paraId="0B735A93" w14:textId="77777777" w:rsidTr="00AF4715">
        <w:trPr>
          <w:cantSplit/>
          <w:trHeight w:val="23"/>
        </w:trPr>
        <w:tc>
          <w:tcPr>
            <w:tcW w:w="1561" w:type="dxa"/>
            <w:tcBorders>
              <w:left w:val="single" w:sz="2" w:space="0" w:color="auto"/>
              <w:right w:val="single" w:sz="2" w:space="0" w:color="auto"/>
            </w:tcBorders>
          </w:tcPr>
          <w:p w14:paraId="49C2FF03" w14:textId="77777777" w:rsidR="000A1EDA" w:rsidRPr="00FA0C47" w:rsidRDefault="000A1EDA" w:rsidP="00AF4715">
            <w:pPr>
              <w:pStyle w:val="TableReference"/>
              <w:tabs>
                <w:tab w:val="left" w:pos="3306"/>
              </w:tabs>
              <w:spacing w:before="240" w:after="240"/>
              <w:rPr>
                <w:rFonts w:cs="Calibri"/>
                <w:color w:val="7030A0"/>
                <w:sz w:val="18"/>
                <w:szCs w:val="18"/>
              </w:rPr>
            </w:pPr>
            <w:r w:rsidRPr="00FA0C47">
              <w:rPr>
                <w:rFonts w:cs="Calibri"/>
                <w:b/>
                <w:color w:val="7030A0"/>
                <w:sz w:val="22"/>
                <w:szCs w:val="22"/>
              </w:rPr>
              <w:t>Reference</w:t>
            </w:r>
          </w:p>
        </w:tc>
        <w:tc>
          <w:tcPr>
            <w:tcW w:w="8931" w:type="dxa"/>
            <w:gridSpan w:val="12"/>
            <w:tcBorders>
              <w:left w:val="single" w:sz="2" w:space="0" w:color="auto"/>
            </w:tcBorders>
            <w:shd w:val="clear" w:color="auto" w:fill="auto"/>
          </w:tcPr>
          <w:p w14:paraId="58BDFBD7" w14:textId="00FE3B98" w:rsidR="000A1EDA" w:rsidRPr="001D7D76" w:rsidRDefault="000A1EDA" w:rsidP="00AF4715">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D70F08">
              <w:rPr>
                <w:rFonts w:ascii="Arial" w:hAnsi="Arial"/>
                <w:b/>
                <w:bCs/>
                <w:caps/>
                <w:sz w:val="32"/>
                <w:szCs w:val="24"/>
              </w:rPr>
              <w:t>–</w:t>
            </w:r>
            <w:r>
              <w:rPr>
                <w:rFonts w:ascii="Arial" w:hAnsi="Arial"/>
                <w:b/>
                <w:bCs/>
                <w:caps/>
                <w:sz w:val="32"/>
                <w:szCs w:val="24"/>
              </w:rPr>
              <w:t xml:space="preserve"> Continued</w:t>
            </w:r>
            <w:r w:rsidR="00D70F08">
              <w:rPr>
                <w:rFonts w:ascii="Arial" w:hAnsi="Arial"/>
                <w:b/>
                <w:bCs/>
                <w:caps/>
                <w:sz w:val="32"/>
                <w:szCs w:val="24"/>
              </w:rPr>
              <w:t xml:space="preserve"> </w:t>
            </w:r>
          </w:p>
        </w:tc>
      </w:tr>
      <w:tr w:rsidR="00976DE1" w:rsidRPr="00381D99" w14:paraId="002826A2" w14:textId="77777777" w:rsidTr="0004564D">
        <w:trPr>
          <w:cantSplit/>
          <w:trHeight w:val="23"/>
        </w:trPr>
        <w:tc>
          <w:tcPr>
            <w:tcW w:w="1561" w:type="dxa"/>
            <w:tcBorders>
              <w:left w:val="single" w:sz="2" w:space="0" w:color="auto"/>
              <w:right w:val="single" w:sz="2" w:space="0" w:color="auto"/>
            </w:tcBorders>
            <w:vAlign w:val="bottom"/>
          </w:tcPr>
          <w:p w14:paraId="665E9295" w14:textId="77777777" w:rsidR="00976DE1" w:rsidRPr="00FA0C47" w:rsidRDefault="00976DE1" w:rsidP="00C11EE4">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552A4B26" w14:textId="77777777" w:rsidR="00976DE1" w:rsidRPr="001D7D76" w:rsidRDefault="00976DE1" w:rsidP="00C11EE4">
            <w:pPr>
              <w:rPr>
                <w:rFonts w:asciiTheme="minorHAnsi" w:hAnsiTheme="minorHAnsi"/>
                <w:b/>
                <w:bCs/>
                <w:sz w:val="18"/>
                <w:szCs w:val="18"/>
              </w:rPr>
            </w:pPr>
            <w:r w:rsidRPr="001D7D76">
              <w:rPr>
                <w:b/>
                <w:bCs/>
                <w:sz w:val="18"/>
                <w:szCs w:val="18"/>
              </w:rPr>
              <w:t xml:space="preserve">Termination clauses </w:t>
            </w:r>
          </w:p>
          <w:p w14:paraId="5291D5A8" w14:textId="77777777" w:rsidR="00976DE1" w:rsidRPr="001D7D76" w:rsidRDefault="00976DE1" w:rsidP="002F040C">
            <w:pPr>
              <w:spacing w:after="60"/>
              <w:jc w:val="both"/>
              <w:rPr>
                <w:sz w:val="18"/>
                <w:szCs w:val="18"/>
              </w:rPr>
            </w:pPr>
            <w:r w:rsidRPr="001D7D76">
              <w:rPr>
                <w:sz w:val="18"/>
                <w:szCs w:val="18"/>
              </w:rPr>
              <w:t xml:space="preserve">The Project Agreement (the Agreement) can be terminated under a number of scenarios. The three types of termination scenarios set out in the Agreement are summarised below: </w:t>
            </w:r>
          </w:p>
          <w:p w14:paraId="3FBE7A9A" w14:textId="4499A534" w:rsidR="00976DE1" w:rsidRPr="001D7D76" w:rsidRDefault="00976DE1" w:rsidP="00CB31DE">
            <w:pPr>
              <w:pStyle w:val="ListParagraph"/>
              <w:numPr>
                <w:ilvl w:val="0"/>
                <w:numId w:val="59"/>
              </w:numPr>
              <w:spacing w:after="60"/>
              <w:ind w:left="714" w:hanging="357"/>
              <w:contextualSpacing w:val="0"/>
              <w:jc w:val="both"/>
              <w:rPr>
                <w:sz w:val="18"/>
                <w:szCs w:val="18"/>
              </w:rPr>
            </w:pPr>
            <w:r w:rsidRPr="001D7D76">
              <w:rPr>
                <w:sz w:val="18"/>
                <w:szCs w:val="18"/>
              </w:rPr>
              <w:t>Termination for convenience – ‘</w:t>
            </w:r>
            <w:r w:rsidR="008A2B0F" w:rsidRPr="001D7D76">
              <w:rPr>
                <w:sz w:val="18"/>
                <w:szCs w:val="18"/>
              </w:rPr>
              <w:t>Burley Griffin</w:t>
            </w:r>
            <w:r w:rsidRPr="001D7D76">
              <w:rPr>
                <w:sz w:val="18"/>
                <w:szCs w:val="18"/>
              </w:rPr>
              <w:t xml:space="preserve"> Agency’ may terminate the Agreement at any time by giving no less than </w:t>
            </w:r>
            <w:r w:rsidRPr="00110873">
              <w:rPr>
                <w:sz w:val="18"/>
                <w:szCs w:val="18"/>
              </w:rPr>
              <w:t>60</w:t>
            </w:r>
            <w:r w:rsidRPr="001D7D76">
              <w:rPr>
                <w:sz w:val="18"/>
                <w:szCs w:val="18"/>
              </w:rPr>
              <w:t xml:space="preserve"> business days’ notice in writing to ‘Example Metro’.</w:t>
            </w:r>
            <w:r w:rsidR="00FA7C77">
              <w:rPr>
                <w:sz w:val="18"/>
                <w:szCs w:val="18"/>
              </w:rPr>
              <w:t xml:space="preserve"> </w:t>
            </w:r>
            <w:r w:rsidRPr="001D7D76">
              <w:rPr>
                <w:sz w:val="18"/>
                <w:szCs w:val="18"/>
              </w:rPr>
              <w:t>‘</w:t>
            </w:r>
            <w:r w:rsidR="008A2B0F" w:rsidRPr="001D7D76">
              <w:rPr>
                <w:sz w:val="18"/>
                <w:szCs w:val="18"/>
              </w:rPr>
              <w:t>Burley Griffin</w:t>
            </w:r>
            <w:r w:rsidRPr="001D7D76">
              <w:rPr>
                <w:sz w:val="18"/>
                <w:szCs w:val="18"/>
              </w:rPr>
              <w:t xml:space="preserve"> Agency’ will be required to pay a termination for convenience payment. This amount is calculated as ‘Example Metro’s’ outstanding project debt, plus the fair market value of ‘Example Metro’s’ equity, plus any other reasonable costs incurred by ‘Example Metro’ as a result of the termination. </w:t>
            </w:r>
          </w:p>
          <w:p w14:paraId="0972475B" w14:textId="4968AEB6" w:rsidR="00976DE1" w:rsidRPr="001D7D76" w:rsidRDefault="00976DE1" w:rsidP="00CB31DE">
            <w:pPr>
              <w:pStyle w:val="ListParagraph"/>
              <w:numPr>
                <w:ilvl w:val="0"/>
                <w:numId w:val="59"/>
              </w:numPr>
              <w:jc w:val="both"/>
              <w:rPr>
                <w:sz w:val="18"/>
                <w:szCs w:val="18"/>
              </w:rPr>
            </w:pPr>
            <w:r w:rsidRPr="001D7D76">
              <w:rPr>
                <w:sz w:val="18"/>
                <w:szCs w:val="18"/>
              </w:rPr>
              <w:t>Force Majeure Termination Event - where the Agreement is terminated for force majeure (e.g. earthquake, bushfire, landslide), or the service concession arrangement project is wholly or substantially damaged or destroyed upon the occurrence of an uninsurable risk, ‘</w:t>
            </w:r>
            <w:r w:rsidR="008A2B0F" w:rsidRPr="001D7D76">
              <w:rPr>
                <w:sz w:val="18"/>
                <w:szCs w:val="18"/>
              </w:rPr>
              <w:t>Burley Griffin</w:t>
            </w:r>
            <w:r w:rsidRPr="001D7D76">
              <w:rPr>
                <w:sz w:val="18"/>
                <w:szCs w:val="18"/>
              </w:rPr>
              <w:t xml:space="preserve"> Agency’ will pay ‘Example Metro’ the general termination event payment.</w:t>
            </w:r>
            <w:r w:rsidR="00FA7C77">
              <w:rPr>
                <w:sz w:val="18"/>
                <w:szCs w:val="18"/>
              </w:rPr>
              <w:t xml:space="preserve"> </w:t>
            </w:r>
            <w:r w:rsidRPr="001D7D76">
              <w:rPr>
                <w:sz w:val="18"/>
                <w:szCs w:val="18"/>
              </w:rPr>
              <w:t xml:space="preserve">This amount is calculated as ‘Example Metro’s’ outstanding project debt plus any other reasonable costs incurred by ‘Example Metro’ as a result of the termination, less any insurance proceeds. </w:t>
            </w:r>
          </w:p>
        </w:tc>
      </w:tr>
      <w:tr w:rsidR="001D7D76" w:rsidRPr="00381D99" w14:paraId="21594774" w14:textId="77777777" w:rsidTr="0004564D">
        <w:trPr>
          <w:cantSplit/>
          <w:trHeight w:val="23"/>
        </w:trPr>
        <w:tc>
          <w:tcPr>
            <w:tcW w:w="1561" w:type="dxa"/>
            <w:tcBorders>
              <w:left w:val="single" w:sz="2" w:space="0" w:color="auto"/>
              <w:right w:val="single" w:sz="2" w:space="0" w:color="auto"/>
            </w:tcBorders>
            <w:vAlign w:val="bottom"/>
          </w:tcPr>
          <w:p w14:paraId="1F5ECDA6" w14:textId="77777777" w:rsidR="001D7D76" w:rsidRPr="00FA0C47" w:rsidRDefault="001D7D76" w:rsidP="001D7D76">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13042703" w14:textId="1C076AC7" w:rsidR="001D7D76" w:rsidRPr="00FA0C47" w:rsidRDefault="001D7D76" w:rsidP="00CB31DE">
            <w:pPr>
              <w:pStyle w:val="ListParagraph"/>
              <w:numPr>
                <w:ilvl w:val="0"/>
                <w:numId w:val="60"/>
              </w:numPr>
              <w:ind w:left="714" w:hanging="357"/>
              <w:contextualSpacing w:val="0"/>
              <w:jc w:val="both"/>
              <w:rPr>
                <w:sz w:val="18"/>
                <w:szCs w:val="18"/>
              </w:rPr>
            </w:pPr>
            <w:r w:rsidRPr="00FA0C47">
              <w:rPr>
                <w:sz w:val="18"/>
                <w:szCs w:val="18"/>
              </w:rPr>
              <w:t>Termination for ‘Example Metro’ default - where the Project Agreement is terminated for ‘Example Metro’s’ default, ‘Burley Griffin Agency’ will pay ‘Example Metro the fair market value of the Project determined by an independent expert or as a result of a re-tender of the contract to the market.</w:t>
            </w:r>
            <w:r w:rsidR="00FA7C77">
              <w:rPr>
                <w:sz w:val="18"/>
                <w:szCs w:val="18"/>
              </w:rPr>
              <w:t xml:space="preserve"> </w:t>
            </w:r>
            <w:r w:rsidRPr="00FA0C47">
              <w:rPr>
                <w:sz w:val="18"/>
                <w:szCs w:val="18"/>
              </w:rPr>
              <w:t>A default by ‘Example Metro’ under the Agreement will entitle ‘Burley Griffin Agency’ to various remedies.</w:t>
            </w:r>
            <w:r w:rsidR="00FA7C77">
              <w:rPr>
                <w:sz w:val="18"/>
                <w:szCs w:val="18"/>
              </w:rPr>
              <w:t xml:space="preserve"> </w:t>
            </w:r>
            <w:r w:rsidRPr="00FA0C47">
              <w:rPr>
                <w:sz w:val="18"/>
                <w:szCs w:val="18"/>
              </w:rPr>
              <w:t>‘Burley Griffin Agency’, in most circumstances, is required to give ‘Example Metro’ an opportunity to remedy the default.</w:t>
            </w:r>
            <w:r w:rsidR="00FA7C77">
              <w:rPr>
                <w:sz w:val="18"/>
                <w:szCs w:val="18"/>
              </w:rPr>
              <w:t xml:space="preserve"> </w:t>
            </w:r>
            <w:r w:rsidRPr="00FA0C47">
              <w:rPr>
                <w:sz w:val="18"/>
                <w:szCs w:val="18"/>
              </w:rPr>
              <w:t>If the default is not remedied within the required period, then it will escalate to a Major Default. The Agreement also states that a number of events are automatically classified as a Major Default (e.g. when there are persistent breaches or frequent service failures). In respect of Major Defaults, ‘Example Metro’ will be given the opportunity to develop a plan to remedy the default (if the default is capable of being remedied) or a prevention plan to prevent the default from recurring (in circumstances where the default is not capable of remedy).</w:t>
            </w:r>
            <w:r w:rsidR="00FA7C77">
              <w:rPr>
                <w:sz w:val="18"/>
                <w:szCs w:val="18"/>
              </w:rPr>
              <w:t xml:space="preserve"> </w:t>
            </w:r>
            <w:r w:rsidRPr="00FA0C47">
              <w:rPr>
                <w:sz w:val="18"/>
                <w:szCs w:val="18"/>
              </w:rPr>
              <w:t>Where ‘Example Metro’ fails to remedy the Major Default within the required period or fails to comply with an agreed remedy or prevention plan, ‘Burley Griffin Agency’ has the right to terminate the Agreement.</w:t>
            </w:r>
            <w:r w:rsidR="00FA7C77">
              <w:rPr>
                <w:sz w:val="18"/>
                <w:szCs w:val="18"/>
              </w:rPr>
              <w:t xml:space="preserve"> </w:t>
            </w:r>
            <w:r w:rsidRPr="00FA0C47">
              <w:rPr>
                <w:sz w:val="18"/>
                <w:szCs w:val="18"/>
              </w:rPr>
              <w:t>Certain events of default are so severe that they are not subject to a remedy regime.</w:t>
            </w:r>
            <w:r w:rsidR="00FA7C77">
              <w:rPr>
                <w:sz w:val="18"/>
                <w:szCs w:val="18"/>
              </w:rPr>
              <w:t xml:space="preserve"> </w:t>
            </w:r>
            <w:r w:rsidRPr="00FA0C47">
              <w:rPr>
                <w:sz w:val="18"/>
                <w:szCs w:val="18"/>
              </w:rPr>
              <w:t>They give rise to an ‘Burley Griffin Agency’ termination right immediately upon their occurrence (e.g. insolvency of ‘Example Metro’). These events are called Default Termination Events.</w:t>
            </w:r>
          </w:p>
        </w:tc>
      </w:tr>
      <w:tr w:rsidR="001D7D76" w:rsidRPr="00381D99" w14:paraId="0DE9D036" w14:textId="77777777" w:rsidTr="0004564D">
        <w:trPr>
          <w:cantSplit/>
          <w:trHeight w:val="23"/>
        </w:trPr>
        <w:tc>
          <w:tcPr>
            <w:tcW w:w="1561" w:type="dxa"/>
            <w:tcBorders>
              <w:left w:val="single" w:sz="2" w:space="0" w:color="auto"/>
              <w:right w:val="single" w:sz="2" w:space="0" w:color="auto"/>
            </w:tcBorders>
            <w:vAlign w:val="bottom"/>
          </w:tcPr>
          <w:p w14:paraId="7916EACE" w14:textId="77777777" w:rsidR="001D7D76" w:rsidRPr="00FA0C47" w:rsidRDefault="001D7D76" w:rsidP="001D7D76">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vAlign w:val="bottom"/>
          </w:tcPr>
          <w:p w14:paraId="7F3ACD7A" w14:textId="77777777" w:rsidR="001D7D76" w:rsidRPr="00FA0C47" w:rsidRDefault="001D7D76" w:rsidP="001D7D76">
            <w:pPr>
              <w:spacing w:before="120"/>
              <w:rPr>
                <w:b/>
                <w:bCs/>
                <w:sz w:val="18"/>
                <w:szCs w:val="18"/>
              </w:rPr>
            </w:pPr>
            <w:r w:rsidRPr="00FA0C47">
              <w:rPr>
                <w:b/>
                <w:bCs/>
                <w:sz w:val="18"/>
                <w:szCs w:val="18"/>
              </w:rPr>
              <w:t>Accounting for the Service Concession Arrangement</w:t>
            </w:r>
          </w:p>
        </w:tc>
      </w:tr>
      <w:tr w:rsidR="001D7D76" w:rsidRPr="00381D99" w14:paraId="47B84C81" w14:textId="77777777" w:rsidTr="00CC1145">
        <w:trPr>
          <w:cantSplit/>
          <w:trHeight w:val="23"/>
        </w:trPr>
        <w:tc>
          <w:tcPr>
            <w:tcW w:w="1561" w:type="dxa"/>
            <w:tcBorders>
              <w:left w:val="single" w:sz="2" w:space="0" w:color="auto"/>
              <w:right w:val="single" w:sz="2" w:space="0" w:color="auto"/>
            </w:tcBorders>
          </w:tcPr>
          <w:p w14:paraId="5952A978" w14:textId="77777777" w:rsidR="001D7D76" w:rsidRPr="00D239F9" w:rsidRDefault="00CC1145" w:rsidP="00CC1145">
            <w:pPr>
              <w:pStyle w:val="TableReference"/>
              <w:tabs>
                <w:tab w:val="left" w:pos="3306"/>
              </w:tabs>
              <w:rPr>
                <w:rFonts w:cs="Calibri"/>
                <w:color w:val="FF0000"/>
                <w:sz w:val="14"/>
              </w:rPr>
            </w:pPr>
            <w:r w:rsidRPr="00D239F9">
              <w:rPr>
                <w:rFonts w:cs="Calibri"/>
                <w:color w:val="FF0000"/>
                <w:sz w:val="14"/>
              </w:rPr>
              <w:t>AASB 1059.7,8 &amp; 9</w:t>
            </w:r>
          </w:p>
          <w:p w14:paraId="5DB87B58" w14:textId="77777777" w:rsidR="0099287E" w:rsidRDefault="0099287E" w:rsidP="00CC1145">
            <w:pPr>
              <w:pStyle w:val="TableReference"/>
              <w:tabs>
                <w:tab w:val="left" w:pos="3306"/>
              </w:tabs>
              <w:rPr>
                <w:rFonts w:cs="Calibri"/>
                <w:color w:val="FF0000"/>
                <w:sz w:val="14"/>
              </w:rPr>
            </w:pPr>
            <w:r w:rsidRPr="00D239F9">
              <w:rPr>
                <w:rFonts w:cs="Calibri"/>
                <w:color w:val="FF0000"/>
                <w:sz w:val="14"/>
              </w:rPr>
              <w:t>AASB 116.29</w:t>
            </w:r>
          </w:p>
          <w:p w14:paraId="20DC644F" w14:textId="77777777" w:rsidR="0099287E" w:rsidRDefault="0099287E" w:rsidP="00CC1145">
            <w:pPr>
              <w:pStyle w:val="TableReference"/>
              <w:tabs>
                <w:tab w:val="left" w:pos="3306"/>
              </w:tabs>
              <w:rPr>
                <w:rFonts w:cs="Calibri"/>
                <w:color w:val="FF0000"/>
                <w:sz w:val="14"/>
              </w:rPr>
            </w:pPr>
          </w:p>
          <w:p w14:paraId="7147A314" w14:textId="77777777" w:rsidR="0099287E" w:rsidRDefault="0099287E" w:rsidP="00CC1145">
            <w:pPr>
              <w:pStyle w:val="TableReference"/>
              <w:tabs>
                <w:tab w:val="left" w:pos="3306"/>
              </w:tabs>
              <w:rPr>
                <w:rFonts w:cs="Calibri"/>
                <w:color w:val="FF0000"/>
                <w:sz w:val="14"/>
              </w:rPr>
            </w:pPr>
          </w:p>
          <w:p w14:paraId="4E2F0A4C" w14:textId="77777777" w:rsidR="0099287E" w:rsidRDefault="0099287E" w:rsidP="00CC1145">
            <w:pPr>
              <w:pStyle w:val="TableReference"/>
              <w:tabs>
                <w:tab w:val="left" w:pos="3306"/>
              </w:tabs>
              <w:rPr>
                <w:rFonts w:cs="Calibri"/>
                <w:color w:val="FF0000"/>
                <w:sz w:val="14"/>
              </w:rPr>
            </w:pPr>
          </w:p>
          <w:p w14:paraId="1FC0EB26" w14:textId="77777777" w:rsidR="0099287E" w:rsidRDefault="0099287E" w:rsidP="00CC1145">
            <w:pPr>
              <w:pStyle w:val="TableReference"/>
              <w:tabs>
                <w:tab w:val="left" w:pos="3306"/>
              </w:tabs>
              <w:rPr>
                <w:rFonts w:cs="Calibri"/>
                <w:color w:val="FF0000"/>
                <w:sz w:val="14"/>
              </w:rPr>
            </w:pPr>
          </w:p>
          <w:p w14:paraId="601A2907" w14:textId="77777777" w:rsidR="0099287E" w:rsidRDefault="0099287E" w:rsidP="00CC1145">
            <w:pPr>
              <w:pStyle w:val="TableReference"/>
              <w:tabs>
                <w:tab w:val="left" w:pos="3306"/>
              </w:tabs>
              <w:rPr>
                <w:rFonts w:cs="Calibri"/>
                <w:color w:val="FF0000"/>
                <w:sz w:val="14"/>
              </w:rPr>
            </w:pPr>
          </w:p>
          <w:p w14:paraId="5F7C4DD6" w14:textId="77777777" w:rsidR="0099287E" w:rsidRDefault="0099287E" w:rsidP="00CC1145">
            <w:pPr>
              <w:pStyle w:val="TableReference"/>
              <w:tabs>
                <w:tab w:val="left" w:pos="3306"/>
              </w:tabs>
              <w:rPr>
                <w:rFonts w:cs="Calibri"/>
                <w:color w:val="FF0000"/>
                <w:sz w:val="14"/>
              </w:rPr>
            </w:pPr>
          </w:p>
          <w:p w14:paraId="5651F398" w14:textId="77777777" w:rsidR="0099287E" w:rsidRDefault="0099287E" w:rsidP="00CC1145">
            <w:pPr>
              <w:pStyle w:val="TableReference"/>
              <w:tabs>
                <w:tab w:val="left" w:pos="3306"/>
              </w:tabs>
              <w:rPr>
                <w:rFonts w:cs="Calibri"/>
                <w:color w:val="FF0000"/>
                <w:sz w:val="14"/>
              </w:rPr>
            </w:pPr>
          </w:p>
          <w:p w14:paraId="53AE243E" w14:textId="77777777" w:rsidR="0099287E" w:rsidRDefault="0099287E" w:rsidP="00CC1145">
            <w:pPr>
              <w:pStyle w:val="TableReference"/>
              <w:tabs>
                <w:tab w:val="left" w:pos="3306"/>
              </w:tabs>
              <w:rPr>
                <w:rFonts w:cs="Calibri"/>
                <w:color w:val="FF0000"/>
                <w:sz w:val="14"/>
              </w:rPr>
            </w:pPr>
          </w:p>
          <w:p w14:paraId="0C27A623" w14:textId="0A91B36F" w:rsidR="0099287E" w:rsidRPr="00CC1145" w:rsidRDefault="0099287E" w:rsidP="00CC1145">
            <w:pPr>
              <w:pStyle w:val="TableReference"/>
              <w:tabs>
                <w:tab w:val="left" w:pos="3306"/>
              </w:tabs>
              <w:rPr>
                <w:rFonts w:cs="Calibri"/>
                <w:color w:val="7030A0"/>
                <w:sz w:val="14"/>
              </w:rPr>
            </w:pPr>
          </w:p>
        </w:tc>
        <w:tc>
          <w:tcPr>
            <w:tcW w:w="8931" w:type="dxa"/>
            <w:gridSpan w:val="12"/>
            <w:tcBorders>
              <w:left w:val="single" w:sz="2" w:space="0" w:color="auto"/>
            </w:tcBorders>
            <w:shd w:val="clear" w:color="auto" w:fill="auto"/>
            <w:vAlign w:val="bottom"/>
          </w:tcPr>
          <w:p w14:paraId="681D50F9" w14:textId="35040287" w:rsidR="001D7D76" w:rsidRPr="00FA0C47" w:rsidRDefault="001D7D76" w:rsidP="001D7D76">
            <w:pPr>
              <w:spacing w:after="120"/>
              <w:jc w:val="both"/>
              <w:rPr>
                <w:sz w:val="18"/>
                <w:szCs w:val="18"/>
              </w:rPr>
            </w:pPr>
            <w:r w:rsidRPr="00FA0C47">
              <w:rPr>
                <w:sz w:val="18"/>
                <w:szCs w:val="18"/>
              </w:rPr>
              <w:t>AASB 1059 requires the application of a control</w:t>
            </w:r>
            <w:r w:rsidRPr="00FA0C47">
              <w:rPr>
                <w:sz w:val="18"/>
                <w:szCs w:val="18"/>
              </w:rPr>
              <w:noBreakHyphen/>
              <w:t>based approach to the recognition of assets.</w:t>
            </w:r>
            <w:r w:rsidR="00FA7C77">
              <w:rPr>
                <w:sz w:val="18"/>
                <w:szCs w:val="18"/>
              </w:rPr>
              <w:t xml:space="preserve"> </w:t>
            </w:r>
            <w:r w:rsidRPr="00FA0C47">
              <w:rPr>
                <w:sz w:val="18"/>
                <w:szCs w:val="18"/>
              </w:rPr>
              <w:t>On initial recognition or reclassification, service concession assets are measured at current replacement cost.</w:t>
            </w:r>
            <w:r w:rsidR="00FA7C77">
              <w:rPr>
                <w:sz w:val="18"/>
                <w:szCs w:val="18"/>
              </w:rPr>
              <w:t xml:space="preserve"> </w:t>
            </w:r>
            <w:r w:rsidRPr="00FA0C47">
              <w:rPr>
                <w:sz w:val="18"/>
                <w:szCs w:val="18"/>
              </w:rPr>
              <w:t xml:space="preserve">After initial recognition or reclassification, service concession assets are either measured at fair value (current replacement cost) using the </w:t>
            </w:r>
            <w:r w:rsidRPr="00C26240">
              <w:rPr>
                <w:strike/>
                <w:color w:val="FF0000"/>
                <w:sz w:val="18"/>
                <w:szCs w:val="18"/>
              </w:rPr>
              <w:t>fair value</w:t>
            </w:r>
            <w:r w:rsidRPr="00FA0C47">
              <w:rPr>
                <w:sz w:val="18"/>
                <w:szCs w:val="18"/>
              </w:rPr>
              <w:t xml:space="preserve"> </w:t>
            </w:r>
            <w:r w:rsidR="00C26240" w:rsidRPr="00C26240">
              <w:rPr>
                <w:color w:val="FF0000"/>
                <w:sz w:val="18"/>
                <w:szCs w:val="18"/>
              </w:rPr>
              <w:t>revaluation</w:t>
            </w:r>
            <w:r w:rsidR="00C26240">
              <w:rPr>
                <w:sz w:val="18"/>
                <w:szCs w:val="18"/>
              </w:rPr>
              <w:t xml:space="preserve"> </w:t>
            </w:r>
            <w:r w:rsidRPr="00FA0C47">
              <w:rPr>
                <w:sz w:val="18"/>
                <w:szCs w:val="18"/>
              </w:rPr>
              <w:t xml:space="preserve">model or at cost using the cost model </w:t>
            </w:r>
            <w:r w:rsidRPr="00D239F9">
              <w:rPr>
                <w:strike/>
                <w:color w:val="FF0000"/>
                <w:sz w:val="18"/>
                <w:szCs w:val="18"/>
              </w:rPr>
              <w:t>in accordance with AASB 116</w:t>
            </w:r>
            <w:r w:rsidRPr="00D239F9">
              <w:rPr>
                <w:sz w:val="18"/>
                <w:szCs w:val="18"/>
              </w:rPr>
              <w:t>.</w:t>
            </w:r>
            <w:r w:rsidR="00FA7C77">
              <w:rPr>
                <w:sz w:val="18"/>
                <w:szCs w:val="18"/>
              </w:rPr>
              <w:t xml:space="preserve"> </w:t>
            </w:r>
            <w:r w:rsidRPr="00FA0C47">
              <w:rPr>
                <w:sz w:val="18"/>
                <w:szCs w:val="18"/>
              </w:rPr>
              <w:t>‘Burley Griffin Agency’ measures light rail infrastructure assets and light rail building assets at fair value (determined using current replacement cost) after initial recognition, whereas light rail plant and equipment is held at cost.</w:t>
            </w:r>
            <w:r w:rsidR="00FA7C77">
              <w:rPr>
                <w:sz w:val="18"/>
                <w:szCs w:val="18"/>
              </w:rPr>
              <w:t xml:space="preserve"> </w:t>
            </w:r>
            <w:r w:rsidRPr="00FA0C47">
              <w:rPr>
                <w:sz w:val="18"/>
                <w:szCs w:val="18"/>
              </w:rPr>
              <w:t>The assets are depreciated on a straight-line basis over their useful lives, which are 30 years for light rail plant and equipment, and 50 years for light rail infrastructure assets and light rail building assets.</w:t>
            </w:r>
          </w:p>
        </w:tc>
      </w:tr>
      <w:tr w:rsidR="001D7D76" w:rsidRPr="00381D99" w14:paraId="610F1768" w14:textId="77777777" w:rsidTr="0099287E">
        <w:trPr>
          <w:cantSplit/>
          <w:trHeight w:val="23"/>
        </w:trPr>
        <w:tc>
          <w:tcPr>
            <w:tcW w:w="1561" w:type="dxa"/>
            <w:tcBorders>
              <w:left w:val="single" w:sz="2" w:space="0" w:color="auto"/>
              <w:right w:val="single" w:sz="2" w:space="0" w:color="auto"/>
            </w:tcBorders>
          </w:tcPr>
          <w:p w14:paraId="3F12D3FE" w14:textId="3C96DE7F" w:rsidR="001D7D76" w:rsidRPr="00D239F9" w:rsidRDefault="0099287E" w:rsidP="0099287E">
            <w:pPr>
              <w:pStyle w:val="TableReference"/>
              <w:tabs>
                <w:tab w:val="left" w:pos="3306"/>
              </w:tabs>
              <w:rPr>
                <w:rFonts w:cs="Calibri"/>
                <w:color w:val="7030A0"/>
                <w:sz w:val="14"/>
              </w:rPr>
            </w:pPr>
            <w:r w:rsidRPr="00D239F9">
              <w:rPr>
                <w:rFonts w:cs="Calibri"/>
                <w:color w:val="FF0000"/>
                <w:sz w:val="14"/>
              </w:rPr>
              <w:t>AASB 1059.11</w:t>
            </w:r>
          </w:p>
        </w:tc>
        <w:tc>
          <w:tcPr>
            <w:tcW w:w="8931" w:type="dxa"/>
            <w:gridSpan w:val="12"/>
            <w:tcBorders>
              <w:left w:val="single" w:sz="2" w:space="0" w:color="auto"/>
            </w:tcBorders>
            <w:shd w:val="clear" w:color="auto" w:fill="auto"/>
            <w:vAlign w:val="bottom"/>
          </w:tcPr>
          <w:p w14:paraId="505B7E74" w14:textId="14B0640E" w:rsidR="001D7D76" w:rsidRPr="00FA0C47" w:rsidRDefault="001D7D76" w:rsidP="001D7D76">
            <w:pPr>
              <w:spacing w:after="120"/>
              <w:jc w:val="both"/>
              <w:rPr>
                <w:sz w:val="18"/>
                <w:szCs w:val="18"/>
              </w:rPr>
            </w:pPr>
            <w:r w:rsidRPr="00FA0C47">
              <w:rPr>
                <w:sz w:val="18"/>
                <w:szCs w:val="18"/>
              </w:rPr>
              <w:t>A service concession liability is recognised at the same time as recognising or reclassifying a service concession asset.</w:t>
            </w:r>
            <w:r w:rsidR="00FA7C77">
              <w:rPr>
                <w:sz w:val="18"/>
                <w:szCs w:val="18"/>
              </w:rPr>
              <w:t xml:space="preserve"> </w:t>
            </w:r>
            <w:r w:rsidRPr="00FA0C47">
              <w:rPr>
                <w:sz w:val="18"/>
                <w:szCs w:val="18"/>
              </w:rPr>
              <w:t>The service concession liability is initially measured at the same amount as the asset, adjusted for any other consideration exchanged between ‘Burley Griffin Agency’ and the operator.</w:t>
            </w:r>
            <w:r w:rsidR="00FA7C77">
              <w:rPr>
                <w:sz w:val="18"/>
                <w:szCs w:val="18"/>
              </w:rPr>
              <w:t xml:space="preserve"> </w:t>
            </w:r>
            <w:r w:rsidRPr="00FA0C47">
              <w:rPr>
                <w:sz w:val="18"/>
                <w:szCs w:val="18"/>
              </w:rPr>
              <w:t>Where an existing asset of ‘Burley Griffin Agency’ is reclassified as a service concession asset then ‘Burley Griffin Agency’ does not recognise a corresponding service concession liability for this asset, except in circumstances where additional consideration is provided for the asset by the operator.</w:t>
            </w:r>
            <w:r w:rsidR="00FA7C77">
              <w:rPr>
                <w:sz w:val="18"/>
                <w:szCs w:val="18"/>
              </w:rPr>
              <w:t xml:space="preserve"> </w:t>
            </w:r>
            <w:r w:rsidRPr="00FA0C47">
              <w:rPr>
                <w:sz w:val="18"/>
                <w:szCs w:val="18"/>
              </w:rPr>
              <w:t>The service concession liability is initially recognised as a financial liability where ‘Burley Griffin Agency’ has a contractual obligation to make specified or determinable future payments to the operator for the construction, development, acquisition or upgrade of a service concession asset.</w:t>
            </w:r>
            <w:r w:rsidR="00FA7C77">
              <w:rPr>
                <w:sz w:val="18"/>
                <w:szCs w:val="18"/>
              </w:rPr>
              <w:t xml:space="preserve"> </w:t>
            </w:r>
            <w:r w:rsidRPr="00FA0C47">
              <w:rPr>
                <w:sz w:val="18"/>
                <w:szCs w:val="18"/>
              </w:rPr>
              <w:t>However, the service concession liability is initially recognised as a service concession unearned revenue liability where the grantor grants the operator a right to charge third party users or a right to access another revenue-generating asset.</w:t>
            </w:r>
            <w:r w:rsidR="00FA7C77">
              <w:rPr>
                <w:sz w:val="18"/>
                <w:szCs w:val="18"/>
              </w:rPr>
              <w:t xml:space="preserve"> </w:t>
            </w:r>
          </w:p>
        </w:tc>
      </w:tr>
      <w:tr w:rsidR="001D7D76" w:rsidRPr="00381D99" w14:paraId="2B133A7B" w14:textId="77777777" w:rsidTr="0004564D">
        <w:trPr>
          <w:cantSplit/>
          <w:trHeight w:val="23"/>
        </w:trPr>
        <w:tc>
          <w:tcPr>
            <w:tcW w:w="1561" w:type="dxa"/>
            <w:tcBorders>
              <w:left w:val="single" w:sz="2" w:space="0" w:color="auto"/>
              <w:right w:val="single" w:sz="2" w:space="0" w:color="auto"/>
            </w:tcBorders>
          </w:tcPr>
          <w:p w14:paraId="54BEBE36" w14:textId="16681958" w:rsidR="001D7D76" w:rsidRPr="00D239F9" w:rsidRDefault="00650405" w:rsidP="001D7D76">
            <w:pPr>
              <w:pStyle w:val="TableReference"/>
              <w:tabs>
                <w:tab w:val="left" w:pos="3306"/>
              </w:tabs>
              <w:spacing w:after="240"/>
              <w:rPr>
                <w:rFonts w:cs="Calibri"/>
                <w:color w:val="7030A0"/>
                <w:sz w:val="14"/>
              </w:rPr>
            </w:pPr>
            <w:r w:rsidRPr="00D239F9">
              <w:rPr>
                <w:rFonts w:cs="Calibri"/>
                <w:color w:val="FF0000"/>
                <w:sz w:val="14"/>
              </w:rPr>
              <w:t xml:space="preserve">AASB 1059.24 &amp; 25 </w:t>
            </w:r>
          </w:p>
        </w:tc>
        <w:tc>
          <w:tcPr>
            <w:tcW w:w="8931" w:type="dxa"/>
            <w:gridSpan w:val="12"/>
            <w:tcBorders>
              <w:left w:val="single" w:sz="2" w:space="0" w:color="auto"/>
            </w:tcBorders>
            <w:shd w:val="clear" w:color="auto" w:fill="auto"/>
            <w:vAlign w:val="bottom"/>
          </w:tcPr>
          <w:p w14:paraId="3493F463" w14:textId="3BB75BF2" w:rsidR="001D7D76" w:rsidRPr="00FA0C47" w:rsidRDefault="001D7D76" w:rsidP="001D7D76">
            <w:pPr>
              <w:spacing w:after="120"/>
              <w:jc w:val="both"/>
              <w:rPr>
                <w:sz w:val="18"/>
                <w:szCs w:val="18"/>
              </w:rPr>
            </w:pPr>
            <w:r w:rsidRPr="00FA0C47">
              <w:rPr>
                <w:sz w:val="18"/>
                <w:szCs w:val="18"/>
              </w:rPr>
              <w:t>Where a service concession arrangement involves both payments to the operator and a grant of a right to the operator (Hybrid Arrangement) then ‘Burley Griffin Agency’ recognises both a service concession financial liability and a service concession unearned revenue liability. In measuring both these liabilities under a hybrid model, the financial liability part is measured first, with the remainder of the total liability (i</w:t>
            </w:r>
            <w:r w:rsidR="00650405">
              <w:rPr>
                <w:sz w:val="18"/>
                <w:szCs w:val="18"/>
              </w:rPr>
              <w:t>.</w:t>
            </w:r>
            <w:r w:rsidRPr="00FA0C47">
              <w:rPr>
                <w:sz w:val="18"/>
                <w:szCs w:val="18"/>
              </w:rPr>
              <w:t>e</w:t>
            </w:r>
            <w:r w:rsidR="00650405">
              <w:rPr>
                <w:sz w:val="18"/>
                <w:szCs w:val="18"/>
              </w:rPr>
              <w:t>.</w:t>
            </w:r>
            <w:r w:rsidRPr="00FA0C47">
              <w:rPr>
                <w:sz w:val="18"/>
                <w:szCs w:val="18"/>
              </w:rPr>
              <w:t xml:space="preserve"> amount of the service concession asset) allocated to the unearned revenue liability.</w:t>
            </w:r>
            <w:r w:rsidR="00FA7C77">
              <w:rPr>
                <w:sz w:val="18"/>
                <w:szCs w:val="18"/>
              </w:rPr>
              <w:t xml:space="preserve"> </w:t>
            </w:r>
            <w:r w:rsidRPr="00FA0C47">
              <w:rPr>
                <w:sz w:val="18"/>
                <w:szCs w:val="18"/>
              </w:rPr>
              <w:t>The financial liability portion is calculated by discounting future payments using the contractually specified interest rate or otherwise a prevailing market rate for a similar instrument with a similar credit rating.</w:t>
            </w:r>
            <w:r w:rsidR="00FA7C77">
              <w:rPr>
                <w:sz w:val="18"/>
                <w:szCs w:val="18"/>
              </w:rPr>
              <w:t xml:space="preserve"> </w:t>
            </w:r>
          </w:p>
        </w:tc>
      </w:tr>
      <w:tr w:rsidR="001D7D76" w:rsidRPr="00381D99" w14:paraId="403A8755" w14:textId="77777777" w:rsidTr="0004564D">
        <w:trPr>
          <w:cantSplit/>
          <w:trHeight w:val="23"/>
        </w:trPr>
        <w:tc>
          <w:tcPr>
            <w:tcW w:w="1561" w:type="dxa"/>
            <w:tcBorders>
              <w:left w:val="single" w:sz="2" w:space="0" w:color="auto"/>
              <w:right w:val="single" w:sz="2" w:space="0" w:color="auto"/>
            </w:tcBorders>
          </w:tcPr>
          <w:p w14:paraId="3C15B6AF" w14:textId="77777777" w:rsidR="001D7D76" w:rsidRPr="00FA0C47" w:rsidRDefault="001D7D76" w:rsidP="001D7D76">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280E1B50" w14:textId="0519C074" w:rsidR="001D7D76" w:rsidRPr="00FA0C47" w:rsidRDefault="001D7D76" w:rsidP="001D7D76">
            <w:pPr>
              <w:spacing w:after="120"/>
              <w:jc w:val="both"/>
              <w:rPr>
                <w:sz w:val="18"/>
                <w:szCs w:val="18"/>
              </w:rPr>
            </w:pPr>
            <w:r w:rsidRPr="00FA0C47">
              <w:rPr>
                <w:sz w:val="18"/>
                <w:szCs w:val="18"/>
              </w:rPr>
              <w:t>Subsequent to initial recognition or reclassification, the service concession financial liability accrues interest and is reduced when capital payments are made to the ‘Example Metro’.</w:t>
            </w:r>
            <w:r w:rsidR="00FA7C77">
              <w:rPr>
                <w:sz w:val="18"/>
                <w:szCs w:val="18"/>
              </w:rPr>
              <w:t xml:space="preserve"> </w:t>
            </w:r>
            <w:r w:rsidRPr="00FA0C47">
              <w:rPr>
                <w:sz w:val="18"/>
                <w:szCs w:val="18"/>
              </w:rPr>
              <w:t>The service concession unearned revenue liability is amortised as revenue on a straight-line basis over the remaining concession period.</w:t>
            </w:r>
          </w:p>
        </w:tc>
      </w:tr>
      <w:tr w:rsidR="00C63117" w:rsidRPr="00381D99" w14:paraId="3EC78EF2" w14:textId="77777777" w:rsidTr="00AF4715">
        <w:trPr>
          <w:cantSplit/>
          <w:trHeight w:val="23"/>
        </w:trPr>
        <w:tc>
          <w:tcPr>
            <w:tcW w:w="1561" w:type="dxa"/>
            <w:tcBorders>
              <w:left w:val="single" w:sz="2" w:space="0" w:color="auto"/>
              <w:right w:val="single" w:sz="2" w:space="0" w:color="auto"/>
            </w:tcBorders>
          </w:tcPr>
          <w:p w14:paraId="5109664D" w14:textId="6A8055A0" w:rsidR="00C63117" w:rsidRPr="00FA0C47" w:rsidRDefault="00C63117" w:rsidP="00AF4715">
            <w:pPr>
              <w:pStyle w:val="TableReference"/>
              <w:tabs>
                <w:tab w:val="left" w:pos="3306"/>
              </w:tabs>
              <w:spacing w:before="240" w:after="240"/>
              <w:rPr>
                <w:rFonts w:cs="Calibri"/>
                <w:color w:val="7030A0"/>
                <w:sz w:val="18"/>
                <w:szCs w:val="18"/>
              </w:rPr>
            </w:pPr>
            <w:r w:rsidRPr="00FA0C47">
              <w:rPr>
                <w:rFonts w:cs="Calibri"/>
                <w:b/>
                <w:color w:val="7030A0"/>
                <w:sz w:val="22"/>
                <w:szCs w:val="22"/>
              </w:rPr>
              <w:t>Reference</w:t>
            </w:r>
          </w:p>
        </w:tc>
        <w:tc>
          <w:tcPr>
            <w:tcW w:w="8931" w:type="dxa"/>
            <w:gridSpan w:val="12"/>
            <w:tcBorders>
              <w:left w:val="single" w:sz="2" w:space="0" w:color="auto"/>
            </w:tcBorders>
            <w:shd w:val="clear" w:color="auto" w:fill="auto"/>
          </w:tcPr>
          <w:p w14:paraId="70A6819E" w14:textId="7AAD6A9C" w:rsidR="00C63117" w:rsidRPr="00976DE1" w:rsidRDefault="00C63117" w:rsidP="00AF4715">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0A1EDA">
              <w:rPr>
                <w:rFonts w:ascii="Arial" w:hAnsi="Arial"/>
                <w:b/>
                <w:bCs/>
                <w:caps/>
                <w:sz w:val="32"/>
                <w:szCs w:val="24"/>
              </w:rPr>
              <w:t>–</w:t>
            </w:r>
            <w:r>
              <w:rPr>
                <w:rFonts w:ascii="Arial" w:hAnsi="Arial"/>
                <w:b/>
                <w:bCs/>
                <w:caps/>
                <w:sz w:val="32"/>
                <w:szCs w:val="24"/>
              </w:rPr>
              <w:t xml:space="preserve"> Continued</w:t>
            </w:r>
            <w:r w:rsidR="000A1EDA">
              <w:rPr>
                <w:rFonts w:ascii="Arial" w:hAnsi="Arial"/>
                <w:b/>
                <w:bCs/>
                <w:caps/>
                <w:sz w:val="32"/>
                <w:szCs w:val="24"/>
              </w:rPr>
              <w:t xml:space="preserve"> </w:t>
            </w:r>
          </w:p>
        </w:tc>
      </w:tr>
      <w:tr w:rsidR="00C63117" w:rsidRPr="00677FFD" w14:paraId="5D88F5E4" w14:textId="77777777" w:rsidTr="0004564D">
        <w:trPr>
          <w:cantSplit/>
          <w:trHeight w:val="127"/>
        </w:trPr>
        <w:tc>
          <w:tcPr>
            <w:tcW w:w="1561" w:type="dxa"/>
            <w:tcBorders>
              <w:left w:val="single" w:sz="2" w:space="0" w:color="auto"/>
              <w:right w:val="single" w:sz="2" w:space="0" w:color="auto"/>
            </w:tcBorders>
            <w:vAlign w:val="bottom"/>
          </w:tcPr>
          <w:p w14:paraId="2591B245"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170BEBB" w14:textId="08A88A3B" w:rsidR="00C63117" w:rsidRPr="00FA0C47" w:rsidRDefault="00C63117" w:rsidP="00C63117">
            <w:pPr>
              <w:rPr>
                <w:b/>
                <w:sz w:val="18"/>
                <w:szCs w:val="18"/>
              </w:rPr>
            </w:pPr>
          </w:p>
        </w:tc>
        <w:tc>
          <w:tcPr>
            <w:tcW w:w="4252" w:type="dxa"/>
            <w:gridSpan w:val="10"/>
            <w:tcBorders>
              <w:bottom w:val="single" w:sz="4" w:space="0" w:color="auto"/>
            </w:tcBorders>
            <w:shd w:val="clear" w:color="auto" w:fill="auto"/>
            <w:vAlign w:val="bottom"/>
          </w:tcPr>
          <w:p w14:paraId="07542CBE" w14:textId="502AB904" w:rsidR="00C63117" w:rsidRPr="00FA0C47" w:rsidRDefault="00C63117" w:rsidP="00C63117">
            <w:pPr>
              <w:jc w:val="center"/>
              <w:rPr>
                <w:b/>
                <w:sz w:val="18"/>
                <w:szCs w:val="18"/>
              </w:rPr>
            </w:pPr>
            <w:r w:rsidRPr="00FA0C47">
              <w:rPr>
                <w:b/>
                <w:bCs/>
                <w:sz w:val="18"/>
                <w:szCs w:val="18"/>
              </w:rPr>
              <w:t>Light Rail S</w:t>
            </w:r>
            <w:r w:rsidRPr="00FA0C47">
              <w:rPr>
                <w:b/>
                <w:sz w:val="18"/>
                <w:szCs w:val="18"/>
              </w:rPr>
              <w:t>ervice Concession Arrangement</w:t>
            </w:r>
          </w:p>
        </w:tc>
        <w:tc>
          <w:tcPr>
            <w:tcW w:w="711" w:type="dxa"/>
            <w:shd w:val="clear" w:color="auto" w:fill="auto"/>
            <w:vAlign w:val="bottom"/>
          </w:tcPr>
          <w:p w14:paraId="0CBA2E25" w14:textId="757E3F6D" w:rsidR="00C63117" w:rsidRPr="00FA0C47" w:rsidRDefault="00C63117" w:rsidP="00C63117">
            <w:pPr>
              <w:jc w:val="right"/>
              <w:rPr>
                <w:b/>
                <w:sz w:val="18"/>
                <w:szCs w:val="18"/>
              </w:rPr>
            </w:pPr>
          </w:p>
        </w:tc>
      </w:tr>
      <w:tr w:rsidR="00C63117" w:rsidRPr="00677FFD" w14:paraId="04439E12" w14:textId="77777777" w:rsidTr="0004564D">
        <w:trPr>
          <w:cantSplit/>
          <w:trHeight w:val="127"/>
        </w:trPr>
        <w:tc>
          <w:tcPr>
            <w:tcW w:w="1561" w:type="dxa"/>
            <w:tcBorders>
              <w:left w:val="single" w:sz="2" w:space="0" w:color="auto"/>
              <w:right w:val="single" w:sz="2" w:space="0" w:color="auto"/>
            </w:tcBorders>
            <w:vAlign w:val="bottom"/>
          </w:tcPr>
          <w:p w14:paraId="402D248A"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1EDFA112" w14:textId="77777777" w:rsidR="00C63117" w:rsidRPr="00FA0C47" w:rsidRDefault="00C63117" w:rsidP="00C63117">
            <w:pPr>
              <w:jc w:val="right"/>
              <w:rPr>
                <w:rFonts w:cs="Calibri"/>
                <w:b/>
                <w:sz w:val="14"/>
                <w:szCs w:val="14"/>
              </w:rPr>
            </w:pPr>
          </w:p>
        </w:tc>
        <w:tc>
          <w:tcPr>
            <w:tcW w:w="1417" w:type="dxa"/>
            <w:gridSpan w:val="3"/>
            <w:shd w:val="clear" w:color="auto" w:fill="auto"/>
            <w:vAlign w:val="bottom"/>
          </w:tcPr>
          <w:p w14:paraId="3007F8F2" w14:textId="115F51D6" w:rsidR="00C63117" w:rsidRPr="00FA0C47" w:rsidRDefault="00C63117" w:rsidP="00C63117">
            <w:pPr>
              <w:jc w:val="right"/>
              <w:rPr>
                <w:b/>
                <w:bCs/>
                <w:sz w:val="18"/>
                <w:szCs w:val="18"/>
              </w:rPr>
            </w:pPr>
            <w:r w:rsidRPr="00FA0C47">
              <w:rPr>
                <w:rFonts w:cs="Calibri"/>
                <w:b/>
                <w:bCs/>
                <w:sz w:val="18"/>
                <w:szCs w:val="18"/>
              </w:rPr>
              <w:t>Service Concession Arrangement Building Assets</w:t>
            </w:r>
          </w:p>
        </w:tc>
        <w:tc>
          <w:tcPr>
            <w:tcW w:w="1418" w:type="dxa"/>
            <w:gridSpan w:val="3"/>
            <w:vAlign w:val="bottom"/>
          </w:tcPr>
          <w:p w14:paraId="3CE61D41" w14:textId="28D060C9" w:rsidR="00C63117" w:rsidRPr="00FA0C47" w:rsidRDefault="00C63117" w:rsidP="00C63117">
            <w:pPr>
              <w:jc w:val="right"/>
              <w:rPr>
                <w:b/>
                <w:bCs/>
                <w:sz w:val="18"/>
                <w:szCs w:val="18"/>
              </w:rPr>
            </w:pPr>
            <w:r w:rsidRPr="00FA0C47">
              <w:rPr>
                <w:rFonts w:cs="Calibri"/>
                <w:b/>
                <w:bCs/>
                <w:sz w:val="18"/>
                <w:szCs w:val="18"/>
              </w:rPr>
              <w:t>Service Concession Arrangement Plant and Equipment</w:t>
            </w:r>
          </w:p>
        </w:tc>
        <w:tc>
          <w:tcPr>
            <w:tcW w:w="1417" w:type="dxa"/>
            <w:gridSpan w:val="4"/>
            <w:vAlign w:val="bottom"/>
          </w:tcPr>
          <w:p w14:paraId="62FD0913" w14:textId="1242D41F" w:rsidR="00C63117" w:rsidRPr="00FA0C47" w:rsidRDefault="00C63117" w:rsidP="00C63117">
            <w:pPr>
              <w:jc w:val="right"/>
              <w:rPr>
                <w:b/>
                <w:bCs/>
                <w:sz w:val="18"/>
                <w:szCs w:val="18"/>
              </w:rPr>
            </w:pPr>
            <w:r w:rsidRPr="00FA0C47">
              <w:rPr>
                <w:rFonts w:cs="Calibri"/>
                <w:b/>
                <w:bCs/>
                <w:sz w:val="18"/>
                <w:szCs w:val="18"/>
              </w:rPr>
              <w:t>Service Concession Arrangement Infrastructure Assets</w:t>
            </w:r>
          </w:p>
        </w:tc>
        <w:tc>
          <w:tcPr>
            <w:tcW w:w="711" w:type="dxa"/>
            <w:shd w:val="clear" w:color="auto" w:fill="auto"/>
            <w:vAlign w:val="bottom"/>
          </w:tcPr>
          <w:p w14:paraId="2051FC2A" w14:textId="2C008AAA" w:rsidR="00C63117" w:rsidRPr="00FA0C47" w:rsidRDefault="00C63117" w:rsidP="00C63117">
            <w:pPr>
              <w:jc w:val="right"/>
              <w:rPr>
                <w:b/>
                <w:sz w:val="18"/>
                <w:szCs w:val="18"/>
              </w:rPr>
            </w:pPr>
            <w:r w:rsidRPr="00FA0C47">
              <w:rPr>
                <w:b/>
                <w:sz w:val="18"/>
                <w:szCs w:val="18"/>
              </w:rPr>
              <w:t>Total</w:t>
            </w:r>
          </w:p>
        </w:tc>
      </w:tr>
      <w:tr w:rsidR="00C63117" w:rsidRPr="00677FFD" w14:paraId="53933678" w14:textId="77777777" w:rsidTr="0004564D">
        <w:trPr>
          <w:cantSplit/>
          <w:trHeight w:val="127"/>
        </w:trPr>
        <w:tc>
          <w:tcPr>
            <w:tcW w:w="1561" w:type="dxa"/>
            <w:tcBorders>
              <w:left w:val="single" w:sz="2" w:space="0" w:color="auto"/>
              <w:right w:val="single" w:sz="2" w:space="0" w:color="auto"/>
            </w:tcBorders>
            <w:vAlign w:val="bottom"/>
          </w:tcPr>
          <w:p w14:paraId="46697757"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571425B6" w14:textId="77777777" w:rsidR="00C63117" w:rsidRPr="00FA0C47" w:rsidRDefault="00C63117" w:rsidP="00C63117">
            <w:pPr>
              <w:jc w:val="right"/>
              <w:rPr>
                <w:rFonts w:cs="Calibri"/>
                <w:b/>
                <w:sz w:val="14"/>
                <w:szCs w:val="14"/>
              </w:rPr>
            </w:pPr>
          </w:p>
        </w:tc>
        <w:tc>
          <w:tcPr>
            <w:tcW w:w="1417" w:type="dxa"/>
            <w:gridSpan w:val="3"/>
            <w:shd w:val="clear" w:color="auto" w:fill="auto"/>
            <w:vAlign w:val="bottom"/>
          </w:tcPr>
          <w:p w14:paraId="3AF7A08B" w14:textId="4A372C82" w:rsidR="00C63117" w:rsidRPr="00FA0C47" w:rsidRDefault="00C63117" w:rsidP="00C63117">
            <w:pPr>
              <w:jc w:val="right"/>
              <w:rPr>
                <w:rFonts w:cs="Calibri"/>
                <w:sz w:val="18"/>
                <w:szCs w:val="18"/>
              </w:rPr>
            </w:pPr>
            <w:r w:rsidRPr="00FA0C47">
              <w:rPr>
                <w:b/>
                <w:sz w:val="18"/>
                <w:szCs w:val="18"/>
              </w:rPr>
              <w:t>$’000</w:t>
            </w:r>
          </w:p>
        </w:tc>
        <w:tc>
          <w:tcPr>
            <w:tcW w:w="1418" w:type="dxa"/>
            <w:gridSpan w:val="3"/>
            <w:vAlign w:val="bottom"/>
          </w:tcPr>
          <w:p w14:paraId="48D6BDC7" w14:textId="41B35C74" w:rsidR="00C63117" w:rsidRPr="00FA0C47" w:rsidRDefault="00C63117" w:rsidP="00C63117">
            <w:pPr>
              <w:jc w:val="right"/>
              <w:rPr>
                <w:rFonts w:cs="Calibri"/>
                <w:sz w:val="18"/>
                <w:szCs w:val="18"/>
              </w:rPr>
            </w:pPr>
            <w:r w:rsidRPr="00FA0C47">
              <w:rPr>
                <w:b/>
                <w:sz w:val="18"/>
                <w:szCs w:val="18"/>
              </w:rPr>
              <w:t>$’000</w:t>
            </w:r>
          </w:p>
        </w:tc>
        <w:tc>
          <w:tcPr>
            <w:tcW w:w="1417" w:type="dxa"/>
            <w:gridSpan w:val="4"/>
            <w:vAlign w:val="bottom"/>
          </w:tcPr>
          <w:p w14:paraId="713B477E" w14:textId="18EEB731" w:rsidR="00C63117" w:rsidRPr="00FA0C47" w:rsidRDefault="00C63117" w:rsidP="00C63117">
            <w:pPr>
              <w:jc w:val="right"/>
              <w:rPr>
                <w:rFonts w:cs="Calibri"/>
                <w:sz w:val="18"/>
                <w:szCs w:val="18"/>
              </w:rPr>
            </w:pPr>
            <w:r w:rsidRPr="00FA0C47">
              <w:rPr>
                <w:b/>
                <w:sz w:val="18"/>
                <w:szCs w:val="18"/>
              </w:rPr>
              <w:t>$’000</w:t>
            </w:r>
          </w:p>
        </w:tc>
        <w:tc>
          <w:tcPr>
            <w:tcW w:w="711" w:type="dxa"/>
            <w:shd w:val="clear" w:color="auto" w:fill="auto"/>
            <w:vAlign w:val="bottom"/>
          </w:tcPr>
          <w:p w14:paraId="0A32A290" w14:textId="18F69F9B" w:rsidR="00C63117" w:rsidRPr="00FA0C47" w:rsidRDefault="00C63117" w:rsidP="00C63117">
            <w:pPr>
              <w:jc w:val="right"/>
              <w:rPr>
                <w:b/>
                <w:sz w:val="18"/>
                <w:szCs w:val="18"/>
              </w:rPr>
            </w:pPr>
            <w:r w:rsidRPr="00FA0C47">
              <w:rPr>
                <w:b/>
                <w:sz w:val="18"/>
                <w:szCs w:val="18"/>
              </w:rPr>
              <w:t>$’000</w:t>
            </w:r>
          </w:p>
        </w:tc>
      </w:tr>
      <w:tr w:rsidR="00C63117" w:rsidRPr="00677FFD" w14:paraId="7204BC6E" w14:textId="77777777" w:rsidTr="0004564D">
        <w:trPr>
          <w:cantSplit/>
          <w:trHeight w:val="127"/>
        </w:trPr>
        <w:tc>
          <w:tcPr>
            <w:tcW w:w="1561" w:type="dxa"/>
            <w:tcBorders>
              <w:left w:val="single" w:sz="2" w:space="0" w:color="auto"/>
              <w:right w:val="single" w:sz="2" w:space="0" w:color="auto"/>
            </w:tcBorders>
            <w:vAlign w:val="bottom"/>
          </w:tcPr>
          <w:p w14:paraId="62D5E2AE" w14:textId="74571A1D"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1059.28 &amp; 29</w:t>
            </w:r>
          </w:p>
        </w:tc>
        <w:tc>
          <w:tcPr>
            <w:tcW w:w="3968" w:type="dxa"/>
            <w:tcBorders>
              <w:left w:val="single" w:sz="2" w:space="0" w:color="auto"/>
            </w:tcBorders>
            <w:shd w:val="clear" w:color="auto" w:fill="auto"/>
            <w:vAlign w:val="bottom"/>
          </w:tcPr>
          <w:p w14:paraId="42660866" w14:textId="0BCFE793" w:rsidR="00C63117" w:rsidRPr="00FA0C47" w:rsidRDefault="00C63117" w:rsidP="00C63117">
            <w:pPr>
              <w:rPr>
                <w:rFonts w:cs="Calibri"/>
                <w:b/>
                <w:sz w:val="14"/>
                <w:szCs w:val="14"/>
              </w:rPr>
            </w:pPr>
            <w:r w:rsidRPr="00FA0C47">
              <w:rPr>
                <w:b/>
                <w:sz w:val="18"/>
                <w:szCs w:val="18"/>
              </w:rPr>
              <w:t>Service Concession Asset Reconciliation</w:t>
            </w:r>
          </w:p>
        </w:tc>
        <w:tc>
          <w:tcPr>
            <w:tcW w:w="1417" w:type="dxa"/>
            <w:gridSpan w:val="3"/>
            <w:shd w:val="clear" w:color="auto" w:fill="auto"/>
            <w:vAlign w:val="bottom"/>
          </w:tcPr>
          <w:p w14:paraId="5F5D0D11" w14:textId="77777777" w:rsidR="00C63117" w:rsidRPr="00FA0C47" w:rsidRDefault="00C63117" w:rsidP="00C63117">
            <w:pPr>
              <w:jc w:val="right"/>
              <w:rPr>
                <w:rFonts w:cs="Calibri"/>
                <w:sz w:val="12"/>
                <w:szCs w:val="12"/>
              </w:rPr>
            </w:pPr>
          </w:p>
        </w:tc>
        <w:tc>
          <w:tcPr>
            <w:tcW w:w="1418" w:type="dxa"/>
            <w:gridSpan w:val="3"/>
            <w:vAlign w:val="bottom"/>
          </w:tcPr>
          <w:p w14:paraId="0FCB211E" w14:textId="77777777" w:rsidR="00C63117" w:rsidRPr="00FA0C47" w:rsidRDefault="00C63117" w:rsidP="00C63117">
            <w:pPr>
              <w:jc w:val="right"/>
              <w:rPr>
                <w:b/>
                <w:sz w:val="18"/>
                <w:szCs w:val="18"/>
              </w:rPr>
            </w:pPr>
          </w:p>
        </w:tc>
        <w:tc>
          <w:tcPr>
            <w:tcW w:w="1417" w:type="dxa"/>
            <w:gridSpan w:val="4"/>
            <w:vAlign w:val="bottom"/>
          </w:tcPr>
          <w:p w14:paraId="7EC22A80" w14:textId="77777777" w:rsidR="00C63117" w:rsidRPr="00FA0C47" w:rsidRDefault="00C63117" w:rsidP="00C63117">
            <w:pPr>
              <w:jc w:val="right"/>
              <w:rPr>
                <w:b/>
                <w:sz w:val="18"/>
                <w:szCs w:val="18"/>
              </w:rPr>
            </w:pPr>
          </w:p>
        </w:tc>
        <w:tc>
          <w:tcPr>
            <w:tcW w:w="711" w:type="dxa"/>
            <w:shd w:val="clear" w:color="auto" w:fill="auto"/>
            <w:vAlign w:val="bottom"/>
          </w:tcPr>
          <w:p w14:paraId="79E56FF3" w14:textId="77777777" w:rsidR="00C63117" w:rsidRPr="00FA0C47" w:rsidRDefault="00C63117" w:rsidP="00C63117">
            <w:pPr>
              <w:jc w:val="right"/>
              <w:rPr>
                <w:b/>
                <w:sz w:val="18"/>
                <w:szCs w:val="18"/>
              </w:rPr>
            </w:pPr>
          </w:p>
        </w:tc>
      </w:tr>
      <w:tr w:rsidR="00C63117" w:rsidRPr="00677FFD" w14:paraId="5F292786" w14:textId="77777777" w:rsidTr="0004564D">
        <w:trPr>
          <w:cantSplit/>
          <w:trHeight w:val="127"/>
        </w:trPr>
        <w:tc>
          <w:tcPr>
            <w:tcW w:w="1561" w:type="dxa"/>
            <w:tcBorders>
              <w:left w:val="single" w:sz="2" w:space="0" w:color="auto"/>
              <w:right w:val="single" w:sz="2" w:space="0" w:color="auto"/>
            </w:tcBorders>
            <w:vAlign w:val="bottom"/>
          </w:tcPr>
          <w:p w14:paraId="58D969B1"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7B898EC" w14:textId="593216D6" w:rsidR="00C63117" w:rsidRPr="00FA0C47" w:rsidRDefault="00C63117" w:rsidP="00C63117">
            <w:pPr>
              <w:rPr>
                <w:b/>
                <w:sz w:val="18"/>
                <w:szCs w:val="18"/>
              </w:rPr>
            </w:pPr>
          </w:p>
        </w:tc>
        <w:tc>
          <w:tcPr>
            <w:tcW w:w="1417" w:type="dxa"/>
            <w:gridSpan w:val="3"/>
            <w:shd w:val="clear" w:color="auto" w:fill="auto"/>
            <w:vAlign w:val="bottom"/>
          </w:tcPr>
          <w:p w14:paraId="6FCF659B" w14:textId="77777777" w:rsidR="00C63117" w:rsidRPr="00FA0C47" w:rsidRDefault="00C63117" w:rsidP="00C63117">
            <w:pPr>
              <w:jc w:val="right"/>
              <w:rPr>
                <w:rFonts w:cs="Calibri"/>
                <w:sz w:val="12"/>
                <w:szCs w:val="12"/>
              </w:rPr>
            </w:pPr>
          </w:p>
        </w:tc>
        <w:tc>
          <w:tcPr>
            <w:tcW w:w="1418" w:type="dxa"/>
            <w:gridSpan w:val="3"/>
            <w:vAlign w:val="bottom"/>
          </w:tcPr>
          <w:p w14:paraId="0279DD47" w14:textId="77777777" w:rsidR="00C63117" w:rsidRPr="00FA0C47" w:rsidRDefault="00C63117" w:rsidP="00C63117">
            <w:pPr>
              <w:jc w:val="right"/>
              <w:rPr>
                <w:b/>
                <w:sz w:val="18"/>
                <w:szCs w:val="18"/>
              </w:rPr>
            </w:pPr>
          </w:p>
        </w:tc>
        <w:tc>
          <w:tcPr>
            <w:tcW w:w="1417" w:type="dxa"/>
            <w:gridSpan w:val="4"/>
            <w:vAlign w:val="bottom"/>
          </w:tcPr>
          <w:p w14:paraId="182AAAE9" w14:textId="77777777" w:rsidR="00C63117" w:rsidRPr="00FA0C47" w:rsidRDefault="00C63117" w:rsidP="00C63117">
            <w:pPr>
              <w:jc w:val="right"/>
              <w:rPr>
                <w:b/>
                <w:sz w:val="18"/>
                <w:szCs w:val="18"/>
              </w:rPr>
            </w:pPr>
          </w:p>
        </w:tc>
        <w:tc>
          <w:tcPr>
            <w:tcW w:w="711" w:type="dxa"/>
            <w:shd w:val="clear" w:color="auto" w:fill="auto"/>
            <w:vAlign w:val="bottom"/>
          </w:tcPr>
          <w:p w14:paraId="37EB7661" w14:textId="77777777" w:rsidR="00C63117" w:rsidRPr="00FA0C47" w:rsidRDefault="00C63117" w:rsidP="00C63117">
            <w:pPr>
              <w:jc w:val="right"/>
              <w:rPr>
                <w:b/>
                <w:sz w:val="18"/>
                <w:szCs w:val="18"/>
              </w:rPr>
            </w:pPr>
          </w:p>
        </w:tc>
      </w:tr>
      <w:tr w:rsidR="00C63117" w:rsidRPr="00677FFD" w14:paraId="5DD4D6CB" w14:textId="77777777" w:rsidTr="0004564D">
        <w:trPr>
          <w:cantSplit/>
          <w:trHeight w:val="127"/>
        </w:trPr>
        <w:tc>
          <w:tcPr>
            <w:tcW w:w="1561" w:type="dxa"/>
            <w:tcBorders>
              <w:left w:val="single" w:sz="2" w:space="0" w:color="auto"/>
              <w:right w:val="single" w:sz="2" w:space="0" w:color="auto"/>
            </w:tcBorders>
            <w:vAlign w:val="bottom"/>
          </w:tcPr>
          <w:p w14:paraId="5536704E"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47F48B7" w14:textId="03B63018" w:rsidR="00C63117" w:rsidRPr="00FA0C47" w:rsidRDefault="00C63117" w:rsidP="00C63117">
            <w:pPr>
              <w:rPr>
                <w:b/>
                <w:sz w:val="18"/>
                <w:szCs w:val="18"/>
              </w:rPr>
            </w:pPr>
            <w:r w:rsidRPr="00FA0C47">
              <w:rPr>
                <w:b/>
                <w:sz w:val="18"/>
                <w:szCs w:val="18"/>
              </w:rPr>
              <w:t>202</w:t>
            </w:r>
            <w:r w:rsidR="00687D08">
              <w:rPr>
                <w:b/>
                <w:sz w:val="18"/>
                <w:szCs w:val="18"/>
              </w:rPr>
              <w:t>3</w:t>
            </w:r>
          </w:p>
        </w:tc>
        <w:tc>
          <w:tcPr>
            <w:tcW w:w="1417" w:type="dxa"/>
            <w:gridSpan w:val="3"/>
            <w:shd w:val="clear" w:color="auto" w:fill="auto"/>
            <w:vAlign w:val="bottom"/>
          </w:tcPr>
          <w:p w14:paraId="42155FEF" w14:textId="77777777" w:rsidR="00C63117" w:rsidRPr="00FA0C47" w:rsidRDefault="00C63117" w:rsidP="00C63117">
            <w:pPr>
              <w:jc w:val="right"/>
              <w:rPr>
                <w:rFonts w:cs="Calibri"/>
                <w:sz w:val="12"/>
                <w:szCs w:val="12"/>
              </w:rPr>
            </w:pPr>
          </w:p>
        </w:tc>
        <w:tc>
          <w:tcPr>
            <w:tcW w:w="1418" w:type="dxa"/>
            <w:gridSpan w:val="3"/>
            <w:vAlign w:val="bottom"/>
          </w:tcPr>
          <w:p w14:paraId="490E2A4B" w14:textId="77777777" w:rsidR="00C63117" w:rsidRPr="00FA0C47" w:rsidRDefault="00C63117" w:rsidP="00C63117">
            <w:pPr>
              <w:jc w:val="right"/>
              <w:rPr>
                <w:b/>
                <w:sz w:val="18"/>
                <w:szCs w:val="18"/>
              </w:rPr>
            </w:pPr>
          </w:p>
        </w:tc>
        <w:tc>
          <w:tcPr>
            <w:tcW w:w="1417" w:type="dxa"/>
            <w:gridSpan w:val="4"/>
            <w:vAlign w:val="bottom"/>
          </w:tcPr>
          <w:p w14:paraId="3F794A40" w14:textId="77777777" w:rsidR="00C63117" w:rsidRPr="00FA0C47" w:rsidRDefault="00C63117" w:rsidP="00C63117">
            <w:pPr>
              <w:jc w:val="right"/>
              <w:rPr>
                <w:b/>
                <w:sz w:val="18"/>
                <w:szCs w:val="18"/>
              </w:rPr>
            </w:pPr>
          </w:p>
        </w:tc>
        <w:tc>
          <w:tcPr>
            <w:tcW w:w="711" w:type="dxa"/>
            <w:shd w:val="clear" w:color="auto" w:fill="auto"/>
            <w:vAlign w:val="bottom"/>
          </w:tcPr>
          <w:p w14:paraId="2B224C46" w14:textId="77777777" w:rsidR="00C63117" w:rsidRPr="00FA0C47" w:rsidRDefault="00C63117" w:rsidP="00C63117">
            <w:pPr>
              <w:jc w:val="right"/>
              <w:rPr>
                <w:b/>
                <w:sz w:val="18"/>
                <w:szCs w:val="18"/>
              </w:rPr>
            </w:pPr>
          </w:p>
        </w:tc>
      </w:tr>
      <w:tr w:rsidR="00C63117" w:rsidRPr="00677FFD" w14:paraId="6C9FB96E" w14:textId="77777777" w:rsidTr="0004564D">
        <w:trPr>
          <w:cantSplit/>
          <w:trHeight w:val="127"/>
        </w:trPr>
        <w:tc>
          <w:tcPr>
            <w:tcW w:w="1561" w:type="dxa"/>
            <w:tcBorders>
              <w:left w:val="single" w:sz="2" w:space="0" w:color="auto"/>
              <w:right w:val="single" w:sz="2" w:space="0" w:color="auto"/>
            </w:tcBorders>
          </w:tcPr>
          <w:p w14:paraId="4DB1F507" w14:textId="748CC01A"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3F11F039" w14:textId="1A02C41A" w:rsidR="00C63117" w:rsidRPr="00FA0C47" w:rsidRDefault="00C63117" w:rsidP="00C63117">
            <w:pPr>
              <w:spacing w:after="40"/>
              <w:rPr>
                <w:rFonts w:cs="Calibri"/>
                <w:b/>
                <w:sz w:val="18"/>
                <w:szCs w:val="18"/>
              </w:rPr>
            </w:pPr>
            <w:r w:rsidRPr="00FA0C47">
              <w:rPr>
                <w:rFonts w:cs="Calibri"/>
                <w:b/>
                <w:sz w:val="18"/>
                <w:szCs w:val="18"/>
              </w:rPr>
              <w:t>Carrying Amount at the Beginning of the Reporting Period</w:t>
            </w:r>
          </w:p>
        </w:tc>
        <w:tc>
          <w:tcPr>
            <w:tcW w:w="1417" w:type="dxa"/>
            <w:gridSpan w:val="3"/>
            <w:shd w:val="clear" w:color="auto" w:fill="auto"/>
          </w:tcPr>
          <w:p w14:paraId="2E399D04" w14:textId="77777777" w:rsidR="00C63117" w:rsidRPr="00FA0C47" w:rsidRDefault="00C63117" w:rsidP="00C63117">
            <w:pPr>
              <w:rPr>
                <w:rFonts w:cs="Calibri"/>
                <w:sz w:val="12"/>
                <w:szCs w:val="12"/>
              </w:rPr>
            </w:pPr>
          </w:p>
        </w:tc>
        <w:tc>
          <w:tcPr>
            <w:tcW w:w="1418" w:type="dxa"/>
            <w:gridSpan w:val="3"/>
          </w:tcPr>
          <w:p w14:paraId="734961EA" w14:textId="77777777" w:rsidR="00C63117" w:rsidRPr="00FA0C47" w:rsidRDefault="00C63117" w:rsidP="00C63117">
            <w:pPr>
              <w:rPr>
                <w:b/>
                <w:sz w:val="18"/>
                <w:szCs w:val="18"/>
              </w:rPr>
            </w:pPr>
          </w:p>
        </w:tc>
        <w:tc>
          <w:tcPr>
            <w:tcW w:w="1417" w:type="dxa"/>
            <w:gridSpan w:val="4"/>
          </w:tcPr>
          <w:p w14:paraId="613E4870" w14:textId="77777777" w:rsidR="00C63117" w:rsidRPr="00FA0C47" w:rsidRDefault="00C63117" w:rsidP="00C63117">
            <w:pPr>
              <w:rPr>
                <w:b/>
                <w:sz w:val="18"/>
                <w:szCs w:val="18"/>
              </w:rPr>
            </w:pPr>
          </w:p>
        </w:tc>
        <w:tc>
          <w:tcPr>
            <w:tcW w:w="711" w:type="dxa"/>
            <w:shd w:val="clear" w:color="auto" w:fill="auto"/>
          </w:tcPr>
          <w:p w14:paraId="2D6DE966" w14:textId="77777777" w:rsidR="00C63117" w:rsidRPr="00FA0C47" w:rsidRDefault="00C63117" w:rsidP="00C63117">
            <w:pPr>
              <w:rPr>
                <w:b/>
                <w:sz w:val="18"/>
                <w:szCs w:val="18"/>
              </w:rPr>
            </w:pPr>
          </w:p>
        </w:tc>
      </w:tr>
      <w:tr w:rsidR="00C63117" w:rsidRPr="00677FFD" w14:paraId="3C387AAF" w14:textId="77777777" w:rsidTr="0004564D">
        <w:trPr>
          <w:cantSplit/>
          <w:trHeight w:val="127"/>
        </w:trPr>
        <w:tc>
          <w:tcPr>
            <w:tcW w:w="1561" w:type="dxa"/>
            <w:tcBorders>
              <w:left w:val="single" w:sz="2" w:space="0" w:color="auto"/>
              <w:right w:val="single" w:sz="2" w:space="0" w:color="auto"/>
            </w:tcBorders>
            <w:vAlign w:val="center"/>
          </w:tcPr>
          <w:p w14:paraId="7C7DA569"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 xml:space="preserve">AASB 116.73(e)(i) </w:t>
            </w:r>
          </w:p>
          <w:p w14:paraId="5187EF41" w14:textId="62B95EF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6F262BC" w14:textId="142D6082" w:rsidR="00C63117" w:rsidRPr="00FA0C47" w:rsidRDefault="00C63117" w:rsidP="00C63117">
            <w:pPr>
              <w:spacing w:after="40"/>
              <w:rPr>
                <w:rFonts w:cs="Calibri"/>
                <w:b/>
                <w:sz w:val="18"/>
                <w:szCs w:val="18"/>
              </w:rPr>
            </w:pPr>
            <w:r w:rsidRPr="00FA0C47">
              <w:rPr>
                <w:rFonts w:cs="Calibri"/>
                <w:sz w:val="18"/>
                <w:szCs w:val="18"/>
              </w:rPr>
              <w:t>Additions</w:t>
            </w:r>
          </w:p>
        </w:tc>
        <w:tc>
          <w:tcPr>
            <w:tcW w:w="1417" w:type="dxa"/>
            <w:gridSpan w:val="3"/>
            <w:shd w:val="clear" w:color="auto" w:fill="auto"/>
            <w:vAlign w:val="center"/>
          </w:tcPr>
          <w:p w14:paraId="7BC2A321" w14:textId="77777777" w:rsidR="00C63117" w:rsidRPr="00FA0C47" w:rsidRDefault="00C63117" w:rsidP="00C63117">
            <w:pPr>
              <w:rPr>
                <w:rFonts w:cs="Calibri"/>
                <w:sz w:val="12"/>
                <w:szCs w:val="12"/>
              </w:rPr>
            </w:pPr>
          </w:p>
        </w:tc>
        <w:tc>
          <w:tcPr>
            <w:tcW w:w="1418" w:type="dxa"/>
            <w:gridSpan w:val="3"/>
            <w:vAlign w:val="center"/>
          </w:tcPr>
          <w:p w14:paraId="74F92B36" w14:textId="77777777" w:rsidR="00C63117" w:rsidRPr="00FA0C47" w:rsidRDefault="00C63117" w:rsidP="00C63117">
            <w:pPr>
              <w:rPr>
                <w:b/>
                <w:sz w:val="18"/>
                <w:szCs w:val="18"/>
              </w:rPr>
            </w:pPr>
          </w:p>
        </w:tc>
        <w:tc>
          <w:tcPr>
            <w:tcW w:w="1417" w:type="dxa"/>
            <w:gridSpan w:val="4"/>
            <w:vAlign w:val="center"/>
          </w:tcPr>
          <w:p w14:paraId="15FBAB22" w14:textId="77777777" w:rsidR="00C63117" w:rsidRPr="00FA0C47" w:rsidRDefault="00C63117" w:rsidP="00C63117">
            <w:pPr>
              <w:rPr>
                <w:b/>
                <w:sz w:val="18"/>
                <w:szCs w:val="18"/>
              </w:rPr>
            </w:pPr>
          </w:p>
        </w:tc>
        <w:tc>
          <w:tcPr>
            <w:tcW w:w="711" w:type="dxa"/>
            <w:shd w:val="clear" w:color="auto" w:fill="auto"/>
            <w:vAlign w:val="center"/>
          </w:tcPr>
          <w:p w14:paraId="72E0FC35" w14:textId="77777777" w:rsidR="00C63117" w:rsidRPr="00FA0C47" w:rsidRDefault="00C63117" w:rsidP="00C63117">
            <w:pPr>
              <w:rPr>
                <w:b/>
                <w:sz w:val="18"/>
                <w:szCs w:val="18"/>
              </w:rPr>
            </w:pPr>
          </w:p>
        </w:tc>
      </w:tr>
      <w:tr w:rsidR="00C63117" w:rsidRPr="00677FFD" w14:paraId="45DC8FC5" w14:textId="77777777" w:rsidTr="0004564D">
        <w:trPr>
          <w:cantSplit/>
          <w:trHeight w:val="127"/>
        </w:trPr>
        <w:tc>
          <w:tcPr>
            <w:tcW w:w="1561" w:type="dxa"/>
            <w:tcBorders>
              <w:left w:val="single" w:sz="2" w:space="0" w:color="auto"/>
              <w:right w:val="single" w:sz="2" w:space="0" w:color="auto"/>
            </w:tcBorders>
          </w:tcPr>
          <w:p w14:paraId="13E360B8"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1281E001" w14:textId="15022C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1B7B53B1" w14:textId="577A06C4" w:rsidR="00C63117" w:rsidRPr="00FA0C47" w:rsidRDefault="00C63117" w:rsidP="00C63117">
            <w:pPr>
              <w:spacing w:after="40"/>
              <w:rPr>
                <w:rFonts w:cs="Calibri"/>
                <w:b/>
                <w:sz w:val="18"/>
                <w:szCs w:val="18"/>
              </w:rPr>
            </w:pPr>
            <w:r w:rsidRPr="00FA0C47">
              <w:rPr>
                <w:rFonts w:cs="Calibri"/>
                <w:sz w:val="18"/>
                <w:szCs w:val="18"/>
              </w:rPr>
              <w:t>Revaluation Increment/(Decrement)</w:t>
            </w:r>
          </w:p>
        </w:tc>
        <w:tc>
          <w:tcPr>
            <w:tcW w:w="1417" w:type="dxa"/>
            <w:gridSpan w:val="3"/>
            <w:shd w:val="clear" w:color="auto" w:fill="auto"/>
            <w:vAlign w:val="center"/>
          </w:tcPr>
          <w:p w14:paraId="65467228" w14:textId="77777777" w:rsidR="00C63117" w:rsidRPr="00FA0C47" w:rsidRDefault="00C63117" w:rsidP="00C63117">
            <w:pPr>
              <w:rPr>
                <w:rFonts w:cs="Calibri"/>
                <w:sz w:val="12"/>
                <w:szCs w:val="12"/>
              </w:rPr>
            </w:pPr>
          </w:p>
        </w:tc>
        <w:tc>
          <w:tcPr>
            <w:tcW w:w="1418" w:type="dxa"/>
            <w:gridSpan w:val="3"/>
            <w:vAlign w:val="center"/>
          </w:tcPr>
          <w:p w14:paraId="5A9665F6" w14:textId="77777777" w:rsidR="00C63117" w:rsidRPr="00FA0C47" w:rsidRDefault="00C63117" w:rsidP="00C63117">
            <w:pPr>
              <w:rPr>
                <w:b/>
                <w:sz w:val="18"/>
                <w:szCs w:val="18"/>
              </w:rPr>
            </w:pPr>
          </w:p>
        </w:tc>
        <w:tc>
          <w:tcPr>
            <w:tcW w:w="1417" w:type="dxa"/>
            <w:gridSpan w:val="4"/>
            <w:vAlign w:val="center"/>
          </w:tcPr>
          <w:p w14:paraId="56D26AC1" w14:textId="77777777" w:rsidR="00C63117" w:rsidRPr="00FA0C47" w:rsidRDefault="00C63117" w:rsidP="00C63117">
            <w:pPr>
              <w:rPr>
                <w:b/>
                <w:sz w:val="18"/>
                <w:szCs w:val="18"/>
              </w:rPr>
            </w:pPr>
          </w:p>
        </w:tc>
        <w:tc>
          <w:tcPr>
            <w:tcW w:w="711" w:type="dxa"/>
            <w:shd w:val="clear" w:color="auto" w:fill="auto"/>
            <w:vAlign w:val="center"/>
          </w:tcPr>
          <w:p w14:paraId="61564687" w14:textId="77777777" w:rsidR="00C63117" w:rsidRPr="00FA0C47" w:rsidRDefault="00C63117" w:rsidP="00C63117">
            <w:pPr>
              <w:rPr>
                <w:b/>
                <w:sz w:val="18"/>
                <w:szCs w:val="18"/>
              </w:rPr>
            </w:pPr>
          </w:p>
        </w:tc>
      </w:tr>
      <w:tr w:rsidR="00C63117" w:rsidRPr="00677FFD" w14:paraId="465DE9EC" w14:textId="77777777" w:rsidTr="0004564D">
        <w:trPr>
          <w:cantSplit/>
          <w:trHeight w:val="127"/>
        </w:trPr>
        <w:tc>
          <w:tcPr>
            <w:tcW w:w="1561" w:type="dxa"/>
            <w:tcBorders>
              <w:left w:val="single" w:sz="2" w:space="0" w:color="auto"/>
              <w:right w:val="single" w:sz="2" w:space="0" w:color="auto"/>
            </w:tcBorders>
          </w:tcPr>
          <w:p w14:paraId="25702B88"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7DB7A0AE"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89C2029" w14:textId="15F43689" w:rsidR="00C63117" w:rsidRPr="00FA0C47" w:rsidRDefault="00C63117" w:rsidP="00C63117">
            <w:pPr>
              <w:spacing w:after="40"/>
              <w:rPr>
                <w:rFonts w:cs="Calibri"/>
                <w:b/>
                <w:sz w:val="18"/>
                <w:szCs w:val="18"/>
              </w:rPr>
            </w:pPr>
            <w:r w:rsidRPr="00FA0C47">
              <w:rPr>
                <w:rFonts w:cs="Calibri"/>
                <w:sz w:val="18"/>
                <w:szCs w:val="18"/>
              </w:rPr>
              <w:t>Impairment Losses Recognised in Other Comprehensive Income</w:t>
            </w:r>
          </w:p>
        </w:tc>
        <w:tc>
          <w:tcPr>
            <w:tcW w:w="1417" w:type="dxa"/>
            <w:gridSpan w:val="3"/>
            <w:shd w:val="clear" w:color="auto" w:fill="auto"/>
          </w:tcPr>
          <w:p w14:paraId="688A7C90" w14:textId="77777777" w:rsidR="00C63117" w:rsidRPr="00FA0C47" w:rsidRDefault="00C63117" w:rsidP="00C63117">
            <w:pPr>
              <w:rPr>
                <w:rFonts w:cs="Calibri"/>
                <w:sz w:val="12"/>
                <w:szCs w:val="12"/>
              </w:rPr>
            </w:pPr>
          </w:p>
        </w:tc>
        <w:tc>
          <w:tcPr>
            <w:tcW w:w="1418" w:type="dxa"/>
            <w:gridSpan w:val="3"/>
          </w:tcPr>
          <w:p w14:paraId="23D99EF1" w14:textId="77777777" w:rsidR="00C63117" w:rsidRPr="00FA0C47" w:rsidRDefault="00C63117" w:rsidP="00C63117">
            <w:pPr>
              <w:rPr>
                <w:b/>
                <w:sz w:val="18"/>
                <w:szCs w:val="18"/>
              </w:rPr>
            </w:pPr>
          </w:p>
        </w:tc>
        <w:tc>
          <w:tcPr>
            <w:tcW w:w="1417" w:type="dxa"/>
            <w:gridSpan w:val="4"/>
          </w:tcPr>
          <w:p w14:paraId="6EB35C57" w14:textId="77777777" w:rsidR="00C63117" w:rsidRPr="00FA0C47" w:rsidRDefault="00C63117" w:rsidP="00C63117">
            <w:pPr>
              <w:rPr>
                <w:b/>
                <w:sz w:val="18"/>
                <w:szCs w:val="18"/>
              </w:rPr>
            </w:pPr>
          </w:p>
        </w:tc>
        <w:tc>
          <w:tcPr>
            <w:tcW w:w="711" w:type="dxa"/>
            <w:shd w:val="clear" w:color="auto" w:fill="auto"/>
          </w:tcPr>
          <w:p w14:paraId="71EA58CF" w14:textId="77777777" w:rsidR="00C63117" w:rsidRPr="00FA0C47" w:rsidRDefault="00C63117" w:rsidP="00C63117">
            <w:pPr>
              <w:rPr>
                <w:b/>
                <w:sz w:val="18"/>
                <w:szCs w:val="18"/>
              </w:rPr>
            </w:pPr>
          </w:p>
        </w:tc>
      </w:tr>
      <w:tr w:rsidR="00C63117" w:rsidRPr="00677FFD" w14:paraId="2302916F" w14:textId="77777777" w:rsidTr="0004564D">
        <w:trPr>
          <w:cantSplit/>
          <w:trHeight w:val="127"/>
        </w:trPr>
        <w:tc>
          <w:tcPr>
            <w:tcW w:w="1561" w:type="dxa"/>
            <w:tcBorders>
              <w:left w:val="single" w:sz="2" w:space="0" w:color="auto"/>
              <w:right w:val="single" w:sz="2" w:space="0" w:color="auto"/>
            </w:tcBorders>
            <w:vAlign w:val="center"/>
          </w:tcPr>
          <w:p w14:paraId="77D978FC"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116.73(e)(vii)</w:t>
            </w:r>
          </w:p>
          <w:p w14:paraId="2526DD67" w14:textId="6D0361BE"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5F088B96" w14:textId="7F6050F3" w:rsidR="00C63117" w:rsidRPr="00FA0C47" w:rsidRDefault="00C63117" w:rsidP="00C63117">
            <w:pPr>
              <w:spacing w:after="40"/>
              <w:rPr>
                <w:rFonts w:cs="Calibri"/>
                <w:b/>
                <w:sz w:val="18"/>
                <w:szCs w:val="18"/>
              </w:rPr>
            </w:pPr>
            <w:r w:rsidRPr="00FA0C47">
              <w:rPr>
                <w:rFonts w:cs="Calibri"/>
                <w:sz w:val="18"/>
                <w:szCs w:val="18"/>
              </w:rPr>
              <w:t>Depreciation</w:t>
            </w:r>
          </w:p>
        </w:tc>
        <w:tc>
          <w:tcPr>
            <w:tcW w:w="1417" w:type="dxa"/>
            <w:gridSpan w:val="3"/>
            <w:shd w:val="clear" w:color="auto" w:fill="auto"/>
            <w:vAlign w:val="center"/>
          </w:tcPr>
          <w:p w14:paraId="65DFEB28" w14:textId="77777777" w:rsidR="00C63117" w:rsidRPr="00FA0C47" w:rsidRDefault="00C63117" w:rsidP="00C63117">
            <w:pPr>
              <w:rPr>
                <w:rFonts w:cs="Calibri"/>
                <w:sz w:val="12"/>
                <w:szCs w:val="12"/>
              </w:rPr>
            </w:pPr>
          </w:p>
        </w:tc>
        <w:tc>
          <w:tcPr>
            <w:tcW w:w="1418" w:type="dxa"/>
            <w:gridSpan w:val="3"/>
            <w:vAlign w:val="center"/>
          </w:tcPr>
          <w:p w14:paraId="5A4D4C6D" w14:textId="77777777" w:rsidR="00C63117" w:rsidRPr="00FA0C47" w:rsidRDefault="00C63117" w:rsidP="00C63117">
            <w:pPr>
              <w:rPr>
                <w:b/>
                <w:sz w:val="18"/>
                <w:szCs w:val="18"/>
              </w:rPr>
            </w:pPr>
          </w:p>
        </w:tc>
        <w:tc>
          <w:tcPr>
            <w:tcW w:w="1417" w:type="dxa"/>
            <w:gridSpan w:val="4"/>
            <w:vAlign w:val="center"/>
          </w:tcPr>
          <w:p w14:paraId="6279C4D7" w14:textId="77777777" w:rsidR="00C63117" w:rsidRPr="00FA0C47" w:rsidRDefault="00C63117" w:rsidP="00C63117">
            <w:pPr>
              <w:rPr>
                <w:b/>
                <w:sz w:val="18"/>
                <w:szCs w:val="18"/>
              </w:rPr>
            </w:pPr>
          </w:p>
        </w:tc>
        <w:tc>
          <w:tcPr>
            <w:tcW w:w="711" w:type="dxa"/>
            <w:shd w:val="clear" w:color="auto" w:fill="auto"/>
            <w:vAlign w:val="center"/>
          </w:tcPr>
          <w:p w14:paraId="748164BD" w14:textId="77777777" w:rsidR="00C63117" w:rsidRPr="00FA0C47" w:rsidRDefault="00C63117" w:rsidP="00C63117">
            <w:pPr>
              <w:rPr>
                <w:b/>
                <w:sz w:val="18"/>
                <w:szCs w:val="18"/>
              </w:rPr>
            </w:pPr>
          </w:p>
        </w:tc>
      </w:tr>
      <w:tr w:rsidR="00C63117" w:rsidRPr="00677FFD" w14:paraId="5A879DFB" w14:textId="77777777" w:rsidTr="0004564D">
        <w:trPr>
          <w:cantSplit/>
          <w:trHeight w:val="127"/>
        </w:trPr>
        <w:tc>
          <w:tcPr>
            <w:tcW w:w="1561" w:type="dxa"/>
            <w:tcBorders>
              <w:left w:val="single" w:sz="2" w:space="0" w:color="auto"/>
              <w:right w:val="single" w:sz="2" w:space="0" w:color="auto"/>
            </w:tcBorders>
          </w:tcPr>
          <w:p w14:paraId="3AA3C03F" w14:textId="6D6F855E"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3712FDEA" w14:textId="7999184B" w:rsidR="00C63117" w:rsidRPr="00FA0C47" w:rsidRDefault="00C63117" w:rsidP="00C63117">
            <w:pPr>
              <w:spacing w:after="40"/>
              <w:rPr>
                <w:rFonts w:cs="Calibri"/>
                <w:b/>
                <w:sz w:val="18"/>
                <w:szCs w:val="18"/>
              </w:rPr>
            </w:pPr>
            <w:r w:rsidRPr="00FA0C47">
              <w:rPr>
                <w:rFonts w:cs="Calibri"/>
                <w:sz w:val="18"/>
                <w:szCs w:val="18"/>
              </w:rPr>
              <w:t>Acquisition/(Disposal) through Administrative Restructuring</w:t>
            </w:r>
          </w:p>
        </w:tc>
        <w:tc>
          <w:tcPr>
            <w:tcW w:w="1417" w:type="dxa"/>
            <w:gridSpan w:val="3"/>
            <w:shd w:val="clear" w:color="auto" w:fill="auto"/>
          </w:tcPr>
          <w:p w14:paraId="6EA3C95B" w14:textId="77777777" w:rsidR="00C63117" w:rsidRPr="00FA0C47" w:rsidRDefault="00C63117" w:rsidP="00C63117">
            <w:pPr>
              <w:rPr>
                <w:rFonts w:cs="Calibri"/>
                <w:sz w:val="12"/>
                <w:szCs w:val="12"/>
              </w:rPr>
            </w:pPr>
          </w:p>
        </w:tc>
        <w:tc>
          <w:tcPr>
            <w:tcW w:w="1418" w:type="dxa"/>
            <w:gridSpan w:val="3"/>
          </w:tcPr>
          <w:p w14:paraId="1C708F9D" w14:textId="77777777" w:rsidR="00C63117" w:rsidRPr="00FA0C47" w:rsidRDefault="00C63117" w:rsidP="00C63117">
            <w:pPr>
              <w:rPr>
                <w:b/>
                <w:sz w:val="18"/>
                <w:szCs w:val="18"/>
              </w:rPr>
            </w:pPr>
          </w:p>
        </w:tc>
        <w:tc>
          <w:tcPr>
            <w:tcW w:w="1417" w:type="dxa"/>
            <w:gridSpan w:val="4"/>
          </w:tcPr>
          <w:p w14:paraId="25422EB6" w14:textId="77777777" w:rsidR="00C63117" w:rsidRPr="00FA0C47" w:rsidRDefault="00C63117" w:rsidP="00C63117">
            <w:pPr>
              <w:rPr>
                <w:b/>
                <w:sz w:val="18"/>
                <w:szCs w:val="18"/>
              </w:rPr>
            </w:pPr>
          </w:p>
        </w:tc>
        <w:tc>
          <w:tcPr>
            <w:tcW w:w="711" w:type="dxa"/>
            <w:shd w:val="clear" w:color="auto" w:fill="auto"/>
          </w:tcPr>
          <w:p w14:paraId="7706CA30" w14:textId="77777777" w:rsidR="00C63117" w:rsidRPr="00FA0C47" w:rsidRDefault="00C63117" w:rsidP="00C63117">
            <w:pPr>
              <w:rPr>
                <w:b/>
                <w:sz w:val="18"/>
                <w:szCs w:val="18"/>
              </w:rPr>
            </w:pPr>
          </w:p>
        </w:tc>
      </w:tr>
      <w:tr w:rsidR="00C63117" w:rsidRPr="00677FFD" w14:paraId="5566C3A1" w14:textId="77777777" w:rsidTr="0004564D">
        <w:trPr>
          <w:cantSplit/>
          <w:trHeight w:val="127"/>
        </w:trPr>
        <w:tc>
          <w:tcPr>
            <w:tcW w:w="1561" w:type="dxa"/>
            <w:tcBorders>
              <w:left w:val="single" w:sz="2" w:space="0" w:color="auto"/>
              <w:right w:val="single" w:sz="2" w:space="0" w:color="auto"/>
            </w:tcBorders>
          </w:tcPr>
          <w:p w14:paraId="3604A6AA" w14:textId="50731656"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6B7AA62B" w14:textId="7D0B311F" w:rsidR="00C63117" w:rsidRPr="00FA0C47" w:rsidRDefault="00C63117" w:rsidP="00C63117">
            <w:pPr>
              <w:spacing w:after="40"/>
              <w:rPr>
                <w:rFonts w:cs="Calibri"/>
                <w:b/>
                <w:sz w:val="18"/>
                <w:szCs w:val="18"/>
              </w:rPr>
            </w:pPr>
            <w:r w:rsidRPr="00FA0C47">
              <w:rPr>
                <w:rFonts w:cs="Calibri"/>
                <w:sz w:val="18"/>
                <w:szCs w:val="18"/>
              </w:rPr>
              <w:t>Acquisition/(Disposal) from Transfers</w:t>
            </w:r>
          </w:p>
        </w:tc>
        <w:tc>
          <w:tcPr>
            <w:tcW w:w="1417" w:type="dxa"/>
            <w:gridSpan w:val="3"/>
            <w:shd w:val="clear" w:color="auto" w:fill="auto"/>
          </w:tcPr>
          <w:p w14:paraId="5B45AB5E" w14:textId="77777777" w:rsidR="00C63117" w:rsidRPr="00FA0C47" w:rsidRDefault="00C63117" w:rsidP="00C63117">
            <w:pPr>
              <w:rPr>
                <w:rFonts w:cs="Calibri"/>
                <w:sz w:val="12"/>
                <w:szCs w:val="12"/>
              </w:rPr>
            </w:pPr>
          </w:p>
        </w:tc>
        <w:tc>
          <w:tcPr>
            <w:tcW w:w="1418" w:type="dxa"/>
            <w:gridSpan w:val="3"/>
          </w:tcPr>
          <w:p w14:paraId="1ACC16C8" w14:textId="77777777" w:rsidR="00C63117" w:rsidRPr="00FA0C47" w:rsidRDefault="00C63117" w:rsidP="00C63117">
            <w:pPr>
              <w:rPr>
                <w:b/>
                <w:sz w:val="18"/>
                <w:szCs w:val="18"/>
              </w:rPr>
            </w:pPr>
          </w:p>
        </w:tc>
        <w:tc>
          <w:tcPr>
            <w:tcW w:w="1417" w:type="dxa"/>
            <w:gridSpan w:val="4"/>
          </w:tcPr>
          <w:p w14:paraId="2292C422" w14:textId="77777777" w:rsidR="00C63117" w:rsidRPr="00FA0C47" w:rsidRDefault="00C63117" w:rsidP="00C63117">
            <w:pPr>
              <w:rPr>
                <w:b/>
                <w:sz w:val="18"/>
                <w:szCs w:val="18"/>
              </w:rPr>
            </w:pPr>
          </w:p>
        </w:tc>
        <w:tc>
          <w:tcPr>
            <w:tcW w:w="711" w:type="dxa"/>
            <w:shd w:val="clear" w:color="auto" w:fill="auto"/>
          </w:tcPr>
          <w:p w14:paraId="737B1F25" w14:textId="77777777" w:rsidR="00C63117" w:rsidRPr="00FA0C47" w:rsidRDefault="00C63117" w:rsidP="00C63117">
            <w:pPr>
              <w:rPr>
                <w:b/>
                <w:sz w:val="18"/>
                <w:szCs w:val="18"/>
              </w:rPr>
            </w:pPr>
          </w:p>
        </w:tc>
      </w:tr>
      <w:tr w:rsidR="00C63117" w:rsidRPr="00677FFD" w14:paraId="29D21815" w14:textId="77777777" w:rsidTr="0004564D">
        <w:trPr>
          <w:cantSplit/>
          <w:trHeight w:val="127"/>
        </w:trPr>
        <w:tc>
          <w:tcPr>
            <w:tcW w:w="1561" w:type="dxa"/>
            <w:tcBorders>
              <w:left w:val="single" w:sz="2" w:space="0" w:color="auto"/>
              <w:right w:val="single" w:sz="2" w:space="0" w:color="auto"/>
            </w:tcBorders>
          </w:tcPr>
          <w:p w14:paraId="1883E18D" w14:textId="30000CA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16709E24" w14:textId="7165B411" w:rsidR="00C63117" w:rsidRPr="00FA0C47" w:rsidRDefault="00C63117" w:rsidP="00C63117">
            <w:pPr>
              <w:spacing w:after="40"/>
              <w:rPr>
                <w:rFonts w:cs="Calibri"/>
                <w:b/>
                <w:sz w:val="18"/>
                <w:szCs w:val="18"/>
              </w:rPr>
            </w:pPr>
            <w:r w:rsidRPr="00FA0C47">
              <w:rPr>
                <w:rFonts w:cs="Calibri"/>
                <w:sz w:val="18"/>
                <w:szCs w:val="18"/>
              </w:rPr>
              <w:t xml:space="preserve">Impairment Losses Recognised in the Operating Result </w:t>
            </w:r>
          </w:p>
        </w:tc>
        <w:tc>
          <w:tcPr>
            <w:tcW w:w="1417" w:type="dxa"/>
            <w:gridSpan w:val="3"/>
            <w:tcBorders>
              <w:bottom w:val="single" w:sz="4" w:space="0" w:color="auto"/>
            </w:tcBorders>
            <w:shd w:val="clear" w:color="auto" w:fill="auto"/>
          </w:tcPr>
          <w:p w14:paraId="796F7C3A" w14:textId="77777777" w:rsidR="00C63117" w:rsidRPr="00FA0C47" w:rsidRDefault="00C63117" w:rsidP="00C63117">
            <w:pPr>
              <w:rPr>
                <w:rFonts w:cs="Calibri"/>
                <w:sz w:val="12"/>
                <w:szCs w:val="12"/>
              </w:rPr>
            </w:pPr>
          </w:p>
        </w:tc>
        <w:tc>
          <w:tcPr>
            <w:tcW w:w="1418" w:type="dxa"/>
            <w:gridSpan w:val="3"/>
            <w:tcBorders>
              <w:bottom w:val="single" w:sz="4" w:space="0" w:color="auto"/>
            </w:tcBorders>
          </w:tcPr>
          <w:p w14:paraId="44FDC344" w14:textId="77777777" w:rsidR="00C63117" w:rsidRPr="00FA0C47" w:rsidRDefault="00C63117" w:rsidP="00C63117">
            <w:pPr>
              <w:rPr>
                <w:b/>
                <w:sz w:val="18"/>
                <w:szCs w:val="18"/>
              </w:rPr>
            </w:pPr>
          </w:p>
        </w:tc>
        <w:tc>
          <w:tcPr>
            <w:tcW w:w="1417" w:type="dxa"/>
            <w:gridSpan w:val="4"/>
            <w:tcBorders>
              <w:bottom w:val="single" w:sz="4" w:space="0" w:color="auto"/>
            </w:tcBorders>
          </w:tcPr>
          <w:p w14:paraId="5638EDD4" w14:textId="77777777" w:rsidR="00C63117" w:rsidRPr="00FA0C47" w:rsidRDefault="00C63117" w:rsidP="00C63117">
            <w:pPr>
              <w:rPr>
                <w:b/>
                <w:sz w:val="18"/>
                <w:szCs w:val="18"/>
              </w:rPr>
            </w:pPr>
          </w:p>
        </w:tc>
        <w:tc>
          <w:tcPr>
            <w:tcW w:w="711" w:type="dxa"/>
            <w:tcBorders>
              <w:bottom w:val="single" w:sz="4" w:space="0" w:color="auto"/>
            </w:tcBorders>
            <w:shd w:val="clear" w:color="auto" w:fill="auto"/>
          </w:tcPr>
          <w:p w14:paraId="6108CDF5" w14:textId="77777777" w:rsidR="00C63117" w:rsidRPr="00FA0C47" w:rsidRDefault="00C63117" w:rsidP="00C63117">
            <w:pPr>
              <w:rPr>
                <w:b/>
                <w:sz w:val="18"/>
                <w:szCs w:val="18"/>
              </w:rPr>
            </w:pPr>
          </w:p>
        </w:tc>
      </w:tr>
      <w:tr w:rsidR="00C63117" w:rsidRPr="00677FFD" w14:paraId="3C6C3F76" w14:textId="77777777" w:rsidTr="0004564D">
        <w:trPr>
          <w:cantSplit/>
          <w:trHeight w:val="127"/>
        </w:trPr>
        <w:tc>
          <w:tcPr>
            <w:tcW w:w="1561" w:type="dxa"/>
            <w:tcBorders>
              <w:left w:val="single" w:sz="2" w:space="0" w:color="auto"/>
              <w:right w:val="single" w:sz="2" w:space="0" w:color="auto"/>
            </w:tcBorders>
          </w:tcPr>
          <w:p w14:paraId="4BCAA758" w14:textId="1C4CF123"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3882B75B" w14:textId="17C2B770" w:rsidR="00C63117" w:rsidRPr="00FA0C47" w:rsidRDefault="00C63117" w:rsidP="00C63117">
            <w:pPr>
              <w:rPr>
                <w:rFonts w:cs="Calibri"/>
                <w:b/>
                <w:sz w:val="18"/>
                <w:szCs w:val="18"/>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09C0F67A" w14:textId="77777777" w:rsidR="00C63117" w:rsidRPr="00FA0C47" w:rsidRDefault="00C63117" w:rsidP="00C63117">
            <w:pPr>
              <w:rPr>
                <w:rFonts w:cs="Calibri"/>
                <w:sz w:val="12"/>
                <w:szCs w:val="12"/>
              </w:rPr>
            </w:pPr>
          </w:p>
        </w:tc>
        <w:tc>
          <w:tcPr>
            <w:tcW w:w="1418" w:type="dxa"/>
            <w:gridSpan w:val="3"/>
            <w:tcBorders>
              <w:top w:val="single" w:sz="4" w:space="0" w:color="auto"/>
              <w:bottom w:val="double" w:sz="4" w:space="0" w:color="auto"/>
            </w:tcBorders>
            <w:vAlign w:val="center"/>
          </w:tcPr>
          <w:p w14:paraId="4ABC66AF" w14:textId="77777777" w:rsidR="00C63117" w:rsidRPr="00FA0C47" w:rsidRDefault="00C63117" w:rsidP="00C63117">
            <w:pPr>
              <w:rPr>
                <w:b/>
                <w:sz w:val="18"/>
                <w:szCs w:val="18"/>
              </w:rPr>
            </w:pPr>
          </w:p>
        </w:tc>
        <w:tc>
          <w:tcPr>
            <w:tcW w:w="1417" w:type="dxa"/>
            <w:gridSpan w:val="4"/>
            <w:tcBorders>
              <w:top w:val="single" w:sz="4" w:space="0" w:color="auto"/>
              <w:bottom w:val="double" w:sz="4" w:space="0" w:color="auto"/>
            </w:tcBorders>
            <w:vAlign w:val="center"/>
          </w:tcPr>
          <w:p w14:paraId="38BC228A" w14:textId="77777777" w:rsidR="00C63117" w:rsidRPr="00FA0C47" w:rsidRDefault="00C63117" w:rsidP="00C63117">
            <w:pPr>
              <w:rPr>
                <w:b/>
                <w:sz w:val="18"/>
                <w:szCs w:val="18"/>
              </w:rPr>
            </w:pPr>
          </w:p>
        </w:tc>
        <w:tc>
          <w:tcPr>
            <w:tcW w:w="711" w:type="dxa"/>
            <w:tcBorders>
              <w:top w:val="single" w:sz="4" w:space="0" w:color="auto"/>
              <w:bottom w:val="double" w:sz="4" w:space="0" w:color="auto"/>
            </w:tcBorders>
            <w:shd w:val="clear" w:color="auto" w:fill="auto"/>
            <w:vAlign w:val="center"/>
          </w:tcPr>
          <w:p w14:paraId="2485CF3E" w14:textId="77777777" w:rsidR="00C63117" w:rsidRPr="00FA0C47" w:rsidRDefault="00C63117" w:rsidP="00C63117">
            <w:pPr>
              <w:rPr>
                <w:b/>
                <w:sz w:val="18"/>
                <w:szCs w:val="18"/>
              </w:rPr>
            </w:pPr>
          </w:p>
        </w:tc>
      </w:tr>
      <w:tr w:rsidR="00C63117" w:rsidRPr="00677FFD" w14:paraId="10E3D2FC" w14:textId="77777777" w:rsidTr="0004564D">
        <w:trPr>
          <w:cantSplit/>
          <w:trHeight w:val="127"/>
        </w:trPr>
        <w:tc>
          <w:tcPr>
            <w:tcW w:w="1561" w:type="dxa"/>
            <w:tcBorders>
              <w:left w:val="single" w:sz="2" w:space="0" w:color="auto"/>
              <w:right w:val="single" w:sz="2" w:space="0" w:color="auto"/>
            </w:tcBorders>
            <w:vAlign w:val="bottom"/>
          </w:tcPr>
          <w:p w14:paraId="4C7F6982"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4EFF7798" w14:textId="77777777" w:rsidR="00C63117" w:rsidRPr="00FA0C47" w:rsidRDefault="00C63117" w:rsidP="00C63117">
            <w:pPr>
              <w:rPr>
                <w:rFonts w:cs="Calibri"/>
                <w:b/>
                <w:bCs/>
                <w:sz w:val="14"/>
                <w:szCs w:val="14"/>
              </w:rPr>
            </w:pPr>
          </w:p>
        </w:tc>
        <w:tc>
          <w:tcPr>
            <w:tcW w:w="1417" w:type="dxa"/>
            <w:gridSpan w:val="3"/>
            <w:tcBorders>
              <w:top w:val="double" w:sz="4" w:space="0" w:color="auto"/>
            </w:tcBorders>
            <w:shd w:val="clear" w:color="auto" w:fill="auto"/>
            <w:vAlign w:val="bottom"/>
          </w:tcPr>
          <w:p w14:paraId="399BD41E" w14:textId="77777777" w:rsidR="00C63117" w:rsidRPr="00FA0C47" w:rsidRDefault="00C63117" w:rsidP="00C63117">
            <w:pPr>
              <w:jc w:val="right"/>
              <w:rPr>
                <w:rFonts w:cs="Calibri"/>
                <w:sz w:val="12"/>
                <w:szCs w:val="12"/>
              </w:rPr>
            </w:pPr>
          </w:p>
        </w:tc>
        <w:tc>
          <w:tcPr>
            <w:tcW w:w="1418" w:type="dxa"/>
            <w:gridSpan w:val="3"/>
            <w:tcBorders>
              <w:top w:val="double" w:sz="4" w:space="0" w:color="auto"/>
            </w:tcBorders>
          </w:tcPr>
          <w:p w14:paraId="2A254AD5" w14:textId="77777777" w:rsidR="00C63117" w:rsidRPr="00FA0C47" w:rsidRDefault="00C63117" w:rsidP="00C63117">
            <w:pPr>
              <w:jc w:val="right"/>
              <w:rPr>
                <w:b/>
                <w:sz w:val="18"/>
                <w:szCs w:val="18"/>
              </w:rPr>
            </w:pPr>
          </w:p>
        </w:tc>
        <w:tc>
          <w:tcPr>
            <w:tcW w:w="1417" w:type="dxa"/>
            <w:gridSpan w:val="4"/>
            <w:tcBorders>
              <w:top w:val="double" w:sz="4" w:space="0" w:color="auto"/>
            </w:tcBorders>
          </w:tcPr>
          <w:p w14:paraId="73B48F3D" w14:textId="77777777" w:rsidR="00C63117" w:rsidRPr="00FA0C47" w:rsidRDefault="00C63117" w:rsidP="00C63117">
            <w:pPr>
              <w:jc w:val="right"/>
              <w:rPr>
                <w:b/>
                <w:sz w:val="18"/>
                <w:szCs w:val="18"/>
              </w:rPr>
            </w:pPr>
          </w:p>
        </w:tc>
        <w:tc>
          <w:tcPr>
            <w:tcW w:w="711" w:type="dxa"/>
            <w:tcBorders>
              <w:top w:val="double" w:sz="4" w:space="0" w:color="auto"/>
            </w:tcBorders>
            <w:shd w:val="clear" w:color="auto" w:fill="auto"/>
            <w:vAlign w:val="bottom"/>
          </w:tcPr>
          <w:p w14:paraId="70E80A66" w14:textId="77777777" w:rsidR="00C63117" w:rsidRPr="00FA0C47" w:rsidRDefault="00C63117" w:rsidP="00C63117">
            <w:pPr>
              <w:jc w:val="right"/>
              <w:rPr>
                <w:b/>
                <w:sz w:val="18"/>
                <w:szCs w:val="18"/>
              </w:rPr>
            </w:pPr>
          </w:p>
        </w:tc>
      </w:tr>
      <w:tr w:rsidR="00C63117" w:rsidRPr="00677FFD" w14:paraId="70B8E73D" w14:textId="77777777" w:rsidTr="0004564D">
        <w:trPr>
          <w:cantSplit/>
          <w:trHeight w:val="127"/>
        </w:trPr>
        <w:tc>
          <w:tcPr>
            <w:tcW w:w="1561" w:type="dxa"/>
            <w:tcBorders>
              <w:left w:val="single" w:sz="2" w:space="0" w:color="auto"/>
              <w:right w:val="single" w:sz="2" w:space="0" w:color="auto"/>
            </w:tcBorders>
            <w:vAlign w:val="bottom"/>
          </w:tcPr>
          <w:p w14:paraId="1576BA13"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6CD360F" w14:textId="77777777" w:rsidR="00C63117" w:rsidRPr="00FA0C47" w:rsidRDefault="00C63117" w:rsidP="00C63117">
            <w:pPr>
              <w:rPr>
                <w:rFonts w:cs="Calibri"/>
                <w:b/>
                <w:bCs/>
                <w:sz w:val="14"/>
                <w:szCs w:val="14"/>
              </w:rPr>
            </w:pPr>
          </w:p>
        </w:tc>
        <w:tc>
          <w:tcPr>
            <w:tcW w:w="1417" w:type="dxa"/>
            <w:gridSpan w:val="3"/>
            <w:shd w:val="clear" w:color="auto" w:fill="auto"/>
            <w:vAlign w:val="bottom"/>
          </w:tcPr>
          <w:p w14:paraId="099F980C" w14:textId="77777777" w:rsidR="00C63117" w:rsidRPr="00FA0C47" w:rsidRDefault="00C63117" w:rsidP="00C63117">
            <w:pPr>
              <w:jc w:val="right"/>
              <w:rPr>
                <w:rFonts w:cs="Calibri"/>
                <w:sz w:val="12"/>
                <w:szCs w:val="12"/>
              </w:rPr>
            </w:pPr>
          </w:p>
        </w:tc>
        <w:tc>
          <w:tcPr>
            <w:tcW w:w="1418" w:type="dxa"/>
            <w:gridSpan w:val="3"/>
          </w:tcPr>
          <w:p w14:paraId="4A98B97C" w14:textId="77777777" w:rsidR="00C63117" w:rsidRPr="00FA0C47" w:rsidRDefault="00C63117" w:rsidP="00C63117">
            <w:pPr>
              <w:jc w:val="right"/>
              <w:rPr>
                <w:b/>
                <w:sz w:val="18"/>
                <w:szCs w:val="18"/>
              </w:rPr>
            </w:pPr>
          </w:p>
        </w:tc>
        <w:tc>
          <w:tcPr>
            <w:tcW w:w="1417" w:type="dxa"/>
            <w:gridSpan w:val="4"/>
          </w:tcPr>
          <w:p w14:paraId="60109B91" w14:textId="77777777" w:rsidR="00C63117" w:rsidRPr="00FA0C47" w:rsidRDefault="00C63117" w:rsidP="00C63117">
            <w:pPr>
              <w:jc w:val="right"/>
              <w:rPr>
                <w:b/>
                <w:sz w:val="18"/>
                <w:szCs w:val="18"/>
              </w:rPr>
            </w:pPr>
          </w:p>
        </w:tc>
        <w:tc>
          <w:tcPr>
            <w:tcW w:w="711" w:type="dxa"/>
            <w:shd w:val="clear" w:color="auto" w:fill="auto"/>
            <w:vAlign w:val="bottom"/>
          </w:tcPr>
          <w:p w14:paraId="782CFB7D" w14:textId="77777777" w:rsidR="00C63117" w:rsidRPr="00FA0C47" w:rsidRDefault="00C63117" w:rsidP="00C63117">
            <w:pPr>
              <w:jc w:val="right"/>
              <w:rPr>
                <w:b/>
                <w:sz w:val="18"/>
                <w:szCs w:val="18"/>
              </w:rPr>
            </w:pPr>
          </w:p>
        </w:tc>
      </w:tr>
      <w:tr w:rsidR="00C63117" w:rsidRPr="00677FFD" w14:paraId="51D7ED48" w14:textId="77777777" w:rsidTr="0004564D">
        <w:trPr>
          <w:cantSplit/>
          <w:trHeight w:val="127"/>
        </w:trPr>
        <w:tc>
          <w:tcPr>
            <w:tcW w:w="1561" w:type="dxa"/>
            <w:tcBorders>
              <w:left w:val="single" w:sz="2" w:space="0" w:color="auto"/>
              <w:right w:val="single" w:sz="2" w:space="0" w:color="auto"/>
            </w:tcBorders>
            <w:vAlign w:val="bottom"/>
          </w:tcPr>
          <w:p w14:paraId="513E8B19"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76B2855" w14:textId="1878882E" w:rsidR="00C63117" w:rsidRPr="00FA0C47" w:rsidRDefault="00C63117" w:rsidP="00C63117">
            <w:pPr>
              <w:rPr>
                <w:rFonts w:cs="Calibri"/>
                <w:b/>
                <w:bCs/>
                <w:sz w:val="14"/>
                <w:szCs w:val="14"/>
              </w:rPr>
            </w:pPr>
            <w:r w:rsidRPr="00FA0C47">
              <w:rPr>
                <w:b/>
                <w:sz w:val="18"/>
                <w:szCs w:val="18"/>
              </w:rPr>
              <w:t>202</w:t>
            </w:r>
            <w:r w:rsidR="00687D08">
              <w:rPr>
                <w:b/>
                <w:sz w:val="18"/>
                <w:szCs w:val="18"/>
              </w:rPr>
              <w:t>2</w:t>
            </w:r>
          </w:p>
        </w:tc>
        <w:tc>
          <w:tcPr>
            <w:tcW w:w="1417" w:type="dxa"/>
            <w:gridSpan w:val="3"/>
            <w:shd w:val="clear" w:color="auto" w:fill="auto"/>
            <w:vAlign w:val="bottom"/>
          </w:tcPr>
          <w:p w14:paraId="14F72517" w14:textId="77777777" w:rsidR="00C63117" w:rsidRPr="00FA0C47" w:rsidRDefault="00C63117" w:rsidP="00C63117">
            <w:pPr>
              <w:jc w:val="right"/>
              <w:rPr>
                <w:rFonts w:cs="Calibri"/>
                <w:sz w:val="12"/>
                <w:szCs w:val="12"/>
              </w:rPr>
            </w:pPr>
          </w:p>
        </w:tc>
        <w:tc>
          <w:tcPr>
            <w:tcW w:w="1418" w:type="dxa"/>
            <w:gridSpan w:val="3"/>
            <w:vAlign w:val="bottom"/>
          </w:tcPr>
          <w:p w14:paraId="68569F85" w14:textId="77777777" w:rsidR="00C63117" w:rsidRPr="00FA0C47" w:rsidRDefault="00C63117" w:rsidP="00C63117">
            <w:pPr>
              <w:jc w:val="right"/>
              <w:rPr>
                <w:b/>
                <w:sz w:val="18"/>
                <w:szCs w:val="18"/>
              </w:rPr>
            </w:pPr>
          </w:p>
        </w:tc>
        <w:tc>
          <w:tcPr>
            <w:tcW w:w="1417" w:type="dxa"/>
            <w:gridSpan w:val="4"/>
            <w:vAlign w:val="bottom"/>
          </w:tcPr>
          <w:p w14:paraId="5E32AC0C" w14:textId="77777777" w:rsidR="00C63117" w:rsidRPr="00FA0C47" w:rsidRDefault="00C63117" w:rsidP="00C63117">
            <w:pPr>
              <w:jc w:val="right"/>
              <w:rPr>
                <w:b/>
                <w:sz w:val="18"/>
                <w:szCs w:val="18"/>
              </w:rPr>
            </w:pPr>
          </w:p>
        </w:tc>
        <w:tc>
          <w:tcPr>
            <w:tcW w:w="711" w:type="dxa"/>
            <w:shd w:val="clear" w:color="auto" w:fill="auto"/>
            <w:vAlign w:val="bottom"/>
          </w:tcPr>
          <w:p w14:paraId="58FF366E" w14:textId="77777777" w:rsidR="00C63117" w:rsidRPr="00FA0C47" w:rsidRDefault="00C63117" w:rsidP="00C63117">
            <w:pPr>
              <w:jc w:val="right"/>
              <w:rPr>
                <w:b/>
                <w:sz w:val="18"/>
                <w:szCs w:val="18"/>
              </w:rPr>
            </w:pPr>
          </w:p>
        </w:tc>
      </w:tr>
      <w:tr w:rsidR="00C63117" w:rsidRPr="00677FFD" w14:paraId="715BFC1D" w14:textId="77777777" w:rsidTr="0004564D">
        <w:trPr>
          <w:cantSplit/>
          <w:trHeight w:val="127"/>
        </w:trPr>
        <w:tc>
          <w:tcPr>
            <w:tcW w:w="1561" w:type="dxa"/>
            <w:tcBorders>
              <w:left w:val="single" w:sz="2" w:space="0" w:color="auto"/>
              <w:right w:val="single" w:sz="2" w:space="0" w:color="auto"/>
            </w:tcBorders>
          </w:tcPr>
          <w:p w14:paraId="63B6BC65" w14:textId="10E626AA"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74665557" w14:textId="09EF0D4A" w:rsidR="00C63117" w:rsidRPr="00FA0C47" w:rsidRDefault="00C63117" w:rsidP="00C63117">
            <w:pPr>
              <w:rPr>
                <w:rFonts w:cs="Calibri"/>
                <w:b/>
                <w:bCs/>
                <w:sz w:val="14"/>
                <w:szCs w:val="14"/>
              </w:rPr>
            </w:pPr>
            <w:r w:rsidRPr="00FA0C47">
              <w:rPr>
                <w:rFonts w:cs="Calibri"/>
                <w:b/>
                <w:sz w:val="18"/>
                <w:szCs w:val="18"/>
              </w:rPr>
              <w:t>Carrying Amount at the Beginning of the Reporting Period</w:t>
            </w:r>
          </w:p>
        </w:tc>
        <w:tc>
          <w:tcPr>
            <w:tcW w:w="1417" w:type="dxa"/>
            <w:gridSpan w:val="3"/>
            <w:shd w:val="clear" w:color="auto" w:fill="auto"/>
          </w:tcPr>
          <w:p w14:paraId="14E4E4F7" w14:textId="77777777" w:rsidR="00C63117" w:rsidRPr="00FA0C47" w:rsidRDefault="00C63117" w:rsidP="00C63117">
            <w:pPr>
              <w:jc w:val="right"/>
              <w:rPr>
                <w:rFonts w:cs="Calibri"/>
                <w:sz w:val="12"/>
                <w:szCs w:val="12"/>
              </w:rPr>
            </w:pPr>
          </w:p>
        </w:tc>
        <w:tc>
          <w:tcPr>
            <w:tcW w:w="1418" w:type="dxa"/>
            <w:gridSpan w:val="3"/>
          </w:tcPr>
          <w:p w14:paraId="2C30A309" w14:textId="77777777" w:rsidR="00C63117" w:rsidRPr="00FA0C47" w:rsidRDefault="00C63117" w:rsidP="00C63117">
            <w:pPr>
              <w:jc w:val="right"/>
              <w:rPr>
                <w:b/>
                <w:sz w:val="18"/>
                <w:szCs w:val="18"/>
              </w:rPr>
            </w:pPr>
          </w:p>
        </w:tc>
        <w:tc>
          <w:tcPr>
            <w:tcW w:w="1417" w:type="dxa"/>
            <w:gridSpan w:val="4"/>
          </w:tcPr>
          <w:p w14:paraId="60EB58CC" w14:textId="77777777" w:rsidR="00C63117" w:rsidRPr="00FA0C47" w:rsidRDefault="00C63117" w:rsidP="00C63117">
            <w:pPr>
              <w:jc w:val="right"/>
              <w:rPr>
                <w:b/>
                <w:sz w:val="18"/>
                <w:szCs w:val="18"/>
              </w:rPr>
            </w:pPr>
          </w:p>
        </w:tc>
        <w:tc>
          <w:tcPr>
            <w:tcW w:w="711" w:type="dxa"/>
            <w:shd w:val="clear" w:color="auto" w:fill="auto"/>
          </w:tcPr>
          <w:p w14:paraId="3FBA83B8" w14:textId="77777777" w:rsidR="00C63117" w:rsidRPr="00FA0C47" w:rsidRDefault="00C63117" w:rsidP="00C63117">
            <w:pPr>
              <w:jc w:val="right"/>
              <w:rPr>
                <w:b/>
                <w:sz w:val="18"/>
                <w:szCs w:val="18"/>
              </w:rPr>
            </w:pPr>
          </w:p>
        </w:tc>
      </w:tr>
      <w:tr w:rsidR="00C63117" w:rsidRPr="00677FFD" w14:paraId="1F43AD02" w14:textId="77777777" w:rsidTr="0004564D">
        <w:trPr>
          <w:cantSplit/>
          <w:trHeight w:val="127"/>
        </w:trPr>
        <w:tc>
          <w:tcPr>
            <w:tcW w:w="1561" w:type="dxa"/>
            <w:tcBorders>
              <w:left w:val="single" w:sz="2" w:space="0" w:color="auto"/>
              <w:right w:val="single" w:sz="2" w:space="0" w:color="auto"/>
            </w:tcBorders>
            <w:vAlign w:val="center"/>
          </w:tcPr>
          <w:p w14:paraId="2ACE8532"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 xml:space="preserve">AASB 116.73(e)(i) </w:t>
            </w:r>
          </w:p>
          <w:p w14:paraId="70E3CF4E" w14:textId="4FD898A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E94DD64" w14:textId="4365B93A" w:rsidR="00C63117" w:rsidRPr="00FA0C47" w:rsidRDefault="00C63117" w:rsidP="00C63117">
            <w:pPr>
              <w:rPr>
                <w:rFonts w:cs="Calibri"/>
                <w:b/>
                <w:bCs/>
                <w:sz w:val="14"/>
                <w:szCs w:val="14"/>
              </w:rPr>
            </w:pPr>
            <w:r w:rsidRPr="00FA0C47">
              <w:rPr>
                <w:rFonts w:cs="Calibri"/>
                <w:sz w:val="18"/>
                <w:szCs w:val="18"/>
              </w:rPr>
              <w:t>Additions</w:t>
            </w:r>
          </w:p>
        </w:tc>
        <w:tc>
          <w:tcPr>
            <w:tcW w:w="1417" w:type="dxa"/>
            <w:gridSpan w:val="3"/>
            <w:shd w:val="clear" w:color="auto" w:fill="auto"/>
            <w:vAlign w:val="center"/>
          </w:tcPr>
          <w:p w14:paraId="5FFE417C" w14:textId="77777777" w:rsidR="00C63117" w:rsidRPr="00FA0C47" w:rsidRDefault="00C63117" w:rsidP="00C63117">
            <w:pPr>
              <w:jc w:val="right"/>
              <w:rPr>
                <w:rFonts w:cs="Calibri"/>
                <w:sz w:val="12"/>
                <w:szCs w:val="12"/>
              </w:rPr>
            </w:pPr>
          </w:p>
        </w:tc>
        <w:tc>
          <w:tcPr>
            <w:tcW w:w="1418" w:type="dxa"/>
            <w:gridSpan w:val="3"/>
            <w:vAlign w:val="center"/>
          </w:tcPr>
          <w:p w14:paraId="38230B23" w14:textId="77777777" w:rsidR="00C63117" w:rsidRPr="00FA0C47" w:rsidRDefault="00C63117" w:rsidP="00C63117">
            <w:pPr>
              <w:jc w:val="right"/>
              <w:rPr>
                <w:b/>
                <w:sz w:val="18"/>
                <w:szCs w:val="18"/>
              </w:rPr>
            </w:pPr>
          </w:p>
        </w:tc>
        <w:tc>
          <w:tcPr>
            <w:tcW w:w="1417" w:type="dxa"/>
            <w:gridSpan w:val="4"/>
            <w:vAlign w:val="center"/>
          </w:tcPr>
          <w:p w14:paraId="336F166E" w14:textId="77777777" w:rsidR="00C63117" w:rsidRPr="00FA0C47" w:rsidRDefault="00C63117" w:rsidP="00C63117">
            <w:pPr>
              <w:jc w:val="right"/>
              <w:rPr>
                <w:b/>
                <w:sz w:val="18"/>
                <w:szCs w:val="18"/>
              </w:rPr>
            </w:pPr>
          </w:p>
        </w:tc>
        <w:tc>
          <w:tcPr>
            <w:tcW w:w="711" w:type="dxa"/>
            <w:shd w:val="clear" w:color="auto" w:fill="auto"/>
            <w:vAlign w:val="center"/>
          </w:tcPr>
          <w:p w14:paraId="47BC5633" w14:textId="77777777" w:rsidR="00C63117" w:rsidRPr="00FA0C47" w:rsidRDefault="00C63117" w:rsidP="00C63117">
            <w:pPr>
              <w:jc w:val="right"/>
              <w:rPr>
                <w:b/>
                <w:sz w:val="18"/>
                <w:szCs w:val="18"/>
              </w:rPr>
            </w:pPr>
          </w:p>
        </w:tc>
      </w:tr>
      <w:tr w:rsidR="00C63117" w:rsidRPr="00677FFD" w14:paraId="67965834" w14:textId="77777777" w:rsidTr="0004564D">
        <w:trPr>
          <w:cantSplit/>
          <w:trHeight w:val="127"/>
        </w:trPr>
        <w:tc>
          <w:tcPr>
            <w:tcW w:w="1561" w:type="dxa"/>
            <w:tcBorders>
              <w:left w:val="single" w:sz="2" w:space="0" w:color="auto"/>
              <w:right w:val="single" w:sz="2" w:space="0" w:color="auto"/>
            </w:tcBorders>
          </w:tcPr>
          <w:p w14:paraId="307FCF7F"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0250EE56" w14:textId="3248046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75D40D17" w14:textId="0FDE4914" w:rsidR="00C63117" w:rsidRPr="00FA0C47" w:rsidRDefault="00C63117" w:rsidP="00C63117">
            <w:pPr>
              <w:rPr>
                <w:rFonts w:cs="Calibri"/>
                <w:b/>
                <w:bCs/>
                <w:sz w:val="14"/>
                <w:szCs w:val="14"/>
              </w:rPr>
            </w:pPr>
            <w:r w:rsidRPr="00FA0C47">
              <w:rPr>
                <w:rFonts w:cs="Calibri"/>
                <w:sz w:val="18"/>
                <w:szCs w:val="18"/>
              </w:rPr>
              <w:t>Revaluation Increment/(Decrement)</w:t>
            </w:r>
          </w:p>
        </w:tc>
        <w:tc>
          <w:tcPr>
            <w:tcW w:w="1417" w:type="dxa"/>
            <w:gridSpan w:val="3"/>
            <w:shd w:val="clear" w:color="auto" w:fill="auto"/>
            <w:vAlign w:val="center"/>
          </w:tcPr>
          <w:p w14:paraId="63071FDF" w14:textId="77777777" w:rsidR="00C63117" w:rsidRPr="00FA0C47" w:rsidRDefault="00C63117" w:rsidP="00C63117">
            <w:pPr>
              <w:jc w:val="right"/>
              <w:rPr>
                <w:rFonts w:cs="Calibri"/>
                <w:sz w:val="12"/>
                <w:szCs w:val="12"/>
              </w:rPr>
            </w:pPr>
          </w:p>
        </w:tc>
        <w:tc>
          <w:tcPr>
            <w:tcW w:w="1418" w:type="dxa"/>
            <w:gridSpan w:val="3"/>
            <w:vAlign w:val="center"/>
          </w:tcPr>
          <w:p w14:paraId="235E89CD" w14:textId="77777777" w:rsidR="00C63117" w:rsidRPr="00FA0C47" w:rsidRDefault="00C63117" w:rsidP="00C63117">
            <w:pPr>
              <w:jc w:val="right"/>
              <w:rPr>
                <w:b/>
                <w:sz w:val="18"/>
                <w:szCs w:val="18"/>
              </w:rPr>
            </w:pPr>
          </w:p>
        </w:tc>
        <w:tc>
          <w:tcPr>
            <w:tcW w:w="1417" w:type="dxa"/>
            <w:gridSpan w:val="4"/>
            <w:vAlign w:val="center"/>
          </w:tcPr>
          <w:p w14:paraId="7CD94480" w14:textId="77777777" w:rsidR="00C63117" w:rsidRPr="00FA0C47" w:rsidRDefault="00C63117" w:rsidP="00C63117">
            <w:pPr>
              <w:jc w:val="right"/>
              <w:rPr>
                <w:b/>
                <w:sz w:val="18"/>
                <w:szCs w:val="18"/>
              </w:rPr>
            </w:pPr>
          </w:p>
        </w:tc>
        <w:tc>
          <w:tcPr>
            <w:tcW w:w="711" w:type="dxa"/>
            <w:shd w:val="clear" w:color="auto" w:fill="auto"/>
            <w:vAlign w:val="center"/>
          </w:tcPr>
          <w:p w14:paraId="3625EA32" w14:textId="77777777" w:rsidR="00C63117" w:rsidRPr="00FA0C47" w:rsidRDefault="00C63117" w:rsidP="00C63117">
            <w:pPr>
              <w:jc w:val="right"/>
              <w:rPr>
                <w:b/>
                <w:sz w:val="18"/>
                <w:szCs w:val="18"/>
              </w:rPr>
            </w:pPr>
          </w:p>
        </w:tc>
      </w:tr>
      <w:tr w:rsidR="00C63117" w:rsidRPr="00677FFD" w14:paraId="4728F19B" w14:textId="77777777" w:rsidTr="0004564D">
        <w:trPr>
          <w:cantSplit/>
          <w:trHeight w:val="127"/>
        </w:trPr>
        <w:tc>
          <w:tcPr>
            <w:tcW w:w="1561" w:type="dxa"/>
            <w:tcBorders>
              <w:left w:val="single" w:sz="2" w:space="0" w:color="auto"/>
              <w:right w:val="single" w:sz="2" w:space="0" w:color="auto"/>
            </w:tcBorders>
          </w:tcPr>
          <w:p w14:paraId="5DA62D53"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0DC2AD24"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079074A" w14:textId="4B25B7AC" w:rsidR="00C63117" w:rsidRPr="00FA0C47" w:rsidRDefault="00C63117" w:rsidP="00C63117">
            <w:pPr>
              <w:rPr>
                <w:rFonts w:cs="Calibri"/>
                <w:b/>
                <w:bCs/>
                <w:sz w:val="14"/>
                <w:szCs w:val="14"/>
              </w:rPr>
            </w:pPr>
            <w:r w:rsidRPr="00FA0C47">
              <w:rPr>
                <w:rFonts w:cs="Calibri"/>
                <w:sz w:val="18"/>
                <w:szCs w:val="18"/>
              </w:rPr>
              <w:t>Impairment Losses Recognised in Other Comprehensive Income</w:t>
            </w:r>
          </w:p>
        </w:tc>
        <w:tc>
          <w:tcPr>
            <w:tcW w:w="1417" w:type="dxa"/>
            <w:gridSpan w:val="3"/>
            <w:shd w:val="clear" w:color="auto" w:fill="auto"/>
          </w:tcPr>
          <w:p w14:paraId="3E1940C1" w14:textId="77777777" w:rsidR="00C63117" w:rsidRPr="00FA0C47" w:rsidRDefault="00C63117" w:rsidP="00C63117">
            <w:pPr>
              <w:jc w:val="right"/>
              <w:rPr>
                <w:rFonts w:cs="Calibri"/>
                <w:sz w:val="12"/>
                <w:szCs w:val="12"/>
              </w:rPr>
            </w:pPr>
          </w:p>
        </w:tc>
        <w:tc>
          <w:tcPr>
            <w:tcW w:w="1418" w:type="dxa"/>
            <w:gridSpan w:val="3"/>
          </w:tcPr>
          <w:p w14:paraId="69D5FFA8" w14:textId="77777777" w:rsidR="00C63117" w:rsidRPr="00FA0C47" w:rsidRDefault="00C63117" w:rsidP="00C63117">
            <w:pPr>
              <w:jc w:val="right"/>
              <w:rPr>
                <w:b/>
                <w:sz w:val="18"/>
                <w:szCs w:val="18"/>
              </w:rPr>
            </w:pPr>
          </w:p>
        </w:tc>
        <w:tc>
          <w:tcPr>
            <w:tcW w:w="1417" w:type="dxa"/>
            <w:gridSpan w:val="4"/>
          </w:tcPr>
          <w:p w14:paraId="51BDC9A4" w14:textId="77777777" w:rsidR="00C63117" w:rsidRPr="00FA0C47" w:rsidRDefault="00C63117" w:rsidP="00C63117">
            <w:pPr>
              <w:jc w:val="right"/>
              <w:rPr>
                <w:b/>
                <w:sz w:val="18"/>
                <w:szCs w:val="18"/>
              </w:rPr>
            </w:pPr>
          </w:p>
        </w:tc>
        <w:tc>
          <w:tcPr>
            <w:tcW w:w="711" w:type="dxa"/>
            <w:shd w:val="clear" w:color="auto" w:fill="auto"/>
          </w:tcPr>
          <w:p w14:paraId="78ED6AD9" w14:textId="77777777" w:rsidR="00C63117" w:rsidRPr="00FA0C47" w:rsidRDefault="00C63117" w:rsidP="00C63117">
            <w:pPr>
              <w:jc w:val="right"/>
              <w:rPr>
                <w:b/>
                <w:sz w:val="18"/>
                <w:szCs w:val="18"/>
              </w:rPr>
            </w:pPr>
          </w:p>
        </w:tc>
      </w:tr>
      <w:tr w:rsidR="00C63117" w:rsidRPr="00677FFD" w14:paraId="5E7DB929" w14:textId="77777777" w:rsidTr="0004564D">
        <w:trPr>
          <w:cantSplit/>
          <w:trHeight w:val="127"/>
        </w:trPr>
        <w:tc>
          <w:tcPr>
            <w:tcW w:w="1561" w:type="dxa"/>
            <w:tcBorders>
              <w:left w:val="single" w:sz="2" w:space="0" w:color="auto"/>
              <w:right w:val="single" w:sz="2" w:space="0" w:color="auto"/>
            </w:tcBorders>
            <w:vAlign w:val="center"/>
          </w:tcPr>
          <w:p w14:paraId="01041841"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116.73(e)(vii)</w:t>
            </w:r>
          </w:p>
          <w:p w14:paraId="5CE5506E" w14:textId="15233621"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644B7CBA" w14:textId="02E05288" w:rsidR="00C63117" w:rsidRPr="00FA0C47" w:rsidRDefault="00C63117" w:rsidP="00C63117">
            <w:pPr>
              <w:rPr>
                <w:rFonts w:cs="Calibri"/>
                <w:b/>
                <w:bCs/>
                <w:sz w:val="14"/>
                <w:szCs w:val="14"/>
              </w:rPr>
            </w:pPr>
            <w:r w:rsidRPr="00FA0C47">
              <w:rPr>
                <w:rFonts w:cs="Calibri"/>
                <w:sz w:val="18"/>
                <w:szCs w:val="18"/>
              </w:rPr>
              <w:t>Depreciation</w:t>
            </w:r>
          </w:p>
        </w:tc>
        <w:tc>
          <w:tcPr>
            <w:tcW w:w="1417" w:type="dxa"/>
            <w:gridSpan w:val="3"/>
            <w:shd w:val="clear" w:color="auto" w:fill="auto"/>
            <w:vAlign w:val="center"/>
          </w:tcPr>
          <w:p w14:paraId="3EFCD392" w14:textId="77777777" w:rsidR="00C63117" w:rsidRPr="00FA0C47" w:rsidRDefault="00C63117" w:rsidP="00C63117">
            <w:pPr>
              <w:jc w:val="right"/>
              <w:rPr>
                <w:rFonts w:cs="Calibri"/>
                <w:sz w:val="12"/>
                <w:szCs w:val="12"/>
              </w:rPr>
            </w:pPr>
          </w:p>
        </w:tc>
        <w:tc>
          <w:tcPr>
            <w:tcW w:w="1418" w:type="dxa"/>
            <w:gridSpan w:val="3"/>
            <w:vAlign w:val="center"/>
          </w:tcPr>
          <w:p w14:paraId="044D6661" w14:textId="77777777" w:rsidR="00C63117" w:rsidRPr="00FA0C47" w:rsidRDefault="00C63117" w:rsidP="00C63117">
            <w:pPr>
              <w:jc w:val="right"/>
              <w:rPr>
                <w:b/>
                <w:sz w:val="18"/>
                <w:szCs w:val="18"/>
              </w:rPr>
            </w:pPr>
          </w:p>
        </w:tc>
        <w:tc>
          <w:tcPr>
            <w:tcW w:w="1417" w:type="dxa"/>
            <w:gridSpan w:val="4"/>
            <w:vAlign w:val="center"/>
          </w:tcPr>
          <w:p w14:paraId="285D3EA7" w14:textId="77777777" w:rsidR="00C63117" w:rsidRPr="00FA0C47" w:rsidRDefault="00C63117" w:rsidP="00C63117">
            <w:pPr>
              <w:jc w:val="right"/>
              <w:rPr>
                <w:b/>
                <w:sz w:val="18"/>
                <w:szCs w:val="18"/>
              </w:rPr>
            </w:pPr>
          </w:p>
        </w:tc>
        <w:tc>
          <w:tcPr>
            <w:tcW w:w="711" w:type="dxa"/>
            <w:shd w:val="clear" w:color="auto" w:fill="auto"/>
            <w:vAlign w:val="center"/>
          </w:tcPr>
          <w:p w14:paraId="1C3954FA" w14:textId="77777777" w:rsidR="00C63117" w:rsidRPr="00FA0C47" w:rsidRDefault="00C63117" w:rsidP="00C63117">
            <w:pPr>
              <w:jc w:val="right"/>
              <w:rPr>
                <w:b/>
                <w:sz w:val="18"/>
                <w:szCs w:val="18"/>
              </w:rPr>
            </w:pPr>
          </w:p>
        </w:tc>
      </w:tr>
      <w:tr w:rsidR="00C63117" w:rsidRPr="00677FFD" w14:paraId="407C9CD6" w14:textId="77777777" w:rsidTr="0004564D">
        <w:trPr>
          <w:cantSplit/>
          <w:trHeight w:val="127"/>
        </w:trPr>
        <w:tc>
          <w:tcPr>
            <w:tcW w:w="1561" w:type="dxa"/>
            <w:tcBorders>
              <w:left w:val="single" w:sz="2" w:space="0" w:color="auto"/>
              <w:right w:val="single" w:sz="2" w:space="0" w:color="auto"/>
            </w:tcBorders>
          </w:tcPr>
          <w:p w14:paraId="0F21BEA1" w14:textId="72CACF68"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1C9AD8FE" w14:textId="6983C07B" w:rsidR="00C63117" w:rsidRPr="00FA0C47" w:rsidRDefault="00C63117" w:rsidP="00C63117">
            <w:pPr>
              <w:rPr>
                <w:rFonts w:cs="Calibri"/>
                <w:b/>
                <w:bCs/>
                <w:sz w:val="14"/>
                <w:szCs w:val="14"/>
              </w:rPr>
            </w:pPr>
            <w:r w:rsidRPr="00FA0C47">
              <w:rPr>
                <w:rFonts w:cs="Calibri"/>
                <w:sz w:val="18"/>
                <w:szCs w:val="18"/>
              </w:rPr>
              <w:t>Acquisition/(Disposal) through Administrative Restructuring</w:t>
            </w:r>
          </w:p>
        </w:tc>
        <w:tc>
          <w:tcPr>
            <w:tcW w:w="1417" w:type="dxa"/>
            <w:gridSpan w:val="3"/>
            <w:shd w:val="clear" w:color="auto" w:fill="auto"/>
          </w:tcPr>
          <w:p w14:paraId="7B834C15" w14:textId="77777777" w:rsidR="00C63117" w:rsidRPr="00FA0C47" w:rsidRDefault="00C63117" w:rsidP="00C63117">
            <w:pPr>
              <w:jc w:val="right"/>
              <w:rPr>
                <w:rFonts w:cs="Calibri"/>
                <w:sz w:val="12"/>
                <w:szCs w:val="12"/>
              </w:rPr>
            </w:pPr>
          </w:p>
        </w:tc>
        <w:tc>
          <w:tcPr>
            <w:tcW w:w="1418" w:type="dxa"/>
            <w:gridSpan w:val="3"/>
          </w:tcPr>
          <w:p w14:paraId="770AAA3A" w14:textId="77777777" w:rsidR="00C63117" w:rsidRPr="00FA0C47" w:rsidRDefault="00C63117" w:rsidP="00C63117">
            <w:pPr>
              <w:jc w:val="right"/>
              <w:rPr>
                <w:b/>
                <w:sz w:val="18"/>
                <w:szCs w:val="18"/>
              </w:rPr>
            </w:pPr>
          </w:p>
        </w:tc>
        <w:tc>
          <w:tcPr>
            <w:tcW w:w="1417" w:type="dxa"/>
            <w:gridSpan w:val="4"/>
          </w:tcPr>
          <w:p w14:paraId="6F3162C9" w14:textId="77777777" w:rsidR="00C63117" w:rsidRPr="00FA0C47" w:rsidRDefault="00C63117" w:rsidP="00C63117">
            <w:pPr>
              <w:jc w:val="right"/>
              <w:rPr>
                <w:b/>
                <w:sz w:val="18"/>
                <w:szCs w:val="18"/>
              </w:rPr>
            </w:pPr>
          </w:p>
        </w:tc>
        <w:tc>
          <w:tcPr>
            <w:tcW w:w="711" w:type="dxa"/>
            <w:shd w:val="clear" w:color="auto" w:fill="auto"/>
          </w:tcPr>
          <w:p w14:paraId="54A7B2A1" w14:textId="77777777" w:rsidR="00C63117" w:rsidRPr="00FA0C47" w:rsidRDefault="00C63117" w:rsidP="00C63117">
            <w:pPr>
              <w:jc w:val="right"/>
              <w:rPr>
                <w:b/>
                <w:sz w:val="18"/>
                <w:szCs w:val="18"/>
              </w:rPr>
            </w:pPr>
          </w:p>
        </w:tc>
      </w:tr>
      <w:tr w:rsidR="00C63117" w:rsidRPr="00677FFD" w14:paraId="66C007FC" w14:textId="77777777" w:rsidTr="0004564D">
        <w:trPr>
          <w:cantSplit/>
          <w:trHeight w:val="127"/>
        </w:trPr>
        <w:tc>
          <w:tcPr>
            <w:tcW w:w="1561" w:type="dxa"/>
            <w:tcBorders>
              <w:left w:val="single" w:sz="2" w:space="0" w:color="auto"/>
              <w:right w:val="single" w:sz="2" w:space="0" w:color="auto"/>
            </w:tcBorders>
          </w:tcPr>
          <w:p w14:paraId="07998920" w14:textId="7E7C1302"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282E39C3" w14:textId="78F23C3E" w:rsidR="00C63117" w:rsidRPr="00FA0C47" w:rsidRDefault="00C63117" w:rsidP="00C63117">
            <w:pPr>
              <w:rPr>
                <w:rFonts w:cs="Calibri"/>
                <w:b/>
                <w:bCs/>
                <w:sz w:val="14"/>
                <w:szCs w:val="14"/>
              </w:rPr>
            </w:pPr>
            <w:r w:rsidRPr="00FA0C47">
              <w:rPr>
                <w:rFonts w:cs="Calibri"/>
                <w:sz w:val="18"/>
                <w:szCs w:val="18"/>
              </w:rPr>
              <w:t>Acquisition/(Disposal) from Transfers</w:t>
            </w:r>
          </w:p>
        </w:tc>
        <w:tc>
          <w:tcPr>
            <w:tcW w:w="1417" w:type="dxa"/>
            <w:gridSpan w:val="3"/>
            <w:shd w:val="clear" w:color="auto" w:fill="auto"/>
          </w:tcPr>
          <w:p w14:paraId="106ABCF8" w14:textId="77777777" w:rsidR="00C63117" w:rsidRPr="00FA0C47" w:rsidRDefault="00C63117" w:rsidP="00C63117">
            <w:pPr>
              <w:jc w:val="right"/>
              <w:rPr>
                <w:rFonts w:cs="Calibri"/>
                <w:sz w:val="12"/>
                <w:szCs w:val="12"/>
              </w:rPr>
            </w:pPr>
          </w:p>
        </w:tc>
        <w:tc>
          <w:tcPr>
            <w:tcW w:w="1418" w:type="dxa"/>
            <w:gridSpan w:val="3"/>
          </w:tcPr>
          <w:p w14:paraId="69E02260" w14:textId="77777777" w:rsidR="00C63117" w:rsidRPr="00FA0C47" w:rsidRDefault="00C63117" w:rsidP="00C63117">
            <w:pPr>
              <w:jc w:val="right"/>
              <w:rPr>
                <w:b/>
                <w:sz w:val="18"/>
                <w:szCs w:val="18"/>
              </w:rPr>
            </w:pPr>
          </w:p>
        </w:tc>
        <w:tc>
          <w:tcPr>
            <w:tcW w:w="1417" w:type="dxa"/>
            <w:gridSpan w:val="4"/>
          </w:tcPr>
          <w:p w14:paraId="5693A420" w14:textId="77777777" w:rsidR="00C63117" w:rsidRPr="00FA0C47" w:rsidRDefault="00C63117" w:rsidP="00C63117">
            <w:pPr>
              <w:jc w:val="right"/>
              <w:rPr>
                <w:b/>
                <w:sz w:val="18"/>
                <w:szCs w:val="18"/>
              </w:rPr>
            </w:pPr>
          </w:p>
        </w:tc>
        <w:tc>
          <w:tcPr>
            <w:tcW w:w="711" w:type="dxa"/>
            <w:shd w:val="clear" w:color="auto" w:fill="auto"/>
          </w:tcPr>
          <w:p w14:paraId="790C4500" w14:textId="77777777" w:rsidR="00C63117" w:rsidRPr="00FA0C47" w:rsidRDefault="00C63117" w:rsidP="00C63117">
            <w:pPr>
              <w:jc w:val="right"/>
              <w:rPr>
                <w:b/>
                <w:sz w:val="18"/>
                <w:szCs w:val="18"/>
              </w:rPr>
            </w:pPr>
          </w:p>
        </w:tc>
      </w:tr>
      <w:tr w:rsidR="00C63117" w:rsidRPr="00677FFD" w14:paraId="54470FA7" w14:textId="77777777" w:rsidTr="0004564D">
        <w:trPr>
          <w:cantSplit/>
          <w:trHeight w:val="127"/>
        </w:trPr>
        <w:tc>
          <w:tcPr>
            <w:tcW w:w="1561" w:type="dxa"/>
            <w:tcBorders>
              <w:left w:val="single" w:sz="2" w:space="0" w:color="auto"/>
              <w:right w:val="single" w:sz="2" w:space="0" w:color="auto"/>
            </w:tcBorders>
          </w:tcPr>
          <w:p w14:paraId="6FFF3978" w14:textId="7FFE14ED"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2D4C9227" w14:textId="49F63131" w:rsidR="00C63117" w:rsidRPr="00FA0C47" w:rsidRDefault="00C63117" w:rsidP="00C63117">
            <w:pPr>
              <w:rPr>
                <w:rFonts w:cs="Calibri"/>
                <w:b/>
                <w:bCs/>
                <w:sz w:val="14"/>
                <w:szCs w:val="14"/>
              </w:rPr>
            </w:pPr>
            <w:r w:rsidRPr="00FA0C47">
              <w:rPr>
                <w:rFonts w:cs="Calibri"/>
                <w:sz w:val="18"/>
                <w:szCs w:val="18"/>
              </w:rPr>
              <w:t>Impairment Losses Recognised in the Operating Result</w:t>
            </w:r>
          </w:p>
        </w:tc>
        <w:tc>
          <w:tcPr>
            <w:tcW w:w="1417" w:type="dxa"/>
            <w:gridSpan w:val="3"/>
            <w:tcBorders>
              <w:bottom w:val="single" w:sz="4" w:space="0" w:color="auto"/>
            </w:tcBorders>
            <w:shd w:val="clear" w:color="auto" w:fill="auto"/>
          </w:tcPr>
          <w:p w14:paraId="6D8FA8D3" w14:textId="77777777" w:rsidR="00C63117" w:rsidRPr="00FA0C47" w:rsidRDefault="00C63117" w:rsidP="00C63117">
            <w:pPr>
              <w:jc w:val="right"/>
              <w:rPr>
                <w:rFonts w:cs="Calibri"/>
                <w:sz w:val="12"/>
                <w:szCs w:val="12"/>
              </w:rPr>
            </w:pPr>
          </w:p>
        </w:tc>
        <w:tc>
          <w:tcPr>
            <w:tcW w:w="1418" w:type="dxa"/>
            <w:gridSpan w:val="3"/>
            <w:tcBorders>
              <w:bottom w:val="single" w:sz="4" w:space="0" w:color="auto"/>
            </w:tcBorders>
          </w:tcPr>
          <w:p w14:paraId="3B4C8B82" w14:textId="77777777" w:rsidR="00C63117" w:rsidRPr="00FA0C47" w:rsidRDefault="00C63117" w:rsidP="00C63117">
            <w:pPr>
              <w:jc w:val="right"/>
              <w:rPr>
                <w:b/>
                <w:sz w:val="18"/>
                <w:szCs w:val="18"/>
              </w:rPr>
            </w:pPr>
          </w:p>
        </w:tc>
        <w:tc>
          <w:tcPr>
            <w:tcW w:w="1417" w:type="dxa"/>
            <w:gridSpan w:val="4"/>
            <w:tcBorders>
              <w:bottom w:val="single" w:sz="4" w:space="0" w:color="auto"/>
            </w:tcBorders>
          </w:tcPr>
          <w:p w14:paraId="0290C097" w14:textId="77777777" w:rsidR="00C63117" w:rsidRPr="00FA0C47" w:rsidRDefault="00C63117" w:rsidP="00C63117">
            <w:pPr>
              <w:jc w:val="right"/>
              <w:rPr>
                <w:b/>
                <w:sz w:val="18"/>
                <w:szCs w:val="18"/>
              </w:rPr>
            </w:pPr>
          </w:p>
        </w:tc>
        <w:tc>
          <w:tcPr>
            <w:tcW w:w="711" w:type="dxa"/>
            <w:tcBorders>
              <w:bottom w:val="single" w:sz="4" w:space="0" w:color="auto"/>
            </w:tcBorders>
            <w:shd w:val="clear" w:color="auto" w:fill="auto"/>
          </w:tcPr>
          <w:p w14:paraId="0639037A" w14:textId="77777777" w:rsidR="00C63117" w:rsidRPr="00FA0C47" w:rsidRDefault="00C63117" w:rsidP="00C63117">
            <w:pPr>
              <w:jc w:val="right"/>
              <w:rPr>
                <w:b/>
                <w:sz w:val="18"/>
                <w:szCs w:val="18"/>
              </w:rPr>
            </w:pPr>
          </w:p>
        </w:tc>
      </w:tr>
      <w:tr w:rsidR="00C63117" w:rsidRPr="00677FFD" w14:paraId="5AE39F76" w14:textId="77777777" w:rsidTr="0004564D">
        <w:trPr>
          <w:cantSplit/>
          <w:trHeight w:val="127"/>
        </w:trPr>
        <w:tc>
          <w:tcPr>
            <w:tcW w:w="1561" w:type="dxa"/>
            <w:tcBorders>
              <w:left w:val="single" w:sz="2" w:space="0" w:color="auto"/>
              <w:right w:val="single" w:sz="2" w:space="0" w:color="auto"/>
            </w:tcBorders>
          </w:tcPr>
          <w:p w14:paraId="27F58160" w14:textId="2B4AA97C"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10710410" w14:textId="6A54C220" w:rsidR="00C63117" w:rsidRPr="00FA0C47" w:rsidRDefault="00C63117" w:rsidP="00C63117">
            <w:pPr>
              <w:rPr>
                <w:rFonts w:cs="Calibri"/>
                <w:b/>
                <w:bCs/>
                <w:sz w:val="14"/>
                <w:szCs w:val="14"/>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5AB59887" w14:textId="77777777" w:rsidR="00C63117" w:rsidRPr="00FA0C47" w:rsidRDefault="00C63117" w:rsidP="00C63117">
            <w:pPr>
              <w:jc w:val="right"/>
              <w:rPr>
                <w:rFonts w:cs="Calibri"/>
                <w:sz w:val="12"/>
                <w:szCs w:val="12"/>
              </w:rPr>
            </w:pPr>
          </w:p>
        </w:tc>
        <w:tc>
          <w:tcPr>
            <w:tcW w:w="1418" w:type="dxa"/>
            <w:gridSpan w:val="3"/>
            <w:tcBorders>
              <w:top w:val="single" w:sz="4" w:space="0" w:color="auto"/>
              <w:bottom w:val="double" w:sz="4" w:space="0" w:color="auto"/>
            </w:tcBorders>
            <w:vAlign w:val="center"/>
          </w:tcPr>
          <w:p w14:paraId="03A94E29" w14:textId="77777777" w:rsidR="00C63117" w:rsidRPr="00FA0C47" w:rsidRDefault="00C63117" w:rsidP="00C63117">
            <w:pPr>
              <w:jc w:val="right"/>
              <w:rPr>
                <w:b/>
                <w:sz w:val="18"/>
                <w:szCs w:val="18"/>
              </w:rPr>
            </w:pPr>
          </w:p>
        </w:tc>
        <w:tc>
          <w:tcPr>
            <w:tcW w:w="1417" w:type="dxa"/>
            <w:gridSpan w:val="4"/>
            <w:tcBorders>
              <w:top w:val="single" w:sz="4" w:space="0" w:color="auto"/>
              <w:bottom w:val="double" w:sz="4" w:space="0" w:color="auto"/>
            </w:tcBorders>
            <w:vAlign w:val="center"/>
          </w:tcPr>
          <w:p w14:paraId="11282994" w14:textId="77777777" w:rsidR="00C63117" w:rsidRPr="00FA0C47" w:rsidRDefault="00C63117" w:rsidP="00C63117">
            <w:pPr>
              <w:jc w:val="right"/>
              <w:rPr>
                <w:b/>
                <w:sz w:val="18"/>
                <w:szCs w:val="18"/>
              </w:rPr>
            </w:pPr>
          </w:p>
        </w:tc>
        <w:tc>
          <w:tcPr>
            <w:tcW w:w="711" w:type="dxa"/>
            <w:tcBorders>
              <w:top w:val="single" w:sz="4" w:space="0" w:color="auto"/>
              <w:bottom w:val="double" w:sz="4" w:space="0" w:color="auto"/>
            </w:tcBorders>
            <w:shd w:val="clear" w:color="auto" w:fill="auto"/>
            <w:vAlign w:val="center"/>
          </w:tcPr>
          <w:p w14:paraId="4CCFCC76" w14:textId="77777777" w:rsidR="00C63117" w:rsidRPr="00FA0C47" w:rsidRDefault="00C63117" w:rsidP="00C63117">
            <w:pPr>
              <w:jc w:val="right"/>
              <w:rPr>
                <w:b/>
                <w:sz w:val="18"/>
                <w:szCs w:val="18"/>
              </w:rPr>
            </w:pPr>
          </w:p>
        </w:tc>
      </w:tr>
      <w:tr w:rsidR="00C63117" w:rsidRPr="00677FFD" w14:paraId="5FA742A2" w14:textId="77777777" w:rsidTr="0004564D">
        <w:trPr>
          <w:cantSplit/>
          <w:trHeight w:val="127"/>
        </w:trPr>
        <w:tc>
          <w:tcPr>
            <w:tcW w:w="1561" w:type="dxa"/>
            <w:tcBorders>
              <w:left w:val="single" w:sz="2" w:space="0" w:color="auto"/>
              <w:right w:val="single" w:sz="2" w:space="0" w:color="auto"/>
            </w:tcBorders>
            <w:vAlign w:val="bottom"/>
          </w:tcPr>
          <w:p w14:paraId="69694E7A"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7F48BA5" w14:textId="77777777" w:rsidR="00C63117" w:rsidRPr="00FA0C47" w:rsidRDefault="00C63117" w:rsidP="00C63117">
            <w:pPr>
              <w:rPr>
                <w:rFonts w:cs="Calibri"/>
                <w:b/>
                <w:bCs/>
                <w:sz w:val="14"/>
                <w:szCs w:val="14"/>
              </w:rPr>
            </w:pPr>
          </w:p>
        </w:tc>
        <w:tc>
          <w:tcPr>
            <w:tcW w:w="1417" w:type="dxa"/>
            <w:gridSpan w:val="3"/>
            <w:tcBorders>
              <w:top w:val="double" w:sz="4" w:space="0" w:color="auto"/>
            </w:tcBorders>
            <w:shd w:val="clear" w:color="auto" w:fill="auto"/>
            <w:vAlign w:val="bottom"/>
          </w:tcPr>
          <w:p w14:paraId="4B9DECF1" w14:textId="77777777" w:rsidR="00C63117" w:rsidRPr="00FA0C47" w:rsidRDefault="00C63117" w:rsidP="00C63117">
            <w:pPr>
              <w:jc w:val="right"/>
              <w:rPr>
                <w:rFonts w:cs="Calibri"/>
                <w:sz w:val="12"/>
                <w:szCs w:val="12"/>
              </w:rPr>
            </w:pPr>
          </w:p>
        </w:tc>
        <w:tc>
          <w:tcPr>
            <w:tcW w:w="1418" w:type="dxa"/>
            <w:gridSpan w:val="3"/>
            <w:tcBorders>
              <w:top w:val="double" w:sz="4" w:space="0" w:color="auto"/>
            </w:tcBorders>
          </w:tcPr>
          <w:p w14:paraId="0497B5A4" w14:textId="77777777" w:rsidR="00C63117" w:rsidRPr="00FA0C47" w:rsidRDefault="00C63117" w:rsidP="00C63117">
            <w:pPr>
              <w:jc w:val="right"/>
              <w:rPr>
                <w:b/>
                <w:sz w:val="18"/>
                <w:szCs w:val="18"/>
              </w:rPr>
            </w:pPr>
          </w:p>
        </w:tc>
        <w:tc>
          <w:tcPr>
            <w:tcW w:w="1417" w:type="dxa"/>
            <w:gridSpan w:val="4"/>
            <w:tcBorders>
              <w:top w:val="double" w:sz="4" w:space="0" w:color="auto"/>
            </w:tcBorders>
          </w:tcPr>
          <w:p w14:paraId="4B20111F" w14:textId="77777777" w:rsidR="00C63117" w:rsidRPr="00FA0C47" w:rsidRDefault="00C63117" w:rsidP="00C63117">
            <w:pPr>
              <w:jc w:val="right"/>
              <w:rPr>
                <w:b/>
                <w:sz w:val="18"/>
                <w:szCs w:val="18"/>
              </w:rPr>
            </w:pPr>
          </w:p>
        </w:tc>
        <w:tc>
          <w:tcPr>
            <w:tcW w:w="711" w:type="dxa"/>
            <w:tcBorders>
              <w:top w:val="double" w:sz="4" w:space="0" w:color="auto"/>
            </w:tcBorders>
            <w:shd w:val="clear" w:color="auto" w:fill="auto"/>
            <w:vAlign w:val="bottom"/>
          </w:tcPr>
          <w:p w14:paraId="283DA31C" w14:textId="77777777" w:rsidR="00C63117" w:rsidRPr="00FA0C47" w:rsidRDefault="00C63117" w:rsidP="00C63117">
            <w:pPr>
              <w:jc w:val="right"/>
              <w:rPr>
                <w:b/>
                <w:sz w:val="18"/>
                <w:szCs w:val="18"/>
              </w:rPr>
            </w:pPr>
          </w:p>
        </w:tc>
      </w:tr>
      <w:tr w:rsidR="00C63117" w:rsidRPr="00381D99" w14:paraId="4C5AB15A" w14:textId="77777777" w:rsidTr="0004564D">
        <w:trPr>
          <w:cantSplit/>
          <w:trHeight w:val="23"/>
        </w:trPr>
        <w:tc>
          <w:tcPr>
            <w:tcW w:w="1561" w:type="dxa"/>
            <w:tcBorders>
              <w:left w:val="single" w:sz="2" w:space="0" w:color="auto"/>
              <w:right w:val="single" w:sz="2" w:space="0" w:color="auto"/>
            </w:tcBorders>
            <w:vAlign w:val="bottom"/>
          </w:tcPr>
          <w:p w14:paraId="777AC52D" w14:textId="77777777" w:rsidR="00C63117" w:rsidRPr="00FA0C47" w:rsidRDefault="00C63117" w:rsidP="00C63117">
            <w:pPr>
              <w:pStyle w:val="TableReference"/>
              <w:tabs>
                <w:tab w:val="left" w:pos="3306"/>
              </w:tabs>
              <w:spacing w:after="120"/>
              <w:rPr>
                <w:rFonts w:cs="Calibri"/>
                <w:color w:val="7030A0"/>
                <w:sz w:val="18"/>
                <w:szCs w:val="18"/>
              </w:rPr>
            </w:pPr>
          </w:p>
        </w:tc>
        <w:tc>
          <w:tcPr>
            <w:tcW w:w="8931" w:type="dxa"/>
            <w:gridSpan w:val="12"/>
            <w:tcBorders>
              <w:left w:val="single" w:sz="2" w:space="0" w:color="auto"/>
            </w:tcBorders>
            <w:shd w:val="clear" w:color="auto" w:fill="auto"/>
            <w:vAlign w:val="bottom"/>
          </w:tcPr>
          <w:p w14:paraId="3BEB48F5" w14:textId="77777777" w:rsidR="00C63117" w:rsidRPr="00FA0C47" w:rsidRDefault="00C63117" w:rsidP="00C63117">
            <w:pPr>
              <w:spacing w:before="120"/>
              <w:rPr>
                <w:b/>
                <w:bCs/>
                <w:sz w:val="18"/>
                <w:szCs w:val="18"/>
              </w:rPr>
            </w:pPr>
            <w:r w:rsidRPr="00FA0C47">
              <w:rPr>
                <w:b/>
                <w:bCs/>
                <w:sz w:val="18"/>
                <w:szCs w:val="18"/>
              </w:rPr>
              <w:t>Service Concession Information in Other Financial Statement Notes</w:t>
            </w:r>
          </w:p>
        </w:tc>
      </w:tr>
      <w:tr w:rsidR="00C63117" w:rsidRPr="00381D99" w14:paraId="2954CB70" w14:textId="77777777" w:rsidTr="0004564D">
        <w:trPr>
          <w:cantSplit/>
          <w:trHeight w:val="23"/>
        </w:trPr>
        <w:tc>
          <w:tcPr>
            <w:tcW w:w="1561" w:type="dxa"/>
            <w:tcBorders>
              <w:left w:val="single" w:sz="2" w:space="0" w:color="auto"/>
              <w:right w:val="single" w:sz="2" w:space="0" w:color="auto"/>
            </w:tcBorders>
          </w:tcPr>
          <w:p w14:paraId="70784379" w14:textId="77777777" w:rsidR="00C63117" w:rsidRPr="00FA0C47" w:rsidRDefault="00C63117" w:rsidP="00C63117">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48D99B90" w14:textId="324CE75F" w:rsidR="00C63117" w:rsidRPr="00FA0C47" w:rsidRDefault="00C63117" w:rsidP="00C63117">
            <w:pPr>
              <w:spacing w:after="120"/>
              <w:jc w:val="both"/>
              <w:rPr>
                <w:sz w:val="18"/>
                <w:szCs w:val="18"/>
              </w:rPr>
            </w:pPr>
            <w:r w:rsidRPr="00FA0C47">
              <w:rPr>
                <w:sz w:val="18"/>
                <w:szCs w:val="18"/>
              </w:rPr>
              <w:t>There are a number of notes within the financial statements which contain information about the light rail service concession arrangement.</w:t>
            </w:r>
            <w:r w:rsidR="00FA7C77">
              <w:rPr>
                <w:sz w:val="18"/>
                <w:szCs w:val="18"/>
              </w:rPr>
              <w:t xml:space="preserve"> </w:t>
            </w:r>
            <w:r w:rsidRPr="00FA0C47">
              <w:rPr>
                <w:sz w:val="18"/>
                <w:szCs w:val="18"/>
              </w:rPr>
              <w:t>These notes are as follows:</w:t>
            </w:r>
          </w:p>
          <w:p w14:paraId="5F31B881" w14:textId="1B1D116E"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9 </w:t>
            </w:r>
            <w:r w:rsidRPr="00D70F08">
              <w:rPr>
                <w:i/>
                <w:iCs/>
                <w:sz w:val="18"/>
                <w:szCs w:val="18"/>
              </w:rPr>
              <w:t>Other Income</w:t>
            </w:r>
            <w:r w:rsidRPr="00FA0C47">
              <w:rPr>
                <w:sz w:val="18"/>
                <w:szCs w:val="18"/>
              </w:rPr>
              <w:t xml:space="preserve"> – This note contains information about the amount of service concession revenue which is being recognised as a result of the unwinding of the service concession unearned revenue liability (GORTO liability);</w:t>
            </w:r>
          </w:p>
          <w:p w14:paraId="11801ADC" w14:textId="38C33E58"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11 </w:t>
            </w:r>
            <w:r w:rsidRPr="00D70F08">
              <w:rPr>
                <w:i/>
                <w:iCs/>
                <w:sz w:val="18"/>
                <w:szCs w:val="18"/>
              </w:rPr>
              <w:t>Supplies and Services</w:t>
            </w:r>
            <w:r w:rsidRPr="00FA0C47">
              <w:rPr>
                <w:sz w:val="18"/>
                <w:szCs w:val="18"/>
              </w:rPr>
              <w:t xml:space="preserve"> – This note contains information about the operating costs that are being expensed in the Operating Statement as they are incurred;</w:t>
            </w:r>
          </w:p>
          <w:p w14:paraId="7CA7939E" w14:textId="452BF65C"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13 </w:t>
            </w:r>
            <w:r w:rsidRPr="00D70F08">
              <w:rPr>
                <w:i/>
                <w:iCs/>
                <w:sz w:val="18"/>
                <w:szCs w:val="18"/>
              </w:rPr>
              <w:t>Borrowing Costs</w:t>
            </w:r>
            <w:r w:rsidRPr="00FA0C47">
              <w:rPr>
                <w:sz w:val="18"/>
                <w:szCs w:val="18"/>
              </w:rPr>
              <w:t xml:space="preserve"> – This note contains information about the interest costs related to the service concession finance liability;</w:t>
            </w:r>
          </w:p>
          <w:p w14:paraId="50C1793C" w14:textId="35C1FCE4"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19 </w:t>
            </w:r>
            <w:r w:rsidRPr="00D70F08">
              <w:rPr>
                <w:i/>
                <w:iCs/>
                <w:sz w:val="18"/>
                <w:szCs w:val="18"/>
              </w:rPr>
              <w:t>Property, Plant and Equipment</w:t>
            </w:r>
            <w:r w:rsidRPr="00FA0C47">
              <w:rPr>
                <w:sz w:val="18"/>
                <w:szCs w:val="18"/>
              </w:rPr>
              <w:t xml:space="preserve"> – This note contains information about the carrying amount and depreciation of light rail service concession assets;</w:t>
            </w:r>
          </w:p>
        </w:tc>
      </w:tr>
      <w:tr w:rsidR="00C63117" w:rsidRPr="00381D99" w14:paraId="668B15E5" w14:textId="77777777" w:rsidTr="00AF4715">
        <w:trPr>
          <w:cantSplit/>
          <w:trHeight w:val="23"/>
        </w:trPr>
        <w:tc>
          <w:tcPr>
            <w:tcW w:w="1561" w:type="dxa"/>
            <w:tcBorders>
              <w:left w:val="single" w:sz="2" w:space="0" w:color="auto"/>
              <w:right w:val="single" w:sz="2" w:space="0" w:color="auto"/>
            </w:tcBorders>
          </w:tcPr>
          <w:p w14:paraId="19DFFF1C" w14:textId="3C0759EE" w:rsidR="00C63117" w:rsidRPr="00FA0C47" w:rsidRDefault="00C63117" w:rsidP="00AF4715">
            <w:pPr>
              <w:pStyle w:val="TableReference"/>
              <w:tabs>
                <w:tab w:val="left" w:pos="3306"/>
              </w:tabs>
              <w:spacing w:before="240" w:after="240"/>
              <w:rPr>
                <w:rFonts w:cs="Calibri"/>
                <w:color w:val="7030A0"/>
                <w:sz w:val="16"/>
                <w:szCs w:val="16"/>
              </w:rPr>
            </w:pPr>
            <w:r w:rsidRPr="00FA0C47">
              <w:rPr>
                <w:rFonts w:cs="Calibri"/>
                <w:b/>
                <w:color w:val="7030A0"/>
                <w:sz w:val="22"/>
                <w:szCs w:val="22"/>
              </w:rPr>
              <w:t>Reference</w:t>
            </w:r>
          </w:p>
        </w:tc>
        <w:tc>
          <w:tcPr>
            <w:tcW w:w="8931" w:type="dxa"/>
            <w:gridSpan w:val="12"/>
            <w:tcBorders>
              <w:left w:val="single" w:sz="2" w:space="0" w:color="auto"/>
            </w:tcBorders>
            <w:shd w:val="clear" w:color="auto" w:fill="auto"/>
          </w:tcPr>
          <w:p w14:paraId="414A9D8E" w14:textId="42A61B25" w:rsidR="00C63117" w:rsidRPr="00C63117" w:rsidRDefault="00C63117" w:rsidP="00AF4715">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D70F08">
              <w:rPr>
                <w:rFonts w:ascii="Arial" w:hAnsi="Arial"/>
                <w:b/>
                <w:bCs/>
                <w:caps/>
                <w:sz w:val="32"/>
                <w:szCs w:val="24"/>
              </w:rPr>
              <w:t>–</w:t>
            </w:r>
            <w:r>
              <w:rPr>
                <w:rFonts w:ascii="Arial" w:hAnsi="Arial"/>
                <w:b/>
                <w:bCs/>
                <w:caps/>
                <w:sz w:val="32"/>
                <w:szCs w:val="24"/>
              </w:rPr>
              <w:t xml:space="preserve"> Continued</w:t>
            </w:r>
            <w:r w:rsidR="00D70F08">
              <w:rPr>
                <w:rFonts w:ascii="Arial" w:hAnsi="Arial"/>
                <w:b/>
                <w:bCs/>
                <w:caps/>
                <w:sz w:val="32"/>
                <w:szCs w:val="24"/>
              </w:rPr>
              <w:t xml:space="preserve"> </w:t>
            </w:r>
          </w:p>
        </w:tc>
      </w:tr>
      <w:tr w:rsidR="000A1EDA" w:rsidRPr="00381D99" w14:paraId="6542BB3D" w14:textId="77777777" w:rsidTr="0004564D">
        <w:trPr>
          <w:cantSplit/>
          <w:trHeight w:val="23"/>
        </w:trPr>
        <w:tc>
          <w:tcPr>
            <w:tcW w:w="1561" w:type="dxa"/>
            <w:tcBorders>
              <w:left w:val="single" w:sz="2" w:space="0" w:color="auto"/>
              <w:right w:val="single" w:sz="2" w:space="0" w:color="auto"/>
            </w:tcBorders>
            <w:vAlign w:val="bottom"/>
          </w:tcPr>
          <w:p w14:paraId="385E4DFF" w14:textId="77777777" w:rsidR="000A1EDA" w:rsidRPr="00FA0C47" w:rsidRDefault="000A1EDA" w:rsidP="00DA5473">
            <w:pPr>
              <w:pStyle w:val="TableReference"/>
              <w:tabs>
                <w:tab w:val="left" w:pos="3306"/>
              </w:tabs>
              <w:spacing w:after="120"/>
              <w:rPr>
                <w:rFonts w:cs="Calibri"/>
                <w:color w:val="7030A0"/>
                <w:sz w:val="18"/>
                <w:szCs w:val="18"/>
              </w:rPr>
            </w:pPr>
          </w:p>
        </w:tc>
        <w:tc>
          <w:tcPr>
            <w:tcW w:w="8931" w:type="dxa"/>
            <w:gridSpan w:val="12"/>
            <w:tcBorders>
              <w:left w:val="single" w:sz="2" w:space="0" w:color="auto"/>
            </w:tcBorders>
            <w:shd w:val="clear" w:color="auto" w:fill="auto"/>
            <w:vAlign w:val="bottom"/>
          </w:tcPr>
          <w:p w14:paraId="14E30BA7" w14:textId="7E860287" w:rsidR="000A1EDA" w:rsidRPr="00FA0C47" w:rsidRDefault="000A1EDA" w:rsidP="000A1EDA">
            <w:pPr>
              <w:rPr>
                <w:b/>
                <w:bCs/>
                <w:sz w:val="18"/>
                <w:szCs w:val="18"/>
              </w:rPr>
            </w:pPr>
            <w:r w:rsidRPr="00FA0C47">
              <w:rPr>
                <w:b/>
                <w:bCs/>
                <w:sz w:val="18"/>
                <w:szCs w:val="18"/>
              </w:rPr>
              <w:t>Service Concession Information in Other Financial Statement Notes</w:t>
            </w:r>
            <w:r>
              <w:rPr>
                <w:b/>
                <w:bCs/>
                <w:sz w:val="18"/>
                <w:szCs w:val="18"/>
              </w:rPr>
              <w:t xml:space="preserve"> – Continued </w:t>
            </w:r>
          </w:p>
        </w:tc>
      </w:tr>
      <w:tr w:rsidR="00C63117" w:rsidRPr="00381D99" w14:paraId="237F5ED1" w14:textId="77777777" w:rsidTr="0004564D">
        <w:trPr>
          <w:cantSplit/>
          <w:trHeight w:val="23"/>
        </w:trPr>
        <w:tc>
          <w:tcPr>
            <w:tcW w:w="1561" w:type="dxa"/>
            <w:tcBorders>
              <w:left w:val="single" w:sz="2" w:space="0" w:color="auto"/>
              <w:right w:val="single" w:sz="2" w:space="0" w:color="auto"/>
            </w:tcBorders>
          </w:tcPr>
          <w:p w14:paraId="4E529513" w14:textId="77777777" w:rsidR="00C63117" w:rsidRPr="00FA0C47" w:rsidRDefault="00C63117" w:rsidP="00C63117">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4E4C72D0" w14:textId="4AA93C94"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25 </w:t>
            </w:r>
            <w:r w:rsidRPr="00D70F08">
              <w:rPr>
                <w:i/>
                <w:iCs/>
                <w:sz w:val="18"/>
                <w:szCs w:val="18"/>
              </w:rPr>
              <w:t>Borrowings</w:t>
            </w:r>
            <w:r w:rsidRPr="00FA0C47">
              <w:rPr>
                <w:sz w:val="18"/>
                <w:szCs w:val="18"/>
              </w:rPr>
              <w:t xml:space="preserve"> and Note 31 </w:t>
            </w:r>
            <w:r w:rsidRPr="00D70F08">
              <w:rPr>
                <w:i/>
                <w:iCs/>
                <w:sz w:val="18"/>
                <w:szCs w:val="18"/>
              </w:rPr>
              <w:t>Financial Instruments</w:t>
            </w:r>
            <w:r w:rsidRPr="00FA0C47">
              <w:rPr>
                <w:sz w:val="18"/>
                <w:szCs w:val="18"/>
              </w:rPr>
              <w:t xml:space="preserve"> – These notes contain information about the amount of the service concession finance liability; </w:t>
            </w:r>
          </w:p>
          <w:p w14:paraId="65DD807C" w14:textId="00F9519E"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29 </w:t>
            </w:r>
            <w:r w:rsidRPr="00D70F08">
              <w:rPr>
                <w:i/>
                <w:iCs/>
                <w:sz w:val="18"/>
                <w:szCs w:val="18"/>
              </w:rPr>
              <w:t>Other Liabilities</w:t>
            </w:r>
            <w:r w:rsidRPr="00FA0C47">
              <w:rPr>
                <w:sz w:val="18"/>
                <w:szCs w:val="18"/>
              </w:rPr>
              <w:t xml:space="preserve"> – This note contains information about the amount of the service concession unearned revenue liability (GORTO liability); </w:t>
            </w:r>
            <w:r w:rsidR="00294E29">
              <w:rPr>
                <w:sz w:val="18"/>
                <w:szCs w:val="18"/>
              </w:rPr>
              <w:t>and</w:t>
            </w:r>
          </w:p>
          <w:p w14:paraId="7D96F69A" w14:textId="22C549F2" w:rsidR="00C63117" w:rsidRPr="00FA0C47" w:rsidRDefault="00C63117" w:rsidP="00CB31DE">
            <w:pPr>
              <w:pStyle w:val="ListParagraph"/>
              <w:numPr>
                <w:ilvl w:val="0"/>
                <w:numId w:val="61"/>
              </w:numPr>
              <w:spacing w:after="60"/>
              <w:ind w:left="714" w:hanging="357"/>
              <w:contextualSpacing w:val="0"/>
              <w:jc w:val="both"/>
              <w:rPr>
                <w:sz w:val="18"/>
                <w:szCs w:val="18"/>
              </w:rPr>
            </w:pPr>
            <w:r w:rsidRPr="00FA0C47">
              <w:rPr>
                <w:sz w:val="18"/>
                <w:szCs w:val="18"/>
              </w:rPr>
              <w:t xml:space="preserve">Note 32 </w:t>
            </w:r>
            <w:r w:rsidRPr="00D70F08">
              <w:rPr>
                <w:i/>
                <w:iCs/>
                <w:sz w:val="18"/>
                <w:szCs w:val="18"/>
              </w:rPr>
              <w:t>Capital and Other Expenditure Commitments</w:t>
            </w:r>
            <w:r w:rsidRPr="00FA0C47">
              <w:rPr>
                <w:sz w:val="18"/>
                <w:szCs w:val="18"/>
              </w:rPr>
              <w:t xml:space="preserve"> – This note contains information about the Future operating costs which are currently disclosed as commitments</w:t>
            </w:r>
            <w:r w:rsidR="00294E29">
              <w:rPr>
                <w:sz w:val="18"/>
                <w:szCs w:val="18"/>
              </w:rPr>
              <w:t>.</w:t>
            </w:r>
          </w:p>
        </w:tc>
      </w:tr>
      <w:tr w:rsidR="00D239F9" w:rsidRPr="00381D99" w14:paraId="62EBD634" w14:textId="77777777" w:rsidTr="0004564D">
        <w:trPr>
          <w:cantSplit/>
          <w:trHeight w:val="23"/>
        </w:trPr>
        <w:tc>
          <w:tcPr>
            <w:tcW w:w="1561" w:type="dxa"/>
            <w:tcBorders>
              <w:left w:val="single" w:sz="2" w:space="0" w:color="auto"/>
              <w:right w:val="single" w:sz="2" w:space="0" w:color="auto"/>
            </w:tcBorders>
          </w:tcPr>
          <w:p w14:paraId="5168D69F" w14:textId="77777777" w:rsidR="00D239F9" w:rsidRPr="00FA0C47" w:rsidRDefault="00D239F9" w:rsidP="00C63117">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3DFE6169" w14:textId="77777777" w:rsidR="00D239F9" w:rsidRPr="00D239F9" w:rsidRDefault="00D239F9" w:rsidP="00D239F9">
            <w:pPr>
              <w:spacing w:after="60"/>
              <w:jc w:val="both"/>
              <w:rPr>
                <w:sz w:val="18"/>
                <w:szCs w:val="18"/>
              </w:rPr>
            </w:pPr>
          </w:p>
        </w:tc>
      </w:tr>
      <w:tr w:rsidR="006B3063" w:rsidRPr="00976DE1" w14:paraId="155595C1" w14:textId="77777777" w:rsidTr="0004564D">
        <w:trPr>
          <w:cantSplit/>
          <w:trHeight w:val="23"/>
        </w:trPr>
        <w:tc>
          <w:tcPr>
            <w:tcW w:w="1561" w:type="dxa"/>
            <w:tcBorders>
              <w:left w:val="single" w:sz="2" w:space="0" w:color="auto"/>
              <w:right w:val="single" w:sz="2" w:space="0" w:color="auto"/>
            </w:tcBorders>
            <w:vAlign w:val="bottom"/>
          </w:tcPr>
          <w:p w14:paraId="719702B5" w14:textId="2A9759FF" w:rsidR="006B3063" w:rsidRPr="00FA0C47" w:rsidRDefault="006B3063" w:rsidP="009A0F2F">
            <w:pPr>
              <w:pStyle w:val="TableReference"/>
              <w:tabs>
                <w:tab w:val="left" w:pos="3306"/>
              </w:tabs>
              <w:spacing w:before="240" w:after="240"/>
              <w:rPr>
                <w:rFonts w:cs="Calibri"/>
                <w:b/>
                <w:color w:val="7030A0"/>
                <w:sz w:val="22"/>
                <w:szCs w:val="22"/>
              </w:rPr>
            </w:pPr>
            <w:bookmarkStart w:id="896" w:name="_Hlk90500150"/>
          </w:p>
        </w:tc>
        <w:tc>
          <w:tcPr>
            <w:tcW w:w="8931" w:type="dxa"/>
            <w:gridSpan w:val="12"/>
            <w:tcBorders>
              <w:left w:val="single" w:sz="2" w:space="0" w:color="auto"/>
            </w:tcBorders>
            <w:shd w:val="clear" w:color="auto" w:fill="auto"/>
            <w:vAlign w:val="bottom"/>
          </w:tcPr>
          <w:p w14:paraId="494FCC18" w14:textId="1416AE6B" w:rsidR="006B3063" w:rsidRPr="00FA0C47" w:rsidRDefault="006B3063" w:rsidP="00D96989">
            <w:pPr>
              <w:pStyle w:val="Heading1"/>
              <w:numPr>
                <w:ilvl w:val="0"/>
                <w:numId w:val="0"/>
              </w:numPr>
              <w:ind w:left="1134" w:hanging="1134"/>
            </w:pPr>
            <w:bookmarkStart w:id="897" w:name="_Toc132743835"/>
            <w:r w:rsidRPr="00FA0C47">
              <w:t>Note 4</w:t>
            </w:r>
            <w:r w:rsidR="00A03437" w:rsidRPr="00FA0C47">
              <w:t>0</w:t>
            </w:r>
            <w:r w:rsidRPr="00FA0C47">
              <w:t>.</w:t>
            </w:r>
            <w:r w:rsidR="00FA7C77">
              <w:t xml:space="preserve"> </w:t>
            </w:r>
            <w:r w:rsidRPr="00FA0C47">
              <w:t xml:space="preserve"> Budgetary Reporting</w:t>
            </w:r>
            <w:bookmarkEnd w:id="897"/>
          </w:p>
        </w:tc>
      </w:tr>
      <w:tr w:rsidR="006B3063" w:rsidRPr="00976DE1" w14:paraId="08B3CFDD" w14:textId="77777777" w:rsidTr="0004564D">
        <w:trPr>
          <w:cantSplit/>
          <w:trHeight w:val="273"/>
        </w:trPr>
        <w:tc>
          <w:tcPr>
            <w:tcW w:w="1561" w:type="dxa"/>
            <w:tcBorders>
              <w:left w:val="single" w:sz="2" w:space="0" w:color="auto"/>
              <w:right w:val="single" w:sz="2" w:space="0" w:color="auto"/>
            </w:tcBorders>
          </w:tcPr>
          <w:p w14:paraId="0F5EC936" w14:textId="5065C46F" w:rsidR="006B3063" w:rsidRPr="00FA0C47" w:rsidRDefault="006B3063" w:rsidP="006B3063">
            <w:pPr>
              <w:pStyle w:val="TableReference"/>
              <w:tabs>
                <w:tab w:val="left" w:pos="3306"/>
              </w:tabs>
              <w:rPr>
                <w:rFonts w:cs="Calibri"/>
                <w:color w:val="7030A0"/>
                <w:sz w:val="14"/>
              </w:rPr>
            </w:pPr>
          </w:p>
        </w:tc>
        <w:tc>
          <w:tcPr>
            <w:tcW w:w="8931" w:type="dxa"/>
            <w:gridSpan w:val="12"/>
            <w:tcBorders>
              <w:left w:val="single" w:sz="2" w:space="0" w:color="auto"/>
            </w:tcBorders>
            <w:shd w:val="clear" w:color="auto" w:fill="auto"/>
          </w:tcPr>
          <w:p w14:paraId="4259C3A8" w14:textId="20C0246B" w:rsidR="006B3063" w:rsidRPr="00FA0C47" w:rsidRDefault="006B3063" w:rsidP="006B3063">
            <w:pPr>
              <w:autoSpaceDE w:val="0"/>
              <w:autoSpaceDN w:val="0"/>
              <w:adjustRightInd w:val="0"/>
              <w:rPr>
                <w:b/>
                <w:bCs/>
                <w:sz w:val="20"/>
                <w:szCs w:val="20"/>
              </w:rPr>
            </w:pPr>
            <w:r w:rsidRPr="00FA0C47">
              <w:rPr>
                <w:b/>
                <w:bCs/>
                <w:sz w:val="18"/>
                <w:szCs w:val="18"/>
              </w:rPr>
              <w:t>Significant Accounting Judgements and Estimates – Budgetary Reporting</w:t>
            </w:r>
          </w:p>
        </w:tc>
      </w:tr>
      <w:tr w:rsidR="006B3063" w:rsidRPr="00976DE1" w14:paraId="7115332F" w14:textId="77777777" w:rsidTr="0004564D">
        <w:trPr>
          <w:cantSplit/>
          <w:trHeight w:val="404"/>
        </w:trPr>
        <w:tc>
          <w:tcPr>
            <w:tcW w:w="1561" w:type="dxa"/>
            <w:tcBorders>
              <w:left w:val="single" w:sz="2" w:space="0" w:color="auto"/>
              <w:right w:val="single" w:sz="2" w:space="0" w:color="auto"/>
            </w:tcBorders>
          </w:tcPr>
          <w:p w14:paraId="7539FDDD" w14:textId="77777777" w:rsidR="006B3063" w:rsidRPr="00FA0C47" w:rsidRDefault="006B3063" w:rsidP="006B3063">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0641F37E" w14:textId="77777777" w:rsidR="006B3063" w:rsidRPr="00FA0C47" w:rsidRDefault="006B3063" w:rsidP="006B3063">
            <w:pPr>
              <w:jc w:val="both"/>
              <w:rPr>
                <w:sz w:val="18"/>
                <w:szCs w:val="18"/>
              </w:rPr>
            </w:pPr>
            <w:r w:rsidRPr="00FA0C47">
              <w:rPr>
                <w:sz w:val="18"/>
                <w:szCs w:val="18"/>
              </w:rPr>
              <w:t>Significant judgements have been applied in determining what variances are considered ‘major variances’. Variances are considered major if both of the following criteria are met:</w:t>
            </w:r>
          </w:p>
          <w:p w14:paraId="024160A9" w14:textId="524000F0" w:rsidR="002B22EC" w:rsidRPr="00FA0C47" w:rsidRDefault="006B3063" w:rsidP="00CB31DE">
            <w:pPr>
              <w:numPr>
                <w:ilvl w:val="0"/>
                <w:numId w:val="41"/>
              </w:numPr>
              <w:ind w:left="284" w:hanging="284"/>
              <w:jc w:val="both"/>
              <w:rPr>
                <w:sz w:val="18"/>
                <w:szCs w:val="18"/>
              </w:rPr>
            </w:pPr>
            <w:r w:rsidRPr="00FA0C47">
              <w:rPr>
                <w:sz w:val="18"/>
                <w:szCs w:val="18"/>
              </w:rPr>
              <w:t xml:space="preserve">The line item is a significant line item: where either the line item actual amount accounts for </w:t>
            </w:r>
            <w:r w:rsidRPr="00FA0C47">
              <w:rPr>
                <w:sz w:val="18"/>
                <w:szCs w:val="18"/>
                <w:u w:val="single"/>
              </w:rPr>
              <w:t>more than</w:t>
            </w:r>
            <w:r w:rsidRPr="00FA0C47">
              <w:rPr>
                <w:sz w:val="18"/>
                <w:szCs w:val="18"/>
              </w:rPr>
              <w:t xml:space="preserve"> 10% of the relevant associated </w:t>
            </w:r>
            <w:r w:rsidR="00E448FC" w:rsidRPr="00FA0C47">
              <w:rPr>
                <w:sz w:val="18"/>
                <w:szCs w:val="18"/>
              </w:rPr>
              <w:t xml:space="preserve">actual category amount (Income, Expenses, Assets, </w:t>
            </w:r>
            <w:r w:rsidR="00650405">
              <w:rPr>
                <w:sz w:val="18"/>
                <w:szCs w:val="18"/>
              </w:rPr>
              <w:t>L</w:t>
            </w:r>
            <w:r w:rsidR="00E448FC" w:rsidRPr="00FA0C47">
              <w:rPr>
                <w:sz w:val="18"/>
                <w:szCs w:val="18"/>
              </w:rPr>
              <w:t xml:space="preserve">iabilities and Equity totals) </w:t>
            </w:r>
            <w:r w:rsidRPr="00FA0C47">
              <w:rPr>
                <w:sz w:val="18"/>
                <w:szCs w:val="18"/>
              </w:rPr>
              <w:t xml:space="preserve">or </w:t>
            </w:r>
            <w:r w:rsidRPr="00FA0C47">
              <w:rPr>
                <w:sz w:val="18"/>
                <w:szCs w:val="18"/>
                <w:u w:val="single"/>
              </w:rPr>
              <w:t>more than</w:t>
            </w:r>
            <w:r w:rsidRPr="00FA0C47">
              <w:rPr>
                <w:sz w:val="18"/>
                <w:szCs w:val="18"/>
              </w:rPr>
              <w:t xml:space="preserve"> 10% of the sub-element (e.g. Current Liabilities and Receipts from Operating Activities totals) of the financial statements; and</w:t>
            </w:r>
          </w:p>
          <w:p w14:paraId="4CCD0A69" w14:textId="069D1BBF" w:rsidR="006B3063" w:rsidRPr="00FA0C47" w:rsidRDefault="003330AF" w:rsidP="00CB31DE">
            <w:pPr>
              <w:numPr>
                <w:ilvl w:val="0"/>
                <w:numId w:val="41"/>
              </w:numPr>
              <w:spacing w:after="120"/>
              <w:ind w:left="284" w:hanging="284"/>
              <w:jc w:val="both"/>
              <w:rPr>
                <w:sz w:val="18"/>
                <w:szCs w:val="18"/>
              </w:rPr>
            </w:pPr>
            <w:r w:rsidRPr="00FA0C47">
              <w:rPr>
                <w:sz w:val="18"/>
                <w:szCs w:val="18"/>
              </w:rPr>
              <w:t xml:space="preserve">The variances (original budget to actual) are greater than plus (+) or minus (-) </w:t>
            </w:r>
            <w:r w:rsidR="008C0EB6" w:rsidRPr="00FA0C47">
              <w:rPr>
                <w:sz w:val="18"/>
                <w:szCs w:val="18"/>
              </w:rPr>
              <w:t>10</w:t>
            </w:r>
            <w:r w:rsidRPr="00FA0C47">
              <w:rPr>
                <w:sz w:val="18"/>
                <w:szCs w:val="18"/>
              </w:rPr>
              <w:t>% and $15 million for the financial statement line item.</w:t>
            </w:r>
            <w:r w:rsidR="00A832C5">
              <w:rPr>
                <w:sz w:val="18"/>
                <w:szCs w:val="18"/>
              </w:rPr>
              <w:t xml:space="preserve"> </w:t>
            </w:r>
            <w:r w:rsidR="00E448FC" w:rsidRPr="00FA0C47">
              <w:rPr>
                <w:sz w:val="18"/>
                <w:szCs w:val="18"/>
              </w:rPr>
              <w:t>[</w:t>
            </w:r>
            <w:r w:rsidR="00E448FC" w:rsidRPr="00D239F9">
              <w:rPr>
                <w:strike/>
                <w:color w:val="FF0000"/>
                <w:sz w:val="18"/>
                <w:szCs w:val="18"/>
              </w:rPr>
              <w:t>Please</w:t>
            </w:r>
            <w:r w:rsidR="00E448FC" w:rsidRPr="00D239F9">
              <w:rPr>
                <w:sz w:val="18"/>
                <w:szCs w:val="18"/>
              </w:rPr>
              <w:t xml:space="preserve"> </w:t>
            </w:r>
            <w:r w:rsidR="00D96A68" w:rsidRPr="00D239F9">
              <w:rPr>
                <w:sz w:val="18"/>
                <w:szCs w:val="18"/>
              </w:rPr>
              <w:t>S</w:t>
            </w:r>
            <w:r w:rsidR="00E448FC" w:rsidRPr="00D239F9">
              <w:rPr>
                <w:sz w:val="18"/>
                <w:szCs w:val="18"/>
              </w:rPr>
              <w:t>e</w:t>
            </w:r>
            <w:r w:rsidR="00E448FC" w:rsidRPr="00FA0C47">
              <w:rPr>
                <w:sz w:val="18"/>
                <w:szCs w:val="18"/>
              </w:rPr>
              <w:t>e Comm</w:t>
            </w:r>
            <w:r w:rsidR="00C958E9" w:rsidRPr="00FA0C47">
              <w:rPr>
                <w:sz w:val="18"/>
                <w:szCs w:val="18"/>
              </w:rPr>
              <w:t>ent</w:t>
            </w:r>
            <w:r w:rsidR="00E448FC" w:rsidRPr="00FA0C47">
              <w:rPr>
                <w:sz w:val="18"/>
                <w:szCs w:val="18"/>
              </w:rPr>
              <w:t xml:space="preserve">ary below for </w:t>
            </w:r>
            <w:r w:rsidR="00C958E9" w:rsidRPr="00FA0C47">
              <w:rPr>
                <w:sz w:val="18"/>
                <w:szCs w:val="18"/>
              </w:rPr>
              <w:t>thresholds</w:t>
            </w:r>
            <w:r w:rsidR="00E448FC" w:rsidRPr="00FA0C47">
              <w:rPr>
                <w:sz w:val="18"/>
                <w:szCs w:val="18"/>
              </w:rPr>
              <w:t xml:space="preserve"> for Smaller Agencies.]</w:t>
            </w:r>
          </w:p>
        </w:tc>
      </w:tr>
      <w:tr w:rsidR="003F3927" w:rsidRPr="00976DE1" w14:paraId="5E198177" w14:textId="77777777" w:rsidTr="0004564D">
        <w:trPr>
          <w:cantSplit/>
          <w:trHeight w:val="404"/>
        </w:trPr>
        <w:tc>
          <w:tcPr>
            <w:tcW w:w="1561" w:type="dxa"/>
            <w:tcBorders>
              <w:left w:val="single" w:sz="2" w:space="0" w:color="auto"/>
              <w:right w:val="single" w:sz="2" w:space="0" w:color="auto"/>
            </w:tcBorders>
          </w:tcPr>
          <w:p w14:paraId="23922F48" w14:textId="77777777" w:rsidR="003F3927" w:rsidRPr="00FA0C47" w:rsidRDefault="003F3927" w:rsidP="006B3063">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7E5856A7" w14:textId="0F49AB69" w:rsidR="003F3927" w:rsidRPr="00FA0C47" w:rsidRDefault="003F3927" w:rsidP="005B707E">
            <w:pPr>
              <w:spacing w:after="120"/>
              <w:jc w:val="both"/>
              <w:rPr>
                <w:sz w:val="18"/>
                <w:szCs w:val="18"/>
              </w:rPr>
            </w:pPr>
            <w:r w:rsidRPr="00FA0C47">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FA0C47">
              <w:rPr>
                <w:sz w:val="18"/>
                <w:szCs w:val="18"/>
              </w:rPr>
              <w:t>These amounts have not been adjusted to reflect supplementary appropriation or appropriation instruments.</w:t>
            </w:r>
          </w:p>
          <w:p w14:paraId="3A2CA743" w14:textId="4DCB7004" w:rsidR="003F3927" w:rsidRPr="00FA0C47" w:rsidRDefault="003F3927" w:rsidP="00BA6793">
            <w:pPr>
              <w:rPr>
                <w:sz w:val="18"/>
                <w:szCs w:val="18"/>
              </w:rPr>
            </w:pPr>
            <w:r w:rsidRPr="0007146C">
              <w:rPr>
                <w:sz w:val="18"/>
                <w:szCs w:val="18"/>
              </w:rPr>
              <w:t xml:space="preserve">Note: </w:t>
            </w:r>
            <w:r w:rsidRPr="0007146C">
              <w:rPr>
                <w:strike/>
                <w:color w:val="FF0000"/>
                <w:sz w:val="18"/>
                <w:szCs w:val="18"/>
              </w:rPr>
              <w:t>#</w:t>
            </w:r>
            <w:r w:rsidR="00077947" w:rsidRPr="0007146C">
              <w:rPr>
                <w:color w:val="FF0000"/>
                <w:sz w:val="18"/>
                <w:szCs w:val="18"/>
              </w:rPr>
              <w:t>^</w:t>
            </w:r>
            <w:r w:rsidRPr="0007146C">
              <w:rPr>
                <w:sz w:val="18"/>
                <w:szCs w:val="18"/>
              </w:rPr>
              <w:t xml:space="preserve"> in</w:t>
            </w:r>
            <w:r w:rsidRPr="00FA0C47">
              <w:rPr>
                <w:sz w:val="18"/>
                <w:szCs w:val="18"/>
              </w:rPr>
              <w:t xml:space="preserve"> </w:t>
            </w:r>
            <w:r w:rsidRPr="00D239F9">
              <w:rPr>
                <w:sz w:val="18"/>
                <w:szCs w:val="18"/>
              </w:rPr>
              <w:t xml:space="preserve">the </w:t>
            </w:r>
            <w:r w:rsidRPr="00D239F9">
              <w:rPr>
                <w:strike/>
                <w:color w:val="FF0000"/>
                <w:sz w:val="18"/>
                <w:szCs w:val="18"/>
              </w:rPr>
              <w:t>Line Item</w:t>
            </w:r>
            <w:r w:rsidRPr="00D239F9">
              <w:rPr>
                <w:color w:val="FF0000"/>
                <w:sz w:val="18"/>
                <w:szCs w:val="18"/>
              </w:rPr>
              <w:t xml:space="preserve"> </w:t>
            </w:r>
            <w:r w:rsidR="00650405" w:rsidRPr="00D239F9">
              <w:rPr>
                <w:color w:val="FF0000"/>
                <w:sz w:val="18"/>
                <w:szCs w:val="18"/>
              </w:rPr>
              <w:t>‘</w:t>
            </w:r>
            <w:r w:rsidRPr="00D239F9">
              <w:rPr>
                <w:sz w:val="18"/>
                <w:szCs w:val="18"/>
              </w:rPr>
              <w:t>Variance %</w:t>
            </w:r>
            <w:r w:rsidR="00650405" w:rsidRPr="00D239F9">
              <w:rPr>
                <w:color w:val="FF0000"/>
                <w:sz w:val="18"/>
                <w:szCs w:val="18"/>
              </w:rPr>
              <w:t>’</w:t>
            </w:r>
            <w:r w:rsidRPr="00D239F9">
              <w:rPr>
                <w:sz w:val="18"/>
                <w:szCs w:val="18"/>
              </w:rPr>
              <w:t xml:space="preserve"> column</w:t>
            </w:r>
            <w:r w:rsidRPr="00FA0C47">
              <w:rPr>
                <w:sz w:val="18"/>
                <w:szCs w:val="18"/>
              </w:rPr>
              <w:t xml:space="preserve"> represents a variance that is greater than 999 per cent or less than -999 per cent.</w:t>
            </w:r>
          </w:p>
        </w:tc>
      </w:tr>
      <w:tr w:rsidR="00005188" w:rsidRPr="00976DE1" w14:paraId="48B28657" w14:textId="77777777" w:rsidTr="00005188">
        <w:trPr>
          <w:cantSplit/>
          <w:trHeight w:val="45"/>
        </w:trPr>
        <w:tc>
          <w:tcPr>
            <w:tcW w:w="1561" w:type="dxa"/>
            <w:tcBorders>
              <w:left w:val="single" w:sz="2" w:space="0" w:color="auto"/>
              <w:right w:val="single" w:sz="2" w:space="0" w:color="auto"/>
            </w:tcBorders>
          </w:tcPr>
          <w:p w14:paraId="3432C9E7" w14:textId="77777777" w:rsidR="00005188" w:rsidRPr="00FA0C47" w:rsidRDefault="00005188"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1B786CBA" w14:textId="77777777" w:rsidR="00005188" w:rsidRPr="00FA0C47" w:rsidRDefault="00005188" w:rsidP="006A75E5">
            <w:pPr>
              <w:jc w:val="both"/>
              <w:rPr>
                <w:sz w:val="18"/>
                <w:szCs w:val="18"/>
              </w:rPr>
            </w:pPr>
          </w:p>
        </w:tc>
        <w:tc>
          <w:tcPr>
            <w:tcW w:w="1136" w:type="dxa"/>
            <w:vMerge w:val="restart"/>
            <w:vAlign w:val="bottom"/>
          </w:tcPr>
          <w:p w14:paraId="612FD4D5" w14:textId="56F5EBAD" w:rsidR="00005188" w:rsidRPr="00FA0C47" w:rsidRDefault="00005188" w:rsidP="00005188">
            <w:pPr>
              <w:jc w:val="center"/>
              <w:rPr>
                <w:b/>
                <w:bCs/>
                <w:sz w:val="18"/>
                <w:szCs w:val="18"/>
                <w:lang w:eastAsia="en-AU"/>
              </w:rPr>
            </w:pPr>
            <w:r w:rsidRPr="00FA0C47">
              <w:rPr>
                <w:b/>
                <w:bCs/>
                <w:sz w:val="18"/>
                <w:szCs w:val="18"/>
                <w:lang w:eastAsia="en-AU"/>
              </w:rPr>
              <w:t>Variance Explanation</w:t>
            </w:r>
          </w:p>
          <w:p w14:paraId="5917DFBD" w14:textId="7D592D67" w:rsidR="00005188" w:rsidRPr="00FA0C47" w:rsidRDefault="00005188" w:rsidP="00005188">
            <w:pPr>
              <w:jc w:val="center"/>
              <w:rPr>
                <w:b/>
                <w:bCs/>
                <w:sz w:val="18"/>
                <w:szCs w:val="18"/>
                <w:lang w:eastAsia="en-AU"/>
              </w:rPr>
            </w:pPr>
          </w:p>
        </w:tc>
        <w:tc>
          <w:tcPr>
            <w:tcW w:w="852" w:type="dxa"/>
            <w:gridSpan w:val="2"/>
            <w:shd w:val="clear" w:color="auto" w:fill="auto"/>
            <w:vAlign w:val="bottom"/>
          </w:tcPr>
          <w:p w14:paraId="75EFCBD2" w14:textId="089E5724" w:rsidR="00005188" w:rsidRPr="00FA0C47" w:rsidRDefault="00005188" w:rsidP="006A75E5">
            <w:pPr>
              <w:jc w:val="right"/>
              <w:rPr>
                <w:b/>
                <w:bCs/>
                <w:sz w:val="18"/>
                <w:szCs w:val="18"/>
                <w:lang w:eastAsia="en-AU"/>
              </w:rPr>
            </w:pPr>
            <w:r w:rsidRPr="00FA0C47">
              <w:rPr>
                <w:b/>
                <w:bCs/>
                <w:sz w:val="18"/>
                <w:szCs w:val="18"/>
                <w:lang w:eastAsia="en-AU"/>
              </w:rPr>
              <w:t>Actual 202</w:t>
            </w:r>
            <w:r>
              <w:rPr>
                <w:b/>
                <w:bCs/>
                <w:sz w:val="18"/>
                <w:szCs w:val="18"/>
                <w:lang w:eastAsia="en-AU"/>
              </w:rPr>
              <w:t>3</w:t>
            </w:r>
          </w:p>
        </w:tc>
        <w:tc>
          <w:tcPr>
            <w:tcW w:w="850" w:type="dxa"/>
            <w:gridSpan w:val="3"/>
            <w:shd w:val="clear" w:color="auto" w:fill="auto"/>
            <w:vAlign w:val="bottom"/>
          </w:tcPr>
          <w:p w14:paraId="0B6B3699" w14:textId="367E417B" w:rsidR="00005188" w:rsidRPr="00FA0C47" w:rsidRDefault="00005188" w:rsidP="006A75E5">
            <w:pPr>
              <w:jc w:val="right"/>
              <w:rPr>
                <w:b/>
                <w:bCs/>
                <w:sz w:val="18"/>
                <w:szCs w:val="18"/>
                <w:lang w:eastAsia="en-AU"/>
              </w:rPr>
            </w:pPr>
            <w:r w:rsidRPr="00FA0C47">
              <w:rPr>
                <w:b/>
                <w:bCs/>
                <w:sz w:val="18"/>
                <w:szCs w:val="18"/>
                <w:lang w:eastAsia="en-AU"/>
              </w:rPr>
              <w:t>Original Budget</w:t>
            </w:r>
            <w:r w:rsidRPr="00005188">
              <w:rPr>
                <w:strike/>
                <w:color w:val="FF0000"/>
                <w:sz w:val="18"/>
                <w:szCs w:val="18"/>
                <w:vertAlign w:val="superscript"/>
                <w:lang w:eastAsia="en-AU"/>
              </w:rPr>
              <w:t>1</w:t>
            </w:r>
            <w:r w:rsidRPr="00FA0C47">
              <w:rPr>
                <w:sz w:val="18"/>
                <w:szCs w:val="18"/>
                <w:vertAlign w:val="superscript"/>
                <w:lang w:eastAsia="en-AU"/>
              </w:rPr>
              <w:t xml:space="preserve"> </w:t>
            </w:r>
            <w:r w:rsidRPr="00FA0C47">
              <w:rPr>
                <w:b/>
                <w:bCs/>
                <w:sz w:val="18"/>
                <w:szCs w:val="18"/>
                <w:lang w:eastAsia="en-AU"/>
              </w:rPr>
              <w:t>202</w:t>
            </w:r>
            <w:r>
              <w:rPr>
                <w:b/>
                <w:bCs/>
                <w:sz w:val="18"/>
                <w:szCs w:val="18"/>
                <w:lang w:eastAsia="en-AU"/>
              </w:rPr>
              <w:t>3</w:t>
            </w:r>
          </w:p>
        </w:tc>
        <w:tc>
          <w:tcPr>
            <w:tcW w:w="996" w:type="dxa"/>
            <w:shd w:val="clear" w:color="auto" w:fill="auto"/>
            <w:vAlign w:val="bottom"/>
          </w:tcPr>
          <w:p w14:paraId="2B1A3013" w14:textId="2F6C11F1" w:rsidR="00005188" w:rsidRPr="00FA0C47" w:rsidRDefault="00005188" w:rsidP="006A75E5">
            <w:pPr>
              <w:jc w:val="right"/>
              <w:rPr>
                <w:b/>
                <w:bCs/>
                <w:sz w:val="18"/>
                <w:szCs w:val="18"/>
                <w:lang w:eastAsia="en-AU"/>
              </w:rPr>
            </w:pPr>
            <w:r w:rsidRPr="00FA0C47">
              <w:rPr>
                <w:b/>
                <w:bCs/>
                <w:sz w:val="18"/>
                <w:szCs w:val="18"/>
                <w:lang w:eastAsia="en-AU"/>
              </w:rPr>
              <w:t>Variance</w:t>
            </w:r>
          </w:p>
        </w:tc>
        <w:tc>
          <w:tcPr>
            <w:tcW w:w="992" w:type="dxa"/>
            <w:gridSpan w:val="3"/>
            <w:shd w:val="clear" w:color="auto" w:fill="auto"/>
            <w:vAlign w:val="bottom"/>
          </w:tcPr>
          <w:p w14:paraId="26B30DFD" w14:textId="5FF91674" w:rsidR="00005188" w:rsidRPr="00FA0C47" w:rsidRDefault="00005188" w:rsidP="006A75E5">
            <w:pPr>
              <w:jc w:val="right"/>
              <w:rPr>
                <w:b/>
                <w:bCs/>
                <w:sz w:val="18"/>
                <w:szCs w:val="18"/>
                <w:lang w:eastAsia="en-AU"/>
              </w:rPr>
            </w:pPr>
            <w:r w:rsidRPr="00FA0C47">
              <w:rPr>
                <w:b/>
                <w:bCs/>
                <w:sz w:val="18"/>
                <w:szCs w:val="18"/>
                <w:lang w:eastAsia="en-AU"/>
              </w:rPr>
              <w:t>Variance</w:t>
            </w:r>
          </w:p>
        </w:tc>
      </w:tr>
      <w:tr w:rsidR="00005188" w:rsidRPr="00976DE1" w14:paraId="2D7D8EAB" w14:textId="77777777" w:rsidTr="0004564D">
        <w:trPr>
          <w:cantSplit/>
          <w:trHeight w:val="45"/>
        </w:trPr>
        <w:tc>
          <w:tcPr>
            <w:tcW w:w="1561" w:type="dxa"/>
            <w:tcBorders>
              <w:left w:val="single" w:sz="2" w:space="0" w:color="auto"/>
              <w:right w:val="single" w:sz="2" w:space="0" w:color="auto"/>
            </w:tcBorders>
          </w:tcPr>
          <w:p w14:paraId="54A22134" w14:textId="77777777" w:rsidR="00005188" w:rsidRPr="00FA0C47" w:rsidRDefault="00005188"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AE0AF84" w14:textId="77777777" w:rsidR="00005188" w:rsidRPr="00FA0C47" w:rsidRDefault="00005188" w:rsidP="006A75E5">
            <w:pPr>
              <w:jc w:val="both"/>
              <w:rPr>
                <w:sz w:val="18"/>
                <w:szCs w:val="18"/>
              </w:rPr>
            </w:pPr>
          </w:p>
        </w:tc>
        <w:tc>
          <w:tcPr>
            <w:tcW w:w="1136" w:type="dxa"/>
            <w:vMerge/>
          </w:tcPr>
          <w:p w14:paraId="0B7F41D9" w14:textId="77777777" w:rsidR="00005188" w:rsidRPr="00FA0C47" w:rsidRDefault="00005188" w:rsidP="006A75E5">
            <w:pPr>
              <w:jc w:val="right"/>
              <w:rPr>
                <w:b/>
                <w:bCs/>
                <w:sz w:val="18"/>
                <w:szCs w:val="18"/>
                <w:lang w:eastAsia="en-AU"/>
              </w:rPr>
            </w:pPr>
          </w:p>
        </w:tc>
        <w:tc>
          <w:tcPr>
            <w:tcW w:w="852" w:type="dxa"/>
            <w:gridSpan w:val="2"/>
            <w:shd w:val="clear" w:color="auto" w:fill="auto"/>
            <w:vAlign w:val="bottom"/>
          </w:tcPr>
          <w:p w14:paraId="48BA3CCF" w14:textId="03EF398B" w:rsidR="00005188" w:rsidRPr="00FA0C47" w:rsidRDefault="00005188" w:rsidP="006A75E5">
            <w:pPr>
              <w:jc w:val="right"/>
              <w:rPr>
                <w:b/>
                <w:bCs/>
                <w:sz w:val="18"/>
                <w:szCs w:val="18"/>
                <w:lang w:eastAsia="en-AU"/>
              </w:rPr>
            </w:pPr>
            <w:r w:rsidRPr="00FA0C47">
              <w:rPr>
                <w:b/>
                <w:bCs/>
                <w:sz w:val="18"/>
                <w:szCs w:val="18"/>
                <w:lang w:eastAsia="en-AU"/>
              </w:rPr>
              <w:t>$’000</w:t>
            </w:r>
          </w:p>
        </w:tc>
        <w:tc>
          <w:tcPr>
            <w:tcW w:w="850" w:type="dxa"/>
            <w:gridSpan w:val="3"/>
            <w:shd w:val="clear" w:color="auto" w:fill="auto"/>
            <w:vAlign w:val="bottom"/>
          </w:tcPr>
          <w:p w14:paraId="2BBBB3BB" w14:textId="6C6B4419" w:rsidR="00005188" w:rsidRPr="00FA0C47" w:rsidRDefault="00005188" w:rsidP="006A75E5">
            <w:pPr>
              <w:jc w:val="right"/>
              <w:rPr>
                <w:b/>
                <w:bCs/>
                <w:sz w:val="18"/>
                <w:szCs w:val="18"/>
                <w:lang w:eastAsia="en-AU"/>
              </w:rPr>
            </w:pPr>
            <w:r w:rsidRPr="00FA0C47">
              <w:rPr>
                <w:b/>
                <w:bCs/>
                <w:sz w:val="18"/>
                <w:szCs w:val="18"/>
                <w:lang w:eastAsia="en-AU"/>
              </w:rPr>
              <w:t>$’000</w:t>
            </w:r>
          </w:p>
        </w:tc>
        <w:tc>
          <w:tcPr>
            <w:tcW w:w="996" w:type="dxa"/>
            <w:shd w:val="clear" w:color="auto" w:fill="auto"/>
            <w:vAlign w:val="bottom"/>
          </w:tcPr>
          <w:p w14:paraId="5AEAE14D" w14:textId="1BC303BB" w:rsidR="00005188" w:rsidRPr="00FA0C47" w:rsidRDefault="00005188" w:rsidP="006A75E5">
            <w:pPr>
              <w:jc w:val="right"/>
              <w:rPr>
                <w:b/>
                <w:bCs/>
                <w:sz w:val="18"/>
                <w:szCs w:val="18"/>
                <w:lang w:eastAsia="en-AU"/>
              </w:rPr>
            </w:pPr>
            <w:r w:rsidRPr="00FA0C47">
              <w:rPr>
                <w:b/>
                <w:bCs/>
                <w:sz w:val="18"/>
                <w:szCs w:val="18"/>
                <w:lang w:eastAsia="en-AU"/>
              </w:rPr>
              <w:t>$’000</w:t>
            </w:r>
          </w:p>
        </w:tc>
        <w:tc>
          <w:tcPr>
            <w:tcW w:w="992" w:type="dxa"/>
            <w:gridSpan w:val="3"/>
            <w:shd w:val="clear" w:color="auto" w:fill="auto"/>
            <w:vAlign w:val="bottom"/>
          </w:tcPr>
          <w:p w14:paraId="7FD2350A" w14:textId="2372CBEA" w:rsidR="00005188" w:rsidRPr="00FA0C47" w:rsidRDefault="00005188" w:rsidP="006A75E5">
            <w:pPr>
              <w:jc w:val="right"/>
              <w:rPr>
                <w:b/>
                <w:bCs/>
                <w:sz w:val="18"/>
                <w:szCs w:val="18"/>
                <w:lang w:eastAsia="en-AU"/>
              </w:rPr>
            </w:pPr>
            <w:r w:rsidRPr="00FA0C47">
              <w:rPr>
                <w:b/>
                <w:bCs/>
                <w:sz w:val="18"/>
                <w:szCs w:val="18"/>
                <w:lang w:eastAsia="en-AU"/>
              </w:rPr>
              <w:t>%</w:t>
            </w:r>
          </w:p>
        </w:tc>
      </w:tr>
      <w:tr w:rsidR="008A23AB" w:rsidRPr="00976DE1" w14:paraId="4399B8E2" w14:textId="77777777" w:rsidTr="0004564D">
        <w:trPr>
          <w:cantSplit/>
          <w:trHeight w:val="45"/>
        </w:trPr>
        <w:tc>
          <w:tcPr>
            <w:tcW w:w="1561" w:type="dxa"/>
            <w:tcBorders>
              <w:left w:val="single" w:sz="2" w:space="0" w:color="auto"/>
              <w:right w:val="single" w:sz="2" w:space="0" w:color="auto"/>
            </w:tcBorders>
          </w:tcPr>
          <w:p w14:paraId="704C8DC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8D474" w14:textId="0A905DC3" w:rsidR="008A23AB" w:rsidRPr="00FA0C47" w:rsidRDefault="008A23AB" w:rsidP="00D96989">
            <w:pPr>
              <w:spacing w:before="120"/>
              <w:jc w:val="both"/>
              <w:rPr>
                <w:sz w:val="18"/>
                <w:szCs w:val="18"/>
              </w:rPr>
            </w:pPr>
            <w:r w:rsidRPr="00FA0C47">
              <w:rPr>
                <w:b/>
                <w:bCs/>
                <w:sz w:val="18"/>
                <w:szCs w:val="18"/>
                <w:lang w:eastAsia="en-AU"/>
              </w:rPr>
              <w:t>Operating Statement Line Items</w:t>
            </w:r>
          </w:p>
        </w:tc>
        <w:tc>
          <w:tcPr>
            <w:tcW w:w="1136" w:type="dxa"/>
          </w:tcPr>
          <w:p w14:paraId="27672446" w14:textId="77777777" w:rsidR="008A23AB" w:rsidRPr="00FA0C47" w:rsidRDefault="008A23AB" w:rsidP="006A75E5">
            <w:pPr>
              <w:jc w:val="right"/>
              <w:rPr>
                <w:b/>
                <w:bCs/>
                <w:sz w:val="18"/>
                <w:szCs w:val="18"/>
                <w:lang w:eastAsia="en-AU"/>
              </w:rPr>
            </w:pPr>
          </w:p>
        </w:tc>
        <w:tc>
          <w:tcPr>
            <w:tcW w:w="852" w:type="dxa"/>
            <w:gridSpan w:val="2"/>
            <w:shd w:val="clear" w:color="auto" w:fill="auto"/>
            <w:vAlign w:val="bottom"/>
          </w:tcPr>
          <w:p w14:paraId="562B3E08" w14:textId="2C0DC5B9" w:rsidR="008A23AB" w:rsidRPr="00FA0C47" w:rsidRDefault="008A23AB" w:rsidP="006A75E5">
            <w:pPr>
              <w:jc w:val="right"/>
              <w:rPr>
                <w:b/>
                <w:bCs/>
                <w:sz w:val="18"/>
                <w:szCs w:val="18"/>
                <w:lang w:eastAsia="en-AU"/>
              </w:rPr>
            </w:pPr>
          </w:p>
        </w:tc>
        <w:tc>
          <w:tcPr>
            <w:tcW w:w="850" w:type="dxa"/>
            <w:gridSpan w:val="3"/>
            <w:shd w:val="clear" w:color="auto" w:fill="auto"/>
            <w:vAlign w:val="bottom"/>
          </w:tcPr>
          <w:p w14:paraId="53F79538" w14:textId="77777777" w:rsidR="008A23AB" w:rsidRPr="00FA0C47" w:rsidRDefault="008A23AB" w:rsidP="006A75E5">
            <w:pPr>
              <w:jc w:val="right"/>
              <w:rPr>
                <w:b/>
                <w:bCs/>
                <w:sz w:val="18"/>
                <w:szCs w:val="18"/>
                <w:lang w:eastAsia="en-AU"/>
              </w:rPr>
            </w:pPr>
          </w:p>
        </w:tc>
        <w:tc>
          <w:tcPr>
            <w:tcW w:w="996" w:type="dxa"/>
            <w:shd w:val="clear" w:color="auto" w:fill="auto"/>
            <w:vAlign w:val="bottom"/>
          </w:tcPr>
          <w:p w14:paraId="5C2456CA" w14:textId="77777777" w:rsidR="008A23AB" w:rsidRPr="00FA0C47" w:rsidRDefault="008A23AB" w:rsidP="006A75E5">
            <w:pPr>
              <w:jc w:val="right"/>
              <w:rPr>
                <w:b/>
                <w:bCs/>
                <w:sz w:val="18"/>
                <w:szCs w:val="18"/>
                <w:lang w:eastAsia="en-AU"/>
              </w:rPr>
            </w:pPr>
          </w:p>
        </w:tc>
        <w:tc>
          <w:tcPr>
            <w:tcW w:w="992" w:type="dxa"/>
            <w:gridSpan w:val="3"/>
            <w:shd w:val="clear" w:color="auto" w:fill="auto"/>
            <w:vAlign w:val="bottom"/>
          </w:tcPr>
          <w:p w14:paraId="79226E3A" w14:textId="77777777" w:rsidR="008A23AB" w:rsidRPr="00FA0C47" w:rsidRDefault="008A23AB" w:rsidP="006A75E5">
            <w:pPr>
              <w:jc w:val="right"/>
              <w:rPr>
                <w:b/>
                <w:bCs/>
                <w:sz w:val="18"/>
                <w:szCs w:val="18"/>
                <w:lang w:eastAsia="en-AU"/>
              </w:rPr>
            </w:pPr>
          </w:p>
        </w:tc>
      </w:tr>
      <w:tr w:rsidR="008A23AB" w:rsidRPr="00976DE1" w14:paraId="654D408F" w14:textId="77777777" w:rsidTr="0004564D">
        <w:trPr>
          <w:cantSplit/>
          <w:trHeight w:val="45"/>
        </w:trPr>
        <w:tc>
          <w:tcPr>
            <w:tcW w:w="1561" w:type="dxa"/>
            <w:tcBorders>
              <w:left w:val="single" w:sz="2" w:space="0" w:color="auto"/>
              <w:right w:val="single" w:sz="2" w:space="0" w:color="auto"/>
            </w:tcBorders>
          </w:tcPr>
          <w:p w14:paraId="40B3842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1E13A56" w14:textId="76451D1C" w:rsidR="008A23AB" w:rsidRPr="00FA0C47" w:rsidRDefault="008A23AB" w:rsidP="006A75E5">
            <w:pPr>
              <w:jc w:val="both"/>
              <w:rPr>
                <w:sz w:val="18"/>
                <w:szCs w:val="18"/>
                <w:lang w:eastAsia="en-AU"/>
              </w:rPr>
            </w:pPr>
            <w:r w:rsidRPr="00FA0C47">
              <w:rPr>
                <w:sz w:val="18"/>
                <w:szCs w:val="18"/>
                <w:lang w:eastAsia="en-AU"/>
              </w:rPr>
              <w:t>Supplies and Services</w:t>
            </w:r>
          </w:p>
        </w:tc>
        <w:tc>
          <w:tcPr>
            <w:tcW w:w="1136" w:type="dxa"/>
          </w:tcPr>
          <w:p w14:paraId="5733F3F7" w14:textId="335F3593" w:rsidR="008A23AB" w:rsidRPr="00FA0C47" w:rsidRDefault="008A23AB" w:rsidP="003F3927">
            <w:pPr>
              <w:jc w:val="center"/>
              <w:rPr>
                <w:sz w:val="18"/>
                <w:szCs w:val="18"/>
                <w:lang w:eastAsia="en-AU"/>
              </w:rPr>
            </w:pPr>
            <w:r w:rsidRPr="00FA0C47">
              <w:rPr>
                <w:sz w:val="18"/>
                <w:szCs w:val="18"/>
                <w:lang w:eastAsia="en-AU"/>
              </w:rPr>
              <w:t>1</w:t>
            </w:r>
          </w:p>
        </w:tc>
        <w:tc>
          <w:tcPr>
            <w:tcW w:w="852" w:type="dxa"/>
            <w:gridSpan w:val="2"/>
            <w:shd w:val="clear" w:color="auto" w:fill="auto"/>
          </w:tcPr>
          <w:p w14:paraId="7887C63D" w14:textId="3AE751A5" w:rsidR="008A23AB" w:rsidRPr="00FA0C47" w:rsidRDefault="008A23AB" w:rsidP="00495078">
            <w:pPr>
              <w:jc w:val="right"/>
              <w:rPr>
                <w:b/>
                <w:bCs/>
                <w:sz w:val="18"/>
                <w:szCs w:val="18"/>
                <w:lang w:eastAsia="en-AU"/>
              </w:rPr>
            </w:pPr>
          </w:p>
        </w:tc>
        <w:tc>
          <w:tcPr>
            <w:tcW w:w="850" w:type="dxa"/>
            <w:gridSpan w:val="3"/>
            <w:shd w:val="clear" w:color="auto" w:fill="auto"/>
          </w:tcPr>
          <w:p w14:paraId="0BCCF991" w14:textId="77777777" w:rsidR="008A23AB" w:rsidRPr="00FA0C47" w:rsidRDefault="008A23AB" w:rsidP="00495078">
            <w:pPr>
              <w:jc w:val="right"/>
              <w:rPr>
                <w:b/>
                <w:bCs/>
                <w:sz w:val="18"/>
                <w:szCs w:val="18"/>
                <w:lang w:eastAsia="en-AU"/>
              </w:rPr>
            </w:pPr>
          </w:p>
        </w:tc>
        <w:tc>
          <w:tcPr>
            <w:tcW w:w="996" w:type="dxa"/>
            <w:shd w:val="clear" w:color="auto" w:fill="auto"/>
          </w:tcPr>
          <w:p w14:paraId="518ED643"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6FBEB715" w14:textId="77777777" w:rsidR="008A23AB" w:rsidRPr="00FA0C47" w:rsidRDefault="008A23AB" w:rsidP="00495078">
            <w:pPr>
              <w:jc w:val="right"/>
              <w:rPr>
                <w:b/>
                <w:bCs/>
                <w:sz w:val="18"/>
                <w:szCs w:val="18"/>
                <w:lang w:eastAsia="en-AU"/>
              </w:rPr>
            </w:pPr>
          </w:p>
        </w:tc>
      </w:tr>
      <w:tr w:rsidR="008A23AB" w:rsidRPr="00976DE1" w14:paraId="30382C85" w14:textId="77777777" w:rsidTr="0004564D">
        <w:trPr>
          <w:cantSplit/>
          <w:trHeight w:val="45"/>
        </w:trPr>
        <w:tc>
          <w:tcPr>
            <w:tcW w:w="1561" w:type="dxa"/>
            <w:tcBorders>
              <w:left w:val="single" w:sz="2" w:space="0" w:color="auto"/>
              <w:right w:val="single" w:sz="2" w:space="0" w:color="auto"/>
            </w:tcBorders>
          </w:tcPr>
          <w:p w14:paraId="6E8DE4FE"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496DC02" w14:textId="32DC599B" w:rsidR="008A23AB" w:rsidRPr="00FA0C47" w:rsidRDefault="008A23AB" w:rsidP="006A75E5">
            <w:pPr>
              <w:jc w:val="both"/>
              <w:rPr>
                <w:sz w:val="18"/>
                <w:szCs w:val="18"/>
              </w:rPr>
            </w:pPr>
            <w:r w:rsidRPr="00FA0C47">
              <w:rPr>
                <w:sz w:val="18"/>
                <w:szCs w:val="18"/>
                <w:lang w:eastAsia="en-AU"/>
              </w:rPr>
              <w:t>Share Operating Profit Joint Venture using the Equity Method</w:t>
            </w:r>
          </w:p>
        </w:tc>
        <w:tc>
          <w:tcPr>
            <w:tcW w:w="1136" w:type="dxa"/>
          </w:tcPr>
          <w:p w14:paraId="066C169B" w14:textId="66970731" w:rsidR="008A23AB" w:rsidRPr="00FA0C47" w:rsidRDefault="008A23AB" w:rsidP="003F3927">
            <w:pPr>
              <w:jc w:val="center"/>
              <w:rPr>
                <w:sz w:val="18"/>
                <w:szCs w:val="18"/>
                <w:lang w:eastAsia="en-AU"/>
              </w:rPr>
            </w:pPr>
            <w:r w:rsidRPr="00FA0C47">
              <w:rPr>
                <w:sz w:val="18"/>
                <w:szCs w:val="18"/>
                <w:lang w:eastAsia="en-AU"/>
              </w:rPr>
              <w:t>2</w:t>
            </w:r>
          </w:p>
        </w:tc>
        <w:tc>
          <w:tcPr>
            <w:tcW w:w="852" w:type="dxa"/>
            <w:gridSpan w:val="2"/>
            <w:shd w:val="clear" w:color="auto" w:fill="auto"/>
          </w:tcPr>
          <w:p w14:paraId="3A831CC2" w14:textId="7F234070" w:rsidR="008A23AB" w:rsidRPr="00FA0C47" w:rsidRDefault="008A23AB" w:rsidP="00495078">
            <w:pPr>
              <w:jc w:val="right"/>
              <w:rPr>
                <w:b/>
                <w:bCs/>
                <w:sz w:val="18"/>
                <w:szCs w:val="18"/>
                <w:lang w:eastAsia="en-AU"/>
              </w:rPr>
            </w:pPr>
          </w:p>
        </w:tc>
        <w:tc>
          <w:tcPr>
            <w:tcW w:w="850" w:type="dxa"/>
            <w:gridSpan w:val="3"/>
            <w:shd w:val="clear" w:color="auto" w:fill="auto"/>
          </w:tcPr>
          <w:p w14:paraId="52F304C2" w14:textId="77777777" w:rsidR="008A23AB" w:rsidRPr="00FA0C47" w:rsidRDefault="008A23AB" w:rsidP="00495078">
            <w:pPr>
              <w:jc w:val="right"/>
              <w:rPr>
                <w:b/>
                <w:bCs/>
                <w:sz w:val="18"/>
                <w:szCs w:val="18"/>
                <w:lang w:eastAsia="en-AU"/>
              </w:rPr>
            </w:pPr>
          </w:p>
        </w:tc>
        <w:tc>
          <w:tcPr>
            <w:tcW w:w="996" w:type="dxa"/>
            <w:shd w:val="clear" w:color="auto" w:fill="auto"/>
          </w:tcPr>
          <w:p w14:paraId="500A6EDA"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3B4B7C02" w14:textId="77777777" w:rsidR="008A23AB" w:rsidRPr="00FA0C47" w:rsidRDefault="008A23AB" w:rsidP="00495078">
            <w:pPr>
              <w:jc w:val="right"/>
              <w:rPr>
                <w:b/>
                <w:bCs/>
                <w:sz w:val="18"/>
                <w:szCs w:val="18"/>
                <w:lang w:eastAsia="en-AU"/>
              </w:rPr>
            </w:pPr>
          </w:p>
        </w:tc>
      </w:tr>
      <w:tr w:rsidR="008A23AB" w:rsidRPr="00976DE1" w14:paraId="617B5B2F" w14:textId="77777777" w:rsidTr="0004564D">
        <w:trPr>
          <w:cantSplit/>
          <w:trHeight w:val="45"/>
        </w:trPr>
        <w:tc>
          <w:tcPr>
            <w:tcW w:w="1561" w:type="dxa"/>
            <w:tcBorders>
              <w:left w:val="single" w:sz="2" w:space="0" w:color="auto"/>
              <w:right w:val="single" w:sz="2" w:space="0" w:color="auto"/>
            </w:tcBorders>
          </w:tcPr>
          <w:p w14:paraId="41F65B9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323CFA6" w14:textId="1485E530" w:rsidR="008A23AB" w:rsidRPr="00FA0C47" w:rsidRDefault="008A23AB" w:rsidP="006A75E5">
            <w:pPr>
              <w:jc w:val="both"/>
              <w:rPr>
                <w:sz w:val="18"/>
                <w:szCs w:val="18"/>
              </w:rPr>
            </w:pPr>
            <w:r w:rsidRPr="00FA0C47">
              <w:rPr>
                <w:sz w:val="18"/>
                <w:szCs w:val="18"/>
                <w:lang w:eastAsia="en-AU"/>
              </w:rPr>
              <w:t>Increase/(decrease) in the Asset Revaluation Surplus</w:t>
            </w:r>
          </w:p>
        </w:tc>
        <w:tc>
          <w:tcPr>
            <w:tcW w:w="1136" w:type="dxa"/>
          </w:tcPr>
          <w:p w14:paraId="0DAF4DA0" w14:textId="4AFBC4E2" w:rsidR="008A23AB" w:rsidRPr="00FA0C47" w:rsidRDefault="008A23AB" w:rsidP="003F3927">
            <w:pPr>
              <w:jc w:val="center"/>
              <w:rPr>
                <w:sz w:val="18"/>
                <w:szCs w:val="18"/>
                <w:lang w:eastAsia="en-AU"/>
              </w:rPr>
            </w:pPr>
            <w:r w:rsidRPr="00FA0C47">
              <w:rPr>
                <w:sz w:val="18"/>
                <w:szCs w:val="18"/>
                <w:lang w:eastAsia="en-AU"/>
              </w:rPr>
              <w:t>3</w:t>
            </w:r>
          </w:p>
        </w:tc>
        <w:tc>
          <w:tcPr>
            <w:tcW w:w="852" w:type="dxa"/>
            <w:gridSpan w:val="2"/>
            <w:shd w:val="clear" w:color="auto" w:fill="auto"/>
          </w:tcPr>
          <w:p w14:paraId="2FE1E474" w14:textId="7BABECFB" w:rsidR="008A23AB" w:rsidRPr="00FA0C47" w:rsidRDefault="008A23AB" w:rsidP="00495078">
            <w:pPr>
              <w:jc w:val="right"/>
              <w:rPr>
                <w:b/>
                <w:bCs/>
                <w:sz w:val="18"/>
                <w:szCs w:val="18"/>
                <w:lang w:eastAsia="en-AU"/>
              </w:rPr>
            </w:pPr>
          </w:p>
        </w:tc>
        <w:tc>
          <w:tcPr>
            <w:tcW w:w="850" w:type="dxa"/>
            <w:gridSpan w:val="3"/>
            <w:shd w:val="clear" w:color="auto" w:fill="auto"/>
          </w:tcPr>
          <w:p w14:paraId="0806051E" w14:textId="77777777" w:rsidR="008A23AB" w:rsidRPr="00FA0C47" w:rsidRDefault="008A23AB" w:rsidP="00495078">
            <w:pPr>
              <w:jc w:val="right"/>
              <w:rPr>
                <w:b/>
                <w:bCs/>
                <w:sz w:val="18"/>
                <w:szCs w:val="18"/>
                <w:lang w:eastAsia="en-AU"/>
              </w:rPr>
            </w:pPr>
          </w:p>
        </w:tc>
        <w:tc>
          <w:tcPr>
            <w:tcW w:w="996" w:type="dxa"/>
            <w:shd w:val="clear" w:color="auto" w:fill="auto"/>
          </w:tcPr>
          <w:p w14:paraId="69FF149B"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79C66DCC" w14:textId="77777777" w:rsidR="008A23AB" w:rsidRPr="00FA0C47" w:rsidRDefault="008A23AB" w:rsidP="00495078">
            <w:pPr>
              <w:jc w:val="right"/>
              <w:rPr>
                <w:b/>
                <w:bCs/>
                <w:sz w:val="18"/>
                <w:szCs w:val="18"/>
                <w:lang w:eastAsia="en-AU"/>
              </w:rPr>
            </w:pPr>
          </w:p>
        </w:tc>
      </w:tr>
      <w:tr w:rsidR="008A23AB" w:rsidRPr="00976DE1" w14:paraId="4EFFD739" w14:textId="77777777" w:rsidTr="0004564D">
        <w:trPr>
          <w:cantSplit/>
          <w:trHeight w:val="45"/>
        </w:trPr>
        <w:tc>
          <w:tcPr>
            <w:tcW w:w="1561" w:type="dxa"/>
            <w:tcBorders>
              <w:left w:val="single" w:sz="2" w:space="0" w:color="auto"/>
              <w:right w:val="single" w:sz="2" w:space="0" w:color="auto"/>
            </w:tcBorders>
          </w:tcPr>
          <w:p w14:paraId="6E7D9536"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2D22915" w14:textId="77777777" w:rsidR="008A23AB" w:rsidRPr="00FA0C47" w:rsidRDefault="008A23AB" w:rsidP="006A75E5">
            <w:pPr>
              <w:jc w:val="both"/>
              <w:rPr>
                <w:sz w:val="18"/>
                <w:szCs w:val="18"/>
              </w:rPr>
            </w:pPr>
          </w:p>
        </w:tc>
        <w:tc>
          <w:tcPr>
            <w:tcW w:w="1136" w:type="dxa"/>
          </w:tcPr>
          <w:p w14:paraId="0833A184" w14:textId="77777777" w:rsidR="008A23AB" w:rsidRPr="00FA0C47" w:rsidRDefault="008A23AB" w:rsidP="003F3927">
            <w:pPr>
              <w:jc w:val="center"/>
              <w:rPr>
                <w:b/>
                <w:bCs/>
                <w:sz w:val="18"/>
                <w:szCs w:val="18"/>
                <w:lang w:eastAsia="en-AU"/>
              </w:rPr>
            </w:pPr>
          </w:p>
        </w:tc>
        <w:tc>
          <w:tcPr>
            <w:tcW w:w="852" w:type="dxa"/>
            <w:gridSpan w:val="2"/>
            <w:shd w:val="clear" w:color="auto" w:fill="auto"/>
            <w:vAlign w:val="bottom"/>
          </w:tcPr>
          <w:p w14:paraId="337EFD32" w14:textId="1941B118" w:rsidR="008A23AB" w:rsidRPr="00FA0C47" w:rsidRDefault="008A23AB" w:rsidP="006A75E5">
            <w:pPr>
              <w:jc w:val="right"/>
              <w:rPr>
                <w:b/>
                <w:bCs/>
                <w:sz w:val="18"/>
                <w:szCs w:val="18"/>
                <w:lang w:eastAsia="en-AU"/>
              </w:rPr>
            </w:pPr>
          </w:p>
        </w:tc>
        <w:tc>
          <w:tcPr>
            <w:tcW w:w="850" w:type="dxa"/>
            <w:gridSpan w:val="3"/>
            <w:shd w:val="clear" w:color="auto" w:fill="auto"/>
            <w:vAlign w:val="bottom"/>
          </w:tcPr>
          <w:p w14:paraId="29C43697" w14:textId="77777777" w:rsidR="008A23AB" w:rsidRPr="00FA0C47" w:rsidRDefault="008A23AB" w:rsidP="006A75E5">
            <w:pPr>
              <w:jc w:val="right"/>
              <w:rPr>
                <w:b/>
                <w:bCs/>
                <w:sz w:val="18"/>
                <w:szCs w:val="18"/>
                <w:lang w:eastAsia="en-AU"/>
              </w:rPr>
            </w:pPr>
          </w:p>
        </w:tc>
        <w:tc>
          <w:tcPr>
            <w:tcW w:w="996" w:type="dxa"/>
            <w:shd w:val="clear" w:color="auto" w:fill="auto"/>
            <w:vAlign w:val="bottom"/>
          </w:tcPr>
          <w:p w14:paraId="676F0702" w14:textId="77777777" w:rsidR="008A23AB" w:rsidRPr="00FA0C47" w:rsidRDefault="008A23AB" w:rsidP="006A75E5">
            <w:pPr>
              <w:jc w:val="right"/>
              <w:rPr>
                <w:b/>
                <w:bCs/>
                <w:sz w:val="18"/>
                <w:szCs w:val="18"/>
                <w:lang w:eastAsia="en-AU"/>
              </w:rPr>
            </w:pPr>
          </w:p>
        </w:tc>
        <w:tc>
          <w:tcPr>
            <w:tcW w:w="992" w:type="dxa"/>
            <w:gridSpan w:val="3"/>
            <w:shd w:val="clear" w:color="auto" w:fill="auto"/>
            <w:vAlign w:val="bottom"/>
          </w:tcPr>
          <w:p w14:paraId="296CD4DC" w14:textId="77777777" w:rsidR="008A23AB" w:rsidRPr="00FA0C47" w:rsidRDefault="008A23AB" w:rsidP="006A75E5">
            <w:pPr>
              <w:jc w:val="right"/>
              <w:rPr>
                <w:b/>
                <w:bCs/>
                <w:sz w:val="18"/>
                <w:szCs w:val="18"/>
                <w:lang w:eastAsia="en-AU"/>
              </w:rPr>
            </w:pPr>
          </w:p>
        </w:tc>
      </w:tr>
      <w:tr w:rsidR="003F3927" w:rsidRPr="00976DE1" w14:paraId="67D1E584" w14:textId="77777777" w:rsidTr="0004564D">
        <w:trPr>
          <w:cantSplit/>
          <w:trHeight w:val="45"/>
        </w:trPr>
        <w:tc>
          <w:tcPr>
            <w:tcW w:w="1561" w:type="dxa"/>
            <w:tcBorders>
              <w:left w:val="single" w:sz="2" w:space="0" w:color="auto"/>
              <w:right w:val="single" w:sz="2" w:space="0" w:color="auto"/>
            </w:tcBorders>
          </w:tcPr>
          <w:p w14:paraId="01634531" w14:textId="77777777" w:rsidR="003F3927" w:rsidRPr="00FA0C47" w:rsidRDefault="003F3927"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8620FFD" w14:textId="6CEAAE40" w:rsidR="003F3927" w:rsidRPr="00FA0C47" w:rsidRDefault="003F3927" w:rsidP="006A75E5">
            <w:pPr>
              <w:jc w:val="both"/>
              <w:rPr>
                <w:sz w:val="18"/>
                <w:szCs w:val="18"/>
              </w:rPr>
            </w:pPr>
            <w:r w:rsidRPr="00FA0C47">
              <w:rPr>
                <w:b/>
                <w:sz w:val="18"/>
                <w:szCs w:val="18"/>
                <w:lang w:eastAsia="en-AU"/>
              </w:rPr>
              <w:t>Variance Explanations</w:t>
            </w:r>
          </w:p>
        </w:tc>
        <w:tc>
          <w:tcPr>
            <w:tcW w:w="1136" w:type="dxa"/>
          </w:tcPr>
          <w:p w14:paraId="450C36AD" w14:textId="77777777" w:rsidR="003F3927" w:rsidRPr="00FA0C47" w:rsidRDefault="003F3927" w:rsidP="003F3927">
            <w:pPr>
              <w:jc w:val="center"/>
              <w:rPr>
                <w:b/>
                <w:bCs/>
                <w:sz w:val="18"/>
                <w:szCs w:val="18"/>
                <w:lang w:eastAsia="en-AU"/>
              </w:rPr>
            </w:pPr>
          </w:p>
        </w:tc>
        <w:tc>
          <w:tcPr>
            <w:tcW w:w="852" w:type="dxa"/>
            <w:gridSpan w:val="2"/>
            <w:shd w:val="clear" w:color="auto" w:fill="auto"/>
            <w:vAlign w:val="bottom"/>
          </w:tcPr>
          <w:p w14:paraId="009A6105" w14:textId="77777777" w:rsidR="003F3927" w:rsidRPr="00FA0C47" w:rsidRDefault="003F3927" w:rsidP="006A75E5">
            <w:pPr>
              <w:jc w:val="right"/>
              <w:rPr>
                <w:b/>
                <w:bCs/>
                <w:sz w:val="18"/>
                <w:szCs w:val="18"/>
                <w:lang w:eastAsia="en-AU"/>
              </w:rPr>
            </w:pPr>
          </w:p>
        </w:tc>
        <w:tc>
          <w:tcPr>
            <w:tcW w:w="850" w:type="dxa"/>
            <w:gridSpan w:val="3"/>
            <w:shd w:val="clear" w:color="auto" w:fill="auto"/>
            <w:vAlign w:val="bottom"/>
          </w:tcPr>
          <w:p w14:paraId="3D88ABF2" w14:textId="77777777" w:rsidR="003F3927" w:rsidRPr="00FA0C47" w:rsidRDefault="003F3927" w:rsidP="006A75E5">
            <w:pPr>
              <w:jc w:val="right"/>
              <w:rPr>
                <w:b/>
                <w:bCs/>
                <w:sz w:val="18"/>
                <w:szCs w:val="18"/>
                <w:lang w:eastAsia="en-AU"/>
              </w:rPr>
            </w:pPr>
          </w:p>
        </w:tc>
        <w:tc>
          <w:tcPr>
            <w:tcW w:w="996" w:type="dxa"/>
            <w:shd w:val="clear" w:color="auto" w:fill="auto"/>
            <w:vAlign w:val="bottom"/>
          </w:tcPr>
          <w:p w14:paraId="3F39466C" w14:textId="77777777" w:rsidR="003F3927" w:rsidRPr="00FA0C47" w:rsidRDefault="003F3927" w:rsidP="006A75E5">
            <w:pPr>
              <w:jc w:val="right"/>
              <w:rPr>
                <w:b/>
                <w:bCs/>
                <w:sz w:val="18"/>
                <w:szCs w:val="18"/>
                <w:lang w:eastAsia="en-AU"/>
              </w:rPr>
            </w:pPr>
          </w:p>
        </w:tc>
        <w:tc>
          <w:tcPr>
            <w:tcW w:w="992" w:type="dxa"/>
            <w:gridSpan w:val="3"/>
            <w:shd w:val="clear" w:color="auto" w:fill="auto"/>
            <w:vAlign w:val="bottom"/>
          </w:tcPr>
          <w:p w14:paraId="134F6492" w14:textId="77777777" w:rsidR="003F3927" w:rsidRPr="00FA0C47" w:rsidRDefault="003F3927" w:rsidP="006A75E5">
            <w:pPr>
              <w:jc w:val="right"/>
              <w:rPr>
                <w:b/>
                <w:bCs/>
                <w:sz w:val="18"/>
                <w:szCs w:val="18"/>
                <w:lang w:eastAsia="en-AU"/>
              </w:rPr>
            </w:pPr>
          </w:p>
        </w:tc>
      </w:tr>
      <w:tr w:rsidR="008A23AB" w:rsidRPr="00976DE1" w14:paraId="62C6B456" w14:textId="31BADE34" w:rsidTr="0004564D">
        <w:trPr>
          <w:cantSplit/>
          <w:trHeight w:val="45"/>
        </w:trPr>
        <w:tc>
          <w:tcPr>
            <w:tcW w:w="1561" w:type="dxa"/>
            <w:tcBorders>
              <w:left w:val="single" w:sz="2" w:space="0" w:color="auto"/>
              <w:right w:val="single" w:sz="2" w:space="0" w:color="auto"/>
            </w:tcBorders>
          </w:tcPr>
          <w:p w14:paraId="0BEE4157"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13133436" w14:textId="1D215F55"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751E8FB9" w14:textId="21630A5D" w:rsidTr="0004564D">
        <w:trPr>
          <w:cantSplit/>
          <w:trHeight w:val="45"/>
        </w:trPr>
        <w:tc>
          <w:tcPr>
            <w:tcW w:w="1561" w:type="dxa"/>
            <w:tcBorders>
              <w:left w:val="single" w:sz="2" w:space="0" w:color="auto"/>
              <w:right w:val="single" w:sz="2" w:space="0" w:color="auto"/>
            </w:tcBorders>
          </w:tcPr>
          <w:p w14:paraId="31004C3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2F3A92CD" w14:textId="6131EDE0"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682BA68A" w14:textId="35E6ACCF" w:rsidTr="0004564D">
        <w:trPr>
          <w:cantSplit/>
          <w:trHeight w:val="45"/>
        </w:trPr>
        <w:tc>
          <w:tcPr>
            <w:tcW w:w="1561" w:type="dxa"/>
            <w:tcBorders>
              <w:left w:val="single" w:sz="2" w:space="0" w:color="auto"/>
              <w:right w:val="single" w:sz="2" w:space="0" w:color="auto"/>
            </w:tcBorders>
          </w:tcPr>
          <w:p w14:paraId="4C1C69B6"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65577B8C" w14:textId="2AFFD7C2"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CA7ECC" w:rsidRPr="00976DE1" w14:paraId="4954CF46" w14:textId="77777777" w:rsidTr="0004564D">
        <w:trPr>
          <w:cantSplit/>
          <w:trHeight w:val="45"/>
        </w:trPr>
        <w:tc>
          <w:tcPr>
            <w:tcW w:w="1561" w:type="dxa"/>
            <w:tcBorders>
              <w:left w:val="single" w:sz="2" w:space="0" w:color="auto"/>
              <w:right w:val="single" w:sz="2" w:space="0" w:color="auto"/>
            </w:tcBorders>
          </w:tcPr>
          <w:p w14:paraId="3B05D928" w14:textId="77777777" w:rsidR="00CA7ECC" w:rsidRPr="00FA0C47" w:rsidRDefault="00CA7ECC" w:rsidP="006A75E5">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6A689624" w14:textId="77777777" w:rsidR="00CA7ECC" w:rsidRPr="00FA0C47" w:rsidRDefault="00CA7ECC" w:rsidP="00CA7ECC">
            <w:pPr>
              <w:pStyle w:val="ListParagraph"/>
              <w:rPr>
                <w:sz w:val="18"/>
                <w:szCs w:val="18"/>
                <w:lang w:eastAsia="en-AU"/>
              </w:rPr>
            </w:pPr>
          </w:p>
        </w:tc>
      </w:tr>
      <w:tr w:rsidR="008A23AB" w:rsidRPr="00976DE1" w14:paraId="6B2CABCE" w14:textId="77777777" w:rsidTr="0004564D">
        <w:trPr>
          <w:cantSplit/>
          <w:trHeight w:val="45"/>
        </w:trPr>
        <w:tc>
          <w:tcPr>
            <w:tcW w:w="1561" w:type="dxa"/>
            <w:tcBorders>
              <w:left w:val="single" w:sz="2" w:space="0" w:color="auto"/>
              <w:right w:val="single" w:sz="2" w:space="0" w:color="auto"/>
            </w:tcBorders>
          </w:tcPr>
          <w:p w14:paraId="5F953546"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A29B1E4" w14:textId="0D8AF35D" w:rsidR="008A23AB" w:rsidRPr="00FA0C47" w:rsidRDefault="008A23AB" w:rsidP="006A75E5">
            <w:pPr>
              <w:jc w:val="both"/>
              <w:rPr>
                <w:sz w:val="18"/>
                <w:szCs w:val="18"/>
              </w:rPr>
            </w:pPr>
            <w:r w:rsidRPr="00FA0C47">
              <w:rPr>
                <w:b/>
                <w:bCs/>
                <w:sz w:val="18"/>
                <w:szCs w:val="18"/>
                <w:lang w:eastAsia="en-AU"/>
              </w:rPr>
              <w:t>Balance Sheet Line Items</w:t>
            </w:r>
          </w:p>
        </w:tc>
        <w:tc>
          <w:tcPr>
            <w:tcW w:w="1136" w:type="dxa"/>
            <w:shd w:val="clear" w:color="auto" w:fill="auto"/>
            <w:vAlign w:val="bottom"/>
          </w:tcPr>
          <w:p w14:paraId="2C9A7483" w14:textId="77777777" w:rsidR="008A23AB" w:rsidRPr="00FA0C47" w:rsidRDefault="008A23AB" w:rsidP="006A75E5">
            <w:pPr>
              <w:jc w:val="right"/>
              <w:rPr>
                <w:b/>
                <w:bCs/>
                <w:sz w:val="18"/>
                <w:szCs w:val="18"/>
                <w:lang w:eastAsia="en-AU"/>
              </w:rPr>
            </w:pPr>
          </w:p>
        </w:tc>
        <w:tc>
          <w:tcPr>
            <w:tcW w:w="852" w:type="dxa"/>
            <w:gridSpan w:val="2"/>
          </w:tcPr>
          <w:p w14:paraId="2095592B"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3C7482A8" w14:textId="0FF762C8"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5CC5424B"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168D1A3B" w14:textId="77777777" w:rsidR="008A23AB" w:rsidRPr="00FA0C47" w:rsidRDefault="008A23AB" w:rsidP="006A75E5">
            <w:pPr>
              <w:jc w:val="right"/>
              <w:rPr>
                <w:b/>
                <w:bCs/>
                <w:sz w:val="18"/>
                <w:szCs w:val="18"/>
                <w:lang w:eastAsia="en-AU"/>
              </w:rPr>
            </w:pPr>
          </w:p>
        </w:tc>
      </w:tr>
      <w:tr w:rsidR="008A23AB" w:rsidRPr="00976DE1" w14:paraId="082FCF2F" w14:textId="77777777" w:rsidTr="0004564D">
        <w:trPr>
          <w:cantSplit/>
          <w:trHeight w:val="45"/>
        </w:trPr>
        <w:tc>
          <w:tcPr>
            <w:tcW w:w="1561" w:type="dxa"/>
            <w:tcBorders>
              <w:left w:val="single" w:sz="2" w:space="0" w:color="auto"/>
              <w:right w:val="single" w:sz="2" w:space="0" w:color="auto"/>
            </w:tcBorders>
          </w:tcPr>
          <w:p w14:paraId="32D6DB81"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7AFB289" w14:textId="61BD8CF6" w:rsidR="008A23AB" w:rsidRPr="000E5C59" w:rsidRDefault="008A23AB" w:rsidP="006A75E5">
            <w:pPr>
              <w:jc w:val="both"/>
              <w:rPr>
                <w:strike/>
                <w:color w:val="FF0000"/>
                <w:sz w:val="18"/>
                <w:szCs w:val="18"/>
              </w:rPr>
            </w:pPr>
            <w:r w:rsidRPr="000E5C59">
              <w:rPr>
                <w:strike/>
                <w:color w:val="FF0000"/>
                <w:sz w:val="18"/>
                <w:szCs w:val="18"/>
                <w:lang w:eastAsia="en-AU"/>
              </w:rPr>
              <w:t>Cash and Cash Equivalents</w:t>
            </w:r>
          </w:p>
        </w:tc>
        <w:tc>
          <w:tcPr>
            <w:tcW w:w="1136" w:type="dxa"/>
            <w:shd w:val="clear" w:color="auto" w:fill="auto"/>
          </w:tcPr>
          <w:p w14:paraId="2A612755" w14:textId="37BCE306" w:rsidR="008A23AB" w:rsidRPr="000E5C59" w:rsidRDefault="008A23AB" w:rsidP="003F3927">
            <w:pPr>
              <w:jc w:val="center"/>
              <w:rPr>
                <w:strike/>
                <w:color w:val="FF0000"/>
                <w:sz w:val="18"/>
                <w:szCs w:val="18"/>
                <w:lang w:eastAsia="en-AU"/>
              </w:rPr>
            </w:pPr>
            <w:r w:rsidRPr="000E5C59">
              <w:rPr>
                <w:strike/>
                <w:color w:val="FF0000"/>
                <w:sz w:val="18"/>
                <w:szCs w:val="18"/>
                <w:lang w:eastAsia="en-AU"/>
              </w:rPr>
              <w:t>4</w:t>
            </w:r>
          </w:p>
        </w:tc>
        <w:tc>
          <w:tcPr>
            <w:tcW w:w="852" w:type="dxa"/>
            <w:gridSpan w:val="2"/>
          </w:tcPr>
          <w:p w14:paraId="070AC7CD"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6C2EC191" w14:textId="1C8A772D"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58C4C1C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0F4AAA91" w14:textId="77777777" w:rsidR="008A23AB" w:rsidRPr="00FA0C47" w:rsidRDefault="008A23AB" w:rsidP="006A75E5">
            <w:pPr>
              <w:jc w:val="right"/>
              <w:rPr>
                <w:b/>
                <w:bCs/>
                <w:sz w:val="18"/>
                <w:szCs w:val="18"/>
                <w:lang w:eastAsia="en-AU"/>
              </w:rPr>
            </w:pPr>
          </w:p>
        </w:tc>
      </w:tr>
      <w:tr w:rsidR="008A23AB" w:rsidRPr="00976DE1" w14:paraId="13060125" w14:textId="77777777" w:rsidTr="0004564D">
        <w:trPr>
          <w:cantSplit/>
          <w:trHeight w:val="45"/>
        </w:trPr>
        <w:tc>
          <w:tcPr>
            <w:tcW w:w="1561" w:type="dxa"/>
            <w:tcBorders>
              <w:left w:val="single" w:sz="2" w:space="0" w:color="auto"/>
              <w:right w:val="single" w:sz="2" w:space="0" w:color="auto"/>
            </w:tcBorders>
          </w:tcPr>
          <w:p w14:paraId="0991C79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8A38057" w14:textId="535660C0" w:rsidR="008A23AB" w:rsidRPr="00FA0C47" w:rsidRDefault="008A23AB" w:rsidP="006A75E5">
            <w:pPr>
              <w:jc w:val="both"/>
              <w:rPr>
                <w:sz w:val="18"/>
                <w:szCs w:val="18"/>
              </w:rPr>
            </w:pPr>
            <w:r w:rsidRPr="00FA0C47">
              <w:rPr>
                <w:sz w:val="18"/>
                <w:szCs w:val="18"/>
                <w:lang w:eastAsia="en-AU"/>
              </w:rPr>
              <w:t xml:space="preserve">Current </w:t>
            </w:r>
            <w:r w:rsidR="000E5C59" w:rsidRPr="000E5C59">
              <w:rPr>
                <w:color w:val="FF0000"/>
                <w:sz w:val="18"/>
                <w:szCs w:val="18"/>
                <w:lang w:eastAsia="en-AU"/>
              </w:rPr>
              <w:t xml:space="preserve">Cash and </w:t>
            </w:r>
            <w:r w:rsidRPr="00FA0C47">
              <w:rPr>
                <w:sz w:val="18"/>
                <w:szCs w:val="18"/>
                <w:lang w:eastAsia="en-AU"/>
              </w:rPr>
              <w:t>Investment</w:t>
            </w:r>
            <w:r w:rsidR="00A832C5">
              <w:rPr>
                <w:sz w:val="18"/>
                <w:szCs w:val="18"/>
                <w:lang w:eastAsia="en-AU"/>
              </w:rPr>
              <w:t>s</w:t>
            </w:r>
          </w:p>
        </w:tc>
        <w:tc>
          <w:tcPr>
            <w:tcW w:w="1136" w:type="dxa"/>
            <w:shd w:val="clear" w:color="auto" w:fill="auto"/>
          </w:tcPr>
          <w:p w14:paraId="737F6D2F" w14:textId="7D5F124B" w:rsidR="008A23AB" w:rsidRPr="000E5C59" w:rsidRDefault="000E5C59" w:rsidP="003F3927">
            <w:pPr>
              <w:jc w:val="center"/>
              <w:rPr>
                <w:color w:val="FF0000"/>
                <w:sz w:val="18"/>
                <w:szCs w:val="18"/>
                <w:lang w:eastAsia="en-AU"/>
              </w:rPr>
            </w:pPr>
            <w:r w:rsidRPr="000E5C59">
              <w:rPr>
                <w:color w:val="FF0000"/>
                <w:sz w:val="18"/>
                <w:szCs w:val="18"/>
                <w:lang w:eastAsia="en-AU"/>
              </w:rPr>
              <w:t xml:space="preserve">4 </w:t>
            </w:r>
            <w:r w:rsidR="008A23AB" w:rsidRPr="000E5C59">
              <w:rPr>
                <w:strike/>
                <w:color w:val="FF0000"/>
                <w:sz w:val="18"/>
                <w:szCs w:val="18"/>
                <w:lang w:eastAsia="en-AU"/>
              </w:rPr>
              <w:t>5</w:t>
            </w:r>
          </w:p>
        </w:tc>
        <w:tc>
          <w:tcPr>
            <w:tcW w:w="852" w:type="dxa"/>
            <w:gridSpan w:val="2"/>
          </w:tcPr>
          <w:p w14:paraId="623FEE2E"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A8C8D45" w14:textId="439FBDC4"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7D14912A"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1911F744" w14:textId="77777777" w:rsidR="008A23AB" w:rsidRPr="00FA0C47" w:rsidRDefault="008A23AB" w:rsidP="006A75E5">
            <w:pPr>
              <w:jc w:val="right"/>
              <w:rPr>
                <w:b/>
                <w:bCs/>
                <w:sz w:val="18"/>
                <w:szCs w:val="18"/>
                <w:lang w:eastAsia="en-AU"/>
              </w:rPr>
            </w:pPr>
          </w:p>
        </w:tc>
      </w:tr>
      <w:tr w:rsidR="008A23AB" w:rsidRPr="00976DE1" w14:paraId="392B7A1F" w14:textId="77777777" w:rsidTr="0004564D">
        <w:trPr>
          <w:cantSplit/>
          <w:trHeight w:val="45"/>
        </w:trPr>
        <w:tc>
          <w:tcPr>
            <w:tcW w:w="1561" w:type="dxa"/>
            <w:tcBorders>
              <w:left w:val="single" w:sz="2" w:space="0" w:color="auto"/>
              <w:right w:val="single" w:sz="2" w:space="0" w:color="auto"/>
            </w:tcBorders>
          </w:tcPr>
          <w:p w14:paraId="1CDC31D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70499D" w14:textId="01319B85" w:rsidR="008A23AB" w:rsidRPr="00FA0C47" w:rsidRDefault="008A23AB" w:rsidP="006A75E5">
            <w:pPr>
              <w:jc w:val="both"/>
              <w:rPr>
                <w:sz w:val="18"/>
                <w:szCs w:val="18"/>
              </w:rPr>
            </w:pPr>
            <w:r w:rsidRPr="00FA0C47">
              <w:rPr>
                <w:sz w:val="18"/>
                <w:szCs w:val="18"/>
                <w:lang w:eastAsia="en-AU"/>
              </w:rPr>
              <w:t>Current Receivables</w:t>
            </w:r>
          </w:p>
        </w:tc>
        <w:tc>
          <w:tcPr>
            <w:tcW w:w="1136" w:type="dxa"/>
            <w:shd w:val="clear" w:color="auto" w:fill="auto"/>
          </w:tcPr>
          <w:p w14:paraId="5CC4DD55" w14:textId="434DB2B2" w:rsidR="008A23AB" w:rsidRPr="000E5C59" w:rsidRDefault="000E5C59" w:rsidP="003F3927">
            <w:pPr>
              <w:jc w:val="center"/>
              <w:rPr>
                <w:color w:val="FF0000"/>
                <w:sz w:val="18"/>
                <w:szCs w:val="18"/>
                <w:lang w:eastAsia="en-AU"/>
              </w:rPr>
            </w:pPr>
            <w:r w:rsidRPr="000E5C59">
              <w:rPr>
                <w:color w:val="FF0000"/>
                <w:sz w:val="18"/>
                <w:szCs w:val="18"/>
                <w:lang w:eastAsia="en-AU"/>
              </w:rPr>
              <w:t xml:space="preserve">5 </w:t>
            </w:r>
            <w:r w:rsidR="008A23AB" w:rsidRPr="000E5C59">
              <w:rPr>
                <w:strike/>
                <w:color w:val="FF0000"/>
                <w:sz w:val="18"/>
                <w:szCs w:val="18"/>
                <w:lang w:eastAsia="en-AU"/>
              </w:rPr>
              <w:t>6</w:t>
            </w:r>
          </w:p>
        </w:tc>
        <w:tc>
          <w:tcPr>
            <w:tcW w:w="852" w:type="dxa"/>
            <w:gridSpan w:val="2"/>
          </w:tcPr>
          <w:p w14:paraId="49A328CC"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076BE2CB" w14:textId="49A13CB8"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50E8423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794101DB" w14:textId="77777777" w:rsidR="008A23AB" w:rsidRPr="00FA0C47" w:rsidRDefault="008A23AB" w:rsidP="006A75E5">
            <w:pPr>
              <w:jc w:val="right"/>
              <w:rPr>
                <w:b/>
                <w:bCs/>
                <w:sz w:val="18"/>
                <w:szCs w:val="18"/>
                <w:lang w:eastAsia="en-AU"/>
              </w:rPr>
            </w:pPr>
          </w:p>
        </w:tc>
      </w:tr>
      <w:tr w:rsidR="008A23AB" w:rsidRPr="00976DE1" w14:paraId="6D21DBC8" w14:textId="77777777" w:rsidTr="0004564D">
        <w:trPr>
          <w:cantSplit/>
          <w:trHeight w:val="45"/>
        </w:trPr>
        <w:tc>
          <w:tcPr>
            <w:tcW w:w="1561" w:type="dxa"/>
            <w:tcBorders>
              <w:left w:val="single" w:sz="2" w:space="0" w:color="auto"/>
              <w:right w:val="single" w:sz="2" w:space="0" w:color="auto"/>
            </w:tcBorders>
          </w:tcPr>
          <w:p w14:paraId="6B4EF230"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EAE07A2" w14:textId="6C2894AB" w:rsidR="008A23AB" w:rsidRPr="00FA0C47" w:rsidRDefault="000E5C59" w:rsidP="006A75E5">
            <w:pPr>
              <w:jc w:val="both"/>
              <w:rPr>
                <w:sz w:val="18"/>
                <w:szCs w:val="18"/>
              </w:rPr>
            </w:pPr>
            <w:r w:rsidRPr="000E5C59">
              <w:rPr>
                <w:bCs/>
                <w:color w:val="FF0000"/>
                <w:sz w:val="18"/>
                <w:szCs w:val="18"/>
                <w:lang w:eastAsia="en-AU"/>
              </w:rPr>
              <w:t>Non-</w:t>
            </w:r>
            <w:r w:rsidR="008A23AB" w:rsidRPr="00FA0C47">
              <w:rPr>
                <w:bCs/>
                <w:sz w:val="18"/>
                <w:szCs w:val="18"/>
                <w:lang w:eastAsia="en-AU"/>
              </w:rPr>
              <w:t>Current Assets Held for Sale</w:t>
            </w:r>
          </w:p>
        </w:tc>
        <w:tc>
          <w:tcPr>
            <w:tcW w:w="1136" w:type="dxa"/>
            <w:shd w:val="clear" w:color="auto" w:fill="auto"/>
          </w:tcPr>
          <w:p w14:paraId="0567B6C9" w14:textId="16CD1C6D" w:rsidR="008A23AB" w:rsidRPr="000E5C59" w:rsidRDefault="000E5C59" w:rsidP="003F3927">
            <w:pPr>
              <w:jc w:val="center"/>
              <w:rPr>
                <w:color w:val="FF0000"/>
                <w:sz w:val="18"/>
                <w:szCs w:val="18"/>
                <w:lang w:eastAsia="en-AU"/>
              </w:rPr>
            </w:pPr>
            <w:r w:rsidRPr="000E5C59">
              <w:rPr>
                <w:color w:val="FF0000"/>
                <w:sz w:val="18"/>
                <w:szCs w:val="18"/>
                <w:lang w:eastAsia="en-AU"/>
              </w:rPr>
              <w:t xml:space="preserve">6 </w:t>
            </w:r>
            <w:r w:rsidR="008A23AB" w:rsidRPr="000E5C59">
              <w:rPr>
                <w:strike/>
                <w:color w:val="FF0000"/>
                <w:sz w:val="18"/>
                <w:szCs w:val="18"/>
                <w:lang w:eastAsia="en-AU"/>
              </w:rPr>
              <w:t>7</w:t>
            </w:r>
          </w:p>
        </w:tc>
        <w:tc>
          <w:tcPr>
            <w:tcW w:w="852" w:type="dxa"/>
            <w:gridSpan w:val="2"/>
          </w:tcPr>
          <w:p w14:paraId="0B169076"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6DBE3D4" w14:textId="1360FEAB"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6CC03FAA"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6573C25" w14:textId="77777777" w:rsidR="008A23AB" w:rsidRPr="00FA0C47" w:rsidRDefault="008A23AB" w:rsidP="006A75E5">
            <w:pPr>
              <w:jc w:val="right"/>
              <w:rPr>
                <w:b/>
                <w:bCs/>
                <w:sz w:val="18"/>
                <w:szCs w:val="18"/>
                <w:lang w:eastAsia="en-AU"/>
              </w:rPr>
            </w:pPr>
          </w:p>
        </w:tc>
      </w:tr>
      <w:tr w:rsidR="008A23AB" w:rsidRPr="00976DE1" w14:paraId="3C0D9034" w14:textId="77777777" w:rsidTr="0004564D">
        <w:trPr>
          <w:cantSplit/>
          <w:trHeight w:val="45"/>
        </w:trPr>
        <w:tc>
          <w:tcPr>
            <w:tcW w:w="1561" w:type="dxa"/>
            <w:tcBorders>
              <w:left w:val="single" w:sz="2" w:space="0" w:color="auto"/>
              <w:right w:val="single" w:sz="2" w:space="0" w:color="auto"/>
            </w:tcBorders>
          </w:tcPr>
          <w:p w14:paraId="3B4AE980"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CBA14" w14:textId="6B060929" w:rsidR="008A23AB" w:rsidRPr="00FA0C47" w:rsidRDefault="008A23AB" w:rsidP="006A75E5">
            <w:pPr>
              <w:jc w:val="both"/>
              <w:rPr>
                <w:sz w:val="18"/>
                <w:szCs w:val="18"/>
              </w:rPr>
            </w:pPr>
            <w:r w:rsidRPr="00FA0C47">
              <w:rPr>
                <w:bCs/>
                <w:sz w:val="18"/>
                <w:szCs w:val="18"/>
                <w:lang w:eastAsia="en-AU"/>
              </w:rPr>
              <w:t>Current Payables</w:t>
            </w:r>
          </w:p>
        </w:tc>
        <w:tc>
          <w:tcPr>
            <w:tcW w:w="1136" w:type="dxa"/>
            <w:shd w:val="clear" w:color="auto" w:fill="auto"/>
          </w:tcPr>
          <w:p w14:paraId="6BAB5E4A" w14:textId="55C83932" w:rsidR="008A23AB" w:rsidRPr="000E5C59" w:rsidRDefault="000E5C59" w:rsidP="003F3927">
            <w:pPr>
              <w:jc w:val="center"/>
              <w:rPr>
                <w:color w:val="FF0000"/>
                <w:sz w:val="18"/>
                <w:szCs w:val="18"/>
                <w:lang w:eastAsia="en-AU"/>
              </w:rPr>
            </w:pPr>
            <w:r w:rsidRPr="000E5C59">
              <w:rPr>
                <w:color w:val="FF0000"/>
                <w:sz w:val="18"/>
                <w:szCs w:val="18"/>
                <w:lang w:eastAsia="en-AU"/>
              </w:rPr>
              <w:t xml:space="preserve">7 </w:t>
            </w:r>
            <w:r w:rsidR="008A23AB" w:rsidRPr="000E5C59">
              <w:rPr>
                <w:strike/>
                <w:color w:val="FF0000"/>
                <w:sz w:val="18"/>
                <w:szCs w:val="18"/>
                <w:lang w:eastAsia="en-AU"/>
              </w:rPr>
              <w:t>8</w:t>
            </w:r>
          </w:p>
        </w:tc>
        <w:tc>
          <w:tcPr>
            <w:tcW w:w="852" w:type="dxa"/>
            <w:gridSpan w:val="2"/>
          </w:tcPr>
          <w:p w14:paraId="4291A458"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284D3299" w14:textId="7BB0A407"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349AD8D8"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37DB854" w14:textId="77777777" w:rsidR="008A23AB" w:rsidRPr="00FA0C47" w:rsidRDefault="008A23AB" w:rsidP="006A75E5">
            <w:pPr>
              <w:jc w:val="right"/>
              <w:rPr>
                <w:b/>
                <w:bCs/>
                <w:sz w:val="18"/>
                <w:szCs w:val="18"/>
                <w:lang w:eastAsia="en-AU"/>
              </w:rPr>
            </w:pPr>
          </w:p>
        </w:tc>
      </w:tr>
      <w:tr w:rsidR="008A23AB" w:rsidRPr="00976DE1" w14:paraId="7DD6130E" w14:textId="77777777" w:rsidTr="0004564D">
        <w:trPr>
          <w:cantSplit/>
          <w:trHeight w:val="45"/>
        </w:trPr>
        <w:tc>
          <w:tcPr>
            <w:tcW w:w="1561" w:type="dxa"/>
            <w:tcBorders>
              <w:left w:val="single" w:sz="2" w:space="0" w:color="auto"/>
              <w:right w:val="single" w:sz="2" w:space="0" w:color="auto"/>
            </w:tcBorders>
          </w:tcPr>
          <w:p w14:paraId="6DEA0B7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C605DB" w14:textId="529345E9" w:rsidR="008A23AB" w:rsidRPr="00FA0C47" w:rsidRDefault="008A23AB" w:rsidP="006A75E5">
            <w:pPr>
              <w:jc w:val="both"/>
              <w:rPr>
                <w:bCs/>
                <w:sz w:val="18"/>
                <w:szCs w:val="18"/>
                <w:lang w:eastAsia="en-AU"/>
              </w:rPr>
            </w:pPr>
            <w:r w:rsidRPr="00FA0C47">
              <w:rPr>
                <w:bCs/>
                <w:sz w:val="18"/>
                <w:szCs w:val="18"/>
                <w:lang w:eastAsia="en-AU"/>
              </w:rPr>
              <w:t>Current Employee Benefits</w:t>
            </w:r>
          </w:p>
        </w:tc>
        <w:tc>
          <w:tcPr>
            <w:tcW w:w="1136" w:type="dxa"/>
            <w:shd w:val="clear" w:color="auto" w:fill="auto"/>
          </w:tcPr>
          <w:p w14:paraId="35DB7CB3" w14:textId="7D470475" w:rsidR="008A23AB" w:rsidRPr="000E5C59" w:rsidRDefault="000E5C59" w:rsidP="003F3927">
            <w:pPr>
              <w:jc w:val="center"/>
              <w:rPr>
                <w:color w:val="FF0000"/>
                <w:sz w:val="18"/>
                <w:szCs w:val="18"/>
                <w:lang w:eastAsia="en-AU"/>
              </w:rPr>
            </w:pPr>
            <w:r w:rsidRPr="000E5C59">
              <w:rPr>
                <w:color w:val="FF0000"/>
                <w:sz w:val="18"/>
                <w:szCs w:val="18"/>
                <w:lang w:eastAsia="en-AU"/>
              </w:rPr>
              <w:t xml:space="preserve">8 </w:t>
            </w:r>
            <w:r w:rsidR="008A23AB" w:rsidRPr="000E5C59">
              <w:rPr>
                <w:strike/>
                <w:color w:val="FF0000"/>
                <w:sz w:val="18"/>
                <w:szCs w:val="18"/>
                <w:lang w:eastAsia="en-AU"/>
              </w:rPr>
              <w:t>9</w:t>
            </w:r>
          </w:p>
        </w:tc>
        <w:tc>
          <w:tcPr>
            <w:tcW w:w="852" w:type="dxa"/>
            <w:gridSpan w:val="2"/>
          </w:tcPr>
          <w:p w14:paraId="74908075"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404BA636" w14:textId="685A8AEC"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31342E8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9E99A67" w14:textId="77777777" w:rsidR="008A23AB" w:rsidRPr="00FA0C47" w:rsidRDefault="008A23AB" w:rsidP="006A75E5">
            <w:pPr>
              <w:jc w:val="right"/>
              <w:rPr>
                <w:b/>
                <w:bCs/>
                <w:sz w:val="18"/>
                <w:szCs w:val="18"/>
                <w:lang w:eastAsia="en-AU"/>
              </w:rPr>
            </w:pPr>
          </w:p>
        </w:tc>
      </w:tr>
      <w:tr w:rsidR="008A23AB" w:rsidRPr="00976DE1" w14:paraId="6EF8BFE7" w14:textId="77777777" w:rsidTr="0004564D">
        <w:trPr>
          <w:cantSplit/>
          <w:trHeight w:val="45"/>
        </w:trPr>
        <w:tc>
          <w:tcPr>
            <w:tcW w:w="1561" w:type="dxa"/>
            <w:tcBorders>
              <w:left w:val="single" w:sz="2" w:space="0" w:color="auto"/>
              <w:right w:val="single" w:sz="2" w:space="0" w:color="auto"/>
            </w:tcBorders>
          </w:tcPr>
          <w:p w14:paraId="22DC11F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FA98A84" w14:textId="576AC1CA" w:rsidR="008A23AB" w:rsidRPr="00FA0C47" w:rsidRDefault="008A23AB" w:rsidP="006A75E5">
            <w:pPr>
              <w:jc w:val="both"/>
              <w:rPr>
                <w:bCs/>
                <w:sz w:val="18"/>
                <w:szCs w:val="18"/>
                <w:lang w:eastAsia="en-AU"/>
              </w:rPr>
            </w:pPr>
            <w:r w:rsidRPr="00FA0C47">
              <w:rPr>
                <w:sz w:val="18"/>
                <w:szCs w:val="18"/>
                <w:lang w:eastAsia="en-AU"/>
              </w:rPr>
              <w:t>Current Other Liabilities</w:t>
            </w:r>
          </w:p>
        </w:tc>
        <w:tc>
          <w:tcPr>
            <w:tcW w:w="1136" w:type="dxa"/>
            <w:shd w:val="clear" w:color="auto" w:fill="auto"/>
          </w:tcPr>
          <w:p w14:paraId="5633D1BA" w14:textId="16908D82" w:rsidR="008A23AB" w:rsidRPr="000E5C59" w:rsidRDefault="000E5C59" w:rsidP="003F3927">
            <w:pPr>
              <w:jc w:val="center"/>
              <w:rPr>
                <w:color w:val="FF0000"/>
                <w:sz w:val="18"/>
                <w:szCs w:val="18"/>
                <w:lang w:eastAsia="en-AU"/>
              </w:rPr>
            </w:pPr>
            <w:r w:rsidRPr="000E5C59">
              <w:rPr>
                <w:color w:val="FF0000"/>
                <w:sz w:val="18"/>
                <w:szCs w:val="18"/>
                <w:lang w:eastAsia="en-AU"/>
              </w:rPr>
              <w:t xml:space="preserve">9 </w:t>
            </w:r>
            <w:r w:rsidR="008A23AB" w:rsidRPr="000E5C59">
              <w:rPr>
                <w:strike/>
                <w:color w:val="FF0000"/>
                <w:sz w:val="18"/>
                <w:szCs w:val="18"/>
                <w:lang w:eastAsia="en-AU"/>
              </w:rPr>
              <w:t>10</w:t>
            </w:r>
          </w:p>
        </w:tc>
        <w:tc>
          <w:tcPr>
            <w:tcW w:w="852" w:type="dxa"/>
            <w:gridSpan w:val="2"/>
          </w:tcPr>
          <w:p w14:paraId="31BA159F"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1D01BC71" w14:textId="669D0AF4"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66A6F5CB"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E30562C" w14:textId="77777777" w:rsidR="008A23AB" w:rsidRPr="00FA0C47" w:rsidRDefault="008A23AB" w:rsidP="006A75E5">
            <w:pPr>
              <w:jc w:val="right"/>
              <w:rPr>
                <w:b/>
                <w:bCs/>
                <w:sz w:val="18"/>
                <w:szCs w:val="18"/>
                <w:lang w:eastAsia="en-AU"/>
              </w:rPr>
            </w:pPr>
          </w:p>
        </w:tc>
      </w:tr>
      <w:tr w:rsidR="008A23AB" w:rsidRPr="00976DE1" w14:paraId="3705CB2F" w14:textId="77777777" w:rsidTr="0004564D">
        <w:trPr>
          <w:cantSplit/>
          <w:trHeight w:val="45"/>
        </w:trPr>
        <w:tc>
          <w:tcPr>
            <w:tcW w:w="1561" w:type="dxa"/>
            <w:tcBorders>
              <w:left w:val="single" w:sz="2" w:space="0" w:color="auto"/>
              <w:right w:val="single" w:sz="2" w:space="0" w:color="auto"/>
            </w:tcBorders>
          </w:tcPr>
          <w:p w14:paraId="67330DE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CA885FF" w14:textId="218541D8" w:rsidR="008A23AB" w:rsidRPr="00FA0C47" w:rsidRDefault="008A23AB" w:rsidP="006A75E5">
            <w:pPr>
              <w:jc w:val="both"/>
              <w:rPr>
                <w:bCs/>
                <w:sz w:val="18"/>
                <w:szCs w:val="18"/>
                <w:lang w:eastAsia="en-AU"/>
              </w:rPr>
            </w:pPr>
            <w:r w:rsidRPr="00FA0C47">
              <w:rPr>
                <w:sz w:val="18"/>
                <w:szCs w:val="18"/>
                <w:lang w:eastAsia="en-AU"/>
              </w:rPr>
              <w:t>Non-Current Payables</w:t>
            </w:r>
          </w:p>
        </w:tc>
        <w:tc>
          <w:tcPr>
            <w:tcW w:w="1136" w:type="dxa"/>
            <w:shd w:val="clear" w:color="auto" w:fill="auto"/>
          </w:tcPr>
          <w:p w14:paraId="58295AE2" w14:textId="42916B73" w:rsidR="008A23AB" w:rsidRPr="000E5C59" w:rsidRDefault="000E5C59" w:rsidP="003F3927">
            <w:pPr>
              <w:jc w:val="center"/>
              <w:rPr>
                <w:color w:val="FF0000"/>
                <w:sz w:val="18"/>
                <w:szCs w:val="18"/>
                <w:lang w:eastAsia="en-AU"/>
              </w:rPr>
            </w:pPr>
            <w:r w:rsidRPr="000E5C59">
              <w:rPr>
                <w:color w:val="FF0000"/>
                <w:sz w:val="18"/>
                <w:szCs w:val="18"/>
                <w:lang w:eastAsia="en-AU"/>
              </w:rPr>
              <w:t xml:space="preserve">10 </w:t>
            </w:r>
            <w:r w:rsidR="008A23AB" w:rsidRPr="000E5C59">
              <w:rPr>
                <w:strike/>
                <w:color w:val="FF0000"/>
                <w:sz w:val="18"/>
                <w:szCs w:val="18"/>
                <w:lang w:eastAsia="en-AU"/>
              </w:rPr>
              <w:t>11</w:t>
            </w:r>
          </w:p>
        </w:tc>
        <w:tc>
          <w:tcPr>
            <w:tcW w:w="852" w:type="dxa"/>
            <w:gridSpan w:val="2"/>
          </w:tcPr>
          <w:p w14:paraId="00729F1D"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4590625F" w14:textId="4ADC4C94"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4F1AC149"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5075E124" w14:textId="77777777" w:rsidR="008A23AB" w:rsidRPr="00FA0C47" w:rsidRDefault="008A23AB" w:rsidP="006A75E5">
            <w:pPr>
              <w:jc w:val="right"/>
              <w:rPr>
                <w:b/>
                <w:bCs/>
                <w:sz w:val="18"/>
                <w:szCs w:val="18"/>
                <w:lang w:eastAsia="en-AU"/>
              </w:rPr>
            </w:pPr>
          </w:p>
        </w:tc>
      </w:tr>
      <w:tr w:rsidR="008A23AB" w:rsidRPr="00976DE1" w14:paraId="76B4B005" w14:textId="77777777" w:rsidTr="0004564D">
        <w:trPr>
          <w:cantSplit/>
          <w:trHeight w:val="45"/>
        </w:trPr>
        <w:tc>
          <w:tcPr>
            <w:tcW w:w="1561" w:type="dxa"/>
            <w:tcBorders>
              <w:left w:val="single" w:sz="2" w:space="0" w:color="auto"/>
              <w:right w:val="single" w:sz="2" w:space="0" w:color="auto"/>
            </w:tcBorders>
          </w:tcPr>
          <w:p w14:paraId="344AD59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5F005DA" w14:textId="258D27A9" w:rsidR="008A23AB" w:rsidRPr="00FA0C47" w:rsidRDefault="008A23AB" w:rsidP="006A75E5">
            <w:pPr>
              <w:jc w:val="both"/>
              <w:rPr>
                <w:bCs/>
                <w:sz w:val="18"/>
                <w:szCs w:val="18"/>
                <w:lang w:eastAsia="en-AU"/>
              </w:rPr>
            </w:pPr>
            <w:r w:rsidRPr="00FA0C47">
              <w:rPr>
                <w:sz w:val="18"/>
                <w:szCs w:val="18"/>
                <w:lang w:eastAsia="en-AU"/>
              </w:rPr>
              <w:t xml:space="preserve">Non-Current </w:t>
            </w:r>
            <w:r w:rsidR="00640BD8" w:rsidRPr="00FA0C47">
              <w:rPr>
                <w:sz w:val="18"/>
                <w:szCs w:val="18"/>
                <w:lang w:eastAsia="en-AU"/>
              </w:rPr>
              <w:t>Borrowings</w:t>
            </w:r>
          </w:p>
        </w:tc>
        <w:tc>
          <w:tcPr>
            <w:tcW w:w="1136" w:type="dxa"/>
            <w:shd w:val="clear" w:color="auto" w:fill="auto"/>
          </w:tcPr>
          <w:p w14:paraId="541D3E6E" w14:textId="5FD3EF98" w:rsidR="008A23AB" w:rsidRPr="000E5C59" w:rsidRDefault="000E5C59" w:rsidP="003F3927">
            <w:pPr>
              <w:jc w:val="center"/>
              <w:rPr>
                <w:color w:val="FF0000"/>
                <w:sz w:val="18"/>
                <w:szCs w:val="18"/>
                <w:lang w:eastAsia="en-AU"/>
              </w:rPr>
            </w:pPr>
            <w:r w:rsidRPr="000E5C59">
              <w:rPr>
                <w:color w:val="FF0000"/>
                <w:sz w:val="18"/>
                <w:szCs w:val="18"/>
                <w:lang w:eastAsia="en-AU"/>
              </w:rPr>
              <w:t xml:space="preserve">11 </w:t>
            </w:r>
            <w:r w:rsidR="008A23AB" w:rsidRPr="000E5C59">
              <w:rPr>
                <w:strike/>
                <w:color w:val="FF0000"/>
                <w:sz w:val="18"/>
                <w:szCs w:val="18"/>
                <w:lang w:eastAsia="en-AU"/>
              </w:rPr>
              <w:t>12</w:t>
            </w:r>
          </w:p>
        </w:tc>
        <w:tc>
          <w:tcPr>
            <w:tcW w:w="852" w:type="dxa"/>
            <w:gridSpan w:val="2"/>
          </w:tcPr>
          <w:p w14:paraId="11C49F23"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00F0F1AF" w14:textId="484ECABD"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36747362"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C7B41E8" w14:textId="77777777" w:rsidR="008A23AB" w:rsidRPr="00FA0C47" w:rsidRDefault="008A23AB" w:rsidP="006A75E5">
            <w:pPr>
              <w:jc w:val="right"/>
              <w:rPr>
                <w:b/>
                <w:bCs/>
                <w:sz w:val="18"/>
                <w:szCs w:val="18"/>
                <w:lang w:eastAsia="en-AU"/>
              </w:rPr>
            </w:pPr>
          </w:p>
        </w:tc>
      </w:tr>
      <w:tr w:rsidR="008A23AB" w:rsidRPr="00976DE1" w14:paraId="4E530DD7" w14:textId="77777777" w:rsidTr="0004564D">
        <w:trPr>
          <w:cantSplit/>
          <w:trHeight w:val="45"/>
        </w:trPr>
        <w:tc>
          <w:tcPr>
            <w:tcW w:w="1561" w:type="dxa"/>
            <w:tcBorders>
              <w:left w:val="single" w:sz="2" w:space="0" w:color="auto"/>
              <w:right w:val="single" w:sz="2" w:space="0" w:color="auto"/>
            </w:tcBorders>
          </w:tcPr>
          <w:p w14:paraId="78E724F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682EBE7" w14:textId="00D3CCB5" w:rsidR="008A23AB" w:rsidRPr="00FA0C47" w:rsidRDefault="008A23AB" w:rsidP="006A75E5">
            <w:pPr>
              <w:jc w:val="both"/>
              <w:rPr>
                <w:bCs/>
                <w:sz w:val="18"/>
                <w:szCs w:val="18"/>
                <w:lang w:eastAsia="en-AU"/>
              </w:rPr>
            </w:pPr>
            <w:r w:rsidRPr="00FA0C47">
              <w:rPr>
                <w:sz w:val="18"/>
                <w:szCs w:val="18"/>
                <w:lang w:eastAsia="en-AU"/>
              </w:rPr>
              <w:t>Non-Current Lease</w:t>
            </w:r>
            <w:r w:rsidR="00BA6793" w:rsidRPr="00FA0C47">
              <w:rPr>
                <w:sz w:val="18"/>
                <w:szCs w:val="18"/>
                <w:lang w:eastAsia="en-AU"/>
              </w:rPr>
              <w:t xml:space="preserve"> Liabilities</w:t>
            </w:r>
          </w:p>
        </w:tc>
        <w:tc>
          <w:tcPr>
            <w:tcW w:w="1136" w:type="dxa"/>
            <w:shd w:val="clear" w:color="auto" w:fill="auto"/>
          </w:tcPr>
          <w:p w14:paraId="77A0EFA1" w14:textId="609B8BBC" w:rsidR="008A23AB" w:rsidRPr="000E5C59" w:rsidRDefault="000E5C59" w:rsidP="003F3927">
            <w:pPr>
              <w:jc w:val="center"/>
              <w:rPr>
                <w:color w:val="FF0000"/>
                <w:sz w:val="18"/>
                <w:szCs w:val="18"/>
                <w:lang w:eastAsia="en-AU"/>
              </w:rPr>
            </w:pPr>
            <w:r w:rsidRPr="000E5C59">
              <w:rPr>
                <w:color w:val="FF0000"/>
                <w:sz w:val="18"/>
                <w:szCs w:val="18"/>
                <w:lang w:eastAsia="en-AU"/>
              </w:rPr>
              <w:t xml:space="preserve">12 </w:t>
            </w:r>
            <w:r w:rsidR="008A23AB" w:rsidRPr="000E5C59">
              <w:rPr>
                <w:strike/>
                <w:color w:val="FF0000"/>
                <w:sz w:val="18"/>
                <w:szCs w:val="18"/>
                <w:lang w:eastAsia="en-AU"/>
              </w:rPr>
              <w:t>13</w:t>
            </w:r>
          </w:p>
        </w:tc>
        <w:tc>
          <w:tcPr>
            <w:tcW w:w="852" w:type="dxa"/>
            <w:gridSpan w:val="2"/>
          </w:tcPr>
          <w:p w14:paraId="5AA48F50"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415F736" w14:textId="3F19C4ED" w:rsidR="008A23AB" w:rsidRPr="00FA0C47" w:rsidRDefault="008A23AB" w:rsidP="006A75E5">
            <w:pPr>
              <w:jc w:val="right"/>
              <w:rPr>
                <w:b/>
                <w:bCs/>
                <w:sz w:val="18"/>
                <w:szCs w:val="18"/>
                <w:lang w:eastAsia="en-AU"/>
              </w:rPr>
            </w:pPr>
          </w:p>
        </w:tc>
        <w:tc>
          <w:tcPr>
            <w:tcW w:w="1418" w:type="dxa"/>
            <w:gridSpan w:val="4"/>
            <w:shd w:val="clear" w:color="auto" w:fill="auto"/>
            <w:vAlign w:val="bottom"/>
          </w:tcPr>
          <w:p w14:paraId="09B9B90C"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4FCC086" w14:textId="77777777" w:rsidR="008A23AB" w:rsidRPr="00FA0C47" w:rsidRDefault="008A23AB" w:rsidP="006A75E5">
            <w:pPr>
              <w:jc w:val="right"/>
              <w:rPr>
                <w:b/>
                <w:bCs/>
                <w:sz w:val="18"/>
                <w:szCs w:val="18"/>
                <w:lang w:eastAsia="en-AU"/>
              </w:rPr>
            </w:pPr>
          </w:p>
        </w:tc>
      </w:tr>
    </w:tbl>
    <w:p w14:paraId="3A9B6037"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4105"/>
        <w:gridCol w:w="1136"/>
        <w:gridCol w:w="852"/>
        <w:gridCol w:w="850"/>
        <w:gridCol w:w="996"/>
        <w:gridCol w:w="992"/>
      </w:tblGrid>
      <w:tr w:rsidR="000A1EDA" w:rsidRPr="00976DE1" w14:paraId="7A9AB092" w14:textId="77777777" w:rsidTr="00AF4715">
        <w:trPr>
          <w:cantSplit/>
          <w:trHeight w:val="23"/>
        </w:trPr>
        <w:tc>
          <w:tcPr>
            <w:tcW w:w="1561" w:type="dxa"/>
            <w:tcBorders>
              <w:left w:val="single" w:sz="2" w:space="0" w:color="auto"/>
              <w:right w:val="single" w:sz="2" w:space="0" w:color="auto"/>
            </w:tcBorders>
          </w:tcPr>
          <w:p w14:paraId="19BD917D" w14:textId="02A4DD7C" w:rsidR="000A1EDA" w:rsidRPr="00FA0C47" w:rsidRDefault="000A1EDA" w:rsidP="00AF4715">
            <w:pPr>
              <w:pStyle w:val="TableReference"/>
              <w:tabs>
                <w:tab w:val="left" w:pos="3306"/>
              </w:tabs>
              <w:spacing w:before="240" w:after="240"/>
              <w:rPr>
                <w:rFonts w:cs="Calibri"/>
                <w:b/>
                <w:color w:val="7030A0"/>
                <w:sz w:val="22"/>
                <w:szCs w:val="22"/>
              </w:rPr>
            </w:pPr>
            <w:r w:rsidRPr="00FA0C47">
              <w:rPr>
                <w:rFonts w:cs="Calibri"/>
                <w:b/>
                <w:color w:val="7030A0"/>
                <w:sz w:val="22"/>
                <w:szCs w:val="22"/>
              </w:rPr>
              <w:t>Reference</w:t>
            </w:r>
          </w:p>
        </w:tc>
        <w:tc>
          <w:tcPr>
            <w:tcW w:w="8931" w:type="dxa"/>
            <w:gridSpan w:val="6"/>
            <w:tcBorders>
              <w:left w:val="single" w:sz="2" w:space="0" w:color="auto"/>
            </w:tcBorders>
            <w:shd w:val="clear" w:color="auto" w:fill="auto"/>
          </w:tcPr>
          <w:p w14:paraId="188327CD" w14:textId="069E729A" w:rsidR="000A1EDA" w:rsidRPr="00FA0C47" w:rsidRDefault="000A1EDA" w:rsidP="00AF4715">
            <w:pPr>
              <w:pStyle w:val="Heading1"/>
              <w:numPr>
                <w:ilvl w:val="0"/>
                <w:numId w:val="0"/>
              </w:numPr>
              <w:ind w:left="1134" w:hanging="1134"/>
            </w:pPr>
            <w:bookmarkStart w:id="898" w:name="_Toc98763183"/>
            <w:bookmarkStart w:id="899" w:name="_Toc127733884"/>
            <w:bookmarkStart w:id="900" w:name="_Toc131164537"/>
            <w:bookmarkStart w:id="901" w:name="_Toc131591802"/>
            <w:bookmarkStart w:id="902" w:name="_Toc132743836"/>
            <w:r w:rsidRPr="00FA0C47">
              <w:t>Note 40.</w:t>
            </w:r>
            <w:r>
              <w:t xml:space="preserve"> </w:t>
            </w:r>
            <w:r w:rsidRPr="00FA0C47">
              <w:t xml:space="preserve"> Budgetary Reporting</w:t>
            </w:r>
            <w:r>
              <w:t xml:space="preserve"> – Continued</w:t>
            </w:r>
            <w:bookmarkEnd w:id="898"/>
            <w:bookmarkEnd w:id="899"/>
            <w:bookmarkEnd w:id="900"/>
            <w:bookmarkEnd w:id="901"/>
            <w:bookmarkEnd w:id="902"/>
            <w:r>
              <w:t xml:space="preserve"> </w:t>
            </w:r>
          </w:p>
        </w:tc>
      </w:tr>
      <w:tr w:rsidR="00BB62BB" w:rsidRPr="00976DE1" w14:paraId="0E8100C6" w14:textId="77777777" w:rsidTr="0004564D">
        <w:trPr>
          <w:cantSplit/>
          <w:trHeight w:val="45"/>
        </w:trPr>
        <w:tc>
          <w:tcPr>
            <w:tcW w:w="1561" w:type="dxa"/>
            <w:tcBorders>
              <w:left w:val="single" w:sz="2" w:space="0" w:color="auto"/>
              <w:right w:val="single" w:sz="2" w:space="0" w:color="auto"/>
            </w:tcBorders>
          </w:tcPr>
          <w:p w14:paraId="6D18C67E" w14:textId="66E00136" w:rsidR="00BB62BB" w:rsidRPr="00FA0C47" w:rsidRDefault="00BB62B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4500FF6" w14:textId="260B8DF3" w:rsidR="00BB62BB" w:rsidRPr="00FA0C47" w:rsidRDefault="00BB62BB" w:rsidP="00BB62BB">
            <w:pPr>
              <w:rPr>
                <w:b/>
                <w:bCs/>
                <w:sz w:val="18"/>
                <w:szCs w:val="18"/>
              </w:rPr>
            </w:pPr>
            <w:r w:rsidRPr="00FA0C47">
              <w:rPr>
                <w:b/>
                <w:sz w:val="18"/>
                <w:szCs w:val="18"/>
                <w:lang w:eastAsia="en-AU"/>
              </w:rPr>
              <w:t>Variance Explanations</w:t>
            </w:r>
          </w:p>
        </w:tc>
      </w:tr>
      <w:tr w:rsidR="008A23AB" w:rsidRPr="00976DE1" w14:paraId="354B4354" w14:textId="7195D044" w:rsidTr="0004564D">
        <w:trPr>
          <w:cantSplit/>
          <w:trHeight w:val="45"/>
        </w:trPr>
        <w:tc>
          <w:tcPr>
            <w:tcW w:w="1561" w:type="dxa"/>
            <w:tcBorders>
              <w:left w:val="single" w:sz="2" w:space="0" w:color="auto"/>
              <w:right w:val="single" w:sz="2" w:space="0" w:color="auto"/>
            </w:tcBorders>
          </w:tcPr>
          <w:p w14:paraId="5A74B80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59B63AB" w14:textId="76CC0ECB"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404CF03" w14:textId="5B096BC1" w:rsidTr="0004564D">
        <w:trPr>
          <w:cantSplit/>
          <w:trHeight w:val="45"/>
        </w:trPr>
        <w:tc>
          <w:tcPr>
            <w:tcW w:w="1561" w:type="dxa"/>
            <w:tcBorders>
              <w:left w:val="single" w:sz="2" w:space="0" w:color="auto"/>
              <w:right w:val="single" w:sz="2" w:space="0" w:color="auto"/>
            </w:tcBorders>
          </w:tcPr>
          <w:p w14:paraId="750F6E58"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C0918AE" w14:textId="5416AA9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5FECE606" w14:textId="713F07F4" w:rsidTr="0004564D">
        <w:trPr>
          <w:cantSplit/>
          <w:trHeight w:val="45"/>
        </w:trPr>
        <w:tc>
          <w:tcPr>
            <w:tcW w:w="1561" w:type="dxa"/>
            <w:tcBorders>
              <w:left w:val="single" w:sz="2" w:space="0" w:color="auto"/>
              <w:right w:val="single" w:sz="2" w:space="0" w:color="auto"/>
            </w:tcBorders>
          </w:tcPr>
          <w:p w14:paraId="76B81D4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0491D12" w14:textId="049BAFDD"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1DAC6C56" w14:textId="0394DAE0" w:rsidTr="0004564D">
        <w:trPr>
          <w:cantSplit/>
          <w:trHeight w:val="45"/>
        </w:trPr>
        <w:tc>
          <w:tcPr>
            <w:tcW w:w="1561" w:type="dxa"/>
            <w:tcBorders>
              <w:left w:val="single" w:sz="2" w:space="0" w:color="auto"/>
              <w:right w:val="single" w:sz="2" w:space="0" w:color="auto"/>
            </w:tcBorders>
          </w:tcPr>
          <w:p w14:paraId="47F82E2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0E6103" w14:textId="63B6638F"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73A2866C" w14:textId="3671DD83" w:rsidTr="0004564D">
        <w:trPr>
          <w:cantSplit/>
          <w:trHeight w:val="45"/>
        </w:trPr>
        <w:tc>
          <w:tcPr>
            <w:tcW w:w="1561" w:type="dxa"/>
            <w:tcBorders>
              <w:left w:val="single" w:sz="2" w:space="0" w:color="auto"/>
              <w:right w:val="single" w:sz="2" w:space="0" w:color="auto"/>
            </w:tcBorders>
          </w:tcPr>
          <w:p w14:paraId="51AD5731"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F6C9A6" w14:textId="67166094"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0DB7B6CF" w14:textId="77777777" w:rsidTr="0004564D">
        <w:trPr>
          <w:cantSplit/>
          <w:trHeight w:val="45"/>
        </w:trPr>
        <w:tc>
          <w:tcPr>
            <w:tcW w:w="1561" w:type="dxa"/>
            <w:tcBorders>
              <w:left w:val="single" w:sz="2" w:space="0" w:color="auto"/>
              <w:right w:val="single" w:sz="2" w:space="0" w:color="auto"/>
            </w:tcBorders>
          </w:tcPr>
          <w:p w14:paraId="0E6A95B5"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29FDEE9D" w14:textId="608402B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50D392C1" w14:textId="77777777" w:rsidTr="0004564D">
        <w:trPr>
          <w:cantSplit/>
          <w:trHeight w:val="45"/>
        </w:trPr>
        <w:tc>
          <w:tcPr>
            <w:tcW w:w="1561" w:type="dxa"/>
            <w:tcBorders>
              <w:left w:val="single" w:sz="2" w:space="0" w:color="auto"/>
              <w:right w:val="single" w:sz="2" w:space="0" w:color="auto"/>
            </w:tcBorders>
          </w:tcPr>
          <w:p w14:paraId="6DEB23DC"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0CBADB3" w14:textId="4369882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181CFF1D" w14:textId="77777777" w:rsidTr="0004564D">
        <w:trPr>
          <w:cantSplit/>
          <w:trHeight w:val="45"/>
        </w:trPr>
        <w:tc>
          <w:tcPr>
            <w:tcW w:w="1561" w:type="dxa"/>
            <w:tcBorders>
              <w:left w:val="single" w:sz="2" w:space="0" w:color="auto"/>
              <w:right w:val="single" w:sz="2" w:space="0" w:color="auto"/>
            </w:tcBorders>
          </w:tcPr>
          <w:p w14:paraId="7E96A9B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4F9396D" w14:textId="429990FE"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B15473C" w14:textId="77777777" w:rsidTr="0004564D">
        <w:trPr>
          <w:cantSplit/>
          <w:trHeight w:val="45"/>
        </w:trPr>
        <w:tc>
          <w:tcPr>
            <w:tcW w:w="1561" w:type="dxa"/>
            <w:tcBorders>
              <w:left w:val="single" w:sz="2" w:space="0" w:color="auto"/>
              <w:right w:val="single" w:sz="2" w:space="0" w:color="auto"/>
            </w:tcBorders>
          </w:tcPr>
          <w:p w14:paraId="7485CF1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C678990" w14:textId="185C4308"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9499D52" w14:textId="77777777" w:rsidTr="0004564D">
        <w:trPr>
          <w:cantSplit/>
          <w:trHeight w:val="45"/>
        </w:trPr>
        <w:tc>
          <w:tcPr>
            <w:tcW w:w="1561" w:type="dxa"/>
            <w:tcBorders>
              <w:left w:val="single" w:sz="2" w:space="0" w:color="auto"/>
              <w:right w:val="single" w:sz="2" w:space="0" w:color="auto"/>
            </w:tcBorders>
          </w:tcPr>
          <w:p w14:paraId="3E39FCFE"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1AB7238" w14:textId="26844CD2" w:rsidR="008A23AB" w:rsidRPr="00005188" w:rsidRDefault="008A23AB" w:rsidP="00CB31DE">
            <w:pPr>
              <w:pStyle w:val="ListParagraph"/>
              <w:numPr>
                <w:ilvl w:val="0"/>
                <w:numId w:val="68"/>
              </w:numPr>
              <w:rPr>
                <w:b/>
                <w:bCs/>
                <w:strike/>
                <w:sz w:val="18"/>
                <w:szCs w:val="18"/>
              </w:rPr>
            </w:pPr>
            <w:r w:rsidRPr="00D239F9">
              <w:rPr>
                <w:strike/>
                <w:color w:val="FF0000"/>
                <w:sz w:val="18"/>
                <w:szCs w:val="18"/>
                <w:lang w:eastAsia="en-AU"/>
              </w:rPr>
              <w:t>[Insert major variance explanation]</w:t>
            </w:r>
          </w:p>
        </w:tc>
      </w:tr>
      <w:tr w:rsidR="008A23AB" w:rsidRPr="00976DE1" w14:paraId="072CE55B" w14:textId="77777777" w:rsidTr="0004564D">
        <w:trPr>
          <w:cantSplit/>
          <w:trHeight w:val="45"/>
        </w:trPr>
        <w:tc>
          <w:tcPr>
            <w:tcW w:w="1561" w:type="dxa"/>
            <w:tcBorders>
              <w:left w:val="single" w:sz="2" w:space="0" w:color="auto"/>
              <w:right w:val="single" w:sz="2" w:space="0" w:color="auto"/>
            </w:tcBorders>
          </w:tcPr>
          <w:p w14:paraId="12D1E81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9C073F3" w14:textId="77777777" w:rsidR="008A23AB" w:rsidRPr="00FA0C47" w:rsidRDefault="008A23AB" w:rsidP="005C2B4F">
            <w:pPr>
              <w:rPr>
                <w:b/>
                <w:bCs/>
                <w:sz w:val="18"/>
                <w:szCs w:val="18"/>
              </w:rPr>
            </w:pPr>
          </w:p>
        </w:tc>
      </w:tr>
      <w:tr w:rsidR="008A23AB" w:rsidRPr="00976DE1" w14:paraId="419813D3" w14:textId="77777777" w:rsidTr="0004564D">
        <w:trPr>
          <w:cantSplit/>
          <w:trHeight w:val="45"/>
        </w:trPr>
        <w:tc>
          <w:tcPr>
            <w:tcW w:w="1561" w:type="dxa"/>
            <w:tcBorders>
              <w:left w:val="single" w:sz="2" w:space="0" w:color="auto"/>
              <w:right w:val="single" w:sz="2" w:space="0" w:color="auto"/>
            </w:tcBorders>
          </w:tcPr>
          <w:p w14:paraId="4372902A"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D1173E7" w14:textId="2DDC7DA1" w:rsidR="008A23AB" w:rsidRPr="00FA0C47" w:rsidRDefault="008A23AB" w:rsidP="005C2B4F">
            <w:pPr>
              <w:rPr>
                <w:b/>
                <w:bCs/>
                <w:sz w:val="18"/>
                <w:szCs w:val="18"/>
              </w:rPr>
            </w:pPr>
            <w:r w:rsidRPr="00FA0C47">
              <w:rPr>
                <w:b/>
                <w:sz w:val="18"/>
                <w:szCs w:val="18"/>
              </w:rPr>
              <w:t>Statement of Changes in Equity</w:t>
            </w:r>
            <w:r w:rsidRPr="00FA0C47">
              <w:rPr>
                <w:sz w:val="18"/>
                <w:szCs w:val="18"/>
              </w:rPr>
              <w:t xml:space="preserve"> - these line items are covered in other financial statements</w:t>
            </w:r>
            <w:r w:rsidR="00005188">
              <w:rPr>
                <w:sz w:val="18"/>
                <w:szCs w:val="18"/>
              </w:rPr>
              <w:t>.</w:t>
            </w:r>
          </w:p>
        </w:tc>
      </w:tr>
      <w:tr w:rsidR="00FA0C47" w:rsidRPr="00FA0C47" w14:paraId="0D3DD758" w14:textId="77777777" w:rsidTr="0004564D">
        <w:trPr>
          <w:cantSplit/>
          <w:trHeight w:val="45"/>
        </w:trPr>
        <w:tc>
          <w:tcPr>
            <w:tcW w:w="1561" w:type="dxa"/>
            <w:tcBorders>
              <w:left w:val="single" w:sz="2" w:space="0" w:color="auto"/>
              <w:right w:val="single" w:sz="2" w:space="0" w:color="auto"/>
            </w:tcBorders>
          </w:tcPr>
          <w:p w14:paraId="17465CEF" w14:textId="77777777" w:rsidR="005C2B4F" w:rsidRPr="00FA0C47" w:rsidRDefault="005C2B4F"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67FC11" w14:textId="77777777" w:rsidR="005C2B4F" w:rsidRPr="00FA0C47" w:rsidRDefault="005C2B4F" w:rsidP="005C2B4F">
            <w:pPr>
              <w:rPr>
                <w:b/>
                <w:bCs/>
                <w:sz w:val="18"/>
                <w:szCs w:val="18"/>
              </w:rPr>
            </w:pPr>
          </w:p>
        </w:tc>
      </w:tr>
      <w:tr w:rsidR="003F3927" w:rsidRPr="00976DE1" w14:paraId="1F432D9B" w14:textId="77777777" w:rsidTr="0004564D">
        <w:trPr>
          <w:cantSplit/>
          <w:trHeight w:val="45"/>
        </w:trPr>
        <w:tc>
          <w:tcPr>
            <w:tcW w:w="1561" w:type="dxa"/>
            <w:tcBorders>
              <w:left w:val="single" w:sz="2" w:space="0" w:color="auto"/>
              <w:right w:val="single" w:sz="2" w:space="0" w:color="auto"/>
            </w:tcBorders>
          </w:tcPr>
          <w:p w14:paraId="779FE7C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C8BA1EC" w14:textId="730BDE2B" w:rsidR="003F3927" w:rsidRPr="00FA0C47" w:rsidRDefault="003F3927" w:rsidP="003F3927">
            <w:pPr>
              <w:jc w:val="both"/>
              <w:rPr>
                <w:bCs/>
                <w:sz w:val="18"/>
                <w:szCs w:val="18"/>
                <w:lang w:eastAsia="en-AU"/>
              </w:rPr>
            </w:pPr>
          </w:p>
        </w:tc>
        <w:tc>
          <w:tcPr>
            <w:tcW w:w="1136" w:type="dxa"/>
          </w:tcPr>
          <w:p w14:paraId="51FC665A" w14:textId="77777777" w:rsidR="003F3927" w:rsidRPr="00FA0C47" w:rsidRDefault="003F3927" w:rsidP="003F3927">
            <w:pPr>
              <w:jc w:val="center"/>
              <w:rPr>
                <w:b/>
                <w:bCs/>
                <w:sz w:val="18"/>
                <w:szCs w:val="18"/>
                <w:lang w:eastAsia="en-AU"/>
              </w:rPr>
            </w:pPr>
            <w:r w:rsidRPr="00FA0C47">
              <w:rPr>
                <w:b/>
                <w:bCs/>
                <w:sz w:val="18"/>
                <w:szCs w:val="18"/>
                <w:lang w:eastAsia="en-AU"/>
              </w:rPr>
              <w:t>Variance Explanation</w:t>
            </w:r>
          </w:p>
          <w:p w14:paraId="0287702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23CFB27A" w14:textId="14F93DA3" w:rsidR="003F3927" w:rsidRPr="00FA0C47" w:rsidRDefault="003F3927" w:rsidP="003F3927">
            <w:pPr>
              <w:jc w:val="right"/>
              <w:rPr>
                <w:b/>
                <w:bCs/>
                <w:sz w:val="18"/>
                <w:szCs w:val="18"/>
                <w:lang w:eastAsia="en-AU"/>
              </w:rPr>
            </w:pPr>
            <w:r w:rsidRPr="00FA0C47">
              <w:rPr>
                <w:b/>
                <w:bCs/>
                <w:sz w:val="18"/>
                <w:szCs w:val="18"/>
                <w:lang w:eastAsia="en-AU"/>
              </w:rPr>
              <w:t>Actual 202</w:t>
            </w:r>
            <w:r w:rsidR="00687D08">
              <w:rPr>
                <w:b/>
                <w:bCs/>
                <w:sz w:val="18"/>
                <w:szCs w:val="18"/>
                <w:lang w:eastAsia="en-AU"/>
              </w:rPr>
              <w:t>3</w:t>
            </w:r>
          </w:p>
        </w:tc>
        <w:tc>
          <w:tcPr>
            <w:tcW w:w="850" w:type="dxa"/>
            <w:shd w:val="clear" w:color="auto" w:fill="auto"/>
            <w:vAlign w:val="bottom"/>
          </w:tcPr>
          <w:p w14:paraId="71FEC0B1" w14:textId="75E1AB32" w:rsidR="003F3927" w:rsidRPr="00D239F9" w:rsidRDefault="003F3927" w:rsidP="003F3927">
            <w:pPr>
              <w:jc w:val="right"/>
              <w:rPr>
                <w:b/>
                <w:bCs/>
                <w:sz w:val="18"/>
                <w:szCs w:val="18"/>
                <w:lang w:eastAsia="en-AU"/>
              </w:rPr>
            </w:pPr>
            <w:r w:rsidRPr="00D239F9">
              <w:rPr>
                <w:b/>
                <w:bCs/>
                <w:sz w:val="18"/>
                <w:szCs w:val="18"/>
                <w:lang w:eastAsia="en-AU"/>
              </w:rPr>
              <w:t>Original Budget</w:t>
            </w:r>
            <w:r w:rsidRPr="00D239F9">
              <w:rPr>
                <w:strike/>
                <w:color w:val="FF0000"/>
                <w:sz w:val="18"/>
                <w:szCs w:val="18"/>
                <w:vertAlign w:val="superscript"/>
                <w:lang w:eastAsia="en-AU"/>
              </w:rPr>
              <w:t>1</w:t>
            </w:r>
            <w:r w:rsidRPr="00D239F9">
              <w:rPr>
                <w:sz w:val="18"/>
                <w:szCs w:val="18"/>
                <w:vertAlign w:val="superscript"/>
                <w:lang w:eastAsia="en-AU"/>
              </w:rPr>
              <w:t xml:space="preserve"> </w:t>
            </w:r>
            <w:r w:rsidRPr="00D239F9">
              <w:rPr>
                <w:b/>
                <w:bCs/>
                <w:sz w:val="18"/>
                <w:szCs w:val="18"/>
                <w:lang w:eastAsia="en-AU"/>
              </w:rPr>
              <w:t>202</w:t>
            </w:r>
            <w:r w:rsidR="00687D08" w:rsidRPr="00D239F9">
              <w:rPr>
                <w:b/>
                <w:bCs/>
                <w:sz w:val="18"/>
                <w:szCs w:val="18"/>
                <w:lang w:eastAsia="en-AU"/>
              </w:rPr>
              <w:t>3</w:t>
            </w:r>
          </w:p>
        </w:tc>
        <w:tc>
          <w:tcPr>
            <w:tcW w:w="996" w:type="dxa"/>
            <w:shd w:val="clear" w:color="auto" w:fill="auto"/>
            <w:vAlign w:val="bottom"/>
          </w:tcPr>
          <w:p w14:paraId="5533465A" w14:textId="64E1B84B" w:rsidR="003F3927" w:rsidRPr="00D239F9" w:rsidRDefault="003F3927" w:rsidP="003F3927">
            <w:pPr>
              <w:jc w:val="right"/>
              <w:rPr>
                <w:b/>
                <w:bCs/>
                <w:sz w:val="18"/>
                <w:szCs w:val="18"/>
                <w:lang w:eastAsia="en-AU"/>
              </w:rPr>
            </w:pPr>
            <w:r w:rsidRPr="00D239F9">
              <w:rPr>
                <w:b/>
                <w:bCs/>
                <w:sz w:val="18"/>
                <w:szCs w:val="18"/>
                <w:lang w:eastAsia="en-AU"/>
              </w:rPr>
              <w:t>Variance</w:t>
            </w:r>
          </w:p>
        </w:tc>
        <w:tc>
          <w:tcPr>
            <w:tcW w:w="992" w:type="dxa"/>
            <w:shd w:val="clear" w:color="auto" w:fill="auto"/>
            <w:vAlign w:val="bottom"/>
          </w:tcPr>
          <w:p w14:paraId="2B1ED4DF" w14:textId="42680F4E" w:rsidR="003F3927" w:rsidRPr="00FA0C47" w:rsidRDefault="003F3927" w:rsidP="003F3927">
            <w:pPr>
              <w:jc w:val="right"/>
              <w:rPr>
                <w:b/>
                <w:bCs/>
                <w:sz w:val="18"/>
                <w:szCs w:val="18"/>
                <w:lang w:eastAsia="en-AU"/>
              </w:rPr>
            </w:pPr>
            <w:r w:rsidRPr="00FA0C47">
              <w:rPr>
                <w:b/>
                <w:bCs/>
                <w:sz w:val="18"/>
                <w:szCs w:val="18"/>
                <w:lang w:eastAsia="en-AU"/>
              </w:rPr>
              <w:t>Variance</w:t>
            </w:r>
          </w:p>
        </w:tc>
      </w:tr>
      <w:tr w:rsidR="003F3927" w:rsidRPr="00976DE1" w14:paraId="32437969" w14:textId="77777777" w:rsidTr="0004564D">
        <w:trPr>
          <w:cantSplit/>
          <w:trHeight w:val="45"/>
        </w:trPr>
        <w:tc>
          <w:tcPr>
            <w:tcW w:w="1561" w:type="dxa"/>
            <w:tcBorders>
              <w:left w:val="single" w:sz="2" w:space="0" w:color="auto"/>
              <w:right w:val="single" w:sz="2" w:space="0" w:color="auto"/>
            </w:tcBorders>
          </w:tcPr>
          <w:p w14:paraId="3C4C464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531ACDF" w14:textId="77777777" w:rsidR="003F3927" w:rsidRPr="00FA0C47" w:rsidRDefault="003F3927" w:rsidP="003F3927">
            <w:pPr>
              <w:jc w:val="both"/>
              <w:rPr>
                <w:b/>
                <w:bCs/>
                <w:sz w:val="18"/>
                <w:szCs w:val="18"/>
                <w:lang w:eastAsia="en-AU"/>
              </w:rPr>
            </w:pPr>
          </w:p>
        </w:tc>
        <w:tc>
          <w:tcPr>
            <w:tcW w:w="1136" w:type="dxa"/>
          </w:tcPr>
          <w:p w14:paraId="3E0BFDC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DC1C9FD" w14:textId="20E64C5B" w:rsidR="003F3927" w:rsidRPr="00FA0C47" w:rsidRDefault="003F3927" w:rsidP="003F3927">
            <w:pPr>
              <w:jc w:val="right"/>
              <w:rPr>
                <w:b/>
                <w:bCs/>
                <w:sz w:val="18"/>
                <w:szCs w:val="18"/>
                <w:lang w:eastAsia="en-AU"/>
              </w:rPr>
            </w:pPr>
            <w:r w:rsidRPr="00FA0C47">
              <w:rPr>
                <w:b/>
                <w:bCs/>
                <w:sz w:val="18"/>
                <w:szCs w:val="18"/>
                <w:lang w:eastAsia="en-AU"/>
              </w:rPr>
              <w:t>$’000</w:t>
            </w:r>
          </w:p>
        </w:tc>
        <w:tc>
          <w:tcPr>
            <w:tcW w:w="850" w:type="dxa"/>
            <w:shd w:val="clear" w:color="auto" w:fill="auto"/>
            <w:vAlign w:val="bottom"/>
          </w:tcPr>
          <w:p w14:paraId="3E6EED17" w14:textId="47EAB80B" w:rsidR="003F3927" w:rsidRPr="00FA0C47" w:rsidRDefault="003F3927" w:rsidP="003F3927">
            <w:pPr>
              <w:jc w:val="right"/>
              <w:rPr>
                <w:b/>
                <w:bCs/>
                <w:sz w:val="18"/>
                <w:szCs w:val="18"/>
                <w:lang w:eastAsia="en-AU"/>
              </w:rPr>
            </w:pPr>
            <w:r w:rsidRPr="00FA0C47">
              <w:rPr>
                <w:b/>
                <w:bCs/>
                <w:sz w:val="18"/>
                <w:szCs w:val="18"/>
                <w:lang w:eastAsia="en-AU"/>
              </w:rPr>
              <w:t>$’000</w:t>
            </w:r>
          </w:p>
        </w:tc>
        <w:tc>
          <w:tcPr>
            <w:tcW w:w="996" w:type="dxa"/>
            <w:shd w:val="clear" w:color="auto" w:fill="auto"/>
            <w:vAlign w:val="bottom"/>
          </w:tcPr>
          <w:p w14:paraId="408A60B3" w14:textId="5B17DF92" w:rsidR="003F3927" w:rsidRPr="00FA0C47" w:rsidRDefault="003F3927" w:rsidP="003F3927">
            <w:pPr>
              <w:jc w:val="right"/>
              <w:rPr>
                <w:b/>
                <w:bCs/>
                <w:sz w:val="18"/>
                <w:szCs w:val="18"/>
                <w:lang w:eastAsia="en-AU"/>
              </w:rPr>
            </w:pPr>
            <w:r w:rsidRPr="00FA0C47">
              <w:rPr>
                <w:b/>
                <w:bCs/>
                <w:sz w:val="18"/>
                <w:szCs w:val="18"/>
                <w:lang w:eastAsia="en-AU"/>
              </w:rPr>
              <w:t>$’000</w:t>
            </w:r>
          </w:p>
        </w:tc>
        <w:tc>
          <w:tcPr>
            <w:tcW w:w="992" w:type="dxa"/>
            <w:shd w:val="clear" w:color="auto" w:fill="auto"/>
            <w:vAlign w:val="bottom"/>
          </w:tcPr>
          <w:p w14:paraId="17AC8899" w14:textId="1840CB14" w:rsidR="003F3927" w:rsidRPr="00FA0C47" w:rsidRDefault="003F3927" w:rsidP="003F3927">
            <w:pPr>
              <w:jc w:val="right"/>
              <w:rPr>
                <w:b/>
                <w:bCs/>
                <w:sz w:val="18"/>
                <w:szCs w:val="18"/>
                <w:lang w:eastAsia="en-AU"/>
              </w:rPr>
            </w:pPr>
            <w:r w:rsidRPr="00FA0C47">
              <w:rPr>
                <w:b/>
                <w:bCs/>
                <w:sz w:val="18"/>
                <w:szCs w:val="18"/>
                <w:lang w:eastAsia="en-AU"/>
              </w:rPr>
              <w:t>%</w:t>
            </w:r>
          </w:p>
        </w:tc>
      </w:tr>
      <w:tr w:rsidR="003F3927" w:rsidRPr="00976DE1" w14:paraId="02173282" w14:textId="77777777" w:rsidTr="0004564D">
        <w:trPr>
          <w:cantSplit/>
          <w:trHeight w:val="45"/>
        </w:trPr>
        <w:tc>
          <w:tcPr>
            <w:tcW w:w="1561" w:type="dxa"/>
            <w:tcBorders>
              <w:left w:val="single" w:sz="2" w:space="0" w:color="auto"/>
              <w:right w:val="single" w:sz="2" w:space="0" w:color="auto"/>
            </w:tcBorders>
          </w:tcPr>
          <w:p w14:paraId="10912B2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C3103E8" w14:textId="2957034B" w:rsidR="003F3927" w:rsidRPr="00FA0C47" w:rsidRDefault="003F3927" w:rsidP="003F3927">
            <w:pPr>
              <w:spacing w:before="120"/>
              <w:jc w:val="both"/>
              <w:rPr>
                <w:b/>
                <w:bCs/>
                <w:sz w:val="18"/>
                <w:szCs w:val="18"/>
                <w:lang w:eastAsia="en-AU"/>
              </w:rPr>
            </w:pPr>
            <w:r w:rsidRPr="00FA0C47">
              <w:rPr>
                <w:b/>
                <w:bCs/>
                <w:sz w:val="18"/>
                <w:szCs w:val="18"/>
                <w:lang w:eastAsia="en-AU"/>
              </w:rPr>
              <w:t>Statement of Cash Flows Line Items</w:t>
            </w:r>
          </w:p>
        </w:tc>
        <w:tc>
          <w:tcPr>
            <w:tcW w:w="1136" w:type="dxa"/>
          </w:tcPr>
          <w:p w14:paraId="2130A35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F6FB079" w14:textId="6D13870B" w:rsidR="003F3927" w:rsidRPr="00FA0C47" w:rsidRDefault="003F3927" w:rsidP="003F3927">
            <w:pPr>
              <w:jc w:val="right"/>
              <w:rPr>
                <w:b/>
                <w:bCs/>
                <w:sz w:val="18"/>
                <w:szCs w:val="18"/>
                <w:lang w:eastAsia="en-AU"/>
              </w:rPr>
            </w:pPr>
          </w:p>
        </w:tc>
        <w:tc>
          <w:tcPr>
            <w:tcW w:w="850" w:type="dxa"/>
            <w:shd w:val="clear" w:color="auto" w:fill="auto"/>
            <w:vAlign w:val="bottom"/>
          </w:tcPr>
          <w:p w14:paraId="2AD1FFF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5554FF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38ED90A3" w14:textId="77777777" w:rsidR="003F3927" w:rsidRPr="00FA0C47" w:rsidRDefault="003F3927" w:rsidP="003F3927">
            <w:pPr>
              <w:jc w:val="right"/>
              <w:rPr>
                <w:b/>
                <w:bCs/>
                <w:sz w:val="18"/>
                <w:szCs w:val="18"/>
                <w:lang w:eastAsia="en-AU"/>
              </w:rPr>
            </w:pPr>
          </w:p>
        </w:tc>
      </w:tr>
      <w:tr w:rsidR="003F3927" w:rsidRPr="00976DE1" w14:paraId="46120530" w14:textId="77777777" w:rsidTr="0004564D">
        <w:trPr>
          <w:cantSplit/>
          <w:trHeight w:val="45"/>
        </w:trPr>
        <w:tc>
          <w:tcPr>
            <w:tcW w:w="1561" w:type="dxa"/>
            <w:tcBorders>
              <w:left w:val="single" w:sz="2" w:space="0" w:color="auto"/>
              <w:right w:val="single" w:sz="2" w:space="0" w:color="auto"/>
            </w:tcBorders>
          </w:tcPr>
          <w:p w14:paraId="49565771"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106561CC" w14:textId="4422BADE" w:rsidR="003F3927" w:rsidRPr="00FA0C47" w:rsidRDefault="003F3927" w:rsidP="003F3927">
            <w:pPr>
              <w:jc w:val="both"/>
              <w:rPr>
                <w:bCs/>
                <w:sz w:val="18"/>
                <w:szCs w:val="18"/>
                <w:lang w:eastAsia="en-AU"/>
              </w:rPr>
            </w:pPr>
            <w:r w:rsidRPr="00FA0C47">
              <w:rPr>
                <w:sz w:val="18"/>
                <w:szCs w:val="18"/>
                <w:lang w:eastAsia="en-AU"/>
              </w:rPr>
              <w:t>Proceeds from Sale of Property, Plant and Equipment</w:t>
            </w:r>
          </w:p>
        </w:tc>
        <w:tc>
          <w:tcPr>
            <w:tcW w:w="1136" w:type="dxa"/>
          </w:tcPr>
          <w:p w14:paraId="5B128EE2" w14:textId="3EB96673" w:rsidR="003F3927" w:rsidRPr="000E5C59" w:rsidRDefault="000E5C59" w:rsidP="003F3927">
            <w:pPr>
              <w:jc w:val="center"/>
              <w:rPr>
                <w:color w:val="FF0000"/>
                <w:sz w:val="18"/>
                <w:szCs w:val="18"/>
                <w:lang w:eastAsia="en-AU"/>
              </w:rPr>
            </w:pPr>
            <w:r w:rsidRPr="000E5C59">
              <w:rPr>
                <w:color w:val="FF0000"/>
                <w:sz w:val="18"/>
                <w:szCs w:val="18"/>
              </w:rPr>
              <w:t xml:space="preserve">13 </w:t>
            </w:r>
            <w:r w:rsidR="003F3927" w:rsidRPr="000E5C59">
              <w:rPr>
                <w:strike/>
                <w:color w:val="FF0000"/>
                <w:sz w:val="18"/>
                <w:szCs w:val="18"/>
              </w:rPr>
              <w:t>14</w:t>
            </w:r>
          </w:p>
        </w:tc>
        <w:tc>
          <w:tcPr>
            <w:tcW w:w="852" w:type="dxa"/>
            <w:shd w:val="clear" w:color="auto" w:fill="auto"/>
            <w:vAlign w:val="bottom"/>
          </w:tcPr>
          <w:p w14:paraId="1C657720" w14:textId="61F6FB46" w:rsidR="003F3927" w:rsidRPr="00FA0C47" w:rsidRDefault="003F3927" w:rsidP="003F3927">
            <w:pPr>
              <w:jc w:val="right"/>
              <w:rPr>
                <w:b/>
                <w:bCs/>
                <w:sz w:val="18"/>
                <w:szCs w:val="18"/>
                <w:lang w:eastAsia="en-AU"/>
              </w:rPr>
            </w:pPr>
          </w:p>
        </w:tc>
        <w:tc>
          <w:tcPr>
            <w:tcW w:w="850" w:type="dxa"/>
            <w:shd w:val="clear" w:color="auto" w:fill="auto"/>
            <w:vAlign w:val="bottom"/>
          </w:tcPr>
          <w:p w14:paraId="7B97B9F3" w14:textId="4C287A5A" w:rsidR="003F3927" w:rsidRPr="00FA0C47" w:rsidRDefault="003F3927" w:rsidP="003F3927">
            <w:pPr>
              <w:jc w:val="right"/>
              <w:rPr>
                <w:b/>
                <w:bCs/>
                <w:sz w:val="18"/>
                <w:szCs w:val="18"/>
                <w:lang w:eastAsia="en-AU"/>
              </w:rPr>
            </w:pPr>
          </w:p>
        </w:tc>
        <w:tc>
          <w:tcPr>
            <w:tcW w:w="996" w:type="dxa"/>
            <w:shd w:val="clear" w:color="auto" w:fill="auto"/>
            <w:vAlign w:val="bottom"/>
          </w:tcPr>
          <w:p w14:paraId="06C58961" w14:textId="0667E70F" w:rsidR="003F3927" w:rsidRPr="00FA0C47" w:rsidRDefault="003F3927" w:rsidP="003F3927">
            <w:pPr>
              <w:jc w:val="right"/>
              <w:rPr>
                <w:b/>
                <w:bCs/>
                <w:sz w:val="18"/>
                <w:szCs w:val="18"/>
                <w:lang w:eastAsia="en-AU"/>
              </w:rPr>
            </w:pPr>
          </w:p>
        </w:tc>
        <w:tc>
          <w:tcPr>
            <w:tcW w:w="992" w:type="dxa"/>
            <w:shd w:val="clear" w:color="auto" w:fill="auto"/>
            <w:vAlign w:val="bottom"/>
          </w:tcPr>
          <w:p w14:paraId="63340981" w14:textId="2FFD01F4" w:rsidR="003F3927" w:rsidRPr="00FA0C47" w:rsidRDefault="003F3927" w:rsidP="003F3927">
            <w:pPr>
              <w:jc w:val="right"/>
              <w:rPr>
                <w:b/>
                <w:bCs/>
                <w:sz w:val="18"/>
                <w:szCs w:val="18"/>
                <w:lang w:eastAsia="en-AU"/>
              </w:rPr>
            </w:pPr>
          </w:p>
        </w:tc>
      </w:tr>
      <w:tr w:rsidR="003F3927" w:rsidRPr="00976DE1" w14:paraId="20B0CF46" w14:textId="77777777" w:rsidTr="0004564D">
        <w:trPr>
          <w:cantSplit/>
          <w:trHeight w:val="45"/>
        </w:trPr>
        <w:tc>
          <w:tcPr>
            <w:tcW w:w="1561" w:type="dxa"/>
            <w:tcBorders>
              <w:left w:val="single" w:sz="2" w:space="0" w:color="auto"/>
              <w:right w:val="single" w:sz="2" w:space="0" w:color="auto"/>
            </w:tcBorders>
          </w:tcPr>
          <w:p w14:paraId="759A529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3C5FD78E" w14:textId="1413945E" w:rsidR="003F3927" w:rsidRPr="00FA0C47" w:rsidRDefault="003F3927" w:rsidP="003F3927">
            <w:pPr>
              <w:jc w:val="both"/>
              <w:rPr>
                <w:bCs/>
                <w:sz w:val="18"/>
                <w:szCs w:val="18"/>
                <w:lang w:eastAsia="en-AU"/>
              </w:rPr>
            </w:pPr>
            <w:r w:rsidRPr="00FA0C47">
              <w:rPr>
                <w:sz w:val="18"/>
                <w:szCs w:val="18"/>
                <w:lang w:eastAsia="en-AU"/>
              </w:rPr>
              <w:t>Proceeds from Sale/Maturity of Investments</w:t>
            </w:r>
          </w:p>
        </w:tc>
        <w:tc>
          <w:tcPr>
            <w:tcW w:w="1136" w:type="dxa"/>
          </w:tcPr>
          <w:p w14:paraId="149D7B7B" w14:textId="4A4CA79D" w:rsidR="003F3927" w:rsidRPr="000E5C59" w:rsidRDefault="000E5C59" w:rsidP="003F3927">
            <w:pPr>
              <w:jc w:val="center"/>
              <w:rPr>
                <w:color w:val="FF0000"/>
                <w:sz w:val="18"/>
                <w:szCs w:val="18"/>
                <w:lang w:eastAsia="en-AU"/>
              </w:rPr>
            </w:pPr>
            <w:r w:rsidRPr="000E5C59">
              <w:rPr>
                <w:color w:val="FF0000"/>
                <w:sz w:val="18"/>
                <w:szCs w:val="18"/>
              </w:rPr>
              <w:t xml:space="preserve">14 </w:t>
            </w:r>
            <w:r w:rsidR="003F3927" w:rsidRPr="000E5C59">
              <w:rPr>
                <w:strike/>
                <w:color w:val="FF0000"/>
                <w:sz w:val="18"/>
                <w:szCs w:val="18"/>
              </w:rPr>
              <w:t>15</w:t>
            </w:r>
          </w:p>
        </w:tc>
        <w:tc>
          <w:tcPr>
            <w:tcW w:w="852" w:type="dxa"/>
            <w:shd w:val="clear" w:color="auto" w:fill="auto"/>
            <w:vAlign w:val="bottom"/>
          </w:tcPr>
          <w:p w14:paraId="43DD34EF" w14:textId="720067DD" w:rsidR="003F3927" w:rsidRPr="00FA0C47" w:rsidRDefault="003F3927" w:rsidP="003F3927">
            <w:pPr>
              <w:jc w:val="right"/>
              <w:rPr>
                <w:b/>
                <w:bCs/>
                <w:sz w:val="18"/>
                <w:szCs w:val="18"/>
                <w:lang w:eastAsia="en-AU"/>
              </w:rPr>
            </w:pPr>
          </w:p>
        </w:tc>
        <w:tc>
          <w:tcPr>
            <w:tcW w:w="850" w:type="dxa"/>
            <w:shd w:val="clear" w:color="auto" w:fill="auto"/>
            <w:vAlign w:val="bottom"/>
          </w:tcPr>
          <w:p w14:paraId="1844803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6F71A64"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0BC3D74" w14:textId="77777777" w:rsidR="003F3927" w:rsidRPr="00FA0C47" w:rsidRDefault="003F3927" w:rsidP="003F3927">
            <w:pPr>
              <w:jc w:val="right"/>
              <w:rPr>
                <w:b/>
                <w:bCs/>
                <w:sz w:val="18"/>
                <w:szCs w:val="18"/>
                <w:lang w:eastAsia="en-AU"/>
              </w:rPr>
            </w:pPr>
          </w:p>
        </w:tc>
      </w:tr>
      <w:tr w:rsidR="003F3927" w:rsidRPr="00976DE1" w14:paraId="2062D2DB" w14:textId="77777777" w:rsidTr="0004564D">
        <w:trPr>
          <w:cantSplit/>
          <w:trHeight w:val="45"/>
        </w:trPr>
        <w:tc>
          <w:tcPr>
            <w:tcW w:w="1561" w:type="dxa"/>
            <w:tcBorders>
              <w:left w:val="single" w:sz="2" w:space="0" w:color="auto"/>
              <w:right w:val="single" w:sz="2" w:space="0" w:color="auto"/>
            </w:tcBorders>
          </w:tcPr>
          <w:p w14:paraId="6580200D"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F5A885B" w14:textId="0E67BC81" w:rsidR="003F3927" w:rsidRPr="00FA0C47" w:rsidRDefault="003F3927" w:rsidP="003F3927">
            <w:pPr>
              <w:jc w:val="both"/>
              <w:rPr>
                <w:bCs/>
                <w:sz w:val="18"/>
                <w:szCs w:val="18"/>
                <w:lang w:eastAsia="en-AU"/>
              </w:rPr>
            </w:pPr>
            <w:r w:rsidRPr="00FA0C47">
              <w:rPr>
                <w:sz w:val="18"/>
                <w:szCs w:val="18"/>
                <w:lang w:eastAsia="en-AU"/>
              </w:rPr>
              <w:t>Loan Receivable Repayment Received</w:t>
            </w:r>
          </w:p>
        </w:tc>
        <w:tc>
          <w:tcPr>
            <w:tcW w:w="1136" w:type="dxa"/>
          </w:tcPr>
          <w:p w14:paraId="4BDA6F77" w14:textId="6BAF5F37" w:rsidR="003F3927" w:rsidRPr="000E5C59" w:rsidRDefault="000E5C59" w:rsidP="003F3927">
            <w:pPr>
              <w:jc w:val="center"/>
              <w:rPr>
                <w:color w:val="FF0000"/>
                <w:sz w:val="18"/>
                <w:szCs w:val="18"/>
                <w:lang w:eastAsia="en-AU"/>
              </w:rPr>
            </w:pPr>
            <w:r w:rsidRPr="000E5C59">
              <w:rPr>
                <w:color w:val="FF0000"/>
                <w:sz w:val="18"/>
                <w:szCs w:val="18"/>
              </w:rPr>
              <w:t xml:space="preserve">15 </w:t>
            </w:r>
            <w:r w:rsidR="003F3927" w:rsidRPr="000E5C59">
              <w:rPr>
                <w:strike/>
                <w:color w:val="FF0000"/>
                <w:sz w:val="18"/>
                <w:szCs w:val="18"/>
              </w:rPr>
              <w:t>16</w:t>
            </w:r>
          </w:p>
        </w:tc>
        <w:tc>
          <w:tcPr>
            <w:tcW w:w="852" w:type="dxa"/>
            <w:shd w:val="clear" w:color="auto" w:fill="auto"/>
            <w:vAlign w:val="bottom"/>
          </w:tcPr>
          <w:p w14:paraId="4F2E1201" w14:textId="7896CA43" w:rsidR="003F3927" w:rsidRPr="00FA0C47" w:rsidRDefault="003F3927" w:rsidP="003F3927">
            <w:pPr>
              <w:jc w:val="right"/>
              <w:rPr>
                <w:b/>
                <w:bCs/>
                <w:sz w:val="18"/>
                <w:szCs w:val="18"/>
                <w:lang w:eastAsia="en-AU"/>
              </w:rPr>
            </w:pPr>
          </w:p>
        </w:tc>
        <w:tc>
          <w:tcPr>
            <w:tcW w:w="850" w:type="dxa"/>
            <w:shd w:val="clear" w:color="auto" w:fill="auto"/>
            <w:vAlign w:val="bottom"/>
          </w:tcPr>
          <w:p w14:paraId="35758F73"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A0CF582"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E33680C" w14:textId="77777777" w:rsidR="003F3927" w:rsidRPr="00FA0C47" w:rsidRDefault="003F3927" w:rsidP="003F3927">
            <w:pPr>
              <w:jc w:val="right"/>
              <w:rPr>
                <w:b/>
                <w:bCs/>
                <w:sz w:val="18"/>
                <w:szCs w:val="18"/>
                <w:lang w:eastAsia="en-AU"/>
              </w:rPr>
            </w:pPr>
          </w:p>
        </w:tc>
      </w:tr>
      <w:tr w:rsidR="003F3927" w:rsidRPr="00976DE1" w14:paraId="77E0496C" w14:textId="77777777" w:rsidTr="0004564D">
        <w:trPr>
          <w:cantSplit/>
          <w:trHeight w:val="45"/>
        </w:trPr>
        <w:tc>
          <w:tcPr>
            <w:tcW w:w="1561" w:type="dxa"/>
            <w:tcBorders>
              <w:left w:val="single" w:sz="2" w:space="0" w:color="auto"/>
              <w:right w:val="single" w:sz="2" w:space="0" w:color="auto"/>
            </w:tcBorders>
          </w:tcPr>
          <w:p w14:paraId="2088497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77796C0" w14:textId="5966B9AF" w:rsidR="003F3927" w:rsidRPr="00FA0C47" w:rsidRDefault="003F3927" w:rsidP="003F3927">
            <w:pPr>
              <w:jc w:val="both"/>
              <w:rPr>
                <w:bCs/>
                <w:sz w:val="18"/>
                <w:szCs w:val="18"/>
                <w:lang w:eastAsia="en-AU"/>
              </w:rPr>
            </w:pPr>
            <w:r w:rsidRPr="00FA0C47">
              <w:rPr>
                <w:sz w:val="18"/>
                <w:szCs w:val="18"/>
                <w:lang w:eastAsia="en-AU"/>
              </w:rPr>
              <w:t>Purchase of Property, Plant and Equipment</w:t>
            </w:r>
          </w:p>
        </w:tc>
        <w:tc>
          <w:tcPr>
            <w:tcW w:w="1136" w:type="dxa"/>
          </w:tcPr>
          <w:p w14:paraId="25EB467D" w14:textId="2BABDD40" w:rsidR="003F3927" w:rsidRPr="000E5C59" w:rsidRDefault="000E5C59" w:rsidP="003F3927">
            <w:pPr>
              <w:jc w:val="center"/>
              <w:rPr>
                <w:color w:val="FF0000"/>
                <w:sz w:val="18"/>
                <w:szCs w:val="18"/>
                <w:lang w:eastAsia="en-AU"/>
              </w:rPr>
            </w:pPr>
            <w:r w:rsidRPr="000E5C59">
              <w:rPr>
                <w:color w:val="FF0000"/>
                <w:sz w:val="18"/>
                <w:szCs w:val="18"/>
              </w:rPr>
              <w:t xml:space="preserve">16 </w:t>
            </w:r>
            <w:r w:rsidR="003F3927" w:rsidRPr="000E5C59">
              <w:rPr>
                <w:strike/>
                <w:color w:val="FF0000"/>
                <w:sz w:val="18"/>
                <w:szCs w:val="18"/>
              </w:rPr>
              <w:t>17</w:t>
            </w:r>
          </w:p>
        </w:tc>
        <w:tc>
          <w:tcPr>
            <w:tcW w:w="852" w:type="dxa"/>
            <w:shd w:val="clear" w:color="auto" w:fill="auto"/>
            <w:vAlign w:val="bottom"/>
          </w:tcPr>
          <w:p w14:paraId="31DF1DE4" w14:textId="15F2FD47" w:rsidR="003F3927" w:rsidRPr="00FA0C47" w:rsidRDefault="003F3927" w:rsidP="003F3927">
            <w:pPr>
              <w:jc w:val="right"/>
              <w:rPr>
                <w:b/>
                <w:bCs/>
                <w:sz w:val="18"/>
                <w:szCs w:val="18"/>
                <w:lang w:eastAsia="en-AU"/>
              </w:rPr>
            </w:pPr>
          </w:p>
        </w:tc>
        <w:tc>
          <w:tcPr>
            <w:tcW w:w="850" w:type="dxa"/>
            <w:shd w:val="clear" w:color="auto" w:fill="auto"/>
            <w:vAlign w:val="bottom"/>
          </w:tcPr>
          <w:p w14:paraId="578A7B0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69DEA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34D085D" w14:textId="77777777" w:rsidR="003F3927" w:rsidRPr="00FA0C47" w:rsidRDefault="003F3927" w:rsidP="003F3927">
            <w:pPr>
              <w:jc w:val="right"/>
              <w:rPr>
                <w:b/>
                <w:bCs/>
                <w:sz w:val="18"/>
                <w:szCs w:val="18"/>
                <w:lang w:eastAsia="en-AU"/>
              </w:rPr>
            </w:pPr>
          </w:p>
        </w:tc>
      </w:tr>
      <w:tr w:rsidR="003F3927" w:rsidRPr="00976DE1" w14:paraId="50B5166F" w14:textId="77777777" w:rsidTr="0004564D">
        <w:trPr>
          <w:cantSplit/>
          <w:trHeight w:val="45"/>
        </w:trPr>
        <w:tc>
          <w:tcPr>
            <w:tcW w:w="1561" w:type="dxa"/>
            <w:tcBorders>
              <w:left w:val="single" w:sz="2" w:space="0" w:color="auto"/>
              <w:right w:val="single" w:sz="2" w:space="0" w:color="auto"/>
            </w:tcBorders>
          </w:tcPr>
          <w:p w14:paraId="13A9A97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ED6C6F7" w14:textId="1CA37F2F" w:rsidR="003F3927" w:rsidRPr="00FA0C47" w:rsidRDefault="003F3927" w:rsidP="003F3927">
            <w:pPr>
              <w:jc w:val="both"/>
              <w:rPr>
                <w:bCs/>
                <w:sz w:val="18"/>
                <w:szCs w:val="18"/>
                <w:lang w:eastAsia="en-AU"/>
              </w:rPr>
            </w:pPr>
            <w:r w:rsidRPr="00FA0C47">
              <w:rPr>
                <w:sz w:val="18"/>
                <w:szCs w:val="18"/>
                <w:lang w:eastAsia="en-AU"/>
              </w:rPr>
              <w:t>Loans Receivable</w:t>
            </w:r>
            <w:r w:rsidR="000C1CDA" w:rsidRPr="00FA0C47">
              <w:rPr>
                <w:sz w:val="18"/>
                <w:szCs w:val="18"/>
                <w:lang w:eastAsia="en-AU"/>
              </w:rPr>
              <w:t xml:space="preserve"> Provided</w:t>
            </w:r>
          </w:p>
        </w:tc>
        <w:tc>
          <w:tcPr>
            <w:tcW w:w="1136" w:type="dxa"/>
          </w:tcPr>
          <w:p w14:paraId="574C48F9" w14:textId="118474F6" w:rsidR="003F3927" w:rsidRPr="000E5C59" w:rsidRDefault="000E5C59" w:rsidP="003F3927">
            <w:pPr>
              <w:jc w:val="center"/>
              <w:rPr>
                <w:color w:val="FF0000"/>
                <w:sz w:val="18"/>
                <w:szCs w:val="18"/>
                <w:lang w:eastAsia="en-AU"/>
              </w:rPr>
            </w:pPr>
            <w:r w:rsidRPr="000E5C59">
              <w:rPr>
                <w:color w:val="FF0000"/>
                <w:sz w:val="18"/>
                <w:szCs w:val="18"/>
              </w:rPr>
              <w:t xml:space="preserve">17 </w:t>
            </w:r>
            <w:r w:rsidR="003F3927" w:rsidRPr="000E5C59">
              <w:rPr>
                <w:strike/>
                <w:color w:val="FF0000"/>
                <w:sz w:val="18"/>
                <w:szCs w:val="18"/>
              </w:rPr>
              <w:t>18</w:t>
            </w:r>
          </w:p>
        </w:tc>
        <w:tc>
          <w:tcPr>
            <w:tcW w:w="852" w:type="dxa"/>
            <w:shd w:val="clear" w:color="auto" w:fill="auto"/>
            <w:vAlign w:val="bottom"/>
          </w:tcPr>
          <w:p w14:paraId="409BED4A" w14:textId="4DFBFE01" w:rsidR="003F3927" w:rsidRPr="00FA0C47" w:rsidRDefault="003F3927" w:rsidP="003F3927">
            <w:pPr>
              <w:jc w:val="right"/>
              <w:rPr>
                <w:b/>
                <w:bCs/>
                <w:sz w:val="18"/>
                <w:szCs w:val="18"/>
                <w:lang w:eastAsia="en-AU"/>
              </w:rPr>
            </w:pPr>
          </w:p>
        </w:tc>
        <w:tc>
          <w:tcPr>
            <w:tcW w:w="850" w:type="dxa"/>
            <w:shd w:val="clear" w:color="auto" w:fill="auto"/>
            <w:vAlign w:val="bottom"/>
          </w:tcPr>
          <w:p w14:paraId="38EAF797"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9292F2D"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C03AA97" w14:textId="77777777" w:rsidR="003F3927" w:rsidRPr="00FA0C47" w:rsidRDefault="003F3927" w:rsidP="003F3927">
            <w:pPr>
              <w:jc w:val="right"/>
              <w:rPr>
                <w:b/>
                <w:bCs/>
                <w:sz w:val="18"/>
                <w:szCs w:val="18"/>
                <w:lang w:eastAsia="en-AU"/>
              </w:rPr>
            </w:pPr>
          </w:p>
        </w:tc>
      </w:tr>
      <w:tr w:rsidR="003F3927" w:rsidRPr="00976DE1" w14:paraId="23EEBBA4" w14:textId="77777777" w:rsidTr="0004564D">
        <w:trPr>
          <w:cantSplit/>
          <w:trHeight w:val="45"/>
        </w:trPr>
        <w:tc>
          <w:tcPr>
            <w:tcW w:w="1561" w:type="dxa"/>
            <w:tcBorders>
              <w:left w:val="single" w:sz="2" w:space="0" w:color="auto"/>
              <w:right w:val="single" w:sz="2" w:space="0" w:color="auto"/>
            </w:tcBorders>
          </w:tcPr>
          <w:p w14:paraId="4554043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333B8A8" w14:textId="285D2747" w:rsidR="003F3927" w:rsidRPr="00FA0C47" w:rsidRDefault="003F3927" w:rsidP="003F3927">
            <w:pPr>
              <w:jc w:val="both"/>
              <w:rPr>
                <w:bCs/>
                <w:sz w:val="18"/>
                <w:szCs w:val="18"/>
                <w:lang w:eastAsia="en-AU"/>
              </w:rPr>
            </w:pPr>
            <w:r w:rsidRPr="00FA0C47">
              <w:rPr>
                <w:sz w:val="18"/>
                <w:szCs w:val="18"/>
                <w:lang w:eastAsia="en-AU"/>
              </w:rPr>
              <w:t>Capital Injections</w:t>
            </w:r>
          </w:p>
        </w:tc>
        <w:tc>
          <w:tcPr>
            <w:tcW w:w="1136" w:type="dxa"/>
          </w:tcPr>
          <w:p w14:paraId="05855DA9" w14:textId="5BD81076" w:rsidR="003F3927" w:rsidRPr="000E5C59" w:rsidRDefault="000E5C59" w:rsidP="003F3927">
            <w:pPr>
              <w:jc w:val="center"/>
              <w:rPr>
                <w:color w:val="FF0000"/>
                <w:sz w:val="18"/>
                <w:szCs w:val="18"/>
                <w:lang w:eastAsia="en-AU"/>
              </w:rPr>
            </w:pPr>
            <w:r w:rsidRPr="000E5C59">
              <w:rPr>
                <w:color w:val="FF0000"/>
                <w:sz w:val="18"/>
                <w:szCs w:val="18"/>
              </w:rPr>
              <w:t xml:space="preserve">18 </w:t>
            </w:r>
            <w:r w:rsidR="003F3927" w:rsidRPr="000E5C59">
              <w:rPr>
                <w:strike/>
                <w:color w:val="FF0000"/>
                <w:sz w:val="18"/>
                <w:szCs w:val="18"/>
              </w:rPr>
              <w:t>19</w:t>
            </w:r>
          </w:p>
        </w:tc>
        <w:tc>
          <w:tcPr>
            <w:tcW w:w="852" w:type="dxa"/>
            <w:shd w:val="clear" w:color="auto" w:fill="auto"/>
            <w:vAlign w:val="bottom"/>
          </w:tcPr>
          <w:p w14:paraId="323FE1B8" w14:textId="249865C8" w:rsidR="003F3927" w:rsidRPr="00FA0C47" w:rsidRDefault="003F3927" w:rsidP="003F3927">
            <w:pPr>
              <w:jc w:val="right"/>
              <w:rPr>
                <w:b/>
                <w:bCs/>
                <w:sz w:val="18"/>
                <w:szCs w:val="18"/>
                <w:lang w:eastAsia="en-AU"/>
              </w:rPr>
            </w:pPr>
          </w:p>
        </w:tc>
        <w:tc>
          <w:tcPr>
            <w:tcW w:w="850" w:type="dxa"/>
            <w:shd w:val="clear" w:color="auto" w:fill="auto"/>
            <w:vAlign w:val="bottom"/>
          </w:tcPr>
          <w:p w14:paraId="57C31DC5"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359E4C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AABB5A9" w14:textId="77777777" w:rsidR="003F3927" w:rsidRPr="00FA0C47" w:rsidRDefault="003F3927" w:rsidP="003F3927">
            <w:pPr>
              <w:jc w:val="right"/>
              <w:rPr>
                <w:b/>
                <w:bCs/>
                <w:sz w:val="18"/>
                <w:szCs w:val="18"/>
                <w:lang w:eastAsia="en-AU"/>
              </w:rPr>
            </w:pPr>
          </w:p>
        </w:tc>
      </w:tr>
      <w:tr w:rsidR="003F3927" w:rsidRPr="00976DE1" w14:paraId="1A80109E" w14:textId="77777777" w:rsidTr="0004564D">
        <w:trPr>
          <w:cantSplit/>
          <w:trHeight w:val="45"/>
        </w:trPr>
        <w:tc>
          <w:tcPr>
            <w:tcW w:w="1561" w:type="dxa"/>
            <w:tcBorders>
              <w:left w:val="single" w:sz="2" w:space="0" w:color="auto"/>
              <w:right w:val="single" w:sz="2" w:space="0" w:color="auto"/>
            </w:tcBorders>
          </w:tcPr>
          <w:p w14:paraId="0661071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35A8421" w14:textId="58F245E3" w:rsidR="003F3927" w:rsidRPr="00FA0C47" w:rsidRDefault="003F3927" w:rsidP="003F3927">
            <w:pPr>
              <w:jc w:val="both"/>
              <w:rPr>
                <w:bCs/>
                <w:sz w:val="18"/>
                <w:szCs w:val="18"/>
                <w:lang w:eastAsia="en-AU"/>
              </w:rPr>
            </w:pPr>
            <w:r w:rsidRPr="00FA0C47">
              <w:rPr>
                <w:sz w:val="18"/>
                <w:szCs w:val="18"/>
                <w:lang w:eastAsia="en-AU"/>
              </w:rPr>
              <w:t>Receipt of Transferred Cash Balances</w:t>
            </w:r>
          </w:p>
        </w:tc>
        <w:tc>
          <w:tcPr>
            <w:tcW w:w="1136" w:type="dxa"/>
          </w:tcPr>
          <w:p w14:paraId="4B97ABCE" w14:textId="0EC1F6D8" w:rsidR="003F3927" w:rsidRPr="000E5C59" w:rsidRDefault="000E5C59" w:rsidP="003F3927">
            <w:pPr>
              <w:jc w:val="center"/>
              <w:rPr>
                <w:color w:val="FF0000"/>
                <w:sz w:val="18"/>
                <w:szCs w:val="18"/>
                <w:lang w:eastAsia="en-AU"/>
              </w:rPr>
            </w:pPr>
            <w:r w:rsidRPr="000E5C59">
              <w:rPr>
                <w:color w:val="FF0000"/>
                <w:sz w:val="18"/>
                <w:szCs w:val="18"/>
              </w:rPr>
              <w:t xml:space="preserve">19 </w:t>
            </w:r>
            <w:r w:rsidR="003F3927" w:rsidRPr="000E5C59">
              <w:rPr>
                <w:strike/>
                <w:color w:val="FF0000"/>
                <w:sz w:val="18"/>
                <w:szCs w:val="18"/>
              </w:rPr>
              <w:t>20</w:t>
            </w:r>
          </w:p>
        </w:tc>
        <w:tc>
          <w:tcPr>
            <w:tcW w:w="852" w:type="dxa"/>
            <w:shd w:val="clear" w:color="auto" w:fill="auto"/>
            <w:vAlign w:val="bottom"/>
          </w:tcPr>
          <w:p w14:paraId="528BC05A" w14:textId="6866D21E" w:rsidR="003F3927" w:rsidRPr="00FA0C47" w:rsidRDefault="003F3927" w:rsidP="003F3927">
            <w:pPr>
              <w:jc w:val="right"/>
              <w:rPr>
                <w:b/>
                <w:bCs/>
                <w:sz w:val="18"/>
                <w:szCs w:val="18"/>
                <w:lang w:eastAsia="en-AU"/>
              </w:rPr>
            </w:pPr>
          </w:p>
        </w:tc>
        <w:tc>
          <w:tcPr>
            <w:tcW w:w="850" w:type="dxa"/>
            <w:shd w:val="clear" w:color="auto" w:fill="auto"/>
            <w:vAlign w:val="bottom"/>
          </w:tcPr>
          <w:p w14:paraId="565F18C8"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9469390"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397CC29" w14:textId="77777777" w:rsidR="003F3927" w:rsidRPr="00FA0C47" w:rsidRDefault="003F3927" w:rsidP="003F3927">
            <w:pPr>
              <w:jc w:val="right"/>
              <w:rPr>
                <w:b/>
                <w:bCs/>
                <w:sz w:val="18"/>
                <w:szCs w:val="18"/>
                <w:lang w:eastAsia="en-AU"/>
              </w:rPr>
            </w:pPr>
          </w:p>
        </w:tc>
      </w:tr>
      <w:tr w:rsidR="003F3927" w:rsidRPr="00976DE1" w14:paraId="2202A3CF" w14:textId="77777777" w:rsidTr="0004564D">
        <w:trPr>
          <w:cantSplit/>
          <w:trHeight w:val="45"/>
        </w:trPr>
        <w:tc>
          <w:tcPr>
            <w:tcW w:w="1561" w:type="dxa"/>
            <w:tcBorders>
              <w:left w:val="single" w:sz="2" w:space="0" w:color="auto"/>
              <w:right w:val="single" w:sz="2" w:space="0" w:color="auto"/>
            </w:tcBorders>
          </w:tcPr>
          <w:p w14:paraId="50CB500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2CB2325" w14:textId="75E125E9" w:rsidR="003F3927" w:rsidRPr="00FA0C47" w:rsidRDefault="003F3927" w:rsidP="00BA6793">
            <w:pPr>
              <w:ind w:left="29" w:hanging="29"/>
              <w:jc w:val="both"/>
              <w:rPr>
                <w:bCs/>
                <w:sz w:val="18"/>
                <w:szCs w:val="18"/>
                <w:lang w:eastAsia="en-AU"/>
              </w:rPr>
            </w:pPr>
            <w:r w:rsidRPr="00FA0C47">
              <w:rPr>
                <w:sz w:val="18"/>
                <w:szCs w:val="18"/>
                <w:lang w:eastAsia="en-AU"/>
              </w:rPr>
              <w:t>Cash and Cash Equivalents at the Beginning of the Reporting Period</w:t>
            </w:r>
          </w:p>
        </w:tc>
        <w:tc>
          <w:tcPr>
            <w:tcW w:w="1136" w:type="dxa"/>
          </w:tcPr>
          <w:p w14:paraId="5E53E909" w14:textId="26051D0E" w:rsidR="003F3927" w:rsidRPr="000E5C59" w:rsidRDefault="000E5C59" w:rsidP="003F3927">
            <w:pPr>
              <w:jc w:val="center"/>
              <w:rPr>
                <w:color w:val="FF0000"/>
                <w:sz w:val="18"/>
                <w:szCs w:val="18"/>
                <w:lang w:eastAsia="en-AU"/>
              </w:rPr>
            </w:pPr>
            <w:r w:rsidRPr="000E5C59">
              <w:rPr>
                <w:color w:val="FF0000"/>
                <w:sz w:val="18"/>
                <w:szCs w:val="18"/>
              </w:rPr>
              <w:t xml:space="preserve">20 </w:t>
            </w:r>
            <w:r w:rsidR="003F3927" w:rsidRPr="000E5C59">
              <w:rPr>
                <w:strike/>
                <w:color w:val="FF0000"/>
                <w:sz w:val="18"/>
                <w:szCs w:val="18"/>
              </w:rPr>
              <w:t>21</w:t>
            </w:r>
          </w:p>
        </w:tc>
        <w:tc>
          <w:tcPr>
            <w:tcW w:w="852" w:type="dxa"/>
            <w:shd w:val="clear" w:color="auto" w:fill="auto"/>
            <w:vAlign w:val="bottom"/>
          </w:tcPr>
          <w:p w14:paraId="66101828" w14:textId="14A6CEB0" w:rsidR="003F3927" w:rsidRPr="00FA0C47" w:rsidRDefault="003F3927" w:rsidP="003F3927">
            <w:pPr>
              <w:jc w:val="right"/>
              <w:rPr>
                <w:b/>
                <w:bCs/>
                <w:sz w:val="18"/>
                <w:szCs w:val="18"/>
                <w:lang w:eastAsia="en-AU"/>
              </w:rPr>
            </w:pPr>
          </w:p>
        </w:tc>
        <w:tc>
          <w:tcPr>
            <w:tcW w:w="850" w:type="dxa"/>
            <w:shd w:val="clear" w:color="auto" w:fill="auto"/>
            <w:vAlign w:val="bottom"/>
          </w:tcPr>
          <w:p w14:paraId="127BAEF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DF3296C"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6488CDDA" w14:textId="77777777" w:rsidR="003F3927" w:rsidRPr="00FA0C47" w:rsidRDefault="003F3927" w:rsidP="003F3927">
            <w:pPr>
              <w:jc w:val="right"/>
              <w:rPr>
                <w:b/>
                <w:bCs/>
                <w:sz w:val="18"/>
                <w:szCs w:val="18"/>
                <w:lang w:eastAsia="en-AU"/>
              </w:rPr>
            </w:pPr>
          </w:p>
        </w:tc>
      </w:tr>
      <w:tr w:rsidR="003F3927" w:rsidRPr="00976DE1" w14:paraId="701DE6BA" w14:textId="77777777" w:rsidTr="0004564D">
        <w:trPr>
          <w:cantSplit/>
          <w:trHeight w:val="45"/>
        </w:trPr>
        <w:tc>
          <w:tcPr>
            <w:tcW w:w="1561" w:type="dxa"/>
            <w:tcBorders>
              <w:left w:val="single" w:sz="2" w:space="0" w:color="auto"/>
              <w:right w:val="single" w:sz="2" w:space="0" w:color="auto"/>
            </w:tcBorders>
          </w:tcPr>
          <w:p w14:paraId="23B4C7C4"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9607D72" w14:textId="77777777" w:rsidR="003F3927" w:rsidRPr="00FA0C47" w:rsidRDefault="003F3927" w:rsidP="003F3927">
            <w:pPr>
              <w:jc w:val="both"/>
              <w:rPr>
                <w:bCs/>
                <w:sz w:val="18"/>
                <w:szCs w:val="18"/>
                <w:lang w:eastAsia="en-AU"/>
              </w:rPr>
            </w:pPr>
          </w:p>
        </w:tc>
        <w:tc>
          <w:tcPr>
            <w:tcW w:w="1136" w:type="dxa"/>
            <w:vAlign w:val="bottom"/>
          </w:tcPr>
          <w:p w14:paraId="69C001A5" w14:textId="21377553" w:rsidR="003F3927" w:rsidRPr="00FA0C47" w:rsidRDefault="003F3927" w:rsidP="003F3927">
            <w:pPr>
              <w:jc w:val="right"/>
              <w:rPr>
                <w:b/>
                <w:bCs/>
                <w:sz w:val="18"/>
                <w:szCs w:val="18"/>
                <w:lang w:eastAsia="en-AU"/>
              </w:rPr>
            </w:pPr>
          </w:p>
        </w:tc>
        <w:tc>
          <w:tcPr>
            <w:tcW w:w="852" w:type="dxa"/>
            <w:shd w:val="clear" w:color="auto" w:fill="auto"/>
            <w:vAlign w:val="bottom"/>
          </w:tcPr>
          <w:p w14:paraId="35B9770D" w14:textId="541FF9D3" w:rsidR="003F3927" w:rsidRPr="00FA0C47" w:rsidRDefault="003F3927" w:rsidP="003F3927">
            <w:pPr>
              <w:jc w:val="right"/>
              <w:rPr>
                <w:b/>
                <w:bCs/>
                <w:sz w:val="18"/>
                <w:szCs w:val="18"/>
                <w:lang w:eastAsia="en-AU"/>
              </w:rPr>
            </w:pPr>
          </w:p>
        </w:tc>
        <w:tc>
          <w:tcPr>
            <w:tcW w:w="850" w:type="dxa"/>
            <w:shd w:val="clear" w:color="auto" w:fill="auto"/>
            <w:vAlign w:val="bottom"/>
          </w:tcPr>
          <w:p w14:paraId="2718F22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030DD5FA"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4D68035" w14:textId="77777777" w:rsidR="003F3927" w:rsidRPr="00FA0C47" w:rsidRDefault="003F3927" w:rsidP="003F3927">
            <w:pPr>
              <w:jc w:val="right"/>
              <w:rPr>
                <w:b/>
                <w:bCs/>
                <w:sz w:val="18"/>
                <w:szCs w:val="18"/>
                <w:lang w:eastAsia="en-AU"/>
              </w:rPr>
            </w:pPr>
          </w:p>
        </w:tc>
      </w:tr>
      <w:tr w:rsidR="003F3927" w:rsidRPr="00976DE1" w14:paraId="19E8D875" w14:textId="77777777" w:rsidTr="0004564D">
        <w:trPr>
          <w:cantSplit/>
          <w:trHeight w:val="45"/>
        </w:trPr>
        <w:tc>
          <w:tcPr>
            <w:tcW w:w="1561" w:type="dxa"/>
            <w:tcBorders>
              <w:left w:val="single" w:sz="2" w:space="0" w:color="auto"/>
              <w:right w:val="single" w:sz="2" w:space="0" w:color="auto"/>
            </w:tcBorders>
          </w:tcPr>
          <w:p w14:paraId="20BFE09B"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C18695B" w14:textId="54214414" w:rsidR="003F3927" w:rsidRPr="00FA0C47" w:rsidRDefault="003F3927" w:rsidP="003F3927">
            <w:pPr>
              <w:jc w:val="both"/>
              <w:rPr>
                <w:b/>
                <w:sz w:val="18"/>
                <w:szCs w:val="18"/>
                <w:lang w:eastAsia="en-AU"/>
              </w:rPr>
            </w:pPr>
            <w:r w:rsidRPr="00FA0C47">
              <w:rPr>
                <w:b/>
                <w:sz w:val="18"/>
                <w:szCs w:val="18"/>
                <w:lang w:eastAsia="en-AU"/>
              </w:rPr>
              <w:t>Variance Explanations</w:t>
            </w:r>
          </w:p>
        </w:tc>
        <w:tc>
          <w:tcPr>
            <w:tcW w:w="1136" w:type="dxa"/>
            <w:vAlign w:val="bottom"/>
          </w:tcPr>
          <w:p w14:paraId="4F8EBA19" w14:textId="77777777" w:rsidR="003F3927" w:rsidRPr="00FA0C47" w:rsidRDefault="003F3927" w:rsidP="003F3927">
            <w:pPr>
              <w:jc w:val="right"/>
              <w:rPr>
                <w:b/>
                <w:bCs/>
                <w:sz w:val="18"/>
                <w:szCs w:val="18"/>
                <w:lang w:eastAsia="en-AU"/>
              </w:rPr>
            </w:pPr>
          </w:p>
        </w:tc>
        <w:tc>
          <w:tcPr>
            <w:tcW w:w="852" w:type="dxa"/>
            <w:shd w:val="clear" w:color="auto" w:fill="auto"/>
            <w:vAlign w:val="bottom"/>
          </w:tcPr>
          <w:p w14:paraId="31863C9B" w14:textId="77777777" w:rsidR="003F3927" w:rsidRPr="00FA0C47" w:rsidRDefault="003F3927" w:rsidP="003F3927">
            <w:pPr>
              <w:jc w:val="right"/>
              <w:rPr>
                <w:b/>
                <w:bCs/>
                <w:sz w:val="18"/>
                <w:szCs w:val="18"/>
                <w:lang w:eastAsia="en-AU"/>
              </w:rPr>
            </w:pPr>
          </w:p>
        </w:tc>
        <w:tc>
          <w:tcPr>
            <w:tcW w:w="850" w:type="dxa"/>
            <w:shd w:val="clear" w:color="auto" w:fill="auto"/>
            <w:vAlign w:val="bottom"/>
          </w:tcPr>
          <w:p w14:paraId="05CFD2E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0DA1A5F"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1A326211" w14:textId="77777777" w:rsidR="003F3927" w:rsidRPr="00FA0C47" w:rsidRDefault="003F3927" w:rsidP="003F3927">
            <w:pPr>
              <w:jc w:val="right"/>
              <w:rPr>
                <w:b/>
                <w:bCs/>
                <w:sz w:val="18"/>
                <w:szCs w:val="18"/>
                <w:lang w:eastAsia="en-AU"/>
              </w:rPr>
            </w:pPr>
          </w:p>
        </w:tc>
      </w:tr>
      <w:tr w:rsidR="003F3927" w:rsidRPr="00D239F9" w14:paraId="3A44D905" w14:textId="77777777" w:rsidTr="0004564D">
        <w:trPr>
          <w:cantSplit/>
          <w:trHeight w:val="45"/>
        </w:trPr>
        <w:tc>
          <w:tcPr>
            <w:tcW w:w="1561" w:type="dxa"/>
            <w:tcBorders>
              <w:left w:val="single" w:sz="2" w:space="0" w:color="auto"/>
              <w:right w:val="single" w:sz="2" w:space="0" w:color="auto"/>
            </w:tcBorders>
          </w:tcPr>
          <w:p w14:paraId="698DA9E5"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C913903" w14:textId="1D95471E"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14.</w:t>
            </w:r>
            <w:r w:rsidR="003F3927" w:rsidRPr="00D239F9">
              <w:rPr>
                <w:sz w:val="18"/>
                <w:szCs w:val="18"/>
                <w:lang w:eastAsia="en-AU"/>
              </w:rPr>
              <w:t>[Insert major variance explanation]</w:t>
            </w:r>
          </w:p>
        </w:tc>
      </w:tr>
      <w:tr w:rsidR="003F3927" w:rsidRPr="00D239F9" w14:paraId="7AAF1D53" w14:textId="77777777" w:rsidTr="0004564D">
        <w:trPr>
          <w:cantSplit/>
          <w:trHeight w:val="45"/>
        </w:trPr>
        <w:tc>
          <w:tcPr>
            <w:tcW w:w="1561" w:type="dxa"/>
            <w:tcBorders>
              <w:left w:val="single" w:sz="2" w:space="0" w:color="auto"/>
              <w:right w:val="single" w:sz="2" w:space="0" w:color="auto"/>
            </w:tcBorders>
          </w:tcPr>
          <w:p w14:paraId="2F6B565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3DC6F85" w14:textId="17C31618"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15.</w:t>
            </w:r>
            <w:r w:rsidR="003F3927" w:rsidRPr="00D239F9">
              <w:rPr>
                <w:sz w:val="18"/>
                <w:szCs w:val="18"/>
                <w:lang w:eastAsia="en-AU"/>
              </w:rPr>
              <w:t>[Insert major variance explanation]</w:t>
            </w:r>
          </w:p>
        </w:tc>
      </w:tr>
      <w:tr w:rsidR="003F3927" w:rsidRPr="00D239F9" w14:paraId="4964FC3F" w14:textId="77777777" w:rsidTr="0004564D">
        <w:trPr>
          <w:cantSplit/>
          <w:trHeight w:val="45"/>
        </w:trPr>
        <w:tc>
          <w:tcPr>
            <w:tcW w:w="1561" w:type="dxa"/>
            <w:tcBorders>
              <w:left w:val="single" w:sz="2" w:space="0" w:color="auto"/>
              <w:right w:val="single" w:sz="2" w:space="0" w:color="auto"/>
            </w:tcBorders>
          </w:tcPr>
          <w:p w14:paraId="386B4B16"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72C4BCF" w14:textId="2256D176"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16.</w:t>
            </w:r>
            <w:r w:rsidR="003F3927" w:rsidRPr="00D239F9">
              <w:rPr>
                <w:sz w:val="18"/>
                <w:szCs w:val="18"/>
                <w:lang w:eastAsia="en-AU"/>
              </w:rPr>
              <w:t>[Insert major variance explanation]</w:t>
            </w:r>
          </w:p>
        </w:tc>
      </w:tr>
      <w:tr w:rsidR="003F3927" w:rsidRPr="00D239F9" w14:paraId="5C3A952D" w14:textId="77777777" w:rsidTr="0004564D">
        <w:trPr>
          <w:cantSplit/>
          <w:trHeight w:val="45"/>
        </w:trPr>
        <w:tc>
          <w:tcPr>
            <w:tcW w:w="1561" w:type="dxa"/>
            <w:tcBorders>
              <w:left w:val="single" w:sz="2" w:space="0" w:color="auto"/>
              <w:right w:val="single" w:sz="2" w:space="0" w:color="auto"/>
            </w:tcBorders>
          </w:tcPr>
          <w:p w14:paraId="26B1F20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39F2AD3" w14:textId="714D34EF"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17.</w:t>
            </w:r>
            <w:r w:rsidR="003F3927" w:rsidRPr="00D239F9">
              <w:rPr>
                <w:sz w:val="18"/>
                <w:szCs w:val="18"/>
                <w:lang w:eastAsia="en-AU"/>
              </w:rPr>
              <w:t>[Insert major variance explanation]</w:t>
            </w:r>
          </w:p>
        </w:tc>
      </w:tr>
      <w:tr w:rsidR="003F3927" w:rsidRPr="00D239F9" w14:paraId="4C3BBAFD" w14:textId="77777777" w:rsidTr="0004564D">
        <w:trPr>
          <w:cantSplit/>
          <w:trHeight w:val="45"/>
        </w:trPr>
        <w:tc>
          <w:tcPr>
            <w:tcW w:w="1561" w:type="dxa"/>
            <w:tcBorders>
              <w:left w:val="single" w:sz="2" w:space="0" w:color="auto"/>
              <w:right w:val="single" w:sz="2" w:space="0" w:color="auto"/>
            </w:tcBorders>
          </w:tcPr>
          <w:p w14:paraId="2D38915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E2CEAE1" w14:textId="50EB773C"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18.</w:t>
            </w:r>
            <w:r w:rsidR="003F3927" w:rsidRPr="00D239F9">
              <w:rPr>
                <w:sz w:val="18"/>
                <w:szCs w:val="18"/>
                <w:lang w:eastAsia="en-AU"/>
              </w:rPr>
              <w:t>[Insert major variance explanation]</w:t>
            </w:r>
          </w:p>
        </w:tc>
      </w:tr>
      <w:tr w:rsidR="003F3927" w:rsidRPr="00D239F9" w14:paraId="4B528E0D" w14:textId="77777777" w:rsidTr="0004564D">
        <w:trPr>
          <w:cantSplit/>
          <w:trHeight w:val="45"/>
        </w:trPr>
        <w:tc>
          <w:tcPr>
            <w:tcW w:w="1561" w:type="dxa"/>
            <w:tcBorders>
              <w:left w:val="single" w:sz="2" w:space="0" w:color="auto"/>
              <w:right w:val="single" w:sz="2" w:space="0" w:color="auto"/>
            </w:tcBorders>
          </w:tcPr>
          <w:p w14:paraId="4198A16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73AA22" w14:textId="29A07A93"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19.</w:t>
            </w:r>
            <w:r w:rsidR="003F3927" w:rsidRPr="00D239F9">
              <w:rPr>
                <w:sz w:val="18"/>
                <w:szCs w:val="18"/>
                <w:lang w:eastAsia="en-AU"/>
              </w:rPr>
              <w:t>[Insert major variance explanation]</w:t>
            </w:r>
          </w:p>
        </w:tc>
      </w:tr>
      <w:tr w:rsidR="003F3927" w:rsidRPr="00D239F9" w14:paraId="679785DD" w14:textId="77777777" w:rsidTr="0004564D">
        <w:trPr>
          <w:cantSplit/>
          <w:trHeight w:val="45"/>
        </w:trPr>
        <w:tc>
          <w:tcPr>
            <w:tcW w:w="1561" w:type="dxa"/>
            <w:tcBorders>
              <w:left w:val="single" w:sz="2" w:space="0" w:color="auto"/>
              <w:right w:val="single" w:sz="2" w:space="0" w:color="auto"/>
            </w:tcBorders>
          </w:tcPr>
          <w:p w14:paraId="12A146B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022F17F" w14:textId="5E8EC9DB"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20.</w:t>
            </w:r>
            <w:r w:rsidR="003F3927" w:rsidRPr="00D239F9">
              <w:rPr>
                <w:sz w:val="18"/>
                <w:szCs w:val="18"/>
                <w:lang w:eastAsia="en-AU"/>
              </w:rPr>
              <w:t>[Insert major variance explanation]</w:t>
            </w:r>
          </w:p>
        </w:tc>
      </w:tr>
      <w:tr w:rsidR="003F3927" w:rsidRPr="00976DE1" w14:paraId="1DA19CBC" w14:textId="77777777" w:rsidTr="0004564D">
        <w:trPr>
          <w:cantSplit/>
          <w:trHeight w:val="45"/>
        </w:trPr>
        <w:tc>
          <w:tcPr>
            <w:tcW w:w="1561" w:type="dxa"/>
            <w:tcBorders>
              <w:left w:val="single" w:sz="2" w:space="0" w:color="auto"/>
              <w:right w:val="single" w:sz="2" w:space="0" w:color="auto"/>
            </w:tcBorders>
          </w:tcPr>
          <w:p w14:paraId="0D87A72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AE99262" w14:textId="602AEA29" w:rsidR="003F3927" w:rsidRPr="00D239F9" w:rsidRDefault="00005188" w:rsidP="00B340DF">
            <w:pPr>
              <w:pStyle w:val="ListParagraph"/>
              <w:numPr>
                <w:ilvl w:val="0"/>
                <w:numId w:val="85"/>
              </w:numPr>
              <w:rPr>
                <w:b/>
                <w:bCs/>
                <w:sz w:val="18"/>
                <w:szCs w:val="18"/>
              </w:rPr>
            </w:pPr>
            <w:r w:rsidRPr="00D239F9">
              <w:rPr>
                <w:strike/>
                <w:color w:val="FF0000"/>
                <w:sz w:val="18"/>
                <w:szCs w:val="18"/>
                <w:lang w:eastAsia="en-AU"/>
              </w:rPr>
              <w:t>21.</w:t>
            </w:r>
            <w:r w:rsidR="003F3927" w:rsidRPr="00D239F9">
              <w:rPr>
                <w:sz w:val="18"/>
                <w:szCs w:val="18"/>
                <w:lang w:eastAsia="en-AU"/>
              </w:rPr>
              <w:t>[Insert major variance explanation]</w:t>
            </w:r>
          </w:p>
        </w:tc>
      </w:tr>
      <w:bookmarkEnd w:id="896"/>
    </w:tbl>
    <w:p w14:paraId="600D1978" w14:textId="77777777" w:rsidR="006B3063" w:rsidRDefault="006B3063"/>
    <w:p w14:paraId="24F76D57" w14:textId="30A4194F" w:rsidR="00495078" w:rsidRDefault="00495078">
      <w:pPr>
        <w:sectPr w:rsidR="00495078" w:rsidSect="00527F06">
          <w:headerReference w:type="default" r:id="rId43"/>
          <w:footerReference w:type="even" r:id="rId44"/>
          <w:footerReference w:type="default" r:id="rId45"/>
          <w:footnotePr>
            <w:numRestart w:val="eachPage"/>
          </w:footnotePr>
          <w:pgSz w:w="11907" w:h="16840" w:code="9"/>
          <w:pgMar w:top="680" w:right="680" w:bottom="567" w:left="680" w:header="624" w:footer="284" w:gutter="0"/>
          <w:cols w:space="720"/>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D5BC9" w:rsidRPr="00CF7E1B" w14:paraId="7201C488" w14:textId="77777777" w:rsidTr="00AF4715">
        <w:trPr>
          <w:cantSplit/>
          <w:trHeight w:val="317"/>
        </w:trPr>
        <w:tc>
          <w:tcPr>
            <w:tcW w:w="1560" w:type="dxa"/>
            <w:tcBorders>
              <w:left w:val="single" w:sz="2" w:space="0" w:color="auto"/>
              <w:right w:val="single" w:sz="2" w:space="0" w:color="auto"/>
            </w:tcBorders>
          </w:tcPr>
          <w:p w14:paraId="128D1E9B" w14:textId="77777777" w:rsidR="000D5BC9" w:rsidRPr="00AC3DDE" w:rsidRDefault="00625085" w:rsidP="00AF4715">
            <w:pPr>
              <w:pStyle w:val="TableReference"/>
              <w:spacing w:before="240" w:after="240"/>
              <w:rPr>
                <w:rFonts w:cs="Calibri"/>
                <w:color w:val="7030A0"/>
                <w:sz w:val="22"/>
                <w:szCs w:val="22"/>
              </w:rPr>
            </w:pPr>
            <w:r w:rsidRPr="00AC3DDE">
              <w:rPr>
                <w:rFonts w:cs="Calibri"/>
                <w:b/>
                <w:color w:val="7030A0"/>
                <w:sz w:val="22"/>
                <w:szCs w:val="22"/>
              </w:rPr>
              <w:t>Reference</w:t>
            </w:r>
          </w:p>
        </w:tc>
        <w:tc>
          <w:tcPr>
            <w:tcW w:w="8930" w:type="dxa"/>
            <w:tcBorders>
              <w:left w:val="single" w:sz="2" w:space="0" w:color="auto"/>
            </w:tcBorders>
            <w:shd w:val="clear" w:color="auto" w:fill="7030A0"/>
          </w:tcPr>
          <w:p w14:paraId="4ADBEC37" w14:textId="35FB4F58" w:rsidR="000D5BC9" w:rsidRPr="00FA0C47" w:rsidRDefault="009A5C42" w:rsidP="00AF4715">
            <w:pPr>
              <w:spacing w:before="240" w:after="240"/>
              <w:rPr>
                <w:rFonts w:cs="Calibri"/>
                <w:color w:val="FFFFFF" w:themeColor="background1"/>
                <w:sz w:val="28"/>
                <w:szCs w:val="28"/>
                <w:vertAlign w:val="superscript"/>
              </w:rPr>
            </w:pPr>
            <w:r w:rsidRPr="00FA0C47">
              <w:rPr>
                <w:rFonts w:asciiTheme="minorHAnsi" w:hAnsiTheme="minorHAnsi"/>
                <w:b/>
                <w:color w:val="FFFFFF" w:themeColor="background1"/>
                <w:sz w:val="28"/>
                <w:szCs w:val="28"/>
              </w:rPr>
              <w:t xml:space="preserve">Commentary – Note </w:t>
            </w:r>
            <w:r w:rsidR="00D335D5" w:rsidRPr="00FA0C47">
              <w:rPr>
                <w:rFonts w:asciiTheme="minorHAnsi" w:hAnsiTheme="minorHAnsi"/>
                <w:b/>
                <w:color w:val="FFFFFF" w:themeColor="background1"/>
                <w:sz w:val="28"/>
                <w:szCs w:val="28"/>
              </w:rPr>
              <w:t>4</w:t>
            </w:r>
            <w:r w:rsidR="00A03437" w:rsidRPr="00FA0C47">
              <w:rPr>
                <w:rFonts w:asciiTheme="minorHAnsi" w:hAnsiTheme="minorHAnsi"/>
                <w:b/>
                <w:color w:val="FFFFFF" w:themeColor="background1"/>
                <w:sz w:val="28"/>
                <w:szCs w:val="28"/>
              </w:rPr>
              <w:t>0</w:t>
            </w:r>
            <w:r w:rsidRPr="00FA0C47">
              <w:rPr>
                <w:rFonts w:asciiTheme="minorHAnsi" w:hAnsiTheme="minorHAnsi"/>
                <w:b/>
                <w:color w:val="FFFFFF" w:themeColor="background1"/>
                <w:sz w:val="28"/>
                <w:szCs w:val="28"/>
              </w:rPr>
              <w:t>: Budgetary Reporting</w:t>
            </w:r>
          </w:p>
        </w:tc>
      </w:tr>
      <w:tr w:rsidR="00C2696B" w:rsidRPr="00CF7E1B" w14:paraId="22FC3A96" w14:textId="77777777" w:rsidTr="0004564D">
        <w:trPr>
          <w:cantSplit/>
          <w:trHeight w:val="317"/>
        </w:trPr>
        <w:tc>
          <w:tcPr>
            <w:tcW w:w="1560" w:type="dxa"/>
            <w:tcBorders>
              <w:left w:val="single" w:sz="2" w:space="0" w:color="auto"/>
              <w:right w:val="single" w:sz="2" w:space="0" w:color="auto"/>
            </w:tcBorders>
          </w:tcPr>
          <w:p w14:paraId="48DD8B58" w14:textId="6ADE9854" w:rsidR="00C2696B" w:rsidRPr="00D239F9" w:rsidRDefault="00BE2922" w:rsidP="00063FFB">
            <w:pPr>
              <w:pStyle w:val="TableReference"/>
              <w:rPr>
                <w:rFonts w:cs="Calibri"/>
                <w:strike/>
                <w:color w:val="FF0000"/>
                <w:sz w:val="14"/>
              </w:rPr>
            </w:pPr>
            <w:r w:rsidRPr="00D239F9">
              <w:rPr>
                <w:rFonts w:cs="Calibri"/>
                <w:strike/>
                <w:color w:val="FF0000"/>
                <w:sz w:val="14"/>
              </w:rPr>
              <w:t>ACT Disclosure Policy</w:t>
            </w:r>
          </w:p>
        </w:tc>
        <w:tc>
          <w:tcPr>
            <w:tcW w:w="8930" w:type="dxa"/>
            <w:tcBorders>
              <w:left w:val="single" w:sz="2" w:space="0" w:color="auto"/>
            </w:tcBorders>
            <w:shd w:val="clear" w:color="auto" w:fill="7030A0"/>
          </w:tcPr>
          <w:p w14:paraId="5ACDC49A" w14:textId="114B2E9E" w:rsidR="00C2696B" w:rsidRPr="00FA0C47" w:rsidRDefault="00723365" w:rsidP="00F01B8C">
            <w:pPr>
              <w:spacing w:after="120"/>
              <w:jc w:val="both"/>
              <w:rPr>
                <w:rFonts w:cs="Calibri"/>
                <w:color w:val="FFFFFF" w:themeColor="background1"/>
                <w:sz w:val="18"/>
                <w:szCs w:val="18"/>
              </w:rPr>
            </w:pPr>
            <w:r w:rsidRPr="00FA0C47">
              <w:rPr>
                <w:rFonts w:cs="Calibri"/>
                <w:color w:val="FFFFFF" w:themeColor="background1"/>
                <w:sz w:val="18"/>
                <w:szCs w:val="18"/>
              </w:rPr>
              <w:t xml:space="preserve">AASB 1055 </w:t>
            </w:r>
            <w:r w:rsidRPr="00FA0C47">
              <w:rPr>
                <w:rFonts w:cs="Calibri"/>
                <w:i/>
                <w:color w:val="FFFFFF" w:themeColor="background1"/>
                <w:sz w:val="18"/>
                <w:szCs w:val="18"/>
              </w:rPr>
              <w:t>Budgetary Reporting</w:t>
            </w:r>
            <w:r w:rsidRPr="00FA0C47">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p>
        </w:tc>
      </w:tr>
      <w:tr w:rsidR="00F01B8C" w:rsidRPr="00CF7E1B" w14:paraId="2CBBFF10" w14:textId="77777777" w:rsidTr="0004564D">
        <w:trPr>
          <w:cantSplit/>
          <w:trHeight w:val="317"/>
        </w:trPr>
        <w:tc>
          <w:tcPr>
            <w:tcW w:w="1560" w:type="dxa"/>
            <w:tcBorders>
              <w:left w:val="single" w:sz="2" w:space="0" w:color="auto"/>
              <w:right w:val="single" w:sz="2" w:space="0" w:color="auto"/>
            </w:tcBorders>
          </w:tcPr>
          <w:p w14:paraId="60C1B045"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01942E2C" w14:textId="4F47F9B6"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 xml:space="preserve">Disclosures under AASB 1055 are intended to provide </w:t>
            </w:r>
            <w:r w:rsidR="00BE2922" w:rsidRPr="00FA0C47">
              <w:rPr>
                <w:rFonts w:cs="Calibri"/>
                <w:color w:val="FFFFFF" w:themeColor="background1"/>
                <w:sz w:val="18"/>
                <w:szCs w:val="18"/>
              </w:rPr>
              <w:t xml:space="preserve">primary </w:t>
            </w:r>
            <w:r w:rsidRPr="00FA0C47">
              <w:rPr>
                <w:rFonts w:cs="Calibri"/>
                <w:color w:val="FFFFFF" w:themeColor="background1"/>
                <w:sz w:val="18"/>
                <w:szCs w:val="18"/>
              </w:rPr>
              <w:t>users with information relevant to assessing the financial performance of an agency. The main user is considered to be the Legislative Assembly.</w:t>
            </w:r>
          </w:p>
        </w:tc>
      </w:tr>
      <w:tr w:rsidR="00F01B8C" w:rsidRPr="00CF7E1B" w14:paraId="02C196F1" w14:textId="77777777" w:rsidTr="0004564D">
        <w:trPr>
          <w:cantSplit/>
          <w:trHeight w:val="317"/>
        </w:trPr>
        <w:tc>
          <w:tcPr>
            <w:tcW w:w="1560" w:type="dxa"/>
            <w:tcBorders>
              <w:left w:val="single" w:sz="2" w:space="0" w:color="auto"/>
              <w:right w:val="single" w:sz="2" w:space="0" w:color="auto"/>
            </w:tcBorders>
          </w:tcPr>
          <w:p w14:paraId="5E44CE4A"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0CCA30A" w14:textId="637610A8" w:rsidR="00F01B8C" w:rsidRPr="00FA0C47" w:rsidRDefault="00F01B8C" w:rsidP="00BE2922">
            <w:pPr>
              <w:spacing w:after="40"/>
              <w:jc w:val="both"/>
              <w:rPr>
                <w:rFonts w:cs="Calibri"/>
                <w:color w:val="FFFFFF" w:themeColor="background1"/>
                <w:sz w:val="18"/>
                <w:szCs w:val="18"/>
              </w:rPr>
            </w:pPr>
            <w:r w:rsidRPr="00FA0C47">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BE2922" w:rsidRPr="00FA0C47">
              <w:rPr>
                <w:rFonts w:cs="Calibri"/>
                <w:color w:val="FFFFFF" w:themeColor="background1"/>
                <w:sz w:val="18"/>
                <w:szCs w:val="18"/>
              </w:rPr>
              <w:t>t</w:t>
            </w:r>
            <w:r w:rsidRPr="00FA0C47">
              <w:rPr>
                <w:rFonts w:cs="Calibri"/>
                <w:color w:val="FFFFFF" w:themeColor="background1"/>
                <w:sz w:val="18"/>
                <w:szCs w:val="18"/>
              </w:rPr>
              <w:t xml:space="preserve">erritory </w:t>
            </w:r>
            <w:r w:rsidR="00BE2922" w:rsidRPr="00FA0C47">
              <w:rPr>
                <w:rFonts w:cs="Calibri"/>
                <w:color w:val="FFFFFF" w:themeColor="background1"/>
                <w:sz w:val="18"/>
                <w:szCs w:val="18"/>
              </w:rPr>
              <w:t>a</w:t>
            </w:r>
            <w:r w:rsidRPr="00FA0C47">
              <w:rPr>
                <w:rFonts w:cs="Calibri"/>
                <w:color w:val="FFFFFF" w:themeColor="background1"/>
                <w:sz w:val="18"/>
                <w:szCs w:val="18"/>
              </w:rPr>
              <w:t>uthority will need to disclose for the reporting period:</w:t>
            </w:r>
          </w:p>
          <w:p w14:paraId="05978802" w14:textId="19B0933C" w:rsidR="00F01B8C" w:rsidRPr="00FA0C47" w:rsidRDefault="00F01B8C" w:rsidP="00CB31DE">
            <w:pPr>
              <w:numPr>
                <w:ilvl w:val="0"/>
                <w:numId w:val="32"/>
              </w:numPr>
              <w:spacing w:after="40"/>
              <w:ind w:left="414" w:hanging="357"/>
              <w:jc w:val="both"/>
              <w:rPr>
                <w:rFonts w:cs="Calibri"/>
                <w:color w:val="FFFFFF" w:themeColor="background1"/>
                <w:sz w:val="18"/>
                <w:szCs w:val="18"/>
              </w:rPr>
            </w:pPr>
            <w:r w:rsidRPr="00FA0C47">
              <w:rPr>
                <w:rFonts w:cs="Calibri"/>
                <w:color w:val="FFFFFF" w:themeColor="background1"/>
                <w:sz w:val="18"/>
                <w:szCs w:val="18"/>
              </w:rPr>
              <w:t>the original budget figures as presented to the Legislative Assembly, in a form that is consistent with the agency’s annual financial statements; and</w:t>
            </w:r>
          </w:p>
          <w:p w14:paraId="10AAC7D9" w14:textId="2149723F" w:rsidR="00F01B8C" w:rsidRPr="00FA0C47" w:rsidRDefault="00F01B8C" w:rsidP="00CB31DE">
            <w:pPr>
              <w:numPr>
                <w:ilvl w:val="0"/>
                <w:numId w:val="32"/>
              </w:numPr>
              <w:spacing w:after="120"/>
              <w:ind w:left="414" w:hanging="357"/>
              <w:jc w:val="both"/>
              <w:rPr>
                <w:rFonts w:cs="Calibri"/>
                <w:color w:val="FFFFFF" w:themeColor="background1"/>
                <w:sz w:val="18"/>
                <w:szCs w:val="18"/>
              </w:rPr>
            </w:pPr>
            <w:r w:rsidRPr="00FA0C47">
              <w:rPr>
                <w:rFonts w:cs="Calibri"/>
                <w:color w:val="FFFFFF" w:themeColor="background1"/>
                <w:sz w:val="18"/>
                <w:szCs w:val="18"/>
              </w:rPr>
              <w:t>explanations of major variances between actual amounts presented in the financial statements and the corresponding individual original budget amounts.</w:t>
            </w:r>
          </w:p>
        </w:tc>
      </w:tr>
      <w:tr w:rsidR="00F01B8C" w:rsidRPr="00CF7E1B" w14:paraId="30EC2F8B" w14:textId="77777777" w:rsidTr="0004564D">
        <w:trPr>
          <w:cantSplit/>
          <w:trHeight w:val="317"/>
        </w:trPr>
        <w:tc>
          <w:tcPr>
            <w:tcW w:w="1560" w:type="dxa"/>
            <w:tcBorders>
              <w:left w:val="single" w:sz="2" w:space="0" w:color="auto"/>
              <w:right w:val="single" w:sz="2" w:space="0" w:color="auto"/>
            </w:tcBorders>
          </w:tcPr>
          <w:p w14:paraId="3DE33D58" w14:textId="081F296B" w:rsidR="00F01B8C" w:rsidRPr="00AC3DDE" w:rsidRDefault="00BE2922" w:rsidP="00063FFB">
            <w:pPr>
              <w:pStyle w:val="TableReference"/>
              <w:rPr>
                <w:rFonts w:cs="Calibri"/>
                <w:color w:val="7030A0"/>
                <w:sz w:val="14"/>
              </w:rPr>
            </w:pPr>
            <w:r w:rsidRPr="00AC3DDE">
              <w:rPr>
                <w:rFonts w:cs="Calibri"/>
                <w:color w:val="7030A0"/>
                <w:sz w:val="14"/>
              </w:rPr>
              <w:t>ACT Disclosure Policy</w:t>
            </w:r>
          </w:p>
        </w:tc>
        <w:tc>
          <w:tcPr>
            <w:tcW w:w="8930" w:type="dxa"/>
            <w:tcBorders>
              <w:left w:val="single" w:sz="2" w:space="0" w:color="auto"/>
            </w:tcBorders>
            <w:shd w:val="clear" w:color="auto" w:fill="7030A0"/>
          </w:tcPr>
          <w:p w14:paraId="51B53CD9" w14:textId="1FBED25E" w:rsidR="00F01B8C" w:rsidRPr="00FA0C47" w:rsidRDefault="00BE2922" w:rsidP="006D6920">
            <w:pPr>
              <w:spacing w:after="120"/>
              <w:jc w:val="both"/>
              <w:rPr>
                <w:rFonts w:cs="Calibri"/>
                <w:color w:val="FFFFFF" w:themeColor="background1"/>
                <w:sz w:val="18"/>
                <w:szCs w:val="18"/>
              </w:rPr>
            </w:pPr>
            <w:r w:rsidRPr="00FA0C47">
              <w:rPr>
                <w:rFonts w:cs="Calibri"/>
                <w:color w:val="FFFFFF" w:themeColor="background1"/>
                <w:sz w:val="18"/>
                <w:szCs w:val="18"/>
              </w:rPr>
              <w:t>B</w:t>
            </w:r>
            <w:r w:rsidR="00F01B8C" w:rsidRPr="00FA0C47">
              <w:rPr>
                <w:rFonts w:cs="Calibri"/>
                <w:color w:val="FFFFFF" w:themeColor="background1"/>
                <w:sz w:val="18"/>
                <w:szCs w:val="18"/>
              </w:rPr>
              <w:t xml:space="preserve">udgetary reporting </w:t>
            </w:r>
            <w:r w:rsidRPr="00FA0C47">
              <w:rPr>
                <w:rFonts w:cs="Calibri"/>
                <w:color w:val="FFFFFF" w:themeColor="background1"/>
                <w:sz w:val="18"/>
                <w:szCs w:val="18"/>
              </w:rPr>
              <w:t xml:space="preserve">is required to </w:t>
            </w:r>
            <w:r w:rsidR="00F01B8C" w:rsidRPr="00FA0C47">
              <w:rPr>
                <w:rFonts w:cs="Calibri"/>
                <w:color w:val="FFFFFF" w:themeColor="background1"/>
                <w:sz w:val="18"/>
                <w:szCs w:val="18"/>
              </w:rPr>
              <w:t>be disclosed for territorial as well as controlled.</w:t>
            </w:r>
          </w:p>
        </w:tc>
      </w:tr>
      <w:tr w:rsidR="00F01B8C" w:rsidRPr="00CF7E1B" w14:paraId="06EA1909" w14:textId="77777777" w:rsidTr="0004564D">
        <w:trPr>
          <w:cantSplit/>
          <w:trHeight w:val="317"/>
        </w:trPr>
        <w:tc>
          <w:tcPr>
            <w:tcW w:w="1560" w:type="dxa"/>
            <w:tcBorders>
              <w:left w:val="single" w:sz="2" w:space="0" w:color="auto"/>
              <w:right w:val="single" w:sz="2" w:space="0" w:color="auto"/>
            </w:tcBorders>
          </w:tcPr>
          <w:p w14:paraId="66F32F6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A6DF203" w14:textId="56B21115"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Original Budget refers to the amounts presented to the Legislative Assembly in the original budgeted financial statements in respect of the reporting period (</w:t>
            </w:r>
            <w:r w:rsidR="00300197" w:rsidRPr="00FA0C47">
              <w:rPr>
                <w:rFonts w:cs="Calibri"/>
                <w:color w:val="FFFFFF" w:themeColor="background1"/>
                <w:sz w:val="18"/>
                <w:szCs w:val="18"/>
              </w:rPr>
              <w:t>202</w:t>
            </w:r>
            <w:r w:rsidR="00687D08">
              <w:rPr>
                <w:rFonts w:cs="Calibri"/>
                <w:color w:val="FFFFFF" w:themeColor="background1"/>
                <w:sz w:val="18"/>
                <w:szCs w:val="18"/>
              </w:rPr>
              <w:t>2</w:t>
            </w:r>
            <w:r w:rsidR="00300197" w:rsidRPr="00FA0C47">
              <w:rPr>
                <w:rFonts w:cs="Calibri"/>
                <w:color w:val="FFFFFF" w:themeColor="background1"/>
                <w:sz w:val="18"/>
                <w:szCs w:val="18"/>
              </w:rPr>
              <w:t>-2</w:t>
            </w:r>
            <w:r w:rsidR="00687D08">
              <w:rPr>
                <w:rFonts w:cs="Calibri"/>
                <w:color w:val="FFFFFF" w:themeColor="background1"/>
                <w:sz w:val="18"/>
                <w:szCs w:val="18"/>
              </w:rPr>
              <w:t>3</w:t>
            </w:r>
            <w:r w:rsidR="00FA0C47" w:rsidRPr="00FA0C47">
              <w:rPr>
                <w:rFonts w:cs="Calibri"/>
                <w:color w:val="FFFFFF" w:themeColor="background1"/>
                <w:sz w:val="18"/>
                <w:szCs w:val="18"/>
              </w:rPr>
              <w:t xml:space="preserve"> </w:t>
            </w:r>
            <w:r w:rsidRPr="00FA0C47">
              <w:rPr>
                <w:rFonts w:cs="Calibri"/>
                <w:color w:val="FFFFFF" w:themeColor="background1"/>
                <w:sz w:val="18"/>
                <w:szCs w:val="18"/>
              </w:rPr>
              <w:t>Budget Statements).</w:t>
            </w:r>
            <w:r w:rsidR="00FA7C77">
              <w:rPr>
                <w:rFonts w:cs="Calibri"/>
                <w:color w:val="FFFFFF" w:themeColor="background1"/>
                <w:sz w:val="18"/>
                <w:szCs w:val="18"/>
              </w:rPr>
              <w:t xml:space="preserve"> </w:t>
            </w:r>
            <w:r w:rsidRPr="00FA0C47">
              <w:rPr>
                <w:rFonts w:cs="Calibri"/>
                <w:color w:val="FFFFFF" w:themeColor="background1"/>
                <w:sz w:val="18"/>
                <w:szCs w:val="18"/>
              </w:rPr>
              <w:t>These amounts are not adjusted to reflect revised budgets</w:t>
            </w:r>
            <w:r w:rsidR="00BE2922" w:rsidRPr="00FA0C47">
              <w:rPr>
                <w:rFonts w:cs="Calibri"/>
                <w:color w:val="FFFFFF" w:themeColor="background1"/>
                <w:sz w:val="18"/>
                <w:szCs w:val="18"/>
              </w:rPr>
              <w:t>,</w:t>
            </w:r>
            <w:r w:rsidRPr="00FA0C47">
              <w:rPr>
                <w:rFonts w:cs="Calibri"/>
                <w:color w:val="FFFFFF" w:themeColor="background1"/>
                <w:sz w:val="18"/>
                <w:szCs w:val="18"/>
              </w:rPr>
              <w:t xml:space="preserve"> resulting from supplementary appropriations or administrative arrangements or other instruments authorised under the provisions of the </w:t>
            </w:r>
            <w:r w:rsidRPr="00FA0C47">
              <w:rPr>
                <w:rFonts w:cs="Calibri"/>
                <w:i/>
                <w:color w:val="FFFFFF" w:themeColor="background1"/>
                <w:sz w:val="18"/>
                <w:szCs w:val="18"/>
              </w:rPr>
              <w:t>Financial Management Act 1996</w:t>
            </w:r>
            <w:r w:rsidRPr="00FA0C47">
              <w:rPr>
                <w:rFonts w:cs="Calibri"/>
                <w:color w:val="FFFFFF" w:themeColor="background1"/>
                <w:sz w:val="18"/>
                <w:szCs w:val="18"/>
              </w:rPr>
              <w:t>.</w:t>
            </w:r>
            <w:r w:rsidR="00FA7C77">
              <w:rPr>
                <w:rFonts w:cs="Calibri"/>
                <w:color w:val="FFFFFF" w:themeColor="background1"/>
                <w:sz w:val="18"/>
                <w:szCs w:val="18"/>
              </w:rPr>
              <w:t xml:space="preserve"> </w:t>
            </w:r>
            <w:r w:rsidRPr="00CC3306">
              <w:rPr>
                <w:rFonts w:cs="Calibri"/>
                <w:strike/>
                <w:color w:val="FF0000"/>
                <w:sz w:val="18"/>
                <w:szCs w:val="18"/>
              </w:rPr>
              <w:t>Explanations associated with revised budgets, particularly administrative arrangement changes, are to be reflected</w:t>
            </w:r>
            <w:r w:rsidRPr="00CC3306">
              <w:rPr>
                <w:rFonts w:cs="Calibri"/>
                <w:i/>
                <w:strike/>
                <w:color w:val="FF0000"/>
                <w:sz w:val="18"/>
                <w:szCs w:val="18"/>
              </w:rPr>
              <w:t xml:space="preserve"> </w:t>
            </w:r>
            <w:r w:rsidRPr="00CC3306">
              <w:rPr>
                <w:rFonts w:cs="Calibri"/>
                <w:strike/>
                <w:color w:val="FF0000"/>
                <w:sz w:val="18"/>
                <w:szCs w:val="18"/>
              </w:rPr>
              <w:t>in the Management Discussion and Analysis,</w:t>
            </w:r>
            <w:r w:rsidRPr="00CC3306">
              <w:rPr>
                <w:strike/>
                <w:color w:val="FF0000"/>
                <w:sz w:val="18"/>
                <w:szCs w:val="18"/>
              </w:rPr>
              <w:t xml:space="preserve"> which provides</w:t>
            </w:r>
            <w:r w:rsidRPr="00CC3306">
              <w:rPr>
                <w:strike/>
                <w:color w:val="FF0000"/>
                <w:spacing w:val="-1"/>
                <w:sz w:val="18"/>
                <w:szCs w:val="18"/>
              </w:rPr>
              <w:t xml:space="preserve"> </w:t>
            </w:r>
            <w:r w:rsidRPr="00CC3306">
              <w:rPr>
                <w:strike/>
                <w:color w:val="FF0000"/>
                <w:sz w:val="18"/>
                <w:szCs w:val="18"/>
              </w:rPr>
              <w:t>a</w:t>
            </w:r>
            <w:r w:rsidRPr="00CC3306">
              <w:rPr>
                <w:strike/>
                <w:color w:val="FF0000"/>
                <w:spacing w:val="-1"/>
                <w:sz w:val="18"/>
                <w:szCs w:val="18"/>
              </w:rPr>
              <w:t xml:space="preserve"> </w:t>
            </w:r>
            <w:r w:rsidRPr="00CC3306">
              <w:rPr>
                <w:strike/>
                <w:color w:val="FF0000"/>
                <w:sz w:val="18"/>
                <w:szCs w:val="18"/>
              </w:rPr>
              <w:t>high</w:t>
            </w:r>
            <w:r w:rsidRPr="00CC3306">
              <w:rPr>
                <w:strike/>
                <w:color w:val="FF0000"/>
                <w:spacing w:val="-1"/>
                <w:sz w:val="18"/>
                <w:szCs w:val="18"/>
              </w:rPr>
              <w:t xml:space="preserve"> </w:t>
            </w:r>
            <w:r w:rsidRPr="00CC3306">
              <w:rPr>
                <w:strike/>
                <w:color w:val="FF0000"/>
                <w:sz w:val="18"/>
                <w:szCs w:val="18"/>
              </w:rPr>
              <w:t>level</w:t>
            </w:r>
            <w:r w:rsidRPr="00CC3306">
              <w:rPr>
                <w:strike/>
                <w:color w:val="FF0000"/>
                <w:spacing w:val="-1"/>
                <w:sz w:val="18"/>
                <w:szCs w:val="18"/>
              </w:rPr>
              <w:t xml:space="preserve"> </w:t>
            </w:r>
            <w:r w:rsidRPr="00CC3306">
              <w:rPr>
                <w:strike/>
                <w:color w:val="FF0000"/>
                <w:sz w:val="18"/>
                <w:szCs w:val="18"/>
              </w:rPr>
              <w:t>overview</w:t>
            </w:r>
            <w:r w:rsidRPr="00CC3306">
              <w:rPr>
                <w:strike/>
                <w:color w:val="FF0000"/>
                <w:spacing w:val="-1"/>
                <w:sz w:val="18"/>
                <w:szCs w:val="18"/>
              </w:rPr>
              <w:t xml:space="preserve"> </w:t>
            </w:r>
            <w:r w:rsidRPr="00CC3306">
              <w:rPr>
                <w:strike/>
                <w:color w:val="FF0000"/>
                <w:sz w:val="18"/>
                <w:szCs w:val="18"/>
              </w:rPr>
              <w:t>of</w:t>
            </w:r>
            <w:r w:rsidRPr="00CC3306">
              <w:rPr>
                <w:strike/>
                <w:color w:val="FF0000"/>
                <w:spacing w:val="-1"/>
                <w:sz w:val="18"/>
                <w:szCs w:val="18"/>
              </w:rPr>
              <w:t xml:space="preserve"> </w:t>
            </w:r>
            <w:r w:rsidRPr="00CC3306">
              <w:rPr>
                <w:strike/>
                <w:color w:val="FF0000"/>
                <w:sz w:val="18"/>
                <w:szCs w:val="18"/>
              </w:rPr>
              <w:t>the</w:t>
            </w:r>
            <w:r w:rsidRPr="00CC3306">
              <w:rPr>
                <w:strike/>
                <w:color w:val="FF0000"/>
                <w:spacing w:val="-1"/>
                <w:sz w:val="18"/>
                <w:szCs w:val="18"/>
              </w:rPr>
              <w:t xml:space="preserve"> financial </w:t>
            </w:r>
            <w:r w:rsidRPr="00CC3306">
              <w:rPr>
                <w:strike/>
                <w:color w:val="FF0000"/>
                <w:sz w:val="18"/>
                <w:szCs w:val="18"/>
              </w:rPr>
              <w:t>results</w:t>
            </w:r>
            <w:r w:rsidRPr="00CC3306">
              <w:rPr>
                <w:strike/>
                <w:color w:val="FF0000"/>
                <w:spacing w:val="-1"/>
                <w:sz w:val="18"/>
                <w:szCs w:val="18"/>
              </w:rPr>
              <w:t xml:space="preserve"> </w:t>
            </w:r>
            <w:r w:rsidRPr="00CC3306">
              <w:rPr>
                <w:strike/>
                <w:color w:val="FF0000"/>
                <w:sz w:val="18"/>
                <w:szCs w:val="18"/>
              </w:rPr>
              <w:t>of</w:t>
            </w:r>
            <w:r w:rsidRPr="00CC3306">
              <w:rPr>
                <w:strike/>
                <w:color w:val="FF0000"/>
                <w:spacing w:val="-1"/>
                <w:sz w:val="18"/>
                <w:szCs w:val="18"/>
              </w:rPr>
              <w:t xml:space="preserve"> </w:t>
            </w:r>
            <w:r w:rsidRPr="00CC3306">
              <w:rPr>
                <w:strike/>
                <w:color w:val="FF0000"/>
                <w:sz w:val="18"/>
                <w:szCs w:val="18"/>
              </w:rPr>
              <w:t>an</w:t>
            </w:r>
            <w:r w:rsidRPr="00CC3306">
              <w:rPr>
                <w:strike/>
                <w:color w:val="FF0000"/>
                <w:spacing w:val="-1"/>
                <w:sz w:val="18"/>
                <w:szCs w:val="18"/>
              </w:rPr>
              <w:t xml:space="preserve"> entity</w:t>
            </w:r>
            <w:r w:rsidRPr="00CC3306">
              <w:rPr>
                <w:strike/>
                <w:color w:val="FF0000"/>
                <w:sz w:val="18"/>
                <w:szCs w:val="18"/>
              </w:rPr>
              <w:t xml:space="preserve"> and</w:t>
            </w:r>
            <w:r w:rsidRPr="00CC3306">
              <w:rPr>
                <w:strike/>
                <w:color w:val="FF0000"/>
                <w:spacing w:val="-1"/>
                <w:sz w:val="18"/>
                <w:szCs w:val="18"/>
              </w:rPr>
              <w:t xml:space="preserve"> the </w:t>
            </w:r>
            <w:r w:rsidRPr="00CC3306">
              <w:rPr>
                <w:strike/>
                <w:color w:val="FF0000"/>
                <w:sz w:val="18"/>
                <w:szCs w:val="18"/>
              </w:rPr>
              <w:t>factors</w:t>
            </w:r>
            <w:r w:rsidRPr="00CC3306">
              <w:rPr>
                <w:strike/>
                <w:color w:val="FF0000"/>
                <w:spacing w:val="-1"/>
                <w:sz w:val="18"/>
                <w:szCs w:val="18"/>
              </w:rPr>
              <w:t xml:space="preserve"> </w:t>
            </w:r>
            <w:r w:rsidRPr="00CC3306">
              <w:rPr>
                <w:strike/>
                <w:color w:val="FF0000"/>
                <w:sz w:val="18"/>
                <w:szCs w:val="18"/>
              </w:rPr>
              <w:t xml:space="preserve">underlying the </w:t>
            </w:r>
            <w:r w:rsidRPr="00CC3306">
              <w:rPr>
                <w:strike/>
                <w:color w:val="FF0000"/>
                <w:spacing w:val="-1"/>
                <w:sz w:val="18"/>
                <w:szCs w:val="18"/>
              </w:rPr>
              <w:t>development,</w:t>
            </w:r>
            <w:r w:rsidRPr="00CC3306">
              <w:rPr>
                <w:strike/>
                <w:color w:val="FF0000"/>
                <w:sz w:val="18"/>
                <w:szCs w:val="18"/>
              </w:rPr>
              <w:t xml:space="preserve"> </w:t>
            </w:r>
            <w:r w:rsidRPr="00CC3306">
              <w:rPr>
                <w:strike/>
                <w:color w:val="FF0000"/>
                <w:spacing w:val="-1"/>
                <w:sz w:val="18"/>
                <w:szCs w:val="18"/>
              </w:rPr>
              <w:t>performance</w:t>
            </w:r>
            <w:r w:rsidRPr="00CC3306">
              <w:rPr>
                <w:strike/>
                <w:color w:val="FF0000"/>
                <w:spacing w:val="43"/>
                <w:sz w:val="18"/>
                <w:szCs w:val="18"/>
              </w:rPr>
              <w:t xml:space="preserve"> </w:t>
            </w:r>
            <w:r w:rsidRPr="00CC3306">
              <w:rPr>
                <w:strike/>
                <w:color w:val="FF0000"/>
                <w:sz w:val="18"/>
                <w:szCs w:val="18"/>
              </w:rPr>
              <w:t xml:space="preserve">and position of the entity’s business during </w:t>
            </w:r>
            <w:r w:rsidRPr="00CC3306">
              <w:rPr>
                <w:strike/>
                <w:color w:val="FF0000"/>
                <w:spacing w:val="-1"/>
                <w:sz w:val="18"/>
                <w:szCs w:val="18"/>
              </w:rPr>
              <w:t xml:space="preserve">the reporting </w:t>
            </w:r>
            <w:r w:rsidRPr="00CC3306">
              <w:rPr>
                <w:strike/>
                <w:color w:val="FF0000"/>
                <w:sz w:val="18"/>
                <w:szCs w:val="18"/>
              </w:rPr>
              <w:t>period</w:t>
            </w:r>
            <w:r w:rsidRPr="00CC3306">
              <w:rPr>
                <w:strike/>
                <w:color w:val="FF0000"/>
                <w:spacing w:val="-1"/>
                <w:sz w:val="18"/>
                <w:szCs w:val="18"/>
              </w:rPr>
              <w:t>.</w:t>
            </w:r>
          </w:p>
        </w:tc>
      </w:tr>
      <w:tr w:rsidR="00F01B8C" w:rsidRPr="00CF7E1B" w14:paraId="042A0E7F" w14:textId="77777777" w:rsidTr="0004564D">
        <w:trPr>
          <w:cantSplit/>
          <w:trHeight w:val="317"/>
        </w:trPr>
        <w:tc>
          <w:tcPr>
            <w:tcW w:w="1560" w:type="dxa"/>
            <w:tcBorders>
              <w:left w:val="single" w:sz="2" w:space="0" w:color="auto"/>
              <w:right w:val="single" w:sz="2" w:space="0" w:color="auto"/>
            </w:tcBorders>
          </w:tcPr>
          <w:p w14:paraId="23E0900D" w14:textId="20936D84" w:rsidR="00F01B8C" w:rsidRPr="00AC3DDE" w:rsidRDefault="00F52BCE" w:rsidP="00063FFB">
            <w:pPr>
              <w:pStyle w:val="TableReference"/>
              <w:rPr>
                <w:rFonts w:cs="Calibri"/>
                <w:color w:val="7030A0"/>
                <w:sz w:val="16"/>
                <w:szCs w:val="16"/>
              </w:rPr>
            </w:pPr>
            <w:r w:rsidRPr="00AC3DDE">
              <w:rPr>
                <w:rFonts w:cs="Calibri"/>
                <w:color w:val="7030A0"/>
                <w:sz w:val="14"/>
              </w:rPr>
              <w:t>ACT Disclosure Policy</w:t>
            </w:r>
          </w:p>
        </w:tc>
        <w:tc>
          <w:tcPr>
            <w:tcW w:w="8930" w:type="dxa"/>
            <w:tcBorders>
              <w:left w:val="single" w:sz="2" w:space="0" w:color="auto"/>
            </w:tcBorders>
            <w:shd w:val="clear" w:color="auto" w:fill="7030A0"/>
          </w:tcPr>
          <w:p w14:paraId="790306D5" w14:textId="7AD4DCF9"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Under the provisions of AASB 1055, where the original budget is revised by a supplementary budget that is presented to the Legislative Assembly, the revised budget may be disclosed in the financial statements in addition to the original budget and might need to be referred to in explanations of major variances.</w:t>
            </w:r>
            <w:r w:rsidR="00FA7C77">
              <w:rPr>
                <w:rFonts w:cs="Calibri"/>
                <w:color w:val="FFFFFF" w:themeColor="background1"/>
                <w:sz w:val="18"/>
                <w:szCs w:val="18"/>
              </w:rPr>
              <w:t xml:space="preserve"> </w:t>
            </w:r>
            <w:r w:rsidR="00F52BCE" w:rsidRPr="00FA0C47">
              <w:rPr>
                <w:rFonts w:cs="Calibri"/>
                <w:color w:val="FFFFFF" w:themeColor="background1"/>
                <w:sz w:val="18"/>
                <w:szCs w:val="18"/>
              </w:rPr>
              <w:t>It is ACT Disclosure Policy that Agencies only include the original budget in its financial statements.</w:t>
            </w:r>
          </w:p>
        </w:tc>
      </w:tr>
      <w:tr w:rsidR="00F01B8C" w:rsidRPr="00CF7E1B" w14:paraId="7A6AA0F2" w14:textId="77777777" w:rsidTr="0004564D">
        <w:trPr>
          <w:cantSplit/>
          <w:trHeight w:val="317"/>
        </w:trPr>
        <w:tc>
          <w:tcPr>
            <w:tcW w:w="1560" w:type="dxa"/>
            <w:tcBorders>
              <w:left w:val="single" w:sz="2" w:space="0" w:color="auto"/>
              <w:right w:val="single" w:sz="2" w:space="0" w:color="auto"/>
            </w:tcBorders>
          </w:tcPr>
          <w:p w14:paraId="326CD02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37B409E" w14:textId="0BAD67FD"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The explanations of major variances required to be disclosed are those relevant to an assessment of the discharge of accountability and to an analysis of the performance of an entity, and should not merely focus on the numerical differences between original budget and actual amounts. They include the causes of major variances rather than merely the nature of the variances.</w:t>
            </w:r>
          </w:p>
        </w:tc>
      </w:tr>
      <w:tr w:rsidR="00F01B8C" w:rsidRPr="00CF7E1B" w14:paraId="721B8C48" w14:textId="77777777" w:rsidTr="0004564D">
        <w:trPr>
          <w:cantSplit/>
          <w:trHeight w:val="317"/>
        </w:trPr>
        <w:tc>
          <w:tcPr>
            <w:tcW w:w="1560" w:type="dxa"/>
            <w:tcBorders>
              <w:left w:val="single" w:sz="2" w:space="0" w:color="auto"/>
              <w:right w:val="single" w:sz="2" w:space="0" w:color="auto"/>
            </w:tcBorders>
          </w:tcPr>
          <w:p w14:paraId="0AE692C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A9931E2" w14:textId="7C471C3E"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from comparative budget information in respect of the previous period need not be disclosed.</w:t>
            </w:r>
          </w:p>
        </w:tc>
      </w:tr>
      <w:tr w:rsidR="00F01B8C" w:rsidRPr="00CF7E1B" w14:paraId="2DADB060" w14:textId="77777777" w:rsidTr="0004564D">
        <w:trPr>
          <w:cantSplit/>
          <w:trHeight w:val="317"/>
        </w:trPr>
        <w:tc>
          <w:tcPr>
            <w:tcW w:w="1560" w:type="dxa"/>
            <w:tcBorders>
              <w:left w:val="single" w:sz="2" w:space="0" w:color="auto"/>
              <w:right w:val="single" w:sz="2" w:space="0" w:color="auto"/>
            </w:tcBorders>
          </w:tcPr>
          <w:p w14:paraId="646A7F5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4A51F46" w14:textId="7A505A43"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for the Statement of Changes in Equity do not have to be disclosed because these line items are also contained in other financial statements.</w:t>
            </w:r>
          </w:p>
        </w:tc>
      </w:tr>
      <w:tr w:rsidR="00F01B8C" w:rsidRPr="00CF7E1B" w14:paraId="1B228B41" w14:textId="77777777" w:rsidTr="0004564D">
        <w:trPr>
          <w:cantSplit/>
          <w:trHeight w:val="317"/>
        </w:trPr>
        <w:tc>
          <w:tcPr>
            <w:tcW w:w="1560" w:type="dxa"/>
            <w:tcBorders>
              <w:left w:val="single" w:sz="2" w:space="0" w:color="auto"/>
              <w:right w:val="single" w:sz="2" w:space="0" w:color="auto"/>
            </w:tcBorders>
          </w:tcPr>
          <w:p w14:paraId="74568271"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35D72E93" w14:textId="38C6AEAA"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Explanations of major variances at the Output Class level are not required.</w:t>
            </w:r>
          </w:p>
        </w:tc>
      </w:tr>
      <w:tr w:rsidR="00AC3DDE" w:rsidRPr="00CF7E1B" w14:paraId="5C9A93BF" w14:textId="77777777" w:rsidTr="0004564D">
        <w:trPr>
          <w:cantSplit/>
          <w:trHeight w:val="317"/>
        </w:trPr>
        <w:tc>
          <w:tcPr>
            <w:tcW w:w="1560" w:type="dxa"/>
            <w:tcBorders>
              <w:left w:val="single" w:sz="2" w:space="0" w:color="auto"/>
              <w:right w:val="single" w:sz="2" w:space="0" w:color="auto"/>
            </w:tcBorders>
          </w:tcPr>
          <w:p w14:paraId="0893467F"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D3DE726" w14:textId="77777777" w:rsidR="00AC3DDE" w:rsidRPr="00C87FF4" w:rsidRDefault="00AC3DDE" w:rsidP="00C87FF4">
            <w:pPr>
              <w:spacing w:after="40"/>
              <w:jc w:val="both"/>
              <w:rPr>
                <w:rFonts w:cs="Calibri"/>
                <w:b/>
                <w:color w:val="FFFFFF" w:themeColor="background1"/>
                <w:sz w:val="20"/>
                <w:szCs w:val="20"/>
              </w:rPr>
            </w:pPr>
            <w:r w:rsidRPr="00C87FF4">
              <w:rPr>
                <w:rFonts w:cs="Calibri"/>
                <w:b/>
                <w:color w:val="FFFFFF" w:themeColor="background1"/>
                <w:sz w:val="20"/>
                <w:szCs w:val="20"/>
              </w:rPr>
              <w:t>General Guide for Assessing Major Variances</w:t>
            </w:r>
          </w:p>
          <w:p w14:paraId="5AD97478" w14:textId="77777777" w:rsidR="00AC3DDE" w:rsidRPr="00AC3DDE" w:rsidRDefault="00AC3DDE" w:rsidP="00AC3DDE">
            <w:pPr>
              <w:spacing w:after="40"/>
              <w:jc w:val="both"/>
              <w:rPr>
                <w:color w:val="FFFFFF" w:themeColor="background1"/>
                <w:sz w:val="18"/>
                <w:szCs w:val="18"/>
              </w:rPr>
            </w:pPr>
            <w:r w:rsidRPr="00AC3DDE">
              <w:rPr>
                <w:color w:val="FFFFFF" w:themeColor="background1"/>
                <w:sz w:val="18"/>
                <w:szCs w:val="18"/>
              </w:rPr>
              <w:t xml:space="preserve">As a general guide, variances are considered to be major variances if </w:t>
            </w:r>
            <w:r w:rsidRPr="00AC3DDE">
              <w:rPr>
                <w:b/>
                <w:color w:val="FFFFFF" w:themeColor="background1"/>
                <w:sz w:val="18"/>
                <w:szCs w:val="18"/>
              </w:rPr>
              <w:t>both</w:t>
            </w:r>
            <w:r w:rsidRPr="00AC3DDE">
              <w:rPr>
                <w:color w:val="FFFFFF" w:themeColor="background1"/>
                <w:sz w:val="18"/>
                <w:szCs w:val="18"/>
              </w:rPr>
              <w:t xml:space="preserve"> of the following criteria are met:</w:t>
            </w:r>
          </w:p>
          <w:p w14:paraId="15042F63" w14:textId="568DA578" w:rsidR="00AC3DDE" w:rsidRPr="00AC3DDE" w:rsidRDefault="00AC3DDE" w:rsidP="00CB31DE">
            <w:pPr>
              <w:pStyle w:val="ListParagraph"/>
              <w:numPr>
                <w:ilvl w:val="0"/>
                <w:numId w:val="75"/>
              </w:numPr>
              <w:spacing w:after="40"/>
              <w:ind w:left="452"/>
              <w:jc w:val="both"/>
              <w:rPr>
                <w:color w:val="FFFFFF" w:themeColor="background1"/>
                <w:sz w:val="18"/>
                <w:szCs w:val="18"/>
              </w:rPr>
            </w:pPr>
            <w:r w:rsidRPr="00AC3DDE">
              <w:rPr>
                <w:color w:val="FFFFFF" w:themeColor="background1"/>
                <w:sz w:val="18"/>
                <w:szCs w:val="18"/>
              </w:rPr>
              <w:t xml:space="preserve">the line item is a significant line item: where either the line item actual amount accounts for </w:t>
            </w:r>
            <w:r w:rsidRPr="00AC3DDE">
              <w:rPr>
                <w:color w:val="FFFFFF" w:themeColor="background1"/>
                <w:sz w:val="18"/>
                <w:szCs w:val="18"/>
                <w:u w:val="single"/>
              </w:rPr>
              <w:t>more than</w:t>
            </w:r>
            <w:r w:rsidRPr="00AC3DDE">
              <w:rPr>
                <w:color w:val="FFFFFF" w:themeColor="background1"/>
                <w:sz w:val="18"/>
                <w:szCs w:val="18"/>
              </w:rPr>
              <w:t xml:space="preserve"> 10% of the relevant associated actual category amount (Income, Expenses, Assets, </w:t>
            </w:r>
            <w:r w:rsidR="003173AE">
              <w:rPr>
                <w:color w:val="FFFFFF" w:themeColor="background1"/>
                <w:sz w:val="18"/>
                <w:szCs w:val="18"/>
              </w:rPr>
              <w:t>L</w:t>
            </w:r>
            <w:r w:rsidRPr="00AC3DDE">
              <w:rPr>
                <w:color w:val="FFFFFF" w:themeColor="background1"/>
                <w:sz w:val="18"/>
                <w:szCs w:val="18"/>
              </w:rPr>
              <w:t xml:space="preserve">iabilities and Equity totals) or </w:t>
            </w:r>
            <w:r w:rsidRPr="00AC3DDE">
              <w:rPr>
                <w:color w:val="FFFFFF" w:themeColor="background1"/>
                <w:sz w:val="18"/>
                <w:szCs w:val="18"/>
                <w:u w:val="single"/>
              </w:rPr>
              <w:t>more than</w:t>
            </w:r>
            <w:r w:rsidRPr="00AC3DDE">
              <w:rPr>
                <w:color w:val="FFFFFF" w:themeColor="background1"/>
                <w:sz w:val="18"/>
                <w:szCs w:val="18"/>
              </w:rPr>
              <w:t xml:space="preserve"> 10% of the sub-element (e.g. Current Liabilities and Receipts from Operating Activities totals) of the financial statements; and</w:t>
            </w:r>
          </w:p>
        </w:tc>
      </w:tr>
      <w:tr w:rsidR="00AC3DDE" w:rsidRPr="00CF7E1B" w14:paraId="2AF23DF3" w14:textId="77777777" w:rsidTr="0004564D">
        <w:trPr>
          <w:cantSplit/>
          <w:trHeight w:val="317"/>
        </w:trPr>
        <w:tc>
          <w:tcPr>
            <w:tcW w:w="1560" w:type="dxa"/>
            <w:tcBorders>
              <w:left w:val="single" w:sz="2" w:space="0" w:color="auto"/>
              <w:right w:val="single" w:sz="2" w:space="0" w:color="auto"/>
            </w:tcBorders>
          </w:tcPr>
          <w:p w14:paraId="7C522BF3"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AAE806B" w14:textId="77777777" w:rsidR="00AC3DDE" w:rsidRDefault="00AC3DDE" w:rsidP="00CB31DE">
            <w:pPr>
              <w:pStyle w:val="ListParagraph"/>
              <w:numPr>
                <w:ilvl w:val="0"/>
                <w:numId w:val="75"/>
              </w:numPr>
              <w:spacing w:after="40"/>
              <w:ind w:left="452"/>
              <w:jc w:val="both"/>
              <w:rPr>
                <w:color w:val="FFFFFF" w:themeColor="background1"/>
                <w:sz w:val="18"/>
                <w:szCs w:val="18"/>
              </w:rPr>
            </w:pPr>
            <w:r w:rsidRPr="00AC3DDE">
              <w:rPr>
                <w:color w:val="FFFFFF" w:themeColor="background1"/>
                <w:sz w:val="18"/>
                <w:szCs w:val="18"/>
              </w:rPr>
              <w:t xml:space="preserve">the variances (original budget to actual) are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$500,000 of the budget for the financial statement line item for smaller agencies and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$15 million for large agencies. </w:t>
            </w:r>
          </w:p>
          <w:p w14:paraId="776CFB51" w14:textId="034AA197" w:rsidR="00AC3DDE" w:rsidRPr="00AC3DDE" w:rsidRDefault="00AC3DDE" w:rsidP="00CB31DE">
            <w:pPr>
              <w:pStyle w:val="ListParagraph"/>
              <w:numPr>
                <w:ilvl w:val="1"/>
                <w:numId w:val="75"/>
              </w:numPr>
              <w:spacing w:after="40"/>
              <w:ind w:left="877"/>
              <w:jc w:val="both"/>
              <w:rPr>
                <w:color w:val="FFFFFF" w:themeColor="background1"/>
                <w:sz w:val="18"/>
                <w:szCs w:val="18"/>
              </w:rPr>
            </w:pPr>
            <w:r w:rsidRPr="00AC3DDE">
              <w:rPr>
                <w:color w:val="FFFFFF" w:themeColor="background1"/>
                <w:sz w:val="18"/>
                <w:szCs w:val="18"/>
              </w:rPr>
              <w:t>Small agencies include Office of the Legislative Assembly, ACT Auditor-General, Legal Aid</w:t>
            </w:r>
            <w:r w:rsidRPr="00AC3DDE">
              <w:rPr>
                <w:rFonts w:asciiTheme="minorHAnsi" w:hAnsiTheme="minorHAnsi" w:cs="Calibri"/>
                <w:color w:val="FFFFFF" w:themeColor="background1"/>
                <w:sz w:val="18"/>
                <w:szCs w:val="18"/>
              </w:rPr>
              <w:t xml:space="preserve"> Commission</w:t>
            </w:r>
            <w:r w:rsidRPr="00AC3DDE">
              <w:rPr>
                <w:color w:val="FFFFFF" w:themeColor="background1"/>
                <w:sz w:val="18"/>
                <w:szCs w:val="18"/>
              </w:rPr>
              <w:t>, Public Trustee and Guardian, Cultural Facilities</w:t>
            </w:r>
            <w:r w:rsidRPr="00AC3DDE">
              <w:rPr>
                <w:rFonts w:asciiTheme="minorHAnsi" w:hAnsiTheme="minorHAnsi" w:cs="Calibri"/>
                <w:color w:val="FFFFFF" w:themeColor="background1"/>
                <w:sz w:val="18"/>
                <w:szCs w:val="18"/>
              </w:rPr>
              <w:t xml:space="preserve"> Corporation</w:t>
            </w:r>
            <w:r w:rsidRPr="00AC3DDE">
              <w:rPr>
                <w:color w:val="FFFFFF" w:themeColor="background1"/>
                <w:sz w:val="18"/>
                <w:szCs w:val="18"/>
              </w:rPr>
              <w:t>, ACT Gambling and Racing Commission, Independent Competition and Regulatory Commission, Motor Accident Injuries</w:t>
            </w:r>
            <w:r w:rsidRPr="00AC3DDE">
              <w:rPr>
                <w:color w:val="FFFFFF" w:themeColor="background1"/>
              </w:rPr>
              <w:t xml:space="preserve"> </w:t>
            </w:r>
            <w:r w:rsidRPr="00AC3DDE">
              <w:rPr>
                <w:color w:val="FFFFFF" w:themeColor="background1"/>
                <w:sz w:val="18"/>
                <w:szCs w:val="18"/>
              </w:rPr>
              <w:t>Commission, ACT Electoral Commissioner</w:t>
            </w:r>
            <w:r w:rsidR="003173AE">
              <w:rPr>
                <w:color w:val="FFFFFF" w:themeColor="background1"/>
                <w:sz w:val="18"/>
                <w:szCs w:val="18"/>
              </w:rPr>
              <w:t>,</w:t>
            </w:r>
            <w:r w:rsidRPr="00AC3DDE">
              <w:rPr>
                <w:color w:val="FFFFFF" w:themeColor="background1"/>
                <w:sz w:val="18"/>
                <w:szCs w:val="18"/>
              </w:rPr>
              <w:t xml:space="preserve"> ACT Integrity Commission, ACT Executive, </w:t>
            </w:r>
            <w:r w:rsidRPr="00AC3DDE">
              <w:rPr>
                <w:rFonts w:asciiTheme="minorHAnsi" w:hAnsiTheme="minorHAnsi" w:cs="Calibri"/>
                <w:color w:val="FFFFFF" w:themeColor="background1"/>
                <w:sz w:val="18"/>
                <w:szCs w:val="18"/>
              </w:rPr>
              <w:t>ACT Local Hospital Network, ACT Long Service Leave Authority, Building and Construction Industry Training Fund Authority, CIT Solutions Pty Ltd, Lifetime Care and Support Fund, and Office of the Work Health and Safety Commissioner</w:t>
            </w:r>
            <w:r w:rsidRPr="00AC3DDE">
              <w:rPr>
                <w:color w:val="FFFFFF" w:themeColor="background1"/>
                <w:sz w:val="18"/>
                <w:szCs w:val="18"/>
              </w:rPr>
              <w:t>.</w:t>
            </w:r>
          </w:p>
        </w:tc>
      </w:tr>
      <w:tr w:rsidR="00AC3DDE" w:rsidRPr="00CF7E1B" w14:paraId="55864FB4" w14:textId="77777777" w:rsidTr="0004564D">
        <w:trPr>
          <w:cantSplit/>
          <w:trHeight w:val="317"/>
        </w:trPr>
        <w:tc>
          <w:tcPr>
            <w:tcW w:w="1560" w:type="dxa"/>
            <w:tcBorders>
              <w:left w:val="single" w:sz="2" w:space="0" w:color="auto"/>
              <w:right w:val="single" w:sz="2" w:space="0" w:color="auto"/>
            </w:tcBorders>
          </w:tcPr>
          <w:p w14:paraId="0518BC9B"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084686" w14:textId="0F2A8594" w:rsidR="00AC3DDE" w:rsidRPr="00AC3DDE" w:rsidRDefault="00AC3DDE" w:rsidP="003173AE">
            <w:pPr>
              <w:pStyle w:val="ListParagraph"/>
              <w:numPr>
                <w:ilvl w:val="1"/>
                <w:numId w:val="75"/>
              </w:numPr>
              <w:spacing w:after="120"/>
              <w:ind w:left="873" w:hanging="357"/>
              <w:contextualSpacing w:val="0"/>
              <w:jc w:val="both"/>
              <w:rPr>
                <w:color w:val="FFFFFF" w:themeColor="background1"/>
                <w:sz w:val="18"/>
                <w:szCs w:val="18"/>
              </w:rPr>
            </w:pPr>
            <w:r w:rsidRPr="00AC3DDE">
              <w:rPr>
                <w:color w:val="FFFFFF" w:themeColor="background1"/>
                <w:sz w:val="18"/>
                <w:szCs w:val="18"/>
              </w:rPr>
              <w:t>Large agencies include Chief Minister, Treasury and Economic Development Directorate, Canberra Health Services, Transport Canberra and City Services Directorate, Housing ACT, Justice and Community Safety Directorate, Education Directorate, Community Services Directorate, Transport Canberra Operations, Environment, Planning and Sustainable Development Directorate, City Renewal Authority, Suburban Land Agency, Health Directorate, Public Sector Workers Compensation Fund</w:t>
            </w:r>
            <w:r w:rsidR="003173AE">
              <w:rPr>
                <w:color w:val="FFFFFF" w:themeColor="background1"/>
                <w:sz w:val="18"/>
                <w:szCs w:val="18"/>
              </w:rPr>
              <w:t>,</w:t>
            </w:r>
            <w:r w:rsidRPr="00AC3DDE">
              <w:rPr>
                <w:color w:val="FFFFFF" w:themeColor="background1"/>
                <w:sz w:val="18"/>
                <w:szCs w:val="18"/>
              </w:rPr>
              <w:t xml:space="preserve"> Major Projects Canberra, </w:t>
            </w:r>
            <w:r w:rsidRPr="00AC3DDE">
              <w:rPr>
                <w:rFonts w:asciiTheme="minorHAnsi" w:hAnsiTheme="minorHAnsi" w:cs="Calibri"/>
                <w:color w:val="FFFFFF" w:themeColor="background1"/>
                <w:sz w:val="18"/>
                <w:szCs w:val="18"/>
              </w:rPr>
              <w:t>ACT Insurance Authority, Canberra Institute of Technology, and Superannuation Provision Account</w:t>
            </w:r>
            <w:r w:rsidRPr="00AC3DDE">
              <w:rPr>
                <w:color w:val="FFFFFF" w:themeColor="background1"/>
                <w:sz w:val="18"/>
                <w:szCs w:val="18"/>
              </w:rPr>
              <w:t>.</w:t>
            </w:r>
          </w:p>
        </w:tc>
      </w:tr>
    </w:tbl>
    <w:p w14:paraId="02B84FE7" w14:textId="77777777" w:rsidR="00703D62" w:rsidRDefault="00703D62">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105BC0" w:rsidRPr="00CF7E1B" w14:paraId="451C2659" w14:textId="77777777" w:rsidTr="00AF4715">
        <w:trPr>
          <w:cantSplit/>
          <w:trHeight w:val="317"/>
        </w:trPr>
        <w:tc>
          <w:tcPr>
            <w:tcW w:w="1560" w:type="dxa"/>
            <w:tcBorders>
              <w:left w:val="single" w:sz="2" w:space="0" w:color="auto"/>
              <w:right w:val="single" w:sz="2" w:space="0" w:color="auto"/>
            </w:tcBorders>
          </w:tcPr>
          <w:p w14:paraId="6C11D2BC" w14:textId="21422CAB" w:rsidR="00105BC0" w:rsidRPr="00AC3DDE" w:rsidRDefault="00105BC0" w:rsidP="00AF4715">
            <w:pPr>
              <w:pStyle w:val="TableReference"/>
              <w:spacing w:before="240" w:after="240"/>
              <w:rPr>
                <w:rFonts w:cs="Calibri"/>
                <w:color w:val="7030A0"/>
                <w:sz w:val="22"/>
                <w:szCs w:val="22"/>
              </w:rPr>
            </w:pPr>
            <w:r w:rsidRPr="00AC3DDE">
              <w:rPr>
                <w:color w:val="7030A0"/>
              </w:rPr>
              <w:br w:type="page"/>
            </w:r>
            <w:r w:rsidR="00AC3DDE" w:rsidRPr="00AC3DDE">
              <w:rPr>
                <w:rFonts w:cs="Calibri"/>
                <w:b/>
                <w:color w:val="7030A0"/>
                <w:sz w:val="22"/>
                <w:szCs w:val="22"/>
              </w:rPr>
              <w:t>R</w:t>
            </w:r>
            <w:r w:rsidRPr="00AC3DDE">
              <w:rPr>
                <w:rFonts w:cs="Calibri"/>
                <w:b/>
                <w:color w:val="7030A0"/>
                <w:sz w:val="22"/>
                <w:szCs w:val="22"/>
              </w:rPr>
              <w:t>eference</w:t>
            </w:r>
          </w:p>
        </w:tc>
        <w:tc>
          <w:tcPr>
            <w:tcW w:w="8930" w:type="dxa"/>
            <w:tcBorders>
              <w:left w:val="single" w:sz="2" w:space="0" w:color="auto"/>
            </w:tcBorders>
            <w:shd w:val="clear" w:color="auto" w:fill="7030A0"/>
          </w:tcPr>
          <w:p w14:paraId="02CE72F1" w14:textId="71FDE0AA" w:rsidR="00105BC0" w:rsidRPr="00AC3DDE" w:rsidRDefault="00105BC0" w:rsidP="00AF4715">
            <w:pPr>
              <w:spacing w:before="240" w:after="240"/>
              <w:rPr>
                <w:rFonts w:cs="Calibri"/>
                <w:b/>
                <w:color w:val="FFFFFF" w:themeColor="background1"/>
                <w:sz w:val="28"/>
                <w:szCs w:val="28"/>
              </w:rPr>
            </w:pPr>
            <w:r w:rsidRPr="00AC3DDE">
              <w:rPr>
                <w:rFonts w:asciiTheme="minorHAnsi" w:hAnsiTheme="minorHAnsi"/>
                <w:b/>
                <w:color w:val="FFFFFF" w:themeColor="background1"/>
                <w:sz w:val="28"/>
                <w:szCs w:val="28"/>
              </w:rPr>
              <w:t xml:space="preserve">Commentary – Note </w:t>
            </w:r>
            <w:r w:rsidR="00D335D5" w:rsidRPr="00AC3DDE">
              <w:rPr>
                <w:rFonts w:asciiTheme="minorHAnsi" w:hAnsiTheme="minorHAnsi"/>
                <w:b/>
                <w:color w:val="FFFFFF" w:themeColor="background1"/>
                <w:sz w:val="28"/>
                <w:szCs w:val="28"/>
              </w:rPr>
              <w:t>4</w:t>
            </w:r>
            <w:r w:rsidR="00A03437" w:rsidRPr="00AC3DDE">
              <w:rPr>
                <w:rFonts w:asciiTheme="minorHAnsi" w:hAnsiTheme="minorHAnsi"/>
                <w:b/>
                <w:color w:val="FFFFFF" w:themeColor="background1"/>
                <w:sz w:val="28"/>
                <w:szCs w:val="28"/>
              </w:rPr>
              <w:t>0</w:t>
            </w:r>
            <w:r w:rsidRPr="00AC3DDE">
              <w:rPr>
                <w:rFonts w:asciiTheme="minorHAnsi" w:hAnsiTheme="minorHAnsi"/>
                <w:b/>
                <w:color w:val="FFFFFF" w:themeColor="background1"/>
                <w:sz w:val="28"/>
                <w:szCs w:val="28"/>
              </w:rPr>
              <w:t xml:space="preserve">: Budgetary Reporting – Continued </w:t>
            </w:r>
          </w:p>
        </w:tc>
      </w:tr>
      <w:tr w:rsidR="00F01B8C" w:rsidRPr="00CF7E1B" w14:paraId="30EDC27E" w14:textId="77777777" w:rsidTr="0004564D">
        <w:trPr>
          <w:cantSplit/>
          <w:trHeight w:val="317"/>
        </w:trPr>
        <w:tc>
          <w:tcPr>
            <w:tcW w:w="1560" w:type="dxa"/>
            <w:tcBorders>
              <w:left w:val="single" w:sz="2" w:space="0" w:color="auto"/>
              <w:right w:val="single" w:sz="2" w:space="0" w:color="auto"/>
            </w:tcBorders>
          </w:tcPr>
          <w:p w14:paraId="5355D0AC"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E334BC0" w14:textId="699366C6" w:rsidR="00F01B8C" w:rsidRPr="00AC3DDE" w:rsidRDefault="00F01B8C" w:rsidP="006B590F">
            <w:pPr>
              <w:jc w:val="both"/>
              <w:rPr>
                <w:color w:val="FFFFFF" w:themeColor="background1"/>
                <w:sz w:val="18"/>
                <w:szCs w:val="18"/>
              </w:rPr>
            </w:pPr>
            <w:r w:rsidRPr="00AC3DDE">
              <w:rPr>
                <w:color w:val="FFFFFF" w:themeColor="background1"/>
                <w:sz w:val="18"/>
                <w:szCs w:val="18"/>
              </w:rPr>
              <w:t>These thresholds are indicative only and are included to assist agenci</w:t>
            </w:r>
            <w:r w:rsidRPr="00047465">
              <w:rPr>
                <w:color w:val="FFFFFF" w:themeColor="background1"/>
                <w:sz w:val="18"/>
                <w:szCs w:val="18"/>
              </w:rPr>
              <w:t>es</w:t>
            </w:r>
            <w:r w:rsidRPr="00047465">
              <w:rPr>
                <w:strike/>
                <w:color w:val="FF0000"/>
                <w:sz w:val="18"/>
                <w:szCs w:val="18"/>
              </w:rPr>
              <w:t>’</w:t>
            </w:r>
            <w:r w:rsidRPr="00AC3DDE">
              <w:rPr>
                <w:color w:val="FFFFFF" w:themeColor="background1"/>
                <w:sz w:val="18"/>
                <w:szCs w:val="18"/>
              </w:rPr>
              <w:t xml:space="preserve"> in making judgement on whether a variance explanation is required. Each agency will need to consider this guidance and </w:t>
            </w:r>
            <w:r w:rsidRPr="00AC3DDE">
              <w:rPr>
                <w:color w:val="FFFFFF" w:themeColor="background1"/>
                <w:sz w:val="18"/>
                <w:szCs w:val="18"/>
                <w:lang w:val="en-US" w:eastAsia="en-AU"/>
              </w:rPr>
              <w:t xml:space="preserve">Section 1.2 Materiality Guidance when determining </w:t>
            </w:r>
            <w:r w:rsidRPr="00AC3DDE">
              <w:rPr>
                <w:color w:val="FFFFFF" w:themeColor="background1"/>
                <w:sz w:val="18"/>
                <w:szCs w:val="18"/>
              </w:rPr>
              <w:t>appropriate thresholds for explanations of major variances to be disclosed in their financial statements.</w:t>
            </w:r>
          </w:p>
        </w:tc>
      </w:tr>
      <w:tr w:rsidR="00F01B8C" w:rsidRPr="00CF7E1B" w14:paraId="2286515C" w14:textId="77777777" w:rsidTr="0004564D">
        <w:trPr>
          <w:cantSplit/>
          <w:trHeight w:val="317"/>
        </w:trPr>
        <w:tc>
          <w:tcPr>
            <w:tcW w:w="1560" w:type="dxa"/>
            <w:tcBorders>
              <w:left w:val="single" w:sz="2" w:space="0" w:color="auto"/>
              <w:right w:val="single" w:sz="2" w:space="0" w:color="auto"/>
            </w:tcBorders>
          </w:tcPr>
          <w:p w14:paraId="6715A870"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4EBBB89" w14:textId="2EBA59E1" w:rsidR="00F01B8C" w:rsidRPr="00703D62" w:rsidRDefault="00F01B8C" w:rsidP="00C87FF4">
            <w:pPr>
              <w:spacing w:before="120" w:after="40"/>
              <w:jc w:val="both"/>
              <w:rPr>
                <w:rFonts w:cs="Calibri"/>
                <w:b/>
                <w:color w:val="FFFFFF" w:themeColor="background1"/>
                <w:sz w:val="20"/>
                <w:szCs w:val="20"/>
              </w:rPr>
            </w:pPr>
            <w:bookmarkStart w:id="905" w:name="_Toc43883651"/>
            <w:bookmarkStart w:id="906" w:name="_Toc43899018"/>
            <w:r w:rsidRPr="00703D62">
              <w:rPr>
                <w:rFonts w:cs="Calibri"/>
                <w:b/>
                <w:color w:val="FFFFFF" w:themeColor="background1"/>
                <w:sz w:val="20"/>
                <w:szCs w:val="20"/>
              </w:rPr>
              <w:t>Consultation with Audit Committee and the Audit Office</w:t>
            </w:r>
            <w:bookmarkEnd w:id="905"/>
            <w:bookmarkEnd w:id="906"/>
          </w:p>
        </w:tc>
      </w:tr>
      <w:tr w:rsidR="00F01B8C" w:rsidRPr="00CF7E1B" w14:paraId="2CD04E62" w14:textId="77777777" w:rsidTr="0004564D">
        <w:trPr>
          <w:cantSplit/>
          <w:trHeight w:val="317"/>
        </w:trPr>
        <w:tc>
          <w:tcPr>
            <w:tcW w:w="1560" w:type="dxa"/>
            <w:tcBorders>
              <w:left w:val="single" w:sz="2" w:space="0" w:color="auto"/>
              <w:right w:val="single" w:sz="2" w:space="0" w:color="auto"/>
            </w:tcBorders>
          </w:tcPr>
          <w:p w14:paraId="32C09707"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6EA583" w14:textId="2D5BCDDA" w:rsidR="00F01B8C" w:rsidRPr="00AC3DDE" w:rsidRDefault="00F01B8C" w:rsidP="00F01B8C">
            <w:pPr>
              <w:jc w:val="both"/>
              <w:rPr>
                <w:rFonts w:cs="Calibri"/>
                <w:b/>
                <w:color w:val="FFFFFF" w:themeColor="background1"/>
                <w:sz w:val="18"/>
                <w:szCs w:val="18"/>
              </w:rPr>
            </w:pPr>
            <w:r w:rsidRPr="00AC3DDE">
              <w:rPr>
                <w:color w:val="FFFFFF" w:themeColor="background1"/>
                <w:sz w:val="18"/>
                <w:szCs w:val="18"/>
              </w:rPr>
              <w:t>Agencies are encouraged to agree on their specific thresholds for disclosures with their Audit Committee and consult with the Audit Office in the process of preparing their financial statements.</w:t>
            </w:r>
            <w:r w:rsidR="00FA7C77">
              <w:rPr>
                <w:color w:val="FFFFFF" w:themeColor="background1"/>
                <w:sz w:val="18"/>
                <w:szCs w:val="18"/>
              </w:rPr>
              <w:t xml:space="preserve"> </w:t>
            </w:r>
          </w:p>
        </w:tc>
      </w:tr>
      <w:tr w:rsidR="000D5BC9" w:rsidRPr="00CF7E1B" w14:paraId="7608B546" w14:textId="77777777" w:rsidTr="0004564D">
        <w:trPr>
          <w:cantSplit/>
          <w:trHeight w:val="300"/>
        </w:trPr>
        <w:tc>
          <w:tcPr>
            <w:tcW w:w="1560" w:type="dxa"/>
            <w:tcBorders>
              <w:left w:val="single" w:sz="2" w:space="0" w:color="auto"/>
              <w:right w:val="single" w:sz="2" w:space="0" w:color="auto"/>
            </w:tcBorders>
          </w:tcPr>
          <w:p w14:paraId="6DCDD12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44C5DEFF" w14:textId="35870B9A" w:rsidR="000D5BC9" w:rsidRPr="00AC3DDE" w:rsidRDefault="00723365" w:rsidP="006B590F">
            <w:pPr>
              <w:spacing w:before="120" w:after="120"/>
              <w:jc w:val="both"/>
              <w:rPr>
                <w:color w:val="FFFFFF" w:themeColor="background1"/>
                <w:sz w:val="18"/>
                <w:szCs w:val="18"/>
              </w:rPr>
            </w:pPr>
            <w:r w:rsidRPr="00AC3DDE">
              <w:rPr>
                <w:color w:val="FFFFFF" w:themeColor="background1"/>
                <w:sz w:val="18"/>
                <w:szCs w:val="18"/>
              </w:rPr>
              <w:t>Explanations are required for line items only.</w:t>
            </w:r>
            <w:r w:rsidR="00FA7C77">
              <w:rPr>
                <w:color w:val="FFFFFF" w:themeColor="background1"/>
                <w:sz w:val="18"/>
                <w:szCs w:val="18"/>
              </w:rPr>
              <w:t xml:space="preserve"> </w:t>
            </w:r>
            <w:r w:rsidRPr="00AC3DDE">
              <w:rPr>
                <w:color w:val="FFFFFF" w:themeColor="background1"/>
                <w:sz w:val="18"/>
                <w:szCs w:val="18"/>
              </w:rPr>
              <w:t>Explanations are not required for totals.</w:t>
            </w:r>
            <w:r w:rsidR="00FA7C77">
              <w:rPr>
                <w:color w:val="FFFFFF" w:themeColor="background1"/>
                <w:sz w:val="18"/>
                <w:szCs w:val="18"/>
              </w:rPr>
              <w:t xml:space="preserve"> </w:t>
            </w:r>
            <w:r w:rsidRPr="00AC3DDE">
              <w:rPr>
                <w:color w:val="FFFFFF" w:themeColor="background1"/>
                <w:sz w:val="18"/>
                <w:szCs w:val="18"/>
              </w:rPr>
              <w:t xml:space="preserve">If a line item is a category in its own right (e.g. only one line item in the category) then criteria (a) is not applicable and an explanation is required if criteria (b) is met. </w:t>
            </w:r>
            <w:r w:rsidRPr="00AC3DDE">
              <w:rPr>
                <w:rFonts w:cs="Calibri"/>
                <w:color w:val="FFFFFF" w:themeColor="background1"/>
                <w:sz w:val="18"/>
                <w:szCs w:val="18"/>
              </w:rPr>
              <w:t>Examples of where a line item is a category in its own right are “</w:t>
            </w:r>
            <w:r w:rsidRPr="00AC3DDE">
              <w:rPr>
                <w:color w:val="FFFFFF" w:themeColor="background1"/>
                <w:sz w:val="18"/>
                <w:szCs w:val="18"/>
              </w:rPr>
              <w:t>Share of Operating Profit from Joint Venture” and “Cash and Cash Equivalents at the Beginning of the Reporting Period</w:t>
            </w:r>
            <w:r w:rsidR="00722BF2">
              <w:rPr>
                <w:color w:val="FFFFFF" w:themeColor="background1"/>
                <w:sz w:val="18"/>
                <w:szCs w:val="18"/>
              </w:rPr>
              <w:t>”</w:t>
            </w:r>
            <w:r w:rsidRPr="00AC3DDE">
              <w:rPr>
                <w:color w:val="FFFFFF" w:themeColor="background1"/>
                <w:sz w:val="18"/>
                <w:szCs w:val="18"/>
              </w:rPr>
              <w:t>.</w:t>
            </w:r>
          </w:p>
        </w:tc>
      </w:tr>
      <w:tr w:rsidR="006B590F" w:rsidRPr="00CF7E1B" w14:paraId="53B74F64" w14:textId="77777777" w:rsidTr="0004564D">
        <w:trPr>
          <w:cantSplit/>
          <w:trHeight w:val="300"/>
        </w:trPr>
        <w:tc>
          <w:tcPr>
            <w:tcW w:w="1560" w:type="dxa"/>
            <w:tcBorders>
              <w:left w:val="single" w:sz="2" w:space="0" w:color="auto"/>
              <w:right w:val="single" w:sz="2" w:space="0" w:color="auto"/>
            </w:tcBorders>
          </w:tcPr>
          <w:p w14:paraId="177464B4"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6748176B" w14:textId="3A70197F" w:rsidR="006B590F" w:rsidRPr="00AC3DDE" w:rsidRDefault="006B590F" w:rsidP="006B590F">
            <w:pPr>
              <w:spacing w:after="120"/>
              <w:jc w:val="both"/>
              <w:rPr>
                <w:color w:val="FFFFFF" w:themeColor="background1"/>
                <w:sz w:val="18"/>
                <w:szCs w:val="18"/>
              </w:rPr>
            </w:pPr>
            <w:r w:rsidRPr="00AC3DDE">
              <w:rPr>
                <w:color w:val="FFFFFF" w:themeColor="background1"/>
                <w:sz w:val="18"/>
                <w:szCs w:val="18"/>
              </w:rPr>
              <w:t>The associated category for the line item is the grouping in the financial statements where the line item appears.</w:t>
            </w:r>
            <w:r w:rsidR="00FA7C77">
              <w:rPr>
                <w:color w:val="FFFFFF" w:themeColor="background1"/>
                <w:sz w:val="18"/>
                <w:szCs w:val="18"/>
              </w:rPr>
              <w:t xml:space="preserve"> </w:t>
            </w:r>
            <w:r w:rsidRPr="00AC3DDE">
              <w:rPr>
                <w:color w:val="FFFFFF" w:themeColor="background1"/>
                <w:sz w:val="18"/>
                <w:szCs w:val="18"/>
              </w:rPr>
              <w:t xml:space="preserve">A grouping will usually start with a </w:t>
            </w:r>
            <w:r w:rsidRPr="00AC3DDE">
              <w:rPr>
                <w:b/>
                <w:color w:val="FFFFFF" w:themeColor="background1"/>
                <w:sz w:val="18"/>
                <w:szCs w:val="18"/>
              </w:rPr>
              <w:t>bolded</w:t>
            </w:r>
            <w:r w:rsidRPr="00AC3DDE">
              <w:rPr>
                <w:color w:val="FFFFFF" w:themeColor="background1"/>
                <w:sz w:val="18"/>
                <w:szCs w:val="18"/>
              </w:rPr>
              <w:t xml:space="preserve"> heading and end with a </w:t>
            </w:r>
            <w:r w:rsidRPr="00AC3DDE">
              <w:rPr>
                <w:b/>
                <w:color w:val="FFFFFF" w:themeColor="background1"/>
                <w:sz w:val="18"/>
                <w:szCs w:val="18"/>
              </w:rPr>
              <w:t>bolded</w:t>
            </w:r>
            <w:r w:rsidRPr="00AC3DDE">
              <w:rPr>
                <w:color w:val="FFFFFF" w:themeColor="background1"/>
                <w:sz w:val="18"/>
                <w:szCs w:val="18"/>
              </w:rPr>
              <w:t xml:space="preserve"> total.</w:t>
            </w:r>
          </w:p>
        </w:tc>
      </w:tr>
      <w:tr w:rsidR="000D5BC9" w:rsidRPr="00CF7E1B" w14:paraId="6D9BBC2D" w14:textId="77777777" w:rsidTr="0004564D">
        <w:trPr>
          <w:cantSplit/>
          <w:trHeight w:val="300"/>
        </w:trPr>
        <w:tc>
          <w:tcPr>
            <w:tcW w:w="1560" w:type="dxa"/>
            <w:tcBorders>
              <w:left w:val="single" w:sz="2" w:space="0" w:color="auto"/>
              <w:right w:val="single" w:sz="2" w:space="0" w:color="auto"/>
            </w:tcBorders>
          </w:tcPr>
          <w:p w14:paraId="471F3A10"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DD867D6" w14:textId="7603CE9C" w:rsidR="00887060" w:rsidRPr="00887060" w:rsidRDefault="00887060" w:rsidP="00994FF0">
            <w:pPr>
              <w:spacing w:after="40"/>
              <w:ind w:firstLine="11"/>
              <w:jc w:val="both"/>
              <w:rPr>
                <w:bCs/>
                <w:iCs/>
                <w:color w:val="FFFFFF" w:themeColor="background1"/>
                <w:sz w:val="18"/>
                <w:szCs w:val="18"/>
              </w:rPr>
            </w:pPr>
            <w:r w:rsidRPr="00887060">
              <w:rPr>
                <w:bCs/>
                <w:iCs/>
                <w:color w:val="FFFFFF" w:themeColor="background1"/>
                <w:sz w:val="18"/>
                <w:szCs w:val="18"/>
              </w:rPr>
              <w:t>The relevant bolded titles for these criteria are:</w:t>
            </w:r>
          </w:p>
          <w:p w14:paraId="5DAAA50C" w14:textId="7E3F4F76" w:rsidR="006B590F" w:rsidRPr="00C87FF4" w:rsidRDefault="006B590F" w:rsidP="00994FF0">
            <w:pPr>
              <w:spacing w:after="40"/>
              <w:ind w:firstLine="11"/>
              <w:jc w:val="both"/>
              <w:rPr>
                <w:b/>
                <w:iCs/>
                <w:color w:val="FFFFFF" w:themeColor="background1"/>
                <w:sz w:val="18"/>
                <w:szCs w:val="18"/>
              </w:rPr>
            </w:pPr>
            <w:r w:rsidRPr="00C87FF4">
              <w:rPr>
                <w:b/>
                <w:iCs/>
                <w:color w:val="FFFFFF" w:themeColor="background1"/>
                <w:sz w:val="18"/>
                <w:szCs w:val="18"/>
              </w:rPr>
              <w:t>Operating Statement</w:t>
            </w:r>
          </w:p>
          <w:p w14:paraId="768AAB20" w14:textId="77777777" w:rsidR="006B590F" w:rsidRPr="00AC3DDE" w:rsidRDefault="006B590F" w:rsidP="00CB31DE">
            <w:pPr>
              <w:numPr>
                <w:ilvl w:val="0"/>
                <w:numId w:val="33"/>
              </w:numPr>
              <w:spacing w:after="40"/>
              <w:ind w:left="596" w:hanging="283"/>
              <w:jc w:val="both"/>
              <w:rPr>
                <w:rFonts w:cs="Calibri"/>
                <w:color w:val="FFFFFF" w:themeColor="background1"/>
                <w:sz w:val="18"/>
                <w:szCs w:val="18"/>
              </w:rPr>
            </w:pPr>
            <w:r w:rsidRPr="00AC3DDE">
              <w:rPr>
                <w:color w:val="FFFFFF" w:themeColor="background1"/>
                <w:sz w:val="18"/>
                <w:szCs w:val="18"/>
              </w:rPr>
              <w:t>Income</w:t>
            </w:r>
          </w:p>
          <w:p w14:paraId="40D3EECC" w14:textId="7AD2C82C" w:rsidR="006B590F" w:rsidRPr="00AC3DDE" w:rsidRDefault="006B590F" w:rsidP="00CB31DE">
            <w:pPr>
              <w:numPr>
                <w:ilvl w:val="0"/>
                <w:numId w:val="33"/>
              </w:numPr>
              <w:spacing w:after="40"/>
              <w:ind w:left="596" w:hanging="283"/>
              <w:jc w:val="both"/>
              <w:rPr>
                <w:rFonts w:cs="Calibri"/>
                <w:color w:val="FFFFFF" w:themeColor="background1"/>
                <w:sz w:val="18"/>
                <w:szCs w:val="18"/>
              </w:rPr>
            </w:pPr>
            <w:r w:rsidRPr="00AC3DDE">
              <w:rPr>
                <w:color w:val="FFFFFF" w:themeColor="background1"/>
                <w:sz w:val="18"/>
                <w:szCs w:val="18"/>
              </w:rPr>
              <w:t>Expenses</w:t>
            </w:r>
          </w:p>
          <w:p w14:paraId="5CB6D87B" w14:textId="1D7CF1D6" w:rsidR="000D5BC9" w:rsidRPr="00AC3DDE" w:rsidRDefault="006B590F" w:rsidP="00CB31DE">
            <w:pPr>
              <w:numPr>
                <w:ilvl w:val="0"/>
                <w:numId w:val="33"/>
              </w:numPr>
              <w:ind w:left="596" w:hanging="283"/>
              <w:jc w:val="both"/>
              <w:rPr>
                <w:rFonts w:cs="Calibri"/>
                <w:color w:val="FFFFFF" w:themeColor="background1"/>
                <w:sz w:val="18"/>
                <w:szCs w:val="18"/>
              </w:rPr>
            </w:pPr>
            <w:r w:rsidRPr="00AC3DDE">
              <w:rPr>
                <w:color w:val="FFFFFF" w:themeColor="background1"/>
                <w:sz w:val="18"/>
                <w:szCs w:val="18"/>
              </w:rPr>
              <w:t>Other Comprehensive Income</w:t>
            </w:r>
          </w:p>
        </w:tc>
      </w:tr>
      <w:tr w:rsidR="006B590F" w:rsidRPr="00CF7E1B" w14:paraId="00AD50A5" w14:textId="77777777" w:rsidTr="0004564D">
        <w:trPr>
          <w:cantSplit/>
          <w:trHeight w:val="300"/>
        </w:trPr>
        <w:tc>
          <w:tcPr>
            <w:tcW w:w="1560" w:type="dxa"/>
            <w:tcBorders>
              <w:left w:val="single" w:sz="2" w:space="0" w:color="auto"/>
              <w:right w:val="single" w:sz="2" w:space="0" w:color="auto"/>
            </w:tcBorders>
          </w:tcPr>
          <w:p w14:paraId="7DE48B96"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1D101B91" w14:textId="77777777" w:rsidR="006B590F" w:rsidRPr="00C87FF4" w:rsidRDefault="006B590F" w:rsidP="00C94E50">
            <w:pPr>
              <w:spacing w:before="120" w:after="40"/>
              <w:ind w:firstLine="11"/>
              <w:jc w:val="both"/>
              <w:rPr>
                <w:b/>
                <w:iCs/>
                <w:color w:val="FFFFFF" w:themeColor="background1"/>
                <w:sz w:val="18"/>
                <w:szCs w:val="18"/>
              </w:rPr>
            </w:pPr>
            <w:r w:rsidRPr="00C87FF4">
              <w:rPr>
                <w:b/>
                <w:iCs/>
                <w:color w:val="FFFFFF" w:themeColor="background1"/>
                <w:sz w:val="18"/>
                <w:szCs w:val="18"/>
              </w:rPr>
              <w:t>Balance Sheet</w:t>
            </w:r>
          </w:p>
          <w:p w14:paraId="0DFE57FB"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Current Assets</w:t>
            </w:r>
          </w:p>
          <w:p w14:paraId="7181E48A"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Non-Current Assets</w:t>
            </w:r>
          </w:p>
          <w:p w14:paraId="1F29705B"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Current Liabilities</w:t>
            </w:r>
          </w:p>
          <w:p w14:paraId="13C80E08" w14:textId="45150893"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Non-Current Liabilities</w:t>
            </w:r>
          </w:p>
          <w:p w14:paraId="43CBE8C3" w14:textId="1B7B8E7C" w:rsidR="006B590F" w:rsidRPr="00AC3DDE" w:rsidRDefault="006B590F" w:rsidP="00CB31DE">
            <w:pPr>
              <w:numPr>
                <w:ilvl w:val="0"/>
                <w:numId w:val="34"/>
              </w:numPr>
              <w:ind w:left="596" w:hanging="283"/>
              <w:jc w:val="both"/>
              <w:rPr>
                <w:color w:val="FFFFFF" w:themeColor="background1"/>
                <w:sz w:val="18"/>
                <w:szCs w:val="18"/>
              </w:rPr>
            </w:pPr>
            <w:r w:rsidRPr="00AC3DDE">
              <w:rPr>
                <w:color w:val="FFFFFF" w:themeColor="background1"/>
                <w:sz w:val="18"/>
                <w:szCs w:val="18"/>
              </w:rPr>
              <w:t>Equity</w:t>
            </w:r>
          </w:p>
        </w:tc>
      </w:tr>
      <w:tr w:rsidR="006B590F" w:rsidRPr="00CF7E1B" w14:paraId="30ECDFFE" w14:textId="77777777" w:rsidTr="0004564D">
        <w:trPr>
          <w:cantSplit/>
          <w:trHeight w:val="300"/>
        </w:trPr>
        <w:tc>
          <w:tcPr>
            <w:tcW w:w="1560" w:type="dxa"/>
            <w:tcBorders>
              <w:left w:val="single" w:sz="2" w:space="0" w:color="auto"/>
              <w:right w:val="single" w:sz="2" w:space="0" w:color="auto"/>
            </w:tcBorders>
          </w:tcPr>
          <w:p w14:paraId="2547939F"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059B27E4" w14:textId="77777777" w:rsidR="006B590F" w:rsidRPr="00C87FF4" w:rsidRDefault="006B590F" w:rsidP="00703D62">
            <w:pPr>
              <w:spacing w:before="120"/>
              <w:jc w:val="both"/>
              <w:rPr>
                <w:b/>
                <w:iCs/>
                <w:color w:val="FFFFFF" w:themeColor="background1"/>
                <w:sz w:val="18"/>
                <w:szCs w:val="18"/>
              </w:rPr>
            </w:pPr>
            <w:r w:rsidRPr="00C87FF4">
              <w:rPr>
                <w:b/>
                <w:iCs/>
                <w:color w:val="FFFFFF" w:themeColor="background1"/>
                <w:sz w:val="18"/>
                <w:szCs w:val="18"/>
              </w:rPr>
              <w:t>Statement of Changes in Equity</w:t>
            </w:r>
          </w:p>
          <w:p w14:paraId="45F707A3" w14:textId="2C56051C" w:rsidR="006B590F" w:rsidRPr="00AC3DDE" w:rsidRDefault="006B590F" w:rsidP="00703D62">
            <w:pPr>
              <w:spacing w:after="120"/>
              <w:jc w:val="both"/>
              <w:rPr>
                <w:b/>
                <w:i/>
                <w:color w:val="FFFFFF" w:themeColor="background1"/>
                <w:sz w:val="18"/>
                <w:szCs w:val="18"/>
              </w:rPr>
            </w:pPr>
            <w:r w:rsidRPr="00AC3DDE">
              <w:rPr>
                <w:color w:val="FFFFFF" w:themeColor="background1"/>
                <w:sz w:val="18"/>
                <w:szCs w:val="18"/>
              </w:rPr>
              <w:t>These line items are disclosed in other financial statements.</w:t>
            </w:r>
          </w:p>
        </w:tc>
      </w:tr>
      <w:tr w:rsidR="005B1145" w:rsidRPr="00CF7E1B" w14:paraId="7A601185" w14:textId="77777777" w:rsidTr="0004564D">
        <w:trPr>
          <w:cantSplit/>
          <w:trHeight w:val="189"/>
        </w:trPr>
        <w:tc>
          <w:tcPr>
            <w:tcW w:w="1560" w:type="dxa"/>
            <w:tcBorders>
              <w:left w:val="single" w:sz="2" w:space="0" w:color="auto"/>
              <w:right w:val="single" w:sz="2" w:space="0" w:color="auto"/>
            </w:tcBorders>
          </w:tcPr>
          <w:p w14:paraId="0209D3F0" w14:textId="77777777" w:rsidR="005B1145" w:rsidRPr="00AC3DDE" w:rsidRDefault="005B1145" w:rsidP="005B1145">
            <w:pPr>
              <w:rPr>
                <w:rFonts w:cs="Calibri"/>
                <w:b/>
                <w:color w:val="7030A0"/>
                <w:szCs w:val="22"/>
              </w:rPr>
            </w:pPr>
          </w:p>
        </w:tc>
        <w:tc>
          <w:tcPr>
            <w:tcW w:w="8930" w:type="dxa"/>
            <w:tcBorders>
              <w:left w:val="single" w:sz="2" w:space="0" w:color="auto"/>
            </w:tcBorders>
            <w:shd w:val="clear" w:color="auto" w:fill="7030A0"/>
          </w:tcPr>
          <w:p w14:paraId="4E144320" w14:textId="63A45005" w:rsidR="005B1145" w:rsidRPr="00C87FF4" w:rsidRDefault="005B1145" w:rsidP="005B1145">
            <w:pPr>
              <w:spacing w:after="40"/>
              <w:jc w:val="both"/>
              <w:rPr>
                <w:b/>
                <w:iCs/>
                <w:color w:val="FFFFFF" w:themeColor="background1"/>
                <w:sz w:val="18"/>
                <w:szCs w:val="18"/>
              </w:rPr>
            </w:pPr>
            <w:r w:rsidRPr="00C87FF4">
              <w:rPr>
                <w:rFonts w:cs="Calibri"/>
                <w:b/>
                <w:iCs/>
                <w:color w:val="FFFFFF" w:themeColor="background1"/>
                <w:sz w:val="18"/>
                <w:szCs w:val="18"/>
              </w:rPr>
              <w:t>Statement of Cash Flows</w:t>
            </w:r>
          </w:p>
        </w:tc>
      </w:tr>
      <w:tr w:rsidR="000D5BC9" w:rsidRPr="00CF7E1B" w14:paraId="47D49837" w14:textId="77777777" w:rsidTr="0004564D">
        <w:trPr>
          <w:cantSplit/>
          <w:trHeight w:val="300"/>
        </w:trPr>
        <w:tc>
          <w:tcPr>
            <w:tcW w:w="1560" w:type="dxa"/>
            <w:tcBorders>
              <w:left w:val="single" w:sz="2" w:space="0" w:color="auto"/>
              <w:right w:val="single" w:sz="2" w:space="0" w:color="auto"/>
            </w:tcBorders>
          </w:tcPr>
          <w:p w14:paraId="0A8EEDD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FC88275" w14:textId="7D5467F9"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Operating Activities</w:t>
            </w:r>
          </w:p>
          <w:p w14:paraId="2A419AB2"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Payments from Operating Activities</w:t>
            </w:r>
          </w:p>
          <w:p w14:paraId="31D8707D"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Investing Activities</w:t>
            </w:r>
          </w:p>
          <w:p w14:paraId="57602C5F"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Payments from Investing Activities</w:t>
            </w:r>
          </w:p>
          <w:p w14:paraId="1F9324DC"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Financing Activities</w:t>
            </w:r>
          </w:p>
          <w:p w14:paraId="61384C51" w14:textId="0777431D" w:rsidR="000D5BC9" w:rsidRPr="00FF0025" w:rsidRDefault="000D5BC9" w:rsidP="00CB31DE">
            <w:pPr>
              <w:numPr>
                <w:ilvl w:val="0"/>
                <w:numId w:val="35"/>
              </w:numPr>
              <w:spacing w:after="120"/>
              <w:ind w:left="596" w:hanging="283"/>
              <w:jc w:val="both"/>
              <w:rPr>
                <w:color w:val="FFFFFF" w:themeColor="background1"/>
                <w:sz w:val="18"/>
                <w:szCs w:val="18"/>
              </w:rPr>
            </w:pPr>
            <w:r w:rsidRPr="00FF0025">
              <w:rPr>
                <w:color w:val="FFFFFF" w:themeColor="background1"/>
                <w:sz w:val="18"/>
                <w:szCs w:val="18"/>
              </w:rPr>
              <w:t>Payments from Financing Activities</w:t>
            </w:r>
          </w:p>
        </w:tc>
      </w:tr>
      <w:tr w:rsidR="006B590F" w:rsidRPr="00CF7E1B" w14:paraId="235B3B0E" w14:textId="77777777" w:rsidTr="0004564D">
        <w:trPr>
          <w:cantSplit/>
          <w:trHeight w:val="300"/>
        </w:trPr>
        <w:tc>
          <w:tcPr>
            <w:tcW w:w="1560" w:type="dxa"/>
            <w:tcBorders>
              <w:left w:val="single" w:sz="2" w:space="0" w:color="auto"/>
              <w:right w:val="single" w:sz="2" w:space="0" w:color="auto"/>
            </w:tcBorders>
          </w:tcPr>
          <w:p w14:paraId="0382F78A"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525F0BF9" w14:textId="67E5ABE7" w:rsidR="006B590F" w:rsidRPr="00FF0025" w:rsidRDefault="006B590F" w:rsidP="006B590F">
            <w:pPr>
              <w:spacing w:after="120"/>
              <w:jc w:val="both"/>
              <w:rPr>
                <w:color w:val="FFFFFF" w:themeColor="background1"/>
                <w:sz w:val="18"/>
                <w:szCs w:val="18"/>
              </w:rPr>
            </w:pPr>
            <w:r w:rsidRPr="00FF0025">
              <w:rPr>
                <w:color w:val="FFFFFF" w:themeColor="background1"/>
                <w:sz w:val="18"/>
                <w:szCs w:val="18"/>
              </w:rPr>
              <w:t xml:space="preserve">Not all the above </w:t>
            </w:r>
            <w:r w:rsidRPr="00FF0025">
              <w:rPr>
                <w:b/>
                <w:color w:val="FFFFFF" w:themeColor="background1"/>
                <w:sz w:val="18"/>
                <w:szCs w:val="18"/>
              </w:rPr>
              <w:t>bolded</w:t>
            </w:r>
            <w:r w:rsidRPr="00FF0025">
              <w:rPr>
                <w:color w:val="FFFFFF" w:themeColor="background1"/>
                <w:sz w:val="18"/>
                <w:szCs w:val="18"/>
              </w:rPr>
              <w:t xml:space="preserve"> totals will be applicable to each agency.</w:t>
            </w:r>
          </w:p>
        </w:tc>
      </w:tr>
      <w:tr w:rsidR="006B590F" w:rsidRPr="00CF7E1B" w14:paraId="7C6415B0" w14:textId="77777777" w:rsidTr="0004564D">
        <w:trPr>
          <w:cantSplit/>
          <w:trHeight w:val="300"/>
        </w:trPr>
        <w:tc>
          <w:tcPr>
            <w:tcW w:w="1560" w:type="dxa"/>
            <w:tcBorders>
              <w:left w:val="single" w:sz="2" w:space="0" w:color="auto"/>
              <w:right w:val="single" w:sz="2" w:space="0" w:color="auto"/>
            </w:tcBorders>
          </w:tcPr>
          <w:p w14:paraId="2D789D92"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20CD35CC" w14:textId="7A7ADF73" w:rsidR="006B590F" w:rsidRDefault="006B590F" w:rsidP="00105BC0">
            <w:pPr>
              <w:jc w:val="both"/>
              <w:rPr>
                <w:color w:val="FFFFFF" w:themeColor="background1"/>
                <w:sz w:val="18"/>
                <w:szCs w:val="18"/>
              </w:rPr>
            </w:pPr>
            <w:r w:rsidRPr="00FF0025">
              <w:rPr>
                <w:color w:val="FFFFFF" w:themeColor="background1"/>
                <w:sz w:val="18"/>
                <w:szCs w:val="18"/>
              </w:rPr>
              <w:t>Agencies should provide to the Audit Office a work paper calculating all the variances of the financial statements, supporting which items have been disclosed as major variances.</w:t>
            </w:r>
            <w:r w:rsidR="00FA7C77">
              <w:rPr>
                <w:color w:val="FFFFFF" w:themeColor="background1"/>
                <w:sz w:val="18"/>
                <w:szCs w:val="18"/>
              </w:rPr>
              <w:t xml:space="preserve"> </w:t>
            </w:r>
            <w:r w:rsidRPr="00FF0025">
              <w:rPr>
                <w:color w:val="FFFFFF" w:themeColor="background1"/>
                <w:sz w:val="18"/>
                <w:szCs w:val="18"/>
              </w:rPr>
              <w:t>Work papers will also be required supporting the variance explanations.</w:t>
            </w:r>
          </w:p>
          <w:p w14:paraId="777DED4D" w14:textId="77777777" w:rsidR="00722BF2" w:rsidRDefault="00722BF2" w:rsidP="00105BC0">
            <w:pPr>
              <w:jc w:val="both"/>
              <w:rPr>
                <w:color w:val="FFFFFF" w:themeColor="background1"/>
                <w:sz w:val="18"/>
                <w:szCs w:val="18"/>
              </w:rPr>
            </w:pPr>
          </w:p>
          <w:p w14:paraId="3285DBCA" w14:textId="5E06F226" w:rsidR="00722BF2" w:rsidRPr="00703D62" w:rsidRDefault="00722BF2" w:rsidP="00C87FF4">
            <w:pPr>
              <w:spacing w:after="40"/>
              <w:jc w:val="both"/>
              <w:rPr>
                <w:b/>
                <w:bCs/>
                <w:color w:val="FFFFFF" w:themeColor="background1"/>
                <w:sz w:val="20"/>
                <w:szCs w:val="20"/>
              </w:rPr>
            </w:pPr>
            <w:r w:rsidRPr="00703D62">
              <w:rPr>
                <w:b/>
                <w:bCs/>
                <w:color w:val="FFFFFF" w:themeColor="background1"/>
                <w:sz w:val="20"/>
                <w:szCs w:val="20"/>
              </w:rPr>
              <w:t>Territory Authority Commentary</w:t>
            </w:r>
          </w:p>
          <w:p w14:paraId="0741A503" w14:textId="43143E8C" w:rsidR="00722BF2" w:rsidRPr="00FF0025" w:rsidRDefault="00722BF2" w:rsidP="00703D62">
            <w:pPr>
              <w:spacing w:after="120"/>
              <w:jc w:val="both"/>
              <w:rPr>
                <w:rFonts w:cs="Calibri"/>
                <w:b/>
                <w:i/>
                <w:color w:val="FFFFFF" w:themeColor="background1"/>
                <w:sz w:val="18"/>
                <w:szCs w:val="18"/>
              </w:rPr>
            </w:pPr>
            <w:r w:rsidRPr="00FA0C47">
              <w:rPr>
                <w:rFonts w:cs="Calibri"/>
                <w:color w:val="FFFFFF" w:themeColor="background1"/>
                <w:sz w:val="18"/>
                <w:szCs w:val="18"/>
              </w:rPr>
              <w:t>AASB 1055 does not apply to for-profit agencies.</w:t>
            </w:r>
            <w:r w:rsidR="00FA7C77">
              <w:rPr>
                <w:rFonts w:cs="Calibri"/>
                <w:color w:val="FFFFFF" w:themeColor="background1"/>
                <w:sz w:val="18"/>
                <w:szCs w:val="18"/>
              </w:rPr>
              <w:t xml:space="preserve"> </w:t>
            </w:r>
            <w:r w:rsidRPr="00FA0C47">
              <w:rPr>
                <w:rFonts w:cs="Calibri"/>
                <w:color w:val="FFFFFF" w:themeColor="background1"/>
                <w:sz w:val="18"/>
                <w:szCs w:val="18"/>
              </w:rPr>
              <w:t xml:space="preserve">However, it is ACT Disclosure Policy that for-profit </w:t>
            </w:r>
            <w:r w:rsidR="00A832C5">
              <w:rPr>
                <w:rFonts w:cs="Calibri"/>
                <w:color w:val="FFFFFF" w:themeColor="background1"/>
                <w:sz w:val="18"/>
                <w:szCs w:val="18"/>
              </w:rPr>
              <w:t>t</w:t>
            </w:r>
            <w:r w:rsidRPr="00FA0C47">
              <w:rPr>
                <w:rFonts w:cs="Calibri"/>
                <w:color w:val="FFFFFF" w:themeColor="background1"/>
                <w:sz w:val="18"/>
                <w:szCs w:val="18"/>
              </w:rPr>
              <w:t xml:space="preserve">erritory </w:t>
            </w:r>
            <w:r w:rsidR="00A832C5">
              <w:rPr>
                <w:rFonts w:cs="Calibri"/>
                <w:color w:val="FFFFFF" w:themeColor="background1"/>
                <w:sz w:val="18"/>
                <w:szCs w:val="18"/>
              </w:rPr>
              <w:t>a</w:t>
            </w:r>
            <w:r w:rsidRPr="00FA0C47">
              <w:rPr>
                <w:rFonts w:cs="Calibri"/>
                <w:color w:val="FFFFFF" w:themeColor="background1"/>
                <w:sz w:val="18"/>
                <w:szCs w:val="18"/>
              </w:rPr>
              <w:t>uthorities also adopt AASB 1055 for reporting purposes.</w:t>
            </w:r>
          </w:p>
        </w:tc>
      </w:tr>
    </w:tbl>
    <w:p w14:paraId="0A192B7D" w14:textId="35AF2350" w:rsidR="00AC3DDE" w:rsidRDefault="00AC3DDE" w:rsidP="0076386D">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5006D4" w:rsidRPr="00CF7E1B" w14:paraId="109356B4" w14:textId="77777777" w:rsidTr="00AF4715">
        <w:trPr>
          <w:cantSplit/>
          <w:trHeight w:val="300"/>
        </w:trPr>
        <w:tc>
          <w:tcPr>
            <w:tcW w:w="1560" w:type="dxa"/>
            <w:tcBorders>
              <w:left w:val="single" w:sz="2" w:space="0" w:color="auto"/>
              <w:right w:val="single" w:sz="2" w:space="0" w:color="auto"/>
            </w:tcBorders>
          </w:tcPr>
          <w:p w14:paraId="62A97B3C" w14:textId="2757BDAE" w:rsidR="005006D4" w:rsidRPr="00AC3DDE" w:rsidRDefault="00AC3DDE" w:rsidP="00AF4715">
            <w:pPr>
              <w:spacing w:before="240" w:after="240"/>
              <w:rPr>
                <w:b/>
                <w:bCs/>
                <w:color w:val="7030A0"/>
              </w:rPr>
            </w:pPr>
            <w:r w:rsidRPr="00AC3DDE">
              <w:rPr>
                <w:b/>
                <w:bCs/>
                <w:color w:val="7030A0"/>
              </w:rPr>
              <w:t>Reference</w:t>
            </w:r>
          </w:p>
        </w:tc>
        <w:tc>
          <w:tcPr>
            <w:tcW w:w="8930" w:type="dxa"/>
            <w:tcBorders>
              <w:left w:val="single" w:sz="2" w:space="0" w:color="auto"/>
            </w:tcBorders>
            <w:shd w:val="clear" w:color="auto" w:fill="7030A0"/>
          </w:tcPr>
          <w:p w14:paraId="1AE9A609" w14:textId="77A3EBB3" w:rsidR="005006D4" w:rsidRPr="00FF0025" w:rsidRDefault="00AB3663" w:rsidP="00AF4715">
            <w:pPr>
              <w:spacing w:before="240" w:after="240"/>
              <w:rPr>
                <w:color w:val="FFFFFF" w:themeColor="background1"/>
                <w:sz w:val="28"/>
                <w:szCs w:val="28"/>
              </w:rPr>
            </w:pPr>
            <w:r w:rsidRPr="00FF0025">
              <w:rPr>
                <w:rFonts w:asciiTheme="minorHAnsi" w:hAnsiTheme="minorHAnsi"/>
                <w:b/>
                <w:color w:val="FFFFFF" w:themeColor="background1"/>
                <w:sz w:val="28"/>
                <w:szCs w:val="28"/>
              </w:rPr>
              <w:t>Commentary – Discontinuing Operations</w:t>
            </w:r>
          </w:p>
        </w:tc>
      </w:tr>
      <w:tr w:rsidR="005006D4" w:rsidRPr="00CF7E1B" w14:paraId="55474E75" w14:textId="77777777" w:rsidTr="0004564D">
        <w:trPr>
          <w:cantSplit/>
          <w:trHeight w:val="300"/>
        </w:trPr>
        <w:tc>
          <w:tcPr>
            <w:tcW w:w="1560" w:type="dxa"/>
            <w:tcBorders>
              <w:left w:val="single" w:sz="2" w:space="0" w:color="auto"/>
              <w:right w:val="single" w:sz="2" w:space="0" w:color="auto"/>
            </w:tcBorders>
          </w:tcPr>
          <w:p w14:paraId="7F71EA0A" w14:textId="77777777" w:rsidR="005006D4" w:rsidRPr="00FF0025" w:rsidRDefault="005006D4" w:rsidP="00837347">
            <w:pPr>
              <w:pStyle w:val="TableReference"/>
              <w:spacing w:before="60"/>
              <w:rPr>
                <w:rFonts w:cs="Calibri"/>
                <w:color w:val="7030A0"/>
                <w:sz w:val="14"/>
              </w:rPr>
            </w:pPr>
            <w:bookmarkStart w:id="907" w:name="_Hlk41608178"/>
            <w:r w:rsidRPr="00FF0025">
              <w:rPr>
                <w:rFonts w:cs="Calibri"/>
                <w:color w:val="7030A0"/>
                <w:sz w:val="14"/>
              </w:rPr>
              <w:t>AASB 5.32</w:t>
            </w:r>
          </w:p>
        </w:tc>
        <w:tc>
          <w:tcPr>
            <w:tcW w:w="8930" w:type="dxa"/>
            <w:tcBorders>
              <w:left w:val="single" w:sz="2" w:space="0" w:color="auto"/>
            </w:tcBorders>
            <w:shd w:val="clear" w:color="auto" w:fill="7030A0"/>
          </w:tcPr>
          <w:p w14:paraId="502C79BE" w14:textId="187C7B9A" w:rsidR="005006D4" w:rsidRPr="00FF0025" w:rsidRDefault="005006D4" w:rsidP="00837347">
            <w:pPr>
              <w:pStyle w:val="CommentaryText"/>
              <w:rPr>
                <w:rFonts w:cs="Calibri"/>
                <w:color w:val="FFFFFF" w:themeColor="background1"/>
                <w:sz w:val="18"/>
                <w:szCs w:val="18"/>
              </w:rPr>
            </w:pPr>
            <w:r w:rsidRPr="00FF0025">
              <w:rPr>
                <w:rFonts w:cs="Calibri"/>
                <w:color w:val="FFFFFF" w:themeColor="background1"/>
                <w:sz w:val="18"/>
                <w:szCs w:val="18"/>
              </w:rPr>
              <w:t>Discontinuing operations are not expected to occur frequently within agencies, so no pro forma note has been included in the Model.</w:t>
            </w:r>
            <w:r w:rsidR="00FA7C77">
              <w:rPr>
                <w:rFonts w:cs="Calibri"/>
                <w:color w:val="FFFFFF" w:themeColor="background1"/>
                <w:sz w:val="18"/>
                <w:szCs w:val="18"/>
              </w:rPr>
              <w:t xml:space="preserve"> </w:t>
            </w:r>
          </w:p>
        </w:tc>
      </w:tr>
      <w:tr w:rsidR="005006D4" w:rsidRPr="00CF7E1B" w14:paraId="2B1E29AF" w14:textId="77777777" w:rsidTr="0004564D">
        <w:trPr>
          <w:cantSplit/>
          <w:trHeight w:val="300"/>
        </w:trPr>
        <w:tc>
          <w:tcPr>
            <w:tcW w:w="1560" w:type="dxa"/>
            <w:tcBorders>
              <w:left w:val="single" w:sz="2" w:space="0" w:color="auto"/>
              <w:right w:val="single" w:sz="2" w:space="0" w:color="auto"/>
            </w:tcBorders>
          </w:tcPr>
          <w:p w14:paraId="6A18DCC2" w14:textId="1E240AFD" w:rsidR="005006D4" w:rsidRPr="00FF0025" w:rsidRDefault="005006D4" w:rsidP="00837347">
            <w:pPr>
              <w:pStyle w:val="TableReference"/>
              <w:spacing w:before="60"/>
              <w:rPr>
                <w:rFonts w:cs="Calibri"/>
                <w:color w:val="7030A0"/>
                <w:sz w:val="14"/>
              </w:rPr>
            </w:pPr>
            <w:r w:rsidRPr="00FF0025">
              <w:rPr>
                <w:rFonts w:cs="Calibri"/>
                <w:color w:val="7030A0"/>
                <w:sz w:val="14"/>
              </w:rPr>
              <w:t>AASB 5.Aus 2.1</w:t>
            </w:r>
          </w:p>
        </w:tc>
        <w:tc>
          <w:tcPr>
            <w:tcW w:w="8930" w:type="dxa"/>
            <w:tcBorders>
              <w:left w:val="single" w:sz="2" w:space="0" w:color="auto"/>
            </w:tcBorders>
            <w:shd w:val="clear" w:color="auto" w:fill="7030A0"/>
          </w:tcPr>
          <w:p w14:paraId="5345781F" w14:textId="132F718E" w:rsidR="005006D4" w:rsidRPr="00FF0025" w:rsidRDefault="005006D4" w:rsidP="00F117D3">
            <w:pPr>
              <w:pStyle w:val="CommentaryText"/>
              <w:spacing w:after="40"/>
              <w:rPr>
                <w:rFonts w:cs="Calibri"/>
                <w:color w:val="FFFFFF" w:themeColor="background1"/>
                <w:sz w:val="18"/>
                <w:szCs w:val="18"/>
              </w:rPr>
            </w:pPr>
            <w:r w:rsidRPr="00FF0025">
              <w:rPr>
                <w:rFonts w:cs="Calibri"/>
                <w:color w:val="FFFFFF" w:themeColor="background1"/>
                <w:sz w:val="18"/>
                <w:szCs w:val="18"/>
              </w:rPr>
              <w:t xml:space="preserve">A discontinued operation is a component of an agency that either has been disposed of, or is classified as held for sale, and: </w:t>
            </w:r>
          </w:p>
        </w:tc>
      </w:tr>
      <w:tr w:rsidR="009963B2" w:rsidRPr="00CF7E1B" w14:paraId="0C25F516" w14:textId="77777777" w:rsidTr="0004564D">
        <w:trPr>
          <w:cantSplit/>
          <w:trHeight w:val="300"/>
        </w:trPr>
        <w:tc>
          <w:tcPr>
            <w:tcW w:w="1560" w:type="dxa"/>
            <w:tcBorders>
              <w:left w:val="single" w:sz="2" w:space="0" w:color="auto"/>
              <w:right w:val="single" w:sz="2" w:space="0" w:color="auto"/>
            </w:tcBorders>
          </w:tcPr>
          <w:p w14:paraId="5E41BBE5" w14:textId="03489958" w:rsidR="009963B2" w:rsidRPr="00FF0025" w:rsidRDefault="009963B2" w:rsidP="00837347">
            <w:pPr>
              <w:pStyle w:val="TableReference"/>
              <w:spacing w:before="60"/>
              <w:rPr>
                <w:rFonts w:cs="Calibri"/>
                <w:color w:val="7030A0"/>
                <w:sz w:val="14"/>
              </w:rPr>
            </w:pPr>
            <w:r w:rsidRPr="00FF0025">
              <w:rPr>
                <w:rFonts w:cs="Calibri"/>
                <w:color w:val="7030A0"/>
                <w:sz w:val="14"/>
              </w:rPr>
              <w:t>AASB 5.30</w:t>
            </w:r>
          </w:p>
        </w:tc>
        <w:tc>
          <w:tcPr>
            <w:tcW w:w="8930" w:type="dxa"/>
            <w:tcBorders>
              <w:left w:val="single" w:sz="2" w:space="0" w:color="auto"/>
            </w:tcBorders>
            <w:shd w:val="clear" w:color="auto" w:fill="7030A0"/>
          </w:tcPr>
          <w:p w14:paraId="34F97C54"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represents a separate major line of business; </w:t>
            </w:r>
          </w:p>
          <w:p w14:paraId="6223722A"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is part of a single co-ordinated plan to dispose of a separate major line of business; or </w:t>
            </w:r>
          </w:p>
          <w:p w14:paraId="1AD22D70" w14:textId="1E1ADF7C" w:rsidR="009963B2" w:rsidRPr="00FF0025" w:rsidRDefault="009963B2" w:rsidP="00CB31DE">
            <w:pPr>
              <w:pStyle w:val="CommentaryText"/>
              <w:numPr>
                <w:ilvl w:val="0"/>
                <w:numId w:val="7"/>
              </w:numPr>
              <w:tabs>
                <w:tab w:val="clear" w:pos="360"/>
              </w:tabs>
              <w:ind w:left="452" w:hanging="357"/>
              <w:rPr>
                <w:rFonts w:cs="Calibri"/>
                <w:color w:val="FFFFFF" w:themeColor="background1"/>
                <w:sz w:val="18"/>
                <w:szCs w:val="18"/>
              </w:rPr>
            </w:pPr>
            <w:r w:rsidRPr="00FF0025">
              <w:rPr>
                <w:rFonts w:cs="Calibri"/>
                <w:color w:val="FFFFFF" w:themeColor="background1"/>
                <w:sz w:val="18"/>
                <w:szCs w:val="18"/>
              </w:rPr>
              <w:t xml:space="preserve">is a subsidiary acquired exclusively with a view to </w:t>
            </w:r>
            <w:r w:rsidR="006222F7" w:rsidRPr="00FF0025">
              <w:rPr>
                <w:rFonts w:cs="Calibri"/>
                <w:color w:val="FFFFFF" w:themeColor="background1"/>
                <w:sz w:val="18"/>
                <w:szCs w:val="18"/>
              </w:rPr>
              <w:t>resale</w:t>
            </w:r>
            <w:r w:rsidR="00722BF2">
              <w:rPr>
                <w:rFonts w:cs="Calibri"/>
                <w:color w:val="FFFFFF" w:themeColor="background1"/>
                <w:sz w:val="18"/>
                <w:szCs w:val="18"/>
              </w:rPr>
              <w:t>.</w:t>
            </w:r>
          </w:p>
        </w:tc>
      </w:tr>
      <w:tr w:rsidR="00B66BE0" w:rsidRPr="00CF7E1B" w14:paraId="0B66D346" w14:textId="77777777" w:rsidTr="0004564D">
        <w:trPr>
          <w:cantSplit/>
          <w:trHeight w:val="300"/>
        </w:trPr>
        <w:tc>
          <w:tcPr>
            <w:tcW w:w="1560" w:type="dxa"/>
            <w:tcBorders>
              <w:left w:val="single" w:sz="2" w:space="0" w:color="auto"/>
              <w:right w:val="single" w:sz="2" w:space="0" w:color="auto"/>
            </w:tcBorders>
          </w:tcPr>
          <w:p w14:paraId="424A465D" w14:textId="77777777" w:rsidR="00B66BE0" w:rsidRPr="00FF0025" w:rsidRDefault="00B66BE0" w:rsidP="00837347">
            <w:pPr>
              <w:pStyle w:val="TableReference"/>
              <w:spacing w:before="60"/>
              <w:rPr>
                <w:rFonts w:cs="Calibri"/>
                <w:color w:val="7030A0"/>
                <w:sz w:val="14"/>
              </w:rPr>
            </w:pPr>
          </w:p>
        </w:tc>
        <w:tc>
          <w:tcPr>
            <w:tcW w:w="8930" w:type="dxa"/>
            <w:tcBorders>
              <w:left w:val="single" w:sz="2" w:space="0" w:color="auto"/>
            </w:tcBorders>
            <w:shd w:val="clear" w:color="auto" w:fill="7030A0"/>
          </w:tcPr>
          <w:p w14:paraId="367A42F0" w14:textId="4EE7A09A" w:rsidR="00B66BE0" w:rsidRPr="00FF0025" w:rsidRDefault="00B66BE0" w:rsidP="00B66BE0">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Pr="00FF0025">
              <w:rPr>
                <w:rFonts w:cs="Calibri"/>
                <w:i/>
                <w:color w:val="FFFFFF" w:themeColor="background1"/>
                <w:sz w:val="18"/>
                <w:szCs w:val="18"/>
              </w:rPr>
              <w:t xml:space="preserve">Non-current Assets Held for Sale and Discontinued Operations </w:t>
            </w:r>
            <w:r w:rsidRPr="00FF0025">
              <w:rPr>
                <w:rFonts w:cs="Calibri"/>
                <w:color w:val="FFFFFF" w:themeColor="background1"/>
                <w:sz w:val="18"/>
                <w:szCs w:val="18"/>
              </w:rPr>
              <w:t>classifies an operation as a discontinued operation at the date when the operation meets the criteria to be classified as held for sale or when the entity has actually disposed of the operation.</w:t>
            </w:r>
          </w:p>
        </w:tc>
      </w:tr>
      <w:bookmarkEnd w:id="907"/>
      <w:tr w:rsidR="005006D4" w:rsidRPr="00CF7E1B" w14:paraId="3B414470" w14:textId="77777777" w:rsidTr="0004564D">
        <w:trPr>
          <w:cantSplit/>
          <w:trHeight w:val="300"/>
        </w:trPr>
        <w:tc>
          <w:tcPr>
            <w:tcW w:w="1560" w:type="dxa"/>
            <w:tcBorders>
              <w:left w:val="single" w:sz="2" w:space="0" w:color="auto"/>
              <w:right w:val="single" w:sz="2" w:space="0" w:color="auto"/>
            </w:tcBorders>
          </w:tcPr>
          <w:p w14:paraId="3F31F20B" w14:textId="77777777" w:rsidR="005006D4" w:rsidRPr="00FF0025" w:rsidRDefault="005006D4" w:rsidP="00A166E8">
            <w:pPr>
              <w:pStyle w:val="TableReference"/>
              <w:spacing w:before="240"/>
              <w:rPr>
                <w:rFonts w:cs="Calibri"/>
                <w:color w:val="7030A0"/>
                <w:sz w:val="14"/>
              </w:rPr>
            </w:pPr>
          </w:p>
        </w:tc>
        <w:tc>
          <w:tcPr>
            <w:tcW w:w="8930" w:type="dxa"/>
            <w:tcBorders>
              <w:left w:val="single" w:sz="2" w:space="0" w:color="auto"/>
            </w:tcBorders>
            <w:shd w:val="clear" w:color="auto" w:fill="7030A0"/>
          </w:tcPr>
          <w:p w14:paraId="242BB165" w14:textId="35E528DA" w:rsidR="005006D4" w:rsidRPr="00FF0025" w:rsidRDefault="005006D4" w:rsidP="00837347">
            <w:pPr>
              <w:pStyle w:val="CommentaryText"/>
              <w:rPr>
                <w:rFonts w:cs="Calibri"/>
                <w:color w:val="FFFFFF" w:themeColor="background1"/>
                <w:sz w:val="18"/>
                <w:szCs w:val="18"/>
              </w:rPr>
            </w:pPr>
            <w:r w:rsidRPr="00FF0025">
              <w:rPr>
                <w:rFonts w:cs="Calibri"/>
                <w:color w:val="FFFFFF" w:themeColor="background1"/>
                <w:sz w:val="18"/>
                <w:szCs w:val="18"/>
              </w:rPr>
              <w:t>AASB 5 does not apply to the restructuring of administrative arrangements of Government agencies.</w:t>
            </w:r>
          </w:p>
        </w:tc>
      </w:tr>
      <w:tr w:rsidR="009963B2" w:rsidRPr="00CF7E1B" w14:paraId="3FF9A373" w14:textId="77777777" w:rsidTr="0004564D">
        <w:trPr>
          <w:cantSplit/>
          <w:trHeight w:val="300"/>
        </w:trPr>
        <w:tc>
          <w:tcPr>
            <w:tcW w:w="1560" w:type="dxa"/>
            <w:tcBorders>
              <w:left w:val="single" w:sz="2" w:space="0" w:color="auto"/>
              <w:right w:val="single" w:sz="2" w:space="0" w:color="auto"/>
            </w:tcBorders>
          </w:tcPr>
          <w:p w14:paraId="376F1841" w14:textId="77777777" w:rsidR="009963B2" w:rsidRPr="00FF0025" w:rsidRDefault="009963B2" w:rsidP="00A166E8">
            <w:pPr>
              <w:pStyle w:val="TableReference"/>
              <w:spacing w:before="240"/>
              <w:rPr>
                <w:rFonts w:cs="Calibri"/>
                <w:color w:val="7030A0"/>
                <w:sz w:val="14"/>
              </w:rPr>
            </w:pPr>
          </w:p>
        </w:tc>
        <w:tc>
          <w:tcPr>
            <w:tcW w:w="8930" w:type="dxa"/>
            <w:tcBorders>
              <w:left w:val="single" w:sz="2" w:space="0" w:color="auto"/>
            </w:tcBorders>
            <w:shd w:val="clear" w:color="auto" w:fill="7030A0"/>
          </w:tcPr>
          <w:p w14:paraId="3C025167" w14:textId="5EE94411" w:rsidR="009963B2" w:rsidRPr="00FF0025" w:rsidRDefault="009963B2" w:rsidP="00837347">
            <w:pPr>
              <w:pStyle w:val="CommentaryText"/>
              <w:rPr>
                <w:rFonts w:cs="Calibri"/>
                <w:color w:val="FFFFFF" w:themeColor="background1"/>
                <w:sz w:val="18"/>
                <w:szCs w:val="18"/>
              </w:rPr>
            </w:pPr>
            <w:r w:rsidRPr="00FF0025">
              <w:rPr>
                <w:rFonts w:cs="Calibri"/>
                <w:color w:val="FFFFFF" w:themeColor="background1"/>
                <w:sz w:val="18"/>
                <w:szCs w:val="18"/>
              </w:rPr>
              <w:t>AASB 5 requires the presentation and disclosure of information to allow evaluation of the effects of discontinued operations.</w:t>
            </w:r>
          </w:p>
        </w:tc>
      </w:tr>
      <w:tr w:rsidR="005006D4" w:rsidRPr="00CF7E1B" w14:paraId="3C4D0F62" w14:textId="77777777" w:rsidTr="0004564D">
        <w:trPr>
          <w:cantSplit/>
          <w:trHeight w:val="300"/>
        </w:trPr>
        <w:tc>
          <w:tcPr>
            <w:tcW w:w="1560" w:type="dxa"/>
            <w:tcBorders>
              <w:left w:val="single" w:sz="2" w:space="0" w:color="auto"/>
              <w:right w:val="single" w:sz="2" w:space="0" w:color="auto"/>
            </w:tcBorders>
          </w:tcPr>
          <w:p w14:paraId="51EB40DF" w14:textId="77777777" w:rsidR="002F3A6D" w:rsidRPr="00FF0025" w:rsidRDefault="002F3A6D" w:rsidP="00837347">
            <w:pPr>
              <w:pStyle w:val="TableReference"/>
              <w:rPr>
                <w:rFonts w:cs="Calibri"/>
                <w:color w:val="7030A0"/>
                <w:sz w:val="14"/>
              </w:rPr>
            </w:pPr>
          </w:p>
          <w:p w14:paraId="49249017" w14:textId="77777777" w:rsidR="005006D4" w:rsidRPr="00FF0025" w:rsidRDefault="005006D4" w:rsidP="00837347">
            <w:pPr>
              <w:pStyle w:val="TableReference"/>
              <w:rPr>
                <w:rFonts w:cs="Calibri"/>
                <w:color w:val="7030A0"/>
                <w:sz w:val="14"/>
              </w:rPr>
            </w:pPr>
            <w:r w:rsidRPr="00FF0025">
              <w:rPr>
                <w:rFonts w:cs="Calibri"/>
                <w:color w:val="7030A0"/>
                <w:sz w:val="14"/>
              </w:rPr>
              <w:t xml:space="preserve">AASB 5.33 </w:t>
            </w:r>
          </w:p>
          <w:p w14:paraId="1AB89D79" w14:textId="77777777" w:rsidR="005006D4" w:rsidRPr="00FF0025" w:rsidRDefault="005006D4" w:rsidP="00837347">
            <w:pPr>
              <w:pStyle w:val="TableReference"/>
              <w:rPr>
                <w:rFonts w:cs="Calibri"/>
                <w:color w:val="7030A0"/>
                <w:sz w:val="14"/>
              </w:rPr>
            </w:pPr>
          </w:p>
          <w:p w14:paraId="14F66C43" w14:textId="77777777" w:rsidR="005006D4" w:rsidRPr="00FF0025" w:rsidRDefault="005006D4" w:rsidP="009963B2">
            <w:pPr>
              <w:pStyle w:val="TableReference"/>
              <w:rPr>
                <w:rFonts w:cs="Calibri"/>
                <w:color w:val="7030A0"/>
                <w:sz w:val="14"/>
              </w:rPr>
            </w:pPr>
          </w:p>
        </w:tc>
        <w:tc>
          <w:tcPr>
            <w:tcW w:w="8930" w:type="dxa"/>
            <w:tcBorders>
              <w:left w:val="single" w:sz="2" w:space="0" w:color="auto"/>
            </w:tcBorders>
            <w:shd w:val="clear" w:color="auto" w:fill="7030A0"/>
          </w:tcPr>
          <w:p w14:paraId="4CA3F7A4" w14:textId="77777777" w:rsidR="002F3A6D" w:rsidRPr="00A84CC0" w:rsidRDefault="005006D4" w:rsidP="003173AE">
            <w:pPr>
              <w:pStyle w:val="CommentaryHeading"/>
              <w:spacing w:before="0" w:after="40"/>
              <w:rPr>
                <w:rFonts w:cs="Calibri"/>
                <w:color w:val="FFFFFF" w:themeColor="background1"/>
                <w:szCs w:val="20"/>
              </w:rPr>
            </w:pPr>
            <w:r w:rsidRPr="00A84CC0">
              <w:rPr>
                <w:rFonts w:cs="Calibri"/>
                <w:color w:val="FFFFFF" w:themeColor="background1"/>
                <w:szCs w:val="20"/>
              </w:rPr>
              <w:t>Disclosures</w:t>
            </w:r>
          </w:p>
          <w:p w14:paraId="49603C59" w14:textId="77777777" w:rsidR="005006D4" w:rsidRPr="00FF0025" w:rsidRDefault="005006D4" w:rsidP="002F3A6D">
            <w:pPr>
              <w:pStyle w:val="CommentaryHeading"/>
              <w:spacing w:before="0" w:after="0"/>
              <w:rPr>
                <w:rFonts w:cs="Calibri"/>
                <w:b w:val="0"/>
                <w:bCs w:val="0"/>
                <w:color w:val="FFFFFF" w:themeColor="background1"/>
                <w:sz w:val="18"/>
              </w:rPr>
            </w:pPr>
            <w:r w:rsidRPr="00FF0025">
              <w:rPr>
                <w:rFonts w:cs="Calibri"/>
                <w:b w:val="0"/>
                <w:bCs w:val="0"/>
                <w:color w:val="FFFFFF" w:themeColor="background1"/>
                <w:sz w:val="18"/>
              </w:rPr>
              <w:t>The details of discontinuing operations should be disclosed by way of a note and include:</w:t>
            </w:r>
          </w:p>
          <w:p w14:paraId="0BF80025"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revenue, expenses and pre-tax profit or loss of discontinued operations;</w:t>
            </w:r>
          </w:p>
          <w:p w14:paraId="442A4ECD"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related income tax expense; </w:t>
            </w:r>
          </w:p>
          <w:p w14:paraId="261DF3A1"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gain or loss recognised on the measurement to fair value less costs to sell; </w:t>
            </w:r>
          </w:p>
          <w:p w14:paraId="66182334"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net cash flows attributable to operating, investing and financing activities of discontinued operations; and</w:t>
            </w:r>
          </w:p>
          <w:p w14:paraId="08583DF2" w14:textId="0397A2FE"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the amount of income from continuing operations and from discontinued operations attributable to the parent, i.e. Example Agency.</w:t>
            </w:r>
          </w:p>
        </w:tc>
      </w:tr>
      <w:tr w:rsidR="009963B2" w:rsidRPr="00CF7E1B" w14:paraId="67736440" w14:textId="77777777" w:rsidTr="0004564D">
        <w:trPr>
          <w:cantSplit/>
          <w:trHeight w:val="300"/>
        </w:trPr>
        <w:tc>
          <w:tcPr>
            <w:tcW w:w="1560" w:type="dxa"/>
            <w:tcBorders>
              <w:left w:val="single" w:sz="2" w:space="0" w:color="auto"/>
              <w:right w:val="single" w:sz="2" w:space="0" w:color="auto"/>
            </w:tcBorders>
          </w:tcPr>
          <w:p w14:paraId="581C21E1" w14:textId="77777777" w:rsidR="009963B2" w:rsidRPr="00FF0025" w:rsidRDefault="009963B2" w:rsidP="009963B2">
            <w:pPr>
              <w:pStyle w:val="TableReference"/>
              <w:spacing w:before="80"/>
              <w:rPr>
                <w:rFonts w:cs="Calibri"/>
                <w:color w:val="7030A0"/>
                <w:sz w:val="14"/>
              </w:rPr>
            </w:pPr>
            <w:r w:rsidRPr="00FF0025">
              <w:rPr>
                <w:rFonts w:cs="Calibri"/>
                <w:color w:val="7030A0"/>
                <w:sz w:val="14"/>
              </w:rPr>
              <w:t>AASB 101.82(ea)</w:t>
            </w:r>
          </w:p>
          <w:p w14:paraId="6C60C4EB"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576F649B" w14:textId="042E0776" w:rsidR="009963B2" w:rsidRPr="00FF0025" w:rsidRDefault="009963B2" w:rsidP="009963B2">
            <w:pPr>
              <w:pStyle w:val="BodyText2"/>
              <w:tabs>
                <w:tab w:val="clear" w:pos="3306"/>
              </w:tabs>
              <w:autoSpaceDE w:val="0"/>
              <w:autoSpaceDN w:val="0"/>
              <w:adjustRightInd w:val="0"/>
              <w:spacing w:after="120"/>
              <w:jc w:val="both"/>
              <w:rPr>
                <w:rFonts w:cs="Calibri"/>
                <w:strike/>
                <w:color w:val="FFFFFF" w:themeColor="background1"/>
                <w:sz w:val="18"/>
                <w:szCs w:val="18"/>
              </w:rPr>
            </w:pPr>
            <w:r w:rsidRPr="00FF0025">
              <w:rPr>
                <w:rFonts w:cs="Calibri"/>
                <w:color w:val="FFFFFF" w:themeColor="background1"/>
                <w:sz w:val="18"/>
                <w:szCs w:val="18"/>
              </w:rPr>
              <w:t xml:space="preserve">The operating statement shall include a single amount for the total of discontinued operations. </w:t>
            </w:r>
          </w:p>
        </w:tc>
      </w:tr>
      <w:tr w:rsidR="009963B2" w:rsidRPr="00CF7E1B" w14:paraId="6BF06D79" w14:textId="77777777" w:rsidTr="0004564D">
        <w:trPr>
          <w:cantSplit/>
          <w:trHeight w:val="300"/>
        </w:trPr>
        <w:tc>
          <w:tcPr>
            <w:tcW w:w="1560" w:type="dxa"/>
            <w:tcBorders>
              <w:left w:val="single" w:sz="2" w:space="0" w:color="auto"/>
              <w:right w:val="single" w:sz="2" w:space="0" w:color="auto"/>
            </w:tcBorders>
          </w:tcPr>
          <w:p w14:paraId="00513D10"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47A04E80" w14:textId="0089EBFC" w:rsidR="009963B2" w:rsidRPr="00FF0025" w:rsidRDefault="009963B2" w:rsidP="009963B2">
            <w:pPr>
              <w:pStyle w:val="CommentaryText"/>
              <w:rPr>
                <w:rFonts w:cs="Calibri"/>
                <w:color w:val="FFFFFF" w:themeColor="background1"/>
                <w:sz w:val="18"/>
                <w:szCs w:val="18"/>
              </w:rPr>
            </w:pPr>
            <w:r w:rsidRPr="00FF0025">
              <w:rPr>
                <w:rFonts w:cs="Calibri"/>
                <w:color w:val="FFFFFF" w:themeColor="background1"/>
                <w:sz w:val="18"/>
                <w:szCs w:val="18"/>
              </w:rPr>
              <w:t>An agency shall re-present the above disclosures for prior periods presented in the financial statements so that the disclosures relate to all operations that have been discontinued by the reporting date for the latest period presented.</w:t>
            </w:r>
          </w:p>
        </w:tc>
      </w:tr>
      <w:tr w:rsidR="009963B2" w:rsidRPr="00CF7E1B" w14:paraId="335FBA2F" w14:textId="77777777" w:rsidTr="0004564D">
        <w:trPr>
          <w:cantSplit/>
          <w:trHeight w:val="300"/>
        </w:trPr>
        <w:tc>
          <w:tcPr>
            <w:tcW w:w="1560" w:type="dxa"/>
            <w:tcBorders>
              <w:left w:val="single" w:sz="2" w:space="0" w:color="auto"/>
              <w:right w:val="single" w:sz="2" w:space="0" w:color="auto"/>
            </w:tcBorders>
          </w:tcPr>
          <w:p w14:paraId="4D97F2AE" w14:textId="77777777" w:rsidR="009963B2" w:rsidRPr="00FF0025" w:rsidRDefault="009963B2" w:rsidP="009963B2">
            <w:pPr>
              <w:pStyle w:val="TableReference"/>
              <w:rPr>
                <w:rFonts w:cs="Calibri"/>
                <w:color w:val="7030A0"/>
                <w:sz w:val="14"/>
              </w:rPr>
            </w:pPr>
            <w:r w:rsidRPr="00FF0025">
              <w:rPr>
                <w:rFonts w:cs="Calibri"/>
                <w:color w:val="7030A0"/>
                <w:sz w:val="14"/>
              </w:rPr>
              <w:t>AASB 5.34</w:t>
            </w:r>
          </w:p>
          <w:p w14:paraId="0E4BE5D4"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10BCBB07" w14:textId="3461F4D1" w:rsidR="009963B2" w:rsidRPr="00FF0025" w:rsidRDefault="00F117D3" w:rsidP="00703D62">
            <w:pPr>
              <w:pStyle w:val="CommentaryHeading"/>
              <w:spacing w:before="0" w:after="120"/>
              <w:rPr>
                <w:rFonts w:cs="Calibri"/>
                <w:color w:val="FFFFFF" w:themeColor="background1"/>
                <w:sz w:val="18"/>
              </w:rPr>
            </w:pPr>
            <w:r w:rsidRPr="00FF0025">
              <w:rPr>
                <w:rFonts w:cs="Calibri"/>
                <w:b w:val="0"/>
                <w:color w:val="FFFFFF" w:themeColor="background1"/>
                <w:sz w:val="18"/>
              </w:rPr>
              <w:t>T</w:t>
            </w:r>
            <w:r w:rsidR="009963B2" w:rsidRPr="00FF0025">
              <w:rPr>
                <w:rFonts w:cs="Calibri"/>
                <w:b w:val="0"/>
                <w:color w:val="FFFFFF" w:themeColor="background1"/>
                <w:sz w:val="18"/>
              </w:rPr>
              <w:t xml:space="preserve">he classification of an operation as discontinued at the reporting date, </w:t>
            </w:r>
            <w:r w:rsidRPr="00FF0025">
              <w:rPr>
                <w:rFonts w:cs="Calibri"/>
                <w:b w:val="0"/>
                <w:color w:val="FFFFFF" w:themeColor="background1"/>
                <w:sz w:val="18"/>
              </w:rPr>
              <w:t xml:space="preserve">is prohibited </w:t>
            </w:r>
            <w:r w:rsidR="009963B2" w:rsidRPr="00FF0025">
              <w:rPr>
                <w:rFonts w:cs="Calibri"/>
                <w:b w:val="0"/>
                <w:color w:val="FFFFFF" w:themeColor="background1"/>
                <w:sz w:val="18"/>
              </w:rPr>
              <w:t>if it did not meet the classification criteria until after the reporting date.</w:t>
            </w:r>
          </w:p>
        </w:tc>
      </w:tr>
    </w:tbl>
    <w:p w14:paraId="77113CB3" w14:textId="6B52A1A0" w:rsidR="00ED1682" w:rsidRDefault="00ED1682"/>
    <w:p w14:paraId="7353EB5B" w14:textId="4F66B0C4" w:rsidR="009F7B79" w:rsidRPr="009F7B79" w:rsidRDefault="009F7B79" w:rsidP="009F7B79">
      <w:pPr>
        <w:sectPr w:rsidR="009F7B79" w:rsidRPr="009F7B79" w:rsidSect="002D4841">
          <w:headerReference w:type="default" r:id="rId46"/>
          <w:footnotePr>
            <w:numRestart w:val="eachPage"/>
          </w:footnotePr>
          <w:pgSz w:w="11907" w:h="16840" w:code="9"/>
          <w:pgMar w:top="680" w:right="1134" w:bottom="896" w:left="680" w:header="624" w:footer="284" w:gutter="0"/>
          <w:cols w:space="720"/>
          <w:docGrid w:linePitch="326"/>
        </w:sectPr>
      </w:pPr>
    </w:p>
    <w:p w14:paraId="7578EA35" w14:textId="77777777" w:rsidR="001632DA" w:rsidRDefault="001632DA"/>
    <w:p w14:paraId="3ABDDFAD" w14:textId="77777777" w:rsidR="001632DA" w:rsidRDefault="001632DA"/>
    <w:p w14:paraId="213AC365" w14:textId="77777777" w:rsidR="00701D94" w:rsidRDefault="00701D94"/>
    <w:p w14:paraId="6666C178" w14:textId="38257D60" w:rsidR="001632DA" w:rsidRPr="00FF0025" w:rsidRDefault="001632DA" w:rsidP="00256E61">
      <w:pPr>
        <w:pStyle w:val="Title"/>
      </w:pPr>
      <w:r w:rsidRPr="00FF0025">
        <w:t>‘</w:t>
      </w:r>
      <w:r w:rsidR="00027610" w:rsidRPr="00FF0025">
        <w:t xml:space="preserve">Burley Griffin </w:t>
      </w:r>
      <w:r w:rsidRPr="00FF0025">
        <w:t>AGENCY’</w:t>
      </w:r>
    </w:p>
    <w:p w14:paraId="0F191940" w14:textId="77777777" w:rsidR="001632DA" w:rsidRPr="00FF0025" w:rsidRDefault="001632DA" w:rsidP="001632DA">
      <w:pPr>
        <w:pStyle w:val="Title"/>
        <w:rPr>
          <w:highlight w:val="yellow"/>
        </w:rPr>
      </w:pPr>
    </w:p>
    <w:p w14:paraId="50EA5B01" w14:textId="77777777" w:rsidR="001632DA" w:rsidRPr="00FF0025" w:rsidRDefault="001632DA" w:rsidP="001632DA">
      <w:pPr>
        <w:pStyle w:val="Title"/>
        <w:rPr>
          <w:highlight w:val="yellow"/>
        </w:rPr>
      </w:pPr>
    </w:p>
    <w:p w14:paraId="49B21C64" w14:textId="77777777" w:rsidR="001632DA" w:rsidRPr="00FF0025" w:rsidRDefault="001632DA" w:rsidP="001632DA">
      <w:pPr>
        <w:pStyle w:val="Title"/>
        <w:rPr>
          <w:highlight w:val="yellow"/>
        </w:rPr>
      </w:pPr>
    </w:p>
    <w:p w14:paraId="50F7F8CD" w14:textId="77777777" w:rsidR="001632DA" w:rsidRPr="00FF0025" w:rsidRDefault="001632DA" w:rsidP="00256E61">
      <w:pPr>
        <w:pStyle w:val="Subtitle"/>
      </w:pPr>
      <w:bookmarkStart w:id="908" w:name="_Toc400627365"/>
      <w:bookmarkStart w:id="909" w:name="_Toc132743837"/>
      <w:r w:rsidRPr="00FF0025">
        <w:t>TERRITORIAL FINANCIAL STATEMENTS</w:t>
      </w:r>
      <w:r w:rsidRPr="00FF0025">
        <w:rPr>
          <w:vertAlign w:val="superscript"/>
        </w:rPr>
        <w:t>1</w:t>
      </w:r>
      <w:bookmarkEnd w:id="908"/>
      <w:bookmarkEnd w:id="909"/>
    </w:p>
    <w:p w14:paraId="5410AD75" w14:textId="77777777" w:rsidR="001632DA" w:rsidRPr="00FF0025" w:rsidRDefault="001632DA" w:rsidP="001632DA">
      <w:pPr>
        <w:pStyle w:val="Title"/>
      </w:pPr>
    </w:p>
    <w:p w14:paraId="1EDB4B4E" w14:textId="77777777" w:rsidR="001632DA" w:rsidRPr="00FF0025" w:rsidRDefault="001632DA" w:rsidP="001632DA">
      <w:pPr>
        <w:pStyle w:val="Title"/>
      </w:pPr>
    </w:p>
    <w:p w14:paraId="5DE4B518" w14:textId="77777777" w:rsidR="001632DA" w:rsidRPr="00FF0025" w:rsidRDefault="001632DA" w:rsidP="001632DA">
      <w:pPr>
        <w:pStyle w:val="Title"/>
      </w:pPr>
    </w:p>
    <w:p w14:paraId="2A0437AE" w14:textId="77777777" w:rsidR="00256E61" w:rsidRPr="00FF0025" w:rsidRDefault="00256E61" w:rsidP="001632DA">
      <w:pPr>
        <w:pStyle w:val="Title"/>
      </w:pPr>
    </w:p>
    <w:p w14:paraId="7ED8DF81" w14:textId="77777777" w:rsidR="00256E61" w:rsidRPr="00FF0025" w:rsidRDefault="00256E61" w:rsidP="001632DA">
      <w:pPr>
        <w:pStyle w:val="Title"/>
      </w:pPr>
    </w:p>
    <w:p w14:paraId="61035B23" w14:textId="7A4C0519" w:rsidR="001632DA" w:rsidRPr="00FF0025" w:rsidRDefault="001632DA" w:rsidP="001632DA">
      <w:pPr>
        <w:pStyle w:val="Title"/>
      </w:pPr>
      <w:r w:rsidRPr="00FF0025">
        <w:t xml:space="preserve">FOR THE YEAR ENDED 30 JUNE </w:t>
      </w:r>
      <w:r w:rsidR="00C32BD7" w:rsidRPr="00FF0025">
        <w:t>202</w:t>
      </w:r>
      <w:r w:rsidR="00A75CCC">
        <w:t>3</w:t>
      </w:r>
    </w:p>
    <w:p w14:paraId="58CC308B" w14:textId="77777777" w:rsidR="001632DA" w:rsidRPr="00FF0025" w:rsidRDefault="001632DA"/>
    <w:p w14:paraId="2C6F34BD" w14:textId="77777777" w:rsidR="00256E61" w:rsidRPr="00FF0025" w:rsidRDefault="00256E61"/>
    <w:p w14:paraId="4147143F" w14:textId="77777777" w:rsidR="00256E61" w:rsidRDefault="00256E61"/>
    <w:p w14:paraId="5EE089B4" w14:textId="77777777" w:rsidR="00256E61" w:rsidRDefault="00256E61"/>
    <w:p w14:paraId="670FAFE8" w14:textId="77777777" w:rsidR="00256E61" w:rsidRDefault="00256E61"/>
    <w:p w14:paraId="5FDC383D" w14:textId="77777777" w:rsidR="00256E61" w:rsidRDefault="00256E61"/>
    <w:p w14:paraId="1E6657A6" w14:textId="77777777" w:rsidR="00256E61" w:rsidRDefault="00256E61"/>
    <w:p w14:paraId="573D4CD3" w14:textId="77777777" w:rsidR="00256E61" w:rsidRDefault="00256E61"/>
    <w:p w14:paraId="65B92C77" w14:textId="77777777" w:rsidR="001632DA" w:rsidRDefault="001632DA"/>
    <w:p w14:paraId="0BEBCE11" w14:textId="77777777" w:rsidR="001632DA" w:rsidRDefault="001632DA"/>
    <w:p w14:paraId="704D06D0" w14:textId="248C4DEA" w:rsidR="001632DA" w:rsidRDefault="001632DA" w:rsidP="001632DA">
      <w:pPr>
        <w:jc w:val="center"/>
        <w:rPr>
          <w:rFonts w:cs="Calibri"/>
          <w:b/>
        </w:rPr>
      </w:pPr>
      <w:r w:rsidRPr="00436E09">
        <w:rPr>
          <w:rFonts w:cs="Calibri"/>
          <w:b/>
        </w:rPr>
        <w:t>1.</w:t>
      </w:r>
      <w:r w:rsidR="00FA7C77">
        <w:rPr>
          <w:rFonts w:cs="Calibri"/>
          <w:b/>
        </w:rPr>
        <w:t xml:space="preserve"> </w:t>
      </w:r>
      <w:r w:rsidRPr="00436E09">
        <w:rPr>
          <w:rFonts w:cs="Calibri"/>
          <w:b/>
        </w:rPr>
        <w:t xml:space="preserve">Territorial Financial Statements are not required by territory authorities. </w:t>
      </w:r>
      <w:r w:rsidRPr="00436E09">
        <w:rPr>
          <w:rFonts w:cs="Calibri"/>
          <w:b/>
        </w:rPr>
        <w:br/>
        <w:t>Any guidance provided in this section will only apply to</w:t>
      </w:r>
      <w:r w:rsidR="00AB3663">
        <w:rPr>
          <w:rFonts w:cs="Calibri"/>
          <w:b/>
        </w:rPr>
        <w:t xml:space="preserve"> ACT </w:t>
      </w:r>
      <w:r w:rsidR="000D72C3">
        <w:rPr>
          <w:rFonts w:cs="Calibri"/>
          <w:b/>
        </w:rPr>
        <w:t>d</w:t>
      </w:r>
      <w:r w:rsidRPr="00436E09">
        <w:rPr>
          <w:rFonts w:cs="Calibri"/>
          <w:b/>
        </w:rPr>
        <w:t>irectorates.</w:t>
      </w:r>
    </w:p>
    <w:p w14:paraId="0938EEC4" w14:textId="5C4FE04C" w:rsidR="005D1C4B" w:rsidRDefault="005D1C4B" w:rsidP="001632DA">
      <w:pPr>
        <w:jc w:val="center"/>
      </w:pPr>
    </w:p>
    <w:p w14:paraId="7F5CACE1" w14:textId="63976C99" w:rsidR="005D1C4B" w:rsidRDefault="005D1C4B" w:rsidP="001632DA">
      <w:pPr>
        <w:jc w:val="center"/>
      </w:pPr>
    </w:p>
    <w:p w14:paraId="432E0345" w14:textId="3283DF22" w:rsidR="005D1C4B" w:rsidRDefault="005D1C4B" w:rsidP="001632DA">
      <w:pPr>
        <w:jc w:val="center"/>
      </w:pPr>
    </w:p>
    <w:p w14:paraId="0813EA41" w14:textId="4F2E3EB3" w:rsidR="005D1C4B" w:rsidRDefault="005D1C4B" w:rsidP="001632DA">
      <w:pPr>
        <w:jc w:val="center"/>
      </w:pPr>
    </w:p>
    <w:p w14:paraId="3C2830EB" w14:textId="580A2837" w:rsidR="005D1C4B" w:rsidRDefault="005D1C4B" w:rsidP="001632DA">
      <w:pPr>
        <w:jc w:val="center"/>
      </w:pPr>
    </w:p>
    <w:p w14:paraId="18B5B2DB" w14:textId="06BEF6DF" w:rsidR="005D1C4B" w:rsidRDefault="005D1C4B" w:rsidP="001632DA">
      <w:pPr>
        <w:jc w:val="center"/>
      </w:pPr>
    </w:p>
    <w:p w14:paraId="671184A7" w14:textId="274CEF0C" w:rsidR="005D1C4B" w:rsidRDefault="005D1C4B" w:rsidP="001632DA">
      <w:pPr>
        <w:jc w:val="center"/>
      </w:pPr>
    </w:p>
    <w:p w14:paraId="4D7B5D66" w14:textId="7CADA882" w:rsidR="005D1C4B" w:rsidRDefault="005D1C4B" w:rsidP="001632DA">
      <w:pPr>
        <w:jc w:val="center"/>
      </w:pPr>
    </w:p>
    <w:p w14:paraId="2D2686CD" w14:textId="1AACB91C" w:rsidR="005D1C4B" w:rsidRDefault="005D1C4B" w:rsidP="001632DA">
      <w:pPr>
        <w:jc w:val="center"/>
      </w:pPr>
    </w:p>
    <w:p w14:paraId="6F462CA1" w14:textId="78627681" w:rsidR="005D1C4B" w:rsidRDefault="005D1C4B" w:rsidP="001632DA">
      <w:pPr>
        <w:jc w:val="center"/>
      </w:pPr>
    </w:p>
    <w:p w14:paraId="74692C65" w14:textId="2757181D" w:rsidR="005D1C4B" w:rsidRDefault="005D1C4B" w:rsidP="001632DA">
      <w:pPr>
        <w:jc w:val="center"/>
      </w:pPr>
    </w:p>
    <w:p w14:paraId="5344CC2D" w14:textId="62B13D5E" w:rsidR="005D1C4B" w:rsidRDefault="005D1C4B" w:rsidP="001632DA">
      <w:pPr>
        <w:jc w:val="center"/>
      </w:pPr>
    </w:p>
    <w:p w14:paraId="448C1C96" w14:textId="090AE1F7" w:rsidR="005D1C4B" w:rsidRDefault="005D1C4B" w:rsidP="001632DA">
      <w:pPr>
        <w:jc w:val="center"/>
      </w:pPr>
    </w:p>
    <w:p w14:paraId="018B6EBE" w14:textId="77777777" w:rsidR="005D1C4B" w:rsidRPr="00436E09" w:rsidRDefault="005D1C4B" w:rsidP="001632DA">
      <w:pPr>
        <w:jc w:val="center"/>
      </w:pPr>
    </w:p>
    <w:p w14:paraId="3545E834" w14:textId="3D41787A" w:rsidR="005D1C4B" w:rsidRPr="00AC3DDE" w:rsidRDefault="003173AE" w:rsidP="005D1C4B">
      <w:pPr>
        <w:spacing w:line="400" w:lineRule="exact"/>
        <w:jc w:val="center"/>
        <w:rPr>
          <w:rFonts w:asciiTheme="minorHAnsi" w:hAnsiTheme="minorHAnsi"/>
          <w:b/>
          <w:sz w:val="40"/>
          <w:szCs w:val="40"/>
        </w:rPr>
      </w:pPr>
      <w:bookmarkStart w:id="910" w:name="_Hlk90929770"/>
      <w:bookmarkStart w:id="911" w:name="_Toc194918659"/>
      <w:bookmarkStart w:id="912" w:name="_Toc253496235"/>
      <w:r w:rsidRPr="00AC3DDE">
        <w:rPr>
          <w:rFonts w:asciiTheme="minorHAnsi" w:hAnsiTheme="minorHAnsi"/>
          <w:b/>
          <w:sz w:val="40"/>
          <w:szCs w:val="40"/>
        </w:rPr>
        <w:t>‘</w:t>
      </w:r>
      <w:r w:rsidR="00EE28EF">
        <w:rPr>
          <w:rFonts w:asciiTheme="minorHAnsi" w:hAnsiTheme="minorHAnsi"/>
          <w:b/>
          <w:sz w:val="40"/>
          <w:szCs w:val="40"/>
        </w:rPr>
        <w:t>Burley</w:t>
      </w:r>
      <w:r w:rsidRPr="00AC3DDE">
        <w:rPr>
          <w:rFonts w:asciiTheme="minorHAnsi" w:hAnsiTheme="minorHAnsi"/>
          <w:b/>
          <w:sz w:val="40"/>
          <w:szCs w:val="40"/>
        </w:rPr>
        <w:t xml:space="preserve"> </w:t>
      </w:r>
      <w:r w:rsidR="00EE28EF">
        <w:rPr>
          <w:rFonts w:asciiTheme="minorHAnsi" w:hAnsiTheme="minorHAnsi"/>
          <w:b/>
          <w:sz w:val="40"/>
          <w:szCs w:val="40"/>
        </w:rPr>
        <w:t>Griffin</w:t>
      </w:r>
      <w:r w:rsidRPr="00AC3DDE">
        <w:rPr>
          <w:rFonts w:asciiTheme="minorHAnsi" w:hAnsiTheme="minorHAnsi"/>
          <w:b/>
          <w:sz w:val="40"/>
          <w:szCs w:val="40"/>
        </w:rPr>
        <w:t xml:space="preserve"> </w:t>
      </w:r>
      <w:r w:rsidR="00EE28EF">
        <w:rPr>
          <w:rFonts w:asciiTheme="minorHAnsi" w:hAnsiTheme="minorHAnsi"/>
          <w:b/>
          <w:sz w:val="40"/>
          <w:szCs w:val="40"/>
        </w:rPr>
        <w:t>Agency</w:t>
      </w:r>
      <w:r w:rsidRPr="00AC3DDE">
        <w:rPr>
          <w:rFonts w:asciiTheme="minorHAnsi" w:hAnsiTheme="minorHAnsi"/>
          <w:b/>
          <w:sz w:val="40"/>
          <w:szCs w:val="40"/>
        </w:rPr>
        <w:t xml:space="preserve">’ </w:t>
      </w:r>
    </w:p>
    <w:p w14:paraId="55E9F26C" w14:textId="15A381B6" w:rsidR="005D1C4B" w:rsidRPr="00AC3DDE" w:rsidRDefault="00EE28EF" w:rsidP="005D1C4B">
      <w:pPr>
        <w:pStyle w:val="Subtitle"/>
        <w:spacing w:line="400" w:lineRule="exact"/>
        <w:rPr>
          <w:rFonts w:asciiTheme="minorHAnsi" w:hAnsiTheme="minorHAnsi" w:cstheme="minorHAnsi"/>
        </w:rPr>
      </w:pPr>
      <w:bookmarkStart w:id="913" w:name="_Toc131591804"/>
      <w:bookmarkStart w:id="914" w:name="_Toc132743838"/>
      <w:r w:rsidRPr="00EE28EF">
        <w:rPr>
          <w:rFonts w:asciiTheme="minorHAnsi" w:hAnsiTheme="minorHAnsi"/>
          <w:szCs w:val="40"/>
        </w:rPr>
        <w:t>Content</w:t>
      </w:r>
      <w:r w:rsidR="003173AE" w:rsidRPr="00EE28EF">
        <w:rPr>
          <w:rFonts w:asciiTheme="minorHAnsi" w:hAnsiTheme="minorHAnsi"/>
          <w:szCs w:val="40"/>
        </w:rPr>
        <w:t xml:space="preserve"> </w:t>
      </w:r>
      <w:r w:rsidRPr="00EE28EF">
        <w:rPr>
          <w:rFonts w:asciiTheme="minorHAnsi" w:hAnsiTheme="minorHAnsi"/>
          <w:szCs w:val="40"/>
        </w:rPr>
        <w:t>of</w:t>
      </w:r>
      <w:r w:rsidR="003173AE" w:rsidRPr="00EE28EF">
        <w:rPr>
          <w:rFonts w:asciiTheme="minorHAnsi" w:hAnsiTheme="minorHAnsi"/>
          <w:szCs w:val="40"/>
        </w:rPr>
        <w:t xml:space="preserve"> </w:t>
      </w:r>
      <w:r w:rsidRPr="00EE28EF">
        <w:rPr>
          <w:rFonts w:asciiTheme="minorHAnsi" w:hAnsiTheme="minorHAnsi"/>
          <w:szCs w:val="40"/>
        </w:rPr>
        <w:t>Territorial</w:t>
      </w:r>
      <w:r>
        <w:rPr>
          <w:rFonts w:asciiTheme="minorHAnsi" w:hAnsiTheme="minorHAnsi" w:cstheme="minorHAnsi"/>
        </w:rPr>
        <w:t xml:space="preserve"> Financial Statements</w:t>
      </w:r>
      <w:bookmarkEnd w:id="913"/>
      <w:bookmarkEnd w:id="914"/>
      <w:r w:rsidR="003173AE" w:rsidRPr="00AC3DDE">
        <w:rPr>
          <w:rFonts w:asciiTheme="minorHAnsi" w:hAnsiTheme="minorHAnsi" w:cstheme="minorHAnsi"/>
        </w:rPr>
        <w:t xml:space="preserve"> </w:t>
      </w:r>
    </w:p>
    <w:tbl>
      <w:tblPr>
        <w:tblW w:w="4986" w:type="pct"/>
        <w:tblInd w:w="-3" w:type="dxa"/>
        <w:tblLayout w:type="fixed"/>
        <w:tblLook w:val="00A0" w:firstRow="1" w:lastRow="0" w:firstColumn="1" w:lastColumn="0" w:noHBand="0" w:noVBand="0"/>
      </w:tblPr>
      <w:tblGrid>
        <w:gridCol w:w="1558"/>
        <w:gridCol w:w="236"/>
        <w:gridCol w:w="7770"/>
        <w:gridCol w:w="103"/>
        <w:gridCol w:w="747"/>
        <w:gridCol w:w="80"/>
        <w:gridCol w:w="23"/>
      </w:tblGrid>
      <w:tr w:rsidR="00AC3DDE" w:rsidRPr="00AC3DDE" w14:paraId="2EC59A8B" w14:textId="77777777" w:rsidTr="003173AE">
        <w:tc>
          <w:tcPr>
            <w:tcW w:w="741" w:type="pct"/>
          </w:tcPr>
          <w:p w14:paraId="01B1EA64" w14:textId="635FF7C1" w:rsidR="005D1C4B" w:rsidRPr="00AC3DDE" w:rsidRDefault="005D1C4B" w:rsidP="009A0F2F">
            <w:pPr>
              <w:pStyle w:val="TableText"/>
              <w:tabs>
                <w:tab w:val="left" w:pos="3306"/>
              </w:tabs>
              <w:spacing w:before="120" w:after="120"/>
              <w:rPr>
                <w:rFonts w:cs="Calibri"/>
                <w:b/>
                <w:strike/>
                <w:snapToGrid w:val="0"/>
                <w:sz w:val="24"/>
                <w:szCs w:val="24"/>
              </w:rPr>
            </w:pPr>
            <w:bookmarkStart w:id="915" w:name="_Hlk89272058"/>
          </w:p>
        </w:tc>
        <w:tc>
          <w:tcPr>
            <w:tcW w:w="112" w:type="pct"/>
            <w:tcBorders>
              <w:left w:val="nil"/>
              <w:right w:val="nil"/>
            </w:tcBorders>
          </w:tcPr>
          <w:p w14:paraId="2179C2AA" w14:textId="77777777" w:rsidR="005D1C4B" w:rsidRPr="00AC3DDE" w:rsidRDefault="005D1C4B" w:rsidP="009A0F2F">
            <w:pPr>
              <w:pStyle w:val="TableText"/>
              <w:tabs>
                <w:tab w:val="left" w:pos="3306"/>
              </w:tabs>
              <w:spacing w:before="120" w:after="120"/>
              <w:rPr>
                <w:rFonts w:cs="Calibri"/>
                <w:b/>
                <w:strike/>
                <w:snapToGrid w:val="0"/>
                <w:sz w:val="24"/>
                <w:szCs w:val="24"/>
              </w:rPr>
            </w:pPr>
          </w:p>
        </w:tc>
        <w:tc>
          <w:tcPr>
            <w:tcW w:w="3743" w:type="pct"/>
            <w:gridSpan w:val="2"/>
            <w:tcBorders>
              <w:left w:val="nil"/>
            </w:tcBorders>
          </w:tcPr>
          <w:p w14:paraId="572DC069" w14:textId="062F65C5" w:rsidR="005D1C4B" w:rsidRPr="00AC3DDE" w:rsidRDefault="005D1C4B" w:rsidP="009A0F2F">
            <w:pPr>
              <w:pStyle w:val="TableText"/>
              <w:tabs>
                <w:tab w:val="left" w:pos="3306"/>
              </w:tabs>
              <w:spacing w:before="120" w:after="120"/>
              <w:rPr>
                <w:rFonts w:cs="Calibri"/>
                <w:b/>
                <w:strike/>
                <w:snapToGrid w:val="0"/>
                <w:sz w:val="24"/>
                <w:szCs w:val="24"/>
              </w:rPr>
            </w:pPr>
          </w:p>
        </w:tc>
        <w:tc>
          <w:tcPr>
            <w:tcW w:w="404" w:type="pct"/>
            <w:gridSpan w:val="3"/>
          </w:tcPr>
          <w:p w14:paraId="113B6605" w14:textId="77777777" w:rsidR="005D1C4B" w:rsidRPr="00AC3DDE" w:rsidRDefault="005D1C4B" w:rsidP="009A0F2F">
            <w:pPr>
              <w:pStyle w:val="TableText"/>
              <w:tabs>
                <w:tab w:val="left" w:pos="3306"/>
              </w:tabs>
              <w:spacing w:before="120" w:after="120"/>
              <w:jc w:val="right"/>
              <w:rPr>
                <w:rFonts w:cs="Calibri"/>
                <w:b/>
                <w:snapToGrid w:val="0"/>
                <w:sz w:val="24"/>
                <w:szCs w:val="24"/>
              </w:rPr>
            </w:pPr>
            <w:r w:rsidRPr="00AC3DDE">
              <w:rPr>
                <w:rFonts w:cs="Calibri"/>
                <w:b/>
                <w:snapToGrid w:val="0"/>
                <w:sz w:val="24"/>
                <w:szCs w:val="24"/>
              </w:rPr>
              <w:t>Page</w:t>
            </w:r>
          </w:p>
        </w:tc>
      </w:tr>
      <w:tr w:rsidR="003173AE" w:rsidRPr="00AC3DDE" w14:paraId="4C4F82A3" w14:textId="77777777" w:rsidTr="003173AE">
        <w:trPr>
          <w:gridAfter w:val="2"/>
          <w:wAfter w:w="49" w:type="pct"/>
        </w:trPr>
        <w:tc>
          <w:tcPr>
            <w:tcW w:w="4547" w:type="pct"/>
            <w:gridSpan w:val="3"/>
            <w:tcBorders>
              <w:bottom w:val="nil"/>
            </w:tcBorders>
          </w:tcPr>
          <w:p w14:paraId="7951EE8B" w14:textId="6F772D47" w:rsidR="003173AE" w:rsidRPr="00AC3DDE" w:rsidRDefault="003173AE" w:rsidP="009A0F2F">
            <w:pPr>
              <w:pStyle w:val="TableText"/>
              <w:tabs>
                <w:tab w:val="left" w:pos="3306"/>
              </w:tabs>
              <w:rPr>
                <w:rFonts w:cs="Calibri"/>
                <w:snapToGrid w:val="0"/>
              </w:rPr>
            </w:pPr>
            <w:r w:rsidRPr="00AC3DDE">
              <w:rPr>
                <w:b/>
                <w:bCs/>
              </w:rPr>
              <w:t>Financial Statements</w:t>
            </w:r>
          </w:p>
        </w:tc>
        <w:tc>
          <w:tcPr>
            <w:tcW w:w="404" w:type="pct"/>
            <w:gridSpan w:val="2"/>
            <w:tcBorders>
              <w:bottom w:val="nil"/>
            </w:tcBorders>
          </w:tcPr>
          <w:p w14:paraId="57394D18" w14:textId="4D2A19A0" w:rsidR="003173AE" w:rsidRPr="00AC3DDE" w:rsidRDefault="003173AE" w:rsidP="009A0F2F">
            <w:pPr>
              <w:pStyle w:val="TableText"/>
              <w:tabs>
                <w:tab w:val="left" w:pos="3306"/>
              </w:tabs>
              <w:jc w:val="right"/>
              <w:rPr>
                <w:rFonts w:cs="Calibri"/>
                <w:snapToGrid w:val="0"/>
              </w:rPr>
            </w:pPr>
          </w:p>
        </w:tc>
      </w:tr>
      <w:tr w:rsidR="003173AE" w:rsidRPr="00AC3DDE" w14:paraId="7C947F27" w14:textId="77777777" w:rsidTr="006D3EC5">
        <w:trPr>
          <w:gridAfter w:val="1"/>
          <w:wAfter w:w="11" w:type="pct"/>
        </w:trPr>
        <w:tc>
          <w:tcPr>
            <w:tcW w:w="4547" w:type="pct"/>
            <w:gridSpan w:val="3"/>
            <w:tcBorders>
              <w:bottom w:val="nil"/>
            </w:tcBorders>
          </w:tcPr>
          <w:p w14:paraId="2F2A1649" w14:textId="68BFE976" w:rsidR="003173AE" w:rsidRPr="00EE28EF" w:rsidRDefault="003173AE" w:rsidP="00EE28EF">
            <w:pPr>
              <w:spacing w:before="40"/>
              <w:jc w:val="both"/>
              <w:rPr>
                <w:rFonts w:cs="Calibri"/>
                <w:sz w:val="18"/>
                <w:szCs w:val="18"/>
              </w:rPr>
            </w:pPr>
            <w:r w:rsidRPr="00EE28EF">
              <w:rPr>
                <w:sz w:val="18"/>
                <w:szCs w:val="18"/>
              </w:rPr>
              <w:t>Statement of Income and Expenses on Behalf of the Territory</w:t>
            </w:r>
          </w:p>
        </w:tc>
        <w:tc>
          <w:tcPr>
            <w:tcW w:w="442" w:type="pct"/>
            <w:gridSpan w:val="3"/>
            <w:tcBorders>
              <w:bottom w:val="nil"/>
            </w:tcBorders>
          </w:tcPr>
          <w:p w14:paraId="7CA5B819" w14:textId="548CC165" w:rsidR="003173AE" w:rsidRPr="00D239F9" w:rsidRDefault="003173AE" w:rsidP="00EE28EF">
            <w:pPr>
              <w:pStyle w:val="TableText"/>
              <w:tabs>
                <w:tab w:val="left" w:pos="3306"/>
              </w:tabs>
              <w:jc w:val="right"/>
              <w:rPr>
                <w:rFonts w:cs="Calibri"/>
                <w:snapToGrid w:val="0"/>
                <w:color w:val="FF0000"/>
              </w:rPr>
            </w:pPr>
            <w:r w:rsidRPr="00D239F9">
              <w:rPr>
                <w:color w:val="FF0000"/>
              </w:rPr>
              <w:t>XX</w:t>
            </w:r>
          </w:p>
        </w:tc>
      </w:tr>
      <w:tr w:rsidR="003173AE" w:rsidRPr="00AC3DDE" w14:paraId="051492BA" w14:textId="77777777" w:rsidTr="006D3EC5">
        <w:trPr>
          <w:gridAfter w:val="1"/>
          <w:wAfter w:w="11" w:type="pct"/>
          <w:trHeight w:val="256"/>
        </w:trPr>
        <w:tc>
          <w:tcPr>
            <w:tcW w:w="4547" w:type="pct"/>
            <w:gridSpan w:val="3"/>
            <w:tcBorders>
              <w:bottom w:val="nil"/>
            </w:tcBorders>
          </w:tcPr>
          <w:p w14:paraId="7469A5A3" w14:textId="0105DB92" w:rsidR="003173AE" w:rsidRPr="00EE28EF" w:rsidRDefault="003173AE" w:rsidP="00EE28EF">
            <w:pPr>
              <w:spacing w:before="40"/>
              <w:jc w:val="both"/>
              <w:rPr>
                <w:b/>
                <w:sz w:val="18"/>
                <w:szCs w:val="18"/>
              </w:rPr>
            </w:pPr>
            <w:bookmarkStart w:id="916" w:name="_Toc98763186"/>
            <w:bookmarkStart w:id="917" w:name="_Toc127733887"/>
            <w:r w:rsidRPr="00EE28EF">
              <w:rPr>
                <w:sz w:val="18"/>
                <w:szCs w:val="18"/>
              </w:rPr>
              <w:t>Statement of Assets and Liabilities on Behalf of the Territory</w:t>
            </w:r>
            <w:bookmarkEnd w:id="916"/>
            <w:bookmarkEnd w:id="917"/>
          </w:p>
        </w:tc>
        <w:tc>
          <w:tcPr>
            <w:tcW w:w="442" w:type="pct"/>
            <w:gridSpan w:val="3"/>
            <w:tcBorders>
              <w:bottom w:val="nil"/>
            </w:tcBorders>
          </w:tcPr>
          <w:p w14:paraId="140453EE" w14:textId="6D8DB046" w:rsidR="003173AE" w:rsidRPr="00D239F9" w:rsidRDefault="003173AE" w:rsidP="00EE28EF">
            <w:pPr>
              <w:pStyle w:val="TableText"/>
              <w:tabs>
                <w:tab w:val="left" w:pos="3306"/>
              </w:tabs>
              <w:jc w:val="right"/>
              <w:rPr>
                <w:rFonts w:cs="Calibri"/>
                <w:snapToGrid w:val="0"/>
                <w:color w:val="FF0000"/>
              </w:rPr>
            </w:pPr>
            <w:r w:rsidRPr="00D239F9">
              <w:rPr>
                <w:color w:val="FF0000"/>
              </w:rPr>
              <w:t>XX</w:t>
            </w:r>
          </w:p>
        </w:tc>
      </w:tr>
      <w:tr w:rsidR="003173AE" w:rsidRPr="00AC3DDE" w14:paraId="0BCDE900" w14:textId="77777777" w:rsidTr="006D3EC5">
        <w:trPr>
          <w:gridAfter w:val="1"/>
          <w:wAfter w:w="11" w:type="pct"/>
          <w:trHeight w:val="256"/>
        </w:trPr>
        <w:tc>
          <w:tcPr>
            <w:tcW w:w="4547" w:type="pct"/>
            <w:gridSpan w:val="3"/>
            <w:tcBorders>
              <w:bottom w:val="nil"/>
            </w:tcBorders>
          </w:tcPr>
          <w:p w14:paraId="02FD3249" w14:textId="2D6713B1" w:rsidR="003173AE" w:rsidRPr="00EE28EF" w:rsidRDefault="003173AE" w:rsidP="00EE28EF">
            <w:pPr>
              <w:spacing w:before="40"/>
              <w:jc w:val="both"/>
              <w:rPr>
                <w:b/>
                <w:sz w:val="18"/>
                <w:szCs w:val="18"/>
              </w:rPr>
            </w:pPr>
            <w:r w:rsidRPr="00EE28EF">
              <w:rPr>
                <w:sz w:val="18"/>
                <w:szCs w:val="18"/>
              </w:rPr>
              <w:t>Statement of Changes in Equity on Behalf of the Territory</w:t>
            </w:r>
          </w:p>
        </w:tc>
        <w:tc>
          <w:tcPr>
            <w:tcW w:w="442" w:type="pct"/>
            <w:gridSpan w:val="3"/>
            <w:tcBorders>
              <w:bottom w:val="nil"/>
            </w:tcBorders>
          </w:tcPr>
          <w:p w14:paraId="467EDC15" w14:textId="290DEF94" w:rsidR="003173AE" w:rsidRPr="00D239F9" w:rsidRDefault="003173AE" w:rsidP="00EE28EF">
            <w:pPr>
              <w:pStyle w:val="TableText"/>
              <w:tabs>
                <w:tab w:val="left" w:pos="3306"/>
              </w:tabs>
              <w:jc w:val="right"/>
              <w:rPr>
                <w:rFonts w:cs="Calibri"/>
                <w:snapToGrid w:val="0"/>
                <w:color w:val="FF0000"/>
              </w:rPr>
            </w:pPr>
            <w:r w:rsidRPr="00D239F9">
              <w:rPr>
                <w:color w:val="FF0000"/>
              </w:rPr>
              <w:t>XX</w:t>
            </w:r>
          </w:p>
        </w:tc>
      </w:tr>
      <w:tr w:rsidR="003173AE" w:rsidRPr="00AC3DDE" w14:paraId="4BCF5685" w14:textId="77777777" w:rsidTr="006D3EC5">
        <w:trPr>
          <w:gridAfter w:val="1"/>
          <w:wAfter w:w="11" w:type="pct"/>
        </w:trPr>
        <w:tc>
          <w:tcPr>
            <w:tcW w:w="4547" w:type="pct"/>
            <w:gridSpan w:val="3"/>
            <w:tcBorders>
              <w:bottom w:val="nil"/>
            </w:tcBorders>
          </w:tcPr>
          <w:p w14:paraId="1B764853" w14:textId="0A9DC11A" w:rsidR="003173AE" w:rsidRPr="00EE28EF" w:rsidRDefault="003173AE" w:rsidP="00EE28EF">
            <w:pPr>
              <w:spacing w:before="40"/>
              <w:jc w:val="both"/>
              <w:rPr>
                <w:b/>
                <w:sz w:val="18"/>
                <w:szCs w:val="18"/>
              </w:rPr>
            </w:pPr>
            <w:bookmarkStart w:id="918" w:name="_Toc98763187"/>
            <w:bookmarkStart w:id="919" w:name="_Toc127733888"/>
            <w:r w:rsidRPr="00EE28EF">
              <w:rPr>
                <w:sz w:val="18"/>
                <w:szCs w:val="18"/>
              </w:rPr>
              <w:t>Statement of Cash Flows on Behalf of the Territory</w:t>
            </w:r>
            <w:bookmarkEnd w:id="918"/>
            <w:bookmarkEnd w:id="919"/>
          </w:p>
        </w:tc>
        <w:tc>
          <w:tcPr>
            <w:tcW w:w="442" w:type="pct"/>
            <w:gridSpan w:val="3"/>
            <w:tcBorders>
              <w:bottom w:val="nil"/>
            </w:tcBorders>
          </w:tcPr>
          <w:p w14:paraId="23C15B11" w14:textId="16ACDBF5" w:rsidR="003173AE" w:rsidRPr="00D239F9" w:rsidRDefault="003173AE" w:rsidP="00EE28EF">
            <w:pPr>
              <w:pStyle w:val="TableText"/>
              <w:tabs>
                <w:tab w:val="left" w:pos="3306"/>
              </w:tabs>
              <w:jc w:val="right"/>
              <w:rPr>
                <w:rFonts w:cs="Calibri"/>
                <w:snapToGrid w:val="0"/>
                <w:color w:val="FF0000"/>
              </w:rPr>
            </w:pPr>
            <w:r w:rsidRPr="00D239F9">
              <w:rPr>
                <w:color w:val="FF0000"/>
              </w:rPr>
              <w:t>XX</w:t>
            </w:r>
          </w:p>
        </w:tc>
      </w:tr>
      <w:tr w:rsidR="003173AE" w:rsidRPr="00AC3DDE" w14:paraId="39E59AF9" w14:textId="77777777" w:rsidTr="006D3EC5">
        <w:trPr>
          <w:gridAfter w:val="1"/>
          <w:wAfter w:w="11" w:type="pct"/>
        </w:trPr>
        <w:tc>
          <w:tcPr>
            <w:tcW w:w="4547" w:type="pct"/>
            <w:gridSpan w:val="3"/>
            <w:tcBorders>
              <w:bottom w:val="nil"/>
            </w:tcBorders>
          </w:tcPr>
          <w:p w14:paraId="55D1D1A3" w14:textId="47837AFF" w:rsidR="003173AE" w:rsidRPr="00EE28EF" w:rsidRDefault="003173AE" w:rsidP="00EE28EF">
            <w:pPr>
              <w:spacing w:before="40"/>
              <w:jc w:val="both"/>
              <w:rPr>
                <w:b/>
                <w:sz w:val="18"/>
                <w:szCs w:val="18"/>
              </w:rPr>
            </w:pPr>
            <w:bookmarkStart w:id="920" w:name="_Toc98763188"/>
            <w:r w:rsidRPr="00EE28EF">
              <w:rPr>
                <w:sz w:val="18"/>
                <w:szCs w:val="18"/>
              </w:rPr>
              <w:t>Territorial Statement of Appropriation</w:t>
            </w:r>
            <w:bookmarkEnd w:id="920"/>
          </w:p>
        </w:tc>
        <w:tc>
          <w:tcPr>
            <w:tcW w:w="442" w:type="pct"/>
            <w:gridSpan w:val="3"/>
            <w:tcBorders>
              <w:bottom w:val="nil"/>
            </w:tcBorders>
          </w:tcPr>
          <w:p w14:paraId="6D643F84" w14:textId="3A05ACEF" w:rsidR="003173AE" w:rsidRPr="00D239F9" w:rsidRDefault="003173AE" w:rsidP="00EE28EF">
            <w:pPr>
              <w:pStyle w:val="TableText"/>
              <w:tabs>
                <w:tab w:val="left" w:pos="3306"/>
              </w:tabs>
              <w:jc w:val="right"/>
              <w:rPr>
                <w:rFonts w:cs="Calibri"/>
                <w:snapToGrid w:val="0"/>
                <w:color w:val="FF0000"/>
              </w:rPr>
            </w:pPr>
            <w:r w:rsidRPr="00D239F9">
              <w:rPr>
                <w:color w:val="FF0000"/>
              </w:rPr>
              <w:t>XX</w:t>
            </w:r>
          </w:p>
        </w:tc>
      </w:tr>
      <w:tr w:rsidR="00AC3DDE" w:rsidRPr="00AC3DDE" w14:paraId="5739B232" w14:textId="77777777" w:rsidTr="003173AE">
        <w:trPr>
          <w:gridAfter w:val="2"/>
          <w:wAfter w:w="49" w:type="pct"/>
        </w:trPr>
        <w:tc>
          <w:tcPr>
            <w:tcW w:w="741" w:type="pct"/>
            <w:tcBorders>
              <w:bottom w:val="nil"/>
            </w:tcBorders>
          </w:tcPr>
          <w:p w14:paraId="150AE940" w14:textId="77777777" w:rsidR="005D1C4B" w:rsidRPr="00AC3DDE" w:rsidRDefault="005D1C4B" w:rsidP="009A0F2F">
            <w:pPr>
              <w:pStyle w:val="TableText"/>
              <w:tabs>
                <w:tab w:val="left" w:pos="3306"/>
              </w:tabs>
              <w:rPr>
                <w:rFonts w:cs="Calibri"/>
                <w:snapToGrid w:val="0"/>
              </w:rPr>
            </w:pPr>
          </w:p>
        </w:tc>
        <w:tc>
          <w:tcPr>
            <w:tcW w:w="3806" w:type="pct"/>
            <w:gridSpan w:val="2"/>
            <w:tcBorders>
              <w:left w:val="nil"/>
              <w:bottom w:val="nil"/>
            </w:tcBorders>
          </w:tcPr>
          <w:p w14:paraId="2EECE08D" w14:textId="7620B29C" w:rsidR="005D1C4B" w:rsidRPr="00AC3DDE" w:rsidRDefault="005D1C4B" w:rsidP="009A0F2F">
            <w:pPr>
              <w:pStyle w:val="TableText"/>
              <w:tabs>
                <w:tab w:val="left" w:pos="3306"/>
              </w:tabs>
              <w:rPr>
                <w:rFonts w:cs="Calibri"/>
              </w:rPr>
            </w:pPr>
          </w:p>
        </w:tc>
        <w:tc>
          <w:tcPr>
            <w:tcW w:w="404" w:type="pct"/>
            <w:gridSpan w:val="2"/>
            <w:tcBorders>
              <w:bottom w:val="nil"/>
            </w:tcBorders>
          </w:tcPr>
          <w:p w14:paraId="506F41BC" w14:textId="77777777" w:rsidR="005D1C4B" w:rsidRPr="00D239F9" w:rsidRDefault="005D1C4B" w:rsidP="009A0F2F">
            <w:pPr>
              <w:pStyle w:val="TableText"/>
              <w:tabs>
                <w:tab w:val="left" w:pos="3306"/>
              </w:tabs>
              <w:jc w:val="right"/>
              <w:rPr>
                <w:rFonts w:cs="Calibri"/>
                <w:snapToGrid w:val="0"/>
              </w:rPr>
            </w:pPr>
          </w:p>
        </w:tc>
      </w:tr>
      <w:tr w:rsidR="003173AE" w:rsidRPr="00AC3DDE" w14:paraId="5913F15A" w14:textId="77777777" w:rsidTr="003173AE">
        <w:trPr>
          <w:gridAfter w:val="2"/>
          <w:wAfter w:w="49" w:type="pct"/>
        </w:trPr>
        <w:tc>
          <w:tcPr>
            <w:tcW w:w="4547" w:type="pct"/>
            <w:gridSpan w:val="3"/>
            <w:tcBorders>
              <w:bottom w:val="nil"/>
            </w:tcBorders>
          </w:tcPr>
          <w:p w14:paraId="0C330D72" w14:textId="346249AB" w:rsidR="003173AE" w:rsidRPr="00AC3DDE" w:rsidRDefault="003173AE" w:rsidP="009A0F2F">
            <w:pPr>
              <w:pStyle w:val="TableText"/>
              <w:tabs>
                <w:tab w:val="left" w:pos="3306"/>
              </w:tabs>
              <w:rPr>
                <w:rFonts w:cs="Calibri"/>
                <w:b/>
                <w:bCs/>
              </w:rPr>
            </w:pPr>
            <w:r w:rsidRPr="00D239F9">
              <w:rPr>
                <w:rFonts w:cs="Calibri"/>
                <w:b/>
                <w:bCs/>
                <w:color w:val="FF0000"/>
              </w:rPr>
              <w:t>Overview</w:t>
            </w:r>
            <w:r>
              <w:rPr>
                <w:rFonts w:cs="Calibri"/>
                <w:b/>
                <w:bCs/>
              </w:rPr>
              <w:t xml:space="preserve"> </w:t>
            </w:r>
            <w:r w:rsidRPr="00AC3DDE">
              <w:rPr>
                <w:rFonts w:cs="Calibri"/>
                <w:b/>
                <w:bCs/>
              </w:rPr>
              <w:t>Notes</w:t>
            </w:r>
          </w:p>
        </w:tc>
        <w:tc>
          <w:tcPr>
            <w:tcW w:w="404" w:type="pct"/>
            <w:gridSpan w:val="2"/>
            <w:tcBorders>
              <w:bottom w:val="nil"/>
            </w:tcBorders>
          </w:tcPr>
          <w:p w14:paraId="1D97869D" w14:textId="77777777" w:rsidR="003173AE" w:rsidRPr="00AC3DDE" w:rsidRDefault="003173AE" w:rsidP="009A0F2F">
            <w:pPr>
              <w:pStyle w:val="TableText"/>
              <w:tabs>
                <w:tab w:val="left" w:pos="3306"/>
              </w:tabs>
              <w:jc w:val="right"/>
              <w:rPr>
                <w:rFonts w:cs="Calibri"/>
                <w:snapToGrid w:val="0"/>
              </w:rPr>
            </w:pPr>
          </w:p>
        </w:tc>
      </w:tr>
      <w:tr w:rsidR="00AC3DDE" w:rsidRPr="00AC3DDE" w14:paraId="49A3970E" w14:textId="77777777" w:rsidTr="003173AE">
        <w:tc>
          <w:tcPr>
            <w:tcW w:w="741" w:type="pct"/>
            <w:tcBorders>
              <w:bottom w:val="nil"/>
            </w:tcBorders>
          </w:tcPr>
          <w:p w14:paraId="60EA665C" w14:textId="2B79AE4E" w:rsidR="005D1C4B" w:rsidRPr="00AC3DDE" w:rsidRDefault="005D1C4B" w:rsidP="005D1C4B">
            <w:pPr>
              <w:pStyle w:val="TableText"/>
              <w:tabs>
                <w:tab w:val="left" w:pos="3306"/>
              </w:tabs>
              <w:rPr>
                <w:rFonts w:cs="Calibri"/>
                <w:snapToGrid w:val="0"/>
              </w:rPr>
            </w:pPr>
            <w:r w:rsidRPr="00AC3DDE">
              <w:rPr>
                <w:rFonts w:cs="Calibri"/>
                <w:snapToGrid w:val="0"/>
              </w:rPr>
              <w:t>Note 4</w:t>
            </w:r>
            <w:r w:rsidR="00AE70BA" w:rsidRPr="00AC3DDE">
              <w:rPr>
                <w:rFonts w:cs="Calibri"/>
                <w:snapToGrid w:val="0"/>
              </w:rPr>
              <w:t>1</w:t>
            </w:r>
          </w:p>
        </w:tc>
        <w:tc>
          <w:tcPr>
            <w:tcW w:w="112" w:type="pct"/>
            <w:tcBorders>
              <w:left w:val="nil"/>
              <w:bottom w:val="nil"/>
              <w:right w:val="nil"/>
            </w:tcBorders>
          </w:tcPr>
          <w:p w14:paraId="1B65C6BB"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bottom w:val="nil"/>
            </w:tcBorders>
          </w:tcPr>
          <w:p w14:paraId="2A85B3ED" w14:textId="1CC2F113" w:rsidR="005D1C4B" w:rsidRPr="0007146C" w:rsidRDefault="00FF0025" w:rsidP="005D1C4B">
            <w:pPr>
              <w:pStyle w:val="TableText"/>
              <w:tabs>
                <w:tab w:val="left" w:pos="3306"/>
              </w:tabs>
              <w:rPr>
                <w:rFonts w:cs="Calibri"/>
                <w:strike/>
              </w:rPr>
            </w:pPr>
            <w:r w:rsidRPr="0007146C">
              <w:t>Basis of Preparation of the Financial Statements</w:t>
            </w:r>
            <w:r w:rsidR="00047465" w:rsidRPr="0007146C">
              <w:t xml:space="preserve"> </w:t>
            </w:r>
            <w:r w:rsidR="00047465" w:rsidRPr="0007146C">
              <w:rPr>
                <w:rFonts w:cs="Calibri"/>
                <w:color w:val="FF0000"/>
              </w:rPr>
              <w:t>– Territorial</w:t>
            </w:r>
          </w:p>
        </w:tc>
        <w:tc>
          <w:tcPr>
            <w:tcW w:w="404" w:type="pct"/>
            <w:gridSpan w:val="3"/>
            <w:tcBorders>
              <w:bottom w:val="nil"/>
            </w:tcBorders>
          </w:tcPr>
          <w:p w14:paraId="66544338" w14:textId="5F71076D" w:rsidR="005D1C4B" w:rsidRPr="00AC3DDE" w:rsidRDefault="005D1C4B" w:rsidP="005D1C4B">
            <w:pPr>
              <w:pStyle w:val="TableText"/>
              <w:tabs>
                <w:tab w:val="left" w:pos="3306"/>
              </w:tabs>
              <w:jc w:val="right"/>
              <w:rPr>
                <w:rFonts w:cs="Calibri"/>
                <w:strike/>
                <w:snapToGrid w:val="0"/>
              </w:rPr>
            </w:pPr>
          </w:p>
        </w:tc>
      </w:tr>
      <w:tr w:rsidR="00AC3DDE" w:rsidRPr="00AC3DDE" w14:paraId="5B1A0B93" w14:textId="77777777" w:rsidTr="003173AE">
        <w:tc>
          <w:tcPr>
            <w:tcW w:w="741" w:type="pct"/>
            <w:tcBorders>
              <w:top w:val="nil"/>
              <w:bottom w:val="nil"/>
            </w:tcBorders>
          </w:tcPr>
          <w:p w14:paraId="215376CA" w14:textId="77777777" w:rsidR="005D1C4B" w:rsidRPr="00AC3DDE" w:rsidRDefault="005D1C4B" w:rsidP="005D1C4B">
            <w:pPr>
              <w:pStyle w:val="TableText"/>
              <w:tabs>
                <w:tab w:val="left" w:pos="3306"/>
              </w:tabs>
              <w:rPr>
                <w:rFonts w:cs="Calibri"/>
                <w:snapToGrid w:val="0"/>
              </w:rPr>
            </w:pPr>
          </w:p>
        </w:tc>
        <w:tc>
          <w:tcPr>
            <w:tcW w:w="112" w:type="pct"/>
            <w:tcBorders>
              <w:top w:val="nil"/>
              <w:left w:val="nil"/>
              <w:bottom w:val="nil"/>
              <w:right w:val="nil"/>
            </w:tcBorders>
          </w:tcPr>
          <w:p w14:paraId="1A00F97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326F8BD9" w14:textId="2C67F4A3" w:rsidR="005D1C4B" w:rsidRPr="0007146C" w:rsidRDefault="00FA7C77" w:rsidP="005D1C4B">
            <w:pPr>
              <w:pStyle w:val="TableText"/>
              <w:tabs>
                <w:tab w:val="left" w:pos="3306"/>
              </w:tabs>
              <w:rPr>
                <w:rFonts w:cs="Calibri"/>
              </w:rPr>
            </w:pPr>
            <w:r w:rsidRPr="0007146C">
              <w:rPr>
                <w:rFonts w:cs="Calibri"/>
              </w:rPr>
              <w:t xml:space="preserve">  </w:t>
            </w:r>
          </w:p>
        </w:tc>
        <w:tc>
          <w:tcPr>
            <w:tcW w:w="404" w:type="pct"/>
            <w:gridSpan w:val="3"/>
            <w:tcBorders>
              <w:top w:val="nil"/>
              <w:bottom w:val="nil"/>
            </w:tcBorders>
          </w:tcPr>
          <w:p w14:paraId="7C54C517" w14:textId="515D00F2" w:rsidR="005D1C4B" w:rsidRPr="00AC3DDE" w:rsidRDefault="00AE2AE5" w:rsidP="005D1C4B">
            <w:pPr>
              <w:jc w:val="right"/>
              <w:rPr>
                <w:sz w:val="18"/>
                <w:szCs w:val="18"/>
              </w:rPr>
            </w:pPr>
            <w:r>
              <w:rPr>
                <w:sz w:val="18"/>
                <w:szCs w:val="18"/>
              </w:rPr>
              <w:t>XX</w:t>
            </w:r>
          </w:p>
        </w:tc>
      </w:tr>
      <w:tr w:rsidR="003173AE" w:rsidRPr="00AC3DDE" w14:paraId="26EE5E2E" w14:textId="77777777" w:rsidTr="003173AE">
        <w:trPr>
          <w:gridAfter w:val="2"/>
          <w:wAfter w:w="49" w:type="pct"/>
        </w:trPr>
        <w:tc>
          <w:tcPr>
            <w:tcW w:w="4547" w:type="pct"/>
            <w:gridSpan w:val="3"/>
            <w:tcBorders>
              <w:top w:val="nil"/>
              <w:bottom w:val="nil"/>
            </w:tcBorders>
          </w:tcPr>
          <w:p w14:paraId="4F6918F3" w14:textId="77777777" w:rsidR="003173AE" w:rsidRPr="0007146C" w:rsidRDefault="003173AE" w:rsidP="005D1C4B">
            <w:pPr>
              <w:pStyle w:val="TableText"/>
              <w:tabs>
                <w:tab w:val="left" w:pos="3306"/>
              </w:tabs>
              <w:rPr>
                <w:rFonts w:cs="Calibri"/>
                <w:b/>
                <w:bCs/>
                <w:snapToGrid w:val="0"/>
              </w:rPr>
            </w:pPr>
            <w:r w:rsidRPr="0007146C">
              <w:rPr>
                <w:rFonts w:cs="Calibri"/>
                <w:b/>
                <w:bCs/>
              </w:rPr>
              <w:t>Income Notes</w:t>
            </w:r>
          </w:p>
        </w:tc>
        <w:tc>
          <w:tcPr>
            <w:tcW w:w="404" w:type="pct"/>
            <w:gridSpan w:val="2"/>
            <w:tcBorders>
              <w:top w:val="nil"/>
              <w:bottom w:val="nil"/>
            </w:tcBorders>
          </w:tcPr>
          <w:p w14:paraId="0DEF0DBA" w14:textId="77777777" w:rsidR="003173AE" w:rsidRPr="0007146C" w:rsidRDefault="003173AE" w:rsidP="005D1C4B">
            <w:pPr>
              <w:pStyle w:val="TableText"/>
              <w:tabs>
                <w:tab w:val="left" w:pos="3306"/>
              </w:tabs>
              <w:jc w:val="right"/>
              <w:rPr>
                <w:rFonts w:cs="Calibri"/>
                <w:strike/>
                <w:snapToGrid w:val="0"/>
              </w:rPr>
            </w:pPr>
          </w:p>
        </w:tc>
      </w:tr>
      <w:tr w:rsidR="00AC3DDE" w:rsidRPr="00AC3DDE" w14:paraId="53AC7B8A" w14:textId="77777777" w:rsidTr="003173AE">
        <w:tc>
          <w:tcPr>
            <w:tcW w:w="741" w:type="pct"/>
            <w:tcBorders>
              <w:top w:val="nil"/>
              <w:bottom w:val="nil"/>
            </w:tcBorders>
          </w:tcPr>
          <w:p w14:paraId="02BBDACD" w14:textId="6B61FEAE" w:rsidR="005D1C4B" w:rsidRPr="00AC3DDE" w:rsidRDefault="005D1C4B" w:rsidP="003173AE">
            <w:pPr>
              <w:pStyle w:val="TableText"/>
              <w:tabs>
                <w:tab w:val="left" w:pos="3306"/>
              </w:tabs>
              <w:rPr>
                <w:rFonts w:cs="Calibri"/>
              </w:rPr>
            </w:pPr>
            <w:r w:rsidRPr="00AC3DDE">
              <w:rPr>
                <w:rFonts w:cs="Calibri"/>
              </w:rPr>
              <w:t>Note 4</w:t>
            </w:r>
            <w:r w:rsidR="00AE70BA" w:rsidRPr="00AC3DDE">
              <w:rPr>
                <w:rFonts w:cs="Calibri"/>
              </w:rPr>
              <w:t>2</w:t>
            </w:r>
          </w:p>
        </w:tc>
        <w:tc>
          <w:tcPr>
            <w:tcW w:w="112" w:type="pct"/>
            <w:tcBorders>
              <w:top w:val="nil"/>
              <w:left w:val="nil"/>
              <w:bottom w:val="nil"/>
              <w:right w:val="nil"/>
            </w:tcBorders>
          </w:tcPr>
          <w:p w14:paraId="7BC595C7"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660FF30C" w14:textId="77777777" w:rsidR="005D1C4B" w:rsidRPr="0007146C" w:rsidRDefault="005D1C4B" w:rsidP="003173AE">
            <w:pPr>
              <w:pStyle w:val="TableText"/>
              <w:tabs>
                <w:tab w:val="left" w:pos="3306"/>
              </w:tabs>
              <w:rPr>
                <w:rFonts w:cs="Calibri"/>
              </w:rPr>
            </w:pPr>
            <w:r w:rsidRPr="0007146C">
              <w:rPr>
                <w:rFonts w:cs="Calibri"/>
              </w:rPr>
              <w:t>Taxes, Licences, Fees and Fines – Territorial</w:t>
            </w:r>
          </w:p>
        </w:tc>
        <w:tc>
          <w:tcPr>
            <w:tcW w:w="404" w:type="pct"/>
            <w:gridSpan w:val="3"/>
            <w:tcBorders>
              <w:top w:val="nil"/>
              <w:bottom w:val="nil"/>
            </w:tcBorders>
          </w:tcPr>
          <w:p w14:paraId="0CEBF897" w14:textId="7071F490"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848E36F" w14:textId="77777777" w:rsidTr="003173AE">
        <w:tc>
          <w:tcPr>
            <w:tcW w:w="741" w:type="pct"/>
            <w:tcBorders>
              <w:top w:val="nil"/>
              <w:bottom w:val="nil"/>
            </w:tcBorders>
          </w:tcPr>
          <w:p w14:paraId="0EE22DD4" w14:textId="77CD7752" w:rsidR="007C365B" w:rsidRPr="00AC3DDE" w:rsidRDefault="007C365B" w:rsidP="003173AE">
            <w:pPr>
              <w:pStyle w:val="TableText"/>
              <w:tabs>
                <w:tab w:val="left" w:pos="3306"/>
              </w:tabs>
              <w:rPr>
                <w:rFonts w:cs="Calibri"/>
              </w:rPr>
            </w:pPr>
            <w:r w:rsidRPr="00AC3DDE">
              <w:rPr>
                <w:rFonts w:cs="Calibri"/>
              </w:rPr>
              <w:t>Note 4</w:t>
            </w:r>
            <w:r w:rsidR="00AE70BA" w:rsidRPr="00AC3DDE">
              <w:rPr>
                <w:rFonts w:cs="Calibri"/>
              </w:rPr>
              <w:t>3</w:t>
            </w:r>
          </w:p>
        </w:tc>
        <w:tc>
          <w:tcPr>
            <w:tcW w:w="112" w:type="pct"/>
            <w:tcBorders>
              <w:top w:val="nil"/>
              <w:left w:val="nil"/>
              <w:bottom w:val="nil"/>
              <w:right w:val="nil"/>
            </w:tcBorders>
          </w:tcPr>
          <w:p w14:paraId="1604C5CE" w14:textId="77777777" w:rsidR="007C365B" w:rsidRPr="00AC3DDE" w:rsidRDefault="007C365B" w:rsidP="003173AE">
            <w:pPr>
              <w:pStyle w:val="TableText"/>
              <w:tabs>
                <w:tab w:val="left" w:pos="3306"/>
              </w:tabs>
              <w:rPr>
                <w:rFonts w:cs="Calibri"/>
                <w:snapToGrid w:val="0"/>
              </w:rPr>
            </w:pPr>
          </w:p>
        </w:tc>
        <w:tc>
          <w:tcPr>
            <w:tcW w:w="3743" w:type="pct"/>
            <w:gridSpan w:val="2"/>
            <w:tcBorders>
              <w:top w:val="nil"/>
              <w:left w:val="nil"/>
              <w:bottom w:val="nil"/>
            </w:tcBorders>
          </w:tcPr>
          <w:p w14:paraId="5025349F" w14:textId="54064512" w:rsidR="007C365B" w:rsidRPr="0007146C" w:rsidRDefault="007C365B" w:rsidP="003173AE">
            <w:pPr>
              <w:pStyle w:val="TableText"/>
              <w:tabs>
                <w:tab w:val="left" w:pos="3306"/>
              </w:tabs>
              <w:rPr>
                <w:rFonts w:cs="Calibri"/>
              </w:rPr>
            </w:pPr>
            <w:r w:rsidRPr="0007146C">
              <w:rPr>
                <w:rFonts w:cs="Calibri"/>
              </w:rPr>
              <w:t xml:space="preserve">Other </w:t>
            </w:r>
            <w:r w:rsidR="00722BF2" w:rsidRPr="0007146C">
              <w:rPr>
                <w:rFonts w:cs="Calibri"/>
              </w:rPr>
              <w:t xml:space="preserve">Income – Territorial </w:t>
            </w:r>
          </w:p>
        </w:tc>
        <w:tc>
          <w:tcPr>
            <w:tcW w:w="404" w:type="pct"/>
            <w:gridSpan w:val="3"/>
            <w:tcBorders>
              <w:top w:val="nil"/>
              <w:bottom w:val="nil"/>
            </w:tcBorders>
          </w:tcPr>
          <w:p w14:paraId="3E6087DC" w14:textId="77777777" w:rsidR="007C365B" w:rsidRPr="00AC3DDE" w:rsidRDefault="007C365B" w:rsidP="005D1C4B">
            <w:pPr>
              <w:pStyle w:val="TableText"/>
              <w:tabs>
                <w:tab w:val="left" w:pos="3306"/>
              </w:tabs>
              <w:jc w:val="right"/>
              <w:rPr>
                <w:rFonts w:cs="Calibri"/>
                <w:snapToGrid w:val="0"/>
              </w:rPr>
            </w:pPr>
          </w:p>
        </w:tc>
      </w:tr>
      <w:tr w:rsidR="00AC3DDE" w:rsidRPr="00AC3DDE" w14:paraId="1367B9B5" w14:textId="77777777" w:rsidTr="003173AE">
        <w:tc>
          <w:tcPr>
            <w:tcW w:w="741" w:type="pct"/>
            <w:tcBorders>
              <w:top w:val="nil"/>
              <w:bottom w:val="nil"/>
            </w:tcBorders>
          </w:tcPr>
          <w:p w14:paraId="1B0C504D"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4271546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0C05A6D"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3E59BB00" w14:textId="77777777" w:rsidR="005D1C4B" w:rsidRPr="00AC3DDE" w:rsidRDefault="005D1C4B" w:rsidP="005D1C4B">
            <w:pPr>
              <w:pStyle w:val="TableText"/>
              <w:tabs>
                <w:tab w:val="left" w:pos="3306"/>
              </w:tabs>
              <w:jc w:val="right"/>
              <w:rPr>
                <w:rFonts w:cs="Calibri"/>
                <w:snapToGrid w:val="0"/>
              </w:rPr>
            </w:pPr>
          </w:p>
        </w:tc>
      </w:tr>
      <w:tr w:rsidR="003173AE" w:rsidRPr="00AC3DDE" w14:paraId="2D53D6B1" w14:textId="77777777" w:rsidTr="003173AE">
        <w:trPr>
          <w:gridAfter w:val="2"/>
          <w:wAfter w:w="49" w:type="pct"/>
        </w:trPr>
        <w:tc>
          <w:tcPr>
            <w:tcW w:w="4547" w:type="pct"/>
            <w:gridSpan w:val="3"/>
            <w:tcBorders>
              <w:top w:val="nil"/>
              <w:bottom w:val="nil"/>
            </w:tcBorders>
          </w:tcPr>
          <w:p w14:paraId="39716AC5" w14:textId="77777777" w:rsidR="003173AE" w:rsidRPr="0007146C" w:rsidRDefault="003173AE" w:rsidP="005D1C4B">
            <w:pPr>
              <w:pStyle w:val="TableText"/>
              <w:tabs>
                <w:tab w:val="left" w:pos="3306"/>
              </w:tabs>
              <w:rPr>
                <w:rFonts w:cs="Calibri"/>
                <w:b/>
                <w:bCs/>
              </w:rPr>
            </w:pPr>
            <w:r w:rsidRPr="0007146C">
              <w:rPr>
                <w:rFonts w:cs="Calibri"/>
                <w:b/>
                <w:bCs/>
              </w:rPr>
              <w:t>Expenses Notes</w:t>
            </w:r>
          </w:p>
        </w:tc>
        <w:tc>
          <w:tcPr>
            <w:tcW w:w="404" w:type="pct"/>
            <w:gridSpan w:val="2"/>
            <w:tcBorders>
              <w:top w:val="nil"/>
              <w:bottom w:val="nil"/>
            </w:tcBorders>
          </w:tcPr>
          <w:p w14:paraId="4F19D6D7" w14:textId="77777777" w:rsidR="003173AE" w:rsidRPr="0007146C" w:rsidRDefault="003173AE" w:rsidP="005D1C4B">
            <w:pPr>
              <w:pStyle w:val="TableText"/>
              <w:tabs>
                <w:tab w:val="left" w:pos="3306"/>
              </w:tabs>
              <w:jc w:val="right"/>
              <w:rPr>
                <w:rFonts w:cs="Calibri"/>
                <w:snapToGrid w:val="0"/>
              </w:rPr>
            </w:pPr>
          </w:p>
        </w:tc>
      </w:tr>
      <w:tr w:rsidR="00AC3DDE" w:rsidRPr="00AC3DDE" w14:paraId="1D1E755E" w14:textId="77777777" w:rsidTr="003173AE">
        <w:tc>
          <w:tcPr>
            <w:tcW w:w="741" w:type="pct"/>
            <w:tcBorders>
              <w:top w:val="nil"/>
              <w:bottom w:val="nil"/>
            </w:tcBorders>
          </w:tcPr>
          <w:p w14:paraId="045FFCF3" w14:textId="386F0CE4" w:rsidR="005D1C4B" w:rsidRPr="00AC3DDE" w:rsidRDefault="005D1C4B" w:rsidP="003173AE">
            <w:pPr>
              <w:pStyle w:val="TableText"/>
              <w:tabs>
                <w:tab w:val="left" w:pos="3306"/>
              </w:tabs>
              <w:rPr>
                <w:rFonts w:cs="Calibri"/>
              </w:rPr>
            </w:pPr>
            <w:r w:rsidRPr="00AC3DDE">
              <w:rPr>
                <w:rFonts w:cs="Calibri"/>
              </w:rPr>
              <w:t>Note 4</w:t>
            </w:r>
            <w:r w:rsidR="00AE70BA" w:rsidRPr="00AC3DDE">
              <w:rPr>
                <w:rFonts w:cs="Calibri"/>
              </w:rPr>
              <w:t>4</w:t>
            </w:r>
          </w:p>
        </w:tc>
        <w:tc>
          <w:tcPr>
            <w:tcW w:w="112" w:type="pct"/>
            <w:tcBorders>
              <w:top w:val="nil"/>
              <w:left w:val="nil"/>
              <w:bottom w:val="nil"/>
              <w:right w:val="nil"/>
            </w:tcBorders>
          </w:tcPr>
          <w:p w14:paraId="7177B60A"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188F8D94" w14:textId="77777777" w:rsidR="005D1C4B" w:rsidRPr="0007146C" w:rsidRDefault="005D1C4B" w:rsidP="00EE28EF">
            <w:pPr>
              <w:pStyle w:val="TableText"/>
              <w:tabs>
                <w:tab w:val="left" w:pos="3306"/>
              </w:tabs>
              <w:rPr>
                <w:rFonts w:cs="Calibri"/>
              </w:rPr>
            </w:pPr>
            <w:r w:rsidRPr="0007146C">
              <w:rPr>
                <w:rFonts w:cs="Calibri"/>
              </w:rPr>
              <w:t>Grants and Purchased Services – Territorial</w:t>
            </w:r>
          </w:p>
        </w:tc>
        <w:tc>
          <w:tcPr>
            <w:tcW w:w="404" w:type="pct"/>
            <w:gridSpan w:val="3"/>
            <w:tcBorders>
              <w:top w:val="nil"/>
              <w:bottom w:val="nil"/>
            </w:tcBorders>
          </w:tcPr>
          <w:p w14:paraId="563728A0" w14:textId="2C8CEB50"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3409553B" w14:textId="77777777" w:rsidTr="003173AE">
        <w:tc>
          <w:tcPr>
            <w:tcW w:w="741" w:type="pct"/>
            <w:tcBorders>
              <w:top w:val="nil"/>
              <w:bottom w:val="nil"/>
            </w:tcBorders>
          </w:tcPr>
          <w:p w14:paraId="465027BA" w14:textId="36664035" w:rsidR="005D1C4B" w:rsidRPr="00AC3DDE" w:rsidRDefault="005D1C4B" w:rsidP="003173AE">
            <w:pPr>
              <w:pStyle w:val="TableText"/>
              <w:tabs>
                <w:tab w:val="left" w:pos="3306"/>
              </w:tabs>
              <w:rPr>
                <w:rFonts w:cs="Calibri"/>
              </w:rPr>
            </w:pPr>
            <w:r w:rsidRPr="00AC3DDE">
              <w:rPr>
                <w:rFonts w:cs="Calibri"/>
              </w:rPr>
              <w:t>Note 4</w:t>
            </w:r>
            <w:r w:rsidR="00AE70BA" w:rsidRPr="00AC3DDE">
              <w:rPr>
                <w:rFonts w:cs="Calibri"/>
              </w:rPr>
              <w:t>5</w:t>
            </w:r>
          </w:p>
        </w:tc>
        <w:tc>
          <w:tcPr>
            <w:tcW w:w="112" w:type="pct"/>
            <w:tcBorders>
              <w:top w:val="nil"/>
              <w:left w:val="nil"/>
              <w:bottom w:val="nil"/>
              <w:right w:val="nil"/>
            </w:tcBorders>
          </w:tcPr>
          <w:p w14:paraId="0C10EE9A"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009E503B" w14:textId="77777777" w:rsidR="005D1C4B" w:rsidRPr="0007146C" w:rsidRDefault="005D1C4B" w:rsidP="00EE28EF">
            <w:pPr>
              <w:pStyle w:val="TableText"/>
              <w:tabs>
                <w:tab w:val="left" w:pos="3306"/>
              </w:tabs>
              <w:rPr>
                <w:rFonts w:cs="Calibri"/>
              </w:rPr>
            </w:pPr>
            <w:r w:rsidRPr="0007146C">
              <w:rPr>
                <w:rFonts w:cs="Calibri"/>
              </w:rPr>
              <w:t>Other Expenses – Territorial</w:t>
            </w:r>
          </w:p>
        </w:tc>
        <w:tc>
          <w:tcPr>
            <w:tcW w:w="404" w:type="pct"/>
            <w:gridSpan w:val="3"/>
            <w:tcBorders>
              <w:top w:val="nil"/>
              <w:bottom w:val="nil"/>
            </w:tcBorders>
          </w:tcPr>
          <w:p w14:paraId="5478A972" w14:textId="42A1F288"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8E1A18" w14:textId="77777777" w:rsidTr="003173AE">
        <w:tc>
          <w:tcPr>
            <w:tcW w:w="741" w:type="pct"/>
            <w:tcBorders>
              <w:top w:val="nil"/>
              <w:bottom w:val="nil"/>
            </w:tcBorders>
          </w:tcPr>
          <w:p w14:paraId="6C21D149"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6866C55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49AE9E0F"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4AF28967" w14:textId="77777777" w:rsidR="005D1C4B" w:rsidRPr="00AC3DDE" w:rsidRDefault="005D1C4B" w:rsidP="005D1C4B">
            <w:pPr>
              <w:pStyle w:val="TableText"/>
              <w:tabs>
                <w:tab w:val="left" w:pos="3306"/>
              </w:tabs>
              <w:jc w:val="right"/>
              <w:rPr>
                <w:rFonts w:cs="Calibri"/>
                <w:snapToGrid w:val="0"/>
              </w:rPr>
            </w:pPr>
          </w:p>
        </w:tc>
      </w:tr>
      <w:tr w:rsidR="003173AE" w:rsidRPr="00AC3DDE" w14:paraId="518F6CE2" w14:textId="77777777" w:rsidTr="003173AE">
        <w:trPr>
          <w:gridAfter w:val="2"/>
          <w:wAfter w:w="49" w:type="pct"/>
        </w:trPr>
        <w:tc>
          <w:tcPr>
            <w:tcW w:w="4547" w:type="pct"/>
            <w:gridSpan w:val="3"/>
            <w:tcBorders>
              <w:top w:val="nil"/>
              <w:bottom w:val="nil"/>
            </w:tcBorders>
          </w:tcPr>
          <w:p w14:paraId="5F97D36B" w14:textId="77777777" w:rsidR="003173AE" w:rsidRPr="0007146C" w:rsidRDefault="003173AE" w:rsidP="005D1C4B">
            <w:pPr>
              <w:pStyle w:val="TableText"/>
              <w:tabs>
                <w:tab w:val="left" w:pos="3306"/>
              </w:tabs>
              <w:rPr>
                <w:rFonts w:cs="Calibri"/>
                <w:b/>
                <w:bCs/>
              </w:rPr>
            </w:pPr>
            <w:r w:rsidRPr="0007146C">
              <w:rPr>
                <w:rFonts w:cs="Calibri"/>
                <w:b/>
                <w:bCs/>
              </w:rPr>
              <w:t>Assets Notes</w:t>
            </w:r>
          </w:p>
        </w:tc>
        <w:tc>
          <w:tcPr>
            <w:tcW w:w="404" w:type="pct"/>
            <w:gridSpan w:val="2"/>
            <w:tcBorders>
              <w:top w:val="nil"/>
              <w:bottom w:val="nil"/>
            </w:tcBorders>
          </w:tcPr>
          <w:p w14:paraId="5E9692ED" w14:textId="77777777" w:rsidR="003173AE" w:rsidRPr="0007146C" w:rsidRDefault="003173AE" w:rsidP="005D1C4B">
            <w:pPr>
              <w:pStyle w:val="TableText"/>
              <w:tabs>
                <w:tab w:val="left" w:pos="3306"/>
              </w:tabs>
              <w:jc w:val="right"/>
              <w:rPr>
                <w:rFonts w:cs="Calibri"/>
                <w:snapToGrid w:val="0"/>
              </w:rPr>
            </w:pPr>
          </w:p>
        </w:tc>
      </w:tr>
      <w:tr w:rsidR="00AC3DDE" w:rsidRPr="00AC3DDE" w14:paraId="6EF0AE04" w14:textId="77777777" w:rsidTr="003173AE">
        <w:tc>
          <w:tcPr>
            <w:tcW w:w="741" w:type="pct"/>
            <w:tcBorders>
              <w:top w:val="nil"/>
              <w:bottom w:val="nil"/>
            </w:tcBorders>
          </w:tcPr>
          <w:p w14:paraId="0650EB54" w14:textId="77B65283" w:rsidR="005D1C4B" w:rsidRPr="00AC3DDE" w:rsidRDefault="005D1C4B" w:rsidP="003173AE">
            <w:pPr>
              <w:pStyle w:val="TableText"/>
              <w:tabs>
                <w:tab w:val="left" w:pos="3306"/>
              </w:tabs>
              <w:rPr>
                <w:rFonts w:cs="Calibri"/>
              </w:rPr>
            </w:pPr>
            <w:r w:rsidRPr="00AC3DDE">
              <w:rPr>
                <w:rFonts w:cs="Calibri"/>
              </w:rPr>
              <w:t>Note 4</w:t>
            </w:r>
            <w:r w:rsidR="00AE70BA" w:rsidRPr="00AC3DDE">
              <w:rPr>
                <w:rFonts w:cs="Calibri"/>
              </w:rPr>
              <w:t>6</w:t>
            </w:r>
          </w:p>
        </w:tc>
        <w:tc>
          <w:tcPr>
            <w:tcW w:w="112" w:type="pct"/>
            <w:tcBorders>
              <w:top w:val="nil"/>
              <w:left w:val="nil"/>
              <w:bottom w:val="nil"/>
              <w:right w:val="nil"/>
            </w:tcBorders>
          </w:tcPr>
          <w:p w14:paraId="6960A518"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3BAA70AC" w14:textId="463871D4" w:rsidR="005D1C4B" w:rsidRPr="0007146C" w:rsidRDefault="005D1C4B" w:rsidP="00EE28EF">
            <w:pPr>
              <w:pStyle w:val="TableText"/>
              <w:tabs>
                <w:tab w:val="left" w:pos="3306"/>
              </w:tabs>
              <w:rPr>
                <w:rFonts w:cs="Calibri"/>
              </w:rPr>
            </w:pPr>
            <w:bookmarkStart w:id="921" w:name="_Hlk90026525"/>
            <w:r w:rsidRPr="0007146C">
              <w:rPr>
                <w:rFonts w:cs="Calibri"/>
              </w:rPr>
              <w:t xml:space="preserve">Cash and </w:t>
            </w:r>
            <w:r w:rsidR="008D3C9F" w:rsidRPr="0007146C">
              <w:rPr>
                <w:rFonts w:cs="Calibri"/>
              </w:rPr>
              <w:t>Investments</w:t>
            </w:r>
            <w:r w:rsidRPr="0007146C">
              <w:rPr>
                <w:rFonts w:cs="Calibri"/>
              </w:rPr>
              <w:t xml:space="preserve"> – Territorial</w:t>
            </w:r>
            <w:bookmarkEnd w:id="921"/>
          </w:p>
        </w:tc>
        <w:tc>
          <w:tcPr>
            <w:tcW w:w="404" w:type="pct"/>
            <w:gridSpan w:val="3"/>
            <w:tcBorders>
              <w:top w:val="nil"/>
              <w:bottom w:val="nil"/>
            </w:tcBorders>
          </w:tcPr>
          <w:p w14:paraId="14B13FFE" w14:textId="5E6CED05"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26FEE2" w14:textId="77777777" w:rsidTr="003173AE">
        <w:tc>
          <w:tcPr>
            <w:tcW w:w="741" w:type="pct"/>
            <w:tcBorders>
              <w:top w:val="nil"/>
              <w:bottom w:val="nil"/>
            </w:tcBorders>
          </w:tcPr>
          <w:p w14:paraId="2250B8E1" w14:textId="157692AB" w:rsidR="005D1C4B" w:rsidRPr="00AC3DDE" w:rsidRDefault="005D1C4B" w:rsidP="003173AE">
            <w:pPr>
              <w:pStyle w:val="TableText"/>
              <w:tabs>
                <w:tab w:val="left" w:pos="3306"/>
              </w:tabs>
              <w:rPr>
                <w:rFonts w:cs="Calibri"/>
              </w:rPr>
            </w:pPr>
            <w:r w:rsidRPr="00AC3DDE">
              <w:rPr>
                <w:rFonts w:cs="Calibri"/>
              </w:rPr>
              <w:t>Note 4</w:t>
            </w:r>
            <w:r w:rsidR="00AE70BA" w:rsidRPr="00AC3DDE">
              <w:rPr>
                <w:rFonts w:cs="Calibri"/>
              </w:rPr>
              <w:t>7</w:t>
            </w:r>
          </w:p>
        </w:tc>
        <w:tc>
          <w:tcPr>
            <w:tcW w:w="112" w:type="pct"/>
            <w:tcBorders>
              <w:top w:val="nil"/>
              <w:left w:val="nil"/>
              <w:bottom w:val="nil"/>
              <w:right w:val="nil"/>
            </w:tcBorders>
          </w:tcPr>
          <w:p w14:paraId="0DD15919"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3353C0E4" w14:textId="6965E49F" w:rsidR="005D1C4B" w:rsidRPr="0007146C" w:rsidRDefault="005D1C4B" w:rsidP="00EE28EF">
            <w:pPr>
              <w:pStyle w:val="TableText"/>
              <w:tabs>
                <w:tab w:val="left" w:pos="3306"/>
              </w:tabs>
              <w:rPr>
                <w:rFonts w:cs="Calibri"/>
              </w:rPr>
            </w:pPr>
            <w:r w:rsidRPr="0007146C">
              <w:rPr>
                <w:rFonts w:cs="Calibri"/>
              </w:rPr>
              <w:t>Receivables</w:t>
            </w:r>
            <w:r w:rsidR="000C1CDA" w:rsidRPr="0007146C">
              <w:rPr>
                <w:rFonts w:cs="Calibri"/>
              </w:rPr>
              <w:t xml:space="preserve"> </w:t>
            </w:r>
            <w:r w:rsidR="000C1CDA" w:rsidRPr="0007146C">
              <w:rPr>
                <w:rFonts w:cs="Calibri"/>
                <w:strike/>
                <w:color w:val="FF0000"/>
              </w:rPr>
              <w:t>and Contract Assets</w:t>
            </w:r>
            <w:r w:rsidRPr="0007146C">
              <w:rPr>
                <w:rFonts w:cs="Calibri"/>
                <w:color w:val="FF0000"/>
              </w:rPr>
              <w:t xml:space="preserve"> </w:t>
            </w:r>
            <w:r w:rsidRPr="0007146C">
              <w:rPr>
                <w:rFonts w:cs="Calibri"/>
              </w:rPr>
              <w:t>– Territorial</w:t>
            </w:r>
          </w:p>
        </w:tc>
        <w:tc>
          <w:tcPr>
            <w:tcW w:w="404" w:type="pct"/>
            <w:gridSpan w:val="3"/>
            <w:tcBorders>
              <w:top w:val="nil"/>
              <w:bottom w:val="nil"/>
            </w:tcBorders>
          </w:tcPr>
          <w:p w14:paraId="2F1BB622" w14:textId="0D3CF8E3"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00718EFC" w14:textId="77777777" w:rsidTr="003173AE">
        <w:tc>
          <w:tcPr>
            <w:tcW w:w="741" w:type="pct"/>
            <w:tcBorders>
              <w:top w:val="nil"/>
              <w:bottom w:val="nil"/>
            </w:tcBorders>
          </w:tcPr>
          <w:p w14:paraId="540CF759" w14:textId="7A4D27DD" w:rsidR="005D1C4B" w:rsidRPr="00AC3DDE" w:rsidRDefault="005D1C4B" w:rsidP="003173AE">
            <w:pPr>
              <w:pStyle w:val="TableText"/>
              <w:tabs>
                <w:tab w:val="left" w:pos="3306"/>
              </w:tabs>
              <w:rPr>
                <w:rFonts w:cs="Calibri"/>
              </w:rPr>
            </w:pPr>
            <w:r w:rsidRPr="00AC3DDE">
              <w:rPr>
                <w:rFonts w:cs="Calibri"/>
              </w:rPr>
              <w:t xml:space="preserve">Note </w:t>
            </w:r>
            <w:r w:rsidR="006C5890" w:rsidRPr="00AC3DDE">
              <w:rPr>
                <w:rFonts w:cs="Calibri"/>
              </w:rPr>
              <w:t>4</w:t>
            </w:r>
            <w:r w:rsidR="00AE70BA" w:rsidRPr="00AC3DDE">
              <w:rPr>
                <w:rFonts w:cs="Calibri"/>
              </w:rPr>
              <w:t>8</w:t>
            </w:r>
          </w:p>
        </w:tc>
        <w:tc>
          <w:tcPr>
            <w:tcW w:w="112" w:type="pct"/>
            <w:tcBorders>
              <w:top w:val="nil"/>
              <w:left w:val="nil"/>
              <w:bottom w:val="nil"/>
              <w:right w:val="nil"/>
            </w:tcBorders>
          </w:tcPr>
          <w:p w14:paraId="1079E39B"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2F1D75B8" w14:textId="77777777" w:rsidR="005D1C4B" w:rsidRPr="0007146C" w:rsidRDefault="005D1C4B" w:rsidP="00EE28EF">
            <w:pPr>
              <w:pStyle w:val="TableText"/>
              <w:tabs>
                <w:tab w:val="left" w:pos="3306"/>
              </w:tabs>
              <w:rPr>
                <w:rFonts w:cs="Calibri"/>
              </w:rPr>
            </w:pPr>
            <w:r w:rsidRPr="0007146C">
              <w:rPr>
                <w:rFonts w:cs="Calibri"/>
              </w:rPr>
              <w:t>Other Assets – Territorial</w:t>
            </w:r>
          </w:p>
        </w:tc>
        <w:tc>
          <w:tcPr>
            <w:tcW w:w="404" w:type="pct"/>
            <w:gridSpan w:val="3"/>
            <w:tcBorders>
              <w:top w:val="nil"/>
              <w:bottom w:val="nil"/>
            </w:tcBorders>
          </w:tcPr>
          <w:p w14:paraId="1839E777" w14:textId="2FF76CEE"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42029FBC" w14:textId="77777777" w:rsidTr="003173AE">
        <w:tc>
          <w:tcPr>
            <w:tcW w:w="741" w:type="pct"/>
            <w:tcBorders>
              <w:top w:val="nil"/>
              <w:bottom w:val="nil"/>
            </w:tcBorders>
          </w:tcPr>
          <w:p w14:paraId="1F87095A"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1A7E973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57AFB73"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5A0D0EEE" w14:textId="77777777" w:rsidR="005D1C4B" w:rsidRPr="00AC3DDE" w:rsidRDefault="005D1C4B" w:rsidP="005D1C4B">
            <w:pPr>
              <w:pStyle w:val="TableText"/>
              <w:tabs>
                <w:tab w:val="left" w:pos="3306"/>
              </w:tabs>
              <w:jc w:val="right"/>
              <w:rPr>
                <w:rFonts w:cs="Calibri"/>
                <w:snapToGrid w:val="0"/>
              </w:rPr>
            </w:pPr>
          </w:p>
        </w:tc>
      </w:tr>
      <w:tr w:rsidR="003173AE" w:rsidRPr="00AC3DDE" w14:paraId="5792F8A8" w14:textId="77777777" w:rsidTr="003173AE">
        <w:trPr>
          <w:gridAfter w:val="2"/>
          <w:wAfter w:w="49" w:type="pct"/>
        </w:trPr>
        <w:tc>
          <w:tcPr>
            <w:tcW w:w="4547" w:type="pct"/>
            <w:gridSpan w:val="3"/>
            <w:tcBorders>
              <w:top w:val="nil"/>
              <w:bottom w:val="nil"/>
            </w:tcBorders>
          </w:tcPr>
          <w:p w14:paraId="712D1977" w14:textId="77777777" w:rsidR="003173AE" w:rsidRPr="0007146C" w:rsidRDefault="003173AE" w:rsidP="005D1C4B">
            <w:pPr>
              <w:pStyle w:val="TableText"/>
              <w:tabs>
                <w:tab w:val="left" w:pos="3306"/>
              </w:tabs>
              <w:rPr>
                <w:rFonts w:cs="Calibri"/>
                <w:b/>
                <w:bCs/>
              </w:rPr>
            </w:pPr>
            <w:r w:rsidRPr="0007146C">
              <w:rPr>
                <w:rFonts w:cs="Calibri"/>
                <w:b/>
                <w:bCs/>
              </w:rPr>
              <w:t>Liabilities Notes</w:t>
            </w:r>
          </w:p>
        </w:tc>
        <w:tc>
          <w:tcPr>
            <w:tcW w:w="404" w:type="pct"/>
            <w:gridSpan w:val="2"/>
            <w:tcBorders>
              <w:top w:val="nil"/>
              <w:bottom w:val="nil"/>
            </w:tcBorders>
          </w:tcPr>
          <w:p w14:paraId="6A36E8EF" w14:textId="77777777" w:rsidR="003173AE" w:rsidRPr="0007146C" w:rsidRDefault="003173AE" w:rsidP="005D1C4B">
            <w:pPr>
              <w:pStyle w:val="TableText"/>
              <w:tabs>
                <w:tab w:val="left" w:pos="3306"/>
              </w:tabs>
              <w:jc w:val="right"/>
              <w:rPr>
                <w:rFonts w:cs="Calibri"/>
                <w:snapToGrid w:val="0"/>
              </w:rPr>
            </w:pPr>
          </w:p>
        </w:tc>
      </w:tr>
      <w:tr w:rsidR="00AC3DDE" w:rsidRPr="00AC3DDE" w14:paraId="141C5CE8" w14:textId="77777777" w:rsidTr="003173AE">
        <w:tc>
          <w:tcPr>
            <w:tcW w:w="741" w:type="pct"/>
            <w:tcBorders>
              <w:top w:val="nil"/>
              <w:bottom w:val="nil"/>
            </w:tcBorders>
          </w:tcPr>
          <w:p w14:paraId="3C5A2B16" w14:textId="66C793BC" w:rsidR="005D1C4B" w:rsidRPr="00AC3DDE" w:rsidRDefault="005D1C4B" w:rsidP="005D1C4B">
            <w:pPr>
              <w:pStyle w:val="TableText"/>
              <w:tabs>
                <w:tab w:val="left" w:pos="3306"/>
              </w:tabs>
              <w:rPr>
                <w:rFonts w:cs="Calibri"/>
              </w:rPr>
            </w:pPr>
            <w:r w:rsidRPr="00AC3DDE">
              <w:rPr>
                <w:rFonts w:cs="Calibri"/>
              </w:rPr>
              <w:t xml:space="preserve">Note </w:t>
            </w:r>
            <w:r w:rsidR="00AE70BA" w:rsidRPr="00AC3DDE">
              <w:rPr>
                <w:rFonts w:cs="Calibri"/>
              </w:rPr>
              <w:t>49</w:t>
            </w:r>
          </w:p>
        </w:tc>
        <w:tc>
          <w:tcPr>
            <w:tcW w:w="112" w:type="pct"/>
            <w:tcBorders>
              <w:top w:val="nil"/>
              <w:left w:val="nil"/>
              <w:bottom w:val="nil"/>
              <w:right w:val="nil"/>
            </w:tcBorders>
          </w:tcPr>
          <w:p w14:paraId="6A33AD9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B97D924" w14:textId="45649FCE" w:rsidR="005D1C4B" w:rsidRPr="0007146C" w:rsidRDefault="005D1C4B" w:rsidP="005D1C4B">
            <w:pPr>
              <w:pStyle w:val="TableText"/>
              <w:tabs>
                <w:tab w:val="left" w:pos="3306"/>
              </w:tabs>
              <w:rPr>
                <w:rFonts w:cs="Calibri"/>
              </w:rPr>
            </w:pPr>
            <w:r w:rsidRPr="0007146C">
              <w:rPr>
                <w:rFonts w:cs="Calibri"/>
              </w:rPr>
              <w:t>Payables</w:t>
            </w:r>
            <w:r w:rsidR="002541C3" w:rsidRPr="0007146C">
              <w:rPr>
                <w:rFonts w:cs="Calibri"/>
              </w:rPr>
              <w:t xml:space="preserve"> </w:t>
            </w:r>
            <w:r w:rsidR="002541C3" w:rsidRPr="0007146C">
              <w:rPr>
                <w:rFonts w:cs="Calibri"/>
                <w:strike/>
                <w:color w:val="FF0000"/>
              </w:rPr>
              <w:t>and Contract Liabilities</w:t>
            </w:r>
            <w:r w:rsidRPr="0007146C">
              <w:rPr>
                <w:rFonts w:cs="Calibri"/>
              </w:rPr>
              <w:t xml:space="preserve"> – Territorial</w:t>
            </w:r>
          </w:p>
        </w:tc>
        <w:tc>
          <w:tcPr>
            <w:tcW w:w="404" w:type="pct"/>
            <w:gridSpan w:val="3"/>
            <w:tcBorders>
              <w:top w:val="nil"/>
              <w:bottom w:val="nil"/>
            </w:tcBorders>
          </w:tcPr>
          <w:p w14:paraId="6B721F01" w14:textId="0582C3DB"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26DD22EF" w14:textId="77777777" w:rsidTr="003173AE">
        <w:tc>
          <w:tcPr>
            <w:tcW w:w="741" w:type="pct"/>
            <w:tcBorders>
              <w:top w:val="nil"/>
              <w:bottom w:val="nil"/>
            </w:tcBorders>
          </w:tcPr>
          <w:p w14:paraId="584047F9" w14:textId="400C7BAC" w:rsidR="000610F9" w:rsidRPr="00AC3DDE" w:rsidRDefault="000610F9" w:rsidP="005D1C4B">
            <w:pPr>
              <w:pStyle w:val="TableText"/>
              <w:tabs>
                <w:tab w:val="left" w:pos="3306"/>
              </w:tabs>
              <w:rPr>
                <w:rFonts w:cs="Calibri"/>
              </w:rPr>
            </w:pPr>
            <w:r w:rsidRPr="00AC3DDE">
              <w:rPr>
                <w:rFonts w:cs="Calibri"/>
              </w:rPr>
              <w:t>Note 5</w:t>
            </w:r>
            <w:r w:rsidR="00AE70BA" w:rsidRPr="00AC3DDE">
              <w:rPr>
                <w:rFonts w:cs="Calibri"/>
              </w:rPr>
              <w:t>0</w:t>
            </w:r>
          </w:p>
        </w:tc>
        <w:tc>
          <w:tcPr>
            <w:tcW w:w="112" w:type="pct"/>
            <w:tcBorders>
              <w:top w:val="nil"/>
              <w:left w:val="nil"/>
              <w:bottom w:val="nil"/>
              <w:right w:val="nil"/>
            </w:tcBorders>
          </w:tcPr>
          <w:p w14:paraId="351611B2" w14:textId="77777777" w:rsidR="000610F9" w:rsidRPr="00AC3DDE" w:rsidRDefault="000610F9" w:rsidP="005D1C4B">
            <w:pPr>
              <w:pStyle w:val="TableText"/>
              <w:tabs>
                <w:tab w:val="left" w:pos="3306"/>
              </w:tabs>
              <w:rPr>
                <w:rFonts w:cs="Calibri"/>
                <w:snapToGrid w:val="0"/>
              </w:rPr>
            </w:pPr>
          </w:p>
        </w:tc>
        <w:tc>
          <w:tcPr>
            <w:tcW w:w="3743" w:type="pct"/>
            <w:gridSpan w:val="2"/>
            <w:tcBorders>
              <w:top w:val="nil"/>
              <w:left w:val="nil"/>
              <w:bottom w:val="nil"/>
            </w:tcBorders>
          </w:tcPr>
          <w:p w14:paraId="2AB1A545" w14:textId="3136A2E8" w:rsidR="000610F9" w:rsidRPr="00AC3DDE" w:rsidRDefault="000610F9" w:rsidP="005D1C4B">
            <w:pPr>
              <w:pStyle w:val="TableText"/>
              <w:tabs>
                <w:tab w:val="left" w:pos="3306"/>
              </w:tabs>
              <w:rPr>
                <w:rFonts w:cs="Calibri"/>
              </w:rPr>
            </w:pPr>
            <w:r w:rsidRPr="00AC3DDE">
              <w:rPr>
                <w:rFonts w:cs="Calibri"/>
              </w:rPr>
              <w:t xml:space="preserve">Other Provisions – Territorial </w:t>
            </w:r>
          </w:p>
        </w:tc>
        <w:tc>
          <w:tcPr>
            <w:tcW w:w="404" w:type="pct"/>
            <w:gridSpan w:val="3"/>
            <w:tcBorders>
              <w:top w:val="nil"/>
              <w:bottom w:val="nil"/>
            </w:tcBorders>
          </w:tcPr>
          <w:p w14:paraId="7C1E061B" w14:textId="63B5D5EA" w:rsidR="000610F9" w:rsidRPr="00AC3DDE" w:rsidRDefault="000610F9" w:rsidP="005D1C4B">
            <w:pPr>
              <w:pStyle w:val="TableText"/>
              <w:tabs>
                <w:tab w:val="left" w:pos="3306"/>
              </w:tabs>
              <w:jc w:val="right"/>
              <w:rPr>
                <w:rFonts w:cs="Calibri"/>
                <w:snapToGrid w:val="0"/>
              </w:rPr>
            </w:pPr>
            <w:r w:rsidRPr="00AC3DDE">
              <w:rPr>
                <w:rFonts w:cs="Calibri"/>
                <w:snapToGrid w:val="0"/>
              </w:rPr>
              <w:t>XX</w:t>
            </w:r>
          </w:p>
        </w:tc>
      </w:tr>
      <w:tr w:rsidR="00AC3DDE" w:rsidRPr="00AC3DDE" w14:paraId="2C7DAFCB" w14:textId="77777777" w:rsidTr="003173AE">
        <w:tc>
          <w:tcPr>
            <w:tcW w:w="741" w:type="pct"/>
            <w:tcBorders>
              <w:top w:val="nil"/>
              <w:bottom w:val="nil"/>
            </w:tcBorders>
          </w:tcPr>
          <w:p w14:paraId="1F24E75B" w14:textId="48FF5367" w:rsidR="005D1C4B" w:rsidRPr="00AC3DDE" w:rsidRDefault="005D1C4B" w:rsidP="005D1C4B">
            <w:pPr>
              <w:pStyle w:val="TableText"/>
              <w:tabs>
                <w:tab w:val="left" w:pos="3306"/>
              </w:tabs>
              <w:rPr>
                <w:rFonts w:cs="Calibri"/>
              </w:rPr>
            </w:pPr>
            <w:r w:rsidRPr="00AC3DDE">
              <w:rPr>
                <w:rFonts w:cs="Calibri"/>
              </w:rPr>
              <w:t>Note 5</w:t>
            </w:r>
            <w:r w:rsidR="00AE70BA" w:rsidRPr="00AC3DDE">
              <w:rPr>
                <w:rFonts w:cs="Calibri"/>
              </w:rPr>
              <w:t>1</w:t>
            </w:r>
          </w:p>
        </w:tc>
        <w:tc>
          <w:tcPr>
            <w:tcW w:w="112" w:type="pct"/>
            <w:tcBorders>
              <w:top w:val="nil"/>
              <w:left w:val="nil"/>
              <w:bottom w:val="nil"/>
              <w:right w:val="nil"/>
            </w:tcBorders>
          </w:tcPr>
          <w:p w14:paraId="65CC54F0"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AE374F2" w14:textId="77777777" w:rsidR="005D1C4B" w:rsidRPr="00AC3DDE" w:rsidRDefault="005D1C4B" w:rsidP="005D1C4B">
            <w:pPr>
              <w:pStyle w:val="TableText"/>
              <w:tabs>
                <w:tab w:val="left" w:pos="3306"/>
              </w:tabs>
              <w:rPr>
                <w:rFonts w:cs="Calibri"/>
              </w:rPr>
            </w:pPr>
            <w:r w:rsidRPr="00AC3DDE">
              <w:rPr>
                <w:rFonts w:cs="Calibri"/>
              </w:rPr>
              <w:t>Other Liabilities – Territorial</w:t>
            </w:r>
          </w:p>
        </w:tc>
        <w:tc>
          <w:tcPr>
            <w:tcW w:w="404" w:type="pct"/>
            <w:gridSpan w:val="3"/>
            <w:tcBorders>
              <w:top w:val="nil"/>
              <w:bottom w:val="nil"/>
            </w:tcBorders>
          </w:tcPr>
          <w:p w14:paraId="330A4820" w14:textId="6CEEEF55"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3EAF7B1D" w14:textId="77777777" w:rsidTr="003173AE">
        <w:tc>
          <w:tcPr>
            <w:tcW w:w="741" w:type="pct"/>
            <w:tcBorders>
              <w:top w:val="nil"/>
              <w:bottom w:val="nil"/>
            </w:tcBorders>
          </w:tcPr>
          <w:p w14:paraId="6CCDD31D"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2F28ED9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03026B4"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6249A799" w14:textId="77777777" w:rsidR="005D1C4B" w:rsidRPr="00AC3DDE" w:rsidRDefault="005D1C4B" w:rsidP="005D1C4B">
            <w:pPr>
              <w:pStyle w:val="TableText"/>
              <w:tabs>
                <w:tab w:val="left" w:pos="3306"/>
              </w:tabs>
              <w:jc w:val="right"/>
              <w:rPr>
                <w:rFonts w:cs="Calibri"/>
                <w:snapToGrid w:val="0"/>
              </w:rPr>
            </w:pPr>
          </w:p>
        </w:tc>
      </w:tr>
      <w:tr w:rsidR="003173AE" w:rsidRPr="00AC3DDE" w14:paraId="08FEA38C" w14:textId="77777777" w:rsidTr="003173AE">
        <w:trPr>
          <w:gridAfter w:val="2"/>
          <w:wAfter w:w="49" w:type="pct"/>
        </w:trPr>
        <w:tc>
          <w:tcPr>
            <w:tcW w:w="4547" w:type="pct"/>
            <w:gridSpan w:val="3"/>
            <w:tcBorders>
              <w:top w:val="nil"/>
              <w:bottom w:val="nil"/>
            </w:tcBorders>
          </w:tcPr>
          <w:p w14:paraId="078B1AFE" w14:textId="77777777" w:rsidR="003173AE" w:rsidRPr="00AC3DDE" w:rsidRDefault="003173AE" w:rsidP="005D1C4B">
            <w:pPr>
              <w:pStyle w:val="TableText"/>
              <w:tabs>
                <w:tab w:val="left" w:pos="3306"/>
              </w:tabs>
              <w:rPr>
                <w:rFonts w:cs="Calibri"/>
              </w:rPr>
            </w:pPr>
            <w:r w:rsidRPr="00AC3DDE">
              <w:rPr>
                <w:rFonts w:cs="Calibri"/>
                <w:b/>
                <w:bCs/>
                <w:snapToGrid w:val="0"/>
              </w:rPr>
              <w:t>Other Notes</w:t>
            </w:r>
          </w:p>
        </w:tc>
        <w:tc>
          <w:tcPr>
            <w:tcW w:w="404" w:type="pct"/>
            <w:gridSpan w:val="2"/>
            <w:tcBorders>
              <w:top w:val="nil"/>
              <w:bottom w:val="nil"/>
            </w:tcBorders>
          </w:tcPr>
          <w:p w14:paraId="7E972F4D" w14:textId="77777777" w:rsidR="003173AE" w:rsidRPr="00AC3DDE" w:rsidRDefault="003173AE" w:rsidP="005D1C4B">
            <w:pPr>
              <w:pStyle w:val="TableText"/>
              <w:tabs>
                <w:tab w:val="left" w:pos="3306"/>
              </w:tabs>
              <w:jc w:val="right"/>
              <w:rPr>
                <w:rFonts w:cs="Calibri"/>
                <w:snapToGrid w:val="0"/>
              </w:rPr>
            </w:pPr>
          </w:p>
        </w:tc>
      </w:tr>
      <w:tr w:rsidR="00AC3DDE" w:rsidRPr="00AC3DDE" w14:paraId="44A0A739" w14:textId="77777777" w:rsidTr="003173AE">
        <w:tc>
          <w:tcPr>
            <w:tcW w:w="741" w:type="pct"/>
            <w:tcBorders>
              <w:top w:val="nil"/>
              <w:bottom w:val="nil"/>
            </w:tcBorders>
          </w:tcPr>
          <w:p w14:paraId="4EA9BEC5" w14:textId="54C57CAE" w:rsidR="005D1C4B" w:rsidRPr="00AC3DDE" w:rsidRDefault="005D1C4B" w:rsidP="005D1C4B">
            <w:pPr>
              <w:pStyle w:val="TableText"/>
              <w:tabs>
                <w:tab w:val="left" w:pos="3306"/>
              </w:tabs>
              <w:rPr>
                <w:rFonts w:cs="Calibri"/>
              </w:rPr>
            </w:pPr>
            <w:r w:rsidRPr="00AC3DDE">
              <w:rPr>
                <w:rFonts w:cs="Calibri"/>
              </w:rPr>
              <w:t>Note 5</w:t>
            </w:r>
            <w:r w:rsidR="00AE70BA" w:rsidRPr="00AC3DDE">
              <w:rPr>
                <w:rFonts w:cs="Calibri"/>
              </w:rPr>
              <w:t>2</w:t>
            </w:r>
          </w:p>
        </w:tc>
        <w:tc>
          <w:tcPr>
            <w:tcW w:w="112" w:type="pct"/>
            <w:tcBorders>
              <w:top w:val="nil"/>
              <w:left w:val="nil"/>
              <w:bottom w:val="nil"/>
              <w:right w:val="nil"/>
            </w:tcBorders>
          </w:tcPr>
          <w:p w14:paraId="61085FB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94CA249" w14:textId="77777777" w:rsidR="005D1C4B" w:rsidRPr="00AC3DDE" w:rsidRDefault="005D1C4B" w:rsidP="005D1C4B">
            <w:pPr>
              <w:pStyle w:val="TableText"/>
              <w:tabs>
                <w:tab w:val="left" w:pos="3306"/>
              </w:tabs>
              <w:rPr>
                <w:rFonts w:cs="Calibri"/>
              </w:rPr>
            </w:pPr>
            <w:r w:rsidRPr="00AC3DDE">
              <w:rPr>
                <w:rFonts w:cs="Calibri"/>
              </w:rPr>
              <w:t>Restructure of Administrative Arrangements – Territorial</w:t>
            </w:r>
          </w:p>
        </w:tc>
        <w:tc>
          <w:tcPr>
            <w:tcW w:w="404" w:type="pct"/>
            <w:gridSpan w:val="3"/>
            <w:tcBorders>
              <w:top w:val="nil"/>
              <w:bottom w:val="nil"/>
            </w:tcBorders>
          </w:tcPr>
          <w:p w14:paraId="2BFA83D7" w14:textId="42323454" w:rsidR="005D1C4B" w:rsidRPr="00AC3DDE" w:rsidRDefault="00BC2389" w:rsidP="005D1C4B">
            <w:pPr>
              <w:pStyle w:val="TableText"/>
              <w:tabs>
                <w:tab w:val="left" w:pos="3306"/>
              </w:tabs>
              <w:jc w:val="right"/>
              <w:rPr>
                <w:rFonts w:cs="Calibri"/>
                <w:snapToGrid w:val="0"/>
              </w:rPr>
            </w:pPr>
            <w:r w:rsidRPr="00AC3DDE">
              <w:rPr>
                <w:rFonts w:cs="Calibri"/>
                <w:snapToGrid w:val="0"/>
              </w:rPr>
              <w:t>X</w:t>
            </w:r>
            <w:r w:rsidR="00FF0025" w:rsidRPr="00AC3DDE">
              <w:rPr>
                <w:rFonts w:cs="Calibri"/>
                <w:snapToGrid w:val="0"/>
              </w:rPr>
              <w:t>X</w:t>
            </w:r>
          </w:p>
        </w:tc>
      </w:tr>
      <w:tr w:rsidR="00AC3DDE" w:rsidRPr="00AC3DDE" w14:paraId="2E26F841" w14:textId="77777777" w:rsidTr="003173AE">
        <w:tc>
          <w:tcPr>
            <w:tcW w:w="741" w:type="pct"/>
            <w:tcBorders>
              <w:top w:val="nil"/>
              <w:bottom w:val="nil"/>
            </w:tcBorders>
          </w:tcPr>
          <w:p w14:paraId="77A4E466" w14:textId="2DBD64C8" w:rsidR="005D1C4B" w:rsidRPr="00AC3DDE" w:rsidRDefault="005D1C4B" w:rsidP="005D1C4B">
            <w:pPr>
              <w:pStyle w:val="TableText"/>
              <w:tabs>
                <w:tab w:val="left" w:pos="3306"/>
              </w:tabs>
              <w:rPr>
                <w:rFonts w:cs="Calibri"/>
              </w:rPr>
            </w:pPr>
            <w:r w:rsidRPr="00AC3DDE">
              <w:rPr>
                <w:rFonts w:cs="Calibri"/>
              </w:rPr>
              <w:t>Note 5</w:t>
            </w:r>
            <w:r w:rsidR="00A7037A">
              <w:rPr>
                <w:rFonts w:cs="Calibri"/>
              </w:rPr>
              <w:t>3</w:t>
            </w:r>
          </w:p>
        </w:tc>
        <w:tc>
          <w:tcPr>
            <w:tcW w:w="112" w:type="pct"/>
            <w:tcBorders>
              <w:top w:val="nil"/>
              <w:left w:val="nil"/>
              <w:bottom w:val="nil"/>
              <w:right w:val="nil"/>
            </w:tcBorders>
          </w:tcPr>
          <w:p w14:paraId="0BDB0DE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DB0F94F" w14:textId="77777777" w:rsidR="005D1C4B" w:rsidRPr="00AC3DDE" w:rsidRDefault="005D1C4B" w:rsidP="005D1C4B">
            <w:pPr>
              <w:pStyle w:val="TableText"/>
              <w:tabs>
                <w:tab w:val="left" w:pos="3306"/>
              </w:tabs>
              <w:rPr>
                <w:rFonts w:cs="Calibri"/>
              </w:rPr>
            </w:pPr>
            <w:bookmarkStart w:id="922" w:name="_Hlk90026568"/>
            <w:r w:rsidRPr="00AC3DDE">
              <w:rPr>
                <w:rFonts w:cs="Calibri"/>
              </w:rPr>
              <w:t>Financial Instruments – Territorial</w:t>
            </w:r>
            <w:bookmarkEnd w:id="922"/>
          </w:p>
        </w:tc>
        <w:tc>
          <w:tcPr>
            <w:tcW w:w="404" w:type="pct"/>
            <w:gridSpan w:val="3"/>
            <w:tcBorders>
              <w:top w:val="nil"/>
              <w:bottom w:val="nil"/>
            </w:tcBorders>
          </w:tcPr>
          <w:p w14:paraId="395933DA" w14:textId="04514761"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201B60A" w14:textId="77777777" w:rsidTr="003173AE">
        <w:tc>
          <w:tcPr>
            <w:tcW w:w="741" w:type="pct"/>
            <w:tcBorders>
              <w:top w:val="nil"/>
              <w:bottom w:val="nil"/>
            </w:tcBorders>
          </w:tcPr>
          <w:p w14:paraId="280EA916" w14:textId="28E6BB69" w:rsidR="005D1C4B" w:rsidRPr="00AC3DDE" w:rsidRDefault="005D1C4B" w:rsidP="005D1C4B">
            <w:pPr>
              <w:pStyle w:val="TableText"/>
              <w:tabs>
                <w:tab w:val="left" w:pos="3306"/>
              </w:tabs>
              <w:rPr>
                <w:rFonts w:cs="Calibri"/>
              </w:rPr>
            </w:pPr>
            <w:r w:rsidRPr="00AC3DDE">
              <w:rPr>
                <w:rFonts w:cs="Calibri"/>
              </w:rPr>
              <w:t>Note 5</w:t>
            </w:r>
            <w:r w:rsidR="00A7037A">
              <w:rPr>
                <w:rFonts w:cs="Calibri"/>
              </w:rPr>
              <w:t>4</w:t>
            </w:r>
          </w:p>
        </w:tc>
        <w:tc>
          <w:tcPr>
            <w:tcW w:w="112" w:type="pct"/>
            <w:tcBorders>
              <w:top w:val="nil"/>
              <w:left w:val="nil"/>
              <w:bottom w:val="nil"/>
              <w:right w:val="nil"/>
            </w:tcBorders>
          </w:tcPr>
          <w:p w14:paraId="557971C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2F0FCA3F" w14:textId="77777777" w:rsidR="005D1C4B" w:rsidRPr="00AC3DDE" w:rsidRDefault="005D1C4B" w:rsidP="005D1C4B">
            <w:pPr>
              <w:pStyle w:val="TableText"/>
              <w:tabs>
                <w:tab w:val="left" w:pos="3306"/>
              </w:tabs>
              <w:rPr>
                <w:rFonts w:cs="Calibri"/>
              </w:rPr>
            </w:pPr>
            <w:r w:rsidRPr="00AC3DDE">
              <w:rPr>
                <w:rFonts w:cs="Calibri"/>
              </w:rPr>
              <w:t>Commitments – Territorial</w:t>
            </w:r>
          </w:p>
        </w:tc>
        <w:tc>
          <w:tcPr>
            <w:tcW w:w="404" w:type="pct"/>
            <w:gridSpan w:val="3"/>
            <w:tcBorders>
              <w:top w:val="nil"/>
              <w:bottom w:val="nil"/>
            </w:tcBorders>
          </w:tcPr>
          <w:p w14:paraId="0BCEA7A2" w14:textId="34E5EF4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277FBE9" w14:textId="77777777" w:rsidTr="003173AE">
        <w:tc>
          <w:tcPr>
            <w:tcW w:w="741" w:type="pct"/>
            <w:tcBorders>
              <w:top w:val="nil"/>
              <w:bottom w:val="nil"/>
            </w:tcBorders>
          </w:tcPr>
          <w:p w14:paraId="66B15C59" w14:textId="2C0D332E" w:rsidR="005D1C4B" w:rsidRPr="00AC3DDE" w:rsidRDefault="005D1C4B" w:rsidP="005D1C4B">
            <w:pPr>
              <w:pStyle w:val="TableText"/>
              <w:tabs>
                <w:tab w:val="left" w:pos="3306"/>
              </w:tabs>
              <w:rPr>
                <w:rFonts w:cs="Calibri"/>
              </w:rPr>
            </w:pPr>
            <w:r w:rsidRPr="00AC3DDE">
              <w:rPr>
                <w:rFonts w:cs="Calibri"/>
              </w:rPr>
              <w:t>Note 5</w:t>
            </w:r>
            <w:r w:rsidR="00A7037A">
              <w:rPr>
                <w:rFonts w:cs="Calibri"/>
              </w:rPr>
              <w:t>5</w:t>
            </w:r>
          </w:p>
        </w:tc>
        <w:tc>
          <w:tcPr>
            <w:tcW w:w="112" w:type="pct"/>
            <w:tcBorders>
              <w:top w:val="nil"/>
              <w:left w:val="nil"/>
              <w:bottom w:val="nil"/>
              <w:right w:val="nil"/>
            </w:tcBorders>
          </w:tcPr>
          <w:p w14:paraId="3D309D72"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D14F376" w14:textId="77777777" w:rsidR="005D1C4B" w:rsidRPr="00AC3DDE" w:rsidRDefault="005D1C4B" w:rsidP="005D1C4B">
            <w:pPr>
              <w:pStyle w:val="TableText"/>
              <w:tabs>
                <w:tab w:val="left" w:pos="3306"/>
              </w:tabs>
              <w:rPr>
                <w:rFonts w:cs="Calibri"/>
              </w:rPr>
            </w:pPr>
            <w:r w:rsidRPr="00AC3DDE">
              <w:rPr>
                <w:rFonts w:cs="Calibri"/>
              </w:rPr>
              <w:t>Contingent Liabilities and Contingent Assets – Territorial</w:t>
            </w:r>
          </w:p>
        </w:tc>
        <w:tc>
          <w:tcPr>
            <w:tcW w:w="404" w:type="pct"/>
            <w:gridSpan w:val="3"/>
            <w:tcBorders>
              <w:top w:val="nil"/>
              <w:bottom w:val="nil"/>
            </w:tcBorders>
          </w:tcPr>
          <w:p w14:paraId="77CCAF8F" w14:textId="52A1B33E"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6FEB3289" w14:textId="77777777" w:rsidTr="003173AE">
        <w:tc>
          <w:tcPr>
            <w:tcW w:w="741" w:type="pct"/>
            <w:tcBorders>
              <w:top w:val="nil"/>
            </w:tcBorders>
          </w:tcPr>
          <w:p w14:paraId="5007CFF8" w14:textId="3D4494E9" w:rsidR="005D1C4B" w:rsidRPr="00AC3DDE" w:rsidRDefault="005D1C4B" w:rsidP="005D1C4B">
            <w:pPr>
              <w:pStyle w:val="TableText"/>
              <w:tabs>
                <w:tab w:val="left" w:pos="3306"/>
              </w:tabs>
              <w:rPr>
                <w:rFonts w:cs="Calibri"/>
              </w:rPr>
            </w:pPr>
            <w:r w:rsidRPr="00AC3DDE">
              <w:rPr>
                <w:rFonts w:cs="Calibri"/>
              </w:rPr>
              <w:t xml:space="preserve">Note </w:t>
            </w:r>
            <w:r w:rsidR="009658BF" w:rsidRPr="00AC3DDE">
              <w:rPr>
                <w:rFonts w:cs="Calibri"/>
              </w:rPr>
              <w:t>5</w:t>
            </w:r>
            <w:r w:rsidR="00A7037A">
              <w:rPr>
                <w:rFonts w:cs="Calibri"/>
              </w:rPr>
              <w:t>6</w:t>
            </w:r>
          </w:p>
        </w:tc>
        <w:tc>
          <w:tcPr>
            <w:tcW w:w="112" w:type="pct"/>
            <w:tcBorders>
              <w:top w:val="nil"/>
              <w:left w:val="nil"/>
              <w:right w:val="nil"/>
            </w:tcBorders>
          </w:tcPr>
          <w:p w14:paraId="56C22B05"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tcBorders>
          </w:tcPr>
          <w:p w14:paraId="71F94C0F" w14:textId="77777777" w:rsidR="005D1C4B" w:rsidRPr="00AC3DDE" w:rsidRDefault="005D1C4B" w:rsidP="005D1C4B">
            <w:pPr>
              <w:pStyle w:val="TableText"/>
              <w:tabs>
                <w:tab w:val="left" w:pos="3306"/>
              </w:tabs>
              <w:rPr>
                <w:rFonts w:cs="Calibri"/>
              </w:rPr>
            </w:pPr>
            <w:r w:rsidRPr="00AC3DDE">
              <w:rPr>
                <w:rFonts w:cs="Calibri"/>
              </w:rPr>
              <w:t>Events after the Reporting Period – Territorial</w:t>
            </w:r>
          </w:p>
        </w:tc>
        <w:tc>
          <w:tcPr>
            <w:tcW w:w="404" w:type="pct"/>
            <w:gridSpan w:val="3"/>
            <w:tcBorders>
              <w:top w:val="nil"/>
            </w:tcBorders>
          </w:tcPr>
          <w:p w14:paraId="03E7D536" w14:textId="432D99A2"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11FE12E" w14:textId="77777777" w:rsidTr="003173AE">
        <w:tc>
          <w:tcPr>
            <w:tcW w:w="741" w:type="pct"/>
            <w:tcBorders>
              <w:top w:val="nil"/>
            </w:tcBorders>
          </w:tcPr>
          <w:p w14:paraId="2CFE9B45" w14:textId="38F60282" w:rsidR="005D1C4B" w:rsidRPr="00AC3DDE" w:rsidRDefault="005D1C4B" w:rsidP="005D1C4B">
            <w:pPr>
              <w:pStyle w:val="TableText"/>
              <w:tabs>
                <w:tab w:val="left" w:pos="3306"/>
              </w:tabs>
              <w:rPr>
                <w:rFonts w:cs="Calibri"/>
              </w:rPr>
            </w:pPr>
            <w:r w:rsidRPr="00AC3DDE">
              <w:rPr>
                <w:rFonts w:cs="Calibri"/>
              </w:rPr>
              <w:t xml:space="preserve">Note </w:t>
            </w:r>
            <w:r w:rsidR="006C5890" w:rsidRPr="00AC3DDE">
              <w:rPr>
                <w:rFonts w:cs="Calibri"/>
              </w:rPr>
              <w:t>5</w:t>
            </w:r>
            <w:r w:rsidR="00A7037A">
              <w:rPr>
                <w:rFonts w:cs="Calibri"/>
              </w:rPr>
              <w:t>7</w:t>
            </w:r>
          </w:p>
        </w:tc>
        <w:tc>
          <w:tcPr>
            <w:tcW w:w="112" w:type="pct"/>
            <w:tcBorders>
              <w:top w:val="nil"/>
              <w:left w:val="nil"/>
            </w:tcBorders>
          </w:tcPr>
          <w:p w14:paraId="3E97765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tcBorders>
          </w:tcPr>
          <w:p w14:paraId="53A2C982" w14:textId="77777777" w:rsidR="005D1C4B" w:rsidRPr="00AC3DDE" w:rsidRDefault="005D1C4B" w:rsidP="005D1C4B">
            <w:pPr>
              <w:pStyle w:val="TableText"/>
              <w:tabs>
                <w:tab w:val="left" w:pos="3306"/>
              </w:tabs>
              <w:rPr>
                <w:rFonts w:cs="Calibri"/>
              </w:rPr>
            </w:pPr>
            <w:r w:rsidRPr="00AC3DDE">
              <w:rPr>
                <w:rFonts w:cs="Calibri"/>
              </w:rPr>
              <w:t xml:space="preserve">Related Party Disclosures – Territorial </w:t>
            </w:r>
          </w:p>
        </w:tc>
        <w:tc>
          <w:tcPr>
            <w:tcW w:w="404" w:type="pct"/>
            <w:gridSpan w:val="3"/>
            <w:tcBorders>
              <w:top w:val="nil"/>
            </w:tcBorders>
          </w:tcPr>
          <w:p w14:paraId="27195007" w14:textId="03276118"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0730F36" w14:textId="77777777" w:rsidTr="003173AE">
        <w:tc>
          <w:tcPr>
            <w:tcW w:w="741" w:type="pct"/>
          </w:tcPr>
          <w:p w14:paraId="0F0E63E0" w14:textId="15BDD700" w:rsidR="005D1C4B" w:rsidRPr="00AC3DDE" w:rsidRDefault="005D1C4B" w:rsidP="005D1C4B">
            <w:pPr>
              <w:pStyle w:val="TableText"/>
              <w:tabs>
                <w:tab w:val="left" w:pos="3306"/>
              </w:tabs>
              <w:rPr>
                <w:rFonts w:cs="Calibri"/>
              </w:rPr>
            </w:pPr>
            <w:r w:rsidRPr="00AC3DDE">
              <w:rPr>
                <w:rFonts w:cs="Calibri"/>
              </w:rPr>
              <w:t xml:space="preserve">Note </w:t>
            </w:r>
            <w:r w:rsidR="00AE70BA" w:rsidRPr="00AC3DDE">
              <w:rPr>
                <w:rFonts w:cs="Calibri"/>
              </w:rPr>
              <w:t>5</w:t>
            </w:r>
            <w:r w:rsidR="00A7037A">
              <w:rPr>
                <w:rFonts w:cs="Calibri"/>
              </w:rPr>
              <w:t>8</w:t>
            </w:r>
          </w:p>
        </w:tc>
        <w:tc>
          <w:tcPr>
            <w:tcW w:w="112" w:type="pct"/>
            <w:tcBorders>
              <w:left w:val="nil"/>
              <w:right w:val="nil"/>
            </w:tcBorders>
          </w:tcPr>
          <w:p w14:paraId="361A4AC3"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tcBorders>
          </w:tcPr>
          <w:p w14:paraId="29B2F222" w14:textId="652872CA" w:rsidR="005D1C4B" w:rsidRPr="00AC3DDE" w:rsidRDefault="005D1C4B" w:rsidP="005D1C4B">
            <w:pPr>
              <w:pStyle w:val="TableText"/>
              <w:tabs>
                <w:tab w:val="left" w:pos="3306"/>
              </w:tabs>
              <w:rPr>
                <w:rFonts w:cs="Calibri"/>
              </w:rPr>
            </w:pPr>
            <w:r w:rsidRPr="00AC3DDE">
              <w:rPr>
                <w:rFonts w:cs="Calibri"/>
              </w:rPr>
              <w:t xml:space="preserve">Budgetary Reporting </w:t>
            </w:r>
            <w:r w:rsidR="00FE5846" w:rsidRPr="00AC3DDE">
              <w:rPr>
                <w:rFonts w:cs="Calibri"/>
              </w:rPr>
              <w:t>– Territorial</w:t>
            </w:r>
          </w:p>
        </w:tc>
        <w:tc>
          <w:tcPr>
            <w:tcW w:w="404" w:type="pct"/>
            <w:gridSpan w:val="3"/>
          </w:tcPr>
          <w:p w14:paraId="50FFCD47" w14:textId="48EEE9C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52A76E9" w14:textId="77777777" w:rsidTr="003173AE">
        <w:tc>
          <w:tcPr>
            <w:tcW w:w="741" w:type="pct"/>
          </w:tcPr>
          <w:p w14:paraId="388639FD" w14:textId="77777777" w:rsidR="00300197" w:rsidRPr="00AC3DDE" w:rsidRDefault="00300197" w:rsidP="005D1C4B">
            <w:pPr>
              <w:pStyle w:val="TableText"/>
              <w:tabs>
                <w:tab w:val="left" w:pos="3306"/>
              </w:tabs>
              <w:rPr>
                <w:rFonts w:cs="Calibri"/>
              </w:rPr>
            </w:pPr>
          </w:p>
        </w:tc>
        <w:tc>
          <w:tcPr>
            <w:tcW w:w="112" w:type="pct"/>
            <w:tcBorders>
              <w:left w:val="nil"/>
              <w:right w:val="nil"/>
            </w:tcBorders>
          </w:tcPr>
          <w:p w14:paraId="106B6CC4" w14:textId="77777777" w:rsidR="00300197" w:rsidRPr="00AC3DDE" w:rsidRDefault="00300197" w:rsidP="005D1C4B">
            <w:pPr>
              <w:pStyle w:val="TableText"/>
              <w:tabs>
                <w:tab w:val="left" w:pos="3306"/>
              </w:tabs>
              <w:rPr>
                <w:rFonts w:cs="Calibri"/>
                <w:snapToGrid w:val="0"/>
              </w:rPr>
            </w:pPr>
          </w:p>
        </w:tc>
        <w:tc>
          <w:tcPr>
            <w:tcW w:w="3743" w:type="pct"/>
            <w:gridSpan w:val="2"/>
            <w:tcBorders>
              <w:left w:val="nil"/>
            </w:tcBorders>
          </w:tcPr>
          <w:p w14:paraId="0438441E" w14:textId="77777777" w:rsidR="00300197" w:rsidRPr="00AC3DDE" w:rsidRDefault="00300197" w:rsidP="005D1C4B">
            <w:pPr>
              <w:pStyle w:val="TableText"/>
              <w:tabs>
                <w:tab w:val="left" w:pos="3306"/>
              </w:tabs>
              <w:rPr>
                <w:rFonts w:cs="Calibri"/>
              </w:rPr>
            </w:pPr>
          </w:p>
        </w:tc>
        <w:tc>
          <w:tcPr>
            <w:tcW w:w="404" w:type="pct"/>
            <w:gridSpan w:val="3"/>
          </w:tcPr>
          <w:p w14:paraId="7D99ED1D" w14:textId="77777777" w:rsidR="00300197" w:rsidRPr="00AC3DDE" w:rsidRDefault="00300197" w:rsidP="005D1C4B">
            <w:pPr>
              <w:pStyle w:val="TableText"/>
              <w:tabs>
                <w:tab w:val="left" w:pos="3306"/>
              </w:tabs>
              <w:jc w:val="right"/>
              <w:rPr>
                <w:rFonts w:cs="Calibri"/>
                <w:snapToGrid w:val="0"/>
              </w:rPr>
            </w:pPr>
          </w:p>
        </w:tc>
      </w:tr>
      <w:tr w:rsidR="00D239F9" w:rsidRPr="00AC3DDE" w14:paraId="6B79B9FF" w14:textId="77777777" w:rsidTr="003173AE">
        <w:tc>
          <w:tcPr>
            <w:tcW w:w="741" w:type="pct"/>
          </w:tcPr>
          <w:p w14:paraId="42F6BB9D" w14:textId="77777777" w:rsidR="00D239F9" w:rsidRPr="00AC3DDE" w:rsidRDefault="00D239F9" w:rsidP="005D1C4B">
            <w:pPr>
              <w:pStyle w:val="TableText"/>
              <w:tabs>
                <w:tab w:val="left" w:pos="3306"/>
              </w:tabs>
              <w:rPr>
                <w:rFonts w:cs="Calibri"/>
              </w:rPr>
            </w:pPr>
          </w:p>
        </w:tc>
        <w:tc>
          <w:tcPr>
            <w:tcW w:w="112" w:type="pct"/>
            <w:tcBorders>
              <w:left w:val="nil"/>
              <w:right w:val="nil"/>
            </w:tcBorders>
          </w:tcPr>
          <w:p w14:paraId="0E885B57" w14:textId="77777777" w:rsidR="00D239F9" w:rsidRPr="00AC3DDE" w:rsidRDefault="00D239F9" w:rsidP="005D1C4B">
            <w:pPr>
              <w:pStyle w:val="TableText"/>
              <w:tabs>
                <w:tab w:val="left" w:pos="3306"/>
              </w:tabs>
              <w:rPr>
                <w:rFonts w:cs="Calibri"/>
                <w:snapToGrid w:val="0"/>
              </w:rPr>
            </w:pPr>
          </w:p>
        </w:tc>
        <w:tc>
          <w:tcPr>
            <w:tcW w:w="3743" w:type="pct"/>
            <w:gridSpan w:val="2"/>
            <w:tcBorders>
              <w:left w:val="nil"/>
            </w:tcBorders>
          </w:tcPr>
          <w:p w14:paraId="2024E243" w14:textId="77777777" w:rsidR="00D239F9" w:rsidRPr="00AC3DDE" w:rsidRDefault="00D239F9" w:rsidP="005D1C4B">
            <w:pPr>
              <w:pStyle w:val="TableText"/>
              <w:tabs>
                <w:tab w:val="left" w:pos="3306"/>
              </w:tabs>
              <w:rPr>
                <w:rFonts w:cs="Calibri"/>
              </w:rPr>
            </w:pPr>
          </w:p>
        </w:tc>
        <w:tc>
          <w:tcPr>
            <w:tcW w:w="404" w:type="pct"/>
            <w:gridSpan w:val="3"/>
          </w:tcPr>
          <w:p w14:paraId="4208ED05" w14:textId="77777777" w:rsidR="00D239F9" w:rsidRPr="00AC3DDE" w:rsidRDefault="00D239F9" w:rsidP="005D1C4B">
            <w:pPr>
              <w:pStyle w:val="TableText"/>
              <w:tabs>
                <w:tab w:val="left" w:pos="3306"/>
              </w:tabs>
              <w:jc w:val="right"/>
              <w:rPr>
                <w:rFonts w:cs="Calibri"/>
                <w:snapToGrid w:val="0"/>
              </w:rPr>
            </w:pPr>
          </w:p>
        </w:tc>
      </w:tr>
      <w:bookmarkEnd w:id="915"/>
      <w:tr w:rsidR="00300197" w:rsidRPr="00300197" w14:paraId="37E4F9AF"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3D6D84ED" w14:textId="0C638C12" w:rsidR="00300197" w:rsidRPr="00C203AE" w:rsidRDefault="00636619" w:rsidP="00C24DC3">
            <w:pPr>
              <w:pStyle w:val="TableReference"/>
              <w:tabs>
                <w:tab w:val="left" w:pos="3306"/>
              </w:tabs>
              <w:spacing w:before="240" w:after="240"/>
              <w:rPr>
                <w:rFonts w:cs="Calibri"/>
                <w:b/>
                <w:color w:val="7030A0"/>
                <w:sz w:val="20"/>
                <w:szCs w:val="20"/>
              </w:rPr>
            </w:pPr>
            <w:r w:rsidRPr="00C203AE">
              <w:rPr>
                <w:rFonts w:cs="Calibri"/>
                <w:b/>
                <w:color w:val="7030A0"/>
                <w:sz w:val="22"/>
                <w:szCs w:val="22"/>
              </w:rPr>
              <w:t>Reference</w:t>
            </w:r>
          </w:p>
        </w:tc>
        <w:tc>
          <w:tcPr>
            <w:tcW w:w="4247" w:type="pct"/>
            <w:gridSpan w:val="5"/>
            <w:tcBorders>
              <w:left w:val="single" w:sz="2" w:space="0" w:color="auto"/>
            </w:tcBorders>
            <w:shd w:val="clear" w:color="auto" w:fill="7030A0"/>
          </w:tcPr>
          <w:p w14:paraId="2D913D2F" w14:textId="7CE8A6AB" w:rsidR="00300197" w:rsidRPr="00C203AE" w:rsidRDefault="00300197"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 xml:space="preserve">Commentary </w:t>
            </w:r>
            <w:r w:rsidRPr="00C203AE">
              <w:rPr>
                <w:rFonts w:asciiTheme="minorHAnsi" w:hAnsiTheme="minorHAnsi"/>
                <w:bCs w:val="0"/>
                <w:color w:val="FFFFFF" w:themeColor="background1"/>
                <w:sz w:val="28"/>
                <w:szCs w:val="28"/>
              </w:rPr>
              <w:sym w:font="Symbol" w:char="F02D"/>
            </w:r>
            <w:r w:rsidRPr="00C203AE">
              <w:rPr>
                <w:rFonts w:asciiTheme="minorHAnsi" w:hAnsiTheme="minorHAnsi"/>
                <w:bCs w:val="0"/>
                <w:color w:val="FFFFFF" w:themeColor="background1"/>
                <w:sz w:val="28"/>
                <w:szCs w:val="28"/>
              </w:rPr>
              <w:t xml:space="preserve"> Content of Territorial Financial Statements</w:t>
            </w:r>
          </w:p>
        </w:tc>
      </w:tr>
      <w:tr w:rsidR="00300197" w:rsidRPr="00300197" w14:paraId="55E6BA6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64B7E98"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79448D1E" w14:textId="1A1015A4" w:rsidR="00300197" w:rsidRPr="00C203AE" w:rsidRDefault="00300197" w:rsidP="003173AE">
            <w:pPr>
              <w:pStyle w:val="CommentaryHeading"/>
              <w:tabs>
                <w:tab w:val="left" w:pos="3306"/>
              </w:tabs>
              <w:spacing w:before="0" w:after="40"/>
              <w:rPr>
                <w:rFonts w:cs="Calibri"/>
                <w:color w:val="FFFFFF" w:themeColor="background1"/>
              </w:rPr>
            </w:pPr>
            <w:r w:rsidRPr="00C203AE">
              <w:rPr>
                <w:rFonts w:cs="Calibri"/>
                <w:color w:val="FFFFFF" w:themeColor="background1"/>
              </w:rPr>
              <w:t xml:space="preserve">Presentation of </w:t>
            </w:r>
            <w:r w:rsidR="003C7A22" w:rsidRPr="00C203AE">
              <w:rPr>
                <w:rFonts w:cs="Calibri"/>
                <w:color w:val="FFFFFF" w:themeColor="background1"/>
              </w:rPr>
              <w:t xml:space="preserve">Statements and </w:t>
            </w:r>
            <w:r w:rsidRPr="00C203AE">
              <w:rPr>
                <w:rFonts w:cs="Calibri"/>
                <w:color w:val="FFFFFF" w:themeColor="background1"/>
              </w:rPr>
              <w:t>Notes</w:t>
            </w:r>
          </w:p>
        </w:tc>
      </w:tr>
      <w:tr w:rsidR="00300197" w:rsidRPr="00300197" w14:paraId="7BBBAE2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0F8AAB43" w14:textId="77777777" w:rsidR="00300197" w:rsidRPr="00C203AE" w:rsidRDefault="00300197" w:rsidP="009A0F2F">
            <w:pPr>
              <w:pStyle w:val="TableReference"/>
              <w:tabs>
                <w:tab w:val="left" w:pos="3306"/>
              </w:tabs>
              <w:spacing w:before="60"/>
              <w:rPr>
                <w:rFonts w:cs="Calibri"/>
                <w:color w:val="7030A0"/>
              </w:rPr>
            </w:pPr>
            <w:r w:rsidRPr="00C203AE">
              <w:rPr>
                <w:rFonts w:cs="Calibri"/>
                <w:color w:val="7030A0"/>
              </w:rPr>
              <w:t xml:space="preserve"> </w:t>
            </w:r>
          </w:p>
        </w:tc>
        <w:tc>
          <w:tcPr>
            <w:tcW w:w="4247" w:type="pct"/>
            <w:gridSpan w:val="5"/>
            <w:tcBorders>
              <w:left w:val="single" w:sz="2" w:space="0" w:color="auto"/>
            </w:tcBorders>
            <w:shd w:val="clear" w:color="auto" w:fill="7030A0"/>
          </w:tcPr>
          <w:p w14:paraId="55D8DDA4" w14:textId="23CD4479"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 xml:space="preserve">It is not compulsory to have an index to the </w:t>
            </w:r>
            <w:r w:rsidR="003C7A22" w:rsidRPr="00C203AE">
              <w:rPr>
                <w:rFonts w:cs="Calibri"/>
                <w:color w:val="FFFFFF" w:themeColor="background1"/>
                <w:sz w:val="18"/>
                <w:szCs w:val="18"/>
              </w:rPr>
              <w:t xml:space="preserve">financial statements and </w:t>
            </w:r>
            <w:r w:rsidRPr="00C203AE">
              <w:rPr>
                <w:rFonts w:cs="Calibri"/>
                <w:color w:val="FFFFFF" w:themeColor="background1"/>
                <w:sz w:val="18"/>
                <w:szCs w:val="18"/>
              </w:rPr>
              <w:t xml:space="preserve">notes to the financial statements, however, it is recommended as this helps users to quickly access a particular </w:t>
            </w:r>
            <w:r w:rsidR="003C7A22" w:rsidRPr="00C203AE">
              <w:rPr>
                <w:rFonts w:cs="Calibri"/>
                <w:color w:val="FFFFFF" w:themeColor="background1"/>
                <w:sz w:val="18"/>
                <w:szCs w:val="18"/>
              </w:rPr>
              <w:t xml:space="preserve">statement or </w:t>
            </w:r>
            <w:r w:rsidRPr="00C203AE">
              <w:rPr>
                <w:rFonts w:cs="Calibri"/>
                <w:color w:val="FFFFFF" w:themeColor="background1"/>
                <w:sz w:val="18"/>
                <w:szCs w:val="18"/>
              </w:rPr>
              <w:t>note.</w:t>
            </w:r>
            <w:r w:rsidR="00FA7C77">
              <w:rPr>
                <w:rFonts w:cs="Calibri"/>
                <w:color w:val="FFFFFF" w:themeColor="background1"/>
                <w:sz w:val="18"/>
                <w:szCs w:val="18"/>
              </w:rPr>
              <w:t xml:space="preserve"> </w:t>
            </w:r>
            <w:r w:rsidRPr="00C203AE">
              <w:rPr>
                <w:rFonts w:cs="Calibri"/>
                <w:color w:val="FFFFFF" w:themeColor="background1"/>
                <w:sz w:val="18"/>
                <w:szCs w:val="18"/>
              </w:rPr>
              <w:t xml:space="preserve">Notes </w:t>
            </w:r>
            <w:r w:rsidR="003C7A22" w:rsidRPr="00C203AE">
              <w:rPr>
                <w:rFonts w:cs="Calibri"/>
                <w:color w:val="FFFFFF" w:themeColor="background1"/>
                <w:sz w:val="18"/>
                <w:szCs w:val="18"/>
              </w:rPr>
              <w:t xml:space="preserve">and </w:t>
            </w:r>
            <w:r w:rsidRPr="00C203AE">
              <w:rPr>
                <w:rFonts w:cs="Calibri"/>
                <w:color w:val="FFFFFF" w:themeColor="background1"/>
                <w:sz w:val="18"/>
                <w:szCs w:val="18"/>
              </w:rPr>
              <w:t>the financial statements must be presented in a systematic manner and each item on a financial statement must be cross-referenced to any directly related information in the notes.</w:t>
            </w:r>
          </w:p>
        </w:tc>
      </w:tr>
      <w:tr w:rsidR="00300197" w:rsidRPr="00300197" w14:paraId="5AC1ED62"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A15C6C4"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607745E9" w14:textId="70A886D1" w:rsidR="00300197" w:rsidRPr="00C203AE" w:rsidRDefault="00300197" w:rsidP="009A0F2F">
            <w:pPr>
              <w:pStyle w:val="CommentaryHeading"/>
              <w:tabs>
                <w:tab w:val="left" w:pos="3306"/>
              </w:tabs>
              <w:spacing w:before="0" w:after="120"/>
              <w:jc w:val="both"/>
              <w:rPr>
                <w:rFonts w:cs="Calibri"/>
                <w:b w:val="0"/>
                <w:bCs w:val="0"/>
                <w:color w:val="FFFFFF" w:themeColor="background1"/>
                <w:sz w:val="18"/>
              </w:rPr>
            </w:pPr>
            <w:r w:rsidRPr="00C203AE">
              <w:rPr>
                <w:rFonts w:cs="Calibri"/>
                <w:b w:val="0"/>
                <w:bCs w:val="0"/>
                <w:color w:val="FFFFFF" w:themeColor="background1"/>
                <w:sz w:val="18"/>
              </w:rPr>
              <w:t xml:space="preserve">Page numbers are used in the </w:t>
            </w:r>
            <w:r w:rsidRPr="00C203AE">
              <w:rPr>
                <w:rFonts w:cs="Calibri"/>
                <w:b w:val="0"/>
                <w:color w:val="FFFFFF" w:themeColor="background1"/>
                <w:sz w:val="18"/>
              </w:rPr>
              <w:t xml:space="preserve">Models </w:t>
            </w:r>
            <w:r w:rsidRPr="00C203AE">
              <w:rPr>
                <w:rFonts w:cs="Calibri"/>
                <w:b w:val="0"/>
                <w:bCs w:val="0"/>
                <w:color w:val="FFFFFF" w:themeColor="background1"/>
                <w:sz w:val="18"/>
              </w:rPr>
              <w:t>for ease of reference.</w:t>
            </w:r>
            <w:r w:rsidR="00FA7C77">
              <w:rPr>
                <w:rFonts w:cs="Calibri"/>
                <w:b w:val="0"/>
                <w:bCs w:val="0"/>
                <w:color w:val="FFFFFF" w:themeColor="background1"/>
                <w:sz w:val="18"/>
              </w:rPr>
              <w:t xml:space="preserve"> </w:t>
            </w:r>
            <w:r w:rsidRPr="00C203AE">
              <w:rPr>
                <w:rFonts w:cs="Calibri"/>
                <w:b w:val="0"/>
                <w:color w:val="FFFFFF" w:themeColor="background1"/>
                <w:sz w:val="18"/>
              </w:rPr>
              <w:t>Agencies</w:t>
            </w:r>
            <w:r w:rsidRPr="00C203AE">
              <w:rPr>
                <w:rFonts w:cs="Calibri"/>
                <w:color w:val="FFFFFF" w:themeColor="background1"/>
                <w:sz w:val="18"/>
              </w:rPr>
              <w:t xml:space="preserve"> </w:t>
            </w:r>
            <w:r w:rsidRPr="00C203AE">
              <w:rPr>
                <w:rFonts w:cs="Calibri"/>
                <w:b w:val="0"/>
                <w:bCs w:val="0"/>
                <w:color w:val="FFFFFF" w:themeColor="background1"/>
                <w:sz w:val="18"/>
              </w:rPr>
              <w:t>are not required to include page numbers in the</w:t>
            </w:r>
            <w:r w:rsidR="003C7A22" w:rsidRPr="00C203AE">
              <w:rPr>
                <w:rFonts w:cs="Calibri"/>
                <w:b w:val="0"/>
                <w:bCs w:val="0"/>
                <w:color w:val="FFFFFF" w:themeColor="background1"/>
                <w:sz w:val="18"/>
              </w:rPr>
              <w:t xml:space="preserve"> table of contents</w:t>
            </w:r>
            <w:r w:rsidRPr="00C203AE">
              <w:rPr>
                <w:rFonts w:cs="Calibri"/>
                <w:b w:val="0"/>
                <w:bCs w:val="0"/>
                <w:color w:val="FFFFFF" w:themeColor="background1"/>
                <w:sz w:val="18"/>
              </w:rPr>
              <w:t xml:space="preserve"> due to the difficulty in knowing what page numbers the financial statement will have in the Annual Report.</w:t>
            </w:r>
          </w:p>
        </w:tc>
      </w:tr>
      <w:tr w:rsidR="00300197" w:rsidRPr="00300197" w14:paraId="6C0B37B4"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5CBCBE76" w14:textId="77777777" w:rsidR="00300197" w:rsidRPr="00C203AE" w:rsidRDefault="00300197" w:rsidP="009A0F2F">
            <w:pPr>
              <w:pStyle w:val="TableReference"/>
              <w:tabs>
                <w:tab w:val="left" w:pos="3306"/>
              </w:tabs>
              <w:spacing w:before="60"/>
              <w:rPr>
                <w:rFonts w:cs="Calibri"/>
                <w:color w:val="7030A0"/>
              </w:rPr>
            </w:pPr>
          </w:p>
        </w:tc>
        <w:tc>
          <w:tcPr>
            <w:tcW w:w="4247" w:type="pct"/>
            <w:gridSpan w:val="5"/>
            <w:tcBorders>
              <w:left w:val="single" w:sz="2" w:space="0" w:color="auto"/>
            </w:tcBorders>
            <w:shd w:val="clear" w:color="auto" w:fill="7030A0"/>
          </w:tcPr>
          <w:p w14:paraId="4FE3AA5B" w14:textId="639D3184"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The notes to the financial statements are to provide details of each class of income, expense, asset and liability.</w:t>
            </w:r>
            <w:r w:rsidR="00FA7C77">
              <w:rPr>
                <w:rFonts w:cs="Calibri"/>
                <w:color w:val="FFFFFF" w:themeColor="background1"/>
                <w:sz w:val="18"/>
                <w:szCs w:val="18"/>
              </w:rPr>
              <w:t xml:space="preserve"> </w:t>
            </w:r>
            <w:r w:rsidRPr="00C203AE">
              <w:rPr>
                <w:rFonts w:cs="Calibri"/>
                <w:color w:val="FFFFFF" w:themeColor="background1"/>
                <w:sz w:val="18"/>
                <w:szCs w:val="18"/>
              </w:rPr>
              <w:t>Each note should disclose all material line items within that class.</w:t>
            </w:r>
          </w:p>
        </w:tc>
      </w:tr>
      <w:bookmarkEnd w:id="910"/>
    </w:tbl>
    <w:p w14:paraId="560B52F2" w14:textId="77777777" w:rsidR="00232181" w:rsidRDefault="00232181" w:rsidP="00863311">
      <w:pPr>
        <w:pStyle w:val="Title"/>
        <w:tabs>
          <w:tab w:val="left" w:pos="3306"/>
        </w:tabs>
        <w:spacing w:line="240" w:lineRule="auto"/>
        <w:outlineLvl w:val="0"/>
        <w:rPr>
          <w:rFonts w:cs="Calibri"/>
        </w:rPr>
        <w:sectPr w:rsidR="00232181" w:rsidSect="005006D4">
          <w:headerReference w:type="default" r:id="rId47"/>
          <w:footnotePr>
            <w:numRestart w:val="eachPage"/>
          </w:footnotePr>
          <w:pgSz w:w="11907" w:h="16840" w:code="9"/>
          <w:pgMar w:top="680" w:right="680" w:bottom="896" w:left="680" w:header="624" w:footer="284" w:gutter="0"/>
          <w:cols w:space="720"/>
        </w:sectPr>
      </w:pPr>
    </w:p>
    <w:p w14:paraId="0B79F1A6" w14:textId="17CB72BF" w:rsidR="00863311" w:rsidRPr="00C203AE" w:rsidRDefault="00863311" w:rsidP="00C203AE">
      <w:pPr>
        <w:spacing w:before="240" w:line="400" w:lineRule="exact"/>
        <w:jc w:val="center"/>
        <w:rPr>
          <w:b/>
          <w:sz w:val="40"/>
          <w:szCs w:val="40"/>
        </w:rPr>
      </w:pPr>
      <w:r w:rsidRPr="00C203AE">
        <w:rPr>
          <w:b/>
          <w:sz w:val="40"/>
          <w:szCs w:val="40"/>
        </w:rPr>
        <w:t>‘</w:t>
      </w:r>
      <w:bookmarkStart w:id="923" w:name="OLE_LINK29"/>
      <w:r w:rsidR="00027610" w:rsidRPr="00C203AE">
        <w:rPr>
          <w:b/>
          <w:sz w:val="40"/>
          <w:szCs w:val="40"/>
        </w:rPr>
        <w:t xml:space="preserve">Burley Griffin </w:t>
      </w:r>
      <w:bookmarkStart w:id="924" w:name="TStateIncomeExpenses"/>
      <w:bookmarkEnd w:id="924"/>
      <w:r w:rsidRPr="00C203AE">
        <w:rPr>
          <w:b/>
          <w:sz w:val="40"/>
          <w:szCs w:val="40"/>
        </w:rPr>
        <w:t>Agency’</w:t>
      </w:r>
      <w:bookmarkEnd w:id="911"/>
      <w:bookmarkEnd w:id="912"/>
    </w:p>
    <w:p w14:paraId="603817B6" w14:textId="77777777" w:rsidR="00863311" w:rsidRPr="00C203AE" w:rsidRDefault="00863311" w:rsidP="00226363">
      <w:pPr>
        <w:pStyle w:val="Subtitle"/>
        <w:spacing w:line="400" w:lineRule="exact"/>
        <w:rPr>
          <w:rFonts w:asciiTheme="minorHAnsi" w:hAnsiTheme="minorHAnsi" w:cstheme="minorHAnsi"/>
        </w:rPr>
      </w:pPr>
      <w:bookmarkStart w:id="925" w:name="_Toc49224250"/>
      <w:bookmarkStart w:id="926" w:name="_Toc50440406"/>
      <w:bookmarkStart w:id="927" w:name="_Toc223433218"/>
      <w:bookmarkStart w:id="928" w:name="_Toc400627367"/>
      <w:bookmarkStart w:id="929" w:name="_Toc132743839"/>
      <w:r w:rsidRPr="00C203AE">
        <w:rPr>
          <w:rFonts w:asciiTheme="minorHAnsi" w:hAnsiTheme="minorHAnsi" w:cstheme="minorHAnsi"/>
        </w:rPr>
        <w:t>Statement of Income and Expenses on Behalf of the Territory</w:t>
      </w:r>
      <w:bookmarkEnd w:id="925"/>
      <w:bookmarkEnd w:id="926"/>
      <w:bookmarkEnd w:id="927"/>
      <w:bookmarkEnd w:id="928"/>
      <w:bookmarkEnd w:id="929"/>
    </w:p>
    <w:p w14:paraId="62F299FA" w14:textId="1A9899C9" w:rsidR="00863311" w:rsidRPr="007D29FB" w:rsidRDefault="00863311" w:rsidP="00226363">
      <w:pPr>
        <w:spacing w:line="400" w:lineRule="exact"/>
        <w:jc w:val="center"/>
        <w:rPr>
          <w:b/>
          <w:sz w:val="40"/>
          <w:szCs w:val="40"/>
        </w:rPr>
      </w:pPr>
      <w:bookmarkStart w:id="930" w:name="_Toc48468769"/>
      <w:bookmarkStart w:id="931" w:name="_Toc49155840"/>
      <w:r w:rsidRPr="00C203AE">
        <w:rPr>
          <w:b/>
          <w:sz w:val="40"/>
          <w:szCs w:val="40"/>
        </w:rPr>
        <w:t xml:space="preserve">For the Year Ended </w:t>
      </w:r>
      <w:bookmarkEnd w:id="930"/>
      <w:bookmarkEnd w:id="931"/>
      <w:r w:rsidRPr="00C203AE">
        <w:rPr>
          <w:b/>
          <w:sz w:val="40"/>
          <w:szCs w:val="40"/>
        </w:rPr>
        <w:t xml:space="preserve">30 June </w:t>
      </w:r>
      <w:r w:rsidR="00C32BD7" w:rsidRPr="00C203AE">
        <w:rPr>
          <w:b/>
          <w:sz w:val="40"/>
          <w:szCs w:val="40"/>
        </w:rPr>
        <w:t>202</w:t>
      </w:r>
      <w:r w:rsidR="00B13049">
        <w:rPr>
          <w:b/>
          <w:sz w:val="40"/>
          <w:szCs w:val="40"/>
        </w:rPr>
        <w:t>3</w:t>
      </w:r>
    </w:p>
    <w:tbl>
      <w:tblPr>
        <w:tblW w:w="4922"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3"/>
        <w:gridCol w:w="5044"/>
        <w:gridCol w:w="703"/>
        <w:gridCol w:w="1123"/>
        <w:gridCol w:w="983"/>
        <w:gridCol w:w="984"/>
      </w:tblGrid>
      <w:tr w:rsidR="00863311" w:rsidRPr="00CF7E1B" w14:paraId="1361C0A7" w14:textId="77777777" w:rsidTr="0004564D">
        <w:trPr>
          <w:cantSplit/>
          <w:trHeight w:val="20"/>
        </w:trPr>
        <w:tc>
          <w:tcPr>
            <w:tcW w:w="1543" w:type="dxa"/>
            <w:tcBorders>
              <w:top w:val="nil"/>
              <w:left w:val="single" w:sz="2" w:space="0" w:color="auto"/>
              <w:bottom w:val="nil"/>
              <w:right w:val="single" w:sz="2" w:space="0" w:color="auto"/>
            </w:tcBorders>
          </w:tcPr>
          <w:p w14:paraId="1009E523" w14:textId="77777777" w:rsidR="00863311" w:rsidRPr="00C203AE" w:rsidRDefault="00E35DF1" w:rsidP="00863311">
            <w:pPr>
              <w:pStyle w:val="TableReference"/>
              <w:tabs>
                <w:tab w:val="left" w:pos="3306"/>
              </w:tabs>
              <w:spacing w:before="40"/>
              <w:rPr>
                <w:rFonts w:cs="Calibri"/>
                <w:b/>
                <w:color w:val="7030A0"/>
                <w:sz w:val="22"/>
                <w:szCs w:val="22"/>
              </w:rPr>
            </w:pPr>
            <w:r w:rsidRPr="00C203AE">
              <w:rPr>
                <w:rFonts w:cs="Calibri"/>
                <w:b/>
                <w:color w:val="7030A0"/>
                <w:sz w:val="22"/>
                <w:szCs w:val="22"/>
              </w:rPr>
              <w:t>Reference</w:t>
            </w:r>
          </w:p>
        </w:tc>
        <w:tc>
          <w:tcPr>
            <w:tcW w:w="5044" w:type="dxa"/>
            <w:tcBorders>
              <w:top w:val="nil"/>
              <w:left w:val="single" w:sz="2" w:space="0" w:color="auto"/>
              <w:bottom w:val="nil"/>
              <w:right w:val="nil"/>
            </w:tcBorders>
            <w:vAlign w:val="bottom"/>
          </w:tcPr>
          <w:p w14:paraId="66A836F8"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5E51BE54" w14:textId="77777777" w:rsidR="00863311" w:rsidRPr="00C203AE" w:rsidRDefault="00863311" w:rsidP="00863311">
            <w:pPr>
              <w:pStyle w:val="TableTitle"/>
              <w:tabs>
                <w:tab w:val="left" w:pos="3306"/>
              </w:tabs>
              <w:jc w:val="center"/>
              <w:rPr>
                <w:rFonts w:cs="Calibri"/>
              </w:rPr>
            </w:pPr>
            <w:bookmarkStart w:id="932" w:name="_Toc48468771"/>
            <w:bookmarkStart w:id="933" w:name="_Toc49155842"/>
            <w:bookmarkStart w:id="934" w:name="_Toc49224252"/>
            <w:r w:rsidRPr="00C203AE">
              <w:rPr>
                <w:rFonts w:cs="Calibri"/>
              </w:rPr>
              <w:t>Note No.</w:t>
            </w:r>
            <w:bookmarkEnd w:id="932"/>
            <w:bookmarkEnd w:id="933"/>
            <w:bookmarkEnd w:id="934"/>
          </w:p>
        </w:tc>
        <w:tc>
          <w:tcPr>
            <w:tcW w:w="1123" w:type="dxa"/>
            <w:tcBorders>
              <w:top w:val="nil"/>
              <w:left w:val="nil"/>
              <w:bottom w:val="nil"/>
              <w:right w:val="nil"/>
            </w:tcBorders>
            <w:vAlign w:val="bottom"/>
          </w:tcPr>
          <w:p w14:paraId="00FF8E7C" w14:textId="77777777" w:rsidR="00863311" w:rsidRPr="00C203AE" w:rsidRDefault="00863311" w:rsidP="00863311">
            <w:pPr>
              <w:pStyle w:val="TableTitle"/>
              <w:tabs>
                <w:tab w:val="left" w:pos="3306"/>
              </w:tabs>
              <w:rPr>
                <w:rFonts w:cs="Calibri"/>
              </w:rPr>
            </w:pPr>
            <w:r w:rsidRPr="00C203AE">
              <w:rPr>
                <w:rFonts w:cs="Calibri"/>
              </w:rPr>
              <w:t>Actual</w:t>
            </w:r>
          </w:p>
          <w:p w14:paraId="6709E916" w14:textId="0928E796" w:rsidR="00863311" w:rsidRPr="00C203AE" w:rsidRDefault="00946D6B" w:rsidP="00863311">
            <w:pPr>
              <w:pStyle w:val="TableTitle"/>
              <w:tabs>
                <w:tab w:val="left" w:pos="3306"/>
              </w:tabs>
              <w:rPr>
                <w:rFonts w:cs="Calibri"/>
              </w:rPr>
            </w:pPr>
            <w:r w:rsidRPr="00C203AE">
              <w:rPr>
                <w:rFonts w:cs="Calibri"/>
              </w:rPr>
              <w:t>202</w:t>
            </w:r>
            <w:r w:rsidR="00B13049">
              <w:rPr>
                <w:rFonts w:cs="Calibri"/>
              </w:rPr>
              <w:t>3</w:t>
            </w:r>
          </w:p>
          <w:p w14:paraId="023FDA1F" w14:textId="77777777" w:rsidR="00863311" w:rsidRPr="00C203AE" w:rsidRDefault="00863311" w:rsidP="00863311">
            <w:pPr>
              <w:pStyle w:val="TableTitle"/>
              <w:tabs>
                <w:tab w:val="left" w:pos="3306"/>
              </w:tabs>
              <w:rPr>
                <w:rFonts w:cs="Calibri"/>
              </w:rPr>
            </w:pPr>
            <w:r w:rsidRPr="00C203AE">
              <w:rPr>
                <w:rFonts w:cs="Calibri"/>
              </w:rPr>
              <w:t>$’000</w:t>
            </w:r>
          </w:p>
        </w:tc>
        <w:tc>
          <w:tcPr>
            <w:tcW w:w="983" w:type="dxa"/>
            <w:tcBorders>
              <w:top w:val="nil"/>
              <w:left w:val="nil"/>
              <w:bottom w:val="nil"/>
              <w:right w:val="nil"/>
            </w:tcBorders>
            <w:vAlign w:val="bottom"/>
          </w:tcPr>
          <w:p w14:paraId="669F9021" w14:textId="77777777" w:rsidR="00863311" w:rsidRPr="00C203AE" w:rsidRDefault="00863311" w:rsidP="00863311">
            <w:pPr>
              <w:pStyle w:val="TableTitle"/>
              <w:tabs>
                <w:tab w:val="left" w:pos="3306"/>
              </w:tabs>
              <w:rPr>
                <w:rFonts w:cs="Calibri"/>
              </w:rPr>
            </w:pPr>
            <w:r w:rsidRPr="00C203AE">
              <w:rPr>
                <w:rFonts w:cs="Calibri"/>
              </w:rPr>
              <w:t>Original</w:t>
            </w:r>
          </w:p>
          <w:p w14:paraId="12693D07"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6A56E366" w14:textId="6AA646E7" w:rsidR="00863311" w:rsidRPr="00C203AE" w:rsidRDefault="006C26C2" w:rsidP="00863311">
            <w:pPr>
              <w:pStyle w:val="TableTitle"/>
              <w:tabs>
                <w:tab w:val="left" w:pos="3306"/>
              </w:tabs>
              <w:rPr>
                <w:rFonts w:cs="Calibri"/>
              </w:rPr>
            </w:pPr>
            <w:r w:rsidRPr="00C203AE">
              <w:rPr>
                <w:rFonts w:cs="Calibri"/>
              </w:rPr>
              <w:t>202</w:t>
            </w:r>
            <w:r w:rsidR="00B13049">
              <w:rPr>
                <w:rFonts w:cs="Calibri"/>
              </w:rPr>
              <w:t>3</w:t>
            </w:r>
          </w:p>
          <w:p w14:paraId="225EA031" w14:textId="77777777" w:rsidR="00863311" w:rsidRPr="00C203AE" w:rsidRDefault="00863311" w:rsidP="00863311">
            <w:pPr>
              <w:pStyle w:val="TableTitle"/>
              <w:tabs>
                <w:tab w:val="left" w:pos="3306"/>
              </w:tabs>
              <w:rPr>
                <w:rFonts w:cs="Calibri"/>
              </w:rPr>
            </w:pPr>
            <w:r w:rsidRPr="00C203AE">
              <w:rPr>
                <w:rFonts w:cs="Calibri"/>
              </w:rPr>
              <w:t>$’000</w:t>
            </w:r>
          </w:p>
        </w:tc>
        <w:tc>
          <w:tcPr>
            <w:tcW w:w="984" w:type="dxa"/>
            <w:tcBorders>
              <w:top w:val="nil"/>
              <w:left w:val="nil"/>
              <w:bottom w:val="nil"/>
              <w:right w:val="nil"/>
            </w:tcBorders>
            <w:vAlign w:val="bottom"/>
          </w:tcPr>
          <w:p w14:paraId="23342D01" w14:textId="77777777" w:rsidR="00863311" w:rsidRPr="00C203AE" w:rsidRDefault="00863311" w:rsidP="00863311">
            <w:pPr>
              <w:pStyle w:val="TableTitle"/>
              <w:tabs>
                <w:tab w:val="left" w:pos="3306"/>
              </w:tabs>
              <w:rPr>
                <w:rFonts w:cs="Calibri"/>
              </w:rPr>
            </w:pPr>
            <w:r w:rsidRPr="00C203AE">
              <w:rPr>
                <w:rFonts w:cs="Calibri"/>
              </w:rPr>
              <w:t>Actual</w:t>
            </w:r>
          </w:p>
          <w:p w14:paraId="23AF317E" w14:textId="446625E6" w:rsidR="00863311" w:rsidRPr="00C203AE" w:rsidRDefault="005709FA" w:rsidP="00863311">
            <w:pPr>
              <w:pStyle w:val="TableTitle"/>
              <w:tabs>
                <w:tab w:val="left" w:pos="3306"/>
              </w:tabs>
              <w:rPr>
                <w:rFonts w:cs="Calibri"/>
              </w:rPr>
            </w:pPr>
            <w:r w:rsidRPr="00C203AE">
              <w:rPr>
                <w:rFonts w:cs="Calibri"/>
              </w:rPr>
              <w:t>202</w:t>
            </w:r>
            <w:r w:rsidR="00B13049">
              <w:rPr>
                <w:rFonts w:cs="Calibri"/>
              </w:rPr>
              <w:t>2</w:t>
            </w:r>
          </w:p>
          <w:p w14:paraId="130A761C"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4AE26F2C" w14:textId="77777777" w:rsidTr="0004564D">
        <w:trPr>
          <w:cantSplit/>
          <w:trHeight w:val="20"/>
        </w:trPr>
        <w:tc>
          <w:tcPr>
            <w:tcW w:w="1543" w:type="dxa"/>
            <w:tcBorders>
              <w:top w:val="nil"/>
              <w:left w:val="single" w:sz="2" w:space="0" w:color="auto"/>
              <w:bottom w:val="nil"/>
              <w:right w:val="single" w:sz="2" w:space="0" w:color="auto"/>
            </w:tcBorders>
          </w:tcPr>
          <w:p w14:paraId="28288E2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36E22C96" w14:textId="77777777" w:rsidR="00863311" w:rsidRPr="00C203AE" w:rsidRDefault="00863311" w:rsidP="00863311">
            <w:pPr>
              <w:pStyle w:val="TableText"/>
              <w:tabs>
                <w:tab w:val="left" w:pos="3306"/>
              </w:tabs>
              <w:rPr>
                <w:rFonts w:cs="Calibri"/>
                <w:b/>
                <w:bCs/>
              </w:rPr>
            </w:pPr>
            <w:r w:rsidRPr="00C203AE">
              <w:rPr>
                <w:rFonts w:cs="Calibri"/>
                <w:b/>
                <w:bCs/>
              </w:rPr>
              <w:t>Income</w:t>
            </w:r>
          </w:p>
        </w:tc>
        <w:tc>
          <w:tcPr>
            <w:tcW w:w="703" w:type="dxa"/>
            <w:tcBorders>
              <w:top w:val="nil"/>
              <w:left w:val="nil"/>
              <w:bottom w:val="nil"/>
              <w:right w:val="nil"/>
            </w:tcBorders>
            <w:vAlign w:val="bottom"/>
          </w:tcPr>
          <w:p w14:paraId="1DD535BC"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77B2C77"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6B65896D"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155FD48" w14:textId="77777777" w:rsidR="00863311" w:rsidRPr="00C203AE" w:rsidRDefault="00863311" w:rsidP="00863311">
            <w:pPr>
              <w:pStyle w:val="TableText"/>
              <w:tabs>
                <w:tab w:val="left" w:pos="3306"/>
              </w:tabs>
              <w:jc w:val="right"/>
              <w:rPr>
                <w:rFonts w:cs="Calibri"/>
              </w:rPr>
            </w:pPr>
          </w:p>
        </w:tc>
      </w:tr>
      <w:tr w:rsidR="00863311" w:rsidRPr="00CF7E1B" w14:paraId="12CA6F4D" w14:textId="77777777" w:rsidTr="0004564D">
        <w:trPr>
          <w:cantSplit/>
          <w:trHeight w:val="20"/>
        </w:trPr>
        <w:tc>
          <w:tcPr>
            <w:tcW w:w="1543" w:type="dxa"/>
            <w:tcBorders>
              <w:top w:val="nil"/>
              <w:left w:val="single" w:sz="2" w:space="0" w:color="auto"/>
              <w:bottom w:val="nil"/>
              <w:right w:val="single" w:sz="2" w:space="0" w:color="auto"/>
            </w:tcBorders>
          </w:tcPr>
          <w:p w14:paraId="6BCFD7C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1F95E39B" w14:textId="77777777" w:rsidR="00863311" w:rsidRPr="00047465" w:rsidRDefault="00863311" w:rsidP="00863311">
            <w:pPr>
              <w:pStyle w:val="TableText"/>
              <w:tabs>
                <w:tab w:val="left" w:pos="3306"/>
              </w:tabs>
              <w:rPr>
                <w:rFonts w:cs="Calibri"/>
                <w:i/>
                <w:iCs/>
                <w:strike/>
              </w:rPr>
            </w:pPr>
            <w:r w:rsidRPr="0007146C">
              <w:rPr>
                <w:rFonts w:cs="Calibri"/>
                <w:i/>
                <w:iCs/>
                <w:strike/>
                <w:color w:val="FF0000"/>
              </w:rPr>
              <w:t>Revenue</w:t>
            </w:r>
          </w:p>
        </w:tc>
        <w:tc>
          <w:tcPr>
            <w:tcW w:w="703" w:type="dxa"/>
            <w:tcBorders>
              <w:top w:val="nil"/>
              <w:left w:val="nil"/>
              <w:bottom w:val="nil"/>
              <w:right w:val="nil"/>
            </w:tcBorders>
            <w:vAlign w:val="bottom"/>
          </w:tcPr>
          <w:p w14:paraId="544983F4"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23580EE5"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04402636"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2C068FE1" w14:textId="77777777" w:rsidR="00863311" w:rsidRPr="00C203AE" w:rsidRDefault="00863311" w:rsidP="00863311">
            <w:pPr>
              <w:pStyle w:val="TableText"/>
              <w:tabs>
                <w:tab w:val="left" w:pos="3306"/>
              </w:tabs>
              <w:jc w:val="right"/>
              <w:rPr>
                <w:rFonts w:cs="Calibri"/>
              </w:rPr>
            </w:pPr>
          </w:p>
        </w:tc>
      </w:tr>
      <w:tr w:rsidR="00863311" w:rsidRPr="00CF7E1B" w14:paraId="22B3BAC2" w14:textId="77777777" w:rsidTr="0004564D">
        <w:trPr>
          <w:cantSplit/>
          <w:trHeight w:val="20"/>
        </w:trPr>
        <w:tc>
          <w:tcPr>
            <w:tcW w:w="1543" w:type="dxa"/>
            <w:tcBorders>
              <w:top w:val="nil"/>
              <w:left w:val="single" w:sz="2" w:space="0" w:color="auto"/>
              <w:bottom w:val="nil"/>
              <w:right w:val="single" w:sz="2" w:space="0" w:color="auto"/>
            </w:tcBorders>
          </w:tcPr>
          <w:p w14:paraId="7B1C982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13067022" w14:textId="77777777" w:rsidR="00863311" w:rsidRPr="00C203AE" w:rsidRDefault="00863311" w:rsidP="00863311">
            <w:pPr>
              <w:pStyle w:val="TableText"/>
              <w:tabs>
                <w:tab w:val="left" w:pos="3306"/>
              </w:tabs>
              <w:rPr>
                <w:rFonts w:cs="Calibri"/>
              </w:rPr>
            </w:pPr>
            <w:r w:rsidRPr="00C203AE">
              <w:rPr>
                <w:rFonts w:cs="Calibri"/>
              </w:rPr>
              <w:t>Payment for Expenses on Behalf of the Territory</w:t>
            </w:r>
          </w:p>
        </w:tc>
        <w:tc>
          <w:tcPr>
            <w:tcW w:w="703" w:type="dxa"/>
            <w:tcBorders>
              <w:top w:val="nil"/>
              <w:left w:val="nil"/>
              <w:bottom w:val="nil"/>
              <w:right w:val="nil"/>
            </w:tcBorders>
            <w:vAlign w:val="bottom"/>
          </w:tcPr>
          <w:p w14:paraId="790878FA" w14:textId="15A740EA" w:rsidR="00863311" w:rsidRPr="00C203AE" w:rsidRDefault="00E178FE" w:rsidP="00863311">
            <w:pPr>
              <w:pStyle w:val="TableText"/>
              <w:tabs>
                <w:tab w:val="left" w:pos="3306"/>
              </w:tabs>
              <w:jc w:val="center"/>
              <w:rPr>
                <w:rFonts w:cs="Calibri"/>
              </w:rPr>
            </w:pPr>
            <w:r w:rsidRPr="00C203AE">
              <w:rPr>
                <w:rFonts w:cs="Calibri"/>
              </w:rPr>
              <w:t>#</w:t>
            </w:r>
          </w:p>
        </w:tc>
        <w:tc>
          <w:tcPr>
            <w:tcW w:w="1123" w:type="dxa"/>
            <w:tcBorders>
              <w:top w:val="nil"/>
              <w:left w:val="nil"/>
              <w:bottom w:val="nil"/>
              <w:right w:val="nil"/>
            </w:tcBorders>
            <w:vAlign w:val="bottom"/>
          </w:tcPr>
          <w:p w14:paraId="55160A9A" w14:textId="7BA50C6D"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9A1927B" w14:textId="4ACED3ED"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567D5F09" w14:textId="4E1D0828" w:rsidR="00863311" w:rsidRPr="00C203AE" w:rsidRDefault="00863311" w:rsidP="00863311">
            <w:pPr>
              <w:pStyle w:val="TableText"/>
              <w:tabs>
                <w:tab w:val="left" w:pos="3306"/>
              </w:tabs>
              <w:jc w:val="right"/>
              <w:rPr>
                <w:rFonts w:cs="Calibri"/>
              </w:rPr>
            </w:pPr>
          </w:p>
        </w:tc>
      </w:tr>
      <w:tr w:rsidR="00863311" w:rsidRPr="00CF7E1B" w14:paraId="5FACA2EF" w14:textId="77777777" w:rsidTr="0004564D">
        <w:trPr>
          <w:cantSplit/>
          <w:trHeight w:val="20"/>
        </w:trPr>
        <w:tc>
          <w:tcPr>
            <w:tcW w:w="1543" w:type="dxa"/>
            <w:tcBorders>
              <w:top w:val="nil"/>
              <w:left w:val="single" w:sz="2" w:space="0" w:color="auto"/>
              <w:bottom w:val="nil"/>
              <w:right w:val="single" w:sz="2" w:space="0" w:color="auto"/>
            </w:tcBorders>
          </w:tcPr>
          <w:p w14:paraId="641059D3"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6252DA14" w14:textId="25895120" w:rsidR="00863311" w:rsidRPr="00C203AE" w:rsidRDefault="00863311" w:rsidP="00863311">
            <w:pPr>
              <w:pStyle w:val="TableText"/>
              <w:tabs>
                <w:tab w:val="left" w:pos="3306"/>
              </w:tabs>
              <w:rPr>
                <w:rFonts w:cs="Calibri"/>
              </w:rPr>
            </w:pPr>
            <w:r w:rsidRPr="00C203AE">
              <w:rPr>
                <w:rFonts w:cs="Calibri"/>
              </w:rPr>
              <w:t xml:space="preserve">Taxes, </w:t>
            </w:r>
            <w:r w:rsidR="00DC5F22" w:rsidRPr="00C203AE">
              <w:rPr>
                <w:rFonts w:cs="Calibri"/>
              </w:rPr>
              <w:t>Licen</w:t>
            </w:r>
            <w:r w:rsidR="00710302" w:rsidRPr="00C203AE">
              <w:rPr>
                <w:rFonts w:cs="Calibri"/>
              </w:rPr>
              <w:t>c</w:t>
            </w:r>
            <w:r w:rsidR="00DC5F22" w:rsidRPr="00C203AE">
              <w:rPr>
                <w:rFonts w:cs="Calibri"/>
              </w:rPr>
              <w:t xml:space="preserve">es, </w:t>
            </w:r>
            <w:r w:rsidRPr="00C203AE">
              <w:rPr>
                <w:rFonts w:cs="Calibri"/>
              </w:rPr>
              <w:t>Fees and Fines</w:t>
            </w:r>
          </w:p>
        </w:tc>
        <w:tc>
          <w:tcPr>
            <w:tcW w:w="703" w:type="dxa"/>
            <w:tcBorders>
              <w:top w:val="nil"/>
              <w:left w:val="nil"/>
              <w:bottom w:val="nil"/>
              <w:right w:val="nil"/>
            </w:tcBorders>
            <w:vAlign w:val="bottom"/>
          </w:tcPr>
          <w:p w14:paraId="1F8516B9" w14:textId="4FB23D3B" w:rsidR="00863311" w:rsidRPr="00C203AE" w:rsidRDefault="00E178FE" w:rsidP="00863311">
            <w:pPr>
              <w:pStyle w:val="TableText"/>
              <w:tabs>
                <w:tab w:val="left" w:pos="3306"/>
              </w:tabs>
              <w:jc w:val="center"/>
              <w:rPr>
                <w:rFonts w:cs="Calibri"/>
              </w:rPr>
            </w:pPr>
            <w:r w:rsidRPr="00C203AE">
              <w:rPr>
                <w:rFonts w:cs="Calibri"/>
              </w:rPr>
              <w:t>4</w:t>
            </w:r>
            <w:r w:rsidR="00B40325" w:rsidRPr="00C203AE">
              <w:rPr>
                <w:rFonts w:cs="Calibri"/>
              </w:rPr>
              <w:t>2</w:t>
            </w:r>
          </w:p>
        </w:tc>
        <w:tc>
          <w:tcPr>
            <w:tcW w:w="1123" w:type="dxa"/>
            <w:tcBorders>
              <w:top w:val="nil"/>
              <w:left w:val="nil"/>
              <w:bottom w:val="single" w:sz="2" w:space="0" w:color="auto"/>
              <w:right w:val="nil"/>
            </w:tcBorders>
            <w:vAlign w:val="bottom"/>
          </w:tcPr>
          <w:p w14:paraId="4FC5686F" w14:textId="47E6E84E"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63445120" w14:textId="319BFA87"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4EE91A8E" w14:textId="05DAAFEE" w:rsidR="00863311" w:rsidRPr="00C203AE" w:rsidRDefault="00863311" w:rsidP="00863311">
            <w:pPr>
              <w:pStyle w:val="TableText"/>
              <w:tabs>
                <w:tab w:val="left" w:pos="3306"/>
              </w:tabs>
              <w:jc w:val="right"/>
              <w:rPr>
                <w:rFonts w:cs="Calibri"/>
              </w:rPr>
            </w:pPr>
          </w:p>
        </w:tc>
      </w:tr>
      <w:tr w:rsidR="00863311" w:rsidRPr="00CF7E1B" w14:paraId="51C3BB6E" w14:textId="77777777" w:rsidTr="0004564D">
        <w:trPr>
          <w:cantSplit/>
          <w:trHeight w:val="20"/>
        </w:trPr>
        <w:tc>
          <w:tcPr>
            <w:tcW w:w="1543" w:type="dxa"/>
            <w:tcBorders>
              <w:top w:val="nil"/>
              <w:left w:val="single" w:sz="2" w:space="0" w:color="auto"/>
              <w:bottom w:val="nil"/>
              <w:right w:val="single" w:sz="2" w:space="0" w:color="auto"/>
            </w:tcBorders>
          </w:tcPr>
          <w:p w14:paraId="7CF3937F"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276E65D3" w14:textId="77777777" w:rsidR="00863311" w:rsidRPr="005D451F" w:rsidRDefault="00863311" w:rsidP="00863311">
            <w:pPr>
              <w:pStyle w:val="TableText"/>
              <w:tabs>
                <w:tab w:val="left" w:pos="3306"/>
              </w:tabs>
              <w:rPr>
                <w:rFonts w:cs="Calibri"/>
                <w:i/>
                <w:iCs/>
                <w:strike/>
              </w:rPr>
            </w:pPr>
            <w:r w:rsidRPr="005D451F">
              <w:rPr>
                <w:rFonts w:cs="Calibri"/>
                <w:i/>
                <w:iCs/>
                <w:strike/>
                <w:color w:val="FF0000"/>
              </w:rPr>
              <w:t>Total Revenue</w:t>
            </w:r>
          </w:p>
        </w:tc>
        <w:tc>
          <w:tcPr>
            <w:tcW w:w="703" w:type="dxa"/>
            <w:tcBorders>
              <w:top w:val="nil"/>
              <w:left w:val="nil"/>
              <w:bottom w:val="nil"/>
              <w:right w:val="nil"/>
            </w:tcBorders>
            <w:vAlign w:val="bottom"/>
          </w:tcPr>
          <w:p w14:paraId="51451EB3"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nil"/>
              <w:right w:val="nil"/>
            </w:tcBorders>
            <w:vAlign w:val="bottom"/>
          </w:tcPr>
          <w:p w14:paraId="63B7AB11" w14:textId="450041DE"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nil"/>
              <w:right w:val="nil"/>
            </w:tcBorders>
            <w:vAlign w:val="bottom"/>
          </w:tcPr>
          <w:p w14:paraId="182A968D" w14:textId="1E6C8A3E"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nil"/>
              <w:right w:val="nil"/>
            </w:tcBorders>
            <w:vAlign w:val="bottom"/>
          </w:tcPr>
          <w:p w14:paraId="34DE5DDD" w14:textId="006ADB52" w:rsidR="00863311" w:rsidRPr="00C203AE" w:rsidRDefault="00863311" w:rsidP="00863311">
            <w:pPr>
              <w:pStyle w:val="TableText"/>
              <w:tabs>
                <w:tab w:val="left" w:pos="3306"/>
              </w:tabs>
              <w:jc w:val="right"/>
              <w:rPr>
                <w:rFonts w:cs="Calibri"/>
              </w:rPr>
            </w:pPr>
          </w:p>
        </w:tc>
      </w:tr>
      <w:tr w:rsidR="00863311" w:rsidRPr="00CF7E1B" w14:paraId="7B44543C" w14:textId="77777777" w:rsidTr="0004564D">
        <w:trPr>
          <w:cantSplit/>
          <w:trHeight w:val="20"/>
        </w:trPr>
        <w:tc>
          <w:tcPr>
            <w:tcW w:w="1543" w:type="dxa"/>
            <w:tcBorders>
              <w:top w:val="nil"/>
              <w:left w:val="single" w:sz="2" w:space="0" w:color="auto"/>
              <w:bottom w:val="nil"/>
              <w:right w:val="single" w:sz="2" w:space="0" w:color="auto"/>
            </w:tcBorders>
          </w:tcPr>
          <w:p w14:paraId="4DA600EA"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747DFB8E" w14:textId="77777777" w:rsidR="00863311" w:rsidRPr="005D451F" w:rsidRDefault="00863311" w:rsidP="00863311">
            <w:pPr>
              <w:pStyle w:val="TableText"/>
              <w:tabs>
                <w:tab w:val="left" w:pos="3306"/>
              </w:tabs>
              <w:rPr>
                <w:rFonts w:cs="Calibri"/>
                <w:i/>
                <w:iCs/>
                <w:strike/>
              </w:rPr>
            </w:pPr>
            <w:r w:rsidRPr="005D451F">
              <w:rPr>
                <w:rFonts w:cs="Calibri"/>
                <w:i/>
                <w:iCs/>
                <w:strike/>
                <w:color w:val="FF0000"/>
              </w:rPr>
              <w:t>Gains</w:t>
            </w:r>
          </w:p>
        </w:tc>
        <w:tc>
          <w:tcPr>
            <w:tcW w:w="703" w:type="dxa"/>
            <w:tcBorders>
              <w:top w:val="nil"/>
              <w:left w:val="nil"/>
              <w:bottom w:val="nil"/>
              <w:right w:val="nil"/>
            </w:tcBorders>
            <w:vAlign w:val="bottom"/>
          </w:tcPr>
          <w:p w14:paraId="20285BAB"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475163F2"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87416EE"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8A05E09" w14:textId="77777777" w:rsidR="00863311" w:rsidRPr="00C203AE" w:rsidRDefault="00863311" w:rsidP="00863311">
            <w:pPr>
              <w:pStyle w:val="TableText"/>
              <w:tabs>
                <w:tab w:val="left" w:pos="3306"/>
              </w:tabs>
              <w:jc w:val="right"/>
              <w:rPr>
                <w:rFonts w:cs="Calibri"/>
              </w:rPr>
            </w:pPr>
          </w:p>
        </w:tc>
      </w:tr>
      <w:tr w:rsidR="00863311" w:rsidRPr="00CF7E1B" w14:paraId="51767BAE" w14:textId="77777777" w:rsidTr="0004564D">
        <w:trPr>
          <w:cantSplit/>
          <w:trHeight w:val="20"/>
        </w:trPr>
        <w:tc>
          <w:tcPr>
            <w:tcW w:w="1543" w:type="dxa"/>
            <w:tcBorders>
              <w:top w:val="nil"/>
              <w:left w:val="single" w:sz="2" w:space="0" w:color="auto"/>
              <w:bottom w:val="nil"/>
              <w:right w:val="single" w:sz="2" w:space="0" w:color="auto"/>
            </w:tcBorders>
          </w:tcPr>
          <w:p w14:paraId="07608141" w14:textId="77777777" w:rsidR="00863311" w:rsidRPr="00C203AE" w:rsidRDefault="00863311" w:rsidP="00863311">
            <w:pPr>
              <w:pStyle w:val="TableReference"/>
              <w:tabs>
                <w:tab w:val="left" w:pos="3306"/>
              </w:tabs>
              <w:spacing w:before="40"/>
              <w:rPr>
                <w:rFonts w:cs="Calibri"/>
                <w:color w:val="7030A0"/>
                <w:sz w:val="14"/>
              </w:rPr>
            </w:pPr>
            <w:r w:rsidRPr="00C203AE">
              <w:rPr>
                <w:rFonts w:cs="Calibri"/>
                <w:color w:val="7030A0"/>
                <w:sz w:val="14"/>
              </w:rPr>
              <w:t xml:space="preserve"> </w:t>
            </w:r>
          </w:p>
        </w:tc>
        <w:tc>
          <w:tcPr>
            <w:tcW w:w="5044" w:type="dxa"/>
            <w:tcBorders>
              <w:top w:val="nil"/>
              <w:left w:val="single" w:sz="2" w:space="0" w:color="auto"/>
              <w:bottom w:val="nil"/>
              <w:right w:val="nil"/>
            </w:tcBorders>
            <w:vAlign w:val="bottom"/>
          </w:tcPr>
          <w:p w14:paraId="1C4B4D0B" w14:textId="3F83A873" w:rsidR="00863311" w:rsidRPr="00C203AE" w:rsidRDefault="00863311" w:rsidP="00863311">
            <w:pPr>
              <w:pStyle w:val="TableText"/>
              <w:tabs>
                <w:tab w:val="left" w:pos="3306"/>
              </w:tabs>
              <w:rPr>
                <w:rFonts w:cs="Calibri"/>
              </w:rPr>
            </w:pPr>
            <w:r w:rsidRPr="00C203AE">
              <w:rPr>
                <w:rFonts w:cs="Calibri"/>
              </w:rPr>
              <w:t xml:space="preserve">Other </w:t>
            </w:r>
            <w:r w:rsidR="005D451F" w:rsidRPr="005D451F">
              <w:rPr>
                <w:rFonts w:cs="Calibri"/>
                <w:color w:val="FF0000"/>
              </w:rPr>
              <w:t xml:space="preserve">Income </w:t>
            </w:r>
            <w:r w:rsidRPr="005D451F">
              <w:rPr>
                <w:rFonts w:cs="Calibri"/>
                <w:strike/>
                <w:color w:val="FF0000"/>
              </w:rPr>
              <w:t>Gains</w:t>
            </w:r>
          </w:p>
        </w:tc>
        <w:tc>
          <w:tcPr>
            <w:tcW w:w="703" w:type="dxa"/>
            <w:tcBorders>
              <w:top w:val="nil"/>
              <w:left w:val="nil"/>
              <w:bottom w:val="nil"/>
              <w:right w:val="nil"/>
            </w:tcBorders>
            <w:vAlign w:val="bottom"/>
          </w:tcPr>
          <w:p w14:paraId="0FD75BD7" w14:textId="7254C15A" w:rsidR="00863311" w:rsidRPr="00C203AE" w:rsidRDefault="00B40325" w:rsidP="00863311">
            <w:pPr>
              <w:pStyle w:val="TableText"/>
              <w:tabs>
                <w:tab w:val="left" w:pos="3306"/>
              </w:tabs>
              <w:jc w:val="center"/>
              <w:rPr>
                <w:rFonts w:cs="Calibri"/>
              </w:rPr>
            </w:pPr>
            <w:r w:rsidRPr="00C203AE">
              <w:rPr>
                <w:rFonts w:cs="Calibri"/>
              </w:rPr>
              <w:t>43</w:t>
            </w:r>
          </w:p>
        </w:tc>
        <w:tc>
          <w:tcPr>
            <w:tcW w:w="1123" w:type="dxa"/>
            <w:tcBorders>
              <w:top w:val="nil"/>
              <w:left w:val="nil"/>
              <w:bottom w:val="single" w:sz="4" w:space="0" w:color="auto"/>
              <w:right w:val="nil"/>
            </w:tcBorders>
            <w:vAlign w:val="bottom"/>
          </w:tcPr>
          <w:p w14:paraId="53EB0D76" w14:textId="1A228589" w:rsidR="00863311" w:rsidRPr="00C203AE" w:rsidRDefault="00863311" w:rsidP="00863311">
            <w:pPr>
              <w:pStyle w:val="TableText"/>
              <w:tabs>
                <w:tab w:val="left" w:pos="3306"/>
              </w:tabs>
              <w:jc w:val="right"/>
              <w:rPr>
                <w:rFonts w:cs="Calibri"/>
              </w:rPr>
            </w:pPr>
          </w:p>
        </w:tc>
        <w:tc>
          <w:tcPr>
            <w:tcW w:w="983" w:type="dxa"/>
            <w:tcBorders>
              <w:top w:val="nil"/>
              <w:left w:val="nil"/>
              <w:bottom w:val="single" w:sz="4" w:space="0" w:color="auto"/>
              <w:right w:val="nil"/>
            </w:tcBorders>
            <w:vAlign w:val="bottom"/>
          </w:tcPr>
          <w:p w14:paraId="7B705735" w14:textId="3099DF91" w:rsidR="00863311" w:rsidRPr="00C203AE" w:rsidRDefault="00863311" w:rsidP="00863311">
            <w:pPr>
              <w:pStyle w:val="TableText"/>
              <w:tabs>
                <w:tab w:val="left" w:pos="3306"/>
              </w:tabs>
              <w:jc w:val="right"/>
              <w:rPr>
                <w:rFonts w:cs="Calibri"/>
              </w:rPr>
            </w:pPr>
          </w:p>
        </w:tc>
        <w:tc>
          <w:tcPr>
            <w:tcW w:w="984" w:type="dxa"/>
            <w:tcBorders>
              <w:top w:val="nil"/>
              <w:left w:val="nil"/>
              <w:bottom w:val="single" w:sz="4" w:space="0" w:color="auto"/>
              <w:right w:val="nil"/>
            </w:tcBorders>
            <w:vAlign w:val="bottom"/>
          </w:tcPr>
          <w:p w14:paraId="1FCE8950" w14:textId="35EBC2B8" w:rsidR="00863311" w:rsidRPr="00C203AE" w:rsidRDefault="00863311" w:rsidP="00863311">
            <w:pPr>
              <w:pStyle w:val="TableText"/>
              <w:tabs>
                <w:tab w:val="left" w:pos="3306"/>
              </w:tabs>
              <w:jc w:val="right"/>
              <w:rPr>
                <w:rFonts w:cs="Calibri"/>
              </w:rPr>
            </w:pPr>
          </w:p>
        </w:tc>
      </w:tr>
      <w:tr w:rsidR="00863311" w:rsidRPr="00CF7E1B" w14:paraId="078B6BD4" w14:textId="77777777" w:rsidTr="0004564D">
        <w:trPr>
          <w:cantSplit/>
          <w:trHeight w:val="20"/>
        </w:trPr>
        <w:tc>
          <w:tcPr>
            <w:tcW w:w="1543" w:type="dxa"/>
            <w:tcBorders>
              <w:top w:val="nil"/>
              <w:left w:val="single" w:sz="2" w:space="0" w:color="auto"/>
              <w:bottom w:val="nil"/>
              <w:right w:val="single" w:sz="2" w:space="0" w:color="auto"/>
            </w:tcBorders>
          </w:tcPr>
          <w:p w14:paraId="4973B633"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7721A342" w14:textId="77777777" w:rsidR="00863311" w:rsidRPr="005D451F" w:rsidRDefault="00863311" w:rsidP="00863311">
            <w:pPr>
              <w:pStyle w:val="TableText"/>
              <w:tabs>
                <w:tab w:val="left" w:pos="3306"/>
              </w:tabs>
              <w:rPr>
                <w:rFonts w:cs="Calibri"/>
                <w:i/>
                <w:iCs/>
                <w:strike/>
              </w:rPr>
            </w:pPr>
            <w:r w:rsidRPr="005D451F">
              <w:rPr>
                <w:rFonts w:cs="Calibri"/>
                <w:i/>
                <w:iCs/>
                <w:strike/>
                <w:color w:val="FF0000"/>
              </w:rPr>
              <w:t>Total Gains</w:t>
            </w:r>
          </w:p>
        </w:tc>
        <w:tc>
          <w:tcPr>
            <w:tcW w:w="703" w:type="dxa"/>
            <w:tcBorders>
              <w:top w:val="nil"/>
              <w:left w:val="nil"/>
              <w:bottom w:val="nil"/>
              <w:right w:val="nil"/>
            </w:tcBorders>
            <w:vAlign w:val="bottom"/>
          </w:tcPr>
          <w:p w14:paraId="608107EC"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5119C6C5" w14:textId="597A2083"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single" w:sz="4" w:space="0" w:color="auto"/>
              <w:right w:val="nil"/>
            </w:tcBorders>
            <w:vAlign w:val="bottom"/>
          </w:tcPr>
          <w:p w14:paraId="64EB4BD4" w14:textId="2252B1C2"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single" w:sz="4" w:space="0" w:color="auto"/>
              <w:right w:val="nil"/>
            </w:tcBorders>
            <w:vAlign w:val="bottom"/>
          </w:tcPr>
          <w:p w14:paraId="31C9032C" w14:textId="396993AA" w:rsidR="00863311" w:rsidRPr="00C203AE" w:rsidRDefault="00863311" w:rsidP="00863311">
            <w:pPr>
              <w:pStyle w:val="TableText"/>
              <w:tabs>
                <w:tab w:val="left" w:pos="3306"/>
              </w:tabs>
              <w:jc w:val="right"/>
              <w:rPr>
                <w:rFonts w:cs="Calibri"/>
              </w:rPr>
            </w:pPr>
          </w:p>
        </w:tc>
      </w:tr>
      <w:tr w:rsidR="00863311" w:rsidRPr="00CF7E1B" w14:paraId="43691AA0" w14:textId="77777777" w:rsidTr="0004564D">
        <w:trPr>
          <w:cantSplit/>
          <w:trHeight w:val="300"/>
        </w:trPr>
        <w:tc>
          <w:tcPr>
            <w:tcW w:w="1543" w:type="dxa"/>
            <w:tcBorders>
              <w:top w:val="nil"/>
              <w:left w:val="single" w:sz="2" w:space="0" w:color="auto"/>
              <w:bottom w:val="nil"/>
              <w:right w:val="single" w:sz="2" w:space="0" w:color="auto"/>
            </w:tcBorders>
          </w:tcPr>
          <w:p w14:paraId="0AB46A60"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61ADDB" w14:textId="77777777" w:rsidR="00863311" w:rsidRPr="00C203AE" w:rsidRDefault="00863311" w:rsidP="00863311">
            <w:pPr>
              <w:pStyle w:val="TableText"/>
              <w:tabs>
                <w:tab w:val="left" w:pos="3306"/>
              </w:tabs>
              <w:rPr>
                <w:rFonts w:cs="Calibri"/>
                <w:b/>
                <w:bCs/>
              </w:rPr>
            </w:pPr>
            <w:r w:rsidRPr="00C203AE">
              <w:rPr>
                <w:rFonts w:cs="Calibri"/>
                <w:b/>
                <w:bCs/>
              </w:rPr>
              <w:t>Total Income</w:t>
            </w:r>
          </w:p>
        </w:tc>
        <w:tc>
          <w:tcPr>
            <w:tcW w:w="703" w:type="dxa"/>
            <w:tcBorders>
              <w:top w:val="nil"/>
              <w:left w:val="nil"/>
              <w:bottom w:val="nil"/>
              <w:right w:val="nil"/>
            </w:tcBorders>
            <w:vAlign w:val="bottom"/>
          </w:tcPr>
          <w:p w14:paraId="2C578141"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34065429" w14:textId="586EEF11" w:rsidR="00863311" w:rsidRPr="00C203AE" w:rsidRDefault="00863311" w:rsidP="00863311">
            <w:pPr>
              <w:pStyle w:val="TableText"/>
              <w:tabs>
                <w:tab w:val="left" w:pos="3306"/>
              </w:tabs>
              <w:jc w:val="right"/>
              <w:rPr>
                <w:rFonts w:cs="Calibri"/>
                <w:b/>
                <w:bCs/>
              </w:rPr>
            </w:pPr>
          </w:p>
        </w:tc>
        <w:tc>
          <w:tcPr>
            <w:tcW w:w="983" w:type="dxa"/>
            <w:tcBorders>
              <w:top w:val="single" w:sz="4" w:space="0" w:color="auto"/>
              <w:left w:val="nil"/>
              <w:bottom w:val="single" w:sz="4" w:space="0" w:color="auto"/>
              <w:right w:val="nil"/>
            </w:tcBorders>
            <w:vAlign w:val="bottom"/>
          </w:tcPr>
          <w:p w14:paraId="71D76F8D" w14:textId="168070AA" w:rsidR="00863311" w:rsidRPr="00C203AE" w:rsidRDefault="00863311" w:rsidP="00863311">
            <w:pPr>
              <w:pStyle w:val="TableText"/>
              <w:tabs>
                <w:tab w:val="left" w:pos="3306"/>
              </w:tabs>
              <w:jc w:val="right"/>
              <w:rPr>
                <w:rFonts w:cs="Calibri"/>
                <w:b/>
                <w:bCs/>
              </w:rPr>
            </w:pPr>
          </w:p>
        </w:tc>
        <w:tc>
          <w:tcPr>
            <w:tcW w:w="984" w:type="dxa"/>
            <w:tcBorders>
              <w:top w:val="single" w:sz="4" w:space="0" w:color="auto"/>
              <w:left w:val="nil"/>
              <w:bottom w:val="single" w:sz="4" w:space="0" w:color="auto"/>
              <w:right w:val="nil"/>
            </w:tcBorders>
            <w:vAlign w:val="bottom"/>
          </w:tcPr>
          <w:p w14:paraId="70DF5913" w14:textId="3D3E34E8" w:rsidR="00863311" w:rsidRPr="00C203AE" w:rsidRDefault="00863311" w:rsidP="00863311">
            <w:pPr>
              <w:pStyle w:val="TableText"/>
              <w:tabs>
                <w:tab w:val="left" w:pos="3306"/>
              </w:tabs>
              <w:jc w:val="right"/>
              <w:rPr>
                <w:rFonts w:cs="Calibri"/>
                <w:b/>
                <w:bCs/>
              </w:rPr>
            </w:pPr>
          </w:p>
        </w:tc>
      </w:tr>
      <w:tr w:rsidR="00863311" w:rsidRPr="00CF7E1B" w14:paraId="76746AC4" w14:textId="77777777" w:rsidTr="0004564D">
        <w:trPr>
          <w:cantSplit/>
          <w:trHeight w:val="20"/>
        </w:trPr>
        <w:tc>
          <w:tcPr>
            <w:tcW w:w="1543" w:type="dxa"/>
            <w:tcBorders>
              <w:top w:val="nil"/>
              <w:left w:val="single" w:sz="2" w:space="0" w:color="auto"/>
              <w:bottom w:val="nil"/>
              <w:right w:val="single" w:sz="2" w:space="0" w:color="auto"/>
            </w:tcBorders>
          </w:tcPr>
          <w:p w14:paraId="322F352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5818035F"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2C462F4D"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nil"/>
              <w:right w:val="nil"/>
            </w:tcBorders>
            <w:vAlign w:val="bottom"/>
          </w:tcPr>
          <w:p w14:paraId="1B916402" w14:textId="77777777"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nil"/>
              <w:right w:val="nil"/>
            </w:tcBorders>
            <w:vAlign w:val="bottom"/>
          </w:tcPr>
          <w:p w14:paraId="33B65BB2" w14:textId="77777777"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nil"/>
              <w:right w:val="nil"/>
            </w:tcBorders>
            <w:vAlign w:val="bottom"/>
          </w:tcPr>
          <w:p w14:paraId="75E893A0" w14:textId="77777777" w:rsidR="00863311" w:rsidRPr="00C203AE" w:rsidRDefault="00863311" w:rsidP="00863311">
            <w:pPr>
              <w:pStyle w:val="TableText"/>
              <w:tabs>
                <w:tab w:val="left" w:pos="3306"/>
              </w:tabs>
              <w:jc w:val="right"/>
              <w:rPr>
                <w:rFonts w:cs="Calibri"/>
              </w:rPr>
            </w:pPr>
          </w:p>
        </w:tc>
      </w:tr>
      <w:tr w:rsidR="00863311" w:rsidRPr="00CF7E1B" w14:paraId="55580C09" w14:textId="77777777" w:rsidTr="0004564D">
        <w:trPr>
          <w:cantSplit/>
          <w:trHeight w:val="20"/>
        </w:trPr>
        <w:tc>
          <w:tcPr>
            <w:tcW w:w="1543" w:type="dxa"/>
            <w:tcBorders>
              <w:top w:val="nil"/>
              <w:left w:val="single" w:sz="2" w:space="0" w:color="auto"/>
              <w:bottom w:val="nil"/>
              <w:right w:val="single" w:sz="2" w:space="0" w:color="auto"/>
            </w:tcBorders>
          </w:tcPr>
          <w:p w14:paraId="6B30D4F7"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B66F9FF" w14:textId="77777777" w:rsidR="00863311" w:rsidRPr="00C203AE" w:rsidRDefault="00863311" w:rsidP="00863311">
            <w:pPr>
              <w:pStyle w:val="TableText"/>
              <w:tabs>
                <w:tab w:val="left" w:pos="3306"/>
              </w:tabs>
              <w:rPr>
                <w:rFonts w:cs="Calibri"/>
                <w:b/>
                <w:bCs/>
              </w:rPr>
            </w:pPr>
            <w:bookmarkStart w:id="935" w:name="_Toc48468773"/>
            <w:bookmarkStart w:id="936" w:name="_Toc49155844"/>
            <w:bookmarkStart w:id="937" w:name="_Toc49224254"/>
            <w:r w:rsidRPr="00C203AE">
              <w:rPr>
                <w:rFonts w:cs="Calibri"/>
                <w:b/>
                <w:bCs/>
              </w:rPr>
              <w:t xml:space="preserve">Expenses </w:t>
            </w:r>
            <w:bookmarkEnd w:id="935"/>
            <w:bookmarkEnd w:id="936"/>
            <w:bookmarkEnd w:id="937"/>
          </w:p>
        </w:tc>
        <w:tc>
          <w:tcPr>
            <w:tcW w:w="703" w:type="dxa"/>
            <w:tcBorders>
              <w:top w:val="nil"/>
              <w:left w:val="nil"/>
              <w:bottom w:val="nil"/>
              <w:right w:val="nil"/>
            </w:tcBorders>
            <w:vAlign w:val="bottom"/>
          </w:tcPr>
          <w:p w14:paraId="489185A0"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1C02ABD"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4343F72"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372C764" w14:textId="77777777" w:rsidR="00863311" w:rsidRPr="00C203AE" w:rsidRDefault="00863311" w:rsidP="00863311">
            <w:pPr>
              <w:pStyle w:val="TableText"/>
              <w:tabs>
                <w:tab w:val="left" w:pos="3306"/>
              </w:tabs>
              <w:jc w:val="right"/>
              <w:rPr>
                <w:rFonts w:cs="Calibri"/>
              </w:rPr>
            </w:pPr>
          </w:p>
        </w:tc>
      </w:tr>
      <w:tr w:rsidR="00863311" w:rsidRPr="00CF7E1B" w14:paraId="55A2AE9E" w14:textId="77777777" w:rsidTr="0004564D">
        <w:trPr>
          <w:cantSplit/>
          <w:trHeight w:val="20"/>
        </w:trPr>
        <w:tc>
          <w:tcPr>
            <w:tcW w:w="1543" w:type="dxa"/>
            <w:tcBorders>
              <w:top w:val="nil"/>
              <w:left w:val="single" w:sz="2" w:space="0" w:color="auto"/>
              <w:bottom w:val="nil"/>
              <w:right w:val="single" w:sz="2" w:space="0" w:color="auto"/>
            </w:tcBorders>
          </w:tcPr>
          <w:p w14:paraId="2DD2A4C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507B179" w14:textId="77777777" w:rsidR="00863311" w:rsidRPr="00C203AE" w:rsidRDefault="00863311" w:rsidP="00863311">
            <w:pPr>
              <w:pStyle w:val="TableText"/>
              <w:tabs>
                <w:tab w:val="left" w:pos="3306"/>
              </w:tabs>
              <w:rPr>
                <w:rFonts w:cs="Calibri"/>
              </w:rPr>
            </w:pPr>
            <w:r w:rsidRPr="00C203AE">
              <w:rPr>
                <w:rFonts w:cs="Calibri"/>
              </w:rPr>
              <w:t>Grants and Purchased Services</w:t>
            </w:r>
          </w:p>
        </w:tc>
        <w:tc>
          <w:tcPr>
            <w:tcW w:w="703" w:type="dxa"/>
            <w:tcBorders>
              <w:top w:val="nil"/>
              <w:left w:val="nil"/>
              <w:bottom w:val="nil"/>
              <w:right w:val="nil"/>
            </w:tcBorders>
            <w:vAlign w:val="bottom"/>
          </w:tcPr>
          <w:p w14:paraId="13302043" w14:textId="5A13A040" w:rsidR="00863311" w:rsidRPr="00C203AE" w:rsidRDefault="00E178FE" w:rsidP="00AB3663">
            <w:pPr>
              <w:pStyle w:val="TableText"/>
              <w:tabs>
                <w:tab w:val="left" w:pos="3306"/>
              </w:tabs>
              <w:jc w:val="center"/>
              <w:rPr>
                <w:rFonts w:cs="Calibri"/>
                <w:strike/>
              </w:rPr>
            </w:pPr>
            <w:r w:rsidRPr="00C203AE">
              <w:rPr>
                <w:rFonts w:cs="Calibri"/>
              </w:rPr>
              <w:t>4</w:t>
            </w:r>
            <w:r w:rsidR="00B40325" w:rsidRPr="00C203AE">
              <w:rPr>
                <w:rFonts w:cs="Calibri"/>
              </w:rPr>
              <w:t>4</w:t>
            </w:r>
          </w:p>
        </w:tc>
        <w:tc>
          <w:tcPr>
            <w:tcW w:w="1123" w:type="dxa"/>
            <w:tcBorders>
              <w:top w:val="nil"/>
              <w:left w:val="nil"/>
              <w:bottom w:val="nil"/>
              <w:right w:val="nil"/>
            </w:tcBorders>
            <w:vAlign w:val="bottom"/>
          </w:tcPr>
          <w:p w14:paraId="385271BF" w14:textId="6694FE0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DE28A32" w14:textId="5F6FFEF6"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06DC89E4" w14:textId="32D639B1" w:rsidR="00863311" w:rsidRPr="00C203AE" w:rsidRDefault="00863311" w:rsidP="00863311">
            <w:pPr>
              <w:pStyle w:val="TableText"/>
              <w:tabs>
                <w:tab w:val="left" w:pos="3306"/>
              </w:tabs>
              <w:jc w:val="right"/>
              <w:rPr>
                <w:rFonts w:cs="Calibri"/>
              </w:rPr>
            </w:pPr>
          </w:p>
        </w:tc>
      </w:tr>
      <w:tr w:rsidR="00863311" w:rsidRPr="00CF7E1B" w14:paraId="7BEBA431" w14:textId="77777777" w:rsidTr="0004564D">
        <w:trPr>
          <w:cantSplit/>
          <w:trHeight w:val="20"/>
        </w:trPr>
        <w:tc>
          <w:tcPr>
            <w:tcW w:w="1543" w:type="dxa"/>
            <w:tcBorders>
              <w:top w:val="nil"/>
              <w:left w:val="single" w:sz="2" w:space="0" w:color="auto"/>
              <w:bottom w:val="nil"/>
              <w:right w:val="single" w:sz="2" w:space="0" w:color="auto"/>
            </w:tcBorders>
          </w:tcPr>
          <w:p w14:paraId="5D11C57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DD1D09C" w14:textId="416C2AE4" w:rsidR="00863311" w:rsidRPr="00C203AE" w:rsidRDefault="00863311" w:rsidP="00863311">
            <w:pPr>
              <w:pStyle w:val="TableText"/>
              <w:tabs>
                <w:tab w:val="left" w:pos="3306"/>
              </w:tabs>
              <w:rPr>
                <w:rFonts w:cs="Calibri"/>
              </w:rPr>
            </w:pPr>
            <w:r w:rsidRPr="00C203AE">
              <w:rPr>
                <w:rFonts w:cs="Calibri"/>
              </w:rPr>
              <w:t xml:space="preserve">Transfer </w:t>
            </w:r>
            <w:r w:rsidR="0051145F" w:rsidRPr="00C203AE">
              <w:rPr>
                <w:rFonts w:cs="Calibri"/>
              </w:rPr>
              <w:t xml:space="preserve">Payments </w:t>
            </w:r>
            <w:r w:rsidRPr="00C203AE">
              <w:rPr>
                <w:rFonts w:cs="Calibri"/>
              </w:rPr>
              <w:t>to Government</w:t>
            </w:r>
          </w:p>
        </w:tc>
        <w:tc>
          <w:tcPr>
            <w:tcW w:w="703" w:type="dxa"/>
            <w:tcBorders>
              <w:top w:val="nil"/>
              <w:left w:val="nil"/>
              <w:bottom w:val="nil"/>
              <w:right w:val="nil"/>
            </w:tcBorders>
            <w:vAlign w:val="bottom"/>
          </w:tcPr>
          <w:p w14:paraId="453CAABE" w14:textId="6190C278" w:rsidR="00863311" w:rsidRPr="00C203AE" w:rsidRDefault="00863311" w:rsidP="00863311">
            <w:pPr>
              <w:pStyle w:val="TableText"/>
              <w:tabs>
                <w:tab w:val="left" w:pos="3306"/>
              </w:tabs>
              <w:jc w:val="center"/>
              <w:rPr>
                <w:rFonts w:cs="Calibri"/>
                <w:strike/>
              </w:rPr>
            </w:pPr>
          </w:p>
        </w:tc>
        <w:tc>
          <w:tcPr>
            <w:tcW w:w="1123" w:type="dxa"/>
            <w:tcBorders>
              <w:top w:val="nil"/>
              <w:left w:val="nil"/>
              <w:bottom w:val="nil"/>
              <w:right w:val="nil"/>
            </w:tcBorders>
            <w:vAlign w:val="bottom"/>
          </w:tcPr>
          <w:p w14:paraId="436F0C19" w14:textId="0FDE07DE"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62FE317" w14:textId="1051094A"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4627B230" w14:textId="7CE24A80" w:rsidR="00863311" w:rsidRPr="00C203AE" w:rsidRDefault="00863311" w:rsidP="00863311">
            <w:pPr>
              <w:pStyle w:val="TableText"/>
              <w:tabs>
                <w:tab w:val="left" w:pos="3306"/>
              </w:tabs>
              <w:jc w:val="right"/>
              <w:rPr>
                <w:rFonts w:cs="Calibri"/>
              </w:rPr>
            </w:pPr>
          </w:p>
        </w:tc>
      </w:tr>
      <w:tr w:rsidR="00863311" w:rsidRPr="00CF7E1B" w14:paraId="7A8D78A6" w14:textId="77777777" w:rsidTr="0004564D">
        <w:trPr>
          <w:cantSplit/>
          <w:trHeight w:val="20"/>
        </w:trPr>
        <w:tc>
          <w:tcPr>
            <w:tcW w:w="1543" w:type="dxa"/>
            <w:tcBorders>
              <w:top w:val="nil"/>
              <w:left w:val="single" w:sz="2" w:space="0" w:color="auto"/>
              <w:bottom w:val="nil"/>
              <w:right w:val="single" w:sz="2" w:space="0" w:color="auto"/>
            </w:tcBorders>
          </w:tcPr>
          <w:p w14:paraId="1A06D3F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12FDFDB4" w14:textId="77777777" w:rsidR="00863311" w:rsidRPr="00C203AE" w:rsidRDefault="00863311" w:rsidP="00863311">
            <w:pPr>
              <w:pStyle w:val="TableText"/>
              <w:tabs>
                <w:tab w:val="left" w:pos="3306"/>
              </w:tabs>
              <w:rPr>
                <w:rFonts w:cs="Calibri"/>
              </w:rPr>
            </w:pPr>
            <w:r w:rsidRPr="00C203AE">
              <w:rPr>
                <w:rFonts w:cs="Calibri"/>
              </w:rPr>
              <w:t>Other Expenses</w:t>
            </w:r>
          </w:p>
        </w:tc>
        <w:tc>
          <w:tcPr>
            <w:tcW w:w="703" w:type="dxa"/>
            <w:tcBorders>
              <w:top w:val="nil"/>
              <w:left w:val="nil"/>
              <w:bottom w:val="nil"/>
              <w:right w:val="nil"/>
            </w:tcBorders>
            <w:vAlign w:val="bottom"/>
          </w:tcPr>
          <w:p w14:paraId="34FA8F80" w14:textId="42A2D20C" w:rsidR="00863311" w:rsidRPr="00C203AE" w:rsidRDefault="00E178FE" w:rsidP="00863311">
            <w:pPr>
              <w:pStyle w:val="TableText"/>
              <w:tabs>
                <w:tab w:val="left" w:pos="3306"/>
              </w:tabs>
              <w:jc w:val="center"/>
              <w:rPr>
                <w:rFonts w:cs="Calibri"/>
                <w:strike/>
              </w:rPr>
            </w:pPr>
            <w:r w:rsidRPr="00C203AE">
              <w:rPr>
                <w:rFonts w:cs="Calibri"/>
              </w:rPr>
              <w:t>4</w:t>
            </w:r>
            <w:r w:rsidR="00B40325" w:rsidRPr="00C203AE">
              <w:rPr>
                <w:rFonts w:cs="Calibri"/>
              </w:rPr>
              <w:t>5</w:t>
            </w:r>
          </w:p>
        </w:tc>
        <w:tc>
          <w:tcPr>
            <w:tcW w:w="1123" w:type="dxa"/>
            <w:tcBorders>
              <w:top w:val="nil"/>
              <w:left w:val="nil"/>
              <w:bottom w:val="single" w:sz="2" w:space="0" w:color="auto"/>
              <w:right w:val="nil"/>
            </w:tcBorders>
            <w:vAlign w:val="bottom"/>
          </w:tcPr>
          <w:p w14:paraId="0B5FE251" w14:textId="5088141F"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7879F578" w14:textId="6AA82B0A"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79CAF7B3" w14:textId="53E09B07" w:rsidR="00863311" w:rsidRPr="00C203AE" w:rsidRDefault="00863311" w:rsidP="00863311">
            <w:pPr>
              <w:pStyle w:val="TableText"/>
              <w:tabs>
                <w:tab w:val="left" w:pos="3306"/>
              </w:tabs>
              <w:jc w:val="right"/>
              <w:rPr>
                <w:rFonts w:cs="Calibri"/>
              </w:rPr>
            </w:pPr>
          </w:p>
        </w:tc>
      </w:tr>
      <w:tr w:rsidR="00863311" w:rsidRPr="00CF7E1B" w14:paraId="78C98673" w14:textId="77777777" w:rsidTr="0004564D">
        <w:trPr>
          <w:cantSplit/>
          <w:trHeight w:val="20"/>
        </w:trPr>
        <w:tc>
          <w:tcPr>
            <w:tcW w:w="1543" w:type="dxa"/>
            <w:tcBorders>
              <w:top w:val="nil"/>
              <w:left w:val="single" w:sz="2" w:space="0" w:color="auto"/>
              <w:bottom w:val="nil"/>
              <w:right w:val="single" w:sz="2" w:space="0" w:color="auto"/>
            </w:tcBorders>
          </w:tcPr>
          <w:p w14:paraId="205A646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CB87A2" w14:textId="77777777" w:rsidR="00863311" w:rsidRPr="00C203AE" w:rsidRDefault="00863311" w:rsidP="00863311">
            <w:pPr>
              <w:pStyle w:val="TableText"/>
              <w:tabs>
                <w:tab w:val="left" w:pos="3306"/>
              </w:tabs>
              <w:rPr>
                <w:rFonts w:cs="Calibri"/>
                <w:b/>
                <w:bCs/>
              </w:rPr>
            </w:pPr>
            <w:r w:rsidRPr="00C203AE">
              <w:rPr>
                <w:rFonts w:cs="Calibri"/>
                <w:b/>
                <w:bCs/>
              </w:rPr>
              <w:t>Total Expenses</w:t>
            </w:r>
          </w:p>
        </w:tc>
        <w:tc>
          <w:tcPr>
            <w:tcW w:w="703" w:type="dxa"/>
            <w:tcBorders>
              <w:top w:val="nil"/>
              <w:left w:val="nil"/>
              <w:bottom w:val="nil"/>
              <w:right w:val="nil"/>
            </w:tcBorders>
            <w:vAlign w:val="bottom"/>
          </w:tcPr>
          <w:p w14:paraId="091F2A1F"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single" w:sz="2" w:space="0" w:color="auto"/>
              <w:right w:val="nil"/>
            </w:tcBorders>
            <w:vAlign w:val="bottom"/>
          </w:tcPr>
          <w:p w14:paraId="0B9F99B1" w14:textId="5BAE38C8"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single" w:sz="2" w:space="0" w:color="auto"/>
              <w:right w:val="nil"/>
            </w:tcBorders>
            <w:vAlign w:val="bottom"/>
          </w:tcPr>
          <w:p w14:paraId="04D7D826" w14:textId="25CD9A89"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single" w:sz="2" w:space="0" w:color="auto"/>
              <w:right w:val="nil"/>
            </w:tcBorders>
            <w:vAlign w:val="bottom"/>
          </w:tcPr>
          <w:p w14:paraId="678BC9CC" w14:textId="0F78BBE9" w:rsidR="00863311" w:rsidRPr="00C203AE" w:rsidRDefault="00863311" w:rsidP="00863311">
            <w:pPr>
              <w:pStyle w:val="TableText"/>
              <w:tabs>
                <w:tab w:val="left" w:pos="3306"/>
              </w:tabs>
              <w:jc w:val="right"/>
              <w:rPr>
                <w:rFonts w:cs="Calibri"/>
                <w:b/>
                <w:bCs/>
              </w:rPr>
            </w:pPr>
          </w:p>
        </w:tc>
      </w:tr>
      <w:tr w:rsidR="00863311" w:rsidRPr="00CF7E1B" w14:paraId="3FCA8E2D" w14:textId="77777777" w:rsidTr="0004564D">
        <w:trPr>
          <w:cantSplit/>
          <w:trHeight w:val="20"/>
        </w:trPr>
        <w:tc>
          <w:tcPr>
            <w:tcW w:w="1543" w:type="dxa"/>
            <w:tcBorders>
              <w:top w:val="nil"/>
              <w:left w:val="single" w:sz="2" w:space="0" w:color="auto"/>
              <w:bottom w:val="nil"/>
              <w:right w:val="single" w:sz="2" w:space="0" w:color="auto"/>
            </w:tcBorders>
          </w:tcPr>
          <w:p w14:paraId="6637E6D5"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099F595E"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41341269" w14:textId="77777777" w:rsidR="00863311" w:rsidRPr="00C203AE" w:rsidRDefault="00863311" w:rsidP="00863311">
            <w:pPr>
              <w:pStyle w:val="TableText"/>
              <w:tabs>
                <w:tab w:val="left" w:pos="3306"/>
              </w:tabs>
              <w:jc w:val="center"/>
              <w:rPr>
                <w:rFonts w:cs="Calibri"/>
              </w:rPr>
            </w:pPr>
          </w:p>
        </w:tc>
        <w:tc>
          <w:tcPr>
            <w:tcW w:w="1123" w:type="dxa"/>
            <w:tcBorders>
              <w:top w:val="single" w:sz="2" w:space="0" w:color="auto"/>
              <w:left w:val="nil"/>
              <w:bottom w:val="single" w:sz="2" w:space="0" w:color="auto"/>
              <w:right w:val="nil"/>
            </w:tcBorders>
            <w:vAlign w:val="bottom"/>
          </w:tcPr>
          <w:p w14:paraId="05B326E1" w14:textId="77777777"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single" w:sz="2" w:space="0" w:color="auto"/>
              <w:right w:val="nil"/>
            </w:tcBorders>
            <w:vAlign w:val="bottom"/>
          </w:tcPr>
          <w:p w14:paraId="44E74C52" w14:textId="77777777"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single" w:sz="2" w:space="0" w:color="auto"/>
              <w:right w:val="nil"/>
            </w:tcBorders>
            <w:vAlign w:val="bottom"/>
          </w:tcPr>
          <w:p w14:paraId="7867C3AC" w14:textId="77777777" w:rsidR="00863311" w:rsidRPr="00C203AE" w:rsidRDefault="00863311" w:rsidP="00863311">
            <w:pPr>
              <w:pStyle w:val="TableText"/>
              <w:tabs>
                <w:tab w:val="left" w:pos="3306"/>
              </w:tabs>
              <w:jc w:val="right"/>
              <w:rPr>
                <w:rFonts w:cs="Calibri"/>
              </w:rPr>
            </w:pPr>
          </w:p>
        </w:tc>
      </w:tr>
      <w:tr w:rsidR="00863311" w:rsidRPr="00CF7E1B" w14:paraId="642133B9" w14:textId="77777777" w:rsidTr="0004564D">
        <w:trPr>
          <w:cantSplit/>
          <w:trHeight w:val="20"/>
        </w:trPr>
        <w:tc>
          <w:tcPr>
            <w:tcW w:w="1543" w:type="dxa"/>
            <w:tcBorders>
              <w:top w:val="nil"/>
              <w:left w:val="single" w:sz="2" w:space="0" w:color="auto"/>
              <w:bottom w:val="nil"/>
              <w:right w:val="single" w:sz="2" w:space="0" w:color="auto"/>
            </w:tcBorders>
          </w:tcPr>
          <w:p w14:paraId="58BD3561"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6DB5ACB1" w14:textId="4597EEC7" w:rsidR="00863311" w:rsidRPr="00C203AE" w:rsidRDefault="00863311" w:rsidP="00863311">
            <w:pPr>
              <w:pStyle w:val="TableText"/>
              <w:tabs>
                <w:tab w:val="left" w:pos="3306"/>
              </w:tabs>
              <w:rPr>
                <w:rFonts w:cs="Calibri"/>
                <w:b/>
                <w:bCs/>
              </w:rPr>
            </w:pPr>
            <w:r w:rsidRPr="00C203AE">
              <w:rPr>
                <w:rFonts w:cs="Calibri"/>
                <w:b/>
                <w:bCs/>
              </w:rPr>
              <w:t xml:space="preserve">Operating </w:t>
            </w:r>
            <w:r w:rsidR="006841A9" w:rsidRPr="00C203AE">
              <w:rPr>
                <w:rFonts w:cs="Calibri"/>
                <w:b/>
                <w:bCs/>
              </w:rPr>
              <w:t>Result</w:t>
            </w:r>
          </w:p>
        </w:tc>
        <w:tc>
          <w:tcPr>
            <w:tcW w:w="703" w:type="dxa"/>
            <w:tcBorders>
              <w:top w:val="nil"/>
              <w:left w:val="nil"/>
              <w:bottom w:val="nil"/>
              <w:right w:val="nil"/>
            </w:tcBorders>
            <w:vAlign w:val="bottom"/>
          </w:tcPr>
          <w:p w14:paraId="6DAEF610"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double" w:sz="4" w:space="0" w:color="auto"/>
              <w:right w:val="nil"/>
            </w:tcBorders>
            <w:vAlign w:val="bottom"/>
          </w:tcPr>
          <w:p w14:paraId="6C22B613" w14:textId="6EC2950E"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double" w:sz="4" w:space="0" w:color="auto"/>
              <w:right w:val="nil"/>
            </w:tcBorders>
            <w:vAlign w:val="bottom"/>
          </w:tcPr>
          <w:p w14:paraId="0AAFF742" w14:textId="3C5A4980"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double" w:sz="4" w:space="0" w:color="auto"/>
              <w:right w:val="nil"/>
            </w:tcBorders>
            <w:vAlign w:val="bottom"/>
          </w:tcPr>
          <w:p w14:paraId="1BAD584D" w14:textId="45C547A4" w:rsidR="00863311" w:rsidRPr="00C203AE" w:rsidRDefault="00863311" w:rsidP="00863311">
            <w:pPr>
              <w:pStyle w:val="TableText"/>
              <w:tabs>
                <w:tab w:val="left" w:pos="3306"/>
              </w:tabs>
              <w:jc w:val="right"/>
              <w:rPr>
                <w:rFonts w:cs="Calibri"/>
                <w:b/>
                <w:bCs/>
              </w:rPr>
            </w:pPr>
          </w:p>
        </w:tc>
      </w:tr>
      <w:tr w:rsidR="00863311" w:rsidRPr="00CF7E1B" w14:paraId="6282EA2E" w14:textId="77777777" w:rsidTr="0004564D">
        <w:trPr>
          <w:cantSplit/>
          <w:trHeight w:val="20"/>
        </w:trPr>
        <w:tc>
          <w:tcPr>
            <w:tcW w:w="1543" w:type="dxa"/>
            <w:tcBorders>
              <w:top w:val="nil"/>
              <w:left w:val="single" w:sz="2" w:space="0" w:color="auto"/>
              <w:bottom w:val="nil"/>
              <w:right w:val="single" w:sz="2" w:space="0" w:color="auto"/>
            </w:tcBorders>
          </w:tcPr>
          <w:p w14:paraId="68CA316C"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vAlign w:val="bottom"/>
          </w:tcPr>
          <w:p w14:paraId="2FD6E7AF" w14:textId="77777777" w:rsidR="00863311" w:rsidRPr="00C203AE" w:rsidRDefault="00863311" w:rsidP="00863311">
            <w:pPr>
              <w:pStyle w:val="TableText"/>
              <w:tabs>
                <w:tab w:val="left" w:pos="3306"/>
              </w:tabs>
              <w:rPr>
                <w:rFonts w:cs="Calibri"/>
                <w:sz w:val="12"/>
              </w:rPr>
            </w:pPr>
          </w:p>
        </w:tc>
      </w:tr>
      <w:tr w:rsidR="00863311" w:rsidRPr="00CF7E1B" w14:paraId="48606CEC" w14:textId="77777777" w:rsidTr="0004564D">
        <w:trPr>
          <w:cantSplit/>
          <w:trHeight w:val="20"/>
        </w:trPr>
        <w:tc>
          <w:tcPr>
            <w:tcW w:w="1543" w:type="dxa"/>
            <w:tcBorders>
              <w:top w:val="nil"/>
              <w:left w:val="single" w:sz="2" w:space="0" w:color="auto"/>
              <w:bottom w:val="nil"/>
              <w:right w:val="single" w:sz="2" w:space="0" w:color="auto"/>
            </w:tcBorders>
          </w:tcPr>
          <w:p w14:paraId="535EDD19" w14:textId="77777777" w:rsidR="00863311" w:rsidRPr="00C203AE" w:rsidRDefault="0086331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7954E19E" w14:textId="2D6A0826" w:rsidR="00863311" w:rsidRPr="00C203AE" w:rsidRDefault="00863311" w:rsidP="009963B2">
            <w:pPr>
              <w:pStyle w:val="CommentaryReference"/>
              <w:spacing w:after="120"/>
              <w:jc w:val="both"/>
              <w:rPr>
                <w:rFonts w:cs="Calibri"/>
                <w:sz w:val="18"/>
                <w:szCs w:val="18"/>
              </w:rPr>
            </w:pPr>
            <w:r w:rsidRPr="00C203AE">
              <w:rPr>
                <w:rFonts w:cs="Calibri"/>
                <w:sz w:val="18"/>
                <w:szCs w:val="18"/>
              </w:rPr>
              <w:t xml:space="preserve">The above Statement of Income and Expenses on Behalf of the Territory </w:t>
            </w:r>
            <w:r w:rsidR="004F4683" w:rsidRPr="00C203AE">
              <w:rPr>
                <w:rFonts w:cs="Calibri"/>
                <w:bCs/>
                <w:sz w:val="18"/>
                <w:szCs w:val="18"/>
              </w:rPr>
              <w:t>is to</w:t>
            </w:r>
            <w:r w:rsidR="004F4683" w:rsidRPr="00C203AE">
              <w:rPr>
                <w:rFonts w:asciiTheme="minorHAnsi" w:hAnsiTheme="minorHAnsi" w:cstheme="minorHAnsi"/>
                <w:sz w:val="18"/>
                <w:szCs w:val="18"/>
              </w:rPr>
              <w:t xml:space="preserve"> </w:t>
            </w:r>
            <w:r w:rsidRPr="00C203AE">
              <w:rPr>
                <w:rFonts w:cs="Calibri"/>
                <w:sz w:val="18"/>
                <w:szCs w:val="18"/>
              </w:rPr>
              <w:t>be read in conjunction with the accompanying notes.</w:t>
            </w:r>
          </w:p>
        </w:tc>
      </w:tr>
      <w:tr w:rsidR="00300197" w:rsidRPr="00CF7E1B" w14:paraId="515F3BA4" w14:textId="77777777" w:rsidTr="0004564D">
        <w:trPr>
          <w:cantSplit/>
          <w:trHeight w:val="20"/>
        </w:trPr>
        <w:tc>
          <w:tcPr>
            <w:tcW w:w="1543" w:type="dxa"/>
            <w:tcBorders>
              <w:top w:val="nil"/>
              <w:left w:val="single" w:sz="2" w:space="0" w:color="auto"/>
              <w:bottom w:val="nil"/>
              <w:right w:val="single" w:sz="2" w:space="0" w:color="auto"/>
            </w:tcBorders>
          </w:tcPr>
          <w:p w14:paraId="4AE5453F" w14:textId="77777777" w:rsidR="00300197" w:rsidRPr="00C203AE" w:rsidRDefault="00300197"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589E70EE" w14:textId="5FBA7A0B" w:rsidR="00300197" w:rsidRPr="00C203AE" w:rsidRDefault="003A4D81" w:rsidP="009963B2">
            <w:pPr>
              <w:pStyle w:val="CommentaryReference"/>
              <w:spacing w:after="120"/>
              <w:jc w:val="both"/>
              <w:rPr>
                <w:rFonts w:cs="Calibri"/>
                <w:sz w:val="18"/>
                <w:szCs w:val="18"/>
              </w:rPr>
            </w:pPr>
            <w:r w:rsidRPr="00C203AE">
              <w:rPr>
                <w:rFonts w:cs="Calibri"/>
                <w:sz w:val="16"/>
              </w:rPr>
              <w:t># Refer to the Territorial Statement of Appropriation.</w:t>
            </w:r>
          </w:p>
        </w:tc>
      </w:tr>
      <w:tr w:rsidR="00354061" w:rsidRPr="00CF7E1B" w14:paraId="6F87F8B6" w14:textId="77777777" w:rsidTr="0004564D">
        <w:trPr>
          <w:cantSplit/>
          <w:trHeight w:val="20"/>
        </w:trPr>
        <w:tc>
          <w:tcPr>
            <w:tcW w:w="1543" w:type="dxa"/>
            <w:tcBorders>
              <w:top w:val="nil"/>
              <w:left w:val="single" w:sz="2" w:space="0" w:color="auto"/>
              <w:bottom w:val="nil"/>
              <w:right w:val="single" w:sz="2" w:space="0" w:color="auto"/>
            </w:tcBorders>
          </w:tcPr>
          <w:p w14:paraId="3239A24E" w14:textId="77777777" w:rsidR="00354061" w:rsidRPr="00C203AE" w:rsidRDefault="0035406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6814582F" w14:textId="77777777" w:rsidR="00354061" w:rsidRPr="000C06DA" w:rsidRDefault="00354061" w:rsidP="009963B2">
            <w:pPr>
              <w:pStyle w:val="CommentaryReference"/>
              <w:spacing w:after="120"/>
              <w:jc w:val="both"/>
              <w:rPr>
                <w:rFonts w:cs="Calibri"/>
                <w:color w:val="FF0000"/>
                <w:sz w:val="16"/>
              </w:rPr>
            </w:pPr>
          </w:p>
        </w:tc>
      </w:tr>
      <w:tr w:rsidR="00863311" w:rsidRPr="00CF7E1B" w14:paraId="66420144" w14:textId="77777777" w:rsidTr="0004564D">
        <w:trPr>
          <w:cantSplit/>
          <w:trHeight w:val="20"/>
        </w:trPr>
        <w:tc>
          <w:tcPr>
            <w:tcW w:w="1543" w:type="dxa"/>
            <w:tcBorders>
              <w:top w:val="nil"/>
              <w:left w:val="single" w:sz="2" w:space="0" w:color="auto"/>
              <w:bottom w:val="nil"/>
              <w:right w:val="single" w:sz="2" w:space="0" w:color="auto"/>
            </w:tcBorders>
          </w:tcPr>
          <w:p w14:paraId="3DAE8424" w14:textId="660BE4B7" w:rsidR="00863311" w:rsidRPr="00C203AE" w:rsidRDefault="00863311" w:rsidP="00C24DC3">
            <w:pPr>
              <w:pStyle w:val="TableReference"/>
              <w:tabs>
                <w:tab w:val="left" w:pos="3306"/>
              </w:tabs>
              <w:spacing w:before="240" w:after="240"/>
              <w:rPr>
                <w:rFonts w:cs="Calibri"/>
                <w:b/>
                <w:strike/>
                <w:color w:val="7030A0"/>
                <w:sz w:val="20"/>
                <w:szCs w:val="20"/>
              </w:rPr>
            </w:pPr>
          </w:p>
        </w:tc>
        <w:tc>
          <w:tcPr>
            <w:tcW w:w="8837" w:type="dxa"/>
            <w:gridSpan w:val="5"/>
            <w:tcBorders>
              <w:top w:val="nil"/>
              <w:left w:val="single" w:sz="2" w:space="0" w:color="auto"/>
              <w:bottom w:val="nil"/>
              <w:right w:val="nil"/>
            </w:tcBorders>
            <w:shd w:val="clear" w:color="auto" w:fill="7030A0"/>
            <w:vAlign w:val="bottom"/>
          </w:tcPr>
          <w:p w14:paraId="6B102AAC" w14:textId="77777777" w:rsidR="00863311" w:rsidRPr="00C203AE" w:rsidRDefault="00863311"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Commentary – Statement of Income and Expenses on Behalf of the Territory</w:t>
            </w:r>
          </w:p>
        </w:tc>
      </w:tr>
      <w:tr w:rsidR="00863311" w:rsidRPr="00CF7E1B" w14:paraId="39E2E94F" w14:textId="77777777" w:rsidTr="0004564D">
        <w:trPr>
          <w:cantSplit/>
          <w:trHeight w:val="20"/>
        </w:trPr>
        <w:tc>
          <w:tcPr>
            <w:tcW w:w="1543" w:type="dxa"/>
            <w:tcBorders>
              <w:top w:val="nil"/>
              <w:left w:val="single" w:sz="2" w:space="0" w:color="auto"/>
              <w:bottom w:val="nil"/>
              <w:right w:val="single" w:sz="2" w:space="0" w:color="auto"/>
            </w:tcBorders>
          </w:tcPr>
          <w:p w14:paraId="79BE9223" w14:textId="2B3857BE" w:rsidR="00894956" w:rsidRPr="00C203AE" w:rsidRDefault="00894956"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0717DF6C" w14:textId="299DB7DA" w:rsidR="00DF1E5C" w:rsidRPr="00C203AE" w:rsidRDefault="00863311" w:rsidP="00AB3663">
            <w:pPr>
              <w:pStyle w:val="CommentaryText"/>
              <w:rPr>
                <w:rFonts w:cs="Calibri"/>
                <w:color w:val="FFFFFF" w:themeColor="background1"/>
                <w:sz w:val="18"/>
                <w:szCs w:val="18"/>
              </w:rPr>
            </w:pPr>
            <w:r w:rsidRPr="00C203AE">
              <w:rPr>
                <w:rFonts w:cs="Calibri"/>
                <w:color w:val="FFFFFF" w:themeColor="background1"/>
                <w:sz w:val="18"/>
                <w:szCs w:val="18"/>
              </w:rPr>
              <w:t xml:space="preserve">With the exception of the </w:t>
            </w:r>
            <w:r w:rsidRPr="00C203AE">
              <w:rPr>
                <w:rFonts w:cs="Calibri"/>
                <w:bCs/>
                <w:color w:val="FFFFFF" w:themeColor="background1"/>
                <w:sz w:val="18"/>
                <w:szCs w:val="18"/>
              </w:rPr>
              <w:t xml:space="preserve">Operating </w:t>
            </w:r>
            <w:r w:rsidR="006841A9" w:rsidRPr="00C203AE">
              <w:rPr>
                <w:rFonts w:cs="Calibri"/>
                <w:color w:val="FFFFFF" w:themeColor="background1"/>
                <w:sz w:val="18"/>
                <w:szCs w:val="18"/>
              </w:rPr>
              <w:t xml:space="preserve">Result </w:t>
            </w:r>
            <w:r w:rsidRPr="00C203AE">
              <w:rPr>
                <w:rFonts w:cs="Calibri"/>
                <w:color w:val="FFFFFF" w:themeColor="background1"/>
                <w:sz w:val="18"/>
                <w:szCs w:val="18"/>
              </w:rPr>
              <w:t xml:space="preserve">total line, if an </w:t>
            </w:r>
            <w:r w:rsidR="00D65811" w:rsidRPr="00C203AE">
              <w:rPr>
                <w:rFonts w:cs="Calibri"/>
                <w:color w:val="FFFFFF" w:themeColor="background1"/>
                <w:sz w:val="18"/>
                <w:szCs w:val="18"/>
              </w:rPr>
              <w:t>a</w:t>
            </w:r>
            <w:r w:rsidRPr="00C203AE">
              <w:rPr>
                <w:rFonts w:cs="Calibri"/>
                <w:color w:val="FFFFFF" w:themeColor="background1"/>
                <w:sz w:val="18"/>
                <w:szCs w:val="18"/>
              </w:rPr>
              <w:t>gency does not have an amount against a line item it should not be included</w:t>
            </w:r>
            <w:r w:rsidR="00003322" w:rsidRPr="00C203AE">
              <w:rPr>
                <w:rFonts w:cs="Calibri"/>
                <w:color w:val="FFFFFF" w:themeColor="background1"/>
                <w:sz w:val="18"/>
                <w:szCs w:val="18"/>
              </w:rPr>
              <w:t xml:space="preserve"> on the face of the Statement of Income and Expenses on Behalf of the Territory</w:t>
            </w:r>
            <w:r w:rsidRPr="00C203AE">
              <w:rPr>
                <w:rFonts w:cs="Calibri"/>
                <w:color w:val="FFFFFF" w:themeColor="background1"/>
                <w:sz w:val="18"/>
                <w:szCs w:val="18"/>
              </w:rPr>
              <w:t>.</w:t>
            </w:r>
          </w:p>
        </w:tc>
      </w:tr>
      <w:tr w:rsidR="009963B2" w:rsidRPr="00CF7E1B" w14:paraId="3E0D9C5C" w14:textId="77777777" w:rsidTr="0004564D">
        <w:trPr>
          <w:cantSplit/>
          <w:trHeight w:val="20"/>
        </w:trPr>
        <w:tc>
          <w:tcPr>
            <w:tcW w:w="1543" w:type="dxa"/>
            <w:tcBorders>
              <w:top w:val="nil"/>
              <w:left w:val="single" w:sz="2" w:space="0" w:color="auto"/>
              <w:bottom w:val="nil"/>
              <w:right w:val="single" w:sz="2" w:space="0" w:color="auto"/>
            </w:tcBorders>
          </w:tcPr>
          <w:p w14:paraId="2F2C0011" w14:textId="77777777" w:rsidR="009963B2" w:rsidRPr="00C203AE" w:rsidRDefault="009963B2"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460B6424" w14:textId="429633E0" w:rsidR="009963B2" w:rsidRPr="00C203AE" w:rsidRDefault="009963B2" w:rsidP="00863311">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increase/(decrease) in the Asset Revaluation Surplus which means that Other Comprehensive Income and Total Comprehensive Income is included in the Statement of Income and Expenses on Behalf of the Territory.</w:t>
            </w:r>
          </w:p>
        </w:tc>
      </w:tr>
      <w:tr w:rsidR="00863311" w:rsidRPr="00CF7E1B" w14:paraId="3662F1E3" w14:textId="77777777" w:rsidTr="0004564D">
        <w:trPr>
          <w:cantSplit/>
          <w:trHeight w:val="20"/>
        </w:trPr>
        <w:tc>
          <w:tcPr>
            <w:tcW w:w="1543" w:type="dxa"/>
            <w:tcBorders>
              <w:top w:val="nil"/>
              <w:left w:val="single" w:sz="2" w:space="0" w:color="auto"/>
              <w:bottom w:val="nil"/>
              <w:right w:val="single" w:sz="2" w:space="0" w:color="auto"/>
            </w:tcBorders>
          </w:tcPr>
          <w:p w14:paraId="511D4295"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6A902186" w14:textId="77777777" w:rsidR="00863311" w:rsidRPr="00A84CC0" w:rsidRDefault="00863311" w:rsidP="003173AE">
            <w:pPr>
              <w:pStyle w:val="CommentaryText"/>
              <w:spacing w:before="120"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21115E6F" w14:textId="77777777" w:rsidTr="0004564D">
        <w:trPr>
          <w:cantSplit/>
          <w:trHeight w:val="211"/>
        </w:trPr>
        <w:tc>
          <w:tcPr>
            <w:tcW w:w="1543" w:type="dxa"/>
            <w:tcBorders>
              <w:top w:val="nil"/>
              <w:left w:val="single" w:sz="2" w:space="0" w:color="auto"/>
              <w:bottom w:val="nil"/>
              <w:right w:val="single" w:sz="2" w:space="0" w:color="auto"/>
            </w:tcBorders>
          </w:tcPr>
          <w:p w14:paraId="0CE67400"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7FFCD201" w14:textId="48B48096"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w:t>
            </w:r>
            <w:r w:rsidR="00B13049">
              <w:rPr>
                <w:rFonts w:cs="Calibri"/>
                <w:color w:val="FFFFFF" w:themeColor="background1"/>
                <w:sz w:val="18"/>
                <w:szCs w:val="18"/>
              </w:rPr>
              <w:t>2</w:t>
            </w:r>
            <w:r w:rsidR="00300197" w:rsidRPr="00C203AE">
              <w:rPr>
                <w:rFonts w:cs="Calibri"/>
                <w:color w:val="FFFFFF" w:themeColor="background1"/>
                <w:sz w:val="18"/>
                <w:szCs w:val="18"/>
              </w:rPr>
              <w:t>-2</w:t>
            </w:r>
            <w:r w:rsidR="00B13049">
              <w:rPr>
                <w:rFonts w:cs="Calibri"/>
                <w:color w:val="FFFFFF" w:themeColor="background1"/>
                <w:sz w:val="18"/>
                <w:szCs w:val="18"/>
              </w:rPr>
              <w:t>3</w:t>
            </w:r>
            <w:r w:rsidR="00FF0025" w:rsidRPr="00C203AE">
              <w:rPr>
                <w:rFonts w:cs="Calibri"/>
                <w:color w:val="FFFFFF" w:themeColor="background1"/>
                <w:sz w:val="18"/>
                <w:szCs w:val="18"/>
              </w:rPr>
              <w:t xml:space="preserve"> </w:t>
            </w:r>
            <w:r w:rsidRPr="00C203AE">
              <w:rPr>
                <w:rFonts w:cs="Calibri"/>
                <w:color w:val="FFFFFF" w:themeColor="background1"/>
                <w:sz w:val="18"/>
                <w:szCs w:val="18"/>
              </w:rPr>
              <w:t>Budget Papers.</w:t>
            </w:r>
          </w:p>
        </w:tc>
      </w:tr>
      <w:bookmarkEnd w:id="923"/>
    </w:tbl>
    <w:p w14:paraId="1922D663" w14:textId="77777777" w:rsidR="00EC64D1" w:rsidRDefault="00863311" w:rsidP="00EC64D1">
      <w:pPr>
        <w:spacing w:before="360" w:line="400" w:lineRule="exact"/>
        <w:jc w:val="center"/>
      </w:pPr>
      <w:r w:rsidRPr="00CF7E1B">
        <w:br w:type="page"/>
      </w:r>
      <w:bookmarkStart w:id="938" w:name="_Toc194918660"/>
      <w:bookmarkStart w:id="939" w:name="_Toc253496236"/>
    </w:p>
    <w:p w14:paraId="32609BB8" w14:textId="5333C933" w:rsidR="00863311" w:rsidRPr="007D29FB" w:rsidRDefault="00863311" w:rsidP="00A2241D">
      <w:pPr>
        <w:spacing w:line="400" w:lineRule="exact"/>
        <w:jc w:val="center"/>
        <w:rPr>
          <w:b/>
          <w:sz w:val="40"/>
          <w:szCs w:val="40"/>
        </w:rPr>
      </w:pPr>
      <w:r w:rsidRPr="007D29FB">
        <w:rPr>
          <w:b/>
          <w:sz w:val="40"/>
          <w:szCs w:val="40"/>
        </w:rPr>
        <w:t>‘</w:t>
      </w:r>
      <w:r w:rsidR="00027610" w:rsidRPr="00C203AE">
        <w:rPr>
          <w:b/>
          <w:sz w:val="40"/>
          <w:szCs w:val="40"/>
        </w:rPr>
        <w:t xml:space="preserve">Burley Griffin </w:t>
      </w:r>
      <w:r w:rsidRPr="007D29FB">
        <w:rPr>
          <w:b/>
          <w:sz w:val="40"/>
          <w:szCs w:val="40"/>
        </w:rPr>
        <w:t>Agency’</w:t>
      </w:r>
      <w:bookmarkEnd w:id="938"/>
      <w:bookmarkEnd w:id="939"/>
    </w:p>
    <w:p w14:paraId="3F42C20D" w14:textId="77777777" w:rsidR="00863311" w:rsidRPr="00C203AE" w:rsidRDefault="00863311" w:rsidP="00226363">
      <w:pPr>
        <w:pStyle w:val="Subtitle"/>
        <w:spacing w:line="400" w:lineRule="exact"/>
        <w:rPr>
          <w:rFonts w:ascii="Calibri" w:hAnsi="Calibri"/>
          <w:szCs w:val="40"/>
        </w:rPr>
      </w:pPr>
      <w:bookmarkStart w:id="940" w:name="_Toc49224255"/>
      <w:bookmarkStart w:id="941" w:name="_Toc50440407"/>
      <w:bookmarkStart w:id="942" w:name="_Toc194918661"/>
      <w:bookmarkStart w:id="943" w:name="_Toc223433219"/>
      <w:bookmarkStart w:id="944" w:name="_Toc253496237"/>
      <w:bookmarkStart w:id="945" w:name="_Toc400627368"/>
      <w:bookmarkStart w:id="946" w:name="_Toc132743840"/>
      <w:r w:rsidRPr="00C203AE">
        <w:rPr>
          <w:rFonts w:ascii="Calibri" w:hAnsi="Calibri"/>
          <w:szCs w:val="40"/>
        </w:rPr>
        <w:t>Statement of Assets and Liabilities</w:t>
      </w:r>
      <w:r w:rsidR="00027960" w:rsidRPr="00C203AE">
        <w:rPr>
          <w:rFonts w:ascii="Calibri" w:hAnsi="Calibri"/>
          <w:szCs w:val="40"/>
        </w:rPr>
        <w:t xml:space="preserve"> </w:t>
      </w:r>
      <w:r w:rsidRPr="00C203AE">
        <w:rPr>
          <w:rFonts w:ascii="Calibri" w:hAnsi="Calibri"/>
          <w:szCs w:val="40"/>
        </w:rPr>
        <w:t>on Behalf of the Territory</w:t>
      </w:r>
      <w:bookmarkEnd w:id="940"/>
      <w:bookmarkEnd w:id="941"/>
      <w:bookmarkEnd w:id="942"/>
      <w:bookmarkEnd w:id="943"/>
      <w:bookmarkEnd w:id="944"/>
      <w:bookmarkEnd w:id="945"/>
      <w:bookmarkEnd w:id="946"/>
    </w:p>
    <w:p w14:paraId="7F1B4F40" w14:textId="0E9F670B" w:rsidR="00863311" w:rsidRPr="007D29FB" w:rsidRDefault="00863311" w:rsidP="00226363">
      <w:pPr>
        <w:spacing w:line="400" w:lineRule="exact"/>
        <w:jc w:val="center"/>
        <w:rPr>
          <w:b/>
          <w:sz w:val="40"/>
          <w:szCs w:val="40"/>
        </w:rPr>
      </w:pPr>
      <w:r w:rsidRPr="007D29FB">
        <w:rPr>
          <w:b/>
          <w:sz w:val="40"/>
          <w:szCs w:val="40"/>
        </w:rPr>
        <w:t xml:space="preserve">As at 30 June </w:t>
      </w:r>
      <w:r w:rsidR="006973C8" w:rsidRPr="00C203AE">
        <w:rPr>
          <w:b/>
          <w:sz w:val="40"/>
          <w:szCs w:val="40"/>
        </w:rPr>
        <w:t>202</w:t>
      </w:r>
      <w:r w:rsidR="00B13049">
        <w:rPr>
          <w:b/>
          <w:sz w:val="40"/>
          <w:szCs w:val="40"/>
        </w:rPr>
        <w:t>3</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4604"/>
        <w:gridCol w:w="672"/>
        <w:gridCol w:w="1113"/>
        <w:gridCol w:w="1234"/>
        <w:gridCol w:w="1201"/>
        <w:gridCol w:w="24"/>
      </w:tblGrid>
      <w:tr w:rsidR="00863311" w:rsidRPr="00CF7E1B" w14:paraId="4E5D9E60" w14:textId="77777777" w:rsidTr="0004564D">
        <w:trPr>
          <w:gridAfter w:val="1"/>
          <w:wAfter w:w="24" w:type="dxa"/>
          <w:cantSplit/>
          <w:trHeight w:val="696"/>
          <w:jc w:val="center"/>
        </w:trPr>
        <w:tc>
          <w:tcPr>
            <w:tcW w:w="1548" w:type="dxa"/>
            <w:tcBorders>
              <w:top w:val="nil"/>
              <w:left w:val="single" w:sz="2" w:space="0" w:color="auto"/>
              <w:bottom w:val="nil"/>
              <w:right w:val="single" w:sz="2" w:space="0" w:color="auto"/>
            </w:tcBorders>
            <w:vAlign w:val="bottom"/>
          </w:tcPr>
          <w:p w14:paraId="55BC44FB" w14:textId="77777777" w:rsidR="00863311" w:rsidRPr="00C203AE" w:rsidRDefault="00E35DF1" w:rsidP="005D3C33">
            <w:pPr>
              <w:pStyle w:val="TableReference"/>
              <w:tabs>
                <w:tab w:val="left" w:pos="3306"/>
              </w:tabs>
              <w:spacing w:before="240" w:after="240"/>
              <w:ind w:left="-272" w:firstLine="272"/>
              <w:rPr>
                <w:rFonts w:asciiTheme="minorHAnsi" w:hAnsiTheme="minorHAnsi" w:cstheme="minorHAnsi"/>
                <w:b/>
                <w:color w:val="7030A0"/>
                <w:sz w:val="22"/>
                <w:szCs w:val="22"/>
              </w:rPr>
            </w:pPr>
            <w:r w:rsidRPr="00C203AE">
              <w:rPr>
                <w:rFonts w:asciiTheme="minorHAnsi" w:hAnsiTheme="minorHAnsi" w:cstheme="minorHAnsi"/>
                <w:b/>
                <w:color w:val="7030A0"/>
                <w:sz w:val="22"/>
                <w:szCs w:val="22"/>
              </w:rPr>
              <w:t>Reference</w:t>
            </w:r>
          </w:p>
        </w:tc>
        <w:tc>
          <w:tcPr>
            <w:tcW w:w="4604" w:type="dxa"/>
            <w:tcBorders>
              <w:top w:val="nil"/>
              <w:left w:val="single" w:sz="2" w:space="0" w:color="auto"/>
              <w:bottom w:val="nil"/>
              <w:right w:val="nil"/>
            </w:tcBorders>
            <w:vAlign w:val="bottom"/>
          </w:tcPr>
          <w:p w14:paraId="32AF3F67"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082033AE" w14:textId="77777777" w:rsidR="00863311" w:rsidRPr="00C203AE" w:rsidRDefault="00863311" w:rsidP="00863311">
            <w:pPr>
              <w:pStyle w:val="TableTitle"/>
              <w:tabs>
                <w:tab w:val="left" w:pos="3306"/>
              </w:tabs>
              <w:jc w:val="center"/>
              <w:rPr>
                <w:rFonts w:cs="Calibri"/>
              </w:rPr>
            </w:pPr>
            <w:bookmarkStart w:id="947" w:name="_Toc48468775"/>
            <w:r w:rsidRPr="00C203AE">
              <w:rPr>
                <w:rFonts w:cs="Calibri"/>
              </w:rPr>
              <w:t>Note</w:t>
            </w:r>
            <w:bookmarkEnd w:id="947"/>
            <w:r w:rsidRPr="00C203AE">
              <w:rPr>
                <w:rFonts w:cs="Calibri"/>
              </w:rPr>
              <w:t xml:space="preserve"> No.</w:t>
            </w:r>
          </w:p>
        </w:tc>
        <w:tc>
          <w:tcPr>
            <w:tcW w:w="1113" w:type="dxa"/>
            <w:tcBorders>
              <w:top w:val="nil"/>
              <w:left w:val="nil"/>
              <w:bottom w:val="nil"/>
              <w:right w:val="nil"/>
            </w:tcBorders>
            <w:vAlign w:val="bottom"/>
          </w:tcPr>
          <w:p w14:paraId="566B44D8" w14:textId="77777777" w:rsidR="00863311" w:rsidRPr="00C203AE" w:rsidRDefault="00863311" w:rsidP="00863311">
            <w:pPr>
              <w:pStyle w:val="TableTitle"/>
              <w:tabs>
                <w:tab w:val="left" w:pos="3306"/>
              </w:tabs>
              <w:rPr>
                <w:rFonts w:cs="Calibri"/>
              </w:rPr>
            </w:pPr>
            <w:r w:rsidRPr="00C203AE">
              <w:rPr>
                <w:rFonts w:cs="Calibri"/>
              </w:rPr>
              <w:t xml:space="preserve">Actual </w:t>
            </w:r>
          </w:p>
          <w:p w14:paraId="6C3CF9DE" w14:textId="1633AB4F" w:rsidR="00863311" w:rsidRPr="00C203AE" w:rsidRDefault="006C26C2" w:rsidP="00863311">
            <w:pPr>
              <w:pStyle w:val="TableTitle"/>
              <w:tabs>
                <w:tab w:val="left" w:pos="3306"/>
              </w:tabs>
              <w:rPr>
                <w:rFonts w:cs="Calibri"/>
              </w:rPr>
            </w:pPr>
            <w:r w:rsidRPr="00C203AE">
              <w:rPr>
                <w:rFonts w:cs="Calibri"/>
              </w:rPr>
              <w:t>202</w:t>
            </w:r>
            <w:r w:rsidR="00B13049">
              <w:rPr>
                <w:rFonts w:cs="Calibri"/>
              </w:rPr>
              <w:t>3</w:t>
            </w:r>
          </w:p>
          <w:p w14:paraId="7A4AACF6" w14:textId="77777777" w:rsidR="00863311" w:rsidRPr="00C203AE" w:rsidRDefault="00863311" w:rsidP="00863311">
            <w:pPr>
              <w:pStyle w:val="TableTitle"/>
              <w:tabs>
                <w:tab w:val="left" w:pos="3306"/>
              </w:tabs>
              <w:rPr>
                <w:rFonts w:cs="Calibri"/>
              </w:rPr>
            </w:pPr>
            <w:r w:rsidRPr="00C203AE">
              <w:rPr>
                <w:rFonts w:cs="Calibri"/>
              </w:rPr>
              <w:t>$’000</w:t>
            </w:r>
          </w:p>
        </w:tc>
        <w:tc>
          <w:tcPr>
            <w:tcW w:w="1234" w:type="dxa"/>
            <w:tcBorders>
              <w:top w:val="nil"/>
              <w:left w:val="nil"/>
              <w:bottom w:val="nil"/>
              <w:right w:val="nil"/>
            </w:tcBorders>
            <w:vAlign w:val="bottom"/>
          </w:tcPr>
          <w:p w14:paraId="1DDA4830" w14:textId="77777777" w:rsidR="00863311" w:rsidRPr="00C203AE" w:rsidRDefault="00863311" w:rsidP="00863311">
            <w:pPr>
              <w:pStyle w:val="TableTitle"/>
              <w:tabs>
                <w:tab w:val="left" w:pos="3306"/>
              </w:tabs>
              <w:rPr>
                <w:rFonts w:cs="Calibri"/>
              </w:rPr>
            </w:pPr>
            <w:r w:rsidRPr="00C203AE">
              <w:rPr>
                <w:rFonts w:cs="Calibri"/>
              </w:rPr>
              <w:t>Original</w:t>
            </w:r>
          </w:p>
          <w:p w14:paraId="5A1025CA"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388693BF" w14:textId="42F3365F" w:rsidR="00863311" w:rsidRPr="00C203AE" w:rsidRDefault="006C26C2" w:rsidP="00863311">
            <w:pPr>
              <w:pStyle w:val="TableTitle"/>
              <w:tabs>
                <w:tab w:val="left" w:pos="3306"/>
              </w:tabs>
              <w:rPr>
                <w:rFonts w:cs="Calibri"/>
              </w:rPr>
            </w:pPr>
            <w:r w:rsidRPr="00C203AE">
              <w:rPr>
                <w:rFonts w:cs="Calibri"/>
              </w:rPr>
              <w:t>202</w:t>
            </w:r>
            <w:r w:rsidR="00B13049">
              <w:rPr>
                <w:rFonts w:cs="Calibri"/>
              </w:rPr>
              <w:t>3</w:t>
            </w:r>
          </w:p>
          <w:p w14:paraId="1DDEC64E" w14:textId="77777777" w:rsidR="00863311" w:rsidRPr="00C203AE" w:rsidRDefault="00863311" w:rsidP="00863311">
            <w:pPr>
              <w:pStyle w:val="TableTitle"/>
              <w:tabs>
                <w:tab w:val="left" w:pos="3306"/>
              </w:tabs>
              <w:rPr>
                <w:rFonts w:cs="Calibri"/>
              </w:rPr>
            </w:pPr>
            <w:r w:rsidRPr="00C203AE">
              <w:rPr>
                <w:rFonts w:cs="Calibri"/>
              </w:rPr>
              <w:t>$’000</w:t>
            </w:r>
          </w:p>
        </w:tc>
        <w:tc>
          <w:tcPr>
            <w:tcW w:w="1201" w:type="dxa"/>
            <w:tcBorders>
              <w:top w:val="nil"/>
              <w:left w:val="nil"/>
              <w:bottom w:val="nil"/>
              <w:right w:val="nil"/>
            </w:tcBorders>
            <w:vAlign w:val="bottom"/>
          </w:tcPr>
          <w:p w14:paraId="066A4F7E" w14:textId="77777777" w:rsidR="00863311" w:rsidRPr="00C203AE" w:rsidRDefault="00863311" w:rsidP="00863311">
            <w:pPr>
              <w:pStyle w:val="TableTitle"/>
              <w:tabs>
                <w:tab w:val="left" w:pos="3306"/>
              </w:tabs>
              <w:rPr>
                <w:rFonts w:cs="Calibri"/>
              </w:rPr>
            </w:pPr>
            <w:r w:rsidRPr="00C203AE">
              <w:rPr>
                <w:rFonts w:cs="Calibri"/>
              </w:rPr>
              <w:t>Actual</w:t>
            </w:r>
          </w:p>
          <w:p w14:paraId="37784E3F" w14:textId="6053F188" w:rsidR="00863311" w:rsidRPr="00C203AE" w:rsidRDefault="005709FA" w:rsidP="00863311">
            <w:pPr>
              <w:pStyle w:val="TableTitle"/>
              <w:tabs>
                <w:tab w:val="left" w:pos="3306"/>
              </w:tabs>
              <w:rPr>
                <w:rFonts w:cs="Calibri"/>
              </w:rPr>
            </w:pPr>
            <w:r w:rsidRPr="00C203AE">
              <w:rPr>
                <w:rFonts w:cs="Calibri"/>
              </w:rPr>
              <w:t>202</w:t>
            </w:r>
            <w:r w:rsidR="00B13049">
              <w:rPr>
                <w:rFonts w:cs="Calibri"/>
              </w:rPr>
              <w:t>2</w:t>
            </w:r>
          </w:p>
          <w:p w14:paraId="1D5E8694"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74D0595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891B511"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C5879" w14:textId="77777777" w:rsidR="00863311" w:rsidRPr="00C203AE" w:rsidRDefault="00863311" w:rsidP="00863311">
            <w:pPr>
              <w:pStyle w:val="TableText"/>
              <w:tabs>
                <w:tab w:val="left" w:pos="3306"/>
              </w:tabs>
              <w:rPr>
                <w:rFonts w:cs="Calibri"/>
                <w:b/>
                <w:bCs/>
              </w:rPr>
            </w:pPr>
            <w:bookmarkStart w:id="948" w:name="_Toc48468776"/>
            <w:bookmarkStart w:id="949" w:name="_Toc49155846"/>
            <w:bookmarkStart w:id="950" w:name="_Toc49224257"/>
            <w:r w:rsidRPr="00C203AE">
              <w:rPr>
                <w:rFonts w:cs="Calibri"/>
                <w:b/>
                <w:bCs/>
              </w:rPr>
              <w:t>Current Assets</w:t>
            </w:r>
            <w:bookmarkEnd w:id="948"/>
            <w:bookmarkEnd w:id="949"/>
            <w:bookmarkEnd w:id="950"/>
          </w:p>
        </w:tc>
        <w:tc>
          <w:tcPr>
            <w:tcW w:w="672" w:type="dxa"/>
            <w:tcBorders>
              <w:top w:val="nil"/>
              <w:left w:val="nil"/>
              <w:bottom w:val="nil"/>
              <w:right w:val="nil"/>
            </w:tcBorders>
            <w:vAlign w:val="bottom"/>
          </w:tcPr>
          <w:p w14:paraId="083AC0D9"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10502B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8464E6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C3A54B4" w14:textId="77777777" w:rsidR="00863311" w:rsidRPr="00C203AE" w:rsidRDefault="00863311" w:rsidP="00863311">
            <w:pPr>
              <w:pStyle w:val="TableText"/>
              <w:tabs>
                <w:tab w:val="left" w:pos="3306"/>
              </w:tabs>
              <w:jc w:val="right"/>
              <w:rPr>
                <w:rFonts w:cs="Calibri"/>
              </w:rPr>
            </w:pPr>
          </w:p>
        </w:tc>
      </w:tr>
      <w:tr w:rsidR="00863311" w:rsidRPr="00CF7E1B" w14:paraId="1799B12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7FFC07B" w14:textId="77777777" w:rsidR="00863311" w:rsidRPr="00C203AE" w:rsidRDefault="00863311" w:rsidP="00B66BE0">
            <w:pPr>
              <w:pStyle w:val="TableReference"/>
              <w:tabs>
                <w:tab w:val="left" w:pos="3306"/>
              </w:tabs>
              <w:spacing w:before="40"/>
              <w:rPr>
                <w:rFonts w:cs="Calibri"/>
                <w:color w:val="7030A0"/>
                <w:sz w:val="14"/>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29882E4A" w14:textId="0104E741" w:rsidR="00863311" w:rsidRPr="00C203AE" w:rsidRDefault="00863311" w:rsidP="00863311">
            <w:pPr>
              <w:pStyle w:val="TableText"/>
              <w:tabs>
                <w:tab w:val="left" w:pos="3306"/>
              </w:tabs>
              <w:rPr>
                <w:rFonts w:cs="Calibri"/>
              </w:rPr>
            </w:pPr>
            <w:r w:rsidRPr="00C203AE">
              <w:rPr>
                <w:rFonts w:cs="Calibri"/>
              </w:rPr>
              <w:t xml:space="preserve">Cash </w:t>
            </w:r>
            <w:r w:rsidRPr="003C5D97">
              <w:rPr>
                <w:rFonts w:cs="Calibri"/>
              </w:rPr>
              <w:t>and</w:t>
            </w:r>
            <w:r w:rsidR="003C5D97" w:rsidRPr="003C5D97">
              <w:rPr>
                <w:rFonts w:cs="Calibri"/>
              </w:rPr>
              <w:t xml:space="preserve"> </w:t>
            </w:r>
            <w:r w:rsidR="003C5D97" w:rsidRPr="00026E46">
              <w:rPr>
                <w:rFonts w:cs="Calibri"/>
                <w:color w:val="FF0000"/>
              </w:rPr>
              <w:t>Investments</w:t>
            </w:r>
            <w:r w:rsidRPr="003C5D97">
              <w:rPr>
                <w:rFonts w:cs="Calibri"/>
                <w:strike/>
              </w:rPr>
              <w:t xml:space="preserve"> </w:t>
            </w:r>
            <w:r w:rsidRPr="003C5D97">
              <w:rPr>
                <w:rFonts w:cs="Calibri"/>
                <w:strike/>
                <w:color w:val="FF0000"/>
              </w:rPr>
              <w:t>Cash Equivalents</w:t>
            </w:r>
          </w:p>
        </w:tc>
        <w:tc>
          <w:tcPr>
            <w:tcW w:w="672" w:type="dxa"/>
            <w:tcBorders>
              <w:top w:val="nil"/>
              <w:left w:val="nil"/>
              <w:bottom w:val="nil"/>
              <w:right w:val="nil"/>
            </w:tcBorders>
            <w:vAlign w:val="bottom"/>
          </w:tcPr>
          <w:p w14:paraId="68648D3E" w14:textId="604D61CB" w:rsidR="00863311" w:rsidRPr="00C203AE" w:rsidRDefault="00354061" w:rsidP="00A63A28">
            <w:pPr>
              <w:pStyle w:val="TableText"/>
              <w:tabs>
                <w:tab w:val="left" w:pos="3306"/>
              </w:tabs>
              <w:jc w:val="center"/>
              <w:rPr>
                <w:rFonts w:cs="Calibri"/>
                <w:strike/>
              </w:rPr>
            </w:pPr>
            <w:r w:rsidRPr="00C203AE">
              <w:rPr>
                <w:rFonts w:cs="Calibri"/>
              </w:rPr>
              <w:t>4</w:t>
            </w:r>
            <w:r w:rsidR="00B40325" w:rsidRPr="00C203AE">
              <w:rPr>
                <w:rFonts w:cs="Calibri"/>
              </w:rPr>
              <w:t>6</w:t>
            </w:r>
          </w:p>
        </w:tc>
        <w:tc>
          <w:tcPr>
            <w:tcW w:w="1113" w:type="dxa"/>
            <w:tcBorders>
              <w:top w:val="nil"/>
              <w:left w:val="nil"/>
              <w:bottom w:val="nil"/>
              <w:right w:val="nil"/>
            </w:tcBorders>
            <w:vAlign w:val="bottom"/>
          </w:tcPr>
          <w:p w14:paraId="748B84D9" w14:textId="64D21B0E"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2774664E" w14:textId="742C5BF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858059" w14:textId="39DD26F5" w:rsidR="00863311" w:rsidRPr="00C203AE" w:rsidRDefault="00863311" w:rsidP="00863311">
            <w:pPr>
              <w:pStyle w:val="TableText"/>
              <w:tabs>
                <w:tab w:val="left" w:pos="3306"/>
              </w:tabs>
              <w:jc w:val="right"/>
              <w:rPr>
                <w:rFonts w:cs="Calibri"/>
              </w:rPr>
            </w:pPr>
          </w:p>
        </w:tc>
      </w:tr>
      <w:tr w:rsidR="00863311" w:rsidRPr="00CF7E1B" w14:paraId="35F6ABC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E2DB7F9"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AF7BC00" w14:textId="77777777" w:rsidR="00863311" w:rsidRPr="00C203AE" w:rsidRDefault="00863311" w:rsidP="00863311">
            <w:pPr>
              <w:pStyle w:val="TableText"/>
              <w:tabs>
                <w:tab w:val="left" w:pos="3306"/>
              </w:tabs>
              <w:rPr>
                <w:rFonts w:cs="Calibri"/>
              </w:rPr>
            </w:pPr>
            <w:r w:rsidRPr="00C203AE">
              <w:rPr>
                <w:rFonts w:cs="Calibri"/>
              </w:rPr>
              <w:t>Receivables</w:t>
            </w:r>
          </w:p>
        </w:tc>
        <w:tc>
          <w:tcPr>
            <w:tcW w:w="672" w:type="dxa"/>
            <w:tcBorders>
              <w:top w:val="nil"/>
              <w:left w:val="nil"/>
              <w:bottom w:val="nil"/>
              <w:right w:val="nil"/>
            </w:tcBorders>
            <w:vAlign w:val="bottom"/>
          </w:tcPr>
          <w:p w14:paraId="4CF41F3F" w14:textId="03187EED" w:rsidR="00863311" w:rsidRPr="00C203AE" w:rsidRDefault="00354061" w:rsidP="00863311">
            <w:pPr>
              <w:pStyle w:val="TableText"/>
              <w:tabs>
                <w:tab w:val="left" w:pos="3306"/>
              </w:tabs>
              <w:jc w:val="center"/>
              <w:rPr>
                <w:rFonts w:cs="Calibri"/>
                <w:strike/>
              </w:rPr>
            </w:pPr>
            <w:r w:rsidRPr="00C203AE">
              <w:rPr>
                <w:rFonts w:cs="Calibri"/>
              </w:rPr>
              <w:t>4</w:t>
            </w:r>
            <w:r w:rsidR="00B40325" w:rsidRPr="00C203AE">
              <w:rPr>
                <w:rFonts w:cs="Calibri"/>
              </w:rPr>
              <w:t>7</w:t>
            </w:r>
          </w:p>
        </w:tc>
        <w:tc>
          <w:tcPr>
            <w:tcW w:w="1113" w:type="dxa"/>
            <w:tcBorders>
              <w:top w:val="nil"/>
              <w:left w:val="nil"/>
              <w:bottom w:val="nil"/>
              <w:right w:val="nil"/>
            </w:tcBorders>
            <w:vAlign w:val="bottom"/>
          </w:tcPr>
          <w:p w14:paraId="4C5F8628" w14:textId="5DD6AD2B"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07AA974F" w14:textId="13D7EE1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67B5EF5" w14:textId="6B64C49F" w:rsidR="00863311" w:rsidRPr="00C203AE" w:rsidRDefault="00863311" w:rsidP="00863311">
            <w:pPr>
              <w:pStyle w:val="TableText"/>
              <w:tabs>
                <w:tab w:val="left" w:pos="3306"/>
              </w:tabs>
              <w:jc w:val="right"/>
              <w:rPr>
                <w:rFonts w:cs="Calibri"/>
              </w:rPr>
            </w:pPr>
          </w:p>
        </w:tc>
      </w:tr>
      <w:tr w:rsidR="00863311" w:rsidRPr="00CF7E1B" w14:paraId="0889DC8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327E148"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BFA5CA6" w14:textId="77777777" w:rsidR="00863311" w:rsidRPr="00C203AE" w:rsidRDefault="00863311" w:rsidP="00863311">
            <w:pPr>
              <w:pStyle w:val="TableText"/>
              <w:tabs>
                <w:tab w:val="left" w:pos="3306"/>
              </w:tabs>
              <w:rPr>
                <w:rFonts w:cs="Calibri"/>
              </w:rPr>
            </w:pPr>
            <w:r w:rsidRPr="00C203AE">
              <w:rPr>
                <w:rFonts w:cs="Calibri"/>
              </w:rPr>
              <w:t>Other Assets</w:t>
            </w:r>
          </w:p>
        </w:tc>
        <w:tc>
          <w:tcPr>
            <w:tcW w:w="672" w:type="dxa"/>
            <w:tcBorders>
              <w:top w:val="nil"/>
              <w:left w:val="nil"/>
              <w:bottom w:val="nil"/>
              <w:right w:val="nil"/>
            </w:tcBorders>
            <w:vAlign w:val="bottom"/>
          </w:tcPr>
          <w:p w14:paraId="0EC12FD0" w14:textId="28E983E4" w:rsidR="00863311" w:rsidRPr="00C203AE" w:rsidRDefault="00B40325" w:rsidP="00863311">
            <w:pPr>
              <w:pStyle w:val="TableText"/>
              <w:tabs>
                <w:tab w:val="left" w:pos="3306"/>
              </w:tabs>
              <w:jc w:val="center"/>
              <w:rPr>
                <w:rFonts w:cs="Calibri"/>
                <w:strike/>
              </w:rPr>
            </w:pPr>
            <w:r w:rsidRPr="00C203AE">
              <w:rPr>
                <w:rFonts w:cs="Calibri"/>
              </w:rPr>
              <w:t>48</w:t>
            </w:r>
          </w:p>
        </w:tc>
        <w:tc>
          <w:tcPr>
            <w:tcW w:w="1113" w:type="dxa"/>
            <w:tcBorders>
              <w:top w:val="nil"/>
              <w:left w:val="nil"/>
              <w:bottom w:val="single" w:sz="2" w:space="0" w:color="auto"/>
              <w:right w:val="nil"/>
            </w:tcBorders>
            <w:vAlign w:val="bottom"/>
          </w:tcPr>
          <w:p w14:paraId="2453FA6F" w14:textId="791D9273"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44BB2CD2" w14:textId="0EE81941"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5BB34C7A" w14:textId="0FBE3446" w:rsidR="00863311" w:rsidRPr="00C203AE" w:rsidRDefault="00863311" w:rsidP="00863311">
            <w:pPr>
              <w:pStyle w:val="TableText"/>
              <w:tabs>
                <w:tab w:val="left" w:pos="3306"/>
              </w:tabs>
              <w:jc w:val="right"/>
              <w:rPr>
                <w:rFonts w:cs="Calibri"/>
              </w:rPr>
            </w:pPr>
          </w:p>
        </w:tc>
      </w:tr>
      <w:tr w:rsidR="00863311" w:rsidRPr="00CF7E1B" w14:paraId="7437FFA0"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2BDD2831"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5E5BA5C8" w14:textId="77777777" w:rsidR="00863311" w:rsidRPr="00C203AE" w:rsidRDefault="00863311" w:rsidP="00863311">
            <w:pPr>
              <w:pStyle w:val="TableText"/>
              <w:tabs>
                <w:tab w:val="left" w:pos="3306"/>
              </w:tabs>
              <w:rPr>
                <w:rFonts w:cs="Calibri"/>
                <w:b/>
                <w:bCs/>
              </w:rPr>
            </w:pPr>
            <w:bookmarkStart w:id="951" w:name="_Toc48468777"/>
            <w:bookmarkStart w:id="952" w:name="_Toc49155847"/>
            <w:bookmarkStart w:id="953" w:name="_Toc49224258"/>
            <w:r w:rsidRPr="00C203AE">
              <w:rPr>
                <w:rFonts w:cs="Calibri"/>
                <w:b/>
                <w:bCs/>
              </w:rPr>
              <w:t>Total Current Assets</w:t>
            </w:r>
            <w:bookmarkEnd w:id="951"/>
            <w:bookmarkEnd w:id="952"/>
            <w:bookmarkEnd w:id="953"/>
          </w:p>
        </w:tc>
        <w:tc>
          <w:tcPr>
            <w:tcW w:w="672" w:type="dxa"/>
            <w:tcBorders>
              <w:top w:val="nil"/>
              <w:left w:val="nil"/>
              <w:bottom w:val="nil"/>
              <w:right w:val="nil"/>
            </w:tcBorders>
            <w:vAlign w:val="bottom"/>
          </w:tcPr>
          <w:p w14:paraId="7CF3DC85"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325FC59D" w14:textId="7DAA6373"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1F2CF613" w14:textId="4B8D0FF7"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1AE8E8CF" w14:textId="7E883CAF" w:rsidR="00863311" w:rsidRPr="00C203AE" w:rsidRDefault="00863311" w:rsidP="00863311">
            <w:pPr>
              <w:pStyle w:val="TableText"/>
              <w:tabs>
                <w:tab w:val="left" w:pos="3306"/>
              </w:tabs>
              <w:jc w:val="right"/>
              <w:rPr>
                <w:rFonts w:cs="Calibri"/>
                <w:b/>
                <w:bCs/>
              </w:rPr>
            </w:pPr>
          </w:p>
        </w:tc>
      </w:tr>
      <w:tr w:rsidR="00863311" w:rsidRPr="00CF7E1B" w14:paraId="2CE624CB"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FE5AF0E"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9797148" w14:textId="77777777" w:rsidR="00863311" w:rsidRPr="00C203AE" w:rsidRDefault="00863311" w:rsidP="00863311">
            <w:pPr>
              <w:pStyle w:val="TableText"/>
              <w:tabs>
                <w:tab w:val="left" w:pos="3306"/>
              </w:tabs>
              <w:rPr>
                <w:rFonts w:cs="Calibri"/>
                <w:b/>
                <w:bCs/>
              </w:rPr>
            </w:pPr>
            <w:bookmarkStart w:id="954" w:name="_Toc48468780"/>
            <w:bookmarkStart w:id="955" w:name="_Toc49155850"/>
            <w:bookmarkStart w:id="956" w:name="_Toc49224261"/>
            <w:r w:rsidRPr="00C203AE">
              <w:rPr>
                <w:rFonts w:cs="Calibri"/>
                <w:b/>
                <w:bCs/>
              </w:rPr>
              <w:t>Total Assets</w:t>
            </w:r>
            <w:bookmarkEnd w:id="954"/>
            <w:bookmarkEnd w:id="955"/>
            <w:bookmarkEnd w:id="956"/>
          </w:p>
        </w:tc>
        <w:tc>
          <w:tcPr>
            <w:tcW w:w="672" w:type="dxa"/>
            <w:tcBorders>
              <w:top w:val="nil"/>
              <w:left w:val="nil"/>
              <w:bottom w:val="nil"/>
              <w:right w:val="nil"/>
            </w:tcBorders>
            <w:vAlign w:val="bottom"/>
          </w:tcPr>
          <w:p w14:paraId="52FBBA66"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1E2AB81E" w14:textId="58ED914A"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7E6214D" w14:textId="4247D61B"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02986EFA" w14:textId="0CB62220" w:rsidR="00863311" w:rsidRPr="00C203AE" w:rsidRDefault="00863311" w:rsidP="00863311">
            <w:pPr>
              <w:pStyle w:val="TableText"/>
              <w:tabs>
                <w:tab w:val="left" w:pos="3306"/>
              </w:tabs>
              <w:jc w:val="right"/>
              <w:rPr>
                <w:rFonts w:cs="Calibri"/>
                <w:b/>
                <w:bCs/>
              </w:rPr>
            </w:pPr>
          </w:p>
        </w:tc>
      </w:tr>
      <w:tr w:rsidR="00863311" w:rsidRPr="00CF7E1B" w14:paraId="25A6BEF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41E4D87"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6990ECF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7E0818B"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nil"/>
              <w:right w:val="nil"/>
            </w:tcBorders>
            <w:vAlign w:val="bottom"/>
          </w:tcPr>
          <w:p w14:paraId="7AD6B751"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nil"/>
              <w:right w:val="nil"/>
            </w:tcBorders>
            <w:vAlign w:val="bottom"/>
          </w:tcPr>
          <w:p w14:paraId="1A438827"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nil"/>
              <w:right w:val="nil"/>
            </w:tcBorders>
            <w:vAlign w:val="bottom"/>
          </w:tcPr>
          <w:p w14:paraId="2BCAFF09" w14:textId="77777777" w:rsidR="00863311" w:rsidRPr="00C203AE" w:rsidRDefault="00863311" w:rsidP="00863311">
            <w:pPr>
              <w:pStyle w:val="TableText"/>
              <w:tabs>
                <w:tab w:val="left" w:pos="3306"/>
              </w:tabs>
              <w:jc w:val="right"/>
              <w:rPr>
                <w:rFonts w:cs="Calibri"/>
              </w:rPr>
            </w:pPr>
          </w:p>
        </w:tc>
      </w:tr>
      <w:tr w:rsidR="00863311" w:rsidRPr="00CF7E1B" w14:paraId="5CC9886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8F889CF"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1CB84A5" w14:textId="77777777" w:rsidR="00863311" w:rsidRPr="00C203AE" w:rsidRDefault="00863311" w:rsidP="00863311">
            <w:pPr>
              <w:pStyle w:val="TableText"/>
              <w:tabs>
                <w:tab w:val="left" w:pos="3306"/>
              </w:tabs>
              <w:rPr>
                <w:rFonts w:cs="Calibri"/>
                <w:b/>
                <w:bCs/>
              </w:rPr>
            </w:pPr>
            <w:bookmarkStart w:id="957" w:name="_Toc48468781"/>
            <w:bookmarkStart w:id="958" w:name="_Toc49155851"/>
            <w:bookmarkStart w:id="959" w:name="_Toc49224262"/>
            <w:r w:rsidRPr="00C203AE">
              <w:rPr>
                <w:rFonts w:cs="Calibri"/>
                <w:b/>
                <w:bCs/>
              </w:rPr>
              <w:t>Current Liabilities</w:t>
            </w:r>
            <w:bookmarkEnd w:id="957"/>
            <w:bookmarkEnd w:id="958"/>
            <w:bookmarkEnd w:id="959"/>
          </w:p>
        </w:tc>
        <w:tc>
          <w:tcPr>
            <w:tcW w:w="672" w:type="dxa"/>
            <w:tcBorders>
              <w:top w:val="nil"/>
              <w:left w:val="nil"/>
              <w:bottom w:val="nil"/>
              <w:right w:val="nil"/>
            </w:tcBorders>
            <w:vAlign w:val="bottom"/>
          </w:tcPr>
          <w:p w14:paraId="37AC7B7E"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6F0A6A8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DA5FAD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6394C153" w14:textId="77777777" w:rsidR="00863311" w:rsidRPr="00C203AE" w:rsidRDefault="00863311" w:rsidP="00863311">
            <w:pPr>
              <w:pStyle w:val="TableText"/>
              <w:tabs>
                <w:tab w:val="left" w:pos="3306"/>
              </w:tabs>
              <w:jc w:val="right"/>
              <w:rPr>
                <w:rFonts w:cs="Calibri"/>
              </w:rPr>
            </w:pPr>
          </w:p>
        </w:tc>
      </w:tr>
      <w:tr w:rsidR="00863311" w:rsidRPr="00CF7E1B" w14:paraId="0F8D45F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A82F644"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D2E6B8A" w14:textId="2D02E6AB" w:rsidR="00863311" w:rsidRPr="0007146C" w:rsidRDefault="00863311" w:rsidP="00863311">
            <w:pPr>
              <w:pStyle w:val="TableText"/>
              <w:tabs>
                <w:tab w:val="left" w:pos="3306"/>
              </w:tabs>
              <w:rPr>
                <w:rFonts w:cs="Calibri"/>
              </w:rPr>
            </w:pPr>
            <w:r w:rsidRPr="0007146C">
              <w:rPr>
                <w:rFonts w:cs="Calibri"/>
              </w:rPr>
              <w:t>Payables</w:t>
            </w:r>
            <w:r w:rsidR="00116607" w:rsidRPr="0007146C">
              <w:rPr>
                <w:b/>
                <w:bCs/>
              </w:rPr>
              <w:t xml:space="preserve"> </w:t>
            </w:r>
          </w:p>
        </w:tc>
        <w:tc>
          <w:tcPr>
            <w:tcW w:w="672" w:type="dxa"/>
            <w:tcBorders>
              <w:top w:val="nil"/>
              <w:left w:val="nil"/>
              <w:bottom w:val="nil"/>
              <w:right w:val="nil"/>
            </w:tcBorders>
            <w:vAlign w:val="bottom"/>
          </w:tcPr>
          <w:p w14:paraId="08E06900" w14:textId="32A91CEE" w:rsidR="00863311" w:rsidRPr="00C203AE" w:rsidRDefault="00B40325" w:rsidP="005354D4">
            <w:pPr>
              <w:pStyle w:val="TableText"/>
              <w:tabs>
                <w:tab w:val="left" w:pos="3306"/>
              </w:tabs>
              <w:jc w:val="center"/>
              <w:rPr>
                <w:rFonts w:cs="Calibri"/>
                <w:strike/>
              </w:rPr>
            </w:pPr>
            <w:r w:rsidRPr="00C203AE">
              <w:rPr>
                <w:rFonts w:cs="Calibri"/>
              </w:rPr>
              <w:t>49</w:t>
            </w:r>
          </w:p>
        </w:tc>
        <w:tc>
          <w:tcPr>
            <w:tcW w:w="1113" w:type="dxa"/>
            <w:tcBorders>
              <w:top w:val="nil"/>
              <w:left w:val="nil"/>
              <w:bottom w:val="nil"/>
              <w:right w:val="nil"/>
            </w:tcBorders>
            <w:vAlign w:val="bottom"/>
          </w:tcPr>
          <w:p w14:paraId="2428CCA4" w14:textId="3C745C2A"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C3F666D" w14:textId="67B240FF"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493BF0" w14:textId="2CEBA8AA" w:rsidR="00863311" w:rsidRPr="00C203AE" w:rsidRDefault="00863311" w:rsidP="00863311">
            <w:pPr>
              <w:pStyle w:val="TableText"/>
              <w:tabs>
                <w:tab w:val="left" w:pos="3306"/>
              </w:tabs>
              <w:jc w:val="right"/>
              <w:rPr>
                <w:rFonts w:cs="Calibri"/>
              </w:rPr>
            </w:pPr>
          </w:p>
        </w:tc>
      </w:tr>
      <w:tr w:rsidR="000610F9" w:rsidRPr="00CF7E1B" w14:paraId="4D6B94D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066B321" w14:textId="64BA4FA3" w:rsidR="000610F9" w:rsidRPr="00C203AE" w:rsidRDefault="000610F9" w:rsidP="00256E61">
            <w:pPr>
              <w:pStyle w:val="TableReference"/>
              <w:tabs>
                <w:tab w:val="left" w:pos="3306"/>
              </w:tabs>
              <w:spacing w:before="40"/>
              <w:ind w:left="-272" w:firstLine="272"/>
              <w:rPr>
                <w:rFonts w:cs="Calibri"/>
                <w:color w:val="7030A0"/>
                <w:sz w:val="14"/>
              </w:rPr>
            </w:pPr>
            <w:r w:rsidRPr="00C203AE">
              <w:rPr>
                <w:rFonts w:cs="Calibri"/>
                <w:color w:val="7030A0"/>
                <w:sz w:val="14"/>
              </w:rPr>
              <w:t>AASB 1050.7(d)</w:t>
            </w:r>
          </w:p>
        </w:tc>
        <w:tc>
          <w:tcPr>
            <w:tcW w:w="4604" w:type="dxa"/>
            <w:tcBorders>
              <w:top w:val="nil"/>
              <w:left w:val="single" w:sz="2" w:space="0" w:color="auto"/>
              <w:bottom w:val="nil"/>
              <w:right w:val="nil"/>
            </w:tcBorders>
            <w:vAlign w:val="bottom"/>
          </w:tcPr>
          <w:p w14:paraId="4EF2A57F" w14:textId="417C07F3" w:rsidR="000610F9" w:rsidRPr="0007146C" w:rsidRDefault="000610F9" w:rsidP="00863311">
            <w:pPr>
              <w:pStyle w:val="TableText"/>
              <w:tabs>
                <w:tab w:val="left" w:pos="3306"/>
              </w:tabs>
              <w:rPr>
                <w:rFonts w:cs="Calibri"/>
              </w:rPr>
            </w:pPr>
            <w:r w:rsidRPr="0007146C">
              <w:rPr>
                <w:rFonts w:cs="Calibri"/>
              </w:rPr>
              <w:t>Other Provisions</w:t>
            </w:r>
          </w:p>
        </w:tc>
        <w:tc>
          <w:tcPr>
            <w:tcW w:w="672" w:type="dxa"/>
            <w:tcBorders>
              <w:top w:val="nil"/>
              <w:left w:val="nil"/>
              <w:bottom w:val="nil"/>
              <w:right w:val="nil"/>
            </w:tcBorders>
            <w:vAlign w:val="bottom"/>
          </w:tcPr>
          <w:p w14:paraId="4DC3CEEE" w14:textId="43544502" w:rsidR="000610F9" w:rsidRPr="00C203AE" w:rsidRDefault="001F7F23" w:rsidP="00D91F97">
            <w:pPr>
              <w:pStyle w:val="TableText"/>
              <w:tabs>
                <w:tab w:val="left" w:pos="3306"/>
              </w:tabs>
              <w:jc w:val="center"/>
              <w:rPr>
                <w:rFonts w:cs="Calibri"/>
              </w:rPr>
            </w:pPr>
            <w:r w:rsidRPr="00C203AE">
              <w:rPr>
                <w:rFonts w:cs="Calibri"/>
              </w:rPr>
              <w:t>5</w:t>
            </w:r>
            <w:r w:rsidR="00B40325" w:rsidRPr="00C203AE">
              <w:rPr>
                <w:rFonts w:cs="Calibri"/>
              </w:rPr>
              <w:t>0</w:t>
            </w:r>
          </w:p>
        </w:tc>
        <w:tc>
          <w:tcPr>
            <w:tcW w:w="1113" w:type="dxa"/>
            <w:tcBorders>
              <w:top w:val="nil"/>
              <w:left w:val="nil"/>
              <w:bottom w:val="nil"/>
              <w:right w:val="nil"/>
            </w:tcBorders>
            <w:vAlign w:val="bottom"/>
          </w:tcPr>
          <w:p w14:paraId="6BE65979" w14:textId="77777777" w:rsidR="000610F9" w:rsidRPr="00C203AE" w:rsidRDefault="000610F9"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F036F10" w14:textId="77777777" w:rsidR="000610F9" w:rsidRPr="00C203AE" w:rsidRDefault="000610F9"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1C8BF9C" w14:textId="77777777" w:rsidR="000610F9" w:rsidRPr="00C203AE" w:rsidRDefault="000610F9" w:rsidP="00863311">
            <w:pPr>
              <w:pStyle w:val="TableText"/>
              <w:tabs>
                <w:tab w:val="left" w:pos="3306"/>
              </w:tabs>
              <w:jc w:val="right"/>
              <w:rPr>
                <w:rFonts w:cs="Calibri"/>
              </w:rPr>
            </w:pPr>
          </w:p>
        </w:tc>
      </w:tr>
      <w:tr w:rsidR="00863311" w:rsidRPr="00CF7E1B" w14:paraId="039EF3E9"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C13400"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3F4AABB" w14:textId="77777777" w:rsidR="00863311" w:rsidRPr="00C203AE" w:rsidRDefault="00863311" w:rsidP="00863311">
            <w:pPr>
              <w:pStyle w:val="TableText"/>
              <w:tabs>
                <w:tab w:val="left" w:pos="3306"/>
              </w:tabs>
              <w:rPr>
                <w:rFonts w:cs="Calibri"/>
              </w:rPr>
            </w:pPr>
            <w:r w:rsidRPr="00C203AE">
              <w:rPr>
                <w:rFonts w:cs="Calibri"/>
              </w:rPr>
              <w:t>Other Liabilities</w:t>
            </w:r>
          </w:p>
        </w:tc>
        <w:tc>
          <w:tcPr>
            <w:tcW w:w="672" w:type="dxa"/>
            <w:tcBorders>
              <w:top w:val="nil"/>
              <w:left w:val="nil"/>
              <w:bottom w:val="nil"/>
              <w:right w:val="nil"/>
            </w:tcBorders>
            <w:vAlign w:val="bottom"/>
          </w:tcPr>
          <w:p w14:paraId="1C46B3C2" w14:textId="336A2FA8" w:rsidR="00863311" w:rsidRPr="00C203AE" w:rsidRDefault="00354061" w:rsidP="00D91F97">
            <w:pPr>
              <w:pStyle w:val="TableText"/>
              <w:tabs>
                <w:tab w:val="left" w:pos="3306"/>
              </w:tabs>
              <w:jc w:val="center"/>
              <w:rPr>
                <w:rFonts w:cs="Calibri"/>
                <w:strike/>
              </w:rPr>
            </w:pPr>
            <w:r w:rsidRPr="00C203AE">
              <w:rPr>
                <w:rFonts w:cs="Calibri"/>
              </w:rPr>
              <w:t>5</w:t>
            </w:r>
            <w:r w:rsidR="001220C0" w:rsidRPr="00C203AE">
              <w:rPr>
                <w:rFonts w:cs="Calibri"/>
              </w:rPr>
              <w:t>1</w:t>
            </w:r>
          </w:p>
        </w:tc>
        <w:tc>
          <w:tcPr>
            <w:tcW w:w="1113" w:type="dxa"/>
            <w:tcBorders>
              <w:top w:val="nil"/>
              <w:left w:val="nil"/>
              <w:bottom w:val="single" w:sz="2" w:space="0" w:color="auto"/>
              <w:right w:val="nil"/>
            </w:tcBorders>
            <w:vAlign w:val="bottom"/>
          </w:tcPr>
          <w:p w14:paraId="5F6ADB90" w14:textId="7260FD9D"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21760519" w14:textId="4C80559B"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47AE4522" w14:textId="570095D1" w:rsidR="00863311" w:rsidRPr="00C203AE" w:rsidRDefault="00863311" w:rsidP="00863311">
            <w:pPr>
              <w:pStyle w:val="TableText"/>
              <w:tabs>
                <w:tab w:val="left" w:pos="3306"/>
              </w:tabs>
              <w:jc w:val="right"/>
              <w:rPr>
                <w:rFonts w:cs="Calibri"/>
              </w:rPr>
            </w:pPr>
          </w:p>
        </w:tc>
      </w:tr>
      <w:tr w:rsidR="00863311" w:rsidRPr="00CF7E1B" w14:paraId="47402D0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3FFDADC"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97BD9A8" w14:textId="77777777" w:rsidR="00863311" w:rsidRPr="00C203AE" w:rsidRDefault="00863311" w:rsidP="00863311">
            <w:pPr>
              <w:pStyle w:val="TableText"/>
              <w:tabs>
                <w:tab w:val="left" w:pos="3306"/>
              </w:tabs>
              <w:rPr>
                <w:rFonts w:cs="Calibri"/>
                <w:b/>
                <w:bCs/>
              </w:rPr>
            </w:pPr>
            <w:bookmarkStart w:id="960" w:name="_Toc48468782"/>
            <w:bookmarkStart w:id="961" w:name="_Toc49155852"/>
            <w:bookmarkStart w:id="962" w:name="_Toc49224263"/>
            <w:r w:rsidRPr="00C203AE">
              <w:rPr>
                <w:rFonts w:cs="Calibri"/>
                <w:b/>
                <w:bCs/>
              </w:rPr>
              <w:t>Total Current Liabilities</w:t>
            </w:r>
            <w:bookmarkEnd w:id="960"/>
            <w:bookmarkEnd w:id="961"/>
            <w:bookmarkEnd w:id="962"/>
          </w:p>
        </w:tc>
        <w:tc>
          <w:tcPr>
            <w:tcW w:w="672" w:type="dxa"/>
            <w:tcBorders>
              <w:top w:val="nil"/>
              <w:left w:val="nil"/>
              <w:bottom w:val="nil"/>
              <w:right w:val="nil"/>
            </w:tcBorders>
            <w:vAlign w:val="bottom"/>
          </w:tcPr>
          <w:p w14:paraId="6F59AA31"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5DE3016D" w14:textId="1C9BFC2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8BA9487" w14:textId="0B60D36F"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58E0E864" w14:textId="0DEE55DE" w:rsidR="00863311" w:rsidRPr="00C203AE" w:rsidRDefault="00863311" w:rsidP="00863311">
            <w:pPr>
              <w:pStyle w:val="TableText"/>
              <w:tabs>
                <w:tab w:val="left" w:pos="3306"/>
              </w:tabs>
              <w:jc w:val="right"/>
              <w:rPr>
                <w:rFonts w:cs="Calibri"/>
                <w:b/>
                <w:bCs/>
              </w:rPr>
            </w:pPr>
          </w:p>
        </w:tc>
      </w:tr>
      <w:tr w:rsidR="00863311" w:rsidRPr="00CF7E1B" w14:paraId="0B34F62F"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09EC170" w14:textId="77777777" w:rsidR="00863311" w:rsidRPr="00C203AE" w:rsidRDefault="00863311" w:rsidP="009116A2">
            <w:pPr>
              <w:pStyle w:val="TableReference"/>
              <w:tabs>
                <w:tab w:val="left" w:pos="3306"/>
              </w:tabs>
              <w:spacing w:before="40"/>
              <w:rPr>
                <w:rFonts w:cs="Calibri"/>
                <w:color w:val="7030A0"/>
                <w:sz w:val="16"/>
                <w:szCs w:val="16"/>
              </w:rPr>
            </w:pPr>
          </w:p>
        </w:tc>
        <w:tc>
          <w:tcPr>
            <w:tcW w:w="4604" w:type="dxa"/>
            <w:tcBorders>
              <w:top w:val="nil"/>
              <w:left w:val="single" w:sz="2" w:space="0" w:color="auto"/>
              <w:bottom w:val="nil"/>
              <w:right w:val="nil"/>
            </w:tcBorders>
            <w:vAlign w:val="bottom"/>
          </w:tcPr>
          <w:p w14:paraId="456FBDCE" w14:textId="77777777" w:rsidR="00863311" w:rsidRPr="00C203AE" w:rsidRDefault="00863311" w:rsidP="00863311">
            <w:pPr>
              <w:pStyle w:val="TableText"/>
              <w:tabs>
                <w:tab w:val="left" w:pos="3306"/>
              </w:tabs>
              <w:rPr>
                <w:rFonts w:cs="Calibri"/>
                <w:b/>
                <w:bCs/>
              </w:rPr>
            </w:pPr>
            <w:r w:rsidRPr="00C203AE">
              <w:rPr>
                <w:rFonts w:cs="Calibri"/>
                <w:b/>
                <w:bCs/>
              </w:rPr>
              <w:t>Total Liabilities</w:t>
            </w:r>
          </w:p>
        </w:tc>
        <w:tc>
          <w:tcPr>
            <w:tcW w:w="672" w:type="dxa"/>
            <w:tcBorders>
              <w:top w:val="nil"/>
              <w:left w:val="nil"/>
              <w:bottom w:val="nil"/>
              <w:right w:val="nil"/>
            </w:tcBorders>
            <w:vAlign w:val="bottom"/>
          </w:tcPr>
          <w:p w14:paraId="6AD169B1"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7ED08DAE" w14:textId="1E0181C8"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21D83915" w14:textId="336AA9D1"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7F12B19E" w14:textId="2724374F" w:rsidR="00863311" w:rsidRPr="00C203AE" w:rsidRDefault="00863311" w:rsidP="00863311">
            <w:pPr>
              <w:pStyle w:val="TableText"/>
              <w:tabs>
                <w:tab w:val="left" w:pos="3306"/>
              </w:tabs>
              <w:jc w:val="right"/>
              <w:rPr>
                <w:rFonts w:cs="Calibri"/>
                <w:b/>
                <w:bCs/>
              </w:rPr>
            </w:pPr>
          </w:p>
        </w:tc>
      </w:tr>
      <w:tr w:rsidR="00863311" w:rsidRPr="00CF7E1B" w14:paraId="4901679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9D51F40"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01C9A3D"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455F4A4"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209739A8"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single" w:sz="2" w:space="0" w:color="auto"/>
              <w:right w:val="nil"/>
            </w:tcBorders>
            <w:vAlign w:val="bottom"/>
          </w:tcPr>
          <w:p w14:paraId="648BA218"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single" w:sz="2" w:space="0" w:color="auto"/>
              <w:right w:val="nil"/>
            </w:tcBorders>
            <w:vAlign w:val="bottom"/>
          </w:tcPr>
          <w:p w14:paraId="5BD6582C" w14:textId="77777777" w:rsidR="00863311" w:rsidRPr="00C203AE" w:rsidRDefault="00863311" w:rsidP="00863311">
            <w:pPr>
              <w:pStyle w:val="TableText"/>
              <w:tabs>
                <w:tab w:val="left" w:pos="3306"/>
              </w:tabs>
              <w:jc w:val="right"/>
              <w:rPr>
                <w:rFonts w:cs="Calibri"/>
              </w:rPr>
            </w:pPr>
          </w:p>
        </w:tc>
      </w:tr>
      <w:tr w:rsidR="00863311" w:rsidRPr="00CF7E1B" w14:paraId="2F5FB50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5EF5934"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A3E01D2" w14:textId="77777777" w:rsidR="00863311" w:rsidRPr="00C203AE" w:rsidRDefault="00863311" w:rsidP="00863311">
            <w:pPr>
              <w:pStyle w:val="TableText"/>
              <w:tabs>
                <w:tab w:val="left" w:pos="3306"/>
              </w:tabs>
              <w:rPr>
                <w:rFonts w:cs="Calibri"/>
                <w:b/>
                <w:bCs/>
              </w:rPr>
            </w:pPr>
            <w:bookmarkStart w:id="963" w:name="_Toc48468786"/>
            <w:bookmarkStart w:id="964" w:name="_Toc49155856"/>
            <w:bookmarkStart w:id="965" w:name="_Toc49224267"/>
            <w:r w:rsidRPr="00C203AE">
              <w:rPr>
                <w:rFonts w:cs="Calibri"/>
                <w:b/>
                <w:bCs/>
              </w:rPr>
              <w:t>Net Assets</w:t>
            </w:r>
            <w:bookmarkEnd w:id="963"/>
            <w:bookmarkEnd w:id="964"/>
            <w:bookmarkEnd w:id="965"/>
          </w:p>
        </w:tc>
        <w:tc>
          <w:tcPr>
            <w:tcW w:w="672" w:type="dxa"/>
            <w:tcBorders>
              <w:top w:val="nil"/>
              <w:left w:val="nil"/>
              <w:bottom w:val="nil"/>
              <w:right w:val="nil"/>
            </w:tcBorders>
            <w:vAlign w:val="bottom"/>
          </w:tcPr>
          <w:p w14:paraId="17D8BEA4"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1165BE3" w14:textId="131B6D0F"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01D00A28" w14:textId="642FA6B5"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25224938" w14:textId="390DDEF8" w:rsidR="00863311" w:rsidRPr="00C203AE" w:rsidRDefault="00863311" w:rsidP="00863311">
            <w:pPr>
              <w:pStyle w:val="TableText"/>
              <w:tabs>
                <w:tab w:val="left" w:pos="3306"/>
              </w:tabs>
              <w:jc w:val="right"/>
              <w:rPr>
                <w:rFonts w:cs="Calibri"/>
                <w:b/>
                <w:bCs/>
              </w:rPr>
            </w:pPr>
          </w:p>
        </w:tc>
      </w:tr>
      <w:tr w:rsidR="00863311" w:rsidRPr="00CF7E1B" w14:paraId="061CE01C"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5B08332"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FA5CAB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65F89A0" w14:textId="77777777" w:rsidR="00863311" w:rsidRPr="00C203AE" w:rsidRDefault="00863311" w:rsidP="00863311">
            <w:pPr>
              <w:pStyle w:val="TableText"/>
              <w:tabs>
                <w:tab w:val="left" w:pos="3306"/>
              </w:tabs>
              <w:jc w:val="center"/>
              <w:rPr>
                <w:rFonts w:cs="Calibri"/>
              </w:rPr>
            </w:pPr>
          </w:p>
        </w:tc>
        <w:tc>
          <w:tcPr>
            <w:tcW w:w="1113" w:type="dxa"/>
            <w:tcBorders>
              <w:top w:val="double" w:sz="4" w:space="0" w:color="auto"/>
              <w:left w:val="nil"/>
              <w:bottom w:val="nil"/>
              <w:right w:val="nil"/>
            </w:tcBorders>
            <w:vAlign w:val="bottom"/>
          </w:tcPr>
          <w:p w14:paraId="4A2FBE94" w14:textId="77777777" w:rsidR="00863311" w:rsidRPr="00C203AE" w:rsidRDefault="00863311" w:rsidP="00863311">
            <w:pPr>
              <w:pStyle w:val="TableText"/>
              <w:tabs>
                <w:tab w:val="left" w:pos="3306"/>
              </w:tabs>
              <w:jc w:val="right"/>
              <w:rPr>
                <w:rFonts w:cs="Calibri"/>
              </w:rPr>
            </w:pPr>
          </w:p>
        </w:tc>
        <w:tc>
          <w:tcPr>
            <w:tcW w:w="1234" w:type="dxa"/>
            <w:tcBorders>
              <w:top w:val="double" w:sz="4" w:space="0" w:color="auto"/>
              <w:left w:val="nil"/>
              <w:bottom w:val="nil"/>
              <w:right w:val="nil"/>
            </w:tcBorders>
            <w:vAlign w:val="bottom"/>
          </w:tcPr>
          <w:p w14:paraId="24AF0C8F" w14:textId="77777777" w:rsidR="00863311" w:rsidRPr="00C203AE" w:rsidRDefault="00863311" w:rsidP="00863311">
            <w:pPr>
              <w:pStyle w:val="TableText"/>
              <w:tabs>
                <w:tab w:val="left" w:pos="3306"/>
              </w:tabs>
              <w:jc w:val="right"/>
              <w:rPr>
                <w:rFonts w:cs="Calibri"/>
              </w:rPr>
            </w:pPr>
          </w:p>
        </w:tc>
        <w:tc>
          <w:tcPr>
            <w:tcW w:w="1201" w:type="dxa"/>
            <w:tcBorders>
              <w:top w:val="double" w:sz="4" w:space="0" w:color="auto"/>
              <w:left w:val="nil"/>
              <w:bottom w:val="nil"/>
              <w:right w:val="nil"/>
            </w:tcBorders>
            <w:vAlign w:val="bottom"/>
          </w:tcPr>
          <w:p w14:paraId="6A8186CA" w14:textId="77777777" w:rsidR="00863311" w:rsidRPr="00C203AE" w:rsidRDefault="00863311" w:rsidP="00863311">
            <w:pPr>
              <w:pStyle w:val="TableText"/>
              <w:tabs>
                <w:tab w:val="left" w:pos="3306"/>
              </w:tabs>
              <w:jc w:val="right"/>
              <w:rPr>
                <w:rFonts w:cs="Calibri"/>
              </w:rPr>
            </w:pPr>
          </w:p>
        </w:tc>
      </w:tr>
      <w:tr w:rsidR="00863311" w:rsidRPr="00CF7E1B" w14:paraId="5E8FD2B4"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CCE34C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2DCC0014" w14:textId="77777777" w:rsidR="00863311" w:rsidRPr="00C203AE" w:rsidRDefault="00863311" w:rsidP="00863311">
            <w:pPr>
              <w:pStyle w:val="TableText"/>
              <w:tabs>
                <w:tab w:val="left" w:pos="3306"/>
              </w:tabs>
              <w:rPr>
                <w:rFonts w:cs="Calibri"/>
                <w:b/>
                <w:bCs/>
              </w:rPr>
            </w:pPr>
            <w:bookmarkStart w:id="966" w:name="_Toc48468787"/>
            <w:bookmarkStart w:id="967" w:name="_Toc49155857"/>
            <w:bookmarkStart w:id="968" w:name="_Toc49224268"/>
            <w:r w:rsidRPr="00C203AE">
              <w:rPr>
                <w:rFonts w:cs="Calibri"/>
                <w:b/>
                <w:bCs/>
              </w:rPr>
              <w:t>Equity</w:t>
            </w:r>
            <w:bookmarkEnd w:id="966"/>
            <w:bookmarkEnd w:id="967"/>
            <w:bookmarkEnd w:id="968"/>
          </w:p>
        </w:tc>
        <w:tc>
          <w:tcPr>
            <w:tcW w:w="672" w:type="dxa"/>
            <w:tcBorders>
              <w:top w:val="nil"/>
              <w:left w:val="nil"/>
              <w:bottom w:val="nil"/>
              <w:right w:val="nil"/>
            </w:tcBorders>
            <w:vAlign w:val="bottom"/>
          </w:tcPr>
          <w:p w14:paraId="062BB8D0"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65DCA38"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6723AB32"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5E6B89BC" w14:textId="77777777" w:rsidR="00863311" w:rsidRPr="00C203AE" w:rsidRDefault="00863311" w:rsidP="00863311">
            <w:pPr>
              <w:pStyle w:val="TableText"/>
              <w:tabs>
                <w:tab w:val="left" w:pos="3306"/>
              </w:tabs>
              <w:jc w:val="right"/>
              <w:rPr>
                <w:rFonts w:cs="Calibri"/>
              </w:rPr>
            </w:pPr>
          </w:p>
        </w:tc>
      </w:tr>
      <w:tr w:rsidR="00863311" w:rsidRPr="00CF7E1B" w14:paraId="48672DB7"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4E93225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7D98A94F" w14:textId="77777777" w:rsidR="00863311" w:rsidRPr="00C203AE" w:rsidRDefault="00863311" w:rsidP="00863311">
            <w:pPr>
              <w:pStyle w:val="TableText"/>
              <w:tabs>
                <w:tab w:val="left" w:pos="3306"/>
              </w:tabs>
              <w:rPr>
                <w:rFonts w:cs="Calibri"/>
              </w:rPr>
            </w:pPr>
            <w:r w:rsidRPr="00C203AE">
              <w:rPr>
                <w:rFonts w:cs="Calibri"/>
              </w:rPr>
              <w:t>Accumulated Funds</w:t>
            </w:r>
          </w:p>
        </w:tc>
        <w:tc>
          <w:tcPr>
            <w:tcW w:w="672" w:type="dxa"/>
            <w:tcBorders>
              <w:top w:val="nil"/>
              <w:left w:val="nil"/>
              <w:bottom w:val="nil"/>
              <w:right w:val="nil"/>
            </w:tcBorders>
            <w:vAlign w:val="bottom"/>
          </w:tcPr>
          <w:p w14:paraId="64A42FC3"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single" w:sz="2" w:space="0" w:color="auto"/>
              <w:right w:val="nil"/>
            </w:tcBorders>
            <w:vAlign w:val="bottom"/>
          </w:tcPr>
          <w:p w14:paraId="09C9339F" w14:textId="18F906F4"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06CDFDD5" w14:textId="3E09CC8D"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278F8828" w14:textId="1E33A33B" w:rsidR="00863311" w:rsidRPr="00C203AE" w:rsidRDefault="00863311" w:rsidP="00863311">
            <w:pPr>
              <w:pStyle w:val="TableText"/>
              <w:tabs>
                <w:tab w:val="left" w:pos="3306"/>
              </w:tabs>
              <w:jc w:val="right"/>
              <w:rPr>
                <w:rFonts w:cs="Calibri"/>
              </w:rPr>
            </w:pPr>
          </w:p>
        </w:tc>
      </w:tr>
      <w:tr w:rsidR="00863311" w:rsidRPr="00CF7E1B" w14:paraId="0B89743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518E6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03BB1" w14:textId="77777777" w:rsidR="00863311" w:rsidRPr="00C203AE" w:rsidRDefault="00863311" w:rsidP="00863311">
            <w:pPr>
              <w:pStyle w:val="TableText"/>
              <w:tabs>
                <w:tab w:val="left" w:pos="3306"/>
              </w:tabs>
              <w:rPr>
                <w:rFonts w:cs="Calibri"/>
                <w:b/>
                <w:bCs/>
              </w:rPr>
            </w:pPr>
            <w:bookmarkStart w:id="969" w:name="_Toc48468788"/>
            <w:bookmarkStart w:id="970" w:name="_Toc49155858"/>
            <w:bookmarkStart w:id="971" w:name="_Toc49224269"/>
            <w:r w:rsidRPr="00C203AE">
              <w:rPr>
                <w:rFonts w:cs="Calibri"/>
                <w:b/>
                <w:bCs/>
              </w:rPr>
              <w:t>Total Equity</w:t>
            </w:r>
            <w:bookmarkEnd w:id="969"/>
            <w:bookmarkEnd w:id="970"/>
            <w:bookmarkEnd w:id="971"/>
          </w:p>
        </w:tc>
        <w:tc>
          <w:tcPr>
            <w:tcW w:w="672" w:type="dxa"/>
            <w:tcBorders>
              <w:top w:val="nil"/>
              <w:left w:val="nil"/>
              <w:bottom w:val="nil"/>
              <w:right w:val="nil"/>
            </w:tcBorders>
            <w:vAlign w:val="bottom"/>
          </w:tcPr>
          <w:p w14:paraId="378EB2F8"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8749A60" w14:textId="6A27D35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2C533D40" w14:textId="3F3B89F2"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10619B24" w14:textId="248C8E4B" w:rsidR="00863311" w:rsidRPr="00C203AE" w:rsidRDefault="00863311" w:rsidP="00863311">
            <w:pPr>
              <w:pStyle w:val="TableText"/>
              <w:tabs>
                <w:tab w:val="left" w:pos="3306"/>
              </w:tabs>
              <w:jc w:val="right"/>
              <w:rPr>
                <w:rFonts w:cs="Calibri"/>
                <w:b/>
                <w:bCs/>
              </w:rPr>
            </w:pPr>
          </w:p>
        </w:tc>
      </w:tr>
      <w:tr w:rsidR="00E424B9" w:rsidRPr="00CF7E1B" w14:paraId="048176E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A3FD144" w14:textId="77777777" w:rsidR="00E424B9" w:rsidRPr="00C203AE" w:rsidRDefault="00E424B9"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1D4BEAF5" w14:textId="77777777" w:rsidR="00E424B9" w:rsidRPr="00AD31E8" w:rsidRDefault="00E424B9" w:rsidP="00561CDB">
            <w:pPr>
              <w:pStyle w:val="CommentaryReference"/>
              <w:jc w:val="both"/>
              <w:rPr>
                <w:rFonts w:cs="Calibri"/>
                <w:sz w:val="18"/>
                <w:szCs w:val="18"/>
              </w:rPr>
            </w:pPr>
          </w:p>
        </w:tc>
      </w:tr>
      <w:tr w:rsidR="00863311" w:rsidRPr="00CF7E1B" w14:paraId="182E23A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33C4E67"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2B9898E4" w14:textId="672B10A2" w:rsidR="00863311" w:rsidRPr="00AD31E8" w:rsidRDefault="004F4683" w:rsidP="00561CDB">
            <w:pPr>
              <w:pStyle w:val="CommentaryReference"/>
              <w:jc w:val="both"/>
              <w:rPr>
                <w:rFonts w:cs="Calibri"/>
                <w:sz w:val="18"/>
                <w:szCs w:val="18"/>
              </w:rPr>
            </w:pPr>
            <w:r w:rsidRPr="00C203AE">
              <w:rPr>
                <w:rFonts w:cs="Calibri"/>
                <w:sz w:val="18"/>
                <w:szCs w:val="18"/>
              </w:rPr>
              <w:t xml:space="preserve">The above Statement of Assets and Liabilities on Behalf of the Territory </w:t>
            </w:r>
            <w:r w:rsidRPr="00C203AE">
              <w:rPr>
                <w:rFonts w:cs="Calibri"/>
                <w:bCs/>
                <w:sz w:val="18"/>
                <w:szCs w:val="18"/>
              </w:rPr>
              <w:t>is to</w:t>
            </w:r>
            <w:r w:rsidRPr="00C203AE">
              <w:rPr>
                <w:rFonts w:asciiTheme="minorHAnsi" w:hAnsiTheme="minorHAnsi" w:cstheme="minorHAnsi"/>
                <w:sz w:val="18"/>
                <w:szCs w:val="18"/>
              </w:rPr>
              <w:t xml:space="preserve"> </w:t>
            </w:r>
            <w:r w:rsidR="00863311" w:rsidRPr="00C203AE">
              <w:rPr>
                <w:rFonts w:cs="Calibri"/>
                <w:sz w:val="18"/>
                <w:szCs w:val="18"/>
              </w:rPr>
              <w:t>be read in conjunction with the accompanying notes.</w:t>
            </w:r>
            <w:r w:rsidR="00FA7C77">
              <w:rPr>
                <w:rFonts w:cs="Calibri"/>
                <w:sz w:val="18"/>
                <w:szCs w:val="18"/>
              </w:rPr>
              <w:t xml:space="preserve">  </w:t>
            </w:r>
          </w:p>
        </w:tc>
      </w:tr>
      <w:tr w:rsidR="00C203AE" w:rsidRPr="00CF7E1B" w14:paraId="1B2CAF8D"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8404584" w14:textId="77777777" w:rsidR="00C203AE" w:rsidRPr="00C203AE" w:rsidRDefault="00C203AE"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04B7D32A" w14:textId="77777777" w:rsidR="00C203AE" w:rsidRPr="00C203AE" w:rsidRDefault="00C203AE" w:rsidP="00561CDB">
            <w:pPr>
              <w:pStyle w:val="CommentaryReference"/>
              <w:jc w:val="both"/>
              <w:rPr>
                <w:rFonts w:cs="Calibri"/>
                <w:sz w:val="18"/>
                <w:szCs w:val="18"/>
              </w:rPr>
            </w:pPr>
          </w:p>
        </w:tc>
      </w:tr>
      <w:tr w:rsidR="00863311" w:rsidRPr="00CF7E1B" w14:paraId="4583A60F" w14:textId="77777777" w:rsidTr="0004564D">
        <w:trPr>
          <w:cantSplit/>
          <w:trHeight w:val="23"/>
          <w:jc w:val="center"/>
        </w:trPr>
        <w:tc>
          <w:tcPr>
            <w:tcW w:w="1548" w:type="dxa"/>
            <w:tcBorders>
              <w:top w:val="nil"/>
              <w:left w:val="single" w:sz="2" w:space="0" w:color="auto"/>
              <w:bottom w:val="nil"/>
              <w:right w:val="single" w:sz="2" w:space="0" w:color="auto"/>
            </w:tcBorders>
          </w:tcPr>
          <w:p w14:paraId="2FA346A8" w14:textId="34AF5291" w:rsidR="00863311" w:rsidRPr="00C203AE" w:rsidRDefault="00863311" w:rsidP="00C24DC3">
            <w:pPr>
              <w:pStyle w:val="TableReference"/>
              <w:tabs>
                <w:tab w:val="left" w:pos="3306"/>
              </w:tabs>
              <w:spacing w:before="240" w:after="240"/>
              <w:rPr>
                <w:rFonts w:asciiTheme="minorHAnsi" w:hAnsiTheme="minorHAnsi" w:cstheme="minorHAnsi"/>
                <w:b/>
                <w:color w:val="7030A0"/>
                <w:sz w:val="22"/>
                <w:szCs w:val="22"/>
              </w:rPr>
            </w:pPr>
          </w:p>
        </w:tc>
        <w:tc>
          <w:tcPr>
            <w:tcW w:w="8848" w:type="dxa"/>
            <w:gridSpan w:val="6"/>
            <w:tcBorders>
              <w:top w:val="nil"/>
              <w:left w:val="single" w:sz="2" w:space="0" w:color="auto"/>
              <w:bottom w:val="nil"/>
              <w:right w:val="nil"/>
            </w:tcBorders>
            <w:shd w:val="clear" w:color="auto" w:fill="7030A0"/>
            <w:vAlign w:val="bottom"/>
          </w:tcPr>
          <w:p w14:paraId="25DA5F38" w14:textId="77777777" w:rsidR="00863311" w:rsidRPr="00C203AE" w:rsidRDefault="00863311" w:rsidP="00C24DC3">
            <w:pPr>
              <w:pStyle w:val="CommentaryTitle"/>
              <w:spacing w:before="240" w:after="240"/>
              <w:rPr>
                <w:rFonts w:cs="Calibri"/>
                <w:color w:val="FFFFFF" w:themeColor="background1"/>
                <w:sz w:val="28"/>
                <w:szCs w:val="28"/>
              </w:rPr>
            </w:pPr>
            <w:r w:rsidRPr="00C203AE">
              <w:rPr>
                <w:rFonts w:cs="Calibri"/>
                <w:color w:val="FFFFFF" w:themeColor="background1"/>
                <w:sz w:val="28"/>
                <w:szCs w:val="28"/>
              </w:rPr>
              <w:t>Commentary – Statement of Assets and Liabilities on Behalf of the Territory</w:t>
            </w:r>
          </w:p>
        </w:tc>
      </w:tr>
      <w:tr w:rsidR="00863311" w:rsidRPr="00CF7E1B" w14:paraId="4E5947E4" w14:textId="77777777" w:rsidTr="0004564D">
        <w:trPr>
          <w:cantSplit/>
          <w:trHeight w:val="23"/>
          <w:jc w:val="center"/>
        </w:trPr>
        <w:tc>
          <w:tcPr>
            <w:tcW w:w="1548" w:type="dxa"/>
            <w:tcBorders>
              <w:top w:val="nil"/>
              <w:left w:val="single" w:sz="2" w:space="0" w:color="auto"/>
              <w:bottom w:val="nil"/>
              <w:right w:val="single" w:sz="2" w:space="0" w:color="auto"/>
            </w:tcBorders>
          </w:tcPr>
          <w:p w14:paraId="6686688F" w14:textId="77777777" w:rsidR="00863311" w:rsidRPr="00C203AE" w:rsidRDefault="00863311" w:rsidP="00765EE7">
            <w:pPr>
              <w:pStyle w:val="TableReference"/>
              <w:tabs>
                <w:tab w:val="left" w:pos="3306"/>
              </w:tabs>
              <w:spacing w:before="40"/>
              <w:ind w:left="-5"/>
              <w:rPr>
                <w:rFonts w:cs="Calibri"/>
                <w:color w:val="7030A0"/>
                <w:sz w:val="14"/>
              </w:rPr>
            </w:pPr>
            <w:r w:rsidRPr="00C203AE">
              <w:rPr>
                <w:rFonts w:cs="Calibri"/>
                <w:color w:val="7030A0"/>
                <w:sz w:val="14"/>
              </w:rPr>
              <w:t xml:space="preserve">ACT </w:t>
            </w:r>
            <w:r w:rsidR="000662B0" w:rsidRPr="00C203AE">
              <w:rPr>
                <w:rFonts w:cs="Calibri"/>
                <w:color w:val="7030A0"/>
                <w:sz w:val="14"/>
              </w:rPr>
              <w:t>Disclosure</w:t>
            </w:r>
            <w:r w:rsidRPr="00C203AE">
              <w:rPr>
                <w:rFonts w:cs="Calibri"/>
                <w:color w:val="7030A0"/>
                <w:sz w:val="14"/>
              </w:rPr>
              <w:t xml:space="preserve"> Policy</w:t>
            </w:r>
          </w:p>
          <w:p w14:paraId="48BA5DEC" w14:textId="03E8A5E5" w:rsidR="00863311" w:rsidRPr="00C203AE" w:rsidRDefault="00863311" w:rsidP="00765EE7">
            <w:pPr>
              <w:pStyle w:val="TableReference"/>
              <w:tabs>
                <w:tab w:val="left" w:pos="3306"/>
              </w:tabs>
              <w:spacing w:before="40"/>
              <w:rPr>
                <w:rFonts w:cs="Calibri"/>
                <w:color w:val="7030A0"/>
                <w:sz w:val="16"/>
                <w:szCs w:val="16"/>
              </w:rPr>
            </w:pPr>
          </w:p>
        </w:tc>
        <w:tc>
          <w:tcPr>
            <w:tcW w:w="8848" w:type="dxa"/>
            <w:gridSpan w:val="6"/>
            <w:tcBorders>
              <w:top w:val="nil"/>
              <w:left w:val="single" w:sz="2" w:space="0" w:color="auto"/>
              <w:bottom w:val="nil"/>
              <w:right w:val="nil"/>
            </w:tcBorders>
            <w:shd w:val="clear" w:color="auto" w:fill="7030A0"/>
          </w:tcPr>
          <w:p w14:paraId="4C9D6C87" w14:textId="37AFD4B4" w:rsidR="00863311" w:rsidRPr="00C203AE" w:rsidRDefault="00863311" w:rsidP="00B13049">
            <w:pPr>
              <w:pStyle w:val="CommentaryText"/>
              <w:rPr>
                <w:rFonts w:cs="Calibri"/>
                <w:color w:val="FFFFFF" w:themeColor="background1"/>
                <w:sz w:val="18"/>
                <w:szCs w:val="18"/>
              </w:rPr>
            </w:pPr>
            <w:r w:rsidRPr="00C203AE">
              <w:rPr>
                <w:rFonts w:cs="Calibri"/>
                <w:color w:val="FFFFFF" w:themeColor="background1"/>
                <w:sz w:val="18"/>
                <w:szCs w:val="18"/>
              </w:rPr>
              <w:t>Agencies must include an Accumulated Funds line item in the Statement of Assets and Liabilities on Behalf of the Territory regardless of whether there are figures against it.</w:t>
            </w:r>
            <w:r w:rsidR="00FA7C77">
              <w:rPr>
                <w:rFonts w:cs="Calibri"/>
                <w:color w:val="FFFFFF" w:themeColor="background1"/>
                <w:sz w:val="18"/>
                <w:szCs w:val="18"/>
              </w:rPr>
              <w:t xml:space="preserve"> </w:t>
            </w:r>
            <w:r w:rsidRPr="00C203AE">
              <w:rPr>
                <w:rFonts w:cs="Calibri"/>
                <w:color w:val="FFFFFF" w:themeColor="background1"/>
                <w:sz w:val="18"/>
                <w:szCs w:val="18"/>
              </w:rPr>
              <w:t xml:space="preserve">Agencies must also include the Net Assets total line and the Total Equity line in the Statement of Assets and Liabilities on Behalf of the Territory regardless of whether there are figures against them. </w:t>
            </w:r>
          </w:p>
        </w:tc>
      </w:tr>
      <w:tr w:rsidR="00765EE7" w:rsidRPr="00CF7E1B" w14:paraId="5B30C334" w14:textId="77777777" w:rsidTr="0004564D">
        <w:trPr>
          <w:cantSplit/>
          <w:trHeight w:val="23"/>
          <w:jc w:val="center"/>
        </w:trPr>
        <w:tc>
          <w:tcPr>
            <w:tcW w:w="1548" w:type="dxa"/>
            <w:tcBorders>
              <w:top w:val="nil"/>
              <w:left w:val="single" w:sz="2" w:space="0" w:color="auto"/>
              <w:bottom w:val="nil"/>
              <w:right w:val="single" w:sz="2" w:space="0" w:color="auto"/>
            </w:tcBorders>
          </w:tcPr>
          <w:p w14:paraId="1B6AC7FE" w14:textId="0F30F2D3" w:rsidR="00765EE7" w:rsidRPr="00C203AE" w:rsidRDefault="00765EE7" w:rsidP="00256E61">
            <w:pPr>
              <w:pStyle w:val="TableReference"/>
              <w:tabs>
                <w:tab w:val="left" w:pos="3306"/>
              </w:tabs>
              <w:spacing w:before="40"/>
              <w:ind w:left="-5"/>
              <w:rPr>
                <w:rFonts w:cs="Calibri"/>
                <w:color w:val="7030A0"/>
                <w:sz w:val="14"/>
              </w:rPr>
            </w:pPr>
            <w:r w:rsidRPr="00C203AE">
              <w:rPr>
                <w:rFonts w:cs="Calibri"/>
                <w:color w:val="7030A0"/>
                <w:sz w:val="14"/>
              </w:rPr>
              <w:t>ACT Disclosure Policy</w:t>
            </w:r>
          </w:p>
        </w:tc>
        <w:tc>
          <w:tcPr>
            <w:tcW w:w="8848" w:type="dxa"/>
            <w:gridSpan w:val="6"/>
            <w:tcBorders>
              <w:top w:val="nil"/>
              <w:left w:val="single" w:sz="2" w:space="0" w:color="auto"/>
              <w:bottom w:val="nil"/>
              <w:right w:val="nil"/>
            </w:tcBorders>
            <w:shd w:val="clear" w:color="auto" w:fill="7030A0"/>
            <w:vAlign w:val="bottom"/>
          </w:tcPr>
          <w:p w14:paraId="6A8714AB" w14:textId="7316C5DE" w:rsidR="00765EE7" w:rsidRPr="00C203AE" w:rsidRDefault="00765EE7" w:rsidP="00765EE7">
            <w:pPr>
              <w:pStyle w:val="CommentaryText"/>
              <w:rPr>
                <w:rFonts w:cs="Calibri"/>
                <w:color w:val="FFFFFF" w:themeColor="background1"/>
                <w:sz w:val="18"/>
                <w:szCs w:val="18"/>
              </w:rPr>
            </w:pPr>
            <w:r w:rsidRPr="00C203AE">
              <w:rPr>
                <w:rFonts w:cs="Calibri"/>
                <w:color w:val="FFFFFF" w:themeColor="background1"/>
                <w:sz w:val="18"/>
                <w:szCs w:val="18"/>
              </w:rPr>
              <w:t xml:space="preserve">Agencies include this statement in order to present administered assets and liabilities as required by AASB 1050 </w:t>
            </w:r>
            <w:r w:rsidRPr="00C203AE">
              <w:rPr>
                <w:rFonts w:cs="Calibri"/>
                <w:i/>
                <w:color w:val="FFFFFF" w:themeColor="background1"/>
                <w:sz w:val="18"/>
                <w:szCs w:val="18"/>
              </w:rPr>
              <w:t>Administered Items.</w:t>
            </w:r>
            <w:r w:rsidR="00FA7C77">
              <w:rPr>
                <w:rFonts w:cs="Calibri"/>
                <w:i/>
                <w:color w:val="FFFFFF" w:themeColor="background1"/>
                <w:sz w:val="18"/>
                <w:szCs w:val="18"/>
              </w:rPr>
              <w:t xml:space="preserve"> </w:t>
            </w:r>
            <w:r w:rsidRPr="00C203AE">
              <w:rPr>
                <w:rFonts w:cs="Calibri"/>
                <w:color w:val="FFFFFF" w:themeColor="background1"/>
                <w:sz w:val="18"/>
                <w:szCs w:val="18"/>
              </w:rPr>
              <w:t>For ease of comparison to the budget, it is ACT Disclosure Policy that Equity items are included.</w:t>
            </w:r>
            <w:r w:rsidR="00FA7C77">
              <w:rPr>
                <w:rFonts w:cs="Calibri"/>
                <w:color w:val="FFFFFF" w:themeColor="background1"/>
                <w:sz w:val="18"/>
                <w:szCs w:val="18"/>
              </w:rPr>
              <w:t xml:space="preserve"> </w:t>
            </w:r>
            <w:r w:rsidRPr="00C203AE">
              <w:rPr>
                <w:rFonts w:cs="Calibri"/>
                <w:color w:val="FFFFFF" w:themeColor="background1"/>
                <w:sz w:val="18"/>
                <w:szCs w:val="18"/>
              </w:rPr>
              <w:t>This statement is not intended to be a Balance Sheet and therefore does not meet all disclosure requirements that a Balance Sheet would.</w:t>
            </w:r>
          </w:p>
        </w:tc>
      </w:tr>
      <w:tr w:rsidR="00B66BE0" w:rsidRPr="00CF7E1B" w14:paraId="48B59EA2" w14:textId="77777777" w:rsidTr="0004564D">
        <w:trPr>
          <w:cantSplit/>
          <w:trHeight w:val="23"/>
          <w:jc w:val="center"/>
        </w:trPr>
        <w:tc>
          <w:tcPr>
            <w:tcW w:w="1548" w:type="dxa"/>
            <w:tcBorders>
              <w:top w:val="nil"/>
              <w:left w:val="single" w:sz="2" w:space="0" w:color="auto"/>
              <w:bottom w:val="nil"/>
              <w:right w:val="single" w:sz="2" w:space="0" w:color="auto"/>
            </w:tcBorders>
          </w:tcPr>
          <w:p w14:paraId="47AC7D88" w14:textId="77777777" w:rsidR="00B66BE0" w:rsidRPr="00C203AE" w:rsidRDefault="00B66BE0" w:rsidP="00256E61">
            <w:pPr>
              <w:pStyle w:val="TableReference"/>
              <w:tabs>
                <w:tab w:val="left" w:pos="3306"/>
              </w:tabs>
              <w:spacing w:before="40"/>
              <w:ind w:left="-5"/>
              <w:rPr>
                <w:rFonts w:cs="Calibri"/>
                <w:color w:val="7030A0"/>
                <w:sz w:val="14"/>
              </w:rPr>
            </w:pPr>
          </w:p>
        </w:tc>
        <w:tc>
          <w:tcPr>
            <w:tcW w:w="8848" w:type="dxa"/>
            <w:gridSpan w:val="6"/>
            <w:tcBorders>
              <w:top w:val="nil"/>
              <w:left w:val="single" w:sz="2" w:space="0" w:color="auto"/>
              <w:bottom w:val="nil"/>
              <w:right w:val="nil"/>
            </w:tcBorders>
            <w:shd w:val="clear" w:color="auto" w:fill="7030A0"/>
            <w:vAlign w:val="bottom"/>
          </w:tcPr>
          <w:p w14:paraId="3F58B21B" w14:textId="295FA821" w:rsidR="00B66BE0" w:rsidRPr="00C203AE" w:rsidRDefault="00B66BE0" w:rsidP="00765EE7">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Asset Revaluation Surplus to be included in the Equity section of the table above.</w:t>
            </w:r>
          </w:p>
        </w:tc>
      </w:tr>
      <w:tr w:rsidR="00863311" w:rsidRPr="00CF7E1B" w14:paraId="5B9CC7AE" w14:textId="77777777" w:rsidTr="0004564D">
        <w:trPr>
          <w:cantSplit/>
          <w:trHeight w:val="23"/>
          <w:jc w:val="center"/>
        </w:trPr>
        <w:tc>
          <w:tcPr>
            <w:tcW w:w="1548" w:type="dxa"/>
            <w:tcBorders>
              <w:top w:val="nil"/>
              <w:left w:val="single" w:sz="2" w:space="0" w:color="auto"/>
              <w:bottom w:val="nil"/>
              <w:right w:val="single" w:sz="2" w:space="0" w:color="auto"/>
            </w:tcBorders>
          </w:tcPr>
          <w:p w14:paraId="5227CF4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48" w:type="dxa"/>
            <w:gridSpan w:val="6"/>
            <w:tcBorders>
              <w:top w:val="nil"/>
              <w:left w:val="single" w:sz="2" w:space="0" w:color="auto"/>
              <w:bottom w:val="nil"/>
              <w:right w:val="nil"/>
            </w:tcBorders>
            <w:shd w:val="clear" w:color="auto" w:fill="7030A0"/>
            <w:vAlign w:val="bottom"/>
          </w:tcPr>
          <w:p w14:paraId="5C484570"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4FF37BC8" w14:textId="77777777" w:rsidTr="0004564D">
        <w:trPr>
          <w:cantSplit/>
          <w:trHeight w:val="23"/>
          <w:jc w:val="center"/>
        </w:trPr>
        <w:tc>
          <w:tcPr>
            <w:tcW w:w="1548" w:type="dxa"/>
            <w:tcBorders>
              <w:top w:val="nil"/>
              <w:left w:val="single" w:sz="2" w:space="0" w:color="auto"/>
              <w:bottom w:val="nil"/>
              <w:right w:val="single" w:sz="2" w:space="0" w:color="auto"/>
            </w:tcBorders>
          </w:tcPr>
          <w:p w14:paraId="28A550EE" w14:textId="77777777" w:rsidR="00863311" w:rsidRPr="00C203AE" w:rsidRDefault="00863311" w:rsidP="00863311">
            <w:pPr>
              <w:pStyle w:val="TableReference"/>
              <w:tabs>
                <w:tab w:val="left" w:pos="3306"/>
              </w:tabs>
              <w:spacing w:before="40"/>
              <w:rPr>
                <w:rFonts w:cs="Calibri"/>
                <w:color w:val="7030A0"/>
              </w:rPr>
            </w:pPr>
          </w:p>
        </w:tc>
        <w:tc>
          <w:tcPr>
            <w:tcW w:w="8848" w:type="dxa"/>
            <w:gridSpan w:val="6"/>
            <w:tcBorders>
              <w:top w:val="nil"/>
              <w:left w:val="single" w:sz="2" w:space="0" w:color="auto"/>
              <w:bottom w:val="nil"/>
              <w:right w:val="nil"/>
            </w:tcBorders>
            <w:shd w:val="clear" w:color="auto" w:fill="7030A0"/>
            <w:vAlign w:val="bottom"/>
          </w:tcPr>
          <w:p w14:paraId="691E7175" w14:textId="706107DF"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w:t>
            </w:r>
            <w:r w:rsidR="00B13049">
              <w:rPr>
                <w:rFonts w:cs="Calibri"/>
                <w:color w:val="FFFFFF" w:themeColor="background1"/>
                <w:sz w:val="18"/>
                <w:szCs w:val="18"/>
              </w:rPr>
              <w:t>2</w:t>
            </w:r>
            <w:r w:rsidR="00300197" w:rsidRPr="00C203AE">
              <w:rPr>
                <w:rFonts w:cs="Calibri"/>
                <w:color w:val="FFFFFF" w:themeColor="background1"/>
                <w:sz w:val="18"/>
                <w:szCs w:val="18"/>
              </w:rPr>
              <w:t>-2</w:t>
            </w:r>
            <w:r w:rsidR="00B13049">
              <w:rPr>
                <w:rFonts w:cs="Calibri"/>
                <w:color w:val="FFFFFF" w:themeColor="background1"/>
                <w:sz w:val="18"/>
                <w:szCs w:val="18"/>
              </w:rPr>
              <w:t>3</w:t>
            </w:r>
            <w:r w:rsidR="00FF0025" w:rsidRPr="00C203AE">
              <w:rPr>
                <w:rFonts w:cs="Calibri"/>
                <w:color w:val="FFFFFF" w:themeColor="background1"/>
                <w:sz w:val="18"/>
                <w:szCs w:val="18"/>
              </w:rPr>
              <w:t xml:space="preserve"> </w:t>
            </w:r>
            <w:r w:rsidRPr="00C203AE">
              <w:rPr>
                <w:rFonts w:cs="Calibri"/>
                <w:color w:val="FFFFFF" w:themeColor="background1"/>
                <w:sz w:val="18"/>
                <w:szCs w:val="18"/>
              </w:rPr>
              <w:t>Budget Papers.</w:t>
            </w:r>
          </w:p>
        </w:tc>
      </w:tr>
    </w:tbl>
    <w:p w14:paraId="4AE07F2C" w14:textId="77777777" w:rsidR="00863311" w:rsidRPr="00BA3729" w:rsidRDefault="00863311" w:rsidP="00863311">
      <w:pPr>
        <w:tabs>
          <w:tab w:val="left" w:pos="3306"/>
        </w:tabs>
        <w:rPr>
          <w:rFonts w:cs="Calibri"/>
          <w:sz w:val="18"/>
          <w:szCs w:val="18"/>
        </w:rPr>
      </w:pPr>
    </w:p>
    <w:p w14:paraId="3455EE84" w14:textId="77777777" w:rsidR="00EC64D1" w:rsidRDefault="00863311" w:rsidP="00EC64D1">
      <w:pPr>
        <w:spacing w:before="240" w:line="400" w:lineRule="exact"/>
        <w:jc w:val="center"/>
      </w:pPr>
      <w:r w:rsidRPr="00CF7E1B">
        <w:br w:type="page"/>
      </w:r>
      <w:bookmarkStart w:id="972" w:name="_Toc194918662"/>
      <w:bookmarkStart w:id="973" w:name="_Toc253496238"/>
    </w:p>
    <w:p w14:paraId="217B9AD2" w14:textId="17DCBF92" w:rsidR="00863311" w:rsidRPr="00C203AE" w:rsidRDefault="00863311" w:rsidP="00EC64D1">
      <w:pPr>
        <w:spacing w:line="400" w:lineRule="exact"/>
        <w:jc w:val="center"/>
        <w:rPr>
          <w:b/>
          <w:sz w:val="40"/>
          <w:szCs w:val="40"/>
        </w:rPr>
      </w:pPr>
      <w:r w:rsidRPr="00C203AE">
        <w:rPr>
          <w:b/>
          <w:sz w:val="40"/>
          <w:szCs w:val="40"/>
        </w:rPr>
        <w:t>‘</w:t>
      </w:r>
      <w:r w:rsidR="00027610" w:rsidRPr="00C203AE">
        <w:rPr>
          <w:b/>
          <w:sz w:val="40"/>
          <w:szCs w:val="40"/>
        </w:rPr>
        <w:t xml:space="preserve">Burley Griffin </w:t>
      </w:r>
      <w:r w:rsidRPr="00C203AE">
        <w:rPr>
          <w:b/>
          <w:sz w:val="40"/>
          <w:szCs w:val="40"/>
        </w:rPr>
        <w:t>Agency’</w:t>
      </w:r>
      <w:bookmarkEnd w:id="972"/>
      <w:bookmarkEnd w:id="973"/>
    </w:p>
    <w:p w14:paraId="1DEF29FB" w14:textId="77777777" w:rsidR="00863311" w:rsidRPr="00C203AE" w:rsidRDefault="00863311" w:rsidP="00226363">
      <w:pPr>
        <w:pStyle w:val="Subtitle"/>
        <w:spacing w:line="400" w:lineRule="exact"/>
        <w:rPr>
          <w:rFonts w:asciiTheme="minorHAnsi" w:hAnsiTheme="minorHAnsi" w:cstheme="minorHAnsi"/>
        </w:rPr>
      </w:pPr>
      <w:bookmarkStart w:id="974" w:name="_Toc194918663"/>
      <w:bookmarkStart w:id="975" w:name="_Toc223433220"/>
      <w:bookmarkStart w:id="976" w:name="_Toc253496239"/>
      <w:bookmarkStart w:id="977" w:name="_Toc400627369"/>
      <w:bookmarkStart w:id="978" w:name="_Toc132743841"/>
      <w:r w:rsidRPr="00C203AE">
        <w:rPr>
          <w:rFonts w:asciiTheme="minorHAnsi" w:hAnsiTheme="minorHAnsi" w:cstheme="minorHAnsi"/>
        </w:rPr>
        <w:t>Statement of Changes in Equity on Behalf of the Territory</w:t>
      </w:r>
      <w:bookmarkEnd w:id="974"/>
      <w:bookmarkEnd w:id="975"/>
      <w:bookmarkEnd w:id="976"/>
      <w:bookmarkEnd w:id="977"/>
      <w:bookmarkEnd w:id="978"/>
    </w:p>
    <w:p w14:paraId="7B2A44CB" w14:textId="72D1F451" w:rsidR="00863311" w:rsidRPr="00C203AE" w:rsidRDefault="00863311" w:rsidP="00226363">
      <w:pPr>
        <w:spacing w:line="400" w:lineRule="exact"/>
        <w:jc w:val="center"/>
        <w:rPr>
          <w:b/>
          <w:sz w:val="40"/>
          <w:szCs w:val="40"/>
        </w:rPr>
      </w:pPr>
      <w:r w:rsidRPr="00C203AE">
        <w:rPr>
          <w:b/>
          <w:sz w:val="40"/>
          <w:szCs w:val="40"/>
        </w:rPr>
        <w:t xml:space="preserve">For the Year Ended 30 June </w:t>
      </w:r>
      <w:r w:rsidR="006973C8" w:rsidRPr="00C203AE">
        <w:rPr>
          <w:b/>
          <w:sz w:val="40"/>
          <w:szCs w:val="40"/>
        </w:rPr>
        <w:t>202</w:t>
      </w:r>
      <w:r w:rsidR="00B13049">
        <w:rPr>
          <w:b/>
          <w:sz w:val="40"/>
          <w:szCs w:val="40"/>
        </w:rPr>
        <w:t>3</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968"/>
        <w:gridCol w:w="720"/>
        <w:gridCol w:w="968"/>
        <w:gridCol w:w="1080"/>
        <w:gridCol w:w="1194"/>
      </w:tblGrid>
      <w:tr w:rsidR="00863311" w:rsidRPr="00CF7E1B" w14:paraId="29BB14D2" w14:textId="77777777" w:rsidTr="0004564D">
        <w:trPr>
          <w:cantSplit/>
          <w:trHeight w:val="20"/>
          <w:jc w:val="center"/>
        </w:trPr>
        <w:tc>
          <w:tcPr>
            <w:tcW w:w="1557" w:type="dxa"/>
            <w:tcBorders>
              <w:top w:val="nil"/>
              <w:left w:val="single" w:sz="2" w:space="0" w:color="auto"/>
              <w:bottom w:val="nil"/>
              <w:right w:val="single" w:sz="2" w:space="0" w:color="auto"/>
            </w:tcBorders>
          </w:tcPr>
          <w:p w14:paraId="1F9E0BF2" w14:textId="77777777" w:rsidR="00863311" w:rsidRPr="00A2241D" w:rsidRDefault="00863311" w:rsidP="005D3C33">
            <w:pPr>
              <w:pStyle w:val="Reference"/>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68" w:type="dxa"/>
            <w:tcBorders>
              <w:top w:val="nil"/>
              <w:left w:val="single" w:sz="2" w:space="0" w:color="auto"/>
              <w:bottom w:val="nil"/>
              <w:right w:val="nil"/>
            </w:tcBorders>
            <w:vAlign w:val="bottom"/>
          </w:tcPr>
          <w:p w14:paraId="0D3D017C" w14:textId="77777777" w:rsidR="00863311" w:rsidRPr="00A2241D" w:rsidRDefault="00863311" w:rsidP="00863311">
            <w:pPr>
              <w:tabs>
                <w:tab w:val="left" w:pos="3306"/>
              </w:tabs>
              <w:rPr>
                <w:rFonts w:asciiTheme="minorHAnsi" w:hAnsiTheme="minorHAnsi" w:cstheme="minorHAnsi"/>
                <w:sz w:val="18"/>
                <w:szCs w:val="18"/>
              </w:rPr>
            </w:pPr>
          </w:p>
        </w:tc>
        <w:tc>
          <w:tcPr>
            <w:tcW w:w="1688" w:type="dxa"/>
            <w:gridSpan w:val="2"/>
            <w:tcBorders>
              <w:top w:val="nil"/>
              <w:left w:val="nil"/>
              <w:bottom w:val="nil"/>
              <w:right w:val="nil"/>
            </w:tcBorders>
            <w:vAlign w:val="bottom"/>
          </w:tcPr>
          <w:p w14:paraId="786E98DB"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 xml:space="preserve">Accumulated </w:t>
            </w:r>
            <w:r w:rsidRPr="00A2241D">
              <w:rPr>
                <w:rFonts w:asciiTheme="minorHAnsi" w:hAnsiTheme="minorHAnsi" w:cstheme="minorHAnsi"/>
              </w:rPr>
              <w:br/>
              <w:t>Funds</w:t>
            </w:r>
          </w:p>
        </w:tc>
        <w:tc>
          <w:tcPr>
            <w:tcW w:w="1080" w:type="dxa"/>
            <w:tcBorders>
              <w:top w:val="nil"/>
              <w:left w:val="nil"/>
              <w:bottom w:val="nil"/>
              <w:right w:val="nil"/>
            </w:tcBorders>
            <w:shd w:val="clear" w:color="auto" w:fill="auto"/>
            <w:vAlign w:val="bottom"/>
          </w:tcPr>
          <w:p w14:paraId="45EB0D35"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Total Equity</w:t>
            </w:r>
          </w:p>
        </w:tc>
        <w:tc>
          <w:tcPr>
            <w:tcW w:w="1194" w:type="dxa"/>
            <w:tcBorders>
              <w:top w:val="nil"/>
              <w:left w:val="nil"/>
              <w:bottom w:val="nil"/>
              <w:right w:val="nil"/>
            </w:tcBorders>
            <w:shd w:val="clear" w:color="auto" w:fill="auto"/>
            <w:vAlign w:val="bottom"/>
          </w:tcPr>
          <w:p w14:paraId="656689A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Original</w:t>
            </w:r>
          </w:p>
        </w:tc>
      </w:tr>
      <w:tr w:rsidR="00863311" w:rsidRPr="00CF7E1B" w14:paraId="0A670D44" w14:textId="77777777" w:rsidTr="0004564D">
        <w:trPr>
          <w:cantSplit/>
          <w:trHeight w:val="20"/>
          <w:jc w:val="center"/>
        </w:trPr>
        <w:tc>
          <w:tcPr>
            <w:tcW w:w="1557" w:type="dxa"/>
            <w:tcBorders>
              <w:top w:val="nil"/>
              <w:left w:val="single" w:sz="2" w:space="0" w:color="auto"/>
              <w:bottom w:val="nil"/>
              <w:right w:val="single" w:sz="2" w:space="0" w:color="auto"/>
            </w:tcBorders>
          </w:tcPr>
          <w:p w14:paraId="091A97A1" w14:textId="77777777" w:rsidR="00863311" w:rsidRPr="00A2241D" w:rsidRDefault="00863311" w:rsidP="00863311">
            <w:pPr>
              <w:pStyle w:val="Reference"/>
              <w:tabs>
                <w:tab w:val="left" w:pos="3306"/>
              </w:tabs>
              <w:rPr>
                <w:rFonts w:cs="Calibri"/>
                <w:color w:val="7030A0"/>
                <w:sz w:val="14"/>
                <w:szCs w:val="14"/>
              </w:rPr>
            </w:pPr>
          </w:p>
        </w:tc>
        <w:tc>
          <w:tcPr>
            <w:tcW w:w="4968" w:type="dxa"/>
            <w:tcBorders>
              <w:top w:val="nil"/>
              <w:left w:val="single" w:sz="2" w:space="0" w:color="auto"/>
              <w:bottom w:val="nil"/>
              <w:right w:val="nil"/>
            </w:tcBorders>
            <w:vAlign w:val="bottom"/>
          </w:tcPr>
          <w:p w14:paraId="5C37BF12" w14:textId="77777777" w:rsidR="00863311" w:rsidRPr="00A2241D" w:rsidRDefault="00863311" w:rsidP="00863311">
            <w:pPr>
              <w:tabs>
                <w:tab w:val="left" w:pos="3306"/>
              </w:tabs>
              <w:rPr>
                <w:rFonts w:asciiTheme="minorHAnsi" w:hAnsiTheme="minorHAnsi" w:cstheme="minorHAnsi"/>
                <w:sz w:val="18"/>
                <w:szCs w:val="18"/>
              </w:rPr>
            </w:pPr>
          </w:p>
        </w:tc>
        <w:tc>
          <w:tcPr>
            <w:tcW w:w="720" w:type="dxa"/>
            <w:tcBorders>
              <w:top w:val="nil"/>
              <w:left w:val="nil"/>
              <w:bottom w:val="nil"/>
              <w:right w:val="nil"/>
            </w:tcBorders>
            <w:vAlign w:val="bottom"/>
          </w:tcPr>
          <w:p w14:paraId="61AA0F98" w14:textId="77777777" w:rsidR="00863311" w:rsidRPr="00A2241D" w:rsidRDefault="00863311" w:rsidP="00863311">
            <w:pPr>
              <w:pStyle w:val="TableTitle"/>
              <w:tabs>
                <w:tab w:val="left" w:pos="3306"/>
              </w:tabs>
              <w:jc w:val="center"/>
              <w:rPr>
                <w:rFonts w:asciiTheme="minorHAnsi" w:hAnsiTheme="minorHAnsi" w:cstheme="minorHAnsi"/>
              </w:rPr>
            </w:pPr>
            <w:r w:rsidRPr="00A2241D">
              <w:rPr>
                <w:rFonts w:asciiTheme="minorHAnsi" w:hAnsiTheme="minorHAnsi" w:cstheme="minorHAnsi"/>
              </w:rPr>
              <w:t>Note No.</w:t>
            </w:r>
          </w:p>
        </w:tc>
        <w:tc>
          <w:tcPr>
            <w:tcW w:w="968" w:type="dxa"/>
            <w:tcBorders>
              <w:top w:val="nil"/>
              <w:left w:val="nil"/>
              <w:bottom w:val="nil"/>
              <w:right w:val="nil"/>
            </w:tcBorders>
            <w:shd w:val="clear" w:color="auto" w:fill="auto"/>
            <w:vAlign w:val="bottom"/>
          </w:tcPr>
          <w:p w14:paraId="542536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32A0FA05" w14:textId="63135632"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13049">
              <w:rPr>
                <w:rFonts w:cs="Calibri"/>
              </w:rPr>
              <w:t>3</w:t>
            </w:r>
          </w:p>
          <w:p w14:paraId="64A467A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080" w:type="dxa"/>
            <w:tcBorders>
              <w:top w:val="nil"/>
              <w:left w:val="nil"/>
              <w:bottom w:val="nil"/>
              <w:right w:val="nil"/>
            </w:tcBorders>
            <w:shd w:val="clear" w:color="auto" w:fill="auto"/>
            <w:vAlign w:val="bottom"/>
          </w:tcPr>
          <w:p w14:paraId="122A848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042C2F94" w14:textId="33BCD88D"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13049">
              <w:rPr>
                <w:rFonts w:cs="Calibri"/>
              </w:rPr>
              <w:t>3</w:t>
            </w:r>
          </w:p>
          <w:p w14:paraId="2E29FB2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194" w:type="dxa"/>
            <w:tcBorders>
              <w:top w:val="nil"/>
              <w:left w:val="nil"/>
              <w:bottom w:val="nil"/>
              <w:right w:val="nil"/>
            </w:tcBorders>
            <w:shd w:val="clear" w:color="auto" w:fill="auto"/>
            <w:vAlign w:val="bottom"/>
          </w:tcPr>
          <w:p w14:paraId="1B9434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Budget</w:t>
            </w:r>
          </w:p>
          <w:p w14:paraId="1FA7257F" w14:textId="31871F98"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13049">
              <w:rPr>
                <w:rFonts w:cs="Calibri"/>
              </w:rPr>
              <w:t>3</w:t>
            </w:r>
          </w:p>
          <w:p w14:paraId="6A564377"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r>
      <w:tr w:rsidR="00863311" w:rsidRPr="00CF7E1B" w14:paraId="10241394" w14:textId="77777777" w:rsidTr="0004564D">
        <w:trPr>
          <w:cantSplit/>
          <w:trHeight w:val="20"/>
          <w:jc w:val="center"/>
        </w:trPr>
        <w:tc>
          <w:tcPr>
            <w:tcW w:w="1557" w:type="dxa"/>
            <w:tcBorders>
              <w:top w:val="nil"/>
              <w:left w:val="single" w:sz="2" w:space="0" w:color="auto"/>
              <w:bottom w:val="nil"/>
              <w:right w:val="single" w:sz="2" w:space="0" w:color="auto"/>
            </w:tcBorders>
          </w:tcPr>
          <w:p w14:paraId="2E74A5CC"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C095083" w14:textId="77777777" w:rsidR="00863311" w:rsidRPr="00A2241D" w:rsidRDefault="00863311" w:rsidP="00863311">
            <w:pPr>
              <w:pStyle w:val="TableText"/>
              <w:tabs>
                <w:tab w:val="left" w:pos="3306"/>
              </w:tabs>
              <w:rPr>
                <w:rFonts w:asciiTheme="minorHAnsi" w:hAnsiTheme="minorHAnsi" w:cstheme="minorHAnsi"/>
                <w:b/>
                <w:bCs/>
              </w:rPr>
            </w:pPr>
          </w:p>
        </w:tc>
        <w:tc>
          <w:tcPr>
            <w:tcW w:w="720" w:type="dxa"/>
            <w:tcBorders>
              <w:top w:val="nil"/>
              <w:left w:val="nil"/>
              <w:bottom w:val="nil"/>
              <w:right w:val="nil"/>
            </w:tcBorders>
            <w:vAlign w:val="bottom"/>
          </w:tcPr>
          <w:p w14:paraId="1C627D6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97244D2"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FC6E2AF"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0BF34ED6"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D0DCAD7" w14:textId="77777777" w:rsidTr="0004564D">
        <w:trPr>
          <w:cantSplit/>
          <w:trHeight w:val="20"/>
          <w:jc w:val="center"/>
        </w:trPr>
        <w:tc>
          <w:tcPr>
            <w:tcW w:w="1557" w:type="dxa"/>
            <w:tcBorders>
              <w:top w:val="nil"/>
              <w:left w:val="single" w:sz="2" w:space="0" w:color="auto"/>
              <w:bottom w:val="nil"/>
              <w:right w:val="single" w:sz="2" w:space="0" w:color="auto"/>
            </w:tcBorders>
          </w:tcPr>
          <w:p w14:paraId="530FD235"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68" w:type="dxa"/>
            <w:tcBorders>
              <w:top w:val="nil"/>
              <w:left w:val="single" w:sz="2" w:space="0" w:color="auto"/>
              <w:bottom w:val="nil"/>
              <w:right w:val="nil"/>
            </w:tcBorders>
            <w:vAlign w:val="bottom"/>
          </w:tcPr>
          <w:p w14:paraId="210012FF" w14:textId="03F586C0" w:rsidR="00863311" w:rsidRPr="00A2241D" w:rsidRDefault="00376863" w:rsidP="008002BA">
            <w:pPr>
              <w:pStyle w:val="TableText"/>
              <w:tabs>
                <w:tab w:val="left" w:pos="3306"/>
              </w:tabs>
              <w:rPr>
                <w:rFonts w:asciiTheme="minorHAnsi" w:hAnsiTheme="minorHAnsi" w:cstheme="minorHAnsi"/>
                <w:b/>
                <w:bCs/>
              </w:rPr>
            </w:pPr>
            <w:r w:rsidRPr="00A2241D">
              <w:rPr>
                <w:rFonts w:cs="Calibri"/>
                <w:b/>
                <w:bCs/>
              </w:rPr>
              <w:t>Balance at 1 July 202</w:t>
            </w:r>
            <w:r w:rsidR="00B13049">
              <w:rPr>
                <w:rFonts w:cs="Calibri"/>
                <w:b/>
                <w:bCs/>
              </w:rPr>
              <w:t>2</w:t>
            </w:r>
          </w:p>
        </w:tc>
        <w:tc>
          <w:tcPr>
            <w:tcW w:w="720" w:type="dxa"/>
            <w:tcBorders>
              <w:top w:val="nil"/>
              <w:left w:val="nil"/>
              <w:bottom w:val="nil"/>
              <w:right w:val="nil"/>
            </w:tcBorders>
            <w:vAlign w:val="bottom"/>
          </w:tcPr>
          <w:p w14:paraId="1AE58F0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73AC3FC7" w14:textId="442B6048" w:rsidR="00863311" w:rsidRPr="00A2241D" w:rsidRDefault="00863311" w:rsidP="00863311">
            <w:pPr>
              <w:pStyle w:val="TableText"/>
              <w:tabs>
                <w:tab w:val="left" w:pos="3306"/>
              </w:tabs>
              <w:jc w:val="right"/>
              <w:rPr>
                <w:rFonts w:asciiTheme="minorHAnsi" w:hAnsiTheme="minorHAnsi" w:cstheme="minorHAnsi"/>
                <w:b/>
              </w:rPr>
            </w:pPr>
          </w:p>
        </w:tc>
        <w:tc>
          <w:tcPr>
            <w:tcW w:w="1080" w:type="dxa"/>
            <w:tcBorders>
              <w:top w:val="nil"/>
              <w:left w:val="nil"/>
              <w:bottom w:val="single" w:sz="4" w:space="0" w:color="auto"/>
              <w:right w:val="nil"/>
            </w:tcBorders>
            <w:shd w:val="clear" w:color="auto" w:fill="auto"/>
            <w:vAlign w:val="bottom"/>
          </w:tcPr>
          <w:p w14:paraId="32179F65" w14:textId="117EAFCF" w:rsidR="00863311" w:rsidRPr="00A2241D" w:rsidRDefault="00863311" w:rsidP="00863311">
            <w:pPr>
              <w:pStyle w:val="TableText"/>
              <w:tabs>
                <w:tab w:val="left" w:pos="3306"/>
              </w:tabs>
              <w:jc w:val="right"/>
              <w:rPr>
                <w:rFonts w:asciiTheme="minorHAnsi" w:hAnsiTheme="minorHAnsi" w:cstheme="minorHAnsi"/>
                <w:b/>
              </w:rPr>
            </w:pPr>
          </w:p>
        </w:tc>
        <w:tc>
          <w:tcPr>
            <w:tcW w:w="1194" w:type="dxa"/>
            <w:tcBorders>
              <w:top w:val="nil"/>
              <w:left w:val="nil"/>
              <w:bottom w:val="single" w:sz="4" w:space="0" w:color="auto"/>
              <w:right w:val="nil"/>
            </w:tcBorders>
            <w:shd w:val="clear" w:color="auto" w:fill="auto"/>
            <w:vAlign w:val="bottom"/>
          </w:tcPr>
          <w:p w14:paraId="4F4AA0F6" w14:textId="02A866DC" w:rsidR="00863311" w:rsidRPr="00A2241D" w:rsidRDefault="00863311" w:rsidP="00863311">
            <w:pPr>
              <w:pStyle w:val="TableText"/>
              <w:tabs>
                <w:tab w:val="left" w:pos="3306"/>
              </w:tabs>
              <w:jc w:val="right"/>
              <w:rPr>
                <w:rFonts w:asciiTheme="minorHAnsi" w:hAnsiTheme="minorHAnsi" w:cstheme="minorHAnsi"/>
                <w:b/>
              </w:rPr>
            </w:pPr>
          </w:p>
        </w:tc>
      </w:tr>
      <w:tr w:rsidR="00863311" w:rsidRPr="00CF7E1B" w14:paraId="604DBE16" w14:textId="77777777" w:rsidTr="0004564D">
        <w:trPr>
          <w:cantSplit/>
          <w:trHeight w:val="20"/>
          <w:jc w:val="center"/>
        </w:trPr>
        <w:tc>
          <w:tcPr>
            <w:tcW w:w="1557" w:type="dxa"/>
            <w:tcBorders>
              <w:top w:val="nil"/>
              <w:left w:val="single" w:sz="2" w:space="0" w:color="auto"/>
              <w:bottom w:val="nil"/>
              <w:right w:val="single" w:sz="2" w:space="0" w:color="auto"/>
            </w:tcBorders>
          </w:tcPr>
          <w:p w14:paraId="152B9344"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BD669A" w14:textId="77777777" w:rsidR="00863311" w:rsidRPr="00A2241D" w:rsidRDefault="00863311" w:rsidP="00863311">
            <w:pPr>
              <w:tabs>
                <w:tab w:val="left" w:pos="3306"/>
              </w:tabs>
              <w:spacing w:before="60" w:after="60"/>
              <w:rPr>
                <w:rFonts w:asciiTheme="minorHAnsi" w:hAnsiTheme="minorHAnsi" w:cstheme="minorHAnsi"/>
                <w:b/>
                <w:sz w:val="18"/>
                <w:szCs w:val="18"/>
              </w:rPr>
            </w:pPr>
            <w:r w:rsidRPr="00A2241D">
              <w:rPr>
                <w:rFonts w:asciiTheme="minorHAnsi" w:hAnsiTheme="minorHAnsi" w:cstheme="minorHAnsi"/>
                <w:b/>
                <w:sz w:val="18"/>
                <w:szCs w:val="18"/>
              </w:rPr>
              <w:t>Comprehensive Income</w:t>
            </w:r>
          </w:p>
        </w:tc>
        <w:tc>
          <w:tcPr>
            <w:tcW w:w="720" w:type="dxa"/>
            <w:tcBorders>
              <w:top w:val="nil"/>
              <w:left w:val="nil"/>
              <w:bottom w:val="nil"/>
              <w:right w:val="nil"/>
            </w:tcBorders>
            <w:vAlign w:val="bottom"/>
          </w:tcPr>
          <w:p w14:paraId="5416060C"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6BF2EDF9"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61A04DB6"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5DD21A74"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3AA2276" w14:textId="77777777" w:rsidTr="0004564D">
        <w:trPr>
          <w:cantSplit/>
          <w:trHeight w:val="20"/>
          <w:jc w:val="center"/>
        </w:trPr>
        <w:tc>
          <w:tcPr>
            <w:tcW w:w="1557" w:type="dxa"/>
            <w:tcBorders>
              <w:top w:val="nil"/>
              <w:left w:val="single" w:sz="2" w:space="0" w:color="auto"/>
              <w:bottom w:val="nil"/>
              <w:right w:val="single" w:sz="2" w:space="0" w:color="auto"/>
            </w:tcBorders>
          </w:tcPr>
          <w:p w14:paraId="21824C0D"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68" w:type="dxa"/>
            <w:tcBorders>
              <w:top w:val="nil"/>
              <w:left w:val="single" w:sz="2" w:space="0" w:color="auto"/>
              <w:bottom w:val="nil"/>
              <w:right w:val="nil"/>
            </w:tcBorders>
          </w:tcPr>
          <w:p w14:paraId="1EAC6471" w14:textId="67EDB3C0"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Operating </w:t>
            </w:r>
            <w:r w:rsidR="00A164A4" w:rsidRPr="00A2241D">
              <w:rPr>
                <w:rFonts w:cs="Calibri"/>
                <w:sz w:val="18"/>
                <w:szCs w:val="18"/>
              </w:rPr>
              <w:t>Result</w:t>
            </w:r>
          </w:p>
        </w:tc>
        <w:tc>
          <w:tcPr>
            <w:tcW w:w="720" w:type="dxa"/>
            <w:tcBorders>
              <w:top w:val="nil"/>
              <w:left w:val="nil"/>
              <w:bottom w:val="nil"/>
              <w:right w:val="nil"/>
            </w:tcBorders>
            <w:vAlign w:val="bottom"/>
          </w:tcPr>
          <w:p w14:paraId="56961519"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6B435F3" w14:textId="4327022C"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A868B42" w14:textId="22DAE8F0"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769956F6" w14:textId="4F1990F5"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21EF4664" w14:textId="77777777" w:rsidTr="0004564D">
        <w:trPr>
          <w:cantSplit/>
          <w:trHeight w:val="20"/>
          <w:jc w:val="center"/>
        </w:trPr>
        <w:tc>
          <w:tcPr>
            <w:tcW w:w="1557" w:type="dxa"/>
            <w:tcBorders>
              <w:top w:val="nil"/>
              <w:left w:val="single" w:sz="2" w:space="0" w:color="auto"/>
              <w:bottom w:val="nil"/>
              <w:right w:val="single" w:sz="2" w:space="0" w:color="auto"/>
            </w:tcBorders>
          </w:tcPr>
          <w:p w14:paraId="7E924DB8"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DBC896C" w14:textId="73EEC812"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Other Comprehensive </w:t>
            </w:r>
            <w:r w:rsidR="005D451F" w:rsidRPr="005D451F">
              <w:rPr>
                <w:rFonts w:asciiTheme="minorHAnsi" w:hAnsiTheme="minorHAnsi" w:cstheme="minorHAnsi"/>
                <w:color w:val="FF0000"/>
                <w:sz w:val="18"/>
                <w:szCs w:val="18"/>
              </w:rPr>
              <w:t xml:space="preserve">Result </w:t>
            </w:r>
            <w:r w:rsidRPr="005D451F">
              <w:rPr>
                <w:rFonts w:asciiTheme="minorHAnsi" w:hAnsiTheme="minorHAnsi" w:cstheme="minorHAnsi"/>
                <w:strike/>
                <w:color w:val="FF0000"/>
                <w:sz w:val="18"/>
                <w:szCs w:val="18"/>
              </w:rPr>
              <w:t>Income</w:t>
            </w:r>
          </w:p>
        </w:tc>
        <w:tc>
          <w:tcPr>
            <w:tcW w:w="720" w:type="dxa"/>
            <w:tcBorders>
              <w:top w:val="nil"/>
              <w:left w:val="nil"/>
              <w:bottom w:val="nil"/>
              <w:right w:val="nil"/>
            </w:tcBorders>
            <w:vAlign w:val="bottom"/>
          </w:tcPr>
          <w:p w14:paraId="54F0DE8F"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3796E420" w14:textId="6FE43AD1"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single" w:sz="4" w:space="0" w:color="auto"/>
              <w:right w:val="nil"/>
            </w:tcBorders>
            <w:shd w:val="clear" w:color="auto" w:fill="auto"/>
            <w:vAlign w:val="bottom"/>
          </w:tcPr>
          <w:p w14:paraId="32BA60BD" w14:textId="46DB8E05"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single" w:sz="4" w:space="0" w:color="auto"/>
              <w:right w:val="nil"/>
            </w:tcBorders>
            <w:shd w:val="clear" w:color="auto" w:fill="auto"/>
            <w:vAlign w:val="bottom"/>
          </w:tcPr>
          <w:p w14:paraId="331E0695" w14:textId="1510F6DF"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48F28E44" w14:textId="77777777" w:rsidTr="0004564D">
        <w:trPr>
          <w:cantSplit/>
          <w:trHeight w:val="20"/>
          <w:jc w:val="center"/>
        </w:trPr>
        <w:tc>
          <w:tcPr>
            <w:tcW w:w="1557" w:type="dxa"/>
            <w:tcBorders>
              <w:top w:val="nil"/>
              <w:left w:val="single" w:sz="2" w:space="0" w:color="auto"/>
              <w:bottom w:val="nil"/>
              <w:right w:val="single" w:sz="2" w:space="0" w:color="auto"/>
            </w:tcBorders>
          </w:tcPr>
          <w:p w14:paraId="736C3002" w14:textId="77777777" w:rsidR="00863311" w:rsidRPr="00A2241D" w:rsidRDefault="00863311" w:rsidP="00B945AA">
            <w:pPr>
              <w:pStyle w:val="TableReference"/>
              <w:tabs>
                <w:tab w:val="left" w:pos="3306"/>
              </w:tabs>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68" w:type="dxa"/>
            <w:tcBorders>
              <w:top w:val="nil"/>
              <w:left w:val="single" w:sz="2" w:space="0" w:color="auto"/>
              <w:bottom w:val="nil"/>
              <w:right w:val="nil"/>
            </w:tcBorders>
          </w:tcPr>
          <w:p w14:paraId="187ABA16" w14:textId="36EE70B3" w:rsidR="00863311" w:rsidRPr="00A2241D" w:rsidRDefault="00863311" w:rsidP="00B945AA">
            <w:pPr>
              <w:tabs>
                <w:tab w:val="left" w:pos="3306"/>
              </w:tabs>
              <w:rPr>
                <w:rFonts w:asciiTheme="minorHAnsi" w:hAnsiTheme="minorHAnsi" w:cstheme="minorHAnsi"/>
                <w:b/>
                <w:strike/>
                <w:sz w:val="18"/>
                <w:szCs w:val="18"/>
              </w:rPr>
            </w:pPr>
            <w:r w:rsidRPr="00A2241D">
              <w:rPr>
                <w:rFonts w:asciiTheme="minorHAnsi" w:hAnsiTheme="minorHAnsi" w:cstheme="minorHAnsi"/>
                <w:b/>
                <w:sz w:val="18"/>
                <w:szCs w:val="18"/>
              </w:rPr>
              <w:t xml:space="preserve">Total Comprehensive </w:t>
            </w:r>
            <w:r w:rsidR="005D451F" w:rsidRPr="005D451F">
              <w:rPr>
                <w:rFonts w:asciiTheme="minorHAnsi" w:hAnsiTheme="minorHAnsi" w:cstheme="minorHAnsi"/>
                <w:b/>
                <w:color w:val="FF0000"/>
                <w:sz w:val="18"/>
                <w:szCs w:val="18"/>
              </w:rPr>
              <w:t xml:space="preserve">Result </w:t>
            </w:r>
            <w:r w:rsidRPr="005D451F">
              <w:rPr>
                <w:rFonts w:asciiTheme="minorHAnsi" w:hAnsiTheme="minorHAnsi" w:cstheme="minorHAnsi"/>
                <w:b/>
                <w:strike/>
                <w:color w:val="FF0000"/>
                <w:sz w:val="18"/>
                <w:szCs w:val="18"/>
              </w:rPr>
              <w:t>Income</w:t>
            </w:r>
          </w:p>
        </w:tc>
        <w:tc>
          <w:tcPr>
            <w:tcW w:w="720" w:type="dxa"/>
            <w:tcBorders>
              <w:top w:val="nil"/>
              <w:left w:val="nil"/>
              <w:bottom w:val="nil"/>
              <w:right w:val="nil"/>
            </w:tcBorders>
            <w:vAlign w:val="bottom"/>
          </w:tcPr>
          <w:p w14:paraId="37418D1F" w14:textId="77777777" w:rsidR="00863311" w:rsidRPr="00A2241D" w:rsidRDefault="00863311" w:rsidP="00B945AA">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68CFC1C4" w14:textId="5DC2F7F6" w:rsidR="00863311" w:rsidRPr="00A2241D" w:rsidRDefault="00863311" w:rsidP="00B945AA">
            <w:pPr>
              <w:pStyle w:val="TableText"/>
              <w:tabs>
                <w:tab w:val="left" w:pos="3306"/>
              </w:tabs>
              <w:spacing w:before="0"/>
              <w:jc w:val="right"/>
              <w:rPr>
                <w:rFonts w:asciiTheme="minorHAnsi" w:hAnsiTheme="minorHAnsi" w:cstheme="minorHAnsi"/>
              </w:rPr>
            </w:pPr>
          </w:p>
        </w:tc>
        <w:tc>
          <w:tcPr>
            <w:tcW w:w="1080" w:type="dxa"/>
            <w:tcBorders>
              <w:top w:val="single" w:sz="4" w:space="0" w:color="auto"/>
              <w:left w:val="nil"/>
              <w:bottom w:val="single" w:sz="4" w:space="0" w:color="auto"/>
              <w:right w:val="nil"/>
            </w:tcBorders>
            <w:shd w:val="clear" w:color="auto" w:fill="auto"/>
            <w:vAlign w:val="bottom"/>
          </w:tcPr>
          <w:p w14:paraId="05495E70" w14:textId="2C80A191" w:rsidR="00863311" w:rsidRPr="00A2241D" w:rsidRDefault="00863311" w:rsidP="00B945AA">
            <w:pPr>
              <w:pStyle w:val="TableText"/>
              <w:tabs>
                <w:tab w:val="left" w:pos="3306"/>
              </w:tabs>
              <w:spacing w:before="0"/>
              <w:jc w:val="right"/>
              <w:rPr>
                <w:rFonts w:asciiTheme="minorHAnsi" w:hAnsiTheme="minorHAnsi" w:cstheme="minorHAnsi"/>
              </w:rPr>
            </w:pPr>
          </w:p>
        </w:tc>
        <w:tc>
          <w:tcPr>
            <w:tcW w:w="1194" w:type="dxa"/>
            <w:tcBorders>
              <w:top w:val="single" w:sz="4" w:space="0" w:color="auto"/>
              <w:left w:val="nil"/>
              <w:bottom w:val="single" w:sz="4" w:space="0" w:color="auto"/>
              <w:right w:val="nil"/>
            </w:tcBorders>
            <w:shd w:val="clear" w:color="auto" w:fill="auto"/>
            <w:vAlign w:val="bottom"/>
          </w:tcPr>
          <w:p w14:paraId="6AB8A72E" w14:textId="21B15E70" w:rsidR="00863311" w:rsidRPr="00A2241D" w:rsidRDefault="00863311" w:rsidP="00B945AA">
            <w:pPr>
              <w:pStyle w:val="TableText"/>
              <w:tabs>
                <w:tab w:val="left" w:pos="3306"/>
              </w:tabs>
              <w:spacing w:before="0"/>
              <w:jc w:val="right"/>
              <w:rPr>
                <w:rFonts w:asciiTheme="minorHAnsi" w:hAnsiTheme="minorHAnsi" w:cstheme="minorHAnsi"/>
              </w:rPr>
            </w:pPr>
          </w:p>
        </w:tc>
      </w:tr>
      <w:tr w:rsidR="00863311" w:rsidRPr="00CF7E1B" w14:paraId="2BE6554B" w14:textId="77777777" w:rsidTr="0004564D">
        <w:trPr>
          <w:cantSplit/>
          <w:trHeight w:val="20"/>
          <w:jc w:val="center"/>
        </w:trPr>
        <w:tc>
          <w:tcPr>
            <w:tcW w:w="1557" w:type="dxa"/>
            <w:tcBorders>
              <w:top w:val="nil"/>
              <w:left w:val="single" w:sz="2" w:space="0" w:color="auto"/>
              <w:bottom w:val="nil"/>
              <w:right w:val="single" w:sz="2" w:space="0" w:color="auto"/>
            </w:tcBorders>
          </w:tcPr>
          <w:p w14:paraId="1C489887"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28103402" w14:textId="77777777" w:rsidR="00863311" w:rsidRPr="00A2241D" w:rsidRDefault="00863311" w:rsidP="001F661B">
            <w:pPr>
              <w:tabs>
                <w:tab w:val="left" w:pos="3306"/>
              </w:tabs>
              <w:spacing w:before="180" w:after="180"/>
              <w:rPr>
                <w:rFonts w:asciiTheme="minorHAnsi" w:hAnsiTheme="minorHAnsi" w:cstheme="minorHAnsi"/>
                <w:strike/>
                <w:sz w:val="18"/>
                <w:szCs w:val="18"/>
              </w:rPr>
            </w:pPr>
            <w:r w:rsidRPr="00A2241D">
              <w:rPr>
                <w:rFonts w:asciiTheme="minorHAnsi" w:hAnsiTheme="minorHAnsi" w:cstheme="minorHAnsi"/>
                <w:sz w:val="18"/>
                <w:szCs w:val="18"/>
              </w:rPr>
              <w:t>Transfers to/(from) reserves</w:t>
            </w:r>
          </w:p>
        </w:tc>
        <w:tc>
          <w:tcPr>
            <w:tcW w:w="720" w:type="dxa"/>
            <w:tcBorders>
              <w:top w:val="nil"/>
              <w:left w:val="nil"/>
              <w:bottom w:val="nil"/>
              <w:right w:val="nil"/>
            </w:tcBorders>
            <w:vAlign w:val="bottom"/>
          </w:tcPr>
          <w:p w14:paraId="10A7F6B6"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16B0709F" w14:textId="4BD0DE09"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09DD48B3" w14:textId="399CB4CD"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093AB2B4" w14:textId="1BAF92BA"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386B688" w14:textId="77777777" w:rsidTr="0004564D">
        <w:trPr>
          <w:cantSplit/>
          <w:trHeight w:val="20"/>
          <w:jc w:val="center"/>
        </w:trPr>
        <w:tc>
          <w:tcPr>
            <w:tcW w:w="1557" w:type="dxa"/>
            <w:tcBorders>
              <w:top w:val="nil"/>
              <w:left w:val="single" w:sz="2" w:space="0" w:color="auto"/>
              <w:bottom w:val="nil"/>
              <w:right w:val="single" w:sz="2" w:space="0" w:color="auto"/>
            </w:tcBorders>
          </w:tcPr>
          <w:p w14:paraId="7F62B3A7"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08930C00" w14:textId="1F097EAB" w:rsidR="00863311" w:rsidRPr="00A2241D" w:rsidRDefault="00863311" w:rsidP="00561CDB">
            <w:pPr>
              <w:tabs>
                <w:tab w:val="left" w:pos="3306"/>
              </w:tabs>
              <w:spacing w:before="60" w:after="60"/>
              <w:rPr>
                <w:rFonts w:asciiTheme="minorHAnsi" w:hAnsiTheme="minorHAnsi" w:cstheme="minorHAnsi"/>
                <w:b/>
                <w:iCs/>
                <w:sz w:val="18"/>
                <w:szCs w:val="18"/>
              </w:rPr>
            </w:pPr>
            <w:r w:rsidRPr="00A2241D">
              <w:rPr>
                <w:rFonts w:asciiTheme="minorHAnsi" w:hAnsiTheme="minorHAnsi" w:cstheme="minorHAnsi"/>
                <w:b/>
                <w:iCs/>
                <w:sz w:val="18"/>
                <w:szCs w:val="18"/>
              </w:rPr>
              <w:t xml:space="preserve">Transactions </w:t>
            </w:r>
            <w:r w:rsidR="001F661B" w:rsidRPr="00A2241D">
              <w:rPr>
                <w:rFonts w:cs="Calibri"/>
                <w:b/>
                <w:iCs/>
                <w:sz w:val="18"/>
              </w:rPr>
              <w:t>Involving</w:t>
            </w:r>
            <w:r w:rsidR="001F661B" w:rsidRPr="00A2241D">
              <w:rPr>
                <w:rFonts w:asciiTheme="minorHAnsi" w:hAnsiTheme="minorHAnsi" w:cstheme="minorHAnsi"/>
                <w:b/>
                <w:iCs/>
                <w:sz w:val="18"/>
                <w:szCs w:val="18"/>
              </w:rPr>
              <w:t xml:space="preserve"> </w:t>
            </w:r>
            <w:r w:rsidRPr="00A2241D">
              <w:rPr>
                <w:rFonts w:asciiTheme="minorHAnsi" w:hAnsiTheme="minorHAnsi" w:cstheme="minorHAnsi"/>
                <w:b/>
                <w:iCs/>
                <w:sz w:val="18"/>
                <w:szCs w:val="18"/>
              </w:rPr>
              <w:t>Owners Affecting Accumulated Funds</w:t>
            </w:r>
          </w:p>
        </w:tc>
        <w:tc>
          <w:tcPr>
            <w:tcW w:w="720" w:type="dxa"/>
            <w:tcBorders>
              <w:top w:val="nil"/>
              <w:left w:val="nil"/>
              <w:bottom w:val="nil"/>
              <w:right w:val="nil"/>
            </w:tcBorders>
            <w:vAlign w:val="bottom"/>
          </w:tcPr>
          <w:p w14:paraId="0C401912"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120E7C71"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0C8B7AB"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F3AF2F0"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928FE1D" w14:textId="77777777" w:rsidTr="0004564D">
        <w:trPr>
          <w:cantSplit/>
          <w:trHeight w:val="20"/>
          <w:jc w:val="center"/>
        </w:trPr>
        <w:tc>
          <w:tcPr>
            <w:tcW w:w="1557" w:type="dxa"/>
            <w:tcBorders>
              <w:top w:val="nil"/>
              <w:left w:val="single" w:sz="2" w:space="0" w:color="auto"/>
              <w:bottom w:val="nil"/>
              <w:right w:val="single" w:sz="2" w:space="0" w:color="auto"/>
            </w:tcBorders>
          </w:tcPr>
          <w:p w14:paraId="721554F9"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3769BEEE"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Capital Injections</w:t>
            </w:r>
          </w:p>
        </w:tc>
        <w:tc>
          <w:tcPr>
            <w:tcW w:w="720" w:type="dxa"/>
            <w:tcBorders>
              <w:top w:val="nil"/>
              <w:left w:val="nil"/>
              <w:bottom w:val="nil"/>
              <w:right w:val="nil"/>
            </w:tcBorders>
            <w:vAlign w:val="bottom"/>
          </w:tcPr>
          <w:p w14:paraId="6ECE8EA5"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5433626" w14:textId="290B0978"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E80F9FC" w14:textId="6750FD1C"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50342DE" w14:textId="26E2D6A3"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66CFFDCD" w14:textId="77777777" w:rsidTr="0004564D">
        <w:trPr>
          <w:cantSplit/>
          <w:trHeight w:val="20"/>
          <w:jc w:val="center"/>
        </w:trPr>
        <w:tc>
          <w:tcPr>
            <w:tcW w:w="1557" w:type="dxa"/>
            <w:tcBorders>
              <w:top w:val="nil"/>
              <w:left w:val="single" w:sz="2" w:space="0" w:color="auto"/>
              <w:bottom w:val="nil"/>
              <w:right w:val="single" w:sz="2" w:space="0" w:color="auto"/>
            </w:tcBorders>
          </w:tcPr>
          <w:p w14:paraId="14A9729C"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9E7681"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Capital (Distributions) </w:t>
            </w:r>
          </w:p>
        </w:tc>
        <w:tc>
          <w:tcPr>
            <w:tcW w:w="720" w:type="dxa"/>
            <w:tcBorders>
              <w:top w:val="nil"/>
              <w:left w:val="nil"/>
              <w:bottom w:val="nil"/>
              <w:right w:val="nil"/>
            </w:tcBorders>
            <w:vAlign w:val="bottom"/>
          </w:tcPr>
          <w:p w14:paraId="313516A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CB375DC" w14:textId="4CA8E403"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6BBD6DA8" w14:textId="1BA60F62"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D24C615" w14:textId="27770275" w:rsidR="00863311" w:rsidRPr="00A2241D" w:rsidRDefault="00863311" w:rsidP="00863311">
            <w:pPr>
              <w:pStyle w:val="TableText"/>
              <w:tabs>
                <w:tab w:val="left" w:pos="3306"/>
              </w:tabs>
              <w:jc w:val="right"/>
              <w:rPr>
                <w:rFonts w:asciiTheme="minorHAnsi" w:hAnsiTheme="minorHAnsi" w:cstheme="minorHAnsi"/>
              </w:rPr>
            </w:pPr>
          </w:p>
        </w:tc>
      </w:tr>
      <w:tr w:rsidR="00104AEF" w:rsidRPr="00CF7E1B" w14:paraId="477EFBC8" w14:textId="77777777" w:rsidTr="0004564D">
        <w:trPr>
          <w:cantSplit/>
          <w:trHeight w:val="20"/>
          <w:jc w:val="center"/>
        </w:trPr>
        <w:tc>
          <w:tcPr>
            <w:tcW w:w="1557" w:type="dxa"/>
            <w:tcBorders>
              <w:top w:val="nil"/>
              <w:left w:val="single" w:sz="2" w:space="0" w:color="auto"/>
              <w:bottom w:val="nil"/>
              <w:right w:val="single" w:sz="2" w:space="0" w:color="auto"/>
            </w:tcBorders>
          </w:tcPr>
          <w:p w14:paraId="54488A12" w14:textId="77777777" w:rsidR="00104AEF" w:rsidRPr="00A2241D" w:rsidRDefault="00104AEF" w:rsidP="00104AEF">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7DE5C441" w14:textId="2263F80A" w:rsidR="00104AEF" w:rsidRPr="00A2241D" w:rsidRDefault="00104AEF" w:rsidP="00104AEF">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Net Assets transferred in </w:t>
            </w:r>
            <w:r w:rsidR="00B945AA" w:rsidRPr="00A2241D">
              <w:rPr>
                <w:rFonts w:cs="Calibri"/>
                <w:sz w:val="18"/>
              </w:rPr>
              <w:t>as part of</w:t>
            </w:r>
            <w:r w:rsidR="00B945AA"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72A6EB25" w14:textId="01463601" w:rsidR="00104AEF" w:rsidRPr="00A2241D" w:rsidRDefault="001F7F23" w:rsidP="001220C0">
            <w:pPr>
              <w:pStyle w:val="TableText"/>
              <w:tabs>
                <w:tab w:val="left" w:pos="3306"/>
              </w:tabs>
              <w:jc w:val="center"/>
              <w:rPr>
                <w:rFonts w:asciiTheme="minorHAnsi" w:hAnsiTheme="minorHAnsi" w:cstheme="minorHAnsi"/>
                <w:strike/>
              </w:rPr>
            </w:pPr>
            <w:r w:rsidRPr="00A2241D">
              <w:rPr>
                <w:rFonts w:cs="Calibri"/>
              </w:rPr>
              <w:t>5</w:t>
            </w:r>
            <w:r w:rsidR="001220C0" w:rsidRPr="00A2241D">
              <w:rPr>
                <w:rFonts w:cs="Calibri"/>
              </w:rPr>
              <w:t>2</w:t>
            </w:r>
          </w:p>
        </w:tc>
        <w:tc>
          <w:tcPr>
            <w:tcW w:w="968" w:type="dxa"/>
            <w:tcBorders>
              <w:top w:val="nil"/>
              <w:left w:val="nil"/>
              <w:bottom w:val="nil"/>
              <w:right w:val="nil"/>
            </w:tcBorders>
            <w:shd w:val="clear" w:color="auto" w:fill="auto"/>
            <w:vAlign w:val="bottom"/>
          </w:tcPr>
          <w:p w14:paraId="0897DC43" w14:textId="04A74FB6" w:rsidR="00104AEF" w:rsidRPr="00A2241D" w:rsidRDefault="00104AEF" w:rsidP="00104AEF">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44E9A685" w14:textId="6886563D" w:rsidR="00104AEF" w:rsidRPr="00A2241D" w:rsidRDefault="00104AEF" w:rsidP="00104AEF">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2A60E4A" w14:textId="064036E3" w:rsidR="00104AEF" w:rsidRPr="00A2241D" w:rsidRDefault="00104AEF" w:rsidP="00104AEF">
            <w:pPr>
              <w:pStyle w:val="TableText"/>
              <w:tabs>
                <w:tab w:val="left" w:pos="3306"/>
              </w:tabs>
              <w:jc w:val="right"/>
              <w:rPr>
                <w:rFonts w:asciiTheme="minorHAnsi" w:hAnsiTheme="minorHAnsi" w:cstheme="minorHAnsi"/>
              </w:rPr>
            </w:pPr>
          </w:p>
        </w:tc>
      </w:tr>
      <w:tr w:rsidR="00104AEF" w:rsidRPr="00CF7E1B" w14:paraId="22EB5A62" w14:textId="77777777" w:rsidTr="0004564D">
        <w:trPr>
          <w:cantSplit/>
          <w:trHeight w:val="20"/>
          <w:jc w:val="center"/>
        </w:trPr>
        <w:tc>
          <w:tcPr>
            <w:tcW w:w="1557" w:type="dxa"/>
            <w:tcBorders>
              <w:top w:val="nil"/>
              <w:left w:val="single" w:sz="2" w:space="0" w:color="auto"/>
              <w:bottom w:val="nil"/>
              <w:right w:val="single" w:sz="2" w:space="0" w:color="auto"/>
            </w:tcBorders>
          </w:tcPr>
          <w:p w14:paraId="6D8E0BC2" w14:textId="77777777" w:rsidR="00104AEF" w:rsidRPr="00A2241D" w:rsidRDefault="00104AEF" w:rsidP="00104AEF">
            <w:pPr>
              <w:pStyle w:val="TableReference"/>
              <w:tabs>
                <w:tab w:val="left" w:pos="3306"/>
              </w:tabs>
              <w:spacing w:before="60"/>
              <w:rPr>
                <w:rFonts w:cs="Calibri"/>
                <w:color w:val="7030A0"/>
                <w:sz w:val="14"/>
                <w:highlight w:val="cyan"/>
              </w:rPr>
            </w:pPr>
          </w:p>
        </w:tc>
        <w:tc>
          <w:tcPr>
            <w:tcW w:w="4968" w:type="dxa"/>
            <w:tcBorders>
              <w:top w:val="nil"/>
              <w:left w:val="single" w:sz="2" w:space="0" w:color="auto"/>
              <w:bottom w:val="nil"/>
              <w:right w:val="nil"/>
            </w:tcBorders>
          </w:tcPr>
          <w:p w14:paraId="7D660516" w14:textId="6D8DE5A8" w:rsidR="00104AEF" w:rsidRPr="00A2241D" w:rsidRDefault="00104AEF" w:rsidP="00104AEF">
            <w:pPr>
              <w:tabs>
                <w:tab w:val="left" w:pos="3306"/>
              </w:tabs>
              <w:spacing w:before="60" w:after="60"/>
              <w:rPr>
                <w:rFonts w:asciiTheme="minorHAnsi" w:hAnsiTheme="minorHAnsi" w:cstheme="minorHAnsi"/>
                <w:sz w:val="18"/>
                <w:szCs w:val="18"/>
                <w:highlight w:val="cyan"/>
              </w:rPr>
            </w:pPr>
            <w:r w:rsidRPr="00A2241D">
              <w:rPr>
                <w:rFonts w:asciiTheme="minorHAnsi" w:hAnsiTheme="minorHAnsi" w:cstheme="minorHAnsi"/>
                <w:sz w:val="18"/>
                <w:szCs w:val="18"/>
              </w:rPr>
              <w:t xml:space="preserve">Net Assets transferred out </w:t>
            </w:r>
            <w:r w:rsidR="004F4683" w:rsidRPr="00A2241D">
              <w:rPr>
                <w:rFonts w:cs="Calibri"/>
                <w:sz w:val="18"/>
              </w:rPr>
              <w:t>as part of</w:t>
            </w:r>
            <w:r w:rsidR="004F4683"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4DDE27AF" w14:textId="78A47269" w:rsidR="00104AEF" w:rsidRPr="00A2241D" w:rsidRDefault="001F7F23" w:rsidP="001220C0">
            <w:pPr>
              <w:pStyle w:val="TableText"/>
              <w:tabs>
                <w:tab w:val="left" w:pos="3306"/>
              </w:tabs>
              <w:jc w:val="center"/>
              <w:rPr>
                <w:rFonts w:asciiTheme="minorHAnsi" w:hAnsiTheme="minorHAnsi" w:cstheme="minorHAnsi"/>
                <w:strike/>
                <w:highlight w:val="cyan"/>
              </w:rPr>
            </w:pPr>
            <w:r w:rsidRPr="00A2241D">
              <w:rPr>
                <w:rFonts w:cs="Calibri"/>
              </w:rPr>
              <w:t>5</w:t>
            </w:r>
            <w:r w:rsidR="001220C0" w:rsidRPr="00A2241D">
              <w:rPr>
                <w:rFonts w:cs="Calibri"/>
              </w:rPr>
              <w:t>2</w:t>
            </w:r>
          </w:p>
        </w:tc>
        <w:tc>
          <w:tcPr>
            <w:tcW w:w="968" w:type="dxa"/>
            <w:tcBorders>
              <w:top w:val="nil"/>
              <w:left w:val="nil"/>
              <w:bottom w:val="nil"/>
              <w:right w:val="nil"/>
            </w:tcBorders>
            <w:shd w:val="clear" w:color="auto" w:fill="auto"/>
            <w:vAlign w:val="bottom"/>
          </w:tcPr>
          <w:p w14:paraId="5EA546CE" w14:textId="6BB7CCED" w:rsidR="00104AEF" w:rsidRPr="00A2241D" w:rsidRDefault="00104AEF" w:rsidP="00104AEF">
            <w:pPr>
              <w:pStyle w:val="TableText"/>
              <w:tabs>
                <w:tab w:val="left" w:pos="3306"/>
              </w:tabs>
              <w:jc w:val="right"/>
              <w:rPr>
                <w:rFonts w:asciiTheme="minorHAnsi" w:hAnsiTheme="minorHAnsi" w:cstheme="minorHAnsi"/>
                <w:highlight w:val="cyan"/>
              </w:rPr>
            </w:pPr>
          </w:p>
        </w:tc>
        <w:tc>
          <w:tcPr>
            <w:tcW w:w="1080" w:type="dxa"/>
            <w:tcBorders>
              <w:top w:val="nil"/>
              <w:left w:val="nil"/>
              <w:bottom w:val="nil"/>
              <w:right w:val="nil"/>
            </w:tcBorders>
            <w:shd w:val="clear" w:color="auto" w:fill="auto"/>
            <w:vAlign w:val="bottom"/>
          </w:tcPr>
          <w:p w14:paraId="059A2BB3" w14:textId="02C5721F" w:rsidR="00104AEF" w:rsidRPr="00A2241D" w:rsidRDefault="00104AEF" w:rsidP="00104AEF">
            <w:pPr>
              <w:pStyle w:val="TableText"/>
              <w:tabs>
                <w:tab w:val="left" w:pos="3306"/>
              </w:tabs>
              <w:jc w:val="right"/>
              <w:rPr>
                <w:rFonts w:asciiTheme="minorHAnsi" w:hAnsiTheme="minorHAnsi" w:cstheme="minorHAnsi"/>
                <w:highlight w:val="cyan"/>
              </w:rPr>
            </w:pPr>
          </w:p>
        </w:tc>
        <w:tc>
          <w:tcPr>
            <w:tcW w:w="1194" w:type="dxa"/>
            <w:tcBorders>
              <w:top w:val="nil"/>
              <w:left w:val="nil"/>
              <w:bottom w:val="nil"/>
              <w:right w:val="nil"/>
            </w:tcBorders>
            <w:shd w:val="clear" w:color="auto" w:fill="auto"/>
            <w:vAlign w:val="bottom"/>
          </w:tcPr>
          <w:p w14:paraId="068B23DC" w14:textId="21A99BA9" w:rsidR="00104AEF" w:rsidRPr="00A2241D" w:rsidRDefault="00104AEF" w:rsidP="00104AEF">
            <w:pPr>
              <w:pStyle w:val="TableText"/>
              <w:tabs>
                <w:tab w:val="left" w:pos="3306"/>
              </w:tabs>
              <w:jc w:val="right"/>
              <w:rPr>
                <w:rFonts w:asciiTheme="minorHAnsi" w:hAnsiTheme="minorHAnsi" w:cstheme="minorHAnsi"/>
                <w:highlight w:val="cyan"/>
              </w:rPr>
            </w:pPr>
          </w:p>
        </w:tc>
      </w:tr>
      <w:tr w:rsidR="00863311" w:rsidRPr="00F00A16" w14:paraId="040F7301" w14:textId="77777777" w:rsidTr="0004564D">
        <w:trPr>
          <w:cantSplit/>
          <w:trHeight w:val="20"/>
          <w:jc w:val="center"/>
        </w:trPr>
        <w:tc>
          <w:tcPr>
            <w:tcW w:w="1557" w:type="dxa"/>
            <w:tcBorders>
              <w:top w:val="nil"/>
              <w:left w:val="single" w:sz="2" w:space="0" w:color="auto"/>
              <w:bottom w:val="nil"/>
              <w:right w:val="single" w:sz="2" w:space="0" w:color="auto"/>
            </w:tcBorders>
          </w:tcPr>
          <w:p w14:paraId="39F72291"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58F5DAA8" w14:textId="77777777" w:rsidR="00863311" w:rsidRPr="00A2241D" w:rsidRDefault="00863311" w:rsidP="00863311">
            <w:pPr>
              <w:pStyle w:val="TableReference"/>
              <w:rPr>
                <w:rFonts w:asciiTheme="minorHAnsi" w:hAnsiTheme="minorHAnsi" w:cstheme="minorHAnsi"/>
                <w:color w:val="auto"/>
                <w:sz w:val="18"/>
                <w:szCs w:val="18"/>
              </w:rPr>
            </w:pPr>
          </w:p>
        </w:tc>
        <w:tc>
          <w:tcPr>
            <w:tcW w:w="720" w:type="dxa"/>
            <w:tcBorders>
              <w:top w:val="nil"/>
              <w:left w:val="nil"/>
              <w:bottom w:val="nil"/>
              <w:right w:val="nil"/>
            </w:tcBorders>
            <w:vAlign w:val="bottom"/>
          </w:tcPr>
          <w:p w14:paraId="6AD251E5" w14:textId="77777777" w:rsidR="00863311" w:rsidRPr="00A2241D" w:rsidRDefault="00863311" w:rsidP="00863311">
            <w:pPr>
              <w:pStyle w:val="TableReference"/>
              <w:rPr>
                <w:rFonts w:asciiTheme="minorHAnsi" w:hAnsiTheme="minorHAnsi" w:cstheme="minorHAnsi"/>
                <w:color w:val="auto"/>
                <w:sz w:val="18"/>
                <w:szCs w:val="18"/>
              </w:rPr>
            </w:pPr>
          </w:p>
        </w:tc>
        <w:tc>
          <w:tcPr>
            <w:tcW w:w="968" w:type="dxa"/>
            <w:tcBorders>
              <w:top w:val="nil"/>
              <w:left w:val="nil"/>
              <w:bottom w:val="single" w:sz="4" w:space="0" w:color="auto"/>
              <w:right w:val="nil"/>
            </w:tcBorders>
            <w:shd w:val="clear" w:color="auto" w:fill="auto"/>
            <w:vAlign w:val="bottom"/>
          </w:tcPr>
          <w:p w14:paraId="219CA97E" w14:textId="77777777" w:rsidR="00863311" w:rsidRPr="00A2241D" w:rsidRDefault="00863311" w:rsidP="00863311">
            <w:pPr>
              <w:pStyle w:val="TableReference"/>
              <w:rPr>
                <w:rFonts w:asciiTheme="minorHAnsi" w:hAnsiTheme="minorHAnsi" w:cstheme="minorHAnsi"/>
                <w:color w:val="auto"/>
                <w:sz w:val="18"/>
                <w:szCs w:val="18"/>
              </w:rPr>
            </w:pPr>
          </w:p>
        </w:tc>
        <w:tc>
          <w:tcPr>
            <w:tcW w:w="1080" w:type="dxa"/>
            <w:tcBorders>
              <w:top w:val="nil"/>
              <w:left w:val="nil"/>
              <w:bottom w:val="single" w:sz="4" w:space="0" w:color="auto"/>
              <w:right w:val="nil"/>
            </w:tcBorders>
            <w:shd w:val="clear" w:color="auto" w:fill="auto"/>
            <w:vAlign w:val="bottom"/>
          </w:tcPr>
          <w:p w14:paraId="121EFE73" w14:textId="77777777" w:rsidR="00863311" w:rsidRPr="00A2241D" w:rsidRDefault="00863311" w:rsidP="00863311">
            <w:pPr>
              <w:pStyle w:val="TableReference"/>
              <w:rPr>
                <w:rFonts w:asciiTheme="minorHAnsi" w:hAnsiTheme="minorHAnsi" w:cstheme="minorHAnsi"/>
                <w:color w:val="auto"/>
                <w:sz w:val="18"/>
                <w:szCs w:val="18"/>
              </w:rPr>
            </w:pPr>
          </w:p>
        </w:tc>
        <w:tc>
          <w:tcPr>
            <w:tcW w:w="1194" w:type="dxa"/>
            <w:tcBorders>
              <w:top w:val="nil"/>
              <w:left w:val="nil"/>
              <w:bottom w:val="single" w:sz="4" w:space="0" w:color="auto"/>
              <w:right w:val="nil"/>
            </w:tcBorders>
            <w:shd w:val="clear" w:color="auto" w:fill="auto"/>
            <w:vAlign w:val="bottom"/>
          </w:tcPr>
          <w:p w14:paraId="4A1433AE" w14:textId="77777777" w:rsidR="00863311" w:rsidRPr="00A2241D" w:rsidRDefault="00863311" w:rsidP="00863311">
            <w:pPr>
              <w:pStyle w:val="TableReference"/>
              <w:rPr>
                <w:rFonts w:asciiTheme="minorHAnsi" w:hAnsiTheme="minorHAnsi" w:cstheme="minorHAnsi"/>
                <w:color w:val="auto"/>
                <w:sz w:val="18"/>
                <w:szCs w:val="18"/>
              </w:rPr>
            </w:pPr>
          </w:p>
        </w:tc>
      </w:tr>
      <w:tr w:rsidR="00863311" w:rsidRPr="00F00A16" w14:paraId="74A9408C" w14:textId="77777777" w:rsidTr="0004564D">
        <w:trPr>
          <w:cantSplit/>
          <w:trHeight w:val="156"/>
          <w:jc w:val="center"/>
        </w:trPr>
        <w:tc>
          <w:tcPr>
            <w:tcW w:w="1557" w:type="dxa"/>
            <w:tcBorders>
              <w:top w:val="nil"/>
              <w:left w:val="single" w:sz="2" w:space="0" w:color="auto"/>
              <w:bottom w:val="nil"/>
              <w:right w:val="single" w:sz="2" w:space="0" w:color="auto"/>
            </w:tcBorders>
          </w:tcPr>
          <w:p w14:paraId="5FBBAA34" w14:textId="77777777" w:rsidR="00863311" w:rsidRPr="00A2241D" w:rsidRDefault="00863311" w:rsidP="003014F3">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3D7D799D" w14:textId="1D41512E" w:rsidR="00863311" w:rsidRPr="00A2241D" w:rsidRDefault="00863311" w:rsidP="003014F3">
            <w:pPr>
              <w:pStyle w:val="TableReference"/>
              <w:rPr>
                <w:rFonts w:asciiTheme="minorHAnsi" w:hAnsiTheme="minorHAnsi" w:cstheme="minorHAnsi"/>
                <w:color w:val="auto"/>
                <w:sz w:val="18"/>
                <w:szCs w:val="18"/>
              </w:rPr>
            </w:pPr>
            <w:r w:rsidRPr="00A2241D">
              <w:rPr>
                <w:rFonts w:asciiTheme="minorHAnsi" w:hAnsiTheme="minorHAnsi" w:cstheme="minorHAnsi"/>
                <w:b/>
                <w:iCs/>
                <w:color w:val="auto"/>
                <w:sz w:val="18"/>
                <w:szCs w:val="18"/>
              </w:rPr>
              <w:t xml:space="preserve">Total Transactions </w:t>
            </w:r>
            <w:r w:rsidR="004F4683" w:rsidRPr="00A2241D">
              <w:rPr>
                <w:rFonts w:cs="Calibri"/>
                <w:b/>
                <w:iCs/>
                <w:color w:val="auto"/>
                <w:sz w:val="18"/>
              </w:rPr>
              <w:t>Involving</w:t>
            </w:r>
            <w:r w:rsidR="004F4683" w:rsidRPr="00A2241D">
              <w:rPr>
                <w:rFonts w:asciiTheme="minorHAnsi" w:hAnsiTheme="minorHAnsi" w:cstheme="minorHAnsi"/>
                <w:b/>
                <w:iCs/>
                <w:color w:val="auto"/>
                <w:sz w:val="18"/>
                <w:szCs w:val="18"/>
              </w:rPr>
              <w:t xml:space="preserve"> </w:t>
            </w:r>
            <w:r w:rsidRPr="00A2241D">
              <w:rPr>
                <w:rFonts w:asciiTheme="minorHAnsi" w:hAnsiTheme="minorHAnsi" w:cstheme="minorHAnsi"/>
                <w:b/>
                <w:iCs/>
                <w:color w:val="auto"/>
                <w:sz w:val="18"/>
                <w:szCs w:val="18"/>
              </w:rPr>
              <w:t>Owners Affecting Accumulated Funds</w:t>
            </w:r>
          </w:p>
        </w:tc>
        <w:tc>
          <w:tcPr>
            <w:tcW w:w="720" w:type="dxa"/>
            <w:tcBorders>
              <w:top w:val="nil"/>
              <w:left w:val="nil"/>
              <w:bottom w:val="nil"/>
              <w:right w:val="nil"/>
            </w:tcBorders>
          </w:tcPr>
          <w:p w14:paraId="11AF4505" w14:textId="77777777" w:rsidR="00863311" w:rsidRPr="00A2241D" w:rsidRDefault="00863311" w:rsidP="003014F3">
            <w:pPr>
              <w:pStyle w:val="TableReference"/>
              <w:rPr>
                <w:rFonts w:asciiTheme="minorHAnsi" w:hAnsiTheme="minorHAnsi" w:cstheme="minorHAnsi"/>
                <w:color w:val="auto"/>
                <w:sz w:val="18"/>
                <w:szCs w:val="18"/>
              </w:rPr>
            </w:pPr>
          </w:p>
        </w:tc>
        <w:tc>
          <w:tcPr>
            <w:tcW w:w="968" w:type="dxa"/>
            <w:tcBorders>
              <w:top w:val="single" w:sz="4" w:space="0" w:color="auto"/>
              <w:left w:val="nil"/>
              <w:bottom w:val="single" w:sz="4" w:space="0" w:color="auto"/>
              <w:right w:val="nil"/>
            </w:tcBorders>
            <w:shd w:val="clear" w:color="auto" w:fill="auto"/>
          </w:tcPr>
          <w:p w14:paraId="0BF78126" w14:textId="22AEA50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080" w:type="dxa"/>
            <w:tcBorders>
              <w:top w:val="single" w:sz="4" w:space="0" w:color="auto"/>
              <w:left w:val="nil"/>
              <w:bottom w:val="single" w:sz="4" w:space="0" w:color="auto"/>
              <w:right w:val="nil"/>
            </w:tcBorders>
            <w:shd w:val="clear" w:color="auto" w:fill="auto"/>
          </w:tcPr>
          <w:p w14:paraId="3122485A" w14:textId="254D547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194" w:type="dxa"/>
            <w:tcBorders>
              <w:top w:val="single" w:sz="4" w:space="0" w:color="auto"/>
              <w:left w:val="nil"/>
              <w:bottom w:val="single" w:sz="4" w:space="0" w:color="auto"/>
              <w:right w:val="nil"/>
            </w:tcBorders>
            <w:shd w:val="clear" w:color="auto" w:fill="auto"/>
          </w:tcPr>
          <w:p w14:paraId="0B3E6B5B" w14:textId="053D8CC0" w:rsidR="00863311" w:rsidRPr="00A2241D" w:rsidRDefault="00863311" w:rsidP="003014F3">
            <w:pPr>
              <w:pStyle w:val="TableText"/>
              <w:tabs>
                <w:tab w:val="left" w:pos="3306"/>
              </w:tabs>
              <w:spacing w:before="0"/>
              <w:rPr>
                <w:rFonts w:asciiTheme="minorHAnsi" w:hAnsiTheme="minorHAnsi" w:cstheme="minorHAnsi"/>
                <w:b/>
                <w:highlight w:val="cyan"/>
              </w:rPr>
            </w:pPr>
          </w:p>
        </w:tc>
      </w:tr>
      <w:tr w:rsidR="00863311" w:rsidRPr="00F00A16" w14:paraId="3B4326FD" w14:textId="77777777" w:rsidTr="0004564D">
        <w:trPr>
          <w:cantSplit/>
          <w:trHeight w:val="20"/>
          <w:jc w:val="center"/>
        </w:trPr>
        <w:tc>
          <w:tcPr>
            <w:tcW w:w="1557" w:type="dxa"/>
            <w:tcBorders>
              <w:top w:val="nil"/>
              <w:left w:val="single" w:sz="2" w:space="0" w:color="auto"/>
              <w:bottom w:val="nil"/>
              <w:right w:val="single" w:sz="2" w:space="0" w:color="auto"/>
            </w:tcBorders>
          </w:tcPr>
          <w:p w14:paraId="1C1E276F"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BDB8871" w14:textId="77777777" w:rsidR="00863311" w:rsidRPr="00A2241D" w:rsidRDefault="00863311" w:rsidP="00863311">
            <w:pPr>
              <w:pStyle w:val="TableText"/>
              <w:tabs>
                <w:tab w:val="left" w:pos="3306"/>
              </w:tabs>
              <w:rPr>
                <w:rFonts w:asciiTheme="minorHAnsi" w:hAnsiTheme="minorHAnsi" w:cstheme="minorHAnsi"/>
                <w:b/>
                <w:bCs/>
                <w:highlight w:val="cyan"/>
              </w:rPr>
            </w:pPr>
          </w:p>
        </w:tc>
        <w:tc>
          <w:tcPr>
            <w:tcW w:w="720" w:type="dxa"/>
            <w:tcBorders>
              <w:top w:val="nil"/>
              <w:left w:val="nil"/>
              <w:bottom w:val="nil"/>
              <w:right w:val="nil"/>
            </w:tcBorders>
            <w:vAlign w:val="bottom"/>
          </w:tcPr>
          <w:p w14:paraId="400E3CF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7D4537AD"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080" w:type="dxa"/>
            <w:tcBorders>
              <w:top w:val="single" w:sz="4" w:space="0" w:color="auto"/>
              <w:left w:val="nil"/>
              <w:bottom w:val="single" w:sz="4" w:space="0" w:color="auto"/>
              <w:right w:val="nil"/>
            </w:tcBorders>
            <w:shd w:val="clear" w:color="auto" w:fill="auto"/>
            <w:vAlign w:val="bottom"/>
          </w:tcPr>
          <w:p w14:paraId="6375DC49"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194" w:type="dxa"/>
            <w:tcBorders>
              <w:top w:val="single" w:sz="4" w:space="0" w:color="auto"/>
              <w:left w:val="nil"/>
              <w:bottom w:val="single" w:sz="4" w:space="0" w:color="auto"/>
              <w:right w:val="nil"/>
            </w:tcBorders>
            <w:shd w:val="clear" w:color="auto" w:fill="auto"/>
            <w:vAlign w:val="bottom"/>
          </w:tcPr>
          <w:p w14:paraId="3B90C0D9" w14:textId="77777777" w:rsidR="00863311" w:rsidRPr="00A2241D" w:rsidRDefault="00863311" w:rsidP="00863311">
            <w:pPr>
              <w:pStyle w:val="TableText"/>
              <w:tabs>
                <w:tab w:val="left" w:pos="3306"/>
              </w:tabs>
              <w:jc w:val="right"/>
              <w:rPr>
                <w:rFonts w:asciiTheme="minorHAnsi" w:hAnsiTheme="minorHAnsi" w:cstheme="minorHAnsi"/>
                <w:b/>
                <w:bCs/>
              </w:rPr>
            </w:pPr>
          </w:p>
        </w:tc>
      </w:tr>
      <w:tr w:rsidR="008A5268" w:rsidRPr="00CF7E1B" w14:paraId="2118688C" w14:textId="77777777" w:rsidTr="0004564D">
        <w:trPr>
          <w:cantSplit/>
          <w:trHeight w:val="20"/>
          <w:jc w:val="center"/>
        </w:trPr>
        <w:tc>
          <w:tcPr>
            <w:tcW w:w="1557" w:type="dxa"/>
            <w:tcBorders>
              <w:top w:val="nil"/>
              <w:left w:val="single" w:sz="2" w:space="0" w:color="auto"/>
              <w:bottom w:val="nil"/>
              <w:right w:val="single" w:sz="2" w:space="0" w:color="auto"/>
            </w:tcBorders>
          </w:tcPr>
          <w:p w14:paraId="69D98965" w14:textId="77777777" w:rsidR="008A5268" w:rsidRPr="00A2241D" w:rsidRDefault="008A5268" w:rsidP="008A5268">
            <w:pPr>
              <w:pStyle w:val="TableReference"/>
              <w:tabs>
                <w:tab w:val="left" w:pos="3306"/>
              </w:tabs>
              <w:rPr>
                <w:rFonts w:cs="Calibri"/>
                <w:color w:val="7030A0"/>
                <w:sz w:val="14"/>
              </w:rPr>
            </w:pPr>
          </w:p>
        </w:tc>
        <w:tc>
          <w:tcPr>
            <w:tcW w:w="4968" w:type="dxa"/>
            <w:tcBorders>
              <w:top w:val="nil"/>
              <w:left w:val="single" w:sz="2" w:space="0" w:color="auto"/>
              <w:bottom w:val="nil"/>
              <w:right w:val="nil"/>
            </w:tcBorders>
            <w:vAlign w:val="bottom"/>
          </w:tcPr>
          <w:p w14:paraId="5978C43A" w14:textId="7A57F32C" w:rsidR="008A5268" w:rsidRPr="00A2241D" w:rsidRDefault="004F4683" w:rsidP="008A5268">
            <w:pPr>
              <w:pStyle w:val="TableText"/>
              <w:tabs>
                <w:tab w:val="left" w:pos="3306"/>
              </w:tabs>
              <w:spacing w:before="0"/>
              <w:rPr>
                <w:rFonts w:asciiTheme="minorHAnsi" w:hAnsiTheme="minorHAnsi" w:cstheme="minorHAnsi"/>
                <w:b/>
                <w:bCs/>
              </w:rPr>
            </w:pPr>
            <w:r w:rsidRPr="00A2241D">
              <w:rPr>
                <w:rFonts w:cs="Calibri"/>
                <w:b/>
                <w:bCs/>
              </w:rPr>
              <w:t>Balance at 30 June 202</w:t>
            </w:r>
            <w:r w:rsidR="00B13049">
              <w:rPr>
                <w:rFonts w:cs="Calibri"/>
                <w:b/>
                <w:bCs/>
              </w:rPr>
              <w:t>3</w:t>
            </w:r>
            <w:r w:rsidRPr="00A2241D">
              <w:rPr>
                <w:rFonts w:cs="Calibri"/>
                <w:b/>
                <w:bCs/>
              </w:rPr>
              <w:t xml:space="preserve"> </w:t>
            </w:r>
          </w:p>
        </w:tc>
        <w:tc>
          <w:tcPr>
            <w:tcW w:w="720" w:type="dxa"/>
            <w:tcBorders>
              <w:top w:val="nil"/>
              <w:left w:val="nil"/>
              <w:bottom w:val="nil"/>
              <w:right w:val="nil"/>
            </w:tcBorders>
            <w:vAlign w:val="bottom"/>
          </w:tcPr>
          <w:p w14:paraId="090CCB6D" w14:textId="77777777" w:rsidR="008A5268" w:rsidRPr="00A2241D" w:rsidRDefault="008A5268" w:rsidP="008A5268">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double" w:sz="4" w:space="0" w:color="auto"/>
              <w:right w:val="nil"/>
            </w:tcBorders>
            <w:shd w:val="clear" w:color="auto" w:fill="auto"/>
            <w:vAlign w:val="bottom"/>
          </w:tcPr>
          <w:p w14:paraId="4AE4CCB8"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080" w:type="dxa"/>
            <w:tcBorders>
              <w:top w:val="single" w:sz="4" w:space="0" w:color="auto"/>
              <w:left w:val="nil"/>
              <w:bottom w:val="double" w:sz="4" w:space="0" w:color="auto"/>
              <w:right w:val="nil"/>
            </w:tcBorders>
            <w:shd w:val="clear" w:color="auto" w:fill="auto"/>
            <w:vAlign w:val="bottom"/>
          </w:tcPr>
          <w:p w14:paraId="468E8A8E"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194" w:type="dxa"/>
            <w:tcBorders>
              <w:top w:val="single" w:sz="4" w:space="0" w:color="auto"/>
              <w:left w:val="nil"/>
              <w:bottom w:val="double" w:sz="4" w:space="0" w:color="auto"/>
              <w:right w:val="nil"/>
            </w:tcBorders>
            <w:shd w:val="clear" w:color="auto" w:fill="auto"/>
            <w:vAlign w:val="bottom"/>
          </w:tcPr>
          <w:p w14:paraId="65665003"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r>
      <w:tr w:rsidR="008A5268" w:rsidRPr="00CF7E1B" w14:paraId="439F8BAD" w14:textId="77777777" w:rsidTr="0004564D">
        <w:trPr>
          <w:cantSplit/>
          <w:trHeight w:val="23"/>
          <w:jc w:val="center"/>
        </w:trPr>
        <w:tc>
          <w:tcPr>
            <w:tcW w:w="1557" w:type="dxa"/>
            <w:tcBorders>
              <w:top w:val="nil"/>
              <w:left w:val="single" w:sz="2" w:space="0" w:color="auto"/>
              <w:bottom w:val="nil"/>
              <w:right w:val="single" w:sz="2" w:space="0" w:color="auto"/>
            </w:tcBorders>
          </w:tcPr>
          <w:p w14:paraId="406F7416"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0EC556CC" w14:textId="77777777" w:rsidR="008A5268" w:rsidRPr="00A2241D" w:rsidRDefault="008A5268" w:rsidP="008A5268">
            <w:pPr>
              <w:pStyle w:val="CommentaryReference"/>
              <w:jc w:val="both"/>
              <w:rPr>
                <w:rFonts w:asciiTheme="minorHAnsi" w:hAnsiTheme="minorHAnsi" w:cstheme="minorHAnsi"/>
                <w:sz w:val="18"/>
                <w:szCs w:val="18"/>
              </w:rPr>
            </w:pPr>
          </w:p>
        </w:tc>
      </w:tr>
      <w:tr w:rsidR="008A5268" w:rsidRPr="00CF7E1B" w14:paraId="27EBD36E" w14:textId="77777777" w:rsidTr="0004564D">
        <w:trPr>
          <w:cantSplit/>
          <w:trHeight w:val="23"/>
          <w:jc w:val="center"/>
        </w:trPr>
        <w:tc>
          <w:tcPr>
            <w:tcW w:w="1557" w:type="dxa"/>
            <w:tcBorders>
              <w:top w:val="nil"/>
              <w:left w:val="single" w:sz="2" w:space="0" w:color="auto"/>
              <w:bottom w:val="nil"/>
              <w:right w:val="single" w:sz="2" w:space="0" w:color="auto"/>
            </w:tcBorders>
          </w:tcPr>
          <w:p w14:paraId="5ABE5532"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52D747D7" w14:textId="29ED9291" w:rsidR="008A5268" w:rsidRPr="00A2241D" w:rsidRDefault="008A5268" w:rsidP="008A5268">
            <w:pPr>
              <w:pStyle w:val="CommentaryReference"/>
              <w:jc w:val="both"/>
              <w:rPr>
                <w:rFonts w:asciiTheme="minorHAnsi" w:hAnsiTheme="minorHAnsi" w:cstheme="minorHAnsi"/>
                <w:sz w:val="18"/>
                <w:szCs w:val="18"/>
              </w:rPr>
            </w:pPr>
            <w:r w:rsidRPr="00A2241D">
              <w:rPr>
                <w:rFonts w:asciiTheme="minorHAnsi" w:hAnsiTheme="minorHAnsi" w:cstheme="minorHAnsi"/>
                <w:sz w:val="18"/>
                <w:szCs w:val="18"/>
              </w:rPr>
              <w:t xml:space="preserve">The above Statement of Changes in Equity on Behalf of the Territory </w:t>
            </w:r>
            <w:r w:rsidR="004F4683" w:rsidRPr="00A2241D">
              <w:rPr>
                <w:rFonts w:cs="Calibri"/>
                <w:bCs/>
                <w:sz w:val="18"/>
                <w:szCs w:val="18"/>
              </w:rPr>
              <w:t>is to</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be read in conjunction with the accompanying notes.</w:t>
            </w:r>
            <w:r w:rsidR="00FA7C77">
              <w:rPr>
                <w:rFonts w:asciiTheme="minorHAnsi" w:hAnsiTheme="minorHAnsi" w:cstheme="minorHAnsi"/>
                <w:sz w:val="18"/>
                <w:szCs w:val="18"/>
              </w:rPr>
              <w:t xml:space="preserve">  </w:t>
            </w:r>
          </w:p>
        </w:tc>
      </w:tr>
    </w:tbl>
    <w:p w14:paraId="36483044" w14:textId="77777777" w:rsidR="00376863" w:rsidRDefault="00863311" w:rsidP="00376863">
      <w:pPr>
        <w:spacing w:before="240" w:line="400" w:lineRule="exact"/>
        <w:jc w:val="center"/>
      </w:pPr>
      <w:r w:rsidRPr="00CF7E1B">
        <w:br w:type="page"/>
      </w:r>
      <w:bookmarkStart w:id="979" w:name="_Toc253496240"/>
    </w:p>
    <w:p w14:paraId="1D1AF203" w14:textId="2A38A077" w:rsidR="00863311" w:rsidRPr="00A2241D" w:rsidRDefault="00863311" w:rsidP="00376863">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979"/>
    </w:p>
    <w:p w14:paraId="2DC328C5" w14:textId="77777777" w:rsidR="00863311" w:rsidRPr="00A2241D" w:rsidRDefault="00863311" w:rsidP="00226363">
      <w:pPr>
        <w:spacing w:line="400" w:lineRule="exact"/>
        <w:jc w:val="center"/>
        <w:rPr>
          <w:b/>
          <w:sz w:val="40"/>
          <w:szCs w:val="40"/>
        </w:rPr>
      </w:pPr>
      <w:bookmarkStart w:id="980" w:name="_Toc253496241"/>
      <w:r w:rsidRPr="00A2241D">
        <w:rPr>
          <w:b/>
          <w:sz w:val="40"/>
          <w:szCs w:val="40"/>
        </w:rPr>
        <w:t>Statement of Changes in Equity</w:t>
      </w:r>
      <w:bookmarkEnd w:id="980"/>
      <w:r w:rsidRPr="00A2241D">
        <w:rPr>
          <w:b/>
          <w:sz w:val="40"/>
          <w:szCs w:val="40"/>
        </w:rPr>
        <w:t xml:space="preserve"> on Behalf of the Territory</w:t>
      </w:r>
    </w:p>
    <w:p w14:paraId="1B3E3669" w14:textId="2157274B" w:rsidR="00863311" w:rsidRPr="00A2241D" w:rsidRDefault="00863311" w:rsidP="00226363">
      <w:pPr>
        <w:spacing w:line="400" w:lineRule="exact"/>
        <w:jc w:val="center"/>
        <w:rPr>
          <w:b/>
          <w:sz w:val="40"/>
          <w:szCs w:val="40"/>
        </w:rPr>
      </w:pPr>
      <w:r w:rsidRPr="00A2241D">
        <w:rPr>
          <w:b/>
          <w:sz w:val="40"/>
          <w:szCs w:val="40"/>
        </w:rPr>
        <w:t xml:space="preserve">For the Year Ended 30 June </w:t>
      </w:r>
      <w:r w:rsidR="006973C8" w:rsidRPr="00A2241D">
        <w:rPr>
          <w:b/>
          <w:sz w:val="40"/>
          <w:szCs w:val="40"/>
        </w:rPr>
        <w:t>202</w:t>
      </w:r>
      <w:r w:rsidR="00B13049">
        <w:rPr>
          <w:b/>
          <w:sz w:val="40"/>
          <w:szCs w:val="40"/>
        </w:rPr>
        <w:t>3</w:t>
      </w:r>
    </w:p>
    <w:tbl>
      <w:tblPr>
        <w:tblW w:w="1055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992"/>
        <w:gridCol w:w="1103"/>
        <w:gridCol w:w="1417"/>
        <w:gridCol w:w="1418"/>
      </w:tblGrid>
      <w:tr w:rsidR="00863311" w:rsidRPr="00CF7E1B" w14:paraId="5A517850" w14:textId="77777777" w:rsidTr="0004564D">
        <w:trPr>
          <w:cantSplit/>
          <w:trHeight w:val="20"/>
        </w:trPr>
        <w:tc>
          <w:tcPr>
            <w:tcW w:w="1620" w:type="dxa"/>
            <w:tcBorders>
              <w:top w:val="nil"/>
              <w:left w:val="single" w:sz="2" w:space="0" w:color="auto"/>
              <w:bottom w:val="nil"/>
              <w:right w:val="single" w:sz="2" w:space="0" w:color="auto"/>
            </w:tcBorders>
          </w:tcPr>
          <w:p w14:paraId="3CBA07ED" w14:textId="77777777" w:rsidR="00863311" w:rsidRPr="00A2241D" w:rsidRDefault="00863311" w:rsidP="005D3C33">
            <w:pPr>
              <w:pStyle w:val="Reference"/>
              <w:tabs>
                <w:tab w:val="left" w:pos="3306"/>
              </w:tabs>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92" w:type="dxa"/>
            <w:tcBorders>
              <w:top w:val="nil"/>
              <w:left w:val="single" w:sz="2" w:space="0" w:color="auto"/>
              <w:bottom w:val="nil"/>
              <w:right w:val="nil"/>
            </w:tcBorders>
            <w:vAlign w:val="bottom"/>
          </w:tcPr>
          <w:p w14:paraId="47CEE843"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67B13205" w14:textId="77777777" w:rsidR="00863311" w:rsidRPr="00A2241D" w:rsidRDefault="00863311" w:rsidP="00863311">
            <w:pPr>
              <w:pStyle w:val="TableTitle"/>
              <w:tabs>
                <w:tab w:val="left" w:pos="3306"/>
              </w:tabs>
              <w:jc w:val="center"/>
              <w:rPr>
                <w:rFonts w:cs="Calibri"/>
              </w:rPr>
            </w:pPr>
          </w:p>
        </w:tc>
        <w:tc>
          <w:tcPr>
            <w:tcW w:w="1417" w:type="dxa"/>
            <w:tcBorders>
              <w:top w:val="nil"/>
              <w:left w:val="nil"/>
              <w:bottom w:val="nil"/>
              <w:right w:val="nil"/>
            </w:tcBorders>
            <w:shd w:val="clear" w:color="auto" w:fill="auto"/>
            <w:vAlign w:val="bottom"/>
          </w:tcPr>
          <w:p w14:paraId="13D8E84C" w14:textId="77777777" w:rsidR="00863311" w:rsidRPr="00A2241D" w:rsidRDefault="00863311" w:rsidP="00863311">
            <w:pPr>
              <w:pStyle w:val="TableTitle"/>
              <w:tabs>
                <w:tab w:val="left" w:pos="3306"/>
              </w:tabs>
              <w:rPr>
                <w:rFonts w:cs="Calibri"/>
              </w:rPr>
            </w:pPr>
            <w:r w:rsidRPr="00A2241D">
              <w:rPr>
                <w:rFonts w:cs="Calibri"/>
              </w:rPr>
              <w:t>Accumulated Funds</w:t>
            </w:r>
          </w:p>
        </w:tc>
        <w:tc>
          <w:tcPr>
            <w:tcW w:w="1418" w:type="dxa"/>
            <w:tcBorders>
              <w:top w:val="nil"/>
              <w:left w:val="nil"/>
              <w:bottom w:val="nil"/>
              <w:right w:val="nil"/>
            </w:tcBorders>
            <w:shd w:val="clear" w:color="auto" w:fill="auto"/>
            <w:vAlign w:val="bottom"/>
          </w:tcPr>
          <w:p w14:paraId="03547677" w14:textId="77777777" w:rsidR="00863311" w:rsidRPr="00A2241D" w:rsidRDefault="00863311" w:rsidP="00863311">
            <w:pPr>
              <w:pStyle w:val="TableTitle"/>
              <w:tabs>
                <w:tab w:val="left" w:pos="3306"/>
              </w:tabs>
              <w:rPr>
                <w:rFonts w:cs="Calibri"/>
              </w:rPr>
            </w:pPr>
            <w:r w:rsidRPr="00A2241D">
              <w:rPr>
                <w:rFonts w:cs="Calibri"/>
              </w:rPr>
              <w:t>Total Equity</w:t>
            </w:r>
          </w:p>
        </w:tc>
      </w:tr>
      <w:tr w:rsidR="00863311" w:rsidRPr="00CF7E1B" w14:paraId="5F019259" w14:textId="77777777" w:rsidTr="0004564D">
        <w:trPr>
          <w:cantSplit/>
          <w:trHeight w:val="20"/>
        </w:trPr>
        <w:tc>
          <w:tcPr>
            <w:tcW w:w="1620" w:type="dxa"/>
            <w:tcBorders>
              <w:top w:val="nil"/>
              <w:left w:val="single" w:sz="2" w:space="0" w:color="auto"/>
              <w:bottom w:val="nil"/>
              <w:right w:val="single" w:sz="2" w:space="0" w:color="auto"/>
            </w:tcBorders>
          </w:tcPr>
          <w:p w14:paraId="0281810A" w14:textId="77777777" w:rsidR="00863311" w:rsidRPr="00A2241D" w:rsidRDefault="00863311" w:rsidP="00863311">
            <w:pPr>
              <w:pStyle w:val="Reference"/>
              <w:tabs>
                <w:tab w:val="left" w:pos="3306"/>
              </w:tabs>
              <w:rPr>
                <w:rFonts w:cs="Calibri"/>
                <w:color w:val="7030A0"/>
                <w:sz w:val="14"/>
                <w:szCs w:val="14"/>
              </w:rPr>
            </w:pPr>
          </w:p>
        </w:tc>
        <w:tc>
          <w:tcPr>
            <w:tcW w:w="4992" w:type="dxa"/>
            <w:tcBorders>
              <w:top w:val="nil"/>
              <w:left w:val="single" w:sz="2" w:space="0" w:color="auto"/>
              <w:bottom w:val="nil"/>
              <w:right w:val="nil"/>
            </w:tcBorders>
            <w:vAlign w:val="bottom"/>
          </w:tcPr>
          <w:p w14:paraId="3D401D4C"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5FB0BD15" w14:textId="77777777" w:rsidR="00863311" w:rsidRPr="00A2241D" w:rsidRDefault="00863311" w:rsidP="00863311">
            <w:pPr>
              <w:pStyle w:val="TableTitle"/>
              <w:tabs>
                <w:tab w:val="left" w:pos="3306"/>
              </w:tabs>
              <w:jc w:val="center"/>
              <w:rPr>
                <w:rFonts w:cs="Calibri"/>
              </w:rPr>
            </w:pPr>
            <w:r w:rsidRPr="00A2241D">
              <w:rPr>
                <w:rFonts w:cs="Calibri"/>
              </w:rPr>
              <w:t>Note No.</w:t>
            </w:r>
          </w:p>
        </w:tc>
        <w:tc>
          <w:tcPr>
            <w:tcW w:w="1417" w:type="dxa"/>
            <w:tcBorders>
              <w:top w:val="nil"/>
              <w:left w:val="nil"/>
              <w:bottom w:val="nil"/>
              <w:right w:val="nil"/>
            </w:tcBorders>
            <w:shd w:val="clear" w:color="auto" w:fill="auto"/>
            <w:vAlign w:val="bottom"/>
          </w:tcPr>
          <w:p w14:paraId="1A52C29F" w14:textId="77777777" w:rsidR="00863311" w:rsidRPr="00A2241D" w:rsidRDefault="00863311" w:rsidP="00863311">
            <w:pPr>
              <w:pStyle w:val="TableTitle"/>
              <w:tabs>
                <w:tab w:val="left" w:pos="3306"/>
              </w:tabs>
              <w:rPr>
                <w:rFonts w:cs="Calibri"/>
              </w:rPr>
            </w:pPr>
            <w:r w:rsidRPr="00A2241D">
              <w:rPr>
                <w:rFonts w:cs="Calibri"/>
              </w:rPr>
              <w:t>Actual</w:t>
            </w:r>
          </w:p>
          <w:p w14:paraId="74010821" w14:textId="228D4D86" w:rsidR="00863311" w:rsidRPr="00A2241D" w:rsidRDefault="005709FA" w:rsidP="00863311">
            <w:pPr>
              <w:pStyle w:val="TableTitle"/>
              <w:tabs>
                <w:tab w:val="left" w:pos="3306"/>
              </w:tabs>
              <w:rPr>
                <w:rFonts w:cs="Calibri"/>
              </w:rPr>
            </w:pPr>
            <w:r w:rsidRPr="00A2241D">
              <w:rPr>
                <w:rFonts w:cs="Calibri"/>
              </w:rPr>
              <w:t>202</w:t>
            </w:r>
            <w:r w:rsidR="00B13049">
              <w:rPr>
                <w:rFonts w:cs="Calibri"/>
              </w:rPr>
              <w:t>2</w:t>
            </w:r>
          </w:p>
          <w:p w14:paraId="66A1C6EF" w14:textId="77777777" w:rsidR="00863311" w:rsidRPr="00A2241D" w:rsidRDefault="00863311" w:rsidP="00863311">
            <w:pPr>
              <w:pStyle w:val="TableTitle"/>
              <w:tabs>
                <w:tab w:val="left" w:pos="3306"/>
              </w:tabs>
              <w:rPr>
                <w:rFonts w:cs="Calibri"/>
              </w:rPr>
            </w:pPr>
            <w:r w:rsidRPr="00A2241D">
              <w:rPr>
                <w:rFonts w:cs="Calibri"/>
              </w:rPr>
              <w:t>$’000</w:t>
            </w:r>
          </w:p>
        </w:tc>
        <w:tc>
          <w:tcPr>
            <w:tcW w:w="1418" w:type="dxa"/>
            <w:tcBorders>
              <w:top w:val="nil"/>
              <w:left w:val="nil"/>
              <w:bottom w:val="nil"/>
              <w:right w:val="nil"/>
            </w:tcBorders>
            <w:shd w:val="clear" w:color="auto" w:fill="auto"/>
            <w:vAlign w:val="bottom"/>
          </w:tcPr>
          <w:p w14:paraId="67599CDB" w14:textId="77777777" w:rsidR="00863311" w:rsidRPr="00A2241D" w:rsidRDefault="00863311" w:rsidP="00863311">
            <w:pPr>
              <w:pStyle w:val="TableTitle"/>
              <w:tabs>
                <w:tab w:val="left" w:pos="3306"/>
              </w:tabs>
              <w:rPr>
                <w:rFonts w:cs="Calibri"/>
              </w:rPr>
            </w:pPr>
            <w:r w:rsidRPr="00A2241D">
              <w:rPr>
                <w:rFonts w:cs="Calibri"/>
              </w:rPr>
              <w:t>Actual</w:t>
            </w:r>
          </w:p>
          <w:p w14:paraId="73E37C2F" w14:textId="3A47C3C3" w:rsidR="00863311" w:rsidRPr="00A2241D" w:rsidRDefault="005709FA" w:rsidP="00863311">
            <w:pPr>
              <w:pStyle w:val="TableTitle"/>
              <w:tabs>
                <w:tab w:val="left" w:pos="3306"/>
              </w:tabs>
              <w:rPr>
                <w:rFonts w:cs="Calibri"/>
              </w:rPr>
            </w:pPr>
            <w:r w:rsidRPr="00A2241D">
              <w:rPr>
                <w:rFonts w:cs="Calibri"/>
              </w:rPr>
              <w:t>202</w:t>
            </w:r>
            <w:r w:rsidR="00B13049">
              <w:rPr>
                <w:rFonts w:cs="Calibri"/>
              </w:rPr>
              <w:t>2</w:t>
            </w:r>
          </w:p>
          <w:p w14:paraId="79201639"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5BE08D71" w14:textId="77777777" w:rsidTr="0004564D">
        <w:trPr>
          <w:cantSplit/>
          <w:trHeight w:val="20"/>
        </w:trPr>
        <w:tc>
          <w:tcPr>
            <w:tcW w:w="1620" w:type="dxa"/>
            <w:tcBorders>
              <w:top w:val="nil"/>
              <w:left w:val="single" w:sz="2" w:space="0" w:color="auto"/>
              <w:bottom w:val="nil"/>
              <w:right w:val="single" w:sz="2" w:space="0" w:color="auto"/>
            </w:tcBorders>
          </w:tcPr>
          <w:p w14:paraId="5A585418"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099F0EEA" w14:textId="77777777" w:rsidR="00863311" w:rsidRPr="00A2241D" w:rsidRDefault="00863311" w:rsidP="00863311">
            <w:pPr>
              <w:pStyle w:val="TableText"/>
              <w:tabs>
                <w:tab w:val="left" w:pos="3306"/>
              </w:tabs>
              <w:rPr>
                <w:rFonts w:cs="Calibri"/>
                <w:b/>
                <w:bCs/>
              </w:rPr>
            </w:pPr>
          </w:p>
        </w:tc>
        <w:tc>
          <w:tcPr>
            <w:tcW w:w="1103" w:type="dxa"/>
            <w:tcBorders>
              <w:top w:val="nil"/>
              <w:left w:val="nil"/>
              <w:bottom w:val="nil"/>
              <w:right w:val="nil"/>
            </w:tcBorders>
            <w:vAlign w:val="bottom"/>
          </w:tcPr>
          <w:p w14:paraId="360BD39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7EC1249D"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A6964B" w14:textId="77777777" w:rsidR="00863311" w:rsidRPr="00A2241D" w:rsidRDefault="00863311" w:rsidP="00863311">
            <w:pPr>
              <w:pStyle w:val="TableText"/>
              <w:tabs>
                <w:tab w:val="left" w:pos="3306"/>
              </w:tabs>
              <w:jc w:val="right"/>
              <w:rPr>
                <w:rFonts w:cs="Calibri"/>
              </w:rPr>
            </w:pPr>
          </w:p>
        </w:tc>
      </w:tr>
      <w:tr w:rsidR="00863311" w:rsidRPr="00CF7E1B" w14:paraId="11C623CA" w14:textId="77777777" w:rsidTr="0004564D">
        <w:trPr>
          <w:cantSplit/>
          <w:trHeight w:val="20"/>
        </w:trPr>
        <w:tc>
          <w:tcPr>
            <w:tcW w:w="1620" w:type="dxa"/>
            <w:tcBorders>
              <w:top w:val="nil"/>
              <w:left w:val="single" w:sz="2" w:space="0" w:color="auto"/>
              <w:bottom w:val="nil"/>
              <w:right w:val="single" w:sz="2" w:space="0" w:color="auto"/>
            </w:tcBorders>
          </w:tcPr>
          <w:p w14:paraId="509F0BDB"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0096A84E" w14:textId="7342202E" w:rsidR="00863311" w:rsidRPr="00A2241D" w:rsidRDefault="004F4683" w:rsidP="008002BA">
            <w:pPr>
              <w:pStyle w:val="TableText"/>
              <w:tabs>
                <w:tab w:val="left" w:pos="3306"/>
              </w:tabs>
              <w:rPr>
                <w:rFonts w:cs="Calibri"/>
                <w:b/>
                <w:bCs/>
              </w:rPr>
            </w:pPr>
            <w:r w:rsidRPr="00A2241D">
              <w:rPr>
                <w:rFonts w:cs="Calibri"/>
                <w:b/>
                <w:bCs/>
              </w:rPr>
              <w:t>Balance at 1 July 202</w:t>
            </w:r>
            <w:r w:rsidR="00B13049">
              <w:rPr>
                <w:rFonts w:cs="Calibri"/>
                <w:b/>
                <w:bCs/>
              </w:rPr>
              <w:t>1</w:t>
            </w:r>
          </w:p>
        </w:tc>
        <w:tc>
          <w:tcPr>
            <w:tcW w:w="1103" w:type="dxa"/>
            <w:tcBorders>
              <w:top w:val="nil"/>
              <w:left w:val="nil"/>
              <w:bottom w:val="nil"/>
              <w:right w:val="nil"/>
            </w:tcBorders>
            <w:vAlign w:val="bottom"/>
          </w:tcPr>
          <w:p w14:paraId="2EC36059"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18541006" w14:textId="4AB0BCD5" w:rsidR="00863311" w:rsidRPr="00A2241D" w:rsidRDefault="00863311" w:rsidP="00863311">
            <w:pPr>
              <w:pStyle w:val="TableText"/>
              <w:tabs>
                <w:tab w:val="left" w:pos="3306"/>
              </w:tabs>
              <w:jc w:val="right"/>
              <w:rPr>
                <w:rFonts w:cs="Calibri"/>
                <w:b/>
              </w:rPr>
            </w:pPr>
          </w:p>
        </w:tc>
        <w:tc>
          <w:tcPr>
            <w:tcW w:w="1418" w:type="dxa"/>
            <w:tcBorders>
              <w:top w:val="nil"/>
              <w:left w:val="nil"/>
              <w:bottom w:val="single" w:sz="4" w:space="0" w:color="auto"/>
              <w:right w:val="nil"/>
            </w:tcBorders>
            <w:shd w:val="clear" w:color="auto" w:fill="auto"/>
            <w:vAlign w:val="bottom"/>
          </w:tcPr>
          <w:p w14:paraId="6BF7856A" w14:textId="28CC8FAE" w:rsidR="00863311" w:rsidRPr="00A2241D" w:rsidRDefault="00863311" w:rsidP="00863311">
            <w:pPr>
              <w:pStyle w:val="TableText"/>
              <w:tabs>
                <w:tab w:val="left" w:pos="3306"/>
              </w:tabs>
              <w:jc w:val="right"/>
              <w:rPr>
                <w:rFonts w:cs="Calibri"/>
                <w:b/>
              </w:rPr>
            </w:pPr>
          </w:p>
        </w:tc>
      </w:tr>
      <w:tr w:rsidR="00863311" w:rsidRPr="00CF7E1B" w14:paraId="199FD88F" w14:textId="77777777" w:rsidTr="0004564D">
        <w:trPr>
          <w:cantSplit/>
          <w:trHeight w:val="20"/>
        </w:trPr>
        <w:tc>
          <w:tcPr>
            <w:tcW w:w="1620" w:type="dxa"/>
            <w:tcBorders>
              <w:top w:val="nil"/>
              <w:left w:val="single" w:sz="2" w:space="0" w:color="auto"/>
              <w:bottom w:val="nil"/>
              <w:right w:val="single" w:sz="2" w:space="0" w:color="auto"/>
            </w:tcBorders>
          </w:tcPr>
          <w:p w14:paraId="7957CA6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7FBEED0" w14:textId="77777777" w:rsidR="00863311" w:rsidRPr="00A2241D" w:rsidRDefault="00863311" w:rsidP="00863311">
            <w:pPr>
              <w:tabs>
                <w:tab w:val="left" w:pos="3306"/>
              </w:tabs>
              <w:spacing w:before="60" w:after="60"/>
              <w:rPr>
                <w:rFonts w:cs="Calibri"/>
                <w:b/>
                <w:sz w:val="18"/>
              </w:rPr>
            </w:pPr>
            <w:r w:rsidRPr="00A2241D">
              <w:rPr>
                <w:rFonts w:cs="Calibri"/>
                <w:b/>
                <w:sz w:val="18"/>
              </w:rPr>
              <w:t>Comprehensive Income</w:t>
            </w:r>
          </w:p>
        </w:tc>
        <w:tc>
          <w:tcPr>
            <w:tcW w:w="1103" w:type="dxa"/>
            <w:tcBorders>
              <w:top w:val="nil"/>
              <w:left w:val="nil"/>
              <w:bottom w:val="nil"/>
              <w:right w:val="nil"/>
            </w:tcBorders>
            <w:vAlign w:val="bottom"/>
          </w:tcPr>
          <w:p w14:paraId="570579E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082272AE"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2C9635EF" w14:textId="77777777" w:rsidR="00863311" w:rsidRPr="00A2241D" w:rsidRDefault="00863311" w:rsidP="00863311">
            <w:pPr>
              <w:pStyle w:val="TableText"/>
              <w:tabs>
                <w:tab w:val="left" w:pos="3306"/>
              </w:tabs>
              <w:jc w:val="right"/>
              <w:rPr>
                <w:rFonts w:cs="Calibri"/>
              </w:rPr>
            </w:pPr>
          </w:p>
        </w:tc>
      </w:tr>
      <w:tr w:rsidR="00863311" w:rsidRPr="00CF7E1B" w14:paraId="6991C475" w14:textId="77777777" w:rsidTr="0004564D">
        <w:trPr>
          <w:cantSplit/>
          <w:trHeight w:val="20"/>
        </w:trPr>
        <w:tc>
          <w:tcPr>
            <w:tcW w:w="1620" w:type="dxa"/>
            <w:tcBorders>
              <w:top w:val="nil"/>
              <w:left w:val="single" w:sz="2" w:space="0" w:color="auto"/>
              <w:bottom w:val="nil"/>
              <w:right w:val="single" w:sz="2" w:space="0" w:color="auto"/>
            </w:tcBorders>
          </w:tcPr>
          <w:p w14:paraId="2443AB69"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92" w:type="dxa"/>
            <w:tcBorders>
              <w:top w:val="nil"/>
              <w:left w:val="single" w:sz="2" w:space="0" w:color="auto"/>
              <w:bottom w:val="nil"/>
              <w:right w:val="nil"/>
            </w:tcBorders>
          </w:tcPr>
          <w:p w14:paraId="53139D3B" w14:textId="3649B827" w:rsidR="00863311" w:rsidRPr="00A2241D" w:rsidRDefault="00863311" w:rsidP="00863311">
            <w:pPr>
              <w:tabs>
                <w:tab w:val="left" w:pos="3306"/>
              </w:tabs>
              <w:spacing w:before="60" w:after="60"/>
              <w:rPr>
                <w:rFonts w:cs="Calibri"/>
                <w:sz w:val="18"/>
              </w:rPr>
            </w:pPr>
            <w:r w:rsidRPr="00A2241D">
              <w:rPr>
                <w:rFonts w:cs="Calibri"/>
                <w:sz w:val="18"/>
              </w:rPr>
              <w:t xml:space="preserve">Operating </w:t>
            </w:r>
            <w:r w:rsidR="00A164A4" w:rsidRPr="00A2241D">
              <w:rPr>
                <w:rFonts w:cs="Calibri"/>
                <w:sz w:val="18"/>
                <w:szCs w:val="18"/>
              </w:rPr>
              <w:t xml:space="preserve">Result </w:t>
            </w:r>
          </w:p>
        </w:tc>
        <w:tc>
          <w:tcPr>
            <w:tcW w:w="1103" w:type="dxa"/>
            <w:tcBorders>
              <w:top w:val="nil"/>
              <w:left w:val="nil"/>
              <w:bottom w:val="nil"/>
              <w:right w:val="nil"/>
            </w:tcBorders>
            <w:vAlign w:val="bottom"/>
          </w:tcPr>
          <w:p w14:paraId="3283C23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3BE9366" w14:textId="058AA779"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129543F" w14:textId="7949212D" w:rsidR="00863311" w:rsidRPr="00A2241D" w:rsidRDefault="00863311" w:rsidP="00863311">
            <w:pPr>
              <w:pStyle w:val="TableText"/>
              <w:tabs>
                <w:tab w:val="left" w:pos="3306"/>
              </w:tabs>
              <w:jc w:val="right"/>
              <w:rPr>
                <w:rFonts w:cs="Calibri"/>
              </w:rPr>
            </w:pPr>
          </w:p>
        </w:tc>
      </w:tr>
      <w:tr w:rsidR="00863311" w:rsidRPr="00CF7E1B" w14:paraId="351036CC" w14:textId="77777777" w:rsidTr="0004564D">
        <w:trPr>
          <w:cantSplit/>
          <w:trHeight w:val="20"/>
        </w:trPr>
        <w:tc>
          <w:tcPr>
            <w:tcW w:w="1620" w:type="dxa"/>
            <w:tcBorders>
              <w:top w:val="nil"/>
              <w:left w:val="single" w:sz="2" w:space="0" w:color="auto"/>
              <w:bottom w:val="nil"/>
              <w:right w:val="single" w:sz="2" w:space="0" w:color="auto"/>
            </w:tcBorders>
          </w:tcPr>
          <w:p w14:paraId="7D4DFE32"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41DBD19" w14:textId="0C058E8E" w:rsidR="00863311" w:rsidRPr="00A2241D" w:rsidRDefault="00863311" w:rsidP="00863311">
            <w:pPr>
              <w:tabs>
                <w:tab w:val="left" w:pos="3306"/>
              </w:tabs>
              <w:spacing w:before="60" w:after="60"/>
              <w:rPr>
                <w:rFonts w:cs="Calibri"/>
                <w:sz w:val="18"/>
              </w:rPr>
            </w:pPr>
            <w:r w:rsidRPr="00A2241D">
              <w:rPr>
                <w:rFonts w:cs="Calibri"/>
                <w:sz w:val="18"/>
              </w:rPr>
              <w:t xml:space="preserve">Other Comprehensive </w:t>
            </w:r>
            <w:r w:rsidR="003C5D97" w:rsidRPr="003C5D97">
              <w:rPr>
                <w:rFonts w:cs="Calibri"/>
                <w:color w:val="FF0000"/>
                <w:sz w:val="18"/>
              </w:rPr>
              <w:t xml:space="preserve">Result </w:t>
            </w:r>
            <w:r w:rsidRPr="003C5D97">
              <w:rPr>
                <w:rFonts w:cs="Calibri"/>
                <w:strike/>
                <w:color w:val="FF0000"/>
                <w:sz w:val="18"/>
              </w:rPr>
              <w:t>Income</w:t>
            </w:r>
          </w:p>
        </w:tc>
        <w:tc>
          <w:tcPr>
            <w:tcW w:w="1103" w:type="dxa"/>
            <w:tcBorders>
              <w:top w:val="nil"/>
              <w:left w:val="nil"/>
              <w:bottom w:val="nil"/>
              <w:right w:val="nil"/>
            </w:tcBorders>
            <w:vAlign w:val="bottom"/>
          </w:tcPr>
          <w:p w14:paraId="73EC488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4AA6C106" w14:textId="7B18011F"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7A47F1B2" w14:textId="000280E8" w:rsidR="00863311" w:rsidRPr="00A2241D" w:rsidRDefault="00863311" w:rsidP="00863311">
            <w:pPr>
              <w:pStyle w:val="TableText"/>
              <w:tabs>
                <w:tab w:val="left" w:pos="3306"/>
              </w:tabs>
              <w:jc w:val="right"/>
              <w:rPr>
                <w:rFonts w:cs="Calibri"/>
              </w:rPr>
            </w:pPr>
          </w:p>
        </w:tc>
      </w:tr>
      <w:tr w:rsidR="00863311" w:rsidRPr="00CF7E1B" w14:paraId="5C3CCE7B" w14:textId="77777777" w:rsidTr="0004564D">
        <w:trPr>
          <w:cantSplit/>
          <w:trHeight w:val="20"/>
        </w:trPr>
        <w:tc>
          <w:tcPr>
            <w:tcW w:w="1620" w:type="dxa"/>
            <w:tcBorders>
              <w:top w:val="nil"/>
              <w:left w:val="single" w:sz="2" w:space="0" w:color="auto"/>
              <w:bottom w:val="nil"/>
              <w:right w:val="single" w:sz="2" w:space="0" w:color="auto"/>
            </w:tcBorders>
          </w:tcPr>
          <w:p w14:paraId="4A12F0C6"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92" w:type="dxa"/>
            <w:tcBorders>
              <w:top w:val="nil"/>
              <w:left w:val="single" w:sz="2" w:space="0" w:color="auto"/>
              <w:bottom w:val="nil"/>
              <w:right w:val="nil"/>
            </w:tcBorders>
          </w:tcPr>
          <w:p w14:paraId="53ABAC67" w14:textId="5560AABF" w:rsidR="00863311" w:rsidRPr="00A2241D" w:rsidRDefault="00863311" w:rsidP="00863311">
            <w:pPr>
              <w:tabs>
                <w:tab w:val="left" w:pos="3306"/>
              </w:tabs>
              <w:spacing w:before="60" w:after="60"/>
              <w:rPr>
                <w:rFonts w:cs="Calibri"/>
                <w:b/>
                <w:strike/>
                <w:sz w:val="18"/>
              </w:rPr>
            </w:pPr>
            <w:r w:rsidRPr="00A2241D">
              <w:rPr>
                <w:rFonts w:cs="Calibri"/>
                <w:b/>
                <w:sz w:val="18"/>
              </w:rPr>
              <w:t xml:space="preserve">Total Comprehensive </w:t>
            </w:r>
            <w:r w:rsidR="003C5D97" w:rsidRPr="003C5D97">
              <w:rPr>
                <w:rFonts w:cs="Calibri"/>
                <w:b/>
                <w:color w:val="FF0000"/>
                <w:sz w:val="18"/>
              </w:rPr>
              <w:t xml:space="preserve">Result </w:t>
            </w:r>
            <w:r w:rsidRPr="003C5D97">
              <w:rPr>
                <w:rFonts w:cs="Calibri"/>
                <w:b/>
                <w:strike/>
                <w:color w:val="FF0000"/>
                <w:sz w:val="18"/>
              </w:rPr>
              <w:t>Income</w:t>
            </w:r>
          </w:p>
        </w:tc>
        <w:tc>
          <w:tcPr>
            <w:tcW w:w="1103" w:type="dxa"/>
            <w:tcBorders>
              <w:top w:val="nil"/>
              <w:left w:val="nil"/>
              <w:bottom w:val="nil"/>
              <w:right w:val="nil"/>
            </w:tcBorders>
            <w:vAlign w:val="bottom"/>
          </w:tcPr>
          <w:p w14:paraId="7C01C86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6B720137"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single" w:sz="4" w:space="0" w:color="auto"/>
              <w:right w:val="nil"/>
            </w:tcBorders>
            <w:shd w:val="clear" w:color="auto" w:fill="auto"/>
            <w:vAlign w:val="bottom"/>
          </w:tcPr>
          <w:p w14:paraId="0FA5871B" w14:textId="77777777" w:rsidR="00863311" w:rsidRPr="00A2241D" w:rsidRDefault="00863311" w:rsidP="00863311">
            <w:pPr>
              <w:pStyle w:val="TableText"/>
              <w:tabs>
                <w:tab w:val="left" w:pos="3306"/>
              </w:tabs>
              <w:jc w:val="right"/>
              <w:rPr>
                <w:rFonts w:cs="Calibri"/>
              </w:rPr>
            </w:pPr>
          </w:p>
        </w:tc>
      </w:tr>
      <w:tr w:rsidR="00863311" w:rsidRPr="00CF7E1B" w14:paraId="42953069" w14:textId="77777777" w:rsidTr="0004564D">
        <w:trPr>
          <w:cantSplit/>
          <w:trHeight w:val="20"/>
        </w:trPr>
        <w:tc>
          <w:tcPr>
            <w:tcW w:w="1620" w:type="dxa"/>
            <w:tcBorders>
              <w:top w:val="nil"/>
              <w:left w:val="single" w:sz="2" w:space="0" w:color="auto"/>
              <w:bottom w:val="nil"/>
              <w:right w:val="single" w:sz="2" w:space="0" w:color="auto"/>
            </w:tcBorders>
          </w:tcPr>
          <w:p w14:paraId="23CA1CF3"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1BC56F12" w14:textId="77777777" w:rsidR="00863311" w:rsidRPr="00A2241D" w:rsidRDefault="00863311" w:rsidP="00863311">
            <w:pPr>
              <w:tabs>
                <w:tab w:val="left" w:pos="3306"/>
              </w:tabs>
              <w:spacing w:before="60" w:after="60"/>
              <w:rPr>
                <w:rFonts w:cs="Calibri"/>
                <w:sz w:val="18"/>
              </w:rPr>
            </w:pPr>
          </w:p>
        </w:tc>
        <w:tc>
          <w:tcPr>
            <w:tcW w:w="1103" w:type="dxa"/>
            <w:tcBorders>
              <w:top w:val="nil"/>
              <w:left w:val="nil"/>
              <w:bottom w:val="nil"/>
              <w:right w:val="nil"/>
            </w:tcBorders>
            <w:vAlign w:val="bottom"/>
          </w:tcPr>
          <w:p w14:paraId="0042C263"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1C27EFF6"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432D7959" w14:textId="77777777" w:rsidR="00863311" w:rsidRPr="00A2241D" w:rsidRDefault="00863311" w:rsidP="00863311">
            <w:pPr>
              <w:pStyle w:val="TableText"/>
              <w:tabs>
                <w:tab w:val="left" w:pos="3306"/>
              </w:tabs>
              <w:jc w:val="right"/>
              <w:rPr>
                <w:rFonts w:cs="Calibri"/>
              </w:rPr>
            </w:pPr>
          </w:p>
        </w:tc>
      </w:tr>
      <w:tr w:rsidR="00863311" w:rsidRPr="00CF7E1B" w14:paraId="4A2EBACE" w14:textId="77777777" w:rsidTr="0004564D">
        <w:trPr>
          <w:cantSplit/>
          <w:trHeight w:val="20"/>
        </w:trPr>
        <w:tc>
          <w:tcPr>
            <w:tcW w:w="1620" w:type="dxa"/>
            <w:tcBorders>
              <w:top w:val="nil"/>
              <w:left w:val="single" w:sz="2" w:space="0" w:color="auto"/>
              <w:bottom w:val="nil"/>
              <w:right w:val="single" w:sz="2" w:space="0" w:color="auto"/>
            </w:tcBorders>
          </w:tcPr>
          <w:p w14:paraId="706F074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6E764405" w14:textId="77777777" w:rsidR="00863311" w:rsidRPr="00A2241D" w:rsidRDefault="00863311" w:rsidP="00863311">
            <w:pPr>
              <w:tabs>
                <w:tab w:val="left" w:pos="3306"/>
              </w:tabs>
              <w:spacing w:before="60" w:after="60"/>
              <w:rPr>
                <w:rFonts w:cs="Calibri"/>
                <w:strike/>
                <w:sz w:val="18"/>
              </w:rPr>
            </w:pPr>
            <w:r w:rsidRPr="00A2241D">
              <w:rPr>
                <w:rFonts w:cs="Calibri"/>
                <w:sz w:val="18"/>
              </w:rPr>
              <w:t>Transfers to/(from) reserves</w:t>
            </w:r>
          </w:p>
        </w:tc>
        <w:tc>
          <w:tcPr>
            <w:tcW w:w="1103" w:type="dxa"/>
            <w:tcBorders>
              <w:top w:val="nil"/>
              <w:left w:val="nil"/>
              <w:bottom w:val="nil"/>
              <w:right w:val="nil"/>
            </w:tcBorders>
            <w:vAlign w:val="bottom"/>
          </w:tcPr>
          <w:p w14:paraId="4A1C53F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3BCD6CEA" w14:textId="29B01064"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D82C77" w14:textId="62EFEEFB" w:rsidR="00863311" w:rsidRPr="00A2241D" w:rsidRDefault="00863311" w:rsidP="00863311">
            <w:pPr>
              <w:pStyle w:val="TableText"/>
              <w:tabs>
                <w:tab w:val="left" w:pos="3306"/>
              </w:tabs>
              <w:jc w:val="right"/>
              <w:rPr>
                <w:rFonts w:cs="Calibri"/>
              </w:rPr>
            </w:pPr>
          </w:p>
        </w:tc>
      </w:tr>
      <w:tr w:rsidR="00863311" w:rsidRPr="00CF7E1B" w14:paraId="7652B788" w14:textId="77777777" w:rsidTr="0004564D">
        <w:trPr>
          <w:cantSplit/>
          <w:trHeight w:val="197"/>
        </w:trPr>
        <w:tc>
          <w:tcPr>
            <w:tcW w:w="1620" w:type="dxa"/>
            <w:tcBorders>
              <w:top w:val="nil"/>
              <w:left w:val="single" w:sz="2" w:space="0" w:color="auto"/>
              <w:bottom w:val="nil"/>
              <w:right w:val="single" w:sz="2" w:space="0" w:color="auto"/>
            </w:tcBorders>
          </w:tcPr>
          <w:p w14:paraId="7DC1480D"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7AF6050B" w14:textId="77777777" w:rsidR="00863311" w:rsidRPr="00A2241D" w:rsidRDefault="00863311" w:rsidP="00863311">
            <w:pPr>
              <w:tabs>
                <w:tab w:val="left" w:pos="3306"/>
              </w:tabs>
              <w:spacing w:before="60" w:after="60"/>
              <w:rPr>
                <w:rFonts w:cs="Calibri"/>
                <w:b/>
                <w:bCs/>
                <w:sz w:val="18"/>
              </w:rPr>
            </w:pPr>
          </w:p>
        </w:tc>
        <w:tc>
          <w:tcPr>
            <w:tcW w:w="1103" w:type="dxa"/>
            <w:tcBorders>
              <w:top w:val="nil"/>
              <w:left w:val="nil"/>
              <w:bottom w:val="nil"/>
              <w:right w:val="nil"/>
            </w:tcBorders>
            <w:vAlign w:val="bottom"/>
          </w:tcPr>
          <w:p w14:paraId="4B2C6D9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275C1D5"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7A99B8C8" w14:textId="77777777" w:rsidR="00863311" w:rsidRPr="00A2241D" w:rsidRDefault="00863311" w:rsidP="00863311">
            <w:pPr>
              <w:pStyle w:val="TableText"/>
              <w:tabs>
                <w:tab w:val="left" w:pos="3306"/>
              </w:tabs>
              <w:jc w:val="right"/>
              <w:rPr>
                <w:rFonts w:cs="Calibri"/>
              </w:rPr>
            </w:pPr>
          </w:p>
        </w:tc>
      </w:tr>
      <w:tr w:rsidR="00863311" w:rsidRPr="00CF7E1B" w14:paraId="0A5260F4" w14:textId="77777777" w:rsidTr="0004564D">
        <w:trPr>
          <w:cantSplit/>
          <w:trHeight w:val="20"/>
        </w:trPr>
        <w:tc>
          <w:tcPr>
            <w:tcW w:w="1620" w:type="dxa"/>
            <w:tcBorders>
              <w:top w:val="nil"/>
              <w:left w:val="single" w:sz="2" w:space="0" w:color="auto"/>
              <w:bottom w:val="nil"/>
              <w:right w:val="single" w:sz="2" w:space="0" w:color="auto"/>
            </w:tcBorders>
          </w:tcPr>
          <w:p w14:paraId="5E57DC4F"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BAB9EEF" w14:textId="77777777" w:rsidR="00863311" w:rsidRPr="00A2241D" w:rsidRDefault="00863311" w:rsidP="00863311">
            <w:pPr>
              <w:tabs>
                <w:tab w:val="left" w:pos="3306"/>
              </w:tabs>
              <w:spacing w:before="60" w:after="60"/>
              <w:rPr>
                <w:rFonts w:cs="Calibri"/>
                <w:b/>
                <w:iCs/>
                <w:sz w:val="18"/>
              </w:rPr>
            </w:pPr>
            <w:r w:rsidRPr="00A2241D">
              <w:rPr>
                <w:rFonts w:cs="Calibri"/>
                <w:b/>
                <w:iCs/>
                <w:sz w:val="18"/>
              </w:rPr>
              <w:t>Transactions Involving Owners Affecting Accumulated Funds</w:t>
            </w:r>
          </w:p>
        </w:tc>
        <w:tc>
          <w:tcPr>
            <w:tcW w:w="1103" w:type="dxa"/>
            <w:tcBorders>
              <w:top w:val="nil"/>
              <w:left w:val="nil"/>
              <w:bottom w:val="nil"/>
              <w:right w:val="nil"/>
            </w:tcBorders>
            <w:vAlign w:val="bottom"/>
          </w:tcPr>
          <w:p w14:paraId="31FD27A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7E793E0"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6A20E086" w14:textId="77777777" w:rsidR="00863311" w:rsidRPr="00A2241D" w:rsidRDefault="00863311" w:rsidP="00863311">
            <w:pPr>
              <w:pStyle w:val="TableText"/>
              <w:tabs>
                <w:tab w:val="left" w:pos="3306"/>
              </w:tabs>
              <w:jc w:val="right"/>
              <w:rPr>
                <w:rFonts w:cs="Calibri"/>
              </w:rPr>
            </w:pPr>
          </w:p>
        </w:tc>
      </w:tr>
      <w:tr w:rsidR="00863311" w:rsidRPr="00CF7E1B" w14:paraId="1AB5491B" w14:textId="77777777" w:rsidTr="0004564D">
        <w:trPr>
          <w:cantSplit/>
          <w:trHeight w:val="20"/>
        </w:trPr>
        <w:tc>
          <w:tcPr>
            <w:tcW w:w="1620" w:type="dxa"/>
            <w:tcBorders>
              <w:top w:val="nil"/>
              <w:left w:val="single" w:sz="2" w:space="0" w:color="auto"/>
              <w:bottom w:val="nil"/>
              <w:right w:val="single" w:sz="2" w:space="0" w:color="auto"/>
            </w:tcBorders>
          </w:tcPr>
          <w:p w14:paraId="155E362D"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5A512567" w14:textId="77777777" w:rsidR="00863311" w:rsidRPr="00A2241D" w:rsidRDefault="00863311" w:rsidP="00863311">
            <w:pPr>
              <w:tabs>
                <w:tab w:val="left" w:pos="3306"/>
              </w:tabs>
              <w:spacing w:before="60" w:after="60"/>
              <w:rPr>
                <w:rFonts w:cs="Calibri"/>
                <w:sz w:val="18"/>
              </w:rPr>
            </w:pPr>
            <w:r w:rsidRPr="00A2241D">
              <w:rPr>
                <w:rFonts w:cs="Calibri"/>
                <w:sz w:val="18"/>
              </w:rPr>
              <w:t>Capital Injections</w:t>
            </w:r>
          </w:p>
        </w:tc>
        <w:tc>
          <w:tcPr>
            <w:tcW w:w="1103" w:type="dxa"/>
            <w:tcBorders>
              <w:top w:val="nil"/>
              <w:left w:val="nil"/>
              <w:bottom w:val="nil"/>
              <w:right w:val="nil"/>
            </w:tcBorders>
            <w:vAlign w:val="bottom"/>
          </w:tcPr>
          <w:p w14:paraId="7614BE1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14CCE10E" w14:textId="3A4050FA"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2E29D32" w14:textId="627193CF" w:rsidR="00863311" w:rsidRPr="00A2241D" w:rsidRDefault="00863311" w:rsidP="00863311">
            <w:pPr>
              <w:pStyle w:val="TableText"/>
              <w:tabs>
                <w:tab w:val="left" w:pos="3306"/>
              </w:tabs>
              <w:jc w:val="right"/>
              <w:rPr>
                <w:rFonts w:cs="Calibri"/>
              </w:rPr>
            </w:pPr>
          </w:p>
        </w:tc>
      </w:tr>
      <w:tr w:rsidR="00863311" w:rsidRPr="00CF7E1B" w14:paraId="7903E011" w14:textId="77777777" w:rsidTr="0004564D">
        <w:trPr>
          <w:cantSplit/>
          <w:trHeight w:val="20"/>
        </w:trPr>
        <w:tc>
          <w:tcPr>
            <w:tcW w:w="1620" w:type="dxa"/>
            <w:tcBorders>
              <w:top w:val="nil"/>
              <w:left w:val="single" w:sz="2" w:space="0" w:color="auto"/>
              <w:bottom w:val="nil"/>
              <w:right w:val="single" w:sz="2" w:space="0" w:color="auto"/>
            </w:tcBorders>
          </w:tcPr>
          <w:p w14:paraId="37C23E4A"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1DC808A" w14:textId="77777777" w:rsidR="00863311" w:rsidRPr="00A2241D" w:rsidRDefault="00863311" w:rsidP="00863311">
            <w:pPr>
              <w:tabs>
                <w:tab w:val="left" w:pos="3306"/>
              </w:tabs>
              <w:spacing w:before="60" w:after="60"/>
              <w:rPr>
                <w:rFonts w:cs="Calibri"/>
                <w:sz w:val="18"/>
              </w:rPr>
            </w:pPr>
            <w:r w:rsidRPr="00A2241D">
              <w:rPr>
                <w:rFonts w:cs="Calibri"/>
                <w:sz w:val="18"/>
              </w:rPr>
              <w:t>Capital (Distributions)</w:t>
            </w:r>
          </w:p>
        </w:tc>
        <w:tc>
          <w:tcPr>
            <w:tcW w:w="1103" w:type="dxa"/>
            <w:tcBorders>
              <w:top w:val="nil"/>
              <w:left w:val="nil"/>
              <w:bottom w:val="nil"/>
              <w:right w:val="nil"/>
            </w:tcBorders>
            <w:vAlign w:val="bottom"/>
          </w:tcPr>
          <w:p w14:paraId="733BF7EF"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EA388CE" w14:textId="5D9F50C3"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2C41FC7" w14:textId="506F6C6C" w:rsidR="00863311" w:rsidRPr="00A2241D" w:rsidRDefault="00863311" w:rsidP="00863311">
            <w:pPr>
              <w:pStyle w:val="TableText"/>
              <w:tabs>
                <w:tab w:val="left" w:pos="3306"/>
              </w:tabs>
              <w:jc w:val="right"/>
              <w:rPr>
                <w:rFonts w:cs="Calibri"/>
              </w:rPr>
            </w:pPr>
          </w:p>
        </w:tc>
      </w:tr>
      <w:tr w:rsidR="00863311" w:rsidRPr="00CF7E1B" w14:paraId="6780FAE3" w14:textId="77777777" w:rsidTr="0004564D">
        <w:trPr>
          <w:cantSplit/>
          <w:trHeight w:val="20"/>
        </w:trPr>
        <w:tc>
          <w:tcPr>
            <w:tcW w:w="1620" w:type="dxa"/>
            <w:tcBorders>
              <w:top w:val="nil"/>
              <w:left w:val="single" w:sz="2" w:space="0" w:color="auto"/>
              <w:bottom w:val="nil"/>
              <w:right w:val="single" w:sz="2" w:space="0" w:color="auto"/>
            </w:tcBorders>
          </w:tcPr>
          <w:p w14:paraId="24B7F705"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408C449F" w14:textId="7395BF9F" w:rsidR="00863311" w:rsidRPr="00A2241D" w:rsidRDefault="00863311" w:rsidP="008002BA">
            <w:pPr>
              <w:tabs>
                <w:tab w:val="left" w:pos="3306"/>
              </w:tabs>
              <w:spacing w:before="60" w:after="60"/>
              <w:rPr>
                <w:rFonts w:cs="Calibri"/>
                <w:sz w:val="18"/>
              </w:rPr>
            </w:pPr>
            <w:r w:rsidRPr="00A2241D">
              <w:rPr>
                <w:rFonts w:cs="Calibri"/>
                <w:sz w:val="18"/>
              </w:rPr>
              <w:t xml:space="preserve">Net Assets transferred in </w:t>
            </w:r>
            <w:r w:rsidR="00647008" w:rsidRPr="00A2241D">
              <w:rPr>
                <w:rFonts w:cs="Calibri"/>
                <w:sz w:val="18"/>
              </w:rPr>
              <w:t>as part of</w:t>
            </w:r>
            <w:r w:rsidR="00647008"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04485F" w:rsidRPr="00A2241D">
              <w:rPr>
                <w:rFonts w:asciiTheme="minorHAnsi" w:hAnsiTheme="minorHAnsi" w:cstheme="minorHAnsi"/>
                <w:sz w:val="18"/>
                <w:szCs w:val="18"/>
              </w:rPr>
              <w:t xml:space="preserve"> </w:t>
            </w:r>
            <w:r w:rsidRPr="00A2241D">
              <w:rPr>
                <w:rFonts w:cs="Calibri"/>
                <w:sz w:val="18"/>
              </w:rPr>
              <w:t>Administrative Restructure</w:t>
            </w:r>
          </w:p>
        </w:tc>
        <w:tc>
          <w:tcPr>
            <w:tcW w:w="1103" w:type="dxa"/>
            <w:tcBorders>
              <w:top w:val="nil"/>
              <w:left w:val="nil"/>
              <w:bottom w:val="nil"/>
              <w:right w:val="nil"/>
            </w:tcBorders>
          </w:tcPr>
          <w:p w14:paraId="60315E61" w14:textId="2CD3C531" w:rsidR="00863311" w:rsidRPr="00A2241D" w:rsidRDefault="001F7F23" w:rsidP="001220C0">
            <w:pPr>
              <w:pStyle w:val="TableText"/>
              <w:tabs>
                <w:tab w:val="left" w:pos="3306"/>
              </w:tabs>
              <w:jc w:val="center"/>
              <w:rPr>
                <w:rFonts w:cs="Calibri"/>
                <w:strike/>
              </w:rPr>
            </w:pPr>
            <w:r w:rsidRPr="00A2241D">
              <w:rPr>
                <w:rFonts w:cs="Calibri"/>
              </w:rPr>
              <w:t>5</w:t>
            </w:r>
            <w:r w:rsidR="001220C0" w:rsidRPr="00A2241D">
              <w:rPr>
                <w:rFonts w:cs="Calibri"/>
              </w:rPr>
              <w:t>2</w:t>
            </w:r>
          </w:p>
        </w:tc>
        <w:tc>
          <w:tcPr>
            <w:tcW w:w="1417" w:type="dxa"/>
            <w:tcBorders>
              <w:top w:val="nil"/>
              <w:left w:val="nil"/>
              <w:bottom w:val="nil"/>
              <w:right w:val="nil"/>
            </w:tcBorders>
            <w:shd w:val="clear" w:color="auto" w:fill="auto"/>
            <w:vAlign w:val="bottom"/>
          </w:tcPr>
          <w:p w14:paraId="60FE882D" w14:textId="08F656BD"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FBB177E" w14:textId="43EA2766" w:rsidR="00863311" w:rsidRPr="00A2241D" w:rsidRDefault="00863311" w:rsidP="00863311">
            <w:pPr>
              <w:pStyle w:val="TableText"/>
              <w:tabs>
                <w:tab w:val="left" w:pos="3306"/>
              </w:tabs>
              <w:jc w:val="right"/>
              <w:rPr>
                <w:rFonts w:cs="Calibri"/>
              </w:rPr>
            </w:pPr>
          </w:p>
        </w:tc>
      </w:tr>
      <w:tr w:rsidR="00863311" w:rsidRPr="00CF7E1B" w14:paraId="7DF0C814" w14:textId="77777777" w:rsidTr="0004564D">
        <w:trPr>
          <w:cantSplit/>
          <w:trHeight w:val="20"/>
        </w:trPr>
        <w:tc>
          <w:tcPr>
            <w:tcW w:w="1620" w:type="dxa"/>
            <w:tcBorders>
              <w:top w:val="nil"/>
              <w:left w:val="single" w:sz="2" w:space="0" w:color="auto"/>
              <w:bottom w:val="nil"/>
              <w:right w:val="single" w:sz="2" w:space="0" w:color="auto"/>
            </w:tcBorders>
          </w:tcPr>
          <w:p w14:paraId="5A25C68E" w14:textId="77777777" w:rsidR="00863311" w:rsidRPr="00A2241D" w:rsidRDefault="00863311" w:rsidP="00863311">
            <w:pPr>
              <w:pStyle w:val="TableReference"/>
              <w:tabs>
                <w:tab w:val="left" w:pos="3306"/>
              </w:tabs>
              <w:spacing w:before="60"/>
              <w:rPr>
                <w:rFonts w:cs="Calibri"/>
                <w:color w:val="7030A0"/>
                <w:sz w:val="14"/>
                <w:highlight w:val="cyan"/>
              </w:rPr>
            </w:pPr>
          </w:p>
        </w:tc>
        <w:tc>
          <w:tcPr>
            <w:tcW w:w="4992" w:type="dxa"/>
            <w:tcBorders>
              <w:top w:val="nil"/>
              <w:left w:val="single" w:sz="2" w:space="0" w:color="auto"/>
              <w:bottom w:val="nil"/>
              <w:right w:val="nil"/>
            </w:tcBorders>
          </w:tcPr>
          <w:p w14:paraId="763F2B98" w14:textId="17A84AB2" w:rsidR="00863311" w:rsidRPr="00A2241D" w:rsidRDefault="00863311" w:rsidP="008002BA">
            <w:pPr>
              <w:tabs>
                <w:tab w:val="left" w:pos="3306"/>
              </w:tabs>
              <w:spacing w:before="60" w:after="60"/>
              <w:rPr>
                <w:rFonts w:cs="Calibri"/>
                <w:sz w:val="18"/>
                <w:highlight w:val="cyan"/>
              </w:rPr>
            </w:pPr>
            <w:r w:rsidRPr="00A2241D">
              <w:rPr>
                <w:rFonts w:cs="Calibri"/>
                <w:sz w:val="18"/>
              </w:rPr>
              <w:t xml:space="preserve">Net Assets transferred out </w:t>
            </w:r>
            <w:r w:rsidR="00647008" w:rsidRPr="00A2241D">
              <w:rPr>
                <w:rFonts w:cs="Calibri"/>
                <w:sz w:val="18"/>
              </w:rPr>
              <w:t>as part of</w:t>
            </w:r>
            <w:r w:rsidR="00647008"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Pr="00A2241D">
              <w:rPr>
                <w:rFonts w:cs="Calibri"/>
                <w:sz w:val="18"/>
              </w:rPr>
              <w:t xml:space="preserve"> Administrative Restructure</w:t>
            </w:r>
          </w:p>
        </w:tc>
        <w:tc>
          <w:tcPr>
            <w:tcW w:w="1103" w:type="dxa"/>
            <w:tcBorders>
              <w:top w:val="nil"/>
              <w:left w:val="nil"/>
              <w:bottom w:val="nil"/>
              <w:right w:val="nil"/>
            </w:tcBorders>
          </w:tcPr>
          <w:p w14:paraId="707869A4" w14:textId="72F9E778" w:rsidR="00863311" w:rsidRPr="00A2241D" w:rsidRDefault="001F7F23" w:rsidP="001220C0">
            <w:pPr>
              <w:pStyle w:val="TableText"/>
              <w:tabs>
                <w:tab w:val="left" w:pos="3306"/>
              </w:tabs>
              <w:jc w:val="center"/>
              <w:rPr>
                <w:rFonts w:cs="Calibri"/>
                <w:strike/>
                <w:highlight w:val="cyan"/>
              </w:rPr>
            </w:pPr>
            <w:r w:rsidRPr="00A2241D">
              <w:rPr>
                <w:rFonts w:cs="Calibri"/>
              </w:rPr>
              <w:t>5</w:t>
            </w:r>
            <w:r w:rsidR="001220C0" w:rsidRPr="00A2241D">
              <w:rPr>
                <w:rFonts w:cs="Calibri"/>
              </w:rPr>
              <w:t>2</w:t>
            </w:r>
          </w:p>
        </w:tc>
        <w:tc>
          <w:tcPr>
            <w:tcW w:w="1417" w:type="dxa"/>
            <w:tcBorders>
              <w:top w:val="nil"/>
              <w:left w:val="nil"/>
              <w:bottom w:val="single" w:sz="4" w:space="0" w:color="auto"/>
              <w:right w:val="nil"/>
            </w:tcBorders>
            <w:shd w:val="clear" w:color="auto" w:fill="auto"/>
            <w:vAlign w:val="bottom"/>
          </w:tcPr>
          <w:p w14:paraId="5679A97E" w14:textId="220995C6"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14683CCA" w14:textId="6D6A4C9A" w:rsidR="00863311" w:rsidRPr="00A2241D" w:rsidRDefault="00863311" w:rsidP="00863311">
            <w:pPr>
              <w:pStyle w:val="TableText"/>
              <w:tabs>
                <w:tab w:val="left" w:pos="3306"/>
              </w:tabs>
              <w:jc w:val="right"/>
              <w:rPr>
                <w:rFonts w:cs="Calibri"/>
              </w:rPr>
            </w:pPr>
          </w:p>
        </w:tc>
      </w:tr>
      <w:tr w:rsidR="00863311" w:rsidRPr="00CF7E1B" w14:paraId="5986AD20" w14:textId="77777777" w:rsidTr="0004564D">
        <w:trPr>
          <w:cantSplit/>
          <w:trHeight w:val="383"/>
        </w:trPr>
        <w:tc>
          <w:tcPr>
            <w:tcW w:w="1620" w:type="dxa"/>
            <w:tcBorders>
              <w:top w:val="nil"/>
              <w:left w:val="single" w:sz="2" w:space="0" w:color="auto"/>
              <w:bottom w:val="nil"/>
              <w:right w:val="single" w:sz="2" w:space="0" w:color="auto"/>
            </w:tcBorders>
          </w:tcPr>
          <w:p w14:paraId="0978860E"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FBB8C3E" w14:textId="77777777" w:rsidR="00863311" w:rsidRPr="00A2241D" w:rsidRDefault="00863311" w:rsidP="00863311">
            <w:pPr>
              <w:pStyle w:val="TableReference"/>
              <w:rPr>
                <w:rFonts w:cs="Calibri"/>
                <w:color w:val="auto"/>
                <w:sz w:val="18"/>
                <w:szCs w:val="18"/>
              </w:rPr>
            </w:pPr>
            <w:r w:rsidRPr="00A2241D">
              <w:rPr>
                <w:rFonts w:cs="Calibri"/>
                <w:b/>
                <w:iCs/>
                <w:color w:val="auto"/>
                <w:sz w:val="18"/>
                <w:szCs w:val="16"/>
              </w:rPr>
              <w:t>Total Transactions Involving Owners Affecting Accumulated Funds</w:t>
            </w:r>
          </w:p>
        </w:tc>
        <w:tc>
          <w:tcPr>
            <w:tcW w:w="1103" w:type="dxa"/>
            <w:tcBorders>
              <w:top w:val="nil"/>
              <w:left w:val="nil"/>
              <w:bottom w:val="nil"/>
              <w:right w:val="nil"/>
            </w:tcBorders>
            <w:vAlign w:val="bottom"/>
          </w:tcPr>
          <w:p w14:paraId="09001978" w14:textId="77777777" w:rsidR="00863311" w:rsidRPr="00A2241D" w:rsidRDefault="00863311" w:rsidP="00863311">
            <w:pPr>
              <w:pStyle w:val="TableReference"/>
              <w:rPr>
                <w:rFonts w:cs="Calibri"/>
                <w:color w:val="auto"/>
              </w:rPr>
            </w:pPr>
          </w:p>
        </w:tc>
        <w:tc>
          <w:tcPr>
            <w:tcW w:w="1417" w:type="dxa"/>
            <w:tcBorders>
              <w:top w:val="single" w:sz="4" w:space="0" w:color="auto"/>
              <w:left w:val="nil"/>
              <w:bottom w:val="single" w:sz="4" w:space="0" w:color="auto"/>
              <w:right w:val="nil"/>
            </w:tcBorders>
            <w:shd w:val="clear" w:color="auto" w:fill="auto"/>
            <w:vAlign w:val="bottom"/>
          </w:tcPr>
          <w:p w14:paraId="63DDB648" w14:textId="40072F11" w:rsidR="00863311" w:rsidRPr="00A2241D" w:rsidRDefault="00863311" w:rsidP="00863311">
            <w:pPr>
              <w:pStyle w:val="TableText"/>
              <w:tabs>
                <w:tab w:val="left" w:pos="3306"/>
              </w:tabs>
              <w:spacing w:before="0"/>
              <w:jc w:val="right"/>
              <w:rPr>
                <w:rFonts w:cs="Calibri"/>
                <w:b/>
                <w:highlight w:val="cyan"/>
              </w:rPr>
            </w:pPr>
          </w:p>
        </w:tc>
        <w:tc>
          <w:tcPr>
            <w:tcW w:w="1418" w:type="dxa"/>
            <w:tcBorders>
              <w:top w:val="single" w:sz="4" w:space="0" w:color="auto"/>
              <w:left w:val="nil"/>
              <w:bottom w:val="single" w:sz="4" w:space="0" w:color="auto"/>
              <w:right w:val="nil"/>
            </w:tcBorders>
            <w:shd w:val="clear" w:color="auto" w:fill="auto"/>
            <w:vAlign w:val="bottom"/>
          </w:tcPr>
          <w:p w14:paraId="4BA6D002" w14:textId="64C3A112" w:rsidR="00863311" w:rsidRPr="00A2241D" w:rsidRDefault="00863311" w:rsidP="00863311">
            <w:pPr>
              <w:pStyle w:val="TableText"/>
              <w:tabs>
                <w:tab w:val="left" w:pos="3306"/>
              </w:tabs>
              <w:spacing w:before="0"/>
              <w:jc w:val="right"/>
              <w:rPr>
                <w:rFonts w:cs="Calibri"/>
                <w:b/>
                <w:highlight w:val="cyan"/>
              </w:rPr>
            </w:pPr>
          </w:p>
        </w:tc>
      </w:tr>
      <w:tr w:rsidR="00863311" w:rsidRPr="00CF7E1B" w14:paraId="2F71F8D1" w14:textId="77777777" w:rsidTr="0004564D">
        <w:trPr>
          <w:cantSplit/>
          <w:trHeight w:val="20"/>
        </w:trPr>
        <w:tc>
          <w:tcPr>
            <w:tcW w:w="1620" w:type="dxa"/>
            <w:tcBorders>
              <w:top w:val="nil"/>
              <w:left w:val="single" w:sz="2" w:space="0" w:color="auto"/>
              <w:bottom w:val="nil"/>
              <w:right w:val="single" w:sz="2" w:space="0" w:color="auto"/>
            </w:tcBorders>
          </w:tcPr>
          <w:p w14:paraId="1EAC7AA5"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59E9D37F" w14:textId="77777777" w:rsidR="00863311" w:rsidRPr="00A2241D" w:rsidRDefault="00863311" w:rsidP="00863311">
            <w:pPr>
              <w:pStyle w:val="TableText"/>
              <w:tabs>
                <w:tab w:val="left" w:pos="3306"/>
              </w:tabs>
              <w:rPr>
                <w:rFonts w:cs="Calibri"/>
                <w:b/>
                <w:bCs/>
                <w:highlight w:val="cyan"/>
              </w:rPr>
            </w:pPr>
          </w:p>
        </w:tc>
        <w:tc>
          <w:tcPr>
            <w:tcW w:w="1103" w:type="dxa"/>
            <w:tcBorders>
              <w:top w:val="nil"/>
              <w:left w:val="nil"/>
              <w:bottom w:val="nil"/>
              <w:right w:val="nil"/>
            </w:tcBorders>
            <w:vAlign w:val="bottom"/>
          </w:tcPr>
          <w:p w14:paraId="7A639AE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5A39B195" w14:textId="77777777" w:rsidR="00863311" w:rsidRPr="00A2241D" w:rsidRDefault="00863311" w:rsidP="00863311">
            <w:pPr>
              <w:pStyle w:val="TableText"/>
              <w:tabs>
                <w:tab w:val="left" w:pos="3306"/>
              </w:tabs>
              <w:jc w:val="right"/>
              <w:rPr>
                <w:rFonts w:cs="Calibri"/>
                <w:b/>
                <w:bCs/>
                <w:highlight w:val="cyan"/>
              </w:rPr>
            </w:pPr>
          </w:p>
        </w:tc>
        <w:tc>
          <w:tcPr>
            <w:tcW w:w="1418" w:type="dxa"/>
            <w:tcBorders>
              <w:top w:val="single" w:sz="4" w:space="0" w:color="auto"/>
              <w:left w:val="nil"/>
              <w:bottom w:val="single" w:sz="4" w:space="0" w:color="auto"/>
              <w:right w:val="nil"/>
            </w:tcBorders>
            <w:shd w:val="clear" w:color="auto" w:fill="auto"/>
            <w:vAlign w:val="bottom"/>
          </w:tcPr>
          <w:p w14:paraId="725E871B" w14:textId="77777777" w:rsidR="00863311" w:rsidRPr="00A2241D" w:rsidRDefault="00863311" w:rsidP="00863311">
            <w:pPr>
              <w:pStyle w:val="TableText"/>
              <w:tabs>
                <w:tab w:val="left" w:pos="3306"/>
              </w:tabs>
              <w:jc w:val="right"/>
              <w:rPr>
                <w:rFonts w:cs="Calibri"/>
                <w:b/>
                <w:bCs/>
                <w:highlight w:val="cyan"/>
              </w:rPr>
            </w:pPr>
          </w:p>
        </w:tc>
      </w:tr>
      <w:tr w:rsidR="00863311" w:rsidRPr="00CF7E1B" w14:paraId="05D4A330" w14:textId="77777777" w:rsidTr="0004564D">
        <w:trPr>
          <w:cantSplit/>
          <w:trHeight w:val="20"/>
        </w:trPr>
        <w:tc>
          <w:tcPr>
            <w:tcW w:w="1620" w:type="dxa"/>
            <w:tcBorders>
              <w:top w:val="nil"/>
              <w:left w:val="single" w:sz="2" w:space="0" w:color="auto"/>
              <w:bottom w:val="nil"/>
              <w:right w:val="single" w:sz="2" w:space="0" w:color="auto"/>
            </w:tcBorders>
          </w:tcPr>
          <w:p w14:paraId="426333E1"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72CA234A" w14:textId="156B1B28" w:rsidR="00863311" w:rsidRPr="00A2241D" w:rsidRDefault="004F4683" w:rsidP="008002BA">
            <w:pPr>
              <w:pStyle w:val="TableText"/>
              <w:tabs>
                <w:tab w:val="left" w:pos="3306"/>
              </w:tabs>
              <w:rPr>
                <w:rFonts w:cs="Calibri"/>
                <w:b/>
                <w:bCs/>
              </w:rPr>
            </w:pPr>
            <w:r w:rsidRPr="00A2241D">
              <w:rPr>
                <w:rFonts w:cs="Calibri"/>
                <w:b/>
                <w:bCs/>
              </w:rPr>
              <w:t>Balance at 30 June 202</w:t>
            </w:r>
            <w:r w:rsidR="00B13049">
              <w:rPr>
                <w:rFonts w:cs="Calibri"/>
                <w:b/>
                <w:bCs/>
              </w:rPr>
              <w:t>2</w:t>
            </w:r>
          </w:p>
        </w:tc>
        <w:tc>
          <w:tcPr>
            <w:tcW w:w="1103" w:type="dxa"/>
            <w:tcBorders>
              <w:top w:val="nil"/>
              <w:left w:val="nil"/>
              <w:bottom w:val="nil"/>
              <w:right w:val="nil"/>
            </w:tcBorders>
            <w:vAlign w:val="bottom"/>
          </w:tcPr>
          <w:p w14:paraId="4FB8C4F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double" w:sz="4" w:space="0" w:color="auto"/>
              <w:right w:val="nil"/>
            </w:tcBorders>
            <w:shd w:val="clear" w:color="auto" w:fill="auto"/>
            <w:vAlign w:val="bottom"/>
          </w:tcPr>
          <w:p w14:paraId="7E684383" w14:textId="5E009609" w:rsidR="00863311" w:rsidRPr="00A2241D" w:rsidRDefault="00863311" w:rsidP="00863311">
            <w:pPr>
              <w:pStyle w:val="TableText"/>
              <w:tabs>
                <w:tab w:val="left" w:pos="3306"/>
              </w:tabs>
              <w:jc w:val="right"/>
              <w:rPr>
                <w:rFonts w:cs="Calibri"/>
                <w:b/>
                <w:bCs/>
              </w:rPr>
            </w:pPr>
          </w:p>
        </w:tc>
        <w:tc>
          <w:tcPr>
            <w:tcW w:w="1418" w:type="dxa"/>
            <w:tcBorders>
              <w:top w:val="single" w:sz="4" w:space="0" w:color="auto"/>
              <w:left w:val="nil"/>
              <w:bottom w:val="double" w:sz="4" w:space="0" w:color="auto"/>
              <w:right w:val="nil"/>
            </w:tcBorders>
            <w:shd w:val="clear" w:color="auto" w:fill="auto"/>
            <w:vAlign w:val="bottom"/>
          </w:tcPr>
          <w:p w14:paraId="00F3035C" w14:textId="6EA57EDB" w:rsidR="00863311" w:rsidRPr="00A2241D" w:rsidRDefault="00863311" w:rsidP="00863311">
            <w:pPr>
              <w:pStyle w:val="TableText"/>
              <w:tabs>
                <w:tab w:val="left" w:pos="3306"/>
              </w:tabs>
              <w:jc w:val="right"/>
              <w:rPr>
                <w:rFonts w:cs="Calibri"/>
                <w:b/>
                <w:bCs/>
              </w:rPr>
            </w:pPr>
          </w:p>
        </w:tc>
      </w:tr>
      <w:tr w:rsidR="00647008" w:rsidRPr="00CF7E1B" w14:paraId="7F84A115" w14:textId="77777777" w:rsidTr="0004564D">
        <w:trPr>
          <w:cantSplit/>
          <w:trHeight w:val="20"/>
        </w:trPr>
        <w:tc>
          <w:tcPr>
            <w:tcW w:w="1620" w:type="dxa"/>
            <w:tcBorders>
              <w:top w:val="nil"/>
              <w:left w:val="single" w:sz="2" w:space="0" w:color="auto"/>
              <w:bottom w:val="nil"/>
              <w:right w:val="single" w:sz="2" w:space="0" w:color="auto"/>
            </w:tcBorders>
          </w:tcPr>
          <w:p w14:paraId="01A00A0F" w14:textId="77777777" w:rsidR="00647008" w:rsidRPr="00A2241D" w:rsidRDefault="00647008"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73AE9512" w14:textId="77777777" w:rsidR="00647008" w:rsidRPr="00A2241D" w:rsidRDefault="00647008" w:rsidP="008002BA">
            <w:pPr>
              <w:pStyle w:val="TableText"/>
              <w:tabs>
                <w:tab w:val="left" w:pos="3306"/>
              </w:tabs>
              <w:rPr>
                <w:rFonts w:cs="Calibri"/>
                <w:b/>
                <w:bCs/>
                <w:strike/>
              </w:rPr>
            </w:pPr>
          </w:p>
        </w:tc>
        <w:tc>
          <w:tcPr>
            <w:tcW w:w="1103" w:type="dxa"/>
            <w:tcBorders>
              <w:top w:val="nil"/>
              <w:left w:val="nil"/>
              <w:bottom w:val="nil"/>
              <w:right w:val="nil"/>
            </w:tcBorders>
            <w:vAlign w:val="bottom"/>
          </w:tcPr>
          <w:p w14:paraId="0B99D984" w14:textId="77777777" w:rsidR="00647008" w:rsidRPr="00A2241D" w:rsidRDefault="00647008" w:rsidP="00863311">
            <w:pPr>
              <w:pStyle w:val="TableText"/>
              <w:tabs>
                <w:tab w:val="left" w:pos="3306"/>
              </w:tabs>
              <w:jc w:val="center"/>
              <w:rPr>
                <w:rFonts w:cs="Calibri"/>
              </w:rPr>
            </w:pPr>
          </w:p>
        </w:tc>
        <w:tc>
          <w:tcPr>
            <w:tcW w:w="1417" w:type="dxa"/>
            <w:tcBorders>
              <w:top w:val="double" w:sz="4" w:space="0" w:color="auto"/>
              <w:left w:val="nil"/>
              <w:bottom w:val="nil"/>
              <w:right w:val="nil"/>
            </w:tcBorders>
            <w:shd w:val="clear" w:color="auto" w:fill="auto"/>
            <w:vAlign w:val="bottom"/>
          </w:tcPr>
          <w:p w14:paraId="283A5347" w14:textId="77777777" w:rsidR="00647008" w:rsidRPr="00A2241D" w:rsidRDefault="00647008" w:rsidP="00863311">
            <w:pPr>
              <w:pStyle w:val="TableText"/>
              <w:tabs>
                <w:tab w:val="left" w:pos="3306"/>
              </w:tabs>
              <w:jc w:val="right"/>
              <w:rPr>
                <w:rFonts w:cs="Calibri"/>
                <w:b/>
                <w:bCs/>
              </w:rPr>
            </w:pPr>
          </w:p>
        </w:tc>
        <w:tc>
          <w:tcPr>
            <w:tcW w:w="1418" w:type="dxa"/>
            <w:tcBorders>
              <w:top w:val="double" w:sz="4" w:space="0" w:color="auto"/>
              <w:left w:val="nil"/>
              <w:bottom w:val="nil"/>
              <w:right w:val="nil"/>
            </w:tcBorders>
            <w:shd w:val="clear" w:color="auto" w:fill="auto"/>
            <w:vAlign w:val="bottom"/>
          </w:tcPr>
          <w:p w14:paraId="609998B7" w14:textId="77777777" w:rsidR="00647008" w:rsidRPr="00A2241D" w:rsidRDefault="00647008" w:rsidP="00863311">
            <w:pPr>
              <w:pStyle w:val="TableText"/>
              <w:tabs>
                <w:tab w:val="left" w:pos="3306"/>
              </w:tabs>
              <w:jc w:val="right"/>
              <w:rPr>
                <w:rFonts w:cs="Calibri"/>
                <w:b/>
                <w:bCs/>
              </w:rPr>
            </w:pPr>
          </w:p>
        </w:tc>
      </w:tr>
      <w:tr w:rsidR="00863311" w:rsidRPr="00CF7E1B" w14:paraId="57FAC6A3" w14:textId="77777777" w:rsidTr="0004564D">
        <w:trPr>
          <w:cantSplit/>
          <w:trHeight w:val="451"/>
        </w:trPr>
        <w:tc>
          <w:tcPr>
            <w:tcW w:w="1620" w:type="dxa"/>
            <w:tcBorders>
              <w:top w:val="nil"/>
              <w:left w:val="single" w:sz="2" w:space="0" w:color="auto"/>
              <w:bottom w:val="nil"/>
              <w:right w:val="single" w:sz="2" w:space="0" w:color="auto"/>
            </w:tcBorders>
          </w:tcPr>
          <w:p w14:paraId="498515D8" w14:textId="77777777" w:rsidR="00863311" w:rsidRPr="00A2241D" w:rsidRDefault="00863311"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11A3E7A8" w14:textId="2094FDE0" w:rsidR="00863311" w:rsidRPr="00A2241D" w:rsidRDefault="00647008" w:rsidP="00B13049">
            <w:pPr>
              <w:pStyle w:val="TableText"/>
              <w:tabs>
                <w:tab w:val="left" w:pos="3306"/>
              </w:tabs>
              <w:spacing w:before="0"/>
              <w:jc w:val="both"/>
              <w:rPr>
                <w:rFonts w:cs="Calibri"/>
                <w:b/>
                <w:bCs/>
              </w:rPr>
            </w:pPr>
            <w:r w:rsidRPr="00A2241D">
              <w:rPr>
                <w:rFonts w:cs="Calibri"/>
              </w:rPr>
              <w:t xml:space="preserve">The above </w:t>
            </w:r>
            <w:r w:rsidRPr="00A2241D">
              <w:rPr>
                <w:rFonts w:asciiTheme="minorHAnsi" w:hAnsiTheme="minorHAnsi" w:cstheme="minorHAnsi"/>
              </w:rPr>
              <w:t xml:space="preserve">Statement of Changes in Equity on Behalf of the Territory </w:t>
            </w:r>
            <w:r w:rsidRPr="00A2241D">
              <w:rPr>
                <w:rFonts w:cs="Calibri"/>
                <w:bCs/>
              </w:rPr>
              <w:t>is to</w:t>
            </w:r>
            <w:r w:rsidRPr="00A2241D">
              <w:rPr>
                <w:rFonts w:asciiTheme="minorHAnsi" w:hAnsiTheme="minorHAnsi" w:cstheme="minorHAnsi"/>
              </w:rPr>
              <w:t xml:space="preserve"> </w:t>
            </w:r>
            <w:r w:rsidR="00863311" w:rsidRPr="00A2241D">
              <w:rPr>
                <w:rFonts w:cs="Calibri"/>
              </w:rPr>
              <w:t>be read in conjunction with the accompanying notes.</w:t>
            </w:r>
            <w:r w:rsidR="00FA7C77">
              <w:rPr>
                <w:rFonts w:cs="Calibri"/>
              </w:rPr>
              <w:t xml:space="preserve">  </w:t>
            </w:r>
          </w:p>
        </w:tc>
      </w:tr>
      <w:tr w:rsidR="00A2241D" w:rsidRPr="00CF7E1B" w14:paraId="5D7B0BD9" w14:textId="77777777" w:rsidTr="0004564D">
        <w:trPr>
          <w:cantSplit/>
          <w:trHeight w:val="156"/>
        </w:trPr>
        <w:tc>
          <w:tcPr>
            <w:tcW w:w="1620" w:type="dxa"/>
            <w:tcBorders>
              <w:top w:val="nil"/>
              <w:left w:val="single" w:sz="2" w:space="0" w:color="auto"/>
              <w:bottom w:val="nil"/>
              <w:right w:val="single" w:sz="2" w:space="0" w:color="auto"/>
            </w:tcBorders>
          </w:tcPr>
          <w:p w14:paraId="3FBE2C91" w14:textId="77777777" w:rsidR="00A2241D" w:rsidRPr="00A2241D" w:rsidRDefault="00A2241D"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7DC08353" w14:textId="77777777" w:rsidR="00A2241D" w:rsidRPr="00A2241D" w:rsidRDefault="00A2241D" w:rsidP="008002BA">
            <w:pPr>
              <w:pStyle w:val="TableText"/>
              <w:tabs>
                <w:tab w:val="left" w:pos="3306"/>
              </w:tabs>
              <w:spacing w:before="0"/>
              <w:rPr>
                <w:rFonts w:cs="Calibri"/>
              </w:rPr>
            </w:pPr>
          </w:p>
        </w:tc>
      </w:tr>
      <w:tr w:rsidR="00863311" w:rsidRPr="00CF7E1B" w14:paraId="0E5F12ED"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21A6D0C" w14:textId="3A5AFC4F" w:rsidR="00863311" w:rsidRPr="005D3C33" w:rsidRDefault="00863311" w:rsidP="00C24DC3">
            <w:pPr>
              <w:pStyle w:val="TableReference"/>
              <w:tabs>
                <w:tab w:val="left" w:pos="3306"/>
              </w:tabs>
              <w:spacing w:before="240" w:after="240"/>
              <w:rPr>
                <w:rFonts w:asciiTheme="minorHAnsi" w:hAnsiTheme="minorHAnsi" w:cstheme="minorHAnsi"/>
                <w:b/>
                <w:color w:val="auto"/>
                <w:sz w:val="22"/>
                <w:szCs w:val="22"/>
              </w:rPr>
            </w:pPr>
          </w:p>
        </w:tc>
        <w:tc>
          <w:tcPr>
            <w:tcW w:w="8930" w:type="dxa"/>
            <w:gridSpan w:val="4"/>
            <w:tcBorders>
              <w:top w:val="nil"/>
              <w:left w:val="single" w:sz="2" w:space="0" w:color="auto"/>
              <w:bottom w:val="nil"/>
              <w:right w:val="nil"/>
            </w:tcBorders>
            <w:shd w:val="clear" w:color="auto" w:fill="7030A0"/>
            <w:vAlign w:val="bottom"/>
          </w:tcPr>
          <w:p w14:paraId="7AD667F5"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Statement of Changes in Equity on Behalf of the Territory</w:t>
            </w:r>
          </w:p>
        </w:tc>
      </w:tr>
      <w:tr w:rsidR="00863311" w:rsidRPr="00CF7E1B" w14:paraId="6BE7CF4F"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065B761"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93907AB" w14:textId="3410A53E"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Agencies must include a Statement of Changes in Equity on Behalf of the Territory regardless of whether there are any amounts against the line items in this Statement.</w:t>
            </w:r>
            <w:r w:rsidR="00FA7C77">
              <w:rPr>
                <w:rFonts w:cs="Calibri"/>
                <w:color w:val="FFFFFF" w:themeColor="background1"/>
                <w:sz w:val="18"/>
                <w:szCs w:val="18"/>
              </w:rPr>
              <w:t xml:space="preserve"> </w:t>
            </w:r>
            <w:r w:rsidR="00D872FB" w:rsidRPr="00A2241D">
              <w:rPr>
                <w:rFonts w:cs="Calibri"/>
                <w:color w:val="FFFFFF" w:themeColor="background1"/>
                <w:sz w:val="18"/>
                <w:szCs w:val="18"/>
              </w:rPr>
              <w:t xml:space="preserve">In this case just the headings (bolded above) and not the line items </w:t>
            </w:r>
            <w:r w:rsidR="00647008" w:rsidRPr="00A2241D">
              <w:rPr>
                <w:rFonts w:cs="Calibri"/>
                <w:color w:val="FFFFFF" w:themeColor="background1"/>
                <w:sz w:val="18"/>
                <w:szCs w:val="18"/>
              </w:rPr>
              <w:t xml:space="preserve">should </w:t>
            </w:r>
            <w:r w:rsidR="00D872FB" w:rsidRPr="00A2241D">
              <w:rPr>
                <w:rFonts w:cs="Calibri"/>
                <w:color w:val="FFFFFF" w:themeColor="background1"/>
                <w:sz w:val="18"/>
                <w:szCs w:val="18"/>
              </w:rPr>
              <w:t>be included.</w:t>
            </w:r>
          </w:p>
        </w:tc>
      </w:tr>
      <w:tr w:rsidR="00863311" w:rsidRPr="00CF7E1B" w14:paraId="01167834"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0F31CD44"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49C73E3" w14:textId="7F103D18" w:rsidR="00863311" w:rsidRPr="00A2241D" w:rsidRDefault="0086331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are free to combine, where possible, the Statement of Changes in Equity</w:t>
            </w:r>
            <w:r w:rsidR="00647008"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 xml:space="preserve"> onto one page.</w:t>
            </w:r>
            <w:r w:rsidR="00FA7C77">
              <w:rPr>
                <w:rFonts w:cs="Calibri"/>
                <w:color w:val="FFFFFF" w:themeColor="background1"/>
                <w:sz w:val="18"/>
                <w:szCs w:val="18"/>
              </w:rPr>
              <w:t xml:space="preserve"> </w:t>
            </w:r>
          </w:p>
        </w:tc>
      </w:tr>
      <w:tr w:rsidR="00863311" w:rsidRPr="00CF7E1B" w14:paraId="2C90FD88"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60E00DC"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3298D786" w14:textId="2B3CC4B9" w:rsidR="008002BA" w:rsidRPr="00A2241D" w:rsidRDefault="00B6128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that have Territorial Property, Plant and Equipment</w:t>
            </w:r>
            <w:r w:rsidR="00722BF2">
              <w:rPr>
                <w:rFonts w:cs="Calibri"/>
                <w:color w:val="FFFFFF" w:themeColor="background1"/>
                <w:sz w:val="18"/>
                <w:szCs w:val="18"/>
              </w:rPr>
              <w:t xml:space="preserve"> at fair value</w:t>
            </w:r>
            <w:r w:rsidRPr="00A2241D">
              <w:rPr>
                <w:rFonts w:cs="Calibri"/>
                <w:color w:val="FFFFFF" w:themeColor="background1"/>
                <w:sz w:val="18"/>
                <w:szCs w:val="18"/>
              </w:rPr>
              <w:t xml:space="preserve"> may have an Asset Revaluation Surplus </w:t>
            </w:r>
            <w:r w:rsidR="00647008" w:rsidRPr="00A2241D">
              <w:rPr>
                <w:rFonts w:cs="Calibri"/>
                <w:color w:val="FFFFFF" w:themeColor="background1"/>
                <w:sz w:val="18"/>
                <w:szCs w:val="18"/>
              </w:rPr>
              <w:t xml:space="preserve">line and </w:t>
            </w:r>
            <w:r w:rsidRPr="00A2241D">
              <w:rPr>
                <w:rFonts w:cs="Calibri"/>
                <w:color w:val="FFFFFF" w:themeColor="background1"/>
                <w:sz w:val="18"/>
                <w:szCs w:val="18"/>
              </w:rPr>
              <w:t>column to be included in the Statement of Changes in Equity on Behalf of the Territory.</w:t>
            </w:r>
            <w:r w:rsidR="00FA7C77">
              <w:rPr>
                <w:rFonts w:cs="Calibri"/>
                <w:color w:val="FFFFFF" w:themeColor="background1"/>
                <w:sz w:val="18"/>
                <w:szCs w:val="18"/>
              </w:rPr>
              <w:t xml:space="preserve"> </w:t>
            </w:r>
          </w:p>
        </w:tc>
      </w:tr>
      <w:tr w:rsidR="00863311" w:rsidRPr="00CF7E1B" w14:paraId="095F32C2"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15B19AE" w14:textId="77777777" w:rsidR="00863311" w:rsidRPr="00F00A16" w:rsidRDefault="00863311" w:rsidP="00863311">
            <w:pPr>
              <w:pStyle w:val="TableReference"/>
              <w:tabs>
                <w:tab w:val="left" w:pos="3306"/>
              </w:tabs>
              <w:rPr>
                <w:rFonts w:cs="Calibri"/>
                <w:color w:val="auto"/>
                <w:sz w:val="16"/>
                <w:szCs w:val="16"/>
              </w:rPr>
            </w:pPr>
            <w:r w:rsidRPr="00F00A16">
              <w:rPr>
                <w:rFonts w:cs="Calibri"/>
                <w:color w:val="auto"/>
                <w:sz w:val="16"/>
                <w:szCs w:val="16"/>
              </w:rPr>
              <w:t xml:space="preserve"> </w:t>
            </w:r>
          </w:p>
        </w:tc>
        <w:tc>
          <w:tcPr>
            <w:tcW w:w="8930" w:type="dxa"/>
            <w:gridSpan w:val="4"/>
            <w:tcBorders>
              <w:top w:val="nil"/>
              <w:left w:val="single" w:sz="2" w:space="0" w:color="auto"/>
              <w:bottom w:val="nil"/>
              <w:right w:val="nil"/>
            </w:tcBorders>
            <w:shd w:val="clear" w:color="auto" w:fill="7030A0"/>
            <w:vAlign w:val="bottom"/>
          </w:tcPr>
          <w:p w14:paraId="2EF508CB"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5ED9ED85"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242AFC3E"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201BA01B" w14:textId="106FCE31"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FE5846" w:rsidRPr="00A2241D">
              <w:rPr>
                <w:rFonts w:cs="Calibri"/>
                <w:color w:val="FFFFFF" w:themeColor="background1"/>
                <w:sz w:val="18"/>
                <w:szCs w:val="18"/>
              </w:rPr>
              <w:t>202</w:t>
            </w:r>
            <w:r w:rsidR="00B13049">
              <w:rPr>
                <w:rFonts w:cs="Calibri"/>
                <w:color w:val="FFFFFF" w:themeColor="background1"/>
                <w:sz w:val="18"/>
                <w:szCs w:val="18"/>
              </w:rPr>
              <w:t>2</w:t>
            </w:r>
            <w:r w:rsidR="00FE5846" w:rsidRPr="00A2241D">
              <w:rPr>
                <w:rFonts w:cs="Calibri"/>
                <w:color w:val="FFFFFF" w:themeColor="background1"/>
                <w:sz w:val="18"/>
                <w:szCs w:val="18"/>
              </w:rPr>
              <w:t>-2</w:t>
            </w:r>
            <w:r w:rsidR="00B13049">
              <w:rPr>
                <w:rFonts w:cs="Calibri"/>
                <w:color w:val="FFFFFF" w:themeColor="background1"/>
                <w:sz w:val="18"/>
                <w:szCs w:val="18"/>
              </w:rPr>
              <w:t>3</w:t>
            </w:r>
            <w:r w:rsidRPr="00A2241D">
              <w:rPr>
                <w:rFonts w:cs="Calibri"/>
                <w:color w:val="FFFFFF" w:themeColor="background1"/>
                <w:sz w:val="18"/>
                <w:szCs w:val="18"/>
              </w:rPr>
              <w:t xml:space="preserve"> Budget Papers.</w:t>
            </w:r>
          </w:p>
        </w:tc>
      </w:tr>
    </w:tbl>
    <w:p w14:paraId="4DFA192C" w14:textId="77777777" w:rsidR="009116A2" w:rsidRDefault="00863311" w:rsidP="00302D48">
      <w:pPr>
        <w:spacing w:line="400" w:lineRule="exact"/>
        <w:jc w:val="center"/>
      </w:pPr>
      <w:r w:rsidRPr="00CF7E1B">
        <w:br w:type="page"/>
      </w:r>
      <w:bookmarkStart w:id="981" w:name="_Toc194918664"/>
      <w:bookmarkStart w:id="982" w:name="_Toc253496242"/>
    </w:p>
    <w:p w14:paraId="6979EC9E" w14:textId="5CA3229C" w:rsidR="00863311" w:rsidRPr="00A2241D" w:rsidRDefault="00863311" w:rsidP="00302D48">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981"/>
      <w:bookmarkEnd w:id="982"/>
    </w:p>
    <w:p w14:paraId="0577596C" w14:textId="44204806" w:rsidR="00863311" w:rsidRPr="00A2241D" w:rsidRDefault="005F62CB" w:rsidP="00302D48">
      <w:pPr>
        <w:pStyle w:val="Subtitle"/>
        <w:spacing w:line="400" w:lineRule="exact"/>
        <w:rPr>
          <w:rFonts w:asciiTheme="minorHAnsi" w:hAnsiTheme="minorHAnsi" w:cstheme="minorHAnsi"/>
        </w:rPr>
      </w:pPr>
      <w:bookmarkStart w:id="983" w:name="_Toc49224270"/>
      <w:bookmarkStart w:id="984" w:name="_Toc50440408"/>
      <w:bookmarkStart w:id="985" w:name="_Toc194918665"/>
      <w:bookmarkStart w:id="986" w:name="_Toc223433221"/>
      <w:bookmarkStart w:id="987" w:name="_Toc253496243"/>
      <w:bookmarkStart w:id="988" w:name="_Toc400627370"/>
      <w:bookmarkStart w:id="989" w:name="_Toc132743842"/>
      <w:r w:rsidRPr="00A2241D">
        <w:rPr>
          <w:rFonts w:asciiTheme="minorHAnsi" w:hAnsiTheme="minorHAnsi" w:cstheme="minorHAnsi"/>
        </w:rPr>
        <w:t>Statement of Cash Flows</w:t>
      </w:r>
      <w:r w:rsidR="00863311" w:rsidRPr="00A2241D">
        <w:rPr>
          <w:rFonts w:asciiTheme="minorHAnsi" w:hAnsiTheme="minorHAnsi" w:cstheme="minorHAnsi"/>
        </w:rPr>
        <w:t xml:space="preserve"> on Behalf of the Territory</w:t>
      </w:r>
      <w:bookmarkEnd w:id="983"/>
      <w:bookmarkEnd w:id="984"/>
      <w:bookmarkEnd w:id="985"/>
      <w:bookmarkEnd w:id="986"/>
      <w:bookmarkEnd w:id="987"/>
      <w:bookmarkEnd w:id="988"/>
      <w:bookmarkEnd w:id="989"/>
    </w:p>
    <w:p w14:paraId="4EAE268D" w14:textId="0FCC1360" w:rsidR="00863311" w:rsidRPr="00A2241D" w:rsidRDefault="00863311" w:rsidP="00302D48">
      <w:pPr>
        <w:spacing w:line="400" w:lineRule="exact"/>
        <w:jc w:val="center"/>
        <w:rPr>
          <w:b/>
          <w:sz w:val="40"/>
          <w:szCs w:val="40"/>
        </w:rPr>
      </w:pPr>
      <w:bookmarkStart w:id="990" w:name="_Toc48468789"/>
      <w:bookmarkStart w:id="991" w:name="_Toc49155859"/>
      <w:r w:rsidRPr="00A2241D">
        <w:rPr>
          <w:b/>
          <w:sz w:val="40"/>
          <w:szCs w:val="40"/>
        </w:rPr>
        <w:t xml:space="preserve">For the Year Ended </w:t>
      </w:r>
      <w:bookmarkEnd w:id="990"/>
      <w:bookmarkEnd w:id="991"/>
      <w:r w:rsidRPr="00A2241D">
        <w:rPr>
          <w:b/>
          <w:sz w:val="40"/>
          <w:szCs w:val="40"/>
        </w:rPr>
        <w:t xml:space="preserve">30 June </w:t>
      </w:r>
      <w:r w:rsidR="006973C8" w:rsidRPr="00A2241D">
        <w:rPr>
          <w:b/>
          <w:sz w:val="40"/>
          <w:szCs w:val="40"/>
        </w:rPr>
        <w:t>202</w:t>
      </w:r>
      <w:r w:rsidR="00B13049">
        <w:rPr>
          <w:b/>
          <w:sz w:val="40"/>
          <w:szCs w:val="40"/>
        </w:rPr>
        <w:t>3</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858"/>
        <w:gridCol w:w="639"/>
        <w:gridCol w:w="1174"/>
        <w:gridCol w:w="1231"/>
        <w:gridCol w:w="926"/>
      </w:tblGrid>
      <w:tr w:rsidR="00863311" w:rsidRPr="00CF7E1B" w14:paraId="0BEF968C" w14:textId="77777777" w:rsidTr="00D919F2">
        <w:trPr>
          <w:cantSplit/>
          <w:trHeight w:val="832"/>
          <w:tblHeader/>
        </w:trPr>
        <w:tc>
          <w:tcPr>
            <w:tcW w:w="1547" w:type="dxa"/>
            <w:tcBorders>
              <w:top w:val="nil"/>
              <w:left w:val="single" w:sz="2" w:space="0" w:color="auto"/>
              <w:bottom w:val="nil"/>
              <w:right w:val="single" w:sz="2" w:space="0" w:color="auto"/>
            </w:tcBorders>
          </w:tcPr>
          <w:p w14:paraId="0A09D069" w14:textId="77777777" w:rsidR="00863311" w:rsidRPr="00A2241D" w:rsidRDefault="00AD31E8" w:rsidP="005D3C33">
            <w:pPr>
              <w:pStyle w:val="TableReference"/>
              <w:tabs>
                <w:tab w:val="left" w:pos="3306"/>
              </w:tabs>
              <w:spacing w:before="240" w:after="240"/>
              <w:rPr>
                <w:rFonts w:asciiTheme="minorHAnsi" w:hAnsiTheme="minorHAnsi" w:cstheme="minorHAnsi"/>
                <w:b/>
                <w:color w:val="7030A0"/>
                <w:sz w:val="22"/>
                <w:szCs w:val="22"/>
              </w:rPr>
            </w:pPr>
            <w:r w:rsidRPr="00A2241D">
              <w:rPr>
                <w:rFonts w:asciiTheme="minorHAnsi" w:hAnsiTheme="minorHAnsi" w:cstheme="minorHAnsi"/>
                <w:b/>
                <w:color w:val="7030A0"/>
                <w:sz w:val="22"/>
                <w:szCs w:val="22"/>
              </w:rPr>
              <w:t>Reference</w:t>
            </w:r>
          </w:p>
        </w:tc>
        <w:tc>
          <w:tcPr>
            <w:tcW w:w="4858" w:type="dxa"/>
            <w:tcBorders>
              <w:top w:val="nil"/>
              <w:left w:val="single" w:sz="2" w:space="0" w:color="auto"/>
              <w:bottom w:val="nil"/>
              <w:right w:val="nil"/>
            </w:tcBorders>
            <w:vAlign w:val="bottom"/>
          </w:tcPr>
          <w:p w14:paraId="358CEFD0"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7AD8C3B8" w14:textId="77777777" w:rsidR="00863311" w:rsidRPr="00A2241D" w:rsidRDefault="00863311" w:rsidP="00863311">
            <w:pPr>
              <w:pStyle w:val="TableTitle"/>
              <w:tabs>
                <w:tab w:val="left" w:pos="3306"/>
              </w:tabs>
              <w:jc w:val="center"/>
              <w:rPr>
                <w:rFonts w:cs="Calibri"/>
              </w:rPr>
            </w:pPr>
            <w:bookmarkStart w:id="992" w:name="_Toc48468791"/>
            <w:r w:rsidRPr="00A2241D">
              <w:rPr>
                <w:rFonts w:cs="Calibri"/>
              </w:rPr>
              <w:t>Note No.</w:t>
            </w:r>
            <w:bookmarkEnd w:id="992"/>
          </w:p>
        </w:tc>
        <w:tc>
          <w:tcPr>
            <w:tcW w:w="1174" w:type="dxa"/>
            <w:tcBorders>
              <w:top w:val="nil"/>
              <w:left w:val="nil"/>
              <w:bottom w:val="nil"/>
              <w:right w:val="nil"/>
            </w:tcBorders>
            <w:vAlign w:val="bottom"/>
          </w:tcPr>
          <w:p w14:paraId="68D95CC8" w14:textId="77777777" w:rsidR="00863311" w:rsidRPr="00A2241D" w:rsidRDefault="00863311" w:rsidP="00863311">
            <w:pPr>
              <w:pStyle w:val="TableTitle"/>
              <w:tabs>
                <w:tab w:val="left" w:pos="3306"/>
              </w:tabs>
              <w:rPr>
                <w:rFonts w:cs="Calibri"/>
              </w:rPr>
            </w:pPr>
            <w:r w:rsidRPr="00A2241D">
              <w:rPr>
                <w:rFonts w:cs="Calibri"/>
              </w:rPr>
              <w:t>Actual</w:t>
            </w:r>
          </w:p>
          <w:p w14:paraId="75C95712" w14:textId="35F8E892" w:rsidR="00863311" w:rsidRPr="00A2241D" w:rsidRDefault="006C26C2" w:rsidP="00863311">
            <w:pPr>
              <w:pStyle w:val="TableTitle"/>
              <w:tabs>
                <w:tab w:val="left" w:pos="3306"/>
              </w:tabs>
              <w:rPr>
                <w:rFonts w:cs="Calibri"/>
              </w:rPr>
            </w:pPr>
            <w:r w:rsidRPr="00A2241D">
              <w:rPr>
                <w:rFonts w:cs="Calibri"/>
              </w:rPr>
              <w:t>202</w:t>
            </w:r>
            <w:r w:rsidR="00B13049">
              <w:rPr>
                <w:rFonts w:cs="Calibri"/>
              </w:rPr>
              <w:t>3</w:t>
            </w:r>
          </w:p>
          <w:p w14:paraId="481E3564" w14:textId="77777777" w:rsidR="00863311" w:rsidRPr="00A2241D" w:rsidRDefault="00863311" w:rsidP="00863311">
            <w:pPr>
              <w:pStyle w:val="TableTitle"/>
              <w:tabs>
                <w:tab w:val="left" w:pos="3306"/>
              </w:tabs>
              <w:rPr>
                <w:rFonts w:cs="Calibri"/>
              </w:rPr>
            </w:pPr>
            <w:r w:rsidRPr="00A2241D">
              <w:rPr>
                <w:rFonts w:cs="Calibri"/>
              </w:rPr>
              <w:t>$’000</w:t>
            </w:r>
          </w:p>
        </w:tc>
        <w:tc>
          <w:tcPr>
            <w:tcW w:w="1231" w:type="dxa"/>
            <w:tcBorders>
              <w:top w:val="nil"/>
              <w:left w:val="nil"/>
              <w:bottom w:val="nil"/>
              <w:right w:val="nil"/>
            </w:tcBorders>
            <w:vAlign w:val="bottom"/>
          </w:tcPr>
          <w:p w14:paraId="49F30DE0" w14:textId="77777777" w:rsidR="00863311" w:rsidRPr="00A2241D" w:rsidRDefault="00863311" w:rsidP="00863311">
            <w:pPr>
              <w:pStyle w:val="TableTitle"/>
              <w:tabs>
                <w:tab w:val="left" w:pos="3306"/>
              </w:tabs>
              <w:rPr>
                <w:rFonts w:cs="Calibri"/>
              </w:rPr>
            </w:pPr>
            <w:r w:rsidRPr="00A2241D">
              <w:rPr>
                <w:rFonts w:cs="Calibri"/>
              </w:rPr>
              <w:t>Original</w:t>
            </w:r>
          </w:p>
          <w:p w14:paraId="0C682E55" w14:textId="77777777" w:rsidR="00863311" w:rsidRPr="00A2241D" w:rsidRDefault="00863311" w:rsidP="00863311">
            <w:pPr>
              <w:pStyle w:val="TableTitle"/>
              <w:tabs>
                <w:tab w:val="left" w:pos="3306"/>
              </w:tabs>
              <w:rPr>
                <w:rFonts w:cs="Calibri"/>
              </w:rPr>
            </w:pPr>
            <w:r w:rsidRPr="00A2241D">
              <w:rPr>
                <w:rFonts w:cs="Calibri"/>
              </w:rPr>
              <w:t xml:space="preserve">Budget </w:t>
            </w:r>
          </w:p>
          <w:p w14:paraId="13C63232" w14:textId="55F3D364" w:rsidR="00863311" w:rsidRPr="00A2241D" w:rsidRDefault="006C26C2" w:rsidP="00863311">
            <w:pPr>
              <w:pStyle w:val="TableTitle"/>
              <w:tabs>
                <w:tab w:val="left" w:pos="3306"/>
              </w:tabs>
              <w:rPr>
                <w:rFonts w:cs="Calibri"/>
              </w:rPr>
            </w:pPr>
            <w:r w:rsidRPr="00A2241D">
              <w:rPr>
                <w:rFonts w:cs="Calibri"/>
              </w:rPr>
              <w:t>202</w:t>
            </w:r>
            <w:r w:rsidR="00B13049">
              <w:rPr>
                <w:rFonts w:cs="Calibri"/>
              </w:rPr>
              <w:t>3</w:t>
            </w:r>
          </w:p>
          <w:p w14:paraId="35806E4C" w14:textId="77777777" w:rsidR="00863311" w:rsidRPr="00A2241D" w:rsidRDefault="00863311" w:rsidP="00863311">
            <w:pPr>
              <w:pStyle w:val="TableTitle"/>
              <w:tabs>
                <w:tab w:val="left" w:pos="3306"/>
              </w:tabs>
              <w:rPr>
                <w:rFonts w:cs="Calibri"/>
              </w:rPr>
            </w:pPr>
            <w:r w:rsidRPr="00A2241D">
              <w:rPr>
                <w:rFonts w:cs="Calibri"/>
              </w:rPr>
              <w:t>$’000</w:t>
            </w:r>
          </w:p>
        </w:tc>
        <w:tc>
          <w:tcPr>
            <w:tcW w:w="926" w:type="dxa"/>
            <w:tcBorders>
              <w:top w:val="nil"/>
              <w:left w:val="nil"/>
              <w:bottom w:val="nil"/>
              <w:right w:val="nil"/>
            </w:tcBorders>
            <w:vAlign w:val="bottom"/>
          </w:tcPr>
          <w:p w14:paraId="1B14340D" w14:textId="77777777" w:rsidR="00863311" w:rsidRPr="00A2241D" w:rsidRDefault="00863311" w:rsidP="00863311">
            <w:pPr>
              <w:pStyle w:val="TableTitle"/>
              <w:tabs>
                <w:tab w:val="left" w:pos="3306"/>
              </w:tabs>
              <w:rPr>
                <w:rFonts w:cs="Calibri"/>
              </w:rPr>
            </w:pPr>
            <w:r w:rsidRPr="00A2241D">
              <w:rPr>
                <w:rFonts w:cs="Calibri"/>
              </w:rPr>
              <w:t>Actual</w:t>
            </w:r>
          </w:p>
          <w:p w14:paraId="711D9369" w14:textId="0142D6C6" w:rsidR="00863311" w:rsidRPr="00A2241D" w:rsidRDefault="005709FA" w:rsidP="00863311">
            <w:pPr>
              <w:pStyle w:val="TableTitle"/>
              <w:tabs>
                <w:tab w:val="left" w:pos="3306"/>
              </w:tabs>
              <w:rPr>
                <w:rFonts w:cs="Calibri"/>
              </w:rPr>
            </w:pPr>
            <w:r w:rsidRPr="00A2241D">
              <w:rPr>
                <w:rFonts w:cs="Calibri"/>
              </w:rPr>
              <w:t>202</w:t>
            </w:r>
            <w:r w:rsidR="00B13049">
              <w:rPr>
                <w:rFonts w:cs="Calibri"/>
              </w:rPr>
              <w:t>2</w:t>
            </w:r>
          </w:p>
          <w:p w14:paraId="16AD284C"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4A60B8F0" w14:textId="77777777" w:rsidTr="00D919F2">
        <w:trPr>
          <w:cantSplit/>
          <w:trHeight w:val="23"/>
        </w:trPr>
        <w:tc>
          <w:tcPr>
            <w:tcW w:w="1547" w:type="dxa"/>
            <w:tcBorders>
              <w:top w:val="nil"/>
              <w:left w:val="single" w:sz="2" w:space="0" w:color="auto"/>
              <w:bottom w:val="nil"/>
              <w:right w:val="single" w:sz="2" w:space="0" w:color="auto"/>
            </w:tcBorders>
          </w:tcPr>
          <w:p w14:paraId="016F2F69" w14:textId="77777777" w:rsidR="00863311" w:rsidRPr="00A2241D" w:rsidRDefault="00863311" w:rsidP="00863311">
            <w:pPr>
              <w:pStyle w:val="TableReference"/>
              <w:tabs>
                <w:tab w:val="left" w:pos="3306"/>
              </w:tabs>
              <w:spacing w:before="60"/>
              <w:rPr>
                <w:rFonts w:cs="Calibri"/>
                <w:color w:val="7030A0"/>
                <w:sz w:val="16"/>
                <w:szCs w:val="16"/>
              </w:rPr>
            </w:pPr>
            <w:r w:rsidRPr="00A2241D">
              <w:rPr>
                <w:rFonts w:cs="Calibri"/>
                <w:color w:val="7030A0"/>
                <w:sz w:val="16"/>
                <w:szCs w:val="16"/>
              </w:rPr>
              <w:t xml:space="preserve"> </w:t>
            </w:r>
          </w:p>
        </w:tc>
        <w:tc>
          <w:tcPr>
            <w:tcW w:w="4858" w:type="dxa"/>
            <w:tcBorders>
              <w:top w:val="nil"/>
              <w:left w:val="single" w:sz="2" w:space="0" w:color="auto"/>
              <w:bottom w:val="nil"/>
              <w:right w:val="nil"/>
            </w:tcBorders>
            <w:vAlign w:val="bottom"/>
          </w:tcPr>
          <w:p w14:paraId="217A8B9D" w14:textId="77777777" w:rsidR="00863311" w:rsidRPr="00A2241D" w:rsidRDefault="00863311" w:rsidP="00863311">
            <w:pPr>
              <w:pStyle w:val="TableText"/>
              <w:tabs>
                <w:tab w:val="left" w:pos="3306"/>
              </w:tabs>
              <w:rPr>
                <w:rFonts w:cs="Calibri"/>
                <w:b/>
                <w:bCs/>
              </w:rPr>
            </w:pPr>
            <w:bookmarkStart w:id="993" w:name="_Toc48468792"/>
            <w:bookmarkStart w:id="994" w:name="_Toc49155861"/>
            <w:bookmarkStart w:id="995" w:name="_Toc49224272"/>
            <w:r w:rsidRPr="00A2241D">
              <w:rPr>
                <w:rFonts w:cs="Calibri"/>
                <w:b/>
                <w:bCs/>
              </w:rPr>
              <w:t>Cash Flows from Operating Activities</w:t>
            </w:r>
            <w:bookmarkEnd w:id="993"/>
            <w:bookmarkEnd w:id="994"/>
            <w:bookmarkEnd w:id="995"/>
          </w:p>
        </w:tc>
        <w:tc>
          <w:tcPr>
            <w:tcW w:w="639" w:type="dxa"/>
            <w:tcBorders>
              <w:top w:val="nil"/>
              <w:left w:val="nil"/>
              <w:bottom w:val="nil"/>
              <w:right w:val="nil"/>
            </w:tcBorders>
            <w:vAlign w:val="bottom"/>
          </w:tcPr>
          <w:p w14:paraId="754ACFEA"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2172D18"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5E29D54C"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5E8ADD0" w14:textId="77777777" w:rsidR="00863311" w:rsidRPr="00A2241D" w:rsidRDefault="00863311" w:rsidP="00863311">
            <w:pPr>
              <w:pStyle w:val="TableText"/>
              <w:tabs>
                <w:tab w:val="left" w:pos="3306"/>
              </w:tabs>
              <w:jc w:val="right"/>
              <w:rPr>
                <w:rFonts w:cs="Calibri"/>
              </w:rPr>
            </w:pPr>
          </w:p>
        </w:tc>
      </w:tr>
      <w:tr w:rsidR="00863311" w:rsidRPr="00CF7E1B" w14:paraId="77074EAB" w14:textId="77777777" w:rsidTr="00D919F2">
        <w:trPr>
          <w:cantSplit/>
          <w:trHeight w:val="23"/>
        </w:trPr>
        <w:tc>
          <w:tcPr>
            <w:tcW w:w="1547" w:type="dxa"/>
            <w:tcBorders>
              <w:top w:val="nil"/>
              <w:left w:val="single" w:sz="2" w:space="0" w:color="auto"/>
              <w:bottom w:val="nil"/>
              <w:right w:val="single" w:sz="2" w:space="0" w:color="auto"/>
            </w:tcBorders>
          </w:tcPr>
          <w:p w14:paraId="7BA3A7C0"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067656A" w14:textId="77777777" w:rsidR="00863311" w:rsidRPr="00A2241D" w:rsidRDefault="00863311" w:rsidP="00863311">
            <w:pPr>
              <w:pStyle w:val="TableText"/>
              <w:tabs>
                <w:tab w:val="left" w:pos="3306"/>
              </w:tabs>
              <w:rPr>
                <w:rFonts w:cs="Calibri"/>
                <w:b/>
                <w:bCs/>
              </w:rPr>
            </w:pPr>
            <w:bookmarkStart w:id="996" w:name="_Toc48468793"/>
            <w:bookmarkStart w:id="997" w:name="_Toc49155862"/>
            <w:bookmarkStart w:id="998" w:name="_Toc49224273"/>
            <w:r w:rsidRPr="00A2241D">
              <w:rPr>
                <w:rFonts w:cs="Calibri"/>
                <w:b/>
                <w:bCs/>
              </w:rPr>
              <w:t>Receipts</w:t>
            </w:r>
            <w:bookmarkEnd w:id="996"/>
            <w:bookmarkEnd w:id="997"/>
            <w:bookmarkEnd w:id="998"/>
          </w:p>
        </w:tc>
        <w:tc>
          <w:tcPr>
            <w:tcW w:w="639" w:type="dxa"/>
            <w:tcBorders>
              <w:top w:val="nil"/>
              <w:left w:val="nil"/>
              <w:bottom w:val="nil"/>
              <w:right w:val="nil"/>
            </w:tcBorders>
            <w:vAlign w:val="bottom"/>
          </w:tcPr>
          <w:p w14:paraId="29AA664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09238D2A"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33EB3B08"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2447347" w14:textId="77777777" w:rsidR="00863311" w:rsidRPr="00A2241D" w:rsidRDefault="00863311" w:rsidP="00863311">
            <w:pPr>
              <w:pStyle w:val="TableText"/>
              <w:tabs>
                <w:tab w:val="left" w:pos="3306"/>
              </w:tabs>
              <w:jc w:val="right"/>
              <w:rPr>
                <w:rFonts w:cs="Calibri"/>
              </w:rPr>
            </w:pPr>
          </w:p>
        </w:tc>
      </w:tr>
      <w:tr w:rsidR="00863311" w:rsidRPr="00CF7E1B" w14:paraId="6F8C27C2" w14:textId="77777777" w:rsidTr="00D919F2">
        <w:trPr>
          <w:cantSplit/>
          <w:trHeight w:val="23"/>
        </w:trPr>
        <w:tc>
          <w:tcPr>
            <w:tcW w:w="1547" w:type="dxa"/>
            <w:tcBorders>
              <w:top w:val="nil"/>
              <w:left w:val="single" w:sz="2" w:space="0" w:color="auto"/>
              <w:bottom w:val="nil"/>
              <w:right w:val="single" w:sz="2" w:space="0" w:color="auto"/>
            </w:tcBorders>
          </w:tcPr>
          <w:p w14:paraId="6E61FB31" w14:textId="77777777" w:rsidR="00863311" w:rsidRPr="00A2241D" w:rsidRDefault="00863311" w:rsidP="00863311">
            <w:pPr>
              <w:pStyle w:val="TableReference"/>
              <w:tabs>
                <w:tab w:val="left" w:pos="3306"/>
              </w:tabs>
              <w:spacing w:before="60"/>
              <w:rPr>
                <w:rFonts w:cs="Calibri"/>
                <w:color w:val="7030A0"/>
                <w:sz w:val="16"/>
                <w:szCs w:val="16"/>
              </w:rPr>
            </w:pPr>
          </w:p>
        </w:tc>
        <w:tc>
          <w:tcPr>
            <w:tcW w:w="4858" w:type="dxa"/>
            <w:tcBorders>
              <w:top w:val="nil"/>
              <w:left w:val="single" w:sz="2" w:space="0" w:color="auto"/>
              <w:bottom w:val="nil"/>
              <w:right w:val="nil"/>
            </w:tcBorders>
            <w:vAlign w:val="bottom"/>
          </w:tcPr>
          <w:p w14:paraId="3FEE776B" w14:textId="0B5C05A6" w:rsidR="00863311" w:rsidRPr="00A2241D" w:rsidRDefault="00647008" w:rsidP="00863311">
            <w:pPr>
              <w:pStyle w:val="TableText"/>
              <w:tabs>
                <w:tab w:val="left" w:pos="3306"/>
              </w:tabs>
              <w:rPr>
                <w:rFonts w:cs="Calibri"/>
              </w:rPr>
            </w:pPr>
            <w:r w:rsidRPr="00A2241D">
              <w:rPr>
                <w:rFonts w:cs="Calibri"/>
              </w:rPr>
              <w:t>Payment</w:t>
            </w:r>
            <w:r w:rsidR="00863311" w:rsidRPr="00A2241D">
              <w:rPr>
                <w:rFonts w:cs="Calibri"/>
              </w:rPr>
              <w:t xml:space="preserve"> for Expenses on Behalf of the Territory</w:t>
            </w:r>
          </w:p>
        </w:tc>
        <w:tc>
          <w:tcPr>
            <w:tcW w:w="639" w:type="dxa"/>
            <w:tcBorders>
              <w:top w:val="nil"/>
              <w:left w:val="nil"/>
              <w:bottom w:val="nil"/>
              <w:right w:val="nil"/>
            </w:tcBorders>
            <w:vAlign w:val="bottom"/>
          </w:tcPr>
          <w:p w14:paraId="3A681E0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47542046" w14:textId="133B86E1"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0166E657" w14:textId="3C2930A2"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39F40F7" w14:textId="3ADC9ABE" w:rsidR="00863311" w:rsidRPr="00A2241D" w:rsidRDefault="00863311" w:rsidP="00863311">
            <w:pPr>
              <w:pStyle w:val="TableText"/>
              <w:tabs>
                <w:tab w:val="left" w:pos="3306"/>
              </w:tabs>
              <w:jc w:val="right"/>
              <w:rPr>
                <w:rFonts w:cs="Calibri"/>
              </w:rPr>
            </w:pPr>
          </w:p>
        </w:tc>
      </w:tr>
      <w:tr w:rsidR="00863311" w:rsidRPr="00CF7E1B" w14:paraId="275077D5" w14:textId="77777777" w:rsidTr="00D919F2">
        <w:trPr>
          <w:cantSplit/>
          <w:trHeight w:val="23"/>
        </w:trPr>
        <w:tc>
          <w:tcPr>
            <w:tcW w:w="1547" w:type="dxa"/>
            <w:tcBorders>
              <w:top w:val="nil"/>
              <w:left w:val="single" w:sz="2" w:space="0" w:color="auto"/>
              <w:bottom w:val="nil"/>
              <w:right w:val="single" w:sz="2" w:space="0" w:color="auto"/>
            </w:tcBorders>
          </w:tcPr>
          <w:p w14:paraId="6EDE359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DBA9BEC" w14:textId="77777777" w:rsidR="00863311" w:rsidRPr="00A2241D" w:rsidRDefault="00863311" w:rsidP="00863311">
            <w:pPr>
              <w:pStyle w:val="TableText"/>
              <w:tabs>
                <w:tab w:val="left" w:pos="3306"/>
              </w:tabs>
              <w:rPr>
                <w:rFonts w:cs="Calibri"/>
              </w:rPr>
            </w:pPr>
            <w:r w:rsidRPr="00A2241D">
              <w:rPr>
                <w:rFonts w:cs="Calibri"/>
              </w:rPr>
              <w:t>Taxes, Fees and Fines</w:t>
            </w:r>
          </w:p>
        </w:tc>
        <w:tc>
          <w:tcPr>
            <w:tcW w:w="639" w:type="dxa"/>
            <w:tcBorders>
              <w:top w:val="nil"/>
              <w:left w:val="nil"/>
              <w:bottom w:val="nil"/>
              <w:right w:val="nil"/>
            </w:tcBorders>
            <w:vAlign w:val="bottom"/>
          </w:tcPr>
          <w:p w14:paraId="5AFCA43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2935D3DD" w14:textId="1D374CA6"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10D89FF" w14:textId="6472A52B"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4F73C4C4" w14:textId="6DB218E9" w:rsidR="00863311" w:rsidRPr="00A2241D" w:rsidRDefault="00863311" w:rsidP="00863311">
            <w:pPr>
              <w:pStyle w:val="TableText"/>
              <w:tabs>
                <w:tab w:val="left" w:pos="3306"/>
              </w:tabs>
              <w:jc w:val="right"/>
              <w:rPr>
                <w:rFonts w:cs="Calibri"/>
              </w:rPr>
            </w:pPr>
          </w:p>
        </w:tc>
      </w:tr>
      <w:tr w:rsidR="00863311" w:rsidRPr="00D828C2" w14:paraId="6686890D" w14:textId="77777777" w:rsidTr="00D919F2">
        <w:trPr>
          <w:cantSplit/>
          <w:trHeight w:val="23"/>
        </w:trPr>
        <w:tc>
          <w:tcPr>
            <w:tcW w:w="1547" w:type="dxa"/>
            <w:tcBorders>
              <w:top w:val="nil"/>
              <w:left w:val="single" w:sz="2" w:space="0" w:color="auto"/>
              <w:bottom w:val="nil"/>
              <w:right w:val="single" w:sz="2" w:space="0" w:color="auto"/>
            </w:tcBorders>
          </w:tcPr>
          <w:p w14:paraId="5511F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E4BD9C4" w14:textId="77777777" w:rsidR="00863311" w:rsidRPr="00A2241D" w:rsidRDefault="00863311" w:rsidP="00863311">
            <w:pPr>
              <w:pStyle w:val="TableText"/>
              <w:tabs>
                <w:tab w:val="left" w:pos="3306"/>
              </w:tabs>
              <w:rPr>
                <w:rFonts w:cs="Calibri"/>
                <w:b/>
                <w:bCs/>
              </w:rPr>
            </w:pPr>
            <w:bookmarkStart w:id="999" w:name="_Toc48468795"/>
            <w:bookmarkStart w:id="1000" w:name="_Toc49155864"/>
            <w:bookmarkStart w:id="1001" w:name="_Toc49224275"/>
            <w:r w:rsidRPr="00A2241D">
              <w:rPr>
                <w:rFonts w:cs="Calibri"/>
                <w:b/>
                <w:bCs/>
              </w:rPr>
              <w:t>Total Receipts from Operating Activities</w:t>
            </w:r>
            <w:bookmarkEnd w:id="999"/>
            <w:bookmarkEnd w:id="1000"/>
            <w:bookmarkEnd w:id="1001"/>
          </w:p>
        </w:tc>
        <w:tc>
          <w:tcPr>
            <w:tcW w:w="639" w:type="dxa"/>
            <w:tcBorders>
              <w:top w:val="nil"/>
              <w:left w:val="nil"/>
              <w:bottom w:val="nil"/>
              <w:right w:val="nil"/>
            </w:tcBorders>
            <w:vAlign w:val="bottom"/>
          </w:tcPr>
          <w:p w14:paraId="2EEE120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7E35E6CF" w14:textId="352345C7"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74E49EB6" w14:textId="03497BE9"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1A9B4B7" w14:textId="6D84309A" w:rsidR="00863311" w:rsidRPr="00A2241D" w:rsidRDefault="00863311" w:rsidP="00863311">
            <w:pPr>
              <w:pStyle w:val="TableText"/>
              <w:tabs>
                <w:tab w:val="left" w:pos="3306"/>
              </w:tabs>
              <w:jc w:val="right"/>
              <w:rPr>
                <w:rFonts w:cs="Calibri"/>
                <w:b/>
                <w:bCs/>
              </w:rPr>
            </w:pPr>
          </w:p>
        </w:tc>
      </w:tr>
      <w:tr w:rsidR="00863311" w:rsidRPr="00D828C2" w14:paraId="327986F6" w14:textId="77777777" w:rsidTr="00D919F2">
        <w:trPr>
          <w:cantSplit/>
          <w:trHeight w:val="23"/>
        </w:trPr>
        <w:tc>
          <w:tcPr>
            <w:tcW w:w="1547" w:type="dxa"/>
            <w:tcBorders>
              <w:top w:val="nil"/>
              <w:left w:val="single" w:sz="2" w:space="0" w:color="auto"/>
              <w:bottom w:val="nil"/>
              <w:right w:val="single" w:sz="2" w:space="0" w:color="auto"/>
            </w:tcBorders>
          </w:tcPr>
          <w:p w14:paraId="524496E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C5D3545" w14:textId="77777777" w:rsidR="00863311" w:rsidRPr="00A2241D" w:rsidRDefault="00863311" w:rsidP="00863311">
            <w:pPr>
              <w:pStyle w:val="TableText"/>
              <w:tabs>
                <w:tab w:val="left" w:pos="3306"/>
              </w:tabs>
              <w:rPr>
                <w:rFonts w:cs="Calibri"/>
                <w:b/>
                <w:bCs/>
              </w:rPr>
            </w:pPr>
            <w:bookmarkStart w:id="1002" w:name="_Toc48468796"/>
            <w:bookmarkStart w:id="1003" w:name="_Toc49155865"/>
            <w:bookmarkStart w:id="1004" w:name="_Toc49224276"/>
            <w:r w:rsidRPr="00A2241D">
              <w:rPr>
                <w:rFonts w:cs="Calibri"/>
                <w:b/>
                <w:bCs/>
              </w:rPr>
              <w:t>Payments</w:t>
            </w:r>
            <w:bookmarkEnd w:id="1002"/>
            <w:bookmarkEnd w:id="1003"/>
            <w:bookmarkEnd w:id="1004"/>
            <w:r w:rsidRPr="00A2241D">
              <w:rPr>
                <w:rFonts w:cs="Calibri"/>
                <w:b/>
                <w:bCs/>
              </w:rPr>
              <w:t xml:space="preserve"> </w:t>
            </w:r>
          </w:p>
        </w:tc>
        <w:tc>
          <w:tcPr>
            <w:tcW w:w="639" w:type="dxa"/>
            <w:tcBorders>
              <w:top w:val="nil"/>
              <w:left w:val="nil"/>
              <w:bottom w:val="nil"/>
              <w:right w:val="nil"/>
            </w:tcBorders>
            <w:vAlign w:val="bottom"/>
          </w:tcPr>
          <w:p w14:paraId="0ED1516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0F2C1B1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2A17BF7C"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6C19BD21" w14:textId="77777777" w:rsidR="00863311" w:rsidRPr="00A2241D" w:rsidRDefault="00863311" w:rsidP="00863311">
            <w:pPr>
              <w:pStyle w:val="TableText"/>
              <w:tabs>
                <w:tab w:val="left" w:pos="3306"/>
              </w:tabs>
              <w:jc w:val="right"/>
              <w:rPr>
                <w:rFonts w:cs="Calibri"/>
              </w:rPr>
            </w:pPr>
          </w:p>
        </w:tc>
      </w:tr>
      <w:tr w:rsidR="00863311" w:rsidRPr="00D828C2" w14:paraId="23673A46" w14:textId="77777777" w:rsidTr="00D919F2">
        <w:trPr>
          <w:cantSplit/>
          <w:trHeight w:val="23"/>
        </w:trPr>
        <w:tc>
          <w:tcPr>
            <w:tcW w:w="1547" w:type="dxa"/>
            <w:tcBorders>
              <w:top w:val="nil"/>
              <w:left w:val="single" w:sz="2" w:space="0" w:color="auto"/>
              <w:bottom w:val="nil"/>
              <w:right w:val="single" w:sz="2" w:space="0" w:color="auto"/>
            </w:tcBorders>
          </w:tcPr>
          <w:p w14:paraId="7B3B5B7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F30C4BD" w14:textId="77777777" w:rsidR="00863311" w:rsidRPr="00A2241D" w:rsidRDefault="00863311" w:rsidP="00863311">
            <w:pPr>
              <w:pStyle w:val="TableText"/>
              <w:tabs>
                <w:tab w:val="left" w:pos="3306"/>
              </w:tabs>
              <w:rPr>
                <w:rFonts w:cs="Calibri"/>
              </w:rPr>
            </w:pPr>
            <w:r w:rsidRPr="00A2241D">
              <w:rPr>
                <w:rFonts w:cs="Calibri"/>
              </w:rPr>
              <w:t xml:space="preserve">Grants and Purchased Services </w:t>
            </w:r>
          </w:p>
        </w:tc>
        <w:tc>
          <w:tcPr>
            <w:tcW w:w="639" w:type="dxa"/>
            <w:tcBorders>
              <w:top w:val="nil"/>
              <w:left w:val="nil"/>
              <w:bottom w:val="nil"/>
              <w:right w:val="nil"/>
            </w:tcBorders>
            <w:vAlign w:val="bottom"/>
          </w:tcPr>
          <w:p w14:paraId="7CF85EB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F55E346" w14:textId="38E6B9A2"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FCE425" w14:textId="0CA88AEF"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CC958FB" w14:textId="2538BC9D" w:rsidR="00863311" w:rsidRPr="00A2241D" w:rsidRDefault="00863311" w:rsidP="00863311">
            <w:pPr>
              <w:pStyle w:val="TableText"/>
              <w:tabs>
                <w:tab w:val="left" w:pos="3306"/>
              </w:tabs>
              <w:jc w:val="right"/>
              <w:rPr>
                <w:rFonts w:cs="Calibri"/>
              </w:rPr>
            </w:pPr>
          </w:p>
        </w:tc>
      </w:tr>
      <w:tr w:rsidR="00863311" w:rsidRPr="00D828C2" w14:paraId="3A93991C" w14:textId="77777777" w:rsidTr="00D919F2">
        <w:trPr>
          <w:cantSplit/>
          <w:trHeight w:val="23"/>
        </w:trPr>
        <w:tc>
          <w:tcPr>
            <w:tcW w:w="1547" w:type="dxa"/>
            <w:tcBorders>
              <w:top w:val="nil"/>
              <w:left w:val="single" w:sz="2" w:space="0" w:color="auto"/>
              <w:bottom w:val="nil"/>
              <w:right w:val="single" w:sz="2" w:space="0" w:color="auto"/>
            </w:tcBorders>
          </w:tcPr>
          <w:p w14:paraId="4A3365E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0D8F38F" w14:textId="77777777" w:rsidR="00863311" w:rsidRPr="00A2241D" w:rsidRDefault="00863311" w:rsidP="00863311">
            <w:pPr>
              <w:pStyle w:val="TableText"/>
              <w:tabs>
                <w:tab w:val="left" w:pos="3306"/>
              </w:tabs>
              <w:rPr>
                <w:rFonts w:cs="Calibri"/>
              </w:rPr>
            </w:pPr>
            <w:r w:rsidRPr="00A2241D">
              <w:rPr>
                <w:rFonts w:cs="Calibri"/>
              </w:rPr>
              <w:t xml:space="preserve">Transfer of Territory Receipts to the ACT Government </w:t>
            </w:r>
          </w:p>
        </w:tc>
        <w:tc>
          <w:tcPr>
            <w:tcW w:w="639" w:type="dxa"/>
            <w:tcBorders>
              <w:top w:val="nil"/>
              <w:left w:val="nil"/>
              <w:bottom w:val="nil"/>
              <w:right w:val="nil"/>
            </w:tcBorders>
            <w:vAlign w:val="bottom"/>
          </w:tcPr>
          <w:p w14:paraId="0E0487F9"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EE118D2" w14:textId="24FA776B"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82276C" w14:textId="031DB020"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282F5318" w14:textId="066C4848" w:rsidR="00863311" w:rsidRPr="00A2241D" w:rsidRDefault="00863311" w:rsidP="00863311">
            <w:pPr>
              <w:pStyle w:val="TableText"/>
              <w:tabs>
                <w:tab w:val="left" w:pos="3306"/>
              </w:tabs>
              <w:jc w:val="right"/>
              <w:rPr>
                <w:rFonts w:cs="Calibri"/>
              </w:rPr>
            </w:pPr>
          </w:p>
        </w:tc>
      </w:tr>
      <w:tr w:rsidR="00863311" w:rsidRPr="00D828C2" w14:paraId="0ED7437E" w14:textId="77777777" w:rsidTr="00D919F2">
        <w:trPr>
          <w:cantSplit/>
          <w:trHeight w:val="23"/>
        </w:trPr>
        <w:tc>
          <w:tcPr>
            <w:tcW w:w="1547" w:type="dxa"/>
            <w:tcBorders>
              <w:top w:val="nil"/>
              <w:left w:val="single" w:sz="2" w:space="0" w:color="auto"/>
              <w:bottom w:val="nil"/>
              <w:right w:val="single" w:sz="2" w:space="0" w:color="auto"/>
            </w:tcBorders>
          </w:tcPr>
          <w:p w14:paraId="4B65956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32135CF" w14:textId="77777777" w:rsidR="00863311" w:rsidRPr="00A2241D" w:rsidRDefault="00863311" w:rsidP="00863311">
            <w:pPr>
              <w:pStyle w:val="TableText"/>
              <w:tabs>
                <w:tab w:val="left" w:pos="3306"/>
              </w:tabs>
              <w:rPr>
                <w:rFonts w:cs="Calibri"/>
              </w:rPr>
            </w:pPr>
            <w:r w:rsidRPr="00A2241D">
              <w:rPr>
                <w:rFonts w:cs="Calibri"/>
              </w:rPr>
              <w:t>Other</w:t>
            </w:r>
          </w:p>
        </w:tc>
        <w:tc>
          <w:tcPr>
            <w:tcW w:w="639" w:type="dxa"/>
            <w:tcBorders>
              <w:top w:val="nil"/>
              <w:left w:val="nil"/>
              <w:bottom w:val="nil"/>
              <w:right w:val="nil"/>
            </w:tcBorders>
            <w:vAlign w:val="bottom"/>
          </w:tcPr>
          <w:p w14:paraId="7C1A122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0F38293C" w14:textId="71D4F5E9"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78929106" w14:textId="7969FB2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29D29628" w14:textId="37C41BC4" w:rsidR="00863311" w:rsidRPr="00A2241D" w:rsidRDefault="00863311" w:rsidP="00863311">
            <w:pPr>
              <w:pStyle w:val="TableText"/>
              <w:tabs>
                <w:tab w:val="left" w:pos="3306"/>
              </w:tabs>
              <w:jc w:val="right"/>
              <w:rPr>
                <w:rFonts w:cs="Calibri"/>
              </w:rPr>
            </w:pPr>
          </w:p>
        </w:tc>
      </w:tr>
      <w:tr w:rsidR="00863311" w:rsidRPr="00D828C2" w14:paraId="0EF432F3" w14:textId="77777777" w:rsidTr="00D919F2">
        <w:trPr>
          <w:cantSplit/>
          <w:trHeight w:val="23"/>
        </w:trPr>
        <w:tc>
          <w:tcPr>
            <w:tcW w:w="1547" w:type="dxa"/>
            <w:tcBorders>
              <w:top w:val="nil"/>
              <w:left w:val="single" w:sz="2" w:space="0" w:color="auto"/>
              <w:bottom w:val="nil"/>
              <w:right w:val="single" w:sz="2" w:space="0" w:color="auto"/>
            </w:tcBorders>
          </w:tcPr>
          <w:p w14:paraId="7344ECC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63C4404" w14:textId="77777777" w:rsidR="00863311" w:rsidRPr="00A2241D" w:rsidRDefault="00863311" w:rsidP="00863311">
            <w:pPr>
              <w:pStyle w:val="TableText"/>
              <w:tabs>
                <w:tab w:val="left" w:pos="3306"/>
              </w:tabs>
              <w:rPr>
                <w:rFonts w:cs="Calibri"/>
                <w:b/>
                <w:bCs/>
              </w:rPr>
            </w:pPr>
            <w:bookmarkStart w:id="1005" w:name="_Toc48468798"/>
            <w:bookmarkStart w:id="1006" w:name="_Toc49155867"/>
            <w:bookmarkStart w:id="1007" w:name="_Toc49224278"/>
            <w:r w:rsidRPr="00A2241D">
              <w:rPr>
                <w:rFonts w:cs="Calibri"/>
                <w:b/>
                <w:bCs/>
              </w:rPr>
              <w:t>Total Payments from Operating Activities</w:t>
            </w:r>
            <w:bookmarkEnd w:id="1005"/>
            <w:bookmarkEnd w:id="1006"/>
            <w:bookmarkEnd w:id="1007"/>
          </w:p>
        </w:tc>
        <w:tc>
          <w:tcPr>
            <w:tcW w:w="639" w:type="dxa"/>
            <w:tcBorders>
              <w:top w:val="nil"/>
              <w:left w:val="nil"/>
              <w:bottom w:val="nil"/>
              <w:right w:val="nil"/>
            </w:tcBorders>
            <w:vAlign w:val="bottom"/>
          </w:tcPr>
          <w:p w14:paraId="410A306F" w14:textId="77777777" w:rsidR="00863311" w:rsidRPr="00A2241D" w:rsidRDefault="00863311"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3EF0EA24" w14:textId="60804CDD"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3B533C6C" w14:textId="7958D8C1"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341D0CE" w14:textId="11EAD778" w:rsidR="00863311" w:rsidRPr="00A2241D" w:rsidRDefault="00863311" w:rsidP="00863311">
            <w:pPr>
              <w:pStyle w:val="TableText"/>
              <w:tabs>
                <w:tab w:val="left" w:pos="3306"/>
              </w:tabs>
              <w:jc w:val="right"/>
              <w:rPr>
                <w:rFonts w:cs="Calibri"/>
                <w:b/>
                <w:bCs/>
              </w:rPr>
            </w:pPr>
          </w:p>
        </w:tc>
      </w:tr>
      <w:tr w:rsidR="005B695A" w:rsidRPr="00D828C2" w14:paraId="16C75A1D" w14:textId="77777777" w:rsidTr="00D919F2">
        <w:trPr>
          <w:cantSplit/>
          <w:trHeight w:val="23"/>
        </w:trPr>
        <w:tc>
          <w:tcPr>
            <w:tcW w:w="1547" w:type="dxa"/>
            <w:tcBorders>
              <w:top w:val="nil"/>
              <w:left w:val="single" w:sz="2" w:space="0" w:color="auto"/>
              <w:bottom w:val="nil"/>
              <w:right w:val="single" w:sz="2" w:space="0" w:color="auto"/>
            </w:tcBorders>
          </w:tcPr>
          <w:p w14:paraId="44325100" w14:textId="77777777" w:rsidR="005B695A" w:rsidRPr="00A2241D" w:rsidRDefault="005B695A"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95A3AC6" w14:textId="77777777" w:rsidR="005B695A" w:rsidRPr="00A2241D" w:rsidRDefault="005B695A" w:rsidP="00863311">
            <w:pPr>
              <w:pStyle w:val="TableText"/>
              <w:tabs>
                <w:tab w:val="left" w:pos="3306"/>
              </w:tabs>
              <w:rPr>
                <w:rFonts w:cs="Calibri"/>
                <w:b/>
                <w:bCs/>
              </w:rPr>
            </w:pPr>
          </w:p>
        </w:tc>
        <w:tc>
          <w:tcPr>
            <w:tcW w:w="639" w:type="dxa"/>
            <w:tcBorders>
              <w:top w:val="nil"/>
              <w:left w:val="nil"/>
              <w:bottom w:val="nil"/>
              <w:right w:val="nil"/>
            </w:tcBorders>
            <w:vAlign w:val="bottom"/>
          </w:tcPr>
          <w:p w14:paraId="758DAC99" w14:textId="77777777" w:rsidR="005B695A" w:rsidRPr="00A2241D" w:rsidRDefault="005B695A"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57234E49" w14:textId="77777777" w:rsidR="005B695A" w:rsidRPr="00A2241D" w:rsidRDefault="005B695A"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007F2528" w14:textId="77777777" w:rsidR="005B695A" w:rsidRPr="00A2241D" w:rsidRDefault="005B695A"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28C132D2" w14:textId="77777777" w:rsidR="005B695A" w:rsidRPr="00A2241D" w:rsidRDefault="005B695A" w:rsidP="00863311">
            <w:pPr>
              <w:pStyle w:val="TableText"/>
              <w:tabs>
                <w:tab w:val="left" w:pos="3306"/>
              </w:tabs>
              <w:jc w:val="right"/>
              <w:rPr>
                <w:rFonts w:cs="Calibri"/>
                <w:b/>
                <w:bCs/>
              </w:rPr>
            </w:pPr>
          </w:p>
        </w:tc>
      </w:tr>
      <w:tr w:rsidR="00863311" w:rsidRPr="00D828C2" w14:paraId="4CCABF0B" w14:textId="77777777" w:rsidTr="00D919F2">
        <w:trPr>
          <w:cantSplit/>
          <w:trHeight w:val="23"/>
        </w:trPr>
        <w:tc>
          <w:tcPr>
            <w:tcW w:w="1547" w:type="dxa"/>
            <w:tcBorders>
              <w:top w:val="nil"/>
              <w:left w:val="single" w:sz="2" w:space="0" w:color="auto"/>
              <w:bottom w:val="nil"/>
              <w:right w:val="single" w:sz="2" w:space="0" w:color="auto"/>
            </w:tcBorders>
          </w:tcPr>
          <w:p w14:paraId="49534C07"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B98786B" w14:textId="77777777" w:rsidR="00863311" w:rsidRPr="00A2241D" w:rsidRDefault="00863311" w:rsidP="00863311">
            <w:pPr>
              <w:pStyle w:val="TableText"/>
              <w:tabs>
                <w:tab w:val="left" w:pos="3306"/>
              </w:tabs>
              <w:rPr>
                <w:rFonts w:cs="Calibri"/>
                <w:b/>
                <w:bCs/>
              </w:rPr>
            </w:pPr>
            <w:bookmarkStart w:id="1008" w:name="_Toc48468799"/>
            <w:bookmarkStart w:id="1009" w:name="_Toc49155868"/>
            <w:bookmarkStart w:id="1010" w:name="_Toc49224279"/>
            <w:r w:rsidRPr="00A2241D">
              <w:rPr>
                <w:rFonts w:cs="Calibri"/>
                <w:b/>
                <w:bCs/>
              </w:rPr>
              <w:t>Net Cash Inflows/(Outflows) from Operating Activities</w:t>
            </w:r>
            <w:bookmarkEnd w:id="1008"/>
            <w:bookmarkEnd w:id="1009"/>
            <w:bookmarkEnd w:id="1010"/>
          </w:p>
        </w:tc>
        <w:tc>
          <w:tcPr>
            <w:tcW w:w="639" w:type="dxa"/>
            <w:tcBorders>
              <w:top w:val="nil"/>
              <w:left w:val="nil"/>
              <w:bottom w:val="nil"/>
              <w:right w:val="nil"/>
            </w:tcBorders>
            <w:vAlign w:val="bottom"/>
          </w:tcPr>
          <w:p w14:paraId="43506C79" w14:textId="42A992DD" w:rsidR="00863311" w:rsidRPr="00A2241D" w:rsidRDefault="00722BF2" w:rsidP="00FA518B">
            <w:pPr>
              <w:pStyle w:val="TableText"/>
              <w:tabs>
                <w:tab w:val="left" w:pos="3306"/>
              </w:tabs>
              <w:jc w:val="center"/>
              <w:rPr>
                <w:rFonts w:cs="Calibri"/>
                <w:strike/>
              </w:rPr>
            </w:pPr>
            <w:r>
              <w:rPr>
                <w:rFonts w:cs="Calibri"/>
              </w:rPr>
              <w:t>46</w:t>
            </w:r>
          </w:p>
        </w:tc>
        <w:tc>
          <w:tcPr>
            <w:tcW w:w="1174" w:type="dxa"/>
            <w:tcBorders>
              <w:top w:val="single" w:sz="2" w:space="0" w:color="auto"/>
              <w:left w:val="nil"/>
              <w:bottom w:val="single" w:sz="2" w:space="0" w:color="auto"/>
              <w:right w:val="nil"/>
            </w:tcBorders>
            <w:vAlign w:val="bottom"/>
          </w:tcPr>
          <w:p w14:paraId="7F5E425B" w14:textId="56103D7F"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5E24AC8B" w14:textId="7E10656F"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3FFC4AB4" w14:textId="351191BA" w:rsidR="00863311" w:rsidRPr="00A2241D" w:rsidRDefault="00863311" w:rsidP="00863311">
            <w:pPr>
              <w:pStyle w:val="TableText"/>
              <w:tabs>
                <w:tab w:val="left" w:pos="3306"/>
              </w:tabs>
              <w:jc w:val="right"/>
              <w:rPr>
                <w:rFonts w:cs="Calibri"/>
                <w:b/>
                <w:bCs/>
              </w:rPr>
            </w:pPr>
          </w:p>
        </w:tc>
      </w:tr>
      <w:tr w:rsidR="00863311" w:rsidRPr="00D828C2" w14:paraId="2E03BD2C" w14:textId="77777777" w:rsidTr="00D919F2">
        <w:trPr>
          <w:cantSplit/>
          <w:trHeight w:val="23"/>
        </w:trPr>
        <w:tc>
          <w:tcPr>
            <w:tcW w:w="1547" w:type="dxa"/>
            <w:tcBorders>
              <w:top w:val="nil"/>
              <w:left w:val="single" w:sz="2" w:space="0" w:color="auto"/>
              <w:bottom w:val="nil"/>
              <w:right w:val="single" w:sz="2" w:space="0" w:color="auto"/>
            </w:tcBorders>
          </w:tcPr>
          <w:p w14:paraId="190FF92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4D696E1"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0766E852"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11EB363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078B4D60"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0623FF3F" w14:textId="77777777" w:rsidR="00863311" w:rsidRPr="00A2241D" w:rsidRDefault="00863311" w:rsidP="00863311">
            <w:pPr>
              <w:pStyle w:val="TableText"/>
              <w:tabs>
                <w:tab w:val="left" w:pos="3306"/>
              </w:tabs>
              <w:jc w:val="right"/>
              <w:rPr>
                <w:rFonts w:cs="Calibri"/>
              </w:rPr>
            </w:pPr>
          </w:p>
        </w:tc>
      </w:tr>
      <w:tr w:rsidR="00863311" w:rsidRPr="00D828C2" w14:paraId="7DF1747E" w14:textId="77777777" w:rsidTr="00D919F2">
        <w:trPr>
          <w:cantSplit/>
          <w:trHeight w:val="23"/>
        </w:trPr>
        <w:tc>
          <w:tcPr>
            <w:tcW w:w="1547" w:type="dxa"/>
            <w:tcBorders>
              <w:top w:val="nil"/>
              <w:left w:val="single" w:sz="2" w:space="0" w:color="auto"/>
              <w:bottom w:val="nil"/>
              <w:right w:val="single" w:sz="2" w:space="0" w:color="auto"/>
            </w:tcBorders>
          </w:tcPr>
          <w:p w14:paraId="607D1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F67CC4"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Investing Activities</w:t>
            </w:r>
          </w:p>
        </w:tc>
        <w:tc>
          <w:tcPr>
            <w:tcW w:w="639" w:type="dxa"/>
            <w:tcBorders>
              <w:top w:val="nil"/>
              <w:left w:val="nil"/>
              <w:bottom w:val="nil"/>
              <w:right w:val="nil"/>
            </w:tcBorders>
            <w:vAlign w:val="bottom"/>
          </w:tcPr>
          <w:p w14:paraId="1D1D2CD8"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034E1272" w14:textId="16A7A384"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652646D3" w14:textId="462F10E3"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877FB54" w14:textId="481419D0" w:rsidR="00863311" w:rsidRPr="00A2241D" w:rsidRDefault="00863311" w:rsidP="00863311">
            <w:pPr>
              <w:pStyle w:val="TableText"/>
              <w:tabs>
                <w:tab w:val="left" w:pos="3306"/>
              </w:tabs>
              <w:jc w:val="right"/>
              <w:rPr>
                <w:rFonts w:cs="Calibri"/>
                <w:b/>
                <w:bCs/>
              </w:rPr>
            </w:pPr>
          </w:p>
        </w:tc>
      </w:tr>
      <w:tr w:rsidR="00863311" w:rsidRPr="00D828C2" w14:paraId="59357AAB" w14:textId="77777777" w:rsidTr="00D919F2">
        <w:trPr>
          <w:cantSplit/>
          <w:trHeight w:val="23"/>
        </w:trPr>
        <w:tc>
          <w:tcPr>
            <w:tcW w:w="1547" w:type="dxa"/>
            <w:tcBorders>
              <w:top w:val="nil"/>
              <w:left w:val="single" w:sz="2" w:space="0" w:color="auto"/>
              <w:bottom w:val="nil"/>
              <w:right w:val="single" w:sz="2" w:space="0" w:color="auto"/>
            </w:tcBorders>
          </w:tcPr>
          <w:p w14:paraId="330F01B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1C14103"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4DE7FC23"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57C0A1B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1408722D"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2310DE86" w14:textId="77777777" w:rsidR="00863311" w:rsidRPr="00A2241D" w:rsidRDefault="00863311" w:rsidP="00863311">
            <w:pPr>
              <w:pStyle w:val="TableText"/>
              <w:tabs>
                <w:tab w:val="left" w:pos="3306"/>
              </w:tabs>
              <w:jc w:val="right"/>
              <w:rPr>
                <w:rFonts w:cs="Calibri"/>
              </w:rPr>
            </w:pPr>
          </w:p>
        </w:tc>
      </w:tr>
      <w:tr w:rsidR="00863311" w:rsidRPr="00D828C2" w14:paraId="1B8A5CD9" w14:textId="77777777" w:rsidTr="00D919F2">
        <w:trPr>
          <w:cantSplit/>
          <w:trHeight w:val="23"/>
        </w:trPr>
        <w:tc>
          <w:tcPr>
            <w:tcW w:w="1547" w:type="dxa"/>
            <w:tcBorders>
              <w:top w:val="nil"/>
              <w:left w:val="single" w:sz="2" w:space="0" w:color="auto"/>
              <w:bottom w:val="nil"/>
              <w:right w:val="single" w:sz="2" w:space="0" w:color="auto"/>
            </w:tcBorders>
          </w:tcPr>
          <w:p w14:paraId="73AFD09A"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E2A605"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Financing Activities</w:t>
            </w:r>
          </w:p>
        </w:tc>
        <w:tc>
          <w:tcPr>
            <w:tcW w:w="639" w:type="dxa"/>
            <w:tcBorders>
              <w:top w:val="nil"/>
              <w:left w:val="nil"/>
              <w:bottom w:val="nil"/>
              <w:right w:val="nil"/>
            </w:tcBorders>
            <w:vAlign w:val="bottom"/>
          </w:tcPr>
          <w:p w14:paraId="2407F43F"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6031D3FA" w14:textId="3EFD75ED"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729DF569" w14:textId="75C26DDC"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30DCA3F3" w14:textId="3838CAA2" w:rsidR="00863311" w:rsidRPr="00A2241D" w:rsidRDefault="00863311" w:rsidP="00863311">
            <w:pPr>
              <w:pStyle w:val="TableText"/>
              <w:tabs>
                <w:tab w:val="left" w:pos="3306"/>
              </w:tabs>
              <w:jc w:val="right"/>
              <w:rPr>
                <w:rFonts w:cs="Calibri"/>
              </w:rPr>
            </w:pPr>
          </w:p>
        </w:tc>
      </w:tr>
      <w:tr w:rsidR="00863311" w:rsidRPr="00D828C2" w14:paraId="408DA3EF" w14:textId="77777777" w:rsidTr="00D919F2">
        <w:trPr>
          <w:cantSplit/>
          <w:trHeight w:val="23"/>
        </w:trPr>
        <w:tc>
          <w:tcPr>
            <w:tcW w:w="1547" w:type="dxa"/>
            <w:tcBorders>
              <w:top w:val="nil"/>
              <w:left w:val="single" w:sz="2" w:space="0" w:color="auto"/>
              <w:bottom w:val="nil"/>
              <w:right w:val="single" w:sz="2" w:space="0" w:color="auto"/>
            </w:tcBorders>
          </w:tcPr>
          <w:p w14:paraId="2618B3D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CB7419A"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3D5C8145"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20D8031E"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19FC6194"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02382FC7" w14:textId="77777777" w:rsidR="00863311" w:rsidRPr="00A2241D" w:rsidRDefault="00863311" w:rsidP="00863311">
            <w:pPr>
              <w:pStyle w:val="TableText"/>
              <w:tabs>
                <w:tab w:val="left" w:pos="3306"/>
              </w:tabs>
              <w:jc w:val="right"/>
              <w:rPr>
                <w:rFonts w:cs="Calibri"/>
              </w:rPr>
            </w:pPr>
          </w:p>
        </w:tc>
      </w:tr>
      <w:tr w:rsidR="00863311" w:rsidRPr="00D828C2" w14:paraId="49F46263" w14:textId="77777777" w:rsidTr="00D919F2">
        <w:trPr>
          <w:cantSplit/>
          <w:trHeight w:val="23"/>
        </w:trPr>
        <w:tc>
          <w:tcPr>
            <w:tcW w:w="1547" w:type="dxa"/>
            <w:tcBorders>
              <w:top w:val="nil"/>
              <w:left w:val="single" w:sz="2" w:space="0" w:color="auto"/>
              <w:bottom w:val="nil"/>
              <w:right w:val="single" w:sz="2" w:space="0" w:color="auto"/>
            </w:tcBorders>
          </w:tcPr>
          <w:p w14:paraId="14D6DBF9"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1C1A944" w14:textId="2F750026" w:rsidR="00863311" w:rsidRPr="00A2241D" w:rsidRDefault="00863311" w:rsidP="0013780F">
            <w:pPr>
              <w:pStyle w:val="TableText"/>
              <w:tabs>
                <w:tab w:val="left" w:pos="3306"/>
              </w:tabs>
              <w:rPr>
                <w:rFonts w:cs="Calibri"/>
                <w:b/>
                <w:bCs/>
              </w:rPr>
            </w:pPr>
            <w:bookmarkStart w:id="1011" w:name="_Toc48468811"/>
            <w:bookmarkStart w:id="1012" w:name="_Toc49155879"/>
            <w:bookmarkStart w:id="1013" w:name="_Toc49224289"/>
            <w:r w:rsidRPr="00A2241D">
              <w:rPr>
                <w:rFonts w:cs="Calibri"/>
                <w:b/>
                <w:bCs/>
              </w:rPr>
              <w:t xml:space="preserve">Net Increase/(Decrease) in Cash and Cash Equivalents </w:t>
            </w:r>
            <w:bookmarkEnd w:id="1011"/>
            <w:bookmarkEnd w:id="1012"/>
            <w:bookmarkEnd w:id="1013"/>
          </w:p>
        </w:tc>
        <w:tc>
          <w:tcPr>
            <w:tcW w:w="639" w:type="dxa"/>
            <w:tcBorders>
              <w:top w:val="nil"/>
              <w:left w:val="nil"/>
              <w:bottom w:val="nil"/>
              <w:right w:val="nil"/>
            </w:tcBorders>
            <w:vAlign w:val="bottom"/>
          </w:tcPr>
          <w:p w14:paraId="4D8745F5"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993A0F1" w14:textId="1AAC57A0" w:rsidR="00863311" w:rsidRPr="00A2241D" w:rsidRDefault="00863311" w:rsidP="00863311">
            <w:pPr>
              <w:pStyle w:val="TableText"/>
              <w:tabs>
                <w:tab w:val="left" w:pos="3306"/>
              </w:tabs>
              <w:jc w:val="right"/>
              <w:rPr>
                <w:rFonts w:cs="Calibri"/>
                <w:b/>
                <w:bCs/>
              </w:rPr>
            </w:pPr>
          </w:p>
        </w:tc>
        <w:tc>
          <w:tcPr>
            <w:tcW w:w="1231" w:type="dxa"/>
            <w:tcBorders>
              <w:top w:val="nil"/>
              <w:left w:val="nil"/>
              <w:bottom w:val="nil"/>
              <w:right w:val="nil"/>
            </w:tcBorders>
            <w:vAlign w:val="bottom"/>
          </w:tcPr>
          <w:p w14:paraId="0F922EB2" w14:textId="0817F8B1" w:rsidR="00863311" w:rsidRPr="00A2241D" w:rsidRDefault="00863311" w:rsidP="00863311">
            <w:pPr>
              <w:pStyle w:val="TableText"/>
              <w:tabs>
                <w:tab w:val="left" w:pos="3306"/>
              </w:tabs>
              <w:jc w:val="right"/>
              <w:rPr>
                <w:rFonts w:cs="Calibri"/>
                <w:b/>
                <w:bCs/>
              </w:rPr>
            </w:pPr>
          </w:p>
        </w:tc>
        <w:tc>
          <w:tcPr>
            <w:tcW w:w="926" w:type="dxa"/>
            <w:tcBorders>
              <w:top w:val="nil"/>
              <w:left w:val="nil"/>
              <w:bottom w:val="nil"/>
              <w:right w:val="nil"/>
            </w:tcBorders>
            <w:vAlign w:val="bottom"/>
          </w:tcPr>
          <w:p w14:paraId="761620C7" w14:textId="1CA1D93F" w:rsidR="00863311" w:rsidRPr="00A2241D" w:rsidRDefault="00863311" w:rsidP="00863311">
            <w:pPr>
              <w:pStyle w:val="TableText"/>
              <w:tabs>
                <w:tab w:val="left" w:pos="3306"/>
              </w:tabs>
              <w:jc w:val="right"/>
              <w:rPr>
                <w:rFonts w:cs="Calibri"/>
                <w:b/>
                <w:bCs/>
              </w:rPr>
            </w:pPr>
          </w:p>
        </w:tc>
      </w:tr>
      <w:tr w:rsidR="00863311" w:rsidRPr="00D828C2" w14:paraId="66A8885B" w14:textId="77777777" w:rsidTr="00D919F2">
        <w:trPr>
          <w:cantSplit/>
          <w:trHeight w:val="23"/>
        </w:trPr>
        <w:tc>
          <w:tcPr>
            <w:tcW w:w="1547" w:type="dxa"/>
            <w:tcBorders>
              <w:top w:val="nil"/>
              <w:left w:val="single" w:sz="2" w:space="0" w:color="auto"/>
              <w:bottom w:val="nil"/>
              <w:right w:val="single" w:sz="2" w:space="0" w:color="auto"/>
            </w:tcBorders>
          </w:tcPr>
          <w:p w14:paraId="3F6F3F9D"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9E84719" w14:textId="77777777" w:rsidR="00863311" w:rsidRPr="00A2241D" w:rsidRDefault="00863311" w:rsidP="00863311">
            <w:pPr>
              <w:pStyle w:val="TableText"/>
              <w:tabs>
                <w:tab w:val="left" w:pos="3306"/>
              </w:tabs>
              <w:rPr>
                <w:rFonts w:cs="Calibri"/>
              </w:rPr>
            </w:pPr>
            <w:r w:rsidRPr="00A2241D">
              <w:rPr>
                <w:rFonts w:cs="Calibri"/>
              </w:rPr>
              <w:t>Cash and Cash Equivalents at the Beginning of the Reporting Period</w:t>
            </w:r>
          </w:p>
        </w:tc>
        <w:tc>
          <w:tcPr>
            <w:tcW w:w="639" w:type="dxa"/>
            <w:tcBorders>
              <w:top w:val="nil"/>
              <w:left w:val="nil"/>
              <w:bottom w:val="nil"/>
              <w:right w:val="nil"/>
            </w:tcBorders>
            <w:vAlign w:val="bottom"/>
          </w:tcPr>
          <w:p w14:paraId="4EFC547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4142010C" w14:textId="37B3BC4E"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C2F07B2" w14:textId="7F6DF09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53470570" w14:textId="60AA46E0" w:rsidR="00863311" w:rsidRPr="00A2241D" w:rsidRDefault="00863311" w:rsidP="00863311">
            <w:pPr>
              <w:pStyle w:val="TableText"/>
              <w:tabs>
                <w:tab w:val="left" w:pos="3306"/>
              </w:tabs>
              <w:jc w:val="right"/>
              <w:rPr>
                <w:rFonts w:cs="Calibri"/>
              </w:rPr>
            </w:pPr>
          </w:p>
        </w:tc>
      </w:tr>
      <w:tr w:rsidR="00863311" w:rsidRPr="00D828C2" w14:paraId="26EE191B" w14:textId="77777777" w:rsidTr="00D919F2">
        <w:trPr>
          <w:cantSplit/>
          <w:trHeight w:val="23"/>
        </w:trPr>
        <w:tc>
          <w:tcPr>
            <w:tcW w:w="1547" w:type="dxa"/>
            <w:tcBorders>
              <w:top w:val="nil"/>
              <w:left w:val="single" w:sz="2" w:space="0" w:color="auto"/>
              <w:bottom w:val="nil"/>
              <w:right w:val="single" w:sz="2" w:space="0" w:color="auto"/>
            </w:tcBorders>
          </w:tcPr>
          <w:p w14:paraId="6A83EFC3"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291EA79" w14:textId="77777777" w:rsidR="00863311" w:rsidRPr="00A2241D" w:rsidRDefault="00863311" w:rsidP="00863311">
            <w:pPr>
              <w:pStyle w:val="TableText"/>
              <w:tabs>
                <w:tab w:val="left" w:pos="3306"/>
              </w:tabs>
              <w:rPr>
                <w:rFonts w:cs="Calibri"/>
                <w:b/>
                <w:bCs/>
              </w:rPr>
            </w:pPr>
            <w:bookmarkStart w:id="1014" w:name="_Toc48468812"/>
            <w:bookmarkStart w:id="1015" w:name="_Toc49155880"/>
            <w:bookmarkStart w:id="1016" w:name="_Toc49224290"/>
            <w:r w:rsidRPr="00A2241D">
              <w:rPr>
                <w:rFonts w:cs="Calibri"/>
                <w:b/>
                <w:bCs/>
              </w:rPr>
              <w:t>Cash and Cash Equivalents at the End of the Reporting Period</w:t>
            </w:r>
            <w:bookmarkEnd w:id="1014"/>
            <w:bookmarkEnd w:id="1015"/>
            <w:bookmarkEnd w:id="1016"/>
          </w:p>
        </w:tc>
        <w:tc>
          <w:tcPr>
            <w:tcW w:w="639" w:type="dxa"/>
            <w:tcBorders>
              <w:top w:val="nil"/>
              <w:left w:val="nil"/>
              <w:bottom w:val="nil"/>
              <w:right w:val="nil"/>
            </w:tcBorders>
            <w:vAlign w:val="bottom"/>
          </w:tcPr>
          <w:p w14:paraId="12DD0D9C" w14:textId="015D268E" w:rsidR="00863311" w:rsidRPr="00A2241D" w:rsidRDefault="002B3D78" w:rsidP="00FA518B">
            <w:pPr>
              <w:pStyle w:val="TableText"/>
              <w:tabs>
                <w:tab w:val="left" w:pos="3306"/>
              </w:tabs>
              <w:jc w:val="center"/>
              <w:rPr>
                <w:rFonts w:cs="Calibri"/>
                <w:strike/>
              </w:rPr>
            </w:pPr>
            <w:r w:rsidRPr="00A2241D">
              <w:rPr>
                <w:rFonts w:cs="Calibri"/>
              </w:rPr>
              <w:t>4</w:t>
            </w:r>
            <w:r w:rsidR="001220C0" w:rsidRPr="00A2241D">
              <w:rPr>
                <w:rFonts w:cs="Calibri"/>
              </w:rPr>
              <w:t>6</w:t>
            </w:r>
          </w:p>
        </w:tc>
        <w:tc>
          <w:tcPr>
            <w:tcW w:w="1174" w:type="dxa"/>
            <w:tcBorders>
              <w:top w:val="single" w:sz="2" w:space="0" w:color="auto"/>
              <w:left w:val="nil"/>
              <w:bottom w:val="double" w:sz="4" w:space="0" w:color="auto"/>
              <w:right w:val="nil"/>
            </w:tcBorders>
            <w:vAlign w:val="bottom"/>
          </w:tcPr>
          <w:p w14:paraId="455FD17E" w14:textId="365B1482"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double" w:sz="4" w:space="0" w:color="auto"/>
              <w:right w:val="nil"/>
            </w:tcBorders>
            <w:vAlign w:val="bottom"/>
          </w:tcPr>
          <w:p w14:paraId="07F4B4FB" w14:textId="4661F0AE"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double" w:sz="4" w:space="0" w:color="auto"/>
              <w:right w:val="nil"/>
            </w:tcBorders>
            <w:vAlign w:val="bottom"/>
          </w:tcPr>
          <w:p w14:paraId="51CFAB5E" w14:textId="054BC219" w:rsidR="00863311" w:rsidRPr="00A2241D" w:rsidRDefault="00863311" w:rsidP="00863311">
            <w:pPr>
              <w:pStyle w:val="TableText"/>
              <w:tabs>
                <w:tab w:val="left" w:pos="3306"/>
              </w:tabs>
              <w:jc w:val="right"/>
              <w:rPr>
                <w:rFonts w:cs="Calibri"/>
                <w:b/>
                <w:bCs/>
              </w:rPr>
            </w:pPr>
          </w:p>
        </w:tc>
      </w:tr>
      <w:tr w:rsidR="00863311" w:rsidRPr="00D828C2" w14:paraId="084E79EB" w14:textId="77777777" w:rsidTr="00D919F2">
        <w:trPr>
          <w:cantSplit/>
          <w:trHeight w:val="23"/>
        </w:trPr>
        <w:tc>
          <w:tcPr>
            <w:tcW w:w="1547" w:type="dxa"/>
            <w:tcBorders>
              <w:top w:val="nil"/>
              <w:left w:val="single" w:sz="2" w:space="0" w:color="auto"/>
              <w:bottom w:val="nil"/>
              <w:right w:val="single" w:sz="2" w:space="0" w:color="auto"/>
            </w:tcBorders>
          </w:tcPr>
          <w:p w14:paraId="1745E020"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6EB3F1C1" w14:textId="77777777" w:rsidR="00863311" w:rsidRPr="00A2241D" w:rsidRDefault="00863311" w:rsidP="00863311">
            <w:pPr>
              <w:pStyle w:val="TableText"/>
              <w:tabs>
                <w:tab w:val="left" w:pos="3306"/>
              </w:tabs>
              <w:rPr>
                <w:rFonts w:cs="Calibri"/>
              </w:rPr>
            </w:pPr>
          </w:p>
        </w:tc>
      </w:tr>
      <w:tr w:rsidR="00D828C2" w:rsidRPr="00D828C2" w14:paraId="20E8CDB2" w14:textId="77777777" w:rsidTr="00D919F2">
        <w:trPr>
          <w:cantSplit/>
          <w:trHeight w:val="23"/>
        </w:trPr>
        <w:tc>
          <w:tcPr>
            <w:tcW w:w="1547" w:type="dxa"/>
            <w:tcBorders>
              <w:top w:val="nil"/>
              <w:left w:val="single" w:sz="2" w:space="0" w:color="auto"/>
              <w:bottom w:val="nil"/>
              <w:right w:val="single" w:sz="2" w:space="0" w:color="auto"/>
            </w:tcBorders>
          </w:tcPr>
          <w:p w14:paraId="45A7E923"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55A7C977" w14:textId="08729B45" w:rsidR="00863311" w:rsidRPr="00A2241D" w:rsidRDefault="00863311" w:rsidP="00D828C2">
            <w:pPr>
              <w:pStyle w:val="CommentaryReference"/>
              <w:rPr>
                <w:rFonts w:cs="Calibri"/>
                <w:b/>
                <w:bCs/>
                <w:sz w:val="18"/>
                <w:szCs w:val="18"/>
              </w:rPr>
            </w:pPr>
            <w:r w:rsidRPr="00A2241D">
              <w:rPr>
                <w:rFonts w:cs="Calibri"/>
                <w:sz w:val="18"/>
                <w:szCs w:val="18"/>
              </w:rPr>
              <w:t xml:space="preserve">The above </w:t>
            </w:r>
            <w:r w:rsidR="005F62CB" w:rsidRPr="00A2241D">
              <w:rPr>
                <w:rFonts w:cs="Calibri"/>
                <w:sz w:val="18"/>
                <w:szCs w:val="18"/>
              </w:rPr>
              <w:t xml:space="preserve">Statement of Cash Flows </w:t>
            </w:r>
            <w:r w:rsidRPr="00A2241D">
              <w:rPr>
                <w:rFonts w:cs="Calibri"/>
                <w:sz w:val="18"/>
                <w:szCs w:val="18"/>
              </w:rPr>
              <w:t xml:space="preserve">on Behalf of the Territory </w:t>
            </w:r>
            <w:r w:rsidR="00E31574" w:rsidRPr="00A2241D">
              <w:rPr>
                <w:rFonts w:cs="Calibri"/>
                <w:sz w:val="18"/>
                <w:szCs w:val="18"/>
              </w:rPr>
              <w:t xml:space="preserve">is to </w:t>
            </w:r>
            <w:r w:rsidRPr="00A2241D">
              <w:rPr>
                <w:rFonts w:cs="Calibri"/>
                <w:sz w:val="18"/>
                <w:szCs w:val="18"/>
              </w:rPr>
              <w:t>be read in conjunction with the accompanying notes.</w:t>
            </w:r>
            <w:r w:rsidR="00FA7C77">
              <w:rPr>
                <w:rFonts w:cs="Calibri"/>
                <w:sz w:val="18"/>
                <w:szCs w:val="18"/>
              </w:rPr>
              <w:t xml:space="preserve"> </w:t>
            </w:r>
            <w:r w:rsidRPr="00A2241D">
              <w:rPr>
                <w:rFonts w:cs="Calibri"/>
                <w:sz w:val="18"/>
                <w:szCs w:val="18"/>
              </w:rPr>
              <w:t xml:space="preserve"> </w:t>
            </w:r>
          </w:p>
        </w:tc>
      </w:tr>
      <w:tr w:rsidR="00104AEF" w:rsidRPr="00D828C2" w14:paraId="1B517B01" w14:textId="77777777" w:rsidTr="00D919F2">
        <w:trPr>
          <w:cantSplit/>
          <w:trHeight w:val="23"/>
        </w:trPr>
        <w:tc>
          <w:tcPr>
            <w:tcW w:w="1547" w:type="dxa"/>
            <w:tcBorders>
              <w:top w:val="nil"/>
              <w:left w:val="single" w:sz="2" w:space="0" w:color="auto"/>
              <w:bottom w:val="nil"/>
              <w:right w:val="single" w:sz="2" w:space="0" w:color="auto"/>
            </w:tcBorders>
          </w:tcPr>
          <w:p w14:paraId="1A8A54CF" w14:textId="77777777" w:rsidR="00104AEF" w:rsidRPr="00A2241D" w:rsidRDefault="00104AEF"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47E445AB" w14:textId="77777777" w:rsidR="00104AEF" w:rsidRPr="00A2241D" w:rsidRDefault="00104AEF" w:rsidP="00D828C2">
            <w:pPr>
              <w:pStyle w:val="CommentaryReference"/>
              <w:rPr>
                <w:rFonts w:cs="Calibri"/>
                <w:sz w:val="18"/>
                <w:szCs w:val="18"/>
              </w:rPr>
            </w:pPr>
          </w:p>
        </w:tc>
      </w:tr>
      <w:tr w:rsidR="00D828C2" w:rsidRPr="00D828C2" w14:paraId="67E7037C" w14:textId="77777777" w:rsidTr="00D919F2">
        <w:trPr>
          <w:cantSplit/>
          <w:trHeight w:val="23"/>
        </w:trPr>
        <w:tc>
          <w:tcPr>
            <w:tcW w:w="1547" w:type="dxa"/>
            <w:tcBorders>
              <w:top w:val="nil"/>
              <w:left w:val="single" w:sz="2" w:space="0" w:color="auto"/>
              <w:bottom w:val="nil"/>
              <w:right w:val="single" w:sz="2" w:space="0" w:color="auto"/>
            </w:tcBorders>
          </w:tcPr>
          <w:p w14:paraId="722FF54C" w14:textId="3AE5E698" w:rsidR="00863311" w:rsidRPr="00A2241D" w:rsidRDefault="00863311" w:rsidP="00C24DC3">
            <w:pPr>
              <w:pStyle w:val="TableReference"/>
              <w:tabs>
                <w:tab w:val="left" w:pos="3306"/>
              </w:tabs>
              <w:spacing w:before="240" w:after="240"/>
              <w:rPr>
                <w:rFonts w:asciiTheme="minorHAnsi" w:hAnsiTheme="minorHAnsi" w:cstheme="minorHAnsi"/>
                <w:b/>
                <w:strike/>
                <w:color w:val="7030A0"/>
                <w:sz w:val="22"/>
                <w:szCs w:val="22"/>
              </w:rPr>
            </w:pPr>
          </w:p>
        </w:tc>
        <w:tc>
          <w:tcPr>
            <w:tcW w:w="8828" w:type="dxa"/>
            <w:gridSpan w:val="5"/>
            <w:tcBorders>
              <w:top w:val="nil"/>
              <w:left w:val="single" w:sz="2" w:space="0" w:color="auto"/>
              <w:bottom w:val="nil"/>
              <w:right w:val="nil"/>
            </w:tcBorders>
            <w:shd w:val="clear" w:color="auto" w:fill="7030A0"/>
            <w:vAlign w:val="bottom"/>
          </w:tcPr>
          <w:p w14:paraId="34E247BE" w14:textId="548DFD9D"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w:t>
            </w:r>
            <w:r w:rsidR="00D828C2" w:rsidRPr="00A2241D">
              <w:rPr>
                <w:rFonts w:cs="Calibri"/>
                <w:color w:val="FFFFFF" w:themeColor="background1"/>
                <w:sz w:val="28"/>
                <w:szCs w:val="28"/>
              </w:rPr>
              <w:t xml:space="preserve"> </w:t>
            </w:r>
            <w:r w:rsidR="005F62CB" w:rsidRPr="00A2241D">
              <w:rPr>
                <w:rFonts w:cs="Calibri"/>
                <w:color w:val="FFFFFF" w:themeColor="background1"/>
                <w:sz w:val="28"/>
                <w:szCs w:val="28"/>
              </w:rPr>
              <w:t>Statement of Cash Flows</w:t>
            </w:r>
            <w:r w:rsidRPr="00A2241D">
              <w:rPr>
                <w:rFonts w:cs="Calibri"/>
                <w:color w:val="FFFFFF" w:themeColor="background1"/>
                <w:sz w:val="28"/>
                <w:szCs w:val="28"/>
              </w:rPr>
              <w:t xml:space="preserve"> on Behalf of the Territory</w:t>
            </w:r>
          </w:p>
        </w:tc>
      </w:tr>
      <w:tr w:rsidR="00863311" w:rsidRPr="00D828C2" w14:paraId="7CF14C75" w14:textId="77777777" w:rsidTr="00D919F2">
        <w:trPr>
          <w:cantSplit/>
          <w:trHeight w:val="23"/>
        </w:trPr>
        <w:tc>
          <w:tcPr>
            <w:tcW w:w="1547" w:type="dxa"/>
            <w:tcBorders>
              <w:top w:val="nil"/>
              <w:left w:val="single" w:sz="2" w:space="0" w:color="auto"/>
              <w:bottom w:val="nil"/>
              <w:right w:val="single" w:sz="2" w:space="0" w:color="auto"/>
            </w:tcBorders>
          </w:tcPr>
          <w:p w14:paraId="247DA67B" w14:textId="77777777" w:rsidR="00863311" w:rsidRPr="00A2241D" w:rsidRDefault="00863311" w:rsidP="00AD31E8">
            <w:pPr>
              <w:pStyle w:val="TableReference"/>
              <w:tabs>
                <w:tab w:val="left" w:pos="3306"/>
              </w:tabs>
              <w:spacing w:before="240"/>
              <w:rPr>
                <w:rFonts w:cs="Calibri"/>
                <w:color w:val="7030A0"/>
                <w:sz w:val="16"/>
                <w:szCs w:val="16"/>
              </w:rPr>
            </w:pPr>
          </w:p>
        </w:tc>
        <w:tc>
          <w:tcPr>
            <w:tcW w:w="8828" w:type="dxa"/>
            <w:gridSpan w:val="5"/>
            <w:tcBorders>
              <w:top w:val="nil"/>
              <w:left w:val="single" w:sz="2" w:space="0" w:color="auto"/>
              <w:bottom w:val="nil"/>
              <w:right w:val="nil"/>
            </w:tcBorders>
            <w:shd w:val="clear" w:color="auto" w:fill="7030A0"/>
            <w:vAlign w:val="bottom"/>
          </w:tcPr>
          <w:p w14:paraId="03688EE2" w14:textId="422D523F" w:rsidR="00863311" w:rsidRPr="00A2241D" w:rsidRDefault="00863311" w:rsidP="00863311">
            <w:pPr>
              <w:pStyle w:val="CommentaryText"/>
              <w:rPr>
                <w:rFonts w:cs="Calibri"/>
                <w:color w:val="FFFFFF" w:themeColor="background1"/>
                <w:sz w:val="18"/>
                <w:szCs w:val="18"/>
              </w:rPr>
            </w:pPr>
            <w:r w:rsidRPr="00A2241D">
              <w:rPr>
                <w:rFonts w:cs="Calibri"/>
                <w:color w:val="FFFFFF" w:themeColor="background1"/>
                <w:sz w:val="18"/>
                <w:szCs w:val="18"/>
              </w:rPr>
              <w:t xml:space="preserve">Where </w:t>
            </w:r>
            <w:r w:rsidR="00D65811" w:rsidRPr="00A2241D">
              <w:rPr>
                <w:rFonts w:cs="Calibri"/>
                <w:color w:val="FFFFFF" w:themeColor="background1"/>
                <w:sz w:val="18"/>
                <w:szCs w:val="18"/>
              </w:rPr>
              <w:t>a</w:t>
            </w:r>
            <w:r w:rsidRPr="00A2241D">
              <w:rPr>
                <w:rFonts w:cs="Calibri"/>
                <w:color w:val="FFFFFF" w:themeColor="background1"/>
                <w:sz w:val="18"/>
                <w:szCs w:val="18"/>
              </w:rPr>
              <w:t xml:space="preserve">gencies have investing and/or financing cash flows, details of these items must be disclosed in the Investing Activities and/or Financing Activities section within the </w:t>
            </w:r>
            <w:r w:rsidR="005F62CB" w:rsidRPr="00A2241D">
              <w:rPr>
                <w:rFonts w:cs="Calibri"/>
                <w:color w:val="FFFFFF" w:themeColor="background1"/>
                <w:sz w:val="18"/>
                <w:szCs w:val="18"/>
              </w:rPr>
              <w:t>Statement of Cash Flows</w:t>
            </w:r>
            <w:r w:rsidR="00E31574"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w:t>
            </w:r>
            <w:r w:rsidR="00FA7C77">
              <w:rPr>
                <w:rFonts w:cs="Calibri"/>
                <w:color w:val="FFFFFF" w:themeColor="background1"/>
                <w:sz w:val="18"/>
                <w:szCs w:val="18"/>
              </w:rPr>
              <w:t xml:space="preserve"> </w:t>
            </w:r>
            <w:r w:rsidRPr="00A2241D">
              <w:rPr>
                <w:rFonts w:cs="Calibri"/>
                <w:color w:val="FFFFFF" w:themeColor="background1"/>
                <w:sz w:val="18"/>
                <w:szCs w:val="18"/>
              </w:rPr>
              <w:t xml:space="preserve">Where there are no Investing or Financing items: </w:t>
            </w:r>
          </w:p>
          <w:p w14:paraId="5D3E318B" w14:textId="77777777" w:rsidR="00863311" w:rsidRPr="00A2241D" w:rsidRDefault="00863311" w:rsidP="00CB31DE">
            <w:pPr>
              <w:pStyle w:val="CommentaryText"/>
              <w:numPr>
                <w:ilvl w:val="0"/>
                <w:numId w:val="27"/>
              </w:numPr>
              <w:rPr>
                <w:rFonts w:cs="Calibri"/>
                <w:color w:val="FFFFFF" w:themeColor="background1"/>
                <w:sz w:val="18"/>
                <w:szCs w:val="18"/>
              </w:rPr>
            </w:pPr>
            <w:r w:rsidRPr="00A2241D">
              <w:rPr>
                <w:rFonts w:cs="Calibri"/>
                <w:color w:val="FFFFFF" w:themeColor="background1"/>
                <w:sz w:val="18"/>
                <w:szCs w:val="18"/>
              </w:rPr>
              <w:t xml:space="preserve">the Net Cash Inflows/(Outflows) from Investing Activities total line; and </w:t>
            </w:r>
          </w:p>
          <w:p w14:paraId="35FF793D" w14:textId="2A392AC4" w:rsidR="00863311" w:rsidRPr="00A2241D" w:rsidRDefault="00863311" w:rsidP="00CB31DE">
            <w:pPr>
              <w:pStyle w:val="CommentaryText"/>
              <w:numPr>
                <w:ilvl w:val="0"/>
                <w:numId w:val="27"/>
              </w:numPr>
              <w:rPr>
                <w:rFonts w:cs="Calibri"/>
                <w:color w:val="FFFFFF" w:themeColor="background1"/>
                <w:sz w:val="18"/>
                <w:szCs w:val="18"/>
              </w:rPr>
            </w:pPr>
            <w:r w:rsidRPr="00A2241D">
              <w:rPr>
                <w:rFonts w:cs="Calibri"/>
                <w:color w:val="FFFFFF" w:themeColor="background1"/>
                <w:sz w:val="18"/>
                <w:szCs w:val="18"/>
              </w:rPr>
              <w:t>the Net Cash Inflows/(Outflows) from Financing Activities total line</w:t>
            </w:r>
            <w:r w:rsidR="00722BF2">
              <w:rPr>
                <w:rFonts w:cs="Calibri"/>
                <w:color w:val="FFFFFF" w:themeColor="background1"/>
                <w:sz w:val="18"/>
                <w:szCs w:val="18"/>
              </w:rPr>
              <w:t>.</w:t>
            </w:r>
            <w:r w:rsidRPr="00A2241D">
              <w:rPr>
                <w:rFonts w:cs="Calibri"/>
                <w:color w:val="FFFFFF" w:themeColor="background1"/>
                <w:sz w:val="18"/>
                <w:szCs w:val="18"/>
              </w:rPr>
              <w:t xml:space="preserve"> </w:t>
            </w:r>
          </w:p>
          <w:p w14:paraId="24DAE78A" w14:textId="77777777" w:rsidR="00863311" w:rsidRPr="00A2241D" w:rsidRDefault="00863311" w:rsidP="00354061">
            <w:pPr>
              <w:pStyle w:val="CommentaryText"/>
              <w:ind w:left="441" w:hanging="441"/>
              <w:rPr>
                <w:rFonts w:cs="Calibri"/>
                <w:color w:val="FFFFFF" w:themeColor="background1"/>
                <w:sz w:val="18"/>
                <w:szCs w:val="18"/>
              </w:rPr>
            </w:pPr>
            <w:r w:rsidRPr="00A2241D">
              <w:rPr>
                <w:rFonts w:cs="Calibri"/>
                <w:color w:val="FFFFFF" w:themeColor="background1"/>
                <w:sz w:val="18"/>
                <w:szCs w:val="18"/>
              </w:rPr>
              <w:t xml:space="preserve">should still be disclosed as in the above example. </w:t>
            </w:r>
          </w:p>
        </w:tc>
      </w:tr>
      <w:tr w:rsidR="00863311" w:rsidRPr="00D828C2" w14:paraId="38B8FA3E" w14:textId="77777777" w:rsidTr="00BB62BB">
        <w:trPr>
          <w:cantSplit/>
          <w:trHeight w:val="23"/>
        </w:trPr>
        <w:tc>
          <w:tcPr>
            <w:tcW w:w="1547" w:type="dxa"/>
            <w:tcBorders>
              <w:top w:val="nil"/>
              <w:left w:val="single" w:sz="2" w:space="0" w:color="7030A0"/>
              <w:bottom w:val="nil"/>
              <w:right w:val="single" w:sz="2" w:space="0" w:color="7030A0"/>
            </w:tcBorders>
          </w:tcPr>
          <w:p w14:paraId="500F0E9A"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7030A0"/>
              <w:bottom w:val="nil"/>
              <w:right w:val="nil"/>
            </w:tcBorders>
            <w:shd w:val="clear" w:color="auto" w:fill="7030A0"/>
            <w:vAlign w:val="bottom"/>
          </w:tcPr>
          <w:p w14:paraId="6CB00B93"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D828C2" w14:paraId="711196F3" w14:textId="77777777" w:rsidTr="00BB62BB">
        <w:trPr>
          <w:cantSplit/>
          <w:trHeight w:val="247"/>
        </w:trPr>
        <w:tc>
          <w:tcPr>
            <w:tcW w:w="1547" w:type="dxa"/>
            <w:tcBorders>
              <w:top w:val="nil"/>
              <w:left w:val="single" w:sz="2" w:space="0" w:color="7030A0"/>
              <w:bottom w:val="nil"/>
              <w:right w:val="single" w:sz="2" w:space="0" w:color="7030A0"/>
            </w:tcBorders>
          </w:tcPr>
          <w:p w14:paraId="2B64EF78" w14:textId="77777777" w:rsidR="00863311" w:rsidRPr="00A2241D" w:rsidRDefault="00863311" w:rsidP="00863311">
            <w:pPr>
              <w:pStyle w:val="TableReference"/>
              <w:tabs>
                <w:tab w:val="left" w:pos="3306"/>
              </w:tabs>
              <w:spacing w:before="40"/>
              <w:rPr>
                <w:rFonts w:cs="Calibri"/>
                <w:color w:val="7030A0"/>
              </w:rPr>
            </w:pPr>
          </w:p>
        </w:tc>
        <w:tc>
          <w:tcPr>
            <w:tcW w:w="8828" w:type="dxa"/>
            <w:gridSpan w:val="5"/>
            <w:tcBorders>
              <w:top w:val="nil"/>
              <w:left w:val="single" w:sz="2" w:space="0" w:color="7030A0"/>
              <w:bottom w:val="nil"/>
              <w:right w:val="nil"/>
            </w:tcBorders>
            <w:shd w:val="clear" w:color="auto" w:fill="7030A0"/>
            <w:vAlign w:val="bottom"/>
          </w:tcPr>
          <w:p w14:paraId="5A43AB5B" w14:textId="1C44CA59" w:rsidR="00863311" w:rsidRPr="00A2241D" w:rsidRDefault="00863311" w:rsidP="00E04F3C">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300197" w:rsidRPr="00A2241D">
              <w:rPr>
                <w:rFonts w:cs="Calibri"/>
                <w:color w:val="FFFFFF" w:themeColor="background1"/>
                <w:sz w:val="18"/>
                <w:szCs w:val="18"/>
              </w:rPr>
              <w:t>202</w:t>
            </w:r>
            <w:r w:rsidR="00B13049">
              <w:rPr>
                <w:rFonts w:cs="Calibri"/>
                <w:color w:val="FFFFFF" w:themeColor="background1"/>
                <w:sz w:val="18"/>
                <w:szCs w:val="18"/>
              </w:rPr>
              <w:t>2</w:t>
            </w:r>
            <w:r w:rsidR="00300197" w:rsidRPr="00A2241D">
              <w:rPr>
                <w:rFonts w:cs="Calibri"/>
                <w:color w:val="FFFFFF" w:themeColor="background1"/>
                <w:sz w:val="18"/>
                <w:szCs w:val="18"/>
              </w:rPr>
              <w:t>-2</w:t>
            </w:r>
            <w:r w:rsidR="00B13049">
              <w:rPr>
                <w:rFonts w:cs="Calibri"/>
                <w:color w:val="FFFFFF" w:themeColor="background1"/>
                <w:sz w:val="18"/>
                <w:szCs w:val="18"/>
              </w:rPr>
              <w:t>3</w:t>
            </w:r>
            <w:r w:rsidR="0004485F" w:rsidRPr="00A2241D">
              <w:rPr>
                <w:rFonts w:cs="Calibri"/>
                <w:color w:val="FFFFFF" w:themeColor="background1"/>
                <w:sz w:val="18"/>
                <w:szCs w:val="18"/>
              </w:rPr>
              <w:t xml:space="preserve"> </w:t>
            </w:r>
            <w:r w:rsidRPr="00A2241D">
              <w:rPr>
                <w:rFonts w:cs="Calibri"/>
                <w:color w:val="FFFFFF" w:themeColor="background1"/>
                <w:sz w:val="18"/>
                <w:szCs w:val="18"/>
              </w:rPr>
              <w:t>Budget Papers.</w:t>
            </w:r>
          </w:p>
        </w:tc>
      </w:tr>
    </w:tbl>
    <w:p w14:paraId="3E38CF88" w14:textId="77777777" w:rsidR="00E31574" w:rsidRDefault="00863311" w:rsidP="00302D48">
      <w:pPr>
        <w:spacing w:line="400" w:lineRule="exact"/>
        <w:jc w:val="center"/>
      </w:pPr>
      <w:r w:rsidRPr="00CF7E1B">
        <w:br w:type="page"/>
      </w:r>
      <w:bookmarkStart w:id="1017" w:name="_Toc194918666"/>
      <w:bookmarkStart w:id="1018" w:name="_Toc253496244"/>
    </w:p>
    <w:p w14:paraId="4AD8E0C3" w14:textId="5D54FF3D" w:rsidR="00863311" w:rsidRPr="00A2241D" w:rsidRDefault="00863311" w:rsidP="00302D48">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1017"/>
      <w:bookmarkEnd w:id="1018"/>
    </w:p>
    <w:p w14:paraId="7D3375AC" w14:textId="77777777" w:rsidR="00863311" w:rsidRPr="00A2241D" w:rsidRDefault="00863311" w:rsidP="00302D48">
      <w:pPr>
        <w:pStyle w:val="Subtitle"/>
        <w:spacing w:line="400" w:lineRule="exact"/>
        <w:rPr>
          <w:rFonts w:asciiTheme="minorHAnsi" w:hAnsiTheme="minorHAnsi" w:cstheme="minorHAnsi"/>
          <w:snapToGrid w:val="0"/>
        </w:rPr>
      </w:pPr>
      <w:bookmarkStart w:id="1019" w:name="_Toc50440410"/>
      <w:bookmarkStart w:id="1020" w:name="_Toc194918667"/>
      <w:bookmarkStart w:id="1021" w:name="_Toc223433222"/>
      <w:bookmarkStart w:id="1022" w:name="_Toc253496245"/>
      <w:bookmarkStart w:id="1023" w:name="_Toc400627371"/>
      <w:bookmarkStart w:id="1024" w:name="_Toc132743843"/>
      <w:r w:rsidRPr="00A2241D">
        <w:rPr>
          <w:rFonts w:asciiTheme="minorHAnsi" w:hAnsiTheme="minorHAnsi" w:cstheme="minorHAnsi"/>
          <w:snapToGrid w:val="0"/>
        </w:rPr>
        <w:t>Territorial Statement of Appropriation</w:t>
      </w:r>
      <w:bookmarkEnd w:id="1019"/>
      <w:bookmarkEnd w:id="1020"/>
      <w:bookmarkEnd w:id="1021"/>
      <w:bookmarkEnd w:id="1022"/>
      <w:bookmarkEnd w:id="1023"/>
      <w:bookmarkEnd w:id="1024"/>
    </w:p>
    <w:p w14:paraId="3A3649B6" w14:textId="57E1B543" w:rsidR="00863311" w:rsidRPr="00A2241D" w:rsidRDefault="00863311" w:rsidP="00302D48">
      <w:pPr>
        <w:spacing w:after="240" w:line="400" w:lineRule="exact"/>
        <w:jc w:val="center"/>
        <w:rPr>
          <w:b/>
          <w:snapToGrid w:val="0"/>
          <w:sz w:val="40"/>
          <w:szCs w:val="40"/>
        </w:rPr>
      </w:pPr>
      <w:r w:rsidRPr="00A2241D">
        <w:rPr>
          <w:b/>
          <w:snapToGrid w:val="0"/>
          <w:sz w:val="40"/>
          <w:szCs w:val="40"/>
        </w:rPr>
        <w:t xml:space="preserve">For the Year Ended 30 June </w:t>
      </w:r>
      <w:r w:rsidR="006973C8" w:rsidRPr="00A2241D">
        <w:rPr>
          <w:b/>
          <w:sz w:val="40"/>
          <w:szCs w:val="40"/>
        </w:rPr>
        <w:t>202</w:t>
      </w:r>
      <w:r w:rsidR="0011259C">
        <w:rPr>
          <w:b/>
          <w:sz w:val="40"/>
          <w:szCs w:val="40"/>
        </w:rPr>
        <w:t>3</w:t>
      </w:r>
    </w:p>
    <w:tbl>
      <w:tblPr>
        <w:tblW w:w="4973" w:type="pct"/>
        <w:tblInd w:w="-1" w:type="dxa"/>
        <w:tblLayout w:type="fixed"/>
        <w:tblCellMar>
          <w:left w:w="0" w:type="dxa"/>
          <w:right w:w="0" w:type="dxa"/>
        </w:tblCellMar>
        <w:tblLook w:val="00A0" w:firstRow="1" w:lastRow="0" w:firstColumn="1" w:lastColumn="0" w:noHBand="0" w:noVBand="0"/>
      </w:tblPr>
      <w:tblGrid>
        <w:gridCol w:w="1558"/>
        <w:gridCol w:w="3206"/>
        <w:gridCol w:w="1330"/>
        <w:gridCol w:w="60"/>
        <w:gridCol w:w="1415"/>
        <w:gridCol w:w="92"/>
        <w:gridCol w:w="1270"/>
        <w:gridCol w:w="42"/>
        <w:gridCol w:w="1402"/>
        <w:gridCol w:w="112"/>
      </w:tblGrid>
      <w:tr w:rsidR="00B02277" w:rsidRPr="00CF7E1B" w14:paraId="64968762"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6CD07CC" w14:textId="73EAD253" w:rsidR="00B02277" w:rsidRPr="00A2241D" w:rsidRDefault="00E31574" w:rsidP="00B02277">
            <w:pPr>
              <w:pStyle w:val="Reference"/>
              <w:tabs>
                <w:tab w:val="left" w:pos="3306"/>
              </w:tabs>
              <w:rPr>
                <w:rFonts w:cs="Calibri"/>
                <w:color w:val="7030A0"/>
              </w:rPr>
            </w:pPr>
            <w:r w:rsidRPr="00A2241D">
              <w:rPr>
                <w:rFonts w:asciiTheme="minorHAnsi" w:hAnsiTheme="minorHAnsi" w:cstheme="minorHAnsi"/>
                <w:color w:val="7030A0"/>
                <w:sz w:val="22"/>
                <w:szCs w:val="22"/>
              </w:rPr>
              <w:t>Reference</w:t>
            </w:r>
          </w:p>
        </w:tc>
        <w:tc>
          <w:tcPr>
            <w:tcW w:w="8817" w:type="dxa"/>
            <w:gridSpan w:val="8"/>
            <w:tcBorders>
              <w:left w:val="single" w:sz="2" w:space="0" w:color="auto"/>
            </w:tcBorders>
            <w:tcMar>
              <w:left w:w="108" w:type="dxa"/>
              <w:right w:w="108" w:type="dxa"/>
            </w:tcMar>
            <w:vAlign w:val="bottom"/>
          </w:tcPr>
          <w:p w14:paraId="6842C543" w14:textId="63F6C615" w:rsidR="00B02277" w:rsidRPr="00A2241D" w:rsidRDefault="00B02277" w:rsidP="00B02277">
            <w:pPr>
              <w:pStyle w:val="TableTitle"/>
              <w:tabs>
                <w:tab w:val="left" w:pos="3306"/>
              </w:tabs>
              <w:jc w:val="left"/>
              <w:rPr>
                <w:rFonts w:cs="Calibri"/>
                <w:sz w:val="16"/>
                <w:szCs w:val="16"/>
              </w:rPr>
            </w:pPr>
            <w:r w:rsidRPr="00A2241D">
              <w:t xml:space="preserve">Description and Material Accounting Policies relating to </w:t>
            </w:r>
            <w:r w:rsidR="00786A39" w:rsidRPr="00A2241D">
              <w:rPr>
                <w:rFonts w:cs="Calibri"/>
              </w:rPr>
              <w:t>Payment for Expenses on Behalf of the Territory</w:t>
            </w:r>
          </w:p>
        </w:tc>
      </w:tr>
      <w:tr w:rsidR="00B02277" w:rsidRPr="00CF7E1B" w14:paraId="1419E285"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BC2AB11"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562993D9" w14:textId="1C92A988" w:rsidR="00B02277" w:rsidRPr="00A2241D" w:rsidRDefault="006222F7" w:rsidP="00E178FE">
            <w:pPr>
              <w:pStyle w:val="TableTitle"/>
              <w:tabs>
                <w:tab w:val="left" w:pos="3306"/>
              </w:tabs>
              <w:spacing w:after="120"/>
              <w:jc w:val="both"/>
              <w:rPr>
                <w:rFonts w:cs="Calibri"/>
                <w:b w:val="0"/>
                <w:bCs w:val="0"/>
                <w:sz w:val="16"/>
                <w:szCs w:val="16"/>
              </w:rPr>
            </w:pPr>
            <w:r w:rsidRPr="00A2241D">
              <w:rPr>
                <w:rFonts w:cs="Calibri"/>
                <w:b w:val="0"/>
                <w:bCs w:val="0"/>
              </w:rPr>
              <w:t>The</w:t>
            </w:r>
            <w:r w:rsidR="00B02277" w:rsidRPr="00A2241D">
              <w:rPr>
                <w:rFonts w:cs="Calibri"/>
                <w:b w:val="0"/>
                <w:bCs w:val="0"/>
              </w:rPr>
              <w:t xml:space="preserve"> Agency receives appropriation to fund a number of expenses incurred on behalf of the Territory, the main one being the payment of grants to various non-government organisations (See Note </w:t>
            </w:r>
            <w:r w:rsidR="00722BF2">
              <w:rPr>
                <w:rFonts w:cs="Calibri"/>
                <w:b w:val="0"/>
                <w:bCs w:val="0"/>
              </w:rPr>
              <w:t>44</w:t>
            </w:r>
            <w:r w:rsidR="002B3D78" w:rsidRPr="00A2241D">
              <w:rPr>
                <w:rFonts w:cs="Calibri"/>
                <w:b w:val="0"/>
                <w:bCs w:val="0"/>
              </w:rPr>
              <w:t xml:space="preserve"> </w:t>
            </w:r>
            <w:r w:rsidR="00B02277" w:rsidRPr="00A2241D">
              <w:rPr>
                <w:rFonts w:cs="Calibri"/>
                <w:b w:val="0"/>
                <w:bCs w:val="0"/>
                <w:i/>
              </w:rPr>
              <w:t>Grants and Purchased Services - Territorial</w:t>
            </w:r>
            <w:r w:rsidR="00B02277" w:rsidRPr="00A2241D">
              <w:rPr>
                <w:rFonts w:cs="Calibri"/>
                <w:b w:val="0"/>
                <w:bCs w:val="0"/>
              </w:rPr>
              <w:t>).</w:t>
            </w:r>
          </w:p>
        </w:tc>
      </w:tr>
      <w:tr w:rsidR="00B02277" w:rsidRPr="00CF7E1B" w14:paraId="37452D90"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2E220BED"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6B304EA0" w14:textId="65576246" w:rsidR="00B02277" w:rsidRPr="00A2241D" w:rsidRDefault="00B02277" w:rsidP="00E178FE">
            <w:pPr>
              <w:pStyle w:val="TableTitle"/>
              <w:tabs>
                <w:tab w:val="left" w:pos="3306"/>
              </w:tabs>
              <w:spacing w:after="120"/>
              <w:jc w:val="both"/>
              <w:rPr>
                <w:rFonts w:cs="Calibri"/>
                <w:b w:val="0"/>
                <w:bCs w:val="0"/>
              </w:rPr>
            </w:pPr>
            <w:r w:rsidRPr="00A2241D">
              <w:rPr>
                <w:rFonts w:cs="Calibri"/>
                <w:b w:val="0"/>
                <w:bCs w:val="0"/>
              </w:rPr>
              <w:t xml:space="preserve">Payment for Expenses on behalf of the Territory </w:t>
            </w:r>
            <w:r w:rsidR="00786A39" w:rsidRPr="00A2241D">
              <w:rPr>
                <w:rFonts w:cs="Calibri"/>
                <w:b w:val="0"/>
                <w:bCs w:val="0"/>
              </w:rPr>
              <w:t>is</w:t>
            </w:r>
            <w:r w:rsidRPr="00A2241D">
              <w:rPr>
                <w:rFonts w:cs="Calibri"/>
                <w:b w:val="0"/>
                <w:bCs w:val="0"/>
              </w:rPr>
              <w:t xml:space="preserve"> recognised </w:t>
            </w:r>
            <w:r w:rsidR="00786A39" w:rsidRPr="00A2241D">
              <w:rPr>
                <w:rFonts w:cs="Calibri"/>
                <w:b w:val="0"/>
                <w:bCs w:val="0"/>
              </w:rPr>
              <w:t>when the Agency gains control over the funding which is normally obtained upon the receipt of cash, given they do not contain enforceable and sufficiently specific performance obligations as defined by AASB 15</w:t>
            </w:r>
            <w:r w:rsidR="0004485F" w:rsidRPr="00A2241D">
              <w:rPr>
                <w:rFonts w:cs="Calibri"/>
                <w:b w:val="0"/>
                <w:bCs w:val="0"/>
              </w:rPr>
              <w:t>.</w:t>
            </w:r>
          </w:p>
        </w:tc>
      </w:tr>
      <w:tr w:rsidR="00B02277" w:rsidRPr="00CF7E1B" w14:paraId="2E0C50AA"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D89737C" w14:textId="77777777" w:rsidR="00B02277" w:rsidRPr="00A2241D" w:rsidRDefault="00B02277" w:rsidP="00B02277">
            <w:pPr>
              <w:pStyle w:val="Reference"/>
              <w:tabs>
                <w:tab w:val="left" w:pos="3306"/>
              </w:tabs>
              <w:spacing w:before="240"/>
              <w:rPr>
                <w:rFonts w:cs="Calibri"/>
                <w:color w:val="7030A0"/>
              </w:rPr>
            </w:pPr>
          </w:p>
        </w:tc>
        <w:tc>
          <w:tcPr>
            <w:tcW w:w="3206" w:type="dxa"/>
            <w:tcBorders>
              <w:left w:val="single" w:sz="2" w:space="0" w:color="auto"/>
            </w:tcBorders>
            <w:tcMar>
              <w:left w:w="108" w:type="dxa"/>
              <w:right w:w="108" w:type="dxa"/>
            </w:tcMar>
            <w:vAlign w:val="bottom"/>
          </w:tcPr>
          <w:p w14:paraId="5265A413" w14:textId="77777777" w:rsidR="00B02277" w:rsidRPr="00A2241D" w:rsidRDefault="00B02277" w:rsidP="00B02277">
            <w:pPr>
              <w:pStyle w:val="TableTitle"/>
              <w:tabs>
                <w:tab w:val="left" w:pos="3306"/>
              </w:tabs>
              <w:jc w:val="left"/>
              <w:rPr>
                <w:rFonts w:cs="Calibri"/>
                <w:sz w:val="16"/>
                <w:szCs w:val="16"/>
              </w:rPr>
            </w:pPr>
          </w:p>
        </w:tc>
        <w:tc>
          <w:tcPr>
            <w:tcW w:w="1330" w:type="dxa"/>
          </w:tcPr>
          <w:p w14:paraId="03BB320C" w14:textId="77777777" w:rsidR="00B02277" w:rsidRPr="00A2241D" w:rsidRDefault="00B02277" w:rsidP="00B02277">
            <w:pPr>
              <w:pStyle w:val="TableTitle"/>
              <w:tabs>
                <w:tab w:val="left" w:pos="3306"/>
              </w:tabs>
              <w:rPr>
                <w:rFonts w:cs="Calibri"/>
              </w:rPr>
            </w:pPr>
            <w:r w:rsidRPr="00A2241D">
              <w:rPr>
                <w:rFonts w:cs="Calibri"/>
              </w:rPr>
              <w:t>Original</w:t>
            </w:r>
          </w:p>
          <w:p w14:paraId="3F7B9DEC" w14:textId="77777777" w:rsidR="00B02277" w:rsidRPr="00A2241D" w:rsidRDefault="00B02277" w:rsidP="00B02277">
            <w:pPr>
              <w:pStyle w:val="TableTitle"/>
              <w:tabs>
                <w:tab w:val="left" w:pos="3306"/>
              </w:tabs>
              <w:rPr>
                <w:rFonts w:cs="Calibri"/>
              </w:rPr>
            </w:pPr>
            <w:r w:rsidRPr="00A2241D">
              <w:rPr>
                <w:rFonts w:cs="Calibri"/>
              </w:rPr>
              <w:t>Budget</w:t>
            </w:r>
          </w:p>
          <w:p w14:paraId="04663CFB" w14:textId="08E0672F" w:rsidR="00B02277" w:rsidRPr="00A2241D" w:rsidRDefault="00B02277" w:rsidP="00B02277">
            <w:pPr>
              <w:pStyle w:val="TableTitle"/>
              <w:tabs>
                <w:tab w:val="left" w:pos="3306"/>
              </w:tabs>
              <w:rPr>
                <w:rFonts w:cs="Calibri"/>
              </w:rPr>
            </w:pPr>
            <w:r w:rsidRPr="00A2241D">
              <w:rPr>
                <w:rFonts w:cs="Calibri"/>
              </w:rPr>
              <w:t>202</w:t>
            </w:r>
            <w:r w:rsidR="0011259C">
              <w:rPr>
                <w:rFonts w:cs="Calibri"/>
              </w:rPr>
              <w:t>3</w:t>
            </w:r>
          </w:p>
          <w:p w14:paraId="20544CBD" w14:textId="613E1F48" w:rsidR="00B02277" w:rsidRPr="00A2241D" w:rsidRDefault="00B02277" w:rsidP="00B02277">
            <w:pPr>
              <w:pStyle w:val="TableTitle"/>
              <w:tabs>
                <w:tab w:val="left" w:pos="3306"/>
              </w:tabs>
              <w:rPr>
                <w:rFonts w:cs="Calibri"/>
              </w:rPr>
            </w:pPr>
            <w:r w:rsidRPr="00A2241D">
              <w:rPr>
                <w:rFonts w:cs="Calibri"/>
              </w:rPr>
              <w:t>$’000</w:t>
            </w:r>
          </w:p>
        </w:tc>
        <w:tc>
          <w:tcPr>
            <w:tcW w:w="1475" w:type="dxa"/>
            <w:gridSpan w:val="2"/>
          </w:tcPr>
          <w:p w14:paraId="43A85110" w14:textId="77777777" w:rsidR="00B02277" w:rsidRPr="00A2241D" w:rsidRDefault="00B02277" w:rsidP="00B02277">
            <w:pPr>
              <w:pStyle w:val="TableTitle"/>
              <w:tabs>
                <w:tab w:val="left" w:pos="3306"/>
              </w:tabs>
              <w:rPr>
                <w:rFonts w:cs="Calibri"/>
              </w:rPr>
            </w:pPr>
            <w:r w:rsidRPr="00A2241D">
              <w:rPr>
                <w:rFonts w:cs="Calibri"/>
              </w:rPr>
              <w:t>Total</w:t>
            </w:r>
          </w:p>
          <w:p w14:paraId="2B3AB56B" w14:textId="77777777" w:rsidR="00B02277" w:rsidRPr="00A2241D" w:rsidRDefault="00B02277" w:rsidP="00B02277">
            <w:pPr>
              <w:pStyle w:val="TableTitle"/>
              <w:tabs>
                <w:tab w:val="left" w:pos="3306"/>
              </w:tabs>
              <w:rPr>
                <w:rFonts w:cs="Calibri"/>
              </w:rPr>
            </w:pPr>
            <w:r w:rsidRPr="00A2241D">
              <w:rPr>
                <w:rFonts w:cs="Calibri"/>
              </w:rPr>
              <w:t>Appropriated</w:t>
            </w:r>
          </w:p>
          <w:p w14:paraId="064EA536" w14:textId="5E1F67FC" w:rsidR="00B02277" w:rsidRPr="00A2241D" w:rsidRDefault="00B02277" w:rsidP="00B02277">
            <w:pPr>
              <w:pStyle w:val="TableTitle"/>
              <w:tabs>
                <w:tab w:val="left" w:pos="3306"/>
              </w:tabs>
              <w:rPr>
                <w:rFonts w:cs="Calibri"/>
              </w:rPr>
            </w:pPr>
            <w:r w:rsidRPr="00A2241D">
              <w:rPr>
                <w:rFonts w:cs="Calibri"/>
              </w:rPr>
              <w:t>202</w:t>
            </w:r>
            <w:r w:rsidR="0011259C">
              <w:rPr>
                <w:rFonts w:cs="Calibri"/>
              </w:rPr>
              <w:t>3</w:t>
            </w:r>
          </w:p>
          <w:p w14:paraId="5D10AE59" w14:textId="1224CC35" w:rsidR="00B02277" w:rsidRPr="00A2241D" w:rsidRDefault="00B02277" w:rsidP="00B02277">
            <w:pPr>
              <w:pStyle w:val="TableTitle"/>
              <w:tabs>
                <w:tab w:val="left" w:pos="3306"/>
              </w:tabs>
              <w:rPr>
                <w:rFonts w:cs="Calibri"/>
              </w:rPr>
            </w:pPr>
            <w:r w:rsidRPr="00A2241D">
              <w:rPr>
                <w:rFonts w:cs="Calibri"/>
              </w:rPr>
              <w:t>$’000</w:t>
            </w:r>
          </w:p>
        </w:tc>
        <w:tc>
          <w:tcPr>
            <w:tcW w:w="1404" w:type="dxa"/>
            <w:gridSpan w:val="3"/>
          </w:tcPr>
          <w:p w14:paraId="3BDAF716" w14:textId="77777777" w:rsidR="00B02277" w:rsidRPr="00A2241D" w:rsidRDefault="00B02277" w:rsidP="00B02277">
            <w:pPr>
              <w:pStyle w:val="TableTitle"/>
              <w:tabs>
                <w:tab w:val="left" w:pos="3306"/>
              </w:tabs>
              <w:rPr>
                <w:rFonts w:cs="Calibri"/>
              </w:rPr>
            </w:pPr>
            <w:r w:rsidRPr="00A2241D">
              <w:rPr>
                <w:rFonts w:cs="Calibri"/>
              </w:rPr>
              <w:t>Appropriation</w:t>
            </w:r>
          </w:p>
          <w:p w14:paraId="5A45D9F0" w14:textId="77777777" w:rsidR="00B02277" w:rsidRPr="00A2241D" w:rsidRDefault="00B02277" w:rsidP="00B02277">
            <w:pPr>
              <w:pStyle w:val="TableTitle"/>
              <w:tabs>
                <w:tab w:val="left" w:pos="3306"/>
              </w:tabs>
              <w:rPr>
                <w:rFonts w:cs="Calibri"/>
              </w:rPr>
            </w:pPr>
            <w:r w:rsidRPr="00A2241D">
              <w:rPr>
                <w:rFonts w:cs="Calibri"/>
              </w:rPr>
              <w:t>Drawn</w:t>
            </w:r>
          </w:p>
          <w:p w14:paraId="44C6A8F3" w14:textId="72F4BC4B" w:rsidR="00B02277" w:rsidRPr="00A2241D" w:rsidRDefault="00B02277" w:rsidP="00B02277">
            <w:pPr>
              <w:pStyle w:val="TableTitle"/>
              <w:tabs>
                <w:tab w:val="left" w:pos="3306"/>
              </w:tabs>
              <w:rPr>
                <w:rFonts w:cs="Calibri"/>
              </w:rPr>
            </w:pPr>
            <w:r w:rsidRPr="00A2241D">
              <w:rPr>
                <w:rFonts w:cs="Calibri"/>
              </w:rPr>
              <w:t>202</w:t>
            </w:r>
            <w:r w:rsidR="0011259C">
              <w:rPr>
                <w:rFonts w:cs="Calibri"/>
              </w:rPr>
              <w:t>3</w:t>
            </w:r>
          </w:p>
          <w:p w14:paraId="63FD754E" w14:textId="144C472D" w:rsidR="00B02277" w:rsidRPr="00A2241D" w:rsidRDefault="00B02277" w:rsidP="00B02277">
            <w:pPr>
              <w:pStyle w:val="TableTitle"/>
              <w:tabs>
                <w:tab w:val="left" w:pos="3306"/>
              </w:tabs>
              <w:rPr>
                <w:rFonts w:cs="Calibri"/>
              </w:rPr>
            </w:pPr>
            <w:r w:rsidRPr="00A2241D">
              <w:rPr>
                <w:rFonts w:cs="Calibri"/>
              </w:rPr>
              <w:t>$’000</w:t>
            </w:r>
          </w:p>
        </w:tc>
        <w:tc>
          <w:tcPr>
            <w:tcW w:w="1402" w:type="dxa"/>
          </w:tcPr>
          <w:p w14:paraId="690D6EF0" w14:textId="77777777" w:rsidR="00B02277" w:rsidRPr="00A2241D" w:rsidRDefault="00B02277" w:rsidP="00B02277">
            <w:pPr>
              <w:pStyle w:val="TableTitle"/>
              <w:tabs>
                <w:tab w:val="left" w:pos="3306"/>
              </w:tabs>
              <w:rPr>
                <w:rFonts w:cs="Calibri"/>
              </w:rPr>
            </w:pPr>
            <w:r w:rsidRPr="00A2241D">
              <w:rPr>
                <w:rFonts w:cs="Calibri"/>
              </w:rPr>
              <w:t>Appropriation</w:t>
            </w:r>
          </w:p>
          <w:p w14:paraId="4365D783" w14:textId="77777777" w:rsidR="00B02277" w:rsidRPr="00A2241D" w:rsidRDefault="00B02277" w:rsidP="00B02277">
            <w:pPr>
              <w:pStyle w:val="TableTitle"/>
              <w:tabs>
                <w:tab w:val="left" w:pos="3306"/>
              </w:tabs>
              <w:rPr>
                <w:rFonts w:cs="Calibri"/>
              </w:rPr>
            </w:pPr>
            <w:r w:rsidRPr="00A2241D">
              <w:rPr>
                <w:rFonts w:cs="Calibri"/>
              </w:rPr>
              <w:t>Drawn</w:t>
            </w:r>
          </w:p>
          <w:p w14:paraId="35098CC4" w14:textId="3D27FDFA" w:rsidR="00B02277" w:rsidRPr="00A2241D" w:rsidRDefault="00B02277" w:rsidP="00B02277">
            <w:pPr>
              <w:pStyle w:val="TableTitle"/>
              <w:tabs>
                <w:tab w:val="left" w:pos="3306"/>
              </w:tabs>
              <w:rPr>
                <w:rFonts w:cs="Calibri"/>
              </w:rPr>
            </w:pPr>
            <w:r w:rsidRPr="00A2241D">
              <w:rPr>
                <w:rFonts w:cs="Calibri"/>
              </w:rPr>
              <w:t>202</w:t>
            </w:r>
            <w:r w:rsidR="0011259C">
              <w:rPr>
                <w:rFonts w:cs="Calibri"/>
              </w:rPr>
              <w:t>2</w:t>
            </w:r>
            <w:r w:rsidRPr="00A2241D">
              <w:rPr>
                <w:rFonts w:cs="Calibri"/>
              </w:rPr>
              <w:t xml:space="preserve"> </w:t>
            </w:r>
          </w:p>
          <w:p w14:paraId="013D7709" w14:textId="4A69FC51" w:rsidR="00B02277" w:rsidRPr="00A2241D" w:rsidRDefault="00B02277" w:rsidP="00B02277">
            <w:pPr>
              <w:pStyle w:val="TableTitle"/>
              <w:tabs>
                <w:tab w:val="left" w:pos="3306"/>
              </w:tabs>
              <w:rPr>
                <w:rFonts w:cs="Calibri"/>
              </w:rPr>
            </w:pPr>
            <w:r w:rsidRPr="00A2241D">
              <w:rPr>
                <w:rFonts w:cs="Calibri"/>
              </w:rPr>
              <w:t>$’000</w:t>
            </w:r>
          </w:p>
        </w:tc>
      </w:tr>
      <w:tr w:rsidR="00B02277" w:rsidRPr="00CF7E1B" w14:paraId="508E6CE4"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6653B601" w14:textId="77777777" w:rsidR="00B02277" w:rsidRPr="00A2241D" w:rsidRDefault="00B02277" w:rsidP="00B02277">
            <w:pPr>
              <w:pStyle w:val="Reference"/>
              <w:tabs>
                <w:tab w:val="left" w:pos="3306"/>
              </w:tabs>
              <w:spacing w:before="240"/>
              <w:rPr>
                <w:rFonts w:cs="Calibri"/>
                <w:color w:val="7030A0"/>
              </w:rPr>
            </w:pPr>
          </w:p>
        </w:tc>
        <w:tc>
          <w:tcPr>
            <w:tcW w:w="8817" w:type="dxa"/>
            <w:gridSpan w:val="8"/>
            <w:tcBorders>
              <w:left w:val="single" w:sz="2" w:space="0" w:color="auto"/>
            </w:tcBorders>
            <w:tcMar>
              <w:left w:w="108" w:type="dxa"/>
              <w:right w:w="108" w:type="dxa"/>
            </w:tcMar>
            <w:vAlign w:val="bottom"/>
          </w:tcPr>
          <w:p w14:paraId="347A3D4C" w14:textId="77777777" w:rsidR="00B02277" w:rsidRPr="00A2241D" w:rsidRDefault="00B02277" w:rsidP="00B02277">
            <w:pPr>
              <w:pStyle w:val="TableTitle"/>
              <w:tabs>
                <w:tab w:val="left" w:pos="3306"/>
              </w:tabs>
              <w:rPr>
                <w:rFonts w:cs="Calibri"/>
                <w:sz w:val="16"/>
                <w:szCs w:val="16"/>
              </w:rPr>
            </w:pPr>
          </w:p>
        </w:tc>
      </w:tr>
      <w:tr w:rsidR="00B02277" w:rsidRPr="00CF7E1B" w14:paraId="7926A6C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0994C68C" w14:textId="77777777" w:rsidR="00B02277" w:rsidRPr="00A2241D" w:rsidRDefault="00B02277" w:rsidP="00B02277">
            <w:pPr>
              <w:pStyle w:val="TableReference"/>
              <w:tabs>
                <w:tab w:val="left" w:pos="3306"/>
              </w:tabs>
              <w:spacing w:before="40"/>
              <w:rPr>
                <w:rFonts w:cs="Calibri"/>
                <w:color w:val="7030A0"/>
                <w:sz w:val="16"/>
                <w:szCs w:val="16"/>
              </w:rPr>
            </w:pPr>
          </w:p>
        </w:tc>
        <w:tc>
          <w:tcPr>
            <w:tcW w:w="3206" w:type="dxa"/>
            <w:tcBorders>
              <w:left w:val="single" w:sz="2" w:space="0" w:color="auto"/>
            </w:tcBorders>
            <w:tcMar>
              <w:left w:w="108" w:type="dxa"/>
              <w:right w:w="108" w:type="dxa"/>
            </w:tcMar>
            <w:vAlign w:val="bottom"/>
          </w:tcPr>
          <w:p w14:paraId="2B91A69A" w14:textId="77777777" w:rsidR="00B02277" w:rsidRPr="00A2241D" w:rsidRDefault="00B02277" w:rsidP="00B02277">
            <w:pPr>
              <w:pStyle w:val="TableText"/>
              <w:tabs>
                <w:tab w:val="left" w:pos="3306"/>
              </w:tabs>
              <w:rPr>
                <w:rFonts w:cs="Calibri"/>
                <w:b/>
                <w:bCs/>
              </w:rPr>
            </w:pPr>
            <w:bookmarkStart w:id="1025" w:name="_Toc48468814"/>
            <w:bookmarkStart w:id="1026" w:name="_Toc49155882"/>
            <w:bookmarkStart w:id="1027" w:name="_Toc49224292"/>
            <w:r w:rsidRPr="00A2241D">
              <w:rPr>
                <w:rFonts w:cs="Calibri"/>
                <w:b/>
                <w:bCs/>
              </w:rPr>
              <w:t>Territorial</w:t>
            </w:r>
            <w:bookmarkEnd w:id="1025"/>
            <w:bookmarkEnd w:id="1026"/>
            <w:bookmarkEnd w:id="1027"/>
          </w:p>
        </w:tc>
        <w:tc>
          <w:tcPr>
            <w:tcW w:w="1390" w:type="dxa"/>
            <w:gridSpan w:val="2"/>
            <w:tcMar>
              <w:left w:w="108" w:type="dxa"/>
              <w:right w:w="108" w:type="dxa"/>
            </w:tcMar>
            <w:vAlign w:val="bottom"/>
          </w:tcPr>
          <w:p w14:paraId="0DB12F33" w14:textId="77777777" w:rsidR="00B02277" w:rsidRPr="00A2241D" w:rsidRDefault="00B02277" w:rsidP="00B02277">
            <w:pPr>
              <w:pStyle w:val="TableText"/>
              <w:tabs>
                <w:tab w:val="left" w:pos="3306"/>
              </w:tabs>
              <w:jc w:val="right"/>
              <w:rPr>
                <w:rFonts w:cs="Calibri"/>
              </w:rPr>
            </w:pPr>
          </w:p>
        </w:tc>
        <w:tc>
          <w:tcPr>
            <w:tcW w:w="1507" w:type="dxa"/>
            <w:gridSpan w:val="2"/>
            <w:tcMar>
              <w:left w:w="108" w:type="dxa"/>
              <w:right w:w="108" w:type="dxa"/>
            </w:tcMar>
            <w:vAlign w:val="bottom"/>
          </w:tcPr>
          <w:p w14:paraId="616C756B" w14:textId="77777777" w:rsidR="00B02277" w:rsidRPr="00A2241D" w:rsidRDefault="00B02277" w:rsidP="00B02277">
            <w:pPr>
              <w:pStyle w:val="TableText"/>
              <w:tabs>
                <w:tab w:val="left" w:pos="3306"/>
              </w:tabs>
              <w:jc w:val="right"/>
              <w:rPr>
                <w:rFonts w:cs="Calibri"/>
              </w:rPr>
            </w:pPr>
          </w:p>
        </w:tc>
        <w:tc>
          <w:tcPr>
            <w:tcW w:w="1270" w:type="dxa"/>
            <w:tcMar>
              <w:left w:w="108" w:type="dxa"/>
              <w:right w:w="108" w:type="dxa"/>
            </w:tcMar>
            <w:vAlign w:val="bottom"/>
          </w:tcPr>
          <w:p w14:paraId="18E16510" w14:textId="77777777" w:rsidR="00B02277" w:rsidRPr="00A2241D" w:rsidRDefault="00B02277" w:rsidP="00B02277">
            <w:pPr>
              <w:pStyle w:val="TableText"/>
              <w:tabs>
                <w:tab w:val="left" w:pos="3306"/>
              </w:tabs>
              <w:jc w:val="right"/>
              <w:rPr>
                <w:rFonts w:cs="Calibri"/>
              </w:rPr>
            </w:pPr>
          </w:p>
        </w:tc>
        <w:tc>
          <w:tcPr>
            <w:tcW w:w="1444" w:type="dxa"/>
            <w:gridSpan w:val="2"/>
            <w:tcMar>
              <w:left w:w="108" w:type="dxa"/>
              <w:right w:w="108" w:type="dxa"/>
            </w:tcMar>
            <w:vAlign w:val="bottom"/>
          </w:tcPr>
          <w:p w14:paraId="19EECC77" w14:textId="77777777" w:rsidR="00B02277" w:rsidRPr="00A2241D" w:rsidRDefault="00B02277" w:rsidP="00B02277">
            <w:pPr>
              <w:pStyle w:val="TableText"/>
              <w:tabs>
                <w:tab w:val="left" w:pos="3306"/>
              </w:tabs>
              <w:jc w:val="right"/>
              <w:rPr>
                <w:rFonts w:cs="Calibri"/>
              </w:rPr>
            </w:pPr>
          </w:p>
        </w:tc>
      </w:tr>
      <w:tr w:rsidR="00B02277" w:rsidRPr="00CF7E1B" w14:paraId="49D2053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ADA01CE" w14:textId="77777777"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78841513" w14:textId="77777777" w:rsidR="00B02277" w:rsidRPr="00A2241D" w:rsidRDefault="00B02277" w:rsidP="00B02277">
            <w:pPr>
              <w:pStyle w:val="TableText"/>
              <w:tabs>
                <w:tab w:val="left" w:pos="3306"/>
              </w:tabs>
              <w:rPr>
                <w:rFonts w:cs="Calibri"/>
              </w:rPr>
            </w:pPr>
            <w:r w:rsidRPr="00A2241D">
              <w:rPr>
                <w:rFonts w:cs="Calibri"/>
              </w:rPr>
              <w:t>Expenses on Behalf of the Territory</w:t>
            </w:r>
          </w:p>
        </w:tc>
        <w:tc>
          <w:tcPr>
            <w:tcW w:w="1390" w:type="dxa"/>
            <w:gridSpan w:val="2"/>
            <w:tcBorders>
              <w:bottom w:val="single" w:sz="2" w:space="0" w:color="auto"/>
            </w:tcBorders>
            <w:tcMar>
              <w:left w:w="108" w:type="dxa"/>
              <w:right w:w="108" w:type="dxa"/>
            </w:tcMar>
            <w:vAlign w:val="bottom"/>
          </w:tcPr>
          <w:p w14:paraId="7E29608D" w14:textId="15E75940" w:rsidR="00B02277" w:rsidRPr="00A2241D" w:rsidRDefault="00B02277" w:rsidP="00B02277">
            <w:pPr>
              <w:pStyle w:val="TableText"/>
              <w:tabs>
                <w:tab w:val="left" w:pos="3306"/>
              </w:tabs>
              <w:jc w:val="right"/>
              <w:rPr>
                <w:rFonts w:cs="Calibri"/>
              </w:rPr>
            </w:pPr>
          </w:p>
        </w:tc>
        <w:tc>
          <w:tcPr>
            <w:tcW w:w="1507" w:type="dxa"/>
            <w:gridSpan w:val="2"/>
            <w:tcBorders>
              <w:bottom w:val="single" w:sz="2" w:space="0" w:color="auto"/>
            </w:tcBorders>
            <w:tcMar>
              <w:left w:w="108" w:type="dxa"/>
              <w:right w:w="108" w:type="dxa"/>
            </w:tcMar>
            <w:vAlign w:val="bottom"/>
          </w:tcPr>
          <w:p w14:paraId="1469FBBC" w14:textId="2A623DBE" w:rsidR="00B02277" w:rsidRPr="00A2241D" w:rsidRDefault="00B02277" w:rsidP="00B02277">
            <w:pPr>
              <w:pStyle w:val="TableText"/>
              <w:tabs>
                <w:tab w:val="left" w:pos="3306"/>
              </w:tabs>
              <w:jc w:val="right"/>
              <w:rPr>
                <w:rFonts w:cs="Calibri"/>
              </w:rPr>
            </w:pPr>
          </w:p>
        </w:tc>
        <w:tc>
          <w:tcPr>
            <w:tcW w:w="1270" w:type="dxa"/>
            <w:tcBorders>
              <w:bottom w:val="single" w:sz="2" w:space="0" w:color="auto"/>
            </w:tcBorders>
            <w:tcMar>
              <w:left w:w="108" w:type="dxa"/>
              <w:right w:w="108" w:type="dxa"/>
            </w:tcMar>
            <w:vAlign w:val="bottom"/>
          </w:tcPr>
          <w:p w14:paraId="40EB0E2C" w14:textId="1A28CD8C" w:rsidR="00B02277" w:rsidRPr="00A2241D" w:rsidRDefault="00B02277" w:rsidP="00B02277">
            <w:pPr>
              <w:pStyle w:val="TableText"/>
              <w:tabs>
                <w:tab w:val="left" w:pos="3306"/>
              </w:tabs>
              <w:ind w:right="176"/>
              <w:jc w:val="right"/>
              <w:rPr>
                <w:rFonts w:cs="Calibri"/>
              </w:rPr>
            </w:pPr>
          </w:p>
        </w:tc>
        <w:tc>
          <w:tcPr>
            <w:tcW w:w="1444" w:type="dxa"/>
            <w:gridSpan w:val="2"/>
            <w:tcBorders>
              <w:bottom w:val="single" w:sz="2" w:space="0" w:color="auto"/>
            </w:tcBorders>
            <w:tcMar>
              <w:left w:w="108" w:type="dxa"/>
              <w:right w:w="108" w:type="dxa"/>
            </w:tcMar>
            <w:vAlign w:val="bottom"/>
          </w:tcPr>
          <w:p w14:paraId="148B94A4" w14:textId="5F2E9C23" w:rsidR="00B02277" w:rsidRPr="00A2241D" w:rsidRDefault="00B02277" w:rsidP="00B02277">
            <w:pPr>
              <w:pStyle w:val="TableText"/>
              <w:tabs>
                <w:tab w:val="left" w:pos="3306"/>
              </w:tabs>
              <w:jc w:val="right"/>
              <w:rPr>
                <w:rFonts w:cs="Calibri"/>
              </w:rPr>
            </w:pPr>
          </w:p>
        </w:tc>
      </w:tr>
      <w:tr w:rsidR="00B02277" w:rsidRPr="00CF7E1B" w14:paraId="6802999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320A63F2" w14:textId="60BAB5CE"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53A90731" w14:textId="77777777" w:rsidR="00B02277" w:rsidRPr="00A2241D" w:rsidRDefault="00B02277" w:rsidP="00B02277">
            <w:pPr>
              <w:pStyle w:val="TableText"/>
              <w:tabs>
                <w:tab w:val="left" w:pos="3306"/>
              </w:tabs>
              <w:rPr>
                <w:rFonts w:cs="Calibri"/>
                <w:b/>
                <w:bCs/>
              </w:rPr>
            </w:pPr>
            <w:r w:rsidRPr="00A2241D">
              <w:rPr>
                <w:rFonts w:cs="Calibri"/>
                <w:b/>
                <w:bCs/>
              </w:rPr>
              <w:t>Total Territorial Appropriation</w:t>
            </w:r>
          </w:p>
        </w:tc>
        <w:tc>
          <w:tcPr>
            <w:tcW w:w="1390" w:type="dxa"/>
            <w:gridSpan w:val="2"/>
            <w:tcBorders>
              <w:top w:val="single" w:sz="2" w:space="0" w:color="auto"/>
              <w:bottom w:val="double" w:sz="4" w:space="0" w:color="auto"/>
            </w:tcBorders>
            <w:tcMar>
              <w:left w:w="108" w:type="dxa"/>
              <w:right w:w="108" w:type="dxa"/>
            </w:tcMar>
            <w:vAlign w:val="bottom"/>
          </w:tcPr>
          <w:p w14:paraId="1685B932" w14:textId="60506BD0" w:rsidR="00B02277" w:rsidRPr="00A2241D" w:rsidRDefault="00B02277" w:rsidP="00B02277">
            <w:pPr>
              <w:pStyle w:val="TableText"/>
              <w:tabs>
                <w:tab w:val="left" w:pos="3306"/>
              </w:tabs>
              <w:jc w:val="right"/>
              <w:rPr>
                <w:rFonts w:cs="Calibri"/>
                <w:b/>
                <w:bCs/>
              </w:rPr>
            </w:pPr>
          </w:p>
        </w:tc>
        <w:tc>
          <w:tcPr>
            <w:tcW w:w="1507" w:type="dxa"/>
            <w:gridSpan w:val="2"/>
            <w:tcBorders>
              <w:top w:val="single" w:sz="2" w:space="0" w:color="auto"/>
              <w:bottom w:val="double" w:sz="4" w:space="0" w:color="auto"/>
            </w:tcBorders>
            <w:tcMar>
              <w:left w:w="108" w:type="dxa"/>
              <w:right w:w="108" w:type="dxa"/>
            </w:tcMar>
            <w:vAlign w:val="bottom"/>
          </w:tcPr>
          <w:p w14:paraId="231E7733" w14:textId="725C770F" w:rsidR="00B02277" w:rsidRPr="00A2241D" w:rsidRDefault="00B02277" w:rsidP="00B02277">
            <w:pPr>
              <w:pStyle w:val="TableText"/>
              <w:tabs>
                <w:tab w:val="left" w:pos="3306"/>
              </w:tabs>
              <w:jc w:val="right"/>
              <w:rPr>
                <w:rFonts w:cs="Calibri"/>
                <w:b/>
                <w:bCs/>
              </w:rPr>
            </w:pPr>
          </w:p>
        </w:tc>
        <w:tc>
          <w:tcPr>
            <w:tcW w:w="1270" w:type="dxa"/>
            <w:tcBorders>
              <w:top w:val="single" w:sz="2" w:space="0" w:color="auto"/>
              <w:bottom w:val="double" w:sz="4" w:space="0" w:color="auto"/>
            </w:tcBorders>
            <w:tcMar>
              <w:left w:w="108" w:type="dxa"/>
              <w:right w:w="108" w:type="dxa"/>
            </w:tcMar>
            <w:vAlign w:val="bottom"/>
          </w:tcPr>
          <w:p w14:paraId="62CFB6AB" w14:textId="3A6FE978" w:rsidR="00B02277" w:rsidRPr="00A2241D" w:rsidRDefault="00B02277" w:rsidP="00B02277">
            <w:pPr>
              <w:pStyle w:val="TableText"/>
              <w:tabs>
                <w:tab w:val="left" w:pos="3306"/>
              </w:tabs>
              <w:jc w:val="right"/>
              <w:rPr>
                <w:rFonts w:cs="Calibri"/>
                <w:b/>
                <w:bCs/>
              </w:rPr>
            </w:pPr>
          </w:p>
        </w:tc>
        <w:tc>
          <w:tcPr>
            <w:tcW w:w="1444" w:type="dxa"/>
            <w:gridSpan w:val="2"/>
            <w:tcBorders>
              <w:top w:val="single" w:sz="2" w:space="0" w:color="auto"/>
              <w:bottom w:val="double" w:sz="4" w:space="0" w:color="auto"/>
            </w:tcBorders>
            <w:tcMar>
              <w:left w:w="108" w:type="dxa"/>
              <w:right w:w="108" w:type="dxa"/>
            </w:tcMar>
            <w:vAlign w:val="bottom"/>
          </w:tcPr>
          <w:p w14:paraId="559FA17A" w14:textId="48492DD4" w:rsidR="00B02277" w:rsidRPr="00A2241D" w:rsidRDefault="00B02277" w:rsidP="00B02277">
            <w:pPr>
              <w:pStyle w:val="TableText"/>
              <w:tabs>
                <w:tab w:val="left" w:pos="3306"/>
              </w:tabs>
              <w:jc w:val="right"/>
              <w:rPr>
                <w:rFonts w:cs="Calibri"/>
                <w:b/>
                <w:bCs/>
              </w:rPr>
            </w:pPr>
          </w:p>
        </w:tc>
      </w:tr>
      <w:tr w:rsidR="00B02277" w:rsidRPr="00CF7E1B" w14:paraId="114E306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46CC0323" w14:textId="77777777" w:rsidR="00B02277" w:rsidRPr="00A2241D" w:rsidRDefault="00B02277" w:rsidP="00B02277">
            <w:pPr>
              <w:pStyle w:val="TableReference"/>
              <w:tabs>
                <w:tab w:val="left" w:pos="3306"/>
              </w:tabs>
              <w:spacing w:before="40"/>
              <w:rPr>
                <w:rFonts w:cs="Calibri"/>
                <w:color w:val="7030A0"/>
                <w:sz w:val="14"/>
              </w:rPr>
            </w:pPr>
          </w:p>
        </w:tc>
        <w:tc>
          <w:tcPr>
            <w:tcW w:w="8817" w:type="dxa"/>
            <w:gridSpan w:val="8"/>
            <w:tcBorders>
              <w:left w:val="single" w:sz="2" w:space="0" w:color="auto"/>
            </w:tcBorders>
            <w:tcMar>
              <w:left w:w="108" w:type="dxa"/>
              <w:right w:w="108" w:type="dxa"/>
            </w:tcMar>
            <w:vAlign w:val="bottom"/>
          </w:tcPr>
          <w:p w14:paraId="1BA12D29" w14:textId="7AAD1095" w:rsidR="00B02277" w:rsidRPr="00A2241D" w:rsidRDefault="00FC1C4A" w:rsidP="00FC1C4A">
            <w:pPr>
              <w:pStyle w:val="TableText"/>
              <w:tabs>
                <w:tab w:val="left" w:pos="3306"/>
              </w:tabs>
              <w:spacing w:before="120"/>
              <w:rPr>
                <w:rFonts w:cs="Calibri"/>
                <w:b/>
                <w:bCs/>
              </w:rPr>
            </w:pPr>
            <w:r w:rsidRPr="00A2241D">
              <w:t xml:space="preserve">The above Territorial Statement of Appropriation </w:t>
            </w:r>
            <w:r w:rsidR="00420AE1" w:rsidRPr="00A2241D">
              <w:t xml:space="preserve">is to </w:t>
            </w:r>
            <w:r w:rsidR="00B02277" w:rsidRPr="00A2241D">
              <w:rPr>
                <w:rFonts w:cs="Calibri"/>
              </w:rPr>
              <w:t>be read in conjunction with the accompanying notes.</w:t>
            </w:r>
          </w:p>
        </w:tc>
      </w:tr>
      <w:tr w:rsidR="00B02277" w:rsidRPr="00B235BD" w14:paraId="7571D0A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80"/>
        </w:trPr>
        <w:tc>
          <w:tcPr>
            <w:tcW w:w="1558" w:type="dxa"/>
            <w:tcBorders>
              <w:top w:val="nil"/>
              <w:left w:val="single" w:sz="2" w:space="0" w:color="auto"/>
              <w:bottom w:val="nil"/>
              <w:right w:val="single" w:sz="2" w:space="0" w:color="auto"/>
            </w:tcBorders>
          </w:tcPr>
          <w:p w14:paraId="6CB53861" w14:textId="77777777" w:rsidR="00B02277" w:rsidRPr="00B235BD" w:rsidRDefault="00B02277" w:rsidP="00B235BD">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tcPr>
          <w:p w14:paraId="7F40D67F" w14:textId="77777777" w:rsidR="00B02277" w:rsidRPr="00B235BD" w:rsidRDefault="00B02277" w:rsidP="00B235BD">
            <w:pPr>
              <w:pStyle w:val="TableText"/>
              <w:tabs>
                <w:tab w:val="left" w:pos="3306"/>
              </w:tabs>
              <w:spacing w:before="0"/>
              <w:rPr>
                <w:rFonts w:cs="Calibri"/>
                <w:sz w:val="14"/>
                <w:szCs w:val="14"/>
              </w:rPr>
            </w:pPr>
          </w:p>
        </w:tc>
      </w:tr>
      <w:tr w:rsidR="00B02277" w:rsidRPr="00CF7E1B" w14:paraId="7EE04883"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243CE676"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4F62082B" w14:textId="77777777" w:rsidR="00B02277" w:rsidRPr="00A2241D" w:rsidRDefault="00B02277" w:rsidP="00B02277">
            <w:pPr>
              <w:pStyle w:val="TableText"/>
              <w:tabs>
                <w:tab w:val="left" w:pos="3306"/>
              </w:tabs>
              <w:rPr>
                <w:rFonts w:cs="Calibri"/>
              </w:rPr>
            </w:pPr>
            <w:bookmarkStart w:id="1028" w:name="_Toc48468815"/>
            <w:bookmarkStart w:id="1029" w:name="_Toc49155883"/>
            <w:r w:rsidRPr="00A2241D">
              <w:rPr>
                <w:rFonts w:cs="Calibri"/>
                <w:b/>
                <w:bCs/>
              </w:rPr>
              <w:t>Column Heading Explanations</w:t>
            </w:r>
            <w:bookmarkEnd w:id="1028"/>
            <w:bookmarkEnd w:id="1029"/>
          </w:p>
        </w:tc>
      </w:tr>
      <w:tr w:rsidR="00B02277" w:rsidRPr="00CF7E1B" w14:paraId="09CB55D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7D4AC332"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382F4DE0" w14:textId="154E84BD"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Original Budget</w:t>
            </w:r>
            <w:r w:rsidRPr="00A2241D">
              <w:rPr>
                <w:rFonts w:cs="Calibri"/>
              </w:rPr>
              <w:t xml:space="preserve"> column shows the amounts that appear in the Statement of Cash Flows in the Budget Papers.</w:t>
            </w:r>
            <w:r w:rsidR="000773AB" w:rsidRPr="00A2241D">
              <w:rPr>
                <w:rFonts w:cs="Calibri"/>
              </w:rPr>
              <w:t xml:space="preserve"> </w:t>
            </w:r>
            <w:r w:rsidR="000773AB" w:rsidRPr="00A2241D">
              <w:t xml:space="preserve">This amount also appears in the </w:t>
            </w:r>
            <w:r w:rsidR="000773AB" w:rsidRPr="00A2241D">
              <w:rPr>
                <w:rFonts w:cs="Calibri"/>
              </w:rPr>
              <w:t>Statement of Cash Flows.</w:t>
            </w:r>
          </w:p>
        </w:tc>
      </w:tr>
      <w:tr w:rsidR="00B02277" w:rsidRPr="00CF7E1B" w14:paraId="218A01B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58A87C7B"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52BC6C0D" w14:textId="57ED314E"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Total Appropriated</w:t>
            </w:r>
            <w:r w:rsidRPr="00A2241D">
              <w:rPr>
                <w:rFonts w:cs="Calibri"/>
              </w:rPr>
              <w:t xml:space="preserve"> column is inclusive of all appropriation variations occurring after the Original Budget.</w:t>
            </w:r>
            <w:r w:rsidR="00FA7C77">
              <w:rPr>
                <w:rFonts w:cs="Calibri"/>
              </w:rPr>
              <w:t xml:space="preserve"> </w:t>
            </w:r>
          </w:p>
        </w:tc>
      </w:tr>
      <w:tr w:rsidR="00B02277" w:rsidRPr="00CF7E1B" w14:paraId="771F63F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671B9C1"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13EFF1E4" w14:textId="4E99F73B"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Appropriation Drawn</w:t>
            </w:r>
            <w:r w:rsidRPr="00A2241D">
              <w:rPr>
                <w:rFonts w:cs="Calibri"/>
              </w:rPr>
              <w:t xml:space="preserve"> is the total amount </w:t>
            </w:r>
            <w:r w:rsidR="000773AB" w:rsidRPr="00A2241D">
              <w:rPr>
                <w:rFonts w:cs="Calibri"/>
              </w:rPr>
              <w:t xml:space="preserve">of appropriation </w:t>
            </w:r>
            <w:r w:rsidRPr="00A2241D">
              <w:rPr>
                <w:rFonts w:cs="Calibri"/>
              </w:rPr>
              <w:t>received by the Agency during the year.</w:t>
            </w:r>
            <w:r w:rsidR="00FA7C77">
              <w:rPr>
                <w:rFonts w:cs="Calibri"/>
              </w:rPr>
              <w:t xml:space="preserve"> </w:t>
            </w:r>
            <w:r w:rsidRPr="00A2241D">
              <w:rPr>
                <w:rFonts w:cs="Calibri"/>
              </w:rPr>
              <w:t xml:space="preserve">These amounts appear in the Statement of Cash Flows on Behalf of the Territory. </w:t>
            </w:r>
          </w:p>
        </w:tc>
      </w:tr>
      <w:tr w:rsidR="00A84CC0" w:rsidRPr="00CF7E1B" w14:paraId="13C308F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79"/>
        </w:trPr>
        <w:tc>
          <w:tcPr>
            <w:tcW w:w="1558" w:type="dxa"/>
            <w:tcBorders>
              <w:top w:val="nil"/>
              <w:left w:val="single" w:sz="2" w:space="0" w:color="auto"/>
              <w:bottom w:val="nil"/>
              <w:right w:val="single" w:sz="2" w:space="0" w:color="auto"/>
            </w:tcBorders>
          </w:tcPr>
          <w:p w14:paraId="79CC2601" w14:textId="77777777" w:rsidR="00A84CC0" w:rsidRPr="00A2241D" w:rsidRDefault="00A84CC0"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27DAE655" w14:textId="77777777" w:rsidR="00A84CC0" w:rsidRPr="00A2241D" w:rsidRDefault="00A84CC0" w:rsidP="00B02277">
            <w:pPr>
              <w:pStyle w:val="TableText"/>
              <w:tabs>
                <w:tab w:val="left" w:pos="3306"/>
              </w:tabs>
              <w:spacing w:before="0" w:after="120"/>
              <w:jc w:val="both"/>
              <w:rPr>
                <w:rFonts w:cs="Calibri"/>
              </w:rPr>
            </w:pPr>
          </w:p>
        </w:tc>
      </w:tr>
      <w:tr w:rsidR="00863311" w:rsidRPr="00CF7E1B" w14:paraId="0BB29042"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0A4AADAF" w14:textId="77777777" w:rsidR="00863311" w:rsidRPr="00A2241D" w:rsidRDefault="00863311" w:rsidP="00C24DC3">
            <w:pPr>
              <w:pStyle w:val="TableReference"/>
              <w:tabs>
                <w:tab w:val="left" w:pos="3306"/>
              </w:tabs>
              <w:spacing w:before="240" w:after="240"/>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6DF5D9D4"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Territorial Statement of Appropriation</w:t>
            </w:r>
          </w:p>
        </w:tc>
      </w:tr>
      <w:tr w:rsidR="00B274F9" w:rsidRPr="00CF7E1B" w14:paraId="46196F1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C0A9774" w14:textId="51271ADD" w:rsidR="00B274F9" w:rsidRPr="00A2241D" w:rsidRDefault="00B274F9" w:rsidP="00B274F9">
            <w:pPr>
              <w:pStyle w:val="TableReference"/>
              <w:tabs>
                <w:tab w:val="left" w:pos="3306"/>
              </w:tabs>
              <w:rPr>
                <w:rFonts w:cs="Calibri"/>
                <w:color w:val="7030A0"/>
                <w:sz w:val="14"/>
              </w:rPr>
            </w:pPr>
            <w:r w:rsidRPr="00A2241D">
              <w:rPr>
                <w:rFonts w:cs="Calibri"/>
                <w:color w:val="7030A0"/>
                <w:sz w:val="14"/>
              </w:rPr>
              <w:t>FMA Section 8</w:t>
            </w:r>
          </w:p>
        </w:tc>
        <w:tc>
          <w:tcPr>
            <w:tcW w:w="8817" w:type="dxa"/>
            <w:gridSpan w:val="8"/>
            <w:tcBorders>
              <w:top w:val="nil"/>
              <w:left w:val="single" w:sz="2" w:space="0" w:color="auto"/>
              <w:bottom w:val="nil"/>
              <w:right w:val="nil"/>
            </w:tcBorders>
            <w:shd w:val="clear" w:color="auto" w:fill="7030A0"/>
            <w:vAlign w:val="bottom"/>
          </w:tcPr>
          <w:p w14:paraId="6D613ACB" w14:textId="2942309F" w:rsidR="00B274F9" w:rsidRPr="00A2241D" w:rsidRDefault="00B274F9" w:rsidP="00A2241D">
            <w:pPr>
              <w:spacing w:after="40"/>
              <w:jc w:val="both"/>
              <w:rPr>
                <w:rFonts w:cs="Calibri"/>
                <w:color w:val="FFFFFF" w:themeColor="background1"/>
                <w:sz w:val="18"/>
                <w:szCs w:val="18"/>
              </w:rPr>
            </w:pPr>
            <w:r w:rsidRPr="00A2241D">
              <w:rPr>
                <w:rFonts w:cs="Calibri"/>
                <w:color w:val="FFFFFF" w:themeColor="background1"/>
                <w:sz w:val="18"/>
                <w:szCs w:val="18"/>
              </w:rPr>
              <w:t xml:space="preserve">An Appropriation Act must make separate appropriations in relation to each </w:t>
            </w:r>
            <w:r w:rsidR="000D72C3">
              <w:rPr>
                <w:rFonts w:cs="Calibri"/>
                <w:color w:val="FFFFFF" w:themeColor="background1"/>
                <w:sz w:val="18"/>
                <w:szCs w:val="18"/>
              </w:rPr>
              <w:t>d</w:t>
            </w:r>
            <w:r w:rsidRPr="00A2241D">
              <w:rPr>
                <w:rFonts w:cs="Calibri"/>
                <w:color w:val="FFFFFF" w:themeColor="background1"/>
                <w:sz w:val="18"/>
                <w:szCs w:val="18"/>
              </w:rPr>
              <w:t>irectorate for</w:t>
            </w:r>
            <w:r w:rsidR="00F11728" w:rsidRPr="00A2241D">
              <w:rPr>
                <w:rFonts w:cs="Calibri"/>
                <w:color w:val="FFFFFF" w:themeColor="background1"/>
                <w:sz w:val="18"/>
                <w:szCs w:val="18"/>
              </w:rPr>
              <w:t xml:space="preserve"> </w:t>
            </w:r>
            <w:r w:rsidRPr="00A2241D">
              <w:rPr>
                <w:rFonts w:cs="Calibri"/>
                <w:color w:val="FFFFFF" w:themeColor="background1"/>
                <w:sz w:val="18"/>
                <w:szCs w:val="18"/>
              </w:rPr>
              <w:t xml:space="preserve">any payments to be made by the </w:t>
            </w:r>
            <w:r w:rsidR="000D72C3">
              <w:rPr>
                <w:rFonts w:cs="Calibri"/>
                <w:color w:val="FFFFFF" w:themeColor="background1"/>
                <w:sz w:val="18"/>
                <w:szCs w:val="18"/>
              </w:rPr>
              <w:t>d</w:t>
            </w:r>
            <w:r w:rsidRPr="00A2241D">
              <w:rPr>
                <w:rFonts w:cs="Calibri"/>
                <w:color w:val="FFFFFF" w:themeColor="background1"/>
                <w:sz w:val="18"/>
                <w:szCs w:val="18"/>
              </w:rPr>
              <w:t xml:space="preserve">irectorate on Behalf of the Territory (i.e. </w:t>
            </w:r>
            <w:r w:rsidR="007E638B" w:rsidRPr="00A2241D">
              <w:rPr>
                <w:rFonts w:cs="Calibri"/>
                <w:color w:val="FFFFFF" w:themeColor="background1"/>
                <w:sz w:val="18"/>
                <w:szCs w:val="18"/>
              </w:rPr>
              <w:t xml:space="preserve">for </w:t>
            </w:r>
            <w:r w:rsidRPr="00A2241D">
              <w:rPr>
                <w:rFonts w:cs="Calibri"/>
                <w:color w:val="FFFFFF" w:themeColor="background1"/>
                <w:sz w:val="18"/>
                <w:szCs w:val="18"/>
              </w:rPr>
              <w:t>territorial expenses)</w:t>
            </w:r>
            <w:r w:rsidR="0011259C">
              <w:rPr>
                <w:rFonts w:cs="Calibri"/>
                <w:color w:val="FFFFFF" w:themeColor="background1"/>
                <w:sz w:val="18"/>
                <w:szCs w:val="18"/>
              </w:rPr>
              <w:t>.</w:t>
            </w:r>
          </w:p>
        </w:tc>
      </w:tr>
      <w:tr w:rsidR="00B274F9" w:rsidRPr="00CF7E1B" w14:paraId="5C5416F7"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1D57263" w14:textId="77777777" w:rsidR="00B274F9" w:rsidRPr="00A2241D" w:rsidRDefault="00B274F9" w:rsidP="00B274F9">
            <w:pPr>
              <w:pStyle w:val="TableReference"/>
              <w:tabs>
                <w:tab w:val="left" w:pos="3306"/>
              </w:tabs>
              <w:rPr>
                <w:rFonts w:cs="Calibri"/>
                <w:color w:val="7030A0"/>
                <w:sz w:val="14"/>
              </w:rPr>
            </w:pPr>
          </w:p>
          <w:p w14:paraId="6253F842" w14:textId="77777777" w:rsidR="00B274F9" w:rsidRPr="00A2241D" w:rsidRDefault="00B274F9" w:rsidP="00B274F9">
            <w:pPr>
              <w:pStyle w:val="TableReference1"/>
              <w:rPr>
                <w:rFonts w:cs="Calibri"/>
                <w:color w:val="7030A0"/>
                <w:sz w:val="14"/>
              </w:rPr>
            </w:pPr>
          </w:p>
        </w:tc>
        <w:tc>
          <w:tcPr>
            <w:tcW w:w="8817" w:type="dxa"/>
            <w:gridSpan w:val="8"/>
            <w:tcBorders>
              <w:top w:val="nil"/>
              <w:left w:val="single" w:sz="2" w:space="0" w:color="auto"/>
              <w:bottom w:val="nil"/>
              <w:right w:val="nil"/>
            </w:tcBorders>
            <w:shd w:val="clear" w:color="auto" w:fill="7030A0"/>
          </w:tcPr>
          <w:p w14:paraId="29A93B49" w14:textId="209DB717"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Where an agency has a material difference between ‘Total Appropriated’ and ‘Appropriation Drawn’ it should explain why there is a variance. Further, it is recommended that agencies provide explanatory details of significant approved appropriation variations (i.e. variance between the ‘Original Budget’ and ‘Total Appropriated’). A tabular presentation of the variance explanation similar to that shown in the Statement of Appropriation (Controlled Statements) should be used if it would assist understanding the reasons for the variance.</w:t>
            </w:r>
          </w:p>
        </w:tc>
      </w:tr>
      <w:tr w:rsidR="00B274F9" w:rsidRPr="00CF7E1B" w14:paraId="1E2B4679"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10C8796D" w14:textId="77777777" w:rsidR="00B274F9" w:rsidRPr="00A2241D" w:rsidRDefault="00B274F9" w:rsidP="00B274F9">
            <w:pPr>
              <w:pStyle w:val="TableReference1"/>
              <w:rPr>
                <w:rFonts w:cs="Calibri"/>
                <w:color w:val="7030A0"/>
                <w:sz w:val="14"/>
              </w:rPr>
            </w:pPr>
            <w:r w:rsidRPr="00A2241D">
              <w:rPr>
                <w:rFonts w:cs="Calibri"/>
                <w:color w:val="7030A0"/>
                <w:sz w:val="14"/>
              </w:rPr>
              <w:t>FMA Section 37A</w:t>
            </w:r>
          </w:p>
          <w:p w14:paraId="0813AEE3"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7629017E" w14:textId="583AB259"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If a directorate receives an amount of territorial appropriation (Payment for Expenses on Behalf of the Territory or a Capital Injection)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appropriation from which the excess was paid to the directorate is restored by the amount it repaid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balance of the appropriation, including the amount repaid, may be applied for the purposes for which it was appropriated.</w:t>
            </w:r>
          </w:p>
        </w:tc>
      </w:tr>
      <w:tr w:rsidR="00B274F9" w:rsidRPr="00CF7E1B" w14:paraId="260DA1B1"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7D2204F"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032E660D" w14:textId="43F99055"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Agencies should disclose appropriation amounts returned (if any) in a footnote to the ‘Appropriation Drawn’ in the Territorial Statement of Appropriation.</w:t>
            </w:r>
            <w:r w:rsidR="00FA7C77">
              <w:rPr>
                <w:rFonts w:cs="Calibri"/>
                <w:color w:val="FFFFFF" w:themeColor="background1"/>
                <w:szCs w:val="20"/>
              </w:rPr>
              <w:t xml:space="preserve"> </w:t>
            </w:r>
          </w:p>
        </w:tc>
      </w:tr>
      <w:tr w:rsidR="00D239F9" w:rsidRPr="00CF7E1B" w14:paraId="098F575F"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6CFACC0" w14:textId="77777777" w:rsidR="00D239F9" w:rsidRPr="00D56952" w:rsidRDefault="00D239F9" w:rsidP="00D239F9">
            <w:pPr>
              <w:pStyle w:val="TableReference"/>
              <w:tabs>
                <w:tab w:val="left" w:pos="3306"/>
              </w:tabs>
              <w:rPr>
                <w:rFonts w:cs="Calibri"/>
                <w:b/>
                <w:color w:val="auto"/>
                <w:sz w:val="22"/>
                <w:szCs w:val="22"/>
              </w:rPr>
            </w:pPr>
          </w:p>
        </w:tc>
        <w:tc>
          <w:tcPr>
            <w:tcW w:w="8929" w:type="dxa"/>
            <w:gridSpan w:val="9"/>
            <w:tcBorders>
              <w:top w:val="nil"/>
              <w:left w:val="single" w:sz="2" w:space="0" w:color="auto"/>
              <w:bottom w:val="nil"/>
              <w:right w:val="nil"/>
            </w:tcBorders>
            <w:vAlign w:val="bottom"/>
          </w:tcPr>
          <w:p w14:paraId="48233404" w14:textId="77777777" w:rsidR="00D239F9" w:rsidRPr="00D56952" w:rsidRDefault="00D239F9" w:rsidP="00D239F9">
            <w:pPr>
              <w:pStyle w:val="Heading1"/>
              <w:numPr>
                <w:ilvl w:val="0"/>
                <w:numId w:val="0"/>
              </w:numPr>
              <w:spacing w:before="0" w:after="0"/>
            </w:pPr>
          </w:p>
        </w:tc>
      </w:tr>
      <w:tr w:rsidR="00170787" w:rsidRPr="00CF7E1B" w14:paraId="65B8131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056C856E" w14:textId="1EFAB518" w:rsidR="00170787" w:rsidRPr="00D56952" w:rsidRDefault="00170787" w:rsidP="009A0F2F">
            <w:pPr>
              <w:pStyle w:val="TableReference"/>
              <w:tabs>
                <w:tab w:val="left" w:pos="3306"/>
              </w:tabs>
              <w:spacing w:before="240" w:after="240"/>
              <w:rPr>
                <w:rFonts w:cs="Calibri"/>
                <w:b/>
                <w:color w:val="auto"/>
                <w:sz w:val="22"/>
                <w:szCs w:val="22"/>
              </w:rPr>
            </w:pPr>
          </w:p>
        </w:tc>
        <w:tc>
          <w:tcPr>
            <w:tcW w:w="8929" w:type="dxa"/>
            <w:gridSpan w:val="9"/>
            <w:tcBorders>
              <w:top w:val="nil"/>
              <w:left w:val="single" w:sz="2" w:space="0" w:color="auto"/>
              <w:bottom w:val="nil"/>
              <w:right w:val="nil"/>
            </w:tcBorders>
            <w:vAlign w:val="bottom"/>
          </w:tcPr>
          <w:p w14:paraId="2F4784A2" w14:textId="4DFCD263" w:rsidR="00170787" w:rsidRPr="00D56952" w:rsidRDefault="00170787" w:rsidP="009A0F2F">
            <w:pPr>
              <w:pStyle w:val="Heading1"/>
              <w:numPr>
                <w:ilvl w:val="0"/>
                <w:numId w:val="0"/>
              </w:numPr>
            </w:pPr>
            <w:bookmarkStart w:id="1030" w:name="_Toc132743844"/>
            <w:r w:rsidRPr="00D56952">
              <w:t xml:space="preserve">Note </w:t>
            </w:r>
            <w:r w:rsidR="00E86853" w:rsidRPr="00D56952">
              <w:t>41</w:t>
            </w:r>
            <w:r w:rsidRPr="00D56952">
              <w:t>.</w:t>
            </w:r>
            <w:r w:rsidR="00FA7C77">
              <w:t xml:space="preserve"> </w:t>
            </w:r>
            <w:r w:rsidRPr="00D56952">
              <w:t xml:space="preserve"> </w:t>
            </w:r>
            <w:r w:rsidR="008C1E5E" w:rsidRPr="00D56952">
              <w:t xml:space="preserve">Basis of Preparation of the Financial Statements </w:t>
            </w:r>
            <w:r w:rsidRPr="00D56952">
              <w:t>– Territorial</w:t>
            </w:r>
            <w:bookmarkEnd w:id="1030"/>
          </w:p>
        </w:tc>
      </w:tr>
      <w:tr w:rsidR="00170787" w:rsidRPr="00CF7E1B" w14:paraId="379056C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1C23EB0" w14:textId="77777777" w:rsidR="00170787" w:rsidRPr="00D56952" w:rsidRDefault="00170787" w:rsidP="009A0F2F">
            <w:pPr>
              <w:pStyle w:val="TableReference"/>
              <w:tabs>
                <w:tab w:val="left" w:pos="3306"/>
              </w:tabs>
              <w:spacing w:before="40"/>
              <w:rPr>
                <w:rFonts w:cs="Calibri"/>
                <w:color w:val="auto"/>
                <w:sz w:val="16"/>
                <w:szCs w:val="16"/>
              </w:rPr>
            </w:pPr>
          </w:p>
        </w:tc>
        <w:tc>
          <w:tcPr>
            <w:tcW w:w="8929" w:type="dxa"/>
            <w:gridSpan w:val="9"/>
            <w:tcBorders>
              <w:top w:val="nil"/>
              <w:left w:val="single" w:sz="2" w:space="0" w:color="auto"/>
              <w:bottom w:val="nil"/>
              <w:right w:val="nil"/>
            </w:tcBorders>
            <w:vAlign w:val="bottom"/>
          </w:tcPr>
          <w:p w14:paraId="73EBC924" w14:textId="1DD664D3" w:rsidR="00170787" w:rsidRPr="00D56952" w:rsidRDefault="008C1E5E" w:rsidP="009A0F2F">
            <w:pPr>
              <w:pStyle w:val="CommentaryText"/>
              <w:tabs>
                <w:tab w:val="left" w:pos="3306"/>
              </w:tabs>
              <w:rPr>
                <w:rFonts w:cs="Calibri"/>
                <w:sz w:val="18"/>
                <w:szCs w:val="18"/>
              </w:rPr>
            </w:pPr>
            <w:r w:rsidRPr="00D56952">
              <w:rPr>
                <w:rFonts w:cs="Calibri"/>
                <w:sz w:val="18"/>
                <w:szCs w:val="18"/>
              </w:rPr>
              <w:t xml:space="preserve">The basis of preparation of ‘Burley Griffin’s Agency’ are contained in Note 2 </w:t>
            </w:r>
            <w:r w:rsidRPr="00D56952">
              <w:rPr>
                <w:i/>
                <w:iCs/>
                <w:sz w:val="18"/>
                <w:szCs w:val="18"/>
              </w:rPr>
              <w:t xml:space="preserve">Basis of Preparation of the Financial Statements </w:t>
            </w:r>
            <w:r w:rsidRPr="00D56952">
              <w:rPr>
                <w:sz w:val="18"/>
                <w:szCs w:val="18"/>
              </w:rPr>
              <w:t>and</w:t>
            </w:r>
            <w:r w:rsidRPr="00D56952">
              <w:rPr>
                <w:rFonts w:cs="Calibri"/>
                <w:sz w:val="18"/>
                <w:szCs w:val="18"/>
              </w:rPr>
              <w:t xml:space="preserve"> apply to both the Controlled and Territorial financial statements.</w:t>
            </w:r>
          </w:p>
        </w:tc>
      </w:tr>
    </w:tbl>
    <w:p w14:paraId="4109A400" w14:textId="77777777" w:rsidR="00ED5E1D" w:rsidRDefault="00ED5E1D"/>
    <w:p w14:paraId="29E56CA4" w14:textId="77777777" w:rsidR="00ED5E1D" w:rsidRDefault="00ED5E1D">
      <w:pPr>
        <w:sectPr w:rsidR="00ED5E1D" w:rsidSect="00C377E9">
          <w:headerReference w:type="default" r:id="rId48"/>
          <w:footerReference w:type="default" r:id="rId49"/>
          <w:footnotePr>
            <w:numRestart w:val="eachPage"/>
          </w:footnotePr>
          <w:pgSz w:w="11907" w:h="16840" w:code="9"/>
          <w:pgMar w:top="680" w:right="680" w:bottom="709" w:left="680" w:header="567" w:footer="284" w:gutter="0"/>
          <w:cols w:space="720"/>
        </w:sectPr>
      </w:pP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238"/>
        <w:gridCol w:w="1236"/>
        <w:gridCol w:w="181"/>
        <w:gridCol w:w="1275"/>
      </w:tblGrid>
      <w:tr w:rsidR="00863311" w:rsidRPr="00CF7E1B" w14:paraId="6162666E" w14:textId="77777777" w:rsidTr="00D919F2">
        <w:trPr>
          <w:cantSplit/>
          <w:trHeight w:val="23"/>
        </w:trPr>
        <w:tc>
          <w:tcPr>
            <w:tcW w:w="1558" w:type="dxa"/>
            <w:tcBorders>
              <w:top w:val="nil"/>
              <w:left w:val="single" w:sz="2" w:space="0" w:color="auto"/>
              <w:bottom w:val="nil"/>
              <w:right w:val="single" w:sz="2" w:space="0" w:color="auto"/>
            </w:tcBorders>
          </w:tcPr>
          <w:p w14:paraId="42F7DB30" w14:textId="5EBC151E" w:rsidR="00863311" w:rsidRPr="00B235BD" w:rsidRDefault="00B235BD" w:rsidP="005D3C33">
            <w:pPr>
              <w:pStyle w:val="TableReference"/>
              <w:tabs>
                <w:tab w:val="left" w:pos="3306"/>
              </w:tabs>
              <w:spacing w:before="240" w:after="240"/>
              <w:rPr>
                <w:rFonts w:asciiTheme="minorHAnsi" w:hAnsiTheme="minorHAnsi" w:cstheme="minorHAnsi"/>
                <w:b/>
                <w:bCs/>
                <w:color w:val="7030A0"/>
                <w:sz w:val="22"/>
                <w:szCs w:val="22"/>
              </w:rPr>
            </w:pPr>
            <w:r w:rsidRPr="00B235BD">
              <w:rPr>
                <w:rFonts w:asciiTheme="minorHAnsi" w:hAnsiTheme="minorHAnsi" w:cstheme="minorHAnsi"/>
                <w:b/>
                <w:bCs/>
                <w:color w:val="7030A0"/>
                <w:sz w:val="22"/>
                <w:szCs w:val="22"/>
              </w:rPr>
              <w:t>Reference</w:t>
            </w:r>
          </w:p>
        </w:tc>
        <w:tc>
          <w:tcPr>
            <w:tcW w:w="8929" w:type="dxa"/>
            <w:gridSpan w:val="5"/>
            <w:tcBorders>
              <w:top w:val="nil"/>
              <w:left w:val="single" w:sz="2" w:space="0" w:color="auto"/>
              <w:bottom w:val="nil"/>
              <w:right w:val="nil"/>
            </w:tcBorders>
            <w:vAlign w:val="bottom"/>
          </w:tcPr>
          <w:p w14:paraId="39A09AE0" w14:textId="200FCD66" w:rsidR="00863311" w:rsidRPr="00B235BD" w:rsidRDefault="00307DD6" w:rsidP="008A5268">
            <w:pPr>
              <w:pStyle w:val="Heading1"/>
              <w:numPr>
                <w:ilvl w:val="0"/>
                <w:numId w:val="0"/>
              </w:numPr>
            </w:pPr>
            <w:bookmarkStart w:id="1031" w:name="_Toc49224333"/>
            <w:bookmarkStart w:id="1032" w:name="_Ref50365838"/>
            <w:bookmarkStart w:id="1033" w:name="_Toc50440420"/>
            <w:bookmarkStart w:id="1034" w:name="_Ref50524372"/>
            <w:bookmarkStart w:id="1035" w:name="_Toc223433226"/>
            <w:bookmarkStart w:id="1036" w:name="_Toc400627375"/>
            <w:bookmarkStart w:id="1037" w:name="_Toc132743845"/>
            <w:r w:rsidRPr="00B235BD">
              <w:t xml:space="preserve">Note </w:t>
            </w:r>
            <w:r w:rsidR="00E86853" w:rsidRPr="00B235BD">
              <w:t>42</w:t>
            </w:r>
            <w:r w:rsidR="00863311" w:rsidRPr="00B235BD">
              <w:t>.</w:t>
            </w:r>
            <w:r w:rsidR="00FA7C77">
              <w:t xml:space="preserve"> </w:t>
            </w:r>
            <w:r w:rsidR="00570A07" w:rsidRPr="00B235BD">
              <w:t xml:space="preserve"> </w:t>
            </w:r>
            <w:bookmarkStart w:id="1038" w:name="TStaxfeefine"/>
            <w:r w:rsidR="00863311" w:rsidRPr="00B235BD">
              <w:t xml:space="preserve">Taxes, </w:t>
            </w:r>
            <w:r w:rsidR="00BE195A" w:rsidRPr="00B235BD">
              <w:t>Licen</w:t>
            </w:r>
            <w:r w:rsidR="00710302" w:rsidRPr="00B235BD">
              <w:t>c</w:t>
            </w:r>
            <w:r w:rsidR="00BE195A" w:rsidRPr="00B235BD">
              <w:t>es</w:t>
            </w:r>
            <w:r w:rsidR="004012A2" w:rsidRPr="00B235BD">
              <w:t xml:space="preserve">, </w:t>
            </w:r>
            <w:r w:rsidR="00863311" w:rsidRPr="00B235BD">
              <w:t>Fees and Fines – Territorial</w:t>
            </w:r>
            <w:bookmarkEnd w:id="1031"/>
            <w:bookmarkEnd w:id="1032"/>
            <w:bookmarkEnd w:id="1033"/>
            <w:bookmarkEnd w:id="1034"/>
            <w:bookmarkEnd w:id="1035"/>
            <w:bookmarkEnd w:id="1036"/>
            <w:bookmarkEnd w:id="1038"/>
            <w:bookmarkEnd w:id="1037"/>
          </w:p>
        </w:tc>
      </w:tr>
      <w:tr w:rsidR="00DB02DF" w:rsidRPr="00CF7E1B" w14:paraId="4279AF28" w14:textId="77777777" w:rsidTr="00D919F2">
        <w:trPr>
          <w:cantSplit/>
          <w:trHeight w:val="23"/>
        </w:trPr>
        <w:tc>
          <w:tcPr>
            <w:tcW w:w="1558" w:type="dxa"/>
            <w:tcBorders>
              <w:top w:val="nil"/>
              <w:left w:val="single" w:sz="2" w:space="0" w:color="auto"/>
              <w:bottom w:val="nil"/>
              <w:right w:val="single" w:sz="2" w:space="0" w:color="auto"/>
            </w:tcBorders>
          </w:tcPr>
          <w:p w14:paraId="7EDA5B0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E35D29" w14:textId="07F64445" w:rsidR="00DB02DF" w:rsidRPr="003662F2" w:rsidRDefault="00354061" w:rsidP="003662F2">
            <w:pPr>
              <w:jc w:val="both"/>
              <w:rPr>
                <w:b/>
                <w:bCs/>
                <w:sz w:val="18"/>
                <w:szCs w:val="18"/>
              </w:rPr>
            </w:pPr>
            <w:bookmarkStart w:id="1039" w:name="_Toc98763196"/>
            <w:r w:rsidRPr="003662F2">
              <w:rPr>
                <w:b/>
                <w:bCs/>
                <w:sz w:val="18"/>
                <w:szCs w:val="18"/>
              </w:rPr>
              <w:t xml:space="preserve">Description and </w:t>
            </w:r>
            <w:r w:rsidR="00DB02DF" w:rsidRPr="003662F2">
              <w:rPr>
                <w:b/>
                <w:bCs/>
                <w:sz w:val="18"/>
                <w:szCs w:val="18"/>
              </w:rPr>
              <w:t>Material Accounting Policies Relating to Taxes, Licences, Fees and Fines</w:t>
            </w:r>
            <w:r w:rsidR="00384538" w:rsidRPr="003662F2">
              <w:rPr>
                <w:b/>
                <w:bCs/>
                <w:sz w:val="18"/>
                <w:szCs w:val="18"/>
              </w:rPr>
              <w:t xml:space="preserve"> - Territorial</w:t>
            </w:r>
            <w:bookmarkEnd w:id="1039"/>
          </w:p>
        </w:tc>
      </w:tr>
      <w:tr w:rsidR="00DB02DF" w:rsidRPr="00CF7E1B" w14:paraId="0981115B" w14:textId="77777777" w:rsidTr="00D919F2">
        <w:trPr>
          <w:cantSplit/>
          <w:trHeight w:val="23"/>
        </w:trPr>
        <w:tc>
          <w:tcPr>
            <w:tcW w:w="1558" w:type="dxa"/>
            <w:tcBorders>
              <w:top w:val="nil"/>
              <w:left w:val="single" w:sz="2" w:space="0" w:color="auto"/>
              <w:bottom w:val="nil"/>
              <w:right w:val="single" w:sz="2" w:space="0" w:color="auto"/>
            </w:tcBorders>
          </w:tcPr>
          <w:p w14:paraId="4338F0C0"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78DB46" w14:textId="6892397C" w:rsidR="00DB02DF" w:rsidRPr="00B235BD" w:rsidRDefault="00DB02DF" w:rsidP="00E178FE">
            <w:pPr>
              <w:pStyle w:val="TableTitle"/>
              <w:tabs>
                <w:tab w:val="left" w:pos="3306"/>
              </w:tabs>
              <w:spacing w:after="120"/>
              <w:jc w:val="both"/>
              <w:rPr>
                <w:b w:val="0"/>
                <w:bCs w:val="0"/>
              </w:rPr>
            </w:pPr>
            <w:r w:rsidRPr="00B235BD">
              <w:rPr>
                <w:b w:val="0"/>
                <w:bCs w:val="0"/>
              </w:rPr>
              <w:t>‘</w:t>
            </w:r>
            <w:r w:rsidR="00027610" w:rsidRPr="00B235BD">
              <w:rPr>
                <w:b w:val="0"/>
                <w:bCs w:val="0"/>
              </w:rPr>
              <w:t xml:space="preserve">Burley </w:t>
            </w:r>
            <w:r w:rsidR="00347866" w:rsidRPr="00B235BD">
              <w:rPr>
                <w:b w:val="0"/>
                <w:bCs w:val="0"/>
              </w:rPr>
              <w:t xml:space="preserve">Griffin </w:t>
            </w:r>
            <w:r w:rsidRPr="00B235BD">
              <w:rPr>
                <w:b w:val="0"/>
                <w:bCs w:val="0"/>
              </w:rPr>
              <w:t>Agency’ collects taxes, licences, fees and fines on behalf of the Territory.</w:t>
            </w:r>
          </w:p>
        </w:tc>
      </w:tr>
      <w:tr w:rsidR="00384538" w:rsidRPr="00CF7E1B" w14:paraId="07B04A0D" w14:textId="77777777" w:rsidTr="00D919F2">
        <w:trPr>
          <w:cantSplit/>
          <w:trHeight w:val="23"/>
        </w:trPr>
        <w:tc>
          <w:tcPr>
            <w:tcW w:w="1558" w:type="dxa"/>
            <w:tcBorders>
              <w:top w:val="nil"/>
              <w:left w:val="single" w:sz="2" w:space="0" w:color="auto"/>
              <w:bottom w:val="nil"/>
              <w:right w:val="single" w:sz="2" w:space="0" w:color="auto"/>
            </w:tcBorders>
          </w:tcPr>
          <w:p w14:paraId="5E9BE9DD"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E679AF4" w14:textId="7EEBC433" w:rsidR="00384538" w:rsidRPr="00B235BD" w:rsidRDefault="00384538" w:rsidP="00384538">
            <w:pPr>
              <w:pStyle w:val="TableTitle"/>
              <w:tabs>
                <w:tab w:val="left" w:pos="3306"/>
              </w:tabs>
              <w:spacing w:after="40"/>
              <w:jc w:val="both"/>
              <w:rPr>
                <w:b w:val="0"/>
                <w:bCs w:val="0"/>
                <w:i/>
                <w:iCs/>
              </w:rPr>
            </w:pPr>
            <w:r w:rsidRPr="00B235BD">
              <w:rPr>
                <w:b w:val="0"/>
                <w:bCs w:val="0"/>
                <w:i/>
                <w:iCs/>
              </w:rPr>
              <w:t>Motor Vehicle Registration Duty</w:t>
            </w:r>
          </w:p>
        </w:tc>
      </w:tr>
      <w:tr w:rsidR="00DB02DF" w:rsidRPr="00CF7E1B" w14:paraId="29C536C6" w14:textId="77777777" w:rsidTr="00D919F2">
        <w:trPr>
          <w:cantSplit/>
          <w:trHeight w:val="23"/>
        </w:trPr>
        <w:tc>
          <w:tcPr>
            <w:tcW w:w="1558" w:type="dxa"/>
            <w:tcBorders>
              <w:top w:val="nil"/>
              <w:left w:val="single" w:sz="2" w:space="0" w:color="auto"/>
              <w:bottom w:val="nil"/>
              <w:right w:val="single" w:sz="2" w:space="0" w:color="auto"/>
            </w:tcBorders>
          </w:tcPr>
          <w:p w14:paraId="61A0C4FF"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6FB26478" w14:textId="267EF761" w:rsidR="00DB02DF" w:rsidRPr="00B235BD" w:rsidRDefault="00DB02DF" w:rsidP="00F31BA8">
            <w:pPr>
              <w:spacing w:after="120"/>
              <w:jc w:val="both"/>
              <w:rPr>
                <w:sz w:val="18"/>
                <w:szCs w:val="18"/>
              </w:rPr>
            </w:pPr>
            <w:r w:rsidRPr="00B235BD">
              <w:rPr>
                <w:sz w:val="18"/>
                <w:szCs w:val="18"/>
              </w:rPr>
              <w:t>Revenue from motor vehicle registration duty arises when a member of the public registers a new vehicle for the first time, transfers a vehicle’s registration to another person or registers an imported second-hand vehicle for the first time.</w:t>
            </w:r>
            <w:r w:rsidR="00FA7C77">
              <w:rPr>
                <w:sz w:val="18"/>
                <w:szCs w:val="18"/>
              </w:rPr>
              <w:t xml:space="preserve"> </w:t>
            </w:r>
            <w:r w:rsidRPr="00B235BD">
              <w:rPr>
                <w:sz w:val="18"/>
                <w:szCs w:val="18"/>
              </w:rPr>
              <w:t>The amount of duty payable depends on the type of vehicle and its dutiable value being the higher of the purchase price and the market value of the vehicle.</w:t>
            </w:r>
            <w:r w:rsidR="00FA7C77">
              <w:rPr>
                <w:sz w:val="18"/>
                <w:szCs w:val="18"/>
              </w:rPr>
              <w:t xml:space="preserve"> </w:t>
            </w:r>
            <w:r w:rsidRPr="00B235BD">
              <w:rPr>
                <w:sz w:val="18"/>
                <w:szCs w:val="18"/>
              </w:rPr>
              <w:t>Revenue is recognised at the time of payment.</w:t>
            </w:r>
          </w:p>
        </w:tc>
      </w:tr>
      <w:tr w:rsidR="00384538" w:rsidRPr="00CF7E1B" w14:paraId="03E1B2E6" w14:textId="77777777" w:rsidTr="00D919F2">
        <w:trPr>
          <w:cantSplit/>
          <w:trHeight w:val="23"/>
        </w:trPr>
        <w:tc>
          <w:tcPr>
            <w:tcW w:w="1558" w:type="dxa"/>
            <w:tcBorders>
              <w:top w:val="nil"/>
              <w:left w:val="single" w:sz="2" w:space="0" w:color="auto"/>
              <w:bottom w:val="nil"/>
              <w:right w:val="single" w:sz="2" w:space="0" w:color="auto"/>
            </w:tcBorders>
          </w:tcPr>
          <w:p w14:paraId="16EB1020"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2D65758" w14:textId="036D1F1A" w:rsidR="00384538" w:rsidRPr="00192FCF" w:rsidRDefault="00384538" w:rsidP="00192FCF">
            <w:pPr>
              <w:jc w:val="both"/>
              <w:rPr>
                <w:b/>
                <w:bCs/>
                <w:i/>
                <w:iCs/>
                <w:caps/>
                <w:sz w:val="18"/>
                <w:szCs w:val="18"/>
              </w:rPr>
            </w:pPr>
            <w:bookmarkStart w:id="1040" w:name="_Toc98763197"/>
            <w:r w:rsidRPr="00192FCF">
              <w:rPr>
                <w:i/>
                <w:iCs/>
                <w:sz w:val="18"/>
                <w:szCs w:val="18"/>
              </w:rPr>
              <w:t>Drivers’ Licence Revenue</w:t>
            </w:r>
            <w:bookmarkEnd w:id="1040"/>
          </w:p>
        </w:tc>
      </w:tr>
      <w:tr w:rsidR="00DB02DF" w:rsidRPr="00CF7E1B" w14:paraId="77B4EA70" w14:textId="77777777" w:rsidTr="00D919F2">
        <w:trPr>
          <w:cantSplit/>
          <w:trHeight w:val="23"/>
        </w:trPr>
        <w:tc>
          <w:tcPr>
            <w:tcW w:w="1558" w:type="dxa"/>
            <w:tcBorders>
              <w:top w:val="nil"/>
              <w:left w:val="single" w:sz="2" w:space="0" w:color="auto"/>
              <w:bottom w:val="nil"/>
              <w:right w:val="single" w:sz="2" w:space="0" w:color="auto"/>
            </w:tcBorders>
          </w:tcPr>
          <w:p w14:paraId="3C4093DD"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4756BCA" w14:textId="4360DB35" w:rsidR="00DB02DF" w:rsidRPr="00192FCF" w:rsidRDefault="00DB02DF" w:rsidP="00192FCF">
            <w:pPr>
              <w:spacing w:after="120"/>
              <w:jc w:val="both"/>
              <w:rPr>
                <w:b/>
                <w:bCs/>
                <w:caps/>
                <w:sz w:val="18"/>
                <w:szCs w:val="18"/>
              </w:rPr>
            </w:pPr>
            <w:bookmarkStart w:id="1041" w:name="_Toc98763198"/>
            <w:r w:rsidRPr="00192FCF">
              <w:rPr>
                <w:sz w:val="18"/>
                <w:szCs w:val="18"/>
              </w:rPr>
              <w:t>Drivers’ licence revenue relates to members of the public paying for a licence to operate or seek to operate a vehicle within the ACT.</w:t>
            </w:r>
            <w:r w:rsidR="00FA7C77" w:rsidRPr="00192FCF">
              <w:rPr>
                <w:sz w:val="18"/>
                <w:szCs w:val="18"/>
              </w:rPr>
              <w:t xml:space="preserve"> </w:t>
            </w:r>
            <w:r w:rsidRPr="00192FCF">
              <w:rPr>
                <w:sz w:val="18"/>
                <w:szCs w:val="18"/>
              </w:rPr>
              <w:t>Licences can generally be obtained for either a 5 or 10 year period. Given each licence is less than the ACT low-transaction licence threshold of $10,000, the drivers licence revenue is recognised upon issue of the licence rather than evenly over the term of the licence.</w:t>
            </w:r>
            <w:bookmarkEnd w:id="1041"/>
          </w:p>
        </w:tc>
      </w:tr>
      <w:tr w:rsidR="00384538" w:rsidRPr="00CF7E1B" w14:paraId="6914AF0D" w14:textId="77777777" w:rsidTr="00D919F2">
        <w:trPr>
          <w:cantSplit/>
          <w:trHeight w:val="23"/>
        </w:trPr>
        <w:tc>
          <w:tcPr>
            <w:tcW w:w="1558" w:type="dxa"/>
            <w:tcBorders>
              <w:top w:val="nil"/>
              <w:left w:val="single" w:sz="2" w:space="0" w:color="auto"/>
              <w:bottom w:val="nil"/>
              <w:right w:val="single" w:sz="2" w:space="0" w:color="auto"/>
            </w:tcBorders>
          </w:tcPr>
          <w:p w14:paraId="28FF11C4"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C594E10" w14:textId="4919EC0A" w:rsidR="00384538" w:rsidRPr="00192FCF" w:rsidRDefault="00384538" w:rsidP="00192FCF">
            <w:pPr>
              <w:jc w:val="both"/>
              <w:rPr>
                <w:b/>
                <w:bCs/>
                <w:i/>
                <w:iCs/>
                <w:caps/>
                <w:sz w:val="18"/>
                <w:szCs w:val="18"/>
              </w:rPr>
            </w:pPr>
            <w:bookmarkStart w:id="1042" w:name="_Toc98763199"/>
            <w:r w:rsidRPr="00192FCF">
              <w:rPr>
                <w:i/>
                <w:iCs/>
                <w:sz w:val="18"/>
                <w:szCs w:val="18"/>
              </w:rPr>
              <w:t>Fees for Regulatory Services</w:t>
            </w:r>
            <w:bookmarkEnd w:id="1042"/>
          </w:p>
        </w:tc>
      </w:tr>
      <w:tr w:rsidR="00DB02DF" w:rsidRPr="00CF7E1B" w14:paraId="2727D560" w14:textId="77777777" w:rsidTr="00D919F2">
        <w:trPr>
          <w:cantSplit/>
          <w:trHeight w:val="23"/>
        </w:trPr>
        <w:tc>
          <w:tcPr>
            <w:tcW w:w="1558" w:type="dxa"/>
            <w:tcBorders>
              <w:top w:val="nil"/>
              <w:left w:val="single" w:sz="2" w:space="0" w:color="auto"/>
              <w:bottom w:val="nil"/>
              <w:right w:val="single" w:sz="2" w:space="0" w:color="auto"/>
            </w:tcBorders>
          </w:tcPr>
          <w:p w14:paraId="69A500F7"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22E13D" w14:textId="52CEFB2B" w:rsidR="00DB02DF" w:rsidRPr="00192FCF" w:rsidRDefault="00DB02DF" w:rsidP="003662F2">
            <w:pPr>
              <w:spacing w:after="120"/>
              <w:jc w:val="both"/>
              <w:rPr>
                <w:sz w:val="18"/>
                <w:szCs w:val="18"/>
              </w:rPr>
            </w:pPr>
            <w:r w:rsidRPr="00192FCF">
              <w:rPr>
                <w:sz w:val="18"/>
                <w:szCs w:val="18"/>
              </w:rPr>
              <w:t>Fees for regulatory services relate to ‘</w:t>
            </w:r>
            <w:r w:rsidR="00347866" w:rsidRPr="00192FCF">
              <w:rPr>
                <w:sz w:val="18"/>
                <w:szCs w:val="18"/>
              </w:rPr>
              <w:t>Burley Griffin</w:t>
            </w:r>
            <w:r w:rsidRPr="00192FCF">
              <w:rPr>
                <w:sz w:val="18"/>
                <w:szCs w:val="18"/>
              </w:rPr>
              <w:t xml:space="preserve"> Agency’ collecting all fees and charges under the Work Safety Act.</w:t>
            </w:r>
            <w:r w:rsidR="00FA7C77" w:rsidRPr="00192FCF">
              <w:rPr>
                <w:sz w:val="18"/>
                <w:szCs w:val="18"/>
              </w:rPr>
              <w:t xml:space="preserve"> </w:t>
            </w:r>
            <w:r w:rsidRPr="00192FCF">
              <w:rPr>
                <w:sz w:val="18"/>
                <w:szCs w:val="18"/>
              </w:rPr>
              <w:t>Fees are generally either recognised as revenue at the time of receipt or when the fee is incurred.</w:t>
            </w:r>
          </w:p>
        </w:tc>
      </w:tr>
      <w:tr w:rsidR="00384538" w:rsidRPr="00CF7E1B" w14:paraId="41409DC4" w14:textId="77777777" w:rsidTr="00D919F2">
        <w:trPr>
          <w:cantSplit/>
          <w:trHeight w:val="23"/>
        </w:trPr>
        <w:tc>
          <w:tcPr>
            <w:tcW w:w="1558" w:type="dxa"/>
            <w:tcBorders>
              <w:top w:val="nil"/>
              <w:left w:val="single" w:sz="2" w:space="0" w:color="auto"/>
              <w:bottom w:val="nil"/>
              <w:right w:val="single" w:sz="2" w:space="0" w:color="auto"/>
            </w:tcBorders>
          </w:tcPr>
          <w:p w14:paraId="0331D49B"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29B5DF34" w14:textId="6CBBCBA3" w:rsidR="00384538" w:rsidRPr="00B235BD" w:rsidRDefault="00384538" w:rsidP="00384538">
            <w:pPr>
              <w:spacing w:after="40"/>
              <w:jc w:val="both"/>
              <w:rPr>
                <w:i/>
                <w:iCs/>
                <w:sz w:val="18"/>
                <w:szCs w:val="18"/>
              </w:rPr>
            </w:pPr>
            <w:r w:rsidRPr="00B235BD">
              <w:rPr>
                <w:i/>
                <w:iCs/>
                <w:sz w:val="18"/>
                <w:szCs w:val="18"/>
              </w:rPr>
              <w:t>Traffic Fines and Parking Fines</w:t>
            </w:r>
          </w:p>
        </w:tc>
      </w:tr>
      <w:tr w:rsidR="00DB02DF" w:rsidRPr="00CF7E1B" w14:paraId="6815B111" w14:textId="77777777" w:rsidTr="00D919F2">
        <w:trPr>
          <w:cantSplit/>
          <w:trHeight w:val="23"/>
        </w:trPr>
        <w:tc>
          <w:tcPr>
            <w:tcW w:w="1558" w:type="dxa"/>
            <w:tcBorders>
              <w:top w:val="nil"/>
              <w:left w:val="single" w:sz="2" w:space="0" w:color="auto"/>
              <w:bottom w:val="nil"/>
              <w:right w:val="single" w:sz="2" w:space="0" w:color="auto"/>
            </w:tcBorders>
          </w:tcPr>
          <w:p w14:paraId="5DBC3A7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1C2720" w14:textId="1564C97E" w:rsidR="00DB02DF" w:rsidRPr="003662F2" w:rsidRDefault="00DB02DF" w:rsidP="003662F2">
            <w:pPr>
              <w:spacing w:after="120"/>
              <w:jc w:val="both"/>
              <w:rPr>
                <w:b/>
                <w:bCs/>
                <w:caps/>
                <w:sz w:val="18"/>
                <w:szCs w:val="18"/>
              </w:rPr>
            </w:pPr>
            <w:bookmarkStart w:id="1043" w:name="_Toc98763200"/>
            <w:r w:rsidRPr="003662F2">
              <w:rPr>
                <w:sz w:val="18"/>
                <w:szCs w:val="18"/>
              </w:rPr>
              <w:t>Traffic fines and parking fines are issued upon an infringement event occurring and are recognised as revenue on the issue of the relevant infringement notice.</w:t>
            </w:r>
            <w:r w:rsidR="00FA7C77" w:rsidRPr="003662F2">
              <w:rPr>
                <w:sz w:val="18"/>
                <w:szCs w:val="18"/>
              </w:rPr>
              <w:t xml:space="preserve"> </w:t>
            </w:r>
            <w:r w:rsidRPr="003662F2">
              <w:rPr>
                <w:sz w:val="18"/>
                <w:szCs w:val="18"/>
              </w:rPr>
              <w:t xml:space="preserve"> However, the revenue recognised is adjusted for the expected disputes, which are estimated based on historical data. Historical data shows that there is approximately </w:t>
            </w:r>
            <w:r w:rsidR="00722BF2" w:rsidRPr="003662F2">
              <w:rPr>
                <w:color w:val="C45911" w:themeColor="accent2" w:themeShade="BF"/>
                <w:sz w:val="18"/>
                <w:szCs w:val="18"/>
              </w:rPr>
              <w:t>&lt;</w:t>
            </w:r>
            <w:r w:rsidRPr="003662F2">
              <w:rPr>
                <w:color w:val="C45911" w:themeColor="accent2" w:themeShade="BF"/>
                <w:sz w:val="18"/>
                <w:szCs w:val="18"/>
              </w:rPr>
              <w:t>5%</w:t>
            </w:r>
            <w:r w:rsidR="00722BF2" w:rsidRPr="003662F2">
              <w:rPr>
                <w:color w:val="C45911" w:themeColor="accent2" w:themeShade="BF"/>
                <w:sz w:val="18"/>
                <w:szCs w:val="18"/>
              </w:rPr>
              <w:t>&gt;</w:t>
            </w:r>
            <w:r w:rsidRPr="003662F2">
              <w:rPr>
                <w:sz w:val="18"/>
                <w:szCs w:val="18"/>
              </w:rPr>
              <w:t xml:space="preserve"> of </w:t>
            </w:r>
            <w:r w:rsidR="00384538" w:rsidRPr="003662F2">
              <w:rPr>
                <w:sz w:val="18"/>
                <w:szCs w:val="18"/>
              </w:rPr>
              <w:t xml:space="preserve">fines </w:t>
            </w:r>
            <w:r w:rsidRPr="003662F2">
              <w:rPr>
                <w:sz w:val="18"/>
                <w:szCs w:val="18"/>
              </w:rPr>
              <w:t>that are successfully disputed.</w:t>
            </w:r>
            <w:r w:rsidR="00FA7C77" w:rsidRPr="003662F2">
              <w:rPr>
                <w:sz w:val="18"/>
                <w:szCs w:val="18"/>
              </w:rPr>
              <w:t xml:space="preserve"> </w:t>
            </w:r>
            <w:r w:rsidRPr="003662F2">
              <w:rPr>
                <w:sz w:val="18"/>
                <w:szCs w:val="18"/>
              </w:rPr>
              <w:t>Where the fine attracts a penalty for late payment, the penalty amount is recognised as revenue on issue of the late payment notice.</w:t>
            </w:r>
            <w:bookmarkEnd w:id="1043"/>
          </w:p>
        </w:tc>
      </w:tr>
      <w:tr w:rsidR="00B45A62" w:rsidRPr="00CF7E1B" w14:paraId="0AFE1734" w14:textId="77777777" w:rsidTr="00D919F2">
        <w:trPr>
          <w:cantSplit/>
          <w:trHeight w:val="23"/>
        </w:trPr>
        <w:tc>
          <w:tcPr>
            <w:tcW w:w="1558" w:type="dxa"/>
            <w:tcBorders>
              <w:top w:val="nil"/>
              <w:left w:val="single" w:sz="2" w:space="0" w:color="auto"/>
              <w:bottom w:val="nil"/>
              <w:right w:val="single" w:sz="2" w:space="0" w:color="auto"/>
            </w:tcBorders>
          </w:tcPr>
          <w:p w14:paraId="4FCCAAE3" w14:textId="77777777" w:rsidR="00B45A62" w:rsidRPr="00B235BD" w:rsidRDefault="00B45A62" w:rsidP="003662F2">
            <w:pPr>
              <w:pStyle w:val="TableReference"/>
              <w:tabs>
                <w:tab w:val="left" w:pos="3306"/>
              </w:tabs>
              <w:rPr>
                <w:rFonts w:cs="Calibri"/>
                <w:color w:val="7030A0"/>
                <w:sz w:val="16"/>
                <w:szCs w:val="16"/>
              </w:rPr>
            </w:pPr>
          </w:p>
        </w:tc>
        <w:tc>
          <w:tcPr>
            <w:tcW w:w="8929" w:type="dxa"/>
            <w:gridSpan w:val="5"/>
            <w:tcBorders>
              <w:top w:val="nil"/>
              <w:left w:val="single" w:sz="2" w:space="0" w:color="auto"/>
              <w:bottom w:val="nil"/>
              <w:right w:val="nil"/>
            </w:tcBorders>
            <w:vAlign w:val="bottom"/>
          </w:tcPr>
          <w:p w14:paraId="79C4B91A" w14:textId="6039E01C" w:rsidR="00B45A62" w:rsidRPr="00B235BD" w:rsidRDefault="00B45A62" w:rsidP="00F31BA8">
            <w:pPr>
              <w:rPr>
                <w:b/>
                <w:bCs/>
                <w:sz w:val="18"/>
                <w:szCs w:val="18"/>
              </w:rPr>
            </w:pPr>
            <w:r w:rsidRPr="00B235BD">
              <w:rPr>
                <w:b/>
                <w:bCs/>
                <w:sz w:val="18"/>
                <w:szCs w:val="18"/>
              </w:rPr>
              <w:t>Impact of COVID-19</w:t>
            </w:r>
          </w:p>
        </w:tc>
      </w:tr>
      <w:tr w:rsidR="00B45A62" w:rsidRPr="00CF7E1B" w14:paraId="412DAC73" w14:textId="77777777" w:rsidTr="00D919F2">
        <w:trPr>
          <w:cantSplit/>
          <w:trHeight w:val="23"/>
        </w:trPr>
        <w:tc>
          <w:tcPr>
            <w:tcW w:w="1558" w:type="dxa"/>
            <w:tcBorders>
              <w:top w:val="nil"/>
              <w:left w:val="single" w:sz="2" w:space="0" w:color="auto"/>
              <w:bottom w:val="nil"/>
              <w:right w:val="single" w:sz="2" w:space="0" w:color="auto"/>
            </w:tcBorders>
          </w:tcPr>
          <w:p w14:paraId="0A627E9E" w14:textId="77777777" w:rsidR="00B45A62" w:rsidRPr="00B235BD" w:rsidRDefault="00B45A62"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FA03C13" w14:textId="22CCF2CF" w:rsidR="009D0D5B" w:rsidRPr="00B235BD" w:rsidRDefault="00B45A62" w:rsidP="009D0D5B">
            <w:pPr>
              <w:jc w:val="both"/>
              <w:rPr>
                <w:sz w:val="18"/>
                <w:szCs w:val="18"/>
              </w:rPr>
            </w:pPr>
            <w:r w:rsidRPr="00B235BD">
              <w:rPr>
                <w:sz w:val="18"/>
                <w:szCs w:val="18"/>
              </w:rPr>
              <w:t>Since the commencement of the COVID-19 pandemic ‘Burley Griffin Agency’ has lost a material amount of traffic fine and parking fine revenue</w:t>
            </w:r>
            <w:r w:rsidRPr="00F31BA8">
              <w:rPr>
                <w:sz w:val="18"/>
                <w:szCs w:val="18"/>
              </w:rPr>
              <w:t>.</w:t>
            </w:r>
            <w:r w:rsidR="00FA7C77" w:rsidRPr="00F31BA8">
              <w:rPr>
                <w:sz w:val="18"/>
                <w:szCs w:val="18"/>
              </w:rPr>
              <w:t xml:space="preserve"> </w:t>
            </w:r>
            <w:r w:rsidR="00BD3C22" w:rsidRPr="009D0D5B">
              <w:rPr>
                <w:strike/>
                <w:color w:val="FF0000"/>
                <w:sz w:val="18"/>
                <w:szCs w:val="18"/>
              </w:rPr>
              <w:t xml:space="preserve">It is </w:t>
            </w:r>
            <w:r w:rsidRPr="009D0D5B">
              <w:rPr>
                <w:strike/>
                <w:color w:val="FF0000"/>
                <w:sz w:val="18"/>
                <w:szCs w:val="18"/>
              </w:rPr>
              <w:t xml:space="preserve">estimated </w:t>
            </w:r>
            <w:r w:rsidR="00BD3C22" w:rsidRPr="009D0D5B">
              <w:rPr>
                <w:strike/>
                <w:color w:val="FF0000"/>
                <w:sz w:val="18"/>
                <w:szCs w:val="18"/>
              </w:rPr>
              <w:t>that there was only 10</w:t>
            </w:r>
            <w:r w:rsidRPr="009D0D5B">
              <w:rPr>
                <w:strike/>
                <w:color w:val="FF0000"/>
                <w:sz w:val="18"/>
                <w:szCs w:val="18"/>
              </w:rPr>
              <w:t>% of pre COVID</w:t>
            </w:r>
            <w:r w:rsidRPr="009D0D5B">
              <w:rPr>
                <w:strike/>
                <w:color w:val="FF0000"/>
                <w:sz w:val="18"/>
                <w:szCs w:val="18"/>
              </w:rPr>
              <w:noBreakHyphen/>
              <w:t xml:space="preserve">19 levels </w:t>
            </w:r>
            <w:r w:rsidR="00BD3C22" w:rsidRPr="009D0D5B">
              <w:rPr>
                <w:strike/>
                <w:color w:val="FF0000"/>
                <w:sz w:val="18"/>
                <w:szCs w:val="18"/>
              </w:rPr>
              <w:t xml:space="preserve">of traffic on Canberra roads during the </w:t>
            </w:r>
            <w:r w:rsidRPr="009D0D5B">
              <w:rPr>
                <w:strike/>
                <w:color w:val="FF0000"/>
                <w:sz w:val="18"/>
                <w:szCs w:val="18"/>
              </w:rPr>
              <w:t xml:space="preserve">lock down introduced by the ACT Government </w:t>
            </w:r>
            <w:r w:rsidR="00BD3C22" w:rsidRPr="009D0D5B">
              <w:rPr>
                <w:strike/>
                <w:color w:val="FF0000"/>
                <w:sz w:val="18"/>
                <w:szCs w:val="18"/>
              </w:rPr>
              <w:t xml:space="preserve">during August 2021 to November 2021, </w:t>
            </w:r>
            <w:r w:rsidRPr="009D0D5B">
              <w:rPr>
                <w:strike/>
                <w:color w:val="FF0000"/>
                <w:sz w:val="18"/>
                <w:szCs w:val="18"/>
              </w:rPr>
              <w:t>i</w:t>
            </w:r>
            <w:r w:rsidR="00722BF2" w:rsidRPr="009D0D5B">
              <w:rPr>
                <w:strike/>
                <w:color w:val="FF0000"/>
                <w:sz w:val="18"/>
                <w:szCs w:val="18"/>
              </w:rPr>
              <w:t>n</w:t>
            </w:r>
            <w:r w:rsidRPr="009D0D5B">
              <w:rPr>
                <w:strike/>
                <w:color w:val="FF0000"/>
                <w:sz w:val="18"/>
                <w:szCs w:val="18"/>
              </w:rPr>
              <w:t xml:space="preserve"> response to the Delta outbreak.</w:t>
            </w:r>
            <w:r w:rsidR="009D0D5B">
              <w:rPr>
                <w:color w:val="FF0000"/>
                <w:sz w:val="18"/>
                <w:szCs w:val="18"/>
              </w:rPr>
              <w:t xml:space="preserve"> </w:t>
            </w:r>
            <w:r w:rsidRPr="006839E2">
              <w:rPr>
                <w:strike/>
                <w:color w:val="FF0000"/>
                <w:sz w:val="18"/>
                <w:szCs w:val="18"/>
              </w:rPr>
              <w:t>Since</w:t>
            </w:r>
            <w:r w:rsidRPr="00B235BD">
              <w:rPr>
                <w:sz w:val="18"/>
                <w:szCs w:val="18"/>
              </w:rPr>
              <w:t xml:space="preserve"> </w:t>
            </w:r>
            <w:r w:rsidR="006839E2" w:rsidRPr="006839E2">
              <w:rPr>
                <w:color w:val="FF0000"/>
                <w:sz w:val="18"/>
                <w:szCs w:val="18"/>
              </w:rPr>
              <w:t>Following</w:t>
            </w:r>
            <w:r w:rsidR="006839E2">
              <w:rPr>
                <w:sz w:val="18"/>
                <w:szCs w:val="18"/>
              </w:rPr>
              <w:t xml:space="preserve"> </w:t>
            </w:r>
            <w:r w:rsidRPr="00B235BD">
              <w:rPr>
                <w:sz w:val="18"/>
                <w:szCs w:val="18"/>
              </w:rPr>
              <w:t xml:space="preserve">the lockdown </w:t>
            </w:r>
            <w:r w:rsidR="006839E2">
              <w:rPr>
                <w:color w:val="FF0000"/>
                <w:sz w:val="18"/>
                <w:szCs w:val="18"/>
              </w:rPr>
              <w:t xml:space="preserve">being </w:t>
            </w:r>
            <w:r w:rsidR="009D0D5B" w:rsidRPr="009D0D5B">
              <w:rPr>
                <w:color w:val="FF0000"/>
                <w:sz w:val="18"/>
                <w:szCs w:val="18"/>
              </w:rPr>
              <w:t>lifted in November 2021</w:t>
            </w:r>
            <w:r w:rsidR="009D0D5B" w:rsidRPr="009D0D5B">
              <w:rPr>
                <w:sz w:val="18"/>
                <w:szCs w:val="18"/>
              </w:rPr>
              <w:t xml:space="preserve"> </w:t>
            </w:r>
            <w:r w:rsidRPr="009D0D5B">
              <w:rPr>
                <w:strike/>
                <w:color w:val="FF0000"/>
                <w:sz w:val="18"/>
                <w:szCs w:val="18"/>
              </w:rPr>
              <w:t>ended</w:t>
            </w:r>
            <w:r w:rsidRPr="00B235BD">
              <w:rPr>
                <w:sz w:val="18"/>
                <w:szCs w:val="18"/>
              </w:rPr>
              <w:t xml:space="preserve"> </w:t>
            </w:r>
            <w:r w:rsidR="00BD3C22" w:rsidRPr="00B235BD">
              <w:rPr>
                <w:sz w:val="18"/>
                <w:szCs w:val="18"/>
              </w:rPr>
              <w:t xml:space="preserve">and </w:t>
            </w:r>
            <w:r w:rsidR="00307227" w:rsidRPr="00307227">
              <w:rPr>
                <w:color w:val="FF0000"/>
                <w:sz w:val="18"/>
                <w:szCs w:val="18"/>
              </w:rPr>
              <w:t>with</w:t>
            </w:r>
            <w:r w:rsidR="00307227">
              <w:rPr>
                <w:sz w:val="18"/>
                <w:szCs w:val="18"/>
              </w:rPr>
              <w:t xml:space="preserve"> </w:t>
            </w:r>
            <w:r w:rsidR="00BD3C22" w:rsidRPr="00B235BD">
              <w:rPr>
                <w:sz w:val="18"/>
                <w:szCs w:val="18"/>
              </w:rPr>
              <w:t xml:space="preserve">people </w:t>
            </w:r>
            <w:r w:rsidR="00BD3C22" w:rsidRPr="006839E2">
              <w:rPr>
                <w:strike/>
                <w:color w:val="FF0000"/>
                <w:sz w:val="18"/>
                <w:szCs w:val="18"/>
              </w:rPr>
              <w:t>have</w:t>
            </w:r>
            <w:r w:rsidR="00BD3C22" w:rsidRPr="00B235BD">
              <w:rPr>
                <w:sz w:val="18"/>
                <w:szCs w:val="18"/>
              </w:rPr>
              <w:t xml:space="preserve"> return</w:t>
            </w:r>
            <w:r w:rsidR="006839E2" w:rsidRPr="006839E2">
              <w:rPr>
                <w:color w:val="FF0000"/>
                <w:sz w:val="18"/>
                <w:szCs w:val="18"/>
              </w:rPr>
              <w:t>ing</w:t>
            </w:r>
            <w:r w:rsidR="00BD3C22" w:rsidRPr="006839E2">
              <w:rPr>
                <w:strike/>
                <w:color w:val="FF0000"/>
                <w:sz w:val="18"/>
                <w:szCs w:val="18"/>
              </w:rPr>
              <w:t>ed</w:t>
            </w:r>
            <w:r w:rsidR="00BD3C22" w:rsidRPr="00B235BD">
              <w:rPr>
                <w:sz w:val="18"/>
                <w:szCs w:val="18"/>
              </w:rPr>
              <w:t xml:space="preserve"> to school and work</w:t>
            </w:r>
            <w:r w:rsidRPr="00B235BD">
              <w:rPr>
                <w:sz w:val="18"/>
                <w:szCs w:val="18"/>
              </w:rPr>
              <w:t xml:space="preserve">, </w:t>
            </w:r>
            <w:r w:rsidR="00BD3C22" w:rsidRPr="00B235BD">
              <w:rPr>
                <w:sz w:val="18"/>
                <w:szCs w:val="18"/>
              </w:rPr>
              <w:t xml:space="preserve">the amount of traffic </w:t>
            </w:r>
            <w:r w:rsidRPr="00B235BD">
              <w:rPr>
                <w:sz w:val="18"/>
                <w:szCs w:val="18"/>
              </w:rPr>
              <w:t xml:space="preserve">has slowly recovered and is now estimated to be at </w:t>
            </w:r>
            <w:r w:rsidR="006839E2" w:rsidRPr="006839E2">
              <w:rPr>
                <w:color w:val="FF0000"/>
                <w:sz w:val="18"/>
                <w:szCs w:val="18"/>
              </w:rPr>
              <w:t>85</w:t>
            </w:r>
            <w:r w:rsidR="009D0D5B" w:rsidRPr="009D0D5B">
              <w:rPr>
                <w:color w:val="FF0000"/>
                <w:sz w:val="18"/>
                <w:szCs w:val="18"/>
              </w:rPr>
              <w:t xml:space="preserve">% </w:t>
            </w:r>
            <w:r w:rsidR="00BD3C22" w:rsidRPr="009D0D5B">
              <w:rPr>
                <w:strike/>
                <w:color w:val="FF0000"/>
                <w:sz w:val="18"/>
                <w:szCs w:val="18"/>
              </w:rPr>
              <w:t>75</w:t>
            </w:r>
            <w:r w:rsidRPr="009D0D5B">
              <w:rPr>
                <w:strike/>
                <w:color w:val="FF0000"/>
                <w:sz w:val="18"/>
                <w:szCs w:val="18"/>
              </w:rPr>
              <w:t>%</w:t>
            </w:r>
            <w:r w:rsidRPr="009D0D5B">
              <w:rPr>
                <w:color w:val="FF0000"/>
                <w:sz w:val="18"/>
                <w:szCs w:val="18"/>
              </w:rPr>
              <w:t xml:space="preserve"> </w:t>
            </w:r>
            <w:r w:rsidRPr="00B235BD">
              <w:rPr>
                <w:sz w:val="18"/>
                <w:szCs w:val="18"/>
              </w:rPr>
              <w:t>of pre COVID-19 levels.</w:t>
            </w:r>
            <w:r w:rsidR="00FA7C77">
              <w:rPr>
                <w:sz w:val="18"/>
                <w:szCs w:val="18"/>
              </w:rPr>
              <w:t xml:space="preserve"> </w:t>
            </w:r>
            <w:r w:rsidR="009D0D5B" w:rsidRPr="009D0D5B">
              <w:rPr>
                <w:color w:val="FF0000"/>
                <w:sz w:val="18"/>
                <w:szCs w:val="18"/>
              </w:rPr>
              <w:t>However, given the continuation of flexible working arrangements post the pandemic, there is still a large number of people working partly or fully from home</w:t>
            </w:r>
            <w:r w:rsidR="00F31BA8">
              <w:rPr>
                <w:color w:val="FF0000"/>
                <w:sz w:val="18"/>
                <w:szCs w:val="18"/>
              </w:rPr>
              <w:t xml:space="preserve"> which has resulted in </w:t>
            </w:r>
            <w:r w:rsidR="009D0D5B" w:rsidRPr="009D0D5B">
              <w:rPr>
                <w:color w:val="FF0000"/>
                <w:sz w:val="18"/>
                <w:szCs w:val="18"/>
              </w:rPr>
              <w:t xml:space="preserve">lower amounts of </w:t>
            </w:r>
            <w:r w:rsidRPr="009D0D5B">
              <w:rPr>
                <w:strike/>
                <w:color w:val="FF0000"/>
                <w:sz w:val="18"/>
                <w:szCs w:val="18"/>
              </w:rPr>
              <w:t>The reduction in</w:t>
            </w:r>
            <w:r w:rsidRPr="009D0D5B">
              <w:rPr>
                <w:color w:val="FF0000"/>
                <w:sz w:val="18"/>
                <w:szCs w:val="18"/>
              </w:rPr>
              <w:t xml:space="preserve"> </w:t>
            </w:r>
            <w:r w:rsidR="00BD3C22" w:rsidRPr="00B235BD">
              <w:rPr>
                <w:sz w:val="18"/>
                <w:szCs w:val="18"/>
              </w:rPr>
              <w:t xml:space="preserve">traffic </w:t>
            </w:r>
            <w:r w:rsidRPr="00B235BD">
              <w:rPr>
                <w:sz w:val="18"/>
                <w:szCs w:val="18"/>
              </w:rPr>
              <w:t>over the current financial year</w:t>
            </w:r>
            <w:r w:rsidR="00F31BA8" w:rsidRPr="00D239F9">
              <w:rPr>
                <w:sz w:val="18"/>
                <w:szCs w:val="18"/>
              </w:rPr>
              <w:t>.</w:t>
            </w:r>
            <w:r w:rsidR="00F31BA8" w:rsidRPr="00F31BA8">
              <w:rPr>
                <w:color w:val="FF0000"/>
                <w:sz w:val="18"/>
                <w:szCs w:val="18"/>
              </w:rPr>
              <w:t xml:space="preserve"> This</w:t>
            </w:r>
            <w:r w:rsidR="00F31BA8">
              <w:rPr>
                <w:sz w:val="18"/>
                <w:szCs w:val="18"/>
              </w:rPr>
              <w:t xml:space="preserve"> </w:t>
            </w:r>
            <w:r w:rsidRPr="00B235BD">
              <w:rPr>
                <w:sz w:val="18"/>
                <w:szCs w:val="18"/>
              </w:rPr>
              <w:t xml:space="preserve">has resulted in lower </w:t>
            </w:r>
            <w:r w:rsidR="00BD3C22" w:rsidRPr="00B235BD">
              <w:rPr>
                <w:sz w:val="18"/>
                <w:szCs w:val="18"/>
              </w:rPr>
              <w:t xml:space="preserve">traffic fines </w:t>
            </w:r>
            <w:r w:rsidRPr="00B235BD">
              <w:rPr>
                <w:sz w:val="18"/>
                <w:szCs w:val="18"/>
              </w:rPr>
              <w:t>of approximately $</w:t>
            </w:r>
            <w:r w:rsidR="00BD3C22" w:rsidRPr="00B235BD">
              <w:rPr>
                <w:sz w:val="18"/>
                <w:szCs w:val="18"/>
              </w:rPr>
              <w:t>xxx</w:t>
            </w:r>
            <w:r w:rsidRPr="00B235BD">
              <w:rPr>
                <w:sz w:val="18"/>
                <w:szCs w:val="18"/>
              </w:rPr>
              <w:t xml:space="preserve"> million</w:t>
            </w:r>
            <w:r w:rsidR="00BD3C22" w:rsidRPr="00B235BD">
              <w:rPr>
                <w:sz w:val="18"/>
                <w:szCs w:val="18"/>
              </w:rPr>
              <w:t xml:space="preserve"> and lower parking fines of approximately $xxx million</w:t>
            </w:r>
            <w:r w:rsidRPr="00B235BD">
              <w:rPr>
                <w:sz w:val="18"/>
                <w:szCs w:val="18"/>
              </w:rPr>
              <w:t xml:space="preserve"> when compared to pre-pandemic levels.</w:t>
            </w:r>
          </w:p>
        </w:tc>
      </w:tr>
      <w:tr w:rsidR="00354061" w:rsidRPr="00CF7E1B" w14:paraId="17A26384" w14:textId="77777777" w:rsidTr="00D919F2">
        <w:trPr>
          <w:cantSplit/>
          <w:trHeight w:val="23"/>
        </w:trPr>
        <w:tc>
          <w:tcPr>
            <w:tcW w:w="1558" w:type="dxa"/>
            <w:tcBorders>
              <w:top w:val="nil"/>
              <w:left w:val="single" w:sz="2" w:space="0" w:color="auto"/>
              <w:bottom w:val="nil"/>
              <w:right w:val="single" w:sz="2" w:space="0" w:color="auto"/>
            </w:tcBorders>
          </w:tcPr>
          <w:p w14:paraId="6A3188E3"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95D610F" w14:textId="77777777" w:rsidR="00354061" w:rsidRPr="00B235BD" w:rsidRDefault="00354061" w:rsidP="00354061">
            <w:pPr>
              <w:pStyle w:val="TableText"/>
              <w:tabs>
                <w:tab w:val="left" w:pos="3306"/>
              </w:tabs>
              <w:rPr>
                <w:rFonts w:cs="Calibri"/>
                <w:b/>
                <w:bCs/>
              </w:rPr>
            </w:pPr>
          </w:p>
        </w:tc>
        <w:tc>
          <w:tcPr>
            <w:tcW w:w="1236" w:type="dxa"/>
            <w:tcBorders>
              <w:top w:val="nil"/>
              <w:left w:val="nil"/>
              <w:bottom w:val="nil"/>
              <w:right w:val="nil"/>
            </w:tcBorders>
            <w:vAlign w:val="bottom"/>
          </w:tcPr>
          <w:p w14:paraId="704017D0" w14:textId="52890A89" w:rsidR="00354061" w:rsidRPr="00B235BD" w:rsidRDefault="00354061" w:rsidP="00354061">
            <w:pPr>
              <w:pStyle w:val="TableTitle"/>
              <w:tabs>
                <w:tab w:val="left" w:pos="3306"/>
              </w:tabs>
              <w:rPr>
                <w:rFonts w:cs="Calibri"/>
              </w:rPr>
            </w:pPr>
            <w:r w:rsidRPr="00B235BD">
              <w:rPr>
                <w:rFonts w:cs="Calibri"/>
              </w:rPr>
              <w:t>202</w:t>
            </w:r>
            <w:r w:rsidR="0011259C">
              <w:rPr>
                <w:rFonts w:cs="Calibri"/>
              </w:rPr>
              <w:t>3</w:t>
            </w:r>
          </w:p>
          <w:p w14:paraId="5E6121D6" w14:textId="65DE89D6" w:rsidR="00354061" w:rsidRPr="00B235BD" w:rsidRDefault="00354061" w:rsidP="00354061">
            <w:pPr>
              <w:pStyle w:val="TableText"/>
              <w:tabs>
                <w:tab w:val="left" w:pos="3306"/>
              </w:tabs>
              <w:jc w:val="right"/>
              <w:rPr>
                <w:rFonts w:cs="Calibri"/>
                <w:b/>
                <w:bCs/>
              </w:rPr>
            </w:pPr>
            <w:r w:rsidRPr="00B235BD">
              <w:rPr>
                <w:rFonts w:cs="Calibri"/>
                <w:b/>
                <w:bCs/>
              </w:rPr>
              <w:t>$’000</w:t>
            </w:r>
          </w:p>
        </w:tc>
        <w:tc>
          <w:tcPr>
            <w:tcW w:w="1456" w:type="dxa"/>
            <w:gridSpan w:val="2"/>
            <w:tcBorders>
              <w:top w:val="nil"/>
              <w:left w:val="nil"/>
              <w:bottom w:val="nil"/>
              <w:right w:val="nil"/>
            </w:tcBorders>
            <w:vAlign w:val="bottom"/>
          </w:tcPr>
          <w:p w14:paraId="255AB993" w14:textId="5E797D3E" w:rsidR="00354061" w:rsidRPr="00B235BD" w:rsidRDefault="00354061" w:rsidP="00354061">
            <w:pPr>
              <w:pStyle w:val="TableTitle"/>
              <w:tabs>
                <w:tab w:val="left" w:pos="3306"/>
              </w:tabs>
              <w:rPr>
                <w:rFonts w:cs="Calibri"/>
              </w:rPr>
            </w:pPr>
            <w:r w:rsidRPr="00B235BD">
              <w:rPr>
                <w:rFonts w:cs="Calibri"/>
              </w:rPr>
              <w:t>202</w:t>
            </w:r>
            <w:r w:rsidR="0011259C">
              <w:rPr>
                <w:rFonts w:cs="Calibri"/>
              </w:rPr>
              <w:t>2</w:t>
            </w:r>
          </w:p>
          <w:p w14:paraId="4F5C0115" w14:textId="248E0649" w:rsidR="00354061" w:rsidRPr="00B235BD" w:rsidRDefault="00354061" w:rsidP="00354061">
            <w:pPr>
              <w:pStyle w:val="TableText"/>
              <w:tabs>
                <w:tab w:val="left" w:pos="3306"/>
              </w:tabs>
              <w:jc w:val="right"/>
              <w:rPr>
                <w:rFonts w:cs="Calibri"/>
                <w:b/>
                <w:bCs/>
              </w:rPr>
            </w:pPr>
            <w:r w:rsidRPr="00B235BD">
              <w:rPr>
                <w:rFonts w:cs="Calibri"/>
                <w:b/>
                <w:bCs/>
              </w:rPr>
              <w:t>$’000</w:t>
            </w:r>
          </w:p>
        </w:tc>
      </w:tr>
      <w:tr w:rsidR="00354061" w:rsidRPr="00CF7E1B" w14:paraId="5D64CA6A" w14:textId="77777777" w:rsidTr="00D919F2">
        <w:trPr>
          <w:cantSplit/>
          <w:trHeight w:val="23"/>
        </w:trPr>
        <w:tc>
          <w:tcPr>
            <w:tcW w:w="1558" w:type="dxa"/>
            <w:tcBorders>
              <w:top w:val="nil"/>
              <w:left w:val="single" w:sz="2" w:space="0" w:color="auto"/>
              <w:bottom w:val="nil"/>
              <w:right w:val="single" w:sz="2" w:space="0" w:color="auto"/>
            </w:tcBorders>
          </w:tcPr>
          <w:p w14:paraId="170068C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5BF389D" w14:textId="77777777" w:rsidR="00354061" w:rsidRPr="00B235BD" w:rsidRDefault="00354061" w:rsidP="00354061">
            <w:pPr>
              <w:pStyle w:val="TableText"/>
              <w:tabs>
                <w:tab w:val="left" w:pos="3306"/>
              </w:tabs>
              <w:rPr>
                <w:rFonts w:cs="Calibri"/>
              </w:rPr>
            </w:pPr>
            <w:bookmarkStart w:id="1044" w:name="_Toc48468860"/>
            <w:bookmarkStart w:id="1045" w:name="_Toc49155920"/>
            <w:bookmarkStart w:id="1046" w:name="_Toc49224334"/>
            <w:r w:rsidRPr="00B235BD">
              <w:rPr>
                <w:rFonts w:cs="Calibri"/>
                <w:b/>
                <w:bCs/>
              </w:rPr>
              <w:t>Taxes</w:t>
            </w:r>
            <w:bookmarkEnd w:id="1044"/>
            <w:bookmarkEnd w:id="1045"/>
            <w:bookmarkEnd w:id="1046"/>
          </w:p>
        </w:tc>
        <w:tc>
          <w:tcPr>
            <w:tcW w:w="1236" w:type="dxa"/>
            <w:tcBorders>
              <w:top w:val="nil"/>
              <w:left w:val="nil"/>
              <w:bottom w:val="nil"/>
              <w:right w:val="nil"/>
            </w:tcBorders>
            <w:vAlign w:val="bottom"/>
          </w:tcPr>
          <w:p w14:paraId="13EB8E9E"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ECB03FC" w14:textId="77777777" w:rsidR="00354061" w:rsidRPr="00B235BD" w:rsidRDefault="00354061" w:rsidP="00354061">
            <w:pPr>
              <w:pStyle w:val="TableText"/>
              <w:tabs>
                <w:tab w:val="left" w:pos="3306"/>
              </w:tabs>
              <w:jc w:val="right"/>
              <w:rPr>
                <w:rFonts w:cs="Calibri"/>
              </w:rPr>
            </w:pPr>
          </w:p>
        </w:tc>
      </w:tr>
      <w:tr w:rsidR="00354061" w:rsidRPr="00CF7E1B" w14:paraId="1A10E932" w14:textId="77777777" w:rsidTr="00D919F2">
        <w:trPr>
          <w:cantSplit/>
          <w:trHeight w:val="23"/>
        </w:trPr>
        <w:tc>
          <w:tcPr>
            <w:tcW w:w="1558" w:type="dxa"/>
            <w:tcBorders>
              <w:top w:val="nil"/>
              <w:left w:val="single" w:sz="2" w:space="0" w:color="auto"/>
              <w:bottom w:val="nil"/>
              <w:right w:val="single" w:sz="2" w:space="0" w:color="auto"/>
            </w:tcBorders>
          </w:tcPr>
          <w:p w14:paraId="7EB6259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DE176" w14:textId="30EE111D" w:rsidR="00354061" w:rsidRPr="00B235BD" w:rsidRDefault="00354061" w:rsidP="00354061">
            <w:pPr>
              <w:pStyle w:val="TableText"/>
              <w:tabs>
                <w:tab w:val="left" w:pos="3306"/>
              </w:tabs>
              <w:rPr>
                <w:rFonts w:cs="Calibri"/>
              </w:rPr>
            </w:pPr>
            <w:r w:rsidRPr="00B235BD">
              <w:rPr>
                <w:rFonts w:cs="Calibri"/>
              </w:rPr>
              <w:t>Motor Vehicle Registration Duty</w:t>
            </w:r>
          </w:p>
        </w:tc>
        <w:tc>
          <w:tcPr>
            <w:tcW w:w="1236" w:type="dxa"/>
            <w:tcBorders>
              <w:top w:val="nil"/>
              <w:left w:val="nil"/>
              <w:bottom w:val="nil"/>
              <w:right w:val="nil"/>
            </w:tcBorders>
            <w:vAlign w:val="bottom"/>
          </w:tcPr>
          <w:p w14:paraId="714F3538" w14:textId="639069D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6B99EE2" w14:textId="0BD0C7DF" w:rsidR="00354061" w:rsidRPr="00B235BD" w:rsidRDefault="00354061" w:rsidP="00354061">
            <w:pPr>
              <w:pStyle w:val="TableText"/>
              <w:tabs>
                <w:tab w:val="left" w:pos="3306"/>
              </w:tabs>
              <w:jc w:val="right"/>
              <w:rPr>
                <w:rFonts w:cs="Calibri"/>
              </w:rPr>
            </w:pPr>
          </w:p>
        </w:tc>
      </w:tr>
      <w:tr w:rsidR="00354061" w:rsidRPr="00CF7E1B" w14:paraId="4C6E4D89" w14:textId="77777777" w:rsidTr="00D919F2">
        <w:trPr>
          <w:cantSplit/>
          <w:trHeight w:val="23"/>
        </w:trPr>
        <w:tc>
          <w:tcPr>
            <w:tcW w:w="1558" w:type="dxa"/>
            <w:tcBorders>
              <w:top w:val="nil"/>
              <w:left w:val="single" w:sz="2" w:space="0" w:color="auto"/>
              <w:bottom w:val="nil"/>
              <w:right w:val="single" w:sz="2" w:space="0" w:color="auto"/>
            </w:tcBorders>
          </w:tcPr>
          <w:p w14:paraId="40F7580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6BF97750" w14:textId="77777777" w:rsidR="00354061" w:rsidRPr="00B235BD" w:rsidRDefault="00354061" w:rsidP="00354061">
            <w:pPr>
              <w:pStyle w:val="TableText"/>
              <w:tabs>
                <w:tab w:val="left" w:pos="3306"/>
              </w:tabs>
              <w:rPr>
                <w:rFonts w:cs="Calibri"/>
              </w:rPr>
            </w:pPr>
            <w:r w:rsidRPr="00B235BD">
              <w:rPr>
                <w:rFonts w:cs="Calibri"/>
              </w:rPr>
              <w:t>Other Taxes</w:t>
            </w:r>
          </w:p>
        </w:tc>
        <w:tc>
          <w:tcPr>
            <w:tcW w:w="1236" w:type="dxa"/>
            <w:tcBorders>
              <w:top w:val="nil"/>
              <w:left w:val="nil"/>
              <w:bottom w:val="single" w:sz="2" w:space="0" w:color="auto"/>
              <w:right w:val="nil"/>
            </w:tcBorders>
            <w:vAlign w:val="bottom"/>
          </w:tcPr>
          <w:p w14:paraId="5C631652" w14:textId="4AEFEDAB"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605C351C" w14:textId="78ED840D" w:rsidR="00354061" w:rsidRPr="00B235BD" w:rsidRDefault="00354061" w:rsidP="00354061">
            <w:pPr>
              <w:pStyle w:val="TableText"/>
              <w:tabs>
                <w:tab w:val="left" w:pos="3306"/>
              </w:tabs>
              <w:jc w:val="right"/>
              <w:rPr>
                <w:rFonts w:cs="Calibri"/>
              </w:rPr>
            </w:pPr>
          </w:p>
        </w:tc>
      </w:tr>
      <w:tr w:rsidR="00354061" w:rsidRPr="00CF7E1B" w14:paraId="35DD4921" w14:textId="77777777" w:rsidTr="00D919F2">
        <w:trPr>
          <w:cantSplit/>
          <w:trHeight w:val="23"/>
        </w:trPr>
        <w:tc>
          <w:tcPr>
            <w:tcW w:w="1558" w:type="dxa"/>
            <w:tcBorders>
              <w:top w:val="nil"/>
              <w:left w:val="single" w:sz="2" w:space="0" w:color="auto"/>
              <w:bottom w:val="nil"/>
              <w:right w:val="single" w:sz="2" w:space="0" w:color="auto"/>
            </w:tcBorders>
          </w:tcPr>
          <w:p w14:paraId="3EA15CD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F742077" w14:textId="77777777" w:rsidR="00354061" w:rsidRPr="00B235BD" w:rsidRDefault="00354061" w:rsidP="00354061">
            <w:pPr>
              <w:pStyle w:val="TableText"/>
              <w:tabs>
                <w:tab w:val="left" w:pos="3306"/>
              </w:tabs>
              <w:rPr>
                <w:rFonts w:cs="Calibri"/>
                <w:b/>
                <w:bCs/>
              </w:rPr>
            </w:pPr>
            <w:r w:rsidRPr="00B235BD">
              <w:rPr>
                <w:rFonts w:cs="Calibri"/>
                <w:b/>
                <w:bCs/>
              </w:rPr>
              <w:t>Total Taxes</w:t>
            </w:r>
          </w:p>
        </w:tc>
        <w:tc>
          <w:tcPr>
            <w:tcW w:w="1236" w:type="dxa"/>
            <w:tcBorders>
              <w:top w:val="single" w:sz="2" w:space="0" w:color="auto"/>
              <w:left w:val="nil"/>
              <w:bottom w:val="single" w:sz="2" w:space="0" w:color="auto"/>
              <w:right w:val="nil"/>
            </w:tcBorders>
            <w:vAlign w:val="bottom"/>
          </w:tcPr>
          <w:p w14:paraId="350E4614" w14:textId="7A44EFFC" w:rsidR="00354061" w:rsidRPr="00B235BD" w:rsidRDefault="00354061" w:rsidP="00354061">
            <w:pPr>
              <w:pStyle w:val="TableText"/>
              <w:tabs>
                <w:tab w:val="left" w:pos="3306"/>
              </w:tabs>
              <w:jc w:val="right"/>
              <w:rPr>
                <w:rFonts w:cs="Calibri"/>
                <w:b/>
                <w:bCs/>
                <w:strike/>
              </w:rPr>
            </w:pPr>
          </w:p>
        </w:tc>
        <w:tc>
          <w:tcPr>
            <w:tcW w:w="1456" w:type="dxa"/>
            <w:gridSpan w:val="2"/>
            <w:tcBorders>
              <w:top w:val="single" w:sz="2" w:space="0" w:color="auto"/>
              <w:left w:val="nil"/>
              <w:bottom w:val="single" w:sz="2" w:space="0" w:color="auto"/>
              <w:right w:val="nil"/>
            </w:tcBorders>
            <w:vAlign w:val="bottom"/>
          </w:tcPr>
          <w:p w14:paraId="7FA346BA" w14:textId="717D9834" w:rsidR="00354061" w:rsidRPr="00B235BD" w:rsidRDefault="00354061" w:rsidP="00354061">
            <w:pPr>
              <w:pStyle w:val="TableText"/>
              <w:tabs>
                <w:tab w:val="left" w:pos="3306"/>
              </w:tabs>
              <w:jc w:val="right"/>
              <w:rPr>
                <w:rFonts w:cs="Calibri"/>
                <w:b/>
                <w:bCs/>
                <w:strike/>
              </w:rPr>
            </w:pPr>
          </w:p>
        </w:tc>
      </w:tr>
      <w:tr w:rsidR="00354061" w:rsidRPr="00F31BA8" w14:paraId="60CB007A" w14:textId="77777777" w:rsidTr="00D919F2">
        <w:trPr>
          <w:cantSplit/>
          <w:trHeight w:val="23"/>
        </w:trPr>
        <w:tc>
          <w:tcPr>
            <w:tcW w:w="1558" w:type="dxa"/>
            <w:tcBorders>
              <w:top w:val="nil"/>
              <w:left w:val="single" w:sz="2" w:space="0" w:color="auto"/>
              <w:bottom w:val="nil"/>
              <w:right w:val="single" w:sz="2" w:space="0" w:color="auto"/>
            </w:tcBorders>
          </w:tcPr>
          <w:p w14:paraId="054B3EB3"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32B105FC" w14:textId="77777777" w:rsidR="00354061" w:rsidRPr="00F31BA8" w:rsidRDefault="00354061" w:rsidP="00354061">
            <w:pPr>
              <w:pStyle w:val="TableText"/>
              <w:tabs>
                <w:tab w:val="left" w:pos="3306"/>
              </w:tabs>
              <w:rPr>
                <w:rFonts w:cs="Calibri"/>
                <w:b/>
                <w:bCs/>
                <w:sz w:val="8"/>
                <w:szCs w:val="8"/>
              </w:rPr>
            </w:pPr>
          </w:p>
        </w:tc>
        <w:tc>
          <w:tcPr>
            <w:tcW w:w="1236" w:type="dxa"/>
            <w:tcBorders>
              <w:top w:val="single" w:sz="2" w:space="0" w:color="auto"/>
              <w:left w:val="nil"/>
              <w:bottom w:val="nil"/>
              <w:right w:val="nil"/>
            </w:tcBorders>
            <w:vAlign w:val="bottom"/>
          </w:tcPr>
          <w:p w14:paraId="4C3F6DC9"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38639EAC" w14:textId="77777777" w:rsidR="00354061" w:rsidRPr="00F31BA8" w:rsidRDefault="00354061" w:rsidP="00354061">
            <w:pPr>
              <w:pStyle w:val="TableText"/>
              <w:tabs>
                <w:tab w:val="left" w:pos="3306"/>
              </w:tabs>
              <w:jc w:val="right"/>
              <w:rPr>
                <w:rFonts w:cs="Calibri"/>
                <w:sz w:val="8"/>
                <w:szCs w:val="8"/>
              </w:rPr>
            </w:pPr>
          </w:p>
        </w:tc>
      </w:tr>
      <w:tr w:rsidR="00354061" w:rsidRPr="00CF7E1B" w14:paraId="623D20F5" w14:textId="77777777" w:rsidTr="00D919F2">
        <w:trPr>
          <w:cantSplit/>
          <w:trHeight w:val="23"/>
        </w:trPr>
        <w:tc>
          <w:tcPr>
            <w:tcW w:w="1558" w:type="dxa"/>
            <w:tcBorders>
              <w:top w:val="nil"/>
              <w:left w:val="single" w:sz="2" w:space="0" w:color="auto"/>
              <w:bottom w:val="nil"/>
              <w:right w:val="single" w:sz="2" w:space="0" w:color="auto"/>
            </w:tcBorders>
          </w:tcPr>
          <w:p w14:paraId="66DE39E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608791" w14:textId="77777777" w:rsidR="00354061" w:rsidRPr="00B235BD" w:rsidRDefault="00354061" w:rsidP="00354061">
            <w:pPr>
              <w:pStyle w:val="TableText"/>
              <w:tabs>
                <w:tab w:val="left" w:pos="3306"/>
              </w:tabs>
              <w:rPr>
                <w:rFonts w:cs="Calibri"/>
                <w:b/>
                <w:bCs/>
              </w:rPr>
            </w:pPr>
            <w:r w:rsidRPr="00B235BD">
              <w:rPr>
                <w:rFonts w:cs="Calibri"/>
                <w:b/>
                <w:bCs/>
              </w:rPr>
              <w:t>Licences</w:t>
            </w:r>
          </w:p>
        </w:tc>
        <w:tc>
          <w:tcPr>
            <w:tcW w:w="1236" w:type="dxa"/>
            <w:tcBorders>
              <w:top w:val="nil"/>
              <w:left w:val="nil"/>
              <w:bottom w:val="nil"/>
              <w:right w:val="nil"/>
            </w:tcBorders>
            <w:vAlign w:val="bottom"/>
          </w:tcPr>
          <w:p w14:paraId="703DC367"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C7E3ED5" w14:textId="77777777" w:rsidR="00354061" w:rsidRPr="00B235BD" w:rsidRDefault="00354061" w:rsidP="00354061">
            <w:pPr>
              <w:pStyle w:val="TableText"/>
              <w:tabs>
                <w:tab w:val="left" w:pos="3306"/>
              </w:tabs>
              <w:jc w:val="right"/>
              <w:rPr>
                <w:rFonts w:cs="Calibri"/>
              </w:rPr>
            </w:pPr>
          </w:p>
        </w:tc>
      </w:tr>
      <w:tr w:rsidR="00354061" w:rsidRPr="00CF7E1B" w14:paraId="2A1C50B1" w14:textId="77777777" w:rsidTr="00D919F2">
        <w:trPr>
          <w:cantSplit/>
          <w:trHeight w:val="23"/>
        </w:trPr>
        <w:tc>
          <w:tcPr>
            <w:tcW w:w="1558" w:type="dxa"/>
            <w:tcBorders>
              <w:top w:val="nil"/>
              <w:left w:val="single" w:sz="2" w:space="0" w:color="auto"/>
              <w:bottom w:val="nil"/>
              <w:right w:val="single" w:sz="2" w:space="0" w:color="auto"/>
            </w:tcBorders>
          </w:tcPr>
          <w:p w14:paraId="5E263DF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C23A981" w14:textId="77777777" w:rsidR="00354061" w:rsidRPr="00B235BD" w:rsidRDefault="00354061" w:rsidP="00354061">
            <w:pPr>
              <w:pStyle w:val="TableText"/>
              <w:tabs>
                <w:tab w:val="left" w:pos="3306"/>
              </w:tabs>
              <w:rPr>
                <w:rFonts w:cs="Calibri"/>
              </w:rPr>
            </w:pPr>
            <w:r w:rsidRPr="00B235BD">
              <w:rPr>
                <w:rFonts w:cs="Calibri"/>
              </w:rPr>
              <w:t>Drivers’ Licences</w:t>
            </w:r>
          </w:p>
        </w:tc>
        <w:tc>
          <w:tcPr>
            <w:tcW w:w="1236" w:type="dxa"/>
            <w:tcBorders>
              <w:top w:val="nil"/>
              <w:left w:val="nil"/>
              <w:bottom w:val="single" w:sz="4" w:space="0" w:color="auto"/>
              <w:right w:val="nil"/>
            </w:tcBorders>
            <w:vAlign w:val="bottom"/>
          </w:tcPr>
          <w:p w14:paraId="7F2AC155" w14:textId="381138AD"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4" w:space="0" w:color="auto"/>
              <w:right w:val="nil"/>
            </w:tcBorders>
            <w:vAlign w:val="bottom"/>
          </w:tcPr>
          <w:p w14:paraId="2647C34E" w14:textId="41B7825E" w:rsidR="00354061" w:rsidRPr="00B235BD" w:rsidRDefault="00354061" w:rsidP="00354061">
            <w:pPr>
              <w:pStyle w:val="TableText"/>
              <w:tabs>
                <w:tab w:val="left" w:pos="3306"/>
              </w:tabs>
              <w:jc w:val="right"/>
              <w:rPr>
                <w:rFonts w:cs="Calibri"/>
              </w:rPr>
            </w:pPr>
          </w:p>
        </w:tc>
      </w:tr>
      <w:tr w:rsidR="00354061" w:rsidRPr="00CF7E1B" w14:paraId="72B3783F" w14:textId="77777777" w:rsidTr="00D919F2">
        <w:trPr>
          <w:cantSplit/>
          <w:trHeight w:val="23"/>
        </w:trPr>
        <w:tc>
          <w:tcPr>
            <w:tcW w:w="1558" w:type="dxa"/>
            <w:tcBorders>
              <w:top w:val="nil"/>
              <w:left w:val="single" w:sz="2" w:space="0" w:color="auto"/>
              <w:bottom w:val="nil"/>
              <w:right w:val="single" w:sz="2" w:space="0" w:color="auto"/>
            </w:tcBorders>
          </w:tcPr>
          <w:p w14:paraId="1B50697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EB1242" w14:textId="77777777" w:rsidR="00354061" w:rsidRPr="00B235BD" w:rsidRDefault="00354061" w:rsidP="00354061">
            <w:pPr>
              <w:pStyle w:val="TableText"/>
              <w:tabs>
                <w:tab w:val="left" w:pos="3306"/>
              </w:tabs>
              <w:rPr>
                <w:rFonts w:cs="Calibri"/>
                <w:b/>
                <w:bCs/>
              </w:rPr>
            </w:pPr>
            <w:r w:rsidRPr="00B235BD">
              <w:rPr>
                <w:rFonts w:cs="Calibri"/>
                <w:b/>
                <w:bCs/>
              </w:rPr>
              <w:t>Total Licences</w:t>
            </w:r>
          </w:p>
        </w:tc>
        <w:tc>
          <w:tcPr>
            <w:tcW w:w="1236" w:type="dxa"/>
            <w:tcBorders>
              <w:top w:val="single" w:sz="4" w:space="0" w:color="auto"/>
              <w:left w:val="nil"/>
              <w:bottom w:val="single" w:sz="4" w:space="0" w:color="auto"/>
              <w:right w:val="nil"/>
            </w:tcBorders>
            <w:vAlign w:val="bottom"/>
          </w:tcPr>
          <w:p w14:paraId="33285CDF" w14:textId="39FA6017" w:rsidR="00354061" w:rsidRPr="00B235BD" w:rsidRDefault="00354061" w:rsidP="00354061">
            <w:pPr>
              <w:pStyle w:val="TableText"/>
              <w:tabs>
                <w:tab w:val="left" w:pos="3306"/>
              </w:tabs>
              <w:jc w:val="right"/>
              <w:rPr>
                <w:rFonts w:cs="Calibri"/>
                <w:b/>
                <w:bCs/>
              </w:rPr>
            </w:pPr>
          </w:p>
        </w:tc>
        <w:tc>
          <w:tcPr>
            <w:tcW w:w="1456" w:type="dxa"/>
            <w:gridSpan w:val="2"/>
            <w:tcBorders>
              <w:top w:val="single" w:sz="4" w:space="0" w:color="auto"/>
              <w:left w:val="nil"/>
              <w:bottom w:val="single" w:sz="4" w:space="0" w:color="auto"/>
              <w:right w:val="nil"/>
            </w:tcBorders>
            <w:vAlign w:val="bottom"/>
          </w:tcPr>
          <w:p w14:paraId="2E7FAA42" w14:textId="07B8073D" w:rsidR="00354061" w:rsidRPr="00B235BD" w:rsidRDefault="00354061" w:rsidP="00354061">
            <w:pPr>
              <w:pStyle w:val="TableText"/>
              <w:tabs>
                <w:tab w:val="left" w:pos="3306"/>
              </w:tabs>
              <w:jc w:val="right"/>
              <w:rPr>
                <w:rFonts w:cs="Calibri"/>
                <w:b/>
                <w:bCs/>
              </w:rPr>
            </w:pPr>
          </w:p>
        </w:tc>
      </w:tr>
      <w:tr w:rsidR="00D262BA" w:rsidRPr="00F31BA8" w14:paraId="7286A894" w14:textId="77777777" w:rsidTr="00D919F2">
        <w:trPr>
          <w:cantSplit/>
          <w:trHeight w:val="23"/>
        </w:trPr>
        <w:tc>
          <w:tcPr>
            <w:tcW w:w="1558" w:type="dxa"/>
            <w:tcBorders>
              <w:top w:val="nil"/>
              <w:left w:val="single" w:sz="2" w:space="0" w:color="auto"/>
              <w:bottom w:val="nil"/>
              <w:right w:val="single" w:sz="2" w:space="0" w:color="auto"/>
            </w:tcBorders>
          </w:tcPr>
          <w:p w14:paraId="25A4BABB" w14:textId="77777777" w:rsidR="00D262BA" w:rsidRPr="00F31BA8" w:rsidRDefault="00D262BA" w:rsidP="00D262BA">
            <w:pPr>
              <w:pStyle w:val="TableReference"/>
              <w:tabs>
                <w:tab w:val="left" w:pos="3306"/>
              </w:tabs>
              <w:rPr>
                <w:rFonts w:cs="Calibri"/>
                <w:color w:val="7030A0"/>
                <w:sz w:val="8"/>
                <w:szCs w:val="8"/>
              </w:rPr>
            </w:pPr>
          </w:p>
        </w:tc>
        <w:tc>
          <w:tcPr>
            <w:tcW w:w="6237" w:type="dxa"/>
            <w:gridSpan w:val="2"/>
            <w:tcBorders>
              <w:top w:val="nil"/>
              <w:left w:val="single" w:sz="2" w:space="0" w:color="auto"/>
              <w:bottom w:val="nil"/>
              <w:right w:val="nil"/>
            </w:tcBorders>
            <w:vAlign w:val="bottom"/>
          </w:tcPr>
          <w:p w14:paraId="3B9C55AD" w14:textId="77777777" w:rsidR="00D262BA" w:rsidRPr="00F31BA8" w:rsidRDefault="00D262BA" w:rsidP="00D262BA">
            <w:pPr>
              <w:pStyle w:val="TableText"/>
              <w:tabs>
                <w:tab w:val="left" w:pos="3306"/>
              </w:tabs>
              <w:spacing w:before="0"/>
              <w:rPr>
                <w:rFonts w:cs="Calibri"/>
                <w:b/>
                <w:bCs/>
                <w:sz w:val="8"/>
                <w:szCs w:val="8"/>
              </w:rPr>
            </w:pPr>
          </w:p>
        </w:tc>
        <w:tc>
          <w:tcPr>
            <w:tcW w:w="1236" w:type="dxa"/>
            <w:tcBorders>
              <w:top w:val="single" w:sz="4" w:space="0" w:color="auto"/>
              <w:left w:val="nil"/>
              <w:bottom w:val="nil"/>
              <w:right w:val="nil"/>
            </w:tcBorders>
            <w:vAlign w:val="bottom"/>
          </w:tcPr>
          <w:p w14:paraId="778F9B18" w14:textId="77777777" w:rsidR="00D262BA" w:rsidRPr="00F31BA8" w:rsidRDefault="00D262BA" w:rsidP="00D262BA">
            <w:pPr>
              <w:pStyle w:val="TableText"/>
              <w:tabs>
                <w:tab w:val="left" w:pos="3306"/>
              </w:tabs>
              <w:spacing w:before="0"/>
              <w:jc w:val="right"/>
              <w:rPr>
                <w:rFonts w:cs="Calibri"/>
                <w:b/>
                <w:bCs/>
                <w:sz w:val="8"/>
                <w:szCs w:val="8"/>
              </w:rPr>
            </w:pPr>
          </w:p>
        </w:tc>
        <w:tc>
          <w:tcPr>
            <w:tcW w:w="1456" w:type="dxa"/>
            <w:gridSpan w:val="2"/>
            <w:tcBorders>
              <w:top w:val="single" w:sz="4" w:space="0" w:color="auto"/>
              <w:left w:val="nil"/>
              <w:bottom w:val="nil"/>
              <w:right w:val="nil"/>
            </w:tcBorders>
            <w:vAlign w:val="bottom"/>
          </w:tcPr>
          <w:p w14:paraId="5B3DF256" w14:textId="77777777" w:rsidR="00D262BA" w:rsidRPr="00F31BA8" w:rsidRDefault="00D262BA" w:rsidP="00D262BA">
            <w:pPr>
              <w:pStyle w:val="TableText"/>
              <w:tabs>
                <w:tab w:val="left" w:pos="3306"/>
              </w:tabs>
              <w:spacing w:before="0"/>
              <w:jc w:val="right"/>
              <w:rPr>
                <w:rFonts w:cs="Calibri"/>
                <w:b/>
                <w:bCs/>
                <w:sz w:val="8"/>
                <w:szCs w:val="8"/>
              </w:rPr>
            </w:pPr>
          </w:p>
        </w:tc>
      </w:tr>
      <w:tr w:rsidR="00354061" w:rsidRPr="00CF7E1B" w14:paraId="4368B025" w14:textId="77777777" w:rsidTr="00D919F2">
        <w:trPr>
          <w:cantSplit/>
          <w:trHeight w:val="23"/>
        </w:trPr>
        <w:tc>
          <w:tcPr>
            <w:tcW w:w="1558" w:type="dxa"/>
            <w:tcBorders>
              <w:top w:val="nil"/>
              <w:left w:val="single" w:sz="2" w:space="0" w:color="auto"/>
              <w:bottom w:val="nil"/>
              <w:right w:val="single" w:sz="2" w:space="0" w:color="auto"/>
            </w:tcBorders>
          </w:tcPr>
          <w:p w14:paraId="6A18F3A8"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A486E17" w14:textId="77777777" w:rsidR="00354061" w:rsidRPr="00B235BD" w:rsidRDefault="00354061" w:rsidP="00354061">
            <w:pPr>
              <w:pStyle w:val="TableText"/>
              <w:tabs>
                <w:tab w:val="left" w:pos="3306"/>
              </w:tabs>
              <w:rPr>
                <w:rFonts w:cs="Calibri"/>
                <w:b/>
                <w:bCs/>
              </w:rPr>
            </w:pPr>
            <w:r w:rsidRPr="00B235BD">
              <w:rPr>
                <w:rFonts w:cs="Calibri"/>
                <w:b/>
                <w:bCs/>
              </w:rPr>
              <w:t>Fees</w:t>
            </w:r>
          </w:p>
        </w:tc>
        <w:tc>
          <w:tcPr>
            <w:tcW w:w="1236" w:type="dxa"/>
            <w:tcBorders>
              <w:top w:val="nil"/>
              <w:left w:val="nil"/>
              <w:bottom w:val="nil"/>
              <w:right w:val="nil"/>
            </w:tcBorders>
            <w:vAlign w:val="bottom"/>
          </w:tcPr>
          <w:p w14:paraId="27B43E13"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8BE30F3" w14:textId="77777777" w:rsidR="00354061" w:rsidRPr="00B235BD" w:rsidRDefault="00354061" w:rsidP="00354061">
            <w:pPr>
              <w:pStyle w:val="TableText"/>
              <w:tabs>
                <w:tab w:val="left" w:pos="3306"/>
              </w:tabs>
              <w:jc w:val="right"/>
              <w:rPr>
                <w:rFonts w:cs="Calibri"/>
              </w:rPr>
            </w:pPr>
          </w:p>
        </w:tc>
      </w:tr>
      <w:tr w:rsidR="00354061" w:rsidRPr="00CF7E1B" w14:paraId="36C8E2BD" w14:textId="77777777" w:rsidTr="00D919F2">
        <w:trPr>
          <w:cantSplit/>
          <w:trHeight w:val="23"/>
        </w:trPr>
        <w:tc>
          <w:tcPr>
            <w:tcW w:w="1558" w:type="dxa"/>
            <w:tcBorders>
              <w:top w:val="nil"/>
              <w:left w:val="single" w:sz="2" w:space="0" w:color="auto"/>
              <w:bottom w:val="nil"/>
              <w:right w:val="single" w:sz="2" w:space="0" w:color="auto"/>
            </w:tcBorders>
          </w:tcPr>
          <w:p w14:paraId="223A5B6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3D23239" w14:textId="77777777" w:rsidR="00354061" w:rsidRPr="00B235BD" w:rsidRDefault="00354061" w:rsidP="00354061">
            <w:pPr>
              <w:pStyle w:val="TableText"/>
              <w:tabs>
                <w:tab w:val="left" w:pos="3306"/>
              </w:tabs>
              <w:rPr>
                <w:rFonts w:cs="Calibri"/>
              </w:rPr>
            </w:pPr>
            <w:r w:rsidRPr="00B235BD">
              <w:rPr>
                <w:rFonts w:cs="Calibri"/>
              </w:rPr>
              <w:t>Fees for Regulatory Services</w:t>
            </w:r>
          </w:p>
        </w:tc>
        <w:tc>
          <w:tcPr>
            <w:tcW w:w="1236" w:type="dxa"/>
            <w:tcBorders>
              <w:top w:val="nil"/>
              <w:left w:val="nil"/>
              <w:bottom w:val="nil"/>
              <w:right w:val="nil"/>
            </w:tcBorders>
            <w:vAlign w:val="bottom"/>
          </w:tcPr>
          <w:p w14:paraId="21DD9571" w14:textId="57814592"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CBAD6A2" w14:textId="55451D48" w:rsidR="00354061" w:rsidRPr="00B235BD" w:rsidRDefault="00354061" w:rsidP="00354061">
            <w:pPr>
              <w:pStyle w:val="TableText"/>
              <w:tabs>
                <w:tab w:val="left" w:pos="3306"/>
              </w:tabs>
              <w:jc w:val="right"/>
              <w:rPr>
                <w:rFonts w:cs="Calibri"/>
              </w:rPr>
            </w:pPr>
          </w:p>
        </w:tc>
      </w:tr>
      <w:tr w:rsidR="00354061" w:rsidRPr="00CF7E1B" w14:paraId="2BBC37D1" w14:textId="77777777" w:rsidTr="00D919F2">
        <w:trPr>
          <w:cantSplit/>
          <w:trHeight w:val="23"/>
        </w:trPr>
        <w:tc>
          <w:tcPr>
            <w:tcW w:w="1558" w:type="dxa"/>
            <w:tcBorders>
              <w:top w:val="nil"/>
              <w:left w:val="single" w:sz="2" w:space="0" w:color="auto"/>
              <w:bottom w:val="nil"/>
              <w:right w:val="single" w:sz="2" w:space="0" w:color="auto"/>
            </w:tcBorders>
          </w:tcPr>
          <w:p w14:paraId="53AF36F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3DD68F2" w14:textId="77777777" w:rsidR="00354061" w:rsidRPr="00B235BD" w:rsidRDefault="00354061" w:rsidP="00354061">
            <w:pPr>
              <w:pStyle w:val="TableText"/>
              <w:tabs>
                <w:tab w:val="left" w:pos="3306"/>
              </w:tabs>
              <w:rPr>
                <w:rFonts w:cs="Calibri"/>
              </w:rPr>
            </w:pPr>
            <w:r w:rsidRPr="00B235BD">
              <w:rPr>
                <w:rFonts w:cs="Calibri"/>
              </w:rPr>
              <w:t>Other Fees</w:t>
            </w:r>
          </w:p>
        </w:tc>
        <w:tc>
          <w:tcPr>
            <w:tcW w:w="1236" w:type="dxa"/>
            <w:tcBorders>
              <w:top w:val="nil"/>
              <w:left w:val="nil"/>
              <w:bottom w:val="single" w:sz="2" w:space="0" w:color="auto"/>
              <w:right w:val="nil"/>
            </w:tcBorders>
            <w:vAlign w:val="bottom"/>
          </w:tcPr>
          <w:p w14:paraId="600FC801" w14:textId="3FF1D03A"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878C220" w14:textId="1556D9E5" w:rsidR="00354061" w:rsidRPr="00B235BD" w:rsidRDefault="00354061" w:rsidP="00354061">
            <w:pPr>
              <w:pStyle w:val="TableText"/>
              <w:tabs>
                <w:tab w:val="left" w:pos="3306"/>
              </w:tabs>
              <w:jc w:val="right"/>
              <w:rPr>
                <w:rFonts w:cs="Calibri"/>
              </w:rPr>
            </w:pPr>
          </w:p>
        </w:tc>
      </w:tr>
      <w:tr w:rsidR="00354061" w:rsidRPr="00CF7E1B" w14:paraId="61E23E8C" w14:textId="77777777" w:rsidTr="00D919F2">
        <w:trPr>
          <w:cantSplit/>
          <w:trHeight w:val="23"/>
        </w:trPr>
        <w:tc>
          <w:tcPr>
            <w:tcW w:w="1558" w:type="dxa"/>
            <w:tcBorders>
              <w:top w:val="nil"/>
              <w:left w:val="single" w:sz="2" w:space="0" w:color="auto"/>
              <w:bottom w:val="nil"/>
              <w:right w:val="single" w:sz="2" w:space="0" w:color="auto"/>
            </w:tcBorders>
          </w:tcPr>
          <w:p w14:paraId="6EB61FDE"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BF18AC6" w14:textId="77777777" w:rsidR="00354061" w:rsidRPr="00B235BD" w:rsidRDefault="00354061" w:rsidP="00354061">
            <w:pPr>
              <w:pStyle w:val="TableText"/>
              <w:tabs>
                <w:tab w:val="left" w:pos="3306"/>
              </w:tabs>
              <w:rPr>
                <w:rFonts w:cs="Calibri"/>
                <w:b/>
                <w:bCs/>
              </w:rPr>
            </w:pPr>
            <w:r w:rsidRPr="00B235BD">
              <w:rPr>
                <w:rFonts w:cs="Calibri"/>
                <w:b/>
                <w:bCs/>
              </w:rPr>
              <w:t>Total Fees</w:t>
            </w:r>
          </w:p>
        </w:tc>
        <w:tc>
          <w:tcPr>
            <w:tcW w:w="1236" w:type="dxa"/>
            <w:tcBorders>
              <w:top w:val="single" w:sz="2" w:space="0" w:color="auto"/>
              <w:left w:val="nil"/>
              <w:bottom w:val="single" w:sz="2" w:space="0" w:color="auto"/>
              <w:right w:val="nil"/>
            </w:tcBorders>
            <w:vAlign w:val="bottom"/>
          </w:tcPr>
          <w:p w14:paraId="5C65A2F9" w14:textId="0F5894EA"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422A0A84" w14:textId="3ACE1717" w:rsidR="00354061" w:rsidRPr="00B235BD" w:rsidRDefault="00354061" w:rsidP="00354061">
            <w:pPr>
              <w:pStyle w:val="TableText"/>
              <w:tabs>
                <w:tab w:val="left" w:pos="3306"/>
              </w:tabs>
              <w:jc w:val="right"/>
              <w:rPr>
                <w:rFonts w:cs="Calibri"/>
                <w:b/>
                <w:bCs/>
              </w:rPr>
            </w:pPr>
          </w:p>
        </w:tc>
      </w:tr>
      <w:tr w:rsidR="00354061" w:rsidRPr="00F31BA8" w14:paraId="78A1807D" w14:textId="77777777" w:rsidTr="00D919F2">
        <w:trPr>
          <w:cantSplit/>
          <w:trHeight w:val="23"/>
        </w:trPr>
        <w:tc>
          <w:tcPr>
            <w:tcW w:w="1558" w:type="dxa"/>
            <w:tcBorders>
              <w:top w:val="nil"/>
              <w:left w:val="single" w:sz="2" w:space="0" w:color="auto"/>
              <w:bottom w:val="nil"/>
              <w:right w:val="single" w:sz="2" w:space="0" w:color="auto"/>
            </w:tcBorders>
          </w:tcPr>
          <w:p w14:paraId="3F865D79"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20BCB1EB" w14:textId="77777777" w:rsidR="00354061" w:rsidRPr="00F31BA8" w:rsidRDefault="00354061" w:rsidP="00354061">
            <w:pPr>
              <w:pStyle w:val="TableText"/>
              <w:tabs>
                <w:tab w:val="left" w:pos="3306"/>
              </w:tabs>
              <w:rPr>
                <w:rFonts w:cs="Calibri"/>
                <w:sz w:val="8"/>
                <w:szCs w:val="8"/>
              </w:rPr>
            </w:pPr>
          </w:p>
        </w:tc>
        <w:tc>
          <w:tcPr>
            <w:tcW w:w="1236" w:type="dxa"/>
            <w:tcBorders>
              <w:top w:val="single" w:sz="2" w:space="0" w:color="auto"/>
              <w:left w:val="nil"/>
              <w:bottom w:val="nil"/>
              <w:right w:val="nil"/>
            </w:tcBorders>
            <w:vAlign w:val="bottom"/>
          </w:tcPr>
          <w:p w14:paraId="02023860"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2A39709A" w14:textId="77777777" w:rsidR="00354061" w:rsidRPr="00F31BA8" w:rsidRDefault="00354061" w:rsidP="00354061">
            <w:pPr>
              <w:pStyle w:val="TableText"/>
              <w:tabs>
                <w:tab w:val="left" w:pos="3306"/>
              </w:tabs>
              <w:jc w:val="right"/>
              <w:rPr>
                <w:rFonts w:cs="Calibri"/>
                <w:sz w:val="8"/>
                <w:szCs w:val="8"/>
              </w:rPr>
            </w:pPr>
          </w:p>
        </w:tc>
      </w:tr>
      <w:tr w:rsidR="00354061" w:rsidRPr="00CF7E1B" w14:paraId="67C35A5A" w14:textId="77777777" w:rsidTr="00D919F2">
        <w:trPr>
          <w:cantSplit/>
          <w:trHeight w:val="23"/>
        </w:trPr>
        <w:tc>
          <w:tcPr>
            <w:tcW w:w="1558" w:type="dxa"/>
            <w:tcBorders>
              <w:top w:val="nil"/>
              <w:left w:val="single" w:sz="2" w:space="0" w:color="auto"/>
              <w:bottom w:val="nil"/>
              <w:right w:val="single" w:sz="2" w:space="0" w:color="auto"/>
            </w:tcBorders>
          </w:tcPr>
          <w:p w14:paraId="66CB234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1A1491E4" w14:textId="77777777" w:rsidR="00354061" w:rsidRPr="00B235BD" w:rsidRDefault="00354061" w:rsidP="00354061">
            <w:pPr>
              <w:pStyle w:val="TableText"/>
              <w:tabs>
                <w:tab w:val="left" w:pos="3306"/>
              </w:tabs>
              <w:rPr>
                <w:rFonts w:cs="Calibri"/>
                <w:b/>
                <w:bCs/>
              </w:rPr>
            </w:pPr>
            <w:r w:rsidRPr="00B235BD">
              <w:rPr>
                <w:rFonts w:cs="Calibri"/>
                <w:b/>
                <w:bCs/>
              </w:rPr>
              <w:t>Fines</w:t>
            </w:r>
          </w:p>
        </w:tc>
        <w:tc>
          <w:tcPr>
            <w:tcW w:w="1236" w:type="dxa"/>
            <w:tcBorders>
              <w:top w:val="nil"/>
              <w:left w:val="nil"/>
              <w:bottom w:val="nil"/>
              <w:right w:val="nil"/>
            </w:tcBorders>
            <w:vAlign w:val="bottom"/>
          </w:tcPr>
          <w:p w14:paraId="222D956C"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9CA0F8C" w14:textId="77777777" w:rsidR="00354061" w:rsidRPr="00B235BD" w:rsidRDefault="00354061" w:rsidP="00354061">
            <w:pPr>
              <w:pStyle w:val="TableText"/>
              <w:tabs>
                <w:tab w:val="left" w:pos="3306"/>
              </w:tabs>
              <w:jc w:val="right"/>
              <w:rPr>
                <w:rFonts w:cs="Calibri"/>
              </w:rPr>
            </w:pPr>
          </w:p>
        </w:tc>
      </w:tr>
      <w:tr w:rsidR="00354061" w:rsidRPr="00CF7E1B" w14:paraId="6FEDDD6C" w14:textId="77777777" w:rsidTr="00D919F2">
        <w:trPr>
          <w:cantSplit/>
          <w:trHeight w:val="23"/>
        </w:trPr>
        <w:tc>
          <w:tcPr>
            <w:tcW w:w="1558" w:type="dxa"/>
            <w:tcBorders>
              <w:top w:val="nil"/>
              <w:left w:val="single" w:sz="2" w:space="0" w:color="auto"/>
              <w:bottom w:val="nil"/>
              <w:right w:val="single" w:sz="2" w:space="0" w:color="auto"/>
            </w:tcBorders>
          </w:tcPr>
          <w:p w14:paraId="4C6E2F7F"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A20FE31" w14:textId="77777777" w:rsidR="00354061" w:rsidRPr="00B235BD" w:rsidRDefault="00354061" w:rsidP="00354061">
            <w:pPr>
              <w:pStyle w:val="TableText"/>
              <w:tabs>
                <w:tab w:val="left" w:pos="3306"/>
              </w:tabs>
              <w:rPr>
                <w:rFonts w:cs="Calibri"/>
              </w:rPr>
            </w:pPr>
            <w:r w:rsidRPr="00B235BD">
              <w:rPr>
                <w:rFonts w:cs="Calibri"/>
              </w:rPr>
              <w:t xml:space="preserve">Traffic Fines </w:t>
            </w:r>
          </w:p>
        </w:tc>
        <w:tc>
          <w:tcPr>
            <w:tcW w:w="1236" w:type="dxa"/>
            <w:tcBorders>
              <w:top w:val="nil"/>
              <w:left w:val="nil"/>
              <w:bottom w:val="nil"/>
              <w:right w:val="nil"/>
            </w:tcBorders>
            <w:vAlign w:val="bottom"/>
          </w:tcPr>
          <w:p w14:paraId="1EC47C96" w14:textId="7310CFCF"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72EC57B6" w14:textId="54559A64" w:rsidR="00354061" w:rsidRPr="00B235BD" w:rsidRDefault="00354061" w:rsidP="00354061">
            <w:pPr>
              <w:pStyle w:val="TableText"/>
              <w:tabs>
                <w:tab w:val="left" w:pos="3306"/>
              </w:tabs>
              <w:jc w:val="right"/>
              <w:rPr>
                <w:rFonts w:cs="Calibri"/>
              </w:rPr>
            </w:pPr>
          </w:p>
        </w:tc>
      </w:tr>
      <w:tr w:rsidR="00354061" w:rsidRPr="00CF7E1B" w14:paraId="7AF1565A" w14:textId="77777777" w:rsidTr="00D919F2">
        <w:trPr>
          <w:cantSplit/>
          <w:trHeight w:val="23"/>
        </w:trPr>
        <w:tc>
          <w:tcPr>
            <w:tcW w:w="1558" w:type="dxa"/>
            <w:tcBorders>
              <w:top w:val="nil"/>
              <w:left w:val="single" w:sz="2" w:space="0" w:color="auto"/>
              <w:bottom w:val="nil"/>
              <w:right w:val="single" w:sz="2" w:space="0" w:color="auto"/>
            </w:tcBorders>
          </w:tcPr>
          <w:p w14:paraId="13545F4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6D75DE4" w14:textId="77777777" w:rsidR="00354061" w:rsidRPr="00B235BD" w:rsidRDefault="00354061" w:rsidP="00354061">
            <w:pPr>
              <w:pStyle w:val="TableText"/>
              <w:tabs>
                <w:tab w:val="left" w:pos="3306"/>
              </w:tabs>
              <w:rPr>
                <w:rFonts w:cs="Calibri"/>
              </w:rPr>
            </w:pPr>
            <w:r w:rsidRPr="00B235BD">
              <w:rPr>
                <w:rFonts w:cs="Calibri"/>
              </w:rPr>
              <w:t xml:space="preserve">Parking Fines </w:t>
            </w:r>
          </w:p>
        </w:tc>
        <w:tc>
          <w:tcPr>
            <w:tcW w:w="1236" w:type="dxa"/>
            <w:tcBorders>
              <w:top w:val="nil"/>
              <w:left w:val="nil"/>
              <w:bottom w:val="single" w:sz="2" w:space="0" w:color="auto"/>
              <w:right w:val="nil"/>
            </w:tcBorders>
            <w:vAlign w:val="bottom"/>
          </w:tcPr>
          <w:p w14:paraId="2F39B16C" w14:textId="30ECA67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3583B8C" w14:textId="67011E1A" w:rsidR="00354061" w:rsidRPr="00B235BD" w:rsidRDefault="00354061" w:rsidP="00354061">
            <w:pPr>
              <w:pStyle w:val="TableText"/>
              <w:tabs>
                <w:tab w:val="left" w:pos="3306"/>
              </w:tabs>
              <w:jc w:val="right"/>
              <w:rPr>
                <w:rFonts w:cs="Calibri"/>
              </w:rPr>
            </w:pPr>
          </w:p>
        </w:tc>
      </w:tr>
      <w:tr w:rsidR="00354061" w:rsidRPr="00CF7E1B" w14:paraId="41DC79A0" w14:textId="77777777" w:rsidTr="00D919F2">
        <w:trPr>
          <w:cantSplit/>
          <w:trHeight w:val="23"/>
        </w:trPr>
        <w:tc>
          <w:tcPr>
            <w:tcW w:w="1558" w:type="dxa"/>
            <w:tcBorders>
              <w:top w:val="nil"/>
              <w:left w:val="single" w:sz="2" w:space="0" w:color="auto"/>
              <w:bottom w:val="nil"/>
              <w:right w:val="single" w:sz="2" w:space="0" w:color="auto"/>
            </w:tcBorders>
          </w:tcPr>
          <w:p w14:paraId="178ABB8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047DA44" w14:textId="77777777" w:rsidR="00354061" w:rsidRPr="00B235BD" w:rsidRDefault="00354061" w:rsidP="00354061">
            <w:pPr>
              <w:pStyle w:val="TableText"/>
              <w:tabs>
                <w:tab w:val="left" w:pos="3306"/>
              </w:tabs>
              <w:rPr>
                <w:rFonts w:cs="Calibri"/>
                <w:b/>
                <w:bCs/>
              </w:rPr>
            </w:pPr>
            <w:r w:rsidRPr="00B235BD">
              <w:rPr>
                <w:rFonts w:cs="Calibri"/>
                <w:b/>
                <w:bCs/>
              </w:rPr>
              <w:t>Total Fines</w:t>
            </w:r>
          </w:p>
        </w:tc>
        <w:tc>
          <w:tcPr>
            <w:tcW w:w="1236" w:type="dxa"/>
            <w:tcBorders>
              <w:top w:val="single" w:sz="2" w:space="0" w:color="auto"/>
              <w:left w:val="nil"/>
              <w:bottom w:val="single" w:sz="2" w:space="0" w:color="auto"/>
              <w:right w:val="nil"/>
            </w:tcBorders>
            <w:vAlign w:val="bottom"/>
          </w:tcPr>
          <w:p w14:paraId="1F8D4875" w14:textId="1886D672"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0A217D9C" w14:textId="01BBB120" w:rsidR="00354061" w:rsidRPr="00B235BD" w:rsidRDefault="00354061" w:rsidP="00354061">
            <w:pPr>
              <w:pStyle w:val="TableText"/>
              <w:tabs>
                <w:tab w:val="left" w:pos="3306"/>
              </w:tabs>
              <w:jc w:val="right"/>
              <w:rPr>
                <w:rFonts w:cs="Calibri"/>
                <w:b/>
                <w:bCs/>
              </w:rPr>
            </w:pPr>
          </w:p>
        </w:tc>
      </w:tr>
      <w:tr w:rsidR="00354061" w:rsidRPr="00F31BA8" w14:paraId="2D717095" w14:textId="77777777" w:rsidTr="00D919F2">
        <w:trPr>
          <w:cantSplit/>
          <w:trHeight w:val="146"/>
        </w:trPr>
        <w:tc>
          <w:tcPr>
            <w:tcW w:w="1558" w:type="dxa"/>
            <w:tcBorders>
              <w:top w:val="nil"/>
              <w:left w:val="single" w:sz="2" w:space="0" w:color="auto"/>
              <w:bottom w:val="nil"/>
              <w:right w:val="single" w:sz="2" w:space="0" w:color="auto"/>
            </w:tcBorders>
          </w:tcPr>
          <w:p w14:paraId="4232D28E" w14:textId="77777777" w:rsidR="00354061" w:rsidRPr="00F31BA8" w:rsidRDefault="00354061" w:rsidP="00354061">
            <w:pPr>
              <w:pStyle w:val="TableReference"/>
              <w:tabs>
                <w:tab w:val="left" w:pos="3306"/>
              </w:tabs>
              <w:spacing w:before="40"/>
              <w:rPr>
                <w:rFonts w:cs="Calibri"/>
                <w:color w:val="7030A0"/>
                <w:szCs w:val="12"/>
              </w:rPr>
            </w:pPr>
          </w:p>
        </w:tc>
        <w:tc>
          <w:tcPr>
            <w:tcW w:w="6237" w:type="dxa"/>
            <w:gridSpan w:val="2"/>
            <w:tcBorders>
              <w:top w:val="nil"/>
              <w:left w:val="single" w:sz="2" w:space="0" w:color="auto"/>
              <w:bottom w:val="nil"/>
              <w:right w:val="nil"/>
            </w:tcBorders>
            <w:vAlign w:val="bottom"/>
          </w:tcPr>
          <w:p w14:paraId="32C46CDA" w14:textId="77777777" w:rsidR="00354061" w:rsidRPr="00F31BA8" w:rsidRDefault="00354061" w:rsidP="00354061">
            <w:pPr>
              <w:pStyle w:val="TableText"/>
              <w:tabs>
                <w:tab w:val="left" w:pos="3306"/>
              </w:tabs>
              <w:rPr>
                <w:rFonts w:cs="Calibri"/>
                <w:sz w:val="12"/>
                <w:szCs w:val="12"/>
              </w:rPr>
            </w:pPr>
          </w:p>
        </w:tc>
        <w:tc>
          <w:tcPr>
            <w:tcW w:w="1236" w:type="dxa"/>
            <w:tcBorders>
              <w:top w:val="single" w:sz="2" w:space="0" w:color="auto"/>
              <w:left w:val="nil"/>
              <w:bottom w:val="single" w:sz="2" w:space="0" w:color="auto"/>
              <w:right w:val="nil"/>
            </w:tcBorders>
            <w:vAlign w:val="bottom"/>
          </w:tcPr>
          <w:p w14:paraId="3490A3D0" w14:textId="77777777" w:rsidR="00354061" w:rsidRPr="00F31BA8" w:rsidRDefault="00354061" w:rsidP="00354061">
            <w:pPr>
              <w:pStyle w:val="TableText"/>
              <w:tabs>
                <w:tab w:val="left" w:pos="3306"/>
              </w:tabs>
              <w:jc w:val="right"/>
              <w:rPr>
                <w:rFonts w:cs="Calibri"/>
                <w:sz w:val="12"/>
                <w:szCs w:val="12"/>
              </w:rPr>
            </w:pPr>
          </w:p>
        </w:tc>
        <w:tc>
          <w:tcPr>
            <w:tcW w:w="1456" w:type="dxa"/>
            <w:gridSpan w:val="2"/>
            <w:tcBorders>
              <w:top w:val="single" w:sz="2" w:space="0" w:color="auto"/>
              <w:left w:val="nil"/>
              <w:bottom w:val="single" w:sz="2" w:space="0" w:color="auto"/>
              <w:right w:val="nil"/>
            </w:tcBorders>
            <w:vAlign w:val="bottom"/>
          </w:tcPr>
          <w:p w14:paraId="2BE93A61" w14:textId="77777777" w:rsidR="00354061" w:rsidRPr="00F31BA8" w:rsidRDefault="00354061" w:rsidP="00354061">
            <w:pPr>
              <w:pStyle w:val="TableText"/>
              <w:tabs>
                <w:tab w:val="left" w:pos="3306"/>
              </w:tabs>
              <w:jc w:val="right"/>
              <w:rPr>
                <w:rFonts w:cs="Calibri"/>
                <w:sz w:val="12"/>
                <w:szCs w:val="12"/>
              </w:rPr>
            </w:pPr>
          </w:p>
        </w:tc>
      </w:tr>
      <w:tr w:rsidR="00354061" w:rsidRPr="00CF7E1B" w14:paraId="5F46C406" w14:textId="77777777" w:rsidTr="00D919F2">
        <w:trPr>
          <w:cantSplit/>
          <w:trHeight w:val="23"/>
        </w:trPr>
        <w:tc>
          <w:tcPr>
            <w:tcW w:w="1558" w:type="dxa"/>
            <w:tcBorders>
              <w:top w:val="nil"/>
              <w:left w:val="single" w:sz="2" w:space="0" w:color="auto"/>
              <w:bottom w:val="nil"/>
              <w:right w:val="single" w:sz="2" w:space="0" w:color="auto"/>
            </w:tcBorders>
          </w:tcPr>
          <w:p w14:paraId="73F8D9B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46C23" w14:textId="1B0A7507" w:rsidR="00354061" w:rsidRPr="00B235BD" w:rsidRDefault="00354061" w:rsidP="00354061">
            <w:pPr>
              <w:pStyle w:val="TableText"/>
              <w:tabs>
                <w:tab w:val="left" w:pos="3306"/>
              </w:tabs>
              <w:rPr>
                <w:rFonts w:cs="Calibri"/>
                <w:b/>
                <w:bCs/>
              </w:rPr>
            </w:pPr>
            <w:r w:rsidRPr="00B235BD">
              <w:rPr>
                <w:rFonts w:cs="Calibri"/>
                <w:b/>
                <w:bCs/>
              </w:rPr>
              <w:t xml:space="preserve">Total Taxes, </w:t>
            </w:r>
            <w:r w:rsidR="00D262BA" w:rsidRPr="00B235BD">
              <w:rPr>
                <w:rFonts w:cs="Calibri"/>
                <w:b/>
                <w:bCs/>
              </w:rPr>
              <w:t xml:space="preserve">Licences, </w:t>
            </w:r>
            <w:r w:rsidRPr="00B235BD">
              <w:rPr>
                <w:rFonts w:cs="Calibri"/>
                <w:b/>
                <w:bCs/>
              </w:rPr>
              <w:t>Fees and Fines</w:t>
            </w:r>
          </w:p>
        </w:tc>
        <w:tc>
          <w:tcPr>
            <w:tcW w:w="1236" w:type="dxa"/>
            <w:tcBorders>
              <w:top w:val="single" w:sz="2" w:space="0" w:color="auto"/>
              <w:left w:val="nil"/>
              <w:bottom w:val="double" w:sz="4" w:space="0" w:color="auto"/>
              <w:right w:val="nil"/>
            </w:tcBorders>
            <w:vAlign w:val="bottom"/>
          </w:tcPr>
          <w:p w14:paraId="067558E7" w14:textId="57B52B34"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double" w:sz="4" w:space="0" w:color="auto"/>
              <w:right w:val="nil"/>
            </w:tcBorders>
            <w:vAlign w:val="bottom"/>
          </w:tcPr>
          <w:p w14:paraId="5EE055C1" w14:textId="07DD8147" w:rsidR="00354061" w:rsidRPr="00B235BD" w:rsidRDefault="00354061" w:rsidP="00354061">
            <w:pPr>
              <w:pStyle w:val="TableText"/>
              <w:tabs>
                <w:tab w:val="left" w:pos="3306"/>
              </w:tabs>
              <w:jc w:val="right"/>
              <w:rPr>
                <w:rFonts w:cs="Calibri"/>
                <w:b/>
                <w:bCs/>
              </w:rPr>
            </w:pPr>
          </w:p>
        </w:tc>
      </w:tr>
      <w:tr w:rsidR="00854776" w:rsidRPr="00CF7E1B" w14:paraId="7D443DA2"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999B1E0" w14:textId="3C307C58" w:rsidR="00854776" w:rsidRPr="00B235BD" w:rsidRDefault="00F22D61" w:rsidP="00C24DC3">
            <w:pPr>
              <w:pStyle w:val="TableReference"/>
              <w:tabs>
                <w:tab w:val="left" w:pos="3306"/>
              </w:tabs>
              <w:spacing w:before="240" w:after="240"/>
              <w:rPr>
                <w:rFonts w:cs="Calibri"/>
                <w:b/>
                <w:color w:val="7030A0"/>
                <w:sz w:val="20"/>
                <w:szCs w:val="20"/>
              </w:rPr>
            </w:pPr>
            <w:r>
              <w:br w:type="page"/>
            </w:r>
            <w:r w:rsidR="008A5268" w:rsidRPr="00B235BD">
              <w:rPr>
                <w:color w:val="7030A0"/>
              </w:rPr>
              <w:br w:type="page"/>
            </w:r>
            <w:r w:rsidR="00854776" w:rsidRPr="00B235BD">
              <w:rPr>
                <w:rFonts w:cs="Calibri"/>
                <w:color w:val="7030A0"/>
              </w:rPr>
              <w:br w:type="page"/>
            </w:r>
            <w:r w:rsidR="00B235BD" w:rsidRPr="00B235BD">
              <w:rPr>
                <w:rFonts w:asciiTheme="minorHAnsi" w:hAnsiTheme="minorHAnsi" w:cstheme="minorHAnsi"/>
                <w:b/>
                <w:bCs/>
                <w:color w:val="7030A0"/>
                <w:sz w:val="22"/>
                <w:szCs w:val="22"/>
              </w:rPr>
              <w:t>Reference</w:t>
            </w:r>
          </w:p>
        </w:tc>
        <w:tc>
          <w:tcPr>
            <w:tcW w:w="8929" w:type="dxa"/>
            <w:gridSpan w:val="5"/>
            <w:tcBorders>
              <w:left w:val="single" w:sz="2" w:space="0" w:color="auto"/>
            </w:tcBorders>
            <w:shd w:val="clear" w:color="auto" w:fill="7030A0"/>
          </w:tcPr>
          <w:p w14:paraId="3849AB7A" w14:textId="5B3D1C1A" w:rsidR="00854776" w:rsidRPr="00B235BD" w:rsidRDefault="00854776" w:rsidP="00C24DC3">
            <w:pPr>
              <w:pStyle w:val="CommentaryTitle"/>
              <w:pageBreakBefore w:val="0"/>
              <w:tabs>
                <w:tab w:val="left" w:pos="3306"/>
              </w:tabs>
              <w:spacing w:before="240" w:after="240"/>
              <w:rPr>
                <w:rFonts w:cs="Calibri"/>
                <w:color w:val="FFFFFF" w:themeColor="background1"/>
                <w:sz w:val="28"/>
                <w:szCs w:val="28"/>
              </w:rPr>
            </w:pPr>
            <w:bookmarkStart w:id="1047" w:name="_Toc163106413"/>
            <w:r w:rsidRPr="00B235BD">
              <w:rPr>
                <w:rFonts w:cs="Calibri"/>
                <w:color w:val="FFFFFF" w:themeColor="background1"/>
                <w:sz w:val="28"/>
                <w:szCs w:val="28"/>
              </w:rPr>
              <w:t xml:space="preserve">Commentary – Note </w:t>
            </w:r>
            <w:r w:rsidR="00563F4A" w:rsidRPr="00B235BD">
              <w:rPr>
                <w:rFonts w:cs="Calibri"/>
                <w:color w:val="FFFFFF" w:themeColor="background1"/>
                <w:sz w:val="28"/>
                <w:szCs w:val="28"/>
              </w:rPr>
              <w:t>4</w:t>
            </w:r>
            <w:r w:rsidR="00E86853" w:rsidRPr="00B235BD">
              <w:rPr>
                <w:rFonts w:cs="Calibri"/>
                <w:color w:val="FFFFFF" w:themeColor="background1"/>
                <w:sz w:val="28"/>
                <w:szCs w:val="28"/>
              </w:rPr>
              <w:t>2</w:t>
            </w:r>
            <w:r w:rsidRPr="00B235BD">
              <w:rPr>
                <w:rFonts w:cs="Calibri"/>
                <w:color w:val="FFFFFF" w:themeColor="background1"/>
                <w:sz w:val="28"/>
                <w:szCs w:val="28"/>
              </w:rPr>
              <w:t>: Taxes,</w:t>
            </w:r>
            <w:r w:rsidR="00BE195A" w:rsidRPr="00B235BD">
              <w:rPr>
                <w:rFonts w:cs="Calibri"/>
                <w:color w:val="FFFFFF" w:themeColor="background1"/>
                <w:sz w:val="28"/>
                <w:szCs w:val="28"/>
              </w:rPr>
              <w:t xml:space="preserve"> Licences,</w:t>
            </w:r>
            <w:r w:rsidRPr="00B235BD">
              <w:rPr>
                <w:rFonts w:cs="Calibri"/>
                <w:color w:val="FFFFFF" w:themeColor="background1"/>
                <w:sz w:val="28"/>
                <w:szCs w:val="28"/>
              </w:rPr>
              <w:t xml:space="preserve"> Fees and Fines – Territorial</w:t>
            </w:r>
            <w:bookmarkEnd w:id="1047"/>
          </w:p>
        </w:tc>
      </w:tr>
      <w:tr w:rsidR="00854776" w:rsidRPr="00CF7E1B" w14:paraId="46F245D0"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DFD79A5" w14:textId="77777777" w:rsidR="00854776" w:rsidRPr="00B235BD" w:rsidRDefault="00854776" w:rsidP="00854776">
            <w:pPr>
              <w:pStyle w:val="TableReference"/>
              <w:tabs>
                <w:tab w:val="left" w:pos="3306"/>
              </w:tabs>
              <w:rPr>
                <w:rFonts w:cs="Calibri"/>
                <w:color w:val="7030A0"/>
                <w:sz w:val="14"/>
              </w:rPr>
            </w:pPr>
            <w:r w:rsidRPr="00B235BD">
              <w:rPr>
                <w:rFonts w:cs="Calibri"/>
                <w:color w:val="7030A0"/>
                <w:sz w:val="14"/>
              </w:rPr>
              <w:t>ACT Disclosure Policy</w:t>
            </w:r>
          </w:p>
          <w:p w14:paraId="40308A48" w14:textId="77777777" w:rsidR="00854776" w:rsidRPr="00B235BD" w:rsidRDefault="00854776" w:rsidP="00854776">
            <w:pPr>
              <w:pStyle w:val="TableReference"/>
              <w:tabs>
                <w:tab w:val="left" w:pos="3306"/>
              </w:tabs>
              <w:rPr>
                <w:rFonts w:cs="Calibri"/>
                <w:color w:val="7030A0"/>
                <w:sz w:val="14"/>
              </w:rPr>
            </w:pPr>
          </w:p>
          <w:p w14:paraId="1C4F8C11" w14:textId="77777777" w:rsidR="00854776" w:rsidRPr="00B235BD" w:rsidRDefault="00854776" w:rsidP="00854776">
            <w:pPr>
              <w:pStyle w:val="TableReference"/>
              <w:tabs>
                <w:tab w:val="left" w:pos="3306"/>
              </w:tabs>
              <w:rPr>
                <w:rFonts w:cs="Calibri"/>
                <w:color w:val="7030A0"/>
                <w:sz w:val="14"/>
              </w:rPr>
            </w:pPr>
          </w:p>
          <w:p w14:paraId="79C25979" w14:textId="4F8C2BD6" w:rsidR="00854776" w:rsidRPr="00B235BD" w:rsidRDefault="00854776" w:rsidP="00854776">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3113A32" w14:textId="77AFD245" w:rsidR="00854776" w:rsidRPr="00B235BD" w:rsidRDefault="00854776" w:rsidP="00B66BE0">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The break-up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shown here is an example only.</w:t>
            </w:r>
            <w:r w:rsidR="00FA7C77">
              <w:rPr>
                <w:rFonts w:cs="Calibri"/>
                <w:color w:val="FFFFFF" w:themeColor="background1"/>
                <w:sz w:val="18"/>
                <w:szCs w:val="18"/>
              </w:rPr>
              <w:t xml:space="preserve"> </w:t>
            </w:r>
            <w:r w:rsidRPr="00B235BD">
              <w:rPr>
                <w:rFonts w:cs="Calibri"/>
                <w:color w:val="FFFFFF" w:themeColor="background1"/>
                <w:sz w:val="18"/>
                <w:szCs w:val="18"/>
              </w:rPr>
              <w:t xml:space="preserve">As Taxes, </w:t>
            </w:r>
            <w:r w:rsidR="00D262BA" w:rsidRPr="00B235BD">
              <w:rPr>
                <w:rFonts w:cs="Calibri"/>
                <w:color w:val="FFFFFF" w:themeColor="background1"/>
                <w:sz w:val="18"/>
                <w:szCs w:val="18"/>
              </w:rPr>
              <w:t>Licences,</w:t>
            </w:r>
            <w:r w:rsidR="007E638B" w:rsidRPr="00B235BD">
              <w:rPr>
                <w:rFonts w:cs="Calibri"/>
                <w:color w:val="FFFFFF" w:themeColor="background1"/>
                <w:sz w:val="18"/>
                <w:szCs w:val="18"/>
              </w:rPr>
              <w:t xml:space="preserve"> </w:t>
            </w:r>
            <w:r w:rsidRPr="00B235BD">
              <w:rPr>
                <w:rFonts w:cs="Calibri"/>
                <w:color w:val="FFFFFF" w:themeColor="background1"/>
                <w:sz w:val="18"/>
                <w:szCs w:val="18"/>
              </w:rPr>
              <w:t>Fees and Fines collected are generally unique to each agency, the break-up of this note disclosure will differ between agencies.</w:t>
            </w:r>
            <w:r w:rsidR="00FA7C77">
              <w:rPr>
                <w:rFonts w:cs="Calibri"/>
                <w:color w:val="FFFFFF" w:themeColor="background1"/>
                <w:sz w:val="18"/>
                <w:szCs w:val="18"/>
              </w:rPr>
              <w:t xml:space="preserve"> </w:t>
            </w:r>
            <w:r w:rsidRPr="00B235BD">
              <w:rPr>
                <w:rFonts w:cs="Calibri"/>
                <w:color w:val="FFFFFF" w:themeColor="background1"/>
                <w:sz w:val="18"/>
                <w:szCs w:val="18"/>
              </w:rPr>
              <w:t xml:space="preserve">Agencies will need to disclose relevant line items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that apply to them.</w:t>
            </w:r>
            <w:r w:rsidR="00FA7C77">
              <w:rPr>
                <w:rFonts w:cs="Calibri"/>
                <w:color w:val="FFFFFF" w:themeColor="background1"/>
                <w:sz w:val="18"/>
                <w:szCs w:val="18"/>
              </w:rPr>
              <w:t xml:space="preserve"> </w:t>
            </w:r>
            <w:r w:rsidRPr="00B235BD">
              <w:rPr>
                <w:rFonts w:cs="Calibri"/>
                <w:color w:val="FFFFFF" w:themeColor="background1"/>
                <w:sz w:val="18"/>
                <w:szCs w:val="18"/>
              </w:rPr>
              <w:t>It is ACT Disclosure policy that all material line items within Taxes,</w:t>
            </w:r>
            <w:r w:rsidR="00D262BA" w:rsidRPr="00B235BD">
              <w:rPr>
                <w:rFonts w:cs="Calibri"/>
                <w:color w:val="FFFFFF" w:themeColor="background1"/>
                <w:sz w:val="18"/>
                <w:szCs w:val="18"/>
              </w:rPr>
              <w:t xml:space="preserve"> Licences,</w:t>
            </w:r>
            <w:r w:rsidRPr="00B235BD">
              <w:rPr>
                <w:rFonts w:cs="Calibri"/>
                <w:color w:val="FFFFFF" w:themeColor="background1"/>
                <w:sz w:val="18"/>
                <w:szCs w:val="18"/>
              </w:rPr>
              <w:t xml:space="preserve"> Fees and Fines be separately disclosed in this note.</w:t>
            </w:r>
          </w:p>
        </w:tc>
      </w:tr>
      <w:tr w:rsidR="00170787" w:rsidRPr="00CF7E1B" w14:paraId="11B6EFE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0C3DCAC" w14:textId="77777777" w:rsidR="00170787" w:rsidRPr="00B235BD" w:rsidRDefault="00170787" w:rsidP="00170787">
            <w:pPr>
              <w:pStyle w:val="TableReference"/>
              <w:tabs>
                <w:tab w:val="left" w:pos="3306"/>
              </w:tabs>
              <w:spacing w:before="60"/>
              <w:rPr>
                <w:rFonts w:cs="Calibri"/>
                <w:color w:val="7030A0"/>
                <w:sz w:val="14"/>
              </w:rPr>
            </w:pPr>
            <w:r w:rsidRPr="00B235BD">
              <w:rPr>
                <w:rFonts w:cs="Calibri"/>
                <w:color w:val="7030A0"/>
                <w:sz w:val="14"/>
              </w:rPr>
              <w:t>ACT Disclosure Policy</w:t>
            </w:r>
          </w:p>
          <w:p w14:paraId="265FF24D"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9DF2C65" w14:textId="4F3A7DB7"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In addition, agencies should modify the length of the description and material accounting policies provided for each revenue type based on the materiality and complexity of that revenue type.</w:t>
            </w:r>
            <w:r w:rsidR="00FA7C77">
              <w:rPr>
                <w:rFonts w:cs="Calibri"/>
                <w:color w:val="FFFFFF" w:themeColor="background1"/>
                <w:sz w:val="18"/>
                <w:szCs w:val="18"/>
              </w:rPr>
              <w:t xml:space="preserve"> </w:t>
            </w:r>
            <w:r w:rsidRPr="00B235BD">
              <w:rPr>
                <w:rFonts w:cs="Calibri"/>
                <w:color w:val="FFFFFF" w:themeColor="background1"/>
                <w:sz w:val="18"/>
                <w:szCs w:val="18"/>
              </w:rPr>
              <w:t xml:space="preserve">That is, the more material and complex the revenue type, the </w:t>
            </w:r>
            <w:r w:rsidR="003173AE" w:rsidRPr="00D239F9">
              <w:rPr>
                <w:rFonts w:cs="Calibri"/>
                <w:color w:val="FF0000"/>
                <w:sz w:val="18"/>
                <w:szCs w:val="18"/>
              </w:rPr>
              <w:t>more detailed</w:t>
            </w:r>
            <w:r w:rsidR="003173AE" w:rsidRPr="00D239F9">
              <w:rPr>
                <w:rFonts w:cs="Calibri"/>
                <w:strike/>
                <w:color w:val="FF0000"/>
                <w:sz w:val="18"/>
                <w:szCs w:val="18"/>
              </w:rPr>
              <w:t xml:space="preserve"> longer</w:t>
            </w:r>
            <w:r w:rsidRPr="00D239F9">
              <w:rPr>
                <w:rFonts w:cs="Calibri"/>
                <w:color w:val="FFFFFF" w:themeColor="background1"/>
                <w:sz w:val="18"/>
                <w:szCs w:val="18"/>
              </w:rPr>
              <w:t xml:space="preserve"> the description and accounting policy should be for that revenue type.</w:t>
            </w:r>
            <w:r w:rsidR="00FA7C77" w:rsidRPr="00D239F9">
              <w:rPr>
                <w:rFonts w:cs="Calibri"/>
                <w:color w:val="FFFFFF" w:themeColor="background1"/>
                <w:sz w:val="18"/>
                <w:szCs w:val="18"/>
              </w:rPr>
              <w:t xml:space="preserve"> </w:t>
            </w:r>
            <w:r w:rsidRPr="00D239F9">
              <w:rPr>
                <w:rFonts w:cs="Calibri"/>
                <w:color w:val="FFFFFF" w:themeColor="background1"/>
                <w:sz w:val="18"/>
                <w:szCs w:val="18"/>
              </w:rPr>
              <w:t xml:space="preserve">The less material and complex the revenue type, the </w:t>
            </w:r>
            <w:r w:rsidR="003173AE" w:rsidRPr="00D239F9">
              <w:rPr>
                <w:rFonts w:cs="Calibri"/>
                <w:color w:val="FF0000"/>
                <w:sz w:val="18"/>
                <w:szCs w:val="18"/>
              </w:rPr>
              <w:t xml:space="preserve">less detailed </w:t>
            </w:r>
            <w:r w:rsidR="003173AE" w:rsidRPr="00D239F9">
              <w:rPr>
                <w:rFonts w:cs="Calibri"/>
                <w:strike/>
                <w:color w:val="FF0000"/>
                <w:sz w:val="18"/>
                <w:szCs w:val="18"/>
              </w:rPr>
              <w:t>shorter</w:t>
            </w:r>
            <w:r w:rsidRPr="00D239F9">
              <w:rPr>
                <w:rFonts w:cs="Calibri"/>
                <w:color w:val="FFFFFF" w:themeColor="background1"/>
                <w:sz w:val="18"/>
                <w:szCs w:val="18"/>
              </w:rPr>
              <w:t xml:space="preserve"> the</w:t>
            </w:r>
            <w:r w:rsidRPr="00B235BD">
              <w:rPr>
                <w:rFonts w:cs="Calibri"/>
                <w:color w:val="FFFFFF" w:themeColor="background1"/>
                <w:sz w:val="18"/>
                <w:szCs w:val="18"/>
              </w:rPr>
              <w:t xml:space="preserve"> description and accounting policy should be for that revenue type.</w:t>
            </w:r>
          </w:p>
        </w:tc>
      </w:tr>
      <w:tr w:rsidR="00170787" w:rsidRPr="00CF7E1B" w14:paraId="0CF0585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A2AEF01"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1C1FD9B9" w14:textId="25D4FDCF"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Revenue from licences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15 (see exemptions below), while income from taxes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1058.</w:t>
            </w:r>
          </w:p>
        </w:tc>
      </w:tr>
      <w:tr w:rsidR="00170787" w:rsidRPr="00CF7E1B" w14:paraId="4DE9F7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6289FF3" w14:textId="77777777" w:rsidR="00170787" w:rsidRPr="00B235BD" w:rsidRDefault="00170787" w:rsidP="00114653">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2DB813D" w14:textId="68615B66" w:rsidR="00170787" w:rsidRPr="00B235BD" w:rsidRDefault="00170787" w:rsidP="00170787">
            <w:pPr>
              <w:pStyle w:val="CommentaryText"/>
              <w:spacing w:after="40"/>
              <w:rPr>
                <w:rFonts w:cs="Calibri"/>
                <w:color w:val="FFFFFF" w:themeColor="background1"/>
                <w:sz w:val="18"/>
                <w:szCs w:val="18"/>
              </w:rPr>
            </w:pPr>
            <w:r w:rsidRPr="00B235BD">
              <w:rPr>
                <w:rFonts w:cs="Calibri"/>
                <w:color w:val="FFFFFF" w:themeColor="background1"/>
                <w:sz w:val="18"/>
                <w:szCs w:val="18"/>
              </w:rPr>
              <w:t xml:space="preserve">AASB 15 contains guidance for application by not-for-profit public sector licensors including: </w:t>
            </w:r>
          </w:p>
          <w:p w14:paraId="39F9AFD7" w14:textId="6C4B6F57" w:rsidR="00170787" w:rsidRPr="00B235BD" w:rsidRDefault="00854F9A"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for </w:t>
            </w:r>
            <w:r w:rsidR="00170787" w:rsidRPr="00B235BD">
              <w:rPr>
                <w:rFonts w:cs="Calibri"/>
                <w:color w:val="FFFFFF" w:themeColor="background1"/>
                <w:sz w:val="18"/>
                <w:szCs w:val="18"/>
              </w:rPr>
              <w:t xml:space="preserve">non-contractual licences; </w:t>
            </w:r>
          </w:p>
          <w:p w14:paraId="3ADBAB2B" w14:textId="58F2D074"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distinguishing a licence from a tax;</w:t>
            </w:r>
          </w:p>
          <w:p w14:paraId="184255DC" w14:textId="644258C3"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types of licences issued by not-for-profit public sector licensors; </w:t>
            </w:r>
          </w:p>
          <w:p w14:paraId="43E4861B" w14:textId="1ECE4DB7"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application of its principles to licences that are not within the scope of other Australian Accounting Standards; and </w:t>
            </w:r>
          </w:p>
          <w:p w14:paraId="2F8CF6EF" w14:textId="545B0BF0" w:rsidR="00170787" w:rsidRPr="00B235BD" w:rsidRDefault="00170787" w:rsidP="00CB31DE">
            <w:pPr>
              <w:pStyle w:val="CommentaryText"/>
              <w:numPr>
                <w:ilvl w:val="1"/>
                <w:numId w:val="33"/>
              </w:numPr>
              <w:ind w:left="452" w:hanging="357"/>
              <w:rPr>
                <w:rFonts w:cs="Calibri"/>
                <w:color w:val="FFFFFF" w:themeColor="background1"/>
                <w:sz w:val="18"/>
                <w:szCs w:val="18"/>
              </w:rPr>
            </w:pPr>
            <w:r w:rsidRPr="00B235BD">
              <w:rPr>
                <w:rFonts w:cs="Calibri"/>
                <w:color w:val="FFFFFF" w:themeColor="background1"/>
                <w:sz w:val="18"/>
                <w:szCs w:val="18"/>
              </w:rPr>
              <w:t>providing recognition exemptions for short-term licences (a term of 12 months or less) and licences issued for a low transaction price (ACT Government agencies will apply a threshold of $10,000 to determine whether a licence has a low-transaction price).</w:t>
            </w:r>
            <w:r w:rsidR="00FA7C77">
              <w:rPr>
                <w:rFonts w:cs="Calibri"/>
                <w:color w:val="FFFFFF" w:themeColor="background1"/>
                <w:sz w:val="18"/>
                <w:szCs w:val="18"/>
              </w:rPr>
              <w:t xml:space="preserve"> </w:t>
            </w:r>
            <w:r w:rsidRPr="00B235BD">
              <w:rPr>
                <w:rFonts w:cs="Calibri"/>
                <w:color w:val="FFFFFF" w:themeColor="background1"/>
                <w:sz w:val="18"/>
                <w:szCs w:val="18"/>
              </w:rPr>
              <w:t>In these cases, revenue is recognised either at the point in time the licence is issued, or on a straight-line basis over the licence term or another systematic basis.</w:t>
            </w:r>
          </w:p>
        </w:tc>
      </w:tr>
      <w:tr w:rsidR="00170787" w:rsidRPr="00CF7E1B" w14:paraId="65B0E6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A20F34" w14:textId="7777777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15.Aus8.3</w:t>
            </w:r>
          </w:p>
          <w:p w14:paraId="7BCB9110"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B8919D5" w14:textId="660AE471" w:rsidR="00170787" w:rsidRPr="00B235BD" w:rsidRDefault="00170787" w:rsidP="00170787">
            <w:pPr>
              <w:pStyle w:val="CommentaryText"/>
              <w:rPr>
                <w:rFonts w:cs="Calibri"/>
                <w:color w:val="FFFFFF" w:themeColor="background1"/>
                <w:sz w:val="18"/>
                <w:szCs w:val="18"/>
              </w:rPr>
            </w:pPr>
            <w:r w:rsidRPr="00B235BD">
              <w:rPr>
                <w:rFonts w:cs="Calibri"/>
                <w:color w:val="FFFFFF" w:themeColor="background1"/>
                <w:sz w:val="18"/>
                <w:szCs w:val="18"/>
              </w:rPr>
              <w:t>AASB 16 states licences that are in substance leases or contain leases, except licences of intellectual property, fall within the scope of AASB 16.</w:t>
            </w:r>
            <w:r w:rsidR="00FA7C77">
              <w:rPr>
                <w:rFonts w:cs="Calibri"/>
                <w:color w:val="FFFFFF" w:themeColor="background1"/>
                <w:sz w:val="18"/>
                <w:szCs w:val="18"/>
              </w:rPr>
              <w:t xml:space="preserve"> </w:t>
            </w:r>
          </w:p>
        </w:tc>
      </w:tr>
      <w:tr w:rsidR="00170787" w:rsidRPr="00CF7E1B" w14:paraId="7692D59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01880D7D" w14:textId="4F7A9AD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15G.26</w:t>
            </w:r>
          </w:p>
        </w:tc>
        <w:tc>
          <w:tcPr>
            <w:tcW w:w="8929" w:type="dxa"/>
            <w:gridSpan w:val="5"/>
            <w:tcBorders>
              <w:left w:val="single" w:sz="2" w:space="0" w:color="auto"/>
            </w:tcBorders>
            <w:shd w:val="clear" w:color="auto" w:fill="7030A0"/>
          </w:tcPr>
          <w:p w14:paraId="5B7A1C0C" w14:textId="7ADB257B" w:rsidR="00170787" w:rsidRPr="00B235BD" w:rsidRDefault="00170787" w:rsidP="00A84CC0">
            <w:pPr>
              <w:pStyle w:val="CommentaryText"/>
              <w:rPr>
                <w:rFonts w:cs="Calibri"/>
                <w:color w:val="FFFFFF" w:themeColor="background1"/>
                <w:sz w:val="18"/>
                <w:szCs w:val="18"/>
              </w:rPr>
            </w:pPr>
            <w:r w:rsidRPr="00B235BD">
              <w:rPr>
                <w:rFonts w:cs="Calibri"/>
                <w:color w:val="FFFFFF" w:themeColor="background1"/>
                <w:sz w:val="18"/>
                <w:szCs w:val="18"/>
              </w:rPr>
              <w:t xml:space="preserve">Examples of low-value licences include driver licences, marriage licences and working with </w:t>
            </w:r>
            <w:r w:rsidR="00722BF2">
              <w:rPr>
                <w:rFonts w:cs="Calibri"/>
                <w:color w:val="FFFFFF" w:themeColor="background1"/>
                <w:sz w:val="18"/>
                <w:szCs w:val="18"/>
              </w:rPr>
              <w:t>vulnerable people checks</w:t>
            </w:r>
            <w:r w:rsidRPr="00B235BD">
              <w:rPr>
                <w:rFonts w:cs="Calibri"/>
                <w:color w:val="FFFFFF" w:themeColor="background1"/>
                <w:sz w:val="18"/>
                <w:szCs w:val="18"/>
              </w:rPr>
              <w:t>.</w:t>
            </w:r>
          </w:p>
        </w:tc>
      </w:tr>
      <w:tr w:rsidR="00EA0E19" w:rsidRPr="00CF7E1B" w14:paraId="61BC104D" w14:textId="77777777" w:rsidTr="00D919F2">
        <w:trPr>
          <w:trHeight w:val="23"/>
        </w:trPr>
        <w:tc>
          <w:tcPr>
            <w:tcW w:w="1558" w:type="dxa"/>
            <w:tcBorders>
              <w:top w:val="nil"/>
              <w:left w:val="single" w:sz="2" w:space="0" w:color="auto"/>
              <w:bottom w:val="nil"/>
              <w:right w:val="single" w:sz="2" w:space="0" w:color="auto"/>
            </w:tcBorders>
          </w:tcPr>
          <w:p w14:paraId="2F6E1EE4" w14:textId="38D895C7" w:rsidR="00EA0E19" w:rsidRPr="00EA0E19" w:rsidRDefault="00EA0E19" w:rsidP="009A0F2F">
            <w:pPr>
              <w:pStyle w:val="TableReference"/>
              <w:tabs>
                <w:tab w:val="left" w:pos="3306"/>
              </w:tabs>
              <w:spacing w:before="240" w:after="240"/>
              <w:rPr>
                <w:rFonts w:asciiTheme="minorHAnsi" w:hAnsiTheme="minorHAnsi" w:cstheme="minorHAnsi"/>
                <w:color w:val="FF0000"/>
                <w:sz w:val="22"/>
                <w:szCs w:val="22"/>
              </w:rPr>
            </w:pPr>
          </w:p>
        </w:tc>
        <w:tc>
          <w:tcPr>
            <w:tcW w:w="8929" w:type="dxa"/>
            <w:gridSpan w:val="5"/>
            <w:tcBorders>
              <w:top w:val="nil"/>
              <w:left w:val="single" w:sz="2" w:space="0" w:color="auto"/>
              <w:bottom w:val="nil"/>
              <w:right w:val="nil"/>
            </w:tcBorders>
            <w:vAlign w:val="bottom"/>
          </w:tcPr>
          <w:p w14:paraId="2EA3ECB1" w14:textId="273DF53B" w:rsidR="00EA0E19" w:rsidRPr="009F3C52" w:rsidRDefault="00EA0E19" w:rsidP="009A0F2F">
            <w:pPr>
              <w:pStyle w:val="Heading1"/>
              <w:numPr>
                <w:ilvl w:val="0"/>
                <w:numId w:val="0"/>
              </w:numPr>
            </w:pPr>
            <w:bookmarkStart w:id="1048" w:name="_Toc132743846"/>
            <w:r w:rsidRPr="009F3C52">
              <w:t>Note 4</w:t>
            </w:r>
            <w:r w:rsidR="00E86853" w:rsidRPr="009F3C52">
              <w:t>3</w:t>
            </w:r>
            <w:r w:rsidRPr="009F3C52">
              <w:t>.</w:t>
            </w:r>
            <w:r w:rsidR="00FA7C77">
              <w:t xml:space="preserve"> </w:t>
            </w:r>
            <w:r w:rsidRPr="009F3C52">
              <w:t>Other Income – Territorial</w:t>
            </w:r>
            <w:bookmarkEnd w:id="1048"/>
          </w:p>
        </w:tc>
      </w:tr>
      <w:tr w:rsidR="00EA0E19" w:rsidRPr="00354061" w14:paraId="0D686845" w14:textId="77777777" w:rsidTr="00D919F2">
        <w:trPr>
          <w:trHeight w:val="23"/>
        </w:trPr>
        <w:tc>
          <w:tcPr>
            <w:tcW w:w="1558" w:type="dxa"/>
            <w:tcBorders>
              <w:top w:val="nil"/>
              <w:left w:val="single" w:sz="2" w:space="0" w:color="auto"/>
              <w:bottom w:val="nil"/>
              <w:right w:val="single" w:sz="2" w:space="0" w:color="auto"/>
            </w:tcBorders>
          </w:tcPr>
          <w:p w14:paraId="06CA3730" w14:textId="77777777" w:rsidR="00EA0E19" w:rsidRPr="00315184" w:rsidRDefault="00EA0E19" w:rsidP="009A0F2F">
            <w:pPr>
              <w:pStyle w:val="TableReference"/>
              <w:tabs>
                <w:tab w:val="left" w:pos="3306"/>
              </w:tabs>
              <w:rPr>
                <w:rFonts w:cs="Calibri"/>
                <w:b/>
                <w:color w:val="auto"/>
                <w:sz w:val="20"/>
                <w:szCs w:val="20"/>
              </w:rPr>
            </w:pPr>
          </w:p>
        </w:tc>
        <w:tc>
          <w:tcPr>
            <w:tcW w:w="8929" w:type="dxa"/>
            <w:gridSpan w:val="5"/>
            <w:tcBorders>
              <w:top w:val="nil"/>
              <w:left w:val="single" w:sz="2" w:space="0" w:color="auto"/>
              <w:bottom w:val="nil"/>
              <w:right w:val="nil"/>
            </w:tcBorders>
            <w:vAlign w:val="bottom"/>
          </w:tcPr>
          <w:p w14:paraId="16B3DE6B" w14:textId="464231C3" w:rsidR="00EA0E19" w:rsidRPr="009F3C52" w:rsidRDefault="00EA0E19" w:rsidP="009A0F2F">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Pr="0007146C">
              <w:rPr>
                <w:b/>
                <w:bCs/>
                <w:sz w:val="18"/>
                <w:szCs w:val="18"/>
              </w:rPr>
              <w:t xml:space="preserve">Other </w:t>
            </w:r>
            <w:r w:rsidR="00E44C04" w:rsidRPr="0007146C">
              <w:rPr>
                <w:b/>
                <w:bCs/>
                <w:color w:val="FF0000"/>
                <w:sz w:val="18"/>
                <w:szCs w:val="18"/>
              </w:rPr>
              <w:t xml:space="preserve">Income </w:t>
            </w:r>
            <w:r w:rsidRPr="0007146C">
              <w:rPr>
                <w:b/>
                <w:bCs/>
                <w:strike/>
                <w:color w:val="FF0000"/>
                <w:sz w:val="18"/>
                <w:szCs w:val="18"/>
              </w:rPr>
              <w:t>Gains</w:t>
            </w:r>
            <w:r w:rsidRPr="009F3C52">
              <w:rPr>
                <w:b/>
                <w:bCs/>
                <w:sz w:val="18"/>
                <w:szCs w:val="18"/>
              </w:rPr>
              <w:t xml:space="preserve"> - Territorial</w:t>
            </w:r>
          </w:p>
        </w:tc>
      </w:tr>
      <w:tr w:rsidR="00EA0E19" w:rsidRPr="00D828C2" w14:paraId="65F46F5B" w14:textId="77777777" w:rsidTr="00D919F2">
        <w:trPr>
          <w:trHeight w:val="23"/>
        </w:trPr>
        <w:tc>
          <w:tcPr>
            <w:tcW w:w="1558" w:type="dxa"/>
            <w:tcBorders>
              <w:top w:val="nil"/>
              <w:left w:val="single" w:sz="2" w:space="0" w:color="auto"/>
              <w:bottom w:val="nil"/>
              <w:right w:val="single" w:sz="2" w:space="0" w:color="auto"/>
            </w:tcBorders>
          </w:tcPr>
          <w:p w14:paraId="7974D7C9" w14:textId="77777777" w:rsidR="00EA0E19" w:rsidRPr="00315184" w:rsidRDefault="00EA0E19" w:rsidP="00EA0E19">
            <w:pPr>
              <w:pStyle w:val="TableReference"/>
              <w:tabs>
                <w:tab w:val="left" w:pos="3306"/>
              </w:tabs>
              <w:spacing w:before="40"/>
              <w:rPr>
                <w:rFonts w:cs="Calibri"/>
                <w:color w:val="auto"/>
                <w:sz w:val="16"/>
                <w:szCs w:val="16"/>
              </w:rPr>
            </w:pPr>
          </w:p>
        </w:tc>
        <w:tc>
          <w:tcPr>
            <w:tcW w:w="8929" w:type="dxa"/>
            <w:gridSpan w:val="5"/>
            <w:tcBorders>
              <w:top w:val="nil"/>
              <w:left w:val="single" w:sz="2" w:space="0" w:color="auto"/>
              <w:bottom w:val="nil"/>
              <w:right w:val="nil"/>
            </w:tcBorders>
          </w:tcPr>
          <w:p w14:paraId="1287271E" w14:textId="247AC60B" w:rsidR="00EA0E19" w:rsidRPr="009F3C52" w:rsidRDefault="00EA0E19" w:rsidP="00EA0E19">
            <w:pPr>
              <w:pStyle w:val="CommentaryText"/>
              <w:tabs>
                <w:tab w:val="left" w:pos="3306"/>
              </w:tabs>
              <w:spacing w:before="120" w:after="40"/>
              <w:rPr>
                <w:rFonts w:cs="Calibri"/>
                <w:sz w:val="18"/>
              </w:rPr>
            </w:pPr>
            <w:r w:rsidRPr="009F3C52">
              <w:rPr>
                <w:rFonts w:cs="Calibri"/>
                <w:i/>
                <w:iCs/>
                <w:sz w:val="18"/>
                <w:szCs w:val="18"/>
              </w:rPr>
              <w:t>Other Revenue and Other Gains</w:t>
            </w:r>
          </w:p>
        </w:tc>
      </w:tr>
      <w:tr w:rsidR="00EA0E19" w:rsidRPr="00D828C2" w14:paraId="4A913F37" w14:textId="77777777" w:rsidTr="00D919F2">
        <w:trPr>
          <w:trHeight w:val="217"/>
        </w:trPr>
        <w:tc>
          <w:tcPr>
            <w:tcW w:w="1558" w:type="dxa"/>
            <w:tcBorders>
              <w:top w:val="nil"/>
              <w:left w:val="single" w:sz="2" w:space="0" w:color="auto"/>
              <w:bottom w:val="nil"/>
              <w:right w:val="single" w:sz="2" w:space="0" w:color="auto"/>
            </w:tcBorders>
          </w:tcPr>
          <w:p w14:paraId="6D60DE82" w14:textId="77777777" w:rsidR="00EA0E19" w:rsidRPr="00315184" w:rsidRDefault="00EA0E19" w:rsidP="00EA0E19">
            <w:pPr>
              <w:pStyle w:val="TableText"/>
              <w:rPr>
                <w:rFonts w:cs="Calibri"/>
                <w:sz w:val="16"/>
                <w:szCs w:val="16"/>
              </w:rPr>
            </w:pPr>
          </w:p>
        </w:tc>
        <w:tc>
          <w:tcPr>
            <w:tcW w:w="8929" w:type="dxa"/>
            <w:gridSpan w:val="5"/>
            <w:tcBorders>
              <w:top w:val="nil"/>
              <w:left w:val="single" w:sz="2" w:space="0" w:color="auto"/>
              <w:bottom w:val="nil"/>
              <w:right w:val="nil"/>
            </w:tcBorders>
          </w:tcPr>
          <w:p w14:paraId="38450302" w14:textId="02AB1A45" w:rsidR="00EA0E19" w:rsidRPr="009F3C52" w:rsidRDefault="00EA0E19" w:rsidP="00EA0E19">
            <w:pPr>
              <w:pStyle w:val="TableText"/>
              <w:spacing w:before="0"/>
              <w:jc w:val="both"/>
              <w:rPr>
                <w:rFonts w:cs="Calibri"/>
                <w:b/>
                <w:bCs/>
              </w:rPr>
            </w:pPr>
            <w:r w:rsidRPr="009F3C52">
              <w:rPr>
                <w:rFonts w:cs="Calibri"/>
              </w:rPr>
              <w:t xml:space="preserve">Other Revenue arises from the core activities of ‘Burley Griffin Agency’, </w:t>
            </w:r>
            <w:r w:rsidR="006222F7" w:rsidRPr="009F3C52">
              <w:rPr>
                <w:rFonts w:cs="Calibri"/>
              </w:rPr>
              <w:t>whereas</w:t>
            </w:r>
            <w:r w:rsidRPr="009F3C52">
              <w:rPr>
                <w:rFonts w:cs="Calibri"/>
              </w:rPr>
              <w:t xml:space="preserve"> Other Gains are transactions that are not part of the Agency’s core activities and tend to be one off, more </w:t>
            </w:r>
            <w:r w:rsidR="00722BF2">
              <w:rPr>
                <w:rFonts w:cs="Calibri"/>
              </w:rPr>
              <w:t>un</w:t>
            </w:r>
            <w:r w:rsidRPr="009F3C52">
              <w:rPr>
                <w:rFonts w:cs="Calibri"/>
              </w:rPr>
              <w:t>usual transactions.</w:t>
            </w:r>
            <w:r w:rsidR="00FA7C77">
              <w:rPr>
                <w:rFonts w:cs="Calibri"/>
              </w:rPr>
              <w:t xml:space="preserve"> </w:t>
            </w:r>
          </w:p>
        </w:tc>
      </w:tr>
      <w:tr w:rsidR="00EA0E19" w:rsidRPr="00CF7E1B" w14:paraId="7160302F" w14:textId="77777777" w:rsidTr="00D919F2">
        <w:trPr>
          <w:trHeight w:val="217"/>
        </w:trPr>
        <w:tc>
          <w:tcPr>
            <w:tcW w:w="1558" w:type="dxa"/>
            <w:tcBorders>
              <w:top w:val="nil"/>
              <w:left w:val="single" w:sz="2" w:space="0" w:color="auto"/>
              <w:bottom w:val="nil"/>
              <w:right w:val="single" w:sz="2" w:space="0" w:color="auto"/>
            </w:tcBorders>
          </w:tcPr>
          <w:p w14:paraId="4132F281"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5A8E0A51" w14:textId="77777777" w:rsidR="00EA0E19" w:rsidRPr="009F3C52" w:rsidRDefault="00EA0E19" w:rsidP="00EA0E19">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162E9BE5" w14:textId="77777777" w:rsidR="00EA0E19" w:rsidRPr="009F3C52" w:rsidRDefault="00EA0E19" w:rsidP="00EA0E19">
            <w:pPr>
              <w:pStyle w:val="TableText"/>
              <w:jc w:val="right"/>
              <w:rPr>
                <w:rFonts w:cs="Calibri"/>
                <w:b/>
                <w:bCs/>
              </w:rPr>
            </w:pPr>
          </w:p>
        </w:tc>
        <w:tc>
          <w:tcPr>
            <w:tcW w:w="1275" w:type="dxa"/>
            <w:tcBorders>
              <w:top w:val="nil"/>
              <w:left w:val="nil"/>
              <w:bottom w:val="nil"/>
              <w:right w:val="nil"/>
            </w:tcBorders>
            <w:vAlign w:val="bottom"/>
          </w:tcPr>
          <w:p w14:paraId="151F6B33" w14:textId="77777777" w:rsidR="00EA0E19" w:rsidRPr="009F3C52" w:rsidRDefault="00EA0E19" w:rsidP="00EA0E19">
            <w:pPr>
              <w:pStyle w:val="TableText"/>
              <w:jc w:val="right"/>
              <w:rPr>
                <w:rFonts w:cs="Calibri"/>
                <w:b/>
                <w:bCs/>
              </w:rPr>
            </w:pPr>
          </w:p>
        </w:tc>
      </w:tr>
      <w:tr w:rsidR="00EA0E19" w:rsidRPr="00CF7E1B" w14:paraId="10B1A09B" w14:textId="77777777" w:rsidTr="00D919F2">
        <w:trPr>
          <w:trHeight w:val="217"/>
        </w:trPr>
        <w:tc>
          <w:tcPr>
            <w:tcW w:w="1558" w:type="dxa"/>
            <w:tcBorders>
              <w:top w:val="nil"/>
              <w:left w:val="single" w:sz="2" w:space="0" w:color="auto"/>
              <w:bottom w:val="nil"/>
              <w:right w:val="single" w:sz="2" w:space="0" w:color="auto"/>
            </w:tcBorders>
          </w:tcPr>
          <w:p w14:paraId="12255ECF"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3EB2D5AF" w14:textId="77777777" w:rsidR="00EA0E19" w:rsidRPr="009F3C52" w:rsidRDefault="00EA0E19" w:rsidP="00EA0E19">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6DBC7409" w14:textId="7F4E2D22" w:rsidR="00EA0E19" w:rsidRPr="009F3C52" w:rsidRDefault="00EA0E19" w:rsidP="00EA0E19">
            <w:pPr>
              <w:pStyle w:val="TableText"/>
              <w:jc w:val="right"/>
              <w:rPr>
                <w:rFonts w:cs="Calibri"/>
                <w:b/>
                <w:bCs/>
              </w:rPr>
            </w:pPr>
            <w:r w:rsidRPr="009F3C52">
              <w:rPr>
                <w:rFonts w:cs="Calibri"/>
                <w:b/>
                <w:bCs/>
              </w:rPr>
              <w:t>202</w:t>
            </w:r>
            <w:r w:rsidR="00F31BA8">
              <w:rPr>
                <w:rFonts w:cs="Calibri"/>
                <w:b/>
                <w:bCs/>
              </w:rPr>
              <w:t>3</w:t>
            </w:r>
          </w:p>
          <w:p w14:paraId="71BC78D3" w14:textId="77777777" w:rsidR="00EA0E19" w:rsidRPr="009F3C52" w:rsidRDefault="00EA0E19" w:rsidP="00EA0E19">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2446F70" w14:textId="607753F7" w:rsidR="00A84CC0" w:rsidRDefault="00EA0E19" w:rsidP="00EA0E19">
            <w:pPr>
              <w:pStyle w:val="TableText"/>
              <w:jc w:val="right"/>
              <w:rPr>
                <w:rFonts w:cs="Calibri"/>
                <w:b/>
                <w:bCs/>
              </w:rPr>
            </w:pPr>
            <w:r w:rsidRPr="009F3C52">
              <w:rPr>
                <w:rFonts w:cs="Calibri"/>
                <w:b/>
                <w:bCs/>
              </w:rPr>
              <w:t>202</w:t>
            </w:r>
            <w:r w:rsidR="00F31BA8">
              <w:rPr>
                <w:rFonts w:cs="Calibri"/>
                <w:b/>
                <w:bCs/>
              </w:rPr>
              <w:t>2</w:t>
            </w:r>
            <w:r w:rsidR="00FA7C77">
              <w:rPr>
                <w:rFonts w:cs="Calibri"/>
                <w:b/>
                <w:bCs/>
              </w:rPr>
              <w:t xml:space="preserve">   </w:t>
            </w:r>
          </w:p>
          <w:p w14:paraId="667424B8" w14:textId="4C9F31C0" w:rsidR="00EA0E19" w:rsidRPr="009F3C52" w:rsidRDefault="009F3C52" w:rsidP="00EA0E19">
            <w:pPr>
              <w:pStyle w:val="TableText"/>
              <w:jc w:val="right"/>
              <w:rPr>
                <w:rFonts w:cs="Calibri"/>
                <w:b/>
                <w:bCs/>
              </w:rPr>
            </w:pPr>
            <w:r w:rsidRPr="009F3C52">
              <w:rPr>
                <w:rFonts w:cs="Calibri"/>
                <w:b/>
                <w:bCs/>
              </w:rPr>
              <w:t xml:space="preserve"> </w:t>
            </w:r>
            <w:r w:rsidR="00EA0E19" w:rsidRPr="009F3C52">
              <w:rPr>
                <w:rFonts w:cs="Calibri"/>
                <w:b/>
                <w:bCs/>
              </w:rPr>
              <w:t>$’000</w:t>
            </w:r>
          </w:p>
        </w:tc>
      </w:tr>
      <w:tr w:rsidR="00EA0E19" w:rsidRPr="00CF7E1B" w14:paraId="0C53B0E8" w14:textId="77777777" w:rsidTr="00D919F2">
        <w:trPr>
          <w:trHeight w:val="23"/>
        </w:trPr>
        <w:tc>
          <w:tcPr>
            <w:tcW w:w="1558" w:type="dxa"/>
            <w:tcBorders>
              <w:top w:val="nil"/>
              <w:left w:val="single" w:sz="2" w:space="0" w:color="auto"/>
              <w:bottom w:val="nil"/>
              <w:right w:val="single" w:sz="2" w:space="0" w:color="auto"/>
            </w:tcBorders>
          </w:tcPr>
          <w:p w14:paraId="096B1428" w14:textId="77777777" w:rsidR="00EA0E19" w:rsidRPr="00315184" w:rsidRDefault="00EA0E19" w:rsidP="00EA0E19">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6BF0FEB2" w14:textId="09BDC6B4" w:rsidR="00EA0E19" w:rsidRPr="009F3C52" w:rsidRDefault="00C93CD6" w:rsidP="00EA0E19">
            <w:pPr>
              <w:pStyle w:val="TableText"/>
              <w:tabs>
                <w:tab w:val="left" w:pos="3306"/>
              </w:tabs>
              <w:rPr>
                <w:rFonts w:cs="Calibri"/>
                <w:b/>
                <w:bCs/>
              </w:rPr>
            </w:pPr>
            <w:r w:rsidRPr="009F3C52">
              <w:rPr>
                <w:rFonts w:cs="Calibri"/>
                <w:b/>
                <w:bCs/>
              </w:rPr>
              <w:t>Other Income</w:t>
            </w:r>
          </w:p>
        </w:tc>
        <w:tc>
          <w:tcPr>
            <w:tcW w:w="1655" w:type="dxa"/>
            <w:gridSpan w:val="3"/>
            <w:tcBorders>
              <w:top w:val="nil"/>
              <w:left w:val="nil"/>
              <w:bottom w:val="nil"/>
              <w:right w:val="nil"/>
            </w:tcBorders>
            <w:vAlign w:val="bottom"/>
          </w:tcPr>
          <w:p w14:paraId="1767ED66" w14:textId="77777777" w:rsidR="00EA0E19" w:rsidRPr="009F3C52" w:rsidRDefault="00EA0E19" w:rsidP="00EA0E19">
            <w:pPr>
              <w:pStyle w:val="TableText"/>
              <w:tabs>
                <w:tab w:val="left" w:pos="3306"/>
              </w:tabs>
              <w:jc w:val="right"/>
              <w:rPr>
                <w:rFonts w:cs="Calibri"/>
              </w:rPr>
            </w:pPr>
          </w:p>
        </w:tc>
        <w:tc>
          <w:tcPr>
            <w:tcW w:w="1275" w:type="dxa"/>
            <w:tcBorders>
              <w:top w:val="nil"/>
              <w:left w:val="nil"/>
              <w:bottom w:val="nil"/>
              <w:right w:val="nil"/>
            </w:tcBorders>
            <w:vAlign w:val="bottom"/>
          </w:tcPr>
          <w:p w14:paraId="090B29EA" w14:textId="77777777" w:rsidR="00EA0E19" w:rsidRPr="009F3C52" w:rsidRDefault="00EA0E19" w:rsidP="00EA0E19">
            <w:pPr>
              <w:pStyle w:val="TableText"/>
              <w:tabs>
                <w:tab w:val="left" w:pos="3306"/>
              </w:tabs>
              <w:jc w:val="right"/>
              <w:rPr>
                <w:rFonts w:cs="Calibri"/>
              </w:rPr>
            </w:pPr>
          </w:p>
        </w:tc>
      </w:tr>
      <w:tr w:rsidR="00C93CD6" w:rsidRPr="00CF7E1B" w14:paraId="688D44D5" w14:textId="77777777" w:rsidTr="00D919F2">
        <w:trPr>
          <w:trHeight w:val="23"/>
        </w:trPr>
        <w:tc>
          <w:tcPr>
            <w:tcW w:w="1558" w:type="dxa"/>
            <w:tcBorders>
              <w:top w:val="nil"/>
              <w:left w:val="single" w:sz="2" w:space="0" w:color="auto"/>
              <w:bottom w:val="nil"/>
              <w:right w:val="single" w:sz="2" w:space="0" w:color="auto"/>
            </w:tcBorders>
          </w:tcPr>
          <w:p w14:paraId="01B65EEB" w14:textId="77777777" w:rsidR="00C93CD6" w:rsidRPr="00C93CD6" w:rsidRDefault="00C93CD6" w:rsidP="00C93CD6">
            <w:pPr>
              <w:pStyle w:val="TableReference"/>
              <w:tabs>
                <w:tab w:val="left" w:pos="3306"/>
              </w:tabs>
              <w:spacing w:before="40"/>
              <w:rPr>
                <w:rFonts w:cs="Calibri"/>
                <w:color w:val="FF0000"/>
                <w:sz w:val="16"/>
                <w:szCs w:val="16"/>
              </w:rPr>
            </w:pPr>
          </w:p>
        </w:tc>
        <w:tc>
          <w:tcPr>
            <w:tcW w:w="5999" w:type="dxa"/>
            <w:tcBorders>
              <w:top w:val="nil"/>
              <w:left w:val="single" w:sz="2" w:space="0" w:color="auto"/>
              <w:bottom w:val="nil"/>
              <w:right w:val="nil"/>
            </w:tcBorders>
            <w:vAlign w:val="bottom"/>
          </w:tcPr>
          <w:p w14:paraId="4C641E69" w14:textId="563061B1" w:rsidR="00C93CD6" w:rsidRPr="009F3C52" w:rsidRDefault="00C93CD6" w:rsidP="00C93CD6">
            <w:pPr>
              <w:pStyle w:val="TableText"/>
              <w:tabs>
                <w:tab w:val="left" w:pos="3306"/>
              </w:tabs>
              <w:rPr>
                <w:rFonts w:cs="Calibri"/>
                <w:b/>
                <w:bCs/>
              </w:rPr>
            </w:pPr>
            <w:r w:rsidRPr="009F3C52">
              <w:rPr>
                <w:rFonts w:cs="Calibri"/>
                <w:b/>
                <w:bCs/>
              </w:rPr>
              <w:t>Other Gains</w:t>
            </w:r>
          </w:p>
        </w:tc>
        <w:tc>
          <w:tcPr>
            <w:tcW w:w="1655" w:type="dxa"/>
            <w:gridSpan w:val="3"/>
            <w:tcBorders>
              <w:top w:val="nil"/>
              <w:left w:val="nil"/>
              <w:bottom w:val="nil"/>
              <w:right w:val="nil"/>
            </w:tcBorders>
            <w:vAlign w:val="bottom"/>
          </w:tcPr>
          <w:p w14:paraId="37EF6F19"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7785F176" w14:textId="77777777" w:rsidR="00C93CD6" w:rsidRPr="009F3C52" w:rsidRDefault="00C93CD6" w:rsidP="00C93CD6">
            <w:pPr>
              <w:pStyle w:val="TableText"/>
              <w:tabs>
                <w:tab w:val="left" w:pos="3306"/>
              </w:tabs>
              <w:jc w:val="right"/>
              <w:rPr>
                <w:rFonts w:cs="Calibri"/>
              </w:rPr>
            </w:pPr>
          </w:p>
        </w:tc>
      </w:tr>
      <w:tr w:rsidR="00AD6F6D" w:rsidRPr="00CF7E1B" w14:paraId="05B3A5FF" w14:textId="77777777" w:rsidTr="00D919F2">
        <w:trPr>
          <w:trHeight w:val="23"/>
        </w:trPr>
        <w:tc>
          <w:tcPr>
            <w:tcW w:w="1558" w:type="dxa"/>
            <w:tcBorders>
              <w:top w:val="nil"/>
              <w:left w:val="single" w:sz="2" w:space="0" w:color="auto"/>
              <w:bottom w:val="nil"/>
              <w:right w:val="single" w:sz="2" w:space="0" w:color="auto"/>
            </w:tcBorders>
          </w:tcPr>
          <w:p w14:paraId="00EBE755" w14:textId="77777777" w:rsidR="00AD6F6D" w:rsidRPr="00C93CD6" w:rsidRDefault="00AD6F6D" w:rsidP="00C93CD6">
            <w:pPr>
              <w:pStyle w:val="TableReference"/>
              <w:tabs>
                <w:tab w:val="left" w:pos="3306"/>
              </w:tabs>
              <w:spacing w:before="40"/>
              <w:rPr>
                <w:rFonts w:cs="Calibri"/>
                <w:color w:val="FF0000"/>
                <w:sz w:val="14"/>
              </w:rPr>
            </w:pPr>
          </w:p>
        </w:tc>
        <w:tc>
          <w:tcPr>
            <w:tcW w:w="5999" w:type="dxa"/>
            <w:tcBorders>
              <w:top w:val="nil"/>
              <w:left w:val="single" w:sz="2" w:space="0" w:color="auto"/>
              <w:bottom w:val="nil"/>
              <w:right w:val="nil"/>
            </w:tcBorders>
          </w:tcPr>
          <w:p w14:paraId="7516605F" w14:textId="248BCF12" w:rsidR="00AD6F6D" w:rsidRPr="009F3C52" w:rsidRDefault="00AD6F6D" w:rsidP="00C93CD6">
            <w:pPr>
              <w:pStyle w:val="TableText"/>
              <w:tabs>
                <w:tab w:val="left" w:pos="3306"/>
              </w:tabs>
              <w:rPr>
                <w:rFonts w:cs="Calibri"/>
                <w:highlight w:val="yellow"/>
              </w:rPr>
            </w:pPr>
            <w:r w:rsidRPr="009F3C52">
              <w:t>Reversal of provision of receivables written off during the year as uncollectible</w:t>
            </w:r>
          </w:p>
        </w:tc>
        <w:tc>
          <w:tcPr>
            <w:tcW w:w="1655" w:type="dxa"/>
            <w:gridSpan w:val="3"/>
            <w:tcBorders>
              <w:top w:val="nil"/>
              <w:left w:val="nil"/>
              <w:bottom w:val="nil"/>
              <w:right w:val="nil"/>
            </w:tcBorders>
            <w:vAlign w:val="bottom"/>
          </w:tcPr>
          <w:p w14:paraId="767C1B10" w14:textId="77777777" w:rsidR="00AD6F6D" w:rsidRPr="009F3C52" w:rsidRDefault="00AD6F6D"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227389D" w14:textId="77777777" w:rsidR="00AD6F6D" w:rsidRPr="009F3C52" w:rsidRDefault="00AD6F6D" w:rsidP="00C93CD6">
            <w:pPr>
              <w:pStyle w:val="TableText"/>
              <w:tabs>
                <w:tab w:val="left" w:pos="3306"/>
              </w:tabs>
              <w:jc w:val="right"/>
              <w:rPr>
                <w:rFonts w:cs="Calibri"/>
              </w:rPr>
            </w:pPr>
          </w:p>
        </w:tc>
      </w:tr>
      <w:tr w:rsidR="00C93CD6" w:rsidRPr="00CF7E1B" w14:paraId="5D325DB9" w14:textId="77777777" w:rsidTr="00D919F2">
        <w:trPr>
          <w:trHeight w:val="23"/>
        </w:trPr>
        <w:tc>
          <w:tcPr>
            <w:tcW w:w="1558" w:type="dxa"/>
            <w:tcBorders>
              <w:top w:val="nil"/>
              <w:left w:val="single" w:sz="2" w:space="0" w:color="auto"/>
              <w:bottom w:val="nil"/>
              <w:right w:val="single" w:sz="2" w:space="0" w:color="auto"/>
            </w:tcBorders>
          </w:tcPr>
          <w:p w14:paraId="0E96A115"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43AE6637" w14:textId="6492E974" w:rsidR="00C93CD6" w:rsidRPr="009F3C52" w:rsidRDefault="00C93CD6" w:rsidP="00C93CD6">
            <w:pPr>
              <w:pStyle w:val="TableText"/>
              <w:tabs>
                <w:tab w:val="left" w:pos="3306"/>
              </w:tabs>
              <w:rPr>
                <w:rFonts w:cs="Calibri"/>
              </w:rPr>
            </w:pPr>
            <w:r w:rsidRPr="009F3C52">
              <w:rPr>
                <w:rFonts w:cs="Calibri"/>
              </w:rPr>
              <w:t xml:space="preserve">Other </w:t>
            </w:r>
          </w:p>
        </w:tc>
        <w:tc>
          <w:tcPr>
            <w:tcW w:w="1655" w:type="dxa"/>
            <w:gridSpan w:val="3"/>
            <w:tcBorders>
              <w:top w:val="nil"/>
              <w:left w:val="nil"/>
              <w:bottom w:val="nil"/>
              <w:right w:val="nil"/>
            </w:tcBorders>
            <w:vAlign w:val="bottom"/>
          </w:tcPr>
          <w:p w14:paraId="14941FAE"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1900592" w14:textId="77777777" w:rsidR="00C93CD6" w:rsidRPr="009F3C52" w:rsidRDefault="00C93CD6" w:rsidP="00C93CD6">
            <w:pPr>
              <w:pStyle w:val="TableText"/>
              <w:tabs>
                <w:tab w:val="left" w:pos="3306"/>
              </w:tabs>
              <w:jc w:val="right"/>
              <w:rPr>
                <w:rFonts w:cs="Calibri"/>
              </w:rPr>
            </w:pPr>
          </w:p>
        </w:tc>
      </w:tr>
      <w:tr w:rsidR="00C93CD6" w:rsidRPr="00CF7E1B" w14:paraId="30041BD4" w14:textId="77777777" w:rsidTr="00D919F2">
        <w:trPr>
          <w:trHeight w:hRule="exact" w:val="265"/>
        </w:trPr>
        <w:tc>
          <w:tcPr>
            <w:tcW w:w="1558" w:type="dxa"/>
            <w:tcBorders>
              <w:top w:val="nil"/>
              <w:left w:val="single" w:sz="2" w:space="0" w:color="auto"/>
              <w:bottom w:val="nil"/>
              <w:right w:val="single" w:sz="2" w:space="0" w:color="auto"/>
            </w:tcBorders>
          </w:tcPr>
          <w:p w14:paraId="70425812" w14:textId="77777777" w:rsidR="00C93CD6" w:rsidRPr="00315184" w:rsidRDefault="00C93CD6" w:rsidP="00C93CD6">
            <w:pPr>
              <w:pStyle w:val="TableReference"/>
              <w:tabs>
                <w:tab w:val="left" w:pos="3306"/>
              </w:tabs>
              <w:rPr>
                <w:rFonts w:cs="Calibri"/>
                <w:color w:val="auto"/>
                <w:sz w:val="16"/>
                <w:szCs w:val="16"/>
              </w:rPr>
            </w:pPr>
          </w:p>
        </w:tc>
        <w:tc>
          <w:tcPr>
            <w:tcW w:w="5999" w:type="dxa"/>
            <w:tcBorders>
              <w:top w:val="nil"/>
              <w:left w:val="single" w:sz="2" w:space="0" w:color="auto"/>
              <w:bottom w:val="nil"/>
              <w:right w:val="nil"/>
            </w:tcBorders>
            <w:vAlign w:val="bottom"/>
          </w:tcPr>
          <w:p w14:paraId="3C39B0E3" w14:textId="7312F5E2" w:rsidR="00C93CD6" w:rsidRPr="009F3C52" w:rsidRDefault="00C93CD6" w:rsidP="00C93CD6">
            <w:pPr>
              <w:pStyle w:val="TableText"/>
              <w:tabs>
                <w:tab w:val="left" w:pos="3306"/>
              </w:tabs>
              <w:rPr>
                <w:rFonts w:cs="Calibri"/>
              </w:rPr>
            </w:pPr>
            <w:r w:rsidRPr="009F3C52">
              <w:rPr>
                <w:rFonts w:cs="Calibri"/>
                <w:b/>
                <w:bCs/>
              </w:rPr>
              <w:t>Total Other Gains</w:t>
            </w:r>
          </w:p>
        </w:tc>
        <w:tc>
          <w:tcPr>
            <w:tcW w:w="1655" w:type="dxa"/>
            <w:gridSpan w:val="3"/>
            <w:tcBorders>
              <w:top w:val="nil"/>
              <w:left w:val="nil"/>
              <w:bottom w:val="single" w:sz="2" w:space="0" w:color="auto"/>
              <w:right w:val="nil"/>
            </w:tcBorders>
            <w:vAlign w:val="bottom"/>
          </w:tcPr>
          <w:p w14:paraId="0C43C22B" w14:textId="77777777" w:rsidR="00C93CD6" w:rsidRPr="009F3C52" w:rsidRDefault="00C93CD6" w:rsidP="00C93CD6">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1E7CACF6" w14:textId="77777777" w:rsidR="00C93CD6" w:rsidRPr="009F3C52" w:rsidRDefault="00C93CD6" w:rsidP="00C93CD6">
            <w:pPr>
              <w:pStyle w:val="TableText"/>
              <w:tabs>
                <w:tab w:val="left" w:pos="3306"/>
              </w:tabs>
              <w:spacing w:before="0"/>
              <w:jc w:val="right"/>
              <w:rPr>
                <w:rFonts w:cs="Calibri"/>
                <w:sz w:val="12"/>
                <w:szCs w:val="12"/>
              </w:rPr>
            </w:pPr>
          </w:p>
        </w:tc>
      </w:tr>
      <w:tr w:rsidR="00C93CD6" w:rsidRPr="00CF7E1B" w14:paraId="6D3EBE42" w14:textId="77777777" w:rsidTr="00D919F2">
        <w:trPr>
          <w:trHeight w:val="23"/>
        </w:trPr>
        <w:tc>
          <w:tcPr>
            <w:tcW w:w="1558" w:type="dxa"/>
            <w:tcBorders>
              <w:top w:val="nil"/>
              <w:left w:val="single" w:sz="2" w:space="0" w:color="auto"/>
              <w:bottom w:val="nil"/>
              <w:right w:val="single" w:sz="2" w:space="0" w:color="auto"/>
            </w:tcBorders>
          </w:tcPr>
          <w:p w14:paraId="28AC7247"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7AA8D499" w14:textId="2D6B4C5F" w:rsidR="00C93CD6" w:rsidRPr="009F3C52" w:rsidRDefault="00C93CD6" w:rsidP="00C93CD6">
            <w:pPr>
              <w:pStyle w:val="TableText"/>
              <w:tabs>
                <w:tab w:val="left" w:pos="3306"/>
              </w:tabs>
              <w:rPr>
                <w:rFonts w:cs="Calibri"/>
                <w:b/>
              </w:rPr>
            </w:pPr>
          </w:p>
        </w:tc>
        <w:tc>
          <w:tcPr>
            <w:tcW w:w="1655" w:type="dxa"/>
            <w:gridSpan w:val="3"/>
            <w:tcBorders>
              <w:top w:val="single" w:sz="2" w:space="0" w:color="auto"/>
              <w:left w:val="nil"/>
              <w:bottom w:val="single" w:sz="2" w:space="0" w:color="auto"/>
              <w:right w:val="nil"/>
            </w:tcBorders>
            <w:vAlign w:val="bottom"/>
          </w:tcPr>
          <w:p w14:paraId="39F0E45F"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975F4D7" w14:textId="77777777" w:rsidR="00C93CD6" w:rsidRPr="009F3C52" w:rsidRDefault="00C93CD6" w:rsidP="00C93CD6">
            <w:pPr>
              <w:pStyle w:val="TableText"/>
              <w:tabs>
                <w:tab w:val="left" w:pos="3306"/>
              </w:tabs>
              <w:jc w:val="right"/>
              <w:rPr>
                <w:rFonts w:cs="Calibri"/>
                <w:b/>
              </w:rPr>
            </w:pPr>
          </w:p>
        </w:tc>
      </w:tr>
      <w:tr w:rsidR="00C93CD6" w:rsidRPr="00CF7E1B" w14:paraId="44285D34" w14:textId="77777777" w:rsidTr="00D919F2">
        <w:trPr>
          <w:trHeight w:val="23"/>
        </w:trPr>
        <w:tc>
          <w:tcPr>
            <w:tcW w:w="1558" w:type="dxa"/>
            <w:tcBorders>
              <w:top w:val="nil"/>
              <w:left w:val="single" w:sz="2" w:space="0" w:color="auto"/>
              <w:bottom w:val="nil"/>
              <w:right w:val="single" w:sz="2" w:space="0" w:color="auto"/>
            </w:tcBorders>
          </w:tcPr>
          <w:p w14:paraId="5367CC7A"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501C335E" w14:textId="5B8C6809" w:rsidR="00C93CD6" w:rsidRPr="009F3C52" w:rsidRDefault="00C93CD6" w:rsidP="00C93CD6">
            <w:pPr>
              <w:pStyle w:val="TableText"/>
              <w:tabs>
                <w:tab w:val="left" w:pos="3306"/>
              </w:tabs>
              <w:rPr>
                <w:rFonts w:cs="Calibri"/>
                <w:b/>
              </w:rPr>
            </w:pPr>
            <w:r w:rsidRPr="009F3C52">
              <w:rPr>
                <w:rFonts w:cs="Calibri"/>
                <w:b/>
                <w:bCs/>
              </w:rPr>
              <w:t>Total Other Income</w:t>
            </w:r>
          </w:p>
        </w:tc>
        <w:tc>
          <w:tcPr>
            <w:tcW w:w="1655" w:type="dxa"/>
            <w:gridSpan w:val="3"/>
            <w:tcBorders>
              <w:top w:val="single" w:sz="2" w:space="0" w:color="auto"/>
              <w:left w:val="nil"/>
              <w:bottom w:val="double" w:sz="4" w:space="0" w:color="auto"/>
              <w:right w:val="nil"/>
            </w:tcBorders>
            <w:vAlign w:val="bottom"/>
          </w:tcPr>
          <w:p w14:paraId="64EB8F30"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double" w:sz="4" w:space="0" w:color="auto"/>
              <w:right w:val="nil"/>
            </w:tcBorders>
            <w:vAlign w:val="bottom"/>
          </w:tcPr>
          <w:p w14:paraId="3BE10FCF" w14:textId="77777777" w:rsidR="00C93CD6" w:rsidRPr="009F3C52" w:rsidRDefault="00C93CD6" w:rsidP="00C93CD6">
            <w:pPr>
              <w:pStyle w:val="TableText"/>
              <w:tabs>
                <w:tab w:val="left" w:pos="3306"/>
              </w:tabs>
              <w:jc w:val="right"/>
              <w:rPr>
                <w:rFonts w:cs="Calibri"/>
                <w:b/>
              </w:rPr>
            </w:pPr>
          </w:p>
        </w:tc>
      </w:tr>
      <w:tr w:rsidR="009F3C52" w:rsidRPr="0013456C" w14:paraId="39C8301E"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74"/>
        </w:trPr>
        <w:tc>
          <w:tcPr>
            <w:tcW w:w="1558" w:type="dxa"/>
            <w:tcBorders>
              <w:left w:val="single" w:sz="2" w:space="0" w:color="auto"/>
              <w:right w:val="single" w:sz="2" w:space="0" w:color="auto"/>
            </w:tcBorders>
          </w:tcPr>
          <w:p w14:paraId="49AA2E89" w14:textId="77777777" w:rsidR="009F3C52" w:rsidRPr="00CF7E1B" w:rsidRDefault="009F3C52" w:rsidP="009A0F2F">
            <w:pPr>
              <w:pStyle w:val="TableReference"/>
              <w:tabs>
                <w:tab w:val="left" w:pos="3306"/>
              </w:tabs>
              <w:rPr>
                <w:rFonts w:cs="Calibri"/>
              </w:rPr>
            </w:pPr>
          </w:p>
        </w:tc>
        <w:tc>
          <w:tcPr>
            <w:tcW w:w="8929" w:type="dxa"/>
            <w:gridSpan w:val="5"/>
            <w:tcBorders>
              <w:left w:val="single" w:sz="2" w:space="0" w:color="auto"/>
            </w:tcBorders>
            <w:shd w:val="clear" w:color="auto" w:fill="auto"/>
          </w:tcPr>
          <w:p w14:paraId="20C8288B" w14:textId="77777777" w:rsidR="009F3C52" w:rsidRPr="00A84CC0" w:rsidRDefault="009F3C52" w:rsidP="00A84CC0">
            <w:pPr>
              <w:pStyle w:val="CommentaryTitle"/>
              <w:pageBreakBefore w:val="0"/>
              <w:tabs>
                <w:tab w:val="left" w:pos="3306"/>
              </w:tabs>
              <w:spacing w:before="0" w:after="0"/>
              <w:rPr>
                <w:rFonts w:cs="Calibri"/>
                <w:color w:val="FF0000"/>
                <w:sz w:val="24"/>
              </w:rPr>
            </w:pPr>
          </w:p>
        </w:tc>
      </w:tr>
      <w:tr w:rsidR="00C93CD6" w:rsidRPr="0013456C" w14:paraId="296594CC"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47C4FA87" w14:textId="77777777" w:rsidR="00C93CD6" w:rsidRPr="00315184" w:rsidRDefault="00C93CD6" w:rsidP="00C24DC3">
            <w:pPr>
              <w:pStyle w:val="TableReference"/>
              <w:tabs>
                <w:tab w:val="left" w:pos="3306"/>
              </w:tabs>
              <w:spacing w:before="240" w:after="240"/>
              <w:rPr>
                <w:rFonts w:cs="Calibri"/>
                <w:b/>
                <w:color w:val="auto"/>
                <w:sz w:val="20"/>
                <w:szCs w:val="20"/>
              </w:rPr>
            </w:pPr>
            <w:r w:rsidRPr="00CF7E1B">
              <w:rPr>
                <w:rFonts w:cs="Calibri"/>
              </w:rPr>
              <w:br w:type="page"/>
            </w:r>
          </w:p>
        </w:tc>
        <w:tc>
          <w:tcPr>
            <w:tcW w:w="8929" w:type="dxa"/>
            <w:gridSpan w:val="5"/>
            <w:tcBorders>
              <w:left w:val="single" w:sz="2" w:space="0" w:color="auto"/>
            </w:tcBorders>
            <w:shd w:val="clear" w:color="auto" w:fill="7030A0"/>
          </w:tcPr>
          <w:p w14:paraId="6ACBD98B" w14:textId="55C563E1" w:rsidR="00C93CD6" w:rsidRPr="009F3C52" w:rsidRDefault="00C93CD6" w:rsidP="00C24DC3">
            <w:pPr>
              <w:pStyle w:val="CommentaryTitle"/>
              <w:pageBreakBefore w:val="0"/>
              <w:tabs>
                <w:tab w:val="left" w:pos="3306"/>
              </w:tabs>
              <w:spacing w:before="240" w:after="240"/>
              <w:rPr>
                <w:rFonts w:cs="Calibri"/>
                <w:color w:val="FFFFFF" w:themeColor="background1"/>
                <w:sz w:val="28"/>
                <w:szCs w:val="28"/>
              </w:rPr>
            </w:pPr>
            <w:r w:rsidRPr="009F3C52">
              <w:rPr>
                <w:rFonts w:cs="Calibri"/>
                <w:color w:val="FFFFFF" w:themeColor="background1"/>
                <w:sz w:val="28"/>
                <w:szCs w:val="28"/>
              </w:rPr>
              <w:t>Commentary – Note 4</w:t>
            </w:r>
            <w:r w:rsidR="00E86853" w:rsidRPr="009F3C52">
              <w:rPr>
                <w:rFonts w:cs="Calibri"/>
                <w:color w:val="FFFFFF" w:themeColor="background1"/>
                <w:sz w:val="28"/>
                <w:szCs w:val="28"/>
              </w:rPr>
              <w:t>3</w:t>
            </w:r>
            <w:r w:rsidRPr="009F3C52">
              <w:rPr>
                <w:rFonts w:cs="Calibri"/>
                <w:color w:val="FFFFFF" w:themeColor="background1"/>
                <w:sz w:val="28"/>
                <w:szCs w:val="28"/>
              </w:rPr>
              <w:t>: Other Income – Territorial</w:t>
            </w:r>
          </w:p>
        </w:tc>
      </w:tr>
      <w:tr w:rsidR="00C93CD6" w:rsidRPr="00B66BE0" w14:paraId="357F5E6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B2225C" w14:textId="77777777" w:rsidR="00C93CD6" w:rsidRPr="00C93CD6" w:rsidRDefault="00C93CD6" w:rsidP="00C93CD6">
            <w:pPr>
              <w:pStyle w:val="TableReference"/>
              <w:tabs>
                <w:tab w:val="left" w:pos="3306"/>
              </w:tabs>
              <w:rPr>
                <w:rFonts w:cs="Calibri"/>
                <w:color w:val="FF0000"/>
                <w:sz w:val="14"/>
              </w:rPr>
            </w:pPr>
          </w:p>
        </w:tc>
        <w:tc>
          <w:tcPr>
            <w:tcW w:w="8929" w:type="dxa"/>
            <w:gridSpan w:val="5"/>
            <w:tcBorders>
              <w:left w:val="single" w:sz="2" w:space="0" w:color="auto"/>
            </w:tcBorders>
            <w:shd w:val="clear" w:color="auto" w:fill="7030A0"/>
          </w:tcPr>
          <w:p w14:paraId="2CDD0115" w14:textId="6159FCDA" w:rsidR="00C93CD6" w:rsidRPr="009F3C52" w:rsidRDefault="00C93CD6" w:rsidP="00C93CD6">
            <w:pPr>
              <w:pStyle w:val="CommentaryText"/>
              <w:spacing w:after="60"/>
              <w:rPr>
                <w:rFonts w:cs="Calibri"/>
                <w:color w:val="FFFFFF" w:themeColor="background1"/>
                <w:sz w:val="18"/>
                <w:szCs w:val="18"/>
              </w:rPr>
            </w:pPr>
            <w:r w:rsidRPr="009F3C52">
              <w:rPr>
                <w:color w:val="FFFFFF" w:themeColor="background1"/>
                <w:sz w:val="18"/>
                <w:szCs w:val="18"/>
              </w:rPr>
              <w:t>The breakdown shown in this note disclosure is an example only.</w:t>
            </w:r>
            <w:r w:rsidR="00FA7C77">
              <w:rPr>
                <w:color w:val="FFFFFF" w:themeColor="background1"/>
                <w:sz w:val="18"/>
                <w:szCs w:val="18"/>
              </w:rPr>
              <w:t xml:space="preserve"> </w:t>
            </w:r>
            <w:r w:rsidRPr="009F3C52">
              <w:rPr>
                <w:color w:val="FFFFFF" w:themeColor="background1"/>
                <w:sz w:val="18"/>
                <w:szCs w:val="18"/>
              </w:rPr>
              <w:t>Directorates should only include line items that are applicable to them where material.</w:t>
            </w:r>
          </w:p>
        </w:tc>
      </w:tr>
      <w:tr w:rsidR="00C93CD6" w:rsidRPr="00B66BE0" w14:paraId="38EA78B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CD6EE17"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101.7</w:t>
            </w:r>
          </w:p>
          <w:p w14:paraId="0C78E916"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108.5</w:t>
            </w:r>
          </w:p>
          <w:p w14:paraId="4B6C7E72" w14:textId="1592A6DE" w:rsidR="00C93CD6" w:rsidRPr="00C93CD6" w:rsidRDefault="00C93CD6" w:rsidP="00C93CD6">
            <w:pPr>
              <w:pStyle w:val="TableReference"/>
              <w:tabs>
                <w:tab w:val="left" w:pos="3306"/>
              </w:tabs>
              <w:rPr>
                <w:rFonts w:cs="Calibri"/>
                <w:color w:val="FF0000"/>
                <w:sz w:val="14"/>
              </w:rPr>
            </w:pPr>
            <w:r w:rsidRPr="00AE2AE5">
              <w:rPr>
                <w:rFonts w:cs="Calibri"/>
                <w:color w:val="7030A0"/>
                <w:sz w:val="14"/>
              </w:rPr>
              <w:t>ACT Disclosure Policy</w:t>
            </w:r>
          </w:p>
        </w:tc>
        <w:tc>
          <w:tcPr>
            <w:tcW w:w="8929" w:type="dxa"/>
            <w:gridSpan w:val="5"/>
            <w:tcBorders>
              <w:left w:val="single" w:sz="2" w:space="0" w:color="auto"/>
            </w:tcBorders>
            <w:shd w:val="clear" w:color="auto" w:fill="7030A0"/>
          </w:tcPr>
          <w:p w14:paraId="1C3BB063" w14:textId="763D9C17" w:rsidR="00C93CD6" w:rsidRPr="009F3C52" w:rsidRDefault="00C93CD6" w:rsidP="00A84CC0">
            <w:pPr>
              <w:pStyle w:val="CommentaryText"/>
              <w:rPr>
                <w:rFonts w:cs="Calibri"/>
                <w:color w:val="FFFFFF" w:themeColor="background1"/>
                <w:sz w:val="18"/>
                <w:szCs w:val="18"/>
              </w:rPr>
            </w:pPr>
            <w:r w:rsidRPr="009F3C52">
              <w:rPr>
                <w:color w:val="FFFFFF" w:themeColor="background1"/>
                <w:sz w:val="18"/>
                <w:szCs w:val="18"/>
              </w:rPr>
              <w:t>The notion of materiality applies to the classification of other income.</w:t>
            </w:r>
            <w:r w:rsidR="00FA7C77">
              <w:rPr>
                <w:color w:val="FFFFFF" w:themeColor="background1"/>
                <w:sz w:val="18"/>
                <w:szCs w:val="18"/>
              </w:rPr>
              <w:t xml:space="preserve"> </w:t>
            </w:r>
            <w:r w:rsidRPr="009F3C52">
              <w:rPr>
                <w:color w:val="FFFFFF" w:themeColor="background1"/>
                <w:sz w:val="18"/>
                <w:szCs w:val="18"/>
              </w:rPr>
              <w:t>Each material class of gains must be disclosed separately and the total of unclassified gains must not exceed 10% of total gains disclosed in the note.</w:t>
            </w:r>
            <w:r w:rsidR="00FA7C77">
              <w:rPr>
                <w:color w:val="FFFFFF" w:themeColor="background1"/>
                <w:sz w:val="18"/>
                <w:szCs w:val="18"/>
              </w:rPr>
              <w:t xml:space="preserve"> </w:t>
            </w:r>
          </w:p>
        </w:tc>
      </w:tr>
    </w:tbl>
    <w:p w14:paraId="6D963C4C" w14:textId="77777777" w:rsidR="00A84CC0" w:rsidRDefault="00A84CC0">
      <w:r>
        <w:br w:type="page"/>
      </w: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1655"/>
        <w:gridCol w:w="1275"/>
      </w:tblGrid>
      <w:tr w:rsidR="00863311" w:rsidRPr="00CF7E1B" w14:paraId="3AE2C65F" w14:textId="77777777" w:rsidTr="00D919F2">
        <w:trPr>
          <w:cantSplit/>
          <w:trHeight w:val="23"/>
        </w:trPr>
        <w:tc>
          <w:tcPr>
            <w:tcW w:w="1558" w:type="dxa"/>
            <w:tcBorders>
              <w:top w:val="nil"/>
              <w:left w:val="single" w:sz="2" w:space="0" w:color="auto"/>
              <w:bottom w:val="nil"/>
              <w:right w:val="single" w:sz="2" w:space="0" w:color="auto"/>
            </w:tcBorders>
          </w:tcPr>
          <w:p w14:paraId="51043BFB" w14:textId="66448459" w:rsidR="00863311" w:rsidRPr="009F3C52" w:rsidRDefault="005C5553" w:rsidP="005D3C33">
            <w:pPr>
              <w:pStyle w:val="TableReference"/>
              <w:tabs>
                <w:tab w:val="left" w:pos="3306"/>
              </w:tabs>
              <w:spacing w:before="240" w:after="240"/>
              <w:rPr>
                <w:rFonts w:asciiTheme="minorHAnsi" w:hAnsiTheme="minorHAnsi" w:cstheme="minorHAnsi"/>
                <w:color w:val="7030A0"/>
                <w:sz w:val="22"/>
                <w:szCs w:val="22"/>
              </w:rPr>
            </w:pPr>
            <w:r w:rsidRPr="009F3C52">
              <w:rPr>
                <w:color w:val="7030A0"/>
              </w:rPr>
              <w:br w:type="page"/>
            </w:r>
            <w:r w:rsidRPr="009F3C52">
              <w:rPr>
                <w:rFonts w:asciiTheme="minorHAnsi" w:hAnsiTheme="minorHAnsi" w:cstheme="minorHAnsi"/>
                <w:b/>
                <w:color w:val="7030A0"/>
                <w:sz w:val="22"/>
                <w:szCs w:val="22"/>
              </w:rPr>
              <w:t>Reference</w:t>
            </w:r>
          </w:p>
        </w:tc>
        <w:tc>
          <w:tcPr>
            <w:tcW w:w="8929" w:type="dxa"/>
            <w:gridSpan w:val="3"/>
            <w:tcBorders>
              <w:top w:val="nil"/>
              <w:left w:val="single" w:sz="2" w:space="0" w:color="auto"/>
              <w:bottom w:val="nil"/>
              <w:right w:val="nil"/>
            </w:tcBorders>
            <w:vAlign w:val="bottom"/>
          </w:tcPr>
          <w:p w14:paraId="2A7DE5B9" w14:textId="18791B5A" w:rsidR="00863311" w:rsidRPr="009F3C52" w:rsidRDefault="00307DD6" w:rsidP="008A5268">
            <w:pPr>
              <w:pStyle w:val="Heading1"/>
              <w:numPr>
                <w:ilvl w:val="0"/>
                <w:numId w:val="0"/>
              </w:numPr>
            </w:pPr>
            <w:bookmarkStart w:id="1049" w:name="_Toc49224347"/>
            <w:bookmarkStart w:id="1050" w:name="_Ref50365919"/>
            <w:bookmarkStart w:id="1051" w:name="_Toc50440428"/>
            <w:bookmarkStart w:id="1052" w:name="_Ref50524451"/>
            <w:bookmarkStart w:id="1053" w:name="_Toc223433228"/>
            <w:bookmarkStart w:id="1054" w:name="_Toc400627376"/>
            <w:bookmarkStart w:id="1055" w:name="_Toc132743847"/>
            <w:r w:rsidRPr="009F3C52">
              <w:t xml:space="preserve">Note </w:t>
            </w:r>
            <w:r w:rsidR="00563F4A" w:rsidRPr="009F3C52">
              <w:t>4</w:t>
            </w:r>
            <w:r w:rsidR="00E86853" w:rsidRPr="009F3C52">
              <w:t>4</w:t>
            </w:r>
            <w:r w:rsidR="00863311" w:rsidRPr="009F3C52">
              <w:t>.</w:t>
            </w:r>
            <w:r w:rsidR="00FA7C77">
              <w:t xml:space="preserve"> </w:t>
            </w:r>
            <w:bookmarkStart w:id="1056" w:name="TSgrantpurchserv"/>
            <w:r w:rsidR="00863311" w:rsidRPr="009F3C52">
              <w:t>Grants and Purchased Services</w:t>
            </w:r>
            <w:bookmarkEnd w:id="1049"/>
            <w:bookmarkEnd w:id="1050"/>
            <w:bookmarkEnd w:id="1051"/>
            <w:r w:rsidR="00863311" w:rsidRPr="009F3C52">
              <w:t xml:space="preserve"> – Territorial</w:t>
            </w:r>
            <w:bookmarkEnd w:id="1052"/>
            <w:bookmarkEnd w:id="1053"/>
            <w:bookmarkEnd w:id="1054"/>
            <w:bookmarkEnd w:id="1056"/>
            <w:bookmarkEnd w:id="1055"/>
          </w:p>
        </w:tc>
      </w:tr>
      <w:tr w:rsidR="00354061" w:rsidRPr="00CF7E1B" w14:paraId="317EEA5A" w14:textId="77777777" w:rsidTr="00D919F2">
        <w:trPr>
          <w:cantSplit/>
          <w:trHeight w:val="23"/>
        </w:trPr>
        <w:tc>
          <w:tcPr>
            <w:tcW w:w="1558" w:type="dxa"/>
            <w:tcBorders>
              <w:top w:val="nil"/>
              <w:left w:val="single" w:sz="2" w:space="0" w:color="auto"/>
              <w:bottom w:val="nil"/>
              <w:right w:val="single" w:sz="2" w:space="0" w:color="auto"/>
            </w:tcBorders>
          </w:tcPr>
          <w:p w14:paraId="5687B134" w14:textId="77777777" w:rsidR="00354061" w:rsidRPr="009F3C52" w:rsidRDefault="00354061" w:rsidP="00354061">
            <w:pPr>
              <w:pStyle w:val="TableReference"/>
              <w:tabs>
                <w:tab w:val="left" w:pos="3306"/>
              </w:tabs>
              <w:rPr>
                <w:rFonts w:cs="Calibri"/>
                <w:b/>
                <w:color w:val="7030A0"/>
                <w:sz w:val="20"/>
                <w:szCs w:val="20"/>
              </w:rPr>
            </w:pPr>
          </w:p>
        </w:tc>
        <w:tc>
          <w:tcPr>
            <w:tcW w:w="8929" w:type="dxa"/>
            <w:gridSpan w:val="3"/>
            <w:tcBorders>
              <w:top w:val="nil"/>
              <w:left w:val="single" w:sz="2" w:space="0" w:color="auto"/>
              <w:bottom w:val="nil"/>
              <w:right w:val="nil"/>
            </w:tcBorders>
            <w:vAlign w:val="bottom"/>
          </w:tcPr>
          <w:p w14:paraId="2EA600F1" w14:textId="5855E22A" w:rsidR="00354061" w:rsidRPr="009F3C52" w:rsidRDefault="00354061" w:rsidP="000A5AE9">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00956A70" w:rsidRPr="009F3C52">
              <w:rPr>
                <w:b/>
                <w:bCs/>
                <w:sz w:val="18"/>
                <w:szCs w:val="18"/>
              </w:rPr>
              <w:t>Grants and Purchased Services</w:t>
            </w:r>
            <w:r w:rsidR="0013456C" w:rsidRPr="009F3C52">
              <w:rPr>
                <w:b/>
                <w:bCs/>
                <w:sz w:val="18"/>
                <w:szCs w:val="18"/>
              </w:rPr>
              <w:t xml:space="preserve"> - Territorial</w:t>
            </w:r>
          </w:p>
        </w:tc>
      </w:tr>
      <w:tr w:rsidR="00863311" w:rsidRPr="00CF7E1B" w14:paraId="655144EE" w14:textId="77777777" w:rsidTr="00D919F2">
        <w:trPr>
          <w:cantSplit/>
          <w:trHeight w:val="23"/>
        </w:trPr>
        <w:tc>
          <w:tcPr>
            <w:tcW w:w="1558" w:type="dxa"/>
            <w:tcBorders>
              <w:top w:val="nil"/>
              <w:left w:val="single" w:sz="2" w:space="0" w:color="auto"/>
              <w:bottom w:val="nil"/>
              <w:right w:val="single" w:sz="2" w:space="0" w:color="auto"/>
            </w:tcBorders>
          </w:tcPr>
          <w:p w14:paraId="28E0EE06" w14:textId="77777777" w:rsidR="00863311" w:rsidRPr="009F3C52" w:rsidRDefault="00863311" w:rsidP="00863311">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31E6261F" w14:textId="02834657" w:rsidR="00863311" w:rsidRPr="009F3C52" w:rsidRDefault="00863311" w:rsidP="00863311">
            <w:pPr>
              <w:pStyle w:val="CommentaryText"/>
              <w:tabs>
                <w:tab w:val="left" w:pos="3306"/>
              </w:tabs>
              <w:rPr>
                <w:rFonts w:cs="Calibri"/>
                <w:sz w:val="18"/>
              </w:rPr>
            </w:pPr>
            <w:r w:rsidRPr="009F3C52">
              <w:rPr>
                <w:rFonts w:cs="Calibri"/>
                <w:sz w:val="18"/>
              </w:rPr>
              <w:t>Grants are amounts provided, by the Agency, to non</w:t>
            </w:r>
            <w:r w:rsidRPr="009F3C52">
              <w:rPr>
                <w:rFonts w:cs="Calibri"/>
                <w:sz w:val="18"/>
              </w:rPr>
              <w:noBreakHyphen/>
              <w:t>ACT Government agencies for general assistance or for a particular purpose.</w:t>
            </w:r>
            <w:r w:rsidR="00FA7C77">
              <w:rPr>
                <w:rFonts w:cs="Calibri"/>
                <w:sz w:val="18"/>
              </w:rPr>
              <w:t xml:space="preserve"> </w:t>
            </w:r>
            <w:r w:rsidRPr="009F3C52">
              <w:rPr>
                <w:rFonts w:cs="Calibri"/>
                <w:sz w:val="18"/>
              </w:rPr>
              <w:t>Grants may be for capital, current or recurrent purposes and the category reflects the use of the grant.</w:t>
            </w:r>
            <w:r w:rsidR="00FA7C77">
              <w:rPr>
                <w:rFonts w:cs="Calibri"/>
                <w:sz w:val="18"/>
              </w:rPr>
              <w:t xml:space="preserve"> </w:t>
            </w:r>
            <w:r w:rsidRPr="009F3C52">
              <w:rPr>
                <w:rFonts w:cs="Calibri"/>
                <w:sz w:val="18"/>
              </w:rPr>
              <w:t>The grants given are usually subject to terms and conditions set out in the contract, correspondence, or by legislation.</w:t>
            </w:r>
            <w:r w:rsidR="00FA7C77">
              <w:rPr>
                <w:rFonts w:cs="Calibri"/>
                <w:sz w:val="18"/>
              </w:rPr>
              <w:t xml:space="preserve">  </w:t>
            </w:r>
          </w:p>
        </w:tc>
      </w:tr>
      <w:tr w:rsidR="0080003B" w:rsidRPr="00CF7E1B" w14:paraId="0C63D126" w14:textId="77777777" w:rsidTr="00D919F2">
        <w:trPr>
          <w:cantSplit/>
          <w:trHeight w:val="217"/>
        </w:trPr>
        <w:tc>
          <w:tcPr>
            <w:tcW w:w="1558" w:type="dxa"/>
            <w:tcBorders>
              <w:top w:val="nil"/>
              <w:left w:val="single" w:sz="2" w:space="0" w:color="auto"/>
              <w:bottom w:val="nil"/>
              <w:right w:val="single" w:sz="2" w:space="0" w:color="auto"/>
            </w:tcBorders>
          </w:tcPr>
          <w:p w14:paraId="79CE5E36" w14:textId="77777777" w:rsidR="0080003B" w:rsidRPr="009F3C52" w:rsidRDefault="0080003B" w:rsidP="00863311">
            <w:pPr>
              <w:pStyle w:val="TableText"/>
              <w:rPr>
                <w:rFonts w:cs="Calibri"/>
                <w:color w:val="7030A0"/>
                <w:sz w:val="16"/>
                <w:szCs w:val="16"/>
              </w:rPr>
            </w:pPr>
          </w:p>
        </w:tc>
        <w:tc>
          <w:tcPr>
            <w:tcW w:w="8929" w:type="dxa"/>
            <w:gridSpan w:val="3"/>
            <w:tcBorders>
              <w:top w:val="nil"/>
              <w:left w:val="single" w:sz="2" w:space="0" w:color="auto"/>
              <w:bottom w:val="nil"/>
              <w:right w:val="nil"/>
            </w:tcBorders>
            <w:vAlign w:val="bottom"/>
          </w:tcPr>
          <w:p w14:paraId="5B7E03C7" w14:textId="6137ED52" w:rsidR="0080003B" w:rsidRPr="009F3C52" w:rsidRDefault="0080003B" w:rsidP="0080003B">
            <w:pPr>
              <w:pStyle w:val="TableText"/>
              <w:jc w:val="both"/>
              <w:rPr>
                <w:rFonts w:cs="Calibri"/>
                <w:b/>
                <w:bCs/>
              </w:rPr>
            </w:pPr>
            <w:r w:rsidRPr="009F3C52">
              <w:rPr>
                <w:rFonts w:cs="Calibri"/>
              </w:rPr>
              <w:t>Purchased services are amounts paid to obtain services from other ACT Government agencies and external parties.</w:t>
            </w:r>
            <w:r w:rsidR="00FA7C77">
              <w:rPr>
                <w:rFonts w:cs="Calibri"/>
              </w:rPr>
              <w:t xml:space="preserve"> </w:t>
            </w:r>
            <w:r w:rsidR="000A5AE9" w:rsidRPr="009F3C52">
              <w:rPr>
                <w:rFonts w:cs="Calibri"/>
              </w:rPr>
              <w:t xml:space="preserve">‘Burley Griffin Agency’ has only purchased services from other ACT Government Agencies. </w:t>
            </w:r>
          </w:p>
        </w:tc>
      </w:tr>
      <w:tr w:rsidR="001C75E3" w:rsidRPr="00CF7E1B" w14:paraId="707F5DAB" w14:textId="77777777" w:rsidTr="00D919F2">
        <w:trPr>
          <w:cantSplit/>
          <w:trHeight w:val="217"/>
        </w:trPr>
        <w:tc>
          <w:tcPr>
            <w:tcW w:w="1558" w:type="dxa"/>
            <w:tcBorders>
              <w:top w:val="nil"/>
              <w:left w:val="single" w:sz="2" w:space="0" w:color="auto"/>
              <w:bottom w:val="nil"/>
              <w:right w:val="single" w:sz="2" w:space="0" w:color="auto"/>
            </w:tcBorders>
          </w:tcPr>
          <w:p w14:paraId="50EF1373" w14:textId="77777777" w:rsidR="001C75E3" w:rsidRPr="009F3C52" w:rsidRDefault="001C75E3"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EC9FDD0" w14:textId="77777777" w:rsidR="001C75E3" w:rsidRPr="009F3C52" w:rsidRDefault="001C75E3"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261B0901" w14:textId="77777777" w:rsidR="001C75E3" w:rsidRPr="009F3C52" w:rsidRDefault="001C75E3" w:rsidP="00863311">
            <w:pPr>
              <w:pStyle w:val="TableText"/>
              <w:jc w:val="right"/>
              <w:rPr>
                <w:rFonts w:cs="Calibri"/>
                <w:b/>
                <w:bCs/>
              </w:rPr>
            </w:pPr>
          </w:p>
        </w:tc>
        <w:tc>
          <w:tcPr>
            <w:tcW w:w="1275" w:type="dxa"/>
            <w:tcBorders>
              <w:top w:val="nil"/>
              <w:left w:val="nil"/>
              <w:bottom w:val="nil"/>
              <w:right w:val="nil"/>
            </w:tcBorders>
            <w:vAlign w:val="bottom"/>
          </w:tcPr>
          <w:p w14:paraId="76352953" w14:textId="77777777" w:rsidR="001C75E3" w:rsidRPr="009F3C52" w:rsidRDefault="001C75E3" w:rsidP="00863311">
            <w:pPr>
              <w:pStyle w:val="TableText"/>
              <w:jc w:val="right"/>
              <w:rPr>
                <w:rFonts w:cs="Calibri"/>
                <w:b/>
                <w:bCs/>
              </w:rPr>
            </w:pPr>
          </w:p>
        </w:tc>
      </w:tr>
      <w:tr w:rsidR="00863311" w:rsidRPr="00CF7E1B" w14:paraId="5F740AD8" w14:textId="77777777" w:rsidTr="00D919F2">
        <w:trPr>
          <w:cantSplit/>
          <w:trHeight w:val="217"/>
        </w:trPr>
        <w:tc>
          <w:tcPr>
            <w:tcW w:w="1558" w:type="dxa"/>
            <w:tcBorders>
              <w:top w:val="nil"/>
              <w:left w:val="single" w:sz="2" w:space="0" w:color="auto"/>
              <w:bottom w:val="nil"/>
              <w:right w:val="single" w:sz="2" w:space="0" w:color="auto"/>
            </w:tcBorders>
          </w:tcPr>
          <w:p w14:paraId="61396786" w14:textId="77777777" w:rsidR="00863311" w:rsidRPr="009F3C52" w:rsidRDefault="00863311"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2456A00" w14:textId="77777777" w:rsidR="00863311" w:rsidRPr="009F3C52" w:rsidRDefault="00863311"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6C007889" w14:textId="2B4C29EE" w:rsidR="00863311" w:rsidRPr="009F3C52" w:rsidRDefault="006C26C2" w:rsidP="00863311">
            <w:pPr>
              <w:pStyle w:val="TableText"/>
              <w:jc w:val="right"/>
              <w:rPr>
                <w:rFonts w:cs="Calibri"/>
                <w:b/>
                <w:bCs/>
              </w:rPr>
            </w:pPr>
            <w:r w:rsidRPr="009F3C52">
              <w:rPr>
                <w:rFonts w:cs="Calibri"/>
                <w:b/>
                <w:bCs/>
              </w:rPr>
              <w:t>202</w:t>
            </w:r>
            <w:r w:rsidR="00F31BA8">
              <w:rPr>
                <w:rFonts w:cs="Calibri"/>
                <w:b/>
                <w:bCs/>
              </w:rPr>
              <w:t>3</w:t>
            </w:r>
          </w:p>
          <w:p w14:paraId="691D0765" w14:textId="77777777" w:rsidR="00863311" w:rsidRPr="009F3C52" w:rsidRDefault="00863311" w:rsidP="00354061">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043D8DD" w14:textId="7C81A1C0" w:rsidR="00A84CC0" w:rsidRDefault="005709FA" w:rsidP="00863311">
            <w:pPr>
              <w:pStyle w:val="TableText"/>
              <w:jc w:val="right"/>
              <w:rPr>
                <w:rFonts w:cs="Calibri"/>
                <w:b/>
                <w:bCs/>
              </w:rPr>
            </w:pPr>
            <w:r w:rsidRPr="009F3C52">
              <w:rPr>
                <w:rFonts w:cs="Calibri"/>
                <w:b/>
                <w:bCs/>
              </w:rPr>
              <w:t>202</w:t>
            </w:r>
            <w:r w:rsidR="00F31BA8">
              <w:rPr>
                <w:rFonts w:cs="Calibri"/>
                <w:b/>
                <w:bCs/>
              </w:rPr>
              <w:t>2</w:t>
            </w:r>
            <w:r w:rsidR="00FA7C77">
              <w:rPr>
                <w:rFonts w:cs="Calibri"/>
                <w:b/>
                <w:bCs/>
              </w:rPr>
              <w:t xml:space="preserve">   </w:t>
            </w:r>
            <w:r w:rsidR="009F3C52" w:rsidRPr="009F3C52">
              <w:rPr>
                <w:rFonts w:cs="Calibri"/>
                <w:b/>
                <w:bCs/>
              </w:rPr>
              <w:t xml:space="preserve"> </w:t>
            </w:r>
          </w:p>
          <w:p w14:paraId="4BDFB01C" w14:textId="6B434F3D" w:rsidR="00863311" w:rsidRPr="009F3C52" w:rsidRDefault="00863311" w:rsidP="00863311">
            <w:pPr>
              <w:pStyle w:val="TableText"/>
              <w:jc w:val="right"/>
              <w:rPr>
                <w:rFonts w:cs="Calibri"/>
                <w:b/>
                <w:bCs/>
              </w:rPr>
            </w:pPr>
            <w:r w:rsidRPr="009F3C52">
              <w:rPr>
                <w:rFonts w:cs="Calibri"/>
                <w:b/>
                <w:bCs/>
              </w:rPr>
              <w:t>$’000</w:t>
            </w:r>
          </w:p>
        </w:tc>
      </w:tr>
      <w:tr w:rsidR="00863311" w:rsidRPr="00CF7E1B" w14:paraId="674D4168" w14:textId="77777777" w:rsidTr="00D919F2">
        <w:trPr>
          <w:cantSplit/>
          <w:trHeight w:val="23"/>
        </w:trPr>
        <w:tc>
          <w:tcPr>
            <w:tcW w:w="1558" w:type="dxa"/>
            <w:tcBorders>
              <w:top w:val="nil"/>
              <w:left w:val="single" w:sz="2" w:space="0" w:color="auto"/>
              <w:bottom w:val="nil"/>
              <w:right w:val="single" w:sz="2" w:space="0" w:color="auto"/>
            </w:tcBorders>
          </w:tcPr>
          <w:p w14:paraId="7D943C4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D9D839" w14:textId="071E8808" w:rsidR="00863311" w:rsidRPr="009F3C52" w:rsidRDefault="00863311" w:rsidP="00C61ACE">
            <w:pPr>
              <w:pStyle w:val="TableText"/>
              <w:tabs>
                <w:tab w:val="left" w:pos="3306"/>
              </w:tabs>
              <w:rPr>
                <w:rFonts w:cs="Calibri"/>
              </w:rPr>
            </w:pPr>
            <w:r w:rsidRPr="009F3C52">
              <w:rPr>
                <w:rFonts w:cs="Calibri"/>
                <w:b/>
                <w:bCs/>
              </w:rPr>
              <w:t>Recurrent Grants</w:t>
            </w:r>
          </w:p>
        </w:tc>
        <w:tc>
          <w:tcPr>
            <w:tcW w:w="1655" w:type="dxa"/>
            <w:tcBorders>
              <w:top w:val="nil"/>
              <w:left w:val="nil"/>
              <w:bottom w:val="nil"/>
              <w:right w:val="nil"/>
            </w:tcBorders>
            <w:vAlign w:val="bottom"/>
          </w:tcPr>
          <w:p w14:paraId="5248C791"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1CDCBE" w14:textId="77777777" w:rsidR="00863311" w:rsidRPr="009F3C52" w:rsidRDefault="00863311" w:rsidP="00863311">
            <w:pPr>
              <w:pStyle w:val="TableText"/>
              <w:tabs>
                <w:tab w:val="left" w:pos="3306"/>
              </w:tabs>
              <w:jc w:val="right"/>
              <w:rPr>
                <w:rFonts w:cs="Calibri"/>
              </w:rPr>
            </w:pPr>
          </w:p>
        </w:tc>
      </w:tr>
      <w:tr w:rsidR="00863311" w:rsidRPr="00CF7E1B" w14:paraId="2ED4566C" w14:textId="77777777" w:rsidTr="00D919F2">
        <w:trPr>
          <w:cantSplit/>
          <w:trHeight w:val="23"/>
        </w:trPr>
        <w:tc>
          <w:tcPr>
            <w:tcW w:w="1558" w:type="dxa"/>
            <w:tcBorders>
              <w:top w:val="nil"/>
              <w:left w:val="single" w:sz="2" w:space="0" w:color="auto"/>
              <w:bottom w:val="nil"/>
              <w:right w:val="single" w:sz="2" w:space="0" w:color="auto"/>
            </w:tcBorders>
          </w:tcPr>
          <w:p w14:paraId="19D33190"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62121AD" w14:textId="2034C072"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5015C4CF" w14:textId="3869C06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E2C26AB" w14:textId="15D8C77D" w:rsidR="00863311" w:rsidRPr="009F3C52" w:rsidRDefault="00863311" w:rsidP="00863311">
            <w:pPr>
              <w:pStyle w:val="TableText"/>
              <w:tabs>
                <w:tab w:val="left" w:pos="3306"/>
              </w:tabs>
              <w:jc w:val="right"/>
              <w:rPr>
                <w:rFonts w:cs="Calibri"/>
              </w:rPr>
            </w:pPr>
          </w:p>
        </w:tc>
      </w:tr>
      <w:tr w:rsidR="00863311" w:rsidRPr="00CF7E1B" w14:paraId="110A8CA4" w14:textId="77777777" w:rsidTr="00D919F2">
        <w:trPr>
          <w:cantSplit/>
          <w:trHeight w:val="23"/>
        </w:trPr>
        <w:tc>
          <w:tcPr>
            <w:tcW w:w="1558" w:type="dxa"/>
            <w:tcBorders>
              <w:top w:val="nil"/>
              <w:left w:val="single" w:sz="2" w:space="0" w:color="auto"/>
              <w:bottom w:val="nil"/>
              <w:right w:val="single" w:sz="2" w:space="0" w:color="auto"/>
            </w:tcBorders>
          </w:tcPr>
          <w:p w14:paraId="2304411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5417FEB" w14:textId="5B99B1CA"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6CD54A89" w14:textId="485F139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9966D3" w14:textId="4C071FE3" w:rsidR="00863311" w:rsidRPr="009F3C52" w:rsidRDefault="00863311" w:rsidP="00863311">
            <w:pPr>
              <w:pStyle w:val="TableText"/>
              <w:tabs>
                <w:tab w:val="left" w:pos="3306"/>
              </w:tabs>
              <w:jc w:val="right"/>
              <w:rPr>
                <w:rFonts w:cs="Calibri"/>
              </w:rPr>
            </w:pPr>
          </w:p>
        </w:tc>
      </w:tr>
      <w:tr w:rsidR="00863311" w:rsidRPr="00CF7E1B" w14:paraId="5632A0F7" w14:textId="77777777" w:rsidTr="00D919F2">
        <w:trPr>
          <w:cantSplit/>
          <w:trHeight w:val="23"/>
        </w:trPr>
        <w:tc>
          <w:tcPr>
            <w:tcW w:w="1558" w:type="dxa"/>
            <w:tcBorders>
              <w:top w:val="nil"/>
              <w:left w:val="single" w:sz="2" w:space="0" w:color="auto"/>
              <w:bottom w:val="nil"/>
              <w:right w:val="single" w:sz="2" w:space="0" w:color="auto"/>
            </w:tcBorders>
          </w:tcPr>
          <w:p w14:paraId="173C1738"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7537B82" w14:textId="0940F42E" w:rsidR="00863311" w:rsidRPr="009F3C52" w:rsidRDefault="00863311" w:rsidP="00C61ACE">
            <w:pPr>
              <w:pStyle w:val="TableText"/>
              <w:tabs>
                <w:tab w:val="left" w:pos="3306"/>
              </w:tabs>
              <w:rPr>
                <w:rFonts w:cs="Calibri"/>
                <w:b/>
              </w:rPr>
            </w:pPr>
            <w:r w:rsidRPr="009F3C52">
              <w:rPr>
                <w:rFonts w:cs="Calibri"/>
                <w:b/>
              </w:rPr>
              <w:t>Total Recurrent Grants</w:t>
            </w:r>
          </w:p>
        </w:tc>
        <w:tc>
          <w:tcPr>
            <w:tcW w:w="1655" w:type="dxa"/>
            <w:tcBorders>
              <w:top w:val="single" w:sz="2" w:space="0" w:color="auto"/>
              <w:left w:val="nil"/>
              <w:bottom w:val="single" w:sz="2" w:space="0" w:color="auto"/>
              <w:right w:val="nil"/>
            </w:tcBorders>
            <w:vAlign w:val="bottom"/>
          </w:tcPr>
          <w:p w14:paraId="58B624F5" w14:textId="6EF8971F"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5EB4B939" w14:textId="027F76AE" w:rsidR="00863311" w:rsidRPr="009F3C52" w:rsidRDefault="00863311" w:rsidP="00863311">
            <w:pPr>
              <w:pStyle w:val="TableText"/>
              <w:tabs>
                <w:tab w:val="left" w:pos="3306"/>
              </w:tabs>
              <w:jc w:val="right"/>
              <w:rPr>
                <w:rFonts w:cs="Calibri"/>
                <w:b/>
              </w:rPr>
            </w:pPr>
          </w:p>
        </w:tc>
      </w:tr>
      <w:tr w:rsidR="00863311" w:rsidRPr="00CF7E1B" w14:paraId="3BAACB81" w14:textId="77777777" w:rsidTr="00D919F2">
        <w:trPr>
          <w:cantSplit/>
          <w:trHeight w:val="23"/>
        </w:trPr>
        <w:tc>
          <w:tcPr>
            <w:tcW w:w="1558" w:type="dxa"/>
            <w:tcBorders>
              <w:top w:val="nil"/>
              <w:left w:val="single" w:sz="2" w:space="0" w:color="auto"/>
              <w:bottom w:val="nil"/>
              <w:right w:val="single" w:sz="2" w:space="0" w:color="auto"/>
            </w:tcBorders>
          </w:tcPr>
          <w:p w14:paraId="6F55F4B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4F9A6AF9" w14:textId="77777777" w:rsidR="00863311" w:rsidRPr="009F3C52" w:rsidRDefault="00863311" w:rsidP="00863311">
            <w:pPr>
              <w:pStyle w:val="TableText"/>
              <w:tabs>
                <w:tab w:val="left" w:pos="3306"/>
              </w:tabs>
              <w:rPr>
                <w:rFonts w:cs="Calibri"/>
              </w:rPr>
            </w:pPr>
          </w:p>
        </w:tc>
        <w:tc>
          <w:tcPr>
            <w:tcW w:w="1655" w:type="dxa"/>
            <w:tcBorders>
              <w:top w:val="single" w:sz="2" w:space="0" w:color="auto"/>
              <w:left w:val="nil"/>
              <w:bottom w:val="nil"/>
              <w:right w:val="nil"/>
            </w:tcBorders>
            <w:vAlign w:val="bottom"/>
          </w:tcPr>
          <w:p w14:paraId="72069F68" w14:textId="77777777" w:rsidR="00863311" w:rsidRPr="009F3C52" w:rsidRDefault="00863311" w:rsidP="00863311">
            <w:pPr>
              <w:pStyle w:val="TableText"/>
              <w:tabs>
                <w:tab w:val="left" w:pos="3306"/>
              </w:tabs>
              <w:jc w:val="right"/>
              <w:rPr>
                <w:rFonts w:cs="Calibri"/>
              </w:rPr>
            </w:pPr>
          </w:p>
        </w:tc>
        <w:tc>
          <w:tcPr>
            <w:tcW w:w="1275" w:type="dxa"/>
            <w:tcBorders>
              <w:top w:val="single" w:sz="2" w:space="0" w:color="auto"/>
              <w:left w:val="nil"/>
              <w:bottom w:val="nil"/>
              <w:right w:val="nil"/>
            </w:tcBorders>
            <w:vAlign w:val="bottom"/>
          </w:tcPr>
          <w:p w14:paraId="031E4788" w14:textId="77777777" w:rsidR="00863311" w:rsidRPr="009F3C52" w:rsidRDefault="00863311" w:rsidP="00863311">
            <w:pPr>
              <w:pStyle w:val="TableText"/>
              <w:tabs>
                <w:tab w:val="left" w:pos="3306"/>
              </w:tabs>
              <w:jc w:val="right"/>
              <w:rPr>
                <w:rFonts w:cs="Calibri"/>
              </w:rPr>
            </w:pPr>
          </w:p>
        </w:tc>
      </w:tr>
      <w:tr w:rsidR="00863311" w:rsidRPr="00CF7E1B" w14:paraId="2C7048EE" w14:textId="77777777" w:rsidTr="00D919F2">
        <w:trPr>
          <w:cantSplit/>
          <w:trHeight w:val="23"/>
        </w:trPr>
        <w:tc>
          <w:tcPr>
            <w:tcW w:w="1558" w:type="dxa"/>
            <w:tcBorders>
              <w:top w:val="nil"/>
              <w:left w:val="single" w:sz="2" w:space="0" w:color="auto"/>
              <w:bottom w:val="nil"/>
              <w:right w:val="single" w:sz="2" w:space="0" w:color="auto"/>
            </w:tcBorders>
          </w:tcPr>
          <w:p w14:paraId="224DD5F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1F15C410" w14:textId="112B486A" w:rsidR="00863311" w:rsidRPr="009F3C52" w:rsidRDefault="00863311" w:rsidP="00C61ACE">
            <w:pPr>
              <w:pStyle w:val="TableText"/>
              <w:tabs>
                <w:tab w:val="left" w:pos="3306"/>
              </w:tabs>
              <w:rPr>
                <w:rFonts w:cs="Calibri"/>
              </w:rPr>
            </w:pPr>
            <w:r w:rsidRPr="009F3C52">
              <w:rPr>
                <w:rFonts w:cs="Calibri"/>
                <w:b/>
                <w:bCs/>
              </w:rPr>
              <w:t>Capital Grants</w:t>
            </w:r>
          </w:p>
        </w:tc>
        <w:tc>
          <w:tcPr>
            <w:tcW w:w="1655" w:type="dxa"/>
            <w:tcBorders>
              <w:top w:val="nil"/>
              <w:left w:val="nil"/>
              <w:bottom w:val="nil"/>
              <w:right w:val="nil"/>
            </w:tcBorders>
            <w:vAlign w:val="bottom"/>
          </w:tcPr>
          <w:p w14:paraId="210F6C29"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7B52C45" w14:textId="77777777" w:rsidR="00863311" w:rsidRPr="009F3C52" w:rsidRDefault="00863311" w:rsidP="00863311">
            <w:pPr>
              <w:pStyle w:val="TableText"/>
              <w:tabs>
                <w:tab w:val="left" w:pos="3306"/>
              </w:tabs>
              <w:jc w:val="right"/>
              <w:rPr>
                <w:rFonts w:cs="Calibri"/>
              </w:rPr>
            </w:pPr>
          </w:p>
        </w:tc>
      </w:tr>
      <w:tr w:rsidR="00863311" w:rsidRPr="00CF7E1B" w14:paraId="1545A6CC" w14:textId="77777777" w:rsidTr="00D919F2">
        <w:trPr>
          <w:cantSplit/>
          <w:trHeight w:val="23"/>
        </w:trPr>
        <w:tc>
          <w:tcPr>
            <w:tcW w:w="1558" w:type="dxa"/>
            <w:tcBorders>
              <w:top w:val="nil"/>
              <w:left w:val="single" w:sz="2" w:space="0" w:color="auto"/>
              <w:bottom w:val="nil"/>
              <w:right w:val="single" w:sz="2" w:space="0" w:color="auto"/>
            </w:tcBorders>
          </w:tcPr>
          <w:p w14:paraId="6AAAA19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2F05CA24" w14:textId="7A682958"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0C2887F8" w14:textId="602B03DA"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09F4F41D" w14:textId="51CA7D05" w:rsidR="00863311" w:rsidRPr="009F3C52" w:rsidRDefault="00863311" w:rsidP="00863311">
            <w:pPr>
              <w:pStyle w:val="TableText"/>
              <w:tabs>
                <w:tab w:val="left" w:pos="3306"/>
              </w:tabs>
              <w:jc w:val="right"/>
              <w:rPr>
                <w:rFonts w:cs="Calibri"/>
              </w:rPr>
            </w:pPr>
          </w:p>
        </w:tc>
      </w:tr>
      <w:tr w:rsidR="00863311" w:rsidRPr="00CF7E1B" w14:paraId="5809F64A" w14:textId="77777777" w:rsidTr="00D919F2">
        <w:trPr>
          <w:cantSplit/>
          <w:trHeight w:val="23"/>
        </w:trPr>
        <w:tc>
          <w:tcPr>
            <w:tcW w:w="1558" w:type="dxa"/>
            <w:tcBorders>
              <w:top w:val="nil"/>
              <w:left w:val="single" w:sz="2" w:space="0" w:color="auto"/>
              <w:bottom w:val="nil"/>
              <w:right w:val="single" w:sz="2" w:space="0" w:color="auto"/>
            </w:tcBorders>
          </w:tcPr>
          <w:p w14:paraId="2C1CA4AC"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1E615AD" w14:textId="04303403"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52DA7AB8" w14:textId="404E490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22A2BBC3" w14:textId="6D3FB6A2" w:rsidR="00863311" w:rsidRPr="009F3C52" w:rsidRDefault="00863311" w:rsidP="00863311">
            <w:pPr>
              <w:pStyle w:val="TableText"/>
              <w:tabs>
                <w:tab w:val="left" w:pos="3306"/>
              </w:tabs>
              <w:jc w:val="right"/>
              <w:rPr>
                <w:rFonts w:cs="Calibri"/>
              </w:rPr>
            </w:pPr>
          </w:p>
        </w:tc>
      </w:tr>
      <w:tr w:rsidR="00863311" w:rsidRPr="00CF7E1B" w14:paraId="6230668B" w14:textId="77777777" w:rsidTr="00D919F2">
        <w:trPr>
          <w:cantSplit/>
          <w:trHeight w:val="267"/>
        </w:trPr>
        <w:tc>
          <w:tcPr>
            <w:tcW w:w="1558" w:type="dxa"/>
            <w:tcBorders>
              <w:top w:val="nil"/>
              <w:left w:val="single" w:sz="2" w:space="0" w:color="auto"/>
              <w:bottom w:val="nil"/>
              <w:right w:val="single" w:sz="2" w:space="0" w:color="auto"/>
            </w:tcBorders>
          </w:tcPr>
          <w:p w14:paraId="59415AB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B41A021" w14:textId="27BFD11A" w:rsidR="00863311" w:rsidRPr="009F3C52" w:rsidRDefault="00863311" w:rsidP="00C61ACE">
            <w:pPr>
              <w:pStyle w:val="TableText"/>
              <w:tabs>
                <w:tab w:val="left" w:pos="3306"/>
              </w:tabs>
              <w:rPr>
                <w:rFonts w:cs="Calibri"/>
                <w:b/>
              </w:rPr>
            </w:pPr>
            <w:r w:rsidRPr="009F3C52">
              <w:rPr>
                <w:rFonts w:cs="Calibri"/>
                <w:b/>
              </w:rPr>
              <w:t>Total Capital Grants</w:t>
            </w:r>
          </w:p>
        </w:tc>
        <w:tc>
          <w:tcPr>
            <w:tcW w:w="1655" w:type="dxa"/>
            <w:tcBorders>
              <w:top w:val="single" w:sz="2" w:space="0" w:color="auto"/>
              <w:left w:val="nil"/>
              <w:bottom w:val="single" w:sz="2" w:space="0" w:color="auto"/>
              <w:right w:val="nil"/>
            </w:tcBorders>
            <w:vAlign w:val="bottom"/>
          </w:tcPr>
          <w:p w14:paraId="5FA8EBAD" w14:textId="449367A1"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E6635F2" w14:textId="16548C34" w:rsidR="00863311" w:rsidRPr="009F3C52" w:rsidRDefault="00863311" w:rsidP="00863311">
            <w:pPr>
              <w:pStyle w:val="TableText"/>
              <w:tabs>
                <w:tab w:val="left" w:pos="3306"/>
              </w:tabs>
              <w:jc w:val="right"/>
              <w:rPr>
                <w:rFonts w:cs="Calibri"/>
                <w:b/>
              </w:rPr>
            </w:pPr>
          </w:p>
        </w:tc>
      </w:tr>
      <w:tr w:rsidR="00863311" w:rsidRPr="00CF7E1B" w14:paraId="7EA0433F" w14:textId="77777777" w:rsidTr="00D919F2">
        <w:trPr>
          <w:cantSplit/>
          <w:trHeight w:hRule="exact" w:val="222"/>
        </w:trPr>
        <w:tc>
          <w:tcPr>
            <w:tcW w:w="1558" w:type="dxa"/>
            <w:tcBorders>
              <w:top w:val="nil"/>
              <w:left w:val="single" w:sz="2" w:space="0" w:color="auto"/>
              <w:bottom w:val="nil"/>
              <w:right w:val="single" w:sz="2" w:space="0" w:color="auto"/>
            </w:tcBorders>
          </w:tcPr>
          <w:p w14:paraId="75DAD668" w14:textId="77777777" w:rsidR="00863311" w:rsidRPr="009F3C52" w:rsidRDefault="00863311" w:rsidP="00863311">
            <w:pPr>
              <w:pStyle w:val="CommentaryReference"/>
              <w:rPr>
                <w:rFonts w:cs="Calibri"/>
                <w:color w:val="7030A0"/>
                <w:sz w:val="16"/>
              </w:rPr>
            </w:pPr>
          </w:p>
        </w:tc>
        <w:tc>
          <w:tcPr>
            <w:tcW w:w="5999" w:type="dxa"/>
            <w:tcBorders>
              <w:top w:val="nil"/>
              <w:left w:val="single" w:sz="2" w:space="0" w:color="auto"/>
              <w:bottom w:val="nil"/>
              <w:right w:val="nil"/>
            </w:tcBorders>
            <w:vAlign w:val="bottom"/>
          </w:tcPr>
          <w:p w14:paraId="676053E8" w14:textId="77777777" w:rsidR="00863311" w:rsidRPr="009F3C52" w:rsidRDefault="00863311" w:rsidP="00863311">
            <w:pPr>
              <w:pStyle w:val="CommentaryReference"/>
              <w:rPr>
                <w:rFonts w:cs="Calibri"/>
              </w:rPr>
            </w:pPr>
          </w:p>
        </w:tc>
        <w:tc>
          <w:tcPr>
            <w:tcW w:w="1655" w:type="dxa"/>
            <w:tcBorders>
              <w:top w:val="single" w:sz="2" w:space="0" w:color="auto"/>
              <w:left w:val="nil"/>
              <w:bottom w:val="nil"/>
              <w:right w:val="nil"/>
            </w:tcBorders>
            <w:vAlign w:val="bottom"/>
          </w:tcPr>
          <w:p w14:paraId="757FDC7F" w14:textId="77777777" w:rsidR="00863311" w:rsidRPr="009F3C52" w:rsidRDefault="00863311" w:rsidP="00863311">
            <w:pPr>
              <w:pStyle w:val="CommentaryReference"/>
              <w:rPr>
                <w:rFonts w:cs="Calibri"/>
              </w:rPr>
            </w:pPr>
          </w:p>
        </w:tc>
        <w:tc>
          <w:tcPr>
            <w:tcW w:w="1275" w:type="dxa"/>
            <w:tcBorders>
              <w:top w:val="single" w:sz="2" w:space="0" w:color="auto"/>
              <w:left w:val="nil"/>
              <w:bottom w:val="nil"/>
              <w:right w:val="nil"/>
            </w:tcBorders>
            <w:vAlign w:val="bottom"/>
          </w:tcPr>
          <w:p w14:paraId="453ADF95" w14:textId="77777777" w:rsidR="00863311" w:rsidRPr="009F3C52" w:rsidRDefault="00863311" w:rsidP="00863311">
            <w:pPr>
              <w:pStyle w:val="CommentaryReference"/>
              <w:rPr>
                <w:rFonts w:cs="Calibri"/>
              </w:rPr>
            </w:pPr>
          </w:p>
        </w:tc>
      </w:tr>
      <w:tr w:rsidR="00D828C2" w:rsidRPr="00D828C2" w14:paraId="043FE72F" w14:textId="77777777" w:rsidTr="00D919F2">
        <w:trPr>
          <w:cantSplit/>
          <w:trHeight w:val="23"/>
        </w:trPr>
        <w:tc>
          <w:tcPr>
            <w:tcW w:w="1558" w:type="dxa"/>
            <w:tcBorders>
              <w:top w:val="nil"/>
              <w:left w:val="single" w:sz="2" w:space="0" w:color="auto"/>
              <w:bottom w:val="nil"/>
              <w:right w:val="single" w:sz="2" w:space="0" w:color="auto"/>
            </w:tcBorders>
          </w:tcPr>
          <w:p w14:paraId="6540CC35"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01E70511" w14:textId="3664E34E" w:rsidR="001C75E3" w:rsidRPr="009F3C52" w:rsidRDefault="001C75E3" w:rsidP="001C75E3">
            <w:pPr>
              <w:pStyle w:val="TableText"/>
              <w:tabs>
                <w:tab w:val="left" w:pos="3306"/>
              </w:tabs>
              <w:rPr>
                <w:rFonts w:cs="Calibri"/>
              </w:rPr>
            </w:pPr>
            <w:r w:rsidRPr="009F3C52">
              <w:rPr>
                <w:rFonts w:cs="Calibri"/>
                <w:b/>
                <w:bCs/>
              </w:rPr>
              <w:t>Purchased Services</w:t>
            </w:r>
            <w:r w:rsidRPr="009F3C52">
              <w:rPr>
                <w:rFonts w:cs="Calibri"/>
              </w:rPr>
              <w:t xml:space="preserve"> </w:t>
            </w:r>
            <w:r w:rsidRPr="009F3C52">
              <w:rPr>
                <w:rFonts w:cs="Calibri"/>
                <w:b/>
                <w:bCs/>
              </w:rPr>
              <w:t>Payments</w:t>
            </w:r>
            <w:r w:rsidRPr="009F3C52">
              <w:rPr>
                <w:rFonts w:cs="Calibri"/>
              </w:rPr>
              <w:t xml:space="preserve"> </w:t>
            </w:r>
          </w:p>
        </w:tc>
        <w:tc>
          <w:tcPr>
            <w:tcW w:w="1655" w:type="dxa"/>
            <w:tcBorders>
              <w:top w:val="nil"/>
              <w:left w:val="nil"/>
              <w:bottom w:val="nil"/>
              <w:right w:val="nil"/>
            </w:tcBorders>
            <w:vAlign w:val="bottom"/>
          </w:tcPr>
          <w:p w14:paraId="16BA21AA" w14:textId="77777777"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7DAA2AFB" w14:textId="77777777" w:rsidR="001C75E3" w:rsidRPr="009F3C52" w:rsidRDefault="001C75E3" w:rsidP="001C75E3">
            <w:pPr>
              <w:pStyle w:val="TableText"/>
              <w:tabs>
                <w:tab w:val="left" w:pos="3306"/>
              </w:tabs>
              <w:jc w:val="right"/>
              <w:rPr>
                <w:rFonts w:cs="Calibri"/>
              </w:rPr>
            </w:pPr>
          </w:p>
        </w:tc>
      </w:tr>
      <w:tr w:rsidR="00D828C2" w:rsidRPr="00D828C2" w14:paraId="1D007D4C" w14:textId="77777777" w:rsidTr="00D919F2">
        <w:trPr>
          <w:cantSplit/>
          <w:trHeight w:val="23"/>
        </w:trPr>
        <w:tc>
          <w:tcPr>
            <w:tcW w:w="1558" w:type="dxa"/>
            <w:tcBorders>
              <w:top w:val="nil"/>
              <w:left w:val="single" w:sz="2" w:space="0" w:color="auto"/>
              <w:bottom w:val="nil"/>
              <w:right w:val="single" w:sz="2" w:space="0" w:color="auto"/>
            </w:tcBorders>
          </w:tcPr>
          <w:p w14:paraId="22949D44"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61ED1B" w14:textId="7C1D5082"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‘Example Heritage Authority’</w:t>
            </w:r>
          </w:p>
        </w:tc>
        <w:tc>
          <w:tcPr>
            <w:tcW w:w="1655" w:type="dxa"/>
            <w:tcBorders>
              <w:top w:val="nil"/>
              <w:left w:val="nil"/>
              <w:bottom w:val="nil"/>
              <w:right w:val="nil"/>
            </w:tcBorders>
            <w:vAlign w:val="bottom"/>
          </w:tcPr>
          <w:p w14:paraId="59D1EF83" w14:textId="780F1D53"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65DE5219" w14:textId="65FB62ED" w:rsidR="001C75E3" w:rsidRPr="009F3C52" w:rsidRDefault="001C75E3" w:rsidP="001C75E3">
            <w:pPr>
              <w:pStyle w:val="TableText"/>
              <w:tabs>
                <w:tab w:val="left" w:pos="3306"/>
              </w:tabs>
              <w:jc w:val="right"/>
              <w:rPr>
                <w:rFonts w:cs="Calibri"/>
              </w:rPr>
            </w:pPr>
          </w:p>
        </w:tc>
      </w:tr>
      <w:tr w:rsidR="00D828C2" w:rsidRPr="00D828C2" w14:paraId="3460D88F" w14:textId="77777777" w:rsidTr="00D919F2">
        <w:trPr>
          <w:cantSplit/>
          <w:trHeight w:val="23"/>
        </w:trPr>
        <w:tc>
          <w:tcPr>
            <w:tcW w:w="1558" w:type="dxa"/>
            <w:tcBorders>
              <w:top w:val="nil"/>
              <w:left w:val="single" w:sz="2" w:space="0" w:color="auto"/>
              <w:bottom w:val="nil"/>
              <w:right w:val="single" w:sz="2" w:space="0" w:color="auto"/>
            </w:tcBorders>
          </w:tcPr>
          <w:p w14:paraId="36D39BE2"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F100DAE" w14:textId="1C4DA27C"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w:t>
            </w:r>
            <w:smartTag w:uri="urn:schemas-microsoft-com:office:smarttags" w:element="place">
              <w:smartTag w:uri="urn:schemas-microsoft-com:office:smarttags" w:element="PlaceName">
                <w:r w:rsidR="001C75E3" w:rsidRPr="009F3C52">
                  <w:rPr>
                    <w:rFonts w:cs="Calibri"/>
                  </w:rPr>
                  <w:t>Example</w:t>
                </w:r>
              </w:smartTag>
              <w:r w:rsidR="001C75E3" w:rsidRPr="009F3C52">
                <w:rPr>
                  <w:rFonts w:cs="Calibri"/>
                </w:rPr>
                <w:t xml:space="preserve"> </w:t>
              </w:r>
              <w:smartTag w:uri="urn:schemas-microsoft-com:office:smarttags" w:element="PlaceType">
                <w:r w:rsidR="001C75E3" w:rsidRPr="009F3C52">
                  <w:rPr>
                    <w:rFonts w:cs="Calibri"/>
                  </w:rPr>
                  <w:t>Land</w:t>
                </w:r>
              </w:smartTag>
            </w:smartTag>
            <w:r w:rsidR="001C75E3" w:rsidRPr="009F3C52">
              <w:rPr>
                <w:rFonts w:cs="Calibri"/>
              </w:rPr>
              <w:t xml:space="preserve"> Management Authority’</w:t>
            </w:r>
          </w:p>
        </w:tc>
        <w:tc>
          <w:tcPr>
            <w:tcW w:w="1655" w:type="dxa"/>
            <w:tcBorders>
              <w:top w:val="nil"/>
              <w:left w:val="nil"/>
              <w:bottom w:val="single" w:sz="4" w:space="0" w:color="auto"/>
              <w:right w:val="nil"/>
            </w:tcBorders>
            <w:vAlign w:val="bottom"/>
          </w:tcPr>
          <w:p w14:paraId="55E9D195" w14:textId="45F1CFD4" w:rsidR="001C75E3" w:rsidRPr="009F3C52" w:rsidRDefault="001C75E3" w:rsidP="001C75E3">
            <w:pPr>
              <w:pStyle w:val="TableText"/>
              <w:tabs>
                <w:tab w:val="left" w:pos="3306"/>
              </w:tabs>
              <w:jc w:val="right"/>
              <w:rPr>
                <w:rFonts w:cs="Calibri"/>
              </w:rPr>
            </w:pPr>
          </w:p>
        </w:tc>
        <w:tc>
          <w:tcPr>
            <w:tcW w:w="1275" w:type="dxa"/>
            <w:tcBorders>
              <w:top w:val="nil"/>
              <w:left w:val="nil"/>
              <w:bottom w:val="single" w:sz="4" w:space="0" w:color="auto"/>
              <w:right w:val="nil"/>
            </w:tcBorders>
            <w:vAlign w:val="bottom"/>
          </w:tcPr>
          <w:p w14:paraId="061A2743" w14:textId="76E4E353" w:rsidR="001C75E3" w:rsidRPr="009F3C52" w:rsidRDefault="001C75E3" w:rsidP="001C75E3">
            <w:pPr>
              <w:pStyle w:val="TableText"/>
              <w:tabs>
                <w:tab w:val="left" w:pos="3306"/>
              </w:tabs>
              <w:jc w:val="right"/>
              <w:rPr>
                <w:rFonts w:cs="Calibri"/>
              </w:rPr>
            </w:pPr>
          </w:p>
        </w:tc>
      </w:tr>
      <w:tr w:rsidR="00D828C2" w:rsidRPr="00D828C2" w14:paraId="79DEBC2A" w14:textId="77777777" w:rsidTr="00D919F2">
        <w:trPr>
          <w:cantSplit/>
          <w:trHeight w:val="23"/>
        </w:trPr>
        <w:tc>
          <w:tcPr>
            <w:tcW w:w="1558" w:type="dxa"/>
            <w:tcBorders>
              <w:top w:val="nil"/>
              <w:left w:val="single" w:sz="2" w:space="0" w:color="auto"/>
              <w:bottom w:val="nil"/>
              <w:right w:val="single" w:sz="2" w:space="0" w:color="auto"/>
            </w:tcBorders>
          </w:tcPr>
          <w:p w14:paraId="0260A7AA" w14:textId="77777777" w:rsidR="00C95C62" w:rsidRPr="009F3C52" w:rsidRDefault="00C95C62" w:rsidP="00C95C62">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10CE3B2" w14:textId="6B6D3A8F" w:rsidR="00C95C62" w:rsidRPr="009F3C52" w:rsidRDefault="00C95C62" w:rsidP="00C95C62">
            <w:pPr>
              <w:pStyle w:val="TableText"/>
              <w:tabs>
                <w:tab w:val="left" w:pos="3306"/>
              </w:tabs>
              <w:rPr>
                <w:rFonts w:cs="Calibri"/>
                <w:b/>
              </w:rPr>
            </w:pPr>
            <w:r w:rsidRPr="009F3C52">
              <w:rPr>
                <w:rFonts w:cs="Calibri"/>
                <w:b/>
              </w:rPr>
              <w:t>Total Purchased Services Payments</w:t>
            </w:r>
          </w:p>
        </w:tc>
        <w:tc>
          <w:tcPr>
            <w:tcW w:w="1655" w:type="dxa"/>
            <w:tcBorders>
              <w:top w:val="single" w:sz="4" w:space="0" w:color="auto"/>
              <w:left w:val="nil"/>
              <w:bottom w:val="single" w:sz="4" w:space="0" w:color="auto"/>
              <w:right w:val="nil"/>
            </w:tcBorders>
            <w:vAlign w:val="bottom"/>
          </w:tcPr>
          <w:p w14:paraId="768813AE" w14:textId="7A1B6086" w:rsidR="00C95C62" w:rsidRPr="009F3C52" w:rsidRDefault="00C95C62" w:rsidP="00C95C62">
            <w:pPr>
              <w:pStyle w:val="TableText"/>
              <w:tabs>
                <w:tab w:val="left" w:pos="3306"/>
              </w:tabs>
              <w:jc w:val="right"/>
              <w:rPr>
                <w:rFonts w:cs="Calibri"/>
                <w:b/>
              </w:rPr>
            </w:pPr>
          </w:p>
        </w:tc>
        <w:tc>
          <w:tcPr>
            <w:tcW w:w="1275" w:type="dxa"/>
            <w:tcBorders>
              <w:top w:val="single" w:sz="4" w:space="0" w:color="auto"/>
              <w:left w:val="nil"/>
              <w:bottom w:val="single" w:sz="4" w:space="0" w:color="auto"/>
              <w:right w:val="nil"/>
            </w:tcBorders>
            <w:vAlign w:val="bottom"/>
          </w:tcPr>
          <w:p w14:paraId="5D680042" w14:textId="68BEC869" w:rsidR="00C95C62" w:rsidRPr="009F3C52" w:rsidRDefault="00C95C62" w:rsidP="00C95C62">
            <w:pPr>
              <w:pStyle w:val="TableText"/>
              <w:tabs>
                <w:tab w:val="left" w:pos="3306"/>
              </w:tabs>
              <w:jc w:val="right"/>
              <w:rPr>
                <w:rFonts w:cs="Calibri"/>
                <w:b/>
              </w:rPr>
            </w:pPr>
          </w:p>
        </w:tc>
      </w:tr>
      <w:tr w:rsidR="0051145F" w:rsidRPr="0051145F" w14:paraId="71F3E432" w14:textId="77777777" w:rsidTr="00D919F2">
        <w:trPr>
          <w:cantSplit/>
          <w:trHeight w:val="23"/>
        </w:trPr>
        <w:tc>
          <w:tcPr>
            <w:tcW w:w="1558" w:type="dxa"/>
            <w:tcBorders>
              <w:top w:val="nil"/>
              <w:left w:val="single" w:sz="2" w:space="0" w:color="auto"/>
              <w:bottom w:val="nil"/>
              <w:right w:val="single" w:sz="2" w:space="0" w:color="auto"/>
            </w:tcBorders>
          </w:tcPr>
          <w:p w14:paraId="37DBC96A" w14:textId="77777777" w:rsidR="0051145F" w:rsidRPr="009F3C52" w:rsidRDefault="0051145F" w:rsidP="0051145F">
            <w:pPr>
              <w:pStyle w:val="TableReference"/>
              <w:tabs>
                <w:tab w:val="left" w:pos="3306"/>
              </w:tabs>
              <w:rPr>
                <w:rFonts w:cs="Calibri"/>
                <w:color w:val="7030A0"/>
                <w:szCs w:val="12"/>
              </w:rPr>
            </w:pPr>
          </w:p>
        </w:tc>
        <w:tc>
          <w:tcPr>
            <w:tcW w:w="5999" w:type="dxa"/>
            <w:tcBorders>
              <w:top w:val="nil"/>
              <w:left w:val="single" w:sz="2" w:space="0" w:color="auto"/>
              <w:bottom w:val="nil"/>
              <w:right w:val="nil"/>
            </w:tcBorders>
            <w:vAlign w:val="bottom"/>
          </w:tcPr>
          <w:p w14:paraId="05CAAD58" w14:textId="77777777" w:rsidR="0051145F" w:rsidRPr="009F3C52" w:rsidRDefault="0051145F" w:rsidP="0051145F">
            <w:pPr>
              <w:pStyle w:val="TableText"/>
              <w:tabs>
                <w:tab w:val="left" w:pos="3306"/>
              </w:tabs>
              <w:spacing w:before="0"/>
              <w:rPr>
                <w:rFonts w:cs="Calibri"/>
                <w:b/>
                <w:sz w:val="12"/>
                <w:szCs w:val="12"/>
              </w:rPr>
            </w:pPr>
          </w:p>
        </w:tc>
        <w:tc>
          <w:tcPr>
            <w:tcW w:w="1655" w:type="dxa"/>
            <w:tcBorders>
              <w:top w:val="single" w:sz="4" w:space="0" w:color="auto"/>
              <w:left w:val="nil"/>
              <w:bottom w:val="single" w:sz="4" w:space="0" w:color="auto"/>
              <w:right w:val="nil"/>
            </w:tcBorders>
            <w:vAlign w:val="bottom"/>
          </w:tcPr>
          <w:p w14:paraId="4B68C789" w14:textId="77777777" w:rsidR="0051145F" w:rsidRPr="009F3C52" w:rsidRDefault="0051145F" w:rsidP="0051145F">
            <w:pPr>
              <w:pStyle w:val="TableText"/>
              <w:tabs>
                <w:tab w:val="left" w:pos="3306"/>
              </w:tabs>
              <w:spacing w:before="0"/>
              <w:jc w:val="right"/>
              <w:rPr>
                <w:rFonts w:cs="Calibri"/>
                <w:b/>
                <w:sz w:val="12"/>
                <w:szCs w:val="12"/>
              </w:rPr>
            </w:pPr>
          </w:p>
        </w:tc>
        <w:tc>
          <w:tcPr>
            <w:tcW w:w="1275" w:type="dxa"/>
            <w:tcBorders>
              <w:top w:val="single" w:sz="4" w:space="0" w:color="auto"/>
              <w:left w:val="nil"/>
              <w:bottom w:val="single" w:sz="4" w:space="0" w:color="auto"/>
              <w:right w:val="nil"/>
            </w:tcBorders>
            <w:vAlign w:val="bottom"/>
          </w:tcPr>
          <w:p w14:paraId="0DBB9FF3" w14:textId="77777777" w:rsidR="0051145F" w:rsidRPr="009F3C52" w:rsidRDefault="0051145F" w:rsidP="0051145F">
            <w:pPr>
              <w:pStyle w:val="TableText"/>
              <w:tabs>
                <w:tab w:val="left" w:pos="3306"/>
              </w:tabs>
              <w:spacing w:before="0"/>
              <w:jc w:val="right"/>
              <w:rPr>
                <w:rFonts w:cs="Calibri"/>
                <w:b/>
                <w:sz w:val="12"/>
                <w:szCs w:val="12"/>
              </w:rPr>
            </w:pPr>
          </w:p>
        </w:tc>
      </w:tr>
      <w:tr w:rsidR="00C95C62" w:rsidRPr="00CF7E1B" w14:paraId="0E81D572" w14:textId="77777777" w:rsidTr="00D919F2">
        <w:trPr>
          <w:cantSplit/>
          <w:trHeight w:val="23"/>
        </w:trPr>
        <w:tc>
          <w:tcPr>
            <w:tcW w:w="1558" w:type="dxa"/>
            <w:tcBorders>
              <w:top w:val="nil"/>
              <w:left w:val="single" w:sz="2" w:space="0" w:color="auto"/>
              <w:bottom w:val="nil"/>
              <w:right w:val="single" w:sz="2" w:space="0" w:color="auto"/>
            </w:tcBorders>
          </w:tcPr>
          <w:p w14:paraId="70E58F71" w14:textId="77777777" w:rsidR="00C95C62" w:rsidRPr="009F3C52" w:rsidRDefault="00C95C62" w:rsidP="0051145F">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31BCC961" w14:textId="77777777" w:rsidR="00C95C62" w:rsidRPr="009F3C52" w:rsidRDefault="00C95C62" w:rsidP="0051145F">
            <w:pPr>
              <w:pStyle w:val="TableText"/>
              <w:tabs>
                <w:tab w:val="left" w:pos="3306"/>
              </w:tabs>
              <w:spacing w:before="0"/>
              <w:rPr>
                <w:rFonts w:cs="Calibri"/>
                <w:b/>
                <w:bCs/>
              </w:rPr>
            </w:pPr>
            <w:r w:rsidRPr="009F3C52">
              <w:rPr>
                <w:rFonts w:cs="Calibri"/>
                <w:b/>
                <w:bCs/>
              </w:rPr>
              <w:t>Total Grants and Purchased Services</w:t>
            </w:r>
          </w:p>
        </w:tc>
        <w:tc>
          <w:tcPr>
            <w:tcW w:w="1655" w:type="dxa"/>
            <w:tcBorders>
              <w:top w:val="single" w:sz="4" w:space="0" w:color="auto"/>
              <w:left w:val="nil"/>
              <w:bottom w:val="double" w:sz="4" w:space="0" w:color="auto"/>
              <w:right w:val="nil"/>
            </w:tcBorders>
            <w:vAlign w:val="bottom"/>
          </w:tcPr>
          <w:p w14:paraId="3286544C" w14:textId="11CBF368" w:rsidR="00C95C62" w:rsidRPr="009F3C52" w:rsidRDefault="00C95C62" w:rsidP="0051145F">
            <w:pPr>
              <w:pStyle w:val="TableText"/>
              <w:tabs>
                <w:tab w:val="left" w:pos="3306"/>
              </w:tabs>
              <w:spacing w:before="0"/>
              <w:jc w:val="right"/>
              <w:rPr>
                <w:rFonts w:cs="Calibri"/>
                <w:b/>
                <w:bCs/>
              </w:rPr>
            </w:pPr>
          </w:p>
        </w:tc>
        <w:tc>
          <w:tcPr>
            <w:tcW w:w="1275" w:type="dxa"/>
            <w:tcBorders>
              <w:top w:val="single" w:sz="4" w:space="0" w:color="auto"/>
              <w:left w:val="nil"/>
              <w:bottom w:val="double" w:sz="4" w:space="0" w:color="auto"/>
              <w:right w:val="nil"/>
            </w:tcBorders>
            <w:vAlign w:val="bottom"/>
          </w:tcPr>
          <w:p w14:paraId="665CBB14" w14:textId="0752E29A" w:rsidR="00C95C62" w:rsidRPr="009F3C52" w:rsidRDefault="00C95C62" w:rsidP="0051145F">
            <w:pPr>
              <w:pStyle w:val="TableText"/>
              <w:tabs>
                <w:tab w:val="left" w:pos="3306"/>
              </w:tabs>
              <w:spacing w:before="0"/>
              <w:jc w:val="right"/>
              <w:rPr>
                <w:rFonts w:cs="Calibri"/>
                <w:b/>
                <w:bCs/>
              </w:rPr>
            </w:pPr>
          </w:p>
        </w:tc>
      </w:tr>
      <w:tr w:rsidR="009F3C52" w:rsidRPr="00CF7E1B" w14:paraId="3C533BF0" w14:textId="77777777" w:rsidTr="00D919F2">
        <w:trPr>
          <w:cantSplit/>
          <w:trHeight w:val="181"/>
        </w:trPr>
        <w:tc>
          <w:tcPr>
            <w:tcW w:w="1558" w:type="dxa"/>
            <w:tcBorders>
              <w:top w:val="nil"/>
              <w:left w:val="single" w:sz="2" w:space="0" w:color="auto"/>
              <w:bottom w:val="nil"/>
              <w:right w:val="single" w:sz="2" w:space="0" w:color="auto"/>
            </w:tcBorders>
          </w:tcPr>
          <w:p w14:paraId="1962C5CC" w14:textId="77777777" w:rsidR="009F3C52" w:rsidRPr="009F3C52" w:rsidRDefault="009F3C52" w:rsidP="00C95C62">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7D4ADED3" w14:textId="77777777" w:rsidR="009F3C52" w:rsidRPr="00CF7E1B" w:rsidRDefault="009F3C52" w:rsidP="00C95C62">
            <w:pPr>
              <w:pStyle w:val="TableText"/>
              <w:tabs>
                <w:tab w:val="left" w:pos="3306"/>
              </w:tabs>
              <w:rPr>
                <w:rFonts w:cs="Calibri"/>
              </w:rPr>
            </w:pPr>
          </w:p>
        </w:tc>
      </w:tr>
      <w:tr w:rsidR="00C95C62" w:rsidRPr="00CF7E1B" w14:paraId="0A4A986E" w14:textId="77777777" w:rsidTr="00D919F2">
        <w:trPr>
          <w:cantSplit/>
          <w:trHeight w:val="23"/>
        </w:trPr>
        <w:tc>
          <w:tcPr>
            <w:tcW w:w="1558" w:type="dxa"/>
            <w:tcBorders>
              <w:top w:val="nil"/>
              <w:left w:val="single" w:sz="2" w:space="0" w:color="auto"/>
              <w:bottom w:val="nil"/>
              <w:right w:val="single" w:sz="2" w:space="0" w:color="auto"/>
            </w:tcBorders>
          </w:tcPr>
          <w:p w14:paraId="178A2CC4" w14:textId="77777777" w:rsidR="00C95C62" w:rsidRPr="009F3C52" w:rsidRDefault="00C95C62" w:rsidP="00C24DC3">
            <w:pPr>
              <w:pStyle w:val="TableReference"/>
              <w:tabs>
                <w:tab w:val="left" w:pos="3306"/>
              </w:tabs>
              <w:spacing w:before="240" w:after="240"/>
              <w:rPr>
                <w:rFonts w:cs="Calibri"/>
                <w:color w:val="7030A0"/>
                <w:sz w:val="16"/>
                <w:szCs w:val="16"/>
              </w:rPr>
            </w:pPr>
          </w:p>
        </w:tc>
        <w:tc>
          <w:tcPr>
            <w:tcW w:w="8929" w:type="dxa"/>
            <w:gridSpan w:val="3"/>
            <w:tcBorders>
              <w:top w:val="nil"/>
              <w:left w:val="single" w:sz="2" w:space="0" w:color="auto"/>
              <w:bottom w:val="nil"/>
              <w:right w:val="nil"/>
            </w:tcBorders>
            <w:shd w:val="clear" w:color="auto" w:fill="7030A0"/>
            <w:vAlign w:val="bottom"/>
          </w:tcPr>
          <w:p w14:paraId="2AE4101B" w14:textId="54D9515C" w:rsidR="00C95C62" w:rsidRPr="009F3C52" w:rsidRDefault="00C95C62" w:rsidP="00C24DC3">
            <w:pPr>
              <w:pStyle w:val="CommentaryTitle"/>
              <w:spacing w:before="240" w:after="240"/>
              <w:rPr>
                <w:rFonts w:cs="Calibri"/>
                <w:color w:val="FFFFFF" w:themeColor="background1"/>
                <w:sz w:val="28"/>
                <w:szCs w:val="28"/>
              </w:rPr>
            </w:pPr>
            <w:bookmarkStart w:id="1057" w:name="_Toc163106417"/>
            <w:r w:rsidRPr="009F3C52">
              <w:rPr>
                <w:rFonts w:cs="Calibri"/>
                <w:color w:val="FFFFFF" w:themeColor="background1"/>
                <w:sz w:val="28"/>
                <w:szCs w:val="28"/>
              </w:rPr>
              <w:t xml:space="preserve">Commentary – Note </w:t>
            </w:r>
            <w:r w:rsidR="005C675F" w:rsidRPr="009F3C52">
              <w:rPr>
                <w:rFonts w:cs="Calibri"/>
                <w:color w:val="FFFFFF" w:themeColor="background1"/>
                <w:sz w:val="28"/>
                <w:szCs w:val="28"/>
              </w:rPr>
              <w:t>4</w:t>
            </w:r>
            <w:r w:rsidR="00E86853" w:rsidRPr="009F3C52">
              <w:rPr>
                <w:rFonts w:cs="Calibri"/>
                <w:color w:val="FFFFFF" w:themeColor="background1"/>
                <w:sz w:val="28"/>
                <w:szCs w:val="28"/>
              </w:rPr>
              <w:t>4</w:t>
            </w:r>
            <w:r w:rsidRPr="009F3C52">
              <w:rPr>
                <w:rFonts w:cs="Calibri"/>
                <w:color w:val="FFFFFF" w:themeColor="background1"/>
                <w:sz w:val="28"/>
                <w:szCs w:val="28"/>
              </w:rPr>
              <w:t>: Grants and Purchased Services – Territorial</w:t>
            </w:r>
            <w:bookmarkEnd w:id="1057"/>
          </w:p>
        </w:tc>
      </w:tr>
      <w:tr w:rsidR="00C95C62" w:rsidRPr="00CF7E1B" w14:paraId="013C8411" w14:textId="77777777" w:rsidTr="00D919F2">
        <w:trPr>
          <w:cantSplit/>
          <w:trHeight w:val="23"/>
        </w:trPr>
        <w:tc>
          <w:tcPr>
            <w:tcW w:w="1558" w:type="dxa"/>
            <w:tcBorders>
              <w:top w:val="nil"/>
              <w:left w:val="single" w:sz="2" w:space="0" w:color="auto"/>
              <w:bottom w:val="nil"/>
              <w:right w:val="single" w:sz="2" w:space="0" w:color="auto"/>
            </w:tcBorders>
          </w:tcPr>
          <w:p w14:paraId="611C48D6" w14:textId="77777777" w:rsidR="00C95C62" w:rsidRPr="009F3C52" w:rsidRDefault="00C95C62" w:rsidP="00C95C62">
            <w:pPr>
              <w:pStyle w:val="TableReference"/>
              <w:tabs>
                <w:tab w:val="left" w:pos="3306"/>
              </w:tabs>
              <w:spacing w:before="40"/>
              <w:rPr>
                <w:rFonts w:cs="Calibri"/>
                <w:color w:val="7030A0"/>
                <w:sz w:val="14"/>
              </w:rPr>
            </w:pPr>
            <w:r w:rsidRPr="009F3C52">
              <w:rPr>
                <w:rFonts w:cs="Calibri"/>
                <w:color w:val="7030A0"/>
                <w:sz w:val="14"/>
              </w:rPr>
              <w:t>AASB 1050.22</w:t>
            </w:r>
          </w:p>
        </w:tc>
        <w:tc>
          <w:tcPr>
            <w:tcW w:w="8929" w:type="dxa"/>
            <w:gridSpan w:val="3"/>
            <w:tcBorders>
              <w:top w:val="nil"/>
              <w:left w:val="single" w:sz="2" w:space="0" w:color="auto"/>
              <w:bottom w:val="nil"/>
              <w:right w:val="nil"/>
            </w:tcBorders>
            <w:shd w:val="clear" w:color="auto" w:fill="7030A0"/>
            <w:vAlign w:val="bottom"/>
          </w:tcPr>
          <w:p w14:paraId="15232B30" w14:textId="7037EC7B" w:rsidR="00C95C62" w:rsidRPr="009F3C52" w:rsidRDefault="00C95C62" w:rsidP="00C95C62">
            <w:pPr>
              <w:pStyle w:val="CommentaryText"/>
              <w:rPr>
                <w:rFonts w:cs="Calibri"/>
                <w:color w:val="FFFFFF" w:themeColor="background1"/>
                <w:sz w:val="18"/>
                <w:szCs w:val="18"/>
              </w:rPr>
            </w:pPr>
            <w:r w:rsidRPr="009F3C52">
              <w:rPr>
                <w:rFonts w:cs="Calibri"/>
                <w:color w:val="FFFFFF" w:themeColor="background1"/>
                <w:sz w:val="18"/>
                <w:szCs w:val="18"/>
              </w:rPr>
              <w:t>The breakup of grants and purchased services included here are of a general nature, as they will differ between each agency.</w:t>
            </w:r>
            <w:r w:rsidR="00FA7C77">
              <w:rPr>
                <w:rFonts w:cs="Calibri"/>
                <w:color w:val="FFFFFF" w:themeColor="background1"/>
                <w:sz w:val="18"/>
                <w:szCs w:val="18"/>
              </w:rPr>
              <w:t xml:space="preserve"> </w:t>
            </w:r>
            <w:r w:rsidRPr="009F3C52">
              <w:rPr>
                <w:rFonts w:cs="Calibri"/>
                <w:color w:val="FFFFFF" w:themeColor="background1"/>
                <w:sz w:val="18"/>
                <w:szCs w:val="18"/>
              </w:rPr>
              <w:t xml:space="preserve">Under AASB 1050 </w:t>
            </w:r>
            <w:r w:rsidRPr="009F3C52">
              <w:rPr>
                <w:rFonts w:cs="Calibri"/>
                <w:i/>
                <w:color w:val="FFFFFF" w:themeColor="background1"/>
                <w:sz w:val="18"/>
                <w:szCs w:val="18"/>
              </w:rPr>
              <w:t xml:space="preserve">Administered Items, </w:t>
            </w:r>
            <w:r w:rsidRPr="009F3C52">
              <w:rPr>
                <w:rFonts w:cs="Calibri"/>
                <w:color w:val="FFFFFF" w:themeColor="background1"/>
                <w:sz w:val="18"/>
                <w:szCs w:val="18"/>
              </w:rPr>
              <w:t>details of the broad categories of recipients and the amounts transferred to those recipients need to be disclosed in this note.</w:t>
            </w:r>
            <w:r w:rsidR="00FA7C77">
              <w:rPr>
                <w:rFonts w:cs="Calibri"/>
                <w:color w:val="FFFFFF" w:themeColor="background1"/>
                <w:sz w:val="18"/>
                <w:szCs w:val="18"/>
              </w:rPr>
              <w:t xml:space="preserve"> </w:t>
            </w:r>
            <w:r w:rsidRPr="009F3C52">
              <w:rPr>
                <w:rFonts w:cs="Calibri"/>
                <w:color w:val="FFFFFF" w:themeColor="background1"/>
                <w:sz w:val="18"/>
                <w:szCs w:val="18"/>
              </w:rPr>
              <w:t>Individual names of grant recipients are not required, however, an appropriate broad category description should be provided so that the users of the financial statements can understand the nature and amount of grants being administered by ‘</w:t>
            </w:r>
            <w:r w:rsidR="00347866" w:rsidRPr="009F3C52">
              <w:rPr>
                <w:color w:val="FFFFFF" w:themeColor="background1"/>
                <w:sz w:val="18"/>
                <w:szCs w:val="18"/>
              </w:rPr>
              <w:t>Burley Griffin</w:t>
            </w:r>
            <w:r w:rsidRPr="009F3C52">
              <w:rPr>
                <w:rFonts w:cs="Calibri"/>
                <w:color w:val="FFFFFF" w:themeColor="background1"/>
                <w:sz w:val="18"/>
                <w:szCs w:val="18"/>
              </w:rPr>
              <w:t xml:space="preserve"> Agency’.</w:t>
            </w:r>
            <w:r w:rsidR="00FA7C77">
              <w:rPr>
                <w:rFonts w:cs="Calibri"/>
                <w:color w:val="FFFFFF" w:themeColor="background1"/>
                <w:sz w:val="18"/>
                <w:szCs w:val="18"/>
              </w:rPr>
              <w:t xml:space="preserve"> </w:t>
            </w:r>
            <w:r w:rsidRPr="009F3C52">
              <w:rPr>
                <w:rFonts w:cs="Calibri"/>
                <w:color w:val="FFFFFF" w:themeColor="background1"/>
                <w:sz w:val="18"/>
                <w:szCs w:val="18"/>
              </w:rPr>
              <w:t>For example, the Model identifies a broad category titled ‘Environment Management Organisations’ rather than disclosing the numerous individual organisations which are in this category.</w:t>
            </w:r>
          </w:p>
        </w:tc>
      </w:tr>
    </w:tbl>
    <w:p w14:paraId="09A3396D" w14:textId="77777777" w:rsidR="00315184" w:rsidRDefault="00315184" w:rsidP="00863311">
      <w:pPr>
        <w:rPr>
          <w:rFonts w:cs="Calibri"/>
        </w:rPr>
      </w:pPr>
    </w:p>
    <w:p w14:paraId="55DEB562" w14:textId="77777777" w:rsidR="00863311" w:rsidRDefault="00315184" w:rsidP="00863311">
      <w:pPr>
        <w:rPr>
          <w:rFonts w:cs="Calibri"/>
        </w:rPr>
      </w:pPr>
      <w:r>
        <w:rPr>
          <w:rFonts w:cs="Calibri"/>
        </w:rPr>
        <w:br w:type="page"/>
      </w:r>
    </w:p>
    <w:tbl>
      <w:tblPr>
        <w:tblW w:w="497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4342"/>
        <w:gridCol w:w="622"/>
        <w:gridCol w:w="1007"/>
        <w:gridCol w:w="490"/>
        <w:gridCol w:w="753"/>
        <w:gridCol w:w="319"/>
        <w:gridCol w:w="1392"/>
      </w:tblGrid>
      <w:tr w:rsidR="00863311" w:rsidRPr="00CF7E1B" w14:paraId="79A6B097" w14:textId="77777777" w:rsidTr="00D919F2">
        <w:trPr>
          <w:trHeight w:val="23"/>
        </w:trPr>
        <w:tc>
          <w:tcPr>
            <w:tcW w:w="1564" w:type="dxa"/>
            <w:tcBorders>
              <w:top w:val="nil"/>
              <w:left w:val="single" w:sz="4" w:space="0" w:color="auto"/>
              <w:bottom w:val="nil"/>
              <w:right w:val="single" w:sz="4" w:space="0" w:color="auto"/>
            </w:tcBorders>
          </w:tcPr>
          <w:p w14:paraId="179BBA11" w14:textId="1B238D9C" w:rsidR="00863311" w:rsidRPr="00A05D1E" w:rsidRDefault="00A05D1E" w:rsidP="00A05D1E">
            <w:pPr>
              <w:pStyle w:val="TableReference"/>
              <w:tabs>
                <w:tab w:val="left" w:pos="3306"/>
              </w:tabs>
              <w:spacing w:before="240" w:after="240"/>
              <w:rPr>
                <w:rFonts w:cs="Calibri"/>
                <w:b/>
                <w:bCs/>
                <w:color w:val="7030A0"/>
                <w:sz w:val="16"/>
                <w:szCs w:val="16"/>
              </w:rPr>
            </w:pPr>
            <w:r w:rsidRPr="00A05D1E">
              <w:rPr>
                <w:rFonts w:asciiTheme="minorHAnsi" w:hAnsiTheme="minorHAnsi" w:cstheme="minorHAnsi"/>
                <w:b/>
                <w:bCs/>
                <w:color w:val="7030A0"/>
                <w:sz w:val="22"/>
                <w:szCs w:val="22"/>
              </w:rPr>
              <w:t>Reference</w:t>
            </w:r>
          </w:p>
        </w:tc>
        <w:tc>
          <w:tcPr>
            <w:tcW w:w="8925" w:type="dxa"/>
            <w:gridSpan w:val="7"/>
            <w:tcBorders>
              <w:top w:val="nil"/>
              <w:left w:val="single" w:sz="4" w:space="0" w:color="auto"/>
              <w:bottom w:val="nil"/>
              <w:right w:val="nil"/>
            </w:tcBorders>
            <w:vAlign w:val="bottom"/>
          </w:tcPr>
          <w:p w14:paraId="4C3DCB22" w14:textId="195CD4DA" w:rsidR="00863311" w:rsidRPr="00A05D1E" w:rsidRDefault="00307DD6" w:rsidP="0051145F">
            <w:pPr>
              <w:pStyle w:val="Heading1"/>
              <w:numPr>
                <w:ilvl w:val="0"/>
                <w:numId w:val="0"/>
              </w:numPr>
            </w:pPr>
            <w:bookmarkStart w:id="1058" w:name="_Toc49224355"/>
            <w:bookmarkStart w:id="1059" w:name="_Ref50365951"/>
            <w:bookmarkStart w:id="1060" w:name="_Toc50440432"/>
            <w:bookmarkStart w:id="1061" w:name="_Ref50524486"/>
            <w:bookmarkStart w:id="1062" w:name="_Toc223433230"/>
            <w:bookmarkStart w:id="1063" w:name="_Toc400627378"/>
            <w:bookmarkStart w:id="1064" w:name="_Toc132743848"/>
            <w:r w:rsidRPr="00A05D1E">
              <w:t>Note</w:t>
            </w:r>
            <w:r w:rsidR="00863311" w:rsidRPr="00A05D1E">
              <w:t xml:space="preserve"> </w:t>
            </w:r>
            <w:r w:rsidR="005C675F" w:rsidRPr="00A05D1E">
              <w:t>4</w:t>
            </w:r>
            <w:r w:rsidR="00E86853" w:rsidRPr="00A05D1E">
              <w:t>5</w:t>
            </w:r>
            <w:r w:rsidR="00863311" w:rsidRPr="00A05D1E">
              <w:t>.</w:t>
            </w:r>
            <w:r w:rsidR="00FA7C77">
              <w:t xml:space="preserve"> </w:t>
            </w:r>
            <w:r w:rsidR="00570A07" w:rsidRPr="00A05D1E">
              <w:t xml:space="preserve"> </w:t>
            </w:r>
            <w:bookmarkStart w:id="1065" w:name="TSotherexp"/>
            <w:r w:rsidR="00863311" w:rsidRPr="00A05D1E">
              <w:t>Other Expenses – Territorial</w:t>
            </w:r>
            <w:bookmarkEnd w:id="1058"/>
            <w:bookmarkEnd w:id="1059"/>
            <w:bookmarkEnd w:id="1060"/>
            <w:bookmarkEnd w:id="1061"/>
            <w:bookmarkEnd w:id="1062"/>
            <w:bookmarkEnd w:id="1063"/>
            <w:bookmarkEnd w:id="1065"/>
            <w:bookmarkEnd w:id="1064"/>
          </w:p>
        </w:tc>
      </w:tr>
      <w:tr w:rsidR="008D14EE" w:rsidRPr="008D0D6F" w14:paraId="762A09E3" w14:textId="77777777" w:rsidTr="00D919F2">
        <w:trPr>
          <w:trHeight w:val="23"/>
        </w:trPr>
        <w:tc>
          <w:tcPr>
            <w:tcW w:w="1564" w:type="dxa"/>
            <w:tcBorders>
              <w:top w:val="nil"/>
              <w:left w:val="single" w:sz="4" w:space="0" w:color="auto"/>
              <w:bottom w:val="nil"/>
              <w:right w:val="single" w:sz="4" w:space="0" w:color="auto"/>
            </w:tcBorders>
          </w:tcPr>
          <w:p w14:paraId="06073B22" w14:textId="77777777" w:rsidR="008D14EE" w:rsidRPr="00A05D1E" w:rsidRDefault="008D14EE" w:rsidP="00863311">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vAlign w:val="bottom"/>
          </w:tcPr>
          <w:p w14:paraId="212727AE" w14:textId="765BC09E" w:rsidR="008D14EE" w:rsidRPr="00A05D1E" w:rsidRDefault="008D14EE" w:rsidP="0051145F">
            <w:pPr>
              <w:pStyle w:val="TableText"/>
              <w:tabs>
                <w:tab w:val="left" w:pos="3306"/>
              </w:tabs>
              <w:spacing w:after="40"/>
              <w:rPr>
                <w:rFonts w:cs="Calibri"/>
                <w:b/>
                <w:bCs/>
                <w:strike/>
              </w:rPr>
            </w:pPr>
            <w:r w:rsidRPr="00A05D1E">
              <w:rPr>
                <w:rFonts w:cs="Calibri"/>
                <w:b/>
                <w:bCs/>
              </w:rPr>
              <w:t>Description and Material Accounting Policies Relating to Other Expenses</w:t>
            </w:r>
            <w:r w:rsidR="0051145F" w:rsidRPr="00A05D1E">
              <w:rPr>
                <w:rFonts w:cs="Calibri"/>
                <w:b/>
                <w:bCs/>
              </w:rPr>
              <w:t xml:space="preserve"> - Territorial</w:t>
            </w:r>
          </w:p>
        </w:tc>
      </w:tr>
      <w:tr w:rsidR="00FF2606" w:rsidRPr="008D0D6F" w14:paraId="1B7F22E4" w14:textId="77777777" w:rsidTr="00D919F2">
        <w:trPr>
          <w:trHeight w:val="23"/>
        </w:trPr>
        <w:tc>
          <w:tcPr>
            <w:tcW w:w="1564" w:type="dxa"/>
            <w:tcBorders>
              <w:top w:val="nil"/>
              <w:left w:val="single" w:sz="4" w:space="0" w:color="auto"/>
              <w:bottom w:val="nil"/>
              <w:right w:val="single" w:sz="4" w:space="0" w:color="auto"/>
            </w:tcBorders>
          </w:tcPr>
          <w:p w14:paraId="19AA4878" w14:textId="77777777" w:rsidR="00FF2606" w:rsidRPr="00A05D1E" w:rsidRDefault="00FF2606" w:rsidP="008D14EE">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34AAE77B" w14:textId="609A8811" w:rsidR="00FF2606" w:rsidRPr="00A05D1E" w:rsidRDefault="00FF2606" w:rsidP="008D14EE">
            <w:pPr>
              <w:pStyle w:val="TableText"/>
              <w:tabs>
                <w:tab w:val="left" w:pos="3306"/>
              </w:tabs>
              <w:rPr>
                <w:rFonts w:cs="Calibri"/>
                <w:i/>
                <w:iCs/>
              </w:rPr>
            </w:pPr>
            <w:r w:rsidRPr="00A05D1E">
              <w:rPr>
                <w:rFonts w:cs="Calibri"/>
                <w:i/>
                <w:iCs/>
              </w:rPr>
              <w:t>Waivers</w:t>
            </w:r>
          </w:p>
        </w:tc>
      </w:tr>
      <w:tr w:rsidR="00FF2606" w:rsidRPr="008D0D6F" w14:paraId="2EAFC8EA" w14:textId="77777777" w:rsidTr="00D919F2">
        <w:trPr>
          <w:trHeight w:val="23"/>
        </w:trPr>
        <w:tc>
          <w:tcPr>
            <w:tcW w:w="1564" w:type="dxa"/>
            <w:tcBorders>
              <w:top w:val="nil"/>
              <w:left w:val="single" w:sz="4" w:space="0" w:color="auto"/>
              <w:bottom w:val="nil"/>
              <w:right w:val="single" w:sz="4" w:space="0" w:color="auto"/>
            </w:tcBorders>
          </w:tcPr>
          <w:p w14:paraId="5BB56945" w14:textId="16EC8698" w:rsidR="00FF2606" w:rsidRPr="00A05D1E" w:rsidRDefault="00906E7B" w:rsidP="00FF2606">
            <w:pPr>
              <w:pStyle w:val="TableReference"/>
              <w:tabs>
                <w:tab w:val="left" w:pos="3306"/>
              </w:tabs>
              <w:spacing w:before="40"/>
              <w:rPr>
                <w:rFonts w:cs="Calibri"/>
                <w:color w:val="7030A0"/>
                <w:sz w:val="16"/>
                <w:szCs w:val="16"/>
              </w:rPr>
            </w:pPr>
            <w:r w:rsidRPr="00A05D1E">
              <w:rPr>
                <w:rFonts w:cs="Calibri"/>
                <w:color w:val="7030A0"/>
                <w:sz w:val="14"/>
              </w:rPr>
              <w:t>FMA Section 131 (1)(a)</w:t>
            </w:r>
          </w:p>
        </w:tc>
        <w:tc>
          <w:tcPr>
            <w:tcW w:w="8925" w:type="dxa"/>
            <w:gridSpan w:val="7"/>
            <w:tcBorders>
              <w:top w:val="nil"/>
              <w:left w:val="single" w:sz="4" w:space="0" w:color="auto"/>
              <w:bottom w:val="nil"/>
              <w:right w:val="nil"/>
            </w:tcBorders>
            <w:vAlign w:val="bottom"/>
          </w:tcPr>
          <w:p w14:paraId="59947094" w14:textId="7947863E" w:rsidR="00FF2606" w:rsidRPr="00A05D1E" w:rsidRDefault="0051145F" w:rsidP="006E4DBA">
            <w:pPr>
              <w:pStyle w:val="TableText"/>
              <w:tabs>
                <w:tab w:val="left" w:pos="3306"/>
              </w:tabs>
              <w:jc w:val="both"/>
              <w:rPr>
                <w:rFonts w:cs="Calibri"/>
                <w:i/>
                <w:iCs/>
              </w:rPr>
            </w:pPr>
            <w:r w:rsidRPr="00A05D1E">
              <w:rPr>
                <w:rFonts w:cs="Calibri"/>
              </w:rPr>
              <w:t>T</w:t>
            </w:r>
            <w:r w:rsidR="00FF2606" w:rsidRPr="00A05D1E">
              <w:rPr>
                <w:rFonts w:cs="Calibri"/>
              </w:rPr>
              <w:t xml:space="preserve">he Treasurer may, in writing, waive the right to payment of an amount payable to the Territory. The Treasurer </w:t>
            </w:r>
            <w:r w:rsidR="00BC3D87" w:rsidRPr="00A05D1E">
              <w:rPr>
                <w:rFonts w:cs="Calibri"/>
              </w:rPr>
              <w:t xml:space="preserve">has </w:t>
            </w:r>
            <w:r w:rsidR="00FF2606" w:rsidRPr="00A05D1E">
              <w:rPr>
                <w:rFonts w:cs="Calibri"/>
              </w:rPr>
              <w:t xml:space="preserve">waived loans owing to </w:t>
            </w:r>
            <w:r w:rsidR="00BC3D87" w:rsidRPr="00A05D1E">
              <w:rPr>
                <w:rFonts w:cs="Calibri"/>
              </w:rPr>
              <w:t xml:space="preserve">‘Burley Griffin </w:t>
            </w:r>
            <w:r w:rsidR="00FF2606" w:rsidRPr="00A05D1E">
              <w:rPr>
                <w:rFonts w:cs="Calibri"/>
              </w:rPr>
              <w:t>Agency</w:t>
            </w:r>
            <w:r w:rsidR="00BC3D87" w:rsidRPr="00A05D1E">
              <w:rPr>
                <w:rFonts w:cs="Calibri"/>
              </w:rPr>
              <w:t>’</w:t>
            </w:r>
            <w:r w:rsidR="00FF2606" w:rsidRPr="00A05D1E">
              <w:rPr>
                <w:rFonts w:cs="Calibri"/>
              </w:rPr>
              <w:t xml:space="preserve"> from third parties.</w:t>
            </w:r>
          </w:p>
        </w:tc>
      </w:tr>
      <w:tr w:rsidR="00FF2606" w:rsidRPr="008D0D6F" w14:paraId="2B5E15FC" w14:textId="77777777" w:rsidTr="00D919F2">
        <w:trPr>
          <w:trHeight w:val="23"/>
        </w:trPr>
        <w:tc>
          <w:tcPr>
            <w:tcW w:w="1564" w:type="dxa"/>
            <w:tcBorders>
              <w:top w:val="nil"/>
              <w:left w:val="single" w:sz="4" w:space="0" w:color="auto"/>
              <w:bottom w:val="nil"/>
              <w:right w:val="single" w:sz="4" w:space="0" w:color="auto"/>
            </w:tcBorders>
          </w:tcPr>
          <w:p w14:paraId="1931B3AA"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vAlign w:val="bottom"/>
          </w:tcPr>
          <w:p w14:paraId="22C64552" w14:textId="63BEBE04" w:rsidR="00FF2606" w:rsidRPr="00A05D1E" w:rsidRDefault="00FF2606" w:rsidP="00FF2606">
            <w:pPr>
              <w:pStyle w:val="TableText"/>
              <w:tabs>
                <w:tab w:val="left" w:pos="3306"/>
              </w:tabs>
              <w:spacing w:after="120"/>
              <w:rPr>
                <w:rFonts w:cs="Calibri"/>
              </w:rPr>
            </w:pPr>
            <w:r w:rsidRPr="00A05D1E">
              <w:rPr>
                <w:rFonts w:cs="Calibri"/>
              </w:rPr>
              <w:t>Debts are expensed during the year in which the right to payment was waived.</w:t>
            </w:r>
          </w:p>
        </w:tc>
      </w:tr>
      <w:tr w:rsidR="00FF2606" w:rsidRPr="008D0D6F" w14:paraId="7F036D2B" w14:textId="77777777" w:rsidTr="00D919F2">
        <w:trPr>
          <w:trHeight w:val="23"/>
        </w:trPr>
        <w:tc>
          <w:tcPr>
            <w:tcW w:w="1564" w:type="dxa"/>
            <w:tcBorders>
              <w:top w:val="nil"/>
              <w:left w:val="single" w:sz="4" w:space="0" w:color="auto"/>
              <w:bottom w:val="nil"/>
              <w:right w:val="single" w:sz="4" w:space="0" w:color="auto"/>
            </w:tcBorders>
          </w:tcPr>
          <w:p w14:paraId="4C6D4A38"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17C516AB" w14:textId="6673A107" w:rsidR="00FF2606" w:rsidRPr="00A05D1E" w:rsidRDefault="00FF2606" w:rsidP="00FF2606">
            <w:pPr>
              <w:pStyle w:val="TableText"/>
              <w:tabs>
                <w:tab w:val="left" w:pos="3306"/>
              </w:tabs>
              <w:rPr>
                <w:rFonts w:cs="Calibri"/>
                <w:b/>
                <w:bCs/>
                <w:strike/>
              </w:rPr>
            </w:pPr>
            <w:r w:rsidRPr="00A05D1E">
              <w:rPr>
                <w:rFonts w:cs="Calibri"/>
                <w:i/>
                <w:iCs/>
              </w:rPr>
              <w:t>Impairment Losses – Receivables</w:t>
            </w:r>
          </w:p>
        </w:tc>
      </w:tr>
      <w:tr w:rsidR="00FF2606" w:rsidRPr="008D0D6F" w14:paraId="3C588278" w14:textId="77777777" w:rsidTr="00D919F2">
        <w:trPr>
          <w:trHeight w:val="23"/>
        </w:trPr>
        <w:tc>
          <w:tcPr>
            <w:tcW w:w="1564" w:type="dxa"/>
            <w:tcBorders>
              <w:top w:val="nil"/>
              <w:left w:val="single" w:sz="4" w:space="0" w:color="auto"/>
              <w:bottom w:val="nil"/>
              <w:right w:val="single" w:sz="4" w:space="0" w:color="auto"/>
            </w:tcBorders>
          </w:tcPr>
          <w:p w14:paraId="031AE486"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39BDAB11" w14:textId="55A8E7F2" w:rsidR="00FF2606" w:rsidRPr="00A05D1E" w:rsidRDefault="00FF2606" w:rsidP="006E4DBA">
            <w:pPr>
              <w:pStyle w:val="TableText"/>
              <w:tabs>
                <w:tab w:val="left" w:pos="3306"/>
              </w:tabs>
              <w:jc w:val="both"/>
              <w:rPr>
                <w:rFonts w:cs="Calibri"/>
                <w:b/>
                <w:bCs/>
                <w:strike/>
              </w:rPr>
            </w:pPr>
            <w:r w:rsidRPr="00A05D1E">
              <w:t>A matrix is used to calculate the amount of lifetime expected credit loss which factors practical and justifiable forward-looking information, including forecast economic changes expected to impact ‘</w:t>
            </w:r>
            <w:r w:rsidR="00347866" w:rsidRPr="00A05D1E">
              <w:t>Burley Griffin</w:t>
            </w:r>
            <w:r w:rsidRPr="00A05D1E">
              <w:t xml:space="preserve"> Agency’s’ receivables (See Note </w:t>
            </w:r>
            <w:r w:rsidR="003C6503" w:rsidRPr="00A05D1E">
              <w:t>4</w:t>
            </w:r>
            <w:r w:rsidR="00E86853" w:rsidRPr="00A05D1E">
              <w:t>7</w:t>
            </w:r>
            <w:r w:rsidRPr="00A05D1E">
              <w:t xml:space="preserve"> </w:t>
            </w:r>
            <w:r w:rsidRPr="00722BF2">
              <w:rPr>
                <w:i/>
                <w:iCs/>
              </w:rPr>
              <w:t>Receivables</w:t>
            </w:r>
            <w:r w:rsidRPr="00A05D1E">
              <w:t>).</w:t>
            </w:r>
          </w:p>
        </w:tc>
      </w:tr>
      <w:tr w:rsidR="00FF2606" w:rsidRPr="008D0D6F" w14:paraId="29405B27" w14:textId="77777777" w:rsidTr="00D919F2">
        <w:trPr>
          <w:trHeight w:val="23"/>
        </w:trPr>
        <w:tc>
          <w:tcPr>
            <w:tcW w:w="1564" w:type="dxa"/>
            <w:tcBorders>
              <w:top w:val="nil"/>
              <w:left w:val="single" w:sz="4" w:space="0" w:color="auto"/>
              <w:bottom w:val="nil"/>
              <w:right w:val="single" w:sz="4" w:space="0" w:color="auto"/>
            </w:tcBorders>
          </w:tcPr>
          <w:p w14:paraId="2C5E2AF4"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33A2AA9C" w14:textId="77777777" w:rsidR="00FF2606" w:rsidRPr="00A05D1E" w:rsidRDefault="00FF2606" w:rsidP="00FF2606">
            <w:pPr>
              <w:pStyle w:val="TableText"/>
              <w:tabs>
                <w:tab w:val="left" w:pos="3306"/>
              </w:tabs>
              <w:rPr>
                <w:rFonts w:cs="Calibri"/>
              </w:rPr>
            </w:pPr>
          </w:p>
        </w:tc>
        <w:tc>
          <w:tcPr>
            <w:tcW w:w="1243" w:type="dxa"/>
            <w:gridSpan w:val="2"/>
            <w:tcBorders>
              <w:top w:val="nil"/>
              <w:left w:val="nil"/>
              <w:bottom w:val="nil"/>
              <w:right w:val="nil"/>
            </w:tcBorders>
            <w:vAlign w:val="bottom"/>
          </w:tcPr>
          <w:p w14:paraId="0DD55164" w14:textId="3E4F3E45" w:rsidR="00FF2606" w:rsidRPr="00A05D1E" w:rsidRDefault="00FF2606" w:rsidP="00FF2606">
            <w:pPr>
              <w:pStyle w:val="TableText"/>
              <w:tabs>
                <w:tab w:val="left" w:pos="3306"/>
              </w:tabs>
              <w:jc w:val="right"/>
              <w:rPr>
                <w:rFonts w:cs="Calibri"/>
                <w:b/>
                <w:bCs/>
              </w:rPr>
            </w:pPr>
            <w:r w:rsidRPr="00A05D1E">
              <w:rPr>
                <w:rFonts w:cs="Calibri"/>
                <w:b/>
                <w:bCs/>
              </w:rPr>
              <w:t>202</w:t>
            </w:r>
            <w:r w:rsidR="00F31BA8">
              <w:rPr>
                <w:rFonts w:cs="Calibri"/>
                <w:b/>
                <w:bCs/>
              </w:rPr>
              <w:t>3</w:t>
            </w:r>
          </w:p>
          <w:p w14:paraId="0277EB18" w14:textId="4BA01217" w:rsidR="00FF2606" w:rsidRPr="00A05D1E" w:rsidRDefault="00FF2606" w:rsidP="00FF2606">
            <w:pPr>
              <w:pStyle w:val="TableText"/>
              <w:tabs>
                <w:tab w:val="left" w:pos="3306"/>
              </w:tabs>
              <w:jc w:val="right"/>
              <w:rPr>
                <w:rFonts w:cs="Calibri"/>
                <w:b/>
                <w:bCs/>
              </w:rPr>
            </w:pPr>
            <w:r w:rsidRPr="00A05D1E">
              <w:rPr>
                <w:rFonts w:cs="Calibri"/>
                <w:b/>
                <w:bCs/>
              </w:rPr>
              <w:t>$’000</w:t>
            </w:r>
          </w:p>
        </w:tc>
        <w:tc>
          <w:tcPr>
            <w:tcW w:w="1711" w:type="dxa"/>
            <w:gridSpan w:val="2"/>
            <w:tcBorders>
              <w:top w:val="nil"/>
              <w:left w:val="nil"/>
              <w:bottom w:val="nil"/>
              <w:right w:val="nil"/>
            </w:tcBorders>
            <w:vAlign w:val="bottom"/>
          </w:tcPr>
          <w:p w14:paraId="42E02CE7" w14:textId="14887F22" w:rsidR="00FF2606" w:rsidRPr="00A05D1E" w:rsidRDefault="00FF2606" w:rsidP="00FF2606">
            <w:pPr>
              <w:pStyle w:val="TableText"/>
              <w:tabs>
                <w:tab w:val="left" w:pos="3306"/>
              </w:tabs>
              <w:jc w:val="right"/>
              <w:rPr>
                <w:rFonts w:cs="Calibri"/>
                <w:b/>
                <w:bCs/>
              </w:rPr>
            </w:pPr>
            <w:r w:rsidRPr="00A05D1E">
              <w:rPr>
                <w:rFonts w:cs="Calibri"/>
                <w:b/>
                <w:bCs/>
              </w:rPr>
              <w:t>20</w:t>
            </w:r>
            <w:r w:rsidR="00D56952" w:rsidRPr="00A05D1E">
              <w:rPr>
                <w:rFonts w:cs="Calibri"/>
                <w:b/>
                <w:bCs/>
              </w:rPr>
              <w:t>2</w:t>
            </w:r>
            <w:r w:rsidR="00F31BA8">
              <w:rPr>
                <w:rFonts w:cs="Calibri"/>
                <w:b/>
                <w:bCs/>
              </w:rPr>
              <w:t>2</w:t>
            </w:r>
          </w:p>
          <w:p w14:paraId="4D82AD54" w14:textId="2D277C61" w:rsidR="00FF2606" w:rsidRPr="00A05D1E" w:rsidRDefault="00FF2606" w:rsidP="00FF2606">
            <w:pPr>
              <w:pStyle w:val="TableText"/>
              <w:tabs>
                <w:tab w:val="left" w:pos="3306"/>
              </w:tabs>
              <w:jc w:val="right"/>
              <w:rPr>
                <w:rFonts w:cs="Calibri"/>
                <w:b/>
                <w:bCs/>
              </w:rPr>
            </w:pPr>
            <w:r w:rsidRPr="00A05D1E">
              <w:rPr>
                <w:rFonts w:cs="Calibri"/>
                <w:b/>
                <w:bCs/>
              </w:rPr>
              <w:t>$’000</w:t>
            </w:r>
          </w:p>
        </w:tc>
      </w:tr>
      <w:tr w:rsidR="00FF2606" w:rsidRPr="00CF7E1B" w14:paraId="7A1A9FAA" w14:textId="77777777" w:rsidTr="00D919F2">
        <w:trPr>
          <w:trHeight w:val="23"/>
        </w:trPr>
        <w:tc>
          <w:tcPr>
            <w:tcW w:w="1564" w:type="dxa"/>
            <w:tcBorders>
              <w:top w:val="nil"/>
              <w:left w:val="single" w:sz="4" w:space="0" w:color="auto"/>
              <w:bottom w:val="nil"/>
              <w:right w:val="single" w:sz="4" w:space="0" w:color="auto"/>
            </w:tcBorders>
          </w:tcPr>
          <w:p w14:paraId="29747440"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39C788A" w14:textId="0448A520" w:rsidR="00FF2606" w:rsidRPr="00A05D1E" w:rsidRDefault="00FF2606" w:rsidP="00FF2606">
            <w:pPr>
              <w:pStyle w:val="TableText"/>
              <w:tabs>
                <w:tab w:val="left" w:pos="3306"/>
              </w:tabs>
              <w:rPr>
                <w:rFonts w:cs="Calibri"/>
              </w:rPr>
            </w:pPr>
            <w:r w:rsidRPr="00A05D1E">
              <w:rPr>
                <w:rFonts w:cs="Calibri"/>
              </w:rPr>
              <w:t>Waivers (see below for further information about Wa</w:t>
            </w:r>
            <w:r w:rsidR="00C94AC5" w:rsidRPr="00A05D1E">
              <w:rPr>
                <w:rFonts w:cs="Calibri"/>
              </w:rPr>
              <w:t>i</w:t>
            </w:r>
            <w:r w:rsidRPr="00A05D1E">
              <w:rPr>
                <w:rFonts w:cs="Calibri"/>
              </w:rPr>
              <w:t>vers)</w:t>
            </w:r>
          </w:p>
        </w:tc>
        <w:tc>
          <w:tcPr>
            <w:tcW w:w="1243" w:type="dxa"/>
            <w:gridSpan w:val="2"/>
            <w:tcBorders>
              <w:top w:val="nil"/>
              <w:left w:val="nil"/>
              <w:bottom w:val="nil"/>
              <w:right w:val="nil"/>
            </w:tcBorders>
            <w:vAlign w:val="bottom"/>
          </w:tcPr>
          <w:p w14:paraId="54C9364D"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4634FEAA" w14:textId="77777777" w:rsidR="00FF2606" w:rsidRPr="00A05D1E" w:rsidRDefault="00FF2606" w:rsidP="00FF2606">
            <w:pPr>
              <w:pStyle w:val="TableText"/>
              <w:tabs>
                <w:tab w:val="left" w:pos="3306"/>
              </w:tabs>
              <w:jc w:val="right"/>
              <w:rPr>
                <w:rFonts w:cs="Calibri"/>
              </w:rPr>
            </w:pPr>
          </w:p>
        </w:tc>
      </w:tr>
      <w:tr w:rsidR="00FF2606" w:rsidRPr="00CF7E1B" w14:paraId="240921B2" w14:textId="77777777" w:rsidTr="00D919F2">
        <w:trPr>
          <w:trHeight w:val="23"/>
        </w:trPr>
        <w:tc>
          <w:tcPr>
            <w:tcW w:w="1564" w:type="dxa"/>
            <w:tcBorders>
              <w:top w:val="nil"/>
              <w:left w:val="single" w:sz="4" w:space="0" w:color="auto"/>
              <w:bottom w:val="nil"/>
              <w:right w:val="single" w:sz="4" w:space="0" w:color="auto"/>
            </w:tcBorders>
          </w:tcPr>
          <w:p w14:paraId="4A99331D"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24AB195" w14:textId="5F9CE3CE" w:rsidR="00FF2606" w:rsidRPr="00A05D1E" w:rsidRDefault="00FF2606" w:rsidP="00FF2606">
            <w:pPr>
              <w:pStyle w:val="TableText"/>
              <w:tabs>
                <w:tab w:val="left" w:pos="3306"/>
              </w:tabs>
              <w:rPr>
                <w:rFonts w:cs="Calibri"/>
              </w:rPr>
            </w:pPr>
            <w:r w:rsidRPr="00A05D1E">
              <w:rPr>
                <w:rFonts w:cs="Calibri"/>
              </w:rPr>
              <w:t xml:space="preserve">Impairment Loss </w:t>
            </w:r>
          </w:p>
        </w:tc>
        <w:tc>
          <w:tcPr>
            <w:tcW w:w="1243" w:type="dxa"/>
            <w:gridSpan w:val="2"/>
            <w:tcBorders>
              <w:top w:val="nil"/>
              <w:left w:val="nil"/>
              <w:bottom w:val="nil"/>
              <w:right w:val="nil"/>
            </w:tcBorders>
            <w:vAlign w:val="bottom"/>
          </w:tcPr>
          <w:p w14:paraId="368B8E00"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22D36CFE" w14:textId="77777777" w:rsidR="00FF2606" w:rsidRPr="00A05D1E" w:rsidRDefault="00FF2606" w:rsidP="00FF2606">
            <w:pPr>
              <w:pStyle w:val="TableText"/>
              <w:tabs>
                <w:tab w:val="left" w:pos="3306"/>
              </w:tabs>
              <w:jc w:val="right"/>
              <w:rPr>
                <w:rFonts w:cs="Calibri"/>
              </w:rPr>
            </w:pPr>
          </w:p>
        </w:tc>
      </w:tr>
      <w:tr w:rsidR="00FF2606" w:rsidRPr="00CF7E1B" w14:paraId="753C8015" w14:textId="77777777" w:rsidTr="00D919F2">
        <w:trPr>
          <w:trHeight w:val="23"/>
        </w:trPr>
        <w:tc>
          <w:tcPr>
            <w:tcW w:w="1564" w:type="dxa"/>
            <w:tcBorders>
              <w:top w:val="nil"/>
              <w:left w:val="single" w:sz="4" w:space="0" w:color="auto"/>
              <w:bottom w:val="nil"/>
              <w:right w:val="single" w:sz="4" w:space="0" w:color="auto"/>
            </w:tcBorders>
          </w:tcPr>
          <w:p w14:paraId="5B46EEC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4B423F2D" w14:textId="741C179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Expected Credit Loss Expense – Accounts Receivables</w:t>
            </w:r>
          </w:p>
        </w:tc>
        <w:tc>
          <w:tcPr>
            <w:tcW w:w="1243" w:type="dxa"/>
            <w:gridSpan w:val="2"/>
            <w:tcBorders>
              <w:top w:val="nil"/>
              <w:left w:val="nil"/>
              <w:bottom w:val="nil"/>
              <w:right w:val="nil"/>
            </w:tcBorders>
            <w:vAlign w:val="bottom"/>
          </w:tcPr>
          <w:p w14:paraId="477E6BC0"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57F88CC0" w14:textId="77777777" w:rsidR="00FF2606" w:rsidRPr="00A05D1E" w:rsidRDefault="00FF2606" w:rsidP="00FF2606">
            <w:pPr>
              <w:pStyle w:val="TableText"/>
              <w:tabs>
                <w:tab w:val="left" w:pos="3306"/>
              </w:tabs>
              <w:jc w:val="right"/>
              <w:rPr>
                <w:rFonts w:cs="Calibri"/>
              </w:rPr>
            </w:pPr>
          </w:p>
        </w:tc>
      </w:tr>
      <w:tr w:rsidR="00FF2606" w:rsidRPr="00CF7E1B" w14:paraId="508855DF" w14:textId="77777777" w:rsidTr="00D919F2">
        <w:trPr>
          <w:trHeight w:val="23"/>
        </w:trPr>
        <w:tc>
          <w:tcPr>
            <w:tcW w:w="1564" w:type="dxa"/>
            <w:tcBorders>
              <w:top w:val="nil"/>
              <w:left w:val="single" w:sz="4" w:space="0" w:color="auto"/>
              <w:bottom w:val="nil"/>
              <w:right w:val="single" w:sz="4" w:space="0" w:color="auto"/>
            </w:tcBorders>
          </w:tcPr>
          <w:p w14:paraId="1021FEA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0333C728" w14:textId="718A1DCC" w:rsidR="00FF2606" w:rsidRPr="00A05D1E" w:rsidRDefault="00FF2606" w:rsidP="006E4DBA">
            <w:pPr>
              <w:pStyle w:val="TableText"/>
              <w:tabs>
                <w:tab w:val="left" w:pos="3306"/>
              </w:tabs>
              <w:rPr>
                <w:rFonts w:cs="Calibri"/>
                <w:bCs/>
              </w:rPr>
            </w:pPr>
            <w:r w:rsidRPr="00A05D1E">
              <w:rPr>
                <w:rFonts w:cs="Calibri"/>
                <w:bCs/>
              </w:rPr>
              <w:t>Write-offs</w:t>
            </w:r>
          </w:p>
        </w:tc>
        <w:tc>
          <w:tcPr>
            <w:tcW w:w="1243" w:type="dxa"/>
            <w:gridSpan w:val="2"/>
            <w:tcBorders>
              <w:top w:val="nil"/>
              <w:left w:val="nil"/>
              <w:bottom w:val="nil"/>
              <w:right w:val="nil"/>
            </w:tcBorders>
            <w:vAlign w:val="bottom"/>
          </w:tcPr>
          <w:p w14:paraId="746C059F"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6F209887" w14:textId="77777777" w:rsidR="00FF2606" w:rsidRPr="00A05D1E" w:rsidRDefault="00FF2606" w:rsidP="00FF2606">
            <w:pPr>
              <w:pStyle w:val="TableText"/>
              <w:tabs>
                <w:tab w:val="left" w:pos="3306"/>
              </w:tabs>
              <w:jc w:val="right"/>
              <w:rPr>
                <w:rFonts w:cs="Calibri"/>
              </w:rPr>
            </w:pPr>
          </w:p>
        </w:tc>
      </w:tr>
      <w:tr w:rsidR="00FF2606" w:rsidRPr="00CF7E1B" w14:paraId="76830923" w14:textId="77777777" w:rsidTr="00D919F2">
        <w:trPr>
          <w:trHeight w:val="23"/>
        </w:trPr>
        <w:tc>
          <w:tcPr>
            <w:tcW w:w="1564" w:type="dxa"/>
            <w:tcBorders>
              <w:top w:val="nil"/>
              <w:left w:val="single" w:sz="4" w:space="0" w:color="auto"/>
              <w:bottom w:val="nil"/>
              <w:right w:val="single" w:sz="4" w:space="0" w:color="auto"/>
            </w:tcBorders>
          </w:tcPr>
          <w:p w14:paraId="6501DD76" w14:textId="5AA607E7"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3"/>
            <w:tcBorders>
              <w:top w:val="nil"/>
              <w:left w:val="single" w:sz="4" w:space="0" w:color="auto"/>
              <w:bottom w:val="nil"/>
              <w:right w:val="nil"/>
            </w:tcBorders>
          </w:tcPr>
          <w:p w14:paraId="1399DF59" w14:textId="73DAFD0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Losses or Deficiencies in Public Monies</w:t>
            </w:r>
          </w:p>
        </w:tc>
        <w:tc>
          <w:tcPr>
            <w:tcW w:w="1243" w:type="dxa"/>
            <w:gridSpan w:val="2"/>
            <w:tcBorders>
              <w:top w:val="nil"/>
              <w:left w:val="nil"/>
              <w:bottom w:val="nil"/>
              <w:right w:val="nil"/>
            </w:tcBorders>
            <w:vAlign w:val="bottom"/>
          </w:tcPr>
          <w:p w14:paraId="111A1487"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3092458D" w14:textId="77777777" w:rsidR="00FF2606" w:rsidRPr="00A05D1E" w:rsidRDefault="00FF2606" w:rsidP="00FF2606">
            <w:pPr>
              <w:pStyle w:val="TableText"/>
              <w:tabs>
                <w:tab w:val="left" w:pos="3306"/>
              </w:tabs>
              <w:jc w:val="right"/>
              <w:rPr>
                <w:rFonts w:cs="Calibri"/>
              </w:rPr>
            </w:pPr>
          </w:p>
        </w:tc>
      </w:tr>
      <w:tr w:rsidR="00FF2606" w:rsidRPr="00CF7E1B" w14:paraId="19C08CD1" w14:textId="77777777" w:rsidTr="00D919F2">
        <w:trPr>
          <w:trHeight w:val="23"/>
        </w:trPr>
        <w:tc>
          <w:tcPr>
            <w:tcW w:w="1564" w:type="dxa"/>
            <w:tcBorders>
              <w:top w:val="nil"/>
              <w:left w:val="single" w:sz="4" w:space="0" w:color="auto"/>
              <w:bottom w:val="nil"/>
              <w:right w:val="single" w:sz="4" w:space="0" w:color="auto"/>
            </w:tcBorders>
          </w:tcPr>
          <w:p w14:paraId="588483F8" w14:textId="03DCED02"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3"/>
            <w:tcBorders>
              <w:top w:val="nil"/>
              <w:left w:val="single" w:sz="4" w:space="0" w:color="auto"/>
              <w:bottom w:val="nil"/>
              <w:right w:val="nil"/>
            </w:tcBorders>
          </w:tcPr>
          <w:p w14:paraId="6EC7B980" w14:textId="11254EA5"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Irrecoverable Debts</w:t>
            </w:r>
          </w:p>
        </w:tc>
        <w:tc>
          <w:tcPr>
            <w:tcW w:w="1243" w:type="dxa"/>
            <w:gridSpan w:val="2"/>
            <w:tcBorders>
              <w:top w:val="nil"/>
              <w:left w:val="nil"/>
              <w:bottom w:val="nil"/>
              <w:right w:val="nil"/>
            </w:tcBorders>
            <w:vAlign w:val="bottom"/>
          </w:tcPr>
          <w:p w14:paraId="7F245FBA"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31796911" w14:textId="77777777" w:rsidR="00FF2606" w:rsidRPr="00A05D1E" w:rsidRDefault="00FF2606" w:rsidP="00FF2606">
            <w:pPr>
              <w:pStyle w:val="TableText"/>
              <w:tabs>
                <w:tab w:val="left" w:pos="3306"/>
              </w:tabs>
              <w:jc w:val="right"/>
              <w:rPr>
                <w:rFonts w:cs="Calibri"/>
              </w:rPr>
            </w:pPr>
          </w:p>
        </w:tc>
      </w:tr>
      <w:tr w:rsidR="00FF2606" w:rsidRPr="00CF7E1B" w14:paraId="60ED520F" w14:textId="77777777" w:rsidTr="00D919F2">
        <w:trPr>
          <w:trHeight w:val="23"/>
        </w:trPr>
        <w:tc>
          <w:tcPr>
            <w:tcW w:w="1564" w:type="dxa"/>
            <w:tcBorders>
              <w:top w:val="nil"/>
              <w:left w:val="single" w:sz="4" w:space="0" w:color="auto"/>
              <w:bottom w:val="nil"/>
              <w:right w:val="single" w:sz="4" w:space="0" w:color="auto"/>
            </w:tcBorders>
          </w:tcPr>
          <w:p w14:paraId="0F6CE0E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5EFD3052" w14:textId="6B6A2BCD" w:rsidR="00FF2606" w:rsidRPr="00A05D1E" w:rsidRDefault="00FF2606" w:rsidP="00FF2606">
            <w:pPr>
              <w:pStyle w:val="TableText"/>
              <w:tabs>
                <w:tab w:val="left" w:pos="3306"/>
              </w:tabs>
              <w:rPr>
                <w:rFonts w:cs="Calibri"/>
                <w:bCs/>
              </w:rPr>
            </w:pPr>
            <w:r w:rsidRPr="00A05D1E">
              <w:rPr>
                <w:rFonts w:cs="Calibri"/>
                <w:bCs/>
              </w:rPr>
              <w:t xml:space="preserve">Other </w:t>
            </w:r>
            <w:r w:rsidRPr="00A05D1E">
              <w:rPr>
                <w:rFonts w:cs="Calibri"/>
              </w:rPr>
              <w:t>Expenses</w:t>
            </w:r>
          </w:p>
        </w:tc>
        <w:tc>
          <w:tcPr>
            <w:tcW w:w="1243" w:type="dxa"/>
            <w:gridSpan w:val="2"/>
            <w:tcBorders>
              <w:top w:val="nil"/>
              <w:left w:val="nil"/>
              <w:bottom w:val="nil"/>
              <w:right w:val="nil"/>
            </w:tcBorders>
            <w:vAlign w:val="bottom"/>
          </w:tcPr>
          <w:p w14:paraId="3233A649"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027F18F6" w14:textId="77777777" w:rsidR="00FF2606" w:rsidRPr="00A05D1E" w:rsidRDefault="00FF2606" w:rsidP="00FF2606">
            <w:pPr>
              <w:pStyle w:val="TableText"/>
              <w:tabs>
                <w:tab w:val="left" w:pos="3306"/>
              </w:tabs>
              <w:jc w:val="right"/>
              <w:rPr>
                <w:rFonts w:cs="Calibri"/>
              </w:rPr>
            </w:pPr>
          </w:p>
        </w:tc>
      </w:tr>
      <w:tr w:rsidR="00FF2606" w:rsidRPr="00CF7E1B" w14:paraId="6917D97F" w14:textId="77777777" w:rsidTr="00D919F2">
        <w:trPr>
          <w:trHeight w:val="23"/>
        </w:trPr>
        <w:tc>
          <w:tcPr>
            <w:tcW w:w="1564" w:type="dxa"/>
            <w:tcBorders>
              <w:top w:val="nil"/>
              <w:left w:val="single" w:sz="4" w:space="0" w:color="auto"/>
              <w:bottom w:val="nil"/>
              <w:right w:val="single" w:sz="4" w:space="0" w:color="auto"/>
            </w:tcBorders>
          </w:tcPr>
          <w:p w14:paraId="59F350F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6676641B" w14:textId="77777777" w:rsidR="00FF2606" w:rsidRPr="00A05D1E" w:rsidRDefault="00FF2606" w:rsidP="00FF2606">
            <w:pPr>
              <w:pStyle w:val="TableText"/>
              <w:tabs>
                <w:tab w:val="left" w:pos="3306"/>
              </w:tabs>
              <w:rPr>
                <w:rFonts w:cs="Calibri"/>
                <w:b/>
                <w:bCs/>
              </w:rPr>
            </w:pPr>
            <w:r w:rsidRPr="00A05D1E">
              <w:rPr>
                <w:rFonts w:cs="Calibri"/>
                <w:b/>
                <w:bCs/>
              </w:rPr>
              <w:t>Total Other Expenses</w:t>
            </w:r>
          </w:p>
        </w:tc>
        <w:tc>
          <w:tcPr>
            <w:tcW w:w="1243" w:type="dxa"/>
            <w:gridSpan w:val="2"/>
            <w:tcBorders>
              <w:top w:val="single" w:sz="2" w:space="0" w:color="auto"/>
              <w:left w:val="nil"/>
              <w:bottom w:val="double" w:sz="4" w:space="0" w:color="auto"/>
              <w:right w:val="nil"/>
            </w:tcBorders>
            <w:vAlign w:val="bottom"/>
          </w:tcPr>
          <w:p w14:paraId="66EB4A94" w14:textId="21F6FECF" w:rsidR="00FF2606" w:rsidRPr="00A05D1E" w:rsidRDefault="00FF2606" w:rsidP="00FF2606">
            <w:pPr>
              <w:pStyle w:val="TableText"/>
              <w:tabs>
                <w:tab w:val="left" w:pos="3306"/>
              </w:tabs>
              <w:jc w:val="right"/>
              <w:rPr>
                <w:rFonts w:cs="Calibri"/>
                <w:b/>
                <w:bCs/>
              </w:rPr>
            </w:pPr>
          </w:p>
        </w:tc>
        <w:tc>
          <w:tcPr>
            <w:tcW w:w="1711" w:type="dxa"/>
            <w:gridSpan w:val="2"/>
            <w:tcBorders>
              <w:top w:val="single" w:sz="2" w:space="0" w:color="auto"/>
              <w:left w:val="nil"/>
              <w:bottom w:val="double" w:sz="4" w:space="0" w:color="auto"/>
              <w:right w:val="nil"/>
            </w:tcBorders>
            <w:vAlign w:val="bottom"/>
          </w:tcPr>
          <w:p w14:paraId="6B9909BF" w14:textId="155611D6" w:rsidR="00FF2606" w:rsidRPr="00A05D1E" w:rsidRDefault="00FF2606" w:rsidP="00FF2606">
            <w:pPr>
              <w:pStyle w:val="TableText"/>
              <w:tabs>
                <w:tab w:val="left" w:pos="3306"/>
              </w:tabs>
              <w:jc w:val="right"/>
              <w:rPr>
                <w:rFonts w:cs="Calibri"/>
                <w:b/>
                <w:bCs/>
              </w:rPr>
            </w:pPr>
          </w:p>
        </w:tc>
      </w:tr>
      <w:tr w:rsidR="00FF2606" w:rsidRPr="00CF7E1B" w14:paraId="2BC939FF" w14:textId="77777777" w:rsidTr="00D919F2">
        <w:trPr>
          <w:trHeight w:val="23"/>
        </w:trPr>
        <w:tc>
          <w:tcPr>
            <w:tcW w:w="1564" w:type="dxa"/>
            <w:tcBorders>
              <w:top w:val="nil"/>
              <w:left w:val="single" w:sz="4" w:space="0" w:color="auto"/>
              <w:bottom w:val="nil"/>
              <w:right w:val="single" w:sz="4" w:space="0" w:color="auto"/>
            </w:tcBorders>
          </w:tcPr>
          <w:p w14:paraId="28672FC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19A15FC8" w14:textId="77777777" w:rsidR="00FF2606" w:rsidRPr="00A05D1E" w:rsidRDefault="00FF2606" w:rsidP="00FF2606">
            <w:pPr>
              <w:pStyle w:val="TableText"/>
              <w:tabs>
                <w:tab w:val="left" w:pos="3306"/>
              </w:tabs>
              <w:rPr>
                <w:rFonts w:cs="Calibri"/>
                <w:b/>
                <w:bCs/>
              </w:rPr>
            </w:pPr>
          </w:p>
        </w:tc>
        <w:tc>
          <w:tcPr>
            <w:tcW w:w="1243" w:type="dxa"/>
            <w:gridSpan w:val="2"/>
            <w:tcBorders>
              <w:top w:val="double" w:sz="4" w:space="0" w:color="auto"/>
              <w:left w:val="nil"/>
              <w:bottom w:val="nil"/>
              <w:right w:val="nil"/>
            </w:tcBorders>
            <w:vAlign w:val="bottom"/>
          </w:tcPr>
          <w:p w14:paraId="5EE437BF" w14:textId="77777777" w:rsidR="00FF2606" w:rsidRPr="00A05D1E" w:rsidRDefault="00FF2606" w:rsidP="00FF2606">
            <w:pPr>
              <w:pStyle w:val="TableText"/>
              <w:tabs>
                <w:tab w:val="left" w:pos="3306"/>
              </w:tabs>
              <w:jc w:val="right"/>
              <w:rPr>
                <w:rFonts w:cs="Calibri"/>
                <w:b/>
                <w:bCs/>
              </w:rPr>
            </w:pPr>
          </w:p>
        </w:tc>
        <w:tc>
          <w:tcPr>
            <w:tcW w:w="1711" w:type="dxa"/>
            <w:gridSpan w:val="2"/>
            <w:tcBorders>
              <w:top w:val="double" w:sz="4" w:space="0" w:color="auto"/>
              <w:left w:val="nil"/>
              <w:bottom w:val="nil"/>
              <w:right w:val="nil"/>
            </w:tcBorders>
            <w:vAlign w:val="bottom"/>
          </w:tcPr>
          <w:p w14:paraId="743B8E26" w14:textId="77777777" w:rsidR="00FF2606" w:rsidRPr="00A05D1E" w:rsidRDefault="00FF2606" w:rsidP="00FF2606">
            <w:pPr>
              <w:pStyle w:val="TableText"/>
              <w:tabs>
                <w:tab w:val="left" w:pos="3306"/>
              </w:tabs>
              <w:jc w:val="right"/>
              <w:rPr>
                <w:rFonts w:cs="Calibri"/>
                <w:b/>
                <w:bCs/>
              </w:rPr>
            </w:pPr>
          </w:p>
        </w:tc>
      </w:tr>
      <w:tr w:rsidR="00FF2606" w:rsidRPr="00CF7E1B" w14:paraId="2DA6BDE1" w14:textId="77777777" w:rsidTr="00D919F2">
        <w:trPr>
          <w:trHeight w:val="23"/>
        </w:trPr>
        <w:tc>
          <w:tcPr>
            <w:tcW w:w="1564" w:type="dxa"/>
            <w:tcBorders>
              <w:top w:val="nil"/>
              <w:left w:val="single" w:sz="4" w:space="0" w:color="auto"/>
              <w:bottom w:val="nil"/>
              <w:right w:val="single" w:sz="4" w:space="0" w:color="auto"/>
            </w:tcBorders>
          </w:tcPr>
          <w:p w14:paraId="5967AD2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969A892" w14:textId="77777777" w:rsidR="00FF2606" w:rsidRPr="00A05D1E" w:rsidRDefault="00FF2606" w:rsidP="00FF2606">
            <w:pPr>
              <w:pStyle w:val="TableText"/>
              <w:tabs>
                <w:tab w:val="left" w:pos="3306"/>
              </w:tabs>
              <w:rPr>
                <w:rFonts w:cs="Calibri"/>
                <w:b/>
                <w:bCs/>
              </w:rPr>
            </w:pPr>
          </w:p>
        </w:tc>
        <w:tc>
          <w:tcPr>
            <w:tcW w:w="1243" w:type="dxa"/>
            <w:gridSpan w:val="2"/>
            <w:tcBorders>
              <w:top w:val="nil"/>
              <w:left w:val="nil"/>
              <w:bottom w:val="nil"/>
              <w:right w:val="nil"/>
            </w:tcBorders>
            <w:vAlign w:val="bottom"/>
          </w:tcPr>
          <w:p w14:paraId="6574E438" w14:textId="77777777" w:rsidR="00FF2606" w:rsidRPr="00A05D1E" w:rsidRDefault="00FF2606" w:rsidP="00FF2606">
            <w:pPr>
              <w:pStyle w:val="TableText"/>
              <w:tabs>
                <w:tab w:val="left" w:pos="3306"/>
              </w:tabs>
              <w:jc w:val="right"/>
              <w:rPr>
                <w:rFonts w:cs="Calibri"/>
                <w:b/>
                <w:bCs/>
              </w:rPr>
            </w:pPr>
          </w:p>
        </w:tc>
        <w:tc>
          <w:tcPr>
            <w:tcW w:w="1711" w:type="dxa"/>
            <w:gridSpan w:val="2"/>
            <w:tcBorders>
              <w:top w:val="nil"/>
              <w:left w:val="nil"/>
              <w:bottom w:val="nil"/>
              <w:right w:val="nil"/>
            </w:tcBorders>
            <w:vAlign w:val="bottom"/>
          </w:tcPr>
          <w:p w14:paraId="506429DC" w14:textId="77777777" w:rsidR="00FF2606" w:rsidRPr="00A05D1E" w:rsidRDefault="00FF2606" w:rsidP="00FF2606">
            <w:pPr>
              <w:pStyle w:val="TableText"/>
              <w:tabs>
                <w:tab w:val="left" w:pos="3306"/>
              </w:tabs>
              <w:jc w:val="right"/>
              <w:rPr>
                <w:rFonts w:cs="Calibri"/>
                <w:b/>
                <w:bCs/>
              </w:rPr>
            </w:pPr>
          </w:p>
        </w:tc>
      </w:tr>
      <w:tr w:rsidR="008D14EE" w:rsidRPr="00157196" w14:paraId="7BC47791" w14:textId="77777777" w:rsidTr="00D919F2">
        <w:trPr>
          <w:trHeight w:val="23"/>
        </w:trPr>
        <w:tc>
          <w:tcPr>
            <w:tcW w:w="1564" w:type="dxa"/>
            <w:tcBorders>
              <w:top w:val="nil"/>
              <w:left w:val="single" w:sz="4" w:space="0" w:color="auto"/>
              <w:bottom w:val="nil"/>
              <w:right w:val="single" w:sz="4" w:space="0" w:color="auto"/>
            </w:tcBorders>
          </w:tcPr>
          <w:p w14:paraId="0482FC78"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01C31A1" w14:textId="77777777" w:rsidR="008D14EE" w:rsidRPr="00A05D1E" w:rsidRDefault="008D14EE" w:rsidP="009A0F2F">
            <w:pPr>
              <w:pStyle w:val="TableTitle"/>
              <w:tabs>
                <w:tab w:val="left" w:pos="3306"/>
              </w:tabs>
              <w:rPr>
                <w:rFonts w:cs="Calibri"/>
                <w:b w:val="0"/>
                <w:bCs w:val="0"/>
              </w:rPr>
            </w:pPr>
          </w:p>
        </w:tc>
        <w:tc>
          <w:tcPr>
            <w:tcW w:w="622" w:type="dxa"/>
            <w:tcBorders>
              <w:top w:val="nil"/>
              <w:left w:val="nil"/>
              <w:bottom w:val="nil"/>
              <w:right w:val="nil"/>
            </w:tcBorders>
            <w:vAlign w:val="bottom"/>
          </w:tcPr>
          <w:p w14:paraId="44A8C382" w14:textId="77777777" w:rsidR="008D14EE" w:rsidRPr="00A05D1E" w:rsidRDefault="008D14EE" w:rsidP="009A0F2F">
            <w:pPr>
              <w:pStyle w:val="TableText"/>
              <w:jc w:val="right"/>
              <w:rPr>
                <w:rFonts w:cs="Calibri"/>
                <w:b/>
              </w:rPr>
            </w:pPr>
            <w:r w:rsidRPr="00A05D1E">
              <w:rPr>
                <w:rFonts w:cs="Calibri"/>
                <w:b/>
              </w:rPr>
              <w:t>No.</w:t>
            </w:r>
          </w:p>
        </w:tc>
        <w:tc>
          <w:tcPr>
            <w:tcW w:w="1497" w:type="dxa"/>
            <w:gridSpan w:val="2"/>
            <w:tcBorders>
              <w:top w:val="nil"/>
              <w:left w:val="nil"/>
              <w:bottom w:val="nil"/>
              <w:right w:val="nil"/>
            </w:tcBorders>
            <w:vAlign w:val="bottom"/>
          </w:tcPr>
          <w:p w14:paraId="196119C9" w14:textId="3EB08A47" w:rsidR="008D14EE" w:rsidRPr="00A05D1E" w:rsidRDefault="008D14EE" w:rsidP="009A0F2F">
            <w:pPr>
              <w:pStyle w:val="TableText"/>
              <w:jc w:val="right"/>
              <w:rPr>
                <w:rFonts w:cs="Calibri"/>
                <w:b/>
              </w:rPr>
            </w:pPr>
            <w:r w:rsidRPr="00A05D1E">
              <w:rPr>
                <w:rFonts w:cs="Calibri"/>
                <w:b/>
                <w:bCs/>
              </w:rPr>
              <w:t>202</w:t>
            </w:r>
            <w:r w:rsidR="00F31BA8">
              <w:rPr>
                <w:rFonts w:cs="Calibri"/>
                <w:b/>
                <w:bCs/>
              </w:rPr>
              <w:t>3</w:t>
            </w:r>
          </w:p>
          <w:p w14:paraId="3D26F967" w14:textId="77777777" w:rsidR="008D14EE" w:rsidRPr="00A05D1E" w:rsidRDefault="008D14EE" w:rsidP="009A0F2F">
            <w:pPr>
              <w:pStyle w:val="TableText"/>
              <w:jc w:val="right"/>
              <w:rPr>
                <w:rFonts w:cs="Calibri"/>
                <w:b/>
              </w:rPr>
            </w:pPr>
            <w:r w:rsidRPr="00A05D1E">
              <w:rPr>
                <w:rFonts w:cs="Calibri"/>
                <w:b/>
              </w:rPr>
              <w:t>$’000</w:t>
            </w:r>
          </w:p>
        </w:tc>
        <w:tc>
          <w:tcPr>
            <w:tcW w:w="1072" w:type="dxa"/>
            <w:gridSpan w:val="2"/>
            <w:tcBorders>
              <w:top w:val="nil"/>
              <w:left w:val="nil"/>
              <w:bottom w:val="nil"/>
              <w:right w:val="nil"/>
            </w:tcBorders>
            <w:vAlign w:val="bottom"/>
          </w:tcPr>
          <w:p w14:paraId="1B3AC5E7" w14:textId="77777777" w:rsidR="008D14EE" w:rsidRPr="00A05D1E" w:rsidRDefault="008D14EE" w:rsidP="009A0F2F">
            <w:pPr>
              <w:pStyle w:val="TableText"/>
              <w:jc w:val="right"/>
              <w:rPr>
                <w:rFonts w:cs="Calibri"/>
                <w:b/>
              </w:rPr>
            </w:pPr>
            <w:r w:rsidRPr="00A05D1E">
              <w:rPr>
                <w:rFonts w:cs="Calibri"/>
                <w:b/>
              </w:rPr>
              <w:t>No.</w:t>
            </w:r>
          </w:p>
        </w:tc>
        <w:tc>
          <w:tcPr>
            <w:tcW w:w="1392" w:type="dxa"/>
            <w:tcBorders>
              <w:top w:val="nil"/>
              <w:left w:val="nil"/>
              <w:bottom w:val="nil"/>
              <w:right w:val="nil"/>
            </w:tcBorders>
            <w:vAlign w:val="bottom"/>
          </w:tcPr>
          <w:p w14:paraId="38C6EE75" w14:textId="7515ABDF" w:rsidR="008D14EE" w:rsidRPr="00A05D1E" w:rsidRDefault="008D14EE" w:rsidP="009A0F2F">
            <w:pPr>
              <w:pStyle w:val="TableText"/>
              <w:jc w:val="right"/>
              <w:rPr>
                <w:rFonts w:cs="Calibri"/>
                <w:b/>
                <w:bCs/>
              </w:rPr>
            </w:pPr>
            <w:r w:rsidRPr="00A05D1E">
              <w:rPr>
                <w:rFonts w:cs="Calibri"/>
                <w:b/>
                <w:bCs/>
              </w:rPr>
              <w:t>202</w:t>
            </w:r>
            <w:r w:rsidR="00F31BA8">
              <w:rPr>
                <w:rFonts w:cs="Calibri"/>
                <w:b/>
                <w:bCs/>
              </w:rPr>
              <w:t>2</w:t>
            </w:r>
          </w:p>
          <w:p w14:paraId="42B6D98B" w14:textId="77777777" w:rsidR="008D14EE" w:rsidRPr="00A05D1E" w:rsidRDefault="008D14EE" w:rsidP="009A0F2F">
            <w:pPr>
              <w:pStyle w:val="TableText"/>
              <w:jc w:val="right"/>
              <w:rPr>
                <w:rFonts w:cs="Calibri"/>
                <w:b/>
              </w:rPr>
            </w:pPr>
            <w:r w:rsidRPr="00A05D1E">
              <w:rPr>
                <w:rFonts w:cs="Calibri"/>
                <w:b/>
              </w:rPr>
              <w:t>$’000</w:t>
            </w:r>
          </w:p>
        </w:tc>
      </w:tr>
      <w:tr w:rsidR="008D14EE" w:rsidRPr="00157196" w14:paraId="565FB383" w14:textId="77777777" w:rsidTr="00D919F2">
        <w:trPr>
          <w:trHeight w:val="23"/>
        </w:trPr>
        <w:tc>
          <w:tcPr>
            <w:tcW w:w="1564" w:type="dxa"/>
            <w:tcBorders>
              <w:top w:val="nil"/>
              <w:left w:val="single" w:sz="4" w:space="0" w:color="auto"/>
              <w:bottom w:val="nil"/>
              <w:right w:val="single" w:sz="4" w:space="0" w:color="auto"/>
            </w:tcBorders>
          </w:tcPr>
          <w:p w14:paraId="3B2C0038"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221138A4" w14:textId="126703F8" w:rsidR="008D14EE" w:rsidRPr="00A05D1E" w:rsidRDefault="00FF2606" w:rsidP="009A0F2F">
            <w:pPr>
              <w:pStyle w:val="TableText"/>
              <w:tabs>
                <w:tab w:val="left" w:pos="3306"/>
              </w:tabs>
              <w:rPr>
                <w:rFonts w:cs="Calibri"/>
                <w:b/>
              </w:rPr>
            </w:pPr>
            <w:r w:rsidRPr="00A05D1E">
              <w:rPr>
                <w:rFonts w:cs="Calibri"/>
                <w:b/>
                <w:bCs/>
                <w:szCs w:val="20"/>
              </w:rPr>
              <w:t>Breakdown of</w:t>
            </w:r>
            <w:r w:rsidRPr="00A05D1E">
              <w:rPr>
                <w:rFonts w:cs="Calibri"/>
                <w:b/>
              </w:rPr>
              <w:t xml:space="preserve"> </w:t>
            </w:r>
            <w:r w:rsidR="008D14EE" w:rsidRPr="00A05D1E">
              <w:rPr>
                <w:rFonts w:cs="Calibri"/>
                <w:b/>
              </w:rPr>
              <w:t>Waivers</w:t>
            </w:r>
          </w:p>
        </w:tc>
        <w:tc>
          <w:tcPr>
            <w:tcW w:w="622" w:type="dxa"/>
            <w:tcBorders>
              <w:top w:val="nil"/>
              <w:left w:val="nil"/>
              <w:bottom w:val="nil"/>
              <w:right w:val="nil"/>
            </w:tcBorders>
            <w:vAlign w:val="bottom"/>
          </w:tcPr>
          <w:p w14:paraId="09B6AC52" w14:textId="77777777" w:rsidR="008D14EE" w:rsidRPr="00A05D1E" w:rsidRDefault="008D14EE" w:rsidP="009A0F2F">
            <w:pPr>
              <w:pStyle w:val="TableText"/>
              <w:tabs>
                <w:tab w:val="left" w:pos="3306"/>
              </w:tabs>
              <w:jc w:val="right"/>
              <w:rPr>
                <w:rFonts w:cs="Calibri"/>
              </w:rPr>
            </w:pPr>
          </w:p>
        </w:tc>
        <w:tc>
          <w:tcPr>
            <w:tcW w:w="1497" w:type="dxa"/>
            <w:gridSpan w:val="2"/>
            <w:tcBorders>
              <w:top w:val="nil"/>
              <w:left w:val="nil"/>
              <w:bottom w:val="nil"/>
              <w:right w:val="nil"/>
            </w:tcBorders>
            <w:vAlign w:val="bottom"/>
          </w:tcPr>
          <w:p w14:paraId="3FFD76DE" w14:textId="77777777" w:rsidR="008D14EE" w:rsidRPr="00A05D1E" w:rsidRDefault="008D14EE" w:rsidP="009A0F2F">
            <w:pPr>
              <w:pStyle w:val="TableText"/>
              <w:tabs>
                <w:tab w:val="left" w:pos="3306"/>
              </w:tabs>
              <w:jc w:val="right"/>
              <w:rPr>
                <w:rFonts w:cs="Calibri"/>
              </w:rPr>
            </w:pPr>
          </w:p>
        </w:tc>
        <w:tc>
          <w:tcPr>
            <w:tcW w:w="1072" w:type="dxa"/>
            <w:gridSpan w:val="2"/>
            <w:tcBorders>
              <w:top w:val="nil"/>
              <w:left w:val="nil"/>
              <w:bottom w:val="nil"/>
              <w:right w:val="nil"/>
            </w:tcBorders>
            <w:vAlign w:val="bottom"/>
          </w:tcPr>
          <w:p w14:paraId="79C5FB83"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nil"/>
              <w:right w:val="nil"/>
            </w:tcBorders>
            <w:vAlign w:val="bottom"/>
          </w:tcPr>
          <w:p w14:paraId="3B4EBAC4" w14:textId="77777777" w:rsidR="008D14EE" w:rsidRPr="00A05D1E" w:rsidRDefault="008D14EE" w:rsidP="009A0F2F">
            <w:pPr>
              <w:pStyle w:val="TableText"/>
              <w:tabs>
                <w:tab w:val="left" w:pos="3306"/>
              </w:tabs>
              <w:jc w:val="right"/>
              <w:rPr>
                <w:rFonts w:cs="Calibri"/>
              </w:rPr>
            </w:pPr>
          </w:p>
        </w:tc>
      </w:tr>
      <w:tr w:rsidR="008D14EE" w:rsidRPr="00C373FF" w14:paraId="36BA2074" w14:textId="77777777" w:rsidTr="00D919F2">
        <w:trPr>
          <w:trHeight w:val="23"/>
        </w:trPr>
        <w:tc>
          <w:tcPr>
            <w:tcW w:w="1564" w:type="dxa"/>
            <w:tcBorders>
              <w:top w:val="nil"/>
              <w:left w:val="single" w:sz="4" w:space="0" w:color="auto"/>
              <w:bottom w:val="nil"/>
              <w:right w:val="single" w:sz="4" w:space="0" w:color="auto"/>
            </w:tcBorders>
          </w:tcPr>
          <w:p w14:paraId="30769F47"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51C935D7" w14:textId="77777777" w:rsidR="008D14EE" w:rsidRPr="00A05D1E" w:rsidRDefault="008D14EE" w:rsidP="009A0F2F">
            <w:pPr>
              <w:pStyle w:val="TableText"/>
              <w:tabs>
                <w:tab w:val="left" w:pos="3306"/>
              </w:tabs>
              <w:rPr>
                <w:rFonts w:cs="Calibri"/>
              </w:rPr>
            </w:pPr>
            <w:r w:rsidRPr="00A05D1E">
              <w:rPr>
                <w:rFonts w:cs="Calibri"/>
              </w:rPr>
              <w:t>Stimulus Waivers</w:t>
            </w:r>
          </w:p>
        </w:tc>
        <w:tc>
          <w:tcPr>
            <w:tcW w:w="622" w:type="dxa"/>
            <w:tcBorders>
              <w:top w:val="nil"/>
              <w:left w:val="nil"/>
              <w:bottom w:val="nil"/>
              <w:right w:val="nil"/>
            </w:tcBorders>
            <w:vAlign w:val="bottom"/>
          </w:tcPr>
          <w:p w14:paraId="2F236B26" w14:textId="77777777" w:rsidR="008D14EE" w:rsidRPr="00A05D1E" w:rsidRDefault="008D14EE" w:rsidP="009A0F2F">
            <w:pPr>
              <w:pStyle w:val="TableText"/>
              <w:tabs>
                <w:tab w:val="left" w:pos="3306"/>
              </w:tabs>
              <w:jc w:val="right"/>
              <w:rPr>
                <w:rFonts w:cs="Calibri"/>
                <w:strike/>
              </w:rPr>
            </w:pPr>
          </w:p>
        </w:tc>
        <w:tc>
          <w:tcPr>
            <w:tcW w:w="1497" w:type="dxa"/>
            <w:gridSpan w:val="2"/>
            <w:tcBorders>
              <w:top w:val="nil"/>
              <w:left w:val="nil"/>
              <w:bottom w:val="nil"/>
              <w:right w:val="nil"/>
            </w:tcBorders>
            <w:vAlign w:val="bottom"/>
          </w:tcPr>
          <w:p w14:paraId="7CD255CF" w14:textId="77777777" w:rsidR="008D14EE" w:rsidRPr="00A05D1E" w:rsidRDefault="008D14EE" w:rsidP="009A0F2F">
            <w:pPr>
              <w:pStyle w:val="TableText"/>
              <w:tabs>
                <w:tab w:val="left" w:pos="3306"/>
              </w:tabs>
              <w:jc w:val="right"/>
              <w:rPr>
                <w:rFonts w:cs="Calibri"/>
                <w:strike/>
              </w:rPr>
            </w:pPr>
          </w:p>
        </w:tc>
        <w:tc>
          <w:tcPr>
            <w:tcW w:w="1072" w:type="dxa"/>
            <w:gridSpan w:val="2"/>
            <w:tcBorders>
              <w:top w:val="nil"/>
              <w:left w:val="nil"/>
              <w:bottom w:val="nil"/>
              <w:right w:val="nil"/>
            </w:tcBorders>
            <w:vAlign w:val="bottom"/>
          </w:tcPr>
          <w:p w14:paraId="2C32F191"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nil"/>
              <w:right w:val="nil"/>
            </w:tcBorders>
            <w:vAlign w:val="bottom"/>
          </w:tcPr>
          <w:p w14:paraId="396A1BD2" w14:textId="77777777" w:rsidR="008D14EE" w:rsidRPr="00A05D1E" w:rsidRDefault="008D14EE" w:rsidP="009A0F2F">
            <w:pPr>
              <w:pStyle w:val="TableText"/>
              <w:tabs>
                <w:tab w:val="left" w:pos="3306"/>
              </w:tabs>
              <w:jc w:val="right"/>
              <w:rPr>
                <w:rFonts w:cs="Calibri"/>
              </w:rPr>
            </w:pPr>
          </w:p>
        </w:tc>
      </w:tr>
      <w:tr w:rsidR="008D14EE" w:rsidRPr="00C373FF" w14:paraId="7D60FFCD" w14:textId="77777777" w:rsidTr="00D919F2">
        <w:trPr>
          <w:trHeight w:val="23"/>
        </w:trPr>
        <w:tc>
          <w:tcPr>
            <w:tcW w:w="1564" w:type="dxa"/>
            <w:tcBorders>
              <w:top w:val="nil"/>
              <w:left w:val="single" w:sz="4" w:space="0" w:color="auto"/>
              <w:bottom w:val="nil"/>
              <w:right w:val="single" w:sz="4" w:space="0" w:color="auto"/>
            </w:tcBorders>
          </w:tcPr>
          <w:p w14:paraId="1D7BE1D4"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49333C5" w14:textId="77777777" w:rsidR="008D14EE" w:rsidRPr="00A05D1E" w:rsidRDefault="008D14EE" w:rsidP="009A0F2F">
            <w:pPr>
              <w:pStyle w:val="CommentaryReference"/>
              <w:rPr>
                <w:rFonts w:cs="Calibri"/>
                <w:sz w:val="18"/>
                <w:szCs w:val="18"/>
              </w:rPr>
            </w:pPr>
            <w:r w:rsidRPr="00A05D1E">
              <w:rPr>
                <w:rFonts w:cs="Calibri"/>
                <w:sz w:val="18"/>
                <w:szCs w:val="18"/>
              </w:rPr>
              <w:t>Other Waivers</w:t>
            </w:r>
          </w:p>
        </w:tc>
        <w:tc>
          <w:tcPr>
            <w:tcW w:w="622" w:type="dxa"/>
            <w:tcBorders>
              <w:top w:val="nil"/>
              <w:left w:val="nil"/>
              <w:bottom w:val="single" w:sz="4" w:space="0" w:color="auto"/>
              <w:right w:val="nil"/>
            </w:tcBorders>
            <w:vAlign w:val="bottom"/>
          </w:tcPr>
          <w:p w14:paraId="0E35D76C" w14:textId="77777777" w:rsidR="008D14EE" w:rsidRPr="00A05D1E" w:rsidRDefault="008D14EE" w:rsidP="009A0F2F">
            <w:pPr>
              <w:pStyle w:val="TableText"/>
              <w:tabs>
                <w:tab w:val="left" w:pos="3306"/>
              </w:tabs>
              <w:jc w:val="right"/>
              <w:rPr>
                <w:rFonts w:cs="Calibri"/>
              </w:rPr>
            </w:pPr>
          </w:p>
        </w:tc>
        <w:tc>
          <w:tcPr>
            <w:tcW w:w="1497" w:type="dxa"/>
            <w:gridSpan w:val="2"/>
            <w:tcBorders>
              <w:top w:val="nil"/>
              <w:left w:val="nil"/>
              <w:bottom w:val="single" w:sz="4" w:space="0" w:color="auto"/>
              <w:right w:val="nil"/>
            </w:tcBorders>
            <w:vAlign w:val="bottom"/>
          </w:tcPr>
          <w:p w14:paraId="42960F52" w14:textId="77777777" w:rsidR="008D14EE" w:rsidRPr="00A05D1E" w:rsidRDefault="008D14EE" w:rsidP="009A0F2F">
            <w:pPr>
              <w:pStyle w:val="TableText"/>
              <w:tabs>
                <w:tab w:val="left" w:pos="3306"/>
              </w:tabs>
              <w:jc w:val="right"/>
              <w:rPr>
                <w:rFonts w:cs="Calibri"/>
              </w:rPr>
            </w:pPr>
          </w:p>
        </w:tc>
        <w:tc>
          <w:tcPr>
            <w:tcW w:w="1072" w:type="dxa"/>
            <w:gridSpan w:val="2"/>
            <w:tcBorders>
              <w:top w:val="nil"/>
              <w:left w:val="nil"/>
              <w:bottom w:val="single" w:sz="4" w:space="0" w:color="auto"/>
              <w:right w:val="nil"/>
            </w:tcBorders>
            <w:vAlign w:val="bottom"/>
          </w:tcPr>
          <w:p w14:paraId="11D68267"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single" w:sz="4" w:space="0" w:color="auto"/>
              <w:right w:val="nil"/>
            </w:tcBorders>
            <w:vAlign w:val="bottom"/>
          </w:tcPr>
          <w:p w14:paraId="6D555313" w14:textId="77777777" w:rsidR="008D14EE" w:rsidRPr="00A05D1E" w:rsidRDefault="008D14EE" w:rsidP="009A0F2F">
            <w:pPr>
              <w:pStyle w:val="TableText"/>
              <w:tabs>
                <w:tab w:val="left" w:pos="3306"/>
              </w:tabs>
              <w:jc w:val="right"/>
              <w:rPr>
                <w:rFonts w:cs="Calibri"/>
              </w:rPr>
            </w:pPr>
          </w:p>
        </w:tc>
      </w:tr>
      <w:tr w:rsidR="008D14EE" w:rsidRPr="00157196" w14:paraId="09A9D3FF" w14:textId="77777777" w:rsidTr="00D919F2">
        <w:trPr>
          <w:trHeight w:val="23"/>
        </w:trPr>
        <w:tc>
          <w:tcPr>
            <w:tcW w:w="1564" w:type="dxa"/>
            <w:tcBorders>
              <w:top w:val="nil"/>
              <w:left w:val="single" w:sz="4" w:space="0" w:color="auto"/>
              <w:bottom w:val="nil"/>
              <w:right w:val="single" w:sz="4" w:space="0" w:color="auto"/>
            </w:tcBorders>
          </w:tcPr>
          <w:p w14:paraId="0D425E13"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461FC975" w14:textId="77777777" w:rsidR="008D14EE" w:rsidRPr="00A05D1E" w:rsidRDefault="008D14EE" w:rsidP="009A0F2F">
            <w:pPr>
              <w:pStyle w:val="TableText"/>
              <w:tabs>
                <w:tab w:val="left" w:pos="3306"/>
              </w:tabs>
              <w:rPr>
                <w:rFonts w:cs="Calibri"/>
                <w:b/>
              </w:rPr>
            </w:pPr>
            <w:r w:rsidRPr="00A05D1E">
              <w:rPr>
                <w:rFonts w:cs="Calibri"/>
                <w:b/>
              </w:rPr>
              <w:t>Total Waivers</w:t>
            </w:r>
          </w:p>
        </w:tc>
        <w:tc>
          <w:tcPr>
            <w:tcW w:w="622" w:type="dxa"/>
            <w:tcBorders>
              <w:top w:val="single" w:sz="4" w:space="0" w:color="auto"/>
              <w:left w:val="nil"/>
              <w:bottom w:val="double" w:sz="4" w:space="0" w:color="auto"/>
              <w:right w:val="nil"/>
            </w:tcBorders>
            <w:vAlign w:val="bottom"/>
          </w:tcPr>
          <w:p w14:paraId="4C805D14" w14:textId="77777777" w:rsidR="008D14EE" w:rsidRPr="00A05D1E" w:rsidRDefault="008D14EE" w:rsidP="009A0F2F">
            <w:pPr>
              <w:pStyle w:val="TableText"/>
              <w:tabs>
                <w:tab w:val="left" w:pos="3306"/>
              </w:tabs>
              <w:jc w:val="right"/>
              <w:rPr>
                <w:rFonts w:cs="Calibri"/>
              </w:rPr>
            </w:pPr>
          </w:p>
        </w:tc>
        <w:tc>
          <w:tcPr>
            <w:tcW w:w="1497" w:type="dxa"/>
            <w:gridSpan w:val="2"/>
            <w:tcBorders>
              <w:top w:val="single" w:sz="4" w:space="0" w:color="auto"/>
              <w:left w:val="nil"/>
              <w:bottom w:val="double" w:sz="4" w:space="0" w:color="auto"/>
              <w:right w:val="nil"/>
            </w:tcBorders>
            <w:vAlign w:val="bottom"/>
          </w:tcPr>
          <w:p w14:paraId="737F9E5B" w14:textId="77777777" w:rsidR="008D14EE" w:rsidRPr="00A05D1E" w:rsidRDefault="008D14EE" w:rsidP="009A0F2F">
            <w:pPr>
              <w:pStyle w:val="TableText"/>
              <w:tabs>
                <w:tab w:val="left" w:pos="3306"/>
              </w:tabs>
              <w:jc w:val="right"/>
              <w:rPr>
                <w:rFonts w:cs="Calibri"/>
              </w:rPr>
            </w:pPr>
          </w:p>
        </w:tc>
        <w:tc>
          <w:tcPr>
            <w:tcW w:w="1072" w:type="dxa"/>
            <w:gridSpan w:val="2"/>
            <w:tcBorders>
              <w:top w:val="single" w:sz="4" w:space="0" w:color="auto"/>
              <w:left w:val="nil"/>
              <w:bottom w:val="double" w:sz="4" w:space="0" w:color="auto"/>
              <w:right w:val="nil"/>
            </w:tcBorders>
            <w:vAlign w:val="bottom"/>
          </w:tcPr>
          <w:p w14:paraId="01EAFDF3" w14:textId="77777777" w:rsidR="008D14EE" w:rsidRPr="00A05D1E" w:rsidRDefault="008D14EE" w:rsidP="009A0F2F">
            <w:pPr>
              <w:pStyle w:val="TableText"/>
              <w:tabs>
                <w:tab w:val="left" w:pos="3306"/>
              </w:tabs>
              <w:jc w:val="right"/>
              <w:rPr>
                <w:rFonts w:cs="Calibri"/>
              </w:rPr>
            </w:pPr>
          </w:p>
        </w:tc>
        <w:tc>
          <w:tcPr>
            <w:tcW w:w="1392" w:type="dxa"/>
            <w:tcBorders>
              <w:top w:val="single" w:sz="4" w:space="0" w:color="auto"/>
              <w:left w:val="nil"/>
              <w:bottom w:val="double" w:sz="4" w:space="0" w:color="auto"/>
              <w:right w:val="nil"/>
            </w:tcBorders>
            <w:vAlign w:val="bottom"/>
          </w:tcPr>
          <w:p w14:paraId="2F1D148B" w14:textId="77777777" w:rsidR="008D14EE" w:rsidRPr="00A05D1E" w:rsidRDefault="008D14EE" w:rsidP="009A0F2F">
            <w:pPr>
              <w:pStyle w:val="TableText"/>
              <w:tabs>
                <w:tab w:val="left" w:pos="3306"/>
              </w:tabs>
              <w:jc w:val="right"/>
              <w:rPr>
                <w:rFonts w:cs="Calibri"/>
              </w:rPr>
            </w:pPr>
          </w:p>
        </w:tc>
      </w:tr>
      <w:tr w:rsidR="00FF2606" w:rsidRPr="00157196" w14:paraId="2ED77AAE" w14:textId="77777777" w:rsidTr="00D919F2">
        <w:trPr>
          <w:trHeight w:val="23"/>
        </w:trPr>
        <w:tc>
          <w:tcPr>
            <w:tcW w:w="1564" w:type="dxa"/>
            <w:tcBorders>
              <w:top w:val="nil"/>
              <w:left w:val="single" w:sz="4" w:space="0" w:color="auto"/>
              <w:bottom w:val="nil"/>
              <w:right w:val="single" w:sz="4" w:space="0" w:color="auto"/>
            </w:tcBorders>
          </w:tcPr>
          <w:p w14:paraId="292654D6" w14:textId="77777777" w:rsidR="00FF2606" w:rsidRPr="00A05D1E" w:rsidRDefault="00FF2606"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E915090" w14:textId="77777777" w:rsidR="00FF2606" w:rsidRPr="00A05D1E" w:rsidRDefault="00FF2606" w:rsidP="009A0F2F">
            <w:pPr>
              <w:pStyle w:val="TableText"/>
              <w:tabs>
                <w:tab w:val="left" w:pos="3306"/>
              </w:tabs>
              <w:rPr>
                <w:rFonts w:cs="Calibri"/>
                <w:b/>
              </w:rPr>
            </w:pPr>
          </w:p>
        </w:tc>
        <w:tc>
          <w:tcPr>
            <w:tcW w:w="622" w:type="dxa"/>
            <w:tcBorders>
              <w:top w:val="double" w:sz="4" w:space="0" w:color="auto"/>
              <w:left w:val="nil"/>
              <w:bottom w:val="nil"/>
              <w:right w:val="nil"/>
            </w:tcBorders>
            <w:vAlign w:val="bottom"/>
          </w:tcPr>
          <w:p w14:paraId="67CC6E57" w14:textId="77777777" w:rsidR="00FF2606" w:rsidRPr="00A05D1E" w:rsidRDefault="00FF2606" w:rsidP="009A0F2F">
            <w:pPr>
              <w:pStyle w:val="TableText"/>
              <w:tabs>
                <w:tab w:val="left" w:pos="3306"/>
              </w:tabs>
              <w:jc w:val="right"/>
              <w:rPr>
                <w:rFonts w:cs="Calibri"/>
              </w:rPr>
            </w:pPr>
          </w:p>
        </w:tc>
        <w:tc>
          <w:tcPr>
            <w:tcW w:w="1497" w:type="dxa"/>
            <w:gridSpan w:val="2"/>
            <w:tcBorders>
              <w:top w:val="double" w:sz="4" w:space="0" w:color="auto"/>
              <w:left w:val="nil"/>
              <w:bottom w:val="nil"/>
              <w:right w:val="nil"/>
            </w:tcBorders>
            <w:vAlign w:val="bottom"/>
          </w:tcPr>
          <w:p w14:paraId="28B1EB21" w14:textId="77777777" w:rsidR="00FF2606" w:rsidRPr="00A05D1E" w:rsidRDefault="00FF2606" w:rsidP="009A0F2F">
            <w:pPr>
              <w:pStyle w:val="TableText"/>
              <w:tabs>
                <w:tab w:val="left" w:pos="3306"/>
              </w:tabs>
              <w:jc w:val="right"/>
              <w:rPr>
                <w:rFonts w:cs="Calibri"/>
              </w:rPr>
            </w:pPr>
          </w:p>
        </w:tc>
        <w:tc>
          <w:tcPr>
            <w:tcW w:w="1072" w:type="dxa"/>
            <w:gridSpan w:val="2"/>
            <w:tcBorders>
              <w:top w:val="double" w:sz="4" w:space="0" w:color="auto"/>
              <w:left w:val="nil"/>
              <w:bottom w:val="nil"/>
              <w:right w:val="nil"/>
            </w:tcBorders>
            <w:vAlign w:val="bottom"/>
          </w:tcPr>
          <w:p w14:paraId="4C961D91" w14:textId="77777777" w:rsidR="00FF2606" w:rsidRPr="00A05D1E" w:rsidRDefault="00FF2606" w:rsidP="009A0F2F">
            <w:pPr>
              <w:pStyle w:val="TableText"/>
              <w:tabs>
                <w:tab w:val="left" w:pos="3306"/>
              </w:tabs>
              <w:jc w:val="right"/>
              <w:rPr>
                <w:rFonts w:cs="Calibri"/>
              </w:rPr>
            </w:pPr>
          </w:p>
        </w:tc>
        <w:tc>
          <w:tcPr>
            <w:tcW w:w="1392" w:type="dxa"/>
            <w:tcBorders>
              <w:top w:val="double" w:sz="4" w:space="0" w:color="auto"/>
              <w:left w:val="nil"/>
              <w:bottom w:val="nil"/>
              <w:right w:val="nil"/>
            </w:tcBorders>
            <w:vAlign w:val="bottom"/>
          </w:tcPr>
          <w:p w14:paraId="35F90F94" w14:textId="77777777" w:rsidR="00FF2606" w:rsidRPr="00A05D1E" w:rsidRDefault="00FF2606" w:rsidP="009A0F2F">
            <w:pPr>
              <w:pStyle w:val="TableText"/>
              <w:tabs>
                <w:tab w:val="left" w:pos="3306"/>
              </w:tabs>
              <w:jc w:val="right"/>
              <w:rPr>
                <w:rFonts w:cs="Calibri"/>
              </w:rPr>
            </w:pPr>
          </w:p>
        </w:tc>
      </w:tr>
      <w:tr w:rsidR="00FF2606" w:rsidRPr="00E80D67" w14:paraId="078062BE" w14:textId="77777777" w:rsidTr="00D919F2">
        <w:trPr>
          <w:trHeight w:val="23"/>
        </w:trPr>
        <w:tc>
          <w:tcPr>
            <w:tcW w:w="1564" w:type="dxa"/>
            <w:tcBorders>
              <w:top w:val="nil"/>
              <w:left w:val="single" w:sz="4" w:space="0" w:color="auto"/>
              <w:bottom w:val="nil"/>
              <w:right w:val="single" w:sz="4" w:space="0" w:color="auto"/>
            </w:tcBorders>
          </w:tcPr>
          <w:p w14:paraId="05EE0669" w14:textId="4AC250E5" w:rsidR="00FF2606" w:rsidRPr="00A05D1E" w:rsidRDefault="00FF2606" w:rsidP="00C24DC3">
            <w:pPr>
              <w:pStyle w:val="Reference"/>
              <w:spacing w:before="240" w:after="240"/>
              <w:rPr>
                <w:rFonts w:asciiTheme="minorHAnsi" w:hAnsiTheme="minorHAnsi" w:cstheme="minorHAnsi"/>
                <w:color w:val="7030A0"/>
                <w:sz w:val="22"/>
                <w:szCs w:val="22"/>
              </w:rPr>
            </w:pPr>
            <w:r w:rsidRPr="00A05D1E">
              <w:rPr>
                <w:b w:val="0"/>
                <w:bCs w:val="0"/>
                <w:color w:val="7030A0"/>
              </w:rPr>
              <w:br w:type="page"/>
            </w:r>
          </w:p>
        </w:tc>
        <w:tc>
          <w:tcPr>
            <w:tcW w:w="8925" w:type="dxa"/>
            <w:gridSpan w:val="7"/>
            <w:tcBorders>
              <w:top w:val="nil"/>
              <w:left w:val="single" w:sz="4" w:space="0" w:color="auto"/>
              <w:bottom w:val="nil"/>
              <w:right w:val="nil"/>
            </w:tcBorders>
            <w:shd w:val="clear" w:color="auto" w:fill="7030A0"/>
            <w:vAlign w:val="bottom"/>
          </w:tcPr>
          <w:p w14:paraId="177891DC" w14:textId="3F93C894" w:rsidR="00FF2606" w:rsidRPr="00A05D1E" w:rsidRDefault="00FF2606" w:rsidP="00C24DC3">
            <w:pPr>
              <w:pStyle w:val="TableText"/>
              <w:spacing w:before="240" w:after="240"/>
              <w:jc w:val="both"/>
              <w:rPr>
                <w:rFonts w:cs="Calibri"/>
                <w:b/>
                <w:color w:val="FFFFFF" w:themeColor="background1"/>
                <w:sz w:val="28"/>
                <w:szCs w:val="28"/>
              </w:rPr>
            </w:pPr>
            <w:r w:rsidRPr="00A05D1E">
              <w:rPr>
                <w:rFonts w:cs="Calibri"/>
                <w:b/>
                <w:color w:val="FFFFFF" w:themeColor="background1"/>
                <w:sz w:val="28"/>
                <w:szCs w:val="28"/>
              </w:rPr>
              <w:t xml:space="preserve">Commentary </w:t>
            </w:r>
            <w:r w:rsidRPr="00A05D1E">
              <w:rPr>
                <w:rFonts w:cs="Calibri"/>
                <w:b/>
                <w:color w:val="FFFFFF" w:themeColor="background1"/>
                <w:sz w:val="28"/>
                <w:szCs w:val="28"/>
              </w:rPr>
              <w:sym w:font="Symbol" w:char="F02D"/>
            </w:r>
            <w:r w:rsidRPr="00A05D1E">
              <w:rPr>
                <w:rFonts w:cs="Calibri"/>
                <w:b/>
                <w:color w:val="FFFFFF" w:themeColor="background1"/>
                <w:sz w:val="28"/>
                <w:szCs w:val="28"/>
              </w:rPr>
              <w:t xml:space="preserve"> Note </w:t>
            </w:r>
            <w:r w:rsidR="003C6503" w:rsidRPr="00A05D1E">
              <w:rPr>
                <w:rFonts w:cs="Calibri"/>
                <w:b/>
                <w:color w:val="FFFFFF" w:themeColor="background1"/>
                <w:sz w:val="28"/>
                <w:szCs w:val="28"/>
              </w:rPr>
              <w:t>4</w:t>
            </w:r>
            <w:r w:rsidR="00E86853" w:rsidRPr="00A05D1E">
              <w:rPr>
                <w:rFonts w:cs="Calibri"/>
                <w:b/>
                <w:color w:val="FFFFFF" w:themeColor="background1"/>
                <w:sz w:val="28"/>
                <w:szCs w:val="28"/>
              </w:rPr>
              <w:t>5</w:t>
            </w:r>
            <w:r w:rsidRPr="00A05D1E">
              <w:rPr>
                <w:rFonts w:cs="Calibri"/>
                <w:b/>
                <w:color w:val="FFFFFF" w:themeColor="background1"/>
                <w:sz w:val="28"/>
                <w:szCs w:val="28"/>
              </w:rPr>
              <w:t xml:space="preserve">: </w:t>
            </w:r>
            <w:r w:rsidR="00313BCC" w:rsidRPr="00A05D1E">
              <w:rPr>
                <w:rFonts w:cs="Calibri"/>
                <w:b/>
                <w:color w:val="FFFFFF" w:themeColor="background1"/>
                <w:sz w:val="28"/>
                <w:szCs w:val="28"/>
              </w:rPr>
              <w:t>Other Expenses</w:t>
            </w:r>
            <w:r w:rsidR="003C6503" w:rsidRPr="00A05D1E">
              <w:rPr>
                <w:rFonts w:cs="Calibri"/>
                <w:b/>
                <w:color w:val="FFFFFF" w:themeColor="background1"/>
                <w:sz w:val="28"/>
                <w:szCs w:val="28"/>
              </w:rPr>
              <w:t xml:space="preserve"> </w:t>
            </w:r>
            <w:r w:rsidR="00546BB1">
              <w:rPr>
                <w:rFonts w:cs="Calibri"/>
                <w:b/>
                <w:color w:val="FFFFFF" w:themeColor="background1"/>
                <w:sz w:val="28"/>
                <w:szCs w:val="28"/>
              </w:rPr>
              <w:t>–</w:t>
            </w:r>
            <w:r w:rsidR="003C6503" w:rsidRPr="00A05D1E">
              <w:rPr>
                <w:rFonts w:cs="Calibri"/>
                <w:b/>
                <w:color w:val="FFFFFF" w:themeColor="background1"/>
                <w:sz w:val="28"/>
                <w:szCs w:val="28"/>
              </w:rPr>
              <w:t xml:space="preserve"> Territorial</w:t>
            </w:r>
            <w:r w:rsidR="00546BB1">
              <w:rPr>
                <w:rFonts w:cs="Calibri"/>
                <w:b/>
                <w:color w:val="FFFFFF" w:themeColor="background1"/>
                <w:sz w:val="28"/>
                <w:szCs w:val="28"/>
              </w:rPr>
              <w:t xml:space="preserve"> </w:t>
            </w:r>
          </w:p>
        </w:tc>
      </w:tr>
      <w:tr w:rsidR="00FF2606" w:rsidRPr="00F85282" w14:paraId="2BF3E193"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6358C0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5EEC57DF" w14:textId="0BDEE4AD" w:rsidR="00FF2606" w:rsidRPr="00A05D1E" w:rsidRDefault="00FF2606" w:rsidP="009A0F2F">
            <w:pPr>
              <w:pStyle w:val="TableText"/>
              <w:spacing w:before="0" w:after="120"/>
              <w:jc w:val="both"/>
              <w:rPr>
                <w:rFonts w:cs="Calibri"/>
                <w:color w:val="FFFFFF" w:themeColor="background1"/>
              </w:rPr>
            </w:pPr>
            <w:r w:rsidRPr="00A05D1E">
              <w:rPr>
                <w:rFonts w:cs="Calibri"/>
                <w:color w:val="FFFFFF" w:themeColor="background1"/>
              </w:rPr>
              <w:t>A waiver is the relinquishment of a legal claim to a debt.</w:t>
            </w:r>
            <w:r w:rsidR="00FA7C77">
              <w:rPr>
                <w:rFonts w:cs="Calibri"/>
                <w:color w:val="FFFFFF" w:themeColor="background1"/>
              </w:rPr>
              <w:t xml:space="preserve"> </w:t>
            </w:r>
            <w:r w:rsidRPr="00A05D1E">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A05D1E">
              <w:rPr>
                <w:rFonts w:cs="Calibri"/>
                <w:color w:val="FFFFFF" w:themeColor="background1"/>
              </w:rPr>
              <w:t>The write-off of debts may occur for reasons other than waivers.</w:t>
            </w:r>
          </w:p>
        </w:tc>
      </w:tr>
      <w:tr w:rsidR="00FF2606" w:rsidRPr="00F85282" w14:paraId="2FA44817"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12321F2A" w14:textId="08CCFEE9"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FMA Section 131 (3)</w:t>
            </w:r>
          </w:p>
        </w:tc>
        <w:tc>
          <w:tcPr>
            <w:tcW w:w="8925" w:type="dxa"/>
            <w:gridSpan w:val="7"/>
            <w:tcBorders>
              <w:left w:val="single" w:sz="4" w:space="0" w:color="auto"/>
            </w:tcBorders>
            <w:shd w:val="clear" w:color="auto" w:fill="7030A0"/>
          </w:tcPr>
          <w:p w14:paraId="27E24CAD" w14:textId="561A333E" w:rsidR="00FF2606" w:rsidRPr="00A05D1E" w:rsidRDefault="00BC3D87" w:rsidP="009A0F2F">
            <w:pPr>
              <w:pStyle w:val="CommentaryText"/>
              <w:rPr>
                <w:rFonts w:cs="Calibri"/>
                <w:color w:val="FFFFFF" w:themeColor="background1"/>
                <w:sz w:val="18"/>
                <w:szCs w:val="18"/>
              </w:rPr>
            </w:pPr>
            <w:r w:rsidRPr="00A05D1E">
              <w:rPr>
                <w:rFonts w:cs="Calibri"/>
                <w:color w:val="FFFFFF" w:themeColor="background1"/>
                <w:sz w:val="18"/>
                <w:szCs w:val="18"/>
              </w:rPr>
              <w:t>A</w:t>
            </w:r>
            <w:r w:rsidR="00FF2606" w:rsidRPr="00A05D1E">
              <w:rPr>
                <w:rFonts w:cs="Calibri"/>
                <w:color w:val="FFFFFF" w:themeColor="background1"/>
                <w:sz w:val="18"/>
                <w:szCs w:val="18"/>
              </w:rPr>
              <w:t xml:space="preserve"> waiver relating to an amount payable to the Territory shall be reported in the notes to the financial statements of the relevant agency that relate to the year in which the right to payment was waived.</w:t>
            </w:r>
          </w:p>
        </w:tc>
      </w:tr>
      <w:tr w:rsidR="00FF2606" w:rsidRPr="00F85282" w14:paraId="26330865"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4C6E5985"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p w14:paraId="406D21E0"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35B9710E" w14:textId="2FB5E8C3"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The </w:t>
            </w:r>
            <w:r w:rsidR="00175DEB" w:rsidRPr="00A05D1E">
              <w:rPr>
                <w:rFonts w:cs="Calibri"/>
                <w:color w:val="FFFFFF" w:themeColor="background1"/>
                <w:sz w:val="18"/>
                <w:szCs w:val="18"/>
              </w:rPr>
              <w:t xml:space="preserve">wavier and write-off </w:t>
            </w:r>
            <w:r w:rsidRPr="00A05D1E">
              <w:rPr>
                <w:rFonts w:cs="Calibri"/>
                <w:color w:val="FFFFFF" w:themeColor="background1"/>
                <w:sz w:val="18"/>
                <w:szCs w:val="18"/>
              </w:rPr>
              <w:t xml:space="preserve">disclosures required by this note are material by nature </w:t>
            </w:r>
            <w:r w:rsidR="00175DEB" w:rsidRPr="00A05D1E">
              <w:rPr>
                <w:rFonts w:cs="Calibri"/>
                <w:color w:val="FFFFFF" w:themeColor="background1"/>
                <w:sz w:val="18"/>
                <w:szCs w:val="18"/>
              </w:rPr>
              <w:t xml:space="preserve">so </w:t>
            </w:r>
            <w:r w:rsidRPr="00A05D1E">
              <w:rPr>
                <w:rFonts w:cs="Calibri"/>
                <w:color w:val="FFFFFF" w:themeColor="background1"/>
                <w:sz w:val="18"/>
                <w:szCs w:val="18"/>
              </w:rPr>
              <w:t>disclosure is required regardless of the amount of the</w:t>
            </w:r>
            <w:r w:rsidR="00175DEB" w:rsidRPr="00A05D1E">
              <w:rPr>
                <w:rFonts w:cs="Calibri"/>
                <w:color w:val="FFFFFF" w:themeColor="background1"/>
                <w:sz w:val="18"/>
                <w:szCs w:val="18"/>
              </w:rPr>
              <w:t>se</w:t>
            </w:r>
            <w:r w:rsidRPr="00A05D1E">
              <w:rPr>
                <w:rFonts w:cs="Calibri"/>
                <w:color w:val="FFFFFF" w:themeColor="background1"/>
                <w:sz w:val="18"/>
                <w:szCs w:val="18"/>
              </w:rPr>
              <w:t xml:space="preserve"> </w:t>
            </w:r>
            <w:r w:rsidR="00175DEB" w:rsidRPr="00A05D1E">
              <w:rPr>
                <w:rFonts w:cs="Calibri"/>
                <w:color w:val="FFFFFF" w:themeColor="background1"/>
                <w:sz w:val="18"/>
                <w:szCs w:val="18"/>
              </w:rPr>
              <w:t>items</w:t>
            </w:r>
            <w:r w:rsidRPr="00A05D1E">
              <w:rPr>
                <w:rFonts w:cs="Calibri"/>
                <w:color w:val="FFFFFF" w:themeColor="background1"/>
                <w:sz w:val="18"/>
                <w:szCs w:val="18"/>
              </w:rPr>
              <w:t>.</w:t>
            </w:r>
            <w:r w:rsidR="00FA7C77">
              <w:rPr>
                <w:rFonts w:cs="Calibri"/>
                <w:color w:val="FFFFFF" w:themeColor="background1"/>
                <w:sz w:val="18"/>
                <w:szCs w:val="18"/>
              </w:rPr>
              <w:t xml:space="preserve"> </w:t>
            </w:r>
            <w:r w:rsidR="00175DEB" w:rsidRPr="00A05D1E">
              <w:rPr>
                <w:rFonts w:cs="Calibri"/>
                <w:color w:val="FFFFFF" w:themeColor="background1"/>
                <w:sz w:val="18"/>
                <w:szCs w:val="18"/>
              </w:rPr>
              <w:t xml:space="preserve">However, where </w:t>
            </w:r>
            <w:r w:rsidR="005E333B" w:rsidRPr="00A05D1E">
              <w:rPr>
                <w:rFonts w:cs="Calibri"/>
                <w:color w:val="FFFFFF" w:themeColor="background1"/>
                <w:sz w:val="18"/>
                <w:szCs w:val="18"/>
              </w:rPr>
              <w:t xml:space="preserve">a prior period error </w:t>
            </w:r>
            <w:r w:rsidR="00175DEB" w:rsidRPr="00A05D1E">
              <w:rPr>
                <w:rFonts w:cs="Calibri"/>
                <w:color w:val="FFFFFF" w:themeColor="background1"/>
                <w:sz w:val="18"/>
                <w:szCs w:val="18"/>
              </w:rPr>
              <w:t>i</w:t>
            </w:r>
            <w:r w:rsidR="005E333B" w:rsidRPr="00A05D1E">
              <w:rPr>
                <w:rFonts w:cs="Calibri"/>
                <w:color w:val="FFFFFF" w:themeColor="background1"/>
                <w:sz w:val="18"/>
                <w:szCs w:val="18"/>
              </w:rPr>
              <w:t>s discovered in</w:t>
            </w:r>
            <w:r w:rsidR="00175DEB" w:rsidRPr="00A05D1E">
              <w:rPr>
                <w:rFonts w:cs="Calibri"/>
                <w:color w:val="FFFFFF" w:themeColor="background1"/>
                <w:sz w:val="18"/>
                <w:szCs w:val="18"/>
              </w:rPr>
              <w:t xml:space="preserve"> relation to a wavier or write-off, the</w:t>
            </w:r>
            <w:r w:rsidR="005E333B" w:rsidRPr="00A05D1E">
              <w:rPr>
                <w:rFonts w:cs="Calibri"/>
                <w:color w:val="FFFFFF" w:themeColor="background1"/>
                <w:sz w:val="18"/>
                <w:szCs w:val="18"/>
              </w:rPr>
              <w:t>n the error would have to be material by amount for a ‘</w:t>
            </w:r>
            <w:r w:rsidR="00175DEB" w:rsidRPr="00A05D1E">
              <w:rPr>
                <w:rFonts w:cs="Calibri"/>
                <w:color w:val="FFFFFF" w:themeColor="background1"/>
                <w:sz w:val="18"/>
                <w:szCs w:val="18"/>
              </w:rPr>
              <w:t>Change in Accounting Policy and Accounting Estimates, and Correction of a Prior Period Error</w:t>
            </w:r>
            <w:r w:rsidR="005E333B" w:rsidRPr="00A05D1E">
              <w:rPr>
                <w:rFonts w:cs="Calibri"/>
                <w:color w:val="FFFFFF" w:themeColor="background1"/>
                <w:sz w:val="18"/>
                <w:szCs w:val="18"/>
              </w:rPr>
              <w:t>’ Note disclosure to be warranted.</w:t>
            </w:r>
            <w:r w:rsidR="00FA7C77">
              <w:rPr>
                <w:rFonts w:cs="Calibri"/>
                <w:color w:val="FFFFFF" w:themeColor="background1"/>
                <w:sz w:val="18"/>
                <w:szCs w:val="18"/>
              </w:rPr>
              <w:t xml:space="preserve"> </w:t>
            </w:r>
          </w:p>
        </w:tc>
      </w:tr>
      <w:tr w:rsidR="00FF2606" w:rsidRPr="00F85282" w14:paraId="6E23CA24"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0ED5CA29"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7"/>
            <w:tcBorders>
              <w:left w:val="single" w:sz="4" w:space="0" w:color="auto"/>
            </w:tcBorders>
            <w:shd w:val="clear" w:color="auto" w:fill="7030A0"/>
          </w:tcPr>
          <w:p w14:paraId="3AB9349A" w14:textId="0EF21C85"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If an agency has waivers associated with a government policy, then the note should provide details </w:t>
            </w:r>
            <w:r w:rsidR="005E333B" w:rsidRPr="00A05D1E">
              <w:rPr>
                <w:rFonts w:cs="Calibri"/>
                <w:color w:val="FFFFFF" w:themeColor="background1"/>
                <w:sz w:val="18"/>
                <w:szCs w:val="18"/>
              </w:rPr>
              <w:t>of wa</w:t>
            </w:r>
            <w:r w:rsidR="00C94AC5" w:rsidRPr="00A05D1E">
              <w:rPr>
                <w:rFonts w:cs="Calibri"/>
                <w:color w:val="FFFFFF" w:themeColor="background1"/>
                <w:sz w:val="18"/>
                <w:szCs w:val="18"/>
              </w:rPr>
              <w:t>i</w:t>
            </w:r>
            <w:r w:rsidR="005E333B" w:rsidRPr="00A05D1E">
              <w:rPr>
                <w:rFonts w:cs="Calibri"/>
                <w:color w:val="FFFFFF" w:themeColor="background1"/>
                <w:sz w:val="18"/>
                <w:szCs w:val="18"/>
              </w:rPr>
              <w:t>v</w:t>
            </w:r>
            <w:r w:rsidR="00C94AC5" w:rsidRPr="00A05D1E">
              <w:rPr>
                <w:rFonts w:cs="Calibri"/>
                <w:color w:val="FFFFFF" w:themeColor="background1"/>
                <w:sz w:val="18"/>
                <w:szCs w:val="18"/>
              </w:rPr>
              <w:t>e</w:t>
            </w:r>
            <w:r w:rsidR="005E333B" w:rsidRPr="00A05D1E">
              <w:rPr>
                <w:rFonts w:cs="Calibri"/>
                <w:color w:val="FFFFFF" w:themeColor="background1"/>
                <w:sz w:val="18"/>
                <w:szCs w:val="18"/>
              </w:rPr>
              <w:t xml:space="preserve">rs </w:t>
            </w:r>
            <w:r w:rsidRPr="00A05D1E">
              <w:rPr>
                <w:rFonts w:cs="Calibri"/>
                <w:color w:val="FFFFFF" w:themeColor="background1"/>
                <w:sz w:val="18"/>
                <w:szCs w:val="18"/>
              </w:rPr>
              <w:t>by policy type.</w:t>
            </w:r>
            <w:r w:rsidR="00FA7C77">
              <w:rPr>
                <w:rFonts w:cs="Calibri"/>
                <w:color w:val="FFFFFF" w:themeColor="background1"/>
                <w:sz w:val="18"/>
                <w:szCs w:val="18"/>
              </w:rPr>
              <w:t xml:space="preserve"> </w:t>
            </w:r>
            <w:r w:rsidRPr="00A05D1E">
              <w:rPr>
                <w:rFonts w:cs="Calibri"/>
                <w:color w:val="FFFFFF" w:themeColor="background1"/>
                <w:sz w:val="18"/>
                <w:szCs w:val="18"/>
              </w:rPr>
              <w:t>Individual recipients of waivers should not be identified unless they have agreed to such disclosure.</w:t>
            </w:r>
          </w:p>
        </w:tc>
      </w:tr>
      <w:tr w:rsidR="00FF2606" w:rsidRPr="00F85282" w14:paraId="7D0867EA"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6E0EAA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43BE77D8" w14:textId="77777777" w:rsidR="00FF2606" w:rsidRPr="00A84CC0" w:rsidRDefault="00FF2606" w:rsidP="009A0F2F">
            <w:pPr>
              <w:pStyle w:val="CommentaryText"/>
              <w:spacing w:after="0"/>
              <w:rPr>
                <w:rFonts w:cs="Calibri"/>
                <w:b/>
                <w:color w:val="FFFFFF" w:themeColor="background1"/>
                <w:szCs w:val="20"/>
              </w:rPr>
            </w:pPr>
            <w:r w:rsidRPr="00A84CC0">
              <w:rPr>
                <w:rFonts w:cs="Calibri"/>
                <w:b/>
                <w:color w:val="FFFFFF" w:themeColor="background1"/>
                <w:szCs w:val="20"/>
              </w:rPr>
              <w:t xml:space="preserve">Losses or Deficiencies in Public Monies </w:t>
            </w:r>
          </w:p>
        </w:tc>
      </w:tr>
      <w:tr w:rsidR="00FF2606" w:rsidRPr="00F85282" w14:paraId="2A40551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65"/>
        </w:trPr>
        <w:tc>
          <w:tcPr>
            <w:tcW w:w="1564" w:type="dxa"/>
            <w:tcBorders>
              <w:left w:val="single" w:sz="4" w:space="0" w:color="auto"/>
              <w:right w:val="single" w:sz="4" w:space="0" w:color="auto"/>
            </w:tcBorders>
          </w:tcPr>
          <w:p w14:paraId="46878307"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7"/>
            <w:tcBorders>
              <w:left w:val="single" w:sz="4" w:space="0" w:color="auto"/>
            </w:tcBorders>
            <w:shd w:val="clear" w:color="auto" w:fill="7030A0"/>
          </w:tcPr>
          <w:p w14:paraId="57BA89AB" w14:textId="77777777" w:rsidR="00FF2606" w:rsidRPr="00A05D1E" w:rsidRDefault="00FF2606" w:rsidP="0013456C">
            <w:pPr>
              <w:pStyle w:val="CommentaryText"/>
              <w:spacing w:after="40"/>
              <w:rPr>
                <w:rFonts w:cs="Calibri"/>
                <w:color w:val="FFFFFF" w:themeColor="background1"/>
                <w:sz w:val="18"/>
                <w:szCs w:val="18"/>
              </w:rPr>
            </w:pPr>
            <w:r w:rsidRPr="00A05D1E">
              <w:rPr>
                <w:rFonts w:cs="Calibri"/>
                <w:color w:val="FFFFFF" w:themeColor="background1"/>
                <w:sz w:val="18"/>
                <w:szCs w:val="18"/>
              </w:rPr>
              <w:t>The ‘Losses or Deficiencies in Public Monies’ line item will include a number of different items including, but not limited to, the following:</w:t>
            </w:r>
          </w:p>
        </w:tc>
      </w:tr>
      <w:tr w:rsidR="00FF2606" w:rsidRPr="00F85282" w14:paraId="3F57BFCD"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65"/>
        </w:trPr>
        <w:tc>
          <w:tcPr>
            <w:tcW w:w="1564" w:type="dxa"/>
            <w:tcBorders>
              <w:left w:val="single" w:sz="4" w:space="0" w:color="auto"/>
              <w:right w:val="single" w:sz="4" w:space="0" w:color="auto"/>
            </w:tcBorders>
          </w:tcPr>
          <w:p w14:paraId="010C2EE4" w14:textId="77777777" w:rsidR="00FF2606" w:rsidRPr="00A05D1E" w:rsidRDefault="00FF2606" w:rsidP="009A0F2F">
            <w:pPr>
              <w:pStyle w:val="TableReference"/>
              <w:tabs>
                <w:tab w:val="left" w:pos="3306"/>
              </w:tabs>
              <w:spacing w:before="40"/>
              <w:rPr>
                <w:rFonts w:cs="Calibri"/>
                <w:color w:val="7030A0"/>
                <w:sz w:val="14"/>
              </w:rPr>
            </w:pPr>
          </w:p>
          <w:p w14:paraId="4B6F9FC4" w14:textId="77777777" w:rsidR="00FF2606" w:rsidRPr="00A05D1E" w:rsidRDefault="00FF2606" w:rsidP="009A0F2F">
            <w:pPr>
              <w:pStyle w:val="TableReference"/>
              <w:tabs>
                <w:tab w:val="left" w:pos="3306"/>
              </w:tabs>
              <w:spacing w:before="40"/>
              <w:rPr>
                <w:rFonts w:cs="Calibri"/>
                <w:color w:val="7030A0"/>
                <w:sz w:val="14"/>
              </w:rPr>
            </w:pPr>
          </w:p>
          <w:p w14:paraId="1451123A" w14:textId="77777777" w:rsidR="00FF2606" w:rsidRPr="00A05D1E" w:rsidRDefault="00FF2606" w:rsidP="009A0F2F">
            <w:pPr>
              <w:pStyle w:val="TableReference"/>
              <w:tabs>
                <w:tab w:val="left" w:pos="3306"/>
              </w:tabs>
              <w:spacing w:before="40"/>
              <w:rPr>
                <w:rFonts w:cs="Calibri"/>
                <w:color w:val="7030A0"/>
                <w:sz w:val="14"/>
              </w:rPr>
            </w:pPr>
          </w:p>
          <w:p w14:paraId="0534E8DB"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Chief Minister’s Annual Report Directions</w:t>
            </w:r>
          </w:p>
        </w:tc>
        <w:tc>
          <w:tcPr>
            <w:tcW w:w="8925" w:type="dxa"/>
            <w:gridSpan w:val="7"/>
            <w:tcBorders>
              <w:left w:val="single" w:sz="4" w:space="0" w:color="auto"/>
            </w:tcBorders>
            <w:shd w:val="clear" w:color="auto" w:fill="7030A0"/>
          </w:tcPr>
          <w:p w14:paraId="59D5CC5C" w14:textId="77777777" w:rsidR="00FF2606" w:rsidRPr="00A05D1E" w:rsidRDefault="00FF2606" w:rsidP="003173AE">
            <w:pPr>
              <w:pStyle w:val="CommentaryText"/>
              <w:numPr>
                <w:ilvl w:val="0"/>
                <w:numId w:val="28"/>
              </w:numPr>
              <w:spacing w:after="40"/>
              <w:ind w:left="604" w:hanging="498"/>
              <w:rPr>
                <w:rFonts w:cs="Calibri"/>
                <w:color w:val="FFFFFF" w:themeColor="background1"/>
                <w:sz w:val="18"/>
                <w:szCs w:val="18"/>
              </w:rPr>
            </w:pPr>
            <w:r w:rsidRPr="00A05D1E">
              <w:rPr>
                <w:rFonts w:cs="Calibri"/>
                <w:color w:val="FFFFFF" w:themeColor="background1"/>
                <w:sz w:val="18"/>
                <w:szCs w:val="18"/>
              </w:rPr>
              <w:t>decrease in monies due to fraud;</w:t>
            </w:r>
          </w:p>
          <w:p w14:paraId="7A0DC51A" w14:textId="77777777" w:rsidR="00FF2606" w:rsidRPr="00A05D1E" w:rsidRDefault="00FF2606" w:rsidP="003173AE">
            <w:pPr>
              <w:pStyle w:val="CommentaryText"/>
              <w:numPr>
                <w:ilvl w:val="0"/>
                <w:numId w:val="28"/>
              </w:numPr>
              <w:spacing w:after="40"/>
              <w:ind w:left="604" w:hanging="498"/>
              <w:rPr>
                <w:rFonts w:cs="Calibri"/>
                <w:color w:val="FFFFFF" w:themeColor="background1"/>
                <w:sz w:val="18"/>
                <w:szCs w:val="18"/>
              </w:rPr>
            </w:pPr>
            <w:r w:rsidRPr="00A05D1E">
              <w:rPr>
                <w:rFonts w:cs="Calibri"/>
                <w:color w:val="FFFFFF" w:themeColor="background1"/>
                <w:sz w:val="18"/>
                <w:szCs w:val="18"/>
              </w:rPr>
              <w:t>monies which cannot be accounted for; and</w:t>
            </w:r>
          </w:p>
          <w:p w14:paraId="7D4F74EC" w14:textId="77777777" w:rsidR="00FF2606" w:rsidRPr="00A05D1E" w:rsidRDefault="00FF2606" w:rsidP="003173AE">
            <w:pPr>
              <w:pStyle w:val="CommentaryText"/>
              <w:numPr>
                <w:ilvl w:val="0"/>
                <w:numId w:val="28"/>
              </w:numPr>
              <w:ind w:left="604" w:hanging="498"/>
              <w:rPr>
                <w:rFonts w:cs="Calibri"/>
                <w:color w:val="FFFFFF" w:themeColor="background1"/>
                <w:sz w:val="18"/>
                <w:szCs w:val="18"/>
              </w:rPr>
            </w:pPr>
            <w:r w:rsidRPr="00A05D1E">
              <w:rPr>
                <w:rFonts w:cs="Calibri"/>
                <w:color w:val="FFFFFF" w:themeColor="background1"/>
                <w:sz w:val="18"/>
                <w:szCs w:val="18"/>
              </w:rPr>
              <w:t>monies which have been lost.</w:t>
            </w:r>
          </w:p>
          <w:p w14:paraId="6C4572F3" w14:textId="77777777" w:rsidR="00FF2606" w:rsidRPr="00A05D1E" w:rsidRDefault="00FF2606" w:rsidP="009A0F2F">
            <w:pPr>
              <w:pStyle w:val="CommentaryText"/>
              <w:tabs>
                <w:tab w:val="left" w:pos="3306"/>
              </w:tabs>
              <w:rPr>
                <w:rFonts w:cs="Calibri"/>
                <w:color w:val="FFFFFF" w:themeColor="background1"/>
                <w:sz w:val="18"/>
                <w:szCs w:val="18"/>
              </w:rPr>
            </w:pPr>
            <w:r w:rsidRPr="00A05D1E">
              <w:rPr>
                <w:rFonts w:cs="Calibri"/>
                <w:color w:val="FFFFFF" w:themeColor="background1"/>
                <w:sz w:val="18"/>
                <w:szCs w:val="18"/>
              </w:rPr>
              <w:t xml:space="preserve">The Chief Minister’s Annual Report Directions requires further disclosure of fraud in the Annual Report. </w:t>
            </w:r>
          </w:p>
        </w:tc>
      </w:tr>
    </w:tbl>
    <w:p w14:paraId="470B39EF" w14:textId="77777777" w:rsidR="00F22D61" w:rsidRDefault="00F22D61">
      <w:r>
        <w:br w:type="page"/>
      </w:r>
    </w:p>
    <w:tbl>
      <w:tblPr>
        <w:tblW w:w="499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6091"/>
        <w:gridCol w:w="16"/>
        <w:gridCol w:w="1260"/>
        <w:gridCol w:w="44"/>
        <w:gridCol w:w="19"/>
        <w:gridCol w:w="1495"/>
        <w:gridCol w:w="53"/>
      </w:tblGrid>
      <w:tr w:rsidR="005C5553" w:rsidRPr="00CF7E1B" w14:paraId="4D426326" w14:textId="77777777" w:rsidTr="00D919F2">
        <w:trPr>
          <w:gridAfter w:val="1"/>
          <w:wAfter w:w="53" w:type="dxa"/>
          <w:cantSplit/>
          <w:trHeight w:val="882"/>
        </w:trPr>
        <w:tc>
          <w:tcPr>
            <w:tcW w:w="1564" w:type="dxa"/>
            <w:tcBorders>
              <w:top w:val="nil"/>
              <w:left w:val="single" w:sz="2" w:space="0" w:color="auto"/>
              <w:bottom w:val="nil"/>
              <w:right w:val="single" w:sz="2" w:space="0" w:color="auto"/>
            </w:tcBorders>
          </w:tcPr>
          <w:p w14:paraId="14D4FA7F" w14:textId="055FCB69" w:rsidR="005C5553" w:rsidRPr="00A05D1E" w:rsidRDefault="00CD4214" w:rsidP="005D3C33">
            <w:pPr>
              <w:pStyle w:val="TableReference"/>
              <w:tabs>
                <w:tab w:val="left" w:pos="3306"/>
              </w:tabs>
              <w:spacing w:before="240" w:after="240"/>
              <w:rPr>
                <w:rFonts w:asciiTheme="minorHAnsi" w:hAnsiTheme="minorHAnsi" w:cstheme="minorHAnsi"/>
                <w:b/>
                <w:color w:val="7030A0"/>
                <w:sz w:val="22"/>
                <w:szCs w:val="22"/>
              </w:rPr>
            </w:pPr>
            <w:r w:rsidRPr="00A05D1E">
              <w:rPr>
                <w:rFonts w:asciiTheme="minorHAnsi" w:hAnsiTheme="minorHAnsi" w:cstheme="minorHAnsi"/>
                <w:b/>
                <w:color w:val="7030A0"/>
                <w:sz w:val="22"/>
                <w:szCs w:val="22"/>
              </w:rPr>
              <w:t>Reference</w:t>
            </w:r>
          </w:p>
        </w:tc>
        <w:tc>
          <w:tcPr>
            <w:tcW w:w="8925" w:type="dxa"/>
            <w:gridSpan w:val="6"/>
            <w:tcBorders>
              <w:top w:val="nil"/>
              <w:left w:val="single" w:sz="2" w:space="0" w:color="auto"/>
              <w:bottom w:val="nil"/>
              <w:right w:val="nil"/>
            </w:tcBorders>
            <w:vAlign w:val="bottom"/>
          </w:tcPr>
          <w:p w14:paraId="499AA896" w14:textId="2E1FA5DE" w:rsidR="005C5553" w:rsidRPr="00A05D1E" w:rsidRDefault="00EE0C18" w:rsidP="006B468D">
            <w:pPr>
              <w:pStyle w:val="Heading1"/>
              <w:numPr>
                <w:ilvl w:val="0"/>
                <w:numId w:val="0"/>
              </w:numPr>
            </w:pPr>
            <w:bookmarkStart w:id="1066" w:name="_Toc49224358"/>
            <w:bookmarkStart w:id="1067" w:name="_Ref50365968"/>
            <w:bookmarkStart w:id="1068" w:name="_Toc50440435"/>
            <w:bookmarkStart w:id="1069" w:name="_Ref50524505"/>
            <w:bookmarkStart w:id="1070" w:name="_Toc223433231"/>
            <w:bookmarkStart w:id="1071" w:name="_Toc400627380"/>
            <w:bookmarkStart w:id="1072" w:name="TScashandcashequvilant"/>
            <w:bookmarkStart w:id="1073" w:name="_Toc132743849"/>
            <w:r w:rsidRPr="00A05D1E">
              <w:t xml:space="preserve">Note </w:t>
            </w:r>
            <w:r w:rsidR="003C6503" w:rsidRPr="00A05D1E">
              <w:t>4</w:t>
            </w:r>
            <w:r w:rsidR="00E86853" w:rsidRPr="00A05D1E">
              <w:t>6</w:t>
            </w:r>
            <w:r w:rsidR="005C5553" w:rsidRPr="00A05D1E">
              <w:t>.</w:t>
            </w:r>
            <w:r w:rsidR="00FA7C77">
              <w:t xml:space="preserve"> </w:t>
            </w:r>
            <w:r w:rsidRPr="00A05D1E">
              <w:t xml:space="preserve"> </w:t>
            </w:r>
            <w:r w:rsidR="005C5553" w:rsidRPr="00A05D1E">
              <w:t xml:space="preserve">Cash and </w:t>
            </w:r>
            <w:r w:rsidR="00313BCC" w:rsidRPr="00A05D1E">
              <w:t>Investments</w:t>
            </w:r>
            <w:r w:rsidR="005C5553" w:rsidRPr="00A05D1E">
              <w:t xml:space="preserve"> – T</w:t>
            </w:r>
            <w:r w:rsidRPr="00A05D1E">
              <w:t>erritorial</w:t>
            </w:r>
            <w:bookmarkEnd w:id="1066"/>
            <w:bookmarkEnd w:id="1067"/>
            <w:bookmarkEnd w:id="1068"/>
            <w:bookmarkEnd w:id="1069"/>
            <w:bookmarkEnd w:id="1070"/>
            <w:bookmarkEnd w:id="1071"/>
            <w:bookmarkEnd w:id="1072"/>
            <w:bookmarkEnd w:id="1073"/>
          </w:p>
        </w:tc>
      </w:tr>
      <w:tr w:rsidR="009E2543" w:rsidRPr="00CF7E1B" w14:paraId="355B34A8"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51057F6D"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6"/>
            <w:tcBorders>
              <w:top w:val="nil"/>
              <w:left w:val="single" w:sz="2" w:space="0" w:color="auto"/>
              <w:bottom w:val="nil"/>
              <w:right w:val="nil"/>
            </w:tcBorders>
          </w:tcPr>
          <w:p w14:paraId="5AF648FF" w14:textId="200477F4" w:rsidR="009E2543" w:rsidRPr="00A05D1E" w:rsidRDefault="006E4DBA" w:rsidP="009E2543">
            <w:pPr>
              <w:pStyle w:val="TableText"/>
              <w:rPr>
                <w:rFonts w:cs="Calibri"/>
              </w:rPr>
            </w:pPr>
            <w:r w:rsidRPr="00A05D1E">
              <w:rPr>
                <w:rFonts w:cs="Calibri"/>
                <w:b/>
                <w:bCs/>
              </w:rPr>
              <w:t>Description and Material Accounting Policies Relating to Cash and Investment</w:t>
            </w:r>
            <w:r w:rsidR="000610F9" w:rsidRPr="00A05D1E">
              <w:rPr>
                <w:rFonts w:cs="Calibri"/>
                <w:b/>
                <w:bCs/>
              </w:rPr>
              <w:t xml:space="preserve"> - Territorial</w:t>
            </w:r>
          </w:p>
        </w:tc>
      </w:tr>
      <w:tr w:rsidR="009E2543" w:rsidRPr="00CF7E1B" w14:paraId="6453ABC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71AE7462"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6"/>
            <w:tcBorders>
              <w:top w:val="nil"/>
              <w:left w:val="single" w:sz="2" w:space="0" w:color="auto"/>
              <w:bottom w:val="nil"/>
              <w:right w:val="nil"/>
            </w:tcBorders>
          </w:tcPr>
          <w:p w14:paraId="5EF7D282" w14:textId="496E288D" w:rsidR="009E2543" w:rsidRPr="00A05D1E" w:rsidRDefault="009E2543" w:rsidP="009E2543">
            <w:pPr>
              <w:pStyle w:val="TableText"/>
              <w:rPr>
                <w:rFonts w:cs="Calibri"/>
                <w:b/>
                <w:bCs/>
              </w:rPr>
            </w:pPr>
            <w:r w:rsidRPr="00A05D1E">
              <w:rPr>
                <w:rFonts w:cs="Calibri"/>
              </w:rPr>
              <w:t xml:space="preserve">Under </w:t>
            </w:r>
            <w:r w:rsidR="00EC2EBB" w:rsidRPr="00A05D1E">
              <w:rPr>
                <w:rFonts w:cs="Calibri"/>
              </w:rPr>
              <w:t xml:space="preserve">the </w:t>
            </w:r>
            <w:r w:rsidRPr="00A05D1E">
              <w:rPr>
                <w:rFonts w:cs="Calibri"/>
              </w:rPr>
              <w:t xml:space="preserve">whole-of-government banking arrangements, </w:t>
            </w:r>
            <w:r w:rsidR="00EC2EBB" w:rsidRPr="00A05D1E">
              <w:rPr>
                <w:rFonts w:cs="Calibri"/>
              </w:rPr>
              <w:t xml:space="preserve">given the agency holds a Set-Off Bank account, </w:t>
            </w:r>
            <w:r w:rsidRPr="00A05D1E">
              <w:rPr>
                <w:rFonts w:cs="Calibri"/>
              </w:rPr>
              <w:t xml:space="preserve">interest is not earned on </w:t>
            </w:r>
            <w:r w:rsidR="00EC2EBB" w:rsidRPr="00A05D1E">
              <w:rPr>
                <w:rFonts w:cs="Calibri"/>
              </w:rPr>
              <w:t>‘</w:t>
            </w:r>
            <w:r w:rsidR="00EC2EBB" w:rsidRPr="00A05D1E">
              <w:t>Deposits Held at Call with a Financial Institution’</w:t>
            </w:r>
            <w:r w:rsidRPr="00A05D1E">
              <w:rPr>
                <w:rFonts w:cs="Calibri"/>
              </w:rPr>
              <w:t>.</w:t>
            </w:r>
          </w:p>
        </w:tc>
      </w:tr>
      <w:tr w:rsidR="005C5553" w:rsidRPr="00CF7E1B" w14:paraId="7D822708"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06E28EC9" w14:textId="77777777" w:rsidR="005C5553" w:rsidRPr="00A05D1E" w:rsidRDefault="005C5553"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3C8C70AA" w14:textId="77777777" w:rsidR="005C5553" w:rsidRPr="00A05D1E" w:rsidRDefault="005C5553" w:rsidP="00DA1174">
            <w:pPr>
              <w:pStyle w:val="TableText"/>
              <w:tabs>
                <w:tab w:val="left" w:pos="3306"/>
              </w:tabs>
              <w:rPr>
                <w:rFonts w:cs="Calibri"/>
              </w:rPr>
            </w:pPr>
          </w:p>
        </w:tc>
        <w:tc>
          <w:tcPr>
            <w:tcW w:w="1276" w:type="dxa"/>
            <w:gridSpan w:val="2"/>
            <w:tcBorders>
              <w:top w:val="nil"/>
              <w:left w:val="nil"/>
              <w:bottom w:val="nil"/>
              <w:right w:val="nil"/>
            </w:tcBorders>
            <w:vAlign w:val="bottom"/>
          </w:tcPr>
          <w:p w14:paraId="72CAF3B6" w14:textId="351CA46A" w:rsidR="005C5553" w:rsidRPr="00A05D1E" w:rsidRDefault="006C26C2" w:rsidP="005709FA">
            <w:pPr>
              <w:pStyle w:val="TableText"/>
              <w:jc w:val="right"/>
              <w:rPr>
                <w:rFonts w:cs="Calibri"/>
                <w:b/>
                <w:bCs/>
              </w:rPr>
            </w:pPr>
            <w:r w:rsidRPr="00A05D1E">
              <w:rPr>
                <w:rFonts w:cs="Calibri"/>
                <w:b/>
                <w:bCs/>
              </w:rPr>
              <w:t>202</w:t>
            </w:r>
            <w:r w:rsidR="008C14CA">
              <w:rPr>
                <w:rFonts w:cs="Calibri"/>
                <w:b/>
                <w:bCs/>
              </w:rPr>
              <w:t>3</w:t>
            </w:r>
            <w:r w:rsidR="005C5553" w:rsidRPr="00A05D1E">
              <w:rPr>
                <w:rFonts w:cs="Calibri"/>
                <w:b/>
                <w:bCs/>
              </w:rPr>
              <w:t xml:space="preserve"> </w:t>
            </w:r>
          </w:p>
          <w:p w14:paraId="6EF471AB" w14:textId="77777777" w:rsidR="005C5553" w:rsidRPr="00A05D1E" w:rsidRDefault="005C5553" w:rsidP="005709FA">
            <w:pPr>
              <w:pStyle w:val="TableText"/>
              <w:jc w:val="right"/>
              <w:rPr>
                <w:rFonts w:cs="Calibri"/>
                <w:b/>
                <w:bCs/>
              </w:rPr>
            </w:pPr>
            <w:r w:rsidRPr="00A05D1E">
              <w:rPr>
                <w:rFonts w:cs="Calibri"/>
                <w:b/>
                <w:bCs/>
              </w:rPr>
              <w:t>$’000</w:t>
            </w:r>
          </w:p>
        </w:tc>
        <w:tc>
          <w:tcPr>
            <w:tcW w:w="1558" w:type="dxa"/>
            <w:gridSpan w:val="3"/>
            <w:tcBorders>
              <w:top w:val="nil"/>
              <w:left w:val="nil"/>
              <w:bottom w:val="nil"/>
              <w:right w:val="nil"/>
            </w:tcBorders>
            <w:vAlign w:val="bottom"/>
          </w:tcPr>
          <w:p w14:paraId="0CA2B03A" w14:textId="68D8C7FB" w:rsidR="00B03210" w:rsidRPr="0009580B" w:rsidRDefault="005709FA" w:rsidP="005709FA">
            <w:pPr>
              <w:pStyle w:val="TableText"/>
              <w:jc w:val="right"/>
              <w:rPr>
                <w:rFonts w:cs="Calibri"/>
                <w:b/>
                <w:bCs/>
              </w:rPr>
            </w:pPr>
            <w:r w:rsidRPr="00A05D1E">
              <w:rPr>
                <w:rFonts w:cs="Calibri"/>
                <w:b/>
                <w:bCs/>
              </w:rPr>
              <w:t>202</w:t>
            </w:r>
            <w:r w:rsidR="008C14CA">
              <w:rPr>
                <w:rFonts w:cs="Calibri"/>
                <w:b/>
                <w:bCs/>
              </w:rPr>
              <w:t>2</w:t>
            </w:r>
          </w:p>
          <w:p w14:paraId="16E22A6C" w14:textId="0348763F" w:rsidR="005C5553" w:rsidRPr="00A05D1E" w:rsidRDefault="005C5553" w:rsidP="005709FA">
            <w:pPr>
              <w:pStyle w:val="TableText"/>
              <w:jc w:val="right"/>
              <w:rPr>
                <w:rFonts w:cs="Calibri"/>
                <w:b/>
                <w:bCs/>
              </w:rPr>
            </w:pPr>
            <w:r w:rsidRPr="00A05D1E">
              <w:rPr>
                <w:rFonts w:cs="Calibri"/>
                <w:b/>
                <w:bCs/>
              </w:rPr>
              <w:t>$’000</w:t>
            </w:r>
          </w:p>
        </w:tc>
      </w:tr>
      <w:tr w:rsidR="008B46D1" w:rsidRPr="00CF7E1B" w14:paraId="6CEC2F5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2C0F1265" w14:textId="77777777" w:rsidR="008B46D1" w:rsidRPr="00A05D1E" w:rsidRDefault="008B46D1"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59417C7D" w14:textId="0DC317A8" w:rsidR="008B46D1" w:rsidRPr="00A05D1E" w:rsidRDefault="008B46D1" w:rsidP="008B46D1">
            <w:pPr>
              <w:pStyle w:val="TableText"/>
              <w:tabs>
                <w:tab w:val="left" w:pos="3306"/>
              </w:tabs>
              <w:spacing w:after="120"/>
              <w:rPr>
                <w:rFonts w:cs="Calibri"/>
              </w:rPr>
            </w:pPr>
            <w:r w:rsidRPr="00D6550C">
              <w:rPr>
                <w:rFonts w:cs="Calibri"/>
                <w:b/>
                <w:bCs/>
              </w:rPr>
              <w:t>(a) Cash and Investment Balances</w:t>
            </w:r>
          </w:p>
        </w:tc>
        <w:tc>
          <w:tcPr>
            <w:tcW w:w="1276" w:type="dxa"/>
            <w:gridSpan w:val="2"/>
            <w:tcBorders>
              <w:top w:val="nil"/>
              <w:left w:val="nil"/>
              <w:bottom w:val="nil"/>
              <w:right w:val="nil"/>
            </w:tcBorders>
            <w:vAlign w:val="bottom"/>
          </w:tcPr>
          <w:p w14:paraId="4051BDE9" w14:textId="77777777" w:rsidR="008B46D1" w:rsidRPr="00A05D1E" w:rsidRDefault="008B46D1" w:rsidP="005709FA">
            <w:pPr>
              <w:pStyle w:val="TableText"/>
              <w:jc w:val="right"/>
              <w:rPr>
                <w:rFonts w:cs="Calibri"/>
                <w:b/>
                <w:bCs/>
              </w:rPr>
            </w:pPr>
          </w:p>
        </w:tc>
        <w:tc>
          <w:tcPr>
            <w:tcW w:w="1558" w:type="dxa"/>
            <w:gridSpan w:val="3"/>
            <w:tcBorders>
              <w:top w:val="nil"/>
              <w:left w:val="nil"/>
              <w:bottom w:val="nil"/>
              <w:right w:val="nil"/>
            </w:tcBorders>
            <w:vAlign w:val="bottom"/>
          </w:tcPr>
          <w:p w14:paraId="1AEF646B" w14:textId="77777777" w:rsidR="008B46D1" w:rsidRPr="00A05D1E" w:rsidRDefault="008B46D1" w:rsidP="005709FA">
            <w:pPr>
              <w:pStyle w:val="TableText"/>
              <w:jc w:val="right"/>
              <w:rPr>
                <w:rFonts w:cs="Calibri"/>
                <w:b/>
                <w:bCs/>
              </w:rPr>
            </w:pPr>
          </w:p>
        </w:tc>
      </w:tr>
      <w:tr w:rsidR="00313BCC" w:rsidRPr="00CF7E1B" w14:paraId="2FDE05D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65291794"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747A8226" w14:textId="6FFC4B4C" w:rsidR="00313BCC" w:rsidRPr="00A05D1E" w:rsidRDefault="00313BCC" w:rsidP="00DA1174">
            <w:pPr>
              <w:pStyle w:val="TableText"/>
              <w:tabs>
                <w:tab w:val="left" w:pos="3306"/>
              </w:tabs>
              <w:rPr>
                <w:rFonts w:cs="Calibri"/>
              </w:rPr>
            </w:pPr>
            <w:r w:rsidRPr="00A05D1E">
              <w:rPr>
                <w:rFonts w:cs="Calibri"/>
                <w:b/>
                <w:bCs/>
              </w:rPr>
              <w:t>Cash and Investme</w:t>
            </w:r>
            <w:r w:rsidR="008D3C9F" w:rsidRPr="00A05D1E">
              <w:rPr>
                <w:rFonts w:cs="Calibri"/>
                <w:b/>
                <w:bCs/>
              </w:rPr>
              <w:t>n</w:t>
            </w:r>
            <w:r w:rsidRPr="00A05D1E">
              <w:rPr>
                <w:rFonts w:cs="Calibri"/>
                <w:b/>
                <w:bCs/>
              </w:rPr>
              <w:t>ts</w:t>
            </w:r>
          </w:p>
        </w:tc>
        <w:tc>
          <w:tcPr>
            <w:tcW w:w="1276" w:type="dxa"/>
            <w:gridSpan w:val="2"/>
            <w:tcBorders>
              <w:top w:val="nil"/>
              <w:left w:val="nil"/>
              <w:bottom w:val="nil"/>
              <w:right w:val="nil"/>
            </w:tcBorders>
            <w:vAlign w:val="bottom"/>
          </w:tcPr>
          <w:p w14:paraId="1ADFCF89" w14:textId="77777777" w:rsidR="00313BCC" w:rsidRPr="00A05D1E" w:rsidRDefault="00313BCC" w:rsidP="005709FA">
            <w:pPr>
              <w:pStyle w:val="TableText"/>
              <w:jc w:val="right"/>
              <w:rPr>
                <w:rFonts w:cs="Calibri"/>
                <w:b/>
                <w:bCs/>
              </w:rPr>
            </w:pPr>
          </w:p>
        </w:tc>
        <w:tc>
          <w:tcPr>
            <w:tcW w:w="1558" w:type="dxa"/>
            <w:gridSpan w:val="3"/>
            <w:tcBorders>
              <w:top w:val="nil"/>
              <w:left w:val="nil"/>
              <w:bottom w:val="nil"/>
              <w:right w:val="nil"/>
            </w:tcBorders>
            <w:vAlign w:val="bottom"/>
          </w:tcPr>
          <w:p w14:paraId="17298B9F" w14:textId="77777777" w:rsidR="00313BCC" w:rsidRPr="00A05D1E" w:rsidRDefault="00313BCC" w:rsidP="005709FA">
            <w:pPr>
              <w:pStyle w:val="TableText"/>
              <w:jc w:val="right"/>
              <w:rPr>
                <w:rFonts w:cs="Calibri"/>
                <w:b/>
                <w:bCs/>
              </w:rPr>
            </w:pPr>
          </w:p>
        </w:tc>
      </w:tr>
      <w:tr w:rsidR="00313BCC" w:rsidRPr="00CF7E1B" w14:paraId="6B13C83C"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20EFA08B"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3EEACB2" w14:textId="06E56A52" w:rsidR="00313BCC" w:rsidRPr="00A05D1E" w:rsidRDefault="00313BCC" w:rsidP="00DA1174">
            <w:pPr>
              <w:pStyle w:val="TableText"/>
              <w:tabs>
                <w:tab w:val="left" w:pos="3306"/>
              </w:tabs>
              <w:rPr>
                <w:rFonts w:cs="Calibri"/>
                <w:b/>
                <w:bCs/>
              </w:rPr>
            </w:pPr>
            <w:r w:rsidRPr="00A05D1E">
              <w:rPr>
                <w:rFonts w:cs="Calibri"/>
                <w:b/>
                <w:bCs/>
              </w:rPr>
              <w:t>Cash and Cash Equivalents</w:t>
            </w:r>
          </w:p>
        </w:tc>
        <w:tc>
          <w:tcPr>
            <w:tcW w:w="1276" w:type="dxa"/>
            <w:gridSpan w:val="2"/>
            <w:tcBorders>
              <w:top w:val="nil"/>
              <w:left w:val="nil"/>
              <w:bottom w:val="nil"/>
              <w:right w:val="nil"/>
            </w:tcBorders>
            <w:vAlign w:val="bottom"/>
          </w:tcPr>
          <w:p w14:paraId="1663E4FC" w14:textId="77777777" w:rsidR="00313BCC" w:rsidRPr="00A05D1E" w:rsidRDefault="00313BCC" w:rsidP="005709FA">
            <w:pPr>
              <w:pStyle w:val="TableText"/>
              <w:jc w:val="right"/>
              <w:rPr>
                <w:rFonts w:cs="Calibri"/>
                <w:b/>
                <w:bCs/>
              </w:rPr>
            </w:pPr>
          </w:p>
        </w:tc>
        <w:tc>
          <w:tcPr>
            <w:tcW w:w="1558" w:type="dxa"/>
            <w:gridSpan w:val="3"/>
            <w:tcBorders>
              <w:top w:val="nil"/>
              <w:left w:val="nil"/>
              <w:bottom w:val="nil"/>
              <w:right w:val="nil"/>
            </w:tcBorders>
            <w:vAlign w:val="bottom"/>
          </w:tcPr>
          <w:p w14:paraId="1154537E" w14:textId="77777777" w:rsidR="00313BCC" w:rsidRPr="00A05D1E" w:rsidRDefault="00313BCC" w:rsidP="005709FA">
            <w:pPr>
              <w:pStyle w:val="TableText"/>
              <w:jc w:val="right"/>
              <w:rPr>
                <w:rFonts w:cs="Calibri"/>
                <w:b/>
                <w:bCs/>
              </w:rPr>
            </w:pPr>
          </w:p>
        </w:tc>
      </w:tr>
      <w:tr w:rsidR="005C5553" w:rsidRPr="00CF7E1B" w14:paraId="133003C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052047C9"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426E9075" w14:textId="77777777" w:rsidR="005C5553" w:rsidRPr="00A05D1E" w:rsidRDefault="005C5553" w:rsidP="00863311">
            <w:pPr>
              <w:pStyle w:val="TableText"/>
              <w:tabs>
                <w:tab w:val="left" w:pos="3306"/>
              </w:tabs>
              <w:rPr>
                <w:rFonts w:cs="Calibri"/>
              </w:rPr>
            </w:pPr>
            <w:r w:rsidRPr="00A05D1E">
              <w:rPr>
                <w:rFonts w:cs="Calibri"/>
              </w:rPr>
              <w:t>Cash on Hand</w:t>
            </w:r>
          </w:p>
        </w:tc>
        <w:tc>
          <w:tcPr>
            <w:tcW w:w="1276" w:type="dxa"/>
            <w:gridSpan w:val="2"/>
            <w:tcBorders>
              <w:top w:val="nil"/>
              <w:left w:val="nil"/>
              <w:bottom w:val="nil"/>
              <w:right w:val="nil"/>
            </w:tcBorders>
            <w:vAlign w:val="bottom"/>
          </w:tcPr>
          <w:p w14:paraId="26A8B950" w14:textId="4D8DDEEB" w:rsidR="005C5553" w:rsidRPr="00A05D1E" w:rsidRDefault="005C5553" w:rsidP="00863311">
            <w:pPr>
              <w:pStyle w:val="TableText"/>
              <w:tabs>
                <w:tab w:val="left" w:pos="3306"/>
              </w:tabs>
              <w:jc w:val="right"/>
              <w:rPr>
                <w:rFonts w:cs="Calibri"/>
              </w:rPr>
            </w:pPr>
          </w:p>
        </w:tc>
        <w:tc>
          <w:tcPr>
            <w:tcW w:w="1558" w:type="dxa"/>
            <w:gridSpan w:val="3"/>
            <w:tcBorders>
              <w:top w:val="nil"/>
              <w:left w:val="nil"/>
              <w:bottom w:val="nil"/>
              <w:right w:val="nil"/>
            </w:tcBorders>
            <w:vAlign w:val="bottom"/>
          </w:tcPr>
          <w:p w14:paraId="31D9FF9D" w14:textId="7C25B496" w:rsidR="005C5553" w:rsidRPr="00A05D1E" w:rsidRDefault="005C5553" w:rsidP="00863311">
            <w:pPr>
              <w:pStyle w:val="TableText"/>
              <w:tabs>
                <w:tab w:val="left" w:pos="3306"/>
              </w:tabs>
              <w:jc w:val="right"/>
              <w:rPr>
                <w:rFonts w:cs="Calibri"/>
              </w:rPr>
            </w:pPr>
          </w:p>
        </w:tc>
      </w:tr>
      <w:tr w:rsidR="005C5553" w:rsidRPr="00CF7E1B" w14:paraId="1D81C87A"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340E9A2D"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F3D8DDC" w14:textId="719D9C83" w:rsidR="005C5553" w:rsidRPr="00A05D1E" w:rsidRDefault="005C162A" w:rsidP="00863311">
            <w:pPr>
              <w:pStyle w:val="TableText"/>
              <w:tabs>
                <w:tab w:val="left" w:pos="3306"/>
              </w:tabs>
              <w:rPr>
                <w:rFonts w:cs="Calibri"/>
                <w:strike/>
              </w:rPr>
            </w:pPr>
            <w:r w:rsidRPr="00A05D1E">
              <w:t>Deposits Held at Call with a Financial Institution</w:t>
            </w:r>
          </w:p>
        </w:tc>
        <w:tc>
          <w:tcPr>
            <w:tcW w:w="1276" w:type="dxa"/>
            <w:gridSpan w:val="2"/>
            <w:tcBorders>
              <w:top w:val="nil"/>
              <w:left w:val="nil"/>
              <w:bottom w:val="single" w:sz="2" w:space="0" w:color="auto"/>
              <w:right w:val="nil"/>
            </w:tcBorders>
            <w:vAlign w:val="bottom"/>
          </w:tcPr>
          <w:p w14:paraId="6777FEC5" w14:textId="6348CE0B" w:rsidR="005C5553" w:rsidRPr="00A05D1E" w:rsidRDefault="005C5553" w:rsidP="00863311">
            <w:pPr>
              <w:pStyle w:val="TableText"/>
              <w:tabs>
                <w:tab w:val="left" w:pos="3306"/>
              </w:tabs>
              <w:jc w:val="right"/>
              <w:rPr>
                <w:rFonts w:cs="Calibri"/>
              </w:rPr>
            </w:pPr>
          </w:p>
        </w:tc>
        <w:tc>
          <w:tcPr>
            <w:tcW w:w="1558" w:type="dxa"/>
            <w:gridSpan w:val="3"/>
            <w:tcBorders>
              <w:top w:val="nil"/>
              <w:left w:val="nil"/>
              <w:bottom w:val="single" w:sz="2" w:space="0" w:color="auto"/>
              <w:right w:val="nil"/>
            </w:tcBorders>
            <w:vAlign w:val="bottom"/>
          </w:tcPr>
          <w:p w14:paraId="0175C135" w14:textId="56ADC419" w:rsidR="005C5553" w:rsidRPr="00A05D1E" w:rsidRDefault="005C5553" w:rsidP="00863311">
            <w:pPr>
              <w:pStyle w:val="TableText"/>
              <w:tabs>
                <w:tab w:val="left" w:pos="3306"/>
              </w:tabs>
              <w:jc w:val="right"/>
              <w:rPr>
                <w:rFonts w:cs="Calibri"/>
              </w:rPr>
            </w:pPr>
          </w:p>
        </w:tc>
      </w:tr>
      <w:tr w:rsidR="005C5553" w:rsidRPr="00CF7E1B" w14:paraId="4F0FCFE5" w14:textId="77777777" w:rsidTr="003C5D97">
        <w:trPr>
          <w:gridAfter w:val="1"/>
          <w:wAfter w:w="53" w:type="dxa"/>
          <w:cantSplit/>
          <w:trHeight w:val="23"/>
        </w:trPr>
        <w:tc>
          <w:tcPr>
            <w:tcW w:w="1564" w:type="dxa"/>
            <w:tcBorders>
              <w:top w:val="nil"/>
              <w:left w:val="single" w:sz="2" w:space="0" w:color="auto"/>
              <w:bottom w:val="nil"/>
              <w:right w:val="single" w:sz="2" w:space="0" w:color="auto"/>
            </w:tcBorders>
          </w:tcPr>
          <w:p w14:paraId="16F4A8F8"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4302FD5C" w14:textId="77777777" w:rsidR="005C5553" w:rsidRPr="00A05D1E" w:rsidRDefault="005C5553" w:rsidP="00863311">
            <w:pPr>
              <w:pStyle w:val="TableText"/>
              <w:tabs>
                <w:tab w:val="left" w:pos="3306"/>
              </w:tabs>
              <w:rPr>
                <w:rFonts w:cs="Calibri"/>
                <w:b/>
                <w:bCs/>
              </w:rPr>
            </w:pPr>
            <w:r w:rsidRPr="00A05D1E">
              <w:rPr>
                <w:rFonts w:cs="Calibri"/>
                <w:b/>
                <w:bCs/>
              </w:rPr>
              <w:t>Total Cash and Cash Equivalents</w:t>
            </w:r>
          </w:p>
        </w:tc>
        <w:tc>
          <w:tcPr>
            <w:tcW w:w="1276" w:type="dxa"/>
            <w:gridSpan w:val="2"/>
            <w:tcBorders>
              <w:top w:val="single" w:sz="2" w:space="0" w:color="auto"/>
              <w:left w:val="nil"/>
              <w:bottom w:val="single" w:sz="2" w:space="0" w:color="auto"/>
              <w:right w:val="nil"/>
            </w:tcBorders>
            <w:vAlign w:val="bottom"/>
          </w:tcPr>
          <w:p w14:paraId="64BE8AA6" w14:textId="7F7BE287" w:rsidR="005C5553" w:rsidRPr="00A05D1E" w:rsidRDefault="005C5553" w:rsidP="00863311">
            <w:pPr>
              <w:pStyle w:val="TableText"/>
              <w:tabs>
                <w:tab w:val="left" w:pos="3306"/>
              </w:tabs>
              <w:jc w:val="right"/>
              <w:rPr>
                <w:rFonts w:cs="Calibri"/>
                <w:b/>
                <w:bCs/>
              </w:rPr>
            </w:pPr>
          </w:p>
        </w:tc>
        <w:tc>
          <w:tcPr>
            <w:tcW w:w="1558" w:type="dxa"/>
            <w:gridSpan w:val="3"/>
            <w:tcBorders>
              <w:top w:val="single" w:sz="2" w:space="0" w:color="auto"/>
              <w:left w:val="nil"/>
              <w:bottom w:val="single" w:sz="2" w:space="0" w:color="auto"/>
              <w:right w:val="nil"/>
            </w:tcBorders>
            <w:vAlign w:val="bottom"/>
          </w:tcPr>
          <w:p w14:paraId="7CD9EAC0" w14:textId="7B156977" w:rsidR="005C5553" w:rsidRPr="00A05D1E" w:rsidRDefault="005C5553" w:rsidP="00863311">
            <w:pPr>
              <w:pStyle w:val="TableText"/>
              <w:tabs>
                <w:tab w:val="left" w:pos="3306"/>
              </w:tabs>
              <w:jc w:val="right"/>
              <w:rPr>
                <w:rFonts w:cs="Calibri"/>
                <w:b/>
                <w:bCs/>
              </w:rPr>
            </w:pPr>
          </w:p>
        </w:tc>
      </w:tr>
      <w:tr w:rsidR="00313BCC" w:rsidRPr="00CF7E1B" w14:paraId="1B3CCE50" w14:textId="77777777" w:rsidTr="003C5D97">
        <w:trPr>
          <w:gridAfter w:val="1"/>
          <w:wAfter w:w="53" w:type="dxa"/>
          <w:cantSplit/>
          <w:trHeight w:val="23"/>
        </w:trPr>
        <w:tc>
          <w:tcPr>
            <w:tcW w:w="1564" w:type="dxa"/>
            <w:tcBorders>
              <w:top w:val="nil"/>
              <w:left w:val="single" w:sz="2" w:space="0" w:color="auto"/>
              <w:bottom w:val="nil"/>
              <w:right w:val="single" w:sz="2" w:space="0" w:color="auto"/>
            </w:tcBorders>
          </w:tcPr>
          <w:p w14:paraId="17A4DB07" w14:textId="77777777" w:rsidR="00313BCC" w:rsidRPr="00A05D1E" w:rsidRDefault="00313BCC"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A7354CA" w14:textId="719FDDA1" w:rsidR="00313BCC" w:rsidRPr="00A05D1E" w:rsidRDefault="00313BCC" w:rsidP="00863311">
            <w:pPr>
              <w:pStyle w:val="TableText"/>
              <w:tabs>
                <w:tab w:val="left" w:pos="3306"/>
              </w:tabs>
              <w:rPr>
                <w:rFonts w:cs="Calibri"/>
                <w:b/>
                <w:bCs/>
              </w:rPr>
            </w:pPr>
            <w:r w:rsidRPr="00A05D1E">
              <w:rPr>
                <w:rFonts w:cs="Calibri"/>
                <w:b/>
                <w:bCs/>
              </w:rPr>
              <w:t>Total Cash and Investme</w:t>
            </w:r>
            <w:r w:rsidR="006246E6" w:rsidRPr="00A05D1E">
              <w:rPr>
                <w:rFonts w:cs="Calibri"/>
                <w:b/>
                <w:bCs/>
              </w:rPr>
              <w:t>nt</w:t>
            </w:r>
            <w:r w:rsidRPr="00A05D1E">
              <w:rPr>
                <w:rFonts w:cs="Calibri"/>
                <w:b/>
                <w:bCs/>
              </w:rPr>
              <w:t>s</w:t>
            </w:r>
          </w:p>
        </w:tc>
        <w:tc>
          <w:tcPr>
            <w:tcW w:w="1276" w:type="dxa"/>
            <w:gridSpan w:val="2"/>
            <w:tcBorders>
              <w:top w:val="single" w:sz="2" w:space="0" w:color="auto"/>
              <w:left w:val="nil"/>
              <w:bottom w:val="double" w:sz="4" w:space="0" w:color="auto"/>
              <w:right w:val="nil"/>
            </w:tcBorders>
            <w:vAlign w:val="bottom"/>
          </w:tcPr>
          <w:p w14:paraId="25889A88" w14:textId="77777777" w:rsidR="00313BCC" w:rsidRPr="00A05D1E" w:rsidRDefault="00313BCC" w:rsidP="00863311">
            <w:pPr>
              <w:pStyle w:val="TableText"/>
              <w:tabs>
                <w:tab w:val="left" w:pos="3306"/>
              </w:tabs>
              <w:jc w:val="right"/>
              <w:rPr>
                <w:rFonts w:cs="Calibri"/>
              </w:rPr>
            </w:pPr>
          </w:p>
        </w:tc>
        <w:tc>
          <w:tcPr>
            <w:tcW w:w="1558" w:type="dxa"/>
            <w:gridSpan w:val="3"/>
            <w:tcBorders>
              <w:top w:val="single" w:sz="2" w:space="0" w:color="auto"/>
              <w:left w:val="nil"/>
              <w:bottom w:val="double" w:sz="4" w:space="0" w:color="auto"/>
              <w:right w:val="nil"/>
            </w:tcBorders>
            <w:vAlign w:val="bottom"/>
          </w:tcPr>
          <w:p w14:paraId="049D2262" w14:textId="77777777" w:rsidR="00313BCC" w:rsidRPr="00A05D1E" w:rsidRDefault="00313BCC" w:rsidP="00863311">
            <w:pPr>
              <w:pStyle w:val="TableText"/>
              <w:tabs>
                <w:tab w:val="left" w:pos="3306"/>
              </w:tabs>
              <w:jc w:val="right"/>
              <w:rPr>
                <w:rFonts w:cs="Calibri"/>
              </w:rPr>
            </w:pPr>
          </w:p>
        </w:tc>
      </w:tr>
      <w:tr w:rsidR="008B46D1" w:rsidRPr="00600805" w14:paraId="494E05C8" w14:textId="77777777" w:rsidTr="00D919F2">
        <w:trPr>
          <w:cantSplit/>
          <w:trHeight w:val="23"/>
        </w:trPr>
        <w:tc>
          <w:tcPr>
            <w:tcW w:w="1564" w:type="dxa"/>
            <w:tcBorders>
              <w:top w:val="nil"/>
              <w:left w:val="single" w:sz="2" w:space="0" w:color="auto"/>
              <w:bottom w:val="nil"/>
              <w:right w:val="single" w:sz="2" w:space="0" w:color="auto"/>
            </w:tcBorders>
          </w:tcPr>
          <w:p w14:paraId="6260FBAA" w14:textId="77777777" w:rsidR="008B46D1" w:rsidRPr="004D4028" w:rsidRDefault="008B46D1" w:rsidP="009A0F2F">
            <w:pPr>
              <w:pStyle w:val="TableReference"/>
              <w:tabs>
                <w:tab w:val="left" w:pos="3306"/>
              </w:tabs>
              <w:rPr>
                <w:rFonts w:cs="Calibri"/>
                <w:b/>
                <w:color w:val="auto"/>
                <w:sz w:val="14"/>
              </w:rPr>
            </w:pPr>
          </w:p>
        </w:tc>
        <w:tc>
          <w:tcPr>
            <w:tcW w:w="8978" w:type="dxa"/>
            <w:gridSpan w:val="7"/>
            <w:tcBorders>
              <w:top w:val="nil"/>
              <w:left w:val="single" w:sz="2" w:space="0" w:color="auto"/>
              <w:bottom w:val="nil"/>
              <w:right w:val="nil"/>
            </w:tcBorders>
            <w:vAlign w:val="bottom"/>
          </w:tcPr>
          <w:p w14:paraId="3DA3A06B" w14:textId="77777777" w:rsidR="008B46D1" w:rsidRPr="00600805" w:rsidRDefault="008B46D1" w:rsidP="009A0F2F">
            <w:pPr>
              <w:pStyle w:val="Heading1"/>
              <w:numPr>
                <w:ilvl w:val="0"/>
                <w:numId w:val="0"/>
              </w:numPr>
              <w:spacing w:before="0" w:after="0"/>
              <w:rPr>
                <w:color w:val="000000"/>
              </w:rPr>
            </w:pPr>
          </w:p>
        </w:tc>
      </w:tr>
      <w:tr w:rsidR="008B46D1" w:rsidRPr="007D13DF" w14:paraId="020C5179" w14:textId="77777777" w:rsidTr="00D919F2">
        <w:trPr>
          <w:cantSplit/>
          <w:trHeight w:val="23"/>
        </w:trPr>
        <w:tc>
          <w:tcPr>
            <w:tcW w:w="1564" w:type="dxa"/>
            <w:tcBorders>
              <w:top w:val="nil"/>
              <w:left w:val="single" w:sz="2" w:space="0" w:color="auto"/>
              <w:bottom w:val="nil"/>
              <w:right w:val="single" w:sz="2" w:space="0" w:color="auto"/>
            </w:tcBorders>
          </w:tcPr>
          <w:p w14:paraId="5140AC7C"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3926014A" w14:textId="7A483E85" w:rsidR="008B46D1" w:rsidRPr="008B46D1" w:rsidRDefault="008B46D1" w:rsidP="009A0F2F">
            <w:pPr>
              <w:pStyle w:val="TableText"/>
              <w:tabs>
                <w:tab w:val="left" w:pos="3306"/>
              </w:tabs>
              <w:spacing w:after="120"/>
              <w:ind w:left="261" w:hanging="261"/>
              <w:jc w:val="both"/>
              <w:rPr>
                <w:b/>
              </w:rPr>
            </w:pPr>
            <w:r w:rsidRPr="008B46D1">
              <w:rPr>
                <w:rFonts w:cs="Calibri"/>
                <w:b/>
              </w:rPr>
              <w:t>(b)</w:t>
            </w:r>
            <w:r w:rsidRPr="008B46D1">
              <w:rPr>
                <w:rFonts w:cs="Calibri"/>
                <w:b/>
              </w:rPr>
              <w:tab/>
              <w:t>Reconciliation of Cash and Cash Equivalents at the end of the Reporting Period in the Statement of Cash Flows on Behalf of the Territory to the Related Items in the Statement of Assets and Liabilities on Behalf of the Territory</w:t>
            </w:r>
          </w:p>
        </w:tc>
      </w:tr>
      <w:tr w:rsidR="008B46D1" w:rsidRPr="007D13DF" w14:paraId="5AC6A6AA" w14:textId="77777777" w:rsidTr="00D919F2">
        <w:trPr>
          <w:cantSplit/>
          <w:trHeight w:val="23"/>
        </w:trPr>
        <w:tc>
          <w:tcPr>
            <w:tcW w:w="1564" w:type="dxa"/>
            <w:tcBorders>
              <w:top w:val="nil"/>
              <w:left w:val="single" w:sz="2" w:space="0" w:color="auto"/>
              <w:bottom w:val="nil"/>
              <w:right w:val="single" w:sz="2" w:space="0" w:color="auto"/>
            </w:tcBorders>
          </w:tcPr>
          <w:p w14:paraId="5E53C948" w14:textId="77777777" w:rsidR="008B46D1" w:rsidRPr="004D4028" w:rsidRDefault="008B46D1" w:rsidP="008B46D1">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4F5DC11F" w14:textId="77777777" w:rsidR="008B46D1" w:rsidRPr="008B46D1" w:rsidRDefault="008B46D1" w:rsidP="008B46D1">
            <w:pPr>
              <w:pStyle w:val="TableText"/>
              <w:tabs>
                <w:tab w:val="left" w:pos="3306"/>
              </w:tabs>
              <w:ind w:left="261" w:hanging="261"/>
              <w:jc w:val="both"/>
              <w:rPr>
                <w:rFonts w:cs="Calibri"/>
                <w:b/>
              </w:rPr>
            </w:pPr>
          </w:p>
        </w:tc>
      </w:tr>
      <w:tr w:rsidR="008B46D1" w:rsidRPr="00D828C2" w14:paraId="5363EB39" w14:textId="77777777" w:rsidTr="00D919F2">
        <w:trPr>
          <w:cantSplit/>
          <w:trHeight w:val="23"/>
        </w:trPr>
        <w:tc>
          <w:tcPr>
            <w:tcW w:w="1564" w:type="dxa"/>
            <w:tcBorders>
              <w:top w:val="nil"/>
              <w:left w:val="single" w:sz="2" w:space="0" w:color="auto"/>
              <w:bottom w:val="nil"/>
              <w:right w:val="single" w:sz="2" w:space="0" w:color="auto"/>
            </w:tcBorders>
          </w:tcPr>
          <w:p w14:paraId="08BD25B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5B5C394A" w14:textId="77777777" w:rsidR="008B46D1" w:rsidRPr="008B46D1" w:rsidRDefault="008B46D1" w:rsidP="009A0F2F">
            <w:pPr>
              <w:pStyle w:val="TableText"/>
              <w:tabs>
                <w:tab w:val="left" w:pos="3306"/>
              </w:tabs>
              <w:rPr>
                <w:rFonts w:cs="Calibri"/>
              </w:rPr>
            </w:pPr>
            <w:r w:rsidRPr="008B46D1">
              <w:rPr>
                <w:rFonts w:cs="Calibri"/>
              </w:rPr>
              <w:t>Total Cash and Cash Equivalents Recorded in the Statement of Assets and Liabilities on Behalf of the Territory</w:t>
            </w:r>
          </w:p>
        </w:tc>
        <w:tc>
          <w:tcPr>
            <w:tcW w:w="1304" w:type="dxa"/>
            <w:gridSpan w:val="2"/>
            <w:tcBorders>
              <w:top w:val="nil"/>
              <w:left w:val="nil"/>
              <w:bottom w:val="nil"/>
              <w:right w:val="nil"/>
            </w:tcBorders>
            <w:vAlign w:val="bottom"/>
          </w:tcPr>
          <w:p w14:paraId="7C0EAFFC" w14:textId="77777777" w:rsidR="008B46D1" w:rsidRPr="008B46D1" w:rsidRDefault="008B46D1" w:rsidP="009A0F2F">
            <w:pPr>
              <w:pStyle w:val="TableText"/>
              <w:tabs>
                <w:tab w:val="left" w:pos="3306"/>
              </w:tabs>
              <w:jc w:val="right"/>
              <w:rPr>
                <w:rFonts w:cs="Calibri"/>
              </w:rPr>
            </w:pPr>
          </w:p>
        </w:tc>
        <w:tc>
          <w:tcPr>
            <w:tcW w:w="1567" w:type="dxa"/>
            <w:gridSpan w:val="3"/>
            <w:tcBorders>
              <w:top w:val="nil"/>
              <w:left w:val="nil"/>
              <w:bottom w:val="nil"/>
              <w:right w:val="nil"/>
            </w:tcBorders>
            <w:vAlign w:val="bottom"/>
          </w:tcPr>
          <w:p w14:paraId="5A824A29" w14:textId="77777777" w:rsidR="008B46D1" w:rsidRPr="008B46D1" w:rsidRDefault="008B46D1" w:rsidP="009A0F2F">
            <w:pPr>
              <w:pStyle w:val="TableText"/>
              <w:tabs>
                <w:tab w:val="left" w:pos="3306"/>
              </w:tabs>
              <w:jc w:val="right"/>
              <w:rPr>
                <w:rFonts w:cs="Calibri"/>
              </w:rPr>
            </w:pPr>
          </w:p>
        </w:tc>
      </w:tr>
      <w:tr w:rsidR="008B46D1" w:rsidRPr="00D828C2" w14:paraId="7D91A9F3" w14:textId="77777777" w:rsidTr="00D919F2">
        <w:trPr>
          <w:cantSplit/>
          <w:trHeight w:val="23"/>
        </w:trPr>
        <w:tc>
          <w:tcPr>
            <w:tcW w:w="1564" w:type="dxa"/>
            <w:tcBorders>
              <w:top w:val="nil"/>
              <w:left w:val="single" w:sz="2" w:space="0" w:color="auto"/>
              <w:bottom w:val="nil"/>
              <w:right w:val="single" w:sz="2" w:space="0" w:color="auto"/>
            </w:tcBorders>
          </w:tcPr>
          <w:p w14:paraId="3B43CBDD"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32F0B52D" w14:textId="77777777" w:rsidR="008B46D1" w:rsidRPr="008B46D1" w:rsidRDefault="008B46D1" w:rsidP="009A0F2F">
            <w:pPr>
              <w:pStyle w:val="TableText"/>
              <w:tabs>
                <w:tab w:val="left" w:pos="3306"/>
              </w:tabs>
              <w:rPr>
                <w:rFonts w:cs="Calibri"/>
              </w:rPr>
            </w:pPr>
            <w:r w:rsidRPr="008B46D1">
              <w:rPr>
                <w:rFonts w:cs="Calibri"/>
              </w:rPr>
              <w:t>Bank Overdraft</w:t>
            </w:r>
          </w:p>
        </w:tc>
        <w:tc>
          <w:tcPr>
            <w:tcW w:w="1304" w:type="dxa"/>
            <w:gridSpan w:val="2"/>
            <w:tcBorders>
              <w:top w:val="nil"/>
              <w:left w:val="nil"/>
              <w:bottom w:val="single" w:sz="2" w:space="0" w:color="auto"/>
              <w:right w:val="nil"/>
            </w:tcBorders>
            <w:vAlign w:val="bottom"/>
          </w:tcPr>
          <w:p w14:paraId="57635BA9" w14:textId="77777777" w:rsidR="008B46D1" w:rsidRPr="008B46D1" w:rsidRDefault="008B46D1" w:rsidP="009A0F2F">
            <w:pPr>
              <w:pStyle w:val="TableText"/>
              <w:tabs>
                <w:tab w:val="left" w:pos="3306"/>
              </w:tabs>
              <w:jc w:val="right"/>
              <w:rPr>
                <w:rFonts w:cs="Calibri"/>
              </w:rPr>
            </w:pPr>
          </w:p>
        </w:tc>
        <w:tc>
          <w:tcPr>
            <w:tcW w:w="1567" w:type="dxa"/>
            <w:gridSpan w:val="3"/>
            <w:tcBorders>
              <w:top w:val="nil"/>
              <w:left w:val="nil"/>
              <w:bottom w:val="single" w:sz="2" w:space="0" w:color="auto"/>
              <w:right w:val="nil"/>
            </w:tcBorders>
            <w:vAlign w:val="bottom"/>
          </w:tcPr>
          <w:p w14:paraId="19C033D8" w14:textId="77777777" w:rsidR="008B46D1" w:rsidRPr="008B46D1" w:rsidRDefault="008B46D1" w:rsidP="009A0F2F">
            <w:pPr>
              <w:pStyle w:val="TableText"/>
              <w:tabs>
                <w:tab w:val="left" w:pos="3306"/>
              </w:tabs>
              <w:jc w:val="right"/>
              <w:rPr>
                <w:rFonts w:cs="Calibri"/>
              </w:rPr>
            </w:pPr>
          </w:p>
        </w:tc>
      </w:tr>
      <w:tr w:rsidR="008B46D1" w:rsidRPr="00D828C2" w14:paraId="25EDE903" w14:textId="77777777" w:rsidTr="00D919F2">
        <w:trPr>
          <w:cantSplit/>
          <w:trHeight w:val="23"/>
        </w:trPr>
        <w:tc>
          <w:tcPr>
            <w:tcW w:w="1564" w:type="dxa"/>
            <w:tcBorders>
              <w:top w:val="nil"/>
              <w:left w:val="single" w:sz="2" w:space="0" w:color="auto"/>
              <w:bottom w:val="nil"/>
              <w:right w:val="single" w:sz="2" w:space="0" w:color="auto"/>
            </w:tcBorders>
          </w:tcPr>
          <w:p w14:paraId="5831D03A"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A0E3224" w14:textId="77777777" w:rsidR="008B46D1" w:rsidRPr="008B46D1" w:rsidRDefault="008B46D1" w:rsidP="009A0F2F">
            <w:pPr>
              <w:pStyle w:val="TableText"/>
              <w:tabs>
                <w:tab w:val="left" w:pos="3306"/>
              </w:tabs>
              <w:rPr>
                <w:rFonts w:cs="Calibri"/>
                <w:b/>
                <w:bCs/>
              </w:rPr>
            </w:pPr>
            <w:r w:rsidRPr="008B46D1">
              <w:rPr>
                <w:rFonts w:cs="Calibri"/>
                <w:b/>
                <w:bCs/>
              </w:rPr>
              <w:t xml:space="preserve">Cash and Cash Equivalents at the End of the Reporting Period as Recorded in the </w:t>
            </w:r>
            <w:r w:rsidRPr="008B46D1">
              <w:rPr>
                <w:rFonts w:cs="Calibri"/>
                <w:b/>
              </w:rPr>
              <w:t>Statement of Cash Flows</w:t>
            </w:r>
            <w:r w:rsidRPr="008B46D1">
              <w:rPr>
                <w:rFonts w:cs="Calibri"/>
              </w:rPr>
              <w:t xml:space="preserve"> </w:t>
            </w:r>
            <w:r w:rsidRPr="008B46D1">
              <w:rPr>
                <w:rFonts w:cs="Calibri"/>
                <w:b/>
                <w:bCs/>
              </w:rPr>
              <w:t>on Behalf of the Territory</w:t>
            </w:r>
          </w:p>
        </w:tc>
        <w:tc>
          <w:tcPr>
            <w:tcW w:w="1304" w:type="dxa"/>
            <w:gridSpan w:val="2"/>
            <w:tcBorders>
              <w:top w:val="single" w:sz="2" w:space="0" w:color="auto"/>
              <w:left w:val="nil"/>
              <w:bottom w:val="double" w:sz="4" w:space="0" w:color="auto"/>
              <w:right w:val="nil"/>
            </w:tcBorders>
            <w:vAlign w:val="bottom"/>
          </w:tcPr>
          <w:p w14:paraId="5DA64639" w14:textId="77777777" w:rsidR="008B46D1" w:rsidRPr="008B46D1" w:rsidRDefault="008B46D1" w:rsidP="009A0F2F">
            <w:pPr>
              <w:pStyle w:val="TableText"/>
              <w:tabs>
                <w:tab w:val="left" w:pos="3306"/>
              </w:tabs>
              <w:jc w:val="right"/>
              <w:rPr>
                <w:rFonts w:cs="Calibri"/>
                <w:b/>
                <w:bCs/>
              </w:rPr>
            </w:pPr>
          </w:p>
        </w:tc>
        <w:tc>
          <w:tcPr>
            <w:tcW w:w="1567" w:type="dxa"/>
            <w:gridSpan w:val="3"/>
            <w:tcBorders>
              <w:top w:val="single" w:sz="2" w:space="0" w:color="auto"/>
              <w:left w:val="nil"/>
              <w:bottom w:val="double" w:sz="4" w:space="0" w:color="auto"/>
              <w:right w:val="nil"/>
            </w:tcBorders>
            <w:vAlign w:val="bottom"/>
          </w:tcPr>
          <w:p w14:paraId="4EE0ECEC" w14:textId="77777777" w:rsidR="008B46D1" w:rsidRPr="008B46D1" w:rsidRDefault="008B46D1" w:rsidP="009A0F2F">
            <w:pPr>
              <w:pStyle w:val="TableText"/>
              <w:tabs>
                <w:tab w:val="left" w:pos="3306"/>
              </w:tabs>
              <w:jc w:val="right"/>
              <w:rPr>
                <w:rFonts w:cs="Calibri"/>
                <w:b/>
                <w:bCs/>
              </w:rPr>
            </w:pPr>
          </w:p>
        </w:tc>
      </w:tr>
      <w:tr w:rsidR="008B46D1" w:rsidRPr="00D828C2" w14:paraId="3A1D8E49" w14:textId="77777777" w:rsidTr="00D919F2">
        <w:trPr>
          <w:cantSplit/>
          <w:trHeight w:val="23"/>
        </w:trPr>
        <w:tc>
          <w:tcPr>
            <w:tcW w:w="1564" w:type="dxa"/>
            <w:tcBorders>
              <w:top w:val="nil"/>
              <w:left w:val="single" w:sz="2" w:space="0" w:color="auto"/>
              <w:bottom w:val="nil"/>
              <w:right w:val="single" w:sz="2" w:space="0" w:color="auto"/>
            </w:tcBorders>
          </w:tcPr>
          <w:p w14:paraId="3310D24F" w14:textId="77777777" w:rsidR="008B46D1" w:rsidRPr="004D4028" w:rsidRDefault="008B46D1" w:rsidP="009A0F2F">
            <w:pPr>
              <w:pStyle w:val="TableReference"/>
              <w:tabs>
                <w:tab w:val="left" w:pos="3306"/>
              </w:tabs>
              <w:rPr>
                <w:rFonts w:cs="Calibri"/>
                <w:color w:val="auto"/>
                <w:sz w:val="14"/>
              </w:rPr>
            </w:pPr>
          </w:p>
        </w:tc>
        <w:tc>
          <w:tcPr>
            <w:tcW w:w="6107" w:type="dxa"/>
            <w:gridSpan w:val="2"/>
            <w:tcBorders>
              <w:top w:val="nil"/>
              <w:left w:val="single" w:sz="2" w:space="0" w:color="auto"/>
              <w:bottom w:val="nil"/>
              <w:right w:val="nil"/>
            </w:tcBorders>
            <w:vAlign w:val="bottom"/>
          </w:tcPr>
          <w:p w14:paraId="2760FFB6" w14:textId="77777777" w:rsidR="008B46D1" w:rsidRPr="008B46D1" w:rsidRDefault="008B46D1" w:rsidP="009A0F2F">
            <w:pPr>
              <w:pStyle w:val="TableText"/>
              <w:tabs>
                <w:tab w:val="left" w:pos="3306"/>
              </w:tabs>
              <w:spacing w:before="0"/>
              <w:rPr>
                <w:rFonts w:cs="Calibri"/>
              </w:rPr>
            </w:pPr>
          </w:p>
        </w:tc>
        <w:tc>
          <w:tcPr>
            <w:tcW w:w="1304" w:type="dxa"/>
            <w:gridSpan w:val="2"/>
            <w:tcBorders>
              <w:top w:val="double" w:sz="4" w:space="0" w:color="auto"/>
              <w:left w:val="nil"/>
              <w:bottom w:val="nil"/>
              <w:right w:val="nil"/>
            </w:tcBorders>
            <w:vAlign w:val="bottom"/>
          </w:tcPr>
          <w:p w14:paraId="4F3EA8E1" w14:textId="77777777" w:rsidR="008B46D1" w:rsidRPr="008B46D1" w:rsidRDefault="008B46D1" w:rsidP="009A0F2F">
            <w:pPr>
              <w:pStyle w:val="TableText"/>
              <w:tabs>
                <w:tab w:val="left" w:pos="3306"/>
              </w:tabs>
              <w:spacing w:before="0"/>
              <w:jc w:val="right"/>
              <w:rPr>
                <w:rFonts w:cs="Calibri"/>
              </w:rPr>
            </w:pPr>
          </w:p>
        </w:tc>
        <w:tc>
          <w:tcPr>
            <w:tcW w:w="1567" w:type="dxa"/>
            <w:gridSpan w:val="3"/>
            <w:tcBorders>
              <w:top w:val="double" w:sz="4" w:space="0" w:color="auto"/>
              <w:left w:val="nil"/>
              <w:bottom w:val="nil"/>
              <w:right w:val="nil"/>
            </w:tcBorders>
            <w:vAlign w:val="bottom"/>
          </w:tcPr>
          <w:p w14:paraId="31E1AFAF" w14:textId="77777777" w:rsidR="008B46D1" w:rsidRPr="008B46D1" w:rsidRDefault="008B46D1" w:rsidP="009A0F2F">
            <w:pPr>
              <w:pStyle w:val="TableText"/>
              <w:tabs>
                <w:tab w:val="left" w:pos="3306"/>
              </w:tabs>
              <w:spacing w:before="0"/>
              <w:jc w:val="right"/>
              <w:rPr>
                <w:rFonts w:cs="Calibri"/>
              </w:rPr>
            </w:pPr>
          </w:p>
        </w:tc>
      </w:tr>
      <w:tr w:rsidR="008B46D1" w:rsidRPr="00D828C2" w14:paraId="1E256A62" w14:textId="77777777" w:rsidTr="00D919F2">
        <w:trPr>
          <w:cantSplit/>
          <w:trHeight w:val="23"/>
        </w:trPr>
        <w:tc>
          <w:tcPr>
            <w:tcW w:w="1564" w:type="dxa"/>
            <w:tcBorders>
              <w:top w:val="nil"/>
              <w:left w:val="single" w:sz="2" w:space="0" w:color="auto"/>
              <w:bottom w:val="nil"/>
              <w:right w:val="single" w:sz="2" w:space="0" w:color="auto"/>
            </w:tcBorders>
          </w:tcPr>
          <w:p w14:paraId="1AE86BD3" w14:textId="77777777" w:rsidR="008B46D1" w:rsidRPr="004D4028" w:rsidRDefault="008B46D1" w:rsidP="009A0F2F">
            <w:pPr>
              <w:pStyle w:val="TableReference"/>
              <w:tabs>
                <w:tab w:val="left" w:pos="3306"/>
              </w:tabs>
              <w:spacing w:before="40"/>
              <w:rPr>
                <w:rFonts w:cs="Calibri"/>
                <w:strike/>
                <w:color w:val="auto"/>
                <w:sz w:val="14"/>
              </w:rPr>
            </w:pPr>
          </w:p>
        </w:tc>
        <w:tc>
          <w:tcPr>
            <w:tcW w:w="8978" w:type="dxa"/>
            <w:gridSpan w:val="7"/>
            <w:tcBorders>
              <w:top w:val="nil"/>
              <w:left w:val="single" w:sz="2" w:space="0" w:color="auto"/>
              <w:bottom w:val="nil"/>
              <w:right w:val="nil"/>
            </w:tcBorders>
            <w:vAlign w:val="bottom"/>
          </w:tcPr>
          <w:p w14:paraId="617D474E" w14:textId="37BDC031" w:rsidR="008B46D1" w:rsidRPr="008B46D1" w:rsidRDefault="008B46D1" w:rsidP="009A0F2F">
            <w:pPr>
              <w:pStyle w:val="TableText"/>
              <w:tabs>
                <w:tab w:val="left" w:pos="3306"/>
              </w:tabs>
              <w:rPr>
                <w:rFonts w:cs="Calibri"/>
                <w:b/>
                <w:bCs/>
              </w:rPr>
            </w:pPr>
            <w:r w:rsidRPr="008B46D1">
              <w:rPr>
                <w:rFonts w:cs="Calibri"/>
                <w:b/>
                <w:bCs/>
              </w:rPr>
              <w:t>(</w:t>
            </w:r>
            <w:r w:rsidR="00051E8D">
              <w:rPr>
                <w:rFonts w:cs="Calibri"/>
                <w:b/>
                <w:bCs/>
              </w:rPr>
              <w:t>c</w:t>
            </w:r>
            <w:r w:rsidRPr="008B46D1">
              <w:rPr>
                <w:rFonts w:cs="Calibri"/>
                <w:b/>
                <w:bCs/>
              </w:rPr>
              <w:t xml:space="preserve">) Reconciliation of the Operating Result to Net Cash Inflows from Operating Activities </w:t>
            </w:r>
          </w:p>
        </w:tc>
      </w:tr>
      <w:tr w:rsidR="008B46D1" w:rsidRPr="00D828C2" w14:paraId="0B1AD231" w14:textId="77777777" w:rsidTr="00D919F2">
        <w:trPr>
          <w:cantSplit/>
          <w:trHeight w:val="23"/>
        </w:trPr>
        <w:tc>
          <w:tcPr>
            <w:tcW w:w="1564" w:type="dxa"/>
            <w:tcBorders>
              <w:top w:val="nil"/>
              <w:left w:val="single" w:sz="2" w:space="0" w:color="auto"/>
              <w:bottom w:val="nil"/>
              <w:right w:val="single" w:sz="2" w:space="0" w:color="auto"/>
            </w:tcBorders>
          </w:tcPr>
          <w:p w14:paraId="1C6EEC6C"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670B543" w14:textId="77777777" w:rsidR="008B46D1" w:rsidRPr="008B46D1" w:rsidRDefault="008B46D1" w:rsidP="009A0F2F">
            <w:pPr>
              <w:pStyle w:val="TableText"/>
              <w:tabs>
                <w:tab w:val="left" w:pos="3306"/>
              </w:tabs>
              <w:rPr>
                <w:rFonts w:cs="Calibri"/>
              </w:rPr>
            </w:pPr>
            <w:r w:rsidRPr="008B46D1">
              <w:rPr>
                <w:rFonts w:cs="Calibri"/>
              </w:rPr>
              <w:t>Operating Result</w:t>
            </w:r>
          </w:p>
        </w:tc>
        <w:tc>
          <w:tcPr>
            <w:tcW w:w="1323" w:type="dxa"/>
            <w:gridSpan w:val="3"/>
            <w:tcBorders>
              <w:top w:val="nil"/>
              <w:left w:val="nil"/>
              <w:bottom w:val="nil"/>
              <w:right w:val="nil"/>
            </w:tcBorders>
            <w:vAlign w:val="bottom"/>
          </w:tcPr>
          <w:p w14:paraId="0CE6B6D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0A0208DE" w14:textId="77777777" w:rsidR="008B46D1" w:rsidRPr="008B46D1" w:rsidRDefault="008B46D1" w:rsidP="009A0F2F">
            <w:pPr>
              <w:pStyle w:val="TableText"/>
              <w:tabs>
                <w:tab w:val="left" w:pos="3306"/>
              </w:tabs>
              <w:jc w:val="right"/>
              <w:rPr>
                <w:rFonts w:cs="Calibri"/>
              </w:rPr>
            </w:pPr>
          </w:p>
        </w:tc>
      </w:tr>
      <w:tr w:rsidR="008B46D1" w:rsidRPr="00D828C2" w14:paraId="3D485608" w14:textId="77777777" w:rsidTr="00D919F2">
        <w:trPr>
          <w:cantSplit/>
          <w:trHeight w:val="23"/>
        </w:trPr>
        <w:tc>
          <w:tcPr>
            <w:tcW w:w="1564" w:type="dxa"/>
            <w:tcBorders>
              <w:top w:val="nil"/>
              <w:left w:val="single" w:sz="2" w:space="0" w:color="auto"/>
              <w:bottom w:val="nil"/>
              <w:right w:val="single" w:sz="2" w:space="0" w:color="auto"/>
            </w:tcBorders>
          </w:tcPr>
          <w:p w14:paraId="1EFE55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1E1D3656" w14:textId="77777777" w:rsidR="008B46D1" w:rsidRPr="008B46D1" w:rsidRDefault="008B46D1" w:rsidP="009A0F2F">
            <w:pPr>
              <w:pStyle w:val="TableText"/>
              <w:tabs>
                <w:tab w:val="left" w:pos="3306"/>
              </w:tabs>
              <w:rPr>
                <w:rFonts w:cs="Calibri"/>
                <w:b/>
                <w:bCs/>
              </w:rPr>
            </w:pPr>
            <w:r w:rsidRPr="008B46D1">
              <w:rPr>
                <w:rFonts w:cs="Calibri"/>
                <w:b/>
                <w:bCs/>
              </w:rPr>
              <w:t>Add/(Less) Non-Cash Items</w:t>
            </w:r>
          </w:p>
        </w:tc>
        <w:tc>
          <w:tcPr>
            <w:tcW w:w="1323" w:type="dxa"/>
            <w:gridSpan w:val="3"/>
            <w:tcBorders>
              <w:top w:val="nil"/>
              <w:left w:val="nil"/>
              <w:bottom w:val="nil"/>
              <w:right w:val="nil"/>
            </w:tcBorders>
            <w:vAlign w:val="bottom"/>
          </w:tcPr>
          <w:p w14:paraId="61BA5682"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4495AE31" w14:textId="77777777" w:rsidR="008B46D1" w:rsidRPr="008B46D1" w:rsidRDefault="008B46D1" w:rsidP="009A0F2F">
            <w:pPr>
              <w:pStyle w:val="TableText"/>
              <w:tabs>
                <w:tab w:val="left" w:pos="3306"/>
              </w:tabs>
              <w:jc w:val="right"/>
              <w:rPr>
                <w:rFonts w:cs="Calibri"/>
              </w:rPr>
            </w:pPr>
          </w:p>
        </w:tc>
      </w:tr>
      <w:tr w:rsidR="008B46D1" w:rsidRPr="00D828C2" w14:paraId="6518ECD1" w14:textId="77777777" w:rsidTr="00D919F2">
        <w:trPr>
          <w:cantSplit/>
          <w:trHeight w:val="23"/>
        </w:trPr>
        <w:tc>
          <w:tcPr>
            <w:tcW w:w="1564" w:type="dxa"/>
            <w:tcBorders>
              <w:top w:val="nil"/>
              <w:left w:val="single" w:sz="2" w:space="0" w:color="auto"/>
              <w:bottom w:val="nil"/>
              <w:right w:val="single" w:sz="2" w:space="0" w:color="auto"/>
            </w:tcBorders>
          </w:tcPr>
          <w:p w14:paraId="1B194EA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34EACC56" w14:textId="77777777" w:rsidR="008B46D1" w:rsidRPr="008B46D1" w:rsidRDefault="008B46D1" w:rsidP="009A0F2F">
            <w:pPr>
              <w:pStyle w:val="TableText"/>
              <w:tabs>
                <w:tab w:val="left" w:pos="3306"/>
              </w:tabs>
              <w:rPr>
                <w:rFonts w:cs="Calibri"/>
              </w:rPr>
            </w:pPr>
            <w:r w:rsidRPr="008B46D1">
              <w:rPr>
                <w:rFonts w:cs="Calibri"/>
              </w:rPr>
              <w:t>Forgiveness of Liabilities</w:t>
            </w:r>
          </w:p>
        </w:tc>
        <w:tc>
          <w:tcPr>
            <w:tcW w:w="1323" w:type="dxa"/>
            <w:gridSpan w:val="3"/>
            <w:tcBorders>
              <w:top w:val="nil"/>
              <w:left w:val="nil"/>
              <w:bottom w:val="single" w:sz="2" w:space="0" w:color="auto"/>
              <w:right w:val="nil"/>
            </w:tcBorders>
            <w:vAlign w:val="bottom"/>
          </w:tcPr>
          <w:p w14:paraId="2EADC228"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single" w:sz="2" w:space="0" w:color="auto"/>
              <w:right w:val="nil"/>
            </w:tcBorders>
            <w:vAlign w:val="bottom"/>
          </w:tcPr>
          <w:p w14:paraId="5AFE33E0" w14:textId="77777777" w:rsidR="008B46D1" w:rsidRPr="008B46D1" w:rsidRDefault="008B46D1" w:rsidP="009A0F2F">
            <w:pPr>
              <w:pStyle w:val="TableText"/>
              <w:tabs>
                <w:tab w:val="left" w:pos="3306"/>
              </w:tabs>
              <w:jc w:val="right"/>
              <w:rPr>
                <w:rFonts w:cs="Calibri"/>
              </w:rPr>
            </w:pPr>
          </w:p>
        </w:tc>
      </w:tr>
      <w:tr w:rsidR="008B46D1" w:rsidRPr="00D828C2" w14:paraId="02F3C4AA" w14:textId="77777777" w:rsidTr="00D919F2">
        <w:trPr>
          <w:cantSplit/>
          <w:trHeight w:val="23"/>
        </w:trPr>
        <w:tc>
          <w:tcPr>
            <w:tcW w:w="1564" w:type="dxa"/>
            <w:tcBorders>
              <w:top w:val="nil"/>
              <w:left w:val="single" w:sz="2" w:space="0" w:color="auto"/>
              <w:bottom w:val="nil"/>
              <w:right w:val="single" w:sz="2" w:space="0" w:color="auto"/>
            </w:tcBorders>
          </w:tcPr>
          <w:p w14:paraId="084202F8"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7788CED" w14:textId="77777777" w:rsidR="008B46D1" w:rsidRPr="008B46D1" w:rsidRDefault="008B46D1" w:rsidP="009A0F2F">
            <w:pPr>
              <w:pStyle w:val="TableText"/>
              <w:tabs>
                <w:tab w:val="left" w:pos="3306"/>
              </w:tabs>
              <w:rPr>
                <w:rFonts w:cs="Calibri"/>
                <w:b/>
                <w:bCs/>
              </w:rPr>
            </w:pPr>
            <w:r w:rsidRPr="008B46D1">
              <w:rPr>
                <w:rFonts w:cs="Calibri"/>
                <w:b/>
                <w:bCs/>
              </w:rPr>
              <w:t>Cash Before Changes in Operating Assets and Liabilities</w:t>
            </w:r>
          </w:p>
        </w:tc>
        <w:tc>
          <w:tcPr>
            <w:tcW w:w="1323" w:type="dxa"/>
            <w:gridSpan w:val="3"/>
            <w:tcBorders>
              <w:top w:val="single" w:sz="2" w:space="0" w:color="auto"/>
              <w:left w:val="nil"/>
              <w:bottom w:val="single" w:sz="2" w:space="0" w:color="auto"/>
              <w:right w:val="nil"/>
            </w:tcBorders>
            <w:vAlign w:val="bottom"/>
          </w:tcPr>
          <w:p w14:paraId="16C36014"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single" w:sz="2" w:space="0" w:color="auto"/>
              <w:right w:val="nil"/>
            </w:tcBorders>
            <w:vAlign w:val="bottom"/>
          </w:tcPr>
          <w:p w14:paraId="60499C08" w14:textId="77777777" w:rsidR="008B46D1" w:rsidRPr="008B46D1" w:rsidRDefault="008B46D1" w:rsidP="009A0F2F">
            <w:pPr>
              <w:pStyle w:val="TableText"/>
              <w:tabs>
                <w:tab w:val="left" w:pos="3306"/>
              </w:tabs>
              <w:jc w:val="right"/>
              <w:rPr>
                <w:rFonts w:cs="Calibri"/>
                <w:b/>
                <w:bCs/>
              </w:rPr>
            </w:pPr>
          </w:p>
        </w:tc>
      </w:tr>
      <w:tr w:rsidR="008B46D1" w:rsidRPr="00D828C2" w14:paraId="5B70CC63" w14:textId="77777777" w:rsidTr="00D919F2">
        <w:trPr>
          <w:cantSplit/>
          <w:trHeight w:val="23"/>
        </w:trPr>
        <w:tc>
          <w:tcPr>
            <w:tcW w:w="1564" w:type="dxa"/>
            <w:tcBorders>
              <w:top w:val="nil"/>
              <w:left w:val="single" w:sz="2" w:space="0" w:color="auto"/>
              <w:bottom w:val="nil"/>
              <w:right w:val="single" w:sz="2" w:space="0" w:color="auto"/>
            </w:tcBorders>
          </w:tcPr>
          <w:p w14:paraId="5CCC547F" w14:textId="77777777" w:rsidR="008B46D1" w:rsidRPr="004D4028" w:rsidRDefault="008B46D1" w:rsidP="009A0F2F">
            <w:pPr>
              <w:pStyle w:val="TableReference"/>
              <w:tabs>
                <w:tab w:val="left" w:pos="3306"/>
              </w:tabs>
              <w:rPr>
                <w:rFonts w:cs="Calibri"/>
                <w:color w:val="auto"/>
                <w:sz w:val="14"/>
              </w:rPr>
            </w:pPr>
          </w:p>
        </w:tc>
        <w:tc>
          <w:tcPr>
            <w:tcW w:w="6107" w:type="dxa"/>
            <w:gridSpan w:val="2"/>
            <w:tcBorders>
              <w:top w:val="nil"/>
              <w:left w:val="single" w:sz="2" w:space="0" w:color="auto"/>
              <w:bottom w:val="nil"/>
              <w:right w:val="nil"/>
            </w:tcBorders>
            <w:vAlign w:val="bottom"/>
          </w:tcPr>
          <w:p w14:paraId="25D26275" w14:textId="77777777" w:rsidR="008B46D1" w:rsidRPr="008B46D1" w:rsidRDefault="008B46D1" w:rsidP="009A0F2F">
            <w:pPr>
              <w:pStyle w:val="TableText"/>
              <w:tabs>
                <w:tab w:val="left" w:pos="3306"/>
              </w:tabs>
              <w:spacing w:before="0"/>
              <w:rPr>
                <w:rFonts w:cs="Calibri"/>
              </w:rPr>
            </w:pPr>
          </w:p>
        </w:tc>
        <w:tc>
          <w:tcPr>
            <w:tcW w:w="1323" w:type="dxa"/>
            <w:gridSpan w:val="3"/>
            <w:tcBorders>
              <w:top w:val="single" w:sz="2" w:space="0" w:color="auto"/>
              <w:left w:val="nil"/>
              <w:bottom w:val="nil"/>
              <w:right w:val="nil"/>
            </w:tcBorders>
            <w:vAlign w:val="bottom"/>
          </w:tcPr>
          <w:p w14:paraId="1317F694" w14:textId="77777777" w:rsidR="008B46D1" w:rsidRPr="008B46D1" w:rsidRDefault="008B46D1" w:rsidP="009A0F2F">
            <w:pPr>
              <w:pStyle w:val="TableText"/>
              <w:tabs>
                <w:tab w:val="left" w:pos="3306"/>
              </w:tabs>
              <w:spacing w:before="0"/>
              <w:jc w:val="right"/>
              <w:rPr>
                <w:rFonts w:cs="Calibri"/>
              </w:rPr>
            </w:pPr>
          </w:p>
        </w:tc>
        <w:tc>
          <w:tcPr>
            <w:tcW w:w="1548" w:type="dxa"/>
            <w:gridSpan w:val="2"/>
            <w:tcBorders>
              <w:top w:val="single" w:sz="2" w:space="0" w:color="auto"/>
              <w:left w:val="nil"/>
              <w:bottom w:val="nil"/>
              <w:right w:val="nil"/>
            </w:tcBorders>
            <w:vAlign w:val="bottom"/>
          </w:tcPr>
          <w:p w14:paraId="195B379A" w14:textId="77777777" w:rsidR="008B46D1" w:rsidRPr="008B46D1" w:rsidRDefault="008B46D1" w:rsidP="009A0F2F">
            <w:pPr>
              <w:pStyle w:val="TableText"/>
              <w:tabs>
                <w:tab w:val="left" w:pos="3306"/>
              </w:tabs>
              <w:spacing w:before="0"/>
              <w:jc w:val="right"/>
              <w:rPr>
                <w:rFonts w:cs="Calibri"/>
                <w:sz w:val="12"/>
              </w:rPr>
            </w:pPr>
          </w:p>
        </w:tc>
      </w:tr>
      <w:tr w:rsidR="008B46D1" w:rsidRPr="00D828C2" w14:paraId="0210058D" w14:textId="77777777" w:rsidTr="00D919F2">
        <w:trPr>
          <w:cantSplit/>
          <w:trHeight w:val="23"/>
        </w:trPr>
        <w:tc>
          <w:tcPr>
            <w:tcW w:w="1564" w:type="dxa"/>
            <w:tcBorders>
              <w:top w:val="nil"/>
              <w:left w:val="single" w:sz="2" w:space="0" w:color="auto"/>
              <w:bottom w:val="nil"/>
              <w:right w:val="single" w:sz="2" w:space="0" w:color="auto"/>
            </w:tcBorders>
          </w:tcPr>
          <w:p w14:paraId="115DC9B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560FF321" w14:textId="77777777" w:rsidR="008B46D1" w:rsidRPr="008B46D1" w:rsidRDefault="008B46D1" w:rsidP="009A0F2F">
            <w:pPr>
              <w:pStyle w:val="TableText"/>
              <w:tabs>
                <w:tab w:val="left" w:pos="3306"/>
              </w:tabs>
              <w:rPr>
                <w:rFonts w:cs="Calibri"/>
                <w:b/>
                <w:bCs/>
              </w:rPr>
            </w:pPr>
            <w:r w:rsidRPr="008B46D1">
              <w:rPr>
                <w:rFonts w:cs="Calibri"/>
                <w:b/>
                <w:bCs/>
              </w:rPr>
              <w:t xml:space="preserve">Changes in Operating Assets and Liabilities </w:t>
            </w:r>
          </w:p>
        </w:tc>
        <w:tc>
          <w:tcPr>
            <w:tcW w:w="1323" w:type="dxa"/>
            <w:gridSpan w:val="3"/>
            <w:tcBorders>
              <w:top w:val="nil"/>
              <w:left w:val="nil"/>
              <w:bottom w:val="nil"/>
              <w:right w:val="nil"/>
            </w:tcBorders>
            <w:vAlign w:val="bottom"/>
          </w:tcPr>
          <w:p w14:paraId="3CEF12A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3AAC60F2" w14:textId="77777777" w:rsidR="008B46D1" w:rsidRPr="008B46D1" w:rsidRDefault="008B46D1" w:rsidP="009A0F2F">
            <w:pPr>
              <w:pStyle w:val="TableText"/>
              <w:tabs>
                <w:tab w:val="left" w:pos="3306"/>
              </w:tabs>
              <w:jc w:val="right"/>
              <w:rPr>
                <w:rFonts w:cs="Calibri"/>
              </w:rPr>
            </w:pPr>
          </w:p>
        </w:tc>
      </w:tr>
      <w:tr w:rsidR="008B46D1" w:rsidRPr="00D828C2" w14:paraId="26ADC763" w14:textId="77777777" w:rsidTr="00D919F2">
        <w:trPr>
          <w:cantSplit/>
          <w:trHeight w:val="23"/>
        </w:trPr>
        <w:tc>
          <w:tcPr>
            <w:tcW w:w="1564" w:type="dxa"/>
            <w:tcBorders>
              <w:top w:val="nil"/>
              <w:left w:val="single" w:sz="2" w:space="0" w:color="auto"/>
              <w:bottom w:val="nil"/>
              <w:right w:val="single" w:sz="2" w:space="0" w:color="auto"/>
            </w:tcBorders>
          </w:tcPr>
          <w:p w14:paraId="3BB1995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7544B0B" w14:textId="77777777" w:rsidR="008B46D1" w:rsidRPr="008B46D1" w:rsidRDefault="008B46D1" w:rsidP="009A0F2F">
            <w:pPr>
              <w:pStyle w:val="TableText"/>
              <w:tabs>
                <w:tab w:val="left" w:pos="3306"/>
              </w:tabs>
              <w:rPr>
                <w:rFonts w:cs="Calibri"/>
              </w:rPr>
            </w:pPr>
            <w:r w:rsidRPr="008B46D1">
              <w:rPr>
                <w:rFonts w:cs="Calibri"/>
              </w:rPr>
              <w:t>(Increase)/Decrease in Receivables</w:t>
            </w:r>
          </w:p>
        </w:tc>
        <w:tc>
          <w:tcPr>
            <w:tcW w:w="1323" w:type="dxa"/>
            <w:gridSpan w:val="3"/>
            <w:tcBorders>
              <w:top w:val="nil"/>
              <w:left w:val="nil"/>
              <w:bottom w:val="nil"/>
              <w:right w:val="nil"/>
            </w:tcBorders>
            <w:vAlign w:val="bottom"/>
          </w:tcPr>
          <w:p w14:paraId="67CFA475"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23E516F0" w14:textId="77777777" w:rsidR="008B46D1" w:rsidRPr="008B46D1" w:rsidRDefault="008B46D1" w:rsidP="009A0F2F">
            <w:pPr>
              <w:pStyle w:val="TableText"/>
              <w:tabs>
                <w:tab w:val="left" w:pos="3306"/>
              </w:tabs>
              <w:jc w:val="right"/>
              <w:rPr>
                <w:rFonts w:cs="Calibri"/>
              </w:rPr>
            </w:pPr>
          </w:p>
        </w:tc>
      </w:tr>
      <w:tr w:rsidR="008B46D1" w:rsidRPr="00D828C2" w14:paraId="639783EB" w14:textId="77777777" w:rsidTr="00D919F2">
        <w:trPr>
          <w:cantSplit/>
          <w:trHeight w:val="23"/>
        </w:trPr>
        <w:tc>
          <w:tcPr>
            <w:tcW w:w="1564" w:type="dxa"/>
            <w:tcBorders>
              <w:top w:val="nil"/>
              <w:left w:val="single" w:sz="2" w:space="0" w:color="auto"/>
              <w:bottom w:val="nil"/>
              <w:right w:val="single" w:sz="2" w:space="0" w:color="auto"/>
            </w:tcBorders>
          </w:tcPr>
          <w:p w14:paraId="73C6DE67"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F4F1386" w14:textId="77777777" w:rsidR="008B46D1" w:rsidRPr="008B46D1" w:rsidRDefault="008B46D1" w:rsidP="009A0F2F">
            <w:pPr>
              <w:pStyle w:val="TableText"/>
              <w:tabs>
                <w:tab w:val="left" w:pos="3306"/>
              </w:tabs>
              <w:rPr>
                <w:rFonts w:cs="Calibri"/>
              </w:rPr>
            </w:pPr>
            <w:r w:rsidRPr="008B46D1">
              <w:rPr>
                <w:rFonts w:cs="Calibri"/>
              </w:rPr>
              <w:t>(Increase)/Decrease in Other Assets</w:t>
            </w:r>
          </w:p>
        </w:tc>
        <w:tc>
          <w:tcPr>
            <w:tcW w:w="1323" w:type="dxa"/>
            <w:gridSpan w:val="3"/>
            <w:tcBorders>
              <w:top w:val="nil"/>
              <w:left w:val="nil"/>
              <w:bottom w:val="nil"/>
              <w:right w:val="nil"/>
            </w:tcBorders>
            <w:vAlign w:val="bottom"/>
          </w:tcPr>
          <w:p w14:paraId="07ACCA22"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0AD334A6" w14:textId="77777777" w:rsidR="008B46D1" w:rsidRPr="008B46D1" w:rsidRDefault="008B46D1" w:rsidP="009A0F2F">
            <w:pPr>
              <w:pStyle w:val="TableText"/>
              <w:tabs>
                <w:tab w:val="left" w:pos="3306"/>
              </w:tabs>
              <w:jc w:val="right"/>
              <w:rPr>
                <w:rFonts w:cs="Calibri"/>
              </w:rPr>
            </w:pPr>
          </w:p>
        </w:tc>
      </w:tr>
      <w:tr w:rsidR="008B46D1" w:rsidRPr="00D828C2" w14:paraId="74F9D3CC" w14:textId="77777777" w:rsidTr="00D919F2">
        <w:trPr>
          <w:cantSplit/>
          <w:trHeight w:val="23"/>
        </w:trPr>
        <w:tc>
          <w:tcPr>
            <w:tcW w:w="1564" w:type="dxa"/>
            <w:tcBorders>
              <w:top w:val="nil"/>
              <w:left w:val="single" w:sz="2" w:space="0" w:color="auto"/>
              <w:bottom w:val="nil"/>
              <w:right w:val="single" w:sz="2" w:space="0" w:color="auto"/>
            </w:tcBorders>
          </w:tcPr>
          <w:p w14:paraId="46ACB06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9F74331" w14:textId="77777777" w:rsidR="008B46D1" w:rsidRPr="008B46D1" w:rsidRDefault="008B46D1" w:rsidP="009A0F2F">
            <w:pPr>
              <w:pStyle w:val="TableText"/>
              <w:tabs>
                <w:tab w:val="left" w:pos="3306"/>
              </w:tabs>
              <w:rPr>
                <w:rFonts w:cs="Calibri"/>
              </w:rPr>
            </w:pPr>
            <w:r w:rsidRPr="008B46D1">
              <w:rPr>
                <w:rFonts w:cs="Calibri"/>
              </w:rPr>
              <w:t>Increase/(Decrease) in Payables</w:t>
            </w:r>
          </w:p>
        </w:tc>
        <w:tc>
          <w:tcPr>
            <w:tcW w:w="1323" w:type="dxa"/>
            <w:gridSpan w:val="3"/>
            <w:tcBorders>
              <w:top w:val="nil"/>
              <w:left w:val="nil"/>
              <w:bottom w:val="nil"/>
              <w:right w:val="nil"/>
            </w:tcBorders>
            <w:vAlign w:val="bottom"/>
          </w:tcPr>
          <w:p w14:paraId="4DD9935B"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4F331001" w14:textId="77777777" w:rsidR="008B46D1" w:rsidRPr="008B46D1" w:rsidRDefault="008B46D1" w:rsidP="009A0F2F">
            <w:pPr>
              <w:pStyle w:val="TableText"/>
              <w:tabs>
                <w:tab w:val="left" w:pos="3306"/>
              </w:tabs>
              <w:jc w:val="right"/>
              <w:rPr>
                <w:rFonts w:cs="Calibri"/>
              </w:rPr>
            </w:pPr>
          </w:p>
        </w:tc>
      </w:tr>
      <w:tr w:rsidR="008B46D1" w:rsidRPr="00D828C2" w14:paraId="6EA51122" w14:textId="77777777" w:rsidTr="00D919F2">
        <w:trPr>
          <w:cantSplit/>
          <w:trHeight w:val="23"/>
        </w:trPr>
        <w:tc>
          <w:tcPr>
            <w:tcW w:w="1564" w:type="dxa"/>
            <w:tcBorders>
              <w:top w:val="nil"/>
              <w:left w:val="single" w:sz="2" w:space="0" w:color="auto"/>
              <w:bottom w:val="nil"/>
              <w:right w:val="single" w:sz="2" w:space="0" w:color="auto"/>
            </w:tcBorders>
          </w:tcPr>
          <w:p w14:paraId="2F3F26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4AF449B" w14:textId="77777777" w:rsidR="008B46D1" w:rsidRPr="008B46D1" w:rsidRDefault="008B46D1" w:rsidP="009A0F2F">
            <w:pPr>
              <w:pStyle w:val="TableText"/>
              <w:tabs>
                <w:tab w:val="left" w:pos="3306"/>
              </w:tabs>
              <w:rPr>
                <w:rFonts w:cs="Calibri"/>
              </w:rPr>
            </w:pPr>
            <w:r w:rsidRPr="008B46D1">
              <w:rPr>
                <w:rFonts w:cs="Calibri"/>
              </w:rPr>
              <w:t>Increase/(Decrease) in Other Provision</w:t>
            </w:r>
          </w:p>
        </w:tc>
        <w:tc>
          <w:tcPr>
            <w:tcW w:w="1323" w:type="dxa"/>
            <w:gridSpan w:val="3"/>
            <w:tcBorders>
              <w:top w:val="nil"/>
              <w:left w:val="nil"/>
              <w:bottom w:val="nil"/>
              <w:right w:val="nil"/>
            </w:tcBorders>
            <w:vAlign w:val="bottom"/>
          </w:tcPr>
          <w:p w14:paraId="72E7B616"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3E416AA5" w14:textId="77777777" w:rsidR="008B46D1" w:rsidRPr="008B46D1" w:rsidRDefault="008B46D1" w:rsidP="009A0F2F">
            <w:pPr>
              <w:pStyle w:val="TableText"/>
              <w:tabs>
                <w:tab w:val="left" w:pos="3306"/>
              </w:tabs>
              <w:jc w:val="right"/>
              <w:rPr>
                <w:rFonts w:cs="Calibri"/>
              </w:rPr>
            </w:pPr>
          </w:p>
        </w:tc>
      </w:tr>
      <w:tr w:rsidR="008B46D1" w:rsidRPr="00D828C2" w14:paraId="155BCB0A" w14:textId="77777777" w:rsidTr="00D919F2">
        <w:trPr>
          <w:cantSplit/>
          <w:trHeight w:val="23"/>
        </w:trPr>
        <w:tc>
          <w:tcPr>
            <w:tcW w:w="1564" w:type="dxa"/>
            <w:tcBorders>
              <w:top w:val="nil"/>
              <w:left w:val="single" w:sz="2" w:space="0" w:color="auto"/>
              <w:bottom w:val="nil"/>
              <w:right w:val="single" w:sz="2" w:space="0" w:color="auto"/>
            </w:tcBorders>
          </w:tcPr>
          <w:p w14:paraId="4D8F3359"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9B1A9B0" w14:textId="77777777" w:rsidR="008B46D1" w:rsidRPr="008B46D1" w:rsidRDefault="008B46D1" w:rsidP="009A0F2F">
            <w:pPr>
              <w:pStyle w:val="TableText"/>
              <w:tabs>
                <w:tab w:val="left" w:pos="3306"/>
              </w:tabs>
              <w:rPr>
                <w:rFonts w:cs="Calibri"/>
              </w:rPr>
            </w:pPr>
            <w:r w:rsidRPr="008B46D1">
              <w:rPr>
                <w:rFonts w:cs="Calibri"/>
              </w:rPr>
              <w:t>Increase/(Decrease) in Other Liabilities</w:t>
            </w:r>
          </w:p>
        </w:tc>
        <w:tc>
          <w:tcPr>
            <w:tcW w:w="1323" w:type="dxa"/>
            <w:gridSpan w:val="3"/>
            <w:tcBorders>
              <w:top w:val="nil"/>
              <w:left w:val="nil"/>
              <w:bottom w:val="single" w:sz="2" w:space="0" w:color="auto"/>
              <w:right w:val="nil"/>
            </w:tcBorders>
            <w:vAlign w:val="bottom"/>
          </w:tcPr>
          <w:p w14:paraId="7FC77BE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single" w:sz="2" w:space="0" w:color="auto"/>
              <w:right w:val="nil"/>
            </w:tcBorders>
            <w:vAlign w:val="bottom"/>
          </w:tcPr>
          <w:p w14:paraId="22EA661A" w14:textId="77777777" w:rsidR="008B46D1" w:rsidRPr="008B46D1" w:rsidRDefault="008B46D1" w:rsidP="009A0F2F">
            <w:pPr>
              <w:pStyle w:val="TableText"/>
              <w:tabs>
                <w:tab w:val="left" w:pos="3306"/>
              </w:tabs>
              <w:jc w:val="right"/>
              <w:rPr>
                <w:rFonts w:cs="Calibri"/>
              </w:rPr>
            </w:pPr>
          </w:p>
        </w:tc>
      </w:tr>
      <w:tr w:rsidR="008B46D1" w:rsidRPr="00D828C2" w14:paraId="1103304A" w14:textId="77777777" w:rsidTr="00D919F2">
        <w:trPr>
          <w:cantSplit/>
          <w:trHeight w:val="23"/>
        </w:trPr>
        <w:tc>
          <w:tcPr>
            <w:tcW w:w="1564" w:type="dxa"/>
            <w:tcBorders>
              <w:top w:val="nil"/>
              <w:left w:val="single" w:sz="2" w:space="0" w:color="auto"/>
              <w:bottom w:val="nil"/>
              <w:right w:val="single" w:sz="2" w:space="0" w:color="auto"/>
            </w:tcBorders>
          </w:tcPr>
          <w:p w14:paraId="7D88FF1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BAE3779" w14:textId="77777777" w:rsidR="008B46D1" w:rsidRPr="008B46D1" w:rsidRDefault="008B46D1" w:rsidP="009A0F2F">
            <w:pPr>
              <w:pStyle w:val="TableText"/>
              <w:tabs>
                <w:tab w:val="left" w:pos="3306"/>
              </w:tabs>
              <w:rPr>
                <w:rFonts w:cs="Calibri"/>
                <w:b/>
                <w:bCs/>
              </w:rPr>
            </w:pPr>
            <w:r w:rsidRPr="008B46D1">
              <w:rPr>
                <w:rFonts w:cs="Calibri"/>
                <w:b/>
                <w:bCs/>
              </w:rPr>
              <w:t>Net Changes in Operating Assets and Liabilities</w:t>
            </w:r>
          </w:p>
        </w:tc>
        <w:tc>
          <w:tcPr>
            <w:tcW w:w="1323" w:type="dxa"/>
            <w:gridSpan w:val="3"/>
            <w:tcBorders>
              <w:top w:val="single" w:sz="2" w:space="0" w:color="auto"/>
              <w:left w:val="nil"/>
              <w:bottom w:val="single" w:sz="2" w:space="0" w:color="auto"/>
              <w:right w:val="nil"/>
            </w:tcBorders>
            <w:vAlign w:val="bottom"/>
          </w:tcPr>
          <w:p w14:paraId="3592E005"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single" w:sz="2" w:space="0" w:color="auto"/>
              <w:right w:val="nil"/>
            </w:tcBorders>
            <w:vAlign w:val="bottom"/>
          </w:tcPr>
          <w:p w14:paraId="5EA8E918" w14:textId="77777777" w:rsidR="008B46D1" w:rsidRPr="008B46D1" w:rsidRDefault="008B46D1" w:rsidP="009A0F2F">
            <w:pPr>
              <w:pStyle w:val="TableText"/>
              <w:tabs>
                <w:tab w:val="left" w:pos="3306"/>
              </w:tabs>
              <w:jc w:val="right"/>
              <w:rPr>
                <w:rFonts w:cs="Calibri"/>
                <w:b/>
                <w:bCs/>
              </w:rPr>
            </w:pPr>
          </w:p>
        </w:tc>
      </w:tr>
      <w:tr w:rsidR="008B46D1" w:rsidRPr="00D828C2" w14:paraId="088FC756" w14:textId="77777777" w:rsidTr="00D919F2">
        <w:trPr>
          <w:cantSplit/>
          <w:trHeight w:val="23"/>
        </w:trPr>
        <w:tc>
          <w:tcPr>
            <w:tcW w:w="1564" w:type="dxa"/>
            <w:tcBorders>
              <w:top w:val="nil"/>
              <w:left w:val="single" w:sz="2" w:space="0" w:color="auto"/>
              <w:bottom w:val="nil"/>
              <w:right w:val="single" w:sz="2" w:space="0" w:color="auto"/>
            </w:tcBorders>
          </w:tcPr>
          <w:p w14:paraId="42602FF2"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7F1C1F11" w14:textId="77777777" w:rsidR="008B46D1" w:rsidRPr="008B46D1" w:rsidRDefault="008B46D1" w:rsidP="009A0F2F">
            <w:pPr>
              <w:pStyle w:val="TableText"/>
              <w:tabs>
                <w:tab w:val="left" w:pos="3306"/>
              </w:tabs>
              <w:rPr>
                <w:rFonts w:cs="Calibri"/>
                <w:b/>
                <w:bCs/>
              </w:rPr>
            </w:pPr>
            <w:r w:rsidRPr="008B46D1">
              <w:rPr>
                <w:rFonts w:cs="Calibri"/>
                <w:b/>
                <w:bCs/>
              </w:rPr>
              <w:t>Net Cash Inflows from Operating Activities</w:t>
            </w:r>
          </w:p>
        </w:tc>
        <w:tc>
          <w:tcPr>
            <w:tcW w:w="1323" w:type="dxa"/>
            <w:gridSpan w:val="3"/>
            <w:tcBorders>
              <w:top w:val="single" w:sz="2" w:space="0" w:color="auto"/>
              <w:left w:val="nil"/>
              <w:bottom w:val="double" w:sz="4" w:space="0" w:color="auto"/>
              <w:right w:val="nil"/>
            </w:tcBorders>
            <w:vAlign w:val="bottom"/>
          </w:tcPr>
          <w:p w14:paraId="74E0CC4E"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double" w:sz="4" w:space="0" w:color="auto"/>
              <w:right w:val="nil"/>
            </w:tcBorders>
            <w:vAlign w:val="bottom"/>
          </w:tcPr>
          <w:p w14:paraId="6F0AB35C" w14:textId="77777777" w:rsidR="008B46D1" w:rsidRPr="008B46D1" w:rsidRDefault="008B46D1" w:rsidP="009A0F2F">
            <w:pPr>
              <w:pStyle w:val="TableText"/>
              <w:tabs>
                <w:tab w:val="left" w:pos="3306"/>
              </w:tabs>
              <w:jc w:val="right"/>
              <w:rPr>
                <w:rFonts w:cs="Calibri"/>
                <w:b/>
                <w:bCs/>
              </w:rPr>
            </w:pPr>
          </w:p>
        </w:tc>
      </w:tr>
      <w:tr w:rsidR="008B46D1" w:rsidRPr="00D828C2" w14:paraId="2528DF7A" w14:textId="77777777" w:rsidTr="00D919F2">
        <w:trPr>
          <w:cantSplit/>
          <w:trHeight w:val="23"/>
        </w:trPr>
        <w:tc>
          <w:tcPr>
            <w:tcW w:w="1564" w:type="dxa"/>
            <w:tcBorders>
              <w:top w:val="nil"/>
              <w:left w:val="single" w:sz="2" w:space="0" w:color="auto"/>
              <w:bottom w:val="nil"/>
              <w:right w:val="single" w:sz="2" w:space="0" w:color="auto"/>
            </w:tcBorders>
          </w:tcPr>
          <w:p w14:paraId="0EDEEBE9"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190D0FEE" w14:textId="77777777" w:rsidR="008B46D1" w:rsidRPr="00D828C2" w:rsidRDefault="008B46D1" w:rsidP="009A0F2F">
            <w:pPr>
              <w:pStyle w:val="TableText"/>
              <w:tabs>
                <w:tab w:val="left" w:pos="3306"/>
              </w:tabs>
              <w:jc w:val="right"/>
              <w:rPr>
                <w:rFonts w:cs="Calibri"/>
                <w:b/>
                <w:bCs/>
              </w:rPr>
            </w:pPr>
          </w:p>
        </w:tc>
      </w:tr>
      <w:tr w:rsidR="008B46D1" w:rsidRPr="003F416F" w14:paraId="68D9979F" w14:textId="77777777" w:rsidTr="00D919F2">
        <w:trPr>
          <w:cantSplit/>
          <w:trHeight w:val="209"/>
        </w:trPr>
        <w:tc>
          <w:tcPr>
            <w:tcW w:w="1564" w:type="dxa"/>
            <w:tcBorders>
              <w:top w:val="nil"/>
              <w:left w:val="single" w:sz="2" w:space="0" w:color="auto"/>
              <w:bottom w:val="nil"/>
              <w:right w:val="single" w:sz="2" w:space="0" w:color="auto"/>
            </w:tcBorders>
          </w:tcPr>
          <w:p w14:paraId="2C11FFC6" w14:textId="77777777" w:rsidR="008B46D1" w:rsidRPr="004D4028" w:rsidRDefault="008B46D1" w:rsidP="00C24DC3">
            <w:pPr>
              <w:pStyle w:val="TableReference"/>
              <w:tabs>
                <w:tab w:val="left" w:pos="3306"/>
              </w:tabs>
              <w:spacing w:before="240" w:after="240"/>
              <w:rPr>
                <w:rFonts w:cs="Calibri"/>
                <w:color w:val="auto"/>
                <w:sz w:val="14"/>
              </w:rPr>
            </w:pPr>
          </w:p>
        </w:tc>
        <w:tc>
          <w:tcPr>
            <w:tcW w:w="8978" w:type="dxa"/>
            <w:gridSpan w:val="7"/>
            <w:tcBorders>
              <w:top w:val="nil"/>
              <w:left w:val="single" w:sz="2" w:space="0" w:color="auto"/>
              <w:bottom w:val="nil"/>
              <w:right w:val="nil"/>
            </w:tcBorders>
            <w:shd w:val="clear" w:color="auto" w:fill="7030A0"/>
            <w:vAlign w:val="bottom"/>
          </w:tcPr>
          <w:p w14:paraId="498E081A" w14:textId="0AEA0F04" w:rsidR="008B46D1" w:rsidRPr="008B46D1" w:rsidRDefault="008B46D1" w:rsidP="00C24DC3">
            <w:pPr>
              <w:pStyle w:val="CommentaryTitle"/>
              <w:spacing w:before="240" w:after="240"/>
              <w:rPr>
                <w:rFonts w:cs="Calibri"/>
                <w:b w:val="0"/>
                <w:bCs w:val="0"/>
                <w:color w:val="FFFFFF" w:themeColor="background1"/>
                <w:sz w:val="28"/>
                <w:szCs w:val="28"/>
              </w:rPr>
            </w:pPr>
            <w:r w:rsidRPr="008B46D1">
              <w:rPr>
                <w:rFonts w:cs="Calibri"/>
                <w:color w:val="FFFFFF" w:themeColor="background1"/>
                <w:sz w:val="28"/>
                <w:szCs w:val="28"/>
              </w:rPr>
              <w:t>Commentary – Note 46: Cash and Investments – Territorial</w:t>
            </w:r>
          </w:p>
        </w:tc>
      </w:tr>
      <w:tr w:rsidR="008B46D1" w:rsidRPr="008B46D1" w14:paraId="0226EAB3" w14:textId="77777777" w:rsidTr="00D919F2">
        <w:trPr>
          <w:cantSplit/>
          <w:trHeight w:val="209"/>
        </w:trPr>
        <w:tc>
          <w:tcPr>
            <w:tcW w:w="1564" w:type="dxa"/>
            <w:tcBorders>
              <w:top w:val="nil"/>
              <w:left w:val="single" w:sz="2" w:space="0" w:color="auto"/>
              <w:bottom w:val="nil"/>
              <w:right w:val="single" w:sz="2" w:space="0" w:color="auto"/>
            </w:tcBorders>
          </w:tcPr>
          <w:p w14:paraId="44B1EA50" w14:textId="77777777" w:rsidR="008B46D1" w:rsidRPr="008B46D1" w:rsidRDefault="008B46D1" w:rsidP="009A0F2F">
            <w:pPr>
              <w:pStyle w:val="TableReference"/>
              <w:tabs>
                <w:tab w:val="left" w:pos="3306"/>
              </w:tabs>
              <w:spacing w:before="40"/>
              <w:rPr>
                <w:rFonts w:cs="Calibri"/>
                <w:color w:val="auto"/>
                <w:sz w:val="18"/>
                <w:szCs w:val="18"/>
              </w:rPr>
            </w:pPr>
          </w:p>
        </w:tc>
        <w:tc>
          <w:tcPr>
            <w:tcW w:w="8978" w:type="dxa"/>
            <w:gridSpan w:val="7"/>
            <w:tcBorders>
              <w:top w:val="nil"/>
              <w:left w:val="single" w:sz="2" w:space="0" w:color="auto"/>
              <w:bottom w:val="nil"/>
              <w:right w:val="nil"/>
            </w:tcBorders>
            <w:shd w:val="clear" w:color="auto" w:fill="7030A0"/>
            <w:vAlign w:val="bottom"/>
          </w:tcPr>
          <w:p w14:paraId="7876D71A" w14:textId="12E42BB4" w:rsidR="008B46D1" w:rsidRPr="006B468D" w:rsidRDefault="008B46D1" w:rsidP="008B46D1">
            <w:pPr>
              <w:pStyle w:val="CommentaryTitle"/>
              <w:spacing w:before="0" w:after="120"/>
              <w:rPr>
                <w:rFonts w:cs="Calibri"/>
                <w:color w:val="FFFFFF" w:themeColor="background1"/>
                <w:sz w:val="20"/>
                <w:szCs w:val="20"/>
              </w:rPr>
            </w:pPr>
            <w:r w:rsidRPr="006B468D">
              <w:rPr>
                <w:rFonts w:cs="Calibri"/>
                <w:color w:val="FFFFFF" w:themeColor="background1"/>
                <w:sz w:val="20"/>
                <w:szCs w:val="20"/>
              </w:rPr>
              <w:t>Cashflow Reconciliation</w:t>
            </w:r>
          </w:p>
        </w:tc>
      </w:tr>
      <w:tr w:rsidR="008B46D1" w:rsidRPr="00D828C2" w14:paraId="2C1E4078" w14:textId="77777777" w:rsidTr="00D919F2">
        <w:trPr>
          <w:cantSplit/>
          <w:trHeight w:val="23"/>
        </w:trPr>
        <w:tc>
          <w:tcPr>
            <w:tcW w:w="1564" w:type="dxa"/>
            <w:tcBorders>
              <w:top w:val="nil"/>
              <w:left w:val="single" w:sz="2" w:space="0" w:color="auto"/>
              <w:bottom w:val="nil"/>
              <w:right w:val="single" w:sz="2" w:space="0" w:color="auto"/>
            </w:tcBorders>
          </w:tcPr>
          <w:p w14:paraId="7E9AA838"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shd w:val="clear" w:color="auto" w:fill="7030A0"/>
            <w:vAlign w:val="bottom"/>
          </w:tcPr>
          <w:p w14:paraId="0E34570C" w14:textId="77777777" w:rsidR="008B46D1" w:rsidRPr="008B46D1" w:rsidRDefault="008B46D1" w:rsidP="009A0F2F">
            <w:pPr>
              <w:pStyle w:val="CommentaryText"/>
              <w:spacing w:after="40"/>
              <w:rPr>
                <w:rFonts w:cs="Calibri"/>
                <w:color w:val="FFFFFF" w:themeColor="background1"/>
                <w:sz w:val="18"/>
                <w:szCs w:val="18"/>
              </w:rPr>
            </w:pPr>
            <w:r w:rsidRPr="008B46D1">
              <w:rPr>
                <w:rFonts w:cs="Calibri"/>
                <w:color w:val="FFFFFF" w:themeColor="background1"/>
                <w:sz w:val="18"/>
                <w:szCs w:val="18"/>
              </w:rPr>
              <w:t>Agencies must include the:</w:t>
            </w:r>
          </w:p>
          <w:p w14:paraId="08FC0DA7" w14:textId="77777777" w:rsidR="008B46D1" w:rsidRPr="008B46D1" w:rsidRDefault="008B46D1" w:rsidP="00CB31DE">
            <w:pPr>
              <w:pStyle w:val="CommentaryText"/>
              <w:numPr>
                <w:ilvl w:val="0"/>
                <w:numId w:val="26"/>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‘Operating Result’ line item;</w:t>
            </w:r>
          </w:p>
          <w:p w14:paraId="48A46C2D" w14:textId="77777777" w:rsidR="008B46D1" w:rsidRPr="008B46D1" w:rsidRDefault="008B46D1" w:rsidP="00CB31DE">
            <w:pPr>
              <w:pStyle w:val="CommentaryText"/>
              <w:numPr>
                <w:ilvl w:val="0"/>
                <w:numId w:val="26"/>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‘Add/(Less) Non-Cash Items’ line item; and</w:t>
            </w:r>
          </w:p>
          <w:p w14:paraId="66D6D023" w14:textId="1EBE8B52" w:rsidR="008B46D1" w:rsidRPr="008B46D1" w:rsidRDefault="008B46D1" w:rsidP="003173AE">
            <w:pPr>
              <w:pStyle w:val="CommentaryText"/>
              <w:numPr>
                <w:ilvl w:val="0"/>
                <w:numId w:val="26"/>
              </w:numPr>
              <w:tabs>
                <w:tab w:val="clear" w:pos="360"/>
              </w:tabs>
              <w:spacing w:after="40"/>
              <w:ind w:left="453" w:hanging="357"/>
              <w:rPr>
                <w:rFonts w:cs="Calibri"/>
                <w:color w:val="FFFFFF" w:themeColor="background1"/>
                <w:sz w:val="18"/>
                <w:szCs w:val="18"/>
              </w:rPr>
            </w:pPr>
            <w:r w:rsidRPr="008B46D1">
              <w:rPr>
                <w:rFonts w:cs="Calibri"/>
                <w:color w:val="FFFFFF" w:themeColor="background1"/>
                <w:sz w:val="18"/>
                <w:szCs w:val="18"/>
              </w:rPr>
              <w:t>‘Cash Before Changes in Operating Assets and Liabilities’ line item</w:t>
            </w:r>
            <w:r w:rsidR="006B468D">
              <w:rPr>
                <w:rFonts w:cs="Calibri"/>
                <w:color w:val="FFFFFF" w:themeColor="background1"/>
                <w:sz w:val="18"/>
                <w:szCs w:val="18"/>
              </w:rPr>
              <w:t>.</w:t>
            </w:r>
          </w:p>
          <w:p w14:paraId="59FBCE17" w14:textId="77777777" w:rsidR="008B46D1" w:rsidRPr="008B46D1" w:rsidRDefault="008B46D1" w:rsidP="006B468D">
            <w:pPr>
              <w:pStyle w:val="CommentaryText"/>
              <w:rPr>
                <w:rFonts w:cs="Calibri"/>
                <w:b/>
                <w:bCs/>
                <w:color w:val="FFFFFF" w:themeColor="background1"/>
                <w:szCs w:val="20"/>
              </w:rPr>
            </w:pPr>
            <w:r w:rsidRPr="008B46D1">
              <w:rPr>
                <w:rFonts w:cs="Calibri"/>
                <w:color w:val="FFFFFF" w:themeColor="background1"/>
                <w:sz w:val="18"/>
                <w:szCs w:val="18"/>
              </w:rPr>
              <w:t>in the cash flow reconciliation regardless of whether there are figures against them.</w:t>
            </w:r>
          </w:p>
        </w:tc>
      </w:tr>
    </w:tbl>
    <w:p w14:paraId="7ED9DF4D" w14:textId="49853B0D" w:rsidR="00B35866" w:rsidRDefault="00B35866">
      <w:r>
        <w:br w:type="page"/>
      </w:r>
    </w:p>
    <w:tbl>
      <w:tblPr>
        <w:tblW w:w="504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2268"/>
        <w:gridCol w:w="1417"/>
        <w:gridCol w:w="2268"/>
        <w:gridCol w:w="567"/>
        <w:gridCol w:w="1134"/>
        <w:gridCol w:w="1276"/>
        <w:gridCol w:w="142"/>
      </w:tblGrid>
      <w:tr w:rsidR="00B35866" w:rsidRPr="00CF7E1B" w14:paraId="1CC1D055"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6B384893" w14:textId="77777777" w:rsidR="00B35866" w:rsidRPr="008B46D1" w:rsidRDefault="00B35866" w:rsidP="005D3C33">
            <w:pPr>
              <w:pStyle w:val="TableReference"/>
              <w:tabs>
                <w:tab w:val="left" w:pos="3306"/>
              </w:tabs>
              <w:spacing w:before="240" w:after="240"/>
              <w:rPr>
                <w:rFonts w:asciiTheme="minorHAnsi" w:hAnsiTheme="minorHAnsi" w:cstheme="minorHAnsi"/>
                <w:color w:val="7030A0"/>
                <w:sz w:val="22"/>
                <w:szCs w:val="22"/>
              </w:rPr>
            </w:pPr>
            <w:r w:rsidRPr="008B46D1">
              <w:rPr>
                <w:rFonts w:asciiTheme="minorHAnsi" w:hAnsiTheme="minorHAnsi" w:cstheme="minorHAnsi"/>
                <w:b/>
                <w:bCs/>
                <w:color w:val="7030A0"/>
                <w:sz w:val="22"/>
                <w:szCs w:val="22"/>
              </w:rPr>
              <w:t>Reference</w:t>
            </w:r>
          </w:p>
        </w:tc>
        <w:tc>
          <w:tcPr>
            <w:tcW w:w="8930" w:type="dxa"/>
            <w:gridSpan w:val="6"/>
            <w:tcBorders>
              <w:top w:val="nil"/>
              <w:left w:val="single" w:sz="2" w:space="0" w:color="auto"/>
              <w:bottom w:val="nil"/>
              <w:right w:val="nil"/>
            </w:tcBorders>
            <w:vAlign w:val="bottom"/>
          </w:tcPr>
          <w:p w14:paraId="694525A3" w14:textId="61F7F340" w:rsidR="00B35866" w:rsidRPr="008B46D1" w:rsidRDefault="00EE0C18" w:rsidP="00556C11">
            <w:pPr>
              <w:pStyle w:val="Heading1"/>
              <w:numPr>
                <w:ilvl w:val="0"/>
                <w:numId w:val="0"/>
              </w:numPr>
            </w:pPr>
            <w:bookmarkStart w:id="1074" w:name="_Toc132743850"/>
            <w:bookmarkStart w:id="1075" w:name="Treceivables"/>
            <w:r w:rsidRPr="008B46D1">
              <w:t>Note</w:t>
            </w:r>
            <w:r w:rsidR="00A623EC" w:rsidRPr="008B46D1">
              <w:t xml:space="preserve"> </w:t>
            </w:r>
            <w:r w:rsidR="00DD6620" w:rsidRPr="008B46D1">
              <w:t>4</w:t>
            </w:r>
            <w:r w:rsidR="00E86853" w:rsidRPr="008B46D1">
              <w:t>7</w:t>
            </w:r>
            <w:r w:rsidR="00A623EC" w:rsidRPr="008B46D1">
              <w:t>.</w:t>
            </w:r>
            <w:r w:rsidR="00FA7C77">
              <w:t xml:space="preserve"> </w:t>
            </w:r>
            <w:r w:rsidRPr="008B46D1">
              <w:t xml:space="preserve"> Receivables</w:t>
            </w:r>
            <w:r w:rsidR="000C1CDA" w:rsidRPr="008B46D1">
              <w:t xml:space="preserve"> </w:t>
            </w:r>
            <w:r w:rsidR="000C1CDA" w:rsidRPr="003C5D97">
              <w:rPr>
                <w:strike/>
                <w:color w:val="FF0000"/>
              </w:rPr>
              <w:t>and Contract Assets</w:t>
            </w:r>
            <w:r w:rsidRPr="003C5D97">
              <w:rPr>
                <w:color w:val="FF0000"/>
              </w:rPr>
              <w:t xml:space="preserve"> </w:t>
            </w:r>
            <w:r w:rsidR="00E80D67" w:rsidRPr="008B46D1">
              <w:t>–</w:t>
            </w:r>
            <w:r w:rsidRPr="008B46D1">
              <w:t>Territorial</w:t>
            </w:r>
            <w:bookmarkEnd w:id="1074"/>
            <w:r w:rsidRPr="008B46D1">
              <w:t xml:space="preserve"> </w:t>
            </w:r>
            <w:bookmarkEnd w:id="1075"/>
          </w:p>
        </w:tc>
      </w:tr>
      <w:tr w:rsidR="00BA5DE9" w:rsidRPr="00CF7E1B" w14:paraId="77C048B5"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6FFCB319" w14:textId="77777777" w:rsidR="00BA5DE9" w:rsidRPr="008B46D1" w:rsidRDefault="00BA5DE9" w:rsidP="00BA5DE9">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vAlign w:val="bottom"/>
          </w:tcPr>
          <w:p w14:paraId="4C6FCAB4" w14:textId="242C7C89" w:rsidR="00BA5DE9" w:rsidRPr="008B46D1" w:rsidRDefault="000610F9" w:rsidP="00BA5DE9">
            <w:pPr>
              <w:pStyle w:val="TableText"/>
              <w:rPr>
                <w:rFonts w:cs="Calibri"/>
                <w:b/>
                <w:bCs/>
              </w:rPr>
            </w:pPr>
            <w:r w:rsidRPr="008B46D1">
              <w:rPr>
                <w:rFonts w:cs="Calibri"/>
                <w:b/>
                <w:bCs/>
              </w:rPr>
              <w:t>Description and Material Accounting Policies Relating to Receivables</w:t>
            </w:r>
            <w:r w:rsidR="000C1CDA" w:rsidRPr="008B46D1">
              <w:rPr>
                <w:rFonts w:cs="Calibri"/>
                <w:b/>
                <w:bCs/>
              </w:rPr>
              <w:t xml:space="preserve"> </w:t>
            </w:r>
            <w:r w:rsidR="000C1CDA" w:rsidRPr="003C5D97">
              <w:rPr>
                <w:rFonts w:cs="Calibri"/>
                <w:b/>
                <w:bCs/>
                <w:strike/>
                <w:color w:val="FF0000"/>
              </w:rPr>
              <w:t>and Contract Assets</w:t>
            </w:r>
            <w:r w:rsidRPr="003C5D97">
              <w:rPr>
                <w:rFonts w:cs="Calibri"/>
                <w:b/>
                <w:bCs/>
                <w:color w:val="FF0000"/>
              </w:rPr>
              <w:t xml:space="preserve"> </w:t>
            </w:r>
            <w:r w:rsidRPr="008B46D1">
              <w:rPr>
                <w:rFonts w:cs="Calibri"/>
                <w:b/>
                <w:bCs/>
              </w:rPr>
              <w:t>- Territorial</w:t>
            </w:r>
          </w:p>
        </w:tc>
      </w:tr>
      <w:tr w:rsidR="00BA5DE9" w:rsidRPr="00CF7E1B" w14:paraId="53AC9236"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26B2487C" w14:textId="77777777" w:rsidR="00BA5DE9" w:rsidRPr="008B46D1" w:rsidRDefault="00BA5DE9" w:rsidP="00BA5DE9">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vAlign w:val="bottom"/>
          </w:tcPr>
          <w:p w14:paraId="209372EC" w14:textId="03ED2F4F" w:rsidR="00BA5DE9" w:rsidRPr="008B46D1" w:rsidRDefault="000610F9" w:rsidP="008B2204">
            <w:pPr>
              <w:pStyle w:val="TableText"/>
              <w:spacing w:after="120"/>
              <w:jc w:val="both"/>
              <w:rPr>
                <w:rFonts w:cs="Calibri"/>
              </w:rPr>
            </w:pPr>
            <w:r w:rsidRPr="008B46D1">
              <w:rPr>
                <w:rFonts w:cs="Calibri"/>
              </w:rPr>
              <w:t>‘</w:t>
            </w:r>
            <w:r w:rsidR="00347866" w:rsidRPr="008B46D1">
              <w:t xml:space="preserve">Burley Griffin </w:t>
            </w:r>
            <w:r w:rsidRPr="008B46D1">
              <w:rPr>
                <w:rFonts w:cs="Calibri"/>
              </w:rPr>
              <w:t xml:space="preserve">Agency’s’ territorial receivables arise from the collection of fees and fines. </w:t>
            </w:r>
            <w:r w:rsidR="00D823DA" w:rsidRPr="008B46D1">
              <w:rPr>
                <w:rFonts w:cs="Calibri"/>
              </w:rPr>
              <w:t xml:space="preserve">Receivables relating to the fees are recognised when the fee is incurred and receivables relating to fines are recognised when the infringement notice is issued. These are generally due within </w:t>
            </w:r>
            <w:r w:rsidR="00D823DA" w:rsidRPr="00722BF2">
              <w:rPr>
                <w:rFonts w:cs="Calibri"/>
                <w:color w:val="C45911" w:themeColor="accent2" w:themeShade="BF"/>
              </w:rPr>
              <w:t xml:space="preserve">&lt;30&gt; </w:t>
            </w:r>
            <w:r w:rsidR="00D823DA" w:rsidRPr="008B46D1">
              <w:rPr>
                <w:rFonts w:cs="Calibri"/>
              </w:rPr>
              <w:t xml:space="preserve">days after the fee is incurred or the notice is issued. </w:t>
            </w:r>
          </w:p>
        </w:tc>
      </w:tr>
      <w:tr w:rsidR="007E373A" w:rsidRPr="00CF7E1B" w14:paraId="33D61BD7"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46D6E764"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tcPr>
          <w:p w14:paraId="3D77B135" w14:textId="3497C7AA" w:rsidR="007E373A" w:rsidRPr="008B46D1" w:rsidRDefault="00886EDE" w:rsidP="007E373A">
            <w:pPr>
              <w:pStyle w:val="TableText"/>
              <w:rPr>
                <w:rFonts w:cs="Calibri"/>
                <w:b/>
                <w:bCs/>
              </w:rPr>
            </w:pPr>
            <w:r w:rsidRPr="00886EDE">
              <w:rPr>
                <w:rFonts w:cs="Calibri"/>
                <w:i/>
                <w:iCs/>
                <w:color w:val="FF0000"/>
              </w:rPr>
              <w:t>Expected Credit</w:t>
            </w:r>
            <w:r w:rsidRPr="00F53A4F">
              <w:rPr>
                <w:rFonts w:cs="Calibri"/>
                <w:color w:val="FF0000"/>
              </w:rPr>
              <w:t xml:space="preserve"> </w:t>
            </w:r>
            <w:r w:rsidR="007E373A" w:rsidRPr="00886EDE">
              <w:rPr>
                <w:rFonts w:cs="Calibri"/>
                <w:i/>
                <w:iCs/>
                <w:strike/>
                <w:color w:val="FF0000"/>
              </w:rPr>
              <w:t>Impairment</w:t>
            </w:r>
            <w:r w:rsidR="007E373A" w:rsidRPr="008B46D1">
              <w:rPr>
                <w:rFonts w:cs="Calibri"/>
                <w:i/>
                <w:iCs/>
              </w:rPr>
              <w:t xml:space="preserve"> </w:t>
            </w:r>
            <w:r w:rsidR="003173AE">
              <w:rPr>
                <w:rFonts w:cs="Calibri"/>
                <w:i/>
                <w:iCs/>
              </w:rPr>
              <w:t>L</w:t>
            </w:r>
            <w:r w:rsidR="007E373A" w:rsidRPr="008B46D1">
              <w:rPr>
                <w:rFonts w:cs="Calibri"/>
                <w:i/>
                <w:iCs/>
              </w:rPr>
              <w:t xml:space="preserve">oss – </w:t>
            </w:r>
            <w:r w:rsidR="005C675F" w:rsidRPr="008B46D1">
              <w:rPr>
                <w:rFonts w:cs="Calibri"/>
                <w:i/>
                <w:iCs/>
              </w:rPr>
              <w:t>Fees and Fines</w:t>
            </w:r>
            <w:r w:rsidR="007E373A" w:rsidRPr="008B46D1">
              <w:rPr>
                <w:rFonts w:cs="Calibri"/>
                <w:i/>
                <w:iCs/>
              </w:rPr>
              <w:t xml:space="preserve"> Receivable </w:t>
            </w:r>
          </w:p>
        </w:tc>
      </w:tr>
      <w:tr w:rsidR="007E373A" w:rsidRPr="00CF7E1B" w14:paraId="096E02A7"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2428DA86"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tcPr>
          <w:p w14:paraId="4E540C70" w14:textId="2A104E02" w:rsidR="007E373A" w:rsidRPr="008B46D1" w:rsidRDefault="007E373A" w:rsidP="002A2C5F">
            <w:pPr>
              <w:spacing w:after="120"/>
              <w:jc w:val="both"/>
              <w:rPr>
                <w:rFonts w:cs="Calibri"/>
                <w:b/>
                <w:bCs/>
              </w:rPr>
            </w:pPr>
            <w:r w:rsidRPr="008B46D1">
              <w:rPr>
                <w:sz w:val="18"/>
                <w:szCs w:val="18"/>
              </w:rPr>
              <w:t xml:space="preserve">The allowance for expected credit losses represents the amount of </w:t>
            </w:r>
            <w:r w:rsidR="008B2204" w:rsidRPr="008B46D1">
              <w:rPr>
                <w:sz w:val="18"/>
                <w:szCs w:val="18"/>
              </w:rPr>
              <w:t>fees and fines</w:t>
            </w:r>
            <w:r w:rsidRPr="008B46D1">
              <w:rPr>
                <w:sz w:val="18"/>
                <w:szCs w:val="18"/>
              </w:rPr>
              <w:t xml:space="preserve"> receivable the Agency estimates will not be repaid.</w:t>
            </w:r>
            <w:r w:rsidR="00FA7C77">
              <w:rPr>
                <w:sz w:val="18"/>
                <w:szCs w:val="18"/>
              </w:rPr>
              <w:t xml:space="preserve"> </w:t>
            </w:r>
            <w:r w:rsidRPr="008B46D1">
              <w:rPr>
                <w:sz w:val="18"/>
                <w:szCs w:val="18"/>
              </w:rPr>
              <w:t xml:space="preserve">The allowance for impairment losses is </w:t>
            </w:r>
            <w:r w:rsidR="008B2204" w:rsidRPr="008B46D1">
              <w:rPr>
                <w:sz w:val="18"/>
                <w:szCs w:val="18"/>
              </w:rPr>
              <w:t xml:space="preserve">calculated using a </w:t>
            </w:r>
            <w:r w:rsidR="003C6503" w:rsidRPr="008B46D1">
              <w:rPr>
                <w:sz w:val="18"/>
                <w:szCs w:val="18"/>
              </w:rPr>
              <w:t xml:space="preserve">lifetime </w:t>
            </w:r>
            <w:r w:rsidR="008B2204" w:rsidRPr="008B46D1">
              <w:rPr>
                <w:sz w:val="18"/>
                <w:szCs w:val="18"/>
              </w:rPr>
              <w:t xml:space="preserve">expected credit loss provision matrix which is </w:t>
            </w:r>
            <w:r w:rsidRPr="008B46D1">
              <w:rPr>
                <w:sz w:val="18"/>
                <w:szCs w:val="18"/>
              </w:rPr>
              <w:t xml:space="preserve">based </w:t>
            </w:r>
            <w:r w:rsidR="005C675F" w:rsidRPr="008B46D1">
              <w:rPr>
                <w:sz w:val="18"/>
                <w:szCs w:val="18"/>
              </w:rPr>
              <w:t>on several categorisations of receivables</w:t>
            </w:r>
            <w:r w:rsidR="008B2204" w:rsidRPr="008B46D1">
              <w:rPr>
                <w:sz w:val="18"/>
                <w:szCs w:val="18"/>
              </w:rPr>
              <w:t xml:space="preserve">. The calculation factors in </w:t>
            </w:r>
            <w:r w:rsidRPr="008B46D1">
              <w:rPr>
                <w:sz w:val="18"/>
                <w:szCs w:val="18"/>
              </w:rPr>
              <w:t xml:space="preserve">objective evidence </w:t>
            </w:r>
            <w:r w:rsidR="008B2204" w:rsidRPr="008B46D1">
              <w:rPr>
                <w:sz w:val="18"/>
                <w:szCs w:val="18"/>
              </w:rPr>
              <w:t xml:space="preserve">available to the agency </w:t>
            </w:r>
            <w:r w:rsidRPr="008B46D1">
              <w:rPr>
                <w:sz w:val="18"/>
                <w:szCs w:val="18"/>
              </w:rPr>
              <w:t>and a review of overdue balances.</w:t>
            </w:r>
            <w:r w:rsidR="008B2204" w:rsidRPr="008B46D1">
              <w:rPr>
                <w:sz w:val="18"/>
                <w:szCs w:val="18"/>
              </w:rPr>
              <w:t xml:space="preserve"> The categorisations are based upon the demonstrated pattern of collections over the past </w:t>
            </w:r>
            <w:r w:rsidR="008B2204" w:rsidRPr="00722BF2">
              <w:rPr>
                <w:color w:val="C45911" w:themeColor="accent2" w:themeShade="BF"/>
                <w:sz w:val="18"/>
                <w:szCs w:val="18"/>
              </w:rPr>
              <w:t xml:space="preserve">&lt;3&gt; </w:t>
            </w:r>
            <w:r w:rsidR="008B2204" w:rsidRPr="008B46D1">
              <w:rPr>
                <w:sz w:val="18"/>
                <w:szCs w:val="18"/>
              </w:rPr>
              <w:t xml:space="preserve">years adjusted for </w:t>
            </w:r>
            <w:r w:rsidR="003C6503" w:rsidRPr="008B46D1">
              <w:rPr>
                <w:sz w:val="18"/>
                <w:szCs w:val="18"/>
              </w:rPr>
              <w:t>justifiable forward-looking information, including forecast economic changes expected to impact on receivables.</w:t>
            </w:r>
          </w:p>
        </w:tc>
      </w:tr>
      <w:tr w:rsidR="007E373A" w:rsidRPr="00CF7E1B" w14:paraId="23FB61EA"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3843D532"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vAlign w:val="bottom"/>
          </w:tcPr>
          <w:p w14:paraId="1D56BF73" w14:textId="68E62E6D" w:rsidR="007E373A" w:rsidRPr="00116607" w:rsidRDefault="002A2C5F" w:rsidP="007E373A">
            <w:pPr>
              <w:pStyle w:val="TableText"/>
              <w:rPr>
                <w:rFonts w:cs="Calibri"/>
                <w:b/>
                <w:bCs/>
                <w:strike/>
                <w:color w:val="FF0000"/>
              </w:rPr>
            </w:pPr>
            <w:r w:rsidRPr="00116607">
              <w:rPr>
                <w:rFonts w:asciiTheme="minorHAnsi" w:hAnsiTheme="minorHAnsi" w:cstheme="minorHAnsi"/>
                <w:b/>
                <w:bCs/>
                <w:strike/>
                <w:color w:val="FF0000"/>
              </w:rPr>
              <w:t>Impact of COVID-19</w:t>
            </w:r>
          </w:p>
        </w:tc>
      </w:tr>
      <w:tr w:rsidR="002A2C5F" w:rsidRPr="00CF7E1B" w14:paraId="6A49C3F9"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379EDDD3" w14:textId="77777777" w:rsidR="002A2C5F" w:rsidRPr="008B46D1" w:rsidRDefault="002A2C5F" w:rsidP="007E373A">
            <w:pPr>
              <w:pStyle w:val="TableReference"/>
              <w:tabs>
                <w:tab w:val="left" w:pos="3306"/>
              </w:tabs>
              <w:spacing w:before="40"/>
              <w:rPr>
                <w:rFonts w:cs="Calibri"/>
                <w:color w:val="7030A0"/>
                <w:sz w:val="16"/>
                <w:szCs w:val="16"/>
              </w:rPr>
            </w:pPr>
          </w:p>
        </w:tc>
        <w:tc>
          <w:tcPr>
            <w:tcW w:w="8930" w:type="dxa"/>
            <w:gridSpan w:val="6"/>
            <w:tcBorders>
              <w:top w:val="nil"/>
              <w:left w:val="single" w:sz="2" w:space="0" w:color="auto"/>
              <w:bottom w:val="nil"/>
              <w:right w:val="nil"/>
            </w:tcBorders>
            <w:vAlign w:val="bottom"/>
          </w:tcPr>
          <w:p w14:paraId="64B0B62D" w14:textId="4C6A78E6" w:rsidR="002A2C5F" w:rsidRPr="00116607" w:rsidRDefault="002A2C5F" w:rsidP="002A2C5F">
            <w:pPr>
              <w:pStyle w:val="TableText"/>
              <w:jc w:val="both"/>
              <w:rPr>
                <w:rFonts w:cs="Calibri"/>
                <w:b/>
                <w:bCs/>
                <w:strike/>
                <w:color w:val="FF0000"/>
              </w:rPr>
            </w:pPr>
            <w:r w:rsidRPr="00116607">
              <w:rPr>
                <w:strike/>
                <w:color w:val="FF0000"/>
              </w:rPr>
              <w:t xml:space="preserve">‘Burley Griffin </w:t>
            </w:r>
            <w:r w:rsidRPr="00116607">
              <w:rPr>
                <w:rFonts w:asciiTheme="minorHAnsi" w:hAnsiTheme="minorHAnsi" w:cstheme="minorHAnsi"/>
                <w:strike/>
                <w:color w:val="FF0000"/>
              </w:rPr>
              <w:t>Agency’s’ Expected Credit Losses have increased reflecting changes in the ability of people to settle their debts.</w:t>
            </w:r>
          </w:p>
        </w:tc>
      </w:tr>
      <w:tr w:rsidR="008B2204" w:rsidRPr="00CF7E1B" w14:paraId="676C88E4"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067419B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0066A9C0" w14:textId="77777777" w:rsidR="008B2204" w:rsidRPr="008B46D1" w:rsidRDefault="008B2204" w:rsidP="007E373A">
            <w:pPr>
              <w:pStyle w:val="TableText"/>
              <w:rPr>
                <w:rFonts w:cs="Calibri"/>
                <w:b/>
                <w:bCs/>
              </w:rPr>
            </w:pPr>
          </w:p>
        </w:tc>
        <w:tc>
          <w:tcPr>
            <w:tcW w:w="1134" w:type="dxa"/>
            <w:tcBorders>
              <w:top w:val="nil"/>
              <w:left w:val="nil"/>
              <w:bottom w:val="nil"/>
              <w:right w:val="nil"/>
            </w:tcBorders>
          </w:tcPr>
          <w:p w14:paraId="7D8AD036" w14:textId="55031A1C" w:rsidR="008B2204" w:rsidRPr="008B46D1" w:rsidRDefault="008B2204" w:rsidP="008B2204">
            <w:pPr>
              <w:pStyle w:val="TableText"/>
              <w:jc w:val="right"/>
              <w:rPr>
                <w:rFonts w:cs="Calibri"/>
                <w:b/>
                <w:bCs/>
              </w:rPr>
            </w:pPr>
            <w:r w:rsidRPr="008B46D1">
              <w:rPr>
                <w:rFonts w:cs="Calibri"/>
                <w:b/>
                <w:bCs/>
              </w:rPr>
              <w:t>202</w:t>
            </w:r>
            <w:r w:rsidR="008C14CA">
              <w:rPr>
                <w:rFonts w:cs="Calibri"/>
                <w:b/>
                <w:bCs/>
              </w:rPr>
              <w:t>3</w:t>
            </w:r>
            <w:r w:rsidRPr="008B46D1">
              <w:rPr>
                <w:rFonts w:cs="Calibri"/>
                <w:b/>
                <w:bCs/>
              </w:rPr>
              <w:t xml:space="preserve"> </w:t>
            </w:r>
          </w:p>
        </w:tc>
        <w:tc>
          <w:tcPr>
            <w:tcW w:w="1276" w:type="dxa"/>
            <w:tcBorders>
              <w:top w:val="nil"/>
              <w:left w:val="nil"/>
              <w:bottom w:val="nil"/>
              <w:right w:val="nil"/>
            </w:tcBorders>
            <w:vAlign w:val="bottom"/>
          </w:tcPr>
          <w:p w14:paraId="2F0B814F" w14:textId="6B9EBD1B" w:rsidR="008B2204" w:rsidRPr="008B46D1" w:rsidRDefault="008B2204" w:rsidP="008B2204">
            <w:pPr>
              <w:pStyle w:val="TableText"/>
              <w:jc w:val="right"/>
              <w:rPr>
                <w:rFonts w:cs="Calibri"/>
                <w:b/>
                <w:bCs/>
              </w:rPr>
            </w:pPr>
            <w:r w:rsidRPr="008B46D1">
              <w:rPr>
                <w:rFonts w:cs="Calibri"/>
                <w:b/>
                <w:bCs/>
              </w:rPr>
              <w:t>202</w:t>
            </w:r>
            <w:r w:rsidR="008C14CA">
              <w:rPr>
                <w:rFonts w:cs="Calibri"/>
                <w:b/>
                <w:bCs/>
              </w:rPr>
              <w:t>2</w:t>
            </w:r>
          </w:p>
        </w:tc>
      </w:tr>
      <w:tr w:rsidR="008B2204" w:rsidRPr="00CF7E1B" w14:paraId="1E9DFF71"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7FDC410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3FB7EB3C" w14:textId="77777777" w:rsidR="008B2204" w:rsidRPr="008B46D1" w:rsidRDefault="008B2204" w:rsidP="007E373A">
            <w:pPr>
              <w:pStyle w:val="TableText"/>
              <w:rPr>
                <w:rFonts w:cs="Calibri"/>
                <w:b/>
                <w:bCs/>
              </w:rPr>
            </w:pPr>
          </w:p>
        </w:tc>
        <w:tc>
          <w:tcPr>
            <w:tcW w:w="1134" w:type="dxa"/>
            <w:tcBorders>
              <w:top w:val="nil"/>
              <w:left w:val="nil"/>
              <w:bottom w:val="nil"/>
              <w:right w:val="nil"/>
            </w:tcBorders>
          </w:tcPr>
          <w:p w14:paraId="0DC8251B" w14:textId="46D35876" w:rsidR="008B2204" w:rsidRPr="008B46D1" w:rsidRDefault="008B2204" w:rsidP="008B2204">
            <w:pPr>
              <w:pStyle w:val="TableText"/>
              <w:jc w:val="right"/>
              <w:rPr>
                <w:rFonts w:cs="Calibri"/>
                <w:b/>
                <w:bCs/>
              </w:rPr>
            </w:pPr>
            <w:r w:rsidRPr="008B46D1">
              <w:rPr>
                <w:rFonts w:cs="Calibri"/>
                <w:b/>
                <w:bCs/>
              </w:rPr>
              <w:t>$’000</w:t>
            </w:r>
          </w:p>
        </w:tc>
        <w:tc>
          <w:tcPr>
            <w:tcW w:w="1276" w:type="dxa"/>
            <w:tcBorders>
              <w:top w:val="nil"/>
              <w:left w:val="nil"/>
              <w:bottom w:val="nil"/>
              <w:right w:val="nil"/>
            </w:tcBorders>
            <w:vAlign w:val="bottom"/>
          </w:tcPr>
          <w:p w14:paraId="52443B26" w14:textId="2FCAD1A3" w:rsidR="008B2204" w:rsidRPr="008B46D1" w:rsidRDefault="008B2204" w:rsidP="008B2204">
            <w:pPr>
              <w:pStyle w:val="TableText"/>
              <w:jc w:val="right"/>
              <w:rPr>
                <w:rFonts w:cs="Calibri"/>
                <w:b/>
                <w:bCs/>
              </w:rPr>
            </w:pPr>
            <w:r w:rsidRPr="008B46D1">
              <w:rPr>
                <w:rFonts w:cs="Calibri"/>
                <w:b/>
                <w:bCs/>
              </w:rPr>
              <w:t>$’000</w:t>
            </w:r>
          </w:p>
        </w:tc>
      </w:tr>
      <w:tr w:rsidR="007E373A" w:rsidRPr="00CF7E1B" w14:paraId="0A7D642F"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7B9C2BB9"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31464D8C" w14:textId="77777777" w:rsidR="007E373A" w:rsidRPr="008B46D1" w:rsidRDefault="007E373A" w:rsidP="007E373A">
            <w:pPr>
              <w:pStyle w:val="TableText"/>
              <w:tabs>
                <w:tab w:val="left" w:pos="3306"/>
              </w:tabs>
              <w:rPr>
                <w:rFonts w:cs="Calibri"/>
                <w:b/>
                <w:bCs/>
              </w:rPr>
            </w:pPr>
            <w:bookmarkStart w:id="1076" w:name="_Toc48468882"/>
            <w:bookmarkStart w:id="1077" w:name="_Toc49155942"/>
            <w:bookmarkStart w:id="1078" w:name="_Toc49224360"/>
            <w:r w:rsidRPr="008B46D1">
              <w:rPr>
                <w:rFonts w:cs="Calibri"/>
                <w:b/>
                <w:bCs/>
              </w:rPr>
              <w:t>Current Receivables</w:t>
            </w:r>
            <w:bookmarkEnd w:id="1076"/>
            <w:bookmarkEnd w:id="1077"/>
            <w:bookmarkEnd w:id="1078"/>
          </w:p>
        </w:tc>
        <w:tc>
          <w:tcPr>
            <w:tcW w:w="1134" w:type="dxa"/>
            <w:tcBorders>
              <w:top w:val="nil"/>
              <w:left w:val="nil"/>
              <w:bottom w:val="nil"/>
              <w:right w:val="nil"/>
            </w:tcBorders>
            <w:vAlign w:val="bottom"/>
          </w:tcPr>
          <w:p w14:paraId="7119B8B7" w14:textId="77777777" w:rsidR="007E373A" w:rsidRPr="008B46D1" w:rsidRDefault="007E373A" w:rsidP="007E373A">
            <w:pPr>
              <w:pStyle w:val="TableText"/>
              <w:jc w:val="right"/>
              <w:rPr>
                <w:rFonts w:cs="Calibri"/>
                <w:b/>
                <w:bCs/>
              </w:rPr>
            </w:pPr>
          </w:p>
        </w:tc>
        <w:tc>
          <w:tcPr>
            <w:tcW w:w="1276" w:type="dxa"/>
            <w:tcBorders>
              <w:top w:val="nil"/>
              <w:left w:val="nil"/>
              <w:bottom w:val="nil"/>
              <w:right w:val="nil"/>
            </w:tcBorders>
            <w:vAlign w:val="bottom"/>
          </w:tcPr>
          <w:p w14:paraId="02D041EA" w14:textId="77777777" w:rsidR="007E373A" w:rsidRPr="008B46D1" w:rsidRDefault="007E373A" w:rsidP="007E373A">
            <w:pPr>
              <w:pStyle w:val="TableText"/>
              <w:jc w:val="right"/>
              <w:rPr>
                <w:rFonts w:cs="Calibri"/>
                <w:b/>
                <w:bCs/>
              </w:rPr>
            </w:pPr>
          </w:p>
        </w:tc>
      </w:tr>
      <w:tr w:rsidR="007E373A" w:rsidRPr="00CF7E1B" w14:paraId="37CAADA4"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07791F1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4CA99E4A" w14:textId="480EEF01" w:rsidR="007E373A" w:rsidRPr="008B46D1" w:rsidRDefault="00386482" w:rsidP="007E373A">
            <w:pPr>
              <w:pStyle w:val="TableText"/>
              <w:tabs>
                <w:tab w:val="left" w:pos="3306"/>
              </w:tabs>
              <w:rPr>
                <w:rFonts w:cs="Calibri"/>
                <w:strike/>
              </w:rPr>
            </w:pPr>
            <w:r w:rsidRPr="008B46D1">
              <w:rPr>
                <w:rFonts w:cs="Calibri"/>
              </w:rPr>
              <w:t xml:space="preserve">Fees for Regulatory Services </w:t>
            </w:r>
            <w:r w:rsidR="007E373A" w:rsidRPr="008B46D1">
              <w:rPr>
                <w:rFonts w:cs="Calibri"/>
              </w:rPr>
              <w:t>Receivable</w:t>
            </w:r>
          </w:p>
        </w:tc>
        <w:tc>
          <w:tcPr>
            <w:tcW w:w="1134" w:type="dxa"/>
            <w:tcBorders>
              <w:top w:val="nil"/>
              <w:left w:val="nil"/>
              <w:bottom w:val="nil"/>
              <w:right w:val="nil"/>
            </w:tcBorders>
            <w:vAlign w:val="bottom"/>
          </w:tcPr>
          <w:p w14:paraId="222A66A3" w14:textId="10232DFC"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FB0416C" w14:textId="4EAE4F40" w:rsidR="007E373A" w:rsidRPr="008B46D1" w:rsidRDefault="007E373A" w:rsidP="007E373A">
            <w:pPr>
              <w:pStyle w:val="TableText"/>
              <w:tabs>
                <w:tab w:val="left" w:pos="3306"/>
              </w:tabs>
              <w:jc w:val="right"/>
              <w:rPr>
                <w:rFonts w:cs="Calibri"/>
              </w:rPr>
            </w:pPr>
          </w:p>
        </w:tc>
      </w:tr>
      <w:tr w:rsidR="007E373A" w:rsidRPr="00CF7E1B" w14:paraId="76BCE1EC"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75744B8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0981BFC1" w14:textId="5F4969C9" w:rsidR="007E373A" w:rsidRPr="008B46D1" w:rsidRDefault="007E373A" w:rsidP="008B5477">
            <w:pPr>
              <w:pStyle w:val="TableText"/>
              <w:tabs>
                <w:tab w:val="left" w:pos="3306"/>
              </w:tabs>
              <w:spacing w:after="120"/>
              <w:rPr>
                <w:rFonts w:cs="Calibri"/>
              </w:rPr>
            </w:pPr>
            <w:r w:rsidRPr="008B46D1">
              <w:rPr>
                <w:rFonts w:cs="Calibri"/>
              </w:rPr>
              <w:t xml:space="preserve">Less: </w:t>
            </w:r>
            <w:r w:rsidR="00F53A4F" w:rsidRPr="00F53A4F">
              <w:rPr>
                <w:rFonts w:cs="Calibri"/>
                <w:color w:val="FF0000"/>
              </w:rPr>
              <w:t xml:space="preserve">Expected Credit Loss </w:t>
            </w:r>
            <w:r w:rsidRPr="008B46D1">
              <w:rPr>
                <w:rFonts w:cs="Calibri"/>
              </w:rPr>
              <w:t xml:space="preserve">Allowance </w:t>
            </w:r>
            <w:r w:rsidRPr="00F53A4F">
              <w:rPr>
                <w:rFonts w:cs="Calibri"/>
                <w:strike/>
                <w:color w:val="FF0000"/>
              </w:rPr>
              <w:t>for Impairment Losses</w:t>
            </w:r>
          </w:p>
        </w:tc>
        <w:tc>
          <w:tcPr>
            <w:tcW w:w="1134" w:type="dxa"/>
            <w:tcBorders>
              <w:top w:val="nil"/>
              <w:left w:val="nil"/>
              <w:bottom w:val="nil"/>
              <w:right w:val="nil"/>
            </w:tcBorders>
            <w:vAlign w:val="bottom"/>
          </w:tcPr>
          <w:p w14:paraId="51A5F69A" w14:textId="2F887780"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66F24138" w14:textId="30A7C6F5" w:rsidR="007E373A" w:rsidRPr="008B46D1" w:rsidRDefault="007E373A" w:rsidP="007E373A">
            <w:pPr>
              <w:pStyle w:val="TableText"/>
              <w:tabs>
                <w:tab w:val="left" w:pos="3306"/>
              </w:tabs>
              <w:jc w:val="right"/>
              <w:rPr>
                <w:rFonts w:cs="Calibri"/>
              </w:rPr>
            </w:pPr>
          </w:p>
        </w:tc>
      </w:tr>
      <w:tr w:rsidR="007E373A" w:rsidRPr="00CF7E1B" w14:paraId="591C18AA"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4F112DBC"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61147457" w14:textId="6B90A9FB" w:rsidR="007E373A" w:rsidRPr="008B46D1" w:rsidRDefault="008B5477" w:rsidP="007E373A">
            <w:pPr>
              <w:pStyle w:val="TableText"/>
              <w:tabs>
                <w:tab w:val="left" w:pos="3306"/>
              </w:tabs>
              <w:rPr>
                <w:rFonts w:cs="Calibri"/>
              </w:rPr>
            </w:pPr>
            <w:r w:rsidRPr="008B46D1">
              <w:rPr>
                <w:rFonts w:cs="Calibri"/>
              </w:rPr>
              <w:t>Traffic Fines</w:t>
            </w:r>
            <w:r w:rsidR="007E373A" w:rsidRPr="008B46D1">
              <w:rPr>
                <w:rFonts w:cs="Calibri"/>
              </w:rPr>
              <w:t xml:space="preserve"> Receivables</w:t>
            </w:r>
          </w:p>
        </w:tc>
        <w:tc>
          <w:tcPr>
            <w:tcW w:w="1134" w:type="dxa"/>
            <w:tcBorders>
              <w:top w:val="nil"/>
              <w:left w:val="nil"/>
              <w:bottom w:val="nil"/>
              <w:right w:val="nil"/>
            </w:tcBorders>
            <w:vAlign w:val="bottom"/>
          </w:tcPr>
          <w:p w14:paraId="68C00EC9" w14:textId="573A52E1"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2B04256A" w14:textId="4FC1C1F2" w:rsidR="007E373A" w:rsidRPr="008B46D1" w:rsidRDefault="007E373A" w:rsidP="007E373A">
            <w:pPr>
              <w:pStyle w:val="TableText"/>
              <w:tabs>
                <w:tab w:val="left" w:pos="3306"/>
              </w:tabs>
              <w:jc w:val="right"/>
              <w:rPr>
                <w:rFonts w:cs="Calibri"/>
              </w:rPr>
            </w:pPr>
          </w:p>
        </w:tc>
      </w:tr>
      <w:tr w:rsidR="007E373A" w:rsidRPr="00CF7E1B" w14:paraId="6AFD2A38"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25EB24B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48EBB2EE" w14:textId="60864CBA" w:rsidR="007E373A" w:rsidRPr="008B46D1" w:rsidRDefault="007E373A" w:rsidP="008B5477">
            <w:pPr>
              <w:pStyle w:val="TableText"/>
              <w:tabs>
                <w:tab w:val="left" w:pos="3306"/>
              </w:tabs>
              <w:spacing w:after="120"/>
              <w:rPr>
                <w:rFonts w:cs="Calibri"/>
              </w:rPr>
            </w:pPr>
            <w:r w:rsidRPr="008B46D1">
              <w:rPr>
                <w:rFonts w:cs="Calibri"/>
              </w:rPr>
              <w:t xml:space="preserve">Less: </w:t>
            </w:r>
            <w:r w:rsidR="00F53A4F" w:rsidRPr="00F53A4F">
              <w:rPr>
                <w:rFonts w:cs="Calibri"/>
                <w:color w:val="FF0000"/>
              </w:rPr>
              <w:t xml:space="preserve">Expected Credit Loss </w:t>
            </w:r>
            <w:r w:rsidRPr="008B46D1">
              <w:rPr>
                <w:rFonts w:cs="Calibri"/>
              </w:rPr>
              <w:t xml:space="preserve">Allowance </w:t>
            </w:r>
            <w:r w:rsidRPr="00F53A4F">
              <w:rPr>
                <w:rFonts w:cs="Calibri"/>
                <w:strike/>
                <w:color w:val="FF0000"/>
              </w:rPr>
              <w:t>for Impairment Losses</w:t>
            </w:r>
          </w:p>
        </w:tc>
        <w:tc>
          <w:tcPr>
            <w:tcW w:w="1134" w:type="dxa"/>
            <w:tcBorders>
              <w:top w:val="nil"/>
              <w:left w:val="nil"/>
              <w:bottom w:val="nil"/>
              <w:right w:val="nil"/>
            </w:tcBorders>
            <w:vAlign w:val="bottom"/>
          </w:tcPr>
          <w:p w14:paraId="153C2E61" w14:textId="1F7D5C34"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0CBF184" w14:textId="738A6624" w:rsidR="007E373A" w:rsidRPr="008B46D1" w:rsidRDefault="007E373A" w:rsidP="007E373A">
            <w:pPr>
              <w:pStyle w:val="TableText"/>
              <w:tabs>
                <w:tab w:val="left" w:pos="3306"/>
              </w:tabs>
              <w:jc w:val="right"/>
              <w:rPr>
                <w:rFonts w:cs="Calibri"/>
              </w:rPr>
            </w:pPr>
          </w:p>
        </w:tc>
      </w:tr>
      <w:tr w:rsidR="007E373A" w:rsidRPr="00CF7E1B" w14:paraId="73BFABD7"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112DC481"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23D8403D" w14:textId="0E4119DA" w:rsidR="007E373A" w:rsidRPr="008B46D1" w:rsidRDefault="007E373A" w:rsidP="007E373A">
            <w:pPr>
              <w:pStyle w:val="TableText"/>
              <w:tabs>
                <w:tab w:val="left" w:pos="3306"/>
              </w:tabs>
              <w:rPr>
                <w:rFonts w:cs="Calibri"/>
              </w:rPr>
            </w:pPr>
            <w:r w:rsidRPr="008B46D1">
              <w:rPr>
                <w:rFonts w:cs="Calibri"/>
              </w:rPr>
              <w:t>Parking Fines</w:t>
            </w:r>
            <w:r w:rsidR="00713BE5" w:rsidRPr="008B46D1">
              <w:rPr>
                <w:rFonts w:cs="Calibri"/>
              </w:rPr>
              <w:t xml:space="preserve"> Receivable</w:t>
            </w:r>
          </w:p>
        </w:tc>
        <w:tc>
          <w:tcPr>
            <w:tcW w:w="1134" w:type="dxa"/>
            <w:tcBorders>
              <w:top w:val="nil"/>
              <w:left w:val="nil"/>
              <w:bottom w:val="nil"/>
              <w:right w:val="nil"/>
            </w:tcBorders>
            <w:vAlign w:val="bottom"/>
          </w:tcPr>
          <w:p w14:paraId="3A25208E" w14:textId="77777777"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3D5EAA7F" w14:textId="77777777" w:rsidR="007E373A" w:rsidRPr="008B46D1" w:rsidRDefault="007E373A" w:rsidP="007E373A">
            <w:pPr>
              <w:pStyle w:val="TableText"/>
              <w:tabs>
                <w:tab w:val="left" w:pos="3306"/>
              </w:tabs>
              <w:jc w:val="right"/>
              <w:rPr>
                <w:rFonts w:cs="Calibri"/>
              </w:rPr>
            </w:pPr>
          </w:p>
        </w:tc>
      </w:tr>
      <w:tr w:rsidR="007E373A" w:rsidRPr="00CF7E1B" w14:paraId="0CA47908"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46A5B64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5E4F24D3" w14:textId="1B3A5DBB" w:rsidR="007E373A" w:rsidRPr="008B46D1" w:rsidRDefault="007E373A" w:rsidP="00D823DA">
            <w:pPr>
              <w:pStyle w:val="TableText"/>
              <w:tabs>
                <w:tab w:val="left" w:pos="3306"/>
              </w:tabs>
              <w:spacing w:after="120"/>
              <w:rPr>
                <w:rFonts w:cs="Calibri"/>
              </w:rPr>
            </w:pPr>
            <w:r w:rsidRPr="008B46D1">
              <w:rPr>
                <w:rFonts w:cs="Calibri"/>
              </w:rPr>
              <w:t xml:space="preserve">Less: </w:t>
            </w:r>
            <w:r w:rsidR="00F53A4F" w:rsidRPr="00F53A4F">
              <w:rPr>
                <w:rFonts w:cs="Calibri"/>
                <w:color w:val="FF0000"/>
              </w:rPr>
              <w:t xml:space="preserve">Expected Credit Loss </w:t>
            </w:r>
            <w:r w:rsidRPr="008B46D1">
              <w:rPr>
                <w:rFonts w:cs="Calibri"/>
              </w:rPr>
              <w:t xml:space="preserve">Allowance </w:t>
            </w:r>
            <w:r w:rsidRPr="00F53A4F">
              <w:rPr>
                <w:rFonts w:cs="Calibri"/>
                <w:strike/>
                <w:color w:val="FF0000"/>
              </w:rPr>
              <w:t>for Impairment Losses</w:t>
            </w:r>
          </w:p>
        </w:tc>
        <w:tc>
          <w:tcPr>
            <w:tcW w:w="1134" w:type="dxa"/>
            <w:tcBorders>
              <w:top w:val="nil"/>
              <w:left w:val="nil"/>
              <w:bottom w:val="nil"/>
              <w:right w:val="nil"/>
            </w:tcBorders>
            <w:vAlign w:val="bottom"/>
          </w:tcPr>
          <w:p w14:paraId="1D449ABB" w14:textId="77777777"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6BF0B6DF" w14:textId="77777777" w:rsidR="007E373A" w:rsidRPr="008B46D1" w:rsidRDefault="007E373A" w:rsidP="007E373A">
            <w:pPr>
              <w:pStyle w:val="TableText"/>
              <w:tabs>
                <w:tab w:val="left" w:pos="3306"/>
              </w:tabs>
              <w:jc w:val="right"/>
              <w:rPr>
                <w:rFonts w:cs="Calibri"/>
              </w:rPr>
            </w:pPr>
          </w:p>
        </w:tc>
      </w:tr>
      <w:tr w:rsidR="007E373A" w:rsidRPr="00CF7E1B" w14:paraId="491CDC76"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1AB7982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1055777A" w14:textId="77777777" w:rsidR="007E373A" w:rsidRPr="008B46D1" w:rsidRDefault="007E373A" w:rsidP="007E373A">
            <w:pPr>
              <w:pStyle w:val="TableText"/>
              <w:tabs>
                <w:tab w:val="left" w:pos="3306"/>
              </w:tabs>
              <w:rPr>
                <w:rFonts w:cs="Calibri"/>
              </w:rPr>
            </w:pPr>
            <w:r w:rsidRPr="008B46D1">
              <w:rPr>
                <w:rFonts w:cs="Calibri"/>
              </w:rPr>
              <w:t>Net GST Receivable</w:t>
            </w:r>
          </w:p>
        </w:tc>
        <w:tc>
          <w:tcPr>
            <w:tcW w:w="1134" w:type="dxa"/>
            <w:tcBorders>
              <w:top w:val="nil"/>
              <w:left w:val="nil"/>
              <w:bottom w:val="nil"/>
              <w:right w:val="nil"/>
            </w:tcBorders>
            <w:vAlign w:val="bottom"/>
          </w:tcPr>
          <w:p w14:paraId="39D52C3B" w14:textId="25EA971C"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20EB404" w14:textId="507EA772" w:rsidR="007E373A" w:rsidRPr="008B46D1" w:rsidRDefault="007E373A" w:rsidP="007E373A">
            <w:pPr>
              <w:pStyle w:val="TableText"/>
              <w:tabs>
                <w:tab w:val="left" w:pos="3306"/>
              </w:tabs>
              <w:jc w:val="right"/>
              <w:rPr>
                <w:rFonts w:cs="Calibri"/>
              </w:rPr>
            </w:pPr>
          </w:p>
        </w:tc>
      </w:tr>
      <w:tr w:rsidR="007E373A" w:rsidRPr="00CF7E1B" w14:paraId="7B4135C3"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734280FE"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595B8037" w14:textId="77777777" w:rsidR="007E373A" w:rsidRPr="008B46D1" w:rsidRDefault="007E373A" w:rsidP="007E373A">
            <w:pPr>
              <w:pStyle w:val="TableText"/>
              <w:tabs>
                <w:tab w:val="left" w:pos="3306"/>
              </w:tabs>
              <w:rPr>
                <w:rFonts w:cs="Calibri"/>
              </w:rPr>
            </w:pPr>
            <w:r w:rsidRPr="008B46D1">
              <w:rPr>
                <w:rFonts w:cs="Calibri"/>
              </w:rPr>
              <w:t>Other Current Receivables</w:t>
            </w:r>
          </w:p>
        </w:tc>
        <w:tc>
          <w:tcPr>
            <w:tcW w:w="1134" w:type="dxa"/>
            <w:tcBorders>
              <w:top w:val="nil"/>
              <w:left w:val="nil"/>
              <w:bottom w:val="single" w:sz="2" w:space="0" w:color="auto"/>
              <w:right w:val="nil"/>
            </w:tcBorders>
            <w:vAlign w:val="bottom"/>
          </w:tcPr>
          <w:p w14:paraId="2652A635" w14:textId="12DB4781" w:rsidR="007E373A" w:rsidRPr="008B46D1" w:rsidRDefault="007E373A" w:rsidP="007E373A">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4BBF0C21" w14:textId="33B3C6B8" w:rsidR="007E373A" w:rsidRPr="008B46D1" w:rsidRDefault="007E373A" w:rsidP="007E373A">
            <w:pPr>
              <w:pStyle w:val="TableText"/>
              <w:tabs>
                <w:tab w:val="left" w:pos="3306"/>
              </w:tabs>
              <w:jc w:val="right"/>
              <w:rPr>
                <w:rFonts w:cs="Calibri"/>
              </w:rPr>
            </w:pPr>
          </w:p>
        </w:tc>
      </w:tr>
      <w:tr w:rsidR="007E373A" w:rsidRPr="00CF7E1B" w14:paraId="525220DE"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0FB869A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30B945FE" w14:textId="77777777" w:rsidR="007E373A" w:rsidRPr="008B46D1" w:rsidRDefault="007E373A" w:rsidP="007E373A">
            <w:pPr>
              <w:pStyle w:val="TableText"/>
              <w:tabs>
                <w:tab w:val="left" w:pos="3306"/>
              </w:tabs>
              <w:rPr>
                <w:rFonts w:cs="Calibri"/>
                <w:b/>
                <w:bCs/>
              </w:rPr>
            </w:pPr>
            <w:r w:rsidRPr="008B46D1">
              <w:rPr>
                <w:rFonts w:cs="Calibri"/>
                <w:b/>
                <w:bCs/>
              </w:rPr>
              <w:t>Total Current Receivables</w:t>
            </w:r>
          </w:p>
        </w:tc>
        <w:tc>
          <w:tcPr>
            <w:tcW w:w="1134" w:type="dxa"/>
            <w:tcBorders>
              <w:top w:val="single" w:sz="2" w:space="0" w:color="auto"/>
              <w:left w:val="nil"/>
              <w:bottom w:val="single" w:sz="2" w:space="0" w:color="auto"/>
              <w:right w:val="nil"/>
            </w:tcBorders>
            <w:vAlign w:val="bottom"/>
          </w:tcPr>
          <w:p w14:paraId="4EBEE874" w14:textId="63290F44" w:rsidR="007E373A" w:rsidRPr="008B46D1" w:rsidRDefault="007E373A" w:rsidP="007E373A">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0CE8996A" w14:textId="0152DE5C" w:rsidR="007E373A" w:rsidRPr="008B46D1" w:rsidRDefault="007E373A" w:rsidP="007E373A">
            <w:pPr>
              <w:pStyle w:val="TableText"/>
              <w:tabs>
                <w:tab w:val="left" w:pos="3306"/>
              </w:tabs>
              <w:jc w:val="right"/>
              <w:rPr>
                <w:rFonts w:cs="Calibri"/>
                <w:b/>
                <w:bCs/>
              </w:rPr>
            </w:pPr>
          </w:p>
        </w:tc>
      </w:tr>
      <w:tr w:rsidR="007E373A" w:rsidRPr="00CF7E1B" w14:paraId="1B1140BA"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24070FE5"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3DF997BD" w14:textId="051E3829" w:rsidR="007E373A" w:rsidRPr="008B46D1" w:rsidRDefault="007E373A" w:rsidP="007E373A">
            <w:pPr>
              <w:pStyle w:val="TableText"/>
              <w:tabs>
                <w:tab w:val="left" w:pos="3306"/>
              </w:tabs>
              <w:rPr>
                <w:rFonts w:cs="Calibri"/>
                <w:b/>
                <w:bCs/>
              </w:rPr>
            </w:pPr>
            <w:r w:rsidRPr="008B46D1">
              <w:rPr>
                <w:rFonts w:cs="Calibri"/>
                <w:b/>
                <w:bCs/>
              </w:rPr>
              <w:t>Total Receivables</w:t>
            </w:r>
            <w:r w:rsidR="000C1CDA" w:rsidRPr="008B46D1">
              <w:rPr>
                <w:rFonts w:cs="Calibri"/>
                <w:b/>
                <w:bCs/>
              </w:rPr>
              <w:t xml:space="preserve"> </w:t>
            </w:r>
            <w:r w:rsidR="000C1CDA" w:rsidRPr="003C5D97">
              <w:rPr>
                <w:rFonts w:cs="Calibri"/>
                <w:b/>
                <w:bCs/>
                <w:strike/>
                <w:color w:val="FF0000"/>
              </w:rPr>
              <w:t>and Contract Assets</w:t>
            </w:r>
          </w:p>
        </w:tc>
        <w:tc>
          <w:tcPr>
            <w:tcW w:w="1134" w:type="dxa"/>
            <w:tcBorders>
              <w:top w:val="single" w:sz="2" w:space="0" w:color="auto"/>
              <w:left w:val="nil"/>
              <w:bottom w:val="double" w:sz="4" w:space="0" w:color="auto"/>
              <w:right w:val="nil"/>
            </w:tcBorders>
            <w:vAlign w:val="bottom"/>
          </w:tcPr>
          <w:p w14:paraId="2B3EF571" w14:textId="3B6E6D92" w:rsidR="007E373A" w:rsidRPr="008B46D1" w:rsidRDefault="007E373A" w:rsidP="007E373A">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295ACA57" w14:textId="393B851D" w:rsidR="007E373A" w:rsidRPr="008B46D1" w:rsidRDefault="007E373A" w:rsidP="007E373A">
            <w:pPr>
              <w:pStyle w:val="TableText"/>
              <w:tabs>
                <w:tab w:val="left" w:pos="3306"/>
              </w:tabs>
              <w:jc w:val="right"/>
              <w:rPr>
                <w:rFonts w:cs="Calibri"/>
                <w:b/>
                <w:bCs/>
              </w:rPr>
            </w:pPr>
          </w:p>
        </w:tc>
      </w:tr>
      <w:tr w:rsidR="007E373A" w:rsidRPr="00CF7E1B" w14:paraId="4C375438" w14:textId="77777777" w:rsidTr="00F53A4F">
        <w:trPr>
          <w:gridAfter w:val="1"/>
          <w:wAfter w:w="142" w:type="dxa"/>
          <w:cantSplit/>
          <w:trHeight w:val="23"/>
        </w:trPr>
        <w:tc>
          <w:tcPr>
            <w:tcW w:w="1563" w:type="dxa"/>
            <w:tcBorders>
              <w:top w:val="nil"/>
              <w:left w:val="single" w:sz="2" w:space="0" w:color="auto"/>
              <w:bottom w:val="nil"/>
              <w:right w:val="single" w:sz="2" w:space="0" w:color="auto"/>
            </w:tcBorders>
          </w:tcPr>
          <w:p w14:paraId="7FECE03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4"/>
            <w:tcBorders>
              <w:top w:val="nil"/>
              <w:left w:val="single" w:sz="2" w:space="0" w:color="auto"/>
              <w:bottom w:val="nil"/>
              <w:right w:val="nil"/>
            </w:tcBorders>
            <w:vAlign w:val="bottom"/>
          </w:tcPr>
          <w:p w14:paraId="3D632E45" w14:textId="77777777" w:rsidR="007E373A" w:rsidRPr="008B46D1" w:rsidRDefault="007E373A" w:rsidP="007E373A">
            <w:pPr>
              <w:pStyle w:val="TableText"/>
              <w:tabs>
                <w:tab w:val="left" w:pos="3306"/>
              </w:tabs>
              <w:rPr>
                <w:rFonts w:cs="Calibri"/>
              </w:rPr>
            </w:pPr>
          </w:p>
        </w:tc>
        <w:tc>
          <w:tcPr>
            <w:tcW w:w="1134" w:type="dxa"/>
            <w:tcBorders>
              <w:top w:val="double" w:sz="4" w:space="0" w:color="auto"/>
              <w:left w:val="nil"/>
              <w:bottom w:val="nil"/>
              <w:right w:val="nil"/>
            </w:tcBorders>
            <w:vAlign w:val="bottom"/>
          </w:tcPr>
          <w:p w14:paraId="20F2EA34" w14:textId="77777777" w:rsidR="007E373A" w:rsidRPr="008B46D1" w:rsidRDefault="007E373A" w:rsidP="007E373A">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220F9E44" w14:textId="77777777" w:rsidR="007E373A" w:rsidRPr="008B46D1" w:rsidRDefault="007E373A" w:rsidP="007E373A">
            <w:pPr>
              <w:pStyle w:val="TableText"/>
              <w:tabs>
                <w:tab w:val="left" w:pos="3306"/>
              </w:tabs>
              <w:jc w:val="right"/>
              <w:rPr>
                <w:rFonts w:cs="Calibri"/>
              </w:rPr>
            </w:pPr>
          </w:p>
        </w:tc>
      </w:tr>
      <w:tr w:rsidR="007824EB" w:rsidRPr="00CF7E1B" w14:paraId="60D214CD" w14:textId="77777777" w:rsidTr="00F53A4F">
        <w:trPr>
          <w:gridAfter w:val="1"/>
          <w:wAfter w:w="142" w:type="dxa"/>
          <w:cantSplit/>
          <w:trHeight w:val="140"/>
        </w:trPr>
        <w:tc>
          <w:tcPr>
            <w:tcW w:w="1563" w:type="dxa"/>
            <w:tcBorders>
              <w:top w:val="nil"/>
              <w:left w:val="single" w:sz="2" w:space="0" w:color="auto"/>
              <w:bottom w:val="nil"/>
              <w:right w:val="single" w:sz="2" w:space="0" w:color="auto"/>
            </w:tcBorders>
          </w:tcPr>
          <w:p w14:paraId="7EEE2399" w14:textId="77777777" w:rsidR="007824EB" w:rsidRPr="008B46D1" w:rsidRDefault="007824EB" w:rsidP="007E373A">
            <w:pPr>
              <w:pStyle w:val="TableText"/>
              <w:tabs>
                <w:tab w:val="left" w:pos="3306"/>
              </w:tabs>
              <w:jc w:val="right"/>
              <w:rPr>
                <w:rFonts w:cs="Calibri"/>
                <w:color w:val="7030A0"/>
              </w:rPr>
            </w:pPr>
          </w:p>
        </w:tc>
        <w:tc>
          <w:tcPr>
            <w:tcW w:w="8930" w:type="dxa"/>
            <w:gridSpan w:val="6"/>
            <w:tcBorders>
              <w:top w:val="nil"/>
              <w:left w:val="single" w:sz="2" w:space="0" w:color="auto"/>
              <w:bottom w:val="nil"/>
              <w:right w:val="nil"/>
            </w:tcBorders>
            <w:vAlign w:val="bottom"/>
          </w:tcPr>
          <w:p w14:paraId="10D89B7F" w14:textId="7674E91E" w:rsidR="007824EB" w:rsidRPr="008B46D1" w:rsidRDefault="007824EB" w:rsidP="007E373A">
            <w:pPr>
              <w:pStyle w:val="TableText"/>
              <w:tabs>
                <w:tab w:val="left" w:pos="3306"/>
              </w:tabs>
              <w:rPr>
                <w:rFonts w:cs="Calibri"/>
                <w:b/>
              </w:rPr>
            </w:pPr>
            <w:r w:rsidRPr="008B46D1">
              <w:rPr>
                <w:rFonts w:cs="Calibri"/>
                <w:b/>
                <w:bCs/>
              </w:rPr>
              <w:t>Expected Credit Loss Allowance Provision Matrix</w:t>
            </w:r>
          </w:p>
        </w:tc>
      </w:tr>
      <w:tr w:rsidR="007E373A" w:rsidRPr="00CF7E1B" w14:paraId="0B1199AD" w14:textId="77777777" w:rsidTr="00F53A4F">
        <w:trPr>
          <w:gridAfter w:val="1"/>
          <w:wAfter w:w="142" w:type="dxa"/>
          <w:cantSplit/>
          <w:trHeight w:val="140"/>
        </w:trPr>
        <w:tc>
          <w:tcPr>
            <w:tcW w:w="1563" w:type="dxa"/>
            <w:tcBorders>
              <w:top w:val="nil"/>
              <w:left w:val="single" w:sz="2" w:space="0" w:color="auto"/>
              <w:bottom w:val="nil"/>
              <w:right w:val="single" w:sz="2" w:space="0" w:color="auto"/>
            </w:tcBorders>
          </w:tcPr>
          <w:p w14:paraId="01A6C70F" w14:textId="77777777" w:rsidR="007E373A" w:rsidRPr="008B46D1" w:rsidRDefault="007E373A" w:rsidP="007E373A">
            <w:pPr>
              <w:pStyle w:val="TableText"/>
              <w:tabs>
                <w:tab w:val="left" w:pos="3306"/>
              </w:tabs>
              <w:jc w:val="right"/>
              <w:rPr>
                <w:rFonts w:cs="Calibri"/>
                <w:color w:val="7030A0"/>
              </w:rPr>
            </w:pPr>
          </w:p>
        </w:tc>
        <w:tc>
          <w:tcPr>
            <w:tcW w:w="8930" w:type="dxa"/>
            <w:gridSpan w:val="6"/>
            <w:tcBorders>
              <w:top w:val="nil"/>
              <w:left w:val="single" w:sz="2" w:space="0" w:color="auto"/>
              <w:bottom w:val="nil"/>
              <w:right w:val="nil"/>
            </w:tcBorders>
            <w:vAlign w:val="bottom"/>
          </w:tcPr>
          <w:p w14:paraId="762F2E56" w14:textId="77777777" w:rsidR="007E373A" w:rsidRPr="008B46D1" w:rsidRDefault="007E373A" w:rsidP="007E373A">
            <w:pPr>
              <w:pStyle w:val="TableText"/>
              <w:tabs>
                <w:tab w:val="left" w:pos="3306"/>
              </w:tabs>
              <w:rPr>
                <w:rFonts w:cs="Calibri"/>
                <w:b/>
              </w:rPr>
            </w:pPr>
            <w:r w:rsidRPr="008B46D1">
              <w:rPr>
                <w:rFonts w:cs="Calibri"/>
                <w:b/>
              </w:rPr>
              <w:t>Ageing of Receivables</w:t>
            </w:r>
          </w:p>
        </w:tc>
      </w:tr>
      <w:tr w:rsidR="00F53A4F" w:rsidRPr="00CF7E1B" w14:paraId="0F91F098" w14:textId="77777777" w:rsidTr="00F53A4F">
        <w:trPr>
          <w:cantSplit/>
          <w:trHeight w:val="21"/>
        </w:trPr>
        <w:tc>
          <w:tcPr>
            <w:tcW w:w="1563" w:type="dxa"/>
            <w:tcBorders>
              <w:top w:val="nil"/>
              <w:left w:val="single" w:sz="2" w:space="0" w:color="auto"/>
              <w:bottom w:val="nil"/>
              <w:right w:val="single" w:sz="2" w:space="0" w:color="auto"/>
            </w:tcBorders>
          </w:tcPr>
          <w:p w14:paraId="5B1113EE"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93679E9" w14:textId="77777777" w:rsidR="00F53A4F" w:rsidRPr="008B46D1" w:rsidRDefault="00F53A4F" w:rsidP="00F53A4F">
            <w:pPr>
              <w:pStyle w:val="TableText"/>
              <w:tabs>
                <w:tab w:val="left" w:pos="3306"/>
              </w:tabs>
              <w:jc w:val="right"/>
              <w:rPr>
                <w:rFonts w:cs="Calibri"/>
                <w:b/>
              </w:rPr>
            </w:pPr>
          </w:p>
        </w:tc>
        <w:tc>
          <w:tcPr>
            <w:tcW w:w="1417" w:type="dxa"/>
            <w:tcBorders>
              <w:top w:val="nil"/>
              <w:left w:val="nil"/>
              <w:bottom w:val="nil"/>
              <w:right w:val="nil"/>
            </w:tcBorders>
          </w:tcPr>
          <w:p w14:paraId="79EFC16C" w14:textId="7E3D4B4B" w:rsidR="00F53A4F" w:rsidRPr="00F53A4F" w:rsidRDefault="00F53A4F" w:rsidP="00F53A4F">
            <w:pPr>
              <w:pStyle w:val="TableText"/>
              <w:tabs>
                <w:tab w:val="left" w:pos="3306"/>
              </w:tabs>
              <w:jc w:val="center"/>
              <w:rPr>
                <w:rFonts w:cs="Calibri"/>
                <w:b/>
                <w:bCs/>
                <w:strike/>
                <w:color w:val="538135" w:themeColor="accent6" w:themeShade="BF"/>
              </w:rPr>
            </w:pPr>
            <w:r w:rsidRPr="00F53A4F">
              <w:rPr>
                <w:rFonts w:cs="Calibri"/>
                <w:b/>
                <w:bCs/>
                <w:strike/>
                <w:color w:val="538135" w:themeColor="accent6" w:themeShade="BF"/>
              </w:rPr>
              <w:t>Expected credit loss rate</w:t>
            </w:r>
          </w:p>
        </w:tc>
        <w:tc>
          <w:tcPr>
            <w:tcW w:w="2268" w:type="dxa"/>
            <w:tcBorders>
              <w:top w:val="nil"/>
              <w:left w:val="nil"/>
              <w:bottom w:val="nil"/>
              <w:right w:val="nil"/>
            </w:tcBorders>
          </w:tcPr>
          <w:p w14:paraId="7DDC4E02" w14:textId="65DF3A5A" w:rsidR="00F53A4F" w:rsidRPr="008B46D1" w:rsidRDefault="00F53A4F" w:rsidP="00F53A4F">
            <w:pPr>
              <w:pStyle w:val="TableText"/>
              <w:tabs>
                <w:tab w:val="left" w:pos="3306"/>
              </w:tabs>
              <w:jc w:val="center"/>
              <w:rPr>
                <w:rFonts w:cs="Calibri"/>
                <w:b/>
                <w:bCs/>
              </w:rPr>
            </w:pPr>
            <w:r w:rsidRPr="008B46D1">
              <w:rPr>
                <w:rFonts w:cs="Calibri"/>
                <w:b/>
                <w:bCs/>
              </w:rPr>
              <w:t>Estimated total gross carrying amount at default</w:t>
            </w:r>
          </w:p>
        </w:tc>
        <w:tc>
          <w:tcPr>
            <w:tcW w:w="1701" w:type="dxa"/>
            <w:gridSpan w:val="2"/>
            <w:tcBorders>
              <w:top w:val="nil"/>
              <w:left w:val="nil"/>
              <w:bottom w:val="nil"/>
              <w:right w:val="nil"/>
            </w:tcBorders>
          </w:tcPr>
          <w:p w14:paraId="173A1A0E" w14:textId="77777777" w:rsidR="00F53A4F" w:rsidRPr="008B46D1" w:rsidRDefault="00F53A4F" w:rsidP="00F53A4F">
            <w:pPr>
              <w:pStyle w:val="TableText"/>
              <w:tabs>
                <w:tab w:val="left" w:pos="3306"/>
              </w:tabs>
              <w:spacing w:before="0"/>
              <w:jc w:val="center"/>
              <w:rPr>
                <w:rFonts w:cs="Calibri"/>
                <w:b/>
                <w:bCs/>
              </w:rPr>
            </w:pPr>
            <w:r w:rsidRPr="008B46D1">
              <w:rPr>
                <w:rFonts w:cs="Calibri"/>
                <w:b/>
                <w:bCs/>
              </w:rPr>
              <w:t>Expected credit loss</w:t>
            </w:r>
          </w:p>
          <w:p w14:paraId="4EC3BE5F" w14:textId="2B064B27" w:rsidR="00F53A4F" w:rsidRPr="008B46D1" w:rsidRDefault="00F53A4F" w:rsidP="00F53A4F">
            <w:pPr>
              <w:pStyle w:val="TableText"/>
              <w:tabs>
                <w:tab w:val="left" w:pos="3306"/>
              </w:tabs>
              <w:spacing w:before="0"/>
              <w:jc w:val="center"/>
              <w:rPr>
                <w:rFonts w:cs="Calibri"/>
                <w:b/>
                <w:bCs/>
              </w:rPr>
            </w:pPr>
            <w:r w:rsidRPr="008B46D1">
              <w:rPr>
                <w:rFonts w:cs="Calibri"/>
                <w:b/>
                <w:bCs/>
              </w:rPr>
              <w:t>Allowance</w:t>
            </w:r>
          </w:p>
        </w:tc>
        <w:tc>
          <w:tcPr>
            <w:tcW w:w="1418" w:type="dxa"/>
            <w:gridSpan w:val="2"/>
            <w:tcBorders>
              <w:top w:val="nil"/>
              <w:left w:val="nil"/>
              <w:bottom w:val="nil"/>
              <w:right w:val="nil"/>
            </w:tcBorders>
          </w:tcPr>
          <w:p w14:paraId="07A993A6" w14:textId="53E8C472" w:rsidR="00F53A4F" w:rsidRPr="00F53A4F" w:rsidRDefault="00F53A4F" w:rsidP="00F53A4F">
            <w:pPr>
              <w:pStyle w:val="TableText"/>
              <w:tabs>
                <w:tab w:val="left" w:pos="3306"/>
              </w:tabs>
              <w:spacing w:before="0"/>
              <w:jc w:val="center"/>
              <w:rPr>
                <w:rFonts w:cs="Calibri"/>
                <w:b/>
                <w:bCs/>
                <w:color w:val="538135" w:themeColor="accent6" w:themeShade="BF"/>
              </w:rPr>
            </w:pPr>
            <w:r w:rsidRPr="00F53A4F">
              <w:rPr>
                <w:rFonts w:cs="Calibri"/>
                <w:b/>
                <w:bCs/>
                <w:color w:val="538135" w:themeColor="accent6" w:themeShade="BF"/>
              </w:rPr>
              <w:t>Expected credit loss rate</w:t>
            </w:r>
          </w:p>
        </w:tc>
      </w:tr>
      <w:tr w:rsidR="00F53A4F" w:rsidRPr="00CF7E1B" w14:paraId="25D0AEF6" w14:textId="77777777" w:rsidTr="00F53A4F">
        <w:trPr>
          <w:cantSplit/>
          <w:trHeight w:val="21"/>
        </w:trPr>
        <w:tc>
          <w:tcPr>
            <w:tcW w:w="1563" w:type="dxa"/>
            <w:tcBorders>
              <w:top w:val="nil"/>
              <w:left w:val="single" w:sz="2" w:space="0" w:color="auto"/>
              <w:bottom w:val="nil"/>
              <w:right w:val="single" w:sz="2" w:space="0" w:color="auto"/>
            </w:tcBorders>
          </w:tcPr>
          <w:p w14:paraId="2898D7B7"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A9845F9" w14:textId="77777777" w:rsidR="00F53A4F" w:rsidRPr="008B46D1" w:rsidRDefault="00F53A4F" w:rsidP="00F53A4F">
            <w:pPr>
              <w:pStyle w:val="TableText"/>
              <w:tabs>
                <w:tab w:val="left" w:pos="3306"/>
              </w:tabs>
              <w:jc w:val="right"/>
              <w:rPr>
                <w:rFonts w:cs="Calibri"/>
                <w:b/>
              </w:rPr>
            </w:pPr>
          </w:p>
        </w:tc>
        <w:tc>
          <w:tcPr>
            <w:tcW w:w="1417" w:type="dxa"/>
            <w:tcBorders>
              <w:top w:val="nil"/>
              <w:left w:val="nil"/>
              <w:bottom w:val="nil"/>
              <w:right w:val="nil"/>
            </w:tcBorders>
          </w:tcPr>
          <w:p w14:paraId="0EC127AB" w14:textId="2177DDEF" w:rsidR="00F53A4F" w:rsidRPr="00F53A4F" w:rsidRDefault="00F53A4F" w:rsidP="00F53A4F">
            <w:pPr>
              <w:pStyle w:val="TableText"/>
              <w:tabs>
                <w:tab w:val="left" w:pos="3306"/>
              </w:tabs>
              <w:jc w:val="center"/>
              <w:rPr>
                <w:rFonts w:cs="Calibri"/>
                <w:b/>
                <w:bCs/>
                <w:strike/>
                <w:color w:val="538135" w:themeColor="accent6" w:themeShade="BF"/>
              </w:rPr>
            </w:pPr>
            <w:r w:rsidRPr="00F53A4F">
              <w:rPr>
                <w:rFonts w:cs="Calibri"/>
                <w:b/>
                <w:bCs/>
                <w:strike/>
                <w:color w:val="538135" w:themeColor="accent6" w:themeShade="BF"/>
              </w:rPr>
              <w:t>%</w:t>
            </w:r>
          </w:p>
        </w:tc>
        <w:tc>
          <w:tcPr>
            <w:tcW w:w="2268" w:type="dxa"/>
            <w:tcBorders>
              <w:top w:val="nil"/>
              <w:left w:val="nil"/>
              <w:bottom w:val="nil"/>
              <w:right w:val="nil"/>
            </w:tcBorders>
          </w:tcPr>
          <w:p w14:paraId="231B862B" w14:textId="5E6F0B0C" w:rsidR="00F53A4F" w:rsidRPr="008B46D1" w:rsidRDefault="00F53A4F" w:rsidP="00F53A4F">
            <w:pPr>
              <w:pStyle w:val="TableText"/>
              <w:tabs>
                <w:tab w:val="left" w:pos="3306"/>
              </w:tabs>
              <w:jc w:val="center"/>
              <w:rPr>
                <w:rFonts w:cs="Calibri"/>
                <w:b/>
                <w:bCs/>
              </w:rPr>
            </w:pPr>
            <w:r w:rsidRPr="008B46D1">
              <w:rPr>
                <w:rFonts w:cs="Calibri"/>
                <w:b/>
                <w:bCs/>
              </w:rPr>
              <w:t>‘$000</w:t>
            </w:r>
          </w:p>
        </w:tc>
        <w:tc>
          <w:tcPr>
            <w:tcW w:w="1701" w:type="dxa"/>
            <w:gridSpan w:val="2"/>
            <w:tcBorders>
              <w:top w:val="nil"/>
              <w:left w:val="nil"/>
              <w:bottom w:val="nil"/>
              <w:right w:val="nil"/>
            </w:tcBorders>
          </w:tcPr>
          <w:p w14:paraId="16B5742A" w14:textId="2B7DD642" w:rsidR="00F53A4F" w:rsidRPr="008B46D1" w:rsidRDefault="00F53A4F" w:rsidP="00F53A4F">
            <w:pPr>
              <w:pStyle w:val="TableText"/>
              <w:tabs>
                <w:tab w:val="left" w:pos="3306"/>
              </w:tabs>
              <w:spacing w:before="0"/>
              <w:jc w:val="center"/>
              <w:rPr>
                <w:rFonts w:cs="Calibri"/>
                <w:b/>
                <w:bCs/>
              </w:rPr>
            </w:pPr>
            <w:r w:rsidRPr="008B46D1">
              <w:rPr>
                <w:rFonts w:cs="Calibri"/>
                <w:b/>
                <w:bCs/>
              </w:rPr>
              <w:t>‘$000</w:t>
            </w:r>
          </w:p>
        </w:tc>
        <w:tc>
          <w:tcPr>
            <w:tcW w:w="1418" w:type="dxa"/>
            <w:gridSpan w:val="2"/>
            <w:tcBorders>
              <w:top w:val="nil"/>
              <w:left w:val="nil"/>
              <w:bottom w:val="nil"/>
              <w:right w:val="nil"/>
            </w:tcBorders>
          </w:tcPr>
          <w:p w14:paraId="71F6D830" w14:textId="23C5220E" w:rsidR="00F53A4F" w:rsidRPr="00F53A4F" w:rsidRDefault="00F53A4F" w:rsidP="00F53A4F">
            <w:pPr>
              <w:pStyle w:val="TableText"/>
              <w:tabs>
                <w:tab w:val="left" w:pos="3306"/>
              </w:tabs>
              <w:spacing w:before="0"/>
              <w:jc w:val="center"/>
              <w:rPr>
                <w:rFonts w:cs="Calibri"/>
                <w:b/>
                <w:bCs/>
                <w:color w:val="538135" w:themeColor="accent6" w:themeShade="BF"/>
              </w:rPr>
            </w:pPr>
            <w:r w:rsidRPr="00F53A4F">
              <w:rPr>
                <w:rFonts w:cs="Calibri"/>
                <w:b/>
                <w:bCs/>
                <w:color w:val="538135" w:themeColor="accent6" w:themeShade="BF"/>
              </w:rPr>
              <w:t>%</w:t>
            </w:r>
          </w:p>
        </w:tc>
      </w:tr>
      <w:tr w:rsidR="00F53A4F" w:rsidRPr="00CF7E1B" w14:paraId="7F932CCC" w14:textId="77777777" w:rsidTr="00F53A4F">
        <w:trPr>
          <w:cantSplit/>
          <w:trHeight w:val="21"/>
        </w:trPr>
        <w:tc>
          <w:tcPr>
            <w:tcW w:w="1563" w:type="dxa"/>
            <w:tcBorders>
              <w:top w:val="nil"/>
              <w:left w:val="single" w:sz="2" w:space="0" w:color="auto"/>
              <w:bottom w:val="nil"/>
              <w:right w:val="single" w:sz="2" w:space="0" w:color="auto"/>
            </w:tcBorders>
          </w:tcPr>
          <w:p w14:paraId="75A1F19F"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60BF5161" w14:textId="6D835313" w:rsidR="00F53A4F" w:rsidRPr="008B46D1" w:rsidRDefault="00F53A4F" w:rsidP="00F53A4F">
            <w:pPr>
              <w:pStyle w:val="TableText"/>
              <w:tabs>
                <w:tab w:val="left" w:pos="3306"/>
              </w:tabs>
              <w:rPr>
                <w:rFonts w:cs="Calibri"/>
                <w:b/>
              </w:rPr>
            </w:pPr>
            <w:r w:rsidRPr="008B46D1">
              <w:rPr>
                <w:rFonts w:cs="Calibri"/>
                <w:b/>
              </w:rPr>
              <w:t>30 June 202</w:t>
            </w:r>
            <w:r w:rsidR="00116607">
              <w:rPr>
                <w:rFonts w:cs="Calibri"/>
                <w:b/>
              </w:rPr>
              <w:t>3</w:t>
            </w:r>
          </w:p>
        </w:tc>
        <w:tc>
          <w:tcPr>
            <w:tcW w:w="1417" w:type="dxa"/>
            <w:tcBorders>
              <w:top w:val="nil"/>
              <w:left w:val="nil"/>
              <w:bottom w:val="nil"/>
              <w:right w:val="nil"/>
            </w:tcBorders>
          </w:tcPr>
          <w:p w14:paraId="26A1D061"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28C3E06C"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18E82318"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7D855823" w14:textId="4A361C4A" w:rsidR="00F53A4F" w:rsidRPr="008B46D1" w:rsidRDefault="00F53A4F" w:rsidP="00F53A4F">
            <w:pPr>
              <w:pStyle w:val="TableText"/>
              <w:tabs>
                <w:tab w:val="left" w:pos="3306"/>
              </w:tabs>
              <w:spacing w:before="0"/>
              <w:jc w:val="right"/>
              <w:rPr>
                <w:rFonts w:cs="Calibri"/>
                <w:b/>
                <w:bCs/>
              </w:rPr>
            </w:pPr>
          </w:p>
        </w:tc>
      </w:tr>
      <w:tr w:rsidR="00F53A4F" w:rsidRPr="00CF7E1B" w14:paraId="79B7926F" w14:textId="77777777" w:rsidTr="00F53A4F">
        <w:trPr>
          <w:cantSplit/>
          <w:trHeight w:val="21"/>
        </w:trPr>
        <w:tc>
          <w:tcPr>
            <w:tcW w:w="1563" w:type="dxa"/>
            <w:tcBorders>
              <w:top w:val="nil"/>
              <w:left w:val="single" w:sz="2" w:space="0" w:color="auto"/>
              <w:bottom w:val="nil"/>
              <w:right w:val="single" w:sz="2" w:space="0" w:color="auto"/>
            </w:tcBorders>
          </w:tcPr>
          <w:p w14:paraId="2FFFCF59"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3C244AE" w14:textId="4A510F93" w:rsidR="00F53A4F" w:rsidRPr="008B46D1" w:rsidRDefault="00F53A4F" w:rsidP="00F53A4F">
            <w:pPr>
              <w:pStyle w:val="TableText"/>
              <w:tabs>
                <w:tab w:val="left" w:pos="3306"/>
              </w:tabs>
              <w:rPr>
                <w:rFonts w:cs="Calibri"/>
                <w:b/>
              </w:rPr>
            </w:pPr>
            <w:r w:rsidRPr="008B46D1">
              <w:rPr>
                <w:rFonts w:cs="Calibri"/>
                <w:bCs/>
              </w:rPr>
              <w:t>Not Overdue</w:t>
            </w:r>
          </w:p>
        </w:tc>
        <w:tc>
          <w:tcPr>
            <w:tcW w:w="1417" w:type="dxa"/>
            <w:tcBorders>
              <w:top w:val="nil"/>
              <w:left w:val="nil"/>
              <w:bottom w:val="nil"/>
              <w:right w:val="nil"/>
            </w:tcBorders>
          </w:tcPr>
          <w:p w14:paraId="4ED1754B"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548D8CEB"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69AFD7D5"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556408EF" w14:textId="1C970BE3" w:rsidR="00F53A4F" w:rsidRPr="008B46D1" w:rsidRDefault="00F53A4F" w:rsidP="00F53A4F">
            <w:pPr>
              <w:pStyle w:val="TableText"/>
              <w:tabs>
                <w:tab w:val="left" w:pos="3306"/>
              </w:tabs>
              <w:spacing w:before="0"/>
              <w:jc w:val="right"/>
              <w:rPr>
                <w:rFonts w:cs="Calibri"/>
                <w:b/>
                <w:bCs/>
              </w:rPr>
            </w:pPr>
          </w:p>
        </w:tc>
      </w:tr>
      <w:tr w:rsidR="00F53A4F" w:rsidRPr="00CF7E1B" w14:paraId="099C1F30" w14:textId="77777777" w:rsidTr="00F53A4F">
        <w:trPr>
          <w:cantSplit/>
          <w:trHeight w:val="21"/>
        </w:trPr>
        <w:tc>
          <w:tcPr>
            <w:tcW w:w="1563" w:type="dxa"/>
            <w:tcBorders>
              <w:top w:val="nil"/>
              <w:left w:val="single" w:sz="2" w:space="0" w:color="auto"/>
              <w:bottom w:val="nil"/>
              <w:right w:val="single" w:sz="2" w:space="0" w:color="auto"/>
            </w:tcBorders>
          </w:tcPr>
          <w:p w14:paraId="5303FF60"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B68F165" w14:textId="439CB34E" w:rsidR="00F53A4F" w:rsidRPr="008B46D1" w:rsidRDefault="00F53A4F" w:rsidP="00F53A4F">
            <w:pPr>
              <w:pStyle w:val="TableText"/>
              <w:tabs>
                <w:tab w:val="left" w:pos="3306"/>
              </w:tabs>
              <w:rPr>
                <w:rFonts w:cs="Calibri"/>
                <w:b/>
              </w:rPr>
            </w:pPr>
            <w:r w:rsidRPr="008B46D1">
              <w:rPr>
                <w:rFonts w:cs="Calibri"/>
                <w:bCs/>
              </w:rPr>
              <w:t>1-30 Days Past Due</w:t>
            </w:r>
          </w:p>
        </w:tc>
        <w:tc>
          <w:tcPr>
            <w:tcW w:w="1417" w:type="dxa"/>
            <w:tcBorders>
              <w:top w:val="nil"/>
              <w:left w:val="nil"/>
              <w:bottom w:val="nil"/>
              <w:right w:val="nil"/>
            </w:tcBorders>
          </w:tcPr>
          <w:p w14:paraId="6401A2A1"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2DC8ECC1"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5869B319"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102F8208" w14:textId="19F7F474" w:rsidR="00F53A4F" w:rsidRPr="008B46D1" w:rsidRDefault="00F53A4F" w:rsidP="00F53A4F">
            <w:pPr>
              <w:pStyle w:val="TableText"/>
              <w:tabs>
                <w:tab w:val="left" w:pos="3306"/>
              </w:tabs>
              <w:spacing w:before="0"/>
              <w:jc w:val="right"/>
              <w:rPr>
                <w:rFonts w:cs="Calibri"/>
                <w:b/>
                <w:bCs/>
              </w:rPr>
            </w:pPr>
          </w:p>
        </w:tc>
      </w:tr>
      <w:tr w:rsidR="00F53A4F" w:rsidRPr="00CF7E1B" w14:paraId="4133B9CC" w14:textId="77777777" w:rsidTr="00F53A4F">
        <w:trPr>
          <w:cantSplit/>
          <w:trHeight w:val="21"/>
        </w:trPr>
        <w:tc>
          <w:tcPr>
            <w:tcW w:w="1563" w:type="dxa"/>
            <w:tcBorders>
              <w:top w:val="nil"/>
              <w:left w:val="single" w:sz="2" w:space="0" w:color="auto"/>
              <w:bottom w:val="nil"/>
              <w:right w:val="single" w:sz="2" w:space="0" w:color="auto"/>
            </w:tcBorders>
          </w:tcPr>
          <w:p w14:paraId="036A0998"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15FEB788" w14:textId="76BD1411" w:rsidR="00F53A4F" w:rsidRPr="008B46D1" w:rsidRDefault="00F53A4F" w:rsidP="00F53A4F">
            <w:pPr>
              <w:pStyle w:val="TableText"/>
              <w:tabs>
                <w:tab w:val="left" w:pos="3306"/>
              </w:tabs>
              <w:rPr>
                <w:rFonts w:cs="Calibri"/>
                <w:b/>
              </w:rPr>
            </w:pPr>
            <w:r w:rsidRPr="008B46D1">
              <w:rPr>
                <w:rFonts w:cs="Calibri"/>
                <w:bCs/>
              </w:rPr>
              <w:t>31-60 Days Past Due</w:t>
            </w:r>
          </w:p>
        </w:tc>
        <w:tc>
          <w:tcPr>
            <w:tcW w:w="1417" w:type="dxa"/>
            <w:tcBorders>
              <w:top w:val="nil"/>
              <w:left w:val="nil"/>
              <w:bottom w:val="nil"/>
              <w:right w:val="nil"/>
            </w:tcBorders>
          </w:tcPr>
          <w:p w14:paraId="67D38F6E"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3A32638D"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67D4F370"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3A21E3FA" w14:textId="6A089F52" w:rsidR="00F53A4F" w:rsidRPr="008B46D1" w:rsidRDefault="00F53A4F" w:rsidP="00F53A4F">
            <w:pPr>
              <w:pStyle w:val="TableText"/>
              <w:tabs>
                <w:tab w:val="left" w:pos="3306"/>
              </w:tabs>
              <w:spacing w:before="0"/>
              <w:jc w:val="right"/>
              <w:rPr>
                <w:rFonts w:cs="Calibri"/>
                <w:b/>
                <w:bCs/>
              </w:rPr>
            </w:pPr>
          </w:p>
        </w:tc>
      </w:tr>
      <w:tr w:rsidR="00F53A4F" w:rsidRPr="00CF7E1B" w14:paraId="7D8CEFC1" w14:textId="77777777" w:rsidTr="00F53A4F">
        <w:trPr>
          <w:cantSplit/>
          <w:trHeight w:val="21"/>
        </w:trPr>
        <w:tc>
          <w:tcPr>
            <w:tcW w:w="1563" w:type="dxa"/>
            <w:tcBorders>
              <w:top w:val="nil"/>
              <w:left w:val="single" w:sz="2" w:space="0" w:color="auto"/>
              <w:bottom w:val="nil"/>
              <w:right w:val="single" w:sz="2" w:space="0" w:color="auto"/>
            </w:tcBorders>
          </w:tcPr>
          <w:p w14:paraId="7B3BD655"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419A7EAE" w14:textId="22BF5D3A" w:rsidR="00F53A4F" w:rsidRPr="008B46D1" w:rsidRDefault="00F53A4F" w:rsidP="00F53A4F">
            <w:pPr>
              <w:pStyle w:val="TableText"/>
              <w:tabs>
                <w:tab w:val="left" w:pos="3306"/>
              </w:tabs>
              <w:rPr>
                <w:rFonts w:cs="Calibri"/>
                <w:b/>
              </w:rPr>
            </w:pPr>
            <w:r w:rsidRPr="008B46D1">
              <w:rPr>
                <w:rFonts w:cs="Calibri"/>
                <w:bCs/>
              </w:rPr>
              <w:t>61-90 Days Past Due</w:t>
            </w:r>
          </w:p>
        </w:tc>
        <w:tc>
          <w:tcPr>
            <w:tcW w:w="1417" w:type="dxa"/>
            <w:tcBorders>
              <w:top w:val="nil"/>
              <w:left w:val="nil"/>
              <w:bottom w:val="nil"/>
              <w:right w:val="nil"/>
            </w:tcBorders>
          </w:tcPr>
          <w:p w14:paraId="5EFAA02B"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4FDF6BFC"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6A6A3996"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493E7EA2" w14:textId="6F8C0A0B" w:rsidR="00F53A4F" w:rsidRPr="008B46D1" w:rsidRDefault="00F53A4F" w:rsidP="00F53A4F">
            <w:pPr>
              <w:pStyle w:val="TableText"/>
              <w:tabs>
                <w:tab w:val="left" w:pos="3306"/>
              </w:tabs>
              <w:spacing w:before="0"/>
              <w:jc w:val="right"/>
              <w:rPr>
                <w:rFonts w:cs="Calibri"/>
                <w:b/>
                <w:bCs/>
              </w:rPr>
            </w:pPr>
          </w:p>
        </w:tc>
      </w:tr>
      <w:tr w:rsidR="00F53A4F" w:rsidRPr="00CF7E1B" w14:paraId="45060FB6" w14:textId="77777777" w:rsidTr="00F53A4F">
        <w:trPr>
          <w:cantSplit/>
          <w:trHeight w:val="21"/>
        </w:trPr>
        <w:tc>
          <w:tcPr>
            <w:tcW w:w="1563" w:type="dxa"/>
            <w:tcBorders>
              <w:top w:val="nil"/>
              <w:left w:val="single" w:sz="2" w:space="0" w:color="auto"/>
              <w:bottom w:val="nil"/>
              <w:right w:val="single" w:sz="2" w:space="0" w:color="auto"/>
            </w:tcBorders>
          </w:tcPr>
          <w:p w14:paraId="65B490E2"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B271C18" w14:textId="40F3E9E6" w:rsidR="00F53A4F" w:rsidRPr="008B46D1" w:rsidRDefault="00F53A4F" w:rsidP="00F53A4F">
            <w:pPr>
              <w:pStyle w:val="TableText"/>
              <w:tabs>
                <w:tab w:val="left" w:pos="3306"/>
              </w:tabs>
              <w:rPr>
                <w:rFonts w:cs="Calibri"/>
                <w:b/>
              </w:rPr>
            </w:pPr>
            <w:r w:rsidRPr="008B46D1">
              <w:rPr>
                <w:rFonts w:cs="Calibri"/>
                <w:bCs/>
              </w:rPr>
              <w:t>&gt;91 Days Past Due</w:t>
            </w:r>
          </w:p>
        </w:tc>
        <w:tc>
          <w:tcPr>
            <w:tcW w:w="1417" w:type="dxa"/>
            <w:tcBorders>
              <w:top w:val="nil"/>
              <w:left w:val="nil"/>
              <w:bottom w:val="single" w:sz="4" w:space="0" w:color="auto"/>
              <w:right w:val="nil"/>
            </w:tcBorders>
          </w:tcPr>
          <w:p w14:paraId="066DB770"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single" w:sz="4" w:space="0" w:color="auto"/>
              <w:right w:val="nil"/>
            </w:tcBorders>
          </w:tcPr>
          <w:p w14:paraId="3A22FAB0"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single" w:sz="4" w:space="0" w:color="auto"/>
              <w:right w:val="nil"/>
            </w:tcBorders>
          </w:tcPr>
          <w:p w14:paraId="37FF3B3D"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single" w:sz="4" w:space="0" w:color="auto"/>
              <w:right w:val="nil"/>
            </w:tcBorders>
          </w:tcPr>
          <w:p w14:paraId="6AF7F1D9" w14:textId="0830176C" w:rsidR="00F53A4F" w:rsidRPr="008B46D1" w:rsidRDefault="00F53A4F" w:rsidP="00F53A4F">
            <w:pPr>
              <w:pStyle w:val="TableText"/>
              <w:tabs>
                <w:tab w:val="left" w:pos="3306"/>
              </w:tabs>
              <w:spacing w:before="0"/>
              <w:jc w:val="right"/>
              <w:rPr>
                <w:rFonts w:cs="Calibri"/>
                <w:b/>
                <w:bCs/>
              </w:rPr>
            </w:pPr>
          </w:p>
        </w:tc>
      </w:tr>
      <w:tr w:rsidR="00F53A4F" w:rsidRPr="00CF7E1B" w14:paraId="0032B282" w14:textId="77777777" w:rsidTr="00F53A4F">
        <w:trPr>
          <w:cantSplit/>
          <w:trHeight w:val="21"/>
        </w:trPr>
        <w:tc>
          <w:tcPr>
            <w:tcW w:w="1563" w:type="dxa"/>
            <w:tcBorders>
              <w:top w:val="nil"/>
              <w:left w:val="single" w:sz="2" w:space="0" w:color="auto"/>
              <w:bottom w:val="nil"/>
              <w:right w:val="single" w:sz="2" w:space="0" w:color="auto"/>
            </w:tcBorders>
          </w:tcPr>
          <w:p w14:paraId="57033183"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08F486E" w14:textId="2C92389B" w:rsidR="00F53A4F" w:rsidRPr="008B46D1" w:rsidRDefault="00F53A4F" w:rsidP="00F53A4F">
            <w:pPr>
              <w:pStyle w:val="TableText"/>
              <w:tabs>
                <w:tab w:val="left" w:pos="3306"/>
              </w:tabs>
              <w:rPr>
                <w:rFonts w:cs="Calibri"/>
                <w:b/>
              </w:rPr>
            </w:pPr>
            <w:r w:rsidRPr="008B46D1">
              <w:rPr>
                <w:rFonts w:cs="Calibri"/>
                <w:b/>
              </w:rPr>
              <w:t>Total</w:t>
            </w:r>
          </w:p>
        </w:tc>
        <w:tc>
          <w:tcPr>
            <w:tcW w:w="1417" w:type="dxa"/>
            <w:tcBorders>
              <w:top w:val="single" w:sz="4" w:space="0" w:color="auto"/>
              <w:left w:val="nil"/>
              <w:bottom w:val="double" w:sz="4" w:space="0" w:color="auto"/>
              <w:right w:val="nil"/>
            </w:tcBorders>
          </w:tcPr>
          <w:p w14:paraId="03DA75A3" w14:textId="77777777" w:rsidR="00F53A4F" w:rsidRPr="008B46D1" w:rsidRDefault="00F53A4F" w:rsidP="00F53A4F">
            <w:pPr>
              <w:pStyle w:val="TableText"/>
              <w:tabs>
                <w:tab w:val="left" w:pos="3306"/>
              </w:tabs>
              <w:jc w:val="right"/>
              <w:rPr>
                <w:rFonts w:cs="Calibri"/>
                <w:b/>
                <w:bCs/>
              </w:rPr>
            </w:pPr>
          </w:p>
        </w:tc>
        <w:tc>
          <w:tcPr>
            <w:tcW w:w="2268" w:type="dxa"/>
            <w:tcBorders>
              <w:top w:val="single" w:sz="4" w:space="0" w:color="auto"/>
              <w:left w:val="nil"/>
              <w:bottom w:val="double" w:sz="4" w:space="0" w:color="auto"/>
              <w:right w:val="nil"/>
            </w:tcBorders>
          </w:tcPr>
          <w:p w14:paraId="6EDFA13D"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single" w:sz="4" w:space="0" w:color="auto"/>
              <w:left w:val="nil"/>
              <w:bottom w:val="double" w:sz="4" w:space="0" w:color="auto"/>
              <w:right w:val="nil"/>
            </w:tcBorders>
          </w:tcPr>
          <w:p w14:paraId="1F81B862"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single" w:sz="4" w:space="0" w:color="auto"/>
              <w:left w:val="nil"/>
              <w:bottom w:val="double" w:sz="4" w:space="0" w:color="auto"/>
              <w:right w:val="nil"/>
            </w:tcBorders>
          </w:tcPr>
          <w:p w14:paraId="143995C0" w14:textId="5590650E" w:rsidR="00F53A4F" w:rsidRPr="008B46D1" w:rsidRDefault="00F53A4F" w:rsidP="00F53A4F">
            <w:pPr>
              <w:pStyle w:val="TableText"/>
              <w:tabs>
                <w:tab w:val="left" w:pos="3306"/>
              </w:tabs>
              <w:spacing w:before="0"/>
              <w:jc w:val="right"/>
              <w:rPr>
                <w:rFonts w:cs="Calibri"/>
                <w:b/>
                <w:bCs/>
              </w:rPr>
            </w:pPr>
          </w:p>
        </w:tc>
      </w:tr>
      <w:tr w:rsidR="00F53A4F" w:rsidRPr="00CF7E1B" w14:paraId="7CEEAFDC" w14:textId="77777777" w:rsidTr="00F53A4F">
        <w:trPr>
          <w:cantSplit/>
          <w:trHeight w:val="21"/>
        </w:trPr>
        <w:tc>
          <w:tcPr>
            <w:tcW w:w="1563" w:type="dxa"/>
            <w:tcBorders>
              <w:top w:val="nil"/>
              <w:left w:val="single" w:sz="2" w:space="0" w:color="auto"/>
              <w:bottom w:val="nil"/>
              <w:right w:val="single" w:sz="2" w:space="0" w:color="auto"/>
            </w:tcBorders>
          </w:tcPr>
          <w:p w14:paraId="777C14E1"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6E39EDA0" w14:textId="77777777" w:rsidR="00F53A4F" w:rsidRPr="008B46D1" w:rsidRDefault="00F53A4F" w:rsidP="00F53A4F">
            <w:pPr>
              <w:pStyle w:val="TableText"/>
              <w:tabs>
                <w:tab w:val="left" w:pos="3306"/>
              </w:tabs>
              <w:rPr>
                <w:rFonts w:cs="Calibri"/>
                <w:b/>
              </w:rPr>
            </w:pPr>
          </w:p>
        </w:tc>
        <w:tc>
          <w:tcPr>
            <w:tcW w:w="1417" w:type="dxa"/>
            <w:tcBorders>
              <w:top w:val="double" w:sz="4" w:space="0" w:color="auto"/>
              <w:left w:val="nil"/>
              <w:bottom w:val="nil"/>
              <w:right w:val="nil"/>
            </w:tcBorders>
          </w:tcPr>
          <w:p w14:paraId="3F5E16ED" w14:textId="77777777" w:rsidR="00F53A4F" w:rsidRPr="008B46D1" w:rsidRDefault="00F53A4F" w:rsidP="00F53A4F">
            <w:pPr>
              <w:pStyle w:val="TableText"/>
              <w:tabs>
                <w:tab w:val="left" w:pos="3306"/>
              </w:tabs>
              <w:jc w:val="right"/>
              <w:rPr>
                <w:rFonts w:cs="Calibri"/>
                <w:b/>
                <w:bCs/>
              </w:rPr>
            </w:pPr>
          </w:p>
        </w:tc>
        <w:tc>
          <w:tcPr>
            <w:tcW w:w="2268" w:type="dxa"/>
            <w:tcBorders>
              <w:top w:val="double" w:sz="4" w:space="0" w:color="auto"/>
              <w:left w:val="nil"/>
              <w:bottom w:val="nil"/>
              <w:right w:val="nil"/>
            </w:tcBorders>
          </w:tcPr>
          <w:p w14:paraId="17A2490F"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double" w:sz="4" w:space="0" w:color="auto"/>
              <w:left w:val="nil"/>
              <w:bottom w:val="nil"/>
              <w:right w:val="nil"/>
            </w:tcBorders>
          </w:tcPr>
          <w:p w14:paraId="508E271B"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double" w:sz="4" w:space="0" w:color="auto"/>
              <w:left w:val="nil"/>
              <w:bottom w:val="nil"/>
              <w:right w:val="nil"/>
            </w:tcBorders>
          </w:tcPr>
          <w:p w14:paraId="47D97873" w14:textId="4E8B4977" w:rsidR="00F53A4F" w:rsidRPr="008B46D1" w:rsidRDefault="00F53A4F" w:rsidP="00F53A4F">
            <w:pPr>
              <w:pStyle w:val="TableText"/>
              <w:tabs>
                <w:tab w:val="left" w:pos="3306"/>
              </w:tabs>
              <w:spacing w:before="0"/>
              <w:jc w:val="right"/>
              <w:rPr>
                <w:rFonts w:cs="Calibri"/>
                <w:b/>
                <w:bCs/>
              </w:rPr>
            </w:pPr>
          </w:p>
        </w:tc>
      </w:tr>
      <w:tr w:rsidR="00F53A4F" w:rsidRPr="00CF7E1B" w14:paraId="1970577D" w14:textId="77777777" w:rsidTr="00F53A4F">
        <w:trPr>
          <w:cantSplit/>
          <w:trHeight w:val="21"/>
        </w:trPr>
        <w:tc>
          <w:tcPr>
            <w:tcW w:w="1563" w:type="dxa"/>
            <w:tcBorders>
              <w:top w:val="nil"/>
              <w:left w:val="single" w:sz="2" w:space="0" w:color="auto"/>
              <w:bottom w:val="nil"/>
              <w:right w:val="single" w:sz="2" w:space="0" w:color="auto"/>
            </w:tcBorders>
          </w:tcPr>
          <w:p w14:paraId="1E01060B"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28519988" w14:textId="267A686C" w:rsidR="00F53A4F" w:rsidRPr="008B46D1" w:rsidRDefault="00F53A4F" w:rsidP="00F53A4F">
            <w:pPr>
              <w:pStyle w:val="TableText"/>
              <w:tabs>
                <w:tab w:val="left" w:pos="3306"/>
              </w:tabs>
              <w:rPr>
                <w:rFonts w:cs="Calibri"/>
                <w:b/>
              </w:rPr>
            </w:pPr>
            <w:r w:rsidRPr="008B46D1">
              <w:rPr>
                <w:rFonts w:cs="Calibri"/>
                <w:b/>
              </w:rPr>
              <w:t>30 June 202</w:t>
            </w:r>
            <w:r w:rsidR="00116607">
              <w:rPr>
                <w:rFonts w:cs="Calibri"/>
                <w:b/>
              </w:rPr>
              <w:t>2</w:t>
            </w:r>
          </w:p>
        </w:tc>
        <w:tc>
          <w:tcPr>
            <w:tcW w:w="1417" w:type="dxa"/>
            <w:tcBorders>
              <w:top w:val="nil"/>
              <w:left w:val="nil"/>
              <w:bottom w:val="nil"/>
              <w:right w:val="nil"/>
            </w:tcBorders>
          </w:tcPr>
          <w:p w14:paraId="5D7BBF76"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6F6CEF86"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3FC529EC"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412DE9D5" w14:textId="787F1E95" w:rsidR="00F53A4F" w:rsidRPr="008B46D1" w:rsidRDefault="00F53A4F" w:rsidP="00F53A4F">
            <w:pPr>
              <w:pStyle w:val="TableText"/>
              <w:tabs>
                <w:tab w:val="left" w:pos="3306"/>
              </w:tabs>
              <w:spacing w:before="0"/>
              <w:jc w:val="right"/>
              <w:rPr>
                <w:rFonts w:cs="Calibri"/>
                <w:b/>
                <w:bCs/>
              </w:rPr>
            </w:pPr>
          </w:p>
        </w:tc>
      </w:tr>
      <w:tr w:rsidR="00F53A4F" w:rsidRPr="00CF7E1B" w14:paraId="3E5ACC62" w14:textId="77777777" w:rsidTr="00F53A4F">
        <w:trPr>
          <w:cantSplit/>
          <w:trHeight w:val="21"/>
        </w:trPr>
        <w:tc>
          <w:tcPr>
            <w:tcW w:w="1563" w:type="dxa"/>
            <w:tcBorders>
              <w:top w:val="nil"/>
              <w:left w:val="single" w:sz="2" w:space="0" w:color="auto"/>
              <w:bottom w:val="nil"/>
              <w:right w:val="single" w:sz="2" w:space="0" w:color="auto"/>
            </w:tcBorders>
          </w:tcPr>
          <w:p w14:paraId="748CC586"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57828B0E" w14:textId="74BEAF71" w:rsidR="00F53A4F" w:rsidRPr="008B46D1" w:rsidRDefault="00F53A4F" w:rsidP="00F53A4F">
            <w:pPr>
              <w:pStyle w:val="TableText"/>
              <w:tabs>
                <w:tab w:val="left" w:pos="3306"/>
              </w:tabs>
              <w:rPr>
                <w:rFonts w:cs="Calibri"/>
                <w:b/>
              </w:rPr>
            </w:pPr>
            <w:r w:rsidRPr="008B46D1">
              <w:rPr>
                <w:rFonts w:cs="Calibri"/>
                <w:bCs/>
              </w:rPr>
              <w:t>Not Overdue</w:t>
            </w:r>
          </w:p>
        </w:tc>
        <w:tc>
          <w:tcPr>
            <w:tcW w:w="1417" w:type="dxa"/>
            <w:tcBorders>
              <w:top w:val="nil"/>
              <w:left w:val="nil"/>
              <w:bottom w:val="nil"/>
              <w:right w:val="nil"/>
            </w:tcBorders>
          </w:tcPr>
          <w:p w14:paraId="461D8F26"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77097054"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5BEE848E"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40274A51" w14:textId="09E61CE0" w:rsidR="00F53A4F" w:rsidRPr="008B46D1" w:rsidRDefault="00F53A4F" w:rsidP="00F53A4F">
            <w:pPr>
              <w:pStyle w:val="TableText"/>
              <w:tabs>
                <w:tab w:val="left" w:pos="3306"/>
              </w:tabs>
              <w:spacing w:before="0"/>
              <w:jc w:val="right"/>
              <w:rPr>
                <w:rFonts w:cs="Calibri"/>
                <w:b/>
                <w:bCs/>
              </w:rPr>
            </w:pPr>
          </w:p>
        </w:tc>
      </w:tr>
      <w:tr w:rsidR="00F53A4F" w:rsidRPr="00CF7E1B" w14:paraId="45A9D3F7" w14:textId="77777777" w:rsidTr="00F53A4F">
        <w:trPr>
          <w:cantSplit/>
          <w:trHeight w:val="21"/>
        </w:trPr>
        <w:tc>
          <w:tcPr>
            <w:tcW w:w="1563" w:type="dxa"/>
            <w:tcBorders>
              <w:top w:val="nil"/>
              <w:left w:val="single" w:sz="2" w:space="0" w:color="auto"/>
              <w:bottom w:val="nil"/>
              <w:right w:val="single" w:sz="2" w:space="0" w:color="auto"/>
            </w:tcBorders>
          </w:tcPr>
          <w:p w14:paraId="438DE7B6"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35FF0FAD" w14:textId="525D8806" w:rsidR="00F53A4F" w:rsidRPr="008B46D1" w:rsidRDefault="00F53A4F" w:rsidP="00F53A4F">
            <w:pPr>
              <w:pStyle w:val="TableText"/>
              <w:tabs>
                <w:tab w:val="left" w:pos="3306"/>
              </w:tabs>
              <w:rPr>
                <w:rFonts w:cs="Calibri"/>
                <w:b/>
              </w:rPr>
            </w:pPr>
            <w:r w:rsidRPr="008B46D1">
              <w:rPr>
                <w:rFonts w:cs="Calibri"/>
                <w:bCs/>
              </w:rPr>
              <w:t>1-30 Days Past Due</w:t>
            </w:r>
          </w:p>
        </w:tc>
        <w:tc>
          <w:tcPr>
            <w:tcW w:w="1417" w:type="dxa"/>
            <w:tcBorders>
              <w:top w:val="nil"/>
              <w:left w:val="nil"/>
              <w:bottom w:val="nil"/>
              <w:right w:val="nil"/>
            </w:tcBorders>
          </w:tcPr>
          <w:p w14:paraId="15094288"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1F4A175A"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4C58E348"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786E9728" w14:textId="68602ADA" w:rsidR="00F53A4F" w:rsidRPr="008B46D1" w:rsidRDefault="00F53A4F" w:rsidP="00F53A4F">
            <w:pPr>
              <w:pStyle w:val="TableText"/>
              <w:tabs>
                <w:tab w:val="left" w:pos="3306"/>
              </w:tabs>
              <w:spacing w:before="0"/>
              <w:jc w:val="right"/>
              <w:rPr>
                <w:rFonts w:cs="Calibri"/>
                <w:b/>
                <w:bCs/>
              </w:rPr>
            </w:pPr>
          </w:p>
        </w:tc>
      </w:tr>
      <w:tr w:rsidR="00F53A4F" w:rsidRPr="00CF7E1B" w14:paraId="1A8276E0" w14:textId="77777777" w:rsidTr="00F53A4F">
        <w:trPr>
          <w:cantSplit/>
          <w:trHeight w:val="21"/>
        </w:trPr>
        <w:tc>
          <w:tcPr>
            <w:tcW w:w="1563" w:type="dxa"/>
            <w:tcBorders>
              <w:top w:val="nil"/>
              <w:left w:val="single" w:sz="2" w:space="0" w:color="auto"/>
              <w:bottom w:val="nil"/>
              <w:right w:val="single" w:sz="2" w:space="0" w:color="auto"/>
            </w:tcBorders>
          </w:tcPr>
          <w:p w14:paraId="170557F8"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430C8DF6" w14:textId="69381F53" w:rsidR="00F53A4F" w:rsidRPr="008B46D1" w:rsidRDefault="00F53A4F" w:rsidP="00F53A4F">
            <w:pPr>
              <w:pStyle w:val="TableText"/>
              <w:tabs>
                <w:tab w:val="left" w:pos="3306"/>
              </w:tabs>
              <w:rPr>
                <w:rFonts w:cs="Calibri"/>
                <w:b/>
              </w:rPr>
            </w:pPr>
            <w:r w:rsidRPr="008B46D1">
              <w:rPr>
                <w:rFonts w:cs="Calibri"/>
                <w:bCs/>
              </w:rPr>
              <w:t>31-60 Days Past Due</w:t>
            </w:r>
          </w:p>
        </w:tc>
        <w:tc>
          <w:tcPr>
            <w:tcW w:w="1417" w:type="dxa"/>
            <w:tcBorders>
              <w:top w:val="nil"/>
              <w:left w:val="nil"/>
              <w:bottom w:val="nil"/>
              <w:right w:val="nil"/>
            </w:tcBorders>
          </w:tcPr>
          <w:p w14:paraId="53AEF5CA"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7A181940"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64E368B8"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098DA869" w14:textId="09142530" w:rsidR="00F53A4F" w:rsidRPr="008B46D1" w:rsidRDefault="00F53A4F" w:rsidP="00F53A4F">
            <w:pPr>
              <w:pStyle w:val="TableText"/>
              <w:tabs>
                <w:tab w:val="left" w:pos="3306"/>
              </w:tabs>
              <w:spacing w:before="0"/>
              <w:jc w:val="right"/>
              <w:rPr>
                <w:rFonts w:cs="Calibri"/>
                <w:b/>
                <w:bCs/>
              </w:rPr>
            </w:pPr>
          </w:p>
        </w:tc>
      </w:tr>
      <w:tr w:rsidR="00F53A4F" w:rsidRPr="00CF7E1B" w14:paraId="4E8D653A" w14:textId="77777777" w:rsidTr="00F53A4F">
        <w:trPr>
          <w:cantSplit/>
          <w:trHeight w:val="21"/>
        </w:trPr>
        <w:tc>
          <w:tcPr>
            <w:tcW w:w="1563" w:type="dxa"/>
            <w:tcBorders>
              <w:top w:val="nil"/>
              <w:left w:val="single" w:sz="2" w:space="0" w:color="auto"/>
              <w:bottom w:val="nil"/>
              <w:right w:val="single" w:sz="2" w:space="0" w:color="auto"/>
            </w:tcBorders>
          </w:tcPr>
          <w:p w14:paraId="1A1721BB"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475B8D0" w14:textId="2916A87E" w:rsidR="00F53A4F" w:rsidRPr="008B46D1" w:rsidRDefault="00F53A4F" w:rsidP="00F53A4F">
            <w:pPr>
              <w:pStyle w:val="TableText"/>
              <w:tabs>
                <w:tab w:val="left" w:pos="3306"/>
              </w:tabs>
              <w:rPr>
                <w:rFonts w:cs="Calibri"/>
                <w:b/>
              </w:rPr>
            </w:pPr>
            <w:r w:rsidRPr="008B46D1">
              <w:rPr>
                <w:rFonts w:cs="Calibri"/>
                <w:bCs/>
              </w:rPr>
              <w:t>61-90 Days Past Due</w:t>
            </w:r>
          </w:p>
        </w:tc>
        <w:tc>
          <w:tcPr>
            <w:tcW w:w="1417" w:type="dxa"/>
            <w:tcBorders>
              <w:top w:val="nil"/>
              <w:left w:val="nil"/>
              <w:bottom w:val="nil"/>
              <w:right w:val="nil"/>
            </w:tcBorders>
          </w:tcPr>
          <w:p w14:paraId="333FA7AE"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nil"/>
              <w:right w:val="nil"/>
            </w:tcBorders>
          </w:tcPr>
          <w:p w14:paraId="2C1086D1"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nil"/>
              <w:right w:val="nil"/>
            </w:tcBorders>
          </w:tcPr>
          <w:p w14:paraId="2D609629"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nil"/>
              <w:right w:val="nil"/>
            </w:tcBorders>
          </w:tcPr>
          <w:p w14:paraId="1110DA25" w14:textId="03354339" w:rsidR="00F53A4F" w:rsidRPr="008B46D1" w:rsidRDefault="00F53A4F" w:rsidP="00F53A4F">
            <w:pPr>
              <w:pStyle w:val="TableText"/>
              <w:tabs>
                <w:tab w:val="left" w:pos="3306"/>
              </w:tabs>
              <w:spacing w:before="0"/>
              <w:jc w:val="right"/>
              <w:rPr>
                <w:rFonts w:cs="Calibri"/>
                <w:b/>
                <w:bCs/>
              </w:rPr>
            </w:pPr>
          </w:p>
        </w:tc>
      </w:tr>
      <w:tr w:rsidR="00F53A4F" w:rsidRPr="00CF7E1B" w14:paraId="30D6C6F9" w14:textId="77777777" w:rsidTr="00F53A4F">
        <w:trPr>
          <w:cantSplit/>
          <w:trHeight w:val="21"/>
        </w:trPr>
        <w:tc>
          <w:tcPr>
            <w:tcW w:w="1563" w:type="dxa"/>
            <w:tcBorders>
              <w:top w:val="nil"/>
              <w:left w:val="single" w:sz="2" w:space="0" w:color="auto"/>
              <w:bottom w:val="nil"/>
              <w:right w:val="single" w:sz="2" w:space="0" w:color="auto"/>
            </w:tcBorders>
          </w:tcPr>
          <w:p w14:paraId="21714D38"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12AC2D72" w14:textId="654AAE7B" w:rsidR="00F53A4F" w:rsidRPr="008B46D1" w:rsidRDefault="00F53A4F" w:rsidP="00F53A4F">
            <w:pPr>
              <w:pStyle w:val="TableText"/>
              <w:tabs>
                <w:tab w:val="left" w:pos="3306"/>
              </w:tabs>
              <w:rPr>
                <w:rFonts w:cs="Calibri"/>
                <w:b/>
              </w:rPr>
            </w:pPr>
            <w:r w:rsidRPr="008B46D1">
              <w:rPr>
                <w:rFonts w:cs="Calibri"/>
                <w:bCs/>
              </w:rPr>
              <w:t>&gt;91 Days Past Due</w:t>
            </w:r>
          </w:p>
        </w:tc>
        <w:tc>
          <w:tcPr>
            <w:tcW w:w="1417" w:type="dxa"/>
            <w:tcBorders>
              <w:top w:val="nil"/>
              <w:left w:val="nil"/>
              <w:bottom w:val="single" w:sz="4" w:space="0" w:color="auto"/>
              <w:right w:val="nil"/>
            </w:tcBorders>
          </w:tcPr>
          <w:p w14:paraId="7258288E" w14:textId="77777777" w:rsidR="00F53A4F" w:rsidRPr="008B46D1" w:rsidRDefault="00F53A4F" w:rsidP="00F53A4F">
            <w:pPr>
              <w:pStyle w:val="TableText"/>
              <w:tabs>
                <w:tab w:val="left" w:pos="3306"/>
              </w:tabs>
              <w:jc w:val="right"/>
              <w:rPr>
                <w:rFonts w:cs="Calibri"/>
                <w:b/>
                <w:bCs/>
              </w:rPr>
            </w:pPr>
          </w:p>
        </w:tc>
        <w:tc>
          <w:tcPr>
            <w:tcW w:w="2268" w:type="dxa"/>
            <w:tcBorders>
              <w:top w:val="nil"/>
              <w:left w:val="nil"/>
              <w:bottom w:val="single" w:sz="4" w:space="0" w:color="auto"/>
              <w:right w:val="nil"/>
            </w:tcBorders>
          </w:tcPr>
          <w:p w14:paraId="3B18CDFE"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nil"/>
              <w:left w:val="nil"/>
              <w:bottom w:val="single" w:sz="4" w:space="0" w:color="auto"/>
              <w:right w:val="nil"/>
            </w:tcBorders>
          </w:tcPr>
          <w:p w14:paraId="1771D95C"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nil"/>
              <w:left w:val="nil"/>
              <w:bottom w:val="single" w:sz="4" w:space="0" w:color="auto"/>
              <w:right w:val="nil"/>
            </w:tcBorders>
          </w:tcPr>
          <w:p w14:paraId="41A34D3C" w14:textId="6D6D5C11" w:rsidR="00F53A4F" w:rsidRPr="008B46D1" w:rsidRDefault="00F53A4F" w:rsidP="00F53A4F">
            <w:pPr>
              <w:pStyle w:val="TableText"/>
              <w:tabs>
                <w:tab w:val="left" w:pos="3306"/>
              </w:tabs>
              <w:spacing w:before="0"/>
              <w:jc w:val="right"/>
              <w:rPr>
                <w:rFonts w:cs="Calibri"/>
                <w:b/>
                <w:bCs/>
              </w:rPr>
            </w:pPr>
          </w:p>
        </w:tc>
      </w:tr>
      <w:tr w:rsidR="00F53A4F" w:rsidRPr="00CF7E1B" w14:paraId="3D8C043D" w14:textId="77777777" w:rsidTr="00F53A4F">
        <w:trPr>
          <w:cantSplit/>
          <w:trHeight w:val="21"/>
        </w:trPr>
        <w:tc>
          <w:tcPr>
            <w:tcW w:w="1563" w:type="dxa"/>
            <w:tcBorders>
              <w:top w:val="nil"/>
              <w:left w:val="single" w:sz="2" w:space="0" w:color="auto"/>
              <w:bottom w:val="nil"/>
              <w:right w:val="single" w:sz="2" w:space="0" w:color="auto"/>
            </w:tcBorders>
          </w:tcPr>
          <w:p w14:paraId="3A9BFF92" w14:textId="77777777" w:rsidR="00F53A4F" w:rsidRPr="008B46D1" w:rsidRDefault="00F53A4F" w:rsidP="00F53A4F">
            <w:pPr>
              <w:pStyle w:val="TableText"/>
              <w:tabs>
                <w:tab w:val="left" w:pos="3306"/>
              </w:tabs>
              <w:jc w:val="right"/>
              <w:rPr>
                <w:rFonts w:cs="Calibri"/>
                <w:color w:val="7030A0"/>
              </w:rPr>
            </w:pPr>
          </w:p>
        </w:tc>
        <w:tc>
          <w:tcPr>
            <w:tcW w:w="2268" w:type="dxa"/>
            <w:tcBorders>
              <w:top w:val="nil"/>
              <w:left w:val="single" w:sz="2" w:space="0" w:color="auto"/>
              <w:bottom w:val="nil"/>
              <w:right w:val="nil"/>
            </w:tcBorders>
          </w:tcPr>
          <w:p w14:paraId="0DA857F6" w14:textId="7D14942C" w:rsidR="00F53A4F" w:rsidRPr="008B46D1" w:rsidRDefault="00F53A4F" w:rsidP="00F53A4F">
            <w:pPr>
              <w:pStyle w:val="TableText"/>
              <w:tabs>
                <w:tab w:val="left" w:pos="3306"/>
              </w:tabs>
              <w:rPr>
                <w:rFonts w:cs="Calibri"/>
                <w:b/>
              </w:rPr>
            </w:pPr>
            <w:r w:rsidRPr="008B46D1">
              <w:rPr>
                <w:rFonts w:cs="Calibri"/>
                <w:b/>
              </w:rPr>
              <w:t>Total</w:t>
            </w:r>
          </w:p>
        </w:tc>
        <w:tc>
          <w:tcPr>
            <w:tcW w:w="1417" w:type="dxa"/>
            <w:tcBorders>
              <w:top w:val="single" w:sz="4" w:space="0" w:color="auto"/>
              <w:left w:val="nil"/>
              <w:bottom w:val="double" w:sz="4" w:space="0" w:color="auto"/>
              <w:right w:val="nil"/>
            </w:tcBorders>
          </w:tcPr>
          <w:p w14:paraId="0E433CA1" w14:textId="77777777" w:rsidR="00F53A4F" w:rsidRPr="008B46D1" w:rsidRDefault="00F53A4F" w:rsidP="00F53A4F">
            <w:pPr>
              <w:pStyle w:val="TableText"/>
              <w:tabs>
                <w:tab w:val="left" w:pos="3306"/>
              </w:tabs>
              <w:jc w:val="right"/>
              <w:rPr>
                <w:rFonts w:cs="Calibri"/>
                <w:b/>
                <w:bCs/>
              </w:rPr>
            </w:pPr>
          </w:p>
        </w:tc>
        <w:tc>
          <w:tcPr>
            <w:tcW w:w="2268" w:type="dxa"/>
            <w:tcBorders>
              <w:top w:val="single" w:sz="4" w:space="0" w:color="auto"/>
              <w:left w:val="nil"/>
              <w:bottom w:val="double" w:sz="4" w:space="0" w:color="auto"/>
              <w:right w:val="nil"/>
            </w:tcBorders>
          </w:tcPr>
          <w:p w14:paraId="4479B22C" w14:textId="77777777" w:rsidR="00F53A4F" w:rsidRPr="008B46D1" w:rsidRDefault="00F53A4F" w:rsidP="00F53A4F">
            <w:pPr>
              <w:pStyle w:val="TableText"/>
              <w:tabs>
                <w:tab w:val="left" w:pos="3306"/>
              </w:tabs>
              <w:jc w:val="right"/>
              <w:rPr>
                <w:rFonts w:cs="Calibri"/>
                <w:b/>
                <w:bCs/>
              </w:rPr>
            </w:pPr>
          </w:p>
        </w:tc>
        <w:tc>
          <w:tcPr>
            <w:tcW w:w="1701" w:type="dxa"/>
            <w:gridSpan w:val="2"/>
            <w:tcBorders>
              <w:top w:val="single" w:sz="4" w:space="0" w:color="auto"/>
              <w:left w:val="nil"/>
              <w:bottom w:val="double" w:sz="4" w:space="0" w:color="auto"/>
              <w:right w:val="nil"/>
            </w:tcBorders>
          </w:tcPr>
          <w:p w14:paraId="4232CF2C" w14:textId="77777777" w:rsidR="00F53A4F" w:rsidRPr="008B46D1" w:rsidRDefault="00F53A4F" w:rsidP="00F53A4F">
            <w:pPr>
              <w:pStyle w:val="TableText"/>
              <w:tabs>
                <w:tab w:val="left" w:pos="3306"/>
              </w:tabs>
              <w:spacing w:before="0"/>
              <w:jc w:val="right"/>
              <w:rPr>
                <w:rFonts w:cs="Calibri"/>
                <w:b/>
                <w:bCs/>
              </w:rPr>
            </w:pPr>
          </w:p>
        </w:tc>
        <w:tc>
          <w:tcPr>
            <w:tcW w:w="1418" w:type="dxa"/>
            <w:gridSpan w:val="2"/>
            <w:tcBorders>
              <w:top w:val="single" w:sz="4" w:space="0" w:color="auto"/>
              <w:left w:val="nil"/>
              <w:bottom w:val="double" w:sz="4" w:space="0" w:color="auto"/>
              <w:right w:val="nil"/>
            </w:tcBorders>
          </w:tcPr>
          <w:p w14:paraId="0BB518FB" w14:textId="05AC6888" w:rsidR="00F53A4F" w:rsidRPr="008B46D1" w:rsidRDefault="00F53A4F" w:rsidP="00F53A4F">
            <w:pPr>
              <w:pStyle w:val="TableText"/>
              <w:tabs>
                <w:tab w:val="left" w:pos="3306"/>
              </w:tabs>
              <w:spacing w:before="0"/>
              <w:jc w:val="right"/>
              <w:rPr>
                <w:rFonts w:cs="Calibri"/>
                <w:b/>
                <w:bCs/>
              </w:rPr>
            </w:pPr>
          </w:p>
        </w:tc>
      </w:tr>
    </w:tbl>
    <w:p w14:paraId="65F50F7B" w14:textId="77777777" w:rsidR="00F22D61" w:rsidRDefault="00F22D61">
      <w:r>
        <w:br w:type="page"/>
      </w:r>
    </w:p>
    <w:tbl>
      <w:tblPr>
        <w:tblW w:w="499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879"/>
        <w:gridCol w:w="641"/>
        <w:gridCol w:w="963"/>
        <w:gridCol w:w="171"/>
        <w:gridCol w:w="1276"/>
        <w:gridCol w:w="47"/>
      </w:tblGrid>
      <w:tr w:rsidR="00190046" w:rsidRPr="00CF7E1B" w14:paraId="0D92304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3BE175C6" w14:textId="6C1B14AD" w:rsidR="0019004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30" w:type="dxa"/>
            <w:gridSpan w:val="5"/>
            <w:tcBorders>
              <w:top w:val="nil"/>
              <w:left w:val="single" w:sz="4" w:space="0" w:color="auto"/>
              <w:bottom w:val="nil"/>
              <w:right w:val="nil"/>
            </w:tcBorders>
            <w:vAlign w:val="bottom"/>
          </w:tcPr>
          <w:p w14:paraId="537012E8" w14:textId="22EE0F80" w:rsidR="00190046" w:rsidRPr="00190046" w:rsidRDefault="00190046" w:rsidP="00190046">
            <w:pPr>
              <w:pStyle w:val="TableText"/>
              <w:tabs>
                <w:tab w:val="left" w:pos="3306"/>
              </w:tabs>
              <w:spacing w:before="240" w:after="240"/>
              <w:rPr>
                <w:rFonts w:cs="Calibri"/>
              </w:rPr>
            </w:pPr>
            <w:r w:rsidRPr="00190046">
              <w:rPr>
                <w:rFonts w:ascii="Arial" w:hAnsi="Arial" w:cs="Arial"/>
                <w:b/>
                <w:sz w:val="32"/>
                <w:szCs w:val="32"/>
              </w:rPr>
              <w:t>NOTE 47.</w:t>
            </w:r>
            <w:r w:rsidR="00FA7C77">
              <w:rPr>
                <w:rFonts w:ascii="Arial" w:hAnsi="Arial" w:cs="Arial"/>
                <w:b/>
                <w:sz w:val="32"/>
                <w:szCs w:val="32"/>
              </w:rPr>
              <w:t xml:space="preserve"> </w:t>
            </w:r>
            <w:r w:rsidRPr="00190046">
              <w:rPr>
                <w:rFonts w:ascii="Arial" w:hAnsi="Arial" w:cs="Arial"/>
                <w:b/>
                <w:sz w:val="32"/>
                <w:szCs w:val="32"/>
              </w:rPr>
              <w:t xml:space="preserve"> RECEIVABLES –TERRITORIAL </w:t>
            </w:r>
          </w:p>
        </w:tc>
      </w:tr>
      <w:tr w:rsidR="00190046" w:rsidRPr="00CF7E1B" w14:paraId="047638F6"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976EF11" w14:textId="77777777" w:rsidR="00190046" w:rsidRPr="00190046" w:rsidRDefault="00190046" w:rsidP="00190046">
            <w:pPr>
              <w:pStyle w:val="TableReference"/>
              <w:tabs>
                <w:tab w:val="left" w:pos="3306"/>
              </w:tabs>
              <w:spacing w:before="40"/>
              <w:rPr>
                <w:rFonts w:cs="Calibri"/>
                <w:color w:val="7030A0"/>
                <w:sz w:val="16"/>
                <w:szCs w:val="16"/>
              </w:rPr>
            </w:pPr>
          </w:p>
        </w:tc>
        <w:tc>
          <w:tcPr>
            <w:tcW w:w="8930" w:type="dxa"/>
            <w:gridSpan w:val="5"/>
            <w:tcBorders>
              <w:top w:val="nil"/>
              <w:left w:val="single" w:sz="4" w:space="0" w:color="auto"/>
              <w:bottom w:val="nil"/>
              <w:right w:val="nil"/>
            </w:tcBorders>
            <w:vAlign w:val="bottom"/>
          </w:tcPr>
          <w:p w14:paraId="72BE2AA0" w14:textId="77777777" w:rsidR="00190046" w:rsidRPr="00190046" w:rsidRDefault="00190046" w:rsidP="00190046">
            <w:pPr>
              <w:pStyle w:val="TableText"/>
              <w:tabs>
                <w:tab w:val="left" w:pos="3306"/>
              </w:tabs>
              <w:rPr>
                <w:rFonts w:cs="Calibri"/>
              </w:rPr>
            </w:pPr>
            <w:r w:rsidRPr="00190046">
              <w:rPr>
                <w:rFonts w:cs="Calibri"/>
              </w:rPr>
              <w:t>The Agency does not hold any collateral for receivables that are overdue or determined to be impaired.</w:t>
            </w:r>
          </w:p>
        </w:tc>
      </w:tr>
      <w:tr w:rsidR="00190046" w:rsidRPr="00CF7E1B" w14:paraId="7B7F6AB7"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673DA2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85117D" w14:textId="77777777" w:rsidR="00190046" w:rsidRPr="00190046" w:rsidRDefault="00190046" w:rsidP="00190046">
            <w:pPr>
              <w:pStyle w:val="TableText"/>
              <w:tabs>
                <w:tab w:val="left" w:pos="3306"/>
              </w:tabs>
              <w:rPr>
                <w:rFonts w:cs="Calibri"/>
              </w:rPr>
            </w:pPr>
          </w:p>
        </w:tc>
        <w:tc>
          <w:tcPr>
            <w:tcW w:w="1134" w:type="dxa"/>
            <w:gridSpan w:val="2"/>
            <w:tcBorders>
              <w:top w:val="nil"/>
              <w:left w:val="nil"/>
              <w:bottom w:val="nil"/>
              <w:right w:val="nil"/>
            </w:tcBorders>
            <w:vAlign w:val="bottom"/>
          </w:tcPr>
          <w:p w14:paraId="49A5A567" w14:textId="6C326CFC" w:rsidR="00190046" w:rsidRPr="00190046" w:rsidRDefault="00190046" w:rsidP="00190046">
            <w:pPr>
              <w:pStyle w:val="TableText"/>
              <w:jc w:val="right"/>
              <w:rPr>
                <w:rFonts w:cs="Calibri"/>
                <w:b/>
                <w:bCs/>
              </w:rPr>
            </w:pPr>
            <w:r w:rsidRPr="00190046">
              <w:rPr>
                <w:rFonts w:cs="Calibri"/>
                <w:b/>
                <w:bCs/>
              </w:rPr>
              <w:t>202</w:t>
            </w:r>
            <w:r w:rsidR="00116607">
              <w:rPr>
                <w:rFonts w:cs="Calibri"/>
                <w:b/>
                <w:bCs/>
              </w:rPr>
              <w:t>3</w:t>
            </w:r>
            <w:r w:rsidRPr="00190046">
              <w:rPr>
                <w:rFonts w:cs="Calibri"/>
                <w:b/>
                <w:bCs/>
              </w:rPr>
              <w:t xml:space="preserve"> </w:t>
            </w:r>
          </w:p>
          <w:p w14:paraId="3CFCC3E6" w14:textId="72C73250" w:rsidR="00190046" w:rsidRPr="00190046" w:rsidRDefault="00190046" w:rsidP="00190046">
            <w:pPr>
              <w:pStyle w:val="TableTitle"/>
              <w:tabs>
                <w:tab w:val="left" w:pos="3306"/>
              </w:tabs>
              <w:rPr>
                <w:rFonts w:cs="Calibri"/>
              </w:rPr>
            </w:pPr>
            <w:r w:rsidRPr="00190046">
              <w:rPr>
                <w:rFonts w:cs="Calibri"/>
              </w:rPr>
              <w:t>$’000</w:t>
            </w:r>
          </w:p>
        </w:tc>
        <w:tc>
          <w:tcPr>
            <w:tcW w:w="1276" w:type="dxa"/>
            <w:tcBorders>
              <w:top w:val="nil"/>
              <w:left w:val="nil"/>
              <w:bottom w:val="nil"/>
              <w:right w:val="nil"/>
            </w:tcBorders>
            <w:vAlign w:val="bottom"/>
          </w:tcPr>
          <w:p w14:paraId="5EE22C5C" w14:textId="4327C53B" w:rsidR="00190046" w:rsidRPr="00190046" w:rsidRDefault="00190046" w:rsidP="00190046">
            <w:pPr>
              <w:pStyle w:val="TableText"/>
              <w:jc w:val="right"/>
              <w:rPr>
                <w:rFonts w:cs="Calibri"/>
                <w:b/>
                <w:bCs/>
              </w:rPr>
            </w:pPr>
            <w:r w:rsidRPr="00190046">
              <w:rPr>
                <w:rFonts w:cs="Calibri"/>
                <w:b/>
                <w:bCs/>
              </w:rPr>
              <w:t>202</w:t>
            </w:r>
            <w:r w:rsidR="00116607">
              <w:rPr>
                <w:rFonts w:cs="Calibri"/>
                <w:b/>
                <w:bCs/>
              </w:rPr>
              <w:t>2</w:t>
            </w:r>
          </w:p>
          <w:p w14:paraId="47F42014" w14:textId="25CCA4A8" w:rsidR="00190046" w:rsidRPr="00190046" w:rsidRDefault="00190046" w:rsidP="00190046">
            <w:pPr>
              <w:pStyle w:val="TableTitle"/>
              <w:tabs>
                <w:tab w:val="left" w:pos="3306"/>
              </w:tabs>
              <w:rPr>
                <w:rFonts w:cs="Calibri"/>
              </w:rPr>
            </w:pPr>
            <w:r w:rsidRPr="00190046">
              <w:rPr>
                <w:rFonts w:cs="Calibri"/>
              </w:rPr>
              <w:t>$’000</w:t>
            </w:r>
          </w:p>
        </w:tc>
      </w:tr>
      <w:tr w:rsidR="00190046" w:rsidRPr="00CF7E1B" w14:paraId="348F5972"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DEB4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16A92738" w14:textId="0F7BAEC2" w:rsidR="00190046" w:rsidRPr="00190046" w:rsidRDefault="00190046" w:rsidP="00190046">
            <w:pPr>
              <w:pStyle w:val="TableText"/>
              <w:tabs>
                <w:tab w:val="left" w:pos="3306"/>
              </w:tabs>
              <w:rPr>
                <w:rFonts w:cs="Calibri"/>
                <w:b/>
                <w:bCs/>
              </w:rPr>
            </w:pPr>
            <w:r w:rsidRPr="00190046">
              <w:rPr>
                <w:rFonts w:cs="Calibri"/>
                <w:b/>
                <w:bCs/>
              </w:rPr>
              <w:t xml:space="preserve">Reconciliation </w:t>
            </w:r>
            <w:r w:rsidRPr="00190046">
              <w:rPr>
                <w:rFonts w:asciiTheme="minorHAnsi" w:hAnsiTheme="minorHAnsi" w:cstheme="minorHAnsi"/>
                <w:b/>
                <w:bCs/>
              </w:rPr>
              <w:t>of the Loss Allowance for Receivables</w:t>
            </w:r>
          </w:p>
        </w:tc>
        <w:tc>
          <w:tcPr>
            <w:tcW w:w="1134" w:type="dxa"/>
            <w:gridSpan w:val="2"/>
            <w:tcBorders>
              <w:top w:val="nil"/>
              <w:left w:val="nil"/>
              <w:bottom w:val="nil"/>
              <w:right w:val="nil"/>
            </w:tcBorders>
          </w:tcPr>
          <w:p w14:paraId="725249EF" w14:textId="77777777"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59EB57AC" w14:textId="77777777" w:rsidR="00190046" w:rsidRPr="00190046" w:rsidRDefault="00190046" w:rsidP="00190046">
            <w:pPr>
              <w:pStyle w:val="TableText"/>
              <w:tabs>
                <w:tab w:val="left" w:pos="3306"/>
              </w:tabs>
              <w:jc w:val="right"/>
              <w:rPr>
                <w:rFonts w:cs="Calibri"/>
              </w:rPr>
            </w:pPr>
          </w:p>
        </w:tc>
      </w:tr>
      <w:tr w:rsidR="00190046" w:rsidRPr="00CF7E1B" w14:paraId="39CC4F2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7A673CD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95B016" w14:textId="77777777" w:rsidR="00190046" w:rsidRPr="00190046" w:rsidRDefault="00190046" w:rsidP="003173AE">
            <w:pPr>
              <w:pStyle w:val="TableText"/>
              <w:tabs>
                <w:tab w:val="left" w:pos="3306"/>
              </w:tabs>
              <w:rPr>
                <w:rFonts w:cs="Calibri"/>
              </w:rPr>
            </w:pPr>
            <w:r w:rsidRPr="00190046">
              <w:rPr>
                <w:rFonts w:cs="Calibri"/>
              </w:rPr>
              <w:t xml:space="preserve">Allowance for Impairment Losses at the Beginning of the Reporting Period </w:t>
            </w:r>
          </w:p>
        </w:tc>
        <w:tc>
          <w:tcPr>
            <w:tcW w:w="1134" w:type="dxa"/>
            <w:gridSpan w:val="2"/>
            <w:tcBorders>
              <w:top w:val="nil"/>
              <w:left w:val="nil"/>
              <w:bottom w:val="nil"/>
              <w:right w:val="nil"/>
            </w:tcBorders>
            <w:vAlign w:val="bottom"/>
          </w:tcPr>
          <w:p w14:paraId="3A912DCF" w14:textId="2BE0E4CA"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6E9734AA" w14:textId="5BCEE981" w:rsidR="00190046" w:rsidRPr="00190046" w:rsidRDefault="00190046" w:rsidP="00190046">
            <w:pPr>
              <w:pStyle w:val="TableText"/>
              <w:tabs>
                <w:tab w:val="left" w:pos="3306"/>
              </w:tabs>
              <w:jc w:val="right"/>
              <w:rPr>
                <w:rFonts w:cs="Calibri"/>
              </w:rPr>
            </w:pPr>
          </w:p>
        </w:tc>
      </w:tr>
      <w:tr w:rsidR="00190046" w:rsidRPr="00CF7E1B" w14:paraId="4F4CB1C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E0451B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36BFEA8B" w14:textId="2B638FBA" w:rsidR="00190046" w:rsidRPr="00190046" w:rsidRDefault="00190046" w:rsidP="003173AE">
            <w:pPr>
              <w:pStyle w:val="TableText"/>
              <w:tabs>
                <w:tab w:val="left" w:pos="3306"/>
              </w:tabs>
              <w:rPr>
                <w:rFonts w:cs="Calibri"/>
              </w:rPr>
            </w:pPr>
            <w:r w:rsidRPr="00190046">
              <w:rPr>
                <w:rFonts w:asciiTheme="minorHAnsi" w:hAnsiTheme="minorHAnsi" w:cstheme="minorHAnsi"/>
              </w:rPr>
              <w:t>Expected Credit Loss Expense</w:t>
            </w:r>
          </w:p>
        </w:tc>
        <w:tc>
          <w:tcPr>
            <w:tcW w:w="1134" w:type="dxa"/>
            <w:gridSpan w:val="2"/>
            <w:tcBorders>
              <w:top w:val="nil"/>
              <w:left w:val="nil"/>
              <w:bottom w:val="nil"/>
              <w:right w:val="nil"/>
            </w:tcBorders>
            <w:vAlign w:val="bottom"/>
          </w:tcPr>
          <w:p w14:paraId="7B95A325" w14:textId="73A8F845"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36A0BBAD" w14:textId="6DB5D493" w:rsidR="00190046" w:rsidRPr="00190046" w:rsidRDefault="00190046" w:rsidP="00190046">
            <w:pPr>
              <w:pStyle w:val="TableText"/>
              <w:tabs>
                <w:tab w:val="left" w:pos="3306"/>
              </w:tabs>
              <w:jc w:val="right"/>
              <w:rPr>
                <w:rFonts w:cs="Calibri"/>
              </w:rPr>
            </w:pPr>
          </w:p>
        </w:tc>
      </w:tr>
      <w:tr w:rsidR="00190046" w:rsidRPr="00CF7E1B" w14:paraId="15A7D1C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C4D795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334A1BF"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Recovered During the Reporting Period</w:t>
            </w:r>
          </w:p>
        </w:tc>
        <w:tc>
          <w:tcPr>
            <w:tcW w:w="1134" w:type="dxa"/>
            <w:gridSpan w:val="2"/>
            <w:tcBorders>
              <w:top w:val="nil"/>
              <w:left w:val="nil"/>
              <w:bottom w:val="nil"/>
              <w:right w:val="nil"/>
            </w:tcBorders>
            <w:vAlign w:val="bottom"/>
          </w:tcPr>
          <w:p w14:paraId="252DFD7F" w14:textId="7FD140B9"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7062B432" w14:textId="34496C6C" w:rsidR="00190046" w:rsidRPr="00190046" w:rsidRDefault="00190046" w:rsidP="00190046">
            <w:pPr>
              <w:pStyle w:val="TableText"/>
              <w:tabs>
                <w:tab w:val="left" w:pos="3306"/>
              </w:tabs>
              <w:jc w:val="right"/>
              <w:rPr>
                <w:rFonts w:cs="Calibri"/>
              </w:rPr>
            </w:pPr>
          </w:p>
        </w:tc>
      </w:tr>
      <w:tr w:rsidR="00190046" w:rsidRPr="00CF7E1B" w14:paraId="7AE37A7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8BE8D"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0230495"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Written off During the Reporting Period</w:t>
            </w:r>
          </w:p>
        </w:tc>
        <w:tc>
          <w:tcPr>
            <w:tcW w:w="1134" w:type="dxa"/>
            <w:gridSpan w:val="2"/>
            <w:tcBorders>
              <w:top w:val="nil"/>
              <w:left w:val="nil"/>
              <w:bottom w:val="single" w:sz="2" w:space="0" w:color="auto"/>
              <w:right w:val="nil"/>
            </w:tcBorders>
            <w:vAlign w:val="bottom"/>
          </w:tcPr>
          <w:p w14:paraId="6A73AE67" w14:textId="1D5BD223" w:rsidR="00190046" w:rsidRPr="00190046" w:rsidRDefault="00190046" w:rsidP="00190046">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72F6A34B" w14:textId="19AD0314" w:rsidR="00190046" w:rsidRPr="00190046" w:rsidRDefault="00190046" w:rsidP="00190046">
            <w:pPr>
              <w:pStyle w:val="TableText"/>
              <w:tabs>
                <w:tab w:val="left" w:pos="3306"/>
              </w:tabs>
              <w:jc w:val="right"/>
              <w:rPr>
                <w:rFonts w:cs="Calibri"/>
              </w:rPr>
            </w:pPr>
          </w:p>
        </w:tc>
      </w:tr>
      <w:tr w:rsidR="00190046" w:rsidRPr="00CF7E1B" w14:paraId="2E7F478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03DD272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634D95D" w14:textId="77777777" w:rsidR="00190046" w:rsidRPr="00190046" w:rsidRDefault="00190046" w:rsidP="00190046">
            <w:pPr>
              <w:pStyle w:val="TableText"/>
              <w:tabs>
                <w:tab w:val="left" w:pos="3306"/>
              </w:tabs>
              <w:rPr>
                <w:rFonts w:cs="Calibri"/>
                <w:b/>
                <w:bCs/>
              </w:rPr>
            </w:pPr>
            <w:r w:rsidRPr="00190046">
              <w:rPr>
                <w:rFonts w:cs="Calibri"/>
                <w:b/>
              </w:rPr>
              <w:t xml:space="preserve">Allowance </w:t>
            </w:r>
            <w:r w:rsidRPr="00190046">
              <w:rPr>
                <w:rFonts w:cs="Calibri"/>
                <w:b/>
                <w:bCs/>
              </w:rPr>
              <w:t xml:space="preserve">for Impairment Losses at the End of the Reporting Period </w:t>
            </w:r>
          </w:p>
        </w:tc>
        <w:tc>
          <w:tcPr>
            <w:tcW w:w="1134" w:type="dxa"/>
            <w:gridSpan w:val="2"/>
            <w:tcBorders>
              <w:top w:val="single" w:sz="2" w:space="0" w:color="auto"/>
              <w:left w:val="nil"/>
              <w:bottom w:val="double" w:sz="4" w:space="0" w:color="auto"/>
              <w:right w:val="nil"/>
            </w:tcBorders>
            <w:vAlign w:val="bottom"/>
          </w:tcPr>
          <w:p w14:paraId="4483B3D4" w14:textId="20678CCF" w:rsidR="00190046" w:rsidRPr="00190046" w:rsidRDefault="00190046" w:rsidP="00190046">
            <w:pPr>
              <w:pStyle w:val="TableText"/>
              <w:jc w:val="right"/>
              <w:rPr>
                <w:rFonts w:cs="Calibri"/>
                <w:b/>
              </w:rPr>
            </w:pPr>
          </w:p>
        </w:tc>
        <w:tc>
          <w:tcPr>
            <w:tcW w:w="1276" w:type="dxa"/>
            <w:tcBorders>
              <w:top w:val="single" w:sz="2" w:space="0" w:color="auto"/>
              <w:left w:val="nil"/>
              <w:bottom w:val="double" w:sz="4" w:space="0" w:color="auto"/>
              <w:right w:val="nil"/>
            </w:tcBorders>
            <w:vAlign w:val="bottom"/>
          </w:tcPr>
          <w:p w14:paraId="0B96AD33" w14:textId="66994135" w:rsidR="00190046" w:rsidRPr="00190046" w:rsidRDefault="00190046" w:rsidP="00190046">
            <w:pPr>
              <w:pStyle w:val="TableText"/>
              <w:jc w:val="right"/>
              <w:rPr>
                <w:rFonts w:cs="Calibri"/>
                <w:b/>
              </w:rPr>
            </w:pPr>
          </w:p>
        </w:tc>
      </w:tr>
      <w:tr w:rsidR="00190046" w:rsidRPr="00CF7E1B" w14:paraId="010699B8"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3E8FE1B"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7C6944BF" w14:textId="77777777" w:rsidR="00190046" w:rsidRPr="00190046" w:rsidRDefault="00190046" w:rsidP="00190046">
            <w:pPr>
              <w:pStyle w:val="TableText"/>
              <w:tabs>
                <w:tab w:val="left" w:pos="3306"/>
              </w:tabs>
              <w:rPr>
                <w:rFonts w:cs="Calibri"/>
              </w:rPr>
            </w:pPr>
          </w:p>
        </w:tc>
        <w:tc>
          <w:tcPr>
            <w:tcW w:w="1134" w:type="dxa"/>
            <w:gridSpan w:val="2"/>
            <w:tcBorders>
              <w:top w:val="double" w:sz="4" w:space="0" w:color="auto"/>
              <w:left w:val="nil"/>
              <w:bottom w:val="nil"/>
              <w:right w:val="nil"/>
            </w:tcBorders>
            <w:vAlign w:val="bottom"/>
          </w:tcPr>
          <w:p w14:paraId="6D7F45A6" w14:textId="77777777" w:rsidR="00190046" w:rsidRPr="00190046" w:rsidRDefault="00190046" w:rsidP="00190046">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469FF1A8" w14:textId="77777777" w:rsidR="00190046" w:rsidRPr="00190046" w:rsidRDefault="00190046" w:rsidP="00190046">
            <w:pPr>
              <w:pStyle w:val="TableText"/>
              <w:tabs>
                <w:tab w:val="left" w:pos="3306"/>
              </w:tabs>
              <w:jc w:val="right"/>
              <w:rPr>
                <w:rFonts w:cs="Calibri"/>
              </w:rPr>
            </w:pPr>
          </w:p>
        </w:tc>
      </w:tr>
      <w:tr w:rsidR="00C746EC" w:rsidRPr="00CF7E1B" w14:paraId="69C2578F" w14:textId="77777777" w:rsidTr="00D919F2">
        <w:trPr>
          <w:cantSplit/>
          <w:trHeight w:val="505"/>
        </w:trPr>
        <w:tc>
          <w:tcPr>
            <w:tcW w:w="1563" w:type="dxa"/>
            <w:tcBorders>
              <w:top w:val="nil"/>
              <w:left w:val="single" w:sz="4" w:space="0" w:color="auto"/>
              <w:bottom w:val="nil"/>
              <w:right w:val="single" w:sz="4" w:space="0" w:color="auto"/>
            </w:tcBorders>
          </w:tcPr>
          <w:p w14:paraId="7010324B" w14:textId="77777777" w:rsidR="00C746EC" w:rsidRPr="00190046" w:rsidRDefault="00C746EC" w:rsidP="00C24DC3">
            <w:pPr>
              <w:pStyle w:val="TableReference"/>
              <w:tabs>
                <w:tab w:val="left" w:pos="3306"/>
              </w:tabs>
              <w:spacing w:before="240" w:after="240"/>
              <w:rPr>
                <w:rFonts w:cs="Calibri"/>
                <w:color w:val="7030A0"/>
                <w:sz w:val="14"/>
              </w:rPr>
            </w:pPr>
            <w:r w:rsidRPr="00190046">
              <w:rPr>
                <w:rFonts w:cs="Calibri"/>
                <w:color w:val="7030A0"/>
                <w:sz w:val="14"/>
              </w:rPr>
              <w:t>ACT Disclosure Policy</w:t>
            </w:r>
          </w:p>
        </w:tc>
        <w:tc>
          <w:tcPr>
            <w:tcW w:w="8977" w:type="dxa"/>
            <w:gridSpan w:val="6"/>
            <w:tcBorders>
              <w:top w:val="nil"/>
              <w:left w:val="single" w:sz="4" w:space="0" w:color="auto"/>
              <w:bottom w:val="nil"/>
              <w:right w:val="nil"/>
            </w:tcBorders>
            <w:shd w:val="clear" w:color="auto" w:fill="7030A0"/>
            <w:vAlign w:val="bottom"/>
          </w:tcPr>
          <w:p w14:paraId="494B532A" w14:textId="7BF86F42" w:rsidR="00C746EC" w:rsidRPr="00190046" w:rsidRDefault="006A5FD1" w:rsidP="00C24DC3">
            <w:pPr>
              <w:pStyle w:val="CommentaryText"/>
              <w:spacing w:before="240" w:after="240"/>
              <w:rPr>
                <w:rFonts w:cs="Calibri"/>
                <w:b/>
                <w:color w:val="FFFFFF" w:themeColor="background1"/>
                <w:sz w:val="28"/>
                <w:szCs w:val="28"/>
              </w:rPr>
            </w:pPr>
            <w:bookmarkStart w:id="1079" w:name="_Toc163106422"/>
            <w:r w:rsidRPr="00190046">
              <w:rPr>
                <w:rFonts w:cs="Calibri"/>
                <w:b/>
                <w:color w:val="FFFFFF" w:themeColor="background1"/>
                <w:sz w:val="28"/>
                <w:szCs w:val="28"/>
              </w:rPr>
              <w:t xml:space="preserve">Commentary – Note </w:t>
            </w:r>
            <w:r w:rsidR="00DD6620" w:rsidRPr="00190046">
              <w:rPr>
                <w:rFonts w:cs="Calibri"/>
                <w:b/>
                <w:color w:val="FFFFFF" w:themeColor="background1"/>
                <w:sz w:val="28"/>
                <w:szCs w:val="28"/>
              </w:rPr>
              <w:t>4</w:t>
            </w:r>
            <w:r w:rsidR="00E86853" w:rsidRPr="00190046">
              <w:rPr>
                <w:rFonts w:cs="Calibri"/>
                <w:b/>
                <w:color w:val="FFFFFF" w:themeColor="background1"/>
                <w:sz w:val="28"/>
                <w:szCs w:val="28"/>
              </w:rPr>
              <w:t>7</w:t>
            </w:r>
            <w:r w:rsidRPr="00190046">
              <w:rPr>
                <w:rFonts w:cs="Calibri"/>
                <w:b/>
                <w:color w:val="FFFFFF" w:themeColor="background1"/>
                <w:sz w:val="28"/>
                <w:szCs w:val="28"/>
              </w:rPr>
              <w:t>: Receivables – Territorial</w:t>
            </w:r>
            <w:bookmarkEnd w:id="1079"/>
          </w:p>
        </w:tc>
      </w:tr>
      <w:tr w:rsidR="00F85282" w:rsidRPr="00CF7E1B" w14:paraId="3ACA63CC" w14:textId="77777777" w:rsidTr="00D919F2">
        <w:trPr>
          <w:cantSplit/>
          <w:trHeight w:val="505"/>
        </w:trPr>
        <w:tc>
          <w:tcPr>
            <w:tcW w:w="1563" w:type="dxa"/>
            <w:tcBorders>
              <w:top w:val="nil"/>
              <w:left w:val="single" w:sz="4" w:space="0" w:color="auto"/>
              <w:bottom w:val="nil"/>
              <w:right w:val="single" w:sz="4" w:space="0" w:color="auto"/>
            </w:tcBorders>
          </w:tcPr>
          <w:p w14:paraId="71B0E5A3" w14:textId="77777777" w:rsidR="00F85282" w:rsidRPr="00190046" w:rsidRDefault="00F85282"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A668A0A" w14:textId="1168DE24" w:rsidR="00F85282" w:rsidRPr="00190046" w:rsidRDefault="00F85282" w:rsidP="00C746EC">
            <w:pPr>
              <w:pStyle w:val="CommentaryText"/>
              <w:rPr>
                <w:rFonts w:cs="Calibri"/>
                <w:b/>
                <w:color w:val="FFFFFF" w:themeColor="background1"/>
                <w:sz w:val="18"/>
                <w:szCs w:val="18"/>
              </w:rPr>
            </w:pPr>
            <w:r w:rsidRPr="00190046">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190046">
              <w:rPr>
                <w:rFonts w:cs="Calibri"/>
                <w:color w:val="FFFFFF" w:themeColor="background1"/>
                <w:sz w:val="18"/>
                <w:szCs w:val="18"/>
              </w:rPr>
              <w:t>They can simply state that ‘No receivables are past due or impaired.’</w:t>
            </w:r>
          </w:p>
        </w:tc>
      </w:tr>
      <w:tr w:rsidR="001456DB" w:rsidRPr="00CF7E1B" w14:paraId="3F1A0AF4" w14:textId="77777777" w:rsidTr="00D919F2">
        <w:trPr>
          <w:cantSplit/>
          <w:trHeight w:val="505"/>
        </w:trPr>
        <w:tc>
          <w:tcPr>
            <w:tcW w:w="1563" w:type="dxa"/>
            <w:tcBorders>
              <w:top w:val="nil"/>
              <w:left w:val="single" w:sz="4" w:space="0" w:color="auto"/>
              <w:bottom w:val="nil"/>
              <w:right w:val="single" w:sz="4" w:space="0" w:color="auto"/>
            </w:tcBorders>
          </w:tcPr>
          <w:p w14:paraId="2C1B0774" w14:textId="77777777" w:rsidR="001456DB" w:rsidRPr="00190046" w:rsidRDefault="001456DB"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3F9BED1" w14:textId="652300DD" w:rsidR="001456DB" w:rsidRPr="00190046" w:rsidRDefault="001456DB" w:rsidP="00C746EC">
            <w:pPr>
              <w:pStyle w:val="CommentaryText"/>
              <w:rPr>
                <w:rFonts w:cs="Calibri"/>
                <w:color w:val="FFFFFF" w:themeColor="background1"/>
                <w:sz w:val="18"/>
                <w:szCs w:val="18"/>
              </w:rPr>
            </w:pPr>
            <w:r w:rsidRPr="00190046">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w:t>
            </w:r>
          </w:p>
        </w:tc>
      </w:tr>
      <w:tr w:rsidR="00C746EC" w:rsidRPr="00CF7E1B" w14:paraId="0FA32F1D" w14:textId="77777777" w:rsidTr="00D919F2">
        <w:trPr>
          <w:cantSplit/>
          <w:trHeight w:val="632"/>
        </w:trPr>
        <w:tc>
          <w:tcPr>
            <w:tcW w:w="1563" w:type="dxa"/>
            <w:tcBorders>
              <w:top w:val="nil"/>
              <w:left w:val="single" w:sz="4" w:space="0" w:color="auto"/>
              <w:bottom w:val="nil"/>
              <w:right w:val="single" w:sz="4" w:space="0" w:color="auto"/>
            </w:tcBorders>
          </w:tcPr>
          <w:p w14:paraId="5FA5F8F7" w14:textId="77777777" w:rsidR="00C746EC" w:rsidRPr="00190046" w:rsidRDefault="00C746EC" w:rsidP="00C746EC">
            <w:pPr>
              <w:pStyle w:val="Reference"/>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D4D0AC5" w14:textId="59DFFAFD"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The agency has a net GST receivable.</w:t>
            </w:r>
            <w:r w:rsidR="00FA7C77">
              <w:rPr>
                <w:rFonts w:cs="Calibri"/>
                <w:color w:val="FFFFFF" w:themeColor="background1"/>
                <w:sz w:val="18"/>
                <w:szCs w:val="18"/>
              </w:rPr>
              <w:t xml:space="preserve"> </w:t>
            </w:r>
            <w:r w:rsidRPr="00190046">
              <w:rPr>
                <w:rFonts w:cs="Calibri"/>
                <w:color w:val="FFFFFF" w:themeColor="background1"/>
                <w:sz w:val="18"/>
                <w:szCs w:val="18"/>
              </w:rPr>
              <w:t xml:space="preserve">A net GST receivable will occur in almost all territorial financial statements as no GST is required to be remitted to the Australian Taxation Office for Payment for Expenses on Behalf of the Territory (EBT) funding or for taxes, </w:t>
            </w:r>
            <w:r w:rsidR="00DC32A6" w:rsidRPr="00190046">
              <w:rPr>
                <w:rFonts w:cs="Calibri"/>
                <w:color w:val="FFFFFF" w:themeColor="background1"/>
                <w:sz w:val="18"/>
                <w:szCs w:val="18"/>
              </w:rPr>
              <w:t xml:space="preserve">licences, </w:t>
            </w:r>
            <w:r w:rsidRPr="00190046">
              <w:rPr>
                <w:rFonts w:cs="Calibri"/>
                <w:color w:val="FFFFFF" w:themeColor="background1"/>
                <w:sz w:val="18"/>
                <w:szCs w:val="18"/>
              </w:rPr>
              <w:t>fees and fines, however, agencies will receive input tax credits for grants and purchased services provided.</w:t>
            </w:r>
          </w:p>
        </w:tc>
      </w:tr>
      <w:tr w:rsidR="00C746EC" w:rsidRPr="00CF7E1B" w14:paraId="504B0836" w14:textId="77777777" w:rsidTr="00D919F2">
        <w:trPr>
          <w:cantSplit/>
          <w:trHeight w:val="23"/>
        </w:trPr>
        <w:tc>
          <w:tcPr>
            <w:tcW w:w="1563" w:type="dxa"/>
            <w:tcBorders>
              <w:top w:val="nil"/>
              <w:left w:val="single" w:sz="4" w:space="0" w:color="auto"/>
              <w:bottom w:val="nil"/>
              <w:right w:val="single" w:sz="4" w:space="0" w:color="auto"/>
            </w:tcBorders>
          </w:tcPr>
          <w:p w14:paraId="025335A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4D3DA0B4" w14:textId="66F821F1"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 xml:space="preserve">If a net GST payable arises then this amount would be disclosed at Note </w:t>
            </w:r>
            <w:r w:rsidR="00E86853" w:rsidRPr="00190046">
              <w:rPr>
                <w:rFonts w:cs="Calibri"/>
                <w:color w:val="FFFFFF" w:themeColor="background1"/>
                <w:sz w:val="18"/>
                <w:szCs w:val="18"/>
              </w:rPr>
              <w:t>49</w:t>
            </w:r>
            <w:r w:rsidR="00DD6620" w:rsidRPr="00190046">
              <w:rPr>
                <w:rFonts w:cs="Calibri"/>
                <w:color w:val="FFFFFF" w:themeColor="background1"/>
                <w:sz w:val="18"/>
                <w:szCs w:val="18"/>
              </w:rPr>
              <w:t xml:space="preserve"> </w:t>
            </w:r>
            <w:r w:rsidRPr="0007146C">
              <w:rPr>
                <w:rFonts w:cs="Calibri"/>
                <w:i/>
                <w:color w:val="FFFFFF" w:themeColor="background1"/>
                <w:sz w:val="18"/>
                <w:szCs w:val="18"/>
              </w:rPr>
              <w:t>Payables</w:t>
            </w:r>
            <w:r w:rsidR="002541C3" w:rsidRPr="0007146C">
              <w:rPr>
                <w:rFonts w:cs="Calibri"/>
                <w:i/>
                <w:color w:val="FFFFFF" w:themeColor="background1"/>
                <w:sz w:val="18"/>
                <w:szCs w:val="18"/>
              </w:rPr>
              <w:t xml:space="preserve"> </w:t>
            </w:r>
            <w:r w:rsidR="002541C3" w:rsidRPr="0007146C">
              <w:rPr>
                <w:rFonts w:cs="Calibri"/>
                <w:i/>
                <w:iCs/>
                <w:strike/>
                <w:color w:val="FF0000"/>
                <w:sz w:val="18"/>
                <w:szCs w:val="18"/>
              </w:rPr>
              <w:t>and Contract Liabilities</w:t>
            </w:r>
            <w:r w:rsidRPr="0007146C">
              <w:rPr>
                <w:rFonts w:cs="Calibri"/>
                <w:i/>
                <w:color w:val="FF0000"/>
                <w:sz w:val="18"/>
                <w:szCs w:val="18"/>
              </w:rPr>
              <w:t xml:space="preserve"> </w:t>
            </w:r>
            <w:r w:rsidRPr="0007146C">
              <w:rPr>
                <w:rFonts w:cs="Calibri"/>
                <w:i/>
                <w:color w:val="FFFFFF" w:themeColor="background1"/>
                <w:sz w:val="18"/>
                <w:szCs w:val="18"/>
              </w:rPr>
              <w:t>- Territorial</w:t>
            </w:r>
            <w:r w:rsidRPr="00190046">
              <w:rPr>
                <w:rFonts w:cs="Calibri"/>
                <w:color w:val="FFFFFF" w:themeColor="background1"/>
                <w:sz w:val="18"/>
                <w:szCs w:val="18"/>
              </w:rPr>
              <w:t xml:space="preserve"> rather than in this receivables</w:t>
            </w:r>
            <w:r w:rsidR="000C1CDA" w:rsidRPr="00190046">
              <w:rPr>
                <w:rFonts w:cs="Calibri"/>
                <w:color w:val="FFFFFF" w:themeColor="background1"/>
                <w:sz w:val="18"/>
                <w:szCs w:val="18"/>
              </w:rPr>
              <w:t xml:space="preserve"> and contract asset</w:t>
            </w:r>
            <w:r w:rsidRPr="00190046">
              <w:rPr>
                <w:rFonts w:cs="Calibri"/>
                <w:color w:val="FFFFFF" w:themeColor="background1"/>
                <w:sz w:val="18"/>
                <w:szCs w:val="18"/>
              </w:rPr>
              <w:t xml:space="preserve"> note.</w:t>
            </w:r>
          </w:p>
        </w:tc>
      </w:tr>
      <w:tr w:rsidR="00C746EC" w:rsidRPr="00CF7E1B" w14:paraId="16B15C83" w14:textId="77777777" w:rsidTr="00D919F2">
        <w:trPr>
          <w:cantSplit/>
          <w:trHeight w:val="508"/>
        </w:trPr>
        <w:tc>
          <w:tcPr>
            <w:tcW w:w="1563" w:type="dxa"/>
            <w:tcBorders>
              <w:top w:val="nil"/>
              <w:left w:val="single" w:sz="4" w:space="0" w:color="auto"/>
              <w:bottom w:val="nil"/>
              <w:right w:val="single" w:sz="4" w:space="0" w:color="auto"/>
            </w:tcBorders>
          </w:tcPr>
          <w:p w14:paraId="6986E2E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0D33C8F7" w14:textId="104A8EFD" w:rsidR="006A5FD1" w:rsidRPr="00190046" w:rsidRDefault="00C746EC" w:rsidP="00C309DB">
            <w:pPr>
              <w:pStyle w:val="CommentaryText"/>
              <w:rPr>
                <w:rFonts w:cs="Calibri"/>
                <w:color w:val="FFFFFF" w:themeColor="background1"/>
                <w:sz w:val="18"/>
                <w:szCs w:val="18"/>
              </w:rPr>
            </w:pPr>
            <w:r w:rsidRPr="00190046">
              <w:rPr>
                <w:rFonts w:cs="Calibri"/>
                <w:color w:val="FFFFFF" w:themeColor="background1"/>
                <w:sz w:val="18"/>
                <w:szCs w:val="18"/>
              </w:rPr>
              <w:t>An agency shall disclose the amount of any impairment loss recognised for each class of financial asset (including receivables).</w:t>
            </w:r>
          </w:p>
        </w:tc>
      </w:tr>
      <w:tr w:rsidR="001456DB" w:rsidRPr="00CF7E1B" w14:paraId="4B501B8C" w14:textId="77777777" w:rsidTr="00D919F2">
        <w:trPr>
          <w:cantSplit/>
          <w:trHeight w:val="508"/>
        </w:trPr>
        <w:tc>
          <w:tcPr>
            <w:tcW w:w="1563" w:type="dxa"/>
            <w:tcBorders>
              <w:top w:val="nil"/>
              <w:left w:val="single" w:sz="4" w:space="0" w:color="auto"/>
              <w:bottom w:val="nil"/>
              <w:right w:val="single" w:sz="4" w:space="0" w:color="auto"/>
            </w:tcBorders>
          </w:tcPr>
          <w:p w14:paraId="721E352C" w14:textId="77777777" w:rsidR="001456DB" w:rsidRPr="00190046" w:rsidRDefault="001456DB" w:rsidP="001456DB">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0BEAD73E" w14:textId="0473FCE7" w:rsidR="001456DB" w:rsidRPr="006B468D" w:rsidRDefault="001456DB" w:rsidP="001456DB">
            <w:pPr>
              <w:pStyle w:val="CommentaryText"/>
              <w:spacing w:after="40"/>
              <w:rPr>
                <w:rFonts w:cs="Calibri"/>
                <w:color w:val="FFFFFF" w:themeColor="background1"/>
                <w:szCs w:val="20"/>
              </w:rPr>
            </w:pPr>
            <w:r w:rsidRPr="006B468D">
              <w:rPr>
                <w:rFonts w:cs="Calibri"/>
                <w:b/>
                <w:bCs/>
                <w:color w:val="FFFFFF" w:themeColor="background1"/>
                <w:szCs w:val="20"/>
              </w:rPr>
              <w:t>Impact of COVID-19 on Expected Credit Losses</w:t>
            </w:r>
          </w:p>
        </w:tc>
      </w:tr>
      <w:tr w:rsidR="006839E2" w:rsidRPr="00CF7E1B" w14:paraId="02AD9132" w14:textId="77777777" w:rsidTr="00D919F2">
        <w:trPr>
          <w:cantSplit/>
          <w:trHeight w:val="508"/>
        </w:trPr>
        <w:tc>
          <w:tcPr>
            <w:tcW w:w="1563" w:type="dxa"/>
            <w:tcBorders>
              <w:top w:val="nil"/>
              <w:left w:val="single" w:sz="4" w:space="0" w:color="auto"/>
              <w:bottom w:val="nil"/>
              <w:right w:val="single" w:sz="4" w:space="0" w:color="auto"/>
            </w:tcBorders>
          </w:tcPr>
          <w:p w14:paraId="75F27F91" w14:textId="77777777" w:rsidR="006839E2" w:rsidRPr="00190046" w:rsidRDefault="006839E2" w:rsidP="006839E2">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0B9DE5D" w14:textId="7E8F3B8A" w:rsidR="006839E2" w:rsidRPr="00190046" w:rsidRDefault="006839E2" w:rsidP="006839E2">
            <w:pPr>
              <w:spacing w:after="40"/>
              <w:jc w:val="both"/>
              <w:rPr>
                <w:color w:val="FFFFFF" w:themeColor="background1"/>
                <w:sz w:val="18"/>
                <w:szCs w:val="18"/>
              </w:rPr>
            </w:pPr>
            <w:r w:rsidRPr="00E234E6">
              <w:rPr>
                <w:strike/>
                <w:color w:val="FF0000"/>
                <w:sz w:val="18"/>
                <w:szCs w:val="18"/>
              </w:rPr>
              <w:t>It is likely</w:t>
            </w:r>
            <w:r w:rsidRPr="00E234E6">
              <w:rPr>
                <w:color w:val="FF0000"/>
                <w:sz w:val="18"/>
                <w:szCs w:val="18"/>
              </w:rPr>
              <w:t xml:space="preserve"> </w:t>
            </w:r>
            <w:r w:rsidRPr="003E75E3">
              <w:rPr>
                <w:color w:val="FFFFFF" w:themeColor="background1"/>
                <w:sz w:val="18"/>
                <w:szCs w:val="18"/>
              </w:rPr>
              <w:t xml:space="preserve">Expected Credit Losses (ECLs) </w:t>
            </w:r>
            <w:r w:rsidRPr="00E234E6">
              <w:rPr>
                <w:strike/>
                <w:color w:val="FF0000"/>
                <w:sz w:val="18"/>
                <w:szCs w:val="18"/>
              </w:rPr>
              <w:t>will</w:t>
            </w:r>
            <w:r w:rsidRPr="003E75E3">
              <w:rPr>
                <w:color w:val="FFFFFF" w:themeColor="background1"/>
                <w:sz w:val="18"/>
                <w:szCs w:val="18"/>
              </w:rPr>
              <w:t xml:space="preserve"> </w:t>
            </w:r>
            <w:r w:rsidRPr="00E234E6">
              <w:rPr>
                <w:color w:val="FF0000"/>
                <w:sz w:val="18"/>
                <w:szCs w:val="18"/>
              </w:rPr>
              <w:t xml:space="preserve">may have </w:t>
            </w:r>
            <w:r w:rsidRPr="003E75E3">
              <w:rPr>
                <w:color w:val="FFFFFF" w:themeColor="background1"/>
                <w:sz w:val="18"/>
                <w:szCs w:val="18"/>
              </w:rPr>
              <w:t>increase</w:t>
            </w:r>
            <w:r w:rsidRPr="00E234E6">
              <w:rPr>
                <w:color w:val="FF0000"/>
                <w:sz w:val="18"/>
                <w:szCs w:val="18"/>
              </w:rPr>
              <w:t>d</w:t>
            </w:r>
            <w:r w:rsidRPr="003E75E3">
              <w:rPr>
                <w:color w:val="FFFFFF" w:themeColor="background1"/>
                <w:sz w:val="18"/>
                <w:szCs w:val="18"/>
              </w:rPr>
              <w:t xml:space="preserve"> to reflect changes in the ability of customers to settle their debts. Material changes to </w:t>
            </w:r>
            <w:r w:rsidRPr="00307227">
              <w:rPr>
                <w:color w:val="FF0000"/>
                <w:sz w:val="18"/>
                <w:szCs w:val="18"/>
              </w:rPr>
              <w:t>the method of calculating</w:t>
            </w:r>
            <w:r w:rsidRPr="003E75E3">
              <w:rPr>
                <w:color w:val="FFFFFF" w:themeColor="background1"/>
                <w:sz w:val="18"/>
                <w:szCs w:val="18"/>
              </w:rPr>
              <w:t xml:space="preserve"> ECLs will need to be appropriately disclosed</w:t>
            </w:r>
            <w:r w:rsidRPr="00190046">
              <w:rPr>
                <w:color w:val="FFFFFF" w:themeColor="background1"/>
                <w:sz w:val="18"/>
                <w:szCs w:val="18"/>
              </w:rPr>
              <w:t>:</w:t>
            </w:r>
          </w:p>
          <w:p w14:paraId="25949BAF" w14:textId="6261651B" w:rsidR="006839E2" w:rsidRPr="00190046" w:rsidRDefault="006839E2" w:rsidP="006839E2">
            <w:pPr>
              <w:pStyle w:val="ListParagraph"/>
              <w:numPr>
                <w:ilvl w:val="0"/>
                <w:numId w:val="50"/>
              </w:numPr>
              <w:spacing w:after="40"/>
              <w:ind w:left="452" w:hanging="349"/>
              <w:contextualSpacing w:val="0"/>
              <w:jc w:val="both"/>
              <w:rPr>
                <w:color w:val="FFFFFF" w:themeColor="background1"/>
                <w:sz w:val="18"/>
                <w:szCs w:val="18"/>
              </w:rPr>
            </w:pPr>
            <w:r w:rsidRPr="00190046">
              <w:rPr>
                <w:color w:val="FFFFFF" w:themeColor="background1"/>
                <w:sz w:val="18"/>
                <w:szCs w:val="18"/>
              </w:rPr>
              <w:t>ECLs (i</w:t>
            </w:r>
            <w:r>
              <w:rPr>
                <w:color w:val="FFFFFF" w:themeColor="background1"/>
                <w:sz w:val="18"/>
                <w:szCs w:val="18"/>
              </w:rPr>
              <w:t>.</w:t>
            </w:r>
            <w:r w:rsidRPr="00190046">
              <w:rPr>
                <w:color w:val="FFFFFF" w:themeColor="background1"/>
                <w:sz w:val="18"/>
                <w:szCs w:val="18"/>
              </w:rPr>
              <w:t>e</w:t>
            </w:r>
            <w:r>
              <w:rPr>
                <w:color w:val="FFFFFF" w:themeColor="background1"/>
                <w:sz w:val="18"/>
                <w:szCs w:val="18"/>
              </w:rPr>
              <w:t>.</w:t>
            </w:r>
            <w:r w:rsidRPr="00190046">
              <w:rPr>
                <w:color w:val="FFFFFF" w:themeColor="background1"/>
                <w:sz w:val="18"/>
                <w:szCs w:val="18"/>
              </w:rPr>
              <w:t xml:space="preserve"> provisions) against receivables may increase substantially; and</w:t>
            </w:r>
          </w:p>
          <w:p w14:paraId="7314DEA0" w14:textId="512552D4" w:rsidR="006839E2" w:rsidRPr="00190046" w:rsidRDefault="006839E2" w:rsidP="006839E2">
            <w:pPr>
              <w:pStyle w:val="ListParagraph"/>
              <w:numPr>
                <w:ilvl w:val="0"/>
                <w:numId w:val="50"/>
              </w:numPr>
              <w:spacing w:after="120"/>
              <w:ind w:left="452" w:hanging="349"/>
              <w:contextualSpacing w:val="0"/>
              <w:jc w:val="both"/>
              <w:rPr>
                <w:color w:val="FFFFFF" w:themeColor="background1"/>
                <w:sz w:val="18"/>
                <w:szCs w:val="18"/>
              </w:rPr>
            </w:pPr>
            <w:r w:rsidRPr="00190046">
              <w:rPr>
                <w:color w:val="FFFFFF" w:themeColor="background1"/>
                <w:sz w:val="18"/>
                <w:szCs w:val="18"/>
              </w:rPr>
              <w:t>agencies need to consider the appropriateness of their existing methodologies for predicting future ECLs.</w:t>
            </w:r>
          </w:p>
        </w:tc>
      </w:tr>
      <w:tr w:rsidR="006839E2" w:rsidRPr="00CF7E1B" w14:paraId="0EF312B0" w14:textId="77777777" w:rsidTr="00D919F2">
        <w:trPr>
          <w:cantSplit/>
          <w:trHeight w:val="23"/>
        </w:trPr>
        <w:tc>
          <w:tcPr>
            <w:tcW w:w="1563" w:type="dxa"/>
            <w:tcBorders>
              <w:top w:val="nil"/>
              <w:left w:val="single" w:sz="4" w:space="0" w:color="auto"/>
              <w:bottom w:val="nil"/>
              <w:right w:val="single" w:sz="4" w:space="0" w:color="auto"/>
            </w:tcBorders>
          </w:tcPr>
          <w:p w14:paraId="2A068A6D" w14:textId="77777777" w:rsidR="006839E2" w:rsidRPr="00190046" w:rsidRDefault="006839E2" w:rsidP="006839E2">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vAlign w:val="bottom"/>
          </w:tcPr>
          <w:p w14:paraId="57F93856" w14:textId="7A891AEF" w:rsidR="006839E2" w:rsidRPr="00190046" w:rsidRDefault="006839E2" w:rsidP="006839E2">
            <w:pPr>
              <w:pStyle w:val="Heading1"/>
              <w:numPr>
                <w:ilvl w:val="0"/>
                <w:numId w:val="0"/>
              </w:numPr>
            </w:pPr>
            <w:bookmarkStart w:id="1080" w:name="_Toc49224366"/>
            <w:bookmarkStart w:id="1081" w:name="_Ref50366037"/>
            <w:bookmarkStart w:id="1082" w:name="_Toc50440437"/>
            <w:bookmarkStart w:id="1083" w:name="_Ref50524528"/>
            <w:bookmarkStart w:id="1084" w:name="_Toc223433233"/>
            <w:bookmarkStart w:id="1085" w:name="_Toc400627381"/>
            <w:bookmarkStart w:id="1086" w:name="_Toc132743851"/>
            <w:r w:rsidRPr="00190046">
              <w:t>Note 48.</w:t>
            </w:r>
            <w:r>
              <w:t xml:space="preserve"> </w:t>
            </w:r>
            <w:r w:rsidRPr="00190046">
              <w:t xml:space="preserve"> </w:t>
            </w:r>
            <w:bookmarkStart w:id="1087" w:name="TSotherassets"/>
            <w:r w:rsidRPr="00190046">
              <w:t>Other Assets – Territorial</w:t>
            </w:r>
            <w:bookmarkEnd w:id="1080"/>
            <w:bookmarkEnd w:id="1081"/>
            <w:bookmarkEnd w:id="1082"/>
            <w:bookmarkEnd w:id="1083"/>
            <w:bookmarkEnd w:id="1084"/>
            <w:bookmarkEnd w:id="1085"/>
            <w:bookmarkEnd w:id="1087"/>
            <w:bookmarkEnd w:id="1086"/>
          </w:p>
        </w:tc>
      </w:tr>
      <w:tr w:rsidR="006839E2" w:rsidRPr="00CF7E1B" w14:paraId="545F8884" w14:textId="77777777" w:rsidTr="00D919F2">
        <w:trPr>
          <w:cantSplit/>
          <w:trHeight w:val="23"/>
        </w:trPr>
        <w:tc>
          <w:tcPr>
            <w:tcW w:w="1563" w:type="dxa"/>
            <w:tcBorders>
              <w:top w:val="nil"/>
              <w:left w:val="single" w:sz="4" w:space="0" w:color="auto"/>
              <w:bottom w:val="nil"/>
              <w:right w:val="single" w:sz="4" w:space="0" w:color="auto"/>
            </w:tcBorders>
          </w:tcPr>
          <w:p w14:paraId="1E209C71"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641E5EDC" w14:textId="04B2ECA8" w:rsidR="006839E2" w:rsidRPr="00190046" w:rsidRDefault="006839E2" w:rsidP="006839E2">
            <w:pPr>
              <w:pStyle w:val="TableText"/>
              <w:tabs>
                <w:tab w:val="left" w:pos="3306"/>
              </w:tabs>
              <w:rPr>
                <w:rFonts w:cs="Calibri"/>
                <w:b/>
                <w:bCs/>
              </w:rPr>
            </w:pPr>
          </w:p>
        </w:tc>
        <w:tc>
          <w:tcPr>
            <w:tcW w:w="1604" w:type="dxa"/>
            <w:gridSpan w:val="2"/>
            <w:tcBorders>
              <w:top w:val="nil"/>
              <w:left w:val="nil"/>
              <w:bottom w:val="nil"/>
              <w:right w:val="nil"/>
            </w:tcBorders>
          </w:tcPr>
          <w:p w14:paraId="23C48C57" w14:textId="394B873C" w:rsidR="006839E2" w:rsidRPr="00190046" w:rsidRDefault="006839E2" w:rsidP="006839E2">
            <w:pPr>
              <w:pStyle w:val="TableText"/>
              <w:jc w:val="right"/>
              <w:rPr>
                <w:rFonts w:cs="Calibri"/>
                <w:b/>
                <w:bCs/>
              </w:rPr>
            </w:pPr>
            <w:r w:rsidRPr="00190046">
              <w:rPr>
                <w:rFonts w:cs="Calibri"/>
                <w:b/>
                <w:bCs/>
              </w:rPr>
              <w:t>202</w:t>
            </w:r>
            <w:r>
              <w:rPr>
                <w:rFonts w:cs="Calibri"/>
                <w:b/>
                <w:bCs/>
              </w:rPr>
              <w:t>3</w:t>
            </w:r>
            <w:r w:rsidRPr="00190046">
              <w:rPr>
                <w:rFonts w:cs="Calibri"/>
                <w:b/>
                <w:bCs/>
              </w:rPr>
              <w:t xml:space="preserve"> </w:t>
            </w:r>
          </w:p>
          <w:p w14:paraId="7C2A0685" w14:textId="4648B28F" w:rsidR="006839E2" w:rsidRPr="00190046" w:rsidRDefault="006839E2" w:rsidP="006839E2">
            <w:pPr>
              <w:pStyle w:val="TableTitle"/>
              <w:tabs>
                <w:tab w:val="left" w:pos="3306"/>
              </w:tabs>
              <w:rPr>
                <w:rFonts w:cs="Calibri"/>
                <w:szCs w:val="16"/>
              </w:rPr>
            </w:pPr>
            <w:r w:rsidRPr="00190046">
              <w:rPr>
                <w:rFonts w:cs="Calibri"/>
              </w:rPr>
              <w:t>$’000</w:t>
            </w:r>
          </w:p>
        </w:tc>
        <w:tc>
          <w:tcPr>
            <w:tcW w:w="1494" w:type="dxa"/>
            <w:gridSpan w:val="3"/>
            <w:tcBorders>
              <w:top w:val="nil"/>
              <w:left w:val="nil"/>
              <w:bottom w:val="nil"/>
              <w:right w:val="nil"/>
            </w:tcBorders>
          </w:tcPr>
          <w:p w14:paraId="6DF6E054" w14:textId="281037B9" w:rsidR="006839E2" w:rsidRPr="00190046" w:rsidRDefault="006839E2" w:rsidP="006839E2">
            <w:pPr>
              <w:pStyle w:val="TableText"/>
              <w:jc w:val="right"/>
              <w:rPr>
                <w:rFonts w:cs="Calibri"/>
                <w:b/>
                <w:bCs/>
              </w:rPr>
            </w:pPr>
            <w:r w:rsidRPr="00190046">
              <w:rPr>
                <w:rFonts w:cs="Calibri"/>
                <w:b/>
                <w:bCs/>
              </w:rPr>
              <w:t>202</w:t>
            </w:r>
            <w:r>
              <w:rPr>
                <w:rFonts w:cs="Calibri"/>
                <w:b/>
                <w:bCs/>
              </w:rPr>
              <w:t>2</w:t>
            </w:r>
          </w:p>
          <w:p w14:paraId="73490C08" w14:textId="3308E230" w:rsidR="006839E2" w:rsidRPr="00190046" w:rsidRDefault="006839E2" w:rsidP="006839E2">
            <w:pPr>
              <w:pStyle w:val="TableTitle"/>
              <w:tabs>
                <w:tab w:val="left" w:pos="3306"/>
              </w:tabs>
              <w:rPr>
                <w:rFonts w:cs="Calibri"/>
              </w:rPr>
            </w:pPr>
            <w:r w:rsidRPr="00190046">
              <w:rPr>
                <w:rFonts w:cs="Calibri"/>
              </w:rPr>
              <w:t>$’000</w:t>
            </w:r>
          </w:p>
        </w:tc>
      </w:tr>
      <w:tr w:rsidR="006839E2" w:rsidRPr="00CF7E1B" w14:paraId="07FAAD50" w14:textId="77777777" w:rsidTr="00D919F2">
        <w:trPr>
          <w:cantSplit/>
          <w:trHeight w:val="23"/>
        </w:trPr>
        <w:tc>
          <w:tcPr>
            <w:tcW w:w="1563" w:type="dxa"/>
            <w:tcBorders>
              <w:top w:val="nil"/>
              <w:left w:val="single" w:sz="4" w:space="0" w:color="auto"/>
              <w:bottom w:val="nil"/>
              <w:right w:val="single" w:sz="4" w:space="0" w:color="auto"/>
            </w:tcBorders>
          </w:tcPr>
          <w:p w14:paraId="7005024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B360F5B" w14:textId="5F2DA20D" w:rsidR="006839E2" w:rsidRPr="00190046" w:rsidRDefault="006839E2" w:rsidP="006839E2">
            <w:pPr>
              <w:pStyle w:val="TableText"/>
              <w:tabs>
                <w:tab w:val="left" w:pos="3306"/>
              </w:tabs>
              <w:rPr>
                <w:rFonts w:cs="Calibri"/>
              </w:rPr>
            </w:pPr>
          </w:p>
        </w:tc>
        <w:tc>
          <w:tcPr>
            <w:tcW w:w="1604" w:type="dxa"/>
            <w:gridSpan w:val="2"/>
            <w:tcBorders>
              <w:top w:val="nil"/>
              <w:left w:val="nil"/>
              <w:bottom w:val="nil"/>
              <w:right w:val="nil"/>
            </w:tcBorders>
            <w:vAlign w:val="bottom"/>
          </w:tcPr>
          <w:p w14:paraId="33F7BF58" w14:textId="64897C28"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2747008" w14:textId="44CC168A" w:rsidR="006839E2" w:rsidRPr="00190046" w:rsidRDefault="006839E2" w:rsidP="006839E2">
            <w:pPr>
              <w:pStyle w:val="TableText"/>
              <w:tabs>
                <w:tab w:val="left" w:pos="3306"/>
              </w:tabs>
              <w:jc w:val="right"/>
              <w:rPr>
                <w:rFonts w:cs="Calibri"/>
              </w:rPr>
            </w:pPr>
          </w:p>
        </w:tc>
      </w:tr>
      <w:tr w:rsidR="006839E2" w:rsidRPr="00CF7E1B" w14:paraId="6840EB3B" w14:textId="77777777" w:rsidTr="00D919F2">
        <w:trPr>
          <w:cantSplit/>
          <w:trHeight w:val="23"/>
        </w:trPr>
        <w:tc>
          <w:tcPr>
            <w:tcW w:w="1563" w:type="dxa"/>
            <w:tcBorders>
              <w:top w:val="nil"/>
              <w:left w:val="single" w:sz="4" w:space="0" w:color="auto"/>
              <w:bottom w:val="nil"/>
              <w:right w:val="single" w:sz="4" w:space="0" w:color="auto"/>
            </w:tcBorders>
          </w:tcPr>
          <w:p w14:paraId="355BF687"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0D7355" w14:textId="37B9F232" w:rsidR="006839E2" w:rsidRPr="00190046" w:rsidRDefault="006839E2" w:rsidP="006839E2">
            <w:pPr>
              <w:pStyle w:val="TableText"/>
              <w:tabs>
                <w:tab w:val="left" w:pos="3306"/>
              </w:tabs>
              <w:rPr>
                <w:rFonts w:cs="Calibri"/>
              </w:rPr>
            </w:pPr>
            <w:r w:rsidRPr="00190046">
              <w:rPr>
                <w:rFonts w:cs="Calibri"/>
                <w:b/>
                <w:bCs/>
              </w:rPr>
              <w:t>Current Other Assets</w:t>
            </w:r>
          </w:p>
        </w:tc>
        <w:tc>
          <w:tcPr>
            <w:tcW w:w="1604" w:type="dxa"/>
            <w:gridSpan w:val="2"/>
            <w:tcBorders>
              <w:top w:val="nil"/>
              <w:left w:val="nil"/>
              <w:bottom w:val="nil"/>
              <w:right w:val="nil"/>
            </w:tcBorders>
            <w:vAlign w:val="bottom"/>
          </w:tcPr>
          <w:p w14:paraId="330E5900"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87915AA" w14:textId="77777777" w:rsidR="006839E2" w:rsidRPr="00190046" w:rsidRDefault="006839E2" w:rsidP="006839E2">
            <w:pPr>
              <w:pStyle w:val="TableText"/>
              <w:tabs>
                <w:tab w:val="left" w:pos="3306"/>
              </w:tabs>
              <w:jc w:val="right"/>
              <w:rPr>
                <w:rFonts w:cs="Calibri"/>
              </w:rPr>
            </w:pPr>
          </w:p>
        </w:tc>
      </w:tr>
      <w:tr w:rsidR="006839E2" w:rsidRPr="00CF7E1B" w14:paraId="542E1758" w14:textId="77777777" w:rsidTr="00D919F2">
        <w:trPr>
          <w:cantSplit/>
          <w:trHeight w:val="23"/>
        </w:trPr>
        <w:tc>
          <w:tcPr>
            <w:tcW w:w="1563" w:type="dxa"/>
            <w:tcBorders>
              <w:top w:val="nil"/>
              <w:left w:val="single" w:sz="4" w:space="0" w:color="auto"/>
              <w:bottom w:val="nil"/>
              <w:right w:val="single" w:sz="4" w:space="0" w:color="auto"/>
            </w:tcBorders>
          </w:tcPr>
          <w:p w14:paraId="1D8D136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482ED9AB" w14:textId="738D3676" w:rsidR="006839E2" w:rsidRPr="00190046" w:rsidRDefault="006839E2" w:rsidP="006839E2">
            <w:pPr>
              <w:pStyle w:val="TableText"/>
              <w:tabs>
                <w:tab w:val="left" w:pos="3306"/>
              </w:tabs>
              <w:rPr>
                <w:rFonts w:cs="Calibri"/>
              </w:rPr>
            </w:pPr>
            <w:r w:rsidRPr="00190046">
              <w:rPr>
                <w:rFonts w:cs="Calibri"/>
              </w:rPr>
              <w:t>Prepayments</w:t>
            </w:r>
          </w:p>
        </w:tc>
        <w:tc>
          <w:tcPr>
            <w:tcW w:w="1604" w:type="dxa"/>
            <w:gridSpan w:val="2"/>
            <w:tcBorders>
              <w:top w:val="nil"/>
              <w:left w:val="nil"/>
              <w:bottom w:val="nil"/>
              <w:right w:val="nil"/>
            </w:tcBorders>
            <w:vAlign w:val="bottom"/>
          </w:tcPr>
          <w:p w14:paraId="4861613E"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5ADC657B" w14:textId="77777777" w:rsidR="006839E2" w:rsidRPr="00190046" w:rsidRDefault="006839E2" w:rsidP="006839E2">
            <w:pPr>
              <w:pStyle w:val="TableText"/>
              <w:tabs>
                <w:tab w:val="left" w:pos="3306"/>
              </w:tabs>
              <w:jc w:val="right"/>
              <w:rPr>
                <w:rFonts w:cs="Calibri"/>
              </w:rPr>
            </w:pPr>
          </w:p>
        </w:tc>
      </w:tr>
      <w:tr w:rsidR="006839E2" w:rsidRPr="00CF7E1B" w14:paraId="69A11F1A" w14:textId="77777777" w:rsidTr="00D919F2">
        <w:trPr>
          <w:cantSplit/>
          <w:trHeight w:val="23"/>
        </w:trPr>
        <w:tc>
          <w:tcPr>
            <w:tcW w:w="1563" w:type="dxa"/>
            <w:tcBorders>
              <w:top w:val="nil"/>
              <w:left w:val="single" w:sz="4" w:space="0" w:color="auto"/>
              <w:bottom w:val="nil"/>
              <w:right w:val="single" w:sz="4" w:space="0" w:color="auto"/>
            </w:tcBorders>
          </w:tcPr>
          <w:p w14:paraId="36D797B3"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7E38C5E" w14:textId="77777777" w:rsidR="006839E2" w:rsidRPr="00190046" w:rsidRDefault="006839E2" w:rsidP="006839E2">
            <w:pPr>
              <w:pStyle w:val="TableText"/>
              <w:tabs>
                <w:tab w:val="left" w:pos="3306"/>
              </w:tabs>
              <w:rPr>
                <w:rFonts w:cs="Calibri"/>
              </w:rPr>
            </w:pPr>
            <w:r w:rsidRPr="00190046">
              <w:rPr>
                <w:rFonts w:cs="Calibri"/>
              </w:rPr>
              <w:t>Other</w:t>
            </w:r>
          </w:p>
        </w:tc>
        <w:tc>
          <w:tcPr>
            <w:tcW w:w="1604" w:type="dxa"/>
            <w:gridSpan w:val="2"/>
            <w:tcBorders>
              <w:top w:val="nil"/>
              <w:left w:val="nil"/>
              <w:bottom w:val="single" w:sz="2" w:space="0" w:color="auto"/>
              <w:right w:val="nil"/>
            </w:tcBorders>
            <w:vAlign w:val="bottom"/>
          </w:tcPr>
          <w:p w14:paraId="3F8C9990" w14:textId="317662B4"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single" w:sz="2" w:space="0" w:color="auto"/>
              <w:right w:val="nil"/>
            </w:tcBorders>
            <w:vAlign w:val="bottom"/>
          </w:tcPr>
          <w:p w14:paraId="0FEBF19F" w14:textId="096CE413" w:rsidR="006839E2" w:rsidRPr="00190046" w:rsidRDefault="006839E2" w:rsidP="006839E2">
            <w:pPr>
              <w:pStyle w:val="TableText"/>
              <w:tabs>
                <w:tab w:val="left" w:pos="3306"/>
              </w:tabs>
              <w:jc w:val="right"/>
              <w:rPr>
                <w:rFonts w:cs="Calibri"/>
              </w:rPr>
            </w:pPr>
          </w:p>
        </w:tc>
      </w:tr>
      <w:tr w:rsidR="006839E2" w:rsidRPr="00CF7E1B" w14:paraId="644CA8E6" w14:textId="77777777" w:rsidTr="00D919F2">
        <w:trPr>
          <w:cantSplit/>
          <w:trHeight w:val="23"/>
        </w:trPr>
        <w:tc>
          <w:tcPr>
            <w:tcW w:w="1563" w:type="dxa"/>
            <w:tcBorders>
              <w:top w:val="nil"/>
              <w:left w:val="single" w:sz="4" w:space="0" w:color="auto"/>
              <w:bottom w:val="nil"/>
              <w:right w:val="single" w:sz="4" w:space="0" w:color="auto"/>
            </w:tcBorders>
          </w:tcPr>
          <w:p w14:paraId="21B7D27E"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12EB77" w14:textId="77777777" w:rsidR="006839E2" w:rsidRPr="00190046" w:rsidRDefault="006839E2" w:rsidP="006839E2">
            <w:pPr>
              <w:pStyle w:val="TableText"/>
              <w:tabs>
                <w:tab w:val="left" w:pos="3306"/>
              </w:tabs>
              <w:rPr>
                <w:rFonts w:cs="Calibri"/>
                <w:b/>
                <w:bCs/>
              </w:rPr>
            </w:pPr>
            <w:r w:rsidRPr="00190046">
              <w:rPr>
                <w:rFonts w:cs="Calibri"/>
                <w:b/>
                <w:bCs/>
              </w:rPr>
              <w:t>Total Current Other Assets</w:t>
            </w:r>
          </w:p>
        </w:tc>
        <w:tc>
          <w:tcPr>
            <w:tcW w:w="1604" w:type="dxa"/>
            <w:gridSpan w:val="2"/>
            <w:tcBorders>
              <w:top w:val="single" w:sz="2" w:space="0" w:color="auto"/>
              <w:left w:val="nil"/>
              <w:bottom w:val="single" w:sz="2" w:space="0" w:color="auto"/>
              <w:right w:val="nil"/>
            </w:tcBorders>
            <w:vAlign w:val="bottom"/>
          </w:tcPr>
          <w:p w14:paraId="04DFF6D8" w14:textId="38D3A8A5"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single" w:sz="2" w:space="0" w:color="auto"/>
              <w:right w:val="nil"/>
            </w:tcBorders>
            <w:vAlign w:val="bottom"/>
          </w:tcPr>
          <w:p w14:paraId="1F0D824E" w14:textId="25B556E7" w:rsidR="006839E2" w:rsidRPr="00190046" w:rsidRDefault="006839E2" w:rsidP="006839E2">
            <w:pPr>
              <w:pStyle w:val="TableText"/>
              <w:tabs>
                <w:tab w:val="left" w:pos="3306"/>
              </w:tabs>
              <w:jc w:val="right"/>
              <w:rPr>
                <w:rFonts w:cs="Calibri"/>
                <w:b/>
                <w:bCs/>
              </w:rPr>
            </w:pPr>
          </w:p>
        </w:tc>
      </w:tr>
      <w:tr w:rsidR="006839E2" w:rsidRPr="00CF7E1B" w14:paraId="121B96FC" w14:textId="77777777" w:rsidTr="00D919F2">
        <w:trPr>
          <w:cantSplit/>
          <w:trHeight w:val="285"/>
        </w:trPr>
        <w:tc>
          <w:tcPr>
            <w:tcW w:w="1563" w:type="dxa"/>
            <w:tcBorders>
              <w:top w:val="nil"/>
              <w:left w:val="single" w:sz="4" w:space="0" w:color="auto"/>
              <w:bottom w:val="nil"/>
              <w:right w:val="single" w:sz="4" w:space="0" w:color="auto"/>
            </w:tcBorders>
          </w:tcPr>
          <w:p w14:paraId="1FE2D89F"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5C9D1F75" w14:textId="77777777" w:rsidR="006839E2" w:rsidRPr="00190046" w:rsidRDefault="006839E2" w:rsidP="006839E2">
            <w:pPr>
              <w:pStyle w:val="TableText"/>
              <w:tabs>
                <w:tab w:val="left" w:pos="3306"/>
              </w:tabs>
              <w:rPr>
                <w:rFonts w:cs="Calibri"/>
                <w:b/>
                <w:bCs/>
              </w:rPr>
            </w:pPr>
            <w:r w:rsidRPr="00190046">
              <w:rPr>
                <w:rFonts w:cs="Calibri"/>
                <w:b/>
                <w:bCs/>
              </w:rPr>
              <w:t>Total Other Assets</w:t>
            </w:r>
          </w:p>
        </w:tc>
        <w:tc>
          <w:tcPr>
            <w:tcW w:w="1604" w:type="dxa"/>
            <w:gridSpan w:val="2"/>
            <w:tcBorders>
              <w:top w:val="single" w:sz="2" w:space="0" w:color="auto"/>
              <w:left w:val="nil"/>
              <w:bottom w:val="double" w:sz="4" w:space="0" w:color="auto"/>
              <w:right w:val="nil"/>
            </w:tcBorders>
            <w:vAlign w:val="bottom"/>
          </w:tcPr>
          <w:p w14:paraId="12CCA13A" w14:textId="44DA1954"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double" w:sz="4" w:space="0" w:color="auto"/>
              <w:right w:val="nil"/>
            </w:tcBorders>
            <w:vAlign w:val="bottom"/>
          </w:tcPr>
          <w:p w14:paraId="4F51D9C1" w14:textId="2AF99BC8" w:rsidR="006839E2" w:rsidRPr="00190046" w:rsidRDefault="006839E2" w:rsidP="006839E2">
            <w:pPr>
              <w:pStyle w:val="TableText"/>
              <w:tabs>
                <w:tab w:val="left" w:pos="3306"/>
              </w:tabs>
              <w:jc w:val="right"/>
              <w:rPr>
                <w:rFonts w:cs="Calibri"/>
                <w:b/>
                <w:bCs/>
              </w:rPr>
            </w:pPr>
          </w:p>
        </w:tc>
      </w:tr>
    </w:tbl>
    <w:p w14:paraId="477BFB2B" w14:textId="74AC7569" w:rsidR="00CD4214" w:rsidRDefault="00CD4214"/>
    <w:p w14:paraId="1721431F" w14:textId="77777777" w:rsidR="00A800B9" w:rsidRDefault="00A800B9"/>
    <w:p w14:paraId="05281019" w14:textId="77777777" w:rsidR="006B468D" w:rsidRDefault="006B468D">
      <w:r>
        <w:br w:type="page"/>
      </w:r>
    </w:p>
    <w:tbl>
      <w:tblPr>
        <w:tblW w:w="499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867"/>
        <w:gridCol w:w="10"/>
        <w:gridCol w:w="1583"/>
        <w:gridCol w:w="6"/>
        <w:gridCol w:w="1511"/>
      </w:tblGrid>
      <w:tr w:rsidR="0030665C" w:rsidRPr="00CF7E1B" w14:paraId="5D69656B" w14:textId="77777777" w:rsidTr="00D919F2">
        <w:trPr>
          <w:cantSplit/>
          <w:trHeight w:val="23"/>
        </w:trPr>
        <w:tc>
          <w:tcPr>
            <w:tcW w:w="1563" w:type="dxa"/>
            <w:tcBorders>
              <w:top w:val="nil"/>
              <w:left w:val="single" w:sz="2" w:space="0" w:color="auto"/>
              <w:bottom w:val="nil"/>
              <w:right w:val="single" w:sz="2" w:space="0" w:color="auto"/>
            </w:tcBorders>
          </w:tcPr>
          <w:p w14:paraId="7A5F6E3E" w14:textId="25AD51CE" w:rsidR="0030665C" w:rsidRPr="00190046" w:rsidRDefault="00A800B9" w:rsidP="00A800B9">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77" w:type="dxa"/>
            <w:gridSpan w:val="5"/>
            <w:tcBorders>
              <w:top w:val="nil"/>
              <w:left w:val="single" w:sz="2" w:space="0" w:color="auto"/>
              <w:bottom w:val="nil"/>
              <w:right w:val="nil"/>
            </w:tcBorders>
            <w:vAlign w:val="bottom"/>
          </w:tcPr>
          <w:p w14:paraId="3A15479F" w14:textId="41106525" w:rsidR="0030665C" w:rsidRPr="0007146C" w:rsidRDefault="00BB37EE" w:rsidP="00E80D67">
            <w:pPr>
              <w:pStyle w:val="Heading1"/>
              <w:numPr>
                <w:ilvl w:val="0"/>
                <w:numId w:val="0"/>
              </w:numPr>
            </w:pPr>
            <w:bookmarkStart w:id="1088" w:name="_Toc49224374"/>
            <w:bookmarkStart w:id="1089" w:name="_Ref50366055"/>
            <w:bookmarkStart w:id="1090" w:name="_Toc50440440"/>
            <w:bookmarkStart w:id="1091" w:name="_Toc223433234"/>
            <w:bookmarkStart w:id="1092" w:name="_Toc400627382"/>
            <w:bookmarkStart w:id="1093" w:name="_Toc132743852"/>
            <w:r w:rsidRPr="0007146C">
              <w:t>Note</w:t>
            </w:r>
            <w:r w:rsidR="0030665C" w:rsidRPr="0007146C">
              <w:t xml:space="preserve"> </w:t>
            </w:r>
            <w:r w:rsidR="00E86853" w:rsidRPr="0007146C">
              <w:t>49</w:t>
            </w:r>
            <w:r w:rsidR="0030665C" w:rsidRPr="0007146C">
              <w:t>.</w:t>
            </w:r>
            <w:r w:rsidR="00FA7C77" w:rsidRPr="0007146C">
              <w:t xml:space="preserve"> </w:t>
            </w:r>
            <w:r w:rsidR="00570A07" w:rsidRPr="0007146C">
              <w:t xml:space="preserve"> </w:t>
            </w:r>
            <w:bookmarkStart w:id="1094" w:name="TSpayables"/>
            <w:r w:rsidR="0030665C" w:rsidRPr="0007146C">
              <w:t>Payables</w:t>
            </w:r>
            <w:r w:rsidR="002541C3" w:rsidRPr="0007146C">
              <w:t xml:space="preserve"> </w:t>
            </w:r>
            <w:r w:rsidR="002541C3" w:rsidRPr="0007146C">
              <w:rPr>
                <w:rFonts w:cs="Calibri"/>
                <w:strike/>
                <w:color w:val="FF0000"/>
              </w:rPr>
              <w:t>and Contract Liabilities</w:t>
            </w:r>
            <w:r w:rsidR="0030665C" w:rsidRPr="0007146C">
              <w:rPr>
                <w:color w:val="FF0000"/>
              </w:rPr>
              <w:t xml:space="preserve"> </w:t>
            </w:r>
            <w:r w:rsidR="0030665C" w:rsidRPr="0007146C">
              <w:t>– Territorial</w:t>
            </w:r>
            <w:bookmarkEnd w:id="1088"/>
            <w:bookmarkEnd w:id="1089"/>
            <w:bookmarkEnd w:id="1090"/>
            <w:bookmarkEnd w:id="1091"/>
            <w:bookmarkEnd w:id="1092"/>
            <w:bookmarkEnd w:id="1093"/>
            <w:r w:rsidR="0030665C" w:rsidRPr="0007146C">
              <w:t xml:space="preserve"> </w:t>
            </w:r>
            <w:bookmarkEnd w:id="1094"/>
          </w:p>
        </w:tc>
      </w:tr>
      <w:tr w:rsidR="00313BCC" w:rsidRPr="00CF7E1B" w14:paraId="139D6A3F" w14:textId="77777777" w:rsidTr="00D919F2">
        <w:trPr>
          <w:cantSplit/>
          <w:trHeight w:val="23"/>
        </w:trPr>
        <w:tc>
          <w:tcPr>
            <w:tcW w:w="1563" w:type="dxa"/>
            <w:tcBorders>
              <w:top w:val="nil"/>
              <w:left w:val="single" w:sz="2" w:space="0" w:color="auto"/>
              <w:bottom w:val="nil"/>
              <w:right w:val="single" w:sz="2" w:space="0" w:color="auto"/>
            </w:tcBorders>
          </w:tcPr>
          <w:p w14:paraId="5EB8A956"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D4538B5" w14:textId="657D520E" w:rsidR="00313BCC" w:rsidRPr="0007146C" w:rsidRDefault="00313BCC" w:rsidP="00313BCC">
            <w:pPr>
              <w:rPr>
                <w:b/>
                <w:bCs/>
                <w:sz w:val="18"/>
                <w:szCs w:val="18"/>
              </w:rPr>
            </w:pPr>
            <w:r w:rsidRPr="0007146C">
              <w:rPr>
                <w:b/>
                <w:bCs/>
                <w:sz w:val="18"/>
                <w:szCs w:val="18"/>
              </w:rPr>
              <w:t>Description and Material Accounting Policies Relating to Payables</w:t>
            </w:r>
            <w:r w:rsidR="00153DC2" w:rsidRPr="0007146C">
              <w:rPr>
                <w:b/>
                <w:bCs/>
                <w:sz w:val="18"/>
                <w:szCs w:val="18"/>
              </w:rPr>
              <w:t xml:space="preserve"> </w:t>
            </w:r>
            <w:r w:rsidR="00153DC2" w:rsidRPr="0007146C">
              <w:rPr>
                <w:b/>
                <w:bCs/>
                <w:strike/>
                <w:color w:val="FF0000"/>
                <w:sz w:val="18"/>
                <w:szCs w:val="18"/>
              </w:rPr>
              <w:t>and Contract Liabilities</w:t>
            </w:r>
            <w:r w:rsidR="009E2543" w:rsidRPr="0007146C">
              <w:rPr>
                <w:b/>
                <w:bCs/>
                <w:sz w:val="18"/>
                <w:szCs w:val="18"/>
              </w:rPr>
              <w:t xml:space="preserve"> </w:t>
            </w:r>
            <w:r w:rsidR="006B468D" w:rsidRPr="0007146C">
              <w:rPr>
                <w:b/>
                <w:bCs/>
                <w:sz w:val="18"/>
                <w:szCs w:val="18"/>
              </w:rPr>
              <w:t>–</w:t>
            </w:r>
            <w:r w:rsidR="009E2543" w:rsidRPr="0007146C">
              <w:rPr>
                <w:b/>
                <w:bCs/>
                <w:sz w:val="18"/>
                <w:szCs w:val="18"/>
              </w:rPr>
              <w:t xml:space="preserve"> Territorial</w:t>
            </w:r>
            <w:r w:rsidR="006B468D" w:rsidRPr="0007146C">
              <w:rPr>
                <w:b/>
                <w:bCs/>
                <w:sz w:val="18"/>
                <w:szCs w:val="18"/>
              </w:rPr>
              <w:t xml:space="preserve"> </w:t>
            </w:r>
          </w:p>
        </w:tc>
      </w:tr>
      <w:tr w:rsidR="00313BCC" w:rsidRPr="00CF7E1B" w14:paraId="740A68D3" w14:textId="77777777" w:rsidTr="00D919F2">
        <w:trPr>
          <w:cantSplit/>
          <w:trHeight w:val="23"/>
        </w:trPr>
        <w:tc>
          <w:tcPr>
            <w:tcW w:w="1563" w:type="dxa"/>
            <w:tcBorders>
              <w:top w:val="nil"/>
              <w:left w:val="single" w:sz="2" w:space="0" w:color="auto"/>
              <w:bottom w:val="nil"/>
              <w:right w:val="single" w:sz="2" w:space="0" w:color="auto"/>
            </w:tcBorders>
          </w:tcPr>
          <w:p w14:paraId="1D64CF8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3F7B30C2" w14:textId="196C11AE" w:rsidR="00313BCC" w:rsidRPr="0007146C" w:rsidRDefault="00313BCC" w:rsidP="00A800B9">
            <w:pPr>
              <w:spacing w:before="40"/>
              <w:jc w:val="both"/>
              <w:rPr>
                <w:sz w:val="18"/>
                <w:szCs w:val="18"/>
              </w:rPr>
            </w:pPr>
            <w:r w:rsidRPr="0007146C">
              <w:rPr>
                <w:sz w:val="18"/>
                <w:szCs w:val="18"/>
              </w:rPr>
              <w:t>Payables include Trade Payables, Other Payables, and Payables to the Territory Banking Account.</w:t>
            </w:r>
            <w:r w:rsidR="00FA7C77" w:rsidRPr="0007146C">
              <w:rPr>
                <w:sz w:val="18"/>
                <w:szCs w:val="18"/>
              </w:rPr>
              <w:t xml:space="preserve"> </w:t>
            </w:r>
            <w:r w:rsidR="001823E5" w:rsidRPr="0007146C">
              <w:rPr>
                <w:sz w:val="18"/>
                <w:szCs w:val="18"/>
              </w:rPr>
              <w:t>Payables are initially recognised at fair value based on the transaction cost and subsequent to initial recognition at amortised cost, with any adjustments to the carrying amount being recorded in the Operating Statement.</w:t>
            </w:r>
          </w:p>
        </w:tc>
      </w:tr>
      <w:tr w:rsidR="001823E5" w:rsidRPr="00CF7E1B" w14:paraId="049B6509" w14:textId="77777777" w:rsidTr="00D919F2">
        <w:trPr>
          <w:cantSplit/>
          <w:trHeight w:val="23"/>
        </w:trPr>
        <w:tc>
          <w:tcPr>
            <w:tcW w:w="1563" w:type="dxa"/>
            <w:tcBorders>
              <w:top w:val="nil"/>
              <w:left w:val="single" w:sz="2" w:space="0" w:color="auto"/>
              <w:bottom w:val="nil"/>
              <w:right w:val="single" w:sz="2" w:space="0" w:color="auto"/>
            </w:tcBorders>
          </w:tcPr>
          <w:p w14:paraId="7EA21D3F"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2C48EC3B" w14:textId="77EAB99C" w:rsidR="001823E5" w:rsidRPr="0007146C" w:rsidRDefault="001823E5" w:rsidP="00313BCC">
            <w:pPr>
              <w:spacing w:before="120"/>
              <w:rPr>
                <w:i/>
                <w:iCs/>
                <w:color w:val="FF0000"/>
                <w:sz w:val="18"/>
                <w:szCs w:val="18"/>
              </w:rPr>
            </w:pPr>
            <w:r w:rsidRPr="0007146C">
              <w:rPr>
                <w:i/>
                <w:iCs/>
                <w:sz w:val="18"/>
                <w:szCs w:val="18"/>
              </w:rPr>
              <w:t>Trade and Other Payables</w:t>
            </w:r>
          </w:p>
        </w:tc>
      </w:tr>
      <w:tr w:rsidR="00313BCC" w:rsidRPr="00CF7E1B" w14:paraId="1043A002" w14:textId="77777777" w:rsidTr="00D919F2">
        <w:trPr>
          <w:cantSplit/>
          <w:trHeight w:val="23"/>
        </w:trPr>
        <w:tc>
          <w:tcPr>
            <w:tcW w:w="1563" w:type="dxa"/>
            <w:tcBorders>
              <w:top w:val="nil"/>
              <w:left w:val="single" w:sz="2" w:space="0" w:color="auto"/>
              <w:bottom w:val="nil"/>
              <w:right w:val="single" w:sz="2" w:space="0" w:color="auto"/>
            </w:tcBorders>
          </w:tcPr>
          <w:p w14:paraId="6892BF4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0C21244" w14:textId="59B50387" w:rsidR="00313BCC" w:rsidRPr="0007146C" w:rsidRDefault="007874D1" w:rsidP="00FA7581">
            <w:pPr>
              <w:jc w:val="both"/>
              <w:rPr>
                <w:color w:val="FF0000"/>
                <w:sz w:val="18"/>
                <w:szCs w:val="18"/>
              </w:rPr>
            </w:pPr>
            <w:r w:rsidRPr="0007146C">
              <w:rPr>
                <w:sz w:val="18"/>
                <w:szCs w:val="18"/>
              </w:rPr>
              <w:t xml:space="preserve">Trade and Other Payable </w:t>
            </w:r>
            <w:r w:rsidR="00313BCC" w:rsidRPr="0007146C">
              <w:rPr>
                <w:sz w:val="18"/>
                <w:szCs w:val="18"/>
              </w:rPr>
              <w:t xml:space="preserve">amounts are now normally settled within </w:t>
            </w:r>
            <w:r w:rsidR="00313BCC" w:rsidRPr="0007146C">
              <w:rPr>
                <w:color w:val="C45911" w:themeColor="accent2" w:themeShade="BF"/>
                <w:sz w:val="18"/>
                <w:szCs w:val="18"/>
              </w:rPr>
              <w:t>&lt;14 days&gt;</w:t>
            </w:r>
            <w:r w:rsidR="00313BCC" w:rsidRPr="0007146C">
              <w:rPr>
                <w:color w:val="FF0000"/>
                <w:sz w:val="18"/>
                <w:szCs w:val="18"/>
              </w:rPr>
              <w:t xml:space="preserve"> </w:t>
            </w:r>
            <w:r w:rsidR="00313BCC" w:rsidRPr="0007146C">
              <w:rPr>
                <w:sz w:val="18"/>
                <w:szCs w:val="18"/>
              </w:rPr>
              <w:t>after the invoice date given the ACT Government accelerated the payments of invoices for local enterprises recognising the importance of cash flow to small and medium enterprises given the COVID-19 pandemic</w:t>
            </w:r>
            <w:r w:rsidRPr="0007146C">
              <w:rPr>
                <w:sz w:val="18"/>
                <w:szCs w:val="18"/>
              </w:rPr>
              <w:t>.</w:t>
            </w:r>
          </w:p>
        </w:tc>
      </w:tr>
      <w:tr w:rsidR="001823E5" w:rsidRPr="00CF7E1B" w14:paraId="6CB89412" w14:textId="77777777" w:rsidTr="00D919F2">
        <w:trPr>
          <w:cantSplit/>
          <w:trHeight w:val="23"/>
        </w:trPr>
        <w:tc>
          <w:tcPr>
            <w:tcW w:w="1563" w:type="dxa"/>
            <w:tcBorders>
              <w:top w:val="nil"/>
              <w:left w:val="single" w:sz="2" w:space="0" w:color="auto"/>
              <w:bottom w:val="nil"/>
              <w:right w:val="single" w:sz="2" w:space="0" w:color="auto"/>
            </w:tcBorders>
          </w:tcPr>
          <w:p w14:paraId="316DDE1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5EEE0812" w14:textId="77777777" w:rsidR="001823E5" w:rsidRPr="0007146C" w:rsidRDefault="001823E5" w:rsidP="00FA7581">
            <w:pPr>
              <w:jc w:val="both"/>
              <w:rPr>
                <w:color w:val="FF0000"/>
                <w:sz w:val="18"/>
                <w:szCs w:val="18"/>
              </w:rPr>
            </w:pPr>
          </w:p>
        </w:tc>
      </w:tr>
      <w:tr w:rsidR="00313BCC" w:rsidRPr="00CF7E1B" w14:paraId="5E5EE83E" w14:textId="77777777" w:rsidTr="00D919F2">
        <w:trPr>
          <w:cantSplit/>
          <w:trHeight w:val="23"/>
        </w:trPr>
        <w:tc>
          <w:tcPr>
            <w:tcW w:w="1563" w:type="dxa"/>
            <w:tcBorders>
              <w:top w:val="nil"/>
              <w:left w:val="single" w:sz="2" w:space="0" w:color="auto"/>
              <w:bottom w:val="nil"/>
              <w:right w:val="single" w:sz="2" w:space="0" w:color="auto"/>
            </w:tcBorders>
          </w:tcPr>
          <w:p w14:paraId="4EFF86C3"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vAlign w:val="bottom"/>
          </w:tcPr>
          <w:p w14:paraId="3BE1BEBB" w14:textId="1D247E63" w:rsidR="00313BCC" w:rsidRPr="0007146C" w:rsidRDefault="001823E5" w:rsidP="00FA7581">
            <w:pPr>
              <w:jc w:val="both"/>
              <w:rPr>
                <w:i/>
                <w:iCs/>
              </w:rPr>
            </w:pPr>
            <w:r w:rsidRPr="0007146C">
              <w:rPr>
                <w:i/>
                <w:iCs/>
                <w:sz w:val="18"/>
                <w:szCs w:val="18"/>
              </w:rPr>
              <w:t>Payables to the Territory Banking Account</w:t>
            </w:r>
          </w:p>
        </w:tc>
      </w:tr>
      <w:tr w:rsidR="001823E5" w:rsidRPr="00CF7E1B" w14:paraId="35C6B268" w14:textId="77777777" w:rsidTr="00D919F2">
        <w:trPr>
          <w:cantSplit/>
          <w:trHeight w:val="23"/>
        </w:trPr>
        <w:tc>
          <w:tcPr>
            <w:tcW w:w="1563" w:type="dxa"/>
            <w:tcBorders>
              <w:top w:val="nil"/>
              <w:left w:val="single" w:sz="2" w:space="0" w:color="auto"/>
              <w:bottom w:val="nil"/>
              <w:right w:val="single" w:sz="2" w:space="0" w:color="auto"/>
            </w:tcBorders>
          </w:tcPr>
          <w:p w14:paraId="5AD4F4F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1B30AF6D" w14:textId="0D84548E" w:rsidR="001823E5" w:rsidRPr="0007146C" w:rsidRDefault="001823E5" w:rsidP="00FA7581">
            <w:pPr>
              <w:pStyle w:val="TableText"/>
              <w:tabs>
                <w:tab w:val="left" w:pos="3306"/>
              </w:tabs>
              <w:jc w:val="both"/>
              <w:rPr>
                <w:rFonts w:cs="Calibri"/>
              </w:rPr>
            </w:pPr>
            <w:r w:rsidRPr="0007146C">
              <w:t>Payables to the Territory Banking Account arise when ‘</w:t>
            </w:r>
            <w:r w:rsidR="00347866" w:rsidRPr="0007146C">
              <w:t>Burley Griffin</w:t>
            </w:r>
            <w:r w:rsidRPr="0007146C">
              <w:t xml:space="preserve"> Agency’ collects taxes, licences, fees and fines or other Terri</w:t>
            </w:r>
            <w:r w:rsidR="006222F7" w:rsidRPr="0007146C">
              <w:t>tor</w:t>
            </w:r>
            <w:r w:rsidRPr="0007146C">
              <w:t>ial revenue and the Agency is then obligated to on</w:t>
            </w:r>
            <w:r w:rsidR="00577081" w:rsidRPr="0007146C">
              <w:rPr>
                <w:color w:val="FF0000"/>
              </w:rPr>
              <w:t>-</w:t>
            </w:r>
            <w:r w:rsidRPr="0007146C">
              <w:t>pass those funds to Government by transferring them to the Territory Banking Account.</w:t>
            </w:r>
            <w:r w:rsidR="00FA7C77" w:rsidRPr="0007146C">
              <w:t xml:space="preserve"> </w:t>
            </w:r>
            <w:r w:rsidRPr="0007146C">
              <w:t>The amount of the payable is the territorial revenue collected by the Agency less any expected credit loss that has not been transferred to the Territory Banking Account by the end of the financial year.</w:t>
            </w:r>
            <w:r w:rsidR="00FA7C77" w:rsidRPr="0007146C">
              <w:t xml:space="preserve">  </w:t>
            </w:r>
          </w:p>
        </w:tc>
      </w:tr>
      <w:tr w:rsidR="00BA5DE9" w:rsidRPr="00CF7E1B" w14:paraId="53E83145" w14:textId="77777777" w:rsidTr="00D919F2">
        <w:trPr>
          <w:cantSplit/>
          <w:trHeight w:val="23"/>
        </w:trPr>
        <w:tc>
          <w:tcPr>
            <w:tcW w:w="1563" w:type="dxa"/>
            <w:tcBorders>
              <w:top w:val="nil"/>
              <w:left w:val="single" w:sz="2" w:space="0" w:color="auto"/>
              <w:bottom w:val="nil"/>
              <w:right w:val="single" w:sz="2" w:space="0" w:color="auto"/>
            </w:tcBorders>
          </w:tcPr>
          <w:p w14:paraId="37600F7B" w14:textId="77777777" w:rsidR="00BA5DE9" w:rsidRPr="00190046" w:rsidRDefault="00BA5DE9"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B3EAE55" w14:textId="77777777" w:rsidR="00BA5DE9" w:rsidRPr="0007146C" w:rsidRDefault="00BA5DE9"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2EB2EC1D" w14:textId="77777777" w:rsidR="00BA5DE9" w:rsidRPr="0007146C" w:rsidRDefault="00BA5DE9"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118EA7B" w14:textId="77777777" w:rsidR="00BA5DE9" w:rsidRPr="0007146C" w:rsidRDefault="00BA5DE9" w:rsidP="00313BCC">
            <w:pPr>
              <w:pStyle w:val="TableText"/>
              <w:tabs>
                <w:tab w:val="left" w:pos="3306"/>
              </w:tabs>
              <w:jc w:val="right"/>
              <w:rPr>
                <w:rFonts w:cs="Calibri"/>
              </w:rPr>
            </w:pPr>
          </w:p>
        </w:tc>
      </w:tr>
      <w:tr w:rsidR="00190046" w:rsidRPr="00CF7E1B" w14:paraId="2AF865A2" w14:textId="77777777" w:rsidTr="00D919F2">
        <w:trPr>
          <w:cantSplit/>
          <w:trHeight w:val="23"/>
        </w:trPr>
        <w:tc>
          <w:tcPr>
            <w:tcW w:w="1563" w:type="dxa"/>
            <w:tcBorders>
              <w:top w:val="nil"/>
              <w:left w:val="single" w:sz="2" w:space="0" w:color="auto"/>
              <w:bottom w:val="nil"/>
              <w:right w:val="single" w:sz="2" w:space="0" w:color="auto"/>
            </w:tcBorders>
          </w:tcPr>
          <w:p w14:paraId="15ED2A43" w14:textId="77777777" w:rsidR="00190046" w:rsidRPr="00190046" w:rsidRDefault="00190046"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67B0CB4" w14:textId="77777777" w:rsidR="00190046" w:rsidRPr="0007146C" w:rsidRDefault="00190046"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7035F743" w14:textId="7BE96D30" w:rsidR="00190046" w:rsidRPr="0007146C" w:rsidRDefault="00190046" w:rsidP="00190046">
            <w:pPr>
              <w:pStyle w:val="TableTitle"/>
              <w:tabs>
                <w:tab w:val="left" w:pos="3306"/>
              </w:tabs>
              <w:rPr>
                <w:rFonts w:cs="Calibri"/>
                <w:szCs w:val="16"/>
              </w:rPr>
            </w:pPr>
            <w:r w:rsidRPr="0007146C">
              <w:rPr>
                <w:rFonts w:cs="Calibri"/>
              </w:rPr>
              <w:t>202</w:t>
            </w:r>
            <w:r w:rsidR="00567EB7" w:rsidRPr="0007146C">
              <w:rPr>
                <w:rFonts w:cs="Calibri"/>
              </w:rPr>
              <w:t>3</w:t>
            </w:r>
            <w:r w:rsidRPr="0007146C">
              <w:rPr>
                <w:rFonts w:cs="Calibri"/>
                <w:szCs w:val="16"/>
              </w:rPr>
              <w:t xml:space="preserve"> </w:t>
            </w:r>
          </w:p>
          <w:p w14:paraId="79A3305A" w14:textId="615BC3F8" w:rsidR="00190046" w:rsidRPr="0007146C" w:rsidRDefault="00190046" w:rsidP="00190046">
            <w:pPr>
              <w:pStyle w:val="TableText"/>
              <w:tabs>
                <w:tab w:val="left" w:pos="3306"/>
              </w:tabs>
              <w:jc w:val="right"/>
              <w:rPr>
                <w:rFonts w:cs="Calibri"/>
                <w:b/>
                <w:bCs/>
              </w:rPr>
            </w:pPr>
            <w:r w:rsidRPr="0007146C">
              <w:rPr>
                <w:rFonts w:cs="Calibri"/>
                <w:b/>
                <w:bCs/>
                <w:szCs w:val="16"/>
              </w:rPr>
              <w:t>$’000</w:t>
            </w:r>
          </w:p>
        </w:tc>
        <w:tc>
          <w:tcPr>
            <w:tcW w:w="1511" w:type="dxa"/>
            <w:tcBorders>
              <w:top w:val="nil"/>
              <w:left w:val="nil"/>
              <w:bottom w:val="nil"/>
              <w:right w:val="nil"/>
            </w:tcBorders>
            <w:vAlign w:val="bottom"/>
          </w:tcPr>
          <w:p w14:paraId="0BAE5FF5" w14:textId="60F4449B" w:rsidR="006B468D" w:rsidRPr="0007146C" w:rsidRDefault="00190046" w:rsidP="0009580B">
            <w:pPr>
              <w:pStyle w:val="TableTitle"/>
              <w:tabs>
                <w:tab w:val="left" w:pos="3306"/>
              </w:tabs>
              <w:rPr>
                <w:rFonts w:cs="Calibri"/>
              </w:rPr>
            </w:pPr>
            <w:r w:rsidRPr="0007146C">
              <w:rPr>
                <w:rFonts w:cs="Calibri"/>
              </w:rPr>
              <w:t>202</w:t>
            </w:r>
            <w:r w:rsidR="00567EB7" w:rsidRPr="0007146C">
              <w:rPr>
                <w:rFonts w:cs="Calibri"/>
              </w:rPr>
              <w:t>2</w:t>
            </w:r>
            <w:r w:rsidR="00FA7C77" w:rsidRPr="0007146C">
              <w:rPr>
                <w:rFonts w:cs="Calibri"/>
              </w:rPr>
              <w:t xml:space="preserve">      </w:t>
            </w:r>
          </w:p>
          <w:p w14:paraId="0482DA2B" w14:textId="2BF907D6" w:rsidR="00190046" w:rsidRPr="0007146C" w:rsidRDefault="0009580B" w:rsidP="0009580B">
            <w:pPr>
              <w:pStyle w:val="TableTitle"/>
              <w:tabs>
                <w:tab w:val="left" w:pos="3306"/>
              </w:tabs>
              <w:rPr>
                <w:rFonts w:cs="Calibri"/>
                <w:b w:val="0"/>
                <w:bCs w:val="0"/>
              </w:rPr>
            </w:pPr>
            <w:r w:rsidRPr="0007146C">
              <w:rPr>
                <w:rFonts w:cs="Calibri"/>
              </w:rPr>
              <w:t xml:space="preserve"> </w:t>
            </w:r>
            <w:r w:rsidR="00190046" w:rsidRPr="0007146C">
              <w:rPr>
                <w:rFonts w:cs="Calibri"/>
              </w:rPr>
              <w:t>$’000</w:t>
            </w:r>
          </w:p>
        </w:tc>
      </w:tr>
      <w:tr w:rsidR="00313BCC" w:rsidRPr="00CF7E1B" w14:paraId="78FACB86" w14:textId="77777777" w:rsidTr="00D919F2">
        <w:trPr>
          <w:cantSplit/>
          <w:trHeight w:val="23"/>
        </w:trPr>
        <w:tc>
          <w:tcPr>
            <w:tcW w:w="1563" w:type="dxa"/>
            <w:tcBorders>
              <w:top w:val="nil"/>
              <w:left w:val="single" w:sz="2" w:space="0" w:color="auto"/>
              <w:bottom w:val="nil"/>
              <w:right w:val="single" w:sz="2" w:space="0" w:color="auto"/>
            </w:tcBorders>
          </w:tcPr>
          <w:p w14:paraId="2F649EB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22A0BC7" w14:textId="77777777" w:rsidR="00313BCC" w:rsidRPr="0007146C" w:rsidRDefault="00313BCC" w:rsidP="00313BCC">
            <w:pPr>
              <w:pStyle w:val="TableText"/>
              <w:tabs>
                <w:tab w:val="left" w:pos="3306"/>
              </w:tabs>
              <w:rPr>
                <w:rFonts w:cs="Calibri"/>
                <w:b/>
                <w:bCs/>
              </w:rPr>
            </w:pPr>
            <w:bookmarkStart w:id="1095" w:name="_Toc48468899"/>
            <w:bookmarkStart w:id="1096" w:name="_Toc49155958"/>
            <w:bookmarkStart w:id="1097" w:name="_Toc49224375"/>
            <w:r w:rsidRPr="0007146C">
              <w:rPr>
                <w:rFonts w:cs="Calibri"/>
                <w:b/>
                <w:bCs/>
              </w:rPr>
              <w:t xml:space="preserve">Current </w:t>
            </w:r>
            <w:bookmarkEnd w:id="1095"/>
            <w:bookmarkEnd w:id="1096"/>
            <w:bookmarkEnd w:id="1097"/>
            <w:r w:rsidRPr="0007146C">
              <w:rPr>
                <w:rFonts w:cs="Calibri"/>
                <w:b/>
                <w:bCs/>
              </w:rPr>
              <w:t>Payables</w:t>
            </w:r>
          </w:p>
        </w:tc>
        <w:tc>
          <w:tcPr>
            <w:tcW w:w="1589" w:type="dxa"/>
            <w:gridSpan w:val="2"/>
            <w:tcBorders>
              <w:top w:val="nil"/>
              <w:left w:val="nil"/>
              <w:bottom w:val="nil"/>
              <w:right w:val="nil"/>
            </w:tcBorders>
            <w:vAlign w:val="bottom"/>
          </w:tcPr>
          <w:p w14:paraId="6212B2B3" w14:textId="77777777"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025E5BF7" w14:textId="77777777" w:rsidR="00313BCC" w:rsidRPr="0007146C" w:rsidRDefault="00313BCC" w:rsidP="00313BCC">
            <w:pPr>
              <w:pStyle w:val="TableText"/>
              <w:tabs>
                <w:tab w:val="left" w:pos="3306"/>
              </w:tabs>
              <w:jc w:val="right"/>
              <w:rPr>
                <w:rFonts w:cs="Calibri"/>
              </w:rPr>
            </w:pPr>
          </w:p>
        </w:tc>
      </w:tr>
      <w:tr w:rsidR="00313BCC" w:rsidRPr="00CF7E1B" w14:paraId="3D00DC6B" w14:textId="77777777" w:rsidTr="00D919F2">
        <w:trPr>
          <w:cantSplit/>
          <w:trHeight w:val="266"/>
        </w:trPr>
        <w:tc>
          <w:tcPr>
            <w:tcW w:w="1563" w:type="dxa"/>
            <w:tcBorders>
              <w:top w:val="nil"/>
              <w:left w:val="single" w:sz="2" w:space="0" w:color="auto"/>
              <w:bottom w:val="nil"/>
              <w:right w:val="single" w:sz="2" w:space="0" w:color="auto"/>
            </w:tcBorders>
          </w:tcPr>
          <w:p w14:paraId="485EC7BF"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721C2B9" w14:textId="77777777" w:rsidR="00313BCC" w:rsidRPr="0007146C" w:rsidRDefault="00313BCC" w:rsidP="00313BCC">
            <w:pPr>
              <w:pStyle w:val="TableText"/>
              <w:tabs>
                <w:tab w:val="left" w:pos="3306"/>
              </w:tabs>
              <w:rPr>
                <w:rFonts w:cs="Calibri"/>
              </w:rPr>
            </w:pPr>
            <w:r w:rsidRPr="0007146C">
              <w:rPr>
                <w:rFonts w:cs="Calibri"/>
              </w:rPr>
              <w:t xml:space="preserve">Trade Payables </w:t>
            </w:r>
          </w:p>
        </w:tc>
        <w:tc>
          <w:tcPr>
            <w:tcW w:w="1589" w:type="dxa"/>
            <w:gridSpan w:val="2"/>
            <w:tcBorders>
              <w:top w:val="nil"/>
              <w:left w:val="nil"/>
              <w:bottom w:val="nil"/>
              <w:right w:val="nil"/>
            </w:tcBorders>
            <w:vAlign w:val="bottom"/>
          </w:tcPr>
          <w:p w14:paraId="65383954" w14:textId="74998681"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38FC2AC0" w14:textId="7E0A84E7" w:rsidR="00313BCC" w:rsidRPr="0007146C" w:rsidRDefault="00313BCC" w:rsidP="00313BCC">
            <w:pPr>
              <w:pStyle w:val="TableText"/>
              <w:tabs>
                <w:tab w:val="left" w:pos="3306"/>
              </w:tabs>
              <w:jc w:val="right"/>
              <w:rPr>
                <w:rFonts w:cs="Calibri"/>
              </w:rPr>
            </w:pPr>
          </w:p>
        </w:tc>
      </w:tr>
      <w:tr w:rsidR="00313BCC" w:rsidRPr="00CF7E1B" w14:paraId="24EC8920" w14:textId="77777777" w:rsidTr="00D919F2">
        <w:trPr>
          <w:cantSplit/>
          <w:trHeight w:val="23"/>
        </w:trPr>
        <w:tc>
          <w:tcPr>
            <w:tcW w:w="1563" w:type="dxa"/>
            <w:tcBorders>
              <w:top w:val="nil"/>
              <w:left w:val="single" w:sz="2" w:space="0" w:color="auto"/>
              <w:bottom w:val="nil"/>
              <w:right w:val="single" w:sz="2" w:space="0" w:color="auto"/>
            </w:tcBorders>
          </w:tcPr>
          <w:p w14:paraId="6514D873"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BC09CF9" w14:textId="77777777" w:rsidR="00313BCC" w:rsidRPr="0007146C" w:rsidRDefault="00313BCC" w:rsidP="00313BCC">
            <w:pPr>
              <w:pStyle w:val="TableText"/>
              <w:tabs>
                <w:tab w:val="left" w:pos="3306"/>
              </w:tabs>
              <w:rPr>
                <w:rFonts w:cs="Calibri"/>
              </w:rPr>
            </w:pPr>
            <w:r w:rsidRPr="0007146C">
              <w:rPr>
                <w:rFonts w:cs="Calibri"/>
              </w:rPr>
              <w:t>Other Payables</w:t>
            </w:r>
          </w:p>
        </w:tc>
        <w:tc>
          <w:tcPr>
            <w:tcW w:w="1589" w:type="dxa"/>
            <w:gridSpan w:val="2"/>
            <w:tcBorders>
              <w:top w:val="nil"/>
              <w:left w:val="nil"/>
              <w:bottom w:val="nil"/>
              <w:right w:val="nil"/>
            </w:tcBorders>
            <w:vAlign w:val="bottom"/>
          </w:tcPr>
          <w:p w14:paraId="5752FD8F" w14:textId="1EC80D3D"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5D62F97" w14:textId="40C9F4FB" w:rsidR="00313BCC" w:rsidRPr="0007146C" w:rsidRDefault="00313BCC" w:rsidP="00313BCC">
            <w:pPr>
              <w:pStyle w:val="TableText"/>
              <w:tabs>
                <w:tab w:val="left" w:pos="3306"/>
              </w:tabs>
              <w:jc w:val="right"/>
              <w:rPr>
                <w:rFonts w:cs="Calibri"/>
              </w:rPr>
            </w:pPr>
          </w:p>
        </w:tc>
      </w:tr>
      <w:tr w:rsidR="00313BCC" w:rsidRPr="00CF7E1B" w14:paraId="0507E981" w14:textId="77777777" w:rsidTr="00D919F2">
        <w:trPr>
          <w:cantSplit/>
          <w:trHeight w:val="23"/>
        </w:trPr>
        <w:tc>
          <w:tcPr>
            <w:tcW w:w="1563" w:type="dxa"/>
            <w:tcBorders>
              <w:top w:val="nil"/>
              <w:left w:val="single" w:sz="2" w:space="0" w:color="auto"/>
              <w:bottom w:val="nil"/>
              <w:right w:val="single" w:sz="2" w:space="0" w:color="auto"/>
            </w:tcBorders>
          </w:tcPr>
          <w:p w14:paraId="21555F3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332FC4D" w14:textId="77777777" w:rsidR="00313BCC" w:rsidRPr="0007146C" w:rsidRDefault="00313BCC" w:rsidP="00313BCC">
            <w:pPr>
              <w:pStyle w:val="TableText"/>
              <w:tabs>
                <w:tab w:val="left" w:pos="3306"/>
              </w:tabs>
              <w:rPr>
                <w:rFonts w:cs="Calibri"/>
              </w:rPr>
            </w:pPr>
            <w:r w:rsidRPr="0007146C">
              <w:rPr>
                <w:rFonts w:cs="Calibri"/>
              </w:rPr>
              <w:t>Payable to the Territory Banking Account</w:t>
            </w:r>
          </w:p>
        </w:tc>
        <w:tc>
          <w:tcPr>
            <w:tcW w:w="1589" w:type="dxa"/>
            <w:gridSpan w:val="2"/>
            <w:tcBorders>
              <w:top w:val="nil"/>
              <w:left w:val="nil"/>
              <w:bottom w:val="nil"/>
              <w:right w:val="nil"/>
            </w:tcBorders>
            <w:vAlign w:val="bottom"/>
          </w:tcPr>
          <w:p w14:paraId="3605F3B5" w14:textId="41C316B4"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1D634983" w14:textId="7BB09EA5" w:rsidR="00313BCC" w:rsidRPr="0007146C" w:rsidRDefault="00313BCC" w:rsidP="00313BCC">
            <w:pPr>
              <w:pStyle w:val="TableText"/>
              <w:tabs>
                <w:tab w:val="left" w:pos="3306"/>
              </w:tabs>
              <w:jc w:val="right"/>
              <w:rPr>
                <w:rFonts w:cs="Calibri"/>
              </w:rPr>
            </w:pPr>
          </w:p>
        </w:tc>
      </w:tr>
      <w:tr w:rsidR="00313BCC" w:rsidRPr="001823E5" w14:paraId="149D2979" w14:textId="77777777" w:rsidTr="00D919F2">
        <w:trPr>
          <w:cantSplit/>
          <w:trHeight w:val="23"/>
        </w:trPr>
        <w:tc>
          <w:tcPr>
            <w:tcW w:w="1563" w:type="dxa"/>
            <w:tcBorders>
              <w:top w:val="nil"/>
              <w:left w:val="single" w:sz="2" w:space="0" w:color="auto"/>
              <w:bottom w:val="nil"/>
              <w:right w:val="single" w:sz="2" w:space="0" w:color="auto"/>
            </w:tcBorders>
          </w:tcPr>
          <w:p w14:paraId="1B95B536" w14:textId="77777777" w:rsidR="00313BCC" w:rsidRPr="00190046" w:rsidRDefault="00313BCC" w:rsidP="00313BCC">
            <w:pPr>
              <w:pStyle w:val="CommentaryReference"/>
              <w:rPr>
                <w:rFonts w:cs="Calibri"/>
                <w:color w:val="7030A0"/>
                <w:sz w:val="6"/>
                <w:szCs w:val="6"/>
              </w:rPr>
            </w:pPr>
          </w:p>
        </w:tc>
        <w:tc>
          <w:tcPr>
            <w:tcW w:w="5877" w:type="dxa"/>
            <w:gridSpan w:val="2"/>
            <w:tcBorders>
              <w:top w:val="nil"/>
              <w:left w:val="single" w:sz="2" w:space="0" w:color="auto"/>
              <w:bottom w:val="nil"/>
              <w:right w:val="nil"/>
            </w:tcBorders>
            <w:vAlign w:val="bottom"/>
          </w:tcPr>
          <w:p w14:paraId="595586B2" w14:textId="77777777" w:rsidR="00313BCC" w:rsidRPr="0007146C" w:rsidRDefault="00313BCC" w:rsidP="00313BCC">
            <w:pPr>
              <w:pStyle w:val="CommentaryReference"/>
              <w:rPr>
                <w:rFonts w:cs="Calibri"/>
                <w:sz w:val="6"/>
                <w:szCs w:val="6"/>
              </w:rPr>
            </w:pPr>
          </w:p>
        </w:tc>
        <w:tc>
          <w:tcPr>
            <w:tcW w:w="1589" w:type="dxa"/>
            <w:gridSpan w:val="2"/>
            <w:tcBorders>
              <w:top w:val="nil"/>
              <w:left w:val="nil"/>
              <w:bottom w:val="single" w:sz="2" w:space="0" w:color="auto"/>
              <w:right w:val="nil"/>
            </w:tcBorders>
            <w:vAlign w:val="bottom"/>
          </w:tcPr>
          <w:p w14:paraId="411D4FB4" w14:textId="77777777" w:rsidR="00313BCC" w:rsidRPr="0007146C" w:rsidRDefault="00313BCC" w:rsidP="00313BCC">
            <w:pPr>
              <w:pStyle w:val="CommentaryReference"/>
              <w:rPr>
                <w:rFonts w:cs="Calibri"/>
                <w:sz w:val="6"/>
                <w:szCs w:val="6"/>
              </w:rPr>
            </w:pPr>
          </w:p>
        </w:tc>
        <w:tc>
          <w:tcPr>
            <w:tcW w:w="1511" w:type="dxa"/>
            <w:tcBorders>
              <w:top w:val="nil"/>
              <w:left w:val="nil"/>
              <w:bottom w:val="single" w:sz="2" w:space="0" w:color="auto"/>
              <w:right w:val="nil"/>
            </w:tcBorders>
            <w:vAlign w:val="bottom"/>
          </w:tcPr>
          <w:p w14:paraId="1C877B98" w14:textId="77777777" w:rsidR="00313BCC" w:rsidRPr="0007146C" w:rsidRDefault="00313BCC" w:rsidP="00313BCC">
            <w:pPr>
              <w:pStyle w:val="CommentaryReference"/>
              <w:rPr>
                <w:rFonts w:cs="Calibri"/>
                <w:sz w:val="6"/>
                <w:szCs w:val="6"/>
              </w:rPr>
            </w:pPr>
          </w:p>
        </w:tc>
      </w:tr>
      <w:tr w:rsidR="00313BCC" w:rsidRPr="00CF7E1B" w14:paraId="69D051DA" w14:textId="77777777" w:rsidTr="00D919F2">
        <w:trPr>
          <w:cantSplit/>
          <w:trHeight w:val="23"/>
        </w:trPr>
        <w:tc>
          <w:tcPr>
            <w:tcW w:w="1563" w:type="dxa"/>
            <w:tcBorders>
              <w:top w:val="nil"/>
              <w:left w:val="single" w:sz="2" w:space="0" w:color="auto"/>
              <w:bottom w:val="nil"/>
              <w:right w:val="single" w:sz="2" w:space="0" w:color="auto"/>
            </w:tcBorders>
          </w:tcPr>
          <w:p w14:paraId="6C4CC3B9"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7FD75F5" w14:textId="77777777" w:rsidR="00313BCC" w:rsidRPr="0007146C" w:rsidRDefault="00313BCC" w:rsidP="00313BCC">
            <w:pPr>
              <w:pStyle w:val="TableText"/>
              <w:tabs>
                <w:tab w:val="left" w:pos="3306"/>
              </w:tabs>
              <w:rPr>
                <w:rFonts w:cs="Calibri"/>
                <w:b/>
                <w:bCs/>
              </w:rPr>
            </w:pPr>
            <w:r w:rsidRPr="0007146C">
              <w:rPr>
                <w:rFonts w:cs="Calibri"/>
                <w:b/>
                <w:bCs/>
              </w:rPr>
              <w:t>Total Current Payables</w:t>
            </w:r>
          </w:p>
        </w:tc>
        <w:tc>
          <w:tcPr>
            <w:tcW w:w="1589" w:type="dxa"/>
            <w:gridSpan w:val="2"/>
            <w:tcBorders>
              <w:top w:val="single" w:sz="2" w:space="0" w:color="auto"/>
              <w:left w:val="nil"/>
              <w:bottom w:val="single" w:sz="2" w:space="0" w:color="auto"/>
              <w:right w:val="nil"/>
            </w:tcBorders>
            <w:vAlign w:val="bottom"/>
          </w:tcPr>
          <w:p w14:paraId="31A32B9F" w14:textId="74B9DC92"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single" w:sz="2" w:space="0" w:color="auto"/>
              <w:right w:val="nil"/>
            </w:tcBorders>
            <w:vAlign w:val="bottom"/>
          </w:tcPr>
          <w:p w14:paraId="5BCD30A7" w14:textId="744ACD7B" w:rsidR="00313BCC" w:rsidRPr="0007146C" w:rsidRDefault="00313BCC" w:rsidP="00313BCC">
            <w:pPr>
              <w:pStyle w:val="TableText"/>
              <w:tabs>
                <w:tab w:val="left" w:pos="3306"/>
              </w:tabs>
              <w:jc w:val="right"/>
              <w:rPr>
                <w:rFonts w:cs="Calibri"/>
                <w:b/>
                <w:bCs/>
              </w:rPr>
            </w:pPr>
          </w:p>
        </w:tc>
      </w:tr>
      <w:tr w:rsidR="001823E5" w:rsidRPr="001823E5" w14:paraId="6DD8F572" w14:textId="77777777" w:rsidTr="00D919F2">
        <w:trPr>
          <w:cantSplit/>
          <w:trHeight w:val="23"/>
        </w:trPr>
        <w:tc>
          <w:tcPr>
            <w:tcW w:w="1563" w:type="dxa"/>
            <w:tcBorders>
              <w:top w:val="nil"/>
              <w:left w:val="single" w:sz="2" w:space="0" w:color="auto"/>
              <w:bottom w:val="nil"/>
              <w:right w:val="single" w:sz="2" w:space="0" w:color="auto"/>
            </w:tcBorders>
          </w:tcPr>
          <w:p w14:paraId="60589FED" w14:textId="77777777" w:rsidR="001823E5" w:rsidRPr="00190046" w:rsidRDefault="001823E5" w:rsidP="00313BCC">
            <w:pPr>
              <w:pStyle w:val="TableReference"/>
              <w:tabs>
                <w:tab w:val="left" w:pos="3306"/>
              </w:tabs>
              <w:spacing w:before="40"/>
              <w:rPr>
                <w:rFonts w:cs="Calibri"/>
                <w:color w:val="7030A0"/>
                <w:sz w:val="14"/>
              </w:rPr>
            </w:pPr>
          </w:p>
        </w:tc>
        <w:tc>
          <w:tcPr>
            <w:tcW w:w="5877" w:type="dxa"/>
            <w:gridSpan w:val="2"/>
            <w:tcBorders>
              <w:top w:val="nil"/>
              <w:left w:val="single" w:sz="2" w:space="0" w:color="auto"/>
              <w:bottom w:val="nil"/>
              <w:right w:val="nil"/>
            </w:tcBorders>
            <w:vAlign w:val="bottom"/>
          </w:tcPr>
          <w:p w14:paraId="42FC4068" w14:textId="77777777" w:rsidR="001823E5" w:rsidRPr="0007146C" w:rsidRDefault="001823E5" w:rsidP="00313BCC">
            <w:pPr>
              <w:pStyle w:val="TableText"/>
              <w:tabs>
                <w:tab w:val="left" w:pos="3306"/>
              </w:tabs>
              <w:rPr>
                <w:rFonts w:cs="Calibri"/>
                <w:b/>
                <w:bCs/>
                <w:sz w:val="14"/>
                <w:szCs w:val="14"/>
              </w:rPr>
            </w:pPr>
          </w:p>
        </w:tc>
        <w:tc>
          <w:tcPr>
            <w:tcW w:w="1589" w:type="dxa"/>
            <w:gridSpan w:val="2"/>
            <w:tcBorders>
              <w:top w:val="single" w:sz="2" w:space="0" w:color="auto"/>
              <w:left w:val="nil"/>
              <w:bottom w:val="single" w:sz="2" w:space="0" w:color="auto"/>
              <w:right w:val="nil"/>
            </w:tcBorders>
            <w:vAlign w:val="bottom"/>
          </w:tcPr>
          <w:p w14:paraId="623FB28A" w14:textId="77777777" w:rsidR="001823E5" w:rsidRPr="0007146C" w:rsidRDefault="001823E5" w:rsidP="00313BCC">
            <w:pPr>
              <w:pStyle w:val="TableText"/>
              <w:tabs>
                <w:tab w:val="left" w:pos="3306"/>
              </w:tabs>
              <w:jc w:val="right"/>
              <w:rPr>
                <w:rFonts w:cs="Calibri"/>
                <w:b/>
                <w:bCs/>
                <w:sz w:val="14"/>
                <w:szCs w:val="14"/>
              </w:rPr>
            </w:pPr>
          </w:p>
        </w:tc>
        <w:tc>
          <w:tcPr>
            <w:tcW w:w="1511" w:type="dxa"/>
            <w:tcBorders>
              <w:top w:val="single" w:sz="2" w:space="0" w:color="auto"/>
              <w:left w:val="nil"/>
              <w:bottom w:val="single" w:sz="2" w:space="0" w:color="auto"/>
              <w:right w:val="nil"/>
            </w:tcBorders>
            <w:vAlign w:val="bottom"/>
          </w:tcPr>
          <w:p w14:paraId="40B15364" w14:textId="77777777" w:rsidR="001823E5" w:rsidRPr="0007146C" w:rsidRDefault="001823E5" w:rsidP="00313BCC">
            <w:pPr>
              <w:pStyle w:val="TableText"/>
              <w:tabs>
                <w:tab w:val="left" w:pos="3306"/>
              </w:tabs>
              <w:jc w:val="right"/>
              <w:rPr>
                <w:rFonts w:cs="Calibri"/>
                <w:b/>
                <w:bCs/>
                <w:sz w:val="14"/>
                <w:szCs w:val="14"/>
              </w:rPr>
            </w:pPr>
          </w:p>
        </w:tc>
      </w:tr>
      <w:tr w:rsidR="00313BCC" w:rsidRPr="00CF7E1B" w14:paraId="475BA544" w14:textId="77777777" w:rsidTr="00D919F2">
        <w:trPr>
          <w:cantSplit/>
          <w:trHeight w:val="23"/>
        </w:trPr>
        <w:tc>
          <w:tcPr>
            <w:tcW w:w="1563" w:type="dxa"/>
            <w:tcBorders>
              <w:top w:val="nil"/>
              <w:left w:val="single" w:sz="2" w:space="0" w:color="auto"/>
              <w:bottom w:val="nil"/>
              <w:right w:val="single" w:sz="2" w:space="0" w:color="auto"/>
            </w:tcBorders>
          </w:tcPr>
          <w:p w14:paraId="58E057EC"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3199E60E" w14:textId="2EC21123" w:rsidR="00313BCC" w:rsidRPr="0007146C" w:rsidRDefault="00313BCC" w:rsidP="00313BCC">
            <w:pPr>
              <w:pStyle w:val="TableText"/>
              <w:tabs>
                <w:tab w:val="left" w:pos="3306"/>
              </w:tabs>
              <w:rPr>
                <w:rFonts w:cs="Calibri"/>
                <w:b/>
                <w:bCs/>
              </w:rPr>
            </w:pPr>
            <w:r w:rsidRPr="0007146C">
              <w:rPr>
                <w:rFonts w:cs="Calibri"/>
                <w:b/>
                <w:bCs/>
              </w:rPr>
              <w:t>Total Payables</w:t>
            </w:r>
            <w:r w:rsidR="002541C3" w:rsidRPr="0007146C">
              <w:rPr>
                <w:rFonts w:cs="Calibri"/>
              </w:rPr>
              <w:t xml:space="preserve"> </w:t>
            </w:r>
            <w:r w:rsidR="002541C3" w:rsidRPr="0007146C">
              <w:rPr>
                <w:rFonts w:cs="Calibri"/>
                <w:b/>
                <w:bCs/>
                <w:strike/>
                <w:color w:val="FF0000"/>
              </w:rPr>
              <w:t>and Contract Liabilities</w:t>
            </w:r>
          </w:p>
        </w:tc>
        <w:tc>
          <w:tcPr>
            <w:tcW w:w="1589" w:type="dxa"/>
            <w:gridSpan w:val="2"/>
            <w:tcBorders>
              <w:top w:val="single" w:sz="2" w:space="0" w:color="auto"/>
              <w:left w:val="nil"/>
              <w:bottom w:val="double" w:sz="4" w:space="0" w:color="auto"/>
              <w:right w:val="nil"/>
            </w:tcBorders>
            <w:vAlign w:val="bottom"/>
          </w:tcPr>
          <w:p w14:paraId="781B8172" w14:textId="21D2BFB1"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double" w:sz="4" w:space="0" w:color="auto"/>
              <w:right w:val="nil"/>
            </w:tcBorders>
            <w:vAlign w:val="bottom"/>
          </w:tcPr>
          <w:p w14:paraId="5241F4DD" w14:textId="194FB4AB" w:rsidR="00313BCC" w:rsidRPr="0007146C" w:rsidRDefault="00313BCC" w:rsidP="00313BCC">
            <w:pPr>
              <w:pStyle w:val="TableText"/>
              <w:tabs>
                <w:tab w:val="left" w:pos="3306"/>
              </w:tabs>
              <w:jc w:val="right"/>
              <w:rPr>
                <w:rFonts w:cs="Calibri"/>
                <w:b/>
                <w:bCs/>
              </w:rPr>
            </w:pPr>
          </w:p>
        </w:tc>
      </w:tr>
      <w:tr w:rsidR="00313BCC" w:rsidRPr="00CF7E1B" w14:paraId="1D146FA4" w14:textId="77777777" w:rsidTr="00D919F2">
        <w:trPr>
          <w:cantSplit/>
          <w:trHeight w:val="23"/>
        </w:trPr>
        <w:tc>
          <w:tcPr>
            <w:tcW w:w="1563" w:type="dxa"/>
            <w:tcBorders>
              <w:top w:val="nil"/>
              <w:left w:val="single" w:sz="2" w:space="0" w:color="auto"/>
              <w:bottom w:val="nil"/>
              <w:right w:val="single" w:sz="2" w:space="0" w:color="auto"/>
            </w:tcBorders>
          </w:tcPr>
          <w:p w14:paraId="5D13BD91"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95C4F6C" w14:textId="77777777" w:rsidR="00313BCC" w:rsidRPr="0007146C" w:rsidRDefault="00313BCC" w:rsidP="00313BCC">
            <w:pPr>
              <w:pStyle w:val="TableText"/>
              <w:tabs>
                <w:tab w:val="left" w:pos="3306"/>
              </w:tabs>
              <w:rPr>
                <w:rFonts w:cs="Calibri"/>
                <w:b/>
                <w:bCs/>
              </w:rPr>
            </w:pPr>
          </w:p>
        </w:tc>
        <w:tc>
          <w:tcPr>
            <w:tcW w:w="1589" w:type="dxa"/>
            <w:gridSpan w:val="2"/>
            <w:tcBorders>
              <w:top w:val="double" w:sz="4" w:space="0" w:color="auto"/>
              <w:left w:val="nil"/>
              <w:bottom w:val="nil"/>
              <w:right w:val="nil"/>
            </w:tcBorders>
            <w:vAlign w:val="bottom"/>
          </w:tcPr>
          <w:p w14:paraId="455FC3B7" w14:textId="77777777" w:rsidR="00313BCC" w:rsidRPr="0007146C" w:rsidRDefault="00313BCC" w:rsidP="00313BCC">
            <w:pPr>
              <w:pStyle w:val="TableText"/>
              <w:tabs>
                <w:tab w:val="left" w:pos="3306"/>
              </w:tabs>
              <w:jc w:val="right"/>
              <w:rPr>
                <w:rFonts w:cs="Calibri"/>
                <w:b/>
                <w:bCs/>
              </w:rPr>
            </w:pPr>
          </w:p>
        </w:tc>
        <w:tc>
          <w:tcPr>
            <w:tcW w:w="1511" w:type="dxa"/>
            <w:tcBorders>
              <w:top w:val="double" w:sz="4" w:space="0" w:color="auto"/>
              <w:left w:val="nil"/>
              <w:bottom w:val="nil"/>
              <w:right w:val="nil"/>
            </w:tcBorders>
            <w:vAlign w:val="bottom"/>
          </w:tcPr>
          <w:p w14:paraId="05E42963" w14:textId="77777777" w:rsidR="00313BCC" w:rsidRPr="0007146C" w:rsidRDefault="00313BCC" w:rsidP="00313BCC">
            <w:pPr>
              <w:pStyle w:val="TableText"/>
              <w:tabs>
                <w:tab w:val="left" w:pos="3306"/>
              </w:tabs>
              <w:jc w:val="right"/>
              <w:rPr>
                <w:rFonts w:cs="Calibri"/>
                <w:b/>
                <w:bCs/>
              </w:rPr>
            </w:pPr>
          </w:p>
        </w:tc>
      </w:tr>
      <w:tr w:rsidR="002428A6" w:rsidRPr="00CF7E1B" w14:paraId="51135F2F" w14:textId="77777777" w:rsidTr="00D919F2">
        <w:trPr>
          <w:cantSplit/>
          <w:trHeight w:val="23"/>
        </w:trPr>
        <w:tc>
          <w:tcPr>
            <w:tcW w:w="1563" w:type="dxa"/>
            <w:tcBorders>
              <w:top w:val="nil"/>
              <w:left w:val="single" w:sz="2" w:space="0" w:color="auto"/>
              <w:bottom w:val="nil"/>
              <w:right w:val="single" w:sz="2" w:space="0" w:color="auto"/>
            </w:tcBorders>
          </w:tcPr>
          <w:p w14:paraId="5722DA37" w14:textId="77777777" w:rsidR="002428A6" w:rsidRPr="00190046" w:rsidRDefault="002428A6" w:rsidP="00863311">
            <w:pPr>
              <w:pStyle w:val="TableReference"/>
              <w:tabs>
                <w:tab w:val="left" w:pos="3306"/>
              </w:tabs>
              <w:spacing w:before="40"/>
              <w:rPr>
                <w:rFonts w:cs="Calibri"/>
                <w:color w:val="7030A0"/>
                <w:sz w:val="16"/>
                <w:szCs w:val="16"/>
              </w:rPr>
            </w:pPr>
          </w:p>
        </w:tc>
        <w:tc>
          <w:tcPr>
            <w:tcW w:w="5867" w:type="dxa"/>
            <w:tcBorders>
              <w:top w:val="nil"/>
              <w:left w:val="single" w:sz="2" w:space="0" w:color="auto"/>
              <w:bottom w:val="nil"/>
              <w:right w:val="nil"/>
            </w:tcBorders>
            <w:vAlign w:val="bottom"/>
          </w:tcPr>
          <w:p w14:paraId="6F1A44B9" w14:textId="77777777" w:rsidR="002428A6" w:rsidRPr="0007146C" w:rsidRDefault="002428A6" w:rsidP="00863311">
            <w:pPr>
              <w:pStyle w:val="TableText"/>
              <w:tabs>
                <w:tab w:val="left" w:pos="3306"/>
              </w:tabs>
              <w:rPr>
                <w:rFonts w:cs="Calibri"/>
                <w:b/>
                <w:bCs/>
              </w:rPr>
            </w:pPr>
          </w:p>
        </w:tc>
        <w:tc>
          <w:tcPr>
            <w:tcW w:w="1593" w:type="dxa"/>
            <w:gridSpan w:val="2"/>
            <w:tcBorders>
              <w:top w:val="nil"/>
              <w:left w:val="nil"/>
              <w:bottom w:val="nil"/>
              <w:right w:val="nil"/>
            </w:tcBorders>
            <w:vAlign w:val="bottom"/>
          </w:tcPr>
          <w:p w14:paraId="5CF26C57" w14:textId="48F814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5591AFD5" w14:textId="2CC4DFFE" w:rsidR="002428A6" w:rsidRPr="0007146C" w:rsidRDefault="002428A6" w:rsidP="002428A6">
            <w:pPr>
              <w:pStyle w:val="TableTitle"/>
              <w:tabs>
                <w:tab w:val="left" w:pos="3306"/>
              </w:tabs>
              <w:rPr>
                <w:rFonts w:cs="Calibri"/>
              </w:rPr>
            </w:pPr>
          </w:p>
        </w:tc>
      </w:tr>
      <w:tr w:rsidR="002428A6" w:rsidRPr="00CF7E1B" w14:paraId="78D0E2ED" w14:textId="77777777" w:rsidTr="00D919F2">
        <w:trPr>
          <w:cantSplit/>
          <w:trHeight w:val="23"/>
        </w:trPr>
        <w:tc>
          <w:tcPr>
            <w:tcW w:w="1563" w:type="dxa"/>
            <w:tcBorders>
              <w:top w:val="nil"/>
              <w:left w:val="single" w:sz="2" w:space="0" w:color="auto"/>
              <w:bottom w:val="nil"/>
              <w:right w:val="single" w:sz="2" w:space="0" w:color="auto"/>
            </w:tcBorders>
          </w:tcPr>
          <w:p w14:paraId="6F3781FC" w14:textId="77777777" w:rsidR="002428A6" w:rsidRPr="00190046" w:rsidRDefault="00C746EC" w:rsidP="0086331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5867" w:type="dxa"/>
            <w:tcBorders>
              <w:top w:val="nil"/>
              <w:left w:val="single" w:sz="2" w:space="0" w:color="auto"/>
              <w:bottom w:val="nil"/>
              <w:right w:val="nil"/>
            </w:tcBorders>
            <w:vAlign w:val="bottom"/>
          </w:tcPr>
          <w:p w14:paraId="3F82A0AD" w14:textId="77777777" w:rsidR="002428A6" w:rsidRPr="0007146C" w:rsidRDefault="002428A6" w:rsidP="00863311">
            <w:pPr>
              <w:pStyle w:val="TableText"/>
              <w:tabs>
                <w:tab w:val="left" w:pos="3306"/>
              </w:tabs>
              <w:rPr>
                <w:rFonts w:cs="Calibri"/>
                <w:b/>
                <w:bCs/>
              </w:rPr>
            </w:pPr>
            <w:r w:rsidRPr="0007146C">
              <w:rPr>
                <w:rFonts w:cs="Calibri"/>
                <w:b/>
                <w:bCs/>
              </w:rPr>
              <w:t>Payables are Aged as Follows:</w:t>
            </w:r>
          </w:p>
        </w:tc>
        <w:tc>
          <w:tcPr>
            <w:tcW w:w="1593" w:type="dxa"/>
            <w:gridSpan w:val="2"/>
            <w:tcBorders>
              <w:top w:val="nil"/>
              <w:left w:val="nil"/>
              <w:bottom w:val="nil"/>
              <w:right w:val="nil"/>
            </w:tcBorders>
            <w:vAlign w:val="bottom"/>
          </w:tcPr>
          <w:p w14:paraId="115AD7B4" w14:textId="777777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6511D979" w14:textId="77777777" w:rsidR="002428A6" w:rsidRPr="0007146C" w:rsidRDefault="002428A6" w:rsidP="002428A6">
            <w:pPr>
              <w:pStyle w:val="TableTitle"/>
              <w:tabs>
                <w:tab w:val="left" w:pos="3306"/>
              </w:tabs>
              <w:rPr>
                <w:rFonts w:cs="Calibri"/>
              </w:rPr>
            </w:pPr>
          </w:p>
        </w:tc>
      </w:tr>
      <w:tr w:rsidR="002428A6" w:rsidRPr="00CF7E1B" w14:paraId="390E1D70" w14:textId="77777777" w:rsidTr="00D919F2">
        <w:trPr>
          <w:cantSplit/>
          <w:trHeight w:val="23"/>
        </w:trPr>
        <w:tc>
          <w:tcPr>
            <w:tcW w:w="1563" w:type="dxa"/>
            <w:tcBorders>
              <w:top w:val="nil"/>
              <w:left w:val="single" w:sz="2" w:space="0" w:color="auto"/>
              <w:bottom w:val="nil"/>
              <w:right w:val="single" w:sz="2" w:space="0" w:color="auto"/>
            </w:tcBorders>
          </w:tcPr>
          <w:p w14:paraId="009E947D"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EB33296" w14:textId="77777777" w:rsidR="002428A6" w:rsidRPr="0007146C" w:rsidRDefault="002428A6" w:rsidP="00863311">
            <w:pPr>
              <w:pStyle w:val="TableText"/>
              <w:tabs>
                <w:tab w:val="left" w:pos="3306"/>
              </w:tabs>
              <w:rPr>
                <w:rFonts w:cs="Calibri"/>
              </w:rPr>
            </w:pPr>
            <w:r w:rsidRPr="0007146C">
              <w:rPr>
                <w:rFonts w:cs="Calibri"/>
              </w:rPr>
              <w:t>Not Overdue</w:t>
            </w:r>
          </w:p>
        </w:tc>
        <w:tc>
          <w:tcPr>
            <w:tcW w:w="1593" w:type="dxa"/>
            <w:gridSpan w:val="2"/>
            <w:tcBorders>
              <w:top w:val="nil"/>
              <w:left w:val="nil"/>
              <w:bottom w:val="nil"/>
              <w:right w:val="nil"/>
            </w:tcBorders>
            <w:vAlign w:val="bottom"/>
          </w:tcPr>
          <w:p w14:paraId="1BA880A8" w14:textId="73AE5531"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2A5C7C02" w14:textId="2D10AC4A" w:rsidR="002428A6" w:rsidRPr="0007146C" w:rsidRDefault="002428A6" w:rsidP="00863311">
            <w:pPr>
              <w:pStyle w:val="TableText"/>
              <w:tabs>
                <w:tab w:val="left" w:pos="3306"/>
              </w:tabs>
              <w:jc w:val="right"/>
              <w:rPr>
                <w:rFonts w:cs="Calibri"/>
              </w:rPr>
            </w:pPr>
          </w:p>
        </w:tc>
      </w:tr>
      <w:tr w:rsidR="002428A6" w:rsidRPr="00CF7E1B" w14:paraId="79D1F784" w14:textId="77777777" w:rsidTr="00D919F2">
        <w:trPr>
          <w:cantSplit/>
          <w:trHeight w:val="23"/>
        </w:trPr>
        <w:tc>
          <w:tcPr>
            <w:tcW w:w="1563" w:type="dxa"/>
            <w:tcBorders>
              <w:top w:val="nil"/>
              <w:left w:val="single" w:sz="2" w:space="0" w:color="auto"/>
              <w:bottom w:val="nil"/>
              <w:right w:val="single" w:sz="2" w:space="0" w:color="auto"/>
            </w:tcBorders>
          </w:tcPr>
          <w:p w14:paraId="6D8C1AD1"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32EDA88E" w14:textId="77777777" w:rsidR="002428A6" w:rsidRPr="0007146C" w:rsidRDefault="002428A6" w:rsidP="00863311">
            <w:pPr>
              <w:pStyle w:val="TableText"/>
              <w:tabs>
                <w:tab w:val="left" w:pos="3306"/>
              </w:tabs>
              <w:rPr>
                <w:rFonts w:cs="Calibri"/>
              </w:rPr>
            </w:pPr>
            <w:r w:rsidRPr="0007146C">
              <w:rPr>
                <w:rFonts w:cs="Calibri"/>
              </w:rPr>
              <w:t>Overdue for Less than 30 Days</w:t>
            </w:r>
          </w:p>
        </w:tc>
        <w:tc>
          <w:tcPr>
            <w:tcW w:w="1593" w:type="dxa"/>
            <w:gridSpan w:val="2"/>
            <w:tcBorders>
              <w:top w:val="nil"/>
              <w:left w:val="nil"/>
              <w:bottom w:val="nil"/>
              <w:right w:val="nil"/>
            </w:tcBorders>
            <w:vAlign w:val="bottom"/>
          </w:tcPr>
          <w:p w14:paraId="62682753" w14:textId="68B59D75"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0B98FE4" w14:textId="02072F7E" w:rsidR="002428A6" w:rsidRPr="0007146C" w:rsidRDefault="002428A6" w:rsidP="00863311">
            <w:pPr>
              <w:pStyle w:val="TableText"/>
              <w:tabs>
                <w:tab w:val="left" w:pos="3306"/>
              </w:tabs>
              <w:jc w:val="right"/>
              <w:rPr>
                <w:rFonts w:cs="Calibri"/>
              </w:rPr>
            </w:pPr>
          </w:p>
        </w:tc>
      </w:tr>
      <w:tr w:rsidR="002428A6" w:rsidRPr="00CF7E1B" w14:paraId="070D4C81" w14:textId="77777777" w:rsidTr="00D919F2">
        <w:trPr>
          <w:cantSplit/>
          <w:trHeight w:val="23"/>
        </w:trPr>
        <w:tc>
          <w:tcPr>
            <w:tcW w:w="1563" w:type="dxa"/>
            <w:tcBorders>
              <w:top w:val="nil"/>
              <w:left w:val="single" w:sz="2" w:space="0" w:color="auto"/>
              <w:bottom w:val="nil"/>
              <w:right w:val="single" w:sz="2" w:space="0" w:color="auto"/>
            </w:tcBorders>
          </w:tcPr>
          <w:p w14:paraId="07116D0E"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2916D5B" w14:textId="77777777" w:rsidR="002428A6" w:rsidRPr="0007146C" w:rsidRDefault="002428A6" w:rsidP="00863311">
            <w:pPr>
              <w:pStyle w:val="TableText"/>
              <w:tabs>
                <w:tab w:val="left" w:pos="3306"/>
              </w:tabs>
              <w:rPr>
                <w:rFonts w:cs="Calibri"/>
              </w:rPr>
            </w:pPr>
            <w:r w:rsidRPr="0007146C">
              <w:rPr>
                <w:rFonts w:cs="Calibri"/>
              </w:rPr>
              <w:t>Overdue for 30 to 60 Days</w:t>
            </w:r>
          </w:p>
        </w:tc>
        <w:tc>
          <w:tcPr>
            <w:tcW w:w="1593" w:type="dxa"/>
            <w:gridSpan w:val="2"/>
            <w:tcBorders>
              <w:top w:val="nil"/>
              <w:left w:val="nil"/>
              <w:bottom w:val="nil"/>
              <w:right w:val="nil"/>
            </w:tcBorders>
            <w:vAlign w:val="bottom"/>
          </w:tcPr>
          <w:p w14:paraId="601D0988" w14:textId="69D16DDE"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5039F90" w14:textId="1A66838D" w:rsidR="002428A6" w:rsidRPr="0007146C" w:rsidRDefault="002428A6" w:rsidP="00863311">
            <w:pPr>
              <w:pStyle w:val="TableText"/>
              <w:tabs>
                <w:tab w:val="left" w:pos="3306"/>
              </w:tabs>
              <w:jc w:val="right"/>
              <w:rPr>
                <w:rFonts w:cs="Calibri"/>
              </w:rPr>
            </w:pPr>
          </w:p>
        </w:tc>
      </w:tr>
      <w:tr w:rsidR="002428A6" w:rsidRPr="00CF7E1B" w14:paraId="1DFA7EF7" w14:textId="77777777" w:rsidTr="00D919F2">
        <w:trPr>
          <w:cantSplit/>
          <w:trHeight w:val="23"/>
        </w:trPr>
        <w:tc>
          <w:tcPr>
            <w:tcW w:w="1563" w:type="dxa"/>
            <w:tcBorders>
              <w:top w:val="nil"/>
              <w:left w:val="single" w:sz="2" w:space="0" w:color="auto"/>
              <w:bottom w:val="nil"/>
              <w:right w:val="single" w:sz="2" w:space="0" w:color="auto"/>
            </w:tcBorders>
          </w:tcPr>
          <w:p w14:paraId="243CA7A3"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5F7E996" w14:textId="77777777" w:rsidR="002428A6" w:rsidRPr="0007146C" w:rsidRDefault="002428A6" w:rsidP="00863311">
            <w:pPr>
              <w:pStyle w:val="TableText"/>
              <w:tabs>
                <w:tab w:val="left" w:pos="3306"/>
              </w:tabs>
              <w:rPr>
                <w:rFonts w:cs="Calibri"/>
              </w:rPr>
            </w:pPr>
            <w:r w:rsidRPr="0007146C">
              <w:rPr>
                <w:rFonts w:cs="Calibri"/>
              </w:rPr>
              <w:t>Overdue for More than 60 Days</w:t>
            </w:r>
          </w:p>
        </w:tc>
        <w:tc>
          <w:tcPr>
            <w:tcW w:w="1593" w:type="dxa"/>
            <w:gridSpan w:val="2"/>
            <w:tcBorders>
              <w:top w:val="nil"/>
              <w:left w:val="nil"/>
              <w:bottom w:val="single" w:sz="4" w:space="0" w:color="auto"/>
              <w:right w:val="nil"/>
            </w:tcBorders>
            <w:vAlign w:val="bottom"/>
          </w:tcPr>
          <w:p w14:paraId="52C9035F" w14:textId="5F4C423F"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single" w:sz="4" w:space="0" w:color="auto"/>
              <w:right w:val="nil"/>
            </w:tcBorders>
            <w:vAlign w:val="bottom"/>
          </w:tcPr>
          <w:p w14:paraId="0493323A" w14:textId="2270DFF3" w:rsidR="002428A6" w:rsidRPr="0007146C" w:rsidRDefault="002428A6" w:rsidP="00863311">
            <w:pPr>
              <w:pStyle w:val="TableText"/>
              <w:tabs>
                <w:tab w:val="left" w:pos="3306"/>
              </w:tabs>
              <w:jc w:val="right"/>
              <w:rPr>
                <w:rFonts w:cs="Calibri"/>
              </w:rPr>
            </w:pPr>
          </w:p>
        </w:tc>
      </w:tr>
      <w:tr w:rsidR="002428A6" w:rsidRPr="00CF7E1B" w14:paraId="3B126013" w14:textId="77777777" w:rsidTr="00D919F2">
        <w:trPr>
          <w:cantSplit/>
          <w:trHeight w:val="23"/>
        </w:trPr>
        <w:tc>
          <w:tcPr>
            <w:tcW w:w="1563" w:type="dxa"/>
            <w:tcBorders>
              <w:top w:val="nil"/>
              <w:left w:val="single" w:sz="2" w:space="0" w:color="auto"/>
              <w:bottom w:val="nil"/>
              <w:right w:val="single" w:sz="2" w:space="0" w:color="auto"/>
            </w:tcBorders>
          </w:tcPr>
          <w:p w14:paraId="2DE57D6F"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809CB89" w14:textId="769A32F3" w:rsidR="002428A6" w:rsidRPr="0007146C" w:rsidRDefault="002428A6" w:rsidP="00863311">
            <w:pPr>
              <w:pStyle w:val="TableText"/>
              <w:tabs>
                <w:tab w:val="left" w:pos="3306"/>
              </w:tabs>
              <w:rPr>
                <w:rFonts w:cs="Calibri"/>
                <w:b/>
                <w:bCs/>
              </w:rPr>
            </w:pPr>
            <w:r w:rsidRPr="0007146C">
              <w:rPr>
                <w:rFonts w:cs="Calibri"/>
                <w:b/>
                <w:bCs/>
              </w:rPr>
              <w:t>Total Payables</w:t>
            </w:r>
            <w:r w:rsidR="00567EB7" w:rsidRPr="0007146C">
              <w:rPr>
                <w:rFonts w:cs="Calibri"/>
                <w:b/>
                <w:bCs/>
              </w:rPr>
              <w:t xml:space="preserve"> </w:t>
            </w:r>
          </w:p>
        </w:tc>
        <w:tc>
          <w:tcPr>
            <w:tcW w:w="1593" w:type="dxa"/>
            <w:gridSpan w:val="2"/>
            <w:tcBorders>
              <w:top w:val="single" w:sz="4" w:space="0" w:color="auto"/>
              <w:left w:val="nil"/>
              <w:bottom w:val="double" w:sz="4" w:space="0" w:color="auto"/>
              <w:right w:val="nil"/>
            </w:tcBorders>
            <w:vAlign w:val="bottom"/>
          </w:tcPr>
          <w:p w14:paraId="0AD23A2A" w14:textId="1EBAA68A" w:rsidR="002428A6" w:rsidRPr="0007146C" w:rsidRDefault="002428A6" w:rsidP="00863311">
            <w:pPr>
              <w:pStyle w:val="TableText"/>
              <w:tabs>
                <w:tab w:val="left" w:pos="3306"/>
              </w:tabs>
              <w:jc w:val="right"/>
              <w:rPr>
                <w:rFonts w:cs="Calibri"/>
                <w:b/>
                <w:bCs/>
              </w:rPr>
            </w:pPr>
          </w:p>
        </w:tc>
        <w:tc>
          <w:tcPr>
            <w:tcW w:w="1517" w:type="dxa"/>
            <w:gridSpan w:val="2"/>
            <w:tcBorders>
              <w:top w:val="single" w:sz="4" w:space="0" w:color="auto"/>
              <w:left w:val="nil"/>
              <w:bottom w:val="double" w:sz="4" w:space="0" w:color="auto"/>
              <w:right w:val="nil"/>
            </w:tcBorders>
            <w:vAlign w:val="bottom"/>
          </w:tcPr>
          <w:p w14:paraId="3E0E063E" w14:textId="0B9643FB" w:rsidR="002428A6" w:rsidRPr="0007146C" w:rsidRDefault="002428A6" w:rsidP="00863311">
            <w:pPr>
              <w:pStyle w:val="TableText"/>
              <w:tabs>
                <w:tab w:val="left" w:pos="3306"/>
              </w:tabs>
              <w:jc w:val="right"/>
              <w:rPr>
                <w:rFonts w:cs="Calibri"/>
                <w:b/>
                <w:bCs/>
              </w:rPr>
            </w:pPr>
          </w:p>
        </w:tc>
      </w:tr>
      <w:tr w:rsidR="002428A6" w:rsidRPr="00CF7E1B" w14:paraId="5B1E54FB" w14:textId="77777777" w:rsidTr="00D919F2">
        <w:trPr>
          <w:cantSplit/>
          <w:trHeight w:val="23"/>
        </w:trPr>
        <w:tc>
          <w:tcPr>
            <w:tcW w:w="1563" w:type="dxa"/>
            <w:tcBorders>
              <w:top w:val="nil"/>
              <w:left w:val="single" w:sz="2" w:space="0" w:color="auto"/>
              <w:bottom w:val="nil"/>
              <w:right w:val="single" w:sz="2" w:space="0" w:color="auto"/>
            </w:tcBorders>
          </w:tcPr>
          <w:p w14:paraId="4AFC93CA" w14:textId="77777777" w:rsidR="002428A6" w:rsidRPr="00190046" w:rsidRDefault="002428A6" w:rsidP="00863311">
            <w:pPr>
              <w:pStyle w:val="Reference"/>
              <w:rPr>
                <w:rFonts w:cs="Calibri"/>
                <w:color w:val="7030A0"/>
                <w:sz w:val="14"/>
                <w:szCs w:val="14"/>
              </w:rPr>
            </w:pPr>
          </w:p>
        </w:tc>
        <w:tc>
          <w:tcPr>
            <w:tcW w:w="5867" w:type="dxa"/>
            <w:tcBorders>
              <w:top w:val="nil"/>
              <w:left w:val="single" w:sz="2" w:space="0" w:color="auto"/>
              <w:bottom w:val="nil"/>
              <w:right w:val="nil"/>
            </w:tcBorders>
            <w:vAlign w:val="bottom"/>
          </w:tcPr>
          <w:p w14:paraId="56BE92E2" w14:textId="77777777" w:rsidR="002428A6" w:rsidRPr="0007146C" w:rsidRDefault="002428A6" w:rsidP="00863311">
            <w:pPr>
              <w:pStyle w:val="TableText"/>
              <w:tabs>
                <w:tab w:val="left" w:pos="3306"/>
              </w:tabs>
              <w:rPr>
                <w:rFonts w:cs="Calibri"/>
                <w:b/>
                <w:bCs/>
              </w:rPr>
            </w:pPr>
          </w:p>
        </w:tc>
        <w:tc>
          <w:tcPr>
            <w:tcW w:w="1593" w:type="dxa"/>
            <w:gridSpan w:val="2"/>
            <w:tcBorders>
              <w:top w:val="double" w:sz="4" w:space="0" w:color="auto"/>
              <w:left w:val="nil"/>
              <w:bottom w:val="nil"/>
              <w:right w:val="nil"/>
            </w:tcBorders>
            <w:vAlign w:val="bottom"/>
          </w:tcPr>
          <w:p w14:paraId="6815D485" w14:textId="77777777" w:rsidR="002428A6" w:rsidRPr="0007146C" w:rsidRDefault="002428A6" w:rsidP="00863311">
            <w:pPr>
              <w:pStyle w:val="TableText"/>
              <w:tabs>
                <w:tab w:val="left" w:pos="3306"/>
              </w:tabs>
              <w:jc w:val="right"/>
              <w:rPr>
                <w:rFonts w:cs="Calibri"/>
                <w:b/>
                <w:bCs/>
              </w:rPr>
            </w:pPr>
          </w:p>
        </w:tc>
        <w:tc>
          <w:tcPr>
            <w:tcW w:w="1517" w:type="dxa"/>
            <w:gridSpan w:val="2"/>
            <w:tcBorders>
              <w:top w:val="double" w:sz="4" w:space="0" w:color="auto"/>
              <w:left w:val="nil"/>
              <w:bottom w:val="nil"/>
              <w:right w:val="nil"/>
            </w:tcBorders>
            <w:vAlign w:val="bottom"/>
          </w:tcPr>
          <w:p w14:paraId="2886EC27" w14:textId="77777777" w:rsidR="002428A6" w:rsidRPr="0007146C" w:rsidRDefault="002428A6" w:rsidP="00863311">
            <w:pPr>
              <w:pStyle w:val="TableText"/>
              <w:tabs>
                <w:tab w:val="left" w:pos="3306"/>
              </w:tabs>
              <w:jc w:val="right"/>
              <w:rPr>
                <w:rFonts w:cs="Calibri"/>
                <w:b/>
                <w:bCs/>
              </w:rPr>
            </w:pPr>
          </w:p>
        </w:tc>
      </w:tr>
      <w:tr w:rsidR="002428A6" w:rsidRPr="00CF7E1B" w14:paraId="2798168B" w14:textId="77777777" w:rsidTr="00D919F2">
        <w:trPr>
          <w:cantSplit/>
          <w:trHeight w:val="23"/>
        </w:trPr>
        <w:tc>
          <w:tcPr>
            <w:tcW w:w="1563" w:type="dxa"/>
            <w:tcBorders>
              <w:top w:val="nil"/>
              <w:left w:val="single" w:sz="2" w:space="0" w:color="auto"/>
              <w:bottom w:val="nil"/>
              <w:right w:val="single" w:sz="2" w:space="0" w:color="auto"/>
            </w:tcBorders>
          </w:tcPr>
          <w:p w14:paraId="20C1A066" w14:textId="77777777" w:rsidR="002428A6" w:rsidRPr="00190046" w:rsidRDefault="002428A6" w:rsidP="00BA371C">
            <w:pPr>
              <w:pStyle w:val="Reference"/>
              <w:rPr>
                <w:rFonts w:cs="Calibri"/>
                <w:color w:val="7030A0"/>
                <w:sz w:val="14"/>
                <w:szCs w:val="14"/>
              </w:rPr>
            </w:pPr>
          </w:p>
        </w:tc>
        <w:tc>
          <w:tcPr>
            <w:tcW w:w="8977" w:type="dxa"/>
            <w:gridSpan w:val="5"/>
            <w:tcBorders>
              <w:top w:val="nil"/>
              <w:left w:val="single" w:sz="2" w:space="0" w:color="auto"/>
              <w:bottom w:val="nil"/>
              <w:right w:val="nil"/>
            </w:tcBorders>
            <w:vAlign w:val="bottom"/>
          </w:tcPr>
          <w:p w14:paraId="3F33217A" w14:textId="77777777" w:rsidR="002428A6" w:rsidRPr="0007146C" w:rsidRDefault="002428A6" w:rsidP="00BA371C">
            <w:pPr>
              <w:pStyle w:val="TableText"/>
              <w:tabs>
                <w:tab w:val="left" w:pos="3306"/>
              </w:tabs>
              <w:jc w:val="right"/>
              <w:rPr>
                <w:rFonts w:cs="Calibri"/>
              </w:rPr>
            </w:pPr>
          </w:p>
        </w:tc>
      </w:tr>
      <w:tr w:rsidR="002428A6" w:rsidRPr="00CF7E1B" w14:paraId="1400D816" w14:textId="77777777" w:rsidTr="00D919F2">
        <w:trPr>
          <w:cantSplit/>
        </w:trPr>
        <w:tc>
          <w:tcPr>
            <w:tcW w:w="1563" w:type="dxa"/>
            <w:tcBorders>
              <w:top w:val="nil"/>
              <w:left w:val="single" w:sz="2" w:space="0" w:color="auto"/>
              <w:bottom w:val="nil"/>
              <w:right w:val="single" w:sz="2" w:space="0" w:color="auto"/>
            </w:tcBorders>
          </w:tcPr>
          <w:p w14:paraId="10A5A871" w14:textId="77777777" w:rsidR="002428A6" w:rsidRPr="00190046" w:rsidRDefault="002428A6" w:rsidP="00571D49">
            <w:pPr>
              <w:pStyle w:val="TableReference"/>
              <w:spacing w:before="240" w:after="24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3E3BB7A4" w14:textId="182652F1" w:rsidR="002428A6" w:rsidRPr="0007146C" w:rsidRDefault="002428A6" w:rsidP="00571D49">
            <w:pPr>
              <w:pStyle w:val="CommentaryTitle"/>
              <w:spacing w:before="240" w:after="240"/>
              <w:rPr>
                <w:rFonts w:cs="Calibri"/>
                <w:color w:val="FFFFFF" w:themeColor="background1"/>
                <w:sz w:val="28"/>
                <w:szCs w:val="28"/>
              </w:rPr>
            </w:pPr>
            <w:bookmarkStart w:id="1098" w:name="_Toc163106425"/>
            <w:r w:rsidRPr="0007146C">
              <w:rPr>
                <w:rFonts w:cs="Calibri"/>
                <w:color w:val="FFFFFF" w:themeColor="background1"/>
                <w:sz w:val="28"/>
                <w:szCs w:val="28"/>
              </w:rPr>
              <w:t xml:space="preserve">Commentary – Note </w:t>
            </w:r>
            <w:r w:rsidR="00E86853" w:rsidRPr="0007146C">
              <w:rPr>
                <w:rFonts w:cs="Calibri"/>
                <w:color w:val="FFFFFF" w:themeColor="background1"/>
                <w:sz w:val="28"/>
                <w:szCs w:val="28"/>
              </w:rPr>
              <w:t>49</w:t>
            </w:r>
            <w:r w:rsidRPr="0007146C">
              <w:rPr>
                <w:rFonts w:cs="Calibri"/>
                <w:color w:val="FFFFFF" w:themeColor="background1"/>
                <w:sz w:val="28"/>
                <w:szCs w:val="28"/>
              </w:rPr>
              <w:t>: Payables</w:t>
            </w:r>
            <w:r w:rsidR="00153DC2" w:rsidRPr="0007146C">
              <w:rPr>
                <w:rFonts w:cs="Calibri"/>
                <w:color w:val="FFFFFF" w:themeColor="background1"/>
                <w:sz w:val="28"/>
                <w:szCs w:val="28"/>
              </w:rPr>
              <w:t xml:space="preserve"> </w:t>
            </w:r>
            <w:r w:rsidR="00153DC2" w:rsidRPr="0007146C">
              <w:rPr>
                <w:rFonts w:cs="Calibri"/>
                <w:strike/>
                <w:color w:val="FF0000"/>
                <w:sz w:val="28"/>
                <w:szCs w:val="28"/>
              </w:rPr>
              <w:t>and Contract Liabilities</w:t>
            </w:r>
            <w:r w:rsidRPr="0007146C">
              <w:rPr>
                <w:rFonts w:cs="Calibri"/>
                <w:color w:val="FF0000"/>
                <w:sz w:val="28"/>
                <w:szCs w:val="28"/>
              </w:rPr>
              <w:t xml:space="preserve"> </w:t>
            </w:r>
            <w:r w:rsidRPr="0007146C">
              <w:rPr>
                <w:rFonts w:cs="Calibri"/>
                <w:color w:val="FFFFFF" w:themeColor="background1"/>
                <w:sz w:val="28"/>
                <w:szCs w:val="28"/>
              </w:rPr>
              <w:t>– Territorial</w:t>
            </w:r>
            <w:bookmarkEnd w:id="1098"/>
          </w:p>
        </w:tc>
      </w:tr>
      <w:tr w:rsidR="006A7D2E" w:rsidRPr="00CF7E1B" w14:paraId="34FA1190" w14:textId="77777777" w:rsidTr="00D919F2">
        <w:trPr>
          <w:cantSplit/>
        </w:trPr>
        <w:tc>
          <w:tcPr>
            <w:tcW w:w="1563" w:type="dxa"/>
            <w:tcBorders>
              <w:top w:val="nil"/>
              <w:left w:val="single" w:sz="2" w:space="0" w:color="auto"/>
              <w:bottom w:val="nil"/>
              <w:right w:val="single" w:sz="2" w:space="0" w:color="auto"/>
            </w:tcBorders>
          </w:tcPr>
          <w:p w14:paraId="7F6E7EBC" w14:textId="77777777" w:rsidR="006A7D2E" w:rsidRPr="00190046" w:rsidRDefault="006A7D2E" w:rsidP="003E0E5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8977" w:type="dxa"/>
            <w:gridSpan w:val="5"/>
            <w:tcBorders>
              <w:top w:val="nil"/>
              <w:left w:val="single" w:sz="2" w:space="0" w:color="auto"/>
              <w:bottom w:val="nil"/>
              <w:right w:val="nil"/>
            </w:tcBorders>
            <w:shd w:val="clear" w:color="auto" w:fill="7030A0"/>
            <w:vAlign w:val="bottom"/>
          </w:tcPr>
          <w:p w14:paraId="4D00DBB8" w14:textId="77777777" w:rsidR="006A7D2E" w:rsidRPr="0007146C" w:rsidRDefault="006A7D2E" w:rsidP="003E0E51">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6A7D2E" w:rsidRPr="00CF7E1B" w14:paraId="13F8594E" w14:textId="77777777" w:rsidTr="00D919F2">
        <w:trPr>
          <w:cantSplit/>
        </w:trPr>
        <w:tc>
          <w:tcPr>
            <w:tcW w:w="1563" w:type="dxa"/>
            <w:tcBorders>
              <w:top w:val="nil"/>
              <w:left w:val="single" w:sz="2" w:space="0" w:color="auto"/>
              <w:bottom w:val="nil"/>
              <w:right w:val="single" w:sz="2" w:space="0" w:color="auto"/>
            </w:tcBorders>
            <w:vAlign w:val="bottom"/>
          </w:tcPr>
          <w:p w14:paraId="7880947B" w14:textId="77777777" w:rsidR="006A7D2E" w:rsidRPr="00190046" w:rsidRDefault="006A7D2E" w:rsidP="00863311">
            <w:pPr>
              <w:pStyle w:val="TableReference"/>
              <w:tabs>
                <w:tab w:val="left" w:pos="3306"/>
              </w:tabs>
              <w:rPr>
                <w:rFonts w:cs="Calibri"/>
                <w:color w:val="7030A0"/>
                <w:sz w:val="14"/>
              </w:rPr>
            </w:pPr>
          </w:p>
        </w:tc>
        <w:tc>
          <w:tcPr>
            <w:tcW w:w="8977" w:type="dxa"/>
            <w:gridSpan w:val="5"/>
            <w:tcBorders>
              <w:top w:val="nil"/>
              <w:left w:val="single" w:sz="2" w:space="0" w:color="auto"/>
              <w:bottom w:val="nil"/>
              <w:right w:val="nil"/>
            </w:tcBorders>
            <w:shd w:val="clear" w:color="auto" w:fill="7030A0"/>
            <w:vAlign w:val="bottom"/>
          </w:tcPr>
          <w:p w14:paraId="77CD2459" w14:textId="05ABDCA3" w:rsidR="006A7D2E" w:rsidRPr="0007146C" w:rsidRDefault="006A7D2E" w:rsidP="00B475FD">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GST Receivable that is shown in Note </w:t>
            </w:r>
            <w:r w:rsidR="00E86853" w:rsidRPr="0007146C">
              <w:rPr>
                <w:rFonts w:cs="Calibri"/>
                <w:color w:val="FFFFFF" w:themeColor="background1"/>
                <w:sz w:val="18"/>
                <w:szCs w:val="18"/>
              </w:rPr>
              <w:t>47</w:t>
            </w:r>
            <w:r w:rsidR="00DD6620" w:rsidRPr="0007146C">
              <w:rPr>
                <w:rFonts w:cs="Calibri"/>
                <w:color w:val="FFFFFF" w:themeColor="background1"/>
                <w:sz w:val="18"/>
                <w:szCs w:val="18"/>
              </w:rPr>
              <w:t xml:space="preserve"> </w:t>
            </w:r>
            <w:r w:rsidRPr="0007146C">
              <w:rPr>
                <w:rFonts w:cs="Calibri"/>
                <w:i/>
                <w:color w:val="FFFFFF" w:themeColor="background1"/>
                <w:sz w:val="18"/>
                <w:szCs w:val="18"/>
              </w:rPr>
              <w:t>Receivables</w:t>
            </w:r>
            <w:r w:rsidR="0035272C" w:rsidRPr="0007146C">
              <w:rPr>
                <w:rFonts w:cs="Calibri"/>
                <w:i/>
                <w:color w:val="FFFFFF" w:themeColor="background1"/>
                <w:sz w:val="18"/>
                <w:szCs w:val="18"/>
              </w:rPr>
              <w:t xml:space="preserve"> </w:t>
            </w:r>
            <w:r w:rsidR="0035272C" w:rsidRPr="0007146C">
              <w:rPr>
                <w:rFonts w:cs="Calibri"/>
                <w:i/>
                <w:strike/>
                <w:color w:val="FF0000"/>
                <w:sz w:val="18"/>
                <w:szCs w:val="18"/>
              </w:rPr>
              <w:t>and Contract Assets</w:t>
            </w:r>
            <w:r w:rsidRPr="0007146C">
              <w:rPr>
                <w:rFonts w:cs="Calibri"/>
                <w:i/>
                <w:color w:val="FFFFFF" w:themeColor="background1"/>
                <w:sz w:val="18"/>
                <w:szCs w:val="18"/>
              </w:rPr>
              <w:t xml:space="preserve"> - Territorial</w:t>
            </w:r>
            <w:r w:rsidRPr="0007146C">
              <w:rPr>
                <w:rFonts w:cs="Calibri"/>
                <w:color w:val="FFFFFF" w:themeColor="background1"/>
                <w:sz w:val="18"/>
                <w:szCs w:val="18"/>
              </w:rPr>
              <w:t>.</w:t>
            </w:r>
            <w:r w:rsidR="00FA7C77" w:rsidRPr="0007146C">
              <w:rPr>
                <w:rFonts w:cs="Calibri"/>
                <w:color w:val="FFFFFF" w:themeColor="background1"/>
                <w:sz w:val="18"/>
                <w:szCs w:val="18"/>
              </w:rPr>
              <w:t xml:space="preserve"> </w:t>
            </w:r>
            <w:r w:rsidRPr="0007146C">
              <w:rPr>
                <w:rFonts w:cs="Calibri"/>
                <w:color w:val="FFFFFF" w:themeColor="background1"/>
                <w:sz w:val="18"/>
                <w:szCs w:val="18"/>
              </w:rPr>
              <w:t>In most cases agencies will have a net GST Receivable.</w:t>
            </w:r>
            <w:r w:rsidR="00FA7C77" w:rsidRPr="0007146C">
              <w:rPr>
                <w:rFonts w:cs="Calibri"/>
                <w:color w:val="FFFFFF" w:themeColor="background1"/>
                <w:sz w:val="18"/>
                <w:szCs w:val="18"/>
              </w:rPr>
              <w:t xml:space="preserve"> </w:t>
            </w:r>
            <w:r w:rsidRPr="0007146C">
              <w:rPr>
                <w:rFonts w:cs="Calibri"/>
                <w:color w:val="FFFFFF" w:themeColor="background1"/>
                <w:sz w:val="18"/>
                <w:szCs w:val="18"/>
              </w:rPr>
              <w:t>However, if a net GST Payable arises then this amount would be disclosed in this Payables</w:t>
            </w:r>
            <w:r w:rsidR="001A06B7" w:rsidRPr="0007146C">
              <w:rPr>
                <w:rFonts w:cs="Calibri"/>
                <w:color w:val="FFFFFF" w:themeColor="background1"/>
                <w:sz w:val="18"/>
                <w:szCs w:val="18"/>
              </w:rPr>
              <w:t xml:space="preserve"> </w:t>
            </w:r>
            <w:r w:rsidR="001A06B7" w:rsidRPr="0007146C">
              <w:rPr>
                <w:rFonts w:cs="Calibri"/>
                <w:strike/>
                <w:color w:val="FF0000"/>
                <w:sz w:val="18"/>
                <w:szCs w:val="18"/>
              </w:rPr>
              <w:t>and Contract Liabilities</w:t>
            </w:r>
            <w:r w:rsidRPr="0007146C">
              <w:rPr>
                <w:rFonts w:cs="Calibri"/>
                <w:color w:val="FF0000"/>
                <w:sz w:val="18"/>
                <w:szCs w:val="18"/>
              </w:rPr>
              <w:t xml:space="preserve"> </w:t>
            </w:r>
            <w:r w:rsidRPr="0007146C">
              <w:rPr>
                <w:rFonts w:cs="Calibri"/>
                <w:color w:val="FFFFFF" w:themeColor="background1"/>
                <w:sz w:val="18"/>
                <w:szCs w:val="18"/>
              </w:rPr>
              <w:t>note.</w:t>
            </w:r>
            <w:r w:rsidR="00FA7C77" w:rsidRPr="0007146C">
              <w:rPr>
                <w:rFonts w:cs="Calibri"/>
                <w:color w:val="FFFFFF" w:themeColor="background1"/>
                <w:sz w:val="18"/>
                <w:szCs w:val="18"/>
              </w:rPr>
              <w:t xml:space="preserve"> </w:t>
            </w:r>
          </w:p>
        </w:tc>
      </w:tr>
      <w:tr w:rsidR="006A7D2E" w:rsidRPr="00CF7E1B" w14:paraId="7FE3B387" w14:textId="77777777" w:rsidTr="00D919F2">
        <w:trPr>
          <w:cantSplit/>
        </w:trPr>
        <w:tc>
          <w:tcPr>
            <w:tcW w:w="1563" w:type="dxa"/>
            <w:tcBorders>
              <w:top w:val="nil"/>
              <w:left w:val="single" w:sz="2" w:space="0" w:color="auto"/>
              <w:bottom w:val="nil"/>
              <w:right w:val="single" w:sz="2" w:space="0" w:color="auto"/>
            </w:tcBorders>
          </w:tcPr>
          <w:p w14:paraId="3986B943" w14:textId="77777777" w:rsidR="006A7D2E" w:rsidRPr="00190046" w:rsidRDefault="006A7D2E" w:rsidP="00863311">
            <w:pPr>
              <w:pStyle w:val="TableReference"/>
              <w:spacing w:before="60"/>
              <w:rPr>
                <w:rFonts w:cs="Calibri"/>
                <w:color w:val="7030A0"/>
                <w:sz w:val="14"/>
              </w:rPr>
            </w:pPr>
            <w:r w:rsidRPr="00190046">
              <w:rPr>
                <w:rFonts w:cs="Calibri"/>
                <w:color w:val="7030A0"/>
                <w:sz w:val="14"/>
              </w:rPr>
              <w:t>Government Procurement Act Section 44 &amp; 45</w:t>
            </w:r>
          </w:p>
        </w:tc>
        <w:tc>
          <w:tcPr>
            <w:tcW w:w="8977" w:type="dxa"/>
            <w:gridSpan w:val="5"/>
            <w:tcBorders>
              <w:top w:val="nil"/>
              <w:left w:val="single" w:sz="2" w:space="0" w:color="auto"/>
              <w:bottom w:val="nil"/>
              <w:right w:val="nil"/>
            </w:tcBorders>
            <w:shd w:val="clear" w:color="auto" w:fill="7030A0"/>
          </w:tcPr>
          <w:p w14:paraId="007E1476" w14:textId="04F6AC80" w:rsidR="006A7D2E" w:rsidRPr="0007146C" w:rsidRDefault="006A7D2E" w:rsidP="00863311">
            <w:pPr>
              <w:pStyle w:val="TableText"/>
              <w:spacing w:after="120"/>
              <w:jc w:val="both"/>
              <w:rPr>
                <w:rFonts w:cs="Calibri"/>
                <w:color w:val="FFFFFF" w:themeColor="background1"/>
              </w:rPr>
            </w:pPr>
            <w:r w:rsidRPr="0007146C">
              <w:rPr>
                <w:rFonts w:cs="Calibri"/>
                <w:color w:val="FFFFFF" w:themeColor="background1"/>
              </w:rPr>
              <w:t xml:space="preserve">The </w:t>
            </w:r>
            <w:r w:rsidRPr="0007146C">
              <w:rPr>
                <w:rFonts w:cs="Calibri"/>
                <w:i/>
                <w:iCs/>
                <w:color w:val="FFFFFF" w:themeColor="background1"/>
              </w:rPr>
              <w:t>Government Procurement Act 2001</w:t>
            </w:r>
            <w:r w:rsidRPr="0007146C">
              <w:rPr>
                <w:rFonts w:cs="Calibri"/>
                <w:color w:val="FFFFFF" w:themeColor="background1"/>
              </w:rPr>
              <w:t xml:space="preserve"> requires interest to be paid where a commercial account is not paid in full by the 25</w:t>
            </w:r>
            <w:r w:rsidRPr="0007146C">
              <w:rPr>
                <w:rFonts w:cs="Calibri"/>
                <w:color w:val="FFFFFF" w:themeColor="background1"/>
                <w:vertAlign w:val="superscript"/>
              </w:rPr>
              <w:t>th</w:t>
            </w:r>
            <w:r w:rsidRPr="0007146C">
              <w:rPr>
                <w:rFonts w:cs="Calibri"/>
                <w:color w:val="FFFFFF" w:themeColor="background1"/>
              </w:rPr>
              <w:t xml:space="preserve"> day of the month after the month in which the payment is due.</w:t>
            </w:r>
            <w:r w:rsidR="00FA7C77" w:rsidRPr="0007146C">
              <w:rPr>
                <w:rFonts w:cs="Calibri"/>
                <w:color w:val="FFFFFF" w:themeColor="background1"/>
              </w:rPr>
              <w:t xml:space="preserve"> </w:t>
            </w:r>
            <w:r w:rsidRPr="0007146C">
              <w:rPr>
                <w:rFonts w:cs="Calibri"/>
                <w:color w:val="FFFFFF" w:themeColor="background1"/>
              </w:rPr>
              <w:t>Therefore agencies should ensure accounts are paid before interest becomes payable.</w:t>
            </w:r>
            <w:r w:rsidR="00FA7C77" w:rsidRPr="0007146C">
              <w:rPr>
                <w:rFonts w:cs="Calibri"/>
                <w:color w:val="FFFFFF" w:themeColor="background1"/>
              </w:rPr>
              <w:t xml:space="preserve"> </w:t>
            </w:r>
          </w:p>
        </w:tc>
      </w:tr>
    </w:tbl>
    <w:p w14:paraId="7406BA31" w14:textId="77777777" w:rsidR="006B468D" w:rsidRDefault="006B468D">
      <w:r>
        <w:br w:type="page"/>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3792"/>
        <w:gridCol w:w="1455"/>
        <w:gridCol w:w="439"/>
        <w:gridCol w:w="105"/>
        <w:gridCol w:w="113"/>
        <w:gridCol w:w="52"/>
        <w:gridCol w:w="1134"/>
        <w:gridCol w:w="163"/>
        <w:gridCol w:w="151"/>
        <w:gridCol w:w="475"/>
        <w:gridCol w:w="1052"/>
        <w:gridCol w:w="53"/>
      </w:tblGrid>
      <w:tr w:rsidR="00FF2606" w:rsidRPr="00CF7E1B" w14:paraId="48CE0606" w14:textId="77777777" w:rsidTr="00F00C95">
        <w:trPr>
          <w:trHeight w:val="23"/>
        </w:trPr>
        <w:tc>
          <w:tcPr>
            <w:tcW w:w="1557" w:type="dxa"/>
            <w:tcBorders>
              <w:top w:val="nil"/>
              <w:left w:val="single" w:sz="2" w:space="0" w:color="auto"/>
              <w:bottom w:val="nil"/>
              <w:right w:val="single" w:sz="2" w:space="0" w:color="auto"/>
            </w:tcBorders>
          </w:tcPr>
          <w:p w14:paraId="4C52E557" w14:textId="6CFE54C3" w:rsidR="00FF260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87" w:type="dxa"/>
            <w:gridSpan w:val="12"/>
            <w:tcBorders>
              <w:top w:val="nil"/>
              <w:left w:val="single" w:sz="2" w:space="0" w:color="auto"/>
              <w:bottom w:val="nil"/>
              <w:right w:val="nil"/>
            </w:tcBorders>
            <w:vAlign w:val="bottom"/>
          </w:tcPr>
          <w:p w14:paraId="233524B5" w14:textId="085A4B8C" w:rsidR="00FF2606" w:rsidRPr="00190046" w:rsidRDefault="00FF2606" w:rsidP="009A0F2F">
            <w:pPr>
              <w:pStyle w:val="Heading1"/>
              <w:numPr>
                <w:ilvl w:val="0"/>
                <w:numId w:val="0"/>
              </w:numPr>
            </w:pPr>
            <w:bookmarkStart w:id="1099" w:name="_Toc132743853"/>
            <w:r w:rsidRPr="00190046">
              <w:t xml:space="preserve">Note </w:t>
            </w:r>
            <w:r w:rsidR="00DD6620" w:rsidRPr="00190046">
              <w:t>5</w:t>
            </w:r>
            <w:r w:rsidR="00D95A93" w:rsidRPr="00190046">
              <w:t>0</w:t>
            </w:r>
            <w:r w:rsidRPr="00190046">
              <w:t>.</w:t>
            </w:r>
            <w:r w:rsidR="00FA7C77">
              <w:t xml:space="preserve"> </w:t>
            </w:r>
            <w:r w:rsidRPr="00190046">
              <w:t xml:space="preserve"> Other Provisions – Territorial</w:t>
            </w:r>
            <w:bookmarkEnd w:id="1099"/>
          </w:p>
        </w:tc>
      </w:tr>
      <w:tr w:rsidR="00FF2606" w:rsidRPr="00CF7E1B" w14:paraId="5B11C52C" w14:textId="77777777" w:rsidTr="00F00C95">
        <w:trPr>
          <w:trHeight w:val="23"/>
        </w:trPr>
        <w:tc>
          <w:tcPr>
            <w:tcW w:w="1557" w:type="dxa"/>
            <w:tcBorders>
              <w:top w:val="nil"/>
              <w:left w:val="single" w:sz="2" w:space="0" w:color="auto"/>
              <w:bottom w:val="nil"/>
              <w:right w:val="single" w:sz="2" w:space="0" w:color="auto"/>
            </w:tcBorders>
          </w:tcPr>
          <w:p w14:paraId="22C9FEF4" w14:textId="77777777" w:rsidR="00FF2606" w:rsidRPr="00DE11FF" w:rsidRDefault="00FF2606" w:rsidP="009A0F2F">
            <w:pPr>
              <w:pStyle w:val="TableReference"/>
              <w:tabs>
                <w:tab w:val="left" w:pos="3306"/>
              </w:tabs>
              <w:spacing w:before="40"/>
              <w:rPr>
                <w:rFonts w:cs="Calibri"/>
                <w:color w:val="auto"/>
                <w:sz w:val="16"/>
                <w:szCs w:val="16"/>
              </w:rPr>
            </w:pPr>
          </w:p>
        </w:tc>
        <w:tc>
          <w:tcPr>
            <w:tcW w:w="8987" w:type="dxa"/>
            <w:gridSpan w:val="12"/>
            <w:tcBorders>
              <w:top w:val="nil"/>
              <w:left w:val="single" w:sz="2" w:space="0" w:color="auto"/>
              <w:bottom w:val="nil"/>
              <w:right w:val="nil"/>
            </w:tcBorders>
            <w:vAlign w:val="bottom"/>
          </w:tcPr>
          <w:p w14:paraId="19909787" w14:textId="2D3D83E1" w:rsidR="00FF2606" w:rsidRPr="00190046" w:rsidRDefault="009E2543" w:rsidP="009E2543">
            <w:pPr>
              <w:pStyle w:val="TableText"/>
              <w:tabs>
                <w:tab w:val="left" w:pos="3306"/>
              </w:tabs>
              <w:rPr>
                <w:rFonts w:cs="Calibri"/>
              </w:rPr>
            </w:pPr>
            <w:r w:rsidRPr="00190046">
              <w:rPr>
                <w:b/>
                <w:bCs/>
              </w:rPr>
              <w:t xml:space="preserve">Description and Material Accounting Policies Relating to Other Provisions </w:t>
            </w:r>
            <w:r w:rsidR="006B468D">
              <w:rPr>
                <w:b/>
                <w:bCs/>
              </w:rPr>
              <w:t>–</w:t>
            </w:r>
            <w:r w:rsidRPr="00190046">
              <w:rPr>
                <w:b/>
                <w:bCs/>
              </w:rPr>
              <w:t xml:space="preserve"> Territorial</w:t>
            </w:r>
            <w:r w:rsidR="006B468D">
              <w:rPr>
                <w:b/>
                <w:bCs/>
              </w:rPr>
              <w:t xml:space="preserve"> </w:t>
            </w:r>
          </w:p>
        </w:tc>
      </w:tr>
      <w:tr w:rsidR="00A6415E" w:rsidRPr="00CF7E1B" w14:paraId="191FFF06" w14:textId="77777777" w:rsidTr="00F00C95">
        <w:trPr>
          <w:trHeight w:val="23"/>
        </w:trPr>
        <w:tc>
          <w:tcPr>
            <w:tcW w:w="1557" w:type="dxa"/>
            <w:tcBorders>
              <w:top w:val="nil"/>
              <w:left w:val="single" w:sz="2" w:space="0" w:color="auto"/>
              <w:bottom w:val="nil"/>
              <w:right w:val="single" w:sz="2" w:space="0" w:color="auto"/>
            </w:tcBorders>
          </w:tcPr>
          <w:p w14:paraId="2B5D9B9A" w14:textId="77777777" w:rsidR="00A6415E" w:rsidRPr="00DE11FF" w:rsidRDefault="00A6415E" w:rsidP="009A0F2F">
            <w:pPr>
              <w:pStyle w:val="TableReference"/>
              <w:tabs>
                <w:tab w:val="left" w:pos="3306"/>
              </w:tabs>
              <w:spacing w:before="40"/>
              <w:rPr>
                <w:rFonts w:cs="Calibri"/>
                <w:color w:val="auto"/>
                <w:sz w:val="16"/>
                <w:szCs w:val="16"/>
              </w:rPr>
            </w:pPr>
          </w:p>
        </w:tc>
        <w:tc>
          <w:tcPr>
            <w:tcW w:w="8987" w:type="dxa"/>
            <w:gridSpan w:val="12"/>
            <w:tcBorders>
              <w:top w:val="nil"/>
              <w:left w:val="single" w:sz="2" w:space="0" w:color="auto"/>
              <w:bottom w:val="nil"/>
              <w:right w:val="nil"/>
            </w:tcBorders>
            <w:vAlign w:val="bottom"/>
          </w:tcPr>
          <w:p w14:paraId="41273B70" w14:textId="7922A94D" w:rsidR="00A6415E" w:rsidRPr="00190046" w:rsidRDefault="00A6415E" w:rsidP="009E2543">
            <w:pPr>
              <w:pStyle w:val="TableText"/>
              <w:tabs>
                <w:tab w:val="left" w:pos="3306"/>
              </w:tabs>
              <w:jc w:val="both"/>
              <w:rPr>
                <w:i/>
                <w:iCs/>
              </w:rPr>
            </w:pPr>
            <w:r w:rsidRPr="00190046">
              <w:rPr>
                <w:rFonts w:cs="Calibri"/>
                <w:i/>
                <w:iCs/>
              </w:rPr>
              <w:t>Provision for Refund of Taxes</w:t>
            </w:r>
          </w:p>
        </w:tc>
      </w:tr>
      <w:tr w:rsidR="009E2543" w:rsidRPr="00CF7E1B" w14:paraId="3906CF76" w14:textId="77777777" w:rsidTr="00F00C95">
        <w:trPr>
          <w:trHeight w:val="23"/>
        </w:trPr>
        <w:tc>
          <w:tcPr>
            <w:tcW w:w="1557" w:type="dxa"/>
            <w:tcBorders>
              <w:top w:val="nil"/>
              <w:left w:val="single" w:sz="2" w:space="0" w:color="auto"/>
              <w:bottom w:val="nil"/>
              <w:right w:val="single" w:sz="2" w:space="0" w:color="auto"/>
            </w:tcBorders>
          </w:tcPr>
          <w:p w14:paraId="158A5B99" w14:textId="77777777" w:rsidR="009E2543" w:rsidRPr="00DE11FF" w:rsidRDefault="009E2543" w:rsidP="009A0F2F">
            <w:pPr>
              <w:pStyle w:val="TableReference"/>
              <w:tabs>
                <w:tab w:val="left" w:pos="3306"/>
              </w:tabs>
              <w:spacing w:before="40"/>
              <w:rPr>
                <w:rFonts w:cs="Calibri"/>
                <w:color w:val="auto"/>
                <w:sz w:val="16"/>
                <w:szCs w:val="16"/>
              </w:rPr>
            </w:pPr>
          </w:p>
        </w:tc>
        <w:tc>
          <w:tcPr>
            <w:tcW w:w="8987" w:type="dxa"/>
            <w:gridSpan w:val="12"/>
            <w:tcBorders>
              <w:top w:val="nil"/>
              <w:left w:val="single" w:sz="2" w:space="0" w:color="auto"/>
              <w:bottom w:val="nil"/>
              <w:right w:val="nil"/>
            </w:tcBorders>
            <w:vAlign w:val="bottom"/>
          </w:tcPr>
          <w:p w14:paraId="77E8CCD4" w14:textId="3BF69326" w:rsidR="009E2543" w:rsidRPr="00190046" w:rsidRDefault="009E2543" w:rsidP="009E2543">
            <w:pPr>
              <w:pStyle w:val="TableText"/>
              <w:tabs>
                <w:tab w:val="left" w:pos="3306"/>
              </w:tabs>
              <w:jc w:val="both"/>
            </w:pPr>
            <w:r w:rsidRPr="00190046">
              <w:t>The Agency receives taxes from the ACT Government, Non-Government Entities and individuals.</w:t>
            </w:r>
            <w:r w:rsidR="00FA7C77">
              <w:t xml:space="preserve"> </w:t>
            </w:r>
            <w:r w:rsidRPr="00190046">
              <w:t xml:space="preserve">In some circumstances, taxes are </w:t>
            </w:r>
            <w:r w:rsidR="006222F7" w:rsidRPr="00190046">
              <w:t>overpaid</w:t>
            </w:r>
            <w:r w:rsidRPr="00190046">
              <w:t xml:space="preserve"> by taxpayers.</w:t>
            </w:r>
            <w:r w:rsidR="00FA7C77">
              <w:t xml:space="preserve"> </w:t>
            </w:r>
            <w:r w:rsidR="00A6415E" w:rsidRPr="00190046">
              <w:rPr>
                <w:rFonts w:cs="Calibri"/>
              </w:rPr>
              <w:t xml:space="preserve">The </w:t>
            </w:r>
            <w:r w:rsidR="00D36DC0" w:rsidRPr="00190046">
              <w:rPr>
                <w:rFonts w:cs="Calibri"/>
              </w:rPr>
              <w:t>P</w:t>
            </w:r>
            <w:r w:rsidR="00A6415E" w:rsidRPr="00190046">
              <w:rPr>
                <w:rFonts w:cs="Calibri"/>
              </w:rPr>
              <w:t xml:space="preserve">rovision </w:t>
            </w:r>
            <w:r w:rsidR="00D36DC0" w:rsidRPr="00190046">
              <w:rPr>
                <w:rFonts w:cs="Calibri"/>
              </w:rPr>
              <w:t xml:space="preserve">for </w:t>
            </w:r>
            <w:r w:rsidR="00A6415E" w:rsidRPr="00190046">
              <w:rPr>
                <w:rFonts w:cs="Calibri"/>
              </w:rPr>
              <w:t>Refund of Taxes is recognised at the point in time when the overpayment is realised.</w:t>
            </w:r>
          </w:p>
        </w:tc>
      </w:tr>
      <w:tr w:rsidR="0087202A" w:rsidRPr="00CF7E1B" w14:paraId="7E1C4CBF" w14:textId="2722F205" w:rsidTr="00F00C95">
        <w:trPr>
          <w:trHeight w:val="23"/>
        </w:trPr>
        <w:tc>
          <w:tcPr>
            <w:tcW w:w="1557" w:type="dxa"/>
            <w:tcBorders>
              <w:top w:val="nil"/>
              <w:left w:val="single" w:sz="2" w:space="0" w:color="auto"/>
              <w:bottom w:val="nil"/>
              <w:right w:val="single" w:sz="2" w:space="0" w:color="auto"/>
            </w:tcBorders>
          </w:tcPr>
          <w:p w14:paraId="184B2B3F" w14:textId="77777777" w:rsidR="0087202A" w:rsidRPr="00DE11FF" w:rsidRDefault="0087202A"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16C6CC5B" w14:textId="2730C459" w:rsidR="0087202A" w:rsidRPr="00190046" w:rsidRDefault="0087202A" w:rsidP="0087202A">
            <w:pPr>
              <w:pStyle w:val="TableText"/>
              <w:tabs>
                <w:tab w:val="left" w:pos="3306"/>
              </w:tabs>
              <w:rPr>
                <w:rFonts w:cs="Calibri"/>
                <w:b/>
                <w:bCs/>
              </w:rPr>
            </w:pPr>
          </w:p>
        </w:tc>
        <w:tc>
          <w:tcPr>
            <w:tcW w:w="1613" w:type="dxa"/>
            <w:gridSpan w:val="5"/>
            <w:tcBorders>
              <w:top w:val="nil"/>
              <w:left w:val="nil"/>
              <w:bottom w:val="nil"/>
              <w:right w:val="nil"/>
            </w:tcBorders>
          </w:tcPr>
          <w:p w14:paraId="2DC38505" w14:textId="1BC91351" w:rsidR="0087202A" w:rsidRPr="00190046" w:rsidRDefault="0087202A" w:rsidP="0087202A">
            <w:pPr>
              <w:pStyle w:val="TableTitle"/>
              <w:tabs>
                <w:tab w:val="left" w:pos="3306"/>
              </w:tabs>
              <w:rPr>
                <w:rFonts w:cs="Calibri"/>
                <w:szCs w:val="16"/>
              </w:rPr>
            </w:pPr>
            <w:r w:rsidRPr="00190046">
              <w:rPr>
                <w:rFonts w:cs="Calibri"/>
              </w:rPr>
              <w:t>202</w:t>
            </w:r>
            <w:r w:rsidR="00567EB7">
              <w:rPr>
                <w:rFonts w:cs="Calibri"/>
              </w:rPr>
              <w:t>3</w:t>
            </w:r>
            <w:r w:rsidRPr="00190046">
              <w:rPr>
                <w:rFonts w:cs="Calibri"/>
                <w:szCs w:val="16"/>
              </w:rPr>
              <w:t xml:space="preserve"> </w:t>
            </w:r>
          </w:p>
          <w:p w14:paraId="639A88F0" w14:textId="40D2D45D" w:rsidR="0087202A" w:rsidRPr="00190046" w:rsidRDefault="0087202A" w:rsidP="0087202A">
            <w:pPr>
              <w:pStyle w:val="TableText"/>
              <w:tabs>
                <w:tab w:val="left" w:pos="3306"/>
              </w:tabs>
              <w:jc w:val="right"/>
              <w:rPr>
                <w:rFonts w:cs="Calibri"/>
              </w:rPr>
            </w:pPr>
            <w:r w:rsidRPr="00190046">
              <w:rPr>
                <w:rFonts w:cs="Calibri"/>
                <w:b/>
                <w:bCs/>
                <w:szCs w:val="16"/>
              </w:rPr>
              <w:t>$’000</w:t>
            </w:r>
          </w:p>
        </w:tc>
        <w:tc>
          <w:tcPr>
            <w:tcW w:w="1580" w:type="dxa"/>
            <w:gridSpan w:val="3"/>
            <w:tcBorders>
              <w:top w:val="nil"/>
              <w:left w:val="nil"/>
              <w:bottom w:val="nil"/>
              <w:right w:val="nil"/>
            </w:tcBorders>
          </w:tcPr>
          <w:p w14:paraId="11A58552" w14:textId="16CE56D7" w:rsidR="0087202A" w:rsidRPr="00190046" w:rsidRDefault="0087202A" w:rsidP="0087202A">
            <w:pPr>
              <w:pStyle w:val="TableTitle"/>
              <w:tabs>
                <w:tab w:val="left" w:pos="3306"/>
              </w:tabs>
              <w:rPr>
                <w:rFonts w:cs="Calibri"/>
                <w:szCs w:val="16"/>
              </w:rPr>
            </w:pPr>
            <w:r w:rsidRPr="00190046">
              <w:rPr>
                <w:rFonts w:cs="Calibri"/>
              </w:rPr>
              <w:t>202</w:t>
            </w:r>
            <w:r w:rsidR="00567EB7">
              <w:rPr>
                <w:rFonts w:cs="Calibri"/>
              </w:rPr>
              <w:t>2</w:t>
            </w:r>
            <w:r w:rsidRPr="00190046">
              <w:rPr>
                <w:rFonts w:cs="Calibri"/>
                <w:szCs w:val="16"/>
              </w:rPr>
              <w:t xml:space="preserve"> </w:t>
            </w:r>
          </w:p>
          <w:p w14:paraId="3A843CC6" w14:textId="15F852FB" w:rsidR="0087202A" w:rsidRPr="00190046" w:rsidRDefault="0087202A" w:rsidP="0087202A">
            <w:pPr>
              <w:pStyle w:val="TableText"/>
              <w:tabs>
                <w:tab w:val="left" w:pos="3306"/>
              </w:tabs>
              <w:jc w:val="right"/>
              <w:rPr>
                <w:rFonts w:cs="Calibri"/>
              </w:rPr>
            </w:pPr>
            <w:r w:rsidRPr="00190046">
              <w:rPr>
                <w:rFonts w:cs="Calibri"/>
                <w:b/>
                <w:bCs/>
                <w:szCs w:val="16"/>
              </w:rPr>
              <w:t>$’000</w:t>
            </w:r>
          </w:p>
        </w:tc>
      </w:tr>
      <w:tr w:rsidR="0087202A" w:rsidRPr="00CF7E1B" w14:paraId="774037D9" w14:textId="77777777" w:rsidTr="00F00C95">
        <w:trPr>
          <w:trHeight w:val="23"/>
        </w:trPr>
        <w:tc>
          <w:tcPr>
            <w:tcW w:w="1557" w:type="dxa"/>
            <w:tcBorders>
              <w:top w:val="nil"/>
              <w:left w:val="single" w:sz="2" w:space="0" w:color="auto"/>
              <w:bottom w:val="nil"/>
              <w:right w:val="single" w:sz="2" w:space="0" w:color="auto"/>
            </w:tcBorders>
          </w:tcPr>
          <w:p w14:paraId="4F5C072E" w14:textId="77777777" w:rsidR="0087202A" w:rsidRPr="00DE11FF" w:rsidRDefault="0087202A"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188C570A" w14:textId="457A8679" w:rsidR="0087202A" w:rsidRPr="00190046" w:rsidRDefault="0087202A" w:rsidP="0087202A">
            <w:pPr>
              <w:pStyle w:val="TableText"/>
              <w:tabs>
                <w:tab w:val="left" w:pos="3306"/>
              </w:tabs>
              <w:rPr>
                <w:rFonts w:cs="Calibri"/>
                <w:b/>
                <w:bCs/>
              </w:rPr>
            </w:pPr>
            <w:r w:rsidRPr="00190046">
              <w:rPr>
                <w:rFonts w:cs="Calibri"/>
                <w:b/>
                <w:bCs/>
              </w:rPr>
              <w:t>Current Other Provisions</w:t>
            </w:r>
          </w:p>
        </w:tc>
        <w:tc>
          <w:tcPr>
            <w:tcW w:w="1613" w:type="dxa"/>
            <w:gridSpan w:val="5"/>
            <w:tcBorders>
              <w:top w:val="nil"/>
              <w:left w:val="nil"/>
              <w:bottom w:val="nil"/>
              <w:right w:val="nil"/>
            </w:tcBorders>
            <w:vAlign w:val="bottom"/>
          </w:tcPr>
          <w:p w14:paraId="5AF3E09D" w14:textId="77777777" w:rsidR="0087202A" w:rsidRPr="00190046" w:rsidRDefault="0087202A" w:rsidP="0087202A">
            <w:pPr>
              <w:pStyle w:val="TableText"/>
              <w:tabs>
                <w:tab w:val="left" w:pos="3306"/>
              </w:tabs>
              <w:jc w:val="right"/>
              <w:rPr>
                <w:rFonts w:cs="Calibri"/>
              </w:rPr>
            </w:pPr>
          </w:p>
        </w:tc>
        <w:tc>
          <w:tcPr>
            <w:tcW w:w="1580" w:type="dxa"/>
            <w:gridSpan w:val="3"/>
            <w:tcBorders>
              <w:top w:val="nil"/>
              <w:left w:val="nil"/>
              <w:bottom w:val="nil"/>
              <w:right w:val="nil"/>
            </w:tcBorders>
            <w:vAlign w:val="bottom"/>
          </w:tcPr>
          <w:p w14:paraId="58FCD9E6" w14:textId="77777777" w:rsidR="0087202A" w:rsidRPr="00190046" w:rsidRDefault="0087202A" w:rsidP="0087202A">
            <w:pPr>
              <w:pStyle w:val="TableText"/>
              <w:tabs>
                <w:tab w:val="left" w:pos="3306"/>
              </w:tabs>
              <w:jc w:val="right"/>
              <w:rPr>
                <w:rFonts w:cs="Calibri"/>
              </w:rPr>
            </w:pPr>
          </w:p>
        </w:tc>
      </w:tr>
      <w:tr w:rsidR="0087202A" w:rsidRPr="00CF7E1B" w14:paraId="67B78757" w14:textId="77777777" w:rsidTr="00F00C95">
        <w:trPr>
          <w:trHeight w:val="23"/>
        </w:trPr>
        <w:tc>
          <w:tcPr>
            <w:tcW w:w="1557" w:type="dxa"/>
            <w:tcBorders>
              <w:top w:val="nil"/>
              <w:left w:val="single" w:sz="2" w:space="0" w:color="auto"/>
              <w:bottom w:val="nil"/>
              <w:right w:val="single" w:sz="2" w:space="0" w:color="auto"/>
            </w:tcBorders>
          </w:tcPr>
          <w:p w14:paraId="2C3E110F" w14:textId="77777777" w:rsidR="0087202A" w:rsidRPr="00DE11FF" w:rsidRDefault="0087202A"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6421332E" w14:textId="77777777" w:rsidR="0087202A" w:rsidRPr="00190046" w:rsidRDefault="0087202A" w:rsidP="0087202A">
            <w:pPr>
              <w:pStyle w:val="TableText"/>
              <w:tabs>
                <w:tab w:val="left" w:pos="3306"/>
              </w:tabs>
              <w:rPr>
                <w:rFonts w:cs="Calibri"/>
              </w:rPr>
            </w:pPr>
            <w:r w:rsidRPr="00190046">
              <w:rPr>
                <w:rFonts w:cs="Calibri"/>
              </w:rPr>
              <w:t>Provision for Refund of Taxes</w:t>
            </w:r>
          </w:p>
        </w:tc>
        <w:tc>
          <w:tcPr>
            <w:tcW w:w="1613" w:type="dxa"/>
            <w:gridSpan w:val="5"/>
            <w:tcBorders>
              <w:top w:val="nil"/>
              <w:left w:val="nil"/>
              <w:bottom w:val="single" w:sz="2" w:space="0" w:color="auto"/>
              <w:right w:val="nil"/>
            </w:tcBorders>
            <w:vAlign w:val="bottom"/>
          </w:tcPr>
          <w:p w14:paraId="68B55788" w14:textId="77777777" w:rsidR="0087202A" w:rsidRPr="00190046" w:rsidRDefault="0087202A" w:rsidP="0087202A">
            <w:pPr>
              <w:pStyle w:val="TableText"/>
              <w:tabs>
                <w:tab w:val="left" w:pos="3306"/>
              </w:tabs>
              <w:jc w:val="right"/>
              <w:rPr>
                <w:rFonts w:cs="Calibri"/>
              </w:rPr>
            </w:pPr>
          </w:p>
        </w:tc>
        <w:tc>
          <w:tcPr>
            <w:tcW w:w="1580" w:type="dxa"/>
            <w:gridSpan w:val="3"/>
            <w:tcBorders>
              <w:top w:val="nil"/>
              <w:left w:val="nil"/>
              <w:bottom w:val="single" w:sz="2" w:space="0" w:color="auto"/>
              <w:right w:val="nil"/>
            </w:tcBorders>
            <w:vAlign w:val="bottom"/>
          </w:tcPr>
          <w:p w14:paraId="0FEBE4DC" w14:textId="77777777" w:rsidR="0087202A" w:rsidRPr="00190046" w:rsidRDefault="0087202A" w:rsidP="0087202A">
            <w:pPr>
              <w:pStyle w:val="TableText"/>
              <w:tabs>
                <w:tab w:val="left" w:pos="3306"/>
              </w:tabs>
              <w:jc w:val="right"/>
              <w:rPr>
                <w:rFonts w:cs="Calibri"/>
              </w:rPr>
            </w:pPr>
          </w:p>
        </w:tc>
      </w:tr>
      <w:tr w:rsidR="0087202A" w:rsidRPr="00CF7E1B" w14:paraId="1B7D4243" w14:textId="77777777" w:rsidTr="00F00C95">
        <w:trPr>
          <w:trHeight w:val="23"/>
        </w:trPr>
        <w:tc>
          <w:tcPr>
            <w:tcW w:w="1557" w:type="dxa"/>
            <w:tcBorders>
              <w:top w:val="nil"/>
              <w:left w:val="single" w:sz="2" w:space="0" w:color="auto"/>
              <w:bottom w:val="nil"/>
              <w:right w:val="single" w:sz="2" w:space="0" w:color="auto"/>
            </w:tcBorders>
          </w:tcPr>
          <w:p w14:paraId="06CFF006" w14:textId="77777777" w:rsidR="0087202A" w:rsidRPr="00DE11FF" w:rsidRDefault="0087202A"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7237BA5E" w14:textId="76B4A2B0" w:rsidR="0087202A" w:rsidRPr="00190046" w:rsidRDefault="0087202A" w:rsidP="0087202A">
            <w:pPr>
              <w:pStyle w:val="TableText"/>
              <w:tabs>
                <w:tab w:val="left" w:pos="3306"/>
              </w:tabs>
              <w:rPr>
                <w:rFonts w:cs="Calibri"/>
                <w:b/>
                <w:bCs/>
              </w:rPr>
            </w:pPr>
            <w:r w:rsidRPr="00190046">
              <w:rPr>
                <w:rFonts w:cs="Calibri"/>
                <w:b/>
                <w:bCs/>
              </w:rPr>
              <w:t>Total Current Other Provisions</w:t>
            </w:r>
          </w:p>
        </w:tc>
        <w:tc>
          <w:tcPr>
            <w:tcW w:w="1613" w:type="dxa"/>
            <w:gridSpan w:val="5"/>
            <w:tcBorders>
              <w:top w:val="single" w:sz="2" w:space="0" w:color="auto"/>
              <w:left w:val="nil"/>
              <w:bottom w:val="single" w:sz="2" w:space="0" w:color="auto"/>
              <w:right w:val="nil"/>
            </w:tcBorders>
            <w:vAlign w:val="bottom"/>
          </w:tcPr>
          <w:p w14:paraId="5EF59E16" w14:textId="77777777" w:rsidR="0087202A" w:rsidRPr="00190046" w:rsidRDefault="0087202A" w:rsidP="0087202A">
            <w:pPr>
              <w:pStyle w:val="TableText"/>
              <w:tabs>
                <w:tab w:val="left" w:pos="3306"/>
              </w:tabs>
              <w:jc w:val="right"/>
              <w:rPr>
                <w:rFonts w:cs="Calibri"/>
                <w:b/>
                <w:bCs/>
              </w:rPr>
            </w:pPr>
          </w:p>
        </w:tc>
        <w:tc>
          <w:tcPr>
            <w:tcW w:w="1580" w:type="dxa"/>
            <w:gridSpan w:val="3"/>
            <w:tcBorders>
              <w:top w:val="single" w:sz="2" w:space="0" w:color="auto"/>
              <w:left w:val="nil"/>
              <w:bottom w:val="single" w:sz="2" w:space="0" w:color="auto"/>
              <w:right w:val="nil"/>
            </w:tcBorders>
            <w:vAlign w:val="bottom"/>
          </w:tcPr>
          <w:p w14:paraId="0FBE883D" w14:textId="77777777" w:rsidR="0087202A" w:rsidRPr="00190046" w:rsidRDefault="0087202A" w:rsidP="0087202A">
            <w:pPr>
              <w:pStyle w:val="TableText"/>
              <w:tabs>
                <w:tab w:val="left" w:pos="3306"/>
              </w:tabs>
              <w:jc w:val="right"/>
              <w:rPr>
                <w:rFonts w:cs="Calibri"/>
                <w:b/>
                <w:bCs/>
              </w:rPr>
            </w:pPr>
          </w:p>
        </w:tc>
      </w:tr>
      <w:tr w:rsidR="0087202A" w:rsidRPr="00CF7E1B" w14:paraId="54D0B8A2" w14:textId="77777777" w:rsidTr="00F00C95">
        <w:trPr>
          <w:trHeight w:val="23"/>
        </w:trPr>
        <w:tc>
          <w:tcPr>
            <w:tcW w:w="1557" w:type="dxa"/>
            <w:tcBorders>
              <w:top w:val="nil"/>
              <w:left w:val="single" w:sz="2" w:space="0" w:color="auto"/>
              <w:bottom w:val="nil"/>
              <w:right w:val="single" w:sz="2" w:space="0" w:color="auto"/>
            </w:tcBorders>
          </w:tcPr>
          <w:p w14:paraId="2F63BD5D" w14:textId="77777777" w:rsidR="0087202A" w:rsidRPr="00DE11FF" w:rsidRDefault="0087202A"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20645508" w14:textId="18747D36" w:rsidR="0087202A" w:rsidRPr="00190046" w:rsidRDefault="0087202A" w:rsidP="0087202A">
            <w:pPr>
              <w:pStyle w:val="TableText"/>
              <w:tabs>
                <w:tab w:val="left" w:pos="3306"/>
              </w:tabs>
              <w:rPr>
                <w:rFonts w:cs="Calibri"/>
                <w:b/>
                <w:bCs/>
              </w:rPr>
            </w:pPr>
            <w:r w:rsidRPr="00190046">
              <w:rPr>
                <w:rFonts w:cs="Calibri"/>
                <w:b/>
                <w:bCs/>
              </w:rPr>
              <w:t>Total Other Provisions</w:t>
            </w:r>
          </w:p>
        </w:tc>
        <w:tc>
          <w:tcPr>
            <w:tcW w:w="1613" w:type="dxa"/>
            <w:gridSpan w:val="5"/>
            <w:tcBorders>
              <w:top w:val="single" w:sz="2" w:space="0" w:color="auto"/>
              <w:left w:val="nil"/>
              <w:bottom w:val="double" w:sz="4" w:space="0" w:color="auto"/>
              <w:right w:val="nil"/>
            </w:tcBorders>
            <w:vAlign w:val="bottom"/>
          </w:tcPr>
          <w:p w14:paraId="441EC8E1" w14:textId="77777777" w:rsidR="0087202A" w:rsidRPr="00190046" w:rsidRDefault="0087202A" w:rsidP="0087202A">
            <w:pPr>
              <w:pStyle w:val="TableText"/>
              <w:tabs>
                <w:tab w:val="left" w:pos="3306"/>
              </w:tabs>
              <w:jc w:val="right"/>
              <w:rPr>
                <w:rFonts w:cs="Calibri"/>
                <w:b/>
                <w:bCs/>
              </w:rPr>
            </w:pPr>
          </w:p>
        </w:tc>
        <w:tc>
          <w:tcPr>
            <w:tcW w:w="1580" w:type="dxa"/>
            <w:gridSpan w:val="3"/>
            <w:tcBorders>
              <w:top w:val="single" w:sz="2" w:space="0" w:color="auto"/>
              <w:left w:val="nil"/>
              <w:bottom w:val="double" w:sz="4" w:space="0" w:color="auto"/>
              <w:right w:val="nil"/>
            </w:tcBorders>
            <w:vAlign w:val="bottom"/>
          </w:tcPr>
          <w:p w14:paraId="6C0D49AF" w14:textId="77777777" w:rsidR="0087202A" w:rsidRPr="00190046" w:rsidRDefault="0087202A" w:rsidP="0087202A">
            <w:pPr>
              <w:pStyle w:val="TableText"/>
              <w:tabs>
                <w:tab w:val="left" w:pos="3306"/>
              </w:tabs>
              <w:jc w:val="right"/>
              <w:rPr>
                <w:rFonts w:cs="Calibri"/>
                <w:b/>
                <w:bCs/>
              </w:rPr>
            </w:pPr>
          </w:p>
        </w:tc>
      </w:tr>
      <w:tr w:rsidR="00ED5E1D" w:rsidRPr="00CF7E1B" w14:paraId="1CA1C18B" w14:textId="77777777" w:rsidTr="00F00C95">
        <w:trPr>
          <w:trHeight w:val="23"/>
        </w:trPr>
        <w:tc>
          <w:tcPr>
            <w:tcW w:w="1557" w:type="dxa"/>
            <w:tcBorders>
              <w:top w:val="nil"/>
              <w:left w:val="single" w:sz="2" w:space="0" w:color="auto"/>
              <w:bottom w:val="nil"/>
              <w:right w:val="single" w:sz="2" w:space="0" w:color="auto"/>
            </w:tcBorders>
          </w:tcPr>
          <w:p w14:paraId="4094F677" w14:textId="77777777" w:rsidR="00ED5E1D" w:rsidRPr="00DE11FF" w:rsidRDefault="00ED5E1D" w:rsidP="0087202A">
            <w:pPr>
              <w:pStyle w:val="TableReference"/>
              <w:tabs>
                <w:tab w:val="left" w:pos="3306"/>
              </w:tabs>
              <w:spacing w:before="40"/>
              <w:rPr>
                <w:rFonts w:cs="Calibri"/>
                <w:color w:val="auto"/>
                <w:sz w:val="16"/>
                <w:szCs w:val="16"/>
              </w:rPr>
            </w:pPr>
          </w:p>
        </w:tc>
        <w:tc>
          <w:tcPr>
            <w:tcW w:w="5794" w:type="dxa"/>
            <w:gridSpan w:val="4"/>
            <w:tcBorders>
              <w:top w:val="nil"/>
              <w:left w:val="single" w:sz="2" w:space="0" w:color="auto"/>
              <w:bottom w:val="nil"/>
              <w:right w:val="nil"/>
            </w:tcBorders>
            <w:vAlign w:val="bottom"/>
          </w:tcPr>
          <w:p w14:paraId="2DBFF71E" w14:textId="77777777" w:rsidR="00ED5E1D" w:rsidRPr="00190046" w:rsidRDefault="00ED5E1D" w:rsidP="0087202A">
            <w:pPr>
              <w:pStyle w:val="TableText"/>
              <w:tabs>
                <w:tab w:val="left" w:pos="3306"/>
              </w:tabs>
              <w:rPr>
                <w:rFonts w:cs="Calibri"/>
                <w:b/>
                <w:bCs/>
              </w:rPr>
            </w:pPr>
          </w:p>
        </w:tc>
        <w:tc>
          <w:tcPr>
            <w:tcW w:w="1613" w:type="dxa"/>
            <w:gridSpan w:val="5"/>
            <w:tcBorders>
              <w:top w:val="double" w:sz="4" w:space="0" w:color="auto"/>
              <w:left w:val="nil"/>
              <w:bottom w:val="nil"/>
              <w:right w:val="nil"/>
            </w:tcBorders>
            <w:vAlign w:val="bottom"/>
          </w:tcPr>
          <w:p w14:paraId="3878031B" w14:textId="77777777" w:rsidR="00ED5E1D" w:rsidRPr="00190046" w:rsidRDefault="00ED5E1D" w:rsidP="0087202A">
            <w:pPr>
              <w:pStyle w:val="TableText"/>
              <w:tabs>
                <w:tab w:val="left" w:pos="3306"/>
              </w:tabs>
              <w:jc w:val="right"/>
              <w:rPr>
                <w:rFonts w:cs="Calibri"/>
                <w:b/>
                <w:bCs/>
              </w:rPr>
            </w:pPr>
          </w:p>
        </w:tc>
        <w:tc>
          <w:tcPr>
            <w:tcW w:w="1580" w:type="dxa"/>
            <w:gridSpan w:val="3"/>
            <w:tcBorders>
              <w:top w:val="double" w:sz="4" w:space="0" w:color="auto"/>
              <w:left w:val="nil"/>
              <w:bottom w:val="nil"/>
              <w:right w:val="nil"/>
            </w:tcBorders>
            <w:vAlign w:val="bottom"/>
          </w:tcPr>
          <w:p w14:paraId="6F1BE80A" w14:textId="77777777" w:rsidR="00ED5E1D" w:rsidRPr="00190046" w:rsidRDefault="00ED5E1D" w:rsidP="0087202A">
            <w:pPr>
              <w:pStyle w:val="TableText"/>
              <w:tabs>
                <w:tab w:val="left" w:pos="3306"/>
              </w:tabs>
              <w:jc w:val="right"/>
              <w:rPr>
                <w:rFonts w:cs="Calibri"/>
                <w:b/>
                <w:bCs/>
              </w:rPr>
            </w:pPr>
          </w:p>
        </w:tc>
      </w:tr>
      <w:tr w:rsidR="0087202A" w:rsidRPr="00CF7E1B" w14:paraId="3D0C48CC" w14:textId="77777777" w:rsidTr="00F00C95">
        <w:trPr>
          <w:trHeight w:val="23"/>
        </w:trPr>
        <w:tc>
          <w:tcPr>
            <w:tcW w:w="1557" w:type="dxa"/>
            <w:tcBorders>
              <w:top w:val="nil"/>
              <w:left w:val="single" w:sz="2" w:space="0" w:color="auto"/>
              <w:bottom w:val="nil"/>
              <w:right w:val="single" w:sz="2" w:space="0" w:color="auto"/>
            </w:tcBorders>
          </w:tcPr>
          <w:p w14:paraId="7571F843" w14:textId="77777777" w:rsidR="0087202A" w:rsidRPr="00DE11FF" w:rsidRDefault="0087202A" w:rsidP="0087202A">
            <w:pPr>
              <w:pStyle w:val="TableReference"/>
              <w:tabs>
                <w:tab w:val="left" w:pos="3306"/>
              </w:tabs>
              <w:spacing w:before="40"/>
              <w:rPr>
                <w:rFonts w:cs="Calibri"/>
                <w:color w:val="auto"/>
                <w:sz w:val="16"/>
                <w:szCs w:val="16"/>
              </w:rPr>
            </w:pPr>
          </w:p>
        </w:tc>
        <w:tc>
          <w:tcPr>
            <w:tcW w:w="8987" w:type="dxa"/>
            <w:gridSpan w:val="12"/>
            <w:tcBorders>
              <w:top w:val="nil"/>
              <w:left w:val="single" w:sz="2" w:space="0" w:color="auto"/>
              <w:bottom w:val="nil"/>
              <w:right w:val="nil"/>
            </w:tcBorders>
            <w:vAlign w:val="bottom"/>
          </w:tcPr>
          <w:p w14:paraId="304E0B17" w14:textId="7A5D1B60" w:rsidR="0087202A" w:rsidRPr="00190046" w:rsidRDefault="0087202A" w:rsidP="0087202A">
            <w:pPr>
              <w:pStyle w:val="Heading1"/>
              <w:numPr>
                <w:ilvl w:val="0"/>
                <w:numId w:val="0"/>
              </w:numPr>
            </w:pPr>
            <w:bookmarkStart w:id="1100" w:name="_Toc49224387"/>
            <w:bookmarkStart w:id="1101" w:name="_Ref50366076"/>
            <w:bookmarkStart w:id="1102" w:name="_Toc50440443"/>
            <w:bookmarkStart w:id="1103" w:name="_Ref50524571"/>
            <w:bookmarkStart w:id="1104" w:name="_Toc223433235"/>
            <w:bookmarkStart w:id="1105" w:name="_Toc400627383"/>
            <w:bookmarkStart w:id="1106" w:name="_Toc132743854"/>
            <w:r w:rsidRPr="00190046">
              <w:t>Note 51.</w:t>
            </w:r>
            <w:r w:rsidR="00FA7C77">
              <w:t xml:space="preserve"> </w:t>
            </w:r>
            <w:r w:rsidRPr="00190046">
              <w:t xml:space="preserve"> </w:t>
            </w:r>
            <w:bookmarkStart w:id="1107" w:name="TSotherliabilites"/>
            <w:r w:rsidRPr="00190046">
              <w:t xml:space="preserve">Other Liabilities </w:t>
            </w:r>
            <w:bookmarkEnd w:id="1107"/>
            <w:r w:rsidRPr="00190046">
              <w:t>– Territorial</w:t>
            </w:r>
            <w:bookmarkEnd w:id="1100"/>
            <w:bookmarkEnd w:id="1101"/>
            <w:bookmarkEnd w:id="1102"/>
            <w:bookmarkEnd w:id="1103"/>
            <w:bookmarkEnd w:id="1104"/>
            <w:bookmarkEnd w:id="1105"/>
            <w:bookmarkEnd w:id="1106"/>
          </w:p>
        </w:tc>
      </w:tr>
      <w:tr w:rsidR="0087202A" w:rsidRPr="00CF7E1B" w14:paraId="68A6E5C9" w14:textId="77777777" w:rsidTr="00F00C95">
        <w:trPr>
          <w:trHeight w:val="23"/>
        </w:trPr>
        <w:tc>
          <w:tcPr>
            <w:tcW w:w="1557" w:type="dxa"/>
            <w:tcBorders>
              <w:top w:val="nil"/>
              <w:left w:val="single" w:sz="2" w:space="0" w:color="auto"/>
              <w:bottom w:val="nil"/>
              <w:right w:val="single" w:sz="2" w:space="0" w:color="auto"/>
            </w:tcBorders>
          </w:tcPr>
          <w:p w14:paraId="1852825D" w14:textId="77777777" w:rsidR="0087202A" w:rsidRPr="00B35866" w:rsidRDefault="0087202A" w:rsidP="0087202A">
            <w:pPr>
              <w:pStyle w:val="TableReference"/>
              <w:tabs>
                <w:tab w:val="left" w:pos="3306"/>
              </w:tabs>
              <w:spacing w:before="40"/>
              <w:rPr>
                <w:rFonts w:cs="Calibri"/>
                <w:color w:val="auto"/>
                <w:sz w:val="16"/>
                <w:szCs w:val="16"/>
              </w:rPr>
            </w:pPr>
          </w:p>
        </w:tc>
        <w:tc>
          <w:tcPr>
            <w:tcW w:w="8987" w:type="dxa"/>
            <w:gridSpan w:val="12"/>
            <w:tcBorders>
              <w:top w:val="nil"/>
              <w:left w:val="single" w:sz="2" w:space="0" w:color="auto"/>
              <w:bottom w:val="nil"/>
              <w:right w:val="nil"/>
            </w:tcBorders>
          </w:tcPr>
          <w:p w14:paraId="305FDCD0" w14:textId="27F93F48" w:rsidR="0087202A" w:rsidRPr="00190046" w:rsidRDefault="0087202A" w:rsidP="0087202A">
            <w:pPr>
              <w:rPr>
                <w:b/>
                <w:bCs/>
                <w:sz w:val="18"/>
                <w:szCs w:val="18"/>
              </w:rPr>
            </w:pPr>
            <w:r w:rsidRPr="00190046">
              <w:rPr>
                <w:b/>
                <w:bCs/>
                <w:sz w:val="18"/>
                <w:szCs w:val="18"/>
              </w:rPr>
              <w:t>Description and Material Accounting Policies Relating to Other Liabilities - Territorial</w:t>
            </w:r>
          </w:p>
        </w:tc>
      </w:tr>
      <w:tr w:rsidR="0087202A" w:rsidRPr="00CF7E1B" w14:paraId="6B2FE1CA" w14:textId="77777777" w:rsidTr="00F00C95">
        <w:trPr>
          <w:trHeight w:val="23"/>
        </w:trPr>
        <w:tc>
          <w:tcPr>
            <w:tcW w:w="1557" w:type="dxa"/>
            <w:tcBorders>
              <w:top w:val="nil"/>
              <w:left w:val="single" w:sz="2" w:space="0" w:color="auto"/>
              <w:bottom w:val="nil"/>
              <w:right w:val="single" w:sz="2" w:space="0" w:color="auto"/>
            </w:tcBorders>
          </w:tcPr>
          <w:p w14:paraId="05271101" w14:textId="77777777" w:rsidR="0087202A" w:rsidRPr="00DE11FF" w:rsidRDefault="0087202A" w:rsidP="0087202A"/>
        </w:tc>
        <w:tc>
          <w:tcPr>
            <w:tcW w:w="8987" w:type="dxa"/>
            <w:gridSpan w:val="12"/>
            <w:tcBorders>
              <w:top w:val="nil"/>
              <w:left w:val="single" w:sz="2" w:space="0" w:color="auto"/>
              <w:bottom w:val="nil"/>
              <w:right w:val="nil"/>
            </w:tcBorders>
            <w:vAlign w:val="bottom"/>
          </w:tcPr>
          <w:p w14:paraId="46C41394" w14:textId="79C2805A" w:rsidR="0087202A" w:rsidRPr="00190046" w:rsidRDefault="0087202A" w:rsidP="00ED5E1D">
            <w:pPr>
              <w:spacing w:after="120"/>
              <w:jc w:val="both"/>
              <w:rPr>
                <w:sz w:val="18"/>
                <w:szCs w:val="18"/>
              </w:rPr>
            </w:pPr>
            <w:r w:rsidRPr="00190046">
              <w:rPr>
                <w:sz w:val="18"/>
                <w:szCs w:val="18"/>
              </w:rPr>
              <w:t>Revenue Received in Advance is recognised when ‘Burley Griffin Agency’ has received appropriation for payments on behalf of the Territory and the Agency has not yet incurred the related expense.</w:t>
            </w:r>
          </w:p>
        </w:tc>
      </w:tr>
      <w:tr w:rsidR="0087202A" w:rsidRPr="00CF7E1B" w14:paraId="2A29ED4A" w14:textId="77777777" w:rsidTr="00F00C95">
        <w:trPr>
          <w:trHeight w:val="23"/>
        </w:trPr>
        <w:tc>
          <w:tcPr>
            <w:tcW w:w="1557" w:type="dxa"/>
            <w:tcBorders>
              <w:top w:val="nil"/>
              <w:left w:val="single" w:sz="2" w:space="0" w:color="auto"/>
              <w:bottom w:val="nil"/>
              <w:right w:val="single" w:sz="2" w:space="0" w:color="auto"/>
            </w:tcBorders>
          </w:tcPr>
          <w:p w14:paraId="1B5192FA" w14:textId="77777777" w:rsidR="0087202A" w:rsidRPr="00DE11FF" w:rsidRDefault="0087202A" w:rsidP="0087202A">
            <w:pPr>
              <w:pStyle w:val="TableReference"/>
              <w:tabs>
                <w:tab w:val="left" w:pos="3306"/>
              </w:tabs>
              <w:spacing w:before="40"/>
              <w:jc w:val="right"/>
              <w:rPr>
                <w:rFonts w:cs="Calibri"/>
                <w:color w:val="auto"/>
                <w:sz w:val="16"/>
                <w:szCs w:val="16"/>
              </w:rPr>
            </w:pPr>
          </w:p>
        </w:tc>
        <w:tc>
          <w:tcPr>
            <w:tcW w:w="5907" w:type="dxa"/>
            <w:gridSpan w:val="5"/>
            <w:tcBorders>
              <w:top w:val="nil"/>
              <w:left w:val="single" w:sz="2" w:space="0" w:color="auto"/>
              <w:bottom w:val="nil"/>
              <w:right w:val="nil"/>
            </w:tcBorders>
          </w:tcPr>
          <w:p w14:paraId="238044A2" w14:textId="2FCDA309" w:rsidR="0087202A" w:rsidRPr="00190046" w:rsidRDefault="0087202A" w:rsidP="0087202A">
            <w:pPr>
              <w:pStyle w:val="TableText"/>
              <w:tabs>
                <w:tab w:val="left" w:pos="3306"/>
              </w:tabs>
              <w:jc w:val="right"/>
              <w:rPr>
                <w:rFonts w:cs="Calibri"/>
                <w:b/>
                <w:bCs/>
              </w:rPr>
            </w:pPr>
          </w:p>
        </w:tc>
        <w:tc>
          <w:tcPr>
            <w:tcW w:w="1500" w:type="dxa"/>
            <w:gridSpan w:val="4"/>
            <w:tcBorders>
              <w:top w:val="nil"/>
              <w:left w:val="nil"/>
              <w:bottom w:val="nil"/>
              <w:right w:val="nil"/>
            </w:tcBorders>
          </w:tcPr>
          <w:p w14:paraId="2A76C1FF" w14:textId="0C8E2E0A" w:rsidR="0087202A" w:rsidRPr="00190046" w:rsidRDefault="0087202A" w:rsidP="0087202A">
            <w:pPr>
              <w:pStyle w:val="TableTitle"/>
              <w:tabs>
                <w:tab w:val="left" w:pos="3306"/>
              </w:tabs>
              <w:rPr>
                <w:rFonts w:cs="Calibri"/>
                <w:szCs w:val="16"/>
              </w:rPr>
            </w:pPr>
            <w:r w:rsidRPr="00190046">
              <w:rPr>
                <w:rFonts w:cs="Calibri"/>
              </w:rPr>
              <w:t>202</w:t>
            </w:r>
            <w:r w:rsidR="00567EB7">
              <w:rPr>
                <w:rFonts w:cs="Calibri"/>
              </w:rPr>
              <w:t>3</w:t>
            </w:r>
            <w:r w:rsidRPr="00190046">
              <w:rPr>
                <w:rFonts w:cs="Calibri"/>
                <w:szCs w:val="16"/>
              </w:rPr>
              <w:t xml:space="preserve"> </w:t>
            </w:r>
          </w:p>
          <w:p w14:paraId="0AD5BD17" w14:textId="28FD1F04" w:rsidR="0087202A" w:rsidRPr="00190046" w:rsidRDefault="0087202A" w:rsidP="0087202A">
            <w:pPr>
              <w:pStyle w:val="TableText"/>
              <w:tabs>
                <w:tab w:val="left" w:pos="3306"/>
              </w:tabs>
              <w:jc w:val="right"/>
              <w:rPr>
                <w:rFonts w:cs="Calibri"/>
                <w:b/>
                <w:bCs/>
              </w:rPr>
            </w:pPr>
            <w:r w:rsidRPr="00190046">
              <w:rPr>
                <w:rFonts w:cs="Calibri"/>
                <w:b/>
                <w:bCs/>
                <w:szCs w:val="16"/>
              </w:rPr>
              <w:t>$’000</w:t>
            </w:r>
          </w:p>
        </w:tc>
        <w:tc>
          <w:tcPr>
            <w:tcW w:w="1580" w:type="dxa"/>
            <w:gridSpan w:val="3"/>
            <w:tcBorders>
              <w:top w:val="nil"/>
              <w:left w:val="nil"/>
              <w:bottom w:val="nil"/>
              <w:right w:val="nil"/>
            </w:tcBorders>
          </w:tcPr>
          <w:p w14:paraId="6EA65D18" w14:textId="2E839E71" w:rsidR="006B468D" w:rsidRDefault="0087202A" w:rsidP="0087202A">
            <w:pPr>
              <w:pStyle w:val="TableTitle"/>
              <w:tabs>
                <w:tab w:val="left" w:pos="3306"/>
              </w:tabs>
              <w:rPr>
                <w:rFonts w:cs="Calibri"/>
              </w:rPr>
            </w:pPr>
            <w:r w:rsidRPr="00190046">
              <w:rPr>
                <w:rFonts w:cs="Calibri"/>
              </w:rPr>
              <w:t>202</w:t>
            </w:r>
            <w:r w:rsidR="00567EB7">
              <w:rPr>
                <w:rFonts w:cs="Calibri"/>
              </w:rPr>
              <w:t>2</w:t>
            </w:r>
          </w:p>
          <w:p w14:paraId="44C3E4B6" w14:textId="60927BDB" w:rsidR="0087202A" w:rsidRPr="00190046" w:rsidRDefault="00FA7C77" w:rsidP="0087202A">
            <w:pPr>
              <w:pStyle w:val="TableTitle"/>
              <w:tabs>
                <w:tab w:val="left" w:pos="3306"/>
              </w:tabs>
              <w:rPr>
                <w:rFonts w:cs="Calibri"/>
                <w:b w:val="0"/>
                <w:bCs w:val="0"/>
              </w:rPr>
            </w:pPr>
            <w:r>
              <w:rPr>
                <w:rFonts w:cs="Calibri"/>
              </w:rPr>
              <w:t xml:space="preserve">      </w:t>
            </w:r>
            <w:r w:rsidR="0087202A">
              <w:rPr>
                <w:rFonts w:cs="Calibri"/>
              </w:rPr>
              <w:t xml:space="preserve"> </w:t>
            </w:r>
            <w:r w:rsidR="0087202A" w:rsidRPr="0009580B">
              <w:rPr>
                <w:rFonts w:cs="Calibri"/>
              </w:rPr>
              <w:t>$’000</w:t>
            </w:r>
          </w:p>
        </w:tc>
      </w:tr>
      <w:tr w:rsidR="0087202A" w:rsidRPr="00CF7E1B" w14:paraId="49CC4547" w14:textId="77777777" w:rsidTr="00F00C95">
        <w:trPr>
          <w:trHeight w:val="23"/>
        </w:trPr>
        <w:tc>
          <w:tcPr>
            <w:tcW w:w="1557" w:type="dxa"/>
            <w:tcBorders>
              <w:top w:val="nil"/>
              <w:left w:val="single" w:sz="2" w:space="0" w:color="auto"/>
              <w:bottom w:val="nil"/>
              <w:right w:val="single" w:sz="2" w:space="0" w:color="auto"/>
            </w:tcBorders>
          </w:tcPr>
          <w:p w14:paraId="7F5CBD68" w14:textId="77777777" w:rsidR="0087202A" w:rsidRPr="00DE11FF" w:rsidRDefault="0087202A" w:rsidP="0087202A">
            <w:pPr>
              <w:pStyle w:val="TableReference"/>
              <w:tabs>
                <w:tab w:val="left" w:pos="3306"/>
              </w:tabs>
              <w:spacing w:before="40"/>
              <w:rPr>
                <w:rFonts w:cs="Calibri"/>
                <w:color w:val="auto"/>
                <w:sz w:val="16"/>
                <w:szCs w:val="16"/>
              </w:rPr>
            </w:pPr>
          </w:p>
        </w:tc>
        <w:tc>
          <w:tcPr>
            <w:tcW w:w="5907" w:type="dxa"/>
            <w:gridSpan w:val="5"/>
            <w:tcBorders>
              <w:top w:val="nil"/>
              <w:left w:val="single" w:sz="2" w:space="0" w:color="auto"/>
              <w:bottom w:val="nil"/>
              <w:right w:val="nil"/>
            </w:tcBorders>
            <w:vAlign w:val="bottom"/>
          </w:tcPr>
          <w:p w14:paraId="23DB40C9" w14:textId="663F7D01" w:rsidR="0087202A" w:rsidRPr="00190046" w:rsidRDefault="0087202A" w:rsidP="0087202A">
            <w:pPr>
              <w:pStyle w:val="TableText"/>
              <w:tabs>
                <w:tab w:val="left" w:pos="3306"/>
              </w:tabs>
              <w:rPr>
                <w:rFonts w:cs="Calibri"/>
              </w:rPr>
            </w:pPr>
            <w:bookmarkStart w:id="1108" w:name="_Toc48468913"/>
            <w:bookmarkStart w:id="1109" w:name="_Toc49155968"/>
            <w:bookmarkStart w:id="1110" w:name="_Toc49224388"/>
            <w:r w:rsidRPr="00190046">
              <w:rPr>
                <w:rFonts w:cs="Calibri"/>
                <w:b/>
                <w:bCs/>
              </w:rPr>
              <w:t>Current Other Liabilities</w:t>
            </w:r>
            <w:bookmarkEnd w:id="1108"/>
            <w:bookmarkEnd w:id="1109"/>
            <w:bookmarkEnd w:id="1110"/>
          </w:p>
        </w:tc>
        <w:tc>
          <w:tcPr>
            <w:tcW w:w="1500" w:type="dxa"/>
            <w:gridSpan w:val="4"/>
            <w:tcBorders>
              <w:top w:val="nil"/>
              <w:left w:val="nil"/>
              <w:bottom w:val="nil"/>
              <w:right w:val="nil"/>
            </w:tcBorders>
            <w:vAlign w:val="bottom"/>
          </w:tcPr>
          <w:p w14:paraId="2D511831" w14:textId="77777777" w:rsidR="0087202A" w:rsidRPr="00190046" w:rsidRDefault="0087202A" w:rsidP="0087202A">
            <w:pPr>
              <w:pStyle w:val="TableText"/>
              <w:tabs>
                <w:tab w:val="left" w:pos="3306"/>
              </w:tabs>
              <w:jc w:val="right"/>
              <w:rPr>
                <w:rFonts w:cs="Calibri"/>
              </w:rPr>
            </w:pPr>
          </w:p>
        </w:tc>
        <w:tc>
          <w:tcPr>
            <w:tcW w:w="1580" w:type="dxa"/>
            <w:gridSpan w:val="3"/>
            <w:tcBorders>
              <w:top w:val="nil"/>
              <w:left w:val="nil"/>
              <w:bottom w:val="nil"/>
              <w:right w:val="nil"/>
            </w:tcBorders>
            <w:vAlign w:val="bottom"/>
          </w:tcPr>
          <w:p w14:paraId="1B19D9FB" w14:textId="77777777" w:rsidR="0087202A" w:rsidRPr="00190046" w:rsidRDefault="0087202A" w:rsidP="0087202A">
            <w:pPr>
              <w:pStyle w:val="TableText"/>
              <w:tabs>
                <w:tab w:val="left" w:pos="3306"/>
              </w:tabs>
              <w:jc w:val="right"/>
              <w:rPr>
                <w:rFonts w:cs="Calibri"/>
              </w:rPr>
            </w:pPr>
          </w:p>
        </w:tc>
      </w:tr>
      <w:tr w:rsidR="0087202A" w:rsidRPr="00CF7E1B" w14:paraId="0F537827" w14:textId="77777777" w:rsidTr="00F00C95">
        <w:trPr>
          <w:trHeight w:val="23"/>
        </w:trPr>
        <w:tc>
          <w:tcPr>
            <w:tcW w:w="1557" w:type="dxa"/>
            <w:tcBorders>
              <w:top w:val="nil"/>
              <w:left w:val="single" w:sz="2" w:space="0" w:color="auto"/>
              <w:bottom w:val="nil"/>
              <w:right w:val="single" w:sz="2" w:space="0" w:color="auto"/>
            </w:tcBorders>
          </w:tcPr>
          <w:p w14:paraId="2580FB30" w14:textId="77777777" w:rsidR="0087202A" w:rsidRPr="00DE11FF" w:rsidRDefault="0087202A" w:rsidP="0087202A">
            <w:pPr>
              <w:pStyle w:val="TableReference"/>
              <w:tabs>
                <w:tab w:val="left" w:pos="3306"/>
              </w:tabs>
              <w:spacing w:before="40"/>
              <w:rPr>
                <w:rFonts w:cs="Calibri"/>
                <w:color w:val="auto"/>
                <w:sz w:val="16"/>
                <w:szCs w:val="16"/>
              </w:rPr>
            </w:pPr>
          </w:p>
        </w:tc>
        <w:tc>
          <w:tcPr>
            <w:tcW w:w="5907" w:type="dxa"/>
            <w:gridSpan w:val="5"/>
            <w:tcBorders>
              <w:top w:val="nil"/>
              <w:left w:val="single" w:sz="2" w:space="0" w:color="auto"/>
              <w:bottom w:val="nil"/>
              <w:right w:val="nil"/>
            </w:tcBorders>
            <w:vAlign w:val="bottom"/>
          </w:tcPr>
          <w:p w14:paraId="603128F7" w14:textId="77777777" w:rsidR="0087202A" w:rsidRPr="00190046" w:rsidRDefault="0087202A" w:rsidP="0087202A">
            <w:pPr>
              <w:pStyle w:val="TableText"/>
              <w:tabs>
                <w:tab w:val="left" w:pos="3306"/>
              </w:tabs>
              <w:rPr>
                <w:rFonts w:cs="Calibri"/>
              </w:rPr>
            </w:pPr>
            <w:r w:rsidRPr="00190046">
              <w:rPr>
                <w:rFonts w:cs="Calibri"/>
              </w:rPr>
              <w:t xml:space="preserve">Revenue Received in Advance </w:t>
            </w:r>
          </w:p>
        </w:tc>
        <w:tc>
          <w:tcPr>
            <w:tcW w:w="1500" w:type="dxa"/>
            <w:gridSpan w:val="4"/>
            <w:tcBorders>
              <w:top w:val="nil"/>
              <w:left w:val="nil"/>
              <w:bottom w:val="single" w:sz="2" w:space="0" w:color="auto"/>
              <w:right w:val="nil"/>
            </w:tcBorders>
            <w:vAlign w:val="bottom"/>
          </w:tcPr>
          <w:p w14:paraId="58FD8556" w14:textId="34304AEA" w:rsidR="0087202A" w:rsidRPr="00190046" w:rsidRDefault="0087202A" w:rsidP="0087202A">
            <w:pPr>
              <w:pStyle w:val="TableText"/>
              <w:tabs>
                <w:tab w:val="left" w:pos="3306"/>
              </w:tabs>
              <w:jc w:val="right"/>
              <w:rPr>
                <w:rFonts w:cs="Calibri"/>
              </w:rPr>
            </w:pPr>
          </w:p>
        </w:tc>
        <w:tc>
          <w:tcPr>
            <w:tcW w:w="1580" w:type="dxa"/>
            <w:gridSpan w:val="3"/>
            <w:tcBorders>
              <w:top w:val="nil"/>
              <w:left w:val="nil"/>
              <w:bottom w:val="single" w:sz="2" w:space="0" w:color="auto"/>
              <w:right w:val="nil"/>
            </w:tcBorders>
            <w:vAlign w:val="bottom"/>
          </w:tcPr>
          <w:p w14:paraId="10F12CE1" w14:textId="1322AC15" w:rsidR="0087202A" w:rsidRPr="00190046" w:rsidRDefault="0087202A" w:rsidP="0087202A">
            <w:pPr>
              <w:pStyle w:val="TableText"/>
              <w:tabs>
                <w:tab w:val="left" w:pos="3306"/>
              </w:tabs>
              <w:jc w:val="right"/>
              <w:rPr>
                <w:rFonts w:cs="Calibri"/>
              </w:rPr>
            </w:pPr>
          </w:p>
        </w:tc>
      </w:tr>
      <w:tr w:rsidR="0087202A" w:rsidRPr="00CF7E1B" w14:paraId="05CE68C9" w14:textId="77777777" w:rsidTr="00F00C95">
        <w:trPr>
          <w:trHeight w:val="23"/>
        </w:trPr>
        <w:tc>
          <w:tcPr>
            <w:tcW w:w="1557" w:type="dxa"/>
            <w:tcBorders>
              <w:top w:val="nil"/>
              <w:left w:val="single" w:sz="2" w:space="0" w:color="auto"/>
              <w:bottom w:val="nil"/>
              <w:right w:val="single" w:sz="2" w:space="0" w:color="auto"/>
            </w:tcBorders>
          </w:tcPr>
          <w:p w14:paraId="0AB96F87" w14:textId="77777777" w:rsidR="0087202A" w:rsidRPr="00DE11FF" w:rsidRDefault="0087202A" w:rsidP="0087202A">
            <w:pPr>
              <w:pStyle w:val="TableReference"/>
              <w:tabs>
                <w:tab w:val="left" w:pos="3306"/>
              </w:tabs>
              <w:spacing w:before="40"/>
              <w:rPr>
                <w:rFonts w:cs="Calibri"/>
                <w:color w:val="auto"/>
                <w:sz w:val="16"/>
                <w:szCs w:val="16"/>
              </w:rPr>
            </w:pPr>
          </w:p>
        </w:tc>
        <w:tc>
          <w:tcPr>
            <w:tcW w:w="5907" w:type="dxa"/>
            <w:gridSpan w:val="5"/>
            <w:tcBorders>
              <w:top w:val="nil"/>
              <w:left w:val="single" w:sz="2" w:space="0" w:color="auto"/>
              <w:bottom w:val="nil"/>
              <w:right w:val="nil"/>
            </w:tcBorders>
            <w:vAlign w:val="bottom"/>
          </w:tcPr>
          <w:p w14:paraId="06F8468B" w14:textId="77777777" w:rsidR="0087202A" w:rsidRPr="00190046" w:rsidRDefault="0087202A" w:rsidP="0087202A">
            <w:pPr>
              <w:pStyle w:val="TableText"/>
              <w:tabs>
                <w:tab w:val="left" w:pos="3306"/>
              </w:tabs>
              <w:rPr>
                <w:rFonts w:cs="Calibri"/>
                <w:b/>
                <w:bCs/>
              </w:rPr>
            </w:pPr>
            <w:r w:rsidRPr="00190046">
              <w:rPr>
                <w:rFonts w:cs="Calibri"/>
                <w:b/>
                <w:bCs/>
              </w:rPr>
              <w:t>Total Current Other Liabilities</w:t>
            </w:r>
          </w:p>
        </w:tc>
        <w:tc>
          <w:tcPr>
            <w:tcW w:w="1500" w:type="dxa"/>
            <w:gridSpan w:val="4"/>
            <w:tcBorders>
              <w:top w:val="single" w:sz="2" w:space="0" w:color="auto"/>
              <w:left w:val="nil"/>
              <w:bottom w:val="single" w:sz="2" w:space="0" w:color="auto"/>
              <w:right w:val="nil"/>
            </w:tcBorders>
            <w:vAlign w:val="bottom"/>
          </w:tcPr>
          <w:p w14:paraId="7DB6F452" w14:textId="61753C8E" w:rsidR="0087202A" w:rsidRPr="00190046" w:rsidRDefault="0087202A" w:rsidP="0087202A">
            <w:pPr>
              <w:pStyle w:val="TableText"/>
              <w:tabs>
                <w:tab w:val="left" w:pos="3306"/>
              </w:tabs>
              <w:jc w:val="right"/>
              <w:rPr>
                <w:rFonts w:cs="Calibri"/>
                <w:b/>
                <w:bCs/>
              </w:rPr>
            </w:pPr>
          </w:p>
        </w:tc>
        <w:tc>
          <w:tcPr>
            <w:tcW w:w="1580" w:type="dxa"/>
            <w:gridSpan w:val="3"/>
            <w:tcBorders>
              <w:top w:val="single" w:sz="2" w:space="0" w:color="auto"/>
              <w:left w:val="nil"/>
              <w:bottom w:val="single" w:sz="2" w:space="0" w:color="auto"/>
              <w:right w:val="nil"/>
            </w:tcBorders>
            <w:vAlign w:val="bottom"/>
          </w:tcPr>
          <w:p w14:paraId="6EC7E5F9" w14:textId="4652618D" w:rsidR="0087202A" w:rsidRPr="00190046" w:rsidRDefault="0087202A" w:rsidP="0087202A">
            <w:pPr>
              <w:pStyle w:val="TableText"/>
              <w:tabs>
                <w:tab w:val="left" w:pos="3306"/>
              </w:tabs>
              <w:jc w:val="right"/>
              <w:rPr>
                <w:rFonts w:cs="Calibri"/>
                <w:b/>
                <w:bCs/>
              </w:rPr>
            </w:pPr>
          </w:p>
        </w:tc>
      </w:tr>
      <w:tr w:rsidR="0087202A" w:rsidRPr="00CF7E1B" w14:paraId="5C064297" w14:textId="77777777" w:rsidTr="00F00C95">
        <w:trPr>
          <w:trHeight w:val="23"/>
        </w:trPr>
        <w:tc>
          <w:tcPr>
            <w:tcW w:w="1557" w:type="dxa"/>
            <w:tcBorders>
              <w:top w:val="nil"/>
              <w:left w:val="single" w:sz="2" w:space="0" w:color="auto"/>
              <w:bottom w:val="nil"/>
              <w:right w:val="single" w:sz="2" w:space="0" w:color="auto"/>
            </w:tcBorders>
          </w:tcPr>
          <w:p w14:paraId="38A11160" w14:textId="77777777" w:rsidR="0087202A" w:rsidRPr="00DE11FF" w:rsidRDefault="0087202A" w:rsidP="0087202A">
            <w:pPr>
              <w:pStyle w:val="TableReference"/>
              <w:tabs>
                <w:tab w:val="left" w:pos="3306"/>
              </w:tabs>
              <w:spacing w:before="40"/>
              <w:rPr>
                <w:rFonts w:cs="Calibri"/>
                <w:color w:val="auto"/>
                <w:sz w:val="16"/>
                <w:szCs w:val="16"/>
              </w:rPr>
            </w:pPr>
          </w:p>
        </w:tc>
        <w:tc>
          <w:tcPr>
            <w:tcW w:w="5907" w:type="dxa"/>
            <w:gridSpan w:val="5"/>
            <w:tcBorders>
              <w:top w:val="nil"/>
              <w:left w:val="single" w:sz="2" w:space="0" w:color="auto"/>
              <w:bottom w:val="nil"/>
              <w:right w:val="nil"/>
            </w:tcBorders>
            <w:vAlign w:val="bottom"/>
          </w:tcPr>
          <w:p w14:paraId="162474F5" w14:textId="77777777" w:rsidR="0087202A" w:rsidRPr="00190046" w:rsidRDefault="0087202A" w:rsidP="0087202A">
            <w:pPr>
              <w:pStyle w:val="TableText"/>
              <w:tabs>
                <w:tab w:val="left" w:pos="3306"/>
              </w:tabs>
              <w:rPr>
                <w:rFonts w:cs="Calibri"/>
                <w:b/>
                <w:bCs/>
              </w:rPr>
            </w:pPr>
            <w:r w:rsidRPr="00190046">
              <w:rPr>
                <w:rFonts w:cs="Calibri"/>
                <w:b/>
                <w:bCs/>
              </w:rPr>
              <w:t>Total Other Liabilities</w:t>
            </w:r>
          </w:p>
        </w:tc>
        <w:tc>
          <w:tcPr>
            <w:tcW w:w="1500" w:type="dxa"/>
            <w:gridSpan w:val="4"/>
            <w:tcBorders>
              <w:top w:val="single" w:sz="2" w:space="0" w:color="auto"/>
              <w:left w:val="nil"/>
              <w:bottom w:val="double" w:sz="4" w:space="0" w:color="auto"/>
              <w:right w:val="nil"/>
            </w:tcBorders>
            <w:vAlign w:val="bottom"/>
          </w:tcPr>
          <w:p w14:paraId="0FA78FC2" w14:textId="61B232E0" w:rsidR="0087202A" w:rsidRPr="00190046" w:rsidRDefault="0087202A" w:rsidP="0087202A">
            <w:pPr>
              <w:pStyle w:val="TableText"/>
              <w:tabs>
                <w:tab w:val="left" w:pos="3306"/>
              </w:tabs>
              <w:jc w:val="right"/>
              <w:rPr>
                <w:rFonts w:cs="Calibri"/>
                <w:b/>
                <w:bCs/>
              </w:rPr>
            </w:pPr>
          </w:p>
        </w:tc>
        <w:tc>
          <w:tcPr>
            <w:tcW w:w="1580" w:type="dxa"/>
            <w:gridSpan w:val="3"/>
            <w:tcBorders>
              <w:top w:val="single" w:sz="2" w:space="0" w:color="auto"/>
              <w:left w:val="nil"/>
              <w:bottom w:val="double" w:sz="4" w:space="0" w:color="auto"/>
              <w:right w:val="nil"/>
            </w:tcBorders>
            <w:vAlign w:val="bottom"/>
          </w:tcPr>
          <w:p w14:paraId="2A42B429" w14:textId="69A107B9" w:rsidR="0087202A" w:rsidRPr="00190046" w:rsidRDefault="0087202A" w:rsidP="0087202A">
            <w:pPr>
              <w:pStyle w:val="TableText"/>
              <w:tabs>
                <w:tab w:val="left" w:pos="3306"/>
              </w:tabs>
              <w:jc w:val="right"/>
              <w:rPr>
                <w:rFonts w:cs="Calibri"/>
                <w:b/>
                <w:bCs/>
              </w:rPr>
            </w:pPr>
          </w:p>
        </w:tc>
      </w:tr>
      <w:tr w:rsidR="003C5D97" w:rsidRPr="003C5D97" w14:paraId="13E5CAC0"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446"/>
        </w:trPr>
        <w:tc>
          <w:tcPr>
            <w:tcW w:w="1557" w:type="dxa"/>
            <w:tcBorders>
              <w:left w:val="single" w:sz="2" w:space="0" w:color="auto"/>
              <w:right w:val="single" w:sz="2" w:space="0" w:color="auto"/>
            </w:tcBorders>
          </w:tcPr>
          <w:p w14:paraId="53386981" w14:textId="77777777" w:rsidR="003C5D97" w:rsidRPr="003C5D97" w:rsidRDefault="003C5D97" w:rsidP="003C5D97">
            <w:pPr>
              <w:rPr>
                <w:rFonts w:asciiTheme="minorHAnsi" w:hAnsiTheme="minorHAnsi" w:cstheme="minorHAnsi"/>
                <w:b/>
                <w:color w:val="7030A0"/>
                <w:szCs w:val="22"/>
                <w:lang w:eastAsia="en-AU"/>
              </w:rPr>
            </w:pPr>
          </w:p>
        </w:tc>
        <w:tc>
          <w:tcPr>
            <w:tcW w:w="8934" w:type="dxa"/>
            <w:gridSpan w:val="11"/>
            <w:tcBorders>
              <w:left w:val="single" w:sz="2" w:space="0" w:color="auto"/>
            </w:tcBorders>
          </w:tcPr>
          <w:p w14:paraId="36346A7B" w14:textId="77777777" w:rsidR="003C5D97" w:rsidRPr="003C5D97" w:rsidRDefault="003C5D97" w:rsidP="003C5D97">
            <w:pPr>
              <w:pStyle w:val="Heading1"/>
              <w:numPr>
                <w:ilvl w:val="0"/>
                <w:numId w:val="0"/>
              </w:numPr>
              <w:spacing w:before="0" w:after="0"/>
              <w:rPr>
                <w:sz w:val="22"/>
                <w:szCs w:val="22"/>
                <w:lang w:eastAsia="en-AU"/>
              </w:rPr>
            </w:pPr>
          </w:p>
        </w:tc>
      </w:tr>
      <w:tr w:rsidR="000610F9" w:rsidRPr="00CF7E1B" w14:paraId="2B5644D1" w14:textId="2F42E5FB"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431"/>
        </w:trPr>
        <w:tc>
          <w:tcPr>
            <w:tcW w:w="1557" w:type="dxa"/>
            <w:tcBorders>
              <w:left w:val="single" w:sz="2" w:space="0" w:color="auto"/>
              <w:right w:val="single" w:sz="2" w:space="0" w:color="auto"/>
            </w:tcBorders>
          </w:tcPr>
          <w:p w14:paraId="3A876989" w14:textId="02137DE4" w:rsidR="000610F9" w:rsidRPr="00190046" w:rsidRDefault="000610F9" w:rsidP="005D3C33">
            <w:pPr>
              <w:spacing w:before="240" w:after="240"/>
              <w:rPr>
                <w:rFonts w:asciiTheme="minorHAnsi" w:hAnsiTheme="minorHAnsi" w:cstheme="minorHAnsi"/>
                <w:b/>
                <w:color w:val="7030A0"/>
                <w:szCs w:val="22"/>
                <w:lang w:eastAsia="en-AU"/>
              </w:rPr>
            </w:pPr>
          </w:p>
        </w:tc>
        <w:tc>
          <w:tcPr>
            <w:tcW w:w="8934" w:type="dxa"/>
            <w:gridSpan w:val="11"/>
            <w:tcBorders>
              <w:left w:val="single" w:sz="2" w:space="0" w:color="auto"/>
            </w:tcBorders>
          </w:tcPr>
          <w:p w14:paraId="347D9BF6" w14:textId="452BB5BD" w:rsidR="000610F9" w:rsidRPr="00190046" w:rsidRDefault="000610F9" w:rsidP="00E80D67">
            <w:pPr>
              <w:pStyle w:val="Heading1"/>
              <w:numPr>
                <w:ilvl w:val="0"/>
                <w:numId w:val="0"/>
              </w:numPr>
              <w:rPr>
                <w:lang w:eastAsia="en-AU"/>
              </w:rPr>
            </w:pPr>
            <w:bookmarkStart w:id="1111" w:name="_Toc400627385"/>
            <w:bookmarkStart w:id="1112" w:name="_Toc132743855"/>
            <w:r w:rsidRPr="00190046">
              <w:rPr>
                <w:lang w:eastAsia="en-AU"/>
              </w:rPr>
              <w:t xml:space="preserve">Note </w:t>
            </w:r>
            <w:r w:rsidR="00DD6620" w:rsidRPr="00190046">
              <w:rPr>
                <w:lang w:eastAsia="en-AU"/>
              </w:rPr>
              <w:t>5</w:t>
            </w:r>
            <w:r w:rsidR="00FE2129" w:rsidRPr="00190046">
              <w:rPr>
                <w:lang w:eastAsia="en-AU"/>
              </w:rPr>
              <w:t>2</w:t>
            </w:r>
            <w:r w:rsidRPr="00190046">
              <w:rPr>
                <w:lang w:eastAsia="en-AU"/>
              </w:rPr>
              <w:t>.</w:t>
            </w:r>
            <w:r w:rsidR="00FA7C77">
              <w:rPr>
                <w:lang w:eastAsia="en-AU"/>
              </w:rPr>
              <w:t xml:space="preserve"> </w:t>
            </w:r>
            <w:r w:rsidRPr="00190046">
              <w:rPr>
                <w:lang w:eastAsia="en-AU"/>
              </w:rPr>
              <w:t xml:space="preserve"> </w:t>
            </w:r>
            <w:bookmarkStart w:id="1113" w:name="RestructureAdminArrang_Territorial"/>
            <w:bookmarkStart w:id="1114" w:name="TSrestructAA"/>
            <w:bookmarkEnd w:id="1113"/>
            <w:r w:rsidRPr="00190046">
              <w:rPr>
                <w:lang w:eastAsia="en-AU"/>
              </w:rPr>
              <w:t xml:space="preserve">Restructure of Administrative Arrangements </w:t>
            </w:r>
            <w:r w:rsidRPr="00190046">
              <w:t xml:space="preserve">– </w:t>
            </w:r>
            <w:r w:rsidRPr="00190046">
              <w:rPr>
                <w:lang w:eastAsia="en-AU"/>
              </w:rPr>
              <w:t>Territorial</w:t>
            </w:r>
            <w:bookmarkEnd w:id="1111"/>
            <w:bookmarkEnd w:id="1114"/>
            <w:bookmarkEnd w:id="1112"/>
          </w:p>
        </w:tc>
      </w:tr>
      <w:tr w:rsidR="00577081" w:rsidRPr="00CF7E1B" w14:paraId="07A5BA01" w14:textId="51D4F4AC"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279AC431" w14:textId="250E9690" w:rsidR="00577081" w:rsidRPr="0007146C" w:rsidRDefault="00577081" w:rsidP="00577081">
            <w:pPr>
              <w:pStyle w:val="TableReference"/>
              <w:spacing w:after="120"/>
              <w:rPr>
                <w:rFonts w:cs="Calibri"/>
                <w:color w:val="7030A0"/>
                <w:sz w:val="14"/>
              </w:rPr>
            </w:pPr>
          </w:p>
        </w:tc>
        <w:tc>
          <w:tcPr>
            <w:tcW w:w="8934" w:type="dxa"/>
            <w:gridSpan w:val="11"/>
            <w:tcBorders>
              <w:left w:val="single" w:sz="2" w:space="0" w:color="auto"/>
            </w:tcBorders>
            <w:vAlign w:val="center"/>
          </w:tcPr>
          <w:p w14:paraId="71BB4F2F" w14:textId="65D9CE79" w:rsidR="00577081" w:rsidRPr="0007146C" w:rsidRDefault="00577081" w:rsidP="00577081">
            <w:pPr>
              <w:pStyle w:val="TableText"/>
              <w:spacing w:before="0" w:after="40"/>
              <w:rPr>
                <w:rFonts w:cs="Calibri"/>
                <w:b/>
                <w:lang w:eastAsia="en-AU"/>
              </w:rPr>
            </w:pPr>
            <w:r w:rsidRPr="0007146C">
              <w:rPr>
                <w:rFonts w:asciiTheme="minorHAnsi" w:hAnsiTheme="minorHAnsi" w:cstheme="minorHAnsi"/>
                <w:b/>
                <w:bCs/>
                <w:color w:val="FF0000"/>
                <w:lang w:eastAsia="en-AU"/>
              </w:rPr>
              <w:t xml:space="preserve">Description and Material Accounting Policies Relating to </w:t>
            </w:r>
            <w:r w:rsidRPr="0007146C">
              <w:rPr>
                <w:rFonts w:asciiTheme="minorHAnsi" w:hAnsiTheme="minorHAnsi" w:cstheme="minorHAnsi"/>
                <w:b/>
                <w:bCs/>
                <w:color w:val="FF0000"/>
              </w:rPr>
              <w:t>Restructure of Administrative Arrangements</w:t>
            </w:r>
          </w:p>
        </w:tc>
      </w:tr>
      <w:tr w:rsidR="00577081" w:rsidRPr="00CF7E1B" w14:paraId="0D2E92C2"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59C3295B" w14:textId="6FD2EAE5" w:rsidR="00577081" w:rsidRPr="0007146C" w:rsidRDefault="00577081" w:rsidP="00577081">
            <w:pPr>
              <w:pStyle w:val="TableReference"/>
              <w:spacing w:after="120"/>
              <w:rPr>
                <w:rFonts w:cs="Calibri"/>
                <w:color w:val="7030A0"/>
                <w:sz w:val="14"/>
              </w:rPr>
            </w:pPr>
            <w:r w:rsidRPr="0007146C">
              <w:rPr>
                <w:rFonts w:cs="Calibri"/>
                <w:color w:val="FF0000"/>
                <w:sz w:val="14"/>
              </w:rPr>
              <w:t>AASB 1004 Appendix A</w:t>
            </w:r>
          </w:p>
        </w:tc>
        <w:tc>
          <w:tcPr>
            <w:tcW w:w="8934" w:type="dxa"/>
            <w:gridSpan w:val="11"/>
            <w:tcBorders>
              <w:left w:val="single" w:sz="2" w:space="0" w:color="auto"/>
            </w:tcBorders>
            <w:vAlign w:val="center"/>
          </w:tcPr>
          <w:p w14:paraId="2F167FB8" w14:textId="098A4576" w:rsidR="00577081" w:rsidRPr="0007146C" w:rsidRDefault="00577081" w:rsidP="0007146C">
            <w:pPr>
              <w:pStyle w:val="TableText"/>
              <w:spacing w:before="0" w:after="120"/>
              <w:jc w:val="both"/>
              <w:rPr>
                <w:rFonts w:cs="Calibri"/>
                <w:b/>
                <w:lang w:eastAsia="en-AU"/>
              </w:rPr>
            </w:pPr>
            <w:r w:rsidRPr="0007146C">
              <w:rPr>
                <w:rFonts w:asciiTheme="minorHAnsi" w:hAnsiTheme="minorHAnsi" w:cstheme="minorHAnsi"/>
                <w:color w:val="FF0000"/>
                <w:lang w:eastAsia="en-AU"/>
              </w:rPr>
              <w:t>A restructure of administrative arrangements (AAs) is the reallocation or reorganisation of assets, liabilities, activities and responsibilities amongst the agencies that the government controls that occurs as a consequence of a rearrangement in the way in which activities and responsibilities are prescribed under legislation or other authority are allocated between the government’s controlled agencies.</w:t>
            </w:r>
          </w:p>
        </w:tc>
      </w:tr>
      <w:tr w:rsidR="00577081" w:rsidRPr="00CF7E1B" w14:paraId="262F6DCC"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vAlign w:val="center"/>
          </w:tcPr>
          <w:p w14:paraId="56464D09" w14:textId="77777777" w:rsidR="00577081" w:rsidRPr="0007146C" w:rsidRDefault="00577081" w:rsidP="00577081">
            <w:pPr>
              <w:pStyle w:val="TableReference"/>
              <w:spacing w:after="120"/>
              <w:rPr>
                <w:rFonts w:cs="Calibri"/>
                <w:color w:val="7030A0"/>
                <w:sz w:val="14"/>
              </w:rPr>
            </w:pPr>
          </w:p>
        </w:tc>
        <w:tc>
          <w:tcPr>
            <w:tcW w:w="8934" w:type="dxa"/>
            <w:gridSpan w:val="11"/>
            <w:tcBorders>
              <w:left w:val="single" w:sz="2" w:space="0" w:color="auto"/>
            </w:tcBorders>
            <w:vAlign w:val="center"/>
          </w:tcPr>
          <w:p w14:paraId="6206491B" w14:textId="1897737F" w:rsidR="00577081" w:rsidRPr="0007146C" w:rsidRDefault="00577081" w:rsidP="0007146C">
            <w:pPr>
              <w:pStyle w:val="TableText"/>
              <w:spacing w:before="0" w:after="120"/>
              <w:jc w:val="both"/>
              <w:rPr>
                <w:rFonts w:cs="Calibri"/>
                <w:b/>
                <w:lang w:eastAsia="en-AU"/>
              </w:rPr>
            </w:pPr>
            <w:r w:rsidRPr="0007146C">
              <w:rPr>
                <w:rFonts w:asciiTheme="minorHAnsi" w:hAnsiTheme="minorHAnsi" w:cstheme="minorHAnsi"/>
                <w:color w:val="FF0000"/>
                <w:lang w:eastAsia="en-AU"/>
              </w:rPr>
              <w:t>AAs do not apply to the transfer of individual assets between agencies, but instead they involve the transfer of an integrated set of activities, mainly for the purpose of reducing overall costs or providing other economic benefits to the Community. They involve a discrete function being transferred between agencies. As such, AAs often involve the transfer of appropriations, staff, bank accounts, assets and liabilities.</w:t>
            </w:r>
          </w:p>
        </w:tc>
      </w:tr>
      <w:tr w:rsidR="00577081" w:rsidRPr="00CF7E1B" w14:paraId="581340F0"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vAlign w:val="center"/>
          </w:tcPr>
          <w:p w14:paraId="2DEAE283" w14:textId="77777777" w:rsidR="00577081" w:rsidRPr="0007146C" w:rsidRDefault="00577081" w:rsidP="00577081">
            <w:pPr>
              <w:pStyle w:val="TableReference"/>
              <w:spacing w:after="120"/>
              <w:rPr>
                <w:rFonts w:cs="Calibri"/>
                <w:color w:val="7030A0"/>
                <w:sz w:val="14"/>
              </w:rPr>
            </w:pPr>
          </w:p>
        </w:tc>
        <w:tc>
          <w:tcPr>
            <w:tcW w:w="8934" w:type="dxa"/>
            <w:gridSpan w:val="11"/>
            <w:tcBorders>
              <w:left w:val="single" w:sz="2" w:space="0" w:color="auto"/>
            </w:tcBorders>
            <w:vAlign w:val="center"/>
          </w:tcPr>
          <w:p w14:paraId="27007849" w14:textId="05368863" w:rsidR="00577081" w:rsidRPr="0007146C" w:rsidRDefault="00577081" w:rsidP="0007146C">
            <w:pPr>
              <w:pStyle w:val="TableText"/>
              <w:spacing w:before="0" w:after="120"/>
              <w:jc w:val="both"/>
              <w:rPr>
                <w:rFonts w:cs="Calibri"/>
                <w:b/>
                <w:lang w:eastAsia="en-AU"/>
              </w:rPr>
            </w:pPr>
            <w:r w:rsidRPr="0007146C">
              <w:rPr>
                <w:rFonts w:asciiTheme="minorHAnsi" w:hAnsiTheme="minorHAnsi" w:cstheme="minorHAnsi"/>
                <w:color w:val="FF0000"/>
                <w:lang w:eastAsia="en-AU"/>
              </w:rPr>
              <w:t>AA transfers are classified as contributions by/distribution to owners and as such are accounted for as an equity transfer. AA transfers are measured at the carrying value recorded by the transferor immediately prior to the transfer.</w:t>
            </w:r>
          </w:p>
        </w:tc>
      </w:tr>
      <w:tr w:rsidR="00577081" w:rsidRPr="00CF7E1B" w14:paraId="33DA3AD3"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vAlign w:val="center"/>
          </w:tcPr>
          <w:p w14:paraId="475644F2" w14:textId="19C53FB8" w:rsidR="00577081" w:rsidRPr="00190046" w:rsidRDefault="00577081" w:rsidP="00577081">
            <w:pPr>
              <w:pStyle w:val="TableReference"/>
              <w:spacing w:before="60"/>
              <w:rPr>
                <w:rFonts w:cs="Calibri"/>
                <w:color w:val="7030A0"/>
                <w:sz w:val="14"/>
              </w:rPr>
            </w:pPr>
            <w:r w:rsidRPr="00190046">
              <w:rPr>
                <w:rFonts w:cs="Calibri"/>
                <w:color w:val="7030A0"/>
                <w:sz w:val="14"/>
              </w:rPr>
              <w:t>AASB 1004.57</w:t>
            </w:r>
          </w:p>
        </w:tc>
        <w:tc>
          <w:tcPr>
            <w:tcW w:w="8934" w:type="dxa"/>
            <w:gridSpan w:val="11"/>
            <w:tcBorders>
              <w:left w:val="single" w:sz="2" w:space="0" w:color="auto"/>
            </w:tcBorders>
            <w:vAlign w:val="center"/>
          </w:tcPr>
          <w:p w14:paraId="539FC876" w14:textId="3F2A25E0" w:rsidR="00577081" w:rsidRPr="00190046" w:rsidRDefault="00577081" w:rsidP="00577081">
            <w:pPr>
              <w:pStyle w:val="TableText"/>
              <w:spacing w:before="0"/>
              <w:rPr>
                <w:rFonts w:cs="Calibri"/>
                <w:b/>
                <w:lang w:eastAsia="en-AU"/>
              </w:rPr>
            </w:pPr>
            <w:r w:rsidRPr="00190046">
              <w:rPr>
                <w:rFonts w:cs="Calibri"/>
                <w:b/>
                <w:lang w:eastAsia="en-AU"/>
              </w:rPr>
              <w:t>Restructures of Administrative Arrangements 202</w:t>
            </w:r>
            <w:r>
              <w:rPr>
                <w:rFonts w:cs="Calibri"/>
                <w:b/>
                <w:lang w:eastAsia="en-AU"/>
              </w:rPr>
              <w:t>2</w:t>
            </w:r>
            <w:r w:rsidRPr="00190046">
              <w:rPr>
                <w:rFonts w:cs="Calibri"/>
                <w:b/>
                <w:lang w:eastAsia="en-AU"/>
              </w:rPr>
              <w:t>-2</w:t>
            </w:r>
            <w:r>
              <w:rPr>
                <w:rFonts w:cs="Calibri"/>
                <w:b/>
                <w:lang w:eastAsia="en-AU"/>
              </w:rPr>
              <w:t>3</w:t>
            </w:r>
          </w:p>
        </w:tc>
      </w:tr>
      <w:tr w:rsidR="00577081" w:rsidRPr="00CF7E1B" w14:paraId="7A8F49C6" w14:textId="39D9C313"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567"/>
        </w:trPr>
        <w:tc>
          <w:tcPr>
            <w:tcW w:w="1557" w:type="dxa"/>
            <w:tcBorders>
              <w:left w:val="single" w:sz="2" w:space="0" w:color="auto"/>
              <w:right w:val="single" w:sz="2" w:space="0" w:color="auto"/>
            </w:tcBorders>
          </w:tcPr>
          <w:p w14:paraId="7BDD6FE2" w14:textId="77777777" w:rsidR="00577081" w:rsidRPr="00190046" w:rsidRDefault="00577081" w:rsidP="00577081">
            <w:pPr>
              <w:pStyle w:val="TableReference"/>
              <w:spacing w:before="60"/>
              <w:rPr>
                <w:rFonts w:cs="Calibri"/>
                <w:color w:val="7030A0"/>
                <w:sz w:val="14"/>
              </w:rPr>
            </w:pPr>
          </w:p>
        </w:tc>
        <w:tc>
          <w:tcPr>
            <w:tcW w:w="8934" w:type="dxa"/>
            <w:gridSpan w:val="11"/>
            <w:tcBorders>
              <w:left w:val="single" w:sz="2" w:space="0" w:color="auto"/>
            </w:tcBorders>
          </w:tcPr>
          <w:p w14:paraId="721D7343" w14:textId="6004EBA8" w:rsidR="00577081" w:rsidRPr="00190046" w:rsidRDefault="00577081" w:rsidP="00577081">
            <w:pPr>
              <w:pStyle w:val="TableText"/>
              <w:tabs>
                <w:tab w:val="left" w:pos="3306"/>
              </w:tabs>
              <w:spacing w:before="60" w:after="60"/>
              <w:jc w:val="both"/>
              <w:rPr>
                <w:rFonts w:cs="Calibri"/>
                <w:lang w:eastAsia="en-AU"/>
              </w:rPr>
            </w:pPr>
            <w:r w:rsidRPr="00190046">
              <w:rPr>
                <w:rFonts w:cs="Calibri"/>
                <w:lang w:eastAsia="en-AU"/>
              </w:rPr>
              <w:t>On 7 January 202</w:t>
            </w:r>
            <w:r>
              <w:rPr>
                <w:rFonts w:cs="Calibri"/>
                <w:lang w:eastAsia="en-AU"/>
              </w:rPr>
              <w:t>3</w:t>
            </w:r>
            <w:r w:rsidRPr="00190046">
              <w:rPr>
                <w:rFonts w:cs="Calibri"/>
                <w:lang w:eastAsia="en-AU"/>
              </w:rPr>
              <w:t>, a restructuring of administrative arrangements occurred between ‘</w:t>
            </w:r>
            <w:r w:rsidRPr="00190046">
              <w:t>Burley Griffin</w:t>
            </w:r>
            <w:r w:rsidRPr="00190046">
              <w:rPr>
                <w:rFonts w:cs="Calibri"/>
                <w:lang w:eastAsia="en-AU"/>
              </w:rPr>
              <w:t xml:space="preserve"> Agency’ and ABC Directorate involving a Heritage and Environment division. </w:t>
            </w:r>
            <w:r w:rsidRPr="002D37D5">
              <w:rPr>
                <w:rFonts w:cs="Calibri"/>
                <w:strike/>
                <w:color w:val="FF0000"/>
                <w:lang w:eastAsia="en-AU"/>
              </w:rPr>
              <w:t>Please</w:t>
            </w:r>
            <w:r w:rsidRPr="00190046">
              <w:rPr>
                <w:rFonts w:cs="Calibri"/>
                <w:lang w:eastAsia="en-AU"/>
              </w:rPr>
              <w:t xml:space="preserve"> </w:t>
            </w:r>
            <w:r>
              <w:rPr>
                <w:rFonts w:cs="Calibri"/>
                <w:lang w:eastAsia="en-AU"/>
              </w:rPr>
              <w:t>R</w:t>
            </w:r>
            <w:r w:rsidRPr="00190046">
              <w:rPr>
                <w:rFonts w:cs="Calibri"/>
                <w:lang w:eastAsia="en-AU"/>
              </w:rPr>
              <w:t xml:space="preserve">efer to </w:t>
            </w:r>
            <w:r w:rsidRPr="00190046">
              <w:rPr>
                <w:rFonts w:cs="Calibri"/>
                <w:iCs/>
                <w:lang w:eastAsia="en-AU"/>
              </w:rPr>
              <w:t>Note 30</w:t>
            </w:r>
            <w:r w:rsidRPr="00190046">
              <w:rPr>
                <w:rFonts w:cs="Calibri"/>
                <w:i/>
                <w:lang w:eastAsia="en-AU"/>
              </w:rPr>
              <w:t xml:space="preserve">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p>
        </w:tc>
      </w:tr>
      <w:tr w:rsidR="00577081" w:rsidRPr="00CF7E1B" w14:paraId="3B8815C2" w14:textId="6EDBB67E"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831"/>
        </w:trPr>
        <w:tc>
          <w:tcPr>
            <w:tcW w:w="1557" w:type="dxa"/>
            <w:tcBorders>
              <w:left w:val="single" w:sz="2" w:space="0" w:color="auto"/>
              <w:right w:val="single" w:sz="2" w:space="0" w:color="auto"/>
            </w:tcBorders>
          </w:tcPr>
          <w:p w14:paraId="660E39D2" w14:textId="77777777" w:rsidR="00577081" w:rsidRPr="00190046" w:rsidRDefault="00577081" w:rsidP="00577081">
            <w:pPr>
              <w:rPr>
                <w:rFonts w:cs="Calibri"/>
                <w:color w:val="7030A0"/>
                <w:sz w:val="14"/>
                <w:szCs w:val="14"/>
                <w:lang w:eastAsia="en-AU"/>
              </w:rPr>
            </w:pPr>
          </w:p>
        </w:tc>
        <w:tc>
          <w:tcPr>
            <w:tcW w:w="8934" w:type="dxa"/>
            <w:gridSpan w:val="11"/>
            <w:tcBorders>
              <w:left w:val="single" w:sz="2" w:space="0" w:color="auto"/>
            </w:tcBorders>
          </w:tcPr>
          <w:p w14:paraId="7DF4E200" w14:textId="207EB429" w:rsidR="00577081" w:rsidRPr="00190046" w:rsidRDefault="00577081" w:rsidP="00577081">
            <w:pPr>
              <w:spacing w:before="60"/>
              <w:jc w:val="both"/>
              <w:rPr>
                <w:rFonts w:cs="Calibri"/>
                <w:sz w:val="18"/>
                <w:szCs w:val="18"/>
                <w:lang w:eastAsia="en-AU"/>
              </w:rPr>
            </w:pPr>
            <w:r w:rsidRPr="00190046">
              <w:rPr>
                <w:rFonts w:cs="Calibri"/>
                <w:sz w:val="18"/>
                <w:szCs w:val="18"/>
                <w:lang w:eastAsia="en-AU"/>
              </w:rPr>
              <w:t>The following table shows the territorial income and expenses associated with the Heritage and Environment division recognised by ‘</w:t>
            </w:r>
            <w:r w:rsidRPr="00190046">
              <w:rPr>
                <w:sz w:val="18"/>
                <w:szCs w:val="18"/>
              </w:rPr>
              <w:t xml:space="preserve">Burley Griffin </w:t>
            </w:r>
            <w:r w:rsidRPr="00190046">
              <w:rPr>
                <w:rFonts w:cs="Calibri"/>
                <w:sz w:val="18"/>
                <w:szCs w:val="18"/>
                <w:lang w:eastAsia="en-AU"/>
              </w:rPr>
              <w:t>Agency’ for the year ended 30 June 202</w:t>
            </w:r>
            <w:r>
              <w:rPr>
                <w:rFonts w:cs="Calibri"/>
                <w:sz w:val="18"/>
                <w:szCs w:val="18"/>
                <w:lang w:eastAsia="en-AU"/>
              </w:rPr>
              <w:t>3</w:t>
            </w:r>
            <w:r w:rsidRPr="00190046">
              <w:rPr>
                <w:rFonts w:cs="Calibri"/>
                <w:sz w:val="18"/>
                <w:szCs w:val="18"/>
                <w:lang w:eastAsia="en-AU"/>
              </w:rPr>
              <w:t>. It also shows the income and expenses relating to when the division belonged to ABC Directorate. These income and expense figures were supplied by ABC Directorate and as such have been relied upon by ‘</w:t>
            </w:r>
            <w:r w:rsidRPr="00190046">
              <w:rPr>
                <w:sz w:val="18"/>
                <w:szCs w:val="18"/>
              </w:rPr>
              <w:t xml:space="preserve">Burley Griffin </w:t>
            </w:r>
            <w:r w:rsidRPr="00190046">
              <w:rPr>
                <w:rFonts w:cs="Calibri"/>
                <w:sz w:val="18"/>
                <w:szCs w:val="18"/>
                <w:lang w:eastAsia="en-AU"/>
              </w:rPr>
              <w:t>Agency’. Finally, the table shows the total territorial income and expenses of the division for the whole financial year.</w:t>
            </w:r>
            <w:r>
              <w:rPr>
                <w:rFonts w:cs="Calibri"/>
                <w:sz w:val="18"/>
                <w:szCs w:val="18"/>
                <w:lang w:eastAsia="en-AU"/>
              </w:rPr>
              <w:t xml:space="preserve"> </w:t>
            </w:r>
          </w:p>
        </w:tc>
      </w:tr>
      <w:tr w:rsidR="00F00C95" w:rsidRPr="00CF7E1B" w14:paraId="6438982F"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1195"/>
        </w:trPr>
        <w:tc>
          <w:tcPr>
            <w:tcW w:w="1557" w:type="dxa"/>
            <w:tcBorders>
              <w:left w:val="single" w:sz="2" w:space="0" w:color="auto"/>
            </w:tcBorders>
          </w:tcPr>
          <w:p w14:paraId="75D1CE03" w14:textId="02F9B00C" w:rsidR="00F00C95" w:rsidRPr="00190046" w:rsidRDefault="00F00C95" w:rsidP="00F00C95">
            <w:pPr>
              <w:pStyle w:val="TableText"/>
              <w:tabs>
                <w:tab w:val="left" w:pos="3306"/>
              </w:tabs>
              <w:spacing w:before="240" w:after="240"/>
              <w:jc w:val="center"/>
              <w:rPr>
                <w:rFonts w:cs="Calibri"/>
                <w:b/>
                <w:bCs/>
                <w:lang w:eastAsia="en-AU"/>
              </w:rPr>
            </w:pPr>
            <w:r>
              <w:br w:type="page"/>
            </w:r>
            <w:r w:rsidRPr="00CF7E1B">
              <w:rPr>
                <w:rFonts w:cs="Calibri"/>
                <w:b/>
                <w:bCs/>
              </w:rPr>
              <w:br w:type="page"/>
            </w:r>
            <w:r w:rsidRPr="006B468D">
              <w:rPr>
                <w:rFonts w:asciiTheme="minorHAnsi" w:hAnsiTheme="minorHAnsi" w:cstheme="minorHAnsi"/>
                <w:b/>
                <w:bCs/>
                <w:color w:val="7030A0"/>
                <w:sz w:val="22"/>
                <w:szCs w:val="22"/>
              </w:rPr>
              <w:t>Reference</w:t>
            </w:r>
          </w:p>
        </w:tc>
        <w:tc>
          <w:tcPr>
            <w:tcW w:w="8934" w:type="dxa"/>
            <w:gridSpan w:val="11"/>
            <w:tcBorders>
              <w:left w:val="single" w:sz="2" w:space="0" w:color="auto"/>
            </w:tcBorders>
          </w:tcPr>
          <w:p w14:paraId="7B721FBD" w14:textId="3FE37E12" w:rsidR="00F00C95" w:rsidRPr="00190046" w:rsidRDefault="00F00C95" w:rsidP="00F00C95">
            <w:pPr>
              <w:pStyle w:val="TableText"/>
              <w:tabs>
                <w:tab w:val="left" w:pos="3306"/>
              </w:tabs>
              <w:spacing w:before="240" w:after="240"/>
              <w:rPr>
                <w:rFonts w:cs="Calibri"/>
                <w:b/>
                <w:bCs/>
                <w:lang w:eastAsia="en-AU"/>
              </w:rPr>
            </w:pPr>
            <w:r w:rsidRPr="00190046">
              <w:rPr>
                <w:rFonts w:ascii="Arial" w:hAnsi="Arial" w:cs="Arial"/>
                <w:b/>
                <w:sz w:val="32"/>
                <w:szCs w:val="32"/>
                <w:lang w:eastAsia="en-AU"/>
              </w:rPr>
              <w:t>NOTE 52.</w:t>
            </w:r>
            <w:r>
              <w:rPr>
                <w:rFonts w:ascii="Arial" w:hAnsi="Arial" w:cs="Arial"/>
                <w:b/>
                <w:sz w:val="32"/>
                <w:szCs w:val="32"/>
                <w:lang w:eastAsia="en-AU"/>
              </w:rPr>
              <w:t xml:space="preserve"> </w:t>
            </w:r>
            <w:r w:rsidRPr="00190046">
              <w:rPr>
                <w:rFonts w:ascii="Arial" w:hAnsi="Arial" w:cs="Arial"/>
                <w:b/>
                <w:sz w:val="32"/>
                <w:szCs w:val="32"/>
                <w:lang w:eastAsia="en-AU"/>
              </w:rPr>
              <w:t xml:space="preserve"> RESTRUCTURE OF ADMINISTRATIVE ARRANGEMENTS </w:t>
            </w:r>
            <w:r w:rsidRPr="00190046">
              <w:rPr>
                <w:rFonts w:ascii="Arial" w:hAnsi="Arial" w:cs="Arial"/>
                <w:b/>
                <w:sz w:val="32"/>
                <w:szCs w:val="32"/>
              </w:rPr>
              <w:t xml:space="preserve">– </w:t>
            </w:r>
            <w:r w:rsidRPr="00190046">
              <w:rPr>
                <w:rFonts w:ascii="Arial" w:hAnsi="Arial" w:cs="Arial"/>
                <w:b/>
                <w:sz w:val="32"/>
                <w:szCs w:val="32"/>
                <w:lang w:eastAsia="en-AU"/>
              </w:rPr>
              <w:t xml:space="preserve">TERRITORIAL – CONTINUED </w:t>
            </w:r>
          </w:p>
        </w:tc>
      </w:tr>
      <w:tr w:rsidR="00F00C95" w:rsidRPr="00CF7E1B" w14:paraId="2C159815" w14:textId="2E0B8424"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1141"/>
        </w:trPr>
        <w:tc>
          <w:tcPr>
            <w:tcW w:w="1557" w:type="dxa"/>
            <w:tcBorders>
              <w:left w:val="single" w:sz="2" w:space="0" w:color="auto"/>
              <w:right w:val="single" w:sz="2" w:space="0" w:color="auto"/>
            </w:tcBorders>
          </w:tcPr>
          <w:p w14:paraId="50240F39" w14:textId="77777777" w:rsidR="00F00C95" w:rsidRPr="00190046" w:rsidRDefault="00F00C95" w:rsidP="00F00C95">
            <w:pPr>
              <w:jc w:val="right"/>
              <w:rPr>
                <w:rFonts w:cs="Calibri"/>
                <w:color w:val="7030A0"/>
                <w:sz w:val="14"/>
                <w:szCs w:val="14"/>
                <w:lang w:eastAsia="en-AU"/>
              </w:rPr>
            </w:pPr>
          </w:p>
        </w:tc>
        <w:tc>
          <w:tcPr>
            <w:tcW w:w="3794" w:type="dxa"/>
            <w:tcBorders>
              <w:left w:val="single" w:sz="2" w:space="0" w:color="auto"/>
            </w:tcBorders>
            <w:shd w:val="clear" w:color="auto" w:fill="auto"/>
          </w:tcPr>
          <w:p w14:paraId="1268D8F9" w14:textId="77777777" w:rsidR="00F00C95" w:rsidRPr="00190046" w:rsidRDefault="00F00C95" w:rsidP="00F00C95">
            <w:pPr>
              <w:pStyle w:val="TableText"/>
              <w:tabs>
                <w:tab w:val="left" w:pos="3306"/>
              </w:tabs>
              <w:spacing w:before="0"/>
              <w:jc w:val="right"/>
              <w:rPr>
                <w:rFonts w:cs="Calibri"/>
                <w:b/>
                <w:bCs/>
                <w:lang w:eastAsia="en-AU"/>
              </w:rPr>
            </w:pPr>
          </w:p>
        </w:tc>
        <w:tc>
          <w:tcPr>
            <w:tcW w:w="2165" w:type="dxa"/>
            <w:gridSpan w:val="5"/>
            <w:shd w:val="clear" w:color="auto" w:fill="auto"/>
          </w:tcPr>
          <w:p w14:paraId="01AEACA4" w14:textId="77777777" w:rsidR="00E3629F" w:rsidRDefault="00E3629F" w:rsidP="00F00C95">
            <w:pPr>
              <w:jc w:val="right"/>
              <w:rPr>
                <w:rFonts w:cs="Calibri"/>
                <w:b/>
                <w:bCs/>
                <w:sz w:val="18"/>
                <w:szCs w:val="18"/>
                <w:lang w:eastAsia="en-AU"/>
              </w:rPr>
            </w:pPr>
          </w:p>
          <w:p w14:paraId="5B588513" w14:textId="30713298" w:rsidR="00F00C95" w:rsidRPr="00190046" w:rsidRDefault="00F00C95" w:rsidP="00F00C95">
            <w:pPr>
              <w:jc w:val="right"/>
              <w:rPr>
                <w:rFonts w:cs="Calibri"/>
                <w:b/>
                <w:bCs/>
                <w:sz w:val="18"/>
                <w:szCs w:val="18"/>
                <w:lang w:eastAsia="en-AU"/>
              </w:rPr>
            </w:pPr>
            <w:r w:rsidRPr="00190046">
              <w:rPr>
                <w:rFonts w:cs="Calibri"/>
                <w:b/>
                <w:bCs/>
                <w:sz w:val="18"/>
                <w:szCs w:val="18"/>
                <w:lang w:eastAsia="en-AU"/>
              </w:rPr>
              <w:t xml:space="preserve">Amounts Relating to when the Function was held by ABC Directorate July </w:t>
            </w:r>
            <w:r w:rsidRPr="00190046">
              <w:rPr>
                <w:rFonts w:cs="Calibri"/>
                <w:b/>
                <w:bCs/>
                <w:sz w:val="18"/>
                <w:szCs w:val="18"/>
              </w:rPr>
              <w:t>202</w:t>
            </w:r>
            <w:r>
              <w:rPr>
                <w:rFonts w:cs="Calibri"/>
                <w:b/>
                <w:bCs/>
                <w:sz w:val="18"/>
                <w:szCs w:val="18"/>
              </w:rPr>
              <w:t>2</w:t>
            </w:r>
            <w:r w:rsidRPr="00190046">
              <w:rPr>
                <w:rFonts w:cs="Calibri"/>
                <w:b/>
                <w:bCs/>
                <w:sz w:val="18"/>
                <w:szCs w:val="18"/>
                <w:lang w:eastAsia="en-AU"/>
              </w:rPr>
              <w:t xml:space="preserve"> to Jan </w:t>
            </w:r>
            <w:r w:rsidRPr="00190046">
              <w:rPr>
                <w:rFonts w:cs="Calibri"/>
                <w:b/>
                <w:bCs/>
                <w:sz w:val="18"/>
                <w:szCs w:val="18"/>
              </w:rPr>
              <w:t>202</w:t>
            </w:r>
            <w:r>
              <w:rPr>
                <w:rFonts w:cs="Calibri"/>
                <w:b/>
                <w:bCs/>
                <w:sz w:val="18"/>
                <w:szCs w:val="18"/>
              </w:rPr>
              <w:t>3</w:t>
            </w:r>
          </w:p>
        </w:tc>
        <w:tc>
          <w:tcPr>
            <w:tcW w:w="1923" w:type="dxa"/>
            <w:gridSpan w:val="4"/>
            <w:shd w:val="clear" w:color="auto" w:fill="auto"/>
          </w:tcPr>
          <w:p w14:paraId="6DF601B7" w14:textId="44BB99A1" w:rsidR="00F00C95" w:rsidRPr="00190046" w:rsidRDefault="00F00C95" w:rsidP="00F00C95">
            <w:pPr>
              <w:jc w:val="right"/>
              <w:rPr>
                <w:rFonts w:cs="Calibri"/>
                <w:b/>
                <w:bCs/>
                <w:sz w:val="18"/>
                <w:szCs w:val="18"/>
                <w:lang w:eastAsia="en-AU"/>
              </w:rPr>
            </w:pPr>
            <w:r w:rsidRPr="00190046">
              <w:rPr>
                <w:rFonts w:cs="Calibri"/>
                <w:b/>
                <w:bCs/>
                <w:sz w:val="18"/>
                <w:szCs w:val="18"/>
                <w:lang w:eastAsia="en-AU"/>
              </w:rPr>
              <w:t xml:space="preserve">Amounts Relating to when the Function was held by ‘Burley Griffin Agency’ Jan </w:t>
            </w:r>
            <w:r w:rsidRPr="00190046">
              <w:rPr>
                <w:rFonts w:cs="Calibri"/>
                <w:b/>
                <w:bCs/>
                <w:sz w:val="18"/>
                <w:szCs w:val="18"/>
              </w:rPr>
              <w:t>202</w:t>
            </w:r>
            <w:r>
              <w:rPr>
                <w:rFonts w:cs="Calibri"/>
                <w:b/>
                <w:bCs/>
                <w:sz w:val="18"/>
                <w:szCs w:val="18"/>
              </w:rPr>
              <w:t>3</w:t>
            </w:r>
            <w:r w:rsidRPr="00190046">
              <w:rPr>
                <w:rFonts w:cs="Calibri"/>
                <w:b/>
                <w:bCs/>
                <w:sz w:val="18"/>
                <w:szCs w:val="18"/>
                <w:lang w:eastAsia="en-AU"/>
              </w:rPr>
              <w:t xml:space="preserve"> to June </w:t>
            </w:r>
            <w:r w:rsidRPr="00190046">
              <w:rPr>
                <w:rFonts w:cs="Calibri"/>
                <w:b/>
                <w:bCs/>
                <w:sz w:val="18"/>
                <w:szCs w:val="18"/>
              </w:rPr>
              <w:t>202</w:t>
            </w:r>
            <w:r>
              <w:rPr>
                <w:rFonts w:cs="Calibri"/>
                <w:b/>
                <w:bCs/>
                <w:sz w:val="18"/>
                <w:szCs w:val="18"/>
              </w:rPr>
              <w:t>3</w:t>
            </w:r>
          </w:p>
        </w:tc>
        <w:tc>
          <w:tcPr>
            <w:tcW w:w="1052" w:type="dxa"/>
            <w:shd w:val="clear" w:color="auto" w:fill="auto"/>
          </w:tcPr>
          <w:p w14:paraId="1B811F0C" w14:textId="77777777" w:rsidR="00E3629F" w:rsidRDefault="00E3629F" w:rsidP="00F00C95">
            <w:pPr>
              <w:pStyle w:val="TableText"/>
              <w:tabs>
                <w:tab w:val="left" w:pos="3306"/>
              </w:tabs>
              <w:spacing w:before="0"/>
              <w:jc w:val="right"/>
              <w:rPr>
                <w:rFonts w:cs="Calibri"/>
                <w:b/>
                <w:bCs/>
                <w:lang w:eastAsia="en-AU"/>
              </w:rPr>
            </w:pPr>
          </w:p>
          <w:p w14:paraId="2578076E" w14:textId="77777777" w:rsidR="00E3629F" w:rsidRDefault="00E3629F" w:rsidP="00F00C95">
            <w:pPr>
              <w:pStyle w:val="TableText"/>
              <w:tabs>
                <w:tab w:val="left" w:pos="3306"/>
              </w:tabs>
              <w:spacing w:before="0"/>
              <w:jc w:val="right"/>
              <w:rPr>
                <w:rFonts w:cs="Calibri"/>
                <w:b/>
                <w:bCs/>
                <w:lang w:eastAsia="en-AU"/>
              </w:rPr>
            </w:pPr>
          </w:p>
          <w:p w14:paraId="0F477C41" w14:textId="77777777" w:rsidR="00E3629F" w:rsidRDefault="00E3629F" w:rsidP="00F00C95">
            <w:pPr>
              <w:pStyle w:val="TableText"/>
              <w:tabs>
                <w:tab w:val="left" w:pos="3306"/>
              </w:tabs>
              <w:spacing w:before="0"/>
              <w:jc w:val="right"/>
              <w:rPr>
                <w:rFonts w:cs="Calibri"/>
                <w:b/>
                <w:bCs/>
                <w:lang w:eastAsia="en-AU"/>
              </w:rPr>
            </w:pPr>
          </w:p>
          <w:p w14:paraId="7CA23164" w14:textId="08C1D650" w:rsidR="00F00C95" w:rsidRDefault="00F00C95" w:rsidP="00F00C95">
            <w:pPr>
              <w:pStyle w:val="TableText"/>
              <w:tabs>
                <w:tab w:val="left" w:pos="3306"/>
              </w:tabs>
              <w:spacing w:before="0"/>
              <w:jc w:val="right"/>
              <w:rPr>
                <w:rFonts w:cs="Calibri"/>
                <w:b/>
                <w:bCs/>
                <w:lang w:eastAsia="en-AU"/>
              </w:rPr>
            </w:pPr>
            <w:r w:rsidRPr="00190046">
              <w:rPr>
                <w:rFonts w:cs="Calibri"/>
                <w:b/>
                <w:bCs/>
                <w:lang w:eastAsia="en-AU"/>
              </w:rPr>
              <w:t>Total</w:t>
            </w:r>
            <w:r>
              <w:rPr>
                <w:rFonts w:cs="Calibri"/>
                <w:b/>
                <w:bCs/>
                <w:lang w:eastAsia="en-AU"/>
              </w:rPr>
              <w:t xml:space="preserve">    </w:t>
            </w:r>
          </w:p>
          <w:p w14:paraId="4E0F57F3" w14:textId="14B3265E" w:rsidR="00F00C95" w:rsidRPr="00190046" w:rsidRDefault="00F00C95" w:rsidP="00F00C95">
            <w:pPr>
              <w:pStyle w:val="TableText"/>
              <w:tabs>
                <w:tab w:val="left" w:pos="3306"/>
              </w:tabs>
              <w:spacing w:before="0"/>
              <w:jc w:val="right"/>
              <w:rPr>
                <w:rFonts w:cs="Calibri"/>
                <w:b/>
                <w:bCs/>
                <w:lang w:eastAsia="en-AU"/>
              </w:rPr>
            </w:pPr>
            <w:r>
              <w:rPr>
                <w:rFonts w:cs="Calibri"/>
                <w:b/>
                <w:bCs/>
                <w:lang w:eastAsia="en-AU"/>
              </w:rPr>
              <w:t xml:space="preserve">  </w:t>
            </w:r>
            <w:r w:rsidRPr="00190046">
              <w:rPr>
                <w:rFonts w:cs="Calibri"/>
                <w:b/>
                <w:bCs/>
              </w:rPr>
              <w:t>202</w:t>
            </w:r>
            <w:r>
              <w:rPr>
                <w:rFonts w:cs="Calibri"/>
                <w:b/>
                <w:bCs/>
              </w:rPr>
              <w:t>3</w:t>
            </w:r>
          </w:p>
          <w:p w14:paraId="11ACC531" w14:textId="794DD08E" w:rsidR="00F00C95" w:rsidRPr="00190046" w:rsidRDefault="00F00C95" w:rsidP="00F00C95">
            <w:pPr>
              <w:pStyle w:val="TableText"/>
              <w:tabs>
                <w:tab w:val="left" w:pos="3306"/>
              </w:tabs>
              <w:spacing w:before="0"/>
              <w:jc w:val="right"/>
              <w:rPr>
                <w:rFonts w:cs="Calibri"/>
                <w:b/>
                <w:bCs/>
                <w:lang w:eastAsia="en-AU"/>
              </w:rPr>
            </w:pPr>
          </w:p>
        </w:tc>
      </w:tr>
      <w:tr w:rsidR="00F00C95" w:rsidRPr="00CF7E1B" w14:paraId="0876E790" w14:textId="27F6D64E"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227"/>
        </w:trPr>
        <w:tc>
          <w:tcPr>
            <w:tcW w:w="1557" w:type="dxa"/>
            <w:tcBorders>
              <w:left w:val="single" w:sz="2" w:space="0" w:color="auto"/>
              <w:right w:val="single" w:sz="2" w:space="0" w:color="auto"/>
            </w:tcBorders>
          </w:tcPr>
          <w:p w14:paraId="2E494A12"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4CAB57F9" w14:textId="77777777" w:rsidR="00F00C95" w:rsidRPr="00190046" w:rsidRDefault="00F00C95" w:rsidP="00F00C95">
            <w:pPr>
              <w:pStyle w:val="TableText"/>
              <w:tabs>
                <w:tab w:val="left" w:pos="3306"/>
              </w:tabs>
              <w:rPr>
                <w:rFonts w:cs="Calibri"/>
                <w:b/>
                <w:bCs/>
                <w:lang w:eastAsia="en-AU"/>
              </w:rPr>
            </w:pPr>
          </w:p>
        </w:tc>
        <w:tc>
          <w:tcPr>
            <w:tcW w:w="2165" w:type="dxa"/>
            <w:gridSpan w:val="5"/>
            <w:shd w:val="clear" w:color="auto" w:fill="auto"/>
            <w:vAlign w:val="bottom"/>
          </w:tcPr>
          <w:p w14:paraId="645AD794" w14:textId="77777777" w:rsidR="00F00C95" w:rsidRPr="00190046" w:rsidRDefault="00F00C95" w:rsidP="00F00C95">
            <w:pPr>
              <w:pStyle w:val="TableText"/>
              <w:tabs>
                <w:tab w:val="left" w:pos="3306"/>
              </w:tabs>
              <w:spacing w:before="0"/>
              <w:jc w:val="right"/>
              <w:rPr>
                <w:rFonts w:cs="Calibri"/>
                <w:b/>
                <w:bCs/>
                <w:lang w:eastAsia="en-AU"/>
              </w:rPr>
            </w:pPr>
            <w:r w:rsidRPr="00190046">
              <w:rPr>
                <w:rFonts w:cs="Calibri"/>
                <w:b/>
                <w:bCs/>
                <w:lang w:eastAsia="en-AU"/>
              </w:rPr>
              <w:t>$’000</w:t>
            </w:r>
          </w:p>
        </w:tc>
        <w:tc>
          <w:tcPr>
            <w:tcW w:w="1923" w:type="dxa"/>
            <w:gridSpan w:val="4"/>
            <w:shd w:val="clear" w:color="auto" w:fill="auto"/>
            <w:vAlign w:val="bottom"/>
          </w:tcPr>
          <w:p w14:paraId="0C0D26BB" w14:textId="77777777" w:rsidR="00F00C95" w:rsidRPr="00190046" w:rsidRDefault="00F00C95" w:rsidP="00F00C95">
            <w:pPr>
              <w:pStyle w:val="TableText"/>
              <w:tabs>
                <w:tab w:val="left" w:pos="3306"/>
              </w:tabs>
              <w:spacing w:before="0"/>
              <w:jc w:val="right"/>
              <w:rPr>
                <w:rFonts w:cs="Calibri"/>
                <w:b/>
                <w:bCs/>
                <w:lang w:eastAsia="en-AU"/>
              </w:rPr>
            </w:pPr>
            <w:r w:rsidRPr="00190046">
              <w:rPr>
                <w:rFonts w:cs="Calibri"/>
                <w:b/>
                <w:bCs/>
                <w:lang w:eastAsia="en-AU"/>
              </w:rPr>
              <w:t>$’000</w:t>
            </w:r>
          </w:p>
        </w:tc>
        <w:tc>
          <w:tcPr>
            <w:tcW w:w="1052" w:type="dxa"/>
            <w:shd w:val="clear" w:color="auto" w:fill="auto"/>
            <w:vAlign w:val="bottom"/>
          </w:tcPr>
          <w:p w14:paraId="6F937EDD" w14:textId="77777777" w:rsidR="00F00C95" w:rsidRPr="00190046" w:rsidRDefault="00F00C95" w:rsidP="00F00C95">
            <w:pPr>
              <w:pStyle w:val="TableText"/>
              <w:tabs>
                <w:tab w:val="left" w:pos="3306"/>
              </w:tabs>
              <w:spacing w:before="0"/>
              <w:jc w:val="right"/>
              <w:rPr>
                <w:rFonts w:cs="Calibri"/>
                <w:b/>
                <w:bCs/>
                <w:lang w:eastAsia="en-AU"/>
              </w:rPr>
            </w:pPr>
            <w:r w:rsidRPr="00190046">
              <w:rPr>
                <w:rFonts w:cs="Calibri"/>
                <w:b/>
                <w:bCs/>
                <w:lang w:eastAsia="en-AU"/>
              </w:rPr>
              <w:t>$’000</w:t>
            </w:r>
          </w:p>
        </w:tc>
      </w:tr>
      <w:tr w:rsidR="00F00C95" w:rsidRPr="00CF7E1B" w14:paraId="2058AEDD" w14:textId="5B93D70E"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549E3BC7"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55683189"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Income</w:t>
            </w:r>
          </w:p>
        </w:tc>
        <w:tc>
          <w:tcPr>
            <w:tcW w:w="2165" w:type="dxa"/>
            <w:gridSpan w:val="5"/>
            <w:shd w:val="clear" w:color="auto" w:fill="auto"/>
            <w:vAlign w:val="bottom"/>
          </w:tcPr>
          <w:p w14:paraId="1941325C"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shd w:val="clear" w:color="auto" w:fill="auto"/>
            <w:vAlign w:val="bottom"/>
          </w:tcPr>
          <w:p w14:paraId="7535A1E0" w14:textId="77777777" w:rsidR="00F00C95" w:rsidRPr="00190046" w:rsidRDefault="00F00C95" w:rsidP="00F00C95">
            <w:pPr>
              <w:pStyle w:val="TableText"/>
              <w:tabs>
                <w:tab w:val="left" w:pos="3306"/>
              </w:tabs>
              <w:jc w:val="right"/>
              <w:rPr>
                <w:rFonts w:cs="Calibri"/>
                <w:b/>
                <w:bCs/>
                <w:lang w:eastAsia="en-AU"/>
              </w:rPr>
            </w:pPr>
          </w:p>
        </w:tc>
        <w:tc>
          <w:tcPr>
            <w:tcW w:w="1052" w:type="dxa"/>
            <w:shd w:val="clear" w:color="auto" w:fill="auto"/>
            <w:vAlign w:val="bottom"/>
          </w:tcPr>
          <w:p w14:paraId="258FFFE5"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645566C5" w14:textId="21C59BD1"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05391062"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793626A3" w14:textId="77777777" w:rsidR="00F00C95" w:rsidRPr="00190046" w:rsidRDefault="00F00C95" w:rsidP="00F00C95">
            <w:pPr>
              <w:pStyle w:val="TableText"/>
              <w:tabs>
                <w:tab w:val="left" w:pos="3306"/>
              </w:tabs>
              <w:rPr>
                <w:rFonts w:cs="Calibri"/>
                <w:bCs/>
                <w:lang w:eastAsia="en-AU"/>
              </w:rPr>
            </w:pPr>
            <w:r w:rsidRPr="00190046">
              <w:rPr>
                <w:rFonts w:cs="Calibri"/>
                <w:bCs/>
                <w:lang w:eastAsia="en-AU"/>
              </w:rPr>
              <w:t>Payment for Expenses on Behalf of the Territory</w:t>
            </w:r>
          </w:p>
        </w:tc>
        <w:tc>
          <w:tcPr>
            <w:tcW w:w="2165" w:type="dxa"/>
            <w:gridSpan w:val="5"/>
            <w:tcBorders>
              <w:bottom w:val="single" w:sz="2" w:space="0" w:color="auto"/>
            </w:tcBorders>
            <w:shd w:val="clear" w:color="auto" w:fill="auto"/>
            <w:vAlign w:val="bottom"/>
          </w:tcPr>
          <w:p w14:paraId="2D752D68" w14:textId="75CC7A8F" w:rsidR="00F00C95" w:rsidRPr="00190046" w:rsidRDefault="00F00C95" w:rsidP="00F00C95">
            <w:pPr>
              <w:pStyle w:val="TableText"/>
              <w:tabs>
                <w:tab w:val="left" w:pos="3306"/>
              </w:tabs>
              <w:jc w:val="right"/>
              <w:rPr>
                <w:rFonts w:cs="Calibri"/>
                <w:bCs/>
                <w:lang w:eastAsia="en-AU"/>
              </w:rPr>
            </w:pPr>
          </w:p>
        </w:tc>
        <w:tc>
          <w:tcPr>
            <w:tcW w:w="1923" w:type="dxa"/>
            <w:gridSpan w:val="4"/>
            <w:tcBorders>
              <w:bottom w:val="single" w:sz="2" w:space="0" w:color="auto"/>
            </w:tcBorders>
            <w:shd w:val="clear" w:color="auto" w:fill="auto"/>
            <w:vAlign w:val="bottom"/>
          </w:tcPr>
          <w:p w14:paraId="035BC1BB" w14:textId="0A40DF8A" w:rsidR="00F00C95" w:rsidRPr="00190046" w:rsidRDefault="00F00C95" w:rsidP="00F00C95">
            <w:pPr>
              <w:pStyle w:val="TableText"/>
              <w:tabs>
                <w:tab w:val="left" w:pos="3306"/>
              </w:tabs>
              <w:jc w:val="right"/>
              <w:rPr>
                <w:rFonts w:cs="Calibri"/>
                <w:bCs/>
                <w:lang w:eastAsia="en-AU"/>
              </w:rPr>
            </w:pPr>
          </w:p>
        </w:tc>
        <w:tc>
          <w:tcPr>
            <w:tcW w:w="1052" w:type="dxa"/>
            <w:tcBorders>
              <w:bottom w:val="single" w:sz="2" w:space="0" w:color="auto"/>
            </w:tcBorders>
            <w:shd w:val="clear" w:color="auto" w:fill="auto"/>
            <w:vAlign w:val="bottom"/>
          </w:tcPr>
          <w:p w14:paraId="7223D954" w14:textId="4502749F" w:rsidR="00F00C95" w:rsidRPr="00190046" w:rsidRDefault="00F00C95" w:rsidP="00F00C95">
            <w:pPr>
              <w:pStyle w:val="TableText"/>
              <w:tabs>
                <w:tab w:val="left" w:pos="3306"/>
              </w:tabs>
              <w:jc w:val="right"/>
              <w:rPr>
                <w:rFonts w:cs="Calibri"/>
                <w:bCs/>
                <w:lang w:eastAsia="en-AU"/>
              </w:rPr>
            </w:pPr>
          </w:p>
        </w:tc>
      </w:tr>
      <w:tr w:rsidR="00F00C95" w:rsidRPr="00CF7E1B" w14:paraId="0354C5EE" w14:textId="133F191F"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3B548C20"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35908B6E" w14:textId="1B1FB969" w:rsidR="00F00C95" w:rsidRPr="00190046" w:rsidRDefault="00F00C95" w:rsidP="00F00C95">
            <w:pPr>
              <w:pStyle w:val="TableText"/>
              <w:tabs>
                <w:tab w:val="left" w:pos="3306"/>
              </w:tabs>
              <w:rPr>
                <w:rFonts w:cs="Calibri"/>
                <w:b/>
                <w:bCs/>
                <w:lang w:eastAsia="en-AU"/>
              </w:rPr>
            </w:pPr>
            <w:r w:rsidRPr="00190046">
              <w:rPr>
                <w:rFonts w:cs="Calibri"/>
                <w:b/>
                <w:bCs/>
                <w:lang w:eastAsia="en-AU"/>
              </w:rPr>
              <w:t>Total Income</w:t>
            </w:r>
          </w:p>
        </w:tc>
        <w:tc>
          <w:tcPr>
            <w:tcW w:w="2165" w:type="dxa"/>
            <w:gridSpan w:val="5"/>
            <w:tcBorders>
              <w:top w:val="single" w:sz="2" w:space="0" w:color="auto"/>
              <w:bottom w:val="single" w:sz="2" w:space="0" w:color="auto"/>
            </w:tcBorders>
            <w:shd w:val="clear" w:color="auto" w:fill="auto"/>
            <w:vAlign w:val="bottom"/>
          </w:tcPr>
          <w:p w14:paraId="0541D2B5" w14:textId="54B3BDED"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2" w:space="0" w:color="auto"/>
              <w:bottom w:val="single" w:sz="2" w:space="0" w:color="auto"/>
            </w:tcBorders>
            <w:shd w:val="clear" w:color="auto" w:fill="auto"/>
            <w:vAlign w:val="bottom"/>
          </w:tcPr>
          <w:p w14:paraId="493D11C4" w14:textId="0C91E967" w:rsidR="00F00C95" w:rsidRPr="00190046" w:rsidRDefault="00F00C95" w:rsidP="00F00C95">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shd w:val="clear" w:color="auto" w:fill="auto"/>
            <w:vAlign w:val="bottom"/>
          </w:tcPr>
          <w:p w14:paraId="46DF65E4" w14:textId="4086C074" w:rsidR="00F00C95" w:rsidRPr="00190046" w:rsidRDefault="00F00C95" w:rsidP="00F00C95">
            <w:pPr>
              <w:pStyle w:val="TableText"/>
              <w:tabs>
                <w:tab w:val="left" w:pos="3306"/>
              </w:tabs>
              <w:jc w:val="right"/>
              <w:rPr>
                <w:rFonts w:cs="Calibri"/>
                <w:b/>
                <w:bCs/>
                <w:lang w:eastAsia="en-AU"/>
              </w:rPr>
            </w:pPr>
          </w:p>
        </w:tc>
      </w:tr>
      <w:tr w:rsidR="00F00C95" w:rsidRPr="00CF7E1B" w14:paraId="41A5C5B6" w14:textId="5F31DE8D"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113"/>
        </w:trPr>
        <w:tc>
          <w:tcPr>
            <w:tcW w:w="1557" w:type="dxa"/>
            <w:tcBorders>
              <w:left w:val="single" w:sz="2" w:space="0" w:color="auto"/>
              <w:right w:val="single" w:sz="2" w:space="0" w:color="auto"/>
            </w:tcBorders>
          </w:tcPr>
          <w:p w14:paraId="6639F6BA"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58BB3169" w14:textId="77777777" w:rsidR="00F00C95" w:rsidRPr="00190046" w:rsidRDefault="00F00C95" w:rsidP="00F00C95">
            <w:pPr>
              <w:pStyle w:val="TableText"/>
              <w:tabs>
                <w:tab w:val="left" w:pos="3306"/>
              </w:tabs>
              <w:rPr>
                <w:rFonts w:cs="Calibri"/>
                <w:b/>
                <w:bCs/>
                <w:lang w:eastAsia="en-AU"/>
              </w:rPr>
            </w:pPr>
          </w:p>
        </w:tc>
        <w:tc>
          <w:tcPr>
            <w:tcW w:w="2165" w:type="dxa"/>
            <w:gridSpan w:val="5"/>
            <w:tcBorders>
              <w:top w:val="single" w:sz="2" w:space="0" w:color="auto"/>
            </w:tcBorders>
            <w:shd w:val="clear" w:color="auto" w:fill="auto"/>
            <w:vAlign w:val="bottom"/>
          </w:tcPr>
          <w:p w14:paraId="206372F2"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2" w:space="0" w:color="auto"/>
            </w:tcBorders>
            <w:shd w:val="clear" w:color="auto" w:fill="auto"/>
            <w:vAlign w:val="bottom"/>
          </w:tcPr>
          <w:p w14:paraId="223D73AD" w14:textId="77777777" w:rsidR="00F00C95" w:rsidRPr="00190046" w:rsidRDefault="00F00C95" w:rsidP="00F00C95">
            <w:pPr>
              <w:pStyle w:val="TableText"/>
              <w:tabs>
                <w:tab w:val="left" w:pos="3306"/>
              </w:tabs>
              <w:jc w:val="right"/>
              <w:rPr>
                <w:rFonts w:cs="Calibri"/>
                <w:b/>
                <w:bCs/>
                <w:lang w:eastAsia="en-AU"/>
              </w:rPr>
            </w:pPr>
          </w:p>
        </w:tc>
        <w:tc>
          <w:tcPr>
            <w:tcW w:w="1052" w:type="dxa"/>
            <w:tcBorders>
              <w:top w:val="single" w:sz="2" w:space="0" w:color="auto"/>
            </w:tcBorders>
            <w:shd w:val="clear" w:color="auto" w:fill="auto"/>
            <w:vAlign w:val="bottom"/>
          </w:tcPr>
          <w:p w14:paraId="2A8B6B72"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71206AFC" w14:textId="3523988D"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0F9EB408"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566D535F"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Expenses</w:t>
            </w:r>
          </w:p>
        </w:tc>
        <w:tc>
          <w:tcPr>
            <w:tcW w:w="2165" w:type="dxa"/>
            <w:gridSpan w:val="5"/>
            <w:shd w:val="clear" w:color="auto" w:fill="auto"/>
            <w:vAlign w:val="bottom"/>
          </w:tcPr>
          <w:p w14:paraId="3B2453C1"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shd w:val="clear" w:color="auto" w:fill="auto"/>
            <w:vAlign w:val="bottom"/>
          </w:tcPr>
          <w:p w14:paraId="7BADF0B2" w14:textId="77777777" w:rsidR="00F00C95" w:rsidRPr="00190046" w:rsidRDefault="00F00C95" w:rsidP="00F00C95">
            <w:pPr>
              <w:pStyle w:val="TableText"/>
              <w:tabs>
                <w:tab w:val="left" w:pos="3306"/>
              </w:tabs>
              <w:jc w:val="right"/>
              <w:rPr>
                <w:rFonts w:cs="Calibri"/>
                <w:b/>
                <w:bCs/>
                <w:lang w:eastAsia="en-AU"/>
              </w:rPr>
            </w:pPr>
          </w:p>
        </w:tc>
        <w:tc>
          <w:tcPr>
            <w:tcW w:w="1052" w:type="dxa"/>
            <w:shd w:val="clear" w:color="auto" w:fill="auto"/>
            <w:vAlign w:val="bottom"/>
          </w:tcPr>
          <w:p w14:paraId="5AF7D7D8"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32953A83" w14:textId="68978CB5"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03B52682"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5792FE80" w14:textId="77777777" w:rsidR="00F00C95" w:rsidRPr="00190046" w:rsidRDefault="00F00C95" w:rsidP="00F00C95">
            <w:pPr>
              <w:pStyle w:val="TableText"/>
              <w:tabs>
                <w:tab w:val="left" w:pos="3306"/>
              </w:tabs>
              <w:rPr>
                <w:rFonts w:cs="Calibri"/>
                <w:bCs/>
                <w:lang w:eastAsia="en-AU"/>
              </w:rPr>
            </w:pPr>
            <w:r w:rsidRPr="00190046">
              <w:rPr>
                <w:rFonts w:cs="Calibri"/>
                <w:bCs/>
                <w:lang w:eastAsia="en-AU"/>
              </w:rPr>
              <w:t>Grants and Purchased Services</w:t>
            </w:r>
          </w:p>
        </w:tc>
        <w:tc>
          <w:tcPr>
            <w:tcW w:w="2165" w:type="dxa"/>
            <w:gridSpan w:val="5"/>
            <w:tcBorders>
              <w:bottom w:val="single" w:sz="2" w:space="0" w:color="auto"/>
            </w:tcBorders>
            <w:shd w:val="clear" w:color="auto" w:fill="auto"/>
            <w:vAlign w:val="bottom"/>
          </w:tcPr>
          <w:p w14:paraId="3D3A53F6" w14:textId="38F4601B" w:rsidR="00F00C95" w:rsidRPr="00190046" w:rsidRDefault="00F00C95" w:rsidP="00F00C95">
            <w:pPr>
              <w:pStyle w:val="TableText"/>
              <w:tabs>
                <w:tab w:val="left" w:pos="3306"/>
              </w:tabs>
              <w:jc w:val="right"/>
              <w:rPr>
                <w:rFonts w:cs="Calibri"/>
                <w:bCs/>
                <w:lang w:eastAsia="en-AU"/>
              </w:rPr>
            </w:pPr>
          </w:p>
        </w:tc>
        <w:tc>
          <w:tcPr>
            <w:tcW w:w="1923" w:type="dxa"/>
            <w:gridSpan w:val="4"/>
            <w:tcBorders>
              <w:bottom w:val="single" w:sz="2" w:space="0" w:color="auto"/>
            </w:tcBorders>
            <w:shd w:val="clear" w:color="auto" w:fill="auto"/>
            <w:vAlign w:val="bottom"/>
          </w:tcPr>
          <w:p w14:paraId="01B3C795" w14:textId="63D68D37" w:rsidR="00F00C95" w:rsidRPr="00190046" w:rsidRDefault="00F00C95" w:rsidP="00F00C95">
            <w:pPr>
              <w:pStyle w:val="TableText"/>
              <w:tabs>
                <w:tab w:val="left" w:pos="3306"/>
              </w:tabs>
              <w:jc w:val="right"/>
              <w:rPr>
                <w:rFonts w:cs="Calibri"/>
                <w:bCs/>
                <w:lang w:eastAsia="en-AU"/>
              </w:rPr>
            </w:pPr>
          </w:p>
        </w:tc>
        <w:tc>
          <w:tcPr>
            <w:tcW w:w="1052" w:type="dxa"/>
            <w:tcBorders>
              <w:bottom w:val="single" w:sz="2" w:space="0" w:color="auto"/>
            </w:tcBorders>
            <w:shd w:val="clear" w:color="auto" w:fill="auto"/>
            <w:vAlign w:val="bottom"/>
          </w:tcPr>
          <w:p w14:paraId="68FC4FFB" w14:textId="0E8A1F11" w:rsidR="00F00C95" w:rsidRPr="00190046" w:rsidRDefault="00F00C95" w:rsidP="00F00C95">
            <w:pPr>
              <w:pStyle w:val="TableText"/>
              <w:tabs>
                <w:tab w:val="left" w:pos="3306"/>
              </w:tabs>
              <w:jc w:val="right"/>
              <w:rPr>
                <w:rFonts w:cs="Calibri"/>
                <w:bCs/>
                <w:lang w:eastAsia="en-AU"/>
              </w:rPr>
            </w:pPr>
          </w:p>
        </w:tc>
      </w:tr>
      <w:tr w:rsidR="00F00C95" w:rsidRPr="00CF7E1B" w14:paraId="27FDF65B" w14:textId="6198449B"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1FCBD4AE"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69AAD46D"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Total Expenses</w:t>
            </w:r>
          </w:p>
        </w:tc>
        <w:tc>
          <w:tcPr>
            <w:tcW w:w="2165" w:type="dxa"/>
            <w:gridSpan w:val="5"/>
            <w:tcBorders>
              <w:top w:val="single" w:sz="2" w:space="0" w:color="auto"/>
              <w:bottom w:val="single" w:sz="2" w:space="0" w:color="auto"/>
            </w:tcBorders>
            <w:shd w:val="clear" w:color="auto" w:fill="auto"/>
            <w:vAlign w:val="bottom"/>
          </w:tcPr>
          <w:p w14:paraId="59A442CC" w14:textId="67FCC910"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2" w:space="0" w:color="auto"/>
              <w:bottom w:val="single" w:sz="2" w:space="0" w:color="auto"/>
            </w:tcBorders>
            <w:shd w:val="clear" w:color="auto" w:fill="auto"/>
            <w:vAlign w:val="bottom"/>
          </w:tcPr>
          <w:p w14:paraId="0DA366DA" w14:textId="341D6D74" w:rsidR="00F00C95" w:rsidRPr="00190046" w:rsidRDefault="00F00C95" w:rsidP="00F00C95">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shd w:val="clear" w:color="auto" w:fill="auto"/>
            <w:vAlign w:val="bottom"/>
          </w:tcPr>
          <w:p w14:paraId="50AD6B66" w14:textId="1217BF95" w:rsidR="00F00C95" w:rsidRPr="00190046" w:rsidRDefault="00F00C95" w:rsidP="00F00C95">
            <w:pPr>
              <w:pStyle w:val="TableText"/>
              <w:tabs>
                <w:tab w:val="left" w:pos="3306"/>
              </w:tabs>
              <w:jc w:val="right"/>
              <w:rPr>
                <w:rFonts w:cs="Calibri"/>
                <w:b/>
                <w:bCs/>
                <w:lang w:eastAsia="en-AU"/>
              </w:rPr>
            </w:pPr>
          </w:p>
        </w:tc>
      </w:tr>
      <w:tr w:rsidR="00F00C95" w:rsidRPr="00CF7E1B" w14:paraId="5F74EDD8" w14:textId="1D1A3B1C"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vAlign w:val="center"/>
          </w:tcPr>
          <w:p w14:paraId="54E0D3C7" w14:textId="77777777" w:rsidR="00F00C95" w:rsidRPr="00190046" w:rsidRDefault="00F00C95" w:rsidP="00F00C95">
            <w:pPr>
              <w:rPr>
                <w:rFonts w:cs="Calibri"/>
                <w:color w:val="7030A0"/>
                <w:sz w:val="14"/>
                <w:szCs w:val="14"/>
                <w:lang w:eastAsia="en-AU"/>
              </w:rPr>
            </w:pPr>
          </w:p>
        </w:tc>
        <w:tc>
          <w:tcPr>
            <w:tcW w:w="8934" w:type="dxa"/>
            <w:gridSpan w:val="11"/>
            <w:tcBorders>
              <w:left w:val="single" w:sz="2" w:space="0" w:color="auto"/>
            </w:tcBorders>
          </w:tcPr>
          <w:p w14:paraId="125A73D2" w14:textId="73927138" w:rsidR="00F00C95" w:rsidRPr="00190046" w:rsidRDefault="00F00C95" w:rsidP="00F00C95">
            <w:pPr>
              <w:pStyle w:val="TableText"/>
              <w:spacing w:after="120"/>
              <w:rPr>
                <w:rFonts w:cs="Calibri"/>
                <w:lang w:eastAsia="en-AU"/>
              </w:rPr>
            </w:pPr>
            <w:r w:rsidRPr="00190046">
              <w:rPr>
                <w:rFonts w:cs="Calibri"/>
                <w:lang w:eastAsia="en-AU"/>
              </w:rPr>
              <w:t>Details of the Assets and Liabilities transferred are presented below.</w:t>
            </w:r>
          </w:p>
        </w:tc>
      </w:tr>
      <w:tr w:rsidR="00F00C95" w:rsidRPr="00CF7E1B" w14:paraId="71A3385A" w14:textId="2CE6E732"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281"/>
        </w:trPr>
        <w:tc>
          <w:tcPr>
            <w:tcW w:w="1557" w:type="dxa"/>
            <w:tcBorders>
              <w:left w:val="single" w:sz="2" w:space="0" w:color="auto"/>
              <w:right w:val="single" w:sz="2" w:space="0" w:color="auto"/>
            </w:tcBorders>
            <w:vAlign w:val="center"/>
          </w:tcPr>
          <w:p w14:paraId="7C6DFA08" w14:textId="1E5874F5" w:rsidR="00F00C95" w:rsidRPr="00190046" w:rsidRDefault="00F00C95" w:rsidP="00F00C95">
            <w:pPr>
              <w:pStyle w:val="TableReference"/>
              <w:spacing w:before="60"/>
              <w:rPr>
                <w:rFonts w:cs="Calibri"/>
                <w:color w:val="7030A0"/>
                <w:sz w:val="14"/>
                <w:lang w:eastAsia="en-AU"/>
              </w:rPr>
            </w:pPr>
            <w:r w:rsidRPr="00190046">
              <w:rPr>
                <w:rFonts w:cs="Calibri"/>
                <w:color w:val="7030A0"/>
                <w:sz w:val="14"/>
              </w:rPr>
              <w:t>AASB 1004.57</w:t>
            </w:r>
          </w:p>
        </w:tc>
        <w:tc>
          <w:tcPr>
            <w:tcW w:w="8934" w:type="dxa"/>
            <w:gridSpan w:val="11"/>
            <w:tcBorders>
              <w:left w:val="single" w:sz="2" w:space="0" w:color="auto"/>
            </w:tcBorders>
            <w:vAlign w:val="center"/>
          </w:tcPr>
          <w:p w14:paraId="31402DBA" w14:textId="34D6EB83" w:rsidR="00F00C95" w:rsidRPr="00190046" w:rsidRDefault="00F00C95" w:rsidP="00F00C95">
            <w:pPr>
              <w:pStyle w:val="TableText"/>
              <w:spacing w:before="0"/>
              <w:rPr>
                <w:rFonts w:cs="Calibri"/>
                <w:b/>
                <w:lang w:eastAsia="en-AU"/>
              </w:rPr>
            </w:pPr>
            <w:r w:rsidRPr="00190046">
              <w:rPr>
                <w:rFonts w:cs="Calibri"/>
                <w:b/>
                <w:lang w:eastAsia="en-AU"/>
              </w:rPr>
              <w:t>Restructures of Administrative Arrangements 202</w:t>
            </w:r>
            <w:r>
              <w:rPr>
                <w:rFonts w:cs="Calibri"/>
                <w:b/>
                <w:lang w:eastAsia="en-AU"/>
              </w:rPr>
              <w:t>1</w:t>
            </w:r>
            <w:r w:rsidRPr="00190046">
              <w:rPr>
                <w:rFonts w:cs="Calibri"/>
                <w:b/>
                <w:lang w:eastAsia="en-AU"/>
              </w:rPr>
              <w:t>-2</w:t>
            </w:r>
            <w:r>
              <w:rPr>
                <w:rFonts w:cs="Calibri"/>
                <w:b/>
                <w:lang w:eastAsia="en-AU"/>
              </w:rPr>
              <w:t>2</w:t>
            </w:r>
          </w:p>
        </w:tc>
      </w:tr>
      <w:tr w:rsidR="00F00C95" w:rsidRPr="00CF7E1B" w14:paraId="4B8A8BA8" w14:textId="0626F3C4"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567"/>
        </w:trPr>
        <w:tc>
          <w:tcPr>
            <w:tcW w:w="1557" w:type="dxa"/>
            <w:tcBorders>
              <w:left w:val="single" w:sz="2" w:space="0" w:color="auto"/>
              <w:right w:val="single" w:sz="2" w:space="0" w:color="auto"/>
            </w:tcBorders>
          </w:tcPr>
          <w:p w14:paraId="1DB5C5B1" w14:textId="77777777" w:rsidR="00F00C95" w:rsidRPr="00190046" w:rsidRDefault="00F00C95" w:rsidP="00F00C95">
            <w:pPr>
              <w:pStyle w:val="TableReference"/>
              <w:tabs>
                <w:tab w:val="left" w:pos="3306"/>
              </w:tabs>
              <w:spacing w:before="60"/>
              <w:rPr>
                <w:rFonts w:cs="Calibri"/>
                <w:color w:val="7030A0"/>
                <w:sz w:val="14"/>
                <w:lang w:eastAsia="en-AU"/>
              </w:rPr>
            </w:pPr>
          </w:p>
        </w:tc>
        <w:tc>
          <w:tcPr>
            <w:tcW w:w="8934" w:type="dxa"/>
            <w:gridSpan w:val="11"/>
            <w:tcBorders>
              <w:left w:val="single" w:sz="2" w:space="0" w:color="auto"/>
            </w:tcBorders>
          </w:tcPr>
          <w:p w14:paraId="1F626CB7" w14:textId="707733D5" w:rsidR="00F00C95" w:rsidRPr="00190046" w:rsidRDefault="00F00C95" w:rsidP="00F00C95">
            <w:pPr>
              <w:pStyle w:val="TableText"/>
              <w:tabs>
                <w:tab w:val="left" w:pos="3306"/>
              </w:tabs>
              <w:spacing w:before="60" w:after="60"/>
              <w:jc w:val="both"/>
              <w:rPr>
                <w:rFonts w:cs="Calibri"/>
                <w:lang w:eastAsia="en-AU"/>
              </w:rPr>
            </w:pPr>
            <w:r w:rsidRPr="00190046">
              <w:rPr>
                <w:rFonts w:cs="Calibri"/>
                <w:lang w:eastAsia="en-AU"/>
              </w:rPr>
              <w:t>On 1 June 202</w:t>
            </w:r>
            <w:r>
              <w:rPr>
                <w:rFonts w:cs="Calibri"/>
                <w:lang w:eastAsia="en-AU"/>
              </w:rPr>
              <w:t>2</w:t>
            </w:r>
            <w:r w:rsidRPr="00190046">
              <w:rPr>
                <w:rFonts w:cs="Calibri"/>
                <w:lang w:eastAsia="en-AU"/>
              </w:rPr>
              <w:t>, a restructuring of administrative arrangements occurred between ‘</w:t>
            </w:r>
            <w:r w:rsidRPr="00190046">
              <w:t xml:space="preserve">Burley Griffin </w:t>
            </w:r>
            <w:r w:rsidRPr="00190046">
              <w:rPr>
                <w:rFonts w:cs="Calibri"/>
                <w:lang w:eastAsia="en-AU"/>
              </w:rPr>
              <w:t>Agency’ and XYZ Directorate involving a Heritage division.</w:t>
            </w:r>
            <w:r>
              <w:rPr>
                <w:rFonts w:cs="Calibri"/>
                <w:lang w:eastAsia="en-AU"/>
              </w:rPr>
              <w:t xml:space="preserve"> </w:t>
            </w:r>
            <w:r w:rsidRPr="00190046">
              <w:rPr>
                <w:rFonts w:cs="Calibri"/>
                <w:lang w:eastAsia="en-AU"/>
              </w:rPr>
              <w:t xml:space="preserve">All Property, Plant and Equipment involved in this restructuring of administrative arrangement was transferred to Controlled and not to Territorial. </w:t>
            </w:r>
            <w:r w:rsidRPr="002D37D5">
              <w:rPr>
                <w:rFonts w:cs="Calibri"/>
                <w:strike/>
                <w:color w:val="FF0000"/>
                <w:lang w:eastAsia="en-AU"/>
              </w:rPr>
              <w:t>Please</w:t>
            </w:r>
            <w:r w:rsidRPr="00190046">
              <w:rPr>
                <w:rFonts w:cs="Calibri"/>
                <w:lang w:eastAsia="en-AU"/>
              </w:rPr>
              <w:t xml:space="preserve"> </w:t>
            </w:r>
            <w:r>
              <w:rPr>
                <w:rFonts w:cs="Calibri"/>
                <w:lang w:eastAsia="en-AU"/>
              </w:rPr>
              <w:t>R</w:t>
            </w:r>
            <w:r w:rsidRPr="00190046">
              <w:rPr>
                <w:rFonts w:cs="Calibri"/>
                <w:lang w:eastAsia="en-AU"/>
              </w:rPr>
              <w:t xml:space="preserve">efer to </w:t>
            </w:r>
            <w:r w:rsidRPr="00190046">
              <w:rPr>
                <w:rFonts w:cs="Calibri"/>
                <w:iCs/>
                <w:lang w:eastAsia="en-AU"/>
              </w:rPr>
              <w:t>Note 30</w:t>
            </w:r>
            <w:r w:rsidRPr="00190046">
              <w:rPr>
                <w:rFonts w:cs="Calibri"/>
                <w:i/>
                <w:lang w:eastAsia="en-AU"/>
              </w:rPr>
              <w:t xml:space="preserve">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r w:rsidRPr="00190046">
              <w:rPr>
                <w:rFonts w:cs="Calibri"/>
                <w:bCs/>
                <w:lang w:eastAsia="en-AU"/>
              </w:rPr>
              <w:t>.</w:t>
            </w:r>
          </w:p>
        </w:tc>
      </w:tr>
      <w:tr w:rsidR="00F00C95" w:rsidRPr="00CF7E1B" w14:paraId="1847E7EE" w14:textId="1DF15909"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255"/>
        </w:trPr>
        <w:tc>
          <w:tcPr>
            <w:tcW w:w="1557" w:type="dxa"/>
            <w:tcBorders>
              <w:left w:val="single" w:sz="2" w:space="0" w:color="auto"/>
              <w:right w:val="single" w:sz="2" w:space="0" w:color="auto"/>
            </w:tcBorders>
            <w:vAlign w:val="center"/>
          </w:tcPr>
          <w:p w14:paraId="1D1C7AEF" w14:textId="77777777" w:rsidR="00F00C95" w:rsidRPr="00190046" w:rsidRDefault="00F00C95" w:rsidP="00F00C95">
            <w:pPr>
              <w:rPr>
                <w:rFonts w:cs="Calibri"/>
                <w:color w:val="7030A0"/>
                <w:sz w:val="14"/>
                <w:szCs w:val="14"/>
                <w:lang w:eastAsia="en-AU"/>
              </w:rPr>
            </w:pPr>
          </w:p>
        </w:tc>
        <w:tc>
          <w:tcPr>
            <w:tcW w:w="8934" w:type="dxa"/>
            <w:gridSpan w:val="11"/>
            <w:tcBorders>
              <w:left w:val="single" w:sz="2" w:space="0" w:color="auto"/>
            </w:tcBorders>
            <w:vAlign w:val="center"/>
          </w:tcPr>
          <w:p w14:paraId="4EF17CB8" w14:textId="37625313" w:rsidR="00F00C95" w:rsidRPr="00190046" w:rsidRDefault="00F00C95" w:rsidP="00F00C95">
            <w:pPr>
              <w:jc w:val="both"/>
              <w:rPr>
                <w:rFonts w:cs="Calibri"/>
                <w:b/>
                <w:bCs/>
                <w:sz w:val="18"/>
                <w:szCs w:val="18"/>
                <w:lang w:eastAsia="en-AU"/>
              </w:rPr>
            </w:pPr>
            <w:r w:rsidRPr="00190046">
              <w:rPr>
                <w:rFonts w:cs="Calibri"/>
                <w:b/>
                <w:bCs/>
                <w:sz w:val="18"/>
                <w:szCs w:val="18"/>
                <w:lang w:eastAsia="en-AU"/>
              </w:rPr>
              <w:t>Income and Expenses</w:t>
            </w:r>
          </w:p>
        </w:tc>
      </w:tr>
      <w:tr w:rsidR="00F00C95" w:rsidRPr="00CF7E1B" w14:paraId="1553801E" w14:textId="214A7F81"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1022"/>
        </w:trPr>
        <w:tc>
          <w:tcPr>
            <w:tcW w:w="1557" w:type="dxa"/>
            <w:tcBorders>
              <w:left w:val="single" w:sz="2" w:space="0" w:color="auto"/>
              <w:right w:val="single" w:sz="2" w:space="0" w:color="auto"/>
            </w:tcBorders>
          </w:tcPr>
          <w:p w14:paraId="1999535B" w14:textId="77777777" w:rsidR="00F00C95" w:rsidRPr="00190046" w:rsidRDefault="00F00C95" w:rsidP="00F00C95">
            <w:pPr>
              <w:rPr>
                <w:rFonts w:cs="Calibri"/>
                <w:color w:val="7030A0"/>
                <w:sz w:val="14"/>
                <w:szCs w:val="14"/>
                <w:lang w:eastAsia="en-AU"/>
              </w:rPr>
            </w:pPr>
          </w:p>
        </w:tc>
        <w:tc>
          <w:tcPr>
            <w:tcW w:w="8934" w:type="dxa"/>
            <w:gridSpan w:val="11"/>
            <w:tcBorders>
              <w:left w:val="single" w:sz="2" w:space="0" w:color="auto"/>
            </w:tcBorders>
          </w:tcPr>
          <w:p w14:paraId="420A377A" w14:textId="62B804C3" w:rsidR="00F00C95" w:rsidRPr="00190046" w:rsidRDefault="00F00C95" w:rsidP="00F00C95">
            <w:pPr>
              <w:jc w:val="both"/>
              <w:rPr>
                <w:rFonts w:cs="Calibri"/>
                <w:sz w:val="18"/>
                <w:szCs w:val="18"/>
                <w:lang w:eastAsia="en-AU"/>
              </w:rPr>
            </w:pPr>
            <w:r w:rsidRPr="00190046">
              <w:rPr>
                <w:rFonts w:cs="Calibri"/>
                <w:sz w:val="18"/>
                <w:szCs w:val="18"/>
                <w:lang w:eastAsia="en-AU"/>
              </w:rPr>
              <w:t>The following table shows the territorial income and expense items associated with the Heritage division recognised by ‘</w:t>
            </w:r>
            <w:r w:rsidRPr="00190046">
              <w:rPr>
                <w:sz w:val="18"/>
                <w:szCs w:val="18"/>
              </w:rPr>
              <w:t xml:space="preserve">Burley Griffin </w:t>
            </w:r>
            <w:r w:rsidRPr="00190046">
              <w:rPr>
                <w:rFonts w:cs="Calibri"/>
                <w:sz w:val="18"/>
                <w:szCs w:val="18"/>
                <w:lang w:eastAsia="en-AU"/>
              </w:rPr>
              <w:t>Agency’ for the year ended 30 June 202</w:t>
            </w:r>
            <w:r>
              <w:rPr>
                <w:rFonts w:cs="Calibri"/>
                <w:sz w:val="18"/>
                <w:szCs w:val="18"/>
                <w:lang w:eastAsia="en-AU"/>
              </w:rPr>
              <w:t>2</w:t>
            </w:r>
            <w:r w:rsidRPr="00190046">
              <w:rPr>
                <w:rFonts w:cs="Calibri"/>
                <w:sz w:val="18"/>
                <w:szCs w:val="18"/>
                <w:lang w:eastAsia="en-AU"/>
              </w:rPr>
              <w:t>.</w:t>
            </w:r>
            <w:r>
              <w:rPr>
                <w:rFonts w:cs="Calibri"/>
                <w:sz w:val="18"/>
                <w:szCs w:val="18"/>
                <w:lang w:eastAsia="en-AU"/>
              </w:rPr>
              <w:t xml:space="preserve"> </w:t>
            </w:r>
            <w:r w:rsidRPr="00190046">
              <w:rPr>
                <w:rFonts w:cs="Calibri"/>
                <w:sz w:val="18"/>
                <w:szCs w:val="18"/>
                <w:lang w:eastAsia="en-AU"/>
              </w:rPr>
              <w:t>It also shows the income and expenses relating to when the division belonged to XYZ Directorate.</w:t>
            </w:r>
            <w:r>
              <w:rPr>
                <w:rFonts w:cs="Calibri"/>
                <w:sz w:val="18"/>
                <w:szCs w:val="18"/>
                <w:lang w:eastAsia="en-AU"/>
              </w:rPr>
              <w:t xml:space="preserve"> </w:t>
            </w:r>
            <w:r w:rsidRPr="00190046">
              <w:rPr>
                <w:rFonts w:cs="Calibri"/>
                <w:sz w:val="18"/>
                <w:szCs w:val="18"/>
                <w:lang w:eastAsia="en-AU"/>
              </w:rPr>
              <w:t>These income and expense figures were supplied by XYZ Directorate and as such have been relied upon by ‘</w:t>
            </w:r>
            <w:r w:rsidRPr="00190046">
              <w:rPr>
                <w:sz w:val="18"/>
                <w:szCs w:val="18"/>
              </w:rPr>
              <w:t xml:space="preserve">Burley Griffin </w:t>
            </w:r>
            <w:r w:rsidRPr="00190046">
              <w:rPr>
                <w:rFonts w:cs="Calibri"/>
                <w:sz w:val="18"/>
                <w:szCs w:val="18"/>
                <w:lang w:eastAsia="en-AU"/>
              </w:rPr>
              <w:t>Agency’.</w:t>
            </w:r>
            <w:r>
              <w:rPr>
                <w:rFonts w:cs="Calibri"/>
                <w:sz w:val="18"/>
                <w:szCs w:val="18"/>
                <w:lang w:eastAsia="en-AU"/>
              </w:rPr>
              <w:t xml:space="preserve"> </w:t>
            </w:r>
            <w:r w:rsidRPr="00190046">
              <w:rPr>
                <w:rFonts w:cs="Calibri"/>
                <w:sz w:val="18"/>
                <w:szCs w:val="18"/>
                <w:lang w:eastAsia="en-AU"/>
              </w:rPr>
              <w:t xml:space="preserve"> Finally, the table shows the total income and expenses of the division for the whole financial year.</w:t>
            </w:r>
            <w:r>
              <w:rPr>
                <w:rFonts w:cs="Calibri"/>
                <w:sz w:val="18"/>
                <w:szCs w:val="18"/>
                <w:lang w:eastAsia="en-AU"/>
              </w:rPr>
              <w:t xml:space="preserve"> </w:t>
            </w:r>
          </w:p>
        </w:tc>
      </w:tr>
      <w:tr w:rsidR="00F00C95" w:rsidRPr="00CF7E1B" w14:paraId="44361E90" w14:textId="753BCD25"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979"/>
        </w:trPr>
        <w:tc>
          <w:tcPr>
            <w:tcW w:w="1557" w:type="dxa"/>
            <w:tcBorders>
              <w:left w:val="single" w:sz="2" w:space="0" w:color="auto"/>
              <w:right w:val="single" w:sz="2" w:space="0" w:color="auto"/>
            </w:tcBorders>
            <w:vAlign w:val="bottom"/>
          </w:tcPr>
          <w:p w14:paraId="6FED77F1" w14:textId="77777777" w:rsidR="00F00C95" w:rsidRPr="00190046" w:rsidRDefault="00F00C95" w:rsidP="00F00C95">
            <w:pPr>
              <w:jc w:val="right"/>
              <w:rPr>
                <w:rFonts w:cs="Calibri"/>
                <w:color w:val="7030A0"/>
                <w:sz w:val="14"/>
                <w:szCs w:val="14"/>
                <w:lang w:eastAsia="en-AU"/>
              </w:rPr>
            </w:pPr>
          </w:p>
        </w:tc>
        <w:tc>
          <w:tcPr>
            <w:tcW w:w="3794" w:type="dxa"/>
            <w:tcBorders>
              <w:left w:val="single" w:sz="2" w:space="0" w:color="auto"/>
            </w:tcBorders>
            <w:shd w:val="clear" w:color="auto" w:fill="auto"/>
            <w:vAlign w:val="bottom"/>
          </w:tcPr>
          <w:p w14:paraId="041F5922" w14:textId="77777777" w:rsidR="00F00C95" w:rsidRPr="00190046" w:rsidRDefault="00F00C95" w:rsidP="00F00C95">
            <w:pPr>
              <w:pStyle w:val="TableText"/>
              <w:tabs>
                <w:tab w:val="left" w:pos="3306"/>
              </w:tabs>
              <w:jc w:val="right"/>
              <w:rPr>
                <w:rFonts w:cs="Calibri"/>
                <w:b/>
                <w:bCs/>
                <w:lang w:eastAsia="en-AU"/>
              </w:rPr>
            </w:pPr>
          </w:p>
        </w:tc>
        <w:tc>
          <w:tcPr>
            <w:tcW w:w="2165" w:type="dxa"/>
            <w:gridSpan w:val="5"/>
            <w:vMerge w:val="restart"/>
            <w:shd w:val="clear" w:color="auto" w:fill="auto"/>
            <w:vAlign w:val="bottom"/>
          </w:tcPr>
          <w:p w14:paraId="05BC92DD" w14:textId="77777777" w:rsidR="00F00C95" w:rsidRPr="00190046" w:rsidRDefault="00F00C95" w:rsidP="00F00C95">
            <w:pPr>
              <w:pStyle w:val="TableText"/>
              <w:tabs>
                <w:tab w:val="left" w:pos="3306"/>
              </w:tabs>
              <w:jc w:val="right"/>
              <w:rPr>
                <w:rFonts w:cs="Calibri"/>
                <w:lang w:eastAsia="en-AU"/>
              </w:rPr>
            </w:pPr>
            <w:r w:rsidRPr="00190046">
              <w:rPr>
                <w:rFonts w:cs="Calibri"/>
                <w:b/>
                <w:bCs/>
                <w:lang w:eastAsia="en-AU"/>
              </w:rPr>
              <w:t>Amounts Relating to when the Function was held by the XYZ Directorate</w:t>
            </w:r>
          </w:p>
          <w:p w14:paraId="41AB2C37" w14:textId="0A27D6BC" w:rsidR="00F00C95" w:rsidRPr="00190046" w:rsidRDefault="00F00C95" w:rsidP="00F00C95">
            <w:pPr>
              <w:pStyle w:val="TableText"/>
              <w:tabs>
                <w:tab w:val="left" w:pos="3306"/>
              </w:tabs>
              <w:spacing w:before="0"/>
              <w:jc w:val="right"/>
              <w:rPr>
                <w:rFonts w:cs="Calibri"/>
                <w:lang w:eastAsia="en-AU"/>
              </w:rPr>
            </w:pPr>
            <w:r w:rsidRPr="00190046">
              <w:rPr>
                <w:rFonts w:cs="Calibri"/>
                <w:b/>
                <w:bCs/>
                <w:lang w:eastAsia="en-AU"/>
              </w:rPr>
              <w:t>July 202</w:t>
            </w:r>
            <w:r>
              <w:rPr>
                <w:rFonts w:cs="Calibri"/>
                <w:b/>
                <w:bCs/>
                <w:lang w:eastAsia="en-AU"/>
              </w:rPr>
              <w:t>1</w:t>
            </w:r>
            <w:r w:rsidRPr="00190046">
              <w:rPr>
                <w:rFonts w:cs="Calibri"/>
                <w:b/>
                <w:bCs/>
                <w:lang w:eastAsia="en-AU"/>
              </w:rPr>
              <w:t xml:space="preserve"> to May </w:t>
            </w:r>
            <w:r w:rsidRPr="00190046">
              <w:rPr>
                <w:rFonts w:cs="Calibri"/>
                <w:b/>
                <w:bCs/>
              </w:rPr>
              <w:t>202</w:t>
            </w:r>
            <w:r>
              <w:rPr>
                <w:rFonts w:cs="Calibri"/>
                <w:b/>
                <w:bCs/>
              </w:rPr>
              <w:t>2</w:t>
            </w:r>
          </w:p>
        </w:tc>
        <w:tc>
          <w:tcPr>
            <w:tcW w:w="1923" w:type="dxa"/>
            <w:gridSpan w:val="4"/>
            <w:vMerge w:val="restart"/>
            <w:shd w:val="clear" w:color="auto" w:fill="auto"/>
            <w:vAlign w:val="bottom"/>
          </w:tcPr>
          <w:p w14:paraId="10B4F6E4" w14:textId="77777777" w:rsidR="00F00C95" w:rsidRPr="00190046" w:rsidRDefault="00F00C95" w:rsidP="00F00C95">
            <w:pPr>
              <w:jc w:val="right"/>
              <w:rPr>
                <w:rFonts w:cs="Calibri"/>
                <w:b/>
                <w:bCs/>
                <w:sz w:val="18"/>
                <w:szCs w:val="18"/>
                <w:lang w:eastAsia="en-AU"/>
              </w:rPr>
            </w:pPr>
            <w:r w:rsidRPr="00190046">
              <w:rPr>
                <w:rFonts w:cs="Calibri"/>
                <w:b/>
                <w:bCs/>
                <w:sz w:val="18"/>
                <w:szCs w:val="18"/>
                <w:lang w:eastAsia="en-AU"/>
              </w:rPr>
              <w:t>Amounts Relating to when the Function was held by ‘Burley Griffin Agency’</w:t>
            </w:r>
          </w:p>
          <w:p w14:paraId="5ECC2307" w14:textId="153257FE" w:rsidR="00F00C95" w:rsidRPr="00190046" w:rsidRDefault="00F00C95" w:rsidP="00F00C95">
            <w:pPr>
              <w:pStyle w:val="TableText"/>
              <w:tabs>
                <w:tab w:val="left" w:pos="3306"/>
              </w:tabs>
              <w:spacing w:before="0"/>
              <w:jc w:val="right"/>
              <w:rPr>
                <w:rFonts w:cs="Calibri"/>
                <w:b/>
                <w:bCs/>
                <w:lang w:eastAsia="en-AU"/>
              </w:rPr>
            </w:pPr>
            <w:r w:rsidRPr="00190046">
              <w:rPr>
                <w:rFonts w:cs="Calibri"/>
                <w:b/>
                <w:bCs/>
                <w:lang w:eastAsia="en-AU"/>
              </w:rPr>
              <w:t xml:space="preserve">June </w:t>
            </w:r>
            <w:r w:rsidRPr="00190046">
              <w:rPr>
                <w:rFonts w:cs="Calibri"/>
                <w:b/>
                <w:bCs/>
              </w:rPr>
              <w:t>202</w:t>
            </w:r>
            <w:r>
              <w:rPr>
                <w:rFonts w:cs="Calibri"/>
                <w:b/>
                <w:bCs/>
              </w:rPr>
              <w:t>2</w:t>
            </w:r>
            <w:r w:rsidRPr="00190046">
              <w:rPr>
                <w:rFonts w:cs="Calibri"/>
                <w:b/>
                <w:bCs/>
                <w:lang w:eastAsia="en-AU"/>
              </w:rPr>
              <w:t xml:space="preserve"> to June </w:t>
            </w:r>
            <w:r w:rsidRPr="00190046">
              <w:rPr>
                <w:rFonts w:cs="Calibri"/>
                <w:b/>
                <w:bCs/>
              </w:rPr>
              <w:t>202</w:t>
            </w:r>
            <w:r>
              <w:rPr>
                <w:rFonts w:cs="Calibri"/>
                <w:b/>
                <w:bCs/>
              </w:rPr>
              <w:t>2</w:t>
            </w:r>
          </w:p>
        </w:tc>
        <w:tc>
          <w:tcPr>
            <w:tcW w:w="1052" w:type="dxa"/>
            <w:shd w:val="clear" w:color="auto" w:fill="auto"/>
            <w:vAlign w:val="bottom"/>
          </w:tcPr>
          <w:p w14:paraId="1239FB82"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3D741484" w14:textId="4101FE85"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474"/>
        </w:trPr>
        <w:tc>
          <w:tcPr>
            <w:tcW w:w="1557" w:type="dxa"/>
            <w:tcBorders>
              <w:left w:val="single" w:sz="2" w:space="0" w:color="auto"/>
              <w:right w:val="single" w:sz="2" w:space="0" w:color="auto"/>
            </w:tcBorders>
            <w:vAlign w:val="center"/>
          </w:tcPr>
          <w:p w14:paraId="7413C5BA" w14:textId="77777777" w:rsidR="00F00C95" w:rsidRPr="00190046" w:rsidRDefault="00F00C95" w:rsidP="00F00C95">
            <w:pPr>
              <w:jc w:val="right"/>
              <w:rPr>
                <w:rFonts w:cs="Calibri"/>
                <w:color w:val="7030A0"/>
                <w:sz w:val="14"/>
                <w:szCs w:val="14"/>
                <w:lang w:eastAsia="en-AU"/>
              </w:rPr>
            </w:pPr>
          </w:p>
        </w:tc>
        <w:tc>
          <w:tcPr>
            <w:tcW w:w="3794" w:type="dxa"/>
            <w:tcBorders>
              <w:left w:val="single" w:sz="2" w:space="0" w:color="auto"/>
            </w:tcBorders>
            <w:shd w:val="clear" w:color="auto" w:fill="auto"/>
            <w:vAlign w:val="center"/>
          </w:tcPr>
          <w:p w14:paraId="35955E7E" w14:textId="77777777" w:rsidR="00F00C95" w:rsidRPr="00190046" w:rsidRDefault="00F00C95" w:rsidP="00F00C95">
            <w:pPr>
              <w:pStyle w:val="TableText"/>
              <w:tabs>
                <w:tab w:val="left" w:pos="3306"/>
              </w:tabs>
              <w:jc w:val="right"/>
              <w:rPr>
                <w:rFonts w:cs="Calibri"/>
                <w:b/>
                <w:bCs/>
                <w:lang w:eastAsia="en-AU"/>
              </w:rPr>
            </w:pPr>
          </w:p>
        </w:tc>
        <w:tc>
          <w:tcPr>
            <w:tcW w:w="2165" w:type="dxa"/>
            <w:gridSpan w:val="5"/>
            <w:vMerge/>
            <w:shd w:val="clear" w:color="auto" w:fill="auto"/>
            <w:vAlign w:val="center"/>
          </w:tcPr>
          <w:p w14:paraId="3E56CD3B" w14:textId="18A825BD" w:rsidR="00F00C95" w:rsidRPr="00190046" w:rsidRDefault="00F00C95" w:rsidP="00F00C95">
            <w:pPr>
              <w:pStyle w:val="TableText"/>
              <w:tabs>
                <w:tab w:val="left" w:pos="3306"/>
              </w:tabs>
              <w:spacing w:before="0"/>
              <w:jc w:val="right"/>
              <w:rPr>
                <w:rFonts w:cs="Calibri"/>
                <w:b/>
                <w:bCs/>
                <w:lang w:eastAsia="en-AU"/>
              </w:rPr>
            </w:pPr>
          </w:p>
        </w:tc>
        <w:tc>
          <w:tcPr>
            <w:tcW w:w="1923" w:type="dxa"/>
            <w:gridSpan w:val="4"/>
            <w:vMerge/>
            <w:shd w:val="clear" w:color="auto" w:fill="auto"/>
            <w:vAlign w:val="center"/>
          </w:tcPr>
          <w:p w14:paraId="230C38E3" w14:textId="5654DD27" w:rsidR="00F00C95" w:rsidRPr="00190046" w:rsidRDefault="00F00C95" w:rsidP="00F00C95">
            <w:pPr>
              <w:pStyle w:val="TableText"/>
              <w:tabs>
                <w:tab w:val="left" w:pos="3306"/>
              </w:tabs>
              <w:spacing w:before="0"/>
              <w:jc w:val="right"/>
              <w:rPr>
                <w:rFonts w:cs="Calibri"/>
                <w:b/>
                <w:bCs/>
                <w:lang w:eastAsia="en-AU"/>
              </w:rPr>
            </w:pPr>
          </w:p>
        </w:tc>
        <w:tc>
          <w:tcPr>
            <w:tcW w:w="1052" w:type="dxa"/>
            <w:shd w:val="clear" w:color="auto" w:fill="auto"/>
            <w:vAlign w:val="center"/>
          </w:tcPr>
          <w:p w14:paraId="048E07A4" w14:textId="3D36BE75" w:rsidR="00F00C95" w:rsidRPr="00190046" w:rsidRDefault="00F00C95" w:rsidP="00F00C95">
            <w:pPr>
              <w:pStyle w:val="TableText"/>
              <w:tabs>
                <w:tab w:val="left" w:pos="3306"/>
              </w:tabs>
              <w:jc w:val="right"/>
              <w:rPr>
                <w:rFonts w:cs="Calibri"/>
                <w:b/>
                <w:bCs/>
              </w:rPr>
            </w:pPr>
            <w:r w:rsidRPr="00190046">
              <w:rPr>
                <w:rFonts w:cs="Calibri"/>
                <w:b/>
                <w:bCs/>
                <w:lang w:eastAsia="en-AU"/>
              </w:rPr>
              <w:t>Total</w:t>
            </w:r>
            <w:r>
              <w:rPr>
                <w:rFonts w:cs="Calibri"/>
                <w:b/>
                <w:bCs/>
              </w:rPr>
              <w:t xml:space="preserve">                 </w:t>
            </w:r>
            <w:r w:rsidRPr="00190046">
              <w:rPr>
                <w:rFonts w:cs="Calibri"/>
                <w:b/>
                <w:bCs/>
              </w:rPr>
              <w:t xml:space="preserve"> 202</w:t>
            </w:r>
            <w:r>
              <w:rPr>
                <w:rFonts w:cs="Calibri"/>
                <w:b/>
                <w:bCs/>
              </w:rPr>
              <w:t>2</w:t>
            </w:r>
          </w:p>
        </w:tc>
      </w:tr>
      <w:tr w:rsidR="00F00C95" w:rsidRPr="00CF7E1B" w14:paraId="77757519" w14:textId="57C7D174"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227"/>
        </w:trPr>
        <w:tc>
          <w:tcPr>
            <w:tcW w:w="1557" w:type="dxa"/>
            <w:tcBorders>
              <w:left w:val="single" w:sz="2" w:space="0" w:color="auto"/>
              <w:right w:val="single" w:sz="2" w:space="0" w:color="auto"/>
            </w:tcBorders>
          </w:tcPr>
          <w:p w14:paraId="2943D682"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2A8908CD" w14:textId="77777777" w:rsidR="00F00C95" w:rsidRPr="00190046" w:rsidRDefault="00F00C95" w:rsidP="00F00C95">
            <w:pPr>
              <w:pStyle w:val="TableText"/>
              <w:tabs>
                <w:tab w:val="left" w:pos="3306"/>
              </w:tabs>
              <w:rPr>
                <w:rFonts w:cs="Calibri"/>
                <w:b/>
                <w:bCs/>
                <w:lang w:eastAsia="en-AU"/>
              </w:rPr>
            </w:pPr>
          </w:p>
        </w:tc>
        <w:tc>
          <w:tcPr>
            <w:tcW w:w="2165" w:type="dxa"/>
            <w:gridSpan w:val="5"/>
            <w:shd w:val="clear" w:color="auto" w:fill="auto"/>
            <w:vAlign w:val="bottom"/>
          </w:tcPr>
          <w:p w14:paraId="66237690" w14:textId="77777777" w:rsidR="00F00C95" w:rsidRPr="00190046" w:rsidRDefault="00F00C95" w:rsidP="00F00C95">
            <w:pPr>
              <w:pStyle w:val="TableText"/>
              <w:tabs>
                <w:tab w:val="left" w:pos="3306"/>
              </w:tabs>
              <w:jc w:val="right"/>
              <w:rPr>
                <w:rFonts w:cs="Calibri"/>
                <w:b/>
                <w:bCs/>
                <w:lang w:eastAsia="en-AU"/>
              </w:rPr>
            </w:pPr>
            <w:r w:rsidRPr="00190046">
              <w:rPr>
                <w:rFonts w:cs="Calibri"/>
                <w:b/>
                <w:bCs/>
                <w:lang w:eastAsia="en-AU"/>
              </w:rPr>
              <w:t>$’000</w:t>
            </w:r>
          </w:p>
        </w:tc>
        <w:tc>
          <w:tcPr>
            <w:tcW w:w="1923" w:type="dxa"/>
            <w:gridSpan w:val="4"/>
            <w:shd w:val="clear" w:color="auto" w:fill="auto"/>
            <w:vAlign w:val="bottom"/>
          </w:tcPr>
          <w:p w14:paraId="79886733" w14:textId="77777777" w:rsidR="00F00C95" w:rsidRPr="00190046" w:rsidRDefault="00F00C95" w:rsidP="00F00C95">
            <w:pPr>
              <w:pStyle w:val="TableText"/>
              <w:tabs>
                <w:tab w:val="left" w:pos="3306"/>
              </w:tabs>
              <w:jc w:val="right"/>
              <w:rPr>
                <w:rFonts w:cs="Calibri"/>
                <w:b/>
                <w:bCs/>
                <w:lang w:eastAsia="en-AU"/>
              </w:rPr>
            </w:pPr>
            <w:r w:rsidRPr="00190046">
              <w:rPr>
                <w:rFonts w:cs="Calibri"/>
                <w:b/>
                <w:bCs/>
                <w:lang w:eastAsia="en-AU"/>
              </w:rPr>
              <w:t>$’000</w:t>
            </w:r>
          </w:p>
        </w:tc>
        <w:tc>
          <w:tcPr>
            <w:tcW w:w="1052" w:type="dxa"/>
            <w:shd w:val="clear" w:color="auto" w:fill="auto"/>
            <w:vAlign w:val="bottom"/>
          </w:tcPr>
          <w:p w14:paraId="27BB35CB" w14:textId="177CDB96" w:rsidR="00F00C95" w:rsidRPr="00190046" w:rsidRDefault="00F00C95" w:rsidP="00F00C95">
            <w:pPr>
              <w:pStyle w:val="TableText"/>
              <w:tabs>
                <w:tab w:val="left" w:pos="3306"/>
              </w:tabs>
              <w:jc w:val="right"/>
              <w:rPr>
                <w:rFonts w:cs="Calibri"/>
                <w:b/>
                <w:bCs/>
                <w:lang w:eastAsia="en-AU"/>
              </w:rPr>
            </w:pPr>
            <w:r w:rsidRPr="00190046">
              <w:rPr>
                <w:rFonts w:cs="Calibri"/>
                <w:b/>
                <w:bCs/>
                <w:lang w:eastAsia="en-AU"/>
              </w:rPr>
              <w:t>$’000</w:t>
            </w:r>
          </w:p>
        </w:tc>
      </w:tr>
      <w:tr w:rsidR="00F00C95" w:rsidRPr="00CF7E1B" w14:paraId="65B53D26" w14:textId="540B80BD"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701A296E"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36B4552D" w14:textId="72C0C44C" w:rsidR="00F00C95" w:rsidRPr="00190046" w:rsidRDefault="00F00C95" w:rsidP="00F00C95">
            <w:pPr>
              <w:pStyle w:val="TableText"/>
              <w:tabs>
                <w:tab w:val="left" w:pos="3306"/>
              </w:tabs>
              <w:rPr>
                <w:rFonts w:cs="Calibri"/>
                <w:b/>
                <w:bCs/>
                <w:strike/>
                <w:lang w:eastAsia="en-AU"/>
              </w:rPr>
            </w:pPr>
            <w:r w:rsidRPr="00190046">
              <w:rPr>
                <w:rFonts w:cs="Calibri"/>
                <w:b/>
                <w:bCs/>
                <w:lang w:eastAsia="en-AU"/>
              </w:rPr>
              <w:t>Income</w:t>
            </w:r>
          </w:p>
        </w:tc>
        <w:tc>
          <w:tcPr>
            <w:tcW w:w="2165" w:type="dxa"/>
            <w:gridSpan w:val="5"/>
            <w:shd w:val="clear" w:color="auto" w:fill="auto"/>
            <w:vAlign w:val="bottom"/>
          </w:tcPr>
          <w:p w14:paraId="3F346EB2"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shd w:val="clear" w:color="auto" w:fill="auto"/>
            <w:vAlign w:val="bottom"/>
          </w:tcPr>
          <w:p w14:paraId="59878A37" w14:textId="77777777" w:rsidR="00F00C95" w:rsidRPr="00190046" w:rsidRDefault="00F00C95" w:rsidP="00F00C95">
            <w:pPr>
              <w:pStyle w:val="TableText"/>
              <w:tabs>
                <w:tab w:val="left" w:pos="3306"/>
              </w:tabs>
              <w:jc w:val="right"/>
              <w:rPr>
                <w:rFonts w:cs="Calibri"/>
                <w:b/>
                <w:bCs/>
                <w:lang w:eastAsia="en-AU"/>
              </w:rPr>
            </w:pPr>
          </w:p>
        </w:tc>
        <w:tc>
          <w:tcPr>
            <w:tcW w:w="1052" w:type="dxa"/>
            <w:shd w:val="clear" w:color="auto" w:fill="auto"/>
            <w:vAlign w:val="bottom"/>
          </w:tcPr>
          <w:p w14:paraId="5856C440"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6626CF09" w14:textId="13B3B32E"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74F7C739"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60A2CF8A" w14:textId="77777777" w:rsidR="00F00C95" w:rsidRPr="00190046" w:rsidRDefault="00F00C95" w:rsidP="00F00C95">
            <w:pPr>
              <w:pStyle w:val="TableText"/>
              <w:tabs>
                <w:tab w:val="left" w:pos="3306"/>
              </w:tabs>
              <w:rPr>
                <w:rFonts w:cs="Calibri"/>
                <w:bCs/>
                <w:lang w:eastAsia="en-AU"/>
              </w:rPr>
            </w:pPr>
            <w:r w:rsidRPr="00190046">
              <w:rPr>
                <w:rFonts w:cs="Calibri"/>
                <w:bCs/>
                <w:lang w:eastAsia="en-AU"/>
              </w:rPr>
              <w:t>Payment for Expenses on Behalf of the Territory</w:t>
            </w:r>
          </w:p>
        </w:tc>
        <w:tc>
          <w:tcPr>
            <w:tcW w:w="2165" w:type="dxa"/>
            <w:gridSpan w:val="5"/>
            <w:tcBorders>
              <w:bottom w:val="single" w:sz="4" w:space="0" w:color="auto"/>
            </w:tcBorders>
            <w:shd w:val="clear" w:color="auto" w:fill="auto"/>
            <w:vAlign w:val="bottom"/>
          </w:tcPr>
          <w:p w14:paraId="6100C875" w14:textId="26FCAC44" w:rsidR="00F00C95" w:rsidRPr="00190046" w:rsidRDefault="00F00C95" w:rsidP="00F00C95">
            <w:pPr>
              <w:pStyle w:val="TableText"/>
              <w:tabs>
                <w:tab w:val="left" w:pos="3306"/>
              </w:tabs>
              <w:jc w:val="right"/>
              <w:rPr>
                <w:rFonts w:cs="Calibri"/>
                <w:bCs/>
                <w:lang w:eastAsia="en-AU"/>
              </w:rPr>
            </w:pPr>
          </w:p>
        </w:tc>
        <w:tc>
          <w:tcPr>
            <w:tcW w:w="1923" w:type="dxa"/>
            <w:gridSpan w:val="4"/>
            <w:tcBorders>
              <w:bottom w:val="single" w:sz="4" w:space="0" w:color="auto"/>
            </w:tcBorders>
            <w:shd w:val="clear" w:color="auto" w:fill="auto"/>
            <w:vAlign w:val="bottom"/>
          </w:tcPr>
          <w:p w14:paraId="76171CD9" w14:textId="751E5054" w:rsidR="00F00C95" w:rsidRPr="00190046" w:rsidRDefault="00F00C95" w:rsidP="00F00C95">
            <w:pPr>
              <w:pStyle w:val="TableText"/>
              <w:tabs>
                <w:tab w:val="left" w:pos="3306"/>
              </w:tabs>
              <w:jc w:val="right"/>
              <w:rPr>
                <w:rFonts w:cs="Calibri"/>
                <w:bCs/>
                <w:lang w:eastAsia="en-AU"/>
              </w:rPr>
            </w:pPr>
          </w:p>
        </w:tc>
        <w:tc>
          <w:tcPr>
            <w:tcW w:w="1052" w:type="dxa"/>
            <w:tcBorders>
              <w:bottom w:val="single" w:sz="4" w:space="0" w:color="auto"/>
            </w:tcBorders>
            <w:shd w:val="clear" w:color="auto" w:fill="auto"/>
            <w:vAlign w:val="bottom"/>
          </w:tcPr>
          <w:p w14:paraId="6FED9CB6" w14:textId="77777777" w:rsidR="00F00C95" w:rsidRPr="00190046" w:rsidRDefault="00F00C95" w:rsidP="00F00C95">
            <w:pPr>
              <w:pStyle w:val="TableText"/>
              <w:tabs>
                <w:tab w:val="left" w:pos="3306"/>
              </w:tabs>
              <w:jc w:val="right"/>
              <w:rPr>
                <w:rFonts w:cs="Calibri"/>
                <w:bCs/>
                <w:lang w:eastAsia="en-AU"/>
              </w:rPr>
            </w:pPr>
          </w:p>
        </w:tc>
      </w:tr>
      <w:tr w:rsidR="00F00C95" w:rsidRPr="00CF7E1B" w14:paraId="28F740E5" w14:textId="09A1EA61"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283"/>
        </w:trPr>
        <w:tc>
          <w:tcPr>
            <w:tcW w:w="1557" w:type="dxa"/>
            <w:tcBorders>
              <w:left w:val="single" w:sz="2" w:space="0" w:color="auto"/>
              <w:right w:val="single" w:sz="2" w:space="0" w:color="auto"/>
            </w:tcBorders>
          </w:tcPr>
          <w:p w14:paraId="79E17158"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58C63E72" w14:textId="43BB5614" w:rsidR="00F00C95" w:rsidRPr="00190046" w:rsidRDefault="00F00C95" w:rsidP="00F00C95">
            <w:pPr>
              <w:pStyle w:val="TableText"/>
              <w:tabs>
                <w:tab w:val="left" w:pos="3306"/>
              </w:tabs>
              <w:rPr>
                <w:rFonts w:cs="Calibri"/>
                <w:b/>
                <w:bCs/>
                <w:lang w:eastAsia="en-AU"/>
              </w:rPr>
            </w:pPr>
            <w:r w:rsidRPr="00190046">
              <w:rPr>
                <w:rFonts w:cs="Calibri"/>
                <w:b/>
                <w:bCs/>
                <w:lang w:eastAsia="en-AU"/>
              </w:rPr>
              <w:t>Total Income</w:t>
            </w:r>
          </w:p>
        </w:tc>
        <w:tc>
          <w:tcPr>
            <w:tcW w:w="2165" w:type="dxa"/>
            <w:gridSpan w:val="5"/>
            <w:tcBorders>
              <w:top w:val="single" w:sz="4" w:space="0" w:color="auto"/>
              <w:bottom w:val="single" w:sz="4" w:space="0" w:color="auto"/>
            </w:tcBorders>
            <w:shd w:val="clear" w:color="auto" w:fill="auto"/>
            <w:vAlign w:val="bottom"/>
          </w:tcPr>
          <w:p w14:paraId="48567075" w14:textId="6759D616"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4" w:space="0" w:color="auto"/>
              <w:bottom w:val="single" w:sz="4" w:space="0" w:color="auto"/>
            </w:tcBorders>
            <w:shd w:val="clear" w:color="auto" w:fill="auto"/>
            <w:vAlign w:val="bottom"/>
          </w:tcPr>
          <w:p w14:paraId="37251890" w14:textId="54EEC71F" w:rsidR="00F00C95" w:rsidRPr="00190046" w:rsidRDefault="00F00C95" w:rsidP="00F00C95">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shd w:val="clear" w:color="auto" w:fill="auto"/>
            <w:vAlign w:val="bottom"/>
          </w:tcPr>
          <w:p w14:paraId="23A9533F"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40D558C0" w14:textId="31EB60B8"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30815826"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6D1F842A"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Expenses</w:t>
            </w:r>
          </w:p>
        </w:tc>
        <w:tc>
          <w:tcPr>
            <w:tcW w:w="2165" w:type="dxa"/>
            <w:gridSpan w:val="5"/>
            <w:tcBorders>
              <w:top w:val="single" w:sz="4" w:space="0" w:color="auto"/>
            </w:tcBorders>
            <w:shd w:val="clear" w:color="auto" w:fill="auto"/>
            <w:vAlign w:val="bottom"/>
          </w:tcPr>
          <w:p w14:paraId="6D1E41B5"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4" w:space="0" w:color="auto"/>
            </w:tcBorders>
            <w:shd w:val="clear" w:color="auto" w:fill="auto"/>
            <w:vAlign w:val="bottom"/>
          </w:tcPr>
          <w:p w14:paraId="3CCB9FBC" w14:textId="77777777" w:rsidR="00F00C95" w:rsidRPr="00190046" w:rsidRDefault="00F00C95" w:rsidP="00F00C95">
            <w:pPr>
              <w:pStyle w:val="TableText"/>
              <w:tabs>
                <w:tab w:val="left" w:pos="3306"/>
              </w:tabs>
              <w:jc w:val="right"/>
              <w:rPr>
                <w:rFonts w:cs="Calibri"/>
                <w:b/>
                <w:bCs/>
                <w:lang w:eastAsia="en-AU"/>
              </w:rPr>
            </w:pPr>
          </w:p>
        </w:tc>
        <w:tc>
          <w:tcPr>
            <w:tcW w:w="1052" w:type="dxa"/>
            <w:tcBorders>
              <w:top w:val="single" w:sz="4" w:space="0" w:color="auto"/>
            </w:tcBorders>
            <w:shd w:val="clear" w:color="auto" w:fill="auto"/>
            <w:vAlign w:val="bottom"/>
          </w:tcPr>
          <w:p w14:paraId="2DEA3B9A"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1B51EA47" w14:textId="0DFD44BC"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53BA8F32" w14:textId="77777777" w:rsidR="00F00C95" w:rsidRPr="00190046" w:rsidRDefault="00F00C95" w:rsidP="00F00C95">
            <w:pPr>
              <w:rPr>
                <w:rFonts w:cs="Calibri"/>
                <w:color w:val="7030A0"/>
                <w:sz w:val="14"/>
                <w:szCs w:val="14"/>
                <w:lang w:eastAsia="en-AU"/>
              </w:rPr>
            </w:pPr>
          </w:p>
        </w:tc>
        <w:tc>
          <w:tcPr>
            <w:tcW w:w="3794" w:type="dxa"/>
            <w:tcBorders>
              <w:left w:val="single" w:sz="2" w:space="0" w:color="auto"/>
            </w:tcBorders>
            <w:shd w:val="clear" w:color="auto" w:fill="auto"/>
            <w:vAlign w:val="bottom"/>
          </w:tcPr>
          <w:p w14:paraId="37145C03" w14:textId="77777777" w:rsidR="00F00C95" w:rsidRPr="00190046" w:rsidRDefault="00F00C95" w:rsidP="00F00C95">
            <w:pPr>
              <w:pStyle w:val="TableText"/>
              <w:tabs>
                <w:tab w:val="left" w:pos="3306"/>
              </w:tabs>
              <w:rPr>
                <w:rFonts w:cs="Calibri"/>
                <w:bCs/>
                <w:lang w:eastAsia="en-AU"/>
              </w:rPr>
            </w:pPr>
            <w:r w:rsidRPr="00190046">
              <w:rPr>
                <w:rFonts w:cs="Calibri"/>
                <w:bCs/>
                <w:lang w:eastAsia="en-AU"/>
              </w:rPr>
              <w:t>Grants and Purchased Services</w:t>
            </w:r>
          </w:p>
        </w:tc>
        <w:tc>
          <w:tcPr>
            <w:tcW w:w="2165" w:type="dxa"/>
            <w:gridSpan w:val="5"/>
            <w:tcBorders>
              <w:bottom w:val="single" w:sz="4" w:space="0" w:color="auto"/>
            </w:tcBorders>
            <w:shd w:val="clear" w:color="auto" w:fill="auto"/>
            <w:vAlign w:val="bottom"/>
          </w:tcPr>
          <w:p w14:paraId="231AB9AE" w14:textId="5BF29EA0" w:rsidR="00F00C95" w:rsidRPr="00190046" w:rsidRDefault="00F00C95" w:rsidP="00F00C95">
            <w:pPr>
              <w:pStyle w:val="TableText"/>
              <w:tabs>
                <w:tab w:val="left" w:pos="3306"/>
              </w:tabs>
              <w:jc w:val="right"/>
              <w:rPr>
                <w:rFonts w:cs="Calibri"/>
                <w:bCs/>
                <w:lang w:eastAsia="en-AU"/>
              </w:rPr>
            </w:pPr>
          </w:p>
        </w:tc>
        <w:tc>
          <w:tcPr>
            <w:tcW w:w="1923" w:type="dxa"/>
            <w:gridSpan w:val="4"/>
            <w:tcBorders>
              <w:bottom w:val="single" w:sz="4" w:space="0" w:color="auto"/>
            </w:tcBorders>
            <w:shd w:val="clear" w:color="auto" w:fill="auto"/>
            <w:vAlign w:val="bottom"/>
          </w:tcPr>
          <w:p w14:paraId="535212D7" w14:textId="7CF19BCA" w:rsidR="00F00C95" w:rsidRPr="00190046" w:rsidRDefault="00F00C95" w:rsidP="00F00C95">
            <w:pPr>
              <w:pStyle w:val="TableText"/>
              <w:tabs>
                <w:tab w:val="left" w:pos="3306"/>
              </w:tabs>
              <w:jc w:val="right"/>
              <w:rPr>
                <w:rFonts w:cs="Calibri"/>
                <w:bCs/>
                <w:lang w:eastAsia="en-AU"/>
              </w:rPr>
            </w:pPr>
          </w:p>
        </w:tc>
        <w:tc>
          <w:tcPr>
            <w:tcW w:w="1052" w:type="dxa"/>
            <w:tcBorders>
              <w:bottom w:val="single" w:sz="4" w:space="0" w:color="auto"/>
            </w:tcBorders>
            <w:shd w:val="clear" w:color="auto" w:fill="auto"/>
            <w:vAlign w:val="bottom"/>
          </w:tcPr>
          <w:p w14:paraId="4842A634" w14:textId="77777777" w:rsidR="00F00C95" w:rsidRPr="00190046" w:rsidRDefault="00F00C95" w:rsidP="00F00C95">
            <w:pPr>
              <w:pStyle w:val="TableText"/>
              <w:tabs>
                <w:tab w:val="left" w:pos="3306"/>
              </w:tabs>
              <w:jc w:val="right"/>
              <w:rPr>
                <w:rFonts w:cs="Calibri"/>
                <w:bCs/>
                <w:lang w:eastAsia="en-AU"/>
              </w:rPr>
            </w:pPr>
          </w:p>
        </w:tc>
      </w:tr>
      <w:tr w:rsidR="00F00C95" w:rsidRPr="00CF7E1B" w14:paraId="278E57AF" w14:textId="3FEF04CA"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309574B2" w14:textId="77777777" w:rsidR="00F00C95" w:rsidRPr="00190046" w:rsidRDefault="00F00C95" w:rsidP="00F00C95">
            <w:pPr>
              <w:rPr>
                <w:rFonts w:cs="Calibri"/>
                <w:color w:val="7030A0"/>
                <w:sz w:val="16"/>
                <w:lang w:eastAsia="en-AU"/>
              </w:rPr>
            </w:pPr>
          </w:p>
        </w:tc>
        <w:tc>
          <w:tcPr>
            <w:tcW w:w="3794" w:type="dxa"/>
            <w:tcBorders>
              <w:left w:val="single" w:sz="2" w:space="0" w:color="auto"/>
            </w:tcBorders>
            <w:shd w:val="clear" w:color="auto" w:fill="auto"/>
            <w:vAlign w:val="bottom"/>
          </w:tcPr>
          <w:p w14:paraId="70AA8E67"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Total Expenses</w:t>
            </w:r>
          </w:p>
        </w:tc>
        <w:tc>
          <w:tcPr>
            <w:tcW w:w="2165" w:type="dxa"/>
            <w:gridSpan w:val="5"/>
            <w:tcBorders>
              <w:top w:val="single" w:sz="4" w:space="0" w:color="auto"/>
              <w:bottom w:val="single" w:sz="4" w:space="0" w:color="auto"/>
            </w:tcBorders>
            <w:shd w:val="clear" w:color="auto" w:fill="auto"/>
            <w:vAlign w:val="bottom"/>
          </w:tcPr>
          <w:p w14:paraId="5A25F908" w14:textId="4DD9B797"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4" w:space="0" w:color="auto"/>
              <w:bottom w:val="single" w:sz="4" w:space="0" w:color="auto"/>
            </w:tcBorders>
            <w:shd w:val="clear" w:color="auto" w:fill="auto"/>
            <w:vAlign w:val="bottom"/>
          </w:tcPr>
          <w:p w14:paraId="7DCF8C3B" w14:textId="21C641DE" w:rsidR="00F00C95" w:rsidRPr="00190046" w:rsidRDefault="00F00C95" w:rsidP="00F00C95">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shd w:val="clear" w:color="auto" w:fill="auto"/>
            <w:vAlign w:val="bottom"/>
          </w:tcPr>
          <w:p w14:paraId="4F978270"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6A23EC6B"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6712C76D" w14:textId="77777777" w:rsidR="00F00C95" w:rsidRPr="00190046" w:rsidRDefault="00F00C95" w:rsidP="00F00C95">
            <w:pPr>
              <w:rPr>
                <w:rFonts w:cs="Calibri"/>
                <w:color w:val="7030A0"/>
                <w:sz w:val="16"/>
                <w:lang w:eastAsia="en-AU"/>
              </w:rPr>
            </w:pPr>
          </w:p>
        </w:tc>
        <w:tc>
          <w:tcPr>
            <w:tcW w:w="3794" w:type="dxa"/>
            <w:tcBorders>
              <w:left w:val="single" w:sz="2" w:space="0" w:color="auto"/>
            </w:tcBorders>
            <w:shd w:val="clear" w:color="auto" w:fill="auto"/>
            <w:vAlign w:val="bottom"/>
          </w:tcPr>
          <w:p w14:paraId="56799F73" w14:textId="77777777" w:rsidR="00F00C95" w:rsidRPr="00190046" w:rsidRDefault="00F00C95" w:rsidP="00F00C95">
            <w:pPr>
              <w:pStyle w:val="TableText"/>
              <w:tabs>
                <w:tab w:val="left" w:pos="3306"/>
              </w:tabs>
              <w:rPr>
                <w:rFonts w:cs="Calibri"/>
                <w:b/>
                <w:bCs/>
                <w:lang w:eastAsia="en-AU"/>
              </w:rPr>
            </w:pPr>
          </w:p>
        </w:tc>
        <w:tc>
          <w:tcPr>
            <w:tcW w:w="2165" w:type="dxa"/>
            <w:gridSpan w:val="5"/>
            <w:tcBorders>
              <w:top w:val="single" w:sz="4" w:space="0" w:color="auto"/>
            </w:tcBorders>
            <w:shd w:val="clear" w:color="auto" w:fill="auto"/>
            <w:vAlign w:val="bottom"/>
          </w:tcPr>
          <w:p w14:paraId="12E6EC7A"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tcBorders>
              <w:top w:val="single" w:sz="4" w:space="0" w:color="auto"/>
            </w:tcBorders>
            <w:shd w:val="clear" w:color="auto" w:fill="auto"/>
            <w:vAlign w:val="bottom"/>
          </w:tcPr>
          <w:p w14:paraId="400AB4CD" w14:textId="77777777" w:rsidR="00F00C95" w:rsidRPr="00190046" w:rsidRDefault="00F00C95" w:rsidP="00F00C95">
            <w:pPr>
              <w:pStyle w:val="TableText"/>
              <w:tabs>
                <w:tab w:val="left" w:pos="3306"/>
              </w:tabs>
              <w:jc w:val="right"/>
              <w:rPr>
                <w:rFonts w:cs="Calibri"/>
                <w:b/>
                <w:bCs/>
                <w:lang w:eastAsia="en-AU"/>
              </w:rPr>
            </w:pPr>
          </w:p>
        </w:tc>
        <w:tc>
          <w:tcPr>
            <w:tcW w:w="1052" w:type="dxa"/>
            <w:tcBorders>
              <w:top w:val="single" w:sz="4" w:space="0" w:color="auto"/>
            </w:tcBorders>
            <w:shd w:val="clear" w:color="auto" w:fill="auto"/>
            <w:vAlign w:val="bottom"/>
          </w:tcPr>
          <w:p w14:paraId="75C6E3F4"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2FBF3B09"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57" w:type="dxa"/>
            <w:tcBorders>
              <w:left w:val="single" w:sz="2" w:space="0" w:color="auto"/>
              <w:right w:val="single" w:sz="2" w:space="0" w:color="auto"/>
            </w:tcBorders>
          </w:tcPr>
          <w:p w14:paraId="145205DD" w14:textId="77777777" w:rsidR="00F00C95" w:rsidRPr="00190046" w:rsidRDefault="00F00C95" w:rsidP="00F00C95">
            <w:pPr>
              <w:rPr>
                <w:rFonts w:cs="Calibri"/>
                <w:color w:val="7030A0"/>
                <w:sz w:val="16"/>
                <w:lang w:eastAsia="en-AU"/>
              </w:rPr>
            </w:pPr>
          </w:p>
        </w:tc>
        <w:tc>
          <w:tcPr>
            <w:tcW w:w="3794" w:type="dxa"/>
            <w:tcBorders>
              <w:left w:val="single" w:sz="2" w:space="0" w:color="auto"/>
            </w:tcBorders>
            <w:shd w:val="clear" w:color="auto" w:fill="auto"/>
            <w:vAlign w:val="bottom"/>
          </w:tcPr>
          <w:p w14:paraId="29B79D4B" w14:textId="77777777" w:rsidR="00F00C95" w:rsidRPr="00190046" w:rsidRDefault="00F00C95" w:rsidP="00F00C95">
            <w:pPr>
              <w:pStyle w:val="TableText"/>
              <w:tabs>
                <w:tab w:val="left" w:pos="3306"/>
              </w:tabs>
              <w:rPr>
                <w:rFonts w:cs="Calibri"/>
                <w:b/>
                <w:bCs/>
                <w:lang w:eastAsia="en-AU"/>
              </w:rPr>
            </w:pPr>
          </w:p>
        </w:tc>
        <w:tc>
          <w:tcPr>
            <w:tcW w:w="2165" w:type="dxa"/>
            <w:gridSpan w:val="5"/>
            <w:shd w:val="clear" w:color="auto" w:fill="auto"/>
            <w:vAlign w:val="bottom"/>
          </w:tcPr>
          <w:p w14:paraId="041A0DF5" w14:textId="77777777" w:rsidR="00F00C95" w:rsidRPr="00190046" w:rsidRDefault="00F00C95" w:rsidP="00F00C95">
            <w:pPr>
              <w:pStyle w:val="TableText"/>
              <w:tabs>
                <w:tab w:val="left" w:pos="3306"/>
              </w:tabs>
              <w:jc w:val="right"/>
              <w:rPr>
                <w:rFonts w:cs="Calibri"/>
                <w:b/>
                <w:bCs/>
                <w:lang w:eastAsia="en-AU"/>
              </w:rPr>
            </w:pPr>
          </w:p>
        </w:tc>
        <w:tc>
          <w:tcPr>
            <w:tcW w:w="1923" w:type="dxa"/>
            <w:gridSpan w:val="4"/>
            <w:shd w:val="clear" w:color="auto" w:fill="auto"/>
            <w:vAlign w:val="bottom"/>
          </w:tcPr>
          <w:p w14:paraId="76961CF5" w14:textId="77777777" w:rsidR="00F00C95" w:rsidRPr="00190046" w:rsidRDefault="00F00C95" w:rsidP="00F00C95">
            <w:pPr>
              <w:pStyle w:val="TableText"/>
              <w:tabs>
                <w:tab w:val="left" w:pos="3306"/>
              </w:tabs>
              <w:jc w:val="right"/>
              <w:rPr>
                <w:rFonts w:cs="Calibri"/>
                <w:b/>
                <w:bCs/>
                <w:lang w:eastAsia="en-AU"/>
              </w:rPr>
            </w:pPr>
          </w:p>
        </w:tc>
        <w:tc>
          <w:tcPr>
            <w:tcW w:w="1052" w:type="dxa"/>
            <w:shd w:val="clear" w:color="auto" w:fill="auto"/>
            <w:vAlign w:val="bottom"/>
          </w:tcPr>
          <w:p w14:paraId="77E1E29B" w14:textId="77777777" w:rsidR="00F00C95" w:rsidRPr="00190046" w:rsidRDefault="00F00C95" w:rsidP="00F00C95">
            <w:pPr>
              <w:pStyle w:val="TableText"/>
              <w:tabs>
                <w:tab w:val="left" w:pos="3306"/>
              </w:tabs>
              <w:jc w:val="right"/>
              <w:rPr>
                <w:rFonts w:cs="Calibri"/>
                <w:b/>
                <w:bCs/>
                <w:lang w:eastAsia="en-AU"/>
              </w:rPr>
            </w:pPr>
          </w:p>
        </w:tc>
      </w:tr>
      <w:tr w:rsidR="00F00C95" w:rsidRPr="00CF7E1B" w14:paraId="221E47A2"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7" w:type="dxa"/>
            <w:tcBorders>
              <w:left w:val="single" w:sz="2" w:space="0" w:color="auto"/>
              <w:right w:val="single" w:sz="2" w:space="0" w:color="auto"/>
            </w:tcBorders>
          </w:tcPr>
          <w:p w14:paraId="2862B18D" w14:textId="77777777" w:rsidR="00F00C95" w:rsidRPr="004D4028" w:rsidRDefault="00F00C95" w:rsidP="00F00C95">
            <w:pPr>
              <w:rPr>
                <w:rFonts w:cs="Calibri"/>
                <w:sz w:val="14"/>
                <w:szCs w:val="14"/>
                <w:lang w:eastAsia="en-AU"/>
              </w:rPr>
            </w:pPr>
          </w:p>
        </w:tc>
        <w:tc>
          <w:tcPr>
            <w:tcW w:w="8987" w:type="dxa"/>
            <w:gridSpan w:val="12"/>
            <w:tcBorders>
              <w:left w:val="single" w:sz="2" w:space="0" w:color="auto"/>
            </w:tcBorders>
            <w:vAlign w:val="bottom"/>
          </w:tcPr>
          <w:p w14:paraId="6D424357" w14:textId="77777777" w:rsidR="00F00C95" w:rsidRPr="00190046" w:rsidRDefault="00F00C95" w:rsidP="00F00C95">
            <w:pPr>
              <w:pStyle w:val="TableText"/>
              <w:tabs>
                <w:tab w:val="left" w:pos="3306"/>
              </w:tabs>
              <w:spacing w:before="0"/>
              <w:rPr>
                <w:rFonts w:cs="Calibri"/>
                <w:b/>
                <w:bCs/>
                <w:lang w:eastAsia="en-AU"/>
              </w:rPr>
            </w:pPr>
            <w:r w:rsidRPr="00190046">
              <w:rPr>
                <w:rFonts w:cs="Calibri"/>
                <w:b/>
                <w:bCs/>
                <w:lang w:eastAsia="en-AU"/>
              </w:rPr>
              <w:t>Assets and Liabilities</w:t>
            </w:r>
          </w:p>
        </w:tc>
      </w:tr>
      <w:tr w:rsidR="00F00C95" w:rsidRPr="00CF7E1B" w14:paraId="5520FD8E"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1557" w:type="dxa"/>
            <w:tcBorders>
              <w:left w:val="single" w:sz="2" w:space="0" w:color="auto"/>
              <w:right w:val="single" w:sz="2" w:space="0" w:color="auto"/>
            </w:tcBorders>
          </w:tcPr>
          <w:p w14:paraId="7EAEE265" w14:textId="77777777" w:rsidR="00F00C95" w:rsidRPr="004D4028" w:rsidRDefault="00F00C95" w:rsidP="00F00C95">
            <w:pPr>
              <w:rPr>
                <w:rFonts w:cs="Calibri"/>
                <w:sz w:val="14"/>
                <w:szCs w:val="14"/>
                <w:lang w:eastAsia="en-AU"/>
              </w:rPr>
            </w:pPr>
          </w:p>
        </w:tc>
        <w:tc>
          <w:tcPr>
            <w:tcW w:w="8987" w:type="dxa"/>
            <w:gridSpan w:val="12"/>
            <w:tcBorders>
              <w:left w:val="single" w:sz="2" w:space="0" w:color="auto"/>
            </w:tcBorders>
            <w:vAlign w:val="bottom"/>
          </w:tcPr>
          <w:p w14:paraId="16304703" w14:textId="77777777" w:rsidR="00F00C95" w:rsidRPr="00190046" w:rsidRDefault="00F00C95" w:rsidP="00F00C95">
            <w:pPr>
              <w:pStyle w:val="TableText"/>
              <w:tabs>
                <w:tab w:val="left" w:pos="3306"/>
              </w:tabs>
              <w:spacing w:before="0"/>
              <w:jc w:val="both"/>
              <w:rPr>
                <w:rFonts w:cs="Calibri"/>
                <w:bCs/>
                <w:lang w:eastAsia="en-AU"/>
              </w:rPr>
            </w:pPr>
            <w:r w:rsidRPr="00190046">
              <w:rPr>
                <w:rFonts w:cs="Calibri"/>
                <w:bCs/>
                <w:lang w:eastAsia="en-AU"/>
              </w:rPr>
              <w:t>The territorial assets and liabilities transferred as part of the restructuring of administrative arrangements at the dates of transfer were as follows:</w:t>
            </w:r>
          </w:p>
        </w:tc>
      </w:tr>
      <w:tr w:rsidR="00F00C95" w:rsidRPr="00CF7E1B" w14:paraId="7568F891"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trPr>
        <w:tc>
          <w:tcPr>
            <w:tcW w:w="1557" w:type="dxa"/>
            <w:tcBorders>
              <w:left w:val="single" w:sz="2" w:space="0" w:color="auto"/>
              <w:right w:val="single" w:sz="2" w:space="0" w:color="auto"/>
            </w:tcBorders>
            <w:vAlign w:val="center"/>
          </w:tcPr>
          <w:p w14:paraId="6DAC04A7" w14:textId="77777777" w:rsidR="00F00C95" w:rsidRPr="004D4028" w:rsidRDefault="00F00C95" w:rsidP="00F00C95">
            <w:pPr>
              <w:jc w:val="center"/>
              <w:rPr>
                <w:rFonts w:cs="Calibri"/>
                <w:sz w:val="14"/>
                <w:szCs w:val="14"/>
                <w:lang w:eastAsia="en-AU"/>
              </w:rPr>
            </w:pPr>
          </w:p>
        </w:tc>
        <w:tc>
          <w:tcPr>
            <w:tcW w:w="5250" w:type="dxa"/>
            <w:gridSpan w:val="2"/>
            <w:tcBorders>
              <w:left w:val="single" w:sz="2" w:space="0" w:color="auto"/>
            </w:tcBorders>
            <w:shd w:val="clear" w:color="auto" w:fill="auto"/>
            <w:vAlign w:val="center"/>
          </w:tcPr>
          <w:p w14:paraId="7B3B7339" w14:textId="77777777" w:rsidR="00F00C95" w:rsidRPr="00190046" w:rsidRDefault="00F00C95" w:rsidP="00F00C95">
            <w:pPr>
              <w:pStyle w:val="TableText"/>
              <w:tabs>
                <w:tab w:val="left" w:pos="3306"/>
              </w:tabs>
              <w:jc w:val="center"/>
              <w:rPr>
                <w:rFonts w:cs="Calibri"/>
                <w:b/>
                <w:bCs/>
                <w:lang w:eastAsia="en-AU"/>
              </w:rPr>
            </w:pPr>
          </w:p>
        </w:tc>
        <w:tc>
          <w:tcPr>
            <w:tcW w:w="1843" w:type="dxa"/>
            <w:gridSpan w:val="5"/>
            <w:shd w:val="clear" w:color="auto" w:fill="auto"/>
            <w:vAlign w:val="center"/>
          </w:tcPr>
          <w:p w14:paraId="32C05BF3" w14:textId="77777777" w:rsidR="00F00C95" w:rsidRPr="00190046" w:rsidRDefault="00F00C95" w:rsidP="00F00C95">
            <w:pPr>
              <w:pStyle w:val="TableText"/>
              <w:tabs>
                <w:tab w:val="left" w:pos="1659"/>
              </w:tabs>
              <w:spacing w:before="0"/>
              <w:jc w:val="right"/>
              <w:rPr>
                <w:rFonts w:cs="Calibri"/>
                <w:b/>
                <w:bCs/>
                <w:lang w:eastAsia="en-AU"/>
              </w:rPr>
            </w:pPr>
            <w:r w:rsidRPr="00190046">
              <w:rPr>
                <w:rFonts w:cs="Calibri"/>
                <w:b/>
                <w:bCs/>
                <w:lang w:eastAsia="en-AU"/>
              </w:rPr>
              <w:t>Transferred Amounts</w:t>
            </w:r>
          </w:p>
          <w:p w14:paraId="18945810" w14:textId="331093BB" w:rsidR="00F00C95" w:rsidRPr="00190046" w:rsidRDefault="00F00C95" w:rsidP="00F00C95">
            <w:pPr>
              <w:pStyle w:val="TableText"/>
              <w:tabs>
                <w:tab w:val="left" w:pos="3306"/>
              </w:tabs>
              <w:jc w:val="right"/>
              <w:rPr>
                <w:rFonts w:cs="Calibri"/>
                <w:b/>
                <w:bCs/>
                <w:lang w:eastAsia="en-AU"/>
              </w:rPr>
            </w:pPr>
            <w:r w:rsidRPr="00190046">
              <w:rPr>
                <w:rFonts w:cs="Calibri"/>
                <w:b/>
                <w:bCs/>
                <w:lang w:eastAsia="en-AU"/>
              </w:rPr>
              <w:t>202</w:t>
            </w:r>
            <w:r>
              <w:rPr>
                <w:rFonts w:cs="Calibri"/>
                <w:b/>
                <w:bCs/>
                <w:lang w:eastAsia="en-AU"/>
              </w:rPr>
              <w:t>3</w:t>
            </w:r>
          </w:p>
        </w:tc>
        <w:tc>
          <w:tcPr>
            <w:tcW w:w="1894" w:type="dxa"/>
            <w:gridSpan w:val="5"/>
            <w:shd w:val="clear" w:color="auto" w:fill="auto"/>
            <w:vAlign w:val="center"/>
          </w:tcPr>
          <w:p w14:paraId="0E032F0A" w14:textId="77777777" w:rsidR="00F00C95" w:rsidRPr="00190046" w:rsidRDefault="00F00C95" w:rsidP="00F00C95">
            <w:pPr>
              <w:pStyle w:val="TableText"/>
              <w:tabs>
                <w:tab w:val="left" w:pos="1659"/>
              </w:tabs>
              <w:spacing w:before="0"/>
              <w:jc w:val="right"/>
              <w:rPr>
                <w:rFonts w:cs="Calibri"/>
                <w:b/>
                <w:bCs/>
                <w:lang w:eastAsia="en-AU"/>
              </w:rPr>
            </w:pPr>
            <w:r w:rsidRPr="00190046">
              <w:rPr>
                <w:rFonts w:cs="Calibri"/>
                <w:b/>
                <w:bCs/>
                <w:lang w:eastAsia="en-AU"/>
              </w:rPr>
              <w:t>Transferred Amounts</w:t>
            </w:r>
          </w:p>
          <w:p w14:paraId="2B304237" w14:textId="08049582" w:rsidR="00F00C95" w:rsidRPr="00190046" w:rsidRDefault="00F00C95" w:rsidP="00F00C95">
            <w:pPr>
              <w:pStyle w:val="TableText"/>
              <w:tabs>
                <w:tab w:val="left" w:pos="3306"/>
              </w:tabs>
              <w:spacing w:before="0"/>
              <w:jc w:val="right"/>
              <w:rPr>
                <w:rFonts w:cs="Calibri"/>
                <w:b/>
                <w:bCs/>
                <w:lang w:eastAsia="en-AU"/>
              </w:rPr>
            </w:pPr>
            <w:r w:rsidRPr="00190046">
              <w:rPr>
                <w:rFonts w:cs="Calibri"/>
                <w:b/>
                <w:bCs/>
                <w:lang w:eastAsia="en-AU"/>
              </w:rPr>
              <w:t>202</w:t>
            </w:r>
            <w:r>
              <w:rPr>
                <w:rFonts w:cs="Calibri"/>
                <w:b/>
                <w:bCs/>
                <w:lang w:eastAsia="en-AU"/>
              </w:rPr>
              <w:t>2</w:t>
            </w:r>
          </w:p>
        </w:tc>
      </w:tr>
      <w:tr w:rsidR="00F00C95" w:rsidRPr="00CF7E1B" w14:paraId="5C21E926"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57" w:type="dxa"/>
            <w:tcBorders>
              <w:left w:val="single" w:sz="2" w:space="0" w:color="auto"/>
              <w:right w:val="single" w:sz="2" w:space="0" w:color="auto"/>
            </w:tcBorders>
          </w:tcPr>
          <w:p w14:paraId="5714C28B"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shd w:val="clear" w:color="auto" w:fill="auto"/>
            <w:vAlign w:val="bottom"/>
          </w:tcPr>
          <w:p w14:paraId="52782FAD" w14:textId="77777777" w:rsidR="00F00C95" w:rsidRPr="00190046" w:rsidRDefault="00F00C95" w:rsidP="00F00C95">
            <w:pPr>
              <w:pStyle w:val="TableText"/>
              <w:tabs>
                <w:tab w:val="left" w:pos="3306"/>
              </w:tabs>
              <w:jc w:val="right"/>
              <w:rPr>
                <w:rFonts w:cs="Calibri"/>
                <w:b/>
                <w:bCs/>
                <w:lang w:eastAsia="en-AU"/>
              </w:rPr>
            </w:pPr>
          </w:p>
        </w:tc>
        <w:tc>
          <w:tcPr>
            <w:tcW w:w="1843" w:type="dxa"/>
            <w:gridSpan w:val="5"/>
            <w:shd w:val="clear" w:color="auto" w:fill="auto"/>
            <w:vAlign w:val="center"/>
          </w:tcPr>
          <w:p w14:paraId="67C9F03D" w14:textId="77777777" w:rsidR="00F00C95" w:rsidRPr="00190046" w:rsidRDefault="00F00C95" w:rsidP="00F00C95">
            <w:pPr>
              <w:pStyle w:val="TableText"/>
              <w:jc w:val="right"/>
              <w:rPr>
                <w:rFonts w:cs="Calibri"/>
                <w:b/>
                <w:bCs/>
                <w:lang w:eastAsia="en-AU"/>
              </w:rPr>
            </w:pPr>
            <w:r w:rsidRPr="00190046">
              <w:rPr>
                <w:rFonts w:cs="Calibri"/>
                <w:b/>
                <w:bCs/>
                <w:lang w:eastAsia="en-AU"/>
              </w:rPr>
              <w:t>$’000</w:t>
            </w:r>
          </w:p>
        </w:tc>
        <w:tc>
          <w:tcPr>
            <w:tcW w:w="1894" w:type="dxa"/>
            <w:gridSpan w:val="5"/>
            <w:shd w:val="clear" w:color="auto" w:fill="auto"/>
            <w:vAlign w:val="center"/>
          </w:tcPr>
          <w:p w14:paraId="49123FAF" w14:textId="77777777" w:rsidR="00F00C95" w:rsidRPr="00190046" w:rsidRDefault="00F00C95" w:rsidP="00F00C95">
            <w:pPr>
              <w:pStyle w:val="TableText"/>
              <w:jc w:val="right"/>
              <w:rPr>
                <w:rFonts w:cs="Calibri"/>
                <w:b/>
                <w:bCs/>
                <w:lang w:eastAsia="en-AU"/>
              </w:rPr>
            </w:pPr>
            <w:r w:rsidRPr="00190046">
              <w:rPr>
                <w:rFonts w:cs="Calibri"/>
                <w:b/>
                <w:bCs/>
                <w:lang w:eastAsia="en-AU"/>
              </w:rPr>
              <w:t>$’000</w:t>
            </w:r>
          </w:p>
        </w:tc>
      </w:tr>
      <w:tr w:rsidR="00F00C95" w:rsidRPr="00CF7E1B" w14:paraId="711D8AA4"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57" w:type="dxa"/>
            <w:tcBorders>
              <w:left w:val="single" w:sz="2" w:space="0" w:color="auto"/>
              <w:right w:val="single" w:sz="2" w:space="0" w:color="auto"/>
            </w:tcBorders>
          </w:tcPr>
          <w:p w14:paraId="1BFA4913"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shd w:val="clear" w:color="auto" w:fill="auto"/>
            <w:vAlign w:val="bottom"/>
          </w:tcPr>
          <w:p w14:paraId="6BD21173" w14:textId="77777777" w:rsidR="00F00C95" w:rsidRPr="00190046" w:rsidRDefault="00F00C95" w:rsidP="00F00C95">
            <w:pPr>
              <w:pStyle w:val="TableText"/>
              <w:tabs>
                <w:tab w:val="left" w:pos="3306"/>
              </w:tabs>
              <w:rPr>
                <w:rFonts w:cs="Calibri"/>
                <w:b/>
                <w:bCs/>
                <w:lang w:eastAsia="en-AU"/>
              </w:rPr>
            </w:pPr>
            <w:r w:rsidRPr="00190046">
              <w:rPr>
                <w:rFonts w:cs="Calibri"/>
                <w:b/>
                <w:lang w:eastAsia="en-AU"/>
              </w:rPr>
              <w:t>Assets</w:t>
            </w:r>
          </w:p>
        </w:tc>
        <w:tc>
          <w:tcPr>
            <w:tcW w:w="1843" w:type="dxa"/>
            <w:gridSpan w:val="5"/>
            <w:shd w:val="clear" w:color="auto" w:fill="auto"/>
            <w:vAlign w:val="bottom"/>
          </w:tcPr>
          <w:p w14:paraId="74F467C7" w14:textId="77777777" w:rsidR="00F00C95" w:rsidRPr="00190046" w:rsidRDefault="00F00C95" w:rsidP="00F00C95">
            <w:pPr>
              <w:pStyle w:val="TableText"/>
              <w:jc w:val="right"/>
              <w:rPr>
                <w:rFonts w:cs="Calibri"/>
                <w:b/>
                <w:bCs/>
                <w:lang w:eastAsia="en-AU"/>
              </w:rPr>
            </w:pPr>
          </w:p>
        </w:tc>
        <w:tc>
          <w:tcPr>
            <w:tcW w:w="1894" w:type="dxa"/>
            <w:gridSpan w:val="5"/>
            <w:shd w:val="clear" w:color="auto" w:fill="auto"/>
            <w:vAlign w:val="bottom"/>
          </w:tcPr>
          <w:p w14:paraId="5F3E38FF" w14:textId="77777777" w:rsidR="00F00C95" w:rsidRPr="00190046" w:rsidRDefault="00F00C95" w:rsidP="00F00C95">
            <w:pPr>
              <w:pStyle w:val="TableText"/>
              <w:jc w:val="right"/>
              <w:rPr>
                <w:rFonts w:cs="Calibri"/>
                <w:b/>
                <w:bCs/>
                <w:lang w:eastAsia="en-AU"/>
              </w:rPr>
            </w:pPr>
          </w:p>
        </w:tc>
      </w:tr>
      <w:tr w:rsidR="00F00C95" w:rsidRPr="00CF7E1B" w14:paraId="27FB13B2"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57" w:type="dxa"/>
            <w:tcBorders>
              <w:left w:val="single" w:sz="2" w:space="0" w:color="auto"/>
              <w:right w:val="single" w:sz="2" w:space="0" w:color="auto"/>
            </w:tcBorders>
          </w:tcPr>
          <w:p w14:paraId="155CA706"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shd w:val="clear" w:color="auto" w:fill="auto"/>
            <w:vAlign w:val="bottom"/>
          </w:tcPr>
          <w:p w14:paraId="1E8044F5" w14:textId="4D3DA6FE" w:rsidR="00F00C95" w:rsidRPr="00190046" w:rsidRDefault="00F00C95" w:rsidP="00F00C95">
            <w:pPr>
              <w:pStyle w:val="TableText"/>
              <w:tabs>
                <w:tab w:val="left" w:pos="3306"/>
              </w:tabs>
              <w:rPr>
                <w:rFonts w:cs="Calibri"/>
                <w:b/>
                <w:bCs/>
                <w:lang w:eastAsia="en-AU"/>
              </w:rPr>
            </w:pPr>
            <w:r w:rsidRPr="00190046">
              <w:rPr>
                <w:rFonts w:cs="Calibri"/>
                <w:lang w:eastAsia="en-AU"/>
              </w:rPr>
              <w:t>Cash and Investments</w:t>
            </w:r>
            <w:r w:rsidRPr="00A14734">
              <w:rPr>
                <w:rFonts w:cs="Calibri"/>
                <w:lang w:eastAsia="en-AU"/>
              </w:rPr>
              <w:t xml:space="preserve"> </w:t>
            </w:r>
          </w:p>
        </w:tc>
        <w:tc>
          <w:tcPr>
            <w:tcW w:w="1843" w:type="dxa"/>
            <w:gridSpan w:val="5"/>
            <w:shd w:val="clear" w:color="auto" w:fill="auto"/>
            <w:vAlign w:val="bottom"/>
          </w:tcPr>
          <w:p w14:paraId="39E23230" w14:textId="222988B5" w:rsidR="00F00C95" w:rsidRPr="00190046" w:rsidRDefault="00F00C95" w:rsidP="00F00C95">
            <w:pPr>
              <w:pStyle w:val="TableText"/>
              <w:jc w:val="right"/>
              <w:rPr>
                <w:rFonts w:cs="Calibri"/>
                <w:bCs/>
                <w:lang w:eastAsia="en-AU"/>
              </w:rPr>
            </w:pPr>
          </w:p>
        </w:tc>
        <w:tc>
          <w:tcPr>
            <w:tcW w:w="1894" w:type="dxa"/>
            <w:gridSpan w:val="5"/>
            <w:shd w:val="clear" w:color="auto" w:fill="auto"/>
            <w:vAlign w:val="bottom"/>
          </w:tcPr>
          <w:p w14:paraId="35AC2458" w14:textId="346502CF" w:rsidR="00F00C95" w:rsidRPr="00190046" w:rsidRDefault="00F00C95" w:rsidP="00F00C95">
            <w:pPr>
              <w:pStyle w:val="TableText"/>
              <w:jc w:val="right"/>
              <w:rPr>
                <w:rFonts w:cs="Calibri"/>
                <w:bCs/>
                <w:lang w:eastAsia="en-AU"/>
              </w:rPr>
            </w:pPr>
          </w:p>
        </w:tc>
      </w:tr>
      <w:tr w:rsidR="00F00C95" w:rsidRPr="00CF7E1B" w14:paraId="6E7F4945"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557" w:type="dxa"/>
            <w:tcBorders>
              <w:left w:val="single" w:sz="2" w:space="0" w:color="auto"/>
              <w:right w:val="single" w:sz="2" w:space="0" w:color="auto"/>
            </w:tcBorders>
          </w:tcPr>
          <w:p w14:paraId="662F5154"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shd w:val="clear" w:color="auto" w:fill="auto"/>
            <w:vAlign w:val="bottom"/>
          </w:tcPr>
          <w:p w14:paraId="404FF029" w14:textId="77777777" w:rsidR="00F00C95" w:rsidRPr="00190046" w:rsidRDefault="00F00C95" w:rsidP="00F00C95">
            <w:pPr>
              <w:pStyle w:val="TableText"/>
              <w:tabs>
                <w:tab w:val="left" w:pos="3306"/>
              </w:tabs>
              <w:rPr>
                <w:rFonts w:cs="Calibri"/>
                <w:b/>
                <w:bCs/>
                <w:lang w:eastAsia="en-AU"/>
              </w:rPr>
            </w:pPr>
            <w:r w:rsidRPr="00190046">
              <w:rPr>
                <w:rFonts w:cs="Calibri"/>
                <w:lang w:eastAsia="en-AU"/>
              </w:rPr>
              <w:t>Receivables</w:t>
            </w:r>
          </w:p>
        </w:tc>
        <w:tc>
          <w:tcPr>
            <w:tcW w:w="1843" w:type="dxa"/>
            <w:gridSpan w:val="5"/>
            <w:tcBorders>
              <w:bottom w:val="single" w:sz="2" w:space="0" w:color="auto"/>
            </w:tcBorders>
            <w:shd w:val="clear" w:color="auto" w:fill="auto"/>
            <w:vAlign w:val="bottom"/>
          </w:tcPr>
          <w:p w14:paraId="55BD3D45" w14:textId="56F9EB8F" w:rsidR="00F00C95" w:rsidRPr="00190046" w:rsidRDefault="00F00C95" w:rsidP="00F00C95">
            <w:pPr>
              <w:pStyle w:val="TableText"/>
              <w:jc w:val="right"/>
              <w:rPr>
                <w:rFonts w:cs="Calibri"/>
                <w:bCs/>
                <w:lang w:eastAsia="en-AU"/>
              </w:rPr>
            </w:pPr>
          </w:p>
        </w:tc>
        <w:tc>
          <w:tcPr>
            <w:tcW w:w="1894" w:type="dxa"/>
            <w:gridSpan w:val="5"/>
            <w:tcBorders>
              <w:bottom w:val="single" w:sz="2" w:space="0" w:color="auto"/>
            </w:tcBorders>
            <w:shd w:val="clear" w:color="auto" w:fill="auto"/>
            <w:vAlign w:val="bottom"/>
          </w:tcPr>
          <w:p w14:paraId="57E45AE1" w14:textId="2E6E4280" w:rsidR="00F00C95" w:rsidRPr="00190046" w:rsidRDefault="00F00C95" w:rsidP="00F00C95">
            <w:pPr>
              <w:pStyle w:val="TableText"/>
              <w:jc w:val="right"/>
              <w:rPr>
                <w:rFonts w:cs="Calibri"/>
                <w:bCs/>
                <w:lang w:eastAsia="en-AU"/>
              </w:rPr>
            </w:pPr>
          </w:p>
        </w:tc>
      </w:tr>
      <w:tr w:rsidR="00F00C95" w:rsidRPr="00CF7E1B" w14:paraId="265AB251"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7" w:type="dxa"/>
            <w:tcBorders>
              <w:left w:val="single" w:sz="2" w:space="0" w:color="auto"/>
              <w:right w:val="single" w:sz="2" w:space="0" w:color="auto"/>
            </w:tcBorders>
          </w:tcPr>
          <w:p w14:paraId="242ACC9C"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shd w:val="clear" w:color="auto" w:fill="auto"/>
            <w:vAlign w:val="bottom"/>
          </w:tcPr>
          <w:p w14:paraId="18F84FEB" w14:textId="77777777" w:rsidR="00F00C95" w:rsidRPr="00190046" w:rsidRDefault="00F00C95" w:rsidP="00F00C95">
            <w:pPr>
              <w:pStyle w:val="TableText"/>
              <w:tabs>
                <w:tab w:val="left" w:pos="3306"/>
              </w:tabs>
              <w:rPr>
                <w:rFonts w:cs="Calibri"/>
                <w:b/>
                <w:bCs/>
                <w:lang w:eastAsia="en-AU"/>
              </w:rPr>
            </w:pPr>
            <w:r w:rsidRPr="00190046">
              <w:rPr>
                <w:rFonts w:cs="Calibri"/>
                <w:b/>
                <w:lang w:eastAsia="en-AU"/>
              </w:rPr>
              <w:t>Total Assets Transferred</w:t>
            </w:r>
          </w:p>
        </w:tc>
        <w:tc>
          <w:tcPr>
            <w:tcW w:w="1843" w:type="dxa"/>
            <w:gridSpan w:val="5"/>
            <w:tcBorders>
              <w:top w:val="single" w:sz="2" w:space="0" w:color="auto"/>
              <w:bottom w:val="single" w:sz="2" w:space="0" w:color="auto"/>
            </w:tcBorders>
            <w:shd w:val="clear" w:color="auto" w:fill="auto"/>
            <w:vAlign w:val="bottom"/>
          </w:tcPr>
          <w:p w14:paraId="091EBCA5" w14:textId="3225DF6C" w:rsidR="00F00C95" w:rsidRPr="00190046" w:rsidRDefault="00F00C95" w:rsidP="00F00C95">
            <w:pPr>
              <w:pStyle w:val="TableText"/>
              <w:spacing w:before="0"/>
              <w:jc w:val="right"/>
              <w:rPr>
                <w:rFonts w:cs="Calibri"/>
                <w:b/>
                <w:bCs/>
                <w:lang w:eastAsia="en-AU"/>
              </w:rPr>
            </w:pPr>
          </w:p>
        </w:tc>
        <w:tc>
          <w:tcPr>
            <w:tcW w:w="1894" w:type="dxa"/>
            <w:gridSpan w:val="5"/>
            <w:tcBorders>
              <w:top w:val="single" w:sz="2" w:space="0" w:color="auto"/>
              <w:bottom w:val="single" w:sz="2" w:space="0" w:color="auto"/>
            </w:tcBorders>
            <w:shd w:val="clear" w:color="auto" w:fill="auto"/>
            <w:vAlign w:val="bottom"/>
          </w:tcPr>
          <w:p w14:paraId="7B37CA59" w14:textId="4CCEBC98" w:rsidR="00F00C95" w:rsidRPr="00190046" w:rsidRDefault="00F00C95" w:rsidP="00F00C95">
            <w:pPr>
              <w:pStyle w:val="TableText"/>
              <w:spacing w:before="0"/>
              <w:jc w:val="right"/>
              <w:rPr>
                <w:rFonts w:cs="Calibri"/>
                <w:b/>
                <w:bCs/>
                <w:lang w:eastAsia="en-AU"/>
              </w:rPr>
            </w:pPr>
          </w:p>
        </w:tc>
      </w:tr>
      <w:tr w:rsidR="00F00C95" w:rsidRPr="00836128" w14:paraId="5AB973C5"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7" w:type="dxa"/>
            <w:tcBorders>
              <w:left w:val="single" w:sz="2" w:space="0" w:color="auto"/>
              <w:right w:val="single" w:sz="2" w:space="0" w:color="auto"/>
            </w:tcBorders>
          </w:tcPr>
          <w:p w14:paraId="391EC808" w14:textId="77777777" w:rsidR="00F00C95" w:rsidRPr="00836128" w:rsidRDefault="00F00C95" w:rsidP="00F00C95">
            <w:pPr>
              <w:rPr>
                <w:rFonts w:cs="Calibri"/>
                <w:sz w:val="12"/>
                <w:szCs w:val="12"/>
                <w:lang w:eastAsia="en-AU"/>
              </w:rPr>
            </w:pPr>
          </w:p>
        </w:tc>
        <w:tc>
          <w:tcPr>
            <w:tcW w:w="5250" w:type="dxa"/>
            <w:gridSpan w:val="2"/>
            <w:tcBorders>
              <w:left w:val="single" w:sz="2" w:space="0" w:color="auto"/>
            </w:tcBorders>
            <w:shd w:val="clear" w:color="auto" w:fill="auto"/>
            <w:vAlign w:val="bottom"/>
          </w:tcPr>
          <w:p w14:paraId="6CECB20C" w14:textId="77777777" w:rsidR="00F00C95" w:rsidRPr="00190046" w:rsidRDefault="00F00C95" w:rsidP="00F00C95">
            <w:pPr>
              <w:pStyle w:val="TableText"/>
              <w:tabs>
                <w:tab w:val="left" w:pos="3306"/>
              </w:tabs>
              <w:spacing w:before="0"/>
              <w:rPr>
                <w:rFonts w:cs="Calibri"/>
                <w:b/>
                <w:sz w:val="12"/>
                <w:szCs w:val="12"/>
                <w:lang w:eastAsia="en-AU"/>
              </w:rPr>
            </w:pPr>
          </w:p>
        </w:tc>
        <w:tc>
          <w:tcPr>
            <w:tcW w:w="1843" w:type="dxa"/>
            <w:gridSpan w:val="5"/>
            <w:tcBorders>
              <w:top w:val="single" w:sz="2" w:space="0" w:color="auto"/>
            </w:tcBorders>
            <w:shd w:val="clear" w:color="auto" w:fill="auto"/>
            <w:vAlign w:val="bottom"/>
          </w:tcPr>
          <w:p w14:paraId="4F7759B7" w14:textId="77777777" w:rsidR="00F00C95" w:rsidRPr="00190046" w:rsidRDefault="00F00C95" w:rsidP="00F00C95">
            <w:pPr>
              <w:pStyle w:val="TableText"/>
              <w:spacing w:before="0"/>
              <w:jc w:val="right"/>
              <w:rPr>
                <w:rFonts w:cs="Calibri"/>
                <w:b/>
                <w:bCs/>
                <w:sz w:val="12"/>
                <w:szCs w:val="12"/>
                <w:lang w:eastAsia="en-AU"/>
              </w:rPr>
            </w:pPr>
          </w:p>
        </w:tc>
        <w:tc>
          <w:tcPr>
            <w:tcW w:w="1894" w:type="dxa"/>
            <w:gridSpan w:val="5"/>
            <w:tcBorders>
              <w:top w:val="single" w:sz="2" w:space="0" w:color="auto"/>
            </w:tcBorders>
            <w:shd w:val="clear" w:color="auto" w:fill="auto"/>
            <w:vAlign w:val="bottom"/>
          </w:tcPr>
          <w:p w14:paraId="30B995ED" w14:textId="77777777" w:rsidR="00F00C95" w:rsidRPr="00190046" w:rsidRDefault="00F00C95" w:rsidP="00F00C95">
            <w:pPr>
              <w:pStyle w:val="TableText"/>
              <w:spacing w:before="0"/>
              <w:jc w:val="right"/>
              <w:rPr>
                <w:rFonts w:cs="Calibri"/>
                <w:b/>
                <w:bCs/>
                <w:sz w:val="12"/>
                <w:szCs w:val="12"/>
                <w:lang w:eastAsia="en-AU"/>
              </w:rPr>
            </w:pPr>
          </w:p>
        </w:tc>
      </w:tr>
      <w:tr w:rsidR="00F00C95" w:rsidRPr="00836128" w14:paraId="137818DD"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7" w:type="dxa"/>
            <w:tcBorders>
              <w:left w:val="single" w:sz="2" w:space="0" w:color="auto"/>
              <w:right w:val="single" w:sz="2" w:space="0" w:color="auto"/>
            </w:tcBorders>
          </w:tcPr>
          <w:p w14:paraId="2DF1A73E" w14:textId="7E9CE4C0" w:rsidR="00F00C95" w:rsidRPr="00836128" w:rsidRDefault="00F00C95" w:rsidP="002976B4">
            <w:pPr>
              <w:spacing w:before="240" w:after="180"/>
              <w:rPr>
                <w:rFonts w:cs="Calibri"/>
                <w:sz w:val="12"/>
                <w:szCs w:val="12"/>
                <w:lang w:eastAsia="en-AU"/>
              </w:rPr>
            </w:pPr>
            <w:r>
              <w:br w:type="page"/>
            </w:r>
            <w:r w:rsidRPr="00CF7E1B">
              <w:rPr>
                <w:rFonts w:cs="Calibri"/>
                <w:b/>
                <w:bCs/>
              </w:rPr>
              <w:br w:type="page"/>
            </w:r>
            <w:r w:rsidRPr="006B468D">
              <w:rPr>
                <w:rFonts w:asciiTheme="minorHAnsi" w:hAnsiTheme="minorHAnsi" w:cstheme="minorHAnsi"/>
                <w:b/>
                <w:bCs/>
                <w:color w:val="7030A0"/>
                <w:szCs w:val="22"/>
              </w:rPr>
              <w:t>Reference</w:t>
            </w:r>
          </w:p>
        </w:tc>
        <w:tc>
          <w:tcPr>
            <w:tcW w:w="8987" w:type="dxa"/>
            <w:gridSpan w:val="12"/>
            <w:tcBorders>
              <w:left w:val="single" w:sz="2" w:space="0" w:color="auto"/>
            </w:tcBorders>
            <w:shd w:val="clear" w:color="auto" w:fill="auto"/>
          </w:tcPr>
          <w:p w14:paraId="3345AFDA" w14:textId="663DA624" w:rsidR="00F00C95" w:rsidRPr="00190046" w:rsidRDefault="00F00C95" w:rsidP="002976B4">
            <w:pPr>
              <w:pStyle w:val="TableText"/>
              <w:spacing w:before="240" w:after="180"/>
              <w:rPr>
                <w:rFonts w:cs="Calibri"/>
                <w:b/>
                <w:bCs/>
                <w:sz w:val="12"/>
                <w:szCs w:val="12"/>
                <w:lang w:eastAsia="en-AU"/>
              </w:rPr>
            </w:pPr>
            <w:r w:rsidRPr="00190046">
              <w:rPr>
                <w:rFonts w:ascii="Arial" w:hAnsi="Arial" w:cs="Arial"/>
                <w:b/>
                <w:sz w:val="32"/>
                <w:szCs w:val="32"/>
                <w:lang w:eastAsia="en-AU"/>
              </w:rPr>
              <w:t>NOTE 52.</w:t>
            </w:r>
            <w:r>
              <w:rPr>
                <w:rFonts w:ascii="Arial" w:hAnsi="Arial" w:cs="Arial"/>
                <w:b/>
                <w:sz w:val="32"/>
                <w:szCs w:val="32"/>
                <w:lang w:eastAsia="en-AU"/>
              </w:rPr>
              <w:t xml:space="preserve"> </w:t>
            </w:r>
            <w:r w:rsidRPr="00190046">
              <w:rPr>
                <w:rFonts w:ascii="Arial" w:hAnsi="Arial" w:cs="Arial"/>
                <w:b/>
                <w:sz w:val="32"/>
                <w:szCs w:val="32"/>
                <w:lang w:eastAsia="en-AU"/>
              </w:rPr>
              <w:t xml:space="preserve"> RESTRUCTURE OF ADMINISTRATIVE ARRANGEMENTS </w:t>
            </w:r>
            <w:r w:rsidRPr="00190046">
              <w:rPr>
                <w:rFonts w:ascii="Arial" w:hAnsi="Arial" w:cs="Arial"/>
                <w:b/>
                <w:sz w:val="32"/>
                <w:szCs w:val="32"/>
              </w:rPr>
              <w:t xml:space="preserve">– </w:t>
            </w:r>
            <w:r w:rsidRPr="00190046">
              <w:rPr>
                <w:rFonts w:ascii="Arial" w:hAnsi="Arial" w:cs="Arial"/>
                <w:b/>
                <w:sz w:val="32"/>
                <w:szCs w:val="32"/>
                <w:lang w:eastAsia="en-AU"/>
              </w:rPr>
              <w:t xml:space="preserve">TERRITORIAL – CONTINUED </w:t>
            </w:r>
          </w:p>
        </w:tc>
      </w:tr>
      <w:tr w:rsidR="00F00C95" w:rsidRPr="00CF7E1B" w14:paraId="3D8CF2B7"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1557" w:type="dxa"/>
            <w:tcBorders>
              <w:left w:val="single" w:sz="2" w:space="0" w:color="auto"/>
              <w:right w:val="single" w:sz="2" w:space="0" w:color="auto"/>
            </w:tcBorders>
          </w:tcPr>
          <w:p w14:paraId="00779C2E"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vAlign w:val="bottom"/>
          </w:tcPr>
          <w:p w14:paraId="07AF4085" w14:textId="77777777" w:rsidR="00F00C95" w:rsidRPr="00190046" w:rsidRDefault="00F00C95" w:rsidP="00F00C95">
            <w:pPr>
              <w:pStyle w:val="TableText"/>
              <w:tabs>
                <w:tab w:val="left" w:pos="3306"/>
              </w:tabs>
              <w:rPr>
                <w:rFonts w:cs="Calibri"/>
                <w:bCs/>
                <w:lang w:eastAsia="en-AU"/>
              </w:rPr>
            </w:pPr>
            <w:r w:rsidRPr="00190046">
              <w:rPr>
                <w:rFonts w:cs="Calibri"/>
                <w:b/>
                <w:lang w:eastAsia="en-AU"/>
              </w:rPr>
              <w:t>Liabilities</w:t>
            </w:r>
          </w:p>
        </w:tc>
        <w:tc>
          <w:tcPr>
            <w:tcW w:w="1843" w:type="dxa"/>
            <w:gridSpan w:val="5"/>
            <w:shd w:val="clear" w:color="auto" w:fill="auto"/>
            <w:vAlign w:val="bottom"/>
          </w:tcPr>
          <w:p w14:paraId="694ADD72" w14:textId="77777777" w:rsidR="00F00C95" w:rsidRPr="00190046" w:rsidRDefault="00F00C95" w:rsidP="00F00C95">
            <w:pPr>
              <w:pStyle w:val="TableText"/>
              <w:ind w:left="-51" w:firstLine="51"/>
              <w:jc w:val="right"/>
              <w:rPr>
                <w:rFonts w:cs="Calibri"/>
                <w:b/>
                <w:bCs/>
                <w:lang w:eastAsia="en-AU"/>
              </w:rPr>
            </w:pPr>
          </w:p>
        </w:tc>
        <w:tc>
          <w:tcPr>
            <w:tcW w:w="1894" w:type="dxa"/>
            <w:gridSpan w:val="5"/>
            <w:shd w:val="clear" w:color="auto" w:fill="auto"/>
            <w:vAlign w:val="bottom"/>
          </w:tcPr>
          <w:p w14:paraId="781E4D6B" w14:textId="77777777" w:rsidR="00F00C95" w:rsidRPr="00190046" w:rsidRDefault="00F00C95" w:rsidP="00F00C95">
            <w:pPr>
              <w:pStyle w:val="TableText"/>
              <w:ind w:left="-51" w:firstLine="51"/>
              <w:jc w:val="right"/>
              <w:rPr>
                <w:rFonts w:cs="Calibri"/>
                <w:b/>
                <w:bCs/>
                <w:lang w:eastAsia="en-AU"/>
              </w:rPr>
            </w:pPr>
          </w:p>
        </w:tc>
      </w:tr>
      <w:tr w:rsidR="00F00C95" w:rsidRPr="00CF7E1B" w14:paraId="35B4EF83"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57" w:type="dxa"/>
            <w:tcBorders>
              <w:left w:val="single" w:sz="2" w:space="0" w:color="auto"/>
              <w:right w:val="single" w:sz="2" w:space="0" w:color="auto"/>
            </w:tcBorders>
          </w:tcPr>
          <w:p w14:paraId="63481F3C"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vAlign w:val="bottom"/>
          </w:tcPr>
          <w:p w14:paraId="60E328F2" w14:textId="77777777" w:rsidR="00F00C95" w:rsidRPr="00190046" w:rsidRDefault="00F00C95" w:rsidP="00F00C95">
            <w:pPr>
              <w:pStyle w:val="TableText"/>
              <w:tabs>
                <w:tab w:val="left" w:pos="3306"/>
              </w:tabs>
              <w:rPr>
                <w:rFonts w:cs="Calibri"/>
                <w:b/>
                <w:bCs/>
                <w:lang w:eastAsia="en-AU"/>
              </w:rPr>
            </w:pPr>
            <w:r w:rsidRPr="00190046">
              <w:rPr>
                <w:rFonts w:cs="Calibri"/>
                <w:lang w:eastAsia="en-AU"/>
              </w:rPr>
              <w:t>Payables</w:t>
            </w:r>
          </w:p>
        </w:tc>
        <w:tc>
          <w:tcPr>
            <w:tcW w:w="1843" w:type="dxa"/>
            <w:gridSpan w:val="5"/>
            <w:tcBorders>
              <w:bottom w:val="single" w:sz="2" w:space="0" w:color="auto"/>
            </w:tcBorders>
            <w:shd w:val="clear" w:color="auto" w:fill="auto"/>
            <w:vAlign w:val="bottom"/>
          </w:tcPr>
          <w:p w14:paraId="05A6B830" w14:textId="78C1788C" w:rsidR="00F00C95" w:rsidRPr="00190046" w:rsidRDefault="00F00C95" w:rsidP="00F00C95">
            <w:pPr>
              <w:pStyle w:val="TableText"/>
              <w:ind w:left="-51" w:firstLine="51"/>
              <w:jc w:val="right"/>
              <w:rPr>
                <w:rFonts w:cs="Calibri"/>
                <w:bCs/>
                <w:lang w:eastAsia="en-AU"/>
              </w:rPr>
            </w:pPr>
          </w:p>
        </w:tc>
        <w:tc>
          <w:tcPr>
            <w:tcW w:w="1894" w:type="dxa"/>
            <w:gridSpan w:val="5"/>
            <w:tcBorders>
              <w:bottom w:val="single" w:sz="2" w:space="0" w:color="auto"/>
            </w:tcBorders>
            <w:shd w:val="clear" w:color="auto" w:fill="auto"/>
            <w:vAlign w:val="bottom"/>
          </w:tcPr>
          <w:p w14:paraId="67F4CEF8" w14:textId="71F901A8" w:rsidR="00F00C95" w:rsidRPr="00190046" w:rsidRDefault="00F00C95" w:rsidP="00F00C95">
            <w:pPr>
              <w:pStyle w:val="TableText"/>
              <w:ind w:left="-51" w:firstLine="51"/>
              <w:jc w:val="right"/>
              <w:rPr>
                <w:rFonts w:cs="Calibri"/>
                <w:bCs/>
                <w:lang w:eastAsia="en-AU"/>
              </w:rPr>
            </w:pPr>
          </w:p>
        </w:tc>
      </w:tr>
      <w:tr w:rsidR="00F00C95" w:rsidRPr="00CF7E1B" w14:paraId="1698EA37"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57" w:type="dxa"/>
            <w:tcBorders>
              <w:left w:val="single" w:sz="2" w:space="0" w:color="auto"/>
              <w:right w:val="single" w:sz="2" w:space="0" w:color="auto"/>
            </w:tcBorders>
          </w:tcPr>
          <w:p w14:paraId="7955523F" w14:textId="77777777" w:rsidR="00F00C95" w:rsidRPr="004D4028" w:rsidRDefault="00F00C95" w:rsidP="00F00C95">
            <w:pPr>
              <w:rPr>
                <w:rFonts w:cs="Calibri"/>
                <w:sz w:val="14"/>
                <w:szCs w:val="14"/>
                <w:lang w:eastAsia="en-AU"/>
              </w:rPr>
            </w:pPr>
          </w:p>
        </w:tc>
        <w:tc>
          <w:tcPr>
            <w:tcW w:w="5250" w:type="dxa"/>
            <w:gridSpan w:val="2"/>
            <w:tcBorders>
              <w:left w:val="single" w:sz="2" w:space="0" w:color="auto"/>
            </w:tcBorders>
            <w:vAlign w:val="bottom"/>
          </w:tcPr>
          <w:p w14:paraId="59413D09" w14:textId="77777777" w:rsidR="00F00C95" w:rsidRPr="00190046" w:rsidRDefault="00F00C95" w:rsidP="00F00C95">
            <w:pPr>
              <w:pStyle w:val="TableText"/>
              <w:tabs>
                <w:tab w:val="left" w:pos="3306"/>
              </w:tabs>
              <w:rPr>
                <w:rFonts w:cs="Calibri"/>
                <w:b/>
                <w:bCs/>
                <w:lang w:eastAsia="en-AU"/>
              </w:rPr>
            </w:pPr>
            <w:r w:rsidRPr="00190046">
              <w:rPr>
                <w:rFonts w:cs="Calibri"/>
                <w:b/>
                <w:bCs/>
                <w:lang w:eastAsia="en-AU"/>
              </w:rPr>
              <w:t>Total Liabilities Transferred</w:t>
            </w:r>
          </w:p>
        </w:tc>
        <w:tc>
          <w:tcPr>
            <w:tcW w:w="1843" w:type="dxa"/>
            <w:gridSpan w:val="5"/>
            <w:tcBorders>
              <w:top w:val="single" w:sz="2" w:space="0" w:color="auto"/>
              <w:bottom w:val="single" w:sz="2" w:space="0" w:color="auto"/>
            </w:tcBorders>
            <w:shd w:val="clear" w:color="auto" w:fill="auto"/>
            <w:vAlign w:val="bottom"/>
          </w:tcPr>
          <w:p w14:paraId="36CF6FBE" w14:textId="2EB5A3BC" w:rsidR="00F00C95" w:rsidRPr="00190046" w:rsidRDefault="00F00C95" w:rsidP="00F00C95">
            <w:pPr>
              <w:pStyle w:val="TableText"/>
              <w:jc w:val="right"/>
              <w:rPr>
                <w:rFonts w:cs="Calibri"/>
                <w:b/>
                <w:bCs/>
                <w:spacing w:val="-3"/>
                <w:lang w:eastAsia="en-AU"/>
              </w:rPr>
            </w:pPr>
          </w:p>
        </w:tc>
        <w:tc>
          <w:tcPr>
            <w:tcW w:w="1894" w:type="dxa"/>
            <w:gridSpan w:val="5"/>
            <w:tcBorders>
              <w:top w:val="single" w:sz="2" w:space="0" w:color="auto"/>
              <w:bottom w:val="single" w:sz="2" w:space="0" w:color="auto"/>
            </w:tcBorders>
            <w:shd w:val="clear" w:color="auto" w:fill="auto"/>
            <w:vAlign w:val="bottom"/>
          </w:tcPr>
          <w:p w14:paraId="4EFE8DF6" w14:textId="313A9011" w:rsidR="00F00C95" w:rsidRPr="00190046" w:rsidRDefault="00F00C95" w:rsidP="00F00C95">
            <w:pPr>
              <w:pStyle w:val="FootnoteText"/>
              <w:tabs>
                <w:tab w:val="left" w:pos="3306"/>
              </w:tabs>
              <w:ind w:left="-51" w:firstLine="51"/>
              <w:jc w:val="right"/>
              <w:rPr>
                <w:rFonts w:cs="Calibri"/>
                <w:b/>
                <w:bCs/>
                <w:color w:val="auto"/>
                <w:sz w:val="18"/>
                <w:szCs w:val="18"/>
                <w:lang w:eastAsia="en-AU"/>
              </w:rPr>
            </w:pPr>
          </w:p>
        </w:tc>
      </w:tr>
      <w:tr w:rsidR="00F00C95" w:rsidRPr="00836128" w14:paraId="5945FEA2"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1557" w:type="dxa"/>
            <w:tcBorders>
              <w:left w:val="single" w:sz="2" w:space="0" w:color="auto"/>
              <w:right w:val="single" w:sz="2" w:space="0" w:color="auto"/>
            </w:tcBorders>
            <w:vAlign w:val="center"/>
          </w:tcPr>
          <w:p w14:paraId="64B37BC3" w14:textId="77777777" w:rsidR="00F00C95" w:rsidRPr="00836128" w:rsidRDefault="00F00C95" w:rsidP="00F00C95">
            <w:pPr>
              <w:jc w:val="right"/>
              <w:rPr>
                <w:rFonts w:cs="Calibri"/>
                <w:sz w:val="12"/>
                <w:szCs w:val="12"/>
                <w:lang w:eastAsia="en-AU"/>
              </w:rPr>
            </w:pPr>
          </w:p>
        </w:tc>
        <w:tc>
          <w:tcPr>
            <w:tcW w:w="5250" w:type="dxa"/>
            <w:gridSpan w:val="2"/>
            <w:tcBorders>
              <w:left w:val="single" w:sz="2" w:space="0" w:color="auto"/>
            </w:tcBorders>
            <w:vAlign w:val="center"/>
          </w:tcPr>
          <w:p w14:paraId="549FE32C" w14:textId="77777777" w:rsidR="00F00C95" w:rsidRPr="00190046" w:rsidRDefault="00F00C95" w:rsidP="00F00C95">
            <w:pPr>
              <w:pStyle w:val="FootnoteText"/>
              <w:tabs>
                <w:tab w:val="left" w:pos="3306"/>
              </w:tabs>
              <w:rPr>
                <w:rFonts w:cs="Calibri"/>
                <w:b/>
                <w:bCs/>
                <w:color w:val="auto"/>
                <w:sz w:val="12"/>
                <w:szCs w:val="12"/>
                <w:lang w:eastAsia="en-AU"/>
              </w:rPr>
            </w:pPr>
          </w:p>
        </w:tc>
        <w:tc>
          <w:tcPr>
            <w:tcW w:w="1843" w:type="dxa"/>
            <w:gridSpan w:val="5"/>
            <w:tcBorders>
              <w:top w:val="single" w:sz="2" w:space="0" w:color="auto"/>
              <w:bottom w:val="single" w:sz="2" w:space="0" w:color="auto"/>
            </w:tcBorders>
            <w:shd w:val="clear" w:color="auto" w:fill="auto"/>
            <w:vAlign w:val="center"/>
          </w:tcPr>
          <w:p w14:paraId="14DAE814" w14:textId="77777777" w:rsidR="00F00C95" w:rsidRPr="00190046" w:rsidRDefault="00F00C95" w:rsidP="00F00C95">
            <w:pPr>
              <w:pStyle w:val="FootnoteText"/>
              <w:tabs>
                <w:tab w:val="left" w:pos="3306"/>
              </w:tabs>
              <w:ind w:left="-51" w:firstLine="51"/>
              <w:jc w:val="right"/>
              <w:rPr>
                <w:rFonts w:cs="Calibri"/>
                <w:b/>
                <w:bCs/>
                <w:color w:val="auto"/>
                <w:sz w:val="12"/>
                <w:szCs w:val="12"/>
                <w:lang w:eastAsia="en-AU"/>
              </w:rPr>
            </w:pPr>
          </w:p>
        </w:tc>
        <w:tc>
          <w:tcPr>
            <w:tcW w:w="1894" w:type="dxa"/>
            <w:gridSpan w:val="5"/>
            <w:tcBorders>
              <w:top w:val="single" w:sz="2" w:space="0" w:color="auto"/>
              <w:bottom w:val="single" w:sz="2" w:space="0" w:color="auto"/>
            </w:tcBorders>
            <w:shd w:val="clear" w:color="auto" w:fill="auto"/>
            <w:vAlign w:val="center"/>
          </w:tcPr>
          <w:p w14:paraId="2D05F99E" w14:textId="77777777" w:rsidR="00F00C95" w:rsidRPr="00190046" w:rsidRDefault="00F00C95" w:rsidP="00F00C95">
            <w:pPr>
              <w:pStyle w:val="FootnoteText"/>
              <w:tabs>
                <w:tab w:val="left" w:pos="3306"/>
              </w:tabs>
              <w:ind w:left="-51" w:firstLine="51"/>
              <w:jc w:val="right"/>
              <w:rPr>
                <w:rFonts w:cs="Calibri"/>
                <w:b/>
                <w:bCs/>
                <w:color w:val="auto"/>
                <w:sz w:val="12"/>
                <w:szCs w:val="12"/>
                <w:lang w:eastAsia="en-AU"/>
              </w:rPr>
            </w:pPr>
          </w:p>
        </w:tc>
      </w:tr>
      <w:tr w:rsidR="00F00C95" w:rsidRPr="00CF7E1B" w14:paraId="326A598F"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57" w:type="dxa"/>
            <w:tcBorders>
              <w:left w:val="single" w:sz="2" w:space="0" w:color="auto"/>
              <w:right w:val="single" w:sz="2" w:space="0" w:color="auto"/>
            </w:tcBorders>
            <w:vAlign w:val="center"/>
          </w:tcPr>
          <w:p w14:paraId="035DFD47" w14:textId="77777777" w:rsidR="00F00C95" w:rsidRPr="004D4028" w:rsidRDefault="00F00C95" w:rsidP="00F00C95">
            <w:pPr>
              <w:jc w:val="right"/>
              <w:rPr>
                <w:rFonts w:cs="Calibri"/>
                <w:sz w:val="14"/>
                <w:szCs w:val="14"/>
                <w:lang w:eastAsia="en-AU"/>
              </w:rPr>
            </w:pPr>
          </w:p>
        </w:tc>
        <w:tc>
          <w:tcPr>
            <w:tcW w:w="5250" w:type="dxa"/>
            <w:gridSpan w:val="2"/>
            <w:tcBorders>
              <w:left w:val="single" w:sz="2" w:space="0" w:color="auto"/>
            </w:tcBorders>
            <w:vAlign w:val="center"/>
          </w:tcPr>
          <w:p w14:paraId="47CA303C" w14:textId="77777777" w:rsidR="00F00C95" w:rsidRPr="00190046" w:rsidRDefault="00F00C95" w:rsidP="00F00C95">
            <w:pPr>
              <w:pStyle w:val="FootnoteText"/>
              <w:tabs>
                <w:tab w:val="left" w:pos="3306"/>
              </w:tabs>
              <w:rPr>
                <w:rFonts w:cs="Calibri"/>
                <w:b/>
                <w:bCs/>
                <w:color w:val="auto"/>
                <w:sz w:val="18"/>
                <w:szCs w:val="18"/>
                <w:lang w:eastAsia="en-AU"/>
              </w:rPr>
            </w:pPr>
            <w:r w:rsidRPr="00190046">
              <w:rPr>
                <w:rFonts w:cs="Calibri"/>
                <w:b/>
                <w:bCs/>
                <w:color w:val="auto"/>
                <w:sz w:val="18"/>
                <w:szCs w:val="18"/>
                <w:lang w:eastAsia="en-AU"/>
              </w:rPr>
              <w:t>Total Net Assets Transferred</w:t>
            </w:r>
          </w:p>
        </w:tc>
        <w:tc>
          <w:tcPr>
            <w:tcW w:w="1843" w:type="dxa"/>
            <w:gridSpan w:val="5"/>
            <w:tcBorders>
              <w:top w:val="single" w:sz="2" w:space="0" w:color="auto"/>
              <w:bottom w:val="single" w:sz="2" w:space="0" w:color="auto"/>
            </w:tcBorders>
            <w:shd w:val="clear" w:color="auto" w:fill="auto"/>
            <w:vAlign w:val="center"/>
          </w:tcPr>
          <w:p w14:paraId="32A9446A" w14:textId="6FC07CB1" w:rsidR="00F00C95" w:rsidRPr="00190046" w:rsidRDefault="00F00C95" w:rsidP="00F00C95">
            <w:pPr>
              <w:pStyle w:val="FootnoteText"/>
              <w:tabs>
                <w:tab w:val="left" w:pos="3306"/>
              </w:tabs>
              <w:ind w:left="-51" w:firstLine="51"/>
              <w:jc w:val="right"/>
              <w:rPr>
                <w:rFonts w:cs="Calibri"/>
                <w:b/>
                <w:bCs/>
                <w:color w:val="auto"/>
                <w:sz w:val="18"/>
                <w:szCs w:val="18"/>
                <w:lang w:eastAsia="en-AU"/>
              </w:rPr>
            </w:pPr>
          </w:p>
        </w:tc>
        <w:tc>
          <w:tcPr>
            <w:tcW w:w="1894" w:type="dxa"/>
            <w:gridSpan w:val="5"/>
            <w:tcBorders>
              <w:top w:val="single" w:sz="2" w:space="0" w:color="auto"/>
              <w:bottom w:val="single" w:sz="2" w:space="0" w:color="auto"/>
            </w:tcBorders>
            <w:shd w:val="clear" w:color="auto" w:fill="auto"/>
            <w:vAlign w:val="center"/>
          </w:tcPr>
          <w:p w14:paraId="22B26F73" w14:textId="095728AF" w:rsidR="00F00C95" w:rsidRPr="00190046" w:rsidRDefault="00F00C95" w:rsidP="00F00C95">
            <w:pPr>
              <w:pStyle w:val="FootnoteText"/>
              <w:tabs>
                <w:tab w:val="left" w:pos="3306"/>
              </w:tabs>
              <w:ind w:left="-51" w:firstLine="51"/>
              <w:jc w:val="right"/>
              <w:rPr>
                <w:rFonts w:cs="Calibri"/>
                <w:b/>
                <w:bCs/>
                <w:color w:val="auto"/>
                <w:sz w:val="18"/>
                <w:szCs w:val="18"/>
                <w:lang w:eastAsia="en-AU"/>
              </w:rPr>
            </w:pPr>
          </w:p>
        </w:tc>
      </w:tr>
      <w:tr w:rsidR="00F00C95" w:rsidRPr="00CF7E1B" w14:paraId="057B6630"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557" w:type="dxa"/>
            <w:tcBorders>
              <w:left w:val="single" w:sz="2" w:space="0" w:color="auto"/>
              <w:right w:val="single" w:sz="2" w:space="0" w:color="auto"/>
            </w:tcBorders>
            <w:vAlign w:val="center"/>
          </w:tcPr>
          <w:p w14:paraId="34BB0F88" w14:textId="77777777" w:rsidR="00F00C95" w:rsidRPr="004D4028" w:rsidRDefault="00F00C95" w:rsidP="00F00C95">
            <w:pPr>
              <w:jc w:val="right"/>
              <w:rPr>
                <w:rFonts w:cs="Calibri"/>
                <w:sz w:val="14"/>
                <w:szCs w:val="14"/>
                <w:lang w:eastAsia="en-AU"/>
              </w:rPr>
            </w:pPr>
          </w:p>
        </w:tc>
        <w:tc>
          <w:tcPr>
            <w:tcW w:w="5250" w:type="dxa"/>
            <w:gridSpan w:val="2"/>
            <w:tcBorders>
              <w:left w:val="single" w:sz="2" w:space="0" w:color="auto"/>
            </w:tcBorders>
            <w:vAlign w:val="center"/>
          </w:tcPr>
          <w:p w14:paraId="074FB272" w14:textId="77777777" w:rsidR="00F00C95" w:rsidRPr="00190046" w:rsidRDefault="00F00C95" w:rsidP="00F00C95">
            <w:pPr>
              <w:pStyle w:val="FootnoteText"/>
              <w:tabs>
                <w:tab w:val="left" w:pos="3306"/>
              </w:tabs>
              <w:rPr>
                <w:rFonts w:cs="Calibri"/>
                <w:b/>
                <w:bCs/>
                <w:color w:val="auto"/>
                <w:sz w:val="18"/>
                <w:szCs w:val="18"/>
                <w:lang w:eastAsia="en-AU"/>
              </w:rPr>
            </w:pPr>
          </w:p>
        </w:tc>
        <w:tc>
          <w:tcPr>
            <w:tcW w:w="1843" w:type="dxa"/>
            <w:gridSpan w:val="5"/>
            <w:tcBorders>
              <w:top w:val="single" w:sz="2" w:space="0" w:color="auto"/>
            </w:tcBorders>
            <w:shd w:val="clear" w:color="auto" w:fill="auto"/>
            <w:vAlign w:val="center"/>
          </w:tcPr>
          <w:p w14:paraId="177D7152" w14:textId="77777777" w:rsidR="00F00C95" w:rsidRPr="00190046" w:rsidRDefault="00F00C95" w:rsidP="00F00C95">
            <w:pPr>
              <w:pStyle w:val="FootnoteText"/>
              <w:tabs>
                <w:tab w:val="left" w:pos="3306"/>
              </w:tabs>
              <w:ind w:left="-51" w:firstLine="51"/>
              <w:jc w:val="right"/>
              <w:rPr>
                <w:rFonts w:cs="Calibri"/>
                <w:b/>
                <w:bCs/>
                <w:color w:val="auto"/>
                <w:sz w:val="18"/>
                <w:szCs w:val="18"/>
                <w:lang w:eastAsia="en-AU"/>
              </w:rPr>
            </w:pPr>
          </w:p>
        </w:tc>
        <w:tc>
          <w:tcPr>
            <w:tcW w:w="1894" w:type="dxa"/>
            <w:gridSpan w:val="5"/>
            <w:tcBorders>
              <w:top w:val="single" w:sz="2" w:space="0" w:color="auto"/>
            </w:tcBorders>
            <w:shd w:val="clear" w:color="auto" w:fill="auto"/>
            <w:vAlign w:val="center"/>
          </w:tcPr>
          <w:p w14:paraId="42710937" w14:textId="77777777" w:rsidR="00F00C95" w:rsidRPr="00190046" w:rsidRDefault="00F00C95" w:rsidP="00F00C95">
            <w:pPr>
              <w:pStyle w:val="FootnoteText"/>
              <w:tabs>
                <w:tab w:val="left" w:pos="3306"/>
              </w:tabs>
              <w:ind w:left="-51" w:firstLine="51"/>
              <w:jc w:val="right"/>
              <w:rPr>
                <w:rFonts w:cs="Calibri"/>
                <w:b/>
                <w:bCs/>
                <w:color w:val="auto"/>
                <w:sz w:val="18"/>
                <w:szCs w:val="18"/>
                <w:lang w:eastAsia="en-AU"/>
              </w:rPr>
            </w:pPr>
          </w:p>
        </w:tc>
      </w:tr>
      <w:tr w:rsidR="00781498" w:rsidRPr="00CF7E1B" w14:paraId="5C4DEFFB" w14:textId="77777777" w:rsidTr="00F00C95">
        <w:trPr>
          <w:gridAfter w:val="1"/>
          <w:wAfter w:w="53" w:type="dxa"/>
          <w:cantSplit/>
          <w:trHeight w:hRule="exact" w:val="906"/>
        </w:trPr>
        <w:tc>
          <w:tcPr>
            <w:tcW w:w="1561" w:type="dxa"/>
            <w:tcBorders>
              <w:top w:val="nil"/>
              <w:left w:val="single" w:sz="2" w:space="0" w:color="auto"/>
              <w:bottom w:val="nil"/>
              <w:right w:val="single" w:sz="2" w:space="0" w:color="auto"/>
            </w:tcBorders>
          </w:tcPr>
          <w:p w14:paraId="695D0796" w14:textId="6A472C16" w:rsidR="00781498" w:rsidRPr="00E1026B" w:rsidRDefault="00781498" w:rsidP="005D3C33">
            <w:pPr>
              <w:pStyle w:val="TableReference"/>
              <w:tabs>
                <w:tab w:val="left" w:pos="3306"/>
              </w:tabs>
              <w:spacing w:before="240" w:after="240"/>
              <w:rPr>
                <w:rFonts w:asciiTheme="minorHAnsi" w:hAnsiTheme="minorHAnsi" w:cstheme="minorHAnsi"/>
                <w:b/>
                <w:color w:val="7030A0"/>
                <w:sz w:val="22"/>
                <w:szCs w:val="22"/>
              </w:rPr>
            </w:pPr>
            <w:bookmarkStart w:id="1115" w:name="FinInst_Territorial" w:colFirst="1" w:colLast="1"/>
          </w:p>
        </w:tc>
        <w:tc>
          <w:tcPr>
            <w:tcW w:w="8930" w:type="dxa"/>
            <w:gridSpan w:val="11"/>
            <w:tcBorders>
              <w:top w:val="nil"/>
              <w:left w:val="single" w:sz="2" w:space="0" w:color="auto"/>
              <w:bottom w:val="nil"/>
              <w:right w:val="nil"/>
            </w:tcBorders>
            <w:vAlign w:val="bottom"/>
          </w:tcPr>
          <w:p w14:paraId="30F90552" w14:textId="77468719" w:rsidR="00781498" w:rsidRPr="00E1026B" w:rsidRDefault="00781498" w:rsidP="005F62CB">
            <w:pPr>
              <w:pStyle w:val="Heading1"/>
              <w:numPr>
                <w:ilvl w:val="0"/>
                <w:numId w:val="0"/>
              </w:numPr>
            </w:pPr>
            <w:bookmarkStart w:id="1116" w:name="_Toc223433237"/>
            <w:bookmarkStart w:id="1117" w:name="_Toc400627387"/>
            <w:bookmarkStart w:id="1118" w:name="TSfininstrument"/>
            <w:bookmarkStart w:id="1119" w:name="_Toc132743856"/>
            <w:r w:rsidRPr="00E1026B">
              <w:t>Note</w:t>
            </w:r>
            <w:r w:rsidR="00D15902" w:rsidRPr="00E1026B">
              <w:t xml:space="preserve"> </w:t>
            </w:r>
            <w:r w:rsidR="00DD6620" w:rsidRPr="00E1026B">
              <w:t>5</w:t>
            </w:r>
            <w:r w:rsidR="00A05D1E" w:rsidRPr="00E1026B">
              <w:t>3</w:t>
            </w:r>
            <w:r w:rsidRPr="00E1026B">
              <w:t>.</w:t>
            </w:r>
            <w:r w:rsidR="00FA7C77">
              <w:t xml:space="preserve"> </w:t>
            </w:r>
            <w:r w:rsidRPr="00E1026B">
              <w:t xml:space="preserve"> Financial Instruments – Territorial</w:t>
            </w:r>
            <w:bookmarkEnd w:id="1116"/>
            <w:bookmarkEnd w:id="1117"/>
            <w:bookmarkEnd w:id="1118"/>
            <w:bookmarkEnd w:id="1119"/>
            <w:r w:rsidR="00400F38" w:rsidRPr="00E1026B">
              <w:rPr>
                <w:rFonts w:cs="Calibri"/>
                <w:sz w:val="18"/>
                <w:szCs w:val="18"/>
              </w:rPr>
              <w:t xml:space="preserve"> </w:t>
            </w:r>
          </w:p>
        </w:tc>
      </w:tr>
      <w:tr w:rsidR="00F40AE4" w:rsidRPr="00CF7E1B" w14:paraId="16E8E84B" w14:textId="77777777" w:rsidTr="00F00C95">
        <w:trPr>
          <w:gridAfter w:val="1"/>
          <w:wAfter w:w="53" w:type="dxa"/>
          <w:cantSplit/>
          <w:trHeight w:hRule="exact" w:val="303"/>
        </w:trPr>
        <w:tc>
          <w:tcPr>
            <w:tcW w:w="1561" w:type="dxa"/>
            <w:tcBorders>
              <w:top w:val="nil"/>
              <w:left w:val="single" w:sz="2" w:space="0" w:color="auto"/>
              <w:bottom w:val="nil"/>
              <w:right w:val="single" w:sz="2" w:space="0" w:color="auto"/>
            </w:tcBorders>
          </w:tcPr>
          <w:p w14:paraId="27521D1C" w14:textId="77777777" w:rsidR="00F40AE4" w:rsidRPr="00E1026B" w:rsidRDefault="00F40AE4" w:rsidP="00F40AE4">
            <w:pPr>
              <w:rPr>
                <w:color w:val="7030A0"/>
              </w:rPr>
            </w:pPr>
          </w:p>
        </w:tc>
        <w:tc>
          <w:tcPr>
            <w:tcW w:w="8930" w:type="dxa"/>
            <w:gridSpan w:val="11"/>
            <w:tcBorders>
              <w:top w:val="nil"/>
              <w:left w:val="single" w:sz="2" w:space="0" w:color="auto"/>
              <w:bottom w:val="nil"/>
              <w:right w:val="nil"/>
            </w:tcBorders>
          </w:tcPr>
          <w:p w14:paraId="14338102" w14:textId="3EEF7B5E" w:rsidR="00F40AE4" w:rsidRPr="00E1026B" w:rsidRDefault="00F40AE4" w:rsidP="00F40AE4">
            <w:r w:rsidRPr="00E1026B">
              <w:rPr>
                <w:b/>
                <w:bCs/>
                <w:sz w:val="18"/>
              </w:rPr>
              <w:t xml:space="preserve">Material Accounting Policies Relating to Financial </w:t>
            </w:r>
            <w:r w:rsidRPr="0007146C">
              <w:rPr>
                <w:b/>
                <w:bCs/>
                <w:sz w:val="18"/>
              </w:rPr>
              <w:t>Instruments</w:t>
            </w:r>
            <w:r w:rsidR="002E3C80" w:rsidRPr="0007146C">
              <w:rPr>
                <w:b/>
                <w:bCs/>
                <w:sz w:val="18"/>
              </w:rPr>
              <w:t xml:space="preserve"> </w:t>
            </w:r>
            <w:r w:rsidR="002E3C80" w:rsidRPr="0007146C">
              <w:rPr>
                <w:b/>
                <w:bCs/>
                <w:color w:val="FF0000"/>
                <w:sz w:val="18"/>
              </w:rPr>
              <w:t>- Territorial</w:t>
            </w:r>
          </w:p>
        </w:tc>
      </w:tr>
      <w:bookmarkEnd w:id="1115"/>
      <w:tr w:rsidR="00781498" w:rsidRPr="00CF7E1B" w14:paraId="6B085E2C"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34FC5E2E" w14:textId="77777777" w:rsidR="00781498" w:rsidRPr="00E1026B" w:rsidRDefault="00781498" w:rsidP="00863311">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vAlign w:val="bottom"/>
          </w:tcPr>
          <w:p w14:paraId="50B5D710" w14:textId="2BEE832C" w:rsidR="00781498" w:rsidRPr="00E1026B" w:rsidRDefault="00781498" w:rsidP="005F62CB">
            <w:pPr>
              <w:spacing w:after="120"/>
              <w:jc w:val="both"/>
              <w:rPr>
                <w:rFonts w:cs="Calibri"/>
                <w:sz w:val="18"/>
                <w:szCs w:val="18"/>
              </w:rPr>
            </w:pPr>
            <w:r w:rsidRPr="00E1026B">
              <w:rPr>
                <w:rFonts w:cs="Calibri"/>
                <w:sz w:val="18"/>
                <w:szCs w:val="18"/>
              </w:rPr>
              <w:t xml:space="preserve">Details of the </w:t>
            </w:r>
            <w:r w:rsidR="00F40AE4" w:rsidRPr="00E1026B">
              <w:rPr>
                <w:rFonts w:cs="Calibri"/>
                <w:sz w:val="18"/>
                <w:szCs w:val="18"/>
              </w:rPr>
              <w:t xml:space="preserve">material accounting </w:t>
            </w:r>
            <w:r w:rsidRPr="00E1026B">
              <w:rPr>
                <w:rFonts w:cs="Calibri"/>
                <w:sz w:val="18"/>
                <w:szCs w:val="18"/>
              </w:rPr>
              <w:t xml:space="preserve">policies and methods adopted, including the criteria for recognition, the basis of measurement, and the basis on which income and expenses are recognised, with respect to each class of financial asset and financial liability are disclosed in </w:t>
            </w:r>
            <w:r w:rsidR="00F40AE4" w:rsidRPr="00E1026B">
              <w:rPr>
                <w:rFonts w:cs="Calibri"/>
                <w:sz w:val="18"/>
                <w:szCs w:val="18"/>
              </w:rPr>
              <w:t>the note to which they relate.</w:t>
            </w:r>
            <w:r w:rsidR="00FA7C77">
              <w:rPr>
                <w:rFonts w:cs="Calibri"/>
                <w:sz w:val="18"/>
                <w:szCs w:val="18"/>
              </w:rPr>
              <w:t xml:space="preserve"> </w:t>
            </w:r>
            <w:r w:rsidR="00F40AE4" w:rsidRPr="00E1026B">
              <w:rPr>
                <w:rFonts w:cs="Calibri"/>
                <w:sz w:val="18"/>
                <w:szCs w:val="18"/>
              </w:rPr>
              <w:t>In addition to these policies, the following are also accounting policies relating to financial assets and liabilities.</w:t>
            </w:r>
          </w:p>
        </w:tc>
      </w:tr>
      <w:tr w:rsidR="00CC033C" w:rsidRPr="00CF7E1B" w14:paraId="4AFB46A3"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01772F92"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2642233A" w14:textId="097333BE" w:rsidR="00CC033C" w:rsidRPr="00E1026B" w:rsidRDefault="00CC033C" w:rsidP="00CC033C">
            <w:pPr>
              <w:spacing w:after="40"/>
              <w:jc w:val="both"/>
              <w:rPr>
                <w:sz w:val="18"/>
                <w:szCs w:val="18"/>
              </w:rPr>
            </w:pPr>
            <w:r w:rsidRPr="00E1026B">
              <w:rPr>
                <w:sz w:val="18"/>
                <w:szCs w:val="18"/>
              </w:rPr>
              <w:t>Financial assets are subsequently ‘measured at amortised cost’, ‘fair value through other comprehensive income’ or ‘fair value through profit or loss’ on the basis of both:</w:t>
            </w:r>
          </w:p>
          <w:p w14:paraId="524E30D3" w14:textId="656239D6" w:rsidR="00CC033C" w:rsidRPr="00E1026B" w:rsidRDefault="00CC033C" w:rsidP="00CB31DE">
            <w:pPr>
              <w:pStyle w:val="ListParagraph"/>
              <w:numPr>
                <w:ilvl w:val="0"/>
                <w:numId w:val="63"/>
              </w:numPr>
              <w:spacing w:after="40"/>
              <w:contextualSpacing w:val="0"/>
              <w:jc w:val="both"/>
              <w:rPr>
                <w:sz w:val="18"/>
                <w:szCs w:val="18"/>
              </w:rPr>
            </w:pPr>
            <w:r w:rsidRPr="00E1026B">
              <w:rPr>
                <w:sz w:val="18"/>
                <w:szCs w:val="18"/>
              </w:rPr>
              <w:t>the business model for managing the financial assets; and</w:t>
            </w:r>
          </w:p>
          <w:p w14:paraId="546893CF" w14:textId="1CB3F6CE" w:rsidR="00CC033C" w:rsidRPr="00E1026B" w:rsidRDefault="00CC033C" w:rsidP="00CB31DE">
            <w:pPr>
              <w:pStyle w:val="ListParagraph"/>
              <w:numPr>
                <w:ilvl w:val="0"/>
                <w:numId w:val="63"/>
              </w:numPr>
              <w:spacing w:after="120"/>
              <w:ind w:left="714" w:hanging="357"/>
              <w:contextualSpacing w:val="0"/>
              <w:jc w:val="both"/>
              <w:rPr>
                <w:sz w:val="18"/>
                <w:szCs w:val="18"/>
              </w:rPr>
            </w:pPr>
            <w:r w:rsidRPr="00E1026B">
              <w:rPr>
                <w:sz w:val="18"/>
              </w:rPr>
              <w:t>the contractual cash flow characteristics of the financial assets.</w:t>
            </w:r>
          </w:p>
        </w:tc>
      </w:tr>
      <w:tr w:rsidR="00CC033C" w:rsidRPr="00CF7E1B" w14:paraId="19F4D677"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2D1A903A"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6F1BD630" w14:textId="684B4DFA" w:rsidR="00CC033C" w:rsidRPr="00E1026B" w:rsidRDefault="00DD47EC" w:rsidP="00CC033C">
            <w:pPr>
              <w:spacing w:after="120"/>
              <w:jc w:val="both"/>
              <w:rPr>
                <w:rFonts w:cs="Calibri"/>
                <w:strike/>
                <w:sz w:val="18"/>
                <w:szCs w:val="18"/>
              </w:rPr>
            </w:pPr>
            <w:r w:rsidRPr="00E1026B">
              <w:rPr>
                <w:rFonts w:eastAsiaTheme="minorHAnsi"/>
                <w:sz w:val="18"/>
                <w:szCs w:val="18"/>
              </w:rPr>
              <w:t xml:space="preserve">All </w:t>
            </w:r>
            <w:r w:rsidR="002166C2" w:rsidRPr="00E1026B">
              <w:rPr>
                <w:rFonts w:eastAsiaTheme="minorHAnsi"/>
                <w:sz w:val="18"/>
                <w:szCs w:val="18"/>
              </w:rPr>
              <w:t xml:space="preserve">territorial </w:t>
            </w:r>
            <w:r w:rsidRPr="00E1026B">
              <w:rPr>
                <w:rFonts w:eastAsiaTheme="minorHAnsi"/>
                <w:sz w:val="18"/>
                <w:szCs w:val="18"/>
              </w:rPr>
              <w:t xml:space="preserve">financial assets and financial liabilities are measured at </w:t>
            </w:r>
            <w:r w:rsidR="002166C2" w:rsidRPr="00E1026B">
              <w:rPr>
                <w:rFonts w:eastAsiaTheme="minorHAnsi"/>
                <w:sz w:val="18"/>
                <w:szCs w:val="18"/>
              </w:rPr>
              <w:t>a</w:t>
            </w:r>
            <w:r w:rsidR="002166C2" w:rsidRPr="00E1026B">
              <w:rPr>
                <w:sz w:val="18"/>
                <w:szCs w:val="18"/>
                <w:lang w:eastAsia="en-AU"/>
              </w:rPr>
              <w:t>mortised cost.</w:t>
            </w:r>
          </w:p>
        </w:tc>
      </w:tr>
      <w:tr w:rsidR="00CC033C" w:rsidRPr="00CF7E1B" w14:paraId="1AD41244" w14:textId="77777777" w:rsidTr="00F00C95">
        <w:trPr>
          <w:gridAfter w:val="1"/>
          <w:wAfter w:w="53" w:type="dxa"/>
          <w:cantSplit/>
          <w:trHeight w:hRule="exact" w:val="284"/>
        </w:trPr>
        <w:tc>
          <w:tcPr>
            <w:tcW w:w="1561" w:type="dxa"/>
            <w:tcBorders>
              <w:top w:val="nil"/>
              <w:left w:val="single" w:sz="2" w:space="0" w:color="auto"/>
              <w:bottom w:val="nil"/>
              <w:right w:val="single" w:sz="2" w:space="0" w:color="auto"/>
            </w:tcBorders>
          </w:tcPr>
          <w:p w14:paraId="3B11A443"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2ED775EF"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Interest Rate Risk</w:t>
            </w:r>
          </w:p>
        </w:tc>
      </w:tr>
      <w:tr w:rsidR="00CC033C" w:rsidRPr="00CF7E1B" w14:paraId="7BFAA01A"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54CD7645"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693F1E6A" w14:textId="77777777" w:rsidR="00CC033C" w:rsidRPr="00E1026B" w:rsidRDefault="00CC033C" w:rsidP="00CC033C">
            <w:pPr>
              <w:pStyle w:val="TableText"/>
              <w:spacing w:before="0" w:after="120"/>
              <w:jc w:val="both"/>
              <w:rPr>
                <w:rFonts w:cs="Calibri"/>
              </w:rPr>
            </w:pPr>
            <w:r w:rsidRPr="00E1026B">
              <w:rPr>
                <w:rFonts w:cs="Calibri"/>
              </w:rPr>
              <w:t>Interest rate risk is the risk that the fair value or future cash flows of a financial instrument will fluctuate because of changes in market interest rates.</w:t>
            </w:r>
          </w:p>
          <w:p w14:paraId="58602865" w14:textId="59B1D8C6" w:rsidR="00CC033C" w:rsidRPr="00E1026B" w:rsidRDefault="00CC033C" w:rsidP="00F00C95">
            <w:pPr>
              <w:pStyle w:val="TableText"/>
              <w:spacing w:before="0" w:after="60"/>
              <w:jc w:val="both"/>
              <w:rPr>
                <w:rFonts w:cs="Calibri"/>
              </w:rPr>
            </w:pPr>
            <w:r w:rsidRPr="00E1026B">
              <w:rPr>
                <w:rFonts w:cs="Calibri"/>
              </w:rPr>
              <w:t>The Agency currently has all of its financial assets and financial liabilities held in non-interest bearing arrangements.</w:t>
            </w:r>
            <w:r w:rsidR="00FA7C77">
              <w:rPr>
                <w:rFonts w:cs="Calibri"/>
              </w:rPr>
              <w:t xml:space="preserve"> </w:t>
            </w:r>
            <w:r w:rsidRPr="00E1026B">
              <w:rPr>
                <w:rFonts w:cs="Calibri"/>
              </w:rPr>
              <w:t>This means that the Agency is not exposed to any movements in interest rates, and as such does not have any interest rate risk.</w:t>
            </w:r>
            <w:r w:rsidR="00FA7C77">
              <w:rPr>
                <w:rFonts w:cs="Calibri"/>
              </w:rPr>
              <w:t xml:space="preserve">   </w:t>
            </w:r>
            <w:r w:rsidRPr="00E1026B">
              <w:rPr>
                <w:rFonts w:cs="Calibri"/>
              </w:rPr>
              <w:t xml:space="preserve"> </w:t>
            </w:r>
          </w:p>
        </w:tc>
      </w:tr>
      <w:tr w:rsidR="00F40AE4" w:rsidRPr="00CF7E1B" w14:paraId="5DBE79EE"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2A13AE49" w14:textId="77777777" w:rsidR="00F40AE4" w:rsidRPr="00E1026B" w:rsidRDefault="00F40AE4"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50120108" w14:textId="04740A29" w:rsidR="00F40AE4" w:rsidRPr="00E1026B" w:rsidRDefault="00F40AE4" w:rsidP="00F40AE4">
            <w:pPr>
              <w:pStyle w:val="TableText"/>
              <w:spacing w:before="0" w:after="40"/>
              <w:jc w:val="both"/>
              <w:rPr>
                <w:rFonts w:cs="Calibri"/>
              </w:rPr>
            </w:pPr>
            <w:r w:rsidRPr="00E1026B">
              <w:rPr>
                <w:rFonts w:cs="Calibri"/>
                <w:i/>
              </w:rPr>
              <w:t>Sensitivity Analysis</w:t>
            </w:r>
          </w:p>
        </w:tc>
      </w:tr>
      <w:tr w:rsidR="00F40AE4" w:rsidRPr="00CF7E1B" w14:paraId="0A06205D"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1F60A0C2" w14:textId="77777777" w:rsidR="00F40AE4" w:rsidRPr="00E1026B" w:rsidRDefault="00F40AE4"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59040379" w14:textId="479B4D72" w:rsidR="00F40AE4" w:rsidRPr="00E1026B" w:rsidRDefault="00F40AE4" w:rsidP="00CC033C">
            <w:pPr>
              <w:pStyle w:val="TableText"/>
              <w:spacing w:before="0" w:after="120"/>
              <w:jc w:val="both"/>
              <w:rPr>
                <w:rFonts w:cs="Calibri"/>
              </w:rPr>
            </w:pPr>
            <w:r w:rsidRPr="00E1026B">
              <w:rPr>
                <w:rFonts w:cs="Calibri"/>
              </w:rPr>
              <w:t>A sensitivity analysis has not been undertaken for the interest rate risk of the Agency as it is not exposed to any movements in interest rates.</w:t>
            </w:r>
          </w:p>
        </w:tc>
      </w:tr>
      <w:tr w:rsidR="00CC033C" w:rsidRPr="00CF7E1B" w14:paraId="536D1C9D" w14:textId="77777777" w:rsidTr="00F00C95">
        <w:trPr>
          <w:gridAfter w:val="1"/>
          <w:wAfter w:w="53" w:type="dxa"/>
          <w:cantSplit/>
          <w:trHeight w:hRule="exact" w:val="175"/>
        </w:trPr>
        <w:tc>
          <w:tcPr>
            <w:tcW w:w="1561" w:type="dxa"/>
            <w:tcBorders>
              <w:top w:val="nil"/>
              <w:left w:val="single" w:sz="2" w:space="0" w:color="auto"/>
              <w:bottom w:val="nil"/>
              <w:right w:val="single" w:sz="2" w:space="0" w:color="auto"/>
            </w:tcBorders>
          </w:tcPr>
          <w:p w14:paraId="58DCF77C"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300F3B92" w14:textId="77777777" w:rsidR="00CC033C" w:rsidRPr="00E1026B" w:rsidRDefault="00CC033C" w:rsidP="00F00C95">
            <w:pPr>
              <w:pStyle w:val="CommentaryHeading"/>
              <w:keepNext w:val="0"/>
              <w:spacing w:before="0" w:after="0"/>
              <w:rPr>
                <w:rFonts w:cs="Calibri"/>
                <w:sz w:val="18"/>
              </w:rPr>
            </w:pPr>
            <w:r w:rsidRPr="00E1026B">
              <w:rPr>
                <w:rFonts w:cs="Calibri"/>
                <w:sz w:val="18"/>
              </w:rPr>
              <w:t>Credit Risk</w:t>
            </w:r>
          </w:p>
        </w:tc>
      </w:tr>
      <w:tr w:rsidR="00CC033C" w:rsidRPr="00CF7E1B" w14:paraId="57B81E13" w14:textId="77777777" w:rsidTr="00F00C95">
        <w:trPr>
          <w:gridAfter w:val="1"/>
          <w:wAfter w:w="53" w:type="dxa"/>
          <w:cantSplit/>
          <w:trHeight w:val="931"/>
        </w:trPr>
        <w:tc>
          <w:tcPr>
            <w:tcW w:w="1561" w:type="dxa"/>
            <w:tcBorders>
              <w:top w:val="nil"/>
              <w:left w:val="single" w:sz="2" w:space="0" w:color="auto"/>
              <w:bottom w:val="nil"/>
              <w:right w:val="single" w:sz="2" w:space="0" w:color="auto"/>
            </w:tcBorders>
          </w:tcPr>
          <w:p w14:paraId="1BEFA54E" w14:textId="77777777" w:rsidR="00CC033C" w:rsidRPr="00E1026B" w:rsidRDefault="00CC033C" w:rsidP="00CC033C">
            <w:pPr>
              <w:pStyle w:val="TableReference"/>
              <w:tabs>
                <w:tab w:val="left" w:pos="3306"/>
              </w:tabs>
              <w:spacing w:before="60"/>
              <w:rPr>
                <w:rFonts w:cs="Calibri"/>
                <w:color w:val="7030A0"/>
                <w:sz w:val="14"/>
              </w:rPr>
            </w:pPr>
          </w:p>
        </w:tc>
        <w:tc>
          <w:tcPr>
            <w:tcW w:w="8930" w:type="dxa"/>
            <w:gridSpan w:val="11"/>
            <w:tcBorders>
              <w:top w:val="nil"/>
              <w:left w:val="single" w:sz="2" w:space="0" w:color="auto"/>
              <w:bottom w:val="nil"/>
              <w:right w:val="nil"/>
            </w:tcBorders>
          </w:tcPr>
          <w:p w14:paraId="08B6611C" w14:textId="09818A75" w:rsidR="00CC033C" w:rsidRPr="00E1026B" w:rsidRDefault="00CC033C" w:rsidP="00F00C95">
            <w:pPr>
              <w:pStyle w:val="TableText"/>
              <w:spacing w:after="60"/>
              <w:jc w:val="both"/>
              <w:rPr>
                <w:rFonts w:cs="Calibri"/>
                <w:strike/>
                <w:lang w:eastAsia="en-AU"/>
              </w:rPr>
            </w:pPr>
            <w:r w:rsidRPr="00E1026B">
              <w:rPr>
                <w:rFonts w:cs="Calibri"/>
              </w:rPr>
              <w:t>Credit risk is the risk that one party to a financial instrument will fail to discharge an obligation and cause the other party to incur a financial loss.</w:t>
            </w:r>
            <w:r w:rsidR="00FA7C77">
              <w:rPr>
                <w:rFonts w:cs="Calibri"/>
              </w:rPr>
              <w:t xml:space="preserve"> </w:t>
            </w:r>
            <w:r w:rsidRPr="00E1026B">
              <w:rPr>
                <w:rFonts w:cs="Calibri"/>
              </w:rPr>
              <w:t>The Agency’s credit risk is limited to the amount of the financial assets held less any provision for losses.</w:t>
            </w:r>
            <w:r w:rsidR="00FA7C77">
              <w:rPr>
                <w:rFonts w:cs="Calibri"/>
              </w:rPr>
              <w:t xml:space="preserve"> </w:t>
            </w:r>
            <w:r w:rsidRPr="00E1026B">
              <w:rPr>
                <w:rFonts w:cs="Calibri"/>
              </w:rPr>
              <w:t>The Agency expects to collect all financial assets that are not past due or impaired.</w:t>
            </w:r>
            <w:r w:rsidR="00FA7C77">
              <w:rPr>
                <w:rFonts w:cs="Calibri"/>
              </w:rPr>
              <w:t xml:space="preserve"> </w:t>
            </w:r>
            <w:r w:rsidRPr="00E1026B">
              <w:rPr>
                <w:rFonts w:cs="Calibri"/>
              </w:rPr>
              <w:t>There is no collateral held as security for financial assets.</w:t>
            </w:r>
          </w:p>
        </w:tc>
      </w:tr>
      <w:tr w:rsidR="00CC033C" w:rsidRPr="00CF7E1B" w14:paraId="757A7C78" w14:textId="77777777" w:rsidTr="00F00C95">
        <w:trPr>
          <w:gridAfter w:val="1"/>
          <w:wAfter w:w="53" w:type="dxa"/>
          <w:cantSplit/>
          <w:trHeight w:hRule="exact" w:val="272"/>
        </w:trPr>
        <w:tc>
          <w:tcPr>
            <w:tcW w:w="1561" w:type="dxa"/>
            <w:tcBorders>
              <w:top w:val="nil"/>
              <w:left w:val="single" w:sz="2" w:space="0" w:color="auto"/>
              <w:bottom w:val="nil"/>
              <w:right w:val="single" w:sz="2" w:space="0" w:color="auto"/>
            </w:tcBorders>
          </w:tcPr>
          <w:p w14:paraId="4D66B3DD"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780F13E0"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Liquidity Risk</w:t>
            </w:r>
          </w:p>
        </w:tc>
      </w:tr>
      <w:tr w:rsidR="00CC033C" w:rsidRPr="00CF7E1B" w14:paraId="5695A4AD"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770610C9"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3EBEDF56" w14:textId="007EE54D" w:rsidR="00CC033C" w:rsidRPr="00E1026B" w:rsidRDefault="00CC033C" w:rsidP="00CC033C">
            <w:pPr>
              <w:pStyle w:val="CommentaryHeading"/>
              <w:keepNext w:val="0"/>
              <w:tabs>
                <w:tab w:val="left" w:pos="3306"/>
              </w:tabs>
              <w:spacing w:before="0" w:after="120"/>
              <w:jc w:val="both"/>
              <w:rPr>
                <w:rFonts w:cs="Calibri"/>
                <w:b w:val="0"/>
                <w:bCs w:val="0"/>
                <w:sz w:val="18"/>
              </w:rPr>
            </w:pPr>
            <w:r w:rsidRPr="00E1026B">
              <w:rPr>
                <w:rFonts w:cs="Calibri"/>
                <w:b w:val="0"/>
                <w:bCs w:val="0"/>
                <w:sz w:val="18"/>
              </w:rPr>
              <w:t xml:space="preserve">Liquidity risk is the risk that the Agency will encounter difficulties in meeting obligations associated with financial liabilities </w:t>
            </w:r>
            <w:r w:rsidRPr="00E1026B">
              <w:rPr>
                <w:rFonts w:cs="Calibri"/>
                <w:b w:val="0"/>
                <w:sz w:val="18"/>
              </w:rPr>
              <w:t>that are settled by delivering cash or another financial asset</w:t>
            </w:r>
            <w:r w:rsidRPr="00E1026B">
              <w:rPr>
                <w:rFonts w:cs="Calibri"/>
                <w:b w:val="0"/>
                <w:bCs w:val="0"/>
                <w:sz w:val="18"/>
              </w:rPr>
              <w:t>.</w:t>
            </w:r>
            <w:r w:rsidR="00FA7C77">
              <w:rPr>
                <w:rFonts w:cs="Calibri"/>
                <w:b w:val="0"/>
                <w:bCs w:val="0"/>
                <w:sz w:val="18"/>
              </w:rPr>
              <w:t xml:space="preserve"> </w:t>
            </w:r>
            <w:r w:rsidRPr="00E1026B">
              <w:rPr>
                <w:rFonts w:cs="Calibri"/>
                <w:b w:val="0"/>
                <w:bCs w:val="0"/>
                <w:sz w:val="18"/>
              </w:rPr>
              <w:t>To limit its exposure to liquidity risk, the Agency ensures that, at any particular point in time, it has a sufficient amount of current financial assets to meet its current financial liabilities.</w:t>
            </w:r>
            <w:r w:rsidR="00FA7C77">
              <w:rPr>
                <w:rFonts w:cs="Calibri"/>
                <w:b w:val="0"/>
                <w:bCs w:val="0"/>
                <w:sz w:val="18"/>
              </w:rPr>
              <w:t xml:space="preserve"> </w:t>
            </w:r>
            <w:r w:rsidRPr="00E1026B">
              <w:rPr>
                <w:rFonts w:cs="Calibri"/>
                <w:b w:val="0"/>
                <w:bCs w:val="0"/>
                <w:sz w:val="18"/>
              </w:rPr>
              <w:t>Also, where necessary the Agency has the ability to request additional appropriation in order to meet its territorial payables.</w:t>
            </w:r>
            <w:r w:rsidR="00FA7C77">
              <w:rPr>
                <w:rFonts w:cs="Calibri"/>
                <w:b w:val="0"/>
                <w:bCs w:val="0"/>
                <w:sz w:val="18"/>
              </w:rPr>
              <w:t xml:space="preserve"> </w:t>
            </w:r>
            <w:r w:rsidRPr="00E1026B">
              <w:rPr>
                <w:rFonts w:cs="Calibri"/>
                <w:b w:val="0"/>
                <w:bCs w:val="0"/>
                <w:sz w:val="18"/>
              </w:rPr>
              <w:t>This ensures the Agency has enough liquidity to meet its emerging financial liabilities.</w:t>
            </w:r>
            <w:r w:rsidR="00FA7C77">
              <w:rPr>
                <w:rFonts w:cs="Calibri"/>
                <w:b w:val="0"/>
                <w:bCs w:val="0"/>
                <w:sz w:val="18"/>
              </w:rPr>
              <w:t xml:space="preserve"> </w:t>
            </w:r>
            <w:r w:rsidRPr="00E1026B">
              <w:rPr>
                <w:rFonts w:cs="Calibri"/>
                <w:b w:val="0"/>
                <w:bCs w:val="0"/>
                <w:sz w:val="18"/>
              </w:rPr>
              <w:t xml:space="preserve">See the maturity analysis below for further details of when financial liabilities mature. </w:t>
            </w:r>
          </w:p>
          <w:p w14:paraId="3B8ACADF" w14:textId="77777777" w:rsidR="00CC033C" w:rsidRPr="00E1026B" w:rsidRDefault="00CC033C" w:rsidP="00CC033C">
            <w:pPr>
              <w:pStyle w:val="CommentaryHeading"/>
              <w:keepNext w:val="0"/>
              <w:tabs>
                <w:tab w:val="left" w:pos="3306"/>
              </w:tabs>
              <w:spacing w:before="0" w:after="0"/>
              <w:jc w:val="both"/>
              <w:rPr>
                <w:rFonts w:cs="Calibri"/>
                <w:b w:val="0"/>
                <w:bCs w:val="0"/>
                <w:sz w:val="18"/>
              </w:rPr>
            </w:pPr>
            <w:r w:rsidRPr="00E1026B">
              <w:rPr>
                <w:rFonts w:cs="Calibri"/>
                <w:b w:val="0"/>
                <w:bCs w:val="0"/>
                <w:sz w:val="18"/>
              </w:rPr>
              <w:t xml:space="preserve">The Agency’s exposure to liquidity risk and the management of this risk has not changed since the previous </w:t>
            </w:r>
            <w:r w:rsidRPr="00E1026B">
              <w:rPr>
                <w:rFonts w:cs="Calibri"/>
                <w:b w:val="0"/>
                <w:sz w:val="18"/>
              </w:rPr>
              <w:t>reporting period</w:t>
            </w:r>
            <w:r w:rsidRPr="00E1026B">
              <w:rPr>
                <w:rFonts w:cs="Calibri"/>
                <w:b w:val="0"/>
                <w:bCs w:val="0"/>
                <w:sz w:val="18"/>
              </w:rPr>
              <w:t xml:space="preserve">. </w:t>
            </w:r>
          </w:p>
        </w:tc>
      </w:tr>
      <w:tr w:rsidR="00CC033C" w:rsidRPr="00CF7E1B" w14:paraId="4F7CB7FA" w14:textId="77777777" w:rsidTr="00F00C95">
        <w:trPr>
          <w:gridAfter w:val="1"/>
          <w:wAfter w:w="53" w:type="dxa"/>
          <w:cantSplit/>
          <w:trHeight w:hRule="exact" w:val="396"/>
        </w:trPr>
        <w:tc>
          <w:tcPr>
            <w:tcW w:w="1561" w:type="dxa"/>
            <w:tcBorders>
              <w:top w:val="nil"/>
              <w:left w:val="single" w:sz="2" w:space="0" w:color="auto"/>
              <w:bottom w:val="nil"/>
              <w:right w:val="single" w:sz="2" w:space="0" w:color="auto"/>
            </w:tcBorders>
          </w:tcPr>
          <w:p w14:paraId="45DB6E9E" w14:textId="77777777" w:rsidR="00CC033C" w:rsidRPr="00E1026B" w:rsidRDefault="00CC033C" w:rsidP="00F00C95">
            <w:pPr>
              <w:pStyle w:val="TableReference"/>
              <w:tabs>
                <w:tab w:val="left" w:pos="3306"/>
              </w:tabs>
              <w:spacing w:before="120"/>
              <w:rPr>
                <w:rFonts w:cs="Calibri"/>
                <w:color w:val="7030A0"/>
                <w:sz w:val="14"/>
              </w:rPr>
            </w:pPr>
          </w:p>
        </w:tc>
        <w:tc>
          <w:tcPr>
            <w:tcW w:w="8930" w:type="dxa"/>
            <w:gridSpan w:val="11"/>
            <w:tcBorders>
              <w:top w:val="nil"/>
              <w:left w:val="single" w:sz="2" w:space="0" w:color="auto"/>
              <w:bottom w:val="nil"/>
              <w:right w:val="nil"/>
            </w:tcBorders>
          </w:tcPr>
          <w:p w14:paraId="0E2F8136" w14:textId="77777777" w:rsidR="00CC033C" w:rsidRPr="00E1026B" w:rsidRDefault="00CC033C" w:rsidP="00F00C95">
            <w:pPr>
              <w:pStyle w:val="CommentaryHeading"/>
              <w:keepNext w:val="0"/>
              <w:tabs>
                <w:tab w:val="left" w:pos="3306"/>
              </w:tabs>
              <w:spacing w:after="0"/>
              <w:rPr>
                <w:rFonts w:cs="Calibri"/>
                <w:sz w:val="18"/>
              </w:rPr>
            </w:pPr>
            <w:r w:rsidRPr="00E1026B">
              <w:rPr>
                <w:rFonts w:cs="Calibri"/>
                <w:sz w:val="18"/>
              </w:rPr>
              <w:t>Price Risk</w:t>
            </w:r>
          </w:p>
        </w:tc>
      </w:tr>
      <w:tr w:rsidR="00CC033C" w:rsidRPr="00CF7E1B" w14:paraId="2DE9AF22" w14:textId="77777777" w:rsidTr="00F00C95">
        <w:trPr>
          <w:gridAfter w:val="1"/>
          <w:wAfter w:w="53" w:type="dxa"/>
          <w:cantSplit/>
          <w:trHeight w:val="23"/>
        </w:trPr>
        <w:tc>
          <w:tcPr>
            <w:tcW w:w="1561" w:type="dxa"/>
            <w:tcBorders>
              <w:top w:val="nil"/>
              <w:left w:val="single" w:sz="2" w:space="0" w:color="auto"/>
              <w:bottom w:val="nil"/>
              <w:right w:val="single" w:sz="2" w:space="0" w:color="auto"/>
            </w:tcBorders>
          </w:tcPr>
          <w:p w14:paraId="7EAAD6F8"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7B05F089" w14:textId="76FE025B" w:rsidR="00CC033C" w:rsidRPr="00E1026B" w:rsidRDefault="00CC033C" w:rsidP="00CC033C">
            <w:pPr>
              <w:pStyle w:val="CommentaryHeading"/>
              <w:keepNext w:val="0"/>
              <w:tabs>
                <w:tab w:val="left" w:pos="3306"/>
              </w:tabs>
              <w:spacing w:before="0" w:after="120"/>
              <w:jc w:val="both"/>
              <w:rPr>
                <w:rFonts w:cs="Calibri"/>
                <w:b w:val="0"/>
                <w:bCs w:val="0"/>
                <w:sz w:val="18"/>
              </w:rPr>
            </w:pPr>
            <w:r w:rsidRPr="00E1026B">
              <w:rPr>
                <w:rFonts w:cs="Calibri"/>
                <w:b w:val="0"/>
                <w:bCs w:val="0"/>
                <w:sz w:val="18"/>
              </w:rPr>
              <w:t>Price risk is the risk that the fair value or future cash flows of a financial instrument will fluctuate because of changes in market prices</w:t>
            </w:r>
            <w:r w:rsidR="00C57113" w:rsidRPr="00E1026B">
              <w:rPr>
                <w:rFonts w:cs="Calibri"/>
                <w:b w:val="0"/>
                <w:bCs w:val="0"/>
                <w:sz w:val="18"/>
              </w:rPr>
              <w:t>.</w:t>
            </w:r>
            <w:r w:rsidR="00FA7C77">
              <w:rPr>
                <w:rFonts w:cs="Calibri"/>
                <w:b w:val="0"/>
                <w:bCs w:val="0"/>
                <w:sz w:val="18"/>
              </w:rPr>
              <w:t xml:space="preserve"> </w:t>
            </w:r>
            <w:r w:rsidRPr="00E1026B">
              <w:rPr>
                <w:rFonts w:cs="Calibri"/>
                <w:b w:val="0"/>
                <w:bCs w:val="0"/>
                <w:sz w:val="18"/>
              </w:rPr>
              <w:t>The Agency is not exposed to any price risk.</w:t>
            </w:r>
          </w:p>
        </w:tc>
      </w:tr>
      <w:tr w:rsidR="00CC033C" w:rsidRPr="00CF7E1B" w14:paraId="0ACCCD6E" w14:textId="77777777" w:rsidTr="00F00C95">
        <w:trPr>
          <w:gridAfter w:val="1"/>
          <w:wAfter w:w="53" w:type="dxa"/>
          <w:cantSplit/>
          <w:trHeight w:hRule="exact" w:val="236"/>
        </w:trPr>
        <w:tc>
          <w:tcPr>
            <w:tcW w:w="1561" w:type="dxa"/>
            <w:tcBorders>
              <w:top w:val="nil"/>
              <w:left w:val="single" w:sz="2" w:space="0" w:color="auto"/>
              <w:bottom w:val="nil"/>
              <w:right w:val="single" w:sz="2" w:space="0" w:color="auto"/>
            </w:tcBorders>
          </w:tcPr>
          <w:p w14:paraId="78F06C76"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3A7DE527"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Fair Value of Financial Assets and Liabilities</w:t>
            </w:r>
          </w:p>
        </w:tc>
      </w:tr>
      <w:tr w:rsidR="00CC033C" w:rsidRPr="00CF7E1B" w14:paraId="4B9CA408" w14:textId="77777777" w:rsidTr="00F00C95">
        <w:trPr>
          <w:gridAfter w:val="1"/>
          <w:wAfter w:w="53" w:type="dxa"/>
          <w:cantSplit/>
          <w:trHeight w:hRule="exact" w:val="550"/>
        </w:trPr>
        <w:tc>
          <w:tcPr>
            <w:tcW w:w="1561" w:type="dxa"/>
            <w:tcBorders>
              <w:top w:val="nil"/>
              <w:left w:val="single" w:sz="2" w:space="0" w:color="auto"/>
              <w:bottom w:val="nil"/>
              <w:right w:val="single" w:sz="2" w:space="0" w:color="auto"/>
            </w:tcBorders>
          </w:tcPr>
          <w:p w14:paraId="27506311"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right w:val="nil"/>
            </w:tcBorders>
          </w:tcPr>
          <w:p w14:paraId="51F553CC" w14:textId="4A090D03" w:rsidR="00CC033C" w:rsidRPr="00E1026B" w:rsidRDefault="00CC033C" w:rsidP="00CC033C">
            <w:pPr>
              <w:pStyle w:val="CommentaryHeading"/>
              <w:keepNext w:val="0"/>
              <w:tabs>
                <w:tab w:val="left" w:pos="3306"/>
              </w:tabs>
              <w:spacing w:before="0" w:after="0"/>
              <w:jc w:val="both"/>
              <w:rPr>
                <w:rFonts w:cs="Calibri"/>
                <w:b w:val="0"/>
                <w:bCs w:val="0"/>
                <w:sz w:val="18"/>
              </w:rPr>
            </w:pPr>
            <w:r w:rsidRPr="00E1026B">
              <w:rPr>
                <w:rFonts w:cs="Calibri"/>
                <w:b w:val="0"/>
                <w:bCs w:val="0"/>
                <w:sz w:val="18"/>
              </w:rPr>
              <w:t>The carrying amount of territorial financial assets and territorial financial liabilities of ‘</w:t>
            </w:r>
            <w:r w:rsidRPr="00E1026B">
              <w:rPr>
                <w:b w:val="0"/>
                <w:bCs w:val="0"/>
                <w:sz w:val="18"/>
              </w:rPr>
              <w:t xml:space="preserve">Burley Griffin </w:t>
            </w:r>
            <w:r w:rsidRPr="00E1026B">
              <w:rPr>
                <w:rFonts w:cs="Calibri"/>
                <w:b w:val="0"/>
                <w:bCs w:val="0"/>
                <w:sz w:val="18"/>
              </w:rPr>
              <w:t>Agency’ approximate their fair value.</w:t>
            </w:r>
          </w:p>
        </w:tc>
      </w:tr>
      <w:tr w:rsidR="003559D6" w:rsidRPr="00CF7E1B" w14:paraId="12A6885C"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cantSplit/>
          <w:trHeight w:val="301"/>
        </w:trPr>
        <w:tc>
          <w:tcPr>
            <w:tcW w:w="1561" w:type="dxa"/>
            <w:tcBorders>
              <w:top w:val="nil"/>
              <w:left w:val="single" w:sz="2" w:space="0" w:color="auto"/>
              <w:bottom w:val="nil"/>
              <w:right w:val="single" w:sz="2" w:space="0" w:color="auto"/>
            </w:tcBorders>
          </w:tcPr>
          <w:p w14:paraId="5825FAA2" w14:textId="77777777" w:rsidR="003559D6" w:rsidRPr="00E1026B" w:rsidRDefault="003559D6" w:rsidP="00855BC7">
            <w:pPr>
              <w:pStyle w:val="TableReference"/>
              <w:tabs>
                <w:tab w:val="left" w:pos="3306"/>
              </w:tabs>
              <w:spacing w:before="40"/>
              <w:rPr>
                <w:rFonts w:cs="Calibri"/>
                <w:color w:val="7030A0"/>
                <w:sz w:val="14"/>
              </w:rPr>
            </w:pPr>
          </w:p>
        </w:tc>
        <w:tc>
          <w:tcPr>
            <w:tcW w:w="5689" w:type="dxa"/>
            <w:gridSpan w:val="3"/>
            <w:tcBorders>
              <w:top w:val="nil"/>
              <w:left w:val="single" w:sz="2" w:space="0" w:color="auto"/>
              <w:bottom w:val="nil"/>
              <w:right w:val="nil"/>
            </w:tcBorders>
          </w:tcPr>
          <w:p w14:paraId="440CF563" w14:textId="77777777" w:rsidR="003559D6" w:rsidRPr="00E1026B" w:rsidRDefault="003559D6" w:rsidP="00F00C95">
            <w:pPr>
              <w:pStyle w:val="TableText"/>
              <w:tabs>
                <w:tab w:val="left" w:pos="3306"/>
              </w:tabs>
              <w:spacing w:before="0"/>
              <w:rPr>
                <w:rFonts w:cs="Calibri"/>
                <w:b/>
              </w:rPr>
            </w:pPr>
            <w:r w:rsidRPr="00E1026B">
              <w:rPr>
                <w:rFonts w:cs="Calibri"/>
                <w:b/>
              </w:rPr>
              <w:t>Fair Value Hierarchy</w:t>
            </w:r>
          </w:p>
        </w:tc>
        <w:tc>
          <w:tcPr>
            <w:tcW w:w="1567" w:type="dxa"/>
            <w:gridSpan w:val="5"/>
            <w:tcBorders>
              <w:top w:val="nil"/>
              <w:left w:val="nil"/>
              <w:right w:val="nil"/>
            </w:tcBorders>
          </w:tcPr>
          <w:p w14:paraId="402EBD51" w14:textId="77777777" w:rsidR="003559D6" w:rsidRPr="00E1026B" w:rsidRDefault="003559D6" w:rsidP="00855BC7">
            <w:pPr>
              <w:pStyle w:val="TableTitle"/>
              <w:tabs>
                <w:tab w:val="left" w:pos="3306"/>
              </w:tabs>
              <w:jc w:val="left"/>
              <w:rPr>
                <w:rFonts w:cs="Calibri"/>
              </w:rPr>
            </w:pPr>
          </w:p>
        </w:tc>
        <w:tc>
          <w:tcPr>
            <w:tcW w:w="1674" w:type="dxa"/>
            <w:gridSpan w:val="3"/>
            <w:tcBorders>
              <w:top w:val="nil"/>
              <w:left w:val="nil"/>
            </w:tcBorders>
          </w:tcPr>
          <w:p w14:paraId="5C21AAE9" w14:textId="77777777" w:rsidR="003559D6" w:rsidRPr="00E1026B" w:rsidRDefault="003559D6" w:rsidP="00855BC7">
            <w:pPr>
              <w:pStyle w:val="TableTitle"/>
              <w:tabs>
                <w:tab w:val="left" w:pos="3306"/>
              </w:tabs>
              <w:jc w:val="left"/>
              <w:rPr>
                <w:rFonts w:cs="Calibri"/>
              </w:rPr>
            </w:pPr>
          </w:p>
        </w:tc>
      </w:tr>
      <w:tr w:rsidR="003559D6" w:rsidRPr="00CF7E1B" w14:paraId="2D99063C" w14:textId="77777777" w:rsidTr="00F00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cantSplit/>
          <w:trHeight w:val="286"/>
        </w:trPr>
        <w:tc>
          <w:tcPr>
            <w:tcW w:w="1561" w:type="dxa"/>
            <w:tcBorders>
              <w:top w:val="nil"/>
              <w:left w:val="single" w:sz="2" w:space="0" w:color="auto"/>
              <w:bottom w:val="nil"/>
              <w:right w:val="single" w:sz="2" w:space="0" w:color="auto"/>
            </w:tcBorders>
          </w:tcPr>
          <w:p w14:paraId="19C9F17D" w14:textId="77777777" w:rsidR="003559D6" w:rsidRPr="00E1026B" w:rsidRDefault="003559D6" w:rsidP="009A0F2F">
            <w:pPr>
              <w:pStyle w:val="TableReference"/>
              <w:tabs>
                <w:tab w:val="left" w:pos="3306"/>
              </w:tabs>
              <w:spacing w:before="40"/>
              <w:rPr>
                <w:rFonts w:cs="Calibri"/>
                <w:color w:val="7030A0"/>
                <w:sz w:val="14"/>
              </w:rPr>
            </w:pPr>
          </w:p>
        </w:tc>
        <w:tc>
          <w:tcPr>
            <w:tcW w:w="8930" w:type="dxa"/>
            <w:gridSpan w:val="11"/>
            <w:tcBorders>
              <w:top w:val="nil"/>
              <w:left w:val="single" w:sz="2" w:space="0" w:color="auto"/>
              <w:bottom w:val="nil"/>
            </w:tcBorders>
            <w:vAlign w:val="bottom"/>
          </w:tcPr>
          <w:p w14:paraId="47269117" w14:textId="663C901A" w:rsidR="003559D6" w:rsidRPr="00F00C95" w:rsidRDefault="003559D6" w:rsidP="00F00C95">
            <w:pPr>
              <w:pStyle w:val="TableText"/>
              <w:tabs>
                <w:tab w:val="left" w:pos="3306"/>
              </w:tabs>
              <w:spacing w:before="0"/>
              <w:rPr>
                <w:rFonts w:cs="Calibri"/>
              </w:rPr>
            </w:pPr>
            <w:r w:rsidRPr="00E1026B">
              <w:rPr>
                <w:rFonts w:cs="Calibri"/>
              </w:rPr>
              <w:t>‘</w:t>
            </w:r>
            <w:r w:rsidRPr="00E1026B">
              <w:t xml:space="preserve">Burley Griffin </w:t>
            </w:r>
            <w:r w:rsidRPr="00E1026B">
              <w:rPr>
                <w:rFonts w:cs="Calibri"/>
              </w:rPr>
              <w:t>Agency’ does not have any financial assets or financial liabilities on behalf of the Territory at fair value.</w:t>
            </w:r>
            <w:r w:rsidR="00FA7C77">
              <w:rPr>
                <w:rFonts w:cs="Calibri"/>
              </w:rPr>
              <w:t xml:space="preserve"> </w:t>
            </w:r>
            <w:r w:rsidRPr="00E1026B">
              <w:rPr>
                <w:rFonts w:cs="Calibri"/>
              </w:rPr>
              <w:t>As such no Fair Value Hierarchy disclosures have been made.</w:t>
            </w:r>
          </w:p>
        </w:tc>
      </w:tr>
    </w:tbl>
    <w:p w14:paraId="03BC04A9" w14:textId="1EDF28FD" w:rsidR="003559D6" w:rsidRPr="00CF7E1B" w:rsidRDefault="003559D6" w:rsidP="00863311">
      <w:pPr>
        <w:pStyle w:val="Header"/>
        <w:tabs>
          <w:tab w:val="clear" w:pos="4153"/>
          <w:tab w:val="clear" w:pos="8306"/>
        </w:tabs>
        <w:rPr>
          <w:rFonts w:cs="Calibri"/>
          <w:szCs w:val="16"/>
        </w:rPr>
        <w:sectPr w:rsidR="003559D6" w:rsidRPr="00CF7E1B" w:rsidSect="00C377E9">
          <w:headerReference w:type="default" r:id="rId50"/>
          <w:footnotePr>
            <w:numRestart w:val="eachPage"/>
          </w:footnotePr>
          <w:pgSz w:w="11907" w:h="16840" w:code="9"/>
          <w:pgMar w:top="680" w:right="680" w:bottom="709" w:left="680" w:header="567" w:footer="284" w:gutter="0"/>
          <w:cols w:space="720"/>
        </w:sectPr>
      </w:pPr>
    </w:p>
    <w:tbl>
      <w:tblPr>
        <w:tblW w:w="471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3401"/>
        <w:gridCol w:w="1559"/>
        <w:gridCol w:w="1136"/>
        <w:gridCol w:w="1011"/>
        <w:gridCol w:w="27"/>
        <w:gridCol w:w="964"/>
        <w:gridCol w:w="27"/>
        <w:gridCol w:w="1107"/>
        <w:gridCol w:w="27"/>
        <w:gridCol w:w="1249"/>
        <w:gridCol w:w="27"/>
        <w:gridCol w:w="1273"/>
        <w:gridCol w:w="16"/>
        <w:gridCol w:w="1219"/>
      </w:tblGrid>
      <w:tr w:rsidR="00C377E9" w:rsidRPr="00CF7E1B" w14:paraId="37B18F6A" w14:textId="77777777" w:rsidTr="00D919F2">
        <w:trPr>
          <w:cantSplit/>
          <w:trHeight w:val="23"/>
        </w:trPr>
        <w:tc>
          <w:tcPr>
            <w:tcW w:w="1562" w:type="dxa"/>
            <w:tcBorders>
              <w:top w:val="nil"/>
              <w:left w:val="single" w:sz="2" w:space="0" w:color="auto"/>
              <w:bottom w:val="nil"/>
              <w:right w:val="single" w:sz="2" w:space="0" w:color="auto"/>
            </w:tcBorders>
          </w:tcPr>
          <w:p w14:paraId="55E01568" w14:textId="77777777" w:rsidR="00FB5A3D" w:rsidRPr="004A5792" w:rsidRDefault="006F4815" w:rsidP="005D3C33">
            <w:pPr>
              <w:pStyle w:val="TableReference"/>
              <w:tabs>
                <w:tab w:val="left" w:pos="3306"/>
              </w:tabs>
              <w:spacing w:before="240" w:after="240"/>
              <w:rPr>
                <w:rFonts w:asciiTheme="minorHAnsi" w:hAnsiTheme="minorHAnsi" w:cstheme="minorHAnsi"/>
                <w:b/>
                <w:color w:val="7030A0"/>
                <w:sz w:val="22"/>
                <w:szCs w:val="22"/>
              </w:rPr>
            </w:pPr>
            <w:r w:rsidRPr="004A5792">
              <w:rPr>
                <w:rFonts w:asciiTheme="minorHAnsi" w:hAnsiTheme="minorHAnsi" w:cstheme="minorHAnsi"/>
                <w:b/>
                <w:color w:val="7030A0"/>
                <w:sz w:val="22"/>
                <w:szCs w:val="22"/>
              </w:rPr>
              <w:t>Reference</w:t>
            </w:r>
          </w:p>
        </w:tc>
        <w:tc>
          <w:tcPr>
            <w:tcW w:w="13042" w:type="dxa"/>
            <w:gridSpan w:val="14"/>
            <w:tcBorders>
              <w:top w:val="nil"/>
              <w:left w:val="single" w:sz="2" w:space="0" w:color="auto"/>
              <w:bottom w:val="nil"/>
              <w:right w:val="nil"/>
            </w:tcBorders>
            <w:vAlign w:val="bottom"/>
          </w:tcPr>
          <w:p w14:paraId="10A226A7" w14:textId="30787EE7" w:rsidR="00FB5A3D" w:rsidRPr="004A5792" w:rsidRDefault="005F62CB" w:rsidP="005F62CB">
            <w:pPr>
              <w:pStyle w:val="TableText"/>
              <w:spacing w:before="240" w:after="240"/>
              <w:rPr>
                <w:rFonts w:ascii="Arial" w:hAnsi="Arial" w:cs="Arial"/>
                <w:b/>
                <w:bCs/>
                <w:caps/>
                <w:sz w:val="32"/>
                <w:szCs w:val="32"/>
              </w:rPr>
            </w:pPr>
            <w:r w:rsidRPr="004A5792">
              <w:rPr>
                <w:rFonts w:ascii="Arial" w:hAnsi="Arial" w:cs="Arial"/>
                <w:b/>
                <w:sz w:val="32"/>
                <w:szCs w:val="32"/>
              </w:rPr>
              <w:t xml:space="preserve">NOTE </w:t>
            </w:r>
            <w:r w:rsidR="00DD6620" w:rsidRPr="004A5792">
              <w:rPr>
                <w:rFonts w:ascii="Arial" w:hAnsi="Arial" w:cs="Arial"/>
                <w:b/>
                <w:sz w:val="32"/>
                <w:szCs w:val="32"/>
              </w:rPr>
              <w:t>5</w:t>
            </w:r>
            <w:r w:rsidR="00A05D1E">
              <w:rPr>
                <w:rFonts w:ascii="Arial" w:hAnsi="Arial" w:cs="Arial"/>
                <w:b/>
                <w:sz w:val="32"/>
                <w:szCs w:val="32"/>
              </w:rPr>
              <w:t>3</w:t>
            </w:r>
            <w:r w:rsidRPr="004A5792">
              <w:rPr>
                <w:rFonts w:ascii="Arial" w:hAnsi="Arial" w:cs="Arial"/>
                <w:b/>
                <w:sz w:val="32"/>
                <w:szCs w:val="32"/>
              </w:rPr>
              <w:t>.</w:t>
            </w:r>
            <w:r w:rsidR="00FA7C77">
              <w:rPr>
                <w:rFonts w:ascii="Arial" w:hAnsi="Arial" w:cs="Arial"/>
                <w:b/>
                <w:sz w:val="32"/>
                <w:szCs w:val="32"/>
              </w:rPr>
              <w:t xml:space="preserve"> </w:t>
            </w:r>
            <w:r w:rsidRPr="004A5792">
              <w:rPr>
                <w:rFonts w:ascii="Arial" w:hAnsi="Arial" w:cs="Arial"/>
                <w:b/>
                <w:sz w:val="32"/>
                <w:szCs w:val="32"/>
              </w:rPr>
              <w:t xml:space="preserve"> FINANCIAL INSTRUMENTS – TERRITORIAL – CONTINUED </w:t>
            </w:r>
          </w:p>
        </w:tc>
      </w:tr>
      <w:tr w:rsidR="00C377E9" w:rsidRPr="00CF7E1B" w14:paraId="516B2FFE" w14:textId="77777777" w:rsidTr="00D919F2">
        <w:trPr>
          <w:cantSplit/>
          <w:trHeight w:val="23"/>
        </w:trPr>
        <w:tc>
          <w:tcPr>
            <w:tcW w:w="1562" w:type="dxa"/>
            <w:tcBorders>
              <w:top w:val="nil"/>
              <w:left w:val="single" w:sz="2" w:space="0" w:color="auto"/>
              <w:bottom w:val="nil"/>
              <w:right w:val="single" w:sz="2" w:space="0" w:color="auto"/>
            </w:tcBorders>
          </w:tcPr>
          <w:p w14:paraId="31D79892" w14:textId="77777777" w:rsidR="00FB5A3D" w:rsidRPr="004A5792" w:rsidRDefault="00F458E9" w:rsidP="00C377E9">
            <w:pPr>
              <w:pStyle w:val="TableReference"/>
              <w:tabs>
                <w:tab w:val="left" w:pos="3306"/>
              </w:tabs>
              <w:spacing w:before="80"/>
              <w:rPr>
                <w:rFonts w:cs="Calibri"/>
                <w:color w:val="7030A0"/>
                <w:sz w:val="14"/>
              </w:rPr>
            </w:pPr>
            <w:r w:rsidRPr="004A5792">
              <w:rPr>
                <w:rFonts w:cs="Calibri"/>
                <w:color w:val="7030A0"/>
                <w:sz w:val="14"/>
              </w:rPr>
              <w:t>AASB 7.34(a) &amp; 39(a)</w:t>
            </w:r>
            <w:r w:rsidR="00C377E9" w:rsidRPr="004A5792">
              <w:rPr>
                <w:rFonts w:cs="Calibri"/>
                <w:color w:val="7030A0"/>
                <w:sz w:val="14"/>
              </w:rPr>
              <w:t xml:space="preserve"> &amp;</w:t>
            </w:r>
            <w:r w:rsidRPr="004A5792">
              <w:rPr>
                <w:rFonts w:cs="Calibri"/>
                <w:color w:val="7030A0"/>
                <w:sz w:val="14"/>
              </w:rPr>
              <w:t xml:space="preserve"> ACT Disclosure Policy</w:t>
            </w:r>
          </w:p>
        </w:tc>
        <w:tc>
          <w:tcPr>
            <w:tcW w:w="13042" w:type="dxa"/>
            <w:gridSpan w:val="14"/>
            <w:tcBorders>
              <w:top w:val="nil"/>
              <w:left w:val="single" w:sz="2" w:space="0" w:color="auto"/>
              <w:bottom w:val="nil"/>
              <w:right w:val="nil"/>
            </w:tcBorders>
            <w:vAlign w:val="bottom"/>
          </w:tcPr>
          <w:p w14:paraId="3704E252" w14:textId="2A7184A7" w:rsidR="00FB5A3D" w:rsidRPr="004A5792" w:rsidRDefault="00FB5A3D" w:rsidP="00400F38">
            <w:pPr>
              <w:pStyle w:val="TableText"/>
              <w:spacing w:before="0" w:after="120"/>
              <w:jc w:val="both"/>
              <w:rPr>
                <w:rFonts w:cs="Calibri"/>
              </w:rPr>
            </w:pPr>
            <w:r w:rsidRPr="004A5792">
              <w:rPr>
                <w:rFonts w:cs="Calibri"/>
              </w:rPr>
              <w:t>The following table</w:t>
            </w:r>
            <w:r w:rsidR="00421192" w:rsidRPr="00421192">
              <w:rPr>
                <w:rFonts w:cs="Calibri"/>
                <w:color w:val="FF0000"/>
              </w:rPr>
              <w:t>s</w:t>
            </w:r>
            <w:r w:rsidRPr="004A5792">
              <w:rPr>
                <w:rFonts w:cs="Calibri"/>
              </w:rPr>
              <w:t xml:space="preserve"> set out the Agency’s maturity analysis for financial liabilities as well as the exposure to interest rates, including the weighted average interest rates by maturity </w:t>
            </w:r>
            <w:r w:rsidRPr="00421192">
              <w:rPr>
                <w:rFonts w:cs="Calibri"/>
              </w:rPr>
              <w:t>period as at 30 Jun</w:t>
            </w:r>
            <w:r w:rsidR="00400F38" w:rsidRPr="00421192">
              <w:rPr>
                <w:rFonts w:cs="Calibri"/>
              </w:rPr>
              <w:t xml:space="preserve">e </w:t>
            </w:r>
            <w:r w:rsidR="005709FA" w:rsidRPr="00421192">
              <w:rPr>
                <w:rFonts w:cs="Calibri"/>
              </w:rPr>
              <w:t>202</w:t>
            </w:r>
            <w:r w:rsidR="00421192" w:rsidRPr="00421192">
              <w:rPr>
                <w:rFonts w:cs="Calibri"/>
              </w:rPr>
              <w:t xml:space="preserve">3 </w:t>
            </w:r>
            <w:r w:rsidR="00421192" w:rsidRPr="00421192">
              <w:rPr>
                <w:rFonts w:cs="Calibri"/>
                <w:color w:val="FF0000"/>
              </w:rPr>
              <w:t>and as at 30 June 2022</w:t>
            </w:r>
            <w:r w:rsidRPr="004A5792">
              <w:rPr>
                <w:rFonts w:cs="Calibri"/>
              </w:rPr>
              <w:t>.</w:t>
            </w:r>
            <w:r w:rsidR="00FA7C77">
              <w:rPr>
                <w:rFonts w:cs="Calibri"/>
              </w:rPr>
              <w:t xml:space="preserve"> </w:t>
            </w:r>
            <w:r w:rsidRPr="004A5792">
              <w:rPr>
                <w:rFonts w:cs="Calibri"/>
              </w:rPr>
              <w:t>All financial liabilities which are non-interest bearing will mature in 1 year or less. All amounts appearing in the following maturity analysis are shown on an undiscounted cash flow basis.</w:t>
            </w:r>
          </w:p>
        </w:tc>
      </w:tr>
      <w:tr w:rsidR="00C377E9" w:rsidRPr="00CF7E1B" w14:paraId="4AA0AE15" w14:textId="77777777" w:rsidTr="00D919F2">
        <w:trPr>
          <w:cantSplit/>
          <w:trHeight w:val="23"/>
        </w:trPr>
        <w:tc>
          <w:tcPr>
            <w:tcW w:w="1562" w:type="dxa"/>
            <w:tcBorders>
              <w:top w:val="nil"/>
              <w:left w:val="single" w:sz="2" w:space="0" w:color="auto"/>
              <w:bottom w:val="nil"/>
              <w:right w:val="single" w:sz="2" w:space="0" w:color="auto"/>
            </w:tcBorders>
          </w:tcPr>
          <w:p w14:paraId="181CF2B3" w14:textId="77777777" w:rsidR="00FB5A3D" w:rsidRPr="004A5792" w:rsidRDefault="00FB5A3D" w:rsidP="00863311">
            <w:pPr>
              <w:pStyle w:val="TableReference"/>
              <w:tabs>
                <w:tab w:val="left" w:pos="3306"/>
              </w:tabs>
              <w:spacing w:before="40"/>
              <w:rPr>
                <w:rFonts w:cs="Calibri"/>
                <w:color w:val="7030A0"/>
                <w:sz w:val="14"/>
              </w:rPr>
            </w:pPr>
          </w:p>
        </w:tc>
        <w:tc>
          <w:tcPr>
            <w:tcW w:w="7133" w:type="dxa"/>
            <w:gridSpan w:val="5"/>
            <w:tcBorders>
              <w:top w:val="nil"/>
              <w:left w:val="single" w:sz="2" w:space="0" w:color="auto"/>
              <w:bottom w:val="nil"/>
              <w:right w:val="nil"/>
            </w:tcBorders>
            <w:vAlign w:val="bottom"/>
          </w:tcPr>
          <w:p w14:paraId="2997852F" w14:textId="77777777" w:rsidR="00FB5A3D" w:rsidRPr="004A5792" w:rsidRDefault="00FB5A3D" w:rsidP="00F239AE">
            <w:pPr>
              <w:pStyle w:val="TableText"/>
              <w:tabs>
                <w:tab w:val="left" w:pos="3306"/>
              </w:tabs>
              <w:ind w:right="1271"/>
              <w:rPr>
                <w:rFonts w:cs="Calibri"/>
              </w:rPr>
            </w:pPr>
          </w:p>
        </w:tc>
        <w:tc>
          <w:tcPr>
            <w:tcW w:w="3401" w:type="dxa"/>
            <w:gridSpan w:val="6"/>
            <w:tcBorders>
              <w:top w:val="nil"/>
              <w:left w:val="nil"/>
              <w:bottom w:val="single" w:sz="2" w:space="0" w:color="auto"/>
              <w:right w:val="nil"/>
            </w:tcBorders>
            <w:vAlign w:val="bottom"/>
          </w:tcPr>
          <w:p w14:paraId="34DD32D8" w14:textId="77777777" w:rsidR="00FB5A3D" w:rsidRPr="004A5792" w:rsidRDefault="00FB5A3D" w:rsidP="00863311">
            <w:pPr>
              <w:pStyle w:val="CommentaryHeading"/>
              <w:tabs>
                <w:tab w:val="left" w:pos="3306"/>
              </w:tabs>
              <w:jc w:val="center"/>
              <w:rPr>
                <w:rFonts w:cs="Calibri"/>
              </w:rPr>
            </w:pPr>
            <w:r w:rsidRPr="004A5792">
              <w:rPr>
                <w:rFonts w:cs="Calibri"/>
                <w:sz w:val="18"/>
              </w:rPr>
              <w:t xml:space="preserve">Fixed Interest </w:t>
            </w:r>
            <w:r w:rsidR="00BE5DF2" w:rsidRPr="004A5792">
              <w:rPr>
                <w:rFonts w:cs="Calibri"/>
                <w:sz w:val="18"/>
              </w:rPr>
              <w:t>M</w:t>
            </w:r>
            <w:r w:rsidRPr="004A5792">
              <w:rPr>
                <w:rFonts w:cs="Calibri"/>
                <w:sz w:val="18"/>
              </w:rPr>
              <w:t>aturing in:</w:t>
            </w:r>
          </w:p>
        </w:tc>
        <w:tc>
          <w:tcPr>
            <w:tcW w:w="2508" w:type="dxa"/>
            <w:gridSpan w:val="3"/>
            <w:tcBorders>
              <w:top w:val="nil"/>
              <w:left w:val="nil"/>
              <w:bottom w:val="nil"/>
              <w:right w:val="nil"/>
            </w:tcBorders>
            <w:vAlign w:val="bottom"/>
          </w:tcPr>
          <w:p w14:paraId="24F448FC" w14:textId="77777777" w:rsidR="00FB5A3D" w:rsidRPr="004A5792" w:rsidRDefault="00FB5A3D" w:rsidP="00863311">
            <w:pPr>
              <w:pStyle w:val="TableText"/>
              <w:tabs>
                <w:tab w:val="left" w:pos="3306"/>
              </w:tabs>
              <w:rPr>
                <w:rFonts w:cs="Calibri"/>
              </w:rPr>
            </w:pPr>
          </w:p>
        </w:tc>
      </w:tr>
      <w:tr w:rsidR="00C377E9" w:rsidRPr="00CF7E1B" w14:paraId="41541EF4" w14:textId="77777777" w:rsidTr="00D919F2">
        <w:trPr>
          <w:cantSplit/>
          <w:trHeight w:val="20"/>
        </w:trPr>
        <w:tc>
          <w:tcPr>
            <w:tcW w:w="1562" w:type="dxa"/>
            <w:tcBorders>
              <w:top w:val="nil"/>
              <w:left w:val="single" w:sz="2" w:space="0" w:color="auto"/>
              <w:bottom w:val="nil"/>
              <w:right w:val="single" w:sz="2" w:space="0" w:color="auto"/>
            </w:tcBorders>
          </w:tcPr>
          <w:p w14:paraId="114340DC" w14:textId="77777777" w:rsidR="004459BE" w:rsidRPr="004A5792" w:rsidRDefault="004459BE" w:rsidP="00863311">
            <w:pPr>
              <w:pStyle w:val="TableReference"/>
              <w:tabs>
                <w:tab w:val="left" w:pos="3306"/>
              </w:tabs>
              <w:spacing w:before="40"/>
              <w:rPr>
                <w:rFonts w:cs="Calibri"/>
                <w:color w:val="7030A0"/>
                <w:sz w:val="14"/>
              </w:rPr>
            </w:pPr>
            <w:r w:rsidRPr="004A5792">
              <w:rPr>
                <w:rFonts w:cs="Calibri"/>
                <w:color w:val="7030A0"/>
                <w:sz w:val="14"/>
              </w:rPr>
              <w:t xml:space="preserve"> </w:t>
            </w:r>
            <w:r w:rsidR="003368D3" w:rsidRPr="004A5792">
              <w:rPr>
                <w:rFonts w:cs="Calibri"/>
                <w:color w:val="7030A0"/>
                <w:sz w:val="14"/>
              </w:rPr>
              <w:t>AASB 7.B11</w:t>
            </w:r>
          </w:p>
        </w:tc>
        <w:tc>
          <w:tcPr>
            <w:tcW w:w="3403" w:type="dxa"/>
            <w:tcBorders>
              <w:top w:val="nil"/>
              <w:left w:val="single" w:sz="2" w:space="0" w:color="auto"/>
              <w:bottom w:val="nil"/>
              <w:right w:val="nil"/>
            </w:tcBorders>
            <w:vAlign w:val="bottom"/>
          </w:tcPr>
          <w:p w14:paraId="5C1BFA9B"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3869FF79" w14:textId="77777777" w:rsidR="004459BE" w:rsidRPr="004A5792" w:rsidRDefault="004459BE" w:rsidP="000641E0">
            <w:pPr>
              <w:pStyle w:val="TableTitle"/>
              <w:tabs>
                <w:tab w:val="left" w:pos="3306"/>
              </w:tabs>
              <w:jc w:val="center"/>
              <w:rPr>
                <w:rFonts w:cs="Calibri"/>
              </w:rPr>
            </w:pPr>
            <w:r w:rsidRPr="004A5792">
              <w:rPr>
                <w:rFonts w:cs="Calibri"/>
              </w:rPr>
              <w:t>Note</w:t>
            </w:r>
          </w:p>
          <w:p w14:paraId="557AA5C3" w14:textId="77777777" w:rsidR="00CD70BC" w:rsidRPr="004A5792" w:rsidRDefault="00CD70BC" w:rsidP="000641E0">
            <w:pPr>
              <w:jc w:val="center"/>
              <w:rPr>
                <w:b/>
                <w:sz w:val="18"/>
                <w:szCs w:val="18"/>
              </w:rPr>
            </w:pPr>
            <w:r w:rsidRPr="004A5792">
              <w:rPr>
                <w:b/>
                <w:sz w:val="18"/>
                <w:szCs w:val="18"/>
              </w:rPr>
              <w:t>No.</w:t>
            </w:r>
          </w:p>
        </w:tc>
        <w:tc>
          <w:tcPr>
            <w:tcW w:w="1136" w:type="dxa"/>
            <w:tcBorders>
              <w:top w:val="nil"/>
              <w:left w:val="nil"/>
              <w:bottom w:val="nil"/>
              <w:right w:val="nil"/>
            </w:tcBorders>
          </w:tcPr>
          <w:p w14:paraId="5D361DC1" w14:textId="77777777" w:rsidR="004459BE" w:rsidRPr="004A5792" w:rsidRDefault="004459BE" w:rsidP="000641E0">
            <w:pPr>
              <w:pStyle w:val="TableTitle"/>
              <w:tabs>
                <w:tab w:val="left" w:pos="3306"/>
              </w:tabs>
              <w:ind w:left="-583" w:firstLine="309"/>
              <w:rPr>
                <w:rFonts w:cs="Calibri"/>
              </w:rPr>
            </w:pPr>
            <w:r w:rsidRPr="004A5792">
              <w:rPr>
                <w:rFonts w:cs="Calibri"/>
              </w:rPr>
              <w:t>Weighted Aver</w:t>
            </w:r>
            <w:r w:rsidR="00F239AE" w:rsidRPr="004A5792">
              <w:rPr>
                <w:rFonts w:cs="Calibri"/>
              </w:rPr>
              <w:t>age</w:t>
            </w:r>
          </w:p>
          <w:p w14:paraId="474A945A" w14:textId="77777777" w:rsidR="004459BE" w:rsidRPr="004A5792" w:rsidRDefault="00996BBA" w:rsidP="000641E0">
            <w:pPr>
              <w:ind w:left="33"/>
              <w:jc w:val="right"/>
              <w:rPr>
                <w:rFonts w:cs="Calibri"/>
                <w:b/>
                <w:sz w:val="18"/>
                <w:szCs w:val="18"/>
              </w:rPr>
            </w:pPr>
            <w:r w:rsidRPr="004A5792">
              <w:rPr>
                <w:rFonts w:cs="Calibri"/>
                <w:b/>
                <w:sz w:val="18"/>
                <w:szCs w:val="18"/>
              </w:rPr>
              <w:t>Interest Rate</w:t>
            </w:r>
          </w:p>
          <w:p w14:paraId="00204EE2" w14:textId="132A17D7" w:rsidR="004D136C" w:rsidRPr="004A5792" w:rsidRDefault="004D136C" w:rsidP="000641E0">
            <w:pPr>
              <w:ind w:left="33"/>
              <w:jc w:val="right"/>
              <w:rPr>
                <w:rFonts w:cs="Calibri"/>
                <w:b/>
                <w:sz w:val="18"/>
                <w:szCs w:val="18"/>
              </w:rPr>
            </w:pPr>
            <w:r w:rsidRPr="004A5792">
              <w:rPr>
                <w:rFonts w:cs="Calibri"/>
                <w:b/>
                <w:sz w:val="18"/>
                <w:szCs w:val="18"/>
              </w:rPr>
              <w:t>%</w:t>
            </w:r>
          </w:p>
        </w:tc>
        <w:tc>
          <w:tcPr>
            <w:tcW w:w="1038" w:type="dxa"/>
            <w:gridSpan w:val="2"/>
            <w:tcBorders>
              <w:top w:val="nil"/>
              <w:left w:val="nil"/>
              <w:bottom w:val="nil"/>
              <w:right w:val="nil"/>
            </w:tcBorders>
            <w:vAlign w:val="bottom"/>
          </w:tcPr>
          <w:p w14:paraId="727ED870" w14:textId="77777777" w:rsidR="004459BE" w:rsidRPr="004A5792" w:rsidRDefault="004459BE" w:rsidP="00863311">
            <w:pPr>
              <w:pStyle w:val="TableTitle"/>
              <w:tabs>
                <w:tab w:val="left" w:pos="3306"/>
              </w:tabs>
              <w:rPr>
                <w:rFonts w:cs="Calibri"/>
              </w:rPr>
            </w:pPr>
            <w:r w:rsidRPr="004A5792">
              <w:rPr>
                <w:rFonts w:cs="Calibri"/>
              </w:rPr>
              <w:t>Floating Interest Rate</w:t>
            </w:r>
          </w:p>
          <w:p w14:paraId="07424491" w14:textId="77777777" w:rsidR="004459BE" w:rsidRPr="004A5792" w:rsidRDefault="004459BE" w:rsidP="00863311">
            <w:pPr>
              <w:pStyle w:val="TableTitle"/>
              <w:tabs>
                <w:tab w:val="left" w:pos="3306"/>
              </w:tabs>
              <w:rPr>
                <w:rFonts w:cs="Calibri"/>
              </w:rPr>
            </w:pPr>
            <w:r w:rsidRPr="004A5792">
              <w:rPr>
                <w:rFonts w:cs="Calibri"/>
              </w:rPr>
              <w:t>$’000</w:t>
            </w:r>
          </w:p>
        </w:tc>
        <w:tc>
          <w:tcPr>
            <w:tcW w:w="991" w:type="dxa"/>
            <w:gridSpan w:val="2"/>
            <w:tcBorders>
              <w:top w:val="single" w:sz="2" w:space="0" w:color="auto"/>
              <w:left w:val="nil"/>
              <w:bottom w:val="nil"/>
              <w:right w:val="nil"/>
            </w:tcBorders>
            <w:vAlign w:val="bottom"/>
          </w:tcPr>
          <w:p w14:paraId="144D248D" w14:textId="77777777" w:rsidR="004459BE" w:rsidRPr="004A5792" w:rsidRDefault="004459BE" w:rsidP="00863311">
            <w:pPr>
              <w:pStyle w:val="TableTitle"/>
              <w:tabs>
                <w:tab w:val="left" w:pos="3306"/>
              </w:tabs>
              <w:rPr>
                <w:rFonts w:cs="Calibri"/>
              </w:rPr>
            </w:pPr>
            <w:r w:rsidRPr="004A5792">
              <w:rPr>
                <w:rFonts w:cs="Calibri"/>
              </w:rPr>
              <w:t>1 Year or Less</w:t>
            </w:r>
          </w:p>
          <w:p w14:paraId="6E7FFFB3" w14:textId="77777777" w:rsidR="004459BE" w:rsidRPr="004A5792" w:rsidRDefault="004459BE" w:rsidP="00863311">
            <w:pPr>
              <w:pStyle w:val="TableTitle"/>
              <w:tabs>
                <w:tab w:val="left" w:pos="3306"/>
              </w:tabs>
              <w:rPr>
                <w:rFonts w:cs="Calibri"/>
              </w:rPr>
            </w:pPr>
            <w:r w:rsidRPr="004A5792">
              <w:rPr>
                <w:rFonts w:cs="Calibri"/>
              </w:rPr>
              <w:t>$’000</w:t>
            </w:r>
          </w:p>
        </w:tc>
        <w:tc>
          <w:tcPr>
            <w:tcW w:w="1134" w:type="dxa"/>
            <w:gridSpan w:val="2"/>
            <w:tcBorders>
              <w:top w:val="single" w:sz="2" w:space="0" w:color="auto"/>
              <w:left w:val="nil"/>
              <w:bottom w:val="nil"/>
              <w:right w:val="nil"/>
            </w:tcBorders>
            <w:vAlign w:val="bottom"/>
          </w:tcPr>
          <w:p w14:paraId="3F8164FF" w14:textId="77777777" w:rsidR="004459BE" w:rsidRPr="004A5792" w:rsidRDefault="004459BE" w:rsidP="00863311">
            <w:pPr>
              <w:pStyle w:val="TableTitle"/>
              <w:tabs>
                <w:tab w:val="left" w:pos="3306"/>
              </w:tabs>
              <w:rPr>
                <w:rFonts w:cs="Calibri"/>
              </w:rPr>
            </w:pPr>
            <w:r w:rsidRPr="004A5792">
              <w:rPr>
                <w:rFonts w:cs="Calibri"/>
              </w:rPr>
              <w:t>Over 1 Years to 5 Years</w:t>
            </w:r>
          </w:p>
          <w:p w14:paraId="620C64EC" w14:textId="77777777" w:rsidR="004459BE" w:rsidRPr="004A5792" w:rsidRDefault="004459BE" w:rsidP="00863311">
            <w:pPr>
              <w:pStyle w:val="TableTitle"/>
              <w:tabs>
                <w:tab w:val="left" w:pos="3306"/>
              </w:tabs>
              <w:rPr>
                <w:rFonts w:cs="Calibri"/>
              </w:rPr>
            </w:pPr>
            <w:r w:rsidRPr="004A5792">
              <w:rPr>
                <w:rFonts w:cs="Calibri"/>
              </w:rPr>
              <w:t>$’000</w:t>
            </w:r>
          </w:p>
        </w:tc>
        <w:tc>
          <w:tcPr>
            <w:tcW w:w="1276" w:type="dxa"/>
            <w:gridSpan w:val="2"/>
            <w:tcBorders>
              <w:top w:val="single" w:sz="2" w:space="0" w:color="auto"/>
              <w:left w:val="nil"/>
              <w:bottom w:val="nil"/>
              <w:right w:val="nil"/>
            </w:tcBorders>
            <w:vAlign w:val="bottom"/>
          </w:tcPr>
          <w:p w14:paraId="1088AD38" w14:textId="77777777" w:rsidR="004459BE" w:rsidRPr="004A5792" w:rsidRDefault="004459BE" w:rsidP="00863311">
            <w:pPr>
              <w:pStyle w:val="TableTitle"/>
              <w:tabs>
                <w:tab w:val="left" w:pos="3306"/>
              </w:tabs>
              <w:rPr>
                <w:rFonts w:cs="Calibri"/>
              </w:rPr>
            </w:pPr>
            <w:r w:rsidRPr="004A5792">
              <w:rPr>
                <w:rFonts w:cs="Calibri"/>
              </w:rPr>
              <w:t>Over 5 Years</w:t>
            </w:r>
          </w:p>
          <w:p w14:paraId="6669FE01" w14:textId="77777777" w:rsidR="004459BE" w:rsidRPr="004A5792" w:rsidRDefault="004459BE" w:rsidP="00863311">
            <w:pPr>
              <w:pStyle w:val="TableTitle"/>
              <w:tabs>
                <w:tab w:val="left" w:pos="3306"/>
              </w:tabs>
              <w:rPr>
                <w:rFonts w:cs="Calibri"/>
              </w:rPr>
            </w:pPr>
            <w:r w:rsidRPr="004A5792">
              <w:rPr>
                <w:rFonts w:cs="Calibri"/>
              </w:rPr>
              <w:t>$’000</w:t>
            </w:r>
          </w:p>
        </w:tc>
        <w:tc>
          <w:tcPr>
            <w:tcW w:w="1289" w:type="dxa"/>
            <w:gridSpan w:val="2"/>
            <w:tcBorders>
              <w:top w:val="nil"/>
              <w:left w:val="nil"/>
              <w:bottom w:val="nil"/>
              <w:right w:val="nil"/>
            </w:tcBorders>
            <w:vAlign w:val="bottom"/>
          </w:tcPr>
          <w:p w14:paraId="0B426334" w14:textId="77777777" w:rsidR="004459BE" w:rsidRPr="004A5792" w:rsidRDefault="004459BE" w:rsidP="00863311">
            <w:pPr>
              <w:pStyle w:val="TableTitle"/>
              <w:tabs>
                <w:tab w:val="left" w:pos="3306"/>
              </w:tabs>
              <w:rPr>
                <w:rFonts w:cs="Calibri"/>
              </w:rPr>
            </w:pPr>
            <w:r w:rsidRPr="004A5792">
              <w:rPr>
                <w:rFonts w:cs="Calibri"/>
              </w:rPr>
              <w:t>Non-Interest Bearing</w:t>
            </w:r>
          </w:p>
          <w:p w14:paraId="0CE47884" w14:textId="77777777" w:rsidR="004459BE" w:rsidRPr="004A5792" w:rsidRDefault="004459BE" w:rsidP="00863311">
            <w:pPr>
              <w:pStyle w:val="TableTitle"/>
              <w:tabs>
                <w:tab w:val="left" w:pos="3306"/>
              </w:tabs>
              <w:rPr>
                <w:rFonts w:cs="Calibri"/>
              </w:rPr>
            </w:pPr>
            <w:r w:rsidRPr="004A5792">
              <w:rPr>
                <w:rFonts w:cs="Calibri"/>
              </w:rPr>
              <w:t>$’000</w:t>
            </w:r>
          </w:p>
        </w:tc>
        <w:tc>
          <w:tcPr>
            <w:tcW w:w="1219" w:type="dxa"/>
            <w:tcBorders>
              <w:top w:val="nil"/>
              <w:left w:val="nil"/>
              <w:bottom w:val="nil"/>
              <w:right w:val="nil"/>
            </w:tcBorders>
            <w:vAlign w:val="bottom"/>
          </w:tcPr>
          <w:p w14:paraId="33F02364" w14:textId="77777777" w:rsidR="004459BE" w:rsidRPr="004A5792" w:rsidRDefault="004459BE" w:rsidP="00863311">
            <w:pPr>
              <w:pStyle w:val="TableTitle"/>
              <w:tabs>
                <w:tab w:val="left" w:pos="3306"/>
              </w:tabs>
              <w:rPr>
                <w:rFonts w:cs="Calibri"/>
              </w:rPr>
            </w:pPr>
            <w:r w:rsidRPr="004A5792">
              <w:rPr>
                <w:rFonts w:cs="Calibri"/>
              </w:rPr>
              <w:t>Total</w:t>
            </w:r>
          </w:p>
          <w:p w14:paraId="1E8A7917" w14:textId="77777777" w:rsidR="004459BE" w:rsidRPr="004A5792" w:rsidRDefault="004459BE" w:rsidP="00863311">
            <w:pPr>
              <w:pStyle w:val="TableTitle"/>
              <w:tabs>
                <w:tab w:val="left" w:pos="3306"/>
              </w:tabs>
              <w:rPr>
                <w:rFonts w:cs="Calibri"/>
              </w:rPr>
            </w:pPr>
            <w:r w:rsidRPr="004A5792">
              <w:rPr>
                <w:rFonts w:cs="Calibri"/>
              </w:rPr>
              <w:t>$’000</w:t>
            </w:r>
          </w:p>
        </w:tc>
      </w:tr>
      <w:tr w:rsidR="00BB62BB" w:rsidRPr="00CF7E1B" w14:paraId="1DC3CF23" w14:textId="77777777" w:rsidTr="00D919F2">
        <w:trPr>
          <w:cantSplit/>
          <w:trHeight w:val="20"/>
        </w:trPr>
        <w:tc>
          <w:tcPr>
            <w:tcW w:w="1562" w:type="dxa"/>
            <w:tcBorders>
              <w:top w:val="nil"/>
              <w:left w:val="single" w:sz="2" w:space="0" w:color="auto"/>
              <w:bottom w:val="nil"/>
              <w:right w:val="single" w:sz="2" w:space="0" w:color="auto"/>
            </w:tcBorders>
          </w:tcPr>
          <w:p w14:paraId="533447F0" w14:textId="77777777" w:rsidR="00BB62BB" w:rsidRPr="004A5792" w:rsidRDefault="00BB62BB" w:rsidP="00863311">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26BF8E53" w14:textId="5E1C9344" w:rsidR="00BB62BB" w:rsidRPr="004A5792" w:rsidRDefault="00BB62BB" w:rsidP="00BB62BB">
            <w:pPr>
              <w:pStyle w:val="TableTitle"/>
              <w:tabs>
                <w:tab w:val="left" w:pos="3306"/>
              </w:tabs>
              <w:jc w:val="left"/>
              <w:rPr>
                <w:rFonts w:cs="Calibri"/>
              </w:rPr>
            </w:pPr>
            <w:r w:rsidRPr="004A5792">
              <w:rPr>
                <w:rFonts w:cs="Calibri"/>
              </w:rPr>
              <w:t>202</w:t>
            </w:r>
            <w:r w:rsidR="00421192">
              <w:rPr>
                <w:rFonts w:cs="Calibri"/>
              </w:rPr>
              <w:t>3</w:t>
            </w:r>
          </w:p>
        </w:tc>
      </w:tr>
      <w:tr w:rsidR="00C377E9" w:rsidRPr="00CF7E1B" w14:paraId="153D9D3F" w14:textId="77777777" w:rsidTr="00D919F2">
        <w:trPr>
          <w:cantSplit/>
          <w:trHeight w:val="193"/>
        </w:trPr>
        <w:tc>
          <w:tcPr>
            <w:tcW w:w="1562" w:type="dxa"/>
            <w:tcBorders>
              <w:top w:val="nil"/>
              <w:left w:val="single" w:sz="2" w:space="0" w:color="auto"/>
              <w:bottom w:val="nil"/>
              <w:right w:val="single" w:sz="2" w:space="0" w:color="auto"/>
            </w:tcBorders>
          </w:tcPr>
          <w:p w14:paraId="0F5E1191"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tcPr>
          <w:p w14:paraId="26D4A8CA" w14:textId="77777777" w:rsidR="004459BE" w:rsidRPr="004A5792" w:rsidRDefault="004459BE" w:rsidP="00863311">
            <w:pPr>
              <w:pStyle w:val="TableText"/>
              <w:tabs>
                <w:tab w:val="left" w:pos="3306"/>
              </w:tabs>
              <w:rPr>
                <w:rFonts w:cs="Calibri"/>
                <w:b/>
                <w:bCs/>
              </w:rPr>
            </w:pPr>
            <w:r w:rsidRPr="004A5792">
              <w:rPr>
                <w:rFonts w:cs="Calibri"/>
                <w:b/>
                <w:bCs/>
              </w:rPr>
              <w:t>Financial Liabilities</w:t>
            </w:r>
          </w:p>
        </w:tc>
        <w:tc>
          <w:tcPr>
            <w:tcW w:w="1556" w:type="dxa"/>
            <w:tcBorders>
              <w:top w:val="nil"/>
              <w:left w:val="nil"/>
              <w:bottom w:val="nil"/>
              <w:right w:val="nil"/>
            </w:tcBorders>
          </w:tcPr>
          <w:p w14:paraId="475C214D"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34767199"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nil"/>
              <w:right w:val="nil"/>
            </w:tcBorders>
          </w:tcPr>
          <w:p w14:paraId="3EF0C044" w14:textId="77777777"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nil"/>
              <w:right w:val="nil"/>
            </w:tcBorders>
          </w:tcPr>
          <w:p w14:paraId="350CC7B2" w14:textId="77777777"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nil"/>
              <w:right w:val="nil"/>
            </w:tcBorders>
          </w:tcPr>
          <w:p w14:paraId="4655CD15" w14:textId="77777777"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nil"/>
              <w:right w:val="nil"/>
            </w:tcBorders>
          </w:tcPr>
          <w:p w14:paraId="64A97B2A" w14:textId="77777777"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nil"/>
              <w:right w:val="nil"/>
            </w:tcBorders>
          </w:tcPr>
          <w:p w14:paraId="54E6E09C" w14:textId="77777777" w:rsidR="004459BE" w:rsidRPr="004A5792" w:rsidRDefault="004459BE" w:rsidP="00863311">
            <w:pPr>
              <w:pStyle w:val="TableText"/>
              <w:tabs>
                <w:tab w:val="left" w:pos="3306"/>
              </w:tabs>
              <w:jc w:val="right"/>
              <w:rPr>
                <w:rFonts w:cs="Calibri"/>
              </w:rPr>
            </w:pPr>
          </w:p>
        </w:tc>
        <w:tc>
          <w:tcPr>
            <w:tcW w:w="1219" w:type="dxa"/>
            <w:tcBorders>
              <w:top w:val="nil"/>
              <w:left w:val="nil"/>
              <w:bottom w:val="nil"/>
              <w:right w:val="nil"/>
            </w:tcBorders>
          </w:tcPr>
          <w:p w14:paraId="38439F28" w14:textId="77777777" w:rsidR="004459BE" w:rsidRPr="004A5792" w:rsidRDefault="004459BE" w:rsidP="00863311">
            <w:pPr>
              <w:pStyle w:val="TableText"/>
              <w:tabs>
                <w:tab w:val="left" w:pos="3306"/>
              </w:tabs>
              <w:jc w:val="right"/>
              <w:rPr>
                <w:rFonts w:cs="Calibri"/>
              </w:rPr>
            </w:pPr>
          </w:p>
        </w:tc>
      </w:tr>
      <w:tr w:rsidR="00C377E9" w:rsidRPr="00CF7E1B" w14:paraId="6E9F619B" w14:textId="77777777" w:rsidTr="00D919F2">
        <w:trPr>
          <w:cantSplit/>
          <w:trHeight w:val="20"/>
        </w:trPr>
        <w:tc>
          <w:tcPr>
            <w:tcW w:w="1562" w:type="dxa"/>
            <w:tcBorders>
              <w:top w:val="nil"/>
              <w:left w:val="single" w:sz="2" w:space="0" w:color="auto"/>
              <w:bottom w:val="nil"/>
              <w:right w:val="single" w:sz="2" w:space="0" w:color="auto"/>
            </w:tcBorders>
          </w:tcPr>
          <w:p w14:paraId="77C639F3"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vAlign w:val="bottom"/>
          </w:tcPr>
          <w:p w14:paraId="0AAA04BC" w14:textId="77777777" w:rsidR="004459BE" w:rsidRPr="004A5792" w:rsidRDefault="004459BE" w:rsidP="00863311">
            <w:pPr>
              <w:pStyle w:val="TableText"/>
              <w:tabs>
                <w:tab w:val="left" w:pos="3306"/>
              </w:tabs>
              <w:rPr>
                <w:rFonts w:cs="Calibri"/>
              </w:rPr>
            </w:pPr>
            <w:r w:rsidRPr="004A5792">
              <w:rPr>
                <w:rFonts w:cs="Calibri"/>
              </w:rPr>
              <w:t>Payables</w:t>
            </w:r>
          </w:p>
        </w:tc>
        <w:tc>
          <w:tcPr>
            <w:tcW w:w="1556" w:type="dxa"/>
            <w:tcBorders>
              <w:top w:val="nil"/>
              <w:left w:val="nil"/>
              <w:bottom w:val="nil"/>
              <w:right w:val="nil"/>
            </w:tcBorders>
            <w:vAlign w:val="bottom"/>
          </w:tcPr>
          <w:p w14:paraId="378451AD" w14:textId="4779C414" w:rsidR="004459BE" w:rsidRPr="004A5792" w:rsidRDefault="00FE2129" w:rsidP="000641E0">
            <w:pPr>
              <w:pStyle w:val="TableText"/>
              <w:tabs>
                <w:tab w:val="left" w:pos="3306"/>
              </w:tabs>
              <w:ind w:left="295" w:hanging="295"/>
              <w:jc w:val="center"/>
              <w:rPr>
                <w:rFonts w:cs="Calibri"/>
              </w:rPr>
            </w:pPr>
            <w:r w:rsidRPr="004A5792">
              <w:rPr>
                <w:rFonts w:cs="Calibri"/>
              </w:rPr>
              <w:t>49</w:t>
            </w:r>
          </w:p>
        </w:tc>
        <w:tc>
          <w:tcPr>
            <w:tcW w:w="1136" w:type="dxa"/>
            <w:tcBorders>
              <w:top w:val="nil"/>
              <w:left w:val="nil"/>
              <w:bottom w:val="nil"/>
              <w:right w:val="nil"/>
            </w:tcBorders>
          </w:tcPr>
          <w:p w14:paraId="6A3E2838"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single" w:sz="4" w:space="0" w:color="auto"/>
              <w:right w:val="nil"/>
            </w:tcBorders>
            <w:vAlign w:val="bottom"/>
          </w:tcPr>
          <w:p w14:paraId="6D99EC65" w14:textId="5E8FEF9F"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single" w:sz="4" w:space="0" w:color="auto"/>
              <w:right w:val="nil"/>
            </w:tcBorders>
            <w:vAlign w:val="bottom"/>
          </w:tcPr>
          <w:p w14:paraId="450EC8CA" w14:textId="0776405D"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single" w:sz="4" w:space="0" w:color="auto"/>
              <w:right w:val="nil"/>
            </w:tcBorders>
            <w:vAlign w:val="bottom"/>
          </w:tcPr>
          <w:p w14:paraId="6339CF03" w14:textId="1B28CE12"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BC799EE" w14:textId="7EC30878"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single" w:sz="4" w:space="0" w:color="auto"/>
              <w:right w:val="nil"/>
            </w:tcBorders>
            <w:vAlign w:val="bottom"/>
          </w:tcPr>
          <w:p w14:paraId="73691241" w14:textId="59572213" w:rsidR="004459BE" w:rsidRPr="004A5792" w:rsidRDefault="004459BE" w:rsidP="00863311">
            <w:pPr>
              <w:pStyle w:val="TableText"/>
              <w:tabs>
                <w:tab w:val="left" w:pos="3306"/>
              </w:tabs>
              <w:jc w:val="right"/>
              <w:rPr>
                <w:rFonts w:cs="Calibri"/>
              </w:rPr>
            </w:pPr>
          </w:p>
        </w:tc>
        <w:tc>
          <w:tcPr>
            <w:tcW w:w="1219" w:type="dxa"/>
            <w:tcBorders>
              <w:top w:val="nil"/>
              <w:left w:val="nil"/>
              <w:bottom w:val="single" w:sz="4" w:space="0" w:color="auto"/>
              <w:right w:val="nil"/>
            </w:tcBorders>
            <w:vAlign w:val="bottom"/>
          </w:tcPr>
          <w:p w14:paraId="20EE3CCE" w14:textId="751D2851" w:rsidR="004459BE" w:rsidRPr="004A5792" w:rsidRDefault="004459BE" w:rsidP="00863311">
            <w:pPr>
              <w:pStyle w:val="TableText"/>
              <w:tabs>
                <w:tab w:val="left" w:pos="3306"/>
              </w:tabs>
              <w:jc w:val="right"/>
              <w:rPr>
                <w:rFonts w:cs="Calibri"/>
              </w:rPr>
            </w:pPr>
          </w:p>
        </w:tc>
      </w:tr>
      <w:tr w:rsidR="00C377E9" w:rsidRPr="00CF7E1B" w14:paraId="62CB7911" w14:textId="77777777" w:rsidTr="00D919F2">
        <w:trPr>
          <w:cantSplit/>
          <w:trHeight w:val="20"/>
        </w:trPr>
        <w:tc>
          <w:tcPr>
            <w:tcW w:w="1562" w:type="dxa"/>
            <w:tcBorders>
              <w:top w:val="nil"/>
              <w:left w:val="single" w:sz="2" w:space="0" w:color="auto"/>
              <w:bottom w:val="nil"/>
              <w:right w:val="single" w:sz="2" w:space="0" w:color="auto"/>
            </w:tcBorders>
          </w:tcPr>
          <w:p w14:paraId="73706F0B"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3B60DD07" w14:textId="77777777" w:rsidR="004459BE" w:rsidRPr="004A5792" w:rsidRDefault="004459BE" w:rsidP="00863311">
            <w:pPr>
              <w:pStyle w:val="TableText"/>
              <w:tabs>
                <w:tab w:val="left" w:pos="3306"/>
              </w:tabs>
              <w:rPr>
                <w:rFonts w:cs="Calibri"/>
                <w:b/>
                <w:bCs/>
              </w:rPr>
            </w:pPr>
            <w:r w:rsidRPr="004A5792">
              <w:rPr>
                <w:rFonts w:cs="Calibri"/>
                <w:b/>
                <w:bCs/>
              </w:rPr>
              <w:t>Total Financial Liabilities</w:t>
            </w:r>
          </w:p>
        </w:tc>
        <w:tc>
          <w:tcPr>
            <w:tcW w:w="1556" w:type="dxa"/>
            <w:tcBorders>
              <w:top w:val="nil"/>
              <w:left w:val="nil"/>
              <w:bottom w:val="nil"/>
              <w:right w:val="nil"/>
            </w:tcBorders>
            <w:vAlign w:val="bottom"/>
          </w:tcPr>
          <w:p w14:paraId="0E0C1BE7" w14:textId="77777777" w:rsidR="004459BE" w:rsidRPr="004A5792" w:rsidRDefault="004459BE" w:rsidP="000641E0">
            <w:pPr>
              <w:pStyle w:val="TableText"/>
              <w:tabs>
                <w:tab w:val="left" w:pos="3306"/>
              </w:tabs>
              <w:ind w:left="295" w:hanging="295"/>
              <w:jc w:val="center"/>
              <w:rPr>
                <w:rFonts w:cs="Calibri"/>
                <w:b/>
                <w:bCs/>
              </w:rPr>
            </w:pPr>
          </w:p>
        </w:tc>
        <w:tc>
          <w:tcPr>
            <w:tcW w:w="1136" w:type="dxa"/>
            <w:tcBorders>
              <w:top w:val="nil"/>
              <w:left w:val="nil"/>
              <w:bottom w:val="nil"/>
              <w:right w:val="nil"/>
            </w:tcBorders>
          </w:tcPr>
          <w:p w14:paraId="019735E7" w14:textId="77777777" w:rsidR="004459BE" w:rsidRPr="004A5792" w:rsidRDefault="004459BE" w:rsidP="000641E0">
            <w:pPr>
              <w:pStyle w:val="TableText"/>
              <w:tabs>
                <w:tab w:val="left" w:pos="3306"/>
              </w:tabs>
              <w:ind w:left="295" w:hanging="295"/>
              <w:jc w:val="right"/>
              <w:rPr>
                <w:rFonts w:cs="Calibri"/>
                <w:b/>
                <w:bCs/>
              </w:rPr>
            </w:pPr>
          </w:p>
        </w:tc>
        <w:tc>
          <w:tcPr>
            <w:tcW w:w="1038" w:type="dxa"/>
            <w:gridSpan w:val="2"/>
            <w:tcBorders>
              <w:top w:val="single" w:sz="4" w:space="0" w:color="auto"/>
              <w:left w:val="nil"/>
              <w:bottom w:val="single" w:sz="4" w:space="0" w:color="auto"/>
              <w:right w:val="nil"/>
            </w:tcBorders>
            <w:vAlign w:val="bottom"/>
          </w:tcPr>
          <w:p w14:paraId="20FB8F40" w14:textId="37E9AD98" w:rsidR="004459BE" w:rsidRPr="004A5792" w:rsidRDefault="004459BE" w:rsidP="00863311">
            <w:pPr>
              <w:pStyle w:val="TableText"/>
              <w:tabs>
                <w:tab w:val="left" w:pos="3306"/>
              </w:tabs>
              <w:jc w:val="right"/>
              <w:rPr>
                <w:rFonts w:cs="Calibri"/>
                <w:b/>
                <w:bCs/>
              </w:rPr>
            </w:pPr>
          </w:p>
        </w:tc>
        <w:tc>
          <w:tcPr>
            <w:tcW w:w="991" w:type="dxa"/>
            <w:gridSpan w:val="2"/>
            <w:tcBorders>
              <w:top w:val="single" w:sz="4" w:space="0" w:color="auto"/>
              <w:left w:val="nil"/>
              <w:bottom w:val="single" w:sz="4" w:space="0" w:color="auto"/>
              <w:right w:val="nil"/>
            </w:tcBorders>
            <w:vAlign w:val="bottom"/>
          </w:tcPr>
          <w:p w14:paraId="6DB343CB" w14:textId="4FC79D48" w:rsidR="004459BE" w:rsidRPr="004A5792" w:rsidRDefault="004459BE" w:rsidP="00863311">
            <w:pPr>
              <w:pStyle w:val="TableText"/>
              <w:tabs>
                <w:tab w:val="left" w:pos="3306"/>
              </w:tabs>
              <w:jc w:val="right"/>
              <w:rPr>
                <w:rFonts w:cs="Calibri"/>
                <w:b/>
                <w:bCs/>
              </w:rPr>
            </w:pPr>
          </w:p>
        </w:tc>
        <w:tc>
          <w:tcPr>
            <w:tcW w:w="1134" w:type="dxa"/>
            <w:gridSpan w:val="2"/>
            <w:tcBorders>
              <w:top w:val="single" w:sz="4" w:space="0" w:color="auto"/>
              <w:left w:val="nil"/>
              <w:bottom w:val="single" w:sz="4" w:space="0" w:color="auto"/>
              <w:right w:val="nil"/>
            </w:tcBorders>
            <w:vAlign w:val="bottom"/>
          </w:tcPr>
          <w:p w14:paraId="113CBB45" w14:textId="2CF1B55E" w:rsidR="004459BE" w:rsidRPr="004A5792" w:rsidRDefault="004459BE" w:rsidP="00863311">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right w:val="nil"/>
            </w:tcBorders>
            <w:vAlign w:val="bottom"/>
          </w:tcPr>
          <w:p w14:paraId="61E91351" w14:textId="40F5B370" w:rsidR="004459BE" w:rsidRPr="004A5792" w:rsidRDefault="004459BE" w:rsidP="00863311">
            <w:pPr>
              <w:pStyle w:val="TableText"/>
              <w:tabs>
                <w:tab w:val="left" w:pos="3306"/>
              </w:tabs>
              <w:jc w:val="right"/>
              <w:rPr>
                <w:rFonts w:cs="Calibri"/>
                <w:b/>
                <w:bCs/>
              </w:rPr>
            </w:pPr>
          </w:p>
        </w:tc>
        <w:tc>
          <w:tcPr>
            <w:tcW w:w="1289" w:type="dxa"/>
            <w:gridSpan w:val="2"/>
            <w:tcBorders>
              <w:top w:val="single" w:sz="4" w:space="0" w:color="auto"/>
              <w:left w:val="nil"/>
              <w:bottom w:val="single" w:sz="4" w:space="0" w:color="auto"/>
              <w:right w:val="nil"/>
            </w:tcBorders>
            <w:vAlign w:val="bottom"/>
          </w:tcPr>
          <w:p w14:paraId="4596EEAE" w14:textId="52E89DAC" w:rsidR="004459BE" w:rsidRPr="004A5792" w:rsidRDefault="004459BE" w:rsidP="00863311">
            <w:pPr>
              <w:pStyle w:val="TableText"/>
              <w:tabs>
                <w:tab w:val="left" w:pos="3306"/>
              </w:tabs>
              <w:jc w:val="right"/>
              <w:rPr>
                <w:rFonts w:cs="Calibri"/>
                <w:b/>
                <w:bCs/>
              </w:rPr>
            </w:pPr>
          </w:p>
        </w:tc>
        <w:tc>
          <w:tcPr>
            <w:tcW w:w="1219" w:type="dxa"/>
            <w:tcBorders>
              <w:top w:val="single" w:sz="4" w:space="0" w:color="auto"/>
              <w:left w:val="nil"/>
              <w:bottom w:val="single" w:sz="4" w:space="0" w:color="auto"/>
              <w:right w:val="nil"/>
            </w:tcBorders>
            <w:vAlign w:val="bottom"/>
          </w:tcPr>
          <w:p w14:paraId="4A4F6466" w14:textId="7AA08F9A" w:rsidR="004459BE" w:rsidRPr="004A5792" w:rsidRDefault="004459BE" w:rsidP="00863311">
            <w:pPr>
              <w:pStyle w:val="TableText"/>
              <w:tabs>
                <w:tab w:val="left" w:pos="3306"/>
              </w:tabs>
              <w:jc w:val="right"/>
              <w:rPr>
                <w:rFonts w:cs="Calibri"/>
                <w:b/>
                <w:bCs/>
              </w:rPr>
            </w:pPr>
          </w:p>
        </w:tc>
      </w:tr>
      <w:tr w:rsidR="00C377E9" w:rsidRPr="00CF7E1B" w14:paraId="179B27A7" w14:textId="77777777" w:rsidTr="00D919F2">
        <w:trPr>
          <w:cantSplit/>
          <w:trHeight w:val="20"/>
        </w:trPr>
        <w:tc>
          <w:tcPr>
            <w:tcW w:w="1562" w:type="dxa"/>
            <w:tcBorders>
              <w:top w:val="nil"/>
              <w:left w:val="single" w:sz="2" w:space="0" w:color="auto"/>
              <w:bottom w:val="nil"/>
              <w:right w:val="single" w:sz="2" w:space="0" w:color="auto"/>
            </w:tcBorders>
          </w:tcPr>
          <w:p w14:paraId="32F05D1D"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4A30F681"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536D8BF4"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2C9EE85B"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single" w:sz="4" w:space="0" w:color="auto"/>
              <w:left w:val="nil"/>
              <w:bottom w:val="nil"/>
              <w:right w:val="nil"/>
            </w:tcBorders>
            <w:vAlign w:val="bottom"/>
          </w:tcPr>
          <w:p w14:paraId="6744C74B" w14:textId="77777777" w:rsidR="004459BE" w:rsidRPr="004A5792" w:rsidRDefault="004459BE" w:rsidP="00863311">
            <w:pPr>
              <w:pStyle w:val="TableText"/>
              <w:tabs>
                <w:tab w:val="left" w:pos="3306"/>
              </w:tabs>
              <w:jc w:val="right"/>
              <w:rPr>
                <w:rFonts w:cs="Calibri"/>
              </w:rPr>
            </w:pPr>
          </w:p>
        </w:tc>
        <w:tc>
          <w:tcPr>
            <w:tcW w:w="991" w:type="dxa"/>
            <w:gridSpan w:val="2"/>
            <w:tcBorders>
              <w:top w:val="single" w:sz="4" w:space="0" w:color="auto"/>
              <w:left w:val="nil"/>
              <w:bottom w:val="nil"/>
              <w:right w:val="nil"/>
            </w:tcBorders>
            <w:vAlign w:val="bottom"/>
          </w:tcPr>
          <w:p w14:paraId="549E7916" w14:textId="77777777" w:rsidR="004459BE" w:rsidRPr="004A5792" w:rsidRDefault="004459BE" w:rsidP="00863311">
            <w:pPr>
              <w:pStyle w:val="TableText"/>
              <w:tabs>
                <w:tab w:val="left" w:pos="3306"/>
              </w:tabs>
              <w:jc w:val="right"/>
              <w:rPr>
                <w:rFonts w:cs="Calibri"/>
              </w:rPr>
            </w:pPr>
          </w:p>
        </w:tc>
        <w:tc>
          <w:tcPr>
            <w:tcW w:w="1134" w:type="dxa"/>
            <w:gridSpan w:val="2"/>
            <w:tcBorders>
              <w:top w:val="single" w:sz="4" w:space="0" w:color="auto"/>
              <w:left w:val="nil"/>
              <w:bottom w:val="nil"/>
              <w:right w:val="nil"/>
            </w:tcBorders>
            <w:vAlign w:val="bottom"/>
          </w:tcPr>
          <w:p w14:paraId="5E982FF6" w14:textId="77777777" w:rsidR="004459BE" w:rsidRPr="004A5792" w:rsidRDefault="004459BE" w:rsidP="00863311">
            <w:pPr>
              <w:pStyle w:val="TableText"/>
              <w:tabs>
                <w:tab w:val="left" w:pos="3306"/>
              </w:tabs>
              <w:jc w:val="right"/>
              <w:rPr>
                <w:rFonts w:cs="Calibri"/>
              </w:rPr>
            </w:pPr>
          </w:p>
        </w:tc>
        <w:tc>
          <w:tcPr>
            <w:tcW w:w="1276" w:type="dxa"/>
            <w:gridSpan w:val="2"/>
            <w:tcBorders>
              <w:top w:val="single" w:sz="4" w:space="0" w:color="auto"/>
              <w:left w:val="nil"/>
              <w:bottom w:val="nil"/>
              <w:right w:val="nil"/>
            </w:tcBorders>
            <w:vAlign w:val="bottom"/>
          </w:tcPr>
          <w:p w14:paraId="0F74CA96" w14:textId="77777777" w:rsidR="004459BE" w:rsidRPr="004A5792" w:rsidRDefault="004459BE" w:rsidP="00863311">
            <w:pPr>
              <w:pStyle w:val="TableText"/>
              <w:tabs>
                <w:tab w:val="left" w:pos="3306"/>
              </w:tabs>
              <w:jc w:val="right"/>
              <w:rPr>
                <w:rFonts w:cs="Calibri"/>
              </w:rPr>
            </w:pPr>
          </w:p>
        </w:tc>
        <w:tc>
          <w:tcPr>
            <w:tcW w:w="1289" w:type="dxa"/>
            <w:gridSpan w:val="2"/>
            <w:tcBorders>
              <w:top w:val="single" w:sz="4" w:space="0" w:color="auto"/>
              <w:left w:val="nil"/>
              <w:bottom w:val="nil"/>
              <w:right w:val="nil"/>
            </w:tcBorders>
            <w:vAlign w:val="bottom"/>
          </w:tcPr>
          <w:p w14:paraId="0E8C8448" w14:textId="77777777" w:rsidR="004459BE" w:rsidRPr="004A5792" w:rsidRDefault="004459BE" w:rsidP="00863311">
            <w:pPr>
              <w:pStyle w:val="TableText"/>
              <w:tabs>
                <w:tab w:val="left" w:pos="3306"/>
              </w:tabs>
              <w:jc w:val="right"/>
              <w:rPr>
                <w:rFonts w:cs="Calibri"/>
              </w:rPr>
            </w:pPr>
          </w:p>
        </w:tc>
        <w:tc>
          <w:tcPr>
            <w:tcW w:w="1219" w:type="dxa"/>
            <w:tcBorders>
              <w:top w:val="single" w:sz="4" w:space="0" w:color="auto"/>
              <w:left w:val="nil"/>
              <w:bottom w:val="nil"/>
              <w:right w:val="nil"/>
            </w:tcBorders>
            <w:vAlign w:val="bottom"/>
          </w:tcPr>
          <w:p w14:paraId="3FBB82F1" w14:textId="77777777" w:rsidR="004459BE" w:rsidRPr="004A5792" w:rsidRDefault="004459BE" w:rsidP="00863311">
            <w:pPr>
              <w:pStyle w:val="TableText"/>
              <w:tabs>
                <w:tab w:val="left" w:pos="3306"/>
              </w:tabs>
              <w:jc w:val="right"/>
              <w:rPr>
                <w:rFonts w:cs="Calibri"/>
              </w:rPr>
            </w:pPr>
          </w:p>
        </w:tc>
      </w:tr>
      <w:tr w:rsidR="004A5792" w:rsidRPr="004A5792" w14:paraId="52777BBA" w14:textId="77777777" w:rsidTr="00D919F2">
        <w:trPr>
          <w:cantSplit/>
          <w:trHeight w:val="23"/>
        </w:trPr>
        <w:tc>
          <w:tcPr>
            <w:tcW w:w="1562" w:type="dxa"/>
            <w:tcBorders>
              <w:top w:val="nil"/>
              <w:left w:val="single" w:sz="2" w:space="0" w:color="auto"/>
              <w:bottom w:val="nil"/>
              <w:right w:val="single" w:sz="2" w:space="0" w:color="auto"/>
            </w:tcBorders>
          </w:tcPr>
          <w:p w14:paraId="1A08E5F0" w14:textId="77777777" w:rsidR="005F62CB" w:rsidRPr="004A5792" w:rsidRDefault="005F62C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5D604D04" w14:textId="77777777" w:rsidR="005F62CB" w:rsidRPr="004A5792" w:rsidRDefault="005F62CB" w:rsidP="00C377E9">
            <w:pPr>
              <w:pStyle w:val="TableText"/>
              <w:tabs>
                <w:tab w:val="left" w:pos="3306"/>
              </w:tabs>
              <w:jc w:val="right"/>
              <w:rPr>
                <w:rFonts w:cs="Calibri"/>
              </w:rPr>
            </w:pPr>
          </w:p>
        </w:tc>
      </w:tr>
      <w:tr w:rsidR="00BB62BB" w:rsidRPr="00CF7E1B" w14:paraId="39734A8C" w14:textId="77777777" w:rsidTr="00D919F2">
        <w:trPr>
          <w:cantSplit/>
          <w:trHeight w:val="23"/>
        </w:trPr>
        <w:tc>
          <w:tcPr>
            <w:tcW w:w="1562" w:type="dxa"/>
            <w:tcBorders>
              <w:top w:val="nil"/>
              <w:left w:val="single" w:sz="2" w:space="0" w:color="auto"/>
              <w:bottom w:val="nil"/>
              <w:right w:val="single" w:sz="2" w:space="0" w:color="auto"/>
            </w:tcBorders>
          </w:tcPr>
          <w:p w14:paraId="4CD27047" w14:textId="77777777" w:rsidR="00BB62BB" w:rsidRPr="004A5792" w:rsidRDefault="00BB62B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004385DE" w14:textId="07BEF580" w:rsidR="00BB62BB" w:rsidRPr="004A5792" w:rsidRDefault="00BB62BB" w:rsidP="00BB62BB">
            <w:pPr>
              <w:pStyle w:val="TableText"/>
              <w:tabs>
                <w:tab w:val="left" w:pos="3306"/>
              </w:tabs>
              <w:rPr>
                <w:rFonts w:cs="Calibri"/>
              </w:rPr>
            </w:pPr>
            <w:r w:rsidRPr="004A5792">
              <w:rPr>
                <w:rFonts w:cs="Calibri"/>
                <w:b/>
              </w:rPr>
              <w:t>202</w:t>
            </w:r>
            <w:r w:rsidR="00421192">
              <w:rPr>
                <w:rFonts w:cs="Calibri"/>
                <w:b/>
              </w:rPr>
              <w:t>2</w:t>
            </w:r>
          </w:p>
        </w:tc>
      </w:tr>
      <w:tr w:rsidR="00C377E9" w:rsidRPr="00CF7E1B" w14:paraId="1A107EDF" w14:textId="77777777" w:rsidTr="00D919F2">
        <w:trPr>
          <w:cantSplit/>
          <w:trHeight w:val="23"/>
        </w:trPr>
        <w:tc>
          <w:tcPr>
            <w:tcW w:w="1562" w:type="dxa"/>
            <w:tcBorders>
              <w:top w:val="nil"/>
              <w:left w:val="single" w:sz="2" w:space="0" w:color="auto"/>
              <w:bottom w:val="nil"/>
              <w:right w:val="single" w:sz="2" w:space="0" w:color="auto"/>
            </w:tcBorders>
          </w:tcPr>
          <w:p w14:paraId="08A864D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3F321F2B" w14:textId="77777777" w:rsidR="00C377E9" w:rsidRPr="004A5792" w:rsidRDefault="00C377E9" w:rsidP="000641E0">
            <w:pPr>
              <w:pStyle w:val="TableText"/>
              <w:tabs>
                <w:tab w:val="left" w:pos="3306"/>
              </w:tabs>
              <w:ind w:left="285" w:hanging="285"/>
              <w:rPr>
                <w:rFonts w:cs="Calibri"/>
                <w:b/>
                <w:bCs/>
              </w:rPr>
            </w:pPr>
            <w:r w:rsidRPr="004A5792">
              <w:rPr>
                <w:rFonts w:cs="Calibri"/>
                <w:b/>
                <w:bCs/>
              </w:rPr>
              <w:t>Financial Liabilities</w:t>
            </w:r>
          </w:p>
        </w:tc>
        <w:tc>
          <w:tcPr>
            <w:tcW w:w="1559" w:type="dxa"/>
            <w:tcBorders>
              <w:top w:val="nil"/>
              <w:left w:val="nil"/>
              <w:bottom w:val="nil"/>
              <w:right w:val="nil"/>
            </w:tcBorders>
            <w:vAlign w:val="bottom"/>
          </w:tcPr>
          <w:p w14:paraId="00E286E6" w14:textId="77777777" w:rsidR="00C377E9" w:rsidRPr="004A5792" w:rsidRDefault="00C377E9" w:rsidP="000641E0">
            <w:pPr>
              <w:pStyle w:val="TableText"/>
              <w:tabs>
                <w:tab w:val="left" w:pos="3306"/>
              </w:tabs>
              <w:ind w:left="285" w:hanging="285"/>
              <w:jc w:val="center"/>
              <w:rPr>
                <w:rFonts w:cs="Calibri"/>
              </w:rPr>
            </w:pPr>
          </w:p>
        </w:tc>
        <w:tc>
          <w:tcPr>
            <w:tcW w:w="1136" w:type="dxa"/>
            <w:tcBorders>
              <w:top w:val="nil"/>
              <w:left w:val="nil"/>
              <w:bottom w:val="nil"/>
              <w:right w:val="nil"/>
            </w:tcBorders>
          </w:tcPr>
          <w:p w14:paraId="0D5DC39B"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nil"/>
              <w:right w:val="nil"/>
            </w:tcBorders>
            <w:vAlign w:val="bottom"/>
          </w:tcPr>
          <w:p w14:paraId="6125BE91" w14:textId="77777777"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nil"/>
              <w:right w:val="nil"/>
            </w:tcBorders>
            <w:vAlign w:val="bottom"/>
          </w:tcPr>
          <w:p w14:paraId="000C9AEE" w14:textId="77777777"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nil"/>
              <w:right w:val="nil"/>
            </w:tcBorders>
          </w:tcPr>
          <w:p w14:paraId="7EA05AF3" w14:textId="77777777"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8CE08D9" w14:textId="77777777"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nil"/>
              <w:right w:val="nil"/>
            </w:tcBorders>
            <w:vAlign w:val="bottom"/>
          </w:tcPr>
          <w:p w14:paraId="43365BF3" w14:textId="77777777"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nil"/>
              <w:right w:val="nil"/>
            </w:tcBorders>
            <w:vAlign w:val="bottom"/>
          </w:tcPr>
          <w:p w14:paraId="1772616E" w14:textId="77777777" w:rsidR="00C377E9" w:rsidRPr="004A5792" w:rsidRDefault="00C377E9" w:rsidP="00C377E9">
            <w:pPr>
              <w:pStyle w:val="TableText"/>
              <w:tabs>
                <w:tab w:val="left" w:pos="3306"/>
              </w:tabs>
              <w:jc w:val="right"/>
              <w:rPr>
                <w:rFonts w:cs="Calibri"/>
              </w:rPr>
            </w:pPr>
          </w:p>
        </w:tc>
      </w:tr>
      <w:tr w:rsidR="00C377E9" w:rsidRPr="00CF7E1B" w14:paraId="491D8D96" w14:textId="77777777" w:rsidTr="00D919F2">
        <w:trPr>
          <w:cantSplit/>
          <w:trHeight w:val="23"/>
        </w:trPr>
        <w:tc>
          <w:tcPr>
            <w:tcW w:w="1562" w:type="dxa"/>
            <w:tcBorders>
              <w:top w:val="nil"/>
              <w:left w:val="single" w:sz="2" w:space="0" w:color="auto"/>
              <w:bottom w:val="nil"/>
              <w:right w:val="single" w:sz="2" w:space="0" w:color="auto"/>
            </w:tcBorders>
          </w:tcPr>
          <w:p w14:paraId="05DFF68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7C0221E9" w14:textId="77777777" w:rsidR="00C377E9" w:rsidRPr="004A5792" w:rsidRDefault="00C377E9" w:rsidP="000641E0">
            <w:pPr>
              <w:pStyle w:val="TableText"/>
              <w:tabs>
                <w:tab w:val="left" w:pos="3306"/>
              </w:tabs>
              <w:ind w:left="285" w:hanging="285"/>
              <w:rPr>
                <w:rFonts w:cs="Calibri"/>
              </w:rPr>
            </w:pPr>
            <w:r w:rsidRPr="004A5792">
              <w:rPr>
                <w:rFonts w:cs="Calibri"/>
              </w:rPr>
              <w:t>Payables</w:t>
            </w:r>
          </w:p>
        </w:tc>
        <w:tc>
          <w:tcPr>
            <w:tcW w:w="1559" w:type="dxa"/>
            <w:tcBorders>
              <w:top w:val="nil"/>
              <w:left w:val="nil"/>
              <w:bottom w:val="nil"/>
              <w:right w:val="nil"/>
            </w:tcBorders>
            <w:vAlign w:val="bottom"/>
          </w:tcPr>
          <w:p w14:paraId="78DBEBAA" w14:textId="27643076" w:rsidR="00C377E9" w:rsidRPr="004A5792" w:rsidRDefault="00FE2129" w:rsidP="000641E0">
            <w:pPr>
              <w:pStyle w:val="TableText"/>
              <w:tabs>
                <w:tab w:val="left" w:pos="3306"/>
              </w:tabs>
              <w:ind w:left="285" w:hanging="285"/>
              <w:jc w:val="center"/>
              <w:rPr>
                <w:rFonts w:cs="Calibri"/>
              </w:rPr>
            </w:pPr>
            <w:r w:rsidRPr="004A5792">
              <w:rPr>
                <w:rFonts w:cs="Calibri"/>
              </w:rPr>
              <w:t>49</w:t>
            </w:r>
          </w:p>
        </w:tc>
        <w:tc>
          <w:tcPr>
            <w:tcW w:w="1136" w:type="dxa"/>
            <w:tcBorders>
              <w:top w:val="nil"/>
              <w:left w:val="nil"/>
              <w:bottom w:val="nil"/>
              <w:right w:val="nil"/>
            </w:tcBorders>
          </w:tcPr>
          <w:p w14:paraId="27ECDB0F"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single" w:sz="2" w:space="0" w:color="auto"/>
              <w:right w:val="nil"/>
            </w:tcBorders>
            <w:vAlign w:val="bottom"/>
          </w:tcPr>
          <w:p w14:paraId="449CA37E" w14:textId="00D2B8D8"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single" w:sz="2" w:space="0" w:color="auto"/>
              <w:right w:val="nil"/>
            </w:tcBorders>
            <w:vAlign w:val="bottom"/>
          </w:tcPr>
          <w:p w14:paraId="4838F8D5" w14:textId="43A089C9"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single" w:sz="2" w:space="0" w:color="auto"/>
              <w:right w:val="nil"/>
            </w:tcBorders>
          </w:tcPr>
          <w:p w14:paraId="4CAED7F9" w14:textId="32CED3CF"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single" w:sz="2" w:space="0" w:color="auto"/>
              <w:right w:val="nil"/>
            </w:tcBorders>
            <w:vAlign w:val="bottom"/>
          </w:tcPr>
          <w:p w14:paraId="6AA04811" w14:textId="2373F6C6"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single" w:sz="2" w:space="0" w:color="auto"/>
              <w:right w:val="nil"/>
            </w:tcBorders>
            <w:vAlign w:val="bottom"/>
          </w:tcPr>
          <w:p w14:paraId="21F9A180" w14:textId="30AE22A6"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single" w:sz="2" w:space="0" w:color="auto"/>
              <w:right w:val="nil"/>
            </w:tcBorders>
            <w:vAlign w:val="bottom"/>
          </w:tcPr>
          <w:p w14:paraId="00B55F81" w14:textId="1D60E783" w:rsidR="00C377E9" w:rsidRPr="004A5792" w:rsidRDefault="00C377E9" w:rsidP="00C377E9">
            <w:pPr>
              <w:pStyle w:val="TableText"/>
              <w:tabs>
                <w:tab w:val="left" w:pos="3306"/>
              </w:tabs>
              <w:jc w:val="right"/>
              <w:rPr>
                <w:rFonts w:cs="Calibri"/>
              </w:rPr>
            </w:pPr>
          </w:p>
        </w:tc>
      </w:tr>
      <w:tr w:rsidR="00C377E9" w:rsidRPr="00CF7E1B" w14:paraId="4568C79C" w14:textId="77777777" w:rsidTr="00D919F2">
        <w:trPr>
          <w:cantSplit/>
          <w:trHeight w:val="23"/>
        </w:trPr>
        <w:tc>
          <w:tcPr>
            <w:tcW w:w="1562" w:type="dxa"/>
            <w:tcBorders>
              <w:top w:val="nil"/>
              <w:left w:val="single" w:sz="2" w:space="0" w:color="auto"/>
              <w:bottom w:val="nil"/>
              <w:right w:val="single" w:sz="2" w:space="0" w:color="auto"/>
            </w:tcBorders>
          </w:tcPr>
          <w:p w14:paraId="0DCD9667" w14:textId="77777777" w:rsidR="00C377E9" w:rsidRPr="004A5792" w:rsidRDefault="00C377E9" w:rsidP="00C377E9">
            <w:pPr>
              <w:pStyle w:val="TableReference"/>
              <w:tabs>
                <w:tab w:val="left" w:pos="3306"/>
              </w:tabs>
              <w:spacing w:before="40"/>
              <w:rPr>
                <w:rFonts w:cs="Calibri"/>
                <w:color w:val="7030A0"/>
              </w:rPr>
            </w:pPr>
          </w:p>
        </w:tc>
        <w:tc>
          <w:tcPr>
            <w:tcW w:w="3400" w:type="dxa"/>
            <w:tcBorders>
              <w:top w:val="nil"/>
              <w:left w:val="single" w:sz="2" w:space="0" w:color="auto"/>
              <w:bottom w:val="nil"/>
              <w:right w:val="nil"/>
            </w:tcBorders>
            <w:vAlign w:val="bottom"/>
          </w:tcPr>
          <w:p w14:paraId="230FA35E" w14:textId="77777777" w:rsidR="00C377E9" w:rsidRPr="004A5792" w:rsidRDefault="00C377E9" w:rsidP="000641E0">
            <w:pPr>
              <w:pStyle w:val="TableText"/>
              <w:tabs>
                <w:tab w:val="left" w:pos="3306"/>
              </w:tabs>
              <w:ind w:left="285" w:hanging="285"/>
              <w:rPr>
                <w:rFonts w:cs="Calibri"/>
                <w:b/>
                <w:bCs/>
              </w:rPr>
            </w:pPr>
            <w:r w:rsidRPr="004A5792">
              <w:rPr>
                <w:rFonts w:cs="Calibri"/>
                <w:b/>
                <w:bCs/>
              </w:rPr>
              <w:t xml:space="preserve">Total Financial Liabilities </w:t>
            </w:r>
          </w:p>
        </w:tc>
        <w:tc>
          <w:tcPr>
            <w:tcW w:w="1559" w:type="dxa"/>
            <w:tcBorders>
              <w:top w:val="nil"/>
              <w:left w:val="nil"/>
              <w:bottom w:val="nil"/>
              <w:right w:val="nil"/>
            </w:tcBorders>
            <w:vAlign w:val="bottom"/>
          </w:tcPr>
          <w:p w14:paraId="29FB1E99" w14:textId="77777777" w:rsidR="00C377E9" w:rsidRPr="004A5792" w:rsidRDefault="00C377E9" w:rsidP="000641E0">
            <w:pPr>
              <w:pStyle w:val="TableText"/>
              <w:tabs>
                <w:tab w:val="left" w:pos="3306"/>
              </w:tabs>
              <w:ind w:left="285" w:hanging="285"/>
              <w:jc w:val="center"/>
              <w:rPr>
                <w:rFonts w:cs="Calibri"/>
                <w:b/>
                <w:bCs/>
              </w:rPr>
            </w:pPr>
          </w:p>
        </w:tc>
        <w:tc>
          <w:tcPr>
            <w:tcW w:w="1136" w:type="dxa"/>
            <w:tcBorders>
              <w:top w:val="nil"/>
              <w:left w:val="nil"/>
              <w:bottom w:val="nil"/>
              <w:right w:val="nil"/>
            </w:tcBorders>
          </w:tcPr>
          <w:p w14:paraId="21D19812" w14:textId="77777777" w:rsidR="00C377E9" w:rsidRPr="004A5792" w:rsidRDefault="00C377E9" w:rsidP="000641E0">
            <w:pPr>
              <w:pStyle w:val="TableText"/>
              <w:tabs>
                <w:tab w:val="left" w:pos="3306"/>
              </w:tabs>
              <w:ind w:left="295" w:right="-108" w:hanging="295"/>
              <w:jc w:val="right"/>
              <w:rPr>
                <w:rFonts w:cs="Calibri"/>
                <w:b/>
                <w:bCs/>
              </w:rPr>
            </w:pPr>
          </w:p>
        </w:tc>
        <w:tc>
          <w:tcPr>
            <w:tcW w:w="1011" w:type="dxa"/>
            <w:tcBorders>
              <w:top w:val="single" w:sz="2" w:space="0" w:color="auto"/>
              <w:left w:val="nil"/>
              <w:bottom w:val="single" w:sz="2" w:space="0" w:color="auto"/>
              <w:right w:val="nil"/>
            </w:tcBorders>
            <w:vAlign w:val="bottom"/>
          </w:tcPr>
          <w:p w14:paraId="00C39EC5" w14:textId="77E04532" w:rsidR="00C377E9" w:rsidRPr="004A5792" w:rsidRDefault="00C377E9" w:rsidP="000641E0">
            <w:pPr>
              <w:pStyle w:val="TableText"/>
              <w:tabs>
                <w:tab w:val="left" w:pos="3306"/>
              </w:tabs>
              <w:ind w:left="295" w:hanging="295"/>
              <w:jc w:val="right"/>
              <w:rPr>
                <w:rFonts w:cs="Calibri"/>
                <w:b/>
                <w:bCs/>
              </w:rPr>
            </w:pPr>
          </w:p>
        </w:tc>
        <w:tc>
          <w:tcPr>
            <w:tcW w:w="991" w:type="dxa"/>
            <w:gridSpan w:val="2"/>
            <w:tcBorders>
              <w:top w:val="single" w:sz="2" w:space="0" w:color="auto"/>
              <w:left w:val="nil"/>
              <w:bottom w:val="single" w:sz="2" w:space="0" w:color="auto"/>
              <w:right w:val="nil"/>
            </w:tcBorders>
            <w:vAlign w:val="bottom"/>
          </w:tcPr>
          <w:p w14:paraId="6BAE8FD4" w14:textId="25E5B1BC" w:rsidR="00C377E9" w:rsidRPr="004A5792" w:rsidRDefault="00C377E9" w:rsidP="00C377E9">
            <w:pPr>
              <w:pStyle w:val="TableText"/>
              <w:tabs>
                <w:tab w:val="left" w:pos="3306"/>
              </w:tabs>
              <w:jc w:val="right"/>
              <w:rPr>
                <w:rFonts w:cs="Calibri"/>
                <w:b/>
                <w:bCs/>
              </w:rPr>
            </w:pPr>
          </w:p>
        </w:tc>
        <w:tc>
          <w:tcPr>
            <w:tcW w:w="1134" w:type="dxa"/>
            <w:gridSpan w:val="2"/>
            <w:tcBorders>
              <w:top w:val="single" w:sz="2" w:space="0" w:color="auto"/>
              <w:left w:val="nil"/>
              <w:bottom w:val="single" w:sz="2" w:space="0" w:color="auto"/>
              <w:right w:val="nil"/>
            </w:tcBorders>
          </w:tcPr>
          <w:p w14:paraId="22D0B4ED" w14:textId="6DF9DED0" w:rsidR="00C377E9" w:rsidRPr="004A5792" w:rsidRDefault="00C377E9" w:rsidP="00C377E9">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3BB99F52" w14:textId="282D53F0" w:rsidR="00C377E9" w:rsidRPr="004A5792" w:rsidRDefault="00C377E9" w:rsidP="00C377E9">
            <w:pPr>
              <w:pStyle w:val="TableText"/>
              <w:tabs>
                <w:tab w:val="left" w:pos="3306"/>
              </w:tabs>
              <w:jc w:val="right"/>
              <w:rPr>
                <w:rFonts w:cs="Calibri"/>
                <w:b/>
                <w:bCs/>
              </w:rPr>
            </w:pPr>
          </w:p>
        </w:tc>
        <w:tc>
          <w:tcPr>
            <w:tcW w:w="1300" w:type="dxa"/>
            <w:gridSpan w:val="2"/>
            <w:tcBorders>
              <w:top w:val="single" w:sz="2" w:space="0" w:color="auto"/>
              <w:left w:val="nil"/>
              <w:bottom w:val="single" w:sz="2" w:space="0" w:color="auto"/>
              <w:right w:val="nil"/>
            </w:tcBorders>
            <w:vAlign w:val="bottom"/>
          </w:tcPr>
          <w:p w14:paraId="5B21E19B" w14:textId="2F09DB43" w:rsidR="00C377E9" w:rsidRPr="004A5792" w:rsidRDefault="00C377E9" w:rsidP="00C377E9">
            <w:pPr>
              <w:pStyle w:val="TableText"/>
              <w:tabs>
                <w:tab w:val="left" w:pos="3306"/>
              </w:tabs>
              <w:jc w:val="right"/>
              <w:rPr>
                <w:rFonts w:cs="Calibri"/>
                <w:b/>
                <w:bCs/>
              </w:rPr>
            </w:pPr>
          </w:p>
        </w:tc>
        <w:tc>
          <w:tcPr>
            <w:tcW w:w="1235" w:type="dxa"/>
            <w:gridSpan w:val="2"/>
            <w:tcBorders>
              <w:top w:val="single" w:sz="2" w:space="0" w:color="auto"/>
              <w:left w:val="nil"/>
              <w:bottom w:val="single" w:sz="2" w:space="0" w:color="auto"/>
              <w:right w:val="nil"/>
            </w:tcBorders>
            <w:vAlign w:val="bottom"/>
          </w:tcPr>
          <w:p w14:paraId="3DD8E8D3" w14:textId="299E4BAF" w:rsidR="00C377E9" w:rsidRPr="004A5792" w:rsidRDefault="00C377E9" w:rsidP="00C377E9">
            <w:pPr>
              <w:pStyle w:val="TableText"/>
              <w:tabs>
                <w:tab w:val="left" w:pos="3306"/>
              </w:tabs>
              <w:jc w:val="right"/>
              <w:rPr>
                <w:rFonts w:cs="Calibri"/>
                <w:b/>
                <w:bCs/>
              </w:rPr>
            </w:pPr>
          </w:p>
        </w:tc>
      </w:tr>
    </w:tbl>
    <w:p w14:paraId="13B52544" w14:textId="77777777" w:rsidR="00863311" w:rsidRPr="00253798" w:rsidRDefault="00863311" w:rsidP="00863311">
      <w:pPr>
        <w:rPr>
          <w:rFonts w:cs="Calibri"/>
          <w:szCs w:val="24"/>
        </w:rPr>
      </w:pPr>
    </w:p>
    <w:p w14:paraId="27636D4F" w14:textId="77777777" w:rsidR="00863311" w:rsidRPr="00CF7E1B" w:rsidRDefault="00863311" w:rsidP="00863311">
      <w:pPr>
        <w:pStyle w:val="TableReference"/>
        <w:tabs>
          <w:tab w:val="left" w:pos="3306"/>
        </w:tabs>
        <w:spacing w:before="40"/>
        <w:rPr>
          <w:rFonts w:cs="Calibri"/>
        </w:rPr>
        <w:sectPr w:rsidR="00863311" w:rsidRPr="00CF7E1B" w:rsidSect="004514CD">
          <w:footerReference w:type="default" r:id="rId51"/>
          <w:footnotePr>
            <w:numRestart w:val="eachPage"/>
          </w:footnotePr>
          <w:pgSz w:w="16840" w:h="11907" w:orient="landscape" w:code="9"/>
          <w:pgMar w:top="680" w:right="680" w:bottom="680" w:left="680" w:header="567" w:footer="284" w:gutter="0"/>
          <w:cols w:space="720"/>
        </w:sectPr>
      </w:pPr>
    </w:p>
    <w:tbl>
      <w:tblPr>
        <w:tblW w:w="5813" w:type="pct"/>
        <w:tblInd w:w="-712" w:type="dxa"/>
        <w:tblLook w:val="00A0" w:firstRow="1" w:lastRow="0" w:firstColumn="1" w:lastColumn="0" w:noHBand="0" w:noVBand="0"/>
      </w:tblPr>
      <w:tblGrid>
        <w:gridCol w:w="1560"/>
        <w:gridCol w:w="6662"/>
        <w:gridCol w:w="1134"/>
        <w:gridCol w:w="992"/>
        <w:gridCol w:w="142"/>
      </w:tblGrid>
      <w:tr w:rsidR="00863311" w:rsidRPr="00CF7E1B" w14:paraId="22C14012" w14:textId="77777777" w:rsidTr="00F9483B">
        <w:trPr>
          <w:cantSplit/>
          <w:trHeight w:val="385"/>
        </w:trPr>
        <w:tc>
          <w:tcPr>
            <w:tcW w:w="1560" w:type="dxa"/>
            <w:tcBorders>
              <w:left w:val="single" w:sz="2" w:space="0" w:color="auto"/>
              <w:right w:val="single" w:sz="2" w:space="0" w:color="auto"/>
            </w:tcBorders>
          </w:tcPr>
          <w:p w14:paraId="409894C9" w14:textId="77777777" w:rsidR="00863311" w:rsidRPr="00855BC7" w:rsidRDefault="006F4815" w:rsidP="005D3C33">
            <w:pPr>
              <w:pStyle w:val="TableReference"/>
              <w:tabs>
                <w:tab w:val="left" w:pos="3306"/>
              </w:tabs>
              <w:spacing w:before="240" w:after="240"/>
              <w:rPr>
                <w:rFonts w:asciiTheme="minorHAnsi" w:hAnsiTheme="minorHAnsi" w:cstheme="minorHAnsi"/>
                <w:b/>
                <w:color w:val="7030A0"/>
                <w:sz w:val="22"/>
                <w:szCs w:val="22"/>
              </w:rPr>
            </w:pPr>
            <w:r w:rsidRPr="00855BC7">
              <w:rPr>
                <w:rFonts w:asciiTheme="minorHAnsi" w:hAnsiTheme="minorHAnsi" w:cstheme="minorHAnsi"/>
                <w:b/>
                <w:color w:val="7030A0"/>
                <w:sz w:val="22"/>
                <w:szCs w:val="22"/>
              </w:rPr>
              <w:t>Reference</w:t>
            </w:r>
          </w:p>
        </w:tc>
        <w:tc>
          <w:tcPr>
            <w:tcW w:w="8930" w:type="dxa"/>
            <w:gridSpan w:val="4"/>
            <w:tcBorders>
              <w:left w:val="single" w:sz="2" w:space="0" w:color="auto"/>
            </w:tcBorders>
            <w:vAlign w:val="bottom"/>
          </w:tcPr>
          <w:p w14:paraId="3890B6CA" w14:textId="474934FB" w:rsidR="00863311" w:rsidRPr="004A5792" w:rsidRDefault="005F62CB" w:rsidP="005F62CB">
            <w:pPr>
              <w:pStyle w:val="TableText"/>
              <w:spacing w:before="240" w:after="240"/>
              <w:rPr>
                <w:rFonts w:cs="Calibri"/>
                <w:b/>
                <w:bCs/>
                <w:caps/>
                <w:sz w:val="24"/>
              </w:rPr>
            </w:pPr>
            <w:r w:rsidRPr="004A5792">
              <w:rPr>
                <w:rFonts w:ascii="Arial" w:hAnsi="Arial" w:cs="Arial"/>
                <w:b/>
                <w:sz w:val="32"/>
                <w:szCs w:val="32"/>
              </w:rPr>
              <w:t xml:space="preserve">NOTE </w:t>
            </w:r>
            <w:r w:rsidR="000E2959" w:rsidRPr="004A5792">
              <w:rPr>
                <w:rFonts w:ascii="Arial" w:hAnsi="Arial" w:cs="Arial"/>
                <w:b/>
                <w:sz w:val="32"/>
                <w:szCs w:val="32"/>
              </w:rPr>
              <w:t>5</w:t>
            </w:r>
            <w:r w:rsidR="00A05D1E">
              <w:rPr>
                <w:rFonts w:ascii="Arial" w:hAnsi="Arial" w:cs="Arial"/>
                <w:b/>
                <w:sz w:val="32"/>
                <w:szCs w:val="32"/>
              </w:rPr>
              <w:t>3</w:t>
            </w:r>
            <w:r w:rsidRPr="004A5792">
              <w:rPr>
                <w:rFonts w:ascii="Arial" w:hAnsi="Arial" w:cs="Arial"/>
                <w:b/>
                <w:sz w:val="32"/>
                <w:szCs w:val="32"/>
              </w:rPr>
              <w:t>.</w:t>
            </w:r>
            <w:r w:rsidR="00FA7C77">
              <w:rPr>
                <w:rFonts w:ascii="Arial" w:hAnsi="Arial" w:cs="Arial"/>
                <w:b/>
                <w:sz w:val="32"/>
                <w:szCs w:val="32"/>
              </w:rPr>
              <w:t xml:space="preserve"> </w:t>
            </w:r>
            <w:r w:rsidRPr="004A5792">
              <w:rPr>
                <w:rFonts w:ascii="Arial" w:hAnsi="Arial" w:cs="Arial"/>
                <w:b/>
                <w:sz w:val="32"/>
                <w:szCs w:val="32"/>
              </w:rPr>
              <w:t xml:space="preserve"> FINANCIAL INSTRUMENTS – TERRITORIAL – CONTINUED</w:t>
            </w:r>
          </w:p>
        </w:tc>
      </w:tr>
      <w:tr w:rsidR="00863311" w:rsidRPr="00CF7E1B" w14:paraId="3E1B1591" w14:textId="77777777" w:rsidTr="00F9483B">
        <w:trPr>
          <w:cantSplit/>
          <w:trHeight w:val="20"/>
        </w:trPr>
        <w:tc>
          <w:tcPr>
            <w:tcW w:w="1560" w:type="dxa"/>
            <w:tcBorders>
              <w:left w:val="single" w:sz="2" w:space="0" w:color="auto"/>
              <w:bottom w:val="nil"/>
              <w:right w:val="single" w:sz="2" w:space="0" w:color="auto"/>
            </w:tcBorders>
          </w:tcPr>
          <w:p w14:paraId="6AC3C076" w14:textId="77777777" w:rsidR="00863311" w:rsidRPr="00855BC7" w:rsidRDefault="00863311" w:rsidP="00D50F69">
            <w:pPr>
              <w:pStyle w:val="TableReference"/>
              <w:tabs>
                <w:tab w:val="left" w:pos="3306"/>
              </w:tabs>
              <w:rPr>
                <w:rFonts w:cs="Calibri"/>
                <w:color w:val="7030A0"/>
                <w:sz w:val="14"/>
              </w:rPr>
            </w:pPr>
            <w:bookmarkStart w:id="1120" w:name="_Hlk98672483"/>
          </w:p>
        </w:tc>
        <w:tc>
          <w:tcPr>
            <w:tcW w:w="6662" w:type="dxa"/>
            <w:tcBorders>
              <w:left w:val="single" w:sz="2" w:space="0" w:color="auto"/>
              <w:bottom w:val="nil"/>
              <w:right w:val="nil"/>
            </w:tcBorders>
            <w:vAlign w:val="bottom"/>
          </w:tcPr>
          <w:p w14:paraId="72BB6B78" w14:textId="77777777" w:rsidR="00863311" w:rsidRPr="004A5792" w:rsidRDefault="00863311" w:rsidP="00863311">
            <w:pPr>
              <w:pStyle w:val="TableText"/>
              <w:tabs>
                <w:tab w:val="left" w:pos="3306"/>
              </w:tabs>
              <w:rPr>
                <w:rFonts w:cs="Calibri"/>
              </w:rPr>
            </w:pPr>
          </w:p>
        </w:tc>
        <w:tc>
          <w:tcPr>
            <w:tcW w:w="1134" w:type="dxa"/>
            <w:tcBorders>
              <w:left w:val="nil"/>
              <w:right w:val="nil"/>
            </w:tcBorders>
            <w:vAlign w:val="bottom"/>
          </w:tcPr>
          <w:p w14:paraId="7FA68BB9" w14:textId="22E81712" w:rsidR="00BB62BB" w:rsidRDefault="005709FA" w:rsidP="00863311">
            <w:pPr>
              <w:pStyle w:val="TableTitle"/>
              <w:tabs>
                <w:tab w:val="left" w:pos="3306"/>
              </w:tabs>
              <w:rPr>
                <w:rFonts w:cs="Calibri"/>
              </w:rPr>
            </w:pPr>
            <w:r w:rsidRPr="004A5792">
              <w:rPr>
                <w:rFonts w:cs="Calibri"/>
              </w:rPr>
              <w:t>202</w:t>
            </w:r>
            <w:r w:rsidR="004F7826">
              <w:rPr>
                <w:rFonts w:cs="Calibri"/>
              </w:rPr>
              <w:t>3</w:t>
            </w:r>
            <w:r w:rsidR="00FA7C77">
              <w:rPr>
                <w:rFonts w:cs="Calibri"/>
              </w:rPr>
              <w:t xml:space="preserve">     </w:t>
            </w:r>
          </w:p>
          <w:p w14:paraId="57393167" w14:textId="1446EAB3" w:rsidR="00863311" w:rsidRPr="004A5792" w:rsidRDefault="00FA7C77" w:rsidP="00863311">
            <w:pPr>
              <w:pStyle w:val="TableTitle"/>
              <w:tabs>
                <w:tab w:val="left" w:pos="3306"/>
              </w:tabs>
              <w:rPr>
                <w:rFonts w:cs="Calibri"/>
              </w:rPr>
            </w:pPr>
            <w:r>
              <w:rPr>
                <w:rFonts w:cs="Calibri"/>
              </w:rPr>
              <w:t xml:space="preserve">  </w:t>
            </w:r>
            <w:r w:rsidR="00D51EF3" w:rsidRPr="004A5792">
              <w:rPr>
                <w:rFonts w:cs="Calibri"/>
              </w:rPr>
              <w:t xml:space="preserve"> </w:t>
            </w:r>
            <w:r w:rsidR="00863311" w:rsidRPr="004A5792">
              <w:rPr>
                <w:rFonts w:cs="Calibri"/>
              </w:rPr>
              <w:t>$’000</w:t>
            </w:r>
          </w:p>
        </w:tc>
        <w:tc>
          <w:tcPr>
            <w:tcW w:w="1134" w:type="dxa"/>
            <w:gridSpan w:val="2"/>
            <w:tcBorders>
              <w:left w:val="nil"/>
            </w:tcBorders>
            <w:vAlign w:val="bottom"/>
          </w:tcPr>
          <w:p w14:paraId="48292CF6" w14:textId="285F6A2E" w:rsidR="00863311" w:rsidRPr="004A5792" w:rsidRDefault="007B26BF" w:rsidP="00863311">
            <w:pPr>
              <w:pStyle w:val="TableTitle"/>
              <w:tabs>
                <w:tab w:val="left" w:pos="3306"/>
              </w:tabs>
              <w:rPr>
                <w:rFonts w:cs="Calibri"/>
              </w:rPr>
            </w:pPr>
            <w:r w:rsidRPr="004A5792">
              <w:rPr>
                <w:rFonts w:cs="Calibri"/>
              </w:rPr>
              <w:t>202</w:t>
            </w:r>
            <w:r w:rsidR="004F7826">
              <w:rPr>
                <w:rFonts w:cs="Calibri"/>
              </w:rPr>
              <w:t>2</w:t>
            </w:r>
          </w:p>
          <w:p w14:paraId="6EAEAC76" w14:textId="77777777" w:rsidR="00863311" w:rsidRPr="004A5792" w:rsidRDefault="00863311" w:rsidP="00863311">
            <w:pPr>
              <w:pStyle w:val="TableTitle"/>
              <w:tabs>
                <w:tab w:val="left" w:pos="3306"/>
              </w:tabs>
              <w:rPr>
                <w:rFonts w:cs="Calibri"/>
              </w:rPr>
            </w:pPr>
            <w:r w:rsidRPr="004A5792">
              <w:rPr>
                <w:rFonts w:cs="Calibri"/>
              </w:rPr>
              <w:t>$’000</w:t>
            </w:r>
          </w:p>
        </w:tc>
      </w:tr>
      <w:bookmarkEnd w:id="1120"/>
      <w:tr w:rsidR="00863311" w:rsidRPr="00CF7E1B" w14:paraId="7DBB0A84" w14:textId="77777777" w:rsidTr="00F9483B">
        <w:trPr>
          <w:cantSplit/>
          <w:trHeight w:val="20"/>
        </w:trPr>
        <w:tc>
          <w:tcPr>
            <w:tcW w:w="1560" w:type="dxa"/>
            <w:tcBorders>
              <w:top w:val="nil"/>
              <w:left w:val="single" w:sz="2" w:space="0" w:color="auto"/>
              <w:bottom w:val="nil"/>
              <w:right w:val="single" w:sz="2" w:space="0" w:color="auto"/>
            </w:tcBorders>
          </w:tcPr>
          <w:p w14:paraId="30172854"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372F164" w14:textId="2940F09D" w:rsidR="00863311" w:rsidRPr="004A5792" w:rsidRDefault="00863311" w:rsidP="00863311">
            <w:pPr>
              <w:pStyle w:val="TableText"/>
              <w:tabs>
                <w:tab w:val="left" w:pos="3306"/>
              </w:tabs>
              <w:rPr>
                <w:rFonts w:cs="Calibri"/>
                <w:b/>
              </w:rPr>
            </w:pPr>
            <w:r w:rsidRPr="004A5792">
              <w:rPr>
                <w:rFonts w:cs="Calibri"/>
                <w:b/>
              </w:rPr>
              <w:t>Carrying Amount of Each Class of Financial Liability</w:t>
            </w:r>
            <w:r w:rsidR="007D2E61" w:rsidRPr="004A5792">
              <w:rPr>
                <w:rFonts w:cs="Calibri"/>
                <w:b/>
              </w:rPr>
              <w:t>:</w:t>
            </w:r>
          </w:p>
        </w:tc>
        <w:tc>
          <w:tcPr>
            <w:tcW w:w="1134" w:type="dxa"/>
            <w:tcBorders>
              <w:top w:val="nil"/>
              <w:left w:val="nil"/>
              <w:right w:val="nil"/>
            </w:tcBorders>
            <w:vAlign w:val="bottom"/>
          </w:tcPr>
          <w:p w14:paraId="6BA338C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6FC5437D" w14:textId="77777777" w:rsidR="00863311" w:rsidRPr="00CF7E1B" w:rsidRDefault="00863311" w:rsidP="00863311">
            <w:pPr>
              <w:pStyle w:val="TableTitle"/>
              <w:tabs>
                <w:tab w:val="left" w:pos="3306"/>
              </w:tabs>
              <w:rPr>
                <w:rFonts w:cs="Calibri"/>
              </w:rPr>
            </w:pPr>
          </w:p>
        </w:tc>
      </w:tr>
      <w:tr w:rsidR="00863311" w:rsidRPr="00CF7E1B" w14:paraId="30DB9158" w14:textId="77777777" w:rsidTr="00F9483B">
        <w:trPr>
          <w:cantSplit/>
          <w:trHeight w:val="20"/>
        </w:trPr>
        <w:tc>
          <w:tcPr>
            <w:tcW w:w="1560" w:type="dxa"/>
            <w:tcBorders>
              <w:top w:val="nil"/>
              <w:left w:val="single" w:sz="2" w:space="0" w:color="auto"/>
              <w:bottom w:val="nil"/>
              <w:right w:val="single" w:sz="2" w:space="0" w:color="auto"/>
            </w:tcBorders>
          </w:tcPr>
          <w:p w14:paraId="67C29C26"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FED4056" w14:textId="77777777" w:rsidR="00863311" w:rsidRPr="004A5792" w:rsidRDefault="00863311" w:rsidP="00863311">
            <w:pPr>
              <w:pStyle w:val="TableText"/>
              <w:tabs>
                <w:tab w:val="left" w:pos="3306"/>
              </w:tabs>
              <w:rPr>
                <w:rFonts w:cs="Calibri"/>
                <w:b/>
                <w:iCs/>
              </w:rPr>
            </w:pPr>
            <w:r w:rsidRPr="004A5792">
              <w:rPr>
                <w:rFonts w:cs="Calibri"/>
                <w:b/>
                <w:iCs/>
              </w:rPr>
              <w:t>Financial Liabilities</w:t>
            </w:r>
          </w:p>
        </w:tc>
        <w:tc>
          <w:tcPr>
            <w:tcW w:w="1134" w:type="dxa"/>
            <w:tcBorders>
              <w:top w:val="nil"/>
              <w:left w:val="nil"/>
              <w:right w:val="nil"/>
            </w:tcBorders>
            <w:vAlign w:val="bottom"/>
          </w:tcPr>
          <w:p w14:paraId="3BC9F79D"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4E2D09BE" w14:textId="77777777" w:rsidR="00863311" w:rsidRPr="00CF7E1B" w:rsidRDefault="00863311" w:rsidP="00863311">
            <w:pPr>
              <w:pStyle w:val="TableTitle"/>
              <w:tabs>
                <w:tab w:val="left" w:pos="3306"/>
              </w:tabs>
              <w:rPr>
                <w:rFonts w:cs="Calibri"/>
              </w:rPr>
            </w:pPr>
          </w:p>
        </w:tc>
      </w:tr>
      <w:tr w:rsidR="00863311" w:rsidRPr="00CF7E1B" w14:paraId="7332CF64" w14:textId="77777777" w:rsidTr="00F9483B">
        <w:trPr>
          <w:cantSplit/>
          <w:trHeight w:val="20"/>
        </w:trPr>
        <w:tc>
          <w:tcPr>
            <w:tcW w:w="1560" w:type="dxa"/>
            <w:tcBorders>
              <w:top w:val="nil"/>
              <w:left w:val="single" w:sz="2" w:space="0" w:color="auto"/>
              <w:bottom w:val="nil"/>
              <w:right w:val="single" w:sz="2" w:space="0" w:color="auto"/>
            </w:tcBorders>
          </w:tcPr>
          <w:p w14:paraId="7263B635"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7651F5E7" w14:textId="77777777" w:rsidR="00863311" w:rsidRPr="004A5792" w:rsidRDefault="00863311" w:rsidP="003559D6">
            <w:pPr>
              <w:pStyle w:val="TableText"/>
              <w:tabs>
                <w:tab w:val="left" w:pos="3306"/>
              </w:tabs>
              <w:spacing w:before="0" w:after="24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4153996D" w14:textId="1FFA4FCC" w:rsidR="00863311" w:rsidRPr="00CF7E1B" w:rsidRDefault="00863311" w:rsidP="00863311">
            <w:pPr>
              <w:pStyle w:val="TableTitle"/>
              <w:tabs>
                <w:tab w:val="left" w:pos="3306"/>
              </w:tabs>
              <w:rPr>
                <w:rFonts w:cs="Calibri"/>
                <w:b w:val="0"/>
              </w:rPr>
            </w:pPr>
          </w:p>
        </w:tc>
        <w:tc>
          <w:tcPr>
            <w:tcW w:w="1134" w:type="dxa"/>
            <w:gridSpan w:val="2"/>
            <w:tcBorders>
              <w:top w:val="nil"/>
              <w:left w:val="nil"/>
            </w:tcBorders>
            <w:vAlign w:val="bottom"/>
          </w:tcPr>
          <w:p w14:paraId="3F31C3D6" w14:textId="4224FC92" w:rsidR="00863311" w:rsidRPr="00CF7E1B" w:rsidRDefault="00863311" w:rsidP="00863311">
            <w:pPr>
              <w:pStyle w:val="TableTitle"/>
              <w:tabs>
                <w:tab w:val="left" w:pos="3306"/>
              </w:tabs>
              <w:rPr>
                <w:rFonts w:cs="Calibri"/>
                <w:b w:val="0"/>
              </w:rPr>
            </w:pPr>
          </w:p>
        </w:tc>
      </w:tr>
      <w:tr w:rsidR="003559D6" w:rsidRPr="00CF7E1B" w14:paraId="00731182" w14:textId="77777777" w:rsidTr="00F9483B">
        <w:trPr>
          <w:cantSplit/>
          <w:trHeight w:val="20"/>
        </w:trPr>
        <w:tc>
          <w:tcPr>
            <w:tcW w:w="1560" w:type="dxa"/>
            <w:tcBorders>
              <w:top w:val="nil"/>
              <w:left w:val="single" w:sz="2" w:space="0" w:color="auto"/>
              <w:bottom w:val="nil"/>
              <w:right w:val="single" w:sz="2" w:space="0" w:color="auto"/>
            </w:tcBorders>
          </w:tcPr>
          <w:p w14:paraId="734D3C9A" w14:textId="77777777" w:rsidR="003559D6" w:rsidRPr="00855BC7" w:rsidRDefault="003559D6" w:rsidP="00863311">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tcPr>
          <w:p w14:paraId="54A6074E" w14:textId="1D9846F4" w:rsidR="003559D6" w:rsidRPr="004A5792" w:rsidRDefault="003559D6" w:rsidP="003559D6">
            <w:pPr>
              <w:pStyle w:val="TableTitle"/>
              <w:tabs>
                <w:tab w:val="left" w:pos="3306"/>
              </w:tabs>
              <w:jc w:val="both"/>
              <w:rPr>
                <w:rFonts w:cs="Calibri"/>
                <w:b w:val="0"/>
                <w:bCs w:val="0"/>
              </w:rPr>
            </w:pPr>
            <w:r w:rsidRPr="004A5792">
              <w:rPr>
                <w:rFonts w:cs="Calibri"/>
                <w:b w:val="0"/>
                <w:bCs w:val="0"/>
              </w:rPr>
              <w:t>The Agency does not have any Territorial financial liabilities in the ‘Financial Liabilities at Fair Value through Profit and Loss’ category and, as such, this category is not included above.</w:t>
            </w:r>
            <w:r w:rsidR="00FA7C77">
              <w:rPr>
                <w:rFonts w:cs="Calibri"/>
                <w:b w:val="0"/>
                <w:bCs w:val="0"/>
              </w:rPr>
              <w:t xml:space="preserve"> </w:t>
            </w:r>
          </w:p>
        </w:tc>
      </w:tr>
      <w:tr w:rsidR="003559D6" w:rsidRPr="00CF7E1B" w14:paraId="4C1FC55A" w14:textId="77777777" w:rsidTr="00F9483B">
        <w:trPr>
          <w:cantSplit/>
          <w:trHeight w:val="20"/>
        </w:trPr>
        <w:tc>
          <w:tcPr>
            <w:tcW w:w="1560" w:type="dxa"/>
            <w:tcBorders>
              <w:top w:val="nil"/>
              <w:left w:val="single" w:sz="2" w:space="0" w:color="auto"/>
              <w:bottom w:val="nil"/>
              <w:right w:val="single" w:sz="2" w:space="0" w:color="auto"/>
            </w:tcBorders>
          </w:tcPr>
          <w:p w14:paraId="128C06D5" w14:textId="77777777" w:rsidR="003559D6" w:rsidRPr="00855BC7" w:rsidRDefault="003559D6"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0EEDF24" w14:textId="77777777" w:rsidR="003559D6" w:rsidRPr="004A5792" w:rsidRDefault="003559D6" w:rsidP="00863311">
            <w:pPr>
              <w:pStyle w:val="TableText"/>
              <w:tabs>
                <w:tab w:val="left" w:pos="3306"/>
              </w:tabs>
              <w:rPr>
                <w:rFonts w:cs="Calibri"/>
                <w:b/>
                <w:bCs/>
              </w:rPr>
            </w:pPr>
          </w:p>
        </w:tc>
        <w:tc>
          <w:tcPr>
            <w:tcW w:w="1134" w:type="dxa"/>
            <w:tcBorders>
              <w:top w:val="nil"/>
              <w:left w:val="nil"/>
              <w:right w:val="nil"/>
            </w:tcBorders>
            <w:vAlign w:val="bottom"/>
          </w:tcPr>
          <w:p w14:paraId="06F31FAE" w14:textId="77777777" w:rsidR="003559D6" w:rsidRPr="00CF7E1B" w:rsidRDefault="003559D6" w:rsidP="00863311">
            <w:pPr>
              <w:pStyle w:val="TableTitle"/>
              <w:tabs>
                <w:tab w:val="left" w:pos="3306"/>
              </w:tabs>
              <w:rPr>
                <w:rFonts w:cs="Calibri"/>
              </w:rPr>
            </w:pPr>
          </w:p>
        </w:tc>
        <w:tc>
          <w:tcPr>
            <w:tcW w:w="1134" w:type="dxa"/>
            <w:gridSpan w:val="2"/>
            <w:tcBorders>
              <w:top w:val="nil"/>
              <w:left w:val="nil"/>
            </w:tcBorders>
            <w:vAlign w:val="bottom"/>
          </w:tcPr>
          <w:p w14:paraId="38130125" w14:textId="77777777" w:rsidR="003559D6" w:rsidRPr="00CF7E1B" w:rsidRDefault="003559D6" w:rsidP="00863311">
            <w:pPr>
              <w:pStyle w:val="TableTitle"/>
              <w:tabs>
                <w:tab w:val="left" w:pos="3306"/>
              </w:tabs>
              <w:rPr>
                <w:rFonts w:cs="Calibri"/>
              </w:rPr>
            </w:pPr>
          </w:p>
        </w:tc>
      </w:tr>
      <w:tr w:rsidR="00863311" w:rsidRPr="00CF7E1B" w14:paraId="2E66FB82" w14:textId="77777777" w:rsidTr="00F9483B">
        <w:trPr>
          <w:cantSplit/>
          <w:trHeight w:val="20"/>
        </w:trPr>
        <w:tc>
          <w:tcPr>
            <w:tcW w:w="1560" w:type="dxa"/>
            <w:tcBorders>
              <w:top w:val="nil"/>
              <w:left w:val="single" w:sz="2" w:space="0" w:color="auto"/>
              <w:bottom w:val="nil"/>
              <w:right w:val="single" w:sz="2" w:space="0" w:color="auto"/>
            </w:tcBorders>
          </w:tcPr>
          <w:p w14:paraId="7F4B29A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18B103F" w14:textId="35BBD3F1" w:rsidR="00863311" w:rsidRPr="004A5792" w:rsidRDefault="00D50F69" w:rsidP="00863311">
            <w:pPr>
              <w:pStyle w:val="TableText"/>
              <w:tabs>
                <w:tab w:val="left" w:pos="3306"/>
              </w:tabs>
              <w:rPr>
                <w:rFonts w:cs="Calibri"/>
                <w:b/>
                <w:bCs/>
              </w:rPr>
            </w:pPr>
            <w:r w:rsidRPr="004A5792">
              <w:rPr>
                <w:rFonts w:cs="Calibri"/>
                <w:b/>
                <w:bCs/>
              </w:rPr>
              <w:t>Gains</w:t>
            </w:r>
            <w:r w:rsidR="003559D6" w:rsidRPr="004A5792">
              <w:rPr>
                <w:rFonts w:cs="Calibri"/>
                <w:b/>
                <w:bCs/>
              </w:rPr>
              <w:t xml:space="preserve">/ (Losses) </w:t>
            </w:r>
            <w:r w:rsidRPr="004A5792">
              <w:rPr>
                <w:rFonts w:cs="Calibri"/>
                <w:b/>
                <w:bCs/>
              </w:rPr>
              <w:t xml:space="preserve">on Each Class of </w:t>
            </w:r>
            <w:r w:rsidRPr="004A5792">
              <w:rPr>
                <w:rFonts w:cs="Calibri"/>
                <w:b/>
              </w:rPr>
              <w:t>Financial Liability:</w:t>
            </w:r>
          </w:p>
        </w:tc>
        <w:tc>
          <w:tcPr>
            <w:tcW w:w="1134" w:type="dxa"/>
            <w:tcBorders>
              <w:top w:val="nil"/>
              <w:left w:val="nil"/>
              <w:right w:val="nil"/>
            </w:tcBorders>
            <w:vAlign w:val="bottom"/>
          </w:tcPr>
          <w:p w14:paraId="4EFAE32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9E84335" w14:textId="77777777" w:rsidR="00863311" w:rsidRPr="00CF7E1B" w:rsidRDefault="00863311" w:rsidP="00863311">
            <w:pPr>
              <w:pStyle w:val="TableTitle"/>
              <w:tabs>
                <w:tab w:val="left" w:pos="3306"/>
              </w:tabs>
              <w:rPr>
                <w:rFonts w:cs="Calibri"/>
              </w:rPr>
            </w:pPr>
          </w:p>
        </w:tc>
      </w:tr>
      <w:tr w:rsidR="00863311" w:rsidRPr="00CF7E1B" w14:paraId="667667A9" w14:textId="77777777" w:rsidTr="00F9483B">
        <w:trPr>
          <w:cantSplit/>
          <w:trHeight w:val="20"/>
        </w:trPr>
        <w:tc>
          <w:tcPr>
            <w:tcW w:w="1560" w:type="dxa"/>
            <w:tcBorders>
              <w:top w:val="nil"/>
              <w:left w:val="single" w:sz="2" w:space="0" w:color="auto"/>
              <w:bottom w:val="nil"/>
              <w:right w:val="single" w:sz="2" w:space="0" w:color="auto"/>
            </w:tcBorders>
          </w:tcPr>
          <w:p w14:paraId="27CD5F5A"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CCFC382" w14:textId="6411B97B" w:rsidR="00863311" w:rsidRPr="004A5792" w:rsidRDefault="00863311" w:rsidP="00863311">
            <w:pPr>
              <w:pStyle w:val="TableText"/>
              <w:tabs>
                <w:tab w:val="left" w:pos="3306"/>
              </w:tabs>
              <w:rPr>
                <w:rFonts w:cs="Calibri"/>
                <w:b/>
                <w:iCs/>
              </w:rPr>
            </w:pPr>
            <w:r w:rsidRPr="004A5792">
              <w:rPr>
                <w:rFonts w:cs="Calibri"/>
                <w:b/>
                <w:iCs/>
              </w:rPr>
              <w:t>Gains</w:t>
            </w:r>
            <w:r w:rsidR="003559D6" w:rsidRPr="004A5792">
              <w:rPr>
                <w:rFonts w:cs="Calibri"/>
                <w:b/>
                <w:bCs/>
                <w:iCs/>
              </w:rPr>
              <w:t xml:space="preserve">/ (Losses) </w:t>
            </w:r>
            <w:r w:rsidRPr="004A5792">
              <w:rPr>
                <w:rFonts w:cs="Calibri"/>
                <w:b/>
                <w:iCs/>
              </w:rPr>
              <w:t>on Financial Liabilities</w:t>
            </w:r>
          </w:p>
        </w:tc>
        <w:tc>
          <w:tcPr>
            <w:tcW w:w="1134" w:type="dxa"/>
            <w:tcBorders>
              <w:top w:val="nil"/>
              <w:left w:val="nil"/>
              <w:right w:val="nil"/>
            </w:tcBorders>
            <w:vAlign w:val="bottom"/>
          </w:tcPr>
          <w:p w14:paraId="198C1477"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2DF9E296" w14:textId="77777777" w:rsidR="00863311" w:rsidRPr="00CF7E1B" w:rsidRDefault="00863311" w:rsidP="00863311">
            <w:pPr>
              <w:pStyle w:val="TableTitle"/>
              <w:tabs>
                <w:tab w:val="left" w:pos="3306"/>
              </w:tabs>
              <w:rPr>
                <w:rFonts w:cs="Calibri"/>
              </w:rPr>
            </w:pPr>
          </w:p>
        </w:tc>
      </w:tr>
      <w:tr w:rsidR="00863311" w:rsidRPr="00CF7E1B" w14:paraId="193F4307" w14:textId="77777777" w:rsidTr="00F9483B">
        <w:trPr>
          <w:cantSplit/>
          <w:trHeight w:val="20"/>
        </w:trPr>
        <w:tc>
          <w:tcPr>
            <w:tcW w:w="1560" w:type="dxa"/>
            <w:tcBorders>
              <w:top w:val="nil"/>
              <w:left w:val="single" w:sz="2" w:space="0" w:color="auto"/>
              <w:bottom w:val="nil"/>
              <w:right w:val="single" w:sz="2" w:space="0" w:color="auto"/>
            </w:tcBorders>
          </w:tcPr>
          <w:p w14:paraId="6773B00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5C361E57" w14:textId="77777777" w:rsidR="00863311" w:rsidRPr="004A5792" w:rsidRDefault="00863311" w:rsidP="007D2E61">
            <w:pPr>
              <w:pStyle w:val="TableText"/>
              <w:tabs>
                <w:tab w:val="left" w:pos="3306"/>
              </w:tabs>
              <w:spacing w:before="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2336E937" w14:textId="4930121D"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C9DB541" w14:textId="5A1094FA" w:rsidR="00863311" w:rsidRPr="00CF7E1B" w:rsidRDefault="00863311" w:rsidP="00863311">
            <w:pPr>
              <w:pStyle w:val="TableTitle"/>
              <w:tabs>
                <w:tab w:val="left" w:pos="3306"/>
              </w:tabs>
              <w:rPr>
                <w:rFonts w:cs="Calibri"/>
              </w:rPr>
            </w:pPr>
          </w:p>
        </w:tc>
      </w:tr>
      <w:tr w:rsidR="00D51EF3" w:rsidRPr="00CF7E1B" w14:paraId="11529EEF" w14:textId="77777777" w:rsidTr="00F9483B">
        <w:trPr>
          <w:cantSplit/>
          <w:trHeight w:val="20"/>
        </w:trPr>
        <w:tc>
          <w:tcPr>
            <w:tcW w:w="1560" w:type="dxa"/>
            <w:tcBorders>
              <w:top w:val="nil"/>
              <w:left w:val="single" w:sz="2" w:space="0" w:color="auto"/>
              <w:bottom w:val="nil"/>
              <w:right w:val="single" w:sz="2" w:space="0" w:color="auto"/>
            </w:tcBorders>
          </w:tcPr>
          <w:p w14:paraId="74A58B09" w14:textId="77777777" w:rsidR="00D51EF3" w:rsidRPr="00855BC7" w:rsidRDefault="00D51EF3"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DD3D52E" w14:textId="77777777" w:rsidR="00D51EF3" w:rsidRPr="00CF7E1B" w:rsidRDefault="00D51EF3" w:rsidP="007D2E61">
            <w:pPr>
              <w:pStyle w:val="TableText"/>
              <w:tabs>
                <w:tab w:val="left" w:pos="3306"/>
              </w:tabs>
              <w:spacing w:before="0"/>
              <w:rPr>
                <w:rFonts w:cs="Calibri"/>
              </w:rPr>
            </w:pPr>
          </w:p>
        </w:tc>
        <w:tc>
          <w:tcPr>
            <w:tcW w:w="1134" w:type="dxa"/>
            <w:tcBorders>
              <w:top w:val="nil"/>
              <w:left w:val="nil"/>
              <w:right w:val="nil"/>
            </w:tcBorders>
            <w:vAlign w:val="bottom"/>
          </w:tcPr>
          <w:p w14:paraId="12A5F166" w14:textId="77777777" w:rsidR="00D51EF3" w:rsidRPr="00CF7E1B" w:rsidRDefault="00D51EF3" w:rsidP="00863311">
            <w:pPr>
              <w:pStyle w:val="TableTitle"/>
              <w:tabs>
                <w:tab w:val="left" w:pos="3306"/>
              </w:tabs>
              <w:rPr>
                <w:rFonts w:cs="Calibri"/>
              </w:rPr>
            </w:pPr>
          </w:p>
        </w:tc>
        <w:tc>
          <w:tcPr>
            <w:tcW w:w="1134" w:type="dxa"/>
            <w:gridSpan w:val="2"/>
            <w:tcBorders>
              <w:top w:val="nil"/>
              <w:left w:val="nil"/>
            </w:tcBorders>
            <w:vAlign w:val="bottom"/>
          </w:tcPr>
          <w:p w14:paraId="032A8590" w14:textId="77777777" w:rsidR="00D51EF3" w:rsidRPr="00CF7E1B" w:rsidRDefault="00D51EF3" w:rsidP="00863311">
            <w:pPr>
              <w:pStyle w:val="TableTitle"/>
              <w:tabs>
                <w:tab w:val="left" w:pos="3306"/>
              </w:tabs>
              <w:rPr>
                <w:rFonts w:cs="Calibri"/>
              </w:rPr>
            </w:pPr>
          </w:p>
        </w:tc>
      </w:tr>
      <w:tr w:rsidR="00863311" w:rsidRPr="00CF7E1B" w14:paraId="49F29452" w14:textId="77777777" w:rsidTr="00F9483B">
        <w:trPr>
          <w:cantSplit/>
          <w:trHeight w:val="119"/>
        </w:trPr>
        <w:tc>
          <w:tcPr>
            <w:tcW w:w="1560" w:type="dxa"/>
            <w:tcBorders>
              <w:top w:val="nil"/>
              <w:left w:val="single" w:sz="2" w:space="0" w:color="auto"/>
              <w:bottom w:val="nil"/>
              <w:right w:val="single" w:sz="2" w:space="0" w:color="auto"/>
            </w:tcBorders>
          </w:tcPr>
          <w:p w14:paraId="46942972" w14:textId="77777777" w:rsidR="00863311" w:rsidRPr="00855BC7" w:rsidRDefault="00863311" w:rsidP="00571D49">
            <w:pPr>
              <w:pStyle w:val="TableReference"/>
              <w:tabs>
                <w:tab w:val="left" w:pos="3306"/>
              </w:tabs>
              <w:spacing w:before="240" w:after="24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06D3A7" w14:textId="3159D765" w:rsidR="00863311" w:rsidRPr="004A5792" w:rsidRDefault="00863311" w:rsidP="00571D49">
            <w:pPr>
              <w:pStyle w:val="CommentaryTitle"/>
              <w:spacing w:before="240" w:after="240"/>
              <w:rPr>
                <w:rFonts w:cs="Calibri"/>
                <w:color w:val="FFFFFF" w:themeColor="background1"/>
                <w:sz w:val="28"/>
                <w:szCs w:val="28"/>
              </w:rPr>
            </w:pPr>
            <w:r w:rsidRPr="004A5792">
              <w:rPr>
                <w:rFonts w:cs="Calibri"/>
                <w:color w:val="FFFFFF" w:themeColor="background1"/>
                <w:sz w:val="28"/>
                <w:szCs w:val="28"/>
              </w:rPr>
              <w:t xml:space="preserve">Commentary – </w:t>
            </w:r>
            <w:r w:rsidR="00834751" w:rsidRPr="004A5792">
              <w:rPr>
                <w:rFonts w:cs="Calibri"/>
                <w:color w:val="FFFFFF" w:themeColor="background1"/>
                <w:sz w:val="28"/>
                <w:szCs w:val="28"/>
              </w:rPr>
              <w:t xml:space="preserve">Note </w:t>
            </w:r>
            <w:r w:rsidR="000E2959" w:rsidRPr="004A5792">
              <w:rPr>
                <w:rFonts w:cs="Calibri"/>
                <w:color w:val="FFFFFF" w:themeColor="background1"/>
                <w:sz w:val="28"/>
                <w:szCs w:val="28"/>
              </w:rPr>
              <w:t>5</w:t>
            </w:r>
            <w:r w:rsidR="00A05D1E">
              <w:rPr>
                <w:rFonts w:cs="Calibri"/>
                <w:color w:val="FFFFFF" w:themeColor="background1"/>
                <w:sz w:val="28"/>
                <w:szCs w:val="28"/>
              </w:rPr>
              <w:t>3</w:t>
            </w:r>
            <w:r w:rsidR="005F62CB" w:rsidRPr="004A5792">
              <w:rPr>
                <w:rFonts w:cs="Calibri"/>
                <w:color w:val="FFFFFF" w:themeColor="background1"/>
                <w:sz w:val="28"/>
                <w:szCs w:val="28"/>
              </w:rPr>
              <w:t>:</w:t>
            </w:r>
            <w:r w:rsidR="00FA7C77">
              <w:rPr>
                <w:rFonts w:cs="Calibri"/>
                <w:color w:val="FFFFFF" w:themeColor="background1"/>
                <w:sz w:val="28"/>
                <w:szCs w:val="28"/>
              </w:rPr>
              <w:t xml:space="preserve"> </w:t>
            </w:r>
            <w:r w:rsidRPr="004A5792">
              <w:rPr>
                <w:rFonts w:cs="Calibri"/>
                <w:color w:val="FFFFFF" w:themeColor="background1"/>
                <w:sz w:val="28"/>
                <w:szCs w:val="28"/>
              </w:rPr>
              <w:t xml:space="preserve"> Financial Instruments</w:t>
            </w:r>
            <w:r w:rsidR="00CD70BC" w:rsidRPr="004A5792">
              <w:rPr>
                <w:rFonts w:cs="Calibri"/>
                <w:color w:val="FFFFFF" w:themeColor="background1"/>
                <w:sz w:val="28"/>
                <w:szCs w:val="28"/>
              </w:rPr>
              <w:t xml:space="preserve"> </w:t>
            </w:r>
            <w:r w:rsidR="005F62CB" w:rsidRPr="004A5792">
              <w:rPr>
                <w:rFonts w:cs="Calibri"/>
                <w:color w:val="FFFFFF" w:themeColor="background1"/>
                <w:sz w:val="28"/>
                <w:szCs w:val="28"/>
              </w:rPr>
              <w:t>–</w:t>
            </w:r>
            <w:r w:rsidR="00CD70BC" w:rsidRPr="004A5792">
              <w:rPr>
                <w:rFonts w:cs="Calibri"/>
                <w:color w:val="FFFFFF" w:themeColor="background1"/>
                <w:sz w:val="28"/>
                <w:szCs w:val="28"/>
              </w:rPr>
              <w:t xml:space="preserve"> Territorial</w:t>
            </w:r>
            <w:r w:rsidR="005F62CB" w:rsidRPr="004A5792">
              <w:rPr>
                <w:rFonts w:cs="Calibri"/>
                <w:color w:val="FFFFFF" w:themeColor="background1"/>
                <w:sz w:val="28"/>
                <w:szCs w:val="28"/>
              </w:rPr>
              <w:t xml:space="preserve"> </w:t>
            </w:r>
          </w:p>
        </w:tc>
      </w:tr>
      <w:tr w:rsidR="00863311" w:rsidRPr="00CF7E1B" w14:paraId="3DE703D0" w14:textId="77777777" w:rsidTr="00F9483B">
        <w:trPr>
          <w:cantSplit/>
          <w:trHeight w:val="851"/>
        </w:trPr>
        <w:tc>
          <w:tcPr>
            <w:tcW w:w="1560" w:type="dxa"/>
            <w:tcBorders>
              <w:top w:val="nil"/>
              <w:left w:val="single" w:sz="2" w:space="0" w:color="auto"/>
              <w:bottom w:val="nil"/>
              <w:right w:val="single" w:sz="2" w:space="0" w:color="auto"/>
            </w:tcBorders>
          </w:tcPr>
          <w:p w14:paraId="7A30E1C8" w14:textId="77777777" w:rsidR="00863311" w:rsidRPr="00855BC7" w:rsidRDefault="00863311" w:rsidP="00863311">
            <w:pPr>
              <w:pStyle w:val="TableReference"/>
              <w:tabs>
                <w:tab w:val="left" w:pos="3306"/>
              </w:tabs>
              <w:rPr>
                <w:rFonts w:cs="Calibri"/>
                <w:color w:val="7030A0"/>
                <w:sz w:val="14"/>
              </w:rPr>
            </w:pPr>
            <w:r w:rsidRPr="00855BC7">
              <w:rPr>
                <w:rFonts w:cs="Calibri"/>
                <w:color w:val="7030A0"/>
                <w:sz w:val="14"/>
              </w:rPr>
              <w:t>AASB 132</w:t>
            </w:r>
            <w:r w:rsidR="00D65811" w:rsidRPr="00855BC7">
              <w:rPr>
                <w:rFonts w:cs="Calibri"/>
                <w:color w:val="7030A0"/>
                <w:sz w:val="14"/>
              </w:rPr>
              <w:t>.</w:t>
            </w:r>
            <w:r w:rsidRPr="00855BC7">
              <w:rPr>
                <w:rFonts w:cs="Calibri"/>
                <w:color w:val="7030A0"/>
                <w:sz w:val="14"/>
              </w:rPr>
              <w:t>AG 12</w:t>
            </w:r>
          </w:p>
        </w:tc>
        <w:tc>
          <w:tcPr>
            <w:tcW w:w="8930" w:type="dxa"/>
            <w:gridSpan w:val="4"/>
            <w:tcBorders>
              <w:top w:val="nil"/>
              <w:left w:val="single" w:sz="2" w:space="0" w:color="auto"/>
              <w:bottom w:val="nil"/>
            </w:tcBorders>
            <w:shd w:val="clear" w:color="auto" w:fill="7030A0"/>
            <w:vAlign w:val="bottom"/>
          </w:tcPr>
          <w:p w14:paraId="4052A73F" w14:textId="65484CC3" w:rsidR="00863311" w:rsidRPr="004A5792" w:rsidRDefault="00863311" w:rsidP="00274EEA">
            <w:pPr>
              <w:spacing w:after="120"/>
              <w:jc w:val="both"/>
              <w:rPr>
                <w:color w:val="FFFFFF" w:themeColor="background1"/>
                <w:sz w:val="18"/>
                <w:szCs w:val="18"/>
              </w:rPr>
            </w:pPr>
            <w:r w:rsidRPr="004A5792">
              <w:rPr>
                <w:color w:val="FFFFFF" w:themeColor="background1"/>
                <w:sz w:val="18"/>
                <w:szCs w:val="18"/>
              </w:rPr>
              <w:t>Liabilities and assets that are not contractual (such as income taxes</w:t>
            </w:r>
            <w:r w:rsidR="00BB3F81" w:rsidRPr="004A5792">
              <w:rPr>
                <w:color w:val="FFFFFF" w:themeColor="background1"/>
                <w:sz w:val="18"/>
                <w:szCs w:val="18"/>
              </w:rPr>
              <w:t xml:space="preserve"> and GST receivables</w:t>
            </w:r>
            <w:r w:rsidRPr="004A5792">
              <w:rPr>
                <w:color w:val="FFFFFF" w:themeColor="background1"/>
                <w:sz w:val="18"/>
                <w:szCs w:val="18"/>
              </w:rPr>
              <w:t xml:space="preserve"> created as a result of statutory requirements imposed by governments), are not financial liabilities or </w:t>
            </w:r>
            <w:r w:rsidR="005F62CB" w:rsidRPr="004A5792">
              <w:rPr>
                <w:color w:val="FFFFFF" w:themeColor="background1"/>
                <w:sz w:val="18"/>
                <w:szCs w:val="18"/>
              </w:rPr>
              <w:t>financial assets.</w:t>
            </w:r>
            <w:r w:rsidR="00FA7C77">
              <w:rPr>
                <w:color w:val="FFFFFF" w:themeColor="background1"/>
                <w:sz w:val="18"/>
                <w:szCs w:val="18"/>
              </w:rPr>
              <w:t xml:space="preserve"> </w:t>
            </w:r>
            <w:r w:rsidR="005F62CB" w:rsidRPr="004A5792">
              <w:rPr>
                <w:color w:val="FFFFFF" w:themeColor="background1"/>
                <w:sz w:val="18"/>
                <w:szCs w:val="18"/>
              </w:rPr>
              <w:t>As such, non</w:t>
            </w:r>
            <w:r w:rsidR="005F62CB" w:rsidRPr="004A5792">
              <w:rPr>
                <w:color w:val="FFFFFF" w:themeColor="background1"/>
                <w:sz w:val="18"/>
                <w:szCs w:val="18"/>
              </w:rPr>
              <w:noBreakHyphen/>
            </w:r>
            <w:r w:rsidRPr="004A5792">
              <w:rPr>
                <w:color w:val="FFFFFF" w:themeColor="background1"/>
                <w:sz w:val="18"/>
                <w:szCs w:val="18"/>
              </w:rPr>
              <w:t>contractual receivables are not included in the financial instruments note.</w:t>
            </w:r>
            <w:r w:rsidR="00FA7C77">
              <w:rPr>
                <w:color w:val="FFFFFF" w:themeColor="background1"/>
                <w:sz w:val="18"/>
                <w:szCs w:val="18"/>
              </w:rPr>
              <w:t xml:space="preserve"> </w:t>
            </w:r>
            <w:r w:rsidRPr="004A5792">
              <w:rPr>
                <w:color w:val="FFFFFF" w:themeColor="background1"/>
                <w:sz w:val="18"/>
                <w:szCs w:val="18"/>
              </w:rPr>
              <w:t>Where there are non-contractual receivables, the total amount of receivables in the receivables</w:t>
            </w:r>
            <w:r w:rsidR="0035272C" w:rsidRPr="004A5792">
              <w:rPr>
                <w:color w:val="FFFFFF" w:themeColor="background1"/>
                <w:sz w:val="18"/>
                <w:szCs w:val="18"/>
              </w:rPr>
              <w:t xml:space="preserve"> and contract assets</w:t>
            </w:r>
            <w:r w:rsidRPr="004A5792">
              <w:rPr>
                <w:color w:val="FFFFFF" w:themeColor="background1"/>
                <w:sz w:val="18"/>
                <w:szCs w:val="18"/>
              </w:rPr>
              <w:t xml:space="preserve"> note will not equal the receivables in the financial instruments note.</w:t>
            </w:r>
            <w:r w:rsidR="00FA7C77">
              <w:rPr>
                <w:color w:val="FFFFFF" w:themeColor="background1"/>
                <w:sz w:val="18"/>
                <w:szCs w:val="18"/>
              </w:rPr>
              <w:t xml:space="preserve"> </w:t>
            </w:r>
          </w:p>
        </w:tc>
      </w:tr>
      <w:tr w:rsidR="00274EEA" w:rsidRPr="00CF7E1B" w14:paraId="16869BE9" w14:textId="77777777" w:rsidTr="00F9483B">
        <w:trPr>
          <w:cantSplit/>
          <w:trHeight w:val="155"/>
        </w:trPr>
        <w:tc>
          <w:tcPr>
            <w:tcW w:w="1560" w:type="dxa"/>
            <w:tcBorders>
              <w:top w:val="nil"/>
              <w:left w:val="single" w:sz="2" w:space="0" w:color="auto"/>
              <w:bottom w:val="nil"/>
              <w:right w:val="single" w:sz="2" w:space="0" w:color="auto"/>
            </w:tcBorders>
          </w:tcPr>
          <w:p w14:paraId="1F53C204" w14:textId="77777777" w:rsidR="00274EEA" w:rsidRPr="00855BC7" w:rsidRDefault="00274EEA" w:rsidP="00274EEA">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7030A0"/>
          </w:tcPr>
          <w:p w14:paraId="6B46CF2B" w14:textId="272FEA5E" w:rsidR="00274EEA" w:rsidRPr="004A5792" w:rsidRDefault="00274EEA" w:rsidP="00274EEA">
            <w:pPr>
              <w:spacing w:after="120"/>
              <w:rPr>
                <w:color w:val="FFFFFF" w:themeColor="background1"/>
                <w:sz w:val="18"/>
                <w:szCs w:val="18"/>
              </w:rPr>
            </w:pPr>
            <w:r w:rsidRPr="004A5792">
              <w:rPr>
                <w:color w:val="FFFFFF" w:themeColor="background1"/>
                <w:sz w:val="18"/>
                <w:szCs w:val="18"/>
              </w:rPr>
              <w:t xml:space="preserve">All ‘Burley Griffin Agency’s’ territorial receivables are statutory receivables and as such </w:t>
            </w:r>
            <w:r w:rsidR="00F2277F" w:rsidRPr="004A5792">
              <w:rPr>
                <w:color w:val="FFFFFF" w:themeColor="background1"/>
                <w:sz w:val="18"/>
                <w:szCs w:val="18"/>
              </w:rPr>
              <w:t xml:space="preserve">no </w:t>
            </w:r>
            <w:r w:rsidRPr="004A5792">
              <w:rPr>
                <w:color w:val="FFFFFF" w:themeColor="background1"/>
                <w:sz w:val="18"/>
                <w:szCs w:val="18"/>
              </w:rPr>
              <w:t xml:space="preserve">receivables are included in the note disclosure above. </w:t>
            </w:r>
          </w:p>
        </w:tc>
      </w:tr>
      <w:tr w:rsidR="00F752A5" w:rsidRPr="00CF7E1B" w14:paraId="60B3B3B9" w14:textId="77777777" w:rsidTr="00F9483B">
        <w:trPr>
          <w:cantSplit/>
          <w:trHeight w:val="340"/>
        </w:trPr>
        <w:tc>
          <w:tcPr>
            <w:tcW w:w="1560" w:type="dxa"/>
            <w:tcBorders>
              <w:top w:val="nil"/>
              <w:left w:val="single" w:sz="2" w:space="0" w:color="auto"/>
              <w:bottom w:val="nil"/>
              <w:right w:val="single" w:sz="2" w:space="0" w:color="auto"/>
            </w:tcBorders>
          </w:tcPr>
          <w:p w14:paraId="4E609387" w14:textId="77777777" w:rsidR="00F752A5" w:rsidRPr="00855BC7" w:rsidRDefault="00F752A5" w:rsidP="003E0E51">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auto"/>
          </w:tcPr>
          <w:p w14:paraId="6A086FBE" w14:textId="77777777" w:rsidR="00F752A5" w:rsidRPr="007D3B5E" w:rsidRDefault="00F752A5" w:rsidP="005F62CB">
            <w:pPr>
              <w:pStyle w:val="CommentaryText"/>
              <w:tabs>
                <w:tab w:val="left" w:pos="3306"/>
              </w:tabs>
              <w:spacing w:after="0"/>
              <w:rPr>
                <w:rFonts w:cs="Calibri"/>
              </w:rPr>
            </w:pPr>
          </w:p>
        </w:tc>
      </w:tr>
      <w:tr w:rsidR="00863311" w:rsidRPr="00CF7E1B" w14:paraId="700FD42C" w14:textId="77777777" w:rsidTr="00F9483B">
        <w:trPr>
          <w:cantSplit/>
          <w:trHeight w:hRule="exact" w:val="705"/>
        </w:trPr>
        <w:tc>
          <w:tcPr>
            <w:tcW w:w="1560" w:type="dxa"/>
            <w:tcBorders>
              <w:left w:val="single" w:sz="2" w:space="0" w:color="auto"/>
              <w:right w:val="single" w:sz="2" w:space="0" w:color="auto"/>
            </w:tcBorders>
          </w:tcPr>
          <w:p w14:paraId="23E74499" w14:textId="77777777" w:rsidR="00863311" w:rsidRPr="00855BC7" w:rsidRDefault="00863311" w:rsidP="00863311">
            <w:pPr>
              <w:pStyle w:val="TableReference"/>
              <w:tabs>
                <w:tab w:val="left" w:pos="3306"/>
              </w:tabs>
              <w:rPr>
                <w:rFonts w:cs="Calibri"/>
                <w:color w:val="7030A0"/>
                <w:sz w:val="14"/>
              </w:rPr>
            </w:pPr>
          </w:p>
        </w:tc>
        <w:tc>
          <w:tcPr>
            <w:tcW w:w="8930" w:type="dxa"/>
            <w:gridSpan w:val="4"/>
            <w:tcBorders>
              <w:left w:val="single" w:sz="2" w:space="0" w:color="auto"/>
            </w:tcBorders>
            <w:vAlign w:val="bottom"/>
          </w:tcPr>
          <w:p w14:paraId="7A3F78F2" w14:textId="54F7B87B" w:rsidR="00863311" w:rsidRPr="004A5792" w:rsidRDefault="00CD70BC" w:rsidP="005F62CB">
            <w:pPr>
              <w:pStyle w:val="Heading1"/>
              <w:numPr>
                <w:ilvl w:val="0"/>
                <w:numId w:val="0"/>
              </w:numPr>
              <w:spacing w:before="0"/>
            </w:pPr>
            <w:bookmarkStart w:id="1121" w:name="_Toc223433238"/>
            <w:bookmarkStart w:id="1122" w:name="_Toc400627388"/>
            <w:bookmarkStart w:id="1123" w:name="Commitments_Terr"/>
            <w:bookmarkStart w:id="1124" w:name="_Toc132743857"/>
            <w:r w:rsidRPr="004A5792">
              <w:t xml:space="preserve">Note </w:t>
            </w:r>
            <w:r w:rsidR="000E2959" w:rsidRPr="004A5792">
              <w:t>5</w:t>
            </w:r>
            <w:r w:rsidR="00A05D1E">
              <w:t>4</w:t>
            </w:r>
            <w:r w:rsidRPr="004A5792">
              <w:t>.</w:t>
            </w:r>
            <w:r w:rsidR="00FA7C77">
              <w:t xml:space="preserve"> </w:t>
            </w:r>
            <w:r w:rsidRPr="004A5792">
              <w:t xml:space="preserve"> </w:t>
            </w:r>
            <w:r w:rsidR="00863311" w:rsidRPr="004A5792">
              <w:t>Commitments – Territorial</w:t>
            </w:r>
            <w:bookmarkEnd w:id="1121"/>
            <w:bookmarkEnd w:id="1122"/>
            <w:bookmarkEnd w:id="1123"/>
            <w:bookmarkEnd w:id="1124"/>
          </w:p>
        </w:tc>
      </w:tr>
      <w:tr w:rsidR="002E3C80" w:rsidRPr="00CF7E1B" w14:paraId="0BAA3845" w14:textId="77777777" w:rsidTr="00F9483B">
        <w:trPr>
          <w:cantSplit/>
          <w:trHeight w:val="20"/>
        </w:trPr>
        <w:tc>
          <w:tcPr>
            <w:tcW w:w="1560" w:type="dxa"/>
            <w:tcBorders>
              <w:left w:val="single" w:sz="2" w:space="0" w:color="auto"/>
              <w:bottom w:val="nil"/>
              <w:right w:val="single" w:sz="2" w:space="0" w:color="auto"/>
            </w:tcBorders>
          </w:tcPr>
          <w:p w14:paraId="2A4B8A5B"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1490A22C" w14:textId="47441C0B" w:rsidR="002E3C80" w:rsidRPr="0007146C" w:rsidRDefault="002E3C80" w:rsidP="002E3C80">
            <w:pPr>
              <w:pStyle w:val="TableText"/>
              <w:tabs>
                <w:tab w:val="left" w:pos="3306"/>
              </w:tabs>
              <w:rPr>
                <w:rFonts w:cs="Calibri"/>
              </w:rPr>
            </w:pPr>
            <w:r w:rsidRPr="0007146C">
              <w:rPr>
                <w:rFonts w:asciiTheme="minorHAnsi" w:hAnsiTheme="minorHAnsi" w:cstheme="minorHAnsi"/>
                <w:b/>
                <w:bCs/>
                <w:color w:val="FF0000"/>
                <w:lang w:eastAsia="en-AU"/>
              </w:rPr>
              <w:t>Description and Material Accounting Policies Relating to Commitments - Territorial</w:t>
            </w:r>
          </w:p>
        </w:tc>
      </w:tr>
      <w:tr w:rsidR="002E3C80" w:rsidRPr="00CF7E1B" w14:paraId="29FECCCF" w14:textId="77777777" w:rsidTr="00F9483B">
        <w:trPr>
          <w:cantSplit/>
          <w:trHeight w:val="20"/>
        </w:trPr>
        <w:tc>
          <w:tcPr>
            <w:tcW w:w="1560" w:type="dxa"/>
            <w:tcBorders>
              <w:left w:val="single" w:sz="2" w:space="0" w:color="auto"/>
              <w:bottom w:val="nil"/>
              <w:right w:val="single" w:sz="2" w:space="0" w:color="auto"/>
            </w:tcBorders>
          </w:tcPr>
          <w:p w14:paraId="53DEA966"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A93FA86" w14:textId="3676EDAB" w:rsidR="002E3C80" w:rsidRPr="0007146C" w:rsidRDefault="002E3C80" w:rsidP="00F9483B">
            <w:pPr>
              <w:pStyle w:val="TableText"/>
              <w:tabs>
                <w:tab w:val="left" w:pos="3306"/>
              </w:tabs>
              <w:spacing w:after="60"/>
              <w:jc w:val="both"/>
              <w:rPr>
                <w:rFonts w:cs="Calibri"/>
              </w:rPr>
            </w:pPr>
            <w:r w:rsidRPr="0007146C">
              <w:rPr>
                <w:rFonts w:cs="Calibri"/>
                <w:color w:val="FF0000"/>
              </w:rPr>
              <w:t>Commitments are a firm intention, but not a present obligation, at the end of the reporting period to incur future expenditure. As such, commitments do not constitute a liability. Commitments usually arise from contracts but can arise from other things like placing an order.</w:t>
            </w:r>
          </w:p>
        </w:tc>
      </w:tr>
      <w:tr w:rsidR="002E3C80" w:rsidRPr="00CF7E1B" w14:paraId="33505279" w14:textId="77777777" w:rsidTr="00F9483B">
        <w:trPr>
          <w:cantSplit/>
          <w:trHeight w:val="20"/>
        </w:trPr>
        <w:tc>
          <w:tcPr>
            <w:tcW w:w="1560" w:type="dxa"/>
            <w:tcBorders>
              <w:left w:val="single" w:sz="2" w:space="0" w:color="auto"/>
              <w:bottom w:val="nil"/>
              <w:right w:val="single" w:sz="2" w:space="0" w:color="auto"/>
            </w:tcBorders>
          </w:tcPr>
          <w:p w14:paraId="224E0BAE"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9112F4C" w14:textId="5FC56B12" w:rsidR="002E3C80" w:rsidRPr="0007146C" w:rsidRDefault="002E3C80" w:rsidP="00F9483B">
            <w:pPr>
              <w:pStyle w:val="TableText"/>
              <w:tabs>
                <w:tab w:val="left" w:pos="3306"/>
              </w:tabs>
              <w:spacing w:before="0" w:after="120"/>
              <w:jc w:val="both"/>
              <w:rPr>
                <w:rFonts w:cs="Calibri"/>
              </w:rPr>
            </w:pPr>
            <w:r w:rsidRPr="0007146C">
              <w:rPr>
                <w:rFonts w:cs="Calibri"/>
                <w:color w:val="FF0000"/>
              </w:rPr>
              <w:t>Commitments are measured at their nominal value and are inclusive of GST.</w:t>
            </w:r>
          </w:p>
        </w:tc>
      </w:tr>
      <w:tr w:rsidR="002E3C80" w:rsidRPr="00CF7E1B" w14:paraId="61A4B879" w14:textId="77777777" w:rsidTr="00F9483B">
        <w:trPr>
          <w:cantSplit/>
          <w:trHeight w:val="20"/>
        </w:trPr>
        <w:tc>
          <w:tcPr>
            <w:tcW w:w="1560" w:type="dxa"/>
            <w:tcBorders>
              <w:left w:val="single" w:sz="2" w:space="0" w:color="auto"/>
              <w:bottom w:val="nil"/>
              <w:right w:val="single" w:sz="2" w:space="0" w:color="auto"/>
            </w:tcBorders>
          </w:tcPr>
          <w:p w14:paraId="1DD7B597" w14:textId="77777777" w:rsidR="002E3C80" w:rsidRPr="00855BC7" w:rsidRDefault="002E3C80" w:rsidP="002E3C80">
            <w:pPr>
              <w:pStyle w:val="TableReference"/>
              <w:tabs>
                <w:tab w:val="left" w:pos="3306"/>
              </w:tabs>
              <w:rPr>
                <w:rFonts w:cs="Calibri"/>
                <w:color w:val="7030A0"/>
                <w:sz w:val="14"/>
              </w:rPr>
            </w:pPr>
          </w:p>
        </w:tc>
        <w:tc>
          <w:tcPr>
            <w:tcW w:w="6662" w:type="dxa"/>
            <w:tcBorders>
              <w:left w:val="single" w:sz="2" w:space="0" w:color="auto"/>
              <w:bottom w:val="nil"/>
              <w:right w:val="nil"/>
            </w:tcBorders>
            <w:vAlign w:val="bottom"/>
          </w:tcPr>
          <w:p w14:paraId="775E1913" w14:textId="1E4C8C69" w:rsidR="002E3C80" w:rsidRPr="004A5792" w:rsidRDefault="002E3C80" w:rsidP="002E3C80">
            <w:pPr>
              <w:pStyle w:val="TableText"/>
              <w:tabs>
                <w:tab w:val="left" w:pos="3306"/>
              </w:tabs>
              <w:rPr>
                <w:rFonts w:cs="Calibri"/>
                <w:b/>
                <w:bCs/>
              </w:rPr>
            </w:pPr>
            <w:r w:rsidRPr="004A5792">
              <w:rPr>
                <w:rFonts w:cs="Calibri"/>
                <w:b/>
                <w:bCs/>
              </w:rPr>
              <w:t>Other Commitments</w:t>
            </w:r>
          </w:p>
        </w:tc>
        <w:tc>
          <w:tcPr>
            <w:tcW w:w="1134" w:type="dxa"/>
            <w:tcBorders>
              <w:left w:val="nil"/>
              <w:bottom w:val="nil"/>
              <w:right w:val="nil"/>
            </w:tcBorders>
            <w:vAlign w:val="bottom"/>
          </w:tcPr>
          <w:p w14:paraId="6FF4E915" w14:textId="77777777" w:rsidR="002E3C80" w:rsidRPr="004A5792" w:rsidRDefault="002E3C80" w:rsidP="002E3C80">
            <w:pPr>
              <w:pStyle w:val="TableText"/>
              <w:tabs>
                <w:tab w:val="left" w:pos="3306"/>
              </w:tabs>
              <w:jc w:val="right"/>
              <w:rPr>
                <w:rFonts w:cs="Calibri"/>
              </w:rPr>
            </w:pPr>
          </w:p>
        </w:tc>
        <w:tc>
          <w:tcPr>
            <w:tcW w:w="1134" w:type="dxa"/>
            <w:gridSpan w:val="2"/>
            <w:tcBorders>
              <w:left w:val="nil"/>
              <w:bottom w:val="nil"/>
            </w:tcBorders>
            <w:vAlign w:val="bottom"/>
          </w:tcPr>
          <w:p w14:paraId="219EBC26" w14:textId="77777777" w:rsidR="002E3C80" w:rsidRPr="004A5792" w:rsidRDefault="002E3C80" w:rsidP="002E3C80">
            <w:pPr>
              <w:pStyle w:val="TableText"/>
              <w:tabs>
                <w:tab w:val="left" w:pos="3306"/>
              </w:tabs>
              <w:jc w:val="right"/>
              <w:rPr>
                <w:rFonts w:cs="Calibri"/>
              </w:rPr>
            </w:pPr>
          </w:p>
        </w:tc>
      </w:tr>
      <w:tr w:rsidR="002E3C80" w:rsidRPr="00CF7E1B" w14:paraId="21D8C9CD" w14:textId="77777777" w:rsidTr="00F9483B">
        <w:trPr>
          <w:cantSplit/>
          <w:trHeight w:val="20"/>
        </w:trPr>
        <w:tc>
          <w:tcPr>
            <w:tcW w:w="1560" w:type="dxa"/>
            <w:tcBorders>
              <w:top w:val="nil"/>
              <w:left w:val="single" w:sz="2" w:space="0" w:color="auto"/>
              <w:bottom w:val="nil"/>
              <w:right w:val="single" w:sz="2" w:space="0" w:color="auto"/>
            </w:tcBorders>
          </w:tcPr>
          <w:p w14:paraId="1C3D7115" w14:textId="77777777" w:rsidR="002E3C80" w:rsidRPr="00855BC7" w:rsidRDefault="002E3C80" w:rsidP="002E3C80">
            <w:pPr>
              <w:pStyle w:val="TableReference"/>
              <w:tabs>
                <w:tab w:val="left" w:pos="3306"/>
              </w:tabs>
              <w:spacing w:before="60"/>
              <w:rPr>
                <w:rFonts w:cs="Calibri"/>
                <w:color w:val="7030A0"/>
                <w:sz w:val="14"/>
              </w:rPr>
            </w:pPr>
          </w:p>
        </w:tc>
        <w:tc>
          <w:tcPr>
            <w:tcW w:w="8930" w:type="dxa"/>
            <w:gridSpan w:val="4"/>
            <w:tcBorders>
              <w:top w:val="nil"/>
              <w:left w:val="single" w:sz="2" w:space="0" w:color="auto"/>
              <w:bottom w:val="nil"/>
            </w:tcBorders>
            <w:vAlign w:val="bottom"/>
          </w:tcPr>
          <w:p w14:paraId="7C27E713" w14:textId="77777777" w:rsidR="002E3C80" w:rsidRPr="004A5792" w:rsidRDefault="002E3C80" w:rsidP="002E3C80">
            <w:pPr>
              <w:pStyle w:val="TableText"/>
              <w:tabs>
                <w:tab w:val="left" w:pos="3306"/>
              </w:tabs>
              <w:rPr>
                <w:rFonts w:cs="Calibri"/>
              </w:rPr>
            </w:pPr>
            <w:r w:rsidRPr="004A5792">
              <w:rPr>
                <w:rFonts w:cs="Calibri"/>
              </w:rPr>
              <w:t xml:space="preserve">Other Commitments contracted at reporting date that have not been recognised as liabilities, are payable as follows: </w:t>
            </w:r>
          </w:p>
        </w:tc>
      </w:tr>
      <w:tr w:rsidR="002E3C80" w:rsidRPr="002E3C80" w14:paraId="788DBD30" w14:textId="77777777" w:rsidTr="00F9483B">
        <w:trPr>
          <w:cantSplit/>
          <w:trHeight w:val="20"/>
        </w:trPr>
        <w:tc>
          <w:tcPr>
            <w:tcW w:w="1560" w:type="dxa"/>
            <w:tcBorders>
              <w:top w:val="nil"/>
              <w:left w:val="single" w:sz="2" w:space="0" w:color="auto"/>
              <w:bottom w:val="nil"/>
              <w:right w:val="single" w:sz="2" w:space="0" w:color="auto"/>
            </w:tcBorders>
          </w:tcPr>
          <w:p w14:paraId="3D05DBB2" w14:textId="77777777" w:rsidR="002E3C80" w:rsidRPr="002E3C80" w:rsidRDefault="002E3C80" w:rsidP="002E3C80">
            <w:pPr>
              <w:pStyle w:val="TableReference"/>
              <w:tabs>
                <w:tab w:val="left" w:pos="3306"/>
              </w:tabs>
              <w:spacing w:before="60"/>
              <w:rPr>
                <w:rFonts w:cs="Calibri"/>
                <w:color w:val="7030A0"/>
                <w:szCs w:val="12"/>
              </w:rPr>
            </w:pPr>
          </w:p>
        </w:tc>
        <w:tc>
          <w:tcPr>
            <w:tcW w:w="8930" w:type="dxa"/>
            <w:gridSpan w:val="4"/>
            <w:tcBorders>
              <w:top w:val="nil"/>
              <w:left w:val="single" w:sz="2" w:space="0" w:color="auto"/>
              <w:bottom w:val="nil"/>
            </w:tcBorders>
            <w:vAlign w:val="bottom"/>
          </w:tcPr>
          <w:p w14:paraId="24CA1B80" w14:textId="77777777" w:rsidR="002E3C80" w:rsidRPr="002E3C80" w:rsidRDefault="002E3C80" w:rsidP="002E3C80">
            <w:pPr>
              <w:pStyle w:val="TableText"/>
              <w:tabs>
                <w:tab w:val="left" w:pos="3306"/>
              </w:tabs>
              <w:rPr>
                <w:rFonts w:cs="Calibri"/>
                <w:sz w:val="12"/>
                <w:szCs w:val="12"/>
              </w:rPr>
            </w:pPr>
          </w:p>
        </w:tc>
      </w:tr>
      <w:tr w:rsidR="002E3C80" w:rsidRPr="00CF7E1B" w14:paraId="6B52D9EC" w14:textId="77777777" w:rsidTr="00F9483B">
        <w:trPr>
          <w:cantSplit/>
          <w:trHeight w:val="379"/>
        </w:trPr>
        <w:tc>
          <w:tcPr>
            <w:tcW w:w="1560" w:type="dxa"/>
            <w:tcBorders>
              <w:top w:val="nil"/>
              <w:left w:val="single" w:sz="2" w:space="0" w:color="auto"/>
              <w:bottom w:val="nil"/>
              <w:right w:val="single" w:sz="2" w:space="0" w:color="auto"/>
            </w:tcBorders>
          </w:tcPr>
          <w:p w14:paraId="38ED3191" w14:textId="77777777" w:rsidR="002E3C80" w:rsidRPr="00855BC7" w:rsidRDefault="002E3C80" w:rsidP="00F9483B">
            <w:pPr>
              <w:pStyle w:val="TableReference"/>
              <w:tabs>
                <w:tab w:val="left" w:pos="3306"/>
              </w:tabs>
              <w:spacing w:before="40"/>
              <w:jc w:val="right"/>
              <w:rPr>
                <w:rFonts w:cs="Calibri"/>
                <w:color w:val="7030A0"/>
                <w:sz w:val="14"/>
              </w:rPr>
            </w:pPr>
          </w:p>
        </w:tc>
        <w:tc>
          <w:tcPr>
            <w:tcW w:w="6662" w:type="dxa"/>
            <w:tcBorders>
              <w:top w:val="nil"/>
              <w:left w:val="single" w:sz="2" w:space="0" w:color="auto"/>
              <w:bottom w:val="nil"/>
              <w:right w:val="nil"/>
            </w:tcBorders>
          </w:tcPr>
          <w:p w14:paraId="7E935E11" w14:textId="6D87A1CD" w:rsidR="002E3C80" w:rsidRPr="004A5792" w:rsidRDefault="002E3C80" w:rsidP="00F9483B">
            <w:pPr>
              <w:pStyle w:val="TableText"/>
              <w:tabs>
                <w:tab w:val="left" w:pos="3306"/>
              </w:tabs>
              <w:jc w:val="right"/>
              <w:rPr>
                <w:rFonts w:cs="Calibri"/>
              </w:rPr>
            </w:pPr>
          </w:p>
        </w:tc>
        <w:tc>
          <w:tcPr>
            <w:tcW w:w="1134" w:type="dxa"/>
            <w:tcBorders>
              <w:top w:val="nil"/>
              <w:left w:val="nil"/>
              <w:bottom w:val="nil"/>
              <w:right w:val="nil"/>
            </w:tcBorders>
          </w:tcPr>
          <w:p w14:paraId="57813E7B" w14:textId="16FF31CE" w:rsidR="002E3C80" w:rsidRDefault="002E3C80" w:rsidP="00F9483B">
            <w:pPr>
              <w:jc w:val="right"/>
              <w:rPr>
                <w:rFonts w:cs="Calibri"/>
                <w:b/>
                <w:bCs/>
                <w:sz w:val="18"/>
                <w:szCs w:val="18"/>
              </w:rPr>
            </w:pPr>
            <w:r w:rsidRPr="0087202A">
              <w:rPr>
                <w:rFonts w:cs="Calibri"/>
                <w:b/>
                <w:bCs/>
                <w:sz w:val="18"/>
                <w:szCs w:val="18"/>
              </w:rPr>
              <w:t>202</w:t>
            </w:r>
            <w:r>
              <w:rPr>
                <w:rFonts w:cs="Calibri"/>
                <w:b/>
                <w:bCs/>
                <w:sz w:val="18"/>
                <w:szCs w:val="18"/>
              </w:rPr>
              <w:t xml:space="preserve">3      </w:t>
            </w:r>
          </w:p>
          <w:p w14:paraId="768C9C92" w14:textId="14DF59B5" w:rsidR="002E3C80" w:rsidRPr="0087202A" w:rsidRDefault="002E3C80" w:rsidP="00F9483B">
            <w:pPr>
              <w:jc w:val="right"/>
              <w:rPr>
                <w:b/>
                <w:bCs/>
                <w:sz w:val="18"/>
                <w:szCs w:val="18"/>
              </w:rPr>
            </w:pPr>
            <w:r>
              <w:rPr>
                <w:rFonts w:cs="Calibri"/>
                <w:b/>
                <w:bCs/>
                <w:sz w:val="18"/>
                <w:szCs w:val="18"/>
              </w:rPr>
              <w:t xml:space="preserve"> </w:t>
            </w:r>
            <w:r w:rsidRPr="0087202A">
              <w:rPr>
                <w:rFonts w:cs="Calibri"/>
                <w:b/>
                <w:bCs/>
                <w:sz w:val="18"/>
                <w:szCs w:val="18"/>
              </w:rPr>
              <w:t xml:space="preserve"> $’000</w:t>
            </w:r>
          </w:p>
        </w:tc>
        <w:tc>
          <w:tcPr>
            <w:tcW w:w="1134" w:type="dxa"/>
            <w:gridSpan w:val="2"/>
            <w:tcBorders>
              <w:top w:val="nil"/>
              <w:left w:val="nil"/>
              <w:bottom w:val="nil"/>
            </w:tcBorders>
          </w:tcPr>
          <w:p w14:paraId="537A65AC" w14:textId="79F4A5C3" w:rsidR="002E3C80" w:rsidRPr="0087202A" w:rsidRDefault="002E3C80" w:rsidP="00F9483B">
            <w:pPr>
              <w:pStyle w:val="TableTitle"/>
              <w:tabs>
                <w:tab w:val="left" w:pos="3306"/>
              </w:tabs>
              <w:rPr>
                <w:rFonts w:cs="Calibri"/>
              </w:rPr>
            </w:pPr>
            <w:r w:rsidRPr="0087202A">
              <w:rPr>
                <w:rFonts w:cs="Calibri"/>
              </w:rPr>
              <w:t>202</w:t>
            </w:r>
            <w:r>
              <w:rPr>
                <w:rFonts w:cs="Calibri"/>
              </w:rPr>
              <w:t>2</w:t>
            </w:r>
          </w:p>
          <w:p w14:paraId="0B5F8A8C" w14:textId="199B66E8" w:rsidR="002E3C80" w:rsidRPr="0087202A" w:rsidRDefault="002E3C80" w:rsidP="00F9483B">
            <w:pPr>
              <w:pStyle w:val="TableText"/>
              <w:tabs>
                <w:tab w:val="left" w:pos="3306"/>
              </w:tabs>
              <w:spacing w:before="0"/>
              <w:jc w:val="right"/>
              <w:rPr>
                <w:rFonts w:cs="Calibri"/>
                <w:b/>
                <w:bCs/>
              </w:rPr>
            </w:pPr>
            <w:r w:rsidRPr="0087202A">
              <w:rPr>
                <w:rFonts w:cs="Calibri"/>
                <w:b/>
                <w:bCs/>
              </w:rPr>
              <w:t>$’000</w:t>
            </w:r>
          </w:p>
        </w:tc>
      </w:tr>
      <w:tr w:rsidR="002E3C80" w:rsidRPr="00CF7E1B" w14:paraId="0D640A43" w14:textId="77777777" w:rsidTr="00F9483B">
        <w:trPr>
          <w:cantSplit/>
          <w:trHeight w:val="20"/>
        </w:trPr>
        <w:tc>
          <w:tcPr>
            <w:tcW w:w="1560" w:type="dxa"/>
            <w:tcBorders>
              <w:top w:val="nil"/>
              <w:left w:val="single" w:sz="2" w:space="0" w:color="auto"/>
              <w:bottom w:val="nil"/>
              <w:right w:val="single" w:sz="2" w:space="0" w:color="auto"/>
            </w:tcBorders>
          </w:tcPr>
          <w:p w14:paraId="14C287BB"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5DDC4A3" w14:textId="77777777" w:rsidR="002E3C80" w:rsidRPr="004A5792" w:rsidRDefault="002E3C80" w:rsidP="002E3C80">
            <w:pPr>
              <w:pStyle w:val="TableText"/>
              <w:tabs>
                <w:tab w:val="left" w:pos="3306"/>
              </w:tabs>
              <w:rPr>
                <w:rFonts w:cs="Calibri"/>
              </w:rPr>
            </w:pPr>
            <w:r w:rsidRPr="004A5792">
              <w:rPr>
                <w:rFonts w:cs="Calibri"/>
              </w:rPr>
              <w:t>Within one year</w:t>
            </w:r>
          </w:p>
        </w:tc>
        <w:tc>
          <w:tcPr>
            <w:tcW w:w="1134" w:type="dxa"/>
            <w:tcBorders>
              <w:top w:val="nil"/>
              <w:left w:val="nil"/>
              <w:bottom w:val="nil"/>
              <w:right w:val="nil"/>
            </w:tcBorders>
            <w:vAlign w:val="bottom"/>
          </w:tcPr>
          <w:p w14:paraId="27CD616E" w14:textId="4144898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nil"/>
            </w:tcBorders>
            <w:vAlign w:val="bottom"/>
          </w:tcPr>
          <w:p w14:paraId="0D1F85FE" w14:textId="60D40805" w:rsidR="002E3C80" w:rsidRPr="004A5792" w:rsidRDefault="002E3C80" w:rsidP="002E3C80">
            <w:pPr>
              <w:pStyle w:val="TableText"/>
              <w:tabs>
                <w:tab w:val="left" w:pos="3306"/>
              </w:tabs>
              <w:jc w:val="right"/>
              <w:rPr>
                <w:rFonts w:cs="Calibri"/>
              </w:rPr>
            </w:pPr>
          </w:p>
        </w:tc>
      </w:tr>
      <w:tr w:rsidR="002E3C80" w:rsidRPr="00CF7E1B" w14:paraId="04D393DB" w14:textId="77777777" w:rsidTr="00F9483B">
        <w:trPr>
          <w:cantSplit/>
          <w:trHeight w:val="20"/>
        </w:trPr>
        <w:tc>
          <w:tcPr>
            <w:tcW w:w="1560" w:type="dxa"/>
            <w:tcBorders>
              <w:top w:val="nil"/>
              <w:left w:val="single" w:sz="2" w:space="0" w:color="auto"/>
              <w:bottom w:val="nil"/>
              <w:right w:val="single" w:sz="2" w:space="0" w:color="auto"/>
            </w:tcBorders>
          </w:tcPr>
          <w:p w14:paraId="51EA6D87"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978AEEF" w14:textId="77777777" w:rsidR="002E3C80" w:rsidRPr="004A5792" w:rsidRDefault="002E3C80" w:rsidP="002E3C80">
            <w:pPr>
              <w:pStyle w:val="TableText"/>
              <w:tabs>
                <w:tab w:val="left" w:pos="3306"/>
              </w:tabs>
              <w:rPr>
                <w:rFonts w:cs="Calibri"/>
              </w:rPr>
            </w:pPr>
            <w:r w:rsidRPr="004A5792">
              <w:rPr>
                <w:rFonts w:cs="Calibri"/>
              </w:rPr>
              <w:t>Later than one year but not later than five years</w:t>
            </w:r>
          </w:p>
        </w:tc>
        <w:tc>
          <w:tcPr>
            <w:tcW w:w="1134" w:type="dxa"/>
            <w:tcBorders>
              <w:top w:val="nil"/>
              <w:left w:val="nil"/>
              <w:right w:val="nil"/>
            </w:tcBorders>
            <w:vAlign w:val="bottom"/>
          </w:tcPr>
          <w:p w14:paraId="15DBC6F7" w14:textId="6790D04C" w:rsidR="002E3C80" w:rsidRPr="004A5792" w:rsidRDefault="002E3C80" w:rsidP="002E3C80">
            <w:pPr>
              <w:pStyle w:val="TableText"/>
              <w:tabs>
                <w:tab w:val="left" w:pos="3306"/>
              </w:tabs>
              <w:jc w:val="right"/>
              <w:rPr>
                <w:rFonts w:cs="Calibri"/>
              </w:rPr>
            </w:pPr>
          </w:p>
        </w:tc>
        <w:tc>
          <w:tcPr>
            <w:tcW w:w="1134" w:type="dxa"/>
            <w:gridSpan w:val="2"/>
            <w:tcBorders>
              <w:top w:val="nil"/>
              <w:left w:val="nil"/>
            </w:tcBorders>
            <w:vAlign w:val="bottom"/>
          </w:tcPr>
          <w:p w14:paraId="2B6CB7CA" w14:textId="7D5CAE1F" w:rsidR="002E3C80" w:rsidRPr="004A5792" w:rsidRDefault="002E3C80" w:rsidP="002E3C80">
            <w:pPr>
              <w:pStyle w:val="TableText"/>
              <w:tabs>
                <w:tab w:val="left" w:pos="3306"/>
              </w:tabs>
              <w:jc w:val="right"/>
              <w:rPr>
                <w:rFonts w:cs="Calibri"/>
              </w:rPr>
            </w:pPr>
          </w:p>
        </w:tc>
      </w:tr>
      <w:tr w:rsidR="002E3C80" w:rsidRPr="00CF7E1B" w14:paraId="7C4D60E0" w14:textId="77777777" w:rsidTr="00F9483B">
        <w:trPr>
          <w:cantSplit/>
          <w:trHeight w:val="20"/>
        </w:trPr>
        <w:tc>
          <w:tcPr>
            <w:tcW w:w="1560" w:type="dxa"/>
            <w:tcBorders>
              <w:top w:val="nil"/>
              <w:left w:val="single" w:sz="2" w:space="0" w:color="auto"/>
              <w:bottom w:val="nil"/>
              <w:right w:val="single" w:sz="2" w:space="0" w:color="auto"/>
            </w:tcBorders>
          </w:tcPr>
          <w:p w14:paraId="43DBF95F"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right w:val="nil"/>
            </w:tcBorders>
            <w:vAlign w:val="bottom"/>
          </w:tcPr>
          <w:p w14:paraId="68FA8FEB" w14:textId="77777777" w:rsidR="002E3C80" w:rsidRPr="004A5792" w:rsidRDefault="002E3C80" w:rsidP="002E3C80">
            <w:pPr>
              <w:pStyle w:val="TableText"/>
              <w:tabs>
                <w:tab w:val="left" w:pos="3306"/>
              </w:tabs>
              <w:rPr>
                <w:rFonts w:cs="Calibri"/>
              </w:rPr>
            </w:pPr>
            <w:r w:rsidRPr="004A5792">
              <w:rPr>
                <w:rFonts w:cs="Calibri"/>
              </w:rPr>
              <w:t>Later than five years</w:t>
            </w:r>
          </w:p>
        </w:tc>
        <w:tc>
          <w:tcPr>
            <w:tcW w:w="1134" w:type="dxa"/>
            <w:tcBorders>
              <w:top w:val="nil"/>
              <w:left w:val="nil"/>
              <w:bottom w:val="single" w:sz="4" w:space="0" w:color="auto"/>
              <w:right w:val="nil"/>
            </w:tcBorders>
            <w:vAlign w:val="bottom"/>
          </w:tcPr>
          <w:p w14:paraId="6F70257A" w14:textId="7A6AD65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single" w:sz="4" w:space="0" w:color="auto"/>
            </w:tcBorders>
            <w:vAlign w:val="bottom"/>
          </w:tcPr>
          <w:p w14:paraId="3C5AA3DE" w14:textId="3993E953" w:rsidR="002E3C80" w:rsidRPr="004A5792" w:rsidRDefault="002E3C80" w:rsidP="002E3C80">
            <w:pPr>
              <w:pStyle w:val="TableText"/>
              <w:tabs>
                <w:tab w:val="left" w:pos="3306"/>
              </w:tabs>
              <w:jc w:val="right"/>
              <w:rPr>
                <w:rFonts w:cs="Calibri"/>
              </w:rPr>
            </w:pPr>
          </w:p>
        </w:tc>
      </w:tr>
      <w:tr w:rsidR="002E3C80" w:rsidRPr="00CF7E1B" w14:paraId="17023FFD" w14:textId="77777777" w:rsidTr="00F9483B">
        <w:trPr>
          <w:cantSplit/>
          <w:trHeight w:val="20"/>
        </w:trPr>
        <w:tc>
          <w:tcPr>
            <w:tcW w:w="1560" w:type="dxa"/>
            <w:tcBorders>
              <w:top w:val="nil"/>
              <w:left w:val="single" w:sz="2" w:space="0" w:color="auto"/>
              <w:bottom w:val="nil"/>
              <w:right w:val="single" w:sz="2" w:space="0" w:color="auto"/>
            </w:tcBorders>
          </w:tcPr>
          <w:p w14:paraId="3F8A5A6D"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left w:val="single" w:sz="2" w:space="0" w:color="auto"/>
              <w:right w:val="nil"/>
            </w:tcBorders>
            <w:vAlign w:val="bottom"/>
          </w:tcPr>
          <w:p w14:paraId="39BBD48D" w14:textId="77777777" w:rsidR="002E3C80" w:rsidRPr="004A5792" w:rsidRDefault="002E3C80" w:rsidP="002E3C80">
            <w:pPr>
              <w:pStyle w:val="TableText"/>
              <w:tabs>
                <w:tab w:val="left" w:pos="3306"/>
              </w:tabs>
              <w:rPr>
                <w:rFonts w:cs="Calibri"/>
                <w:b/>
                <w:bCs/>
              </w:rPr>
            </w:pPr>
            <w:r w:rsidRPr="004A5792">
              <w:rPr>
                <w:rFonts w:cs="Calibri"/>
                <w:b/>
                <w:bCs/>
              </w:rPr>
              <w:t>Total Other Commitments</w:t>
            </w:r>
          </w:p>
        </w:tc>
        <w:tc>
          <w:tcPr>
            <w:tcW w:w="1134" w:type="dxa"/>
            <w:tcBorders>
              <w:top w:val="single" w:sz="4" w:space="0" w:color="auto"/>
              <w:left w:val="nil"/>
              <w:bottom w:val="double" w:sz="4" w:space="0" w:color="auto"/>
              <w:right w:val="nil"/>
            </w:tcBorders>
            <w:vAlign w:val="bottom"/>
          </w:tcPr>
          <w:p w14:paraId="75D5ED9A" w14:textId="733FA259" w:rsidR="002E3C80" w:rsidRPr="004A5792" w:rsidRDefault="002E3C80" w:rsidP="002E3C80">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tcBorders>
            <w:vAlign w:val="bottom"/>
          </w:tcPr>
          <w:p w14:paraId="2B09189E" w14:textId="6FADA27E" w:rsidR="002E3C80" w:rsidRPr="004A5792" w:rsidRDefault="002E3C80" w:rsidP="002E3C80">
            <w:pPr>
              <w:pStyle w:val="TableText"/>
              <w:tabs>
                <w:tab w:val="left" w:pos="3306"/>
              </w:tabs>
              <w:jc w:val="right"/>
              <w:rPr>
                <w:rFonts w:cs="Calibri"/>
                <w:b/>
                <w:bCs/>
              </w:rPr>
            </w:pPr>
          </w:p>
        </w:tc>
      </w:tr>
      <w:tr w:rsidR="002E3C80" w:rsidRPr="002E3C80" w14:paraId="41BC7BC1" w14:textId="77777777" w:rsidTr="00F9483B">
        <w:trPr>
          <w:cantSplit/>
          <w:trHeight w:val="20"/>
        </w:trPr>
        <w:tc>
          <w:tcPr>
            <w:tcW w:w="1560" w:type="dxa"/>
            <w:tcBorders>
              <w:top w:val="nil"/>
              <w:left w:val="single" w:sz="2" w:space="0" w:color="auto"/>
              <w:bottom w:val="nil"/>
              <w:right w:val="single" w:sz="2" w:space="0" w:color="auto"/>
            </w:tcBorders>
          </w:tcPr>
          <w:p w14:paraId="46D67B6F" w14:textId="77777777" w:rsidR="002E3C80" w:rsidRPr="002E3C80" w:rsidRDefault="002E3C80" w:rsidP="002E3C80">
            <w:pPr>
              <w:pStyle w:val="TableReference"/>
              <w:tabs>
                <w:tab w:val="left" w:pos="3306"/>
              </w:tabs>
              <w:spacing w:before="40"/>
              <w:rPr>
                <w:rFonts w:cs="Calibri"/>
                <w:color w:val="7030A0"/>
                <w:szCs w:val="12"/>
              </w:rPr>
            </w:pPr>
          </w:p>
        </w:tc>
        <w:tc>
          <w:tcPr>
            <w:tcW w:w="6662" w:type="dxa"/>
            <w:tcBorders>
              <w:left w:val="single" w:sz="2" w:space="0" w:color="auto"/>
              <w:right w:val="nil"/>
            </w:tcBorders>
            <w:vAlign w:val="bottom"/>
          </w:tcPr>
          <w:p w14:paraId="2D4A3428" w14:textId="77777777" w:rsidR="002E3C80" w:rsidRPr="002E3C80" w:rsidRDefault="002E3C80" w:rsidP="002E3C80">
            <w:pPr>
              <w:pStyle w:val="TableText"/>
              <w:tabs>
                <w:tab w:val="left" w:pos="3306"/>
              </w:tabs>
              <w:rPr>
                <w:rFonts w:cs="Calibri"/>
                <w:b/>
                <w:bCs/>
                <w:sz w:val="12"/>
                <w:szCs w:val="12"/>
              </w:rPr>
            </w:pPr>
          </w:p>
        </w:tc>
        <w:tc>
          <w:tcPr>
            <w:tcW w:w="1134" w:type="dxa"/>
            <w:tcBorders>
              <w:top w:val="double" w:sz="4" w:space="0" w:color="auto"/>
              <w:left w:val="nil"/>
              <w:right w:val="nil"/>
            </w:tcBorders>
            <w:vAlign w:val="bottom"/>
          </w:tcPr>
          <w:p w14:paraId="12BFAC6A" w14:textId="77777777" w:rsidR="002E3C80" w:rsidRPr="002E3C80" w:rsidRDefault="002E3C80" w:rsidP="002E3C80">
            <w:pPr>
              <w:pStyle w:val="TableText"/>
              <w:tabs>
                <w:tab w:val="left" w:pos="3306"/>
              </w:tabs>
              <w:jc w:val="right"/>
              <w:rPr>
                <w:rFonts w:cs="Calibri"/>
                <w:b/>
                <w:bCs/>
                <w:sz w:val="12"/>
                <w:szCs w:val="12"/>
              </w:rPr>
            </w:pPr>
          </w:p>
        </w:tc>
        <w:tc>
          <w:tcPr>
            <w:tcW w:w="1134" w:type="dxa"/>
            <w:gridSpan w:val="2"/>
            <w:tcBorders>
              <w:top w:val="double" w:sz="4" w:space="0" w:color="auto"/>
              <w:left w:val="nil"/>
            </w:tcBorders>
            <w:vAlign w:val="bottom"/>
          </w:tcPr>
          <w:p w14:paraId="5E4615BA" w14:textId="77777777" w:rsidR="002E3C80" w:rsidRPr="002E3C80" w:rsidRDefault="002E3C80" w:rsidP="002E3C80">
            <w:pPr>
              <w:pStyle w:val="TableText"/>
              <w:tabs>
                <w:tab w:val="left" w:pos="3306"/>
              </w:tabs>
              <w:jc w:val="right"/>
              <w:rPr>
                <w:rFonts w:cs="Calibri"/>
                <w:b/>
                <w:bCs/>
                <w:sz w:val="12"/>
                <w:szCs w:val="12"/>
              </w:rPr>
            </w:pPr>
          </w:p>
        </w:tc>
      </w:tr>
      <w:tr w:rsidR="002E3C80" w:rsidRPr="00CF7E1B" w14:paraId="0703E023" w14:textId="77777777" w:rsidTr="00F9483B">
        <w:trPr>
          <w:cantSplit/>
          <w:trHeight w:val="20"/>
        </w:trPr>
        <w:tc>
          <w:tcPr>
            <w:tcW w:w="1560" w:type="dxa"/>
            <w:tcBorders>
              <w:top w:val="nil"/>
              <w:left w:val="single" w:sz="2" w:space="0" w:color="auto"/>
              <w:bottom w:val="nil"/>
              <w:right w:val="single" w:sz="2" w:space="0" w:color="auto"/>
            </w:tcBorders>
          </w:tcPr>
          <w:p w14:paraId="41E5E158" w14:textId="77777777" w:rsidR="002E3C80" w:rsidRPr="00855BC7" w:rsidRDefault="002E3C80" w:rsidP="002E3C80">
            <w:pPr>
              <w:pStyle w:val="TableReference"/>
              <w:tabs>
                <w:tab w:val="left" w:pos="3306"/>
              </w:tabs>
              <w:spacing w:before="40"/>
              <w:rPr>
                <w:rFonts w:cs="Calibri"/>
                <w:color w:val="7030A0"/>
                <w:sz w:val="14"/>
              </w:rPr>
            </w:pPr>
          </w:p>
        </w:tc>
        <w:tc>
          <w:tcPr>
            <w:tcW w:w="8930" w:type="dxa"/>
            <w:gridSpan w:val="4"/>
            <w:tcBorders>
              <w:left w:val="single" w:sz="2" w:space="0" w:color="auto"/>
            </w:tcBorders>
            <w:vAlign w:val="bottom"/>
          </w:tcPr>
          <w:p w14:paraId="5657F2A1" w14:textId="55E663C1" w:rsidR="002E3C80" w:rsidRPr="004A5792" w:rsidRDefault="002E3C80" w:rsidP="002E3C80">
            <w:pPr>
              <w:pStyle w:val="TableText"/>
              <w:tabs>
                <w:tab w:val="left" w:pos="3306"/>
              </w:tabs>
              <w:rPr>
                <w:rFonts w:cs="Calibri"/>
                <w:b/>
                <w:bCs/>
              </w:rPr>
            </w:pPr>
            <w:r w:rsidRPr="004A5792">
              <w:rPr>
                <w:rFonts w:cs="Calibri"/>
              </w:rPr>
              <w:t>All amounts shown in the commitment note are inclusive of GST.</w:t>
            </w:r>
          </w:p>
        </w:tc>
      </w:tr>
      <w:tr w:rsidR="002E3C80" w:rsidRPr="002E3C80" w14:paraId="0AD1C0C2" w14:textId="77777777" w:rsidTr="00F9483B">
        <w:trPr>
          <w:cantSplit/>
          <w:trHeight w:val="20"/>
        </w:trPr>
        <w:tc>
          <w:tcPr>
            <w:tcW w:w="1560" w:type="dxa"/>
            <w:tcBorders>
              <w:top w:val="nil"/>
              <w:left w:val="single" w:sz="2" w:space="0" w:color="auto"/>
              <w:bottom w:val="nil"/>
              <w:right w:val="single" w:sz="2" w:space="0" w:color="auto"/>
            </w:tcBorders>
          </w:tcPr>
          <w:p w14:paraId="5DCDE582" w14:textId="77777777" w:rsidR="002E3C80" w:rsidRPr="002E3C80" w:rsidRDefault="002E3C80" w:rsidP="002E3C80">
            <w:pPr>
              <w:pStyle w:val="TableReference"/>
              <w:tabs>
                <w:tab w:val="left" w:pos="3306"/>
              </w:tabs>
              <w:rPr>
                <w:rFonts w:cs="Calibri"/>
                <w:color w:val="7030A0"/>
                <w:szCs w:val="12"/>
              </w:rPr>
            </w:pPr>
          </w:p>
        </w:tc>
        <w:tc>
          <w:tcPr>
            <w:tcW w:w="6662" w:type="dxa"/>
            <w:tcBorders>
              <w:left w:val="single" w:sz="2" w:space="0" w:color="auto"/>
              <w:right w:val="nil"/>
            </w:tcBorders>
            <w:vAlign w:val="bottom"/>
          </w:tcPr>
          <w:p w14:paraId="3EEA9174" w14:textId="77777777" w:rsidR="002E3C80" w:rsidRPr="002E3C80" w:rsidRDefault="002E3C80" w:rsidP="002E3C80">
            <w:pPr>
              <w:pStyle w:val="TableText"/>
              <w:tabs>
                <w:tab w:val="left" w:pos="3306"/>
              </w:tabs>
              <w:spacing w:before="0"/>
              <w:rPr>
                <w:rFonts w:cs="Calibri"/>
                <w:b/>
                <w:bCs/>
                <w:sz w:val="12"/>
                <w:szCs w:val="12"/>
              </w:rPr>
            </w:pPr>
          </w:p>
        </w:tc>
        <w:tc>
          <w:tcPr>
            <w:tcW w:w="1134" w:type="dxa"/>
            <w:tcBorders>
              <w:left w:val="nil"/>
              <w:right w:val="nil"/>
            </w:tcBorders>
            <w:vAlign w:val="bottom"/>
          </w:tcPr>
          <w:p w14:paraId="47DAF831" w14:textId="77777777" w:rsidR="002E3C80" w:rsidRPr="002E3C80" w:rsidRDefault="002E3C80" w:rsidP="002E3C80">
            <w:pPr>
              <w:pStyle w:val="TableText"/>
              <w:tabs>
                <w:tab w:val="left" w:pos="3306"/>
              </w:tabs>
              <w:spacing w:before="0"/>
              <w:jc w:val="right"/>
              <w:rPr>
                <w:rFonts w:cs="Calibri"/>
                <w:b/>
                <w:bCs/>
                <w:sz w:val="12"/>
                <w:szCs w:val="12"/>
              </w:rPr>
            </w:pPr>
          </w:p>
        </w:tc>
        <w:tc>
          <w:tcPr>
            <w:tcW w:w="1134" w:type="dxa"/>
            <w:gridSpan w:val="2"/>
            <w:tcBorders>
              <w:left w:val="nil"/>
            </w:tcBorders>
            <w:vAlign w:val="bottom"/>
          </w:tcPr>
          <w:p w14:paraId="36703C9A" w14:textId="77777777" w:rsidR="002E3C80" w:rsidRPr="002E3C80" w:rsidRDefault="002E3C80" w:rsidP="002E3C80">
            <w:pPr>
              <w:pStyle w:val="TableText"/>
              <w:tabs>
                <w:tab w:val="left" w:pos="3306"/>
              </w:tabs>
              <w:spacing w:before="0"/>
              <w:jc w:val="right"/>
              <w:rPr>
                <w:rFonts w:cs="Calibri"/>
                <w:b/>
                <w:bCs/>
                <w:sz w:val="12"/>
                <w:szCs w:val="12"/>
              </w:rPr>
            </w:pPr>
          </w:p>
        </w:tc>
      </w:tr>
      <w:tr w:rsidR="002E3C80" w:rsidRPr="00CF7E1B" w14:paraId="26E241D2" w14:textId="77777777" w:rsidTr="00F9483B">
        <w:trPr>
          <w:cantSplit/>
          <w:trHeight w:val="119"/>
        </w:trPr>
        <w:tc>
          <w:tcPr>
            <w:tcW w:w="1560" w:type="dxa"/>
            <w:tcBorders>
              <w:top w:val="nil"/>
              <w:left w:val="single" w:sz="2" w:space="0" w:color="auto"/>
              <w:bottom w:val="nil"/>
              <w:right w:val="single" w:sz="2" w:space="0" w:color="auto"/>
            </w:tcBorders>
          </w:tcPr>
          <w:p w14:paraId="4C5D978A" w14:textId="77777777" w:rsidR="002E3C80" w:rsidRPr="00855BC7" w:rsidRDefault="002E3C80" w:rsidP="002E3C80">
            <w:pPr>
              <w:pStyle w:val="TableReference"/>
              <w:tabs>
                <w:tab w:val="left" w:pos="3306"/>
              </w:tabs>
              <w:spacing w:before="240" w:after="24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8B5FAD" w14:textId="6AA6714E" w:rsidR="002E3C80" w:rsidRPr="004A5792" w:rsidRDefault="002E3C80" w:rsidP="002E3C80">
            <w:pPr>
              <w:pStyle w:val="CommentaryTitle"/>
              <w:spacing w:before="240" w:after="240"/>
              <w:rPr>
                <w:rFonts w:cs="Calibri"/>
                <w:color w:val="FFFFFF" w:themeColor="background1"/>
                <w:sz w:val="28"/>
                <w:szCs w:val="28"/>
              </w:rPr>
            </w:pPr>
            <w:r w:rsidRPr="004A5792">
              <w:rPr>
                <w:rFonts w:cs="Calibri"/>
                <w:color w:val="FFFFFF" w:themeColor="background1"/>
                <w:sz w:val="28"/>
                <w:szCs w:val="28"/>
              </w:rPr>
              <w:t>Commentary – Note 5</w:t>
            </w:r>
            <w:r>
              <w:rPr>
                <w:rFonts w:cs="Calibri"/>
                <w:color w:val="FFFFFF" w:themeColor="background1"/>
                <w:sz w:val="28"/>
                <w:szCs w:val="28"/>
              </w:rPr>
              <w:t>4</w:t>
            </w:r>
            <w:r w:rsidRPr="004A5792">
              <w:rPr>
                <w:rFonts w:cs="Calibri"/>
                <w:color w:val="FFFFFF" w:themeColor="background1"/>
                <w:sz w:val="28"/>
                <w:szCs w:val="28"/>
              </w:rPr>
              <w:t xml:space="preserve">: Commitments – Territorial </w:t>
            </w:r>
          </w:p>
        </w:tc>
      </w:tr>
      <w:tr w:rsidR="002E3C80" w:rsidRPr="00253798" w14:paraId="75A5E2D0" w14:textId="77777777" w:rsidTr="00F9483B">
        <w:trPr>
          <w:cantSplit/>
          <w:trHeight w:val="697"/>
        </w:trPr>
        <w:tc>
          <w:tcPr>
            <w:tcW w:w="1560" w:type="dxa"/>
            <w:tcBorders>
              <w:top w:val="nil"/>
              <w:left w:val="single" w:sz="2" w:space="0" w:color="auto"/>
              <w:bottom w:val="nil"/>
              <w:right w:val="single" w:sz="2" w:space="0" w:color="auto"/>
            </w:tcBorders>
          </w:tcPr>
          <w:p w14:paraId="05F06FBA" w14:textId="77777777" w:rsidR="002E3C80" w:rsidRPr="00855BC7" w:rsidRDefault="002E3C80" w:rsidP="002E3C80">
            <w:pPr>
              <w:pStyle w:val="TableReference"/>
              <w:tabs>
                <w:tab w:val="left" w:pos="3306"/>
              </w:tabs>
              <w:rPr>
                <w:rFonts w:cs="Calibri"/>
                <w:color w:val="7030A0"/>
                <w:sz w:val="14"/>
              </w:rPr>
            </w:pPr>
          </w:p>
          <w:p w14:paraId="73FAE9CA" w14:textId="77777777" w:rsidR="002E3C80" w:rsidRPr="00855BC7" w:rsidRDefault="002E3C80" w:rsidP="002E3C80">
            <w:pPr>
              <w:pStyle w:val="TableReference"/>
              <w:tabs>
                <w:tab w:val="left" w:pos="3306"/>
              </w:tabs>
              <w:rPr>
                <w:rFonts w:cs="Calibri"/>
                <w:color w:val="7030A0"/>
                <w:sz w:val="14"/>
              </w:rPr>
            </w:pPr>
          </w:p>
          <w:p w14:paraId="7BE7E590" w14:textId="77777777" w:rsidR="002E3C80" w:rsidRPr="00855BC7" w:rsidRDefault="002E3C80" w:rsidP="002E3C80">
            <w:pPr>
              <w:pStyle w:val="TableReference"/>
              <w:tabs>
                <w:tab w:val="left" w:pos="3306"/>
              </w:tabs>
              <w:rPr>
                <w:rFonts w:cs="Calibri"/>
                <w:color w:val="7030A0"/>
                <w:sz w:val="14"/>
              </w:rPr>
            </w:pPr>
            <w:r w:rsidRPr="00855BC7">
              <w:rPr>
                <w:rFonts w:cs="Calibri"/>
                <w:color w:val="7030A0"/>
                <w:sz w:val="14"/>
              </w:rPr>
              <w:t>ACT Disclosure Policy</w:t>
            </w:r>
          </w:p>
        </w:tc>
        <w:tc>
          <w:tcPr>
            <w:tcW w:w="8930" w:type="dxa"/>
            <w:gridSpan w:val="4"/>
            <w:tcBorders>
              <w:top w:val="nil"/>
              <w:left w:val="single" w:sz="2" w:space="0" w:color="auto"/>
              <w:bottom w:val="nil"/>
            </w:tcBorders>
            <w:shd w:val="clear" w:color="auto" w:fill="7030A0"/>
          </w:tcPr>
          <w:p w14:paraId="0A5EB6D5" w14:textId="77777777" w:rsidR="002E3C80" w:rsidRPr="003173AE" w:rsidRDefault="002E3C80" w:rsidP="00F9483B">
            <w:pPr>
              <w:pStyle w:val="CommentaryTitle"/>
              <w:pageBreakBefore w:val="0"/>
              <w:tabs>
                <w:tab w:val="left" w:pos="3306"/>
              </w:tabs>
              <w:spacing w:before="0" w:after="0"/>
              <w:rPr>
                <w:rFonts w:cs="Calibri"/>
                <w:color w:val="FFFFFF" w:themeColor="background1"/>
                <w:sz w:val="20"/>
                <w:szCs w:val="20"/>
              </w:rPr>
            </w:pPr>
            <w:r w:rsidRPr="003173AE">
              <w:rPr>
                <w:rFonts w:cs="Calibri"/>
                <w:color w:val="FFFFFF" w:themeColor="background1"/>
                <w:sz w:val="20"/>
                <w:szCs w:val="20"/>
              </w:rPr>
              <w:t>Time Bands</w:t>
            </w:r>
          </w:p>
          <w:p w14:paraId="6E98C40C" w14:textId="77777777" w:rsidR="002E3C80" w:rsidRPr="004A5792" w:rsidRDefault="002E3C80" w:rsidP="00F9483B">
            <w:pPr>
              <w:pStyle w:val="TableText"/>
              <w:tabs>
                <w:tab w:val="left" w:pos="3306"/>
              </w:tabs>
              <w:spacing w:before="0" w:after="120"/>
              <w:jc w:val="both"/>
              <w:rPr>
                <w:rFonts w:cs="Calibri"/>
                <w:strike/>
                <w:color w:val="FFFFFF" w:themeColor="background1"/>
              </w:rPr>
            </w:pPr>
            <w:r w:rsidRPr="004A5792">
              <w:rPr>
                <w:rFonts w:cs="Calibri"/>
                <w:color w:val="FFFFFF" w:themeColor="background1"/>
              </w:rPr>
              <w:t>Whilst there is no requirement in the accounting standards to disclose capital and expenditure commitments by time bands, ACT Disclosure Policy requires this since it is considered to provide useful information to the users of financial statements.</w:t>
            </w:r>
          </w:p>
        </w:tc>
      </w:tr>
      <w:tr w:rsidR="002E3C80" w:rsidRPr="00253798" w14:paraId="40BFF1A4" w14:textId="77777777" w:rsidTr="00F9483B">
        <w:trPr>
          <w:cantSplit/>
          <w:trHeight w:val="422"/>
        </w:trPr>
        <w:tc>
          <w:tcPr>
            <w:tcW w:w="1560" w:type="dxa"/>
            <w:tcBorders>
              <w:top w:val="nil"/>
              <w:left w:val="single" w:sz="2" w:space="0" w:color="auto"/>
              <w:bottom w:val="nil"/>
              <w:right w:val="single" w:sz="2" w:space="0" w:color="auto"/>
            </w:tcBorders>
          </w:tcPr>
          <w:p w14:paraId="5103E430" w14:textId="77777777" w:rsidR="002E3C80" w:rsidRPr="00855BC7" w:rsidRDefault="002E3C80" w:rsidP="002E3C80">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shd w:val="clear" w:color="auto" w:fill="7030A0"/>
          </w:tcPr>
          <w:p w14:paraId="03ED46C0" w14:textId="442F001A" w:rsidR="002E3C80" w:rsidRPr="004A5792" w:rsidRDefault="002E3C80" w:rsidP="002E3C80">
            <w:pPr>
              <w:rPr>
                <w:rFonts w:cs="Calibri"/>
                <w:color w:val="FFFFFF" w:themeColor="background1"/>
                <w:sz w:val="20"/>
                <w:szCs w:val="20"/>
              </w:rPr>
            </w:pPr>
            <w:r w:rsidRPr="004A5792">
              <w:rPr>
                <w:rFonts w:cs="Calibri"/>
                <w:color w:val="FFFFFF" w:themeColor="background1"/>
                <w:sz w:val="18"/>
                <w:szCs w:val="18"/>
              </w:rPr>
              <w:t>If there are no commitments to be reported the whole note should not be included in an Agency’s Financial Statements.</w:t>
            </w:r>
          </w:p>
        </w:tc>
      </w:tr>
      <w:tr w:rsidR="00253798" w:rsidRPr="00CF7E1B" w14:paraId="6FC5F1B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1DCF9BEB" w14:textId="415EC9E7" w:rsidR="00253798" w:rsidRPr="00855BC7" w:rsidRDefault="00F752A5" w:rsidP="005D3C33">
            <w:pPr>
              <w:pStyle w:val="TableReference"/>
              <w:tabs>
                <w:tab w:val="left" w:pos="3306"/>
              </w:tabs>
              <w:spacing w:before="240" w:after="240"/>
              <w:rPr>
                <w:rFonts w:asciiTheme="minorHAnsi" w:hAnsiTheme="minorHAnsi" w:cstheme="minorHAnsi"/>
                <w:color w:val="7030A0"/>
                <w:sz w:val="22"/>
                <w:szCs w:val="22"/>
              </w:rPr>
            </w:pPr>
            <w:r w:rsidRPr="00855BC7">
              <w:rPr>
                <w:rFonts w:asciiTheme="minorHAnsi" w:hAnsiTheme="minorHAnsi" w:cstheme="minorHAnsi"/>
                <w:b/>
                <w:color w:val="7030A0"/>
                <w:sz w:val="22"/>
                <w:szCs w:val="22"/>
              </w:rPr>
              <w:t>Reference</w:t>
            </w:r>
          </w:p>
        </w:tc>
        <w:tc>
          <w:tcPr>
            <w:tcW w:w="8788" w:type="dxa"/>
            <w:gridSpan w:val="3"/>
            <w:tcBorders>
              <w:top w:val="nil"/>
              <w:left w:val="single" w:sz="2" w:space="0" w:color="auto"/>
              <w:bottom w:val="nil"/>
              <w:right w:val="nil"/>
            </w:tcBorders>
          </w:tcPr>
          <w:p w14:paraId="409D5B57" w14:textId="2F80981A" w:rsidR="00253798" w:rsidRPr="004A5792" w:rsidRDefault="00253798" w:rsidP="006B468D">
            <w:pPr>
              <w:pStyle w:val="Heading1"/>
              <w:numPr>
                <w:ilvl w:val="0"/>
                <w:numId w:val="0"/>
              </w:numPr>
            </w:pPr>
            <w:bookmarkStart w:id="1125" w:name="_Toc223433239"/>
            <w:bookmarkStart w:id="1126" w:name="_Toc400627389"/>
            <w:bookmarkStart w:id="1127" w:name="contingentliabandassetsterritorial"/>
            <w:bookmarkStart w:id="1128" w:name="_Toc132743858"/>
            <w:r w:rsidRPr="004A5792">
              <w:t xml:space="preserve">Note </w:t>
            </w:r>
            <w:r w:rsidR="000E2959" w:rsidRPr="004A5792">
              <w:t>5</w:t>
            </w:r>
            <w:r w:rsidR="00A05D1E">
              <w:t>5</w:t>
            </w:r>
            <w:r w:rsidRPr="004A5792">
              <w:t>.</w:t>
            </w:r>
            <w:r w:rsidR="00FA7C77">
              <w:t xml:space="preserve"> </w:t>
            </w:r>
            <w:r w:rsidRPr="004A5792">
              <w:t xml:space="preserve"> Contingent Liabilities and Contingent Assets – Territorial</w:t>
            </w:r>
            <w:bookmarkEnd w:id="1125"/>
            <w:bookmarkEnd w:id="1126"/>
            <w:bookmarkEnd w:id="1127"/>
            <w:bookmarkEnd w:id="1128"/>
          </w:p>
        </w:tc>
      </w:tr>
      <w:tr w:rsidR="00F712CA" w:rsidRPr="00F712CA" w14:paraId="4E7751BF"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70"/>
        </w:trPr>
        <w:tc>
          <w:tcPr>
            <w:tcW w:w="1560" w:type="dxa"/>
            <w:tcBorders>
              <w:top w:val="nil"/>
              <w:left w:val="single" w:sz="2" w:space="0" w:color="auto"/>
              <w:bottom w:val="nil"/>
              <w:right w:val="single" w:sz="2" w:space="0" w:color="auto"/>
            </w:tcBorders>
          </w:tcPr>
          <w:p w14:paraId="10BC8356"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2B07348A" w14:textId="36CB0C73" w:rsidR="00F712CA" w:rsidRPr="004A5792" w:rsidRDefault="00F712CA" w:rsidP="00F712CA">
            <w:pPr>
              <w:spacing w:after="40"/>
              <w:rPr>
                <w:b/>
                <w:sz w:val="18"/>
                <w:szCs w:val="18"/>
              </w:rPr>
            </w:pPr>
            <w:r w:rsidRPr="004A5792">
              <w:rPr>
                <w:b/>
                <w:sz w:val="18"/>
                <w:szCs w:val="18"/>
              </w:rPr>
              <w:t xml:space="preserve">Material Accounting Policies Relating to Contingent Liabilities and </w:t>
            </w:r>
            <w:r w:rsidRPr="0007146C">
              <w:rPr>
                <w:b/>
                <w:sz w:val="18"/>
                <w:szCs w:val="18"/>
              </w:rPr>
              <w:t>Contingent Assets</w:t>
            </w:r>
            <w:r w:rsidR="00F9483B" w:rsidRPr="0007146C">
              <w:rPr>
                <w:b/>
                <w:sz w:val="18"/>
                <w:szCs w:val="18"/>
              </w:rPr>
              <w:t xml:space="preserve"> </w:t>
            </w:r>
            <w:r w:rsidR="00F9483B" w:rsidRPr="0007146C">
              <w:rPr>
                <w:b/>
                <w:color w:val="FF0000"/>
                <w:sz w:val="18"/>
                <w:szCs w:val="18"/>
              </w:rPr>
              <w:t>– Territorial</w:t>
            </w:r>
          </w:p>
        </w:tc>
      </w:tr>
      <w:tr w:rsidR="00F712CA" w:rsidRPr="00F712CA" w14:paraId="2844E60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6DFA5F0A"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391CFDE4" w14:textId="55452729" w:rsidR="00F712CA" w:rsidRPr="004A5792" w:rsidRDefault="00F712CA" w:rsidP="00650A6A">
            <w:pPr>
              <w:spacing w:after="120"/>
              <w:jc w:val="both"/>
              <w:rPr>
                <w:sz w:val="18"/>
                <w:szCs w:val="18"/>
              </w:rPr>
            </w:pPr>
            <w:r w:rsidRPr="004A5792">
              <w:rPr>
                <w:bCs/>
                <w:sz w:val="18"/>
                <w:szCs w:val="18"/>
              </w:rPr>
              <w:t xml:space="preserve">Contingent </w:t>
            </w:r>
            <w:r w:rsidR="00650A6A" w:rsidRPr="004A5792">
              <w:rPr>
                <w:bCs/>
                <w:sz w:val="18"/>
                <w:szCs w:val="18"/>
              </w:rPr>
              <w:t xml:space="preserve">liabilities </w:t>
            </w:r>
            <w:r w:rsidRPr="004A5792">
              <w:rPr>
                <w:bCs/>
                <w:sz w:val="18"/>
                <w:szCs w:val="18"/>
              </w:rPr>
              <w:t xml:space="preserve">and contingent </w:t>
            </w:r>
            <w:r w:rsidR="00650A6A" w:rsidRPr="004A5792">
              <w:rPr>
                <w:bCs/>
                <w:sz w:val="18"/>
                <w:szCs w:val="18"/>
              </w:rPr>
              <w:t xml:space="preserve">assets </w:t>
            </w:r>
            <w:r w:rsidRPr="004A5792">
              <w:rPr>
                <w:bCs/>
                <w:sz w:val="18"/>
                <w:szCs w:val="18"/>
              </w:rPr>
              <w:t xml:space="preserve">are not recognised in the </w:t>
            </w:r>
            <w:r w:rsidR="00650A6A" w:rsidRPr="004A5792">
              <w:rPr>
                <w:bCs/>
                <w:sz w:val="18"/>
                <w:szCs w:val="18"/>
              </w:rPr>
              <w:t>S</w:t>
            </w:r>
            <w:r w:rsidRPr="004A5792">
              <w:rPr>
                <w:bCs/>
                <w:sz w:val="18"/>
                <w:szCs w:val="18"/>
              </w:rPr>
              <w:t xml:space="preserve">tatement of </w:t>
            </w:r>
            <w:r w:rsidR="00650A6A" w:rsidRPr="004A5792">
              <w:rPr>
                <w:bCs/>
                <w:sz w:val="18"/>
                <w:szCs w:val="18"/>
              </w:rPr>
              <w:t xml:space="preserve">Assets and Liabilities on Behalf of the Territory </w:t>
            </w:r>
            <w:r w:rsidRPr="004A5792">
              <w:rPr>
                <w:bCs/>
                <w:sz w:val="18"/>
                <w:szCs w:val="18"/>
              </w:rPr>
              <w:t>due to the uncertainty regarding any possible amount or timing of any underlying claim or obligation.</w:t>
            </w:r>
            <w:r w:rsidR="00FA7C77">
              <w:rPr>
                <w:bCs/>
                <w:sz w:val="18"/>
                <w:szCs w:val="18"/>
              </w:rPr>
              <w:t xml:space="preserve"> </w:t>
            </w:r>
            <w:r w:rsidRPr="004A5792">
              <w:rPr>
                <w:bCs/>
                <w:sz w:val="18"/>
                <w:szCs w:val="18"/>
              </w:rPr>
              <w:t>Instead they are disclosed and, if quantifiable, the best estimate is disclosed.</w:t>
            </w:r>
          </w:p>
        </w:tc>
      </w:tr>
      <w:tr w:rsidR="00A963E5" w:rsidRPr="00F712CA" w14:paraId="75B20F9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84"/>
        </w:trPr>
        <w:tc>
          <w:tcPr>
            <w:tcW w:w="1560" w:type="dxa"/>
            <w:tcBorders>
              <w:top w:val="nil"/>
              <w:left w:val="single" w:sz="2" w:space="0" w:color="auto"/>
              <w:bottom w:val="nil"/>
              <w:right w:val="single" w:sz="2" w:space="0" w:color="auto"/>
            </w:tcBorders>
          </w:tcPr>
          <w:p w14:paraId="15259775" w14:textId="77777777" w:rsidR="00A963E5" w:rsidRPr="00855BC7" w:rsidRDefault="00A963E5" w:rsidP="00F712CA">
            <w:pPr>
              <w:rPr>
                <w:color w:val="7030A0"/>
                <w:sz w:val="18"/>
                <w:szCs w:val="18"/>
              </w:rPr>
            </w:pPr>
          </w:p>
        </w:tc>
        <w:tc>
          <w:tcPr>
            <w:tcW w:w="8788" w:type="dxa"/>
            <w:gridSpan w:val="3"/>
            <w:tcBorders>
              <w:top w:val="nil"/>
              <w:left w:val="single" w:sz="2" w:space="0" w:color="auto"/>
              <w:bottom w:val="nil"/>
              <w:right w:val="nil"/>
            </w:tcBorders>
          </w:tcPr>
          <w:p w14:paraId="5E301568" w14:textId="19A90739" w:rsidR="00A963E5" w:rsidRPr="004A5792" w:rsidRDefault="00A963E5" w:rsidP="00A963E5">
            <w:pPr>
              <w:spacing w:after="40"/>
              <w:jc w:val="both"/>
              <w:rPr>
                <w:b/>
                <w:sz w:val="18"/>
                <w:szCs w:val="18"/>
              </w:rPr>
            </w:pPr>
            <w:r w:rsidRPr="004A5792">
              <w:rPr>
                <w:b/>
                <w:sz w:val="18"/>
                <w:szCs w:val="18"/>
              </w:rPr>
              <w:t>Legal Claims</w:t>
            </w:r>
          </w:p>
        </w:tc>
      </w:tr>
      <w:tr w:rsidR="00F712CA" w:rsidRPr="00253798" w14:paraId="356EE5CD"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7D61262" w14:textId="77777777" w:rsidR="00F712CA" w:rsidRPr="00855BC7" w:rsidRDefault="00F712CA" w:rsidP="00F712CA">
            <w:pPr>
              <w:pStyle w:val="TableReference"/>
              <w:tabs>
                <w:tab w:val="left" w:pos="3306"/>
              </w:tabs>
              <w:rPr>
                <w:rFonts w:cs="Calibri"/>
                <w:color w:val="7030A0"/>
                <w:sz w:val="20"/>
                <w:szCs w:val="20"/>
              </w:rPr>
            </w:pPr>
          </w:p>
        </w:tc>
        <w:tc>
          <w:tcPr>
            <w:tcW w:w="8788" w:type="dxa"/>
            <w:gridSpan w:val="3"/>
            <w:tcBorders>
              <w:top w:val="nil"/>
              <w:left w:val="single" w:sz="2" w:space="0" w:color="auto"/>
              <w:bottom w:val="nil"/>
              <w:right w:val="nil"/>
            </w:tcBorders>
          </w:tcPr>
          <w:p w14:paraId="0A8BEF7B" w14:textId="68583825" w:rsidR="00F712CA" w:rsidRPr="004A5792" w:rsidRDefault="00F712CA" w:rsidP="00F712CA">
            <w:pPr>
              <w:pStyle w:val="CommentaryText"/>
              <w:spacing w:after="0"/>
              <w:rPr>
                <w:rFonts w:cs="Calibri"/>
                <w:sz w:val="18"/>
                <w:szCs w:val="18"/>
              </w:rPr>
            </w:pPr>
            <w:r w:rsidRPr="004A5792">
              <w:rPr>
                <w:rFonts w:cs="Calibri"/>
                <w:sz w:val="18"/>
                <w:szCs w:val="18"/>
              </w:rPr>
              <w:t>As at 30 June 202</w:t>
            </w:r>
            <w:r w:rsidR="004F7826">
              <w:rPr>
                <w:rFonts w:cs="Calibri"/>
                <w:sz w:val="18"/>
                <w:szCs w:val="18"/>
              </w:rPr>
              <w:t>3</w:t>
            </w:r>
            <w:r w:rsidRPr="004A5792">
              <w:rPr>
                <w:rFonts w:cs="Calibri"/>
                <w:sz w:val="18"/>
                <w:szCs w:val="18"/>
              </w:rPr>
              <w:t xml:space="preserve"> there were </w:t>
            </w:r>
            <w:r w:rsidR="0087202A">
              <w:rPr>
                <w:rFonts w:cs="Calibri"/>
                <w:sz w:val="18"/>
                <w:szCs w:val="18"/>
              </w:rPr>
              <w:t>74</w:t>
            </w:r>
            <w:r w:rsidRPr="004A5792">
              <w:rPr>
                <w:rFonts w:cs="Calibri"/>
                <w:sz w:val="18"/>
                <w:szCs w:val="18"/>
              </w:rPr>
              <w:t xml:space="preserve"> outstanding legal</w:t>
            </w:r>
            <w:r w:rsidR="00A963E5" w:rsidRPr="004A5792">
              <w:rPr>
                <w:rFonts w:cs="Calibri"/>
                <w:sz w:val="18"/>
                <w:szCs w:val="18"/>
              </w:rPr>
              <w:t xml:space="preserve"> claims</w:t>
            </w:r>
            <w:r w:rsidRPr="004A5792">
              <w:rPr>
                <w:rFonts w:cs="Calibri"/>
                <w:sz w:val="18"/>
                <w:szCs w:val="18"/>
              </w:rPr>
              <w:t xml:space="preserve"> against ‘</w:t>
            </w:r>
            <w:r w:rsidR="00347866" w:rsidRPr="004A5792">
              <w:rPr>
                <w:sz w:val="18"/>
                <w:szCs w:val="18"/>
              </w:rPr>
              <w:t xml:space="preserve">Burley Griffin </w:t>
            </w:r>
            <w:r w:rsidRPr="004A5792">
              <w:rPr>
                <w:rFonts w:cs="Calibri"/>
                <w:sz w:val="18"/>
                <w:szCs w:val="18"/>
              </w:rPr>
              <w:t>Agency’ involving members of the public disputing traffic and parking fines that they had been issued in the financial year.</w:t>
            </w:r>
            <w:r w:rsidR="00FA7C77">
              <w:rPr>
                <w:rFonts w:cs="Calibri"/>
                <w:sz w:val="18"/>
                <w:szCs w:val="18"/>
              </w:rPr>
              <w:t xml:space="preserve"> </w:t>
            </w:r>
            <w:r w:rsidRPr="004A5792">
              <w:rPr>
                <w:rFonts w:cs="Calibri"/>
                <w:sz w:val="18"/>
                <w:szCs w:val="18"/>
              </w:rPr>
              <w:t>The disputes were made on the basis that the recipient either did not believe they committed the offence or they are not liable for the offence.</w:t>
            </w:r>
            <w:r w:rsidR="00FA7C77">
              <w:rPr>
                <w:rFonts w:cs="Calibri"/>
                <w:sz w:val="18"/>
                <w:szCs w:val="18"/>
              </w:rPr>
              <w:t xml:space="preserve"> </w:t>
            </w:r>
            <w:r w:rsidRPr="004A5792">
              <w:rPr>
                <w:rFonts w:cs="Calibri"/>
                <w:sz w:val="18"/>
                <w:szCs w:val="18"/>
              </w:rPr>
              <w:t>‘</w:t>
            </w:r>
            <w:r w:rsidR="00836324" w:rsidRPr="004A5792">
              <w:rPr>
                <w:sz w:val="18"/>
                <w:szCs w:val="18"/>
              </w:rPr>
              <w:t>Burley Griffin</w:t>
            </w:r>
            <w:r w:rsidRPr="004A5792">
              <w:rPr>
                <w:rFonts w:cs="Calibri"/>
                <w:sz w:val="18"/>
                <w:szCs w:val="18"/>
              </w:rPr>
              <w:t xml:space="preserve"> Agency’ is potentially liable for $xxx (202</w:t>
            </w:r>
            <w:r w:rsidR="004F7826">
              <w:rPr>
                <w:rFonts w:cs="Calibri"/>
                <w:sz w:val="18"/>
                <w:szCs w:val="18"/>
              </w:rPr>
              <w:t>2</w:t>
            </w:r>
            <w:r w:rsidRPr="004A5792">
              <w:rPr>
                <w:rFonts w:cs="Calibri"/>
                <w:sz w:val="18"/>
                <w:szCs w:val="18"/>
              </w:rPr>
              <w:t xml:space="preserve"> </w:t>
            </w:r>
            <w:r w:rsidRPr="004A5792">
              <w:rPr>
                <w:rFonts w:cs="Calibri"/>
                <w:sz w:val="18"/>
                <w:szCs w:val="18"/>
              </w:rPr>
              <w:softHyphen/>
              <w:t>$xxx).</w:t>
            </w:r>
          </w:p>
        </w:tc>
      </w:tr>
      <w:tr w:rsidR="00F712CA" w:rsidRPr="00CF7E1B" w14:paraId="0589699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27617D87" w14:textId="6902A908" w:rsidR="00F712CA" w:rsidRPr="00855BC7" w:rsidRDefault="00F712CA" w:rsidP="00F712CA">
            <w:pPr>
              <w:pStyle w:val="TableReference"/>
              <w:tabs>
                <w:tab w:val="left" w:pos="3306"/>
              </w:tabs>
              <w:rPr>
                <w:rFonts w:cs="Calibri"/>
                <w:color w:val="7030A0"/>
                <w:sz w:val="14"/>
              </w:rPr>
            </w:pPr>
            <w:r w:rsidRPr="00855BC7">
              <w:rPr>
                <w:color w:val="7030A0"/>
              </w:rPr>
              <w:br w:type="page"/>
            </w:r>
          </w:p>
        </w:tc>
        <w:tc>
          <w:tcPr>
            <w:tcW w:w="8788" w:type="dxa"/>
            <w:gridSpan w:val="3"/>
            <w:tcBorders>
              <w:top w:val="nil"/>
              <w:left w:val="single" w:sz="2" w:space="0" w:color="auto"/>
              <w:bottom w:val="nil"/>
              <w:right w:val="nil"/>
            </w:tcBorders>
            <w:vAlign w:val="bottom"/>
          </w:tcPr>
          <w:p w14:paraId="62197424" w14:textId="407A9F42" w:rsidR="00F712CA" w:rsidRPr="004A5792" w:rsidRDefault="00F712CA" w:rsidP="00F712CA">
            <w:pPr>
              <w:pStyle w:val="Heading1"/>
              <w:numPr>
                <w:ilvl w:val="0"/>
                <w:numId w:val="0"/>
              </w:numPr>
            </w:pPr>
            <w:bookmarkStart w:id="1129" w:name="_Toc223433240"/>
            <w:bookmarkStart w:id="1130" w:name="_Toc400627390"/>
            <w:bookmarkStart w:id="1131" w:name="EventsAfterBalanceDate_Territorial"/>
            <w:bookmarkStart w:id="1132" w:name="_Toc132743859"/>
            <w:r w:rsidRPr="004A5792">
              <w:t xml:space="preserve">Note </w:t>
            </w:r>
            <w:r w:rsidR="000E2959" w:rsidRPr="004A5792">
              <w:t>5</w:t>
            </w:r>
            <w:r w:rsidR="00A05D1E">
              <w:t>6</w:t>
            </w:r>
            <w:r w:rsidRPr="004A5792">
              <w:t>.</w:t>
            </w:r>
            <w:r w:rsidR="00FA7C77">
              <w:t xml:space="preserve"> </w:t>
            </w:r>
            <w:r w:rsidRPr="004A5792">
              <w:t xml:space="preserve"> Events after the Reporting Period – Territorial</w:t>
            </w:r>
            <w:bookmarkEnd w:id="1129"/>
            <w:bookmarkEnd w:id="1130"/>
            <w:bookmarkEnd w:id="1131"/>
            <w:bookmarkEnd w:id="1132"/>
          </w:p>
        </w:tc>
      </w:tr>
      <w:tr w:rsidR="00F712CA" w:rsidRPr="00CF7E1B" w14:paraId="02B8DE86"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1562CF43" w14:textId="77777777" w:rsidR="00F712CA" w:rsidRPr="00855BC7" w:rsidRDefault="00F712CA" w:rsidP="00F712CA">
            <w:pPr>
              <w:pStyle w:val="TableReference"/>
              <w:tabs>
                <w:tab w:val="left" w:pos="3306"/>
              </w:tabs>
              <w:rPr>
                <w:color w:val="7030A0"/>
              </w:rPr>
            </w:pPr>
          </w:p>
        </w:tc>
        <w:tc>
          <w:tcPr>
            <w:tcW w:w="8788" w:type="dxa"/>
            <w:gridSpan w:val="3"/>
            <w:tcBorders>
              <w:top w:val="nil"/>
              <w:left w:val="single" w:sz="2" w:space="0" w:color="auto"/>
              <w:bottom w:val="nil"/>
              <w:right w:val="nil"/>
            </w:tcBorders>
          </w:tcPr>
          <w:p w14:paraId="0AB5FD08" w14:textId="7C776637" w:rsidR="00F712CA" w:rsidRPr="004A5792" w:rsidRDefault="00F712CA" w:rsidP="007156AA">
            <w:pPr>
              <w:spacing w:after="40"/>
              <w:rPr>
                <w:b/>
                <w:bCs/>
                <w:sz w:val="18"/>
                <w:szCs w:val="18"/>
              </w:rPr>
            </w:pPr>
            <w:r w:rsidRPr="004A5792">
              <w:rPr>
                <w:rFonts w:cs="Calibri"/>
                <w:b/>
                <w:bCs/>
                <w:sz w:val="18"/>
                <w:szCs w:val="18"/>
              </w:rPr>
              <w:t>Administrative Arrangement After the Reporting Period</w:t>
            </w:r>
          </w:p>
        </w:tc>
      </w:tr>
      <w:tr w:rsidR="00F712CA" w:rsidRPr="00CF7E1B" w14:paraId="44A2ABF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4E5AB65" w14:textId="299C6897" w:rsidR="00F712CA" w:rsidRPr="00855BC7" w:rsidRDefault="00F712CA" w:rsidP="00F712CA">
            <w:pPr>
              <w:pStyle w:val="TableReference"/>
              <w:tabs>
                <w:tab w:val="left" w:pos="3306"/>
              </w:tabs>
              <w:rPr>
                <w:rFonts w:cs="Calibri"/>
                <w:color w:val="7030A0"/>
                <w:sz w:val="14"/>
              </w:rPr>
            </w:pPr>
            <w:r w:rsidRPr="00855BC7">
              <w:rPr>
                <w:rFonts w:cs="Calibri"/>
                <w:color w:val="7030A0"/>
                <w:sz w:val="14"/>
              </w:rPr>
              <w:t>AASB 110.21(a)</w:t>
            </w:r>
          </w:p>
        </w:tc>
        <w:tc>
          <w:tcPr>
            <w:tcW w:w="8788" w:type="dxa"/>
            <w:gridSpan w:val="3"/>
            <w:tcBorders>
              <w:top w:val="nil"/>
              <w:left w:val="single" w:sz="2" w:space="0" w:color="auto"/>
              <w:bottom w:val="nil"/>
              <w:right w:val="nil"/>
            </w:tcBorders>
          </w:tcPr>
          <w:p w14:paraId="69ED0340" w14:textId="06F23032" w:rsidR="00F712CA" w:rsidRPr="004A5792" w:rsidRDefault="00F712CA" w:rsidP="007156AA">
            <w:pPr>
              <w:spacing w:after="120"/>
              <w:jc w:val="both"/>
              <w:rPr>
                <w:sz w:val="18"/>
                <w:szCs w:val="18"/>
              </w:rPr>
            </w:pPr>
            <w:r w:rsidRPr="004A5792">
              <w:rPr>
                <w:sz w:val="18"/>
                <w:szCs w:val="18"/>
              </w:rPr>
              <w:t>On 1 July 202</w:t>
            </w:r>
            <w:r w:rsidR="004F7826">
              <w:rPr>
                <w:sz w:val="18"/>
                <w:szCs w:val="18"/>
              </w:rPr>
              <w:t>3</w:t>
            </w:r>
            <w:r w:rsidRPr="004A5792">
              <w:rPr>
                <w:sz w:val="18"/>
                <w:szCs w:val="18"/>
              </w:rPr>
              <w:t>, the Executive approved an administrative arrangement that involved restructuring the Agency by moving its land and planning division to ‘Receiving Directorate’. The movement of the land and planning division was undertaken because the function was more closely aligned with the existing functions of ‘Receiving Directorate’.</w:t>
            </w:r>
            <w:r w:rsidR="00FA7C77">
              <w:rPr>
                <w:sz w:val="18"/>
                <w:szCs w:val="18"/>
              </w:rPr>
              <w:t xml:space="preserve"> </w:t>
            </w:r>
            <w:r w:rsidRPr="004A5792">
              <w:rPr>
                <w:sz w:val="18"/>
                <w:szCs w:val="18"/>
              </w:rPr>
              <w:t>The financial effect of the administrative arrangement is not reflected in the financial statements.</w:t>
            </w:r>
          </w:p>
        </w:tc>
      </w:tr>
      <w:tr w:rsidR="007156AA" w:rsidRPr="00CF7E1B" w14:paraId="7277D0CC"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2BF3903" w14:textId="231F7C17" w:rsidR="007156AA" w:rsidRPr="00855BC7" w:rsidRDefault="007156AA" w:rsidP="007156AA">
            <w:pPr>
              <w:pStyle w:val="TableReference"/>
              <w:tabs>
                <w:tab w:val="left" w:pos="3306"/>
              </w:tabs>
              <w:rPr>
                <w:rFonts w:cs="Calibri"/>
                <w:color w:val="7030A0"/>
                <w:sz w:val="14"/>
              </w:rPr>
            </w:pPr>
            <w:r w:rsidRPr="00855BC7">
              <w:rPr>
                <w:rFonts w:cs="Calibri"/>
                <w:color w:val="7030A0"/>
                <w:sz w:val="14"/>
              </w:rPr>
              <w:t>AASB 110.21(b)</w:t>
            </w:r>
          </w:p>
        </w:tc>
        <w:tc>
          <w:tcPr>
            <w:tcW w:w="8788" w:type="dxa"/>
            <w:gridSpan w:val="3"/>
            <w:tcBorders>
              <w:top w:val="nil"/>
              <w:left w:val="single" w:sz="2" w:space="0" w:color="auto"/>
              <w:bottom w:val="nil"/>
              <w:right w:val="nil"/>
            </w:tcBorders>
            <w:vAlign w:val="bottom"/>
          </w:tcPr>
          <w:p w14:paraId="6CFAF437" w14:textId="765EAF99" w:rsidR="007156AA" w:rsidRPr="004A5792" w:rsidRDefault="007156AA" w:rsidP="007156AA">
            <w:pPr>
              <w:spacing w:after="120"/>
              <w:jc w:val="both"/>
              <w:rPr>
                <w:sz w:val="18"/>
                <w:szCs w:val="18"/>
              </w:rPr>
            </w:pPr>
            <w:r w:rsidRPr="004A5792">
              <w:rPr>
                <w:rFonts w:cs="Calibri"/>
                <w:sz w:val="18"/>
                <w:szCs w:val="18"/>
              </w:rPr>
              <w:t xml:space="preserve">The total value of net assets transferred between the Agency and ‘Receiving Directorate’ after the reporting period was $xxx. </w:t>
            </w:r>
          </w:p>
        </w:tc>
      </w:tr>
      <w:tr w:rsidR="007156AA" w:rsidRPr="004E3FBE" w14:paraId="282E144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C3F1385" w14:textId="207B9DBB" w:rsidR="007156AA" w:rsidRPr="00855BC7" w:rsidRDefault="007156AA" w:rsidP="007156AA">
            <w:pPr>
              <w:pStyle w:val="TableReference"/>
              <w:tabs>
                <w:tab w:val="left" w:pos="3306"/>
              </w:tabs>
              <w:spacing w:before="240"/>
              <w:rPr>
                <w:rFonts w:cs="Calibri"/>
                <w:b/>
                <w:color w:val="7030A0"/>
                <w:sz w:val="20"/>
                <w:szCs w:val="20"/>
              </w:rPr>
            </w:pPr>
          </w:p>
        </w:tc>
        <w:tc>
          <w:tcPr>
            <w:tcW w:w="8788" w:type="dxa"/>
            <w:gridSpan w:val="3"/>
            <w:tcBorders>
              <w:top w:val="nil"/>
              <w:left w:val="single" w:sz="2" w:space="0" w:color="auto"/>
              <w:bottom w:val="nil"/>
              <w:right w:val="nil"/>
            </w:tcBorders>
            <w:shd w:val="clear" w:color="auto" w:fill="auto"/>
            <w:vAlign w:val="bottom"/>
          </w:tcPr>
          <w:p w14:paraId="6ADC802C" w14:textId="08D7E81C" w:rsidR="007156AA" w:rsidRPr="004A5792" w:rsidRDefault="007156AA" w:rsidP="007156AA">
            <w:pPr>
              <w:pStyle w:val="Heading1"/>
              <w:numPr>
                <w:ilvl w:val="0"/>
                <w:numId w:val="0"/>
              </w:numPr>
              <w:rPr>
                <w:rFonts w:cs="Calibri"/>
                <w:sz w:val="18"/>
              </w:rPr>
            </w:pPr>
            <w:bookmarkStart w:id="1133" w:name="_Toc132743860"/>
            <w:bookmarkStart w:id="1134" w:name="RelatedPartyDisclosureTerritorial"/>
            <w:r w:rsidRPr="004A5792">
              <w:t xml:space="preserve">Note </w:t>
            </w:r>
            <w:r w:rsidR="00FE5DDD" w:rsidRPr="004A5792">
              <w:t>5</w:t>
            </w:r>
            <w:r w:rsidR="00A05D1E">
              <w:t>7</w:t>
            </w:r>
            <w:r w:rsidRPr="004A5792">
              <w:t>.</w:t>
            </w:r>
            <w:r w:rsidR="00FA7C77">
              <w:t xml:space="preserve"> </w:t>
            </w:r>
            <w:r w:rsidRPr="004A5792">
              <w:t xml:space="preserve"> Related Party Disclosures – Territorial</w:t>
            </w:r>
            <w:bookmarkEnd w:id="1133"/>
            <w:r w:rsidR="00FA7C77">
              <w:t xml:space="preserve"> </w:t>
            </w:r>
            <w:bookmarkEnd w:id="1134"/>
          </w:p>
        </w:tc>
      </w:tr>
      <w:tr w:rsidR="007156AA" w:rsidRPr="004E3FBE" w14:paraId="144F53E3"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ACD41EA" w14:textId="77777777" w:rsidR="007156AA" w:rsidRPr="00855BC7" w:rsidRDefault="007156AA" w:rsidP="007156AA">
            <w:pPr>
              <w:pStyle w:val="TableReference"/>
              <w:tabs>
                <w:tab w:val="left" w:pos="3306"/>
              </w:tabs>
              <w:spacing w:before="40"/>
              <w:rPr>
                <w:rFonts w:cs="Calibri"/>
                <w:b/>
                <w:color w:val="7030A0"/>
                <w:sz w:val="20"/>
                <w:szCs w:val="20"/>
              </w:rPr>
            </w:pPr>
          </w:p>
        </w:tc>
        <w:tc>
          <w:tcPr>
            <w:tcW w:w="8788" w:type="dxa"/>
            <w:gridSpan w:val="3"/>
            <w:tcBorders>
              <w:top w:val="nil"/>
              <w:left w:val="single" w:sz="2" w:space="0" w:color="auto"/>
              <w:bottom w:val="nil"/>
              <w:right w:val="nil"/>
            </w:tcBorders>
            <w:shd w:val="clear" w:color="auto" w:fill="auto"/>
            <w:vAlign w:val="bottom"/>
          </w:tcPr>
          <w:p w14:paraId="7F66581D" w14:textId="0B606CB7" w:rsidR="007156AA" w:rsidRPr="004A5792" w:rsidRDefault="007156AA" w:rsidP="007156AA">
            <w:pPr>
              <w:spacing w:before="120" w:after="120"/>
              <w:jc w:val="both"/>
              <w:rPr>
                <w:rFonts w:cs="Calibri"/>
                <w:sz w:val="18"/>
                <w:szCs w:val="18"/>
              </w:rPr>
            </w:pPr>
            <w:r w:rsidRPr="004A5792">
              <w:rPr>
                <w:rFonts w:cs="Calibri"/>
                <w:sz w:val="18"/>
                <w:szCs w:val="18"/>
              </w:rPr>
              <w:t>Refer to Note 3</w:t>
            </w:r>
            <w:r w:rsidR="0057601E" w:rsidRPr="004A5792">
              <w:rPr>
                <w:rFonts w:cs="Calibri"/>
                <w:sz w:val="18"/>
                <w:szCs w:val="18"/>
              </w:rPr>
              <w:t>8</w:t>
            </w:r>
            <w:r w:rsidRPr="004A5792">
              <w:rPr>
                <w:rFonts w:cs="Calibri"/>
                <w:sz w:val="18"/>
                <w:szCs w:val="18"/>
              </w:rPr>
              <w:t xml:space="preserve"> </w:t>
            </w:r>
            <w:r w:rsidRPr="004A5792">
              <w:rPr>
                <w:rFonts w:cs="Calibri"/>
                <w:i/>
                <w:iCs/>
                <w:sz w:val="18"/>
                <w:szCs w:val="18"/>
              </w:rPr>
              <w:t>Related Party Disclosures</w:t>
            </w:r>
            <w:r w:rsidRPr="004A5792">
              <w:rPr>
                <w:rFonts w:cs="Calibri"/>
                <w:sz w:val="18"/>
                <w:szCs w:val="18"/>
              </w:rPr>
              <w:t xml:space="preserve"> for disclosures relating to related parties of ‘</w:t>
            </w:r>
            <w:r w:rsidRPr="004A5792">
              <w:rPr>
                <w:sz w:val="18"/>
                <w:szCs w:val="18"/>
              </w:rPr>
              <w:t xml:space="preserve">Burley Griffin </w:t>
            </w:r>
            <w:r w:rsidRPr="004A5792">
              <w:rPr>
                <w:rFonts w:cs="Calibri"/>
                <w:sz w:val="18"/>
                <w:szCs w:val="18"/>
              </w:rPr>
              <w:t xml:space="preserve">Agency’. </w:t>
            </w:r>
          </w:p>
        </w:tc>
      </w:tr>
      <w:tr w:rsidR="00CA7ECC" w:rsidRPr="00976DE1" w14:paraId="47D3C19F" w14:textId="77777777" w:rsidTr="00F9483B">
        <w:trPr>
          <w:gridAfter w:val="1"/>
          <w:wAfter w:w="142" w:type="dxa"/>
          <w:trHeight w:val="23"/>
        </w:trPr>
        <w:tc>
          <w:tcPr>
            <w:tcW w:w="1560" w:type="dxa"/>
            <w:tcBorders>
              <w:left w:val="single" w:sz="2" w:space="0" w:color="auto"/>
              <w:right w:val="single" w:sz="2" w:space="0" w:color="auto"/>
            </w:tcBorders>
          </w:tcPr>
          <w:p w14:paraId="2E16C863" w14:textId="39C44EBC" w:rsidR="00CA7ECC" w:rsidRPr="00D51EF3" w:rsidRDefault="00CA7ECC" w:rsidP="007156AA">
            <w:pPr>
              <w:pStyle w:val="TableReference"/>
              <w:tabs>
                <w:tab w:val="left" w:pos="3306"/>
              </w:tabs>
              <w:spacing w:before="240" w:after="240"/>
              <w:rPr>
                <w:rFonts w:cs="Calibri"/>
                <w:b/>
                <w:color w:val="7030A0"/>
                <w:sz w:val="22"/>
                <w:szCs w:val="22"/>
              </w:rPr>
            </w:pPr>
          </w:p>
        </w:tc>
        <w:tc>
          <w:tcPr>
            <w:tcW w:w="8788" w:type="dxa"/>
            <w:gridSpan w:val="3"/>
            <w:tcBorders>
              <w:left w:val="single" w:sz="2" w:space="0" w:color="auto"/>
            </w:tcBorders>
            <w:shd w:val="clear" w:color="auto" w:fill="auto"/>
            <w:vAlign w:val="bottom"/>
          </w:tcPr>
          <w:p w14:paraId="3B124AFE" w14:textId="227AEBCA" w:rsidR="00CA7ECC" w:rsidRPr="00E30AE6" w:rsidRDefault="00CA7ECC" w:rsidP="009A0F2F">
            <w:pPr>
              <w:pStyle w:val="Heading1"/>
              <w:numPr>
                <w:ilvl w:val="0"/>
                <w:numId w:val="0"/>
              </w:numPr>
              <w:ind w:left="1134" w:hanging="1134"/>
            </w:pPr>
            <w:bookmarkStart w:id="1135" w:name="_Toc132743861"/>
            <w:r w:rsidRPr="00E30AE6">
              <w:t xml:space="preserve">Note </w:t>
            </w:r>
            <w:r w:rsidR="0057601E" w:rsidRPr="00E30AE6">
              <w:t>5</w:t>
            </w:r>
            <w:r w:rsidR="00A05D1E">
              <w:t>8</w:t>
            </w:r>
            <w:r w:rsidRPr="00E30AE6">
              <w:t>.</w:t>
            </w:r>
            <w:r w:rsidR="00FA7C77">
              <w:t xml:space="preserve"> </w:t>
            </w:r>
            <w:r w:rsidRPr="00E30AE6">
              <w:t xml:space="preserve"> Budgetary Reporting – Territorial</w:t>
            </w:r>
            <w:bookmarkEnd w:id="1135"/>
          </w:p>
        </w:tc>
      </w:tr>
      <w:tr w:rsidR="00CA7ECC" w:rsidRPr="00965CC0" w14:paraId="7EF203C7" w14:textId="77777777" w:rsidTr="00F9483B">
        <w:trPr>
          <w:gridAfter w:val="1"/>
          <w:wAfter w:w="142" w:type="dxa"/>
          <w:trHeight w:val="273"/>
        </w:trPr>
        <w:tc>
          <w:tcPr>
            <w:tcW w:w="1560" w:type="dxa"/>
            <w:tcBorders>
              <w:left w:val="single" w:sz="2" w:space="0" w:color="auto"/>
              <w:right w:val="single" w:sz="2" w:space="0" w:color="auto"/>
            </w:tcBorders>
          </w:tcPr>
          <w:p w14:paraId="21B7D851" w14:textId="77777777" w:rsidR="00CA7ECC" w:rsidRPr="00D51EF3" w:rsidRDefault="00CA7ECC" w:rsidP="009A0F2F">
            <w:pPr>
              <w:pStyle w:val="TableReference"/>
              <w:tabs>
                <w:tab w:val="left" w:pos="3306"/>
              </w:tabs>
              <w:rPr>
                <w:rFonts w:cs="Calibri"/>
                <w:color w:val="7030A0"/>
                <w:sz w:val="14"/>
              </w:rPr>
            </w:pPr>
          </w:p>
        </w:tc>
        <w:tc>
          <w:tcPr>
            <w:tcW w:w="8788" w:type="dxa"/>
            <w:gridSpan w:val="3"/>
            <w:tcBorders>
              <w:left w:val="single" w:sz="2" w:space="0" w:color="auto"/>
            </w:tcBorders>
            <w:shd w:val="clear" w:color="auto" w:fill="auto"/>
          </w:tcPr>
          <w:p w14:paraId="24F24FF4" w14:textId="7DEC96B6" w:rsidR="00CA7ECC" w:rsidRPr="00E30AE6" w:rsidRDefault="00CA7ECC" w:rsidP="009A0F2F">
            <w:pPr>
              <w:autoSpaceDE w:val="0"/>
              <w:autoSpaceDN w:val="0"/>
              <w:adjustRightInd w:val="0"/>
              <w:rPr>
                <w:b/>
                <w:bCs/>
                <w:sz w:val="20"/>
                <w:szCs w:val="20"/>
              </w:rPr>
            </w:pPr>
            <w:r w:rsidRPr="00E30AE6">
              <w:rPr>
                <w:b/>
                <w:bCs/>
                <w:sz w:val="18"/>
                <w:szCs w:val="18"/>
              </w:rPr>
              <w:t>Significant Accounting Judgements and Estimates – Budgetary Reporting</w:t>
            </w:r>
            <w:r w:rsidR="007156AA" w:rsidRPr="00E30AE6">
              <w:rPr>
                <w:b/>
                <w:bCs/>
                <w:sz w:val="18"/>
                <w:szCs w:val="18"/>
              </w:rPr>
              <w:t xml:space="preserve"> </w:t>
            </w:r>
            <w:r w:rsidR="006B468D">
              <w:rPr>
                <w:b/>
                <w:bCs/>
                <w:sz w:val="18"/>
                <w:szCs w:val="18"/>
              </w:rPr>
              <w:t>–</w:t>
            </w:r>
            <w:r w:rsidR="007156AA" w:rsidRPr="00E30AE6">
              <w:rPr>
                <w:b/>
                <w:bCs/>
                <w:sz w:val="18"/>
                <w:szCs w:val="18"/>
              </w:rPr>
              <w:t xml:space="preserve"> Territ</w:t>
            </w:r>
            <w:r w:rsidR="00E7716B" w:rsidRPr="00E30AE6">
              <w:rPr>
                <w:b/>
                <w:bCs/>
                <w:sz w:val="18"/>
                <w:szCs w:val="18"/>
              </w:rPr>
              <w:t>orial</w:t>
            </w:r>
            <w:r w:rsidR="006B468D">
              <w:rPr>
                <w:b/>
                <w:bCs/>
                <w:sz w:val="18"/>
                <w:szCs w:val="18"/>
              </w:rPr>
              <w:t xml:space="preserve"> </w:t>
            </w:r>
          </w:p>
        </w:tc>
      </w:tr>
      <w:tr w:rsidR="00CA7ECC" w:rsidRPr="003330AF" w14:paraId="780A3F2B" w14:textId="77777777" w:rsidTr="00F9483B">
        <w:trPr>
          <w:gridAfter w:val="1"/>
          <w:wAfter w:w="142" w:type="dxa"/>
          <w:trHeight w:val="404"/>
        </w:trPr>
        <w:tc>
          <w:tcPr>
            <w:tcW w:w="1560" w:type="dxa"/>
            <w:tcBorders>
              <w:left w:val="single" w:sz="2" w:space="0" w:color="auto"/>
              <w:right w:val="single" w:sz="2" w:space="0" w:color="auto"/>
            </w:tcBorders>
          </w:tcPr>
          <w:p w14:paraId="2587D5B7"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shd w:val="clear" w:color="auto" w:fill="auto"/>
          </w:tcPr>
          <w:p w14:paraId="671EA106" w14:textId="77777777" w:rsidR="00CA7ECC" w:rsidRPr="00E30AE6" w:rsidRDefault="00CA7ECC" w:rsidP="0054645F">
            <w:pPr>
              <w:spacing w:before="40"/>
              <w:jc w:val="both"/>
              <w:rPr>
                <w:sz w:val="18"/>
                <w:szCs w:val="18"/>
              </w:rPr>
            </w:pPr>
            <w:r w:rsidRPr="00E30AE6">
              <w:rPr>
                <w:sz w:val="18"/>
                <w:szCs w:val="18"/>
              </w:rPr>
              <w:t>Significant judgements have been applied in determining what variances are considered ‘major variances’. Variances are considered major if both of the following criteria are met:</w:t>
            </w:r>
          </w:p>
          <w:p w14:paraId="1D145154" w14:textId="297C991D" w:rsidR="00CA7ECC" w:rsidRPr="00E30AE6" w:rsidRDefault="00CA7ECC" w:rsidP="00CB31DE">
            <w:pPr>
              <w:numPr>
                <w:ilvl w:val="0"/>
                <w:numId w:val="41"/>
              </w:numPr>
              <w:spacing w:before="40"/>
              <w:ind w:left="596" w:hanging="284"/>
              <w:jc w:val="both"/>
              <w:rPr>
                <w:sz w:val="18"/>
                <w:szCs w:val="18"/>
              </w:rPr>
            </w:pPr>
            <w:r w:rsidRPr="00E30AE6">
              <w:rPr>
                <w:sz w:val="18"/>
                <w:szCs w:val="18"/>
              </w:rPr>
              <w:t xml:space="preserve">The line item is a significant line item: where either the line item actual amount accounts for </w:t>
            </w:r>
            <w:r w:rsidRPr="00E30AE6">
              <w:rPr>
                <w:sz w:val="18"/>
                <w:szCs w:val="18"/>
                <w:u w:val="single"/>
              </w:rPr>
              <w:t>more than</w:t>
            </w:r>
            <w:r w:rsidRPr="00E30AE6">
              <w:rPr>
                <w:sz w:val="18"/>
                <w:szCs w:val="18"/>
              </w:rPr>
              <w:t xml:space="preserve"> 10% of the relevant associated actual category amount (Income, Expenses, Assets, </w:t>
            </w:r>
            <w:r w:rsidR="003173AE">
              <w:rPr>
                <w:sz w:val="18"/>
                <w:szCs w:val="18"/>
              </w:rPr>
              <w:t>L</w:t>
            </w:r>
            <w:r w:rsidRPr="00E30AE6">
              <w:rPr>
                <w:sz w:val="18"/>
                <w:szCs w:val="18"/>
              </w:rPr>
              <w:t xml:space="preserve">iabilities and Equity totals) or </w:t>
            </w:r>
            <w:r w:rsidRPr="00E30AE6">
              <w:rPr>
                <w:sz w:val="18"/>
                <w:szCs w:val="18"/>
                <w:u w:val="single"/>
              </w:rPr>
              <w:t>more than</w:t>
            </w:r>
            <w:r w:rsidRPr="00E30AE6">
              <w:rPr>
                <w:sz w:val="18"/>
                <w:szCs w:val="18"/>
              </w:rPr>
              <w:t xml:space="preserve"> 10% of the sub-element (e.g. Current Liabilities and Receipts from Operating Activities totals) of the financial statements; and</w:t>
            </w:r>
          </w:p>
          <w:p w14:paraId="2F80B771" w14:textId="7F674D61" w:rsidR="00CA7ECC" w:rsidRPr="00E30AE6" w:rsidRDefault="00CA7ECC" w:rsidP="00CB31DE">
            <w:pPr>
              <w:numPr>
                <w:ilvl w:val="0"/>
                <w:numId w:val="41"/>
              </w:numPr>
              <w:spacing w:after="120"/>
              <w:ind w:left="596" w:hanging="284"/>
              <w:jc w:val="both"/>
              <w:rPr>
                <w:sz w:val="18"/>
                <w:szCs w:val="18"/>
              </w:rPr>
            </w:pPr>
            <w:r w:rsidRPr="00E30AE6">
              <w:rPr>
                <w:sz w:val="18"/>
                <w:szCs w:val="18"/>
              </w:rPr>
              <w:t xml:space="preserve">The variances (original budget to actual) are greater than plus (+) or minus (-) </w:t>
            </w:r>
            <w:r w:rsidR="008C0EB6" w:rsidRPr="00E30AE6">
              <w:rPr>
                <w:sz w:val="18"/>
                <w:szCs w:val="18"/>
              </w:rPr>
              <w:t>10</w:t>
            </w:r>
            <w:r w:rsidRPr="00E30AE6">
              <w:rPr>
                <w:sz w:val="18"/>
                <w:szCs w:val="18"/>
              </w:rPr>
              <w:t>% and $15 million for the financial statement line item.</w:t>
            </w:r>
            <w:r w:rsidR="00C35059" w:rsidRPr="00E30AE6">
              <w:rPr>
                <w:sz w:val="18"/>
                <w:szCs w:val="18"/>
              </w:rPr>
              <w:t xml:space="preserve"> </w:t>
            </w:r>
            <w:r w:rsidRPr="00E30AE6">
              <w:rPr>
                <w:sz w:val="18"/>
                <w:szCs w:val="18"/>
              </w:rPr>
              <w:t>[</w:t>
            </w:r>
            <w:r w:rsidRPr="002D37D5">
              <w:rPr>
                <w:strike/>
                <w:color w:val="FF0000"/>
                <w:sz w:val="18"/>
                <w:szCs w:val="18"/>
              </w:rPr>
              <w:t>Please</w:t>
            </w:r>
            <w:r w:rsidRPr="002D37D5">
              <w:rPr>
                <w:sz w:val="18"/>
                <w:szCs w:val="18"/>
              </w:rPr>
              <w:t xml:space="preserve"> </w:t>
            </w:r>
            <w:r w:rsidR="00D96A68" w:rsidRPr="002D37D5">
              <w:rPr>
                <w:sz w:val="18"/>
                <w:szCs w:val="18"/>
              </w:rPr>
              <w:t>S</w:t>
            </w:r>
            <w:r w:rsidRPr="002D37D5">
              <w:rPr>
                <w:sz w:val="18"/>
                <w:szCs w:val="18"/>
              </w:rPr>
              <w:t>ee Comm</w:t>
            </w:r>
            <w:r w:rsidR="00771A18" w:rsidRPr="002D37D5">
              <w:rPr>
                <w:sz w:val="18"/>
                <w:szCs w:val="18"/>
              </w:rPr>
              <w:t>ent</w:t>
            </w:r>
            <w:r w:rsidRPr="002D37D5">
              <w:rPr>
                <w:sz w:val="18"/>
                <w:szCs w:val="18"/>
              </w:rPr>
              <w:t xml:space="preserve">ary </w:t>
            </w:r>
            <w:r w:rsidR="00771A18" w:rsidRPr="002D37D5">
              <w:rPr>
                <w:sz w:val="18"/>
                <w:szCs w:val="18"/>
              </w:rPr>
              <w:t xml:space="preserve">in Note </w:t>
            </w:r>
            <w:r w:rsidR="008F75D1" w:rsidRPr="002D37D5">
              <w:rPr>
                <w:color w:val="FF0000"/>
                <w:sz w:val="18"/>
                <w:szCs w:val="18"/>
              </w:rPr>
              <w:t>40</w:t>
            </w:r>
            <w:r w:rsidR="0057601E" w:rsidRPr="002D37D5">
              <w:rPr>
                <w:strike/>
                <w:color w:val="FF0000"/>
                <w:sz w:val="18"/>
                <w:szCs w:val="18"/>
              </w:rPr>
              <w:t>39</w:t>
            </w:r>
            <w:r w:rsidR="00771A18" w:rsidRPr="002D37D5">
              <w:rPr>
                <w:sz w:val="18"/>
                <w:szCs w:val="18"/>
              </w:rPr>
              <w:t xml:space="preserve"> </w:t>
            </w:r>
            <w:r w:rsidRPr="002D37D5">
              <w:rPr>
                <w:sz w:val="18"/>
                <w:szCs w:val="18"/>
              </w:rPr>
              <w:t>for</w:t>
            </w:r>
            <w:r w:rsidRPr="00E30AE6">
              <w:rPr>
                <w:sz w:val="18"/>
                <w:szCs w:val="18"/>
              </w:rPr>
              <w:t xml:space="preserve"> </w:t>
            </w:r>
            <w:r w:rsidR="006222F7" w:rsidRPr="00E30AE6">
              <w:rPr>
                <w:sz w:val="18"/>
                <w:szCs w:val="18"/>
              </w:rPr>
              <w:t>thresholds</w:t>
            </w:r>
            <w:r w:rsidRPr="00E30AE6">
              <w:rPr>
                <w:sz w:val="18"/>
                <w:szCs w:val="18"/>
              </w:rPr>
              <w:t xml:space="preserve"> for Small Agencies.]</w:t>
            </w:r>
          </w:p>
        </w:tc>
      </w:tr>
      <w:tr w:rsidR="00CA7ECC" w:rsidRPr="00081F11" w14:paraId="5D37E17B" w14:textId="77777777" w:rsidTr="00F9483B">
        <w:trPr>
          <w:gridAfter w:val="1"/>
          <w:wAfter w:w="142" w:type="dxa"/>
          <w:trHeight w:val="404"/>
        </w:trPr>
        <w:tc>
          <w:tcPr>
            <w:tcW w:w="1560" w:type="dxa"/>
            <w:tcBorders>
              <w:left w:val="single" w:sz="2" w:space="0" w:color="auto"/>
              <w:right w:val="single" w:sz="2" w:space="0" w:color="auto"/>
            </w:tcBorders>
          </w:tcPr>
          <w:p w14:paraId="3C263BA6"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shd w:val="clear" w:color="auto" w:fill="auto"/>
          </w:tcPr>
          <w:p w14:paraId="21CB1FDB" w14:textId="02535C52" w:rsidR="00CA7ECC" w:rsidRPr="00E30AE6" w:rsidRDefault="00CA7ECC" w:rsidP="009A0F2F">
            <w:pPr>
              <w:spacing w:after="120"/>
              <w:jc w:val="both"/>
              <w:rPr>
                <w:sz w:val="18"/>
                <w:szCs w:val="18"/>
              </w:rPr>
            </w:pPr>
            <w:r w:rsidRPr="00E30AE6">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E30AE6">
              <w:rPr>
                <w:sz w:val="18"/>
                <w:szCs w:val="18"/>
              </w:rPr>
              <w:t>These amounts have not been adjusted to reflect supplementary appropriation or appropriation instruments.</w:t>
            </w:r>
          </w:p>
          <w:p w14:paraId="0891D227" w14:textId="521AFB8A" w:rsidR="00CA7ECC" w:rsidRPr="00E30AE6" w:rsidRDefault="00CA7ECC" w:rsidP="009A0F2F">
            <w:pPr>
              <w:rPr>
                <w:sz w:val="18"/>
                <w:szCs w:val="18"/>
              </w:rPr>
            </w:pPr>
            <w:r w:rsidRPr="0007146C">
              <w:rPr>
                <w:sz w:val="18"/>
                <w:szCs w:val="18"/>
              </w:rPr>
              <w:t xml:space="preserve">Note: </w:t>
            </w:r>
            <w:r w:rsidRPr="0007146C">
              <w:rPr>
                <w:strike/>
                <w:color w:val="FF0000"/>
                <w:sz w:val="18"/>
                <w:szCs w:val="18"/>
              </w:rPr>
              <w:t>#</w:t>
            </w:r>
            <w:r w:rsidR="00077947" w:rsidRPr="0007146C">
              <w:rPr>
                <w:color w:val="FF0000"/>
                <w:sz w:val="18"/>
                <w:szCs w:val="18"/>
              </w:rPr>
              <w:t>^</w:t>
            </w:r>
            <w:r w:rsidRPr="0007146C">
              <w:rPr>
                <w:sz w:val="18"/>
                <w:szCs w:val="18"/>
              </w:rPr>
              <w:t xml:space="preserve"> in the</w:t>
            </w:r>
            <w:r w:rsidRPr="00E30AE6">
              <w:rPr>
                <w:sz w:val="18"/>
                <w:szCs w:val="18"/>
              </w:rPr>
              <w:t xml:space="preserve"> Line Item Variance % column represents a variance that is greater than 999 per cent or less than -999 per cent.</w:t>
            </w:r>
          </w:p>
        </w:tc>
      </w:tr>
    </w:tbl>
    <w:p w14:paraId="64316B78" w14:textId="77777777" w:rsidR="006B468D" w:rsidRDefault="006B468D">
      <w:r>
        <w:br w:type="page"/>
      </w:r>
    </w:p>
    <w:tbl>
      <w:tblPr>
        <w:tblW w:w="5656" w:type="pct"/>
        <w:tblInd w:w="-712" w:type="dxa"/>
        <w:tblLayout w:type="fixed"/>
        <w:tblLook w:val="00A0" w:firstRow="1" w:lastRow="0" w:firstColumn="1" w:lastColumn="0" w:noHBand="0" w:noVBand="0"/>
      </w:tblPr>
      <w:tblGrid>
        <w:gridCol w:w="1560"/>
        <w:gridCol w:w="3726"/>
        <w:gridCol w:w="6"/>
        <w:gridCol w:w="836"/>
        <w:gridCol w:w="393"/>
        <w:gridCol w:w="709"/>
        <w:gridCol w:w="992"/>
        <w:gridCol w:w="992"/>
        <w:gridCol w:w="993"/>
      </w:tblGrid>
      <w:tr w:rsidR="004A5792" w:rsidRPr="00976DE1" w14:paraId="74A88A97" w14:textId="77777777" w:rsidTr="00307227">
        <w:trPr>
          <w:cantSplit/>
          <w:trHeight w:val="23"/>
        </w:trPr>
        <w:tc>
          <w:tcPr>
            <w:tcW w:w="1560" w:type="dxa"/>
            <w:tcBorders>
              <w:left w:val="single" w:sz="2" w:space="0" w:color="auto"/>
              <w:right w:val="single" w:sz="2" w:space="0" w:color="auto"/>
            </w:tcBorders>
          </w:tcPr>
          <w:p w14:paraId="14C8F977" w14:textId="785EB422" w:rsidR="004A5792" w:rsidRPr="00D51EF3" w:rsidRDefault="004A5792" w:rsidP="009A0F2F">
            <w:pPr>
              <w:pStyle w:val="TableReference"/>
              <w:tabs>
                <w:tab w:val="left" w:pos="3306"/>
              </w:tabs>
              <w:spacing w:before="240" w:after="240"/>
              <w:rPr>
                <w:rFonts w:cs="Calibri"/>
                <w:b/>
                <w:color w:val="7030A0"/>
                <w:sz w:val="22"/>
                <w:szCs w:val="22"/>
              </w:rPr>
            </w:pPr>
            <w:r w:rsidRPr="00D51EF3">
              <w:rPr>
                <w:rFonts w:cs="Calibri"/>
                <w:b/>
                <w:color w:val="7030A0"/>
                <w:sz w:val="22"/>
                <w:szCs w:val="22"/>
              </w:rPr>
              <w:t>Reference</w:t>
            </w:r>
          </w:p>
        </w:tc>
        <w:tc>
          <w:tcPr>
            <w:tcW w:w="8647" w:type="dxa"/>
            <w:gridSpan w:val="8"/>
            <w:tcBorders>
              <w:left w:val="single" w:sz="2" w:space="0" w:color="auto"/>
            </w:tcBorders>
            <w:shd w:val="clear" w:color="auto" w:fill="auto"/>
            <w:vAlign w:val="bottom"/>
          </w:tcPr>
          <w:p w14:paraId="7D16F456" w14:textId="7D8DF4BD" w:rsidR="004A5792" w:rsidRPr="00E30AE6" w:rsidRDefault="004A5792" w:rsidP="006B468D">
            <w:pPr>
              <w:pStyle w:val="Heading1"/>
              <w:numPr>
                <w:ilvl w:val="0"/>
                <w:numId w:val="0"/>
              </w:numPr>
              <w:ind w:left="37" w:hanging="37"/>
            </w:pPr>
            <w:bookmarkStart w:id="1136" w:name="_Toc98763217"/>
            <w:bookmarkStart w:id="1137" w:name="_Toc127733912"/>
            <w:bookmarkStart w:id="1138" w:name="_Toc131164563"/>
            <w:bookmarkStart w:id="1139" w:name="_Toc131591828"/>
            <w:bookmarkStart w:id="1140" w:name="_Toc132743862"/>
            <w:r w:rsidRPr="00E30AE6">
              <w:t>Note 5</w:t>
            </w:r>
            <w:r w:rsidR="00A05D1E">
              <w:t>8</w:t>
            </w:r>
            <w:r w:rsidRPr="00E30AE6">
              <w:t>.</w:t>
            </w:r>
            <w:r w:rsidR="00FA7C77">
              <w:t xml:space="preserve"> </w:t>
            </w:r>
            <w:r w:rsidRPr="00E30AE6">
              <w:t xml:space="preserve"> Budgetary Reporting – Territorial</w:t>
            </w:r>
            <w:r w:rsidR="00A05D1E">
              <w:t xml:space="preserve"> </w:t>
            </w:r>
            <w:r w:rsidR="006B468D">
              <w:t>–</w:t>
            </w:r>
            <w:r w:rsidR="00A05D1E">
              <w:t>Continued</w:t>
            </w:r>
            <w:bookmarkEnd w:id="1136"/>
            <w:bookmarkEnd w:id="1137"/>
            <w:bookmarkEnd w:id="1138"/>
            <w:bookmarkEnd w:id="1139"/>
            <w:bookmarkEnd w:id="1140"/>
            <w:r w:rsidR="006B468D">
              <w:t xml:space="preserve"> </w:t>
            </w:r>
          </w:p>
        </w:tc>
      </w:tr>
      <w:tr w:rsidR="00CA7ECC" w:rsidRPr="004A1188" w14:paraId="20D0A0EF" w14:textId="77777777" w:rsidTr="00307227">
        <w:trPr>
          <w:cantSplit/>
          <w:trHeight w:val="45"/>
        </w:trPr>
        <w:tc>
          <w:tcPr>
            <w:tcW w:w="1560" w:type="dxa"/>
            <w:tcBorders>
              <w:left w:val="single" w:sz="2" w:space="0" w:color="auto"/>
              <w:right w:val="single" w:sz="2" w:space="0" w:color="auto"/>
            </w:tcBorders>
          </w:tcPr>
          <w:p w14:paraId="43D2182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6DF67726" w14:textId="77777777" w:rsidR="00CA7ECC" w:rsidRPr="00E30AE6" w:rsidRDefault="00CA7ECC" w:rsidP="009A0F2F">
            <w:pPr>
              <w:jc w:val="both"/>
              <w:rPr>
                <w:sz w:val="18"/>
                <w:szCs w:val="18"/>
              </w:rPr>
            </w:pPr>
          </w:p>
        </w:tc>
        <w:tc>
          <w:tcPr>
            <w:tcW w:w="1235" w:type="dxa"/>
            <w:gridSpan w:val="3"/>
            <w:vAlign w:val="bottom"/>
          </w:tcPr>
          <w:p w14:paraId="484409DB" w14:textId="3AF9312A" w:rsidR="00CA7ECC" w:rsidRPr="00E30AE6" w:rsidRDefault="00CA7ECC" w:rsidP="000B6F20">
            <w:pPr>
              <w:jc w:val="center"/>
              <w:rPr>
                <w:b/>
                <w:bCs/>
                <w:sz w:val="18"/>
                <w:szCs w:val="18"/>
                <w:lang w:eastAsia="en-AU"/>
              </w:rPr>
            </w:pPr>
            <w:r w:rsidRPr="00E30AE6">
              <w:rPr>
                <w:b/>
                <w:bCs/>
                <w:sz w:val="18"/>
                <w:szCs w:val="18"/>
                <w:lang w:eastAsia="en-AU"/>
              </w:rPr>
              <w:t>Variance Explanation</w:t>
            </w:r>
          </w:p>
        </w:tc>
        <w:tc>
          <w:tcPr>
            <w:tcW w:w="709" w:type="dxa"/>
            <w:shd w:val="clear" w:color="auto" w:fill="auto"/>
            <w:vAlign w:val="bottom"/>
          </w:tcPr>
          <w:p w14:paraId="753AF5B7" w14:textId="03E2B089" w:rsidR="00CA7ECC" w:rsidRPr="00E30AE6" w:rsidRDefault="00CA7ECC" w:rsidP="009A0F2F">
            <w:pPr>
              <w:jc w:val="right"/>
              <w:rPr>
                <w:b/>
                <w:bCs/>
                <w:sz w:val="18"/>
                <w:szCs w:val="18"/>
                <w:lang w:eastAsia="en-AU"/>
              </w:rPr>
            </w:pPr>
            <w:r w:rsidRPr="00E30AE6">
              <w:rPr>
                <w:b/>
                <w:bCs/>
                <w:sz w:val="18"/>
                <w:szCs w:val="18"/>
                <w:lang w:eastAsia="en-AU"/>
              </w:rPr>
              <w:t>Actual 202</w:t>
            </w:r>
            <w:r w:rsidR="004F7826">
              <w:rPr>
                <w:b/>
                <w:bCs/>
                <w:sz w:val="18"/>
                <w:szCs w:val="18"/>
                <w:lang w:eastAsia="en-AU"/>
              </w:rPr>
              <w:t>3</w:t>
            </w:r>
          </w:p>
        </w:tc>
        <w:tc>
          <w:tcPr>
            <w:tcW w:w="992" w:type="dxa"/>
            <w:shd w:val="clear" w:color="auto" w:fill="auto"/>
            <w:vAlign w:val="bottom"/>
          </w:tcPr>
          <w:p w14:paraId="71F1618B" w14:textId="1F666F96" w:rsidR="00CA7ECC" w:rsidRPr="00E30AE6" w:rsidRDefault="00CA7ECC" w:rsidP="009A0F2F">
            <w:pPr>
              <w:jc w:val="right"/>
              <w:rPr>
                <w:b/>
                <w:bCs/>
                <w:sz w:val="18"/>
                <w:szCs w:val="18"/>
                <w:lang w:eastAsia="en-AU"/>
              </w:rPr>
            </w:pPr>
            <w:r w:rsidRPr="00E30AE6">
              <w:rPr>
                <w:b/>
                <w:bCs/>
                <w:sz w:val="18"/>
                <w:szCs w:val="18"/>
                <w:lang w:eastAsia="en-AU"/>
              </w:rPr>
              <w:t>Original Budget</w:t>
            </w:r>
            <w:r w:rsidRPr="00E30AE6">
              <w:rPr>
                <w:sz w:val="18"/>
                <w:szCs w:val="18"/>
                <w:vertAlign w:val="superscript"/>
                <w:lang w:eastAsia="en-AU"/>
              </w:rPr>
              <w:t xml:space="preserve"> </w:t>
            </w:r>
            <w:r w:rsidRPr="00E30AE6">
              <w:rPr>
                <w:b/>
                <w:bCs/>
                <w:sz w:val="18"/>
                <w:szCs w:val="18"/>
                <w:lang w:eastAsia="en-AU"/>
              </w:rPr>
              <w:t>202</w:t>
            </w:r>
            <w:r w:rsidR="004F7826">
              <w:rPr>
                <w:b/>
                <w:bCs/>
                <w:sz w:val="18"/>
                <w:szCs w:val="18"/>
                <w:lang w:eastAsia="en-AU"/>
              </w:rPr>
              <w:t>3</w:t>
            </w:r>
          </w:p>
        </w:tc>
        <w:tc>
          <w:tcPr>
            <w:tcW w:w="992" w:type="dxa"/>
            <w:shd w:val="clear" w:color="auto" w:fill="auto"/>
            <w:vAlign w:val="bottom"/>
          </w:tcPr>
          <w:p w14:paraId="5437F945"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c>
          <w:tcPr>
            <w:tcW w:w="993" w:type="dxa"/>
            <w:shd w:val="clear" w:color="auto" w:fill="auto"/>
            <w:vAlign w:val="bottom"/>
          </w:tcPr>
          <w:p w14:paraId="0262BBF0"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r>
      <w:tr w:rsidR="00CA7ECC" w:rsidRPr="004A1188" w14:paraId="32789D0E" w14:textId="77777777" w:rsidTr="00307227">
        <w:trPr>
          <w:cantSplit/>
          <w:trHeight w:val="45"/>
        </w:trPr>
        <w:tc>
          <w:tcPr>
            <w:tcW w:w="1560" w:type="dxa"/>
            <w:tcBorders>
              <w:left w:val="single" w:sz="2" w:space="0" w:color="auto"/>
              <w:right w:val="single" w:sz="2" w:space="0" w:color="auto"/>
            </w:tcBorders>
          </w:tcPr>
          <w:p w14:paraId="7EBAB3E2"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5B93EBBF" w14:textId="77777777" w:rsidR="00CA7ECC" w:rsidRPr="00E30AE6" w:rsidRDefault="00CA7ECC" w:rsidP="009A0F2F">
            <w:pPr>
              <w:jc w:val="both"/>
              <w:rPr>
                <w:sz w:val="18"/>
                <w:szCs w:val="18"/>
              </w:rPr>
            </w:pPr>
          </w:p>
        </w:tc>
        <w:tc>
          <w:tcPr>
            <w:tcW w:w="1235" w:type="dxa"/>
            <w:gridSpan w:val="3"/>
          </w:tcPr>
          <w:p w14:paraId="54C7E7F6"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141A9F96"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shd w:val="clear" w:color="auto" w:fill="auto"/>
            <w:vAlign w:val="bottom"/>
          </w:tcPr>
          <w:p w14:paraId="5C690173"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shd w:val="clear" w:color="auto" w:fill="auto"/>
            <w:vAlign w:val="bottom"/>
          </w:tcPr>
          <w:p w14:paraId="43698F50"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3" w:type="dxa"/>
            <w:shd w:val="clear" w:color="auto" w:fill="auto"/>
            <w:vAlign w:val="bottom"/>
          </w:tcPr>
          <w:p w14:paraId="43ABD78A" w14:textId="77777777" w:rsidR="00CA7ECC" w:rsidRPr="00E30AE6" w:rsidRDefault="00CA7ECC" w:rsidP="009A0F2F">
            <w:pPr>
              <w:jc w:val="right"/>
              <w:rPr>
                <w:b/>
                <w:bCs/>
                <w:sz w:val="18"/>
                <w:szCs w:val="18"/>
                <w:lang w:eastAsia="en-AU"/>
              </w:rPr>
            </w:pPr>
            <w:r w:rsidRPr="00E30AE6">
              <w:rPr>
                <w:b/>
                <w:bCs/>
                <w:sz w:val="18"/>
                <w:szCs w:val="18"/>
                <w:lang w:eastAsia="en-AU"/>
              </w:rPr>
              <w:t>%</w:t>
            </w:r>
          </w:p>
        </w:tc>
      </w:tr>
      <w:tr w:rsidR="00CA7ECC" w:rsidRPr="00416D13" w14:paraId="46F2485D" w14:textId="77777777" w:rsidTr="00307227">
        <w:trPr>
          <w:cantSplit/>
          <w:trHeight w:val="45"/>
        </w:trPr>
        <w:tc>
          <w:tcPr>
            <w:tcW w:w="1560" w:type="dxa"/>
            <w:tcBorders>
              <w:left w:val="single" w:sz="2" w:space="0" w:color="auto"/>
              <w:right w:val="single" w:sz="2" w:space="0" w:color="auto"/>
            </w:tcBorders>
          </w:tcPr>
          <w:p w14:paraId="582DE658"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73EAAA03" w14:textId="77777777" w:rsidR="00CA7ECC" w:rsidRPr="00E30AE6" w:rsidRDefault="00CA7ECC" w:rsidP="009A0F2F">
            <w:pPr>
              <w:spacing w:before="120"/>
              <w:jc w:val="both"/>
              <w:rPr>
                <w:sz w:val="18"/>
                <w:szCs w:val="18"/>
              </w:rPr>
            </w:pPr>
            <w:r w:rsidRPr="00E30AE6">
              <w:rPr>
                <w:b/>
                <w:bCs/>
                <w:sz w:val="18"/>
                <w:szCs w:val="18"/>
                <w:lang w:eastAsia="en-AU"/>
              </w:rPr>
              <w:t>Operating Statement Line Items</w:t>
            </w:r>
          </w:p>
        </w:tc>
        <w:tc>
          <w:tcPr>
            <w:tcW w:w="1235" w:type="dxa"/>
            <w:gridSpan w:val="3"/>
          </w:tcPr>
          <w:p w14:paraId="0C893273"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066114E9"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56BEBC9"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28416041"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F16561B" w14:textId="77777777" w:rsidR="00CA7ECC" w:rsidRPr="00E30AE6" w:rsidRDefault="00CA7ECC" w:rsidP="009A0F2F">
            <w:pPr>
              <w:jc w:val="right"/>
              <w:rPr>
                <w:b/>
                <w:bCs/>
                <w:sz w:val="18"/>
                <w:szCs w:val="18"/>
                <w:lang w:eastAsia="en-AU"/>
              </w:rPr>
            </w:pPr>
          </w:p>
        </w:tc>
      </w:tr>
      <w:tr w:rsidR="00CA7ECC" w:rsidRPr="00416D13" w14:paraId="496F3DFB" w14:textId="77777777" w:rsidTr="00307227">
        <w:trPr>
          <w:cantSplit/>
          <w:trHeight w:val="45"/>
        </w:trPr>
        <w:tc>
          <w:tcPr>
            <w:tcW w:w="1560" w:type="dxa"/>
            <w:tcBorders>
              <w:left w:val="single" w:sz="2" w:space="0" w:color="auto"/>
              <w:right w:val="single" w:sz="2" w:space="0" w:color="auto"/>
            </w:tcBorders>
          </w:tcPr>
          <w:p w14:paraId="57CEE9A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37E7A682" w14:textId="2B922C9A" w:rsidR="00CA7ECC" w:rsidRPr="00E30AE6" w:rsidRDefault="00CA7ECC" w:rsidP="009A0F2F">
            <w:pPr>
              <w:jc w:val="both"/>
              <w:rPr>
                <w:sz w:val="18"/>
                <w:szCs w:val="18"/>
                <w:lang w:eastAsia="en-AU"/>
              </w:rPr>
            </w:pPr>
            <w:r w:rsidRPr="00E30AE6">
              <w:rPr>
                <w:sz w:val="18"/>
                <w:szCs w:val="18"/>
              </w:rPr>
              <w:t>Taxes, Licences, Fees and Fines</w:t>
            </w:r>
          </w:p>
        </w:tc>
        <w:tc>
          <w:tcPr>
            <w:tcW w:w="1235" w:type="dxa"/>
            <w:gridSpan w:val="3"/>
          </w:tcPr>
          <w:p w14:paraId="4CEB8B17" w14:textId="77777777" w:rsidR="00CA7ECC" w:rsidRPr="00E30AE6" w:rsidRDefault="00CA7ECC" w:rsidP="009A0F2F">
            <w:pPr>
              <w:jc w:val="center"/>
              <w:rPr>
                <w:sz w:val="18"/>
                <w:szCs w:val="18"/>
                <w:lang w:eastAsia="en-AU"/>
              </w:rPr>
            </w:pPr>
            <w:r w:rsidRPr="00E30AE6">
              <w:rPr>
                <w:sz w:val="18"/>
                <w:szCs w:val="18"/>
                <w:lang w:eastAsia="en-AU"/>
              </w:rPr>
              <w:t>1</w:t>
            </w:r>
          </w:p>
        </w:tc>
        <w:tc>
          <w:tcPr>
            <w:tcW w:w="709" w:type="dxa"/>
            <w:shd w:val="clear" w:color="auto" w:fill="auto"/>
          </w:tcPr>
          <w:p w14:paraId="0343BE3C" w14:textId="77777777" w:rsidR="00CA7ECC" w:rsidRPr="00E30AE6" w:rsidRDefault="00CA7ECC" w:rsidP="009A0F2F">
            <w:pPr>
              <w:jc w:val="right"/>
              <w:rPr>
                <w:b/>
                <w:bCs/>
                <w:sz w:val="18"/>
                <w:szCs w:val="18"/>
                <w:lang w:eastAsia="en-AU"/>
              </w:rPr>
            </w:pPr>
          </w:p>
        </w:tc>
        <w:tc>
          <w:tcPr>
            <w:tcW w:w="992" w:type="dxa"/>
            <w:shd w:val="clear" w:color="auto" w:fill="auto"/>
          </w:tcPr>
          <w:p w14:paraId="58E5C535" w14:textId="77777777" w:rsidR="00CA7ECC" w:rsidRPr="00E30AE6" w:rsidRDefault="00CA7ECC" w:rsidP="009A0F2F">
            <w:pPr>
              <w:jc w:val="right"/>
              <w:rPr>
                <w:b/>
                <w:bCs/>
                <w:sz w:val="18"/>
                <w:szCs w:val="18"/>
                <w:lang w:eastAsia="en-AU"/>
              </w:rPr>
            </w:pPr>
          </w:p>
        </w:tc>
        <w:tc>
          <w:tcPr>
            <w:tcW w:w="992" w:type="dxa"/>
            <w:shd w:val="clear" w:color="auto" w:fill="auto"/>
          </w:tcPr>
          <w:p w14:paraId="01CB720E" w14:textId="77777777" w:rsidR="00CA7ECC" w:rsidRPr="00E30AE6" w:rsidRDefault="00CA7ECC" w:rsidP="009A0F2F">
            <w:pPr>
              <w:jc w:val="right"/>
              <w:rPr>
                <w:b/>
                <w:bCs/>
                <w:sz w:val="18"/>
                <w:szCs w:val="18"/>
                <w:lang w:eastAsia="en-AU"/>
              </w:rPr>
            </w:pPr>
          </w:p>
        </w:tc>
        <w:tc>
          <w:tcPr>
            <w:tcW w:w="993" w:type="dxa"/>
            <w:shd w:val="clear" w:color="auto" w:fill="auto"/>
          </w:tcPr>
          <w:p w14:paraId="74E32780" w14:textId="77777777" w:rsidR="00CA7ECC" w:rsidRPr="00E30AE6" w:rsidRDefault="00CA7ECC" w:rsidP="009A0F2F">
            <w:pPr>
              <w:jc w:val="right"/>
              <w:rPr>
                <w:b/>
                <w:bCs/>
                <w:sz w:val="18"/>
                <w:szCs w:val="18"/>
                <w:lang w:eastAsia="en-AU"/>
              </w:rPr>
            </w:pPr>
          </w:p>
        </w:tc>
      </w:tr>
      <w:tr w:rsidR="00CA7ECC" w:rsidRPr="00416D13" w14:paraId="26E37F1F" w14:textId="77777777" w:rsidTr="00307227">
        <w:trPr>
          <w:cantSplit/>
          <w:trHeight w:val="45"/>
        </w:trPr>
        <w:tc>
          <w:tcPr>
            <w:tcW w:w="1560" w:type="dxa"/>
            <w:tcBorders>
              <w:left w:val="single" w:sz="2" w:space="0" w:color="auto"/>
              <w:right w:val="single" w:sz="2" w:space="0" w:color="auto"/>
            </w:tcBorders>
          </w:tcPr>
          <w:p w14:paraId="5A29A52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0AB26A9F" w14:textId="77777777" w:rsidR="00CA7ECC" w:rsidRPr="00E30AE6" w:rsidRDefault="00CA7ECC" w:rsidP="009A0F2F">
            <w:pPr>
              <w:jc w:val="both"/>
              <w:rPr>
                <w:sz w:val="18"/>
                <w:szCs w:val="18"/>
              </w:rPr>
            </w:pPr>
          </w:p>
        </w:tc>
        <w:tc>
          <w:tcPr>
            <w:tcW w:w="1235" w:type="dxa"/>
            <w:gridSpan w:val="3"/>
          </w:tcPr>
          <w:p w14:paraId="79B0FCDF" w14:textId="77777777" w:rsidR="00CA7ECC" w:rsidRPr="00E30AE6" w:rsidRDefault="00CA7ECC" w:rsidP="009A0F2F">
            <w:pPr>
              <w:jc w:val="center"/>
              <w:rPr>
                <w:b/>
                <w:bCs/>
                <w:sz w:val="18"/>
                <w:szCs w:val="18"/>
                <w:lang w:eastAsia="en-AU"/>
              </w:rPr>
            </w:pPr>
          </w:p>
        </w:tc>
        <w:tc>
          <w:tcPr>
            <w:tcW w:w="709" w:type="dxa"/>
            <w:shd w:val="clear" w:color="auto" w:fill="auto"/>
            <w:vAlign w:val="bottom"/>
          </w:tcPr>
          <w:p w14:paraId="15E1F02C"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7C796E3"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EF44034"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5B4FFE81" w14:textId="77777777" w:rsidR="00CA7ECC" w:rsidRPr="00E30AE6" w:rsidRDefault="00CA7ECC" w:rsidP="009A0F2F">
            <w:pPr>
              <w:jc w:val="right"/>
              <w:rPr>
                <w:b/>
                <w:bCs/>
                <w:sz w:val="18"/>
                <w:szCs w:val="18"/>
                <w:lang w:eastAsia="en-AU"/>
              </w:rPr>
            </w:pPr>
          </w:p>
        </w:tc>
      </w:tr>
      <w:tr w:rsidR="00CA7ECC" w:rsidRPr="00416D13" w14:paraId="5CB486FB" w14:textId="77777777" w:rsidTr="00307227">
        <w:trPr>
          <w:cantSplit/>
          <w:trHeight w:val="45"/>
        </w:trPr>
        <w:tc>
          <w:tcPr>
            <w:tcW w:w="1560" w:type="dxa"/>
            <w:tcBorders>
              <w:left w:val="single" w:sz="2" w:space="0" w:color="auto"/>
              <w:right w:val="single" w:sz="2" w:space="0" w:color="auto"/>
            </w:tcBorders>
          </w:tcPr>
          <w:p w14:paraId="00907D17"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421B9101" w14:textId="77777777" w:rsidR="00CA7ECC" w:rsidRPr="00E30AE6" w:rsidRDefault="00CA7ECC" w:rsidP="009A0F2F">
            <w:pPr>
              <w:jc w:val="both"/>
              <w:rPr>
                <w:sz w:val="18"/>
                <w:szCs w:val="18"/>
              </w:rPr>
            </w:pPr>
            <w:r w:rsidRPr="00E30AE6">
              <w:rPr>
                <w:b/>
                <w:sz w:val="18"/>
                <w:szCs w:val="18"/>
                <w:lang w:eastAsia="en-AU"/>
              </w:rPr>
              <w:t>Variance Explanations</w:t>
            </w:r>
          </w:p>
        </w:tc>
        <w:tc>
          <w:tcPr>
            <w:tcW w:w="1235" w:type="dxa"/>
            <w:gridSpan w:val="3"/>
          </w:tcPr>
          <w:p w14:paraId="3696AF4D" w14:textId="77777777" w:rsidR="00CA7ECC" w:rsidRPr="00E30AE6" w:rsidRDefault="00CA7ECC" w:rsidP="009A0F2F">
            <w:pPr>
              <w:jc w:val="center"/>
              <w:rPr>
                <w:b/>
                <w:bCs/>
                <w:sz w:val="18"/>
                <w:szCs w:val="18"/>
                <w:lang w:eastAsia="en-AU"/>
              </w:rPr>
            </w:pPr>
          </w:p>
        </w:tc>
        <w:tc>
          <w:tcPr>
            <w:tcW w:w="709" w:type="dxa"/>
            <w:shd w:val="clear" w:color="auto" w:fill="auto"/>
            <w:vAlign w:val="bottom"/>
          </w:tcPr>
          <w:p w14:paraId="4DCFFD68"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3F394FDB"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4B94C91"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23BB1F82" w14:textId="77777777" w:rsidR="00CA7ECC" w:rsidRPr="00E30AE6" w:rsidRDefault="00CA7ECC" w:rsidP="009A0F2F">
            <w:pPr>
              <w:jc w:val="right"/>
              <w:rPr>
                <w:b/>
                <w:bCs/>
                <w:sz w:val="18"/>
                <w:szCs w:val="18"/>
                <w:lang w:eastAsia="en-AU"/>
              </w:rPr>
            </w:pPr>
          </w:p>
        </w:tc>
      </w:tr>
      <w:tr w:rsidR="00CA7ECC" w:rsidRPr="004A1188" w14:paraId="6E8D0DB3" w14:textId="77777777" w:rsidTr="00307227">
        <w:trPr>
          <w:cantSplit/>
          <w:trHeight w:val="45"/>
        </w:trPr>
        <w:tc>
          <w:tcPr>
            <w:tcW w:w="1560" w:type="dxa"/>
            <w:tcBorders>
              <w:left w:val="single" w:sz="2" w:space="0" w:color="auto"/>
              <w:right w:val="single" w:sz="2" w:space="0" w:color="auto"/>
            </w:tcBorders>
          </w:tcPr>
          <w:p w14:paraId="14AB3356"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6DD3027" w14:textId="7EAFC1D9"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27139E06" w14:textId="77777777" w:rsidTr="00307227">
        <w:trPr>
          <w:cantSplit/>
          <w:trHeight w:val="45"/>
        </w:trPr>
        <w:tc>
          <w:tcPr>
            <w:tcW w:w="1560" w:type="dxa"/>
            <w:tcBorders>
              <w:left w:val="single" w:sz="2" w:space="0" w:color="auto"/>
              <w:right w:val="single" w:sz="2" w:space="0" w:color="auto"/>
            </w:tcBorders>
          </w:tcPr>
          <w:p w14:paraId="5D41C6B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3F7282E0" w14:textId="77777777" w:rsidR="00CA7ECC" w:rsidRPr="00E30AE6" w:rsidRDefault="00CA7ECC" w:rsidP="009A0F2F">
            <w:pPr>
              <w:pStyle w:val="ListParagraph"/>
              <w:rPr>
                <w:sz w:val="18"/>
                <w:szCs w:val="18"/>
                <w:lang w:eastAsia="en-AU"/>
              </w:rPr>
            </w:pPr>
          </w:p>
        </w:tc>
      </w:tr>
      <w:tr w:rsidR="00CA7ECC" w:rsidRPr="004A1188" w14:paraId="78384415" w14:textId="77777777" w:rsidTr="00307227">
        <w:trPr>
          <w:cantSplit/>
          <w:trHeight w:val="45"/>
        </w:trPr>
        <w:tc>
          <w:tcPr>
            <w:tcW w:w="1560" w:type="dxa"/>
            <w:tcBorders>
              <w:left w:val="single" w:sz="2" w:space="0" w:color="auto"/>
              <w:right w:val="single" w:sz="2" w:space="0" w:color="auto"/>
            </w:tcBorders>
          </w:tcPr>
          <w:p w14:paraId="5CE68E2D"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13E94CE9" w14:textId="77777777" w:rsidR="00CA7ECC" w:rsidRPr="00E30AE6" w:rsidRDefault="00CA7ECC" w:rsidP="009A0F2F">
            <w:pPr>
              <w:pStyle w:val="ListParagraph"/>
              <w:rPr>
                <w:sz w:val="18"/>
                <w:szCs w:val="18"/>
                <w:lang w:eastAsia="en-AU"/>
              </w:rPr>
            </w:pPr>
          </w:p>
        </w:tc>
      </w:tr>
      <w:tr w:rsidR="00CA7ECC" w:rsidRPr="00416D13" w14:paraId="228FD7E1" w14:textId="77777777" w:rsidTr="00307227">
        <w:trPr>
          <w:cantSplit/>
          <w:trHeight w:val="45"/>
        </w:trPr>
        <w:tc>
          <w:tcPr>
            <w:tcW w:w="1560" w:type="dxa"/>
            <w:tcBorders>
              <w:left w:val="single" w:sz="2" w:space="0" w:color="auto"/>
              <w:right w:val="single" w:sz="2" w:space="0" w:color="auto"/>
            </w:tcBorders>
          </w:tcPr>
          <w:p w14:paraId="2198D7B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7F9915BE" w14:textId="77777777" w:rsidR="00CA7ECC" w:rsidRPr="00E30AE6" w:rsidRDefault="00CA7ECC" w:rsidP="009A0F2F">
            <w:pPr>
              <w:jc w:val="both"/>
              <w:rPr>
                <w:sz w:val="18"/>
                <w:szCs w:val="18"/>
              </w:rPr>
            </w:pPr>
            <w:r w:rsidRPr="00E30AE6">
              <w:rPr>
                <w:b/>
                <w:bCs/>
                <w:sz w:val="18"/>
                <w:szCs w:val="18"/>
                <w:lang w:eastAsia="en-AU"/>
              </w:rPr>
              <w:t>Balance Sheet Line Items</w:t>
            </w:r>
          </w:p>
        </w:tc>
        <w:tc>
          <w:tcPr>
            <w:tcW w:w="1235" w:type="dxa"/>
            <w:gridSpan w:val="3"/>
            <w:shd w:val="clear" w:color="auto" w:fill="auto"/>
            <w:vAlign w:val="bottom"/>
          </w:tcPr>
          <w:p w14:paraId="2EE4210C" w14:textId="77777777" w:rsidR="00CA7ECC" w:rsidRPr="00E30AE6" w:rsidRDefault="00CA7ECC" w:rsidP="009A0F2F">
            <w:pPr>
              <w:jc w:val="right"/>
              <w:rPr>
                <w:b/>
                <w:bCs/>
                <w:sz w:val="18"/>
                <w:szCs w:val="18"/>
                <w:lang w:eastAsia="en-AU"/>
              </w:rPr>
            </w:pPr>
          </w:p>
        </w:tc>
        <w:tc>
          <w:tcPr>
            <w:tcW w:w="709" w:type="dxa"/>
          </w:tcPr>
          <w:p w14:paraId="00D48921"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749D5A34"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39A64F7"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52048A5" w14:textId="77777777" w:rsidR="00CA7ECC" w:rsidRPr="00E30AE6" w:rsidRDefault="00CA7ECC" w:rsidP="009A0F2F">
            <w:pPr>
              <w:jc w:val="right"/>
              <w:rPr>
                <w:b/>
                <w:bCs/>
                <w:sz w:val="18"/>
                <w:szCs w:val="18"/>
                <w:lang w:eastAsia="en-AU"/>
              </w:rPr>
            </w:pPr>
          </w:p>
        </w:tc>
      </w:tr>
      <w:tr w:rsidR="00CA7ECC" w:rsidRPr="00416D13" w14:paraId="0FC3A549" w14:textId="77777777" w:rsidTr="00307227">
        <w:trPr>
          <w:cantSplit/>
          <w:trHeight w:val="45"/>
        </w:trPr>
        <w:tc>
          <w:tcPr>
            <w:tcW w:w="1560" w:type="dxa"/>
            <w:tcBorders>
              <w:left w:val="single" w:sz="2" w:space="0" w:color="auto"/>
              <w:right w:val="single" w:sz="2" w:space="0" w:color="auto"/>
            </w:tcBorders>
          </w:tcPr>
          <w:p w14:paraId="0359A8D6"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21AEC1E8" w14:textId="0EC61311" w:rsidR="00CA7ECC" w:rsidRPr="00E30AE6" w:rsidRDefault="00CA7ECC" w:rsidP="00CA7ECC">
            <w:pPr>
              <w:jc w:val="both"/>
              <w:rPr>
                <w:sz w:val="18"/>
                <w:szCs w:val="18"/>
              </w:rPr>
            </w:pPr>
            <w:r w:rsidRPr="00E30AE6">
              <w:rPr>
                <w:sz w:val="18"/>
                <w:szCs w:val="18"/>
              </w:rPr>
              <w:t xml:space="preserve">Cash and </w:t>
            </w:r>
            <w:r w:rsidR="00332757" w:rsidRPr="00332757">
              <w:rPr>
                <w:color w:val="FF0000"/>
                <w:sz w:val="18"/>
                <w:szCs w:val="18"/>
              </w:rPr>
              <w:t>Investments</w:t>
            </w:r>
            <w:r w:rsidR="00332757">
              <w:rPr>
                <w:sz w:val="18"/>
                <w:szCs w:val="18"/>
              </w:rPr>
              <w:t xml:space="preserve"> </w:t>
            </w:r>
            <w:r w:rsidRPr="00332757">
              <w:rPr>
                <w:strike/>
                <w:color w:val="FF0000"/>
                <w:sz w:val="18"/>
                <w:szCs w:val="18"/>
              </w:rPr>
              <w:t>Cash Equivalents</w:t>
            </w:r>
          </w:p>
        </w:tc>
        <w:tc>
          <w:tcPr>
            <w:tcW w:w="1235" w:type="dxa"/>
            <w:gridSpan w:val="3"/>
            <w:shd w:val="clear" w:color="auto" w:fill="auto"/>
          </w:tcPr>
          <w:p w14:paraId="4851A28B" w14:textId="5CA916DD" w:rsidR="00CA7ECC" w:rsidRPr="00E30AE6" w:rsidRDefault="00CA7ECC" w:rsidP="00CA7ECC">
            <w:pPr>
              <w:jc w:val="center"/>
              <w:rPr>
                <w:sz w:val="18"/>
                <w:szCs w:val="18"/>
                <w:lang w:eastAsia="en-AU"/>
              </w:rPr>
            </w:pPr>
            <w:r w:rsidRPr="00E30AE6">
              <w:rPr>
                <w:sz w:val="18"/>
                <w:szCs w:val="18"/>
                <w:lang w:eastAsia="en-AU"/>
              </w:rPr>
              <w:t>2</w:t>
            </w:r>
          </w:p>
        </w:tc>
        <w:tc>
          <w:tcPr>
            <w:tcW w:w="709" w:type="dxa"/>
          </w:tcPr>
          <w:p w14:paraId="7ED59059"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20FAF13"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0EBC58C7"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6AA67AD8" w14:textId="77777777" w:rsidR="00CA7ECC" w:rsidRPr="00E30AE6" w:rsidRDefault="00CA7ECC" w:rsidP="00CA7ECC">
            <w:pPr>
              <w:jc w:val="right"/>
              <w:rPr>
                <w:b/>
                <w:bCs/>
                <w:sz w:val="18"/>
                <w:szCs w:val="18"/>
                <w:lang w:eastAsia="en-AU"/>
              </w:rPr>
            </w:pPr>
          </w:p>
        </w:tc>
      </w:tr>
      <w:tr w:rsidR="00CA7ECC" w:rsidRPr="00416D13" w14:paraId="3DD46F46" w14:textId="77777777" w:rsidTr="00307227">
        <w:trPr>
          <w:cantSplit/>
          <w:trHeight w:val="45"/>
        </w:trPr>
        <w:tc>
          <w:tcPr>
            <w:tcW w:w="1560" w:type="dxa"/>
            <w:tcBorders>
              <w:left w:val="single" w:sz="2" w:space="0" w:color="auto"/>
              <w:right w:val="single" w:sz="2" w:space="0" w:color="auto"/>
            </w:tcBorders>
          </w:tcPr>
          <w:p w14:paraId="5FA89BD0"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626E608A" w14:textId="5A468771" w:rsidR="00CA7ECC" w:rsidRPr="00E30AE6" w:rsidRDefault="00CA7ECC" w:rsidP="00CA7ECC">
            <w:pPr>
              <w:jc w:val="both"/>
              <w:rPr>
                <w:sz w:val="18"/>
                <w:szCs w:val="18"/>
              </w:rPr>
            </w:pPr>
            <w:r w:rsidRPr="00E30AE6">
              <w:rPr>
                <w:sz w:val="18"/>
                <w:szCs w:val="18"/>
              </w:rPr>
              <w:t>Current Receivables</w:t>
            </w:r>
          </w:p>
        </w:tc>
        <w:tc>
          <w:tcPr>
            <w:tcW w:w="1235" w:type="dxa"/>
            <w:gridSpan w:val="3"/>
            <w:shd w:val="clear" w:color="auto" w:fill="auto"/>
          </w:tcPr>
          <w:p w14:paraId="3F7A7024" w14:textId="4FD1018F" w:rsidR="00CA7ECC" w:rsidRPr="00E30AE6" w:rsidRDefault="00CA7ECC" w:rsidP="00CA7ECC">
            <w:pPr>
              <w:jc w:val="center"/>
              <w:rPr>
                <w:sz w:val="18"/>
                <w:szCs w:val="18"/>
                <w:lang w:eastAsia="en-AU"/>
              </w:rPr>
            </w:pPr>
            <w:r w:rsidRPr="00E30AE6">
              <w:rPr>
                <w:sz w:val="18"/>
                <w:szCs w:val="18"/>
                <w:lang w:eastAsia="en-AU"/>
              </w:rPr>
              <w:t>3</w:t>
            </w:r>
          </w:p>
        </w:tc>
        <w:tc>
          <w:tcPr>
            <w:tcW w:w="709" w:type="dxa"/>
          </w:tcPr>
          <w:p w14:paraId="572CDF08"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F751A75"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7A84F190"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59341347" w14:textId="77777777" w:rsidR="00CA7ECC" w:rsidRPr="00E30AE6" w:rsidRDefault="00CA7ECC" w:rsidP="00CA7ECC">
            <w:pPr>
              <w:jc w:val="right"/>
              <w:rPr>
                <w:b/>
                <w:bCs/>
                <w:sz w:val="18"/>
                <w:szCs w:val="18"/>
                <w:lang w:eastAsia="en-AU"/>
              </w:rPr>
            </w:pPr>
          </w:p>
        </w:tc>
      </w:tr>
      <w:tr w:rsidR="00CA7ECC" w:rsidRPr="00416D13" w14:paraId="236035C0" w14:textId="77777777" w:rsidTr="00307227">
        <w:trPr>
          <w:cantSplit/>
          <w:trHeight w:val="45"/>
        </w:trPr>
        <w:tc>
          <w:tcPr>
            <w:tcW w:w="1560" w:type="dxa"/>
            <w:tcBorders>
              <w:left w:val="single" w:sz="2" w:space="0" w:color="auto"/>
              <w:right w:val="single" w:sz="2" w:space="0" w:color="auto"/>
            </w:tcBorders>
          </w:tcPr>
          <w:p w14:paraId="19BD9A29"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19CFE68C" w14:textId="339C314E" w:rsidR="00CA7ECC" w:rsidRPr="00E30AE6" w:rsidRDefault="00CA7ECC" w:rsidP="00CA7ECC">
            <w:pPr>
              <w:jc w:val="both"/>
              <w:rPr>
                <w:sz w:val="18"/>
                <w:szCs w:val="18"/>
              </w:rPr>
            </w:pPr>
            <w:r w:rsidRPr="00E30AE6">
              <w:rPr>
                <w:sz w:val="18"/>
                <w:szCs w:val="18"/>
              </w:rPr>
              <w:t>Current Payables</w:t>
            </w:r>
          </w:p>
        </w:tc>
        <w:tc>
          <w:tcPr>
            <w:tcW w:w="1235" w:type="dxa"/>
            <w:gridSpan w:val="3"/>
            <w:shd w:val="clear" w:color="auto" w:fill="auto"/>
          </w:tcPr>
          <w:p w14:paraId="57CC3F8E" w14:textId="48836293" w:rsidR="00CA7ECC" w:rsidRPr="00E30AE6" w:rsidRDefault="00CA7ECC" w:rsidP="00CA7ECC">
            <w:pPr>
              <w:jc w:val="center"/>
              <w:rPr>
                <w:sz w:val="18"/>
                <w:szCs w:val="18"/>
                <w:lang w:eastAsia="en-AU"/>
              </w:rPr>
            </w:pPr>
            <w:r w:rsidRPr="00E30AE6">
              <w:rPr>
                <w:sz w:val="18"/>
                <w:szCs w:val="18"/>
                <w:lang w:eastAsia="en-AU"/>
              </w:rPr>
              <w:t>4</w:t>
            </w:r>
          </w:p>
        </w:tc>
        <w:tc>
          <w:tcPr>
            <w:tcW w:w="709" w:type="dxa"/>
          </w:tcPr>
          <w:p w14:paraId="51AF1B5A"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45B933B2"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D0111FF"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5D1C57C6" w14:textId="77777777" w:rsidR="00CA7ECC" w:rsidRPr="00E30AE6" w:rsidRDefault="00CA7ECC" w:rsidP="00CA7ECC">
            <w:pPr>
              <w:jc w:val="right"/>
              <w:rPr>
                <w:b/>
                <w:bCs/>
                <w:sz w:val="18"/>
                <w:szCs w:val="18"/>
                <w:lang w:eastAsia="en-AU"/>
              </w:rPr>
            </w:pPr>
          </w:p>
        </w:tc>
      </w:tr>
      <w:tr w:rsidR="00CA7ECC" w:rsidRPr="006A75E5" w14:paraId="2B6A4790" w14:textId="77777777" w:rsidTr="00307227">
        <w:trPr>
          <w:cantSplit/>
          <w:trHeight w:val="45"/>
        </w:trPr>
        <w:tc>
          <w:tcPr>
            <w:tcW w:w="1560" w:type="dxa"/>
            <w:tcBorders>
              <w:left w:val="single" w:sz="2" w:space="0" w:color="auto"/>
              <w:right w:val="single" w:sz="2" w:space="0" w:color="auto"/>
            </w:tcBorders>
          </w:tcPr>
          <w:p w14:paraId="73D4EFAF"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4AFC1312" w14:textId="77777777" w:rsidR="00CA7ECC" w:rsidRPr="00E30AE6" w:rsidRDefault="00CA7ECC" w:rsidP="009A0F2F">
            <w:pPr>
              <w:jc w:val="both"/>
              <w:rPr>
                <w:b/>
                <w:sz w:val="18"/>
                <w:szCs w:val="18"/>
                <w:lang w:eastAsia="en-AU"/>
              </w:rPr>
            </w:pPr>
          </w:p>
        </w:tc>
        <w:tc>
          <w:tcPr>
            <w:tcW w:w="1235" w:type="dxa"/>
            <w:gridSpan w:val="3"/>
            <w:shd w:val="clear" w:color="auto" w:fill="auto"/>
            <w:vAlign w:val="bottom"/>
          </w:tcPr>
          <w:p w14:paraId="4374752D"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65C01ECE"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66AAE6A"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5B1C95D"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086B8BE" w14:textId="77777777" w:rsidR="00CA7ECC" w:rsidRPr="00E30AE6" w:rsidRDefault="00CA7ECC" w:rsidP="009A0F2F">
            <w:pPr>
              <w:jc w:val="right"/>
              <w:rPr>
                <w:b/>
                <w:bCs/>
                <w:sz w:val="18"/>
                <w:szCs w:val="18"/>
              </w:rPr>
            </w:pPr>
          </w:p>
        </w:tc>
      </w:tr>
      <w:tr w:rsidR="00CA7ECC" w:rsidRPr="006A75E5" w14:paraId="6CCAFDFB" w14:textId="77777777" w:rsidTr="00307227">
        <w:trPr>
          <w:cantSplit/>
          <w:trHeight w:val="45"/>
        </w:trPr>
        <w:tc>
          <w:tcPr>
            <w:tcW w:w="1560" w:type="dxa"/>
            <w:tcBorders>
              <w:left w:val="single" w:sz="2" w:space="0" w:color="auto"/>
              <w:right w:val="single" w:sz="2" w:space="0" w:color="auto"/>
            </w:tcBorders>
          </w:tcPr>
          <w:p w14:paraId="2748206D"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1510C985" w14:textId="77777777" w:rsidR="00CA7ECC" w:rsidRPr="00E30AE6" w:rsidRDefault="00CA7ECC" w:rsidP="009A0F2F">
            <w:pPr>
              <w:jc w:val="both"/>
              <w:rPr>
                <w:bCs/>
                <w:sz w:val="18"/>
                <w:szCs w:val="18"/>
                <w:lang w:eastAsia="en-AU"/>
              </w:rPr>
            </w:pPr>
            <w:r w:rsidRPr="00E30AE6">
              <w:rPr>
                <w:b/>
                <w:sz w:val="18"/>
                <w:szCs w:val="18"/>
                <w:lang w:eastAsia="en-AU"/>
              </w:rPr>
              <w:t>Variance Explanations</w:t>
            </w:r>
          </w:p>
        </w:tc>
        <w:tc>
          <w:tcPr>
            <w:tcW w:w="1235" w:type="dxa"/>
            <w:gridSpan w:val="3"/>
            <w:shd w:val="clear" w:color="auto" w:fill="auto"/>
            <w:vAlign w:val="bottom"/>
          </w:tcPr>
          <w:p w14:paraId="400FB794"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36026E73"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65408C6"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30E142FC"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4CD39A15" w14:textId="77777777" w:rsidR="00CA7ECC" w:rsidRPr="00E30AE6" w:rsidRDefault="00CA7ECC" w:rsidP="009A0F2F">
            <w:pPr>
              <w:jc w:val="right"/>
              <w:rPr>
                <w:b/>
                <w:bCs/>
                <w:sz w:val="18"/>
                <w:szCs w:val="18"/>
              </w:rPr>
            </w:pPr>
          </w:p>
        </w:tc>
      </w:tr>
      <w:tr w:rsidR="00CA7ECC" w:rsidRPr="004A1188" w14:paraId="4F7CE4AD" w14:textId="77777777" w:rsidTr="00307227">
        <w:trPr>
          <w:cantSplit/>
          <w:trHeight w:val="45"/>
        </w:trPr>
        <w:tc>
          <w:tcPr>
            <w:tcW w:w="1560" w:type="dxa"/>
            <w:tcBorders>
              <w:left w:val="single" w:sz="2" w:space="0" w:color="auto"/>
              <w:right w:val="single" w:sz="2" w:space="0" w:color="auto"/>
            </w:tcBorders>
          </w:tcPr>
          <w:p w14:paraId="427E64AB"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5E8CFEA"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14584E21" w14:textId="77777777" w:rsidTr="00307227">
        <w:trPr>
          <w:cantSplit/>
          <w:trHeight w:val="45"/>
        </w:trPr>
        <w:tc>
          <w:tcPr>
            <w:tcW w:w="1560" w:type="dxa"/>
            <w:tcBorders>
              <w:left w:val="single" w:sz="2" w:space="0" w:color="auto"/>
              <w:right w:val="single" w:sz="2" w:space="0" w:color="auto"/>
            </w:tcBorders>
          </w:tcPr>
          <w:p w14:paraId="055DA22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742396AD"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1C75F67B" w14:textId="77777777" w:rsidTr="00307227">
        <w:trPr>
          <w:cantSplit/>
          <w:trHeight w:val="45"/>
        </w:trPr>
        <w:tc>
          <w:tcPr>
            <w:tcW w:w="1560" w:type="dxa"/>
            <w:tcBorders>
              <w:left w:val="single" w:sz="2" w:space="0" w:color="auto"/>
              <w:right w:val="single" w:sz="2" w:space="0" w:color="auto"/>
            </w:tcBorders>
          </w:tcPr>
          <w:p w14:paraId="1ABA1564"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6FD36927"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6A75E5" w14:paraId="06FE6173" w14:textId="77777777" w:rsidTr="00307227">
        <w:trPr>
          <w:cantSplit/>
          <w:trHeight w:val="45"/>
        </w:trPr>
        <w:tc>
          <w:tcPr>
            <w:tcW w:w="1560" w:type="dxa"/>
            <w:tcBorders>
              <w:left w:val="single" w:sz="2" w:space="0" w:color="auto"/>
              <w:right w:val="single" w:sz="2" w:space="0" w:color="auto"/>
            </w:tcBorders>
          </w:tcPr>
          <w:p w14:paraId="69C828C9"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3ED18594" w14:textId="77777777" w:rsidR="00CA7ECC" w:rsidRPr="00E30AE6" w:rsidRDefault="00CA7ECC" w:rsidP="009A0F2F">
            <w:pPr>
              <w:rPr>
                <w:b/>
                <w:bCs/>
                <w:sz w:val="18"/>
                <w:szCs w:val="18"/>
              </w:rPr>
            </w:pPr>
          </w:p>
        </w:tc>
      </w:tr>
      <w:tr w:rsidR="003173AE" w:rsidRPr="006A75E5" w14:paraId="4ACDC0E6" w14:textId="77777777" w:rsidTr="00307227">
        <w:trPr>
          <w:cantSplit/>
          <w:trHeight w:val="45"/>
        </w:trPr>
        <w:tc>
          <w:tcPr>
            <w:tcW w:w="1560" w:type="dxa"/>
            <w:tcBorders>
              <w:left w:val="single" w:sz="2" w:space="0" w:color="auto"/>
              <w:right w:val="single" w:sz="2" w:space="0" w:color="auto"/>
            </w:tcBorders>
          </w:tcPr>
          <w:p w14:paraId="74F7CDA5" w14:textId="77777777" w:rsidR="003173AE" w:rsidRPr="00D51EF3" w:rsidRDefault="003173AE"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61992282" w14:textId="77777777" w:rsidR="003173AE" w:rsidRPr="00E30AE6" w:rsidRDefault="003173AE" w:rsidP="009A0F2F">
            <w:pPr>
              <w:rPr>
                <w:b/>
                <w:bCs/>
                <w:sz w:val="18"/>
                <w:szCs w:val="18"/>
              </w:rPr>
            </w:pPr>
          </w:p>
        </w:tc>
      </w:tr>
      <w:tr w:rsidR="00CA7ECC" w:rsidRPr="004A1188" w14:paraId="7F4C068D" w14:textId="77777777" w:rsidTr="00307227">
        <w:trPr>
          <w:cantSplit/>
          <w:trHeight w:val="45"/>
        </w:trPr>
        <w:tc>
          <w:tcPr>
            <w:tcW w:w="1560" w:type="dxa"/>
            <w:tcBorders>
              <w:left w:val="single" w:sz="2" w:space="0" w:color="auto"/>
              <w:right w:val="single" w:sz="2" w:space="0" w:color="auto"/>
            </w:tcBorders>
          </w:tcPr>
          <w:p w14:paraId="67ED34B8"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120C5CAD" w14:textId="77777777" w:rsidR="00CA7ECC" w:rsidRPr="00E30AE6" w:rsidRDefault="00CA7ECC" w:rsidP="009A0F2F">
            <w:pPr>
              <w:rPr>
                <w:b/>
                <w:bCs/>
                <w:sz w:val="18"/>
                <w:szCs w:val="18"/>
              </w:rPr>
            </w:pPr>
            <w:r w:rsidRPr="00E30AE6">
              <w:rPr>
                <w:b/>
                <w:sz w:val="18"/>
                <w:szCs w:val="18"/>
              </w:rPr>
              <w:t>Statement of Changes in Equity</w:t>
            </w:r>
            <w:r w:rsidRPr="00E30AE6">
              <w:rPr>
                <w:sz w:val="18"/>
                <w:szCs w:val="18"/>
              </w:rPr>
              <w:t xml:space="preserve"> - these line items are covered in other financial statements</w:t>
            </w:r>
          </w:p>
        </w:tc>
      </w:tr>
      <w:tr w:rsidR="0054645F" w:rsidRPr="006A75E5" w14:paraId="78DF5151" w14:textId="77777777" w:rsidTr="00307227">
        <w:trPr>
          <w:cantSplit/>
          <w:trHeight w:val="45"/>
        </w:trPr>
        <w:tc>
          <w:tcPr>
            <w:tcW w:w="1560" w:type="dxa"/>
            <w:tcBorders>
              <w:left w:val="single" w:sz="2" w:space="0" w:color="auto"/>
              <w:right w:val="single" w:sz="2" w:space="0" w:color="auto"/>
            </w:tcBorders>
          </w:tcPr>
          <w:p w14:paraId="696EE58B" w14:textId="77777777" w:rsidR="0054645F" w:rsidRPr="00D51EF3" w:rsidRDefault="0054645F"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5E68E328" w14:textId="77777777" w:rsidR="0054645F" w:rsidRPr="00E30AE6" w:rsidRDefault="0054645F" w:rsidP="009A0F2F">
            <w:pPr>
              <w:rPr>
                <w:b/>
                <w:bCs/>
                <w:sz w:val="18"/>
                <w:szCs w:val="18"/>
              </w:rPr>
            </w:pPr>
          </w:p>
        </w:tc>
      </w:tr>
      <w:tr w:rsidR="003173AE" w:rsidRPr="006A75E5" w14:paraId="1DCE27B0" w14:textId="77777777" w:rsidTr="00307227">
        <w:trPr>
          <w:cantSplit/>
          <w:trHeight w:val="45"/>
        </w:trPr>
        <w:tc>
          <w:tcPr>
            <w:tcW w:w="1560" w:type="dxa"/>
            <w:tcBorders>
              <w:left w:val="single" w:sz="2" w:space="0" w:color="auto"/>
              <w:right w:val="single" w:sz="2" w:space="0" w:color="auto"/>
            </w:tcBorders>
          </w:tcPr>
          <w:p w14:paraId="1F8B6EC9" w14:textId="77777777" w:rsidR="003173AE" w:rsidRPr="00D51EF3" w:rsidRDefault="003173AE"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vAlign w:val="bottom"/>
          </w:tcPr>
          <w:p w14:paraId="4325D7A2" w14:textId="77777777" w:rsidR="003173AE" w:rsidRPr="00E30AE6" w:rsidRDefault="003173AE" w:rsidP="0054645F">
            <w:pPr>
              <w:rPr>
                <w:rFonts w:cs="Calibri"/>
                <w:b/>
                <w:sz w:val="18"/>
                <w:szCs w:val="18"/>
              </w:rPr>
            </w:pPr>
          </w:p>
        </w:tc>
      </w:tr>
      <w:tr w:rsidR="0054645F" w:rsidRPr="006A75E5" w14:paraId="6CCFBFE4" w14:textId="77777777" w:rsidTr="00307227">
        <w:trPr>
          <w:cantSplit/>
          <w:trHeight w:val="45"/>
        </w:trPr>
        <w:tc>
          <w:tcPr>
            <w:tcW w:w="1560" w:type="dxa"/>
            <w:tcBorders>
              <w:left w:val="single" w:sz="2" w:space="0" w:color="auto"/>
              <w:right w:val="single" w:sz="2" w:space="0" w:color="auto"/>
            </w:tcBorders>
          </w:tcPr>
          <w:p w14:paraId="670D8635"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vAlign w:val="bottom"/>
          </w:tcPr>
          <w:p w14:paraId="0CE29DE3" w14:textId="412E12FB" w:rsidR="0054645F" w:rsidRPr="00E30AE6" w:rsidRDefault="0054645F" w:rsidP="0054645F">
            <w:pPr>
              <w:rPr>
                <w:b/>
                <w:bCs/>
                <w:sz w:val="18"/>
                <w:szCs w:val="18"/>
              </w:rPr>
            </w:pPr>
            <w:r w:rsidRPr="00E30AE6">
              <w:rPr>
                <w:rFonts w:cs="Calibri"/>
                <w:b/>
                <w:sz w:val="18"/>
                <w:szCs w:val="18"/>
              </w:rPr>
              <w:t>Statement of Cash Flows</w:t>
            </w:r>
            <w:r w:rsidRPr="00E30AE6">
              <w:rPr>
                <w:b/>
                <w:sz w:val="18"/>
                <w:szCs w:val="18"/>
              </w:rPr>
              <w:t xml:space="preserve"> on Behalf of the Territory Line Items</w:t>
            </w:r>
          </w:p>
        </w:tc>
      </w:tr>
      <w:tr w:rsidR="0054645F" w:rsidRPr="006A75E5" w14:paraId="4C4B1526" w14:textId="77777777" w:rsidTr="003173AE">
        <w:trPr>
          <w:cantSplit/>
          <w:trHeight w:val="45"/>
        </w:trPr>
        <w:tc>
          <w:tcPr>
            <w:tcW w:w="1560" w:type="dxa"/>
            <w:tcBorders>
              <w:left w:val="single" w:sz="2" w:space="0" w:color="auto"/>
              <w:right w:val="single" w:sz="2" w:space="0" w:color="auto"/>
            </w:tcBorders>
          </w:tcPr>
          <w:p w14:paraId="13DE4B0E" w14:textId="77777777" w:rsidR="0054645F" w:rsidRPr="00D51EF3" w:rsidRDefault="0054645F" w:rsidP="0054645F">
            <w:pPr>
              <w:pStyle w:val="TableReference"/>
              <w:tabs>
                <w:tab w:val="left" w:pos="3306"/>
              </w:tabs>
              <w:rPr>
                <w:rFonts w:cs="Calibri"/>
                <w:color w:val="7030A0"/>
                <w:sz w:val="18"/>
                <w:szCs w:val="18"/>
              </w:rPr>
            </w:pPr>
          </w:p>
        </w:tc>
        <w:tc>
          <w:tcPr>
            <w:tcW w:w="3732" w:type="dxa"/>
            <w:gridSpan w:val="2"/>
            <w:tcBorders>
              <w:left w:val="single" w:sz="2" w:space="0" w:color="auto"/>
            </w:tcBorders>
            <w:shd w:val="clear" w:color="auto" w:fill="auto"/>
          </w:tcPr>
          <w:p w14:paraId="29A58186" w14:textId="77777777" w:rsidR="0054645F" w:rsidRPr="00E30AE6" w:rsidRDefault="0054645F" w:rsidP="0054645F">
            <w:pPr>
              <w:rPr>
                <w:b/>
                <w:bCs/>
                <w:sz w:val="18"/>
                <w:szCs w:val="18"/>
              </w:rPr>
            </w:pPr>
            <w:r w:rsidRPr="00E30AE6">
              <w:rPr>
                <w:sz w:val="18"/>
                <w:szCs w:val="18"/>
              </w:rPr>
              <w:t>Cash and Cash Equivalents at the Beginning of the Reporting Period</w:t>
            </w:r>
          </w:p>
        </w:tc>
        <w:tc>
          <w:tcPr>
            <w:tcW w:w="836" w:type="dxa"/>
            <w:shd w:val="clear" w:color="auto" w:fill="auto"/>
          </w:tcPr>
          <w:p w14:paraId="4D66C3BA" w14:textId="750BDADE" w:rsidR="0054645F" w:rsidRPr="003173AE" w:rsidRDefault="0054645F" w:rsidP="003173AE">
            <w:pPr>
              <w:jc w:val="right"/>
              <w:rPr>
                <w:sz w:val="18"/>
                <w:szCs w:val="18"/>
              </w:rPr>
            </w:pPr>
            <w:r w:rsidRPr="003173AE">
              <w:rPr>
                <w:sz w:val="18"/>
                <w:szCs w:val="18"/>
              </w:rPr>
              <w:t>5</w:t>
            </w:r>
          </w:p>
        </w:tc>
        <w:tc>
          <w:tcPr>
            <w:tcW w:w="4079" w:type="dxa"/>
            <w:gridSpan w:val="5"/>
            <w:shd w:val="clear" w:color="auto" w:fill="auto"/>
          </w:tcPr>
          <w:p w14:paraId="51F20232" w14:textId="6B515136" w:rsidR="0054645F" w:rsidRPr="00E30AE6" w:rsidRDefault="0054645F" w:rsidP="0054645F">
            <w:pPr>
              <w:rPr>
                <w:b/>
                <w:bCs/>
                <w:sz w:val="18"/>
                <w:szCs w:val="18"/>
              </w:rPr>
            </w:pPr>
          </w:p>
        </w:tc>
      </w:tr>
      <w:tr w:rsidR="0054645F" w:rsidRPr="006A75E5" w14:paraId="346A82CE" w14:textId="77777777" w:rsidTr="00307227">
        <w:trPr>
          <w:cantSplit/>
          <w:trHeight w:val="45"/>
        </w:trPr>
        <w:tc>
          <w:tcPr>
            <w:tcW w:w="1560" w:type="dxa"/>
            <w:tcBorders>
              <w:left w:val="single" w:sz="2" w:space="0" w:color="auto"/>
              <w:right w:val="single" w:sz="2" w:space="0" w:color="auto"/>
            </w:tcBorders>
          </w:tcPr>
          <w:p w14:paraId="46609CDA"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36E2ABF" w14:textId="77777777" w:rsidR="0054645F" w:rsidRPr="00E30AE6" w:rsidRDefault="0054645F" w:rsidP="0054645F">
            <w:pPr>
              <w:rPr>
                <w:b/>
                <w:bCs/>
                <w:sz w:val="18"/>
                <w:szCs w:val="18"/>
              </w:rPr>
            </w:pPr>
          </w:p>
        </w:tc>
      </w:tr>
      <w:tr w:rsidR="0054645F" w:rsidRPr="006A75E5" w14:paraId="09973C3A" w14:textId="77777777" w:rsidTr="00307227">
        <w:trPr>
          <w:cantSplit/>
          <w:trHeight w:val="45"/>
        </w:trPr>
        <w:tc>
          <w:tcPr>
            <w:tcW w:w="1560" w:type="dxa"/>
            <w:tcBorders>
              <w:left w:val="single" w:sz="2" w:space="0" w:color="auto"/>
              <w:right w:val="single" w:sz="2" w:space="0" w:color="auto"/>
            </w:tcBorders>
          </w:tcPr>
          <w:p w14:paraId="6CFBA6DE"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D3D73FC" w14:textId="38601054" w:rsidR="0054645F" w:rsidRPr="00E30AE6" w:rsidRDefault="0054645F" w:rsidP="0054645F">
            <w:pPr>
              <w:rPr>
                <w:b/>
                <w:bCs/>
                <w:sz w:val="18"/>
                <w:szCs w:val="18"/>
              </w:rPr>
            </w:pPr>
            <w:r w:rsidRPr="00E30AE6">
              <w:rPr>
                <w:b/>
                <w:sz w:val="18"/>
                <w:szCs w:val="18"/>
                <w:lang w:eastAsia="en-AU"/>
              </w:rPr>
              <w:t>Variance Explanations</w:t>
            </w:r>
          </w:p>
        </w:tc>
      </w:tr>
      <w:tr w:rsidR="0054645F" w:rsidRPr="006A75E5" w14:paraId="29B8B263" w14:textId="77777777" w:rsidTr="00307227">
        <w:trPr>
          <w:cantSplit/>
          <w:trHeight w:val="45"/>
        </w:trPr>
        <w:tc>
          <w:tcPr>
            <w:tcW w:w="1560" w:type="dxa"/>
            <w:tcBorders>
              <w:left w:val="single" w:sz="2" w:space="0" w:color="auto"/>
              <w:right w:val="single" w:sz="2" w:space="0" w:color="auto"/>
            </w:tcBorders>
          </w:tcPr>
          <w:p w14:paraId="79A4DB4B"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447DD09B" w14:textId="385F051F" w:rsidR="0054645F" w:rsidRPr="00E30AE6" w:rsidRDefault="0054645F" w:rsidP="00CB31DE">
            <w:pPr>
              <w:pStyle w:val="ListParagraph"/>
              <w:numPr>
                <w:ilvl w:val="0"/>
                <w:numId w:val="70"/>
              </w:numPr>
              <w:rPr>
                <w:b/>
                <w:bCs/>
                <w:sz w:val="18"/>
                <w:szCs w:val="18"/>
              </w:rPr>
            </w:pPr>
            <w:r w:rsidRPr="00E30AE6">
              <w:rPr>
                <w:sz w:val="18"/>
                <w:szCs w:val="18"/>
                <w:lang w:eastAsia="en-AU"/>
              </w:rPr>
              <w:t>[Insert major variance explanation]</w:t>
            </w:r>
          </w:p>
        </w:tc>
      </w:tr>
      <w:tr w:rsidR="0054645F" w:rsidRPr="006A75E5" w14:paraId="24DC32C5" w14:textId="77777777" w:rsidTr="00307227">
        <w:trPr>
          <w:cantSplit/>
          <w:trHeight w:val="45"/>
        </w:trPr>
        <w:tc>
          <w:tcPr>
            <w:tcW w:w="1560" w:type="dxa"/>
            <w:tcBorders>
              <w:left w:val="single" w:sz="2" w:space="0" w:color="auto"/>
              <w:right w:val="single" w:sz="2" w:space="0" w:color="auto"/>
            </w:tcBorders>
          </w:tcPr>
          <w:p w14:paraId="0341A58F"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878FF06" w14:textId="77777777" w:rsidR="0054645F" w:rsidRPr="00E30AE6" w:rsidRDefault="0054645F" w:rsidP="0054645F">
            <w:pPr>
              <w:rPr>
                <w:b/>
                <w:bCs/>
                <w:sz w:val="18"/>
                <w:szCs w:val="18"/>
              </w:rPr>
            </w:pPr>
          </w:p>
        </w:tc>
      </w:tr>
      <w:tr w:rsidR="001102B0" w:rsidRPr="009D3DBD" w14:paraId="633C7A45"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C74BCC" w14:textId="73817F4D" w:rsidR="001102B0" w:rsidRPr="00D51EF3" w:rsidRDefault="001102B0" w:rsidP="00571D49">
            <w:pPr>
              <w:pStyle w:val="TableReference"/>
              <w:tabs>
                <w:tab w:val="left" w:pos="3306"/>
              </w:tabs>
              <w:spacing w:before="240" w:after="240"/>
              <w:rPr>
                <w:rFonts w:asciiTheme="minorHAnsi" w:hAnsiTheme="minorHAnsi" w:cstheme="minorHAnsi"/>
                <w:b/>
                <w:color w:val="7030A0"/>
                <w:sz w:val="22"/>
                <w:szCs w:val="22"/>
              </w:rPr>
            </w:pPr>
            <w:r w:rsidRPr="00D51EF3">
              <w:rPr>
                <w:rFonts w:asciiTheme="minorHAnsi" w:hAnsiTheme="minorHAnsi" w:cstheme="minorHAnsi"/>
                <w:color w:val="7030A0"/>
                <w:sz w:val="22"/>
                <w:szCs w:val="22"/>
              </w:rPr>
              <w:br w:type="page"/>
            </w:r>
          </w:p>
        </w:tc>
        <w:tc>
          <w:tcPr>
            <w:tcW w:w="8647" w:type="dxa"/>
            <w:gridSpan w:val="8"/>
            <w:tcBorders>
              <w:top w:val="nil"/>
              <w:left w:val="single" w:sz="2" w:space="0" w:color="auto"/>
              <w:bottom w:val="nil"/>
              <w:right w:val="nil"/>
            </w:tcBorders>
            <w:shd w:val="clear" w:color="auto" w:fill="7030A0"/>
            <w:vAlign w:val="bottom"/>
          </w:tcPr>
          <w:p w14:paraId="76B39A89" w14:textId="79F33EA6" w:rsidR="001102B0" w:rsidRPr="00D51EF3" w:rsidRDefault="00BE2E80" w:rsidP="00571D49">
            <w:pPr>
              <w:pStyle w:val="CommentaryText"/>
              <w:tabs>
                <w:tab w:val="left" w:pos="3306"/>
              </w:tabs>
              <w:spacing w:before="240" w:after="240"/>
              <w:rPr>
                <w:rFonts w:cs="Calibri"/>
                <w:b/>
                <w:color w:val="FFFFFF" w:themeColor="background1"/>
                <w:sz w:val="28"/>
                <w:szCs w:val="28"/>
              </w:rPr>
            </w:pPr>
            <w:r w:rsidRPr="00D51EF3">
              <w:rPr>
                <w:rFonts w:cs="Calibri"/>
                <w:b/>
                <w:bCs/>
                <w:color w:val="FFFFFF" w:themeColor="background1"/>
                <w:sz w:val="28"/>
                <w:szCs w:val="28"/>
              </w:rPr>
              <w:t xml:space="preserve">Commentary Note </w:t>
            </w:r>
            <w:r w:rsidR="0057601E" w:rsidRPr="00D51EF3">
              <w:rPr>
                <w:rFonts w:cs="Calibri"/>
                <w:b/>
                <w:bCs/>
                <w:color w:val="FFFFFF" w:themeColor="background1"/>
                <w:sz w:val="28"/>
                <w:szCs w:val="28"/>
              </w:rPr>
              <w:t>5</w:t>
            </w:r>
            <w:r w:rsidR="00A05D1E">
              <w:rPr>
                <w:rFonts w:cs="Calibri"/>
                <w:b/>
                <w:bCs/>
                <w:color w:val="FFFFFF" w:themeColor="background1"/>
                <w:sz w:val="28"/>
                <w:szCs w:val="28"/>
              </w:rPr>
              <w:t>8</w:t>
            </w:r>
            <w:r w:rsidRPr="00D51EF3">
              <w:rPr>
                <w:rFonts w:cs="Calibri"/>
                <w:b/>
                <w:bCs/>
                <w:color w:val="FFFFFF" w:themeColor="background1"/>
                <w:sz w:val="28"/>
                <w:szCs w:val="28"/>
              </w:rPr>
              <w:t>: Budgetary Reporting – Territorial</w:t>
            </w:r>
          </w:p>
        </w:tc>
      </w:tr>
      <w:tr w:rsidR="001102B0" w:rsidRPr="009D3DBD" w14:paraId="137F52B8"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2B36BFBD" w14:textId="042D742B" w:rsidR="001102B0" w:rsidRPr="00D51EF3" w:rsidRDefault="009A39A4" w:rsidP="00863311">
            <w:pPr>
              <w:pStyle w:val="TableReference"/>
              <w:tabs>
                <w:tab w:val="left" w:pos="3306"/>
              </w:tabs>
              <w:spacing w:before="40"/>
              <w:rPr>
                <w:rFonts w:cs="Calibri"/>
                <w:color w:val="7030A0"/>
                <w:sz w:val="14"/>
              </w:rPr>
            </w:pPr>
            <w:r w:rsidRPr="00D51EF3">
              <w:rPr>
                <w:rFonts w:cs="Calibri"/>
                <w:color w:val="7030A0"/>
                <w:sz w:val="14"/>
              </w:rPr>
              <w:t>ACT Disclosure Policy</w:t>
            </w:r>
          </w:p>
        </w:tc>
        <w:tc>
          <w:tcPr>
            <w:tcW w:w="8647" w:type="dxa"/>
            <w:gridSpan w:val="8"/>
            <w:tcBorders>
              <w:top w:val="nil"/>
              <w:left w:val="single" w:sz="2" w:space="0" w:color="auto"/>
              <w:bottom w:val="nil"/>
              <w:right w:val="nil"/>
            </w:tcBorders>
            <w:shd w:val="clear" w:color="auto" w:fill="7030A0"/>
            <w:vAlign w:val="bottom"/>
          </w:tcPr>
          <w:p w14:paraId="016ED21D" w14:textId="0DB1A350" w:rsidR="001102B0" w:rsidRPr="00D51EF3" w:rsidRDefault="001102B0" w:rsidP="00F85282">
            <w:pPr>
              <w:spacing w:after="120"/>
              <w:jc w:val="both"/>
              <w:rPr>
                <w:rFonts w:cs="Calibri"/>
                <w:color w:val="FFFFFF" w:themeColor="background1"/>
                <w:sz w:val="18"/>
                <w:szCs w:val="18"/>
              </w:rPr>
            </w:pPr>
            <w:r w:rsidRPr="00D51EF3">
              <w:rPr>
                <w:rFonts w:cs="Calibri"/>
                <w:color w:val="FFFFFF" w:themeColor="background1"/>
                <w:sz w:val="18"/>
                <w:szCs w:val="18"/>
              </w:rPr>
              <w:t xml:space="preserve">AASB 1055 </w:t>
            </w:r>
            <w:r w:rsidRPr="00D51EF3">
              <w:rPr>
                <w:rFonts w:cs="Calibri"/>
                <w:i/>
                <w:color w:val="FFFFFF" w:themeColor="background1"/>
                <w:sz w:val="18"/>
                <w:szCs w:val="18"/>
              </w:rPr>
              <w:t>Budgetary Reporting</w:t>
            </w:r>
            <w:r w:rsidRPr="00D51EF3">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r w:rsidRPr="00D51EF3">
              <w:rPr>
                <w:rFonts w:cs="Calibri"/>
                <w:color w:val="FFFFFF" w:themeColor="background1"/>
                <w:sz w:val="18"/>
                <w:szCs w:val="18"/>
              </w:rPr>
              <w:t>AASB 1055 does not apply to for-profit agencies.</w:t>
            </w:r>
            <w:r w:rsidR="00FA7C77">
              <w:rPr>
                <w:rFonts w:cs="Calibri"/>
                <w:color w:val="FFFFFF" w:themeColor="background1"/>
                <w:sz w:val="18"/>
                <w:szCs w:val="18"/>
              </w:rPr>
              <w:t xml:space="preserve"> </w:t>
            </w:r>
            <w:r w:rsidRPr="00D51EF3">
              <w:rPr>
                <w:rFonts w:cs="Calibri"/>
                <w:color w:val="FFFFFF" w:themeColor="background1"/>
                <w:sz w:val="18"/>
                <w:szCs w:val="18"/>
              </w:rPr>
              <w:t xml:space="preserve">However, it is ACT Disclosure Policy that for-profit </w:t>
            </w:r>
            <w:r w:rsidR="00995417">
              <w:rPr>
                <w:rFonts w:cs="Calibri"/>
                <w:color w:val="FFFFFF" w:themeColor="background1"/>
                <w:sz w:val="18"/>
                <w:szCs w:val="18"/>
              </w:rPr>
              <w:t>t</w:t>
            </w:r>
            <w:r w:rsidRPr="00D51EF3">
              <w:rPr>
                <w:rFonts w:cs="Calibri"/>
                <w:color w:val="FFFFFF" w:themeColor="background1"/>
                <w:sz w:val="18"/>
                <w:szCs w:val="18"/>
              </w:rPr>
              <w:t xml:space="preserve">erritory </w:t>
            </w:r>
            <w:r w:rsidR="00995417">
              <w:rPr>
                <w:rFonts w:cs="Calibri"/>
                <w:color w:val="FFFFFF" w:themeColor="background1"/>
                <w:sz w:val="18"/>
                <w:szCs w:val="18"/>
              </w:rPr>
              <w:t>a</w:t>
            </w:r>
            <w:r w:rsidRPr="00D51EF3">
              <w:rPr>
                <w:rFonts w:cs="Calibri"/>
                <w:color w:val="FFFFFF" w:themeColor="background1"/>
                <w:sz w:val="18"/>
                <w:szCs w:val="18"/>
              </w:rPr>
              <w:t xml:space="preserve">uthorities also adopt AASB 1055 for reporting purposes. </w:t>
            </w:r>
          </w:p>
        </w:tc>
      </w:tr>
      <w:tr w:rsidR="00F85282" w:rsidRPr="009D3DBD" w14:paraId="45E31297"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2AC362"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D963103" w14:textId="6B718BCA" w:rsidR="00F85282" w:rsidRPr="00D51EF3" w:rsidRDefault="00F85282" w:rsidP="00BE2E80">
            <w:pPr>
              <w:spacing w:after="120"/>
              <w:jc w:val="both"/>
              <w:rPr>
                <w:rFonts w:cs="Calibri"/>
                <w:color w:val="FFFFFF" w:themeColor="background1"/>
                <w:sz w:val="18"/>
                <w:szCs w:val="18"/>
              </w:rPr>
            </w:pPr>
            <w:r w:rsidRPr="00D51EF3">
              <w:rPr>
                <w:rFonts w:cs="Calibri"/>
                <w:color w:val="FFFFFF" w:themeColor="background1"/>
                <w:sz w:val="18"/>
                <w:szCs w:val="18"/>
              </w:rPr>
              <w:t>Disclosures under AASB 1055 are intended to provide users with information relevant to assessing the financial performance of an agency. The main user is considered to be the Legislative Assembly.</w:t>
            </w:r>
          </w:p>
        </w:tc>
      </w:tr>
      <w:tr w:rsidR="00F85282" w:rsidRPr="009D3DBD" w14:paraId="1D87C306"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52437A7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0846CC7" w14:textId="1722B6E7" w:rsidR="00F85282" w:rsidRPr="00D51EF3" w:rsidRDefault="00F85282" w:rsidP="003173AE">
            <w:pPr>
              <w:spacing w:after="40"/>
              <w:jc w:val="both"/>
              <w:rPr>
                <w:rFonts w:cs="Calibri"/>
                <w:color w:val="FFFFFF" w:themeColor="background1"/>
                <w:sz w:val="18"/>
                <w:szCs w:val="18"/>
              </w:rPr>
            </w:pPr>
            <w:r w:rsidRPr="00D51EF3">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995417">
              <w:rPr>
                <w:rFonts w:cs="Calibri"/>
                <w:color w:val="FFFFFF" w:themeColor="background1"/>
                <w:sz w:val="18"/>
                <w:szCs w:val="18"/>
              </w:rPr>
              <w:t>t</w:t>
            </w:r>
            <w:r w:rsidRPr="00D51EF3">
              <w:rPr>
                <w:rFonts w:cs="Calibri"/>
                <w:color w:val="FFFFFF" w:themeColor="background1"/>
                <w:sz w:val="18"/>
                <w:szCs w:val="18"/>
              </w:rPr>
              <w:t xml:space="preserve">erritory </w:t>
            </w:r>
            <w:r w:rsidR="00995417">
              <w:rPr>
                <w:rFonts w:cs="Calibri"/>
                <w:color w:val="FFFFFF" w:themeColor="background1"/>
                <w:sz w:val="18"/>
                <w:szCs w:val="18"/>
              </w:rPr>
              <w:t>a</w:t>
            </w:r>
            <w:r w:rsidRPr="00D51EF3">
              <w:rPr>
                <w:rFonts w:cs="Calibri"/>
                <w:color w:val="FFFFFF" w:themeColor="background1"/>
                <w:sz w:val="18"/>
                <w:szCs w:val="18"/>
              </w:rPr>
              <w:t>uthority will need to disclose for the reporting period:</w:t>
            </w:r>
          </w:p>
          <w:p w14:paraId="634DD8EB" w14:textId="3BE8F1C4" w:rsidR="00F85282" w:rsidRPr="00D51EF3" w:rsidRDefault="00F85282" w:rsidP="003173AE">
            <w:pPr>
              <w:numPr>
                <w:ilvl w:val="0"/>
                <w:numId w:val="32"/>
              </w:numPr>
              <w:spacing w:after="40"/>
              <w:ind w:left="414" w:hanging="357"/>
              <w:jc w:val="both"/>
              <w:rPr>
                <w:rFonts w:cs="Calibri"/>
                <w:color w:val="FFFFFF" w:themeColor="background1"/>
                <w:sz w:val="18"/>
                <w:szCs w:val="18"/>
              </w:rPr>
            </w:pPr>
            <w:r w:rsidRPr="00D51EF3">
              <w:rPr>
                <w:rFonts w:cs="Calibri"/>
                <w:color w:val="FFFFFF" w:themeColor="background1"/>
                <w:sz w:val="18"/>
                <w:szCs w:val="18"/>
              </w:rPr>
              <w:t>The original budget figures as presented to the Legislative Assembly, in a form that is consistent with the agency’s annual financial statements; and</w:t>
            </w:r>
          </w:p>
          <w:p w14:paraId="01BF28AA" w14:textId="3C87AC47" w:rsidR="00F85282" w:rsidRPr="00D51EF3" w:rsidRDefault="00F85282" w:rsidP="00CB31DE">
            <w:pPr>
              <w:numPr>
                <w:ilvl w:val="0"/>
                <w:numId w:val="32"/>
              </w:numPr>
              <w:ind w:left="414" w:hanging="357"/>
              <w:jc w:val="both"/>
              <w:rPr>
                <w:rFonts w:cs="Calibri"/>
                <w:color w:val="FFFFFF" w:themeColor="background1"/>
                <w:sz w:val="18"/>
                <w:szCs w:val="18"/>
              </w:rPr>
            </w:pPr>
            <w:r w:rsidRPr="00D51EF3">
              <w:rPr>
                <w:rFonts w:cs="Calibri"/>
                <w:color w:val="FFFFFF" w:themeColor="background1"/>
                <w:sz w:val="18"/>
                <w:szCs w:val="18"/>
              </w:rPr>
              <w:t>Explanations of major variances between actual amounts presented in the financial statements and the corresponding individual original budget amounts.</w:t>
            </w:r>
          </w:p>
        </w:tc>
      </w:tr>
      <w:tr w:rsidR="00F85282" w:rsidRPr="009D3DBD" w14:paraId="5D877219"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5317F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48CC37DA" w14:textId="475508E7" w:rsidR="00F85282" w:rsidRPr="00D51EF3" w:rsidRDefault="00F85282" w:rsidP="00F85282">
            <w:pPr>
              <w:spacing w:before="120" w:after="120"/>
              <w:jc w:val="both"/>
              <w:rPr>
                <w:rFonts w:cs="Calibri"/>
                <w:color w:val="FFFFFF" w:themeColor="background1"/>
                <w:sz w:val="18"/>
                <w:szCs w:val="18"/>
              </w:rPr>
            </w:pPr>
            <w:r w:rsidRPr="00D51EF3">
              <w:rPr>
                <w:rFonts w:cs="Calibri"/>
                <w:color w:val="FFFFFF" w:themeColor="background1"/>
                <w:sz w:val="18"/>
                <w:szCs w:val="18"/>
              </w:rPr>
              <w:t xml:space="preserve">It is ACT Disclosure Policy that budgetary reporting be disclosed for territorial as well as controlled. </w:t>
            </w:r>
          </w:p>
        </w:tc>
      </w:tr>
      <w:tr w:rsidR="00876E48" w:rsidRPr="009D3DBD" w14:paraId="346E1A6D"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2AD583" w14:textId="77777777" w:rsidR="00876E48" w:rsidRPr="00D51EF3" w:rsidRDefault="00876E48"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044DB6E5" w14:textId="6B6135CD" w:rsidR="00876E48" w:rsidRPr="00D51EF3" w:rsidRDefault="00876E48" w:rsidP="00F85282">
            <w:pPr>
              <w:spacing w:before="120" w:after="120"/>
              <w:jc w:val="both"/>
              <w:rPr>
                <w:rFonts w:cs="Calibri"/>
                <w:color w:val="FFFFFF" w:themeColor="background1"/>
                <w:sz w:val="18"/>
                <w:szCs w:val="18"/>
              </w:rPr>
            </w:pPr>
            <w:r w:rsidRPr="00D51EF3">
              <w:rPr>
                <w:rFonts w:cs="Calibri"/>
                <w:color w:val="FFFFFF" w:themeColor="background1"/>
                <w:sz w:val="18"/>
                <w:szCs w:val="18"/>
              </w:rPr>
              <w:t>For more information in relation to Budgetary Reporting see the Commentary in</w:t>
            </w:r>
            <w:r w:rsidR="0084379F" w:rsidRPr="00D51EF3">
              <w:rPr>
                <w:rFonts w:cs="Calibri"/>
                <w:color w:val="FFFFFF" w:themeColor="background1"/>
                <w:sz w:val="18"/>
                <w:szCs w:val="18"/>
              </w:rPr>
              <w:t xml:space="preserve"> Note 4</w:t>
            </w:r>
            <w:r w:rsidR="0057601E" w:rsidRPr="00D51EF3">
              <w:rPr>
                <w:rFonts w:cs="Calibri"/>
                <w:color w:val="FFFFFF" w:themeColor="background1"/>
                <w:sz w:val="18"/>
                <w:szCs w:val="18"/>
              </w:rPr>
              <w:t>0</w:t>
            </w:r>
            <w:r w:rsidR="0084379F" w:rsidRPr="00D51EF3">
              <w:rPr>
                <w:rFonts w:cs="Calibri"/>
                <w:color w:val="FFFFFF" w:themeColor="background1"/>
                <w:sz w:val="18"/>
                <w:szCs w:val="18"/>
              </w:rPr>
              <w:t xml:space="preserve"> </w:t>
            </w:r>
            <w:r w:rsidR="0084379F" w:rsidRPr="00D51EF3">
              <w:rPr>
                <w:rFonts w:cs="Calibri"/>
                <w:i/>
                <w:iCs/>
                <w:color w:val="FFFFFF" w:themeColor="background1"/>
                <w:sz w:val="18"/>
                <w:szCs w:val="18"/>
              </w:rPr>
              <w:t>Budgetary Reporting</w:t>
            </w:r>
            <w:r w:rsidR="0084379F" w:rsidRPr="00D51EF3">
              <w:rPr>
                <w:rFonts w:cs="Calibri"/>
                <w:color w:val="FFFFFF" w:themeColor="background1"/>
                <w:sz w:val="18"/>
                <w:szCs w:val="18"/>
              </w:rPr>
              <w:t>.</w:t>
            </w:r>
            <w:r w:rsidR="00FA7C77">
              <w:rPr>
                <w:rFonts w:cs="Calibri"/>
                <w:color w:val="FFFFFF" w:themeColor="background1"/>
                <w:sz w:val="18"/>
                <w:szCs w:val="18"/>
              </w:rPr>
              <w:t xml:space="preserve"> </w:t>
            </w:r>
          </w:p>
        </w:tc>
      </w:tr>
    </w:tbl>
    <w:p w14:paraId="7129510F" w14:textId="4E4F0AC8" w:rsidR="00313776" w:rsidRPr="0009580B" w:rsidRDefault="00313776" w:rsidP="00A14734">
      <w:pPr>
        <w:pStyle w:val="Heading1"/>
        <w:numPr>
          <w:ilvl w:val="0"/>
          <w:numId w:val="0"/>
        </w:numPr>
        <w:rPr>
          <w:color w:val="538135" w:themeColor="accent6" w:themeShade="BF"/>
        </w:rPr>
      </w:pPr>
    </w:p>
    <w:sectPr w:rsidR="00313776" w:rsidRPr="0009580B" w:rsidSect="00E30AE6">
      <w:headerReference w:type="default" r:id="rId52"/>
      <w:pgSz w:w="11906" w:h="16838"/>
      <w:pgMar w:top="1418" w:right="1440" w:bottom="709" w:left="1440"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A61C" w14:textId="77777777" w:rsidR="00A04F8C" w:rsidRDefault="00A04F8C">
      <w:r>
        <w:separator/>
      </w:r>
    </w:p>
  </w:endnote>
  <w:endnote w:type="continuationSeparator" w:id="0">
    <w:p w14:paraId="0AA73E53" w14:textId="77777777" w:rsidR="00A04F8C" w:rsidRDefault="00A0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BCAD" w14:textId="77777777" w:rsidR="00A04F8C" w:rsidRPr="00E4609D" w:rsidRDefault="00A04F8C" w:rsidP="009E196B">
    <w:pPr>
      <w:pStyle w:val="Footer"/>
      <w:jc w:val="center"/>
    </w:pPr>
    <w:r>
      <w:fldChar w:fldCharType="begin"/>
    </w:r>
    <w:r>
      <w:instrText xml:space="preserve"> PAGE   \* MERGEFORMAT </w:instrText>
    </w:r>
    <w:r>
      <w:fldChar w:fldCharType="separate"/>
    </w:r>
    <w:r>
      <w:rPr>
        <w:noProof/>
      </w:rPr>
      <w:t>vi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168905"/>
      <w:docPartObj>
        <w:docPartGallery w:val="Page Numbers (Bottom of Page)"/>
        <w:docPartUnique/>
      </w:docPartObj>
    </w:sdtPr>
    <w:sdtEndPr>
      <w:rPr>
        <w:noProof/>
      </w:rPr>
    </w:sdtEndPr>
    <w:sdtContent>
      <w:p w14:paraId="776D6C04"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892158"/>
      <w:docPartObj>
        <w:docPartGallery w:val="Page Numbers (Bottom of Page)"/>
        <w:docPartUnique/>
      </w:docPartObj>
    </w:sdtPr>
    <w:sdtEndPr>
      <w:rPr>
        <w:noProof/>
      </w:rPr>
    </w:sdtEndPr>
    <w:sdtContent>
      <w:p w14:paraId="1566E04C" w14:textId="77777777" w:rsidR="00A04F8C" w:rsidRPr="00AE152F" w:rsidRDefault="00A04F8C" w:rsidP="00AE152F">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2B90" w14:textId="77777777" w:rsidR="00A04F8C" w:rsidRDefault="00A04F8C">
    <w:pPr>
      <w:pStyle w:val="Footer"/>
      <w:jc w:val="center"/>
    </w:pPr>
    <w:r>
      <w:fldChar w:fldCharType="begin"/>
    </w:r>
    <w:r>
      <w:instrText xml:space="preserve"> PAGE   \* MERGEFORMAT </w:instrText>
    </w:r>
    <w:r>
      <w:fldChar w:fldCharType="separate"/>
    </w:r>
    <w:r>
      <w:rPr>
        <w:noProof/>
      </w:rPr>
      <w:t>ii</w:t>
    </w:r>
    <w:r>
      <w:fldChar w:fldCharType="end"/>
    </w:r>
  </w:p>
  <w:p w14:paraId="7EA42739" w14:textId="77777777" w:rsidR="00A04F8C" w:rsidRPr="009E196B" w:rsidRDefault="00A04F8C" w:rsidP="009E1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349A"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15</w:t>
    </w:r>
    <w:r w:rsidRPr="00AF16A7">
      <w:rPr>
        <w:rStyle w:val="PageNumber"/>
        <w:rFonts w:cs="Calibri"/>
      </w:rPr>
      <w:fldChar w:fldCharType="end"/>
    </w:r>
  </w:p>
  <w:p w14:paraId="4C48C3D9" w14:textId="77777777" w:rsidR="00A04F8C" w:rsidRDefault="00A04F8C" w:rsidP="00C93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F829"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17</w:t>
    </w:r>
    <w:r w:rsidRPr="00AF16A7">
      <w:rPr>
        <w:rStyle w:val="PageNumber"/>
        <w:rFonts w:cs="Calibri"/>
      </w:rPr>
      <w:fldChar w:fldCharType="end"/>
    </w:r>
  </w:p>
  <w:p w14:paraId="7C272B7C" w14:textId="77777777" w:rsidR="00A04F8C" w:rsidRDefault="00A04F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C66B"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23</w:t>
    </w:r>
    <w:r w:rsidRPr="00AF16A7">
      <w:rPr>
        <w:rStyle w:val="PageNumber"/>
        <w:rFonts w:cs="Calibri"/>
      </w:rPr>
      <w:fldChar w:fldCharType="end"/>
    </w:r>
  </w:p>
  <w:p w14:paraId="61E0A2A1" w14:textId="77777777" w:rsidR="00A04F8C" w:rsidRDefault="00A04F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991900"/>
      <w:docPartObj>
        <w:docPartGallery w:val="Page Numbers (Bottom of Page)"/>
        <w:docPartUnique/>
      </w:docPartObj>
    </w:sdtPr>
    <w:sdtEndPr>
      <w:rPr>
        <w:noProof/>
      </w:rPr>
    </w:sdtEndPr>
    <w:sdtContent>
      <w:p w14:paraId="1232A059"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18635"/>
      <w:docPartObj>
        <w:docPartGallery w:val="Page Numbers (Bottom of Page)"/>
        <w:docPartUnique/>
      </w:docPartObj>
    </w:sdtPr>
    <w:sdtEndPr>
      <w:rPr>
        <w:noProof/>
      </w:rPr>
    </w:sdtEndPr>
    <w:sdtContent>
      <w:p w14:paraId="5D20602C"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F9EE" w14:textId="77777777" w:rsidR="00A04F8C" w:rsidRDefault="00A04F8C" w:rsidP="0086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9E717" w14:textId="77777777" w:rsidR="00A04F8C" w:rsidRDefault="00A04F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480572"/>
      <w:docPartObj>
        <w:docPartGallery w:val="Page Numbers (Bottom of Page)"/>
        <w:docPartUnique/>
      </w:docPartObj>
    </w:sdtPr>
    <w:sdtEndPr>
      <w:rPr>
        <w:noProof/>
      </w:rPr>
    </w:sdtEndPr>
    <w:sdtContent>
      <w:p w14:paraId="3ED39FFA"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B12AF" w14:textId="77777777" w:rsidR="00A04F8C" w:rsidRPr="008073D6" w:rsidRDefault="00A04F8C" w:rsidP="008073D6">
      <w:pPr>
        <w:pStyle w:val="Footer"/>
      </w:pPr>
    </w:p>
  </w:footnote>
  <w:footnote w:type="continuationSeparator" w:id="0">
    <w:p w14:paraId="788C6F78" w14:textId="77777777" w:rsidR="00A04F8C" w:rsidRDefault="00A04F8C">
      <w:r>
        <w:continuationSeparator/>
      </w:r>
    </w:p>
  </w:footnote>
  <w:footnote w:type="continuationNotice" w:id="1">
    <w:p w14:paraId="319A543D" w14:textId="77777777" w:rsidR="00A04F8C" w:rsidRDefault="00A04F8C"/>
  </w:footnote>
  <w:footnote w:id="2">
    <w:p w14:paraId="38462629" w14:textId="77777777" w:rsidR="00784D00" w:rsidRDefault="00784D00" w:rsidP="00F2614A"/>
    <w:p w14:paraId="7632B7E7" w14:textId="77777777" w:rsidR="00784D00" w:rsidRPr="00747DCD" w:rsidRDefault="00784D00" w:rsidP="00F2614A">
      <w:pPr>
        <w:pStyle w:val="FootnoteText"/>
        <w:rPr>
          <w:color w:val="auto"/>
        </w:rPr>
      </w:pPr>
    </w:p>
  </w:footnote>
  <w:footnote w:id="3">
    <w:p w14:paraId="5AAFB1CD" w14:textId="77777777" w:rsidR="00784D00" w:rsidRDefault="00784D00" w:rsidP="00F2614A"/>
    <w:p w14:paraId="2144EA41" w14:textId="77777777" w:rsidR="00784D00" w:rsidRPr="00747DCD" w:rsidRDefault="00784D00" w:rsidP="00F2614A">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47FE" w14:textId="77777777" w:rsidR="00571D49" w:rsidRPr="00810B4A" w:rsidRDefault="00571D49" w:rsidP="00571D49">
    <w:pPr>
      <w:pStyle w:val="headerhead"/>
    </w:pPr>
    <w:r w:rsidRPr="00810B4A">
      <w:t>‘Burley Griffin Agency’</w:t>
    </w:r>
  </w:p>
  <w:p w14:paraId="045EB830" w14:textId="77777777" w:rsidR="00571D49" w:rsidRPr="00810B4A" w:rsidRDefault="00571D49" w:rsidP="00571D49">
    <w:pPr>
      <w:pStyle w:val="headerhead"/>
    </w:pPr>
    <w:r w:rsidRPr="00810B4A">
      <w:t xml:space="preserve">Notes to and Forming Part of the Financial Statements </w:t>
    </w:r>
  </w:p>
  <w:p w14:paraId="61324259" w14:textId="40CCC5E8" w:rsidR="00571D49" w:rsidRPr="00571D49" w:rsidRDefault="00571D49" w:rsidP="00571D49">
    <w:pPr>
      <w:pStyle w:val="Header"/>
      <w:jc w:val="center"/>
      <w:rPr>
        <w:rFonts w:cs="Arial"/>
        <w:b/>
        <w:caps/>
        <w:szCs w:val="16"/>
      </w:rPr>
    </w:pPr>
    <w:r w:rsidRPr="00571D49">
      <w:rPr>
        <w:rFonts w:cs="Arial"/>
        <w:b/>
        <w:caps/>
        <w:szCs w:val="16"/>
      </w:rPr>
      <w:t>For the Year Ended 30 June 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C37D" w14:textId="2FD08A91" w:rsidR="00A04F8C" w:rsidRPr="008E2886" w:rsidRDefault="00A04F8C" w:rsidP="003C13E7">
    <w:pPr>
      <w:pStyle w:val="headerhead"/>
    </w:pPr>
    <w:r w:rsidRPr="008E2886">
      <w:t>‘</w:t>
    </w:r>
    <w:r w:rsidR="002F67B3" w:rsidRPr="008E2886">
      <w:t>Burley GrifFin</w:t>
    </w:r>
    <w:r w:rsidRPr="008E2886">
      <w:t xml:space="preserve"> Agency’</w:t>
    </w:r>
  </w:p>
  <w:p w14:paraId="04824B82" w14:textId="5D8064C2" w:rsidR="00A04F8C" w:rsidRPr="008E2886" w:rsidRDefault="00A04F8C" w:rsidP="008E2886">
    <w:pPr>
      <w:pStyle w:val="headerhead"/>
      <w:spacing w:after="240"/>
    </w:pPr>
    <w:r w:rsidRPr="008E2886">
      <w:t>Financial Statements For the Year Ended 30 June 202</w:t>
    </w:r>
    <w:r w:rsidR="00D50594">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08E7" w14:textId="754CB442" w:rsidR="00A04F8C" w:rsidRPr="00F70B16" w:rsidRDefault="00A04F8C" w:rsidP="00AD56C6">
    <w:pPr>
      <w:pStyle w:val="headerhead"/>
    </w:pPr>
    <w:r w:rsidRPr="00371BF4">
      <w:t>‘</w:t>
    </w:r>
    <w:r w:rsidR="00836324" w:rsidRPr="00F70B16">
      <w:t xml:space="preserve">Burley Griffin </w:t>
    </w:r>
    <w:r w:rsidRPr="00F70B16">
      <w:t>Agency’</w:t>
    </w:r>
  </w:p>
  <w:p w14:paraId="68C6703D" w14:textId="432874C1" w:rsidR="00A04F8C" w:rsidRPr="00F70B16" w:rsidRDefault="00A04F8C" w:rsidP="00A26DB2">
    <w:pPr>
      <w:pStyle w:val="headerhead"/>
      <w:spacing w:after="240"/>
    </w:pPr>
    <w:r w:rsidRPr="00F70B16">
      <w:t>Financial Statements For the Year Ended 30 June 202</w:t>
    </w:r>
    <w:r w:rsidR="00D50594">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D604" w14:textId="3A0A12A9" w:rsidR="00A04F8C" w:rsidRPr="003E6941" w:rsidRDefault="00A04F8C" w:rsidP="00435A25">
    <w:pPr>
      <w:pStyle w:val="headerhead"/>
    </w:pPr>
    <w:r w:rsidRPr="003E6941">
      <w:t>‘</w:t>
    </w:r>
    <w:r w:rsidR="00836324" w:rsidRPr="003E6941">
      <w:t xml:space="preserve">Burley Griffin </w:t>
    </w:r>
    <w:r w:rsidRPr="003E6941">
      <w:t>Agency’</w:t>
    </w:r>
  </w:p>
  <w:p w14:paraId="259E00E4" w14:textId="3AB400AD" w:rsidR="00A04F8C" w:rsidRPr="003E6941" w:rsidRDefault="00A04F8C" w:rsidP="00572AEC">
    <w:pPr>
      <w:pStyle w:val="headerhead"/>
      <w:spacing w:after="240"/>
    </w:pPr>
    <w:r w:rsidRPr="003E6941">
      <w:t>Financial Statements For the Year Ended 30 June 202</w:t>
    </w:r>
    <w:r w:rsidR="00D50594">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A65" w14:textId="5C7D4C24" w:rsidR="00A04F8C" w:rsidRPr="00572AEC" w:rsidRDefault="00A04F8C" w:rsidP="006128E8">
    <w:pPr>
      <w:pStyle w:val="headerhead"/>
    </w:pPr>
    <w:r w:rsidRPr="00572AEC">
      <w:t>‘</w:t>
    </w:r>
    <w:r w:rsidR="00836324" w:rsidRPr="00572AEC">
      <w:t xml:space="preserve">Burley Griffin </w:t>
    </w:r>
    <w:r w:rsidRPr="00572AEC">
      <w:t>Agency’</w:t>
    </w:r>
  </w:p>
  <w:p w14:paraId="7B056713" w14:textId="01A6121A" w:rsidR="00A04F8C" w:rsidRPr="00572AEC" w:rsidRDefault="00A04F8C" w:rsidP="00572AEC">
    <w:pPr>
      <w:pStyle w:val="headerhead"/>
      <w:spacing w:after="240"/>
    </w:pPr>
    <w:r w:rsidRPr="00572AEC">
      <w:t>Financial Statements For the Year Ended 30 June 202</w:t>
    </w:r>
    <w:r w:rsidR="00826627">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D5F4" w14:textId="03A924AF" w:rsidR="00A04F8C" w:rsidRPr="006911F3" w:rsidRDefault="00A04F8C" w:rsidP="006128E8">
    <w:pPr>
      <w:pStyle w:val="headerhead"/>
    </w:pPr>
    <w:r w:rsidRPr="00371BF4">
      <w:t>‘</w:t>
    </w:r>
    <w:r w:rsidR="00836324" w:rsidRPr="006911F3">
      <w:t xml:space="preserve">Burley Griffin </w:t>
    </w:r>
    <w:r w:rsidRPr="006911F3">
      <w:t>Agency’</w:t>
    </w:r>
  </w:p>
  <w:p w14:paraId="29EFC4AA" w14:textId="6548920B" w:rsidR="00A04F8C" w:rsidRPr="006911F3" w:rsidRDefault="00A04F8C" w:rsidP="006911F3">
    <w:pPr>
      <w:pStyle w:val="headerhead"/>
      <w:spacing w:after="240"/>
      <w:rPr>
        <w:b w:val="0"/>
      </w:rPr>
    </w:pPr>
    <w:r w:rsidRPr="006911F3">
      <w:t>Financial Statements For the Year Ended 30 June 202</w:t>
    </w:r>
    <w:r w:rsidR="00826627">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B52B" w14:textId="3CC32E80" w:rsidR="00A04F8C" w:rsidRPr="009223E0" w:rsidRDefault="00A04F8C" w:rsidP="006128E8">
    <w:pPr>
      <w:pStyle w:val="headerhead"/>
    </w:pPr>
    <w:r w:rsidRPr="00371BF4">
      <w:t>‘</w:t>
    </w:r>
    <w:r w:rsidR="009A1E81" w:rsidRPr="009223E0">
      <w:t xml:space="preserve">Burley Griffin </w:t>
    </w:r>
    <w:r w:rsidRPr="009223E0">
      <w:t>Agency’</w:t>
    </w:r>
  </w:p>
  <w:p w14:paraId="1AB1299C" w14:textId="77777777" w:rsidR="00A04F8C" w:rsidRPr="009223E0" w:rsidRDefault="00A04F8C" w:rsidP="006128E8">
    <w:pPr>
      <w:pStyle w:val="headerhead"/>
    </w:pPr>
    <w:r w:rsidRPr="009223E0">
      <w:t>Notes to and Forming Part of the Financial Statements</w:t>
    </w:r>
  </w:p>
  <w:p w14:paraId="19960A3C" w14:textId="7C6AB596" w:rsidR="00A04F8C" w:rsidRPr="009223E0" w:rsidRDefault="00A04F8C" w:rsidP="009223E0">
    <w:pPr>
      <w:pStyle w:val="headerhead"/>
      <w:spacing w:after="240"/>
      <w:rPr>
        <w:szCs w:val="36"/>
      </w:rPr>
    </w:pPr>
    <w:r w:rsidRPr="009223E0">
      <w:t>For the Year Ended 30 June 202</w:t>
    </w:r>
    <w:r w:rsidR="00826627">
      <w:t>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88C7" w14:textId="39FFF6C7" w:rsidR="00A04F8C" w:rsidRPr="003262FD" w:rsidRDefault="00A04F8C" w:rsidP="006128E8">
    <w:pPr>
      <w:pStyle w:val="headerhead"/>
    </w:pPr>
    <w:r w:rsidRPr="003262FD">
      <w:t>‘Burley GRIFFIN Agency’</w:t>
    </w:r>
  </w:p>
  <w:p w14:paraId="130A3793" w14:textId="77777777" w:rsidR="00A04F8C" w:rsidRPr="003262FD" w:rsidRDefault="00A04F8C" w:rsidP="006128E8">
    <w:pPr>
      <w:pStyle w:val="headerhead"/>
    </w:pPr>
    <w:r w:rsidRPr="003262FD">
      <w:t xml:space="preserve">Notes to and Forming Part of the Financial Statements </w:t>
    </w:r>
  </w:p>
  <w:p w14:paraId="0A02D0DB" w14:textId="61A7CE2A" w:rsidR="00A04F8C" w:rsidRPr="003262FD" w:rsidRDefault="00A04F8C" w:rsidP="003262FD">
    <w:pPr>
      <w:pStyle w:val="headerhead"/>
      <w:spacing w:after="120"/>
      <w:rPr>
        <w:szCs w:val="40"/>
      </w:rPr>
    </w:pPr>
    <w:r w:rsidRPr="003262FD">
      <w:t>For the Year Ended 30 June 202</w:t>
    </w:r>
    <w:r w:rsidR="00E01181">
      <w:t>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2F39" w14:textId="13EAB352" w:rsidR="00A04F8C" w:rsidRPr="00810B4A" w:rsidRDefault="00A04F8C" w:rsidP="009039C0">
    <w:pPr>
      <w:pStyle w:val="headerhead"/>
    </w:pPr>
    <w:bookmarkStart w:id="903" w:name="_Hlk90500349"/>
    <w:bookmarkStart w:id="904" w:name="_Hlk90500350"/>
    <w:r w:rsidRPr="00810B4A">
      <w:t>‘</w:t>
    </w:r>
    <w:r w:rsidR="003B044B" w:rsidRPr="00810B4A">
      <w:t xml:space="preserve">Burley Griffin </w:t>
    </w:r>
    <w:r w:rsidRPr="00810B4A">
      <w:t>Agency’</w:t>
    </w:r>
  </w:p>
  <w:p w14:paraId="2F2BA8A0" w14:textId="77777777" w:rsidR="00A04F8C" w:rsidRPr="00810B4A" w:rsidRDefault="00A04F8C" w:rsidP="009039C0">
    <w:pPr>
      <w:pStyle w:val="headerhead"/>
    </w:pPr>
    <w:r w:rsidRPr="00810B4A">
      <w:t xml:space="preserve">Notes to and Forming Part of the Financial Statements </w:t>
    </w:r>
  </w:p>
  <w:p w14:paraId="38F0D2F9" w14:textId="55531839" w:rsidR="00A04F8C" w:rsidRPr="009039C0" w:rsidRDefault="00A04F8C" w:rsidP="00810B4A">
    <w:pPr>
      <w:pStyle w:val="headerhead"/>
      <w:spacing w:after="120"/>
      <w:rPr>
        <w:sz w:val="16"/>
      </w:rPr>
    </w:pPr>
    <w:r w:rsidRPr="00810B4A">
      <w:t xml:space="preserve">For the Year Ended 30 June </w:t>
    </w:r>
    <w:r w:rsidRPr="00810B4A">
      <w:rPr>
        <w:rFonts w:cs="Calibri"/>
      </w:rPr>
      <w:t>202</w:t>
    </w:r>
    <w:bookmarkEnd w:id="903"/>
    <w:bookmarkEnd w:id="904"/>
    <w:r w:rsidR="00D55D52">
      <w:rPr>
        <w:rFonts w:cs="Calibri"/>
      </w:rPr>
      <w:t>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C6B7" w14:textId="148BFF13" w:rsidR="00A04F8C" w:rsidRPr="00FF0025" w:rsidRDefault="00A04F8C" w:rsidP="009039C0">
    <w:pPr>
      <w:pStyle w:val="headerhead"/>
    </w:pPr>
    <w:r w:rsidRPr="00FF0025">
      <w:t>‘</w:t>
    </w:r>
    <w:r w:rsidR="00836324" w:rsidRPr="00FF0025">
      <w:t xml:space="preserve">Burley Griffin </w:t>
    </w:r>
    <w:r w:rsidRPr="00FF0025">
      <w:t>Agency’</w:t>
    </w:r>
  </w:p>
  <w:p w14:paraId="2E881BAB" w14:textId="77777777" w:rsidR="00A04F8C" w:rsidRPr="00FF0025" w:rsidRDefault="00A04F8C" w:rsidP="009039C0">
    <w:pPr>
      <w:pStyle w:val="headerhead"/>
    </w:pPr>
    <w:r w:rsidRPr="00FF0025">
      <w:t xml:space="preserve">Notes to and Forming Part of the Financial Statements </w:t>
    </w:r>
  </w:p>
  <w:p w14:paraId="5816153A" w14:textId="33C38620" w:rsidR="00A04F8C" w:rsidRPr="00FF0025" w:rsidRDefault="00A04F8C" w:rsidP="00687D08">
    <w:pPr>
      <w:pStyle w:val="headerhead"/>
      <w:spacing w:after="120"/>
    </w:pPr>
    <w:r w:rsidRPr="00FF0025">
      <w:t>For the Year Ended 30 June</w:t>
    </w:r>
    <w:r w:rsidR="00F52BCE" w:rsidRPr="00FF0025">
      <w:t xml:space="preserve"> 202</w:t>
    </w:r>
    <w:r w:rsidR="00687D08">
      <w:t>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A1F2" w14:textId="493DA40B" w:rsidR="00A04F8C" w:rsidRPr="00231250" w:rsidRDefault="00A04F8C" w:rsidP="00231250">
    <w:pPr>
      <w:pStyle w:val="header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BB77" w14:textId="77777777" w:rsidR="00A04F8C" w:rsidRDefault="00A04F8C" w:rsidP="00F05DC7">
    <w:pPr>
      <w:pStyle w:val="headerhead"/>
    </w:pPr>
  </w:p>
  <w:p w14:paraId="5D299D98" w14:textId="77777777" w:rsidR="00A04F8C" w:rsidRDefault="00A04F8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50CF" w14:textId="77777777" w:rsidR="00307227" w:rsidRPr="005D080D" w:rsidRDefault="00307227" w:rsidP="00307227">
    <w:pPr>
      <w:pStyle w:val="headerhead"/>
    </w:pPr>
    <w:r w:rsidRPr="005D080D">
      <w:t>‘Burley Griffin Agency’</w:t>
    </w:r>
  </w:p>
  <w:p w14:paraId="24205E7C" w14:textId="2B4CFE50" w:rsidR="00307227" w:rsidRPr="00231250" w:rsidRDefault="00307227" w:rsidP="00307227">
    <w:pPr>
      <w:pStyle w:val="headerhead"/>
      <w:spacing w:after="240"/>
    </w:pPr>
    <w:r w:rsidRPr="005D080D">
      <w:t>Financial Statements for the Year Ended 30 June 202</w:t>
    </w:r>
    <w:r>
      <w:t>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C4B2" w14:textId="77777777" w:rsidR="00ED5E1D" w:rsidRPr="00810B4A" w:rsidRDefault="00ED5E1D" w:rsidP="00ED5E1D">
    <w:pPr>
      <w:pStyle w:val="headerhead"/>
    </w:pPr>
    <w:r w:rsidRPr="00810B4A">
      <w:t>‘Burley Griffin Agency’</w:t>
    </w:r>
  </w:p>
  <w:p w14:paraId="0E19B4D0" w14:textId="77777777" w:rsidR="00ED5E1D" w:rsidRPr="00810B4A" w:rsidRDefault="00ED5E1D" w:rsidP="00ED5E1D">
    <w:pPr>
      <w:pStyle w:val="headerhead"/>
    </w:pPr>
    <w:r w:rsidRPr="00810B4A">
      <w:t xml:space="preserve">Notes to and Forming Part of the Financial Statements </w:t>
    </w:r>
  </w:p>
  <w:p w14:paraId="7662F076" w14:textId="6F982E2E" w:rsidR="00ED5E1D" w:rsidRPr="00231250" w:rsidRDefault="00ED5E1D" w:rsidP="00ED5E1D">
    <w:pPr>
      <w:pStyle w:val="headerhead"/>
      <w:spacing w:after="240"/>
    </w:pPr>
    <w:r w:rsidRPr="00810B4A">
      <w:t xml:space="preserve">For the Year Ended 30 June </w:t>
    </w:r>
    <w:r w:rsidRPr="00810B4A">
      <w:rPr>
        <w:rFonts w:cs="Calibri"/>
      </w:rPr>
      <w:t>202</w:t>
    </w:r>
    <w:r>
      <w:rPr>
        <w:rFonts w:cs="Calibri"/>
      </w:rPr>
      <w:t>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FA9F" w14:textId="77777777" w:rsidR="00571D49" w:rsidRPr="00810B4A" w:rsidRDefault="00571D49" w:rsidP="00571D49">
    <w:pPr>
      <w:pStyle w:val="headerhead"/>
    </w:pPr>
    <w:r w:rsidRPr="00810B4A">
      <w:t>‘Burley Griffin Agency’</w:t>
    </w:r>
  </w:p>
  <w:p w14:paraId="606E6526" w14:textId="77777777" w:rsidR="00571D49" w:rsidRPr="00810B4A" w:rsidRDefault="00571D49" w:rsidP="00571D49">
    <w:pPr>
      <w:pStyle w:val="headerhead"/>
    </w:pPr>
    <w:r w:rsidRPr="00810B4A">
      <w:t xml:space="preserve">Notes to and Forming Part of the Financial Statements </w:t>
    </w:r>
  </w:p>
  <w:p w14:paraId="0CC551CA" w14:textId="062B5646" w:rsidR="00A04F8C" w:rsidRPr="00D26D9F" w:rsidRDefault="00571D49" w:rsidP="00571D49">
    <w:pPr>
      <w:pStyle w:val="Header"/>
      <w:jc w:val="center"/>
    </w:pPr>
    <w:r w:rsidRPr="00571D49">
      <w:rPr>
        <w:rFonts w:cs="Arial"/>
        <w:b/>
        <w:caps/>
        <w:szCs w:val="16"/>
      </w:rPr>
      <w:t>For the Year Ended 30 June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B907" w14:textId="77777777" w:rsidR="00A04F8C" w:rsidRDefault="00A04F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1877" w14:textId="4B4248A6" w:rsidR="00A04F8C" w:rsidRPr="00574DE1" w:rsidRDefault="00A04F8C" w:rsidP="00574DE1">
    <w:pPr>
      <w:pStyle w:val="Header"/>
      <w:tabs>
        <w:tab w:val="clear" w:pos="4153"/>
        <w:tab w:val="clear" w:pos="8306"/>
        <w:tab w:val="left" w:pos="578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2294" w14:textId="56C93D59" w:rsidR="00A04F8C" w:rsidRPr="0046389C" w:rsidRDefault="00A04F8C" w:rsidP="00574DE1">
    <w:pPr>
      <w:pStyle w:val="headerhead"/>
    </w:pPr>
    <w:r w:rsidRPr="0046389C">
      <w:t>‘</w:t>
    </w:r>
    <w:r w:rsidR="007D5C59" w:rsidRPr="0046389C">
      <w:t xml:space="preserve">BURLEY GRIFFIN </w:t>
    </w:r>
    <w:r w:rsidRPr="0046389C">
      <w:t>Agency’</w:t>
    </w:r>
  </w:p>
  <w:p w14:paraId="3FCE1CA1" w14:textId="51D108F5" w:rsidR="00A04F8C" w:rsidRPr="00574DE1" w:rsidRDefault="00A04F8C" w:rsidP="0046389C">
    <w:pPr>
      <w:pStyle w:val="headerhead"/>
      <w:spacing w:after="240"/>
    </w:pPr>
    <w:r w:rsidRPr="0046389C">
      <w:t>Financial Statements for the Year Ended 30 June 202</w:t>
    </w:r>
    <w:r w:rsidR="00D50594">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C646" w14:textId="37B00795" w:rsidR="00A04F8C" w:rsidRPr="0046389C" w:rsidRDefault="00A04F8C" w:rsidP="00F1706F">
    <w:pPr>
      <w:pStyle w:val="headerhead"/>
    </w:pPr>
    <w:r w:rsidRPr="0046389C">
      <w:t>‘</w:t>
    </w:r>
    <w:r w:rsidR="00836324" w:rsidRPr="0046389C">
      <w:t xml:space="preserve">Burley Griffin </w:t>
    </w:r>
    <w:r w:rsidRPr="0046389C">
      <w:t>Agency’</w:t>
    </w:r>
  </w:p>
  <w:p w14:paraId="6B3D354F" w14:textId="18D3CD5B" w:rsidR="00A04F8C" w:rsidRPr="0046389C" w:rsidRDefault="00A04F8C" w:rsidP="0046389C">
    <w:pPr>
      <w:pStyle w:val="headerhead"/>
      <w:spacing w:after="240"/>
    </w:pPr>
    <w:r w:rsidRPr="0046389C">
      <w:t>Financial Statements for the Year Ended 30 June 202</w:t>
    </w:r>
    <w:r w:rsidR="00D50594">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8E82" w14:textId="6EB0583B" w:rsidR="00A04F8C" w:rsidRPr="005D080D" w:rsidRDefault="00A04F8C" w:rsidP="002E2BFB">
    <w:pPr>
      <w:pStyle w:val="headerhead"/>
    </w:pPr>
    <w:r w:rsidRPr="005D080D">
      <w:t>‘</w:t>
    </w:r>
    <w:r w:rsidR="002F67B3" w:rsidRPr="005D080D">
      <w:t xml:space="preserve">Burley Griffin </w:t>
    </w:r>
    <w:r w:rsidRPr="005D080D">
      <w:t>Agency’</w:t>
    </w:r>
  </w:p>
  <w:p w14:paraId="04106705" w14:textId="01E5E875" w:rsidR="00A04F8C" w:rsidRPr="00F1706F" w:rsidRDefault="00A04F8C" w:rsidP="00A26DB2">
    <w:pPr>
      <w:pStyle w:val="headerhead"/>
      <w:spacing w:after="240"/>
    </w:pPr>
    <w:r w:rsidRPr="005D080D">
      <w:t>Financial Statements for the Year Ended 30 June 202</w:t>
    </w:r>
    <w:r w:rsidR="00D50594">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DA3C" w14:textId="5CE6E761" w:rsidR="00A04F8C" w:rsidRPr="00A26DB2" w:rsidRDefault="00A04F8C" w:rsidP="00F1706F">
    <w:pPr>
      <w:pStyle w:val="headerhead"/>
    </w:pPr>
    <w:r w:rsidRPr="00A26DB2">
      <w:t>‘</w:t>
    </w:r>
    <w:r w:rsidR="00836324" w:rsidRPr="00A26DB2">
      <w:t xml:space="preserve">Burley Griffin </w:t>
    </w:r>
    <w:r w:rsidRPr="00A26DB2">
      <w:t>Agency’</w:t>
    </w:r>
  </w:p>
  <w:p w14:paraId="143C0AD6" w14:textId="17E5523D" w:rsidR="00A04F8C" w:rsidRPr="00A26DB2" w:rsidRDefault="00A04F8C" w:rsidP="00A26DB2">
    <w:pPr>
      <w:pStyle w:val="headerhead"/>
      <w:spacing w:after="240"/>
    </w:pPr>
    <w:r w:rsidRPr="00A26DB2">
      <w:t>Financial Statements For the Year Ended 30 June 202</w:t>
    </w:r>
    <w:r w:rsidR="00D50594">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131B" w14:textId="1A3EF25C" w:rsidR="00A04F8C" w:rsidRPr="00E10D26" w:rsidRDefault="00A04F8C" w:rsidP="00AD56C6">
    <w:pPr>
      <w:pStyle w:val="headerhead"/>
    </w:pPr>
    <w:r w:rsidRPr="00E10D26">
      <w:t>‘</w:t>
    </w:r>
    <w:r w:rsidR="00836324" w:rsidRPr="00E10D26">
      <w:t xml:space="preserve">Burley Griffin </w:t>
    </w:r>
    <w:r w:rsidRPr="00E10D26">
      <w:t>Agency’</w:t>
    </w:r>
  </w:p>
  <w:p w14:paraId="6CFEC707" w14:textId="7A345011" w:rsidR="00A04F8C" w:rsidRPr="00E10D26" w:rsidRDefault="00A04F8C" w:rsidP="008E2886">
    <w:pPr>
      <w:pStyle w:val="headerhead"/>
      <w:spacing w:after="240"/>
    </w:pPr>
    <w:r w:rsidRPr="00E10D26">
      <w:t>Financial Statements For the Year Ended 30 June 202</w:t>
    </w:r>
    <w:r w:rsidR="00D50594">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4785"/>
    <w:multiLevelType w:val="hybridMultilevel"/>
    <w:tmpl w:val="FD5E9F44"/>
    <w:lvl w:ilvl="0" w:tplc="8C284F4C">
      <w:start w:val="1"/>
      <w:numFmt w:val="bullet"/>
      <w:lvlText w:val=""/>
      <w:lvlJc w:val="left"/>
      <w:pPr>
        <w:tabs>
          <w:tab w:val="num" w:pos="360"/>
        </w:tabs>
        <w:ind w:left="360" w:hanging="360"/>
      </w:pPr>
      <w:rPr>
        <w:rFonts w:ascii="Symbol" w:hAnsi="Symbol" w:hint="default"/>
      </w:rPr>
    </w:lvl>
    <w:lvl w:ilvl="1" w:tplc="2C3678E6">
      <w:start w:val="1"/>
      <w:numFmt w:val="lowerRoman"/>
      <w:lvlText w:val="(%2)"/>
      <w:lvlJc w:val="left"/>
      <w:pPr>
        <w:tabs>
          <w:tab w:val="num" w:pos="1542"/>
        </w:tabs>
        <w:ind w:left="1542" w:hanging="720"/>
      </w:pPr>
      <w:rPr>
        <w:rFonts w:hint="default"/>
      </w:rPr>
    </w:lvl>
    <w:lvl w:ilvl="2" w:tplc="9774C122">
      <w:start w:val="1"/>
      <w:numFmt w:val="lowerLetter"/>
      <w:lvlText w:val="%3)"/>
      <w:lvlJc w:val="left"/>
      <w:pPr>
        <w:tabs>
          <w:tab w:val="num" w:pos="2082"/>
        </w:tabs>
        <w:ind w:left="2082" w:hanging="360"/>
      </w:pPr>
      <w:rPr>
        <w:rFonts w:hint="default"/>
        <w:strike/>
        <w:color w:val="FF0000"/>
      </w:r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1" w15:restartNumberingAfterBreak="0">
    <w:nsid w:val="059B4D25"/>
    <w:multiLevelType w:val="hybridMultilevel"/>
    <w:tmpl w:val="A3A0AF7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 w15:restartNumberingAfterBreak="0">
    <w:nsid w:val="0B1677CF"/>
    <w:multiLevelType w:val="hybridMultilevel"/>
    <w:tmpl w:val="2BE8CA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040DFE"/>
    <w:multiLevelType w:val="hybridMultilevel"/>
    <w:tmpl w:val="E69C81A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0DC60FF8"/>
    <w:multiLevelType w:val="hybridMultilevel"/>
    <w:tmpl w:val="CE3EBEB0"/>
    <w:lvl w:ilvl="0" w:tplc="A47CABF4">
      <w:start w:val="1"/>
      <w:numFmt w:val="lowerLetter"/>
      <w:lvlText w:val="(%1)"/>
      <w:lvlJc w:val="left"/>
      <w:pPr>
        <w:ind w:left="720" w:hanging="360"/>
      </w:pPr>
      <w:rPr>
        <w:rFonts w:asciiTheme="minorHAnsi" w:hAnsiTheme="minorHAnsi" w:hint="default"/>
        <w:sz w:val="20"/>
        <w:szCs w:val="20"/>
      </w:rPr>
    </w:lvl>
    <w:lvl w:ilvl="1" w:tplc="1AA0D2C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0B72D4"/>
    <w:multiLevelType w:val="hybridMultilevel"/>
    <w:tmpl w:val="1D7A5980"/>
    <w:lvl w:ilvl="0" w:tplc="ED18530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784AA8"/>
    <w:multiLevelType w:val="hybridMultilevel"/>
    <w:tmpl w:val="E036255C"/>
    <w:lvl w:ilvl="0" w:tplc="432C768C">
      <w:start w:val="2"/>
      <w:numFmt w:val="bullet"/>
      <w:lvlText w:val="-"/>
      <w:lvlJc w:val="left"/>
      <w:pPr>
        <w:ind w:left="1316" w:hanging="360"/>
      </w:pPr>
      <w:rPr>
        <w:rFonts w:ascii="Arial" w:hAnsi="Arial" w:hint="default"/>
        <w:strike w:val="0"/>
        <w:color w:val="auto"/>
      </w:rPr>
    </w:lvl>
    <w:lvl w:ilvl="1" w:tplc="0C090003">
      <w:start w:val="1"/>
      <w:numFmt w:val="bullet"/>
      <w:lvlText w:val="o"/>
      <w:lvlJc w:val="left"/>
      <w:pPr>
        <w:ind w:left="2036" w:hanging="360"/>
      </w:pPr>
      <w:rPr>
        <w:rFonts w:ascii="Courier New" w:hAnsi="Courier New" w:cs="Courier New" w:hint="default"/>
      </w:rPr>
    </w:lvl>
    <w:lvl w:ilvl="2" w:tplc="0C090005" w:tentative="1">
      <w:start w:val="1"/>
      <w:numFmt w:val="bullet"/>
      <w:lvlText w:val=""/>
      <w:lvlJc w:val="left"/>
      <w:pPr>
        <w:ind w:left="2756" w:hanging="360"/>
      </w:pPr>
      <w:rPr>
        <w:rFonts w:ascii="Wingdings" w:hAnsi="Wingdings" w:hint="default"/>
      </w:rPr>
    </w:lvl>
    <w:lvl w:ilvl="3" w:tplc="0C090001" w:tentative="1">
      <w:start w:val="1"/>
      <w:numFmt w:val="bullet"/>
      <w:lvlText w:val=""/>
      <w:lvlJc w:val="left"/>
      <w:pPr>
        <w:ind w:left="3476" w:hanging="360"/>
      </w:pPr>
      <w:rPr>
        <w:rFonts w:ascii="Symbol" w:hAnsi="Symbol" w:hint="default"/>
      </w:rPr>
    </w:lvl>
    <w:lvl w:ilvl="4" w:tplc="0C090003" w:tentative="1">
      <w:start w:val="1"/>
      <w:numFmt w:val="bullet"/>
      <w:lvlText w:val="o"/>
      <w:lvlJc w:val="left"/>
      <w:pPr>
        <w:ind w:left="4196" w:hanging="360"/>
      </w:pPr>
      <w:rPr>
        <w:rFonts w:ascii="Courier New" w:hAnsi="Courier New" w:cs="Courier New" w:hint="default"/>
      </w:rPr>
    </w:lvl>
    <w:lvl w:ilvl="5" w:tplc="0C090005" w:tentative="1">
      <w:start w:val="1"/>
      <w:numFmt w:val="bullet"/>
      <w:lvlText w:val=""/>
      <w:lvlJc w:val="left"/>
      <w:pPr>
        <w:ind w:left="4916" w:hanging="360"/>
      </w:pPr>
      <w:rPr>
        <w:rFonts w:ascii="Wingdings" w:hAnsi="Wingdings" w:hint="default"/>
      </w:rPr>
    </w:lvl>
    <w:lvl w:ilvl="6" w:tplc="0C090001" w:tentative="1">
      <w:start w:val="1"/>
      <w:numFmt w:val="bullet"/>
      <w:lvlText w:val=""/>
      <w:lvlJc w:val="left"/>
      <w:pPr>
        <w:ind w:left="5636" w:hanging="360"/>
      </w:pPr>
      <w:rPr>
        <w:rFonts w:ascii="Symbol" w:hAnsi="Symbol" w:hint="default"/>
      </w:rPr>
    </w:lvl>
    <w:lvl w:ilvl="7" w:tplc="0C090003" w:tentative="1">
      <w:start w:val="1"/>
      <w:numFmt w:val="bullet"/>
      <w:lvlText w:val="o"/>
      <w:lvlJc w:val="left"/>
      <w:pPr>
        <w:ind w:left="6356" w:hanging="360"/>
      </w:pPr>
      <w:rPr>
        <w:rFonts w:ascii="Courier New" w:hAnsi="Courier New" w:cs="Courier New" w:hint="default"/>
      </w:rPr>
    </w:lvl>
    <w:lvl w:ilvl="8" w:tplc="0C090005" w:tentative="1">
      <w:start w:val="1"/>
      <w:numFmt w:val="bullet"/>
      <w:lvlText w:val=""/>
      <w:lvlJc w:val="left"/>
      <w:pPr>
        <w:ind w:left="7076" w:hanging="360"/>
      </w:pPr>
      <w:rPr>
        <w:rFonts w:ascii="Wingdings" w:hAnsi="Wingdings" w:hint="default"/>
      </w:rPr>
    </w:lvl>
  </w:abstractNum>
  <w:abstractNum w:abstractNumId="7" w15:restartNumberingAfterBreak="0">
    <w:nsid w:val="1055427E"/>
    <w:multiLevelType w:val="hybridMultilevel"/>
    <w:tmpl w:val="AC2471C6"/>
    <w:lvl w:ilvl="0" w:tplc="4C6C5746">
      <w:start w:val="1"/>
      <w:numFmt w:val="lowerRoman"/>
      <w:lvlText w:val="(%1)"/>
      <w:lvlJc w:val="left"/>
      <w:pPr>
        <w:tabs>
          <w:tab w:val="num" w:pos="360"/>
        </w:tabs>
        <w:ind w:left="360" w:hanging="360"/>
      </w:pPr>
      <w:rPr>
        <w:rFonts w:ascii="Calibri" w:eastAsia="Times New Roman" w:hAnsi="Calibri" w:cs="Calibri"/>
      </w:rPr>
    </w:lvl>
    <w:lvl w:ilvl="1" w:tplc="04090003">
      <w:start w:val="1"/>
      <w:numFmt w:val="bullet"/>
      <w:lvlText w:val="o"/>
      <w:lvlJc w:val="left"/>
      <w:pPr>
        <w:tabs>
          <w:tab w:val="num" w:pos="1210"/>
        </w:tabs>
        <w:ind w:left="121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681D88"/>
    <w:multiLevelType w:val="hybridMultilevel"/>
    <w:tmpl w:val="64522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82F01"/>
    <w:multiLevelType w:val="hybridMultilevel"/>
    <w:tmpl w:val="58DECF1C"/>
    <w:lvl w:ilvl="0" w:tplc="E9C846E4">
      <w:start w:val="1"/>
      <w:numFmt w:val="lowerLetter"/>
      <w:pStyle w:val="ListBullet"/>
      <w:lvlText w:val="(%1)"/>
      <w:lvlJc w:val="left"/>
      <w:pPr>
        <w:tabs>
          <w:tab w:val="num" w:pos="360"/>
        </w:tabs>
        <w:ind w:left="360" w:hanging="360"/>
      </w:pPr>
    </w:lvl>
    <w:lvl w:ilvl="1" w:tplc="140C97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1314F0"/>
    <w:multiLevelType w:val="hybridMultilevel"/>
    <w:tmpl w:val="EF16A11E"/>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1" w15:restartNumberingAfterBreak="0">
    <w:nsid w:val="19C72C58"/>
    <w:multiLevelType w:val="hybridMultilevel"/>
    <w:tmpl w:val="E9E48DB4"/>
    <w:lvl w:ilvl="0" w:tplc="6DFE1B2C">
      <w:start w:val="1"/>
      <w:numFmt w:val="lowerLetter"/>
      <w:lvlText w:val="%1)"/>
      <w:lvlJc w:val="left"/>
      <w:pPr>
        <w:tabs>
          <w:tab w:val="num" w:pos="2340"/>
        </w:tabs>
        <w:ind w:left="2340" w:hanging="360"/>
      </w:pPr>
      <w:rPr>
        <w:rFonts w:hint="default"/>
      </w:rPr>
    </w:lvl>
    <w:lvl w:ilvl="1" w:tplc="0C090019" w:tentative="1">
      <w:start w:val="1"/>
      <w:numFmt w:val="lowerLetter"/>
      <w:lvlText w:val="%2."/>
      <w:lvlJc w:val="left"/>
      <w:pPr>
        <w:ind w:left="1698" w:hanging="360"/>
      </w:pPr>
    </w:lvl>
    <w:lvl w:ilvl="2" w:tplc="0C09001B" w:tentative="1">
      <w:start w:val="1"/>
      <w:numFmt w:val="lowerRoman"/>
      <w:lvlText w:val="%3."/>
      <w:lvlJc w:val="right"/>
      <w:pPr>
        <w:ind w:left="2418" w:hanging="180"/>
      </w:pPr>
    </w:lvl>
    <w:lvl w:ilvl="3" w:tplc="0C09000F" w:tentative="1">
      <w:start w:val="1"/>
      <w:numFmt w:val="decimal"/>
      <w:lvlText w:val="%4."/>
      <w:lvlJc w:val="left"/>
      <w:pPr>
        <w:ind w:left="3138" w:hanging="360"/>
      </w:pPr>
    </w:lvl>
    <w:lvl w:ilvl="4" w:tplc="0C090019" w:tentative="1">
      <w:start w:val="1"/>
      <w:numFmt w:val="lowerLetter"/>
      <w:lvlText w:val="%5."/>
      <w:lvlJc w:val="left"/>
      <w:pPr>
        <w:ind w:left="3858" w:hanging="360"/>
      </w:pPr>
    </w:lvl>
    <w:lvl w:ilvl="5" w:tplc="0C09001B" w:tentative="1">
      <w:start w:val="1"/>
      <w:numFmt w:val="lowerRoman"/>
      <w:lvlText w:val="%6."/>
      <w:lvlJc w:val="right"/>
      <w:pPr>
        <w:ind w:left="4578" w:hanging="180"/>
      </w:pPr>
    </w:lvl>
    <w:lvl w:ilvl="6" w:tplc="0C09000F" w:tentative="1">
      <w:start w:val="1"/>
      <w:numFmt w:val="decimal"/>
      <w:lvlText w:val="%7."/>
      <w:lvlJc w:val="left"/>
      <w:pPr>
        <w:ind w:left="5298" w:hanging="360"/>
      </w:pPr>
    </w:lvl>
    <w:lvl w:ilvl="7" w:tplc="0C090019" w:tentative="1">
      <w:start w:val="1"/>
      <w:numFmt w:val="lowerLetter"/>
      <w:lvlText w:val="%8."/>
      <w:lvlJc w:val="left"/>
      <w:pPr>
        <w:ind w:left="6018" w:hanging="360"/>
      </w:pPr>
    </w:lvl>
    <w:lvl w:ilvl="8" w:tplc="0C09001B" w:tentative="1">
      <w:start w:val="1"/>
      <w:numFmt w:val="lowerRoman"/>
      <w:lvlText w:val="%9."/>
      <w:lvlJc w:val="right"/>
      <w:pPr>
        <w:ind w:left="6738" w:hanging="180"/>
      </w:pPr>
    </w:lvl>
  </w:abstractNum>
  <w:abstractNum w:abstractNumId="12" w15:restartNumberingAfterBreak="0">
    <w:nsid w:val="1C04769C"/>
    <w:multiLevelType w:val="hybridMultilevel"/>
    <w:tmpl w:val="4B068888"/>
    <w:lvl w:ilvl="0" w:tplc="3A6A7CE8">
      <w:start w:val="1"/>
      <w:numFmt w:val="bullet"/>
      <w:pStyle w:val="SFDo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64102"/>
    <w:multiLevelType w:val="hybridMultilevel"/>
    <w:tmpl w:val="4C3CF27C"/>
    <w:lvl w:ilvl="0" w:tplc="EFDED202">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1F64C9"/>
    <w:multiLevelType w:val="hybridMultilevel"/>
    <w:tmpl w:val="86D40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9C3E38"/>
    <w:multiLevelType w:val="hybridMultilevel"/>
    <w:tmpl w:val="909EA8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24522070"/>
    <w:multiLevelType w:val="hybridMultilevel"/>
    <w:tmpl w:val="0442A65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CE6D1C"/>
    <w:multiLevelType w:val="hybridMultilevel"/>
    <w:tmpl w:val="35C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DC0C0E"/>
    <w:multiLevelType w:val="hybridMultilevel"/>
    <w:tmpl w:val="DF682204"/>
    <w:lvl w:ilvl="0" w:tplc="0C090001">
      <w:start w:val="1"/>
      <w:numFmt w:val="bullet"/>
      <w:lvlText w:val=""/>
      <w:lvlJc w:val="left"/>
      <w:pPr>
        <w:ind w:left="720" w:hanging="360"/>
      </w:pPr>
      <w:rPr>
        <w:rFonts w:ascii="Symbol" w:hAnsi="Symbol" w:hint="default"/>
      </w:rPr>
    </w:lvl>
    <w:lvl w:ilvl="1" w:tplc="74CACDDA">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F30434"/>
    <w:multiLevelType w:val="hybridMultilevel"/>
    <w:tmpl w:val="FE1E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D67604"/>
    <w:multiLevelType w:val="hybridMultilevel"/>
    <w:tmpl w:val="977AC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1" w15:restartNumberingAfterBreak="0">
    <w:nsid w:val="298471B9"/>
    <w:multiLevelType w:val="hybridMultilevel"/>
    <w:tmpl w:val="57026BAE"/>
    <w:lvl w:ilvl="0" w:tplc="E96C8AFE">
      <w:start w:val="1"/>
      <w:numFmt w:val="lowerRoman"/>
      <w:lvlText w:val="(%1)"/>
      <w:lvlJc w:val="left"/>
      <w:pPr>
        <w:tabs>
          <w:tab w:val="num" w:pos="1440"/>
        </w:tabs>
        <w:ind w:left="720" w:firstLine="0"/>
      </w:pPr>
      <w:rPr>
        <w:rFonts w:hint="default"/>
      </w:rPr>
    </w:lvl>
    <w:lvl w:ilvl="1" w:tplc="0C090003">
      <w:start w:val="1"/>
      <w:numFmt w:val="bullet"/>
      <w:lvlText w:val="o"/>
      <w:lvlJc w:val="left"/>
      <w:pPr>
        <w:tabs>
          <w:tab w:val="num" w:pos="674"/>
        </w:tabs>
        <w:ind w:left="674"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884AA7"/>
    <w:multiLevelType w:val="hybridMultilevel"/>
    <w:tmpl w:val="9AF0821A"/>
    <w:lvl w:ilvl="0" w:tplc="363E5A42">
      <w:start w:val="1"/>
      <w:numFmt w:val="lowerLetter"/>
      <w:lvlText w:val="%1)"/>
      <w:lvlJc w:val="left"/>
      <w:pPr>
        <w:tabs>
          <w:tab w:val="num" w:pos="360"/>
        </w:tabs>
        <w:ind w:left="360" w:hanging="360"/>
      </w:pPr>
      <w:rPr>
        <w:rFonts w:hint="default"/>
        <w:color w:val="auto"/>
      </w:rPr>
    </w:lvl>
    <w:lvl w:ilvl="1" w:tplc="8BE65CB6">
      <w:start w:val="1"/>
      <w:numFmt w:val="lowerRoman"/>
      <w:lvlText w:val="%2."/>
      <w:lvlJc w:val="right"/>
      <w:pPr>
        <w:tabs>
          <w:tab w:val="num" w:pos="928"/>
        </w:tabs>
        <w:ind w:left="928" w:hanging="360"/>
      </w:pPr>
      <w:rPr>
        <w:b w:val="0"/>
      </w:rPr>
    </w:lvl>
    <w:lvl w:ilvl="2" w:tplc="04090005">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3" w15:restartNumberingAfterBreak="0">
    <w:nsid w:val="2E6A566F"/>
    <w:multiLevelType w:val="hybridMultilevel"/>
    <w:tmpl w:val="7D827734"/>
    <w:lvl w:ilvl="0" w:tplc="773250FA">
      <w:start w:val="3"/>
      <w:numFmt w:val="decimal"/>
      <w:pStyle w:val="NoteTitle"/>
      <w:lvlText w:val="Note %1."/>
      <w:lvlJc w:val="left"/>
      <w:pPr>
        <w:tabs>
          <w:tab w:val="num" w:pos="1701"/>
        </w:tabs>
        <w:ind w:left="1701" w:hanging="1134"/>
      </w:pPr>
      <w:rPr>
        <w:rFonts w:hint="default"/>
        <w:b/>
        <w:caps/>
      </w:rPr>
    </w:lvl>
    <w:lvl w:ilvl="1" w:tplc="04090001">
      <w:start w:val="1"/>
      <w:numFmt w:val="bullet"/>
      <w:lvlText w:val=""/>
      <w:lvlJc w:val="left"/>
      <w:pPr>
        <w:tabs>
          <w:tab w:val="num" w:pos="-1794"/>
        </w:tabs>
        <w:ind w:left="-1794" w:hanging="360"/>
      </w:pPr>
      <w:rPr>
        <w:rFonts w:ascii="Symbol" w:hAnsi="Symbol" w:hint="default"/>
      </w:rPr>
    </w:lvl>
    <w:lvl w:ilvl="2" w:tplc="363E5A42">
      <w:start w:val="1"/>
      <w:numFmt w:val="lowerLetter"/>
      <w:lvlText w:val="%3)"/>
      <w:lvlJc w:val="left"/>
      <w:pPr>
        <w:tabs>
          <w:tab w:val="num" w:pos="-894"/>
        </w:tabs>
        <w:ind w:left="-894" w:hanging="360"/>
      </w:pPr>
      <w:rPr>
        <w:rFonts w:hint="default"/>
      </w:rPr>
    </w:lvl>
    <w:lvl w:ilvl="3" w:tplc="0409000F" w:tentative="1">
      <w:start w:val="1"/>
      <w:numFmt w:val="decimal"/>
      <w:lvlText w:val="%4."/>
      <w:lvlJc w:val="left"/>
      <w:pPr>
        <w:tabs>
          <w:tab w:val="num" w:pos="-354"/>
        </w:tabs>
        <w:ind w:left="-354" w:hanging="360"/>
      </w:pPr>
    </w:lvl>
    <w:lvl w:ilvl="4" w:tplc="04090019" w:tentative="1">
      <w:start w:val="1"/>
      <w:numFmt w:val="lowerLetter"/>
      <w:lvlText w:val="%5."/>
      <w:lvlJc w:val="left"/>
      <w:pPr>
        <w:tabs>
          <w:tab w:val="num" w:pos="366"/>
        </w:tabs>
        <w:ind w:left="366" w:hanging="360"/>
      </w:pPr>
    </w:lvl>
    <w:lvl w:ilvl="5" w:tplc="0409001B" w:tentative="1">
      <w:start w:val="1"/>
      <w:numFmt w:val="lowerRoman"/>
      <w:lvlText w:val="%6."/>
      <w:lvlJc w:val="right"/>
      <w:pPr>
        <w:tabs>
          <w:tab w:val="num" w:pos="1086"/>
        </w:tabs>
        <w:ind w:left="1086" w:hanging="180"/>
      </w:pPr>
    </w:lvl>
    <w:lvl w:ilvl="6" w:tplc="0409000F" w:tentative="1">
      <w:start w:val="1"/>
      <w:numFmt w:val="decimal"/>
      <w:lvlText w:val="%7."/>
      <w:lvlJc w:val="left"/>
      <w:pPr>
        <w:tabs>
          <w:tab w:val="num" w:pos="1806"/>
        </w:tabs>
        <w:ind w:left="1806" w:hanging="360"/>
      </w:pPr>
    </w:lvl>
    <w:lvl w:ilvl="7" w:tplc="04090019" w:tentative="1">
      <w:start w:val="1"/>
      <w:numFmt w:val="lowerLetter"/>
      <w:lvlText w:val="%8."/>
      <w:lvlJc w:val="left"/>
      <w:pPr>
        <w:tabs>
          <w:tab w:val="num" w:pos="2526"/>
        </w:tabs>
        <w:ind w:left="2526" w:hanging="360"/>
      </w:pPr>
    </w:lvl>
    <w:lvl w:ilvl="8" w:tplc="0409001B" w:tentative="1">
      <w:start w:val="1"/>
      <w:numFmt w:val="lowerRoman"/>
      <w:lvlText w:val="%9."/>
      <w:lvlJc w:val="right"/>
      <w:pPr>
        <w:tabs>
          <w:tab w:val="num" w:pos="3246"/>
        </w:tabs>
        <w:ind w:left="3246" w:hanging="180"/>
      </w:pPr>
    </w:lvl>
  </w:abstractNum>
  <w:abstractNum w:abstractNumId="24" w15:restartNumberingAfterBreak="0">
    <w:nsid w:val="30043F20"/>
    <w:multiLevelType w:val="hybridMultilevel"/>
    <w:tmpl w:val="9B0A7208"/>
    <w:lvl w:ilvl="0" w:tplc="FD1A5A30">
      <w:start w:val="1"/>
      <w:numFmt w:val="lowerLetter"/>
      <w:lvlText w:val="%1)"/>
      <w:lvlJc w:val="left"/>
      <w:pPr>
        <w:tabs>
          <w:tab w:val="num" w:pos="2082"/>
        </w:tabs>
        <w:ind w:left="2082"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1B2B90"/>
    <w:multiLevelType w:val="hybridMultilevel"/>
    <w:tmpl w:val="CE9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9C3547"/>
    <w:multiLevelType w:val="hybridMultilevel"/>
    <w:tmpl w:val="3516F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E66696"/>
    <w:multiLevelType w:val="hybridMultilevel"/>
    <w:tmpl w:val="79F07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981D25"/>
    <w:multiLevelType w:val="hybridMultilevel"/>
    <w:tmpl w:val="F72CD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3B60B3C"/>
    <w:multiLevelType w:val="hybridMultilevel"/>
    <w:tmpl w:val="6AAA75BE"/>
    <w:lvl w:ilvl="0" w:tplc="04090003">
      <w:start w:val="1"/>
      <w:numFmt w:val="bullet"/>
      <w:lvlText w:val="o"/>
      <w:lvlJc w:val="left"/>
      <w:pPr>
        <w:tabs>
          <w:tab w:val="num" w:pos="360"/>
        </w:tabs>
        <w:ind w:left="360" w:hanging="360"/>
      </w:pPr>
      <w:rPr>
        <w:rFonts w:ascii="Courier New" w:hAnsi="Courier New" w:hint="default"/>
      </w:rPr>
    </w:lvl>
    <w:lvl w:ilvl="1" w:tplc="681EDC4E">
      <w:start w:val="3"/>
      <w:numFmt w:val="bullet"/>
      <w:lvlText w:val="-"/>
      <w:lvlJc w:val="left"/>
      <w:pPr>
        <w:tabs>
          <w:tab w:val="num" w:pos="1080"/>
        </w:tabs>
        <w:ind w:left="1080" w:hanging="360"/>
      </w:pPr>
      <w:rPr>
        <w:rFonts w:ascii="Times New Roman" w:eastAsia="Times New Roman" w:hAnsi="Times New Roman"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7A43F00"/>
    <w:multiLevelType w:val="hybridMultilevel"/>
    <w:tmpl w:val="3BCC825C"/>
    <w:lvl w:ilvl="0" w:tplc="DCB01058">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C73D0"/>
    <w:multiLevelType w:val="hybridMultilevel"/>
    <w:tmpl w:val="BF90B11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4316C6"/>
    <w:multiLevelType w:val="hybridMultilevel"/>
    <w:tmpl w:val="E636313C"/>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A36C45"/>
    <w:multiLevelType w:val="hybridMultilevel"/>
    <w:tmpl w:val="9D2AE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5E3A11"/>
    <w:multiLevelType w:val="hybridMultilevel"/>
    <w:tmpl w:val="5C5A70EA"/>
    <w:lvl w:ilvl="0" w:tplc="B5364FFE">
      <w:start w:val="1"/>
      <w:numFmt w:val="lowerLetter"/>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35" w15:restartNumberingAfterBreak="0">
    <w:nsid w:val="3B991A12"/>
    <w:multiLevelType w:val="hybridMultilevel"/>
    <w:tmpl w:val="E3420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D8E266D"/>
    <w:multiLevelType w:val="hybridMultilevel"/>
    <w:tmpl w:val="E916B1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DC85EF7"/>
    <w:multiLevelType w:val="hybridMultilevel"/>
    <w:tmpl w:val="0ADC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E76502"/>
    <w:multiLevelType w:val="hybridMultilevel"/>
    <w:tmpl w:val="B62423A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AF52B4"/>
    <w:multiLevelType w:val="hybridMultilevel"/>
    <w:tmpl w:val="1EA035D8"/>
    <w:lvl w:ilvl="0" w:tplc="363E5A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02B6E9A"/>
    <w:multiLevelType w:val="hybridMultilevel"/>
    <w:tmpl w:val="AC5272CC"/>
    <w:lvl w:ilvl="0" w:tplc="FEA6C046">
      <w:start w:val="1"/>
      <w:numFmt w:val="bullet"/>
      <w:pStyle w:val="Commentary-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751"/>
        </w:tabs>
        <w:ind w:left="751"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3A12984"/>
    <w:multiLevelType w:val="hybridMultilevel"/>
    <w:tmpl w:val="3C864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3C4695E"/>
    <w:multiLevelType w:val="hybridMultilevel"/>
    <w:tmpl w:val="361E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D43923"/>
    <w:multiLevelType w:val="hybridMultilevel"/>
    <w:tmpl w:val="8A7E8D94"/>
    <w:lvl w:ilvl="0" w:tplc="B6B847A2">
      <w:start w:val="1"/>
      <w:numFmt w:val="bullet"/>
      <w:lvlText w:val=""/>
      <w:lvlJc w:val="left"/>
      <w:pPr>
        <w:ind w:left="502" w:hanging="360"/>
      </w:pPr>
      <w:rPr>
        <w:rFonts w:ascii="Symbol" w:hAnsi="Symbol" w:hint="default"/>
        <w:color w:val="0F243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4F8A2515"/>
    <w:multiLevelType w:val="hybridMultilevel"/>
    <w:tmpl w:val="00809D10"/>
    <w:lvl w:ilvl="0" w:tplc="E098BD60">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6" w15:restartNumberingAfterBreak="0">
    <w:nsid w:val="5017523F"/>
    <w:multiLevelType w:val="hybridMultilevel"/>
    <w:tmpl w:val="DD6C1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2D06F1"/>
    <w:multiLevelType w:val="multilevel"/>
    <w:tmpl w:val="311676E0"/>
    <w:lvl w:ilvl="0">
      <w:start w:val="1"/>
      <w:numFmt w:val="decimal"/>
      <w:pStyle w:val="Heading1"/>
      <w:lvlText w:val="%1."/>
      <w:lvlJc w:val="left"/>
      <w:pPr>
        <w:tabs>
          <w:tab w:val="num" w:pos="1134"/>
        </w:tabs>
        <w:ind w:left="1134" w:hanging="1134"/>
      </w:pPr>
      <w:rPr>
        <w:rFonts w:ascii="Calibri" w:eastAsia="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18"/>
        </w:tabs>
        <w:ind w:left="680" w:hanging="680"/>
      </w:pPr>
      <w:rPr>
        <w:rFonts w:hint="default"/>
        <w:color w:val="auto"/>
      </w:rPr>
    </w:lvl>
    <w:lvl w:ilvl="2">
      <w:start w:val="1"/>
      <w:numFmt w:val="decimal"/>
      <w:pStyle w:val="Heading3"/>
      <w:lvlText w:val="%1.%2.%3"/>
      <w:lvlJc w:val="left"/>
      <w:pPr>
        <w:tabs>
          <w:tab w:val="num" w:pos="4823"/>
        </w:tabs>
        <w:ind w:left="3262" w:hanging="851"/>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54F46A8A"/>
    <w:multiLevelType w:val="hybridMultilevel"/>
    <w:tmpl w:val="E57096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9" w15:restartNumberingAfterBreak="0">
    <w:nsid w:val="55365160"/>
    <w:multiLevelType w:val="multilevel"/>
    <w:tmpl w:val="0442A654"/>
    <w:styleLink w:val="CurrentList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733183A"/>
    <w:multiLevelType w:val="hybridMultilevel"/>
    <w:tmpl w:val="24B0C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775721D"/>
    <w:multiLevelType w:val="hybridMultilevel"/>
    <w:tmpl w:val="9FA287AA"/>
    <w:lvl w:ilvl="0" w:tplc="04090001">
      <w:start w:val="1"/>
      <w:numFmt w:val="bullet"/>
      <w:lvlText w:val=""/>
      <w:lvlJc w:val="left"/>
      <w:pPr>
        <w:tabs>
          <w:tab w:val="num" w:pos="790"/>
        </w:tabs>
        <w:ind w:left="7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FE7AF6"/>
    <w:multiLevelType w:val="hybridMultilevel"/>
    <w:tmpl w:val="DAEE5FDA"/>
    <w:lvl w:ilvl="0" w:tplc="B23EA472">
      <w:start w:val="1"/>
      <w:numFmt w:val="lowerRoman"/>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D6075C7"/>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E3F6ADA"/>
    <w:multiLevelType w:val="hybridMultilevel"/>
    <w:tmpl w:val="2CD073BE"/>
    <w:lvl w:ilvl="0" w:tplc="B87ABCA2">
      <w:start w:val="13"/>
      <w:numFmt w:val="decimal"/>
      <w:lvlText w:val="%1."/>
      <w:lvlJc w:val="left"/>
      <w:pPr>
        <w:ind w:left="720" w:hanging="360"/>
      </w:pPr>
      <w:rPr>
        <w:rFonts w:hint="default"/>
        <w:b w:val="0"/>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E7B6CF8"/>
    <w:multiLevelType w:val="hybridMultilevel"/>
    <w:tmpl w:val="68C83928"/>
    <w:lvl w:ilvl="0" w:tplc="157CADD6">
      <w:start w:val="1"/>
      <w:numFmt w:val="bullet"/>
      <w:lvlText w:val=""/>
      <w:lvlJc w:val="right"/>
      <w:pPr>
        <w:tabs>
          <w:tab w:val="num" w:pos="796"/>
        </w:tabs>
        <w:ind w:left="796" w:hanging="360"/>
      </w:pPr>
      <w:rPr>
        <w:rFonts w:ascii="Symbol" w:hAnsi="Symbol" w:hint="default"/>
      </w:rPr>
    </w:lvl>
    <w:lvl w:ilvl="1" w:tplc="0C090003" w:tentative="1">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6" w15:restartNumberingAfterBreak="0">
    <w:nsid w:val="5FE361A8"/>
    <w:multiLevelType w:val="hybridMultilevel"/>
    <w:tmpl w:val="9A923E62"/>
    <w:lvl w:ilvl="0" w:tplc="E96C8AFE">
      <w:start w:val="1"/>
      <w:numFmt w:val="lowerRoman"/>
      <w:pStyle w:val="NotesNumber"/>
      <w:lvlText w:val="(%1)"/>
      <w:lvlJc w:val="left"/>
      <w:pPr>
        <w:tabs>
          <w:tab w:val="num" w:pos="1428"/>
        </w:tabs>
        <w:ind w:left="708" w:firstLine="0"/>
      </w:pPr>
      <w:rPr>
        <w:rFonts w:hint="default"/>
      </w:rPr>
    </w:lvl>
    <w:lvl w:ilvl="1" w:tplc="04090019">
      <w:start w:val="1"/>
      <w:numFmt w:val="lowerLetter"/>
      <w:lvlText w:val="%2."/>
      <w:lvlJc w:val="left"/>
      <w:pPr>
        <w:tabs>
          <w:tab w:val="num" w:pos="1004"/>
        </w:tabs>
        <w:ind w:left="1004" w:hanging="360"/>
      </w:pPr>
    </w:lvl>
    <w:lvl w:ilvl="2" w:tplc="0409001B">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57" w15:restartNumberingAfterBreak="0">
    <w:nsid w:val="617A5E48"/>
    <w:multiLevelType w:val="hybridMultilevel"/>
    <w:tmpl w:val="5690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B232F1"/>
    <w:multiLevelType w:val="hybridMultilevel"/>
    <w:tmpl w:val="13F8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1B94AE6"/>
    <w:multiLevelType w:val="hybridMultilevel"/>
    <w:tmpl w:val="3846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62703602"/>
    <w:multiLevelType w:val="hybridMultilevel"/>
    <w:tmpl w:val="43E89E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4893582"/>
    <w:multiLevelType w:val="hybridMultilevel"/>
    <w:tmpl w:val="2E8E4BD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2" w15:restartNumberingAfterBreak="0">
    <w:nsid w:val="667D05DD"/>
    <w:multiLevelType w:val="hybridMultilevel"/>
    <w:tmpl w:val="2F1A57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6EA7AD7"/>
    <w:multiLevelType w:val="hybridMultilevel"/>
    <w:tmpl w:val="2ADA3F2C"/>
    <w:lvl w:ilvl="0" w:tplc="D12E745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211"/>
        </w:tabs>
        <w:ind w:left="1211"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6945486F"/>
    <w:multiLevelType w:val="hybridMultilevel"/>
    <w:tmpl w:val="BF64F9BC"/>
    <w:lvl w:ilvl="0" w:tplc="0C090001">
      <w:start w:val="1"/>
      <w:numFmt w:val="bullet"/>
      <w:lvlText w:val=""/>
      <w:lvlJc w:val="left"/>
      <w:pPr>
        <w:tabs>
          <w:tab w:val="num" w:pos="417"/>
        </w:tabs>
        <w:ind w:left="417" w:hanging="360"/>
      </w:pPr>
      <w:rPr>
        <w:rFonts w:ascii="Symbol" w:hAnsi="Symbol" w:hint="default"/>
      </w:rPr>
    </w:lvl>
    <w:lvl w:ilvl="1" w:tplc="48520938">
      <w:start w:val="1"/>
      <w:numFmt w:val="lowerRoman"/>
      <w:lvlText w:val="%2."/>
      <w:lvlJc w:val="left"/>
      <w:pPr>
        <w:ind w:left="1542" w:hanging="720"/>
      </w:pPr>
      <w:rPr>
        <w:rFonts w:hint="default"/>
      </w:rPr>
    </w:lvl>
    <w:lvl w:ilvl="2" w:tplc="0C09001B" w:tentative="1">
      <w:start w:val="1"/>
      <w:numFmt w:val="lowerRoman"/>
      <w:lvlText w:val="%3."/>
      <w:lvlJc w:val="right"/>
      <w:pPr>
        <w:tabs>
          <w:tab w:val="num" w:pos="1902"/>
        </w:tabs>
        <w:ind w:left="1902" w:hanging="180"/>
      </w:p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66" w15:restartNumberingAfterBreak="0">
    <w:nsid w:val="6E8B25C4"/>
    <w:multiLevelType w:val="hybridMultilevel"/>
    <w:tmpl w:val="E5D8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EA00A5"/>
    <w:multiLevelType w:val="hybridMultilevel"/>
    <w:tmpl w:val="F2F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FD51E6"/>
    <w:multiLevelType w:val="hybridMultilevel"/>
    <w:tmpl w:val="083EA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7B609B"/>
    <w:multiLevelType w:val="hybridMultilevel"/>
    <w:tmpl w:val="2252218A"/>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70" w15:restartNumberingAfterBreak="0">
    <w:nsid w:val="75F804A9"/>
    <w:multiLevelType w:val="hybridMultilevel"/>
    <w:tmpl w:val="EBFE1A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4E6E15"/>
    <w:multiLevelType w:val="hybridMultilevel"/>
    <w:tmpl w:val="B90EC2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2" w15:restartNumberingAfterBreak="0">
    <w:nsid w:val="766134D6"/>
    <w:multiLevelType w:val="hybridMultilevel"/>
    <w:tmpl w:val="7B7A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E92ACA"/>
    <w:multiLevelType w:val="hybridMultilevel"/>
    <w:tmpl w:val="71564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7960123"/>
    <w:multiLevelType w:val="hybridMultilevel"/>
    <w:tmpl w:val="0E90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801E32"/>
    <w:multiLevelType w:val="hybridMultilevel"/>
    <w:tmpl w:val="3E54A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8F80A49"/>
    <w:multiLevelType w:val="hybridMultilevel"/>
    <w:tmpl w:val="28024C6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962F1C"/>
    <w:multiLevelType w:val="hybridMultilevel"/>
    <w:tmpl w:val="407A1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C440927"/>
    <w:multiLevelType w:val="hybridMultilevel"/>
    <w:tmpl w:val="36CA509A"/>
    <w:lvl w:ilvl="0" w:tplc="6E54E720">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C5B0A46"/>
    <w:multiLevelType w:val="hybridMultilevel"/>
    <w:tmpl w:val="B54CCB3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0" w15:restartNumberingAfterBreak="0">
    <w:nsid w:val="7CDF562C"/>
    <w:multiLevelType w:val="hybridMultilevel"/>
    <w:tmpl w:val="2A94E1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EB25172"/>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D927EE"/>
    <w:multiLevelType w:val="hybridMultilevel"/>
    <w:tmpl w:val="07AA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193609"/>
    <w:multiLevelType w:val="hybridMultilevel"/>
    <w:tmpl w:val="627ED9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70218216">
    <w:abstractNumId w:val="40"/>
  </w:num>
  <w:num w:numId="2" w16cid:durableId="1740666888">
    <w:abstractNumId w:val="23"/>
  </w:num>
  <w:num w:numId="3" w16cid:durableId="1320815129">
    <w:abstractNumId w:val="56"/>
  </w:num>
  <w:num w:numId="4" w16cid:durableId="760027797">
    <w:abstractNumId w:val="9"/>
  </w:num>
  <w:num w:numId="5" w16cid:durableId="971860470">
    <w:abstractNumId w:val="51"/>
  </w:num>
  <w:num w:numId="6" w16cid:durableId="289866569">
    <w:abstractNumId w:val="7"/>
  </w:num>
  <w:num w:numId="7" w16cid:durableId="1914389289">
    <w:abstractNumId w:val="60"/>
  </w:num>
  <w:num w:numId="8" w16cid:durableId="238709768">
    <w:abstractNumId w:val="46"/>
  </w:num>
  <w:num w:numId="9" w16cid:durableId="1814521022">
    <w:abstractNumId w:val="41"/>
  </w:num>
  <w:num w:numId="10" w16cid:durableId="265579514">
    <w:abstractNumId w:val="19"/>
  </w:num>
  <w:num w:numId="11" w16cid:durableId="1025712992">
    <w:abstractNumId w:val="55"/>
  </w:num>
  <w:num w:numId="12" w16cid:durableId="1195382501">
    <w:abstractNumId w:val="23"/>
  </w:num>
  <w:num w:numId="13" w16cid:durableId="306865857">
    <w:abstractNumId w:val="70"/>
  </w:num>
  <w:num w:numId="14" w16cid:durableId="2091848703">
    <w:abstractNumId w:val="83"/>
  </w:num>
  <w:num w:numId="15" w16cid:durableId="1487746396">
    <w:abstractNumId w:val="38"/>
  </w:num>
  <w:num w:numId="16" w16cid:durableId="1582367718">
    <w:abstractNumId w:val="76"/>
  </w:num>
  <w:num w:numId="17" w16cid:durableId="107941105">
    <w:abstractNumId w:val="1"/>
  </w:num>
  <w:num w:numId="18" w16cid:durableId="200166105">
    <w:abstractNumId w:val="79"/>
  </w:num>
  <w:num w:numId="19" w16cid:durableId="2029983493">
    <w:abstractNumId w:val="3"/>
  </w:num>
  <w:num w:numId="20" w16cid:durableId="662204736">
    <w:abstractNumId w:val="32"/>
  </w:num>
  <w:num w:numId="21" w16cid:durableId="517161569">
    <w:abstractNumId w:val="65"/>
  </w:num>
  <w:num w:numId="22" w16cid:durableId="326786563">
    <w:abstractNumId w:val="0"/>
  </w:num>
  <w:num w:numId="23" w16cid:durableId="1755400394">
    <w:abstractNumId w:val="62"/>
  </w:num>
  <w:num w:numId="24" w16cid:durableId="169611581">
    <w:abstractNumId w:val="21"/>
  </w:num>
  <w:num w:numId="25" w16cid:durableId="1732801478">
    <w:abstractNumId w:val="5"/>
  </w:num>
  <w:num w:numId="26" w16cid:durableId="1197894060">
    <w:abstractNumId w:val="2"/>
  </w:num>
  <w:num w:numId="27" w16cid:durableId="155609259">
    <w:abstractNumId w:val="73"/>
  </w:num>
  <w:num w:numId="28" w16cid:durableId="91782142">
    <w:abstractNumId w:val="75"/>
  </w:num>
  <w:num w:numId="29" w16cid:durableId="1312641422">
    <w:abstractNumId w:val="50"/>
  </w:num>
  <w:num w:numId="30" w16cid:durableId="325867416">
    <w:abstractNumId w:val="71"/>
  </w:num>
  <w:num w:numId="31" w16cid:durableId="187448200">
    <w:abstractNumId w:val="20"/>
  </w:num>
  <w:num w:numId="32" w16cid:durableId="998726251">
    <w:abstractNumId w:val="48"/>
  </w:num>
  <w:num w:numId="33" w16cid:durableId="1543053584">
    <w:abstractNumId w:val="18"/>
  </w:num>
  <w:num w:numId="34" w16cid:durableId="785854664">
    <w:abstractNumId w:val="17"/>
  </w:num>
  <w:num w:numId="35" w16cid:durableId="899949534">
    <w:abstractNumId w:val="72"/>
  </w:num>
  <w:num w:numId="36" w16cid:durableId="1161700497">
    <w:abstractNumId w:val="4"/>
  </w:num>
  <w:num w:numId="37" w16cid:durableId="1356923714">
    <w:abstractNumId w:val="78"/>
  </w:num>
  <w:num w:numId="38" w16cid:durableId="1847594310">
    <w:abstractNumId w:val="52"/>
  </w:num>
  <w:num w:numId="39" w16cid:durableId="755131447">
    <w:abstractNumId w:val="43"/>
  </w:num>
  <w:num w:numId="40" w16cid:durableId="2016377810">
    <w:abstractNumId w:val="45"/>
  </w:num>
  <w:num w:numId="41" w16cid:durableId="1494299879">
    <w:abstractNumId w:val="15"/>
  </w:num>
  <w:num w:numId="42" w16cid:durableId="328564207">
    <w:abstractNumId w:val="63"/>
  </w:num>
  <w:num w:numId="43" w16cid:durableId="1357123494">
    <w:abstractNumId w:val="61"/>
  </w:num>
  <w:num w:numId="44" w16cid:durableId="1515999908">
    <w:abstractNumId w:val="10"/>
  </w:num>
  <w:num w:numId="45" w16cid:durableId="78412607">
    <w:abstractNumId w:val="12"/>
  </w:num>
  <w:num w:numId="46" w16cid:durableId="585769236">
    <w:abstractNumId w:val="80"/>
  </w:num>
  <w:num w:numId="47" w16cid:durableId="793206840">
    <w:abstractNumId w:val="35"/>
  </w:num>
  <w:num w:numId="48" w16cid:durableId="1870992624">
    <w:abstractNumId w:val="53"/>
  </w:num>
  <w:num w:numId="49" w16cid:durableId="1927033162">
    <w:abstractNumId w:val="26"/>
  </w:num>
  <w:num w:numId="50" w16cid:durableId="943533951">
    <w:abstractNumId w:val="28"/>
  </w:num>
  <w:num w:numId="51" w16cid:durableId="640307937">
    <w:abstractNumId w:val="30"/>
  </w:num>
  <w:num w:numId="52" w16cid:durableId="1177574435">
    <w:abstractNumId w:val="14"/>
  </w:num>
  <w:num w:numId="53" w16cid:durableId="1405371110">
    <w:abstractNumId w:val="36"/>
  </w:num>
  <w:num w:numId="54" w16cid:durableId="1694723399">
    <w:abstractNumId w:val="24"/>
  </w:num>
  <w:num w:numId="55" w16cid:durableId="1225261329">
    <w:abstractNumId w:val="57"/>
  </w:num>
  <w:num w:numId="56" w16cid:durableId="556009676">
    <w:abstractNumId w:val="47"/>
  </w:num>
  <w:num w:numId="57" w16cid:durableId="1827546657">
    <w:abstractNumId w:val="25"/>
  </w:num>
  <w:num w:numId="58" w16cid:durableId="376903748">
    <w:abstractNumId w:val="29"/>
  </w:num>
  <w:num w:numId="59" w16cid:durableId="302275677">
    <w:abstractNumId w:val="82"/>
  </w:num>
  <w:num w:numId="60" w16cid:durableId="1087653515">
    <w:abstractNumId w:val="33"/>
  </w:num>
  <w:num w:numId="61" w16cid:durableId="671833108">
    <w:abstractNumId w:val="59"/>
  </w:num>
  <w:num w:numId="62" w16cid:durableId="1399864586">
    <w:abstractNumId w:val="64"/>
  </w:num>
  <w:num w:numId="63" w16cid:durableId="404567381">
    <w:abstractNumId w:val="81"/>
  </w:num>
  <w:num w:numId="64" w16cid:durableId="598175531">
    <w:abstractNumId w:val="69"/>
  </w:num>
  <w:num w:numId="65" w16cid:durableId="208886088">
    <w:abstractNumId w:val="58"/>
  </w:num>
  <w:num w:numId="66" w16cid:durableId="2073459658">
    <w:abstractNumId w:val="6"/>
  </w:num>
  <w:num w:numId="67" w16cid:durableId="826899840">
    <w:abstractNumId w:val="34"/>
  </w:num>
  <w:num w:numId="68" w16cid:durableId="181170053">
    <w:abstractNumId w:val="16"/>
  </w:num>
  <w:num w:numId="69" w16cid:durableId="5597207">
    <w:abstractNumId w:val="66"/>
  </w:num>
  <w:num w:numId="70" w16cid:durableId="1616323360">
    <w:abstractNumId w:val="31"/>
  </w:num>
  <w:num w:numId="71" w16cid:durableId="1651860858">
    <w:abstractNumId w:val="39"/>
  </w:num>
  <w:num w:numId="72" w16cid:durableId="1210650693">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73" w16cid:durableId="99423941">
    <w:abstractNumId w:val="13"/>
  </w:num>
  <w:num w:numId="74" w16cid:durableId="844318957">
    <w:abstractNumId w:val="67"/>
  </w:num>
  <w:num w:numId="75" w16cid:durableId="318266712">
    <w:abstractNumId w:val="27"/>
  </w:num>
  <w:num w:numId="76" w16cid:durableId="377629758">
    <w:abstractNumId w:val="11"/>
  </w:num>
  <w:num w:numId="77" w16cid:durableId="1683437841">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07845057">
    <w:abstractNumId w:val="42"/>
  </w:num>
  <w:num w:numId="79" w16cid:durableId="1365596792">
    <w:abstractNumId w:val="68"/>
  </w:num>
  <w:num w:numId="80" w16cid:durableId="1148742046">
    <w:abstractNumId w:val="8"/>
  </w:num>
  <w:num w:numId="81" w16cid:durableId="2065182165">
    <w:abstractNumId w:val="44"/>
  </w:num>
  <w:num w:numId="82" w16cid:durableId="1205290865">
    <w:abstractNumId w:val="74"/>
  </w:num>
  <w:num w:numId="83" w16cid:durableId="569850264">
    <w:abstractNumId w:val="47"/>
    <w:lvlOverride w:ilvl="0">
      <w:startOverride w:val="1"/>
    </w:lvlOverride>
    <w:lvlOverride w:ilvl="1">
      <w:startOverride w:val="3"/>
    </w:lvlOverride>
    <w:lvlOverride w:ilvl="2">
      <w:startOverride w:val="2"/>
    </w:lvlOverride>
  </w:num>
  <w:num w:numId="84" w16cid:durableId="294608716">
    <w:abstractNumId w:val="49"/>
  </w:num>
  <w:num w:numId="85" w16cid:durableId="1537349463">
    <w:abstractNumId w:val="54"/>
  </w:num>
  <w:num w:numId="86" w16cid:durableId="1215505875">
    <w:abstractNumId w:val="37"/>
  </w:num>
  <w:num w:numId="87" w16cid:durableId="1774082840">
    <w:abstractNumId w:val="77"/>
  </w:num>
  <w:num w:numId="88" w16cid:durableId="1316377997">
    <w:abstractNumId w:val="47"/>
    <w:lvlOverride w:ilvl="0">
      <w:startOverride w:val="1"/>
    </w:lvlOverride>
    <w:lvlOverride w:ilvl="1">
      <w:startOverride w:val="3"/>
    </w:lvlOverride>
    <w:lvlOverride w:ilvl="2">
      <w:startOverride w:val="2"/>
    </w:lvlOverride>
  </w:num>
  <w:num w:numId="89" w16cid:durableId="1115633921">
    <w:abstractNumId w:val="4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41945739">
    <w:abstractNumId w:val="47"/>
    <w:lvlOverride w:ilvl="0">
      <w:startOverride w:val="1"/>
    </w:lvlOverride>
    <w:lvlOverride w:ilvl="1">
      <w:startOverride w:val="3"/>
    </w:lvlOverride>
    <w:lvlOverride w:ilvl="2">
      <w:startOverride w:val="2"/>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39"/>
  <w:displayHorizontalDrawingGridEvery w:val="0"/>
  <w:displayVerticalDrawingGridEvery w:val="0"/>
  <w:characterSpacingControl w:val="doNotCompress"/>
  <w:hdrShapeDefaults>
    <o:shapedefaults v:ext="edit" spidmax="19558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40"/>
    <w:rsid w:val="00000280"/>
    <w:rsid w:val="000002A7"/>
    <w:rsid w:val="000002AA"/>
    <w:rsid w:val="000003DF"/>
    <w:rsid w:val="00000510"/>
    <w:rsid w:val="000007F9"/>
    <w:rsid w:val="00000835"/>
    <w:rsid w:val="00000E66"/>
    <w:rsid w:val="00000EB0"/>
    <w:rsid w:val="00000F3D"/>
    <w:rsid w:val="00001007"/>
    <w:rsid w:val="00001443"/>
    <w:rsid w:val="00001562"/>
    <w:rsid w:val="00001C86"/>
    <w:rsid w:val="00001F3B"/>
    <w:rsid w:val="0000244A"/>
    <w:rsid w:val="0000249D"/>
    <w:rsid w:val="0000263C"/>
    <w:rsid w:val="00002759"/>
    <w:rsid w:val="0000280F"/>
    <w:rsid w:val="00002E4F"/>
    <w:rsid w:val="000031C3"/>
    <w:rsid w:val="00003322"/>
    <w:rsid w:val="00003325"/>
    <w:rsid w:val="00003665"/>
    <w:rsid w:val="000036AF"/>
    <w:rsid w:val="000037AF"/>
    <w:rsid w:val="00003CB7"/>
    <w:rsid w:val="00003FBD"/>
    <w:rsid w:val="0000431D"/>
    <w:rsid w:val="0000438D"/>
    <w:rsid w:val="0000488C"/>
    <w:rsid w:val="000048BD"/>
    <w:rsid w:val="00004ADE"/>
    <w:rsid w:val="00004DF5"/>
    <w:rsid w:val="00005188"/>
    <w:rsid w:val="000054F6"/>
    <w:rsid w:val="00005B71"/>
    <w:rsid w:val="00005F0C"/>
    <w:rsid w:val="000061CF"/>
    <w:rsid w:val="000069EF"/>
    <w:rsid w:val="00006A2C"/>
    <w:rsid w:val="00006B24"/>
    <w:rsid w:val="00006D3F"/>
    <w:rsid w:val="00006F4B"/>
    <w:rsid w:val="0000717F"/>
    <w:rsid w:val="00007324"/>
    <w:rsid w:val="00007369"/>
    <w:rsid w:val="00007675"/>
    <w:rsid w:val="0000776A"/>
    <w:rsid w:val="00007826"/>
    <w:rsid w:val="000078DE"/>
    <w:rsid w:val="00007F34"/>
    <w:rsid w:val="00010060"/>
    <w:rsid w:val="00010572"/>
    <w:rsid w:val="000106B3"/>
    <w:rsid w:val="000108B3"/>
    <w:rsid w:val="00010910"/>
    <w:rsid w:val="00010C7A"/>
    <w:rsid w:val="00010CE4"/>
    <w:rsid w:val="00010EC8"/>
    <w:rsid w:val="000112D4"/>
    <w:rsid w:val="00011626"/>
    <w:rsid w:val="00011B56"/>
    <w:rsid w:val="00011C67"/>
    <w:rsid w:val="00011F86"/>
    <w:rsid w:val="00012156"/>
    <w:rsid w:val="00012210"/>
    <w:rsid w:val="00012531"/>
    <w:rsid w:val="000125F1"/>
    <w:rsid w:val="00012730"/>
    <w:rsid w:val="00012760"/>
    <w:rsid w:val="00012822"/>
    <w:rsid w:val="00012899"/>
    <w:rsid w:val="00012A5C"/>
    <w:rsid w:val="00012B68"/>
    <w:rsid w:val="00012CFC"/>
    <w:rsid w:val="00012D6C"/>
    <w:rsid w:val="00012E7E"/>
    <w:rsid w:val="00013038"/>
    <w:rsid w:val="00013121"/>
    <w:rsid w:val="000132F4"/>
    <w:rsid w:val="000133DF"/>
    <w:rsid w:val="00013477"/>
    <w:rsid w:val="0001356C"/>
    <w:rsid w:val="00013591"/>
    <w:rsid w:val="00013762"/>
    <w:rsid w:val="00013D2E"/>
    <w:rsid w:val="00013F5A"/>
    <w:rsid w:val="00014482"/>
    <w:rsid w:val="000144FF"/>
    <w:rsid w:val="00014F3B"/>
    <w:rsid w:val="00015198"/>
    <w:rsid w:val="00015236"/>
    <w:rsid w:val="000153B6"/>
    <w:rsid w:val="000153E0"/>
    <w:rsid w:val="000155C0"/>
    <w:rsid w:val="0001580A"/>
    <w:rsid w:val="000159C3"/>
    <w:rsid w:val="00015A23"/>
    <w:rsid w:val="00015ABB"/>
    <w:rsid w:val="00015C5B"/>
    <w:rsid w:val="00015D54"/>
    <w:rsid w:val="00016655"/>
    <w:rsid w:val="00016BFC"/>
    <w:rsid w:val="00016E4E"/>
    <w:rsid w:val="000170B2"/>
    <w:rsid w:val="000172EE"/>
    <w:rsid w:val="0001730D"/>
    <w:rsid w:val="0001731B"/>
    <w:rsid w:val="00017350"/>
    <w:rsid w:val="00017411"/>
    <w:rsid w:val="00017517"/>
    <w:rsid w:val="0001780D"/>
    <w:rsid w:val="000201F9"/>
    <w:rsid w:val="000205CA"/>
    <w:rsid w:val="0002064E"/>
    <w:rsid w:val="00020D40"/>
    <w:rsid w:val="000210DC"/>
    <w:rsid w:val="00021585"/>
    <w:rsid w:val="000217DD"/>
    <w:rsid w:val="00021893"/>
    <w:rsid w:val="00021BAF"/>
    <w:rsid w:val="00021BBD"/>
    <w:rsid w:val="00021C57"/>
    <w:rsid w:val="00021F15"/>
    <w:rsid w:val="0002201A"/>
    <w:rsid w:val="00022145"/>
    <w:rsid w:val="000222D1"/>
    <w:rsid w:val="00022318"/>
    <w:rsid w:val="000225D7"/>
    <w:rsid w:val="00022B78"/>
    <w:rsid w:val="00022C99"/>
    <w:rsid w:val="00022DC7"/>
    <w:rsid w:val="00023237"/>
    <w:rsid w:val="000235BF"/>
    <w:rsid w:val="0002363B"/>
    <w:rsid w:val="00023A4A"/>
    <w:rsid w:val="00023C9A"/>
    <w:rsid w:val="00023D4D"/>
    <w:rsid w:val="00023DA9"/>
    <w:rsid w:val="00023DFF"/>
    <w:rsid w:val="00024A27"/>
    <w:rsid w:val="00024D49"/>
    <w:rsid w:val="0002512F"/>
    <w:rsid w:val="0002535E"/>
    <w:rsid w:val="00025483"/>
    <w:rsid w:val="00025543"/>
    <w:rsid w:val="000258A6"/>
    <w:rsid w:val="00025A97"/>
    <w:rsid w:val="00025B04"/>
    <w:rsid w:val="00025C90"/>
    <w:rsid w:val="00025CF9"/>
    <w:rsid w:val="00025E00"/>
    <w:rsid w:val="00026227"/>
    <w:rsid w:val="0002626C"/>
    <w:rsid w:val="0002663A"/>
    <w:rsid w:val="000267AB"/>
    <w:rsid w:val="000268A8"/>
    <w:rsid w:val="00026B25"/>
    <w:rsid w:val="00026CC6"/>
    <w:rsid w:val="00026E46"/>
    <w:rsid w:val="00026E98"/>
    <w:rsid w:val="00027080"/>
    <w:rsid w:val="00027250"/>
    <w:rsid w:val="000273A3"/>
    <w:rsid w:val="00027412"/>
    <w:rsid w:val="000274E1"/>
    <w:rsid w:val="00027610"/>
    <w:rsid w:val="00027960"/>
    <w:rsid w:val="000279F4"/>
    <w:rsid w:val="000305A4"/>
    <w:rsid w:val="0003110B"/>
    <w:rsid w:val="00031229"/>
    <w:rsid w:val="000312ED"/>
    <w:rsid w:val="000313E2"/>
    <w:rsid w:val="000317A7"/>
    <w:rsid w:val="00031870"/>
    <w:rsid w:val="0003190A"/>
    <w:rsid w:val="00031BE3"/>
    <w:rsid w:val="00031C85"/>
    <w:rsid w:val="00031CDE"/>
    <w:rsid w:val="00031DA4"/>
    <w:rsid w:val="000327E6"/>
    <w:rsid w:val="0003296C"/>
    <w:rsid w:val="00032A3A"/>
    <w:rsid w:val="00032E19"/>
    <w:rsid w:val="00032E8A"/>
    <w:rsid w:val="00033360"/>
    <w:rsid w:val="0003360C"/>
    <w:rsid w:val="00033AC1"/>
    <w:rsid w:val="00033D35"/>
    <w:rsid w:val="00033D8F"/>
    <w:rsid w:val="00033DB2"/>
    <w:rsid w:val="00033E89"/>
    <w:rsid w:val="00034253"/>
    <w:rsid w:val="0003436C"/>
    <w:rsid w:val="000345A0"/>
    <w:rsid w:val="0003466F"/>
    <w:rsid w:val="000346A8"/>
    <w:rsid w:val="0003494F"/>
    <w:rsid w:val="00034983"/>
    <w:rsid w:val="0003539E"/>
    <w:rsid w:val="000353DF"/>
    <w:rsid w:val="000356A2"/>
    <w:rsid w:val="00035826"/>
    <w:rsid w:val="00035833"/>
    <w:rsid w:val="0003588E"/>
    <w:rsid w:val="00035A0B"/>
    <w:rsid w:val="00035A12"/>
    <w:rsid w:val="00035DD6"/>
    <w:rsid w:val="00035FFD"/>
    <w:rsid w:val="000360E6"/>
    <w:rsid w:val="00036360"/>
    <w:rsid w:val="00036657"/>
    <w:rsid w:val="000368E9"/>
    <w:rsid w:val="000368F1"/>
    <w:rsid w:val="00036A62"/>
    <w:rsid w:val="00036CBD"/>
    <w:rsid w:val="00036CC5"/>
    <w:rsid w:val="00036D63"/>
    <w:rsid w:val="00036F8C"/>
    <w:rsid w:val="000371C8"/>
    <w:rsid w:val="00037619"/>
    <w:rsid w:val="00037A67"/>
    <w:rsid w:val="00037F3D"/>
    <w:rsid w:val="0004022E"/>
    <w:rsid w:val="0004044D"/>
    <w:rsid w:val="000405DE"/>
    <w:rsid w:val="000406A2"/>
    <w:rsid w:val="000410A2"/>
    <w:rsid w:val="00041213"/>
    <w:rsid w:val="00041268"/>
    <w:rsid w:val="000413B6"/>
    <w:rsid w:val="000413C4"/>
    <w:rsid w:val="000415DA"/>
    <w:rsid w:val="000415FC"/>
    <w:rsid w:val="00041A7D"/>
    <w:rsid w:val="00042247"/>
    <w:rsid w:val="00042DD2"/>
    <w:rsid w:val="00042E08"/>
    <w:rsid w:val="00042E38"/>
    <w:rsid w:val="00042F41"/>
    <w:rsid w:val="00043111"/>
    <w:rsid w:val="00043143"/>
    <w:rsid w:val="00043199"/>
    <w:rsid w:val="000434BD"/>
    <w:rsid w:val="000439B1"/>
    <w:rsid w:val="00043C78"/>
    <w:rsid w:val="00043F2C"/>
    <w:rsid w:val="00043FC6"/>
    <w:rsid w:val="0004419F"/>
    <w:rsid w:val="00044355"/>
    <w:rsid w:val="000444D2"/>
    <w:rsid w:val="0004485F"/>
    <w:rsid w:val="00045101"/>
    <w:rsid w:val="00045125"/>
    <w:rsid w:val="000452F7"/>
    <w:rsid w:val="000454E4"/>
    <w:rsid w:val="00045640"/>
    <w:rsid w:val="0004564D"/>
    <w:rsid w:val="00045793"/>
    <w:rsid w:val="00045A97"/>
    <w:rsid w:val="00045ACB"/>
    <w:rsid w:val="00045F4F"/>
    <w:rsid w:val="00045FE8"/>
    <w:rsid w:val="0004625B"/>
    <w:rsid w:val="00046802"/>
    <w:rsid w:val="00046B0E"/>
    <w:rsid w:val="00046B55"/>
    <w:rsid w:val="00046CB5"/>
    <w:rsid w:val="00046F9D"/>
    <w:rsid w:val="00047194"/>
    <w:rsid w:val="000471A4"/>
    <w:rsid w:val="00047429"/>
    <w:rsid w:val="00047465"/>
    <w:rsid w:val="000475C7"/>
    <w:rsid w:val="000477B1"/>
    <w:rsid w:val="000478E1"/>
    <w:rsid w:val="000505C6"/>
    <w:rsid w:val="00050DB1"/>
    <w:rsid w:val="00050DDF"/>
    <w:rsid w:val="00050EF8"/>
    <w:rsid w:val="00051368"/>
    <w:rsid w:val="000513E5"/>
    <w:rsid w:val="000517AB"/>
    <w:rsid w:val="000518AB"/>
    <w:rsid w:val="00051A22"/>
    <w:rsid w:val="00051CDD"/>
    <w:rsid w:val="00051E8D"/>
    <w:rsid w:val="00051FE3"/>
    <w:rsid w:val="0005214E"/>
    <w:rsid w:val="000521C5"/>
    <w:rsid w:val="0005266D"/>
    <w:rsid w:val="00052B66"/>
    <w:rsid w:val="00052B6F"/>
    <w:rsid w:val="00052E16"/>
    <w:rsid w:val="00052EA6"/>
    <w:rsid w:val="00052F59"/>
    <w:rsid w:val="000530EA"/>
    <w:rsid w:val="00053EC2"/>
    <w:rsid w:val="00054923"/>
    <w:rsid w:val="00054B43"/>
    <w:rsid w:val="00054BC7"/>
    <w:rsid w:val="00055382"/>
    <w:rsid w:val="0005553B"/>
    <w:rsid w:val="00055556"/>
    <w:rsid w:val="00055621"/>
    <w:rsid w:val="000557E3"/>
    <w:rsid w:val="0005582D"/>
    <w:rsid w:val="0005595A"/>
    <w:rsid w:val="00055B8D"/>
    <w:rsid w:val="00055C59"/>
    <w:rsid w:val="00055D81"/>
    <w:rsid w:val="00055F14"/>
    <w:rsid w:val="00055F17"/>
    <w:rsid w:val="00055FB5"/>
    <w:rsid w:val="00055FC3"/>
    <w:rsid w:val="000565D7"/>
    <w:rsid w:val="000566DC"/>
    <w:rsid w:val="00056919"/>
    <w:rsid w:val="000569E5"/>
    <w:rsid w:val="0005718D"/>
    <w:rsid w:val="00057216"/>
    <w:rsid w:val="00057256"/>
    <w:rsid w:val="000574E2"/>
    <w:rsid w:val="000577B3"/>
    <w:rsid w:val="00057C1B"/>
    <w:rsid w:val="00057D7D"/>
    <w:rsid w:val="000603A8"/>
    <w:rsid w:val="0006055F"/>
    <w:rsid w:val="000606B0"/>
    <w:rsid w:val="0006083A"/>
    <w:rsid w:val="00060862"/>
    <w:rsid w:val="00060BFF"/>
    <w:rsid w:val="00060DCA"/>
    <w:rsid w:val="000610F9"/>
    <w:rsid w:val="00061194"/>
    <w:rsid w:val="00061411"/>
    <w:rsid w:val="00061D86"/>
    <w:rsid w:val="0006226D"/>
    <w:rsid w:val="000623AF"/>
    <w:rsid w:val="00062429"/>
    <w:rsid w:val="000624C3"/>
    <w:rsid w:val="000624E5"/>
    <w:rsid w:val="00062719"/>
    <w:rsid w:val="000627F8"/>
    <w:rsid w:val="00062B04"/>
    <w:rsid w:val="00062CDE"/>
    <w:rsid w:val="00062DDD"/>
    <w:rsid w:val="00062E22"/>
    <w:rsid w:val="00063247"/>
    <w:rsid w:val="00063769"/>
    <w:rsid w:val="00063921"/>
    <w:rsid w:val="00063E9D"/>
    <w:rsid w:val="00063FFB"/>
    <w:rsid w:val="000641BD"/>
    <w:rsid w:val="000641E0"/>
    <w:rsid w:val="00064359"/>
    <w:rsid w:val="0006446D"/>
    <w:rsid w:val="0006449A"/>
    <w:rsid w:val="00064717"/>
    <w:rsid w:val="0006479B"/>
    <w:rsid w:val="00064B6D"/>
    <w:rsid w:val="00064CD4"/>
    <w:rsid w:val="00064D9D"/>
    <w:rsid w:val="00065067"/>
    <w:rsid w:val="00065079"/>
    <w:rsid w:val="00065411"/>
    <w:rsid w:val="00065634"/>
    <w:rsid w:val="00065709"/>
    <w:rsid w:val="00065B2B"/>
    <w:rsid w:val="00065FB1"/>
    <w:rsid w:val="000662B0"/>
    <w:rsid w:val="000664A1"/>
    <w:rsid w:val="0006654B"/>
    <w:rsid w:val="000669BB"/>
    <w:rsid w:val="00066A26"/>
    <w:rsid w:val="000672A3"/>
    <w:rsid w:val="00067411"/>
    <w:rsid w:val="000674AC"/>
    <w:rsid w:val="00067820"/>
    <w:rsid w:val="000678C4"/>
    <w:rsid w:val="00070059"/>
    <w:rsid w:val="000701E8"/>
    <w:rsid w:val="00070219"/>
    <w:rsid w:val="000702E1"/>
    <w:rsid w:val="00070511"/>
    <w:rsid w:val="0007083B"/>
    <w:rsid w:val="00070A73"/>
    <w:rsid w:val="00070ACF"/>
    <w:rsid w:val="00070E5E"/>
    <w:rsid w:val="000710F1"/>
    <w:rsid w:val="0007146C"/>
    <w:rsid w:val="0007167C"/>
    <w:rsid w:val="0007188C"/>
    <w:rsid w:val="00071B3A"/>
    <w:rsid w:val="00071F65"/>
    <w:rsid w:val="000720C1"/>
    <w:rsid w:val="000720D0"/>
    <w:rsid w:val="00072158"/>
    <w:rsid w:val="000723F4"/>
    <w:rsid w:val="00072768"/>
    <w:rsid w:val="00072B1E"/>
    <w:rsid w:val="00072E88"/>
    <w:rsid w:val="00073574"/>
    <w:rsid w:val="000735AC"/>
    <w:rsid w:val="000735FC"/>
    <w:rsid w:val="000736E0"/>
    <w:rsid w:val="000737E2"/>
    <w:rsid w:val="000737EB"/>
    <w:rsid w:val="000739BC"/>
    <w:rsid w:val="00073D93"/>
    <w:rsid w:val="00074062"/>
    <w:rsid w:val="0007414C"/>
    <w:rsid w:val="00074403"/>
    <w:rsid w:val="000748E9"/>
    <w:rsid w:val="0007497D"/>
    <w:rsid w:val="00074BF9"/>
    <w:rsid w:val="00074D60"/>
    <w:rsid w:val="0007503C"/>
    <w:rsid w:val="00075118"/>
    <w:rsid w:val="000751A4"/>
    <w:rsid w:val="000755C0"/>
    <w:rsid w:val="000757E0"/>
    <w:rsid w:val="00075827"/>
    <w:rsid w:val="000759F0"/>
    <w:rsid w:val="00075A77"/>
    <w:rsid w:val="00075B50"/>
    <w:rsid w:val="0007629A"/>
    <w:rsid w:val="0007668E"/>
    <w:rsid w:val="000769A9"/>
    <w:rsid w:val="00076EC3"/>
    <w:rsid w:val="00076F5F"/>
    <w:rsid w:val="000773AB"/>
    <w:rsid w:val="00077677"/>
    <w:rsid w:val="00077947"/>
    <w:rsid w:val="00077A18"/>
    <w:rsid w:val="00077A97"/>
    <w:rsid w:val="00077C8E"/>
    <w:rsid w:val="0008005E"/>
    <w:rsid w:val="000802F9"/>
    <w:rsid w:val="000807DB"/>
    <w:rsid w:val="00080BAE"/>
    <w:rsid w:val="00080D30"/>
    <w:rsid w:val="0008124A"/>
    <w:rsid w:val="00081360"/>
    <w:rsid w:val="0008139D"/>
    <w:rsid w:val="000815B5"/>
    <w:rsid w:val="000819CB"/>
    <w:rsid w:val="00081E24"/>
    <w:rsid w:val="00081F11"/>
    <w:rsid w:val="0008209B"/>
    <w:rsid w:val="0008229A"/>
    <w:rsid w:val="000824E2"/>
    <w:rsid w:val="00082883"/>
    <w:rsid w:val="00082C9C"/>
    <w:rsid w:val="000832C9"/>
    <w:rsid w:val="00083598"/>
    <w:rsid w:val="00083735"/>
    <w:rsid w:val="000837D2"/>
    <w:rsid w:val="0008395B"/>
    <w:rsid w:val="00083AF0"/>
    <w:rsid w:val="00083DFA"/>
    <w:rsid w:val="00083E94"/>
    <w:rsid w:val="0008403C"/>
    <w:rsid w:val="000840C4"/>
    <w:rsid w:val="000841AC"/>
    <w:rsid w:val="00084549"/>
    <w:rsid w:val="000848D8"/>
    <w:rsid w:val="00084C9A"/>
    <w:rsid w:val="0008552A"/>
    <w:rsid w:val="00085712"/>
    <w:rsid w:val="000857B7"/>
    <w:rsid w:val="00085C11"/>
    <w:rsid w:val="00085E18"/>
    <w:rsid w:val="00086422"/>
    <w:rsid w:val="00086B78"/>
    <w:rsid w:val="00086FDD"/>
    <w:rsid w:val="000874B4"/>
    <w:rsid w:val="000875FB"/>
    <w:rsid w:val="00087BAE"/>
    <w:rsid w:val="00087CCD"/>
    <w:rsid w:val="00087D37"/>
    <w:rsid w:val="000909CD"/>
    <w:rsid w:val="00090A5A"/>
    <w:rsid w:val="00090AC2"/>
    <w:rsid w:val="00090ECF"/>
    <w:rsid w:val="00090F32"/>
    <w:rsid w:val="0009119F"/>
    <w:rsid w:val="000916B2"/>
    <w:rsid w:val="00091735"/>
    <w:rsid w:val="00091925"/>
    <w:rsid w:val="00091A86"/>
    <w:rsid w:val="00092143"/>
    <w:rsid w:val="00092692"/>
    <w:rsid w:val="000926D0"/>
    <w:rsid w:val="00092B55"/>
    <w:rsid w:val="00092BFE"/>
    <w:rsid w:val="00092D8E"/>
    <w:rsid w:val="000934AD"/>
    <w:rsid w:val="00093722"/>
    <w:rsid w:val="000938D6"/>
    <w:rsid w:val="00093A4F"/>
    <w:rsid w:val="00093A91"/>
    <w:rsid w:val="00093E42"/>
    <w:rsid w:val="000941A5"/>
    <w:rsid w:val="0009489C"/>
    <w:rsid w:val="00094A36"/>
    <w:rsid w:val="0009531F"/>
    <w:rsid w:val="00095742"/>
    <w:rsid w:val="0009580B"/>
    <w:rsid w:val="000958C0"/>
    <w:rsid w:val="00095B4F"/>
    <w:rsid w:val="00095C54"/>
    <w:rsid w:val="00095D64"/>
    <w:rsid w:val="0009630F"/>
    <w:rsid w:val="00096458"/>
    <w:rsid w:val="00096734"/>
    <w:rsid w:val="000968B6"/>
    <w:rsid w:val="00096984"/>
    <w:rsid w:val="000969A3"/>
    <w:rsid w:val="00096F7B"/>
    <w:rsid w:val="0009715B"/>
    <w:rsid w:val="000974DF"/>
    <w:rsid w:val="00097604"/>
    <w:rsid w:val="000979CC"/>
    <w:rsid w:val="00097B0E"/>
    <w:rsid w:val="00097DD0"/>
    <w:rsid w:val="00097FB4"/>
    <w:rsid w:val="000A061C"/>
    <w:rsid w:val="000A08D5"/>
    <w:rsid w:val="000A0B8B"/>
    <w:rsid w:val="000A14F2"/>
    <w:rsid w:val="000A151C"/>
    <w:rsid w:val="000A1595"/>
    <w:rsid w:val="000A1AB4"/>
    <w:rsid w:val="000A1EDA"/>
    <w:rsid w:val="000A23CA"/>
    <w:rsid w:val="000A23D7"/>
    <w:rsid w:val="000A26E7"/>
    <w:rsid w:val="000A2B15"/>
    <w:rsid w:val="000A2E79"/>
    <w:rsid w:val="000A2F74"/>
    <w:rsid w:val="000A3241"/>
    <w:rsid w:val="000A3584"/>
    <w:rsid w:val="000A36E5"/>
    <w:rsid w:val="000A378C"/>
    <w:rsid w:val="000A3F64"/>
    <w:rsid w:val="000A4241"/>
    <w:rsid w:val="000A44F2"/>
    <w:rsid w:val="000A45B3"/>
    <w:rsid w:val="000A4C8D"/>
    <w:rsid w:val="000A4E21"/>
    <w:rsid w:val="000A505E"/>
    <w:rsid w:val="000A5097"/>
    <w:rsid w:val="000A5409"/>
    <w:rsid w:val="000A559D"/>
    <w:rsid w:val="000A5833"/>
    <w:rsid w:val="000A5AE9"/>
    <w:rsid w:val="000A5EE0"/>
    <w:rsid w:val="000A5F2B"/>
    <w:rsid w:val="000A6026"/>
    <w:rsid w:val="000A615E"/>
    <w:rsid w:val="000A699A"/>
    <w:rsid w:val="000A6AAE"/>
    <w:rsid w:val="000A6F73"/>
    <w:rsid w:val="000A7082"/>
    <w:rsid w:val="000A71B1"/>
    <w:rsid w:val="000A7248"/>
    <w:rsid w:val="000A7367"/>
    <w:rsid w:val="000A7391"/>
    <w:rsid w:val="000A747B"/>
    <w:rsid w:val="000A7628"/>
    <w:rsid w:val="000A77A2"/>
    <w:rsid w:val="000A796F"/>
    <w:rsid w:val="000A7FC7"/>
    <w:rsid w:val="000B0372"/>
    <w:rsid w:val="000B0457"/>
    <w:rsid w:val="000B109F"/>
    <w:rsid w:val="000B1550"/>
    <w:rsid w:val="000B198C"/>
    <w:rsid w:val="000B1BD2"/>
    <w:rsid w:val="000B1E08"/>
    <w:rsid w:val="000B1F59"/>
    <w:rsid w:val="000B2154"/>
    <w:rsid w:val="000B23AF"/>
    <w:rsid w:val="000B255B"/>
    <w:rsid w:val="000B2582"/>
    <w:rsid w:val="000B2682"/>
    <w:rsid w:val="000B26B5"/>
    <w:rsid w:val="000B279C"/>
    <w:rsid w:val="000B28EF"/>
    <w:rsid w:val="000B294B"/>
    <w:rsid w:val="000B29A4"/>
    <w:rsid w:val="000B2F0B"/>
    <w:rsid w:val="000B3337"/>
    <w:rsid w:val="000B3381"/>
    <w:rsid w:val="000B37BC"/>
    <w:rsid w:val="000B3846"/>
    <w:rsid w:val="000B3951"/>
    <w:rsid w:val="000B3C7A"/>
    <w:rsid w:val="000B3C8F"/>
    <w:rsid w:val="000B41AF"/>
    <w:rsid w:val="000B4213"/>
    <w:rsid w:val="000B42FD"/>
    <w:rsid w:val="000B47A7"/>
    <w:rsid w:val="000B4A51"/>
    <w:rsid w:val="000B4AB3"/>
    <w:rsid w:val="000B4CB0"/>
    <w:rsid w:val="000B4D14"/>
    <w:rsid w:val="000B4F68"/>
    <w:rsid w:val="000B51A7"/>
    <w:rsid w:val="000B5699"/>
    <w:rsid w:val="000B5730"/>
    <w:rsid w:val="000B585F"/>
    <w:rsid w:val="000B59B0"/>
    <w:rsid w:val="000B59BE"/>
    <w:rsid w:val="000B5A0F"/>
    <w:rsid w:val="000B5C1F"/>
    <w:rsid w:val="000B61C4"/>
    <w:rsid w:val="000B653D"/>
    <w:rsid w:val="000B68B4"/>
    <w:rsid w:val="000B6CF4"/>
    <w:rsid w:val="000B6F20"/>
    <w:rsid w:val="000B735D"/>
    <w:rsid w:val="000B738C"/>
    <w:rsid w:val="000B7404"/>
    <w:rsid w:val="000B763C"/>
    <w:rsid w:val="000B7705"/>
    <w:rsid w:val="000B7836"/>
    <w:rsid w:val="000B79E7"/>
    <w:rsid w:val="000B7AD0"/>
    <w:rsid w:val="000B7C59"/>
    <w:rsid w:val="000C001B"/>
    <w:rsid w:val="000C02B9"/>
    <w:rsid w:val="000C02F1"/>
    <w:rsid w:val="000C0390"/>
    <w:rsid w:val="000C048C"/>
    <w:rsid w:val="000C04D2"/>
    <w:rsid w:val="000C0602"/>
    <w:rsid w:val="000C06DA"/>
    <w:rsid w:val="000C0B32"/>
    <w:rsid w:val="000C0C34"/>
    <w:rsid w:val="000C0D1E"/>
    <w:rsid w:val="000C0FAE"/>
    <w:rsid w:val="000C10B2"/>
    <w:rsid w:val="000C174A"/>
    <w:rsid w:val="000C1935"/>
    <w:rsid w:val="000C1B36"/>
    <w:rsid w:val="000C1CDA"/>
    <w:rsid w:val="000C2014"/>
    <w:rsid w:val="000C22EC"/>
    <w:rsid w:val="000C2491"/>
    <w:rsid w:val="000C2606"/>
    <w:rsid w:val="000C277A"/>
    <w:rsid w:val="000C2B60"/>
    <w:rsid w:val="000C2DCF"/>
    <w:rsid w:val="000C321F"/>
    <w:rsid w:val="000C3553"/>
    <w:rsid w:val="000C37D8"/>
    <w:rsid w:val="000C4088"/>
    <w:rsid w:val="000C40BD"/>
    <w:rsid w:val="000C418E"/>
    <w:rsid w:val="000C44B3"/>
    <w:rsid w:val="000C458E"/>
    <w:rsid w:val="000C4980"/>
    <w:rsid w:val="000C4C28"/>
    <w:rsid w:val="000C4F43"/>
    <w:rsid w:val="000C4F52"/>
    <w:rsid w:val="000C528B"/>
    <w:rsid w:val="000C54CB"/>
    <w:rsid w:val="000C5613"/>
    <w:rsid w:val="000C5A0C"/>
    <w:rsid w:val="000C5A91"/>
    <w:rsid w:val="000C5B3A"/>
    <w:rsid w:val="000C5BFB"/>
    <w:rsid w:val="000C5C88"/>
    <w:rsid w:val="000C5F9A"/>
    <w:rsid w:val="000C604E"/>
    <w:rsid w:val="000C6144"/>
    <w:rsid w:val="000C68C6"/>
    <w:rsid w:val="000C693A"/>
    <w:rsid w:val="000C6AA2"/>
    <w:rsid w:val="000C6C58"/>
    <w:rsid w:val="000C711A"/>
    <w:rsid w:val="000C736E"/>
    <w:rsid w:val="000C75E5"/>
    <w:rsid w:val="000C7720"/>
    <w:rsid w:val="000C7A66"/>
    <w:rsid w:val="000C7E03"/>
    <w:rsid w:val="000D0396"/>
    <w:rsid w:val="000D0665"/>
    <w:rsid w:val="000D07E1"/>
    <w:rsid w:val="000D0AAB"/>
    <w:rsid w:val="000D0D8A"/>
    <w:rsid w:val="000D0DE4"/>
    <w:rsid w:val="000D1487"/>
    <w:rsid w:val="000D15FC"/>
    <w:rsid w:val="000D18D7"/>
    <w:rsid w:val="000D1933"/>
    <w:rsid w:val="000D1CFA"/>
    <w:rsid w:val="000D1EF6"/>
    <w:rsid w:val="000D22FE"/>
    <w:rsid w:val="000D2372"/>
    <w:rsid w:val="000D25C4"/>
    <w:rsid w:val="000D2768"/>
    <w:rsid w:val="000D2B49"/>
    <w:rsid w:val="000D2B7B"/>
    <w:rsid w:val="000D2DF8"/>
    <w:rsid w:val="000D2EB4"/>
    <w:rsid w:val="000D37BB"/>
    <w:rsid w:val="000D3A31"/>
    <w:rsid w:val="000D3A44"/>
    <w:rsid w:val="000D3B20"/>
    <w:rsid w:val="000D3C6E"/>
    <w:rsid w:val="000D3C98"/>
    <w:rsid w:val="000D3CF2"/>
    <w:rsid w:val="000D3DF9"/>
    <w:rsid w:val="000D3EED"/>
    <w:rsid w:val="000D403E"/>
    <w:rsid w:val="000D40D0"/>
    <w:rsid w:val="000D42CC"/>
    <w:rsid w:val="000D430E"/>
    <w:rsid w:val="000D4A57"/>
    <w:rsid w:val="000D4C5D"/>
    <w:rsid w:val="000D529F"/>
    <w:rsid w:val="000D560A"/>
    <w:rsid w:val="000D56B5"/>
    <w:rsid w:val="000D59AC"/>
    <w:rsid w:val="000D5BC9"/>
    <w:rsid w:val="000D625D"/>
    <w:rsid w:val="000D628F"/>
    <w:rsid w:val="000D6708"/>
    <w:rsid w:val="000D673B"/>
    <w:rsid w:val="000D68C5"/>
    <w:rsid w:val="000D6909"/>
    <w:rsid w:val="000D6A09"/>
    <w:rsid w:val="000D6A44"/>
    <w:rsid w:val="000D6F9B"/>
    <w:rsid w:val="000D6FCF"/>
    <w:rsid w:val="000D72C3"/>
    <w:rsid w:val="000D7460"/>
    <w:rsid w:val="000D7B08"/>
    <w:rsid w:val="000D7C38"/>
    <w:rsid w:val="000E0027"/>
    <w:rsid w:val="000E0320"/>
    <w:rsid w:val="000E119E"/>
    <w:rsid w:val="000E1774"/>
    <w:rsid w:val="000E1CE7"/>
    <w:rsid w:val="000E1DF2"/>
    <w:rsid w:val="000E26AB"/>
    <w:rsid w:val="000E26CE"/>
    <w:rsid w:val="000E27EA"/>
    <w:rsid w:val="000E2882"/>
    <w:rsid w:val="000E28BE"/>
    <w:rsid w:val="000E2959"/>
    <w:rsid w:val="000E2B1F"/>
    <w:rsid w:val="000E2BF2"/>
    <w:rsid w:val="000E2BF7"/>
    <w:rsid w:val="000E2D75"/>
    <w:rsid w:val="000E2DC7"/>
    <w:rsid w:val="000E2E89"/>
    <w:rsid w:val="000E314B"/>
    <w:rsid w:val="000E31C1"/>
    <w:rsid w:val="000E34F9"/>
    <w:rsid w:val="000E35E3"/>
    <w:rsid w:val="000E3F76"/>
    <w:rsid w:val="000E3F9D"/>
    <w:rsid w:val="000E40B2"/>
    <w:rsid w:val="000E4156"/>
    <w:rsid w:val="000E449F"/>
    <w:rsid w:val="000E4A16"/>
    <w:rsid w:val="000E4A2D"/>
    <w:rsid w:val="000E4FC3"/>
    <w:rsid w:val="000E5234"/>
    <w:rsid w:val="000E568E"/>
    <w:rsid w:val="000E5B6B"/>
    <w:rsid w:val="000E5C59"/>
    <w:rsid w:val="000E5C82"/>
    <w:rsid w:val="000E5EC4"/>
    <w:rsid w:val="000E6116"/>
    <w:rsid w:val="000E6274"/>
    <w:rsid w:val="000E6477"/>
    <w:rsid w:val="000E65BB"/>
    <w:rsid w:val="000E66E7"/>
    <w:rsid w:val="000E6A19"/>
    <w:rsid w:val="000E6C09"/>
    <w:rsid w:val="000E6E2F"/>
    <w:rsid w:val="000E6F7C"/>
    <w:rsid w:val="000E7030"/>
    <w:rsid w:val="000E7891"/>
    <w:rsid w:val="000E78AE"/>
    <w:rsid w:val="000E78D6"/>
    <w:rsid w:val="000E7C7F"/>
    <w:rsid w:val="000E7F56"/>
    <w:rsid w:val="000F0505"/>
    <w:rsid w:val="000F058A"/>
    <w:rsid w:val="000F05CA"/>
    <w:rsid w:val="000F06FC"/>
    <w:rsid w:val="000F081F"/>
    <w:rsid w:val="000F0850"/>
    <w:rsid w:val="000F0884"/>
    <w:rsid w:val="000F09BA"/>
    <w:rsid w:val="000F0AE9"/>
    <w:rsid w:val="000F0C36"/>
    <w:rsid w:val="000F0C90"/>
    <w:rsid w:val="000F11B1"/>
    <w:rsid w:val="000F132A"/>
    <w:rsid w:val="000F1837"/>
    <w:rsid w:val="000F18DA"/>
    <w:rsid w:val="000F19A9"/>
    <w:rsid w:val="000F1EE2"/>
    <w:rsid w:val="000F1EFF"/>
    <w:rsid w:val="000F2032"/>
    <w:rsid w:val="000F2283"/>
    <w:rsid w:val="000F238D"/>
    <w:rsid w:val="000F23D7"/>
    <w:rsid w:val="000F269D"/>
    <w:rsid w:val="000F26CE"/>
    <w:rsid w:val="000F283E"/>
    <w:rsid w:val="000F2867"/>
    <w:rsid w:val="000F2901"/>
    <w:rsid w:val="000F2D68"/>
    <w:rsid w:val="000F355F"/>
    <w:rsid w:val="000F38B3"/>
    <w:rsid w:val="000F43DD"/>
    <w:rsid w:val="000F4492"/>
    <w:rsid w:val="000F475E"/>
    <w:rsid w:val="000F4868"/>
    <w:rsid w:val="000F4E27"/>
    <w:rsid w:val="000F4F78"/>
    <w:rsid w:val="000F4FB0"/>
    <w:rsid w:val="000F4FF6"/>
    <w:rsid w:val="000F51E0"/>
    <w:rsid w:val="000F5685"/>
    <w:rsid w:val="000F58E1"/>
    <w:rsid w:val="000F5D3D"/>
    <w:rsid w:val="000F62B8"/>
    <w:rsid w:val="000F6412"/>
    <w:rsid w:val="000F67AC"/>
    <w:rsid w:val="000F67C4"/>
    <w:rsid w:val="000F69C9"/>
    <w:rsid w:val="000F6DC3"/>
    <w:rsid w:val="000F6F28"/>
    <w:rsid w:val="000F6F58"/>
    <w:rsid w:val="000F702E"/>
    <w:rsid w:val="000F7263"/>
    <w:rsid w:val="000F7396"/>
    <w:rsid w:val="000F7B5F"/>
    <w:rsid w:val="00100094"/>
    <w:rsid w:val="001000C4"/>
    <w:rsid w:val="00100322"/>
    <w:rsid w:val="00100864"/>
    <w:rsid w:val="001014DB"/>
    <w:rsid w:val="00101A49"/>
    <w:rsid w:val="00101D48"/>
    <w:rsid w:val="00101E3C"/>
    <w:rsid w:val="001025D6"/>
    <w:rsid w:val="0010269E"/>
    <w:rsid w:val="00102D30"/>
    <w:rsid w:val="00102DF5"/>
    <w:rsid w:val="001031C0"/>
    <w:rsid w:val="001031E3"/>
    <w:rsid w:val="001034AD"/>
    <w:rsid w:val="001035EC"/>
    <w:rsid w:val="001037E9"/>
    <w:rsid w:val="00103B63"/>
    <w:rsid w:val="00103EBC"/>
    <w:rsid w:val="00104172"/>
    <w:rsid w:val="00104210"/>
    <w:rsid w:val="001042CA"/>
    <w:rsid w:val="001044B1"/>
    <w:rsid w:val="00104634"/>
    <w:rsid w:val="001046D9"/>
    <w:rsid w:val="001048AE"/>
    <w:rsid w:val="00104AEF"/>
    <w:rsid w:val="00104F61"/>
    <w:rsid w:val="001053C0"/>
    <w:rsid w:val="00105406"/>
    <w:rsid w:val="00105561"/>
    <w:rsid w:val="00105615"/>
    <w:rsid w:val="00105761"/>
    <w:rsid w:val="00105765"/>
    <w:rsid w:val="00105798"/>
    <w:rsid w:val="001058F5"/>
    <w:rsid w:val="00105AF0"/>
    <w:rsid w:val="00105BC0"/>
    <w:rsid w:val="00105EE5"/>
    <w:rsid w:val="00106229"/>
    <w:rsid w:val="00106329"/>
    <w:rsid w:val="00106C93"/>
    <w:rsid w:val="00106C94"/>
    <w:rsid w:val="00106CCB"/>
    <w:rsid w:val="001070C7"/>
    <w:rsid w:val="0010739C"/>
    <w:rsid w:val="001074B7"/>
    <w:rsid w:val="00107DE7"/>
    <w:rsid w:val="00110056"/>
    <w:rsid w:val="001101E3"/>
    <w:rsid w:val="001102B0"/>
    <w:rsid w:val="001105AF"/>
    <w:rsid w:val="0011061D"/>
    <w:rsid w:val="00110873"/>
    <w:rsid w:val="00110D55"/>
    <w:rsid w:val="00110E1C"/>
    <w:rsid w:val="00111230"/>
    <w:rsid w:val="00111286"/>
    <w:rsid w:val="001115B8"/>
    <w:rsid w:val="0011171A"/>
    <w:rsid w:val="00111745"/>
    <w:rsid w:val="001118B5"/>
    <w:rsid w:val="00111D03"/>
    <w:rsid w:val="00111DBA"/>
    <w:rsid w:val="00111EEA"/>
    <w:rsid w:val="001120C6"/>
    <w:rsid w:val="001122EB"/>
    <w:rsid w:val="0011259C"/>
    <w:rsid w:val="001129FA"/>
    <w:rsid w:val="00112A11"/>
    <w:rsid w:val="00112B7A"/>
    <w:rsid w:val="00112CDE"/>
    <w:rsid w:val="00112FC4"/>
    <w:rsid w:val="00113043"/>
    <w:rsid w:val="00113427"/>
    <w:rsid w:val="0011353F"/>
    <w:rsid w:val="001138CE"/>
    <w:rsid w:val="00113903"/>
    <w:rsid w:val="00113A7B"/>
    <w:rsid w:val="00114653"/>
    <w:rsid w:val="00114971"/>
    <w:rsid w:val="00114A78"/>
    <w:rsid w:val="00114E7A"/>
    <w:rsid w:val="00114F15"/>
    <w:rsid w:val="001151FF"/>
    <w:rsid w:val="00115359"/>
    <w:rsid w:val="00115449"/>
    <w:rsid w:val="00115584"/>
    <w:rsid w:val="001156CE"/>
    <w:rsid w:val="00115733"/>
    <w:rsid w:val="001157D8"/>
    <w:rsid w:val="001158FA"/>
    <w:rsid w:val="00115A8E"/>
    <w:rsid w:val="00115CE9"/>
    <w:rsid w:val="00115D03"/>
    <w:rsid w:val="00115F4E"/>
    <w:rsid w:val="0011603F"/>
    <w:rsid w:val="001162F9"/>
    <w:rsid w:val="001163E0"/>
    <w:rsid w:val="00116607"/>
    <w:rsid w:val="00116A2F"/>
    <w:rsid w:val="00116A44"/>
    <w:rsid w:val="001172AB"/>
    <w:rsid w:val="00117446"/>
    <w:rsid w:val="00117494"/>
    <w:rsid w:val="00117580"/>
    <w:rsid w:val="00117606"/>
    <w:rsid w:val="001179F3"/>
    <w:rsid w:val="00117B6C"/>
    <w:rsid w:val="00117BAF"/>
    <w:rsid w:val="00117DF2"/>
    <w:rsid w:val="00117DF6"/>
    <w:rsid w:val="00120144"/>
    <w:rsid w:val="00120246"/>
    <w:rsid w:val="00120447"/>
    <w:rsid w:val="00120556"/>
    <w:rsid w:val="00120824"/>
    <w:rsid w:val="001209B1"/>
    <w:rsid w:val="00120C14"/>
    <w:rsid w:val="00120DDA"/>
    <w:rsid w:val="00120F5D"/>
    <w:rsid w:val="0012126D"/>
    <w:rsid w:val="001213AC"/>
    <w:rsid w:val="00121458"/>
    <w:rsid w:val="00121504"/>
    <w:rsid w:val="0012172E"/>
    <w:rsid w:val="001218C1"/>
    <w:rsid w:val="001219A8"/>
    <w:rsid w:val="001219ED"/>
    <w:rsid w:val="00121C7E"/>
    <w:rsid w:val="00121D88"/>
    <w:rsid w:val="00121EF9"/>
    <w:rsid w:val="00121F8A"/>
    <w:rsid w:val="00121F8D"/>
    <w:rsid w:val="00121FF3"/>
    <w:rsid w:val="001220C0"/>
    <w:rsid w:val="00122353"/>
    <w:rsid w:val="00122572"/>
    <w:rsid w:val="0012261D"/>
    <w:rsid w:val="001227E7"/>
    <w:rsid w:val="00122D42"/>
    <w:rsid w:val="001232A6"/>
    <w:rsid w:val="001232E3"/>
    <w:rsid w:val="00123354"/>
    <w:rsid w:val="00123573"/>
    <w:rsid w:val="00123A2B"/>
    <w:rsid w:val="00123A5F"/>
    <w:rsid w:val="00123CA8"/>
    <w:rsid w:val="00123D0B"/>
    <w:rsid w:val="00124234"/>
    <w:rsid w:val="001247EF"/>
    <w:rsid w:val="00124B9E"/>
    <w:rsid w:val="00124C37"/>
    <w:rsid w:val="00124C5D"/>
    <w:rsid w:val="00124DF3"/>
    <w:rsid w:val="001252D7"/>
    <w:rsid w:val="00125A2B"/>
    <w:rsid w:val="00125A72"/>
    <w:rsid w:val="001260AA"/>
    <w:rsid w:val="00126305"/>
    <w:rsid w:val="0012664E"/>
    <w:rsid w:val="001267B5"/>
    <w:rsid w:val="00126AD6"/>
    <w:rsid w:val="00126B18"/>
    <w:rsid w:val="00126B3B"/>
    <w:rsid w:val="00126C02"/>
    <w:rsid w:val="001275AD"/>
    <w:rsid w:val="00127699"/>
    <w:rsid w:val="00127864"/>
    <w:rsid w:val="00127C71"/>
    <w:rsid w:val="00127EBC"/>
    <w:rsid w:val="0013015D"/>
    <w:rsid w:val="00130453"/>
    <w:rsid w:val="00130648"/>
    <w:rsid w:val="0013084B"/>
    <w:rsid w:val="001309FE"/>
    <w:rsid w:val="00130E4E"/>
    <w:rsid w:val="0013112E"/>
    <w:rsid w:val="00131153"/>
    <w:rsid w:val="0013118E"/>
    <w:rsid w:val="00131368"/>
    <w:rsid w:val="0013158E"/>
    <w:rsid w:val="00131639"/>
    <w:rsid w:val="00131AF1"/>
    <w:rsid w:val="00132090"/>
    <w:rsid w:val="001323BC"/>
    <w:rsid w:val="00132E17"/>
    <w:rsid w:val="001330C9"/>
    <w:rsid w:val="001333A5"/>
    <w:rsid w:val="00133421"/>
    <w:rsid w:val="00133505"/>
    <w:rsid w:val="00133748"/>
    <w:rsid w:val="00133E5F"/>
    <w:rsid w:val="00133F3B"/>
    <w:rsid w:val="00134045"/>
    <w:rsid w:val="00134468"/>
    <w:rsid w:val="0013456C"/>
    <w:rsid w:val="0013482A"/>
    <w:rsid w:val="0013483A"/>
    <w:rsid w:val="00134D1F"/>
    <w:rsid w:val="00135AE6"/>
    <w:rsid w:val="00135D67"/>
    <w:rsid w:val="001361E7"/>
    <w:rsid w:val="00136323"/>
    <w:rsid w:val="001367E6"/>
    <w:rsid w:val="00136827"/>
    <w:rsid w:val="00136B08"/>
    <w:rsid w:val="00136BDC"/>
    <w:rsid w:val="00136C28"/>
    <w:rsid w:val="00136E72"/>
    <w:rsid w:val="0013753D"/>
    <w:rsid w:val="001375C8"/>
    <w:rsid w:val="0013780F"/>
    <w:rsid w:val="001400C0"/>
    <w:rsid w:val="001405A0"/>
    <w:rsid w:val="00140B02"/>
    <w:rsid w:val="00140C8A"/>
    <w:rsid w:val="0014151A"/>
    <w:rsid w:val="00141C27"/>
    <w:rsid w:val="00142106"/>
    <w:rsid w:val="00142589"/>
    <w:rsid w:val="001427A8"/>
    <w:rsid w:val="0014283A"/>
    <w:rsid w:val="001428C3"/>
    <w:rsid w:val="00142B86"/>
    <w:rsid w:val="00142E04"/>
    <w:rsid w:val="001431F0"/>
    <w:rsid w:val="00143516"/>
    <w:rsid w:val="00143667"/>
    <w:rsid w:val="00143C0A"/>
    <w:rsid w:val="00143C3D"/>
    <w:rsid w:val="00143C7C"/>
    <w:rsid w:val="00143C8A"/>
    <w:rsid w:val="00143CB4"/>
    <w:rsid w:val="00143D7D"/>
    <w:rsid w:val="00143D8C"/>
    <w:rsid w:val="00143DDF"/>
    <w:rsid w:val="001440DC"/>
    <w:rsid w:val="0014421E"/>
    <w:rsid w:val="00144539"/>
    <w:rsid w:val="001445F3"/>
    <w:rsid w:val="00144B31"/>
    <w:rsid w:val="00144D87"/>
    <w:rsid w:val="00144DAB"/>
    <w:rsid w:val="001450B0"/>
    <w:rsid w:val="00145211"/>
    <w:rsid w:val="0014530A"/>
    <w:rsid w:val="00145457"/>
    <w:rsid w:val="001456DB"/>
    <w:rsid w:val="0014602D"/>
    <w:rsid w:val="00146151"/>
    <w:rsid w:val="00146176"/>
    <w:rsid w:val="001461E3"/>
    <w:rsid w:val="00146647"/>
    <w:rsid w:val="001466ED"/>
    <w:rsid w:val="0014672E"/>
    <w:rsid w:val="00146859"/>
    <w:rsid w:val="00146CD1"/>
    <w:rsid w:val="00147400"/>
    <w:rsid w:val="0014755E"/>
    <w:rsid w:val="00147824"/>
    <w:rsid w:val="0014799D"/>
    <w:rsid w:val="00147A14"/>
    <w:rsid w:val="00147AED"/>
    <w:rsid w:val="00147C6F"/>
    <w:rsid w:val="001501C3"/>
    <w:rsid w:val="001502AD"/>
    <w:rsid w:val="0015068A"/>
    <w:rsid w:val="0015095D"/>
    <w:rsid w:val="00151714"/>
    <w:rsid w:val="00151782"/>
    <w:rsid w:val="00151807"/>
    <w:rsid w:val="0015210D"/>
    <w:rsid w:val="001521D4"/>
    <w:rsid w:val="0015228E"/>
    <w:rsid w:val="00152A1B"/>
    <w:rsid w:val="00152C5D"/>
    <w:rsid w:val="00152FA0"/>
    <w:rsid w:val="001530C5"/>
    <w:rsid w:val="001533A7"/>
    <w:rsid w:val="0015345E"/>
    <w:rsid w:val="00153523"/>
    <w:rsid w:val="001535D4"/>
    <w:rsid w:val="0015360D"/>
    <w:rsid w:val="001536F9"/>
    <w:rsid w:val="00153DC2"/>
    <w:rsid w:val="00154026"/>
    <w:rsid w:val="0015411F"/>
    <w:rsid w:val="00154287"/>
    <w:rsid w:val="001542E7"/>
    <w:rsid w:val="00154450"/>
    <w:rsid w:val="00154792"/>
    <w:rsid w:val="00154C14"/>
    <w:rsid w:val="00154EA8"/>
    <w:rsid w:val="001550D0"/>
    <w:rsid w:val="001551A2"/>
    <w:rsid w:val="001557AD"/>
    <w:rsid w:val="00155ED3"/>
    <w:rsid w:val="00156117"/>
    <w:rsid w:val="001562B2"/>
    <w:rsid w:val="001564B9"/>
    <w:rsid w:val="001568C7"/>
    <w:rsid w:val="00156C91"/>
    <w:rsid w:val="00156E45"/>
    <w:rsid w:val="00157196"/>
    <w:rsid w:val="0015748F"/>
    <w:rsid w:val="00157AC8"/>
    <w:rsid w:val="00157B15"/>
    <w:rsid w:val="00157D2C"/>
    <w:rsid w:val="001604D1"/>
    <w:rsid w:val="0016052E"/>
    <w:rsid w:val="00160AF7"/>
    <w:rsid w:val="00160B1D"/>
    <w:rsid w:val="00160CB5"/>
    <w:rsid w:val="00161556"/>
    <w:rsid w:val="00161677"/>
    <w:rsid w:val="00161757"/>
    <w:rsid w:val="00161F5B"/>
    <w:rsid w:val="00162188"/>
    <w:rsid w:val="001624AD"/>
    <w:rsid w:val="001625AF"/>
    <w:rsid w:val="001626A7"/>
    <w:rsid w:val="00162CD4"/>
    <w:rsid w:val="00162D0D"/>
    <w:rsid w:val="001630BF"/>
    <w:rsid w:val="0016314D"/>
    <w:rsid w:val="001632DA"/>
    <w:rsid w:val="001632DF"/>
    <w:rsid w:val="001635A3"/>
    <w:rsid w:val="00163B7A"/>
    <w:rsid w:val="00163C32"/>
    <w:rsid w:val="00163D01"/>
    <w:rsid w:val="00164140"/>
    <w:rsid w:val="001641B7"/>
    <w:rsid w:val="001642A4"/>
    <w:rsid w:val="00164947"/>
    <w:rsid w:val="00164A4E"/>
    <w:rsid w:val="00164C5B"/>
    <w:rsid w:val="00164D24"/>
    <w:rsid w:val="00164F56"/>
    <w:rsid w:val="00165035"/>
    <w:rsid w:val="0016530E"/>
    <w:rsid w:val="0016541E"/>
    <w:rsid w:val="00165510"/>
    <w:rsid w:val="00165A1A"/>
    <w:rsid w:val="00165A2D"/>
    <w:rsid w:val="00165A93"/>
    <w:rsid w:val="00165BDF"/>
    <w:rsid w:val="001661A0"/>
    <w:rsid w:val="001668DA"/>
    <w:rsid w:val="00166B4A"/>
    <w:rsid w:val="00166B53"/>
    <w:rsid w:val="00166D4E"/>
    <w:rsid w:val="00166F09"/>
    <w:rsid w:val="00167A48"/>
    <w:rsid w:val="00167B16"/>
    <w:rsid w:val="00167BB9"/>
    <w:rsid w:val="001701ED"/>
    <w:rsid w:val="00170787"/>
    <w:rsid w:val="00170D01"/>
    <w:rsid w:val="00171392"/>
    <w:rsid w:val="001714B4"/>
    <w:rsid w:val="0017197C"/>
    <w:rsid w:val="001721ED"/>
    <w:rsid w:val="00172204"/>
    <w:rsid w:val="00172674"/>
    <w:rsid w:val="001726EC"/>
    <w:rsid w:val="00172BB4"/>
    <w:rsid w:val="00172CCF"/>
    <w:rsid w:val="00172DF5"/>
    <w:rsid w:val="00172ECD"/>
    <w:rsid w:val="00173379"/>
    <w:rsid w:val="00173417"/>
    <w:rsid w:val="00173796"/>
    <w:rsid w:val="001737B4"/>
    <w:rsid w:val="001739DB"/>
    <w:rsid w:val="00173DE7"/>
    <w:rsid w:val="00173F56"/>
    <w:rsid w:val="0017443B"/>
    <w:rsid w:val="00174509"/>
    <w:rsid w:val="001745A1"/>
    <w:rsid w:val="001746F1"/>
    <w:rsid w:val="00174E73"/>
    <w:rsid w:val="00174E85"/>
    <w:rsid w:val="00175029"/>
    <w:rsid w:val="001752CB"/>
    <w:rsid w:val="00175611"/>
    <w:rsid w:val="001756BE"/>
    <w:rsid w:val="00175A8C"/>
    <w:rsid w:val="00175DEB"/>
    <w:rsid w:val="0017619D"/>
    <w:rsid w:val="001761C6"/>
    <w:rsid w:val="00176519"/>
    <w:rsid w:val="00176548"/>
    <w:rsid w:val="00176551"/>
    <w:rsid w:val="00176A60"/>
    <w:rsid w:val="00176ABD"/>
    <w:rsid w:val="00176B3E"/>
    <w:rsid w:val="00176F0F"/>
    <w:rsid w:val="00176F2B"/>
    <w:rsid w:val="001771DB"/>
    <w:rsid w:val="0017756B"/>
    <w:rsid w:val="001775F7"/>
    <w:rsid w:val="00177676"/>
    <w:rsid w:val="00177856"/>
    <w:rsid w:val="00177C38"/>
    <w:rsid w:val="00177C92"/>
    <w:rsid w:val="00177D40"/>
    <w:rsid w:val="00177E8A"/>
    <w:rsid w:val="00180843"/>
    <w:rsid w:val="00180D55"/>
    <w:rsid w:val="00181096"/>
    <w:rsid w:val="0018143C"/>
    <w:rsid w:val="00181444"/>
    <w:rsid w:val="00181CEA"/>
    <w:rsid w:val="0018212C"/>
    <w:rsid w:val="00182146"/>
    <w:rsid w:val="001823E5"/>
    <w:rsid w:val="001828E6"/>
    <w:rsid w:val="00182D84"/>
    <w:rsid w:val="00182DB5"/>
    <w:rsid w:val="00183564"/>
    <w:rsid w:val="00183584"/>
    <w:rsid w:val="00183827"/>
    <w:rsid w:val="00183969"/>
    <w:rsid w:val="00183AEF"/>
    <w:rsid w:val="00183BD1"/>
    <w:rsid w:val="00183D2F"/>
    <w:rsid w:val="00183D32"/>
    <w:rsid w:val="00183F19"/>
    <w:rsid w:val="00184525"/>
    <w:rsid w:val="0018465E"/>
    <w:rsid w:val="001846F5"/>
    <w:rsid w:val="0018487B"/>
    <w:rsid w:val="001854AF"/>
    <w:rsid w:val="0018579C"/>
    <w:rsid w:val="00185B06"/>
    <w:rsid w:val="001865F7"/>
    <w:rsid w:val="001868C8"/>
    <w:rsid w:val="001869E2"/>
    <w:rsid w:val="00186A35"/>
    <w:rsid w:val="00186ACD"/>
    <w:rsid w:val="00186AE7"/>
    <w:rsid w:val="00186DBA"/>
    <w:rsid w:val="00186E6D"/>
    <w:rsid w:val="00186FC1"/>
    <w:rsid w:val="00187231"/>
    <w:rsid w:val="00187446"/>
    <w:rsid w:val="0018762A"/>
    <w:rsid w:val="00190046"/>
    <w:rsid w:val="00190479"/>
    <w:rsid w:val="00190693"/>
    <w:rsid w:val="0019080F"/>
    <w:rsid w:val="00190B79"/>
    <w:rsid w:val="0019122B"/>
    <w:rsid w:val="00191306"/>
    <w:rsid w:val="00191452"/>
    <w:rsid w:val="00191C87"/>
    <w:rsid w:val="00191F83"/>
    <w:rsid w:val="00191F90"/>
    <w:rsid w:val="00192200"/>
    <w:rsid w:val="001922C8"/>
    <w:rsid w:val="0019257A"/>
    <w:rsid w:val="001928C7"/>
    <w:rsid w:val="001928FA"/>
    <w:rsid w:val="00192FCF"/>
    <w:rsid w:val="001931FD"/>
    <w:rsid w:val="00193494"/>
    <w:rsid w:val="001936EF"/>
    <w:rsid w:val="00193C0D"/>
    <w:rsid w:val="00193D18"/>
    <w:rsid w:val="00193D2F"/>
    <w:rsid w:val="0019401F"/>
    <w:rsid w:val="0019409A"/>
    <w:rsid w:val="0019446A"/>
    <w:rsid w:val="00194AD4"/>
    <w:rsid w:val="00194B88"/>
    <w:rsid w:val="00194C5A"/>
    <w:rsid w:val="001950C9"/>
    <w:rsid w:val="0019586D"/>
    <w:rsid w:val="0019589E"/>
    <w:rsid w:val="00195A0C"/>
    <w:rsid w:val="00195E38"/>
    <w:rsid w:val="001960AF"/>
    <w:rsid w:val="001969E9"/>
    <w:rsid w:val="001969EE"/>
    <w:rsid w:val="00196AA5"/>
    <w:rsid w:val="00196B88"/>
    <w:rsid w:val="00196CCB"/>
    <w:rsid w:val="0019767C"/>
    <w:rsid w:val="001976E2"/>
    <w:rsid w:val="0019794B"/>
    <w:rsid w:val="001979FC"/>
    <w:rsid w:val="00197E49"/>
    <w:rsid w:val="00197F31"/>
    <w:rsid w:val="001A0130"/>
    <w:rsid w:val="001A0408"/>
    <w:rsid w:val="001A06B7"/>
    <w:rsid w:val="001A098C"/>
    <w:rsid w:val="001A0A21"/>
    <w:rsid w:val="001A0B85"/>
    <w:rsid w:val="001A0F19"/>
    <w:rsid w:val="001A0FAA"/>
    <w:rsid w:val="001A12A3"/>
    <w:rsid w:val="001A1417"/>
    <w:rsid w:val="001A1510"/>
    <w:rsid w:val="001A1550"/>
    <w:rsid w:val="001A258B"/>
    <w:rsid w:val="001A25A3"/>
    <w:rsid w:val="001A26DD"/>
    <w:rsid w:val="001A2E8E"/>
    <w:rsid w:val="001A31F2"/>
    <w:rsid w:val="001A336B"/>
    <w:rsid w:val="001A3D40"/>
    <w:rsid w:val="001A3D7C"/>
    <w:rsid w:val="001A4985"/>
    <w:rsid w:val="001A4A83"/>
    <w:rsid w:val="001A4D5F"/>
    <w:rsid w:val="001A4EC6"/>
    <w:rsid w:val="001A4F36"/>
    <w:rsid w:val="001A52CB"/>
    <w:rsid w:val="001A531E"/>
    <w:rsid w:val="001A55A4"/>
    <w:rsid w:val="001A5918"/>
    <w:rsid w:val="001A5952"/>
    <w:rsid w:val="001A5A2D"/>
    <w:rsid w:val="001A5A5E"/>
    <w:rsid w:val="001A5ADB"/>
    <w:rsid w:val="001A5C8B"/>
    <w:rsid w:val="001A5C97"/>
    <w:rsid w:val="001A5E3F"/>
    <w:rsid w:val="001A6017"/>
    <w:rsid w:val="001A67CE"/>
    <w:rsid w:val="001A6B8B"/>
    <w:rsid w:val="001A6C09"/>
    <w:rsid w:val="001A6CD8"/>
    <w:rsid w:val="001A6CDA"/>
    <w:rsid w:val="001A7842"/>
    <w:rsid w:val="001A7993"/>
    <w:rsid w:val="001A79FA"/>
    <w:rsid w:val="001A7B3D"/>
    <w:rsid w:val="001A7CB0"/>
    <w:rsid w:val="001A7E68"/>
    <w:rsid w:val="001B0114"/>
    <w:rsid w:val="001B05F5"/>
    <w:rsid w:val="001B09A2"/>
    <w:rsid w:val="001B0CE4"/>
    <w:rsid w:val="001B0EC9"/>
    <w:rsid w:val="001B0FD4"/>
    <w:rsid w:val="001B12D4"/>
    <w:rsid w:val="001B17A3"/>
    <w:rsid w:val="001B18BC"/>
    <w:rsid w:val="001B1A1D"/>
    <w:rsid w:val="001B1EF5"/>
    <w:rsid w:val="001B1F0D"/>
    <w:rsid w:val="001B231B"/>
    <w:rsid w:val="001B24F4"/>
    <w:rsid w:val="001B250D"/>
    <w:rsid w:val="001B2806"/>
    <w:rsid w:val="001B2A8C"/>
    <w:rsid w:val="001B2AC5"/>
    <w:rsid w:val="001B2BF5"/>
    <w:rsid w:val="001B312E"/>
    <w:rsid w:val="001B33B2"/>
    <w:rsid w:val="001B362D"/>
    <w:rsid w:val="001B3A14"/>
    <w:rsid w:val="001B3B95"/>
    <w:rsid w:val="001B3C26"/>
    <w:rsid w:val="001B3E62"/>
    <w:rsid w:val="001B3EA3"/>
    <w:rsid w:val="001B41EA"/>
    <w:rsid w:val="001B43FE"/>
    <w:rsid w:val="001B457B"/>
    <w:rsid w:val="001B4606"/>
    <w:rsid w:val="001B4700"/>
    <w:rsid w:val="001B4771"/>
    <w:rsid w:val="001B4821"/>
    <w:rsid w:val="001B4DCC"/>
    <w:rsid w:val="001B519C"/>
    <w:rsid w:val="001B5206"/>
    <w:rsid w:val="001B5213"/>
    <w:rsid w:val="001B5252"/>
    <w:rsid w:val="001B54A5"/>
    <w:rsid w:val="001B58E2"/>
    <w:rsid w:val="001B5D8C"/>
    <w:rsid w:val="001B6146"/>
    <w:rsid w:val="001B61EB"/>
    <w:rsid w:val="001B6489"/>
    <w:rsid w:val="001B6517"/>
    <w:rsid w:val="001B6934"/>
    <w:rsid w:val="001B6B0B"/>
    <w:rsid w:val="001B6B99"/>
    <w:rsid w:val="001B6B9F"/>
    <w:rsid w:val="001B6CC6"/>
    <w:rsid w:val="001B6DC6"/>
    <w:rsid w:val="001B700F"/>
    <w:rsid w:val="001B7340"/>
    <w:rsid w:val="001B7731"/>
    <w:rsid w:val="001B78DF"/>
    <w:rsid w:val="001B7C30"/>
    <w:rsid w:val="001B7D59"/>
    <w:rsid w:val="001B7F7B"/>
    <w:rsid w:val="001C1578"/>
    <w:rsid w:val="001C18D1"/>
    <w:rsid w:val="001C195B"/>
    <w:rsid w:val="001C1B00"/>
    <w:rsid w:val="001C1B9C"/>
    <w:rsid w:val="001C1DD9"/>
    <w:rsid w:val="001C1FC4"/>
    <w:rsid w:val="001C205E"/>
    <w:rsid w:val="001C215C"/>
    <w:rsid w:val="001C221D"/>
    <w:rsid w:val="001C2CA4"/>
    <w:rsid w:val="001C2E84"/>
    <w:rsid w:val="001C2F6F"/>
    <w:rsid w:val="001C2F7E"/>
    <w:rsid w:val="001C354F"/>
    <w:rsid w:val="001C382C"/>
    <w:rsid w:val="001C3898"/>
    <w:rsid w:val="001C3A62"/>
    <w:rsid w:val="001C3A9D"/>
    <w:rsid w:val="001C4273"/>
    <w:rsid w:val="001C4620"/>
    <w:rsid w:val="001C480E"/>
    <w:rsid w:val="001C483A"/>
    <w:rsid w:val="001C4985"/>
    <w:rsid w:val="001C49B2"/>
    <w:rsid w:val="001C4AB9"/>
    <w:rsid w:val="001C4BA2"/>
    <w:rsid w:val="001C4DF3"/>
    <w:rsid w:val="001C50C4"/>
    <w:rsid w:val="001C50FC"/>
    <w:rsid w:val="001C5B7D"/>
    <w:rsid w:val="001C5C3D"/>
    <w:rsid w:val="001C5C78"/>
    <w:rsid w:val="001C6298"/>
    <w:rsid w:val="001C6573"/>
    <w:rsid w:val="001C7001"/>
    <w:rsid w:val="001C7242"/>
    <w:rsid w:val="001C75E3"/>
    <w:rsid w:val="001C7BB1"/>
    <w:rsid w:val="001C7FB2"/>
    <w:rsid w:val="001D02EE"/>
    <w:rsid w:val="001D0382"/>
    <w:rsid w:val="001D03F1"/>
    <w:rsid w:val="001D0573"/>
    <w:rsid w:val="001D0585"/>
    <w:rsid w:val="001D0775"/>
    <w:rsid w:val="001D0AD0"/>
    <w:rsid w:val="001D0B89"/>
    <w:rsid w:val="001D0DD0"/>
    <w:rsid w:val="001D0EC9"/>
    <w:rsid w:val="001D111D"/>
    <w:rsid w:val="001D1137"/>
    <w:rsid w:val="001D121A"/>
    <w:rsid w:val="001D131E"/>
    <w:rsid w:val="001D180F"/>
    <w:rsid w:val="001D195F"/>
    <w:rsid w:val="001D1B91"/>
    <w:rsid w:val="001D1E0C"/>
    <w:rsid w:val="001D205D"/>
    <w:rsid w:val="001D230B"/>
    <w:rsid w:val="001D2BC4"/>
    <w:rsid w:val="001D2EA3"/>
    <w:rsid w:val="001D2FDA"/>
    <w:rsid w:val="001D31AB"/>
    <w:rsid w:val="001D327E"/>
    <w:rsid w:val="001D33B1"/>
    <w:rsid w:val="001D34BB"/>
    <w:rsid w:val="001D37AC"/>
    <w:rsid w:val="001D3D33"/>
    <w:rsid w:val="001D42AD"/>
    <w:rsid w:val="001D4693"/>
    <w:rsid w:val="001D4836"/>
    <w:rsid w:val="001D49AD"/>
    <w:rsid w:val="001D4C66"/>
    <w:rsid w:val="001D5293"/>
    <w:rsid w:val="001D5430"/>
    <w:rsid w:val="001D5461"/>
    <w:rsid w:val="001D56B2"/>
    <w:rsid w:val="001D5872"/>
    <w:rsid w:val="001D58B1"/>
    <w:rsid w:val="001D5D17"/>
    <w:rsid w:val="001D5DCA"/>
    <w:rsid w:val="001D5F14"/>
    <w:rsid w:val="001D6464"/>
    <w:rsid w:val="001D656B"/>
    <w:rsid w:val="001D661E"/>
    <w:rsid w:val="001D664B"/>
    <w:rsid w:val="001D66DB"/>
    <w:rsid w:val="001D6B8F"/>
    <w:rsid w:val="001D6C45"/>
    <w:rsid w:val="001D75E2"/>
    <w:rsid w:val="001D7811"/>
    <w:rsid w:val="001D7B93"/>
    <w:rsid w:val="001D7C7C"/>
    <w:rsid w:val="001D7CE6"/>
    <w:rsid w:val="001D7D76"/>
    <w:rsid w:val="001D7E72"/>
    <w:rsid w:val="001E014C"/>
    <w:rsid w:val="001E042C"/>
    <w:rsid w:val="001E10BF"/>
    <w:rsid w:val="001E1329"/>
    <w:rsid w:val="001E1601"/>
    <w:rsid w:val="001E1DD5"/>
    <w:rsid w:val="001E1E06"/>
    <w:rsid w:val="001E2018"/>
    <w:rsid w:val="001E2BF2"/>
    <w:rsid w:val="001E2C95"/>
    <w:rsid w:val="001E2DA2"/>
    <w:rsid w:val="001E2DCC"/>
    <w:rsid w:val="001E2E9C"/>
    <w:rsid w:val="001E2FE6"/>
    <w:rsid w:val="001E301A"/>
    <w:rsid w:val="001E30FF"/>
    <w:rsid w:val="001E312A"/>
    <w:rsid w:val="001E324D"/>
    <w:rsid w:val="001E3533"/>
    <w:rsid w:val="001E378C"/>
    <w:rsid w:val="001E3A08"/>
    <w:rsid w:val="001E3ADE"/>
    <w:rsid w:val="001E3AF7"/>
    <w:rsid w:val="001E3B5E"/>
    <w:rsid w:val="001E3EA0"/>
    <w:rsid w:val="001E3F29"/>
    <w:rsid w:val="001E3F2F"/>
    <w:rsid w:val="001E4126"/>
    <w:rsid w:val="001E4268"/>
    <w:rsid w:val="001E4C2D"/>
    <w:rsid w:val="001E4C72"/>
    <w:rsid w:val="001E4E9E"/>
    <w:rsid w:val="001E527F"/>
    <w:rsid w:val="001E52F2"/>
    <w:rsid w:val="001E5352"/>
    <w:rsid w:val="001E53B6"/>
    <w:rsid w:val="001E5862"/>
    <w:rsid w:val="001E5907"/>
    <w:rsid w:val="001E5CCA"/>
    <w:rsid w:val="001E5CF1"/>
    <w:rsid w:val="001E5D98"/>
    <w:rsid w:val="001E6154"/>
    <w:rsid w:val="001E616A"/>
    <w:rsid w:val="001E61A0"/>
    <w:rsid w:val="001E61CA"/>
    <w:rsid w:val="001E6221"/>
    <w:rsid w:val="001E62F8"/>
    <w:rsid w:val="001E6664"/>
    <w:rsid w:val="001E67D4"/>
    <w:rsid w:val="001E688C"/>
    <w:rsid w:val="001E6A24"/>
    <w:rsid w:val="001E6A34"/>
    <w:rsid w:val="001E7311"/>
    <w:rsid w:val="001E73D1"/>
    <w:rsid w:val="001E7494"/>
    <w:rsid w:val="001E76B9"/>
    <w:rsid w:val="001E77F2"/>
    <w:rsid w:val="001E788B"/>
    <w:rsid w:val="001E78CA"/>
    <w:rsid w:val="001E7B3C"/>
    <w:rsid w:val="001E7C6E"/>
    <w:rsid w:val="001E7E5D"/>
    <w:rsid w:val="001E7EBE"/>
    <w:rsid w:val="001F04AD"/>
    <w:rsid w:val="001F072B"/>
    <w:rsid w:val="001F072D"/>
    <w:rsid w:val="001F0A39"/>
    <w:rsid w:val="001F0AD1"/>
    <w:rsid w:val="001F1130"/>
    <w:rsid w:val="001F117D"/>
    <w:rsid w:val="001F1448"/>
    <w:rsid w:val="001F14C8"/>
    <w:rsid w:val="001F15A7"/>
    <w:rsid w:val="001F1661"/>
    <w:rsid w:val="001F1C58"/>
    <w:rsid w:val="001F1D2C"/>
    <w:rsid w:val="001F240D"/>
    <w:rsid w:val="001F2903"/>
    <w:rsid w:val="001F2A25"/>
    <w:rsid w:val="001F2B08"/>
    <w:rsid w:val="001F2DAD"/>
    <w:rsid w:val="001F3306"/>
    <w:rsid w:val="001F35A5"/>
    <w:rsid w:val="001F39EF"/>
    <w:rsid w:val="001F3A4C"/>
    <w:rsid w:val="001F3A5A"/>
    <w:rsid w:val="001F3E2C"/>
    <w:rsid w:val="001F3F4D"/>
    <w:rsid w:val="001F406C"/>
    <w:rsid w:val="001F40EA"/>
    <w:rsid w:val="001F4128"/>
    <w:rsid w:val="001F4216"/>
    <w:rsid w:val="001F4222"/>
    <w:rsid w:val="001F4292"/>
    <w:rsid w:val="001F42E1"/>
    <w:rsid w:val="001F436C"/>
    <w:rsid w:val="001F44CE"/>
    <w:rsid w:val="001F462A"/>
    <w:rsid w:val="001F48CA"/>
    <w:rsid w:val="001F510D"/>
    <w:rsid w:val="001F52A0"/>
    <w:rsid w:val="001F55C8"/>
    <w:rsid w:val="001F56E4"/>
    <w:rsid w:val="001F57A2"/>
    <w:rsid w:val="001F5CBC"/>
    <w:rsid w:val="001F5E8D"/>
    <w:rsid w:val="001F5F04"/>
    <w:rsid w:val="001F624C"/>
    <w:rsid w:val="001F661B"/>
    <w:rsid w:val="001F668A"/>
    <w:rsid w:val="001F68AD"/>
    <w:rsid w:val="001F6B32"/>
    <w:rsid w:val="001F6C2D"/>
    <w:rsid w:val="001F6CAC"/>
    <w:rsid w:val="001F6E8C"/>
    <w:rsid w:val="001F7581"/>
    <w:rsid w:val="001F78C8"/>
    <w:rsid w:val="001F7AE9"/>
    <w:rsid w:val="001F7CE2"/>
    <w:rsid w:val="001F7CE7"/>
    <w:rsid w:val="001F7E3E"/>
    <w:rsid w:val="001F7E79"/>
    <w:rsid w:val="001F7E89"/>
    <w:rsid w:val="001F7ED5"/>
    <w:rsid w:val="001F7F23"/>
    <w:rsid w:val="002007FE"/>
    <w:rsid w:val="00200B39"/>
    <w:rsid w:val="00200C16"/>
    <w:rsid w:val="00200E9B"/>
    <w:rsid w:val="00200ED4"/>
    <w:rsid w:val="0020139C"/>
    <w:rsid w:val="00201439"/>
    <w:rsid w:val="00201511"/>
    <w:rsid w:val="0020170A"/>
    <w:rsid w:val="0020199E"/>
    <w:rsid w:val="00201CCE"/>
    <w:rsid w:val="00202012"/>
    <w:rsid w:val="0020201B"/>
    <w:rsid w:val="00202249"/>
    <w:rsid w:val="0020224A"/>
    <w:rsid w:val="0020257D"/>
    <w:rsid w:val="00202937"/>
    <w:rsid w:val="00202B01"/>
    <w:rsid w:val="00202D02"/>
    <w:rsid w:val="00202D47"/>
    <w:rsid w:val="00202D5D"/>
    <w:rsid w:val="00202D60"/>
    <w:rsid w:val="00202DDD"/>
    <w:rsid w:val="00203101"/>
    <w:rsid w:val="0020314C"/>
    <w:rsid w:val="00203355"/>
    <w:rsid w:val="00203716"/>
    <w:rsid w:val="00203A47"/>
    <w:rsid w:val="00203B05"/>
    <w:rsid w:val="00203FC3"/>
    <w:rsid w:val="002040A5"/>
    <w:rsid w:val="00204856"/>
    <w:rsid w:val="00204861"/>
    <w:rsid w:val="00204902"/>
    <w:rsid w:val="00204BB0"/>
    <w:rsid w:val="00204D56"/>
    <w:rsid w:val="00204F3C"/>
    <w:rsid w:val="002050C4"/>
    <w:rsid w:val="00205583"/>
    <w:rsid w:val="00205880"/>
    <w:rsid w:val="00205B4E"/>
    <w:rsid w:val="00205EB4"/>
    <w:rsid w:val="00205ED3"/>
    <w:rsid w:val="00205EE5"/>
    <w:rsid w:val="0020645F"/>
    <w:rsid w:val="00206515"/>
    <w:rsid w:val="0020684C"/>
    <w:rsid w:val="00206872"/>
    <w:rsid w:val="0020691F"/>
    <w:rsid w:val="0020698D"/>
    <w:rsid w:val="00206B5F"/>
    <w:rsid w:val="00206B8E"/>
    <w:rsid w:val="00206CF7"/>
    <w:rsid w:val="00206D31"/>
    <w:rsid w:val="00206FA1"/>
    <w:rsid w:val="002071C0"/>
    <w:rsid w:val="002072C1"/>
    <w:rsid w:val="002077BD"/>
    <w:rsid w:val="0020786B"/>
    <w:rsid w:val="00207B67"/>
    <w:rsid w:val="00207BB9"/>
    <w:rsid w:val="00207D42"/>
    <w:rsid w:val="00210210"/>
    <w:rsid w:val="002105CB"/>
    <w:rsid w:val="00210AEE"/>
    <w:rsid w:val="00210C6A"/>
    <w:rsid w:val="00210CCB"/>
    <w:rsid w:val="00210CEB"/>
    <w:rsid w:val="00210DE9"/>
    <w:rsid w:val="00211207"/>
    <w:rsid w:val="002119D8"/>
    <w:rsid w:val="00211C6C"/>
    <w:rsid w:val="002120BB"/>
    <w:rsid w:val="00212550"/>
    <w:rsid w:val="0021264E"/>
    <w:rsid w:val="00212951"/>
    <w:rsid w:val="00212970"/>
    <w:rsid w:val="00212A56"/>
    <w:rsid w:val="00212A7F"/>
    <w:rsid w:val="00212B8F"/>
    <w:rsid w:val="0021330A"/>
    <w:rsid w:val="00213366"/>
    <w:rsid w:val="00213494"/>
    <w:rsid w:val="0021349B"/>
    <w:rsid w:val="002134E2"/>
    <w:rsid w:val="00213799"/>
    <w:rsid w:val="00213E9D"/>
    <w:rsid w:val="0021409B"/>
    <w:rsid w:val="0021438A"/>
    <w:rsid w:val="0021441D"/>
    <w:rsid w:val="002147FC"/>
    <w:rsid w:val="00214871"/>
    <w:rsid w:val="002148DC"/>
    <w:rsid w:val="00214B28"/>
    <w:rsid w:val="00214B8A"/>
    <w:rsid w:val="00214D0B"/>
    <w:rsid w:val="00214D40"/>
    <w:rsid w:val="00214E0E"/>
    <w:rsid w:val="0021515A"/>
    <w:rsid w:val="002151CA"/>
    <w:rsid w:val="00215516"/>
    <w:rsid w:val="002155B2"/>
    <w:rsid w:val="0021638F"/>
    <w:rsid w:val="002166C2"/>
    <w:rsid w:val="002167FC"/>
    <w:rsid w:val="00216994"/>
    <w:rsid w:val="002169D7"/>
    <w:rsid w:val="00216AE0"/>
    <w:rsid w:val="00217043"/>
    <w:rsid w:val="00217070"/>
    <w:rsid w:val="002172C2"/>
    <w:rsid w:val="002177E0"/>
    <w:rsid w:val="00217963"/>
    <w:rsid w:val="00217BF3"/>
    <w:rsid w:val="00217D36"/>
    <w:rsid w:val="00217FDD"/>
    <w:rsid w:val="0022008A"/>
    <w:rsid w:val="0022071C"/>
    <w:rsid w:val="002209FB"/>
    <w:rsid w:val="00220E4C"/>
    <w:rsid w:val="002210EB"/>
    <w:rsid w:val="002213BD"/>
    <w:rsid w:val="00221E00"/>
    <w:rsid w:val="00221FEC"/>
    <w:rsid w:val="00222422"/>
    <w:rsid w:val="00222898"/>
    <w:rsid w:val="0022293B"/>
    <w:rsid w:val="00222AEE"/>
    <w:rsid w:val="00222B43"/>
    <w:rsid w:val="00222C9F"/>
    <w:rsid w:val="002233BF"/>
    <w:rsid w:val="002234FC"/>
    <w:rsid w:val="0022357F"/>
    <w:rsid w:val="00223928"/>
    <w:rsid w:val="00223949"/>
    <w:rsid w:val="00223C4F"/>
    <w:rsid w:val="00223DE3"/>
    <w:rsid w:val="0022406B"/>
    <w:rsid w:val="0022418C"/>
    <w:rsid w:val="002244E1"/>
    <w:rsid w:val="002247FC"/>
    <w:rsid w:val="002248C4"/>
    <w:rsid w:val="00224CAC"/>
    <w:rsid w:val="00224F2C"/>
    <w:rsid w:val="00224FF4"/>
    <w:rsid w:val="002250DB"/>
    <w:rsid w:val="0022527B"/>
    <w:rsid w:val="00225312"/>
    <w:rsid w:val="0022563B"/>
    <w:rsid w:val="0022564C"/>
    <w:rsid w:val="002258D2"/>
    <w:rsid w:val="00225AA5"/>
    <w:rsid w:val="00225E13"/>
    <w:rsid w:val="00226066"/>
    <w:rsid w:val="002261B6"/>
    <w:rsid w:val="00226363"/>
    <w:rsid w:val="0022649D"/>
    <w:rsid w:val="00226946"/>
    <w:rsid w:val="00226A74"/>
    <w:rsid w:val="00226D92"/>
    <w:rsid w:val="002270E9"/>
    <w:rsid w:val="00227430"/>
    <w:rsid w:val="00227576"/>
    <w:rsid w:val="002277CD"/>
    <w:rsid w:val="00227BC5"/>
    <w:rsid w:val="00227C8B"/>
    <w:rsid w:val="00230167"/>
    <w:rsid w:val="00230305"/>
    <w:rsid w:val="00230B67"/>
    <w:rsid w:val="00230CA2"/>
    <w:rsid w:val="00231090"/>
    <w:rsid w:val="00231250"/>
    <w:rsid w:val="002314C5"/>
    <w:rsid w:val="00231F5C"/>
    <w:rsid w:val="0023202A"/>
    <w:rsid w:val="00232181"/>
    <w:rsid w:val="00232565"/>
    <w:rsid w:val="00232720"/>
    <w:rsid w:val="002328F6"/>
    <w:rsid w:val="00232C6D"/>
    <w:rsid w:val="002334EA"/>
    <w:rsid w:val="0023355D"/>
    <w:rsid w:val="00233708"/>
    <w:rsid w:val="0023378D"/>
    <w:rsid w:val="0023387D"/>
    <w:rsid w:val="002339B3"/>
    <w:rsid w:val="00233AC2"/>
    <w:rsid w:val="00233D64"/>
    <w:rsid w:val="00233E2D"/>
    <w:rsid w:val="00234222"/>
    <w:rsid w:val="002343CA"/>
    <w:rsid w:val="00234822"/>
    <w:rsid w:val="00234974"/>
    <w:rsid w:val="00235217"/>
    <w:rsid w:val="00235A7C"/>
    <w:rsid w:val="00235E33"/>
    <w:rsid w:val="00235E6A"/>
    <w:rsid w:val="002361DE"/>
    <w:rsid w:val="00236204"/>
    <w:rsid w:val="002365BA"/>
    <w:rsid w:val="00236696"/>
    <w:rsid w:val="0023769E"/>
    <w:rsid w:val="002376A9"/>
    <w:rsid w:val="0023781D"/>
    <w:rsid w:val="002379DC"/>
    <w:rsid w:val="002379DF"/>
    <w:rsid w:val="002401C1"/>
    <w:rsid w:val="00240A05"/>
    <w:rsid w:val="00240FE6"/>
    <w:rsid w:val="00241082"/>
    <w:rsid w:val="002410B4"/>
    <w:rsid w:val="00241228"/>
    <w:rsid w:val="002414E7"/>
    <w:rsid w:val="002417AD"/>
    <w:rsid w:val="00241BE7"/>
    <w:rsid w:val="00241C4E"/>
    <w:rsid w:val="00241E28"/>
    <w:rsid w:val="00242294"/>
    <w:rsid w:val="0024238D"/>
    <w:rsid w:val="002428A6"/>
    <w:rsid w:val="00242E32"/>
    <w:rsid w:val="00242E5F"/>
    <w:rsid w:val="00242EA5"/>
    <w:rsid w:val="00242F48"/>
    <w:rsid w:val="00242F78"/>
    <w:rsid w:val="002430D0"/>
    <w:rsid w:val="002437BA"/>
    <w:rsid w:val="00243B05"/>
    <w:rsid w:val="00243C34"/>
    <w:rsid w:val="00243D44"/>
    <w:rsid w:val="00243E63"/>
    <w:rsid w:val="00243E99"/>
    <w:rsid w:val="0024434C"/>
    <w:rsid w:val="00244458"/>
    <w:rsid w:val="00244BB3"/>
    <w:rsid w:val="00244FEC"/>
    <w:rsid w:val="002452B5"/>
    <w:rsid w:val="0024558A"/>
    <w:rsid w:val="002456E5"/>
    <w:rsid w:val="00245A22"/>
    <w:rsid w:val="00245CA6"/>
    <w:rsid w:val="0024645F"/>
    <w:rsid w:val="00246976"/>
    <w:rsid w:val="00246B57"/>
    <w:rsid w:val="00246BB1"/>
    <w:rsid w:val="00246DEB"/>
    <w:rsid w:val="00246F0D"/>
    <w:rsid w:val="00247823"/>
    <w:rsid w:val="0024796F"/>
    <w:rsid w:val="00247D2A"/>
    <w:rsid w:val="00247E12"/>
    <w:rsid w:val="00250036"/>
    <w:rsid w:val="00250208"/>
    <w:rsid w:val="00250444"/>
    <w:rsid w:val="0025046C"/>
    <w:rsid w:val="00250B50"/>
    <w:rsid w:val="00250BE9"/>
    <w:rsid w:val="00250ED5"/>
    <w:rsid w:val="00250F66"/>
    <w:rsid w:val="00250FCA"/>
    <w:rsid w:val="00251606"/>
    <w:rsid w:val="00251756"/>
    <w:rsid w:val="002519C6"/>
    <w:rsid w:val="00251A10"/>
    <w:rsid w:val="00251B66"/>
    <w:rsid w:val="00251DE4"/>
    <w:rsid w:val="00252277"/>
    <w:rsid w:val="00252364"/>
    <w:rsid w:val="00252426"/>
    <w:rsid w:val="002527F2"/>
    <w:rsid w:val="0025289B"/>
    <w:rsid w:val="002529BD"/>
    <w:rsid w:val="00252B2F"/>
    <w:rsid w:val="00252CC9"/>
    <w:rsid w:val="00252D88"/>
    <w:rsid w:val="002531D5"/>
    <w:rsid w:val="00253335"/>
    <w:rsid w:val="002535E1"/>
    <w:rsid w:val="002536F9"/>
    <w:rsid w:val="00253798"/>
    <w:rsid w:val="00253AD5"/>
    <w:rsid w:val="002541C3"/>
    <w:rsid w:val="00254344"/>
    <w:rsid w:val="0025470D"/>
    <w:rsid w:val="0025485F"/>
    <w:rsid w:val="0025487B"/>
    <w:rsid w:val="00254886"/>
    <w:rsid w:val="002550FE"/>
    <w:rsid w:val="00255121"/>
    <w:rsid w:val="00255474"/>
    <w:rsid w:val="00255511"/>
    <w:rsid w:val="00255564"/>
    <w:rsid w:val="002555E6"/>
    <w:rsid w:val="002556F9"/>
    <w:rsid w:val="00255C9F"/>
    <w:rsid w:val="002563FA"/>
    <w:rsid w:val="002564B5"/>
    <w:rsid w:val="002564E8"/>
    <w:rsid w:val="0025686E"/>
    <w:rsid w:val="00256973"/>
    <w:rsid w:val="002569D5"/>
    <w:rsid w:val="00256CB9"/>
    <w:rsid w:val="00256D67"/>
    <w:rsid w:val="00256E61"/>
    <w:rsid w:val="002573A4"/>
    <w:rsid w:val="00257538"/>
    <w:rsid w:val="002578C7"/>
    <w:rsid w:val="0025798E"/>
    <w:rsid w:val="00257D3E"/>
    <w:rsid w:val="002601FC"/>
    <w:rsid w:val="00260276"/>
    <w:rsid w:val="002603FE"/>
    <w:rsid w:val="0026050E"/>
    <w:rsid w:val="0026051E"/>
    <w:rsid w:val="002605FF"/>
    <w:rsid w:val="002606EC"/>
    <w:rsid w:val="00260911"/>
    <w:rsid w:val="00260A30"/>
    <w:rsid w:val="00260AA3"/>
    <w:rsid w:val="00260C36"/>
    <w:rsid w:val="00260CA7"/>
    <w:rsid w:val="00260DE0"/>
    <w:rsid w:val="00260DEA"/>
    <w:rsid w:val="00260F74"/>
    <w:rsid w:val="00260FB3"/>
    <w:rsid w:val="00261341"/>
    <w:rsid w:val="00261364"/>
    <w:rsid w:val="00261426"/>
    <w:rsid w:val="00261536"/>
    <w:rsid w:val="00261604"/>
    <w:rsid w:val="00261636"/>
    <w:rsid w:val="00261E77"/>
    <w:rsid w:val="00262019"/>
    <w:rsid w:val="002620E3"/>
    <w:rsid w:val="00262461"/>
    <w:rsid w:val="00262679"/>
    <w:rsid w:val="002626C5"/>
    <w:rsid w:val="0026275E"/>
    <w:rsid w:val="002629C0"/>
    <w:rsid w:val="002629CA"/>
    <w:rsid w:val="00262BD5"/>
    <w:rsid w:val="00262DBF"/>
    <w:rsid w:val="002631C4"/>
    <w:rsid w:val="00263480"/>
    <w:rsid w:val="0026376D"/>
    <w:rsid w:val="00263805"/>
    <w:rsid w:val="0026382F"/>
    <w:rsid w:val="002638FD"/>
    <w:rsid w:val="00263E74"/>
    <w:rsid w:val="00263EF6"/>
    <w:rsid w:val="00264112"/>
    <w:rsid w:val="00264852"/>
    <w:rsid w:val="00264F75"/>
    <w:rsid w:val="00265038"/>
    <w:rsid w:val="002650E7"/>
    <w:rsid w:val="002652D6"/>
    <w:rsid w:val="002654B0"/>
    <w:rsid w:val="002656D8"/>
    <w:rsid w:val="00265A12"/>
    <w:rsid w:val="00265BEF"/>
    <w:rsid w:val="0026628F"/>
    <w:rsid w:val="00266478"/>
    <w:rsid w:val="00266486"/>
    <w:rsid w:val="002666CA"/>
    <w:rsid w:val="002669EC"/>
    <w:rsid w:val="00266BF0"/>
    <w:rsid w:val="00266DA9"/>
    <w:rsid w:val="00266DC5"/>
    <w:rsid w:val="00266FC2"/>
    <w:rsid w:val="0026704D"/>
    <w:rsid w:val="002672B0"/>
    <w:rsid w:val="002674FE"/>
    <w:rsid w:val="0026757D"/>
    <w:rsid w:val="00267777"/>
    <w:rsid w:val="0026781E"/>
    <w:rsid w:val="00267986"/>
    <w:rsid w:val="00267B88"/>
    <w:rsid w:val="00267DA4"/>
    <w:rsid w:val="00267F61"/>
    <w:rsid w:val="00270064"/>
    <w:rsid w:val="00270334"/>
    <w:rsid w:val="002706B6"/>
    <w:rsid w:val="0027072B"/>
    <w:rsid w:val="00270E4E"/>
    <w:rsid w:val="00270F18"/>
    <w:rsid w:val="002712C9"/>
    <w:rsid w:val="00271452"/>
    <w:rsid w:val="002714EC"/>
    <w:rsid w:val="0027179C"/>
    <w:rsid w:val="00271CA4"/>
    <w:rsid w:val="00271D58"/>
    <w:rsid w:val="00271F17"/>
    <w:rsid w:val="002721F3"/>
    <w:rsid w:val="00272522"/>
    <w:rsid w:val="0027263E"/>
    <w:rsid w:val="002727E6"/>
    <w:rsid w:val="00272839"/>
    <w:rsid w:val="0027288A"/>
    <w:rsid w:val="0027294E"/>
    <w:rsid w:val="00272B58"/>
    <w:rsid w:val="00272CF4"/>
    <w:rsid w:val="00272DF5"/>
    <w:rsid w:val="002731C0"/>
    <w:rsid w:val="002732E5"/>
    <w:rsid w:val="0027414C"/>
    <w:rsid w:val="002743BC"/>
    <w:rsid w:val="00274597"/>
    <w:rsid w:val="00274974"/>
    <w:rsid w:val="00274BF6"/>
    <w:rsid w:val="00274DF2"/>
    <w:rsid w:val="00274E01"/>
    <w:rsid w:val="00274EEA"/>
    <w:rsid w:val="002751DC"/>
    <w:rsid w:val="0027536D"/>
    <w:rsid w:val="00275420"/>
    <w:rsid w:val="00275474"/>
    <w:rsid w:val="002756A2"/>
    <w:rsid w:val="0027586A"/>
    <w:rsid w:val="00275C52"/>
    <w:rsid w:val="00275EB9"/>
    <w:rsid w:val="00276253"/>
    <w:rsid w:val="00276956"/>
    <w:rsid w:val="00276BBE"/>
    <w:rsid w:val="00276E4B"/>
    <w:rsid w:val="00277239"/>
    <w:rsid w:val="0027725C"/>
    <w:rsid w:val="002772A4"/>
    <w:rsid w:val="00277AAB"/>
    <w:rsid w:val="00277BC4"/>
    <w:rsid w:val="00277E0C"/>
    <w:rsid w:val="00277E8C"/>
    <w:rsid w:val="00280355"/>
    <w:rsid w:val="002809E1"/>
    <w:rsid w:val="00280B06"/>
    <w:rsid w:val="00280E98"/>
    <w:rsid w:val="00280EA0"/>
    <w:rsid w:val="00281098"/>
    <w:rsid w:val="00281201"/>
    <w:rsid w:val="002816B0"/>
    <w:rsid w:val="00281EEA"/>
    <w:rsid w:val="00281FCB"/>
    <w:rsid w:val="0028231E"/>
    <w:rsid w:val="0028242F"/>
    <w:rsid w:val="002825AB"/>
    <w:rsid w:val="002827AB"/>
    <w:rsid w:val="00282A18"/>
    <w:rsid w:val="00282A95"/>
    <w:rsid w:val="00282FBC"/>
    <w:rsid w:val="00282FDB"/>
    <w:rsid w:val="002831AC"/>
    <w:rsid w:val="002833A4"/>
    <w:rsid w:val="00283547"/>
    <w:rsid w:val="002837D8"/>
    <w:rsid w:val="0028389B"/>
    <w:rsid w:val="002838F7"/>
    <w:rsid w:val="0028393B"/>
    <w:rsid w:val="00283ADB"/>
    <w:rsid w:val="00283B38"/>
    <w:rsid w:val="00283DD7"/>
    <w:rsid w:val="00283F26"/>
    <w:rsid w:val="00284395"/>
    <w:rsid w:val="00284946"/>
    <w:rsid w:val="00284B31"/>
    <w:rsid w:val="00284C5B"/>
    <w:rsid w:val="00284C94"/>
    <w:rsid w:val="00284D0C"/>
    <w:rsid w:val="00284D66"/>
    <w:rsid w:val="00285792"/>
    <w:rsid w:val="00285AC3"/>
    <w:rsid w:val="00285C22"/>
    <w:rsid w:val="00286053"/>
    <w:rsid w:val="002860BA"/>
    <w:rsid w:val="00286108"/>
    <w:rsid w:val="00286191"/>
    <w:rsid w:val="00286387"/>
    <w:rsid w:val="002863D0"/>
    <w:rsid w:val="0028654F"/>
    <w:rsid w:val="002868D0"/>
    <w:rsid w:val="00286B8C"/>
    <w:rsid w:val="0028743C"/>
    <w:rsid w:val="002875AA"/>
    <w:rsid w:val="002879B7"/>
    <w:rsid w:val="00287ADA"/>
    <w:rsid w:val="00290305"/>
    <w:rsid w:val="0029031B"/>
    <w:rsid w:val="00290473"/>
    <w:rsid w:val="00290AD1"/>
    <w:rsid w:val="00290B4E"/>
    <w:rsid w:val="00290C4F"/>
    <w:rsid w:val="00290CEB"/>
    <w:rsid w:val="0029123C"/>
    <w:rsid w:val="002915C2"/>
    <w:rsid w:val="00291A35"/>
    <w:rsid w:val="00291C0F"/>
    <w:rsid w:val="00291F5C"/>
    <w:rsid w:val="00292348"/>
    <w:rsid w:val="00292371"/>
    <w:rsid w:val="002926F9"/>
    <w:rsid w:val="002927A7"/>
    <w:rsid w:val="002927B1"/>
    <w:rsid w:val="0029284C"/>
    <w:rsid w:val="00292898"/>
    <w:rsid w:val="002929D1"/>
    <w:rsid w:val="00293062"/>
    <w:rsid w:val="002934DF"/>
    <w:rsid w:val="002939B8"/>
    <w:rsid w:val="00293BBE"/>
    <w:rsid w:val="00293C50"/>
    <w:rsid w:val="00293DEE"/>
    <w:rsid w:val="00293F95"/>
    <w:rsid w:val="00294030"/>
    <w:rsid w:val="00294319"/>
    <w:rsid w:val="00294409"/>
    <w:rsid w:val="0029443E"/>
    <w:rsid w:val="0029450B"/>
    <w:rsid w:val="00294AB5"/>
    <w:rsid w:val="00294E29"/>
    <w:rsid w:val="0029509B"/>
    <w:rsid w:val="00295525"/>
    <w:rsid w:val="0029564D"/>
    <w:rsid w:val="002956A0"/>
    <w:rsid w:val="00295868"/>
    <w:rsid w:val="00295A21"/>
    <w:rsid w:val="00295BEF"/>
    <w:rsid w:val="00295C32"/>
    <w:rsid w:val="00295C4E"/>
    <w:rsid w:val="00295EC8"/>
    <w:rsid w:val="0029606A"/>
    <w:rsid w:val="00296093"/>
    <w:rsid w:val="0029617D"/>
    <w:rsid w:val="0029629B"/>
    <w:rsid w:val="0029647C"/>
    <w:rsid w:val="00296742"/>
    <w:rsid w:val="0029674F"/>
    <w:rsid w:val="002967F1"/>
    <w:rsid w:val="00296921"/>
    <w:rsid w:val="00296C68"/>
    <w:rsid w:val="002970C1"/>
    <w:rsid w:val="0029721B"/>
    <w:rsid w:val="002976B4"/>
    <w:rsid w:val="00297C22"/>
    <w:rsid w:val="002A0133"/>
    <w:rsid w:val="002A0724"/>
    <w:rsid w:val="002A0C5B"/>
    <w:rsid w:val="002A107B"/>
    <w:rsid w:val="002A1393"/>
    <w:rsid w:val="002A139A"/>
    <w:rsid w:val="002A1516"/>
    <w:rsid w:val="002A16D9"/>
    <w:rsid w:val="002A1F1A"/>
    <w:rsid w:val="002A1F55"/>
    <w:rsid w:val="002A1FD0"/>
    <w:rsid w:val="002A206C"/>
    <w:rsid w:val="002A2099"/>
    <w:rsid w:val="002A2145"/>
    <w:rsid w:val="002A21F2"/>
    <w:rsid w:val="002A2268"/>
    <w:rsid w:val="002A22B8"/>
    <w:rsid w:val="002A24F7"/>
    <w:rsid w:val="002A250F"/>
    <w:rsid w:val="002A2B17"/>
    <w:rsid w:val="002A2C5F"/>
    <w:rsid w:val="002A31EA"/>
    <w:rsid w:val="002A335B"/>
    <w:rsid w:val="002A33EB"/>
    <w:rsid w:val="002A345C"/>
    <w:rsid w:val="002A347D"/>
    <w:rsid w:val="002A34C4"/>
    <w:rsid w:val="002A37DF"/>
    <w:rsid w:val="002A39A0"/>
    <w:rsid w:val="002A3C6D"/>
    <w:rsid w:val="002A3FA9"/>
    <w:rsid w:val="002A40CF"/>
    <w:rsid w:val="002A44C2"/>
    <w:rsid w:val="002A48A8"/>
    <w:rsid w:val="002A4BBE"/>
    <w:rsid w:val="002A4FFB"/>
    <w:rsid w:val="002A5114"/>
    <w:rsid w:val="002A519C"/>
    <w:rsid w:val="002A58A5"/>
    <w:rsid w:val="002A5D88"/>
    <w:rsid w:val="002A667B"/>
    <w:rsid w:val="002A66B8"/>
    <w:rsid w:val="002A697A"/>
    <w:rsid w:val="002A6AB4"/>
    <w:rsid w:val="002A6E84"/>
    <w:rsid w:val="002A70B6"/>
    <w:rsid w:val="002A742B"/>
    <w:rsid w:val="002A77FC"/>
    <w:rsid w:val="002A7EEF"/>
    <w:rsid w:val="002B0071"/>
    <w:rsid w:val="002B0114"/>
    <w:rsid w:val="002B017E"/>
    <w:rsid w:val="002B029D"/>
    <w:rsid w:val="002B051D"/>
    <w:rsid w:val="002B0630"/>
    <w:rsid w:val="002B089D"/>
    <w:rsid w:val="002B0A1C"/>
    <w:rsid w:val="002B0B18"/>
    <w:rsid w:val="002B0C71"/>
    <w:rsid w:val="002B12D3"/>
    <w:rsid w:val="002B1352"/>
    <w:rsid w:val="002B1480"/>
    <w:rsid w:val="002B1643"/>
    <w:rsid w:val="002B16D6"/>
    <w:rsid w:val="002B1B72"/>
    <w:rsid w:val="002B1B98"/>
    <w:rsid w:val="002B1BFE"/>
    <w:rsid w:val="002B1E49"/>
    <w:rsid w:val="002B1FE9"/>
    <w:rsid w:val="002B21DE"/>
    <w:rsid w:val="002B22EC"/>
    <w:rsid w:val="002B2417"/>
    <w:rsid w:val="002B2688"/>
    <w:rsid w:val="002B2FB8"/>
    <w:rsid w:val="002B3031"/>
    <w:rsid w:val="002B35B6"/>
    <w:rsid w:val="002B35E2"/>
    <w:rsid w:val="002B361F"/>
    <w:rsid w:val="002B3644"/>
    <w:rsid w:val="002B3732"/>
    <w:rsid w:val="002B3808"/>
    <w:rsid w:val="002B38F1"/>
    <w:rsid w:val="002B3C4E"/>
    <w:rsid w:val="002B3D78"/>
    <w:rsid w:val="002B3E39"/>
    <w:rsid w:val="002B3F87"/>
    <w:rsid w:val="002B3FD1"/>
    <w:rsid w:val="002B3FE7"/>
    <w:rsid w:val="002B4167"/>
    <w:rsid w:val="002B4373"/>
    <w:rsid w:val="002B4698"/>
    <w:rsid w:val="002B469F"/>
    <w:rsid w:val="002B496A"/>
    <w:rsid w:val="002B4987"/>
    <w:rsid w:val="002B4A1D"/>
    <w:rsid w:val="002B4A96"/>
    <w:rsid w:val="002B4B82"/>
    <w:rsid w:val="002B5DD5"/>
    <w:rsid w:val="002B5FBD"/>
    <w:rsid w:val="002B61A6"/>
    <w:rsid w:val="002B6665"/>
    <w:rsid w:val="002B66A5"/>
    <w:rsid w:val="002B68BC"/>
    <w:rsid w:val="002B690B"/>
    <w:rsid w:val="002B6A10"/>
    <w:rsid w:val="002B6B5E"/>
    <w:rsid w:val="002B6D05"/>
    <w:rsid w:val="002B6D44"/>
    <w:rsid w:val="002B6E2A"/>
    <w:rsid w:val="002B70D5"/>
    <w:rsid w:val="002B70EA"/>
    <w:rsid w:val="002B74CD"/>
    <w:rsid w:val="002B7757"/>
    <w:rsid w:val="002B77EA"/>
    <w:rsid w:val="002B797C"/>
    <w:rsid w:val="002B7B49"/>
    <w:rsid w:val="002B7B9F"/>
    <w:rsid w:val="002B7C8C"/>
    <w:rsid w:val="002B7CB7"/>
    <w:rsid w:val="002C008A"/>
    <w:rsid w:val="002C02DA"/>
    <w:rsid w:val="002C0330"/>
    <w:rsid w:val="002C03D8"/>
    <w:rsid w:val="002C049C"/>
    <w:rsid w:val="002C0AAF"/>
    <w:rsid w:val="002C0ABD"/>
    <w:rsid w:val="002C0D3B"/>
    <w:rsid w:val="002C0E38"/>
    <w:rsid w:val="002C1111"/>
    <w:rsid w:val="002C11B4"/>
    <w:rsid w:val="002C12A2"/>
    <w:rsid w:val="002C1319"/>
    <w:rsid w:val="002C14B5"/>
    <w:rsid w:val="002C153F"/>
    <w:rsid w:val="002C1F8F"/>
    <w:rsid w:val="002C2877"/>
    <w:rsid w:val="002C2973"/>
    <w:rsid w:val="002C2A73"/>
    <w:rsid w:val="002C2F4F"/>
    <w:rsid w:val="002C3310"/>
    <w:rsid w:val="002C33F9"/>
    <w:rsid w:val="002C3441"/>
    <w:rsid w:val="002C3644"/>
    <w:rsid w:val="002C3BE6"/>
    <w:rsid w:val="002C44E2"/>
    <w:rsid w:val="002C4629"/>
    <w:rsid w:val="002C49DC"/>
    <w:rsid w:val="002C4A15"/>
    <w:rsid w:val="002C4B84"/>
    <w:rsid w:val="002C4D44"/>
    <w:rsid w:val="002C59F2"/>
    <w:rsid w:val="002C5A96"/>
    <w:rsid w:val="002C5B0F"/>
    <w:rsid w:val="002C6003"/>
    <w:rsid w:val="002C6306"/>
    <w:rsid w:val="002C6F4A"/>
    <w:rsid w:val="002C73D5"/>
    <w:rsid w:val="002C7AC0"/>
    <w:rsid w:val="002C7AEF"/>
    <w:rsid w:val="002C7BA0"/>
    <w:rsid w:val="002C7C46"/>
    <w:rsid w:val="002C7E3D"/>
    <w:rsid w:val="002C7F7C"/>
    <w:rsid w:val="002D0208"/>
    <w:rsid w:val="002D02CD"/>
    <w:rsid w:val="002D037A"/>
    <w:rsid w:val="002D03BB"/>
    <w:rsid w:val="002D06D8"/>
    <w:rsid w:val="002D06F1"/>
    <w:rsid w:val="002D0832"/>
    <w:rsid w:val="002D0B74"/>
    <w:rsid w:val="002D0F8E"/>
    <w:rsid w:val="002D13B2"/>
    <w:rsid w:val="002D13BE"/>
    <w:rsid w:val="002D1634"/>
    <w:rsid w:val="002D174E"/>
    <w:rsid w:val="002D184C"/>
    <w:rsid w:val="002D1A98"/>
    <w:rsid w:val="002D1D9C"/>
    <w:rsid w:val="002D20CA"/>
    <w:rsid w:val="002D21E8"/>
    <w:rsid w:val="002D25C9"/>
    <w:rsid w:val="002D2900"/>
    <w:rsid w:val="002D2D5E"/>
    <w:rsid w:val="002D2F6F"/>
    <w:rsid w:val="002D2F9C"/>
    <w:rsid w:val="002D30F1"/>
    <w:rsid w:val="002D3160"/>
    <w:rsid w:val="002D31E6"/>
    <w:rsid w:val="002D3527"/>
    <w:rsid w:val="002D3591"/>
    <w:rsid w:val="002D379C"/>
    <w:rsid w:val="002D37D5"/>
    <w:rsid w:val="002D3B2E"/>
    <w:rsid w:val="002D3E8B"/>
    <w:rsid w:val="002D3EE1"/>
    <w:rsid w:val="002D3F22"/>
    <w:rsid w:val="002D42F7"/>
    <w:rsid w:val="002D44E1"/>
    <w:rsid w:val="002D4643"/>
    <w:rsid w:val="002D46E4"/>
    <w:rsid w:val="002D480D"/>
    <w:rsid w:val="002D4841"/>
    <w:rsid w:val="002D4955"/>
    <w:rsid w:val="002D4D94"/>
    <w:rsid w:val="002D4FDA"/>
    <w:rsid w:val="002D50D5"/>
    <w:rsid w:val="002D5291"/>
    <w:rsid w:val="002D5542"/>
    <w:rsid w:val="002D5BB5"/>
    <w:rsid w:val="002D5C32"/>
    <w:rsid w:val="002D60DC"/>
    <w:rsid w:val="002D62F0"/>
    <w:rsid w:val="002D6512"/>
    <w:rsid w:val="002D6B09"/>
    <w:rsid w:val="002D6FFE"/>
    <w:rsid w:val="002D706A"/>
    <w:rsid w:val="002D728D"/>
    <w:rsid w:val="002D75DC"/>
    <w:rsid w:val="002D77CD"/>
    <w:rsid w:val="002D7851"/>
    <w:rsid w:val="002D797D"/>
    <w:rsid w:val="002D7C10"/>
    <w:rsid w:val="002D7E5D"/>
    <w:rsid w:val="002D7F57"/>
    <w:rsid w:val="002E00A3"/>
    <w:rsid w:val="002E0339"/>
    <w:rsid w:val="002E048A"/>
    <w:rsid w:val="002E0647"/>
    <w:rsid w:val="002E06D6"/>
    <w:rsid w:val="002E0784"/>
    <w:rsid w:val="002E08A7"/>
    <w:rsid w:val="002E114B"/>
    <w:rsid w:val="002E151B"/>
    <w:rsid w:val="002E1536"/>
    <w:rsid w:val="002E2219"/>
    <w:rsid w:val="002E23A5"/>
    <w:rsid w:val="002E246E"/>
    <w:rsid w:val="002E255A"/>
    <w:rsid w:val="002E25E6"/>
    <w:rsid w:val="002E2870"/>
    <w:rsid w:val="002E2ADF"/>
    <w:rsid w:val="002E2BA4"/>
    <w:rsid w:val="002E2BFB"/>
    <w:rsid w:val="002E2E85"/>
    <w:rsid w:val="002E3024"/>
    <w:rsid w:val="002E31E1"/>
    <w:rsid w:val="002E3848"/>
    <w:rsid w:val="002E389E"/>
    <w:rsid w:val="002E39AE"/>
    <w:rsid w:val="002E3AFF"/>
    <w:rsid w:val="002E3C80"/>
    <w:rsid w:val="002E40E6"/>
    <w:rsid w:val="002E40FF"/>
    <w:rsid w:val="002E469E"/>
    <w:rsid w:val="002E479E"/>
    <w:rsid w:val="002E47A8"/>
    <w:rsid w:val="002E4898"/>
    <w:rsid w:val="002E48C3"/>
    <w:rsid w:val="002E49FB"/>
    <w:rsid w:val="002E4A11"/>
    <w:rsid w:val="002E4C57"/>
    <w:rsid w:val="002E4E6F"/>
    <w:rsid w:val="002E5173"/>
    <w:rsid w:val="002E51D8"/>
    <w:rsid w:val="002E5769"/>
    <w:rsid w:val="002E5ABC"/>
    <w:rsid w:val="002E5B90"/>
    <w:rsid w:val="002E5F9C"/>
    <w:rsid w:val="002E6720"/>
    <w:rsid w:val="002E6AF7"/>
    <w:rsid w:val="002E6B21"/>
    <w:rsid w:val="002E7078"/>
    <w:rsid w:val="002E71BE"/>
    <w:rsid w:val="002E7879"/>
    <w:rsid w:val="002E7A7F"/>
    <w:rsid w:val="002E7C75"/>
    <w:rsid w:val="002E7EAC"/>
    <w:rsid w:val="002E7ED0"/>
    <w:rsid w:val="002E7EFF"/>
    <w:rsid w:val="002F0093"/>
    <w:rsid w:val="002F013D"/>
    <w:rsid w:val="002F0148"/>
    <w:rsid w:val="002F040C"/>
    <w:rsid w:val="002F0454"/>
    <w:rsid w:val="002F057A"/>
    <w:rsid w:val="002F072B"/>
    <w:rsid w:val="002F07A4"/>
    <w:rsid w:val="002F0BDF"/>
    <w:rsid w:val="002F0F9D"/>
    <w:rsid w:val="002F0FBA"/>
    <w:rsid w:val="002F1014"/>
    <w:rsid w:val="002F1060"/>
    <w:rsid w:val="002F1064"/>
    <w:rsid w:val="002F10C0"/>
    <w:rsid w:val="002F1245"/>
    <w:rsid w:val="002F1378"/>
    <w:rsid w:val="002F155E"/>
    <w:rsid w:val="002F1B9A"/>
    <w:rsid w:val="002F21FB"/>
    <w:rsid w:val="002F22D6"/>
    <w:rsid w:val="002F24F6"/>
    <w:rsid w:val="002F2654"/>
    <w:rsid w:val="002F26FD"/>
    <w:rsid w:val="002F2737"/>
    <w:rsid w:val="002F279D"/>
    <w:rsid w:val="002F29E6"/>
    <w:rsid w:val="002F2ED2"/>
    <w:rsid w:val="002F3153"/>
    <w:rsid w:val="002F35DF"/>
    <w:rsid w:val="002F3722"/>
    <w:rsid w:val="002F3A6D"/>
    <w:rsid w:val="002F3CB5"/>
    <w:rsid w:val="002F4429"/>
    <w:rsid w:val="002F4A89"/>
    <w:rsid w:val="002F4AB1"/>
    <w:rsid w:val="002F4D0F"/>
    <w:rsid w:val="002F4F9F"/>
    <w:rsid w:val="002F5201"/>
    <w:rsid w:val="002F521F"/>
    <w:rsid w:val="002F52D7"/>
    <w:rsid w:val="002F5342"/>
    <w:rsid w:val="002F567C"/>
    <w:rsid w:val="002F57DB"/>
    <w:rsid w:val="002F5839"/>
    <w:rsid w:val="002F5996"/>
    <w:rsid w:val="002F5A7C"/>
    <w:rsid w:val="002F5C33"/>
    <w:rsid w:val="002F6529"/>
    <w:rsid w:val="002F67B3"/>
    <w:rsid w:val="002F689F"/>
    <w:rsid w:val="002F6A78"/>
    <w:rsid w:val="002F6C81"/>
    <w:rsid w:val="002F6D49"/>
    <w:rsid w:val="002F6E8F"/>
    <w:rsid w:val="002F748A"/>
    <w:rsid w:val="002F7CD6"/>
    <w:rsid w:val="002F7EB6"/>
    <w:rsid w:val="002F7EE8"/>
    <w:rsid w:val="002F7FD4"/>
    <w:rsid w:val="00300074"/>
    <w:rsid w:val="00300092"/>
    <w:rsid w:val="00300197"/>
    <w:rsid w:val="00300292"/>
    <w:rsid w:val="003006BF"/>
    <w:rsid w:val="0030089C"/>
    <w:rsid w:val="00300A07"/>
    <w:rsid w:val="00300B28"/>
    <w:rsid w:val="0030112D"/>
    <w:rsid w:val="0030126C"/>
    <w:rsid w:val="0030143C"/>
    <w:rsid w:val="003014F3"/>
    <w:rsid w:val="003016BE"/>
    <w:rsid w:val="00301B1D"/>
    <w:rsid w:val="00301C2A"/>
    <w:rsid w:val="003021EF"/>
    <w:rsid w:val="00302217"/>
    <w:rsid w:val="00302224"/>
    <w:rsid w:val="00302295"/>
    <w:rsid w:val="0030234D"/>
    <w:rsid w:val="003028C8"/>
    <w:rsid w:val="0030294D"/>
    <w:rsid w:val="00302D12"/>
    <w:rsid w:val="00302D48"/>
    <w:rsid w:val="00302E5E"/>
    <w:rsid w:val="00303035"/>
    <w:rsid w:val="00303068"/>
    <w:rsid w:val="0030334D"/>
    <w:rsid w:val="00303691"/>
    <w:rsid w:val="00303AD0"/>
    <w:rsid w:val="003044C2"/>
    <w:rsid w:val="00304B00"/>
    <w:rsid w:val="00304B92"/>
    <w:rsid w:val="00304CAA"/>
    <w:rsid w:val="00304DDE"/>
    <w:rsid w:val="003052FB"/>
    <w:rsid w:val="00305549"/>
    <w:rsid w:val="00305732"/>
    <w:rsid w:val="0030577E"/>
    <w:rsid w:val="00305E08"/>
    <w:rsid w:val="00306376"/>
    <w:rsid w:val="0030665C"/>
    <w:rsid w:val="00306884"/>
    <w:rsid w:val="003068DF"/>
    <w:rsid w:val="00306DA8"/>
    <w:rsid w:val="0030712E"/>
    <w:rsid w:val="00307227"/>
    <w:rsid w:val="003073E1"/>
    <w:rsid w:val="00307526"/>
    <w:rsid w:val="003076D3"/>
    <w:rsid w:val="003076F3"/>
    <w:rsid w:val="00307991"/>
    <w:rsid w:val="00307AB5"/>
    <w:rsid w:val="00307DD6"/>
    <w:rsid w:val="0031013C"/>
    <w:rsid w:val="00310613"/>
    <w:rsid w:val="00310663"/>
    <w:rsid w:val="00310BED"/>
    <w:rsid w:val="00310ED3"/>
    <w:rsid w:val="00310FCF"/>
    <w:rsid w:val="003112B4"/>
    <w:rsid w:val="00311610"/>
    <w:rsid w:val="00311B8E"/>
    <w:rsid w:val="00311E33"/>
    <w:rsid w:val="00311E55"/>
    <w:rsid w:val="003125A9"/>
    <w:rsid w:val="00312874"/>
    <w:rsid w:val="003128B4"/>
    <w:rsid w:val="003129A3"/>
    <w:rsid w:val="00312DCD"/>
    <w:rsid w:val="00312F0E"/>
    <w:rsid w:val="00313389"/>
    <w:rsid w:val="0031345C"/>
    <w:rsid w:val="00313707"/>
    <w:rsid w:val="00313776"/>
    <w:rsid w:val="00313778"/>
    <w:rsid w:val="003138D4"/>
    <w:rsid w:val="00313BCC"/>
    <w:rsid w:val="00313C0A"/>
    <w:rsid w:val="00314205"/>
    <w:rsid w:val="00314522"/>
    <w:rsid w:val="003149AA"/>
    <w:rsid w:val="00314E76"/>
    <w:rsid w:val="0031500E"/>
    <w:rsid w:val="00315184"/>
    <w:rsid w:val="00315319"/>
    <w:rsid w:val="003153C8"/>
    <w:rsid w:val="00315487"/>
    <w:rsid w:val="003155CC"/>
    <w:rsid w:val="00315980"/>
    <w:rsid w:val="00315AFC"/>
    <w:rsid w:val="00315D91"/>
    <w:rsid w:val="003160E2"/>
    <w:rsid w:val="00316160"/>
    <w:rsid w:val="0031630E"/>
    <w:rsid w:val="00316550"/>
    <w:rsid w:val="0031656C"/>
    <w:rsid w:val="003165D6"/>
    <w:rsid w:val="00316B4F"/>
    <w:rsid w:val="003170B8"/>
    <w:rsid w:val="003171A5"/>
    <w:rsid w:val="003173AE"/>
    <w:rsid w:val="00317818"/>
    <w:rsid w:val="0031790A"/>
    <w:rsid w:val="00317B4A"/>
    <w:rsid w:val="00317ECD"/>
    <w:rsid w:val="003200CB"/>
    <w:rsid w:val="00320465"/>
    <w:rsid w:val="00320510"/>
    <w:rsid w:val="00320C24"/>
    <w:rsid w:val="00320F6F"/>
    <w:rsid w:val="00321349"/>
    <w:rsid w:val="0032143A"/>
    <w:rsid w:val="00321725"/>
    <w:rsid w:val="00321844"/>
    <w:rsid w:val="00321849"/>
    <w:rsid w:val="00322257"/>
    <w:rsid w:val="00322577"/>
    <w:rsid w:val="00322752"/>
    <w:rsid w:val="00322CB1"/>
    <w:rsid w:val="00322FFA"/>
    <w:rsid w:val="00323344"/>
    <w:rsid w:val="003237A6"/>
    <w:rsid w:val="00323B0E"/>
    <w:rsid w:val="00323E59"/>
    <w:rsid w:val="0032435F"/>
    <w:rsid w:val="00324488"/>
    <w:rsid w:val="00324A21"/>
    <w:rsid w:val="00324B6C"/>
    <w:rsid w:val="00324CB4"/>
    <w:rsid w:val="00324E4B"/>
    <w:rsid w:val="00325221"/>
    <w:rsid w:val="0032522E"/>
    <w:rsid w:val="00325BC3"/>
    <w:rsid w:val="00325BCA"/>
    <w:rsid w:val="00326060"/>
    <w:rsid w:val="0032612F"/>
    <w:rsid w:val="003262FD"/>
    <w:rsid w:val="00326470"/>
    <w:rsid w:val="003268EB"/>
    <w:rsid w:val="00326F23"/>
    <w:rsid w:val="003270A9"/>
    <w:rsid w:val="00327185"/>
    <w:rsid w:val="00327366"/>
    <w:rsid w:val="003273F9"/>
    <w:rsid w:val="00327A39"/>
    <w:rsid w:val="00327AFB"/>
    <w:rsid w:val="00327BF3"/>
    <w:rsid w:val="00330091"/>
    <w:rsid w:val="0033032D"/>
    <w:rsid w:val="0033035D"/>
    <w:rsid w:val="0033078A"/>
    <w:rsid w:val="00330922"/>
    <w:rsid w:val="00330F46"/>
    <w:rsid w:val="00330F9C"/>
    <w:rsid w:val="00330FBD"/>
    <w:rsid w:val="00331022"/>
    <w:rsid w:val="003310B8"/>
    <w:rsid w:val="0033191C"/>
    <w:rsid w:val="00331955"/>
    <w:rsid w:val="0033202E"/>
    <w:rsid w:val="00332498"/>
    <w:rsid w:val="00332757"/>
    <w:rsid w:val="0033279C"/>
    <w:rsid w:val="00332880"/>
    <w:rsid w:val="003329B4"/>
    <w:rsid w:val="00332AFE"/>
    <w:rsid w:val="00332E05"/>
    <w:rsid w:val="00332EAA"/>
    <w:rsid w:val="00333063"/>
    <w:rsid w:val="003330AF"/>
    <w:rsid w:val="00333187"/>
    <w:rsid w:val="003333A4"/>
    <w:rsid w:val="0033347F"/>
    <w:rsid w:val="003334D4"/>
    <w:rsid w:val="00333B8F"/>
    <w:rsid w:val="003340CD"/>
    <w:rsid w:val="00334A57"/>
    <w:rsid w:val="00334BFD"/>
    <w:rsid w:val="00334F66"/>
    <w:rsid w:val="00335315"/>
    <w:rsid w:val="0033548A"/>
    <w:rsid w:val="003355F9"/>
    <w:rsid w:val="00335761"/>
    <w:rsid w:val="0033602E"/>
    <w:rsid w:val="00336100"/>
    <w:rsid w:val="003368D3"/>
    <w:rsid w:val="0033690A"/>
    <w:rsid w:val="0033691F"/>
    <w:rsid w:val="00336F46"/>
    <w:rsid w:val="00337383"/>
    <w:rsid w:val="00337522"/>
    <w:rsid w:val="003377CB"/>
    <w:rsid w:val="003378ED"/>
    <w:rsid w:val="00337951"/>
    <w:rsid w:val="00337D80"/>
    <w:rsid w:val="00337DBA"/>
    <w:rsid w:val="0034013E"/>
    <w:rsid w:val="003401FB"/>
    <w:rsid w:val="003406F1"/>
    <w:rsid w:val="003407B7"/>
    <w:rsid w:val="00340AD5"/>
    <w:rsid w:val="00340B49"/>
    <w:rsid w:val="00341236"/>
    <w:rsid w:val="00341241"/>
    <w:rsid w:val="003412EC"/>
    <w:rsid w:val="00341805"/>
    <w:rsid w:val="00341BE9"/>
    <w:rsid w:val="00341C62"/>
    <w:rsid w:val="00341DD1"/>
    <w:rsid w:val="00341E93"/>
    <w:rsid w:val="00341FC7"/>
    <w:rsid w:val="00342405"/>
    <w:rsid w:val="00342707"/>
    <w:rsid w:val="0034298A"/>
    <w:rsid w:val="00342BC7"/>
    <w:rsid w:val="00342CF5"/>
    <w:rsid w:val="00342F57"/>
    <w:rsid w:val="00343226"/>
    <w:rsid w:val="00343335"/>
    <w:rsid w:val="00343573"/>
    <w:rsid w:val="003435DC"/>
    <w:rsid w:val="0034368A"/>
    <w:rsid w:val="003436DC"/>
    <w:rsid w:val="003437E5"/>
    <w:rsid w:val="00343822"/>
    <w:rsid w:val="0034382A"/>
    <w:rsid w:val="00343B12"/>
    <w:rsid w:val="00343B5F"/>
    <w:rsid w:val="00343CE0"/>
    <w:rsid w:val="00343D63"/>
    <w:rsid w:val="0034417C"/>
    <w:rsid w:val="003441F0"/>
    <w:rsid w:val="00344560"/>
    <w:rsid w:val="0034465B"/>
    <w:rsid w:val="00344983"/>
    <w:rsid w:val="00344AB3"/>
    <w:rsid w:val="00344DD4"/>
    <w:rsid w:val="00344E58"/>
    <w:rsid w:val="00345033"/>
    <w:rsid w:val="00345191"/>
    <w:rsid w:val="00345C68"/>
    <w:rsid w:val="00345F30"/>
    <w:rsid w:val="00346A3A"/>
    <w:rsid w:val="00346C28"/>
    <w:rsid w:val="00346D35"/>
    <w:rsid w:val="00346D9E"/>
    <w:rsid w:val="0034702F"/>
    <w:rsid w:val="00347303"/>
    <w:rsid w:val="00347352"/>
    <w:rsid w:val="0034760D"/>
    <w:rsid w:val="00347866"/>
    <w:rsid w:val="00347B17"/>
    <w:rsid w:val="00347F31"/>
    <w:rsid w:val="003500DF"/>
    <w:rsid w:val="003500ED"/>
    <w:rsid w:val="003501AF"/>
    <w:rsid w:val="003502EC"/>
    <w:rsid w:val="0035032B"/>
    <w:rsid w:val="00350349"/>
    <w:rsid w:val="003503AC"/>
    <w:rsid w:val="00350411"/>
    <w:rsid w:val="00350670"/>
    <w:rsid w:val="00350761"/>
    <w:rsid w:val="00351131"/>
    <w:rsid w:val="0035153F"/>
    <w:rsid w:val="003519CC"/>
    <w:rsid w:val="00351BA3"/>
    <w:rsid w:val="00351BEC"/>
    <w:rsid w:val="00351F2E"/>
    <w:rsid w:val="00351FC3"/>
    <w:rsid w:val="0035240A"/>
    <w:rsid w:val="0035272C"/>
    <w:rsid w:val="00352909"/>
    <w:rsid w:val="00352E3F"/>
    <w:rsid w:val="00353141"/>
    <w:rsid w:val="003533E5"/>
    <w:rsid w:val="00353781"/>
    <w:rsid w:val="00353821"/>
    <w:rsid w:val="00353F5A"/>
    <w:rsid w:val="00353F82"/>
    <w:rsid w:val="00354061"/>
    <w:rsid w:val="00354376"/>
    <w:rsid w:val="003544B5"/>
    <w:rsid w:val="0035482C"/>
    <w:rsid w:val="003549FC"/>
    <w:rsid w:val="00354B92"/>
    <w:rsid w:val="00355171"/>
    <w:rsid w:val="0035542C"/>
    <w:rsid w:val="0035563D"/>
    <w:rsid w:val="003559D6"/>
    <w:rsid w:val="00355A25"/>
    <w:rsid w:val="00355BA5"/>
    <w:rsid w:val="00355DF9"/>
    <w:rsid w:val="0035638A"/>
    <w:rsid w:val="00357046"/>
    <w:rsid w:val="003570D0"/>
    <w:rsid w:val="00357786"/>
    <w:rsid w:val="00357813"/>
    <w:rsid w:val="00360217"/>
    <w:rsid w:val="0036043B"/>
    <w:rsid w:val="003616DC"/>
    <w:rsid w:val="0036171F"/>
    <w:rsid w:val="003620B7"/>
    <w:rsid w:val="0036247B"/>
    <w:rsid w:val="00362490"/>
    <w:rsid w:val="00362496"/>
    <w:rsid w:val="003624BF"/>
    <w:rsid w:val="003625A5"/>
    <w:rsid w:val="00362655"/>
    <w:rsid w:val="00362666"/>
    <w:rsid w:val="00362812"/>
    <w:rsid w:val="00362876"/>
    <w:rsid w:val="00362B37"/>
    <w:rsid w:val="00362D32"/>
    <w:rsid w:val="00362E12"/>
    <w:rsid w:val="00363195"/>
    <w:rsid w:val="003632E6"/>
    <w:rsid w:val="003635D1"/>
    <w:rsid w:val="003636AB"/>
    <w:rsid w:val="003637B9"/>
    <w:rsid w:val="003639B8"/>
    <w:rsid w:val="00363A2D"/>
    <w:rsid w:val="00363AA3"/>
    <w:rsid w:val="00363B15"/>
    <w:rsid w:val="00363C62"/>
    <w:rsid w:val="00363EC7"/>
    <w:rsid w:val="00364281"/>
    <w:rsid w:val="003645F3"/>
    <w:rsid w:val="003647FF"/>
    <w:rsid w:val="00364C55"/>
    <w:rsid w:val="00364D33"/>
    <w:rsid w:val="00364EB1"/>
    <w:rsid w:val="00365157"/>
    <w:rsid w:val="0036539A"/>
    <w:rsid w:val="0036540D"/>
    <w:rsid w:val="003655BB"/>
    <w:rsid w:val="00365890"/>
    <w:rsid w:val="00365960"/>
    <w:rsid w:val="0036598F"/>
    <w:rsid w:val="00365A35"/>
    <w:rsid w:val="00365BDF"/>
    <w:rsid w:val="00365CD8"/>
    <w:rsid w:val="003662F2"/>
    <w:rsid w:val="003665B6"/>
    <w:rsid w:val="0036694B"/>
    <w:rsid w:val="00367093"/>
    <w:rsid w:val="003670D0"/>
    <w:rsid w:val="00367203"/>
    <w:rsid w:val="00367409"/>
    <w:rsid w:val="0036774D"/>
    <w:rsid w:val="003678AB"/>
    <w:rsid w:val="00367A6E"/>
    <w:rsid w:val="00367A83"/>
    <w:rsid w:val="00367F01"/>
    <w:rsid w:val="003700DC"/>
    <w:rsid w:val="003706DB"/>
    <w:rsid w:val="0037084C"/>
    <w:rsid w:val="00370ECA"/>
    <w:rsid w:val="00370EEF"/>
    <w:rsid w:val="0037110B"/>
    <w:rsid w:val="00371142"/>
    <w:rsid w:val="003712A4"/>
    <w:rsid w:val="0037187F"/>
    <w:rsid w:val="00371927"/>
    <w:rsid w:val="00371988"/>
    <w:rsid w:val="00371BF4"/>
    <w:rsid w:val="0037204E"/>
    <w:rsid w:val="003721A6"/>
    <w:rsid w:val="00372247"/>
    <w:rsid w:val="0037254A"/>
    <w:rsid w:val="00372554"/>
    <w:rsid w:val="00372828"/>
    <w:rsid w:val="00372870"/>
    <w:rsid w:val="003728EC"/>
    <w:rsid w:val="00372903"/>
    <w:rsid w:val="003729F9"/>
    <w:rsid w:val="00372CDF"/>
    <w:rsid w:val="00372E03"/>
    <w:rsid w:val="00372EBC"/>
    <w:rsid w:val="00372EC2"/>
    <w:rsid w:val="0037312B"/>
    <w:rsid w:val="00373232"/>
    <w:rsid w:val="00373417"/>
    <w:rsid w:val="00373768"/>
    <w:rsid w:val="00373A9E"/>
    <w:rsid w:val="00373FE8"/>
    <w:rsid w:val="00374100"/>
    <w:rsid w:val="00374524"/>
    <w:rsid w:val="00374599"/>
    <w:rsid w:val="00374790"/>
    <w:rsid w:val="00374D60"/>
    <w:rsid w:val="0037529C"/>
    <w:rsid w:val="003754B6"/>
    <w:rsid w:val="003754F4"/>
    <w:rsid w:val="003759C0"/>
    <w:rsid w:val="00375DBD"/>
    <w:rsid w:val="003765B6"/>
    <w:rsid w:val="00376863"/>
    <w:rsid w:val="00376CA4"/>
    <w:rsid w:val="00376CAD"/>
    <w:rsid w:val="00376F71"/>
    <w:rsid w:val="0037703D"/>
    <w:rsid w:val="003770C1"/>
    <w:rsid w:val="003772F3"/>
    <w:rsid w:val="003774C5"/>
    <w:rsid w:val="00377F90"/>
    <w:rsid w:val="00380E33"/>
    <w:rsid w:val="00381254"/>
    <w:rsid w:val="00381279"/>
    <w:rsid w:val="00381622"/>
    <w:rsid w:val="0038175E"/>
    <w:rsid w:val="0038192F"/>
    <w:rsid w:val="00381D99"/>
    <w:rsid w:val="003820A0"/>
    <w:rsid w:val="0038219B"/>
    <w:rsid w:val="003821A4"/>
    <w:rsid w:val="0038240D"/>
    <w:rsid w:val="003828B8"/>
    <w:rsid w:val="00382AF6"/>
    <w:rsid w:val="00382D79"/>
    <w:rsid w:val="00382EA3"/>
    <w:rsid w:val="00382EF2"/>
    <w:rsid w:val="0038319F"/>
    <w:rsid w:val="00383295"/>
    <w:rsid w:val="00383B19"/>
    <w:rsid w:val="0038437F"/>
    <w:rsid w:val="00384538"/>
    <w:rsid w:val="003847CC"/>
    <w:rsid w:val="00384A40"/>
    <w:rsid w:val="00384CAC"/>
    <w:rsid w:val="00384DD9"/>
    <w:rsid w:val="003850B2"/>
    <w:rsid w:val="00385341"/>
    <w:rsid w:val="0038543F"/>
    <w:rsid w:val="0038548D"/>
    <w:rsid w:val="00385492"/>
    <w:rsid w:val="00385725"/>
    <w:rsid w:val="0038579F"/>
    <w:rsid w:val="003857CE"/>
    <w:rsid w:val="00385877"/>
    <w:rsid w:val="00385B48"/>
    <w:rsid w:val="00385E43"/>
    <w:rsid w:val="00385F9B"/>
    <w:rsid w:val="00386482"/>
    <w:rsid w:val="00386938"/>
    <w:rsid w:val="00386A8B"/>
    <w:rsid w:val="00386DAE"/>
    <w:rsid w:val="00386EEE"/>
    <w:rsid w:val="00386F54"/>
    <w:rsid w:val="0038723E"/>
    <w:rsid w:val="00387551"/>
    <w:rsid w:val="00387806"/>
    <w:rsid w:val="00387862"/>
    <w:rsid w:val="003879D7"/>
    <w:rsid w:val="00387DE9"/>
    <w:rsid w:val="0039045F"/>
    <w:rsid w:val="00390479"/>
    <w:rsid w:val="00390AB9"/>
    <w:rsid w:val="00390AD8"/>
    <w:rsid w:val="00390C01"/>
    <w:rsid w:val="00390CFD"/>
    <w:rsid w:val="003911D3"/>
    <w:rsid w:val="003918D4"/>
    <w:rsid w:val="00391CDC"/>
    <w:rsid w:val="003921F7"/>
    <w:rsid w:val="0039230A"/>
    <w:rsid w:val="00392750"/>
    <w:rsid w:val="00392A2E"/>
    <w:rsid w:val="00392B65"/>
    <w:rsid w:val="003931AB"/>
    <w:rsid w:val="0039327D"/>
    <w:rsid w:val="00393349"/>
    <w:rsid w:val="00393369"/>
    <w:rsid w:val="00393458"/>
    <w:rsid w:val="003939B5"/>
    <w:rsid w:val="00393C72"/>
    <w:rsid w:val="00393D82"/>
    <w:rsid w:val="00393E62"/>
    <w:rsid w:val="00393EE9"/>
    <w:rsid w:val="00394048"/>
    <w:rsid w:val="00394A8D"/>
    <w:rsid w:val="003951B0"/>
    <w:rsid w:val="00395478"/>
    <w:rsid w:val="0039554A"/>
    <w:rsid w:val="003956B6"/>
    <w:rsid w:val="00395A14"/>
    <w:rsid w:val="00395CC9"/>
    <w:rsid w:val="00395ECE"/>
    <w:rsid w:val="003964DD"/>
    <w:rsid w:val="0039657D"/>
    <w:rsid w:val="00396654"/>
    <w:rsid w:val="0039689F"/>
    <w:rsid w:val="003969F8"/>
    <w:rsid w:val="00396D1E"/>
    <w:rsid w:val="003970E6"/>
    <w:rsid w:val="0039719B"/>
    <w:rsid w:val="003972C3"/>
    <w:rsid w:val="003973ED"/>
    <w:rsid w:val="00397857"/>
    <w:rsid w:val="003978DB"/>
    <w:rsid w:val="00397FAA"/>
    <w:rsid w:val="003A022C"/>
    <w:rsid w:val="003A0485"/>
    <w:rsid w:val="003A064C"/>
    <w:rsid w:val="003A06A0"/>
    <w:rsid w:val="003A0BDF"/>
    <w:rsid w:val="003A0CD0"/>
    <w:rsid w:val="003A0D17"/>
    <w:rsid w:val="003A0D63"/>
    <w:rsid w:val="003A13A9"/>
    <w:rsid w:val="003A183F"/>
    <w:rsid w:val="003A189C"/>
    <w:rsid w:val="003A1A2C"/>
    <w:rsid w:val="003A1B7B"/>
    <w:rsid w:val="003A1CBD"/>
    <w:rsid w:val="003A25AA"/>
    <w:rsid w:val="003A2704"/>
    <w:rsid w:val="003A2C55"/>
    <w:rsid w:val="003A2D8E"/>
    <w:rsid w:val="003A37C2"/>
    <w:rsid w:val="003A39ED"/>
    <w:rsid w:val="003A3C34"/>
    <w:rsid w:val="003A4053"/>
    <w:rsid w:val="003A41B4"/>
    <w:rsid w:val="003A46AF"/>
    <w:rsid w:val="003A4B88"/>
    <w:rsid w:val="003A4CCB"/>
    <w:rsid w:val="003A4D15"/>
    <w:rsid w:val="003A4D81"/>
    <w:rsid w:val="003A523A"/>
    <w:rsid w:val="003A55BB"/>
    <w:rsid w:val="003A57B3"/>
    <w:rsid w:val="003A5B8B"/>
    <w:rsid w:val="003A64F5"/>
    <w:rsid w:val="003A67DB"/>
    <w:rsid w:val="003A67E9"/>
    <w:rsid w:val="003A69E5"/>
    <w:rsid w:val="003A6CB5"/>
    <w:rsid w:val="003A74C3"/>
    <w:rsid w:val="003A772B"/>
    <w:rsid w:val="003A7828"/>
    <w:rsid w:val="003A7981"/>
    <w:rsid w:val="003A7C5F"/>
    <w:rsid w:val="003A7E65"/>
    <w:rsid w:val="003A7F7A"/>
    <w:rsid w:val="003B0031"/>
    <w:rsid w:val="003B00F3"/>
    <w:rsid w:val="003B035A"/>
    <w:rsid w:val="003B044B"/>
    <w:rsid w:val="003B085C"/>
    <w:rsid w:val="003B0CDD"/>
    <w:rsid w:val="003B0D66"/>
    <w:rsid w:val="003B0E8A"/>
    <w:rsid w:val="003B0F9D"/>
    <w:rsid w:val="003B110F"/>
    <w:rsid w:val="003B12A0"/>
    <w:rsid w:val="003B1381"/>
    <w:rsid w:val="003B13F8"/>
    <w:rsid w:val="003B1641"/>
    <w:rsid w:val="003B19D2"/>
    <w:rsid w:val="003B1E1B"/>
    <w:rsid w:val="003B2FF3"/>
    <w:rsid w:val="003B33FE"/>
    <w:rsid w:val="003B37FD"/>
    <w:rsid w:val="003B397A"/>
    <w:rsid w:val="003B3B40"/>
    <w:rsid w:val="003B3F08"/>
    <w:rsid w:val="003B4259"/>
    <w:rsid w:val="003B43BF"/>
    <w:rsid w:val="003B457B"/>
    <w:rsid w:val="003B4590"/>
    <w:rsid w:val="003B494D"/>
    <w:rsid w:val="003B495C"/>
    <w:rsid w:val="003B497B"/>
    <w:rsid w:val="003B5260"/>
    <w:rsid w:val="003B5314"/>
    <w:rsid w:val="003B5B70"/>
    <w:rsid w:val="003B5E2D"/>
    <w:rsid w:val="003B5E91"/>
    <w:rsid w:val="003B6836"/>
    <w:rsid w:val="003B6996"/>
    <w:rsid w:val="003B6E3F"/>
    <w:rsid w:val="003B6F86"/>
    <w:rsid w:val="003B7357"/>
    <w:rsid w:val="003B73BB"/>
    <w:rsid w:val="003B7535"/>
    <w:rsid w:val="003B756F"/>
    <w:rsid w:val="003B76D0"/>
    <w:rsid w:val="003B77EE"/>
    <w:rsid w:val="003B79E0"/>
    <w:rsid w:val="003B7B83"/>
    <w:rsid w:val="003B7DA2"/>
    <w:rsid w:val="003C01D8"/>
    <w:rsid w:val="003C048F"/>
    <w:rsid w:val="003C07C3"/>
    <w:rsid w:val="003C0895"/>
    <w:rsid w:val="003C0C9E"/>
    <w:rsid w:val="003C0E54"/>
    <w:rsid w:val="003C1381"/>
    <w:rsid w:val="003C13E7"/>
    <w:rsid w:val="003C1CEE"/>
    <w:rsid w:val="003C1D84"/>
    <w:rsid w:val="003C1F81"/>
    <w:rsid w:val="003C21E1"/>
    <w:rsid w:val="003C21E6"/>
    <w:rsid w:val="003C2240"/>
    <w:rsid w:val="003C2C64"/>
    <w:rsid w:val="003C2C81"/>
    <w:rsid w:val="003C2E45"/>
    <w:rsid w:val="003C307E"/>
    <w:rsid w:val="003C3219"/>
    <w:rsid w:val="003C380A"/>
    <w:rsid w:val="003C3B4D"/>
    <w:rsid w:val="003C3D01"/>
    <w:rsid w:val="003C43EB"/>
    <w:rsid w:val="003C4474"/>
    <w:rsid w:val="003C497C"/>
    <w:rsid w:val="003C4C40"/>
    <w:rsid w:val="003C4F15"/>
    <w:rsid w:val="003C501C"/>
    <w:rsid w:val="003C5217"/>
    <w:rsid w:val="003C52ED"/>
    <w:rsid w:val="003C53AE"/>
    <w:rsid w:val="003C5530"/>
    <w:rsid w:val="003C553E"/>
    <w:rsid w:val="003C57F6"/>
    <w:rsid w:val="003C5B5D"/>
    <w:rsid w:val="003C5BB3"/>
    <w:rsid w:val="003C5D97"/>
    <w:rsid w:val="003C5DCC"/>
    <w:rsid w:val="003C5E61"/>
    <w:rsid w:val="003C5EE0"/>
    <w:rsid w:val="003C6050"/>
    <w:rsid w:val="003C6059"/>
    <w:rsid w:val="003C6159"/>
    <w:rsid w:val="003C62A7"/>
    <w:rsid w:val="003C6503"/>
    <w:rsid w:val="003C66EE"/>
    <w:rsid w:val="003C6896"/>
    <w:rsid w:val="003C6984"/>
    <w:rsid w:val="003C69DA"/>
    <w:rsid w:val="003C7289"/>
    <w:rsid w:val="003C76F4"/>
    <w:rsid w:val="003C77AF"/>
    <w:rsid w:val="003C7A22"/>
    <w:rsid w:val="003C7E36"/>
    <w:rsid w:val="003D0607"/>
    <w:rsid w:val="003D0753"/>
    <w:rsid w:val="003D0A28"/>
    <w:rsid w:val="003D0B47"/>
    <w:rsid w:val="003D0BE5"/>
    <w:rsid w:val="003D0CC0"/>
    <w:rsid w:val="003D0DB3"/>
    <w:rsid w:val="003D1116"/>
    <w:rsid w:val="003D128A"/>
    <w:rsid w:val="003D173C"/>
    <w:rsid w:val="003D18A1"/>
    <w:rsid w:val="003D1921"/>
    <w:rsid w:val="003D198A"/>
    <w:rsid w:val="003D1A52"/>
    <w:rsid w:val="003D1D47"/>
    <w:rsid w:val="003D1D63"/>
    <w:rsid w:val="003D1D9B"/>
    <w:rsid w:val="003D2076"/>
    <w:rsid w:val="003D2195"/>
    <w:rsid w:val="003D25DB"/>
    <w:rsid w:val="003D25E1"/>
    <w:rsid w:val="003D26ED"/>
    <w:rsid w:val="003D2BCD"/>
    <w:rsid w:val="003D2DBF"/>
    <w:rsid w:val="003D30B1"/>
    <w:rsid w:val="003D33F2"/>
    <w:rsid w:val="003D34D3"/>
    <w:rsid w:val="003D3788"/>
    <w:rsid w:val="003D384A"/>
    <w:rsid w:val="003D391C"/>
    <w:rsid w:val="003D39C7"/>
    <w:rsid w:val="003D39EB"/>
    <w:rsid w:val="003D3D69"/>
    <w:rsid w:val="003D42BE"/>
    <w:rsid w:val="003D49A5"/>
    <w:rsid w:val="003D4B15"/>
    <w:rsid w:val="003D4C02"/>
    <w:rsid w:val="003D510E"/>
    <w:rsid w:val="003D52C2"/>
    <w:rsid w:val="003D5390"/>
    <w:rsid w:val="003D55B0"/>
    <w:rsid w:val="003D5632"/>
    <w:rsid w:val="003D5ACC"/>
    <w:rsid w:val="003D5BD7"/>
    <w:rsid w:val="003D5C65"/>
    <w:rsid w:val="003D61EE"/>
    <w:rsid w:val="003D621A"/>
    <w:rsid w:val="003D64A5"/>
    <w:rsid w:val="003D6814"/>
    <w:rsid w:val="003D6A5E"/>
    <w:rsid w:val="003D6BD3"/>
    <w:rsid w:val="003D6CC2"/>
    <w:rsid w:val="003D6FA4"/>
    <w:rsid w:val="003D71CF"/>
    <w:rsid w:val="003D7241"/>
    <w:rsid w:val="003D72F7"/>
    <w:rsid w:val="003D767A"/>
    <w:rsid w:val="003D7B73"/>
    <w:rsid w:val="003D7CFF"/>
    <w:rsid w:val="003E0C2B"/>
    <w:rsid w:val="003E0CEA"/>
    <w:rsid w:val="003E0E51"/>
    <w:rsid w:val="003E11FE"/>
    <w:rsid w:val="003E18CA"/>
    <w:rsid w:val="003E1BC3"/>
    <w:rsid w:val="003E1BC4"/>
    <w:rsid w:val="003E1EC6"/>
    <w:rsid w:val="003E2554"/>
    <w:rsid w:val="003E2756"/>
    <w:rsid w:val="003E28E6"/>
    <w:rsid w:val="003E2AEB"/>
    <w:rsid w:val="003E2C9E"/>
    <w:rsid w:val="003E2EC4"/>
    <w:rsid w:val="003E332C"/>
    <w:rsid w:val="003E353D"/>
    <w:rsid w:val="003E382E"/>
    <w:rsid w:val="003E3EC4"/>
    <w:rsid w:val="003E4058"/>
    <w:rsid w:val="003E43FD"/>
    <w:rsid w:val="003E44FD"/>
    <w:rsid w:val="003E4799"/>
    <w:rsid w:val="003E49A9"/>
    <w:rsid w:val="003E4AB4"/>
    <w:rsid w:val="003E4C5B"/>
    <w:rsid w:val="003E4DA9"/>
    <w:rsid w:val="003E53DD"/>
    <w:rsid w:val="003E571C"/>
    <w:rsid w:val="003E5956"/>
    <w:rsid w:val="003E59F6"/>
    <w:rsid w:val="003E5A46"/>
    <w:rsid w:val="003E5DED"/>
    <w:rsid w:val="003E6343"/>
    <w:rsid w:val="003E6521"/>
    <w:rsid w:val="003E658E"/>
    <w:rsid w:val="003E65EA"/>
    <w:rsid w:val="003E6734"/>
    <w:rsid w:val="003E690C"/>
    <w:rsid w:val="003E693E"/>
    <w:rsid w:val="003E6941"/>
    <w:rsid w:val="003E7122"/>
    <w:rsid w:val="003E75E3"/>
    <w:rsid w:val="003E75EF"/>
    <w:rsid w:val="003E7833"/>
    <w:rsid w:val="003E79B5"/>
    <w:rsid w:val="003F0448"/>
    <w:rsid w:val="003F075B"/>
    <w:rsid w:val="003F1297"/>
    <w:rsid w:val="003F13D4"/>
    <w:rsid w:val="003F155B"/>
    <w:rsid w:val="003F1725"/>
    <w:rsid w:val="003F1A33"/>
    <w:rsid w:val="003F1B1C"/>
    <w:rsid w:val="003F1D11"/>
    <w:rsid w:val="003F1E1F"/>
    <w:rsid w:val="003F1F5A"/>
    <w:rsid w:val="003F1F95"/>
    <w:rsid w:val="003F2459"/>
    <w:rsid w:val="003F2597"/>
    <w:rsid w:val="003F270D"/>
    <w:rsid w:val="003F2B3E"/>
    <w:rsid w:val="003F2B63"/>
    <w:rsid w:val="003F2BAF"/>
    <w:rsid w:val="003F2BB9"/>
    <w:rsid w:val="003F2C86"/>
    <w:rsid w:val="003F2F81"/>
    <w:rsid w:val="003F3191"/>
    <w:rsid w:val="003F322C"/>
    <w:rsid w:val="003F3254"/>
    <w:rsid w:val="003F3284"/>
    <w:rsid w:val="003F32CB"/>
    <w:rsid w:val="003F3927"/>
    <w:rsid w:val="003F3A77"/>
    <w:rsid w:val="003F3ABF"/>
    <w:rsid w:val="003F3B1B"/>
    <w:rsid w:val="003F3FC2"/>
    <w:rsid w:val="003F416F"/>
    <w:rsid w:val="003F48ED"/>
    <w:rsid w:val="003F5571"/>
    <w:rsid w:val="003F5D48"/>
    <w:rsid w:val="003F60A2"/>
    <w:rsid w:val="003F63CC"/>
    <w:rsid w:val="003F6529"/>
    <w:rsid w:val="003F6842"/>
    <w:rsid w:val="003F68DC"/>
    <w:rsid w:val="003F6BE9"/>
    <w:rsid w:val="003F70C5"/>
    <w:rsid w:val="003F7173"/>
    <w:rsid w:val="003F75E4"/>
    <w:rsid w:val="003F78A9"/>
    <w:rsid w:val="003F7E5A"/>
    <w:rsid w:val="0040054D"/>
    <w:rsid w:val="0040062B"/>
    <w:rsid w:val="00400658"/>
    <w:rsid w:val="004009A3"/>
    <w:rsid w:val="00400BFD"/>
    <w:rsid w:val="00400F38"/>
    <w:rsid w:val="004012A2"/>
    <w:rsid w:val="0040131F"/>
    <w:rsid w:val="00401408"/>
    <w:rsid w:val="004017E6"/>
    <w:rsid w:val="00402233"/>
    <w:rsid w:val="00402846"/>
    <w:rsid w:val="00402B3B"/>
    <w:rsid w:val="00402BE5"/>
    <w:rsid w:val="0040347A"/>
    <w:rsid w:val="0040382E"/>
    <w:rsid w:val="0040391C"/>
    <w:rsid w:val="00403AE1"/>
    <w:rsid w:val="00403D5A"/>
    <w:rsid w:val="00403F8F"/>
    <w:rsid w:val="0040449B"/>
    <w:rsid w:val="00404719"/>
    <w:rsid w:val="00404738"/>
    <w:rsid w:val="00404A0B"/>
    <w:rsid w:val="00404A8D"/>
    <w:rsid w:val="00404AF7"/>
    <w:rsid w:val="00404FDE"/>
    <w:rsid w:val="0040506B"/>
    <w:rsid w:val="004050E5"/>
    <w:rsid w:val="0040539B"/>
    <w:rsid w:val="00405485"/>
    <w:rsid w:val="004054C0"/>
    <w:rsid w:val="004054C5"/>
    <w:rsid w:val="004059B3"/>
    <w:rsid w:val="00405AEA"/>
    <w:rsid w:val="00406387"/>
    <w:rsid w:val="00406474"/>
    <w:rsid w:val="00406796"/>
    <w:rsid w:val="00406899"/>
    <w:rsid w:val="00406E74"/>
    <w:rsid w:val="004071C8"/>
    <w:rsid w:val="00407912"/>
    <w:rsid w:val="00407B89"/>
    <w:rsid w:val="00407BB8"/>
    <w:rsid w:val="00407C25"/>
    <w:rsid w:val="00407DC6"/>
    <w:rsid w:val="00410083"/>
    <w:rsid w:val="00410641"/>
    <w:rsid w:val="004107FE"/>
    <w:rsid w:val="00410B79"/>
    <w:rsid w:val="00410F5C"/>
    <w:rsid w:val="00410F73"/>
    <w:rsid w:val="004110EE"/>
    <w:rsid w:val="00411210"/>
    <w:rsid w:val="004112A8"/>
    <w:rsid w:val="0041188A"/>
    <w:rsid w:val="004119BB"/>
    <w:rsid w:val="00411C6D"/>
    <w:rsid w:val="00411D5C"/>
    <w:rsid w:val="00412227"/>
    <w:rsid w:val="004122E1"/>
    <w:rsid w:val="00412598"/>
    <w:rsid w:val="004127CE"/>
    <w:rsid w:val="00412947"/>
    <w:rsid w:val="00412A61"/>
    <w:rsid w:val="00412C54"/>
    <w:rsid w:val="004130E2"/>
    <w:rsid w:val="004131DA"/>
    <w:rsid w:val="00413463"/>
    <w:rsid w:val="00413639"/>
    <w:rsid w:val="004138C2"/>
    <w:rsid w:val="00413B75"/>
    <w:rsid w:val="00413B80"/>
    <w:rsid w:val="00413D72"/>
    <w:rsid w:val="00413F41"/>
    <w:rsid w:val="00413F42"/>
    <w:rsid w:val="00413FC5"/>
    <w:rsid w:val="00414BC5"/>
    <w:rsid w:val="00414DB4"/>
    <w:rsid w:val="00415036"/>
    <w:rsid w:val="00415060"/>
    <w:rsid w:val="0041507E"/>
    <w:rsid w:val="004151DF"/>
    <w:rsid w:val="0041539E"/>
    <w:rsid w:val="0041554F"/>
    <w:rsid w:val="004155C7"/>
    <w:rsid w:val="00415B75"/>
    <w:rsid w:val="00415BD9"/>
    <w:rsid w:val="00415EA2"/>
    <w:rsid w:val="00416166"/>
    <w:rsid w:val="00416336"/>
    <w:rsid w:val="00416744"/>
    <w:rsid w:val="00416A3F"/>
    <w:rsid w:val="00416D13"/>
    <w:rsid w:val="00416F71"/>
    <w:rsid w:val="004170A8"/>
    <w:rsid w:val="0041720A"/>
    <w:rsid w:val="004172A0"/>
    <w:rsid w:val="0041744B"/>
    <w:rsid w:val="00417B0E"/>
    <w:rsid w:val="004203E9"/>
    <w:rsid w:val="004204E5"/>
    <w:rsid w:val="004204F7"/>
    <w:rsid w:val="00420695"/>
    <w:rsid w:val="004208EC"/>
    <w:rsid w:val="00420A74"/>
    <w:rsid w:val="00420AE1"/>
    <w:rsid w:val="00420F3A"/>
    <w:rsid w:val="00421192"/>
    <w:rsid w:val="0042134D"/>
    <w:rsid w:val="004213AA"/>
    <w:rsid w:val="00421579"/>
    <w:rsid w:val="004218DF"/>
    <w:rsid w:val="004219CE"/>
    <w:rsid w:val="00421CE0"/>
    <w:rsid w:val="00421D32"/>
    <w:rsid w:val="0042203F"/>
    <w:rsid w:val="0042255C"/>
    <w:rsid w:val="00422628"/>
    <w:rsid w:val="00422B8F"/>
    <w:rsid w:val="00422C10"/>
    <w:rsid w:val="00422E6C"/>
    <w:rsid w:val="00423184"/>
    <w:rsid w:val="004231C4"/>
    <w:rsid w:val="0042345C"/>
    <w:rsid w:val="0042346B"/>
    <w:rsid w:val="00423574"/>
    <w:rsid w:val="00423697"/>
    <w:rsid w:val="00423732"/>
    <w:rsid w:val="00423A40"/>
    <w:rsid w:val="00423AC2"/>
    <w:rsid w:val="00423C81"/>
    <w:rsid w:val="00423DFC"/>
    <w:rsid w:val="00423E76"/>
    <w:rsid w:val="0042405E"/>
    <w:rsid w:val="004244A4"/>
    <w:rsid w:val="00424520"/>
    <w:rsid w:val="00424A6B"/>
    <w:rsid w:val="00424B5E"/>
    <w:rsid w:val="00424C8F"/>
    <w:rsid w:val="00424EE9"/>
    <w:rsid w:val="004255DB"/>
    <w:rsid w:val="004256A3"/>
    <w:rsid w:val="004257BC"/>
    <w:rsid w:val="004259E5"/>
    <w:rsid w:val="00425BCE"/>
    <w:rsid w:val="00425BF0"/>
    <w:rsid w:val="00425C9F"/>
    <w:rsid w:val="00425CFF"/>
    <w:rsid w:val="00425D5E"/>
    <w:rsid w:val="0042609F"/>
    <w:rsid w:val="0042621A"/>
    <w:rsid w:val="00426746"/>
    <w:rsid w:val="004267A2"/>
    <w:rsid w:val="00426ED0"/>
    <w:rsid w:val="004274DE"/>
    <w:rsid w:val="00427873"/>
    <w:rsid w:val="004304D7"/>
    <w:rsid w:val="0043055E"/>
    <w:rsid w:val="0043057A"/>
    <w:rsid w:val="004305E8"/>
    <w:rsid w:val="00430800"/>
    <w:rsid w:val="004308A3"/>
    <w:rsid w:val="0043095D"/>
    <w:rsid w:val="00430DA9"/>
    <w:rsid w:val="00430FFD"/>
    <w:rsid w:val="00431077"/>
    <w:rsid w:val="004314CF"/>
    <w:rsid w:val="004315C7"/>
    <w:rsid w:val="00431BAF"/>
    <w:rsid w:val="00431C00"/>
    <w:rsid w:val="00431CB4"/>
    <w:rsid w:val="004323D8"/>
    <w:rsid w:val="004323F9"/>
    <w:rsid w:val="00432859"/>
    <w:rsid w:val="00432973"/>
    <w:rsid w:val="00432CE4"/>
    <w:rsid w:val="00432D1A"/>
    <w:rsid w:val="00433050"/>
    <w:rsid w:val="0043321A"/>
    <w:rsid w:val="00433BFD"/>
    <w:rsid w:val="00433CD2"/>
    <w:rsid w:val="004340EB"/>
    <w:rsid w:val="0043465B"/>
    <w:rsid w:val="00434999"/>
    <w:rsid w:val="00434CD9"/>
    <w:rsid w:val="004350EA"/>
    <w:rsid w:val="00435391"/>
    <w:rsid w:val="00435602"/>
    <w:rsid w:val="00435A25"/>
    <w:rsid w:val="00435DA2"/>
    <w:rsid w:val="00436241"/>
    <w:rsid w:val="00436310"/>
    <w:rsid w:val="0043640D"/>
    <w:rsid w:val="004367E9"/>
    <w:rsid w:val="00436AF5"/>
    <w:rsid w:val="00436B8D"/>
    <w:rsid w:val="00436BDE"/>
    <w:rsid w:val="00436E09"/>
    <w:rsid w:val="00436E48"/>
    <w:rsid w:val="00436F00"/>
    <w:rsid w:val="004371C7"/>
    <w:rsid w:val="0043755C"/>
    <w:rsid w:val="004379B5"/>
    <w:rsid w:val="00437B25"/>
    <w:rsid w:val="0044003A"/>
    <w:rsid w:val="00440CE4"/>
    <w:rsid w:val="0044116F"/>
    <w:rsid w:val="004412A9"/>
    <w:rsid w:val="00441402"/>
    <w:rsid w:val="00441443"/>
    <w:rsid w:val="0044181F"/>
    <w:rsid w:val="00441B44"/>
    <w:rsid w:val="00441B58"/>
    <w:rsid w:val="00442048"/>
    <w:rsid w:val="00442069"/>
    <w:rsid w:val="00442239"/>
    <w:rsid w:val="0044240C"/>
    <w:rsid w:val="0044248E"/>
    <w:rsid w:val="00442C63"/>
    <w:rsid w:val="00442D58"/>
    <w:rsid w:val="0044325D"/>
    <w:rsid w:val="00443340"/>
    <w:rsid w:val="00443536"/>
    <w:rsid w:val="004435EF"/>
    <w:rsid w:val="004438FF"/>
    <w:rsid w:val="00443A43"/>
    <w:rsid w:val="00443DA3"/>
    <w:rsid w:val="00443E09"/>
    <w:rsid w:val="00443FFC"/>
    <w:rsid w:val="004442D3"/>
    <w:rsid w:val="0044435F"/>
    <w:rsid w:val="00444384"/>
    <w:rsid w:val="0044463E"/>
    <w:rsid w:val="00444697"/>
    <w:rsid w:val="00444712"/>
    <w:rsid w:val="0044479F"/>
    <w:rsid w:val="004451E0"/>
    <w:rsid w:val="00445432"/>
    <w:rsid w:val="004458F7"/>
    <w:rsid w:val="004459BE"/>
    <w:rsid w:val="00445AB8"/>
    <w:rsid w:val="00445B11"/>
    <w:rsid w:val="004465C9"/>
    <w:rsid w:val="004467B8"/>
    <w:rsid w:val="00446865"/>
    <w:rsid w:val="00446BA6"/>
    <w:rsid w:val="00446F04"/>
    <w:rsid w:val="00447070"/>
    <w:rsid w:val="00447415"/>
    <w:rsid w:val="004474AE"/>
    <w:rsid w:val="00447B67"/>
    <w:rsid w:val="00447CB7"/>
    <w:rsid w:val="004504B0"/>
    <w:rsid w:val="0045115A"/>
    <w:rsid w:val="0045115B"/>
    <w:rsid w:val="0045115C"/>
    <w:rsid w:val="00451231"/>
    <w:rsid w:val="004514CD"/>
    <w:rsid w:val="0045165A"/>
    <w:rsid w:val="00451880"/>
    <w:rsid w:val="004518EB"/>
    <w:rsid w:val="004519D6"/>
    <w:rsid w:val="00451A50"/>
    <w:rsid w:val="00451DFE"/>
    <w:rsid w:val="00451E78"/>
    <w:rsid w:val="004527AF"/>
    <w:rsid w:val="00452C00"/>
    <w:rsid w:val="00452EDE"/>
    <w:rsid w:val="00453633"/>
    <w:rsid w:val="004538B5"/>
    <w:rsid w:val="004539B3"/>
    <w:rsid w:val="00453BE8"/>
    <w:rsid w:val="00453E6A"/>
    <w:rsid w:val="004541BB"/>
    <w:rsid w:val="004542A6"/>
    <w:rsid w:val="004545D0"/>
    <w:rsid w:val="00454704"/>
    <w:rsid w:val="00454763"/>
    <w:rsid w:val="00454DAF"/>
    <w:rsid w:val="00455802"/>
    <w:rsid w:val="0045648F"/>
    <w:rsid w:val="0045649F"/>
    <w:rsid w:val="0045652F"/>
    <w:rsid w:val="004565B3"/>
    <w:rsid w:val="0045668B"/>
    <w:rsid w:val="00456C28"/>
    <w:rsid w:val="00456C8A"/>
    <w:rsid w:val="00456FCF"/>
    <w:rsid w:val="00457133"/>
    <w:rsid w:val="00457410"/>
    <w:rsid w:val="00457876"/>
    <w:rsid w:val="00457AC6"/>
    <w:rsid w:val="00457EFD"/>
    <w:rsid w:val="00457F62"/>
    <w:rsid w:val="00460224"/>
    <w:rsid w:val="0046040B"/>
    <w:rsid w:val="0046041D"/>
    <w:rsid w:val="00460539"/>
    <w:rsid w:val="00460A5F"/>
    <w:rsid w:val="00460F59"/>
    <w:rsid w:val="00461AFE"/>
    <w:rsid w:val="00461D2E"/>
    <w:rsid w:val="00461E07"/>
    <w:rsid w:val="00461FCA"/>
    <w:rsid w:val="00462032"/>
    <w:rsid w:val="00462131"/>
    <w:rsid w:val="00462452"/>
    <w:rsid w:val="0046263A"/>
    <w:rsid w:val="00462670"/>
    <w:rsid w:val="004627F4"/>
    <w:rsid w:val="00462A9A"/>
    <w:rsid w:val="00462D30"/>
    <w:rsid w:val="00463739"/>
    <w:rsid w:val="0046389C"/>
    <w:rsid w:val="00463B27"/>
    <w:rsid w:val="0046400A"/>
    <w:rsid w:val="00464854"/>
    <w:rsid w:val="0046485D"/>
    <w:rsid w:val="004651B6"/>
    <w:rsid w:val="0046558E"/>
    <w:rsid w:val="00465686"/>
    <w:rsid w:val="00465A25"/>
    <w:rsid w:val="0046619B"/>
    <w:rsid w:val="00466322"/>
    <w:rsid w:val="004664F2"/>
    <w:rsid w:val="00466639"/>
    <w:rsid w:val="004666A3"/>
    <w:rsid w:val="0046685B"/>
    <w:rsid w:val="00466CF8"/>
    <w:rsid w:val="00466DE7"/>
    <w:rsid w:val="00466F23"/>
    <w:rsid w:val="0046701D"/>
    <w:rsid w:val="004671F3"/>
    <w:rsid w:val="00467219"/>
    <w:rsid w:val="0046728E"/>
    <w:rsid w:val="0046742A"/>
    <w:rsid w:val="004675D0"/>
    <w:rsid w:val="004675F0"/>
    <w:rsid w:val="00467B4D"/>
    <w:rsid w:val="00467E6F"/>
    <w:rsid w:val="00467E72"/>
    <w:rsid w:val="00470081"/>
    <w:rsid w:val="004700C7"/>
    <w:rsid w:val="004703C6"/>
    <w:rsid w:val="00470415"/>
    <w:rsid w:val="00471299"/>
    <w:rsid w:val="004712BC"/>
    <w:rsid w:val="00471387"/>
    <w:rsid w:val="00471632"/>
    <w:rsid w:val="00471654"/>
    <w:rsid w:val="004719A8"/>
    <w:rsid w:val="00471A47"/>
    <w:rsid w:val="00471B80"/>
    <w:rsid w:val="00471BD8"/>
    <w:rsid w:val="00471E2C"/>
    <w:rsid w:val="00471EEC"/>
    <w:rsid w:val="004723A6"/>
    <w:rsid w:val="00472A84"/>
    <w:rsid w:val="00472C1B"/>
    <w:rsid w:val="00472F37"/>
    <w:rsid w:val="004732C9"/>
    <w:rsid w:val="00473401"/>
    <w:rsid w:val="004734F2"/>
    <w:rsid w:val="00473699"/>
    <w:rsid w:val="004736B6"/>
    <w:rsid w:val="00473860"/>
    <w:rsid w:val="00473B9C"/>
    <w:rsid w:val="00473D35"/>
    <w:rsid w:val="00473D46"/>
    <w:rsid w:val="00474144"/>
    <w:rsid w:val="00474283"/>
    <w:rsid w:val="004742B2"/>
    <w:rsid w:val="00474386"/>
    <w:rsid w:val="004743E1"/>
    <w:rsid w:val="00474577"/>
    <w:rsid w:val="004745DC"/>
    <w:rsid w:val="00474A58"/>
    <w:rsid w:val="00474D3D"/>
    <w:rsid w:val="00474D42"/>
    <w:rsid w:val="00474E50"/>
    <w:rsid w:val="00475061"/>
    <w:rsid w:val="004750B8"/>
    <w:rsid w:val="00475313"/>
    <w:rsid w:val="004753EA"/>
    <w:rsid w:val="0047558D"/>
    <w:rsid w:val="00475598"/>
    <w:rsid w:val="004757FF"/>
    <w:rsid w:val="00475890"/>
    <w:rsid w:val="0047598C"/>
    <w:rsid w:val="00475B54"/>
    <w:rsid w:val="00475B98"/>
    <w:rsid w:val="00476D47"/>
    <w:rsid w:val="00476EB6"/>
    <w:rsid w:val="00476FAA"/>
    <w:rsid w:val="00477002"/>
    <w:rsid w:val="004772DE"/>
    <w:rsid w:val="00477559"/>
    <w:rsid w:val="0047774F"/>
    <w:rsid w:val="004778CF"/>
    <w:rsid w:val="00477934"/>
    <w:rsid w:val="00477E03"/>
    <w:rsid w:val="004801E3"/>
    <w:rsid w:val="0048045B"/>
    <w:rsid w:val="004807B0"/>
    <w:rsid w:val="004809EA"/>
    <w:rsid w:val="00480AC2"/>
    <w:rsid w:val="00480AC5"/>
    <w:rsid w:val="004810F3"/>
    <w:rsid w:val="004811AC"/>
    <w:rsid w:val="004811B0"/>
    <w:rsid w:val="0048135F"/>
    <w:rsid w:val="00481965"/>
    <w:rsid w:val="00482058"/>
    <w:rsid w:val="0048289E"/>
    <w:rsid w:val="0048295A"/>
    <w:rsid w:val="00482AA2"/>
    <w:rsid w:val="00482ABB"/>
    <w:rsid w:val="00483170"/>
    <w:rsid w:val="004831E1"/>
    <w:rsid w:val="004833B0"/>
    <w:rsid w:val="00483BA4"/>
    <w:rsid w:val="00483CC4"/>
    <w:rsid w:val="00483DD8"/>
    <w:rsid w:val="0048448D"/>
    <w:rsid w:val="0048449C"/>
    <w:rsid w:val="00484702"/>
    <w:rsid w:val="00484799"/>
    <w:rsid w:val="00484A02"/>
    <w:rsid w:val="00484C16"/>
    <w:rsid w:val="00484C52"/>
    <w:rsid w:val="00484F08"/>
    <w:rsid w:val="00485049"/>
    <w:rsid w:val="004853A5"/>
    <w:rsid w:val="0048557C"/>
    <w:rsid w:val="00485854"/>
    <w:rsid w:val="00485AA5"/>
    <w:rsid w:val="00485AE3"/>
    <w:rsid w:val="00485D53"/>
    <w:rsid w:val="00486033"/>
    <w:rsid w:val="0048605E"/>
    <w:rsid w:val="004860F0"/>
    <w:rsid w:val="0048646E"/>
    <w:rsid w:val="00486BBE"/>
    <w:rsid w:val="00486F9A"/>
    <w:rsid w:val="00487079"/>
    <w:rsid w:val="004871BD"/>
    <w:rsid w:val="004878A5"/>
    <w:rsid w:val="00487AAC"/>
    <w:rsid w:val="004903AA"/>
    <w:rsid w:val="00490450"/>
    <w:rsid w:val="004904D9"/>
    <w:rsid w:val="0049065D"/>
    <w:rsid w:val="00490815"/>
    <w:rsid w:val="00490B5D"/>
    <w:rsid w:val="00490D7F"/>
    <w:rsid w:val="00491181"/>
    <w:rsid w:val="0049135D"/>
    <w:rsid w:val="00491464"/>
    <w:rsid w:val="004914B2"/>
    <w:rsid w:val="004914DB"/>
    <w:rsid w:val="00491C20"/>
    <w:rsid w:val="00491E42"/>
    <w:rsid w:val="00491F84"/>
    <w:rsid w:val="0049215C"/>
    <w:rsid w:val="004922F0"/>
    <w:rsid w:val="0049247C"/>
    <w:rsid w:val="00492DF2"/>
    <w:rsid w:val="00492EC2"/>
    <w:rsid w:val="00493022"/>
    <w:rsid w:val="004931B5"/>
    <w:rsid w:val="00493439"/>
    <w:rsid w:val="00493482"/>
    <w:rsid w:val="0049374A"/>
    <w:rsid w:val="00493807"/>
    <w:rsid w:val="0049387E"/>
    <w:rsid w:val="00493931"/>
    <w:rsid w:val="00493C0B"/>
    <w:rsid w:val="00493F96"/>
    <w:rsid w:val="0049429E"/>
    <w:rsid w:val="004945DE"/>
    <w:rsid w:val="00494B0F"/>
    <w:rsid w:val="00494BDE"/>
    <w:rsid w:val="00494C85"/>
    <w:rsid w:val="0049500B"/>
    <w:rsid w:val="00495078"/>
    <w:rsid w:val="004950BE"/>
    <w:rsid w:val="00495322"/>
    <w:rsid w:val="004956AB"/>
    <w:rsid w:val="00495962"/>
    <w:rsid w:val="00496481"/>
    <w:rsid w:val="00496779"/>
    <w:rsid w:val="00496D60"/>
    <w:rsid w:val="00496D98"/>
    <w:rsid w:val="00496F24"/>
    <w:rsid w:val="00497135"/>
    <w:rsid w:val="0049731D"/>
    <w:rsid w:val="00497963"/>
    <w:rsid w:val="004A0215"/>
    <w:rsid w:val="004A02E4"/>
    <w:rsid w:val="004A0397"/>
    <w:rsid w:val="004A06A3"/>
    <w:rsid w:val="004A0E21"/>
    <w:rsid w:val="004A0F63"/>
    <w:rsid w:val="004A0F71"/>
    <w:rsid w:val="004A0FCD"/>
    <w:rsid w:val="004A1188"/>
    <w:rsid w:val="004A126B"/>
    <w:rsid w:val="004A12F7"/>
    <w:rsid w:val="004A162C"/>
    <w:rsid w:val="004A181A"/>
    <w:rsid w:val="004A1911"/>
    <w:rsid w:val="004A1999"/>
    <w:rsid w:val="004A1A95"/>
    <w:rsid w:val="004A1C31"/>
    <w:rsid w:val="004A1DF2"/>
    <w:rsid w:val="004A1F6C"/>
    <w:rsid w:val="004A20AC"/>
    <w:rsid w:val="004A2243"/>
    <w:rsid w:val="004A22D7"/>
    <w:rsid w:val="004A2379"/>
    <w:rsid w:val="004A2508"/>
    <w:rsid w:val="004A29A2"/>
    <w:rsid w:val="004A29C0"/>
    <w:rsid w:val="004A2A77"/>
    <w:rsid w:val="004A2BD4"/>
    <w:rsid w:val="004A2CFD"/>
    <w:rsid w:val="004A3A16"/>
    <w:rsid w:val="004A3A9F"/>
    <w:rsid w:val="004A4187"/>
    <w:rsid w:val="004A43F0"/>
    <w:rsid w:val="004A4656"/>
    <w:rsid w:val="004A49C7"/>
    <w:rsid w:val="004A4CB1"/>
    <w:rsid w:val="004A53D8"/>
    <w:rsid w:val="004A5792"/>
    <w:rsid w:val="004A5A0C"/>
    <w:rsid w:val="004A5B24"/>
    <w:rsid w:val="004A5E3E"/>
    <w:rsid w:val="004A5EFF"/>
    <w:rsid w:val="004A5FD7"/>
    <w:rsid w:val="004A60B9"/>
    <w:rsid w:val="004A61D0"/>
    <w:rsid w:val="004A644B"/>
    <w:rsid w:val="004A664E"/>
    <w:rsid w:val="004A68E1"/>
    <w:rsid w:val="004A6F6A"/>
    <w:rsid w:val="004A707C"/>
    <w:rsid w:val="004A74B4"/>
    <w:rsid w:val="004B0246"/>
    <w:rsid w:val="004B04D3"/>
    <w:rsid w:val="004B05CF"/>
    <w:rsid w:val="004B0618"/>
    <w:rsid w:val="004B06D4"/>
    <w:rsid w:val="004B07B3"/>
    <w:rsid w:val="004B0951"/>
    <w:rsid w:val="004B0AA0"/>
    <w:rsid w:val="004B0ACD"/>
    <w:rsid w:val="004B0C16"/>
    <w:rsid w:val="004B0EB7"/>
    <w:rsid w:val="004B1428"/>
    <w:rsid w:val="004B1531"/>
    <w:rsid w:val="004B1869"/>
    <w:rsid w:val="004B1BD6"/>
    <w:rsid w:val="004B1C2F"/>
    <w:rsid w:val="004B2868"/>
    <w:rsid w:val="004B29BA"/>
    <w:rsid w:val="004B2ECC"/>
    <w:rsid w:val="004B3364"/>
    <w:rsid w:val="004B3B2F"/>
    <w:rsid w:val="004B3BE0"/>
    <w:rsid w:val="004B3E25"/>
    <w:rsid w:val="004B3F53"/>
    <w:rsid w:val="004B3FED"/>
    <w:rsid w:val="004B4065"/>
    <w:rsid w:val="004B4A29"/>
    <w:rsid w:val="004B4BA1"/>
    <w:rsid w:val="004B4D93"/>
    <w:rsid w:val="004B5118"/>
    <w:rsid w:val="004B554F"/>
    <w:rsid w:val="004B593F"/>
    <w:rsid w:val="004B5C5F"/>
    <w:rsid w:val="004B6418"/>
    <w:rsid w:val="004B6B44"/>
    <w:rsid w:val="004B6C99"/>
    <w:rsid w:val="004B6DDC"/>
    <w:rsid w:val="004B6F08"/>
    <w:rsid w:val="004B7252"/>
    <w:rsid w:val="004B7404"/>
    <w:rsid w:val="004B792A"/>
    <w:rsid w:val="004B7AEA"/>
    <w:rsid w:val="004B7BCB"/>
    <w:rsid w:val="004B7E42"/>
    <w:rsid w:val="004C014A"/>
    <w:rsid w:val="004C01FB"/>
    <w:rsid w:val="004C03C3"/>
    <w:rsid w:val="004C0716"/>
    <w:rsid w:val="004C0915"/>
    <w:rsid w:val="004C0D32"/>
    <w:rsid w:val="004C0FC5"/>
    <w:rsid w:val="004C12A8"/>
    <w:rsid w:val="004C15E4"/>
    <w:rsid w:val="004C1793"/>
    <w:rsid w:val="004C19B3"/>
    <w:rsid w:val="004C19F3"/>
    <w:rsid w:val="004C1B14"/>
    <w:rsid w:val="004C1F45"/>
    <w:rsid w:val="004C20C2"/>
    <w:rsid w:val="004C20DE"/>
    <w:rsid w:val="004C215B"/>
    <w:rsid w:val="004C26D6"/>
    <w:rsid w:val="004C2D36"/>
    <w:rsid w:val="004C2DA2"/>
    <w:rsid w:val="004C31F7"/>
    <w:rsid w:val="004C348D"/>
    <w:rsid w:val="004C3973"/>
    <w:rsid w:val="004C397D"/>
    <w:rsid w:val="004C3998"/>
    <w:rsid w:val="004C3AF4"/>
    <w:rsid w:val="004C4609"/>
    <w:rsid w:val="004C4857"/>
    <w:rsid w:val="004C4ACA"/>
    <w:rsid w:val="004C4D8A"/>
    <w:rsid w:val="004C4FC5"/>
    <w:rsid w:val="004C5277"/>
    <w:rsid w:val="004C5348"/>
    <w:rsid w:val="004C5431"/>
    <w:rsid w:val="004C543D"/>
    <w:rsid w:val="004C5BE7"/>
    <w:rsid w:val="004C5C05"/>
    <w:rsid w:val="004C5E9D"/>
    <w:rsid w:val="004C6029"/>
    <w:rsid w:val="004C6356"/>
    <w:rsid w:val="004C649C"/>
    <w:rsid w:val="004C6BD7"/>
    <w:rsid w:val="004C6C17"/>
    <w:rsid w:val="004C6CCE"/>
    <w:rsid w:val="004C742E"/>
    <w:rsid w:val="004C787D"/>
    <w:rsid w:val="004C7A57"/>
    <w:rsid w:val="004C7ACD"/>
    <w:rsid w:val="004C7C2C"/>
    <w:rsid w:val="004D0031"/>
    <w:rsid w:val="004D0899"/>
    <w:rsid w:val="004D0A47"/>
    <w:rsid w:val="004D0D7E"/>
    <w:rsid w:val="004D1111"/>
    <w:rsid w:val="004D136C"/>
    <w:rsid w:val="004D14AC"/>
    <w:rsid w:val="004D1B4F"/>
    <w:rsid w:val="004D1EC6"/>
    <w:rsid w:val="004D1F33"/>
    <w:rsid w:val="004D201A"/>
    <w:rsid w:val="004D22C6"/>
    <w:rsid w:val="004D22CE"/>
    <w:rsid w:val="004D2398"/>
    <w:rsid w:val="004D2630"/>
    <w:rsid w:val="004D2784"/>
    <w:rsid w:val="004D28D9"/>
    <w:rsid w:val="004D3293"/>
    <w:rsid w:val="004D38C9"/>
    <w:rsid w:val="004D3A29"/>
    <w:rsid w:val="004D3AFD"/>
    <w:rsid w:val="004D3BF8"/>
    <w:rsid w:val="004D3CFD"/>
    <w:rsid w:val="004D3E43"/>
    <w:rsid w:val="004D3F56"/>
    <w:rsid w:val="004D4028"/>
    <w:rsid w:val="004D4054"/>
    <w:rsid w:val="004D43C8"/>
    <w:rsid w:val="004D43CA"/>
    <w:rsid w:val="004D445F"/>
    <w:rsid w:val="004D44BC"/>
    <w:rsid w:val="004D4815"/>
    <w:rsid w:val="004D49A5"/>
    <w:rsid w:val="004D4D37"/>
    <w:rsid w:val="004D4E4F"/>
    <w:rsid w:val="004D4F45"/>
    <w:rsid w:val="004D5174"/>
    <w:rsid w:val="004D530E"/>
    <w:rsid w:val="004D5657"/>
    <w:rsid w:val="004D56FF"/>
    <w:rsid w:val="004D5E94"/>
    <w:rsid w:val="004D616C"/>
    <w:rsid w:val="004D6460"/>
    <w:rsid w:val="004D66FE"/>
    <w:rsid w:val="004D679A"/>
    <w:rsid w:val="004D67C6"/>
    <w:rsid w:val="004D6959"/>
    <w:rsid w:val="004D6C08"/>
    <w:rsid w:val="004D6C87"/>
    <w:rsid w:val="004D7162"/>
    <w:rsid w:val="004D72A0"/>
    <w:rsid w:val="004D749B"/>
    <w:rsid w:val="004D7563"/>
    <w:rsid w:val="004D7F2B"/>
    <w:rsid w:val="004E1068"/>
    <w:rsid w:val="004E107C"/>
    <w:rsid w:val="004E1566"/>
    <w:rsid w:val="004E18EF"/>
    <w:rsid w:val="004E1B82"/>
    <w:rsid w:val="004E1EEF"/>
    <w:rsid w:val="004E1F47"/>
    <w:rsid w:val="004E2093"/>
    <w:rsid w:val="004E281D"/>
    <w:rsid w:val="004E2AC4"/>
    <w:rsid w:val="004E2C2C"/>
    <w:rsid w:val="004E2D63"/>
    <w:rsid w:val="004E30F5"/>
    <w:rsid w:val="004E3281"/>
    <w:rsid w:val="004E3313"/>
    <w:rsid w:val="004E339F"/>
    <w:rsid w:val="004E3419"/>
    <w:rsid w:val="004E3426"/>
    <w:rsid w:val="004E392E"/>
    <w:rsid w:val="004E3FA4"/>
    <w:rsid w:val="004E3FBE"/>
    <w:rsid w:val="004E4105"/>
    <w:rsid w:val="004E4224"/>
    <w:rsid w:val="004E4367"/>
    <w:rsid w:val="004E43B2"/>
    <w:rsid w:val="004E45E6"/>
    <w:rsid w:val="004E4BEC"/>
    <w:rsid w:val="004E4FAB"/>
    <w:rsid w:val="004E5074"/>
    <w:rsid w:val="004E5FDC"/>
    <w:rsid w:val="004E6399"/>
    <w:rsid w:val="004E66CD"/>
    <w:rsid w:val="004E6C00"/>
    <w:rsid w:val="004E6F87"/>
    <w:rsid w:val="004E7067"/>
    <w:rsid w:val="004E74D1"/>
    <w:rsid w:val="004E7A0F"/>
    <w:rsid w:val="004E7AC3"/>
    <w:rsid w:val="004F000C"/>
    <w:rsid w:val="004F009E"/>
    <w:rsid w:val="004F045D"/>
    <w:rsid w:val="004F0581"/>
    <w:rsid w:val="004F0624"/>
    <w:rsid w:val="004F0B08"/>
    <w:rsid w:val="004F0BDB"/>
    <w:rsid w:val="004F0F6C"/>
    <w:rsid w:val="004F13D6"/>
    <w:rsid w:val="004F1609"/>
    <w:rsid w:val="004F165C"/>
    <w:rsid w:val="004F1833"/>
    <w:rsid w:val="004F187E"/>
    <w:rsid w:val="004F19E3"/>
    <w:rsid w:val="004F1CCB"/>
    <w:rsid w:val="004F2565"/>
    <w:rsid w:val="004F2776"/>
    <w:rsid w:val="004F2BEE"/>
    <w:rsid w:val="004F2D2D"/>
    <w:rsid w:val="004F3213"/>
    <w:rsid w:val="004F3728"/>
    <w:rsid w:val="004F3834"/>
    <w:rsid w:val="004F38B5"/>
    <w:rsid w:val="004F39AF"/>
    <w:rsid w:val="004F3E20"/>
    <w:rsid w:val="004F3EC4"/>
    <w:rsid w:val="004F3F15"/>
    <w:rsid w:val="004F40F6"/>
    <w:rsid w:val="004F41EE"/>
    <w:rsid w:val="004F432E"/>
    <w:rsid w:val="004F443F"/>
    <w:rsid w:val="004F4683"/>
    <w:rsid w:val="004F47AC"/>
    <w:rsid w:val="004F47C3"/>
    <w:rsid w:val="004F4825"/>
    <w:rsid w:val="004F493B"/>
    <w:rsid w:val="004F4D95"/>
    <w:rsid w:val="004F5163"/>
    <w:rsid w:val="004F5552"/>
    <w:rsid w:val="004F5FB2"/>
    <w:rsid w:val="004F6122"/>
    <w:rsid w:val="004F612D"/>
    <w:rsid w:val="004F629E"/>
    <w:rsid w:val="004F66E4"/>
    <w:rsid w:val="004F720D"/>
    <w:rsid w:val="004F7826"/>
    <w:rsid w:val="004F7868"/>
    <w:rsid w:val="004F7B2E"/>
    <w:rsid w:val="004F7D3A"/>
    <w:rsid w:val="004F7FD4"/>
    <w:rsid w:val="00500161"/>
    <w:rsid w:val="005006D4"/>
    <w:rsid w:val="00500848"/>
    <w:rsid w:val="00500945"/>
    <w:rsid w:val="00500B32"/>
    <w:rsid w:val="00500BDD"/>
    <w:rsid w:val="00500CD8"/>
    <w:rsid w:val="00500DD7"/>
    <w:rsid w:val="005010B8"/>
    <w:rsid w:val="00501228"/>
    <w:rsid w:val="0050125E"/>
    <w:rsid w:val="00501327"/>
    <w:rsid w:val="00501820"/>
    <w:rsid w:val="00501938"/>
    <w:rsid w:val="00501BC5"/>
    <w:rsid w:val="00501F58"/>
    <w:rsid w:val="00502380"/>
    <w:rsid w:val="0050249D"/>
    <w:rsid w:val="005024E9"/>
    <w:rsid w:val="005028F5"/>
    <w:rsid w:val="00502A9F"/>
    <w:rsid w:val="00502C01"/>
    <w:rsid w:val="00502F12"/>
    <w:rsid w:val="00502F1F"/>
    <w:rsid w:val="00503184"/>
    <w:rsid w:val="00503348"/>
    <w:rsid w:val="005035D6"/>
    <w:rsid w:val="00503A6C"/>
    <w:rsid w:val="00504129"/>
    <w:rsid w:val="0050421D"/>
    <w:rsid w:val="0050480C"/>
    <w:rsid w:val="0050483C"/>
    <w:rsid w:val="00504C59"/>
    <w:rsid w:val="00505007"/>
    <w:rsid w:val="00505156"/>
    <w:rsid w:val="0050580F"/>
    <w:rsid w:val="005059BD"/>
    <w:rsid w:val="005059C3"/>
    <w:rsid w:val="00505AB8"/>
    <w:rsid w:val="00505C19"/>
    <w:rsid w:val="00505D33"/>
    <w:rsid w:val="005060E7"/>
    <w:rsid w:val="00506116"/>
    <w:rsid w:val="00506120"/>
    <w:rsid w:val="00506477"/>
    <w:rsid w:val="00506CA0"/>
    <w:rsid w:val="00506EA7"/>
    <w:rsid w:val="00507028"/>
    <w:rsid w:val="005074E7"/>
    <w:rsid w:val="005075B7"/>
    <w:rsid w:val="005075D2"/>
    <w:rsid w:val="0050766A"/>
    <w:rsid w:val="00507CC8"/>
    <w:rsid w:val="00507F7F"/>
    <w:rsid w:val="00510187"/>
    <w:rsid w:val="0051066D"/>
    <w:rsid w:val="005107E9"/>
    <w:rsid w:val="0051081B"/>
    <w:rsid w:val="00510B79"/>
    <w:rsid w:val="00510B85"/>
    <w:rsid w:val="0051110C"/>
    <w:rsid w:val="0051145F"/>
    <w:rsid w:val="005116F1"/>
    <w:rsid w:val="0051170F"/>
    <w:rsid w:val="0051180F"/>
    <w:rsid w:val="00511C39"/>
    <w:rsid w:val="00511ED5"/>
    <w:rsid w:val="00511FD1"/>
    <w:rsid w:val="005122DD"/>
    <w:rsid w:val="00512537"/>
    <w:rsid w:val="005125BE"/>
    <w:rsid w:val="00512706"/>
    <w:rsid w:val="00512821"/>
    <w:rsid w:val="00512EAE"/>
    <w:rsid w:val="00512F4C"/>
    <w:rsid w:val="0051302B"/>
    <w:rsid w:val="005130CD"/>
    <w:rsid w:val="00513283"/>
    <w:rsid w:val="005132D1"/>
    <w:rsid w:val="00513339"/>
    <w:rsid w:val="0051339F"/>
    <w:rsid w:val="005134CC"/>
    <w:rsid w:val="00513D7E"/>
    <w:rsid w:val="00513D8C"/>
    <w:rsid w:val="00513F8D"/>
    <w:rsid w:val="00514268"/>
    <w:rsid w:val="005142BA"/>
    <w:rsid w:val="005142D4"/>
    <w:rsid w:val="005146B0"/>
    <w:rsid w:val="0051478F"/>
    <w:rsid w:val="005149FB"/>
    <w:rsid w:val="00514B94"/>
    <w:rsid w:val="00514D82"/>
    <w:rsid w:val="005150E1"/>
    <w:rsid w:val="0051527E"/>
    <w:rsid w:val="00515625"/>
    <w:rsid w:val="005157D6"/>
    <w:rsid w:val="005157FB"/>
    <w:rsid w:val="005158E5"/>
    <w:rsid w:val="00515A82"/>
    <w:rsid w:val="00515D1B"/>
    <w:rsid w:val="00515DDE"/>
    <w:rsid w:val="00515EFD"/>
    <w:rsid w:val="00516149"/>
    <w:rsid w:val="00516470"/>
    <w:rsid w:val="0051658F"/>
    <w:rsid w:val="005165E9"/>
    <w:rsid w:val="0051661F"/>
    <w:rsid w:val="005167EF"/>
    <w:rsid w:val="00516917"/>
    <w:rsid w:val="00516B2B"/>
    <w:rsid w:val="00516E32"/>
    <w:rsid w:val="00516EBF"/>
    <w:rsid w:val="0051747E"/>
    <w:rsid w:val="00520922"/>
    <w:rsid w:val="00520BA8"/>
    <w:rsid w:val="00520C41"/>
    <w:rsid w:val="00521249"/>
    <w:rsid w:val="005212AC"/>
    <w:rsid w:val="00521472"/>
    <w:rsid w:val="0052169B"/>
    <w:rsid w:val="00521D0A"/>
    <w:rsid w:val="00521D8B"/>
    <w:rsid w:val="00521E58"/>
    <w:rsid w:val="0052210F"/>
    <w:rsid w:val="005221D0"/>
    <w:rsid w:val="00522585"/>
    <w:rsid w:val="005229E0"/>
    <w:rsid w:val="00522BC1"/>
    <w:rsid w:val="00522D3D"/>
    <w:rsid w:val="00522F0F"/>
    <w:rsid w:val="00523C63"/>
    <w:rsid w:val="00523CDC"/>
    <w:rsid w:val="0052404C"/>
    <w:rsid w:val="0052458F"/>
    <w:rsid w:val="00524617"/>
    <w:rsid w:val="00524980"/>
    <w:rsid w:val="00524A19"/>
    <w:rsid w:val="00524CC4"/>
    <w:rsid w:val="00524D9C"/>
    <w:rsid w:val="00525397"/>
    <w:rsid w:val="005257AA"/>
    <w:rsid w:val="00525D20"/>
    <w:rsid w:val="00525E37"/>
    <w:rsid w:val="00526044"/>
    <w:rsid w:val="00526331"/>
    <w:rsid w:val="005264DC"/>
    <w:rsid w:val="00526568"/>
    <w:rsid w:val="00526806"/>
    <w:rsid w:val="00526A1C"/>
    <w:rsid w:val="00526ABD"/>
    <w:rsid w:val="00526B41"/>
    <w:rsid w:val="00526C30"/>
    <w:rsid w:val="00526C44"/>
    <w:rsid w:val="00526D9A"/>
    <w:rsid w:val="00526DF8"/>
    <w:rsid w:val="005270F4"/>
    <w:rsid w:val="00527269"/>
    <w:rsid w:val="00527919"/>
    <w:rsid w:val="00527A00"/>
    <w:rsid w:val="00527A92"/>
    <w:rsid w:val="00527F06"/>
    <w:rsid w:val="00530695"/>
    <w:rsid w:val="0053094B"/>
    <w:rsid w:val="00530BE6"/>
    <w:rsid w:val="00530C06"/>
    <w:rsid w:val="00530C6B"/>
    <w:rsid w:val="005311A1"/>
    <w:rsid w:val="005312CA"/>
    <w:rsid w:val="00531B51"/>
    <w:rsid w:val="00531DB7"/>
    <w:rsid w:val="00531FF6"/>
    <w:rsid w:val="00532134"/>
    <w:rsid w:val="0053252F"/>
    <w:rsid w:val="00532899"/>
    <w:rsid w:val="005329FC"/>
    <w:rsid w:val="00532ACD"/>
    <w:rsid w:val="00532C2F"/>
    <w:rsid w:val="00532D0E"/>
    <w:rsid w:val="005333B2"/>
    <w:rsid w:val="0053348E"/>
    <w:rsid w:val="00533586"/>
    <w:rsid w:val="005335B5"/>
    <w:rsid w:val="005337F1"/>
    <w:rsid w:val="00533821"/>
    <w:rsid w:val="00533AE5"/>
    <w:rsid w:val="00533CEE"/>
    <w:rsid w:val="005342A6"/>
    <w:rsid w:val="0053442A"/>
    <w:rsid w:val="005346DC"/>
    <w:rsid w:val="00534888"/>
    <w:rsid w:val="00534C05"/>
    <w:rsid w:val="005350CD"/>
    <w:rsid w:val="005353E5"/>
    <w:rsid w:val="0053546F"/>
    <w:rsid w:val="005354D4"/>
    <w:rsid w:val="005354F3"/>
    <w:rsid w:val="00535786"/>
    <w:rsid w:val="005358BD"/>
    <w:rsid w:val="005362EA"/>
    <w:rsid w:val="005363CD"/>
    <w:rsid w:val="00536874"/>
    <w:rsid w:val="005369F2"/>
    <w:rsid w:val="00536AB7"/>
    <w:rsid w:val="00536E34"/>
    <w:rsid w:val="00536E47"/>
    <w:rsid w:val="00536E55"/>
    <w:rsid w:val="00536EB0"/>
    <w:rsid w:val="005375CF"/>
    <w:rsid w:val="005377F2"/>
    <w:rsid w:val="0054045D"/>
    <w:rsid w:val="00540460"/>
    <w:rsid w:val="005404B5"/>
    <w:rsid w:val="00540599"/>
    <w:rsid w:val="005408A6"/>
    <w:rsid w:val="00540E72"/>
    <w:rsid w:val="00540F05"/>
    <w:rsid w:val="00540F7E"/>
    <w:rsid w:val="00541032"/>
    <w:rsid w:val="00541371"/>
    <w:rsid w:val="00541393"/>
    <w:rsid w:val="005414D6"/>
    <w:rsid w:val="0054162A"/>
    <w:rsid w:val="00541722"/>
    <w:rsid w:val="00541A1E"/>
    <w:rsid w:val="00542006"/>
    <w:rsid w:val="00542014"/>
    <w:rsid w:val="005420F9"/>
    <w:rsid w:val="005421AC"/>
    <w:rsid w:val="00542537"/>
    <w:rsid w:val="00542690"/>
    <w:rsid w:val="00542710"/>
    <w:rsid w:val="00542C4B"/>
    <w:rsid w:val="00542E7F"/>
    <w:rsid w:val="00542EA8"/>
    <w:rsid w:val="00542ED3"/>
    <w:rsid w:val="00542F0C"/>
    <w:rsid w:val="0054321F"/>
    <w:rsid w:val="00543637"/>
    <w:rsid w:val="00543799"/>
    <w:rsid w:val="00543952"/>
    <w:rsid w:val="005439DF"/>
    <w:rsid w:val="00543C8A"/>
    <w:rsid w:val="005446B9"/>
    <w:rsid w:val="005446BF"/>
    <w:rsid w:val="005448E1"/>
    <w:rsid w:val="00544A8F"/>
    <w:rsid w:val="00544B0E"/>
    <w:rsid w:val="00544BF5"/>
    <w:rsid w:val="00544CFE"/>
    <w:rsid w:val="00544E36"/>
    <w:rsid w:val="00544EB6"/>
    <w:rsid w:val="005451BC"/>
    <w:rsid w:val="005454E0"/>
    <w:rsid w:val="00545600"/>
    <w:rsid w:val="005456F3"/>
    <w:rsid w:val="0054593F"/>
    <w:rsid w:val="00545DC8"/>
    <w:rsid w:val="00545E95"/>
    <w:rsid w:val="00545F2B"/>
    <w:rsid w:val="005463F8"/>
    <w:rsid w:val="00546445"/>
    <w:rsid w:val="0054645F"/>
    <w:rsid w:val="00546643"/>
    <w:rsid w:val="00546697"/>
    <w:rsid w:val="00546815"/>
    <w:rsid w:val="00546BB1"/>
    <w:rsid w:val="00546ED4"/>
    <w:rsid w:val="00547129"/>
    <w:rsid w:val="00547145"/>
    <w:rsid w:val="005474CC"/>
    <w:rsid w:val="005476A6"/>
    <w:rsid w:val="005479B8"/>
    <w:rsid w:val="00547B35"/>
    <w:rsid w:val="00547D8A"/>
    <w:rsid w:val="00547FC4"/>
    <w:rsid w:val="00550172"/>
    <w:rsid w:val="00550735"/>
    <w:rsid w:val="00551156"/>
    <w:rsid w:val="005513FA"/>
    <w:rsid w:val="0055199B"/>
    <w:rsid w:val="00551A2A"/>
    <w:rsid w:val="00551F51"/>
    <w:rsid w:val="005521DE"/>
    <w:rsid w:val="0055251C"/>
    <w:rsid w:val="00552ECB"/>
    <w:rsid w:val="0055344D"/>
    <w:rsid w:val="0055368C"/>
    <w:rsid w:val="00553D20"/>
    <w:rsid w:val="005540DC"/>
    <w:rsid w:val="00554450"/>
    <w:rsid w:val="005544C4"/>
    <w:rsid w:val="00554556"/>
    <w:rsid w:val="00554671"/>
    <w:rsid w:val="0055467C"/>
    <w:rsid w:val="0055481A"/>
    <w:rsid w:val="00554A71"/>
    <w:rsid w:val="0055523F"/>
    <w:rsid w:val="005559F1"/>
    <w:rsid w:val="00555A12"/>
    <w:rsid w:val="00555BE6"/>
    <w:rsid w:val="00555CCE"/>
    <w:rsid w:val="00556250"/>
    <w:rsid w:val="0055629E"/>
    <w:rsid w:val="0055658C"/>
    <w:rsid w:val="005566F4"/>
    <w:rsid w:val="00556813"/>
    <w:rsid w:val="00556ABB"/>
    <w:rsid w:val="00556C11"/>
    <w:rsid w:val="00556D3E"/>
    <w:rsid w:val="00557A23"/>
    <w:rsid w:val="00557EF7"/>
    <w:rsid w:val="00557F01"/>
    <w:rsid w:val="00560176"/>
    <w:rsid w:val="00560247"/>
    <w:rsid w:val="00560349"/>
    <w:rsid w:val="005605E3"/>
    <w:rsid w:val="005606BE"/>
    <w:rsid w:val="0056129F"/>
    <w:rsid w:val="00561500"/>
    <w:rsid w:val="00561976"/>
    <w:rsid w:val="00561B7A"/>
    <w:rsid w:val="00561CDB"/>
    <w:rsid w:val="0056203E"/>
    <w:rsid w:val="005625FA"/>
    <w:rsid w:val="0056289E"/>
    <w:rsid w:val="00562AAA"/>
    <w:rsid w:val="00562E74"/>
    <w:rsid w:val="005639AA"/>
    <w:rsid w:val="00563F4A"/>
    <w:rsid w:val="0056449B"/>
    <w:rsid w:val="0056464A"/>
    <w:rsid w:val="00564695"/>
    <w:rsid w:val="005648FE"/>
    <w:rsid w:val="00564A99"/>
    <w:rsid w:val="00564C4F"/>
    <w:rsid w:val="00564D4D"/>
    <w:rsid w:val="00564FD6"/>
    <w:rsid w:val="0056552F"/>
    <w:rsid w:val="005658F9"/>
    <w:rsid w:val="00565C76"/>
    <w:rsid w:val="005660F0"/>
    <w:rsid w:val="00566395"/>
    <w:rsid w:val="005663BD"/>
    <w:rsid w:val="00566839"/>
    <w:rsid w:val="005668FE"/>
    <w:rsid w:val="0056698B"/>
    <w:rsid w:val="005669E5"/>
    <w:rsid w:val="00566CBF"/>
    <w:rsid w:val="00566CCD"/>
    <w:rsid w:val="00566D97"/>
    <w:rsid w:val="00567438"/>
    <w:rsid w:val="00567A44"/>
    <w:rsid w:val="00567EB7"/>
    <w:rsid w:val="00567F0B"/>
    <w:rsid w:val="005700B3"/>
    <w:rsid w:val="005701A3"/>
    <w:rsid w:val="005709F4"/>
    <w:rsid w:val="005709FA"/>
    <w:rsid w:val="00570A07"/>
    <w:rsid w:val="00570A21"/>
    <w:rsid w:val="00570BCE"/>
    <w:rsid w:val="0057114D"/>
    <w:rsid w:val="00571517"/>
    <w:rsid w:val="00571AB1"/>
    <w:rsid w:val="00571D49"/>
    <w:rsid w:val="0057206B"/>
    <w:rsid w:val="00572938"/>
    <w:rsid w:val="0057296F"/>
    <w:rsid w:val="00572AEC"/>
    <w:rsid w:val="00573032"/>
    <w:rsid w:val="00573238"/>
    <w:rsid w:val="0057325E"/>
    <w:rsid w:val="0057337B"/>
    <w:rsid w:val="00573A6A"/>
    <w:rsid w:val="00573B92"/>
    <w:rsid w:val="00573D50"/>
    <w:rsid w:val="00573F5F"/>
    <w:rsid w:val="00573F8F"/>
    <w:rsid w:val="00574179"/>
    <w:rsid w:val="005748EC"/>
    <w:rsid w:val="0057497D"/>
    <w:rsid w:val="00574BA9"/>
    <w:rsid w:val="00574C0F"/>
    <w:rsid w:val="00574DE1"/>
    <w:rsid w:val="005750CF"/>
    <w:rsid w:val="005753CF"/>
    <w:rsid w:val="0057550F"/>
    <w:rsid w:val="005757DA"/>
    <w:rsid w:val="00575828"/>
    <w:rsid w:val="00575835"/>
    <w:rsid w:val="0057583A"/>
    <w:rsid w:val="00575AE7"/>
    <w:rsid w:val="0057601E"/>
    <w:rsid w:val="00576062"/>
    <w:rsid w:val="005762F5"/>
    <w:rsid w:val="00576584"/>
    <w:rsid w:val="0057674E"/>
    <w:rsid w:val="005768FD"/>
    <w:rsid w:val="00576C7F"/>
    <w:rsid w:val="00576F31"/>
    <w:rsid w:val="00576F8F"/>
    <w:rsid w:val="00577081"/>
    <w:rsid w:val="00577144"/>
    <w:rsid w:val="005772E6"/>
    <w:rsid w:val="00577331"/>
    <w:rsid w:val="0057744B"/>
    <w:rsid w:val="0057780C"/>
    <w:rsid w:val="00577838"/>
    <w:rsid w:val="00577A29"/>
    <w:rsid w:val="00577A79"/>
    <w:rsid w:val="00577DE0"/>
    <w:rsid w:val="005805C5"/>
    <w:rsid w:val="0058078F"/>
    <w:rsid w:val="005807FA"/>
    <w:rsid w:val="00580AE8"/>
    <w:rsid w:val="00580C81"/>
    <w:rsid w:val="00580E37"/>
    <w:rsid w:val="005810C6"/>
    <w:rsid w:val="00581795"/>
    <w:rsid w:val="00581C35"/>
    <w:rsid w:val="00581C5A"/>
    <w:rsid w:val="00581E6C"/>
    <w:rsid w:val="00581FE5"/>
    <w:rsid w:val="005829FC"/>
    <w:rsid w:val="00582C5C"/>
    <w:rsid w:val="00582E3A"/>
    <w:rsid w:val="005830A6"/>
    <w:rsid w:val="00583132"/>
    <w:rsid w:val="005834B4"/>
    <w:rsid w:val="00583702"/>
    <w:rsid w:val="00583E2B"/>
    <w:rsid w:val="00583E66"/>
    <w:rsid w:val="00584A6C"/>
    <w:rsid w:val="00584A6F"/>
    <w:rsid w:val="00584BE3"/>
    <w:rsid w:val="00584CA4"/>
    <w:rsid w:val="00584E92"/>
    <w:rsid w:val="00585294"/>
    <w:rsid w:val="00585449"/>
    <w:rsid w:val="0058570F"/>
    <w:rsid w:val="00585DD0"/>
    <w:rsid w:val="00585F1D"/>
    <w:rsid w:val="00586114"/>
    <w:rsid w:val="0058636C"/>
    <w:rsid w:val="00586448"/>
    <w:rsid w:val="00586B6B"/>
    <w:rsid w:val="00586C40"/>
    <w:rsid w:val="00586CCC"/>
    <w:rsid w:val="00586F5B"/>
    <w:rsid w:val="00586FFC"/>
    <w:rsid w:val="00587156"/>
    <w:rsid w:val="005871FB"/>
    <w:rsid w:val="00587688"/>
    <w:rsid w:val="0058769C"/>
    <w:rsid w:val="00587795"/>
    <w:rsid w:val="00590340"/>
    <w:rsid w:val="0059057B"/>
    <w:rsid w:val="00590A24"/>
    <w:rsid w:val="00590B10"/>
    <w:rsid w:val="00590C54"/>
    <w:rsid w:val="00590D10"/>
    <w:rsid w:val="00590D87"/>
    <w:rsid w:val="00590E0D"/>
    <w:rsid w:val="005912F9"/>
    <w:rsid w:val="005914B8"/>
    <w:rsid w:val="005914EB"/>
    <w:rsid w:val="00591668"/>
    <w:rsid w:val="005918E9"/>
    <w:rsid w:val="00591B8A"/>
    <w:rsid w:val="00591D64"/>
    <w:rsid w:val="00591F13"/>
    <w:rsid w:val="00592181"/>
    <w:rsid w:val="005921C9"/>
    <w:rsid w:val="0059227D"/>
    <w:rsid w:val="00592557"/>
    <w:rsid w:val="00592626"/>
    <w:rsid w:val="00592749"/>
    <w:rsid w:val="00592830"/>
    <w:rsid w:val="00592852"/>
    <w:rsid w:val="00592B43"/>
    <w:rsid w:val="00592CE3"/>
    <w:rsid w:val="00592E01"/>
    <w:rsid w:val="0059350F"/>
    <w:rsid w:val="0059387F"/>
    <w:rsid w:val="00593A55"/>
    <w:rsid w:val="00593AD5"/>
    <w:rsid w:val="00593B71"/>
    <w:rsid w:val="00593BB9"/>
    <w:rsid w:val="00593CC6"/>
    <w:rsid w:val="00593E6F"/>
    <w:rsid w:val="00594AD8"/>
    <w:rsid w:val="00594B62"/>
    <w:rsid w:val="00594BF4"/>
    <w:rsid w:val="00594D6E"/>
    <w:rsid w:val="00595110"/>
    <w:rsid w:val="00595221"/>
    <w:rsid w:val="00595521"/>
    <w:rsid w:val="005956AD"/>
    <w:rsid w:val="0059583E"/>
    <w:rsid w:val="00595C5A"/>
    <w:rsid w:val="00595F8B"/>
    <w:rsid w:val="00596659"/>
    <w:rsid w:val="00596709"/>
    <w:rsid w:val="00596754"/>
    <w:rsid w:val="00596E06"/>
    <w:rsid w:val="00596F7A"/>
    <w:rsid w:val="00597034"/>
    <w:rsid w:val="00597770"/>
    <w:rsid w:val="00597C01"/>
    <w:rsid w:val="005A009A"/>
    <w:rsid w:val="005A0D4C"/>
    <w:rsid w:val="005A0F34"/>
    <w:rsid w:val="005A1178"/>
    <w:rsid w:val="005A143A"/>
    <w:rsid w:val="005A14E7"/>
    <w:rsid w:val="005A151F"/>
    <w:rsid w:val="005A1611"/>
    <w:rsid w:val="005A19E6"/>
    <w:rsid w:val="005A1D1D"/>
    <w:rsid w:val="005A20DE"/>
    <w:rsid w:val="005A2348"/>
    <w:rsid w:val="005A2783"/>
    <w:rsid w:val="005A2924"/>
    <w:rsid w:val="005A2A9B"/>
    <w:rsid w:val="005A2AA9"/>
    <w:rsid w:val="005A2F93"/>
    <w:rsid w:val="005A3027"/>
    <w:rsid w:val="005A31A1"/>
    <w:rsid w:val="005A35A3"/>
    <w:rsid w:val="005A36BD"/>
    <w:rsid w:val="005A3709"/>
    <w:rsid w:val="005A3E48"/>
    <w:rsid w:val="005A4099"/>
    <w:rsid w:val="005A41B6"/>
    <w:rsid w:val="005A41DF"/>
    <w:rsid w:val="005A4415"/>
    <w:rsid w:val="005A44D3"/>
    <w:rsid w:val="005A45AB"/>
    <w:rsid w:val="005A4731"/>
    <w:rsid w:val="005A4954"/>
    <w:rsid w:val="005A4967"/>
    <w:rsid w:val="005A4A7B"/>
    <w:rsid w:val="005A5159"/>
    <w:rsid w:val="005A5586"/>
    <w:rsid w:val="005A6171"/>
    <w:rsid w:val="005A6237"/>
    <w:rsid w:val="005A6256"/>
    <w:rsid w:val="005A6741"/>
    <w:rsid w:val="005A67FD"/>
    <w:rsid w:val="005A6CCA"/>
    <w:rsid w:val="005A7337"/>
    <w:rsid w:val="005A77A8"/>
    <w:rsid w:val="005A7848"/>
    <w:rsid w:val="005A787E"/>
    <w:rsid w:val="005A7D06"/>
    <w:rsid w:val="005B0181"/>
    <w:rsid w:val="005B043C"/>
    <w:rsid w:val="005B09CD"/>
    <w:rsid w:val="005B0BEB"/>
    <w:rsid w:val="005B0D04"/>
    <w:rsid w:val="005B0EFB"/>
    <w:rsid w:val="005B0F14"/>
    <w:rsid w:val="005B0F80"/>
    <w:rsid w:val="005B0FA8"/>
    <w:rsid w:val="005B1145"/>
    <w:rsid w:val="005B11AC"/>
    <w:rsid w:val="005B12B3"/>
    <w:rsid w:val="005B150E"/>
    <w:rsid w:val="005B17DF"/>
    <w:rsid w:val="005B1856"/>
    <w:rsid w:val="005B1A14"/>
    <w:rsid w:val="005B2208"/>
    <w:rsid w:val="005B24DE"/>
    <w:rsid w:val="005B2551"/>
    <w:rsid w:val="005B27F4"/>
    <w:rsid w:val="005B2841"/>
    <w:rsid w:val="005B2A77"/>
    <w:rsid w:val="005B2C1F"/>
    <w:rsid w:val="005B2DCB"/>
    <w:rsid w:val="005B30ED"/>
    <w:rsid w:val="005B331F"/>
    <w:rsid w:val="005B3FB4"/>
    <w:rsid w:val="005B4031"/>
    <w:rsid w:val="005B43FE"/>
    <w:rsid w:val="005B44D3"/>
    <w:rsid w:val="005B4572"/>
    <w:rsid w:val="005B47A3"/>
    <w:rsid w:val="005B48F1"/>
    <w:rsid w:val="005B4984"/>
    <w:rsid w:val="005B5207"/>
    <w:rsid w:val="005B53B3"/>
    <w:rsid w:val="005B5412"/>
    <w:rsid w:val="005B5701"/>
    <w:rsid w:val="005B58B2"/>
    <w:rsid w:val="005B5A40"/>
    <w:rsid w:val="005B5B44"/>
    <w:rsid w:val="005B5EE1"/>
    <w:rsid w:val="005B60B8"/>
    <w:rsid w:val="005B62C5"/>
    <w:rsid w:val="005B66DD"/>
    <w:rsid w:val="005B676A"/>
    <w:rsid w:val="005B678C"/>
    <w:rsid w:val="005B684C"/>
    <w:rsid w:val="005B68D7"/>
    <w:rsid w:val="005B695A"/>
    <w:rsid w:val="005B707E"/>
    <w:rsid w:val="005B78BD"/>
    <w:rsid w:val="005B7A79"/>
    <w:rsid w:val="005B7E37"/>
    <w:rsid w:val="005B7E9F"/>
    <w:rsid w:val="005C0F09"/>
    <w:rsid w:val="005C11F9"/>
    <w:rsid w:val="005C1386"/>
    <w:rsid w:val="005C162A"/>
    <w:rsid w:val="005C197A"/>
    <w:rsid w:val="005C19EC"/>
    <w:rsid w:val="005C1D53"/>
    <w:rsid w:val="005C211E"/>
    <w:rsid w:val="005C2171"/>
    <w:rsid w:val="005C2306"/>
    <w:rsid w:val="005C234E"/>
    <w:rsid w:val="005C24E1"/>
    <w:rsid w:val="005C27DD"/>
    <w:rsid w:val="005C2B4F"/>
    <w:rsid w:val="005C2B70"/>
    <w:rsid w:val="005C2C7A"/>
    <w:rsid w:val="005C2DE9"/>
    <w:rsid w:val="005C3B87"/>
    <w:rsid w:val="005C413B"/>
    <w:rsid w:val="005C42EC"/>
    <w:rsid w:val="005C43EB"/>
    <w:rsid w:val="005C4505"/>
    <w:rsid w:val="005C49A6"/>
    <w:rsid w:val="005C4B5D"/>
    <w:rsid w:val="005C4C38"/>
    <w:rsid w:val="005C5347"/>
    <w:rsid w:val="005C535C"/>
    <w:rsid w:val="005C5553"/>
    <w:rsid w:val="005C5748"/>
    <w:rsid w:val="005C58EF"/>
    <w:rsid w:val="005C5B7A"/>
    <w:rsid w:val="005C5CF7"/>
    <w:rsid w:val="005C60C3"/>
    <w:rsid w:val="005C61E2"/>
    <w:rsid w:val="005C675F"/>
    <w:rsid w:val="005C6945"/>
    <w:rsid w:val="005C69FD"/>
    <w:rsid w:val="005C6BD1"/>
    <w:rsid w:val="005C6DAE"/>
    <w:rsid w:val="005C6F51"/>
    <w:rsid w:val="005C6F57"/>
    <w:rsid w:val="005C6F80"/>
    <w:rsid w:val="005C7365"/>
    <w:rsid w:val="005C74A0"/>
    <w:rsid w:val="005C7620"/>
    <w:rsid w:val="005C7646"/>
    <w:rsid w:val="005C7649"/>
    <w:rsid w:val="005C77C3"/>
    <w:rsid w:val="005C7866"/>
    <w:rsid w:val="005C79BC"/>
    <w:rsid w:val="005C7A5C"/>
    <w:rsid w:val="005C7DE8"/>
    <w:rsid w:val="005C7EB1"/>
    <w:rsid w:val="005D039F"/>
    <w:rsid w:val="005D0759"/>
    <w:rsid w:val="005D080D"/>
    <w:rsid w:val="005D09D8"/>
    <w:rsid w:val="005D0A72"/>
    <w:rsid w:val="005D0B8A"/>
    <w:rsid w:val="005D0F5B"/>
    <w:rsid w:val="005D0FB4"/>
    <w:rsid w:val="005D14CB"/>
    <w:rsid w:val="005D15E9"/>
    <w:rsid w:val="005D1A24"/>
    <w:rsid w:val="005D1A56"/>
    <w:rsid w:val="005D1C11"/>
    <w:rsid w:val="005D1C4B"/>
    <w:rsid w:val="005D1C5F"/>
    <w:rsid w:val="005D1CF8"/>
    <w:rsid w:val="005D1DAD"/>
    <w:rsid w:val="005D1E73"/>
    <w:rsid w:val="005D2024"/>
    <w:rsid w:val="005D26A0"/>
    <w:rsid w:val="005D279B"/>
    <w:rsid w:val="005D2D5B"/>
    <w:rsid w:val="005D34C5"/>
    <w:rsid w:val="005D38C1"/>
    <w:rsid w:val="005D38D8"/>
    <w:rsid w:val="005D39C3"/>
    <w:rsid w:val="005D3C33"/>
    <w:rsid w:val="005D3EAB"/>
    <w:rsid w:val="005D3F3E"/>
    <w:rsid w:val="005D3F77"/>
    <w:rsid w:val="005D4088"/>
    <w:rsid w:val="005D43B6"/>
    <w:rsid w:val="005D451F"/>
    <w:rsid w:val="005D4602"/>
    <w:rsid w:val="005D4DFD"/>
    <w:rsid w:val="005D56DF"/>
    <w:rsid w:val="005D574D"/>
    <w:rsid w:val="005D580D"/>
    <w:rsid w:val="005D6142"/>
    <w:rsid w:val="005D62D3"/>
    <w:rsid w:val="005D63FE"/>
    <w:rsid w:val="005D7028"/>
    <w:rsid w:val="005D7152"/>
    <w:rsid w:val="005D7A72"/>
    <w:rsid w:val="005D7B62"/>
    <w:rsid w:val="005D7F4C"/>
    <w:rsid w:val="005E0562"/>
    <w:rsid w:val="005E0BD6"/>
    <w:rsid w:val="005E0CEA"/>
    <w:rsid w:val="005E0E63"/>
    <w:rsid w:val="005E0FCF"/>
    <w:rsid w:val="005E11FB"/>
    <w:rsid w:val="005E13F6"/>
    <w:rsid w:val="005E1C1F"/>
    <w:rsid w:val="005E219A"/>
    <w:rsid w:val="005E25E3"/>
    <w:rsid w:val="005E2B10"/>
    <w:rsid w:val="005E2DD8"/>
    <w:rsid w:val="005E3099"/>
    <w:rsid w:val="005E309A"/>
    <w:rsid w:val="005E3176"/>
    <w:rsid w:val="005E3264"/>
    <w:rsid w:val="005E333B"/>
    <w:rsid w:val="005E375F"/>
    <w:rsid w:val="005E3765"/>
    <w:rsid w:val="005E37B8"/>
    <w:rsid w:val="005E3DDF"/>
    <w:rsid w:val="005E3DFA"/>
    <w:rsid w:val="005E3E91"/>
    <w:rsid w:val="005E413E"/>
    <w:rsid w:val="005E4472"/>
    <w:rsid w:val="005E4993"/>
    <w:rsid w:val="005E49D2"/>
    <w:rsid w:val="005E4C54"/>
    <w:rsid w:val="005E50A3"/>
    <w:rsid w:val="005E53B1"/>
    <w:rsid w:val="005E5F08"/>
    <w:rsid w:val="005E624F"/>
    <w:rsid w:val="005E6310"/>
    <w:rsid w:val="005E6345"/>
    <w:rsid w:val="005E6A4A"/>
    <w:rsid w:val="005E6E28"/>
    <w:rsid w:val="005E6F56"/>
    <w:rsid w:val="005E70BF"/>
    <w:rsid w:val="005E7138"/>
    <w:rsid w:val="005E7198"/>
    <w:rsid w:val="005E7469"/>
    <w:rsid w:val="005E7597"/>
    <w:rsid w:val="005E7F5E"/>
    <w:rsid w:val="005E7FBE"/>
    <w:rsid w:val="005F0199"/>
    <w:rsid w:val="005F05A3"/>
    <w:rsid w:val="005F0AAA"/>
    <w:rsid w:val="005F0BDC"/>
    <w:rsid w:val="005F0D5F"/>
    <w:rsid w:val="005F1543"/>
    <w:rsid w:val="005F1B9D"/>
    <w:rsid w:val="005F1BE2"/>
    <w:rsid w:val="005F2169"/>
    <w:rsid w:val="005F22E5"/>
    <w:rsid w:val="005F2551"/>
    <w:rsid w:val="005F27D4"/>
    <w:rsid w:val="005F2842"/>
    <w:rsid w:val="005F2A04"/>
    <w:rsid w:val="005F2CD0"/>
    <w:rsid w:val="005F2E12"/>
    <w:rsid w:val="005F3045"/>
    <w:rsid w:val="005F3367"/>
    <w:rsid w:val="005F34A9"/>
    <w:rsid w:val="005F34CA"/>
    <w:rsid w:val="005F363B"/>
    <w:rsid w:val="005F3B55"/>
    <w:rsid w:val="005F4036"/>
    <w:rsid w:val="005F4405"/>
    <w:rsid w:val="005F44DB"/>
    <w:rsid w:val="005F4905"/>
    <w:rsid w:val="005F4D04"/>
    <w:rsid w:val="005F4F0A"/>
    <w:rsid w:val="005F5427"/>
    <w:rsid w:val="005F5473"/>
    <w:rsid w:val="005F55F9"/>
    <w:rsid w:val="005F5A02"/>
    <w:rsid w:val="005F5B4C"/>
    <w:rsid w:val="005F5F76"/>
    <w:rsid w:val="005F5FA1"/>
    <w:rsid w:val="005F5FE2"/>
    <w:rsid w:val="005F615A"/>
    <w:rsid w:val="005F62CB"/>
    <w:rsid w:val="005F6493"/>
    <w:rsid w:val="005F6613"/>
    <w:rsid w:val="005F6691"/>
    <w:rsid w:val="005F6710"/>
    <w:rsid w:val="005F68A6"/>
    <w:rsid w:val="005F696B"/>
    <w:rsid w:val="005F6A0E"/>
    <w:rsid w:val="005F7356"/>
    <w:rsid w:val="005F74EC"/>
    <w:rsid w:val="005F7B7D"/>
    <w:rsid w:val="005F7C63"/>
    <w:rsid w:val="005F7E79"/>
    <w:rsid w:val="005F7E87"/>
    <w:rsid w:val="005F7EFA"/>
    <w:rsid w:val="005F7F2E"/>
    <w:rsid w:val="006000BC"/>
    <w:rsid w:val="00600126"/>
    <w:rsid w:val="00600504"/>
    <w:rsid w:val="00600805"/>
    <w:rsid w:val="00600F7B"/>
    <w:rsid w:val="00601420"/>
    <w:rsid w:val="006022E9"/>
    <w:rsid w:val="006023C3"/>
    <w:rsid w:val="0060258C"/>
    <w:rsid w:val="00602835"/>
    <w:rsid w:val="0060294E"/>
    <w:rsid w:val="00602CD5"/>
    <w:rsid w:val="00602CE5"/>
    <w:rsid w:val="00602F2E"/>
    <w:rsid w:val="006034B1"/>
    <w:rsid w:val="00603743"/>
    <w:rsid w:val="006039D0"/>
    <w:rsid w:val="00603A8B"/>
    <w:rsid w:val="00603AC6"/>
    <w:rsid w:val="00603FDD"/>
    <w:rsid w:val="006041F3"/>
    <w:rsid w:val="0060427C"/>
    <w:rsid w:val="006046F1"/>
    <w:rsid w:val="00604724"/>
    <w:rsid w:val="00604863"/>
    <w:rsid w:val="006049C1"/>
    <w:rsid w:val="0060532C"/>
    <w:rsid w:val="006059FF"/>
    <w:rsid w:val="00605C3C"/>
    <w:rsid w:val="00605DCE"/>
    <w:rsid w:val="006060C9"/>
    <w:rsid w:val="0060643C"/>
    <w:rsid w:val="006065E6"/>
    <w:rsid w:val="00606647"/>
    <w:rsid w:val="00606827"/>
    <w:rsid w:val="00606CA7"/>
    <w:rsid w:val="00606F4C"/>
    <w:rsid w:val="006072BD"/>
    <w:rsid w:val="0060754F"/>
    <w:rsid w:val="00607802"/>
    <w:rsid w:val="00607883"/>
    <w:rsid w:val="006078EA"/>
    <w:rsid w:val="00607914"/>
    <w:rsid w:val="00607A9C"/>
    <w:rsid w:val="00607E12"/>
    <w:rsid w:val="00607E9C"/>
    <w:rsid w:val="00607F75"/>
    <w:rsid w:val="00610389"/>
    <w:rsid w:val="006104E1"/>
    <w:rsid w:val="00610655"/>
    <w:rsid w:val="00610937"/>
    <w:rsid w:val="00610DBF"/>
    <w:rsid w:val="00610FF6"/>
    <w:rsid w:val="00611458"/>
    <w:rsid w:val="00611508"/>
    <w:rsid w:val="006118E4"/>
    <w:rsid w:val="00611EBA"/>
    <w:rsid w:val="00611F37"/>
    <w:rsid w:val="0061255C"/>
    <w:rsid w:val="0061282E"/>
    <w:rsid w:val="006128E8"/>
    <w:rsid w:val="00612B2F"/>
    <w:rsid w:val="00612C28"/>
    <w:rsid w:val="00612CF0"/>
    <w:rsid w:val="00612EA6"/>
    <w:rsid w:val="00612EB3"/>
    <w:rsid w:val="00612F00"/>
    <w:rsid w:val="00613180"/>
    <w:rsid w:val="0061352E"/>
    <w:rsid w:val="0061369C"/>
    <w:rsid w:val="0061370C"/>
    <w:rsid w:val="006137DD"/>
    <w:rsid w:val="006137DE"/>
    <w:rsid w:val="00613978"/>
    <w:rsid w:val="00613B21"/>
    <w:rsid w:val="00613C96"/>
    <w:rsid w:val="00613F9D"/>
    <w:rsid w:val="006141B9"/>
    <w:rsid w:val="006141EB"/>
    <w:rsid w:val="0061448C"/>
    <w:rsid w:val="006145F3"/>
    <w:rsid w:val="00614CDF"/>
    <w:rsid w:val="00614FBB"/>
    <w:rsid w:val="00615214"/>
    <w:rsid w:val="00615429"/>
    <w:rsid w:val="00615665"/>
    <w:rsid w:val="00615815"/>
    <w:rsid w:val="00615F28"/>
    <w:rsid w:val="00615F4A"/>
    <w:rsid w:val="006163D8"/>
    <w:rsid w:val="00616785"/>
    <w:rsid w:val="00616AAB"/>
    <w:rsid w:val="00616C03"/>
    <w:rsid w:val="00616CED"/>
    <w:rsid w:val="00616DD0"/>
    <w:rsid w:val="00616ED0"/>
    <w:rsid w:val="00616F81"/>
    <w:rsid w:val="0061700D"/>
    <w:rsid w:val="00617343"/>
    <w:rsid w:val="00617586"/>
    <w:rsid w:val="00617617"/>
    <w:rsid w:val="006177C8"/>
    <w:rsid w:val="0062027A"/>
    <w:rsid w:val="006202EE"/>
    <w:rsid w:val="00620695"/>
    <w:rsid w:val="00620A53"/>
    <w:rsid w:val="00620A74"/>
    <w:rsid w:val="00620B6E"/>
    <w:rsid w:val="00620D4E"/>
    <w:rsid w:val="00620EAA"/>
    <w:rsid w:val="00621148"/>
    <w:rsid w:val="006218F4"/>
    <w:rsid w:val="006218FF"/>
    <w:rsid w:val="00621C4A"/>
    <w:rsid w:val="00621D76"/>
    <w:rsid w:val="00622188"/>
    <w:rsid w:val="006222F7"/>
    <w:rsid w:val="006225F5"/>
    <w:rsid w:val="00622A71"/>
    <w:rsid w:val="00623175"/>
    <w:rsid w:val="006232C8"/>
    <w:rsid w:val="0062399C"/>
    <w:rsid w:val="00623AC5"/>
    <w:rsid w:val="00623DDE"/>
    <w:rsid w:val="00624297"/>
    <w:rsid w:val="006243BD"/>
    <w:rsid w:val="006246E6"/>
    <w:rsid w:val="006249BF"/>
    <w:rsid w:val="00624A1E"/>
    <w:rsid w:val="00624CE6"/>
    <w:rsid w:val="00625085"/>
    <w:rsid w:val="006252EB"/>
    <w:rsid w:val="00625312"/>
    <w:rsid w:val="0062568F"/>
    <w:rsid w:val="0062596C"/>
    <w:rsid w:val="00625B3F"/>
    <w:rsid w:val="00626570"/>
    <w:rsid w:val="00626A11"/>
    <w:rsid w:val="00626AB6"/>
    <w:rsid w:val="00626E4D"/>
    <w:rsid w:val="0062708C"/>
    <w:rsid w:val="00627176"/>
    <w:rsid w:val="006271B3"/>
    <w:rsid w:val="006273B3"/>
    <w:rsid w:val="00627495"/>
    <w:rsid w:val="006275F1"/>
    <w:rsid w:val="0062764C"/>
    <w:rsid w:val="00627755"/>
    <w:rsid w:val="00627844"/>
    <w:rsid w:val="00627F56"/>
    <w:rsid w:val="006303C6"/>
    <w:rsid w:val="0063045C"/>
    <w:rsid w:val="006304B9"/>
    <w:rsid w:val="00630B7E"/>
    <w:rsid w:val="006310D1"/>
    <w:rsid w:val="006317A4"/>
    <w:rsid w:val="00631914"/>
    <w:rsid w:val="00631A55"/>
    <w:rsid w:val="00631BBF"/>
    <w:rsid w:val="00631C25"/>
    <w:rsid w:val="00631FA4"/>
    <w:rsid w:val="00631FF2"/>
    <w:rsid w:val="00632693"/>
    <w:rsid w:val="0063296A"/>
    <w:rsid w:val="00632BD7"/>
    <w:rsid w:val="00632E57"/>
    <w:rsid w:val="0063319D"/>
    <w:rsid w:val="00633522"/>
    <w:rsid w:val="00633A3A"/>
    <w:rsid w:val="00633D04"/>
    <w:rsid w:val="00633EB7"/>
    <w:rsid w:val="00634290"/>
    <w:rsid w:val="0063481B"/>
    <w:rsid w:val="0063483B"/>
    <w:rsid w:val="00634C01"/>
    <w:rsid w:val="00634C5A"/>
    <w:rsid w:val="00634DB5"/>
    <w:rsid w:val="0063522A"/>
    <w:rsid w:val="00635711"/>
    <w:rsid w:val="00635724"/>
    <w:rsid w:val="006358EB"/>
    <w:rsid w:val="006359E9"/>
    <w:rsid w:val="00635A3C"/>
    <w:rsid w:val="00635AC6"/>
    <w:rsid w:val="00635D40"/>
    <w:rsid w:val="00635D4E"/>
    <w:rsid w:val="00635EAC"/>
    <w:rsid w:val="00635FDB"/>
    <w:rsid w:val="006362B8"/>
    <w:rsid w:val="00636619"/>
    <w:rsid w:val="00636663"/>
    <w:rsid w:val="006366FF"/>
    <w:rsid w:val="00636759"/>
    <w:rsid w:val="006369E9"/>
    <w:rsid w:val="00636A09"/>
    <w:rsid w:val="00636F7C"/>
    <w:rsid w:val="006370B7"/>
    <w:rsid w:val="006374EE"/>
    <w:rsid w:val="00637510"/>
    <w:rsid w:val="006376DE"/>
    <w:rsid w:val="006378A4"/>
    <w:rsid w:val="00637A2B"/>
    <w:rsid w:val="00637A5C"/>
    <w:rsid w:val="0064003C"/>
    <w:rsid w:val="0064039E"/>
    <w:rsid w:val="00640426"/>
    <w:rsid w:val="006405BF"/>
    <w:rsid w:val="00640BD8"/>
    <w:rsid w:val="0064130A"/>
    <w:rsid w:val="00641345"/>
    <w:rsid w:val="00641FF6"/>
    <w:rsid w:val="006424C1"/>
    <w:rsid w:val="006427B9"/>
    <w:rsid w:val="006427C7"/>
    <w:rsid w:val="006429D2"/>
    <w:rsid w:val="00642F2C"/>
    <w:rsid w:val="00643090"/>
    <w:rsid w:val="00643401"/>
    <w:rsid w:val="0064350C"/>
    <w:rsid w:val="006437E0"/>
    <w:rsid w:val="00643A30"/>
    <w:rsid w:val="00643BBA"/>
    <w:rsid w:val="00643DB7"/>
    <w:rsid w:val="00643E27"/>
    <w:rsid w:val="00643EDC"/>
    <w:rsid w:val="00644515"/>
    <w:rsid w:val="0064471A"/>
    <w:rsid w:val="00644A41"/>
    <w:rsid w:val="00644A51"/>
    <w:rsid w:val="00644E65"/>
    <w:rsid w:val="00645030"/>
    <w:rsid w:val="0064515B"/>
    <w:rsid w:val="006451CA"/>
    <w:rsid w:val="0064531C"/>
    <w:rsid w:val="00645629"/>
    <w:rsid w:val="006457B7"/>
    <w:rsid w:val="0064582D"/>
    <w:rsid w:val="00645854"/>
    <w:rsid w:val="00645E43"/>
    <w:rsid w:val="00646129"/>
    <w:rsid w:val="0064669B"/>
    <w:rsid w:val="00646DC8"/>
    <w:rsid w:val="00646E69"/>
    <w:rsid w:val="00647008"/>
    <w:rsid w:val="00647288"/>
    <w:rsid w:val="00647450"/>
    <w:rsid w:val="006474EE"/>
    <w:rsid w:val="00647535"/>
    <w:rsid w:val="00647AE7"/>
    <w:rsid w:val="006500AC"/>
    <w:rsid w:val="00650405"/>
    <w:rsid w:val="0065051F"/>
    <w:rsid w:val="00650A6A"/>
    <w:rsid w:val="00650D5C"/>
    <w:rsid w:val="00650D66"/>
    <w:rsid w:val="00650DF8"/>
    <w:rsid w:val="00650E1A"/>
    <w:rsid w:val="00651138"/>
    <w:rsid w:val="00651431"/>
    <w:rsid w:val="00651444"/>
    <w:rsid w:val="00651BB0"/>
    <w:rsid w:val="00651ED2"/>
    <w:rsid w:val="00651FC3"/>
    <w:rsid w:val="006520B9"/>
    <w:rsid w:val="0065212C"/>
    <w:rsid w:val="0065225D"/>
    <w:rsid w:val="00652342"/>
    <w:rsid w:val="0065234A"/>
    <w:rsid w:val="00652691"/>
    <w:rsid w:val="006529F4"/>
    <w:rsid w:val="00652BFE"/>
    <w:rsid w:val="00652EED"/>
    <w:rsid w:val="00653A77"/>
    <w:rsid w:val="00653C64"/>
    <w:rsid w:val="00653DBF"/>
    <w:rsid w:val="00653DE1"/>
    <w:rsid w:val="00653ECA"/>
    <w:rsid w:val="00654269"/>
    <w:rsid w:val="006544C5"/>
    <w:rsid w:val="00654BF2"/>
    <w:rsid w:val="00654D4A"/>
    <w:rsid w:val="006552A6"/>
    <w:rsid w:val="00655456"/>
    <w:rsid w:val="006557BC"/>
    <w:rsid w:val="0065591C"/>
    <w:rsid w:val="00655BDF"/>
    <w:rsid w:val="00655DBA"/>
    <w:rsid w:val="00655E64"/>
    <w:rsid w:val="00656037"/>
    <w:rsid w:val="00656172"/>
    <w:rsid w:val="0065642D"/>
    <w:rsid w:val="0065681D"/>
    <w:rsid w:val="006569D8"/>
    <w:rsid w:val="00656D60"/>
    <w:rsid w:val="00656EF3"/>
    <w:rsid w:val="006570A3"/>
    <w:rsid w:val="0065716B"/>
    <w:rsid w:val="00657171"/>
    <w:rsid w:val="00657172"/>
    <w:rsid w:val="006572B8"/>
    <w:rsid w:val="00657402"/>
    <w:rsid w:val="006574D3"/>
    <w:rsid w:val="0065789E"/>
    <w:rsid w:val="0066045E"/>
    <w:rsid w:val="006608C8"/>
    <w:rsid w:val="00660AC1"/>
    <w:rsid w:val="00660B20"/>
    <w:rsid w:val="00660C45"/>
    <w:rsid w:val="00660DC6"/>
    <w:rsid w:val="006612A1"/>
    <w:rsid w:val="00661AF6"/>
    <w:rsid w:val="00661BF7"/>
    <w:rsid w:val="00662AD9"/>
    <w:rsid w:val="00662D20"/>
    <w:rsid w:val="00662FE8"/>
    <w:rsid w:val="00663105"/>
    <w:rsid w:val="006631CC"/>
    <w:rsid w:val="00663421"/>
    <w:rsid w:val="0066345E"/>
    <w:rsid w:val="00663BFD"/>
    <w:rsid w:val="00663C10"/>
    <w:rsid w:val="00663D3A"/>
    <w:rsid w:val="00663D77"/>
    <w:rsid w:val="00663DB8"/>
    <w:rsid w:val="00663F03"/>
    <w:rsid w:val="00664212"/>
    <w:rsid w:val="00664338"/>
    <w:rsid w:val="00664759"/>
    <w:rsid w:val="0066475F"/>
    <w:rsid w:val="006647C2"/>
    <w:rsid w:val="00665034"/>
    <w:rsid w:val="006650F5"/>
    <w:rsid w:val="00665622"/>
    <w:rsid w:val="006656A1"/>
    <w:rsid w:val="0066598D"/>
    <w:rsid w:val="006659D2"/>
    <w:rsid w:val="00666028"/>
    <w:rsid w:val="00666453"/>
    <w:rsid w:val="00666596"/>
    <w:rsid w:val="006665F9"/>
    <w:rsid w:val="00666C89"/>
    <w:rsid w:val="00666CD5"/>
    <w:rsid w:val="00667166"/>
    <w:rsid w:val="0067084D"/>
    <w:rsid w:val="0067087D"/>
    <w:rsid w:val="006708AE"/>
    <w:rsid w:val="00670B38"/>
    <w:rsid w:val="00670DEB"/>
    <w:rsid w:val="00670F20"/>
    <w:rsid w:val="00671495"/>
    <w:rsid w:val="00671849"/>
    <w:rsid w:val="00671943"/>
    <w:rsid w:val="00671BB9"/>
    <w:rsid w:val="00671C5D"/>
    <w:rsid w:val="00671CE4"/>
    <w:rsid w:val="00671D29"/>
    <w:rsid w:val="00671EEC"/>
    <w:rsid w:val="00671EF1"/>
    <w:rsid w:val="00671F8E"/>
    <w:rsid w:val="00672007"/>
    <w:rsid w:val="0067207D"/>
    <w:rsid w:val="006721C9"/>
    <w:rsid w:val="0067241D"/>
    <w:rsid w:val="006726A9"/>
    <w:rsid w:val="006727A3"/>
    <w:rsid w:val="006727DA"/>
    <w:rsid w:val="006729D0"/>
    <w:rsid w:val="00672FD5"/>
    <w:rsid w:val="00673098"/>
    <w:rsid w:val="0067344C"/>
    <w:rsid w:val="0067354A"/>
    <w:rsid w:val="006737EF"/>
    <w:rsid w:val="00673831"/>
    <w:rsid w:val="00673B2E"/>
    <w:rsid w:val="00673EC3"/>
    <w:rsid w:val="00674571"/>
    <w:rsid w:val="00674578"/>
    <w:rsid w:val="006746FA"/>
    <w:rsid w:val="00674E96"/>
    <w:rsid w:val="00675639"/>
    <w:rsid w:val="00675698"/>
    <w:rsid w:val="0067593A"/>
    <w:rsid w:val="00675B66"/>
    <w:rsid w:val="00675FA2"/>
    <w:rsid w:val="0067624B"/>
    <w:rsid w:val="00676485"/>
    <w:rsid w:val="006765B7"/>
    <w:rsid w:val="00676AA9"/>
    <w:rsid w:val="00676EF7"/>
    <w:rsid w:val="00677FFD"/>
    <w:rsid w:val="0068031B"/>
    <w:rsid w:val="0068052F"/>
    <w:rsid w:val="00680A02"/>
    <w:rsid w:val="00680CFA"/>
    <w:rsid w:val="00680DD5"/>
    <w:rsid w:val="00680F50"/>
    <w:rsid w:val="006813F0"/>
    <w:rsid w:val="0068143E"/>
    <w:rsid w:val="00681A6B"/>
    <w:rsid w:val="00681AD1"/>
    <w:rsid w:val="00681DAC"/>
    <w:rsid w:val="00682659"/>
    <w:rsid w:val="0068276E"/>
    <w:rsid w:val="006827CF"/>
    <w:rsid w:val="00682AFA"/>
    <w:rsid w:val="00682BEF"/>
    <w:rsid w:val="00682C7B"/>
    <w:rsid w:val="00683352"/>
    <w:rsid w:val="00683745"/>
    <w:rsid w:val="0068380E"/>
    <w:rsid w:val="006838D8"/>
    <w:rsid w:val="006839E2"/>
    <w:rsid w:val="00683A3E"/>
    <w:rsid w:val="00683F94"/>
    <w:rsid w:val="006841A9"/>
    <w:rsid w:val="0068466F"/>
    <w:rsid w:val="00684B17"/>
    <w:rsid w:val="00684C07"/>
    <w:rsid w:val="00685383"/>
    <w:rsid w:val="00685463"/>
    <w:rsid w:val="00685593"/>
    <w:rsid w:val="006859E3"/>
    <w:rsid w:val="00685AB3"/>
    <w:rsid w:val="00685C9F"/>
    <w:rsid w:val="00685DB3"/>
    <w:rsid w:val="00685FDE"/>
    <w:rsid w:val="0068601B"/>
    <w:rsid w:val="006861FE"/>
    <w:rsid w:val="0068630B"/>
    <w:rsid w:val="00686828"/>
    <w:rsid w:val="00686A56"/>
    <w:rsid w:val="00686BFD"/>
    <w:rsid w:val="00686DE2"/>
    <w:rsid w:val="00686F2E"/>
    <w:rsid w:val="00687114"/>
    <w:rsid w:val="00687602"/>
    <w:rsid w:val="00687AD5"/>
    <w:rsid w:val="00687D08"/>
    <w:rsid w:val="0069013D"/>
    <w:rsid w:val="00690157"/>
    <w:rsid w:val="006902C4"/>
    <w:rsid w:val="0069047C"/>
    <w:rsid w:val="00690809"/>
    <w:rsid w:val="00691186"/>
    <w:rsid w:val="006911F3"/>
    <w:rsid w:val="006912CD"/>
    <w:rsid w:val="006912E9"/>
    <w:rsid w:val="006915F8"/>
    <w:rsid w:val="00691ECA"/>
    <w:rsid w:val="006920A2"/>
    <w:rsid w:val="006926DE"/>
    <w:rsid w:val="006929B2"/>
    <w:rsid w:val="00693541"/>
    <w:rsid w:val="006935C4"/>
    <w:rsid w:val="00693709"/>
    <w:rsid w:val="00693750"/>
    <w:rsid w:val="0069383A"/>
    <w:rsid w:val="006938A3"/>
    <w:rsid w:val="0069391E"/>
    <w:rsid w:val="006942BF"/>
    <w:rsid w:val="006944FB"/>
    <w:rsid w:val="00694AB0"/>
    <w:rsid w:val="00694F63"/>
    <w:rsid w:val="00695914"/>
    <w:rsid w:val="00695B25"/>
    <w:rsid w:val="0069628F"/>
    <w:rsid w:val="006965A3"/>
    <w:rsid w:val="00696C1C"/>
    <w:rsid w:val="00696C24"/>
    <w:rsid w:val="006973C8"/>
    <w:rsid w:val="006974D1"/>
    <w:rsid w:val="00697C4E"/>
    <w:rsid w:val="00697D33"/>
    <w:rsid w:val="006A0327"/>
    <w:rsid w:val="006A04CF"/>
    <w:rsid w:val="006A0557"/>
    <w:rsid w:val="006A075F"/>
    <w:rsid w:val="006A0982"/>
    <w:rsid w:val="006A0B78"/>
    <w:rsid w:val="006A1010"/>
    <w:rsid w:val="006A1128"/>
    <w:rsid w:val="006A11D5"/>
    <w:rsid w:val="006A12F5"/>
    <w:rsid w:val="006A138B"/>
    <w:rsid w:val="006A156E"/>
    <w:rsid w:val="006A1B10"/>
    <w:rsid w:val="006A21A4"/>
    <w:rsid w:val="006A25E9"/>
    <w:rsid w:val="006A27C9"/>
    <w:rsid w:val="006A2847"/>
    <w:rsid w:val="006A287D"/>
    <w:rsid w:val="006A2896"/>
    <w:rsid w:val="006A28F4"/>
    <w:rsid w:val="006A2A69"/>
    <w:rsid w:val="006A2D29"/>
    <w:rsid w:val="006A2D39"/>
    <w:rsid w:val="006A2D64"/>
    <w:rsid w:val="006A3308"/>
    <w:rsid w:val="006A3745"/>
    <w:rsid w:val="006A395C"/>
    <w:rsid w:val="006A3D46"/>
    <w:rsid w:val="006A3F47"/>
    <w:rsid w:val="006A4081"/>
    <w:rsid w:val="006A4165"/>
    <w:rsid w:val="006A41C2"/>
    <w:rsid w:val="006A4C99"/>
    <w:rsid w:val="006A4D37"/>
    <w:rsid w:val="006A4D73"/>
    <w:rsid w:val="006A4E19"/>
    <w:rsid w:val="006A4EE4"/>
    <w:rsid w:val="006A55D8"/>
    <w:rsid w:val="006A5604"/>
    <w:rsid w:val="006A5947"/>
    <w:rsid w:val="006A5C74"/>
    <w:rsid w:val="006A5D73"/>
    <w:rsid w:val="006A5DE7"/>
    <w:rsid w:val="006A5E1C"/>
    <w:rsid w:val="006A5FD1"/>
    <w:rsid w:val="006A6034"/>
    <w:rsid w:val="006A61EE"/>
    <w:rsid w:val="006A66B1"/>
    <w:rsid w:val="006A6C35"/>
    <w:rsid w:val="006A7180"/>
    <w:rsid w:val="006A75E5"/>
    <w:rsid w:val="006A75ED"/>
    <w:rsid w:val="006A7840"/>
    <w:rsid w:val="006A7D2E"/>
    <w:rsid w:val="006A7EFC"/>
    <w:rsid w:val="006A7FAE"/>
    <w:rsid w:val="006B00CE"/>
    <w:rsid w:val="006B04BB"/>
    <w:rsid w:val="006B0675"/>
    <w:rsid w:val="006B0706"/>
    <w:rsid w:val="006B0A5E"/>
    <w:rsid w:val="006B0D41"/>
    <w:rsid w:val="006B168B"/>
    <w:rsid w:val="006B179C"/>
    <w:rsid w:val="006B17A4"/>
    <w:rsid w:val="006B18A4"/>
    <w:rsid w:val="006B1A5D"/>
    <w:rsid w:val="006B1A85"/>
    <w:rsid w:val="006B20C9"/>
    <w:rsid w:val="006B214E"/>
    <w:rsid w:val="006B2A12"/>
    <w:rsid w:val="006B2D30"/>
    <w:rsid w:val="006B2EC2"/>
    <w:rsid w:val="006B3063"/>
    <w:rsid w:val="006B30F4"/>
    <w:rsid w:val="006B34BF"/>
    <w:rsid w:val="006B35DD"/>
    <w:rsid w:val="006B38C1"/>
    <w:rsid w:val="006B3918"/>
    <w:rsid w:val="006B3D81"/>
    <w:rsid w:val="006B3E8E"/>
    <w:rsid w:val="006B3F0F"/>
    <w:rsid w:val="006B41E4"/>
    <w:rsid w:val="006B468D"/>
    <w:rsid w:val="006B46E4"/>
    <w:rsid w:val="006B4B5B"/>
    <w:rsid w:val="006B509F"/>
    <w:rsid w:val="006B5415"/>
    <w:rsid w:val="006B56ED"/>
    <w:rsid w:val="006B57F7"/>
    <w:rsid w:val="006B590F"/>
    <w:rsid w:val="006B5DC9"/>
    <w:rsid w:val="006B5DF1"/>
    <w:rsid w:val="006B60D8"/>
    <w:rsid w:val="006B60E4"/>
    <w:rsid w:val="006B61E2"/>
    <w:rsid w:val="006B6955"/>
    <w:rsid w:val="006B6C14"/>
    <w:rsid w:val="006B6E8E"/>
    <w:rsid w:val="006B6EB9"/>
    <w:rsid w:val="006B6EDB"/>
    <w:rsid w:val="006B70FB"/>
    <w:rsid w:val="006B71F3"/>
    <w:rsid w:val="006B7212"/>
    <w:rsid w:val="006B72DF"/>
    <w:rsid w:val="006B7685"/>
    <w:rsid w:val="006B7D87"/>
    <w:rsid w:val="006C0192"/>
    <w:rsid w:val="006C09EF"/>
    <w:rsid w:val="006C0B86"/>
    <w:rsid w:val="006C0B9B"/>
    <w:rsid w:val="006C1117"/>
    <w:rsid w:val="006C11A3"/>
    <w:rsid w:val="006C12E0"/>
    <w:rsid w:val="006C1374"/>
    <w:rsid w:val="006C141C"/>
    <w:rsid w:val="006C1A91"/>
    <w:rsid w:val="006C1C1D"/>
    <w:rsid w:val="006C1D98"/>
    <w:rsid w:val="006C1D9D"/>
    <w:rsid w:val="006C1F5A"/>
    <w:rsid w:val="006C23AF"/>
    <w:rsid w:val="006C2572"/>
    <w:rsid w:val="006C26C2"/>
    <w:rsid w:val="006C2C28"/>
    <w:rsid w:val="006C2C39"/>
    <w:rsid w:val="006C2DD5"/>
    <w:rsid w:val="006C2F2D"/>
    <w:rsid w:val="006C33C0"/>
    <w:rsid w:val="006C360F"/>
    <w:rsid w:val="006C3643"/>
    <w:rsid w:val="006C3782"/>
    <w:rsid w:val="006C38A8"/>
    <w:rsid w:val="006C3EFC"/>
    <w:rsid w:val="006C3F6A"/>
    <w:rsid w:val="006C40DA"/>
    <w:rsid w:val="006C4696"/>
    <w:rsid w:val="006C4961"/>
    <w:rsid w:val="006C49B2"/>
    <w:rsid w:val="006C5075"/>
    <w:rsid w:val="006C5330"/>
    <w:rsid w:val="006C53A8"/>
    <w:rsid w:val="006C53F4"/>
    <w:rsid w:val="006C5861"/>
    <w:rsid w:val="006C5890"/>
    <w:rsid w:val="006C5973"/>
    <w:rsid w:val="006C597F"/>
    <w:rsid w:val="006C5B9B"/>
    <w:rsid w:val="006C5DD9"/>
    <w:rsid w:val="006C6418"/>
    <w:rsid w:val="006C6445"/>
    <w:rsid w:val="006C67E1"/>
    <w:rsid w:val="006C6AA9"/>
    <w:rsid w:val="006C6B41"/>
    <w:rsid w:val="006C6F75"/>
    <w:rsid w:val="006C7123"/>
    <w:rsid w:val="006C7429"/>
    <w:rsid w:val="006C77B5"/>
    <w:rsid w:val="006C78D5"/>
    <w:rsid w:val="006C7998"/>
    <w:rsid w:val="006C7C66"/>
    <w:rsid w:val="006C7C78"/>
    <w:rsid w:val="006C7E87"/>
    <w:rsid w:val="006C7EE3"/>
    <w:rsid w:val="006C7EF4"/>
    <w:rsid w:val="006D0187"/>
    <w:rsid w:val="006D0279"/>
    <w:rsid w:val="006D04A1"/>
    <w:rsid w:val="006D0504"/>
    <w:rsid w:val="006D07AB"/>
    <w:rsid w:val="006D0B2B"/>
    <w:rsid w:val="006D0B30"/>
    <w:rsid w:val="006D0C3F"/>
    <w:rsid w:val="006D0E3C"/>
    <w:rsid w:val="006D0F1B"/>
    <w:rsid w:val="006D14FE"/>
    <w:rsid w:val="006D1B91"/>
    <w:rsid w:val="006D1C12"/>
    <w:rsid w:val="006D1C79"/>
    <w:rsid w:val="006D1E12"/>
    <w:rsid w:val="006D1E1B"/>
    <w:rsid w:val="006D2667"/>
    <w:rsid w:val="006D266F"/>
    <w:rsid w:val="006D2D4B"/>
    <w:rsid w:val="006D2EB2"/>
    <w:rsid w:val="006D2F68"/>
    <w:rsid w:val="006D3089"/>
    <w:rsid w:val="006D3102"/>
    <w:rsid w:val="006D3186"/>
    <w:rsid w:val="006D3324"/>
    <w:rsid w:val="006D3C1B"/>
    <w:rsid w:val="006D3E30"/>
    <w:rsid w:val="006D3EC5"/>
    <w:rsid w:val="006D3F7C"/>
    <w:rsid w:val="006D426F"/>
    <w:rsid w:val="006D427B"/>
    <w:rsid w:val="006D44C3"/>
    <w:rsid w:val="006D4786"/>
    <w:rsid w:val="006D4D0C"/>
    <w:rsid w:val="006D4EC2"/>
    <w:rsid w:val="006D4F2A"/>
    <w:rsid w:val="006D5772"/>
    <w:rsid w:val="006D5796"/>
    <w:rsid w:val="006D5A41"/>
    <w:rsid w:val="006D5B63"/>
    <w:rsid w:val="006D6319"/>
    <w:rsid w:val="006D682C"/>
    <w:rsid w:val="006D6920"/>
    <w:rsid w:val="006D6C14"/>
    <w:rsid w:val="006D6ED4"/>
    <w:rsid w:val="006D7030"/>
    <w:rsid w:val="006D72D1"/>
    <w:rsid w:val="006D7323"/>
    <w:rsid w:val="006D73C5"/>
    <w:rsid w:val="006D75DB"/>
    <w:rsid w:val="006D765C"/>
    <w:rsid w:val="006D7715"/>
    <w:rsid w:val="006D7777"/>
    <w:rsid w:val="006D7B43"/>
    <w:rsid w:val="006D7B72"/>
    <w:rsid w:val="006D7CFE"/>
    <w:rsid w:val="006D7D93"/>
    <w:rsid w:val="006E03C0"/>
    <w:rsid w:val="006E0516"/>
    <w:rsid w:val="006E0BA8"/>
    <w:rsid w:val="006E160A"/>
    <w:rsid w:val="006E18CD"/>
    <w:rsid w:val="006E19C2"/>
    <w:rsid w:val="006E1B12"/>
    <w:rsid w:val="006E1C8E"/>
    <w:rsid w:val="006E2435"/>
    <w:rsid w:val="006E24C8"/>
    <w:rsid w:val="006E26FA"/>
    <w:rsid w:val="006E293E"/>
    <w:rsid w:val="006E2AB4"/>
    <w:rsid w:val="006E2D7B"/>
    <w:rsid w:val="006E2D9C"/>
    <w:rsid w:val="006E2E6D"/>
    <w:rsid w:val="006E3038"/>
    <w:rsid w:val="006E324A"/>
    <w:rsid w:val="006E3696"/>
    <w:rsid w:val="006E3766"/>
    <w:rsid w:val="006E37E9"/>
    <w:rsid w:val="006E3914"/>
    <w:rsid w:val="006E3A90"/>
    <w:rsid w:val="006E3D28"/>
    <w:rsid w:val="006E3E88"/>
    <w:rsid w:val="006E3E8C"/>
    <w:rsid w:val="006E3EF5"/>
    <w:rsid w:val="006E3F1B"/>
    <w:rsid w:val="006E4DB5"/>
    <w:rsid w:val="006E4DBA"/>
    <w:rsid w:val="006E4E03"/>
    <w:rsid w:val="006E50C0"/>
    <w:rsid w:val="006E51FA"/>
    <w:rsid w:val="006E5514"/>
    <w:rsid w:val="006E586A"/>
    <w:rsid w:val="006E58DB"/>
    <w:rsid w:val="006E5B08"/>
    <w:rsid w:val="006E5EE2"/>
    <w:rsid w:val="006E5F44"/>
    <w:rsid w:val="006E5FFB"/>
    <w:rsid w:val="006E658A"/>
    <w:rsid w:val="006E6673"/>
    <w:rsid w:val="006E66DD"/>
    <w:rsid w:val="006E6744"/>
    <w:rsid w:val="006E6D9F"/>
    <w:rsid w:val="006E6F0B"/>
    <w:rsid w:val="006E6FF5"/>
    <w:rsid w:val="006E71B3"/>
    <w:rsid w:val="006E74E9"/>
    <w:rsid w:val="006E7BFC"/>
    <w:rsid w:val="006E7D0F"/>
    <w:rsid w:val="006E7FE9"/>
    <w:rsid w:val="006F019A"/>
    <w:rsid w:val="006F08BD"/>
    <w:rsid w:val="006F09CF"/>
    <w:rsid w:val="006F1320"/>
    <w:rsid w:val="006F15DE"/>
    <w:rsid w:val="006F1B02"/>
    <w:rsid w:val="006F1CFB"/>
    <w:rsid w:val="006F21E2"/>
    <w:rsid w:val="006F2476"/>
    <w:rsid w:val="006F2883"/>
    <w:rsid w:val="006F28BA"/>
    <w:rsid w:val="006F299E"/>
    <w:rsid w:val="006F2B3E"/>
    <w:rsid w:val="006F2C41"/>
    <w:rsid w:val="006F32E6"/>
    <w:rsid w:val="006F33CC"/>
    <w:rsid w:val="006F3697"/>
    <w:rsid w:val="006F37B9"/>
    <w:rsid w:val="006F390A"/>
    <w:rsid w:val="006F396B"/>
    <w:rsid w:val="006F3CE3"/>
    <w:rsid w:val="006F42DC"/>
    <w:rsid w:val="006F44F0"/>
    <w:rsid w:val="006F4744"/>
    <w:rsid w:val="006F4755"/>
    <w:rsid w:val="006F4815"/>
    <w:rsid w:val="006F4A63"/>
    <w:rsid w:val="006F4C3D"/>
    <w:rsid w:val="006F4C8B"/>
    <w:rsid w:val="006F4E6E"/>
    <w:rsid w:val="006F4F38"/>
    <w:rsid w:val="006F5B02"/>
    <w:rsid w:val="006F5B3D"/>
    <w:rsid w:val="006F5C39"/>
    <w:rsid w:val="006F6038"/>
    <w:rsid w:val="006F6754"/>
    <w:rsid w:val="006F6E07"/>
    <w:rsid w:val="006F6F51"/>
    <w:rsid w:val="006F7026"/>
    <w:rsid w:val="006F73EF"/>
    <w:rsid w:val="006F768C"/>
    <w:rsid w:val="006F7AF3"/>
    <w:rsid w:val="006F7D34"/>
    <w:rsid w:val="007001C1"/>
    <w:rsid w:val="007003AE"/>
    <w:rsid w:val="007003FE"/>
    <w:rsid w:val="00700734"/>
    <w:rsid w:val="0070081A"/>
    <w:rsid w:val="00700850"/>
    <w:rsid w:val="00700AD0"/>
    <w:rsid w:val="00700C66"/>
    <w:rsid w:val="00701116"/>
    <w:rsid w:val="0070144A"/>
    <w:rsid w:val="0070144E"/>
    <w:rsid w:val="0070169A"/>
    <w:rsid w:val="00701762"/>
    <w:rsid w:val="007017A9"/>
    <w:rsid w:val="00701BEF"/>
    <w:rsid w:val="00701C1F"/>
    <w:rsid w:val="00701C8C"/>
    <w:rsid w:val="00701D94"/>
    <w:rsid w:val="00701E12"/>
    <w:rsid w:val="00702347"/>
    <w:rsid w:val="00702593"/>
    <w:rsid w:val="00702832"/>
    <w:rsid w:val="007031D8"/>
    <w:rsid w:val="00703393"/>
    <w:rsid w:val="0070340D"/>
    <w:rsid w:val="00703502"/>
    <w:rsid w:val="00703748"/>
    <w:rsid w:val="00703D62"/>
    <w:rsid w:val="0070432E"/>
    <w:rsid w:val="00704570"/>
    <w:rsid w:val="007045FC"/>
    <w:rsid w:val="007046D8"/>
    <w:rsid w:val="0070493B"/>
    <w:rsid w:val="00704C14"/>
    <w:rsid w:val="00705328"/>
    <w:rsid w:val="007057FE"/>
    <w:rsid w:val="00705931"/>
    <w:rsid w:val="00705AAD"/>
    <w:rsid w:val="00705ECA"/>
    <w:rsid w:val="00706134"/>
    <w:rsid w:val="00706664"/>
    <w:rsid w:val="0070699F"/>
    <w:rsid w:val="00706A3C"/>
    <w:rsid w:val="00706CB0"/>
    <w:rsid w:val="00706FF0"/>
    <w:rsid w:val="00707138"/>
    <w:rsid w:val="007074AE"/>
    <w:rsid w:val="00707535"/>
    <w:rsid w:val="007075A3"/>
    <w:rsid w:val="0070776A"/>
    <w:rsid w:val="00707937"/>
    <w:rsid w:val="00707B31"/>
    <w:rsid w:val="00707F40"/>
    <w:rsid w:val="00707F52"/>
    <w:rsid w:val="00707FAD"/>
    <w:rsid w:val="0071009A"/>
    <w:rsid w:val="00710302"/>
    <w:rsid w:val="00710553"/>
    <w:rsid w:val="00710686"/>
    <w:rsid w:val="0071075D"/>
    <w:rsid w:val="007117C0"/>
    <w:rsid w:val="0071197C"/>
    <w:rsid w:val="00711F5E"/>
    <w:rsid w:val="0071205F"/>
    <w:rsid w:val="007122BC"/>
    <w:rsid w:val="00712899"/>
    <w:rsid w:val="007128B1"/>
    <w:rsid w:val="007129D1"/>
    <w:rsid w:val="00712A02"/>
    <w:rsid w:val="00712C21"/>
    <w:rsid w:val="00713043"/>
    <w:rsid w:val="007132BF"/>
    <w:rsid w:val="00713538"/>
    <w:rsid w:val="00713962"/>
    <w:rsid w:val="007139BC"/>
    <w:rsid w:val="007139C1"/>
    <w:rsid w:val="00713BE5"/>
    <w:rsid w:val="00713E0F"/>
    <w:rsid w:val="00714040"/>
    <w:rsid w:val="00714075"/>
    <w:rsid w:val="00714E11"/>
    <w:rsid w:val="0071520C"/>
    <w:rsid w:val="00715528"/>
    <w:rsid w:val="00715538"/>
    <w:rsid w:val="0071561D"/>
    <w:rsid w:val="00715648"/>
    <w:rsid w:val="007156AA"/>
    <w:rsid w:val="00715721"/>
    <w:rsid w:val="00715914"/>
    <w:rsid w:val="00715A53"/>
    <w:rsid w:val="00716281"/>
    <w:rsid w:val="00716478"/>
    <w:rsid w:val="00716485"/>
    <w:rsid w:val="00716590"/>
    <w:rsid w:val="007168A3"/>
    <w:rsid w:val="00716CE8"/>
    <w:rsid w:val="0071741A"/>
    <w:rsid w:val="007174F5"/>
    <w:rsid w:val="0071764C"/>
    <w:rsid w:val="00717711"/>
    <w:rsid w:val="00717AA1"/>
    <w:rsid w:val="00717AFE"/>
    <w:rsid w:val="00720201"/>
    <w:rsid w:val="007202A5"/>
    <w:rsid w:val="007206D9"/>
    <w:rsid w:val="00720D1F"/>
    <w:rsid w:val="0072147A"/>
    <w:rsid w:val="00721C09"/>
    <w:rsid w:val="00722206"/>
    <w:rsid w:val="00722738"/>
    <w:rsid w:val="00722BF2"/>
    <w:rsid w:val="00722C53"/>
    <w:rsid w:val="00722C67"/>
    <w:rsid w:val="00723365"/>
    <w:rsid w:val="0072347F"/>
    <w:rsid w:val="007235D1"/>
    <w:rsid w:val="00723751"/>
    <w:rsid w:val="00723914"/>
    <w:rsid w:val="0072400F"/>
    <w:rsid w:val="00724479"/>
    <w:rsid w:val="0072477B"/>
    <w:rsid w:val="00724AA5"/>
    <w:rsid w:val="00724AF1"/>
    <w:rsid w:val="00724C26"/>
    <w:rsid w:val="00724EBD"/>
    <w:rsid w:val="00724FE5"/>
    <w:rsid w:val="00725151"/>
    <w:rsid w:val="0072535C"/>
    <w:rsid w:val="00725A66"/>
    <w:rsid w:val="00726101"/>
    <w:rsid w:val="007261BA"/>
    <w:rsid w:val="00726639"/>
    <w:rsid w:val="00726686"/>
    <w:rsid w:val="00726777"/>
    <w:rsid w:val="00726949"/>
    <w:rsid w:val="00726BC6"/>
    <w:rsid w:val="00726BD2"/>
    <w:rsid w:val="00726C9F"/>
    <w:rsid w:val="00726ED7"/>
    <w:rsid w:val="00726FBB"/>
    <w:rsid w:val="00727166"/>
    <w:rsid w:val="00727200"/>
    <w:rsid w:val="007272DB"/>
    <w:rsid w:val="00727662"/>
    <w:rsid w:val="007276D8"/>
    <w:rsid w:val="00727746"/>
    <w:rsid w:val="00727AA8"/>
    <w:rsid w:val="00730597"/>
    <w:rsid w:val="00730645"/>
    <w:rsid w:val="007307B3"/>
    <w:rsid w:val="00730815"/>
    <w:rsid w:val="00730A38"/>
    <w:rsid w:val="00730ABB"/>
    <w:rsid w:val="00730D96"/>
    <w:rsid w:val="007312BE"/>
    <w:rsid w:val="00731471"/>
    <w:rsid w:val="007316DB"/>
    <w:rsid w:val="007317AD"/>
    <w:rsid w:val="00731BE1"/>
    <w:rsid w:val="00731D7C"/>
    <w:rsid w:val="00731F5D"/>
    <w:rsid w:val="007321C8"/>
    <w:rsid w:val="007324D0"/>
    <w:rsid w:val="007326CC"/>
    <w:rsid w:val="00732BBD"/>
    <w:rsid w:val="00732C8E"/>
    <w:rsid w:val="00732D84"/>
    <w:rsid w:val="00732F23"/>
    <w:rsid w:val="0073334B"/>
    <w:rsid w:val="007335FD"/>
    <w:rsid w:val="007336A3"/>
    <w:rsid w:val="007337E9"/>
    <w:rsid w:val="007337EF"/>
    <w:rsid w:val="00733BA5"/>
    <w:rsid w:val="00733CBA"/>
    <w:rsid w:val="00734181"/>
    <w:rsid w:val="00734353"/>
    <w:rsid w:val="00734881"/>
    <w:rsid w:val="007348DE"/>
    <w:rsid w:val="00734999"/>
    <w:rsid w:val="00734C49"/>
    <w:rsid w:val="00734C56"/>
    <w:rsid w:val="0073533F"/>
    <w:rsid w:val="00735969"/>
    <w:rsid w:val="00735CA8"/>
    <w:rsid w:val="00735EFD"/>
    <w:rsid w:val="00735F79"/>
    <w:rsid w:val="00736182"/>
    <w:rsid w:val="007361D1"/>
    <w:rsid w:val="00736294"/>
    <w:rsid w:val="00736355"/>
    <w:rsid w:val="007368C5"/>
    <w:rsid w:val="00736910"/>
    <w:rsid w:val="00736911"/>
    <w:rsid w:val="00736D13"/>
    <w:rsid w:val="0073713A"/>
    <w:rsid w:val="0073717D"/>
    <w:rsid w:val="007373DA"/>
    <w:rsid w:val="0073741C"/>
    <w:rsid w:val="00737517"/>
    <w:rsid w:val="00737595"/>
    <w:rsid w:val="00737634"/>
    <w:rsid w:val="007379D5"/>
    <w:rsid w:val="00737A93"/>
    <w:rsid w:val="00737BEB"/>
    <w:rsid w:val="00737DC7"/>
    <w:rsid w:val="00737E3B"/>
    <w:rsid w:val="00740209"/>
    <w:rsid w:val="007402D3"/>
    <w:rsid w:val="007403CD"/>
    <w:rsid w:val="007404CF"/>
    <w:rsid w:val="00740861"/>
    <w:rsid w:val="00741957"/>
    <w:rsid w:val="00741B7F"/>
    <w:rsid w:val="00741D22"/>
    <w:rsid w:val="00741F25"/>
    <w:rsid w:val="00741F57"/>
    <w:rsid w:val="00741F7D"/>
    <w:rsid w:val="00741FD0"/>
    <w:rsid w:val="00742A54"/>
    <w:rsid w:val="00742A7C"/>
    <w:rsid w:val="00742D20"/>
    <w:rsid w:val="00742EC9"/>
    <w:rsid w:val="007430FB"/>
    <w:rsid w:val="00743200"/>
    <w:rsid w:val="007438B9"/>
    <w:rsid w:val="00743B1A"/>
    <w:rsid w:val="00743C98"/>
    <w:rsid w:val="00743D8F"/>
    <w:rsid w:val="00743EE6"/>
    <w:rsid w:val="007440C9"/>
    <w:rsid w:val="00744560"/>
    <w:rsid w:val="007445DE"/>
    <w:rsid w:val="007447FB"/>
    <w:rsid w:val="00744DDB"/>
    <w:rsid w:val="00744FD7"/>
    <w:rsid w:val="00744FFC"/>
    <w:rsid w:val="00745C1F"/>
    <w:rsid w:val="007461BF"/>
    <w:rsid w:val="00746C95"/>
    <w:rsid w:val="00747745"/>
    <w:rsid w:val="007477A1"/>
    <w:rsid w:val="00747B99"/>
    <w:rsid w:val="00747DCD"/>
    <w:rsid w:val="00747EBE"/>
    <w:rsid w:val="007507D0"/>
    <w:rsid w:val="00750E0D"/>
    <w:rsid w:val="00751795"/>
    <w:rsid w:val="00751A2A"/>
    <w:rsid w:val="00751D84"/>
    <w:rsid w:val="007521FB"/>
    <w:rsid w:val="007524E3"/>
    <w:rsid w:val="0075260F"/>
    <w:rsid w:val="00752BC6"/>
    <w:rsid w:val="00752BE4"/>
    <w:rsid w:val="00752C70"/>
    <w:rsid w:val="0075300F"/>
    <w:rsid w:val="0075336F"/>
    <w:rsid w:val="00753565"/>
    <w:rsid w:val="00754193"/>
    <w:rsid w:val="00754832"/>
    <w:rsid w:val="0075484D"/>
    <w:rsid w:val="00754BB2"/>
    <w:rsid w:val="00754CDB"/>
    <w:rsid w:val="00754CE3"/>
    <w:rsid w:val="007550F2"/>
    <w:rsid w:val="007551E7"/>
    <w:rsid w:val="00755FC5"/>
    <w:rsid w:val="00756067"/>
    <w:rsid w:val="00756597"/>
    <w:rsid w:val="007567A9"/>
    <w:rsid w:val="00756AB9"/>
    <w:rsid w:val="00756BF7"/>
    <w:rsid w:val="00756C5C"/>
    <w:rsid w:val="00756CA7"/>
    <w:rsid w:val="007572BA"/>
    <w:rsid w:val="007572E4"/>
    <w:rsid w:val="00757344"/>
    <w:rsid w:val="007575CF"/>
    <w:rsid w:val="00757842"/>
    <w:rsid w:val="00757B56"/>
    <w:rsid w:val="00757FD6"/>
    <w:rsid w:val="00760205"/>
    <w:rsid w:val="00760397"/>
    <w:rsid w:val="007604B9"/>
    <w:rsid w:val="0076068D"/>
    <w:rsid w:val="00760A25"/>
    <w:rsid w:val="00760B5A"/>
    <w:rsid w:val="00761840"/>
    <w:rsid w:val="00761C5D"/>
    <w:rsid w:val="00761F25"/>
    <w:rsid w:val="0076228E"/>
    <w:rsid w:val="007622E0"/>
    <w:rsid w:val="00762481"/>
    <w:rsid w:val="007624E9"/>
    <w:rsid w:val="00762551"/>
    <w:rsid w:val="007627B7"/>
    <w:rsid w:val="00762DE5"/>
    <w:rsid w:val="00762E7F"/>
    <w:rsid w:val="00762FA1"/>
    <w:rsid w:val="00762FD2"/>
    <w:rsid w:val="00763211"/>
    <w:rsid w:val="007633F8"/>
    <w:rsid w:val="007633FE"/>
    <w:rsid w:val="007635EB"/>
    <w:rsid w:val="00763617"/>
    <w:rsid w:val="00763722"/>
    <w:rsid w:val="0076386D"/>
    <w:rsid w:val="00763E15"/>
    <w:rsid w:val="0076430F"/>
    <w:rsid w:val="0076462E"/>
    <w:rsid w:val="007646A9"/>
    <w:rsid w:val="0076487A"/>
    <w:rsid w:val="007648C8"/>
    <w:rsid w:val="007649F1"/>
    <w:rsid w:val="00764B33"/>
    <w:rsid w:val="00764C78"/>
    <w:rsid w:val="00765118"/>
    <w:rsid w:val="007651F1"/>
    <w:rsid w:val="00765222"/>
    <w:rsid w:val="0076564E"/>
    <w:rsid w:val="00765778"/>
    <w:rsid w:val="0076592B"/>
    <w:rsid w:val="00765B24"/>
    <w:rsid w:val="00765BAD"/>
    <w:rsid w:val="00765BB7"/>
    <w:rsid w:val="00765C5E"/>
    <w:rsid w:val="00765EE7"/>
    <w:rsid w:val="00765F94"/>
    <w:rsid w:val="00766207"/>
    <w:rsid w:val="00766223"/>
    <w:rsid w:val="0076624A"/>
    <w:rsid w:val="007664DA"/>
    <w:rsid w:val="007666F5"/>
    <w:rsid w:val="007669BA"/>
    <w:rsid w:val="00766A70"/>
    <w:rsid w:val="00766B2B"/>
    <w:rsid w:val="0076703C"/>
    <w:rsid w:val="00767076"/>
    <w:rsid w:val="0076708F"/>
    <w:rsid w:val="007672D1"/>
    <w:rsid w:val="007673E7"/>
    <w:rsid w:val="00767666"/>
    <w:rsid w:val="00767895"/>
    <w:rsid w:val="00767E18"/>
    <w:rsid w:val="00767F08"/>
    <w:rsid w:val="00767F6D"/>
    <w:rsid w:val="00770053"/>
    <w:rsid w:val="007707CA"/>
    <w:rsid w:val="00770C22"/>
    <w:rsid w:val="00770DE8"/>
    <w:rsid w:val="00770EA6"/>
    <w:rsid w:val="00770F02"/>
    <w:rsid w:val="00771001"/>
    <w:rsid w:val="00771104"/>
    <w:rsid w:val="007711CF"/>
    <w:rsid w:val="00771A18"/>
    <w:rsid w:val="00771A3F"/>
    <w:rsid w:val="00771A61"/>
    <w:rsid w:val="00771BDB"/>
    <w:rsid w:val="00771E12"/>
    <w:rsid w:val="00772154"/>
    <w:rsid w:val="007724E9"/>
    <w:rsid w:val="0077272D"/>
    <w:rsid w:val="00772AC2"/>
    <w:rsid w:val="00772AC4"/>
    <w:rsid w:val="00772BBF"/>
    <w:rsid w:val="00772BF3"/>
    <w:rsid w:val="007730B0"/>
    <w:rsid w:val="007734C8"/>
    <w:rsid w:val="00773769"/>
    <w:rsid w:val="0077399A"/>
    <w:rsid w:val="00773A89"/>
    <w:rsid w:val="00773C2D"/>
    <w:rsid w:val="00773C8D"/>
    <w:rsid w:val="007742B2"/>
    <w:rsid w:val="00774E1B"/>
    <w:rsid w:val="00774ECE"/>
    <w:rsid w:val="00775494"/>
    <w:rsid w:val="00775809"/>
    <w:rsid w:val="00775965"/>
    <w:rsid w:val="00776003"/>
    <w:rsid w:val="00776075"/>
    <w:rsid w:val="00776723"/>
    <w:rsid w:val="0077678E"/>
    <w:rsid w:val="007768C2"/>
    <w:rsid w:val="007768E2"/>
    <w:rsid w:val="00776950"/>
    <w:rsid w:val="0077698B"/>
    <w:rsid w:val="00776995"/>
    <w:rsid w:val="007769B4"/>
    <w:rsid w:val="007770B1"/>
    <w:rsid w:val="0077719E"/>
    <w:rsid w:val="007771B6"/>
    <w:rsid w:val="007771C9"/>
    <w:rsid w:val="0077744D"/>
    <w:rsid w:val="00777A4F"/>
    <w:rsid w:val="00777E51"/>
    <w:rsid w:val="00777EB0"/>
    <w:rsid w:val="00780203"/>
    <w:rsid w:val="007806CB"/>
    <w:rsid w:val="0078083D"/>
    <w:rsid w:val="00780A9C"/>
    <w:rsid w:val="00780AC7"/>
    <w:rsid w:val="00781498"/>
    <w:rsid w:val="00781598"/>
    <w:rsid w:val="00781A79"/>
    <w:rsid w:val="00781C7F"/>
    <w:rsid w:val="007824EB"/>
    <w:rsid w:val="00782ADF"/>
    <w:rsid w:val="00782BE2"/>
    <w:rsid w:val="0078302A"/>
    <w:rsid w:val="007830FF"/>
    <w:rsid w:val="0078337C"/>
    <w:rsid w:val="00783418"/>
    <w:rsid w:val="007836A3"/>
    <w:rsid w:val="007837DE"/>
    <w:rsid w:val="00783D0A"/>
    <w:rsid w:val="00783D2E"/>
    <w:rsid w:val="00784251"/>
    <w:rsid w:val="0078425A"/>
    <w:rsid w:val="00784564"/>
    <w:rsid w:val="00784A0A"/>
    <w:rsid w:val="00784BCE"/>
    <w:rsid w:val="00784C1E"/>
    <w:rsid w:val="00784C98"/>
    <w:rsid w:val="00784D00"/>
    <w:rsid w:val="00785533"/>
    <w:rsid w:val="00785548"/>
    <w:rsid w:val="00785D41"/>
    <w:rsid w:val="00785FD4"/>
    <w:rsid w:val="00786076"/>
    <w:rsid w:val="0078642F"/>
    <w:rsid w:val="007865CE"/>
    <w:rsid w:val="007869DC"/>
    <w:rsid w:val="00786A39"/>
    <w:rsid w:val="00786CB8"/>
    <w:rsid w:val="00786E18"/>
    <w:rsid w:val="007871AE"/>
    <w:rsid w:val="00787469"/>
    <w:rsid w:val="007874D1"/>
    <w:rsid w:val="0078764D"/>
    <w:rsid w:val="00787BFA"/>
    <w:rsid w:val="00787FB2"/>
    <w:rsid w:val="007901DC"/>
    <w:rsid w:val="007907C5"/>
    <w:rsid w:val="00790B3E"/>
    <w:rsid w:val="00790BA5"/>
    <w:rsid w:val="00790BA7"/>
    <w:rsid w:val="00790FBA"/>
    <w:rsid w:val="00791016"/>
    <w:rsid w:val="00791040"/>
    <w:rsid w:val="00791657"/>
    <w:rsid w:val="0079185D"/>
    <w:rsid w:val="007918F1"/>
    <w:rsid w:val="00791E87"/>
    <w:rsid w:val="00792465"/>
    <w:rsid w:val="007924ED"/>
    <w:rsid w:val="0079297D"/>
    <w:rsid w:val="00792AED"/>
    <w:rsid w:val="00792B31"/>
    <w:rsid w:val="00792F3D"/>
    <w:rsid w:val="0079345C"/>
    <w:rsid w:val="0079360C"/>
    <w:rsid w:val="0079362B"/>
    <w:rsid w:val="00793899"/>
    <w:rsid w:val="00793DF2"/>
    <w:rsid w:val="00794322"/>
    <w:rsid w:val="0079496F"/>
    <w:rsid w:val="00794AF5"/>
    <w:rsid w:val="00794B7D"/>
    <w:rsid w:val="00794B98"/>
    <w:rsid w:val="00794D0E"/>
    <w:rsid w:val="00794D63"/>
    <w:rsid w:val="00795155"/>
    <w:rsid w:val="00795183"/>
    <w:rsid w:val="00795260"/>
    <w:rsid w:val="00795261"/>
    <w:rsid w:val="007952E2"/>
    <w:rsid w:val="00795B8A"/>
    <w:rsid w:val="00795D3A"/>
    <w:rsid w:val="00795D46"/>
    <w:rsid w:val="00795D7B"/>
    <w:rsid w:val="00795DB2"/>
    <w:rsid w:val="00795DDD"/>
    <w:rsid w:val="007963D2"/>
    <w:rsid w:val="00796581"/>
    <w:rsid w:val="007970D3"/>
    <w:rsid w:val="00797480"/>
    <w:rsid w:val="007975D5"/>
    <w:rsid w:val="00797667"/>
    <w:rsid w:val="007977B4"/>
    <w:rsid w:val="007978A9"/>
    <w:rsid w:val="007978D2"/>
    <w:rsid w:val="00797C4A"/>
    <w:rsid w:val="00797C86"/>
    <w:rsid w:val="00797D9C"/>
    <w:rsid w:val="00797FAC"/>
    <w:rsid w:val="00797FEC"/>
    <w:rsid w:val="007A0464"/>
    <w:rsid w:val="007A04CB"/>
    <w:rsid w:val="007A07B7"/>
    <w:rsid w:val="007A0887"/>
    <w:rsid w:val="007A0BF2"/>
    <w:rsid w:val="007A0D1F"/>
    <w:rsid w:val="007A0D64"/>
    <w:rsid w:val="007A0E8C"/>
    <w:rsid w:val="007A1018"/>
    <w:rsid w:val="007A12EA"/>
    <w:rsid w:val="007A1AA8"/>
    <w:rsid w:val="007A1AC1"/>
    <w:rsid w:val="007A1C58"/>
    <w:rsid w:val="007A20A4"/>
    <w:rsid w:val="007A21E9"/>
    <w:rsid w:val="007A2A6A"/>
    <w:rsid w:val="007A2BB2"/>
    <w:rsid w:val="007A2E0D"/>
    <w:rsid w:val="007A325E"/>
    <w:rsid w:val="007A3318"/>
    <w:rsid w:val="007A3490"/>
    <w:rsid w:val="007A3557"/>
    <w:rsid w:val="007A3567"/>
    <w:rsid w:val="007A35BC"/>
    <w:rsid w:val="007A3631"/>
    <w:rsid w:val="007A3691"/>
    <w:rsid w:val="007A42FE"/>
    <w:rsid w:val="007A4345"/>
    <w:rsid w:val="007A4833"/>
    <w:rsid w:val="007A493C"/>
    <w:rsid w:val="007A49AA"/>
    <w:rsid w:val="007A4A13"/>
    <w:rsid w:val="007A4D36"/>
    <w:rsid w:val="007A4E06"/>
    <w:rsid w:val="007A57ED"/>
    <w:rsid w:val="007A58D1"/>
    <w:rsid w:val="007A62E4"/>
    <w:rsid w:val="007A6ACC"/>
    <w:rsid w:val="007A7356"/>
    <w:rsid w:val="007A77E6"/>
    <w:rsid w:val="007B013F"/>
    <w:rsid w:val="007B027A"/>
    <w:rsid w:val="007B029C"/>
    <w:rsid w:val="007B03D7"/>
    <w:rsid w:val="007B04DC"/>
    <w:rsid w:val="007B0771"/>
    <w:rsid w:val="007B0FE3"/>
    <w:rsid w:val="007B1127"/>
    <w:rsid w:val="007B178F"/>
    <w:rsid w:val="007B19EB"/>
    <w:rsid w:val="007B1B71"/>
    <w:rsid w:val="007B2096"/>
    <w:rsid w:val="007B20F6"/>
    <w:rsid w:val="007B2622"/>
    <w:rsid w:val="007B26BF"/>
    <w:rsid w:val="007B299F"/>
    <w:rsid w:val="007B2A0B"/>
    <w:rsid w:val="007B2A17"/>
    <w:rsid w:val="007B2D51"/>
    <w:rsid w:val="007B316A"/>
    <w:rsid w:val="007B346B"/>
    <w:rsid w:val="007B35B5"/>
    <w:rsid w:val="007B36B5"/>
    <w:rsid w:val="007B3EF1"/>
    <w:rsid w:val="007B4117"/>
    <w:rsid w:val="007B419E"/>
    <w:rsid w:val="007B42E1"/>
    <w:rsid w:val="007B4BC8"/>
    <w:rsid w:val="007B4E2A"/>
    <w:rsid w:val="007B53F8"/>
    <w:rsid w:val="007B5631"/>
    <w:rsid w:val="007B5672"/>
    <w:rsid w:val="007B56BE"/>
    <w:rsid w:val="007B5795"/>
    <w:rsid w:val="007B5816"/>
    <w:rsid w:val="007B5A91"/>
    <w:rsid w:val="007B5C97"/>
    <w:rsid w:val="007B6084"/>
    <w:rsid w:val="007B6537"/>
    <w:rsid w:val="007B66A3"/>
    <w:rsid w:val="007B66E7"/>
    <w:rsid w:val="007B690D"/>
    <w:rsid w:val="007B6D4A"/>
    <w:rsid w:val="007B6FC6"/>
    <w:rsid w:val="007B720B"/>
    <w:rsid w:val="007B76DA"/>
    <w:rsid w:val="007B7832"/>
    <w:rsid w:val="007B7A0B"/>
    <w:rsid w:val="007B7B05"/>
    <w:rsid w:val="007B7CA3"/>
    <w:rsid w:val="007B7CB5"/>
    <w:rsid w:val="007B7CCD"/>
    <w:rsid w:val="007B7FE9"/>
    <w:rsid w:val="007C01C3"/>
    <w:rsid w:val="007C033F"/>
    <w:rsid w:val="007C0340"/>
    <w:rsid w:val="007C03E7"/>
    <w:rsid w:val="007C0795"/>
    <w:rsid w:val="007C0954"/>
    <w:rsid w:val="007C09A4"/>
    <w:rsid w:val="007C0A88"/>
    <w:rsid w:val="007C0F9E"/>
    <w:rsid w:val="007C17DA"/>
    <w:rsid w:val="007C1ADC"/>
    <w:rsid w:val="007C2279"/>
    <w:rsid w:val="007C25EE"/>
    <w:rsid w:val="007C2B8C"/>
    <w:rsid w:val="007C2E28"/>
    <w:rsid w:val="007C3140"/>
    <w:rsid w:val="007C365B"/>
    <w:rsid w:val="007C3B82"/>
    <w:rsid w:val="007C3CDB"/>
    <w:rsid w:val="007C3EB1"/>
    <w:rsid w:val="007C3EDD"/>
    <w:rsid w:val="007C3F11"/>
    <w:rsid w:val="007C3F27"/>
    <w:rsid w:val="007C3F35"/>
    <w:rsid w:val="007C4139"/>
    <w:rsid w:val="007C4612"/>
    <w:rsid w:val="007C47AB"/>
    <w:rsid w:val="007C5459"/>
    <w:rsid w:val="007C5484"/>
    <w:rsid w:val="007C5A8D"/>
    <w:rsid w:val="007C6181"/>
    <w:rsid w:val="007C64B3"/>
    <w:rsid w:val="007C6607"/>
    <w:rsid w:val="007C69D6"/>
    <w:rsid w:val="007C6ADA"/>
    <w:rsid w:val="007C6C0F"/>
    <w:rsid w:val="007C6EE7"/>
    <w:rsid w:val="007C739F"/>
    <w:rsid w:val="007C7485"/>
    <w:rsid w:val="007C74CF"/>
    <w:rsid w:val="007C7A47"/>
    <w:rsid w:val="007C7BFF"/>
    <w:rsid w:val="007C7D5F"/>
    <w:rsid w:val="007C7E04"/>
    <w:rsid w:val="007C7EEB"/>
    <w:rsid w:val="007C7F97"/>
    <w:rsid w:val="007D0026"/>
    <w:rsid w:val="007D011E"/>
    <w:rsid w:val="007D0150"/>
    <w:rsid w:val="007D0236"/>
    <w:rsid w:val="007D0487"/>
    <w:rsid w:val="007D06FD"/>
    <w:rsid w:val="007D0986"/>
    <w:rsid w:val="007D0CE9"/>
    <w:rsid w:val="007D0E84"/>
    <w:rsid w:val="007D0F97"/>
    <w:rsid w:val="007D13DE"/>
    <w:rsid w:val="007D13DF"/>
    <w:rsid w:val="007D13FA"/>
    <w:rsid w:val="007D14D6"/>
    <w:rsid w:val="007D170D"/>
    <w:rsid w:val="007D1753"/>
    <w:rsid w:val="007D1BF1"/>
    <w:rsid w:val="007D1C2D"/>
    <w:rsid w:val="007D1D97"/>
    <w:rsid w:val="007D1E44"/>
    <w:rsid w:val="007D1FBA"/>
    <w:rsid w:val="007D1FBB"/>
    <w:rsid w:val="007D2948"/>
    <w:rsid w:val="007D29E3"/>
    <w:rsid w:val="007D29FB"/>
    <w:rsid w:val="007D2D10"/>
    <w:rsid w:val="007D2E61"/>
    <w:rsid w:val="007D2EFF"/>
    <w:rsid w:val="007D3004"/>
    <w:rsid w:val="007D312C"/>
    <w:rsid w:val="007D31DC"/>
    <w:rsid w:val="007D3530"/>
    <w:rsid w:val="007D393C"/>
    <w:rsid w:val="007D3B5E"/>
    <w:rsid w:val="007D3C96"/>
    <w:rsid w:val="007D3DCD"/>
    <w:rsid w:val="007D41B1"/>
    <w:rsid w:val="007D41B9"/>
    <w:rsid w:val="007D424F"/>
    <w:rsid w:val="007D427E"/>
    <w:rsid w:val="007D4345"/>
    <w:rsid w:val="007D4774"/>
    <w:rsid w:val="007D4C46"/>
    <w:rsid w:val="007D4CE1"/>
    <w:rsid w:val="007D4DCE"/>
    <w:rsid w:val="007D4E0B"/>
    <w:rsid w:val="007D4FBB"/>
    <w:rsid w:val="007D50BC"/>
    <w:rsid w:val="007D5113"/>
    <w:rsid w:val="007D569B"/>
    <w:rsid w:val="007D5C59"/>
    <w:rsid w:val="007D5D1D"/>
    <w:rsid w:val="007D5E96"/>
    <w:rsid w:val="007D5F89"/>
    <w:rsid w:val="007D632B"/>
    <w:rsid w:val="007D647D"/>
    <w:rsid w:val="007D6555"/>
    <w:rsid w:val="007D683A"/>
    <w:rsid w:val="007D6973"/>
    <w:rsid w:val="007D69AD"/>
    <w:rsid w:val="007D69CB"/>
    <w:rsid w:val="007D7CF5"/>
    <w:rsid w:val="007E0381"/>
    <w:rsid w:val="007E0503"/>
    <w:rsid w:val="007E0533"/>
    <w:rsid w:val="007E06A2"/>
    <w:rsid w:val="007E0A85"/>
    <w:rsid w:val="007E0A9F"/>
    <w:rsid w:val="007E1223"/>
    <w:rsid w:val="007E12A8"/>
    <w:rsid w:val="007E1584"/>
    <w:rsid w:val="007E174D"/>
    <w:rsid w:val="007E1C94"/>
    <w:rsid w:val="007E2071"/>
    <w:rsid w:val="007E20B2"/>
    <w:rsid w:val="007E211A"/>
    <w:rsid w:val="007E2183"/>
    <w:rsid w:val="007E2438"/>
    <w:rsid w:val="007E2A5D"/>
    <w:rsid w:val="007E2F97"/>
    <w:rsid w:val="007E3368"/>
    <w:rsid w:val="007E35FB"/>
    <w:rsid w:val="007E373A"/>
    <w:rsid w:val="007E37D3"/>
    <w:rsid w:val="007E387B"/>
    <w:rsid w:val="007E39DD"/>
    <w:rsid w:val="007E3A59"/>
    <w:rsid w:val="007E3AE3"/>
    <w:rsid w:val="007E3CBB"/>
    <w:rsid w:val="007E3E3C"/>
    <w:rsid w:val="007E3EEA"/>
    <w:rsid w:val="007E40C2"/>
    <w:rsid w:val="007E43C9"/>
    <w:rsid w:val="007E451C"/>
    <w:rsid w:val="007E49E6"/>
    <w:rsid w:val="007E4B24"/>
    <w:rsid w:val="007E526F"/>
    <w:rsid w:val="007E554F"/>
    <w:rsid w:val="007E5593"/>
    <w:rsid w:val="007E5622"/>
    <w:rsid w:val="007E5995"/>
    <w:rsid w:val="007E59F9"/>
    <w:rsid w:val="007E5A34"/>
    <w:rsid w:val="007E5C41"/>
    <w:rsid w:val="007E61B6"/>
    <w:rsid w:val="007E61E2"/>
    <w:rsid w:val="007E6380"/>
    <w:rsid w:val="007E638B"/>
    <w:rsid w:val="007E64C0"/>
    <w:rsid w:val="007E6CAF"/>
    <w:rsid w:val="007E6D1C"/>
    <w:rsid w:val="007E6E41"/>
    <w:rsid w:val="007E70BB"/>
    <w:rsid w:val="007E71B3"/>
    <w:rsid w:val="007E7570"/>
    <w:rsid w:val="007E7945"/>
    <w:rsid w:val="007E7977"/>
    <w:rsid w:val="007E7A21"/>
    <w:rsid w:val="007E7DF4"/>
    <w:rsid w:val="007F0023"/>
    <w:rsid w:val="007F07B2"/>
    <w:rsid w:val="007F0886"/>
    <w:rsid w:val="007F0A40"/>
    <w:rsid w:val="007F0BB1"/>
    <w:rsid w:val="007F0E48"/>
    <w:rsid w:val="007F0F42"/>
    <w:rsid w:val="007F0F7A"/>
    <w:rsid w:val="007F0FBD"/>
    <w:rsid w:val="007F1019"/>
    <w:rsid w:val="007F14C2"/>
    <w:rsid w:val="007F1972"/>
    <w:rsid w:val="007F1AB9"/>
    <w:rsid w:val="007F1B7A"/>
    <w:rsid w:val="007F1E23"/>
    <w:rsid w:val="007F20A7"/>
    <w:rsid w:val="007F2206"/>
    <w:rsid w:val="007F2566"/>
    <w:rsid w:val="007F26B6"/>
    <w:rsid w:val="007F292C"/>
    <w:rsid w:val="007F2AFF"/>
    <w:rsid w:val="007F2C2B"/>
    <w:rsid w:val="007F2FC7"/>
    <w:rsid w:val="007F2FD9"/>
    <w:rsid w:val="007F4372"/>
    <w:rsid w:val="007F43B6"/>
    <w:rsid w:val="007F45DC"/>
    <w:rsid w:val="007F47C5"/>
    <w:rsid w:val="007F4BAF"/>
    <w:rsid w:val="007F5193"/>
    <w:rsid w:val="007F51E8"/>
    <w:rsid w:val="007F543B"/>
    <w:rsid w:val="007F5558"/>
    <w:rsid w:val="007F555A"/>
    <w:rsid w:val="007F56D7"/>
    <w:rsid w:val="007F5A92"/>
    <w:rsid w:val="007F5DD5"/>
    <w:rsid w:val="007F63A9"/>
    <w:rsid w:val="007F6459"/>
    <w:rsid w:val="007F6600"/>
    <w:rsid w:val="007F6655"/>
    <w:rsid w:val="007F67D9"/>
    <w:rsid w:val="007F682E"/>
    <w:rsid w:val="007F6866"/>
    <w:rsid w:val="007F6882"/>
    <w:rsid w:val="007F6FAE"/>
    <w:rsid w:val="007F7310"/>
    <w:rsid w:val="007F731B"/>
    <w:rsid w:val="007F74E6"/>
    <w:rsid w:val="007F7A5A"/>
    <w:rsid w:val="007F7C23"/>
    <w:rsid w:val="007F7CA6"/>
    <w:rsid w:val="007F7ECF"/>
    <w:rsid w:val="0080003B"/>
    <w:rsid w:val="00800187"/>
    <w:rsid w:val="00800197"/>
    <w:rsid w:val="008002BA"/>
    <w:rsid w:val="00800434"/>
    <w:rsid w:val="008008A5"/>
    <w:rsid w:val="0080095D"/>
    <w:rsid w:val="00800FEF"/>
    <w:rsid w:val="008013B1"/>
    <w:rsid w:val="0080189A"/>
    <w:rsid w:val="008018C8"/>
    <w:rsid w:val="00801AA3"/>
    <w:rsid w:val="00801B08"/>
    <w:rsid w:val="00802390"/>
    <w:rsid w:val="008023FD"/>
    <w:rsid w:val="00802786"/>
    <w:rsid w:val="00802889"/>
    <w:rsid w:val="00802A03"/>
    <w:rsid w:val="00802CB1"/>
    <w:rsid w:val="008031A3"/>
    <w:rsid w:val="00803514"/>
    <w:rsid w:val="008036CE"/>
    <w:rsid w:val="008037F1"/>
    <w:rsid w:val="00803883"/>
    <w:rsid w:val="008038A5"/>
    <w:rsid w:val="0080437A"/>
    <w:rsid w:val="00804443"/>
    <w:rsid w:val="008047E6"/>
    <w:rsid w:val="00805327"/>
    <w:rsid w:val="00805BA1"/>
    <w:rsid w:val="00806177"/>
    <w:rsid w:val="0080632F"/>
    <w:rsid w:val="0080634B"/>
    <w:rsid w:val="00806527"/>
    <w:rsid w:val="00806625"/>
    <w:rsid w:val="008066E4"/>
    <w:rsid w:val="00806AF7"/>
    <w:rsid w:val="008070D4"/>
    <w:rsid w:val="008073D6"/>
    <w:rsid w:val="008075F4"/>
    <w:rsid w:val="00807673"/>
    <w:rsid w:val="0080771B"/>
    <w:rsid w:val="00807A2F"/>
    <w:rsid w:val="00807C7F"/>
    <w:rsid w:val="00807E2B"/>
    <w:rsid w:val="00807F58"/>
    <w:rsid w:val="00810522"/>
    <w:rsid w:val="008106FC"/>
    <w:rsid w:val="00810701"/>
    <w:rsid w:val="0081082D"/>
    <w:rsid w:val="00810A38"/>
    <w:rsid w:val="00810AFD"/>
    <w:rsid w:val="00810B4A"/>
    <w:rsid w:val="00811261"/>
    <w:rsid w:val="00811466"/>
    <w:rsid w:val="00811723"/>
    <w:rsid w:val="008118C3"/>
    <w:rsid w:val="00811AF6"/>
    <w:rsid w:val="00811C67"/>
    <w:rsid w:val="00811D0C"/>
    <w:rsid w:val="00811D60"/>
    <w:rsid w:val="00812017"/>
    <w:rsid w:val="0081211E"/>
    <w:rsid w:val="008124AD"/>
    <w:rsid w:val="008124F0"/>
    <w:rsid w:val="008127CE"/>
    <w:rsid w:val="00812932"/>
    <w:rsid w:val="0081335E"/>
    <w:rsid w:val="0081339C"/>
    <w:rsid w:val="00813820"/>
    <w:rsid w:val="008138F1"/>
    <w:rsid w:val="008139CD"/>
    <w:rsid w:val="008139DB"/>
    <w:rsid w:val="00813BC1"/>
    <w:rsid w:val="00813C6E"/>
    <w:rsid w:val="00813DC1"/>
    <w:rsid w:val="00813E5E"/>
    <w:rsid w:val="00813E74"/>
    <w:rsid w:val="008143FD"/>
    <w:rsid w:val="0081476E"/>
    <w:rsid w:val="00814A46"/>
    <w:rsid w:val="00814CFD"/>
    <w:rsid w:val="00814D82"/>
    <w:rsid w:val="00814DFF"/>
    <w:rsid w:val="00815091"/>
    <w:rsid w:val="0081523D"/>
    <w:rsid w:val="008153A5"/>
    <w:rsid w:val="00815524"/>
    <w:rsid w:val="0081574E"/>
    <w:rsid w:val="00815957"/>
    <w:rsid w:val="00815C0B"/>
    <w:rsid w:val="00815C78"/>
    <w:rsid w:val="00816344"/>
    <w:rsid w:val="0081658A"/>
    <w:rsid w:val="008165F8"/>
    <w:rsid w:val="00816B22"/>
    <w:rsid w:val="00817034"/>
    <w:rsid w:val="008174E0"/>
    <w:rsid w:val="00817828"/>
    <w:rsid w:val="00817B78"/>
    <w:rsid w:val="008202F0"/>
    <w:rsid w:val="008208B4"/>
    <w:rsid w:val="00820D1A"/>
    <w:rsid w:val="0082104D"/>
    <w:rsid w:val="00821096"/>
    <w:rsid w:val="0082115B"/>
    <w:rsid w:val="008214A2"/>
    <w:rsid w:val="008216CA"/>
    <w:rsid w:val="00821B36"/>
    <w:rsid w:val="008221AC"/>
    <w:rsid w:val="008222B0"/>
    <w:rsid w:val="00822ADF"/>
    <w:rsid w:val="008231F7"/>
    <w:rsid w:val="008234F9"/>
    <w:rsid w:val="008237B6"/>
    <w:rsid w:val="00823832"/>
    <w:rsid w:val="008238E7"/>
    <w:rsid w:val="00823A4C"/>
    <w:rsid w:val="00823EEF"/>
    <w:rsid w:val="0082434F"/>
    <w:rsid w:val="00824594"/>
    <w:rsid w:val="0082462D"/>
    <w:rsid w:val="00824665"/>
    <w:rsid w:val="008248BC"/>
    <w:rsid w:val="00824947"/>
    <w:rsid w:val="008252BF"/>
    <w:rsid w:val="008257A7"/>
    <w:rsid w:val="0082581E"/>
    <w:rsid w:val="0082596F"/>
    <w:rsid w:val="00825DD3"/>
    <w:rsid w:val="00825F78"/>
    <w:rsid w:val="00826157"/>
    <w:rsid w:val="00826443"/>
    <w:rsid w:val="00826627"/>
    <w:rsid w:val="0082670A"/>
    <w:rsid w:val="0082689C"/>
    <w:rsid w:val="00826D29"/>
    <w:rsid w:val="00826E41"/>
    <w:rsid w:val="00827172"/>
    <w:rsid w:val="0082743C"/>
    <w:rsid w:val="00827474"/>
    <w:rsid w:val="008276E3"/>
    <w:rsid w:val="00827991"/>
    <w:rsid w:val="00827C2A"/>
    <w:rsid w:val="00827CA7"/>
    <w:rsid w:val="00827F84"/>
    <w:rsid w:val="0083016D"/>
    <w:rsid w:val="00830227"/>
    <w:rsid w:val="008302B5"/>
    <w:rsid w:val="00830387"/>
    <w:rsid w:val="008305AF"/>
    <w:rsid w:val="00830607"/>
    <w:rsid w:val="008307F1"/>
    <w:rsid w:val="00830C45"/>
    <w:rsid w:val="008314D2"/>
    <w:rsid w:val="00831843"/>
    <w:rsid w:val="00831C03"/>
    <w:rsid w:val="00832457"/>
    <w:rsid w:val="008326B7"/>
    <w:rsid w:val="008329EA"/>
    <w:rsid w:val="008331AC"/>
    <w:rsid w:val="0083335E"/>
    <w:rsid w:val="0083363C"/>
    <w:rsid w:val="0083392E"/>
    <w:rsid w:val="00833C50"/>
    <w:rsid w:val="00833CD8"/>
    <w:rsid w:val="00833F15"/>
    <w:rsid w:val="00834309"/>
    <w:rsid w:val="0083437D"/>
    <w:rsid w:val="00834751"/>
    <w:rsid w:val="008348C7"/>
    <w:rsid w:val="008351AC"/>
    <w:rsid w:val="00835482"/>
    <w:rsid w:val="008356D6"/>
    <w:rsid w:val="0083574B"/>
    <w:rsid w:val="0083580D"/>
    <w:rsid w:val="00835995"/>
    <w:rsid w:val="00835D5D"/>
    <w:rsid w:val="00835DFF"/>
    <w:rsid w:val="00835ED6"/>
    <w:rsid w:val="00835FC5"/>
    <w:rsid w:val="00836128"/>
    <w:rsid w:val="00836324"/>
    <w:rsid w:val="0083661E"/>
    <w:rsid w:val="0083696A"/>
    <w:rsid w:val="00837347"/>
    <w:rsid w:val="00837448"/>
    <w:rsid w:val="00837523"/>
    <w:rsid w:val="00837740"/>
    <w:rsid w:val="00837B44"/>
    <w:rsid w:val="00837E77"/>
    <w:rsid w:val="008401DC"/>
    <w:rsid w:val="008401F1"/>
    <w:rsid w:val="00840348"/>
    <w:rsid w:val="00840D3E"/>
    <w:rsid w:val="00840D77"/>
    <w:rsid w:val="008410E3"/>
    <w:rsid w:val="0084116C"/>
    <w:rsid w:val="008412CD"/>
    <w:rsid w:val="0084138F"/>
    <w:rsid w:val="008419B8"/>
    <w:rsid w:val="00841AD5"/>
    <w:rsid w:val="00841BE9"/>
    <w:rsid w:val="0084216A"/>
    <w:rsid w:val="0084230D"/>
    <w:rsid w:val="00842442"/>
    <w:rsid w:val="008427AE"/>
    <w:rsid w:val="0084285B"/>
    <w:rsid w:val="0084287E"/>
    <w:rsid w:val="00842993"/>
    <w:rsid w:val="00842B5D"/>
    <w:rsid w:val="00842DBF"/>
    <w:rsid w:val="0084339C"/>
    <w:rsid w:val="008434A8"/>
    <w:rsid w:val="0084379F"/>
    <w:rsid w:val="008437B5"/>
    <w:rsid w:val="00844361"/>
    <w:rsid w:val="00844903"/>
    <w:rsid w:val="00845028"/>
    <w:rsid w:val="008451D5"/>
    <w:rsid w:val="008455E2"/>
    <w:rsid w:val="0084590B"/>
    <w:rsid w:val="00845961"/>
    <w:rsid w:val="00845CB8"/>
    <w:rsid w:val="0084626B"/>
    <w:rsid w:val="008462A2"/>
    <w:rsid w:val="008463E7"/>
    <w:rsid w:val="00846511"/>
    <w:rsid w:val="00846578"/>
    <w:rsid w:val="0084686F"/>
    <w:rsid w:val="00846F26"/>
    <w:rsid w:val="00846F93"/>
    <w:rsid w:val="00847206"/>
    <w:rsid w:val="008473FA"/>
    <w:rsid w:val="008474A4"/>
    <w:rsid w:val="008475E2"/>
    <w:rsid w:val="0084785D"/>
    <w:rsid w:val="00847B21"/>
    <w:rsid w:val="00850183"/>
    <w:rsid w:val="00850B5B"/>
    <w:rsid w:val="00850D65"/>
    <w:rsid w:val="00850FF0"/>
    <w:rsid w:val="0085129A"/>
    <w:rsid w:val="008518DC"/>
    <w:rsid w:val="00851F40"/>
    <w:rsid w:val="00851F70"/>
    <w:rsid w:val="00851F94"/>
    <w:rsid w:val="0085213D"/>
    <w:rsid w:val="0085223D"/>
    <w:rsid w:val="008526C1"/>
    <w:rsid w:val="00852B7F"/>
    <w:rsid w:val="008531A5"/>
    <w:rsid w:val="00853402"/>
    <w:rsid w:val="008535FE"/>
    <w:rsid w:val="00853627"/>
    <w:rsid w:val="00853846"/>
    <w:rsid w:val="00853880"/>
    <w:rsid w:val="00853891"/>
    <w:rsid w:val="00853D22"/>
    <w:rsid w:val="00853ECF"/>
    <w:rsid w:val="0085457F"/>
    <w:rsid w:val="008546A3"/>
    <w:rsid w:val="00854728"/>
    <w:rsid w:val="00854776"/>
    <w:rsid w:val="008548F7"/>
    <w:rsid w:val="00854987"/>
    <w:rsid w:val="008549AD"/>
    <w:rsid w:val="00854E23"/>
    <w:rsid w:val="00854F9A"/>
    <w:rsid w:val="00855232"/>
    <w:rsid w:val="0085534C"/>
    <w:rsid w:val="008553BA"/>
    <w:rsid w:val="008557C2"/>
    <w:rsid w:val="00855BC7"/>
    <w:rsid w:val="00855F1B"/>
    <w:rsid w:val="00855F36"/>
    <w:rsid w:val="0085638C"/>
    <w:rsid w:val="008563AD"/>
    <w:rsid w:val="0085677C"/>
    <w:rsid w:val="00856A35"/>
    <w:rsid w:val="00856AE2"/>
    <w:rsid w:val="00856CFB"/>
    <w:rsid w:val="008570D2"/>
    <w:rsid w:val="00857306"/>
    <w:rsid w:val="0085735E"/>
    <w:rsid w:val="0085740F"/>
    <w:rsid w:val="0085761D"/>
    <w:rsid w:val="00857D32"/>
    <w:rsid w:val="00857E06"/>
    <w:rsid w:val="00860419"/>
    <w:rsid w:val="00860442"/>
    <w:rsid w:val="0086064F"/>
    <w:rsid w:val="00860738"/>
    <w:rsid w:val="008607EC"/>
    <w:rsid w:val="00860802"/>
    <w:rsid w:val="00860FC6"/>
    <w:rsid w:val="0086124D"/>
    <w:rsid w:val="00861308"/>
    <w:rsid w:val="008614B4"/>
    <w:rsid w:val="00861A25"/>
    <w:rsid w:val="00861D14"/>
    <w:rsid w:val="0086256B"/>
    <w:rsid w:val="00862862"/>
    <w:rsid w:val="00862989"/>
    <w:rsid w:val="00862D66"/>
    <w:rsid w:val="00862EA2"/>
    <w:rsid w:val="00862EE5"/>
    <w:rsid w:val="008630F3"/>
    <w:rsid w:val="00863311"/>
    <w:rsid w:val="0086368E"/>
    <w:rsid w:val="008636EA"/>
    <w:rsid w:val="00863FC4"/>
    <w:rsid w:val="008641A6"/>
    <w:rsid w:val="00864202"/>
    <w:rsid w:val="008646B2"/>
    <w:rsid w:val="008647AF"/>
    <w:rsid w:val="0086484B"/>
    <w:rsid w:val="00864938"/>
    <w:rsid w:val="008649B4"/>
    <w:rsid w:val="00864C75"/>
    <w:rsid w:val="00864DD2"/>
    <w:rsid w:val="00865380"/>
    <w:rsid w:val="008655C1"/>
    <w:rsid w:val="0086589F"/>
    <w:rsid w:val="00865993"/>
    <w:rsid w:val="00865E48"/>
    <w:rsid w:val="00866207"/>
    <w:rsid w:val="008664A9"/>
    <w:rsid w:val="00866582"/>
    <w:rsid w:val="008668B5"/>
    <w:rsid w:val="008669AA"/>
    <w:rsid w:val="00867AA2"/>
    <w:rsid w:val="00867B85"/>
    <w:rsid w:val="00867B88"/>
    <w:rsid w:val="0087009E"/>
    <w:rsid w:val="008700C3"/>
    <w:rsid w:val="0087018F"/>
    <w:rsid w:val="008708E3"/>
    <w:rsid w:val="00870B06"/>
    <w:rsid w:val="0087111F"/>
    <w:rsid w:val="00871277"/>
    <w:rsid w:val="0087202A"/>
    <w:rsid w:val="00872594"/>
    <w:rsid w:val="00872D5A"/>
    <w:rsid w:val="00872FAD"/>
    <w:rsid w:val="008739C8"/>
    <w:rsid w:val="00873C39"/>
    <w:rsid w:val="00874C5B"/>
    <w:rsid w:val="00874CBE"/>
    <w:rsid w:val="00875084"/>
    <w:rsid w:val="0087520B"/>
    <w:rsid w:val="00875360"/>
    <w:rsid w:val="00875394"/>
    <w:rsid w:val="00875B8E"/>
    <w:rsid w:val="00875EF9"/>
    <w:rsid w:val="008762A7"/>
    <w:rsid w:val="008764B0"/>
    <w:rsid w:val="008766E0"/>
    <w:rsid w:val="008767F7"/>
    <w:rsid w:val="00876887"/>
    <w:rsid w:val="0087689D"/>
    <w:rsid w:val="00876E48"/>
    <w:rsid w:val="00877129"/>
    <w:rsid w:val="008774FA"/>
    <w:rsid w:val="00877523"/>
    <w:rsid w:val="008775A9"/>
    <w:rsid w:val="008777C3"/>
    <w:rsid w:val="008778FD"/>
    <w:rsid w:val="0087796A"/>
    <w:rsid w:val="00877BA3"/>
    <w:rsid w:val="00877D2B"/>
    <w:rsid w:val="00877D84"/>
    <w:rsid w:val="00877DF7"/>
    <w:rsid w:val="00880874"/>
    <w:rsid w:val="00880D6E"/>
    <w:rsid w:val="00880D88"/>
    <w:rsid w:val="00880F4F"/>
    <w:rsid w:val="0088111C"/>
    <w:rsid w:val="00881136"/>
    <w:rsid w:val="0088118B"/>
    <w:rsid w:val="008811D2"/>
    <w:rsid w:val="008811E0"/>
    <w:rsid w:val="008817F5"/>
    <w:rsid w:val="00881F01"/>
    <w:rsid w:val="00882314"/>
    <w:rsid w:val="008827E0"/>
    <w:rsid w:val="008828D3"/>
    <w:rsid w:val="008828ED"/>
    <w:rsid w:val="00882962"/>
    <w:rsid w:val="008832FD"/>
    <w:rsid w:val="00883568"/>
    <w:rsid w:val="00883637"/>
    <w:rsid w:val="00883676"/>
    <w:rsid w:val="008837B3"/>
    <w:rsid w:val="0088384B"/>
    <w:rsid w:val="00883A9F"/>
    <w:rsid w:val="008843F0"/>
    <w:rsid w:val="008844A5"/>
    <w:rsid w:val="008846D4"/>
    <w:rsid w:val="0088481A"/>
    <w:rsid w:val="0088484B"/>
    <w:rsid w:val="008848A7"/>
    <w:rsid w:val="008848E8"/>
    <w:rsid w:val="00884A48"/>
    <w:rsid w:val="00884C5E"/>
    <w:rsid w:val="00884CCA"/>
    <w:rsid w:val="00884CE7"/>
    <w:rsid w:val="00884E21"/>
    <w:rsid w:val="00885876"/>
    <w:rsid w:val="00885EB1"/>
    <w:rsid w:val="00885F8A"/>
    <w:rsid w:val="008864BC"/>
    <w:rsid w:val="0088689A"/>
    <w:rsid w:val="00886D38"/>
    <w:rsid w:val="00886EDE"/>
    <w:rsid w:val="00887060"/>
    <w:rsid w:val="008873B0"/>
    <w:rsid w:val="00887473"/>
    <w:rsid w:val="008876A5"/>
    <w:rsid w:val="00887CAD"/>
    <w:rsid w:val="0089020B"/>
    <w:rsid w:val="0089044A"/>
    <w:rsid w:val="0089048D"/>
    <w:rsid w:val="008905D0"/>
    <w:rsid w:val="008907E8"/>
    <w:rsid w:val="008909A1"/>
    <w:rsid w:val="00890A09"/>
    <w:rsid w:val="00890A97"/>
    <w:rsid w:val="00890CC5"/>
    <w:rsid w:val="00890D8E"/>
    <w:rsid w:val="00891204"/>
    <w:rsid w:val="0089151A"/>
    <w:rsid w:val="00891572"/>
    <w:rsid w:val="0089189F"/>
    <w:rsid w:val="00892043"/>
    <w:rsid w:val="008923D2"/>
    <w:rsid w:val="00892487"/>
    <w:rsid w:val="008924D1"/>
    <w:rsid w:val="008925E8"/>
    <w:rsid w:val="0089289A"/>
    <w:rsid w:val="00892E00"/>
    <w:rsid w:val="00892F12"/>
    <w:rsid w:val="00893009"/>
    <w:rsid w:val="0089312B"/>
    <w:rsid w:val="008937D0"/>
    <w:rsid w:val="008939D1"/>
    <w:rsid w:val="00893B52"/>
    <w:rsid w:val="00893D39"/>
    <w:rsid w:val="008940CF"/>
    <w:rsid w:val="00894745"/>
    <w:rsid w:val="00894956"/>
    <w:rsid w:val="00894EDA"/>
    <w:rsid w:val="00895019"/>
    <w:rsid w:val="0089510E"/>
    <w:rsid w:val="008951E6"/>
    <w:rsid w:val="008955A9"/>
    <w:rsid w:val="0089568E"/>
    <w:rsid w:val="0089577F"/>
    <w:rsid w:val="00895AB1"/>
    <w:rsid w:val="00895AFB"/>
    <w:rsid w:val="00895C2E"/>
    <w:rsid w:val="00895EBA"/>
    <w:rsid w:val="00895F9B"/>
    <w:rsid w:val="0089611B"/>
    <w:rsid w:val="00896339"/>
    <w:rsid w:val="00896353"/>
    <w:rsid w:val="00896BAA"/>
    <w:rsid w:val="008975AA"/>
    <w:rsid w:val="008976D6"/>
    <w:rsid w:val="00897A72"/>
    <w:rsid w:val="00897AC0"/>
    <w:rsid w:val="00897C02"/>
    <w:rsid w:val="00897F92"/>
    <w:rsid w:val="008A0171"/>
    <w:rsid w:val="008A0A34"/>
    <w:rsid w:val="008A0B68"/>
    <w:rsid w:val="008A0C55"/>
    <w:rsid w:val="008A0C9D"/>
    <w:rsid w:val="008A0CA6"/>
    <w:rsid w:val="008A0DA5"/>
    <w:rsid w:val="008A0F4A"/>
    <w:rsid w:val="008A103B"/>
    <w:rsid w:val="008A1059"/>
    <w:rsid w:val="008A113F"/>
    <w:rsid w:val="008A11A1"/>
    <w:rsid w:val="008A1459"/>
    <w:rsid w:val="008A17DE"/>
    <w:rsid w:val="008A1E76"/>
    <w:rsid w:val="008A23AB"/>
    <w:rsid w:val="008A2529"/>
    <w:rsid w:val="008A25A7"/>
    <w:rsid w:val="008A2822"/>
    <w:rsid w:val="008A287F"/>
    <w:rsid w:val="008A28B0"/>
    <w:rsid w:val="008A292B"/>
    <w:rsid w:val="008A2B0F"/>
    <w:rsid w:val="008A2CB0"/>
    <w:rsid w:val="008A326A"/>
    <w:rsid w:val="008A35E1"/>
    <w:rsid w:val="008A39AA"/>
    <w:rsid w:val="008A3C50"/>
    <w:rsid w:val="008A3F56"/>
    <w:rsid w:val="008A3FA6"/>
    <w:rsid w:val="008A4106"/>
    <w:rsid w:val="008A46C8"/>
    <w:rsid w:val="008A4794"/>
    <w:rsid w:val="008A48C3"/>
    <w:rsid w:val="008A4CEA"/>
    <w:rsid w:val="008A4E97"/>
    <w:rsid w:val="008A5268"/>
    <w:rsid w:val="008A57CF"/>
    <w:rsid w:val="008A58B2"/>
    <w:rsid w:val="008A591F"/>
    <w:rsid w:val="008A61A6"/>
    <w:rsid w:val="008A644A"/>
    <w:rsid w:val="008A6660"/>
    <w:rsid w:val="008A6781"/>
    <w:rsid w:val="008A6DC1"/>
    <w:rsid w:val="008A6FF4"/>
    <w:rsid w:val="008A703A"/>
    <w:rsid w:val="008A716D"/>
    <w:rsid w:val="008A7554"/>
    <w:rsid w:val="008A772F"/>
    <w:rsid w:val="008A7AC0"/>
    <w:rsid w:val="008A7FED"/>
    <w:rsid w:val="008B05AB"/>
    <w:rsid w:val="008B05F2"/>
    <w:rsid w:val="008B091A"/>
    <w:rsid w:val="008B0A8B"/>
    <w:rsid w:val="008B0B38"/>
    <w:rsid w:val="008B0E6B"/>
    <w:rsid w:val="008B0F04"/>
    <w:rsid w:val="008B1188"/>
    <w:rsid w:val="008B1924"/>
    <w:rsid w:val="008B1C30"/>
    <w:rsid w:val="008B1C32"/>
    <w:rsid w:val="008B1C65"/>
    <w:rsid w:val="008B1E68"/>
    <w:rsid w:val="008B1F34"/>
    <w:rsid w:val="008B2204"/>
    <w:rsid w:val="008B2420"/>
    <w:rsid w:val="008B249D"/>
    <w:rsid w:val="008B25F3"/>
    <w:rsid w:val="008B287E"/>
    <w:rsid w:val="008B29B3"/>
    <w:rsid w:val="008B2B8C"/>
    <w:rsid w:val="008B2EA3"/>
    <w:rsid w:val="008B2EE6"/>
    <w:rsid w:val="008B2FF3"/>
    <w:rsid w:val="008B33E4"/>
    <w:rsid w:val="008B381B"/>
    <w:rsid w:val="008B3917"/>
    <w:rsid w:val="008B397E"/>
    <w:rsid w:val="008B3B26"/>
    <w:rsid w:val="008B464B"/>
    <w:rsid w:val="008B46A4"/>
    <w:rsid w:val="008B46D1"/>
    <w:rsid w:val="008B49D6"/>
    <w:rsid w:val="008B4CF6"/>
    <w:rsid w:val="008B4F25"/>
    <w:rsid w:val="008B50F8"/>
    <w:rsid w:val="008B5477"/>
    <w:rsid w:val="008B557C"/>
    <w:rsid w:val="008B580B"/>
    <w:rsid w:val="008B5A52"/>
    <w:rsid w:val="008B5B57"/>
    <w:rsid w:val="008B5D6E"/>
    <w:rsid w:val="008B5FE4"/>
    <w:rsid w:val="008B6050"/>
    <w:rsid w:val="008B613B"/>
    <w:rsid w:val="008B6575"/>
    <w:rsid w:val="008B7206"/>
    <w:rsid w:val="008B7527"/>
    <w:rsid w:val="008B77AB"/>
    <w:rsid w:val="008B7896"/>
    <w:rsid w:val="008B7E48"/>
    <w:rsid w:val="008B7EEE"/>
    <w:rsid w:val="008C075A"/>
    <w:rsid w:val="008C0AB3"/>
    <w:rsid w:val="008C0AD3"/>
    <w:rsid w:val="008C0EB6"/>
    <w:rsid w:val="008C1006"/>
    <w:rsid w:val="008C14CA"/>
    <w:rsid w:val="008C1757"/>
    <w:rsid w:val="008C1960"/>
    <w:rsid w:val="008C1BDC"/>
    <w:rsid w:val="008C1E5E"/>
    <w:rsid w:val="008C258B"/>
    <w:rsid w:val="008C25B4"/>
    <w:rsid w:val="008C2EA0"/>
    <w:rsid w:val="008C3030"/>
    <w:rsid w:val="008C3750"/>
    <w:rsid w:val="008C3A72"/>
    <w:rsid w:val="008C3AB7"/>
    <w:rsid w:val="008C3F3F"/>
    <w:rsid w:val="008C42BE"/>
    <w:rsid w:val="008C44B8"/>
    <w:rsid w:val="008C4BA8"/>
    <w:rsid w:val="008C4C82"/>
    <w:rsid w:val="008C4CA8"/>
    <w:rsid w:val="008C51C9"/>
    <w:rsid w:val="008C5248"/>
    <w:rsid w:val="008C53C3"/>
    <w:rsid w:val="008C5423"/>
    <w:rsid w:val="008C5437"/>
    <w:rsid w:val="008C5480"/>
    <w:rsid w:val="008C5A87"/>
    <w:rsid w:val="008C64B1"/>
    <w:rsid w:val="008C6556"/>
    <w:rsid w:val="008C68D3"/>
    <w:rsid w:val="008C6ABD"/>
    <w:rsid w:val="008C6B4E"/>
    <w:rsid w:val="008C6D88"/>
    <w:rsid w:val="008C6E2B"/>
    <w:rsid w:val="008C7060"/>
    <w:rsid w:val="008C720C"/>
    <w:rsid w:val="008C75E5"/>
    <w:rsid w:val="008C7995"/>
    <w:rsid w:val="008C7C0F"/>
    <w:rsid w:val="008C7EB6"/>
    <w:rsid w:val="008D010E"/>
    <w:rsid w:val="008D04DB"/>
    <w:rsid w:val="008D058C"/>
    <w:rsid w:val="008D0989"/>
    <w:rsid w:val="008D0AE6"/>
    <w:rsid w:val="008D0B86"/>
    <w:rsid w:val="008D0D6F"/>
    <w:rsid w:val="008D1052"/>
    <w:rsid w:val="008D1343"/>
    <w:rsid w:val="008D13E2"/>
    <w:rsid w:val="008D14EE"/>
    <w:rsid w:val="008D14F7"/>
    <w:rsid w:val="008D19E5"/>
    <w:rsid w:val="008D1BE0"/>
    <w:rsid w:val="008D1CF7"/>
    <w:rsid w:val="008D262C"/>
    <w:rsid w:val="008D26D0"/>
    <w:rsid w:val="008D2726"/>
    <w:rsid w:val="008D2A33"/>
    <w:rsid w:val="008D2BE0"/>
    <w:rsid w:val="008D2D1D"/>
    <w:rsid w:val="008D2D4B"/>
    <w:rsid w:val="008D2DE4"/>
    <w:rsid w:val="008D31E4"/>
    <w:rsid w:val="008D32E8"/>
    <w:rsid w:val="008D36D4"/>
    <w:rsid w:val="008D38DE"/>
    <w:rsid w:val="008D3A1B"/>
    <w:rsid w:val="008D3C8B"/>
    <w:rsid w:val="008D3C9F"/>
    <w:rsid w:val="008D40D7"/>
    <w:rsid w:val="008D4316"/>
    <w:rsid w:val="008D46BB"/>
    <w:rsid w:val="008D47E0"/>
    <w:rsid w:val="008D485C"/>
    <w:rsid w:val="008D48E4"/>
    <w:rsid w:val="008D4A5F"/>
    <w:rsid w:val="008D4DFE"/>
    <w:rsid w:val="008D4E9F"/>
    <w:rsid w:val="008D5210"/>
    <w:rsid w:val="008D5344"/>
    <w:rsid w:val="008D57A7"/>
    <w:rsid w:val="008D5F8D"/>
    <w:rsid w:val="008D604A"/>
    <w:rsid w:val="008D6856"/>
    <w:rsid w:val="008D6A8A"/>
    <w:rsid w:val="008D7300"/>
    <w:rsid w:val="008D73B9"/>
    <w:rsid w:val="008D7539"/>
    <w:rsid w:val="008D75C0"/>
    <w:rsid w:val="008D7766"/>
    <w:rsid w:val="008D7781"/>
    <w:rsid w:val="008D7993"/>
    <w:rsid w:val="008D7E1D"/>
    <w:rsid w:val="008E0629"/>
    <w:rsid w:val="008E0712"/>
    <w:rsid w:val="008E1042"/>
    <w:rsid w:val="008E1597"/>
    <w:rsid w:val="008E1639"/>
    <w:rsid w:val="008E166F"/>
    <w:rsid w:val="008E1728"/>
    <w:rsid w:val="008E1947"/>
    <w:rsid w:val="008E1B0F"/>
    <w:rsid w:val="008E1BFE"/>
    <w:rsid w:val="008E1E1E"/>
    <w:rsid w:val="008E1FB7"/>
    <w:rsid w:val="008E2633"/>
    <w:rsid w:val="008E2886"/>
    <w:rsid w:val="008E297B"/>
    <w:rsid w:val="008E2A2F"/>
    <w:rsid w:val="008E2C50"/>
    <w:rsid w:val="008E2DA4"/>
    <w:rsid w:val="008E317F"/>
    <w:rsid w:val="008E33F2"/>
    <w:rsid w:val="008E383C"/>
    <w:rsid w:val="008E39CB"/>
    <w:rsid w:val="008E3B15"/>
    <w:rsid w:val="008E3B68"/>
    <w:rsid w:val="008E3F52"/>
    <w:rsid w:val="008E3F60"/>
    <w:rsid w:val="008E4337"/>
    <w:rsid w:val="008E4486"/>
    <w:rsid w:val="008E45CF"/>
    <w:rsid w:val="008E4931"/>
    <w:rsid w:val="008E4BBA"/>
    <w:rsid w:val="008E5027"/>
    <w:rsid w:val="008E54E5"/>
    <w:rsid w:val="008E55BA"/>
    <w:rsid w:val="008E5774"/>
    <w:rsid w:val="008E5A0A"/>
    <w:rsid w:val="008E5AEE"/>
    <w:rsid w:val="008E5E62"/>
    <w:rsid w:val="008E62D1"/>
    <w:rsid w:val="008E647B"/>
    <w:rsid w:val="008E658A"/>
    <w:rsid w:val="008E65BF"/>
    <w:rsid w:val="008E6748"/>
    <w:rsid w:val="008E68E1"/>
    <w:rsid w:val="008E6A62"/>
    <w:rsid w:val="008E6F8E"/>
    <w:rsid w:val="008E7245"/>
    <w:rsid w:val="008E7594"/>
    <w:rsid w:val="008E762B"/>
    <w:rsid w:val="008E7BA4"/>
    <w:rsid w:val="008E7FAF"/>
    <w:rsid w:val="008F05F2"/>
    <w:rsid w:val="008F07A3"/>
    <w:rsid w:val="008F09D1"/>
    <w:rsid w:val="008F0E4C"/>
    <w:rsid w:val="008F0EFE"/>
    <w:rsid w:val="008F0F45"/>
    <w:rsid w:val="008F1178"/>
    <w:rsid w:val="008F1928"/>
    <w:rsid w:val="008F2060"/>
    <w:rsid w:val="008F23D3"/>
    <w:rsid w:val="008F240C"/>
    <w:rsid w:val="008F25F5"/>
    <w:rsid w:val="008F2991"/>
    <w:rsid w:val="008F2A67"/>
    <w:rsid w:val="008F2D83"/>
    <w:rsid w:val="008F2E70"/>
    <w:rsid w:val="008F3733"/>
    <w:rsid w:val="008F38B1"/>
    <w:rsid w:val="008F3AA1"/>
    <w:rsid w:val="008F3D11"/>
    <w:rsid w:val="008F3F10"/>
    <w:rsid w:val="008F4264"/>
    <w:rsid w:val="008F4547"/>
    <w:rsid w:val="008F4631"/>
    <w:rsid w:val="008F46B4"/>
    <w:rsid w:val="008F4B6F"/>
    <w:rsid w:val="008F534A"/>
    <w:rsid w:val="008F5419"/>
    <w:rsid w:val="008F565E"/>
    <w:rsid w:val="008F571C"/>
    <w:rsid w:val="008F58B3"/>
    <w:rsid w:val="008F596B"/>
    <w:rsid w:val="008F5987"/>
    <w:rsid w:val="008F5AC7"/>
    <w:rsid w:val="008F5E03"/>
    <w:rsid w:val="008F6904"/>
    <w:rsid w:val="008F6921"/>
    <w:rsid w:val="008F6A91"/>
    <w:rsid w:val="008F6ECB"/>
    <w:rsid w:val="008F6F20"/>
    <w:rsid w:val="008F739F"/>
    <w:rsid w:val="008F75D1"/>
    <w:rsid w:val="008F7A28"/>
    <w:rsid w:val="008F7AD2"/>
    <w:rsid w:val="008F7C8F"/>
    <w:rsid w:val="008F7EA8"/>
    <w:rsid w:val="008F7FE3"/>
    <w:rsid w:val="00900082"/>
    <w:rsid w:val="00900133"/>
    <w:rsid w:val="009001C4"/>
    <w:rsid w:val="00900216"/>
    <w:rsid w:val="00900487"/>
    <w:rsid w:val="00900C40"/>
    <w:rsid w:val="00900CF9"/>
    <w:rsid w:val="00900DB6"/>
    <w:rsid w:val="009010C8"/>
    <w:rsid w:val="009011A9"/>
    <w:rsid w:val="009019F2"/>
    <w:rsid w:val="00902133"/>
    <w:rsid w:val="009025B7"/>
    <w:rsid w:val="009025F5"/>
    <w:rsid w:val="0090269C"/>
    <w:rsid w:val="00902A8E"/>
    <w:rsid w:val="00902D2A"/>
    <w:rsid w:val="00902F08"/>
    <w:rsid w:val="00902FE4"/>
    <w:rsid w:val="009030F8"/>
    <w:rsid w:val="00903335"/>
    <w:rsid w:val="00903418"/>
    <w:rsid w:val="00903513"/>
    <w:rsid w:val="009039C0"/>
    <w:rsid w:val="00903EE0"/>
    <w:rsid w:val="00904828"/>
    <w:rsid w:val="00904993"/>
    <w:rsid w:val="00904EBE"/>
    <w:rsid w:val="00905865"/>
    <w:rsid w:val="009058D2"/>
    <w:rsid w:val="00905A67"/>
    <w:rsid w:val="00905AD5"/>
    <w:rsid w:val="00905B06"/>
    <w:rsid w:val="00905B5C"/>
    <w:rsid w:val="00905C9A"/>
    <w:rsid w:val="009064BD"/>
    <w:rsid w:val="00906636"/>
    <w:rsid w:val="0090687E"/>
    <w:rsid w:val="00906E7B"/>
    <w:rsid w:val="00907221"/>
    <w:rsid w:val="00907273"/>
    <w:rsid w:val="00907543"/>
    <w:rsid w:val="00907607"/>
    <w:rsid w:val="00907720"/>
    <w:rsid w:val="0090793A"/>
    <w:rsid w:val="00907958"/>
    <w:rsid w:val="009079FD"/>
    <w:rsid w:val="00910ABE"/>
    <w:rsid w:val="00910EA2"/>
    <w:rsid w:val="0091104F"/>
    <w:rsid w:val="009110A8"/>
    <w:rsid w:val="009112D2"/>
    <w:rsid w:val="009114AA"/>
    <w:rsid w:val="009115FC"/>
    <w:rsid w:val="009116A2"/>
    <w:rsid w:val="00911AE5"/>
    <w:rsid w:val="00911C24"/>
    <w:rsid w:val="00911C3F"/>
    <w:rsid w:val="00911DEA"/>
    <w:rsid w:val="00911E57"/>
    <w:rsid w:val="00912429"/>
    <w:rsid w:val="0091260B"/>
    <w:rsid w:val="009127D0"/>
    <w:rsid w:val="009128D1"/>
    <w:rsid w:val="00912A56"/>
    <w:rsid w:val="00913402"/>
    <w:rsid w:val="0091386B"/>
    <w:rsid w:val="00913EAD"/>
    <w:rsid w:val="009141B2"/>
    <w:rsid w:val="009143CA"/>
    <w:rsid w:val="00914536"/>
    <w:rsid w:val="00914619"/>
    <w:rsid w:val="00914636"/>
    <w:rsid w:val="00914679"/>
    <w:rsid w:val="00914923"/>
    <w:rsid w:val="0091493A"/>
    <w:rsid w:val="00914A27"/>
    <w:rsid w:val="00914BB4"/>
    <w:rsid w:val="00914D46"/>
    <w:rsid w:val="00914FDD"/>
    <w:rsid w:val="00915083"/>
    <w:rsid w:val="00915267"/>
    <w:rsid w:val="00915295"/>
    <w:rsid w:val="009153D1"/>
    <w:rsid w:val="00915676"/>
    <w:rsid w:val="00915CB8"/>
    <w:rsid w:val="00915CF1"/>
    <w:rsid w:val="00915D28"/>
    <w:rsid w:val="00915DC4"/>
    <w:rsid w:val="00916059"/>
    <w:rsid w:val="00916183"/>
    <w:rsid w:val="009161D7"/>
    <w:rsid w:val="009164CB"/>
    <w:rsid w:val="00916662"/>
    <w:rsid w:val="00916C26"/>
    <w:rsid w:val="00916FA5"/>
    <w:rsid w:val="00917148"/>
    <w:rsid w:val="009173DB"/>
    <w:rsid w:val="009173F7"/>
    <w:rsid w:val="0091766B"/>
    <w:rsid w:val="00917A69"/>
    <w:rsid w:val="00917C70"/>
    <w:rsid w:val="00917E4D"/>
    <w:rsid w:val="00920078"/>
    <w:rsid w:val="009200E9"/>
    <w:rsid w:val="009201F5"/>
    <w:rsid w:val="0092059B"/>
    <w:rsid w:val="009205FE"/>
    <w:rsid w:val="00920DE4"/>
    <w:rsid w:val="00920E33"/>
    <w:rsid w:val="00920EA7"/>
    <w:rsid w:val="009210EA"/>
    <w:rsid w:val="00921116"/>
    <w:rsid w:val="00921548"/>
    <w:rsid w:val="009217C5"/>
    <w:rsid w:val="00921BB7"/>
    <w:rsid w:val="009223E0"/>
    <w:rsid w:val="00922489"/>
    <w:rsid w:val="00922B12"/>
    <w:rsid w:val="00922B35"/>
    <w:rsid w:val="00923092"/>
    <w:rsid w:val="0092334E"/>
    <w:rsid w:val="0092345C"/>
    <w:rsid w:val="00923913"/>
    <w:rsid w:val="00923F16"/>
    <w:rsid w:val="00924480"/>
    <w:rsid w:val="009244C6"/>
    <w:rsid w:val="009247F2"/>
    <w:rsid w:val="009249C3"/>
    <w:rsid w:val="00924E05"/>
    <w:rsid w:val="00924E3A"/>
    <w:rsid w:val="00924EB8"/>
    <w:rsid w:val="00925420"/>
    <w:rsid w:val="0092550A"/>
    <w:rsid w:val="0092574F"/>
    <w:rsid w:val="0092582D"/>
    <w:rsid w:val="00925C26"/>
    <w:rsid w:val="00925D16"/>
    <w:rsid w:val="00926557"/>
    <w:rsid w:val="009265D6"/>
    <w:rsid w:val="009266DD"/>
    <w:rsid w:val="00926816"/>
    <w:rsid w:val="00926B8E"/>
    <w:rsid w:val="00926D07"/>
    <w:rsid w:val="00926EE5"/>
    <w:rsid w:val="0092715C"/>
    <w:rsid w:val="009271AD"/>
    <w:rsid w:val="0092724F"/>
    <w:rsid w:val="00927D33"/>
    <w:rsid w:val="00927D4E"/>
    <w:rsid w:val="00927DAD"/>
    <w:rsid w:val="00927E75"/>
    <w:rsid w:val="00927F27"/>
    <w:rsid w:val="00930178"/>
    <w:rsid w:val="009302A0"/>
    <w:rsid w:val="009303F5"/>
    <w:rsid w:val="009306A8"/>
    <w:rsid w:val="0093073D"/>
    <w:rsid w:val="00930B95"/>
    <w:rsid w:val="00930BF7"/>
    <w:rsid w:val="00930D02"/>
    <w:rsid w:val="00930D9A"/>
    <w:rsid w:val="009315BB"/>
    <w:rsid w:val="009315F6"/>
    <w:rsid w:val="009318CA"/>
    <w:rsid w:val="00931C10"/>
    <w:rsid w:val="00931FB7"/>
    <w:rsid w:val="0093224D"/>
    <w:rsid w:val="009323DB"/>
    <w:rsid w:val="00932402"/>
    <w:rsid w:val="0093248E"/>
    <w:rsid w:val="00932817"/>
    <w:rsid w:val="00932822"/>
    <w:rsid w:val="0093295E"/>
    <w:rsid w:val="00932CCF"/>
    <w:rsid w:val="00932D89"/>
    <w:rsid w:val="00933377"/>
    <w:rsid w:val="0093339C"/>
    <w:rsid w:val="009335F8"/>
    <w:rsid w:val="0093382A"/>
    <w:rsid w:val="00933A18"/>
    <w:rsid w:val="00933B6D"/>
    <w:rsid w:val="00933C94"/>
    <w:rsid w:val="00933F22"/>
    <w:rsid w:val="00934017"/>
    <w:rsid w:val="0093405B"/>
    <w:rsid w:val="0093406B"/>
    <w:rsid w:val="0093440E"/>
    <w:rsid w:val="00934A12"/>
    <w:rsid w:val="00934F54"/>
    <w:rsid w:val="009351A6"/>
    <w:rsid w:val="0093531E"/>
    <w:rsid w:val="00935385"/>
    <w:rsid w:val="0093544F"/>
    <w:rsid w:val="0093559E"/>
    <w:rsid w:val="00935694"/>
    <w:rsid w:val="0093570B"/>
    <w:rsid w:val="009358A9"/>
    <w:rsid w:val="00935BAB"/>
    <w:rsid w:val="00935DBD"/>
    <w:rsid w:val="00936277"/>
    <w:rsid w:val="009362FA"/>
    <w:rsid w:val="009364C5"/>
    <w:rsid w:val="00936840"/>
    <w:rsid w:val="009369A5"/>
    <w:rsid w:val="00936AB8"/>
    <w:rsid w:val="00936C14"/>
    <w:rsid w:val="00937027"/>
    <w:rsid w:val="0093717A"/>
    <w:rsid w:val="00937274"/>
    <w:rsid w:val="00937431"/>
    <w:rsid w:val="0093771E"/>
    <w:rsid w:val="009403E7"/>
    <w:rsid w:val="00940425"/>
    <w:rsid w:val="009406DC"/>
    <w:rsid w:val="00940750"/>
    <w:rsid w:val="009407C1"/>
    <w:rsid w:val="0094089F"/>
    <w:rsid w:val="00940AF3"/>
    <w:rsid w:val="009411CB"/>
    <w:rsid w:val="009415D8"/>
    <w:rsid w:val="00941A0E"/>
    <w:rsid w:val="00941C5E"/>
    <w:rsid w:val="00941DB7"/>
    <w:rsid w:val="00941DFF"/>
    <w:rsid w:val="00942BCE"/>
    <w:rsid w:val="009431CE"/>
    <w:rsid w:val="00943331"/>
    <w:rsid w:val="00943891"/>
    <w:rsid w:val="009438EB"/>
    <w:rsid w:val="009439AD"/>
    <w:rsid w:val="00943F6C"/>
    <w:rsid w:val="0094405A"/>
    <w:rsid w:val="009442C7"/>
    <w:rsid w:val="00944372"/>
    <w:rsid w:val="00944385"/>
    <w:rsid w:val="00944419"/>
    <w:rsid w:val="009453E4"/>
    <w:rsid w:val="00945A01"/>
    <w:rsid w:val="00945AC5"/>
    <w:rsid w:val="00945DBA"/>
    <w:rsid w:val="00946037"/>
    <w:rsid w:val="009460FF"/>
    <w:rsid w:val="00946420"/>
    <w:rsid w:val="00946581"/>
    <w:rsid w:val="00946D6B"/>
    <w:rsid w:val="00947070"/>
    <w:rsid w:val="00947700"/>
    <w:rsid w:val="00947AF5"/>
    <w:rsid w:val="00947B07"/>
    <w:rsid w:val="00947B65"/>
    <w:rsid w:val="00947C73"/>
    <w:rsid w:val="00947CD5"/>
    <w:rsid w:val="00947E79"/>
    <w:rsid w:val="00950127"/>
    <w:rsid w:val="00950179"/>
    <w:rsid w:val="00950B3B"/>
    <w:rsid w:val="00950DCB"/>
    <w:rsid w:val="00951049"/>
    <w:rsid w:val="009514AA"/>
    <w:rsid w:val="00951B21"/>
    <w:rsid w:val="00951B4F"/>
    <w:rsid w:val="00951BC6"/>
    <w:rsid w:val="00951E21"/>
    <w:rsid w:val="0095228F"/>
    <w:rsid w:val="00952378"/>
    <w:rsid w:val="00952428"/>
    <w:rsid w:val="00952449"/>
    <w:rsid w:val="00952466"/>
    <w:rsid w:val="009526B9"/>
    <w:rsid w:val="00952BD6"/>
    <w:rsid w:val="00952C3D"/>
    <w:rsid w:val="00952C66"/>
    <w:rsid w:val="00952E47"/>
    <w:rsid w:val="00952FF1"/>
    <w:rsid w:val="00953397"/>
    <w:rsid w:val="0095382D"/>
    <w:rsid w:val="00953876"/>
    <w:rsid w:val="00953877"/>
    <w:rsid w:val="00953A91"/>
    <w:rsid w:val="00953E16"/>
    <w:rsid w:val="009542D8"/>
    <w:rsid w:val="009542FF"/>
    <w:rsid w:val="009543E5"/>
    <w:rsid w:val="00954409"/>
    <w:rsid w:val="009544EB"/>
    <w:rsid w:val="009550FA"/>
    <w:rsid w:val="0095579A"/>
    <w:rsid w:val="00955913"/>
    <w:rsid w:val="009559A9"/>
    <w:rsid w:val="00956022"/>
    <w:rsid w:val="009561BB"/>
    <w:rsid w:val="009566EB"/>
    <w:rsid w:val="00956745"/>
    <w:rsid w:val="00956A70"/>
    <w:rsid w:val="00956D4B"/>
    <w:rsid w:val="00957143"/>
    <w:rsid w:val="0095733E"/>
    <w:rsid w:val="009573A0"/>
    <w:rsid w:val="00957502"/>
    <w:rsid w:val="009578C1"/>
    <w:rsid w:val="009578C9"/>
    <w:rsid w:val="00957DFF"/>
    <w:rsid w:val="00960275"/>
    <w:rsid w:val="009602A7"/>
    <w:rsid w:val="009602E4"/>
    <w:rsid w:val="009603A1"/>
    <w:rsid w:val="009603AE"/>
    <w:rsid w:val="00960704"/>
    <w:rsid w:val="00960982"/>
    <w:rsid w:val="00960E21"/>
    <w:rsid w:val="00960E74"/>
    <w:rsid w:val="0096118D"/>
    <w:rsid w:val="00961705"/>
    <w:rsid w:val="009617E4"/>
    <w:rsid w:val="00961A04"/>
    <w:rsid w:val="00962049"/>
    <w:rsid w:val="009624C9"/>
    <w:rsid w:val="00962611"/>
    <w:rsid w:val="00962944"/>
    <w:rsid w:val="00963148"/>
    <w:rsid w:val="00963583"/>
    <w:rsid w:val="009637EB"/>
    <w:rsid w:val="00963860"/>
    <w:rsid w:val="00963959"/>
    <w:rsid w:val="00963CF6"/>
    <w:rsid w:val="00964149"/>
    <w:rsid w:val="009645C7"/>
    <w:rsid w:val="00964647"/>
    <w:rsid w:val="00964D8D"/>
    <w:rsid w:val="00964F5C"/>
    <w:rsid w:val="00965053"/>
    <w:rsid w:val="009652EC"/>
    <w:rsid w:val="009655AC"/>
    <w:rsid w:val="009658BF"/>
    <w:rsid w:val="00965B93"/>
    <w:rsid w:val="00965CA3"/>
    <w:rsid w:val="00965CC0"/>
    <w:rsid w:val="00965D03"/>
    <w:rsid w:val="0096659C"/>
    <w:rsid w:val="009666A5"/>
    <w:rsid w:val="0096672B"/>
    <w:rsid w:val="00966B48"/>
    <w:rsid w:val="009676D0"/>
    <w:rsid w:val="00967B7F"/>
    <w:rsid w:val="00970146"/>
    <w:rsid w:val="009703BD"/>
    <w:rsid w:val="009705A7"/>
    <w:rsid w:val="009708EF"/>
    <w:rsid w:val="00970DCF"/>
    <w:rsid w:val="00970EC1"/>
    <w:rsid w:val="00970FDF"/>
    <w:rsid w:val="0097116C"/>
    <w:rsid w:val="0097165C"/>
    <w:rsid w:val="009718E2"/>
    <w:rsid w:val="0097195A"/>
    <w:rsid w:val="00971A8C"/>
    <w:rsid w:val="009720DC"/>
    <w:rsid w:val="00972655"/>
    <w:rsid w:val="00972712"/>
    <w:rsid w:val="00972780"/>
    <w:rsid w:val="00972942"/>
    <w:rsid w:val="00972B4F"/>
    <w:rsid w:val="00972CCB"/>
    <w:rsid w:val="00972E2A"/>
    <w:rsid w:val="0097334C"/>
    <w:rsid w:val="00973966"/>
    <w:rsid w:val="00973A5C"/>
    <w:rsid w:val="0097447C"/>
    <w:rsid w:val="009744CE"/>
    <w:rsid w:val="00974600"/>
    <w:rsid w:val="009746F2"/>
    <w:rsid w:val="0097497A"/>
    <w:rsid w:val="00975091"/>
    <w:rsid w:val="0097537D"/>
    <w:rsid w:val="009755F8"/>
    <w:rsid w:val="009756F3"/>
    <w:rsid w:val="009758DC"/>
    <w:rsid w:val="009759FC"/>
    <w:rsid w:val="00975DF7"/>
    <w:rsid w:val="00975FEC"/>
    <w:rsid w:val="0097657E"/>
    <w:rsid w:val="009765C5"/>
    <w:rsid w:val="00976716"/>
    <w:rsid w:val="0097680B"/>
    <w:rsid w:val="00976AB2"/>
    <w:rsid w:val="00976ADF"/>
    <w:rsid w:val="00976B70"/>
    <w:rsid w:val="00976DE1"/>
    <w:rsid w:val="0097700C"/>
    <w:rsid w:val="009770A4"/>
    <w:rsid w:val="009772D7"/>
    <w:rsid w:val="00977AAB"/>
    <w:rsid w:val="00977CF1"/>
    <w:rsid w:val="00980416"/>
    <w:rsid w:val="009806B0"/>
    <w:rsid w:val="009806ED"/>
    <w:rsid w:val="0098092D"/>
    <w:rsid w:val="00980967"/>
    <w:rsid w:val="00980A9E"/>
    <w:rsid w:val="00980BC2"/>
    <w:rsid w:val="009810B1"/>
    <w:rsid w:val="009814A1"/>
    <w:rsid w:val="0098151F"/>
    <w:rsid w:val="009816A8"/>
    <w:rsid w:val="009816E7"/>
    <w:rsid w:val="0098193C"/>
    <w:rsid w:val="009819AD"/>
    <w:rsid w:val="009819D7"/>
    <w:rsid w:val="00981EB7"/>
    <w:rsid w:val="0098253D"/>
    <w:rsid w:val="00982A59"/>
    <w:rsid w:val="00982A9E"/>
    <w:rsid w:val="00982C08"/>
    <w:rsid w:val="00982C59"/>
    <w:rsid w:val="00982FF2"/>
    <w:rsid w:val="0098345C"/>
    <w:rsid w:val="009835B4"/>
    <w:rsid w:val="009836FA"/>
    <w:rsid w:val="009837ED"/>
    <w:rsid w:val="00983D85"/>
    <w:rsid w:val="00983EEA"/>
    <w:rsid w:val="00984282"/>
    <w:rsid w:val="009844EC"/>
    <w:rsid w:val="00984522"/>
    <w:rsid w:val="009846EE"/>
    <w:rsid w:val="0098484E"/>
    <w:rsid w:val="00984ABF"/>
    <w:rsid w:val="00984C72"/>
    <w:rsid w:val="00984D85"/>
    <w:rsid w:val="00984FC0"/>
    <w:rsid w:val="009851FC"/>
    <w:rsid w:val="00985306"/>
    <w:rsid w:val="009853EE"/>
    <w:rsid w:val="009855A7"/>
    <w:rsid w:val="00985758"/>
    <w:rsid w:val="00985908"/>
    <w:rsid w:val="00985A9F"/>
    <w:rsid w:val="00986112"/>
    <w:rsid w:val="0098614F"/>
    <w:rsid w:val="009862CF"/>
    <w:rsid w:val="0098679B"/>
    <w:rsid w:val="009868F2"/>
    <w:rsid w:val="00986F4D"/>
    <w:rsid w:val="00986F98"/>
    <w:rsid w:val="0098702F"/>
    <w:rsid w:val="009872F6"/>
    <w:rsid w:val="00987352"/>
    <w:rsid w:val="009873BB"/>
    <w:rsid w:val="00987472"/>
    <w:rsid w:val="00987478"/>
    <w:rsid w:val="00987479"/>
    <w:rsid w:val="009878CD"/>
    <w:rsid w:val="00987A61"/>
    <w:rsid w:val="00987BE9"/>
    <w:rsid w:val="00987D4D"/>
    <w:rsid w:val="00990072"/>
    <w:rsid w:val="0099010F"/>
    <w:rsid w:val="009901FC"/>
    <w:rsid w:val="0099063C"/>
    <w:rsid w:val="00990A86"/>
    <w:rsid w:val="00990BA7"/>
    <w:rsid w:val="00990BDC"/>
    <w:rsid w:val="00990C9F"/>
    <w:rsid w:val="009910E8"/>
    <w:rsid w:val="00991445"/>
    <w:rsid w:val="00991611"/>
    <w:rsid w:val="00991AA5"/>
    <w:rsid w:val="00991BC2"/>
    <w:rsid w:val="00991FB2"/>
    <w:rsid w:val="009923D8"/>
    <w:rsid w:val="0099247E"/>
    <w:rsid w:val="0099287E"/>
    <w:rsid w:val="00992DAB"/>
    <w:rsid w:val="00992DAC"/>
    <w:rsid w:val="00992F53"/>
    <w:rsid w:val="0099318F"/>
    <w:rsid w:val="009932CF"/>
    <w:rsid w:val="00993313"/>
    <w:rsid w:val="0099350C"/>
    <w:rsid w:val="009941BA"/>
    <w:rsid w:val="00994311"/>
    <w:rsid w:val="009943F1"/>
    <w:rsid w:val="009948BB"/>
    <w:rsid w:val="00994BEA"/>
    <w:rsid w:val="00994F72"/>
    <w:rsid w:val="00994FF0"/>
    <w:rsid w:val="00995224"/>
    <w:rsid w:val="00995417"/>
    <w:rsid w:val="00995443"/>
    <w:rsid w:val="00995503"/>
    <w:rsid w:val="0099570E"/>
    <w:rsid w:val="00995A09"/>
    <w:rsid w:val="00995F18"/>
    <w:rsid w:val="00995F9D"/>
    <w:rsid w:val="009963B2"/>
    <w:rsid w:val="0099683B"/>
    <w:rsid w:val="00996A29"/>
    <w:rsid w:val="00996B70"/>
    <w:rsid w:val="00996BBA"/>
    <w:rsid w:val="00996D05"/>
    <w:rsid w:val="00996DEE"/>
    <w:rsid w:val="00996DF1"/>
    <w:rsid w:val="00996F5A"/>
    <w:rsid w:val="00996F6E"/>
    <w:rsid w:val="00997024"/>
    <w:rsid w:val="009975BC"/>
    <w:rsid w:val="009978C0"/>
    <w:rsid w:val="00997F2C"/>
    <w:rsid w:val="00997FF9"/>
    <w:rsid w:val="009A0267"/>
    <w:rsid w:val="009A0387"/>
    <w:rsid w:val="009A05AA"/>
    <w:rsid w:val="009A06B1"/>
    <w:rsid w:val="009A083C"/>
    <w:rsid w:val="009A0B2F"/>
    <w:rsid w:val="009A0BAE"/>
    <w:rsid w:val="009A0C7B"/>
    <w:rsid w:val="009A0D09"/>
    <w:rsid w:val="009A0F2F"/>
    <w:rsid w:val="009A1120"/>
    <w:rsid w:val="009A1429"/>
    <w:rsid w:val="009A188C"/>
    <w:rsid w:val="009A1CEF"/>
    <w:rsid w:val="009A1E81"/>
    <w:rsid w:val="009A1F66"/>
    <w:rsid w:val="009A214F"/>
    <w:rsid w:val="009A235C"/>
    <w:rsid w:val="009A2494"/>
    <w:rsid w:val="009A2762"/>
    <w:rsid w:val="009A2896"/>
    <w:rsid w:val="009A2A02"/>
    <w:rsid w:val="009A2BF1"/>
    <w:rsid w:val="009A2CC8"/>
    <w:rsid w:val="009A2D36"/>
    <w:rsid w:val="009A3276"/>
    <w:rsid w:val="009A36EA"/>
    <w:rsid w:val="009A39A4"/>
    <w:rsid w:val="009A3ACE"/>
    <w:rsid w:val="009A3C46"/>
    <w:rsid w:val="009A3E96"/>
    <w:rsid w:val="009A3FA5"/>
    <w:rsid w:val="009A4021"/>
    <w:rsid w:val="009A44B1"/>
    <w:rsid w:val="009A4544"/>
    <w:rsid w:val="009A4AF5"/>
    <w:rsid w:val="009A56EF"/>
    <w:rsid w:val="009A5713"/>
    <w:rsid w:val="009A579C"/>
    <w:rsid w:val="009A5A2A"/>
    <w:rsid w:val="009A5B87"/>
    <w:rsid w:val="009A5C42"/>
    <w:rsid w:val="009A62EE"/>
    <w:rsid w:val="009A6429"/>
    <w:rsid w:val="009A6439"/>
    <w:rsid w:val="009A66F4"/>
    <w:rsid w:val="009A6A19"/>
    <w:rsid w:val="009A6B49"/>
    <w:rsid w:val="009A6E3E"/>
    <w:rsid w:val="009A6FC9"/>
    <w:rsid w:val="009A70A4"/>
    <w:rsid w:val="009A7786"/>
    <w:rsid w:val="009A7A8B"/>
    <w:rsid w:val="009B0564"/>
    <w:rsid w:val="009B06B3"/>
    <w:rsid w:val="009B11F5"/>
    <w:rsid w:val="009B1BB9"/>
    <w:rsid w:val="009B1C26"/>
    <w:rsid w:val="009B1C99"/>
    <w:rsid w:val="009B1CCF"/>
    <w:rsid w:val="009B1F1A"/>
    <w:rsid w:val="009B24A0"/>
    <w:rsid w:val="009B2934"/>
    <w:rsid w:val="009B29FD"/>
    <w:rsid w:val="009B2CEF"/>
    <w:rsid w:val="009B2E93"/>
    <w:rsid w:val="009B38D0"/>
    <w:rsid w:val="009B3917"/>
    <w:rsid w:val="009B3C51"/>
    <w:rsid w:val="009B4018"/>
    <w:rsid w:val="009B416B"/>
    <w:rsid w:val="009B423D"/>
    <w:rsid w:val="009B43EF"/>
    <w:rsid w:val="009B45CD"/>
    <w:rsid w:val="009B4727"/>
    <w:rsid w:val="009B48DA"/>
    <w:rsid w:val="009B4A75"/>
    <w:rsid w:val="009B4B7E"/>
    <w:rsid w:val="009B4CE3"/>
    <w:rsid w:val="009B4CE9"/>
    <w:rsid w:val="009B4DF1"/>
    <w:rsid w:val="009B50D3"/>
    <w:rsid w:val="009B5164"/>
    <w:rsid w:val="009B53CF"/>
    <w:rsid w:val="009B544B"/>
    <w:rsid w:val="009B5BD2"/>
    <w:rsid w:val="009B5FE9"/>
    <w:rsid w:val="009B6249"/>
    <w:rsid w:val="009B643A"/>
    <w:rsid w:val="009B674F"/>
    <w:rsid w:val="009B6A91"/>
    <w:rsid w:val="009B6BC9"/>
    <w:rsid w:val="009B6BD6"/>
    <w:rsid w:val="009B6C7E"/>
    <w:rsid w:val="009B6FDE"/>
    <w:rsid w:val="009B7068"/>
    <w:rsid w:val="009B7172"/>
    <w:rsid w:val="009B7243"/>
    <w:rsid w:val="009B78C0"/>
    <w:rsid w:val="009B7948"/>
    <w:rsid w:val="009B7C23"/>
    <w:rsid w:val="009B7D11"/>
    <w:rsid w:val="009B7F32"/>
    <w:rsid w:val="009C004A"/>
    <w:rsid w:val="009C011B"/>
    <w:rsid w:val="009C01DF"/>
    <w:rsid w:val="009C02EF"/>
    <w:rsid w:val="009C0F83"/>
    <w:rsid w:val="009C19C4"/>
    <w:rsid w:val="009C19EE"/>
    <w:rsid w:val="009C1D76"/>
    <w:rsid w:val="009C1EE3"/>
    <w:rsid w:val="009C222F"/>
    <w:rsid w:val="009C237D"/>
    <w:rsid w:val="009C27A8"/>
    <w:rsid w:val="009C2F56"/>
    <w:rsid w:val="009C30D3"/>
    <w:rsid w:val="009C3164"/>
    <w:rsid w:val="009C3685"/>
    <w:rsid w:val="009C3707"/>
    <w:rsid w:val="009C3941"/>
    <w:rsid w:val="009C3C13"/>
    <w:rsid w:val="009C3D08"/>
    <w:rsid w:val="009C3DB5"/>
    <w:rsid w:val="009C3F22"/>
    <w:rsid w:val="009C3F89"/>
    <w:rsid w:val="009C4267"/>
    <w:rsid w:val="009C4551"/>
    <w:rsid w:val="009C4877"/>
    <w:rsid w:val="009C52E9"/>
    <w:rsid w:val="009C565C"/>
    <w:rsid w:val="009C5AEC"/>
    <w:rsid w:val="009C5E92"/>
    <w:rsid w:val="009C66ED"/>
    <w:rsid w:val="009C6A74"/>
    <w:rsid w:val="009C6C65"/>
    <w:rsid w:val="009C6D55"/>
    <w:rsid w:val="009C6DD9"/>
    <w:rsid w:val="009C6E55"/>
    <w:rsid w:val="009C6F08"/>
    <w:rsid w:val="009C6F7F"/>
    <w:rsid w:val="009C7145"/>
    <w:rsid w:val="009C75BC"/>
    <w:rsid w:val="009C7894"/>
    <w:rsid w:val="009C79FE"/>
    <w:rsid w:val="009C7C28"/>
    <w:rsid w:val="009C7C8C"/>
    <w:rsid w:val="009C7CBD"/>
    <w:rsid w:val="009C7DF1"/>
    <w:rsid w:val="009C7DF7"/>
    <w:rsid w:val="009C7EB1"/>
    <w:rsid w:val="009D08B2"/>
    <w:rsid w:val="009D090E"/>
    <w:rsid w:val="009D0926"/>
    <w:rsid w:val="009D099B"/>
    <w:rsid w:val="009D0A05"/>
    <w:rsid w:val="009D0B9A"/>
    <w:rsid w:val="009D0C18"/>
    <w:rsid w:val="009D0C84"/>
    <w:rsid w:val="009D0D5B"/>
    <w:rsid w:val="009D0DC8"/>
    <w:rsid w:val="009D1259"/>
    <w:rsid w:val="009D1513"/>
    <w:rsid w:val="009D15D2"/>
    <w:rsid w:val="009D190B"/>
    <w:rsid w:val="009D1FB8"/>
    <w:rsid w:val="009D252F"/>
    <w:rsid w:val="009D2961"/>
    <w:rsid w:val="009D2B65"/>
    <w:rsid w:val="009D3319"/>
    <w:rsid w:val="009D34F2"/>
    <w:rsid w:val="009D3571"/>
    <w:rsid w:val="009D3758"/>
    <w:rsid w:val="009D3769"/>
    <w:rsid w:val="009D37DE"/>
    <w:rsid w:val="009D3DBD"/>
    <w:rsid w:val="009D3F5D"/>
    <w:rsid w:val="009D40D9"/>
    <w:rsid w:val="009D412C"/>
    <w:rsid w:val="009D4820"/>
    <w:rsid w:val="009D4951"/>
    <w:rsid w:val="009D49E8"/>
    <w:rsid w:val="009D4A50"/>
    <w:rsid w:val="009D4A70"/>
    <w:rsid w:val="009D5417"/>
    <w:rsid w:val="009D5779"/>
    <w:rsid w:val="009D5DF3"/>
    <w:rsid w:val="009D60CD"/>
    <w:rsid w:val="009D62E2"/>
    <w:rsid w:val="009D6638"/>
    <w:rsid w:val="009D6A02"/>
    <w:rsid w:val="009D6E68"/>
    <w:rsid w:val="009D6F57"/>
    <w:rsid w:val="009D712F"/>
    <w:rsid w:val="009D72FA"/>
    <w:rsid w:val="009D7603"/>
    <w:rsid w:val="009D77F8"/>
    <w:rsid w:val="009D7856"/>
    <w:rsid w:val="009E02A0"/>
    <w:rsid w:val="009E03CE"/>
    <w:rsid w:val="009E081D"/>
    <w:rsid w:val="009E0AAA"/>
    <w:rsid w:val="009E0D49"/>
    <w:rsid w:val="009E1026"/>
    <w:rsid w:val="009E139E"/>
    <w:rsid w:val="009E1566"/>
    <w:rsid w:val="009E178B"/>
    <w:rsid w:val="009E188F"/>
    <w:rsid w:val="009E196B"/>
    <w:rsid w:val="009E1A35"/>
    <w:rsid w:val="009E1C43"/>
    <w:rsid w:val="009E1FE6"/>
    <w:rsid w:val="009E21CB"/>
    <w:rsid w:val="009E2239"/>
    <w:rsid w:val="009E246A"/>
    <w:rsid w:val="009E2543"/>
    <w:rsid w:val="009E25B0"/>
    <w:rsid w:val="009E25F9"/>
    <w:rsid w:val="009E26CF"/>
    <w:rsid w:val="009E2832"/>
    <w:rsid w:val="009E2891"/>
    <w:rsid w:val="009E2F17"/>
    <w:rsid w:val="009E2F23"/>
    <w:rsid w:val="009E2F6F"/>
    <w:rsid w:val="009E309B"/>
    <w:rsid w:val="009E342C"/>
    <w:rsid w:val="009E3488"/>
    <w:rsid w:val="009E3495"/>
    <w:rsid w:val="009E3772"/>
    <w:rsid w:val="009E381A"/>
    <w:rsid w:val="009E38C1"/>
    <w:rsid w:val="009E38E3"/>
    <w:rsid w:val="009E392C"/>
    <w:rsid w:val="009E3C5C"/>
    <w:rsid w:val="009E3EEC"/>
    <w:rsid w:val="009E401D"/>
    <w:rsid w:val="009E4487"/>
    <w:rsid w:val="009E45F4"/>
    <w:rsid w:val="009E4D70"/>
    <w:rsid w:val="009E4E71"/>
    <w:rsid w:val="009E5048"/>
    <w:rsid w:val="009E568D"/>
    <w:rsid w:val="009E5964"/>
    <w:rsid w:val="009E5DD2"/>
    <w:rsid w:val="009E60E3"/>
    <w:rsid w:val="009E6136"/>
    <w:rsid w:val="009E62C7"/>
    <w:rsid w:val="009E63EF"/>
    <w:rsid w:val="009E6724"/>
    <w:rsid w:val="009E6756"/>
    <w:rsid w:val="009E6780"/>
    <w:rsid w:val="009E6A89"/>
    <w:rsid w:val="009E6B6D"/>
    <w:rsid w:val="009E6E8D"/>
    <w:rsid w:val="009E747B"/>
    <w:rsid w:val="009E7672"/>
    <w:rsid w:val="009E7AB5"/>
    <w:rsid w:val="009E7EC3"/>
    <w:rsid w:val="009F0413"/>
    <w:rsid w:val="009F0472"/>
    <w:rsid w:val="009F072B"/>
    <w:rsid w:val="009F0984"/>
    <w:rsid w:val="009F0AFC"/>
    <w:rsid w:val="009F0BA7"/>
    <w:rsid w:val="009F0D45"/>
    <w:rsid w:val="009F0DC1"/>
    <w:rsid w:val="009F0EB3"/>
    <w:rsid w:val="009F0FED"/>
    <w:rsid w:val="009F14E5"/>
    <w:rsid w:val="009F16A9"/>
    <w:rsid w:val="009F17F5"/>
    <w:rsid w:val="009F1A6D"/>
    <w:rsid w:val="009F1BEA"/>
    <w:rsid w:val="009F1D44"/>
    <w:rsid w:val="009F1D8B"/>
    <w:rsid w:val="009F1F10"/>
    <w:rsid w:val="009F23E0"/>
    <w:rsid w:val="009F2550"/>
    <w:rsid w:val="009F26D8"/>
    <w:rsid w:val="009F2845"/>
    <w:rsid w:val="009F2870"/>
    <w:rsid w:val="009F29A6"/>
    <w:rsid w:val="009F2AA9"/>
    <w:rsid w:val="009F2B4C"/>
    <w:rsid w:val="009F2F6B"/>
    <w:rsid w:val="009F302C"/>
    <w:rsid w:val="009F31C7"/>
    <w:rsid w:val="009F326B"/>
    <w:rsid w:val="009F35AC"/>
    <w:rsid w:val="009F370F"/>
    <w:rsid w:val="009F3C52"/>
    <w:rsid w:val="009F3C95"/>
    <w:rsid w:val="009F3D1B"/>
    <w:rsid w:val="009F400A"/>
    <w:rsid w:val="009F404C"/>
    <w:rsid w:val="009F451E"/>
    <w:rsid w:val="009F46C4"/>
    <w:rsid w:val="009F4874"/>
    <w:rsid w:val="009F4879"/>
    <w:rsid w:val="009F4A54"/>
    <w:rsid w:val="009F4BB8"/>
    <w:rsid w:val="009F4D75"/>
    <w:rsid w:val="009F4EB8"/>
    <w:rsid w:val="009F4F2E"/>
    <w:rsid w:val="009F4F84"/>
    <w:rsid w:val="009F5139"/>
    <w:rsid w:val="009F515B"/>
    <w:rsid w:val="009F5278"/>
    <w:rsid w:val="009F52E1"/>
    <w:rsid w:val="009F5C14"/>
    <w:rsid w:val="009F6282"/>
    <w:rsid w:val="009F644F"/>
    <w:rsid w:val="009F6486"/>
    <w:rsid w:val="009F6587"/>
    <w:rsid w:val="009F662A"/>
    <w:rsid w:val="009F671E"/>
    <w:rsid w:val="009F6877"/>
    <w:rsid w:val="009F6FDA"/>
    <w:rsid w:val="009F72BB"/>
    <w:rsid w:val="009F72E9"/>
    <w:rsid w:val="009F73F7"/>
    <w:rsid w:val="009F75CB"/>
    <w:rsid w:val="009F777D"/>
    <w:rsid w:val="009F787E"/>
    <w:rsid w:val="009F78CB"/>
    <w:rsid w:val="009F7B79"/>
    <w:rsid w:val="009F7C94"/>
    <w:rsid w:val="00A0035C"/>
    <w:rsid w:val="00A00AD6"/>
    <w:rsid w:val="00A00F10"/>
    <w:rsid w:val="00A00F3C"/>
    <w:rsid w:val="00A00FFA"/>
    <w:rsid w:val="00A011E5"/>
    <w:rsid w:val="00A0144A"/>
    <w:rsid w:val="00A01BA5"/>
    <w:rsid w:val="00A01F1A"/>
    <w:rsid w:val="00A02145"/>
    <w:rsid w:val="00A021B9"/>
    <w:rsid w:val="00A02ABD"/>
    <w:rsid w:val="00A02AD6"/>
    <w:rsid w:val="00A02D04"/>
    <w:rsid w:val="00A02F46"/>
    <w:rsid w:val="00A03437"/>
    <w:rsid w:val="00A0353E"/>
    <w:rsid w:val="00A036BE"/>
    <w:rsid w:val="00A037D5"/>
    <w:rsid w:val="00A039D1"/>
    <w:rsid w:val="00A04442"/>
    <w:rsid w:val="00A04502"/>
    <w:rsid w:val="00A0479F"/>
    <w:rsid w:val="00A04BDB"/>
    <w:rsid w:val="00A04CF4"/>
    <w:rsid w:val="00A04F8C"/>
    <w:rsid w:val="00A05198"/>
    <w:rsid w:val="00A051F3"/>
    <w:rsid w:val="00A05463"/>
    <w:rsid w:val="00A054C6"/>
    <w:rsid w:val="00A054D1"/>
    <w:rsid w:val="00A0558C"/>
    <w:rsid w:val="00A0565E"/>
    <w:rsid w:val="00A05840"/>
    <w:rsid w:val="00A05B1B"/>
    <w:rsid w:val="00A05D1E"/>
    <w:rsid w:val="00A05F99"/>
    <w:rsid w:val="00A06168"/>
    <w:rsid w:val="00A064C3"/>
    <w:rsid w:val="00A06615"/>
    <w:rsid w:val="00A0692A"/>
    <w:rsid w:val="00A06BBB"/>
    <w:rsid w:val="00A06CE2"/>
    <w:rsid w:val="00A06CFF"/>
    <w:rsid w:val="00A078B8"/>
    <w:rsid w:val="00A07F3D"/>
    <w:rsid w:val="00A100F6"/>
    <w:rsid w:val="00A101BE"/>
    <w:rsid w:val="00A1068C"/>
    <w:rsid w:val="00A108CE"/>
    <w:rsid w:val="00A10968"/>
    <w:rsid w:val="00A109AC"/>
    <w:rsid w:val="00A109F0"/>
    <w:rsid w:val="00A10ACA"/>
    <w:rsid w:val="00A10D58"/>
    <w:rsid w:val="00A10FB4"/>
    <w:rsid w:val="00A1117A"/>
    <w:rsid w:val="00A1147B"/>
    <w:rsid w:val="00A1185F"/>
    <w:rsid w:val="00A11C59"/>
    <w:rsid w:val="00A11CD3"/>
    <w:rsid w:val="00A11E36"/>
    <w:rsid w:val="00A11F05"/>
    <w:rsid w:val="00A120EF"/>
    <w:rsid w:val="00A12128"/>
    <w:rsid w:val="00A1250B"/>
    <w:rsid w:val="00A12821"/>
    <w:rsid w:val="00A129F8"/>
    <w:rsid w:val="00A12BE0"/>
    <w:rsid w:val="00A1317B"/>
    <w:rsid w:val="00A13296"/>
    <w:rsid w:val="00A132B0"/>
    <w:rsid w:val="00A13679"/>
    <w:rsid w:val="00A137C7"/>
    <w:rsid w:val="00A1405B"/>
    <w:rsid w:val="00A14076"/>
    <w:rsid w:val="00A140C8"/>
    <w:rsid w:val="00A141DD"/>
    <w:rsid w:val="00A143E6"/>
    <w:rsid w:val="00A14734"/>
    <w:rsid w:val="00A14F75"/>
    <w:rsid w:val="00A1504C"/>
    <w:rsid w:val="00A150FE"/>
    <w:rsid w:val="00A15310"/>
    <w:rsid w:val="00A15506"/>
    <w:rsid w:val="00A15581"/>
    <w:rsid w:val="00A1575C"/>
    <w:rsid w:val="00A1580A"/>
    <w:rsid w:val="00A15997"/>
    <w:rsid w:val="00A159D8"/>
    <w:rsid w:val="00A15CCE"/>
    <w:rsid w:val="00A15F2C"/>
    <w:rsid w:val="00A160B4"/>
    <w:rsid w:val="00A16456"/>
    <w:rsid w:val="00A164A4"/>
    <w:rsid w:val="00A166E8"/>
    <w:rsid w:val="00A1696F"/>
    <w:rsid w:val="00A16DCE"/>
    <w:rsid w:val="00A16F8D"/>
    <w:rsid w:val="00A16FC8"/>
    <w:rsid w:val="00A1707A"/>
    <w:rsid w:val="00A1721B"/>
    <w:rsid w:val="00A174A0"/>
    <w:rsid w:val="00A17693"/>
    <w:rsid w:val="00A176A5"/>
    <w:rsid w:val="00A17712"/>
    <w:rsid w:val="00A17954"/>
    <w:rsid w:val="00A17A4B"/>
    <w:rsid w:val="00A17BB5"/>
    <w:rsid w:val="00A17CFA"/>
    <w:rsid w:val="00A2027B"/>
    <w:rsid w:val="00A204FA"/>
    <w:rsid w:val="00A20507"/>
    <w:rsid w:val="00A205B3"/>
    <w:rsid w:val="00A20892"/>
    <w:rsid w:val="00A208A8"/>
    <w:rsid w:val="00A2128F"/>
    <w:rsid w:val="00A212A9"/>
    <w:rsid w:val="00A212C1"/>
    <w:rsid w:val="00A2131C"/>
    <w:rsid w:val="00A213EF"/>
    <w:rsid w:val="00A214A2"/>
    <w:rsid w:val="00A219CF"/>
    <w:rsid w:val="00A21A66"/>
    <w:rsid w:val="00A21C1E"/>
    <w:rsid w:val="00A22089"/>
    <w:rsid w:val="00A22119"/>
    <w:rsid w:val="00A2229F"/>
    <w:rsid w:val="00A2241D"/>
    <w:rsid w:val="00A225E0"/>
    <w:rsid w:val="00A226A2"/>
    <w:rsid w:val="00A227A0"/>
    <w:rsid w:val="00A2283B"/>
    <w:rsid w:val="00A2296F"/>
    <w:rsid w:val="00A229DC"/>
    <w:rsid w:val="00A22BC4"/>
    <w:rsid w:val="00A22CBF"/>
    <w:rsid w:val="00A22E73"/>
    <w:rsid w:val="00A22FCB"/>
    <w:rsid w:val="00A230E9"/>
    <w:rsid w:val="00A2315A"/>
    <w:rsid w:val="00A236F9"/>
    <w:rsid w:val="00A237BE"/>
    <w:rsid w:val="00A23A2D"/>
    <w:rsid w:val="00A23A92"/>
    <w:rsid w:val="00A23AB5"/>
    <w:rsid w:val="00A23BF2"/>
    <w:rsid w:val="00A23E0E"/>
    <w:rsid w:val="00A23F18"/>
    <w:rsid w:val="00A24055"/>
    <w:rsid w:val="00A24224"/>
    <w:rsid w:val="00A24A00"/>
    <w:rsid w:val="00A25299"/>
    <w:rsid w:val="00A25384"/>
    <w:rsid w:val="00A2559B"/>
    <w:rsid w:val="00A25619"/>
    <w:rsid w:val="00A2563F"/>
    <w:rsid w:val="00A25789"/>
    <w:rsid w:val="00A2606B"/>
    <w:rsid w:val="00A26093"/>
    <w:rsid w:val="00A26218"/>
    <w:rsid w:val="00A26B0B"/>
    <w:rsid w:val="00A26C42"/>
    <w:rsid w:val="00A26DB2"/>
    <w:rsid w:val="00A26F3F"/>
    <w:rsid w:val="00A2734A"/>
    <w:rsid w:val="00A27379"/>
    <w:rsid w:val="00A274A8"/>
    <w:rsid w:val="00A27CF5"/>
    <w:rsid w:val="00A27FC6"/>
    <w:rsid w:val="00A3025F"/>
    <w:rsid w:val="00A3038D"/>
    <w:rsid w:val="00A30416"/>
    <w:rsid w:val="00A305E7"/>
    <w:rsid w:val="00A3072A"/>
    <w:rsid w:val="00A307C2"/>
    <w:rsid w:val="00A308BA"/>
    <w:rsid w:val="00A30E72"/>
    <w:rsid w:val="00A30ED6"/>
    <w:rsid w:val="00A31142"/>
    <w:rsid w:val="00A312C8"/>
    <w:rsid w:val="00A313AA"/>
    <w:rsid w:val="00A316D3"/>
    <w:rsid w:val="00A31766"/>
    <w:rsid w:val="00A31DD7"/>
    <w:rsid w:val="00A31F93"/>
    <w:rsid w:val="00A31FEC"/>
    <w:rsid w:val="00A325D4"/>
    <w:rsid w:val="00A32956"/>
    <w:rsid w:val="00A32BA6"/>
    <w:rsid w:val="00A32D28"/>
    <w:rsid w:val="00A32F38"/>
    <w:rsid w:val="00A33198"/>
    <w:rsid w:val="00A333DD"/>
    <w:rsid w:val="00A3379B"/>
    <w:rsid w:val="00A33CB5"/>
    <w:rsid w:val="00A33D63"/>
    <w:rsid w:val="00A33D67"/>
    <w:rsid w:val="00A34106"/>
    <w:rsid w:val="00A3468F"/>
    <w:rsid w:val="00A3469D"/>
    <w:rsid w:val="00A34736"/>
    <w:rsid w:val="00A347BD"/>
    <w:rsid w:val="00A34C39"/>
    <w:rsid w:val="00A35278"/>
    <w:rsid w:val="00A3559F"/>
    <w:rsid w:val="00A355AC"/>
    <w:rsid w:val="00A358A9"/>
    <w:rsid w:val="00A35910"/>
    <w:rsid w:val="00A35C64"/>
    <w:rsid w:val="00A35CD6"/>
    <w:rsid w:val="00A35EF3"/>
    <w:rsid w:val="00A363A0"/>
    <w:rsid w:val="00A363DC"/>
    <w:rsid w:val="00A3647D"/>
    <w:rsid w:val="00A366E5"/>
    <w:rsid w:val="00A36A5B"/>
    <w:rsid w:val="00A36B62"/>
    <w:rsid w:val="00A36D90"/>
    <w:rsid w:val="00A36F85"/>
    <w:rsid w:val="00A36FA5"/>
    <w:rsid w:val="00A37232"/>
    <w:rsid w:val="00A3747F"/>
    <w:rsid w:val="00A377D4"/>
    <w:rsid w:val="00A37A21"/>
    <w:rsid w:val="00A37AEC"/>
    <w:rsid w:val="00A37B74"/>
    <w:rsid w:val="00A37D6A"/>
    <w:rsid w:val="00A37E3D"/>
    <w:rsid w:val="00A40212"/>
    <w:rsid w:val="00A4022B"/>
    <w:rsid w:val="00A4042A"/>
    <w:rsid w:val="00A405C5"/>
    <w:rsid w:val="00A4073B"/>
    <w:rsid w:val="00A4100B"/>
    <w:rsid w:val="00A41089"/>
    <w:rsid w:val="00A4121C"/>
    <w:rsid w:val="00A41A54"/>
    <w:rsid w:val="00A41C53"/>
    <w:rsid w:val="00A41D42"/>
    <w:rsid w:val="00A41DB0"/>
    <w:rsid w:val="00A41EF6"/>
    <w:rsid w:val="00A423A6"/>
    <w:rsid w:val="00A42497"/>
    <w:rsid w:val="00A4259B"/>
    <w:rsid w:val="00A42689"/>
    <w:rsid w:val="00A42730"/>
    <w:rsid w:val="00A428D7"/>
    <w:rsid w:val="00A42BBC"/>
    <w:rsid w:val="00A42FCB"/>
    <w:rsid w:val="00A436A9"/>
    <w:rsid w:val="00A43A7C"/>
    <w:rsid w:val="00A43B3B"/>
    <w:rsid w:val="00A43EDB"/>
    <w:rsid w:val="00A446E1"/>
    <w:rsid w:val="00A4470B"/>
    <w:rsid w:val="00A447CF"/>
    <w:rsid w:val="00A44A2A"/>
    <w:rsid w:val="00A44B2F"/>
    <w:rsid w:val="00A44BB6"/>
    <w:rsid w:val="00A45812"/>
    <w:rsid w:val="00A45F37"/>
    <w:rsid w:val="00A46357"/>
    <w:rsid w:val="00A463EC"/>
    <w:rsid w:val="00A4649A"/>
    <w:rsid w:val="00A466AC"/>
    <w:rsid w:val="00A467FB"/>
    <w:rsid w:val="00A46A9F"/>
    <w:rsid w:val="00A46ACC"/>
    <w:rsid w:val="00A46BE9"/>
    <w:rsid w:val="00A47100"/>
    <w:rsid w:val="00A47178"/>
    <w:rsid w:val="00A47378"/>
    <w:rsid w:val="00A475AB"/>
    <w:rsid w:val="00A477CF"/>
    <w:rsid w:val="00A479F5"/>
    <w:rsid w:val="00A47A0C"/>
    <w:rsid w:val="00A47DE5"/>
    <w:rsid w:val="00A47F27"/>
    <w:rsid w:val="00A50107"/>
    <w:rsid w:val="00A50562"/>
    <w:rsid w:val="00A51170"/>
    <w:rsid w:val="00A516D4"/>
    <w:rsid w:val="00A518C1"/>
    <w:rsid w:val="00A51BE3"/>
    <w:rsid w:val="00A51F62"/>
    <w:rsid w:val="00A52293"/>
    <w:rsid w:val="00A527D1"/>
    <w:rsid w:val="00A52B94"/>
    <w:rsid w:val="00A52CDB"/>
    <w:rsid w:val="00A52DFC"/>
    <w:rsid w:val="00A531BA"/>
    <w:rsid w:val="00A534C3"/>
    <w:rsid w:val="00A53790"/>
    <w:rsid w:val="00A5381A"/>
    <w:rsid w:val="00A53867"/>
    <w:rsid w:val="00A538F1"/>
    <w:rsid w:val="00A53A93"/>
    <w:rsid w:val="00A53D1F"/>
    <w:rsid w:val="00A53F02"/>
    <w:rsid w:val="00A542E8"/>
    <w:rsid w:val="00A546B7"/>
    <w:rsid w:val="00A54916"/>
    <w:rsid w:val="00A54C45"/>
    <w:rsid w:val="00A54D23"/>
    <w:rsid w:val="00A54D2A"/>
    <w:rsid w:val="00A54F62"/>
    <w:rsid w:val="00A54F92"/>
    <w:rsid w:val="00A5532E"/>
    <w:rsid w:val="00A55556"/>
    <w:rsid w:val="00A556B6"/>
    <w:rsid w:val="00A559D2"/>
    <w:rsid w:val="00A55A6C"/>
    <w:rsid w:val="00A55C3C"/>
    <w:rsid w:val="00A55C87"/>
    <w:rsid w:val="00A55D8B"/>
    <w:rsid w:val="00A55DFC"/>
    <w:rsid w:val="00A56351"/>
    <w:rsid w:val="00A56D18"/>
    <w:rsid w:val="00A56E8F"/>
    <w:rsid w:val="00A5730B"/>
    <w:rsid w:val="00A5769E"/>
    <w:rsid w:val="00A576DE"/>
    <w:rsid w:val="00A5799D"/>
    <w:rsid w:val="00A57A1F"/>
    <w:rsid w:val="00A57B8B"/>
    <w:rsid w:val="00A60020"/>
    <w:rsid w:val="00A60448"/>
    <w:rsid w:val="00A604C3"/>
    <w:rsid w:val="00A607DD"/>
    <w:rsid w:val="00A60941"/>
    <w:rsid w:val="00A61383"/>
    <w:rsid w:val="00A61597"/>
    <w:rsid w:val="00A61CF6"/>
    <w:rsid w:val="00A61D5E"/>
    <w:rsid w:val="00A61E86"/>
    <w:rsid w:val="00A61EFF"/>
    <w:rsid w:val="00A62040"/>
    <w:rsid w:val="00A623EC"/>
    <w:rsid w:val="00A62BBB"/>
    <w:rsid w:val="00A63513"/>
    <w:rsid w:val="00A635FC"/>
    <w:rsid w:val="00A63A28"/>
    <w:rsid w:val="00A63BB1"/>
    <w:rsid w:val="00A6415E"/>
    <w:rsid w:val="00A64356"/>
    <w:rsid w:val="00A643A8"/>
    <w:rsid w:val="00A648C6"/>
    <w:rsid w:val="00A6496E"/>
    <w:rsid w:val="00A6519E"/>
    <w:rsid w:val="00A65412"/>
    <w:rsid w:val="00A65AAA"/>
    <w:rsid w:val="00A65DBA"/>
    <w:rsid w:val="00A666DC"/>
    <w:rsid w:val="00A66A09"/>
    <w:rsid w:val="00A66D7D"/>
    <w:rsid w:val="00A66DAA"/>
    <w:rsid w:val="00A66E97"/>
    <w:rsid w:val="00A67105"/>
    <w:rsid w:val="00A67B77"/>
    <w:rsid w:val="00A67B85"/>
    <w:rsid w:val="00A67E55"/>
    <w:rsid w:val="00A67FEB"/>
    <w:rsid w:val="00A700A4"/>
    <w:rsid w:val="00A7037A"/>
    <w:rsid w:val="00A703AB"/>
    <w:rsid w:val="00A7058E"/>
    <w:rsid w:val="00A70781"/>
    <w:rsid w:val="00A70DA7"/>
    <w:rsid w:val="00A70DC7"/>
    <w:rsid w:val="00A714F1"/>
    <w:rsid w:val="00A714F2"/>
    <w:rsid w:val="00A7189A"/>
    <w:rsid w:val="00A71AD7"/>
    <w:rsid w:val="00A71C9A"/>
    <w:rsid w:val="00A72190"/>
    <w:rsid w:val="00A722C4"/>
    <w:rsid w:val="00A72608"/>
    <w:rsid w:val="00A728B9"/>
    <w:rsid w:val="00A728FD"/>
    <w:rsid w:val="00A72B25"/>
    <w:rsid w:val="00A72B7A"/>
    <w:rsid w:val="00A7313F"/>
    <w:rsid w:val="00A7334E"/>
    <w:rsid w:val="00A73410"/>
    <w:rsid w:val="00A73769"/>
    <w:rsid w:val="00A737C0"/>
    <w:rsid w:val="00A739A5"/>
    <w:rsid w:val="00A73C15"/>
    <w:rsid w:val="00A73CCE"/>
    <w:rsid w:val="00A73CDB"/>
    <w:rsid w:val="00A73DCB"/>
    <w:rsid w:val="00A742FB"/>
    <w:rsid w:val="00A7430F"/>
    <w:rsid w:val="00A74CFE"/>
    <w:rsid w:val="00A74ECB"/>
    <w:rsid w:val="00A7506A"/>
    <w:rsid w:val="00A75097"/>
    <w:rsid w:val="00A7522F"/>
    <w:rsid w:val="00A75264"/>
    <w:rsid w:val="00A756B4"/>
    <w:rsid w:val="00A75756"/>
    <w:rsid w:val="00A757F7"/>
    <w:rsid w:val="00A75836"/>
    <w:rsid w:val="00A758E1"/>
    <w:rsid w:val="00A75C71"/>
    <w:rsid w:val="00A75CCC"/>
    <w:rsid w:val="00A75D93"/>
    <w:rsid w:val="00A75F2A"/>
    <w:rsid w:val="00A7623C"/>
    <w:rsid w:val="00A76543"/>
    <w:rsid w:val="00A768C5"/>
    <w:rsid w:val="00A76A80"/>
    <w:rsid w:val="00A76AD6"/>
    <w:rsid w:val="00A76B8E"/>
    <w:rsid w:val="00A76B9D"/>
    <w:rsid w:val="00A76EF5"/>
    <w:rsid w:val="00A771BB"/>
    <w:rsid w:val="00A7722F"/>
    <w:rsid w:val="00A77393"/>
    <w:rsid w:val="00A77535"/>
    <w:rsid w:val="00A776A3"/>
    <w:rsid w:val="00A77939"/>
    <w:rsid w:val="00A77944"/>
    <w:rsid w:val="00A77A79"/>
    <w:rsid w:val="00A77AA0"/>
    <w:rsid w:val="00A80090"/>
    <w:rsid w:val="00A800B9"/>
    <w:rsid w:val="00A8041C"/>
    <w:rsid w:val="00A80793"/>
    <w:rsid w:val="00A80A78"/>
    <w:rsid w:val="00A80BCD"/>
    <w:rsid w:val="00A81061"/>
    <w:rsid w:val="00A8115B"/>
    <w:rsid w:val="00A81A68"/>
    <w:rsid w:val="00A81B99"/>
    <w:rsid w:val="00A8263F"/>
    <w:rsid w:val="00A82856"/>
    <w:rsid w:val="00A82DC4"/>
    <w:rsid w:val="00A82E62"/>
    <w:rsid w:val="00A82EE1"/>
    <w:rsid w:val="00A82F30"/>
    <w:rsid w:val="00A830A0"/>
    <w:rsid w:val="00A831C8"/>
    <w:rsid w:val="00A832C5"/>
    <w:rsid w:val="00A833C7"/>
    <w:rsid w:val="00A833E6"/>
    <w:rsid w:val="00A83547"/>
    <w:rsid w:val="00A83644"/>
    <w:rsid w:val="00A83800"/>
    <w:rsid w:val="00A84186"/>
    <w:rsid w:val="00A84273"/>
    <w:rsid w:val="00A843B2"/>
    <w:rsid w:val="00A843C8"/>
    <w:rsid w:val="00A84480"/>
    <w:rsid w:val="00A844C4"/>
    <w:rsid w:val="00A845A9"/>
    <w:rsid w:val="00A84688"/>
    <w:rsid w:val="00A846E4"/>
    <w:rsid w:val="00A84B82"/>
    <w:rsid w:val="00A84C4A"/>
    <w:rsid w:val="00A84CC0"/>
    <w:rsid w:val="00A84D11"/>
    <w:rsid w:val="00A84F68"/>
    <w:rsid w:val="00A84FFC"/>
    <w:rsid w:val="00A85214"/>
    <w:rsid w:val="00A856BF"/>
    <w:rsid w:val="00A85933"/>
    <w:rsid w:val="00A859BD"/>
    <w:rsid w:val="00A85C36"/>
    <w:rsid w:val="00A8615B"/>
    <w:rsid w:val="00A86515"/>
    <w:rsid w:val="00A8656F"/>
    <w:rsid w:val="00A86634"/>
    <w:rsid w:val="00A86814"/>
    <w:rsid w:val="00A86825"/>
    <w:rsid w:val="00A86BB8"/>
    <w:rsid w:val="00A86DA0"/>
    <w:rsid w:val="00A86DD0"/>
    <w:rsid w:val="00A8727A"/>
    <w:rsid w:val="00A87476"/>
    <w:rsid w:val="00A877C1"/>
    <w:rsid w:val="00A879B2"/>
    <w:rsid w:val="00A87AC7"/>
    <w:rsid w:val="00A87BD2"/>
    <w:rsid w:val="00A87C75"/>
    <w:rsid w:val="00A87D4F"/>
    <w:rsid w:val="00A87F34"/>
    <w:rsid w:val="00A905A9"/>
    <w:rsid w:val="00A90BE8"/>
    <w:rsid w:val="00A9105D"/>
    <w:rsid w:val="00A91278"/>
    <w:rsid w:val="00A9175B"/>
    <w:rsid w:val="00A922E4"/>
    <w:rsid w:val="00A92A09"/>
    <w:rsid w:val="00A92AEA"/>
    <w:rsid w:val="00A92C6B"/>
    <w:rsid w:val="00A92E53"/>
    <w:rsid w:val="00A92F5A"/>
    <w:rsid w:val="00A936C3"/>
    <w:rsid w:val="00A93B9D"/>
    <w:rsid w:val="00A94274"/>
    <w:rsid w:val="00A94766"/>
    <w:rsid w:val="00A948F8"/>
    <w:rsid w:val="00A950A0"/>
    <w:rsid w:val="00A950D2"/>
    <w:rsid w:val="00A95109"/>
    <w:rsid w:val="00A9529E"/>
    <w:rsid w:val="00A9538F"/>
    <w:rsid w:val="00A954BC"/>
    <w:rsid w:val="00A9560C"/>
    <w:rsid w:val="00A956E7"/>
    <w:rsid w:val="00A95883"/>
    <w:rsid w:val="00A95A58"/>
    <w:rsid w:val="00A95FDE"/>
    <w:rsid w:val="00A963E5"/>
    <w:rsid w:val="00A96718"/>
    <w:rsid w:val="00A96A2A"/>
    <w:rsid w:val="00A96AA4"/>
    <w:rsid w:val="00A96EF1"/>
    <w:rsid w:val="00A96F03"/>
    <w:rsid w:val="00A96F4D"/>
    <w:rsid w:val="00A97034"/>
    <w:rsid w:val="00AA043F"/>
    <w:rsid w:val="00AA0676"/>
    <w:rsid w:val="00AA067E"/>
    <w:rsid w:val="00AA07F1"/>
    <w:rsid w:val="00AA0B06"/>
    <w:rsid w:val="00AA0B63"/>
    <w:rsid w:val="00AA0B6B"/>
    <w:rsid w:val="00AA0CD3"/>
    <w:rsid w:val="00AA0D46"/>
    <w:rsid w:val="00AA11E5"/>
    <w:rsid w:val="00AA1216"/>
    <w:rsid w:val="00AA1240"/>
    <w:rsid w:val="00AA141D"/>
    <w:rsid w:val="00AA14C2"/>
    <w:rsid w:val="00AA15DE"/>
    <w:rsid w:val="00AA1FD9"/>
    <w:rsid w:val="00AA20E5"/>
    <w:rsid w:val="00AA2532"/>
    <w:rsid w:val="00AA269B"/>
    <w:rsid w:val="00AA2942"/>
    <w:rsid w:val="00AA2F1D"/>
    <w:rsid w:val="00AA2F88"/>
    <w:rsid w:val="00AA32B2"/>
    <w:rsid w:val="00AA34B7"/>
    <w:rsid w:val="00AA34F9"/>
    <w:rsid w:val="00AA35E7"/>
    <w:rsid w:val="00AA3C32"/>
    <w:rsid w:val="00AA3E6A"/>
    <w:rsid w:val="00AA3F14"/>
    <w:rsid w:val="00AA468F"/>
    <w:rsid w:val="00AA4A4D"/>
    <w:rsid w:val="00AA4C46"/>
    <w:rsid w:val="00AA4D35"/>
    <w:rsid w:val="00AA4FD2"/>
    <w:rsid w:val="00AA567F"/>
    <w:rsid w:val="00AA5C05"/>
    <w:rsid w:val="00AA5CA3"/>
    <w:rsid w:val="00AA5E4F"/>
    <w:rsid w:val="00AA6335"/>
    <w:rsid w:val="00AA661F"/>
    <w:rsid w:val="00AA66DA"/>
    <w:rsid w:val="00AA6914"/>
    <w:rsid w:val="00AA69B3"/>
    <w:rsid w:val="00AA6CAB"/>
    <w:rsid w:val="00AA6CC1"/>
    <w:rsid w:val="00AA711D"/>
    <w:rsid w:val="00AA7154"/>
    <w:rsid w:val="00AA72E9"/>
    <w:rsid w:val="00AA7342"/>
    <w:rsid w:val="00AA735B"/>
    <w:rsid w:val="00AA73E4"/>
    <w:rsid w:val="00AA755C"/>
    <w:rsid w:val="00AA76A0"/>
    <w:rsid w:val="00AA7B87"/>
    <w:rsid w:val="00AA7D16"/>
    <w:rsid w:val="00AA7E6E"/>
    <w:rsid w:val="00AB0029"/>
    <w:rsid w:val="00AB0376"/>
    <w:rsid w:val="00AB08BA"/>
    <w:rsid w:val="00AB0C90"/>
    <w:rsid w:val="00AB0D06"/>
    <w:rsid w:val="00AB0E62"/>
    <w:rsid w:val="00AB1019"/>
    <w:rsid w:val="00AB11CD"/>
    <w:rsid w:val="00AB13A6"/>
    <w:rsid w:val="00AB1649"/>
    <w:rsid w:val="00AB1893"/>
    <w:rsid w:val="00AB1E26"/>
    <w:rsid w:val="00AB2007"/>
    <w:rsid w:val="00AB2101"/>
    <w:rsid w:val="00AB23B6"/>
    <w:rsid w:val="00AB272D"/>
    <w:rsid w:val="00AB2C09"/>
    <w:rsid w:val="00AB2C6F"/>
    <w:rsid w:val="00AB2D26"/>
    <w:rsid w:val="00AB3361"/>
    <w:rsid w:val="00AB3663"/>
    <w:rsid w:val="00AB4450"/>
    <w:rsid w:val="00AB4696"/>
    <w:rsid w:val="00AB4981"/>
    <w:rsid w:val="00AB4BE5"/>
    <w:rsid w:val="00AB4C0A"/>
    <w:rsid w:val="00AB4C4E"/>
    <w:rsid w:val="00AB4E52"/>
    <w:rsid w:val="00AB4F65"/>
    <w:rsid w:val="00AB4FD1"/>
    <w:rsid w:val="00AB56E8"/>
    <w:rsid w:val="00AB5A6F"/>
    <w:rsid w:val="00AB5DB3"/>
    <w:rsid w:val="00AB5DD3"/>
    <w:rsid w:val="00AB63EE"/>
    <w:rsid w:val="00AB6707"/>
    <w:rsid w:val="00AB6A06"/>
    <w:rsid w:val="00AB6C0F"/>
    <w:rsid w:val="00AB6F29"/>
    <w:rsid w:val="00AB7088"/>
    <w:rsid w:val="00AB72F6"/>
    <w:rsid w:val="00AB7939"/>
    <w:rsid w:val="00AB7CCD"/>
    <w:rsid w:val="00AB7FCE"/>
    <w:rsid w:val="00AC0001"/>
    <w:rsid w:val="00AC00C1"/>
    <w:rsid w:val="00AC0200"/>
    <w:rsid w:val="00AC0473"/>
    <w:rsid w:val="00AC05AE"/>
    <w:rsid w:val="00AC0960"/>
    <w:rsid w:val="00AC0ED1"/>
    <w:rsid w:val="00AC1085"/>
    <w:rsid w:val="00AC10C4"/>
    <w:rsid w:val="00AC12C6"/>
    <w:rsid w:val="00AC1356"/>
    <w:rsid w:val="00AC1423"/>
    <w:rsid w:val="00AC1510"/>
    <w:rsid w:val="00AC16AA"/>
    <w:rsid w:val="00AC1A5D"/>
    <w:rsid w:val="00AC1BFD"/>
    <w:rsid w:val="00AC1D10"/>
    <w:rsid w:val="00AC1F6F"/>
    <w:rsid w:val="00AC24B7"/>
    <w:rsid w:val="00AC2A1F"/>
    <w:rsid w:val="00AC2B8A"/>
    <w:rsid w:val="00AC2FCA"/>
    <w:rsid w:val="00AC344A"/>
    <w:rsid w:val="00AC37EF"/>
    <w:rsid w:val="00AC397D"/>
    <w:rsid w:val="00AC3B95"/>
    <w:rsid w:val="00AC3CDA"/>
    <w:rsid w:val="00AC3CDF"/>
    <w:rsid w:val="00AC3DDE"/>
    <w:rsid w:val="00AC3E02"/>
    <w:rsid w:val="00AC3E97"/>
    <w:rsid w:val="00AC3EE6"/>
    <w:rsid w:val="00AC43D9"/>
    <w:rsid w:val="00AC43E3"/>
    <w:rsid w:val="00AC43FB"/>
    <w:rsid w:val="00AC4493"/>
    <w:rsid w:val="00AC471F"/>
    <w:rsid w:val="00AC4B27"/>
    <w:rsid w:val="00AC51A4"/>
    <w:rsid w:val="00AC55C9"/>
    <w:rsid w:val="00AC5B4D"/>
    <w:rsid w:val="00AC6256"/>
    <w:rsid w:val="00AC6586"/>
    <w:rsid w:val="00AC6AA8"/>
    <w:rsid w:val="00AC6B0B"/>
    <w:rsid w:val="00AC6C9E"/>
    <w:rsid w:val="00AC6D20"/>
    <w:rsid w:val="00AC6E38"/>
    <w:rsid w:val="00AC725F"/>
    <w:rsid w:val="00AC7522"/>
    <w:rsid w:val="00AC7637"/>
    <w:rsid w:val="00AC79E3"/>
    <w:rsid w:val="00AC7BAD"/>
    <w:rsid w:val="00AC7BD4"/>
    <w:rsid w:val="00AC7FC7"/>
    <w:rsid w:val="00AD0262"/>
    <w:rsid w:val="00AD02DC"/>
    <w:rsid w:val="00AD0629"/>
    <w:rsid w:val="00AD0926"/>
    <w:rsid w:val="00AD0A0F"/>
    <w:rsid w:val="00AD0BEF"/>
    <w:rsid w:val="00AD11FA"/>
    <w:rsid w:val="00AD1D9A"/>
    <w:rsid w:val="00AD1F30"/>
    <w:rsid w:val="00AD2464"/>
    <w:rsid w:val="00AD2AD1"/>
    <w:rsid w:val="00AD2C62"/>
    <w:rsid w:val="00AD2D89"/>
    <w:rsid w:val="00AD2D98"/>
    <w:rsid w:val="00AD2F18"/>
    <w:rsid w:val="00AD2F3C"/>
    <w:rsid w:val="00AD31E8"/>
    <w:rsid w:val="00AD3341"/>
    <w:rsid w:val="00AD34EB"/>
    <w:rsid w:val="00AD34F4"/>
    <w:rsid w:val="00AD3565"/>
    <w:rsid w:val="00AD362F"/>
    <w:rsid w:val="00AD36CF"/>
    <w:rsid w:val="00AD37C9"/>
    <w:rsid w:val="00AD38AE"/>
    <w:rsid w:val="00AD3967"/>
    <w:rsid w:val="00AD41FD"/>
    <w:rsid w:val="00AD4986"/>
    <w:rsid w:val="00AD557D"/>
    <w:rsid w:val="00AD56C6"/>
    <w:rsid w:val="00AD586B"/>
    <w:rsid w:val="00AD5BB1"/>
    <w:rsid w:val="00AD608D"/>
    <w:rsid w:val="00AD6602"/>
    <w:rsid w:val="00AD6856"/>
    <w:rsid w:val="00AD6903"/>
    <w:rsid w:val="00AD6988"/>
    <w:rsid w:val="00AD6ADB"/>
    <w:rsid w:val="00AD6B55"/>
    <w:rsid w:val="00AD6F6D"/>
    <w:rsid w:val="00AD6FCB"/>
    <w:rsid w:val="00AD75DD"/>
    <w:rsid w:val="00AD7673"/>
    <w:rsid w:val="00AD77D1"/>
    <w:rsid w:val="00AD78C5"/>
    <w:rsid w:val="00AD7902"/>
    <w:rsid w:val="00AD7B47"/>
    <w:rsid w:val="00AD7BB1"/>
    <w:rsid w:val="00AD7DA5"/>
    <w:rsid w:val="00AD7E79"/>
    <w:rsid w:val="00AE0055"/>
    <w:rsid w:val="00AE017C"/>
    <w:rsid w:val="00AE02B2"/>
    <w:rsid w:val="00AE04B7"/>
    <w:rsid w:val="00AE0610"/>
    <w:rsid w:val="00AE061E"/>
    <w:rsid w:val="00AE0B56"/>
    <w:rsid w:val="00AE0B88"/>
    <w:rsid w:val="00AE0E79"/>
    <w:rsid w:val="00AE1022"/>
    <w:rsid w:val="00AE11DE"/>
    <w:rsid w:val="00AE1455"/>
    <w:rsid w:val="00AE14D2"/>
    <w:rsid w:val="00AE152F"/>
    <w:rsid w:val="00AE153B"/>
    <w:rsid w:val="00AE1AC7"/>
    <w:rsid w:val="00AE1BC0"/>
    <w:rsid w:val="00AE1E55"/>
    <w:rsid w:val="00AE231B"/>
    <w:rsid w:val="00AE2756"/>
    <w:rsid w:val="00AE2ACA"/>
    <w:rsid w:val="00AE2AE5"/>
    <w:rsid w:val="00AE2F99"/>
    <w:rsid w:val="00AE3092"/>
    <w:rsid w:val="00AE3115"/>
    <w:rsid w:val="00AE315D"/>
    <w:rsid w:val="00AE338F"/>
    <w:rsid w:val="00AE36EB"/>
    <w:rsid w:val="00AE3729"/>
    <w:rsid w:val="00AE389D"/>
    <w:rsid w:val="00AE405E"/>
    <w:rsid w:val="00AE40A5"/>
    <w:rsid w:val="00AE4147"/>
    <w:rsid w:val="00AE4817"/>
    <w:rsid w:val="00AE4DA1"/>
    <w:rsid w:val="00AE507E"/>
    <w:rsid w:val="00AE53F3"/>
    <w:rsid w:val="00AE579E"/>
    <w:rsid w:val="00AE58BD"/>
    <w:rsid w:val="00AE591C"/>
    <w:rsid w:val="00AE5960"/>
    <w:rsid w:val="00AE597F"/>
    <w:rsid w:val="00AE5BE8"/>
    <w:rsid w:val="00AE5D3A"/>
    <w:rsid w:val="00AE66E0"/>
    <w:rsid w:val="00AE6913"/>
    <w:rsid w:val="00AE6D42"/>
    <w:rsid w:val="00AE6F4C"/>
    <w:rsid w:val="00AE6FD0"/>
    <w:rsid w:val="00AE70BA"/>
    <w:rsid w:val="00AE7553"/>
    <w:rsid w:val="00AE7783"/>
    <w:rsid w:val="00AE79D8"/>
    <w:rsid w:val="00AE7A0F"/>
    <w:rsid w:val="00AE7E15"/>
    <w:rsid w:val="00AE7E9C"/>
    <w:rsid w:val="00AF0114"/>
    <w:rsid w:val="00AF03F8"/>
    <w:rsid w:val="00AF041E"/>
    <w:rsid w:val="00AF0A50"/>
    <w:rsid w:val="00AF0C02"/>
    <w:rsid w:val="00AF0CFC"/>
    <w:rsid w:val="00AF0D20"/>
    <w:rsid w:val="00AF10EE"/>
    <w:rsid w:val="00AF11A0"/>
    <w:rsid w:val="00AF12F5"/>
    <w:rsid w:val="00AF16A7"/>
    <w:rsid w:val="00AF1FE6"/>
    <w:rsid w:val="00AF2194"/>
    <w:rsid w:val="00AF230B"/>
    <w:rsid w:val="00AF2482"/>
    <w:rsid w:val="00AF25D9"/>
    <w:rsid w:val="00AF26ED"/>
    <w:rsid w:val="00AF2884"/>
    <w:rsid w:val="00AF2931"/>
    <w:rsid w:val="00AF2E21"/>
    <w:rsid w:val="00AF3735"/>
    <w:rsid w:val="00AF3B05"/>
    <w:rsid w:val="00AF3BE0"/>
    <w:rsid w:val="00AF3E8F"/>
    <w:rsid w:val="00AF41B9"/>
    <w:rsid w:val="00AF4715"/>
    <w:rsid w:val="00AF4882"/>
    <w:rsid w:val="00AF5108"/>
    <w:rsid w:val="00AF51FF"/>
    <w:rsid w:val="00AF52EA"/>
    <w:rsid w:val="00AF542D"/>
    <w:rsid w:val="00AF559A"/>
    <w:rsid w:val="00AF5797"/>
    <w:rsid w:val="00AF5816"/>
    <w:rsid w:val="00AF583B"/>
    <w:rsid w:val="00AF5909"/>
    <w:rsid w:val="00AF59A3"/>
    <w:rsid w:val="00AF59D7"/>
    <w:rsid w:val="00AF5A42"/>
    <w:rsid w:val="00AF5CE7"/>
    <w:rsid w:val="00AF5F64"/>
    <w:rsid w:val="00AF6295"/>
    <w:rsid w:val="00AF634C"/>
    <w:rsid w:val="00AF6496"/>
    <w:rsid w:val="00AF6839"/>
    <w:rsid w:val="00AF691E"/>
    <w:rsid w:val="00AF6D2C"/>
    <w:rsid w:val="00AF707B"/>
    <w:rsid w:val="00AF709F"/>
    <w:rsid w:val="00AF7140"/>
    <w:rsid w:val="00AF7265"/>
    <w:rsid w:val="00AF7800"/>
    <w:rsid w:val="00AF7886"/>
    <w:rsid w:val="00AF79FD"/>
    <w:rsid w:val="00AF7FA8"/>
    <w:rsid w:val="00B0006A"/>
    <w:rsid w:val="00B00A29"/>
    <w:rsid w:val="00B00AE2"/>
    <w:rsid w:val="00B00F36"/>
    <w:rsid w:val="00B00F40"/>
    <w:rsid w:val="00B0110C"/>
    <w:rsid w:val="00B01585"/>
    <w:rsid w:val="00B01710"/>
    <w:rsid w:val="00B01932"/>
    <w:rsid w:val="00B01B31"/>
    <w:rsid w:val="00B01C34"/>
    <w:rsid w:val="00B01C5D"/>
    <w:rsid w:val="00B01E81"/>
    <w:rsid w:val="00B01EAA"/>
    <w:rsid w:val="00B02141"/>
    <w:rsid w:val="00B0215E"/>
    <w:rsid w:val="00B02277"/>
    <w:rsid w:val="00B0229D"/>
    <w:rsid w:val="00B022F8"/>
    <w:rsid w:val="00B028FC"/>
    <w:rsid w:val="00B02AD2"/>
    <w:rsid w:val="00B03210"/>
    <w:rsid w:val="00B0340D"/>
    <w:rsid w:val="00B0341B"/>
    <w:rsid w:val="00B036AE"/>
    <w:rsid w:val="00B03DD7"/>
    <w:rsid w:val="00B03F4D"/>
    <w:rsid w:val="00B043AB"/>
    <w:rsid w:val="00B043C0"/>
    <w:rsid w:val="00B04639"/>
    <w:rsid w:val="00B04CAF"/>
    <w:rsid w:val="00B050AE"/>
    <w:rsid w:val="00B0558A"/>
    <w:rsid w:val="00B055AE"/>
    <w:rsid w:val="00B0572C"/>
    <w:rsid w:val="00B05B2B"/>
    <w:rsid w:val="00B05FD7"/>
    <w:rsid w:val="00B0600C"/>
    <w:rsid w:val="00B06495"/>
    <w:rsid w:val="00B067A4"/>
    <w:rsid w:val="00B0693C"/>
    <w:rsid w:val="00B06E90"/>
    <w:rsid w:val="00B06EB3"/>
    <w:rsid w:val="00B06F68"/>
    <w:rsid w:val="00B06F6F"/>
    <w:rsid w:val="00B0704B"/>
    <w:rsid w:val="00B076DD"/>
    <w:rsid w:val="00B07AF5"/>
    <w:rsid w:val="00B07B05"/>
    <w:rsid w:val="00B07DDE"/>
    <w:rsid w:val="00B1012A"/>
    <w:rsid w:val="00B10764"/>
    <w:rsid w:val="00B10D8E"/>
    <w:rsid w:val="00B10ED1"/>
    <w:rsid w:val="00B10F7E"/>
    <w:rsid w:val="00B11117"/>
    <w:rsid w:val="00B11155"/>
    <w:rsid w:val="00B113E4"/>
    <w:rsid w:val="00B11433"/>
    <w:rsid w:val="00B11849"/>
    <w:rsid w:val="00B11FCA"/>
    <w:rsid w:val="00B120B8"/>
    <w:rsid w:val="00B12150"/>
    <w:rsid w:val="00B1226C"/>
    <w:rsid w:val="00B1233F"/>
    <w:rsid w:val="00B125AF"/>
    <w:rsid w:val="00B1261E"/>
    <w:rsid w:val="00B1284B"/>
    <w:rsid w:val="00B12851"/>
    <w:rsid w:val="00B1291C"/>
    <w:rsid w:val="00B13049"/>
    <w:rsid w:val="00B13630"/>
    <w:rsid w:val="00B13910"/>
    <w:rsid w:val="00B13CA0"/>
    <w:rsid w:val="00B13D20"/>
    <w:rsid w:val="00B13E02"/>
    <w:rsid w:val="00B13E7F"/>
    <w:rsid w:val="00B140A5"/>
    <w:rsid w:val="00B142EB"/>
    <w:rsid w:val="00B14657"/>
    <w:rsid w:val="00B1487C"/>
    <w:rsid w:val="00B149C9"/>
    <w:rsid w:val="00B14F2B"/>
    <w:rsid w:val="00B150DF"/>
    <w:rsid w:val="00B150E7"/>
    <w:rsid w:val="00B152B9"/>
    <w:rsid w:val="00B15431"/>
    <w:rsid w:val="00B158B8"/>
    <w:rsid w:val="00B15916"/>
    <w:rsid w:val="00B15C1F"/>
    <w:rsid w:val="00B15EC7"/>
    <w:rsid w:val="00B16216"/>
    <w:rsid w:val="00B16277"/>
    <w:rsid w:val="00B164C3"/>
    <w:rsid w:val="00B165C9"/>
    <w:rsid w:val="00B166DD"/>
    <w:rsid w:val="00B168DE"/>
    <w:rsid w:val="00B16EA9"/>
    <w:rsid w:val="00B17249"/>
    <w:rsid w:val="00B17CA8"/>
    <w:rsid w:val="00B17DF6"/>
    <w:rsid w:val="00B17EBE"/>
    <w:rsid w:val="00B20655"/>
    <w:rsid w:val="00B208FF"/>
    <w:rsid w:val="00B20C67"/>
    <w:rsid w:val="00B20C82"/>
    <w:rsid w:val="00B20DCA"/>
    <w:rsid w:val="00B21CFB"/>
    <w:rsid w:val="00B21E47"/>
    <w:rsid w:val="00B21F50"/>
    <w:rsid w:val="00B220C1"/>
    <w:rsid w:val="00B22217"/>
    <w:rsid w:val="00B22756"/>
    <w:rsid w:val="00B22759"/>
    <w:rsid w:val="00B228FF"/>
    <w:rsid w:val="00B22C4C"/>
    <w:rsid w:val="00B23085"/>
    <w:rsid w:val="00B23321"/>
    <w:rsid w:val="00B235BD"/>
    <w:rsid w:val="00B235D5"/>
    <w:rsid w:val="00B23670"/>
    <w:rsid w:val="00B23A12"/>
    <w:rsid w:val="00B23BF5"/>
    <w:rsid w:val="00B23C70"/>
    <w:rsid w:val="00B23C9D"/>
    <w:rsid w:val="00B23F9A"/>
    <w:rsid w:val="00B23FCA"/>
    <w:rsid w:val="00B24233"/>
    <w:rsid w:val="00B243A3"/>
    <w:rsid w:val="00B24758"/>
    <w:rsid w:val="00B247A1"/>
    <w:rsid w:val="00B24997"/>
    <w:rsid w:val="00B24D49"/>
    <w:rsid w:val="00B24F3C"/>
    <w:rsid w:val="00B2530F"/>
    <w:rsid w:val="00B25483"/>
    <w:rsid w:val="00B256A9"/>
    <w:rsid w:val="00B25724"/>
    <w:rsid w:val="00B25CA7"/>
    <w:rsid w:val="00B26109"/>
    <w:rsid w:val="00B26110"/>
    <w:rsid w:val="00B264DF"/>
    <w:rsid w:val="00B26B6D"/>
    <w:rsid w:val="00B26FCA"/>
    <w:rsid w:val="00B271B5"/>
    <w:rsid w:val="00B27431"/>
    <w:rsid w:val="00B274F9"/>
    <w:rsid w:val="00B27BDD"/>
    <w:rsid w:val="00B27CAC"/>
    <w:rsid w:val="00B27E42"/>
    <w:rsid w:val="00B307C9"/>
    <w:rsid w:val="00B31017"/>
    <w:rsid w:val="00B314BA"/>
    <w:rsid w:val="00B314E6"/>
    <w:rsid w:val="00B31DBC"/>
    <w:rsid w:val="00B31EA9"/>
    <w:rsid w:val="00B31F9B"/>
    <w:rsid w:val="00B323D9"/>
    <w:rsid w:val="00B328E3"/>
    <w:rsid w:val="00B3291D"/>
    <w:rsid w:val="00B32DEF"/>
    <w:rsid w:val="00B32F46"/>
    <w:rsid w:val="00B33072"/>
    <w:rsid w:val="00B330CA"/>
    <w:rsid w:val="00B33B65"/>
    <w:rsid w:val="00B33CD5"/>
    <w:rsid w:val="00B33E76"/>
    <w:rsid w:val="00B340B6"/>
    <w:rsid w:val="00B340DF"/>
    <w:rsid w:val="00B341EA"/>
    <w:rsid w:val="00B342D2"/>
    <w:rsid w:val="00B34C7F"/>
    <w:rsid w:val="00B34DEF"/>
    <w:rsid w:val="00B35866"/>
    <w:rsid w:val="00B35DD4"/>
    <w:rsid w:val="00B35E81"/>
    <w:rsid w:val="00B36075"/>
    <w:rsid w:val="00B36098"/>
    <w:rsid w:val="00B3614F"/>
    <w:rsid w:val="00B362FB"/>
    <w:rsid w:val="00B365B2"/>
    <w:rsid w:val="00B3686A"/>
    <w:rsid w:val="00B36BAC"/>
    <w:rsid w:val="00B370E0"/>
    <w:rsid w:val="00B371ED"/>
    <w:rsid w:val="00B37202"/>
    <w:rsid w:val="00B376F6"/>
    <w:rsid w:val="00B37875"/>
    <w:rsid w:val="00B378C1"/>
    <w:rsid w:val="00B37B34"/>
    <w:rsid w:val="00B37EED"/>
    <w:rsid w:val="00B4024B"/>
    <w:rsid w:val="00B40259"/>
    <w:rsid w:val="00B40325"/>
    <w:rsid w:val="00B40471"/>
    <w:rsid w:val="00B40621"/>
    <w:rsid w:val="00B409A7"/>
    <w:rsid w:val="00B40AA3"/>
    <w:rsid w:val="00B40BE4"/>
    <w:rsid w:val="00B40D84"/>
    <w:rsid w:val="00B410A1"/>
    <w:rsid w:val="00B41460"/>
    <w:rsid w:val="00B41485"/>
    <w:rsid w:val="00B41725"/>
    <w:rsid w:val="00B41875"/>
    <w:rsid w:val="00B41B36"/>
    <w:rsid w:val="00B41C76"/>
    <w:rsid w:val="00B41E89"/>
    <w:rsid w:val="00B41EC8"/>
    <w:rsid w:val="00B41F16"/>
    <w:rsid w:val="00B42058"/>
    <w:rsid w:val="00B421CD"/>
    <w:rsid w:val="00B42280"/>
    <w:rsid w:val="00B42384"/>
    <w:rsid w:val="00B4241D"/>
    <w:rsid w:val="00B42515"/>
    <w:rsid w:val="00B426B9"/>
    <w:rsid w:val="00B4285D"/>
    <w:rsid w:val="00B42BB4"/>
    <w:rsid w:val="00B43237"/>
    <w:rsid w:val="00B43303"/>
    <w:rsid w:val="00B437F4"/>
    <w:rsid w:val="00B43A7D"/>
    <w:rsid w:val="00B43F8B"/>
    <w:rsid w:val="00B4410E"/>
    <w:rsid w:val="00B441FE"/>
    <w:rsid w:val="00B445D3"/>
    <w:rsid w:val="00B44674"/>
    <w:rsid w:val="00B44830"/>
    <w:rsid w:val="00B449EC"/>
    <w:rsid w:val="00B44C34"/>
    <w:rsid w:val="00B44DA7"/>
    <w:rsid w:val="00B44E15"/>
    <w:rsid w:val="00B45040"/>
    <w:rsid w:val="00B45353"/>
    <w:rsid w:val="00B453A3"/>
    <w:rsid w:val="00B45442"/>
    <w:rsid w:val="00B459E5"/>
    <w:rsid w:val="00B45A62"/>
    <w:rsid w:val="00B45C3A"/>
    <w:rsid w:val="00B46554"/>
    <w:rsid w:val="00B467CD"/>
    <w:rsid w:val="00B46A21"/>
    <w:rsid w:val="00B46A63"/>
    <w:rsid w:val="00B46EC9"/>
    <w:rsid w:val="00B46F01"/>
    <w:rsid w:val="00B470BF"/>
    <w:rsid w:val="00B471E0"/>
    <w:rsid w:val="00B47264"/>
    <w:rsid w:val="00B47279"/>
    <w:rsid w:val="00B47414"/>
    <w:rsid w:val="00B474E6"/>
    <w:rsid w:val="00B475FD"/>
    <w:rsid w:val="00B4785F"/>
    <w:rsid w:val="00B47969"/>
    <w:rsid w:val="00B47BD1"/>
    <w:rsid w:val="00B50030"/>
    <w:rsid w:val="00B502B7"/>
    <w:rsid w:val="00B502F2"/>
    <w:rsid w:val="00B503F0"/>
    <w:rsid w:val="00B50750"/>
    <w:rsid w:val="00B50766"/>
    <w:rsid w:val="00B50CE7"/>
    <w:rsid w:val="00B50D1A"/>
    <w:rsid w:val="00B50FAC"/>
    <w:rsid w:val="00B5115E"/>
    <w:rsid w:val="00B5123D"/>
    <w:rsid w:val="00B51335"/>
    <w:rsid w:val="00B513E5"/>
    <w:rsid w:val="00B5141E"/>
    <w:rsid w:val="00B515F9"/>
    <w:rsid w:val="00B51BAD"/>
    <w:rsid w:val="00B51C58"/>
    <w:rsid w:val="00B51E81"/>
    <w:rsid w:val="00B5233A"/>
    <w:rsid w:val="00B5238F"/>
    <w:rsid w:val="00B5278D"/>
    <w:rsid w:val="00B52A4A"/>
    <w:rsid w:val="00B53451"/>
    <w:rsid w:val="00B535B5"/>
    <w:rsid w:val="00B53B78"/>
    <w:rsid w:val="00B53CB5"/>
    <w:rsid w:val="00B53F20"/>
    <w:rsid w:val="00B5432D"/>
    <w:rsid w:val="00B54674"/>
    <w:rsid w:val="00B54B35"/>
    <w:rsid w:val="00B54BA2"/>
    <w:rsid w:val="00B54E51"/>
    <w:rsid w:val="00B55331"/>
    <w:rsid w:val="00B5534E"/>
    <w:rsid w:val="00B5536E"/>
    <w:rsid w:val="00B554D6"/>
    <w:rsid w:val="00B555FB"/>
    <w:rsid w:val="00B55EC9"/>
    <w:rsid w:val="00B5609E"/>
    <w:rsid w:val="00B560E2"/>
    <w:rsid w:val="00B562AB"/>
    <w:rsid w:val="00B5647C"/>
    <w:rsid w:val="00B56826"/>
    <w:rsid w:val="00B56870"/>
    <w:rsid w:val="00B56AE3"/>
    <w:rsid w:val="00B56DB9"/>
    <w:rsid w:val="00B56E0D"/>
    <w:rsid w:val="00B56E90"/>
    <w:rsid w:val="00B56F29"/>
    <w:rsid w:val="00B57359"/>
    <w:rsid w:val="00B5745D"/>
    <w:rsid w:val="00B576BF"/>
    <w:rsid w:val="00B57787"/>
    <w:rsid w:val="00B578B1"/>
    <w:rsid w:val="00B57C11"/>
    <w:rsid w:val="00B57C34"/>
    <w:rsid w:val="00B57CCA"/>
    <w:rsid w:val="00B57E07"/>
    <w:rsid w:val="00B57E13"/>
    <w:rsid w:val="00B57E5F"/>
    <w:rsid w:val="00B60171"/>
    <w:rsid w:val="00B60255"/>
    <w:rsid w:val="00B604A9"/>
    <w:rsid w:val="00B60776"/>
    <w:rsid w:val="00B60A69"/>
    <w:rsid w:val="00B61281"/>
    <w:rsid w:val="00B61337"/>
    <w:rsid w:val="00B614E6"/>
    <w:rsid w:val="00B6154F"/>
    <w:rsid w:val="00B618DE"/>
    <w:rsid w:val="00B61D6C"/>
    <w:rsid w:val="00B629B3"/>
    <w:rsid w:val="00B630A5"/>
    <w:rsid w:val="00B6318C"/>
    <w:rsid w:val="00B6327C"/>
    <w:rsid w:val="00B63D2E"/>
    <w:rsid w:val="00B63D31"/>
    <w:rsid w:val="00B63DAF"/>
    <w:rsid w:val="00B63DB3"/>
    <w:rsid w:val="00B63FF1"/>
    <w:rsid w:val="00B640AA"/>
    <w:rsid w:val="00B642E9"/>
    <w:rsid w:val="00B64949"/>
    <w:rsid w:val="00B656AE"/>
    <w:rsid w:val="00B65AE0"/>
    <w:rsid w:val="00B65DFB"/>
    <w:rsid w:val="00B66382"/>
    <w:rsid w:val="00B66BE0"/>
    <w:rsid w:val="00B66BEB"/>
    <w:rsid w:val="00B66DB2"/>
    <w:rsid w:val="00B66E3A"/>
    <w:rsid w:val="00B66E6C"/>
    <w:rsid w:val="00B67199"/>
    <w:rsid w:val="00B6745D"/>
    <w:rsid w:val="00B674E3"/>
    <w:rsid w:val="00B6775D"/>
    <w:rsid w:val="00B679E6"/>
    <w:rsid w:val="00B67DB2"/>
    <w:rsid w:val="00B70094"/>
    <w:rsid w:val="00B70508"/>
    <w:rsid w:val="00B70538"/>
    <w:rsid w:val="00B706E2"/>
    <w:rsid w:val="00B70AA0"/>
    <w:rsid w:val="00B70B90"/>
    <w:rsid w:val="00B70D6D"/>
    <w:rsid w:val="00B70F68"/>
    <w:rsid w:val="00B70FBD"/>
    <w:rsid w:val="00B711A0"/>
    <w:rsid w:val="00B715D7"/>
    <w:rsid w:val="00B718FF"/>
    <w:rsid w:val="00B719D4"/>
    <w:rsid w:val="00B71CE9"/>
    <w:rsid w:val="00B71DF6"/>
    <w:rsid w:val="00B727C3"/>
    <w:rsid w:val="00B728CB"/>
    <w:rsid w:val="00B73007"/>
    <w:rsid w:val="00B734D2"/>
    <w:rsid w:val="00B73770"/>
    <w:rsid w:val="00B7381D"/>
    <w:rsid w:val="00B7389E"/>
    <w:rsid w:val="00B73EF2"/>
    <w:rsid w:val="00B7429C"/>
    <w:rsid w:val="00B742D8"/>
    <w:rsid w:val="00B745CD"/>
    <w:rsid w:val="00B746FE"/>
    <w:rsid w:val="00B74EEC"/>
    <w:rsid w:val="00B74F72"/>
    <w:rsid w:val="00B752C5"/>
    <w:rsid w:val="00B755CA"/>
    <w:rsid w:val="00B75741"/>
    <w:rsid w:val="00B7606E"/>
    <w:rsid w:val="00B762BD"/>
    <w:rsid w:val="00B7657E"/>
    <w:rsid w:val="00B765EA"/>
    <w:rsid w:val="00B767F1"/>
    <w:rsid w:val="00B76E60"/>
    <w:rsid w:val="00B76F9B"/>
    <w:rsid w:val="00B7700D"/>
    <w:rsid w:val="00B77252"/>
    <w:rsid w:val="00B77B4F"/>
    <w:rsid w:val="00B77B85"/>
    <w:rsid w:val="00B77C43"/>
    <w:rsid w:val="00B77CBD"/>
    <w:rsid w:val="00B77CFD"/>
    <w:rsid w:val="00B801E6"/>
    <w:rsid w:val="00B80200"/>
    <w:rsid w:val="00B803CF"/>
    <w:rsid w:val="00B80683"/>
    <w:rsid w:val="00B80830"/>
    <w:rsid w:val="00B8092F"/>
    <w:rsid w:val="00B80C19"/>
    <w:rsid w:val="00B810A0"/>
    <w:rsid w:val="00B8118B"/>
    <w:rsid w:val="00B814E4"/>
    <w:rsid w:val="00B81637"/>
    <w:rsid w:val="00B8189F"/>
    <w:rsid w:val="00B81B19"/>
    <w:rsid w:val="00B8216E"/>
    <w:rsid w:val="00B82260"/>
    <w:rsid w:val="00B823E0"/>
    <w:rsid w:val="00B8290C"/>
    <w:rsid w:val="00B82A66"/>
    <w:rsid w:val="00B82BC4"/>
    <w:rsid w:val="00B82EDA"/>
    <w:rsid w:val="00B83858"/>
    <w:rsid w:val="00B83922"/>
    <w:rsid w:val="00B83ABA"/>
    <w:rsid w:val="00B83EF9"/>
    <w:rsid w:val="00B8405B"/>
    <w:rsid w:val="00B8463D"/>
    <w:rsid w:val="00B848F1"/>
    <w:rsid w:val="00B849F9"/>
    <w:rsid w:val="00B849FB"/>
    <w:rsid w:val="00B8535C"/>
    <w:rsid w:val="00B85732"/>
    <w:rsid w:val="00B8589A"/>
    <w:rsid w:val="00B858B9"/>
    <w:rsid w:val="00B85A0E"/>
    <w:rsid w:val="00B86355"/>
    <w:rsid w:val="00B86641"/>
    <w:rsid w:val="00B86B1E"/>
    <w:rsid w:val="00B86DEA"/>
    <w:rsid w:val="00B86F9F"/>
    <w:rsid w:val="00B87185"/>
    <w:rsid w:val="00B872D0"/>
    <w:rsid w:val="00B8732F"/>
    <w:rsid w:val="00B87383"/>
    <w:rsid w:val="00B87677"/>
    <w:rsid w:val="00B876DB"/>
    <w:rsid w:val="00B87898"/>
    <w:rsid w:val="00B878B7"/>
    <w:rsid w:val="00B87C23"/>
    <w:rsid w:val="00B900CD"/>
    <w:rsid w:val="00B90981"/>
    <w:rsid w:val="00B90AE6"/>
    <w:rsid w:val="00B90C76"/>
    <w:rsid w:val="00B91295"/>
    <w:rsid w:val="00B91541"/>
    <w:rsid w:val="00B91A27"/>
    <w:rsid w:val="00B91CE0"/>
    <w:rsid w:val="00B91FCA"/>
    <w:rsid w:val="00B9269E"/>
    <w:rsid w:val="00B92775"/>
    <w:rsid w:val="00B92A69"/>
    <w:rsid w:val="00B92BE1"/>
    <w:rsid w:val="00B92C76"/>
    <w:rsid w:val="00B92DDA"/>
    <w:rsid w:val="00B93074"/>
    <w:rsid w:val="00B930A1"/>
    <w:rsid w:val="00B930B8"/>
    <w:rsid w:val="00B933AD"/>
    <w:rsid w:val="00B93856"/>
    <w:rsid w:val="00B93E7B"/>
    <w:rsid w:val="00B93F30"/>
    <w:rsid w:val="00B940B1"/>
    <w:rsid w:val="00B940E9"/>
    <w:rsid w:val="00B94541"/>
    <w:rsid w:val="00B945AA"/>
    <w:rsid w:val="00B948D2"/>
    <w:rsid w:val="00B94AC5"/>
    <w:rsid w:val="00B95046"/>
    <w:rsid w:val="00B9516A"/>
    <w:rsid w:val="00B95193"/>
    <w:rsid w:val="00B95254"/>
    <w:rsid w:val="00B953A7"/>
    <w:rsid w:val="00B95578"/>
    <w:rsid w:val="00B956A6"/>
    <w:rsid w:val="00B957DB"/>
    <w:rsid w:val="00B95B80"/>
    <w:rsid w:val="00B95BAC"/>
    <w:rsid w:val="00B95BCA"/>
    <w:rsid w:val="00B95D2F"/>
    <w:rsid w:val="00B95D82"/>
    <w:rsid w:val="00B95DAD"/>
    <w:rsid w:val="00B95F73"/>
    <w:rsid w:val="00B96250"/>
    <w:rsid w:val="00B963E7"/>
    <w:rsid w:val="00B964BA"/>
    <w:rsid w:val="00B96964"/>
    <w:rsid w:val="00B96965"/>
    <w:rsid w:val="00B96A2F"/>
    <w:rsid w:val="00B96D8D"/>
    <w:rsid w:val="00B96E6D"/>
    <w:rsid w:val="00B96EB1"/>
    <w:rsid w:val="00B9714A"/>
    <w:rsid w:val="00B972B3"/>
    <w:rsid w:val="00B9734C"/>
    <w:rsid w:val="00B97585"/>
    <w:rsid w:val="00B9776B"/>
    <w:rsid w:val="00B97C8C"/>
    <w:rsid w:val="00BA0136"/>
    <w:rsid w:val="00BA03B6"/>
    <w:rsid w:val="00BA07D5"/>
    <w:rsid w:val="00BA0A76"/>
    <w:rsid w:val="00BA0B3B"/>
    <w:rsid w:val="00BA0BF7"/>
    <w:rsid w:val="00BA0DF6"/>
    <w:rsid w:val="00BA1025"/>
    <w:rsid w:val="00BA15C5"/>
    <w:rsid w:val="00BA15CC"/>
    <w:rsid w:val="00BA19F6"/>
    <w:rsid w:val="00BA1BFC"/>
    <w:rsid w:val="00BA2144"/>
    <w:rsid w:val="00BA2279"/>
    <w:rsid w:val="00BA232E"/>
    <w:rsid w:val="00BA277E"/>
    <w:rsid w:val="00BA29AF"/>
    <w:rsid w:val="00BA2C91"/>
    <w:rsid w:val="00BA2D61"/>
    <w:rsid w:val="00BA2E09"/>
    <w:rsid w:val="00BA2EB3"/>
    <w:rsid w:val="00BA2F13"/>
    <w:rsid w:val="00BA3343"/>
    <w:rsid w:val="00BA344C"/>
    <w:rsid w:val="00BA371C"/>
    <w:rsid w:val="00BA3729"/>
    <w:rsid w:val="00BA3890"/>
    <w:rsid w:val="00BA38B0"/>
    <w:rsid w:val="00BA40DB"/>
    <w:rsid w:val="00BA43B6"/>
    <w:rsid w:val="00BA44AE"/>
    <w:rsid w:val="00BA45BB"/>
    <w:rsid w:val="00BA48C7"/>
    <w:rsid w:val="00BA49B4"/>
    <w:rsid w:val="00BA4AA0"/>
    <w:rsid w:val="00BA4D5E"/>
    <w:rsid w:val="00BA4EBB"/>
    <w:rsid w:val="00BA54B2"/>
    <w:rsid w:val="00BA5761"/>
    <w:rsid w:val="00BA57CF"/>
    <w:rsid w:val="00BA583A"/>
    <w:rsid w:val="00BA5B26"/>
    <w:rsid w:val="00BA5B36"/>
    <w:rsid w:val="00BA5DDF"/>
    <w:rsid w:val="00BA5DE9"/>
    <w:rsid w:val="00BA60DB"/>
    <w:rsid w:val="00BA6256"/>
    <w:rsid w:val="00BA636E"/>
    <w:rsid w:val="00BA64DF"/>
    <w:rsid w:val="00BA6793"/>
    <w:rsid w:val="00BA6829"/>
    <w:rsid w:val="00BA6DAE"/>
    <w:rsid w:val="00BA6E92"/>
    <w:rsid w:val="00BA763D"/>
    <w:rsid w:val="00BA7938"/>
    <w:rsid w:val="00BA7B19"/>
    <w:rsid w:val="00BA7B20"/>
    <w:rsid w:val="00BA7E58"/>
    <w:rsid w:val="00BA7F9E"/>
    <w:rsid w:val="00BB0270"/>
    <w:rsid w:val="00BB0329"/>
    <w:rsid w:val="00BB0418"/>
    <w:rsid w:val="00BB044C"/>
    <w:rsid w:val="00BB0502"/>
    <w:rsid w:val="00BB07DF"/>
    <w:rsid w:val="00BB09AC"/>
    <w:rsid w:val="00BB0CA9"/>
    <w:rsid w:val="00BB180D"/>
    <w:rsid w:val="00BB18F0"/>
    <w:rsid w:val="00BB191A"/>
    <w:rsid w:val="00BB1A8A"/>
    <w:rsid w:val="00BB1BEC"/>
    <w:rsid w:val="00BB1D55"/>
    <w:rsid w:val="00BB1F16"/>
    <w:rsid w:val="00BB21DA"/>
    <w:rsid w:val="00BB22FE"/>
    <w:rsid w:val="00BB23BC"/>
    <w:rsid w:val="00BB26DB"/>
    <w:rsid w:val="00BB287C"/>
    <w:rsid w:val="00BB2BFF"/>
    <w:rsid w:val="00BB2E31"/>
    <w:rsid w:val="00BB3473"/>
    <w:rsid w:val="00BB362A"/>
    <w:rsid w:val="00BB37EE"/>
    <w:rsid w:val="00BB3F81"/>
    <w:rsid w:val="00BB4105"/>
    <w:rsid w:val="00BB42C1"/>
    <w:rsid w:val="00BB48D2"/>
    <w:rsid w:val="00BB4D05"/>
    <w:rsid w:val="00BB4F53"/>
    <w:rsid w:val="00BB54F4"/>
    <w:rsid w:val="00BB55EB"/>
    <w:rsid w:val="00BB59B1"/>
    <w:rsid w:val="00BB5A4F"/>
    <w:rsid w:val="00BB5CBB"/>
    <w:rsid w:val="00BB5F05"/>
    <w:rsid w:val="00BB6266"/>
    <w:rsid w:val="00BB62BB"/>
    <w:rsid w:val="00BB6410"/>
    <w:rsid w:val="00BB6458"/>
    <w:rsid w:val="00BB696B"/>
    <w:rsid w:val="00BB6A8F"/>
    <w:rsid w:val="00BB6D20"/>
    <w:rsid w:val="00BB6DDC"/>
    <w:rsid w:val="00BB7200"/>
    <w:rsid w:val="00BB723B"/>
    <w:rsid w:val="00BB7CF3"/>
    <w:rsid w:val="00BB7D0C"/>
    <w:rsid w:val="00BB7DCE"/>
    <w:rsid w:val="00BC0266"/>
    <w:rsid w:val="00BC03FB"/>
    <w:rsid w:val="00BC0445"/>
    <w:rsid w:val="00BC0466"/>
    <w:rsid w:val="00BC09EE"/>
    <w:rsid w:val="00BC0E47"/>
    <w:rsid w:val="00BC0FD4"/>
    <w:rsid w:val="00BC1774"/>
    <w:rsid w:val="00BC186B"/>
    <w:rsid w:val="00BC1944"/>
    <w:rsid w:val="00BC1B79"/>
    <w:rsid w:val="00BC2389"/>
    <w:rsid w:val="00BC24D7"/>
    <w:rsid w:val="00BC2A04"/>
    <w:rsid w:val="00BC35DE"/>
    <w:rsid w:val="00BC39C2"/>
    <w:rsid w:val="00BC3B7B"/>
    <w:rsid w:val="00BC3D87"/>
    <w:rsid w:val="00BC406F"/>
    <w:rsid w:val="00BC43CD"/>
    <w:rsid w:val="00BC4515"/>
    <w:rsid w:val="00BC4AB9"/>
    <w:rsid w:val="00BC5452"/>
    <w:rsid w:val="00BC563E"/>
    <w:rsid w:val="00BC57AD"/>
    <w:rsid w:val="00BC5967"/>
    <w:rsid w:val="00BC6053"/>
    <w:rsid w:val="00BC60F1"/>
    <w:rsid w:val="00BC675F"/>
    <w:rsid w:val="00BC6A13"/>
    <w:rsid w:val="00BC6FAA"/>
    <w:rsid w:val="00BC714D"/>
    <w:rsid w:val="00BC7365"/>
    <w:rsid w:val="00BC7611"/>
    <w:rsid w:val="00BC7952"/>
    <w:rsid w:val="00BC7D59"/>
    <w:rsid w:val="00BC7DC4"/>
    <w:rsid w:val="00BD02CF"/>
    <w:rsid w:val="00BD0711"/>
    <w:rsid w:val="00BD0D7D"/>
    <w:rsid w:val="00BD11F8"/>
    <w:rsid w:val="00BD12C4"/>
    <w:rsid w:val="00BD13B2"/>
    <w:rsid w:val="00BD1515"/>
    <w:rsid w:val="00BD1784"/>
    <w:rsid w:val="00BD1833"/>
    <w:rsid w:val="00BD1849"/>
    <w:rsid w:val="00BD186B"/>
    <w:rsid w:val="00BD1976"/>
    <w:rsid w:val="00BD1BEE"/>
    <w:rsid w:val="00BD1DCB"/>
    <w:rsid w:val="00BD1F3A"/>
    <w:rsid w:val="00BD250F"/>
    <w:rsid w:val="00BD298F"/>
    <w:rsid w:val="00BD2FF8"/>
    <w:rsid w:val="00BD3162"/>
    <w:rsid w:val="00BD3744"/>
    <w:rsid w:val="00BD3A94"/>
    <w:rsid w:val="00BD3AF1"/>
    <w:rsid w:val="00BD3B1E"/>
    <w:rsid w:val="00BD3C22"/>
    <w:rsid w:val="00BD3F29"/>
    <w:rsid w:val="00BD3FC2"/>
    <w:rsid w:val="00BD41AB"/>
    <w:rsid w:val="00BD428B"/>
    <w:rsid w:val="00BD46D8"/>
    <w:rsid w:val="00BD4A60"/>
    <w:rsid w:val="00BD5603"/>
    <w:rsid w:val="00BD561E"/>
    <w:rsid w:val="00BD6236"/>
    <w:rsid w:val="00BD6692"/>
    <w:rsid w:val="00BD6DAC"/>
    <w:rsid w:val="00BD7087"/>
    <w:rsid w:val="00BD73BF"/>
    <w:rsid w:val="00BD74E6"/>
    <w:rsid w:val="00BD7952"/>
    <w:rsid w:val="00BD7B85"/>
    <w:rsid w:val="00BE01D4"/>
    <w:rsid w:val="00BE0DE2"/>
    <w:rsid w:val="00BE0EC1"/>
    <w:rsid w:val="00BE116E"/>
    <w:rsid w:val="00BE13F5"/>
    <w:rsid w:val="00BE152F"/>
    <w:rsid w:val="00BE16A7"/>
    <w:rsid w:val="00BE16D6"/>
    <w:rsid w:val="00BE195A"/>
    <w:rsid w:val="00BE1A93"/>
    <w:rsid w:val="00BE1CDF"/>
    <w:rsid w:val="00BE1E75"/>
    <w:rsid w:val="00BE1FD9"/>
    <w:rsid w:val="00BE20E7"/>
    <w:rsid w:val="00BE2642"/>
    <w:rsid w:val="00BE2922"/>
    <w:rsid w:val="00BE2B86"/>
    <w:rsid w:val="00BE2E80"/>
    <w:rsid w:val="00BE30E1"/>
    <w:rsid w:val="00BE349E"/>
    <w:rsid w:val="00BE364B"/>
    <w:rsid w:val="00BE386A"/>
    <w:rsid w:val="00BE3AD4"/>
    <w:rsid w:val="00BE3F43"/>
    <w:rsid w:val="00BE43E5"/>
    <w:rsid w:val="00BE4602"/>
    <w:rsid w:val="00BE470A"/>
    <w:rsid w:val="00BE48A0"/>
    <w:rsid w:val="00BE48FF"/>
    <w:rsid w:val="00BE4908"/>
    <w:rsid w:val="00BE5336"/>
    <w:rsid w:val="00BE5678"/>
    <w:rsid w:val="00BE57E2"/>
    <w:rsid w:val="00BE5C9D"/>
    <w:rsid w:val="00BE5DF2"/>
    <w:rsid w:val="00BE6140"/>
    <w:rsid w:val="00BE62A9"/>
    <w:rsid w:val="00BE6754"/>
    <w:rsid w:val="00BE7F0D"/>
    <w:rsid w:val="00BF0129"/>
    <w:rsid w:val="00BF027A"/>
    <w:rsid w:val="00BF0507"/>
    <w:rsid w:val="00BF092E"/>
    <w:rsid w:val="00BF0CD8"/>
    <w:rsid w:val="00BF1186"/>
    <w:rsid w:val="00BF1279"/>
    <w:rsid w:val="00BF1441"/>
    <w:rsid w:val="00BF1A50"/>
    <w:rsid w:val="00BF1BA6"/>
    <w:rsid w:val="00BF1BF2"/>
    <w:rsid w:val="00BF1D83"/>
    <w:rsid w:val="00BF1EFC"/>
    <w:rsid w:val="00BF1FD9"/>
    <w:rsid w:val="00BF2014"/>
    <w:rsid w:val="00BF204D"/>
    <w:rsid w:val="00BF21F2"/>
    <w:rsid w:val="00BF2207"/>
    <w:rsid w:val="00BF22B2"/>
    <w:rsid w:val="00BF2399"/>
    <w:rsid w:val="00BF246E"/>
    <w:rsid w:val="00BF30D3"/>
    <w:rsid w:val="00BF3177"/>
    <w:rsid w:val="00BF34A3"/>
    <w:rsid w:val="00BF34EB"/>
    <w:rsid w:val="00BF35FA"/>
    <w:rsid w:val="00BF37AB"/>
    <w:rsid w:val="00BF37B6"/>
    <w:rsid w:val="00BF3863"/>
    <w:rsid w:val="00BF3BC0"/>
    <w:rsid w:val="00BF426A"/>
    <w:rsid w:val="00BF43B4"/>
    <w:rsid w:val="00BF46BF"/>
    <w:rsid w:val="00BF4CEF"/>
    <w:rsid w:val="00BF4E9C"/>
    <w:rsid w:val="00BF4F69"/>
    <w:rsid w:val="00BF5200"/>
    <w:rsid w:val="00BF5345"/>
    <w:rsid w:val="00BF53F7"/>
    <w:rsid w:val="00BF55F2"/>
    <w:rsid w:val="00BF56F7"/>
    <w:rsid w:val="00BF5701"/>
    <w:rsid w:val="00BF5E4A"/>
    <w:rsid w:val="00BF5F5F"/>
    <w:rsid w:val="00BF5F7D"/>
    <w:rsid w:val="00BF61A6"/>
    <w:rsid w:val="00BF6304"/>
    <w:rsid w:val="00BF6444"/>
    <w:rsid w:val="00BF6588"/>
    <w:rsid w:val="00BF658C"/>
    <w:rsid w:val="00BF667F"/>
    <w:rsid w:val="00BF67C0"/>
    <w:rsid w:val="00BF6906"/>
    <w:rsid w:val="00BF69F8"/>
    <w:rsid w:val="00BF6A3C"/>
    <w:rsid w:val="00BF6D4A"/>
    <w:rsid w:val="00BF6D5B"/>
    <w:rsid w:val="00BF7173"/>
    <w:rsid w:val="00BF7295"/>
    <w:rsid w:val="00BF744F"/>
    <w:rsid w:val="00BF747F"/>
    <w:rsid w:val="00BF74A2"/>
    <w:rsid w:val="00BF7580"/>
    <w:rsid w:val="00BF7817"/>
    <w:rsid w:val="00BF7861"/>
    <w:rsid w:val="00BF78AC"/>
    <w:rsid w:val="00BF7C38"/>
    <w:rsid w:val="00BF7D65"/>
    <w:rsid w:val="00C00566"/>
    <w:rsid w:val="00C006B6"/>
    <w:rsid w:val="00C009A9"/>
    <w:rsid w:val="00C00AB6"/>
    <w:rsid w:val="00C00B49"/>
    <w:rsid w:val="00C00CD2"/>
    <w:rsid w:val="00C00E75"/>
    <w:rsid w:val="00C010EC"/>
    <w:rsid w:val="00C01268"/>
    <w:rsid w:val="00C0127A"/>
    <w:rsid w:val="00C01D60"/>
    <w:rsid w:val="00C01DD0"/>
    <w:rsid w:val="00C01EC6"/>
    <w:rsid w:val="00C01EFF"/>
    <w:rsid w:val="00C024B3"/>
    <w:rsid w:val="00C026CB"/>
    <w:rsid w:val="00C0290C"/>
    <w:rsid w:val="00C02912"/>
    <w:rsid w:val="00C02B9B"/>
    <w:rsid w:val="00C02E5A"/>
    <w:rsid w:val="00C030FA"/>
    <w:rsid w:val="00C032B3"/>
    <w:rsid w:val="00C03B5E"/>
    <w:rsid w:val="00C04260"/>
    <w:rsid w:val="00C0429B"/>
    <w:rsid w:val="00C043BA"/>
    <w:rsid w:val="00C05069"/>
    <w:rsid w:val="00C050C3"/>
    <w:rsid w:val="00C0544A"/>
    <w:rsid w:val="00C0547F"/>
    <w:rsid w:val="00C06856"/>
    <w:rsid w:val="00C06C18"/>
    <w:rsid w:val="00C06D10"/>
    <w:rsid w:val="00C06DA3"/>
    <w:rsid w:val="00C06FDF"/>
    <w:rsid w:val="00C071E7"/>
    <w:rsid w:val="00C072B6"/>
    <w:rsid w:val="00C076A3"/>
    <w:rsid w:val="00C07768"/>
    <w:rsid w:val="00C078F8"/>
    <w:rsid w:val="00C079D9"/>
    <w:rsid w:val="00C07BC5"/>
    <w:rsid w:val="00C07E78"/>
    <w:rsid w:val="00C101B4"/>
    <w:rsid w:val="00C101C3"/>
    <w:rsid w:val="00C10732"/>
    <w:rsid w:val="00C10880"/>
    <w:rsid w:val="00C10BA5"/>
    <w:rsid w:val="00C116FC"/>
    <w:rsid w:val="00C119AB"/>
    <w:rsid w:val="00C11EE4"/>
    <w:rsid w:val="00C12541"/>
    <w:rsid w:val="00C129D8"/>
    <w:rsid w:val="00C12BB1"/>
    <w:rsid w:val="00C12C73"/>
    <w:rsid w:val="00C1324A"/>
    <w:rsid w:val="00C133A0"/>
    <w:rsid w:val="00C133F9"/>
    <w:rsid w:val="00C13F53"/>
    <w:rsid w:val="00C13FD0"/>
    <w:rsid w:val="00C14305"/>
    <w:rsid w:val="00C1443A"/>
    <w:rsid w:val="00C146B0"/>
    <w:rsid w:val="00C14BB9"/>
    <w:rsid w:val="00C15213"/>
    <w:rsid w:val="00C15973"/>
    <w:rsid w:val="00C159C8"/>
    <w:rsid w:val="00C15E16"/>
    <w:rsid w:val="00C1682F"/>
    <w:rsid w:val="00C16969"/>
    <w:rsid w:val="00C16CAA"/>
    <w:rsid w:val="00C16F57"/>
    <w:rsid w:val="00C17260"/>
    <w:rsid w:val="00C1729E"/>
    <w:rsid w:val="00C177E5"/>
    <w:rsid w:val="00C17834"/>
    <w:rsid w:val="00C178DF"/>
    <w:rsid w:val="00C17EB5"/>
    <w:rsid w:val="00C202DD"/>
    <w:rsid w:val="00C20376"/>
    <w:rsid w:val="00C203AE"/>
    <w:rsid w:val="00C20484"/>
    <w:rsid w:val="00C20B71"/>
    <w:rsid w:val="00C20DC3"/>
    <w:rsid w:val="00C210D6"/>
    <w:rsid w:val="00C2118C"/>
    <w:rsid w:val="00C216F5"/>
    <w:rsid w:val="00C2195D"/>
    <w:rsid w:val="00C21BD1"/>
    <w:rsid w:val="00C21ECD"/>
    <w:rsid w:val="00C21F1C"/>
    <w:rsid w:val="00C222C6"/>
    <w:rsid w:val="00C22780"/>
    <w:rsid w:val="00C22936"/>
    <w:rsid w:val="00C22A5F"/>
    <w:rsid w:val="00C22BD1"/>
    <w:rsid w:val="00C22E6D"/>
    <w:rsid w:val="00C22EFA"/>
    <w:rsid w:val="00C23683"/>
    <w:rsid w:val="00C23EC6"/>
    <w:rsid w:val="00C23F57"/>
    <w:rsid w:val="00C244BB"/>
    <w:rsid w:val="00C24AFC"/>
    <w:rsid w:val="00C24D6C"/>
    <w:rsid w:val="00C24DC3"/>
    <w:rsid w:val="00C24DD5"/>
    <w:rsid w:val="00C24E33"/>
    <w:rsid w:val="00C25082"/>
    <w:rsid w:val="00C2558A"/>
    <w:rsid w:val="00C2563B"/>
    <w:rsid w:val="00C256FC"/>
    <w:rsid w:val="00C25808"/>
    <w:rsid w:val="00C2589B"/>
    <w:rsid w:val="00C25ADE"/>
    <w:rsid w:val="00C260A2"/>
    <w:rsid w:val="00C26240"/>
    <w:rsid w:val="00C26913"/>
    <w:rsid w:val="00C2696B"/>
    <w:rsid w:val="00C26B21"/>
    <w:rsid w:val="00C26CFE"/>
    <w:rsid w:val="00C27231"/>
    <w:rsid w:val="00C27342"/>
    <w:rsid w:val="00C273F6"/>
    <w:rsid w:val="00C27562"/>
    <w:rsid w:val="00C27D09"/>
    <w:rsid w:val="00C27DBC"/>
    <w:rsid w:val="00C27DFE"/>
    <w:rsid w:val="00C303D0"/>
    <w:rsid w:val="00C30533"/>
    <w:rsid w:val="00C309DB"/>
    <w:rsid w:val="00C30DAC"/>
    <w:rsid w:val="00C3118A"/>
    <w:rsid w:val="00C312A7"/>
    <w:rsid w:val="00C31673"/>
    <w:rsid w:val="00C31856"/>
    <w:rsid w:val="00C31C18"/>
    <w:rsid w:val="00C31DC8"/>
    <w:rsid w:val="00C32097"/>
    <w:rsid w:val="00C32AEA"/>
    <w:rsid w:val="00C32BD7"/>
    <w:rsid w:val="00C32EB3"/>
    <w:rsid w:val="00C32F4F"/>
    <w:rsid w:val="00C33129"/>
    <w:rsid w:val="00C33299"/>
    <w:rsid w:val="00C33720"/>
    <w:rsid w:val="00C338FA"/>
    <w:rsid w:val="00C33EEF"/>
    <w:rsid w:val="00C341AF"/>
    <w:rsid w:val="00C342AF"/>
    <w:rsid w:val="00C344AC"/>
    <w:rsid w:val="00C34738"/>
    <w:rsid w:val="00C34A6B"/>
    <w:rsid w:val="00C34A6F"/>
    <w:rsid w:val="00C34B84"/>
    <w:rsid w:val="00C34DE4"/>
    <w:rsid w:val="00C35059"/>
    <w:rsid w:val="00C3518A"/>
    <w:rsid w:val="00C351C4"/>
    <w:rsid w:val="00C35229"/>
    <w:rsid w:val="00C354D9"/>
    <w:rsid w:val="00C35E02"/>
    <w:rsid w:val="00C36582"/>
    <w:rsid w:val="00C36589"/>
    <w:rsid w:val="00C3666E"/>
    <w:rsid w:val="00C368F2"/>
    <w:rsid w:val="00C373FF"/>
    <w:rsid w:val="00C374B8"/>
    <w:rsid w:val="00C375DD"/>
    <w:rsid w:val="00C377E9"/>
    <w:rsid w:val="00C379FE"/>
    <w:rsid w:val="00C37CB8"/>
    <w:rsid w:val="00C37DA0"/>
    <w:rsid w:val="00C37E1D"/>
    <w:rsid w:val="00C40119"/>
    <w:rsid w:val="00C4016C"/>
    <w:rsid w:val="00C40298"/>
    <w:rsid w:val="00C4049A"/>
    <w:rsid w:val="00C40BBA"/>
    <w:rsid w:val="00C40C7B"/>
    <w:rsid w:val="00C40D79"/>
    <w:rsid w:val="00C4115B"/>
    <w:rsid w:val="00C41235"/>
    <w:rsid w:val="00C41740"/>
    <w:rsid w:val="00C41DAD"/>
    <w:rsid w:val="00C41F18"/>
    <w:rsid w:val="00C41F25"/>
    <w:rsid w:val="00C4226D"/>
    <w:rsid w:val="00C42799"/>
    <w:rsid w:val="00C42854"/>
    <w:rsid w:val="00C42940"/>
    <w:rsid w:val="00C42A9B"/>
    <w:rsid w:val="00C42B5D"/>
    <w:rsid w:val="00C43190"/>
    <w:rsid w:val="00C43749"/>
    <w:rsid w:val="00C437E2"/>
    <w:rsid w:val="00C43BB3"/>
    <w:rsid w:val="00C43DD8"/>
    <w:rsid w:val="00C441BB"/>
    <w:rsid w:val="00C4456A"/>
    <w:rsid w:val="00C44597"/>
    <w:rsid w:val="00C446AE"/>
    <w:rsid w:val="00C44752"/>
    <w:rsid w:val="00C44AFA"/>
    <w:rsid w:val="00C44E4C"/>
    <w:rsid w:val="00C4515D"/>
    <w:rsid w:val="00C45325"/>
    <w:rsid w:val="00C45B04"/>
    <w:rsid w:val="00C45C70"/>
    <w:rsid w:val="00C45D27"/>
    <w:rsid w:val="00C45D6F"/>
    <w:rsid w:val="00C45D88"/>
    <w:rsid w:val="00C45E86"/>
    <w:rsid w:val="00C45F04"/>
    <w:rsid w:val="00C4628F"/>
    <w:rsid w:val="00C464FA"/>
    <w:rsid w:val="00C4652F"/>
    <w:rsid w:val="00C469C0"/>
    <w:rsid w:val="00C46A48"/>
    <w:rsid w:val="00C46E6E"/>
    <w:rsid w:val="00C4710D"/>
    <w:rsid w:val="00C473E8"/>
    <w:rsid w:val="00C477D2"/>
    <w:rsid w:val="00C47930"/>
    <w:rsid w:val="00C479A8"/>
    <w:rsid w:val="00C479E2"/>
    <w:rsid w:val="00C47D2D"/>
    <w:rsid w:val="00C47E43"/>
    <w:rsid w:val="00C50049"/>
    <w:rsid w:val="00C500CE"/>
    <w:rsid w:val="00C5010A"/>
    <w:rsid w:val="00C50266"/>
    <w:rsid w:val="00C5083D"/>
    <w:rsid w:val="00C5103D"/>
    <w:rsid w:val="00C510FE"/>
    <w:rsid w:val="00C51479"/>
    <w:rsid w:val="00C51542"/>
    <w:rsid w:val="00C51AB5"/>
    <w:rsid w:val="00C51BD2"/>
    <w:rsid w:val="00C51F43"/>
    <w:rsid w:val="00C52050"/>
    <w:rsid w:val="00C52873"/>
    <w:rsid w:val="00C52977"/>
    <w:rsid w:val="00C52C35"/>
    <w:rsid w:val="00C52E35"/>
    <w:rsid w:val="00C5306B"/>
    <w:rsid w:val="00C53155"/>
    <w:rsid w:val="00C53254"/>
    <w:rsid w:val="00C5337C"/>
    <w:rsid w:val="00C5390F"/>
    <w:rsid w:val="00C53C27"/>
    <w:rsid w:val="00C53F4B"/>
    <w:rsid w:val="00C542B2"/>
    <w:rsid w:val="00C5462F"/>
    <w:rsid w:val="00C54968"/>
    <w:rsid w:val="00C54CE1"/>
    <w:rsid w:val="00C54DBF"/>
    <w:rsid w:val="00C5508E"/>
    <w:rsid w:val="00C5550C"/>
    <w:rsid w:val="00C5567B"/>
    <w:rsid w:val="00C55980"/>
    <w:rsid w:val="00C55B39"/>
    <w:rsid w:val="00C55F64"/>
    <w:rsid w:val="00C561DC"/>
    <w:rsid w:val="00C56367"/>
    <w:rsid w:val="00C56381"/>
    <w:rsid w:val="00C56545"/>
    <w:rsid w:val="00C56994"/>
    <w:rsid w:val="00C56B34"/>
    <w:rsid w:val="00C56E30"/>
    <w:rsid w:val="00C56F53"/>
    <w:rsid w:val="00C56FFC"/>
    <w:rsid w:val="00C57004"/>
    <w:rsid w:val="00C57113"/>
    <w:rsid w:val="00C571CA"/>
    <w:rsid w:val="00C573EF"/>
    <w:rsid w:val="00C57514"/>
    <w:rsid w:val="00C57692"/>
    <w:rsid w:val="00C5789C"/>
    <w:rsid w:val="00C57A7B"/>
    <w:rsid w:val="00C57B32"/>
    <w:rsid w:val="00C60033"/>
    <w:rsid w:val="00C60302"/>
    <w:rsid w:val="00C6040C"/>
    <w:rsid w:val="00C608A2"/>
    <w:rsid w:val="00C608CE"/>
    <w:rsid w:val="00C60A1E"/>
    <w:rsid w:val="00C60E32"/>
    <w:rsid w:val="00C612A8"/>
    <w:rsid w:val="00C613DB"/>
    <w:rsid w:val="00C6164F"/>
    <w:rsid w:val="00C61786"/>
    <w:rsid w:val="00C6180A"/>
    <w:rsid w:val="00C61909"/>
    <w:rsid w:val="00C61ACE"/>
    <w:rsid w:val="00C61DE2"/>
    <w:rsid w:val="00C61DF0"/>
    <w:rsid w:val="00C61EC0"/>
    <w:rsid w:val="00C625FE"/>
    <w:rsid w:val="00C62609"/>
    <w:rsid w:val="00C627ED"/>
    <w:rsid w:val="00C62895"/>
    <w:rsid w:val="00C62C3D"/>
    <w:rsid w:val="00C63117"/>
    <w:rsid w:val="00C633D6"/>
    <w:rsid w:val="00C63556"/>
    <w:rsid w:val="00C63A13"/>
    <w:rsid w:val="00C63A57"/>
    <w:rsid w:val="00C63A79"/>
    <w:rsid w:val="00C63BB9"/>
    <w:rsid w:val="00C63D2E"/>
    <w:rsid w:val="00C64029"/>
    <w:rsid w:val="00C6446C"/>
    <w:rsid w:val="00C64581"/>
    <w:rsid w:val="00C646C2"/>
    <w:rsid w:val="00C646D3"/>
    <w:rsid w:val="00C6480C"/>
    <w:rsid w:val="00C6497E"/>
    <w:rsid w:val="00C64AC2"/>
    <w:rsid w:val="00C64B1A"/>
    <w:rsid w:val="00C64C19"/>
    <w:rsid w:val="00C64DCD"/>
    <w:rsid w:val="00C6511B"/>
    <w:rsid w:val="00C6573A"/>
    <w:rsid w:val="00C657C5"/>
    <w:rsid w:val="00C6585D"/>
    <w:rsid w:val="00C65A42"/>
    <w:rsid w:val="00C65B30"/>
    <w:rsid w:val="00C65BC9"/>
    <w:rsid w:val="00C65C27"/>
    <w:rsid w:val="00C65FC2"/>
    <w:rsid w:val="00C66708"/>
    <w:rsid w:val="00C66734"/>
    <w:rsid w:val="00C66753"/>
    <w:rsid w:val="00C66B84"/>
    <w:rsid w:val="00C66DAB"/>
    <w:rsid w:val="00C66E0D"/>
    <w:rsid w:val="00C670D8"/>
    <w:rsid w:val="00C679DA"/>
    <w:rsid w:val="00C67A2A"/>
    <w:rsid w:val="00C67D9F"/>
    <w:rsid w:val="00C67DC6"/>
    <w:rsid w:val="00C702E5"/>
    <w:rsid w:val="00C70352"/>
    <w:rsid w:val="00C705B5"/>
    <w:rsid w:val="00C7084E"/>
    <w:rsid w:val="00C70DCC"/>
    <w:rsid w:val="00C7130F"/>
    <w:rsid w:val="00C7139F"/>
    <w:rsid w:val="00C7159D"/>
    <w:rsid w:val="00C71650"/>
    <w:rsid w:val="00C716AA"/>
    <w:rsid w:val="00C71E32"/>
    <w:rsid w:val="00C72166"/>
    <w:rsid w:val="00C7222A"/>
    <w:rsid w:val="00C725A3"/>
    <w:rsid w:val="00C72EFD"/>
    <w:rsid w:val="00C72F3D"/>
    <w:rsid w:val="00C7342B"/>
    <w:rsid w:val="00C73564"/>
    <w:rsid w:val="00C735F7"/>
    <w:rsid w:val="00C736E0"/>
    <w:rsid w:val="00C73A12"/>
    <w:rsid w:val="00C73FEE"/>
    <w:rsid w:val="00C744FA"/>
    <w:rsid w:val="00C745C9"/>
    <w:rsid w:val="00C745DB"/>
    <w:rsid w:val="00C745F6"/>
    <w:rsid w:val="00C746EC"/>
    <w:rsid w:val="00C74760"/>
    <w:rsid w:val="00C7480D"/>
    <w:rsid w:val="00C74C16"/>
    <w:rsid w:val="00C74D98"/>
    <w:rsid w:val="00C74F75"/>
    <w:rsid w:val="00C74FD3"/>
    <w:rsid w:val="00C75120"/>
    <w:rsid w:val="00C752E1"/>
    <w:rsid w:val="00C7534B"/>
    <w:rsid w:val="00C75934"/>
    <w:rsid w:val="00C7595D"/>
    <w:rsid w:val="00C75AA3"/>
    <w:rsid w:val="00C75B6F"/>
    <w:rsid w:val="00C7606A"/>
    <w:rsid w:val="00C76242"/>
    <w:rsid w:val="00C76883"/>
    <w:rsid w:val="00C76A11"/>
    <w:rsid w:val="00C76AC1"/>
    <w:rsid w:val="00C76BFC"/>
    <w:rsid w:val="00C76C84"/>
    <w:rsid w:val="00C7702F"/>
    <w:rsid w:val="00C7748A"/>
    <w:rsid w:val="00C774FD"/>
    <w:rsid w:val="00C777CC"/>
    <w:rsid w:val="00C77919"/>
    <w:rsid w:val="00C77BEE"/>
    <w:rsid w:val="00C77C47"/>
    <w:rsid w:val="00C77D14"/>
    <w:rsid w:val="00C77E14"/>
    <w:rsid w:val="00C80019"/>
    <w:rsid w:val="00C801EF"/>
    <w:rsid w:val="00C80275"/>
    <w:rsid w:val="00C804A8"/>
    <w:rsid w:val="00C804F0"/>
    <w:rsid w:val="00C80509"/>
    <w:rsid w:val="00C806DD"/>
    <w:rsid w:val="00C80800"/>
    <w:rsid w:val="00C808FB"/>
    <w:rsid w:val="00C8097B"/>
    <w:rsid w:val="00C80B6C"/>
    <w:rsid w:val="00C80BFF"/>
    <w:rsid w:val="00C81D9C"/>
    <w:rsid w:val="00C820EF"/>
    <w:rsid w:val="00C8213D"/>
    <w:rsid w:val="00C82426"/>
    <w:rsid w:val="00C827FF"/>
    <w:rsid w:val="00C828AE"/>
    <w:rsid w:val="00C82A7F"/>
    <w:rsid w:val="00C82AD4"/>
    <w:rsid w:val="00C82F1A"/>
    <w:rsid w:val="00C8301F"/>
    <w:rsid w:val="00C830B4"/>
    <w:rsid w:val="00C8339F"/>
    <w:rsid w:val="00C833DD"/>
    <w:rsid w:val="00C83ACF"/>
    <w:rsid w:val="00C83FBC"/>
    <w:rsid w:val="00C84213"/>
    <w:rsid w:val="00C847B1"/>
    <w:rsid w:val="00C849F7"/>
    <w:rsid w:val="00C84FAC"/>
    <w:rsid w:val="00C851BB"/>
    <w:rsid w:val="00C85324"/>
    <w:rsid w:val="00C85383"/>
    <w:rsid w:val="00C8542B"/>
    <w:rsid w:val="00C85AA1"/>
    <w:rsid w:val="00C85B7F"/>
    <w:rsid w:val="00C864E3"/>
    <w:rsid w:val="00C864EA"/>
    <w:rsid w:val="00C8685B"/>
    <w:rsid w:val="00C8690F"/>
    <w:rsid w:val="00C869B4"/>
    <w:rsid w:val="00C87392"/>
    <w:rsid w:val="00C875C1"/>
    <w:rsid w:val="00C87655"/>
    <w:rsid w:val="00C8769B"/>
    <w:rsid w:val="00C87C69"/>
    <w:rsid w:val="00C87FF4"/>
    <w:rsid w:val="00C902C9"/>
    <w:rsid w:val="00C9048E"/>
    <w:rsid w:val="00C90546"/>
    <w:rsid w:val="00C90655"/>
    <w:rsid w:val="00C909FC"/>
    <w:rsid w:val="00C90C26"/>
    <w:rsid w:val="00C91042"/>
    <w:rsid w:val="00C91308"/>
    <w:rsid w:val="00C91528"/>
    <w:rsid w:val="00C916E9"/>
    <w:rsid w:val="00C91855"/>
    <w:rsid w:val="00C91C6F"/>
    <w:rsid w:val="00C91CD9"/>
    <w:rsid w:val="00C9212B"/>
    <w:rsid w:val="00C92680"/>
    <w:rsid w:val="00C92B3B"/>
    <w:rsid w:val="00C92BD5"/>
    <w:rsid w:val="00C92D01"/>
    <w:rsid w:val="00C92EAB"/>
    <w:rsid w:val="00C9308A"/>
    <w:rsid w:val="00C930C5"/>
    <w:rsid w:val="00C930EB"/>
    <w:rsid w:val="00C931CE"/>
    <w:rsid w:val="00C93272"/>
    <w:rsid w:val="00C934D5"/>
    <w:rsid w:val="00C93863"/>
    <w:rsid w:val="00C93C28"/>
    <w:rsid w:val="00C93CD6"/>
    <w:rsid w:val="00C93ED0"/>
    <w:rsid w:val="00C94119"/>
    <w:rsid w:val="00C941D2"/>
    <w:rsid w:val="00C947EF"/>
    <w:rsid w:val="00C949AD"/>
    <w:rsid w:val="00C94AC5"/>
    <w:rsid w:val="00C94E50"/>
    <w:rsid w:val="00C9508B"/>
    <w:rsid w:val="00C9523B"/>
    <w:rsid w:val="00C952E6"/>
    <w:rsid w:val="00C95390"/>
    <w:rsid w:val="00C953A8"/>
    <w:rsid w:val="00C95669"/>
    <w:rsid w:val="00C95673"/>
    <w:rsid w:val="00C956F7"/>
    <w:rsid w:val="00C957ED"/>
    <w:rsid w:val="00C958E9"/>
    <w:rsid w:val="00C958F7"/>
    <w:rsid w:val="00C95A7C"/>
    <w:rsid w:val="00C95C62"/>
    <w:rsid w:val="00C95CA1"/>
    <w:rsid w:val="00C95E3B"/>
    <w:rsid w:val="00C95EBA"/>
    <w:rsid w:val="00C966FA"/>
    <w:rsid w:val="00C96852"/>
    <w:rsid w:val="00C96AFE"/>
    <w:rsid w:val="00C96ECF"/>
    <w:rsid w:val="00C96F05"/>
    <w:rsid w:val="00C97C1C"/>
    <w:rsid w:val="00C97D46"/>
    <w:rsid w:val="00C97DCF"/>
    <w:rsid w:val="00CA04B3"/>
    <w:rsid w:val="00CA099B"/>
    <w:rsid w:val="00CA0CD4"/>
    <w:rsid w:val="00CA0D24"/>
    <w:rsid w:val="00CA0D6E"/>
    <w:rsid w:val="00CA144D"/>
    <w:rsid w:val="00CA16AD"/>
    <w:rsid w:val="00CA1AA0"/>
    <w:rsid w:val="00CA1EC6"/>
    <w:rsid w:val="00CA1ECC"/>
    <w:rsid w:val="00CA24F3"/>
    <w:rsid w:val="00CA2896"/>
    <w:rsid w:val="00CA2A0D"/>
    <w:rsid w:val="00CA2B57"/>
    <w:rsid w:val="00CA2B85"/>
    <w:rsid w:val="00CA2BE7"/>
    <w:rsid w:val="00CA2F59"/>
    <w:rsid w:val="00CA3054"/>
    <w:rsid w:val="00CA355E"/>
    <w:rsid w:val="00CA3705"/>
    <w:rsid w:val="00CA37D6"/>
    <w:rsid w:val="00CA3AC7"/>
    <w:rsid w:val="00CA3E2C"/>
    <w:rsid w:val="00CA3FB8"/>
    <w:rsid w:val="00CA46FE"/>
    <w:rsid w:val="00CA47F3"/>
    <w:rsid w:val="00CA4852"/>
    <w:rsid w:val="00CA49B1"/>
    <w:rsid w:val="00CA4BF2"/>
    <w:rsid w:val="00CA4F57"/>
    <w:rsid w:val="00CA5198"/>
    <w:rsid w:val="00CA534B"/>
    <w:rsid w:val="00CA54CD"/>
    <w:rsid w:val="00CA5535"/>
    <w:rsid w:val="00CA560B"/>
    <w:rsid w:val="00CA5AA0"/>
    <w:rsid w:val="00CA605A"/>
    <w:rsid w:val="00CA624A"/>
    <w:rsid w:val="00CA62D9"/>
    <w:rsid w:val="00CA667A"/>
    <w:rsid w:val="00CA67B0"/>
    <w:rsid w:val="00CA68F4"/>
    <w:rsid w:val="00CA70AE"/>
    <w:rsid w:val="00CA71BB"/>
    <w:rsid w:val="00CA72EC"/>
    <w:rsid w:val="00CA7312"/>
    <w:rsid w:val="00CA7406"/>
    <w:rsid w:val="00CA7751"/>
    <w:rsid w:val="00CA787C"/>
    <w:rsid w:val="00CA79A5"/>
    <w:rsid w:val="00CA7B35"/>
    <w:rsid w:val="00CA7E15"/>
    <w:rsid w:val="00CA7E23"/>
    <w:rsid w:val="00CA7ECC"/>
    <w:rsid w:val="00CB0181"/>
    <w:rsid w:val="00CB04D6"/>
    <w:rsid w:val="00CB0732"/>
    <w:rsid w:val="00CB097B"/>
    <w:rsid w:val="00CB0D6B"/>
    <w:rsid w:val="00CB1149"/>
    <w:rsid w:val="00CB138F"/>
    <w:rsid w:val="00CB1A90"/>
    <w:rsid w:val="00CB1BCB"/>
    <w:rsid w:val="00CB1BE0"/>
    <w:rsid w:val="00CB1DEF"/>
    <w:rsid w:val="00CB1EE9"/>
    <w:rsid w:val="00CB241A"/>
    <w:rsid w:val="00CB2434"/>
    <w:rsid w:val="00CB24C8"/>
    <w:rsid w:val="00CB2DB2"/>
    <w:rsid w:val="00CB3182"/>
    <w:rsid w:val="00CB31DE"/>
    <w:rsid w:val="00CB3203"/>
    <w:rsid w:val="00CB3267"/>
    <w:rsid w:val="00CB3379"/>
    <w:rsid w:val="00CB3539"/>
    <w:rsid w:val="00CB37F2"/>
    <w:rsid w:val="00CB38C0"/>
    <w:rsid w:val="00CB3928"/>
    <w:rsid w:val="00CB3C13"/>
    <w:rsid w:val="00CB3F83"/>
    <w:rsid w:val="00CB407C"/>
    <w:rsid w:val="00CB418A"/>
    <w:rsid w:val="00CB4270"/>
    <w:rsid w:val="00CB4446"/>
    <w:rsid w:val="00CB45E9"/>
    <w:rsid w:val="00CB479E"/>
    <w:rsid w:val="00CB49FA"/>
    <w:rsid w:val="00CB4B64"/>
    <w:rsid w:val="00CB4D9D"/>
    <w:rsid w:val="00CB4F78"/>
    <w:rsid w:val="00CB514C"/>
    <w:rsid w:val="00CB585C"/>
    <w:rsid w:val="00CB5AFD"/>
    <w:rsid w:val="00CB5FDC"/>
    <w:rsid w:val="00CB62BC"/>
    <w:rsid w:val="00CB667A"/>
    <w:rsid w:val="00CB66F7"/>
    <w:rsid w:val="00CB689C"/>
    <w:rsid w:val="00CB6912"/>
    <w:rsid w:val="00CB69CB"/>
    <w:rsid w:val="00CB7922"/>
    <w:rsid w:val="00CB7A2B"/>
    <w:rsid w:val="00CC033C"/>
    <w:rsid w:val="00CC05ED"/>
    <w:rsid w:val="00CC05F5"/>
    <w:rsid w:val="00CC05FD"/>
    <w:rsid w:val="00CC0AA9"/>
    <w:rsid w:val="00CC0C0C"/>
    <w:rsid w:val="00CC0C97"/>
    <w:rsid w:val="00CC0CBF"/>
    <w:rsid w:val="00CC0EB3"/>
    <w:rsid w:val="00CC106A"/>
    <w:rsid w:val="00CC1145"/>
    <w:rsid w:val="00CC13BF"/>
    <w:rsid w:val="00CC14B6"/>
    <w:rsid w:val="00CC16AC"/>
    <w:rsid w:val="00CC16CF"/>
    <w:rsid w:val="00CC1E25"/>
    <w:rsid w:val="00CC2049"/>
    <w:rsid w:val="00CC2236"/>
    <w:rsid w:val="00CC2457"/>
    <w:rsid w:val="00CC2799"/>
    <w:rsid w:val="00CC2807"/>
    <w:rsid w:val="00CC2850"/>
    <w:rsid w:val="00CC2998"/>
    <w:rsid w:val="00CC2DDC"/>
    <w:rsid w:val="00CC2FD2"/>
    <w:rsid w:val="00CC30BF"/>
    <w:rsid w:val="00CC320E"/>
    <w:rsid w:val="00CC3225"/>
    <w:rsid w:val="00CC3278"/>
    <w:rsid w:val="00CC3306"/>
    <w:rsid w:val="00CC3985"/>
    <w:rsid w:val="00CC3A70"/>
    <w:rsid w:val="00CC4262"/>
    <w:rsid w:val="00CC434B"/>
    <w:rsid w:val="00CC4706"/>
    <w:rsid w:val="00CC47DA"/>
    <w:rsid w:val="00CC497E"/>
    <w:rsid w:val="00CC4A43"/>
    <w:rsid w:val="00CC4FCF"/>
    <w:rsid w:val="00CC5956"/>
    <w:rsid w:val="00CC5BAB"/>
    <w:rsid w:val="00CC5C4F"/>
    <w:rsid w:val="00CC6192"/>
    <w:rsid w:val="00CC6334"/>
    <w:rsid w:val="00CC6410"/>
    <w:rsid w:val="00CC6645"/>
    <w:rsid w:val="00CC6956"/>
    <w:rsid w:val="00CC6D1B"/>
    <w:rsid w:val="00CC713E"/>
    <w:rsid w:val="00CC71FB"/>
    <w:rsid w:val="00CC79F8"/>
    <w:rsid w:val="00CD008E"/>
    <w:rsid w:val="00CD017F"/>
    <w:rsid w:val="00CD02F2"/>
    <w:rsid w:val="00CD0B3F"/>
    <w:rsid w:val="00CD0D08"/>
    <w:rsid w:val="00CD1262"/>
    <w:rsid w:val="00CD1464"/>
    <w:rsid w:val="00CD16B8"/>
    <w:rsid w:val="00CD177A"/>
    <w:rsid w:val="00CD18E6"/>
    <w:rsid w:val="00CD19DC"/>
    <w:rsid w:val="00CD1A7D"/>
    <w:rsid w:val="00CD1B76"/>
    <w:rsid w:val="00CD1BC4"/>
    <w:rsid w:val="00CD1F84"/>
    <w:rsid w:val="00CD2014"/>
    <w:rsid w:val="00CD2107"/>
    <w:rsid w:val="00CD217F"/>
    <w:rsid w:val="00CD2240"/>
    <w:rsid w:val="00CD24F5"/>
    <w:rsid w:val="00CD25AE"/>
    <w:rsid w:val="00CD2764"/>
    <w:rsid w:val="00CD298D"/>
    <w:rsid w:val="00CD29E4"/>
    <w:rsid w:val="00CD2A2E"/>
    <w:rsid w:val="00CD2B85"/>
    <w:rsid w:val="00CD2C4B"/>
    <w:rsid w:val="00CD2C6C"/>
    <w:rsid w:val="00CD3019"/>
    <w:rsid w:val="00CD3407"/>
    <w:rsid w:val="00CD3447"/>
    <w:rsid w:val="00CD36A0"/>
    <w:rsid w:val="00CD3AD8"/>
    <w:rsid w:val="00CD3C9F"/>
    <w:rsid w:val="00CD3E7D"/>
    <w:rsid w:val="00CD40D4"/>
    <w:rsid w:val="00CD4214"/>
    <w:rsid w:val="00CD449E"/>
    <w:rsid w:val="00CD47AD"/>
    <w:rsid w:val="00CD483D"/>
    <w:rsid w:val="00CD4886"/>
    <w:rsid w:val="00CD488A"/>
    <w:rsid w:val="00CD4A22"/>
    <w:rsid w:val="00CD4C96"/>
    <w:rsid w:val="00CD4D01"/>
    <w:rsid w:val="00CD4D46"/>
    <w:rsid w:val="00CD4DA8"/>
    <w:rsid w:val="00CD5002"/>
    <w:rsid w:val="00CD51C3"/>
    <w:rsid w:val="00CD528C"/>
    <w:rsid w:val="00CD54ED"/>
    <w:rsid w:val="00CD5556"/>
    <w:rsid w:val="00CD5D5F"/>
    <w:rsid w:val="00CD5E56"/>
    <w:rsid w:val="00CD62BC"/>
    <w:rsid w:val="00CD6366"/>
    <w:rsid w:val="00CD6B49"/>
    <w:rsid w:val="00CD70BC"/>
    <w:rsid w:val="00CD73FF"/>
    <w:rsid w:val="00CD77C8"/>
    <w:rsid w:val="00CD77F0"/>
    <w:rsid w:val="00CD7BF5"/>
    <w:rsid w:val="00CD7C6D"/>
    <w:rsid w:val="00CE05DB"/>
    <w:rsid w:val="00CE0ABF"/>
    <w:rsid w:val="00CE16C2"/>
    <w:rsid w:val="00CE21AE"/>
    <w:rsid w:val="00CE23A1"/>
    <w:rsid w:val="00CE26E6"/>
    <w:rsid w:val="00CE2BFE"/>
    <w:rsid w:val="00CE2EA9"/>
    <w:rsid w:val="00CE2EF8"/>
    <w:rsid w:val="00CE3035"/>
    <w:rsid w:val="00CE34E4"/>
    <w:rsid w:val="00CE3AF0"/>
    <w:rsid w:val="00CE3B5B"/>
    <w:rsid w:val="00CE3BAF"/>
    <w:rsid w:val="00CE3EE0"/>
    <w:rsid w:val="00CE4037"/>
    <w:rsid w:val="00CE40B2"/>
    <w:rsid w:val="00CE4707"/>
    <w:rsid w:val="00CE4B95"/>
    <w:rsid w:val="00CE4D1F"/>
    <w:rsid w:val="00CE54D4"/>
    <w:rsid w:val="00CE560A"/>
    <w:rsid w:val="00CE5649"/>
    <w:rsid w:val="00CE56AC"/>
    <w:rsid w:val="00CE592F"/>
    <w:rsid w:val="00CE59A5"/>
    <w:rsid w:val="00CE5DAD"/>
    <w:rsid w:val="00CE6352"/>
    <w:rsid w:val="00CE65F5"/>
    <w:rsid w:val="00CE6786"/>
    <w:rsid w:val="00CE67BF"/>
    <w:rsid w:val="00CE67CE"/>
    <w:rsid w:val="00CE6BD8"/>
    <w:rsid w:val="00CE750D"/>
    <w:rsid w:val="00CE7561"/>
    <w:rsid w:val="00CE7A35"/>
    <w:rsid w:val="00CE7DF8"/>
    <w:rsid w:val="00CF02BD"/>
    <w:rsid w:val="00CF0623"/>
    <w:rsid w:val="00CF07CB"/>
    <w:rsid w:val="00CF0B41"/>
    <w:rsid w:val="00CF0D59"/>
    <w:rsid w:val="00CF0D9C"/>
    <w:rsid w:val="00CF1195"/>
    <w:rsid w:val="00CF131B"/>
    <w:rsid w:val="00CF1418"/>
    <w:rsid w:val="00CF1E46"/>
    <w:rsid w:val="00CF1F1C"/>
    <w:rsid w:val="00CF231F"/>
    <w:rsid w:val="00CF25C4"/>
    <w:rsid w:val="00CF2697"/>
    <w:rsid w:val="00CF26E8"/>
    <w:rsid w:val="00CF2CC9"/>
    <w:rsid w:val="00CF2E06"/>
    <w:rsid w:val="00CF33C8"/>
    <w:rsid w:val="00CF349F"/>
    <w:rsid w:val="00CF3533"/>
    <w:rsid w:val="00CF35F6"/>
    <w:rsid w:val="00CF36D0"/>
    <w:rsid w:val="00CF3845"/>
    <w:rsid w:val="00CF3DEF"/>
    <w:rsid w:val="00CF4393"/>
    <w:rsid w:val="00CF451A"/>
    <w:rsid w:val="00CF4596"/>
    <w:rsid w:val="00CF4979"/>
    <w:rsid w:val="00CF4C7F"/>
    <w:rsid w:val="00CF4FC1"/>
    <w:rsid w:val="00CF50B3"/>
    <w:rsid w:val="00CF531A"/>
    <w:rsid w:val="00CF551F"/>
    <w:rsid w:val="00CF5D2A"/>
    <w:rsid w:val="00CF652C"/>
    <w:rsid w:val="00CF6845"/>
    <w:rsid w:val="00CF6AF7"/>
    <w:rsid w:val="00CF6D89"/>
    <w:rsid w:val="00CF6DE1"/>
    <w:rsid w:val="00CF6E0E"/>
    <w:rsid w:val="00CF6E5C"/>
    <w:rsid w:val="00CF72A5"/>
    <w:rsid w:val="00CF7621"/>
    <w:rsid w:val="00CF7634"/>
    <w:rsid w:val="00CF771C"/>
    <w:rsid w:val="00CF7994"/>
    <w:rsid w:val="00CF7999"/>
    <w:rsid w:val="00CF7A45"/>
    <w:rsid w:val="00CF7A78"/>
    <w:rsid w:val="00CF7D6C"/>
    <w:rsid w:val="00CF7E1B"/>
    <w:rsid w:val="00D001B7"/>
    <w:rsid w:val="00D00497"/>
    <w:rsid w:val="00D00505"/>
    <w:rsid w:val="00D005EB"/>
    <w:rsid w:val="00D011AB"/>
    <w:rsid w:val="00D01A22"/>
    <w:rsid w:val="00D01AE6"/>
    <w:rsid w:val="00D01B64"/>
    <w:rsid w:val="00D01C90"/>
    <w:rsid w:val="00D01E49"/>
    <w:rsid w:val="00D01F9D"/>
    <w:rsid w:val="00D022E8"/>
    <w:rsid w:val="00D0242B"/>
    <w:rsid w:val="00D02584"/>
    <w:rsid w:val="00D02610"/>
    <w:rsid w:val="00D02DBA"/>
    <w:rsid w:val="00D030CE"/>
    <w:rsid w:val="00D03140"/>
    <w:rsid w:val="00D032F3"/>
    <w:rsid w:val="00D03549"/>
    <w:rsid w:val="00D04774"/>
    <w:rsid w:val="00D049E6"/>
    <w:rsid w:val="00D04D85"/>
    <w:rsid w:val="00D04D95"/>
    <w:rsid w:val="00D04DB3"/>
    <w:rsid w:val="00D04FCB"/>
    <w:rsid w:val="00D0511E"/>
    <w:rsid w:val="00D0528C"/>
    <w:rsid w:val="00D05545"/>
    <w:rsid w:val="00D0569A"/>
    <w:rsid w:val="00D05817"/>
    <w:rsid w:val="00D05A5D"/>
    <w:rsid w:val="00D05D36"/>
    <w:rsid w:val="00D05F33"/>
    <w:rsid w:val="00D05F83"/>
    <w:rsid w:val="00D05FAA"/>
    <w:rsid w:val="00D0703F"/>
    <w:rsid w:val="00D070AF"/>
    <w:rsid w:val="00D07405"/>
    <w:rsid w:val="00D075ED"/>
    <w:rsid w:val="00D0778D"/>
    <w:rsid w:val="00D07C54"/>
    <w:rsid w:val="00D10039"/>
    <w:rsid w:val="00D10246"/>
    <w:rsid w:val="00D10CF2"/>
    <w:rsid w:val="00D10F18"/>
    <w:rsid w:val="00D10FB4"/>
    <w:rsid w:val="00D11321"/>
    <w:rsid w:val="00D11C1E"/>
    <w:rsid w:val="00D11C41"/>
    <w:rsid w:val="00D11C4B"/>
    <w:rsid w:val="00D11D53"/>
    <w:rsid w:val="00D11F09"/>
    <w:rsid w:val="00D11F5F"/>
    <w:rsid w:val="00D12083"/>
    <w:rsid w:val="00D125F1"/>
    <w:rsid w:val="00D12613"/>
    <w:rsid w:val="00D127EE"/>
    <w:rsid w:val="00D12A36"/>
    <w:rsid w:val="00D12D1F"/>
    <w:rsid w:val="00D12D57"/>
    <w:rsid w:val="00D12FAF"/>
    <w:rsid w:val="00D13226"/>
    <w:rsid w:val="00D13482"/>
    <w:rsid w:val="00D134AA"/>
    <w:rsid w:val="00D135A1"/>
    <w:rsid w:val="00D135C5"/>
    <w:rsid w:val="00D1374B"/>
    <w:rsid w:val="00D13982"/>
    <w:rsid w:val="00D13AB9"/>
    <w:rsid w:val="00D13B41"/>
    <w:rsid w:val="00D1400C"/>
    <w:rsid w:val="00D1421C"/>
    <w:rsid w:val="00D148C8"/>
    <w:rsid w:val="00D14C07"/>
    <w:rsid w:val="00D14DAB"/>
    <w:rsid w:val="00D14DCD"/>
    <w:rsid w:val="00D14DFB"/>
    <w:rsid w:val="00D14FEE"/>
    <w:rsid w:val="00D15010"/>
    <w:rsid w:val="00D15034"/>
    <w:rsid w:val="00D151E0"/>
    <w:rsid w:val="00D1530C"/>
    <w:rsid w:val="00D153C4"/>
    <w:rsid w:val="00D15902"/>
    <w:rsid w:val="00D15C54"/>
    <w:rsid w:val="00D16308"/>
    <w:rsid w:val="00D167F7"/>
    <w:rsid w:val="00D16984"/>
    <w:rsid w:val="00D16B8B"/>
    <w:rsid w:val="00D16E89"/>
    <w:rsid w:val="00D16EEE"/>
    <w:rsid w:val="00D1717D"/>
    <w:rsid w:val="00D172CA"/>
    <w:rsid w:val="00D17322"/>
    <w:rsid w:val="00D17401"/>
    <w:rsid w:val="00D176CD"/>
    <w:rsid w:val="00D17A4E"/>
    <w:rsid w:val="00D17E2D"/>
    <w:rsid w:val="00D17EF9"/>
    <w:rsid w:val="00D20226"/>
    <w:rsid w:val="00D20A68"/>
    <w:rsid w:val="00D21001"/>
    <w:rsid w:val="00D21B63"/>
    <w:rsid w:val="00D22003"/>
    <w:rsid w:val="00D2233F"/>
    <w:rsid w:val="00D223A2"/>
    <w:rsid w:val="00D22402"/>
    <w:rsid w:val="00D22700"/>
    <w:rsid w:val="00D22C11"/>
    <w:rsid w:val="00D22D34"/>
    <w:rsid w:val="00D23154"/>
    <w:rsid w:val="00D232F5"/>
    <w:rsid w:val="00D239F9"/>
    <w:rsid w:val="00D23D0B"/>
    <w:rsid w:val="00D23F09"/>
    <w:rsid w:val="00D240F7"/>
    <w:rsid w:val="00D24853"/>
    <w:rsid w:val="00D24D78"/>
    <w:rsid w:val="00D24FFF"/>
    <w:rsid w:val="00D25114"/>
    <w:rsid w:val="00D2529D"/>
    <w:rsid w:val="00D2568B"/>
    <w:rsid w:val="00D25FA4"/>
    <w:rsid w:val="00D26167"/>
    <w:rsid w:val="00D262BA"/>
    <w:rsid w:val="00D26627"/>
    <w:rsid w:val="00D26D9F"/>
    <w:rsid w:val="00D27150"/>
    <w:rsid w:val="00D271A6"/>
    <w:rsid w:val="00D27279"/>
    <w:rsid w:val="00D272CA"/>
    <w:rsid w:val="00D2765C"/>
    <w:rsid w:val="00D276A3"/>
    <w:rsid w:val="00D276AC"/>
    <w:rsid w:val="00D27C67"/>
    <w:rsid w:val="00D27DE2"/>
    <w:rsid w:val="00D27E26"/>
    <w:rsid w:val="00D3000B"/>
    <w:rsid w:val="00D300A9"/>
    <w:rsid w:val="00D30C12"/>
    <w:rsid w:val="00D30E8F"/>
    <w:rsid w:val="00D31168"/>
    <w:rsid w:val="00D3122A"/>
    <w:rsid w:val="00D31414"/>
    <w:rsid w:val="00D31756"/>
    <w:rsid w:val="00D3186D"/>
    <w:rsid w:val="00D320AC"/>
    <w:rsid w:val="00D3215C"/>
    <w:rsid w:val="00D321AA"/>
    <w:rsid w:val="00D32240"/>
    <w:rsid w:val="00D322BE"/>
    <w:rsid w:val="00D325D2"/>
    <w:rsid w:val="00D32868"/>
    <w:rsid w:val="00D32C53"/>
    <w:rsid w:val="00D32E99"/>
    <w:rsid w:val="00D3320D"/>
    <w:rsid w:val="00D3335B"/>
    <w:rsid w:val="00D335D5"/>
    <w:rsid w:val="00D339E7"/>
    <w:rsid w:val="00D33BB6"/>
    <w:rsid w:val="00D33BB8"/>
    <w:rsid w:val="00D34D08"/>
    <w:rsid w:val="00D34E8A"/>
    <w:rsid w:val="00D351AF"/>
    <w:rsid w:val="00D35250"/>
    <w:rsid w:val="00D35612"/>
    <w:rsid w:val="00D35645"/>
    <w:rsid w:val="00D3582A"/>
    <w:rsid w:val="00D36357"/>
    <w:rsid w:val="00D363FB"/>
    <w:rsid w:val="00D368EB"/>
    <w:rsid w:val="00D36BD2"/>
    <w:rsid w:val="00D36DC0"/>
    <w:rsid w:val="00D36E88"/>
    <w:rsid w:val="00D36F3B"/>
    <w:rsid w:val="00D36F48"/>
    <w:rsid w:val="00D36FC0"/>
    <w:rsid w:val="00D3703F"/>
    <w:rsid w:val="00D370E5"/>
    <w:rsid w:val="00D371FB"/>
    <w:rsid w:val="00D37950"/>
    <w:rsid w:val="00D37A89"/>
    <w:rsid w:val="00D37DB8"/>
    <w:rsid w:val="00D37DFC"/>
    <w:rsid w:val="00D37F84"/>
    <w:rsid w:val="00D400F1"/>
    <w:rsid w:val="00D404F0"/>
    <w:rsid w:val="00D404F8"/>
    <w:rsid w:val="00D405DB"/>
    <w:rsid w:val="00D4076A"/>
    <w:rsid w:val="00D40863"/>
    <w:rsid w:val="00D40D3D"/>
    <w:rsid w:val="00D40D59"/>
    <w:rsid w:val="00D41322"/>
    <w:rsid w:val="00D41390"/>
    <w:rsid w:val="00D414D4"/>
    <w:rsid w:val="00D41506"/>
    <w:rsid w:val="00D41530"/>
    <w:rsid w:val="00D41A70"/>
    <w:rsid w:val="00D41BDF"/>
    <w:rsid w:val="00D41DE2"/>
    <w:rsid w:val="00D41F42"/>
    <w:rsid w:val="00D42158"/>
    <w:rsid w:val="00D42225"/>
    <w:rsid w:val="00D4242B"/>
    <w:rsid w:val="00D424A2"/>
    <w:rsid w:val="00D42721"/>
    <w:rsid w:val="00D42A91"/>
    <w:rsid w:val="00D42F74"/>
    <w:rsid w:val="00D42F7A"/>
    <w:rsid w:val="00D42FA5"/>
    <w:rsid w:val="00D43177"/>
    <w:rsid w:val="00D43472"/>
    <w:rsid w:val="00D439DE"/>
    <w:rsid w:val="00D43DDC"/>
    <w:rsid w:val="00D43E2E"/>
    <w:rsid w:val="00D43EF0"/>
    <w:rsid w:val="00D43F9A"/>
    <w:rsid w:val="00D44170"/>
    <w:rsid w:val="00D4417E"/>
    <w:rsid w:val="00D442F7"/>
    <w:rsid w:val="00D44587"/>
    <w:rsid w:val="00D4476D"/>
    <w:rsid w:val="00D449CC"/>
    <w:rsid w:val="00D44AF2"/>
    <w:rsid w:val="00D44C59"/>
    <w:rsid w:val="00D45437"/>
    <w:rsid w:val="00D4563C"/>
    <w:rsid w:val="00D45882"/>
    <w:rsid w:val="00D4603C"/>
    <w:rsid w:val="00D4605E"/>
    <w:rsid w:val="00D46129"/>
    <w:rsid w:val="00D46605"/>
    <w:rsid w:val="00D4685A"/>
    <w:rsid w:val="00D46CE3"/>
    <w:rsid w:val="00D46E80"/>
    <w:rsid w:val="00D472B9"/>
    <w:rsid w:val="00D475B8"/>
    <w:rsid w:val="00D47626"/>
    <w:rsid w:val="00D4782F"/>
    <w:rsid w:val="00D47A83"/>
    <w:rsid w:val="00D47B0E"/>
    <w:rsid w:val="00D47C8F"/>
    <w:rsid w:val="00D47DAA"/>
    <w:rsid w:val="00D47E1F"/>
    <w:rsid w:val="00D501C8"/>
    <w:rsid w:val="00D502C0"/>
    <w:rsid w:val="00D5041D"/>
    <w:rsid w:val="00D504B9"/>
    <w:rsid w:val="00D50594"/>
    <w:rsid w:val="00D505B0"/>
    <w:rsid w:val="00D506D9"/>
    <w:rsid w:val="00D50801"/>
    <w:rsid w:val="00D5080C"/>
    <w:rsid w:val="00D50C6B"/>
    <w:rsid w:val="00D50CD5"/>
    <w:rsid w:val="00D50EA5"/>
    <w:rsid w:val="00D50F69"/>
    <w:rsid w:val="00D514FC"/>
    <w:rsid w:val="00D515F6"/>
    <w:rsid w:val="00D515F8"/>
    <w:rsid w:val="00D517AD"/>
    <w:rsid w:val="00D5198A"/>
    <w:rsid w:val="00D51A51"/>
    <w:rsid w:val="00D51B95"/>
    <w:rsid w:val="00D51DE1"/>
    <w:rsid w:val="00D51EF3"/>
    <w:rsid w:val="00D520D0"/>
    <w:rsid w:val="00D52141"/>
    <w:rsid w:val="00D5227F"/>
    <w:rsid w:val="00D52567"/>
    <w:rsid w:val="00D52D67"/>
    <w:rsid w:val="00D530AE"/>
    <w:rsid w:val="00D53530"/>
    <w:rsid w:val="00D53783"/>
    <w:rsid w:val="00D538B3"/>
    <w:rsid w:val="00D53A64"/>
    <w:rsid w:val="00D53E94"/>
    <w:rsid w:val="00D53F50"/>
    <w:rsid w:val="00D540B5"/>
    <w:rsid w:val="00D54715"/>
    <w:rsid w:val="00D5497C"/>
    <w:rsid w:val="00D54B41"/>
    <w:rsid w:val="00D54BD0"/>
    <w:rsid w:val="00D54DE2"/>
    <w:rsid w:val="00D54F6E"/>
    <w:rsid w:val="00D550D1"/>
    <w:rsid w:val="00D552A5"/>
    <w:rsid w:val="00D558CF"/>
    <w:rsid w:val="00D55975"/>
    <w:rsid w:val="00D55D0B"/>
    <w:rsid w:val="00D55D52"/>
    <w:rsid w:val="00D56493"/>
    <w:rsid w:val="00D56747"/>
    <w:rsid w:val="00D56952"/>
    <w:rsid w:val="00D56CD8"/>
    <w:rsid w:val="00D5732E"/>
    <w:rsid w:val="00D576D6"/>
    <w:rsid w:val="00D57C99"/>
    <w:rsid w:val="00D57CD4"/>
    <w:rsid w:val="00D57CED"/>
    <w:rsid w:val="00D57EB3"/>
    <w:rsid w:val="00D60080"/>
    <w:rsid w:val="00D604F4"/>
    <w:rsid w:val="00D605D8"/>
    <w:rsid w:val="00D60F58"/>
    <w:rsid w:val="00D6111B"/>
    <w:rsid w:val="00D61188"/>
    <w:rsid w:val="00D6142B"/>
    <w:rsid w:val="00D617C2"/>
    <w:rsid w:val="00D61998"/>
    <w:rsid w:val="00D61A2F"/>
    <w:rsid w:val="00D61BDF"/>
    <w:rsid w:val="00D62102"/>
    <w:rsid w:val="00D62270"/>
    <w:rsid w:val="00D624F1"/>
    <w:rsid w:val="00D627F8"/>
    <w:rsid w:val="00D62A95"/>
    <w:rsid w:val="00D62C14"/>
    <w:rsid w:val="00D62D65"/>
    <w:rsid w:val="00D62F93"/>
    <w:rsid w:val="00D6318A"/>
    <w:rsid w:val="00D63570"/>
    <w:rsid w:val="00D6399E"/>
    <w:rsid w:val="00D63A3A"/>
    <w:rsid w:val="00D63B38"/>
    <w:rsid w:val="00D6401A"/>
    <w:rsid w:val="00D64497"/>
    <w:rsid w:val="00D64A86"/>
    <w:rsid w:val="00D64AC5"/>
    <w:rsid w:val="00D64D1D"/>
    <w:rsid w:val="00D64DCB"/>
    <w:rsid w:val="00D6508C"/>
    <w:rsid w:val="00D6536D"/>
    <w:rsid w:val="00D6550C"/>
    <w:rsid w:val="00D656BD"/>
    <w:rsid w:val="00D65811"/>
    <w:rsid w:val="00D65A52"/>
    <w:rsid w:val="00D65B8E"/>
    <w:rsid w:val="00D65B95"/>
    <w:rsid w:val="00D6604D"/>
    <w:rsid w:val="00D66178"/>
    <w:rsid w:val="00D664B1"/>
    <w:rsid w:val="00D664BA"/>
    <w:rsid w:val="00D6685D"/>
    <w:rsid w:val="00D670BF"/>
    <w:rsid w:val="00D6724C"/>
    <w:rsid w:val="00D673F7"/>
    <w:rsid w:val="00D67615"/>
    <w:rsid w:val="00D6774D"/>
    <w:rsid w:val="00D67A5B"/>
    <w:rsid w:val="00D701A7"/>
    <w:rsid w:val="00D701F1"/>
    <w:rsid w:val="00D70512"/>
    <w:rsid w:val="00D70805"/>
    <w:rsid w:val="00D70942"/>
    <w:rsid w:val="00D70CF2"/>
    <w:rsid w:val="00D70E7B"/>
    <w:rsid w:val="00D70F08"/>
    <w:rsid w:val="00D710D3"/>
    <w:rsid w:val="00D712C5"/>
    <w:rsid w:val="00D71399"/>
    <w:rsid w:val="00D7161B"/>
    <w:rsid w:val="00D716B5"/>
    <w:rsid w:val="00D71774"/>
    <w:rsid w:val="00D71836"/>
    <w:rsid w:val="00D71B4E"/>
    <w:rsid w:val="00D71D49"/>
    <w:rsid w:val="00D7251C"/>
    <w:rsid w:val="00D728FD"/>
    <w:rsid w:val="00D7293D"/>
    <w:rsid w:val="00D72BB3"/>
    <w:rsid w:val="00D72BE6"/>
    <w:rsid w:val="00D73466"/>
    <w:rsid w:val="00D73992"/>
    <w:rsid w:val="00D73BDE"/>
    <w:rsid w:val="00D73D7D"/>
    <w:rsid w:val="00D73DE9"/>
    <w:rsid w:val="00D73E14"/>
    <w:rsid w:val="00D73F3A"/>
    <w:rsid w:val="00D742AE"/>
    <w:rsid w:val="00D742EE"/>
    <w:rsid w:val="00D748AF"/>
    <w:rsid w:val="00D74F0E"/>
    <w:rsid w:val="00D7560C"/>
    <w:rsid w:val="00D7560F"/>
    <w:rsid w:val="00D75A9A"/>
    <w:rsid w:val="00D75B2F"/>
    <w:rsid w:val="00D75C20"/>
    <w:rsid w:val="00D75C27"/>
    <w:rsid w:val="00D75CDC"/>
    <w:rsid w:val="00D76097"/>
    <w:rsid w:val="00D763B8"/>
    <w:rsid w:val="00D764A0"/>
    <w:rsid w:val="00D765D5"/>
    <w:rsid w:val="00D76B14"/>
    <w:rsid w:val="00D770AF"/>
    <w:rsid w:val="00D77AD2"/>
    <w:rsid w:val="00D77D6F"/>
    <w:rsid w:val="00D806AE"/>
    <w:rsid w:val="00D8083F"/>
    <w:rsid w:val="00D8118D"/>
    <w:rsid w:val="00D8124A"/>
    <w:rsid w:val="00D81306"/>
    <w:rsid w:val="00D8130D"/>
    <w:rsid w:val="00D8142F"/>
    <w:rsid w:val="00D81D82"/>
    <w:rsid w:val="00D820C3"/>
    <w:rsid w:val="00D823DA"/>
    <w:rsid w:val="00D824B5"/>
    <w:rsid w:val="00D82863"/>
    <w:rsid w:val="00D828C2"/>
    <w:rsid w:val="00D82A9C"/>
    <w:rsid w:val="00D82DC9"/>
    <w:rsid w:val="00D82EE0"/>
    <w:rsid w:val="00D8328D"/>
    <w:rsid w:val="00D8351B"/>
    <w:rsid w:val="00D83521"/>
    <w:rsid w:val="00D83E7E"/>
    <w:rsid w:val="00D844F9"/>
    <w:rsid w:val="00D84584"/>
    <w:rsid w:val="00D8464E"/>
    <w:rsid w:val="00D8484E"/>
    <w:rsid w:val="00D849FC"/>
    <w:rsid w:val="00D84C05"/>
    <w:rsid w:val="00D84C0A"/>
    <w:rsid w:val="00D84CBE"/>
    <w:rsid w:val="00D84E68"/>
    <w:rsid w:val="00D85171"/>
    <w:rsid w:val="00D852CE"/>
    <w:rsid w:val="00D85565"/>
    <w:rsid w:val="00D856BE"/>
    <w:rsid w:val="00D857B0"/>
    <w:rsid w:val="00D85B38"/>
    <w:rsid w:val="00D85B67"/>
    <w:rsid w:val="00D85C31"/>
    <w:rsid w:val="00D864A1"/>
    <w:rsid w:val="00D8653A"/>
    <w:rsid w:val="00D86816"/>
    <w:rsid w:val="00D86A24"/>
    <w:rsid w:val="00D86A71"/>
    <w:rsid w:val="00D86B46"/>
    <w:rsid w:val="00D86FD8"/>
    <w:rsid w:val="00D86FED"/>
    <w:rsid w:val="00D872AE"/>
    <w:rsid w:val="00D872FB"/>
    <w:rsid w:val="00D874BA"/>
    <w:rsid w:val="00D8760A"/>
    <w:rsid w:val="00D876C9"/>
    <w:rsid w:val="00D87A0D"/>
    <w:rsid w:val="00D87F98"/>
    <w:rsid w:val="00D90117"/>
    <w:rsid w:val="00D90F28"/>
    <w:rsid w:val="00D90F91"/>
    <w:rsid w:val="00D913DE"/>
    <w:rsid w:val="00D914F4"/>
    <w:rsid w:val="00D915F5"/>
    <w:rsid w:val="00D916E4"/>
    <w:rsid w:val="00D919E5"/>
    <w:rsid w:val="00D919F2"/>
    <w:rsid w:val="00D919F3"/>
    <w:rsid w:val="00D91BE5"/>
    <w:rsid w:val="00D91F97"/>
    <w:rsid w:val="00D91FA2"/>
    <w:rsid w:val="00D9217E"/>
    <w:rsid w:val="00D92794"/>
    <w:rsid w:val="00D92B04"/>
    <w:rsid w:val="00D92B80"/>
    <w:rsid w:val="00D936CD"/>
    <w:rsid w:val="00D936D6"/>
    <w:rsid w:val="00D937CB"/>
    <w:rsid w:val="00D941E0"/>
    <w:rsid w:val="00D946BD"/>
    <w:rsid w:val="00D94BB9"/>
    <w:rsid w:val="00D94CD7"/>
    <w:rsid w:val="00D955D3"/>
    <w:rsid w:val="00D95646"/>
    <w:rsid w:val="00D95704"/>
    <w:rsid w:val="00D9571B"/>
    <w:rsid w:val="00D959D8"/>
    <w:rsid w:val="00D95A93"/>
    <w:rsid w:val="00D95CB4"/>
    <w:rsid w:val="00D9638E"/>
    <w:rsid w:val="00D963E5"/>
    <w:rsid w:val="00D9642D"/>
    <w:rsid w:val="00D96530"/>
    <w:rsid w:val="00D96677"/>
    <w:rsid w:val="00D96800"/>
    <w:rsid w:val="00D96989"/>
    <w:rsid w:val="00D96A68"/>
    <w:rsid w:val="00D97202"/>
    <w:rsid w:val="00D97209"/>
    <w:rsid w:val="00D9726C"/>
    <w:rsid w:val="00D972E2"/>
    <w:rsid w:val="00D9780C"/>
    <w:rsid w:val="00D97E01"/>
    <w:rsid w:val="00D97F1F"/>
    <w:rsid w:val="00DA027F"/>
    <w:rsid w:val="00DA032C"/>
    <w:rsid w:val="00DA0564"/>
    <w:rsid w:val="00DA070B"/>
    <w:rsid w:val="00DA0C00"/>
    <w:rsid w:val="00DA1174"/>
    <w:rsid w:val="00DA120A"/>
    <w:rsid w:val="00DA1436"/>
    <w:rsid w:val="00DA1649"/>
    <w:rsid w:val="00DA1AE4"/>
    <w:rsid w:val="00DA1E45"/>
    <w:rsid w:val="00DA1F0B"/>
    <w:rsid w:val="00DA1F65"/>
    <w:rsid w:val="00DA216F"/>
    <w:rsid w:val="00DA224A"/>
    <w:rsid w:val="00DA238B"/>
    <w:rsid w:val="00DA2BEA"/>
    <w:rsid w:val="00DA3072"/>
    <w:rsid w:val="00DA35A2"/>
    <w:rsid w:val="00DA365C"/>
    <w:rsid w:val="00DA3B1E"/>
    <w:rsid w:val="00DA3C9B"/>
    <w:rsid w:val="00DA3E2F"/>
    <w:rsid w:val="00DA4022"/>
    <w:rsid w:val="00DA40FA"/>
    <w:rsid w:val="00DA44A6"/>
    <w:rsid w:val="00DA47BF"/>
    <w:rsid w:val="00DA5048"/>
    <w:rsid w:val="00DA512D"/>
    <w:rsid w:val="00DA5322"/>
    <w:rsid w:val="00DA553C"/>
    <w:rsid w:val="00DA5693"/>
    <w:rsid w:val="00DA5848"/>
    <w:rsid w:val="00DA5ACB"/>
    <w:rsid w:val="00DA5B5A"/>
    <w:rsid w:val="00DA5C77"/>
    <w:rsid w:val="00DA6118"/>
    <w:rsid w:val="00DA622F"/>
    <w:rsid w:val="00DA64E7"/>
    <w:rsid w:val="00DA6D51"/>
    <w:rsid w:val="00DA6FAE"/>
    <w:rsid w:val="00DA6FBF"/>
    <w:rsid w:val="00DA702B"/>
    <w:rsid w:val="00DA7633"/>
    <w:rsid w:val="00DA7868"/>
    <w:rsid w:val="00DA7D97"/>
    <w:rsid w:val="00DA7FF4"/>
    <w:rsid w:val="00DB02DF"/>
    <w:rsid w:val="00DB04BD"/>
    <w:rsid w:val="00DB0533"/>
    <w:rsid w:val="00DB0827"/>
    <w:rsid w:val="00DB0A81"/>
    <w:rsid w:val="00DB16CA"/>
    <w:rsid w:val="00DB1A8E"/>
    <w:rsid w:val="00DB1BCE"/>
    <w:rsid w:val="00DB2126"/>
    <w:rsid w:val="00DB2171"/>
    <w:rsid w:val="00DB2291"/>
    <w:rsid w:val="00DB2585"/>
    <w:rsid w:val="00DB26E5"/>
    <w:rsid w:val="00DB2B58"/>
    <w:rsid w:val="00DB2D9D"/>
    <w:rsid w:val="00DB2F31"/>
    <w:rsid w:val="00DB31CF"/>
    <w:rsid w:val="00DB3258"/>
    <w:rsid w:val="00DB32FA"/>
    <w:rsid w:val="00DB344E"/>
    <w:rsid w:val="00DB351A"/>
    <w:rsid w:val="00DB3572"/>
    <w:rsid w:val="00DB35A9"/>
    <w:rsid w:val="00DB37B4"/>
    <w:rsid w:val="00DB3824"/>
    <w:rsid w:val="00DB38D0"/>
    <w:rsid w:val="00DB411C"/>
    <w:rsid w:val="00DB4175"/>
    <w:rsid w:val="00DB41B3"/>
    <w:rsid w:val="00DB42D7"/>
    <w:rsid w:val="00DB42DD"/>
    <w:rsid w:val="00DB4465"/>
    <w:rsid w:val="00DB4629"/>
    <w:rsid w:val="00DB4693"/>
    <w:rsid w:val="00DB48DC"/>
    <w:rsid w:val="00DB491D"/>
    <w:rsid w:val="00DB4EB6"/>
    <w:rsid w:val="00DB4F13"/>
    <w:rsid w:val="00DB5382"/>
    <w:rsid w:val="00DB56B3"/>
    <w:rsid w:val="00DB5714"/>
    <w:rsid w:val="00DB57F8"/>
    <w:rsid w:val="00DB5C0E"/>
    <w:rsid w:val="00DB5D71"/>
    <w:rsid w:val="00DB5E99"/>
    <w:rsid w:val="00DB5FB2"/>
    <w:rsid w:val="00DB6355"/>
    <w:rsid w:val="00DB6CB8"/>
    <w:rsid w:val="00DB6D27"/>
    <w:rsid w:val="00DB6D29"/>
    <w:rsid w:val="00DB6E89"/>
    <w:rsid w:val="00DB7238"/>
    <w:rsid w:val="00DB7306"/>
    <w:rsid w:val="00DB75E7"/>
    <w:rsid w:val="00DB7BA9"/>
    <w:rsid w:val="00DC008C"/>
    <w:rsid w:val="00DC024D"/>
    <w:rsid w:val="00DC0333"/>
    <w:rsid w:val="00DC047B"/>
    <w:rsid w:val="00DC04BA"/>
    <w:rsid w:val="00DC0528"/>
    <w:rsid w:val="00DC05AF"/>
    <w:rsid w:val="00DC0724"/>
    <w:rsid w:val="00DC07CE"/>
    <w:rsid w:val="00DC0AC6"/>
    <w:rsid w:val="00DC0AED"/>
    <w:rsid w:val="00DC0B70"/>
    <w:rsid w:val="00DC0E25"/>
    <w:rsid w:val="00DC12BC"/>
    <w:rsid w:val="00DC1620"/>
    <w:rsid w:val="00DC1630"/>
    <w:rsid w:val="00DC16CE"/>
    <w:rsid w:val="00DC21D0"/>
    <w:rsid w:val="00DC2401"/>
    <w:rsid w:val="00DC24DE"/>
    <w:rsid w:val="00DC24F1"/>
    <w:rsid w:val="00DC25E3"/>
    <w:rsid w:val="00DC299A"/>
    <w:rsid w:val="00DC3084"/>
    <w:rsid w:val="00DC3114"/>
    <w:rsid w:val="00DC32A6"/>
    <w:rsid w:val="00DC36D5"/>
    <w:rsid w:val="00DC3C21"/>
    <w:rsid w:val="00DC42B3"/>
    <w:rsid w:val="00DC442A"/>
    <w:rsid w:val="00DC4472"/>
    <w:rsid w:val="00DC4889"/>
    <w:rsid w:val="00DC5B8E"/>
    <w:rsid w:val="00DC5C39"/>
    <w:rsid w:val="00DC5DDD"/>
    <w:rsid w:val="00DC5F22"/>
    <w:rsid w:val="00DC6142"/>
    <w:rsid w:val="00DC61AD"/>
    <w:rsid w:val="00DC62D7"/>
    <w:rsid w:val="00DC64F9"/>
    <w:rsid w:val="00DC64FB"/>
    <w:rsid w:val="00DC6623"/>
    <w:rsid w:val="00DC671B"/>
    <w:rsid w:val="00DC687F"/>
    <w:rsid w:val="00DC6A20"/>
    <w:rsid w:val="00DC6EE4"/>
    <w:rsid w:val="00DC7115"/>
    <w:rsid w:val="00DC725D"/>
    <w:rsid w:val="00DC754B"/>
    <w:rsid w:val="00DC7551"/>
    <w:rsid w:val="00DC779A"/>
    <w:rsid w:val="00DC79C2"/>
    <w:rsid w:val="00DC7A16"/>
    <w:rsid w:val="00DC7A50"/>
    <w:rsid w:val="00DC7A54"/>
    <w:rsid w:val="00DC7A9B"/>
    <w:rsid w:val="00DC7CDE"/>
    <w:rsid w:val="00DD0001"/>
    <w:rsid w:val="00DD09E3"/>
    <w:rsid w:val="00DD0A76"/>
    <w:rsid w:val="00DD0E91"/>
    <w:rsid w:val="00DD1056"/>
    <w:rsid w:val="00DD10C2"/>
    <w:rsid w:val="00DD11FC"/>
    <w:rsid w:val="00DD1275"/>
    <w:rsid w:val="00DD15C3"/>
    <w:rsid w:val="00DD179F"/>
    <w:rsid w:val="00DD1883"/>
    <w:rsid w:val="00DD19E7"/>
    <w:rsid w:val="00DD1BA5"/>
    <w:rsid w:val="00DD1C1C"/>
    <w:rsid w:val="00DD1C65"/>
    <w:rsid w:val="00DD1D32"/>
    <w:rsid w:val="00DD1DB8"/>
    <w:rsid w:val="00DD2353"/>
    <w:rsid w:val="00DD26A6"/>
    <w:rsid w:val="00DD296A"/>
    <w:rsid w:val="00DD29FB"/>
    <w:rsid w:val="00DD2CD6"/>
    <w:rsid w:val="00DD2FA3"/>
    <w:rsid w:val="00DD338D"/>
    <w:rsid w:val="00DD3659"/>
    <w:rsid w:val="00DD383D"/>
    <w:rsid w:val="00DD3AFA"/>
    <w:rsid w:val="00DD3C91"/>
    <w:rsid w:val="00DD3DC0"/>
    <w:rsid w:val="00DD40E4"/>
    <w:rsid w:val="00DD4524"/>
    <w:rsid w:val="00DD45C3"/>
    <w:rsid w:val="00DD47EC"/>
    <w:rsid w:val="00DD48C5"/>
    <w:rsid w:val="00DD49C9"/>
    <w:rsid w:val="00DD49DD"/>
    <w:rsid w:val="00DD4F65"/>
    <w:rsid w:val="00DD4FBF"/>
    <w:rsid w:val="00DD53A1"/>
    <w:rsid w:val="00DD544A"/>
    <w:rsid w:val="00DD5814"/>
    <w:rsid w:val="00DD5A35"/>
    <w:rsid w:val="00DD5BF8"/>
    <w:rsid w:val="00DD5D7D"/>
    <w:rsid w:val="00DD600D"/>
    <w:rsid w:val="00DD61FF"/>
    <w:rsid w:val="00DD6620"/>
    <w:rsid w:val="00DD699C"/>
    <w:rsid w:val="00DD6BE9"/>
    <w:rsid w:val="00DD6D08"/>
    <w:rsid w:val="00DD6DD4"/>
    <w:rsid w:val="00DD7011"/>
    <w:rsid w:val="00DD7110"/>
    <w:rsid w:val="00DD75A4"/>
    <w:rsid w:val="00DD7C9E"/>
    <w:rsid w:val="00DD7CBD"/>
    <w:rsid w:val="00DE0048"/>
    <w:rsid w:val="00DE024B"/>
    <w:rsid w:val="00DE030D"/>
    <w:rsid w:val="00DE03DA"/>
    <w:rsid w:val="00DE0617"/>
    <w:rsid w:val="00DE0691"/>
    <w:rsid w:val="00DE06A5"/>
    <w:rsid w:val="00DE07B4"/>
    <w:rsid w:val="00DE08CC"/>
    <w:rsid w:val="00DE0966"/>
    <w:rsid w:val="00DE0967"/>
    <w:rsid w:val="00DE0E79"/>
    <w:rsid w:val="00DE11FF"/>
    <w:rsid w:val="00DE120A"/>
    <w:rsid w:val="00DE15A1"/>
    <w:rsid w:val="00DE1683"/>
    <w:rsid w:val="00DE1761"/>
    <w:rsid w:val="00DE1849"/>
    <w:rsid w:val="00DE1E5D"/>
    <w:rsid w:val="00DE21F8"/>
    <w:rsid w:val="00DE2615"/>
    <w:rsid w:val="00DE2804"/>
    <w:rsid w:val="00DE287B"/>
    <w:rsid w:val="00DE2AC4"/>
    <w:rsid w:val="00DE2D27"/>
    <w:rsid w:val="00DE2E84"/>
    <w:rsid w:val="00DE2F8D"/>
    <w:rsid w:val="00DE3205"/>
    <w:rsid w:val="00DE3213"/>
    <w:rsid w:val="00DE32E9"/>
    <w:rsid w:val="00DE34F9"/>
    <w:rsid w:val="00DE370F"/>
    <w:rsid w:val="00DE3BDD"/>
    <w:rsid w:val="00DE3C76"/>
    <w:rsid w:val="00DE4454"/>
    <w:rsid w:val="00DE4722"/>
    <w:rsid w:val="00DE4743"/>
    <w:rsid w:val="00DE4765"/>
    <w:rsid w:val="00DE4D47"/>
    <w:rsid w:val="00DE4F6D"/>
    <w:rsid w:val="00DE5529"/>
    <w:rsid w:val="00DE5571"/>
    <w:rsid w:val="00DE55ED"/>
    <w:rsid w:val="00DE57D8"/>
    <w:rsid w:val="00DE5AA9"/>
    <w:rsid w:val="00DE5E15"/>
    <w:rsid w:val="00DE5E64"/>
    <w:rsid w:val="00DE5EF1"/>
    <w:rsid w:val="00DE615C"/>
    <w:rsid w:val="00DE622C"/>
    <w:rsid w:val="00DE67DB"/>
    <w:rsid w:val="00DE6C8A"/>
    <w:rsid w:val="00DE6D19"/>
    <w:rsid w:val="00DE6F59"/>
    <w:rsid w:val="00DE71BA"/>
    <w:rsid w:val="00DE7233"/>
    <w:rsid w:val="00DE7597"/>
    <w:rsid w:val="00DE7682"/>
    <w:rsid w:val="00DE79C1"/>
    <w:rsid w:val="00DE79E9"/>
    <w:rsid w:val="00DE7CC9"/>
    <w:rsid w:val="00DE7DDC"/>
    <w:rsid w:val="00DF0188"/>
    <w:rsid w:val="00DF03F7"/>
    <w:rsid w:val="00DF0C8B"/>
    <w:rsid w:val="00DF0FAE"/>
    <w:rsid w:val="00DF0FF6"/>
    <w:rsid w:val="00DF1228"/>
    <w:rsid w:val="00DF125F"/>
    <w:rsid w:val="00DF144A"/>
    <w:rsid w:val="00DF1701"/>
    <w:rsid w:val="00DF1D7E"/>
    <w:rsid w:val="00DF1E5C"/>
    <w:rsid w:val="00DF1EFC"/>
    <w:rsid w:val="00DF214F"/>
    <w:rsid w:val="00DF2B54"/>
    <w:rsid w:val="00DF2E30"/>
    <w:rsid w:val="00DF2FE7"/>
    <w:rsid w:val="00DF3103"/>
    <w:rsid w:val="00DF32A0"/>
    <w:rsid w:val="00DF3882"/>
    <w:rsid w:val="00DF39E3"/>
    <w:rsid w:val="00DF3A53"/>
    <w:rsid w:val="00DF3F3A"/>
    <w:rsid w:val="00DF4052"/>
    <w:rsid w:val="00DF42FE"/>
    <w:rsid w:val="00DF43A9"/>
    <w:rsid w:val="00DF4A32"/>
    <w:rsid w:val="00DF50D2"/>
    <w:rsid w:val="00DF5461"/>
    <w:rsid w:val="00DF57F5"/>
    <w:rsid w:val="00DF5823"/>
    <w:rsid w:val="00DF58F6"/>
    <w:rsid w:val="00DF611A"/>
    <w:rsid w:val="00DF63D2"/>
    <w:rsid w:val="00DF63E0"/>
    <w:rsid w:val="00DF6511"/>
    <w:rsid w:val="00DF6707"/>
    <w:rsid w:val="00DF6946"/>
    <w:rsid w:val="00DF6A86"/>
    <w:rsid w:val="00DF6F98"/>
    <w:rsid w:val="00DF7677"/>
    <w:rsid w:val="00DF7713"/>
    <w:rsid w:val="00DF79E8"/>
    <w:rsid w:val="00DF7B26"/>
    <w:rsid w:val="00DF7D02"/>
    <w:rsid w:val="00DF7EA5"/>
    <w:rsid w:val="00E004D2"/>
    <w:rsid w:val="00E0050C"/>
    <w:rsid w:val="00E005D7"/>
    <w:rsid w:val="00E00670"/>
    <w:rsid w:val="00E006ED"/>
    <w:rsid w:val="00E00B05"/>
    <w:rsid w:val="00E00BD3"/>
    <w:rsid w:val="00E00DEC"/>
    <w:rsid w:val="00E0100E"/>
    <w:rsid w:val="00E01016"/>
    <w:rsid w:val="00E0106A"/>
    <w:rsid w:val="00E01181"/>
    <w:rsid w:val="00E011D2"/>
    <w:rsid w:val="00E015C2"/>
    <w:rsid w:val="00E01809"/>
    <w:rsid w:val="00E01F77"/>
    <w:rsid w:val="00E020FE"/>
    <w:rsid w:val="00E027E7"/>
    <w:rsid w:val="00E02811"/>
    <w:rsid w:val="00E0287D"/>
    <w:rsid w:val="00E02AD0"/>
    <w:rsid w:val="00E02D37"/>
    <w:rsid w:val="00E02E03"/>
    <w:rsid w:val="00E02FF3"/>
    <w:rsid w:val="00E034CF"/>
    <w:rsid w:val="00E03509"/>
    <w:rsid w:val="00E038B5"/>
    <w:rsid w:val="00E03D2C"/>
    <w:rsid w:val="00E03E60"/>
    <w:rsid w:val="00E03FE1"/>
    <w:rsid w:val="00E042DA"/>
    <w:rsid w:val="00E04874"/>
    <w:rsid w:val="00E0489E"/>
    <w:rsid w:val="00E048FE"/>
    <w:rsid w:val="00E049F8"/>
    <w:rsid w:val="00E04D92"/>
    <w:rsid w:val="00E04E7F"/>
    <w:rsid w:val="00E04F3C"/>
    <w:rsid w:val="00E05221"/>
    <w:rsid w:val="00E0525C"/>
    <w:rsid w:val="00E05296"/>
    <w:rsid w:val="00E056CF"/>
    <w:rsid w:val="00E0586C"/>
    <w:rsid w:val="00E05D65"/>
    <w:rsid w:val="00E05DCE"/>
    <w:rsid w:val="00E06155"/>
    <w:rsid w:val="00E0641E"/>
    <w:rsid w:val="00E0651C"/>
    <w:rsid w:val="00E06646"/>
    <w:rsid w:val="00E06B05"/>
    <w:rsid w:val="00E076EB"/>
    <w:rsid w:val="00E076FF"/>
    <w:rsid w:val="00E078D4"/>
    <w:rsid w:val="00E07A3C"/>
    <w:rsid w:val="00E07C3F"/>
    <w:rsid w:val="00E07C96"/>
    <w:rsid w:val="00E07D80"/>
    <w:rsid w:val="00E07DFB"/>
    <w:rsid w:val="00E1001B"/>
    <w:rsid w:val="00E10085"/>
    <w:rsid w:val="00E100D9"/>
    <w:rsid w:val="00E1026B"/>
    <w:rsid w:val="00E10272"/>
    <w:rsid w:val="00E10676"/>
    <w:rsid w:val="00E1085D"/>
    <w:rsid w:val="00E10A97"/>
    <w:rsid w:val="00E10AE5"/>
    <w:rsid w:val="00E10D26"/>
    <w:rsid w:val="00E1110C"/>
    <w:rsid w:val="00E11384"/>
    <w:rsid w:val="00E11505"/>
    <w:rsid w:val="00E11578"/>
    <w:rsid w:val="00E117EE"/>
    <w:rsid w:val="00E118B7"/>
    <w:rsid w:val="00E1202B"/>
    <w:rsid w:val="00E12133"/>
    <w:rsid w:val="00E12344"/>
    <w:rsid w:val="00E1277E"/>
    <w:rsid w:val="00E127A3"/>
    <w:rsid w:val="00E12C80"/>
    <w:rsid w:val="00E13115"/>
    <w:rsid w:val="00E136CF"/>
    <w:rsid w:val="00E13DD8"/>
    <w:rsid w:val="00E13EE0"/>
    <w:rsid w:val="00E1403E"/>
    <w:rsid w:val="00E142BC"/>
    <w:rsid w:val="00E1439A"/>
    <w:rsid w:val="00E1460C"/>
    <w:rsid w:val="00E1469F"/>
    <w:rsid w:val="00E14A91"/>
    <w:rsid w:val="00E14D5A"/>
    <w:rsid w:val="00E1549E"/>
    <w:rsid w:val="00E154EB"/>
    <w:rsid w:val="00E15703"/>
    <w:rsid w:val="00E15AC7"/>
    <w:rsid w:val="00E15E42"/>
    <w:rsid w:val="00E16246"/>
    <w:rsid w:val="00E166EF"/>
    <w:rsid w:val="00E16D69"/>
    <w:rsid w:val="00E1721F"/>
    <w:rsid w:val="00E17229"/>
    <w:rsid w:val="00E17591"/>
    <w:rsid w:val="00E178FE"/>
    <w:rsid w:val="00E17B14"/>
    <w:rsid w:val="00E20109"/>
    <w:rsid w:val="00E20240"/>
    <w:rsid w:val="00E2076A"/>
    <w:rsid w:val="00E20869"/>
    <w:rsid w:val="00E20DB2"/>
    <w:rsid w:val="00E213C9"/>
    <w:rsid w:val="00E2144C"/>
    <w:rsid w:val="00E21512"/>
    <w:rsid w:val="00E2198D"/>
    <w:rsid w:val="00E21C29"/>
    <w:rsid w:val="00E21DFD"/>
    <w:rsid w:val="00E229FC"/>
    <w:rsid w:val="00E22A38"/>
    <w:rsid w:val="00E22A92"/>
    <w:rsid w:val="00E22C9D"/>
    <w:rsid w:val="00E22C9F"/>
    <w:rsid w:val="00E22EC6"/>
    <w:rsid w:val="00E22F32"/>
    <w:rsid w:val="00E22F4F"/>
    <w:rsid w:val="00E23121"/>
    <w:rsid w:val="00E23285"/>
    <w:rsid w:val="00E233D7"/>
    <w:rsid w:val="00E234E6"/>
    <w:rsid w:val="00E235E1"/>
    <w:rsid w:val="00E23704"/>
    <w:rsid w:val="00E23C43"/>
    <w:rsid w:val="00E23D73"/>
    <w:rsid w:val="00E23F3D"/>
    <w:rsid w:val="00E24059"/>
    <w:rsid w:val="00E24374"/>
    <w:rsid w:val="00E243AC"/>
    <w:rsid w:val="00E244BD"/>
    <w:rsid w:val="00E244FD"/>
    <w:rsid w:val="00E24D6C"/>
    <w:rsid w:val="00E24F1B"/>
    <w:rsid w:val="00E250DC"/>
    <w:rsid w:val="00E2530D"/>
    <w:rsid w:val="00E258A3"/>
    <w:rsid w:val="00E25A37"/>
    <w:rsid w:val="00E25AD1"/>
    <w:rsid w:val="00E25D72"/>
    <w:rsid w:val="00E26117"/>
    <w:rsid w:val="00E261C4"/>
    <w:rsid w:val="00E262D4"/>
    <w:rsid w:val="00E262F2"/>
    <w:rsid w:val="00E265B0"/>
    <w:rsid w:val="00E265C7"/>
    <w:rsid w:val="00E2693D"/>
    <w:rsid w:val="00E2734E"/>
    <w:rsid w:val="00E273DF"/>
    <w:rsid w:val="00E27545"/>
    <w:rsid w:val="00E27A42"/>
    <w:rsid w:val="00E27FC2"/>
    <w:rsid w:val="00E30005"/>
    <w:rsid w:val="00E30279"/>
    <w:rsid w:val="00E30AE6"/>
    <w:rsid w:val="00E30CB6"/>
    <w:rsid w:val="00E30D65"/>
    <w:rsid w:val="00E3137D"/>
    <w:rsid w:val="00E31574"/>
    <w:rsid w:val="00E3185A"/>
    <w:rsid w:val="00E31A72"/>
    <w:rsid w:val="00E31AA0"/>
    <w:rsid w:val="00E3204C"/>
    <w:rsid w:val="00E3210E"/>
    <w:rsid w:val="00E323BB"/>
    <w:rsid w:val="00E32965"/>
    <w:rsid w:val="00E32C29"/>
    <w:rsid w:val="00E32C8A"/>
    <w:rsid w:val="00E32FA8"/>
    <w:rsid w:val="00E33142"/>
    <w:rsid w:val="00E332D2"/>
    <w:rsid w:val="00E3336E"/>
    <w:rsid w:val="00E333C7"/>
    <w:rsid w:val="00E336DC"/>
    <w:rsid w:val="00E336F9"/>
    <w:rsid w:val="00E33A2F"/>
    <w:rsid w:val="00E33A7C"/>
    <w:rsid w:val="00E33DC2"/>
    <w:rsid w:val="00E34112"/>
    <w:rsid w:val="00E3415A"/>
    <w:rsid w:val="00E34168"/>
    <w:rsid w:val="00E34307"/>
    <w:rsid w:val="00E35A24"/>
    <w:rsid w:val="00E35CD2"/>
    <w:rsid w:val="00E35D88"/>
    <w:rsid w:val="00E35DF1"/>
    <w:rsid w:val="00E35EE4"/>
    <w:rsid w:val="00E3612F"/>
    <w:rsid w:val="00E3629F"/>
    <w:rsid w:val="00E362FC"/>
    <w:rsid w:val="00E364D6"/>
    <w:rsid w:val="00E3651F"/>
    <w:rsid w:val="00E36526"/>
    <w:rsid w:val="00E3688E"/>
    <w:rsid w:val="00E369ED"/>
    <w:rsid w:val="00E36F35"/>
    <w:rsid w:val="00E36F65"/>
    <w:rsid w:val="00E37048"/>
    <w:rsid w:val="00E370EB"/>
    <w:rsid w:val="00E37219"/>
    <w:rsid w:val="00E373E3"/>
    <w:rsid w:val="00E3743B"/>
    <w:rsid w:val="00E377FF"/>
    <w:rsid w:val="00E37DA2"/>
    <w:rsid w:val="00E4057E"/>
    <w:rsid w:val="00E40765"/>
    <w:rsid w:val="00E40BCC"/>
    <w:rsid w:val="00E40CEB"/>
    <w:rsid w:val="00E40D37"/>
    <w:rsid w:val="00E40F69"/>
    <w:rsid w:val="00E41123"/>
    <w:rsid w:val="00E41303"/>
    <w:rsid w:val="00E41339"/>
    <w:rsid w:val="00E41488"/>
    <w:rsid w:val="00E41844"/>
    <w:rsid w:val="00E41C41"/>
    <w:rsid w:val="00E41E9A"/>
    <w:rsid w:val="00E41F98"/>
    <w:rsid w:val="00E424B9"/>
    <w:rsid w:val="00E42613"/>
    <w:rsid w:val="00E4274F"/>
    <w:rsid w:val="00E427E2"/>
    <w:rsid w:val="00E429E2"/>
    <w:rsid w:val="00E42B03"/>
    <w:rsid w:val="00E42C06"/>
    <w:rsid w:val="00E42ED1"/>
    <w:rsid w:val="00E434A8"/>
    <w:rsid w:val="00E43912"/>
    <w:rsid w:val="00E43AAC"/>
    <w:rsid w:val="00E43BBA"/>
    <w:rsid w:val="00E43BEA"/>
    <w:rsid w:val="00E43CA9"/>
    <w:rsid w:val="00E4410C"/>
    <w:rsid w:val="00E443F0"/>
    <w:rsid w:val="00E4449C"/>
    <w:rsid w:val="00E447FA"/>
    <w:rsid w:val="00E44817"/>
    <w:rsid w:val="00E4482C"/>
    <w:rsid w:val="00E448FC"/>
    <w:rsid w:val="00E44A49"/>
    <w:rsid w:val="00E44A72"/>
    <w:rsid w:val="00E44C04"/>
    <w:rsid w:val="00E44EEB"/>
    <w:rsid w:val="00E451A6"/>
    <w:rsid w:val="00E45554"/>
    <w:rsid w:val="00E45617"/>
    <w:rsid w:val="00E456E1"/>
    <w:rsid w:val="00E45A06"/>
    <w:rsid w:val="00E45A36"/>
    <w:rsid w:val="00E45AAF"/>
    <w:rsid w:val="00E45B58"/>
    <w:rsid w:val="00E45CC6"/>
    <w:rsid w:val="00E45F3F"/>
    <w:rsid w:val="00E46026"/>
    <w:rsid w:val="00E4609D"/>
    <w:rsid w:val="00E464CB"/>
    <w:rsid w:val="00E466EC"/>
    <w:rsid w:val="00E473EA"/>
    <w:rsid w:val="00E474CD"/>
    <w:rsid w:val="00E476A8"/>
    <w:rsid w:val="00E47ED9"/>
    <w:rsid w:val="00E47FAA"/>
    <w:rsid w:val="00E502C2"/>
    <w:rsid w:val="00E5036B"/>
    <w:rsid w:val="00E5046E"/>
    <w:rsid w:val="00E50C1D"/>
    <w:rsid w:val="00E50E58"/>
    <w:rsid w:val="00E51068"/>
    <w:rsid w:val="00E51355"/>
    <w:rsid w:val="00E517C7"/>
    <w:rsid w:val="00E51A5B"/>
    <w:rsid w:val="00E5214F"/>
    <w:rsid w:val="00E521D7"/>
    <w:rsid w:val="00E5225F"/>
    <w:rsid w:val="00E526BB"/>
    <w:rsid w:val="00E52A17"/>
    <w:rsid w:val="00E52B4E"/>
    <w:rsid w:val="00E52CCA"/>
    <w:rsid w:val="00E53981"/>
    <w:rsid w:val="00E53C51"/>
    <w:rsid w:val="00E53D8E"/>
    <w:rsid w:val="00E542B9"/>
    <w:rsid w:val="00E5477E"/>
    <w:rsid w:val="00E547D6"/>
    <w:rsid w:val="00E547E3"/>
    <w:rsid w:val="00E54BE7"/>
    <w:rsid w:val="00E54C50"/>
    <w:rsid w:val="00E54CA3"/>
    <w:rsid w:val="00E54DAC"/>
    <w:rsid w:val="00E54EC2"/>
    <w:rsid w:val="00E5504E"/>
    <w:rsid w:val="00E558D2"/>
    <w:rsid w:val="00E55C70"/>
    <w:rsid w:val="00E55D94"/>
    <w:rsid w:val="00E55F99"/>
    <w:rsid w:val="00E560BC"/>
    <w:rsid w:val="00E56365"/>
    <w:rsid w:val="00E563AC"/>
    <w:rsid w:val="00E5657E"/>
    <w:rsid w:val="00E566E4"/>
    <w:rsid w:val="00E5688C"/>
    <w:rsid w:val="00E56B14"/>
    <w:rsid w:val="00E56CCA"/>
    <w:rsid w:val="00E56D37"/>
    <w:rsid w:val="00E56EEC"/>
    <w:rsid w:val="00E574B3"/>
    <w:rsid w:val="00E57A1B"/>
    <w:rsid w:val="00E57CB3"/>
    <w:rsid w:val="00E60250"/>
    <w:rsid w:val="00E6027A"/>
    <w:rsid w:val="00E607AE"/>
    <w:rsid w:val="00E60A1A"/>
    <w:rsid w:val="00E60E84"/>
    <w:rsid w:val="00E61032"/>
    <w:rsid w:val="00E61402"/>
    <w:rsid w:val="00E6184E"/>
    <w:rsid w:val="00E61A4A"/>
    <w:rsid w:val="00E61B8A"/>
    <w:rsid w:val="00E61D61"/>
    <w:rsid w:val="00E61E1F"/>
    <w:rsid w:val="00E621F2"/>
    <w:rsid w:val="00E624F7"/>
    <w:rsid w:val="00E62624"/>
    <w:rsid w:val="00E6293A"/>
    <w:rsid w:val="00E62C2A"/>
    <w:rsid w:val="00E6308B"/>
    <w:rsid w:val="00E63323"/>
    <w:rsid w:val="00E63454"/>
    <w:rsid w:val="00E63B24"/>
    <w:rsid w:val="00E63B5F"/>
    <w:rsid w:val="00E63BFB"/>
    <w:rsid w:val="00E643DD"/>
    <w:rsid w:val="00E6484D"/>
    <w:rsid w:val="00E64A8A"/>
    <w:rsid w:val="00E64E3B"/>
    <w:rsid w:val="00E6508C"/>
    <w:rsid w:val="00E650B2"/>
    <w:rsid w:val="00E651DF"/>
    <w:rsid w:val="00E65387"/>
    <w:rsid w:val="00E65588"/>
    <w:rsid w:val="00E65744"/>
    <w:rsid w:val="00E659C7"/>
    <w:rsid w:val="00E659C9"/>
    <w:rsid w:val="00E65B79"/>
    <w:rsid w:val="00E65C53"/>
    <w:rsid w:val="00E65C7F"/>
    <w:rsid w:val="00E65D3D"/>
    <w:rsid w:val="00E65F1A"/>
    <w:rsid w:val="00E65F4B"/>
    <w:rsid w:val="00E65F53"/>
    <w:rsid w:val="00E6621B"/>
    <w:rsid w:val="00E663C8"/>
    <w:rsid w:val="00E66645"/>
    <w:rsid w:val="00E66B53"/>
    <w:rsid w:val="00E66B7B"/>
    <w:rsid w:val="00E67A50"/>
    <w:rsid w:val="00E67BBD"/>
    <w:rsid w:val="00E67BE1"/>
    <w:rsid w:val="00E67F55"/>
    <w:rsid w:val="00E7007E"/>
    <w:rsid w:val="00E70082"/>
    <w:rsid w:val="00E704B2"/>
    <w:rsid w:val="00E70535"/>
    <w:rsid w:val="00E707AF"/>
    <w:rsid w:val="00E70A90"/>
    <w:rsid w:val="00E70F23"/>
    <w:rsid w:val="00E70F47"/>
    <w:rsid w:val="00E7129B"/>
    <w:rsid w:val="00E7139A"/>
    <w:rsid w:val="00E716D3"/>
    <w:rsid w:val="00E7190F"/>
    <w:rsid w:val="00E7199F"/>
    <w:rsid w:val="00E71C3B"/>
    <w:rsid w:val="00E71C42"/>
    <w:rsid w:val="00E71EA8"/>
    <w:rsid w:val="00E71FFA"/>
    <w:rsid w:val="00E7206A"/>
    <w:rsid w:val="00E72297"/>
    <w:rsid w:val="00E7262E"/>
    <w:rsid w:val="00E728CA"/>
    <w:rsid w:val="00E73068"/>
    <w:rsid w:val="00E73414"/>
    <w:rsid w:val="00E736CE"/>
    <w:rsid w:val="00E73A46"/>
    <w:rsid w:val="00E73A82"/>
    <w:rsid w:val="00E73D1B"/>
    <w:rsid w:val="00E7443A"/>
    <w:rsid w:val="00E74673"/>
    <w:rsid w:val="00E74A64"/>
    <w:rsid w:val="00E74B07"/>
    <w:rsid w:val="00E74C30"/>
    <w:rsid w:val="00E74D1B"/>
    <w:rsid w:val="00E74EAF"/>
    <w:rsid w:val="00E75101"/>
    <w:rsid w:val="00E751B2"/>
    <w:rsid w:val="00E755CF"/>
    <w:rsid w:val="00E75710"/>
    <w:rsid w:val="00E757E2"/>
    <w:rsid w:val="00E7581C"/>
    <w:rsid w:val="00E7590F"/>
    <w:rsid w:val="00E75B07"/>
    <w:rsid w:val="00E75B85"/>
    <w:rsid w:val="00E75C68"/>
    <w:rsid w:val="00E76015"/>
    <w:rsid w:val="00E7670A"/>
    <w:rsid w:val="00E769B9"/>
    <w:rsid w:val="00E76C17"/>
    <w:rsid w:val="00E76EC1"/>
    <w:rsid w:val="00E7716B"/>
    <w:rsid w:val="00E77767"/>
    <w:rsid w:val="00E77DF6"/>
    <w:rsid w:val="00E802EB"/>
    <w:rsid w:val="00E80547"/>
    <w:rsid w:val="00E8082D"/>
    <w:rsid w:val="00E80A90"/>
    <w:rsid w:val="00E80C50"/>
    <w:rsid w:val="00E80CA1"/>
    <w:rsid w:val="00E80D67"/>
    <w:rsid w:val="00E80E77"/>
    <w:rsid w:val="00E812C4"/>
    <w:rsid w:val="00E812C9"/>
    <w:rsid w:val="00E8133D"/>
    <w:rsid w:val="00E81B90"/>
    <w:rsid w:val="00E81C59"/>
    <w:rsid w:val="00E81C64"/>
    <w:rsid w:val="00E81D29"/>
    <w:rsid w:val="00E81D3C"/>
    <w:rsid w:val="00E81E18"/>
    <w:rsid w:val="00E8209B"/>
    <w:rsid w:val="00E820DB"/>
    <w:rsid w:val="00E8249A"/>
    <w:rsid w:val="00E826C7"/>
    <w:rsid w:val="00E8289A"/>
    <w:rsid w:val="00E82A6C"/>
    <w:rsid w:val="00E82CAF"/>
    <w:rsid w:val="00E82D6A"/>
    <w:rsid w:val="00E830F1"/>
    <w:rsid w:val="00E83278"/>
    <w:rsid w:val="00E83339"/>
    <w:rsid w:val="00E835BE"/>
    <w:rsid w:val="00E839DD"/>
    <w:rsid w:val="00E83AD9"/>
    <w:rsid w:val="00E8434C"/>
    <w:rsid w:val="00E84399"/>
    <w:rsid w:val="00E84882"/>
    <w:rsid w:val="00E84C97"/>
    <w:rsid w:val="00E84CAC"/>
    <w:rsid w:val="00E85069"/>
    <w:rsid w:val="00E85262"/>
    <w:rsid w:val="00E85339"/>
    <w:rsid w:val="00E8558D"/>
    <w:rsid w:val="00E85667"/>
    <w:rsid w:val="00E85940"/>
    <w:rsid w:val="00E8595B"/>
    <w:rsid w:val="00E85A80"/>
    <w:rsid w:val="00E85BDE"/>
    <w:rsid w:val="00E85F27"/>
    <w:rsid w:val="00E860C8"/>
    <w:rsid w:val="00E86131"/>
    <w:rsid w:val="00E86599"/>
    <w:rsid w:val="00E8683F"/>
    <w:rsid w:val="00E86853"/>
    <w:rsid w:val="00E86A21"/>
    <w:rsid w:val="00E86A76"/>
    <w:rsid w:val="00E86BC5"/>
    <w:rsid w:val="00E871D5"/>
    <w:rsid w:val="00E871EE"/>
    <w:rsid w:val="00E8743E"/>
    <w:rsid w:val="00E8758F"/>
    <w:rsid w:val="00E87956"/>
    <w:rsid w:val="00E87BCC"/>
    <w:rsid w:val="00E87D49"/>
    <w:rsid w:val="00E87DE1"/>
    <w:rsid w:val="00E87F96"/>
    <w:rsid w:val="00E9021E"/>
    <w:rsid w:val="00E90554"/>
    <w:rsid w:val="00E90581"/>
    <w:rsid w:val="00E9073C"/>
    <w:rsid w:val="00E907D6"/>
    <w:rsid w:val="00E90C0F"/>
    <w:rsid w:val="00E90CB4"/>
    <w:rsid w:val="00E90D43"/>
    <w:rsid w:val="00E90FFF"/>
    <w:rsid w:val="00E911C4"/>
    <w:rsid w:val="00E91368"/>
    <w:rsid w:val="00E91B7F"/>
    <w:rsid w:val="00E92317"/>
    <w:rsid w:val="00E923DF"/>
    <w:rsid w:val="00E926A3"/>
    <w:rsid w:val="00E926E5"/>
    <w:rsid w:val="00E92761"/>
    <w:rsid w:val="00E92B40"/>
    <w:rsid w:val="00E93254"/>
    <w:rsid w:val="00E93614"/>
    <w:rsid w:val="00E938AD"/>
    <w:rsid w:val="00E938C2"/>
    <w:rsid w:val="00E93DB8"/>
    <w:rsid w:val="00E942EC"/>
    <w:rsid w:val="00E944C0"/>
    <w:rsid w:val="00E94919"/>
    <w:rsid w:val="00E949E6"/>
    <w:rsid w:val="00E94AEC"/>
    <w:rsid w:val="00E94F78"/>
    <w:rsid w:val="00E95028"/>
    <w:rsid w:val="00E950A4"/>
    <w:rsid w:val="00E9511E"/>
    <w:rsid w:val="00E95147"/>
    <w:rsid w:val="00E95202"/>
    <w:rsid w:val="00E95471"/>
    <w:rsid w:val="00E958BA"/>
    <w:rsid w:val="00E958C4"/>
    <w:rsid w:val="00E95C9B"/>
    <w:rsid w:val="00E95D45"/>
    <w:rsid w:val="00E95E3B"/>
    <w:rsid w:val="00E95F6B"/>
    <w:rsid w:val="00E95FDE"/>
    <w:rsid w:val="00E96021"/>
    <w:rsid w:val="00E96D73"/>
    <w:rsid w:val="00E96EA4"/>
    <w:rsid w:val="00E972C2"/>
    <w:rsid w:val="00E973C7"/>
    <w:rsid w:val="00E97519"/>
    <w:rsid w:val="00E97716"/>
    <w:rsid w:val="00E978AA"/>
    <w:rsid w:val="00E97A27"/>
    <w:rsid w:val="00E97E27"/>
    <w:rsid w:val="00E97F41"/>
    <w:rsid w:val="00E97F5D"/>
    <w:rsid w:val="00EA039F"/>
    <w:rsid w:val="00EA05A7"/>
    <w:rsid w:val="00EA07D2"/>
    <w:rsid w:val="00EA0D95"/>
    <w:rsid w:val="00EA0E19"/>
    <w:rsid w:val="00EA1220"/>
    <w:rsid w:val="00EA1489"/>
    <w:rsid w:val="00EA169B"/>
    <w:rsid w:val="00EA1B6B"/>
    <w:rsid w:val="00EA1CD1"/>
    <w:rsid w:val="00EA1D5A"/>
    <w:rsid w:val="00EA23AF"/>
    <w:rsid w:val="00EA29CB"/>
    <w:rsid w:val="00EA2A20"/>
    <w:rsid w:val="00EA2AC3"/>
    <w:rsid w:val="00EA2B5B"/>
    <w:rsid w:val="00EA2B73"/>
    <w:rsid w:val="00EA2BE2"/>
    <w:rsid w:val="00EA2C2A"/>
    <w:rsid w:val="00EA2CB7"/>
    <w:rsid w:val="00EA316D"/>
    <w:rsid w:val="00EA35CF"/>
    <w:rsid w:val="00EA3DEE"/>
    <w:rsid w:val="00EA3FAC"/>
    <w:rsid w:val="00EA3FFF"/>
    <w:rsid w:val="00EA4832"/>
    <w:rsid w:val="00EA4A81"/>
    <w:rsid w:val="00EA4D18"/>
    <w:rsid w:val="00EA4E95"/>
    <w:rsid w:val="00EA4EFA"/>
    <w:rsid w:val="00EA502E"/>
    <w:rsid w:val="00EA503E"/>
    <w:rsid w:val="00EA50B5"/>
    <w:rsid w:val="00EA5134"/>
    <w:rsid w:val="00EA5E45"/>
    <w:rsid w:val="00EA60B1"/>
    <w:rsid w:val="00EA6467"/>
    <w:rsid w:val="00EA6484"/>
    <w:rsid w:val="00EA68A1"/>
    <w:rsid w:val="00EA6D74"/>
    <w:rsid w:val="00EA7290"/>
    <w:rsid w:val="00EA7588"/>
    <w:rsid w:val="00EB0458"/>
    <w:rsid w:val="00EB05FD"/>
    <w:rsid w:val="00EB06D0"/>
    <w:rsid w:val="00EB096E"/>
    <w:rsid w:val="00EB0BEB"/>
    <w:rsid w:val="00EB0FB4"/>
    <w:rsid w:val="00EB0FF3"/>
    <w:rsid w:val="00EB1058"/>
    <w:rsid w:val="00EB10D3"/>
    <w:rsid w:val="00EB11C0"/>
    <w:rsid w:val="00EB11FC"/>
    <w:rsid w:val="00EB1854"/>
    <w:rsid w:val="00EB1CB1"/>
    <w:rsid w:val="00EB2186"/>
    <w:rsid w:val="00EB2258"/>
    <w:rsid w:val="00EB22FB"/>
    <w:rsid w:val="00EB24C4"/>
    <w:rsid w:val="00EB29BA"/>
    <w:rsid w:val="00EB2C21"/>
    <w:rsid w:val="00EB30E6"/>
    <w:rsid w:val="00EB30F3"/>
    <w:rsid w:val="00EB34C6"/>
    <w:rsid w:val="00EB3A0D"/>
    <w:rsid w:val="00EB3BC7"/>
    <w:rsid w:val="00EB3E24"/>
    <w:rsid w:val="00EB474E"/>
    <w:rsid w:val="00EB4EE6"/>
    <w:rsid w:val="00EB51DA"/>
    <w:rsid w:val="00EB525E"/>
    <w:rsid w:val="00EB52FE"/>
    <w:rsid w:val="00EB5492"/>
    <w:rsid w:val="00EB55BF"/>
    <w:rsid w:val="00EB55EE"/>
    <w:rsid w:val="00EB57A0"/>
    <w:rsid w:val="00EB589B"/>
    <w:rsid w:val="00EB6844"/>
    <w:rsid w:val="00EB735A"/>
    <w:rsid w:val="00EB7A49"/>
    <w:rsid w:val="00EB7DCE"/>
    <w:rsid w:val="00EB7E33"/>
    <w:rsid w:val="00EC0070"/>
    <w:rsid w:val="00EC01C8"/>
    <w:rsid w:val="00EC032E"/>
    <w:rsid w:val="00EC03F8"/>
    <w:rsid w:val="00EC049B"/>
    <w:rsid w:val="00EC0D8F"/>
    <w:rsid w:val="00EC1A69"/>
    <w:rsid w:val="00EC1A8A"/>
    <w:rsid w:val="00EC1E6D"/>
    <w:rsid w:val="00EC1EF9"/>
    <w:rsid w:val="00EC2061"/>
    <w:rsid w:val="00EC212A"/>
    <w:rsid w:val="00EC26D1"/>
    <w:rsid w:val="00EC2B74"/>
    <w:rsid w:val="00EC2C91"/>
    <w:rsid w:val="00EC2DB6"/>
    <w:rsid w:val="00EC2EBB"/>
    <w:rsid w:val="00EC2F33"/>
    <w:rsid w:val="00EC319F"/>
    <w:rsid w:val="00EC362D"/>
    <w:rsid w:val="00EC3632"/>
    <w:rsid w:val="00EC3A8A"/>
    <w:rsid w:val="00EC3F64"/>
    <w:rsid w:val="00EC3FF0"/>
    <w:rsid w:val="00EC408F"/>
    <w:rsid w:val="00EC4221"/>
    <w:rsid w:val="00EC4593"/>
    <w:rsid w:val="00EC47A0"/>
    <w:rsid w:val="00EC498D"/>
    <w:rsid w:val="00EC4C82"/>
    <w:rsid w:val="00EC4CD1"/>
    <w:rsid w:val="00EC4D0B"/>
    <w:rsid w:val="00EC4D28"/>
    <w:rsid w:val="00EC4DFE"/>
    <w:rsid w:val="00EC4EAA"/>
    <w:rsid w:val="00EC4F8C"/>
    <w:rsid w:val="00EC5525"/>
    <w:rsid w:val="00EC59DA"/>
    <w:rsid w:val="00EC5F4C"/>
    <w:rsid w:val="00EC621D"/>
    <w:rsid w:val="00EC64D1"/>
    <w:rsid w:val="00EC6526"/>
    <w:rsid w:val="00EC669C"/>
    <w:rsid w:val="00EC6B3B"/>
    <w:rsid w:val="00EC6CA1"/>
    <w:rsid w:val="00EC6DF4"/>
    <w:rsid w:val="00EC70D8"/>
    <w:rsid w:val="00EC7340"/>
    <w:rsid w:val="00EC750B"/>
    <w:rsid w:val="00EC791B"/>
    <w:rsid w:val="00EC7A1C"/>
    <w:rsid w:val="00EC7D2F"/>
    <w:rsid w:val="00EC7F2C"/>
    <w:rsid w:val="00ED0859"/>
    <w:rsid w:val="00ED10FE"/>
    <w:rsid w:val="00ED1148"/>
    <w:rsid w:val="00ED115F"/>
    <w:rsid w:val="00ED1443"/>
    <w:rsid w:val="00ED1682"/>
    <w:rsid w:val="00ED19C1"/>
    <w:rsid w:val="00ED2CAD"/>
    <w:rsid w:val="00ED2F14"/>
    <w:rsid w:val="00ED2F3F"/>
    <w:rsid w:val="00ED31FB"/>
    <w:rsid w:val="00ED3353"/>
    <w:rsid w:val="00ED345C"/>
    <w:rsid w:val="00ED37D7"/>
    <w:rsid w:val="00ED39F2"/>
    <w:rsid w:val="00ED3A67"/>
    <w:rsid w:val="00ED3C55"/>
    <w:rsid w:val="00ED3CB9"/>
    <w:rsid w:val="00ED3E74"/>
    <w:rsid w:val="00ED409E"/>
    <w:rsid w:val="00ED41F2"/>
    <w:rsid w:val="00ED445C"/>
    <w:rsid w:val="00ED446B"/>
    <w:rsid w:val="00ED4C9F"/>
    <w:rsid w:val="00ED4F6C"/>
    <w:rsid w:val="00ED4FB8"/>
    <w:rsid w:val="00ED4FE2"/>
    <w:rsid w:val="00ED502A"/>
    <w:rsid w:val="00ED5032"/>
    <w:rsid w:val="00ED506F"/>
    <w:rsid w:val="00ED538E"/>
    <w:rsid w:val="00ED56F9"/>
    <w:rsid w:val="00ED59B7"/>
    <w:rsid w:val="00ED5CD9"/>
    <w:rsid w:val="00ED5E1D"/>
    <w:rsid w:val="00ED5F75"/>
    <w:rsid w:val="00ED64D1"/>
    <w:rsid w:val="00ED67D9"/>
    <w:rsid w:val="00ED68D5"/>
    <w:rsid w:val="00ED6975"/>
    <w:rsid w:val="00ED7747"/>
    <w:rsid w:val="00ED7749"/>
    <w:rsid w:val="00ED782D"/>
    <w:rsid w:val="00ED79DE"/>
    <w:rsid w:val="00ED7CA9"/>
    <w:rsid w:val="00ED7F2A"/>
    <w:rsid w:val="00ED7FED"/>
    <w:rsid w:val="00EE0A63"/>
    <w:rsid w:val="00EE0B2E"/>
    <w:rsid w:val="00EE0C18"/>
    <w:rsid w:val="00EE117E"/>
    <w:rsid w:val="00EE11EE"/>
    <w:rsid w:val="00EE12D6"/>
    <w:rsid w:val="00EE142C"/>
    <w:rsid w:val="00EE14CF"/>
    <w:rsid w:val="00EE16B7"/>
    <w:rsid w:val="00EE171B"/>
    <w:rsid w:val="00EE1AC7"/>
    <w:rsid w:val="00EE1D72"/>
    <w:rsid w:val="00EE20ED"/>
    <w:rsid w:val="00EE2497"/>
    <w:rsid w:val="00EE26DB"/>
    <w:rsid w:val="00EE28A1"/>
    <w:rsid w:val="00EE28EF"/>
    <w:rsid w:val="00EE2A5B"/>
    <w:rsid w:val="00EE2B04"/>
    <w:rsid w:val="00EE2B97"/>
    <w:rsid w:val="00EE2D53"/>
    <w:rsid w:val="00EE313A"/>
    <w:rsid w:val="00EE3347"/>
    <w:rsid w:val="00EE3354"/>
    <w:rsid w:val="00EE4123"/>
    <w:rsid w:val="00EE449C"/>
    <w:rsid w:val="00EE455E"/>
    <w:rsid w:val="00EE4A60"/>
    <w:rsid w:val="00EE4CFA"/>
    <w:rsid w:val="00EE4D82"/>
    <w:rsid w:val="00EE4E8B"/>
    <w:rsid w:val="00EE5443"/>
    <w:rsid w:val="00EE5749"/>
    <w:rsid w:val="00EE579D"/>
    <w:rsid w:val="00EE57B2"/>
    <w:rsid w:val="00EE5898"/>
    <w:rsid w:val="00EE5AE1"/>
    <w:rsid w:val="00EE5FBE"/>
    <w:rsid w:val="00EE65F6"/>
    <w:rsid w:val="00EE6B7B"/>
    <w:rsid w:val="00EE6C47"/>
    <w:rsid w:val="00EE6DFC"/>
    <w:rsid w:val="00EE6F2C"/>
    <w:rsid w:val="00EE6F97"/>
    <w:rsid w:val="00EE7614"/>
    <w:rsid w:val="00EE787C"/>
    <w:rsid w:val="00EE7C20"/>
    <w:rsid w:val="00EE7D65"/>
    <w:rsid w:val="00EF015C"/>
    <w:rsid w:val="00EF02BB"/>
    <w:rsid w:val="00EF02F9"/>
    <w:rsid w:val="00EF03B7"/>
    <w:rsid w:val="00EF0931"/>
    <w:rsid w:val="00EF0BF2"/>
    <w:rsid w:val="00EF0D06"/>
    <w:rsid w:val="00EF0DF0"/>
    <w:rsid w:val="00EF1256"/>
    <w:rsid w:val="00EF1509"/>
    <w:rsid w:val="00EF1557"/>
    <w:rsid w:val="00EF19E0"/>
    <w:rsid w:val="00EF1AB0"/>
    <w:rsid w:val="00EF23BC"/>
    <w:rsid w:val="00EF253E"/>
    <w:rsid w:val="00EF258F"/>
    <w:rsid w:val="00EF282A"/>
    <w:rsid w:val="00EF28A8"/>
    <w:rsid w:val="00EF298A"/>
    <w:rsid w:val="00EF2E5A"/>
    <w:rsid w:val="00EF3159"/>
    <w:rsid w:val="00EF3306"/>
    <w:rsid w:val="00EF34C9"/>
    <w:rsid w:val="00EF39A2"/>
    <w:rsid w:val="00EF3D67"/>
    <w:rsid w:val="00EF3F77"/>
    <w:rsid w:val="00EF3F91"/>
    <w:rsid w:val="00EF4028"/>
    <w:rsid w:val="00EF4068"/>
    <w:rsid w:val="00EF43A6"/>
    <w:rsid w:val="00EF49BC"/>
    <w:rsid w:val="00EF4CFB"/>
    <w:rsid w:val="00EF51E9"/>
    <w:rsid w:val="00EF53F7"/>
    <w:rsid w:val="00EF554D"/>
    <w:rsid w:val="00EF5753"/>
    <w:rsid w:val="00EF57E0"/>
    <w:rsid w:val="00EF5C9B"/>
    <w:rsid w:val="00EF5DF3"/>
    <w:rsid w:val="00EF5E7B"/>
    <w:rsid w:val="00EF6086"/>
    <w:rsid w:val="00EF60E4"/>
    <w:rsid w:val="00EF62FB"/>
    <w:rsid w:val="00EF6403"/>
    <w:rsid w:val="00EF7072"/>
    <w:rsid w:val="00EF7657"/>
    <w:rsid w:val="00EF76BA"/>
    <w:rsid w:val="00EF79AC"/>
    <w:rsid w:val="00EF7AAC"/>
    <w:rsid w:val="00F000BD"/>
    <w:rsid w:val="00F00425"/>
    <w:rsid w:val="00F0055C"/>
    <w:rsid w:val="00F00A16"/>
    <w:rsid w:val="00F00C95"/>
    <w:rsid w:val="00F0126E"/>
    <w:rsid w:val="00F0133C"/>
    <w:rsid w:val="00F01831"/>
    <w:rsid w:val="00F018F7"/>
    <w:rsid w:val="00F01A92"/>
    <w:rsid w:val="00F01B8C"/>
    <w:rsid w:val="00F02100"/>
    <w:rsid w:val="00F02587"/>
    <w:rsid w:val="00F02658"/>
    <w:rsid w:val="00F02A45"/>
    <w:rsid w:val="00F02D9C"/>
    <w:rsid w:val="00F033A6"/>
    <w:rsid w:val="00F034D3"/>
    <w:rsid w:val="00F039D3"/>
    <w:rsid w:val="00F0465D"/>
    <w:rsid w:val="00F04B73"/>
    <w:rsid w:val="00F04C72"/>
    <w:rsid w:val="00F04DCA"/>
    <w:rsid w:val="00F054D4"/>
    <w:rsid w:val="00F0584A"/>
    <w:rsid w:val="00F05983"/>
    <w:rsid w:val="00F05CEA"/>
    <w:rsid w:val="00F05DC7"/>
    <w:rsid w:val="00F05F48"/>
    <w:rsid w:val="00F06360"/>
    <w:rsid w:val="00F063C2"/>
    <w:rsid w:val="00F06629"/>
    <w:rsid w:val="00F06847"/>
    <w:rsid w:val="00F0692C"/>
    <w:rsid w:val="00F06B1D"/>
    <w:rsid w:val="00F06B22"/>
    <w:rsid w:val="00F07545"/>
    <w:rsid w:val="00F075F8"/>
    <w:rsid w:val="00F0775A"/>
    <w:rsid w:val="00F07B39"/>
    <w:rsid w:val="00F07E33"/>
    <w:rsid w:val="00F1016B"/>
    <w:rsid w:val="00F10206"/>
    <w:rsid w:val="00F103F1"/>
    <w:rsid w:val="00F104CE"/>
    <w:rsid w:val="00F1053A"/>
    <w:rsid w:val="00F106BF"/>
    <w:rsid w:val="00F107A6"/>
    <w:rsid w:val="00F109A3"/>
    <w:rsid w:val="00F10E11"/>
    <w:rsid w:val="00F11728"/>
    <w:rsid w:val="00F117D3"/>
    <w:rsid w:val="00F118C9"/>
    <w:rsid w:val="00F11A2D"/>
    <w:rsid w:val="00F11B2D"/>
    <w:rsid w:val="00F11BDD"/>
    <w:rsid w:val="00F12112"/>
    <w:rsid w:val="00F121A3"/>
    <w:rsid w:val="00F12490"/>
    <w:rsid w:val="00F1256D"/>
    <w:rsid w:val="00F1283F"/>
    <w:rsid w:val="00F128C3"/>
    <w:rsid w:val="00F12934"/>
    <w:rsid w:val="00F12CCF"/>
    <w:rsid w:val="00F12D36"/>
    <w:rsid w:val="00F12D4E"/>
    <w:rsid w:val="00F12F7C"/>
    <w:rsid w:val="00F13104"/>
    <w:rsid w:val="00F13375"/>
    <w:rsid w:val="00F13624"/>
    <w:rsid w:val="00F13B39"/>
    <w:rsid w:val="00F13C6C"/>
    <w:rsid w:val="00F13CA5"/>
    <w:rsid w:val="00F13E5A"/>
    <w:rsid w:val="00F140A7"/>
    <w:rsid w:val="00F141EA"/>
    <w:rsid w:val="00F14298"/>
    <w:rsid w:val="00F1454D"/>
    <w:rsid w:val="00F14B06"/>
    <w:rsid w:val="00F155ED"/>
    <w:rsid w:val="00F15CC8"/>
    <w:rsid w:val="00F15CDD"/>
    <w:rsid w:val="00F160E3"/>
    <w:rsid w:val="00F167D1"/>
    <w:rsid w:val="00F1694D"/>
    <w:rsid w:val="00F16B07"/>
    <w:rsid w:val="00F16C93"/>
    <w:rsid w:val="00F1706F"/>
    <w:rsid w:val="00F17141"/>
    <w:rsid w:val="00F17995"/>
    <w:rsid w:val="00F179FC"/>
    <w:rsid w:val="00F17C4B"/>
    <w:rsid w:val="00F17F81"/>
    <w:rsid w:val="00F20070"/>
    <w:rsid w:val="00F2062E"/>
    <w:rsid w:val="00F2074E"/>
    <w:rsid w:val="00F20B16"/>
    <w:rsid w:val="00F20BCF"/>
    <w:rsid w:val="00F20EB9"/>
    <w:rsid w:val="00F21507"/>
    <w:rsid w:val="00F21A88"/>
    <w:rsid w:val="00F21C52"/>
    <w:rsid w:val="00F22499"/>
    <w:rsid w:val="00F224E2"/>
    <w:rsid w:val="00F224F3"/>
    <w:rsid w:val="00F2254C"/>
    <w:rsid w:val="00F22565"/>
    <w:rsid w:val="00F2277F"/>
    <w:rsid w:val="00F22D61"/>
    <w:rsid w:val="00F22DB5"/>
    <w:rsid w:val="00F230E1"/>
    <w:rsid w:val="00F234CA"/>
    <w:rsid w:val="00F239AE"/>
    <w:rsid w:val="00F23A9D"/>
    <w:rsid w:val="00F23E8F"/>
    <w:rsid w:val="00F2439A"/>
    <w:rsid w:val="00F24750"/>
    <w:rsid w:val="00F24E6C"/>
    <w:rsid w:val="00F24E7E"/>
    <w:rsid w:val="00F25366"/>
    <w:rsid w:val="00F257E0"/>
    <w:rsid w:val="00F2614A"/>
    <w:rsid w:val="00F268CF"/>
    <w:rsid w:val="00F269E9"/>
    <w:rsid w:val="00F26BA4"/>
    <w:rsid w:val="00F27140"/>
    <w:rsid w:val="00F27187"/>
    <w:rsid w:val="00F27370"/>
    <w:rsid w:val="00F274F2"/>
    <w:rsid w:val="00F2775F"/>
    <w:rsid w:val="00F277A2"/>
    <w:rsid w:val="00F278A5"/>
    <w:rsid w:val="00F27A6B"/>
    <w:rsid w:val="00F27AF7"/>
    <w:rsid w:val="00F30454"/>
    <w:rsid w:val="00F305E9"/>
    <w:rsid w:val="00F306DC"/>
    <w:rsid w:val="00F308D2"/>
    <w:rsid w:val="00F30B9B"/>
    <w:rsid w:val="00F3125F"/>
    <w:rsid w:val="00F317A7"/>
    <w:rsid w:val="00F31934"/>
    <w:rsid w:val="00F31BA8"/>
    <w:rsid w:val="00F31DD5"/>
    <w:rsid w:val="00F321D0"/>
    <w:rsid w:val="00F322BA"/>
    <w:rsid w:val="00F3236C"/>
    <w:rsid w:val="00F324C6"/>
    <w:rsid w:val="00F32779"/>
    <w:rsid w:val="00F32A6E"/>
    <w:rsid w:val="00F32AC8"/>
    <w:rsid w:val="00F32F20"/>
    <w:rsid w:val="00F332CC"/>
    <w:rsid w:val="00F339EC"/>
    <w:rsid w:val="00F33CB8"/>
    <w:rsid w:val="00F33E60"/>
    <w:rsid w:val="00F33E86"/>
    <w:rsid w:val="00F33EF9"/>
    <w:rsid w:val="00F34012"/>
    <w:rsid w:val="00F3402B"/>
    <w:rsid w:val="00F34A79"/>
    <w:rsid w:val="00F34DBF"/>
    <w:rsid w:val="00F34F33"/>
    <w:rsid w:val="00F34FA8"/>
    <w:rsid w:val="00F34FFF"/>
    <w:rsid w:val="00F35214"/>
    <w:rsid w:val="00F35297"/>
    <w:rsid w:val="00F353E1"/>
    <w:rsid w:val="00F35584"/>
    <w:rsid w:val="00F35CBA"/>
    <w:rsid w:val="00F35D33"/>
    <w:rsid w:val="00F35E82"/>
    <w:rsid w:val="00F36069"/>
    <w:rsid w:val="00F363B9"/>
    <w:rsid w:val="00F3660D"/>
    <w:rsid w:val="00F36BDA"/>
    <w:rsid w:val="00F36BE7"/>
    <w:rsid w:val="00F36C2D"/>
    <w:rsid w:val="00F37547"/>
    <w:rsid w:val="00F3793A"/>
    <w:rsid w:val="00F37A70"/>
    <w:rsid w:val="00F37E6F"/>
    <w:rsid w:val="00F37F1B"/>
    <w:rsid w:val="00F40173"/>
    <w:rsid w:val="00F40954"/>
    <w:rsid w:val="00F40995"/>
    <w:rsid w:val="00F40AE4"/>
    <w:rsid w:val="00F40B22"/>
    <w:rsid w:val="00F40D88"/>
    <w:rsid w:val="00F40FA6"/>
    <w:rsid w:val="00F410EE"/>
    <w:rsid w:val="00F413DA"/>
    <w:rsid w:val="00F41ACC"/>
    <w:rsid w:val="00F41B50"/>
    <w:rsid w:val="00F41DFB"/>
    <w:rsid w:val="00F41EAF"/>
    <w:rsid w:val="00F42177"/>
    <w:rsid w:val="00F42664"/>
    <w:rsid w:val="00F426F3"/>
    <w:rsid w:val="00F42D20"/>
    <w:rsid w:val="00F42E0A"/>
    <w:rsid w:val="00F43040"/>
    <w:rsid w:val="00F43172"/>
    <w:rsid w:val="00F43361"/>
    <w:rsid w:val="00F433A8"/>
    <w:rsid w:val="00F435FD"/>
    <w:rsid w:val="00F4386B"/>
    <w:rsid w:val="00F43EC4"/>
    <w:rsid w:val="00F43FD7"/>
    <w:rsid w:val="00F44180"/>
    <w:rsid w:val="00F44FD0"/>
    <w:rsid w:val="00F450E2"/>
    <w:rsid w:val="00F45102"/>
    <w:rsid w:val="00F457CC"/>
    <w:rsid w:val="00F458E9"/>
    <w:rsid w:val="00F458F6"/>
    <w:rsid w:val="00F45E13"/>
    <w:rsid w:val="00F46335"/>
    <w:rsid w:val="00F469E4"/>
    <w:rsid w:val="00F46D28"/>
    <w:rsid w:val="00F50567"/>
    <w:rsid w:val="00F505B1"/>
    <w:rsid w:val="00F50A1C"/>
    <w:rsid w:val="00F50AD9"/>
    <w:rsid w:val="00F510E4"/>
    <w:rsid w:val="00F517CD"/>
    <w:rsid w:val="00F51935"/>
    <w:rsid w:val="00F51BD6"/>
    <w:rsid w:val="00F520A4"/>
    <w:rsid w:val="00F5219A"/>
    <w:rsid w:val="00F521B8"/>
    <w:rsid w:val="00F52355"/>
    <w:rsid w:val="00F525B4"/>
    <w:rsid w:val="00F52BCE"/>
    <w:rsid w:val="00F52F72"/>
    <w:rsid w:val="00F5300A"/>
    <w:rsid w:val="00F5319A"/>
    <w:rsid w:val="00F53416"/>
    <w:rsid w:val="00F53533"/>
    <w:rsid w:val="00F53545"/>
    <w:rsid w:val="00F53678"/>
    <w:rsid w:val="00F536D3"/>
    <w:rsid w:val="00F537B9"/>
    <w:rsid w:val="00F537CD"/>
    <w:rsid w:val="00F537E4"/>
    <w:rsid w:val="00F53840"/>
    <w:rsid w:val="00F53A4F"/>
    <w:rsid w:val="00F53BE3"/>
    <w:rsid w:val="00F54003"/>
    <w:rsid w:val="00F54064"/>
    <w:rsid w:val="00F54074"/>
    <w:rsid w:val="00F5472D"/>
    <w:rsid w:val="00F5488D"/>
    <w:rsid w:val="00F54903"/>
    <w:rsid w:val="00F54F4E"/>
    <w:rsid w:val="00F55171"/>
    <w:rsid w:val="00F5529C"/>
    <w:rsid w:val="00F55516"/>
    <w:rsid w:val="00F555B3"/>
    <w:rsid w:val="00F5577F"/>
    <w:rsid w:val="00F55F21"/>
    <w:rsid w:val="00F5613E"/>
    <w:rsid w:val="00F561BD"/>
    <w:rsid w:val="00F56407"/>
    <w:rsid w:val="00F56A4A"/>
    <w:rsid w:val="00F56C8D"/>
    <w:rsid w:val="00F56F64"/>
    <w:rsid w:val="00F5728E"/>
    <w:rsid w:val="00F5742B"/>
    <w:rsid w:val="00F57565"/>
    <w:rsid w:val="00F57611"/>
    <w:rsid w:val="00F57860"/>
    <w:rsid w:val="00F57A2A"/>
    <w:rsid w:val="00F601B2"/>
    <w:rsid w:val="00F60426"/>
    <w:rsid w:val="00F6054A"/>
    <w:rsid w:val="00F605A5"/>
    <w:rsid w:val="00F60ADE"/>
    <w:rsid w:val="00F60D50"/>
    <w:rsid w:val="00F60DDD"/>
    <w:rsid w:val="00F612EF"/>
    <w:rsid w:val="00F61311"/>
    <w:rsid w:val="00F6163E"/>
    <w:rsid w:val="00F616B6"/>
    <w:rsid w:val="00F6184F"/>
    <w:rsid w:val="00F61DCA"/>
    <w:rsid w:val="00F625C5"/>
    <w:rsid w:val="00F62900"/>
    <w:rsid w:val="00F62B4D"/>
    <w:rsid w:val="00F637F8"/>
    <w:rsid w:val="00F63AF4"/>
    <w:rsid w:val="00F63CF3"/>
    <w:rsid w:val="00F64226"/>
    <w:rsid w:val="00F642D8"/>
    <w:rsid w:val="00F64B6B"/>
    <w:rsid w:val="00F64F36"/>
    <w:rsid w:val="00F6508E"/>
    <w:rsid w:val="00F650DC"/>
    <w:rsid w:val="00F65176"/>
    <w:rsid w:val="00F65645"/>
    <w:rsid w:val="00F65D19"/>
    <w:rsid w:val="00F661A9"/>
    <w:rsid w:val="00F66327"/>
    <w:rsid w:val="00F664AA"/>
    <w:rsid w:val="00F664B1"/>
    <w:rsid w:val="00F665AC"/>
    <w:rsid w:val="00F6671C"/>
    <w:rsid w:val="00F669C1"/>
    <w:rsid w:val="00F66DF2"/>
    <w:rsid w:val="00F6704C"/>
    <w:rsid w:val="00F670EC"/>
    <w:rsid w:val="00F67297"/>
    <w:rsid w:val="00F6748F"/>
    <w:rsid w:val="00F677D2"/>
    <w:rsid w:val="00F679DA"/>
    <w:rsid w:val="00F67A54"/>
    <w:rsid w:val="00F67AC1"/>
    <w:rsid w:val="00F67D3B"/>
    <w:rsid w:val="00F700E5"/>
    <w:rsid w:val="00F70162"/>
    <w:rsid w:val="00F706F4"/>
    <w:rsid w:val="00F708E9"/>
    <w:rsid w:val="00F70B16"/>
    <w:rsid w:val="00F712CA"/>
    <w:rsid w:val="00F7159E"/>
    <w:rsid w:val="00F7192A"/>
    <w:rsid w:val="00F71AF3"/>
    <w:rsid w:val="00F72315"/>
    <w:rsid w:val="00F725A6"/>
    <w:rsid w:val="00F7287A"/>
    <w:rsid w:val="00F728EB"/>
    <w:rsid w:val="00F72E4A"/>
    <w:rsid w:val="00F73147"/>
    <w:rsid w:val="00F73636"/>
    <w:rsid w:val="00F7364F"/>
    <w:rsid w:val="00F7374A"/>
    <w:rsid w:val="00F73A56"/>
    <w:rsid w:val="00F73BC2"/>
    <w:rsid w:val="00F73DDD"/>
    <w:rsid w:val="00F7421E"/>
    <w:rsid w:val="00F748CA"/>
    <w:rsid w:val="00F74965"/>
    <w:rsid w:val="00F74A4F"/>
    <w:rsid w:val="00F74D44"/>
    <w:rsid w:val="00F74FE8"/>
    <w:rsid w:val="00F752A5"/>
    <w:rsid w:val="00F75333"/>
    <w:rsid w:val="00F756C2"/>
    <w:rsid w:val="00F75C65"/>
    <w:rsid w:val="00F75D08"/>
    <w:rsid w:val="00F760F8"/>
    <w:rsid w:val="00F76201"/>
    <w:rsid w:val="00F7629B"/>
    <w:rsid w:val="00F76492"/>
    <w:rsid w:val="00F7651C"/>
    <w:rsid w:val="00F767C0"/>
    <w:rsid w:val="00F76946"/>
    <w:rsid w:val="00F769F4"/>
    <w:rsid w:val="00F76D2C"/>
    <w:rsid w:val="00F76DDC"/>
    <w:rsid w:val="00F77170"/>
    <w:rsid w:val="00F777FA"/>
    <w:rsid w:val="00F77973"/>
    <w:rsid w:val="00F77B28"/>
    <w:rsid w:val="00F77CD5"/>
    <w:rsid w:val="00F77DBA"/>
    <w:rsid w:val="00F80015"/>
    <w:rsid w:val="00F80177"/>
    <w:rsid w:val="00F80470"/>
    <w:rsid w:val="00F80654"/>
    <w:rsid w:val="00F80F7B"/>
    <w:rsid w:val="00F811FB"/>
    <w:rsid w:val="00F81231"/>
    <w:rsid w:val="00F8126C"/>
    <w:rsid w:val="00F81651"/>
    <w:rsid w:val="00F81670"/>
    <w:rsid w:val="00F81AF0"/>
    <w:rsid w:val="00F81C11"/>
    <w:rsid w:val="00F81F39"/>
    <w:rsid w:val="00F82272"/>
    <w:rsid w:val="00F82431"/>
    <w:rsid w:val="00F824EA"/>
    <w:rsid w:val="00F82674"/>
    <w:rsid w:val="00F82879"/>
    <w:rsid w:val="00F829FF"/>
    <w:rsid w:val="00F82AFA"/>
    <w:rsid w:val="00F82D46"/>
    <w:rsid w:val="00F82E19"/>
    <w:rsid w:val="00F830CC"/>
    <w:rsid w:val="00F835F1"/>
    <w:rsid w:val="00F836DA"/>
    <w:rsid w:val="00F83856"/>
    <w:rsid w:val="00F838FA"/>
    <w:rsid w:val="00F83C16"/>
    <w:rsid w:val="00F83F2D"/>
    <w:rsid w:val="00F841A1"/>
    <w:rsid w:val="00F846DD"/>
    <w:rsid w:val="00F847AA"/>
    <w:rsid w:val="00F84B1A"/>
    <w:rsid w:val="00F84FB8"/>
    <w:rsid w:val="00F850EC"/>
    <w:rsid w:val="00F8527D"/>
    <w:rsid w:val="00F85282"/>
    <w:rsid w:val="00F8529A"/>
    <w:rsid w:val="00F857F6"/>
    <w:rsid w:val="00F85817"/>
    <w:rsid w:val="00F859F0"/>
    <w:rsid w:val="00F85A50"/>
    <w:rsid w:val="00F861AC"/>
    <w:rsid w:val="00F86543"/>
    <w:rsid w:val="00F86589"/>
    <w:rsid w:val="00F867E4"/>
    <w:rsid w:val="00F86855"/>
    <w:rsid w:val="00F869B0"/>
    <w:rsid w:val="00F869D1"/>
    <w:rsid w:val="00F86A92"/>
    <w:rsid w:val="00F86BE1"/>
    <w:rsid w:val="00F86D2B"/>
    <w:rsid w:val="00F86D2C"/>
    <w:rsid w:val="00F86F80"/>
    <w:rsid w:val="00F86FF0"/>
    <w:rsid w:val="00F870D9"/>
    <w:rsid w:val="00F87120"/>
    <w:rsid w:val="00F873A4"/>
    <w:rsid w:val="00F87498"/>
    <w:rsid w:val="00F875DB"/>
    <w:rsid w:val="00F87924"/>
    <w:rsid w:val="00F87C88"/>
    <w:rsid w:val="00F87F9F"/>
    <w:rsid w:val="00F90120"/>
    <w:rsid w:val="00F90575"/>
    <w:rsid w:val="00F90AAF"/>
    <w:rsid w:val="00F90AE3"/>
    <w:rsid w:val="00F910A8"/>
    <w:rsid w:val="00F910F1"/>
    <w:rsid w:val="00F913D8"/>
    <w:rsid w:val="00F918E8"/>
    <w:rsid w:val="00F91B3B"/>
    <w:rsid w:val="00F91BB4"/>
    <w:rsid w:val="00F91BDC"/>
    <w:rsid w:val="00F91F8F"/>
    <w:rsid w:val="00F92323"/>
    <w:rsid w:val="00F923AC"/>
    <w:rsid w:val="00F92CA4"/>
    <w:rsid w:val="00F92EA8"/>
    <w:rsid w:val="00F930F9"/>
    <w:rsid w:val="00F9319D"/>
    <w:rsid w:val="00F9338B"/>
    <w:rsid w:val="00F933B8"/>
    <w:rsid w:val="00F934A9"/>
    <w:rsid w:val="00F9354D"/>
    <w:rsid w:val="00F93698"/>
    <w:rsid w:val="00F9369D"/>
    <w:rsid w:val="00F938B6"/>
    <w:rsid w:val="00F938FC"/>
    <w:rsid w:val="00F93956"/>
    <w:rsid w:val="00F93A08"/>
    <w:rsid w:val="00F93B2E"/>
    <w:rsid w:val="00F93BDF"/>
    <w:rsid w:val="00F93F56"/>
    <w:rsid w:val="00F94364"/>
    <w:rsid w:val="00F94548"/>
    <w:rsid w:val="00F9483B"/>
    <w:rsid w:val="00F94884"/>
    <w:rsid w:val="00F94F22"/>
    <w:rsid w:val="00F95024"/>
    <w:rsid w:val="00F951D9"/>
    <w:rsid w:val="00F951F2"/>
    <w:rsid w:val="00F952E5"/>
    <w:rsid w:val="00F9540F"/>
    <w:rsid w:val="00F9541D"/>
    <w:rsid w:val="00F9568D"/>
    <w:rsid w:val="00F9595A"/>
    <w:rsid w:val="00F95AF9"/>
    <w:rsid w:val="00F95AFF"/>
    <w:rsid w:val="00F95EC8"/>
    <w:rsid w:val="00F95FBA"/>
    <w:rsid w:val="00F960C1"/>
    <w:rsid w:val="00F961F5"/>
    <w:rsid w:val="00F9641A"/>
    <w:rsid w:val="00F964D6"/>
    <w:rsid w:val="00F96565"/>
    <w:rsid w:val="00F9666E"/>
    <w:rsid w:val="00F96821"/>
    <w:rsid w:val="00F96B64"/>
    <w:rsid w:val="00F96C3D"/>
    <w:rsid w:val="00F96F31"/>
    <w:rsid w:val="00F970A6"/>
    <w:rsid w:val="00F9716F"/>
    <w:rsid w:val="00F9717E"/>
    <w:rsid w:val="00F97436"/>
    <w:rsid w:val="00F975E9"/>
    <w:rsid w:val="00F9793C"/>
    <w:rsid w:val="00F97979"/>
    <w:rsid w:val="00F97C03"/>
    <w:rsid w:val="00F97C4B"/>
    <w:rsid w:val="00F97EA4"/>
    <w:rsid w:val="00FA0123"/>
    <w:rsid w:val="00FA01A0"/>
    <w:rsid w:val="00FA0314"/>
    <w:rsid w:val="00FA086A"/>
    <w:rsid w:val="00FA0C47"/>
    <w:rsid w:val="00FA1132"/>
    <w:rsid w:val="00FA1169"/>
    <w:rsid w:val="00FA12D1"/>
    <w:rsid w:val="00FA1D50"/>
    <w:rsid w:val="00FA243C"/>
    <w:rsid w:val="00FA2880"/>
    <w:rsid w:val="00FA29CD"/>
    <w:rsid w:val="00FA2C5D"/>
    <w:rsid w:val="00FA2DF6"/>
    <w:rsid w:val="00FA2FE5"/>
    <w:rsid w:val="00FA351F"/>
    <w:rsid w:val="00FA361A"/>
    <w:rsid w:val="00FA36BB"/>
    <w:rsid w:val="00FA3776"/>
    <w:rsid w:val="00FA3858"/>
    <w:rsid w:val="00FA3D29"/>
    <w:rsid w:val="00FA3E79"/>
    <w:rsid w:val="00FA414B"/>
    <w:rsid w:val="00FA4355"/>
    <w:rsid w:val="00FA499D"/>
    <w:rsid w:val="00FA4C99"/>
    <w:rsid w:val="00FA4CC1"/>
    <w:rsid w:val="00FA4E0B"/>
    <w:rsid w:val="00FA518B"/>
    <w:rsid w:val="00FA5304"/>
    <w:rsid w:val="00FA531E"/>
    <w:rsid w:val="00FA56B4"/>
    <w:rsid w:val="00FA5795"/>
    <w:rsid w:val="00FA5797"/>
    <w:rsid w:val="00FA5A8C"/>
    <w:rsid w:val="00FA5D19"/>
    <w:rsid w:val="00FA5FF4"/>
    <w:rsid w:val="00FA653F"/>
    <w:rsid w:val="00FA6573"/>
    <w:rsid w:val="00FA69D0"/>
    <w:rsid w:val="00FA6B97"/>
    <w:rsid w:val="00FA6E72"/>
    <w:rsid w:val="00FA6F25"/>
    <w:rsid w:val="00FA71D0"/>
    <w:rsid w:val="00FA7581"/>
    <w:rsid w:val="00FA76CF"/>
    <w:rsid w:val="00FA7C77"/>
    <w:rsid w:val="00FA7FA0"/>
    <w:rsid w:val="00FB000A"/>
    <w:rsid w:val="00FB0365"/>
    <w:rsid w:val="00FB038D"/>
    <w:rsid w:val="00FB057B"/>
    <w:rsid w:val="00FB05D7"/>
    <w:rsid w:val="00FB06E5"/>
    <w:rsid w:val="00FB0CB4"/>
    <w:rsid w:val="00FB0E3C"/>
    <w:rsid w:val="00FB0EE3"/>
    <w:rsid w:val="00FB191A"/>
    <w:rsid w:val="00FB2136"/>
    <w:rsid w:val="00FB294C"/>
    <w:rsid w:val="00FB2E06"/>
    <w:rsid w:val="00FB3080"/>
    <w:rsid w:val="00FB3096"/>
    <w:rsid w:val="00FB313A"/>
    <w:rsid w:val="00FB394C"/>
    <w:rsid w:val="00FB3A01"/>
    <w:rsid w:val="00FB3AD2"/>
    <w:rsid w:val="00FB3C11"/>
    <w:rsid w:val="00FB3CC8"/>
    <w:rsid w:val="00FB40FE"/>
    <w:rsid w:val="00FB4100"/>
    <w:rsid w:val="00FB4215"/>
    <w:rsid w:val="00FB45B0"/>
    <w:rsid w:val="00FB4731"/>
    <w:rsid w:val="00FB49FF"/>
    <w:rsid w:val="00FB4AB4"/>
    <w:rsid w:val="00FB4C24"/>
    <w:rsid w:val="00FB4DD5"/>
    <w:rsid w:val="00FB4E82"/>
    <w:rsid w:val="00FB509D"/>
    <w:rsid w:val="00FB51DE"/>
    <w:rsid w:val="00FB5241"/>
    <w:rsid w:val="00FB54D6"/>
    <w:rsid w:val="00FB57CD"/>
    <w:rsid w:val="00FB58E7"/>
    <w:rsid w:val="00FB5909"/>
    <w:rsid w:val="00FB5A3D"/>
    <w:rsid w:val="00FB5ACB"/>
    <w:rsid w:val="00FB5C85"/>
    <w:rsid w:val="00FB5CD5"/>
    <w:rsid w:val="00FB61FE"/>
    <w:rsid w:val="00FB6568"/>
    <w:rsid w:val="00FB65DD"/>
    <w:rsid w:val="00FB66B8"/>
    <w:rsid w:val="00FB6715"/>
    <w:rsid w:val="00FB6756"/>
    <w:rsid w:val="00FB686B"/>
    <w:rsid w:val="00FB68CB"/>
    <w:rsid w:val="00FB6AA9"/>
    <w:rsid w:val="00FB6B2D"/>
    <w:rsid w:val="00FB6E90"/>
    <w:rsid w:val="00FB7193"/>
    <w:rsid w:val="00FB7294"/>
    <w:rsid w:val="00FB72E7"/>
    <w:rsid w:val="00FB7382"/>
    <w:rsid w:val="00FB73FE"/>
    <w:rsid w:val="00FB7A10"/>
    <w:rsid w:val="00FB7A37"/>
    <w:rsid w:val="00FB7AEC"/>
    <w:rsid w:val="00FC015F"/>
    <w:rsid w:val="00FC0B8B"/>
    <w:rsid w:val="00FC1149"/>
    <w:rsid w:val="00FC119C"/>
    <w:rsid w:val="00FC12C6"/>
    <w:rsid w:val="00FC174E"/>
    <w:rsid w:val="00FC17BE"/>
    <w:rsid w:val="00FC181F"/>
    <w:rsid w:val="00FC1A31"/>
    <w:rsid w:val="00FC1C4A"/>
    <w:rsid w:val="00FC21B7"/>
    <w:rsid w:val="00FC237D"/>
    <w:rsid w:val="00FC24B3"/>
    <w:rsid w:val="00FC25EA"/>
    <w:rsid w:val="00FC2A5A"/>
    <w:rsid w:val="00FC2ACA"/>
    <w:rsid w:val="00FC2C61"/>
    <w:rsid w:val="00FC2C9F"/>
    <w:rsid w:val="00FC2CD2"/>
    <w:rsid w:val="00FC2D19"/>
    <w:rsid w:val="00FC2D3A"/>
    <w:rsid w:val="00FC2DA4"/>
    <w:rsid w:val="00FC363B"/>
    <w:rsid w:val="00FC36C2"/>
    <w:rsid w:val="00FC3CDD"/>
    <w:rsid w:val="00FC3E9D"/>
    <w:rsid w:val="00FC406D"/>
    <w:rsid w:val="00FC40E5"/>
    <w:rsid w:val="00FC4264"/>
    <w:rsid w:val="00FC4325"/>
    <w:rsid w:val="00FC4A29"/>
    <w:rsid w:val="00FC4AAE"/>
    <w:rsid w:val="00FC4B96"/>
    <w:rsid w:val="00FC4E4A"/>
    <w:rsid w:val="00FC520D"/>
    <w:rsid w:val="00FC54D8"/>
    <w:rsid w:val="00FC5824"/>
    <w:rsid w:val="00FC5881"/>
    <w:rsid w:val="00FC5B95"/>
    <w:rsid w:val="00FC5B97"/>
    <w:rsid w:val="00FC5BAA"/>
    <w:rsid w:val="00FC5E24"/>
    <w:rsid w:val="00FC5E99"/>
    <w:rsid w:val="00FC5ECE"/>
    <w:rsid w:val="00FC6229"/>
    <w:rsid w:val="00FC64E0"/>
    <w:rsid w:val="00FC6668"/>
    <w:rsid w:val="00FC69F0"/>
    <w:rsid w:val="00FC6A34"/>
    <w:rsid w:val="00FC6F13"/>
    <w:rsid w:val="00FC7369"/>
    <w:rsid w:val="00FC7558"/>
    <w:rsid w:val="00FC7B18"/>
    <w:rsid w:val="00FC7C48"/>
    <w:rsid w:val="00FD04DC"/>
    <w:rsid w:val="00FD06F4"/>
    <w:rsid w:val="00FD07A3"/>
    <w:rsid w:val="00FD0B4A"/>
    <w:rsid w:val="00FD0DEB"/>
    <w:rsid w:val="00FD0E66"/>
    <w:rsid w:val="00FD1106"/>
    <w:rsid w:val="00FD13FC"/>
    <w:rsid w:val="00FD169B"/>
    <w:rsid w:val="00FD1B64"/>
    <w:rsid w:val="00FD1E41"/>
    <w:rsid w:val="00FD1EB4"/>
    <w:rsid w:val="00FD1F43"/>
    <w:rsid w:val="00FD2274"/>
    <w:rsid w:val="00FD24F7"/>
    <w:rsid w:val="00FD2563"/>
    <w:rsid w:val="00FD2847"/>
    <w:rsid w:val="00FD2917"/>
    <w:rsid w:val="00FD30EB"/>
    <w:rsid w:val="00FD33DE"/>
    <w:rsid w:val="00FD3627"/>
    <w:rsid w:val="00FD3829"/>
    <w:rsid w:val="00FD39A1"/>
    <w:rsid w:val="00FD3A31"/>
    <w:rsid w:val="00FD3C1D"/>
    <w:rsid w:val="00FD3C86"/>
    <w:rsid w:val="00FD3F52"/>
    <w:rsid w:val="00FD3F94"/>
    <w:rsid w:val="00FD4058"/>
    <w:rsid w:val="00FD4105"/>
    <w:rsid w:val="00FD445C"/>
    <w:rsid w:val="00FD456C"/>
    <w:rsid w:val="00FD46E6"/>
    <w:rsid w:val="00FD477D"/>
    <w:rsid w:val="00FD4B5D"/>
    <w:rsid w:val="00FD4BD5"/>
    <w:rsid w:val="00FD4E9D"/>
    <w:rsid w:val="00FD5156"/>
    <w:rsid w:val="00FD5674"/>
    <w:rsid w:val="00FD576D"/>
    <w:rsid w:val="00FD5781"/>
    <w:rsid w:val="00FD5A2A"/>
    <w:rsid w:val="00FD5E99"/>
    <w:rsid w:val="00FD630F"/>
    <w:rsid w:val="00FD63D0"/>
    <w:rsid w:val="00FD692D"/>
    <w:rsid w:val="00FD6C0F"/>
    <w:rsid w:val="00FD6C68"/>
    <w:rsid w:val="00FD6F7D"/>
    <w:rsid w:val="00FD71B0"/>
    <w:rsid w:val="00FD7264"/>
    <w:rsid w:val="00FD7480"/>
    <w:rsid w:val="00FD78DF"/>
    <w:rsid w:val="00FD7DE3"/>
    <w:rsid w:val="00FE00A4"/>
    <w:rsid w:val="00FE053A"/>
    <w:rsid w:val="00FE06D3"/>
    <w:rsid w:val="00FE0856"/>
    <w:rsid w:val="00FE0E0C"/>
    <w:rsid w:val="00FE0E6D"/>
    <w:rsid w:val="00FE11F7"/>
    <w:rsid w:val="00FE12B8"/>
    <w:rsid w:val="00FE13E8"/>
    <w:rsid w:val="00FE184E"/>
    <w:rsid w:val="00FE18ED"/>
    <w:rsid w:val="00FE19B7"/>
    <w:rsid w:val="00FE2129"/>
    <w:rsid w:val="00FE2931"/>
    <w:rsid w:val="00FE2B23"/>
    <w:rsid w:val="00FE2E33"/>
    <w:rsid w:val="00FE2E51"/>
    <w:rsid w:val="00FE30C2"/>
    <w:rsid w:val="00FE36DF"/>
    <w:rsid w:val="00FE3B2D"/>
    <w:rsid w:val="00FE3D70"/>
    <w:rsid w:val="00FE4169"/>
    <w:rsid w:val="00FE43CC"/>
    <w:rsid w:val="00FE4B1F"/>
    <w:rsid w:val="00FE4B4F"/>
    <w:rsid w:val="00FE4FA9"/>
    <w:rsid w:val="00FE541E"/>
    <w:rsid w:val="00FE56FB"/>
    <w:rsid w:val="00FE5703"/>
    <w:rsid w:val="00FE575A"/>
    <w:rsid w:val="00FE5846"/>
    <w:rsid w:val="00FE5959"/>
    <w:rsid w:val="00FE5960"/>
    <w:rsid w:val="00FE5B79"/>
    <w:rsid w:val="00FE5C31"/>
    <w:rsid w:val="00FE5D4D"/>
    <w:rsid w:val="00FE5DDD"/>
    <w:rsid w:val="00FE6216"/>
    <w:rsid w:val="00FE6420"/>
    <w:rsid w:val="00FE6BD2"/>
    <w:rsid w:val="00FE6EFA"/>
    <w:rsid w:val="00FE7004"/>
    <w:rsid w:val="00FE717C"/>
    <w:rsid w:val="00FE739A"/>
    <w:rsid w:val="00FE74D7"/>
    <w:rsid w:val="00FE7679"/>
    <w:rsid w:val="00FE79F3"/>
    <w:rsid w:val="00FE7F96"/>
    <w:rsid w:val="00FE7FA6"/>
    <w:rsid w:val="00FE7FF1"/>
    <w:rsid w:val="00FF0025"/>
    <w:rsid w:val="00FF011A"/>
    <w:rsid w:val="00FF0170"/>
    <w:rsid w:val="00FF03F5"/>
    <w:rsid w:val="00FF06C8"/>
    <w:rsid w:val="00FF08A5"/>
    <w:rsid w:val="00FF0A0E"/>
    <w:rsid w:val="00FF0D4F"/>
    <w:rsid w:val="00FF10BD"/>
    <w:rsid w:val="00FF1470"/>
    <w:rsid w:val="00FF1D96"/>
    <w:rsid w:val="00FF1E2A"/>
    <w:rsid w:val="00FF1F02"/>
    <w:rsid w:val="00FF23B7"/>
    <w:rsid w:val="00FF240B"/>
    <w:rsid w:val="00FF2606"/>
    <w:rsid w:val="00FF2710"/>
    <w:rsid w:val="00FF2D84"/>
    <w:rsid w:val="00FF2F1B"/>
    <w:rsid w:val="00FF320D"/>
    <w:rsid w:val="00FF33FE"/>
    <w:rsid w:val="00FF347A"/>
    <w:rsid w:val="00FF35E8"/>
    <w:rsid w:val="00FF387E"/>
    <w:rsid w:val="00FF3AB3"/>
    <w:rsid w:val="00FF3EE3"/>
    <w:rsid w:val="00FF4284"/>
    <w:rsid w:val="00FF448B"/>
    <w:rsid w:val="00FF45C1"/>
    <w:rsid w:val="00FF4C0B"/>
    <w:rsid w:val="00FF4D61"/>
    <w:rsid w:val="00FF511E"/>
    <w:rsid w:val="00FF5175"/>
    <w:rsid w:val="00FF564C"/>
    <w:rsid w:val="00FF5C34"/>
    <w:rsid w:val="00FF604F"/>
    <w:rsid w:val="00FF60D9"/>
    <w:rsid w:val="00FF61FB"/>
    <w:rsid w:val="00FF629A"/>
    <w:rsid w:val="00FF6349"/>
    <w:rsid w:val="00FF64F2"/>
    <w:rsid w:val="00FF65F9"/>
    <w:rsid w:val="00FF68F9"/>
    <w:rsid w:val="00FF6C63"/>
    <w:rsid w:val="00FF7090"/>
    <w:rsid w:val="00FF715E"/>
    <w:rsid w:val="00FF7172"/>
    <w:rsid w:val="00FF724F"/>
    <w:rsid w:val="00FF762B"/>
    <w:rsid w:val="00FF76CE"/>
    <w:rsid w:val="00FF7965"/>
    <w:rsid w:val="00FF79E2"/>
    <w:rsid w:val="00FF7ADC"/>
    <w:rsid w:val="00FF7B3C"/>
    <w:rsid w:val="00FF7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95585"/>
    <o:shapelayout v:ext="edit">
      <o:idmap v:ext="edit" data="1"/>
    </o:shapelayout>
  </w:shapeDefaults>
  <w:decimalSymbol w:val="."/>
  <w:listSeparator w:val=","/>
  <w14:docId w14:val="0C4183CD"/>
  <w15:chartTrackingRefBased/>
  <w15:docId w15:val="{E427BA0E-D0A6-461C-A217-F17047C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BAC"/>
    <w:rPr>
      <w:rFonts w:ascii="Calibri" w:hAnsi="Calibri"/>
      <w:sz w:val="22"/>
      <w:szCs w:val="16"/>
      <w:lang w:eastAsia="en-US"/>
    </w:rPr>
  </w:style>
  <w:style w:type="paragraph" w:styleId="Heading1">
    <w:name w:val="heading 1"/>
    <w:basedOn w:val="Normal"/>
    <w:next w:val="Normal"/>
    <w:link w:val="Heading1Char"/>
    <w:qFormat/>
    <w:rsid w:val="007975D5"/>
    <w:pPr>
      <w:keepNext/>
      <w:numPr>
        <w:numId w:val="56"/>
      </w:numPr>
      <w:spacing w:before="240" w:after="240"/>
      <w:outlineLvl w:val="0"/>
    </w:pPr>
    <w:rPr>
      <w:rFonts w:ascii="Arial" w:hAnsi="Arial"/>
      <w:b/>
      <w:bCs/>
      <w:caps/>
      <w:sz w:val="32"/>
      <w:szCs w:val="24"/>
    </w:rPr>
  </w:style>
  <w:style w:type="paragraph" w:styleId="Heading2">
    <w:name w:val="heading 2"/>
    <w:basedOn w:val="Normal"/>
    <w:next w:val="Normal"/>
    <w:link w:val="Heading2Char"/>
    <w:qFormat/>
    <w:rsid w:val="00C303D0"/>
    <w:pPr>
      <w:keepNext/>
      <w:numPr>
        <w:ilvl w:val="1"/>
        <w:numId w:val="56"/>
      </w:numPr>
      <w:spacing w:before="240" w:after="120"/>
      <w:outlineLvl w:val="1"/>
    </w:pPr>
    <w:rPr>
      <w:rFonts w:ascii="Arial Bold" w:hAnsi="Arial Bold"/>
      <w:b/>
      <w:bCs/>
      <w:caps/>
      <w:sz w:val="28"/>
      <w:szCs w:val="28"/>
    </w:rPr>
  </w:style>
  <w:style w:type="paragraph" w:styleId="Heading3">
    <w:name w:val="heading 3"/>
    <w:basedOn w:val="Normal"/>
    <w:next w:val="Normal"/>
    <w:qFormat/>
    <w:rsid w:val="00C303D0"/>
    <w:pPr>
      <w:keepNext/>
      <w:numPr>
        <w:ilvl w:val="2"/>
        <w:numId w:val="56"/>
      </w:numPr>
      <w:spacing w:before="120" w:after="60"/>
      <w:outlineLvl w:val="2"/>
    </w:pPr>
    <w:rPr>
      <w:rFonts w:ascii="Arial Bold" w:hAnsi="Arial Bold"/>
      <w:b/>
      <w:bCs/>
      <w:smallCaps/>
    </w:rPr>
  </w:style>
  <w:style w:type="paragraph" w:styleId="Heading4">
    <w:name w:val="heading 4"/>
    <w:basedOn w:val="Normal"/>
    <w:next w:val="Normal"/>
    <w:rsid w:val="00510B79"/>
    <w:pPr>
      <w:keepNext/>
      <w:spacing w:before="120" w:after="120"/>
      <w:outlineLvl w:val="3"/>
    </w:pPr>
    <w:rPr>
      <w:b/>
      <w:bCs/>
      <w:iCs/>
      <w:smallCaps/>
      <w:szCs w:val="24"/>
    </w:rPr>
  </w:style>
  <w:style w:type="paragraph" w:styleId="Heading5">
    <w:name w:val="heading 5"/>
    <w:basedOn w:val="Normal"/>
    <w:next w:val="Normal"/>
    <w:rsid w:val="00B5233A"/>
    <w:pPr>
      <w:keepNext/>
      <w:numPr>
        <w:ilvl w:val="4"/>
        <w:numId w:val="56"/>
      </w:numPr>
      <w:outlineLvl w:val="4"/>
    </w:pPr>
    <w:rPr>
      <w:b/>
      <w:bCs/>
      <w:i/>
      <w:iCs/>
      <w:szCs w:val="24"/>
    </w:rPr>
  </w:style>
  <w:style w:type="paragraph" w:styleId="Heading6">
    <w:name w:val="heading 6"/>
    <w:basedOn w:val="Normal"/>
    <w:next w:val="Normal"/>
    <w:rsid w:val="00B5233A"/>
    <w:pPr>
      <w:keepNext/>
      <w:numPr>
        <w:ilvl w:val="5"/>
        <w:numId w:val="56"/>
      </w:numPr>
      <w:outlineLvl w:val="5"/>
    </w:pPr>
    <w:rPr>
      <w:b/>
      <w:bCs/>
      <w:szCs w:val="24"/>
    </w:rPr>
  </w:style>
  <w:style w:type="paragraph" w:styleId="Heading7">
    <w:name w:val="heading 7"/>
    <w:basedOn w:val="Normal"/>
    <w:next w:val="Normal"/>
    <w:rsid w:val="00B5233A"/>
    <w:pPr>
      <w:keepNext/>
      <w:numPr>
        <w:ilvl w:val="6"/>
        <w:numId w:val="56"/>
      </w:numPr>
      <w:outlineLvl w:val="6"/>
    </w:pPr>
    <w:rPr>
      <w:b/>
      <w:bCs/>
      <w:color w:val="0000FF"/>
      <w:sz w:val="18"/>
      <w:szCs w:val="18"/>
    </w:rPr>
  </w:style>
  <w:style w:type="paragraph" w:styleId="Heading8">
    <w:name w:val="heading 8"/>
    <w:basedOn w:val="Normal"/>
    <w:next w:val="Normal"/>
    <w:rsid w:val="00B5233A"/>
    <w:pPr>
      <w:keepNext/>
      <w:numPr>
        <w:ilvl w:val="7"/>
        <w:numId w:val="56"/>
      </w:numPr>
      <w:jc w:val="right"/>
      <w:outlineLvl w:val="7"/>
    </w:pPr>
    <w:rPr>
      <w:b/>
      <w:bCs/>
    </w:rPr>
  </w:style>
  <w:style w:type="paragraph" w:styleId="Heading9">
    <w:name w:val="heading 9"/>
    <w:basedOn w:val="Heading2"/>
    <w:next w:val="Normal"/>
    <w:rsid w:val="00B5233A"/>
    <w:pPr>
      <w:numPr>
        <w:ilvl w:val="8"/>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776"/>
    <w:rPr>
      <w:rFonts w:ascii="Arial" w:hAnsi="Arial"/>
      <w:b/>
      <w:bCs/>
      <w:caps/>
      <w:sz w:val="32"/>
      <w:szCs w:val="24"/>
      <w:lang w:eastAsia="en-US"/>
    </w:rPr>
  </w:style>
  <w:style w:type="paragraph" w:styleId="FootnoteText">
    <w:name w:val="footnote text"/>
    <w:basedOn w:val="Normal"/>
    <w:link w:val="FootnoteTextChar"/>
    <w:uiPriority w:val="99"/>
    <w:semiHidden/>
    <w:rsid w:val="00B5233A"/>
    <w:rPr>
      <w:color w:val="008000"/>
      <w:sz w:val="16"/>
    </w:rPr>
  </w:style>
  <w:style w:type="character" w:customStyle="1" w:styleId="FootnoteTextChar">
    <w:name w:val="Footnote Text Char"/>
    <w:link w:val="FootnoteText"/>
    <w:uiPriority w:val="99"/>
    <w:semiHidden/>
    <w:rsid w:val="00DA1174"/>
    <w:rPr>
      <w:color w:val="008000"/>
      <w:sz w:val="16"/>
      <w:szCs w:val="16"/>
      <w:lang w:eastAsia="en-US"/>
    </w:rPr>
  </w:style>
  <w:style w:type="character" w:styleId="FootnoteReference">
    <w:name w:val="footnote reference"/>
    <w:uiPriority w:val="99"/>
    <w:semiHidden/>
    <w:rsid w:val="00B5233A"/>
    <w:rPr>
      <w:vertAlign w:val="superscript"/>
    </w:rPr>
  </w:style>
  <w:style w:type="paragraph" w:styleId="DocumentMap">
    <w:name w:val="Document Map"/>
    <w:basedOn w:val="Normal"/>
    <w:semiHidden/>
    <w:rsid w:val="00B5233A"/>
    <w:pPr>
      <w:shd w:val="clear" w:color="auto" w:fill="000080"/>
    </w:pPr>
    <w:rPr>
      <w:rFonts w:ascii="Tahoma" w:hAnsi="Tahoma" w:cs="Tahoma"/>
    </w:rPr>
  </w:style>
  <w:style w:type="paragraph" w:styleId="Header">
    <w:name w:val="header"/>
    <w:basedOn w:val="Normal"/>
    <w:link w:val="HeaderChar"/>
    <w:uiPriority w:val="99"/>
    <w:rsid w:val="00B5233A"/>
    <w:pPr>
      <w:tabs>
        <w:tab w:val="center" w:pos="4153"/>
        <w:tab w:val="right" w:pos="8306"/>
      </w:tabs>
    </w:pPr>
    <w:rPr>
      <w:szCs w:val="24"/>
    </w:rPr>
  </w:style>
  <w:style w:type="character" w:customStyle="1" w:styleId="HeaderChar">
    <w:name w:val="Header Char"/>
    <w:link w:val="Header"/>
    <w:uiPriority w:val="99"/>
    <w:rsid w:val="004956AB"/>
    <w:rPr>
      <w:rFonts w:ascii="Calibri" w:hAnsi="Calibri"/>
      <w:sz w:val="24"/>
      <w:szCs w:val="24"/>
      <w:lang w:eastAsia="en-US"/>
    </w:rPr>
  </w:style>
  <w:style w:type="paragraph" w:styleId="Footer">
    <w:name w:val="footer"/>
    <w:basedOn w:val="Normal"/>
    <w:link w:val="FooterChar"/>
    <w:uiPriority w:val="99"/>
    <w:rsid w:val="00B5233A"/>
    <w:pPr>
      <w:tabs>
        <w:tab w:val="center" w:pos="4153"/>
        <w:tab w:val="right" w:pos="8306"/>
      </w:tabs>
    </w:pPr>
    <w:rPr>
      <w:szCs w:val="24"/>
    </w:rPr>
  </w:style>
  <w:style w:type="character" w:customStyle="1" w:styleId="FooterChar">
    <w:name w:val="Footer Char"/>
    <w:link w:val="Footer"/>
    <w:uiPriority w:val="99"/>
    <w:rsid w:val="00A226A2"/>
    <w:rPr>
      <w:rFonts w:ascii="Calibri" w:hAnsi="Calibri"/>
      <w:sz w:val="24"/>
      <w:szCs w:val="24"/>
      <w:lang w:eastAsia="en-US"/>
    </w:rPr>
  </w:style>
  <w:style w:type="paragraph" w:styleId="Title">
    <w:name w:val="Title"/>
    <w:basedOn w:val="Normal"/>
    <w:link w:val="TitleChar"/>
    <w:uiPriority w:val="10"/>
    <w:qFormat/>
    <w:rsid w:val="007975D5"/>
    <w:pPr>
      <w:keepNext/>
      <w:spacing w:line="360" w:lineRule="auto"/>
      <w:jc w:val="center"/>
    </w:pPr>
    <w:rPr>
      <w:rFonts w:ascii="Arial" w:hAnsi="Arial"/>
      <w:b/>
      <w:bCs/>
      <w:caps/>
      <w:sz w:val="40"/>
      <w:szCs w:val="28"/>
    </w:rPr>
  </w:style>
  <w:style w:type="character" w:customStyle="1" w:styleId="TitleChar">
    <w:name w:val="Title Char"/>
    <w:link w:val="Title"/>
    <w:uiPriority w:val="10"/>
    <w:rsid w:val="004956AB"/>
    <w:rPr>
      <w:rFonts w:ascii="Arial" w:hAnsi="Arial"/>
      <w:b/>
      <w:bCs/>
      <w:caps/>
      <w:sz w:val="40"/>
      <w:szCs w:val="28"/>
      <w:lang w:eastAsia="en-US"/>
    </w:rPr>
  </w:style>
  <w:style w:type="character" w:styleId="PageNumber">
    <w:name w:val="page number"/>
    <w:basedOn w:val="DefaultParagraphFont"/>
    <w:rsid w:val="00B5233A"/>
  </w:style>
  <w:style w:type="paragraph" w:customStyle="1" w:styleId="TableReference">
    <w:name w:val="Table Reference"/>
    <w:basedOn w:val="Normal"/>
    <w:rsid w:val="00B5233A"/>
    <w:rPr>
      <w:color w:val="008000"/>
      <w:sz w:val="12"/>
      <w:szCs w:val="14"/>
    </w:rPr>
  </w:style>
  <w:style w:type="paragraph" w:customStyle="1" w:styleId="CommentaryTitle">
    <w:name w:val="Commentary Title"/>
    <w:basedOn w:val="Normal"/>
    <w:rsid w:val="00B5233A"/>
    <w:pPr>
      <w:pageBreakBefore/>
      <w:spacing w:before="120" w:after="360"/>
    </w:pPr>
    <w:rPr>
      <w:b/>
      <w:bCs/>
      <w:szCs w:val="24"/>
    </w:rPr>
  </w:style>
  <w:style w:type="paragraph" w:customStyle="1" w:styleId="Title2">
    <w:name w:val="Title 2"/>
    <w:basedOn w:val="Title"/>
    <w:rsid w:val="00B5233A"/>
    <w:pPr>
      <w:spacing w:line="240" w:lineRule="auto"/>
    </w:pPr>
  </w:style>
  <w:style w:type="character" w:customStyle="1" w:styleId="EmailStyle251">
    <w:name w:val="EmailStyle251"/>
    <w:rsid w:val="00B5233A"/>
    <w:rPr>
      <w:rFonts w:ascii="Arial" w:hAnsi="Arial" w:cs="Arial"/>
      <w:color w:val="000080"/>
      <w:sz w:val="20"/>
    </w:rPr>
  </w:style>
  <w:style w:type="paragraph" w:customStyle="1" w:styleId="MajorTitle">
    <w:name w:val="Major Title"/>
    <w:basedOn w:val="Normal"/>
    <w:next w:val="Normal"/>
    <w:rsid w:val="00B5233A"/>
    <w:pPr>
      <w:spacing w:before="180" w:line="300" w:lineRule="atLeast"/>
      <w:jc w:val="center"/>
    </w:pPr>
    <w:rPr>
      <w:b/>
      <w:bCs/>
      <w:sz w:val="48"/>
      <w:szCs w:val="48"/>
    </w:rPr>
  </w:style>
  <w:style w:type="paragraph" w:styleId="TOC1">
    <w:name w:val="toc 1"/>
    <w:basedOn w:val="Normal"/>
    <w:next w:val="Normal"/>
    <w:uiPriority w:val="39"/>
    <w:rsid w:val="006B60D8"/>
    <w:pPr>
      <w:tabs>
        <w:tab w:val="left" w:pos="720"/>
        <w:tab w:val="right" w:leader="dot" w:pos="9628"/>
      </w:tabs>
      <w:spacing w:before="240"/>
    </w:pPr>
    <w:rPr>
      <w:b/>
      <w:bCs/>
      <w:color w:val="000000"/>
      <w:szCs w:val="28"/>
    </w:rPr>
  </w:style>
  <w:style w:type="paragraph" w:styleId="TOC2">
    <w:name w:val="toc 2"/>
    <w:basedOn w:val="Normal"/>
    <w:next w:val="Normal"/>
    <w:uiPriority w:val="39"/>
    <w:rsid w:val="00B5233A"/>
    <w:pPr>
      <w:spacing w:before="240"/>
      <w:ind w:left="1440" w:right="567" w:hanging="720"/>
    </w:pPr>
    <w:rPr>
      <w:bCs/>
      <w:szCs w:val="24"/>
    </w:rPr>
  </w:style>
  <w:style w:type="paragraph" w:styleId="TOC3">
    <w:name w:val="toc 3"/>
    <w:basedOn w:val="Normal"/>
    <w:next w:val="Normal"/>
    <w:uiPriority w:val="39"/>
    <w:rsid w:val="00B5233A"/>
    <w:pPr>
      <w:spacing w:before="120"/>
      <w:ind w:left="1854" w:right="567" w:hanging="720"/>
    </w:pPr>
    <w:rPr>
      <w:szCs w:val="24"/>
    </w:rPr>
  </w:style>
  <w:style w:type="paragraph" w:styleId="TOC4">
    <w:name w:val="toc 4"/>
    <w:basedOn w:val="Normal"/>
    <w:next w:val="Normal"/>
    <w:uiPriority w:val="39"/>
    <w:rsid w:val="00B5233A"/>
    <w:pPr>
      <w:ind w:left="2160" w:right="567" w:hanging="720"/>
    </w:pPr>
    <w:rPr>
      <w:szCs w:val="24"/>
    </w:rPr>
  </w:style>
  <w:style w:type="paragraph" w:styleId="TOC5">
    <w:name w:val="toc 5"/>
    <w:basedOn w:val="Normal"/>
    <w:next w:val="Normal"/>
    <w:uiPriority w:val="39"/>
    <w:rsid w:val="00B5233A"/>
    <w:pPr>
      <w:ind w:left="720" w:right="567"/>
    </w:pPr>
    <w:rPr>
      <w:szCs w:val="24"/>
    </w:rPr>
  </w:style>
  <w:style w:type="paragraph" w:styleId="TOC6">
    <w:name w:val="toc 6"/>
    <w:basedOn w:val="Normal"/>
    <w:next w:val="Normal"/>
    <w:autoRedefine/>
    <w:uiPriority w:val="39"/>
    <w:rsid w:val="00B5233A"/>
    <w:pPr>
      <w:ind w:left="960"/>
    </w:pPr>
    <w:rPr>
      <w:szCs w:val="24"/>
    </w:rPr>
  </w:style>
  <w:style w:type="paragraph" w:styleId="TOC7">
    <w:name w:val="toc 7"/>
    <w:basedOn w:val="Normal"/>
    <w:next w:val="Normal"/>
    <w:autoRedefine/>
    <w:uiPriority w:val="39"/>
    <w:rsid w:val="00B5233A"/>
    <w:pPr>
      <w:ind w:left="1200"/>
    </w:pPr>
    <w:rPr>
      <w:szCs w:val="24"/>
    </w:rPr>
  </w:style>
  <w:style w:type="paragraph" w:styleId="TOC8">
    <w:name w:val="toc 8"/>
    <w:basedOn w:val="Normal"/>
    <w:next w:val="Normal"/>
    <w:autoRedefine/>
    <w:uiPriority w:val="39"/>
    <w:rsid w:val="00B5233A"/>
    <w:pPr>
      <w:ind w:left="1440"/>
    </w:pPr>
    <w:rPr>
      <w:szCs w:val="24"/>
    </w:rPr>
  </w:style>
  <w:style w:type="paragraph" w:styleId="TOC9">
    <w:name w:val="toc 9"/>
    <w:basedOn w:val="Normal"/>
    <w:next w:val="Normal"/>
    <w:autoRedefine/>
    <w:uiPriority w:val="39"/>
    <w:rsid w:val="00B5233A"/>
    <w:pPr>
      <w:ind w:left="1680"/>
    </w:pPr>
    <w:rPr>
      <w:szCs w:val="24"/>
    </w:rPr>
  </w:style>
  <w:style w:type="character" w:styleId="FollowedHyperlink">
    <w:name w:val="FollowedHyperlink"/>
    <w:rsid w:val="00B5233A"/>
    <w:rPr>
      <w:color w:val="800080"/>
      <w:u w:val="single"/>
    </w:rPr>
  </w:style>
  <w:style w:type="paragraph" w:customStyle="1" w:styleId="MajorTitle2">
    <w:name w:val="Major Title 2"/>
    <w:basedOn w:val="Normal"/>
    <w:next w:val="Normal"/>
    <w:rsid w:val="00B5233A"/>
    <w:pPr>
      <w:jc w:val="center"/>
    </w:pPr>
    <w:rPr>
      <w:b/>
      <w:bCs/>
      <w:sz w:val="40"/>
      <w:szCs w:val="40"/>
    </w:rPr>
  </w:style>
  <w:style w:type="paragraph" w:customStyle="1" w:styleId="TableTitle">
    <w:name w:val="Table Title"/>
    <w:basedOn w:val="Normal"/>
    <w:next w:val="Normal"/>
    <w:rsid w:val="00B5233A"/>
    <w:pPr>
      <w:jc w:val="right"/>
    </w:pPr>
    <w:rPr>
      <w:b/>
      <w:bCs/>
      <w:sz w:val="18"/>
      <w:szCs w:val="18"/>
    </w:rPr>
  </w:style>
  <w:style w:type="paragraph" w:customStyle="1" w:styleId="CommentaryReference">
    <w:name w:val="Commentary Reference"/>
    <w:basedOn w:val="Normal"/>
    <w:rsid w:val="00B5233A"/>
    <w:rPr>
      <w:sz w:val="14"/>
    </w:rPr>
  </w:style>
  <w:style w:type="paragraph" w:customStyle="1" w:styleId="TableText">
    <w:name w:val="Table Text"/>
    <w:basedOn w:val="Normal"/>
    <w:next w:val="Normal"/>
    <w:rsid w:val="00B5233A"/>
    <w:pPr>
      <w:spacing w:before="40"/>
    </w:pPr>
    <w:rPr>
      <w:sz w:val="18"/>
      <w:szCs w:val="18"/>
    </w:rPr>
  </w:style>
  <w:style w:type="paragraph" w:customStyle="1" w:styleId="TableFootnote">
    <w:name w:val="Table Footnote"/>
    <w:basedOn w:val="Normal"/>
    <w:next w:val="Normal"/>
    <w:rsid w:val="00B5233A"/>
    <w:pPr>
      <w:spacing w:before="240"/>
    </w:pPr>
    <w:rPr>
      <w:sz w:val="18"/>
    </w:rPr>
  </w:style>
  <w:style w:type="paragraph" w:customStyle="1" w:styleId="CommentaryText">
    <w:name w:val="Commentary Text"/>
    <w:basedOn w:val="Normal"/>
    <w:rsid w:val="00B5233A"/>
    <w:pPr>
      <w:spacing w:after="120"/>
      <w:jc w:val="both"/>
    </w:pPr>
    <w:rPr>
      <w:sz w:val="20"/>
    </w:rPr>
  </w:style>
  <w:style w:type="paragraph" w:customStyle="1" w:styleId="Commentary-Bullet">
    <w:name w:val="Commentary - Bullet"/>
    <w:basedOn w:val="CommentaryText"/>
    <w:rsid w:val="00B5233A"/>
    <w:pPr>
      <w:numPr>
        <w:numId w:val="1"/>
      </w:numPr>
      <w:tabs>
        <w:tab w:val="left" w:pos="3306"/>
      </w:tabs>
      <w:spacing w:after="60"/>
    </w:pPr>
  </w:style>
  <w:style w:type="paragraph" w:customStyle="1" w:styleId="CommentaryHeading">
    <w:name w:val="Commentary Heading"/>
    <w:basedOn w:val="Normal"/>
    <w:rsid w:val="00B5233A"/>
    <w:pPr>
      <w:keepNext/>
      <w:spacing w:before="120" w:after="60"/>
    </w:pPr>
    <w:rPr>
      <w:b/>
      <w:bCs/>
      <w:sz w:val="20"/>
      <w:szCs w:val="18"/>
    </w:rPr>
  </w:style>
  <w:style w:type="paragraph" w:customStyle="1" w:styleId="NoteTitle">
    <w:name w:val="Note Title"/>
    <w:basedOn w:val="Normal"/>
    <w:link w:val="NoteTitleChar"/>
    <w:rsid w:val="00B5233A"/>
    <w:pPr>
      <w:numPr>
        <w:numId w:val="12"/>
      </w:numPr>
      <w:spacing w:after="240"/>
    </w:pPr>
    <w:rPr>
      <w:b/>
      <w:caps/>
    </w:rPr>
  </w:style>
  <w:style w:type="character" w:customStyle="1" w:styleId="NoteTitleChar">
    <w:name w:val="Note Title Char"/>
    <w:link w:val="NoteTitle"/>
    <w:rsid w:val="00B43237"/>
    <w:rPr>
      <w:rFonts w:ascii="Calibri" w:hAnsi="Calibri"/>
      <w:b/>
      <w:caps/>
      <w:sz w:val="22"/>
      <w:szCs w:val="16"/>
      <w:lang w:eastAsia="en-US"/>
    </w:rPr>
  </w:style>
  <w:style w:type="paragraph" w:customStyle="1" w:styleId="NotesNumber">
    <w:name w:val="Notes Number"/>
    <w:basedOn w:val="Normal"/>
    <w:rsid w:val="00B5233A"/>
    <w:pPr>
      <w:numPr>
        <w:numId w:val="3"/>
      </w:numPr>
    </w:pPr>
    <w:rPr>
      <w:iCs/>
      <w:sz w:val="20"/>
      <w:szCs w:val="20"/>
    </w:rPr>
  </w:style>
  <w:style w:type="character" w:styleId="Hyperlink">
    <w:name w:val="Hyperlink"/>
    <w:uiPriority w:val="99"/>
    <w:rsid w:val="00B5233A"/>
    <w:rPr>
      <w:color w:val="0000FF"/>
      <w:u w:val="single"/>
    </w:rPr>
  </w:style>
  <w:style w:type="paragraph" w:customStyle="1" w:styleId="StatementName">
    <w:name w:val="Statement Name"/>
    <w:basedOn w:val="Title"/>
    <w:rsid w:val="00B5233A"/>
    <w:pPr>
      <w:spacing w:line="240" w:lineRule="auto"/>
    </w:pPr>
  </w:style>
  <w:style w:type="paragraph" w:customStyle="1" w:styleId="Reference">
    <w:name w:val="Reference"/>
    <w:basedOn w:val="TableTitle"/>
    <w:link w:val="ReferenceChar"/>
    <w:rsid w:val="00B5233A"/>
    <w:pPr>
      <w:jc w:val="left"/>
    </w:pPr>
    <w:rPr>
      <w:sz w:val="20"/>
    </w:rPr>
  </w:style>
  <w:style w:type="paragraph" w:customStyle="1" w:styleId="Normtr">
    <w:name w:val="Normtr"/>
    <w:basedOn w:val="Normal"/>
    <w:rsid w:val="00B5233A"/>
    <w:pPr>
      <w:spacing w:line="360" w:lineRule="auto"/>
      <w:jc w:val="both"/>
    </w:pPr>
    <w:rPr>
      <w:szCs w:val="20"/>
    </w:rPr>
  </w:style>
  <w:style w:type="paragraph" w:styleId="BodyText3">
    <w:name w:val="Body Text 3"/>
    <w:basedOn w:val="Normal"/>
    <w:rsid w:val="00B5233A"/>
    <w:rPr>
      <w:color w:val="FF0000"/>
      <w:szCs w:val="20"/>
    </w:rPr>
  </w:style>
  <w:style w:type="paragraph" w:styleId="ListBullet">
    <w:name w:val="List Bullet"/>
    <w:basedOn w:val="Normal"/>
    <w:autoRedefine/>
    <w:rsid w:val="00B5233A"/>
    <w:pPr>
      <w:numPr>
        <w:numId w:val="4"/>
      </w:numPr>
      <w:tabs>
        <w:tab w:val="clear" w:pos="360"/>
        <w:tab w:val="num" w:pos="851"/>
      </w:tabs>
      <w:spacing w:after="60" w:line="360" w:lineRule="auto"/>
      <w:jc w:val="both"/>
    </w:pPr>
    <w:rPr>
      <w:szCs w:val="20"/>
    </w:rPr>
  </w:style>
  <w:style w:type="paragraph" w:customStyle="1" w:styleId="Quote1">
    <w:name w:val="Quote1"/>
    <w:basedOn w:val="Normal"/>
    <w:rsid w:val="00B5233A"/>
    <w:pPr>
      <w:spacing w:line="360" w:lineRule="auto"/>
      <w:jc w:val="both"/>
    </w:pPr>
    <w:rPr>
      <w:rFonts w:ascii="Courier New" w:hAnsi="Courier New"/>
      <w:i/>
      <w:szCs w:val="20"/>
    </w:rPr>
  </w:style>
  <w:style w:type="paragraph" w:styleId="BodyText">
    <w:name w:val="Body Text"/>
    <w:basedOn w:val="Normal"/>
    <w:link w:val="BodyTextChar"/>
    <w:rsid w:val="00B5233A"/>
    <w:pPr>
      <w:jc w:val="both"/>
    </w:pPr>
  </w:style>
  <w:style w:type="character" w:customStyle="1" w:styleId="BodyTextChar">
    <w:name w:val="Body Text Char"/>
    <w:link w:val="BodyText"/>
    <w:rsid w:val="0022418C"/>
    <w:rPr>
      <w:rFonts w:ascii="Calibri" w:hAnsi="Calibri"/>
      <w:sz w:val="24"/>
      <w:szCs w:val="16"/>
      <w:lang w:eastAsia="en-US"/>
    </w:rPr>
  </w:style>
  <w:style w:type="paragraph" w:customStyle="1" w:styleId="CellBodyRight">
    <w:name w:val="Cell Body Right"/>
    <w:basedOn w:val="Normal"/>
    <w:rsid w:val="00B5233A"/>
    <w:pPr>
      <w:overflowPunct w:val="0"/>
      <w:autoSpaceDE w:val="0"/>
      <w:autoSpaceDN w:val="0"/>
      <w:adjustRightInd w:val="0"/>
      <w:ind w:right="57"/>
      <w:jc w:val="right"/>
      <w:textAlignment w:val="baseline"/>
    </w:pPr>
    <w:rPr>
      <w:noProof/>
      <w:color w:val="000000"/>
      <w:sz w:val="20"/>
      <w:szCs w:val="20"/>
      <w:lang w:val="en-GB"/>
    </w:rPr>
  </w:style>
  <w:style w:type="paragraph" w:customStyle="1" w:styleId="CellBodyRightParens">
    <w:name w:val="Cell Body Right Parens"/>
    <w:basedOn w:val="Normal"/>
    <w:rsid w:val="00B5233A"/>
    <w:pPr>
      <w:overflowPunct w:val="0"/>
      <w:autoSpaceDE w:val="0"/>
      <w:autoSpaceDN w:val="0"/>
      <w:adjustRightInd w:val="0"/>
      <w:jc w:val="right"/>
      <w:textAlignment w:val="baseline"/>
    </w:pPr>
    <w:rPr>
      <w:noProof/>
      <w:color w:val="000000"/>
      <w:sz w:val="20"/>
      <w:szCs w:val="20"/>
      <w:lang w:val="en-GB"/>
    </w:rPr>
  </w:style>
  <w:style w:type="paragraph" w:customStyle="1" w:styleId="CellBodyCenter">
    <w:name w:val="Cell Body Center"/>
    <w:basedOn w:val="Normal"/>
    <w:rsid w:val="00B5233A"/>
    <w:pPr>
      <w:overflowPunct w:val="0"/>
      <w:autoSpaceDE w:val="0"/>
      <w:autoSpaceDN w:val="0"/>
      <w:adjustRightInd w:val="0"/>
      <w:jc w:val="center"/>
      <w:textAlignment w:val="baseline"/>
    </w:pPr>
    <w:rPr>
      <w:noProof/>
      <w:color w:val="000000"/>
      <w:sz w:val="20"/>
      <w:szCs w:val="20"/>
      <w:lang w:val="en-GB"/>
    </w:rPr>
  </w:style>
  <w:style w:type="paragraph" w:styleId="BodyText2">
    <w:name w:val="Body Text 2"/>
    <w:basedOn w:val="Normal"/>
    <w:rsid w:val="00B5233A"/>
    <w:pPr>
      <w:tabs>
        <w:tab w:val="left" w:pos="3306"/>
      </w:tabs>
    </w:pPr>
    <w:rPr>
      <w:sz w:val="20"/>
    </w:rPr>
  </w:style>
  <w:style w:type="paragraph" w:customStyle="1" w:styleId="TableReference1">
    <w:name w:val="Table Reference 1"/>
    <w:basedOn w:val="TableReference"/>
    <w:rsid w:val="005829FC"/>
    <w:pPr>
      <w:tabs>
        <w:tab w:val="left" w:pos="3306"/>
      </w:tabs>
      <w:spacing w:before="60"/>
    </w:pPr>
  </w:style>
  <w:style w:type="paragraph" w:customStyle="1" w:styleId="CoverLeadPara">
    <w:name w:val="Cover LeadPara"/>
    <w:basedOn w:val="Normal"/>
    <w:next w:val="Normal"/>
    <w:rsid w:val="00B5233A"/>
    <w:pPr>
      <w:spacing w:after="100" w:line="200" w:lineRule="exact"/>
    </w:pPr>
    <w:rPr>
      <w:sz w:val="20"/>
      <w:szCs w:val="20"/>
    </w:rPr>
  </w:style>
  <w:style w:type="paragraph" w:customStyle="1" w:styleId="DefnPara">
    <w:name w:val="Defn Para"/>
    <w:basedOn w:val="Normal"/>
    <w:rsid w:val="00B5233A"/>
    <w:pPr>
      <w:spacing w:after="200" w:line="200" w:lineRule="exact"/>
      <w:ind w:left="1077" w:hanging="340"/>
    </w:pPr>
    <w:rPr>
      <w:b/>
      <w:sz w:val="20"/>
      <w:szCs w:val="20"/>
    </w:rPr>
  </w:style>
  <w:style w:type="paragraph" w:customStyle="1" w:styleId="NumBold2">
    <w:name w:val="Num Bold2"/>
    <w:basedOn w:val="Normal"/>
    <w:rsid w:val="00B5233A"/>
    <w:pPr>
      <w:spacing w:after="200" w:line="200" w:lineRule="exact"/>
      <w:ind w:left="1020" w:hanging="510"/>
    </w:pPr>
    <w:rPr>
      <w:b/>
      <w:sz w:val="20"/>
      <w:szCs w:val="20"/>
    </w:rPr>
  </w:style>
  <w:style w:type="paragraph" w:styleId="Index1">
    <w:name w:val="index 1"/>
    <w:basedOn w:val="Normal"/>
    <w:next w:val="Normal"/>
    <w:autoRedefine/>
    <w:semiHidden/>
    <w:rsid w:val="00B5233A"/>
    <w:pPr>
      <w:ind w:left="240" w:hanging="240"/>
    </w:pPr>
  </w:style>
  <w:style w:type="paragraph" w:styleId="BodyTextIndent">
    <w:name w:val="Body Text Indent"/>
    <w:basedOn w:val="Normal"/>
    <w:rsid w:val="00B5233A"/>
    <w:pPr>
      <w:autoSpaceDE w:val="0"/>
      <w:autoSpaceDN w:val="0"/>
      <w:adjustRightInd w:val="0"/>
      <w:ind w:left="720"/>
      <w:jc w:val="both"/>
    </w:pPr>
    <w:rPr>
      <w:sz w:val="20"/>
    </w:rPr>
  </w:style>
  <w:style w:type="paragraph" w:styleId="BalloonText">
    <w:name w:val="Balloon Text"/>
    <w:basedOn w:val="Normal"/>
    <w:semiHidden/>
    <w:rsid w:val="00345191"/>
    <w:rPr>
      <w:rFonts w:ascii="Tahoma" w:hAnsi="Tahoma" w:cs="Tahoma"/>
      <w:sz w:val="16"/>
    </w:rPr>
  </w:style>
  <w:style w:type="character" w:styleId="CommentReference">
    <w:name w:val="annotation reference"/>
    <w:semiHidden/>
    <w:rsid w:val="001B362D"/>
    <w:rPr>
      <w:sz w:val="16"/>
      <w:szCs w:val="16"/>
    </w:rPr>
  </w:style>
  <w:style w:type="paragraph" w:styleId="CommentText">
    <w:name w:val="annotation text"/>
    <w:basedOn w:val="Normal"/>
    <w:link w:val="CommentTextChar"/>
    <w:rsid w:val="001B362D"/>
    <w:rPr>
      <w:sz w:val="20"/>
      <w:szCs w:val="20"/>
    </w:rPr>
  </w:style>
  <w:style w:type="character" w:customStyle="1" w:styleId="CommentTextChar">
    <w:name w:val="Comment Text Char"/>
    <w:basedOn w:val="DefaultParagraphFont"/>
    <w:link w:val="CommentText"/>
    <w:rsid w:val="00FD30EB"/>
    <w:rPr>
      <w:rFonts w:ascii="Calibri" w:hAnsi="Calibri"/>
      <w:lang w:eastAsia="en-US"/>
    </w:rPr>
  </w:style>
  <w:style w:type="paragraph" w:customStyle="1" w:styleId="Char">
    <w:name w:val="Char"/>
    <w:basedOn w:val="Normal"/>
    <w:rsid w:val="00F835F1"/>
    <w:pPr>
      <w:spacing w:after="160" w:line="240" w:lineRule="exact"/>
    </w:pPr>
    <w:rPr>
      <w:rFonts w:ascii="Tahoma" w:hAnsi="Tahoma" w:cs="Tahoma"/>
      <w:sz w:val="20"/>
      <w:szCs w:val="20"/>
      <w:lang w:val="en-US"/>
    </w:rPr>
  </w:style>
  <w:style w:type="paragraph" w:customStyle="1" w:styleId="BIP1tabletext">
    <w:name w:val="BIP1 table text"/>
    <w:basedOn w:val="TableText"/>
    <w:rsid w:val="00D351AF"/>
    <w:pPr>
      <w:spacing w:before="30" w:after="20"/>
      <w:ind w:left="72" w:hanging="72"/>
    </w:pPr>
    <w:rPr>
      <w:rFonts w:ascii="Arial" w:hAnsi="Arial"/>
      <w:noProof/>
      <w:szCs w:val="20"/>
    </w:rPr>
  </w:style>
  <w:style w:type="paragraph" w:customStyle="1" w:styleId="NormalBlue">
    <w:name w:val="Normal Blue"/>
    <w:basedOn w:val="Normal"/>
    <w:link w:val="NormalBlueChar"/>
    <w:rsid w:val="00D351AF"/>
    <w:pPr>
      <w:spacing w:before="120"/>
      <w:jc w:val="both"/>
    </w:pPr>
    <w:rPr>
      <w:color w:val="0000FF"/>
      <w:szCs w:val="22"/>
    </w:rPr>
  </w:style>
  <w:style w:type="character" w:customStyle="1" w:styleId="NormalBlueChar">
    <w:name w:val="Normal Blue Char"/>
    <w:link w:val="NormalBlue"/>
    <w:rsid w:val="00D351AF"/>
    <w:rPr>
      <w:color w:val="0000FF"/>
      <w:sz w:val="22"/>
      <w:szCs w:val="22"/>
      <w:lang w:val="en-AU" w:eastAsia="en-US" w:bidi="ar-SA"/>
    </w:rPr>
  </w:style>
  <w:style w:type="paragraph" w:customStyle="1" w:styleId="aalphablue">
    <w:name w:val="(a) alpha blue"/>
    <w:basedOn w:val="NormalBlue"/>
    <w:link w:val="aalphablueChar"/>
    <w:rsid w:val="00D351AF"/>
    <w:pPr>
      <w:ind w:left="425" w:hanging="425"/>
    </w:pPr>
    <w:rPr>
      <w:lang w:eastAsia="en-AU"/>
    </w:rPr>
  </w:style>
  <w:style w:type="character" w:customStyle="1" w:styleId="aalphablueChar">
    <w:name w:val="(a) alpha blue Char"/>
    <w:link w:val="aalphablue"/>
    <w:rsid w:val="00D351AF"/>
    <w:rPr>
      <w:color w:val="0000FF"/>
      <w:sz w:val="22"/>
      <w:szCs w:val="22"/>
      <w:lang w:val="en-AU" w:eastAsia="en-AU" w:bidi="ar-SA"/>
    </w:rPr>
  </w:style>
  <w:style w:type="table" w:styleId="TableGrid">
    <w:name w:val="Table Grid"/>
    <w:aliases w:val="CV table"/>
    <w:basedOn w:val="TableNormal"/>
    <w:uiPriority w:val="39"/>
    <w:rsid w:val="002C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396"/>
    <w:pPr>
      <w:autoSpaceDE w:val="0"/>
      <w:autoSpaceDN w:val="0"/>
      <w:adjustRightInd w:val="0"/>
    </w:pPr>
    <w:rPr>
      <w:color w:val="000000"/>
      <w:sz w:val="24"/>
      <w:szCs w:val="24"/>
    </w:rPr>
  </w:style>
  <w:style w:type="paragraph" w:customStyle="1" w:styleId="DefinePoint">
    <w:name w:val="Define Point"/>
    <w:basedOn w:val="Default"/>
    <w:next w:val="Default"/>
    <w:rsid w:val="00EE6F2C"/>
    <w:pPr>
      <w:spacing w:after="120"/>
    </w:pPr>
    <w:rPr>
      <w:color w:val="auto"/>
    </w:rPr>
  </w:style>
  <w:style w:type="paragraph" w:styleId="CommentSubject">
    <w:name w:val="annotation subject"/>
    <w:basedOn w:val="CommentText"/>
    <w:next w:val="CommentText"/>
    <w:semiHidden/>
    <w:rsid w:val="005C6BD1"/>
    <w:rPr>
      <w:b/>
      <w:bCs/>
    </w:rPr>
  </w:style>
  <w:style w:type="character" w:customStyle="1" w:styleId="apple-style-span">
    <w:name w:val="apple-style-span"/>
    <w:basedOn w:val="DefaultParagraphFont"/>
    <w:rsid w:val="00A52DFC"/>
  </w:style>
  <w:style w:type="character" w:customStyle="1" w:styleId="apple-converted-space">
    <w:name w:val="apple-converted-space"/>
    <w:basedOn w:val="DefaultParagraphFont"/>
    <w:rsid w:val="00A52DFC"/>
  </w:style>
  <w:style w:type="paragraph" w:styleId="ListParagraph">
    <w:name w:val="List Paragraph"/>
    <w:aliases w:val="OLG List Paragraph Bullets"/>
    <w:basedOn w:val="Normal"/>
    <w:link w:val="ListParagraphChar"/>
    <w:uiPriority w:val="34"/>
    <w:qFormat/>
    <w:rsid w:val="00975DF7"/>
    <w:pPr>
      <w:ind w:left="720"/>
      <w:contextualSpacing/>
    </w:pPr>
  </w:style>
  <w:style w:type="paragraph" w:customStyle="1" w:styleId="ModelBody">
    <w:name w:val="Model Body"/>
    <w:basedOn w:val="Normal"/>
    <w:link w:val="ModelBodyChar"/>
    <w:rsid w:val="00AB5A6F"/>
    <w:pPr>
      <w:keepNext/>
      <w:spacing w:before="120" w:after="120"/>
      <w:jc w:val="both"/>
      <w:outlineLvl w:val="0"/>
    </w:pPr>
    <w:rPr>
      <w:rFonts w:ascii="Arial" w:hAnsi="Arial" w:cs="Arial"/>
      <w:kern w:val="28"/>
      <w:sz w:val="18"/>
      <w:szCs w:val="32"/>
      <w:lang w:eastAsia="en-AU"/>
    </w:rPr>
  </w:style>
  <w:style w:type="character" w:customStyle="1" w:styleId="ModelBodyChar">
    <w:name w:val="Model Body Char"/>
    <w:link w:val="ModelBody"/>
    <w:rsid w:val="00AB5A6F"/>
    <w:rPr>
      <w:rFonts w:ascii="Arial" w:hAnsi="Arial" w:cs="Arial"/>
      <w:kern w:val="28"/>
      <w:sz w:val="18"/>
      <w:szCs w:val="32"/>
    </w:rPr>
  </w:style>
  <w:style w:type="paragraph" w:customStyle="1" w:styleId="ModelTable">
    <w:name w:val="Model Table"/>
    <w:basedOn w:val="ModelBody"/>
    <w:link w:val="ModelTableChar"/>
    <w:rsid w:val="00AB5A6F"/>
    <w:pPr>
      <w:spacing w:before="20" w:after="20"/>
    </w:pPr>
    <w:rPr>
      <w:sz w:val="16"/>
    </w:rPr>
  </w:style>
  <w:style w:type="character" w:customStyle="1" w:styleId="ModelTableChar">
    <w:name w:val="Model Table Char"/>
    <w:link w:val="ModelTable"/>
    <w:rsid w:val="00AB5A6F"/>
    <w:rPr>
      <w:rFonts w:ascii="Arial" w:hAnsi="Arial" w:cs="Arial"/>
      <w:kern w:val="28"/>
      <w:sz w:val="16"/>
      <w:szCs w:val="32"/>
    </w:rPr>
  </w:style>
  <w:style w:type="paragraph" w:customStyle="1" w:styleId="SourceReferenceBody">
    <w:name w:val="Source Reference Body"/>
    <w:basedOn w:val="Normal"/>
    <w:link w:val="SourceReferenceBodyChar"/>
    <w:rsid w:val="00A87AC7"/>
    <w:pPr>
      <w:keepNext/>
      <w:outlineLvl w:val="0"/>
    </w:pPr>
    <w:rPr>
      <w:rFonts w:ascii="Arial" w:hAnsi="Arial" w:cs="Arial"/>
      <w:i/>
      <w:kern w:val="28"/>
      <w:sz w:val="16"/>
      <w:szCs w:val="32"/>
    </w:rPr>
  </w:style>
  <w:style w:type="character" w:customStyle="1" w:styleId="SourceReferenceBodyChar">
    <w:name w:val="Source Reference Body Char"/>
    <w:link w:val="SourceReferenceBody"/>
    <w:rsid w:val="00A87AC7"/>
    <w:rPr>
      <w:rFonts w:ascii="Arial" w:hAnsi="Arial" w:cs="Arial"/>
      <w:i/>
      <w:kern w:val="28"/>
      <w:sz w:val="16"/>
      <w:szCs w:val="32"/>
      <w:lang w:eastAsia="en-US"/>
    </w:rPr>
  </w:style>
  <w:style w:type="character" w:styleId="Emphasis">
    <w:name w:val="Emphasis"/>
    <w:uiPriority w:val="20"/>
    <w:qFormat/>
    <w:rsid w:val="003D2BCD"/>
    <w:rPr>
      <w:i/>
      <w:iCs/>
    </w:rPr>
  </w:style>
  <w:style w:type="paragraph" w:styleId="Subtitle">
    <w:name w:val="Subtitle"/>
    <w:basedOn w:val="Normal"/>
    <w:next w:val="Normal"/>
    <w:link w:val="SubtitleChar"/>
    <w:qFormat/>
    <w:rsid w:val="007975D5"/>
    <w:pPr>
      <w:jc w:val="center"/>
      <w:outlineLvl w:val="0"/>
    </w:pPr>
    <w:rPr>
      <w:rFonts w:ascii="Arial" w:hAnsi="Arial"/>
      <w:b/>
      <w:sz w:val="40"/>
      <w:szCs w:val="24"/>
    </w:rPr>
  </w:style>
  <w:style w:type="character" w:customStyle="1" w:styleId="SubtitleChar">
    <w:name w:val="Subtitle Char"/>
    <w:link w:val="Subtitle"/>
    <w:rsid w:val="007975D5"/>
    <w:rPr>
      <w:rFonts w:ascii="Arial" w:hAnsi="Arial"/>
      <w:b/>
      <w:sz w:val="40"/>
      <w:szCs w:val="24"/>
      <w:lang w:eastAsia="en-US"/>
    </w:rPr>
  </w:style>
  <w:style w:type="paragraph" w:customStyle="1" w:styleId="plainhanging0">
    <w:name w:val="plainhanging0"/>
    <w:basedOn w:val="Normal"/>
    <w:rsid w:val="00CA49B1"/>
    <w:pPr>
      <w:spacing w:before="100" w:beforeAutospacing="1" w:after="100" w:afterAutospacing="1"/>
    </w:pPr>
    <w:rPr>
      <w:rFonts w:ascii="Times New Roman" w:hAnsi="Times New Roman"/>
      <w:szCs w:val="24"/>
      <w:lang w:eastAsia="en-AU"/>
    </w:rPr>
  </w:style>
  <w:style w:type="paragraph" w:customStyle="1" w:styleId="headinga">
    <w:name w:val="heading a"/>
    <w:basedOn w:val="TOC2"/>
    <w:rsid w:val="00B113E4"/>
    <w:pPr>
      <w:tabs>
        <w:tab w:val="left" w:pos="960"/>
        <w:tab w:val="right" w:leader="dot" w:pos="10065"/>
      </w:tabs>
      <w:spacing w:before="60" w:after="60"/>
      <w:ind w:left="0" w:right="0" w:hanging="753"/>
    </w:pPr>
    <w:rPr>
      <w:rFonts w:ascii="Times New Roman Bold" w:hAnsi="Times New Roman Bold" w:cs="Calibri"/>
      <w:b/>
      <w:caps/>
      <w:noProof/>
      <w:sz w:val="20"/>
      <w:szCs w:val="20"/>
    </w:rPr>
  </w:style>
  <w:style w:type="paragraph" w:customStyle="1" w:styleId="reference0">
    <w:name w:val="reference"/>
    <w:basedOn w:val="Normal"/>
    <w:link w:val="referenceChar0"/>
    <w:qFormat/>
    <w:rsid w:val="004956AB"/>
    <w:pPr>
      <w:shd w:val="clear" w:color="auto" w:fill="F2F2F2"/>
      <w:ind w:left="567" w:right="567"/>
    </w:pPr>
    <w:rPr>
      <w:sz w:val="20"/>
      <w:lang w:bidi="en-US"/>
    </w:rPr>
  </w:style>
  <w:style w:type="character" w:customStyle="1" w:styleId="referenceChar0">
    <w:name w:val="reference Char"/>
    <w:link w:val="reference0"/>
    <w:rsid w:val="004956AB"/>
    <w:rPr>
      <w:rFonts w:ascii="Calibri" w:hAnsi="Calibri"/>
      <w:szCs w:val="16"/>
      <w:shd w:val="clear" w:color="auto" w:fill="F2F2F2"/>
      <w:lang w:eastAsia="en-US" w:bidi="en-US"/>
    </w:rPr>
  </w:style>
  <w:style w:type="paragraph" w:customStyle="1" w:styleId="SectionHeading">
    <w:name w:val="Section Heading"/>
    <w:basedOn w:val="Subtitle"/>
    <w:next w:val="Normal"/>
    <w:link w:val="SectionHeadingChar"/>
    <w:qFormat/>
    <w:rsid w:val="004956AB"/>
    <w:pPr>
      <w:numPr>
        <w:ilvl w:val="1"/>
      </w:numPr>
      <w:spacing w:before="480" w:after="240"/>
    </w:pPr>
    <w:rPr>
      <w:rFonts w:ascii="Arial Bold" w:hAnsi="Arial Bold"/>
      <w:b w:val="0"/>
      <w:bCs/>
      <w:iCs/>
      <w:caps/>
      <w:smallCaps/>
      <w:spacing w:val="15"/>
      <w:sz w:val="36"/>
      <w:szCs w:val="16"/>
    </w:rPr>
  </w:style>
  <w:style w:type="character" w:customStyle="1" w:styleId="SectionHeadingChar">
    <w:name w:val="Section Heading Char"/>
    <w:link w:val="SectionHeading"/>
    <w:rsid w:val="004956AB"/>
    <w:rPr>
      <w:rFonts w:ascii="Arial Bold" w:hAnsi="Arial Bold"/>
      <w:b/>
      <w:bCs/>
      <w:iCs/>
      <w:caps/>
      <w:smallCaps/>
      <w:spacing w:val="15"/>
      <w:sz w:val="36"/>
      <w:szCs w:val="16"/>
      <w:lang w:eastAsia="en-US"/>
    </w:rPr>
  </w:style>
  <w:style w:type="paragraph" w:customStyle="1" w:styleId="bullet">
    <w:name w:val="bullet"/>
    <w:basedOn w:val="Normal"/>
    <w:link w:val="bulletChar"/>
    <w:qFormat/>
    <w:rsid w:val="00932822"/>
    <w:pPr>
      <w:numPr>
        <w:numId w:val="42"/>
      </w:numPr>
      <w:spacing w:after="120"/>
    </w:pPr>
    <w:rPr>
      <w:lang w:eastAsia="en-AU"/>
    </w:rPr>
  </w:style>
  <w:style w:type="character" w:customStyle="1" w:styleId="bulletChar">
    <w:name w:val="bullet Char"/>
    <w:link w:val="bullet"/>
    <w:rsid w:val="00932822"/>
    <w:rPr>
      <w:rFonts w:ascii="Calibri" w:hAnsi="Calibri"/>
      <w:sz w:val="22"/>
      <w:szCs w:val="16"/>
    </w:rPr>
  </w:style>
  <w:style w:type="paragraph" w:customStyle="1" w:styleId="Appxhead2">
    <w:name w:val="Appxhead2"/>
    <w:basedOn w:val="Normal"/>
    <w:link w:val="Appxhead2Char"/>
    <w:qFormat/>
    <w:rsid w:val="000807DB"/>
    <w:pPr>
      <w:spacing w:before="240" w:after="120"/>
    </w:pPr>
    <w:rPr>
      <w:rFonts w:ascii="Arial" w:hAnsi="Arial"/>
      <w:b/>
      <w:caps/>
      <w:sz w:val="28"/>
      <w:szCs w:val="28"/>
    </w:rPr>
  </w:style>
  <w:style w:type="character" w:customStyle="1" w:styleId="Appxhead2Char">
    <w:name w:val="Appxhead2 Char"/>
    <w:link w:val="Appxhead2"/>
    <w:rsid w:val="000807DB"/>
    <w:rPr>
      <w:rFonts w:ascii="Arial" w:hAnsi="Arial"/>
      <w:b/>
      <w:caps/>
      <w:sz w:val="28"/>
      <w:szCs w:val="28"/>
      <w:lang w:eastAsia="en-US"/>
    </w:rPr>
  </w:style>
  <w:style w:type="paragraph" w:customStyle="1" w:styleId="Appxhead3">
    <w:name w:val="Appxhead3"/>
    <w:basedOn w:val="Normal"/>
    <w:link w:val="Appxhead3Char"/>
    <w:qFormat/>
    <w:rsid w:val="000807DB"/>
    <w:pPr>
      <w:spacing w:before="120" w:after="60"/>
    </w:pPr>
    <w:rPr>
      <w:rFonts w:ascii="Arial" w:hAnsi="Arial" w:cs="Arial"/>
      <w:b/>
      <w:smallCaps/>
    </w:rPr>
  </w:style>
  <w:style w:type="character" w:customStyle="1" w:styleId="Appxhead3Char">
    <w:name w:val="Appxhead3 Char"/>
    <w:link w:val="Appxhead3"/>
    <w:rsid w:val="000807DB"/>
    <w:rPr>
      <w:rFonts w:ascii="Arial" w:hAnsi="Arial" w:cs="Arial"/>
      <w:b/>
      <w:smallCaps/>
      <w:sz w:val="24"/>
      <w:szCs w:val="16"/>
      <w:lang w:eastAsia="en-US"/>
    </w:rPr>
  </w:style>
  <w:style w:type="paragraph" w:customStyle="1" w:styleId="headerhead">
    <w:name w:val="headerhead"/>
    <w:basedOn w:val="Normal"/>
    <w:link w:val="headerheadChar"/>
    <w:qFormat/>
    <w:rsid w:val="00371BF4"/>
    <w:pPr>
      <w:jc w:val="center"/>
    </w:pPr>
    <w:rPr>
      <w:rFonts w:cs="Arial"/>
      <w:b/>
      <w:caps/>
    </w:rPr>
  </w:style>
  <w:style w:type="character" w:customStyle="1" w:styleId="headerheadChar">
    <w:name w:val="headerhead Char"/>
    <w:link w:val="headerhead"/>
    <w:rsid w:val="00371BF4"/>
    <w:rPr>
      <w:rFonts w:ascii="Calibri" w:hAnsi="Calibri" w:cs="Arial"/>
      <w:b/>
      <w:caps/>
      <w:sz w:val="24"/>
      <w:szCs w:val="16"/>
      <w:lang w:eastAsia="en-US"/>
    </w:rPr>
  </w:style>
  <w:style w:type="paragraph" w:customStyle="1" w:styleId="Tableheader">
    <w:name w:val="Table header"/>
    <w:basedOn w:val="Normal"/>
    <w:uiPriority w:val="6"/>
    <w:rsid w:val="00332E05"/>
    <w:pPr>
      <w:keepNext/>
      <w:keepLines/>
      <w:spacing w:before="120" w:after="60" w:line="264" w:lineRule="auto"/>
    </w:pPr>
    <w:rPr>
      <w:rFonts w:eastAsia="Calibri"/>
      <w:color w:val="FFFFFF"/>
      <w:spacing w:val="2"/>
      <w:sz w:val="20"/>
      <w:szCs w:val="21"/>
    </w:rPr>
  </w:style>
  <w:style w:type="paragraph" w:customStyle="1" w:styleId="Tabletext0">
    <w:name w:val="Table text"/>
    <w:basedOn w:val="Normal"/>
    <w:uiPriority w:val="6"/>
    <w:rsid w:val="00332E05"/>
    <w:pPr>
      <w:spacing w:before="60" w:after="60" w:line="264" w:lineRule="auto"/>
    </w:pPr>
    <w:rPr>
      <w:spacing w:val="2"/>
      <w:sz w:val="17"/>
      <w:szCs w:val="20"/>
      <w:lang w:eastAsia="en-AU"/>
    </w:rPr>
  </w:style>
  <w:style w:type="paragraph" w:customStyle="1" w:styleId="NormalSF">
    <w:name w:val="Normal SF"/>
    <w:basedOn w:val="Normal"/>
    <w:qFormat/>
    <w:rsid w:val="00D849FC"/>
    <w:pPr>
      <w:keepLines/>
      <w:spacing w:before="120" w:after="120"/>
    </w:pPr>
    <w:rPr>
      <w:szCs w:val="24"/>
      <w:lang w:val="en-US" w:eastAsia="en-AU"/>
    </w:rPr>
  </w:style>
  <w:style w:type="paragraph" w:customStyle="1" w:styleId="HeadingSF3">
    <w:name w:val="Heading SF3"/>
    <w:basedOn w:val="Normal"/>
    <w:next w:val="NormalSF"/>
    <w:qFormat/>
    <w:rsid w:val="00D849FC"/>
    <w:pPr>
      <w:keepNext/>
      <w:keepLines/>
      <w:tabs>
        <w:tab w:val="left" w:pos="1134"/>
      </w:tabs>
      <w:spacing w:before="120" w:after="120"/>
      <w:outlineLvl w:val="2"/>
    </w:pPr>
    <w:rPr>
      <w:b/>
      <w:i/>
      <w:color w:val="1F497D"/>
      <w:kern w:val="32"/>
      <w:szCs w:val="27"/>
      <w:lang w:val="en-US" w:eastAsia="en-AU"/>
    </w:rPr>
  </w:style>
  <w:style w:type="paragraph" w:customStyle="1" w:styleId="NormalSFLeadIn">
    <w:name w:val="Normal SF Lead In"/>
    <w:basedOn w:val="NormalSF"/>
    <w:qFormat/>
    <w:rsid w:val="00D849FC"/>
    <w:pPr>
      <w:keepNext/>
    </w:pPr>
  </w:style>
  <w:style w:type="paragraph" w:customStyle="1" w:styleId="SFDot1">
    <w:name w:val="SF Dot 1"/>
    <w:basedOn w:val="NormalSF"/>
    <w:qFormat/>
    <w:rsid w:val="00D849FC"/>
    <w:pPr>
      <w:numPr>
        <w:numId w:val="45"/>
      </w:numPr>
      <w:tabs>
        <w:tab w:val="left" w:pos="567"/>
      </w:tabs>
    </w:pPr>
  </w:style>
  <w:style w:type="table" w:customStyle="1" w:styleId="CVtable1">
    <w:name w:val="CV table1"/>
    <w:basedOn w:val="TableNormal"/>
    <w:next w:val="TableGrid"/>
    <w:rsid w:val="003C2C64"/>
    <w:rPr>
      <w:rFonts w:ascii="Calibri" w:eastAsia="Time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2870"/>
    <w:rPr>
      <w:color w:val="605E5C"/>
      <w:shd w:val="clear" w:color="auto" w:fill="E1DFDD"/>
    </w:rPr>
  </w:style>
  <w:style w:type="paragraph" w:customStyle="1" w:styleId="ModelTableBody">
    <w:name w:val="Model Table Body"/>
    <w:basedOn w:val="Normal"/>
    <w:link w:val="ModelTableBodyChar"/>
    <w:rsid w:val="00D03549"/>
    <w:pPr>
      <w:keepLines/>
      <w:spacing w:before="20" w:after="20"/>
      <w:outlineLvl w:val="0"/>
    </w:pPr>
    <w:rPr>
      <w:rFonts w:ascii="Arial" w:hAnsi="Arial" w:cs="Arial"/>
      <w:kern w:val="28"/>
      <w:sz w:val="20"/>
      <w:szCs w:val="32"/>
      <w:lang w:eastAsia="en-AU"/>
    </w:rPr>
  </w:style>
  <w:style w:type="character" w:customStyle="1" w:styleId="ModelTableBodyChar">
    <w:name w:val="Model Table Body Char"/>
    <w:basedOn w:val="DefaultParagraphFont"/>
    <w:link w:val="ModelTableBody"/>
    <w:rsid w:val="00D03549"/>
    <w:rPr>
      <w:rFonts w:ascii="Arial" w:hAnsi="Arial" w:cs="Arial"/>
      <w:kern w:val="28"/>
      <w:szCs w:val="32"/>
    </w:rPr>
  </w:style>
  <w:style w:type="table" w:customStyle="1" w:styleId="TableGrid1">
    <w:name w:val="Table Grid1"/>
    <w:basedOn w:val="TableNormal"/>
    <w:next w:val="TableGrid"/>
    <w:uiPriority w:val="39"/>
    <w:rsid w:val="00CF2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53AD5"/>
    <w:rPr>
      <w:color w:val="605E5C"/>
      <w:shd w:val="clear" w:color="auto" w:fill="E1DFDD"/>
    </w:rPr>
  </w:style>
  <w:style w:type="paragraph" w:styleId="Revision">
    <w:name w:val="Revision"/>
    <w:hidden/>
    <w:uiPriority w:val="99"/>
    <w:semiHidden/>
    <w:rsid w:val="002E0784"/>
    <w:rPr>
      <w:rFonts w:ascii="Calibri" w:hAnsi="Calibri"/>
      <w:sz w:val="22"/>
      <w:szCs w:val="16"/>
      <w:lang w:eastAsia="en-US"/>
    </w:rPr>
  </w:style>
  <w:style w:type="character" w:styleId="UnresolvedMention">
    <w:name w:val="Unresolved Mention"/>
    <w:basedOn w:val="DefaultParagraphFont"/>
    <w:uiPriority w:val="99"/>
    <w:semiHidden/>
    <w:unhideWhenUsed/>
    <w:rsid w:val="00C66E0D"/>
    <w:rPr>
      <w:color w:val="605E5C"/>
      <w:shd w:val="clear" w:color="auto" w:fill="E1DFDD"/>
    </w:rPr>
  </w:style>
  <w:style w:type="character" w:customStyle="1" w:styleId="ReferenceChar">
    <w:name w:val="Reference Char"/>
    <w:basedOn w:val="DefaultParagraphFont"/>
    <w:link w:val="Reference"/>
    <w:rsid w:val="00B765EA"/>
    <w:rPr>
      <w:rFonts w:ascii="Calibri" w:hAnsi="Calibri"/>
      <w:b/>
      <w:bCs/>
      <w:szCs w:val="18"/>
      <w:lang w:eastAsia="en-US"/>
    </w:rPr>
  </w:style>
  <w:style w:type="character" w:customStyle="1" w:styleId="ListParagraphChar">
    <w:name w:val="List Paragraph Char"/>
    <w:aliases w:val="OLG List Paragraph Bullets Char"/>
    <w:link w:val="ListParagraph"/>
    <w:uiPriority w:val="34"/>
    <w:rsid w:val="00EE4E8B"/>
    <w:rPr>
      <w:rFonts w:ascii="Calibri" w:hAnsi="Calibri"/>
      <w:sz w:val="22"/>
      <w:szCs w:val="16"/>
      <w:lang w:eastAsia="en-US"/>
    </w:rPr>
  </w:style>
  <w:style w:type="paragraph" w:customStyle="1" w:styleId="Normal1">
    <w:name w:val="Normal1"/>
    <w:basedOn w:val="Normal"/>
    <w:next w:val="Normal"/>
    <w:qFormat/>
    <w:rsid w:val="00172BB4"/>
    <w:pPr>
      <w:keepNext/>
    </w:pPr>
    <w:rPr>
      <w:rFonts w:eastAsia="SimSun"/>
      <w:noProof/>
      <w:kern w:val="22"/>
      <w:szCs w:val="21"/>
      <w:lang w:eastAsia="en-AU"/>
    </w:rPr>
  </w:style>
  <w:style w:type="character" w:styleId="Strong">
    <w:name w:val="Strong"/>
    <w:uiPriority w:val="22"/>
    <w:qFormat/>
    <w:rsid w:val="00411D5C"/>
    <w:rPr>
      <w:b/>
      <w:bCs/>
    </w:rPr>
  </w:style>
  <w:style w:type="paragraph" w:customStyle="1" w:styleId="Bullet1">
    <w:name w:val="Bullet 1"/>
    <w:basedOn w:val="Normal"/>
    <w:link w:val="Bullet1Char"/>
    <w:qFormat/>
    <w:rsid w:val="00574DE1"/>
    <w:pPr>
      <w:numPr>
        <w:numId w:val="62"/>
      </w:numPr>
      <w:spacing w:after="60"/>
    </w:pPr>
    <w:rPr>
      <w:rFonts w:asciiTheme="minorHAnsi" w:hAnsiTheme="minorHAnsi"/>
      <w:szCs w:val="20"/>
    </w:rPr>
  </w:style>
  <w:style w:type="character" w:customStyle="1" w:styleId="Bullet1Char">
    <w:name w:val="Bullet 1 Char"/>
    <w:basedOn w:val="DefaultParagraphFont"/>
    <w:link w:val="Bullet1"/>
    <w:rsid w:val="00574DE1"/>
    <w:rPr>
      <w:rFonts w:asciiTheme="minorHAnsi" w:hAnsiTheme="minorHAnsi"/>
      <w:sz w:val="22"/>
      <w:lang w:eastAsia="en-US"/>
    </w:rPr>
  </w:style>
  <w:style w:type="character" w:customStyle="1" w:styleId="Heading2Char">
    <w:name w:val="Heading 2 Char"/>
    <w:basedOn w:val="DefaultParagraphFont"/>
    <w:link w:val="Heading2"/>
    <w:rsid w:val="009315BB"/>
    <w:rPr>
      <w:rFonts w:ascii="Arial Bold" w:hAnsi="Arial Bold"/>
      <w:b/>
      <w:bCs/>
      <w:caps/>
      <w:sz w:val="28"/>
      <w:szCs w:val="28"/>
      <w:lang w:eastAsia="en-US"/>
    </w:rPr>
  </w:style>
  <w:style w:type="paragraph" w:customStyle="1" w:styleId="isubpara">
    <w:name w:val="isubpara"/>
    <w:basedOn w:val="Normal"/>
    <w:rsid w:val="009C6C65"/>
    <w:pPr>
      <w:spacing w:before="100" w:beforeAutospacing="1" w:after="100" w:afterAutospacing="1"/>
    </w:pPr>
    <w:rPr>
      <w:rFonts w:ascii="Times New Roman" w:hAnsi="Times New Roman"/>
      <w:sz w:val="24"/>
      <w:szCs w:val="24"/>
      <w:lang w:eastAsia="en-AU"/>
    </w:rPr>
  </w:style>
  <w:style w:type="paragraph" w:customStyle="1" w:styleId="Intro">
    <w:name w:val="Intro"/>
    <w:basedOn w:val="Normal"/>
    <w:rsid w:val="00754BB2"/>
    <w:pPr>
      <w:spacing w:after="200" w:line="300" w:lineRule="exact"/>
    </w:pPr>
    <w:rPr>
      <w:rFonts w:asciiTheme="minorHAnsi" w:eastAsiaTheme="minorHAnsi" w:hAnsiTheme="minorHAnsi"/>
      <w:color w:val="E7E6E6" w:themeColor="background2"/>
      <w:w w:val="110"/>
      <w:sz w:val="25"/>
      <w:szCs w:val="24"/>
      <w:lang w:eastAsia="en-AU"/>
    </w:rPr>
  </w:style>
  <w:style w:type="paragraph" w:customStyle="1" w:styleId="Bullet3">
    <w:name w:val="Bullet 3"/>
    <w:basedOn w:val="Normal"/>
    <w:qFormat/>
    <w:rsid w:val="00064B6D"/>
    <w:pPr>
      <w:numPr>
        <w:numId w:val="81"/>
      </w:numPr>
      <w:tabs>
        <w:tab w:val="num" w:pos="360"/>
      </w:tabs>
      <w:spacing w:after="60"/>
      <w:ind w:left="993" w:hanging="276"/>
    </w:pPr>
    <w:rPr>
      <w:rFonts w:asciiTheme="minorHAnsi" w:hAnsiTheme="minorHAnsi"/>
      <w:szCs w:val="20"/>
    </w:rPr>
  </w:style>
  <w:style w:type="numbering" w:customStyle="1" w:styleId="CurrentList1">
    <w:name w:val="Current List1"/>
    <w:uiPriority w:val="99"/>
    <w:rsid w:val="00005188"/>
    <w:pPr>
      <w:numPr>
        <w:numId w:val="84"/>
      </w:numPr>
    </w:pPr>
  </w:style>
  <w:style w:type="character" w:customStyle="1" w:styleId="cf01">
    <w:name w:val="cf01"/>
    <w:basedOn w:val="DefaultParagraphFont"/>
    <w:rsid w:val="00D022E8"/>
    <w:rPr>
      <w:rFonts w:ascii="Segoe UI" w:hAnsi="Segoe UI" w:cs="Segoe UI" w:hint="default"/>
      <w:i/>
      <w:iCs/>
      <w:color w:val="00B0F0"/>
      <w:sz w:val="18"/>
      <w:szCs w:val="18"/>
    </w:rPr>
  </w:style>
  <w:style w:type="paragraph" w:customStyle="1" w:styleId="pf0">
    <w:name w:val="pf0"/>
    <w:basedOn w:val="Normal"/>
    <w:rsid w:val="00835D5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6975">
      <w:bodyDiv w:val="1"/>
      <w:marLeft w:val="0"/>
      <w:marRight w:val="0"/>
      <w:marTop w:val="0"/>
      <w:marBottom w:val="0"/>
      <w:divBdr>
        <w:top w:val="none" w:sz="0" w:space="0" w:color="auto"/>
        <w:left w:val="none" w:sz="0" w:space="0" w:color="auto"/>
        <w:bottom w:val="none" w:sz="0" w:space="0" w:color="auto"/>
        <w:right w:val="none" w:sz="0" w:space="0" w:color="auto"/>
      </w:divBdr>
    </w:div>
    <w:div w:id="35855055">
      <w:bodyDiv w:val="1"/>
      <w:marLeft w:val="0"/>
      <w:marRight w:val="0"/>
      <w:marTop w:val="0"/>
      <w:marBottom w:val="0"/>
      <w:divBdr>
        <w:top w:val="none" w:sz="0" w:space="0" w:color="auto"/>
        <w:left w:val="none" w:sz="0" w:space="0" w:color="auto"/>
        <w:bottom w:val="none" w:sz="0" w:space="0" w:color="auto"/>
        <w:right w:val="none" w:sz="0" w:space="0" w:color="auto"/>
      </w:divBdr>
    </w:div>
    <w:div w:id="66459329">
      <w:bodyDiv w:val="1"/>
      <w:marLeft w:val="0"/>
      <w:marRight w:val="0"/>
      <w:marTop w:val="0"/>
      <w:marBottom w:val="0"/>
      <w:divBdr>
        <w:top w:val="none" w:sz="0" w:space="0" w:color="auto"/>
        <w:left w:val="none" w:sz="0" w:space="0" w:color="auto"/>
        <w:bottom w:val="none" w:sz="0" w:space="0" w:color="auto"/>
        <w:right w:val="none" w:sz="0" w:space="0" w:color="auto"/>
      </w:divBdr>
    </w:div>
    <w:div w:id="95176968">
      <w:bodyDiv w:val="1"/>
      <w:marLeft w:val="0"/>
      <w:marRight w:val="0"/>
      <w:marTop w:val="0"/>
      <w:marBottom w:val="0"/>
      <w:divBdr>
        <w:top w:val="none" w:sz="0" w:space="0" w:color="auto"/>
        <w:left w:val="none" w:sz="0" w:space="0" w:color="auto"/>
        <w:bottom w:val="none" w:sz="0" w:space="0" w:color="auto"/>
        <w:right w:val="none" w:sz="0" w:space="0" w:color="auto"/>
      </w:divBdr>
    </w:div>
    <w:div w:id="134029177">
      <w:bodyDiv w:val="1"/>
      <w:marLeft w:val="0"/>
      <w:marRight w:val="0"/>
      <w:marTop w:val="0"/>
      <w:marBottom w:val="0"/>
      <w:divBdr>
        <w:top w:val="none" w:sz="0" w:space="0" w:color="auto"/>
        <w:left w:val="none" w:sz="0" w:space="0" w:color="auto"/>
        <w:bottom w:val="none" w:sz="0" w:space="0" w:color="auto"/>
        <w:right w:val="none" w:sz="0" w:space="0" w:color="auto"/>
      </w:divBdr>
    </w:div>
    <w:div w:id="217860918">
      <w:bodyDiv w:val="1"/>
      <w:marLeft w:val="0"/>
      <w:marRight w:val="0"/>
      <w:marTop w:val="0"/>
      <w:marBottom w:val="0"/>
      <w:divBdr>
        <w:top w:val="none" w:sz="0" w:space="0" w:color="auto"/>
        <w:left w:val="none" w:sz="0" w:space="0" w:color="auto"/>
        <w:bottom w:val="none" w:sz="0" w:space="0" w:color="auto"/>
        <w:right w:val="none" w:sz="0" w:space="0" w:color="auto"/>
      </w:divBdr>
    </w:div>
    <w:div w:id="229735070">
      <w:bodyDiv w:val="1"/>
      <w:marLeft w:val="0"/>
      <w:marRight w:val="0"/>
      <w:marTop w:val="0"/>
      <w:marBottom w:val="0"/>
      <w:divBdr>
        <w:top w:val="none" w:sz="0" w:space="0" w:color="auto"/>
        <w:left w:val="none" w:sz="0" w:space="0" w:color="auto"/>
        <w:bottom w:val="none" w:sz="0" w:space="0" w:color="auto"/>
        <w:right w:val="none" w:sz="0" w:space="0" w:color="auto"/>
      </w:divBdr>
    </w:div>
    <w:div w:id="249192842">
      <w:bodyDiv w:val="1"/>
      <w:marLeft w:val="0"/>
      <w:marRight w:val="0"/>
      <w:marTop w:val="0"/>
      <w:marBottom w:val="0"/>
      <w:divBdr>
        <w:top w:val="none" w:sz="0" w:space="0" w:color="auto"/>
        <w:left w:val="none" w:sz="0" w:space="0" w:color="auto"/>
        <w:bottom w:val="none" w:sz="0" w:space="0" w:color="auto"/>
        <w:right w:val="none" w:sz="0" w:space="0" w:color="auto"/>
      </w:divBdr>
    </w:div>
    <w:div w:id="280306616">
      <w:bodyDiv w:val="1"/>
      <w:marLeft w:val="0"/>
      <w:marRight w:val="0"/>
      <w:marTop w:val="0"/>
      <w:marBottom w:val="0"/>
      <w:divBdr>
        <w:top w:val="none" w:sz="0" w:space="0" w:color="auto"/>
        <w:left w:val="none" w:sz="0" w:space="0" w:color="auto"/>
        <w:bottom w:val="none" w:sz="0" w:space="0" w:color="auto"/>
        <w:right w:val="none" w:sz="0" w:space="0" w:color="auto"/>
      </w:divBdr>
      <w:divsChild>
        <w:div w:id="921449643">
          <w:marLeft w:val="0"/>
          <w:marRight w:val="0"/>
          <w:marTop w:val="0"/>
          <w:marBottom w:val="0"/>
          <w:divBdr>
            <w:top w:val="none" w:sz="0" w:space="0" w:color="auto"/>
            <w:left w:val="none" w:sz="0" w:space="0" w:color="auto"/>
            <w:bottom w:val="none" w:sz="0" w:space="0" w:color="auto"/>
            <w:right w:val="none" w:sz="0" w:space="0" w:color="auto"/>
          </w:divBdr>
        </w:div>
      </w:divsChild>
    </w:div>
    <w:div w:id="295138026">
      <w:bodyDiv w:val="1"/>
      <w:marLeft w:val="0"/>
      <w:marRight w:val="0"/>
      <w:marTop w:val="0"/>
      <w:marBottom w:val="0"/>
      <w:divBdr>
        <w:top w:val="none" w:sz="0" w:space="0" w:color="auto"/>
        <w:left w:val="none" w:sz="0" w:space="0" w:color="auto"/>
        <w:bottom w:val="none" w:sz="0" w:space="0" w:color="auto"/>
        <w:right w:val="none" w:sz="0" w:space="0" w:color="auto"/>
      </w:divBdr>
    </w:div>
    <w:div w:id="329531022">
      <w:bodyDiv w:val="1"/>
      <w:marLeft w:val="0"/>
      <w:marRight w:val="0"/>
      <w:marTop w:val="0"/>
      <w:marBottom w:val="0"/>
      <w:divBdr>
        <w:top w:val="none" w:sz="0" w:space="0" w:color="auto"/>
        <w:left w:val="none" w:sz="0" w:space="0" w:color="auto"/>
        <w:bottom w:val="none" w:sz="0" w:space="0" w:color="auto"/>
        <w:right w:val="none" w:sz="0" w:space="0" w:color="auto"/>
      </w:divBdr>
    </w:div>
    <w:div w:id="458107930">
      <w:bodyDiv w:val="1"/>
      <w:marLeft w:val="0"/>
      <w:marRight w:val="0"/>
      <w:marTop w:val="0"/>
      <w:marBottom w:val="0"/>
      <w:divBdr>
        <w:top w:val="none" w:sz="0" w:space="0" w:color="auto"/>
        <w:left w:val="none" w:sz="0" w:space="0" w:color="auto"/>
        <w:bottom w:val="none" w:sz="0" w:space="0" w:color="auto"/>
        <w:right w:val="none" w:sz="0" w:space="0" w:color="auto"/>
      </w:divBdr>
    </w:div>
    <w:div w:id="491608231">
      <w:bodyDiv w:val="1"/>
      <w:marLeft w:val="0"/>
      <w:marRight w:val="0"/>
      <w:marTop w:val="0"/>
      <w:marBottom w:val="0"/>
      <w:divBdr>
        <w:top w:val="none" w:sz="0" w:space="0" w:color="auto"/>
        <w:left w:val="none" w:sz="0" w:space="0" w:color="auto"/>
        <w:bottom w:val="none" w:sz="0" w:space="0" w:color="auto"/>
        <w:right w:val="none" w:sz="0" w:space="0" w:color="auto"/>
      </w:divBdr>
    </w:div>
    <w:div w:id="520360896">
      <w:bodyDiv w:val="1"/>
      <w:marLeft w:val="0"/>
      <w:marRight w:val="0"/>
      <w:marTop w:val="0"/>
      <w:marBottom w:val="0"/>
      <w:divBdr>
        <w:top w:val="none" w:sz="0" w:space="0" w:color="auto"/>
        <w:left w:val="none" w:sz="0" w:space="0" w:color="auto"/>
        <w:bottom w:val="none" w:sz="0" w:space="0" w:color="auto"/>
        <w:right w:val="none" w:sz="0" w:space="0" w:color="auto"/>
      </w:divBdr>
    </w:div>
    <w:div w:id="534657646">
      <w:bodyDiv w:val="1"/>
      <w:marLeft w:val="0"/>
      <w:marRight w:val="0"/>
      <w:marTop w:val="0"/>
      <w:marBottom w:val="0"/>
      <w:divBdr>
        <w:top w:val="none" w:sz="0" w:space="0" w:color="auto"/>
        <w:left w:val="none" w:sz="0" w:space="0" w:color="auto"/>
        <w:bottom w:val="none" w:sz="0" w:space="0" w:color="auto"/>
        <w:right w:val="none" w:sz="0" w:space="0" w:color="auto"/>
      </w:divBdr>
    </w:div>
    <w:div w:id="560991733">
      <w:bodyDiv w:val="1"/>
      <w:marLeft w:val="0"/>
      <w:marRight w:val="0"/>
      <w:marTop w:val="0"/>
      <w:marBottom w:val="0"/>
      <w:divBdr>
        <w:top w:val="none" w:sz="0" w:space="0" w:color="auto"/>
        <w:left w:val="none" w:sz="0" w:space="0" w:color="auto"/>
        <w:bottom w:val="none" w:sz="0" w:space="0" w:color="auto"/>
        <w:right w:val="none" w:sz="0" w:space="0" w:color="auto"/>
      </w:divBdr>
    </w:div>
    <w:div w:id="589124054">
      <w:bodyDiv w:val="1"/>
      <w:marLeft w:val="0"/>
      <w:marRight w:val="0"/>
      <w:marTop w:val="0"/>
      <w:marBottom w:val="0"/>
      <w:divBdr>
        <w:top w:val="none" w:sz="0" w:space="0" w:color="auto"/>
        <w:left w:val="none" w:sz="0" w:space="0" w:color="auto"/>
        <w:bottom w:val="none" w:sz="0" w:space="0" w:color="auto"/>
        <w:right w:val="none" w:sz="0" w:space="0" w:color="auto"/>
      </w:divBdr>
    </w:div>
    <w:div w:id="594945585">
      <w:bodyDiv w:val="1"/>
      <w:marLeft w:val="0"/>
      <w:marRight w:val="0"/>
      <w:marTop w:val="0"/>
      <w:marBottom w:val="0"/>
      <w:divBdr>
        <w:top w:val="none" w:sz="0" w:space="0" w:color="auto"/>
        <w:left w:val="none" w:sz="0" w:space="0" w:color="auto"/>
        <w:bottom w:val="none" w:sz="0" w:space="0" w:color="auto"/>
        <w:right w:val="none" w:sz="0" w:space="0" w:color="auto"/>
      </w:divBdr>
    </w:div>
    <w:div w:id="623510503">
      <w:bodyDiv w:val="1"/>
      <w:marLeft w:val="0"/>
      <w:marRight w:val="0"/>
      <w:marTop w:val="0"/>
      <w:marBottom w:val="0"/>
      <w:divBdr>
        <w:top w:val="none" w:sz="0" w:space="0" w:color="auto"/>
        <w:left w:val="none" w:sz="0" w:space="0" w:color="auto"/>
        <w:bottom w:val="none" w:sz="0" w:space="0" w:color="auto"/>
        <w:right w:val="none" w:sz="0" w:space="0" w:color="auto"/>
      </w:divBdr>
    </w:div>
    <w:div w:id="677852107">
      <w:bodyDiv w:val="1"/>
      <w:marLeft w:val="0"/>
      <w:marRight w:val="0"/>
      <w:marTop w:val="0"/>
      <w:marBottom w:val="0"/>
      <w:divBdr>
        <w:top w:val="none" w:sz="0" w:space="0" w:color="auto"/>
        <w:left w:val="none" w:sz="0" w:space="0" w:color="auto"/>
        <w:bottom w:val="none" w:sz="0" w:space="0" w:color="auto"/>
        <w:right w:val="none" w:sz="0" w:space="0" w:color="auto"/>
      </w:divBdr>
    </w:div>
    <w:div w:id="689989760">
      <w:bodyDiv w:val="1"/>
      <w:marLeft w:val="0"/>
      <w:marRight w:val="0"/>
      <w:marTop w:val="0"/>
      <w:marBottom w:val="0"/>
      <w:divBdr>
        <w:top w:val="none" w:sz="0" w:space="0" w:color="auto"/>
        <w:left w:val="none" w:sz="0" w:space="0" w:color="auto"/>
        <w:bottom w:val="none" w:sz="0" w:space="0" w:color="auto"/>
        <w:right w:val="none" w:sz="0" w:space="0" w:color="auto"/>
      </w:divBdr>
    </w:div>
    <w:div w:id="695080530">
      <w:bodyDiv w:val="1"/>
      <w:marLeft w:val="0"/>
      <w:marRight w:val="0"/>
      <w:marTop w:val="0"/>
      <w:marBottom w:val="0"/>
      <w:divBdr>
        <w:top w:val="none" w:sz="0" w:space="0" w:color="auto"/>
        <w:left w:val="none" w:sz="0" w:space="0" w:color="auto"/>
        <w:bottom w:val="none" w:sz="0" w:space="0" w:color="auto"/>
        <w:right w:val="none" w:sz="0" w:space="0" w:color="auto"/>
      </w:divBdr>
    </w:div>
    <w:div w:id="702093123">
      <w:bodyDiv w:val="1"/>
      <w:marLeft w:val="0"/>
      <w:marRight w:val="0"/>
      <w:marTop w:val="0"/>
      <w:marBottom w:val="0"/>
      <w:divBdr>
        <w:top w:val="none" w:sz="0" w:space="0" w:color="auto"/>
        <w:left w:val="none" w:sz="0" w:space="0" w:color="auto"/>
        <w:bottom w:val="none" w:sz="0" w:space="0" w:color="auto"/>
        <w:right w:val="none" w:sz="0" w:space="0" w:color="auto"/>
      </w:divBdr>
    </w:div>
    <w:div w:id="719280356">
      <w:bodyDiv w:val="1"/>
      <w:marLeft w:val="0"/>
      <w:marRight w:val="0"/>
      <w:marTop w:val="0"/>
      <w:marBottom w:val="0"/>
      <w:divBdr>
        <w:top w:val="none" w:sz="0" w:space="0" w:color="auto"/>
        <w:left w:val="none" w:sz="0" w:space="0" w:color="auto"/>
        <w:bottom w:val="none" w:sz="0" w:space="0" w:color="auto"/>
        <w:right w:val="none" w:sz="0" w:space="0" w:color="auto"/>
      </w:divBdr>
    </w:div>
    <w:div w:id="751128063">
      <w:bodyDiv w:val="1"/>
      <w:marLeft w:val="0"/>
      <w:marRight w:val="0"/>
      <w:marTop w:val="0"/>
      <w:marBottom w:val="0"/>
      <w:divBdr>
        <w:top w:val="none" w:sz="0" w:space="0" w:color="auto"/>
        <w:left w:val="none" w:sz="0" w:space="0" w:color="auto"/>
        <w:bottom w:val="none" w:sz="0" w:space="0" w:color="auto"/>
        <w:right w:val="none" w:sz="0" w:space="0" w:color="auto"/>
      </w:divBdr>
    </w:div>
    <w:div w:id="882669541">
      <w:bodyDiv w:val="1"/>
      <w:marLeft w:val="0"/>
      <w:marRight w:val="0"/>
      <w:marTop w:val="0"/>
      <w:marBottom w:val="0"/>
      <w:divBdr>
        <w:top w:val="none" w:sz="0" w:space="0" w:color="auto"/>
        <w:left w:val="none" w:sz="0" w:space="0" w:color="auto"/>
        <w:bottom w:val="none" w:sz="0" w:space="0" w:color="auto"/>
        <w:right w:val="none" w:sz="0" w:space="0" w:color="auto"/>
      </w:divBdr>
    </w:div>
    <w:div w:id="945965298">
      <w:bodyDiv w:val="1"/>
      <w:marLeft w:val="0"/>
      <w:marRight w:val="0"/>
      <w:marTop w:val="0"/>
      <w:marBottom w:val="0"/>
      <w:divBdr>
        <w:top w:val="none" w:sz="0" w:space="0" w:color="auto"/>
        <w:left w:val="none" w:sz="0" w:space="0" w:color="auto"/>
        <w:bottom w:val="none" w:sz="0" w:space="0" w:color="auto"/>
        <w:right w:val="none" w:sz="0" w:space="0" w:color="auto"/>
      </w:divBdr>
    </w:div>
    <w:div w:id="955021173">
      <w:bodyDiv w:val="1"/>
      <w:marLeft w:val="0"/>
      <w:marRight w:val="0"/>
      <w:marTop w:val="0"/>
      <w:marBottom w:val="0"/>
      <w:divBdr>
        <w:top w:val="none" w:sz="0" w:space="0" w:color="auto"/>
        <w:left w:val="none" w:sz="0" w:space="0" w:color="auto"/>
        <w:bottom w:val="none" w:sz="0" w:space="0" w:color="auto"/>
        <w:right w:val="none" w:sz="0" w:space="0" w:color="auto"/>
      </w:divBdr>
    </w:div>
    <w:div w:id="963849465">
      <w:bodyDiv w:val="1"/>
      <w:marLeft w:val="0"/>
      <w:marRight w:val="0"/>
      <w:marTop w:val="0"/>
      <w:marBottom w:val="0"/>
      <w:divBdr>
        <w:top w:val="none" w:sz="0" w:space="0" w:color="auto"/>
        <w:left w:val="none" w:sz="0" w:space="0" w:color="auto"/>
        <w:bottom w:val="none" w:sz="0" w:space="0" w:color="auto"/>
        <w:right w:val="none" w:sz="0" w:space="0" w:color="auto"/>
      </w:divBdr>
    </w:div>
    <w:div w:id="964506182">
      <w:bodyDiv w:val="1"/>
      <w:marLeft w:val="0"/>
      <w:marRight w:val="0"/>
      <w:marTop w:val="0"/>
      <w:marBottom w:val="0"/>
      <w:divBdr>
        <w:top w:val="none" w:sz="0" w:space="0" w:color="auto"/>
        <w:left w:val="none" w:sz="0" w:space="0" w:color="auto"/>
        <w:bottom w:val="none" w:sz="0" w:space="0" w:color="auto"/>
        <w:right w:val="none" w:sz="0" w:space="0" w:color="auto"/>
      </w:divBdr>
    </w:div>
    <w:div w:id="968820175">
      <w:bodyDiv w:val="1"/>
      <w:marLeft w:val="0"/>
      <w:marRight w:val="0"/>
      <w:marTop w:val="0"/>
      <w:marBottom w:val="0"/>
      <w:divBdr>
        <w:top w:val="none" w:sz="0" w:space="0" w:color="auto"/>
        <w:left w:val="none" w:sz="0" w:space="0" w:color="auto"/>
        <w:bottom w:val="none" w:sz="0" w:space="0" w:color="auto"/>
        <w:right w:val="none" w:sz="0" w:space="0" w:color="auto"/>
      </w:divBdr>
    </w:div>
    <w:div w:id="1024818395">
      <w:bodyDiv w:val="1"/>
      <w:marLeft w:val="0"/>
      <w:marRight w:val="0"/>
      <w:marTop w:val="0"/>
      <w:marBottom w:val="0"/>
      <w:divBdr>
        <w:top w:val="none" w:sz="0" w:space="0" w:color="auto"/>
        <w:left w:val="none" w:sz="0" w:space="0" w:color="auto"/>
        <w:bottom w:val="none" w:sz="0" w:space="0" w:color="auto"/>
        <w:right w:val="none" w:sz="0" w:space="0" w:color="auto"/>
      </w:divBdr>
    </w:div>
    <w:div w:id="1042442348">
      <w:bodyDiv w:val="1"/>
      <w:marLeft w:val="0"/>
      <w:marRight w:val="0"/>
      <w:marTop w:val="0"/>
      <w:marBottom w:val="0"/>
      <w:divBdr>
        <w:top w:val="none" w:sz="0" w:space="0" w:color="auto"/>
        <w:left w:val="none" w:sz="0" w:space="0" w:color="auto"/>
        <w:bottom w:val="none" w:sz="0" w:space="0" w:color="auto"/>
        <w:right w:val="none" w:sz="0" w:space="0" w:color="auto"/>
      </w:divBdr>
    </w:div>
    <w:div w:id="1060637142">
      <w:bodyDiv w:val="1"/>
      <w:marLeft w:val="0"/>
      <w:marRight w:val="0"/>
      <w:marTop w:val="0"/>
      <w:marBottom w:val="0"/>
      <w:divBdr>
        <w:top w:val="none" w:sz="0" w:space="0" w:color="auto"/>
        <w:left w:val="none" w:sz="0" w:space="0" w:color="auto"/>
        <w:bottom w:val="none" w:sz="0" w:space="0" w:color="auto"/>
        <w:right w:val="none" w:sz="0" w:space="0" w:color="auto"/>
      </w:divBdr>
    </w:div>
    <w:div w:id="1073771518">
      <w:bodyDiv w:val="1"/>
      <w:marLeft w:val="0"/>
      <w:marRight w:val="0"/>
      <w:marTop w:val="0"/>
      <w:marBottom w:val="0"/>
      <w:divBdr>
        <w:top w:val="none" w:sz="0" w:space="0" w:color="auto"/>
        <w:left w:val="none" w:sz="0" w:space="0" w:color="auto"/>
        <w:bottom w:val="none" w:sz="0" w:space="0" w:color="auto"/>
        <w:right w:val="none" w:sz="0" w:space="0" w:color="auto"/>
      </w:divBdr>
      <w:divsChild>
        <w:div w:id="1718310039">
          <w:marLeft w:val="0"/>
          <w:marRight w:val="0"/>
          <w:marTop w:val="0"/>
          <w:marBottom w:val="0"/>
          <w:divBdr>
            <w:top w:val="none" w:sz="0" w:space="0" w:color="auto"/>
            <w:left w:val="none" w:sz="0" w:space="0" w:color="auto"/>
            <w:bottom w:val="none" w:sz="0" w:space="0" w:color="auto"/>
            <w:right w:val="none" w:sz="0" w:space="0" w:color="auto"/>
          </w:divBdr>
        </w:div>
      </w:divsChild>
    </w:div>
    <w:div w:id="1100443028">
      <w:bodyDiv w:val="1"/>
      <w:marLeft w:val="0"/>
      <w:marRight w:val="0"/>
      <w:marTop w:val="0"/>
      <w:marBottom w:val="0"/>
      <w:divBdr>
        <w:top w:val="none" w:sz="0" w:space="0" w:color="auto"/>
        <w:left w:val="none" w:sz="0" w:space="0" w:color="auto"/>
        <w:bottom w:val="none" w:sz="0" w:space="0" w:color="auto"/>
        <w:right w:val="none" w:sz="0" w:space="0" w:color="auto"/>
      </w:divBdr>
    </w:div>
    <w:div w:id="1104154511">
      <w:bodyDiv w:val="1"/>
      <w:marLeft w:val="0"/>
      <w:marRight w:val="0"/>
      <w:marTop w:val="0"/>
      <w:marBottom w:val="0"/>
      <w:divBdr>
        <w:top w:val="none" w:sz="0" w:space="0" w:color="auto"/>
        <w:left w:val="none" w:sz="0" w:space="0" w:color="auto"/>
        <w:bottom w:val="none" w:sz="0" w:space="0" w:color="auto"/>
        <w:right w:val="none" w:sz="0" w:space="0" w:color="auto"/>
      </w:divBdr>
    </w:div>
    <w:div w:id="1114250389">
      <w:bodyDiv w:val="1"/>
      <w:marLeft w:val="0"/>
      <w:marRight w:val="0"/>
      <w:marTop w:val="0"/>
      <w:marBottom w:val="0"/>
      <w:divBdr>
        <w:top w:val="none" w:sz="0" w:space="0" w:color="auto"/>
        <w:left w:val="none" w:sz="0" w:space="0" w:color="auto"/>
        <w:bottom w:val="none" w:sz="0" w:space="0" w:color="auto"/>
        <w:right w:val="none" w:sz="0" w:space="0" w:color="auto"/>
      </w:divBdr>
    </w:div>
    <w:div w:id="1119186496">
      <w:bodyDiv w:val="1"/>
      <w:marLeft w:val="0"/>
      <w:marRight w:val="0"/>
      <w:marTop w:val="0"/>
      <w:marBottom w:val="0"/>
      <w:divBdr>
        <w:top w:val="none" w:sz="0" w:space="0" w:color="auto"/>
        <w:left w:val="none" w:sz="0" w:space="0" w:color="auto"/>
        <w:bottom w:val="none" w:sz="0" w:space="0" w:color="auto"/>
        <w:right w:val="none" w:sz="0" w:space="0" w:color="auto"/>
      </w:divBdr>
    </w:div>
    <w:div w:id="1133013857">
      <w:bodyDiv w:val="1"/>
      <w:marLeft w:val="0"/>
      <w:marRight w:val="0"/>
      <w:marTop w:val="0"/>
      <w:marBottom w:val="0"/>
      <w:divBdr>
        <w:top w:val="none" w:sz="0" w:space="0" w:color="auto"/>
        <w:left w:val="none" w:sz="0" w:space="0" w:color="auto"/>
        <w:bottom w:val="none" w:sz="0" w:space="0" w:color="auto"/>
        <w:right w:val="none" w:sz="0" w:space="0" w:color="auto"/>
      </w:divBdr>
    </w:div>
    <w:div w:id="1159224404">
      <w:bodyDiv w:val="1"/>
      <w:marLeft w:val="0"/>
      <w:marRight w:val="0"/>
      <w:marTop w:val="0"/>
      <w:marBottom w:val="0"/>
      <w:divBdr>
        <w:top w:val="none" w:sz="0" w:space="0" w:color="auto"/>
        <w:left w:val="none" w:sz="0" w:space="0" w:color="auto"/>
        <w:bottom w:val="none" w:sz="0" w:space="0" w:color="auto"/>
        <w:right w:val="none" w:sz="0" w:space="0" w:color="auto"/>
      </w:divBdr>
    </w:div>
    <w:div w:id="1195575639">
      <w:bodyDiv w:val="1"/>
      <w:marLeft w:val="0"/>
      <w:marRight w:val="0"/>
      <w:marTop w:val="0"/>
      <w:marBottom w:val="0"/>
      <w:divBdr>
        <w:top w:val="none" w:sz="0" w:space="0" w:color="auto"/>
        <w:left w:val="none" w:sz="0" w:space="0" w:color="auto"/>
        <w:bottom w:val="none" w:sz="0" w:space="0" w:color="auto"/>
        <w:right w:val="none" w:sz="0" w:space="0" w:color="auto"/>
      </w:divBdr>
    </w:div>
    <w:div w:id="1262252856">
      <w:bodyDiv w:val="1"/>
      <w:marLeft w:val="0"/>
      <w:marRight w:val="0"/>
      <w:marTop w:val="0"/>
      <w:marBottom w:val="0"/>
      <w:divBdr>
        <w:top w:val="none" w:sz="0" w:space="0" w:color="auto"/>
        <w:left w:val="none" w:sz="0" w:space="0" w:color="auto"/>
        <w:bottom w:val="none" w:sz="0" w:space="0" w:color="auto"/>
        <w:right w:val="none" w:sz="0" w:space="0" w:color="auto"/>
      </w:divBdr>
    </w:div>
    <w:div w:id="1274362948">
      <w:bodyDiv w:val="1"/>
      <w:marLeft w:val="0"/>
      <w:marRight w:val="0"/>
      <w:marTop w:val="0"/>
      <w:marBottom w:val="0"/>
      <w:divBdr>
        <w:top w:val="none" w:sz="0" w:space="0" w:color="auto"/>
        <w:left w:val="none" w:sz="0" w:space="0" w:color="auto"/>
        <w:bottom w:val="none" w:sz="0" w:space="0" w:color="auto"/>
        <w:right w:val="none" w:sz="0" w:space="0" w:color="auto"/>
      </w:divBdr>
    </w:div>
    <w:div w:id="1322192981">
      <w:bodyDiv w:val="1"/>
      <w:marLeft w:val="0"/>
      <w:marRight w:val="0"/>
      <w:marTop w:val="0"/>
      <w:marBottom w:val="0"/>
      <w:divBdr>
        <w:top w:val="none" w:sz="0" w:space="0" w:color="auto"/>
        <w:left w:val="none" w:sz="0" w:space="0" w:color="auto"/>
        <w:bottom w:val="none" w:sz="0" w:space="0" w:color="auto"/>
        <w:right w:val="none" w:sz="0" w:space="0" w:color="auto"/>
      </w:divBdr>
    </w:div>
    <w:div w:id="1344282014">
      <w:bodyDiv w:val="1"/>
      <w:marLeft w:val="0"/>
      <w:marRight w:val="0"/>
      <w:marTop w:val="0"/>
      <w:marBottom w:val="0"/>
      <w:divBdr>
        <w:top w:val="none" w:sz="0" w:space="0" w:color="auto"/>
        <w:left w:val="none" w:sz="0" w:space="0" w:color="auto"/>
        <w:bottom w:val="none" w:sz="0" w:space="0" w:color="auto"/>
        <w:right w:val="none" w:sz="0" w:space="0" w:color="auto"/>
      </w:divBdr>
    </w:div>
    <w:div w:id="1458067554">
      <w:bodyDiv w:val="1"/>
      <w:marLeft w:val="0"/>
      <w:marRight w:val="0"/>
      <w:marTop w:val="0"/>
      <w:marBottom w:val="0"/>
      <w:divBdr>
        <w:top w:val="none" w:sz="0" w:space="0" w:color="auto"/>
        <w:left w:val="none" w:sz="0" w:space="0" w:color="auto"/>
        <w:bottom w:val="none" w:sz="0" w:space="0" w:color="auto"/>
        <w:right w:val="none" w:sz="0" w:space="0" w:color="auto"/>
      </w:divBdr>
    </w:div>
    <w:div w:id="1487161616">
      <w:bodyDiv w:val="1"/>
      <w:marLeft w:val="0"/>
      <w:marRight w:val="0"/>
      <w:marTop w:val="0"/>
      <w:marBottom w:val="0"/>
      <w:divBdr>
        <w:top w:val="none" w:sz="0" w:space="0" w:color="auto"/>
        <w:left w:val="none" w:sz="0" w:space="0" w:color="auto"/>
        <w:bottom w:val="none" w:sz="0" w:space="0" w:color="auto"/>
        <w:right w:val="none" w:sz="0" w:space="0" w:color="auto"/>
      </w:divBdr>
    </w:div>
    <w:div w:id="1488084115">
      <w:bodyDiv w:val="1"/>
      <w:marLeft w:val="0"/>
      <w:marRight w:val="0"/>
      <w:marTop w:val="0"/>
      <w:marBottom w:val="0"/>
      <w:divBdr>
        <w:top w:val="none" w:sz="0" w:space="0" w:color="auto"/>
        <w:left w:val="none" w:sz="0" w:space="0" w:color="auto"/>
        <w:bottom w:val="none" w:sz="0" w:space="0" w:color="auto"/>
        <w:right w:val="none" w:sz="0" w:space="0" w:color="auto"/>
      </w:divBdr>
    </w:div>
    <w:div w:id="1493523797">
      <w:bodyDiv w:val="1"/>
      <w:marLeft w:val="0"/>
      <w:marRight w:val="0"/>
      <w:marTop w:val="0"/>
      <w:marBottom w:val="0"/>
      <w:divBdr>
        <w:top w:val="none" w:sz="0" w:space="0" w:color="auto"/>
        <w:left w:val="none" w:sz="0" w:space="0" w:color="auto"/>
        <w:bottom w:val="none" w:sz="0" w:space="0" w:color="auto"/>
        <w:right w:val="none" w:sz="0" w:space="0" w:color="auto"/>
      </w:divBdr>
    </w:div>
    <w:div w:id="1530140797">
      <w:bodyDiv w:val="1"/>
      <w:marLeft w:val="0"/>
      <w:marRight w:val="0"/>
      <w:marTop w:val="0"/>
      <w:marBottom w:val="0"/>
      <w:divBdr>
        <w:top w:val="none" w:sz="0" w:space="0" w:color="auto"/>
        <w:left w:val="none" w:sz="0" w:space="0" w:color="auto"/>
        <w:bottom w:val="none" w:sz="0" w:space="0" w:color="auto"/>
        <w:right w:val="none" w:sz="0" w:space="0" w:color="auto"/>
      </w:divBdr>
      <w:divsChild>
        <w:div w:id="1711487953">
          <w:marLeft w:val="0"/>
          <w:marRight w:val="0"/>
          <w:marTop w:val="0"/>
          <w:marBottom w:val="0"/>
          <w:divBdr>
            <w:top w:val="none" w:sz="0" w:space="0" w:color="auto"/>
            <w:left w:val="none" w:sz="0" w:space="0" w:color="auto"/>
            <w:bottom w:val="none" w:sz="0" w:space="0" w:color="auto"/>
            <w:right w:val="none" w:sz="0" w:space="0" w:color="auto"/>
          </w:divBdr>
          <w:divsChild>
            <w:div w:id="415636141">
              <w:marLeft w:val="0"/>
              <w:marRight w:val="0"/>
              <w:marTop w:val="0"/>
              <w:marBottom w:val="0"/>
              <w:divBdr>
                <w:top w:val="none" w:sz="0" w:space="0" w:color="auto"/>
                <w:left w:val="none" w:sz="0" w:space="0" w:color="auto"/>
                <w:bottom w:val="none" w:sz="0" w:space="0" w:color="auto"/>
                <w:right w:val="none" w:sz="0" w:space="0" w:color="auto"/>
              </w:divBdr>
              <w:divsChild>
                <w:div w:id="2056464287">
                  <w:marLeft w:val="0"/>
                  <w:marRight w:val="0"/>
                  <w:marTop w:val="0"/>
                  <w:marBottom w:val="0"/>
                  <w:divBdr>
                    <w:top w:val="none" w:sz="0" w:space="0" w:color="auto"/>
                    <w:left w:val="none" w:sz="0" w:space="0" w:color="auto"/>
                    <w:bottom w:val="none" w:sz="0" w:space="0" w:color="auto"/>
                    <w:right w:val="none" w:sz="0" w:space="0" w:color="auto"/>
                  </w:divBdr>
                  <w:divsChild>
                    <w:div w:id="949361599">
                      <w:marLeft w:val="0"/>
                      <w:marRight w:val="0"/>
                      <w:marTop w:val="0"/>
                      <w:marBottom w:val="0"/>
                      <w:divBdr>
                        <w:top w:val="none" w:sz="0" w:space="0" w:color="auto"/>
                        <w:left w:val="none" w:sz="0" w:space="0" w:color="auto"/>
                        <w:bottom w:val="none" w:sz="0" w:space="0" w:color="auto"/>
                        <w:right w:val="none" w:sz="0" w:space="0" w:color="auto"/>
                      </w:divBdr>
                      <w:divsChild>
                        <w:div w:id="1108433157">
                          <w:marLeft w:val="0"/>
                          <w:marRight w:val="0"/>
                          <w:marTop w:val="0"/>
                          <w:marBottom w:val="0"/>
                          <w:divBdr>
                            <w:top w:val="single" w:sz="4" w:space="0" w:color="828282"/>
                            <w:left w:val="single" w:sz="4" w:space="0" w:color="828282"/>
                            <w:bottom w:val="single" w:sz="4" w:space="0" w:color="828282"/>
                            <w:right w:val="single" w:sz="4" w:space="0" w:color="828282"/>
                          </w:divBdr>
                          <w:divsChild>
                            <w:div w:id="1840461916">
                              <w:marLeft w:val="0"/>
                              <w:marRight w:val="0"/>
                              <w:marTop w:val="0"/>
                              <w:marBottom w:val="0"/>
                              <w:divBdr>
                                <w:top w:val="none" w:sz="0" w:space="0" w:color="auto"/>
                                <w:left w:val="none" w:sz="0" w:space="0" w:color="auto"/>
                                <w:bottom w:val="none" w:sz="0" w:space="0" w:color="auto"/>
                                <w:right w:val="none" w:sz="0" w:space="0" w:color="auto"/>
                              </w:divBdr>
                              <w:divsChild>
                                <w:div w:id="1010647471">
                                  <w:marLeft w:val="0"/>
                                  <w:marRight w:val="0"/>
                                  <w:marTop w:val="0"/>
                                  <w:marBottom w:val="0"/>
                                  <w:divBdr>
                                    <w:top w:val="none" w:sz="0" w:space="0" w:color="auto"/>
                                    <w:left w:val="none" w:sz="0" w:space="0" w:color="auto"/>
                                    <w:bottom w:val="none" w:sz="0" w:space="0" w:color="auto"/>
                                    <w:right w:val="none" w:sz="0" w:space="0" w:color="auto"/>
                                  </w:divBdr>
                                  <w:divsChild>
                                    <w:div w:id="2068608547">
                                      <w:marLeft w:val="0"/>
                                      <w:marRight w:val="0"/>
                                      <w:marTop w:val="0"/>
                                      <w:marBottom w:val="0"/>
                                      <w:divBdr>
                                        <w:top w:val="none" w:sz="0" w:space="0" w:color="auto"/>
                                        <w:left w:val="none" w:sz="0" w:space="0" w:color="auto"/>
                                        <w:bottom w:val="none" w:sz="0" w:space="0" w:color="auto"/>
                                        <w:right w:val="none" w:sz="0" w:space="0" w:color="auto"/>
                                      </w:divBdr>
                                      <w:divsChild>
                                        <w:div w:id="348793702">
                                          <w:marLeft w:val="0"/>
                                          <w:marRight w:val="0"/>
                                          <w:marTop w:val="0"/>
                                          <w:marBottom w:val="0"/>
                                          <w:divBdr>
                                            <w:top w:val="none" w:sz="0" w:space="0" w:color="auto"/>
                                            <w:left w:val="none" w:sz="0" w:space="0" w:color="auto"/>
                                            <w:bottom w:val="none" w:sz="0" w:space="0" w:color="auto"/>
                                            <w:right w:val="none" w:sz="0" w:space="0" w:color="auto"/>
                                          </w:divBdr>
                                          <w:divsChild>
                                            <w:div w:id="1819297197">
                                              <w:marLeft w:val="0"/>
                                              <w:marRight w:val="0"/>
                                              <w:marTop w:val="0"/>
                                              <w:marBottom w:val="0"/>
                                              <w:divBdr>
                                                <w:top w:val="none" w:sz="0" w:space="0" w:color="auto"/>
                                                <w:left w:val="none" w:sz="0" w:space="0" w:color="auto"/>
                                                <w:bottom w:val="none" w:sz="0" w:space="0" w:color="auto"/>
                                                <w:right w:val="none" w:sz="0" w:space="0" w:color="auto"/>
                                              </w:divBdr>
                                              <w:divsChild>
                                                <w:div w:id="1372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674453">
      <w:bodyDiv w:val="1"/>
      <w:marLeft w:val="0"/>
      <w:marRight w:val="0"/>
      <w:marTop w:val="0"/>
      <w:marBottom w:val="0"/>
      <w:divBdr>
        <w:top w:val="none" w:sz="0" w:space="0" w:color="auto"/>
        <w:left w:val="none" w:sz="0" w:space="0" w:color="auto"/>
        <w:bottom w:val="none" w:sz="0" w:space="0" w:color="auto"/>
        <w:right w:val="none" w:sz="0" w:space="0" w:color="auto"/>
      </w:divBdr>
    </w:div>
    <w:div w:id="1592201487">
      <w:bodyDiv w:val="1"/>
      <w:marLeft w:val="0"/>
      <w:marRight w:val="0"/>
      <w:marTop w:val="0"/>
      <w:marBottom w:val="0"/>
      <w:divBdr>
        <w:top w:val="none" w:sz="0" w:space="0" w:color="auto"/>
        <w:left w:val="none" w:sz="0" w:space="0" w:color="auto"/>
        <w:bottom w:val="none" w:sz="0" w:space="0" w:color="auto"/>
        <w:right w:val="none" w:sz="0" w:space="0" w:color="auto"/>
      </w:divBdr>
    </w:div>
    <w:div w:id="1598365742">
      <w:bodyDiv w:val="1"/>
      <w:marLeft w:val="0"/>
      <w:marRight w:val="0"/>
      <w:marTop w:val="0"/>
      <w:marBottom w:val="0"/>
      <w:divBdr>
        <w:top w:val="none" w:sz="0" w:space="0" w:color="auto"/>
        <w:left w:val="none" w:sz="0" w:space="0" w:color="auto"/>
        <w:bottom w:val="none" w:sz="0" w:space="0" w:color="auto"/>
        <w:right w:val="none" w:sz="0" w:space="0" w:color="auto"/>
      </w:divBdr>
    </w:div>
    <w:div w:id="1662613801">
      <w:bodyDiv w:val="1"/>
      <w:marLeft w:val="0"/>
      <w:marRight w:val="0"/>
      <w:marTop w:val="0"/>
      <w:marBottom w:val="0"/>
      <w:divBdr>
        <w:top w:val="none" w:sz="0" w:space="0" w:color="auto"/>
        <w:left w:val="none" w:sz="0" w:space="0" w:color="auto"/>
        <w:bottom w:val="none" w:sz="0" w:space="0" w:color="auto"/>
        <w:right w:val="none" w:sz="0" w:space="0" w:color="auto"/>
      </w:divBdr>
    </w:div>
    <w:div w:id="1674649681">
      <w:bodyDiv w:val="1"/>
      <w:marLeft w:val="0"/>
      <w:marRight w:val="0"/>
      <w:marTop w:val="0"/>
      <w:marBottom w:val="0"/>
      <w:divBdr>
        <w:top w:val="none" w:sz="0" w:space="0" w:color="auto"/>
        <w:left w:val="none" w:sz="0" w:space="0" w:color="auto"/>
        <w:bottom w:val="none" w:sz="0" w:space="0" w:color="auto"/>
        <w:right w:val="none" w:sz="0" w:space="0" w:color="auto"/>
      </w:divBdr>
    </w:div>
    <w:div w:id="1712608555">
      <w:bodyDiv w:val="1"/>
      <w:marLeft w:val="0"/>
      <w:marRight w:val="0"/>
      <w:marTop w:val="0"/>
      <w:marBottom w:val="0"/>
      <w:divBdr>
        <w:top w:val="none" w:sz="0" w:space="0" w:color="auto"/>
        <w:left w:val="none" w:sz="0" w:space="0" w:color="auto"/>
        <w:bottom w:val="none" w:sz="0" w:space="0" w:color="auto"/>
        <w:right w:val="none" w:sz="0" w:space="0" w:color="auto"/>
      </w:divBdr>
    </w:div>
    <w:div w:id="1719359182">
      <w:bodyDiv w:val="1"/>
      <w:marLeft w:val="0"/>
      <w:marRight w:val="0"/>
      <w:marTop w:val="0"/>
      <w:marBottom w:val="0"/>
      <w:divBdr>
        <w:top w:val="none" w:sz="0" w:space="0" w:color="auto"/>
        <w:left w:val="none" w:sz="0" w:space="0" w:color="auto"/>
        <w:bottom w:val="none" w:sz="0" w:space="0" w:color="auto"/>
        <w:right w:val="none" w:sz="0" w:space="0" w:color="auto"/>
      </w:divBdr>
    </w:div>
    <w:div w:id="1726372547">
      <w:bodyDiv w:val="1"/>
      <w:marLeft w:val="0"/>
      <w:marRight w:val="0"/>
      <w:marTop w:val="0"/>
      <w:marBottom w:val="0"/>
      <w:divBdr>
        <w:top w:val="none" w:sz="0" w:space="0" w:color="auto"/>
        <w:left w:val="none" w:sz="0" w:space="0" w:color="auto"/>
        <w:bottom w:val="none" w:sz="0" w:space="0" w:color="auto"/>
        <w:right w:val="none" w:sz="0" w:space="0" w:color="auto"/>
      </w:divBdr>
    </w:div>
    <w:div w:id="1734499165">
      <w:bodyDiv w:val="1"/>
      <w:marLeft w:val="0"/>
      <w:marRight w:val="0"/>
      <w:marTop w:val="0"/>
      <w:marBottom w:val="0"/>
      <w:divBdr>
        <w:top w:val="none" w:sz="0" w:space="0" w:color="auto"/>
        <w:left w:val="none" w:sz="0" w:space="0" w:color="auto"/>
        <w:bottom w:val="none" w:sz="0" w:space="0" w:color="auto"/>
        <w:right w:val="none" w:sz="0" w:space="0" w:color="auto"/>
      </w:divBdr>
    </w:div>
    <w:div w:id="1764258243">
      <w:bodyDiv w:val="1"/>
      <w:marLeft w:val="0"/>
      <w:marRight w:val="0"/>
      <w:marTop w:val="0"/>
      <w:marBottom w:val="0"/>
      <w:divBdr>
        <w:top w:val="none" w:sz="0" w:space="0" w:color="auto"/>
        <w:left w:val="none" w:sz="0" w:space="0" w:color="auto"/>
        <w:bottom w:val="none" w:sz="0" w:space="0" w:color="auto"/>
        <w:right w:val="none" w:sz="0" w:space="0" w:color="auto"/>
      </w:divBdr>
    </w:div>
    <w:div w:id="1770589470">
      <w:bodyDiv w:val="1"/>
      <w:marLeft w:val="0"/>
      <w:marRight w:val="0"/>
      <w:marTop w:val="0"/>
      <w:marBottom w:val="0"/>
      <w:divBdr>
        <w:top w:val="none" w:sz="0" w:space="0" w:color="auto"/>
        <w:left w:val="none" w:sz="0" w:space="0" w:color="auto"/>
        <w:bottom w:val="none" w:sz="0" w:space="0" w:color="auto"/>
        <w:right w:val="none" w:sz="0" w:space="0" w:color="auto"/>
      </w:divBdr>
    </w:div>
    <w:div w:id="1856503964">
      <w:bodyDiv w:val="1"/>
      <w:marLeft w:val="0"/>
      <w:marRight w:val="0"/>
      <w:marTop w:val="0"/>
      <w:marBottom w:val="0"/>
      <w:divBdr>
        <w:top w:val="none" w:sz="0" w:space="0" w:color="auto"/>
        <w:left w:val="none" w:sz="0" w:space="0" w:color="auto"/>
        <w:bottom w:val="none" w:sz="0" w:space="0" w:color="auto"/>
        <w:right w:val="none" w:sz="0" w:space="0" w:color="auto"/>
      </w:divBdr>
    </w:div>
    <w:div w:id="1864780078">
      <w:bodyDiv w:val="1"/>
      <w:marLeft w:val="0"/>
      <w:marRight w:val="0"/>
      <w:marTop w:val="0"/>
      <w:marBottom w:val="0"/>
      <w:divBdr>
        <w:top w:val="none" w:sz="0" w:space="0" w:color="auto"/>
        <w:left w:val="none" w:sz="0" w:space="0" w:color="auto"/>
        <w:bottom w:val="none" w:sz="0" w:space="0" w:color="auto"/>
        <w:right w:val="none" w:sz="0" w:space="0" w:color="auto"/>
      </w:divBdr>
    </w:div>
    <w:div w:id="1886523323">
      <w:bodyDiv w:val="1"/>
      <w:marLeft w:val="0"/>
      <w:marRight w:val="0"/>
      <w:marTop w:val="0"/>
      <w:marBottom w:val="0"/>
      <w:divBdr>
        <w:top w:val="none" w:sz="0" w:space="0" w:color="auto"/>
        <w:left w:val="none" w:sz="0" w:space="0" w:color="auto"/>
        <w:bottom w:val="none" w:sz="0" w:space="0" w:color="auto"/>
        <w:right w:val="none" w:sz="0" w:space="0" w:color="auto"/>
      </w:divBdr>
    </w:div>
    <w:div w:id="1941988598">
      <w:bodyDiv w:val="1"/>
      <w:marLeft w:val="0"/>
      <w:marRight w:val="0"/>
      <w:marTop w:val="0"/>
      <w:marBottom w:val="0"/>
      <w:divBdr>
        <w:top w:val="none" w:sz="0" w:space="0" w:color="auto"/>
        <w:left w:val="none" w:sz="0" w:space="0" w:color="auto"/>
        <w:bottom w:val="none" w:sz="0" w:space="0" w:color="auto"/>
        <w:right w:val="none" w:sz="0" w:space="0" w:color="auto"/>
      </w:divBdr>
    </w:div>
    <w:div w:id="1944218247">
      <w:bodyDiv w:val="1"/>
      <w:marLeft w:val="0"/>
      <w:marRight w:val="0"/>
      <w:marTop w:val="0"/>
      <w:marBottom w:val="0"/>
      <w:divBdr>
        <w:top w:val="none" w:sz="0" w:space="0" w:color="auto"/>
        <w:left w:val="none" w:sz="0" w:space="0" w:color="auto"/>
        <w:bottom w:val="none" w:sz="0" w:space="0" w:color="auto"/>
        <w:right w:val="none" w:sz="0" w:space="0" w:color="auto"/>
      </w:divBdr>
    </w:div>
    <w:div w:id="1967352865">
      <w:bodyDiv w:val="1"/>
      <w:marLeft w:val="0"/>
      <w:marRight w:val="0"/>
      <w:marTop w:val="0"/>
      <w:marBottom w:val="0"/>
      <w:divBdr>
        <w:top w:val="none" w:sz="0" w:space="0" w:color="auto"/>
        <w:left w:val="none" w:sz="0" w:space="0" w:color="auto"/>
        <w:bottom w:val="none" w:sz="0" w:space="0" w:color="auto"/>
        <w:right w:val="none" w:sz="0" w:space="0" w:color="auto"/>
      </w:divBdr>
    </w:div>
    <w:div w:id="2001812070">
      <w:bodyDiv w:val="1"/>
      <w:marLeft w:val="0"/>
      <w:marRight w:val="0"/>
      <w:marTop w:val="0"/>
      <w:marBottom w:val="0"/>
      <w:divBdr>
        <w:top w:val="none" w:sz="0" w:space="0" w:color="auto"/>
        <w:left w:val="none" w:sz="0" w:space="0" w:color="auto"/>
        <w:bottom w:val="none" w:sz="0" w:space="0" w:color="auto"/>
        <w:right w:val="none" w:sz="0" w:space="0" w:color="auto"/>
      </w:divBdr>
    </w:div>
    <w:div w:id="20730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yperlink" Target="https://apps.treasury.act.gov.au/accounting" TargetMode="External"/><Relationship Id="rId47" Type="http://schemas.openxmlformats.org/officeDocument/2006/relationships/header" Target="header19.xml"/><Relationship Id="rId50" Type="http://schemas.openxmlformats.org/officeDocument/2006/relationships/header" Target="header2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ct.gov.au/accounting" TargetMode="Externa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yperlink" Target="https://apps.treasury.act.gov.au/accounting" TargetMode="External"/><Relationship Id="rId46"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yperlink" Target="https://www.treasury.act.gov.au/accounting" TargetMode="External"/><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yperlink" Target="https://apps.treasury.act.gov.au/accounting" TargetMode="External"/><Relationship Id="rId40" Type="http://schemas.openxmlformats.org/officeDocument/2006/relationships/header" Target="header16.xml"/><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https://apps.treasury.act.gov.au/accounting" TargetMode="Externa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footer" Target="footer8.xml"/><Relationship Id="rId52"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yperlink" Target="https://apps.treasury.act.gov.au/accounting" TargetMode="External"/><Relationship Id="rId43" Type="http://schemas.openxmlformats.org/officeDocument/2006/relationships/header" Target="header17.xml"/><Relationship Id="rId48"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6C38B0B53726438DBD435BD47E4541" ma:contentTypeVersion="0" ma:contentTypeDescription="Create a new document." ma:contentTypeScope="" ma:versionID="2a5c338f351633089c667d822728f4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17517-51AD-4A0A-8AAE-97E416799927}">
  <ds:schemaRefs>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2ED8BC4-CB19-4F19-805B-0412ECE28D5D}">
  <ds:schemaRefs>
    <ds:schemaRef ds:uri="http://schemas.openxmlformats.org/officeDocument/2006/bibliography"/>
  </ds:schemaRefs>
</ds:datastoreItem>
</file>

<file path=customXml/itemProps3.xml><?xml version="1.0" encoding="utf-8"?>
<ds:datastoreItem xmlns:ds="http://schemas.openxmlformats.org/officeDocument/2006/customXml" ds:itemID="{59C54562-BB2F-4E59-A870-B75834CD0DC1}">
  <ds:schemaRefs>
    <ds:schemaRef ds:uri="http://schemas.microsoft.com/sharepoint/v3/contenttype/forms"/>
  </ds:schemaRefs>
</ds:datastoreItem>
</file>

<file path=customXml/itemProps4.xml><?xml version="1.0" encoding="utf-8"?>
<ds:datastoreItem xmlns:ds="http://schemas.openxmlformats.org/officeDocument/2006/customXml" ds:itemID="{7F79480E-4370-4EAD-9EE1-8077351D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81658</Words>
  <Characters>465457</Characters>
  <Application>Microsoft Office Word</Application>
  <DocSecurity>0</DocSecurity>
  <Lines>3878</Lines>
  <Paragraphs>1092</Paragraphs>
  <ScaleCrop>false</ScaleCrop>
  <HeadingPairs>
    <vt:vector size="2" baseType="variant">
      <vt:variant>
        <vt:lpstr>Title</vt:lpstr>
      </vt:variant>
      <vt:variant>
        <vt:i4>1</vt:i4>
      </vt:variant>
    </vt:vector>
  </HeadingPairs>
  <TitlesOfParts>
    <vt:vector size="1" baseType="lpstr">
      <vt:lpstr>Model Financial Statements 2022-23</vt:lpstr>
    </vt:vector>
  </TitlesOfParts>
  <Company>ACT Government</Company>
  <LinksUpToDate>false</LinksUpToDate>
  <CharactersWithSpaces>546023</CharactersWithSpaces>
  <SharedDoc>false</SharedDoc>
  <HLinks>
    <vt:vector size="792" baseType="variant">
      <vt:variant>
        <vt:i4>5439568</vt:i4>
      </vt:variant>
      <vt:variant>
        <vt:i4>939</vt:i4>
      </vt:variant>
      <vt:variant>
        <vt:i4>0</vt:i4>
      </vt:variant>
      <vt:variant>
        <vt:i4>5</vt:i4>
      </vt:variant>
      <vt:variant>
        <vt:lpwstr>http://apps.treasury.act.gov.au/publications</vt:lpwstr>
      </vt:variant>
      <vt:variant>
        <vt:lpwstr/>
      </vt:variant>
      <vt:variant>
        <vt:i4>5439568</vt:i4>
      </vt:variant>
      <vt:variant>
        <vt:i4>936</vt:i4>
      </vt:variant>
      <vt:variant>
        <vt:i4>0</vt:i4>
      </vt:variant>
      <vt:variant>
        <vt:i4>5</vt:i4>
      </vt:variant>
      <vt:variant>
        <vt:lpwstr>http://apps.treasury.act.gov.au/publications</vt:lpwstr>
      </vt:variant>
      <vt:variant>
        <vt:lpwstr/>
      </vt:variant>
      <vt:variant>
        <vt:i4>5439568</vt:i4>
      </vt:variant>
      <vt:variant>
        <vt:i4>933</vt:i4>
      </vt:variant>
      <vt:variant>
        <vt:i4>0</vt:i4>
      </vt:variant>
      <vt:variant>
        <vt:i4>5</vt:i4>
      </vt:variant>
      <vt:variant>
        <vt:lpwstr>http://apps.treasury.act.gov.au/publications</vt:lpwstr>
      </vt:variant>
      <vt:variant>
        <vt:lpwstr/>
      </vt:variant>
      <vt:variant>
        <vt:i4>852036</vt:i4>
      </vt:variant>
      <vt:variant>
        <vt:i4>765</vt:i4>
      </vt:variant>
      <vt:variant>
        <vt:i4>0</vt:i4>
      </vt:variant>
      <vt:variant>
        <vt:i4>5</vt:i4>
      </vt:variant>
      <vt:variant>
        <vt:lpwstr>http://www.act.gov.au/accounting</vt:lpwstr>
      </vt:variant>
      <vt:variant>
        <vt:lpwstr/>
      </vt:variant>
      <vt:variant>
        <vt:i4>852036</vt:i4>
      </vt:variant>
      <vt:variant>
        <vt:i4>762</vt:i4>
      </vt:variant>
      <vt:variant>
        <vt:i4>0</vt:i4>
      </vt:variant>
      <vt:variant>
        <vt:i4>5</vt:i4>
      </vt:variant>
      <vt:variant>
        <vt:lpwstr>http://www.act.gov.au/accounting</vt:lpwstr>
      </vt:variant>
      <vt:variant>
        <vt:lpwstr/>
      </vt:variant>
      <vt:variant>
        <vt:i4>1769523</vt:i4>
      </vt:variant>
      <vt:variant>
        <vt:i4>755</vt:i4>
      </vt:variant>
      <vt:variant>
        <vt:i4>0</vt:i4>
      </vt:variant>
      <vt:variant>
        <vt:i4>5</vt:i4>
      </vt:variant>
      <vt:variant>
        <vt:lpwstr/>
      </vt:variant>
      <vt:variant>
        <vt:lpwstr>_Toc506992976</vt:lpwstr>
      </vt:variant>
      <vt:variant>
        <vt:i4>1769523</vt:i4>
      </vt:variant>
      <vt:variant>
        <vt:i4>749</vt:i4>
      </vt:variant>
      <vt:variant>
        <vt:i4>0</vt:i4>
      </vt:variant>
      <vt:variant>
        <vt:i4>5</vt:i4>
      </vt:variant>
      <vt:variant>
        <vt:lpwstr/>
      </vt:variant>
      <vt:variant>
        <vt:lpwstr>_Toc506992975</vt:lpwstr>
      </vt:variant>
      <vt:variant>
        <vt:i4>1769523</vt:i4>
      </vt:variant>
      <vt:variant>
        <vt:i4>743</vt:i4>
      </vt:variant>
      <vt:variant>
        <vt:i4>0</vt:i4>
      </vt:variant>
      <vt:variant>
        <vt:i4>5</vt:i4>
      </vt:variant>
      <vt:variant>
        <vt:lpwstr/>
      </vt:variant>
      <vt:variant>
        <vt:lpwstr>_Toc506992974</vt:lpwstr>
      </vt:variant>
      <vt:variant>
        <vt:i4>1769523</vt:i4>
      </vt:variant>
      <vt:variant>
        <vt:i4>737</vt:i4>
      </vt:variant>
      <vt:variant>
        <vt:i4>0</vt:i4>
      </vt:variant>
      <vt:variant>
        <vt:i4>5</vt:i4>
      </vt:variant>
      <vt:variant>
        <vt:lpwstr/>
      </vt:variant>
      <vt:variant>
        <vt:lpwstr>_Toc506992973</vt:lpwstr>
      </vt:variant>
      <vt:variant>
        <vt:i4>1769523</vt:i4>
      </vt:variant>
      <vt:variant>
        <vt:i4>731</vt:i4>
      </vt:variant>
      <vt:variant>
        <vt:i4>0</vt:i4>
      </vt:variant>
      <vt:variant>
        <vt:i4>5</vt:i4>
      </vt:variant>
      <vt:variant>
        <vt:lpwstr/>
      </vt:variant>
      <vt:variant>
        <vt:lpwstr>_Toc506992972</vt:lpwstr>
      </vt:variant>
      <vt:variant>
        <vt:i4>1769523</vt:i4>
      </vt:variant>
      <vt:variant>
        <vt:i4>725</vt:i4>
      </vt:variant>
      <vt:variant>
        <vt:i4>0</vt:i4>
      </vt:variant>
      <vt:variant>
        <vt:i4>5</vt:i4>
      </vt:variant>
      <vt:variant>
        <vt:lpwstr/>
      </vt:variant>
      <vt:variant>
        <vt:lpwstr>_Toc506992971</vt:lpwstr>
      </vt:variant>
      <vt:variant>
        <vt:i4>1769523</vt:i4>
      </vt:variant>
      <vt:variant>
        <vt:i4>719</vt:i4>
      </vt:variant>
      <vt:variant>
        <vt:i4>0</vt:i4>
      </vt:variant>
      <vt:variant>
        <vt:i4>5</vt:i4>
      </vt:variant>
      <vt:variant>
        <vt:lpwstr/>
      </vt:variant>
      <vt:variant>
        <vt:lpwstr>_Toc506992970</vt:lpwstr>
      </vt:variant>
      <vt:variant>
        <vt:i4>1703987</vt:i4>
      </vt:variant>
      <vt:variant>
        <vt:i4>713</vt:i4>
      </vt:variant>
      <vt:variant>
        <vt:i4>0</vt:i4>
      </vt:variant>
      <vt:variant>
        <vt:i4>5</vt:i4>
      </vt:variant>
      <vt:variant>
        <vt:lpwstr/>
      </vt:variant>
      <vt:variant>
        <vt:lpwstr>_Toc506992969</vt:lpwstr>
      </vt:variant>
      <vt:variant>
        <vt:i4>1703987</vt:i4>
      </vt:variant>
      <vt:variant>
        <vt:i4>707</vt:i4>
      </vt:variant>
      <vt:variant>
        <vt:i4>0</vt:i4>
      </vt:variant>
      <vt:variant>
        <vt:i4>5</vt:i4>
      </vt:variant>
      <vt:variant>
        <vt:lpwstr/>
      </vt:variant>
      <vt:variant>
        <vt:lpwstr>_Toc506992968</vt:lpwstr>
      </vt:variant>
      <vt:variant>
        <vt:i4>1703987</vt:i4>
      </vt:variant>
      <vt:variant>
        <vt:i4>701</vt:i4>
      </vt:variant>
      <vt:variant>
        <vt:i4>0</vt:i4>
      </vt:variant>
      <vt:variant>
        <vt:i4>5</vt:i4>
      </vt:variant>
      <vt:variant>
        <vt:lpwstr/>
      </vt:variant>
      <vt:variant>
        <vt:lpwstr>_Toc506992967</vt:lpwstr>
      </vt:variant>
      <vt:variant>
        <vt:i4>1703987</vt:i4>
      </vt:variant>
      <vt:variant>
        <vt:i4>695</vt:i4>
      </vt:variant>
      <vt:variant>
        <vt:i4>0</vt:i4>
      </vt:variant>
      <vt:variant>
        <vt:i4>5</vt:i4>
      </vt:variant>
      <vt:variant>
        <vt:lpwstr/>
      </vt:variant>
      <vt:variant>
        <vt:lpwstr>_Toc506992966</vt:lpwstr>
      </vt:variant>
      <vt:variant>
        <vt:i4>1703987</vt:i4>
      </vt:variant>
      <vt:variant>
        <vt:i4>689</vt:i4>
      </vt:variant>
      <vt:variant>
        <vt:i4>0</vt:i4>
      </vt:variant>
      <vt:variant>
        <vt:i4>5</vt:i4>
      </vt:variant>
      <vt:variant>
        <vt:lpwstr/>
      </vt:variant>
      <vt:variant>
        <vt:lpwstr>_Toc506992965</vt:lpwstr>
      </vt:variant>
      <vt:variant>
        <vt:i4>1703987</vt:i4>
      </vt:variant>
      <vt:variant>
        <vt:i4>683</vt:i4>
      </vt:variant>
      <vt:variant>
        <vt:i4>0</vt:i4>
      </vt:variant>
      <vt:variant>
        <vt:i4>5</vt:i4>
      </vt:variant>
      <vt:variant>
        <vt:lpwstr/>
      </vt:variant>
      <vt:variant>
        <vt:lpwstr>_Toc506992964</vt:lpwstr>
      </vt:variant>
      <vt:variant>
        <vt:i4>1703987</vt:i4>
      </vt:variant>
      <vt:variant>
        <vt:i4>677</vt:i4>
      </vt:variant>
      <vt:variant>
        <vt:i4>0</vt:i4>
      </vt:variant>
      <vt:variant>
        <vt:i4>5</vt:i4>
      </vt:variant>
      <vt:variant>
        <vt:lpwstr/>
      </vt:variant>
      <vt:variant>
        <vt:lpwstr>_Toc506992963</vt:lpwstr>
      </vt:variant>
      <vt:variant>
        <vt:i4>1703987</vt:i4>
      </vt:variant>
      <vt:variant>
        <vt:i4>671</vt:i4>
      </vt:variant>
      <vt:variant>
        <vt:i4>0</vt:i4>
      </vt:variant>
      <vt:variant>
        <vt:i4>5</vt:i4>
      </vt:variant>
      <vt:variant>
        <vt:lpwstr/>
      </vt:variant>
      <vt:variant>
        <vt:lpwstr>_Toc506992962</vt:lpwstr>
      </vt:variant>
      <vt:variant>
        <vt:i4>1703987</vt:i4>
      </vt:variant>
      <vt:variant>
        <vt:i4>665</vt:i4>
      </vt:variant>
      <vt:variant>
        <vt:i4>0</vt:i4>
      </vt:variant>
      <vt:variant>
        <vt:i4>5</vt:i4>
      </vt:variant>
      <vt:variant>
        <vt:lpwstr/>
      </vt:variant>
      <vt:variant>
        <vt:lpwstr>_Toc506992961</vt:lpwstr>
      </vt:variant>
      <vt:variant>
        <vt:i4>1703987</vt:i4>
      </vt:variant>
      <vt:variant>
        <vt:i4>659</vt:i4>
      </vt:variant>
      <vt:variant>
        <vt:i4>0</vt:i4>
      </vt:variant>
      <vt:variant>
        <vt:i4>5</vt:i4>
      </vt:variant>
      <vt:variant>
        <vt:lpwstr/>
      </vt:variant>
      <vt:variant>
        <vt:lpwstr>_Toc506992960</vt:lpwstr>
      </vt:variant>
      <vt:variant>
        <vt:i4>1638451</vt:i4>
      </vt:variant>
      <vt:variant>
        <vt:i4>653</vt:i4>
      </vt:variant>
      <vt:variant>
        <vt:i4>0</vt:i4>
      </vt:variant>
      <vt:variant>
        <vt:i4>5</vt:i4>
      </vt:variant>
      <vt:variant>
        <vt:lpwstr/>
      </vt:variant>
      <vt:variant>
        <vt:lpwstr>_Toc506992959</vt:lpwstr>
      </vt:variant>
      <vt:variant>
        <vt:i4>1638451</vt:i4>
      </vt:variant>
      <vt:variant>
        <vt:i4>647</vt:i4>
      </vt:variant>
      <vt:variant>
        <vt:i4>0</vt:i4>
      </vt:variant>
      <vt:variant>
        <vt:i4>5</vt:i4>
      </vt:variant>
      <vt:variant>
        <vt:lpwstr/>
      </vt:variant>
      <vt:variant>
        <vt:lpwstr>_Toc506992958</vt:lpwstr>
      </vt:variant>
      <vt:variant>
        <vt:i4>1638451</vt:i4>
      </vt:variant>
      <vt:variant>
        <vt:i4>641</vt:i4>
      </vt:variant>
      <vt:variant>
        <vt:i4>0</vt:i4>
      </vt:variant>
      <vt:variant>
        <vt:i4>5</vt:i4>
      </vt:variant>
      <vt:variant>
        <vt:lpwstr/>
      </vt:variant>
      <vt:variant>
        <vt:lpwstr>_Toc506992957</vt:lpwstr>
      </vt:variant>
      <vt:variant>
        <vt:i4>1638451</vt:i4>
      </vt:variant>
      <vt:variant>
        <vt:i4>635</vt:i4>
      </vt:variant>
      <vt:variant>
        <vt:i4>0</vt:i4>
      </vt:variant>
      <vt:variant>
        <vt:i4>5</vt:i4>
      </vt:variant>
      <vt:variant>
        <vt:lpwstr/>
      </vt:variant>
      <vt:variant>
        <vt:lpwstr>_Toc506992956</vt:lpwstr>
      </vt:variant>
      <vt:variant>
        <vt:i4>1638451</vt:i4>
      </vt:variant>
      <vt:variant>
        <vt:i4>629</vt:i4>
      </vt:variant>
      <vt:variant>
        <vt:i4>0</vt:i4>
      </vt:variant>
      <vt:variant>
        <vt:i4>5</vt:i4>
      </vt:variant>
      <vt:variant>
        <vt:lpwstr/>
      </vt:variant>
      <vt:variant>
        <vt:lpwstr>_Toc506992955</vt:lpwstr>
      </vt:variant>
      <vt:variant>
        <vt:i4>1638451</vt:i4>
      </vt:variant>
      <vt:variant>
        <vt:i4>623</vt:i4>
      </vt:variant>
      <vt:variant>
        <vt:i4>0</vt:i4>
      </vt:variant>
      <vt:variant>
        <vt:i4>5</vt:i4>
      </vt:variant>
      <vt:variant>
        <vt:lpwstr/>
      </vt:variant>
      <vt:variant>
        <vt:lpwstr>_Toc506992954</vt:lpwstr>
      </vt:variant>
      <vt:variant>
        <vt:i4>1638451</vt:i4>
      </vt:variant>
      <vt:variant>
        <vt:i4>617</vt:i4>
      </vt:variant>
      <vt:variant>
        <vt:i4>0</vt:i4>
      </vt:variant>
      <vt:variant>
        <vt:i4>5</vt:i4>
      </vt:variant>
      <vt:variant>
        <vt:lpwstr/>
      </vt:variant>
      <vt:variant>
        <vt:lpwstr>_Toc506992953</vt:lpwstr>
      </vt:variant>
      <vt:variant>
        <vt:i4>1638451</vt:i4>
      </vt:variant>
      <vt:variant>
        <vt:i4>611</vt:i4>
      </vt:variant>
      <vt:variant>
        <vt:i4>0</vt:i4>
      </vt:variant>
      <vt:variant>
        <vt:i4>5</vt:i4>
      </vt:variant>
      <vt:variant>
        <vt:lpwstr/>
      </vt:variant>
      <vt:variant>
        <vt:lpwstr>_Toc506992952</vt:lpwstr>
      </vt:variant>
      <vt:variant>
        <vt:i4>1638451</vt:i4>
      </vt:variant>
      <vt:variant>
        <vt:i4>605</vt:i4>
      </vt:variant>
      <vt:variant>
        <vt:i4>0</vt:i4>
      </vt:variant>
      <vt:variant>
        <vt:i4>5</vt:i4>
      </vt:variant>
      <vt:variant>
        <vt:lpwstr/>
      </vt:variant>
      <vt:variant>
        <vt:lpwstr>_Toc506992951</vt:lpwstr>
      </vt:variant>
      <vt:variant>
        <vt:i4>1638451</vt:i4>
      </vt:variant>
      <vt:variant>
        <vt:i4>599</vt:i4>
      </vt:variant>
      <vt:variant>
        <vt:i4>0</vt:i4>
      </vt:variant>
      <vt:variant>
        <vt:i4>5</vt:i4>
      </vt:variant>
      <vt:variant>
        <vt:lpwstr/>
      </vt:variant>
      <vt:variant>
        <vt:lpwstr>_Toc506992950</vt:lpwstr>
      </vt:variant>
      <vt:variant>
        <vt:i4>1572915</vt:i4>
      </vt:variant>
      <vt:variant>
        <vt:i4>593</vt:i4>
      </vt:variant>
      <vt:variant>
        <vt:i4>0</vt:i4>
      </vt:variant>
      <vt:variant>
        <vt:i4>5</vt:i4>
      </vt:variant>
      <vt:variant>
        <vt:lpwstr/>
      </vt:variant>
      <vt:variant>
        <vt:lpwstr>_Toc506992949</vt:lpwstr>
      </vt:variant>
      <vt:variant>
        <vt:i4>1572915</vt:i4>
      </vt:variant>
      <vt:variant>
        <vt:i4>587</vt:i4>
      </vt:variant>
      <vt:variant>
        <vt:i4>0</vt:i4>
      </vt:variant>
      <vt:variant>
        <vt:i4>5</vt:i4>
      </vt:variant>
      <vt:variant>
        <vt:lpwstr/>
      </vt:variant>
      <vt:variant>
        <vt:lpwstr>_Toc506992948</vt:lpwstr>
      </vt:variant>
      <vt:variant>
        <vt:i4>1572915</vt:i4>
      </vt:variant>
      <vt:variant>
        <vt:i4>581</vt:i4>
      </vt:variant>
      <vt:variant>
        <vt:i4>0</vt:i4>
      </vt:variant>
      <vt:variant>
        <vt:i4>5</vt:i4>
      </vt:variant>
      <vt:variant>
        <vt:lpwstr/>
      </vt:variant>
      <vt:variant>
        <vt:lpwstr>_Toc506992947</vt:lpwstr>
      </vt:variant>
      <vt:variant>
        <vt:i4>1572915</vt:i4>
      </vt:variant>
      <vt:variant>
        <vt:i4>575</vt:i4>
      </vt:variant>
      <vt:variant>
        <vt:i4>0</vt:i4>
      </vt:variant>
      <vt:variant>
        <vt:i4>5</vt:i4>
      </vt:variant>
      <vt:variant>
        <vt:lpwstr/>
      </vt:variant>
      <vt:variant>
        <vt:lpwstr>_Toc506992946</vt:lpwstr>
      </vt:variant>
      <vt:variant>
        <vt:i4>1572915</vt:i4>
      </vt:variant>
      <vt:variant>
        <vt:i4>569</vt:i4>
      </vt:variant>
      <vt:variant>
        <vt:i4>0</vt:i4>
      </vt:variant>
      <vt:variant>
        <vt:i4>5</vt:i4>
      </vt:variant>
      <vt:variant>
        <vt:lpwstr/>
      </vt:variant>
      <vt:variant>
        <vt:lpwstr>_Toc506992945</vt:lpwstr>
      </vt:variant>
      <vt:variant>
        <vt:i4>1572915</vt:i4>
      </vt:variant>
      <vt:variant>
        <vt:i4>563</vt:i4>
      </vt:variant>
      <vt:variant>
        <vt:i4>0</vt:i4>
      </vt:variant>
      <vt:variant>
        <vt:i4>5</vt:i4>
      </vt:variant>
      <vt:variant>
        <vt:lpwstr/>
      </vt:variant>
      <vt:variant>
        <vt:lpwstr>_Toc506992944</vt:lpwstr>
      </vt:variant>
      <vt:variant>
        <vt:i4>1572915</vt:i4>
      </vt:variant>
      <vt:variant>
        <vt:i4>557</vt:i4>
      </vt:variant>
      <vt:variant>
        <vt:i4>0</vt:i4>
      </vt:variant>
      <vt:variant>
        <vt:i4>5</vt:i4>
      </vt:variant>
      <vt:variant>
        <vt:lpwstr/>
      </vt:variant>
      <vt:variant>
        <vt:lpwstr>_Toc506992943</vt:lpwstr>
      </vt:variant>
      <vt:variant>
        <vt:i4>1572915</vt:i4>
      </vt:variant>
      <vt:variant>
        <vt:i4>551</vt:i4>
      </vt:variant>
      <vt:variant>
        <vt:i4>0</vt:i4>
      </vt:variant>
      <vt:variant>
        <vt:i4>5</vt:i4>
      </vt:variant>
      <vt:variant>
        <vt:lpwstr/>
      </vt:variant>
      <vt:variant>
        <vt:lpwstr>_Toc506992942</vt:lpwstr>
      </vt:variant>
      <vt:variant>
        <vt:i4>1572915</vt:i4>
      </vt:variant>
      <vt:variant>
        <vt:i4>545</vt:i4>
      </vt:variant>
      <vt:variant>
        <vt:i4>0</vt:i4>
      </vt:variant>
      <vt:variant>
        <vt:i4>5</vt:i4>
      </vt:variant>
      <vt:variant>
        <vt:lpwstr/>
      </vt:variant>
      <vt:variant>
        <vt:lpwstr>_Toc506992941</vt:lpwstr>
      </vt:variant>
      <vt:variant>
        <vt:i4>1572915</vt:i4>
      </vt:variant>
      <vt:variant>
        <vt:i4>539</vt:i4>
      </vt:variant>
      <vt:variant>
        <vt:i4>0</vt:i4>
      </vt:variant>
      <vt:variant>
        <vt:i4>5</vt:i4>
      </vt:variant>
      <vt:variant>
        <vt:lpwstr/>
      </vt:variant>
      <vt:variant>
        <vt:lpwstr>_Toc506992940</vt:lpwstr>
      </vt:variant>
      <vt:variant>
        <vt:i4>2031667</vt:i4>
      </vt:variant>
      <vt:variant>
        <vt:i4>533</vt:i4>
      </vt:variant>
      <vt:variant>
        <vt:i4>0</vt:i4>
      </vt:variant>
      <vt:variant>
        <vt:i4>5</vt:i4>
      </vt:variant>
      <vt:variant>
        <vt:lpwstr/>
      </vt:variant>
      <vt:variant>
        <vt:lpwstr>_Toc506992939</vt:lpwstr>
      </vt:variant>
      <vt:variant>
        <vt:i4>2031667</vt:i4>
      </vt:variant>
      <vt:variant>
        <vt:i4>527</vt:i4>
      </vt:variant>
      <vt:variant>
        <vt:i4>0</vt:i4>
      </vt:variant>
      <vt:variant>
        <vt:i4>5</vt:i4>
      </vt:variant>
      <vt:variant>
        <vt:lpwstr/>
      </vt:variant>
      <vt:variant>
        <vt:lpwstr>_Toc506992938</vt:lpwstr>
      </vt:variant>
      <vt:variant>
        <vt:i4>2031667</vt:i4>
      </vt:variant>
      <vt:variant>
        <vt:i4>521</vt:i4>
      </vt:variant>
      <vt:variant>
        <vt:i4>0</vt:i4>
      </vt:variant>
      <vt:variant>
        <vt:i4>5</vt:i4>
      </vt:variant>
      <vt:variant>
        <vt:lpwstr/>
      </vt:variant>
      <vt:variant>
        <vt:lpwstr>_Toc506992937</vt:lpwstr>
      </vt:variant>
      <vt:variant>
        <vt:i4>2031667</vt:i4>
      </vt:variant>
      <vt:variant>
        <vt:i4>515</vt:i4>
      </vt:variant>
      <vt:variant>
        <vt:i4>0</vt:i4>
      </vt:variant>
      <vt:variant>
        <vt:i4>5</vt:i4>
      </vt:variant>
      <vt:variant>
        <vt:lpwstr/>
      </vt:variant>
      <vt:variant>
        <vt:lpwstr>_Toc506992936</vt:lpwstr>
      </vt:variant>
      <vt:variant>
        <vt:i4>2031667</vt:i4>
      </vt:variant>
      <vt:variant>
        <vt:i4>509</vt:i4>
      </vt:variant>
      <vt:variant>
        <vt:i4>0</vt:i4>
      </vt:variant>
      <vt:variant>
        <vt:i4>5</vt:i4>
      </vt:variant>
      <vt:variant>
        <vt:lpwstr/>
      </vt:variant>
      <vt:variant>
        <vt:lpwstr>_Toc506992935</vt:lpwstr>
      </vt:variant>
      <vt:variant>
        <vt:i4>2031667</vt:i4>
      </vt:variant>
      <vt:variant>
        <vt:i4>503</vt:i4>
      </vt:variant>
      <vt:variant>
        <vt:i4>0</vt:i4>
      </vt:variant>
      <vt:variant>
        <vt:i4>5</vt:i4>
      </vt:variant>
      <vt:variant>
        <vt:lpwstr/>
      </vt:variant>
      <vt:variant>
        <vt:lpwstr>_Toc506992934</vt:lpwstr>
      </vt:variant>
      <vt:variant>
        <vt:i4>2031667</vt:i4>
      </vt:variant>
      <vt:variant>
        <vt:i4>497</vt:i4>
      </vt:variant>
      <vt:variant>
        <vt:i4>0</vt:i4>
      </vt:variant>
      <vt:variant>
        <vt:i4>5</vt:i4>
      </vt:variant>
      <vt:variant>
        <vt:lpwstr/>
      </vt:variant>
      <vt:variant>
        <vt:lpwstr>_Toc506992933</vt:lpwstr>
      </vt:variant>
      <vt:variant>
        <vt:i4>2031667</vt:i4>
      </vt:variant>
      <vt:variant>
        <vt:i4>491</vt:i4>
      </vt:variant>
      <vt:variant>
        <vt:i4>0</vt:i4>
      </vt:variant>
      <vt:variant>
        <vt:i4>5</vt:i4>
      </vt:variant>
      <vt:variant>
        <vt:lpwstr/>
      </vt:variant>
      <vt:variant>
        <vt:lpwstr>_Toc506992932</vt:lpwstr>
      </vt:variant>
      <vt:variant>
        <vt:i4>2031667</vt:i4>
      </vt:variant>
      <vt:variant>
        <vt:i4>485</vt:i4>
      </vt:variant>
      <vt:variant>
        <vt:i4>0</vt:i4>
      </vt:variant>
      <vt:variant>
        <vt:i4>5</vt:i4>
      </vt:variant>
      <vt:variant>
        <vt:lpwstr/>
      </vt:variant>
      <vt:variant>
        <vt:lpwstr>_Toc506992931</vt:lpwstr>
      </vt:variant>
      <vt:variant>
        <vt:i4>2031667</vt:i4>
      </vt:variant>
      <vt:variant>
        <vt:i4>479</vt:i4>
      </vt:variant>
      <vt:variant>
        <vt:i4>0</vt:i4>
      </vt:variant>
      <vt:variant>
        <vt:i4>5</vt:i4>
      </vt:variant>
      <vt:variant>
        <vt:lpwstr/>
      </vt:variant>
      <vt:variant>
        <vt:lpwstr>_Toc506992930</vt:lpwstr>
      </vt:variant>
      <vt:variant>
        <vt:i4>1966131</vt:i4>
      </vt:variant>
      <vt:variant>
        <vt:i4>473</vt:i4>
      </vt:variant>
      <vt:variant>
        <vt:i4>0</vt:i4>
      </vt:variant>
      <vt:variant>
        <vt:i4>5</vt:i4>
      </vt:variant>
      <vt:variant>
        <vt:lpwstr/>
      </vt:variant>
      <vt:variant>
        <vt:lpwstr>_Toc506992929</vt:lpwstr>
      </vt:variant>
      <vt:variant>
        <vt:i4>1966131</vt:i4>
      </vt:variant>
      <vt:variant>
        <vt:i4>467</vt:i4>
      </vt:variant>
      <vt:variant>
        <vt:i4>0</vt:i4>
      </vt:variant>
      <vt:variant>
        <vt:i4>5</vt:i4>
      </vt:variant>
      <vt:variant>
        <vt:lpwstr/>
      </vt:variant>
      <vt:variant>
        <vt:lpwstr>_Toc506992928</vt:lpwstr>
      </vt:variant>
      <vt:variant>
        <vt:i4>1966131</vt:i4>
      </vt:variant>
      <vt:variant>
        <vt:i4>461</vt:i4>
      </vt:variant>
      <vt:variant>
        <vt:i4>0</vt:i4>
      </vt:variant>
      <vt:variant>
        <vt:i4>5</vt:i4>
      </vt:variant>
      <vt:variant>
        <vt:lpwstr/>
      </vt:variant>
      <vt:variant>
        <vt:lpwstr>_Toc506992927</vt:lpwstr>
      </vt:variant>
      <vt:variant>
        <vt:i4>1966131</vt:i4>
      </vt:variant>
      <vt:variant>
        <vt:i4>455</vt:i4>
      </vt:variant>
      <vt:variant>
        <vt:i4>0</vt:i4>
      </vt:variant>
      <vt:variant>
        <vt:i4>5</vt:i4>
      </vt:variant>
      <vt:variant>
        <vt:lpwstr/>
      </vt:variant>
      <vt:variant>
        <vt:lpwstr>_Toc506992926</vt:lpwstr>
      </vt:variant>
      <vt:variant>
        <vt:i4>1966131</vt:i4>
      </vt:variant>
      <vt:variant>
        <vt:i4>449</vt:i4>
      </vt:variant>
      <vt:variant>
        <vt:i4>0</vt:i4>
      </vt:variant>
      <vt:variant>
        <vt:i4>5</vt:i4>
      </vt:variant>
      <vt:variant>
        <vt:lpwstr/>
      </vt:variant>
      <vt:variant>
        <vt:lpwstr>_Toc506992925</vt:lpwstr>
      </vt:variant>
      <vt:variant>
        <vt:i4>1966131</vt:i4>
      </vt:variant>
      <vt:variant>
        <vt:i4>443</vt:i4>
      </vt:variant>
      <vt:variant>
        <vt:i4>0</vt:i4>
      </vt:variant>
      <vt:variant>
        <vt:i4>5</vt:i4>
      </vt:variant>
      <vt:variant>
        <vt:lpwstr/>
      </vt:variant>
      <vt:variant>
        <vt:lpwstr>_Toc506992924</vt:lpwstr>
      </vt:variant>
      <vt:variant>
        <vt:i4>1966131</vt:i4>
      </vt:variant>
      <vt:variant>
        <vt:i4>437</vt:i4>
      </vt:variant>
      <vt:variant>
        <vt:i4>0</vt:i4>
      </vt:variant>
      <vt:variant>
        <vt:i4>5</vt:i4>
      </vt:variant>
      <vt:variant>
        <vt:lpwstr/>
      </vt:variant>
      <vt:variant>
        <vt:lpwstr>_Toc506992923</vt:lpwstr>
      </vt:variant>
      <vt:variant>
        <vt:i4>1966131</vt:i4>
      </vt:variant>
      <vt:variant>
        <vt:i4>431</vt:i4>
      </vt:variant>
      <vt:variant>
        <vt:i4>0</vt:i4>
      </vt:variant>
      <vt:variant>
        <vt:i4>5</vt:i4>
      </vt:variant>
      <vt:variant>
        <vt:lpwstr/>
      </vt:variant>
      <vt:variant>
        <vt:lpwstr>_Toc506992922</vt:lpwstr>
      </vt:variant>
      <vt:variant>
        <vt:i4>1966131</vt:i4>
      </vt:variant>
      <vt:variant>
        <vt:i4>425</vt:i4>
      </vt:variant>
      <vt:variant>
        <vt:i4>0</vt:i4>
      </vt:variant>
      <vt:variant>
        <vt:i4>5</vt:i4>
      </vt:variant>
      <vt:variant>
        <vt:lpwstr/>
      </vt:variant>
      <vt:variant>
        <vt:lpwstr>_Toc506992921</vt:lpwstr>
      </vt:variant>
      <vt:variant>
        <vt:i4>1966131</vt:i4>
      </vt:variant>
      <vt:variant>
        <vt:i4>419</vt:i4>
      </vt:variant>
      <vt:variant>
        <vt:i4>0</vt:i4>
      </vt:variant>
      <vt:variant>
        <vt:i4>5</vt:i4>
      </vt:variant>
      <vt:variant>
        <vt:lpwstr/>
      </vt:variant>
      <vt:variant>
        <vt:lpwstr>_Toc506992920</vt:lpwstr>
      </vt:variant>
      <vt:variant>
        <vt:i4>1900595</vt:i4>
      </vt:variant>
      <vt:variant>
        <vt:i4>413</vt:i4>
      </vt:variant>
      <vt:variant>
        <vt:i4>0</vt:i4>
      </vt:variant>
      <vt:variant>
        <vt:i4>5</vt:i4>
      </vt:variant>
      <vt:variant>
        <vt:lpwstr/>
      </vt:variant>
      <vt:variant>
        <vt:lpwstr>_Toc506992919</vt:lpwstr>
      </vt:variant>
      <vt:variant>
        <vt:i4>1900595</vt:i4>
      </vt:variant>
      <vt:variant>
        <vt:i4>407</vt:i4>
      </vt:variant>
      <vt:variant>
        <vt:i4>0</vt:i4>
      </vt:variant>
      <vt:variant>
        <vt:i4>5</vt:i4>
      </vt:variant>
      <vt:variant>
        <vt:lpwstr/>
      </vt:variant>
      <vt:variant>
        <vt:lpwstr>_Toc506992918</vt:lpwstr>
      </vt:variant>
      <vt:variant>
        <vt:i4>1900595</vt:i4>
      </vt:variant>
      <vt:variant>
        <vt:i4>401</vt:i4>
      </vt:variant>
      <vt:variant>
        <vt:i4>0</vt:i4>
      </vt:variant>
      <vt:variant>
        <vt:i4>5</vt:i4>
      </vt:variant>
      <vt:variant>
        <vt:lpwstr/>
      </vt:variant>
      <vt:variant>
        <vt:lpwstr>_Toc506992917</vt:lpwstr>
      </vt:variant>
      <vt:variant>
        <vt:i4>1900595</vt:i4>
      </vt:variant>
      <vt:variant>
        <vt:i4>395</vt:i4>
      </vt:variant>
      <vt:variant>
        <vt:i4>0</vt:i4>
      </vt:variant>
      <vt:variant>
        <vt:i4>5</vt:i4>
      </vt:variant>
      <vt:variant>
        <vt:lpwstr/>
      </vt:variant>
      <vt:variant>
        <vt:lpwstr>_Toc506992916</vt:lpwstr>
      </vt:variant>
      <vt:variant>
        <vt:i4>1900595</vt:i4>
      </vt:variant>
      <vt:variant>
        <vt:i4>389</vt:i4>
      </vt:variant>
      <vt:variant>
        <vt:i4>0</vt:i4>
      </vt:variant>
      <vt:variant>
        <vt:i4>5</vt:i4>
      </vt:variant>
      <vt:variant>
        <vt:lpwstr/>
      </vt:variant>
      <vt:variant>
        <vt:lpwstr>_Toc506992915</vt:lpwstr>
      </vt:variant>
      <vt:variant>
        <vt:i4>1900595</vt:i4>
      </vt:variant>
      <vt:variant>
        <vt:i4>383</vt:i4>
      </vt:variant>
      <vt:variant>
        <vt:i4>0</vt:i4>
      </vt:variant>
      <vt:variant>
        <vt:i4>5</vt:i4>
      </vt:variant>
      <vt:variant>
        <vt:lpwstr/>
      </vt:variant>
      <vt:variant>
        <vt:lpwstr>_Toc506992914</vt:lpwstr>
      </vt:variant>
      <vt:variant>
        <vt:i4>1900595</vt:i4>
      </vt:variant>
      <vt:variant>
        <vt:i4>377</vt:i4>
      </vt:variant>
      <vt:variant>
        <vt:i4>0</vt:i4>
      </vt:variant>
      <vt:variant>
        <vt:i4>5</vt:i4>
      </vt:variant>
      <vt:variant>
        <vt:lpwstr/>
      </vt:variant>
      <vt:variant>
        <vt:lpwstr>_Toc506992913</vt:lpwstr>
      </vt:variant>
      <vt:variant>
        <vt:i4>1900595</vt:i4>
      </vt:variant>
      <vt:variant>
        <vt:i4>371</vt:i4>
      </vt:variant>
      <vt:variant>
        <vt:i4>0</vt:i4>
      </vt:variant>
      <vt:variant>
        <vt:i4>5</vt:i4>
      </vt:variant>
      <vt:variant>
        <vt:lpwstr/>
      </vt:variant>
      <vt:variant>
        <vt:lpwstr>_Toc506992912</vt:lpwstr>
      </vt:variant>
      <vt:variant>
        <vt:i4>1900595</vt:i4>
      </vt:variant>
      <vt:variant>
        <vt:i4>365</vt:i4>
      </vt:variant>
      <vt:variant>
        <vt:i4>0</vt:i4>
      </vt:variant>
      <vt:variant>
        <vt:i4>5</vt:i4>
      </vt:variant>
      <vt:variant>
        <vt:lpwstr/>
      </vt:variant>
      <vt:variant>
        <vt:lpwstr>_Toc506992911</vt:lpwstr>
      </vt:variant>
      <vt:variant>
        <vt:i4>1900595</vt:i4>
      </vt:variant>
      <vt:variant>
        <vt:i4>359</vt:i4>
      </vt:variant>
      <vt:variant>
        <vt:i4>0</vt:i4>
      </vt:variant>
      <vt:variant>
        <vt:i4>5</vt:i4>
      </vt:variant>
      <vt:variant>
        <vt:lpwstr/>
      </vt:variant>
      <vt:variant>
        <vt:lpwstr>_Toc506992910</vt:lpwstr>
      </vt:variant>
      <vt:variant>
        <vt:i4>1835059</vt:i4>
      </vt:variant>
      <vt:variant>
        <vt:i4>353</vt:i4>
      </vt:variant>
      <vt:variant>
        <vt:i4>0</vt:i4>
      </vt:variant>
      <vt:variant>
        <vt:i4>5</vt:i4>
      </vt:variant>
      <vt:variant>
        <vt:lpwstr/>
      </vt:variant>
      <vt:variant>
        <vt:lpwstr>_Toc506992909</vt:lpwstr>
      </vt:variant>
      <vt:variant>
        <vt:i4>1835059</vt:i4>
      </vt:variant>
      <vt:variant>
        <vt:i4>347</vt:i4>
      </vt:variant>
      <vt:variant>
        <vt:i4>0</vt:i4>
      </vt:variant>
      <vt:variant>
        <vt:i4>5</vt:i4>
      </vt:variant>
      <vt:variant>
        <vt:lpwstr/>
      </vt:variant>
      <vt:variant>
        <vt:lpwstr>_Toc506992908</vt:lpwstr>
      </vt:variant>
      <vt:variant>
        <vt:i4>1835059</vt:i4>
      </vt:variant>
      <vt:variant>
        <vt:i4>341</vt:i4>
      </vt:variant>
      <vt:variant>
        <vt:i4>0</vt:i4>
      </vt:variant>
      <vt:variant>
        <vt:i4>5</vt:i4>
      </vt:variant>
      <vt:variant>
        <vt:lpwstr/>
      </vt:variant>
      <vt:variant>
        <vt:lpwstr>_Toc506992907</vt:lpwstr>
      </vt:variant>
      <vt:variant>
        <vt:i4>1835059</vt:i4>
      </vt:variant>
      <vt:variant>
        <vt:i4>335</vt:i4>
      </vt:variant>
      <vt:variant>
        <vt:i4>0</vt:i4>
      </vt:variant>
      <vt:variant>
        <vt:i4>5</vt:i4>
      </vt:variant>
      <vt:variant>
        <vt:lpwstr/>
      </vt:variant>
      <vt:variant>
        <vt:lpwstr>_Toc506992906</vt:lpwstr>
      </vt:variant>
      <vt:variant>
        <vt:i4>1835059</vt:i4>
      </vt:variant>
      <vt:variant>
        <vt:i4>329</vt:i4>
      </vt:variant>
      <vt:variant>
        <vt:i4>0</vt:i4>
      </vt:variant>
      <vt:variant>
        <vt:i4>5</vt:i4>
      </vt:variant>
      <vt:variant>
        <vt:lpwstr/>
      </vt:variant>
      <vt:variant>
        <vt:lpwstr>_Toc506992905</vt:lpwstr>
      </vt:variant>
      <vt:variant>
        <vt:i4>1835059</vt:i4>
      </vt:variant>
      <vt:variant>
        <vt:i4>323</vt:i4>
      </vt:variant>
      <vt:variant>
        <vt:i4>0</vt:i4>
      </vt:variant>
      <vt:variant>
        <vt:i4>5</vt:i4>
      </vt:variant>
      <vt:variant>
        <vt:lpwstr/>
      </vt:variant>
      <vt:variant>
        <vt:lpwstr>_Toc506992904</vt:lpwstr>
      </vt:variant>
      <vt:variant>
        <vt:i4>1835059</vt:i4>
      </vt:variant>
      <vt:variant>
        <vt:i4>317</vt:i4>
      </vt:variant>
      <vt:variant>
        <vt:i4>0</vt:i4>
      </vt:variant>
      <vt:variant>
        <vt:i4>5</vt:i4>
      </vt:variant>
      <vt:variant>
        <vt:lpwstr/>
      </vt:variant>
      <vt:variant>
        <vt:lpwstr>_Toc506992903</vt:lpwstr>
      </vt:variant>
      <vt:variant>
        <vt:i4>1835059</vt:i4>
      </vt:variant>
      <vt:variant>
        <vt:i4>311</vt:i4>
      </vt:variant>
      <vt:variant>
        <vt:i4>0</vt:i4>
      </vt:variant>
      <vt:variant>
        <vt:i4>5</vt:i4>
      </vt:variant>
      <vt:variant>
        <vt:lpwstr/>
      </vt:variant>
      <vt:variant>
        <vt:lpwstr>_Toc506992902</vt:lpwstr>
      </vt:variant>
      <vt:variant>
        <vt:i4>1835059</vt:i4>
      </vt:variant>
      <vt:variant>
        <vt:i4>305</vt:i4>
      </vt:variant>
      <vt:variant>
        <vt:i4>0</vt:i4>
      </vt:variant>
      <vt:variant>
        <vt:i4>5</vt:i4>
      </vt:variant>
      <vt:variant>
        <vt:lpwstr/>
      </vt:variant>
      <vt:variant>
        <vt:lpwstr>_Toc506992901</vt:lpwstr>
      </vt:variant>
      <vt:variant>
        <vt:i4>1835059</vt:i4>
      </vt:variant>
      <vt:variant>
        <vt:i4>299</vt:i4>
      </vt:variant>
      <vt:variant>
        <vt:i4>0</vt:i4>
      </vt:variant>
      <vt:variant>
        <vt:i4>5</vt:i4>
      </vt:variant>
      <vt:variant>
        <vt:lpwstr/>
      </vt:variant>
      <vt:variant>
        <vt:lpwstr>_Toc506992900</vt:lpwstr>
      </vt:variant>
      <vt:variant>
        <vt:i4>1376306</vt:i4>
      </vt:variant>
      <vt:variant>
        <vt:i4>293</vt:i4>
      </vt:variant>
      <vt:variant>
        <vt:i4>0</vt:i4>
      </vt:variant>
      <vt:variant>
        <vt:i4>5</vt:i4>
      </vt:variant>
      <vt:variant>
        <vt:lpwstr/>
      </vt:variant>
      <vt:variant>
        <vt:lpwstr>_Toc506992899</vt:lpwstr>
      </vt:variant>
      <vt:variant>
        <vt:i4>1376306</vt:i4>
      </vt:variant>
      <vt:variant>
        <vt:i4>287</vt:i4>
      </vt:variant>
      <vt:variant>
        <vt:i4>0</vt:i4>
      </vt:variant>
      <vt:variant>
        <vt:i4>5</vt:i4>
      </vt:variant>
      <vt:variant>
        <vt:lpwstr/>
      </vt:variant>
      <vt:variant>
        <vt:lpwstr>_Toc506992898</vt:lpwstr>
      </vt:variant>
      <vt:variant>
        <vt:i4>1376306</vt:i4>
      </vt:variant>
      <vt:variant>
        <vt:i4>281</vt:i4>
      </vt:variant>
      <vt:variant>
        <vt:i4>0</vt:i4>
      </vt:variant>
      <vt:variant>
        <vt:i4>5</vt:i4>
      </vt:variant>
      <vt:variant>
        <vt:lpwstr/>
      </vt:variant>
      <vt:variant>
        <vt:lpwstr>_Toc506992897</vt:lpwstr>
      </vt:variant>
      <vt:variant>
        <vt:i4>1376306</vt:i4>
      </vt:variant>
      <vt:variant>
        <vt:i4>275</vt:i4>
      </vt:variant>
      <vt:variant>
        <vt:i4>0</vt:i4>
      </vt:variant>
      <vt:variant>
        <vt:i4>5</vt:i4>
      </vt:variant>
      <vt:variant>
        <vt:lpwstr/>
      </vt:variant>
      <vt:variant>
        <vt:lpwstr>_Toc506992896</vt:lpwstr>
      </vt:variant>
      <vt:variant>
        <vt:i4>1376306</vt:i4>
      </vt:variant>
      <vt:variant>
        <vt:i4>269</vt:i4>
      </vt:variant>
      <vt:variant>
        <vt:i4>0</vt:i4>
      </vt:variant>
      <vt:variant>
        <vt:i4>5</vt:i4>
      </vt:variant>
      <vt:variant>
        <vt:lpwstr/>
      </vt:variant>
      <vt:variant>
        <vt:lpwstr>_Toc506992895</vt:lpwstr>
      </vt:variant>
      <vt:variant>
        <vt:i4>1376306</vt:i4>
      </vt:variant>
      <vt:variant>
        <vt:i4>263</vt:i4>
      </vt:variant>
      <vt:variant>
        <vt:i4>0</vt:i4>
      </vt:variant>
      <vt:variant>
        <vt:i4>5</vt:i4>
      </vt:variant>
      <vt:variant>
        <vt:lpwstr/>
      </vt:variant>
      <vt:variant>
        <vt:lpwstr>_Toc506992894</vt:lpwstr>
      </vt:variant>
      <vt:variant>
        <vt:i4>1376306</vt:i4>
      </vt:variant>
      <vt:variant>
        <vt:i4>257</vt:i4>
      </vt:variant>
      <vt:variant>
        <vt:i4>0</vt:i4>
      </vt:variant>
      <vt:variant>
        <vt:i4>5</vt:i4>
      </vt:variant>
      <vt:variant>
        <vt:lpwstr/>
      </vt:variant>
      <vt:variant>
        <vt:lpwstr>_Toc506992893</vt:lpwstr>
      </vt:variant>
      <vt:variant>
        <vt:i4>1376306</vt:i4>
      </vt:variant>
      <vt:variant>
        <vt:i4>251</vt:i4>
      </vt:variant>
      <vt:variant>
        <vt:i4>0</vt:i4>
      </vt:variant>
      <vt:variant>
        <vt:i4>5</vt:i4>
      </vt:variant>
      <vt:variant>
        <vt:lpwstr/>
      </vt:variant>
      <vt:variant>
        <vt:lpwstr>_Toc506992892</vt:lpwstr>
      </vt:variant>
      <vt:variant>
        <vt:i4>1376306</vt:i4>
      </vt:variant>
      <vt:variant>
        <vt:i4>245</vt:i4>
      </vt:variant>
      <vt:variant>
        <vt:i4>0</vt:i4>
      </vt:variant>
      <vt:variant>
        <vt:i4>5</vt:i4>
      </vt:variant>
      <vt:variant>
        <vt:lpwstr/>
      </vt:variant>
      <vt:variant>
        <vt:lpwstr>_Toc506992891</vt:lpwstr>
      </vt:variant>
      <vt:variant>
        <vt:i4>1376306</vt:i4>
      </vt:variant>
      <vt:variant>
        <vt:i4>239</vt:i4>
      </vt:variant>
      <vt:variant>
        <vt:i4>0</vt:i4>
      </vt:variant>
      <vt:variant>
        <vt:i4>5</vt:i4>
      </vt:variant>
      <vt:variant>
        <vt:lpwstr/>
      </vt:variant>
      <vt:variant>
        <vt:lpwstr>_Toc506992890</vt:lpwstr>
      </vt:variant>
      <vt:variant>
        <vt:i4>1310770</vt:i4>
      </vt:variant>
      <vt:variant>
        <vt:i4>233</vt:i4>
      </vt:variant>
      <vt:variant>
        <vt:i4>0</vt:i4>
      </vt:variant>
      <vt:variant>
        <vt:i4>5</vt:i4>
      </vt:variant>
      <vt:variant>
        <vt:lpwstr/>
      </vt:variant>
      <vt:variant>
        <vt:lpwstr>_Toc506992889</vt:lpwstr>
      </vt:variant>
      <vt:variant>
        <vt:i4>1310770</vt:i4>
      </vt:variant>
      <vt:variant>
        <vt:i4>227</vt:i4>
      </vt:variant>
      <vt:variant>
        <vt:i4>0</vt:i4>
      </vt:variant>
      <vt:variant>
        <vt:i4>5</vt:i4>
      </vt:variant>
      <vt:variant>
        <vt:lpwstr/>
      </vt:variant>
      <vt:variant>
        <vt:lpwstr>_Toc506992888</vt:lpwstr>
      </vt:variant>
      <vt:variant>
        <vt:i4>1310770</vt:i4>
      </vt:variant>
      <vt:variant>
        <vt:i4>221</vt:i4>
      </vt:variant>
      <vt:variant>
        <vt:i4>0</vt:i4>
      </vt:variant>
      <vt:variant>
        <vt:i4>5</vt:i4>
      </vt:variant>
      <vt:variant>
        <vt:lpwstr/>
      </vt:variant>
      <vt:variant>
        <vt:lpwstr>_Toc506992887</vt:lpwstr>
      </vt:variant>
      <vt:variant>
        <vt:i4>1310770</vt:i4>
      </vt:variant>
      <vt:variant>
        <vt:i4>215</vt:i4>
      </vt:variant>
      <vt:variant>
        <vt:i4>0</vt:i4>
      </vt:variant>
      <vt:variant>
        <vt:i4>5</vt:i4>
      </vt:variant>
      <vt:variant>
        <vt:lpwstr/>
      </vt:variant>
      <vt:variant>
        <vt:lpwstr>_Toc506992886</vt:lpwstr>
      </vt:variant>
      <vt:variant>
        <vt:i4>1310770</vt:i4>
      </vt:variant>
      <vt:variant>
        <vt:i4>209</vt:i4>
      </vt:variant>
      <vt:variant>
        <vt:i4>0</vt:i4>
      </vt:variant>
      <vt:variant>
        <vt:i4>5</vt:i4>
      </vt:variant>
      <vt:variant>
        <vt:lpwstr/>
      </vt:variant>
      <vt:variant>
        <vt:lpwstr>_Toc506992885</vt:lpwstr>
      </vt:variant>
      <vt:variant>
        <vt:i4>1310770</vt:i4>
      </vt:variant>
      <vt:variant>
        <vt:i4>203</vt:i4>
      </vt:variant>
      <vt:variant>
        <vt:i4>0</vt:i4>
      </vt:variant>
      <vt:variant>
        <vt:i4>5</vt:i4>
      </vt:variant>
      <vt:variant>
        <vt:lpwstr/>
      </vt:variant>
      <vt:variant>
        <vt:lpwstr>_Toc506992884</vt:lpwstr>
      </vt:variant>
      <vt:variant>
        <vt:i4>1310770</vt:i4>
      </vt:variant>
      <vt:variant>
        <vt:i4>197</vt:i4>
      </vt:variant>
      <vt:variant>
        <vt:i4>0</vt:i4>
      </vt:variant>
      <vt:variant>
        <vt:i4>5</vt:i4>
      </vt:variant>
      <vt:variant>
        <vt:lpwstr/>
      </vt:variant>
      <vt:variant>
        <vt:lpwstr>_Toc506992883</vt:lpwstr>
      </vt:variant>
      <vt:variant>
        <vt:i4>1310770</vt:i4>
      </vt:variant>
      <vt:variant>
        <vt:i4>191</vt:i4>
      </vt:variant>
      <vt:variant>
        <vt:i4>0</vt:i4>
      </vt:variant>
      <vt:variant>
        <vt:i4>5</vt:i4>
      </vt:variant>
      <vt:variant>
        <vt:lpwstr/>
      </vt:variant>
      <vt:variant>
        <vt:lpwstr>_Toc506992882</vt:lpwstr>
      </vt:variant>
      <vt:variant>
        <vt:i4>1310770</vt:i4>
      </vt:variant>
      <vt:variant>
        <vt:i4>185</vt:i4>
      </vt:variant>
      <vt:variant>
        <vt:i4>0</vt:i4>
      </vt:variant>
      <vt:variant>
        <vt:i4>5</vt:i4>
      </vt:variant>
      <vt:variant>
        <vt:lpwstr/>
      </vt:variant>
      <vt:variant>
        <vt:lpwstr>_Toc506992881</vt:lpwstr>
      </vt:variant>
      <vt:variant>
        <vt:i4>1310770</vt:i4>
      </vt:variant>
      <vt:variant>
        <vt:i4>179</vt:i4>
      </vt:variant>
      <vt:variant>
        <vt:i4>0</vt:i4>
      </vt:variant>
      <vt:variant>
        <vt:i4>5</vt:i4>
      </vt:variant>
      <vt:variant>
        <vt:lpwstr/>
      </vt:variant>
      <vt:variant>
        <vt:lpwstr>_Toc506992880</vt:lpwstr>
      </vt:variant>
      <vt:variant>
        <vt:i4>1769522</vt:i4>
      </vt:variant>
      <vt:variant>
        <vt:i4>173</vt:i4>
      </vt:variant>
      <vt:variant>
        <vt:i4>0</vt:i4>
      </vt:variant>
      <vt:variant>
        <vt:i4>5</vt:i4>
      </vt:variant>
      <vt:variant>
        <vt:lpwstr/>
      </vt:variant>
      <vt:variant>
        <vt:lpwstr>_Toc506992879</vt:lpwstr>
      </vt:variant>
      <vt:variant>
        <vt:i4>1769522</vt:i4>
      </vt:variant>
      <vt:variant>
        <vt:i4>167</vt:i4>
      </vt:variant>
      <vt:variant>
        <vt:i4>0</vt:i4>
      </vt:variant>
      <vt:variant>
        <vt:i4>5</vt:i4>
      </vt:variant>
      <vt:variant>
        <vt:lpwstr/>
      </vt:variant>
      <vt:variant>
        <vt:lpwstr>_Toc506992878</vt:lpwstr>
      </vt:variant>
      <vt:variant>
        <vt:i4>1769522</vt:i4>
      </vt:variant>
      <vt:variant>
        <vt:i4>161</vt:i4>
      </vt:variant>
      <vt:variant>
        <vt:i4>0</vt:i4>
      </vt:variant>
      <vt:variant>
        <vt:i4>5</vt:i4>
      </vt:variant>
      <vt:variant>
        <vt:lpwstr/>
      </vt:variant>
      <vt:variant>
        <vt:lpwstr>_Toc506992877</vt:lpwstr>
      </vt:variant>
      <vt:variant>
        <vt:i4>1769522</vt:i4>
      </vt:variant>
      <vt:variant>
        <vt:i4>155</vt:i4>
      </vt:variant>
      <vt:variant>
        <vt:i4>0</vt:i4>
      </vt:variant>
      <vt:variant>
        <vt:i4>5</vt:i4>
      </vt:variant>
      <vt:variant>
        <vt:lpwstr/>
      </vt:variant>
      <vt:variant>
        <vt:lpwstr>_Toc506992876</vt:lpwstr>
      </vt:variant>
      <vt:variant>
        <vt:i4>1769522</vt:i4>
      </vt:variant>
      <vt:variant>
        <vt:i4>149</vt:i4>
      </vt:variant>
      <vt:variant>
        <vt:i4>0</vt:i4>
      </vt:variant>
      <vt:variant>
        <vt:i4>5</vt:i4>
      </vt:variant>
      <vt:variant>
        <vt:lpwstr/>
      </vt:variant>
      <vt:variant>
        <vt:lpwstr>_Toc506992875</vt:lpwstr>
      </vt:variant>
      <vt:variant>
        <vt:i4>1769522</vt:i4>
      </vt:variant>
      <vt:variant>
        <vt:i4>143</vt:i4>
      </vt:variant>
      <vt:variant>
        <vt:i4>0</vt:i4>
      </vt:variant>
      <vt:variant>
        <vt:i4>5</vt:i4>
      </vt:variant>
      <vt:variant>
        <vt:lpwstr/>
      </vt:variant>
      <vt:variant>
        <vt:lpwstr>_Toc506992874</vt:lpwstr>
      </vt:variant>
      <vt:variant>
        <vt:i4>1769522</vt:i4>
      </vt:variant>
      <vt:variant>
        <vt:i4>137</vt:i4>
      </vt:variant>
      <vt:variant>
        <vt:i4>0</vt:i4>
      </vt:variant>
      <vt:variant>
        <vt:i4>5</vt:i4>
      </vt:variant>
      <vt:variant>
        <vt:lpwstr/>
      </vt:variant>
      <vt:variant>
        <vt:lpwstr>_Toc506992873</vt:lpwstr>
      </vt:variant>
      <vt:variant>
        <vt:i4>1769522</vt:i4>
      </vt:variant>
      <vt:variant>
        <vt:i4>131</vt:i4>
      </vt:variant>
      <vt:variant>
        <vt:i4>0</vt:i4>
      </vt:variant>
      <vt:variant>
        <vt:i4>5</vt:i4>
      </vt:variant>
      <vt:variant>
        <vt:lpwstr/>
      </vt:variant>
      <vt:variant>
        <vt:lpwstr>_Toc506992872</vt:lpwstr>
      </vt:variant>
      <vt:variant>
        <vt:i4>1769522</vt:i4>
      </vt:variant>
      <vt:variant>
        <vt:i4>125</vt:i4>
      </vt:variant>
      <vt:variant>
        <vt:i4>0</vt:i4>
      </vt:variant>
      <vt:variant>
        <vt:i4>5</vt:i4>
      </vt:variant>
      <vt:variant>
        <vt:lpwstr/>
      </vt:variant>
      <vt:variant>
        <vt:lpwstr>_Toc506992871</vt:lpwstr>
      </vt:variant>
      <vt:variant>
        <vt:i4>1769522</vt:i4>
      </vt:variant>
      <vt:variant>
        <vt:i4>119</vt:i4>
      </vt:variant>
      <vt:variant>
        <vt:i4>0</vt:i4>
      </vt:variant>
      <vt:variant>
        <vt:i4>5</vt:i4>
      </vt:variant>
      <vt:variant>
        <vt:lpwstr/>
      </vt:variant>
      <vt:variant>
        <vt:lpwstr>_Toc506992870</vt:lpwstr>
      </vt:variant>
      <vt:variant>
        <vt:i4>1703986</vt:i4>
      </vt:variant>
      <vt:variant>
        <vt:i4>113</vt:i4>
      </vt:variant>
      <vt:variant>
        <vt:i4>0</vt:i4>
      </vt:variant>
      <vt:variant>
        <vt:i4>5</vt:i4>
      </vt:variant>
      <vt:variant>
        <vt:lpwstr/>
      </vt:variant>
      <vt:variant>
        <vt:lpwstr>_Toc506992869</vt:lpwstr>
      </vt:variant>
      <vt:variant>
        <vt:i4>1703986</vt:i4>
      </vt:variant>
      <vt:variant>
        <vt:i4>107</vt:i4>
      </vt:variant>
      <vt:variant>
        <vt:i4>0</vt:i4>
      </vt:variant>
      <vt:variant>
        <vt:i4>5</vt:i4>
      </vt:variant>
      <vt:variant>
        <vt:lpwstr/>
      </vt:variant>
      <vt:variant>
        <vt:lpwstr>_Toc506992868</vt:lpwstr>
      </vt:variant>
      <vt:variant>
        <vt:i4>1703986</vt:i4>
      </vt:variant>
      <vt:variant>
        <vt:i4>101</vt:i4>
      </vt:variant>
      <vt:variant>
        <vt:i4>0</vt:i4>
      </vt:variant>
      <vt:variant>
        <vt:i4>5</vt:i4>
      </vt:variant>
      <vt:variant>
        <vt:lpwstr/>
      </vt:variant>
      <vt:variant>
        <vt:lpwstr>_Toc506992867</vt:lpwstr>
      </vt:variant>
      <vt:variant>
        <vt:i4>1703986</vt:i4>
      </vt:variant>
      <vt:variant>
        <vt:i4>95</vt:i4>
      </vt:variant>
      <vt:variant>
        <vt:i4>0</vt:i4>
      </vt:variant>
      <vt:variant>
        <vt:i4>5</vt:i4>
      </vt:variant>
      <vt:variant>
        <vt:lpwstr/>
      </vt:variant>
      <vt:variant>
        <vt:lpwstr>_Toc506992866</vt:lpwstr>
      </vt:variant>
      <vt:variant>
        <vt:i4>1703986</vt:i4>
      </vt:variant>
      <vt:variant>
        <vt:i4>89</vt:i4>
      </vt:variant>
      <vt:variant>
        <vt:i4>0</vt:i4>
      </vt:variant>
      <vt:variant>
        <vt:i4>5</vt:i4>
      </vt:variant>
      <vt:variant>
        <vt:lpwstr/>
      </vt:variant>
      <vt:variant>
        <vt:lpwstr>_Toc506992865</vt:lpwstr>
      </vt:variant>
      <vt:variant>
        <vt:i4>1703986</vt:i4>
      </vt:variant>
      <vt:variant>
        <vt:i4>83</vt:i4>
      </vt:variant>
      <vt:variant>
        <vt:i4>0</vt:i4>
      </vt:variant>
      <vt:variant>
        <vt:i4>5</vt:i4>
      </vt:variant>
      <vt:variant>
        <vt:lpwstr/>
      </vt:variant>
      <vt:variant>
        <vt:lpwstr>_Toc506992864</vt:lpwstr>
      </vt:variant>
      <vt:variant>
        <vt:i4>1703986</vt:i4>
      </vt:variant>
      <vt:variant>
        <vt:i4>77</vt:i4>
      </vt:variant>
      <vt:variant>
        <vt:i4>0</vt:i4>
      </vt:variant>
      <vt:variant>
        <vt:i4>5</vt:i4>
      </vt:variant>
      <vt:variant>
        <vt:lpwstr/>
      </vt:variant>
      <vt:variant>
        <vt:lpwstr>_Toc506992863</vt:lpwstr>
      </vt:variant>
      <vt:variant>
        <vt:i4>1703986</vt:i4>
      </vt:variant>
      <vt:variant>
        <vt:i4>71</vt:i4>
      </vt:variant>
      <vt:variant>
        <vt:i4>0</vt:i4>
      </vt:variant>
      <vt:variant>
        <vt:i4>5</vt:i4>
      </vt:variant>
      <vt:variant>
        <vt:lpwstr/>
      </vt:variant>
      <vt:variant>
        <vt:lpwstr>_Toc506992862</vt:lpwstr>
      </vt:variant>
      <vt:variant>
        <vt:i4>1703986</vt:i4>
      </vt:variant>
      <vt:variant>
        <vt:i4>65</vt:i4>
      </vt:variant>
      <vt:variant>
        <vt:i4>0</vt:i4>
      </vt:variant>
      <vt:variant>
        <vt:i4>5</vt:i4>
      </vt:variant>
      <vt:variant>
        <vt:lpwstr/>
      </vt:variant>
      <vt:variant>
        <vt:lpwstr>_Toc506992861</vt:lpwstr>
      </vt:variant>
      <vt:variant>
        <vt:i4>1703986</vt:i4>
      </vt:variant>
      <vt:variant>
        <vt:i4>59</vt:i4>
      </vt:variant>
      <vt:variant>
        <vt:i4>0</vt:i4>
      </vt:variant>
      <vt:variant>
        <vt:i4>5</vt:i4>
      </vt:variant>
      <vt:variant>
        <vt:lpwstr/>
      </vt:variant>
      <vt:variant>
        <vt:lpwstr>_Toc506992860</vt:lpwstr>
      </vt:variant>
      <vt:variant>
        <vt:i4>1638450</vt:i4>
      </vt:variant>
      <vt:variant>
        <vt:i4>53</vt:i4>
      </vt:variant>
      <vt:variant>
        <vt:i4>0</vt:i4>
      </vt:variant>
      <vt:variant>
        <vt:i4>5</vt:i4>
      </vt:variant>
      <vt:variant>
        <vt:lpwstr/>
      </vt:variant>
      <vt:variant>
        <vt:lpwstr>_Toc506992859</vt:lpwstr>
      </vt:variant>
      <vt:variant>
        <vt:i4>1638450</vt:i4>
      </vt:variant>
      <vt:variant>
        <vt:i4>47</vt:i4>
      </vt:variant>
      <vt:variant>
        <vt:i4>0</vt:i4>
      </vt:variant>
      <vt:variant>
        <vt:i4>5</vt:i4>
      </vt:variant>
      <vt:variant>
        <vt:lpwstr/>
      </vt:variant>
      <vt:variant>
        <vt:lpwstr>_Toc506992858</vt:lpwstr>
      </vt:variant>
      <vt:variant>
        <vt:i4>1638450</vt:i4>
      </vt:variant>
      <vt:variant>
        <vt:i4>41</vt:i4>
      </vt:variant>
      <vt:variant>
        <vt:i4>0</vt:i4>
      </vt:variant>
      <vt:variant>
        <vt:i4>5</vt:i4>
      </vt:variant>
      <vt:variant>
        <vt:lpwstr/>
      </vt:variant>
      <vt:variant>
        <vt:lpwstr>_Toc506992857</vt:lpwstr>
      </vt:variant>
      <vt:variant>
        <vt:i4>1638450</vt:i4>
      </vt:variant>
      <vt:variant>
        <vt:i4>35</vt:i4>
      </vt:variant>
      <vt:variant>
        <vt:i4>0</vt:i4>
      </vt:variant>
      <vt:variant>
        <vt:i4>5</vt:i4>
      </vt:variant>
      <vt:variant>
        <vt:lpwstr/>
      </vt:variant>
      <vt:variant>
        <vt:lpwstr>_Toc506992856</vt:lpwstr>
      </vt:variant>
      <vt:variant>
        <vt:i4>1638450</vt:i4>
      </vt:variant>
      <vt:variant>
        <vt:i4>29</vt:i4>
      </vt:variant>
      <vt:variant>
        <vt:i4>0</vt:i4>
      </vt:variant>
      <vt:variant>
        <vt:i4>5</vt:i4>
      </vt:variant>
      <vt:variant>
        <vt:lpwstr/>
      </vt:variant>
      <vt:variant>
        <vt:lpwstr>_Toc506992855</vt:lpwstr>
      </vt:variant>
      <vt:variant>
        <vt:i4>1638450</vt:i4>
      </vt:variant>
      <vt:variant>
        <vt:i4>23</vt:i4>
      </vt:variant>
      <vt:variant>
        <vt:i4>0</vt:i4>
      </vt:variant>
      <vt:variant>
        <vt:i4>5</vt:i4>
      </vt:variant>
      <vt:variant>
        <vt:lpwstr/>
      </vt:variant>
      <vt:variant>
        <vt:lpwstr>_Toc506992854</vt:lpwstr>
      </vt:variant>
      <vt:variant>
        <vt:i4>1638450</vt:i4>
      </vt:variant>
      <vt:variant>
        <vt:i4>17</vt:i4>
      </vt:variant>
      <vt:variant>
        <vt:i4>0</vt:i4>
      </vt:variant>
      <vt:variant>
        <vt:i4>5</vt:i4>
      </vt:variant>
      <vt:variant>
        <vt:lpwstr/>
      </vt:variant>
      <vt:variant>
        <vt:lpwstr>_Toc506992853</vt:lpwstr>
      </vt:variant>
      <vt:variant>
        <vt:i4>1638450</vt:i4>
      </vt:variant>
      <vt:variant>
        <vt:i4>11</vt:i4>
      </vt:variant>
      <vt:variant>
        <vt:i4>0</vt:i4>
      </vt:variant>
      <vt:variant>
        <vt:i4>5</vt:i4>
      </vt:variant>
      <vt:variant>
        <vt:lpwstr/>
      </vt:variant>
      <vt:variant>
        <vt:lpwstr>_Toc506992852</vt:lpwstr>
      </vt:variant>
      <vt:variant>
        <vt:i4>1638450</vt:i4>
      </vt:variant>
      <vt:variant>
        <vt:i4>5</vt:i4>
      </vt:variant>
      <vt:variant>
        <vt:i4>0</vt:i4>
      </vt:variant>
      <vt:variant>
        <vt:i4>5</vt:i4>
      </vt:variant>
      <vt:variant>
        <vt:lpwstr/>
      </vt:variant>
      <vt:variant>
        <vt:lpwstr>_Toc506992851</vt:lpwstr>
      </vt:variant>
      <vt:variant>
        <vt:i4>393340</vt:i4>
      </vt:variant>
      <vt:variant>
        <vt:i4>0</vt:i4>
      </vt:variant>
      <vt:variant>
        <vt:i4>0</vt:i4>
      </vt:variant>
      <vt:variant>
        <vt:i4>5</vt:i4>
      </vt:variant>
      <vt:variant>
        <vt:lpwstr>C:\Users\lyn grigg\AppData\Local\Microsoft\Windows\Temporary Internet Files\2015-16\Versions with Audit Office 18 Feb\geoff.britt@act.gov.au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Financial Statements 2022-23</dc:title>
  <dc:subject>Model Financial Statements 2022-23</dc:subject>
  <dc:creator>ACT Government</dc:creator>
  <cp:keywords>Model Financial Statements 2022-23</cp:keywords>
  <dc:description/>
  <cp:lastModifiedBy>Palfreyman, Hamish</cp:lastModifiedBy>
  <cp:revision>2</cp:revision>
  <cp:lastPrinted>2022-03-21T04:05:00Z</cp:lastPrinted>
  <dcterms:created xsi:type="dcterms:W3CDTF">2023-06-15T23:54:00Z</dcterms:created>
  <dcterms:modified xsi:type="dcterms:W3CDTF">2023-06-15T23:54:00Z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fb5ca6e8-7c6b-4563-80bb-acb884940ac8</vt:lpwstr>
  </property>
  <property fmtid="{D5CDD505-2E9C-101B-9397-08002B2CF9AE}" pid="3" name="bjSaver">
    <vt:lpwstr>vDEHdaPZRkbcyDNvj7libs3AymtQh9h7</vt:lpwstr>
  </property>
  <property fmtid="{D5CDD505-2E9C-101B-9397-08002B2CF9AE}" pid="4" name="Description">
    <vt:lpwstr>ACT Model Financial Statment for reporting period ending 30 June 2015</vt:lpwstr>
  </property>
  <property fmtid="{D5CDD505-2E9C-101B-9397-08002B2CF9AE}" pid="5" name="bjDocumentLabelXML">
    <vt:lpwstr>&lt;?xml version="1.0"?&gt;&lt;sisl xmlns:xsi="http://www.w3.org/2001/XMLSchema-instance" xmlns:xsd="http://www.w3.org/2001/XMLSchema" sislVersion="0" policy="1865c0a7-d648-4a74-80fe-fa9dc7fe13cc" xmlns="http://www.boldonjames.com/2008/01/sie/internal/label"&gt;  &lt;el</vt:lpwstr>
  </property>
  <property fmtid="{D5CDD505-2E9C-101B-9397-08002B2CF9AE}" pid="6" name="bjDocumentLabelXML-0">
    <vt:lpwstr>ement uid="a68a5297-83bb-4ba8-a7cd-4b62d6981a77" value="" /&gt;&lt;/sisl&gt;</vt:lpwstr>
  </property>
  <property fmtid="{D5CDD505-2E9C-101B-9397-08002B2CF9AE}" pid="7" name="bjDocumentSecurityLabel">
    <vt:lpwstr>UNCLASSIFIED - NO MARKING - WORD, EXCEL &amp; POWERPOINT ONLY</vt:lpwstr>
  </property>
</Properties>
</file>